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Default Extension="jpeg" ContentType="image/jpeg"/>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360"/>
        <w:rPr>
          <w:rFonts w:ascii="Times New Roman"/>
          <w:sz w:val="20"/>
        </w:rPr>
      </w:pPr>
      <w:r>
        <w:rPr>
          <w:rFonts w:ascii="Times New Roman"/>
          <w:sz w:val="20"/>
        </w:rPr>
        <w:drawing>
          <wp:inline distT="0" distB="0" distL="0" distR="0">
            <wp:extent cx="3004867" cy="450342"/>
            <wp:effectExtent l="0" t="0" r="0" b="0"/>
            <wp:docPr id="1" name="Image 1" descr="United States Department of Agriculture logo"/>
            <wp:cNvGraphicFramePr>
              <a:graphicFrameLocks/>
            </wp:cNvGraphicFramePr>
            <a:graphic>
              <a:graphicData uri="http://schemas.openxmlformats.org/drawingml/2006/picture">
                <pic:pic>
                  <pic:nvPicPr>
                    <pic:cNvPr id="1" name="Image 1" descr="United States Department of Agriculture logo"/>
                    <pic:cNvPicPr/>
                  </pic:nvPicPr>
                  <pic:blipFill>
                    <a:blip r:embed="rId6" cstate="print"/>
                    <a:stretch>
                      <a:fillRect/>
                    </a:stretch>
                  </pic:blipFill>
                  <pic:spPr>
                    <a:xfrm>
                      <a:off x="0" y="0"/>
                      <a:ext cx="3004867" cy="450342"/>
                    </a:xfrm>
                    <a:prstGeom prst="rect">
                      <a:avLst/>
                    </a:prstGeom>
                  </pic:spPr>
                </pic:pic>
              </a:graphicData>
            </a:graphic>
          </wp:inline>
        </w:drawing>
      </w:r>
      <w:r>
        <w:rPr>
          <w:rFonts w:ascii="Times New Roman"/>
          <w:sz w:val="20"/>
        </w:rPr>
      </w:r>
    </w:p>
    <w:p>
      <w:pPr>
        <w:pStyle w:val="BodyText"/>
        <w:spacing w:before="2"/>
        <w:rPr>
          <w:rFonts w:ascii="Times New Roman"/>
          <w:sz w:val="9"/>
        </w:rPr>
      </w:pPr>
      <w:r>
        <w:rPr>
          <w:rFonts w:ascii="Times New Roman"/>
          <w:sz w:val="9"/>
        </w:rPr>
        <mc:AlternateContent>
          <mc:Choice Requires="wps">
            <w:drawing>
              <wp:anchor distT="0" distB="0" distL="0" distR="0" allowOverlap="1" layoutInCell="1" locked="0" behindDoc="1" simplePos="0" relativeHeight="487587840">
                <wp:simplePos x="0" y="0"/>
                <wp:positionH relativeFrom="page">
                  <wp:posOffset>896111</wp:posOffset>
                </wp:positionH>
                <wp:positionV relativeFrom="paragraph">
                  <wp:posOffset>82562</wp:posOffset>
                </wp:positionV>
                <wp:extent cx="6209030" cy="12700"/>
                <wp:effectExtent l="0" t="0" r="0" b="0"/>
                <wp:wrapTopAndBottom/>
                <wp:docPr id="2" name="Graphic 2"/>
                <wp:cNvGraphicFramePr>
                  <a:graphicFrameLocks/>
                </wp:cNvGraphicFramePr>
                <a:graphic>
                  <a:graphicData uri="http://schemas.microsoft.com/office/word/2010/wordprocessingShape">
                    <wps:wsp>
                      <wps:cNvPr id="2" name="Graphic 2"/>
                      <wps:cNvSpPr/>
                      <wps:spPr>
                        <a:xfrm>
                          <a:off x="0" y="0"/>
                          <a:ext cx="6209030" cy="12700"/>
                        </a:xfrm>
                        <a:custGeom>
                          <a:avLst/>
                          <a:gdLst/>
                          <a:ahLst/>
                          <a:cxnLst/>
                          <a:rect l="l" t="t" r="r" b="b"/>
                          <a:pathLst>
                            <a:path w="6209030" h="12700">
                              <a:moveTo>
                                <a:pt x="6208776" y="0"/>
                              </a:moveTo>
                              <a:lnTo>
                                <a:pt x="0" y="0"/>
                              </a:lnTo>
                              <a:lnTo>
                                <a:pt x="0" y="12179"/>
                              </a:lnTo>
                              <a:lnTo>
                                <a:pt x="6208776" y="12179"/>
                              </a:lnTo>
                              <a:lnTo>
                                <a:pt x="62087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6.501pt;width:488.88pt;height:.959pt;mso-position-horizontal-relative:page;mso-position-vertical-relative:paragraph;z-index:-15728640;mso-wrap-distance-left:0;mso-wrap-distance-right:0" id="docshape1" filled="true" fillcolor="#000000" stroked="false">
                <v:fill type="solid"/>
                <w10:wrap type="topAndBottom"/>
              </v:rect>
            </w:pict>
          </mc:Fallback>
        </mc:AlternateContent>
      </w:r>
    </w:p>
    <w:p>
      <w:pPr>
        <w:pStyle w:val="Title"/>
      </w:pPr>
      <w:r>
        <w:rPr/>
        <w:t>Colville</w:t>
      </w:r>
      <w:r>
        <w:rPr>
          <w:spacing w:val="-1"/>
        </w:rPr>
        <w:t> </w:t>
      </w:r>
      <w:r>
        <w:rPr/>
        <w:t>National</w:t>
      </w:r>
      <w:r>
        <w:rPr>
          <w:spacing w:val="-7"/>
        </w:rPr>
        <w:t> </w:t>
      </w:r>
      <w:r>
        <w:rPr/>
        <w:t>Forest Land</w:t>
      </w:r>
      <w:r>
        <w:rPr>
          <w:spacing w:val="-5"/>
        </w:rPr>
        <w:t> </w:t>
      </w:r>
      <w:r>
        <w:rPr/>
        <w:t>Management</w:t>
      </w:r>
      <w:r>
        <w:rPr>
          <w:spacing w:val="-5"/>
        </w:rPr>
        <w:t> </w:t>
      </w:r>
      <w:r>
        <w:rPr>
          <w:spacing w:val="-4"/>
        </w:rPr>
        <w:t>Plan</w:t>
      </w:r>
    </w:p>
    <w:p>
      <w:pPr>
        <w:spacing w:before="481"/>
        <w:ind w:left="360" w:right="0" w:firstLine="0"/>
        <w:jc w:val="left"/>
        <w:rPr>
          <w:rFonts w:ascii="Arial"/>
          <w:b/>
          <w:sz w:val="32"/>
        </w:rPr>
      </w:pPr>
      <w:r>
        <w:rPr>
          <w:rFonts w:ascii="Arial"/>
          <w:b/>
          <w:sz w:val="32"/>
        </w:rPr>
        <w:t>Ferry,</w:t>
      </w:r>
      <w:r>
        <w:rPr>
          <w:rFonts w:ascii="Arial"/>
          <w:b/>
          <w:spacing w:val="-16"/>
          <w:sz w:val="32"/>
        </w:rPr>
        <w:t> </w:t>
      </w:r>
      <w:r>
        <w:rPr>
          <w:rFonts w:ascii="Arial"/>
          <w:b/>
          <w:sz w:val="32"/>
        </w:rPr>
        <w:t>Pend</w:t>
      </w:r>
      <w:r>
        <w:rPr>
          <w:rFonts w:ascii="Arial"/>
          <w:b/>
          <w:spacing w:val="-13"/>
          <w:sz w:val="32"/>
        </w:rPr>
        <w:t> </w:t>
      </w:r>
      <w:r>
        <w:rPr>
          <w:rFonts w:ascii="Arial"/>
          <w:b/>
          <w:sz w:val="32"/>
        </w:rPr>
        <w:t>Oreille,</w:t>
      </w:r>
      <w:r>
        <w:rPr>
          <w:rFonts w:ascii="Arial"/>
          <w:b/>
          <w:spacing w:val="-16"/>
          <w:sz w:val="32"/>
        </w:rPr>
        <w:t> </w:t>
      </w:r>
      <w:r>
        <w:rPr>
          <w:rFonts w:ascii="Arial"/>
          <w:b/>
          <w:sz w:val="32"/>
        </w:rPr>
        <w:t>and</w:t>
      </w:r>
      <w:r>
        <w:rPr>
          <w:rFonts w:ascii="Arial"/>
          <w:b/>
          <w:spacing w:val="-13"/>
          <w:sz w:val="32"/>
        </w:rPr>
        <w:t> </w:t>
      </w:r>
      <w:r>
        <w:rPr>
          <w:rFonts w:ascii="Arial"/>
          <w:b/>
          <w:sz w:val="32"/>
        </w:rPr>
        <w:t>Stevens</w:t>
      </w:r>
      <w:r>
        <w:rPr>
          <w:rFonts w:ascii="Arial"/>
          <w:b/>
          <w:spacing w:val="-15"/>
          <w:sz w:val="32"/>
        </w:rPr>
        <w:t> </w:t>
      </w:r>
      <w:r>
        <w:rPr>
          <w:rFonts w:ascii="Arial"/>
          <w:b/>
          <w:sz w:val="32"/>
        </w:rPr>
        <w:t>Counties,</w:t>
      </w:r>
      <w:r>
        <w:rPr>
          <w:rFonts w:ascii="Arial"/>
          <w:b/>
          <w:spacing w:val="-16"/>
          <w:sz w:val="32"/>
        </w:rPr>
        <w:t> </w:t>
      </w:r>
      <w:r>
        <w:rPr>
          <w:rFonts w:ascii="Arial"/>
          <w:b/>
          <w:spacing w:val="-2"/>
          <w:sz w:val="32"/>
        </w:rPr>
        <w:t>Washington</w:t>
      </w:r>
    </w:p>
    <w:p>
      <w:pPr>
        <w:pStyle w:val="BodyText"/>
        <w:rPr>
          <w:rFonts w:ascii="Arial"/>
          <w:b/>
          <w:sz w:val="20"/>
        </w:rPr>
      </w:pPr>
    </w:p>
    <w:p>
      <w:pPr>
        <w:pStyle w:val="BodyText"/>
        <w:rPr>
          <w:rFonts w:ascii="Arial"/>
          <w:b/>
          <w:sz w:val="20"/>
        </w:rPr>
      </w:pPr>
    </w:p>
    <w:p>
      <w:pPr>
        <w:pStyle w:val="BodyText"/>
        <w:spacing w:before="7"/>
        <w:rPr>
          <w:rFonts w:ascii="Arial"/>
          <w:b/>
          <w:sz w:val="20"/>
        </w:rPr>
      </w:pPr>
      <w:r>
        <w:rPr>
          <w:rFonts w:ascii="Arial"/>
          <w:b/>
          <w:sz w:val="20"/>
        </w:rPr>
        <w:drawing>
          <wp:anchor distT="0" distB="0" distL="0" distR="0" allowOverlap="1" layoutInCell="1" locked="0" behindDoc="1" simplePos="0" relativeHeight="487588352">
            <wp:simplePos x="0" y="0"/>
            <wp:positionH relativeFrom="page">
              <wp:posOffset>912875</wp:posOffset>
            </wp:positionH>
            <wp:positionV relativeFrom="paragraph">
              <wp:posOffset>166235</wp:posOffset>
            </wp:positionV>
            <wp:extent cx="6253480" cy="4687824"/>
            <wp:effectExtent l="0" t="0" r="0" b="0"/>
            <wp:wrapTopAndBottom/>
            <wp:docPr id="3" name="Image 3" descr="View of Gypsy Peak and the Salmo-Priest Wilderness, Sullivan Lake Ranger District (photo courtesy of Jon Day)"/>
            <wp:cNvGraphicFramePr>
              <a:graphicFrameLocks/>
            </wp:cNvGraphicFramePr>
            <a:graphic>
              <a:graphicData uri="http://schemas.openxmlformats.org/drawingml/2006/picture">
                <pic:pic>
                  <pic:nvPicPr>
                    <pic:cNvPr id="3" name="Image 3" descr="View of Gypsy Peak and the Salmo-Priest Wilderness, Sullivan Lake Ranger District (photo courtesy of Jon Day)"/>
                    <pic:cNvPicPr/>
                  </pic:nvPicPr>
                  <pic:blipFill>
                    <a:blip r:embed="rId7" cstate="print"/>
                    <a:stretch>
                      <a:fillRect/>
                    </a:stretch>
                  </pic:blipFill>
                  <pic:spPr>
                    <a:xfrm>
                      <a:off x="0" y="0"/>
                      <a:ext cx="6253480" cy="4687824"/>
                    </a:xfrm>
                    <a:prstGeom prst="rect">
                      <a:avLst/>
                    </a:prstGeom>
                  </pic:spPr>
                </pic:pic>
              </a:graphicData>
            </a:graphic>
          </wp:anchor>
        </w:drawing>
      </w:r>
    </w:p>
    <w:p>
      <w:pPr>
        <w:pStyle w:val="BodyText"/>
        <w:spacing w:before="133"/>
        <w:rPr>
          <w:rFonts w:ascii="Arial"/>
          <w:b/>
          <w:sz w:val="32"/>
        </w:rPr>
      </w:pPr>
    </w:p>
    <w:p>
      <w:pPr>
        <w:pStyle w:val="Heading5"/>
        <w:tabs>
          <w:tab w:pos="4591" w:val="left" w:leader="none"/>
          <w:tab w:pos="8279" w:val="left" w:leader="none"/>
        </w:tabs>
      </w:pPr>
      <w:r>
        <w:rPr>
          <w:b w:val="0"/>
          <w:position w:val="1"/>
        </w:rPr>
        <w:drawing>
          <wp:inline distT="0" distB="0" distL="0" distR="0">
            <wp:extent cx="564514" cy="639780"/>
            <wp:effectExtent l="0" t="0" r="0" b="0"/>
            <wp:docPr id="4" name="Image 4" descr="USDA Forest Service logo"/>
            <wp:cNvGraphicFramePr>
              <a:graphicFrameLocks/>
            </wp:cNvGraphicFramePr>
            <a:graphic>
              <a:graphicData uri="http://schemas.openxmlformats.org/drawingml/2006/picture">
                <pic:pic>
                  <pic:nvPicPr>
                    <pic:cNvPr id="4" name="Image 4" descr="USDA Forest Service logo"/>
                    <pic:cNvPicPr/>
                  </pic:nvPicPr>
                  <pic:blipFill>
                    <a:blip r:embed="rId8" cstate="print"/>
                    <a:stretch>
                      <a:fillRect/>
                    </a:stretch>
                  </pic:blipFill>
                  <pic:spPr>
                    <a:xfrm>
                      <a:off x="0" y="0"/>
                      <a:ext cx="564514" cy="639780"/>
                    </a:xfrm>
                    <a:prstGeom prst="rect">
                      <a:avLst/>
                    </a:prstGeom>
                  </pic:spPr>
                </pic:pic>
              </a:graphicData>
            </a:graphic>
          </wp:inline>
        </w:drawing>
      </w:r>
      <w:r>
        <w:rPr>
          <w:b w:val="0"/>
          <w:position w:val="1"/>
        </w:rPr>
      </w:r>
      <w:r>
        <w:rPr/>
        <w:t>Forest</w:t>
      </w:r>
      <w:r>
        <w:rPr>
          <w:spacing w:val="-4"/>
        </w:rPr>
        <w:t> </w:t>
      </w:r>
      <w:r>
        <w:rPr>
          <w:spacing w:val="-2"/>
        </w:rPr>
        <w:t>Service</w:t>
      </w:r>
      <w:r>
        <w:rPr/>
        <w:tab/>
        <w:t>Colville</w:t>
      </w:r>
      <w:r>
        <w:rPr>
          <w:spacing w:val="-6"/>
        </w:rPr>
        <w:t> </w:t>
      </w:r>
      <w:r>
        <w:rPr/>
        <w:t>National</w:t>
      </w:r>
      <w:r>
        <w:rPr>
          <w:spacing w:val="-4"/>
        </w:rPr>
        <w:t> </w:t>
      </w:r>
      <w:r>
        <w:rPr>
          <w:spacing w:val="-2"/>
        </w:rPr>
        <w:t>Forest</w:t>
      </w:r>
      <w:r>
        <w:rPr/>
        <w:tab/>
        <w:t>September</w:t>
      </w:r>
      <w:r>
        <w:rPr>
          <w:spacing w:val="-8"/>
        </w:rPr>
        <w:t> </w:t>
      </w:r>
      <w:r>
        <w:rPr>
          <w:spacing w:val="-4"/>
        </w:rPr>
        <w:t>2019</w:t>
      </w:r>
    </w:p>
    <w:p>
      <w:pPr>
        <w:pStyle w:val="Heading5"/>
        <w:spacing w:after="0"/>
        <w:sectPr>
          <w:footerReference w:type="default" r:id="rId5"/>
          <w:type w:val="continuous"/>
          <w:pgSz w:w="12240" w:h="15840"/>
          <w:pgMar w:header="0" w:footer="0" w:top="1440" w:bottom="280" w:left="1080" w:right="720"/>
          <w:pgNumType w:start="1"/>
        </w:sect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spacing w:before="174"/>
        <w:rPr>
          <w:rFonts w:ascii="Arial Narrow"/>
          <w:b/>
          <w:sz w:val="20"/>
        </w:rPr>
      </w:pPr>
    </w:p>
    <w:p>
      <w:pPr>
        <w:spacing w:before="1"/>
        <w:ind w:left="360" w:right="1073" w:firstLine="0"/>
        <w:jc w:val="left"/>
        <w:rPr>
          <w:rFonts w:ascii="Arial"/>
          <w:i/>
          <w:sz w:val="20"/>
        </w:rPr>
      </w:pPr>
      <w:r>
        <w:rPr>
          <w:rFonts w:ascii="Arial"/>
          <w:sz w:val="20"/>
        </w:rPr>
        <w:t>Cover</w:t>
      </w:r>
      <w:r>
        <w:rPr>
          <w:rFonts w:ascii="Arial"/>
          <w:spacing w:val="-3"/>
          <w:sz w:val="20"/>
        </w:rPr>
        <w:t> </w:t>
      </w:r>
      <w:r>
        <w:rPr>
          <w:rFonts w:ascii="Arial"/>
          <w:sz w:val="20"/>
        </w:rPr>
        <w:t>photo:</w:t>
      </w:r>
      <w:r>
        <w:rPr>
          <w:rFonts w:ascii="Arial"/>
          <w:spacing w:val="-2"/>
          <w:sz w:val="20"/>
        </w:rPr>
        <w:t> </w:t>
      </w:r>
      <w:r>
        <w:rPr>
          <w:rFonts w:ascii="Arial"/>
          <w:i/>
          <w:sz w:val="20"/>
        </w:rPr>
        <w:t>View</w:t>
      </w:r>
      <w:r>
        <w:rPr>
          <w:rFonts w:ascii="Arial"/>
          <w:i/>
          <w:spacing w:val="-4"/>
          <w:sz w:val="20"/>
        </w:rPr>
        <w:t> </w:t>
      </w:r>
      <w:r>
        <w:rPr>
          <w:rFonts w:ascii="Arial"/>
          <w:i/>
          <w:sz w:val="20"/>
        </w:rPr>
        <w:t>of</w:t>
      </w:r>
      <w:r>
        <w:rPr>
          <w:rFonts w:ascii="Arial"/>
          <w:i/>
          <w:spacing w:val="-4"/>
          <w:sz w:val="20"/>
        </w:rPr>
        <w:t> </w:t>
      </w:r>
      <w:r>
        <w:rPr>
          <w:rFonts w:ascii="Arial"/>
          <w:i/>
          <w:sz w:val="20"/>
        </w:rPr>
        <w:t>Gypsy</w:t>
      </w:r>
      <w:r>
        <w:rPr>
          <w:rFonts w:ascii="Arial"/>
          <w:i/>
          <w:spacing w:val="-3"/>
          <w:sz w:val="20"/>
        </w:rPr>
        <w:t> </w:t>
      </w:r>
      <w:r>
        <w:rPr>
          <w:rFonts w:ascii="Arial"/>
          <w:i/>
          <w:sz w:val="20"/>
        </w:rPr>
        <w:t>Peak</w:t>
      </w:r>
      <w:r>
        <w:rPr>
          <w:rFonts w:ascii="Arial"/>
          <w:i/>
          <w:spacing w:val="-3"/>
          <w:sz w:val="20"/>
        </w:rPr>
        <w:t> </w:t>
      </w:r>
      <w:r>
        <w:rPr>
          <w:rFonts w:ascii="Arial"/>
          <w:i/>
          <w:sz w:val="20"/>
        </w:rPr>
        <w:t>and</w:t>
      </w:r>
      <w:r>
        <w:rPr>
          <w:rFonts w:ascii="Arial"/>
          <w:i/>
          <w:spacing w:val="-4"/>
          <w:sz w:val="20"/>
        </w:rPr>
        <w:t> </w:t>
      </w:r>
      <w:r>
        <w:rPr>
          <w:rFonts w:ascii="Arial"/>
          <w:i/>
          <w:sz w:val="20"/>
        </w:rPr>
        <w:t>the</w:t>
      </w:r>
      <w:r>
        <w:rPr>
          <w:rFonts w:ascii="Arial"/>
          <w:i/>
          <w:spacing w:val="-2"/>
          <w:sz w:val="20"/>
        </w:rPr>
        <w:t> </w:t>
      </w:r>
      <w:r>
        <w:rPr>
          <w:rFonts w:ascii="Arial"/>
          <w:i/>
          <w:sz w:val="20"/>
        </w:rPr>
        <w:t>Salmo-Priest</w:t>
      </w:r>
      <w:r>
        <w:rPr>
          <w:rFonts w:ascii="Arial"/>
          <w:i/>
          <w:spacing w:val="-4"/>
          <w:sz w:val="20"/>
        </w:rPr>
        <w:t> </w:t>
      </w:r>
      <w:r>
        <w:rPr>
          <w:rFonts w:ascii="Arial"/>
          <w:i/>
          <w:sz w:val="20"/>
        </w:rPr>
        <w:t>Wilderness,</w:t>
      </w:r>
      <w:r>
        <w:rPr>
          <w:rFonts w:ascii="Arial"/>
          <w:i/>
          <w:spacing w:val="-4"/>
          <w:sz w:val="20"/>
        </w:rPr>
        <w:t> </w:t>
      </w:r>
      <w:r>
        <w:rPr>
          <w:rFonts w:ascii="Arial"/>
          <w:i/>
          <w:sz w:val="20"/>
        </w:rPr>
        <w:t>Sullivan</w:t>
      </w:r>
      <w:r>
        <w:rPr>
          <w:rFonts w:ascii="Arial"/>
          <w:i/>
          <w:spacing w:val="-2"/>
          <w:sz w:val="20"/>
        </w:rPr>
        <w:t> </w:t>
      </w:r>
      <w:r>
        <w:rPr>
          <w:rFonts w:ascii="Arial"/>
          <w:i/>
          <w:sz w:val="20"/>
        </w:rPr>
        <w:t>Lake</w:t>
      </w:r>
      <w:r>
        <w:rPr>
          <w:rFonts w:ascii="Arial"/>
          <w:i/>
          <w:spacing w:val="-4"/>
          <w:sz w:val="20"/>
        </w:rPr>
        <w:t> </w:t>
      </w:r>
      <w:r>
        <w:rPr>
          <w:rFonts w:ascii="Arial"/>
          <w:i/>
          <w:sz w:val="20"/>
        </w:rPr>
        <w:t>Ranger</w:t>
      </w:r>
      <w:r>
        <w:rPr>
          <w:rFonts w:ascii="Arial"/>
          <w:i/>
          <w:spacing w:val="-3"/>
          <w:sz w:val="20"/>
        </w:rPr>
        <w:t> </w:t>
      </w:r>
      <w:r>
        <w:rPr>
          <w:rFonts w:ascii="Arial"/>
          <w:i/>
          <w:sz w:val="20"/>
        </w:rPr>
        <w:t>District</w:t>
      </w:r>
      <w:r>
        <w:rPr>
          <w:rFonts w:ascii="Arial"/>
          <w:i/>
          <w:sz w:val="20"/>
        </w:rPr>
        <w:t> (photo courtesy of Jon Day)</w:t>
      </w:r>
    </w:p>
    <w:p>
      <w:pPr>
        <w:pStyle w:val="BodyText"/>
        <w:spacing w:before="51"/>
        <w:rPr>
          <w:rFonts w:ascii="Arial"/>
          <w:i/>
          <w:sz w:val="20"/>
        </w:rPr>
      </w:pPr>
    </w:p>
    <w:p>
      <w:pPr>
        <w:spacing w:before="0"/>
        <w:ind w:left="360" w:right="1073" w:firstLine="0"/>
        <w:jc w:val="left"/>
        <w:rPr>
          <w:sz w:val="20"/>
        </w:rPr>
      </w:pPr>
      <w:r>
        <w:rPr>
          <w:sz w:val="20"/>
        </w:rPr>
        <w:t>In accordance with Federal civil rights law and U.S. Department of Agriculture (USDA) civil rights regulations and policies, the USDA, its Agencies, offices, and employees, and institutions participating in or administering USDA programs are prohibited from discriminating based on race, color, national origin, religion, sex, gender identity</w:t>
      </w:r>
      <w:r>
        <w:rPr>
          <w:spacing w:val="-4"/>
          <w:sz w:val="20"/>
        </w:rPr>
        <w:t> </w:t>
      </w:r>
      <w:r>
        <w:rPr>
          <w:sz w:val="20"/>
        </w:rPr>
        <w:t>(including</w:t>
      </w:r>
      <w:r>
        <w:rPr>
          <w:spacing w:val="-5"/>
          <w:sz w:val="20"/>
        </w:rPr>
        <w:t> </w:t>
      </w:r>
      <w:r>
        <w:rPr>
          <w:sz w:val="20"/>
        </w:rPr>
        <w:t>gender</w:t>
      </w:r>
      <w:r>
        <w:rPr>
          <w:spacing w:val="-5"/>
          <w:sz w:val="20"/>
        </w:rPr>
        <w:t> </w:t>
      </w:r>
      <w:r>
        <w:rPr>
          <w:sz w:val="20"/>
        </w:rPr>
        <w:t>expression),</w:t>
      </w:r>
      <w:r>
        <w:rPr>
          <w:spacing w:val="-4"/>
          <w:sz w:val="20"/>
        </w:rPr>
        <w:t> </w:t>
      </w:r>
      <w:r>
        <w:rPr>
          <w:sz w:val="20"/>
        </w:rPr>
        <w:t>sexual</w:t>
      </w:r>
      <w:r>
        <w:rPr>
          <w:spacing w:val="-5"/>
          <w:sz w:val="20"/>
        </w:rPr>
        <w:t> </w:t>
      </w:r>
      <w:r>
        <w:rPr>
          <w:sz w:val="20"/>
        </w:rPr>
        <w:t>orientation,</w:t>
      </w:r>
      <w:r>
        <w:rPr>
          <w:spacing w:val="-4"/>
          <w:sz w:val="20"/>
        </w:rPr>
        <w:t> </w:t>
      </w:r>
      <w:r>
        <w:rPr>
          <w:sz w:val="20"/>
        </w:rPr>
        <w:t>disability,</w:t>
      </w:r>
      <w:r>
        <w:rPr>
          <w:spacing w:val="-4"/>
          <w:sz w:val="20"/>
        </w:rPr>
        <w:t> </w:t>
      </w:r>
      <w:r>
        <w:rPr>
          <w:sz w:val="20"/>
        </w:rPr>
        <w:t>age,</w:t>
      </w:r>
      <w:r>
        <w:rPr>
          <w:spacing w:val="-4"/>
          <w:sz w:val="20"/>
        </w:rPr>
        <w:t> </w:t>
      </w:r>
      <w:r>
        <w:rPr>
          <w:sz w:val="20"/>
        </w:rPr>
        <w:t>marital</w:t>
      </w:r>
      <w:r>
        <w:rPr>
          <w:spacing w:val="-5"/>
          <w:sz w:val="20"/>
        </w:rPr>
        <w:t> </w:t>
      </w:r>
      <w:r>
        <w:rPr>
          <w:sz w:val="20"/>
        </w:rPr>
        <w:t>status,</w:t>
      </w:r>
      <w:r>
        <w:rPr>
          <w:spacing w:val="-4"/>
          <w:sz w:val="20"/>
        </w:rPr>
        <w:t> </w:t>
      </w:r>
      <w:r>
        <w:rPr>
          <w:sz w:val="20"/>
        </w:rPr>
        <w:t>family/parental</w:t>
      </w:r>
      <w:r>
        <w:rPr>
          <w:spacing w:val="-5"/>
          <w:sz w:val="20"/>
        </w:rPr>
        <w:t> </w:t>
      </w:r>
      <w:r>
        <w:rPr>
          <w:sz w:val="20"/>
        </w:rPr>
        <w:t>status, income</w:t>
      </w:r>
      <w:r>
        <w:rPr>
          <w:spacing w:val="-1"/>
          <w:sz w:val="20"/>
        </w:rPr>
        <w:t> </w:t>
      </w:r>
      <w:r>
        <w:rPr>
          <w:sz w:val="20"/>
        </w:rPr>
        <w:t>derived from</w:t>
      </w:r>
      <w:r>
        <w:rPr>
          <w:spacing w:val="-1"/>
          <w:sz w:val="20"/>
        </w:rPr>
        <w:t> </w:t>
      </w:r>
      <w:r>
        <w:rPr>
          <w:sz w:val="20"/>
        </w:rPr>
        <w:t>a public assistance</w:t>
      </w:r>
      <w:r>
        <w:rPr>
          <w:spacing w:val="-1"/>
          <w:sz w:val="20"/>
        </w:rPr>
        <w:t> </w:t>
      </w:r>
      <w:r>
        <w:rPr>
          <w:sz w:val="20"/>
        </w:rPr>
        <w:t>program, political beliefs, or reprisal or retaliation for prior civil rights activity, in any program or activity conducted or funded by USDA (not all bases apply to all programs).</w:t>
      </w:r>
    </w:p>
    <w:p>
      <w:pPr>
        <w:spacing w:before="1"/>
        <w:ind w:left="360" w:right="0" w:firstLine="0"/>
        <w:jc w:val="left"/>
        <w:rPr>
          <w:sz w:val="20"/>
        </w:rPr>
      </w:pPr>
      <w:r>
        <w:rPr>
          <w:sz w:val="20"/>
        </w:rPr>
        <w:t>Remedies</w:t>
      </w:r>
      <w:r>
        <w:rPr>
          <w:spacing w:val="-8"/>
          <w:sz w:val="20"/>
        </w:rPr>
        <w:t> </w:t>
      </w:r>
      <w:r>
        <w:rPr>
          <w:sz w:val="20"/>
        </w:rPr>
        <w:t>and</w:t>
      </w:r>
      <w:r>
        <w:rPr>
          <w:spacing w:val="-5"/>
          <w:sz w:val="20"/>
        </w:rPr>
        <w:t> </w:t>
      </w:r>
      <w:r>
        <w:rPr>
          <w:sz w:val="20"/>
        </w:rPr>
        <w:t>complaint</w:t>
      </w:r>
      <w:r>
        <w:rPr>
          <w:spacing w:val="-6"/>
          <w:sz w:val="20"/>
        </w:rPr>
        <w:t> </w:t>
      </w:r>
      <w:r>
        <w:rPr>
          <w:sz w:val="20"/>
        </w:rPr>
        <w:t>filing</w:t>
      </w:r>
      <w:r>
        <w:rPr>
          <w:spacing w:val="-4"/>
          <w:sz w:val="20"/>
        </w:rPr>
        <w:t> </w:t>
      </w:r>
      <w:r>
        <w:rPr>
          <w:sz w:val="20"/>
        </w:rPr>
        <w:t>deadlines</w:t>
      </w:r>
      <w:r>
        <w:rPr>
          <w:spacing w:val="-7"/>
          <w:sz w:val="20"/>
        </w:rPr>
        <w:t> </w:t>
      </w:r>
      <w:r>
        <w:rPr>
          <w:sz w:val="20"/>
        </w:rPr>
        <w:t>vary</w:t>
      </w:r>
      <w:r>
        <w:rPr>
          <w:spacing w:val="-6"/>
          <w:sz w:val="20"/>
        </w:rPr>
        <w:t> </w:t>
      </w:r>
      <w:r>
        <w:rPr>
          <w:sz w:val="20"/>
        </w:rPr>
        <w:t>by</w:t>
      </w:r>
      <w:r>
        <w:rPr>
          <w:spacing w:val="-5"/>
          <w:sz w:val="20"/>
        </w:rPr>
        <w:t> </w:t>
      </w:r>
      <w:r>
        <w:rPr>
          <w:sz w:val="20"/>
        </w:rPr>
        <w:t>program</w:t>
      </w:r>
      <w:r>
        <w:rPr>
          <w:spacing w:val="-7"/>
          <w:sz w:val="20"/>
        </w:rPr>
        <w:t> </w:t>
      </w:r>
      <w:r>
        <w:rPr>
          <w:sz w:val="20"/>
        </w:rPr>
        <w:t>or</w:t>
      </w:r>
      <w:r>
        <w:rPr>
          <w:spacing w:val="-5"/>
          <w:sz w:val="20"/>
        </w:rPr>
        <w:t> </w:t>
      </w:r>
      <w:r>
        <w:rPr>
          <w:spacing w:val="-2"/>
          <w:sz w:val="20"/>
        </w:rPr>
        <w:t>incident.</w:t>
      </w:r>
    </w:p>
    <w:p>
      <w:pPr>
        <w:spacing w:before="119"/>
        <w:ind w:left="359" w:right="1148" w:firstLine="0"/>
        <w:jc w:val="left"/>
        <w:rPr>
          <w:sz w:val="20"/>
        </w:rPr>
      </w:pPr>
      <w:r>
        <w:rPr>
          <w:sz w:val="20"/>
        </w:rPr>
        <w:t>Persons with disabilities who require alternative means of communication for program information (e.g., Braille,</w:t>
      </w:r>
      <w:r>
        <w:rPr>
          <w:spacing w:val="-2"/>
          <w:sz w:val="20"/>
        </w:rPr>
        <w:t> </w:t>
      </w:r>
      <w:r>
        <w:rPr>
          <w:sz w:val="20"/>
        </w:rPr>
        <w:t>large</w:t>
      </w:r>
      <w:r>
        <w:rPr>
          <w:spacing w:val="-4"/>
          <w:sz w:val="20"/>
        </w:rPr>
        <w:t> </w:t>
      </w:r>
      <w:r>
        <w:rPr>
          <w:sz w:val="20"/>
        </w:rPr>
        <w:t>print,</w:t>
      </w:r>
      <w:r>
        <w:rPr>
          <w:spacing w:val="-2"/>
          <w:sz w:val="20"/>
        </w:rPr>
        <w:t> </w:t>
      </w:r>
      <w:r>
        <w:rPr>
          <w:sz w:val="20"/>
        </w:rPr>
        <w:t>audiotape,</w:t>
      </w:r>
      <w:r>
        <w:rPr>
          <w:spacing w:val="-5"/>
          <w:sz w:val="20"/>
        </w:rPr>
        <w:t> </w:t>
      </w:r>
      <w:r>
        <w:rPr>
          <w:sz w:val="20"/>
        </w:rPr>
        <w:t>American</w:t>
      </w:r>
      <w:r>
        <w:rPr>
          <w:spacing w:val="-2"/>
          <w:sz w:val="20"/>
        </w:rPr>
        <w:t> </w:t>
      </w:r>
      <w:r>
        <w:rPr>
          <w:sz w:val="20"/>
        </w:rPr>
        <w:t>Sign</w:t>
      </w:r>
      <w:r>
        <w:rPr>
          <w:spacing w:val="-2"/>
          <w:sz w:val="20"/>
        </w:rPr>
        <w:t> </w:t>
      </w:r>
      <w:r>
        <w:rPr>
          <w:sz w:val="20"/>
        </w:rPr>
        <w:t>Language,</w:t>
      </w:r>
      <w:r>
        <w:rPr>
          <w:spacing w:val="-2"/>
          <w:sz w:val="20"/>
        </w:rPr>
        <w:t> </w:t>
      </w:r>
      <w:r>
        <w:rPr>
          <w:sz w:val="20"/>
        </w:rPr>
        <w:t>etc.)</w:t>
      </w:r>
      <w:r>
        <w:rPr>
          <w:spacing w:val="-3"/>
          <w:sz w:val="20"/>
        </w:rPr>
        <w:t> </w:t>
      </w:r>
      <w:r>
        <w:rPr>
          <w:sz w:val="20"/>
        </w:rPr>
        <w:t>should</w:t>
      </w:r>
      <w:r>
        <w:rPr>
          <w:spacing w:val="-2"/>
          <w:sz w:val="20"/>
        </w:rPr>
        <w:t> </w:t>
      </w:r>
      <w:r>
        <w:rPr>
          <w:sz w:val="20"/>
        </w:rPr>
        <w:t>contact</w:t>
      </w:r>
      <w:r>
        <w:rPr>
          <w:spacing w:val="-3"/>
          <w:sz w:val="20"/>
        </w:rPr>
        <w:t> </w:t>
      </w:r>
      <w:r>
        <w:rPr>
          <w:sz w:val="20"/>
        </w:rPr>
        <w:t>the</w:t>
      </w:r>
      <w:r>
        <w:rPr>
          <w:spacing w:val="-4"/>
          <w:sz w:val="20"/>
        </w:rPr>
        <w:t> </w:t>
      </w:r>
      <w:r>
        <w:rPr>
          <w:sz w:val="20"/>
        </w:rPr>
        <w:t>responsible</w:t>
      </w:r>
      <w:r>
        <w:rPr>
          <w:spacing w:val="-4"/>
          <w:sz w:val="20"/>
        </w:rPr>
        <w:t> </w:t>
      </w:r>
      <w:r>
        <w:rPr>
          <w:sz w:val="20"/>
        </w:rPr>
        <w:t>Agency</w:t>
      </w:r>
      <w:r>
        <w:rPr>
          <w:spacing w:val="-2"/>
          <w:sz w:val="20"/>
        </w:rPr>
        <w:t> </w:t>
      </w:r>
      <w:r>
        <w:rPr>
          <w:sz w:val="20"/>
        </w:rPr>
        <w:t>or</w:t>
      </w:r>
      <w:r>
        <w:rPr>
          <w:spacing w:val="-3"/>
          <w:sz w:val="20"/>
        </w:rPr>
        <w:t> </w:t>
      </w:r>
      <w:r>
        <w:rPr>
          <w:sz w:val="20"/>
        </w:rPr>
        <w:t>USDA’s TARGET Center at (202) 720-2600 (voice and TTY) or contact USDA through the Federal Relay Service at (800) 877-8339. Additionally, program information may be made available in languages other than English.</w:t>
      </w:r>
    </w:p>
    <w:p>
      <w:pPr>
        <w:spacing w:before="120"/>
        <w:ind w:left="359" w:right="1073" w:firstLine="0"/>
        <w:jc w:val="left"/>
        <w:rPr>
          <w:sz w:val="20"/>
        </w:rPr>
      </w:pPr>
      <w:r>
        <w:rPr>
          <w:sz w:val="20"/>
        </w:rPr>
        <w:t>To file a program discrimination complaint, complete the USDA Program Discrimination Complaint Form, AD- 3027,</w:t>
      </w:r>
      <w:r>
        <w:rPr>
          <w:spacing w:val="-3"/>
          <w:sz w:val="20"/>
        </w:rPr>
        <w:t> </w:t>
      </w:r>
      <w:r>
        <w:rPr>
          <w:sz w:val="20"/>
        </w:rPr>
        <w:t>found</w:t>
      </w:r>
      <w:r>
        <w:rPr>
          <w:spacing w:val="-3"/>
          <w:sz w:val="20"/>
        </w:rPr>
        <w:t> </w:t>
      </w:r>
      <w:r>
        <w:rPr>
          <w:sz w:val="20"/>
        </w:rPr>
        <w:t>online</w:t>
      </w:r>
      <w:r>
        <w:rPr>
          <w:spacing w:val="-4"/>
          <w:sz w:val="20"/>
        </w:rPr>
        <w:t> </w:t>
      </w:r>
      <w:r>
        <w:rPr>
          <w:sz w:val="20"/>
        </w:rPr>
        <w:t>at</w:t>
      </w:r>
      <w:r>
        <w:rPr>
          <w:spacing w:val="-4"/>
          <w:sz w:val="20"/>
        </w:rPr>
        <w:t> </w:t>
      </w:r>
      <w:hyperlink r:id="rId9">
        <w:r>
          <w:rPr>
            <w:color w:val="0000FF"/>
            <w:sz w:val="20"/>
            <w:u w:val="single" w:color="0000FF"/>
          </w:rPr>
          <w:t>http://www.ascr.usda.gov/complaint_filing_cust.html</w:t>
        </w:r>
      </w:hyperlink>
      <w:r>
        <w:rPr>
          <w:color w:val="0000FF"/>
          <w:spacing w:val="-4"/>
          <w:sz w:val="20"/>
          <w:u w:val="none"/>
        </w:rPr>
        <w:t> </w:t>
      </w:r>
      <w:r>
        <w:rPr>
          <w:sz w:val="20"/>
          <w:u w:val="none"/>
        </w:rPr>
        <w:t>and</w:t>
      </w:r>
      <w:r>
        <w:rPr>
          <w:spacing w:val="-3"/>
          <w:sz w:val="20"/>
          <w:u w:val="none"/>
        </w:rPr>
        <w:t> </w:t>
      </w:r>
      <w:r>
        <w:rPr>
          <w:sz w:val="20"/>
          <w:u w:val="none"/>
        </w:rPr>
        <w:t>at</w:t>
      </w:r>
      <w:r>
        <w:rPr>
          <w:spacing w:val="-4"/>
          <w:sz w:val="20"/>
          <w:u w:val="none"/>
        </w:rPr>
        <w:t> </w:t>
      </w:r>
      <w:r>
        <w:rPr>
          <w:sz w:val="20"/>
          <w:u w:val="none"/>
        </w:rPr>
        <w:t>any</w:t>
      </w:r>
      <w:r>
        <w:rPr>
          <w:spacing w:val="-4"/>
          <w:sz w:val="20"/>
          <w:u w:val="none"/>
        </w:rPr>
        <w:t> </w:t>
      </w:r>
      <w:r>
        <w:rPr>
          <w:sz w:val="20"/>
          <w:u w:val="none"/>
        </w:rPr>
        <w:t>USDA</w:t>
      </w:r>
      <w:r>
        <w:rPr>
          <w:spacing w:val="-4"/>
          <w:sz w:val="20"/>
          <w:u w:val="none"/>
        </w:rPr>
        <w:t> </w:t>
      </w:r>
      <w:r>
        <w:rPr>
          <w:sz w:val="20"/>
          <w:u w:val="none"/>
        </w:rPr>
        <w:t>office</w:t>
      </w:r>
      <w:r>
        <w:rPr>
          <w:spacing w:val="-4"/>
          <w:sz w:val="20"/>
          <w:u w:val="none"/>
        </w:rPr>
        <w:t> </w:t>
      </w:r>
      <w:r>
        <w:rPr>
          <w:sz w:val="20"/>
          <w:u w:val="none"/>
        </w:rPr>
        <w:t>or</w:t>
      </w:r>
      <w:r>
        <w:rPr>
          <w:spacing w:val="-4"/>
          <w:sz w:val="20"/>
          <w:u w:val="none"/>
        </w:rPr>
        <w:t> </w:t>
      </w:r>
      <w:r>
        <w:rPr>
          <w:sz w:val="20"/>
          <w:u w:val="none"/>
        </w:rPr>
        <w:t>write</w:t>
      </w:r>
      <w:r>
        <w:rPr>
          <w:spacing w:val="-4"/>
          <w:sz w:val="20"/>
          <w:u w:val="none"/>
        </w:rPr>
        <w:t> </w:t>
      </w:r>
      <w:r>
        <w:rPr>
          <w:sz w:val="20"/>
          <w:u w:val="none"/>
        </w:rPr>
        <w:t>a letter addressed to USDA and provide in the letter all of the information requested in the form. To request a copy of the complaint form, call (866) 632-9992. Submit your completed form or letter to USDA by: (1) mail:</w:t>
      </w:r>
    </w:p>
    <w:p>
      <w:pPr>
        <w:spacing w:before="0"/>
        <w:ind w:left="360" w:right="1073" w:firstLine="0"/>
        <w:jc w:val="left"/>
        <w:rPr>
          <w:sz w:val="20"/>
        </w:rPr>
      </w:pPr>
      <w:r>
        <w:rPr>
          <w:sz w:val="20"/>
        </w:rPr>
        <w:t>U.S.</w:t>
      </w:r>
      <w:r>
        <w:rPr>
          <w:spacing w:val="-4"/>
          <w:sz w:val="20"/>
        </w:rPr>
        <w:t> </w:t>
      </w:r>
      <w:r>
        <w:rPr>
          <w:sz w:val="20"/>
        </w:rPr>
        <w:t>Department</w:t>
      </w:r>
      <w:r>
        <w:rPr>
          <w:spacing w:val="-4"/>
          <w:sz w:val="20"/>
        </w:rPr>
        <w:t> </w:t>
      </w:r>
      <w:r>
        <w:rPr>
          <w:sz w:val="20"/>
        </w:rPr>
        <w:t>of</w:t>
      </w:r>
      <w:r>
        <w:rPr>
          <w:spacing w:val="-4"/>
          <w:sz w:val="20"/>
        </w:rPr>
        <w:t> </w:t>
      </w:r>
      <w:r>
        <w:rPr>
          <w:sz w:val="20"/>
        </w:rPr>
        <w:t>Agriculture,</w:t>
      </w:r>
      <w:r>
        <w:rPr>
          <w:spacing w:val="-3"/>
          <w:sz w:val="20"/>
        </w:rPr>
        <w:t> </w:t>
      </w:r>
      <w:r>
        <w:rPr>
          <w:sz w:val="20"/>
        </w:rPr>
        <w:t>Office</w:t>
      </w:r>
      <w:r>
        <w:rPr>
          <w:spacing w:val="-4"/>
          <w:sz w:val="20"/>
        </w:rPr>
        <w:t> </w:t>
      </w:r>
      <w:r>
        <w:rPr>
          <w:sz w:val="20"/>
        </w:rPr>
        <w:t>of</w:t>
      </w:r>
      <w:r>
        <w:rPr>
          <w:spacing w:val="-4"/>
          <w:sz w:val="20"/>
        </w:rPr>
        <w:t> </w:t>
      </w:r>
      <w:r>
        <w:rPr>
          <w:sz w:val="20"/>
        </w:rPr>
        <w:t>the</w:t>
      </w:r>
      <w:r>
        <w:rPr>
          <w:spacing w:val="-4"/>
          <w:sz w:val="20"/>
        </w:rPr>
        <w:t> </w:t>
      </w:r>
      <w:r>
        <w:rPr>
          <w:sz w:val="20"/>
        </w:rPr>
        <w:t>Assistant</w:t>
      </w:r>
      <w:r>
        <w:rPr>
          <w:spacing w:val="-4"/>
          <w:sz w:val="20"/>
        </w:rPr>
        <w:t> </w:t>
      </w:r>
      <w:r>
        <w:rPr>
          <w:sz w:val="20"/>
        </w:rPr>
        <w:t>Secretary</w:t>
      </w:r>
      <w:r>
        <w:rPr>
          <w:spacing w:val="-3"/>
          <w:sz w:val="20"/>
        </w:rPr>
        <w:t> </w:t>
      </w:r>
      <w:r>
        <w:rPr>
          <w:sz w:val="20"/>
        </w:rPr>
        <w:t>for</w:t>
      </w:r>
      <w:r>
        <w:rPr>
          <w:spacing w:val="-4"/>
          <w:sz w:val="20"/>
        </w:rPr>
        <w:t> </w:t>
      </w:r>
      <w:r>
        <w:rPr>
          <w:sz w:val="20"/>
        </w:rPr>
        <w:t>Civil</w:t>
      </w:r>
      <w:r>
        <w:rPr>
          <w:spacing w:val="-4"/>
          <w:sz w:val="20"/>
        </w:rPr>
        <w:t> </w:t>
      </w:r>
      <w:r>
        <w:rPr>
          <w:sz w:val="20"/>
        </w:rPr>
        <w:t>Rights,</w:t>
      </w:r>
      <w:r>
        <w:rPr>
          <w:spacing w:val="-3"/>
          <w:sz w:val="20"/>
        </w:rPr>
        <w:t> </w:t>
      </w:r>
      <w:r>
        <w:rPr>
          <w:sz w:val="20"/>
        </w:rPr>
        <w:t>1400</w:t>
      </w:r>
      <w:r>
        <w:rPr>
          <w:spacing w:val="-4"/>
          <w:sz w:val="20"/>
        </w:rPr>
        <w:t> </w:t>
      </w:r>
      <w:r>
        <w:rPr>
          <w:sz w:val="20"/>
        </w:rPr>
        <w:t>Independence</w:t>
      </w:r>
      <w:r>
        <w:rPr>
          <w:spacing w:val="-4"/>
          <w:sz w:val="20"/>
        </w:rPr>
        <w:t> </w:t>
      </w:r>
      <w:r>
        <w:rPr>
          <w:sz w:val="20"/>
        </w:rPr>
        <w:t>Avenue, SW, Washington, D.C. 20250-9410; (2) fax: (202) 690-7442; or (3) email: </w:t>
      </w:r>
      <w:hyperlink r:id="rId10">
        <w:r>
          <w:rPr>
            <w:sz w:val="20"/>
          </w:rPr>
          <w:t>program.intake@usda.gov.</w:t>
        </w:r>
      </w:hyperlink>
    </w:p>
    <w:p>
      <w:pPr>
        <w:spacing w:before="121"/>
        <w:ind w:left="360" w:right="0" w:firstLine="0"/>
        <w:jc w:val="left"/>
        <w:rPr>
          <w:sz w:val="20"/>
        </w:rPr>
      </w:pPr>
      <w:r>
        <w:rPr>
          <w:sz w:val="20"/>
        </w:rPr>
        <w:t>USDA</w:t>
      </w:r>
      <w:r>
        <w:rPr>
          <w:spacing w:val="-6"/>
          <w:sz w:val="20"/>
        </w:rPr>
        <w:t> </w:t>
      </w:r>
      <w:r>
        <w:rPr>
          <w:sz w:val="20"/>
        </w:rPr>
        <w:t>is</w:t>
      </w:r>
      <w:r>
        <w:rPr>
          <w:spacing w:val="-6"/>
          <w:sz w:val="20"/>
        </w:rPr>
        <w:t> </w:t>
      </w:r>
      <w:r>
        <w:rPr>
          <w:sz w:val="20"/>
        </w:rPr>
        <w:t>an</w:t>
      </w:r>
      <w:r>
        <w:rPr>
          <w:spacing w:val="-5"/>
          <w:sz w:val="20"/>
        </w:rPr>
        <w:t> </w:t>
      </w:r>
      <w:r>
        <w:rPr>
          <w:sz w:val="20"/>
        </w:rPr>
        <w:t>equal</w:t>
      </w:r>
      <w:r>
        <w:rPr>
          <w:spacing w:val="-6"/>
          <w:sz w:val="20"/>
        </w:rPr>
        <w:t> </w:t>
      </w:r>
      <w:r>
        <w:rPr>
          <w:sz w:val="20"/>
        </w:rPr>
        <w:t>opportunity</w:t>
      </w:r>
      <w:r>
        <w:rPr>
          <w:spacing w:val="-6"/>
          <w:sz w:val="20"/>
        </w:rPr>
        <w:t> </w:t>
      </w:r>
      <w:r>
        <w:rPr>
          <w:sz w:val="20"/>
        </w:rPr>
        <w:t>provider,</w:t>
      </w:r>
      <w:r>
        <w:rPr>
          <w:spacing w:val="-5"/>
          <w:sz w:val="20"/>
        </w:rPr>
        <w:t> </w:t>
      </w:r>
      <w:r>
        <w:rPr>
          <w:sz w:val="20"/>
        </w:rPr>
        <w:t>employer</w:t>
      </w:r>
      <w:r>
        <w:rPr>
          <w:spacing w:val="-5"/>
          <w:sz w:val="20"/>
        </w:rPr>
        <w:t> </w:t>
      </w:r>
      <w:r>
        <w:rPr>
          <w:sz w:val="20"/>
        </w:rPr>
        <w:t>and</w:t>
      </w:r>
      <w:r>
        <w:rPr>
          <w:spacing w:val="-5"/>
          <w:sz w:val="20"/>
        </w:rPr>
        <w:t> </w:t>
      </w:r>
      <w:r>
        <w:rPr>
          <w:spacing w:val="-2"/>
          <w:sz w:val="20"/>
        </w:rPr>
        <w:t>lender.</w:t>
      </w:r>
    </w:p>
    <w:p>
      <w:pPr>
        <w:spacing w:after="0"/>
        <w:jc w:val="left"/>
        <w:rPr>
          <w:sz w:val="20"/>
        </w:rPr>
        <w:sectPr>
          <w:pgSz w:w="12240" w:h="15840"/>
          <w:pgMar w:header="0" w:footer="0" w:top="1820" w:bottom="280" w:left="1080" w:right="720"/>
        </w:sectPr>
      </w:pPr>
    </w:p>
    <w:p>
      <w:pPr>
        <w:pStyle w:val="BodyText"/>
        <w:spacing w:line="20" w:lineRule="exact"/>
        <w:ind w:left="691"/>
        <w:rPr>
          <w:sz w:val="2"/>
        </w:rPr>
      </w:pPr>
      <w:r>
        <w:rPr>
          <w:sz w:val="2"/>
        </w:rPr>
        <mc:AlternateContent>
          <mc:Choice Requires="wps">
            <w:drawing>
              <wp:anchor distT="0" distB="0" distL="0" distR="0" allowOverlap="1" layoutInCell="1" locked="0" behindDoc="1" simplePos="0" relativeHeight="474246144">
                <wp:simplePos x="0" y="0"/>
                <wp:positionH relativeFrom="page">
                  <wp:posOffset>1124711</wp:posOffset>
                </wp:positionH>
                <wp:positionV relativeFrom="page">
                  <wp:posOffset>9445752</wp:posOffset>
                </wp:positionV>
                <wp:extent cx="5751830" cy="15557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5751830" cy="155575"/>
                          <a:chExt cx="5751830" cy="155575"/>
                        </a:xfrm>
                      </wpg:grpSpPr>
                      <wps:wsp>
                        <wps:cNvPr id="8" name="Graphic 8"/>
                        <wps:cNvSpPr/>
                        <wps:spPr>
                          <a:xfrm>
                            <a:off x="2859023" y="24383"/>
                            <a:ext cx="32384" cy="131445"/>
                          </a:xfrm>
                          <a:custGeom>
                            <a:avLst/>
                            <a:gdLst/>
                            <a:ahLst/>
                            <a:cxnLst/>
                            <a:rect l="l" t="t" r="r" b="b"/>
                            <a:pathLst>
                              <a:path w="32384" h="131445">
                                <a:moveTo>
                                  <a:pt x="32003" y="0"/>
                                </a:moveTo>
                                <a:lnTo>
                                  <a:pt x="0" y="0"/>
                                </a:lnTo>
                                <a:lnTo>
                                  <a:pt x="0" y="131064"/>
                                </a:lnTo>
                                <a:lnTo>
                                  <a:pt x="32003" y="131064"/>
                                </a:lnTo>
                                <a:lnTo>
                                  <a:pt x="32003" y="0"/>
                                </a:lnTo>
                                <a:close/>
                              </a:path>
                            </a:pathLst>
                          </a:custGeom>
                          <a:solidFill>
                            <a:srgbClr val="E6E6E6"/>
                          </a:solidFill>
                        </wps:spPr>
                        <wps:bodyPr wrap="square" lIns="0" tIns="0" rIns="0" bIns="0" rtlCol="0">
                          <a:prstTxWarp prst="textNoShape">
                            <a:avLst/>
                          </a:prstTxWarp>
                          <a:noAutofit/>
                        </wps:bodyPr>
                      </wps:wsp>
                      <wps:wsp>
                        <wps:cNvPr id="9" name="Graphic 9"/>
                        <wps:cNvSpPr/>
                        <wps:spPr>
                          <a:xfrm>
                            <a:off x="0" y="0"/>
                            <a:ext cx="5751830" cy="12700"/>
                          </a:xfrm>
                          <a:custGeom>
                            <a:avLst/>
                            <a:gdLst/>
                            <a:ahLst/>
                            <a:cxnLst/>
                            <a:rect l="l" t="t" r="r" b="b"/>
                            <a:pathLst>
                              <a:path w="5751830" h="12700">
                                <a:moveTo>
                                  <a:pt x="5751576" y="0"/>
                                </a:moveTo>
                                <a:lnTo>
                                  <a:pt x="0" y="0"/>
                                </a:lnTo>
                                <a:lnTo>
                                  <a:pt x="0" y="12192"/>
                                </a:lnTo>
                                <a:lnTo>
                                  <a:pt x="5751576" y="12192"/>
                                </a:lnTo>
                                <a:lnTo>
                                  <a:pt x="575157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88.559998pt;margin-top:743.76001pt;width:452.9pt;height:12.25pt;mso-position-horizontal-relative:page;mso-position-vertical-relative:page;z-index:-29070336" id="docshapegroup4" coordorigin="1771,14875" coordsize="9058,245">
                <v:rect style="position:absolute;left:6273;top:14913;width:51;height:207" id="docshape5" filled="true" fillcolor="#e6e6e6" stroked="false">
                  <v:fill type="solid"/>
                </v:rect>
                <v:rect style="position:absolute;left:1771;top:14875;width:9058;height:20" id="docshape6" filled="true" fillcolor="#000000" stroked="false">
                  <v:fill type="solid"/>
                </v:rect>
                <w10:wrap type="none"/>
              </v:group>
            </w:pict>
          </mc:Fallback>
        </mc:AlternateContent>
      </w:r>
      <w:r>
        <w:rPr>
          <w:sz w:val="2"/>
        </w:rPr>
        <mc:AlternateContent>
          <mc:Choice Requires="wps">
            <w:drawing>
              <wp:inline distT="0" distB="0" distL="0" distR="0">
                <wp:extent cx="5751830" cy="12700"/>
                <wp:effectExtent l="0" t="0" r="0" b="0"/>
                <wp:docPr id="10" name="Group 10"/>
                <wp:cNvGraphicFramePr>
                  <a:graphicFrameLocks/>
                </wp:cNvGraphicFramePr>
                <a:graphic>
                  <a:graphicData uri="http://schemas.microsoft.com/office/word/2010/wordprocessingGroup">
                    <wpg:wgp>
                      <wpg:cNvPr id="10" name="Group 10"/>
                      <wpg:cNvGrpSpPr/>
                      <wpg:grpSpPr>
                        <a:xfrm>
                          <a:off x="0" y="0"/>
                          <a:ext cx="5751830" cy="12700"/>
                          <a:chExt cx="5751830" cy="12700"/>
                        </a:xfrm>
                      </wpg:grpSpPr>
                      <wps:wsp>
                        <wps:cNvPr id="11" name="Graphic 11"/>
                        <wps:cNvSpPr/>
                        <wps:spPr>
                          <a:xfrm>
                            <a:off x="0" y="0"/>
                            <a:ext cx="5751830" cy="12700"/>
                          </a:xfrm>
                          <a:custGeom>
                            <a:avLst/>
                            <a:gdLst/>
                            <a:ahLst/>
                            <a:cxnLst/>
                            <a:rect l="l" t="t" r="r" b="b"/>
                            <a:pathLst>
                              <a:path w="5751830" h="12700">
                                <a:moveTo>
                                  <a:pt x="5751576" y="0"/>
                                </a:moveTo>
                                <a:lnTo>
                                  <a:pt x="0" y="0"/>
                                </a:lnTo>
                                <a:lnTo>
                                  <a:pt x="0" y="12192"/>
                                </a:lnTo>
                                <a:lnTo>
                                  <a:pt x="5751576" y="12192"/>
                                </a:lnTo>
                                <a:lnTo>
                                  <a:pt x="5751576" y="0"/>
                                </a:lnTo>
                                <a:close/>
                              </a:path>
                            </a:pathLst>
                          </a:custGeom>
                          <a:solidFill>
                            <a:srgbClr val="283014"/>
                          </a:solidFill>
                        </wps:spPr>
                        <wps:bodyPr wrap="square" lIns="0" tIns="0" rIns="0" bIns="0" rtlCol="0">
                          <a:prstTxWarp prst="textNoShape">
                            <a:avLst/>
                          </a:prstTxWarp>
                          <a:noAutofit/>
                        </wps:bodyPr>
                      </wps:wsp>
                    </wpg:wgp>
                  </a:graphicData>
                </a:graphic>
              </wp:inline>
            </w:drawing>
          </mc:Choice>
          <mc:Fallback>
            <w:pict>
              <v:group style="width:452.9pt;height:1pt;mso-position-horizontal-relative:char;mso-position-vertical-relative:line" id="docshapegroup7" coordorigin="0,0" coordsize="9058,20">
                <v:rect style="position:absolute;left:0;top:0;width:9058;height:20" id="docshape8" filled="true" fillcolor="#283014" stroked="false">
                  <v:fill type="solid"/>
                </v:rect>
              </v:group>
            </w:pict>
          </mc:Fallback>
        </mc:AlternateContent>
      </w:r>
      <w:r>
        <w:rPr>
          <w:sz w:val="2"/>
        </w:rPr>
      </w:r>
    </w:p>
    <w:p>
      <w:pPr>
        <w:pStyle w:val="BodyText"/>
        <w:rPr>
          <w:sz w:val="36"/>
        </w:rPr>
      </w:pPr>
    </w:p>
    <w:p>
      <w:pPr>
        <w:pStyle w:val="BodyText"/>
        <w:spacing w:before="93"/>
        <w:rPr>
          <w:sz w:val="36"/>
        </w:rPr>
      </w:pPr>
    </w:p>
    <w:p>
      <w:pPr>
        <w:spacing w:line="309" w:lineRule="auto" w:before="0"/>
        <w:ind w:left="3208" w:right="3208" w:hanging="2"/>
        <w:jc w:val="center"/>
        <w:rPr>
          <w:rFonts w:ascii="Arial"/>
          <w:b/>
          <w:sz w:val="36"/>
        </w:rPr>
      </w:pPr>
      <w:r>
        <w:rPr>
          <w:rFonts w:ascii="Arial"/>
          <w:b/>
          <w:sz w:val="36"/>
        </w:rPr>
        <w:t>Colville</w:t>
      </w:r>
      <w:r>
        <w:rPr>
          <w:rFonts w:ascii="Arial"/>
          <w:b/>
          <w:spacing w:val="-9"/>
          <w:sz w:val="36"/>
        </w:rPr>
        <w:t> </w:t>
      </w:r>
      <w:r>
        <w:rPr>
          <w:rFonts w:ascii="Arial"/>
          <w:b/>
          <w:sz w:val="36"/>
        </w:rPr>
        <w:t>National</w:t>
      </w:r>
      <w:r>
        <w:rPr>
          <w:rFonts w:ascii="Arial"/>
          <w:b/>
          <w:spacing w:val="-7"/>
          <w:sz w:val="36"/>
        </w:rPr>
        <w:t> </w:t>
      </w:r>
      <w:r>
        <w:rPr>
          <w:rFonts w:ascii="Arial"/>
          <w:b/>
          <w:sz w:val="36"/>
        </w:rPr>
        <w:t>Forest Land</w:t>
      </w:r>
      <w:r>
        <w:rPr>
          <w:rFonts w:ascii="Arial"/>
          <w:b/>
          <w:spacing w:val="-5"/>
          <w:sz w:val="36"/>
        </w:rPr>
        <w:t> </w:t>
      </w:r>
      <w:r>
        <w:rPr>
          <w:rFonts w:ascii="Arial"/>
          <w:b/>
          <w:sz w:val="36"/>
        </w:rPr>
        <w:t>Management</w:t>
      </w:r>
      <w:r>
        <w:rPr>
          <w:rFonts w:ascii="Arial"/>
          <w:b/>
          <w:spacing w:val="-5"/>
          <w:sz w:val="36"/>
        </w:rPr>
        <w:t> </w:t>
      </w:r>
      <w:r>
        <w:rPr>
          <w:rFonts w:ascii="Arial"/>
          <w:b/>
          <w:spacing w:val="-4"/>
          <w:sz w:val="36"/>
        </w:rPr>
        <w:t>Plan</w:t>
      </w:r>
    </w:p>
    <w:p>
      <w:pPr>
        <w:pStyle w:val="BodyText"/>
        <w:spacing w:before="119"/>
        <w:rPr>
          <w:rFonts w:ascii="Arial"/>
          <w:b/>
          <w:sz w:val="36"/>
        </w:rPr>
      </w:pPr>
    </w:p>
    <w:p>
      <w:pPr>
        <w:spacing w:before="0"/>
        <w:ind w:left="370" w:right="370" w:firstLine="0"/>
        <w:jc w:val="center"/>
        <w:rPr>
          <w:rFonts w:ascii="Arial"/>
          <w:b/>
          <w:sz w:val="28"/>
        </w:rPr>
      </w:pPr>
      <w:r>
        <w:rPr>
          <w:rFonts w:ascii="Arial"/>
          <w:b/>
          <w:sz w:val="28"/>
        </w:rPr>
        <w:t>Stevens,</w:t>
      </w:r>
      <w:r>
        <w:rPr>
          <w:rFonts w:ascii="Arial"/>
          <w:b/>
          <w:spacing w:val="-7"/>
          <w:sz w:val="28"/>
        </w:rPr>
        <w:t> </w:t>
      </w:r>
      <w:r>
        <w:rPr>
          <w:rFonts w:ascii="Arial"/>
          <w:b/>
          <w:sz w:val="28"/>
        </w:rPr>
        <w:t>Ferry,</w:t>
      </w:r>
      <w:r>
        <w:rPr>
          <w:rFonts w:ascii="Arial"/>
          <w:b/>
          <w:spacing w:val="-6"/>
          <w:sz w:val="28"/>
        </w:rPr>
        <w:t> </w:t>
      </w:r>
      <w:r>
        <w:rPr>
          <w:rFonts w:ascii="Arial"/>
          <w:b/>
          <w:sz w:val="28"/>
        </w:rPr>
        <w:t>and</w:t>
      </w:r>
      <w:r>
        <w:rPr>
          <w:rFonts w:ascii="Arial"/>
          <w:b/>
          <w:spacing w:val="-6"/>
          <w:sz w:val="28"/>
        </w:rPr>
        <w:t> </w:t>
      </w:r>
      <w:r>
        <w:rPr>
          <w:rFonts w:ascii="Arial"/>
          <w:b/>
          <w:sz w:val="28"/>
        </w:rPr>
        <w:t>Pend</w:t>
      </w:r>
      <w:r>
        <w:rPr>
          <w:rFonts w:ascii="Arial"/>
          <w:b/>
          <w:spacing w:val="-7"/>
          <w:sz w:val="28"/>
        </w:rPr>
        <w:t> </w:t>
      </w:r>
      <w:r>
        <w:rPr>
          <w:rFonts w:ascii="Arial"/>
          <w:b/>
          <w:sz w:val="28"/>
        </w:rPr>
        <w:t>Oreille</w:t>
      </w:r>
      <w:r>
        <w:rPr>
          <w:rFonts w:ascii="Arial"/>
          <w:b/>
          <w:spacing w:val="-9"/>
          <w:sz w:val="28"/>
        </w:rPr>
        <w:t> </w:t>
      </w:r>
      <w:r>
        <w:rPr>
          <w:rFonts w:ascii="Arial"/>
          <w:b/>
          <w:sz w:val="28"/>
        </w:rPr>
        <w:t>Counties</w:t>
      </w:r>
      <w:r>
        <w:rPr>
          <w:rFonts w:ascii="Arial"/>
          <w:b/>
          <w:spacing w:val="-6"/>
          <w:sz w:val="28"/>
        </w:rPr>
        <w:t> </w:t>
      </w:r>
      <w:r>
        <w:rPr>
          <w:rFonts w:ascii="Arial"/>
          <w:b/>
          <w:sz w:val="28"/>
        </w:rPr>
        <w:t>of</w:t>
      </w:r>
      <w:r>
        <w:rPr>
          <w:rFonts w:ascii="Arial"/>
          <w:b/>
          <w:spacing w:val="-6"/>
          <w:sz w:val="28"/>
        </w:rPr>
        <w:t> </w:t>
      </w:r>
      <w:r>
        <w:rPr>
          <w:rFonts w:ascii="Arial"/>
          <w:b/>
          <w:sz w:val="28"/>
        </w:rPr>
        <w:t>Washington</w:t>
      </w:r>
      <w:r>
        <w:rPr>
          <w:rFonts w:ascii="Arial"/>
          <w:b/>
          <w:spacing w:val="-6"/>
          <w:sz w:val="28"/>
        </w:rPr>
        <w:t> </w:t>
      </w:r>
      <w:r>
        <w:rPr>
          <w:rFonts w:ascii="Arial"/>
          <w:b/>
          <w:spacing w:val="-2"/>
          <w:sz w:val="28"/>
        </w:rPr>
        <w:t>State</w:t>
      </w:r>
    </w:p>
    <w:p>
      <w:pPr>
        <w:pStyle w:val="BodyText"/>
        <w:rPr>
          <w:rFonts w:ascii="Arial"/>
          <w:b/>
          <w:sz w:val="28"/>
        </w:rPr>
      </w:pPr>
    </w:p>
    <w:p>
      <w:pPr>
        <w:pStyle w:val="BodyText"/>
        <w:spacing w:before="199"/>
        <w:rPr>
          <w:rFonts w:ascii="Arial"/>
          <w:b/>
          <w:sz w:val="28"/>
        </w:rPr>
      </w:pPr>
    </w:p>
    <w:p>
      <w:pPr>
        <w:pStyle w:val="BodyText"/>
        <w:tabs>
          <w:tab w:pos="5759" w:val="left" w:leader="none"/>
        </w:tabs>
        <w:spacing w:before="1"/>
        <w:ind w:left="5759" w:right="2220" w:hanging="3600"/>
        <w:rPr>
          <w:rFonts w:ascii="Arial"/>
        </w:rPr>
      </w:pPr>
      <w:r>
        <w:rPr>
          <w:rFonts w:ascii="Arial"/>
          <w:b/>
        </w:rPr>
        <w:t>Responsible Official:</w:t>
        <w:tab/>
      </w:r>
      <w:r>
        <w:rPr>
          <w:rFonts w:ascii="Arial"/>
        </w:rPr>
        <w:t>Glen Casamassa Regional Forester</w:t>
      </w:r>
      <w:r>
        <w:rPr>
          <w:rFonts w:ascii="Arial"/>
          <w:spacing w:val="80"/>
        </w:rPr>
        <w:t> </w:t>
      </w:r>
      <w:r>
        <w:rPr>
          <w:rFonts w:ascii="Arial"/>
        </w:rPr>
        <w:t>Pacific</w:t>
      </w:r>
      <w:r>
        <w:rPr>
          <w:rFonts w:ascii="Arial"/>
          <w:spacing w:val="-16"/>
        </w:rPr>
        <w:t> </w:t>
      </w:r>
      <w:r>
        <w:rPr>
          <w:rFonts w:ascii="Arial"/>
        </w:rPr>
        <w:t>Northwest</w:t>
      </w:r>
      <w:r>
        <w:rPr>
          <w:rFonts w:ascii="Arial"/>
          <w:spacing w:val="-15"/>
        </w:rPr>
        <w:t> </w:t>
      </w:r>
      <w:r>
        <w:rPr>
          <w:rFonts w:ascii="Arial"/>
        </w:rPr>
        <w:t>Region 1220 SW 3rd Avenue Portland, Oregon 97208</w:t>
      </w:r>
    </w:p>
    <w:p>
      <w:pPr>
        <w:pStyle w:val="BodyText"/>
        <w:spacing w:before="226"/>
        <w:rPr>
          <w:rFonts w:ascii="Arial"/>
        </w:rPr>
      </w:pPr>
    </w:p>
    <w:p>
      <w:pPr>
        <w:tabs>
          <w:tab w:pos="5759" w:val="left" w:leader="none"/>
        </w:tabs>
        <w:spacing w:line="252" w:lineRule="exact" w:before="0"/>
        <w:ind w:left="2159" w:right="0" w:firstLine="0"/>
        <w:jc w:val="left"/>
        <w:rPr>
          <w:rFonts w:ascii="Arial"/>
          <w:sz w:val="22"/>
        </w:rPr>
      </w:pPr>
      <w:r>
        <w:rPr>
          <w:rFonts w:ascii="Arial"/>
          <w:b/>
          <w:sz w:val="22"/>
        </w:rPr>
        <w:t>For</w:t>
      </w:r>
      <w:r>
        <w:rPr>
          <w:rFonts w:ascii="Arial"/>
          <w:b/>
          <w:spacing w:val="-3"/>
          <w:sz w:val="22"/>
        </w:rPr>
        <w:t> </w:t>
      </w:r>
      <w:r>
        <w:rPr>
          <w:rFonts w:ascii="Arial"/>
          <w:b/>
          <w:sz w:val="22"/>
        </w:rPr>
        <w:t>more</w:t>
      </w:r>
      <w:r>
        <w:rPr>
          <w:rFonts w:ascii="Arial"/>
          <w:b/>
          <w:spacing w:val="-6"/>
          <w:sz w:val="22"/>
        </w:rPr>
        <w:t> </w:t>
      </w:r>
      <w:r>
        <w:rPr>
          <w:rFonts w:ascii="Arial"/>
          <w:b/>
          <w:sz w:val="22"/>
        </w:rPr>
        <w:t>Information</w:t>
      </w:r>
      <w:r>
        <w:rPr>
          <w:rFonts w:ascii="Arial"/>
          <w:b/>
          <w:spacing w:val="-5"/>
          <w:sz w:val="22"/>
        </w:rPr>
        <w:t> </w:t>
      </w:r>
      <w:r>
        <w:rPr>
          <w:rFonts w:ascii="Arial"/>
          <w:b/>
          <w:spacing w:val="-2"/>
          <w:sz w:val="22"/>
        </w:rPr>
        <w:t>Contact</w:t>
      </w:r>
      <w:r>
        <w:rPr>
          <w:rFonts w:ascii="Arial"/>
          <w:spacing w:val="-2"/>
          <w:sz w:val="22"/>
        </w:rPr>
        <w:t>:</w:t>
      </w:r>
      <w:r>
        <w:rPr>
          <w:rFonts w:ascii="Arial"/>
          <w:sz w:val="22"/>
        </w:rPr>
        <w:tab/>
        <w:t>Rodney</w:t>
      </w:r>
      <w:r>
        <w:rPr>
          <w:rFonts w:ascii="Arial"/>
          <w:spacing w:val="-8"/>
          <w:sz w:val="22"/>
        </w:rPr>
        <w:t> </w:t>
      </w:r>
      <w:r>
        <w:rPr>
          <w:rFonts w:ascii="Arial"/>
          <w:spacing w:val="-2"/>
          <w:sz w:val="22"/>
        </w:rPr>
        <w:t>Smoldon</w:t>
      </w:r>
    </w:p>
    <w:p>
      <w:pPr>
        <w:pStyle w:val="BodyText"/>
        <w:ind w:left="5759" w:right="2255"/>
        <w:rPr>
          <w:rFonts w:ascii="Arial"/>
        </w:rPr>
      </w:pPr>
      <w:r>
        <w:rPr>
          <w:rFonts w:ascii="Arial"/>
        </w:rPr>
        <w:t>Forest Supervisor Colville</w:t>
      </w:r>
      <w:r>
        <w:rPr>
          <w:rFonts w:ascii="Arial"/>
          <w:spacing w:val="-16"/>
        </w:rPr>
        <w:t> </w:t>
      </w:r>
      <w:r>
        <w:rPr>
          <w:rFonts w:ascii="Arial"/>
        </w:rPr>
        <w:t>National</w:t>
      </w:r>
      <w:r>
        <w:rPr>
          <w:rFonts w:ascii="Arial"/>
          <w:spacing w:val="-15"/>
        </w:rPr>
        <w:t> </w:t>
      </w:r>
      <w:r>
        <w:rPr>
          <w:rFonts w:ascii="Arial"/>
        </w:rPr>
        <w:t>Forest 765 South Main</w:t>
      </w:r>
    </w:p>
    <w:p>
      <w:pPr>
        <w:pStyle w:val="BodyText"/>
        <w:spacing w:line="252" w:lineRule="exact"/>
        <w:ind w:left="5759"/>
        <w:rPr>
          <w:rFonts w:ascii="Arial"/>
        </w:rPr>
      </w:pPr>
      <w:r>
        <w:rPr>
          <w:rFonts w:ascii="Arial"/>
        </w:rPr>
        <w:t>Colville,</w:t>
      </w:r>
      <w:r>
        <w:rPr>
          <w:rFonts w:ascii="Arial"/>
          <w:spacing w:val="-8"/>
        </w:rPr>
        <w:t> </w:t>
      </w:r>
      <w:r>
        <w:rPr>
          <w:rFonts w:ascii="Arial"/>
        </w:rPr>
        <w:t>Washington</w:t>
      </w:r>
      <w:r>
        <w:rPr>
          <w:rFonts w:ascii="Arial"/>
          <w:spacing w:val="-7"/>
        </w:rPr>
        <w:t> </w:t>
      </w:r>
      <w:r>
        <w:rPr>
          <w:rFonts w:ascii="Arial"/>
          <w:spacing w:val="-2"/>
        </w:rPr>
        <w:t>99114</w:t>
      </w:r>
    </w:p>
    <w:p>
      <w:pPr>
        <w:pStyle w:val="BodyText"/>
        <w:spacing w:after="0" w:line="252" w:lineRule="exact"/>
        <w:rPr>
          <w:rFonts w:ascii="Arial"/>
        </w:rPr>
        <w:sectPr>
          <w:headerReference w:type="default" r:id="rId11"/>
          <w:footerReference w:type="default" r:id="rId12"/>
          <w:pgSz w:w="12240" w:h="15840"/>
          <w:pgMar w:header="725" w:footer="721" w:top="920" w:bottom="920" w:left="1080" w:right="720"/>
          <w:pgNumType w:start="1"/>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53"/>
        <w:rPr>
          <w:rFonts w:ascii="Arial"/>
        </w:rPr>
      </w:pPr>
    </w:p>
    <w:p>
      <w:pPr>
        <w:pStyle w:val="BodyText"/>
        <w:ind w:left="3410"/>
      </w:pPr>
      <w:r>
        <w:rPr/>
        <w:t>This</w:t>
      </w:r>
      <w:r>
        <w:rPr>
          <w:spacing w:val="-8"/>
        </w:rPr>
        <w:t> </w:t>
      </w:r>
      <w:r>
        <w:rPr/>
        <w:t>page</w:t>
      </w:r>
      <w:r>
        <w:rPr>
          <w:spacing w:val="-7"/>
        </w:rPr>
        <w:t> </w:t>
      </w:r>
      <w:r>
        <w:rPr/>
        <w:t>intentionally</w:t>
      </w:r>
      <w:r>
        <w:rPr>
          <w:spacing w:val="-7"/>
        </w:rPr>
        <w:t> </w:t>
      </w:r>
      <w:r>
        <w:rPr/>
        <w:t>left</w:t>
      </w:r>
      <w:r>
        <w:rPr>
          <w:spacing w:val="-9"/>
        </w:rPr>
        <w:t> </w:t>
      </w:r>
      <w:r>
        <w:rPr>
          <w:spacing w:val="-2"/>
        </w:rPr>
        <w:t>blank</w:t>
      </w:r>
    </w:p>
    <w:p>
      <w:pPr>
        <w:pStyle w:val="BodyText"/>
        <w:spacing w:after="0"/>
        <w:sectPr>
          <w:headerReference w:type="even" r:id="rId13"/>
          <w:footerReference w:type="even" r:id="rId14"/>
          <w:pgSz w:w="12240" w:h="15840"/>
          <w:pgMar w:header="0" w:footer="0" w:top="1820" w:bottom="280" w:left="1080" w:right="720"/>
        </w:sectPr>
      </w:pPr>
    </w:p>
    <w:p>
      <w:pPr>
        <w:pStyle w:val="BodyText"/>
        <w:spacing w:before="84"/>
        <w:rPr>
          <w:sz w:val="32"/>
        </w:rPr>
      </w:pPr>
    </w:p>
    <w:p>
      <w:pPr>
        <w:spacing w:before="0"/>
        <w:ind w:left="370" w:right="15" w:firstLine="0"/>
        <w:jc w:val="center"/>
        <w:rPr>
          <w:rFonts w:ascii="Arial"/>
          <w:sz w:val="32"/>
        </w:rPr>
      </w:pPr>
      <w:r>
        <w:rPr>
          <w:rFonts w:ascii="Arial"/>
          <w:spacing w:val="-2"/>
          <w:sz w:val="32"/>
        </w:rPr>
        <w:t>Contents</w:t>
      </w:r>
    </w:p>
    <w:p>
      <w:pPr>
        <w:pStyle w:val="BodyText"/>
        <w:tabs>
          <w:tab w:pos="9710" w:val="right" w:leader="dot"/>
        </w:tabs>
        <w:spacing w:before="239"/>
        <w:ind w:left="1080"/>
      </w:pPr>
      <w:hyperlink w:history="true" w:anchor="_bookmark0">
        <w:r>
          <w:rPr>
            <w:spacing w:val="-2"/>
          </w:rPr>
          <w:t>A</w:t>
        </w:r>
      </w:hyperlink>
      <w:hyperlink w:history="true" w:anchor="_bookmark0">
        <w:r>
          <w:rPr>
            <w:spacing w:val="-2"/>
          </w:rPr>
          <w:t>cronyms</w:t>
        </w:r>
        <w:r>
          <w:rPr/>
          <w:tab/>
        </w:r>
        <w:r>
          <w:rPr>
            <w:spacing w:val="-10"/>
          </w:rPr>
          <w:t>x</w:t>
        </w:r>
      </w:hyperlink>
    </w:p>
    <w:p>
      <w:pPr>
        <w:pStyle w:val="BodyText"/>
        <w:tabs>
          <w:tab w:pos="9712" w:val="right" w:leader="dot"/>
        </w:tabs>
        <w:ind w:left="1080"/>
      </w:pPr>
      <w:hyperlink w:history="true" w:anchor="_bookmark1">
        <w:r>
          <w:rPr/>
          <w:t>C</w:t>
        </w:r>
      </w:hyperlink>
      <w:hyperlink w:history="true" w:anchor="_bookmark1">
        <w:r>
          <w:rPr/>
          <w:t>hapter</w:t>
        </w:r>
        <w:r>
          <w:rPr>
            <w:spacing w:val="-4"/>
          </w:rPr>
          <w:t> </w:t>
        </w:r>
        <w:r>
          <w:rPr>
            <w:spacing w:val="-10"/>
          </w:rPr>
          <w:t>1</w:t>
        </w:r>
        <w:r>
          <w:rPr/>
          <w:tab/>
        </w:r>
        <w:r>
          <w:rPr>
            <w:spacing w:val="-10"/>
          </w:rPr>
          <w:t>1</w:t>
        </w:r>
      </w:hyperlink>
    </w:p>
    <w:p>
      <w:pPr>
        <w:pStyle w:val="BodyText"/>
        <w:tabs>
          <w:tab w:pos="9712" w:val="right" w:leader="dot"/>
        </w:tabs>
        <w:ind w:left="1320"/>
      </w:pPr>
      <w:hyperlink w:history="true" w:anchor="_bookmark2">
        <w:r>
          <w:rPr>
            <w:spacing w:val="-2"/>
          </w:rPr>
          <w:t>I</w:t>
        </w:r>
      </w:hyperlink>
      <w:hyperlink w:history="true" w:anchor="_bookmark2">
        <w:r>
          <w:rPr>
            <w:spacing w:val="-2"/>
          </w:rPr>
          <w:t>ntroduction</w:t>
        </w:r>
        <w:r>
          <w:rPr/>
          <w:tab/>
        </w:r>
        <w:r>
          <w:rPr>
            <w:spacing w:val="-10"/>
          </w:rPr>
          <w:t>1</w:t>
        </w:r>
      </w:hyperlink>
    </w:p>
    <w:p>
      <w:pPr>
        <w:pStyle w:val="BodyText"/>
        <w:tabs>
          <w:tab w:pos="9712" w:val="right" w:leader="dot"/>
        </w:tabs>
        <w:ind w:left="1320"/>
      </w:pPr>
      <w:hyperlink w:history="true" w:anchor="_bookmark5">
        <w:r>
          <w:rPr/>
          <w:t>M</w:t>
        </w:r>
      </w:hyperlink>
      <w:hyperlink w:history="true" w:anchor="_bookmark5">
        <w:r>
          <w:rPr/>
          <w:t>anagement</w:t>
        </w:r>
        <w:r>
          <w:rPr>
            <w:spacing w:val="-8"/>
          </w:rPr>
          <w:t> </w:t>
        </w:r>
        <w:r>
          <w:rPr>
            <w:spacing w:val="-2"/>
          </w:rPr>
          <w:t>Challenges</w:t>
        </w:r>
        <w:r>
          <w:rPr/>
          <w:tab/>
        </w:r>
        <w:r>
          <w:rPr>
            <w:spacing w:val="-10"/>
          </w:rPr>
          <w:t>3</w:t>
        </w:r>
      </w:hyperlink>
    </w:p>
    <w:p>
      <w:pPr>
        <w:pStyle w:val="BodyText"/>
        <w:tabs>
          <w:tab w:pos="9712" w:val="right" w:leader="dot"/>
        </w:tabs>
        <w:ind w:left="1519"/>
      </w:pPr>
      <w:hyperlink w:history="true" w:anchor="_bookmark6">
        <w:r>
          <w:rPr/>
          <w:t>C</w:t>
        </w:r>
      </w:hyperlink>
      <w:hyperlink w:history="true" w:anchor="_bookmark6">
        <w:r>
          <w:rPr/>
          <w:t>limate</w:t>
        </w:r>
        <w:r>
          <w:rPr>
            <w:spacing w:val="-4"/>
          </w:rPr>
          <w:t> </w:t>
        </w:r>
        <w:r>
          <w:rPr>
            <w:spacing w:val="-2"/>
          </w:rPr>
          <w:t>Change</w:t>
        </w:r>
        <w:r>
          <w:rPr/>
          <w:tab/>
        </w:r>
        <w:r>
          <w:rPr>
            <w:spacing w:val="-10"/>
          </w:rPr>
          <w:t>3</w:t>
        </w:r>
      </w:hyperlink>
    </w:p>
    <w:p>
      <w:pPr>
        <w:pStyle w:val="BodyText"/>
        <w:tabs>
          <w:tab w:pos="9712" w:val="right" w:leader="dot"/>
        </w:tabs>
        <w:spacing w:before="1"/>
        <w:ind w:left="1519"/>
      </w:pPr>
      <w:hyperlink w:history="true" w:anchor="_bookmark7">
        <w:r>
          <w:rPr/>
          <w:t>E</w:t>
        </w:r>
      </w:hyperlink>
      <w:hyperlink w:history="true" w:anchor="_bookmark7">
        <w:r>
          <w:rPr/>
          <w:t>cosystem</w:t>
        </w:r>
        <w:r>
          <w:rPr>
            <w:spacing w:val="-7"/>
          </w:rPr>
          <w:t> </w:t>
        </w:r>
        <w:r>
          <w:rPr>
            <w:spacing w:val="-2"/>
          </w:rPr>
          <w:t>Sustainability</w:t>
        </w:r>
        <w:r>
          <w:rPr/>
          <w:tab/>
        </w:r>
        <w:r>
          <w:rPr>
            <w:spacing w:val="-10"/>
          </w:rPr>
          <w:t>4</w:t>
        </w:r>
      </w:hyperlink>
    </w:p>
    <w:p>
      <w:pPr>
        <w:pStyle w:val="BodyText"/>
        <w:tabs>
          <w:tab w:pos="9712" w:val="right" w:leader="dot"/>
        </w:tabs>
        <w:ind w:left="1519"/>
      </w:pPr>
      <w:hyperlink w:history="true" w:anchor="_bookmark8">
        <w:r>
          <w:rPr/>
          <w:t>I</w:t>
        </w:r>
      </w:hyperlink>
      <w:hyperlink w:history="true" w:anchor="_bookmark8">
        <w:r>
          <w:rPr/>
          <w:t>nsects</w:t>
        </w:r>
        <w:r>
          <w:rPr>
            <w:spacing w:val="-3"/>
          </w:rPr>
          <w:t> </w:t>
        </w:r>
        <w:r>
          <w:rPr/>
          <w:t>and</w:t>
        </w:r>
        <w:r>
          <w:rPr>
            <w:spacing w:val="-4"/>
          </w:rPr>
          <w:t> </w:t>
        </w:r>
        <w:r>
          <w:rPr>
            <w:spacing w:val="-2"/>
          </w:rPr>
          <w:t>Pathogens</w:t>
        </w:r>
        <w:r>
          <w:rPr/>
          <w:tab/>
        </w:r>
        <w:r>
          <w:rPr>
            <w:spacing w:val="-10"/>
          </w:rPr>
          <w:t>4</w:t>
        </w:r>
      </w:hyperlink>
    </w:p>
    <w:p>
      <w:pPr>
        <w:pStyle w:val="BodyText"/>
        <w:tabs>
          <w:tab w:pos="9712" w:val="right" w:leader="dot"/>
        </w:tabs>
        <w:spacing w:line="268" w:lineRule="exact"/>
        <w:ind w:left="1519"/>
      </w:pPr>
      <w:hyperlink w:history="true" w:anchor="_bookmark9">
        <w:r>
          <w:rPr/>
          <w:t>I</w:t>
        </w:r>
      </w:hyperlink>
      <w:hyperlink w:history="true" w:anchor="_bookmark9">
        <w:r>
          <w:rPr/>
          <w:t>nvasive</w:t>
        </w:r>
        <w:r>
          <w:rPr>
            <w:spacing w:val="-4"/>
          </w:rPr>
          <w:t> </w:t>
        </w:r>
        <w:r>
          <w:rPr>
            <w:spacing w:val="-2"/>
          </w:rPr>
          <w:t>Species</w:t>
        </w:r>
        <w:r>
          <w:rPr/>
          <w:tab/>
        </w:r>
        <w:r>
          <w:rPr>
            <w:spacing w:val="-10"/>
          </w:rPr>
          <w:t>5</w:t>
        </w:r>
      </w:hyperlink>
    </w:p>
    <w:p>
      <w:pPr>
        <w:pStyle w:val="BodyText"/>
        <w:tabs>
          <w:tab w:pos="9712" w:val="right" w:leader="dot"/>
        </w:tabs>
        <w:spacing w:line="268" w:lineRule="exact"/>
        <w:ind w:left="1519"/>
      </w:pPr>
      <w:hyperlink w:history="true" w:anchor="_bookmark10">
        <w:r>
          <w:rPr/>
          <w:t>F</w:t>
        </w:r>
      </w:hyperlink>
      <w:hyperlink w:history="true" w:anchor="_bookmark10">
        <w:r>
          <w:rPr/>
          <w:t>ire</w:t>
        </w:r>
        <w:r>
          <w:rPr>
            <w:spacing w:val="-2"/>
          </w:rPr>
          <w:t> Management</w:t>
        </w:r>
        <w:r>
          <w:rPr/>
          <w:tab/>
        </w:r>
        <w:r>
          <w:rPr>
            <w:spacing w:val="-10"/>
          </w:rPr>
          <w:t>5</w:t>
        </w:r>
      </w:hyperlink>
    </w:p>
    <w:p>
      <w:pPr>
        <w:pStyle w:val="BodyText"/>
        <w:tabs>
          <w:tab w:pos="9712" w:val="right" w:leader="dot"/>
        </w:tabs>
        <w:ind w:left="1519"/>
      </w:pPr>
      <w:hyperlink w:history="true" w:anchor="_bookmark13">
        <w:r>
          <w:rPr>
            <w:spacing w:val="-2"/>
          </w:rPr>
          <w:t>W</w:t>
        </w:r>
      </w:hyperlink>
      <w:hyperlink w:history="true" w:anchor="_bookmark13">
        <w:r>
          <w:rPr>
            <w:spacing w:val="-2"/>
          </w:rPr>
          <w:t>ildland-urban</w:t>
        </w:r>
        <w:r>
          <w:rPr>
            <w:spacing w:val="15"/>
          </w:rPr>
          <w:t> </w:t>
        </w:r>
        <w:r>
          <w:rPr>
            <w:spacing w:val="-2"/>
          </w:rPr>
          <w:t>Interface</w:t>
        </w:r>
        <w:r>
          <w:rPr/>
          <w:tab/>
        </w:r>
        <w:r>
          <w:rPr>
            <w:spacing w:val="-10"/>
          </w:rPr>
          <w:t>6</w:t>
        </w:r>
      </w:hyperlink>
    </w:p>
    <w:p>
      <w:pPr>
        <w:pStyle w:val="BodyText"/>
        <w:tabs>
          <w:tab w:pos="9712" w:val="right" w:leader="dot"/>
        </w:tabs>
        <w:ind w:left="1520"/>
      </w:pPr>
      <w:hyperlink w:history="true" w:anchor="_bookmark14">
        <w:r>
          <w:rPr>
            <w:spacing w:val="-2"/>
          </w:rPr>
          <w:t>R</w:t>
        </w:r>
      </w:hyperlink>
      <w:hyperlink w:history="true" w:anchor="_bookmark14">
        <w:r>
          <w:rPr>
            <w:spacing w:val="-2"/>
          </w:rPr>
          <w:t>ecreation</w:t>
        </w:r>
        <w:r>
          <w:rPr/>
          <w:tab/>
        </w:r>
        <w:r>
          <w:rPr>
            <w:spacing w:val="-10"/>
          </w:rPr>
          <w:t>6</w:t>
        </w:r>
      </w:hyperlink>
    </w:p>
    <w:p>
      <w:pPr>
        <w:pStyle w:val="BodyText"/>
        <w:tabs>
          <w:tab w:pos="9712" w:val="right" w:leader="dot"/>
        </w:tabs>
        <w:ind w:left="1520"/>
      </w:pPr>
      <w:hyperlink w:history="true" w:anchor="_bookmark15">
        <w:r>
          <w:rPr/>
          <w:t>F</w:t>
        </w:r>
      </w:hyperlink>
      <w:hyperlink w:history="true" w:anchor="_bookmark15">
        <w:r>
          <w:rPr/>
          <w:t>orest</w:t>
        </w:r>
        <w:r>
          <w:rPr>
            <w:spacing w:val="-7"/>
          </w:rPr>
          <w:t> </w:t>
        </w:r>
        <w:r>
          <w:rPr/>
          <w:t>Transportation</w:t>
        </w:r>
        <w:r>
          <w:rPr>
            <w:spacing w:val="-6"/>
          </w:rPr>
          <w:t> </w:t>
        </w:r>
        <w:r>
          <w:rPr/>
          <w:t>System</w:t>
        </w:r>
        <w:r>
          <w:rPr>
            <w:spacing w:val="-6"/>
          </w:rPr>
          <w:t> </w:t>
        </w:r>
        <w:r>
          <w:rPr/>
          <w:t>(Access</w:t>
        </w:r>
        <w:r>
          <w:rPr>
            <w:spacing w:val="-5"/>
          </w:rPr>
          <w:t> </w:t>
        </w:r>
        <w:r>
          <w:rPr>
            <w:spacing w:val="-2"/>
          </w:rPr>
          <w:t>System)</w:t>
        </w:r>
        <w:r>
          <w:rPr/>
          <w:tab/>
        </w:r>
        <w:r>
          <w:rPr>
            <w:spacing w:val="-10"/>
          </w:rPr>
          <w:t>6</w:t>
        </w:r>
      </w:hyperlink>
    </w:p>
    <w:p>
      <w:pPr>
        <w:pStyle w:val="BodyText"/>
        <w:tabs>
          <w:tab w:pos="9712" w:val="right" w:leader="dot"/>
        </w:tabs>
        <w:spacing w:before="1"/>
        <w:ind w:left="1520"/>
      </w:pPr>
      <w:hyperlink w:history="true" w:anchor="_bookmark16">
        <w:r>
          <w:rPr/>
          <w:t>R</w:t>
        </w:r>
      </w:hyperlink>
      <w:hyperlink w:history="true" w:anchor="_bookmark16">
        <w:r>
          <w:rPr/>
          <w:t>enewable</w:t>
        </w:r>
        <w:r>
          <w:rPr>
            <w:spacing w:val="-4"/>
          </w:rPr>
          <w:t> </w:t>
        </w:r>
        <w:r>
          <w:rPr/>
          <w:t>Forest</w:t>
        </w:r>
        <w:r>
          <w:rPr>
            <w:spacing w:val="-6"/>
          </w:rPr>
          <w:t> </w:t>
        </w:r>
        <w:r>
          <w:rPr>
            <w:spacing w:val="-2"/>
          </w:rPr>
          <w:t>Products</w:t>
        </w:r>
        <w:r>
          <w:rPr/>
          <w:tab/>
        </w:r>
        <w:r>
          <w:rPr>
            <w:spacing w:val="-10"/>
          </w:rPr>
          <w:t>7</w:t>
        </w:r>
      </w:hyperlink>
    </w:p>
    <w:p>
      <w:pPr>
        <w:pStyle w:val="BodyText"/>
        <w:tabs>
          <w:tab w:pos="9713" w:val="right" w:leader="dot"/>
        </w:tabs>
        <w:ind w:left="1520"/>
      </w:pPr>
      <w:hyperlink w:history="true" w:anchor="_bookmark17">
        <w:r>
          <w:rPr/>
          <w:t>I</w:t>
        </w:r>
      </w:hyperlink>
      <w:hyperlink w:history="true" w:anchor="_bookmark17">
        <w:r>
          <w:rPr/>
          <w:t>mplementation</w:t>
        </w:r>
        <w:r>
          <w:rPr>
            <w:spacing w:val="-8"/>
          </w:rPr>
          <w:t> </w:t>
        </w:r>
        <w:r>
          <w:rPr>
            <w:spacing w:val="-2"/>
          </w:rPr>
          <w:t>Challenges</w:t>
        </w:r>
        <w:r>
          <w:rPr/>
          <w:tab/>
        </w:r>
        <w:r>
          <w:rPr>
            <w:spacing w:val="-10"/>
          </w:rPr>
          <w:t>7</w:t>
        </w:r>
      </w:hyperlink>
    </w:p>
    <w:p>
      <w:pPr>
        <w:pStyle w:val="BodyText"/>
        <w:tabs>
          <w:tab w:pos="9713" w:val="right" w:leader="dot"/>
        </w:tabs>
        <w:ind w:left="1321"/>
      </w:pPr>
      <w:hyperlink w:history="true" w:anchor="_bookmark18">
        <w:r>
          <w:rPr/>
          <w:t>I</w:t>
        </w:r>
      </w:hyperlink>
      <w:hyperlink w:history="true" w:anchor="_bookmark18">
        <w:r>
          <w:rPr/>
          <w:t>ntroduction</w:t>
        </w:r>
        <w:r>
          <w:rPr>
            <w:spacing w:val="-4"/>
          </w:rPr>
          <w:t> </w:t>
        </w:r>
        <w:r>
          <w:rPr/>
          <w:t>to</w:t>
        </w:r>
        <w:r>
          <w:rPr>
            <w:spacing w:val="-3"/>
          </w:rPr>
          <w:t> </w:t>
        </w:r>
        <w:r>
          <w:rPr/>
          <w:t>the</w:t>
        </w:r>
        <w:r>
          <w:rPr>
            <w:spacing w:val="-4"/>
          </w:rPr>
          <w:t> Plan</w:t>
        </w:r>
        <w:r>
          <w:rPr/>
          <w:tab/>
        </w:r>
        <w:r>
          <w:rPr>
            <w:spacing w:val="-12"/>
          </w:rPr>
          <w:t>9</w:t>
        </w:r>
      </w:hyperlink>
    </w:p>
    <w:p>
      <w:pPr>
        <w:pStyle w:val="BodyText"/>
        <w:tabs>
          <w:tab w:pos="9713" w:val="right" w:leader="dot"/>
        </w:tabs>
        <w:ind w:left="1321"/>
      </w:pPr>
      <w:hyperlink w:history="true" w:anchor="_bookmark19">
        <w:r>
          <w:rPr/>
          <w:t>P</w:t>
        </w:r>
      </w:hyperlink>
      <w:hyperlink w:history="true" w:anchor="_bookmark19">
        <w:r>
          <w:rPr/>
          <w:t>urpose</w:t>
        </w:r>
        <w:r>
          <w:rPr>
            <w:spacing w:val="-3"/>
          </w:rPr>
          <w:t> </w:t>
        </w:r>
        <w:r>
          <w:rPr/>
          <w:t>of</w:t>
        </w:r>
        <w:r>
          <w:rPr>
            <w:spacing w:val="-5"/>
          </w:rPr>
          <w:t> </w:t>
        </w:r>
        <w:r>
          <w:rPr/>
          <w:t>this</w:t>
        </w:r>
        <w:r>
          <w:rPr>
            <w:spacing w:val="-5"/>
          </w:rPr>
          <w:t> </w:t>
        </w:r>
        <w:r>
          <w:rPr/>
          <w:t>Land</w:t>
        </w:r>
        <w:r>
          <w:rPr>
            <w:spacing w:val="-4"/>
          </w:rPr>
          <w:t> </w:t>
        </w:r>
        <w:r>
          <w:rPr/>
          <w:t>Management</w:t>
        </w:r>
        <w:r>
          <w:rPr>
            <w:spacing w:val="-2"/>
          </w:rPr>
          <w:t> </w:t>
        </w:r>
        <w:r>
          <w:rPr>
            <w:spacing w:val="-4"/>
          </w:rPr>
          <w:t>Plan</w:t>
        </w:r>
        <w:r>
          <w:rPr/>
          <w:tab/>
        </w:r>
        <w:r>
          <w:rPr>
            <w:spacing w:val="-10"/>
          </w:rPr>
          <w:t>9</w:t>
        </w:r>
      </w:hyperlink>
    </w:p>
    <w:p>
      <w:pPr>
        <w:pStyle w:val="BodyText"/>
        <w:tabs>
          <w:tab w:pos="9714" w:val="right" w:leader="dot"/>
        </w:tabs>
        <w:spacing w:line="268" w:lineRule="exact"/>
        <w:ind w:left="1321"/>
      </w:pPr>
      <w:hyperlink w:history="true" w:anchor="_bookmark21">
        <w:r>
          <w:rPr/>
          <w:t>S</w:t>
        </w:r>
      </w:hyperlink>
      <w:hyperlink w:history="true" w:anchor="_bookmark21">
        <w:r>
          <w:rPr/>
          <w:t>ummary</w:t>
        </w:r>
        <w:r>
          <w:rPr>
            <w:spacing w:val="-4"/>
          </w:rPr>
          <w:t> </w:t>
        </w:r>
        <w:r>
          <w:rPr/>
          <w:t>of</w:t>
        </w:r>
        <w:r>
          <w:rPr>
            <w:spacing w:val="-3"/>
          </w:rPr>
          <w:t> </w:t>
        </w:r>
        <w:r>
          <w:rPr/>
          <w:t>the</w:t>
        </w:r>
        <w:r>
          <w:rPr>
            <w:spacing w:val="-2"/>
          </w:rPr>
          <w:t> </w:t>
        </w:r>
        <w:r>
          <w:rPr/>
          <w:t>Analysis</w:t>
        </w:r>
        <w:r>
          <w:rPr>
            <w:spacing w:val="-3"/>
          </w:rPr>
          <w:t> </w:t>
        </w:r>
        <w:r>
          <w:rPr/>
          <w:t>of</w:t>
        </w:r>
        <w:r>
          <w:rPr>
            <w:spacing w:val="-4"/>
          </w:rPr>
          <w:t> </w:t>
        </w:r>
        <w:r>
          <w:rPr/>
          <w:t>the</w:t>
        </w:r>
        <w:r>
          <w:rPr>
            <w:spacing w:val="-5"/>
          </w:rPr>
          <w:t> </w:t>
        </w:r>
        <w:r>
          <w:rPr/>
          <w:t>management</w:t>
        </w:r>
        <w:r>
          <w:rPr>
            <w:spacing w:val="-4"/>
          </w:rPr>
          <w:t> </w:t>
        </w:r>
        <w:r>
          <w:rPr>
            <w:spacing w:val="-2"/>
          </w:rPr>
          <w:t>Situation</w:t>
        </w:r>
        <w:r>
          <w:rPr/>
          <w:tab/>
        </w:r>
        <w:r>
          <w:rPr>
            <w:spacing w:val="-5"/>
          </w:rPr>
          <w:t>10</w:t>
        </w:r>
      </w:hyperlink>
    </w:p>
    <w:p>
      <w:pPr>
        <w:pStyle w:val="BodyText"/>
        <w:tabs>
          <w:tab w:pos="9714" w:val="right" w:leader="dot"/>
        </w:tabs>
        <w:spacing w:line="268" w:lineRule="exact"/>
        <w:ind w:left="1321"/>
      </w:pPr>
      <w:hyperlink w:history="true" w:anchor="_bookmark22">
        <w:r>
          <w:rPr/>
          <w:t>M</w:t>
        </w:r>
      </w:hyperlink>
      <w:hyperlink w:history="true" w:anchor="_bookmark22">
        <w:r>
          <w:rPr/>
          <w:t>anagement</w:t>
        </w:r>
        <w:r>
          <w:rPr>
            <w:spacing w:val="-8"/>
          </w:rPr>
          <w:t> </w:t>
        </w:r>
        <w:r>
          <w:rPr>
            <w:spacing w:val="-2"/>
          </w:rPr>
          <w:t>Context</w:t>
        </w:r>
        <w:r>
          <w:rPr/>
          <w:tab/>
        </w:r>
        <w:r>
          <w:rPr>
            <w:spacing w:val="-5"/>
          </w:rPr>
          <w:t>10</w:t>
        </w:r>
      </w:hyperlink>
    </w:p>
    <w:p>
      <w:pPr>
        <w:pStyle w:val="BodyText"/>
        <w:tabs>
          <w:tab w:pos="9714" w:val="right" w:leader="dot"/>
        </w:tabs>
        <w:ind w:left="1520"/>
      </w:pPr>
      <w:hyperlink w:history="true" w:anchor="_bookmark23">
        <w:r>
          <w:rPr/>
          <w:t>C</w:t>
        </w:r>
      </w:hyperlink>
      <w:hyperlink w:history="true" w:anchor="_bookmark23">
        <w:r>
          <w:rPr/>
          <w:t>onsultation,</w:t>
        </w:r>
        <w:r>
          <w:rPr>
            <w:spacing w:val="-7"/>
          </w:rPr>
          <w:t> </w:t>
        </w:r>
        <w:r>
          <w:rPr/>
          <w:t>Cooperation</w:t>
        </w:r>
        <w:r>
          <w:rPr>
            <w:spacing w:val="-8"/>
          </w:rPr>
          <w:t> </w:t>
        </w:r>
        <w:r>
          <w:rPr/>
          <w:t>and</w:t>
        </w:r>
        <w:r>
          <w:rPr>
            <w:spacing w:val="-7"/>
          </w:rPr>
          <w:t> </w:t>
        </w:r>
        <w:r>
          <w:rPr>
            <w:spacing w:val="-2"/>
          </w:rPr>
          <w:t>Coordination</w:t>
        </w:r>
        <w:r>
          <w:rPr/>
          <w:tab/>
        </w:r>
        <w:r>
          <w:rPr>
            <w:spacing w:val="-5"/>
          </w:rPr>
          <w:t>11</w:t>
        </w:r>
      </w:hyperlink>
    </w:p>
    <w:p>
      <w:pPr>
        <w:pStyle w:val="BodyText"/>
        <w:tabs>
          <w:tab w:pos="9714" w:val="right" w:leader="dot"/>
        </w:tabs>
        <w:spacing w:before="1"/>
        <w:ind w:left="1520"/>
      </w:pPr>
      <w:hyperlink w:history="true" w:anchor="_bookmark24">
        <w:r>
          <w:rPr/>
          <w:t>I</w:t>
        </w:r>
      </w:hyperlink>
      <w:hyperlink w:history="true" w:anchor="_bookmark24">
        <w:r>
          <w:rPr/>
          <w:t>nternational</w:t>
        </w:r>
        <w:r>
          <w:rPr>
            <w:spacing w:val="-8"/>
          </w:rPr>
          <w:t> </w:t>
        </w:r>
        <w:r>
          <w:rPr/>
          <w:t>Boundary</w:t>
        </w:r>
        <w:r>
          <w:rPr>
            <w:spacing w:val="-6"/>
          </w:rPr>
          <w:t> </w:t>
        </w:r>
        <w:r>
          <w:rPr/>
          <w:t>with</w:t>
        </w:r>
        <w:r>
          <w:rPr>
            <w:spacing w:val="-6"/>
          </w:rPr>
          <w:t> </w:t>
        </w:r>
        <w:r>
          <w:rPr>
            <w:spacing w:val="-2"/>
          </w:rPr>
          <w:t>Canada</w:t>
        </w:r>
        <w:r>
          <w:rPr/>
          <w:tab/>
        </w:r>
        <w:r>
          <w:rPr>
            <w:spacing w:val="-5"/>
          </w:rPr>
          <w:t>11</w:t>
        </w:r>
      </w:hyperlink>
    </w:p>
    <w:p>
      <w:pPr>
        <w:pStyle w:val="BodyText"/>
        <w:tabs>
          <w:tab w:pos="9714" w:val="right" w:leader="dot"/>
        </w:tabs>
        <w:ind w:left="1520"/>
      </w:pPr>
      <w:hyperlink w:history="true" w:anchor="_bookmark25">
        <w:r>
          <w:rPr/>
          <w:t>S</w:t>
        </w:r>
      </w:hyperlink>
      <w:hyperlink w:history="true" w:anchor="_bookmark25">
        <w:r>
          <w:rPr/>
          <w:t>tate</w:t>
        </w:r>
        <w:r>
          <w:rPr>
            <w:spacing w:val="-2"/>
          </w:rPr>
          <w:t> </w:t>
        </w:r>
        <w:r>
          <w:rPr/>
          <w:t>and</w:t>
        </w:r>
        <w:r>
          <w:rPr>
            <w:spacing w:val="-5"/>
          </w:rPr>
          <w:t> </w:t>
        </w:r>
        <w:r>
          <w:rPr/>
          <w:t>Local</w:t>
        </w:r>
        <w:r>
          <w:rPr>
            <w:spacing w:val="-2"/>
          </w:rPr>
          <w:t> Government</w:t>
        </w:r>
        <w:r>
          <w:rPr/>
          <w:tab/>
        </w:r>
        <w:r>
          <w:rPr>
            <w:spacing w:val="-5"/>
          </w:rPr>
          <w:t>11</w:t>
        </w:r>
      </w:hyperlink>
    </w:p>
    <w:p>
      <w:pPr>
        <w:pStyle w:val="BodyText"/>
        <w:tabs>
          <w:tab w:pos="9714" w:val="right" w:leader="dot"/>
        </w:tabs>
        <w:ind w:left="1520"/>
      </w:pPr>
      <w:hyperlink w:history="true" w:anchor="_bookmark26">
        <w:r>
          <w:rPr/>
          <w:t>F</w:t>
        </w:r>
      </w:hyperlink>
      <w:hyperlink w:history="true" w:anchor="_bookmark26">
        <w:r>
          <w:rPr/>
          <w:t>ederal</w:t>
        </w:r>
        <w:r>
          <w:rPr>
            <w:spacing w:val="-4"/>
          </w:rPr>
          <w:t> </w:t>
        </w:r>
        <w:r>
          <w:rPr/>
          <w:t>Trust</w:t>
        </w:r>
        <w:r>
          <w:rPr>
            <w:spacing w:val="-6"/>
          </w:rPr>
          <w:t> </w:t>
        </w:r>
        <w:r>
          <w:rPr/>
          <w:t>Responsibility</w:t>
        </w:r>
        <w:r>
          <w:rPr>
            <w:spacing w:val="-3"/>
          </w:rPr>
          <w:t> </w:t>
        </w:r>
        <w:r>
          <w:rPr/>
          <w:t>and</w:t>
        </w:r>
        <w:r>
          <w:rPr>
            <w:spacing w:val="-5"/>
          </w:rPr>
          <w:t> </w:t>
        </w:r>
        <w:r>
          <w:rPr/>
          <w:t>Tribal</w:t>
        </w:r>
        <w:r>
          <w:rPr>
            <w:spacing w:val="-7"/>
          </w:rPr>
          <w:t> </w:t>
        </w:r>
        <w:r>
          <w:rPr/>
          <w:t>Rights</w:t>
        </w:r>
        <w:r>
          <w:rPr>
            <w:spacing w:val="-4"/>
          </w:rPr>
          <w:t> </w:t>
        </w:r>
        <w:r>
          <w:rPr/>
          <w:t>and</w:t>
        </w:r>
        <w:r>
          <w:rPr>
            <w:spacing w:val="-4"/>
          </w:rPr>
          <w:t> </w:t>
        </w:r>
        <w:r>
          <w:rPr>
            <w:spacing w:val="-2"/>
          </w:rPr>
          <w:t>Interests</w:t>
        </w:r>
        <w:r>
          <w:rPr/>
          <w:tab/>
        </w:r>
        <w:r>
          <w:rPr>
            <w:spacing w:val="-5"/>
          </w:rPr>
          <w:t>11</w:t>
        </w:r>
      </w:hyperlink>
    </w:p>
    <w:p>
      <w:pPr>
        <w:pStyle w:val="BodyText"/>
        <w:tabs>
          <w:tab w:pos="9714" w:val="right" w:leader="dot"/>
        </w:tabs>
        <w:ind w:left="1321"/>
      </w:pPr>
      <w:hyperlink w:history="true" w:anchor="_bookmark27">
        <w:r>
          <w:rPr/>
          <w:t>C</w:t>
        </w:r>
      </w:hyperlink>
      <w:hyperlink w:history="true" w:anchor="_bookmark27">
        <w:r>
          <w:rPr/>
          <w:t>onsistency</w:t>
        </w:r>
        <w:r>
          <w:rPr>
            <w:spacing w:val="-4"/>
          </w:rPr>
          <w:t> </w:t>
        </w:r>
        <w:r>
          <w:rPr/>
          <w:t>with</w:t>
        </w:r>
        <w:r>
          <w:rPr>
            <w:spacing w:val="-5"/>
          </w:rPr>
          <w:t> </w:t>
        </w:r>
        <w:r>
          <w:rPr/>
          <w:t>Plan</w:t>
        </w:r>
        <w:r>
          <w:rPr>
            <w:spacing w:val="-3"/>
          </w:rPr>
          <w:t> </w:t>
        </w:r>
        <w:r>
          <w:rPr>
            <w:spacing w:val="-2"/>
          </w:rPr>
          <w:t>Components</w:t>
        </w:r>
        <w:r>
          <w:rPr/>
          <w:tab/>
        </w:r>
        <w:r>
          <w:rPr>
            <w:spacing w:val="-5"/>
          </w:rPr>
          <w:t>12</w:t>
        </w:r>
      </w:hyperlink>
    </w:p>
    <w:p>
      <w:pPr>
        <w:pStyle w:val="BodyText"/>
        <w:tabs>
          <w:tab w:pos="9714" w:val="right" w:leader="dot"/>
        </w:tabs>
        <w:ind w:left="1321"/>
      </w:pPr>
      <w:hyperlink w:history="true" w:anchor="_bookmark28">
        <w:r>
          <w:rPr/>
          <w:t>P</w:t>
        </w:r>
      </w:hyperlink>
      <w:hyperlink w:history="true" w:anchor="_bookmark28">
        <w:r>
          <w:rPr/>
          <w:t>lan</w:t>
        </w:r>
        <w:r>
          <w:rPr>
            <w:spacing w:val="-4"/>
          </w:rPr>
          <w:t> </w:t>
        </w:r>
        <w:r>
          <w:rPr>
            <w:spacing w:val="-2"/>
          </w:rPr>
          <w:t>Structure</w:t>
        </w:r>
        <w:r>
          <w:rPr/>
          <w:tab/>
        </w:r>
        <w:r>
          <w:rPr>
            <w:spacing w:val="-5"/>
          </w:rPr>
          <w:t>16</w:t>
        </w:r>
      </w:hyperlink>
    </w:p>
    <w:p>
      <w:pPr>
        <w:pStyle w:val="BodyText"/>
        <w:tabs>
          <w:tab w:pos="9714" w:val="right" w:leader="dot"/>
        </w:tabs>
        <w:ind w:left="1321"/>
      </w:pPr>
      <w:hyperlink w:history="true" w:anchor="_bookmark29">
        <w:r>
          <w:rPr/>
          <w:t>O</w:t>
        </w:r>
      </w:hyperlink>
      <w:hyperlink w:history="true" w:anchor="_bookmark29">
        <w:r>
          <w:rPr/>
          <w:t>ther</w:t>
        </w:r>
        <w:r>
          <w:rPr>
            <w:spacing w:val="-3"/>
          </w:rPr>
          <w:t> </w:t>
        </w:r>
        <w:r>
          <w:rPr/>
          <w:t>Content</w:t>
        </w:r>
        <w:r>
          <w:rPr>
            <w:spacing w:val="-2"/>
          </w:rPr>
          <w:t> </w:t>
        </w:r>
        <w:r>
          <w:rPr/>
          <w:t>–</w:t>
        </w:r>
        <w:r>
          <w:rPr>
            <w:spacing w:val="-3"/>
          </w:rPr>
          <w:t> </w:t>
        </w:r>
        <w:r>
          <w:rPr/>
          <w:t>Material</w:t>
        </w:r>
        <w:r>
          <w:rPr>
            <w:spacing w:val="-3"/>
          </w:rPr>
          <w:t> </w:t>
        </w:r>
        <w:r>
          <w:rPr/>
          <w:t>that</w:t>
        </w:r>
        <w:r>
          <w:rPr>
            <w:spacing w:val="-1"/>
          </w:rPr>
          <w:t> </w:t>
        </w:r>
        <w:r>
          <w:rPr/>
          <w:t>is</w:t>
        </w:r>
        <w:r>
          <w:rPr>
            <w:spacing w:val="-3"/>
          </w:rPr>
          <w:t> </w:t>
        </w:r>
        <w:r>
          <w:rPr/>
          <w:t>not</w:t>
        </w:r>
        <w:r>
          <w:rPr>
            <w:spacing w:val="-2"/>
          </w:rPr>
          <w:t> </w:t>
        </w:r>
        <w:r>
          <w:rPr/>
          <w:t>a</w:t>
        </w:r>
        <w:r>
          <w:rPr>
            <w:spacing w:val="-4"/>
          </w:rPr>
          <w:t> </w:t>
        </w:r>
        <w:r>
          <w:rPr/>
          <w:t>Plan</w:t>
        </w:r>
        <w:r>
          <w:rPr>
            <w:spacing w:val="-3"/>
          </w:rPr>
          <w:t> </w:t>
        </w:r>
        <w:r>
          <w:rPr>
            <w:spacing w:val="-2"/>
          </w:rPr>
          <w:t>Component</w:t>
        </w:r>
        <w:r>
          <w:rPr/>
          <w:tab/>
        </w:r>
        <w:r>
          <w:rPr>
            <w:spacing w:val="-5"/>
          </w:rPr>
          <w:t>18</w:t>
        </w:r>
      </w:hyperlink>
    </w:p>
    <w:p>
      <w:pPr>
        <w:pStyle w:val="BodyText"/>
        <w:tabs>
          <w:tab w:pos="9714" w:val="right" w:leader="dot"/>
        </w:tabs>
        <w:ind w:left="1521"/>
      </w:pPr>
      <w:hyperlink w:history="true" w:anchor="_bookmark30">
        <w:r>
          <w:rPr/>
          <w:t>R</w:t>
        </w:r>
      </w:hyperlink>
      <w:hyperlink w:history="true" w:anchor="_bookmark30">
        <w:r>
          <w:rPr/>
          <w:t>elationship</w:t>
        </w:r>
        <w:r>
          <w:rPr>
            <w:spacing w:val="-7"/>
          </w:rPr>
          <w:t> </w:t>
        </w:r>
        <w:r>
          <w:rPr/>
          <w:t>of</w:t>
        </w:r>
        <w:r>
          <w:rPr>
            <w:spacing w:val="-6"/>
          </w:rPr>
          <w:t> </w:t>
        </w:r>
        <w:r>
          <w:rPr/>
          <w:t>the</w:t>
        </w:r>
        <w:r>
          <w:rPr>
            <w:spacing w:val="-3"/>
          </w:rPr>
          <w:t> </w:t>
        </w:r>
        <w:r>
          <w:rPr/>
          <w:t>Forest</w:t>
        </w:r>
        <w:r>
          <w:rPr>
            <w:spacing w:val="-5"/>
          </w:rPr>
          <w:t> </w:t>
        </w:r>
        <w:r>
          <w:rPr/>
          <w:t>Plan</w:t>
        </w:r>
        <w:r>
          <w:rPr>
            <w:spacing w:val="-5"/>
          </w:rPr>
          <w:t> </w:t>
        </w:r>
        <w:r>
          <w:rPr/>
          <w:t>to</w:t>
        </w:r>
        <w:r>
          <w:rPr>
            <w:spacing w:val="-3"/>
          </w:rPr>
          <w:t> </w:t>
        </w:r>
        <w:r>
          <w:rPr/>
          <w:t>Other</w:t>
        </w:r>
        <w:r>
          <w:rPr>
            <w:spacing w:val="-3"/>
          </w:rPr>
          <w:t> </w:t>
        </w:r>
        <w:r>
          <w:rPr/>
          <w:t>Strategic</w:t>
        </w:r>
        <w:r>
          <w:rPr>
            <w:spacing w:val="-5"/>
          </w:rPr>
          <w:t> </w:t>
        </w:r>
        <w:r>
          <w:rPr>
            <w:spacing w:val="-2"/>
          </w:rPr>
          <w:t>Guidance</w:t>
        </w:r>
        <w:r>
          <w:rPr/>
          <w:tab/>
        </w:r>
        <w:r>
          <w:rPr>
            <w:spacing w:val="-5"/>
          </w:rPr>
          <w:t>18</w:t>
        </w:r>
      </w:hyperlink>
    </w:p>
    <w:p>
      <w:pPr>
        <w:pStyle w:val="BodyText"/>
        <w:tabs>
          <w:tab w:pos="9712" w:val="right" w:leader="dot"/>
        </w:tabs>
        <w:spacing w:line="268" w:lineRule="exact" w:before="2"/>
        <w:ind w:left="1800"/>
      </w:pPr>
      <w:hyperlink w:history="true" w:anchor="_bookmark31">
        <w:r>
          <w:rPr/>
          <w:t>F</w:t>
        </w:r>
      </w:hyperlink>
      <w:hyperlink w:history="true" w:anchor="_bookmark31">
        <w:r>
          <w:rPr/>
          <w:t>orest</w:t>
        </w:r>
        <w:r>
          <w:rPr>
            <w:spacing w:val="-7"/>
          </w:rPr>
          <w:t> </w:t>
        </w:r>
        <w:r>
          <w:rPr/>
          <w:t>Service</w:t>
        </w:r>
        <w:r>
          <w:rPr>
            <w:spacing w:val="-7"/>
          </w:rPr>
          <w:t> </w:t>
        </w:r>
        <w:r>
          <w:rPr/>
          <w:t>Management</w:t>
        </w:r>
        <w:r>
          <w:rPr>
            <w:spacing w:val="-3"/>
          </w:rPr>
          <w:t> </w:t>
        </w:r>
        <w:r>
          <w:rPr>
            <w:spacing w:val="-2"/>
          </w:rPr>
          <w:t>Direction</w:t>
        </w:r>
        <w:r>
          <w:rPr/>
          <w:tab/>
        </w:r>
        <w:r>
          <w:rPr>
            <w:spacing w:val="-5"/>
          </w:rPr>
          <w:t>18</w:t>
        </w:r>
      </w:hyperlink>
    </w:p>
    <w:p>
      <w:pPr>
        <w:pStyle w:val="BodyText"/>
        <w:tabs>
          <w:tab w:pos="9712" w:val="right" w:leader="dot"/>
        </w:tabs>
        <w:spacing w:line="268" w:lineRule="exact"/>
        <w:ind w:left="1519"/>
      </w:pPr>
      <w:hyperlink w:history="true" w:anchor="_bookmark33">
        <w:r>
          <w:rPr/>
          <w:t>N</w:t>
        </w:r>
      </w:hyperlink>
      <w:hyperlink w:history="true" w:anchor="_bookmark33">
        <w:r>
          <w:rPr/>
          <w:t>ational</w:t>
        </w:r>
        <w:r>
          <w:rPr>
            <w:spacing w:val="-4"/>
          </w:rPr>
          <w:t> </w:t>
        </w:r>
        <w:r>
          <w:rPr/>
          <w:t>and</w:t>
        </w:r>
        <w:r>
          <w:rPr>
            <w:spacing w:val="-5"/>
          </w:rPr>
          <w:t> </w:t>
        </w:r>
        <w:r>
          <w:rPr/>
          <w:t>Regional</w:t>
        </w:r>
        <w:r>
          <w:rPr>
            <w:spacing w:val="-6"/>
          </w:rPr>
          <w:t> </w:t>
        </w:r>
        <w:r>
          <w:rPr/>
          <w:t>Direction</w:t>
        </w:r>
        <w:r>
          <w:rPr>
            <w:spacing w:val="-5"/>
          </w:rPr>
          <w:t> </w:t>
        </w:r>
        <w:r>
          <w:rPr/>
          <w:t>and</w:t>
        </w:r>
        <w:r>
          <w:rPr>
            <w:spacing w:val="-4"/>
          </w:rPr>
          <w:t> </w:t>
        </w:r>
        <w:r>
          <w:rPr>
            <w:spacing w:val="-2"/>
          </w:rPr>
          <w:t>Guidance</w:t>
        </w:r>
        <w:r>
          <w:rPr/>
          <w:tab/>
        </w:r>
        <w:r>
          <w:rPr>
            <w:spacing w:val="-5"/>
          </w:rPr>
          <w:t>19</w:t>
        </w:r>
      </w:hyperlink>
    </w:p>
    <w:p>
      <w:pPr>
        <w:pStyle w:val="BodyText"/>
        <w:tabs>
          <w:tab w:pos="9712" w:val="right" w:leader="dot"/>
        </w:tabs>
        <w:spacing w:before="1"/>
        <w:ind w:left="1800"/>
      </w:pPr>
      <w:hyperlink w:history="true" w:anchor="_bookmark34">
        <w:r>
          <w:rPr/>
          <w:t>W</w:t>
        </w:r>
      </w:hyperlink>
      <w:hyperlink w:history="true" w:anchor="_bookmark34">
        <w:r>
          <w:rPr/>
          <w:t>atershed</w:t>
        </w:r>
        <w:r>
          <w:rPr>
            <w:spacing w:val="-7"/>
          </w:rPr>
          <w:t> </w:t>
        </w:r>
        <w:r>
          <w:rPr>
            <w:spacing w:val="-2"/>
          </w:rPr>
          <w:t>Analysis</w:t>
        </w:r>
        <w:r>
          <w:rPr/>
          <w:tab/>
        </w:r>
        <w:r>
          <w:rPr>
            <w:spacing w:val="-5"/>
          </w:rPr>
          <w:t>20</w:t>
        </w:r>
      </w:hyperlink>
    </w:p>
    <w:p>
      <w:pPr>
        <w:pStyle w:val="BodyText"/>
        <w:tabs>
          <w:tab w:pos="9712" w:val="right" w:leader="dot"/>
        </w:tabs>
        <w:ind w:left="1519"/>
      </w:pPr>
      <w:hyperlink w:history="true" w:anchor="_bookmark35">
        <w:r>
          <w:rPr/>
          <w:t>F</w:t>
        </w:r>
      </w:hyperlink>
      <w:hyperlink w:history="true" w:anchor="_bookmark35">
        <w:r>
          <w:rPr/>
          <w:t>orest</w:t>
        </w:r>
        <w:r>
          <w:rPr>
            <w:spacing w:val="-3"/>
          </w:rPr>
          <w:t> </w:t>
        </w:r>
        <w:r>
          <w:rPr>
            <w:spacing w:val="-2"/>
          </w:rPr>
          <w:t>Direction</w:t>
        </w:r>
        <w:r>
          <w:rPr/>
          <w:tab/>
        </w:r>
        <w:r>
          <w:rPr>
            <w:spacing w:val="-7"/>
          </w:rPr>
          <w:t>20</w:t>
        </w:r>
      </w:hyperlink>
    </w:p>
    <w:p>
      <w:pPr>
        <w:pStyle w:val="BodyText"/>
        <w:tabs>
          <w:tab w:pos="9712" w:val="right" w:leader="dot"/>
        </w:tabs>
        <w:ind w:left="1519"/>
      </w:pPr>
      <w:hyperlink w:history="true" w:anchor="_bookmark36">
        <w:r>
          <w:rPr/>
          <w:t>Pr</w:t>
        </w:r>
      </w:hyperlink>
      <w:hyperlink w:history="true" w:anchor="_bookmark36">
        <w:r>
          <w:rPr/>
          <w:t>oject-level</w:t>
        </w:r>
        <w:r>
          <w:rPr>
            <w:spacing w:val="-8"/>
          </w:rPr>
          <w:t> </w:t>
        </w:r>
        <w:r>
          <w:rPr>
            <w:spacing w:val="-2"/>
          </w:rPr>
          <w:t>Direction</w:t>
        </w:r>
        <w:r>
          <w:rPr/>
          <w:tab/>
        </w:r>
        <w:r>
          <w:rPr>
            <w:spacing w:val="-7"/>
          </w:rPr>
          <w:t>20</w:t>
        </w:r>
      </w:hyperlink>
    </w:p>
    <w:p>
      <w:pPr>
        <w:pStyle w:val="BodyText"/>
        <w:tabs>
          <w:tab w:pos="9712" w:val="right" w:leader="dot"/>
        </w:tabs>
        <w:ind w:left="1320"/>
      </w:pPr>
      <w:hyperlink w:history="true" w:anchor="_bookmark37">
        <w:r>
          <w:rPr/>
          <w:t>D</w:t>
        </w:r>
      </w:hyperlink>
      <w:hyperlink w:history="true" w:anchor="_bookmark37">
        <w:r>
          <w:rPr/>
          <w:t>ecisions</w:t>
        </w:r>
        <w:r>
          <w:rPr>
            <w:spacing w:val="-5"/>
          </w:rPr>
          <w:t> </w:t>
        </w:r>
        <w:r>
          <w:rPr/>
          <w:t>Made</w:t>
        </w:r>
        <w:r>
          <w:rPr>
            <w:spacing w:val="-2"/>
          </w:rPr>
          <w:t> </w:t>
        </w:r>
        <w:r>
          <w:rPr/>
          <w:t>in</w:t>
        </w:r>
        <w:r>
          <w:rPr>
            <w:spacing w:val="-5"/>
          </w:rPr>
          <w:t> </w:t>
        </w:r>
        <w:r>
          <w:rPr/>
          <w:t>the</w:t>
        </w:r>
        <w:r>
          <w:rPr>
            <w:spacing w:val="-5"/>
          </w:rPr>
          <w:t> </w:t>
        </w:r>
        <w:r>
          <w:rPr/>
          <w:t>Previous</w:t>
        </w:r>
        <w:r>
          <w:rPr>
            <w:spacing w:val="-3"/>
          </w:rPr>
          <w:t> </w:t>
        </w:r>
        <w:r>
          <w:rPr/>
          <w:t>Forest</w:t>
        </w:r>
        <w:r>
          <w:rPr>
            <w:spacing w:val="-4"/>
          </w:rPr>
          <w:t> Plan</w:t>
        </w:r>
        <w:r>
          <w:rPr/>
          <w:tab/>
        </w:r>
        <w:r>
          <w:rPr>
            <w:spacing w:val="-5"/>
          </w:rPr>
          <w:t>21</w:t>
        </w:r>
      </w:hyperlink>
    </w:p>
    <w:p>
      <w:pPr>
        <w:pStyle w:val="BodyText"/>
        <w:tabs>
          <w:tab w:pos="9712" w:val="right" w:leader="dot"/>
        </w:tabs>
        <w:ind w:left="1320"/>
      </w:pPr>
      <w:hyperlink w:history="true" w:anchor="_bookmark38">
        <w:r>
          <w:rPr/>
          <w:t>P</w:t>
        </w:r>
      </w:hyperlink>
      <w:hyperlink w:history="true" w:anchor="_bookmark38">
        <w:r>
          <w:rPr/>
          <w:t>lanning</w:t>
        </w:r>
        <w:r>
          <w:rPr>
            <w:spacing w:val="-8"/>
          </w:rPr>
          <w:t> </w:t>
        </w:r>
        <w:r>
          <w:rPr>
            <w:spacing w:val="-2"/>
          </w:rPr>
          <w:t>Record</w:t>
        </w:r>
        <w:r>
          <w:rPr/>
          <w:tab/>
        </w:r>
        <w:r>
          <w:rPr>
            <w:spacing w:val="-5"/>
          </w:rPr>
          <w:t>21</w:t>
        </w:r>
      </w:hyperlink>
    </w:p>
    <w:p>
      <w:pPr>
        <w:pStyle w:val="BodyText"/>
        <w:tabs>
          <w:tab w:pos="9712" w:val="right" w:leader="dot"/>
        </w:tabs>
        <w:ind w:left="1519"/>
      </w:pPr>
      <w:hyperlink w:history="true" w:anchor="_bookmark39">
        <w:r>
          <w:rPr/>
          <w:t>E</w:t>
        </w:r>
      </w:hyperlink>
      <w:hyperlink w:history="true" w:anchor="_bookmark39">
        <w:r>
          <w:rPr/>
          <w:t>nvironmental</w:t>
        </w:r>
        <w:r>
          <w:rPr>
            <w:spacing w:val="-6"/>
          </w:rPr>
          <w:t> </w:t>
        </w:r>
        <w:r>
          <w:rPr/>
          <w:t>Impact</w:t>
        </w:r>
        <w:r>
          <w:rPr>
            <w:spacing w:val="-5"/>
          </w:rPr>
          <w:t> </w:t>
        </w:r>
        <w:r>
          <w:rPr>
            <w:spacing w:val="-2"/>
          </w:rPr>
          <w:t>Statement</w:t>
        </w:r>
        <w:r>
          <w:rPr/>
          <w:tab/>
        </w:r>
        <w:r>
          <w:rPr>
            <w:spacing w:val="-5"/>
          </w:rPr>
          <w:t>21</w:t>
        </w:r>
      </w:hyperlink>
    </w:p>
    <w:p>
      <w:pPr>
        <w:pStyle w:val="BodyText"/>
        <w:tabs>
          <w:tab w:pos="9712" w:val="right" w:leader="dot"/>
        </w:tabs>
        <w:spacing w:before="1"/>
        <w:ind w:left="1519"/>
      </w:pPr>
      <w:hyperlink w:history="true" w:anchor="_bookmark40">
        <w:r>
          <w:rPr/>
          <w:t>R</w:t>
        </w:r>
      </w:hyperlink>
      <w:hyperlink w:history="true" w:anchor="_bookmark40">
        <w:r>
          <w:rPr/>
          <w:t>ecord</w:t>
        </w:r>
        <w:r>
          <w:rPr>
            <w:spacing w:val="-3"/>
          </w:rPr>
          <w:t> </w:t>
        </w:r>
        <w:r>
          <w:rPr/>
          <w:t>of</w:t>
        </w:r>
        <w:r>
          <w:rPr>
            <w:spacing w:val="-2"/>
          </w:rPr>
          <w:t> Decision</w:t>
        </w:r>
        <w:r>
          <w:rPr/>
          <w:tab/>
        </w:r>
        <w:r>
          <w:rPr>
            <w:spacing w:val="-5"/>
          </w:rPr>
          <w:t>21</w:t>
        </w:r>
      </w:hyperlink>
    </w:p>
    <w:p>
      <w:pPr>
        <w:pStyle w:val="BodyText"/>
        <w:tabs>
          <w:tab w:pos="9713" w:val="right" w:leader="dot"/>
        </w:tabs>
        <w:ind w:left="1519"/>
      </w:pPr>
      <w:hyperlink w:history="true" w:anchor="_bookmark41">
        <w:r>
          <w:rPr/>
          <w:t>Pr</w:t>
        </w:r>
      </w:hyperlink>
      <w:hyperlink w:history="true" w:anchor="_bookmark41">
        <w:r>
          <w:rPr/>
          <w:t>oject</w:t>
        </w:r>
        <w:r>
          <w:rPr>
            <w:spacing w:val="-4"/>
          </w:rPr>
          <w:t> </w:t>
        </w:r>
        <w:r>
          <w:rPr>
            <w:spacing w:val="-2"/>
          </w:rPr>
          <w:t>Record</w:t>
        </w:r>
        <w:r>
          <w:rPr/>
          <w:tab/>
        </w:r>
        <w:r>
          <w:rPr>
            <w:spacing w:val="-5"/>
          </w:rPr>
          <w:t>21</w:t>
        </w:r>
      </w:hyperlink>
    </w:p>
    <w:p>
      <w:pPr>
        <w:pStyle w:val="BodyText"/>
        <w:tabs>
          <w:tab w:pos="9713" w:val="right" w:leader="dot"/>
        </w:tabs>
        <w:spacing w:line="268" w:lineRule="exact"/>
        <w:ind w:left="1519"/>
      </w:pPr>
      <w:hyperlink w:history="true" w:anchor="_bookmark42">
        <w:r>
          <w:rPr>
            <w:spacing w:val="-2"/>
          </w:rPr>
          <w:t>G</w:t>
        </w:r>
      </w:hyperlink>
      <w:hyperlink w:history="true" w:anchor="_bookmark42">
        <w:r>
          <w:rPr>
            <w:spacing w:val="-2"/>
          </w:rPr>
          <w:t>lossary</w:t>
        </w:r>
        <w:r>
          <w:rPr/>
          <w:tab/>
        </w:r>
        <w:r>
          <w:rPr>
            <w:spacing w:val="-5"/>
          </w:rPr>
          <w:t>21</w:t>
        </w:r>
      </w:hyperlink>
    </w:p>
    <w:p>
      <w:pPr>
        <w:pStyle w:val="BodyText"/>
        <w:tabs>
          <w:tab w:pos="9713" w:val="right" w:leader="dot"/>
        </w:tabs>
        <w:spacing w:line="268" w:lineRule="exact"/>
        <w:ind w:left="1519"/>
      </w:pPr>
      <w:hyperlink w:history="true" w:anchor="_bookmark43">
        <w:r>
          <w:rPr/>
          <w:t>A</w:t>
        </w:r>
      </w:hyperlink>
      <w:hyperlink w:history="true" w:anchor="_bookmark43">
        <w:r>
          <w:rPr/>
          <w:t>bout</w:t>
        </w:r>
        <w:r>
          <w:rPr>
            <w:spacing w:val="-1"/>
          </w:rPr>
          <w:t> </w:t>
        </w:r>
        <w:r>
          <w:rPr/>
          <w:t>the</w:t>
        </w:r>
        <w:r>
          <w:rPr>
            <w:spacing w:val="-3"/>
          </w:rPr>
          <w:t> </w:t>
        </w:r>
        <w:r>
          <w:rPr>
            <w:spacing w:val="-2"/>
          </w:rPr>
          <w:t>Appendices</w:t>
        </w:r>
        <w:r>
          <w:rPr/>
          <w:tab/>
        </w:r>
        <w:r>
          <w:rPr>
            <w:spacing w:val="-5"/>
          </w:rPr>
          <w:t>21</w:t>
        </w:r>
      </w:hyperlink>
    </w:p>
    <w:p>
      <w:pPr>
        <w:pStyle w:val="BodyText"/>
        <w:tabs>
          <w:tab w:pos="9713" w:val="right" w:leader="dot"/>
        </w:tabs>
        <w:ind w:left="1800"/>
      </w:pPr>
      <w:hyperlink w:history="true" w:anchor="_bookmark44">
        <w:r>
          <w:rPr/>
          <w:t>A</w:t>
        </w:r>
      </w:hyperlink>
      <w:hyperlink w:history="true" w:anchor="_bookmark44">
        <w:r>
          <w:rPr/>
          <w:t>ppendix</w:t>
        </w:r>
        <w:r>
          <w:rPr>
            <w:spacing w:val="-4"/>
          </w:rPr>
          <w:t> </w:t>
        </w:r>
        <w:r>
          <w:rPr/>
          <w:t>A:</w:t>
        </w:r>
        <w:r>
          <w:rPr>
            <w:spacing w:val="-3"/>
          </w:rPr>
          <w:t> </w:t>
        </w:r>
        <w:r>
          <w:rPr/>
          <w:t>Consistency</w:t>
        </w:r>
        <w:r>
          <w:rPr>
            <w:spacing w:val="-5"/>
          </w:rPr>
          <w:t> </w:t>
        </w:r>
        <w:r>
          <w:rPr/>
          <w:t>with</w:t>
        </w:r>
        <w:r>
          <w:rPr>
            <w:spacing w:val="-5"/>
          </w:rPr>
          <w:t> </w:t>
        </w:r>
        <w:r>
          <w:rPr/>
          <w:t>Plan</w:t>
        </w:r>
        <w:r>
          <w:rPr>
            <w:spacing w:val="-4"/>
          </w:rPr>
          <w:t> </w:t>
        </w:r>
        <w:r>
          <w:rPr>
            <w:spacing w:val="-2"/>
          </w:rPr>
          <w:t>Components</w:t>
        </w:r>
        <w:r>
          <w:rPr/>
          <w:tab/>
        </w:r>
        <w:r>
          <w:rPr>
            <w:spacing w:val="-5"/>
          </w:rPr>
          <w:t>21</w:t>
        </w:r>
      </w:hyperlink>
    </w:p>
    <w:p>
      <w:pPr>
        <w:pStyle w:val="BodyText"/>
        <w:tabs>
          <w:tab w:pos="9713" w:val="right" w:leader="dot"/>
        </w:tabs>
        <w:ind w:left="1800"/>
      </w:pPr>
      <w:hyperlink w:history="true" w:anchor="_bookmark45">
        <w:r>
          <w:rPr/>
          <w:t>A</w:t>
        </w:r>
      </w:hyperlink>
      <w:hyperlink w:history="true" w:anchor="_bookmark45">
        <w:r>
          <w:rPr/>
          <w:t>ppendix</w:t>
        </w:r>
        <w:r>
          <w:rPr>
            <w:spacing w:val="-3"/>
          </w:rPr>
          <w:t> </w:t>
        </w:r>
        <w:r>
          <w:rPr/>
          <w:t>B:</w:t>
        </w:r>
        <w:r>
          <w:rPr>
            <w:spacing w:val="-5"/>
          </w:rPr>
          <w:t> </w:t>
        </w:r>
        <w:r>
          <w:rPr/>
          <w:t>Proposed</w:t>
        </w:r>
        <w:r>
          <w:rPr>
            <w:spacing w:val="-6"/>
          </w:rPr>
          <w:t> </w:t>
        </w:r>
        <w:r>
          <w:rPr/>
          <w:t>and</w:t>
        </w:r>
        <w:r>
          <w:rPr>
            <w:spacing w:val="-6"/>
          </w:rPr>
          <w:t> </w:t>
        </w:r>
        <w:r>
          <w:rPr/>
          <w:t>Possible</w:t>
        </w:r>
        <w:r>
          <w:rPr>
            <w:spacing w:val="-6"/>
          </w:rPr>
          <w:t> </w:t>
        </w:r>
        <w:r>
          <w:rPr/>
          <w:t>Management</w:t>
        </w:r>
        <w:r>
          <w:rPr>
            <w:spacing w:val="-2"/>
          </w:rPr>
          <w:t> Actions</w:t>
        </w:r>
        <w:r>
          <w:rPr/>
          <w:tab/>
        </w:r>
        <w:r>
          <w:rPr>
            <w:spacing w:val="-5"/>
          </w:rPr>
          <w:t>21</w:t>
        </w:r>
      </w:hyperlink>
    </w:p>
    <w:p>
      <w:pPr>
        <w:pStyle w:val="BodyText"/>
        <w:tabs>
          <w:tab w:pos="9713" w:val="right" w:leader="dot"/>
        </w:tabs>
        <w:ind w:left="1800"/>
      </w:pPr>
      <w:hyperlink w:history="true" w:anchor="_bookmark46">
        <w:r>
          <w:rPr/>
          <w:t>A</w:t>
        </w:r>
      </w:hyperlink>
      <w:hyperlink w:history="true" w:anchor="_bookmark46">
        <w:r>
          <w:rPr/>
          <w:t>ppendix</w:t>
        </w:r>
        <w:r>
          <w:rPr>
            <w:spacing w:val="-6"/>
          </w:rPr>
          <w:t> </w:t>
        </w:r>
        <w:r>
          <w:rPr/>
          <w:t>C:</w:t>
        </w:r>
        <w:r>
          <w:rPr>
            <w:spacing w:val="-5"/>
          </w:rPr>
          <w:t> </w:t>
        </w:r>
        <w:r>
          <w:rPr/>
          <w:t>Wildlife,</w:t>
        </w:r>
        <w:r>
          <w:rPr>
            <w:spacing w:val="-4"/>
          </w:rPr>
          <w:t> </w:t>
        </w:r>
        <w:r>
          <w:rPr/>
          <w:t>Fish</w:t>
        </w:r>
        <w:r>
          <w:rPr>
            <w:spacing w:val="-5"/>
          </w:rPr>
          <w:t> </w:t>
        </w:r>
        <w:r>
          <w:rPr/>
          <w:t>and</w:t>
        </w:r>
        <w:r>
          <w:rPr>
            <w:spacing w:val="-4"/>
          </w:rPr>
          <w:t> </w:t>
        </w:r>
        <w:r>
          <w:rPr/>
          <w:t>Plant</w:t>
        </w:r>
        <w:r>
          <w:rPr>
            <w:spacing w:val="-3"/>
          </w:rPr>
          <w:t> </w:t>
        </w:r>
        <w:r>
          <w:rPr/>
          <w:t>Species</w:t>
        </w:r>
        <w:r>
          <w:rPr>
            <w:spacing w:val="-6"/>
          </w:rPr>
          <w:t> </w:t>
        </w:r>
        <w:r>
          <w:rPr/>
          <w:t>of</w:t>
        </w:r>
        <w:r>
          <w:rPr>
            <w:spacing w:val="-4"/>
          </w:rPr>
          <w:t> </w:t>
        </w:r>
        <w:r>
          <w:rPr/>
          <w:t>the</w:t>
        </w:r>
        <w:r>
          <w:rPr>
            <w:spacing w:val="-3"/>
          </w:rPr>
          <w:t> </w:t>
        </w:r>
        <w:r>
          <w:rPr/>
          <w:t>Colville</w:t>
        </w:r>
        <w:r>
          <w:rPr>
            <w:spacing w:val="-3"/>
          </w:rPr>
          <w:t> </w:t>
        </w:r>
        <w:r>
          <w:rPr/>
          <w:t>National</w:t>
        </w:r>
        <w:r>
          <w:rPr>
            <w:spacing w:val="-3"/>
          </w:rPr>
          <w:t> </w:t>
        </w:r>
        <w:r>
          <w:rPr>
            <w:spacing w:val="-2"/>
          </w:rPr>
          <w:t>Forest</w:t>
        </w:r>
        <w:r>
          <w:rPr/>
          <w:tab/>
        </w:r>
        <w:r>
          <w:rPr>
            <w:spacing w:val="-5"/>
          </w:rPr>
          <w:t>21</w:t>
        </w:r>
      </w:hyperlink>
    </w:p>
    <w:p>
      <w:pPr>
        <w:pStyle w:val="BodyText"/>
        <w:tabs>
          <w:tab w:pos="9713" w:val="right" w:leader="dot"/>
        </w:tabs>
        <w:ind w:left="1800"/>
      </w:pPr>
      <w:hyperlink w:history="true" w:anchor="_bookmark47">
        <w:r>
          <w:rPr/>
          <w:t>A</w:t>
        </w:r>
      </w:hyperlink>
      <w:hyperlink w:history="true" w:anchor="_bookmark47">
        <w:r>
          <w:rPr/>
          <w:t>ppendix</w:t>
        </w:r>
        <w:r>
          <w:rPr>
            <w:spacing w:val="-5"/>
          </w:rPr>
          <w:t> </w:t>
        </w:r>
        <w:r>
          <w:rPr/>
          <w:t>D:</w:t>
        </w:r>
        <w:r>
          <w:rPr>
            <w:spacing w:val="-5"/>
          </w:rPr>
          <w:t> </w:t>
        </w:r>
        <w:r>
          <w:rPr/>
          <w:t>Scenic</w:t>
        </w:r>
        <w:r>
          <w:rPr>
            <w:spacing w:val="-5"/>
          </w:rPr>
          <w:t> </w:t>
        </w:r>
        <w:r>
          <w:rPr/>
          <w:t>Integrity</w:t>
        </w:r>
        <w:r>
          <w:rPr>
            <w:spacing w:val="-3"/>
          </w:rPr>
          <w:t> </w:t>
        </w:r>
        <w:r>
          <w:rPr>
            <w:spacing w:val="-2"/>
          </w:rPr>
          <w:t>Objectives</w:t>
        </w:r>
        <w:r>
          <w:rPr/>
          <w:tab/>
        </w:r>
        <w:r>
          <w:rPr>
            <w:spacing w:val="-5"/>
          </w:rPr>
          <w:t>22</w:t>
        </w:r>
      </w:hyperlink>
    </w:p>
    <w:p>
      <w:pPr>
        <w:pStyle w:val="BodyText"/>
        <w:tabs>
          <w:tab w:pos="9713" w:val="right" w:leader="dot"/>
        </w:tabs>
        <w:spacing w:before="1"/>
        <w:ind w:left="1800"/>
      </w:pPr>
      <w:hyperlink w:history="true" w:anchor="_bookmark48">
        <w:r>
          <w:rPr/>
          <w:t>A</w:t>
        </w:r>
      </w:hyperlink>
      <w:hyperlink w:history="true" w:anchor="_bookmark48">
        <w:r>
          <w:rPr/>
          <w:t>ppendix</w:t>
        </w:r>
        <w:r>
          <w:rPr>
            <w:spacing w:val="-7"/>
          </w:rPr>
          <w:t> </w:t>
        </w:r>
        <w:r>
          <w:rPr/>
          <w:t>E:</w:t>
        </w:r>
        <w:r>
          <w:rPr>
            <w:spacing w:val="-3"/>
          </w:rPr>
          <w:t> </w:t>
        </w:r>
        <w:r>
          <w:rPr/>
          <w:t>Suitable</w:t>
        </w:r>
        <w:r>
          <w:rPr>
            <w:spacing w:val="-5"/>
          </w:rPr>
          <w:t> </w:t>
        </w:r>
        <w:r>
          <w:rPr>
            <w:spacing w:val="-4"/>
          </w:rPr>
          <w:t>Uses</w:t>
        </w:r>
        <w:r>
          <w:rPr/>
          <w:tab/>
        </w:r>
        <w:r>
          <w:rPr>
            <w:spacing w:val="-5"/>
          </w:rPr>
          <w:t>22</w:t>
        </w:r>
      </w:hyperlink>
    </w:p>
    <w:p>
      <w:pPr>
        <w:pStyle w:val="BodyText"/>
        <w:tabs>
          <w:tab w:pos="9713" w:val="right" w:leader="dot"/>
        </w:tabs>
        <w:ind w:left="1801"/>
      </w:pPr>
      <w:hyperlink w:history="true" w:anchor="_bookmark49">
        <w:r>
          <w:rPr/>
          <w:t>A</w:t>
        </w:r>
      </w:hyperlink>
      <w:hyperlink w:history="true" w:anchor="_bookmark49">
        <w:r>
          <w:rPr/>
          <w:t>ppendix</w:t>
        </w:r>
        <w:r>
          <w:rPr>
            <w:spacing w:val="-5"/>
          </w:rPr>
          <w:t> </w:t>
        </w:r>
        <w:r>
          <w:rPr/>
          <w:t>F:</w:t>
        </w:r>
        <w:r>
          <w:rPr>
            <w:spacing w:val="-4"/>
          </w:rPr>
          <w:t> </w:t>
        </w:r>
        <w:r>
          <w:rPr/>
          <w:t>Recreation</w:t>
        </w:r>
        <w:r>
          <w:rPr>
            <w:spacing w:val="-7"/>
          </w:rPr>
          <w:t> </w:t>
        </w:r>
        <w:r>
          <w:rPr/>
          <w:t>Opportunity</w:t>
        </w:r>
        <w:r>
          <w:rPr>
            <w:spacing w:val="-5"/>
          </w:rPr>
          <w:t> </w:t>
        </w:r>
        <w:r>
          <w:rPr>
            <w:spacing w:val="-2"/>
          </w:rPr>
          <w:t>Spectrum</w:t>
        </w:r>
        <w:r>
          <w:rPr/>
          <w:tab/>
        </w:r>
        <w:r>
          <w:rPr>
            <w:spacing w:val="-5"/>
          </w:rPr>
          <w:t>22</w:t>
        </w:r>
      </w:hyperlink>
    </w:p>
    <w:p>
      <w:pPr>
        <w:pStyle w:val="BodyText"/>
        <w:rPr>
          <w:sz w:val="20"/>
        </w:rPr>
      </w:pPr>
    </w:p>
    <w:p>
      <w:pPr>
        <w:pStyle w:val="BodyText"/>
        <w:rPr>
          <w:sz w:val="20"/>
        </w:rPr>
      </w:pPr>
    </w:p>
    <w:p>
      <w:pPr>
        <w:pStyle w:val="BodyText"/>
        <w:rPr>
          <w:sz w:val="20"/>
        </w:rPr>
      </w:pPr>
    </w:p>
    <w:p>
      <w:pPr>
        <w:pStyle w:val="BodyText"/>
        <w:spacing w:before="11"/>
        <w:rPr>
          <w:sz w:val="20"/>
        </w:rPr>
      </w:pPr>
      <w:r>
        <w:rPr>
          <w:sz w:val="20"/>
        </w:rPr>
        <mc:AlternateContent>
          <mc:Choice Requires="wps">
            <w:drawing>
              <wp:anchor distT="0" distB="0" distL="0" distR="0" allowOverlap="1" layoutInCell="1" locked="0" behindDoc="1" simplePos="0" relativeHeight="487589888">
                <wp:simplePos x="0" y="0"/>
                <wp:positionH relativeFrom="page">
                  <wp:posOffset>1353311</wp:posOffset>
                </wp:positionH>
                <wp:positionV relativeFrom="paragraph">
                  <wp:posOffset>177254</wp:posOffset>
                </wp:positionV>
                <wp:extent cx="5523230" cy="12700"/>
                <wp:effectExtent l="0" t="0" r="0" b="0"/>
                <wp:wrapTopAndBottom/>
                <wp:docPr id="19" name="Graphic 19"/>
                <wp:cNvGraphicFramePr>
                  <a:graphicFrameLocks/>
                </wp:cNvGraphicFramePr>
                <a:graphic>
                  <a:graphicData uri="http://schemas.microsoft.com/office/word/2010/wordprocessingShape">
                    <wps:wsp>
                      <wps:cNvPr id="19" name="Graphic 19"/>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06.559998pt;margin-top:13.957031pt;width:434.88pt;height:.96pt;mso-position-horizontal-relative:page;mso-position-vertical-relative:paragraph;z-index:-15726592;mso-wrap-distance-left:0;mso-wrap-distance-right:0" id="docshape16" filled="true" fillcolor="#000000" stroked="false">
                <v:fill type="solid"/>
                <w10:wrap type="topAndBottom"/>
              </v:rect>
            </w:pict>
          </mc:Fallback>
        </mc:AlternateContent>
      </w:r>
    </w:p>
    <w:p>
      <w:pPr>
        <w:pStyle w:val="BodyText"/>
        <w:spacing w:after="0"/>
        <w:rPr>
          <w:sz w:val="20"/>
        </w:rPr>
        <w:sectPr>
          <w:headerReference w:type="default" r:id="rId15"/>
          <w:headerReference w:type="even" r:id="rId16"/>
          <w:footerReference w:type="default" r:id="rId17"/>
          <w:footerReference w:type="even" r:id="rId18"/>
          <w:pgSz w:w="12240" w:h="15840"/>
          <w:pgMar w:header="725" w:footer="721" w:top="960" w:bottom="920" w:left="1080" w:right="720"/>
          <w:pgNumType w:start="3"/>
        </w:sectPr>
      </w:pPr>
    </w:p>
    <w:p>
      <w:pPr>
        <w:pStyle w:val="BodyText"/>
        <w:tabs>
          <w:tab w:pos="8767" w:val="left" w:leader="dot"/>
        </w:tabs>
        <w:spacing w:before="474"/>
        <w:ind w:left="1080" w:right="1445"/>
      </w:pPr>
      <w:hyperlink w:history="true" w:anchor="_bookmark50">
        <w:r>
          <w:rPr/>
          <w:t>A</w:t>
        </w:r>
      </w:hyperlink>
      <w:hyperlink w:history="true" w:anchor="_bookmark50">
        <w:r>
          <w:rPr/>
          <w:t>ppendix G: Sites with Administrative Designations and Areas Withdrawn from Mineral</w:t>
        </w:r>
      </w:hyperlink>
      <w:r>
        <w:rPr/>
        <w:t> </w:t>
      </w:r>
      <w:hyperlink w:history="true" w:anchor="_bookmark50">
        <w:r>
          <w:rPr>
            <w:spacing w:val="-2"/>
          </w:rPr>
          <w:t>E</w:t>
        </w:r>
      </w:hyperlink>
      <w:hyperlink w:history="true" w:anchor="_bookmark50">
        <w:r>
          <w:rPr>
            <w:spacing w:val="-2"/>
          </w:rPr>
          <w:t>ntry</w:t>
        </w:r>
        <w:r>
          <w:rPr/>
          <w:tab/>
        </w:r>
        <w:r>
          <w:rPr>
            <w:spacing w:val="-5"/>
          </w:rPr>
          <w:t>22</w:t>
        </w:r>
      </w:hyperlink>
    </w:p>
    <w:p>
      <w:pPr>
        <w:pStyle w:val="BodyText"/>
        <w:tabs>
          <w:tab w:pos="8767" w:val="left" w:leader="dot"/>
        </w:tabs>
        <w:spacing w:before="1"/>
        <w:ind w:left="1080"/>
      </w:pPr>
      <w:hyperlink w:history="true" w:anchor="_bookmark51">
        <w:r>
          <w:rPr/>
          <w:t>A</w:t>
        </w:r>
      </w:hyperlink>
      <w:hyperlink w:history="true" w:anchor="_bookmark51">
        <w:r>
          <w:rPr/>
          <w:t>ppendix</w:t>
        </w:r>
        <w:r>
          <w:rPr>
            <w:spacing w:val="-5"/>
          </w:rPr>
          <w:t> </w:t>
        </w:r>
        <w:r>
          <w:rPr/>
          <w:t>H:</w:t>
        </w:r>
        <w:r>
          <w:rPr>
            <w:spacing w:val="-4"/>
          </w:rPr>
          <w:t> </w:t>
        </w:r>
        <w:r>
          <w:rPr/>
          <w:t>Management</w:t>
        </w:r>
        <w:r>
          <w:rPr>
            <w:spacing w:val="-6"/>
          </w:rPr>
          <w:t> </w:t>
        </w:r>
        <w:r>
          <w:rPr/>
          <w:t>Area</w:t>
        </w:r>
        <w:r>
          <w:rPr>
            <w:spacing w:val="-4"/>
          </w:rPr>
          <w:t> </w:t>
        </w:r>
        <w:r>
          <w:rPr>
            <w:spacing w:val="-5"/>
          </w:rPr>
          <w:t>Map</w:t>
        </w:r>
        <w:r>
          <w:rPr/>
          <w:tab/>
        </w:r>
        <w:r>
          <w:rPr>
            <w:spacing w:val="-5"/>
          </w:rPr>
          <w:t>22</w:t>
        </w:r>
      </w:hyperlink>
    </w:p>
    <w:p>
      <w:pPr>
        <w:pStyle w:val="BodyText"/>
        <w:tabs>
          <w:tab w:pos="8767" w:val="left" w:leader="dot"/>
        </w:tabs>
        <w:spacing w:line="268" w:lineRule="exact"/>
        <w:ind w:left="599"/>
      </w:pPr>
      <w:hyperlink w:history="true" w:anchor="_bookmark52">
        <w:r>
          <w:rPr/>
          <w:t>R</w:t>
        </w:r>
      </w:hyperlink>
      <w:hyperlink w:history="true" w:anchor="_bookmark52">
        <w:r>
          <w:rPr/>
          <w:t>oles</w:t>
        </w:r>
        <w:r>
          <w:rPr>
            <w:spacing w:val="-6"/>
          </w:rPr>
          <w:t> </w:t>
        </w:r>
        <w:r>
          <w:rPr/>
          <w:t>and</w:t>
        </w:r>
        <w:r>
          <w:rPr>
            <w:spacing w:val="-5"/>
          </w:rPr>
          <w:t> </w:t>
        </w:r>
        <w:r>
          <w:rPr/>
          <w:t>Contributions</w:t>
        </w:r>
        <w:r>
          <w:rPr>
            <w:spacing w:val="-4"/>
          </w:rPr>
          <w:t> </w:t>
        </w:r>
        <w:r>
          <w:rPr/>
          <w:t>for</w:t>
        </w:r>
        <w:r>
          <w:rPr>
            <w:spacing w:val="-6"/>
          </w:rPr>
          <w:t> </w:t>
        </w:r>
        <w:r>
          <w:rPr/>
          <w:t>the</w:t>
        </w:r>
        <w:r>
          <w:rPr>
            <w:spacing w:val="-3"/>
          </w:rPr>
          <w:t> </w:t>
        </w:r>
        <w:r>
          <w:rPr/>
          <w:t>Colville</w:t>
        </w:r>
        <w:r>
          <w:rPr>
            <w:spacing w:val="-3"/>
          </w:rPr>
          <w:t> </w:t>
        </w:r>
        <w:r>
          <w:rPr/>
          <w:t>National</w:t>
        </w:r>
        <w:r>
          <w:rPr>
            <w:spacing w:val="-3"/>
          </w:rPr>
          <w:t> </w:t>
        </w:r>
        <w:r>
          <w:rPr>
            <w:spacing w:val="-2"/>
          </w:rPr>
          <w:t>Forest</w:t>
        </w:r>
        <w:r>
          <w:rPr/>
          <w:tab/>
        </w:r>
        <w:r>
          <w:rPr>
            <w:spacing w:val="-5"/>
          </w:rPr>
          <w:t>23</w:t>
        </w:r>
      </w:hyperlink>
    </w:p>
    <w:p>
      <w:pPr>
        <w:pStyle w:val="BodyText"/>
        <w:tabs>
          <w:tab w:pos="8767" w:val="left" w:leader="dot"/>
        </w:tabs>
        <w:spacing w:line="268" w:lineRule="exact"/>
        <w:ind w:left="799"/>
      </w:pPr>
      <w:hyperlink w:history="true" w:anchor="_bookmark53">
        <w:r>
          <w:rPr/>
          <w:t>I</w:t>
        </w:r>
      </w:hyperlink>
      <w:hyperlink w:history="true" w:anchor="_bookmark53">
        <w:r>
          <w:rPr/>
          <w:t>nternational</w:t>
        </w:r>
        <w:r>
          <w:rPr>
            <w:spacing w:val="-12"/>
          </w:rPr>
          <w:t> </w:t>
        </w:r>
        <w:r>
          <w:rPr>
            <w:spacing w:val="-4"/>
          </w:rPr>
          <w:t>Level</w:t>
        </w:r>
        <w:r>
          <w:rPr/>
          <w:tab/>
        </w:r>
        <w:r>
          <w:rPr>
            <w:spacing w:val="-5"/>
          </w:rPr>
          <w:t>23</w:t>
        </w:r>
      </w:hyperlink>
    </w:p>
    <w:p>
      <w:pPr>
        <w:pStyle w:val="BodyText"/>
        <w:tabs>
          <w:tab w:pos="8767" w:val="left" w:leader="dot"/>
        </w:tabs>
        <w:ind w:left="799"/>
      </w:pPr>
      <w:hyperlink w:history="true" w:anchor="_bookmark54">
        <w:r>
          <w:rPr/>
          <w:t>N</w:t>
        </w:r>
      </w:hyperlink>
      <w:hyperlink w:history="true" w:anchor="_bookmark54">
        <w:r>
          <w:rPr/>
          <w:t>ational</w:t>
        </w:r>
        <w:r>
          <w:rPr>
            <w:spacing w:val="-4"/>
          </w:rPr>
          <w:t> </w:t>
        </w:r>
        <w:r>
          <w:rPr>
            <w:spacing w:val="-2"/>
          </w:rPr>
          <w:t>Level</w:t>
        </w:r>
        <w:r>
          <w:rPr/>
          <w:tab/>
        </w:r>
        <w:r>
          <w:rPr>
            <w:spacing w:val="-5"/>
          </w:rPr>
          <w:t>23</w:t>
        </w:r>
      </w:hyperlink>
    </w:p>
    <w:p>
      <w:pPr>
        <w:pStyle w:val="BodyText"/>
        <w:tabs>
          <w:tab w:pos="8767" w:val="left" w:leader="dot"/>
        </w:tabs>
        <w:ind w:left="799"/>
      </w:pPr>
      <w:hyperlink w:history="true" w:anchor="_bookmark55">
        <w:r>
          <w:rPr/>
          <w:t>P</w:t>
        </w:r>
      </w:hyperlink>
      <w:hyperlink w:history="true" w:anchor="_bookmark55">
        <w:r>
          <w:rPr/>
          <w:t>acific</w:t>
        </w:r>
        <w:r>
          <w:rPr>
            <w:spacing w:val="-6"/>
          </w:rPr>
          <w:t> </w:t>
        </w:r>
        <w:r>
          <w:rPr/>
          <w:t>Northwest</w:t>
        </w:r>
        <w:r>
          <w:rPr>
            <w:spacing w:val="-7"/>
          </w:rPr>
          <w:t> </w:t>
        </w:r>
        <w:r>
          <w:rPr/>
          <w:t>Regional</w:t>
        </w:r>
        <w:r>
          <w:rPr>
            <w:spacing w:val="-8"/>
          </w:rPr>
          <w:t> </w:t>
        </w:r>
        <w:r>
          <w:rPr>
            <w:spacing w:val="-4"/>
          </w:rPr>
          <w:t>Level</w:t>
        </w:r>
      </w:hyperlink>
      <w:r>
        <w:rPr/>
        <w:tab/>
      </w:r>
      <w:hyperlink w:history="true" w:anchor="_bookmark55">
        <w:r>
          <w:rPr>
            <w:spacing w:val="-5"/>
          </w:rPr>
          <w:t>24</w:t>
        </w:r>
      </w:hyperlink>
    </w:p>
    <w:p>
      <w:pPr>
        <w:pStyle w:val="BodyText"/>
        <w:tabs>
          <w:tab w:pos="8767" w:val="left" w:leader="dot"/>
        </w:tabs>
        <w:ind w:left="799"/>
      </w:pPr>
      <w:hyperlink w:history="true" w:anchor="_bookmark57">
        <w:r>
          <w:rPr/>
          <w:t>S</w:t>
        </w:r>
      </w:hyperlink>
      <w:hyperlink w:history="true" w:anchor="_bookmark57">
        <w:r>
          <w:rPr/>
          <w:t>tate</w:t>
        </w:r>
        <w:r>
          <w:rPr>
            <w:spacing w:val="-4"/>
          </w:rPr>
          <w:t> </w:t>
        </w:r>
        <w:r>
          <w:rPr/>
          <w:t>and</w:t>
        </w:r>
        <w:r>
          <w:rPr>
            <w:spacing w:val="-5"/>
          </w:rPr>
          <w:t> </w:t>
        </w:r>
        <w:r>
          <w:rPr/>
          <w:t>Local</w:t>
        </w:r>
        <w:r>
          <w:rPr>
            <w:spacing w:val="-2"/>
          </w:rPr>
          <w:t> </w:t>
        </w:r>
        <w:r>
          <w:rPr>
            <w:spacing w:val="-4"/>
          </w:rPr>
          <w:t>Level</w:t>
        </w:r>
        <w:r>
          <w:rPr/>
          <w:tab/>
        </w:r>
        <w:r>
          <w:rPr>
            <w:spacing w:val="-5"/>
          </w:rPr>
          <w:t>25</w:t>
        </w:r>
      </w:hyperlink>
    </w:p>
    <w:p>
      <w:pPr>
        <w:pStyle w:val="BodyText"/>
        <w:tabs>
          <w:tab w:pos="8767" w:val="left" w:leader="dot"/>
        </w:tabs>
        <w:ind w:left="360"/>
      </w:pPr>
      <w:hyperlink w:history="true" w:anchor="_bookmark58">
        <w:r>
          <w:rPr/>
          <w:t>C</w:t>
        </w:r>
      </w:hyperlink>
      <w:hyperlink w:history="true" w:anchor="_bookmark58">
        <w:r>
          <w:rPr/>
          <w:t>hapter</w:t>
        </w:r>
        <w:r>
          <w:rPr>
            <w:spacing w:val="-4"/>
          </w:rPr>
          <w:t> </w:t>
        </w:r>
        <w:r>
          <w:rPr>
            <w:spacing w:val="-10"/>
          </w:rPr>
          <w:t>2</w:t>
        </w:r>
        <w:r>
          <w:rPr/>
          <w:tab/>
        </w:r>
        <w:r>
          <w:rPr>
            <w:spacing w:val="-5"/>
          </w:rPr>
          <w:t>27</w:t>
        </w:r>
      </w:hyperlink>
    </w:p>
    <w:p>
      <w:pPr>
        <w:pStyle w:val="BodyText"/>
        <w:tabs>
          <w:tab w:pos="8767" w:val="left" w:leader="dot"/>
        </w:tabs>
        <w:ind w:left="600"/>
      </w:pPr>
      <w:hyperlink w:history="true" w:anchor="_bookmark59">
        <w:r>
          <w:rPr/>
          <w:t>F</w:t>
        </w:r>
      </w:hyperlink>
      <w:hyperlink w:history="true" w:anchor="_bookmark59">
        <w:r>
          <w:rPr/>
          <w:t>orestwide</w:t>
        </w:r>
        <w:r>
          <w:rPr>
            <w:spacing w:val="-5"/>
          </w:rPr>
          <w:t> </w:t>
        </w:r>
        <w:r>
          <w:rPr/>
          <w:t>Direction</w:t>
        </w:r>
        <w:r>
          <w:rPr>
            <w:spacing w:val="-6"/>
          </w:rPr>
          <w:t> </w:t>
        </w:r>
        <w:r>
          <w:rPr/>
          <w:t>–</w:t>
        </w:r>
        <w:r>
          <w:rPr>
            <w:spacing w:val="-2"/>
          </w:rPr>
          <w:t> Introduction</w:t>
        </w:r>
        <w:r>
          <w:rPr/>
          <w:tab/>
        </w:r>
        <w:r>
          <w:rPr>
            <w:spacing w:val="-5"/>
          </w:rPr>
          <w:t>27</w:t>
        </w:r>
      </w:hyperlink>
    </w:p>
    <w:p>
      <w:pPr>
        <w:pStyle w:val="BodyText"/>
        <w:tabs>
          <w:tab w:pos="8767" w:val="left" w:leader="dot"/>
        </w:tabs>
        <w:spacing w:before="1"/>
        <w:ind w:left="600"/>
      </w:pPr>
      <w:hyperlink w:history="true" w:anchor="_bookmark60">
        <w:r>
          <w:rPr/>
          <w:t>F</w:t>
        </w:r>
      </w:hyperlink>
      <w:hyperlink w:history="true" w:anchor="_bookmark60">
        <w:r>
          <w:rPr/>
          <w:t>orestwide</w:t>
        </w:r>
        <w:r>
          <w:rPr>
            <w:spacing w:val="-7"/>
          </w:rPr>
          <w:t> </w:t>
        </w:r>
        <w:r>
          <w:rPr/>
          <w:t>Direction</w:t>
        </w:r>
        <w:r>
          <w:rPr>
            <w:spacing w:val="-7"/>
          </w:rPr>
          <w:t> </w:t>
        </w:r>
        <w:r>
          <w:rPr/>
          <w:t>–</w:t>
        </w:r>
        <w:r>
          <w:rPr>
            <w:spacing w:val="-6"/>
          </w:rPr>
          <w:t> </w:t>
        </w:r>
        <w:r>
          <w:rPr/>
          <w:t>Landscape</w:t>
        </w:r>
        <w:r>
          <w:rPr>
            <w:spacing w:val="-3"/>
          </w:rPr>
          <w:t> </w:t>
        </w:r>
        <w:r>
          <w:rPr/>
          <w:t>Features</w:t>
        </w:r>
        <w:r>
          <w:rPr>
            <w:spacing w:val="-4"/>
          </w:rPr>
          <w:t> </w:t>
        </w:r>
        <w:r>
          <w:rPr/>
          <w:t>and</w:t>
        </w:r>
        <w:r>
          <w:rPr>
            <w:spacing w:val="-7"/>
          </w:rPr>
          <w:t> </w:t>
        </w:r>
        <w:r>
          <w:rPr>
            <w:spacing w:val="-2"/>
          </w:rPr>
          <w:t>Dynamics</w:t>
        </w:r>
        <w:r>
          <w:rPr/>
          <w:tab/>
        </w:r>
        <w:r>
          <w:rPr>
            <w:spacing w:val="-5"/>
          </w:rPr>
          <w:t>28</w:t>
        </w:r>
      </w:hyperlink>
    </w:p>
    <w:p>
      <w:pPr>
        <w:pStyle w:val="BodyText"/>
        <w:tabs>
          <w:tab w:pos="8767" w:val="left" w:leader="dot"/>
        </w:tabs>
        <w:ind w:left="799"/>
      </w:pPr>
      <w:hyperlink w:history="true" w:anchor="_bookmark61">
        <w:r>
          <w:rPr/>
          <w:t>A</w:t>
        </w:r>
      </w:hyperlink>
      <w:hyperlink w:history="true" w:anchor="_bookmark61">
        <w:r>
          <w:rPr/>
          <w:t>ir</w:t>
        </w:r>
        <w:r>
          <w:rPr>
            <w:spacing w:val="-2"/>
          </w:rPr>
          <w:t> (AIR)</w:t>
        </w:r>
        <w:r>
          <w:rPr/>
          <w:tab/>
        </w:r>
        <w:r>
          <w:rPr>
            <w:spacing w:val="-5"/>
          </w:rPr>
          <w:t>29</w:t>
        </w:r>
      </w:hyperlink>
    </w:p>
    <w:p>
      <w:pPr>
        <w:pStyle w:val="BodyText"/>
        <w:tabs>
          <w:tab w:pos="8767" w:val="left" w:leader="dot"/>
        </w:tabs>
        <w:ind w:left="1080"/>
      </w:pPr>
      <w:hyperlink w:history="true" w:anchor="_bookmark62">
        <w:r>
          <w:rPr/>
          <w:t>D</w:t>
        </w:r>
      </w:hyperlink>
      <w:hyperlink w:history="true" w:anchor="_bookmark62">
        <w:r>
          <w:rPr/>
          <w:t>esired</w:t>
        </w:r>
        <w:r>
          <w:rPr>
            <w:spacing w:val="-5"/>
          </w:rPr>
          <w:t> </w:t>
        </w:r>
        <w:r>
          <w:rPr>
            <w:spacing w:val="-2"/>
          </w:rPr>
          <w:t>Condition</w:t>
        </w:r>
        <w:r>
          <w:rPr/>
          <w:tab/>
        </w:r>
        <w:r>
          <w:rPr>
            <w:spacing w:val="-5"/>
          </w:rPr>
          <w:t>29</w:t>
        </w:r>
      </w:hyperlink>
    </w:p>
    <w:p>
      <w:pPr>
        <w:pStyle w:val="BodyText"/>
        <w:tabs>
          <w:tab w:pos="8767" w:val="left" w:leader="dot"/>
        </w:tabs>
        <w:spacing w:line="268" w:lineRule="exact"/>
        <w:ind w:left="1080"/>
      </w:pPr>
      <w:hyperlink w:history="true" w:anchor="_bookmark63">
        <w:r>
          <w:rPr>
            <w:spacing w:val="-2"/>
          </w:rPr>
          <w:t>S</w:t>
        </w:r>
      </w:hyperlink>
      <w:hyperlink w:history="true" w:anchor="_bookmark63">
        <w:r>
          <w:rPr>
            <w:spacing w:val="-2"/>
          </w:rPr>
          <w:t>tandard</w:t>
        </w:r>
        <w:r>
          <w:rPr/>
          <w:tab/>
        </w:r>
        <w:r>
          <w:rPr>
            <w:spacing w:val="-5"/>
          </w:rPr>
          <w:t>29</w:t>
        </w:r>
      </w:hyperlink>
    </w:p>
    <w:p>
      <w:pPr>
        <w:pStyle w:val="BodyText"/>
        <w:tabs>
          <w:tab w:pos="8767" w:val="left" w:leader="dot"/>
        </w:tabs>
        <w:spacing w:line="268" w:lineRule="exact"/>
        <w:ind w:left="799"/>
      </w:pPr>
      <w:hyperlink w:history="true" w:anchor="_bookmark64">
        <w:r>
          <w:rPr/>
          <w:t>So</w:t>
        </w:r>
      </w:hyperlink>
      <w:hyperlink w:history="true" w:anchor="_bookmark64">
        <w:r>
          <w:rPr/>
          <w:t>il</w:t>
        </w:r>
        <w:r>
          <w:rPr>
            <w:spacing w:val="-1"/>
          </w:rPr>
          <w:t> </w:t>
        </w:r>
        <w:r>
          <w:rPr>
            <w:spacing w:val="-2"/>
          </w:rPr>
          <w:t>(SOIL)</w:t>
        </w:r>
        <w:r>
          <w:rPr/>
          <w:tab/>
        </w:r>
        <w:r>
          <w:rPr>
            <w:spacing w:val="-5"/>
          </w:rPr>
          <w:t>29</w:t>
        </w:r>
      </w:hyperlink>
    </w:p>
    <w:p>
      <w:pPr>
        <w:pStyle w:val="BodyText"/>
        <w:tabs>
          <w:tab w:pos="8767" w:val="left" w:leader="dot"/>
        </w:tabs>
        <w:ind w:left="1080"/>
      </w:pPr>
      <w:hyperlink w:history="true" w:anchor="_bookmark65">
        <w:r>
          <w:rPr/>
          <w:t>D</w:t>
        </w:r>
      </w:hyperlink>
      <w:hyperlink w:history="true" w:anchor="_bookmark65">
        <w:r>
          <w:rPr/>
          <w:t>esired</w:t>
        </w:r>
        <w:r>
          <w:rPr>
            <w:spacing w:val="-5"/>
          </w:rPr>
          <w:t> </w:t>
        </w:r>
        <w:r>
          <w:rPr>
            <w:spacing w:val="-2"/>
          </w:rPr>
          <w:t>Conditions</w:t>
        </w:r>
        <w:r>
          <w:rPr/>
          <w:tab/>
        </w:r>
        <w:r>
          <w:rPr>
            <w:spacing w:val="-5"/>
          </w:rPr>
          <w:t>30</w:t>
        </w:r>
      </w:hyperlink>
    </w:p>
    <w:p>
      <w:pPr>
        <w:pStyle w:val="BodyText"/>
        <w:tabs>
          <w:tab w:pos="8767" w:val="left" w:leader="dot"/>
        </w:tabs>
        <w:ind w:left="1080"/>
      </w:pPr>
      <w:hyperlink w:history="true" w:anchor="_bookmark68">
        <w:r>
          <w:rPr>
            <w:spacing w:val="-2"/>
          </w:rPr>
          <w:t>Ob</w:t>
        </w:r>
      </w:hyperlink>
      <w:hyperlink w:history="true" w:anchor="_bookmark68">
        <w:r>
          <w:rPr>
            <w:spacing w:val="-2"/>
          </w:rPr>
          <w:t>jective</w:t>
        </w:r>
        <w:r>
          <w:rPr/>
          <w:tab/>
        </w:r>
        <w:r>
          <w:rPr>
            <w:spacing w:val="-5"/>
          </w:rPr>
          <w:t>32</w:t>
        </w:r>
      </w:hyperlink>
    </w:p>
    <w:p>
      <w:pPr>
        <w:pStyle w:val="BodyText"/>
        <w:tabs>
          <w:tab w:pos="8767" w:val="left" w:leader="dot"/>
        </w:tabs>
        <w:spacing w:before="1"/>
        <w:ind w:left="1080"/>
      </w:pPr>
      <w:hyperlink w:history="true" w:anchor="_bookmark69">
        <w:r>
          <w:rPr>
            <w:spacing w:val="-2"/>
          </w:rPr>
          <w:t>S</w:t>
        </w:r>
      </w:hyperlink>
      <w:hyperlink w:history="true" w:anchor="_bookmark69">
        <w:r>
          <w:rPr>
            <w:spacing w:val="-2"/>
          </w:rPr>
          <w:t>tandard</w:t>
        </w:r>
        <w:r>
          <w:rPr/>
          <w:tab/>
        </w:r>
        <w:r>
          <w:rPr>
            <w:spacing w:val="-5"/>
          </w:rPr>
          <w:t>32</w:t>
        </w:r>
      </w:hyperlink>
    </w:p>
    <w:p>
      <w:pPr>
        <w:pStyle w:val="BodyText"/>
        <w:tabs>
          <w:tab w:pos="8768" w:val="left" w:leader="dot"/>
        </w:tabs>
        <w:ind w:left="1080"/>
      </w:pPr>
      <w:hyperlink w:history="true" w:anchor="_bookmark71">
        <w:r>
          <w:rPr>
            <w:spacing w:val="-2"/>
          </w:rPr>
          <w:t>G</w:t>
        </w:r>
      </w:hyperlink>
      <w:hyperlink w:history="true" w:anchor="_bookmark71">
        <w:r>
          <w:rPr>
            <w:spacing w:val="-2"/>
          </w:rPr>
          <w:t>uidelines</w:t>
        </w:r>
        <w:r>
          <w:rPr/>
          <w:tab/>
        </w:r>
        <w:r>
          <w:rPr>
            <w:spacing w:val="-5"/>
          </w:rPr>
          <w:t>32</w:t>
        </w:r>
      </w:hyperlink>
    </w:p>
    <w:p>
      <w:pPr>
        <w:pStyle w:val="BodyText"/>
        <w:tabs>
          <w:tab w:pos="8768" w:val="left" w:leader="dot"/>
        </w:tabs>
        <w:ind w:left="800"/>
      </w:pPr>
      <w:hyperlink w:history="true" w:anchor="_bookmark73">
        <w:r>
          <w:rPr/>
          <w:t>V</w:t>
        </w:r>
      </w:hyperlink>
      <w:hyperlink w:history="true" w:anchor="_bookmark73">
        <w:r>
          <w:rPr/>
          <w:t>egetation</w:t>
        </w:r>
        <w:r>
          <w:rPr>
            <w:spacing w:val="-8"/>
          </w:rPr>
          <w:t> </w:t>
        </w:r>
        <w:r>
          <w:rPr>
            <w:spacing w:val="-4"/>
          </w:rPr>
          <w:t>(VEG)</w:t>
        </w:r>
        <w:r>
          <w:rPr/>
          <w:tab/>
        </w:r>
        <w:r>
          <w:rPr>
            <w:spacing w:val="-5"/>
          </w:rPr>
          <w:t>33</w:t>
        </w:r>
      </w:hyperlink>
    </w:p>
    <w:p>
      <w:pPr>
        <w:pStyle w:val="BodyText"/>
        <w:tabs>
          <w:tab w:pos="8768" w:val="left" w:leader="dot"/>
        </w:tabs>
        <w:ind w:left="1081"/>
      </w:pPr>
      <w:hyperlink w:history="true" w:anchor="_bookmark76">
        <w:r>
          <w:rPr/>
          <w:t>D</w:t>
        </w:r>
      </w:hyperlink>
      <w:hyperlink w:history="true" w:anchor="_bookmark76">
        <w:r>
          <w:rPr/>
          <w:t>esired</w:t>
        </w:r>
        <w:r>
          <w:rPr>
            <w:spacing w:val="-5"/>
          </w:rPr>
          <w:t> </w:t>
        </w:r>
        <w:r>
          <w:rPr>
            <w:spacing w:val="-2"/>
          </w:rPr>
          <w:t>Conditions</w:t>
        </w:r>
        <w:r>
          <w:rPr/>
          <w:tab/>
        </w:r>
        <w:r>
          <w:rPr>
            <w:spacing w:val="-5"/>
          </w:rPr>
          <w:t>34</w:t>
        </w:r>
      </w:hyperlink>
    </w:p>
    <w:p>
      <w:pPr>
        <w:pStyle w:val="BodyText"/>
        <w:tabs>
          <w:tab w:pos="8768" w:val="left" w:leader="dot"/>
        </w:tabs>
        <w:ind w:left="1081"/>
      </w:pPr>
      <w:hyperlink w:history="true" w:anchor="_bookmark83">
        <w:r>
          <w:rPr>
            <w:spacing w:val="-2"/>
          </w:rPr>
          <w:t>O</w:t>
        </w:r>
      </w:hyperlink>
      <w:hyperlink w:history="true" w:anchor="_bookmark83">
        <w:r>
          <w:rPr>
            <w:spacing w:val="-2"/>
          </w:rPr>
          <w:t>bjectives</w:t>
        </w:r>
        <w:r>
          <w:rPr/>
          <w:tab/>
        </w:r>
        <w:r>
          <w:rPr>
            <w:spacing w:val="-5"/>
          </w:rPr>
          <w:t>39</w:t>
        </w:r>
      </w:hyperlink>
    </w:p>
    <w:p>
      <w:pPr>
        <w:pStyle w:val="BodyText"/>
        <w:tabs>
          <w:tab w:pos="8768" w:val="left" w:leader="dot"/>
        </w:tabs>
        <w:ind w:left="1081"/>
      </w:pPr>
      <w:hyperlink w:history="true" w:anchor="_bookmark84">
        <w:r>
          <w:rPr>
            <w:spacing w:val="-2"/>
          </w:rPr>
          <w:t>S</w:t>
        </w:r>
      </w:hyperlink>
      <w:hyperlink w:history="true" w:anchor="_bookmark84">
        <w:r>
          <w:rPr>
            <w:spacing w:val="-2"/>
          </w:rPr>
          <w:t>tandards</w:t>
        </w:r>
        <w:r>
          <w:rPr/>
          <w:tab/>
        </w:r>
        <w:r>
          <w:rPr>
            <w:spacing w:val="-5"/>
          </w:rPr>
          <w:t>39</w:t>
        </w:r>
      </w:hyperlink>
    </w:p>
    <w:p>
      <w:pPr>
        <w:pStyle w:val="BodyText"/>
        <w:tabs>
          <w:tab w:pos="8768" w:val="left" w:leader="dot"/>
        </w:tabs>
        <w:spacing w:line="268" w:lineRule="exact" w:before="1"/>
        <w:ind w:left="1081"/>
      </w:pPr>
      <w:hyperlink w:history="true" w:anchor="_bookmark87">
        <w:r>
          <w:rPr>
            <w:spacing w:val="-2"/>
          </w:rPr>
          <w:t>G</w:t>
        </w:r>
      </w:hyperlink>
      <w:hyperlink w:history="true" w:anchor="_bookmark87">
        <w:r>
          <w:rPr>
            <w:spacing w:val="-2"/>
          </w:rPr>
          <w:t>uidelines</w:t>
        </w:r>
        <w:r>
          <w:rPr/>
          <w:tab/>
        </w:r>
        <w:r>
          <w:rPr>
            <w:spacing w:val="-5"/>
          </w:rPr>
          <w:t>41</w:t>
        </w:r>
      </w:hyperlink>
    </w:p>
    <w:p>
      <w:pPr>
        <w:pStyle w:val="BodyText"/>
        <w:tabs>
          <w:tab w:pos="8768" w:val="left" w:leader="dot"/>
        </w:tabs>
        <w:spacing w:line="268" w:lineRule="exact"/>
        <w:ind w:left="800"/>
      </w:pPr>
      <w:hyperlink w:history="true" w:anchor="_bookmark88">
        <w:r>
          <w:rPr/>
          <w:t>Wa</w:t>
        </w:r>
      </w:hyperlink>
      <w:hyperlink w:history="true" w:anchor="_bookmark88">
        <w:r>
          <w:rPr/>
          <w:t>ter</w:t>
        </w:r>
        <w:r>
          <w:rPr>
            <w:spacing w:val="-8"/>
          </w:rPr>
          <w:t> </w:t>
        </w:r>
        <w:r>
          <w:rPr/>
          <w:t>Resources</w:t>
        </w:r>
        <w:r>
          <w:rPr>
            <w:spacing w:val="-3"/>
          </w:rPr>
          <w:t> </w:t>
        </w:r>
        <w:r>
          <w:rPr>
            <w:spacing w:val="-4"/>
          </w:rPr>
          <w:t>(WR)</w:t>
        </w:r>
        <w:r>
          <w:rPr/>
          <w:tab/>
        </w:r>
        <w:r>
          <w:rPr>
            <w:spacing w:val="-5"/>
          </w:rPr>
          <w:t>42</w:t>
        </w:r>
      </w:hyperlink>
    </w:p>
    <w:p>
      <w:pPr>
        <w:pStyle w:val="BodyText"/>
        <w:tabs>
          <w:tab w:pos="8768" w:val="left" w:leader="dot"/>
        </w:tabs>
        <w:ind w:left="1081"/>
      </w:pPr>
      <w:hyperlink w:history="true" w:anchor="_bookmark94">
        <w:r>
          <w:rPr/>
          <w:t>D</w:t>
        </w:r>
      </w:hyperlink>
      <w:hyperlink w:history="true" w:anchor="_bookmark94">
        <w:r>
          <w:rPr/>
          <w:t>esired</w:t>
        </w:r>
        <w:r>
          <w:rPr>
            <w:spacing w:val="-5"/>
          </w:rPr>
          <w:t> </w:t>
        </w:r>
        <w:r>
          <w:rPr>
            <w:spacing w:val="-2"/>
          </w:rPr>
          <w:t>Conditions</w:t>
        </w:r>
        <w:r>
          <w:rPr/>
          <w:tab/>
        </w:r>
        <w:r>
          <w:rPr>
            <w:spacing w:val="-5"/>
          </w:rPr>
          <w:t>50</w:t>
        </w:r>
      </w:hyperlink>
    </w:p>
    <w:p>
      <w:pPr>
        <w:pStyle w:val="BodyText"/>
        <w:tabs>
          <w:tab w:pos="8768" w:val="left" w:leader="dot"/>
        </w:tabs>
        <w:ind w:left="1081"/>
      </w:pPr>
      <w:hyperlink w:history="true" w:anchor="_bookmark95">
        <w:r>
          <w:rPr>
            <w:spacing w:val="-2"/>
          </w:rPr>
          <w:t>O</w:t>
        </w:r>
      </w:hyperlink>
      <w:hyperlink w:history="true" w:anchor="_bookmark95">
        <w:r>
          <w:rPr>
            <w:spacing w:val="-2"/>
          </w:rPr>
          <w:t>bjectives</w:t>
        </w:r>
        <w:r>
          <w:rPr/>
          <w:tab/>
        </w:r>
        <w:r>
          <w:rPr>
            <w:spacing w:val="-5"/>
          </w:rPr>
          <w:t>53</w:t>
        </w:r>
      </w:hyperlink>
    </w:p>
    <w:p>
      <w:pPr>
        <w:pStyle w:val="BodyText"/>
        <w:tabs>
          <w:tab w:pos="8768" w:val="left" w:leader="dot"/>
        </w:tabs>
        <w:ind w:left="1081"/>
      </w:pPr>
      <w:hyperlink w:history="true" w:anchor="_bookmark96">
        <w:r>
          <w:rPr>
            <w:spacing w:val="-2"/>
          </w:rPr>
          <w:t>S</w:t>
        </w:r>
      </w:hyperlink>
      <w:hyperlink w:history="true" w:anchor="_bookmark96">
        <w:r>
          <w:rPr>
            <w:spacing w:val="-2"/>
          </w:rPr>
          <w:t>tandards</w:t>
        </w:r>
        <w:r>
          <w:rPr/>
          <w:tab/>
        </w:r>
        <w:r>
          <w:rPr>
            <w:spacing w:val="-5"/>
          </w:rPr>
          <w:t>55</w:t>
        </w:r>
      </w:hyperlink>
    </w:p>
    <w:p>
      <w:pPr>
        <w:pStyle w:val="BodyText"/>
        <w:tabs>
          <w:tab w:pos="8768" w:val="left" w:leader="dot"/>
        </w:tabs>
        <w:ind w:left="1081"/>
      </w:pPr>
      <w:hyperlink w:history="true" w:anchor="_bookmark97">
        <w:r>
          <w:rPr>
            <w:spacing w:val="-2"/>
          </w:rPr>
          <w:t>G</w:t>
        </w:r>
      </w:hyperlink>
      <w:hyperlink w:history="true" w:anchor="_bookmark97">
        <w:r>
          <w:rPr>
            <w:spacing w:val="-2"/>
          </w:rPr>
          <w:t>uidelines</w:t>
        </w:r>
        <w:r>
          <w:rPr/>
          <w:tab/>
        </w:r>
        <w:r>
          <w:rPr>
            <w:spacing w:val="-5"/>
          </w:rPr>
          <w:t>56</w:t>
        </w:r>
      </w:hyperlink>
    </w:p>
    <w:p>
      <w:pPr>
        <w:pStyle w:val="BodyText"/>
        <w:tabs>
          <w:tab w:pos="8769" w:val="left" w:leader="dot"/>
        </w:tabs>
        <w:ind w:left="800"/>
      </w:pPr>
      <w:hyperlink w:history="true" w:anchor="_bookmark100">
        <w:r>
          <w:rPr/>
          <w:t>W</w:t>
        </w:r>
      </w:hyperlink>
      <w:hyperlink w:history="true" w:anchor="_bookmark100">
        <w:r>
          <w:rPr/>
          <w:t>ildlife</w:t>
        </w:r>
        <w:r>
          <w:rPr>
            <w:spacing w:val="-7"/>
          </w:rPr>
          <w:t> </w:t>
        </w:r>
        <w:r>
          <w:rPr/>
          <w:t>Habitats</w:t>
        </w:r>
        <w:r>
          <w:rPr>
            <w:spacing w:val="-7"/>
          </w:rPr>
          <w:t> </w:t>
        </w:r>
        <w:r>
          <w:rPr>
            <w:spacing w:val="-4"/>
          </w:rPr>
          <w:t>(WL)</w:t>
        </w:r>
        <w:r>
          <w:rPr/>
          <w:tab/>
        </w:r>
        <w:r>
          <w:rPr>
            <w:spacing w:val="-7"/>
          </w:rPr>
          <w:t>57</w:t>
        </w:r>
      </w:hyperlink>
    </w:p>
    <w:p>
      <w:pPr>
        <w:pStyle w:val="BodyText"/>
        <w:tabs>
          <w:tab w:pos="8769" w:val="left" w:leader="dot"/>
        </w:tabs>
        <w:spacing w:before="1"/>
        <w:ind w:left="1081"/>
      </w:pPr>
      <w:hyperlink w:history="true" w:anchor="_bookmark102">
        <w:r>
          <w:rPr/>
          <w:t>D</w:t>
        </w:r>
      </w:hyperlink>
      <w:hyperlink w:history="true" w:anchor="_bookmark102">
        <w:r>
          <w:rPr/>
          <w:t>esired</w:t>
        </w:r>
        <w:r>
          <w:rPr>
            <w:spacing w:val="-5"/>
          </w:rPr>
          <w:t> </w:t>
        </w:r>
        <w:r>
          <w:rPr>
            <w:spacing w:val="-2"/>
          </w:rPr>
          <w:t>Conditions</w:t>
        </w:r>
        <w:r>
          <w:rPr/>
          <w:tab/>
        </w:r>
        <w:r>
          <w:rPr>
            <w:spacing w:val="-5"/>
          </w:rPr>
          <w:t>59</w:t>
        </w:r>
      </w:hyperlink>
    </w:p>
    <w:p>
      <w:pPr>
        <w:pStyle w:val="BodyText"/>
        <w:tabs>
          <w:tab w:pos="8769" w:val="left" w:leader="dot"/>
        </w:tabs>
        <w:ind w:left="1081"/>
      </w:pPr>
      <w:hyperlink w:history="true" w:anchor="_bookmark103">
        <w:r>
          <w:rPr>
            <w:spacing w:val="-2"/>
          </w:rPr>
          <w:t>O</w:t>
        </w:r>
      </w:hyperlink>
      <w:hyperlink w:history="true" w:anchor="_bookmark103">
        <w:r>
          <w:rPr>
            <w:spacing w:val="-2"/>
          </w:rPr>
          <w:t>bjectives</w:t>
        </w:r>
        <w:r>
          <w:rPr/>
          <w:tab/>
        </w:r>
        <w:r>
          <w:rPr>
            <w:spacing w:val="-5"/>
          </w:rPr>
          <w:t>61</w:t>
        </w:r>
      </w:hyperlink>
    </w:p>
    <w:p>
      <w:pPr>
        <w:pStyle w:val="BodyText"/>
        <w:tabs>
          <w:tab w:pos="8767" w:val="left" w:leader="dot"/>
        </w:tabs>
        <w:spacing w:before="2"/>
        <w:ind w:left="1079"/>
      </w:pPr>
      <w:hyperlink w:history="true" w:anchor="_bookmark106">
        <w:r>
          <w:rPr>
            <w:spacing w:val="-2"/>
          </w:rPr>
          <w:t>S</w:t>
        </w:r>
      </w:hyperlink>
      <w:hyperlink w:history="true" w:anchor="_bookmark106">
        <w:r>
          <w:rPr>
            <w:spacing w:val="-2"/>
          </w:rPr>
          <w:t>tandards</w:t>
        </w:r>
        <w:r>
          <w:rPr/>
          <w:tab/>
        </w:r>
        <w:r>
          <w:rPr>
            <w:spacing w:val="-5"/>
          </w:rPr>
          <w:t>62</w:t>
        </w:r>
      </w:hyperlink>
    </w:p>
    <w:p>
      <w:pPr>
        <w:pStyle w:val="BodyText"/>
        <w:tabs>
          <w:tab w:pos="8767" w:val="left" w:leader="dot"/>
        </w:tabs>
        <w:spacing w:line="268" w:lineRule="exact"/>
        <w:ind w:left="1080"/>
      </w:pPr>
      <w:hyperlink w:history="true" w:anchor="_bookmark109">
        <w:r>
          <w:rPr>
            <w:spacing w:val="-2"/>
          </w:rPr>
          <w:t>G</w:t>
        </w:r>
      </w:hyperlink>
      <w:hyperlink w:history="true" w:anchor="_bookmark109">
        <w:r>
          <w:rPr>
            <w:spacing w:val="-2"/>
          </w:rPr>
          <w:t>uidelines</w:t>
        </w:r>
        <w:r>
          <w:rPr/>
          <w:tab/>
        </w:r>
        <w:r>
          <w:rPr>
            <w:spacing w:val="-5"/>
          </w:rPr>
          <w:t>64</w:t>
        </w:r>
      </w:hyperlink>
    </w:p>
    <w:p>
      <w:pPr>
        <w:pStyle w:val="BodyText"/>
        <w:tabs>
          <w:tab w:pos="8767" w:val="left" w:leader="dot"/>
        </w:tabs>
        <w:spacing w:line="268" w:lineRule="exact"/>
        <w:ind w:left="799"/>
      </w:pPr>
      <w:hyperlink w:history="true" w:anchor="_bookmark112">
        <w:r>
          <w:rPr/>
          <w:t>I</w:t>
        </w:r>
      </w:hyperlink>
      <w:hyperlink w:history="true" w:anchor="_bookmark112">
        <w:r>
          <w:rPr/>
          <w:t>nvasive</w:t>
        </w:r>
        <w:r>
          <w:rPr>
            <w:spacing w:val="-7"/>
          </w:rPr>
          <w:t> </w:t>
        </w:r>
        <w:r>
          <w:rPr/>
          <w:t>Species</w:t>
        </w:r>
        <w:r>
          <w:rPr>
            <w:spacing w:val="-4"/>
          </w:rPr>
          <w:t> (IS)</w:t>
        </w:r>
        <w:r>
          <w:rPr/>
          <w:tab/>
        </w:r>
        <w:r>
          <w:rPr>
            <w:spacing w:val="-5"/>
          </w:rPr>
          <w:t>67</w:t>
        </w:r>
      </w:hyperlink>
    </w:p>
    <w:p>
      <w:pPr>
        <w:pStyle w:val="BodyText"/>
        <w:tabs>
          <w:tab w:pos="8767" w:val="left" w:leader="dot"/>
        </w:tabs>
        <w:ind w:left="1080"/>
      </w:pPr>
      <w:hyperlink w:history="true" w:anchor="_bookmark114">
        <w:r>
          <w:rPr/>
          <w:t>D</w:t>
        </w:r>
      </w:hyperlink>
      <w:hyperlink w:history="true" w:anchor="_bookmark114">
        <w:r>
          <w:rPr/>
          <w:t>esired</w:t>
        </w:r>
        <w:r>
          <w:rPr>
            <w:spacing w:val="-5"/>
          </w:rPr>
          <w:t> </w:t>
        </w:r>
        <w:r>
          <w:rPr>
            <w:spacing w:val="-2"/>
          </w:rPr>
          <w:t>Condition</w:t>
        </w:r>
        <w:r>
          <w:rPr/>
          <w:tab/>
        </w:r>
        <w:r>
          <w:rPr>
            <w:spacing w:val="-5"/>
          </w:rPr>
          <w:t>68</w:t>
        </w:r>
      </w:hyperlink>
    </w:p>
    <w:p>
      <w:pPr>
        <w:pStyle w:val="BodyText"/>
        <w:tabs>
          <w:tab w:pos="8767" w:val="left" w:leader="dot"/>
        </w:tabs>
        <w:ind w:left="1080"/>
      </w:pPr>
      <w:hyperlink w:history="true" w:anchor="_bookmark115">
        <w:r>
          <w:rPr>
            <w:spacing w:val="-2"/>
          </w:rPr>
          <w:t>O</w:t>
        </w:r>
      </w:hyperlink>
      <w:hyperlink w:history="true" w:anchor="_bookmark115">
        <w:r>
          <w:rPr>
            <w:spacing w:val="-2"/>
          </w:rPr>
          <w:t>bjectives</w:t>
        </w:r>
        <w:r>
          <w:rPr/>
          <w:tab/>
        </w:r>
        <w:r>
          <w:rPr>
            <w:spacing w:val="-5"/>
          </w:rPr>
          <w:t>68</w:t>
        </w:r>
      </w:hyperlink>
    </w:p>
    <w:p>
      <w:pPr>
        <w:pStyle w:val="BodyText"/>
        <w:tabs>
          <w:tab w:pos="8767" w:val="left" w:leader="dot"/>
        </w:tabs>
        <w:spacing w:before="1"/>
        <w:ind w:left="1080"/>
      </w:pPr>
      <w:hyperlink w:history="true" w:anchor="_bookmark116">
        <w:r>
          <w:rPr>
            <w:spacing w:val="-2"/>
          </w:rPr>
          <w:t>S</w:t>
        </w:r>
      </w:hyperlink>
      <w:hyperlink w:history="true" w:anchor="_bookmark116">
        <w:r>
          <w:rPr>
            <w:spacing w:val="-2"/>
          </w:rPr>
          <w:t>tandard</w:t>
        </w:r>
        <w:r>
          <w:rPr/>
          <w:tab/>
        </w:r>
        <w:r>
          <w:rPr>
            <w:spacing w:val="-5"/>
          </w:rPr>
          <w:t>68</w:t>
        </w:r>
      </w:hyperlink>
    </w:p>
    <w:p>
      <w:pPr>
        <w:pStyle w:val="BodyText"/>
        <w:tabs>
          <w:tab w:pos="8767" w:val="left" w:leader="dot"/>
        </w:tabs>
        <w:ind w:left="1080"/>
      </w:pPr>
      <w:hyperlink w:history="true" w:anchor="_bookmark117">
        <w:r>
          <w:rPr>
            <w:spacing w:val="-2"/>
          </w:rPr>
          <w:t>G</w:t>
        </w:r>
      </w:hyperlink>
      <w:hyperlink w:history="true" w:anchor="_bookmark117">
        <w:r>
          <w:rPr>
            <w:spacing w:val="-2"/>
          </w:rPr>
          <w:t>uidelines</w:t>
        </w:r>
        <w:r>
          <w:rPr/>
          <w:tab/>
        </w:r>
        <w:r>
          <w:rPr>
            <w:spacing w:val="-5"/>
          </w:rPr>
          <w:t>69</w:t>
        </w:r>
      </w:hyperlink>
    </w:p>
    <w:p>
      <w:pPr>
        <w:pStyle w:val="BodyText"/>
        <w:tabs>
          <w:tab w:pos="8768" w:val="left" w:leader="dot"/>
        </w:tabs>
        <w:ind w:left="600"/>
      </w:pPr>
      <w:hyperlink w:history="true" w:anchor="_bookmark118">
        <w:r>
          <w:rPr/>
          <w:t>F</w:t>
        </w:r>
      </w:hyperlink>
      <w:hyperlink w:history="true" w:anchor="_bookmark118">
        <w:r>
          <w:rPr/>
          <w:t>orestwide</w:t>
        </w:r>
        <w:r>
          <w:rPr>
            <w:spacing w:val="-6"/>
          </w:rPr>
          <w:t> </w:t>
        </w:r>
        <w:r>
          <w:rPr/>
          <w:t>Direction</w:t>
        </w:r>
        <w:r>
          <w:rPr>
            <w:spacing w:val="-7"/>
          </w:rPr>
          <w:t> </w:t>
        </w:r>
        <w:r>
          <w:rPr/>
          <w:t>–</w:t>
        </w:r>
        <w:r>
          <w:rPr>
            <w:spacing w:val="-3"/>
          </w:rPr>
          <w:t> </w:t>
        </w:r>
        <w:r>
          <w:rPr/>
          <w:t>Social</w:t>
        </w:r>
        <w:r>
          <w:rPr>
            <w:spacing w:val="-4"/>
          </w:rPr>
          <w:t> </w:t>
        </w:r>
        <w:r>
          <w:rPr>
            <w:spacing w:val="-2"/>
          </w:rPr>
          <w:t>Systems</w:t>
        </w:r>
        <w:r>
          <w:rPr/>
          <w:tab/>
        </w:r>
        <w:r>
          <w:rPr>
            <w:spacing w:val="-5"/>
          </w:rPr>
          <w:t>70</w:t>
        </w:r>
      </w:hyperlink>
    </w:p>
    <w:p>
      <w:pPr>
        <w:pStyle w:val="BodyText"/>
        <w:tabs>
          <w:tab w:pos="8768" w:val="left" w:leader="dot"/>
        </w:tabs>
        <w:ind w:left="800"/>
      </w:pPr>
      <w:hyperlink w:history="true" w:anchor="_bookmark119">
        <w:r>
          <w:rPr/>
          <w:t>F</w:t>
        </w:r>
      </w:hyperlink>
      <w:hyperlink w:history="true" w:anchor="_bookmark119">
        <w:r>
          <w:rPr/>
          <w:t>orest</w:t>
        </w:r>
        <w:r>
          <w:rPr>
            <w:spacing w:val="-7"/>
          </w:rPr>
          <w:t> </w:t>
        </w:r>
        <w:r>
          <w:rPr/>
          <w:t>Transportation</w:t>
        </w:r>
        <w:r>
          <w:rPr>
            <w:spacing w:val="-5"/>
          </w:rPr>
          <w:t> </w:t>
        </w:r>
        <w:r>
          <w:rPr/>
          <w:t>System</w:t>
        </w:r>
        <w:r>
          <w:rPr>
            <w:spacing w:val="-3"/>
          </w:rPr>
          <w:t> </w:t>
        </w:r>
        <w:r>
          <w:rPr/>
          <w:t>-</w:t>
        </w:r>
        <w:r>
          <w:rPr>
            <w:spacing w:val="-6"/>
          </w:rPr>
          <w:t> </w:t>
        </w:r>
        <w:r>
          <w:rPr/>
          <w:t>Access</w:t>
        </w:r>
        <w:r>
          <w:rPr>
            <w:spacing w:val="-4"/>
          </w:rPr>
          <w:t> </w:t>
        </w:r>
        <w:r>
          <w:rPr/>
          <w:t>System</w:t>
        </w:r>
        <w:r>
          <w:rPr>
            <w:spacing w:val="-3"/>
          </w:rPr>
          <w:t> </w:t>
        </w:r>
        <w:r>
          <w:rPr>
            <w:spacing w:val="-4"/>
          </w:rPr>
          <w:t>(AS)</w:t>
        </w:r>
        <w:r>
          <w:rPr/>
          <w:tab/>
        </w:r>
        <w:r>
          <w:rPr>
            <w:spacing w:val="-5"/>
          </w:rPr>
          <w:t>71</w:t>
        </w:r>
      </w:hyperlink>
    </w:p>
    <w:p>
      <w:pPr>
        <w:pStyle w:val="BodyText"/>
        <w:tabs>
          <w:tab w:pos="8768" w:val="left" w:leader="dot"/>
        </w:tabs>
        <w:ind w:left="1081"/>
      </w:pPr>
      <w:hyperlink w:history="true" w:anchor="_bookmark120">
        <w:r>
          <w:rPr/>
          <w:t>D</w:t>
        </w:r>
      </w:hyperlink>
      <w:hyperlink w:history="true" w:anchor="_bookmark120">
        <w:r>
          <w:rPr/>
          <w:t>esired</w:t>
        </w:r>
        <w:r>
          <w:rPr>
            <w:spacing w:val="-5"/>
          </w:rPr>
          <w:t> </w:t>
        </w:r>
        <w:r>
          <w:rPr>
            <w:spacing w:val="-2"/>
          </w:rPr>
          <w:t>Conditions</w:t>
        </w:r>
        <w:r>
          <w:rPr/>
          <w:tab/>
        </w:r>
        <w:r>
          <w:rPr>
            <w:spacing w:val="-5"/>
          </w:rPr>
          <w:t>71</w:t>
        </w:r>
      </w:hyperlink>
    </w:p>
    <w:p>
      <w:pPr>
        <w:pStyle w:val="BodyText"/>
        <w:tabs>
          <w:tab w:pos="8768" w:val="left" w:leader="dot"/>
        </w:tabs>
        <w:ind w:left="1081"/>
      </w:pPr>
      <w:hyperlink w:history="true" w:anchor="_bookmark121">
        <w:r>
          <w:rPr>
            <w:spacing w:val="-2"/>
          </w:rPr>
          <w:t>O</w:t>
        </w:r>
      </w:hyperlink>
      <w:hyperlink w:history="true" w:anchor="_bookmark121">
        <w:r>
          <w:rPr>
            <w:spacing w:val="-2"/>
          </w:rPr>
          <w:t>bjectives</w:t>
        </w:r>
        <w:r>
          <w:rPr/>
          <w:tab/>
        </w:r>
        <w:r>
          <w:rPr>
            <w:spacing w:val="-5"/>
          </w:rPr>
          <w:t>72</w:t>
        </w:r>
      </w:hyperlink>
    </w:p>
    <w:p>
      <w:pPr>
        <w:pStyle w:val="BodyText"/>
        <w:tabs>
          <w:tab w:pos="8768" w:val="left" w:leader="dot"/>
        </w:tabs>
        <w:spacing w:line="268" w:lineRule="exact" w:before="1"/>
        <w:ind w:left="1081"/>
      </w:pPr>
      <w:hyperlink w:history="true" w:anchor="_bookmark122">
        <w:r>
          <w:rPr>
            <w:spacing w:val="-2"/>
          </w:rPr>
          <w:t>S</w:t>
        </w:r>
      </w:hyperlink>
      <w:hyperlink w:history="true" w:anchor="_bookmark122">
        <w:r>
          <w:rPr>
            <w:spacing w:val="-2"/>
          </w:rPr>
          <w:t>tandard</w:t>
        </w:r>
        <w:r>
          <w:rPr/>
          <w:tab/>
        </w:r>
        <w:r>
          <w:rPr>
            <w:spacing w:val="-5"/>
          </w:rPr>
          <w:t>73</w:t>
        </w:r>
      </w:hyperlink>
    </w:p>
    <w:p>
      <w:pPr>
        <w:pStyle w:val="BodyText"/>
        <w:tabs>
          <w:tab w:pos="8768" w:val="left" w:leader="dot"/>
        </w:tabs>
        <w:spacing w:line="268" w:lineRule="exact"/>
        <w:ind w:left="1081"/>
      </w:pPr>
      <w:hyperlink w:history="true" w:anchor="_bookmark123">
        <w:r>
          <w:rPr>
            <w:spacing w:val="-2"/>
          </w:rPr>
          <w:t>G</w:t>
        </w:r>
      </w:hyperlink>
      <w:hyperlink w:history="true" w:anchor="_bookmark123">
        <w:r>
          <w:rPr>
            <w:spacing w:val="-2"/>
          </w:rPr>
          <w:t>uidelines</w:t>
        </w:r>
        <w:r>
          <w:rPr/>
          <w:tab/>
        </w:r>
        <w:r>
          <w:rPr>
            <w:spacing w:val="-5"/>
          </w:rPr>
          <w:t>73</w:t>
        </w:r>
      </w:hyperlink>
    </w:p>
    <w:p>
      <w:pPr>
        <w:pStyle w:val="BodyText"/>
        <w:tabs>
          <w:tab w:pos="8768" w:val="left" w:leader="dot"/>
        </w:tabs>
        <w:ind w:left="800"/>
      </w:pPr>
      <w:hyperlink w:history="true" w:anchor="_bookmark124">
        <w:r>
          <w:rPr/>
          <w:t>He</w:t>
        </w:r>
      </w:hyperlink>
      <w:hyperlink w:history="true" w:anchor="_bookmark124">
        <w:r>
          <w:rPr/>
          <w:t>ritage</w:t>
        </w:r>
        <w:r>
          <w:rPr>
            <w:spacing w:val="-8"/>
          </w:rPr>
          <w:t> </w:t>
        </w:r>
        <w:r>
          <w:rPr/>
          <w:t>Resources</w:t>
        </w:r>
        <w:r>
          <w:rPr>
            <w:spacing w:val="-7"/>
          </w:rPr>
          <w:t> </w:t>
        </w:r>
        <w:r>
          <w:rPr>
            <w:spacing w:val="-4"/>
          </w:rPr>
          <w:t>(HR)</w:t>
        </w:r>
        <w:r>
          <w:rPr/>
          <w:tab/>
        </w:r>
        <w:r>
          <w:rPr>
            <w:spacing w:val="-5"/>
          </w:rPr>
          <w:t>74</w:t>
        </w:r>
      </w:hyperlink>
    </w:p>
    <w:p>
      <w:pPr>
        <w:pStyle w:val="BodyText"/>
        <w:tabs>
          <w:tab w:pos="8768" w:val="left" w:leader="dot"/>
        </w:tabs>
        <w:ind w:left="1081"/>
      </w:pPr>
      <w:hyperlink w:history="true" w:anchor="_bookmark125">
        <w:r>
          <w:rPr/>
          <w:t>D</w:t>
        </w:r>
      </w:hyperlink>
      <w:hyperlink w:history="true" w:anchor="_bookmark125">
        <w:r>
          <w:rPr/>
          <w:t>esired</w:t>
        </w:r>
        <w:r>
          <w:rPr>
            <w:spacing w:val="-5"/>
          </w:rPr>
          <w:t> </w:t>
        </w:r>
        <w:r>
          <w:rPr>
            <w:spacing w:val="-2"/>
          </w:rPr>
          <w:t>Condition</w:t>
        </w:r>
        <w:r>
          <w:rPr/>
          <w:tab/>
        </w:r>
        <w:r>
          <w:rPr>
            <w:spacing w:val="-5"/>
          </w:rPr>
          <w:t>75</w:t>
        </w:r>
      </w:hyperlink>
    </w:p>
    <w:p>
      <w:pPr>
        <w:pStyle w:val="BodyText"/>
        <w:tabs>
          <w:tab w:pos="8768" w:val="left" w:leader="dot"/>
        </w:tabs>
        <w:ind w:left="1081"/>
      </w:pPr>
      <w:hyperlink w:history="true" w:anchor="_bookmark126">
        <w:r>
          <w:rPr>
            <w:spacing w:val="-2"/>
          </w:rPr>
          <w:t>S</w:t>
        </w:r>
      </w:hyperlink>
      <w:hyperlink w:history="true" w:anchor="_bookmark126">
        <w:r>
          <w:rPr>
            <w:spacing w:val="-2"/>
          </w:rPr>
          <w:t>tandard</w:t>
        </w:r>
        <w:r>
          <w:rPr/>
          <w:tab/>
        </w:r>
        <w:r>
          <w:rPr>
            <w:spacing w:val="-5"/>
          </w:rPr>
          <w:t>75</w:t>
        </w:r>
      </w:hyperlink>
    </w:p>
    <w:p>
      <w:pPr>
        <w:pStyle w:val="BodyText"/>
        <w:spacing w:after="0"/>
        <w:sectPr>
          <w:pgSz w:w="12240" w:h="15840"/>
          <w:pgMar w:header="725" w:footer="685" w:top="960" w:bottom="880" w:left="1080" w:right="720"/>
        </w:sectPr>
      </w:pPr>
    </w:p>
    <w:p>
      <w:pPr>
        <w:pStyle w:val="BodyText"/>
        <w:tabs>
          <w:tab w:pos="9712" w:val="right" w:leader="dot"/>
        </w:tabs>
        <w:spacing w:before="474"/>
        <w:ind w:left="1519"/>
      </w:pPr>
      <w:hyperlink w:history="true" w:anchor="_bookmark127">
        <w:r>
          <w:rPr/>
          <w:t>A</w:t>
        </w:r>
      </w:hyperlink>
      <w:hyperlink w:history="true" w:anchor="_bookmark127">
        <w:r>
          <w:rPr/>
          <w:t>merican</w:t>
        </w:r>
        <w:r>
          <w:rPr>
            <w:spacing w:val="-7"/>
          </w:rPr>
          <w:t> </w:t>
        </w:r>
        <w:r>
          <w:rPr/>
          <w:t>Indian</w:t>
        </w:r>
        <w:r>
          <w:rPr>
            <w:spacing w:val="-5"/>
          </w:rPr>
          <w:t> </w:t>
        </w:r>
        <w:r>
          <w:rPr/>
          <w:t>Rights</w:t>
        </w:r>
        <w:r>
          <w:rPr>
            <w:spacing w:val="-4"/>
          </w:rPr>
          <w:t> </w:t>
        </w:r>
        <w:r>
          <w:rPr/>
          <w:t>and</w:t>
        </w:r>
        <w:r>
          <w:rPr>
            <w:spacing w:val="-7"/>
          </w:rPr>
          <w:t> </w:t>
        </w:r>
        <w:r>
          <w:rPr/>
          <w:t>Interest</w:t>
        </w:r>
        <w:r>
          <w:rPr>
            <w:spacing w:val="-2"/>
          </w:rPr>
          <w:t> </w:t>
        </w:r>
        <w:r>
          <w:rPr>
            <w:spacing w:val="-4"/>
          </w:rPr>
          <w:t>(AI)</w:t>
        </w:r>
        <w:r>
          <w:rPr/>
          <w:tab/>
        </w:r>
        <w:r>
          <w:rPr>
            <w:spacing w:val="-5"/>
          </w:rPr>
          <w:t>75</w:t>
        </w:r>
      </w:hyperlink>
    </w:p>
    <w:p>
      <w:pPr>
        <w:pStyle w:val="BodyText"/>
        <w:tabs>
          <w:tab w:pos="9712" w:val="right" w:leader="dot"/>
        </w:tabs>
        <w:ind w:left="1800"/>
      </w:pPr>
      <w:hyperlink w:history="true" w:anchor="_bookmark128">
        <w:r>
          <w:rPr/>
          <w:t>D</w:t>
        </w:r>
      </w:hyperlink>
      <w:hyperlink w:history="true" w:anchor="_bookmark128">
        <w:r>
          <w:rPr/>
          <w:t>esired</w:t>
        </w:r>
        <w:r>
          <w:rPr>
            <w:spacing w:val="-5"/>
          </w:rPr>
          <w:t> </w:t>
        </w:r>
        <w:r>
          <w:rPr>
            <w:spacing w:val="-2"/>
          </w:rPr>
          <w:t>Conditions</w:t>
        </w:r>
        <w:r>
          <w:rPr/>
          <w:tab/>
        </w:r>
        <w:r>
          <w:rPr>
            <w:spacing w:val="-5"/>
          </w:rPr>
          <w:t>76</w:t>
        </w:r>
      </w:hyperlink>
    </w:p>
    <w:p>
      <w:pPr>
        <w:pStyle w:val="BodyText"/>
        <w:tabs>
          <w:tab w:pos="9712" w:val="right" w:leader="dot"/>
        </w:tabs>
        <w:spacing w:before="1"/>
        <w:ind w:left="1800"/>
      </w:pPr>
      <w:hyperlink w:history="true" w:anchor="_bookmark129">
        <w:r>
          <w:rPr>
            <w:spacing w:val="-2"/>
          </w:rPr>
          <w:t>O</w:t>
        </w:r>
      </w:hyperlink>
      <w:hyperlink w:history="true" w:anchor="_bookmark129">
        <w:r>
          <w:rPr>
            <w:spacing w:val="-2"/>
          </w:rPr>
          <w:t>bjectives</w:t>
        </w:r>
        <w:r>
          <w:rPr/>
          <w:tab/>
        </w:r>
        <w:r>
          <w:rPr>
            <w:spacing w:val="-5"/>
          </w:rPr>
          <w:t>77</w:t>
        </w:r>
      </w:hyperlink>
    </w:p>
    <w:p>
      <w:pPr>
        <w:pStyle w:val="BodyText"/>
        <w:tabs>
          <w:tab w:pos="9712" w:val="right" w:leader="dot"/>
        </w:tabs>
        <w:spacing w:line="268" w:lineRule="exact"/>
        <w:ind w:left="1519"/>
      </w:pPr>
      <w:hyperlink w:history="true" w:anchor="_bookmark130">
        <w:r>
          <w:rPr/>
          <w:t>L</w:t>
        </w:r>
      </w:hyperlink>
      <w:hyperlink w:history="true" w:anchor="_bookmark130">
        <w:r>
          <w:rPr/>
          <w:t>ands</w:t>
        </w:r>
        <w:r>
          <w:rPr>
            <w:spacing w:val="-4"/>
          </w:rPr>
          <w:t> </w:t>
        </w:r>
        <w:r>
          <w:rPr/>
          <w:t>and</w:t>
        </w:r>
        <w:r>
          <w:rPr>
            <w:spacing w:val="-4"/>
          </w:rPr>
          <w:t> </w:t>
        </w:r>
        <w:r>
          <w:rPr/>
          <w:t>Special</w:t>
        </w:r>
        <w:r>
          <w:rPr>
            <w:spacing w:val="-3"/>
          </w:rPr>
          <w:t> </w:t>
        </w:r>
        <w:r>
          <w:rPr/>
          <w:t>Uses</w:t>
        </w:r>
        <w:r>
          <w:rPr>
            <w:spacing w:val="-4"/>
          </w:rPr>
          <w:t> (LSU)</w:t>
        </w:r>
        <w:r>
          <w:rPr/>
          <w:tab/>
        </w:r>
        <w:r>
          <w:rPr>
            <w:spacing w:val="-5"/>
          </w:rPr>
          <w:t>77</w:t>
        </w:r>
      </w:hyperlink>
    </w:p>
    <w:p>
      <w:pPr>
        <w:pStyle w:val="BodyText"/>
        <w:tabs>
          <w:tab w:pos="9712" w:val="right" w:leader="dot"/>
        </w:tabs>
        <w:spacing w:line="268" w:lineRule="exact"/>
        <w:ind w:left="1800"/>
      </w:pPr>
      <w:hyperlink w:history="true" w:anchor="_bookmark131">
        <w:r>
          <w:rPr/>
          <w:t>D</w:t>
        </w:r>
      </w:hyperlink>
      <w:hyperlink w:history="true" w:anchor="_bookmark131">
        <w:r>
          <w:rPr/>
          <w:t>esired</w:t>
        </w:r>
        <w:r>
          <w:rPr>
            <w:spacing w:val="-5"/>
          </w:rPr>
          <w:t> </w:t>
        </w:r>
        <w:r>
          <w:rPr>
            <w:spacing w:val="-2"/>
          </w:rPr>
          <w:t>Conditions</w:t>
        </w:r>
        <w:r>
          <w:rPr/>
          <w:tab/>
        </w:r>
        <w:r>
          <w:rPr>
            <w:spacing w:val="-5"/>
          </w:rPr>
          <w:t>78</w:t>
        </w:r>
      </w:hyperlink>
    </w:p>
    <w:p>
      <w:pPr>
        <w:pStyle w:val="BodyText"/>
        <w:tabs>
          <w:tab w:pos="9712" w:val="right" w:leader="dot"/>
        </w:tabs>
        <w:ind w:left="1800"/>
      </w:pPr>
      <w:hyperlink w:history="true" w:anchor="_bookmark132">
        <w:r>
          <w:rPr>
            <w:spacing w:val="-2"/>
          </w:rPr>
          <w:t>S</w:t>
        </w:r>
      </w:hyperlink>
      <w:hyperlink w:history="true" w:anchor="_bookmark132">
        <w:r>
          <w:rPr>
            <w:spacing w:val="-2"/>
          </w:rPr>
          <w:t>tandards</w:t>
        </w:r>
        <w:r>
          <w:rPr/>
          <w:tab/>
        </w:r>
        <w:r>
          <w:rPr>
            <w:spacing w:val="-5"/>
          </w:rPr>
          <w:t>79</w:t>
        </w:r>
      </w:hyperlink>
    </w:p>
    <w:p>
      <w:pPr>
        <w:pStyle w:val="BodyText"/>
        <w:tabs>
          <w:tab w:pos="9712" w:val="right" w:leader="dot"/>
        </w:tabs>
        <w:ind w:left="1800"/>
      </w:pPr>
      <w:hyperlink w:history="true" w:anchor="_bookmark133">
        <w:r>
          <w:rPr>
            <w:spacing w:val="-2"/>
          </w:rPr>
          <w:t>G</w:t>
        </w:r>
      </w:hyperlink>
      <w:hyperlink w:history="true" w:anchor="_bookmark133">
        <w:r>
          <w:rPr>
            <w:spacing w:val="-2"/>
          </w:rPr>
          <w:t>uidelines</w:t>
        </w:r>
        <w:r>
          <w:rPr/>
          <w:tab/>
        </w:r>
        <w:r>
          <w:rPr>
            <w:spacing w:val="-5"/>
          </w:rPr>
          <w:t>80</w:t>
        </w:r>
      </w:hyperlink>
    </w:p>
    <w:p>
      <w:pPr>
        <w:pStyle w:val="BodyText"/>
        <w:tabs>
          <w:tab w:pos="9712" w:val="right" w:leader="dot"/>
        </w:tabs>
        <w:ind w:left="1519"/>
      </w:pPr>
      <w:hyperlink w:history="true" w:anchor="_bookmark134">
        <w:r>
          <w:rPr/>
          <w:t>L</w:t>
        </w:r>
      </w:hyperlink>
      <w:hyperlink w:history="true" w:anchor="_bookmark134">
        <w:r>
          <w:rPr/>
          <w:t>ivestock</w:t>
        </w:r>
        <w:r>
          <w:rPr>
            <w:spacing w:val="-9"/>
          </w:rPr>
          <w:t> </w:t>
        </w:r>
        <w:r>
          <w:rPr/>
          <w:t>Grazing</w:t>
        </w:r>
        <w:r>
          <w:rPr>
            <w:spacing w:val="-6"/>
          </w:rPr>
          <w:t> </w:t>
        </w:r>
        <w:r>
          <w:rPr>
            <w:spacing w:val="-4"/>
          </w:rPr>
          <w:t>(LG)</w:t>
        </w:r>
        <w:r>
          <w:rPr/>
          <w:tab/>
        </w:r>
        <w:r>
          <w:rPr>
            <w:spacing w:val="-7"/>
          </w:rPr>
          <w:t>81</w:t>
        </w:r>
      </w:hyperlink>
    </w:p>
    <w:p>
      <w:pPr>
        <w:pStyle w:val="BodyText"/>
        <w:tabs>
          <w:tab w:pos="9712" w:val="right" w:leader="dot"/>
        </w:tabs>
        <w:ind w:left="1800"/>
      </w:pPr>
      <w:hyperlink w:history="true" w:anchor="_bookmark135">
        <w:r>
          <w:rPr/>
          <w:t>D</w:t>
        </w:r>
      </w:hyperlink>
      <w:hyperlink w:history="true" w:anchor="_bookmark135">
        <w:r>
          <w:rPr/>
          <w:t>esired</w:t>
        </w:r>
        <w:r>
          <w:rPr>
            <w:spacing w:val="-5"/>
          </w:rPr>
          <w:t> </w:t>
        </w:r>
        <w:r>
          <w:rPr>
            <w:spacing w:val="-2"/>
          </w:rPr>
          <w:t>Conditions</w:t>
        </w:r>
        <w:r>
          <w:rPr/>
          <w:tab/>
        </w:r>
        <w:r>
          <w:rPr>
            <w:spacing w:val="-5"/>
          </w:rPr>
          <w:t>81</w:t>
        </w:r>
      </w:hyperlink>
    </w:p>
    <w:p>
      <w:pPr>
        <w:pStyle w:val="BodyText"/>
        <w:tabs>
          <w:tab w:pos="9712" w:val="right" w:leader="dot"/>
        </w:tabs>
        <w:ind w:left="1800"/>
      </w:pPr>
      <w:hyperlink w:history="true" w:anchor="_bookmark136">
        <w:r>
          <w:rPr>
            <w:spacing w:val="-2"/>
          </w:rPr>
          <w:t>O</w:t>
        </w:r>
      </w:hyperlink>
      <w:hyperlink w:history="true" w:anchor="_bookmark136">
        <w:r>
          <w:rPr>
            <w:spacing w:val="-2"/>
          </w:rPr>
          <w:t>bjectives</w:t>
        </w:r>
        <w:r>
          <w:rPr/>
          <w:tab/>
        </w:r>
        <w:r>
          <w:rPr>
            <w:spacing w:val="-5"/>
          </w:rPr>
          <w:t>82</w:t>
        </w:r>
      </w:hyperlink>
    </w:p>
    <w:p>
      <w:pPr>
        <w:pStyle w:val="BodyText"/>
        <w:tabs>
          <w:tab w:pos="9712" w:val="right" w:leader="dot"/>
        </w:tabs>
        <w:spacing w:before="1"/>
        <w:ind w:left="1800"/>
      </w:pPr>
      <w:hyperlink w:history="true" w:anchor="_bookmark137">
        <w:r>
          <w:rPr>
            <w:spacing w:val="-2"/>
          </w:rPr>
          <w:t>S</w:t>
        </w:r>
      </w:hyperlink>
      <w:hyperlink w:history="true" w:anchor="_bookmark137">
        <w:r>
          <w:rPr>
            <w:spacing w:val="-2"/>
          </w:rPr>
          <w:t>tandard</w:t>
        </w:r>
        <w:r>
          <w:rPr/>
          <w:tab/>
        </w:r>
        <w:r>
          <w:rPr>
            <w:spacing w:val="-5"/>
          </w:rPr>
          <w:t>82</w:t>
        </w:r>
      </w:hyperlink>
    </w:p>
    <w:p>
      <w:pPr>
        <w:pStyle w:val="BodyText"/>
        <w:tabs>
          <w:tab w:pos="9713" w:val="right" w:leader="dot"/>
        </w:tabs>
        <w:ind w:left="1800"/>
      </w:pPr>
      <w:hyperlink w:history="true" w:anchor="_bookmark138">
        <w:r>
          <w:rPr>
            <w:spacing w:val="-2"/>
          </w:rPr>
          <w:t>G</w:t>
        </w:r>
      </w:hyperlink>
      <w:hyperlink w:history="true" w:anchor="_bookmark138">
        <w:r>
          <w:rPr>
            <w:spacing w:val="-2"/>
          </w:rPr>
          <w:t>uidelines</w:t>
        </w:r>
        <w:r>
          <w:rPr/>
          <w:tab/>
        </w:r>
        <w:r>
          <w:rPr>
            <w:spacing w:val="-5"/>
          </w:rPr>
          <w:t>82</w:t>
        </w:r>
      </w:hyperlink>
    </w:p>
    <w:p>
      <w:pPr>
        <w:pStyle w:val="BodyText"/>
        <w:tabs>
          <w:tab w:pos="9713" w:val="right" w:leader="dot"/>
        </w:tabs>
        <w:ind w:left="1519"/>
      </w:pPr>
      <w:hyperlink w:history="true" w:anchor="_bookmark140">
        <w:r>
          <w:rPr/>
          <w:t>M</w:t>
        </w:r>
      </w:hyperlink>
      <w:hyperlink w:history="true" w:anchor="_bookmark140">
        <w:r>
          <w:rPr/>
          <w:t>inerals</w:t>
        </w:r>
        <w:r>
          <w:rPr>
            <w:spacing w:val="-7"/>
          </w:rPr>
          <w:t> </w:t>
        </w:r>
        <w:r>
          <w:rPr>
            <w:spacing w:val="-2"/>
          </w:rPr>
          <w:t>(MIN)</w:t>
        </w:r>
        <w:r>
          <w:rPr/>
          <w:tab/>
        </w:r>
        <w:r>
          <w:rPr>
            <w:spacing w:val="-5"/>
          </w:rPr>
          <w:t>83</w:t>
        </w:r>
      </w:hyperlink>
    </w:p>
    <w:p>
      <w:pPr>
        <w:pStyle w:val="BodyText"/>
        <w:tabs>
          <w:tab w:pos="9713" w:val="right" w:leader="dot"/>
        </w:tabs>
        <w:spacing w:line="268" w:lineRule="exact"/>
        <w:ind w:left="1800"/>
      </w:pPr>
      <w:hyperlink w:history="true" w:anchor="_bookmark141">
        <w:r>
          <w:rPr/>
          <w:t>D</w:t>
        </w:r>
      </w:hyperlink>
      <w:hyperlink w:history="true" w:anchor="_bookmark141">
        <w:r>
          <w:rPr/>
          <w:t>esired</w:t>
        </w:r>
        <w:r>
          <w:rPr>
            <w:spacing w:val="-5"/>
          </w:rPr>
          <w:t> </w:t>
        </w:r>
        <w:r>
          <w:rPr>
            <w:spacing w:val="-2"/>
          </w:rPr>
          <w:t>Conditions</w:t>
        </w:r>
        <w:r>
          <w:rPr/>
          <w:tab/>
        </w:r>
        <w:r>
          <w:rPr>
            <w:spacing w:val="-5"/>
          </w:rPr>
          <w:t>83</w:t>
        </w:r>
      </w:hyperlink>
    </w:p>
    <w:p>
      <w:pPr>
        <w:pStyle w:val="BodyText"/>
        <w:tabs>
          <w:tab w:pos="9713" w:val="right" w:leader="dot"/>
        </w:tabs>
        <w:spacing w:line="268" w:lineRule="exact"/>
        <w:ind w:left="1800"/>
      </w:pPr>
      <w:hyperlink w:history="true" w:anchor="_bookmark142">
        <w:r>
          <w:rPr>
            <w:spacing w:val="-2"/>
          </w:rPr>
          <w:t>S</w:t>
        </w:r>
      </w:hyperlink>
      <w:hyperlink w:history="true" w:anchor="_bookmark142">
        <w:r>
          <w:rPr>
            <w:spacing w:val="-2"/>
          </w:rPr>
          <w:t>tandards</w:t>
        </w:r>
        <w:r>
          <w:rPr/>
          <w:tab/>
        </w:r>
        <w:r>
          <w:rPr>
            <w:spacing w:val="-5"/>
          </w:rPr>
          <w:t>84</w:t>
        </w:r>
      </w:hyperlink>
    </w:p>
    <w:p>
      <w:pPr>
        <w:pStyle w:val="BodyText"/>
        <w:tabs>
          <w:tab w:pos="9713" w:val="right" w:leader="dot"/>
        </w:tabs>
        <w:ind w:left="1800"/>
      </w:pPr>
      <w:hyperlink w:history="true" w:anchor="_bookmark143">
        <w:r>
          <w:rPr>
            <w:spacing w:val="-2"/>
          </w:rPr>
          <w:t>G</w:t>
        </w:r>
      </w:hyperlink>
      <w:hyperlink w:history="true" w:anchor="_bookmark143">
        <w:r>
          <w:rPr>
            <w:spacing w:val="-2"/>
          </w:rPr>
          <w:t>uidelines</w:t>
        </w:r>
        <w:r>
          <w:rPr/>
          <w:tab/>
        </w:r>
        <w:r>
          <w:rPr>
            <w:spacing w:val="-5"/>
          </w:rPr>
          <w:t>84</w:t>
        </w:r>
      </w:hyperlink>
    </w:p>
    <w:p>
      <w:pPr>
        <w:pStyle w:val="BodyText"/>
        <w:tabs>
          <w:tab w:pos="9713" w:val="right" w:leader="dot"/>
        </w:tabs>
        <w:ind w:left="1520"/>
      </w:pPr>
      <w:hyperlink w:history="true" w:anchor="_bookmark144">
        <w:r>
          <w:rPr/>
          <w:t>P</w:t>
        </w:r>
      </w:hyperlink>
      <w:hyperlink w:history="true" w:anchor="_bookmark144">
        <w:r>
          <w:rPr/>
          <w:t>ublic</w:t>
        </w:r>
        <w:r>
          <w:rPr>
            <w:spacing w:val="-5"/>
          </w:rPr>
          <w:t> </w:t>
        </w:r>
        <w:r>
          <w:rPr/>
          <w:t>Awareness</w:t>
        </w:r>
        <w:r>
          <w:rPr>
            <w:spacing w:val="-6"/>
          </w:rPr>
          <w:t> </w:t>
        </w:r>
        <w:r>
          <w:rPr>
            <w:spacing w:val="-4"/>
          </w:rPr>
          <w:t>(PA)</w:t>
        </w:r>
        <w:r>
          <w:rPr/>
          <w:tab/>
        </w:r>
        <w:r>
          <w:rPr>
            <w:spacing w:val="-5"/>
          </w:rPr>
          <w:t>84</w:t>
        </w:r>
      </w:hyperlink>
    </w:p>
    <w:p>
      <w:pPr>
        <w:pStyle w:val="BodyText"/>
        <w:tabs>
          <w:tab w:pos="9713" w:val="right" w:leader="dot"/>
        </w:tabs>
        <w:spacing w:before="1"/>
        <w:ind w:left="1800"/>
      </w:pPr>
      <w:hyperlink w:history="true" w:anchor="_bookmark145">
        <w:r>
          <w:rPr/>
          <w:t>D</w:t>
        </w:r>
      </w:hyperlink>
      <w:hyperlink w:history="true" w:anchor="_bookmark145">
        <w:r>
          <w:rPr/>
          <w:t>esired</w:t>
        </w:r>
        <w:r>
          <w:rPr>
            <w:spacing w:val="-5"/>
          </w:rPr>
          <w:t> </w:t>
        </w:r>
        <w:r>
          <w:rPr>
            <w:spacing w:val="-2"/>
          </w:rPr>
          <w:t>Conditions</w:t>
        </w:r>
        <w:r>
          <w:rPr/>
          <w:tab/>
        </w:r>
        <w:r>
          <w:rPr>
            <w:spacing w:val="-5"/>
          </w:rPr>
          <w:t>84</w:t>
        </w:r>
      </w:hyperlink>
    </w:p>
    <w:p>
      <w:pPr>
        <w:pStyle w:val="BodyText"/>
        <w:tabs>
          <w:tab w:pos="9713" w:val="right" w:leader="dot"/>
        </w:tabs>
        <w:ind w:left="1520"/>
      </w:pPr>
      <w:hyperlink w:history="true" w:anchor="_bookmark146">
        <w:r>
          <w:rPr/>
          <w:t>R</w:t>
        </w:r>
      </w:hyperlink>
      <w:hyperlink w:history="true" w:anchor="_bookmark146">
        <w:r>
          <w:rPr/>
          <w:t>ecreation</w:t>
        </w:r>
        <w:r>
          <w:rPr>
            <w:spacing w:val="-7"/>
          </w:rPr>
          <w:t> </w:t>
        </w:r>
        <w:r>
          <w:rPr>
            <w:spacing w:val="-2"/>
          </w:rPr>
          <w:t>(REC)</w:t>
        </w:r>
        <w:r>
          <w:rPr/>
          <w:tab/>
        </w:r>
        <w:r>
          <w:rPr>
            <w:spacing w:val="-5"/>
          </w:rPr>
          <w:t>85</w:t>
        </w:r>
      </w:hyperlink>
    </w:p>
    <w:p>
      <w:pPr>
        <w:pStyle w:val="BodyText"/>
        <w:tabs>
          <w:tab w:pos="9713" w:val="right" w:leader="dot"/>
        </w:tabs>
        <w:ind w:left="1801"/>
      </w:pPr>
      <w:hyperlink w:history="true" w:anchor="_bookmark147">
        <w:r>
          <w:rPr/>
          <w:t>D</w:t>
        </w:r>
      </w:hyperlink>
      <w:hyperlink w:history="true" w:anchor="_bookmark147">
        <w:r>
          <w:rPr/>
          <w:t>esired</w:t>
        </w:r>
        <w:r>
          <w:rPr>
            <w:spacing w:val="-5"/>
          </w:rPr>
          <w:t> </w:t>
        </w:r>
        <w:r>
          <w:rPr>
            <w:spacing w:val="-2"/>
          </w:rPr>
          <w:t>Conditions</w:t>
        </w:r>
        <w:r>
          <w:rPr/>
          <w:tab/>
        </w:r>
        <w:r>
          <w:rPr>
            <w:spacing w:val="-5"/>
          </w:rPr>
          <w:t>85</w:t>
        </w:r>
      </w:hyperlink>
    </w:p>
    <w:p>
      <w:pPr>
        <w:pStyle w:val="BodyText"/>
        <w:tabs>
          <w:tab w:pos="9713" w:val="right" w:leader="dot"/>
        </w:tabs>
        <w:ind w:left="1801"/>
      </w:pPr>
      <w:hyperlink w:history="true" w:anchor="_bookmark148">
        <w:r>
          <w:rPr>
            <w:spacing w:val="-2"/>
          </w:rPr>
          <w:t>S</w:t>
        </w:r>
      </w:hyperlink>
      <w:hyperlink w:history="true" w:anchor="_bookmark148">
        <w:r>
          <w:rPr>
            <w:spacing w:val="-2"/>
          </w:rPr>
          <w:t>tandard</w:t>
        </w:r>
        <w:r>
          <w:rPr/>
          <w:tab/>
        </w:r>
        <w:r>
          <w:rPr>
            <w:spacing w:val="-5"/>
          </w:rPr>
          <w:t>86</w:t>
        </w:r>
      </w:hyperlink>
    </w:p>
    <w:p>
      <w:pPr>
        <w:pStyle w:val="BodyText"/>
        <w:tabs>
          <w:tab w:pos="9714" w:val="right" w:leader="dot"/>
        </w:tabs>
        <w:ind w:left="1801"/>
      </w:pPr>
      <w:hyperlink w:history="true" w:anchor="_bookmark149">
        <w:r>
          <w:rPr>
            <w:spacing w:val="-2"/>
          </w:rPr>
          <w:t>G</w:t>
        </w:r>
      </w:hyperlink>
      <w:hyperlink w:history="true" w:anchor="_bookmark149">
        <w:r>
          <w:rPr>
            <w:spacing w:val="-2"/>
          </w:rPr>
          <w:t>uidelines</w:t>
        </w:r>
        <w:r>
          <w:rPr/>
          <w:tab/>
        </w:r>
        <w:r>
          <w:rPr>
            <w:spacing w:val="-5"/>
          </w:rPr>
          <w:t>86</w:t>
        </w:r>
      </w:hyperlink>
    </w:p>
    <w:p>
      <w:pPr>
        <w:pStyle w:val="BodyText"/>
        <w:tabs>
          <w:tab w:pos="9714" w:val="right" w:leader="dot"/>
        </w:tabs>
        <w:ind w:left="1520"/>
      </w:pPr>
      <w:hyperlink w:history="true" w:anchor="_bookmark150">
        <w:r>
          <w:rPr/>
          <w:t>R</w:t>
        </w:r>
      </w:hyperlink>
      <w:hyperlink w:history="true" w:anchor="_bookmark150">
        <w:r>
          <w:rPr/>
          <w:t>enewable</w:t>
        </w:r>
        <w:r>
          <w:rPr>
            <w:spacing w:val="-4"/>
          </w:rPr>
          <w:t> </w:t>
        </w:r>
        <w:r>
          <w:rPr/>
          <w:t>Forest</w:t>
        </w:r>
        <w:r>
          <w:rPr>
            <w:spacing w:val="-6"/>
          </w:rPr>
          <w:t> </w:t>
        </w:r>
        <w:r>
          <w:rPr/>
          <w:t>Products</w:t>
        </w:r>
        <w:r>
          <w:rPr>
            <w:spacing w:val="-5"/>
          </w:rPr>
          <w:t> </w:t>
        </w:r>
        <w:r>
          <w:rPr>
            <w:spacing w:val="-4"/>
          </w:rPr>
          <w:t>(RFP)</w:t>
        </w:r>
        <w:r>
          <w:rPr/>
          <w:tab/>
        </w:r>
        <w:r>
          <w:rPr>
            <w:spacing w:val="-5"/>
          </w:rPr>
          <w:t>87</w:t>
        </w:r>
      </w:hyperlink>
    </w:p>
    <w:p>
      <w:pPr>
        <w:pStyle w:val="BodyText"/>
        <w:tabs>
          <w:tab w:pos="9714" w:val="right" w:leader="dot"/>
        </w:tabs>
        <w:spacing w:line="268" w:lineRule="exact" w:before="1"/>
        <w:ind w:left="1801"/>
      </w:pPr>
      <w:hyperlink w:history="true" w:anchor="_bookmark151">
        <w:r>
          <w:rPr/>
          <w:t>D</w:t>
        </w:r>
      </w:hyperlink>
      <w:hyperlink w:history="true" w:anchor="_bookmark151">
        <w:r>
          <w:rPr/>
          <w:t>esired</w:t>
        </w:r>
        <w:r>
          <w:rPr>
            <w:spacing w:val="-5"/>
          </w:rPr>
          <w:t> </w:t>
        </w:r>
        <w:r>
          <w:rPr>
            <w:spacing w:val="-2"/>
          </w:rPr>
          <w:t>Conditions</w:t>
        </w:r>
        <w:r>
          <w:rPr/>
          <w:tab/>
        </w:r>
        <w:r>
          <w:rPr>
            <w:spacing w:val="-5"/>
          </w:rPr>
          <w:t>87</w:t>
        </w:r>
      </w:hyperlink>
    </w:p>
    <w:p>
      <w:pPr>
        <w:pStyle w:val="BodyText"/>
        <w:tabs>
          <w:tab w:pos="9714" w:val="right" w:leader="dot"/>
        </w:tabs>
        <w:spacing w:line="268" w:lineRule="exact"/>
        <w:ind w:left="1801"/>
      </w:pPr>
      <w:hyperlink w:history="true" w:anchor="_bookmark152">
        <w:r>
          <w:rPr>
            <w:spacing w:val="-2"/>
          </w:rPr>
          <w:t>G</w:t>
        </w:r>
      </w:hyperlink>
      <w:hyperlink w:history="true" w:anchor="_bookmark152">
        <w:r>
          <w:rPr>
            <w:spacing w:val="-2"/>
          </w:rPr>
          <w:t>uideline</w:t>
        </w:r>
        <w:r>
          <w:rPr/>
          <w:tab/>
        </w:r>
        <w:r>
          <w:rPr>
            <w:spacing w:val="-5"/>
          </w:rPr>
          <w:t>87</w:t>
        </w:r>
      </w:hyperlink>
    </w:p>
    <w:p>
      <w:pPr>
        <w:pStyle w:val="BodyText"/>
        <w:tabs>
          <w:tab w:pos="9714" w:val="right" w:leader="dot"/>
        </w:tabs>
        <w:ind w:left="1520"/>
      </w:pPr>
      <w:hyperlink w:history="true" w:anchor="_bookmark154">
        <w:r>
          <w:rPr/>
          <w:t>S</w:t>
        </w:r>
      </w:hyperlink>
      <w:hyperlink w:history="true" w:anchor="_bookmark154">
        <w:r>
          <w:rPr/>
          <w:t>cenery</w:t>
        </w:r>
        <w:r>
          <w:rPr>
            <w:spacing w:val="-4"/>
          </w:rPr>
          <w:t> </w:t>
        </w:r>
        <w:r>
          <w:rPr>
            <w:spacing w:val="-2"/>
          </w:rPr>
          <w:t>(SCE)</w:t>
        </w:r>
        <w:r>
          <w:rPr/>
          <w:tab/>
        </w:r>
        <w:r>
          <w:rPr>
            <w:spacing w:val="-5"/>
          </w:rPr>
          <w:t>88</w:t>
        </w:r>
      </w:hyperlink>
    </w:p>
    <w:p>
      <w:pPr>
        <w:pStyle w:val="BodyText"/>
        <w:tabs>
          <w:tab w:pos="9714" w:val="right" w:leader="dot"/>
        </w:tabs>
        <w:ind w:left="1801"/>
      </w:pPr>
      <w:hyperlink w:history="true" w:anchor="_bookmark155">
        <w:r>
          <w:rPr/>
          <w:t>D</w:t>
        </w:r>
      </w:hyperlink>
      <w:hyperlink w:history="true" w:anchor="_bookmark155">
        <w:r>
          <w:rPr/>
          <w:t>esired</w:t>
        </w:r>
        <w:r>
          <w:rPr>
            <w:spacing w:val="-5"/>
          </w:rPr>
          <w:t> </w:t>
        </w:r>
        <w:r>
          <w:rPr>
            <w:spacing w:val="-2"/>
          </w:rPr>
          <w:t>Condition</w:t>
        </w:r>
        <w:r>
          <w:rPr/>
          <w:tab/>
        </w:r>
        <w:r>
          <w:rPr>
            <w:spacing w:val="-5"/>
          </w:rPr>
          <w:t>88</w:t>
        </w:r>
      </w:hyperlink>
    </w:p>
    <w:p>
      <w:pPr>
        <w:pStyle w:val="BodyText"/>
        <w:tabs>
          <w:tab w:pos="9714" w:val="right" w:leader="dot"/>
        </w:tabs>
        <w:ind w:left="1801"/>
      </w:pPr>
      <w:hyperlink w:history="true" w:anchor="_bookmark156">
        <w:r>
          <w:rPr>
            <w:spacing w:val="-2"/>
          </w:rPr>
          <w:t>O</w:t>
        </w:r>
      </w:hyperlink>
      <w:hyperlink w:history="true" w:anchor="_bookmark156">
        <w:r>
          <w:rPr>
            <w:spacing w:val="-2"/>
          </w:rPr>
          <w:t>bjectives</w:t>
        </w:r>
        <w:r>
          <w:rPr/>
          <w:tab/>
        </w:r>
        <w:r>
          <w:rPr>
            <w:spacing w:val="-5"/>
          </w:rPr>
          <w:t>88</w:t>
        </w:r>
      </w:hyperlink>
    </w:p>
    <w:p>
      <w:pPr>
        <w:pStyle w:val="BodyText"/>
        <w:tabs>
          <w:tab w:pos="9714" w:val="right" w:leader="dot"/>
        </w:tabs>
        <w:ind w:left="1801"/>
      </w:pPr>
      <w:hyperlink w:history="true" w:anchor="_bookmark157">
        <w:r>
          <w:rPr>
            <w:spacing w:val="-2"/>
          </w:rPr>
          <w:t>S</w:t>
        </w:r>
      </w:hyperlink>
      <w:hyperlink w:history="true" w:anchor="_bookmark157">
        <w:r>
          <w:rPr>
            <w:spacing w:val="-2"/>
          </w:rPr>
          <w:t>tandard</w:t>
        </w:r>
        <w:r>
          <w:rPr/>
          <w:tab/>
        </w:r>
        <w:r>
          <w:rPr>
            <w:spacing w:val="-5"/>
          </w:rPr>
          <w:t>89</w:t>
        </w:r>
      </w:hyperlink>
    </w:p>
    <w:p>
      <w:pPr>
        <w:pStyle w:val="BodyText"/>
        <w:tabs>
          <w:tab w:pos="9714" w:val="right" w:leader="dot"/>
        </w:tabs>
        <w:ind w:left="1801"/>
      </w:pPr>
      <w:hyperlink w:history="true" w:anchor="_bookmark158">
        <w:r>
          <w:rPr>
            <w:spacing w:val="-2"/>
          </w:rPr>
          <w:t>G</w:t>
        </w:r>
      </w:hyperlink>
      <w:hyperlink w:history="true" w:anchor="_bookmark158">
        <w:r>
          <w:rPr>
            <w:spacing w:val="-2"/>
          </w:rPr>
          <w:t>uidelines</w:t>
        </w:r>
        <w:r>
          <w:rPr/>
          <w:tab/>
        </w:r>
        <w:r>
          <w:rPr>
            <w:spacing w:val="-5"/>
          </w:rPr>
          <w:t>89</w:t>
        </w:r>
      </w:hyperlink>
    </w:p>
    <w:p>
      <w:pPr>
        <w:pStyle w:val="BodyText"/>
        <w:tabs>
          <w:tab w:pos="9714" w:val="right" w:leader="dot"/>
        </w:tabs>
        <w:spacing w:before="1"/>
        <w:ind w:left="1520"/>
      </w:pPr>
      <w:hyperlink w:history="true" w:anchor="_bookmark159">
        <w:r>
          <w:rPr/>
          <w:t>I</w:t>
        </w:r>
      </w:hyperlink>
      <w:hyperlink w:history="true" w:anchor="_bookmark159">
        <w:r>
          <w:rPr/>
          <w:t>ntegrated</w:t>
        </w:r>
        <w:r>
          <w:rPr>
            <w:spacing w:val="-8"/>
          </w:rPr>
          <w:t> </w:t>
        </w:r>
        <w:r>
          <w:rPr/>
          <w:t>Pest</w:t>
        </w:r>
        <w:r>
          <w:rPr>
            <w:spacing w:val="-7"/>
          </w:rPr>
          <w:t> </w:t>
        </w:r>
        <w:r>
          <w:rPr/>
          <w:t>Management</w:t>
        </w:r>
        <w:r>
          <w:rPr>
            <w:spacing w:val="-4"/>
          </w:rPr>
          <w:t> (IPM)</w:t>
        </w:r>
        <w:r>
          <w:rPr/>
          <w:tab/>
        </w:r>
        <w:r>
          <w:rPr>
            <w:spacing w:val="-5"/>
          </w:rPr>
          <w:t>90</w:t>
        </w:r>
      </w:hyperlink>
    </w:p>
    <w:p>
      <w:pPr>
        <w:pStyle w:val="BodyText"/>
        <w:tabs>
          <w:tab w:pos="9712" w:val="right" w:leader="dot"/>
        </w:tabs>
        <w:spacing w:before="2"/>
        <w:ind w:left="1800"/>
      </w:pPr>
      <w:hyperlink w:history="true" w:anchor="_bookmark160">
        <w:r>
          <w:rPr/>
          <w:t>D</w:t>
        </w:r>
      </w:hyperlink>
      <w:hyperlink w:history="true" w:anchor="_bookmark160">
        <w:r>
          <w:rPr/>
          <w:t>esired</w:t>
        </w:r>
        <w:r>
          <w:rPr>
            <w:spacing w:val="-5"/>
          </w:rPr>
          <w:t> </w:t>
        </w:r>
        <w:r>
          <w:rPr>
            <w:spacing w:val="-2"/>
          </w:rPr>
          <w:t>Condition</w:t>
        </w:r>
        <w:r>
          <w:rPr/>
          <w:tab/>
        </w:r>
        <w:r>
          <w:rPr>
            <w:spacing w:val="-5"/>
          </w:rPr>
          <w:t>90</w:t>
        </w:r>
      </w:hyperlink>
    </w:p>
    <w:p>
      <w:pPr>
        <w:pStyle w:val="BodyText"/>
        <w:tabs>
          <w:tab w:pos="9713" w:val="right" w:leader="dot"/>
        </w:tabs>
        <w:ind w:left="1800"/>
      </w:pPr>
      <w:hyperlink w:history="true" w:anchor="_bookmark161">
        <w:r>
          <w:rPr>
            <w:spacing w:val="-2"/>
          </w:rPr>
          <w:t>Ob</w:t>
        </w:r>
      </w:hyperlink>
      <w:hyperlink w:history="true" w:anchor="_bookmark161">
        <w:r>
          <w:rPr>
            <w:spacing w:val="-2"/>
          </w:rPr>
          <w:t>jective</w:t>
        </w:r>
        <w:r>
          <w:rPr/>
          <w:tab/>
        </w:r>
        <w:r>
          <w:rPr>
            <w:spacing w:val="-5"/>
          </w:rPr>
          <w:t>90</w:t>
        </w:r>
      </w:hyperlink>
    </w:p>
    <w:p>
      <w:pPr>
        <w:pStyle w:val="BodyText"/>
        <w:tabs>
          <w:tab w:pos="9713" w:val="right" w:leader="dot"/>
        </w:tabs>
        <w:spacing w:line="268" w:lineRule="exact"/>
        <w:ind w:left="1800"/>
      </w:pPr>
      <w:hyperlink w:history="true" w:anchor="_bookmark162">
        <w:r>
          <w:rPr>
            <w:spacing w:val="-2"/>
          </w:rPr>
          <w:t>S</w:t>
        </w:r>
      </w:hyperlink>
      <w:hyperlink w:history="true" w:anchor="_bookmark162">
        <w:r>
          <w:rPr>
            <w:spacing w:val="-2"/>
          </w:rPr>
          <w:t>tandards</w:t>
        </w:r>
        <w:r>
          <w:rPr/>
          <w:tab/>
        </w:r>
        <w:r>
          <w:rPr>
            <w:spacing w:val="-5"/>
          </w:rPr>
          <w:t>91</w:t>
        </w:r>
      </w:hyperlink>
    </w:p>
    <w:p>
      <w:pPr>
        <w:pStyle w:val="BodyText"/>
        <w:tabs>
          <w:tab w:pos="9713" w:val="right" w:leader="dot"/>
        </w:tabs>
        <w:spacing w:line="268" w:lineRule="exact"/>
        <w:ind w:left="1800"/>
      </w:pPr>
      <w:hyperlink w:history="true" w:anchor="_bookmark163">
        <w:r>
          <w:rPr>
            <w:spacing w:val="-2"/>
          </w:rPr>
          <w:t>G</w:t>
        </w:r>
      </w:hyperlink>
      <w:hyperlink w:history="true" w:anchor="_bookmark163">
        <w:r>
          <w:rPr>
            <w:spacing w:val="-2"/>
          </w:rPr>
          <w:t>uideline</w:t>
        </w:r>
        <w:r>
          <w:rPr/>
          <w:tab/>
        </w:r>
        <w:r>
          <w:rPr>
            <w:spacing w:val="-5"/>
          </w:rPr>
          <w:t>91</w:t>
        </w:r>
      </w:hyperlink>
    </w:p>
    <w:p>
      <w:pPr>
        <w:pStyle w:val="BodyText"/>
        <w:tabs>
          <w:tab w:pos="9713" w:val="right" w:leader="dot"/>
        </w:tabs>
        <w:ind w:left="1080"/>
      </w:pPr>
      <w:hyperlink w:history="true" w:anchor="_bookmark164">
        <w:r>
          <w:rPr/>
          <w:t>C</w:t>
        </w:r>
      </w:hyperlink>
      <w:hyperlink w:history="true" w:anchor="_bookmark164">
        <w:r>
          <w:rPr/>
          <w:t>hapter</w:t>
        </w:r>
        <w:r>
          <w:rPr>
            <w:spacing w:val="-4"/>
          </w:rPr>
          <w:t> </w:t>
        </w:r>
        <w:r>
          <w:rPr>
            <w:spacing w:val="-10"/>
          </w:rPr>
          <w:t>3</w:t>
        </w:r>
        <w:r>
          <w:rPr/>
          <w:tab/>
        </w:r>
        <w:r>
          <w:rPr>
            <w:spacing w:val="-5"/>
          </w:rPr>
          <w:t>93</w:t>
        </w:r>
      </w:hyperlink>
    </w:p>
    <w:p>
      <w:pPr>
        <w:pStyle w:val="BodyText"/>
        <w:tabs>
          <w:tab w:pos="9713" w:val="right" w:leader="dot"/>
        </w:tabs>
        <w:ind w:left="1320"/>
      </w:pPr>
      <w:hyperlink w:history="true" w:anchor="_bookmark165">
        <w:r>
          <w:rPr/>
          <w:t>M</w:t>
        </w:r>
      </w:hyperlink>
      <w:hyperlink w:history="true" w:anchor="_bookmark165">
        <w:r>
          <w:rPr/>
          <w:t>anagement</w:t>
        </w:r>
        <w:r>
          <w:rPr>
            <w:spacing w:val="-7"/>
          </w:rPr>
          <w:t> </w:t>
        </w:r>
        <w:r>
          <w:rPr>
            <w:spacing w:val="-4"/>
          </w:rPr>
          <w:t>Areas</w:t>
        </w:r>
        <w:r>
          <w:rPr/>
          <w:tab/>
        </w:r>
        <w:r>
          <w:rPr>
            <w:spacing w:val="-5"/>
          </w:rPr>
          <w:t>93</w:t>
        </w:r>
      </w:hyperlink>
    </w:p>
    <w:p>
      <w:pPr>
        <w:pStyle w:val="BodyText"/>
        <w:tabs>
          <w:tab w:pos="9713" w:val="right" w:leader="dot"/>
        </w:tabs>
        <w:spacing w:before="1"/>
        <w:ind w:left="1320"/>
      </w:pPr>
      <w:hyperlink w:history="true" w:anchor="_bookmark166">
        <w:r>
          <w:rPr/>
          <w:t>M</w:t>
        </w:r>
      </w:hyperlink>
      <w:hyperlink w:history="true" w:anchor="_bookmark166">
        <w:r>
          <w:rPr/>
          <w:t>anagement</w:t>
        </w:r>
        <w:r>
          <w:rPr>
            <w:spacing w:val="-4"/>
          </w:rPr>
          <w:t> </w:t>
        </w:r>
        <w:r>
          <w:rPr/>
          <w:t>Area</w:t>
        </w:r>
        <w:r>
          <w:rPr>
            <w:spacing w:val="-7"/>
          </w:rPr>
          <w:t> </w:t>
        </w:r>
        <w:r>
          <w:rPr/>
          <w:t>Descriptions</w:t>
        </w:r>
        <w:r>
          <w:rPr>
            <w:spacing w:val="-4"/>
          </w:rPr>
          <w:t> </w:t>
        </w:r>
        <w:r>
          <w:rPr/>
          <w:t>and</w:t>
        </w:r>
        <w:r>
          <w:rPr>
            <w:spacing w:val="-7"/>
          </w:rPr>
          <w:t> </w:t>
        </w:r>
        <w:r>
          <w:rPr/>
          <w:t>Plan</w:t>
        </w:r>
        <w:r>
          <w:rPr>
            <w:spacing w:val="-6"/>
          </w:rPr>
          <w:t> </w:t>
        </w:r>
        <w:r>
          <w:rPr>
            <w:spacing w:val="-2"/>
          </w:rPr>
          <w:t>Direction</w:t>
        </w:r>
        <w:r>
          <w:rPr/>
          <w:tab/>
        </w:r>
        <w:r>
          <w:rPr>
            <w:spacing w:val="-5"/>
          </w:rPr>
          <w:t>93</w:t>
        </w:r>
      </w:hyperlink>
    </w:p>
    <w:p>
      <w:pPr>
        <w:pStyle w:val="BodyText"/>
        <w:tabs>
          <w:tab w:pos="9713" w:val="right" w:leader="dot"/>
        </w:tabs>
        <w:ind w:left="1519"/>
      </w:pPr>
      <w:hyperlink w:history="true" w:anchor="_bookmark168">
        <w:r>
          <w:rPr/>
          <w:t>A</w:t>
        </w:r>
      </w:hyperlink>
      <w:hyperlink w:history="true" w:anchor="_bookmark168">
        <w:r>
          <w:rPr/>
          <w:t>dministrative</w:t>
        </w:r>
        <w:r>
          <w:rPr>
            <w:spacing w:val="-4"/>
          </w:rPr>
          <w:t> </w:t>
        </w:r>
        <w:r>
          <w:rPr/>
          <w:t>and</w:t>
        </w:r>
        <w:r>
          <w:rPr>
            <w:spacing w:val="-8"/>
          </w:rPr>
          <w:t> </w:t>
        </w:r>
        <w:r>
          <w:rPr/>
          <w:t>Recreation</w:t>
        </w:r>
        <w:r>
          <w:rPr>
            <w:spacing w:val="-5"/>
          </w:rPr>
          <w:t> </w:t>
        </w:r>
        <w:r>
          <w:rPr/>
          <w:t>Sites</w:t>
        </w:r>
        <w:r>
          <w:rPr>
            <w:spacing w:val="-6"/>
          </w:rPr>
          <w:t> </w:t>
        </w:r>
        <w:r>
          <w:rPr>
            <w:spacing w:val="-4"/>
          </w:rPr>
          <w:t>(ARS)</w:t>
        </w:r>
        <w:r>
          <w:rPr/>
          <w:tab/>
        </w:r>
        <w:r>
          <w:rPr>
            <w:spacing w:val="-5"/>
          </w:rPr>
          <w:t>95</w:t>
        </w:r>
      </w:hyperlink>
    </w:p>
    <w:p>
      <w:pPr>
        <w:pStyle w:val="BodyText"/>
        <w:tabs>
          <w:tab w:pos="9713" w:val="right" w:leader="dot"/>
        </w:tabs>
        <w:ind w:left="1800"/>
      </w:pPr>
      <w:hyperlink w:history="true" w:anchor="_bookmark169">
        <w:r>
          <w:rPr/>
          <w:t>D</w:t>
        </w:r>
      </w:hyperlink>
      <w:hyperlink w:history="true" w:anchor="_bookmark169">
        <w:r>
          <w:rPr/>
          <w:t>esired</w:t>
        </w:r>
        <w:r>
          <w:rPr>
            <w:spacing w:val="-5"/>
          </w:rPr>
          <w:t> </w:t>
        </w:r>
        <w:r>
          <w:rPr>
            <w:spacing w:val="-2"/>
          </w:rPr>
          <w:t>Conditions</w:t>
        </w:r>
        <w:r>
          <w:rPr/>
          <w:tab/>
        </w:r>
        <w:r>
          <w:rPr>
            <w:spacing w:val="-5"/>
          </w:rPr>
          <w:t>95</w:t>
        </w:r>
      </w:hyperlink>
    </w:p>
    <w:p>
      <w:pPr>
        <w:pStyle w:val="BodyText"/>
        <w:tabs>
          <w:tab w:pos="9713" w:val="right" w:leader="dot"/>
        </w:tabs>
        <w:ind w:left="1800"/>
      </w:pPr>
      <w:hyperlink w:history="true" w:anchor="_bookmark171">
        <w:r>
          <w:rPr>
            <w:spacing w:val="-2"/>
          </w:rPr>
          <w:t>O</w:t>
        </w:r>
      </w:hyperlink>
      <w:hyperlink w:history="true" w:anchor="_bookmark171">
        <w:r>
          <w:rPr>
            <w:spacing w:val="-2"/>
          </w:rPr>
          <w:t>bjectives</w:t>
        </w:r>
        <w:r>
          <w:rPr/>
          <w:tab/>
        </w:r>
        <w:r>
          <w:rPr>
            <w:spacing w:val="-5"/>
          </w:rPr>
          <w:t>97</w:t>
        </w:r>
      </w:hyperlink>
    </w:p>
    <w:p>
      <w:pPr>
        <w:pStyle w:val="BodyText"/>
        <w:tabs>
          <w:tab w:pos="9713" w:val="right" w:leader="dot"/>
        </w:tabs>
        <w:ind w:left="1800"/>
      </w:pPr>
      <w:hyperlink w:history="true" w:anchor="_bookmark172">
        <w:r>
          <w:rPr>
            <w:spacing w:val="-2"/>
          </w:rPr>
          <w:t>S</w:t>
        </w:r>
      </w:hyperlink>
      <w:hyperlink w:history="true" w:anchor="_bookmark172">
        <w:r>
          <w:rPr>
            <w:spacing w:val="-2"/>
          </w:rPr>
          <w:t>tandards</w:t>
        </w:r>
        <w:r>
          <w:rPr/>
          <w:tab/>
        </w:r>
        <w:r>
          <w:rPr>
            <w:spacing w:val="-5"/>
          </w:rPr>
          <w:t>97</w:t>
        </w:r>
      </w:hyperlink>
    </w:p>
    <w:p>
      <w:pPr>
        <w:pStyle w:val="BodyText"/>
        <w:tabs>
          <w:tab w:pos="9713" w:val="right" w:leader="dot"/>
        </w:tabs>
        <w:ind w:left="1800"/>
      </w:pPr>
      <w:hyperlink w:history="true" w:anchor="_bookmark173">
        <w:r>
          <w:rPr>
            <w:spacing w:val="-2"/>
          </w:rPr>
          <w:t>G</w:t>
        </w:r>
      </w:hyperlink>
      <w:hyperlink w:history="true" w:anchor="_bookmark173">
        <w:r>
          <w:rPr>
            <w:spacing w:val="-2"/>
          </w:rPr>
          <w:t>uidelines</w:t>
        </w:r>
        <w:r>
          <w:rPr/>
          <w:tab/>
        </w:r>
        <w:r>
          <w:rPr>
            <w:spacing w:val="-5"/>
          </w:rPr>
          <w:t>97</w:t>
        </w:r>
      </w:hyperlink>
    </w:p>
    <w:p>
      <w:pPr>
        <w:pStyle w:val="BodyText"/>
        <w:tabs>
          <w:tab w:pos="9713" w:val="right" w:leader="dot"/>
        </w:tabs>
        <w:spacing w:line="268" w:lineRule="exact" w:before="1"/>
        <w:ind w:left="1800"/>
      </w:pPr>
      <w:hyperlink w:history="true" w:anchor="_bookmark174">
        <w:r>
          <w:rPr/>
          <w:t>S</w:t>
        </w:r>
      </w:hyperlink>
      <w:hyperlink w:history="true" w:anchor="_bookmark174">
        <w:r>
          <w:rPr/>
          <w:t>uitable</w:t>
        </w:r>
        <w:r>
          <w:rPr>
            <w:spacing w:val="-7"/>
          </w:rPr>
          <w:t> </w:t>
        </w:r>
        <w:r>
          <w:rPr>
            <w:spacing w:val="-4"/>
          </w:rPr>
          <w:t>Uses</w:t>
        </w:r>
        <w:r>
          <w:rPr/>
          <w:tab/>
        </w:r>
        <w:r>
          <w:rPr>
            <w:spacing w:val="-5"/>
          </w:rPr>
          <w:t>98</w:t>
        </w:r>
      </w:hyperlink>
    </w:p>
    <w:p>
      <w:pPr>
        <w:pStyle w:val="BodyText"/>
        <w:tabs>
          <w:tab w:pos="9713" w:val="right" w:leader="dot"/>
        </w:tabs>
        <w:spacing w:line="268" w:lineRule="exact"/>
        <w:ind w:left="1520"/>
      </w:pPr>
      <w:hyperlink w:history="true" w:anchor="_bookmark176">
        <w:r>
          <w:rPr/>
          <w:t>Bac</w:t>
        </w:r>
      </w:hyperlink>
      <w:hyperlink w:history="true" w:anchor="_bookmark176">
        <w:r>
          <w:rPr/>
          <w:t>kcountry</w:t>
        </w:r>
        <w:r>
          <w:rPr>
            <w:spacing w:val="-8"/>
          </w:rPr>
          <w:t> </w:t>
        </w:r>
        <w:r>
          <w:rPr>
            <w:spacing w:val="-4"/>
          </w:rPr>
          <w:t>(BC)</w:t>
        </w:r>
        <w:r>
          <w:rPr/>
          <w:tab/>
        </w:r>
        <w:r>
          <w:rPr>
            <w:spacing w:val="-5"/>
          </w:rPr>
          <w:t>99</w:t>
        </w:r>
      </w:hyperlink>
    </w:p>
    <w:p>
      <w:pPr>
        <w:pStyle w:val="BodyText"/>
        <w:tabs>
          <w:tab w:pos="9713" w:val="right" w:leader="dot"/>
        </w:tabs>
        <w:ind w:left="1800"/>
      </w:pPr>
      <w:hyperlink w:history="true" w:anchor="_bookmark177">
        <w:r>
          <w:rPr/>
          <w:t>D</w:t>
        </w:r>
      </w:hyperlink>
      <w:hyperlink w:history="true" w:anchor="_bookmark177">
        <w:r>
          <w:rPr/>
          <w:t>esired</w:t>
        </w:r>
        <w:r>
          <w:rPr>
            <w:spacing w:val="-5"/>
          </w:rPr>
          <w:t> </w:t>
        </w:r>
        <w:r>
          <w:rPr>
            <w:spacing w:val="-2"/>
          </w:rPr>
          <w:t>Conditions</w:t>
        </w:r>
        <w:r>
          <w:rPr/>
          <w:tab/>
        </w:r>
        <w:r>
          <w:rPr>
            <w:spacing w:val="-5"/>
          </w:rPr>
          <w:t>99</w:t>
        </w:r>
      </w:hyperlink>
    </w:p>
    <w:p>
      <w:pPr>
        <w:pStyle w:val="BodyText"/>
        <w:tabs>
          <w:tab w:pos="9711" w:val="right" w:leader="dot"/>
        </w:tabs>
        <w:ind w:left="1800"/>
      </w:pPr>
      <w:hyperlink w:history="true" w:anchor="_bookmark178">
        <w:r>
          <w:rPr>
            <w:spacing w:val="-2"/>
          </w:rPr>
          <w:t>S</w:t>
        </w:r>
      </w:hyperlink>
      <w:hyperlink w:history="true" w:anchor="_bookmark178">
        <w:r>
          <w:rPr>
            <w:spacing w:val="-2"/>
          </w:rPr>
          <w:t>tandard</w:t>
        </w:r>
        <w:r>
          <w:rPr/>
          <w:tab/>
        </w:r>
        <w:r>
          <w:rPr>
            <w:spacing w:val="-5"/>
          </w:rPr>
          <w:t>100</w:t>
        </w:r>
      </w:hyperlink>
    </w:p>
    <w:p>
      <w:pPr>
        <w:pStyle w:val="BodyText"/>
        <w:tabs>
          <w:tab w:pos="9711" w:val="right" w:leader="dot"/>
        </w:tabs>
        <w:ind w:left="1800"/>
      </w:pPr>
      <w:hyperlink w:history="true" w:anchor="_bookmark179">
        <w:r>
          <w:rPr>
            <w:spacing w:val="-2"/>
          </w:rPr>
          <w:t>G</w:t>
        </w:r>
      </w:hyperlink>
      <w:hyperlink w:history="true" w:anchor="_bookmark179">
        <w:r>
          <w:rPr>
            <w:spacing w:val="-2"/>
          </w:rPr>
          <w:t>uidelines</w:t>
        </w:r>
        <w:r>
          <w:rPr/>
          <w:tab/>
        </w:r>
        <w:r>
          <w:rPr>
            <w:spacing w:val="-5"/>
          </w:rPr>
          <w:t>101</w:t>
        </w:r>
      </w:hyperlink>
    </w:p>
    <w:p>
      <w:pPr>
        <w:pStyle w:val="BodyText"/>
        <w:rPr>
          <w:sz w:val="20"/>
        </w:rPr>
      </w:pPr>
    </w:p>
    <w:p>
      <w:pPr>
        <w:pStyle w:val="BodyText"/>
        <w:spacing w:before="34"/>
        <w:rPr>
          <w:sz w:val="20"/>
        </w:rPr>
      </w:pPr>
      <w:r>
        <w:rPr>
          <w:sz w:val="20"/>
        </w:rPr>
        <mc:AlternateContent>
          <mc:Choice Requires="wps">
            <w:drawing>
              <wp:anchor distT="0" distB="0" distL="0" distR="0" allowOverlap="1" layoutInCell="1" locked="0" behindDoc="1" simplePos="0" relativeHeight="487590400">
                <wp:simplePos x="0" y="0"/>
                <wp:positionH relativeFrom="page">
                  <wp:posOffset>1353311</wp:posOffset>
                </wp:positionH>
                <wp:positionV relativeFrom="paragraph">
                  <wp:posOffset>191859</wp:posOffset>
                </wp:positionV>
                <wp:extent cx="5523230" cy="155575"/>
                <wp:effectExtent l="0" t="0" r="0" b="0"/>
                <wp:wrapTopAndBottom/>
                <wp:docPr id="24" name="Group 24"/>
                <wp:cNvGraphicFramePr>
                  <a:graphicFrameLocks/>
                </wp:cNvGraphicFramePr>
                <a:graphic>
                  <a:graphicData uri="http://schemas.microsoft.com/office/word/2010/wordprocessingGroup">
                    <wpg:wgp>
                      <wpg:cNvPr id="24" name="Group 24"/>
                      <wpg:cNvGrpSpPr/>
                      <wpg:grpSpPr>
                        <a:xfrm>
                          <a:off x="0" y="0"/>
                          <a:ext cx="5523230" cy="155575"/>
                          <a:chExt cx="5523230" cy="155575"/>
                        </a:xfrm>
                      </wpg:grpSpPr>
                      <wps:wsp>
                        <wps:cNvPr id="25" name="Graphic 25"/>
                        <wps:cNvSpPr/>
                        <wps:spPr>
                          <a:xfrm>
                            <a:off x="2729483" y="24383"/>
                            <a:ext cx="64135" cy="131445"/>
                          </a:xfrm>
                          <a:custGeom>
                            <a:avLst/>
                            <a:gdLst/>
                            <a:ahLst/>
                            <a:cxnLst/>
                            <a:rect l="l" t="t" r="r" b="b"/>
                            <a:pathLst>
                              <a:path w="64135" h="131445">
                                <a:moveTo>
                                  <a:pt x="64008" y="0"/>
                                </a:moveTo>
                                <a:lnTo>
                                  <a:pt x="0" y="0"/>
                                </a:lnTo>
                                <a:lnTo>
                                  <a:pt x="0" y="131064"/>
                                </a:lnTo>
                                <a:lnTo>
                                  <a:pt x="64008" y="131064"/>
                                </a:lnTo>
                                <a:lnTo>
                                  <a:pt x="64008" y="0"/>
                                </a:lnTo>
                                <a:close/>
                              </a:path>
                            </a:pathLst>
                          </a:custGeom>
                          <a:solidFill>
                            <a:srgbClr val="E6E6E6"/>
                          </a:solidFill>
                        </wps:spPr>
                        <wps:bodyPr wrap="square" lIns="0" tIns="0" rIns="0" bIns="0" rtlCol="0">
                          <a:prstTxWarp prst="textNoShape">
                            <a:avLst/>
                          </a:prstTxWarp>
                          <a:noAutofit/>
                        </wps:bodyPr>
                      </wps:wsp>
                      <wps:wsp>
                        <wps:cNvPr id="26" name="Graphic 26"/>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wps:wsp>
                        <wps:cNvPr id="27" name="Textbox 27"/>
                        <wps:cNvSpPr txBox="1"/>
                        <wps:spPr>
                          <a:xfrm>
                            <a:off x="2729483" y="27591"/>
                            <a:ext cx="76835" cy="128270"/>
                          </a:xfrm>
                          <a:prstGeom prst="rect">
                            <a:avLst/>
                          </a:prstGeom>
                        </wps:spPr>
                        <wps:txbx>
                          <w:txbxContent>
                            <w:p>
                              <w:pPr>
                                <w:spacing w:line="201" w:lineRule="exact" w:before="0"/>
                                <w:ind w:left="0" w:right="0" w:firstLine="0"/>
                                <w:jc w:val="left"/>
                                <w:rPr>
                                  <w:rFonts w:ascii="Arial"/>
                                  <w:b/>
                                  <w:sz w:val="18"/>
                                </w:rPr>
                              </w:pPr>
                              <w:r>
                                <w:rPr>
                                  <w:rFonts w:ascii="Arial"/>
                                  <w:b/>
                                  <w:color w:val="003300"/>
                                  <w:spacing w:val="-10"/>
                                  <w:sz w:val="18"/>
                                </w:rPr>
                                <w:t>v</w:t>
                              </w:r>
                            </w:p>
                          </w:txbxContent>
                        </wps:txbx>
                        <wps:bodyPr wrap="square" lIns="0" tIns="0" rIns="0" bIns="0" rtlCol="0">
                          <a:noAutofit/>
                        </wps:bodyPr>
                      </wps:wsp>
                    </wpg:wgp>
                  </a:graphicData>
                </a:graphic>
              </wp:anchor>
            </w:drawing>
          </mc:Choice>
          <mc:Fallback>
            <w:pict>
              <v:group style="position:absolute;margin-left:106.559998pt;margin-top:15.107031pt;width:434.9pt;height:12.25pt;mso-position-horizontal-relative:page;mso-position-vertical-relative:paragraph;z-index:-15726080;mso-wrap-distance-left:0;mso-wrap-distance-right:0" id="docshapegroup21" coordorigin="2131,302" coordsize="8698,245">
                <v:rect style="position:absolute;left:6429;top:340;width:101;height:207" id="docshape22" filled="true" fillcolor="#e6e6e6" stroked="false">
                  <v:fill type="solid"/>
                </v:rect>
                <v:rect style="position:absolute;left:2131;top:302;width:8698;height:20" id="docshape23" filled="true" fillcolor="#000000" stroked="false">
                  <v:fill type="solid"/>
                </v:rect>
                <v:shape style="position:absolute;left:6429;top:345;width:121;height:202" type="#_x0000_t202" id="docshape24" filled="false" stroked="false">
                  <v:textbox inset="0,0,0,0">
                    <w:txbxContent>
                      <w:p>
                        <w:pPr>
                          <w:spacing w:line="201" w:lineRule="exact" w:before="0"/>
                          <w:ind w:left="0" w:right="0" w:firstLine="0"/>
                          <w:jc w:val="left"/>
                          <w:rPr>
                            <w:rFonts w:ascii="Arial"/>
                            <w:b/>
                            <w:sz w:val="18"/>
                          </w:rPr>
                        </w:pPr>
                        <w:r>
                          <w:rPr>
                            <w:rFonts w:ascii="Arial"/>
                            <w:b/>
                            <w:color w:val="003300"/>
                            <w:spacing w:val="-10"/>
                            <w:sz w:val="18"/>
                          </w:rPr>
                          <w:t>v</w:t>
                        </w:r>
                      </w:p>
                    </w:txbxContent>
                  </v:textbox>
                  <w10:wrap type="none"/>
                </v:shape>
                <w10:wrap type="topAndBottom"/>
              </v:group>
            </w:pict>
          </mc:Fallback>
        </mc:AlternateContent>
      </w:r>
    </w:p>
    <w:p>
      <w:pPr>
        <w:pStyle w:val="BodyText"/>
        <w:spacing w:after="0"/>
        <w:rPr>
          <w:sz w:val="20"/>
        </w:rPr>
        <w:sectPr>
          <w:headerReference w:type="default" r:id="rId19"/>
          <w:headerReference w:type="even" r:id="rId20"/>
          <w:footerReference w:type="default" r:id="rId21"/>
          <w:pgSz w:w="12240" w:h="15840"/>
          <w:pgMar w:header="725" w:footer="0" w:top="960" w:bottom="280" w:left="1080" w:right="720"/>
        </w:sectPr>
      </w:pPr>
    </w:p>
    <w:sdt>
      <w:sdtPr>
        <w:docPartObj>
          <w:docPartGallery w:val="Table of Contents"/>
          <w:docPartUnique/>
        </w:docPartObj>
      </w:sdtPr>
      <w:sdtEndPr/>
      <w:sdtContent>
        <w:p>
          <w:pPr>
            <w:pStyle w:val="TOC4"/>
            <w:tabs>
              <w:tab w:pos="8990" w:val="right" w:leader="dot"/>
            </w:tabs>
            <w:spacing w:before="474"/>
          </w:pPr>
          <w:hyperlink w:history="true" w:anchor="_bookmark180">
            <w:r>
              <w:rPr/>
              <w:t>S</w:t>
            </w:r>
          </w:hyperlink>
          <w:hyperlink w:history="true" w:anchor="_bookmark180">
            <w:r>
              <w:rPr/>
              <w:t>uitable</w:t>
            </w:r>
            <w:r>
              <w:rPr>
                <w:spacing w:val="-7"/>
              </w:rPr>
              <w:t> </w:t>
            </w:r>
            <w:r>
              <w:rPr>
                <w:spacing w:val="-4"/>
              </w:rPr>
              <w:t>Uses</w:t>
            </w:r>
            <w:r>
              <w:rPr/>
              <w:tab/>
            </w:r>
            <w:r>
              <w:rPr>
                <w:spacing w:val="-5"/>
              </w:rPr>
              <w:t>102</w:t>
            </w:r>
          </w:hyperlink>
        </w:p>
        <w:p>
          <w:pPr>
            <w:pStyle w:val="TOC3"/>
            <w:tabs>
              <w:tab w:pos="8990" w:val="right" w:leader="dot"/>
            </w:tabs>
          </w:pPr>
          <w:hyperlink w:history="true" w:anchor="_bookmark182">
            <w:r>
              <w:rPr/>
              <w:t>B</w:t>
            </w:r>
          </w:hyperlink>
          <w:hyperlink w:history="true" w:anchor="_bookmark182">
            <w:r>
              <w:rPr/>
              <w:t>ackcountry</w:t>
            </w:r>
            <w:r>
              <w:rPr>
                <w:spacing w:val="-7"/>
              </w:rPr>
              <w:t> </w:t>
            </w:r>
            <w:r>
              <w:rPr/>
              <w:t>Motorized</w:t>
            </w:r>
            <w:r>
              <w:rPr>
                <w:spacing w:val="-7"/>
              </w:rPr>
              <w:t> </w:t>
            </w:r>
            <w:r>
              <w:rPr>
                <w:spacing w:val="-4"/>
              </w:rPr>
              <w:t>(BCM)</w:t>
            </w:r>
            <w:r>
              <w:rPr/>
              <w:tab/>
            </w:r>
            <w:r>
              <w:rPr>
                <w:spacing w:val="-5"/>
              </w:rPr>
              <w:t>103</w:t>
            </w:r>
          </w:hyperlink>
        </w:p>
        <w:p>
          <w:pPr>
            <w:pStyle w:val="TOC4"/>
            <w:tabs>
              <w:tab w:pos="8990" w:val="right" w:leader="dot"/>
            </w:tabs>
            <w:spacing w:before="1"/>
            <w:ind w:left="1079"/>
          </w:pPr>
          <w:hyperlink w:history="true" w:anchor="_bookmark183">
            <w:r>
              <w:rPr/>
              <w:t>D</w:t>
            </w:r>
          </w:hyperlink>
          <w:hyperlink w:history="true" w:anchor="_bookmark183">
            <w:r>
              <w:rPr/>
              <w:t>esired</w:t>
            </w:r>
            <w:r>
              <w:rPr>
                <w:spacing w:val="-6"/>
              </w:rPr>
              <w:t> </w:t>
            </w:r>
            <w:r>
              <w:rPr>
                <w:spacing w:val="-2"/>
              </w:rPr>
              <w:t>Conditions</w:t>
            </w:r>
            <w:r>
              <w:rPr/>
              <w:tab/>
            </w:r>
            <w:r>
              <w:rPr>
                <w:spacing w:val="-5"/>
              </w:rPr>
              <w:t>103</w:t>
            </w:r>
          </w:hyperlink>
        </w:p>
        <w:p>
          <w:pPr>
            <w:pStyle w:val="TOC4"/>
            <w:tabs>
              <w:tab w:pos="8990" w:val="right" w:leader="dot"/>
            </w:tabs>
            <w:spacing w:line="268" w:lineRule="exact"/>
            <w:ind w:left="1079"/>
          </w:pPr>
          <w:hyperlink w:history="true" w:anchor="_bookmark184">
            <w:r>
              <w:rPr>
                <w:spacing w:val="-2"/>
              </w:rPr>
              <w:t>S</w:t>
            </w:r>
          </w:hyperlink>
          <w:hyperlink w:history="true" w:anchor="_bookmark184">
            <w:r>
              <w:rPr>
                <w:spacing w:val="-2"/>
              </w:rPr>
              <w:t>tandards</w:t>
            </w:r>
            <w:r>
              <w:rPr/>
              <w:tab/>
            </w:r>
            <w:r>
              <w:rPr>
                <w:spacing w:val="-5"/>
              </w:rPr>
              <w:t>104</w:t>
            </w:r>
          </w:hyperlink>
        </w:p>
        <w:p>
          <w:pPr>
            <w:pStyle w:val="TOC4"/>
            <w:tabs>
              <w:tab w:pos="8990" w:val="right" w:leader="dot"/>
            </w:tabs>
            <w:spacing w:line="268" w:lineRule="exact"/>
            <w:ind w:left="1079"/>
          </w:pPr>
          <w:hyperlink w:history="true" w:anchor="_bookmark185">
            <w:r>
              <w:rPr>
                <w:spacing w:val="-2"/>
              </w:rPr>
              <w:t>G</w:t>
            </w:r>
          </w:hyperlink>
          <w:hyperlink w:history="true" w:anchor="_bookmark185">
            <w:r>
              <w:rPr>
                <w:spacing w:val="-2"/>
              </w:rPr>
              <w:t>uidelines</w:t>
            </w:r>
            <w:r>
              <w:rPr/>
              <w:tab/>
            </w:r>
            <w:r>
              <w:rPr>
                <w:spacing w:val="-5"/>
              </w:rPr>
              <w:t>104</w:t>
            </w:r>
          </w:hyperlink>
        </w:p>
        <w:p>
          <w:pPr>
            <w:pStyle w:val="TOC4"/>
            <w:tabs>
              <w:tab w:pos="8990" w:val="right" w:leader="dot"/>
            </w:tabs>
          </w:pPr>
          <w:hyperlink w:history="true" w:anchor="_bookmark186">
            <w:r>
              <w:rPr/>
              <w:t>S</w:t>
            </w:r>
          </w:hyperlink>
          <w:hyperlink w:history="true" w:anchor="_bookmark186">
            <w:r>
              <w:rPr/>
              <w:t>uitable</w:t>
            </w:r>
            <w:r>
              <w:rPr>
                <w:spacing w:val="-7"/>
              </w:rPr>
              <w:t> </w:t>
            </w:r>
            <w:r>
              <w:rPr>
                <w:spacing w:val="-4"/>
              </w:rPr>
              <w:t>Uses</w:t>
            </w:r>
            <w:r>
              <w:rPr/>
              <w:tab/>
            </w:r>
            <w:r>
              <w:rPr>
                <w:spacing w:val="-5"/>
              </w:rPr>
              <w:t>105</w:t>
            </w:r>
          </w:hyperlink>
        </w:p>
        <w:p>
          <w:pPr>
            <w:pStyle w:val="TOC3"/>
            <w:tabs>
              <w:tab w:pos="8990" w:val="right" w:leader="dot"/>
            </w:tabs>
          </w:pPr>
          <w:hyperlink w:history="true" w:anchor="_bookmark188">
            <w:r>
              <w:rPr/>
              <w:t>F</w:t>
            </w:r>
          </w:hyperlink>
          <w:hyperlink w:history="true" w:anchor="_bookmark188">
            <w:r>
              <w:rPr/>
              <w:t>ocused</w:t>
            </w:r>
            <w:r>
              <w:rPr>
                <w:spacing w:val="-8"/>
              </w:rPr>
              <w:t> </w:t>
            </w:r>
            <w:r>
              <w:rPr/>
              <w:t>Restoration</w:t>
            </w:r>
            <w:r>
              <w:rPr>
                <w:spacing w:val="-5"/>
              </w:rPr>
              <w:t> </w:t>
            </w:r>
            <w:r>
              <w:rPr>
                <w:spacing w:val="-4"/>
              </w:rPr>
              <w:t>(FR)</w:t>
            </w:r>
            <w:r>
              <w:rPr/>
              <w:tab/>
            </w:r>
            <w:r>
              <w:rPr>
                <w:spacing w:val="-5"/>
              </w:rPr>
              <w:t>106</w:t>
            </w:r>
          </w:hyperlink>
        </w:p>
        <w:p>
          <w:pPr>
            <w:pStyle w:val="TOC4"/>
            <w:tabs>
              <w:tab w:pos="8990" w:val="right" w:leader="dot"/>
            </w:tabs>
          </w:pPr>
          <w:hyperlink w:history="true" w:anchor="_bookmark189">
            <w:r>
              <w:rPr/>
              <w:t>D</w:t>
            </w:r>
          </w:hyperlink>
          <w:hyperlink w:history="true" w:anchor="_bookmark189">
            <w:r>
              <w:rPr/>
              <w:t>esired</w:t>
            </w:r>
            <w:r>
              <w:rPr>
                <w:spacing w:val="-4"/>
              </w:rPr>
              <w:t> </w:t>
            </w:r>
            <w:r>
              <w:rPr>
                <w:spacing w:val="-2"/>
              </w:rPr>
              <w:t>Conditions</w:t>
            </w:r>
            <w:r>
              <w:rPr/>
              <w:tab/>
            </w:r>
            <w:r>
              <w:rPr>
                <w:spacing w:val="-5"/>
              </w:rPr>
              <w:t>106</w:t>
            </w:r>
          </w:hyperlink>
        </w:p>
        <w:p>
          <w:pPr>
            <w:pStyle w:val="TOC4"/>
            <w:tabs>
              <w:tab w:pos="8990" w:val="right" w:leader="dot"/>
            </w:tabs>
          </w:pPr>
          <w:hyperlink w:history="true" w:anchor="_bookmark190">
            <w:r>
              <w:rPr>
                <w:spacing w:val="-2"/>
              </w:rPr>
              <w:t>S</w:t>
            </w:r>
          </w:hyperlink>
          <w:hyperlink w:history="true" w:anchor="_bookmark190">
            <w:r>
              <w:rPr>
                <w:spacing w:val="-2"/>
              </w:rPr>
              <w:t>tandard</w:t>
            </w:r>
            <w:r>
              <w:rPr/>
              <w:tab/>
            </w:r>
            <w:r>
              <w:rPr>
                <w:spacing w:val="-5"/>
              </w:rPr>
              <w:t>107</w:t>
            </w:r>
          </w:hyperlink>
        </w:p>
        <w:p>
          <w:pPr>
            <w:pStyle w:val="TOC4"/>
            <w:tabs>
              <w:tab w:pos="8990" w:val="right" w:leader="dot"/>
            </w:tabs>
          </w:pPr>
          <w:hyperlink w:history="true" w:anchor="_bookmark193">
            <w:r>
              <w:rPr/>
              <w:t>S</w:t>
            </w:r>
          </w:hyperlink>
          <w:hyperlink w:history="true" w:anchor="_bookmark193">
            <w:r>
              <w:rPr/>
              <w:t>uitable</w:t>
            </w:r>
            <w:r>
              <w:rPr>
                <w:spacing w:val="-7"/>
              </w:rPr>
              <w:t> </w:t>
            </w:r>
            <w:r>
              <w:rPr>
                <w:spacing w:val="-4"/>
              </w:rPr>
              <w:t>Uses</w:t>
            </w:r>
            <w:r>
              <w:rPr/>
              <w:tab/>
            </w:r>
            <w:r>
              <w:rPr>
                <w:spacing w:val="-5"/>
              </w:rPr>
              <w:t>108</w:t>
            </w:r>
          </w:hyperlink>
        </w:p>
        <w:p>
          <w:pPr>
            <w:pStyle w:val="TOC3"/>
            <w:tabs>
              <w:tab w:pos="8990" w:val="right" w:leader="dot"/>
            </w:tabs>
            <w:spacing w:before="1"/>
          </w:pPr>
          <w:hyperlink w:history="true" w:anchor="_bookmark195">
            <w:r>
              <w:rPr/>
              <w:t>Ge</w:t>
            </w:r>
          </w:hyperlink>
          <w:hyperlink w:history="true" w:anchor="_bookmark195">
            <w:r>
              <w:rPr/>
              <w:t>neral</w:t>
            </w:r>
            <w:r>
              <w:rPr>
                <w:spacing w:val="-9"/>
              </w:rPr>
              <w:t> </w:t>
            </w:r>
            <w:r>
              <w:rPr/>
              <w:t>Restoration</w:t>
            </w:r>
            <w:r>
              <w:rPr>
                <w:spacing w:val="-6"/>
              </w:rPr>
              <w:t> </w:t>
            </w:r>
            <w:r>
              <w:rPr>
                <w:spacing w:val="-4"/>
              </w:rPr>
              <w:t>(GR)</w:t>
            </w:r>
            <w:r>
              <w:rPr/>
              <w:tab/>
            </w:r>
            <w:r>
              <w:rPr>
                <w:spacing w:val="-5"/>
              </w:rPr>
              <w:t>109</w:t>
            </w:r>
          </w:hyperlink>
        </w:p>
        <w:p>
          <w:pPr>
            <w:pStyle w:val="TOC4"/>
            <w:tabs>
              <w:tab w:pos="8990" w:val="right" w:leader="dot"/>
            </w:tabs>
          </w:pPr>
          <w:hyperlink w:history="true" w:anchor="_bookmark196">
            <w:r>
              <w:rPr/>
              <w:t>D</w:t>
            </w:r>
          </w:hyperlink>
          <w:hyperlink w:history="true" w:anchor="_bookmark196">
            <w:r>
              <w:rPr/>
              <w:t>esired</w:t>
            </w:r>
            <w:r>
              <w:rPr>
                <w:spacing w:val="-5"/>
              </w:rPr>
              <w:t> </w:t>
            </w:r>
            <w:r>
              <w:rPr>
                <w:spacing w:val="-2"/>
              </w:rPr>
              <w:t>Conditions</w:t>
            </w:r>
            <w:r>
              <w:rPr/>
              <w:tab/>
            </w:r>
            <w:r>
              <w:rPr>
                <w:spacing w:val="-5"/>
              </w:rPr>
              <w:t>109</w:t>
            </w:r>
          </w:hyperlink>
        </w:p>
        <w:p>
          <w:pPr>
            <w:pStyle w:val="TOC4"/>
            <w:tabs>
              <w:tab w:pos="8990" w:val="right" w:leader="dot"/>
            </w:tabs>
          </w:pPr>
          <w:hyperlink w:history="true" w:anchor="_bookmark197">
            <w:r>
              <w:rPr>
                <w:spacing w:val="-2"/>
              </w:rPr>
              <w:t>G</w:t>
            </w:r>
          </w:hyperlink>
          <w:hyperlink w:history="true" w:anchor="_bookmark197">
            <w:r>
              <w:rPr>
                <w:spacing w:val="-2"/>
              </w:rPr>
              <w:t>uideline</w:t>
            </w:r>
            <w:r>
              <w:rPr/>
              <w:tab/>
            </w:r>
            <w:r>
              <w:rPr>
                <w:spacing w:val="-5"/>
              </w:rPr>
              <w:t>110</w:t>
            </w:r>
          </w:hyperlink>
        </w:p>
        <w:p>
          <w:pPr>
            <w:pStyle w:val="TOC4"/>
            <w:tabs>
              <w:tab w:pos="8990" w:val="right" w:leader="dot"/>
            </w:tabs>
            <w:spacing w:line="268" w:lineRule="exact"/>
          </w:pPr>
          <w:hyperlink w:history="true" w:anchor="_bookmark198">
            <w:r>
              <w:rPr/>
              <w:t>S</w:t>
            </w:r>
          </w:hyperlink>
          <w:hyperlink w:history="true" w:anchor="_bookmark198">
            <w:r>
              <w:rPr/>
              <w:t>uitable</w:t>
            </w:r>
            <w:r>
              <w:rPr>
                <w:spacing w:val="-7"/>
              </w:rPr>
              <w:t> </w:t>
            </w:r>
            <w:r>
              <w:rPr>
                <w:spacing w:val="-4"/>
              </w:rPr>
              <w:t>Uses</w:t>
            </w:r>
            <w:r>
              <w:rPr/>
              <w:tab/>
            </w:r>
            <w:r>
              <w:rPr>
                <w:spacing w:val="-5"/>
              </w:rPr>
              <w:t>110</w:t>
            </w:r>
          </w:hyperlink>
        </w:p>
        <w:p>
          <w:pPr>
            <w:pStyle w:val="TOC3"/>
            <w:tabs>
              <w:tab w:pos="8990" w:val="right" w:leader="dot"/>
            </w:tabs>
            <w:spacing w:line="268" w:lineRule="exact"/>
          </w:pPr>
          <w:hyperlink w:history="true" w:anchor="_bookmark200">
            <w:r>
              <w:rPr/>
              <w:t>N</w:t>
            </w:r>
          </w:hyperlink>
          <w:hyperlink w:history="true" w:anchor="_bookmark200">
            <w:r>
              <w:rPr/>
              <w:t>ationally</w:t>
            </w:r>
            <w:r>
              <w:rPr>
                <w:spacing w:val="-7"/>
              </w:rPr>
              <w:t> </w:t>
            </w:r>
            <w:r>
              <w:rPr/>
              <w:t>Designated</w:t>
            </w:r>
            <w:r>
              <w:rPr>
                <w:spacing w:val="-7"/>
              </w:rPr>
              <w:t> </w:t>
            </w:r>
            <w:r>
              <w:rPr/>
              <w:t>Trails</w:t>
            </w:r>
            <w:r>
              <w:rPr>
                <w:spacing w:val="-6"/>
              </w:rPr>
              <w:t> </w:t>
            </w:r>
            <w:r>
              <w:rPr>
                <w:spacing w:val="-4"/>
              </w:rPr>
              <w:t>(NT)</w:t>
            </w:r>
            <w:r>
              <w:rPr/>
              <w:tab/>
            </w:r>
            <w:r>
              <w:rPr>
                <w:spacing w:val="-5"/>
              </w:rPr>
              <w:t>111</w:t>
            </w:r>
          </w:hyperlink>
        </w:p>
        <w:p>
          <w:pPr>
            <w:pStyle w:val="TOC4"/>
            <w:tabs>
              <w:tab w:pos="8990" w:val="right" w:leader="dot"/>
            </w:tabs>
          </w:pPr>
          <w:hyperlink w:history="true" w:anchor="_bookmark203">
            <w:r>
              <w:rPr/>
              <w:t>D</w:t>
            </w:r>
          </w:hyperlink>
          <w:hyperlink w:history="true" w:anchor="_bookmark203">
            <w:r>
              <w:rPr/>
              <w:t>esired</w:t>
            </w:r>
            <w:r>
              <w:rPr>
                <w:spacing w:val="-5"/>
              </w:rPr>
              <w:t> </w:t>
            </w:r>
            <w:r>
              <w:rPr>
                <w:spacing w:val="-2"/>
              </w:rPr>
              <w:t>Conditions</w:t>
            </w:r>
            <w:r>
              <w:rPr/>
              <w:tab/>
            </w:r>
            <w:r>
              <w:rPr>
                <w:spacing w:val="-5"/>
              </w:rPr>
              <w:t>112</w:t>
            </w:r>
          </w:hyperlink>
        </w:p>
        <w:p>
          <w:pPr>
            <w:pStyle w:val="TOC4"/>
            <w:tabs>
              <w:tab w:pos="8990" w:val="right" w:leader="dot"/>
            </w:tabs>
          </w:pPr>
          <w:hyperlink w:history="true" w:anchor="_bookmark204">
            <w:r>
              <w:rPr>
                <w:spacing w:val="-2"/>
              </w:rPr>
              <w:t>Ob</w:t>
            </w:r>
          </w:hyperlink>
          <w:hyperlink w:history="true" w:anchor="_bookmark204">
            <w:r>
              <w:rPr>
                <w:spacing w:val="-2"/>
              </w:rPr>
              <w:t>jective</w:t>
            </w:r>
            <w:r>
              <w:rPr/>
              <w:tab/>
            </w:r>
            <w:r>
              <w:rPr>
                <w:spacing w:val="-5"/>
              </w:rPr>
              <w:t>113</w:t>
            </w:r>
          </w:hyperlink>
        </w:p>
        <w:p>
          <w:pPr>
            <w:pStyle w:val="TOC4"/>
            <w:tabs>
              <w:tab w:pos="8990" w:val="right" w:leader="dot"/>
            </w:tabs>
            <w:spacing w:before="1"/>
          </w:pPr>
          <w:hyperlink w:history="true" w:anchor="_bookmark205">
            <w:r>
              <w:rPr>
                <w:spacing w:val="-2"/>
              </w:rPr>
              <w:t>S</w:t>
            </w:r>
          </w:hyperlink>
          <w:hyperlink w:history="true" w:anchor="_bookmark205">
            <w:r>
              <w:rPr>
                <w:spacing w:val="-2"/>
              </w:rPr>
              <w:t>tandard</w:t>
            </w:r>
            <w:r>
              <w:rPr/>
              <w:tab/>
            </w:r>
            <w:r>
              <w:rPr>
                <w:spacing w:val="-5"/>
              </w:rPr>
              <w:t>114</w:t>
            </w:r>
          </w:hyperlink>
        </w:p>
        <w:p>
          <w:pPr>
            <w:pStyle w:val="TOC4"/>
            <w:tabs>
              <w:tab w:pos="8990" w:val="right" w:leader="dot"/>
            </w:tabs>
          </w:pPr>
          <w:hyperlink w:history="true" w:anchor="_bookmark206">
            <w:r>
              <w:rPr>
                <w:spacing w:val="-2"/>
              </w:rPr>
              <w:t>G</w:t>
            </w:r>
          </w:hyperlink>
          <w:hyperlink w:history="true" w:anchor="_bookmark206">
            <w:r>
              <w:rPr>
                <w:spacing w:val="-2"/>
              </w:rPr>
              <w:t>uidelines</w:t>
            </w:r>
            <w:r>
              <w:rPr/>
              <w:tab/>
            </w:r>
            <w:r>
              <w:rPr>
                <w:spacing w:val="-5"/>
              </w:rPr>
              <w:t>114</w:t>
            </w:r>
          </w:hyperlink>
        </w:p>
        <w:p>
          <w:pPr>
            <w:pStyle w:val="TOC4"/>
            <w:tabs>
              <w:tab w:pos="8990" w:val="right" w:leader="dot"/>
            </w:tabs>
          </w:pPr>
          <w:hyperlink w:history="true" w:anchor="_bookmark207">
            <w:r>
              <w:rPr/>
              <w:t>S</w:t>
            </w:r>
          </w:hyperlink>
          <w:hyperlink w:history="true" w:anchor="_bookmark207">
            <w:r>
              <w:rPr/>
              <w:t>uitable</w:t>
            </w:r>
            <w:r>
              <w:rPr>
                <w:spacing w:val="-7"/>
              </w:rPr>
              <w:t> </w:t>
            </w:r>
            <w:r>
              <w:rPr>
                <w:spacing w:val="-4"/>
              </w:rPr>
              <w:t>Uses</w:t>
            </w:r>
            <w:r>
              <w:rPr/>
              <w:tab/>
            </w:r>
            <w:r>
              <w:rPr>
                <w:spacing w:val="-5"/>
              </w:rPr>
              <w:t>115</w:t>
            </w:r>
          </w:hyperlink>
        </w:p>
        <w:p>
          <w:pPr>
            <w:pStyle w:val="TOC3"/>
            <w:tabs>
              <w:tab w:pos="8990" w:val="right" w:leader="dot"/>
            </w:tabs>
          </w:pPr>
          <w:hyperlink w:history="true" w:anchor="_bookmark209">
            <w:r>
              <w:rPr/>
              <w:t>R</w:t>
            </w:r>
          </w:hyperlink>
          <w:hyperlink w:history="true" w:anchor="_bookmark209">
            <w:r>
              <w:rPr/>
              <w:t>esearch</w:t>
            </w:r>
            <w:r>
              <w:rPr>
                <w:spacing w:val="-6"/>
              </w:rPr>
              <w:t> </w:t>
            </w:r>
            <w:r>
              <w:rPr/>
              <w:t>Natural</w:t>
            </w:r>
            <w:r>
              <w:rPr>
                <w:spacing w:val="-5"/>
              </w:rPr>
              <w:t> </w:t>
            </w:r>
            <w:r>
              <w:rPr/>
              <w:t>Areas</w:t>
            </w:r>
            <w:r>
              <w:rPr>
                <w:spacing w:val="-4"/>
              </w:rPr>
              <w:t> </w:t>
            </w:r>
            <w:r>
              <w:rPr>
                <w:spacing w:val="-2"/>
              </w:rPr>
              <w:t>(RNA)</w:t>
            </w:r>
            <w:r>
              <w:rPr/>
              <w:tab/>
            </w:r>
            <w:r>
              <w:rPr>
                <w:spacing w:val="-5"/>
              </w:rPr>
              <w:t>116</w:t>
            </w:r>
          </w:hyperlink>
        </w:p>
        <w:p>
          <w:pPr>
            <w:pStyle w:val="TOC4"/>
            <w:tabs>
              <w:tab w:pos="8991" w:val="right" w:leader="dot"/>
            </w:tabs>
          </w:pPr>
          <w:hyperlink w:history="true" w:anchor="_bookmark211">
            <w:r>
              <w:rPr/>
              <w:t>D</w:t>
            </w:r>
          </w:hyperlink>
          <w:hyperlink w:history="true" w:anchor="_bookmark211">
            <w:r>
              <w:rPr/>
              <w:t>esired</w:t>
            </w:r>
            <w:r>
              <w:rPr>
                <w:spacing w:val="-5"/>
              </w:rPr>
              <w:t> </w:t>
            </w:r>
            <w:r>
              <w:rPr>
                <w:spacing w:val="-2"/>
              </w:rPr>
              <w:t>Condition</w:t>
            </w:r>
            <w:r>
              <w:rPr/>
              <w:tab/>
            </w:r>
            <w:r>
              <w:rPr>
                <w:spacing w:val="-5"/>
              </w:rPr>
              <w:t>117</w:t>
            </w:r>
          </w:hyperlink>
        </w:p>
        <w:p>
          <w:pPr>
            <w:pStyle w:val="TOC4"/>
            <w:tabs>
              <w:tab w:pos="8991" w:val="right" w:leader="dot"/>
            </w:tabs>
          </w:pPr>
          <w:hyperlink w:history="true" w:anchor="_bookmark212">
            <w:r>
              <w:rPr>
                <w:spacing w:val="-2"/>
              </w:rPr>
              <w:t>O</w:t>
            </w:r>
          </w:hyperlink>
          <w:hyperlink w:history="true" w:anchor="_bookmark212">
            <w:r>
              <w:rPr>
                <w:spacing w:val="-2"/>
              </w:rPr>
              <w:t>bjectives</w:t>
            </w:r>
            <w:r>
              <w:rPr/>
              <w:tab/>
            </w:r>
            <w:r>
              <w:rPr>
                <w:spacing w:val="-5"/>
              </w:rPr>
              <w:t>117</w:t>
            </w:r>
          </w:hyperlink>
        </w:p>
        <w:p>
          <w:pPr>
            <w:pStyle w:val="TOC4"/>
            <w:tabs>
              <w:tab w:pos="8991" w:val="right" w:leader="dot"/>
            </w:tabs>
            <w:spacing w:line="268" w:lineRule="exact" w:before="1"/>
          </w:pPr>
          <w:hyperlink w:history="true" w:anchor="_bookmark213">
            <w:r>
              <w:rPr>
                <w:spacing w:val="-2"/>
              </w:rPr>
              <w:t>S</w:t>
            </w:r>
          </w:hyperlink>
          <w:hyperlink w:history="true" w:anchor="_bookmark213">
            <w:r>
              <w:rPr>
                <w:spacing w:val="-2"/>
              </w:rPr>
              <w:t>tandard</w:t>
            </w:r>
            <w:r>
              <w:rPr/>
              <w:tab/>
            </w:r>
            <w:r>
              <w:rPr>
                <w:spacing w:val="-5"/>
              </w:rPr>
              <w:t>117</w:t>
            </w:r>
          </w:hyperlink>
        </w:p>
        <w:p>
          <w:pPr>
            <w:pStyle w:val="TOC4"/>
            <w:tabs>
              <w:tab w:pos="8991" w:val="right" w:leader="dot"/>
            </w:tabs>
            <w:spacing w:line="268" w:lineRule="exact"/>
          </w:pPr>
          <w:hyperlink w:history="true" w:anchor="_bookmark214">
            <w:r>
              <w:rPr/>
              <w:t>S</w:t>
            </w:r>
          </w:hyperlink>
          <w:hyperlink w:history="true" w:anchor="_bookmark214">
            <w:r>
              <w:rPr/>
              <w:t>uitable</w:t>
            </w:r>
            <w:r>
              <w:rPr>
                <w:spacing w:val="-7"/>
              </w:rPr>
              <w:t> </w:t>
            </w:r>
            <w:r>
              <w:rPr>
                <w:spacing w:val="-4"/>
              </w:rPr>
              <w:t>Uses</w:t>
            </w:r>
            <w:r>
              <w:rPr/>
              <w:tab/>
            </w:r>
            <w:r>
              <w:rPr>
                <w:spacing w:val="-5"/>
              </w:rPr>
              <w:t>118</w:t>
            </w:r>
          </w:hyperlink>
        </w:p>
        <w:p>
          <w:pPr>
            <w:pStyle w:val="TOC3"/>
            <w:tabs>
              <w:tab w:pos="8991" w:val="right" w:leader="dot"/>
            </w:tabs>
            <w:ind w:left="800"/>
          </w:pPr>
          <w:hyperlink w:history="true" w:anchor="_bookmark216">
            <w:r>
              <w:rPr/>
              <w:t>R</w:t>
            </w:r>
          </w:hyperlink>
          <w:hyperlink w:history="true" w:anchor="_bookmark216">
            <w:r>
              <w:rPr/>
              <w:t>iparian</w:t>
            </w:r>
            <w:r>
              <w:rPr>
                <w:spacing w:val="-7"/>
              </w:rPr>
              <w:t> </w:t>
            </w:r>
            <w:r>
              <w:rPr/>
              <w:t>Management</w:t>
            </w:r>
            <w:r>
              <w:rPr>
                <w:spacing w:val="-8"/>
              </w:rPr>
              <w:t> </w:t>
            </w:r>
            <w:r>
              <w:rPr/>
              <w:t>Areas</w:t>
            </w:r>
            <w:r>
              <w:rPr>
                <w:spacing w:val="-5"/>
              </w:rPr>
              <w:t> </w:t>
            </w:r>
            <w:r>
              <w:rPr>
                <w:spacing w:val="-4"/>
              </w:rPr>
              <w:t>(RMA)</w:t>
            </w:r>
            <w:r>
              <w:rPr/>
              <w:tab/>
            </w:r>
            <w:r>
              <w:rPr>
                <w:spacing w:val="-5"/>
              </w:rPr>
              <w:t>119</w:t>
            </w:r>
          </w:hyperlink>
        </w:p>
        <w:p>
          <w:pPr>
            <w:pStyle w:val="TOC4"/>
            <w:tabs>
              <w:tab w:pos="8991" w:val="right" w:leader="dot"/>
            </w:tabs>
          </w:pPr>
          <w:hyperlink w:history="true" w:anchor="_bookmark218">
            <w:r>
              <w:rPr/>
              <w:t>D</w:t>
            </w:r>
          </w:hyperlink>
          <w:hyperlink w:history="true" w:anchor="_bookmark218">
            <w:r>
              <w:rPr/>
              <w:t>esired</w:t>
            </w:r>
            <w:r>
              <w:rPr>
                <w:spacing w:val="-5"/>
              </w:rPr>
              <w:t> </w:t>
            </w:r>
            <w:r>
              <w:rPr>
                <w:spacing w:val="-2"/>
              </w:rPr>
              <w:t>Conditions</w:t>
            </w:r>
            <w:r>
              <w:rPr/>
              <w:tab/>
            </w:r>
            <w:r>
              <w:rPr>
                <w:spacing w:val="-5"/>
              </w:rPr>
              <w:t>120</w:t>
            </w:r>
          </w:hyperlink>
        </w:p>
        <w:p>
          <w:pPr>
            <w:pStyle w:val="TOC4"/>
            <w:tabs>
              <w:tab w:pos="8991" w:val="right" w:leader="dot"/>
            </w:tabs>
          </w:pPr>
          <w:hyperlink w:history="true" w:anchor="_bookmark219">
            <w:r>
              <w:rPr>
                <w:spacing w:val="-2"/>
              </w:rPr>
              <w:t>O</w:t>
            </w:r>
          </w:hyperlink>
          <w:hyperlink w:history="true" w:anchor="_bookmark219">
            <w:r>
              <w:rPr>
                <w:spacing w:val="-2"/>
              </w:rPr>
              <w:t>bjectives</w:t>
            </w:r>
            <w:r>
              <w:rPr/>
              <w:tab/>
            </w:r>
            <w:r>
              <w:rPr>
                <w:spacing w:val="-5"/>
              </w:rPr>
              <w:t>121</w:t>
            </w:r>
          </w:hyperlink>
        </w:p>
        <w:p>
          <w:pPr>
            <w:pStyle w:val="TOC4"/>
            <w:tabs>
              <w:tab w:pos="8991" w:val="right" w:leader="dot"/>
            </w:tabs>
          </w:pPr>
          <w:hyperlink w:history="true" w:anchor="_bookmark220">
            <w:r>
              <w:rPr>
                <w:spacing w:val="-2"/>
              </w:rPr>
              <w:t>S</w:t>
            </w:r>
          </w:hyperlink>
          <w:hyperlink w:history="true" w:anchor="_bookmark220">
            <w:r>
              <w:rPr>
                <w:spacing w:val="-2"/>
              </w:rPr>
              <w:t>tandards</w:t>
            </w:r>
            <w:r>
              <w:rPr/>
              <w:tab/>
            </w:r>
            <w:r>
              <w:rPr>
                <w:spacing w:val="-5"/>
              </w:rPr>
              <w:t>121</w:t>
            </w:r>
          </w:hyperlink>
        </w:p>
        <w:p>
          <w:pPr>
            <w:pStyle w:val="TOC4"/>
            <w:tabs>
              <w:tab w:pos="8991" w:val="right" w:leader="dot"/>
            </w:tabs>
          </w:pPr>
          <w:hyperlink w:history="true" w:anchor="_bookmark222">
            <w:r>
              <w:rPr>
                <w:spacing w:val="-2"/>
              </w:rPr>
              <w:t>G</w:t>
            </w:r>
          </w:hyperlink>
          <w:hyperlink w:history="true" w:anchor="_bookmark222">
            <w:r>
              <w:rPr>
                <w:spacing w:val="-2"/>
              </w:rPr>
              <w:t>uidelines</w:t>
            </w:r>
            <w:r>
              <w:rPr/>
              <w:tab/>
            </w:r>
            <w:r>
              <w:rPr>
                <w:spacing w:val="-5"/>
              </w:rPr>
              <w:t>125</w:t>
            </w:r>
          </w:hyperlink>
        </w:p>
        <w:p>
          <w:pPr>
            <w:pStyle w:val="TOC4"/>
            <w:tabs>
              <w:tab w:pos="8991" w:val="right" w:leader="dot"/>
            </w:tabs>
            <w:spacing w:before="1"/>
            <w:ind w:left="1081"/>
          </w:pPr>
          <w:hyperlink w:history="true" w:anchor="_bookmark231">
            <w:r>
              <w:rPr/>
              <w:t>S</w:t>
            </w:r>
          </w:hyperlink>
          <w:hyperlink w:history="true" w:anchor="_bookmark231">
            <w:r>
              <w:rPr/>
              <w:t>uitable</w:t>
            </w:r>
            <w:r>
              <w:rPr>
                <w:spacing w:val="-7"/>
              </w:rPr>
              <w:t> </w:t>
            </w:r>
            <w:r>
              <w:rPr>
                <w:spacing w:val="-4"/>
              </w:rPr>
              <w:t>Uses</w:t>
            </w:r>
            <w:r>
              <w:rPr/>
              <w:tab/>
            </w:r>
            <w:r>
              <w:rPr>
                <w:spacing w:val="-5"/>
              </w:rPr>
              <w:t>129</w:t>
            </w:r>
          </w:hyperlink>
        </w:p>
        <w:p>
          <w:pPr>
            <w:pStyle w:val="TOC3"/>
            <w:tabs>
              <w:tab w:pos="8990" w:val="right" w:leader="dot"/>
            </w:tabs>
            <w:spacing w:before="2"/>
          </w:pPr>
          <w:hyperlink w:history="true" w:anchor="_bookmark233">
            <w:r>
              <w:rPr/>
              <w:t>S</w:t>
            </w:r>
          </w:hyperlink>
          <w:hyperlink w:history="true" w:anchor="_bookmark233">
            <w:r>
              <w:rPr/>
              <w:t>cenic</w:t>
            </w:r>
            <w:r>
              <w:rPr>
                <w:spacing w:val="-5"/>
              </w:rPr>
              <w:t> </w:t>
            </w:r>
            <w:r>
              <w:rPr/>
              <w:t>Byways</w:t>
            </w:r>
            <w:r>
              <w:rPr>
                <w:spacing w:val="-4"/>
              </w:rPr>
              <w:t> (SB)</w:t>
            </w:r>
            <w:r>
              <w:rPr/>
              <w:tab/>
            </w:r>
            <w:r>
              <w:rPr>
                <w:spacing w:val="-5"/>
              </w:rPr>
              <w:t>130</w:t>
            </w:r>
          </w:hyperlink>
        </w:p>
        <w:p>
          <w:pPr>
            <w:pStyle w:val="TOC4"/>
            <w:tabs>
              <w:tab w:pos="8990" w:val="right" w:leader="dot"/>
            </w:tabs>
          </w:pPr>
          <w:hyperlink w:history="true" w:anchor="_bookmark235">
            <w:r>
              <w:rPr/>
              <w:t>D</w:t>
            </w:r>
          </w:hyperlink>
          <w:hyperlink w:history="true" w:anchor="_bookmark235">
            <w:r>
              <w:rPr/>
              <w:t>esired</w:t>
            </w:r>
            <w:r>
              <w:rPr>
                <w:spacing w:val="-5"/>
              </w:rPr>
              <w:t> </w:t>
            </w:r>
            <w:r>
              <w:rPr>
                <w:spacing w:val="-2"/>
              </w:rPr>
              <w:t>Condition</w:t>
            </w:r>
            <w:r>
              <w:rPr/>
              <w:tab/>
            </w:r>
            <w:r>
              <w:rPr>
                <w:spacing w:val="-5"/>
              </w:rPr>
              <w:t>131</w:t>
            </w:r>
          </w:hyperlink>
        </w:p>
        <w:p>
          <w:pPr>
            <w:pStyle w:val="TOC4"/>
            <w:tabs>
              <w:tab w:pos="8990" w:val="right" w:leader="dot"/>
            </w:tabs>
            <w:spacing w:line="268" w:lineRule="exact"/>
          </w:pPr>
          <w:hyperlink w:history="true" w:anchor="_bookmark236">
            <w:r>
              <w:rPr>
                <w:spacing w:val="-2"/>
              </w:rPr>
              <w:t>Ob</w:t>
            </w:r>
          </w:hyperlink>
          <w:hyperlink w:history="true" w:anchor="_bookmark236">
            <w:r>
              <w:rPr>
                <w:spacing w:val="-2"/>
              </w:rPr>
              <w:t>jective</w:t>
            </w:r>
            <w:r>
              <w:rPr/>
              <w:tab/>
            </w:r>
            <w:r>
              <w:rPr>
                <w:spacing w:val="-5"/>
              </w:rPr>
              <w:t>131</w:t>
            </w:r>
          </w:hyperlink>
        </w:p>
        <w:p>
          <w:pPr>
            <w:pStyle w:val="TOC4"/>
            <w:tabs>
              <w:tab w:pos="8990" w:val="right" w:leader="dot"/>
            </w:tabs>
            <w:spacing w:line="268" w:lineRule="exact"/>
          </w:pPr>
          <w:hyperlink w:history="true" w:anchor="_bookmark237">
            <w:r>
              <w:rPr>
                <w:spacing w:val="-2"/>
              </w:rPr>
              <w:t>S</w:t>
            </w:r>
          </w:hyperlink>
          <w:hyperlink w:history="true" w:anchor="_bookmark237">
            <w:r>
              <w:rPr>
                <w:spacing w:val="-2"/>
              </w:rPr>
              <w:t>tandard</w:t>
            </w:r>
            <w:r>
              <w:rPr/>
              <w:tab/>
            </w:r>
            <w:r>
              <w:rPr>
                <w:spacing w:val="-5"/>
              </w:rPr>
              <w:t>131</w:t>
            </w:r>
          </w:hyperlink>
        </w:p>
        <w:p>
          <w:pPr>
            <w:pStyle w:val="TOC4"/>
            <w:tabs>
              <w:tab w:pos="8990" w:val="right" w:leader="dot"/>
            </w:tabs>
          </w:pPr>
          <w:hyperlink w:history="true" w:anchor="_bookmark238">
            <w:r>
              <w:rPr>
                <w:spacing w:val="-2"/>
              </w:rPr>
              <w:t>G</w:t>
            </w:r>
          </w:hyperlink>
          <w:hyperlink w:history="true" w:anchor="_bookmark238">
            <w:r>
              <w:rPr>
                <w:spacing w:val="-2"/>
              </w:rPr>
              <w:t>uidelines</w:t>
            </w:r>
            <w:r>
              <w:rPr/>
              <w:tab/>
            </w:r>
            <w:r>
              <w:rPr>
                <w:spacing w:val="-5"/>
              </w:rPr>
              <w:t>131</w:t>
            </w:r>
          </w:hyperlink>
        </w:p>
        <w:p>
          <w:pPr>
            <w:pStyle w:val="TOC4"/>
            <w:tabs>
              <w:tab w:pos="8990" w:val="right" w:leader="dot"/>
            </w:tabs>
          </w:pPr>
          <w:hyperlink w:history="true" w:anchor="_bookmark239">
            <w:r>
              <w:rPr/>
              <w:t>S</w:t>
            </w:r>
          </w:hyperlink>
          <w:hyperlink w:history="true" w:anchor="_bookmark239">
            <w:r>
              <w:rPr/>
              <w:t>uitable</w:t>
            </w:r>
            <w:r>
              <w:rPr>
                <w:spacing w:val="-7"/>
              </w:rPr>
              <w:t> </w:t>
            </w:r>
            <w:r>
              <w:rPr>
                <w:spacing w:val="-4"/>
              </w:rPr>
              <w:t>Uses</w:t>
            </w:r>
            <w:r>
              <w:rPr/>
              <w:tab/>
            </w:r>
            <w:r>
              <w:rPr>
                <w:spacing w:val="-5"/>
              </w:rPr>
              <w:t>132</w:t>
            </w:r>
          </w:hyperlink>
        </w:p>
        <w:p>
          <w:pPr>
            <w:pStyle w:val="TOC3"/>
            <w:tabs>
              <w:tab w:pos="8991" w:val="right" w:leader="dot"/>
            </w:tabs>
            <w:spacing w:before="1"/>
          </w:pPr>
          <w:hyperlink w:history="true" w:anchor="_bookmark242">
            <w:r>
              <w:rPr/>
              <w:t>Kettl</w:t>
            </w:r>
          </w:hyperlink>
          <w:hyperlink w:history="true" w:anchor="_bookmark242">
            <w:r>
              <w:rPr/>
              <w:t>e</w:t>
            </w:r>
            <w:r>
              <w:rPr>
                <w:spacing w:val="-4"/>
              </w:rPr>
              <w:t> </w:t>
            </w:r>
            <w:r>
              <w:rPr/>
              <w:t>Crest</w:t>
            </w:r>
            <w:r>
              <w:rPr>
                <w:spacing w:val="-3"/>
              </w:rPr>
              <w:t> </w:t>
            </w:r>
            <w:r>
              <w:rPr/>
              <w:t>Recreation</w:t>
            </w:r>
            <w:r>
              <w:rPr>
                <w:spacing w:val="-7"/>
              </w:rPr>
              <w:t> </w:t>
            </w:r>
            <w:r>
              <w:rPr/>
              <w:t>Area</w:t>
            </w:r>
            <w:r>
              <w:rPr>
                <w:spacing w:val="-4"/>
              </w:rPr>
              <w:t> </w:t>
            </w:r>
            <w:r>
              <w:rPr>
                <w:spacing w:val="-2"/>
              </w:rPr>
              <w:t>(KCRA)</w:t>
            </w:r>
            <w:r>
              <w:rPr/>
              <w:tab/>
            </w:r>
            <w:r>
              <w:rPr>
                <w:spacing w:val="-5"/>
              </w:rPr>
              <w:t>133</w:t>
            </w:r>
          </w:hyperlink>
        </w:p>
        <w:p>
          <w:pPr>
            <w:pStyle w:val="TOC4"/>
            <w:tabs>
              <w:tab w:pos="8991" w:val="right" w:leader="dot"/>
            </w:tabs>
          </w:pPr>
          <w:hyperlink w:history="true" w:anchor="_bookmark243">
            <w:r>
              <w:rPr/>
              <w:t>D</w:t>
            </w:r>
          </w:hyperlink>
          <w:hyperlink w:history="true" w:anchor="_bookmark243">
            <w:r>
              <w:rPr/>
              <w:t>esired</w:t>
            </w:r>
            <w:r>
              <w:rPr>
                <w:spacing w:val="-5"/>
              </w:rPr>
              <w:t> </w:t>
            </w:r>
            <w:r>
              <w:rPr>
                <w:spacing w:val="-2"/>
              </w:rPr>
              <w:t>Conditions</w:t>
            </w:r>
            <w:r>
              <w:rPr/>
              <w:tab/>
            </w:r>
            <w:r>
              <w:rPr>
                <w:spacing w:val="-5"/>
              </w:rPr>
              <w:t>133</w:t>
            </w:r>
          </w:hyperlink>
        </w:p>
        <w:p>
          <w:pPr>
            <w:pStyle w:val="TOC4"/>
            <w:tabs>
              <w:tab w:pos="8991" w:val="right" w:leader="dot"/>
            </w:tabs>
          </w:pPr>
          <w:hyperlink w:history="true" w:anchor="_bookmark244">
            <w:r>
              <w:rPr>
                <w:spacing w:val="-2"/>
              </w:rPr>
              <w:t>O</w:t>
            </w:r>
          </w:hyperlink>
          <w:hyperlink w:history="true" w:anchor="_bookmark244">
            <w:r>
              <w:rPr>
                <w:spacing w:val="-2"/>
              </w:rPr>
              <w:t>bjectives</w:t>
            </w:r>
            <w:r>
              <w:rPr/>
              <w:tab/>
            </w:r>
            <w:r>
              <w:rPr>
                <w:spacing w:val="-5"/>
              </w:rPr>
              <w:t>134</w:t>
            </w:r>
          </w:hyperlink>
        </w:p>
        <w:p>
          <w:pPr>
            <w:pStyle w:val="TOC4"/>
            <w:tabs>
              <w:tab w:pos="8991" w:val="right" w:leader="dot"/>
            </w:tabs>
          </w:pPr>
          <w:hyperlink w:history="true" w:anchor="_bookmark245">
            <w:r>
              <w:rPr>
                <w:spacing w:val="-2"/>
              </w:rPr>
              <w:t>S</w:t>
            </w:r>
          </w:hyperlink>
          <w:hyperlink w:history="true" w:anchor="_bookmark245">
            <w:r>
              <w:rPr>
                <w:spacing w:val="-2"/>
              </w:rPr>
              <w:t>tandards</w:t>
            </w:r>
            <w:r>
              <w:rPr/>
              <w:tab/>
            </w:r>
            <w:r>
              <w:rPr>
                <w:spacing w:val="-5"/>
              </w:rPr>
              <w:t>134</w:t>
            </w:r>
          </w:hyperlink>
        </w:p>
        <w:p>
          <w:pPr>
            <w:pStyle w:val="TOC4"/>
            <w:tabs>
              <w:tab w:pos="8991" w:val="right" w:leader="dot"/>
            </w:tabs>
          </w:pPr>
          <w:hyperlink w:history="true" w:anchor="_bookmark246">
            <w:r>
              <w:rPr>
                <w:spacing w:val="-2"/>
              </w:rPr>
              <w:t>G</w:t>
            </w:r>
          </w:hyperlink>
          <w:hyperlink w:history="true" w:anchor="_bookmark246">
            <w:r>
              <w:rPr>
                <w:spacing w:val="-2"/>
              </w:rPr>
              <w:t>uidelines</w:t>
            </w:r>
            <w:r>
              <w:rPr/>
              <w:tab/>
            </w:r>
            <w:r>
              <w:rPr>
                <w:spacing w:val="-5"/>
              </w:rPr>
              <w:t>135</w:t>
            </w:r>
          </w:hyperlink>
        </w:p>
        <w:p>
          <w:pPr>
            <w:pStyle w:val="TOC4"/>
            <w:tabs>
              <w:tab w:pos="8991" w:val="right" w:leader="dot"/>
            </w:tabs>
            <w:ind w:left="1081"/>
          </w:pPr>
          <w:hyperlink w:history="true" w:anchor="_bookmark247">
            <w:r>
              <w:rPr/>
              <w:t>S</w:t>
            </w:r>
          </w:hyperlink>
          <w:hyperlink w:history="true" w:anchor="_bookmark247">
            <w:r>
              <w:rPr/>
              <w:t>uitable</w:t>
            </w:r>
            <w:r>
              <w:rPr>
                <w:spacing w:val="-7"/>
              </w:rPr>
              <w:t> </w:t>
            </w:r>
            <w:r>
              <w:rPr>
                <w:spacing w:val="-4"/>
              </w:rPr>
              <w:t>Uses</w:t>
            </w:r>
            <w:r>
              <w:rPr/>
              <w:tab/>
            </w:r>
            <w:r>
              <w:rPr>
                <w:spacing w:val="-5"/>
              </w:rPr>
              <w:t>136</w:t>
            </w:r>
          </w:hyperlink>
        </w:p>
        <w:p>
          <w:pPr>
            <w:pStyle w:val="TOC3"/>
            <w:tabs>
              <w:tab w:pos="8991" w:val="right" w:leader="dot"/>
            </w:tabs>
            <w:spacing w:line="268" w:lineRule="exact" w:before="1"/>
            <w:ind w:left="800"/>
          </w:pPr>
          <w:hyperlink w:history="true" w:anchor="_bookmark250">
            <w:r>
              <w:rPr/>
              <w:t>W</w:t>
            </w:r>
          </w:hyperlink>
          <w:hyperlink w:history="true" w:anchor="_bookmark250">
            <w:r>
              <w:rPr/>
              <w:t>ild</w:t>
            </w:r>
            <w:r>
              <w:rPr>
                <w:spacing w:val="-4"/>
              </w:rPr>
              <w:t> </w:t>
            </w:r>
            <w:r>
              <w:rPr/>
              <w:t>and</w:t>
            </w:r>
            <w:r>
              <w:rPr>
                <w:spacing w:val="-3"/>
              </w:rPr>
              <w:t> </w:t>
            </w:r>
            <w:r>
              <w:rPr/>
              <w:t>Scenic</w:t>
            </w:r>
            <w:r>
              <w:rPr>
                <w:spacing w:val="-5"/>
              </w:rPr>
              <w:t> </w:t>
            </w:r>
            <w:r>
              <w:rPr/>
              <w:t>Rivers</w:t>
            </w:r>
            <w:r>
              <w:rPr>
                <w:spacing w:val="-2"/>
              </w:rPr>
              <w:t> </w:t>
            </w:r>
            <w:r>
              <w:rPr>
                <w:spacing w:val="-4"/>
              </w:rPr>
              <w:t>(WSR)</w:t>
            </w:r>
            <w:r>
              <w:rPr/>
              <w:tab/>
            </w:r>
            <w:r>
              <w:rPr>
                <w:spacing w:val="-5"/>
              </w:rPr>
              <w:t>137</w:t>
            </w:r>
          </w:hyperlink>
        </w:p>
        <w:p>
          <w:pPr>
            <w:pStyle w:val="TOC4"/>
            <w:tabs>
              <w:tab w:pos="8991" w:val="right" w:leader="dot"/>
            </w:tabs>
            <w:spacing w:line="268" w:lineRule="exact"/>
            <w:ind w:left="1081"/>
          </w:pPr>
          <w:hyperlink w:history="true" w:anchor="_bookmark252">
            <w:r>
              <w:rPr/>
              <w:t>D</w:t>
            </w:r>
          </w:hyperlink>
          <w:hyperlink w:history="true" w:anchor="_bookmark252">
            <w:r>
              <w:rPr/>
              <w:t>esired</w:t>
            </w:r>
            <w:r>
              <w:rPr>
                <w:spacing w:val="-5"/>
              </w:rPr>
              <w:t> </w:t>
            </w:r>
            <w:r>
              <w:rPr>
                <w:spacing w:val="-2"/>
              </w:rPr>
              <w:t>Conditions</w:t>
            </w:r>
            <w:r>
              <w:rPr/>
              <w:tab/>
            </w:r>
            <w:r>
              <w:rPr>
                <w:spacing w:val="-5"/>
              </w:rPr>
              <w:t>138</w:t>
            </w:r>
          </w:hyperlink>
        </w:p>
        <w:p>
          <w:pPr>
            <w:pStyle w:val="TOC4"/>
            <w:tabs>
              <w:tab w:pos="8991" w:val="right" w:leader="dot"/>
            </w:tabs>
            <w:ind w:left="1081"/>
          </w:pPr>
          <w:hyperlink w:history="true" w:anchor="_bookmark253">
            <w:r>
              <w:rPr>
                <w:spacing w:val="-2"/>
              </w:rPr>
              <w:t>S</w:t>
            </w:r>
          </w:hyperlink>
          <w:hyperlink w:history="true" w:anchor="_bookmark253">
            <w:r>
              <w:rPr>
                <w:spacing w:val="-2"/>
              </w:rPr>
              <w:t>tandards</w:t>
            </w:r>
            <w:r>
              <w:rPr/>
              <w:tab/>
            </w:r>
            <w:r>
              <w:rPr>
                <w:spacing w:val="-5"/>
              </w:rPr>
              <w:t>138</w:t>
            </w:r>
          </w:hyperlink>
        </w:p>
        <w:p>
          <w:pPr>
            <w:pStyle w:val="TOC4"/>
            <w:tabs>
              <w:tab w:pos="8991" w:val="right" w:leader="dot"/>
            </w:tabs>
            <w:ind w:left="1081"/>
          </w:pPr>
          <w:hyperlink w:history="true" w:anchor="_bookmark254">
            <w:r>
              <w:rPr/>
              <w:t>S</w:t>
            </w:r>
          </w:hyperlink>
          <w:hyperlink w:history="true" w:anchor="_bookmark254">
            <w:r>
              <w:rPr/>
              <w:t>uitable</w:t>
            </w:r>
            <w:r>
              <w:rPr>
                <w:spacing w:val="-7"/>
              </w:rPr>
              <w:t> </w:t>
            </w:r>
            <w:r>
              <w:rPr>
                <w:spacing w:val="-4"/>
              </w:rPr>
              <w:t>Uses</w:t>
            </w:r>
            <w:r>
              <w:rPr/>
              <w:tab/>
            </w:r>
            <w:r>
              <w:rPr>
                <w:spacing w:val="-5"/>
              </w:rPr>
              <w:t>139</w:t>
            </w:r>
          </w:hyperlink>
        </w:p>
        <w:p>
          <w:pPr>
            <w:pStyle w:val="TOC3"/>
            <w:tabs>
              <w:tab w:pos="8991" w:val="right" w:leader="dot"/>
            </w:tabs>
            <w:spacing w:after="20"/>
            <w:ind w:left="800"/>
          </w:pPr>
          <w:hyperlink w:history="true" w:anchor="_bookmark256">
            <w:r>
              <w:rPr/>
              <w:t>W</w:t>
            </w:r>
          </w:hyperlink>
          <w:hyperlink w:history="true" w:anchor="_bookmark256">
            <w:r>
              <w:rPr/>
              <w:t>ilderness</w:t>
            </w:r>
            <w:r>
              <w:rPr>
                <w:spacing w:val="-8"/>
              </w:rPr>
              <w:t> </w:t>
            </w:r>
            <w:r>
              <w:rPr/>
              <w:t>–</w:t>
            </w:r>
            <w:r>
              <w:rPr>
                <w:spacing w:val="-6"/>
              </w:rPr>
              <w:t> </w:t>
            </w:r>
            <w:r>
              <w:rPr/>
              <w:t>Congressionally</w:t>
            </w:r>
            <w:r>
              <w:rPr>
                <w:spacing w:val="-5"/>
              </w:rPr>
              <w:t> </w:t>
            </w:r>
            <w:r>
              <w:rPr/>
              <w:t>Designated</w:t>
            </w:r>
            <w:r>
              <w:rPr>
                <w:spacing w:val="-8"/>
              </w:rPr>
              <w:t> </w:t>
            </w:r>
            <w:r>
              <w:rPr>
                <w:spacing w:val="-4"/>
              </w:rPr>
              <w:t>(WCD)</w:t>
            </w:r>
            <w:r>
              <w:rPr/>
              <w:tab/>
            </w:r>
            <w:r>
              <w:rPr>
                <w:spacing w:val="-5"/>
              </w:rPr>
              <w:t>140</w:t>
            </w:r>
          </w:hyperlink>
        </w:p>
        <w:p>
          <w:pPr>
            <w:pStyle w:val="TOC8"/>
            <w:tabs>
              <w:tab w:pos="9710" w:val="right" w:leader="dot"/>
            </w:tabs>
            <w:spacing w:before="474"/>
          </w:pPr>
          <w:hyperlink w:history="true" w:anchor="_bookmark258">
            <w:r>
              <w:rPr/>
              <w:t>D</w:t>
            </w:r>
          </w:hyperlink>
          <w:hyperlink w:history="true" w:anchor="_bookmark258">
            <w:r>
              <w:rPr/>
              <w:t>esired</w:t>
            </w:r>
            <w:r>
              <w:rPr>
                <w:spacing w:val="-5"/>
              </w:rPr>
              <w:t> </w:t>
            </w:r>
            <w:r>
              <w:rPr>
                <w:spacing w:val="-2"/>
              </w:rPr>
              <w:t>Conditions</w:t>
            </w:r>
            <w:r>
              <w:rPr/>
              <w:tab/>
            </w:r>
            <w:r>
              <w:rPr>
                <w:spacing w:val="-5"/>
              </w:rPr>
              <w:t>140</w:t>
            </w:r>
          </w:hyperlink>
        </w:p>
        <w:p>
          <w:pPr>
            <w:pStyle w:val="TOC8"/>
            <w:tabs>
              <w:tab w:pos="9710" w:val="right" w:leader="dot"/>
            </w:tabs>
          </w:pPr>
          <w:hyperlink w:history="true" w:anchor="_bookmark260">
            <w:r>
              <w:rPr>
                <w:spacing w:val="-2"/>
              </w:rPr>
              <w:t>O</w:t>
            </w:r>
          </w:hyperlink>
          <w:hyperlink w:history="true" w:anchor="_bookmark260">
            <w:r>
              <w:rPr>
                <w:spacing w:val="-2"/>
              </w:rPr>
              <w:t>bjectives</w:t>
            </w:r>
            <w:r>
              <w:rPr/>
              <w:tab/>
            </w:r>
            <w:r>
              <w:rPr>
                <w:spacing w:val="-5"/>
              </w:rPr>
              <w:t>145</w:t>
            </w:r>
          </w:hyperlink>
        </w:p>
        <w:p>
          <w:pPr>
            <w:pStyle w:val="TOC8"/>
            <w:tabs>
              <w:tab w:pos="9710" w:val="right" w:leader="dot"/>
            </w:tabs>
            <w:spacing w:before="1"/>
          </w:pPr>
          <w:hyperlink w:history="true" w:anchor="_bookmark261">
            <w:r>
              <w:rPr>
                <w:spacing w:val="-2"/>
              </w:rPr>
              <w:t>S</w:t>
            </w:r>
          </w:hyperlink>
          <w:hyperlink w:history="true" w:anchor="_bookmark261">
            <w:r>
              <w:rPr>
                <w:spacing w:val="-2"/>
              </w:rPr>
              <w:t>tandards</w:t>
            </w:r>
            <w:r>
              <w:rPr/>
              <w:tab/>
            </w:r>
            <w:r>
              <w:rPr>
                <w:spacing w:val="-5"/>
              </w:rPr>
              <w:t>145</w:t>
            </w:r>
          </w:hyperlink>
        </w:p>
        <w:p>
          <w:pPr>
            <w:pStyle w:val="TOC8"/>
            <w:tabs>
              <w:tab w:pos="9710" w:val="right" w:leader="dot"/>
            </w:tabs>
            <w:spacing w:line="268" w:lineRule="exact"/>
          </w:pPr>
          <w:hyperlink w:history="true" w:anchor="_bookmark262">
            <w:r>
              <w:rPr>
                <w:spacing w:val="-2"/>
              </w:rPr>
              <w:t>G</w:t>
            </w:r>
          </w:hyperlink>
          <w:hyperlink w:history="true" w:anchor="_bookmark262">
            <w:r>
              <w:rPr>
                <w:spacing w:val="-2"/>
              </w:rPr>
              <w:t>uidelines</w:t>
            </w:r>
            <w:r>
              <w:rPr/>
              <w:tab/>
            </w:r>
            <w:r>
              <w:rPr>
                <w:spacing w:val="-5"/>
              </w:rPr>
              <w:t>146</w:t>
            </w:r>
          </w:hyperlink>
        </w:p>
        <w:p>
          <w:pPr>
            <w:pStyle w:val="TOC8"/>
            <w:tabs>
              <w:tab w:pos="9710" w:val="right" w:leader="dot"/>
            </w:tabs>
            <w:spacing w:line="268" w:lineRule="exact"/>
          </w:pPr>
          <w:hyperlink w:history="true" w:anchor="_bookmark264">
            <w:r>
              <w:rPr/>
              <w:t>S</w:t>
            </w:r>
          </w:hyperlink>
          <w:hyperlink w:history="true" w:anchor="_bookmark264">
            <w:r>
              <w:rPr/>
              <w:t>uitable</w:t>
            </w:r>
            <w:r>
              <w:rPr>
                <w:spacing w:val="-7"/>
              </w:rPr>
              <w:t> </w:t>
            </w:r>
            <w:r>
              <w:rPr>
                <w:spacing w:val="-4"/>
              </w:rPr>
              <w:t>Uses</w:t>
            </w:r>
            <w:r>
              <w:rPr/>
              <w:tab/>
            </w:r>
            <w:r>
              <w:rPr>
                <w:spacing w:val="-5"/>
              </w:rPr>
              <w:t>148</w:t>
            </w:r>
          </w:hyperlink>
        </w:p>
        <w:p>
          <w:pPr>
            <w:pStyle w:val="TOC7"/>
            <w:tabs>
              <w:tab w:pos="9710" w:val="right" w:leader="dot"/>
            </w:tabs>
          </w:pPr>
          <w:hyperlink w:history="true" w:anchor="_bookmark266">
            <w:r>
              <w:rPr/>
              <w:t>W</w:t>
            </w:r>
          </w:hyperlink>
          <w:hyperlink w:history="true" w:anchor="_bookmark266">
            <w:r>
              <w:rPr/>
              <w:t>ilderness</w:t>
            </w:r>
            <w:r>
              <w:rPr>
                <w:spacing w:val="-8"/>
              </w:rPr>
              <w:t> </w:t>
            </w:r>
            <w:r>
              <w:rPr/>
              <w:t>–</w:t>
            </w:r>
            <w:r>
              <w:rPr>
                <w:spacing w:val="-6"/>
              </w:rPr>
              <w:t> </w:t>
            </w:r>
            <w:r>
              <w:rPr/>
              <w:t>Recommended</w:t>
            </w:r>
            <w:r>
              <w:rPr>
                <w:spacing w:val="-6"/>
              </w:rPr>
              <w:t> </w:t>
            </w:r>
            <w:r>
              <w:rPr>
                <w:spacing w:val="-4"/>
              </w:rPr>
              <w:t>(RW)</w:t>
            </w:r>
            <w:r>
              <w:rPr/>
              <w:tab/>
            </w:r>
            <w:r>
              <w:rPr>
                <w:spacing w:val="-5"/>
              </w:rPr>
              <w:t>149</w:t>
            </w:r>
          </w:hyperlink>
        </w:p>
        <w:p>
          <w:pPr>
            <w:pStyle w:val="TOC8"/>
            <w:tabs>
              <w:tab w:pos="9710" w:val="right" w:leader="dot"/>
            </w:tabs>
          </w:pPr>
          <w:hyperlink w:history="true" w:anchor="_bookmark268">
            <w:r>
              <w:rPr/>
              <w:t>D</w:t>
            </w:r>
          </w:hyperlink>
          <w:hyperlink w:history="true" w:anchor="_bookmark268">
            <w:r>
              <w:rPr/>
              <w:t>esired</w:t>
            </w:r>
            <w:r>
              <w:rPr>
                <w:spacing w:val="-5"/>
              </w:rPr>
              <w:t> </w:t>
            </w:r>
            <w:r>
              <w:rPr>
                <w:spacing w:val="-2"/>
              </w:rPr>
              <w:t>Conditions</w:t>
            </w:r>
            <w:r>
              <w:rPr/>
              <w:tab/>
            </w:r>
            <w:r>
              <w:rPr>
                <w:spacing w:val="-5"/>
              </w:rPr>
              <w:t>149</w:t>
            </w:r>
          </w:hyperlink>
        </w:p>
        <w:p>
          <w:pPr>
            <w:pStyle w:val="TOC8"/>
            <w:tabs>
              <w:tab w:pos="9710" w:val="right" w:leader="dot"/>
            </w:tabs>
          </w:pPr>
          <w:hyperlink w:history="true" w:anchor="_bookmark269">
            <w:r>
              <w:rPr>
                <w:spacing w:val="-2"/>
              </w:rPr>
              <w:t>S</w:t>
            </w:r>
          </w:hyperlink>
          <w:hyperlink w:history="true" w:anchor="_bookmark269">
            <w:r>
              <w:rPr>
                <w:spacing w:val="-2"/>
              </w:rPr>
              <w:t>tandards</w:t>
            </w:r>
            <w:r>
              <w:rPr/>
              <w:tab/>
            </w:r>
            <w:r>
              <w:rPr>
                <w:spacing w:val="-5"/>
              </w:rPr>
              <w:t>150</w:t>
            </w:r>
          </w:hyperlink>
        </w:p>
        <w:p>
          <w:pPr>
            <w:pStyle w:val="TOC8"/>
            <w:tabs>
              <w:tab w:pos="9710" w:val="right" w:leader="dot"/>
            </w:tabs>
          </w:pPr>
          <w:hyperlink w:history="true" w:anchor="_bookmark270">
            <w:r>
              <w:rPr>
                <w:spacing w:val="-2"/>
              </w:rPr>
              <w:t>G</w:t>
            </w:r>
          </w:hyperlink>
          <w:hyperlink w:history="true" w:anchor="_bookmark270">
            <w:r>
              <w:rPr>
                <w:spacing w:val="-2"/>
              </w:rPr>
              <w:t>uidelines</w:t>
            </w:r>
            <w:r>
              <w:rPr/>
              <w:tab/>
            </w:r>
            <w:r>
              <w:rPr>
                <w:spacing w:val="-5"/>
              </w:rPr>
              <w:t>151</w:t>
            </w:r>
          </w:hyperlink>
        </w:p>
        <w:p>
          <w:pPr>
            <w:pStyle w:val="TOC8"/>
            <w:tabs>
              <w:tab w:pos="9710" w:val="right" w:leader="dot"/>
            </w:tabs>
          </w:pPr>
          <w:hyperlink w:history="true" w:anchor="_bookmark271">
            <w:r>
              <w:rPr/>
              <w:t>S</w:t>
            </w:r>
          </w:hyperlink>
          <w:hyperlink w:history="true" w:anchor="_bookmark271">
            <w:r>
              <w:rPr/>
              <w:t>uitable</w:t>
            </w:r>
            <w:r>
              <w:rPr>
                <w:spacing w:val="-7"/>
              </w:rPr>
              <w:t> </w:t>
            </w:r>
            <w:r>
              <w:rPr>
                <w:spacing w:val="-4"/>
              </w:rPr>
              <w:t>Uses</w:t>
            </w:r>
            <w:r>
              <w:rPr/>
              <w:tab/>
            </w:r>
            <w:r>
              <w:rPr>
                <w:spacing w:val="-5"/>
              </w:rPr>
              <w:t>152</w:t>
            </w:r>
          </w:hyperlink>
        </w:p>
        <w:p>
          <w:pPr>
            <w:pStyle w:val="TOC4"/>
            <w:tabs>
              <w:tab w:pos="9710" w:val="right" w:leader="dot"/>
            </w:tabs>
            <w:spacing w:before="1"/>
          </w:pPr>
          <w:hyperlink w:history="true" w:anchor="_bookmark273">
            <w:r>
              <w:rPr/>
              <w:t>C</w:t>
            </w:r>
          </w:hyperlink>
          <w:hyperlink w:history="true" w:anchor="_bookmark273">
            <w:r>
              <w:rPr/>
              <w:t>hapter</w:t>
            </w:r>
            <w:r>
              <w:rPr>
                <w:spacing w:val="-4"/>
              </w:rPr>
              <w:t> </w:t>
            </w:r>
            <w:r>
              <w:rPr>
                <w:spacing w:val="-10"/>
              </w:rPr>
              <w:t>4</w:t>
            </w:r>
            <w:r>
              <w:rPr/>
              <w:tab/>
            </w:r>
            <w:r>
              <w:rPr>
                <w:spacing w:val="-5"/>
              </w:rPr>
              <w:t>155</w:t>
            </w:r>
          </w:hyperlink>
        </w:p>
        <w:p>
          <w:pPr>
            <w:pStyle w:val="TOC6"/>
            <w:tabs>
              <w:tab w:pos="9710" w:val="right" w:leader="dot"/>
            </w:tabs>
            <w:ind w:left="1320"/>
          </w:pPr>
          <w:hyperlink w:history="true" w:anchor="_bookmark274">
            <w:r>
              <w:rPr>
                <w:spacing w:val="-2"/>
              </w:rPr>
              <w:t>M</w:t>
            </w:r>
          </w:hyperlink>
          <w:hyperlink w:history="true" w:anchor="_bookmark274">
            <w:r>
              <w:rPr>
                <w:spacing w:val="-2"/>
              </w:rPr>
              <w:t>onitoring</w:t>
            </w:r>
            <w:r>
              <w:rPr/>
              <w:tab/>
            </w:r>
            <w:r>
              <w:rPr>
                <w:spacing w:val="-5"/>
              </w:rPr>
              <w:t>155</w:t>
            </w:r>
          </w:hyperlink>
        </w:p>
        <w:p>
          <w:pPr>
            <w:pStyle w:val="TOC7"/>
            <w:tabs>
              <w:tab w:pos="9710" w:val="right" w:leader="dot"/>
            </w:tabs>
          </w:pPr>
          <w:hyperlink w:history="true" w:anchor="_bookmark275">
            <w:r>
              <w:rPr>
                <w:spacing w:val="-2"/>
              </w:rPr>
              <w:t>I</w:t>
            </w:r>
          </w:hyperlink>
          <w:hyperlink w:history="true" w:anchor="_bookmark275">
            <w:r>
              <w:rPr>
                <w:spacing w:val="-2"/>
              </w:rPr>
              <w:t>ntroduction</w:t>
            </w:r>
            <w:r>
              <w:rPr/>
              <w:tab/>
            </w:r>
            <w:r>
              <w:rPr>
                <w:spacing w:val="-5"/>
              </w:rPr>
              <w:t>155</w:t>
            </w:r>
          </w:hyperlink>
        </w:p>
        <w:p>
          <w:pPr>
            <w:pStyle w:val="TOC7"/>
            <w:tabs>
              <w:tab w:pos="9710" w:val="right" w:leader="dot"/>
            </w:tabs>
            <w:spacing w:line="268" w:lineRule="exact"/>
          </w:pPr>
          <w:hyperlink w:history="true" w:anchor="_bookmark276">
            <w:r>
              <w:rPr/>
              <w:t>M</w:t>
            </w:r>
          </w:hyperlink>
          <w:hyperlink w:history="true" w:anchor="_bookmark276">
            <w:r>
              <w:rPr/>
              <w:t>onitoring</w:t>
            </w:r>
            <w:r>
              <w:rPr>
                <w:spacing w:val="-5"/>
              </w:rPr>
              <w:t> </w:t>
            </w:r>
            <w:r>
              <w:rPr/>
              <w:t>and</w:t>
            </w:r>
            <w:r>
              <w:rPr>
                <w:spacing w:val="-4"/>
              </w:rPr>
              <w:t> </w:t>
            </w:r>
            <w:r>
              <w:rPr>
                <w:spacing w:val="-2"/>
              </w:rPr>
              <w:t>Evaluation</w:t>
            </w:r>
            <w:r>
              <w:rPr/>
              <w:tab/>
            </w:r>
            <w:r>
              <w:rPr>
                <w:spacing w:val="-5"/>
              </w:rPr>
              <w:t>157</w:t>
            </w:r>
          </w:hyperlink>
        </w:p>
        <w:p>
          <w:pPr>
            <w:pStyle w:val="TOC7"/>
            <w:tabs>
              <w:tab w:pos="9710" w:val="right" w:leader="dot"/>
            </w:tabs>
            <w:spacing w:line="268" w:lineRule="exact"/>
          </w:pPr>
          <w:hyperlink w:history="true" w:anchor="_bookmark277">
            <w:r>
              <w:rPr/>
              <w:t>F</w:t>
            </w:r>
          </w:hyperlink>
          <w:hyperlink w:history="true" w:anchor="_bookmark277">
            <w:r>
              <w:rPr/>
              <w:t>orest</w:t>
            </w:r>
            <w:r>
              <w:rPr>
                <w:spacing w:val="-6"/>
              </w:rPr>
              <w:t> </w:t>
            </w:r>
            <w:r>
              <w:rPr/>
              <w:t>Plan</w:t>
            </w:r>
            <w:r>
              <w:rPr>
                <w:spacing w:val="-6"/>
              </w:rPr>
              <w:t> </w:t>
            </w:r>
            <w:r>
              <w:rPr/>
              <w:t>Monitoring</w:t>
            </w:r>
            <w:r>
              <w:rPr>
                <w:spacing w:val="-4"/>
              </w:rPr>
              <w:t> </w:t>
            </w:r>
            <w:r>
              <w:rPr>
                <w:spacing w:val="-2"/>
              </w:rPr>
              <w:t>Questions</w:t>
            </w:r>
            <w:r>
              <w:rPr/>
              <w:tab/>
            </w:r>
            <w:r>
              <w:rPr>
                <w:spacing w:val="-5"/>
              </w:rPr>
              <w:t>159</w:t>
            </w:r>
          </w:hyperlink>
        </w:p>
        <w:p>
          <w:pPr>
            <w:pStyle w:val="TOC4"/>
            <w:tabs>
              <w:tab w:pos="9711" w:val="right" w:leader="dot"/>
            </w:tabs>
          </w:pPr>
          <w:hyperlink w:history="true" w:anchor="_bookmark279">
            <w:r>
              <w:rPr/>
              <w:t>A</w:t>
            </w:r>
          </w:hyperlink>
          <w:hyperlink w:history="true" w:anchor="_bookmark279">
            <w:r>
              <w:rPr/>
              <w:t>ppendix</w:t>
            </w:r>
            <w:r>
              <w:rPr>
                <w:spacing w:val="-3"/>
              </w:rPr>
              <w:t> </w:t>
            </w:r>
            <w:r>
              <w:rPr/>
              <w:t>A</w:t>
            </w:r>
            <w:r>
              <w:rPr>
                <w:spacing w:val="-3"/>
              </w:rPr>
              <w:t> </w:t>
            </w:r>
            <w:r>
              <w:rPr/>
              <w:t>–</w:t>
            </w:r>
            <w:r>
              <w:rPr>
                <w:spacing w:val="-2"/>
              </w:rPr>
              <w:t> </w:t>
            </w:r>
            <w:r>
              <w:rPr/>
              <w:t>Consistency</w:t>
            </w:r>
            <w:r>
              <w:rPr>
                <w:spacing w:val="-4"/>
              </w:rPr>
              <w:t> </w:t>
            </w:r>
            <w:r>
              <w:rPr/>
              <w:t>with</w:t>
            </w:r>
            <w:r>
              <w:rPr>
                <w:spacing w:val="-4"/>
              </w:rPr>
              <w:t> </w:t>
            </w:r>
            <w:r>
              <w:rPr/>
              <w:t>Plan</w:t>
            </w:r>
            <w:r>
              <w:rPr>
                <w:spacing w:val="-3"/>
              </w:rPr>
              <w:t> </w:t>
            </w:r>
            <w:r>
              <w:rPr>
                <w:spacing w:val="-2"/>
              </w:rPr>
              <w:t>Components</w:t>
            </w:r>
            <w:r>
              <w:rPr/>
              <w:tab/>
            </w:r>
            <w:r>
              <w:rPr>
                <w:spacing w:val="-5"/>
              </w:rPr>
              <w:t>169</w:t>
            </w:r>
          </w:hyperlink>
        </w:p>
        <w:p>
          <w:pPr>
            <w:pStyle w:val="TOC4"/>
            <w:tabs>
              <w:tab w:pos="9711" w:val="right" w:leader="dot"/>
            </w:tabs>
          </w:pPr>
          <w:hyperlink w:history="true" w:anchor="_bookmark280">
            <w:r>
              <w:rPr/>
              <w:t>A</w:t>
            </w:r>
          </w:hyperlink>
          <w:hyperlink w:history="true" w:anchor="_bookmark280">
            <w:r>
              <w:rPr/>
              <w:t>ppendix</w:t>
            </w:r>
            <w:r>
              <w:rPr>
                <w:spacing w:val="-4"/>
              </w:rPr>
              <w:t> </w:t>
            </w:r>
            <w:r>
              <w:rPr/>
              <w:t>B</w:t>
            </w:r>
            <w:r>
              <w:rPr>
                <w:spacing w:val="-4"/>
              </w:rPr>
              <w:t> </w:t>
            </w:r>
            <w:r>
              <w:rPr/>
              <w:t>–</w:t>
            </w:r>
            <w:r>
              <w:rPr>
                <w:spacing w:val="-5"/>
              </w:rPr>
              <w:t> </w:t>
            </w:r>
            <w:r>
              <w:rPr/>
              <w:t>Proposed</w:t>
            </w:r>
            <w:r>
              <w:rPr>
                <w:spacing w:val="-5"/>
              </w:rPr>
              <w:t> </w:t>
            </w:r>
            <w:r>
              <w:rPr/>
              <w:t>and</w:t>
            </w:r>
            <w:r>
              <w:rPr>
                <w:spacing w:val="-4"/>
              </w:rPr>
              <w:t> </w:t>
            </w:r>
            <w:r>
              <w:rPr/>
              <w:t>Possible</w:t>
            </w:r>
            <w:r>
              <w:rPr>
                <w:spacing w:val="-6"/>
              </w:rPr>
              <w:t> </w:t>
            </w:r>
            <w:r>
              <w:rPr/>
              <w:t>Management</w:t>
            </w:r>
            <w:r>
              <w:rPr>
                <w:spacing w:val="-5"/>
              </w:rPr>
              <w:t> </w:t>
            </w:r>
            <w:r>
              <w:rPr>
                <w:spacing w:val="-2"/>
              </w:rPr>
              <w:t>Actions</w:t>
            </w:r>
            <w:r>
              <w:rPr/>
              <w:tab/>
            </w:r>
            <w:r>
              <w:rPr>
                <w:spacing w:val="-5"/>
              </w:rPr>
              <w:t>172</w:t>
            </w:r>
          </w:hyperlink>
        </w:p>
        <w:p>
          <w:pPr>
            <w:pStyle w:val="TOC6"/>
            <w:tabs>
              <w:tab w:pos="9711" w:val="right" w:leader="dot"/>
            </w:tabs>
            <w:spacing w:before="1"/>
            <w:ind w:left="1320"/>
          </w:pPr>
          <w:hyperlink w:history="true" w:anchor="_bookmark281">
            <w:r>
              <w:rPr>
                <w:spacing w:val="-2"/>
              </w:rPr>
              <w:t>I</w:t>
            </w:r>
          </w:hyperlink>
          <w:hyperlink w:history="true" w:anchor="_bookmark281">
            <w:r>
              <w:rPr>
                <w:spacing w:val="-2"/>
              </w:rPr>
              <w:t>ntroduction</w:t>
            </w:r>
            <w:r>
              <w:rPr/>
              <w:tab/>
            </w:r>
            <w:r>
              <w:rPr>
                <w:spacing w:val="-5"/>
              </w:rPr>
              <w:t>172</w:t>
            </w:r>
          </w:hyperlink>
        </w:p>
        <w:p>
          <w:pPr>
            <w:pStyle w:val="TOC7"/>
            <w:tabs>
              <w:tab w:pos="9711" w:val="right" w:leader="dot"/>
            </w:tabs>
            <w:ind w:left="1520"/>
          </w:pPr>
          <w:hyperlink w:history="true" w:anchor="_bookmark282">
            <w:r>
              <w:rPr/>
              <w:t>P</w:t>
            </w:r>
          </w:hyperlink>
          <w:hyperlink w:history="true" w:anchor="_bookmark282">
            <w:r>
              <w:rPr/>
              <w:t>roposed</w:t>
            </w:r>
            <w:r>
              <w:rPr>
                <w:spacing w:val="-9"/>
              </w:rPr>
              <w:t> </w:t>
            </w:r>
            <w:r>
              <w:rPr/>
              <w:t>Management</w:t>
            </w:r>
            <w:r>
              <w:rPr>
                <w:spacing w:val="-4"/>
              </w:rPr>
              <w:t> </w:t>
            </w:r>
            <w:r>
              <w:rPr>
                <w:spacing w:val="-2"/>
              </w:rPr>
              <w:t>Actions</w:t>
            </w:r>
            <w:r>
              <w:rPr/>
              <w:tab/>
            </w:r>
            <w:r>
              <w:rPr>
                <w:spacing w:val="-5"/>
              </w:rPr>
              <w:t>172</w:t>
            </w:r>
          </w:hyperlink>
        </w:p>
        <w:p>
          <w:pPr>
            <w:pStyle w:val="TOC6"/>
            <w:tabs>
              <w:tab w:pos="9711" w:val="right" w:leader="dot"/>
            </w:tabs>
            <w:ind w:left="1320"/>
          </w:pPr>
          <w:hyperlink w:history="true" w:anchor="_bookmark284">
            <w:r>
              <w:rPr/>
              <w:t>P</w:t>
            </w:r>
          </w:hyperlink>
          <w:hyperlink w:history="true" w:anchor="_bookmark284">
            <w:r>
              <w:rPr/>
              <w:t>ossible</w:t>
            </w:r>
            <w:r>
              <w:rPr>
                <w:spacing w:val="-7"/>
              </w:rPr>
              <w:t> </w:t>
            </w:r>
            <w:r>
              <w:rPr/>
              <w:t>Management</w:t>
            </w:r>
            <w:r>
              <w:rPr>
                <w:spacing w:val="-4"/>
              </w:rPr>
              <w:t> </w:t>
            </w:r>
            <w:r>
              <w:rPr>
                <w:spacing w:val="-2"/>
              </w:rPr>
              <w:t>Actions</w:t>
            </w:r>
            <w:r>
              <w:rPr/>
              <w:tab/>
            </w:r>
            <w:r>
              <w:rPr>
                <w:spacing w:val="-5"/>
              </w:rPr>
              <w:t>177</w:t>
            </w:r>
          </w:hyperlink>
        </w:p>
        <w:p>
          <w:pPr>
            <w:pStyle w:val="TOC7"/>
            <w:tabs>
              <w:tab w:pos="9711" w:val="right" w:leader="dot"/>
            </w:tabs>
            <w:ind w:left="1520"/>
          </w:pPr>
          <w:hyperlink w:history="true" w:anchor="_bookmark285">
            <w:r>
              <w:rPr/>
              <w:t>T</w:t>
            </w:r>
          </w:hyperlink>
          <w:hyperlink w:history="true" w:anchor="_bookmark285">
            <w:r>
              <w:rPr/>
              <w:t>errestrial</w:t>
            </w:r>
            <w:r>
              <w:rPr>
                <w:spacing w:val="-8"/>
              </w:rPr>
              <w:t> </w:t>
            </w:r>
            <w:r>
              <w:rPr>
                <w:spacing w:val="-2"/>
              </w:rPr>
              <w:t>Ecosystems</w:t>
            </w:r>
            <w:r>
              <w:rPr/>
              <w:tab/>
            </w:r>
            <w:r>
              <w:rPr>
                <w:spacing w:val="-5"/>
              </w:rPr>
              <w:t>177</w:t>
            </w:r>
          </w:hyperlink>
        </w:p>
        <w:p>
          <w:pPr>
            <w:pStyle w:val="TOC8"/>
            <w:tabs>
              <w:tab w:pos="9711" w:val="right" w:leader="dot"/>
            </w:tabs>
            <w:ind w:left="1801"/>
          </w:pPr>
          <w:hyperlink w:history="true" w:anchor="_bookmark286">
            <w:r>
              <w:rPr>
                <w:spacing w:val="-2"/>
              </w:rPr>
              <w:t>V</w:t>
            </w:r>
          </w:hyperlink>
          <w:hyperlink w:history="true" w:anchor="_bookmark286">
            <w:r>
              <w:rPr>
                <w:spacing w:val="-2"/>
              </w:rPr>
              <w:t>egetation</w:t>
            </w:r>
            <w:r>
              <w:rPr/>
              <w:tab/>
            </w:r>
            <w:r>
              <w:rPr>
                <w:spacing w:val="-5"/>
              </w:rPr>
              <w:t>177</w:t>
            </w:r>
          </w:hyperlink>
        </w:p>
        <w:p>
          <w:pPr>
            <w:pStyle w:val="TOC8"/>
            <w:tabs>
              <w:tab w:pos="9711" w:val="right" w:leader="dot"/>
            </w:tabs>
            <w:ind w:left="1801"/>
          </w:pPr>
          <w:hyperlink w:history="true" w:anchor="_bookmark287">
            <w:r>
              <w:rPr/>
              <w:t>F</w:t>
            </w:r>
          </w:hyperlink>
          <w:hyperlink w:history="true" w:anchor="_bookmark287">
            <w:r>
              <w:rPr/>
              <w:t>ire</w:t>
            </w:r>
            <w:r>
              <w:rPr>
                <w:spacing w:val="-2"/>
              </w:rPr>
              <w:t> Management</w:t>
            </w:r>
            <w:r>
              <w:rPr/>
              <w:tab/>
            </w:r>
            <w:r>
              <w:rPr>
                <w:spacing w:val="-5"/>
              </w:rPr>
              <w:t>177</w:t>
            </w:r>
          </w:hyperlink>
        </w:p>
        <w:p>
          <w:pPr>
            <w:pStyle w:val="TOC8"/>
            <w:tabs>
              <w:tab w:pos="9712" w:val="right" w:leader="dot"/>
            </w:tabs>
            <w:spacing w:line="268" w:lineRule="exact" w:before="1"/>
            <w:ind w:left="1801"/>
          </w:pPr>
          <w:hyperlink w:history="true" w:anchor="_bookmark288">
            <w:r>
              <w:rPr/>
              <w:t>F</w:t>
            </w:r>
          </w:hyperlink>
          <w:hyperlink w:history="true" w:anchor="_bookmark288">
            <w:r>
              <w:rPr/>
              <w:t>orest</w:t>
            </w:r>
            <w:r>
              <w:rPr>
                <w:spacing w:val="-5"/>
              </w:rPr>
              <w:t> </w:t>
            </w:r>
            <w:r>
              <w:rPr>
                <w:spacing w:val="-2"/>
              </w:rPr>
              <w:t>Products</w:t>
            </w:r>
            <w:r>
              <w:rPr/>
              <w:tab/>
            </w:r>
            <w:r>
              <w:rPr>
                <w:spacing w:val="-5"/>
              </w:rPr>
              <w:t>177</w:t>
            </w:r>
          </w:hyperlink>
        </w:p>
        <w:p>
          <w:pPr>
            <w:pStyle w:val="TOC8"/>
            <w:tabs>
              <w:tab w:pos="9712" w:val="right" w:leader="dot"/>
            </w:tabs>
            <w:spacing w:line="268" w:lineRule="exact"/>
            <w:ind w:left="1801"/>
          </w:pPr>
          <w:hyperlink w:history="true" w:anchor="_bookmark290">
            <w:r>
              <w:rPr/>
              <w:t>I</w:t>
            </w:r>
          </w:hyperlink>
          <w:hyperlink w:history="true" w:anchor="_bookmark290">
            <w:r>
              <w:rPr/>
              <w:t>nvasive</w:t>
            </w:r>
            <w:r>
              <w:rPr>
                <w:spacing w:val="-4"/>
              </w:rPr>
              <w:t> </w:t>
            </w:r>
            <w:r>
              <w:rPr>
                <w:spacing w:val="-2"/>
              </w:rPr>
              <w:t>Species</w:t>
            </w:r>
            <w:r>
              <w:rPr/>
              <w:tab/>
            </w:r>
            <w:r>
              <w:rPr>
                <w:spacing w:val="-5"/>
              </w:rPr>
              <w:t>180</w:t>
            </w:r>
          </w:hyperlink>
        </w:p>
        <w:p>
          <w:pPr>
            <w:pStyle w:val="TOC8"/>
            <w:tabs>
              <w:tab w:pos="9712" w:val="right" w:leader="dot"/>
            </w:tabs>
            <w:ind w:left="1801"/>
          </w:pPr>
          <w:hyperlink w:history="true" w:anchor="_bookmark291">
            <w:r>
              <w:rPr>
                <w:spacing w:val="-2"/>
              </w:rPr>
              <w:t>W</w:t>
            </w:r>
          </w:hyperlink>
          <w:hyperlink w:history="true" w:anchor="_bookmark291">
            <w:r>
              <w:rPr>
                <w:spacing w:val="-2"/>
              </w:rPr>
              <w:t>ildlife</w:t>
            </w:r>
            <w:r>
              <w:rPr/>
              <w:tab/>
            </w:r>
            <w:r>
              <w:rPr>
                <w:spacing w:val="-5"/>
              </w:rPr>
              <w:t>180</w:t>
            </w:r>
          </w:hyperlink>
        </w:p>
        <w:p>
          <w:pPr>
            <w:pStyle w:val="TOC7"/>
            <w:tabs>
              <w:tab w:pos="9712" w:val="right" w:leader="dot"/>
            </w:tabs>
            <w:ind w:left="1521"/>
          </w:pPr>
          <w:hyperlink w:history="true" w:anchor="_bookmark292">
            <w:r>
              <w:rPr/>
              <w:t>A</w:t>
            </w:r>
          </w:hyperlink>
          <w:hyperlink w:history="true" w:anchor="_bookmark292">
            <w:r>
              <w:rPr/>
              <w:t>quatic</w:t>
            </w:r>
            <w:r>
              <w:rPr>
                <w:spacing w:val="-5"/>
              </w:rPr>
              <w:t> </w:t>
            </w:r>
            <w:r>
              <w:rPr/>
              <w:t>and</w:t>
            </w:r>
            <w:r>
              <w:rPr>
                <w:spacing w:val="-5"/>
              </w:rPr>
              <w:t> </w:t>
            </w:r>
            <w:r>
              <w:rPr/>
              <w:t>Riparian</w:t>
            </w:r>
            <w:r>
              <w:rPr>
                <w:spacing w:val="-5"/>
              </w:rPr>
              <w:t> </w:t>
            </w:r>
            <w:r>
              <w:rPr>
                <w:spacing w:val="-2"/>
              </w:rPr>
              <w:t>Ecosystems</w:t>
            </w:r>
            <w:r>
              <w:rPr/>
              <w:tab/>
            </w:r>
            <w:r>
              <w:rPr>
                <w:spacing w:val="-5"/>
              </w:rPr>
              <w:t>180</w:t>
            </w:r>
          </w:hyperlink>
        </w:p>
        <w:p>
          <w:pPr>
            <w:pStyle w:val="TOC7"/>
            <w:tabs>
              <w:tab w:pos="9712" w:val="right" w:leader="dot"/>
            </w:tabs>
            <w:ind w:left="1521"/>
          </w:pPr>
          <w:hyperlink w:history="true" w:anchor="_bookmark293">
            <w:r>
              <w:rPr/>
              <w:t>S</w:t>
            </w:r>
          </w:hyperlink>
          <w:hyperlink w:history="true" w:anchor="_bookmark293">
            <w:r>
              <w:rPr/>
              <w:t>ocial</w:t>
            </w:r>
            <w:r>
              <w:rPr>
                <w:spacing w:val="-2"/>
              </w:rPr>
              <w:t> Systems</w:t>
            </w:r>
            <w:r>
              <w:rPr/>
              <w:tab/>
            </w:r>
            <w:r>
              <w:rPr>
                <w:spacing w:val="-5"/>
              </w:rPr>
              <w:t>181</w:t>
            </w:r>
          </w:hyperlink>
        </w:p>
        <w:p>
          <w:pPr>
            <w:pStyle w:val="TOC8"/>
            <w:tabs>
              <w:tab w:pos="9712" w:val="right" w:leader="dot"/>
            </w:tabs>
            <w:ind w:left="1802"/>
          </w:pPr>
          <w:hyperlink w:history="true" w:anchor="_bookmark294">
            <w:r>
              <w:rPr/>
              <w:t>A</w:t>
            </w:r>
          </w:hyperlink>
          <w:hyperlink w:history="true" w:anchor="_bookmark294">
            <w:r>
              <w:rPr/>
              <w:t>ccess</w:t>
            </w:r>
            <w:r>
              <w:rPr>
                <w:spacing w:val="-2"/>
              </w:rPr>
              <w:t> </w:t>
            </w:r>
            <w:r>
              <w:rPr/>
              <w:t>and</w:t>
            </w:r>
            <w:r>
              <w:rPr>
                <w:spacing w:val="-4"/>
              </w:rPr>
              <w:t> </w:t>
            </w:r>
            <w:r>
              <w:rPr>
                <w:spacing w:val="-2"/>
              </w:rPr>
              <w:t>Recreation</w:t>
            </w:r>
            <w:r>
              <w:rPr/>
              <w:tab/>
            </w:r>
            <w:r>
              <w:rPr>
                <w:spacing w:val="-5"/>
              </w:rPr>
              <w:t>181</w:t>
            </w:r>
          </w:hyperlink>
        </w:p>
        <w:p>
          <w:pPr>
            <w:pStyle w:val="TOC8"/>
            <w:tabs>
              <w:tab w:pos="9712" w:val="right" w:leader="dot"/>
            </w:tabs>
            <w:ind w:left="1802"/>
          </w:pPr>
          <w:hyperlink w:history="true" w:anchor="_bookmark295">
            <w:r>
              <w:rPr/>
              <w:t>A</w:t>
            </w:r>
          </w:hyperlink>
          <w:hyperlink w:history="true" w:anchor="_bookmark295">
            <w:r>
              <w:rPr/>
              <w:t>ir</w:t>
            </w:r>
            <w:r>
              <w:rPr>
                <w:spacing w:val="-4"/>
              </w:rPr>
              <w:t> </w:t>
            </w:r>
            <w:r>
              <w:rPr>
                <w:spacing w:val="-2"/>
              </w:rPr>
              <w:t>Quality</w:t>
            </w:r>
            <w:r>
              <w:rPr/>
              <w:tab/>
            </w:r>
            <w:r>
              <w:rPr>
                <w:spacing w:val="-5"/>
              </w:rPr>
              <w:t>182</w:t>
            </w:r>
          </w:hyperlink>
        </w:p>
        <w:p>
          <w:pPr>
            <w:pStyle w:val="TOC8"/>
            <w:tabs>
              <w:tab w:pos="9712" w:val="right" w:leader="dot"/>
            </w:tabs>
            <w:spacing w:before="1"/>
            <w:ind w:left="1802"/>
          </w:pPr>
          <w:hyperlink w:history="true" w:anchor="_bookmark296">
            <w:r>
              <w:rPr/>
              <w:t>H</w:t>
            </w:r>
          </w:hyperlink>
          <w:hyperlink w:history="true" w:anchor="_bookmark296">
            <w:r>
              <w:rPr/>
              <w:t>eritage</w:t>
            </w:r>
            <w:r>
              <w:rPr>
                <w:spacing w:val="-6"/>
              </w:rPr>
              <w:t> </w:t>
            </w:r>
            <w:r>
              <w:rPr>
                <w:spacing w:val="-2"/>
              </w:rPr>
              <w:t>Resources</w:t>
            </w:r>
            <w:r>
              <w:rPr/>
              <w:tab/>
            </w:r>
            <w:r>
              <w:rPr>
                <w:spacing w:val="-5"/>
              </w:rPr>
              <w:t>182</w:t>
            </w:r>
          </w:hyperlink>
        </w:p>
        <w:p>
          <w:pPr>
            <w:pStyle w:val="TOC8"/>
            <w:tabs>
              <w:tab w:pos="9710" w:val="right" w:leader="dot"/>
            </w:tabs>
            <w:spacing w:before="2"/>
          </w:pPr>
          <w:hyperlink w:history="true" w:anchor="_bookmark297">
            <w:r>
              <w:rPr/>
              <w:t>A</w:t>
            </w:r>
          </w:hyperlink>
          <w:hyperlink w:history="true" w:anchor="_bookmark297">
            <w:r>
              <w:rPr/>
              <w:t>merican</w:t>
            </w:r>
            <w:r>
              <w:rPr>
                <w:spacing w:val="-7"/>
              </w:rPr>
              <w:t> </w:t>
            </w:r>
            <w:r>
              <w:rPr/>
              <w:t>Indian</w:t>
            </w:r>
            <w:r>
              <w:rPr>
                <w:spacing w:val="-4"/>
              </w:rPr>
              <w:t> </w:t>
            </w:r>
            <w:r>
              <w:rPr/>
              <w:t>Rights</w:t>
            </w:r>
            <w:r>
              <w:rPr>
                <w:spacing w:val="-3"/>
              </w:rPr>
              <w:t> </w:t>
            </w:r>
            <w:r>
              <w:rPr/>
              <w:t>and</w:t>
            </w:r>
            <w:r>
              <w:rPr>
                <w:spacing w:val="-6"/>
              </w:rPr>
              <w:t> </w:t>
            </w:r>
            <w:r>
              <w:rPr>
                <w:spacing w:val="-2"/>
              </w:rPr>
              <w:t>Interests</w:t>
            </w:r>
            <w:r>
              <w:rPr/>
              <w:tab/>
            </w:r>
            <w:r>
              <w:rPr>
                <w:spacing w:val="-5"/>
              </w:rPr>
              <w:t>182</w:t>
            </w:r>
          </w:hyperlink>
        </w:p>
        <w:p>
          <w:pPr>
            <w:pStyle w:val="TOC8"/>
            <w:tabs>
              <w:tab w:pos="9710" w:val="right" w:leader="dot"/>
            </w:tabs>
          </w:pPr>
          <w:hyperlink w:history="true" w:anchor="_bookmark298">
            <w:r>
              <w:rPr/>
              <w:t>L</w:t>
            </w:r>
          </w:hyperlink>
          <w:hyperlink w:history="true" w:anchor="_bookmark298">
            <w:r>
              <w:rPr/>
              <w:t>ands</w:t>
            </w:r>
            <w:r>
              <w:rPr>
                <w:spacing w:val="-6"/>
              </w:rPr>
              <w:t> </w:t>
            </w:r>
            <w:r>
              <w:rPr/>
              <w:t>and</w:t>
            </w:r>
            <w:r>
              <w:rPr>
                <w:spacing w:val="-3"/>
              </w:rPr>
              <w:t> </w:t>
            </w:r>
            <w:r>
              <w:rPr/>
              <w:t>Special</w:t>
            </w:r>
            <w:r>
              <w:rPr>
                <w:spacing w:val="-3"/>
              </w:rPr>
              <w:t> </w:t>
            </w:r>
            <w:r>
              <w:rPr>
                <w:spacing w:val="-4"/>
              </w:rPr>
              <w:t>Uses</w:t>
            </w:r>
            <w:r>
              <w:rPr/>
              <w:tab/>
            </w:r>
            <w:r>
              <w:rPr>
                <w:spacing w:val="-5"/>
              </w:rPr>
              <w:t>182</w:t>
            </w:r>
          </w:hyperlink>
        </w:p>
        <w:p>
          <w:pPr>
            <w:pStyle w:val="TOC8"/>
            <w:tabs>
              <w:tab w:pos="9710" w:val="right" w:leader="dot"/>
            </w:tabs>
            <w:spacing w:line="268" w:lineRule="exact"/>
          </w:pPr>
          <w:hyperlink w:history="true" w:anchor="_bookmark299">
            <w:r>
              <w:rPr/>
              <w:t>L</w:t>
            </w:r>
          </w:hyperlink>
          <w:hyperlink w:history="true" w:anchor="_bookmark299">
            <w:r>
              <w:rPr/>
              <w:t>ivestock</w:t>
            </w:r>
            <w:r>
              <w:rPr>
                <w:spacing w:val="-6"/>
              </w:rPr>
              <w:t> </w:t>
            </w:r>
            <w:r>
              <w:rPr>
                <w:spacing w:val="-2"/>
              </w:rPr>
              <w:t>Grazing</w:t>
            </w:r>
            <w:r>
              <w:rPr/>
              <w:tab/>
            </w:r>
            <w:r>
              <w:rPr>
                <w:spacing w:val="-5"/>
              </w:rPr>
              <w:t>183</w:t>
            </w:r>
          </w:hyperlink>
        </w:p>
        <w:p>
          <w:pPr>
            <w:pStyle w:val="TOC8"/>
            <w:tabs>
              <w:tab w:pos="9710" w:val="right" w:leader="dot"/>
            </w:tabs>
            <w:spacing w:line="268" w:lineRule="exact"/>
          </w:pPr>
          <w:hyperlink w:history="true" w:anchor="_bookmark300">
            <w:r>
              <w:rPr/>
              <w:t>M</w:t>
            </w:r>
          </w:hyperlink>
          <w:hyperlink w:history="true" w:anchor="_bookmark300">
            <w:r>
              <w:rPr/>
              <w:t>inerals</w:t>
            </w:r>
            <w:r>
              <w:rPr>
                <w:spacing w:val="-4"/>
              </w:rPr>
              <w:t> </w:t>
            </w:r>
            <w:r>
              <w:rPr/>
              <w:t>and</w:t>
            </w:r>
            <w:r>
              <w:rPr>
                <w:spacing w:val="-6"/>
              </w:rPr>
              <w:t> </w:t>
            </w:r>
            <w:r>
              <w:rPr>
                <w:spacing w:val="-2"/>
              </w:rPr>
              <w:t>Energy</w:t>
            </w:r>
            <w:r>
              <w:rPr/>
              <w:tab/>
            </w:r>
            <w:r>
              <w:rPr>
                <w:spacing w:val="-5"/>
              </w:rPr>
              <w:t>183</w:t>
            </w:r>
          </w:hyperlink>
        </w:p>
        <w:p>
          <w:pPr>
            <w:pStyle w:val="TOC8"/>
            <w:tabs>
              <w:tab w:pos="9711" w:val="right" w:leader="dot"/>
            </w:tabs>
          </w:pPr>
          <w:hyperlink w:history="true" w:anchor="_bookmark301">
            <w:r>
              <w:rPr/>
              <w:t>R</w:t>
            </w:r>
          </w:hyperlink>
          <w:hyperlink w:history="true" w:anchor="_bookmark301">
            <w:r>
              <w:rPr/>
              <w:t>oad</w:t>
            </w:r>
            <w:r>
              <w:rPr>
                <w:spacing w:val="-1"/>
              </w:rPr>
              <w:t> </w:t>
            </w:r>
            <w:r>
              <w:rPr>
                <w:spacing w:val="-2"/>
              </w:rPr>
              <w:t>Construction</w:t>
            </w:r>
            <w:r>
              <w:rPr/>
              <w:tab/>
            </w:r>
            <w:r>
              <w:rPr>
                <w:spacing w:val="-5"/>
              </w:rPr>
              <w:t>183</w:t>
            </w:r>
          </w:hyperlink>
        </w:p>
        <w:p>
          <w:pPr>
            <w:pStyle w:val="TOC8"/>
            <w:tabs>
              <w:tab w:pos="9711" w:val="right" w:leader="dot"/>
            </w:tabs>
          </w:pPr>
          <w:hyperlink w:history="true" w:anchor="_bookmark302">
            <w:r>
              <w:rPr>
                <w:spacing w:val="-2"/>
              </w:rPr>
              <w:t>S</w:t>
            </w:r>
          </w:hyperlink>
          <w:hyperlink w:history="true" w:anchor="_bookmark302">
            <w:r>
              <w:rPr>
                <w:spacing w:val="-2"/>
              </w:rPr>
              <w:t>cenery</w:t>
            </w:r>
            <w:r>
              <w:rPr/>
              <w:tab/>
            </w:r>
            <w:r>
              <w:rPr>
                <w:spacing w:val="-5"/>
              </w:rPr>
              <w:t>184</w:t>
            </w:r>
          </w:hyperlink>
        </w:p>
        <w:p>
          <w:pPr>
            <w:pStyle w:val="TOC8"/>
            <w:tabs>
              <w:tab w:pos="9711" w:val="right" w:leader="dot"/>
            </w:tabs>
            <w:ind w:left="1801"/>
          </w:pPr>
          <w:hyperlink w:history="true" w:anchor="_bookmark303">
            <w:r>
              <w:rPr/>
              <w:t>S</w:t>
            </w:r>
          </w:hyperlink>
          <w:hyperlink w:history="true" w:anchor="_bookmark303">
            <w:r>
              <w:rPr/>
              <w:t>ocial</w:t>
            </w:r>
            <w:r>
              <w:rPr>
                <w:spacing w:val="-4"/>
              </w:rPr>
              <w:t> </w:t>
            </w:r>
            <w:r>
              <w:rPr/>
              <w:t>and</w:t>
            </w:r>
            <w:r>
              <w:rPr>
                <w:spacing w:val="-5"/>
              </w:rPr>
              <w:t> </w:t>
            </w:r>
            <w:r>
              <w:rPr/>
              <w:t>Economic</w:t>
            </w:r>
            <w:r>
              <w:rPr>
                <w:spacing w:val="-3"/>
              </w:rPr>
              <w:t> </w:t>
            </w:r>
            <w:r>
              <w:rPr>
                <w:spacing w:val="-2"/>
              </w:rPr>
              <w:t>Systems</w:t>
            </w:r>
            <w:r>
              <w:rPr/>
              <w:tab/>
            </w:r>
            <w:r>
              <w:rPr>
                <w:spacing w:val="-5"/>
              </w:rPr>
              <w:t>184</w:t>
            </w:r>
          </w:hyperlink>
        </w:p>
        <w:p>
          <w:pPr>
            <w:pStyle w:val="TOC4"/>
            <w:tabs>
              <w:tab w:pos="9711" w:val="right" w:leader="dot"/>
            </w:tabs>
            <w:spacing w:before="1"/>
            <w:ind w:left="1081"/>
          </w:pPr>
          <w:hyperlink w:history="true" w:anchor="_bookmark304">
            <w:r>
              <w:rPr/>
              <w:t>A</w:t>
            </w:r>
          </w:hyperlink>
          <w:hyperlink w:history="true" w:anchor="_bookmark304">
            <w:r>
              <w:rPr/>
              <w:t>ppendix</w:t>
            </w:r>
            <w:r>
              <w:rPr>
                <w:spacing w:val="-6"/>
              </w:rPr>
              <w:t> </w:t>
            </w:r>
            <w:r>
              <w:rPr/>
              <w:t>C</w:t>
            </w:r>
            <w:r>
              <w:rPr>
                <w:spacing w:val="-3"/>
              </w:rPr>
              <w:t> </w:t>
            </w:r>
            <w:r>
              <w:rPr/>
              <w:t>–</w:t>
            </w:r>
            <w:r>
              <w:rPr>
                <w:spacing w:val="-5"/>
              </w:rPr>
              <w:t> </w:t>
            </w:r>
            <w:r>
              <w:rPr/>
              <w:t>Wildlife,</w:t>
            </w:r>
            <w:r>
              <w:rPr>
                <w:spacing w:val="-3"/>
              </w:rPr>
              <w:t> </w:t>
            </w:r>
            <w:r>
              <w:rPr/>
              <w:t>Fish,</w:t>
            </w:r>
            <w:r>
              <w:rPr>
                <w:spacing w:val="-4"/>
              </w:rPr>
              <w:t> </w:t>
            </w:r>
            <w:r>
              <w:rPr/>
              <w:t>and</w:t>
            </w:r>
            <w:r>
              <w:rPr>
                <w:spacing w:val="-4"/>
              </w:rPr>
              <w:t> </w:t>
            </w:r>
            <w:r>
              <w:rPr/>
              <w:t>Plant</w:t>
            </w:r>
            <w:r>
              <w:rPr>
                <w:spacing w:val="-3"/>
              </w:rPr>
              <w:t> </w:t>
            </w:r>
            <w:r>
              <w:rPr/>
              <w:t>Species</w:t>
            </w:r>
            <w:r>
              <w:rPr>
                <w:spacing w:val="-4"/>
              </w:rPr>
              <w:t> </w:t>
            </w:r>
            <w:r>
              <w:rPr/>
              <w:t>of</w:t>
            </w:r>
            <w:r>
              <w:rPr>
                <w:spacing w:val="-5"/>
              </w:rPr>
              <w:t> </w:t>
            </w:r>
            <w:r>
              <w:rPr/>
              <w:t>the</w:t>
            </w:r>
            <w:r>
              <w:rPr>
                <w:spacing w:val="-3"/>
              </w:rPr>
              <w:t> </w:t>
            </w:r>
            <w:r>
              <w:rPr/>
              <w:t>Colville</w:t>
            </w:r>
            <w:r>
              <w:rPr>
                <w:spacing w:val="-4"/>
              </w:rPr>
              <w:t> </w:t>
            </w:r>
            <w:r>
              <w:rPr/>
              <w:t>National</w:t>
            </w:r>
            <w:r>
              <w:rPr>
                <w:spacing w:val="-3"/>
              </w:rPr>
              <w:t> </w:t>
            </w:r>
            <w:r>
              <w:rPr>
                <w:spacing w:val="-2"/>
              </w:rPr>
              <w:t>Forest</w:t>
            </w:r>
            <w:r>
              <w:rPr/>
              <w:tab/>
            </w:r>
            <w:r>
              <w:rPr>
                <w:spacing w:val="-5"/>
              </w:rPr>
              <w:t>185</w:t>
            </w:r>
          </w:hyperlink>
        </w:p>
        <w:p>
          <w:pPr>
            <w:pStyle w:val="TOC6"/>
            <w:tabs>
              <w:tab w:pos="9711" w:val="right" w:leader="dot"/>
            </w:tabs>
          </w:pPr>
          <w:hyperlink w:history="true" w:anchor="_bookmark305">
            <w:r>
              <w:rPr>
                <w:spacing w:val="-2"/>
              </w:rPr>
              <w:t>I</w:t>
            </w:r>
          </w:hyperlink>
          <w:hyperlink w:history="true" w:anchor="_bookmark305">
            <w:r>
              <w:rPr>
                <w:spacing w:val="-2"/>
              </w:rPr>
              <w:t>ntroduction</w:t>
            </w:r>
            <w:r>
              <w:rPr/>
              <w:tab/>
            </w:r>
            <w:r>
              <w:rPr>
                <w:spacing w:val="-5"/>
              </w:rPr>
              <w:t>185</w:t>
            </w:r>
          </w:hyperlink>
        </w:p>
        <w:p>
          <w:pPr>
            <w:pStyle w:val="TOC4"/>
            <w:tabs>
              <w:tab w:pos="9711" w:val="right" w:leader="dot"/>
            </w:tabs>
            <w:ind w:left="1081"/>
          </w:pPr>
          <w:hyperlink w:history="true" w:anchor="_bookmark307">
            <w:r>
              <w:rPr/>
              <w:t>A</w:t>
            </w:r>
          </w:hyperlink>
          <w:hyperlink w:history="true" w:anchor="_bookmark307">
            <w:r>
              <w:rPr/>
              <w:t>ppendix</w:t>
            </w:r>
            <w:r>
              <w:rPr>
                <w:spacing w:val="-4"/>
              </w:rPr>
              <w:t> </w:t>
            </w:r>
            <w:r>
              <w:rPr/>
              <w:t>D</w:t>
            </w:r>
            <w:r>
              <w:rPr>
                <w:spacing w:val="-2"/>
              </w:rPr>
              <w:t> </w:t>
            </w:r>
            <w:r>
              <w:rPr/>
              <w:t>–</w:t>
            </w:r>
            <w:r>
              <w:rPr>
                <w:spacing w:val="-5"/>
              </w:rPr>
              <w:t> </w:t>
            </w:r>
            <w:r>
              <w:rPr/>
              <w:t>Scenic</w:t>
            </w:r>
            <w:r>
              <w:rPr>
                <w:spacing w:val="-5"/>
              </w:rPr>
              <w:t> </w:t>
            </w:r>
            <w:r>
              <w:rPr/>
              <w:t>Integrity</w:t>
            </w:r>
            <w:r>
              <w:rPr>
                <w:spacing w:val="-2"/>
              </w:rPr>
              <w:t> Objectives</w:t>
            </w:r>
            <w:r>
              <w:rPr/>
              <w:tab/>
            </w:r>
            <w:r>
              <w:rPr>
                <w:spacing w:val="-5"/>
              </w:rPr>
              <w:t>193</w:t>
            </w:r>
          </w:hyperlink>
        </w:p>
        <w:p>
          <w:pPr>
            <w:pStyle w:val="TOC6"/>
            <w:tabs>
              <w:tab w:pos="9711" w:val="right" w:leader="dot"/>
            </w:tabs>
          </w:pPr>
          <w:hyperlink w:history="true" w:anchor="_bookmark308">
            <w:r>
              <w:rPr/>
              <w:t>S</w:t>
            </w:r>
          </w:hyperlink>
          <w:hyperlink w:history="true" w:anchor="_bookmark308">
            <w:r>
              <w:rPr/>
              <w:t>cenic</w:t>
            </w:r>
            <w:r>
              <w:rPr>
                <w:spacing w:val="-5"/>
              </w:rPr>
              <w:t> </w:t>
            </w:r>
            <w:r>
              <w:rPr>
                <w:spacing w:val="-2"/>
              </w:rPr>
              <w:t>Integrity</w:t>
            </w:r>
            <w:r>
              <w:rPr/>
              <w:tab/>
            </w:r>
            <w:r>
              <w:rPr>
                <w:spacing w:val="-5"/>
              </w:rPr>
              <w:t>193</w:t>
            </w:r>
          </w:hyperlink>
        </w:p>
        <w:p>
          <w:pPr>
            <w:pStyle w:val="TOC4"/>
            <w:tabs>
              <w:tab w:pos="9711" w:val="right" w:leader="dot"/>
            </w:tabs>
            <w:ind w:left="1081"/>
          </w:pPr>
          <w:hyperlink w:history="true" w:anchor="_bookmark322">
            <w:r>
              <w:rPr/>
              <w:t>A</w:t>
            </w:r>
          </w:hyperlink>
          <w:hyperlink w:history="true" w:anchor="_bookmark322">
            <w:r>
              <w:rPr/>
              <w:t>ppendix</w:t>
            </w:r>
            <w:r>
              <w:rPr>
                <w:spacing w:val="-4"/>
              </w:rPr>
              <w:t> </w:t>
            </w:r>
            <w:r>
              <w:rPr/>
              <w:t>E</w:t>
            </w:r>
            <w:r>
              <w:rPr>
                <w:spacing w:val="-4"/>
              </w:rPr>
              <w:t> </w:t>
            </w:r>
            <w:r>
              <w:rPr/>
              <w:t>–</w:t>
            </w:r>
            <w:r>
              <w:rPr>
                <w:spacing w:val="-4"/>
              </w:rPr>
              <w:t> </w:t>
            </w:r>
            <w:r>
              <w:rPr/>
              <w:t>Suitable</w:t>
            </w:r>
            <w:r>
              <w:rPr>
                <w:spacing w:val="-3"/>
              </w:rPr>
              <w:t> </w:t>
            </w:r>
            <w:r>
              <w:rPr/>
              <w:t>Uses</w:t>
            </w:r>
            <w:r>
              <w:rPr>
                <w:spacing w:val="-5"/>
              </w:rPr>
              <w:t> </w:t>
            </w:r>
            <w:r>
              <w:rPr/>
              <w:t>by</w:t>
            </w:r>
            <w:r>
              <w:rPr>
                <w:spacing w:val="-3"/>
              </w:rPr>
              <w:t> </w:t>
            </w:r>
            <w:r>
              <w:rPr/>
              <w:t>Management</w:t>
            </w:r>
            <w:r>
              <w:rPr>
                <w:spacing w:val="-3"/>
              </w:rPr>
              <w:t> </w:t>
            </w:r>
            <w:r>
              <w:rPr>
                <w:spacing w:val="-4"/>
              </w:rPr>
              <w:t>Area</w:t>
            </w:r>
            <w:r>
              <w:rPr/>
              <w:tab/>
            </w:r>
            <w:r>
              <w:rPr>
                <w:spacing w:val="-5"/>
              </w:rPr>
              <w:t>206</w:t>
            </w:r>
          </w:hyperlink>
        </w:p>
        <w:p>
          <w:pPr>
            <w:pStyle w:val="TOC4"/>
            <w:tabs>
              <w:tab w:pos="9711" w:val="right" w:leader="dot"/>
            </w:tabs>
            <w:spacing w:line="268" w:lineRule="exact"/>
            <w:ind w:left="1081"/>
          </w:pPr>
          <w:hyperlink w:history="true" w:anchor="_bookmark324">
            <w:r>
              <w:rPr/>
              <w:t>A</w:t>
            </w:r>
          </w:hyperlink>
          <w:hyperlink w:history="true" w:anchor="_bookmark324">
            <w:r>
              <w:rPr/>
              <w:t>ppendix</w:t>
            </w:r>
            <w:r>
              <w:rPr>
                <w:spacing w:val="-5"/>
              </w:rPr>
              <w:t> </w:t>
            </w:r>
            <w:r>
              <w:rPr/>
              <w:t>F</w:t>
            </w:r>
            <w:r>
              <w:rPr>
                <w:spacing w:val="-5"/>
              </w:rPr>
              <w:t> </w:t>
            </w:r>
            <w:r>
              <w:rPr/>
              <w:t>–</w:t>
            </w:r>
            <w:r>
              <w:rPr>
                <w:spacing w:val="-3"/>
              </w:rPr>
              <w:t> </w:t>
            </w:r>
            <w:r>
              <w:rPr/>
              <w:t>Recreation</w:t>
            </w:r>
            <w:r>
              <w:rPr>
                <w:spacing w:val="-7"/>
              </w:rPr>
              <w:t> </w:t>
            </w:r>
            <w:r>
              <w:rPr/>
              <w:t>Opportunity</w:t>
            </w:r>
            <w:r>
              <w:rPr>
                <w:spacing w:val="-3"/>
              </w:rPr>
              <w:t> </w:t>
            </w:r>
            <w:r>
              <w:rPr>
                <w:spacing w:val="-2"/>
              </w:rPr>
              <w:t>Spectrum</w:t>
            </w:r>
            <w:r>
              <w:rPr/>
              <w:tab/>
            </w:r>
            <w:r>
              <w:rPr>
                <w:spacing w:val="-5"/>
              </w:rPr>
              <w:t>209</w:t>
            </w:r>
          </w:hyperlink>
        </w:p>
        <w:p>
          <w:pPr>
            <w:pStyle w:val="TOC4"/>
            <w:spacing w:line="268" w:lineRule="exact"/>
            <w:ind w:left="1081"/>
          </w:pPr>
          <w:hyperlink w:history="true" w:anchor="_bookmark326">
            <w:r>
              <w:rPr/>
              <w:t>A</w:t>
            </w:r>
          </w:hyperlink>
          <w:hyperlink w:history="true" w:anchor="_bookmark326">
            <w:r>
              <w:rPr/>
              <w:t>ppendix</w:t>
            </w:r>
            <w:r>
              <w:rPr>
                <w:spacing w:val="-5"/>
              </w:rPr>
              <w:t> </w:t>
            </w:r>
            <w:r>
              <w:rPr/>
              <w:t>G</w:t>
            </w:r>
            <w:r>
              <w:rPr>
                <w:spacing w:val="-4"/>
              </w:rPr>
              <w:t> </w:t>
            </w:r>
            <w:r>
              <w:rPr/>
              <w:t>–</w:t>
            </w:r>
            <w:r>
              <w:rPr>
                <w:spacing w:val="-3"/>
              </w:rPr>
              <w:t> </w:t>
            </w:r>
            <w:r>
              <w:rPr/>
              <w:t>Sites</w:t>
            </w:r>
            <w:r>
              <w:rPr>
                <w:spacing w:val="-6"/>
              </w:rPr>
              <w:t> </w:t>
            </w:r>
            <w:r>
              <w:rPr/>
              <w:t>with</w:t>
            </w:r>
            <w:r>
              <w:rPr>
                <w:spacing w:val="-6"/>
              </w:rPr>
              <w:t> </w:t>
            </w:r>
            <w:r>
              <w:rPr/>
              <w:t>Administrative</w:t>
            </w:r>
            <w:r>
              <w:rPr>
                <w:spacing w:val="-6"/>
              </w:rPr>
              <w:t> </w:t>
            </w:r>
            <w:r>
              <w:rPr/>
              <w:t>Designations</w:t>
            </w:r>
            <w:r>
              <w:rPr>
                <w:spacing w:val="-6"/>
              </w:rPr>
              <w:t> </w:t>
            </w:r>
            <w:r>
              <w:rPr/>
              <w:t>and</w:t>
            </w:r>
            <w:r>
              <w:rPr>
                <w:spacing w:val="-5"/>
              </w:rPr>
              <w:t> </w:t>
            </w:r>
            <w:r>
              <w:rPr/>
              <w:t>Areas</w:t>
            </w:r>
            <w:r>
              <w:rPr>
                <w:spacing w:val="-4"/>
              </w:rPr>
              <w:t> </w:t>
            </w:r>
            <w:r>
              <w:rPr/>
              <w:t>Withdrawn</w:t>
            </w:r>
            <w:r>
              <w:rPr>
                <w:spacing w:val="-5"/>
              </w:rPr>
              <w:t> </w:t>
            </w:r>
            <w:r>
              <w:rPr/>
              <w:t>from</w:t>
            </w:r>
            <w:r>
              <w:rPr>
                <w:spacing w:val="-7"/>
              </w:rPr>
              <w:t> </w:t>
            </w:r>
            <w:r>
              <w:rPr/>
              <w:t>Mineral</w:t>
            </w:r>
            <w:r>
              <w:rPr>
                <w:spacing w:val="-4"/>
              </w:rPr>
              <w:t> </w:t>
            </w:r>
            <w:r>
              <w:rPr>
                <w:spacing w:val="-2"/>
              </w:rPr>
              <w:t>Entry</w:t>
            </w:r>
          </w:hyperlink>
        </w:p>
        <w:p>
          <w:pPr>
            <w:pStyle w:val="TOC5"/>
            <w:tabs>
              <w:tab w:pos="9711" w:val="right" w:leader="dot"/>
            </w:tabs>
          </w:pPr>
          <w:hyperlink w:history="true" w:anchor="_bookmark326">
            <w:r>
              <w:rPr>
                <w:spacing w:val="-10"/>
              </w:rPr>
              <w:t>.</w:t>
            </w:r>
          </w:hyperlink>
          <w:hyperlink w:history="true" w:anchor="_bookmark326">
            <w:r>
              <w:rPr/>
              <w:tab/>
            </w:r>
            <w:r>
              <w:rPr>
                <w:spacing w:val="-5"/>
              </w:rPr>
              <w:t>210</w:t>
            </w:r>
          </w:hyperlink>
        </w:p>
        <w:p>
          <w:pPr>
            <w:pStyle w:val="TOC6"/>
            <w:tabs>
              <w:tab w:pos="9712" w:val="right" w:leader="dot"/>
            </w:tabs>
          </w:pPr>
          <w:hyperlink w:history="true" w:anchor="_bookmark327">
            <w:r>
              <w:rPr/>
              <w:t>A</w:t>
            </w:r>
          </w:hyperlink>
          <w:hyperlink w:history="true" w:anchor="_bookmark327">
            <w:r>
              <w:rPr/>
              <w:t>dministrative</w:t>
            </w:r>
            <w:r>
              <w:rPr>
                <w:spacing w:val="-5"/>
              </w:rPr>
              <w:t> </w:t>
            </w:r>
            <w:r>
              <w:rPr/>
              <w:t>and</w:t>
            </w:r>
            <w:r>
              <w:rPr>
                <w:spacing w:val="-8"/>
              </w:rPr>
              <w:t> </w:t>
            </w:r>
            <w:r>
              <w:rPr/>
              <w:t>Recreation</w:t>
            </w:r>
            <w:r>
              <w:rPr>
                <w:spacing w:val="-6"/>
              </w:rPr>
              <w:t> </w:t>
            </w:r>
            <w:r>
              <w:rPr>
                <w:spacing w:val="-2"/>
              </w:rPr>
              <w:t>Sites</w:t>
            </w:r>
            <w:r>
              <w:rPr/>
              <w:tab/>
            </w:r>
            <w:r>
              <w:rPr>
                <w:spacing w:val="-5"/>
              </w:rPr>
              <w:t>210</w:t>
            </w:r>
          </w:hyperlink>
        </w:p>
        <w:p>
          <w:pPr>
            <w:pStyle w:val="TOC6"/>
            <w:tabs>
              <w:tab w:pos="9712" w:val="right" w:leader="dot"/>
            </w:tabs>
            <w:spacing w:after="20"/>
          </w:pPr>
          <w:hyperlink w:history="true" w:anchor="_bookmark330">
            <w:r>
              <w:rPr/>
              <w:t>C</w:t>
            </w:r>
          </w:hyperlink>
          <w:hyperlink w:history="true" w:anchor="_bookmark330">
            <w:r>
              <w:rPr/>
              <w:t>ommunication</w:t>
            </w:r>
            <w:r>
              <w:rPr>
                <w:spacing w:val="-6"/>
              </w:rPr>
              <w:t> </w:t>
            </w:r>
            <w:r>
              <w:rPr/>
              <w:t>Sites</w:t>
            </w:r>
            <w:r>
              <w:rPr>
                <w:spacing w:val="-5"/>
              </w:rPr>
              <w:t> </w:t>
            </w:r>
            <w:r>
              <w:rPr/>
              <w:t>and</w:t>
            </w:r>
            <w:r>
              <w:rPr>
                <w:spacing w:val="-8"/>
              </w:rPr>
              <w:t> </w:t>
            </w:r>
            <w:r>
              <w:rPr/>
              <w:t>Energy</w:t>
            </w:r>
            <w:r>
              <w:rPr>
                <w:spacing w:val="-3"/>
              </w:rPr>
              <w:t> </w:t>
            </w:r>
            <w:r>
              <w:rPr>
                <w:spacing w:val="-2"/>
              </w:rPr>
              <w:t>Corridors</w:t>
            </w:r>
            <w:r>
              <w:rPr/>
              <w:tab/>
            </w:r>
            <w:r>
              <w:rPr>
                <w:spacing w:val="-5"/>
              </w:rPr>
              <w:t>218</w:t>
            </w:r>
          </w:hyperlink>
        </w:p>
        <w:p>
          <w:pPr>
            <w:pStyle w:val="TOC2"/>
            <w:tabs>
              <w:tab w:pos="8656" w:val="left" w:leader="dot"/>
            </w:tabs>
          </w:pPr>
          <w:hyperlink w:history="true" w:anchor="_bookmark334">
            <w:r>
              <w:rPr/>
              <w:t>M</w:t>
            </w:r>
          </w:hyperlink>
          <w:hyperlink w:history="true" w:anchor="_bookmark334">
            <w:r>
              <w:rPr/>
              <w:t>ineral</w:t>
            </w:r>
            <w:r>
              <w:rPr>
                <w:spacing w:val="-7"/>
              </w:rPr>
              <w:t> </w:t>
            </w:r>
            <w:r>
              <w:rPr>
                <w:spacing w:val="-2"/>
              </w:rPr>
              <w:t>Withdrawals</w:t>
            </w:r>
            <w:r>
              <w:rPr/>
              <w:tab/>
            </w:r>
            <w:r>
              <w:rPr>
                <w:spacing w:val="-5"/>
              </w:rPr>
              <w:t>222</w:t>
            </w:r>
          </w:hyperlink>
        </w:p>
        <w:p>
          <w:pPr>
            <w:pStyle w:val="TOC1"/>
            <w:tabs>
              <w:tab w:pos="8296" w:val="left" w:leader="dot"/>
            </w:tabs>
          </w:pPr>
          <w:hyperlink w:history="true" w:anchor="_bookmark346">
            <w:r>
              <w:rPr/>
              <w:t>A</w:t>
            </w:r>
          </w:hyperlink>
          <w:hyperlink w:history="true" w:anchor="_bookmark346">
            <w:r>
              <w:rPr/>
              <w:t>ppendix</w:t>
            </w:r>
            <w:r>
              <w:rPr>
                <w:spacing w:val="-3"/>
              </w:rPr>
              <w:t> </w:t>
            </w:r>
            <w:r>
              <w:rPr/>
              <w:t>H</w:t>
            </w:r>
            <w:r>
              <w:rPr>
                <w:spacing w:val="-4"/>
              </w:rPr>
              <w:t> </w:t>
            </w:r>
            <w:r>
              <w:rPr/>
              <w:t>–</w:t>
            </w:r>
            <w:r>
              <w:rPr>
                <w:spacing w:val="-5"/>
              </w:rPr>
              <w:t> </w:t>
            </w:r>
            <w:r>
              <w:rPr/>
              <w:t>Management</w:t>
            </w:r>
            <w:r>
              <w:rPr>
                <w:spacing w:val="-5"/>
              </w:rPr>
              <w:t> </w:t>
            </w:r>
            <w:r>
              <w:rPr/>
              <w:t>Area</w:t>
            </w:r>
            <w:r>
              <w:rPr>
                <w:spacing w:val="-5"/>
              </w:rPr>
              <w:t> Map</w:t>
            </w:r>
            <w:r>
              <w:rPr/>
              <w:tab/>
            </w:r>
            <w:r>
              <w:rPr>
                <w:spacing w:val="-5"/>
              </w:rPr>
              <w:t>236</w:t>
            </w:r>
          </w:hyperlink>
        </w:p>
      </w:sdtContent>
    </w:sdt>
    <w:p>
      <w:pPr>
        <w:pStyle w:val="TOC1"/>
        <w:spacing w:after="0"/>
        <w:sectPr>
          <w:headerReference w:type="even" r:id="rId22"/>
          <w:headerReference w:type="default" r:id="rId23"/>
          <w:footerReference w:type="even" r:id="rId24"/>
          <w:footerReference w:type="default" r:id="rId25"/>
          <w:pgSz w:w="12240" w:h="15840"/>
          <w:pgMar w:header="725" w:footer="1205" w:top="965" w:bottom="1491" w:left="1080" w:right="720"/>
          <w:pgNumType w:start="6"/>
        </w:sectPr>
      </w:pPr>
    </w:p>
    <w:p>
      <w:pPr>
        <w:pStyle w:val="BodyText"/>
        <w:spacing w:before="190"/>
      </w:pPr>
    </w:p>
    <w:p>
      <w:pPr>
        <w:pStyle w:val="Heading5"/>
        <w:ind w:left="0" w:right="1076"/>
        <w:jc w:val="center"/>
        <w:rPr>
          <w:rFonts w:ascii="Calibri"/>
        </w:rPr>
      </w:pPr>
      <w:r>
        <w:rPr>
          <w:rFonts w:ascii="Calibri"/>
        </w:rPr>
        <w:t>List</w:t>
      </w:r>
      <w:r>
        <w:rPr>
          <w:rFonts w:ascii="Calibri"/>
          <w:spacing w:val="-4"/>
        </w:rPr>
        <w:t> </w:t>
      </w:r>
      <w:r>
        <w:rPr>
          <w:rFonts w:ascii="Calibri"/>
        </w:rPr>
        <w:t>of</w:t>
      </w:r>
      <w:r>
        <w:rPr>
          <w:rFonts w:ascii="Calibri"/>
          <w:spacing w:val="-2"/>
        </w:rPr>
        <w:t> Tables</w:t>
      </w:r>
    </w:p>
    <w:p>
      <w:pPr>
        <w:pStyle w:val="BodyText"/>
        <w:tabs>
          <w:tab w:pos="8767" w:val="left" w:leader="dot"/>
        </w:tabs>
        <w:spacing w:before="193"/>
        <w:ind w:left="359" w:right="1445"/>
      </w:pPr>
      <w:hyperlink w:history="true" w:anchor="_bookmark66">
        <w:r>
          <w:rPr/>
          <w:t>T</w:t>
        </w:r>
      </w:hyperlink>
      <w:hyperlink w:history="true" w:anchor="_bookmark66">
        <w:r>
          <w:rPr/>
          <w:t>able 1.</w:t>
        </w:r>
        <w:r>
          <w:rPr>
            <w:spacing w:val="-3"/>
          </w:rPr>
          <w:t> </w:t>
        </w:r>
        <w:r>
          <w:rPr/>
          <w:t>Soil</w:t>
        </w:r>
        <w:r>
          <w:rPr>
            <w:spacing w:val="-3"/>
          </w:rPr>
          <w:t> </w:t>
        </w:r>
        <w:r>
          <w:rPr/>
          <w:t>ecological</w:t>
        </w:r>
        <w:r>
          <w:rPr>
            <w:spacing w:val="-3"/>
          </w:rPr>
          <w:t> </w:t>
        </w:r>
        <w:r>
          <w:rPr/>
          <w:t>functions</w:t>
        </w:r>
        <w:r>
          <w:rPr>
            <w:spacing w:val="-2"/>
          </w:rPr>
          <w:t> </w:t>
        </w:r>
        <w:r>
          <w:rPr/>
          <w:t>with</w:t>
        </w:r>
        <w:r>
          <w:rPr>
            <w:spacing w:val="-1"/>
          </w:rPr>
          <w:t> </w:t>
        </w:r>
        <w:r>
          <w:rPr/>
          <w:t>attributes</w:t>
        </w:r>
        <w:r>
          <w:rPr>
            <w:spacing w:val="-2"/>
          </w:rPr>
          <w:t> </w:t>
        </w:r>
        <w:r>
          <w:rPr/>
          <w:t>and</w:t>
        </w:r>
        <w:r>
          <w:rPr>
            <w:spacing w:val="-1"/>
          </w:rPr>
          <w:t> </w:t>
        </w:r>
        <w:r>
          <w:rPr/>
          <w:t>indicators</w:t>
        </w:r>
        <w:r>
          <w:rPr>
            <w:spacing w:val="-2"/>
          </w:rPr>
          <w:t> </w:t>
        </w:r>
        <w:r>
          <w:rPr/>
          <w:t>for</w:t>
        </w:r>
        <w:r>
          <w:rPr>
            <w:spacing w:val="-2"/>
          </w:rPr>
          <w:t> </w:t>
        </w:r>
        <w:r>
          <w:rPr/>
          <w:t>long-term</w:t>
        </w:r>
        <w:r>
          <w:rPr>
            <w:spacing w:val="-1"/>
          </w:rPr>
          <w:t> </w:t>
        </w:r>
        <w:r>
          <w:rPr/>
          <w:t>soil</w:t>
        </w:r>
        <w:r>
          <w:rPr>
            <w:spacing w:val="-5"/>
          </w:rPr>
          <w:t> </w:t>
        </w:r>
        <w:r>
          <w:rPr/>
          <w:t>productivity.</w:t>
        </w:r>
        <w:r>
          <w:rPr>
            <w:spacing w:val="-29"/>
          </w:rPr>
          <w:t> </w:t>
        </w:r>
        <w:r>
          <w:rPr/>
          <w:t>30</w:t>
        </w:r>
      </w:hyperlink>
      <w:r>
        <w:rPr/>
        <w:t> </w:t>
      </w:r>
      <w:hyperlink w:history="true" w:anchor="_bookmark70">
        <w:r>
          <w:rPr/>
          <w:t>T</w:t>
        </w:r>
      </w:hyperlink>
      <w:hyperlink w:history="true" w:anchor="_bookmark70">
        <w:r>
          <w:rPr/>
          <w:t>able</w:t>
        </w:r>
        <w:r>
          <w:rPr>
            <w:spacing w:val="-6"/>
          </w:rPr>
          <w:t> </w:t>
        </w:r>
        <w:r>
          <w:rPr/>
          <w:t>2.</w:t>
        </w:r>
        <w:r>
          <w:rPr>
            <w:spacing w:val="-8"/>
          </w:rPr>
          <w:t> </w:t>
        </w:r>
        <w:r>
          <w:rPr/>
          <w:t>Minimum</w:t>
        </w:r>
        <w:r>
          <w:rPr>
            <w:spacing w:val="-5"/>
          </w:rPr>
          <w:t> </w:t>
        </w:r>
        <w:r>
          <w:rPr/>
          <w:t>effective</w:t>
        </w:r>
        <w:r>
          <w:rPr>
            <w:spacing w:val="-7"/>
          </w:rPr>
          <w:t> </w:t>
        </w:r>
        <w:r>
          <w:rPr/>
          <w:t>ground</w:t>
        </w:r>
        <w:r>
          <w:rPr>
            <w:spacing w:val="-6"/>
          </w:rPr>
          <w:t> </w:t>
        </w:r>
        <w:r>
          <w:rPr/>
          <w:t>cover</w:t>
        </w:r>
        <w:r>
          <w:rPr>
            <w:spacing w:val="-4"/>
          </w:rPr>
          <w:t> </w:t>
        </w:r>
        <w:r>
          <w:rPr/>
          <w:t>following</w:t>
        </w:r>
        <w:r>
          <w:rPr>
            <w:spacing w:val="-6"/>
          </w:rPr>
          <w:t> </w:t>
        </w:r>
        <w:r>
          <w:rPr/>
          <w:t>any</w:t>
        </w:r>
        <w:r>
          <w:rPr>
            <w:spacing w:val="-4"/>
          </w:rPr>
          <w:t> </w:t>
        </w:r>
        <w:r>
          <w:rPr/>
          <w:t>soil-disturbing</w:t>
        </w:r>
        <w:r>
          <w:rPr>
            <w:spacing w:val="-5"/>
          </w:rPr>
          <w:t> </w:t>
        </w:r>
        <w:r>
          <w:rPr>
            <w:spacing w:val="-2"/>
          </w:rPr>
          <w:t>activity</w:t>
        </w:r>
        <w:r>
          <w:rPr/>
          <w:tab/>
        </w:r>
        <w:r>
          <w:rPr>
            <w:spacing w:val="-5"/>
          </w:rPr>
          <w:t>32</w:t>
        </w:r>
      </w:hyperlink>
    </w:p>
    <w:p>
      <w:pPr>
        <w:pStyle w:val="BodyText"/>
        <w:tabs>
          <w:tab w:pos="8767" w:val="left" w:leader="dot"/>
        </w:tabs>
        <w:ind w:left="359"/>
      </w:pPr>
      <w:hyperlink w:history="true" w:anchor="_bookmark74">
        <w:r>
          <w:rPr/>
          <w:t>Ta</w:t>
        </w:r>
      </w:hyperlink>
      <w:hyperlink w:history="true" w:anchor="_bookmark74">
        <w:r>
          <w:rPr/>
          <w:t>ble</w:t>
        </w:r>
        <w:r>
          <w:rPr>
            <w:spacing w:val="-3"/>
          </w:rPr>
          <w:t> </w:t>
        </w:r>
        <w:r>
          <w:rPr/>
          <w:t>3.</w:t>
        </w:r>
        <w:r>
          <w:rPr>
            <w:spacing w:val="-7"/>
          </w:rPr>
          <w:t> </w:t>
        </w:r>
        <w:r>
          <w:rPr/>
          <w:t>Forest</w:t>
        </w:r>
        <w:r>
          <w:rPr>
            <w:spacing w:val="-5"/>
          </w:rPr>
          <w:t> </w:t>
        </w:r>
        <w:r>
          <w:rPr/>
          <w:t>vegetation</w:t>
        </w:r>
        <w:r>
          <w:rPr>
            <w:spacing w:val="-5"/>
          </w:rPr>
          <w:t> </w:t>
        </w:r>
        <w:r>
          <w:rPr/>
          <w:t>types</w:t>
        </w:r>
        <w:r>
          <w:rPr>
            <w:spacing w:val="-4"/>
          </w:rPr>
          <w:t> </w:t>
        </w:r>
        <w:r>
          <w:rPr/>
          <w:t>for</w:t>
        </w:r>
        <w:r>
          <w:rPr>
            <w:spacing w:val="-3"/>
          </w:rPr>
          <w:t> </w:t>
        </w:r>
        <w:r>
          <w:rPr/>
          <w:t>the</w:t>
        </w:r>
        <w:r>
          <w:rPr>
            <w:spacing w:val="-3"/>
          </w:rPr>
          <w:t> </w:t>
        </w:r>
        <w:r>
          <w:rPr/>
          <w:t>Colville</w:t>
        </w:r>
        <w:r>
          <w:rPr>
            <w:spacing w:val="-3"/>
          </w:rPr>
          <w:t> </w:t>
        </w:r>
        <w:r>
          <w:rPr/>
          <w:t>National</w:t>
        </w:r>
        <w:r>
          <w:rPr>
            <w:spacing w:val="-3"/>
          </w:rPr>
          <w:t> </w:t>
        </w:r>
        <w:r>
          <w:rPr>
            <w:spacing w:val="-2"/>
          </w:rPr>
          <w:t>Forest</w:t>
        </w:r>
        <w:r>
          <w:rPr/>
          <w:tab/>
        </w:r>
        <w:r>
          <w:rPr>
            <w:spacing w:val="-5"/>
          </w:rPr>
          <w:t>33</w:t>
        </w:r>
      </w:hyperlink>
    </w:p>
    <w:p>
      <w:pPr>
        <w:pStyle w:val="BodyText"/>
        <w:tabs>
          <w:tab w:pos="8767" w:val="left" w:leader="dot"/>
        </w:tabs>
        <w:ind w:left="359"/>
      </w:pPr>
      <w:hyperlink w:history="true" w:anchor="_bookmark75">
        <w:r>
          <w:rPr/>
          <w:t>Ta</w:t>
        </w:r>
      </w:hyperlink>
      <w:hyperlink w:history="true" w:anchor="_bookmark75">
        <w:r>
          <w:rPr/>
          <w:t>ble</w:t>
        </w:r>
        <w:r>
          <w:rPr>
            <w:spacing w:val="-3"/>
          </w:rPr>
          <w:t> </w:t>
        </w:r>
        <w:r>
          <w:rPr/>
          <w:t>4.</w:t>
        </w:r>
        <w:r>
          <w:rPr>
            <w:spacing w:val="-6"/>
          </w:rPr>
          <w:t> </w:t>
        </w:r>
        <w:r>
          <w:rPr/>
          <w:t>Forest</w:t>
        </w:r>
        <w:r>
          <w:rPr>
            <w:spacing w:val="-2"/>
          </w:rPr>
          <w:t> </w:t>
        </w:r>
        <w:r>
          <w:rPr/>
          <w:t>structure</w:t>
        </w:r>
        <w:r>
          <w:rPr>
            <w:spacing w:val="-5"/>
          </w:rPr>
          <w:t> </w:t>
        </w:r>
        <w:r>
          <w:rPr>
            <w:spacing w:val="-2"/>
          </w:rPr>
          <w:t>classes</w:t>
        </w:r>
        <w:r>
          <w:rPr/>
          <w:tab/>
        </w:r>
        <w:r>
          <w:rPr>
            <w:spacing w:val="-5"/>
          </w:rPr>
          <w:t>33</w:t>
        </w:r>
      </w:hyperlink>
    </w:p>
    <w:p>
      <w:pPr>
        <w:pStyle w:val="BodyText"/>
        <w:tabs>
          <w:tab w:pos="8767" w:val="left" w:leader="dot"/>
        </w:tabs>
        <w:ind w:left="359"/>
      </w:pPr>
      <w:hyperlink w:history="true" w:anchor="_bookmark78">
        <w:r>
          <w:rPr/>
          <w:t>Ta</w:t>
        </w:r>
      </w:hyperlink>
      <w:hyperlink w:history="true" w:anchor="_bookmark78">
        <w:r>
          <w:rPr/>
          <w:t>ble</w:t>
        </w:r>
        <w:r>
          <w:rPr>
            <w:spacing w:val="-4"/>
          </w:rPr>
          <w:t> </w:t>
        </w:r>
        <w:r>
          <w:rPr/>
          <w:t>5.</w:t>
        </w:r>
        <w:r>
          <w:rPr>
            <w:spacing w:val="-7"/>
          </w:rPr>
          <w:t> </w:t>
        </w:r>
        <w:r>
          <w:rPr/>
          <w:t>Desired</w:t>
        </w:r>
        <w:r>
          <w:rPr>
            <w:spacing w:val="-5"/>
          </w:rPr>
          <w:t> </w:t>
        </w:r>
        <w:r>
          <w:rPr/>
          <w:t>condition</w:t>
        </w:r>
        <w:r>
          <w:rPr>
            <w:spacing w:val="-5"/>
          </w:rPr>
          <w:t> </w:t>
        </w:r>
        <w:r>
          <w:rPr/>
          <w:t>for</w:t>
        </w:r>
        <w:r>
          <w:rPr>
            <w:spacing w:val="-4"/>
          </w:rPr>
          <w:t> </w:t>
        </w:r>
        <w:r>
          <w:rPr/>
          <w:t>forest</w:t>
        </w:r>
        <w:r>
          <w:rPr>
            <w:spacing w:val="-3"/>
          </w:rPr>
          <w:t> </w:t>
        </w:r>
        <w:r>
          <w:rPr/>
          <w:t>structure</w:t>
        </w:r>
        <w:r>
          <w:rPr>
            <w:spacing w:val="-3"/>
          </w:rPr>
          <w:t> </w:t>
        </w:r>
        <w:r>
          <w:rPr>
            <w:spacing w:val="-4"/>
          </w:rPr>
          <w:t>(HRV)</w:t>
        </w:r>
        <w:r>
          <w:rPr/>
          <w:tab/>
        </w:r>
        <w:r>
          <w:rPr>
            <w:spacing w:val="-5"/>
          </w:rPr>
          <w:t>35</w:t>
        </w:r>
      </w:hyperlink>
    </w:p>
    <w:p>
      <w:pPr>
        <w:pStyle w:val="BodyText"/>
        <w:tabs>
          <w:tab w:pos="8767" w:val="left" w:leader="dot"/>
        </w:tabs>
        <w:spacing w:line="268" w:lineRule="exact"/>
        <w:ind w:left="359"/>
      </w:pPr>
      <w:hyperlink w:history="true" w:anchor="_bookmark79">
        <w:r>
          <w:rPr/>
          <w:t>Ta</w:t>
        </w:r>
      </w:hyperlink>
      <w:hyperlink w:history="true" w:anchor="_bookmark79">
        <w:r>
          <w:rPr/>
          <w:t>ble</w:t>
        </w:r>
        <w:r>
          <w:rPr>
            <w:spacing w:val="-3"/>
          </w:rPr>
          <w:t> </w:t>
        </w:r>
        <w:r>
          <w:rPr/>
          <w:t>6.</w:t>
        </w:r>
        <w:r>
          <w:rPr>
            <w:spacing w:val="-6"/>
          </w:rPr>
          <w:t> </w:t>
        </w:r>
        <w:r>
          <w:rPr/>
          <w:t>Expected</w:t>
        </w:r>
        <w:r>
          <w:rPr>
            <w:spacing w:val="-4"/>
          </w:rPr>
          <w:t> </w:t>
        </w:r>
        <w:r>
          <w:rPr/>
          <w:t>patch</w:t>
        </w:r>
        <w:r>
          <w:rPr>
            <w:spacing w:val="-4"/>
          </w:rPr>
          <w:t> </w:t>
        </w:r>
        <w:r>
          <w:rPr/>
          <w:t>size</w:t>
        </w:r>
        <w:r>
          <w:rPr>
            <w:spacing w:val="-3"/>
          </w:rPr>
          <w:t> </w:t>
        </w:r>
        <w:r>
          <w:rPr/>
          <w:t>by</w:t>
        </w:r>
        <w:r>
          <w:rPr>
            <w:spacing w:val="-2"/>
          </w:rPr>
          <w:t> </w:t>
        </w:r>
        <w:r>
          <w:rPr/>
          <w:t>forest</w:t>
        </w:r>
        <w:r>
          <w:rPr>
            <w:spacing w:val="-5"/>
          </w:rPr>
          <w:t> </w:t>
        </w:r>
        <w:r>
          <w:rPr/>
          <w:t>vegetation</w:t>
        </w:r>
        <w:r>
          <w:rPr>
            <w:spacing w:val="-4"/>
          </w:rPr>
          <w:t> type</w:t>
        </w:r>
        <w:r>
          <w:rPr/>
          <w:tab/>
        </w:r>
        <w:r>
          <w:rPr>
            <w:spacing w:val="-5"/>
          </w:rPr>
          <w:t>35</w:t>
        </w:r>
      </w:hyperlink>
    </w:p>
    <w:p>
      <w:pPr>
        <w:pStyle w:val="BodyText"/>
        <w:tabs>
          <w:tab w:pos="8767" w:val="left" w:leader="dot"/>
        </w:tabs>
        <w:spacing w:line="268" w:lineRule="exact"/>
        <w:ind w:left="360"/>
      </w:pPr>
      <w:hyperlink w:history="true" w:anchor="_bookmark80">
        <w:r>
          <w:rPr/>
          <w:t>T</w:t>
        </w:r>
      </w:hyperlink>
      <w:hyperlink w:history="true" w:anchor="_bookmark80">
        <w:r>
          <w:rPr/>
          <w:t>able</w:t>
        </w:r>
        <w:r>
          <w:rPr>
            <w:spacing w:val="-5"/>
          </w:rPr>
          <w:t> </w:t>
        </w:r>
        <w:r>
          <w:rPr/>
          <w:t>7.</w:t>
        </w:r>
        <w:r>
          <w:rPr>
            <w:spacing w:val="-7"/>
          </w:rPr>
          <w:t> </w:t>
        </w:r>
        <w:r>
          <w:rPr/>
          <w:t>Desired</w:t>
        </w:r>
        <w:r>
          <w:rPr>
            <w:spacing w:val="-4"/>
          </w:rPr>
          <w:t> </w:t>
        </w:r>
        <w:r>
          <w:rPr/>
          <w:t>amounts</w:t>
        </w:r>
        <w:r>
          <w:rPr>
            <w:spacing w:val="-4"/>
          </w:rPr>
          <w:t> </w:t>
        </w:r>
        <w:r>
          <w:rPr/>
          <w:t>and</w:t>
        </w:r>
        <w:r>
          <w:rPr>
            <w:spacing w:val="-5"/>
          </w:rPr>
          <w:t> </w:t>
        </w:r>
        <w:r>
          <w:rPr/>
          <w:t>spatial</w:t>
        </w:r>
        <w:r>
          <w:rPr>
            <w:spacing w:val="-4"/>
          </w:rPr>
          <w:t> </w:t>
        </w:r>
        <w:r>
          <w:rPr/>
          <w:t>arrangement</w:t>
        </w:r>
        <w:r>
          <w:rPr>
            <w:spacing w:val="-5"/>
          </w:rPr>
          <w:t> </w:t>
        </w:r>
        <w:r>
          <w:rPr/>
          <w:t>of</w:t>
        </w:r>
        <w:r>
          <w:rPr>
            <w:spacing w:val="-6"/>
          </w:rPr>
          <w:t> </w:t>
        </w:r>
        <w:r>
          <w:rPr/>
          <w:t>snags</w:t>
        </w:r>
        <w:r>
          <w:rPr>
            <w:spacing w:val="-4"/>
          </w:rPr>
          <w:t> </w:t>
        </w:r>
        <w:r>
          <w:rPr/>
          <w:t>by</w:t>
        </w:r>
        <w:r>
          <w:rPr>
            <w:spacing w:val="-2"/>
          </w:rPr>
          <w:t> </w:t>
        </w:r>
        <w:r>
          <w:rPr/>
          <w:t>forest</w:t>
        </w:r>
        <w:r>
          <w:rPr>
            <w:spacing w:val="-6"/>
          </w:rPr>
          <w:t> </w:t>
        </w:r>
        <w:r>
          <w:rPr/>
          <w:t>vegetation</w:t>
        </w:r>
        <w:r>
          <w:rPr>
            <w:spacing w:val="-6"/>
          </w:rPr>
          <w:t> </w:t>
        </w:r>
        <w:r>
          <w:rPr>
            <w:spacing w:val="-2"/>
          </w:rPr>
          <w:t>types</w:t>
        </w:r>
        <w:r>
          <w:rPr/>
          <w:tab/>
        </w:r>
        <w:r>
          <w:rPr>
            <w:spacing w:val="-5"/>
          </w:rPr>
          <w:t>36</w:t>
        </w:r>
      </w:hyperlink>
    </w:p>
    <w:p>
      <w:pPr>
        <w:pStyle w:val="BodyText"/>
        <w:tabs>
          <w:tab w:pos="8767" w:val="left" w:leader="dot"/>
        </w:tabs>
        <w:spacing w:before="1"/>
        <w:ind w:left="360"/>
      </w:pPr>
      <w:hyperlink w:history="true" w:anchor="_bookmark81">
        <w:r>
          <w:rPr/>
          <w:t>T</w:t>
        </w:r>
      </w:hyperlink>
      <w:hyperlink w:history="true" w:anchor="_bookmark81">
        <w:r>
          <w:rPr/>
          <w:t>able</w:t>
        </w:r>
        <w:r>
          <w:rPr>
            <w:spacing w:val="-5"/>
          </w:rPr>
          <w:t> </w:t>
        </w:r>
        <w:r>
          <w:rPr/>
          <w:t>8.</w:t>
        </w:r>
        <w:r>
          <w:rPr>
            <w:spacing w:val="-6"/>
          </w:rPr>
          <w:t> </w:t>
        </w:r>
        <w:r>
          <w:rPr/>
          <w:t>Desired</w:t>
        </w:r>
        <w:r>
          <w:rPr>
            <w:spacing w:val="-4"/>
          </w:rPr>
          <w:t> </w:t>
        </w:r>
        <w:r>
          <w:rPr/>
          <w:t>amounts</w:t>
        </w:r>
        <w:r>
          <w:rPr>
            <w:spacing w:val="-6"/>
          </w:rPr>
          <w:t> </w:t>
        </w:r>
        <w:r>
          <w:rPr/>
          <w:t>of</w:t>
        </w:r>
        <w:r>
          <w:rPr>
            <w:spacing w:val="-3"/>
          </w:rPr>
          <w:t> </w:t>
        </w:r>
        <w:r>
          <w:rPr/>
          <w:t>coarse</w:t>
        </w:r>
        <w:r>
          <w:rPr>
            <w:spacing w:val="-5"/>
          </w:rPr>
          <w:t> </w:t>
        </w:r>
        <w:r>
          <w:rPr/>
          <w:t>woody</w:t>
        </w:r>
        <w:r>
          <w:rPr>
            <w:spacing w:val="-5"/>
          </w:rPr>
          <w:t> </w:t>
        </w:r>
        <w:r>
          <w:rPr/>
          <w:t>debris</w:t>
        </w:r>
        <w:r>
          <w:rPr>
            <w:spacing w:val="-3"/>
          </w:rPr>
          <w:t> </w:t>
        </w:r>
        <w:r>
          <w:rPr/>
          <w:t>(CWD)</w:t>
        </w:r>
        <w:r>
          <w:rPr>
            <w:spacing w:val="-4"/>
          </w:rPr>
          <w:t> </w:t>
        </w:r>
        <w:r>
          <w:rPr/>
          <w:t>by</w:t>
        </w:r>
        <w:r>
          <w:rPr>
            <w:spacing w:val="-4"/>
          </w:rPr>
          <w:t> </w:t>
        </w:r>
        <w:r>
          <w:rPr/>
          <w:t>forest</w:t>
        </w:r>
        <w:r>
          <w:rPr>
            <w:spacing w:val="-5"/>
          </w:rPr>
          <w:t> </w:t>
        </w:r>
        <w:r>
          <w:rPr/>
          <w:t>vegetation</w:t>
        </w:r>
        <w:r>
          <w:rPr>
            <w:spacing w:val="-4"/>
          </w:rPr>
          <w:t> </w:t>
        </w:r>
        <w:r>
          <w:rPr>
            <w:spacing w:val="-2"/>
          </w:rPr>
          <w:t>types</w:t>
        </w:r>
        <w:r>
          <w:rPr/>
          <w:tab/>
        </w:r>
        <w:r>
          <w:rPr>
            <w:spacing w:val="-5"/>
          </w:rPr>
          <w:t>37</w:t>
        </w:r>
      </w:hyperlink>
    </w:p>
    <w:p>
      <w:pPr>
        <w:pStyle w:val="BodyText"/>
        <w:tabs>
          <w:tab w:pos="8767" w:val="left" w:leader="dot"/>
        </w:tabs>
        <w:ind w:left="360"/>
      </w:pPr>
      <w:hyperlink w:history="true" w:anchor="_bookmark82">
        <w:r>
          <w:rPr/>
          <w:t>T</w:t>
        </w:r>
      </w:hyperlink>
      <w:hyperlink w:history="true" w:anchor="_bookmark82">
        <w:r>
          <w:rPr/>
          <w:t>able</w:t>
        </w:r>
        <w:r>
          <w:rPr>
            <w:spacing w:val="-4"/>
          </w:rPr>
          <w:t> </w:t>
        </w:r>
        <w:r>
          <w:rPr/>
          <w:t>9.</w:t>
        </w:r>
        <w:r>
          <w:rPr>
            <w:spacing w:val="-6"/>
          </w:rPr>
          <w:t> </w:t>
        </w:r>
        <w:r>
          <w:rPr/>
          <w:t>Biological</w:t>
        </w:r>
        <w:r>
          <w:rPr>
            <w:spacing w:val="-5"/>
          </w:rPr>
          <w:t> </w:t>
        </w:r>
        <w:r>
          <w:rPr/>
          <w:t>legacy</w:t>
        </w:r>
        <w:r>
          <w:rPr>
            <w:spacing w:val="-5"/>
          </w:rPr>
          <w:t> </w:t>
        </w:r>
        <w:r>
          <w:rPr/>
          <w:t>categories</w:t>
        </w:r>
        <w:r>
          <w:rPr>
            <w:spacing w:val="-4"/>
          </w:rPr>
          <w:t> </w:t>
        </w:r>
        <w:r>
          <w:rPr/>
          <w:t>and</w:t>
        </w:r>
        <w:r>
          <w:rPr>
            <w:spacing w:val="-6"/>
          </w:rPr>
          <w:t> </w:t>
        </w:r>
        <w:r>
          <w:rPr>
            <w:spacing w:val="-2"/>
          </w:rPr>
          <w:t>examples</w:t>
        </w:r>
        <w:r>
          <w:rPr/>
          <w:tab/>
        </w:r>
        <w:r>
          <w:rPr>
            <w:spacing w:val="-5"/>
          </w:rPr>
          <w:t>37</w:t>
        </w:r>
      </w:hyperlink>
    </w:p>
    <w:p>
      <w:pPr>
        <w:pStyle w:val="BodyText"/>
        <w:tabs>
          <w:tab w:pos="8767" w:val="left" w:leader="dot"/>
        </w:tabs>
        <w:ind w:left="360"/>
      </w:pPr>
      <w:hyperlink w:history="true" w:anchor="_bookmark91">
        <w:r>
          <w:rPr/>
          <w:t>T</w:t>
        </w:r>
      </w:hyperlink>
      <w:hyperlink w:history="true" w:anchor="_bookmark91">
        <w:r>
          <w:rPr/>
          <w:t>able</w:t>
        </w:r>
        <w:r>
          <w:rPr>
            <w:spacing w:val="-3"/>
          </w:rPr>
          <w:t> </w:t>
        </w:r>
        <w:r>
          <w:rPr/>
          <w:t>10.</w:t>
        </w:r>
        <w:r>
          <w:rPr>
            <w:spacing w:val="-4"/>
          </w:rPr>
          <w:t> </w:t>
        </w:r>
        <w:r>
          <w:rPr/>
          <w:t>Key</w:t>
        </w:r>
        <w:r>
          <w:rPr>
            <w:spacing w:val="-4"/>
          </w:rPr>
          <w:t> </w:t>
        </w:r>
        <w:r>
          <w:rPr/>
          <w:t>watersheds</w:t>
        </w:r>
        <w:r>
          <w:rPr>
            <w:spacing w:val="-6"/>
          </w:rPr>
          <w:t> </w:t>
        </w:r>
        <w:r>
          <w:rPr/>
          <w:t>on</w:t>
        </w:r>
        <w:r>
          <w:rPr>
            <w:spacing w:val="-4"/>
          </w:rPr>
          <w:t> </w:t>
        </w:r>
        <w:r>
          <w:rPr/>
          <w:t>the</w:t>
        </w:r>
        <w:r>
          <w:rPr>
            <w:spacing w:val="-3"/>
          </w:rPr>
          <w:t> </w:t>
        </w:r>
        <w:r>
          <w:rPr/>
          <w:t>Colville</w:t>
        </w:r>
        <w:r>
          <w:rPr>
            <w:spacing w:val="-3"/>
          </w:rPr>
          <w:t> </w:t>
        </w:r>
        <w:r>
          <w:rPr/>
          <w:t>National</w:t>
        </w:r>
        <w:r>
          <w:rPr>
            <w:spacing w:val="-3"/>
          </w:rPr>
          <w:t> </w:t>
        </w:r>
        <w:r>
          <w:rPr>
            <w:spacing w:val="-2"/>
          </w:rPr>
          <w:t>Forest</w:t>
        </w:r>
        <w:r>
          <w:rPr/>
          <w:tab/>
        </w:r>
        <w:r>
          <w:rPr>
            <w:spacing w:val="-5"/>
          </w:rPr>
          <w:t>46</w:t>
        </w:r>
      </w:hyperlink>
    </w:p>
    <w:p>
      <w:pPr>
        <w:pStyle w:val="BodyText"/>
        <w:tabs>
          <w:tab w:pos="8768" w:val="left" w:leader="dot"/>
        </w:tabs>
        <w:ind w:left="800" w:right="1444" w:hanging="440"/>
      </w:pPr>
      <w:hyperlink w:history="true" w:anchor="_bookmark101">
        <w:r>
          <w:rPr/>
          <w:t>T</w:t>
        </w:r>
      </w:hyperlink>
      <w:hyperlink w:history="true" w:anchor="_bookmark101">
        <w:r>
          <w:rPr/>
          <w:t>able 11. Focal Species to be used for monitoring and Management Indicator Species used to</w:t>
        </w:r>
      </w:hyperlink>
      <w:r>
        <w:rPr/>
        <w:t> </w:t>
      </w:r>
      <w:hyperlink w:history="true" w:anchor="_bookmark101">
        <w:r>
          <w:rPr/>
          <w:t>as</w:t>
        </w:r>
      </w:hyperlink>
      <w:hyperlink w:history="true" w:anchor="_bookmark101">
        <w:r>
          <w:rPr/>
          <w:t>sess</w:t>
        </w:r>
        <w:r>
          <w:rPr>
            <w:spacing w:val="-7"/>
          </w:rPr>
          <w:t> </w:t>
        </w:r>
        <w:r>
          <w:rPr/>
          <w:t>management</w:t>
        </w:r>
        <w:r>
          <w:rPr>
            <w:spacing w:val="-3"/>
          </w:rPr>
          <w:t> </w:t>
        </w:r>
        <w:r>
          <w:rPr>
            <w:spacing w:val="-2"/>
          </w:rPr>
          <w:t>activities</w:t>
        </w:r>
        <w:r>
          <w:rPr/>
          <w:tab/>
        </w:r>
        <w:r>
          <w:rPr>
            <w:spacing w:val="-5"/>
          </w:rPr>
          <w:t>59</w:t>
        </w:r>
      </w:hyperlink>
    </w:p>
    <w:p>
      <w:pPr>
        <w:pStyle w:val="BodyText"/>
        <w:tabs>
          <w:tab w:pos="8768" w:val="left" w:leader="dot"/>
        </w:tabs>
        <w:ind w:left="361"/>
      </w:pPr>
      <w:hyperlink w:history="true" w:anchor="_bookmark104">
        <w:r>
          <w:rPr/>
          <w:t>T</w:t>
        </w:r>
      </w:hyperlink>
      <w:hyperlink w:history="true" w:anchor="_bookmark104">
        <w:r>
          <w:rPr/>
          <w:t>able</w:t>
        </w:r>
        <w:r>
          <w:rPr>
            <w:spacing w:val="-4"/>
          </w:rPr>
          <w:t> </w:t>
        </w:r>
        <w:r>
          <w:rPr/>
          <w:t>12.</w:t>
        </w:r>
        <w:r>
          <w:rPr>
            <w:spacing w:val="-4"/>
          </w:rPr>
          <w:t> </w:t>
        </w:r>
        <w:r>
          <w:rPr/>
          <w:t>Grizzly</w:t>
        </w:r>
        <w:r>
          <w:rPr>
            <w:spacing w:val="-6"/>
          </w:rPr>
          <w:t> </w:t>
        </w:r>
        <w:r>
          <w:rPr/>
          <w:t>bear</w:t>
        </w:r>
        <w:r>
          <w:rPr>
            <w:spacing w:val="-4"/>
          </w:rPr>
          <w:t> </w:t>
        </w:r>
        <w:r>
          <w:rPr/>
          <w:t>seasonal</w:t>
        </w:r>
        <w:r>
          <w:rPr>
            <w:spacing w:val="-4"/>
          </w:rPr>
          <w:t> </w:t>
        </w:r>
        <w:r>
          <w:rPr/>
          <w:t>habitats</w:t>
        </w:r>
        <w:r>
          <w:rPr>
            <w:spacing w:val="-6"/>
          </w:rPr>
          <w:t> </w:t>
        </w:r>
        <w:r>
          <w:rPr>
            <w:spacing w:val="-2"/>
          </w:rPr>
          <w:t>objective</w:t>
        </w:r>
        <w:r>
          <w:rPr/>
          <w:tab/>
        </w:r>
        <w:r>
          <w:rPr>
            <w:spacing w:val="-5"/>
          </w:rPr>
          <w:t>61</w:t>
        </w:r>
      </w:hyperlink>
    </w:p>
    <w:p>
      <w:pPr>
        <w:pStyle w:val="BodyText"/>
        <w:tabs>
          <w:tab w:pos="8768" w:val="left" w:leader="dot"/>
        </w:tabs>
        <w:spacing w:before="1"/>
        <w:ind w:left="361"/>
      </w:pPr>
      <w:hyperlink w:history="true" w:anchor="_bookmark105">
        <w:r>
          <w:rPr/>
          <w:t>T</w:t>
        </w:r>
      </w:hyperlink>
      <w:hyperlink w:history="true" w:anchor="_bookmark105">
        <w:r>
          <w:rPr/>
          <w:t>able</w:t>
        </w:r>
        <w:r>
          <w:rPr>
            <w:spacing w:val="-3"/>
          </w:rPr>
          <w:t> </w:t>
        </w:r>
        <w:r>
          <w:rPr/>
          <w:t>13.</w:t>
        </w:r>
        <w:r>
          <w:rPr>
            <w:spacing w:val="-4"/>
          </w:rPr>
          <w:t> </w:t>
        </w:r>
        <w:r>
          <w:rPr/>
          <w:t>Surrogate</w:t>
        </w:r>
        <w:r>
          <w:rPr>
            <w:spacing w:val="-5"/>
          </w:rPr>
          <w:t> </w:t>
        </w:r>
        <w:r>
          <w:rPr/>
          <w:t>species</w:t>
        </w:r>
        <w:r>
          <w:rPr>
            <w:spacing w:val="-6"/>
          </w:rPr>
          <w:t> </w:t>
        </w:r>
        <w:r>
          <w:rPr/>
          <w:t>habitat</w:t>
        </w:r>
        <w:r>
          <w:rPr>
            <w:spacing w:val="-3"/>
          </w:rPr>
          <w:t> </w:t>
        </w:r>
        <w:r>
          <w:rPr/>
          <w:t>–</w:t>
        </w:r>
        <w:r>
          <w:rPr>
            <w:spacing w:val="-5"/>
          </w:rPr>
          <w:t> </w:t>
        </w:r>
        <w:r>
          <w:rPr/>
          <w:t>watersheds</w:t>
        </w:r>
        <w:r>
          <w:rPr>
            <w:spacing w:val="-4"/>
          </w:rPr>
          <w:t> </w:t>
        </w:r>
        <w:r>
          <w:rPr/>
          <w:t>for</w:t>
        </w:r>
        <w:r>
          <w:rPr>
            <w:spacing w:val="-5"/>
          </w:rPr>
          <w:t> </w:t>
        </w:r>
        <w:r>
          <w:rPr>
            <w:spacing w:val="-2"/>
          </w:rPr>
          <w:t>treatment</w:t>
        </w:r>
        <w:r>
          <w:rPr/>
          <w:tab/>
        </w:r>
        <w:r>
          <w:rPr>
            <w:spacing w:val="-5"/>
          </w:rPr>
          <w:t>61</w:t>
        </w:r>
      </w:hyperlink>
    </w:p>
    <w:p>
      <w:pPr>
        <w:pStyle w:val="BodyText"/>
        <w:tabs>
          <w:tab w:pos="8768" w:val="left" w:leader="dot"/>
        </w:tabs>
        <w:spacing w:line="268" w:lineRule="exact"/>
        <w:ind w:left="361"/>
      </w:pPr>
      <w:hyperlink w:history="true" w:anchor="_bookmark107">
        <w:r>
          <w:rPr/>
          <w:t>T</w:t>
        </w:r>
      </w:hyperlink>
      <w:hyperlink w:history="true" w:anchor="_bookmark107">
        <w:r>
          <w:rPr/>
          <w:t>able</w:t>
        </w:r>
        <w:r>
          <w:rPr>
            <w:spacing w:val="-3"/>
          </w:rPr>
          <w:t> </w:t>
        </w:r>
        <w:r>
          <w:rPr/>
          <w:t>14.</w:t>
        </w:r>
        <w:r>
          <w:rPr>
            <w:spacing w:val="-3"/>
          </w:rPr>
          <w:t> </w:t>
        </w:r>
        <w:r>
          <w:rPr/>
          <w:t>Timing</w:t>
        </w:r>
        <w:r>
          <w:rPr>
            <w:spacing w:val="-4"/>
          </w:rPr>
          <w:t> </w:t>
        </w:r>
        <w:r>
          <w:rPr/>
          <w:t>standards</w:t>
        </w:r>
        <w:r>
          <w:rPr>
            <w:spacing w:val="-5"/>
          </w:rPr>
          <w:t> </w:t>
        </w:r>
        <w:r>
          <w:rPr/>
          <w:t>for</w:t>
        </w:r>
        <w:r>
          <w:rPr>
            <w:spacing w:val="-3"/>
          </w:rPr>
          <w:t> </w:t>
        </w:r>
        <w:r>
          <w:rPr/>
          <w:t>protection</w:t>
        </w:r>
        <w:r>
          <w:rPr>
            <w:spacing w:val="-6"/>
          </w:rPr>
          <w:t> </w:t>
        </w:r>
        <w:r>
          <w:rPr/>
          <w:t>of</w:t>
        </w:r>
        <w:r>
          <w:rPr>
            <w:spacing w:val="-3"/>
          </w:rPr>
          <w:t> </w:t>
        </w:r>
        <w:r>
          <w:rPr/>
          <w:t>land</w:t>
        </w:r>
        <w:r>
          <w:rPr>
            <w:spacing w:val="-4"/>
          </w:rPr>
          <w:t> </w:t>
        </w:r>
        <w:r>
          <w:rPr/>
          <w:t>bird</w:t>
        </w:r>
        <w:r>
          <w:rPr>
            <w:spacing w:val="-6"/>
          </w:rPr>
          <w:t> </w:t>
        </w:r>
        <w:r>
          <w:rPr/>
          <w:t>species</w:t>
        </w:r>
        <w:r>
          <w:rPr>
            <w:spacing w:val="-3"/>
          </w:rPr>
          <w:t> </w:t>
        </w:r>
        <w:r>
          <w:rPr/>
          <w:t>nest</w:t>
        </w:r>
        <w:r>
          <w:rPr>
            <w:spacing w:val="-2"/>
          </w:rPr>
          <w:t> sites</w:t>
        </w:r>
        <w:r>
          <w:rPr/>
          <w:tab/>
        </w:r>
        <w:r>
          <w:rPr>
            <w:spacing w:val="-5"/>
          </w:rPr>
          <w:t>62</w:t>
        </w:r>
      </w:hyperlink>
    </w:p>
    <w:p>
      <w:pPr>
        <w:pStyle w:val="BodyText"/>
        <w:tabs>
          <w:tab w:pos="8768" w:val="left" w:leader="dot"/>
        </w:tabs>
        <w:ind w:left="800" w:right="1444" w:hanging="440"/>
      </w:pPr>
      <w:hyperlink w:history="true" w:anchor="_bookmark108">
        <w:r>
          <w:rPr/>
          <w:t>T</w:t>
        </w:r>
      </w:hyperlink>
      <w:hyperlink w:history="true" w:anchor="_bookmark108">
        <w:r>
          <w:rPr/>
          <w:t>able 15. Grizzly bear habitat standards for the shared bear management units of the Colville</w:t>
        </w:r>
      </w:hyperlink>
      <w:r>
        <w:rPr/>
        <w:t> </w:t>
      </w:r>
      <w:hyperlink w:history="true" w:anchor="_bookmark108">
        <w:r>
          <w:rPr/>
          <w:t>a</w:t>
        </w:r>
      </w:hyperlink>
      <w:hyperlink w:history="true" w:anchor="_bookmark108">
        <w:r>
          <w:rPr/>
          <w:t>nd</w:t>
        </w:r>
        <w:r>
          <w:rPr>
            <w:spacing w:val="-7"/>
          </w:rPr>
          <w:t> </w:t>
        </w:r>
        <w:r>
          <w:rPr/>
          <w:t>Idaho</w:t>
        </w:r>
        <w:r>
          <w:rPr>
            <w:spacing w:val="-4"/>
          </w:rPr>
          <w:t> </w:t>
        </w:r>
        <w:r>
          <w:rPr/>
          <w:t>Panhandle</w:t>
        </w:r>
        <w:r>
          <w:rPr>
            <w:spacing w:val="-4"/>
          </w:rPr>
          <w:t> </w:t>
        </w:r>
        <w:r>
          <w:rPr/>
          <w:t>National</w:t>
        </w:r>
        <w:r>
          <w:rPr>
            <w:spacing w:val="-5"/>
          </w:rPr>
          <w:t> </w:t>
        </w:r>
        <w:r>
          <w:rPr>
            <w:spacing w:val="-2"/>
          </w:rPr>
          <w:t>Forests</w:t>
        </w:r>
        <w:r>
          <w:rPr/>
          <w:tab/>
        </w:r>
        <w:r>
          <w:rPr>
            <w:spacing w:val="-5"/>
          </w:rPr>
          <w:t>63</w:t>
        </w:r>
      </w:hyperlink>
    </w:p>
    <w:p>
      <w:pPr>
        <w:pStyle w:val="BodyText"/>
        <w:tabs>
          <w:tab w:pos="8768" w:val="left" w:leader="dot"/>
        </w:tabs>
        <w:ind w:left="361"/>
      </w:pPr>
      <w:hyperlink w:history="true" w:anchor="_bookmark111">
        <w:r>
          <w:rPr/>
          <w:t>T</w:t>
        </w:r>
      </w:hyperlink>
      <w:hyperlink w:history="true" w:anchor="_bookmark111">
        <w:r>
          <w:rPr/>
          <w:t>able</w:t>
        </w:r>
        <w:r>
          <w:rPr>
            <w:spacing w:val="-3"/>
          </w:rPr>
          <w:t> </w:t>
        </w:r>
        <w:r>
          <w:rPr/>
          <w:t>16.</w:t>
        </w:r>
        <w:r>
          <w:rPr>
            <w:spacing w:val="-2"/>
          </w:rPr>
          <w:t> </w:t>
        </w:r>
        <w:r>
          <w:rPr/>
          <w:t>Timing</w:t>
        </w:r>
        <w:r>
          <w:rPr>
            <w:spacing w:val="-4"/>
          </w:rPr>
          <w:t> </w:t>
        </w:r>
        <w:r>
          <w:rPr/>
          <w:t>guidelines</w:t>
        </w:r>
        <w:r>
          <w:rPr>
            <w:spacing w:val="-5"/>
          </w:rPr>
          <w:t> </w:t>
        </w:r>
        <w:r>
          <w:rPr/>
          <w:t>for</w:t>
        </w:r>
        <w:r>
          <w:rPr>
            <w:spacing w:val="-3"/>
          </w:rPr>
          <w:t> </w:t>
        </w:r>
        <w:r>
          <w:rPr/>
          <w:t>protection</w:t>
        </w:r>
        <w:r>
          <w:rPr>
            <w:spacing w:val="-4"/>
          </w:rPr>
          <w:t> </w:t>
        </w:r>
        <w:r>
          <w:rPr/>
          <w:t>of</w:t>
        </w:r>
        <w:r>
          <w:rPr>
            <w:spacing w:val="-5"/>
          </w:rPr>
          <w:t> </w:t>
        </w:r>
        <w:r>
          <w:rPr/>
          <w:t>bird</w:t>
        </w:r>
        <w:r>
          <w:rPr>
            <w:spacing w:val="-4"/>
          </w:rPr>
          <w:t> </w:t>
        </w:r>
        <w:r>
          <w:rPr/>
          <w:t>nest</w:t>
        </w:r>
        <w:r>
          <w:rPr>
            <w:spacing w:val="-6"/>
          </w:rPr>
          <w:t> </w:t>
        </w:r>
        <w:r>
          <w:rPr>
            <w:spacing w:val="-2"/>
          </w:rPr>
          <w:t>sites</w:t>
        </w:r>
        <w:r>
          <w:rPr/>
          <w:tab/>
        </w:r>
        <w:r>
          <w:rPr>
            <w:spacing w:val="-5"/>
          </w:rPr>
          <w:t>66</w:t>
        </w:r>
      </w:hyperlink>
    </w:p>
    <w:p>
      <w:pPr>
        <w:pStyle w:val="BodyText"/>
        <w:tabs>
          <w:tab w:pos="8768" w:val="left" w:leader="dot"/>
        </w:tabs>
        <w:ind w:left="361"/>
      </w:pPr>
      <w:hyperlink w:history="true" w:anchor="_bookmark167">
        <w:r>
          <w:rPr/>
          <w:t>T</w:t>
        </w:r>
      </w:hyperlink>
      <w:hyperlink w:history="true" w:anchor="_bookmark167">
        <w:r>
          <w:rPr/>
          <w:t>able</w:t>
        </w:r>
        <w:r>
          <w:rPr>
            <w:spacing w:val="-6"/>
          </w:rPr>
          <w:t> </w:t>
        </w:r>
        <w:r>
          <w:rPr/>
          <w:t>17.</w:t>
        </w:r>
        <w:r>
          <w:rPr>
            <w:spacing w:val="-4"/>
          </w:rPr>
          <w:t> </w:t>
        </w:r>
        <w:r>
          <w:rPr/>
          <w:t>Colville</w:t>
        </w:r>
        <w:r>
          <w:rPr>
            <w:spacing w:val="-3"/>
          </w:rPr>
          <w:t> </w:t>
        </w:r>
        <w:r>
          <w:rPr/>
          <w:t>National</w:t>
        </w:r>
        <w:r>
          <w:rPr>
            <w:spacing w:val="-7"/>
          </w:rPr>
          <w:t> </w:t>
        </w:r>
        <w:r>
          <w:rPr/>
          <w:t>Forest</w:t>
        </w:r>
        <w:r>
          <w:rPr>
            <w:spacing w:val="-6"/>
          </w:rPr>
          <w:t> </w:t>
        </w:r>
        <w:r>
          <w:rPr/>
          <w:t>management</w:t>
        </w:r>
        <w:r>
          <w:rPr>
            <w:spacing w:val="-3"/>
          </w:rPr>
          <w:t> </w:t>
        </w:r>
        <w:r>
          <w:rPr/>
          <w:t>areas</w:t>
        </w:r>
        <w:r>
          <w:rPr>
            <w:spacing w:val="-6"/>
          </w:rPr>
          <w:t> </w:t>
        </w:r>
        <w:r>
          <w:rPr/>
          <w:t>with</w:t>
        </w:r>
        <w:r>
          <w:rPr>
            <w:spacing w:val="-6"/>
          </w:rPr>
          <w:t> </w:t>
        </w:r>
        <w:r>
          <w:rPr/>
          <w:t>special</w:t>
        </w:r>
        <w:r>
          <w:rPr>
            <w:spacing w:val="-6"/>
          </w:rPr>
          <w:t> </w:t>
        </w:r>
        <w:r>
          <w:rPr>
            <w:spacing w:val="-2"/>
          </w:rPr>
          <w:t>designations</w:t>
        </w:r>
        <w:r>
          <w:rPr/>
          <w:tab/>
        </w:r>
        <w:r>
          <w:rPr>
            <w:spacing w:val="-5"/>
          </w:rPr>
          <w:t>94</w:t>
        </w:r>
      </w:hyperlink>
    </w:p>
    <w:p>
      <w:pPr>
        <w:pStyle w:val="BodyText"/>
        <w:tabs>
          <w:tab w:pos="8768" w:val="left" w:leader="dot"/>
        </w:tabs>
        <w:ind w:left="361"/>
      </w:pPr>
      <w:hyperlink w:history="true" w:anchor="_bookmark175">
        <w:r>
          <w:rPr/>
          <w:t>T</w:t>
        </w:r>
      </w:hyperlink>
      <w:hyperlink w:history="true" w:anchor="_bookmark175">
        <w:r>
          <w:rPr/>
          <w:t>able</w:t>
        </w:r>
        <w:r>
          <w:rPr>
            <w:spacing w:val="-4"/>
          </w:rPr>
          <w:t> </w:t>
        </w:r>
        <w:r>
          <w:rPr/>
          <w:t>18.</w:t>
        </w:r>
        <w:r>
          <w:rPr>
            <w:spacing w:val="-4"/>
          </w:rPr>
          <w:t> </w:t>
        </w:r>
        <w:r>
          <w:rPr/>
          <w:t>Suitable</w:t>
        </w:r>
        <w:r>
          <w:rPr>
            <w:spacing w:val="-6"/>
          </w:rPr>
          <w:t> </w:t>
        </w:r>
        <w:r>
          <w:rPr/>
          <w:t>uses</w:t>
        </w:r>
        <w:r>
          <w:rPr>
            <w:spacing w:val="-4"/>
          </w:rPr>
          <w:t> </w:t>
        </w:r>
        <w:r>
          <w:rPr/>
          <w:t>for</w:t>
        </w:r>
        <w:r>
          <w:rPr>
            <w:spacing w:val="-7"/>
          </w:rPr>
          <w:t> </w:t>
        </w:r>
        <w:r>
          <w:rPr/>
          <w:t>Administrative</w:t>
        </w:r>
        <w:r>
          <w:rPr>
            <w:spacing w:val="-3"/>
          </w:rPr>
          <w:t> </w:t>
        </w:r>
        <w:r>
          <w:rPr/>
          <w:t>and</w:t>
        </w:r>
        <w:r>
          <w:rPr>
            <w:spacing w:val="-7"/>
          </w:rPr>
          <w:t> </w:t>
        </w:r>
        <w:r>
          <w:rPr/>
          <w:t>Recreation</w:t>
        </w:r>
        <w:r>
          <w:rPr>
            <w:spacing w:val="-5"/>
          </w:rPr>
          <w:t> </w:t>
        </w:r>
        <w:r>
          <w:rPr/>
          <w:t>Sites</w:t>
        </w:r>
        <w:r>
          <w:rPr>
            <w:spacing w:val="-6"/>
          </w:rPr>
          <w:t> </w:t>
        </w:r>
        <w:r>
          <w:rPr/>
          <w:t>Management</w:t>
        </w:r>
        <w:r>
          <w:rPr>
            <w:spacing w:val="-3"/>
          </w:rPr>
          <w:t> </w:t>
        </w:r>
        <w:r>
          <w:rPr>
            <w:spacing w:val="-2"/>
          </w:rPr>
          <w:t>Areas</w:t>
        </w:r>
        <w:r>
          <w:rPr/>
          <w:tab/>
        </w:r>
        <w:r>
          <w:rPr>
            <w:spacing w:val="-5"/>
          </w:rPr>
          <w:t>98</w:t>
        </w:r>
      </w:hyperlink>
    </w:p>
    <w:p>
      <w:pPr>
        <w:pStyle w:val="BodyText"/>
        <w:tabs>
          <w:tab w:pos="8657" w:val="left" w:leader="dot"/>
        </w:tabs>
        <w:ind w:left="361"/>
      </w:pPr>
      <w:hyperlink w:history="true" w:anchor="_bookmark181">
        <w:r>
          <w:rPr/>
          <w:t>T</w:t>
        </w:r>
      </w:hyperlink>
      <w:hyperlink w:history="true" w:anchor="_bookmark181">
        <w:r>
          <w:rPr/>
          <w:t>able</w:t>
        </w:r>
        <w:r>
          <w:rPr>
            <w:spacing w:val="-4"/>
          </w:rPr>
          <w:t> </w:t>
        </w:r>
        <w:r>
          <w:rPr/>
          <w:t>19.</w:t>
        </w:r>
        <w:r>
          <w:rPr>
            <w:spacing w:val="-4"/>
          </w:rPr>
          <w:t> </w:t>
        </w:r>
        <w:r>
          <w:rPr/>
          <w:t>Suitable</w:t>
        </w:r>
        <w:r>
          <w:rPr>
            <w:spacing w:val="-6"/>
          </w:rPr>
          <w:t> </w:t>
        </w:r>
        <w:r>
          <w:rPr/>
          <w:t>uses</w:t>
        </w:r>
        <w:r>
          <w:rPr>
            <w:spacing w:val="-5"/>
          </w:rPr>
          <w:t> </w:t>
        </w:r>
        <w:r>
          <w:rPr/>
          <w:t>for</w:t>
        </w:r>
        <w:r>
          <w:rPr>
            <w:spacing w:val="-6"/>
          </w:rPr>
          <w:t> </w:t>
        </w:r>
        <w:r>
          <w:rPr/>
          <w:t>Backcountry</w:t>
        </w:r>
        <w:r>
          <w:rPr>
            <w:spacing w:val="-5"/>
          </w:rPr>
          <w:t> </w:t>
        </w:r>
        <w:r>
          <w:rPr/>
          <w:t>Management</w:t>
        </w:r>
        <w:r>
          <w:rPr>
            <w:spacing w:val="-6"/>
          </w:rPr>
          <w:t> </w:t>
        </w:r>
        <w:r>
          <w:rPr>
            <w:spacing w:val="-2"/>
          </w:rPr>
          <w:t>Areas</w:t>
        </w:r>
        <w:r>
          <w:rPr/>
          <w:tab/>
        </w:r>
        <w:r>
          <w:rPr>
            <w:spacing w:val="-5"/>
          </w:rPr>
          <w:t>102</w:t>
        </w:r>
      </w:hyperlink>
    </w:p>
    <w:p>
      <w:pPr>
        <w:pStyle w:val="BodyText"/>
        <w:tabs>
          <w:tab w:pos="8657" w:val="left" w:leader="dot"/>
        </w:tabs>
        <w:ind w:left="361"/>
      </w:pPr>
      <w:hyperlink w:history="true" w:anchor="_bookmark187">
        <w:r>
          <w:rPr/>
          <w:t>T</w:t>
        </w:r>
      </w:hyperlink>
      <w:hyperlink w:history="true" w:anchor="_bookmark187">
        <w:r>
          <w:rPr/>
          <w:t>able</w:t>
        </w:r>
        <w:r>
          <w:rPr>
            <w:spacing w:val="-6"/>
          </w:rPr>
          <w:t> </w:t>
        </w:r>
        <w:r>
          <w:rPr/>
          <w:t>20.</w:t>
        </w:r>
        <w:r>
          <w:rPr>
            <w:spacing w:val="-4"/>
          </w:rPr>
          <w:t> </w:t>
        </w:r>
        <w:r>
          <w:rPr/>
          <w:t>Suitable</w:t>
        </w:r>
        <w:r>
          <w:rPr>
            <w:spacing w:val="-6"/>
          </w:rPr>
          <w:t> </w:t>
        </w:r>
        <w:r>
          <w:rPr/>
          <w:t>uses</w:t>
        </w:r>
        <w:r>
          <w:rPr>
            <w:spacing w:val="-4"/>
          </w:rPr>
          <w:t> </w:t>
        </w:r>
        <w:r>
          <w:rPr/>
          <w:t>for</w:t>
        </w:r>
        <w:r>
          <w:rPr>
            <w:spacing w:val="-6"/>
          </w:rPr>
          <w:t> </w:t>
        </w:r>
        <w:r>
          <w:rPr/>
          <w:t>Backcountry</w:t>
        </w:r>
        <w:r>
          <w:rPr>
            <w:spacing w:val="-5"/>
          </w:rPr>
          <w:t> </w:t>
        </w:r>
        <w:r>
          <w:rPr/>
          <w:t>Motorized</w:t>
        </w:r>
        <w:r>
          <w:rPr>
            <w:spacing w:val="-7"/>
          </w:rPr>
          <w:t> </w:t>
        </w:r>
        <w:r>
          <w:rPr/>
          <w:t>Management</w:t>
        </w:r>
        <w:r>
          <w:rPr>
            <w:spacing w:val="-5"/>
          </w:rPr>
          <w:t> </w:t>
        </w:r>
        <w:r>
          <w:rPr>
            <w:spacing w:val="-2"/>
          </w:rPr>
          <w:t>Areas</w:t>
        </w:r>
        <w:r>
          <w:rPr/>
          <w:tab/>
        </w:r>
        <w:r>
          <w:rPr>
            <w:spacing w:val="-5"/>
          </w:rPr>
          <w:t>105</w:t>
        </w:r>
      </w:hyperlink>
    </w:p>
    <w:p>
      <w:pPr>
        <w:pStyle w:val="BodyText"/>
        <w:tabs>
          <w:tab w:pos="8657" w:val="left" w:leader="dot"/>
        </w:tabs>
        <w:ind w:left="361"/>
      </w:pPr>
      <w:hyperlink w:history="true" w:anchor="_bookmark194">
        <w:r>
          <w:rPr/>
          <w:t>T</w:t>
        </w:r>
      </w:hyperlink>
      <w:hyperlink w:history="true" w:anchor="_bookmark194">
        <w:r>
          <w:rPr/>
          <w:t>able</w:t>
        </w:r>
        <w:r>
          <w:rPr>
            <w:spacing w:val="-4"/>
          </w:rPr>
          <w:t> </w:t>
        </w:r>
        <w:r>
          <w:rPr/>
          <w:t>21.</w:t>
        </w:r>
        <w:r>
          <w:rPr>
            <w:spacing w:val="-3"/>
          </w:rPr>
          <w:t> </w:t>
        </w:r>
        <w:r>
          <w:rPr/>
          <w:t>Suitable</w:t>
        </w:r>
        <w:r>
          <w:rPr>
            <w:spacing w:val="-6"/>
          </w:rPr>
          <w:t> </w:t>
        </w:r>
        <w:r>
          <w:rPr/>
          <w:t>uses</w:t>
        </w:r>
        <w:r>
          <w:rPr>
            <w:spacing w:val="-4"/>
          </w:rPr>
          <w:t> </w:t>
        </w:r>
        <w:r>
          <w:rPr/>
          <w:t>for</w:t>
        </w:r>
        <w:r>
          <w:rPr>
            <w:spacing w:val="-6"/>
          </w:rPr>
          <w:t> </w:t>
        </w:r>
        <w:r>
          <w:rPr/>
          <w:t>Focused</w:t>
        </w:r>
        <w:r>
          <w:rPr>
            <w:spacing w:val="-5"/>
          </w:rPr>
          <w:t> </w:t>
        </w:r>
        <w:r>
          <w:rPr/>
          <w:t>Restoration</w:t>
        </w:r>
        <w:r>
          <w:rPr>
            <w:spacing w:val="-6"/>
          </w:rPr>
          <w:t> </w:t>
        </w:r>
        <w:r>
          <w:rPr/>
          <w:t>Management</w:t>
        </w:r>
        <w:r>
          <w:rPr>
            <w:spacing w:val="-3"/>
          </w:rPr>
          <w:t> </w:t>
        </w:r>
        <w:r>
          <w:rPr>
            <w:spacing w:val="-4"/>
          </w:rPr>
          <w:t>Area</w:t>
        </w:r>
        <w:r>
          <w:rPr/>
          <w:tab/>
        </w:r>
        <w:r>
          <w:rPr>
            <w:spacing w:val="-5"/>
          </w:rPr>
          <w:t>108</w:t>
        </w:r>
      </w:hyperlink>
    </w:p>
    <w:p>
      <w:pPr>
        <w:pStyle w:val="BodyText"/>
        <w:tabs>
          <w:tab w:pos="8658" w:val="left" w:leader="dot"/>
        </w:tabs>
        <w:ind w:left="361"/>
      </w:pPr>
      <w:hyperlink w:history="true" w:anchor="_bookmark199">
        <w:r>
          <w:rPr/>
          <w:t>T</w:t>
        </w:r>
      </w:hyperlink>
      <w:hyperlink w:history="true" w:anchor="_bookmark199">
        <w:r>
          <w:rPr/>
          <w:t>able</w:t>
        </w:r>
        <w:r>
          <w:rPr>
            <w:spacing w:val="-4"/>
          </w:rPr>
          <w:t> </w:t>
        </w:r>
        <w:r>
          <w:rPr/>
          <w:t>22.</w:t>
        </w:r>
        <w:r>
          <w:rPr>
            <w:spacing w:val="-4"/>
          </w:rPr>
          <w:t> </w:t>
        </w:r>
        <w:r>
          <w:rPr/>
          <w:t>Suitable</w:t>
        </w:r>
        <w:r>
          <w:rPr>
            <w:spacing w:val="-7"/>
          </w:rPr>
          <w:t> </w:t>
        </w:r>
        <w:r>
          <w:rPr/>
          <w:t>uses</w:t>
        </w:r>
        <w:r>
          <w:rPr>
            <w:spacing w:val="-4"/>
          </w:rPr>
          <w:t> </w:t>
        </w:r>
        <w:r>
          <w:rPr/>
          <w:t>for</w:t>
        </w:r>
        <w:r>
          <w:rPr>
            <w:spacing w:val="-6"/>
          </w:rPr>
          <w:t> </w:t>
        </w:r>
        <w:r>
          <w:rPr/>
          <w:t>General</w:t>
        </w:r>
        <w:r>
          <w:rPr>
            <w:spacing w:val="-5"/>
          </w:rPr>
          <w:t> </w:t>
        </w:r>
        <w:r>
          <w:rPr/>
          <w:t>Restoration</w:t>
        </w:r>
        <w:r>
          <w:rPr>
            <w:spacing w:val="-7"/>
          </w:rPr>
          <w:t> </w:t>
        </w:r>
        <w:r>
          <w:rPr/>
          <w:t>Management</w:t>
        </w:r>
        <w:r>
          <w:rPr>
            <w:spacing w:val="-3"/>
          </w:rPr>
          <w:t> </w:t>
        </w:r>
        <w:r>
          <w:rPr>
            <w:spacing w:val="-4"/>
          </w:rPr>
          <w:t>Area</w:t>
        </w:r>
        <w:r>
          <w:rPr/>
          <w:tab/>
        </w:r>
        <w:r>
          <w:rPr>
            <w:spacing w:val="-5"/>
          </w:rPr>
          <w:t>110</w:t>
        </w:r>
      </w:hyperlink>
    </w:p>
    <w:p>
      <w:pPr>
        <w:pStyle w:val="BodyText"/>
        <w:tabs>
          <w:tab w:pos="8658" w:val="left" w:leader="dot"/>
        </w:tabs>
        <w:spacing w:line="268" w:lineRule="exact"/>
        <w:ind w:left="361"/>
      </w:pPr>
      <w:hyperlink w:history="true" w:anchor="_bookmark202">
        <w:r>
          <w:rPr/>
          <w:t>T</w:t>
        </w:r>
      </w:hyperlink>
      <w:hyperlink w:history="true" w:anchor="_bookmark202">
        <w:r>
          <w:rPr/>
          <w:t>able</w:t>
        </w:r>
        <w:r>
          <w:rPr>
            <w:spacing w:val="-5"/>
          </w:rPr>
          <w:t> </w:t>
        </w:r>
        <w:r>
          <w:rPr/>
          <w:t>23.</w:t>
        </w:r>
        <w:r>
          <w:rPr>
            <w:spacing w:val="-5"/>
          </w:rPr>
          <w:t> </w:t>
        </w:r>
        <w:r>
          <w:rPr/>
          <w:t>Nationally</w:t>
        </w:r>
        <w:r>
          <w:rPr>
            <w:spacing w:val="-6"/>
          </w:rPr>
          <w:t> </w:t>
        </w:r>
        <w:r>
          <w:rPr/>
          <w:t>designated</w:t>
        </w:r>
        <w:r>
          <w:rPr>
            <w:spacing w:val="-6"/>
          </w:rPr>
          <w:t> </w:t>
        </w:r>
        <w:r>
          <w:rPr>
            <w:spacing w:val="-2"/>
          </w:rPr>
          <w:t>trails</w:t>
        </w:r>
        <w:r>
          <w:rPr/>
          <w:tab/>
        </w:r>
        <w:r>
          <w:rPr>
            <w:spacing w:val="-5"/>
          </w:rPr>
          <w:t>112</w:t>
        </w:r>
      </w:hyperlink>
    </w:p>
    <w:p>
      <w:pPr>
        <w:pStyle w:val="BodyText"/>
        <w:tabs>
          <w:tab w:pos="8658" w:val="left" w:leader="dot"/>
        </w:tabs>
        <w:spacing w:line="268" w:lineRule="exact"/>
        <w:ind w:left="361"/>
      </w:pPr>
      <w:hyperlink w:history="true" w:anchor="_bookmark208">
        <w:r>
          <w:rPr/>
          <w:t>T</w:t>
        </w:r>
      </w:hyperlink>
      <w:hyperlink w:history="true" w:anchor="_bookmark208">
        <w:r>
          <w:rPr/>
          <w:t>able</w:t>
        </w:r>
        <w:r>
          <w:rPr>
            <w:spacing w:val="-4"/>
          </w:rPr>
          <w:t> </w:t>
        </w:r>
        <w:r>
          <w:rPr/>
          <w:t>24.</w:t>
        </w:r>
        <w:r>
          <w:rPr>
            <w:spacing w:val="-5"/>
          </w:rPr>
          <w:t> </w:t>
        </w:r>
        <w:r>
          <w:rPr/>
          <w:t>Suitable</w:t>
        </w:r>
        <w:r>
          <w:rPr>
            <w:spacing w:val="-6"/>
          </w:rPr>
          <w:t> </w:t>
        </w:r>
        <w:r>
          <w:rPr/>
          <w:t>uses</w:t>
        </w:r>
        <w:r>
          <w:rPr>
            <w:spacing w:val="-5"/>
          </w:rPr>
          <w:t> </w:t>
        </w:r>
        <w:r>
          <w:rPr/>
          <w:t>for</w:t>
        </w:r>
        <w:r>
          <w:rPr>
            <w:spacing w:val="-6"/>
          </w:rPr>
          <w:t> </w:t>
        </w:r>
        <w:r>
          <w:rPr/>
          <w:t>Nationally</w:t>
        </w:r>
        <w:r>
          <w:rPr>
            <w:spacing w:val="-6"/>
          </w:rPr>
          <w:t> </w:t>
        </w:r>
        <w:r>
          <w:rPr/>
          <w:t>Designated</w:t>
        </w:r>
        <w:r>
          <w:rPr>
            <w:spacing w:val="-5"/>
          </w:rPr>
          <w:t> </w:t>
        </w:r>
        <w:r>
          <w:rPr/>
          <w:t>Trails</w:t>
        </w:r>
        <w:r>
          <w:rPr>
            <w:spacing w:val="-5"/>
          </w:rPr>
          <w:t> </w:t>
        </w:r>
        <w:r>
          <w:rPr/>
          <w:t>Management</w:t>
        </w:r>
        <w:r>
          <w:rPr>
            <w:spacing w:val="-3"/>
          </w:rPr>
          <w:t> </w:t>
        </w:r>
        <w:r>
          <w:rPr>
            <w:spacing w:val="-2"/>
          </w:rPr>
          <w:t>Areas</w:t>
        </w:r>
        <w:r>
          <w:rPr/>
          <w:tab/>
        </w:r>
        <w:r>
          <w:rPr>
            <w:spacing w:val="-5"/>
          </w:rPr>
          <w:t>115</w:t>
        </w:r>
      </w:hyperlink>
    </w:p>
    <w:p>
      <w:pPr>
        <w:pStyle w:val="BodyText"/>
        <w:tabs>
          <w:tab w:pos="8658" w:val="left" w:leader="dot"/>
        </w:tabs>
        <w:ind w:left="361"/>
      </w:pPr>
      <w:hyperlink w:history="true" w:anchor="_bookmark210">
        <w:r>
          <w:rPr/>
          <w:t>T</w:t>
        </w:r>
      </w:hyperlink>
      <w:hyperlink w:history="true" w:anchor="_bookmark210">
        <w:r>
          <w:rPr/>
          <w:t>able</w:t>
        </w:r>
        <w:r>
          <w:rPr>
            <w:spacing w:val="-6"/>
          </w:rPr>
          <w:t> </w:t>
        </w:r>
        <w:r>
          <w:rPr/>
          <w:t>25.</w:t>
        </w:r>
        <w:r>
          <w:rPr>
            <w:spacing w:val="-4"/>
          </w:rPr>
          <w:t> </w:t>
        </w:r>
        <w:r>
          <w:rPr/>
          <w:t>Colville</w:t>
        </w:r>
        <w:r>
          <w:rPr>
            <w:spacing w:val="-4"/>
          </w:rPr>
          <w:t> </w:t>
        </w:r>
        <w:r>
          <w:rPr/>
          <w:t>National</w:t>
        </w:r>
        <w:r>
          <w:rPr>
            <w:spacing w:val="-7"/>
          </w:rPr>
          <w:t> </w:t>
        </w:r>
        <w:r>
          <w:rPr/>
          <w:t>Forest</w:t>
        </w:r>
        <w:r>
          <w:rPr>
            <w:spacing w:val="-6"/>
          </w:rPr>
          <w:t> </w:t>
        </w:r>
        <w:r>
          <w:rPr/>
          <w:t>research</w:t>
        </w:r>
        <w:r>
          <w:rPr>
            <w:spacing w:val="-5"/>
          </w:rPr>
          <w:t> </w:t>
        </w:r>
        <w:r>
          <w:rPr/>
          <w:t>natural</w:t>
        </w:r>
        <w:r>
          <w:rPr>
            <w:spacing w:val="-7"/>
          </w:rPr>
          <w:t> </w:t>
        </w:r>
        <w:r>
          <w:rPr>
            <w:spacing w:val="-4"/>
          </w:rPr>
          <w:t>areas</w:t>
        </w:r>
        <w:r>
          <w:rPr/>
          <w:tab/>
        </w:r>
        <w:r>
          <w:rPr>
            <w:spacing w:val="-5"/>
          </w:rPr>
          <w:t>116</w:t>
        </w:r>
      </w:hyperlink>
    </w:p>
    <w:p>
      <w:pPr>
        <w:pStyle w:val="BodyText"/>
        <w:tabs>
          <w:tab w:pos="8658" w:val="left" w:leader="dot"/>
        </w:tabs>
        <w:ind w:left="361"/>
      </w:pPr>
      <w:hyperlink w:history="true" w:anchor="_bookmark215">
        <w:r>
          <w:rPr/>
          <w:t>T</w:t>
        </w:r>
      </w:hyperlink>
      <w:hyperlink w:history="true" w:anchor="_bookmark215">
        <w:r>
          <w:rPr/>
          <w:t>able</w:t>
        </w:r>
        <w:r>
          <w:rPr>
            <w:spacing w:val="-5"/>
          </w:rPr>
          <w:t> </w:t>
        </w:r>
        <w:r>
          <w:rPr/>
          <w:t>26.</w:t>
        </w:r>
        <w:r>
          <w:rPr>
            <w:spacing w:val="-4"/>
          </w:rPr>
          <w:t> </w:t>
        </w:r>
        <w:r>
          <w:rPr/>
          <w:t>Suitable</w:t>
        </w:r>
        <w:r>
          <w:rPr>
            <w:spacing w:val="-5"/>
          </w:rPr>
          <w:t> </w:t>
        </w:r>
        <w:r>
          <w:rPr/>
          <w:t>uses</w:t>
        </w:r>
        <w:r>
          <w:rPr>
            <w:spacing w:val="-3"/>
          </w:rPr>
          <w:t> </w:t>
        </w:r>
        <w:r>
          <w:rPr/>
          <w:t>for</w:t>
        </w:r>
        <w:r>
          <w:rPr>
            <w:spacing w:val="-6"/>
          </w:rPr>
          <w:t> </w:t>
        </w:r>
        <w:r>
          <w:rPr/>
          <w:t>Research</w:t>
        </w:r>
        <w:r>
          <w:rPr>
            <w:spacing w:val="-4"/>
          </w:rPr>
          <w:t> </w:t>
        </w:r>
        <w:r>
          <w:rPr/>
          <w:t>Natural</w:t>
        </w:r>
        <w:r>
          <w:rPr>
            <w:spacing w:val="-4"/>
          </w:rPr>
          <w:t> </w:t>
        </w:r>
        <w:r>
          <w:rPr/>
          <w:t>Area</w:t>
        </w:r>
        <w:r>
          <w:rPr>
            <w:spacing w:val="-5"/>
          </w:rPr>
          <w:t> </w:t>
        </w:r>
        <w:r>
          <w:rPr/>
          <w:t>Management</w:t>
        </w:r>
        <w:r>
          <w:rPr>
            <w:spacing w:val="-5"/>
          </w:rPr>
          <w:t> </w:t>
        </w:r>
        <w:r>
          <w:rPr>
            <w:spacing w:val="-2"/>
          </w:rPr>
          <w:t>Areas</w:t>
        </w:r>
        <w:r>
          <w:rPr/>
          <w:tab/>
        </w:r>
        <w:r>
          <w:rPr>
            <w:spacing w:val="-5"/>
          </w:rPr>
          <w:t>118</w:t>
        </w:r>
      </w:hyperlink>
    </w:p>
    <w:p>
      <w:pPr>
        <w:pStyle w:val="BodyText"/>
        <w:tabs>
          <w:tab w:pos="8658" w:val="left" w:leader="dot"/>
        </w:tabs>
        <w:spacing w:before="1"/>
        <w:ind w:left="361"/>
      </w:pPr>
      <w:hyperlink w:history="true" w:anchor="_bookmark232">
        <w:r>
          <w:rPr/>
          <w:t>T</w:t>
        </w:r>
      </w:hyperlink>
      <w:hyperlink w:history="true" w:anchor="_bookmark232">
        <w:r>
          <w:rPr/>
          <w:t>able</w:t>
        </w:r>
        <w:r>
          <w:rPr>
            <w:spacing w:val="-3"/>
          </w:rPr>
          <w:t> </w:t>
        </w:r>
        <w:r>
          <w:rPr/>
          <w:t>27.</w:t>
        </w:r>
        <w:r>
          <w:rPr>
            <w:spacing w:val="-4"/>
          </w:rPr>
          <w:t> </w:t>
        </w:r>
        <w:r>
          <w:rPr/>
          <w:t>Suitable</w:t>
        </w:r>
        <w:r>
          <w:rPr>
            <w:spacing w:val="-6"/>
          </w:rPr>
          <w:t> </w:t>
        </w:r>
        <w:r>
          <w:rPr/>
          <w:t>uses</w:t>
        </w:r>
        <w:r>
          <w:rPr>
            <w:spacing w:val="-4"/>
          </w:rPr>
          <w:t> </w:t>
        </w:r>
        <w:r>
          <w:rPr/>
          <w:t>for</w:t>
        </w:r>
        <w:r>
          <w:rPr>
            <w:spacing w:val="-5"/>
          </w:rPr>
          <w:t> </w:t>
        </w:r>
        <w:r>
          <w:rPr/>
          <w:t>Riparian</w:t>
        </w:r>
        <w:r>
          <w:rPr>
            <w:spacing w:val="-5"/>
          </w:rPr>
          <w:t> </w:t>
        </w:r>
        <w:r>
          <w:rPr/>
          <w:t>Management</w:t>
        </w:r>
        <w:r>
          <w:rPr>
            <w:spacing w:val="-5"/>
          </w:rPr>
          <w:t> </w:t>
        </w:r>
        <w:r>
          <w:rPr>
            <w:spacing w:val="-4"/>
          </w:rPr>
          <w:t>Areas</w:t>
        </w:r>
        <w:r>
          <w:rPr/>
          <w:tab/>
        </w:r>
        <w:r>
          <w:rPr>
            <w:spacing w:val="-5"/>
          </w:rPr>
          <w:t>129</w:t>
        </w:r>
      </w:hyperlink>
    </w:p>
    <w:p>
      <w:pPr>
        <w:pStyle w:val="BodyText"/>
        <w:tabs>
          <w:tab w:pos="8658" w:val="left" w:leader="dot"/>
        </w:tabs>
        <w:ind w:left="361"/>
      </w:pPr>
      <w:hyperlink w:history="true" w:anchor="_bookmark234">
        <w:r>
          <w:rPr/>
          <w:t>T</w:t>
        </w:r>
      </w:hyperlink>
      <w:hyperlink w:history="true" w:anchor="_bookmark234">
        <w:r>
          <w:rPr/>
          <w:t>able</w:t>
        </w:r>
        <w:r>
          <w:rPr>
            <w:spacing w:val="-4"/>
          </w:rPr>
          <w:t> </w:t>
        </w:r>
        <w:r>
          <w:rPr/>
          <w:t>28.</w:t>
        </w:r>
        <w:r>
          <w:rPr>
            <w:spacing w:val="-4"/>
          </w:rPr>
          <w:t> </w:t>
        </w:r>
        <w:r>
          <w:rPr/>
          <w:t>Scenic</w:t>
        </w:r>
        <w:r>
          <w:rPr>
            <w:spacing w:val="-4"/>
          </w:rPr>
          <w:t> </w:t>
        </w:r>
        <w:r>
          <w:rPr/>
          <w:t>byways</w:t>
        </w:r>
        <w:r>
          <w:rPr>
            <w:spacing w:val="-6"/>
          </w:rPr>
          <w:t> </w:t>
        </w:r>
        <w:r>
          <w:rPr/>
          <w:t>within</w:t>
        </w:r>
        <w:r>
          <w:rPr>
            <w:spacing w:val="-6"/>
          </w:rPr>
          <w:t> </w:t>
        </w:r>
        <w:r>
          <w:rPr/>
          <w:t>the</w:t>
        </w:r>
        <w:r>
          <w:rPr>
            <w:spacing w:val="-3"/>
          </w:rPr>
          <w:t> </w:t>
        </w:r>
        <w:r>
          <w:rPr/>
          <w:t>Colville</w:t>
        </w:r>
        <w:r>
          <w:rPr>
            <w:spacing w:val="-3"/>
          </w:rPr>
          <w:t> </w:t>
        </w:r>
        <w:r>
          <w:rPr/>
          <w:t>National</w:t>
        </w:r>
        <w:r>
          <w:rPr>
            <w:spacing w:val="-4"/>
          </w:rPr>
          <w:t> </w:t>
        </w:r>
        <w:r>
          <w:rPr>
            <w:spacing w:val="-2"/>
          </w:rPr>
          <w:t>Forest</w:t>
        </w:r>
        <w:r>
          <w:rPr/>
          <w:tab/>
        </w:r>
        <w:r>
          <w:rPr>
            <w:spacing w:val="-5"/>
          </w:rPr>
          <w:t>130</w:t>
        </w:r>
      </w:hyperlink>
    </w:p>
    <w:p>
      <w:pPr>
        <w:pStyle w:val="BodyText"/>
        <w:tabs>
          <w:tab w:pos="8658" w:val="left" w:leader="dot"/>
        </w:tabs>
        <w:ind w:left="361"/>
      </w:pPr>
      <w:hyperlink w:history="true" w:anchor="_bookmark240">
        <w:r>
          <w:rPr/>
          <w:t>T</w:t>
        </w:r>
      </w:hyperlink>
      <w:hyperlink w:history="true" w:anchor="_bookmark240">
        <w:r>
          <w:rPr/>
          <w:t>able</w:t>
        </w:r>
        <w:r>
          <w:rPr>
            <w:spacing w:val="-3"/>
          </w:rPr>
          <w:t> </w:t>
        </w:r>
        <w:r>
          <w:rPr/>
          <w:t>29.</w:t>
        </w:r>
        <w:r>
          <w:rPr>
            <w:spacing w:val="-4"/>
          </w:rPr>
          <w:t> </w:t>
        </w:r>
        <w:r>
          <w:rPr/>
          <w:t>Suitable</w:t>
        </w:r>
        <w:r>
          <w:rPr>
            <w:spacing w:val="-6"/>
          </w:rPr>
          <w:t> </w:t>
        </w:r>
        <w:r>
          <w:rPr/>
          <w:t>uses</w:t>
        </w:r>
        <w:r>
          <w:rPr>
            <w:spacing w:val="-4"/>
          </w:rPr>
          <w:t> </w:t>
        </w:r>
        <w:r>
          <w:rPr/>
          <w:t>for</w:t>
        </w:r>
        <w:r>
          <w:rPr>
            <w:spacing w:val="-6"/>
          </w:rPr>
          <w:t> </w:t>
        </w:r>
        <w:r>
          <w:rPr/>
          <w:t>Scenic</w:t>
        </w:r>
        <w:r>
          <w:rPr>
            <w:spacing w:val="-4"/>
          </w:rPr>
          <w:t> </w:t>
        </w:r>
        <w:r>
          <w:rPr/>
          <w:t>Byways</w:t>
        </w:r>
        <w:r>
          <w:rPr>
            <w:spacing w:val="-5"/>
          </w:rPr>
          <w:t> </w:t>
        </w:r>
        <w:r>
          <w:rPr/>
          <w:t>Management</w:t>
        </w:r>
        <w:r>
          <w:rPr>
            <w:spacing w:val="-3"/>
          </w:rPr>
          <w:t> </w:t>
        </w:r>
        <w:r>
          <w:rPr>
            <w:spacing w:val="-2"/>
          </w:rPr>
          <w:t>Areas</w:t>
        </w:r>
        <w:r>
          <w:rPr/>
          <w:tab/>
        </w:r>
        <w:r>
          <w:rPr>
            <w:spacing w:val="-5"/>
          </w:rPr>
          <w:t>132</w:t>
        </w:r>
      </w:hyperlink>
    </w:p>
    <w:p>
      <w:pPr>
        <w:pStyle w:val="BodyText"/>
        <w:tabs>
          <w:tab w:pos="8658" w:val="left" w:leader="dot"/>
        </w:tabs>
        <w:ind w:left="361"/>
      </w:pPr>
      <w:hyperlink w:history="true" w:anchor="_bookmark248">
        <w:r>
          <w:rPr/>
          <w:t>Ta</w:t>
        </w:r>
      </w:hyperlink>
      <w:hyperlink w:history="true" w:anchor="_bookmark248">
        <w:r>
          <w:rPr/>
          <w:t>ble</w:t>
        </w:r>
        <w:r>
          <w:rPr>
            <w:spacing w:val="-4"/>
          </w:rPr>
          <w:t> </w:t>
        </w:r>
        <w:r>
          <w:rPr/>
          <w:t>30.</w:t>
        </w:r>
        <w:r>
          <w:rPr>
            <w:spacing w:val="-4"/>
          </w:rPr>
          <w:t> </w:t>
        </w:r>
        <w:r>
          <w:rPr/>
          <w:t>Suitable</w:t>
        </w:r>
        <w:r>
          <w:rPr>
            <w:spacing w:val="-5"/>
          </w:rPr>
          <w:t> </w:t>
        </w:r>
        <w:r>
          <w:rPr/>
          <w:t>uses</w:t>
        </w:r>
        <w:r>
          <w:rPr>
            <w:spacing w:val="-5"/>
          </w:rPr>
          <w:t> </w:t>
        </w:r>
        <w:r>
          <w:rPr/>
          <w:t>for</w:t>
        </w:r>
        <w:r>
          <w:rPr>
            <w:spacing w:val="-5"/>
          </w:rPr>
          <w:t> </w:t>
        </w:r>
        <w:r>
          <w:rPr/>
          <w:t>Kettle</w:t>
        </w:r>
        <w:r>
          <w:rPr>
            <w:spacing w:val="-3"/>
          </w:rPr>
          <w:t> </w:t>
        </w:r>
        <w:r>
          <w:rPr/>
          <w:t>Crest</w:t>
        </w:r>
        <w:r>
          <w:rPr>
            <w:spacing w:val="-4"/>
          </w:rPr>
          <w:t> </w:t>
        </w:r>
        <w:r>
          <w:rPr/>
          <w:t>Recreation</w:t>
        </w:r>
        <w:r>
          <w:rPr>
            <w:spacing w:val="-6"/>
          </w:rPr>
          <w:t> </w:t>
        </w:r>
        <w:r>
          <w:rPr/>
          <w:t>Area</w:t>
        </w:r>
        <w:r>
          <w:rPr>
            <w:spacing w:val="-4"/>
          </w:rPr>
          <w:t> </w:t>
        </w:r>
        <w:r>
          <w:rPr/>
          <w:t>Management</w:t>
        </w:r>
        <w:r>
          <w:rPr>
            <w:spacing w:val="-3"/>
          </w:rPr>
          <w:t> </w:t>
        </w:r>
        <w:r>
          <w:rPr>
            <w:spacing w:val="-4"/>
          </w:rPr>
          <w:t>Area</w:t>
        </w:r>
        <w:r>
          <w:rPr/>
          <w:tab/>
        </w:r>
        <w:r>
          <w:rPr>
            <w:spacing w:val="-5"/>
          </w:rPr>
          <w:t>136</w:t>
        </w:r>
      </w:hyperlink>
    </w:p>
    <w:p>
      <w:pPr>
        <w:pStyle w:val="BodyText"/>
        <w:tabs>
          <w:tab w:pos="8658" w:val="left" w:leader="dot"/>
        </w:tabs>
        <w:ind w:left="361"/>
      </w:pPr>
      <w:hyperlink w:history="true" w:anchor="_bookmark251">
        <w:r>
          <w:rPr/>
          <w:t>T</w:t>
        </w:r>
      </w:hyperlink>
      <w:hyperlink w:history="true" w:anchor="_bookmark251">
        <w:r>
          <w:rPr/>
          <w:t>able</w:t>
        </w:r>
        <w:r>
          <w:rPr>
            <w:spacing w:val="-6"/>
          </w:rPr>
          <w:t> </w:t>
        </w:r>
        <w:r>
          <w:rPr/>
          <w:t>31.</w:t>
        </w:r>
        <w:r>
          <w:rPr>
            <w:spacing w:val="-4"/>
          </w:rPr>
          <w:t> </w:t>
        </w:r>
        <w:r>
          <w:rPr/>
          <w:t>Eligible</w:t>
        </w:r>
        <w:r>
          <w:rPr>
            <w:spacing w:val="-5"/>
          </w:rPr>
          <w:t> </w:t>
        </w:r>
        <w:r>
          <w:rPr/>
          <w:t>wild</w:t>
        </w:r>
        <w:r>
          <w:rPr>
            <w:spacing w:val="-5"/>
          </w:rPr>
          <w:t> </w:t>
        </w:r>
        <w:r>
          <w:rPr/>
          <w:t>and</w:t>
        </w:r>
        <w:r>
          <w:rPr>
            <w:spacing w:val="-5"/>
          </w:rPr>
          <w:t> </w:t>
        </w:r>
        <w:r>
          <w:rPr/>
          <w:t>scenic</w:t>
        </w:r>
        <w:r>
          <w:rPr>
            <w:spacing w:val="-4"/>
          </w:rPr>
          <w:t> </w:t>
        </w:r>
        <w:r>
          <w:rPr/>
          <w:t>rivers</w:t>
        </w:r>
        <w:r>
          <w:rPr>
            <w:spacing w:val="-4"/>
          </w:rPr>
          <w:t> </w:t>
        </w:r>
        <w:r>
          <w:rPr/>
          <w:t>by</w:t>
        </w:r>
        <w:r>
          <w:rPr>
            <w:spacing w:val="-3"/>
          </w:rPr>
          <w:t> </w:t>
        </w:r>
        <w:r>
          <w:rPr/>
          <w:t>segment</w:t>
        </w:r>
        <w:r>
          <w:rPr>
            <w:spacing w:val="-4"/>
          </w:rPr>
          <w:t> </w:t>
        </w:r>
        <w:r>
          <w:rPr/>
          <w:t>and</w:t>
        </w:r>
        <w:r>
          <w:rPr>
            <w:spacing w:val="-4"/>
          </w:rPr>
          <w:t> </w:t>
        </w:r>
        <w:r>
          <w:rPr>
            <w:spacing w:val="-2"/>
          </w:rPr>
          <w:t>classification</w:t>
        </w:r>
        <w:r>
          <w:rPr/>
          <w:tab/>
        </w:r>
        <w:r>
          <w:rPr>
            <w:spacing w:val="-5"/>
          </w:rPr>
          <w:t>137</w:t>
        </w:r>
      </w:hyperlink>
    </w:p>
    <w:p>
      <w:pPr>
        <w:pStyle w:val="BodyText"/>
        <w:tabs>
          <w:tab w:pos="8658" w:val="left" w:leader="dot"/>
        </w:tabs>
        <w:ind w:left="361"/>
      </w:pPr>
      <w:hyperlink w:history="true" w:anchor="_bookmark255">
        <w:r>
          <w:rPr/>
          <w:t>T</w:t>
        </w:r>
      </w:hyperlink>
      <w:hyperlink w:history="true" w:anchor="_bookmark255">
        <w:r>
          <w:rPr/>
          <w:t>able</w:t>
        </w:r>
        <w:r>
          <w:rPr>
            <w:spacing w:val="-3"/>
          </w:rPr>
          <w:t> </w:t>
        </w:r>
        <w:r>
          <w:rPr/>
          <w:t>32.</w:t>
        </w:r>
        <w:r>
          <w:rPr>
            <w:spacing w:val="-3"/>
          </w:rPr>
          <w:t> </w:t>
        </w:r>
        <w:r>
          <w:rPr/>
          <w:t>Suitable</w:t>
        </w:r>
        <w:r>
          <w:rPr>
            <w:spacing w:val="-5"/>
          </w:rPr>
          <w:t> </w:t>
        </w:r>
        <w:r>
          <w:rPr/>
          <w:t>uses</w:t>
        </w:r>
        <w:r>
          <w:rPr>
            <w:spacing w:val="-3"/>
          </w:rPr>
          <w:t> </w:t>
        </w:r>
        <w:r>
          <w:rPr/>
          <w:t>in</w:t>
        </w:r>
        <w:r>
          <w:rPr>
            <w:spacing w:val="-6"/>
          </w:rPr>
          <w:t> </w:t>
        </w:r>
        <w:r>
          <w:rPr/>
          <w:t>Wild</w:t>
        </w:r>
        <w:r>
          <w:rPr>
            <w:spacing w:val="-4"/>
          </w:rPr>
          <w:t> </w:t>
        </w:r>
        <w:r>
          <w:rPr/>
          <w:t>and</w:t>
        </w:r>
        <w:r>
          <w:rPr>
            <w:spacing w:val="-4"/>
          </w:rPr>
          <w:t> </w:t>
        </w:r>
        <w:r>
          <w:rPr/>
          <w:t>Scenic</w:t>
        </w:r>
        <w:r>
          <w:rPr>
            <w:spacing w:val="-5"/>
          </w:rPr>
          <w:t> </w:t>
        </w:r>
        <w:r>
          <w:rPr/>
          <w:t>River</w:t>
        </w:r>
        <w:r>
          <w:rPr>
            <w:spacing w:val="-3"/>
          </w:rPr>
          <w:t> </w:t>
        </w:r>
        <w:r>
          <w:rPr/>
          <w:t>Management</w:t>
        </w:r>
        <w:r>
          <w:rPr>
            <w:spacing w:val="-2"/>
          </w:rPr>
          <w:t> Areas</w:t>
        </w:r>
        <w:r>
          <w:rPr/>
          <w:tab/>
        </w:r>
        <w:r>
          <w:rPr>
            <w:spacing w:val="-5"/>
          </w:rPr>
          <w:t>139</w:t>
        </w:r>
      </w:hyperlink>
    </w:p>
    <w:p>
      <w:pPr>
        <w:pStyle w:val="BodyText"/>
        <w:tabs>
          <w:tab w:pos="8656" w:val="left" w:leader="dot"/>
        </w:tabs>
        <w:spacing w:line="268" w:lineRule="exact" w:before="3"/>
        <w:ind w:left="359"/>
      </w:pPr>
      <w:hyperlink w:history="true" w:anchor="_bookmark257">
        <w:r>
          <w:rPr/>
          <w:t>T</w:t>
        </w:r>
      </w:hyperlink>
      <w:hyperlink w:history="true" w:anchor="_bookmark257">
        <w:r>
          <w:rPr/>
          <w:t>able</w:t>
        </w:r>
        <w:r>
          <w:rPr>
            <w:spacing w:val="-6"/>
          </w:rPr>
          <w:t> </w:t>
        </w:r>
        <w:r>
          <w:rPr/>
          <w:t>33.</w:t>
        </w:r>
        <w:r>
          <w:rPr>
            <w:spacing w:val="-5"/>
          </w:rPr>
          <w:t> </w:t>
        </w:r>
        <w:r>
          <w:rPr/>
          <w:t>Congressionally</w:t>
        </w:r>
        <w:r>
          <w:rPr>
            <w:spacing w:val="-6"/>
          </w:rPr>
          <w:t> </w:t>
        </w:r>
        <w:r>
          <w:rPr/>
          <w:t>designated</w:t>
        </w:r>
        <w:r>
          <w:rPr>
            <w:spacing w:val="-7"/>
          </w:rPr>
          <w:t> </w:t>
        </w:r>
        <w:r>
          <w:rPr/>
          <w:t>wilderness</w:t>
        </w:r>
        <w:r>
          <w:rPr>
            <w:spacing w:val="-7"/>
          </w:rPr>
          <w:t> </w:t>
        </w:r>
        <w:r>
          <w:rPr/>
          <w:t>area</w:t>
        </w:r>
        <w:r>
          <w:rPr>
            <w:spacing w:val="-4"/>
          </w:rPr>
          <w:t> </w:t>
        </w:r>
        <w:r>
          <w:rPr/>
          <w:t>in</w:t>
        </w:r>
        <w:r>
          <w:rPr>
            <w:spacing w:val="-6"/>
          </w:rPr>
          <w:t> </w:t>
        </w:r>
        <w:r>
          <w:rPr/>
          <w:t>Colville</w:t>
        </w:r>
        <w:r>
          <w:rPr>
            <w:spacing w:val="-4"/>
          </w:rPr>
          <w:t> </w:t>
        </w:r>
        <w:r>
          <w:rPr/>
          <w:t>National</w:t>
        </w:r>
        <w:r>
          <w:rPr>
            <w:spacing w:val="-4"/>
          </w:rPr>
          <w:t> </w:t>
        </w:r>
        <w:r>
          <w:rPr>
            <w:spacing w:val="-2"/>
          </w:rPr>
          <w:t>Forest</w:t>
        </w:r>
        <w:r>
          <w:rPr/>
          <w:tab/>
        </w:r>
        <w:r>
          <w:rPr>
            <w:spacing w:val="-5"/>
          </w:rPr>
          <w:t>140</w:t>
        </w:r>
      </w:hyperlink>
    </w:p>
    <w:p>
      <w:pPr>
        <w:pStyle w:val="BodyText"/>
        <w:tabs>
          <w:tab w:pos="8656" w:val="left" w:leader="dot"/>
        </w:tabs>
        <w:spacing w:line="268" w:lineRule="exact"/>
        <w:ind w:left="359"/>
      </w:pPr>
      <w:hyperlink w:history="true" w:anchor="_bookmark259">
        <w:r>
          <w:rPr/>
          <w:t>T</w:t>
        </w:r>
      </w:hyperlink>
      <w:hyperlink w:history="true" w:anchor="_bookmark259">
        <w:r>
          <w:rPr/>
          <w:t>able</w:t>
        </w:r>
        <w:r>
          <w:rPr>
            <w:spacing w:val="-6"/>
          </w:rPr>
          <w:t> </w:t>
        </w:r>
        <w:r>
          <w:rPr/>
          <w:t>34.</w:t>
        </w:r>
        <w:r>
          <w:rPr>
            <w:spacing w:val="-7"/>
          </w:rPr>
          <w:t> </w:t>
        </w:r>
        <w:r>
          <w:rPr/>
          <w:t>Wilderness</w:t>
        </w:r>
        <w:r>
          <w:rPr>
            <w:spacing w:val="-5"/>
          </w:rPr>
          <w:t> </w:t>
        </w:r>
        <w:r>
          <w:rPr/>
          <w:t>resource</w:t>
        </w:r>
        <w:r>
          <w:rPr>
            <w:spacing w:val="-4"/>
          </w:rPr>
          <w:t> </w:t>
        </w:r>
        <w:r>
          <w:rPr/>
          <w:t>spectrum</w:t>
        </w:r>
        <w:r>
          <w:rPr>
            <w:spacing w:val="-5"/>
          </w:rPr>
          <w:t> </w:t>
        </w:r>
        <w:r>
          <w:rPr/>
          <w:t>class</w:t>
        </w:r>
        <w:r>
          <w:rPr>
            <w:spacing w:val="-6"/>
          </w:rPr>
          <w:t> </w:t>
        </w:r>
        <w:r>
          <w:rPr/>
          <w:t>desired</w:t>
        </w:r>
        <w:r>
          <w:rPr>
            <w:spacing w:val="-6"/>
          </w:rPr>
          <w:t> </w:t>
        </w:r>
        <w:r>
          <w:rPr>
            <w:spacing w:val="-2"/>
          </w:rPr>
          <w:t>condition</w:t>
        </w:r>
        <w:r>
          <w:rPr/>
          <w:tab/>
        </w:r>
        <w:r>
          <w:rPr>
            <w:spacing w:val="-5"/>
          </w:rPr>
          <w:t>142</w:t>
        </w:r>
      </w:hyperlink>
    </w:p>
    <w:p>
      <w:pPr>
        <w:pStyle w:val="BodyText"/>
        <w:tabs>
          <w:tab w:pos="8656" w:val="left" w:leader="dot"/>
        </w:tabs>
        <w:ind w:left="359"/>
      </w:pPr>
      <w:hyperlink w:history="true" w:anchor="_bookmark263">
        <w:r>
          <w:rPr/>
          <w:t>T</w:t>
        </w:r>
      </w:hyperlink>
      <w:hyperlink w:history="true" w:anchor="_bookmark263">
        <w:r>
          <w:rPr/>
          <w:t>able</w:t>
        </w:r>
        <w:r>
          <w:rPr>
            <w:spacing w:val="-4"/>
          </w:rPr>
          <w:t> </w:t>
        </w:r>
        <w:r>
          <w:rPr/>
          <w:t>35.</w:t>
        </w:r>
        <w:r>
          <w:rPr>
            <w:spacing w:val="-5"/>
          </w:rPr>
          <w:t> </w:t>
        </w:r>
        <w:r>
          <w:rPr/>
          <w:t>Authorization</w:t>
        </w:r>
        <w:r>
          <w:rPr>
            <w:spacing w:val="-8"/>
          </w:rPr>
          <w:t> </w:t>
        </w:r>
        <w:r>
          <w:rPr/>
          <w:t>of</w:t>
        </w:r>
        <w:r>
          <w:rPr>
            <w:spacing w:val="-9"/>
          </w:rPr>
          <w:t> </w:t>
        </w:r>
        <w:r>
          <w:rPr/>
          <w:t>developments</w:t>
        </w:r>
        <w:r>
          <w:rPr>
            <w:spacing w:val="-5"/>
          </w:rPr>
          <w:t> </w:t>
        </w:r>
        <w:r>
          <w:rPr/>
          <w:t>in</w:t>
        </w:r>
        <w:r>
          <w:rPr>
            <w:spacing w:val="-8"/>
          </w:rPr>
          <w:t> </w:t>
        </w:r>
        <w:r>
          <w:rPr/>
          <w:t>congressionally</w:t>
        </w:r>
        <w:r>
          <w:rPr>
            <w:spacing w:val="-4"/>
          </w:rPr>
          <w:t> </w:t>
        </w:r>
        <w:r>
          <w:rPr/>
          <w:t>designated</w:t>
        </w:r>
        <w:r>
          <w:rPr>
            <w:spacing w:val="-7"/>
          </w:rPr>
          <w:t> </w:t>
        </w:r>
        <w:r>
          <w:rPr>
            <w:spacing w:val="-2"/>
          </w:rPr>
          <w:t>wilderness</w:t>
        </w:r>
        <w:r>
          <w:rPr/>
          <w:tab/>
        </w:r>
        <w:r>
          <w:rPr>
            <w:spacing w:val="-5"/>
          </w:rPr>
          <w:t>146</w:t>
        </w:r>
      </w:hyperlink>
    </w:p>
    <w:p>
      <w:pPr>
        <w:pStyle w:val="BodyText"/>
        <w:tabs>
          <w:tab w:pos="8656" w:val="left" w:leader="dot"/>
        </w:tabs>
        <w:ind w:left="359"/>
      </w:pPr>
      <w:hyperlink w:history="true" w:anchor="_bookmark265">
        <w:r>
          <w:rPr/>
          <w:t>T</w:t>
        </w:r>
      </w:hyperlink>
      <w:hyperlink w:history="true" w:anchor="_bookmark265">
        <w:r>
          <w:rPr/>
          <w:t>able</w:t>
        </w:r>
        <w:r>
          <w:rPr>
            <w:spacing w:val="-4"/>
          </w:rPr>
          <w:t> </w:t>
        </w:r>
        <w:r>
          <w:rPr/>
          <w:t>36.</w:t>
        </w:r>
        <w:r>
          <w:rPr>
            <w:spacing w:val="-5"/>
          </w:rPr>
          <w:t> </w:t>
        </w:r>
        <w:r>
          <w:rPr/>
          <w:t>Suitable</w:t>
        </w:r>
        <w:r>
          <w:rPr>
            <w:spacing w:val="-7"/>
          </w:rPr>
          <w:t> </w:t>
        </w:r>
        <w:r>
          <w:rPr/>
          <w:t>uses</w:t>
        </w:r>
        <w:r>
          <w:rPr>
            <w:spacing w:val="-5"/>
          </w:rPr>
          <w:t> </w:t>
        </w:r>
        <w:r>
          <w:rPr/>
          <w:t>for</w:t>
        </w:r>
        <w:r>
          <w:rPr>
            <w:spacing w:val="-6"/>
          </w:rPr>
          <w:t> </w:t>
        </w:r>
        <w:r>
          <w:rPr/>
          <w:t>congressionally</w:t>
        </w:r>
        <w:r>
          <w:rPr>
            <w:spacing w:val="-6"/>
          </w:rPr>
          <w:t> </w:t>
        </w:r>
        <w:r>
          <w:rPr/>
          <w:t>designated</w:t>
        </w:r>
        <w:r>
          <w:rPr>
            <w:spacing w:val="-7"/>
          </w:rPr>
          <w:t> </w:t>
        </w:r>
        <w:r>
          <w:rPr/>
          <w:t>Wilderness</w:t>
        </w:r>
        <w:r>
          <w:rPr>
            <w:spacing w:val="-7"/>
          </w:rPr>
          <w:t> </w:t>
        </w:r>
        <w:r>
          <w:rPr/>
          <w:t>Management</w:t>
        </w:r>
        <w:r>
          <w:rPr>
            <w:spacing w:val="-6"/>
          </w:rPr>
          <w:t> </w:t>
        </w:r>
        <w:r>
          <w:rPr>
            <w:spacing w:val="-4"/>
          </w:rPr>
          <w:t>Area</w:t>
        </w:r>
        <w:r>
          <w:rPr/>
          <w:tab/>
        </w:r>
        <w:r>
          <w:rPr>
            <w:spacing w:val="-5"/>
          </w:rPr>
          <w:t>148</w:t>
        </w:r>
      </w:hyperlink>
    </w:p>
    <w:p>
      <w:pPr>
        <w:pStyle w:val="BodyText"/>
        <w:tabs>
          <w:tab w:pos="8656" w:val="left" w:leader="dot"/>
        </w:tabs>
        <w:ind w:left="359"/>
      </w:pPr>
      <w:hyperlink w:history="true" w:anchor="_bookmark267">
        <w:r>
          <w:rPr/>
          <w:t>T</w:t>
        </w:r>
      </w:hyperlink>
      <w:hyperlink w:history="true" w:anchor="_bookmark267">
        <w:r>
          <w:rPr/>
          <w:t>able</w:t>
        </w:r>
        <w:r>
          <w:rPr>
            <w:spacing w:val="-4"/>
          </w:rPr>
          <w:t> </w:t>
        </w:r>
        <w:r>
          <w:rPr/>
          <w:t>37.</w:t>
        </w:r>
        <w:r>
          <w:rPr>
            <w:spacing w:val="-4"/>
          </w:rPr>
          <w:t> </w:t>
        </w:r>
        <w:r>
          <w:rPr/>
          <w:t>Recommended</w:t>
        </w:r>
        <w:r>
          <w:rPr>
            <w:spacing w:val="-5"/>
          </w:rPr>
          <w:t> </w:t>
        </w:r>
        <w:r>
          <w:rPr/>
          <w:t>wilderness</w:t>
        </w:r>
        <w:r>
          <w:rPr>
            <w:spacing w:val="-5"/>
          </w:rPr>
          <w:t> </w:t>
        </w:r>
        <w:r>
          <w:rPr/>
          <w:t>by</w:t>
        </w:r>
        <w:r>
          <w:rPr>
            <w:spacing w:val="-5"/>
          </w:rPr>
          <w:t> </w:t>
        </w:r>
        <w:r>
          <w:rPr/>
          <w:t>name</w:t>
        </w:r>
        <w:r>
          <w:rPr>
            <w:spacing w:val="-3"/>
          </w:rPr>
          <w:t> </w:t>
        </w:r>
        <w:r>
          <w:rPr/>
          <w:t>and</w:t>
        </w:r>
        <w:r>
          <w:rPr>
            <w:spacing w:val="-5"/>
          </w:rPr>
          <w:t> </w:t>
        </w:r>
        <w:r>
          <w:rPr>
            <w:spacing w:val="-2"/>
          </w:rPr>
          <w:t>acreage</w:t>
        </w:r>
        <w:r>
          <w:rPr/>
          <w:tab/>
        </w:r>
        <w:r>
          <w:rPr>
            <w:spacing w:val="-5"/>
          </w:rPr>
          <w:t>149</w:t>
        </w:r>
      </w:hyperlink>
    </w:p>
    <w:p>
      <w:pPr>
        <w:pStyle w:val="BodyText"/>
        <w:tabs>
          <w:tab w:pos="8656" w:val="left" w:leader="dot"/>
        </w:tabs>
        <w:spacing w:before="1"/>
        <w:ind w:left="359"/>
      </w:pPr>
      <w:hyperlink w:history="true" w:anchor="_bookmark272">
        <w:r>
          <w:rPr/>
          <w:t>Ta</w:t>
        </w:r>
      </w:hyperlink>
      <w:hyperlink w:history="true" w:anchor="_bookmark272">
        <w:r>
          <w:rPr/>
          <w:t>ble</w:t>
        </w:r>
        <w:r>
          <w:rPr>
            <w:spacing w:val="-4"/>
          </w:rPr>
          <w:t> </w:t>
        </w:r>
        <w:r>
          <w:rPr/>
          <w:t>38.</w:t>
        </w:r>
        <w:r>
          <w:rPr>
            <w:spacing w:val="-4"/>
          </w:rPr>
          <w:t> </w:t>
        </w:r>
        <w:r>
          <w:rPr/>
          <w:t>Suitable</w:t>
        </w:r>
        <w:r>
          <w:rPr>
            <w:spacing w:val="-6"/>
          </w:rPr>
          <w:t> </w:t>
        </w:r>
        <w:r>
          <w:rPr/>
          <w:t>uses</w:t>
        </w:r>
        <w:r>
          <w:rPr>
            <w:spacing w:val="-4"/>
          </w:rPr>
          <w:t> </w:t>
        </w:r>
        <w:r>
          <w:rPr/>
          <w:t>for</w:t>
        </w:r>
        <w:r>
          <w:rPr>
            <w:spacing w:val="-6"/>
          </w:rPr>
          <w:t> </w:t>
        </w:r>
        <w:r>
          <w:rPr/>
          <w:t>Recommended</w:t>
        </w:r>
        <w:r>
          <w:rPr>
            <w:spacing w:val="-6"/>
          </w:rPr>
          <w:t> </w:t>
        </w:r>
        <w:r>
          <w:rPr/>
          <w:t>Wilderness</w:t>
        </w:r>
        <w:r>
          <w:rPr>
            <w:spacing w:val="-6"/>
          </w:rPr>
          <w:t> </w:t>
        </w:r>
        <w:r>
          <w:rPr/>
          <w:t>Management</w:t>
        </w:r>
        <w:r>
          <w:rPr>
            <w:spacing w:val="-3"/>
          </w:rPr>
          <w:t> </w:t>
        </w:r>
        <w:r>
          <w:rPr>
            <w:spacing w:val="-4"/>
          </w:rPr>
          <w:t>Area</w:t>
        </w:r>
        <w:r>
          <w:rPr/>
          <w:tab/>
        </w:r>
        <w:r>
          <w:rPr>
            <w:spacing w:val="-5"/>
          </w:rPr>
          <w:t>152</w:t>
        </w:r>
      </w:hyperlink>
    </w:p>
    <w:p>
      <w:pPr>
        <w:pStyle w:val="BodyText"/>
        <w:tabs>
          <w:tab w:pos="8656" w:val="left" w:leader="dot"/>
        </w:tabs>
        <w:ind w:left="359"/>
      </w:pPr>
      <w:hyperlink w:history="true" w:anchor="_bookmark278">
        <w:r>
          <w:rPr/>
          <w:t>T</w:t>
        </w:r>
      </w:hyperlink>
      <w:hyperlink w:history="true" w:anchor="_bookmark278">
        <w:r>
          <w:rPr/>
          <w:t>able</w:t>
        </w:r>
        <w:r>
          <w:rPr>
            <w:spacing w:val="-3"/>
          </w:rPr>
          <w:t> </w:t>
        </w:r>
        <w:r>
          <w:rPr/>
          <w:t>39.</w:t>
        </w:r>
        <w:r>
          <w:rPr>
            <w:spacing w:val="-6"/>
          </w:rPr>
          <w:t> </w:t>
        </w:r>
        <w:r>
          <w:rPr/>
          <w:t>Monitoring</w:t>
        </w:r>
        <w:r>
          <w:rPr>
            <w:spacing w:val="-4"/>
          </w:rPr>
          <w:t> </w:t>
        </w:r>
        <w:r>
          <w:rPr>
            <w:spacing w:val="-2"/>
          </w:rPr>
          <w:t>questions</w:t>
        </w:r>
        <w:r>
          <w:rPr/>
          <w:tab/>
        </w:r>
        <w:r>
          <w:rPr>
            <w:spacing w:val="-5"/>
          </w:rPr>
          <w:t>159</w:t>
        </w:r>
      </w:hyperlink>
    </w:p>
    <w:p>
      <w:pPr>
        <w:pStyle w:val="BodyText"/>
        <w:tabs>
          <w:tab w:pos="8656" w:val="left" w:leader="dot"/>
        </w:tabs>
        <w:ind w:left="359"/>
      </w:pPr>
      <w:hyperlink w:history="true" w:anchor="_bookmark283">
        <w:r>
          <w:rPr/>
          <w:t>T</w:t>
        </w:r>
      </w:hyperlink>
      <w:hyperlink w:history="true" w:anchor="_bookmark283">
        <w:r>
          <w:rPr/>
          <w:t>able</w:t>
        </w:r>
        <w:r>
          <w:rPr>
            <w:spacing w:val="-4"/>
          </w:rPr>
          <w:t> </w:t>
        </w:r>
        <w:r>
          <w:rPr/>
          <w:t>B-1.</w:t>
        </w:r>
        <w:r>
          <w:rPr>
            <w:spacing w:val="-6"/>
          </w:rPr>
          <w:t> </w:t>
        </w:r>
        <w:r>
          <w:rPr/>
          <w:t>List</w:t>
        </w:r>
        <w:r>
          <w:rPr>
            <w:spacing w:val="-4"/>
          </w:rPr>
          <w:t> </w:t>
        </w:r>
        <w:r>
          <w:rPr/>
          <w:t>of</w:t>
        </w:r>
        <w:r>
          <w:rPr>
            <w:spacing w:val="-5"/>
          </w:rPr>
          <w:t> </w:t>
        </w:r>
        <w:r>
          <w:rPr/>
          <w:t>proposed</w:t>
        </w:r>
        <w:r>
          <w:rPr>
            <w:spacing w:val="-6"/>
          </w:rPr>
          <w:t> </w:t>
        </w:r>
        <w:r>
          <w:rPr/>
          <w:t>management</w:t>
        </w:r>
        <w:r>
          <w:rPr>
            <w:spacing w:val="-4"/>
          </w:rPr>
          <w:t> </w:t>
        </w:r>
        <w:r>
          <w:rPr/>
          <w:t>actions</w:t>
        </w:r>
        <w:r>
          <w:rPr>
            <w:spacing w:val="-3"/>
          </w:rPr>
          <w:t> </w:t>
        </w:r>
        <w:r>
          <w:rPr/>
          <w:t>(plan</w:t>
        </w:r>
        <w:r>
          <w:rPr>
            <w:spacing w:val="-5"/>
          </w:rPr>
          <w:t> </w:t>
        </w:r>
        <w:r>
          <w:rPr>
            <w:spacing w:val="-2"/>
          </w:rPr>
          <w:t>objectives)</w:t>
        </w:r>
        <w:r>
          <w:rPr/>
          <w:tab/>
        </w:r>
        <w:r>
          <w:rPr>
            <w:spacing w:val="-5"/>
          </w:rPr>
          <w:t>172</w:t>
        </w:r>
      </w:hyperlink>
    </w:p>
    <w:p>
      <w:pPr>
        <w:pStyle w:val="BodyText"/>
        <w:spacing w:after="0"/>
        <w:sectPr>
          <w:type w:val="continuous"/>
          <w:pgSz w:w="12240" w:h="15840"/>
          <w:pgMar w:header="725" w:footer="1205" w:top="960" w:bottom="880" w:left="1080" w:right="720"/>
        </w:sectPr>
      </w:pPr>
    </w:p>
    <w:p>
      <w:pPr>
        <w:pStyle w:val="BodyText"/>
        <w:tabs>
          <w:tab w:pos="9710" w:val="right" w:leader="dot"/>
        </w:tabs>
        <w:spacing w:before="474"/>
        <w:ind w:left="1080"/>
      </w:pPr>
      <w:hyperlink w:history="true" w:anchor="_bookmark289">
        <w:r>
          <w:rPr/>
          <w:t>T</w:t>
        </w:r>
      </w:hyperlink>
      <w:hyperlink w:history="true" w:anchor="_bookmark289">
        <w:r>
          <w:rPr/>
          <w:t>able</w:t>
        </w:r>
        <w:r>
          <w:rPr>
            <w:spacing w:val="-6"/>
          </w:rPr>
          <w:t> </w:t>
        </w:r>
        <w:r>
          <w:rPr/>
          <w:t>B-2.</w:t>
        </w:r>
        <w:r>
          <w:rPr>
            <w:spacing w:val="-6"/>
          </w:rPr>
          <w:t> </w:t>
        </w:r>
        <w:r>
          <w:rPr/>
          <w:t>Modelled</w:t>
        </w:r>
        <w:r>
          <w:rPr>
            <w:spacing w:val="-7"/>
          </w:rPr>
          <w:t> </w:t>
        </w:r>
        <w:r>
          <w:rPr/>
          <w:t>vegetation</w:t>
        </w:r>
        <w:r>
          <w:rPr>
            <w:spacing w:val="-5"/>
          </w:rPr>
          <w:t> </w:t>
        </w:r>
        <w:r>
          <w:rPr/>
          <w:t>treatments</w:t>
        </w:r>
        <w:r>
          <w:rPr>
            <w:spacing w:val="-4"/>
          </w:rPr>
          <w:t> </w:t>
        </w:r>
        <w:r>
          <w:rPr/>
          <w:t>by</w:t>
        </w:r>
        <w:r>
          <w:rPr>
            <w:spacing w:val="-5"/>
          </w:rPr>
          <w:t> </w:t>
        </w:r>
        <w:r>
          <w:rPr/>
          <w:t>management</w:t>
        </w:r>
        <w:r>
          <w:rPr>
            <w:spacing w:val="-6"/>
          </w:rPr>
          <w:t> </w:t>
        </w:r>
        <w:r>
          <w:rPr/>
          <w:t>area</w:t>
        </w:r>
        <w:r>
          <w:rPr>
            <w:spacing w:val="-6"/>
          </w:rPr>
          <w:t> </w:t>
        </w:r>
        <w:r>
          <w:rPr/>
          <w:t>and</w:t>
        </w:r>
        <w:r>
          <w:rPr>
            <w:spacing w:val="-5"/>
          </w:rPr>
          <w:t> </w:t>
        </w:r>
        <w:r>
          <w:rPr/>
          <w:t>vegetation</w:t>
        </w:r>
        <w:r>
          <w:rPr>
            <w:spacing w:val="-4"/>
          </w:rPr>
          <w:t> type</w:t>
        </w:r>
        <w:r>
          <w:rPr/>
          <w:tab/>
        </w:r>
        <w:r>
          <w:rPr>
            <w:spacing w:val="-5"/>
          </w:rPr>
          <w:t>179</w:t>
        </w:r>
      </w:hyperlink>
    </w:p>
    <w:p>
      <w:pPr>
        <w:pStyle w:val="BodyText"/>
        <w:tabs>
          <w:tab w:pos="9710" w:val="right" w:leader="dot"/>
        </w:tabs>
        <w:ind w:left="1080"/>
      </w:pPr>
      <w:hyperlink w:history="true" w:anchor="_bookmark306">
        <w:r>
          <w:rPr/>
          <w:t>T</w:t>
        </w:r>
      </w:hyperlink>
      <w:hyperlink w:history="true" w:anchor="_bookmark306">
        <w:r>
          <w:rPr/>
          <w:t>able</w:t>
        </w:r>
        <w:r>
          <w:rPr>
            <w:spacing w:val="-5"/>
          </w:rPr>
          <w:t> </w:t>
        </w:r>
        <w:r>
          <w:rPr/>
          <w:t>C-1.</w:t>
        </w:r>
        <w:r>
          <w:rPr>
            <w:spacing w:val="-6"/>
          </w:rPr>
          <w:t> </w:t>
        </w:r>
        <w:r>
          <w:rPr/>
          <w:t>Wildlife,</w:t>
        </w:r>
        <w:r>
          <w:rPr>
            <w:spacing w:val="-5"/>
          </w:rPr>
          <w:t> </w:t>
        </w:r>
        <w:r>
          <w:rPr/>
          <w:t>fish,</w:t>
        </w:r>
        <w:r>
          <w:rPr>
            <w:spacing w:val="-4"/>
          </w:rPr>
          <w:t> </w:t>
        </w:r>
        <w:r>
          <w:rPr/>
          <w:t>and</w:t>
        </w:r>
        <w:r>
          <w:rPr>
            <w:spacing w:val="-4"/>
          </w:rPr>
          <w:t> </w:t>
        </w:r>
        <w:r>
          <w:rPr/>
          <w:t>plant</w:t>
        </w:r>
        <w:r>
          <w:rPr>
            <w:spacing w:val="-2"/>
          </w:rPr>
          <w:t> </w:t>
        </w:r>
        <w:r>
          <w:rPr/>
          <w:t>species</w:t>
        </w:r>
        <w:r>
          <w:rPr>
            <w:spacing w:val="-5"/>
          </w:rPr>
          <w:t> </w:t>
        </w:r>
        <w:r>
          <w:rPr/>
          <w:t>found</w:t>
        </w:r>
        <w:r>
          <w:rPr>
            <w:spacing w:val="-7"/>
          </w:rPr>
          <w:t> </w:t>
        </w:r>
        <w:r>
          <w:rPr/>
          <w:t>on</w:t>
        </w:r>
        <w:r>
          <w:rPr>
            <w:spacing w:val="-4"/>
          </w:rPr>
          <w:t> </w:t>
        </w:r>
        <w:r>
          <w:rPr/>
          <w:t>the</w:t>
        </w:r>
        <w:r>
          <w:rPr>
            <w:spacing w:val="-2"/>
          </w:rPr>
          <w:t> </w:t>
        </w:r>
        <w:r>
          <w:rPr/>
          <w:t>Colville</w:t>
        </w:r>
        <w:r>
          <w:rPr>
            <w:spacing w:val="-5"/>
          </w:rPr>
          <w:t> </w:t>
        </w:r>
        <w:r>
          <w:rPr/>
          <w:t>National</w:t>
        </w:r>
        <w:r>
          <w:rPr>
            <w:spacing w:val="-6"/>
          </w:rPr>
          <w:t> </w:t>
        </w:r>
        <w:r>
          <w:rPr>
            <w:spacing w:val="-2"/>
          </w:rPr>
          <w:t>Forest</w:t>
        </w:r>
        <w:r>
          <w:rPr/>
          <w:tab/>
        </w:r>
        <w:r>
          <w:rPr>
            <w:spacing w:val="-5"/>
          </w:rPr>
          <w:t>186</w:t>
        </w:r>
      </w:hyperlink>
    </w:p>
    <w:p>
      <w:pPr>
        <w:pStyle w:val="BodyText"/>
        <w:tabs>
          <w:tab w:pos="9710" w:val="right" w:leader="dot"/>
        </w:tabs>
        <w:spacing w:before="1"/>
        <w:ind w:left="1079"/>
      </w:pPr>
      <w:hyperlink w:history="true" w:anchor="_bookmark309">
        <w:r>
          <w:rPr/>
          <w:t>T</w:t>
        </w:r>
      </w:hyperlink>
      <w:hyperlink w:history="true" w:anchor="_bookmark309">
        <w:r>
          <w:rPr/>
          <w:t>able</w:t>
        </w:r>
        <w:r>
          <w:rPr>
            <w:spacing w:val="-3"/>
          </w:rPr>
          <w:t> </w:t>
        </w:r>
        <w:r>
          <w:rPr/>
          <w:t>D-1.</w:t>
        </w:r>
        <w:r>
          <w:rPr>
            <w:spacing w:val="-4"/>
          </w:rPr>
          <w:t> </w:t>
        </w:r>
        <w:r>
          <w:rPr/>
          <w:t>Scenic</w:t>
        </w:r>
        <w:r>
          <w:rPr>
            <w:spacing w:val="-4"/>
          </w:rPr>
          <w:t> </w:t>
        </w:r>
        <w:r>
          <w:rPr/>
          <w:t>integrity</w:t>
        </w:r>
        <w:r>
          <w:rPr>
            <w:spacing w:val="-5"/>
          </w:rPr>
          <w:t> </w:t>
        </w:r>
        <w:r>
          <w:rPr/>
          <w:t>and</w:t>
        </w:r>
        <w:r>
          <w:rPr>
            <w:spacing w:val="-5"/>
          </w:rPr>
          <w:t> </w:t>
        </w:r>
        <w:r>
          <w:rPr/>
          <w:t>condition</w:t>
        </w:r>
        <w:r>
          <w:rPr>
            <w:spacing w:val="-6"/>
          </w:rPr>
          <w:t> </w:t>
        </w:r>
        <w:r>
          <w:rPr>
            <w:spacing w:val="-2"/>
          </w:rPr>
          <w:t>definitions</w:t>
        </w:r>
        <w:r>
          <w:rPr/>
          <w:tab/>
        </w:r>
        <w:r>
          <w:rPr>
            <w:spacing w:val="-5"/>
          </w:rPr>
          <w:t>194</w:t>
        </w:r>
      </w:hyperlink>
    </w:p>
    <w:p>
      <w:pPr>
        <w:pStyle w:val="BodyText"/>
        <w:tabs>
          <w:tab w:pos="9710" w:val="right" w:leader="dot"/>
        </w:tabs>
        <w:spacing w:line="268" w:lineRule="exact"/>
        <w:ind w:left="1079"/>
      </w:pPr>
      <w:hyperlink w:history="true" w:anchor="_bookmark310">
        <w:r>
          <w:rPr/>
          <w:t>T</w:t>
        </w:r>
      </w:hyperlink>
      <w:hyperlink w:history="true" w:anchor="_bookmark310">
        <w:r>
          <w:rPr/>
          <w:t>able</w:t>
        </w:r>
        <w:r>
          <w:rPr>
            <w:spacing w:val="-4"/>
          </w:rPr>
          <w:t> </w:t>
        </w:r>
        <w:r>
          <w:rPr/>
          <w:t>D-2.</w:t>
        </w:r>
        <w:r>
          <w:rPr>
            <w:spacing w:val="-5"/>
          </w:rPr>
          <w:t> </w:t>
        </w:r>
        <w:r>
          <w:rPr/>
          <w:t>Scenic</w:t>
        </w:r>
        <w:r>
          <w:rPr>
            <w:spacing w:val="-4"/>
          </w:rPr>
          <w:t> </w:t>
        </w:r>
        <w:r>
          <w:rPr/>
          <w:t>integrity</w:t>
        </w:r>
        <w:r>
          <w:rPr>
            <w:spacing w:val="-5"/>
          </w:rPr>
          <w:t> </w:t>
        </w:r>
        <w:r>
          <w:rPr/>
          <w:t>objective</w:t>
        </w:r>
        <w:r>
          <w:rPr>
            <w:spacing w:val="-7"/>
          </w:rPr>
          <w:t> </w:t>
        </w:r>
        <w:r>
          <w:rPr/>
          <w:t>by</w:t>
        </w:r>
        <w:r>
          <w:rPr>
            <w:spacing w:val="-5"/>
          </w:rPr>
          <w:t> </w:t>
        </w:r>
        <w:r>
          <w:rPr/>
          <w:t>management</w:t>
        </w:r>
        <w:r>
          <w:rPr>
            <w:spacing w:val="-6"/>
          </w:rPr>
          <w:t> </w:t>
        </w:r>
        <w:r>
          <w:rPr>
            <w:spacing w:val="-4"/>
          </w:rPr>
          <w:t>area</w:t>
        </w:r>
        <w:r>
          <w:rPr/>
          <w:tab/>
        </w:r>
        <w:r>
          <w:rPr>
            <w:spacing w:val="-5"/>
          </w:rPr>
          <w:t>194</w:t>
        </w:r>
      </w:hyperlink>
    </w:p>
    <w:p>
      <w:pPr>
        <w:pStyle w:val="BodyText"/>
        <w:tabs>
          <w:tab w:pos="9709" w:val="right" w:leader="dot"/>
        </w:tabs>
        <w:spacing w:line="268" w:lineRule="exact"/>
        <w:ind w:left="1079"/>
      </w:pPr>
      <w:hyperlink w:history="true" w:anchor="_bookmark313">
        <w:r>
          <w:rPr/>
          <w:t>T</w:t>
        </w:r>
      </w:hyperlink>
      <w:hyperlink w:history="true" w:anchor="_bookmark313">
        <w:r>
          <w:rPr/>
          <w:t>able</w:t>
        </w:r>
        <w:r>
          <w:rPr>
            <w:spacing w:val="-4"/>
          </w:rPr>
          <w:t> </w:t>
        </w:r>
        <w:r>
          <w:rPr/>
          <w:t>D-3.</w:t>
        </w:r>
        <w:r>
          <w:rPr>
            <w:spacing w:val="-5"/>
          </w:rPr>
          <w:t> </w:t>
        </w:r>
        <w:r>
          <w:rPr/>
          <w:t>Republic</w:t>
        </w:r>
        <w:r>
          <w:rPr>
            <w:spacing w:val="-4"/>
          </w:rPr>
          <w:t> </w:t>
        </w:r>
        <w:r>
          <w:rPr/>
          <w:t>Ranger</w:t>
        </w:r>
        <w:r>
          <w:rPr>
            <w:spacing w:val="-7"/>
          </w:rPr>
          <w:t> </w:t>
        </w:r>
        <w:r>
          <w:rPr/>
          <w:t>District</w:t>
        </w:r>
        <w:r>
          <w:rPr>
            <w:spacing w:val="-3"/>
          </w:rPr>
          <w:t> </w:t>
        </w:r>
        <w:r>
          <w:rPr/>
          <w:t>scenic</w:t>
        </w:r>
        <w:r>
          <w:rPr>
            <w:spacing w:val="-6"/>
          </w:rPr>
          <w:t> </w:t>
        </w:r>
        <w:r>
          <w:rPr>
            <w:spacing w:val="-2"/>
          </w:rPr>
          <w:t>viewsheds</w:t>
        </w:r>
        <w:r>
          <w:rPr/>
          <w:tab/>
        </w:r>
        <w:r>
          <w:rPr>
            <w:spacing w:val="-5"/>
          </w:rPr>
          <w:t>197</w:t>
        </w:r>
      </w:hyperlink>
    </w:p>
    <w:p>
      <w:pPr>
        <w:pStyle w:val="BodyText"/>
        <w:tabs>
          <w:tab w:pos="9709" w:val="right" w:leader="dot"/>
        </w:tabs>
        <w:ind w:left="1079"/>
      </w:pPr>
      <w:hyperlink w:history="true" w:anchor="_bookmark317">
        <w:r>
          <w:rPr/>
          <w:t>T</w:t>
        </w:r>
      </w:hyperlink>
      <w:hyperlink w:history="true" w:anchor="_bookmark317">
        <w:r>
          <w:rPr/>
          <w:t>able</w:t>
        </w:r>
        <w:r>
          <w:rPr>
            <w:spacing w:val="-4"/>
          </w:rPr>
          <w:t> </w:t>
        </w:r>
        <w:r>
          <w:rPr/>
          <w:t>D-4.</w:t>
        </w:r>
        <w:r>
          <w:rPr>
            <w:spacing w:val="-4"/>
          </w:rPr>
          <w:t> </w:t>
        </w:r>
        <w:r>
          <w:rPr/>
          <w:t>Three</w:t>
        </w:r>
        <w:r>
          <w:rPr>
            <w:spacing w:val="-5"/>
          </w:rPr>
          <w:t> </w:t>
        </w:r>
        <w:r>
          <w:rPr/>
          <w:t>Rivers</w:t>
        </w:r>
        <w:r>
          <w:rPr>
            <w:spacing w:val="-5"/>
          </w:rPr>
          <w:t> </w:t>
        </w:r>
        <w:r>
          <w:rPr/>
          <w:t>Ranger</w:t>
        </w:r>
        <w:r>
          <w:rPr>
            <w:spacing w:val="-4"/>
          </w:rPr>
          <w:t> </w:t>
        </w:r>
        <w:r>
          <w:rPr/>
          <w:t>District</w:t>
        </w:r>
        <w:r>
          <w:rPr>
            <w:spacing w:val="-3"/>
          </w:rPr>
          <w:t> </w:t>
        </w:r>
        <w:r>
          <w:rPr/>
          <w:t>scenic</w:t>
        </w:r>
        <w:r>
          <w:rPr>
            <w:spacing w:val="-5"/>
          </w:rPr>
          <w:t> </w:t>
        </w:r>
        <w:r>
          <w:rPr>
            <w:spacing w:val="-2"/>
          </w:rPr>
          <w:t>viewsheds</w:t>
        </w:r>
        <w:r>
          <w:rPr/>
          <w:tab/>
        </w:r>
        <w:r>
          <w:rPr>
            <w:spacing w:val="-5"/>
          </w:rPr>
          <w:t>201</w:t>
        </w:r>
      </w:hyperlink>
    </w:p>
    <w:p>
      <w:pPr>
        <w:pStyle w:val="BodyText"/>
        <w:tabs>
          <w:tab w:pos="9709" w:val="right" w:leader="dot"/>
        </w:tabs>
        <w:ind w:left="1079"/>
      </w:pPr>
      <w:hyperlink w:history="true" w:anchor="_bookmark319">
        <w:r>
          <w:rPr/>
          <w:t>T</w:t>
        </w:r>
      </w:hyperlink>
      <w:hyperlink w:history="true" w:anchor="_bookmark319">
        <w:r>
          <w:rPr/>
          <w:t>able</w:t>
        </w:r>
        <w:r>
          <w:rPr>
            <w:spacing w:val="-4"/>
          </w:rPr>
          <w:t> </w:t>
        </w:r>
        <w:r>
          <w:rPr/>
          <w:t>D-5.</w:t>
        </w:r>
        <w:r>
          <w:rPr>
            <w:spacing w:val="-4"/>
          </w:rPr>
          <w:t> </w:t>
        </w:r>
        <w:r>
          <w:rPr/>
          <w:t>Sullivan</w:t>
        </w:r>
        <w:r>
          <w:rPr>
            <w:spacing w:val="-7"/>
          </w:rPr>
          <w:t> </w:t>
        </w:r>
        <w:r>
          <w:rPr/>
          <w:t>Lake</w:t>
        </w:r>
        <w:r>
          <w:rPr>
            <w:spacing w:val="-3"/>
          </w:rPr>
          <w:t> </w:t>
        </w:r>
        <w:r>
          <w:rPr/>
          <w:t>Ranger</w:t>
        </w:r>
        <w:r>
          <w:rPr>
            <w:spacing w:val="-4"/>
          </w:rPr>
          <w:t> </w:t>
        </w:r>
        <w:r>
          <w:rPr/>
          <w:t>District</w:t>
        </w:r>
        <w:r>
          <w:rPr>
            <w:spacing w:val="-3"/>
          </w:rPr>
          <w:t> </w:t>
        </w:r>
        <w:r>
          <w:rPr/>
          <w:t>scenic</w:t>
        </w:r>
        <w:r>
          <w:rPr>
            <w:spacing w:val="-6"/>
          </w:rPr>
          <w:t> </w:t>
        </w:r>
        <w:r>
          <w:rPr>
            <w:spacing w:val="-2"/>
          </w:rPr>
          <w:t>viewsheds</w:t>
        </w:r>
        <w:r>
          <w:rPr/>
          <w:tab/>
        </w:r>
        <w:r>
          <w:rPr>
            <w:spacing w:val="-5"/>
          </w:rPr>
          <w:t>203</w:t>
        </w:r>
      </w:hyperlink>
    </w:p>
    <w:p>
      <w:pPr>
        <w:pStyle w:val="BodyText"/>
        <w:tabs>
          <w:tab w:pos="9709" w:val="right" w:leader="dot"/>
        </w:tabs>
        <w:ind w:left="1079"/>
      </w:pPr>
      <w:hyperlink w:history="true" w:anchor="_bookmark321">
        <w:r>
          <w:rPr/>
          <w:t>T</w:t>
        </w:r>
      </w:hyperlink>
      <w:hyperlink w:history="true" w:anchor="_bookmark321">
        <w:r>
          <w:rPr/>
          <w:t>able</w:t>
        </w:r>
        <w:r>
          <w:rPr>
            <w:spacing w:val="-4"/>
          </w:rPr>
          <w:t> </w:t>
        </w:r>
        <w:r>
          <w:rPr/>
          <w:t>D-6.</w:t>
        </w:r>
        <w:r>
          <w:rPr>
            <w:spacing w:val="-4"/>
          </w:rPr>
          <w:t> </w:t>
        </w:r>
        <w:r>
          <w:rPr/>
          <w:t>Newport</w:t>
        </w:r>
        <w:r>
          <w:rPr>
            <w:spacing w:val="-3"/>
          </w:rPr>
          <w:t> </w:t>
        </w:r>
        <w:r>
          <w:rPr/>
          <w:t>Ranger</w:t>
        </w:r>
        <w:r>
          <w:rPr>
            <w:spacing w:val="-6"/>
          </w:rPr>
          <w:t> </w:t>
        </w:r>
        <w:r>
          <w:rPr/>
          <w:t>District</w:t>
        </w:r>
        <w:r>
          <w:rPr>
            <w:spacing w:val="-3"/>
          </w:rPr>
          <w:t> </w:t>
        </w:r>
        <w:r>
          <w:rPr/>
          <w:t>scenic</w:t>
        </w:r>
        <w:r>
          <w:rPr>
            <w:spacing w:val="-6"/>
          </w:rPr>
          <w:t> </w:t>
        </w:r>
        <w:r>
          <w:rPr>
            <w:spacing w:val="-2"/>
          </w:rPr>
          <w:t>viewsheds</w:t>
        </w:r>
        <w:r>
          <w:rPr/>
          <w:tab/>
        </w:r>
        <w:r>
          <w:rPr>
            <w:spacing w:val="-5"/>
          </w:rPr>
          <w:t>205</w:t>
        </w:r>
      </w:hyperlink>
    </w:p>
    <w:p>
      <w:pPr>
        <w:pStyle w:val="BodyText"/>
        <w:tabs>
          <w:tab w:pos="9709" w:val="right" w:leader="dot"/>
        </w:tabs>
        <w:ind w:left="1079"/>
      </w:pPr>
      <w:hyperlink w:history="true" w:anchor="_bookmark323">
        <w:r>
          <w:rPr/>
          <w:t>T</w:t>
        </w:r>
      </w:hyperlink>
      <w:hyperlink w:history="true" w:anchor="_bookmark323">
        <w:r>
          <w:rPr/>
          <w:t>able</w:t>
        </w:r>
        <w:r>
          <w:rPr>
            <w:spacing w:val="-3"/>
          </w:rPr>
          <w:t> </w:t>
        </w:r>
        <w:r>
          <w:rPr/>
          <w:t>E-1.</w:t>
        </w:r>
        <w:r>
          <w:rPr>
            <w:spacing w:val="-4"/>
          </w:rPr>
          <w:t> </w:t>
        </w:r>
        <w:r>
          <w:rPr/>
          <w:t>Suitable</w:t>
        </w:r>
        <w:r>
          <w:rPr>
            <w:spacing w:val="-3"/>
          </w:rPr>
          <w:t> </w:t>
        </w:r>
        <w:r>
          <w:rPr/>
          <w:t>uses</w:t>
        </w:r>
        <w:r>
          <w:rPr>
            <w:spacing w:val="-4"/>
          </w:rPr>
          <w:t> </w:t>
        </w:r>
        <w:r>
          <w:rPr/>
          <w:t>by</w:t>
        </w:r>
        <w:r>
          <w:rPr>
            <w:spacing w:val="-7"/>
          </w:rPr>
          <w:t> </w:t>
        </w:r>
        <w:r>
          <w:rPr/>
          <w:t>management</w:t>
        </w:r>
        <w:r>
          <w:rPr>
            <w:spacing w:val="-5"/>
          </w:rPr>
          <w:t> </w:t>
        </w:r>
        <w:r>
          <w:rPr>
            <w:spacing w:val="-4"/>
          </w:rPr>
          <w:t>area</w:t>
        </w:r>
        <w:r>
          <w:rPr/>
          <w:tab/>
        </w:r>
        <w:r>
          <w:rPr>
            <w:spacing w:val="-5"/>
          </w:rPr>
          <w:t>206</w:t>
        </w:r>
      </w:hyperlink>
    </w:p>
    <w:p>
      <w:pPr>
        <w:pStyle w:val="BodyText"/>
        <w:tabs>
          <w:tab w:pos="9710" w:val="right" w:leader="dot"/>
        </w:tabs>
        <w:ind w:left="1079"/>
      </w:pPr>
      <w:hyperlink w:history="true" w:anchor="_bookmark328">
        <w:r>
          <w:rPr/>
          <w:t>T</w:t>
        </w:r>
      </w:hyperlink>
      <w:hyperlink w:history="true" w:anchor="_bookmark328">
        <w:r>
          <w:rPr/>
          <w:t>able</w:t>
        </w:r>
        <w:r>
          <w:rPr>
            <w:spacing w:val="-4"/>
          </w:rPr>
          <w:t> </w:t>
        </w:r>
        <w:r>
          <w:rPr/>
          <w:t>G-1.</w:t>
        </w:r>
        <w:r>
          <w:rPr>
            <w:spacing w:val="-4"/>
          </w:rPr>
          <w:t> </w:t>
        </w:r>
        <w:r>
          <w:rPr/>
          <w:t>Administrative</w:t>
        </w:r>
        <w:r>
          <w:rPr>
            <w:spacing w:val="-3"/>
          </w:rPr>
          <w:t> </w:t>
        </w:r>
        <w:r>
          <w:rPr/>
          <w:t>sites</w:t>
        </w:r>
        <w:r>
          <w:rPr>
            <w:spacing w:val="-6"/>
          </w:rPr>
          <w:t> </w:t>
        </w:r>
        <w:r>
          <w:rPr/>
          <w:t>on</w:t>
        </w:r>
        <w:r>
          <w:rPr>
            <w:spacing w:val="-5"/>
          </w:rPr>
          <w:t> </w:t>
        </w:r>
        <w:r>
          <w:rPr/>
          <w:t>the</w:t>
        </w:r>
        <w:r>
          <w:rPr>
            <w:spacing w:val="-6"/>
          </w:rPr>
          <w:t> </w:t>
        </w:r>
        <w:r>
          <w:rPr/>
          <w:t>Colville</w:t>
        </w:r>
        <w:r>
          <w:rPr>
            <w:spacing w:val="-4"/>
          </w:rPr>
          <w:t> </w:t>
        </w:r>
        <w:r>
          <w:rPr/>
          <w:t>National</w:t>
        </w:r>
        <w:r>
          <w:rPr>
            <w:spacing w:val="-6"/>
          </w:rPr>
          <w:t> </w:t>
        </w:r>
        <w:r>
          <w:rPr>
            <w:spacing w:val="-2"/>
          </w:rPr>
          <w:t>Forest</w:t>
        </w:r>
        <w:r>
          <w:rPr/>
          <w:tab/>
        </w:r>
        <w:r>
          <w:rPr>
            <w:spacing w:val="-5"/>
          </w:rPr>
          <w:t>210</w:t>
        </w:r>
      </w:hyperlink>
    </w:p>
    <w:p>
      <w:pPr>
        <w:pStyle w:val="BodyText"/>
        <w:tabs>
          <w:tab w:pos="9710" w:val="right" w:leader="dot"/>
        </w:tabs>
        <w:spacing w:before="1"/>
        <w:ind w:left="1079"/>
      </w:pPr>
      <w:hyperlink w:history="true" w:anchor="_bookmark331">
        <w:r>
          <w:rPr/>
          <w:t>T</w:t>
        </w:r>
      </w:hyperlink>
      <w:hyperlink w:history="true" w:anchor="_bookmark331">
        <w:r>
          <w:rPr/>
          <w:t>able</w:t>
        </w:r>
        <w:r>
          <w:rPr>
            <w:spacing w:val="-3"/>
          </w:rPr>
          <w:t> </w:t>
        </w:r>
        <w:r>
          <w:rPr/>
          <w:t>G-2.</w:t>
        </w:r>
        <w:r>
          <w:rPr>
            <w:spacing w:val="-4"/>
          </w:rPr>
          <w:t> </w:t>
        </w:r>
        <w:r>
          <w:rPr/>
          <w:t>List</w:t>
        </w:r>
        <w:r>
          <w:rPr>
            <w:spacing w:val="-3"/>
          </w:rPr>
          <w:t> </w:t>
        </w:r>
        <w:r>
          <w:rPr/>
          <w:t>of</w:t>
        </w:r>
        <w:r>
          <w:rPr>
            <w:spacing w:val="-5"/>
          </w:rPr>
          <w:t> </w:t>
        </w:r>
        <w:r>
          <w:rPr/>
          <w:t>designated</w:t>
        </w:r>
        <w:r>
          <w:rPr>
            <w:spacing w:val="-5"/>
          </w:rPr>
          <w:t> </w:t>
        </w:r>
        <w:r>
          <w:rPr/>
          <w:t>communication</w:t>
        </w:r>
        <w:r>
          <w:rPr>
            <w:spacing w:val="-6"/>
          </w:rPr>
          <w:t> </w:t>
        </w:r>
        <w:r>
          <w:rPr/>
          <w:t>sites</w:t>
        </w:r>
        <w:r>
          <w:rPr>
            <w:spacing w:val="-6"/>
          </w:rPr>
          <w:t> </w:t>
        </w:r>
        <w:r>
          <w:rPr/>
          <w:t>on</w:t>
        </w:r>
        <w:r>
          <w:rPr>
            <w:spacing w:val="-6"/>
          </w:rPr>
          <w:t> </w:t>
        </w:r>
        <w:r>
          <w:rPr/>
          <w:t>the</w:t>
        </w:r>
        <w:r>
          <w:rPr>
            <w:spacing w:val="-3"/>
          </w:rPr>
          <w:t> </w:t>
        </w:r>
        <w:r>
          <w:rPr/>
          <w:t>Colville</w:t>
        </w:r>
        <w:r>
          <w:rPr>
            <w:spacing w:val="-3"/>
          </w:rPr>
          <w:t> </w:t>
        </w:r>
        <w:r>
          <w:rPr/>
          <w:t>National</w:t>
        </w:r>
        <w:r>
          <w:rPr>
            <w:spacing w:val="-3"/>
          </w:rPr>
          <w:t> </w:t>
        </w:r>
        <w:r>
          <w:rPr>
            <w:spacing w:val="-2"/>
          </w:rPr>
          <w:t>Forest</w:t>
        </w:r>
        <w:r>
          <w:rPr/>
          <w:tab/>
        </w:r>
        <w:r>
          <w:rPr>
            <w:spacing w:val="-5"/>
          </w:rPr>
          <w:t>218</w:t>
        </w:r>
      </w:hyperlink>
    </w:p>
    <w:p>
      <w:pPr>
        <w:pStyle w:val="BodyText"/>
        <w:tabs>
          <w:tab w:pos="9710" w:val="right" w:leader="dot"/>
        </w:tabs>
        <w:ind w:left="1079"/>
      </w:pPr>
      <w:hyperlink w:history="true" w:anchor="_bookmark332">
        <w:r>
          <w:rPr/>
          <w:t>T</w:t>
        </w:r>
      </w:hyperlink>
      <w:hyperlink w:history="true" w:anchor="_bookmark332">
        <w:r>
          <w:rPr/>
          <w:t>able</w:t>
        </w:r>
        <w:r>
          <w:rPr>
            <w:spacing w:val="-6"/>
          </w:rPr>
          <w:t> </w:t>
        </w:r>
        <w:r>
          <w:rPr/>
          <w:t>G-3.</w:t>
        </w:r>
        <w:r>
          <w:rPr>
            <w:spacing w:val="-3"/>
          </w:rPr>
          <w:t> </w:t>
        </w:r>
        <w:r>
          <w:rPr/>
          <w:t>Designated</w:t>
        </w:r>
        <w:r>
          <w:rPr>
            <w:spacing w:val="-7"/>
          </w:rPr>
          <w:t> </w:t>
        </w:r>
        <w:r>
          <w:rPr/>
          <w:t>energy</w:t>
        </w:r>
        <w:r>
          <w:rPr>
            <w:spacing w:val="-3"/>
          </w:rPr>
          <w:t> </w:t>
        </w:r>
        <w:r>
          <w:rPr/>
          <w:t>and</w:t>
        </w:r>
        <w:r>
          <w:rPr>
            <w:spacing w:val="-5"/>
          </w:rPr>
          <w:t> </w:t>
        </w:r>
        <w:r>
          <w:rPr/>
          <w:t>utility</w:t>
        </w:r>
        <w:r>
          <w:rPr>
            <w:spacing w:val="-5"/>
          </w:rPr>
          <w:t> </w:t>
        </w:r>
        <w:r>
          <w:rPr/>
          <w:t>corridors</w:t>
        </w:r>
        <w:r>
          <w:rPr>
            <w:spacing w:val="-6"/>
          </w:rPr>
          <w:t> </w:t>
        </w:r>
        <w:r>
          <w:rPr/>
          <w:t>on</w:t>
        </w:r>
        <w:r>
          <w:rPr>
            <w:spacing w:val="-6"/>
          </w:rPr>
          <w:t> </w:t>
        </w:r>
        <w:r>
          <w:rPr/>
          <w:t>the</w:t>
        </w:r>
        <w:r>
          <w:rPr>
            <w:spacing w:val="-4"/>
          </w:rPr>
          <w:t> </w:t>
        </w:r>
        <w:r>
          <w:rPr/>
          <w:t>Colville</w:t>
        </w:r>
        <w:r>
          <w:rPr>
            <w:spacing w:val="-3"/>
          </w:rPr>
          <w:t> </w:t>
        </w:r>
        <w:r>
          <w:rPr/>
          <w:t>National</w:t>
        </w:r>
        <w:r>
          <w:rPr>
            <w:spacing w:val="-3"/>
          </w:rPr>
          <w:t> </w:t>
        </w:r>
        <w:r>
          <w:rPr>
            <w:spacing w:val="-2"/>
          </w:rPr>
          <w:t>Forest</w:t>
        </w:r>
        <w:r>
          <w:rPr/>
          <w:tab/>
        </w:r>
        <w:r>
          <w:rPr>
            <w:spacing w:val="-5"/>
          </w:rPr>
          <w:t>219</w:t>
        </w:r>
      </w:hyperlink>
    </w:p>
    <w:p>
      <w:pPr>
        <w:pStyle w:val="BodyText"/>
        <w:tabs>
          <w:tab w:pos="9710" w:val="right" w:leader="dot"/>
        </w:tabs>
        <w:ind w:left="1080"/>
      </w:pPr>
      <w:hyperlink w:history="true" w:anchor="_bookmark336">
        <w:r>
          <w:rPr/>
          <w:t>T</w:t>
        </w:r>
      </w:hyperlink>
      <w:hyperlink w:history="true" w:anchor="_bookmark336">
        <w:r>
          <w:rPr/>
          <w:t>able</w:t>
        </w:r>
        <w:r>
          <w:rPr>
            <w:spacing w:val="-4"/>
          </w:rPr>
          <w:t> </w:t>
        </w:r>
        <w:r>
          <w:rPr/>
          <w:t>G-4.</w:t>
        </w:r>
        <w:r>
          <w:rPr>
            <w:spacing w:val="-4"/>
          </w:rPr>
          <w:t> </w:t>
        </w:r>
        <w:r>
          <w:rPr/>
          <w:t>Mineral</w:t>
        </w:r>
        <w:r>
          <w:rPr>
            <w:spacing w:val="-4"/>
          </w:rPr>
          <w:t> </w:t>
        </w:r>
        <w:r>
          <w:rPr>
            <w:spacing w:val="-2"/>
          </w:rPr>
          <w:t>withdrawals</w:t>
        </w:r>
        <w:r>
          <w:rPr/>
          <w:tab/>
        </w:r>
        <w:r>
          <w:rPr>
            <w:spacing w:val="-5"/>
          </w:rPr>
          <w:t>222</w:t>
        </w:r>
      </w:hyperlink>
    </w:p>
    <w:p>
      <w:pPr>
        <w:pStyle w:val="BodyText"/>
        <w:spacing w:before="92"/>
      </w:pPr>
    </w:p>
    <w:p>
      <w:pPr>
        <w:pStyle w:val="Heading5"/>
        <w:ind w:left="370" w:right="9"/>
        <w:jc w:val="center"/>
        <w:rPr>
          <w:rFonts w:ascii="Calibri"/>
        </w:rPr>
      </w:pPr>
      <w:r>
        <w:rPr>
          <w:rFonts w:ascii="Calibri"/>
        </w:rPr>
        <w:t>List</w:t>
      </w:r>
      <w:r>
        <w:rPr>
          <w:rFonts w:ascii="Calibri"/>
          <w:spacing w:val="-6"/>
        </w:rPr>
        <w:t> </w:t>
      </w:r>
      <w:r>
        <w:rPr>
          <w:rFonts w:ascii="Calibri"/>
        </w:rPr>
        <w:t>of</w:t>
      </w:r>
      <w:r>
        <w:rPr>
          <w:rFonts w:ascii="Calibri"/>
          <w:spacing w:val="-2"/>
        </w:rPr>
        <w:t> Figures</w:t>
      </w:r>
    </w:p>
    <w:p>
      <w:pPr>
        <w:pStyle w:val="BodyText"/>
        <w:tabs>
          <w:tab w:pos="9600" w:val="left" w:leader="dot"/>
        </w:tabs>
        <w:spacing w:before="190"/>
        <w:ind w:left="1080"/>
      </w:pPr>
      <w:hyperlink w:history="true" w:anchor="_bookmark3">
        <w:r>
          <w:rPr/>
          <w:t>F</w:t>
        </w:r>
      </w:hyperlink>
      <w:hyperlink w:history="true" w:anchor="_bookmark3">
        <w:r>
          <w:rPr/>
          <w:t>igure</w:t>
        </w:r>
        <w:r>
          <w:rPr>
            <w:spacing w:val="-3"/>
          </w:rPr>
          <w:t> </w:t>
        </w:r>
        <w:r>
          <w:rPr/>
          <w:t>1.</w:t>
        </w:r>
        <w:r>
          <w:rPr>
            <w:spacing w:val="-3"/>
          </w:rPr>
          <w:t> </w:t>
        </w:r>
        <w:r>
          <w:rPr/>
          <w:t>Vicinity</w:t>
        </w:r>
        <w:r>
          <w:rPr>
            <w:spacing w:val="-4"/>
          </w:rPr>
          <w:t> </w:t>
        </w:r>
        <w:r>
          <w:rPr/>
          <w:t>map</w:t>
        </w:r>
        <w:r>
          <w:rPr>
            <w:spacing w:val="-6"/>
          </w:rPr>
          <w:t> </w:t>
        </w:r>
        <w:r>
          <w:rPr/>
          <w:t>of</w:t>
        </w:r>
        <w:r>
          <w:rPr>
            <w:spacing w:val="-3"/>
          </w:rPr>
          <w:t> </w:t>
        </w:r>
        <w:r>
          <w:rPr/>
          <w:t>the</w:t>
        </w:r>
        <w:r>
          <w:rPr>
            <w:spacing w:val="-2"/>
          </w:rPr>
          <w:t> </w:t>
        </w:r>
        <w:r>
          <w:rPr/>
          <w:t>Colville</w:t>
        </w:r>
        <w:r>
          <w:rPr>
            <w:spacing w:val="-5"/>
          </w:rPr>
          <w:t> </w:t>
        </w:r>
        <w:r>
          <w:rPr/>
          <w:t>National</w:t>
        </w:r>
        <w:r>
          <w:rPr>
            <w:spacing w:val="-5"/>
          </w:rPr>
          <w:t> </w:t>
        </w:r>
        <w:r>
          <w:rPr>
            <w:spacing w:val="-2"/>
          </w:rPr>
          <w:t>Forest</w:t>
        </w:r>
        <w:r>
          <w:rPr/>
          <w:tab/>
        </w:r>
        <w:r>
          <w:rPr>
            <w:spacing w:val="-10"/>
          </w:rPr>
          <w:t>1</w:t>
        </w:r>
      </w:hyperlink>
    </w:p>
    <w:p>
      <w:pPr>
        <w:pStyle w:val="BodyText"/>
        <w:tabs>
          <w:tab w:pos="9600" w:val="left" w:leader="dot"/>
        </w:tabs>
        <w:ind w:left="1080"/>
      </w:pPr>
      <w:hyperlink w:history="true" w:anchor="_bookmark4">
        <w:r>
          <w:rPr/>
          <w:t>F</w:t>
        </w:r>
      </w:hyperlink>
      <w:hyperlink w:history="true" w:anchor="_bookmark4">
        <w:r>
          <w:rPr/>
          <w:t>igure</w:t>
        </w:r>
        <w:r>
          <w:rPr>
            <w:spacing w:val="-5"/>
          </w:rPr>
          <w:t> </w:t>
        </w:r>
        <w:r>
          <w:rPr/>
          <w:t>2.</w:t>
        </w:r>
        <w:r>
          <w:rPr>
            <w:spacing w:val="-5"/>
          </w:rPr>
          <w:t> </w:t>
        </w:r>
        <w:r>
          <w:rPr/>
          <w:t>Colville</w:t>
        </w:r>
        <w:r>
          <w:rPr>
            <w:spacing w:val="-7"/>
          </w:rPr>
          <w:t> </w:t>
        </w:r>
        <w:r>
          <w:rPr/>
          <w:t>National</w:t>
        </w:r>
        <w:r>
          <w:rPr>
            <w:spacing w:val="-5"/>
          </w:rPr>
          <w:t> </w:t>
        </w:r>
        <w:r>
          <w:rPr/>
          <w:t>Forest</w:t>
        </w:r>
        <w:r>
          <w:rPr>
            <w:spacing w:val="-4"/>
          </w:rPr>
          <w:t> </w:t>
        </w:r>
        <w:r>
          <w:rPr/>
          <w:t>counties</w:t>
        </w:r>
        <w:r>
          <w:rPr>
            <w:spacing w:val="-7"/>
          </w:rPr>
          <w:t> </w:t>
        </w:r>
        <w:r>
          <w:rPr/>
          <w:t>and</w:t>
        </w:r>
        <w:r>
          <w:rPr>
            <w:spacing w:val="-6"/>
          </w:rPr>
          <w:t> </w:t>
        </w:r>
        <w:r>
          <w:rPr/>
          <w:t>neighboring</w:t>
        </w:r>
        <w:r>
          <w:rPr>
            <w:spacing w:val="-5"/>
          </w:rPr>
          <w:t> </w:t>
        </w:r>
        <w:r>
          <w:rPr>
            <w:spacing w:val="-2"/>
          </w:rPr>
          <w:t>lands</w:t>
        </w:r>
        <w:r>
          <w:rPr/>
          <w:tab/>
        </w:r>
        <w:r>
          <w:rPr>
            <w:spacing w:val="-10"/>
          </w:rPr>
          <w:t>2</w:t>
        </w:r>
      </w:hyperlink>
    </w:p>
    <w:p>
      <w:pPr>
        <w:pStyle w:val="BodyText"/>
        <w:tabs>
          <w:tab w:pos="9487" w:val="left" w:leader="dot"/>
        </w:tabs>
        <w:ind w:left="1080"/>
      </w:pPr>
      <w:hyperlink w:history="true" w:anchor="_bookmark32">
        <w:r>
          <w:rPr/>
          <w:t>F</w:t>
        </w:r>
      </w:hyperlink>
      <w:hyperlink w:history="true" w:anchor="_bookmark32">
        <w:r>
          <w:rPr/>
          <w:t>igure</w:t>
        </w:r>
        <w:r>
          <w:rPr>
            <w:spacing w:val="-6"/>
          </w:rPr>
          <w:t> </w:t>
        </w:r>
        <w:r>
          <w:rPr/>
          <w:t>3.</w:t>
        </w:r>
        <w:r>
          <w:rPr>
            <w:spacing w:val="-3"/>
          </w:rPr>
          <w:t> </w:t>
        </w:r>
        <w:r>
          <w:rPr/>
          <w:t>Hierarchy</w:t>
        </w:r>
        <w:r>
          <w:rPr>
            <w:spacing w:val="-5"/>
          </w:rPr>
          <w:t> </w:t>
        </w:r>
        <w:r>
          <w:rPr/>
          <w:t>of</w:t>
        </w:r>
        <w:r>
          <w:rPr>
            <w:spacing w:val="-7"/>
          </w:rPr>
          <w:t> </w:t>
        </w:r>
        <w:r>
          <w:rPr/>
          <w:t>management</w:t>
        </w:r>
        <w:r>
          <w:rPr>
            <w:spacing w:val="-4"/>
          </w:rPr>
          <w:t> </w:t>
        </w:r>
        <w:r>
          <w:rPr/>
          <w:t>direction</w:t>
        </w:r>
        <w:r>
          <w:rPr>
            <w:spacing w:val="-5"/>
          </w:rPr>
          <w:t> </w:t>
        </w:r>
        <w:r>
          <w:rPr/>
          <w:t>for</w:t>
        </w:r>
        <w:r>
          <w:rPr>
            <w:spacing w:val="-4"/>
          </w:rPr>
          <w:t> </w:t>
        </w:r>
        <w:r>
          <w:rPr/>
          <w:t>all</w:t>
        </w:r>
        <w:r>
          <w:rPr>
            <w:spacing w:val="-7"/>
          </w:rPr>
          <w:t> </w:t>
        </w:r>
        <w:r>
          <w:rPr/>
          <w:t>national</w:t>
        </w:r>
        <w:r>
          <w:rPr>
            <w:spacing w:val="-3"/>
          </w:rPr>
          <w:t> </w:t>
        </w:r>
        <w:r>
          <w:rPr>
            <w:spacing w:val="-2"/>
          </w:rPr>
          <w:t>forests</w:t>
        </w:r>
        <w:r>
          <w:rPr/>
          <w:tab/>
        </w:r>
        <w:r>
          <w:rPr>
            <w:spacing w:val="-5"/>
          </w:rPr>
          <w:t>19</w:t>
        </w:r>
      </w:hyperlink>
    </w:p>
    <w:p>
      <w:pPr>
        <w:pStyle w:val="BodyText"/>
        <w:tabs>
          <w:tab w:pos="9487" w:val="left" w:leader="dot"/>
        </w:tabs>
        <w:ind w:left="1080"/>
      </w:pPr>
      <w:hyperlink w:history="true" w:anchor="_bookmark89">
        <w:r>
          <w:rPr/>
          <w:t>F</w:t>
        </w:r>
      </w:hyperlink>
      <w:hyperlink w:history="true" w:anchor="_bookmark89">
        <w:r>
          <w:rPr/>
          <w:t>igure</w:t>
        </w:r>
        <w:r>
          <w:rPr>
            <w:spacing w:val="-6"/>
          </w:rPr>
          <w:t> </w:t>
        </w:r>
        <w:r>
          <w:rPr/>
          <w:t>4.</w:t>
        </w:r>
        <w:r>
          <w:rPr>
            <w:spacing w:val="-4"/>
          </w:rPr>
          <w:t> </w:t>
        </w:r>
        <w:r>
          <w:rPr/>
          <w:t>Illustration</w:t>
        </w:r>
        <w:r>
          <w:rPr>
            <w:spacing w:val="-6"/>
          </w:rPr>
          <w:t> </w:t>
        </w:r>
        <w:r>
          <w:rPr/>
          <w:t>of</w:t>
        </w:r>
        <w:r>
          <w:rPr>
            <w:spacing w:val="-6"/>
          </w:rPr>
          <w:t> </w:t>
        </w:r>
        <w:r>
          <w:rPr/>
          <w:t>watershed</w:t>
        </w:r>
        <w:r>
          <w:rPr>
            <w:spacing w:val="-5"/>
          </w:rPr>
          <w:t> </w:t>
        </w:r>
        <w:r>
          <w:rPr/>
          <w:t>hierarchy</w:t>
        </w:r>
        <w:r>
          <w:rPr>
            <w:spacing w:val="-3"/>
          </w:rPr>
          <w:t> </w:t>
        </w:r>
        <w:r>
          <w:rPr/>
          <w:t>from</w:t>
        </w:r>
        <w:r>
          <w:rPr>
            <w:spacing w:val="-3"/>
          </w:rPr>
          <w:t> </w:t>
        </w:r>
        <w:r>
          <w:rPr/>
          <w:t>the</w:t>
        </w:r>
        <w:r>
          <w:rPr>
            <w:spacing w:val="-8"/>
          </w:rPr>
          <w:t> </w:t>
        </w:r>
        <w:r>
          <w:rPr/>
          <w:t>basin</w:t>
        </w:r>
        <w:r>
          <w:rPr>
            <w:spacing w:val="-5"/>
          </w:rPr>
          <w:t> </w:t>
        </w:r>
        <w:r>
          <w:rPr/>
          <w:t>to</w:t>
        </w:r>
        <w:r>
          <w:rPr>
            <w:spacing w:val="-5"/>
          </w:rPr>
          <w:t> </w:t>
        </w:r>
        <w:r>
          <w:rPr/>
          <w:t>subwatershed</w:t>
        </w:r>
        <w:r>
          <w:rPr>
            <w:spacing w:val="-4"/>
          </w:rPr>
          <w:t> </w:t>
        </w:r>
        <w:r>
          <w:rPr>
            <w:spacing w:val="-2"/>
          </w:rPr>
          <w:t>scale</w:t>
        </w:r>
        <w:r>
          <w:rPr/>
          <w:tab/>
        </w:r>
        <w:r>
          <w:rPr>
            <w:spacing w:val="-5"/>
          </w:rPr>
          <w:t>43</w:t>
        </w:r>
      </w:hyperlink>
    </w:p>
    <w:p>
      <w:pPr>
        <w:pStyle w:val="BodyText"/>
        <w:tabs>
          <w:tab w:pos="9713" w:val="right" w:leader="dot"/>
        </w:tabs>
        <w:ind w:left="1080"/>
      </w:pPr>
      <w:hyperlink w:history="true" w:anchor="_bookmark90">
        <w:r>
          <w:rPr/>
          <w:t>F</w:t>
        </w:r>
      </w:hyperlink>
      <w:hyperlink w:history="true" w:anchor="_bookmark90">
        <w:r>
          <w:rPr/>
          <w:t>igure</w:t>
        </w:r>
        <w:r>
          <w:rPr>
            <w:spacing w:val="-3"/>
          </w:rPr>
          <w:t> </w:t>
        </w:r>
        <w:r>
          <w:rPr/>
          <w:t>5.</w:t>
        </w:r>
        <w:r>
          <w:rPr>
            <w:spacing w:val="-3"/>
          </w:rPr>
          <w:t> </w:t>
        </w:r>
        <w:r>
          <w:rPr/>
          <w:t>Key</w:t>
        </w:r>
        <w:r>
          <w:rPr>
            <w:spacing w:val="-4"/>
          </w:rPr>
          <w:t> </w:t>
        </w:r>
        <w:r>
          <w:rPr/>
          <w:t>and</w:t>
        </w:r>
        <w:r>
          <w:rPr>
            <w:spacing w:val="-4"/>
          </w:rPr>
          <w:t> </w:t>
        </w:r>
        <w:r>
          <w:rPr/>
          <w:t>municipal</w:t>
        </w:r>
        <w:r>
          <w:rPr>
            <w:spacing w:val="-5"/>
          </w:rPr>
          <w:t> </w:t>
        </w:r>
        <w:r>
          <w:rPr/>
          <w:t>supply</w:t>
        </w:r>
        <w:r>
          <w:rPr>
            <w:spacing w:val="-2"/>
          </w:rPr>
          <w:t> watersheds</w:t>
        </w:r>
        <w:r>
          <w:rPr/>
          <w:tab/>
        </w:r>
        <w:r>
          <w:rPr>
            <w:spacing w:val="-5"/>
          </w:rPr>
          <w:t>46</w:t>
        </w:r>
      </w:hyperlink>
    </w:p>
    <w:p>
      <w:pPr>
        <w:pStyle w:val="BodyText"/>
        <w:tabs>
          <w:tab w:pos="9713" w:val="right" w:leader="dot"/>
        </w:tabs>
        <w:ind w:left="1080"/>
      </w:pPr>
      <w:hyperlink w:history="true" w:anchor="_bookmark93">
        <w:r>
          <w:rPr/>
          <w:t>F</w:t>
        </w:r>
      </w:hyperlink>
      <w:hyperlink w:history="true" w:anchor="_bookmark93">
        <w:r>
          <w:rPr/>
          <w:t>igure</w:t>
        </w:r>
        <w:r>
          <w:rPr>
            <w:spacing w:val="-5"/>
          </w:rPr>
          <w:t> </w:t>
        </w:r>
        <w:r>
          <w:rPr/>
          <w:t>6.</w:t>
        </w:r>
        <w:r>
          <w:rPr>
            <w:spacing w:val="-4"/>
          </w:rPr>
          <w:t> </w:t>
        </w:r>
        <w:r>
          <w:rPr/>
          <w:t>Current</w:t>
        </w:r>
        <w:r>
          <w:rPr>
            <w:spacing w:val="-6"/>
          </w:rPr>
          <w:t> </w:t>
        </w:r>
        <w:r>
          <w:rPr/>
          <w:t>watershed</w:t>
        </w:r>
        <w:r>
          <w:rPr>
            <w:spacing w:val="-5"/>
          </w:rPr>
          <w:t> </w:t>
        </w:r>
        <w:r>
          <w:rPr/>
          <w:t>condition</w:t>
        </w:r>
        <w:r>
          <w:rPr>
            <w:spacing w:val="-5"/>
          </w:rPr>
          <w:t> </w:t>
        </w:r>
        <w:r>
          <w:rPr/>
          <w:t>class</w:t>
        </w:r>
        <w:r>
          <w:rPr>
            <w:spacing w:val="-5"/>
          </w:rPr>
          <w:t> </w:t>
        </w:r>
        <w:r>
          <w:rPr/>
          <w:t>for</w:t>
        </w:r>
        <w:r>
          <w:rPr>
            <w:spacing w:val="-6"/>
          </w:rPr>
          <w:t> </w:t>
        </w:r>
        <w:r>
          <w:rPr/>
          <w:t>subwatersheds</w:t>
        </w:r>
        <w:r>
          <w:rPr>
            <w:spacing w:val="-4"/>
          </w:rPr>
          <w:t> </w:t>
        </w:r>
        <w:r>
          <w:rPr/>
          <w:t>across</w:t>
        </w:r>
        <w:r>
          <w:rPr>
            <w:spacing w:val="-4"/>
          </w:rPr>
          <w:t> </w:t>
        </w:r>
        <w:r>
          <w:rPr/>
          <w:t>the</w:t>
        </w:r>
        <w:r>
          <w:rPr>
            <w:spacing w:val="-5"/>
          </w:rPr>
          <w:t> </w:t>
        </w:r>
        <w:r>
          <w:rPr>
            <w:spacing w:val="-2"/>
          </w:rPr>
          <w:t>Forest</w:t>
        </w:r>
        <w:r>
          <w:rPr/>
          <w:tab/>
        </w:r>
        <w:r>
          <w:rPr>
            <w:spacing w:val="-5"/>
          </w:rPr>
          <w:t>49</w:t>
        </w:r>
      </w:hyperlink>
    </w:p>
    <w:p>
      <w:pPr>
        <w:pStyle w:val="BodyText"/>
        <w:tabs>
          <w:tab w:pos="9711" w:val="right" w:leader="dot"/>
        </w:tabs>
        <w:ind w:left="1080"/>
      </w:pPr>
      <w:hyperlink w:history="true" w:anchor="_bookmark311">
        <w:r>
          <w:rPr/>
          <w:t>Fi</w:t>
        </w:r>
      </w:hyperlink>
      <w:hyperlink w:history="true" w:anchor="_bookmark311">
        <w:r>
          <w:rPr/>
          <w:t>gure</w:t>
        </w:r>
        <w:r>
          <w:rPr>
            <w:spacing w:val="-5"/>
          </w:rPr>
          <w:t> </w:t>
        </w:r>
        <w:r>
          <w:rPr/>
          <w:t>D-1.</w:t>
        </w:r>
        <w:r>
          <w:rPr>
            <w:spacing w:val="-7"/>
          </w:rPr>
          <w:t> </w:t>
        </w:r>
        <w:r>
          <w:rPr/>
          <w:t>Colville</w:t>
        </w:r>
        <w:r>
          <w:rPr>
            <w:spacing w:val="-4"/>
          </w:rPr>
          <w:t> </w:t>
        </w:r>
        <w:r>
          <w:rPr/>
          <w:t>National</w:t>
        </w:r>
        <w:r>
          <w:rPr>
            <w:spacing w:val="-5"/>
          </w:rPr>
          <w:t> </w:t>
        </w:r>
        <w:r>
          <w:rPr/>
          <w:t>Forest</w:t>
        </w:r>
        <w:r>
          <w:rPr>
            <w:spacing w:val="-5"/>
          </w:rPr>
          <w:t> </w:t>
        </w:r>
        <w:r>
          <w:rPr/>
          <w:t>scenic</w:t>
        </w:r>
        <w:r>
          <w:rPr>
            <w:spacing w:val="-5"/>
          </w:rPr>
          <w:t> </w:t>
        </w:r>
        <w:r>
          <w:rPr/>
          <w:t>integrity</w:t>
        </w:r>
        <w:r>
          <w:rPr>
            <w:spacing w:val="-5"/>
          </w:rPr>
          <w:t> </w:t>
        </w:r>
        <w:r>
          <w:rPr>
            <w:spacing w:val="-2"/>
          </w:rPr>
          <w:t>objectives</w:t>
        </w:r>
        <w:r>
          <w:rPr/>
          <w:tab/>
        </w:r>
        <w:r>
          <w:rPr>
            <w:spacing w:val="-5"/>
          </w:rPr>
          <w:t>195</w:t>
        </w:r>
      </w:hyperlink>
    </w:p>
    <w:p>
      <w:pPr>
        <w:pStyle w:val="BodyText"/>
        <w:tabs>
          <w:tab w:pos="9711" w:val="right" w:leader="dot"/>
        </w:tabs>
        <w:spacing w:line="268" w:lineRule="exact" w:before="1"/>
        <w:ind w:left="1080"/>
      </w:pPr>
      <w:hyperlink w:history="true" w:anchor="_bookmark312">
        <w:r>
          <w:rPr/>
          <w:t>Fi</w:t>
        </w:r>
      </w:hyperlink>
      <w:hyperlink w:history="true" w:anchor="_bookmark312">
        <w:r>
          <w:rPr/>
          <w:t>gure</w:t>
        </w:r>
        <w:r>
          <w:rPr>
            <w:spacing w:val="-4"/>
          </w:rPr>
          <w:t> </w:t>
        </w:r>
        <w:r>
          <w:rPr/>
          <w:t>D-2.</w:t>
        </w:r>
        <w:r>
          <w:rPr>
            <w:spacing w:val="-8"/>
          </w:rPr>
          <w:t> </w:t>
        </w:r>
        <w:r>
          <w:rPr/>
          <w:t>Republic</w:t>
        </w:r>
        <w:r>
          <w:rPr>
            <w:spacing w:val="-5"/>
          </w:rPr>
          <w:t> </w:t>
        </w:r>
        <w:r>
          <w:rPr/>
          <w:t>Ranger</w:t>
        </w:r>
        <w:r>
          <w:rPr>
            <w:spacing w:val="-4"/>
          </w:rPr>
          <w:t> </w:t>
        </w:r>
        <w:r>
          <w:rPr/>
          <w:t>District</w:t>
        </w:r>
        <w:r>
          <w:rPr>
            <w:spacing w:val="-4"/>
          </w:rPr>
          <w:t> </w:t>
        </w:r>
        <w:r>
          <w:rPr/>
          <w:t>scenic</w:t>
        </w:r>
        <w:r>
          <w:rPr>
            <w:spacing w:val="-5"/>
          </w:rPr>
          <w:t> </w:t>
        </w:r>
        <w:r>
          <w:rPr/>
          <w:t>integrity</w:t>
        </w:r>
        <w:r>
          <w:rPr>
            <w:spacing w:val="-5"/>
          </w:rPr>
          <w:t> </w:t>
        </w:r>
        <w:r>
          <w:rPr>
            <w:spacing w:val="-2"/>
          </w:rPr>
          <w:t>objectives</w:t>
        </w:r>
        <w:r>
          <w:rPr/>
          <w:tab/>
        </w:r>
        <w:r>
          <w:rPr>
            <w:spacing w:val="-5"/>
          </w:rPr>
          <w:t>196</w:t>
        </w:r>
      </w:hyperlink>
    </w:p>
    <w:p>
      <w:pPr>
        <w:pStyle w:val="BodyText"/>
        <w:tabs>
          <w:tab w:pos="9711" w:val="right" w:leader="dot"/>
        </w:tabs>
        <w:spacing w:line="268" w:lineRule="exact"/>
        <w:ind w:left="1081"/>
      </w:pPr>
      <w:hyperlink w:history="true" w:anchor="_bookmark314">
        <w:r>
          <w:rPr/>
          <w:t>Fi</w:t>
        </w:r>
      </w:hyperlink>
      <w:hyperlink w:history="true" w:anchor="_bookmark314">
        <w:r>
          <w:rPr/>
          <w:t>gure</w:t>
        </w:r>
        <w:r>
          <w:rPr>
            <w:spacing w:val="-3"/>
          </w:rPr>
          <w:t> </w:t>
        </w:r>
        <w:r>
          <w:rPr/>
          <w:t>D-3.</w:t>
        </w:r>
        <w:r>
          <w:rPr>
            <w:spacing w:val="-7"/>
          </w:rPr>
          <w:t> </w:t>
        </w:r>
        <w:r>
          <w:rPr/>
          <w:t>Three</w:t>
        </w:r>
        <w:r>
          <w:rPr>
            <w:spacing w:val="-5"/>
          </w:rPr>
          <w:t> </w:t>
        </w:r>
        <w:r>
          <w:rPr/>
          <w:t>Rivers</w:t>
        </w:r>
        <w:r>
          <w:rPr>
            <w:spacing w:val="-6"/>
          </w:rPr>
          <w:t> </w:t>
        </w:r>
        <w:r>
          <w:rPr/>
          <w:t>Ranger</w:t>
        </w:r>
        <w:r>
          <w:rPr>
            <w:spacing w:val="-3"/>
          </w:rPr>
          <w:t> </w:t>
        </w:r>
        <w:r>
          <w:rPr/>
          <w:t>District</w:t>
        </w:r>
        <w:r>
          <w:rPr>
            <w:spacing w:val="-3"/>
          </w:rPr>
          <w:t> </w:t>
        </w:r>
        <w:r>
          <w:rPr/>
          <w:t>scenic</w:t>
        </w:r>
        <w:r>
          <w:rPr>
            <w:spacing w:val="-4"/>
          </w:rPr>
          <w:t> </w:t>
        </w:r>
        <w:r>
          <w:rPr/>
          <w:t>integrity</w:t>
        </w:r>
        <w:r>
          <w:rPr>
            <w:spacing w:val="-2"/>
          </w:rPr>
          <w:t> </w:t>
        </w:r>
        <w:r>
          <w:rPr/>
          <w:t>objectives</w:t>
        </w:r>
        <w:r>
          <w:rPr>
            <w:spacing w:val="-6"/>
          </w:rPr>
          <w:t> </w:t>
        </w:r>
        <w:r>
          <w:rPr/>
          <w:t>(map</w:t>
        </w:r>
        <w:r>
          <w:rPr>
            <w:spacing w:val="-4"/>
          </w:rPr>
          <w:t> </w:t>
        </w:r>
        <w:r>
          <w:rPr/>
          <w:t>1</w:t>
        </w:r>
        <w:r>
          <w:rPr>
            <w:spacing w:val="-5"/>
          </w:rPr>
          <w:t> </w:t>
        </w:r>
        <w:r>
          <w:rPr/>
          <w:t>of</w:t>
        </w:r>
        <w:r>
          <w:rPr>
            <w:spacing w:val="-5"/>
          </w:rPr>
          <w:t> 3)</w:t>
        </w:r>
        <w:r>
          <w:rPr/>
          <w:tab/>
        </w:r>
        <w:r>
          <w:rPr>
            <w:spacing w:val="-5"/>
          </w:rPr>
          <w:t>198</w:t>
        </w:r>
      </w:hyperlink>
    </w:p>
    <w:p>
      <w:pPr>
        <w:pStyle w:val="BodyText"/>
        <w:tabs>
          <w:tab w:pos="9711" w:val="right" w:leader="dot"/>
        </w:tabs>
        <w:ind w:left="1081"/>
      </w:pPr>
      <w:hyperlink w:history="true" w:anchor="_bookmark315">
        <w:r>
          <w:rPr/>
          <w:t>Fi</w:t>
        </w:r>
      </w:hyperlink>
      <w:hyperlink w:history="true" w:anchor="_bookmark315">
        <w:r>
          <w:rPr/>
          <w:t>gure</w:t>
        </w:r>
        <w:r>
          <w:rPr>
            <w:spacing w:val="-3"/>
          </w:rPr>
          <w:t> </w:t>
        </w:r>
        <w:r>
          <w:rPr/>
          <w:t>D-4.</w:t>
        </w:r>
        <w:r>
          <w:rPr>
            <w:spacing w:val="-7"/>
          </w:rPr>
          <w:t> </w:t>
        </w:r>
        <w:r>
          <w:rPr/>
          <w:t>Three</w:t>
        </w:r>
        <w:r>
          <w:rPr>
            <w:spacing w:val="-5"/>
          </w:rPr>
          <w:t> </w:t>
        </w:r>
        <w:r>
          <w:rPr/>
          <w:t>Rivers</w:t>
        </w:r>
        <w:r>
          <w:rPr>
            <w:spacing w:val="-6"/>
          </w:rPr>
          <w:t> </w:t>
        </w:r>
        <w:r>
          <w:rPr/>
          <w:t>Ranger</w:t>
        </w:r>
        <w:r>
          <w:rPr>
            <w:spacing w:val="-3"/>
          </w:rPr>
          <w:t> </w:t>
        </w:r>
        <w:r>
          <w:rPr/>
          <w:t>District</w:t>
        </w:r>
        <w:r>
          <w:rPr>
            <w:spacing w:val="-3"/>
          </w:rPr>
          <w:t> </w:t>
        </w:r>
        <w:r>
          <w:rPr/>
          <w:t>scenic</w:t>
        </w:r>
        <w:r>
          <w:rPr>
            <w:spacing w:val="-4"/>
          </w:rPr>
          <w:t> </w:t>
        </w:r>
        <w:r>
          <w:rPr/>
          <w:t>integrity</w:t>
        </w:r>
        <w:r>
          <w:rPr>
            <w:spacing w:val="-2"/>
          </w:rPr>
          <w:t> </w:t>
        </w:r>
        <w:r>
          <w:rPr/>
          <w:t>objectives</w:t>
        </w:r>
        <w:r>
          <w:rPr>
            <w:spacing w:val="-6"/>
          </w:rPr>
          <w:t> </w:t>
        </w:r>
        <w:r>
          <w:rPr/>
          <w:t>(map</w:t>
        </w:r>
        <w:r>
          <w:rPr>
            <w:spacing w:val="-4"/>
          </w:rPr>
          <w:t> </w:t>
        </w:r>
        <w:r>
          <w:rPr/>
          <w:t>2</w:t>
        </w:r>
        <w:r>
          <w:rPr>
            <w:spacing w:val="-5"/>
          </w:rPr>
          <w:t> </w:t>
        </w:r>
        <w:r>
          <w:rPr/>
          <w:t>of</w:t>
        </w:r>
        <w:r>
          <w:rPr>
            <w:spacing w:val="-5"/>
          </w:rPr>
          <w:t> 3)</w:t>
        </w:r>
        <w:r>
          <w:rPr/>
          <w:tab/>
        </w:r>
        <w:r>
          <w:rPr>
            <w:spacing w:val="-5"/>
          </w:rPr>
          <w:t>199</w:t>
        </w:r>
      </w:hyperlink>
    </w:p>
    <w:p>
      <w:pPr>
        <w:pStyle w:val="BodyText"/>
        <w:tabs>
          <w:tab w:pos="9712" w:val="right" w:leader="dot"/>
        </w:tabs>
        <w:ind w:left="1081"/>
      </w:pPr>
      <w:hyperlink w:history="true" w:anchor="_bookmark316">
        <w:r>
          <w:rPr/>
          <w:t>Fi</w:t>
        </w:r>
      </w:hyperlink>
      <w:hyperlink w:history="true" w:anchor="_bookmark316">
        <w:r>
          <w:rPr/>
          <w:t>gure</w:t>
        </w:r>
        <w:r>
          <w:rPr>
            <w:spacing w:val="-3"/>
          </w:rPr>
          <w:t> </w:t>
        </w:r>
        <w:r>
          <w:rPr/>
          <w:t>D-5.</w:t>
        </w:r>
        <w:r>
          <w:rPr>
            <w:spacing w:val="-7"/>
          </w:rPr>
          <w:t> </w:t>
        </w:r>
        <w:r>
          <w:rPr/>
          <w:t>Three</w:t>
        </w:r>
        <w:r>
          <w:rPr>
            <w:spacing w:val="-5"/>
          </w:rPr>
          <w:t> </w:t>
        </w:r>
        <w:r>
          <w:rPr/>
          <w:t>Rivers</w:t>
        </w:r>
        <w:r>
          <w:rPr>
            <w:spacing w:val="-6"/>
          </w:rPr>
          <w:t> </w:t>
        </w:r>
        <w:r>
          <w:rPr/>
          <w:t>Ranger</w:t>
        </w:r>
        <w:r>
          <w:rPr>
            <w:spacing w:val="-3"/>
          </w:rPr>
          <w:t> </w:t>
        </w:r>
        <w:r>
          <w:rPr/>
          <w:t>District</w:t>
        </w:r>
        <w:r>
          <w:rPr>
            <w:spacing w:val="-3"/>
          </w:rPr>
          <w:t> </w:t>
        </w:r>
        <w:r>
          <w:rPr/>
          <w:t>scenic</w:t>
        </w:r>
        <w:r>
          <w:rPr>
            <w:spacing w:val="-4"/>
          </w:rPr>
          <w:t> </w:t>
        </w:r>
        <w:r>
          <w:rPr/>
          <w:t>integrity</w:t>
        </w:r>
        <w:r>
          <w:rPr>
            <w:spacing w:val="-2"/>
          </w:rPr>
          <w:t> </w:t>
        </w:r>
        <w:r>
          <w:rPr/>
          <w:t>objectives</w:t>
        </w:r>
        <w:r>
          <w:rPr>
            <w:spacing w:val="-6"/>
          </w:rPr>
          <w:t> </w:t>
        </w:r>
        <w:r>
          <w:rPr/>
          <w:t>(map</w:t>
        </w:r>
        <w:r>
          <w:rPr>
            <w:spacing w:val="-4"/>
          </w:rPr>
          <w:t> </w:t>
        </w:r>
        <w:r>
          <w:rPr/>
          <w:t>3</w:t>
        </w:r>
        <w:r>
          <w:rPr>
            <w:spacing w:val="-5"/>
          </w:rPr>
          <w:t> </w:t>
        </w:r>
        <w:r>
          <w:rPr/>
          <w:t>of</w:t>
        </w:r>
        <w:r>
          <w:rPr>
            <w:spacing w:val="-5"/>
          </w:rPr>
          <w:t> 3)</w:t>
        </w:r>
        <w:r>
          <w:rPr/>
          <w:tab/>
        </w:r>
        <w:r>
          <w:rPr>
            <w:spacing w:val="-5"/>
          </w:rPr>
          <w:t>200</w:t>
        </w:r>
      </w:hyperlink>
    </w:p>
    <w:p>
      <w:pPr>
        <w:pStyle w:val="BodyText"/>
        <w:tabs>
          <w:tab w:pos="9712" w:val="right" w:leader="dot"/>
        </w:tabs>
        <w:ind w:left="1081"/>
      </w:pPr>
      <w:hyperlink w:history="true" w:anchor="_bookmark318">
        <w:r>
          <w:rPr/>
          <w:t>Fi</w:t>
        </w:r>
      </w:hyperlink>
      <w:hyperlink w:history="true" w:anchor="_bookmark318">
        <w:r>
          <w:rPr/>
          <w:t>gure</w:t>
        </w:r>
        <w:r>
          <w:rPr>
            <w:spacing w:val="-7"/>
          </w:rPr>
          <w:t> </w:t>
        </w:r>
        <w:r>
          <w:rPr/>
          <w:t>D-6.</w:t>
        </w:r>
        <w:r>
          <w:rPr>
            <w:spacing w:val="-5"/>
          </w:rPr>
          <w:t> </w:t>
        </w:r>
        <w:r>
          <w:rPr/>
          <w:t>Sullivan</w:t>
        </w:r>
        <w:r>
          <w:rPr>
            <w:spacing w:val="-5"/>
          </w:rPr>
          <w:t> </w:t>
        </w:r>
        <w:r>
          <w:rPr/>
          <w:t>Lake</w:t>
        </w:r>
        <w:r>
          <w:rPr>
            <w:spacing w:val="-7"/>
          </w:rPr>
          <w:t> </w:t>
        </w:r>
        <w:r>
          <w:rPr/>
          <w:t>Ranger</w:t>
        </w:r>
        <w:r>
          <w:rPr>
            <w:spacing w:val="-5"/>
          </w:rPr>
          <w:t> </w:t>
        </w:r>
        <w:r>
          <w:rPr/>
          <w:t>District</w:t>
        </w:r>
        <w:r>
          <w:rPr>
            <w:spacing w:val="-4"/>
          </w:rPr>
          <w:t> </w:t>
        </w:r>
        <w:r>
          <w:rPr/>
          <w:t>scenic</w:t>
        </w:r>
        <w:r>
          <w:rPr>
            <w:spacing w:val="-5"/>
          </w:rPr>
          <w:t> </w:t>
        </w:r>
        <w:r>
          <w:rPr/>
          <w:t>integrity</w:t>
        </w:r>
        <w:r>
          <w:rPr>
            <w:spacing w:val="-4"/>
          </w:rPr>
          <w:t> </w:t>
        </w:r>
        <w:r>
          <w:rPr>
            <w:spacing w:val="-2"/>
          </w:rPr>
          <w:t>objectives</w:t>
        </w:r>
        <w:r>
          <w:rPr/>
          <w:tab/>
        </w:r>
        <w:r>
          <w:rPr>
            <w:spacing w:val="-5"/>
          </w:rPr>
          <w:t>202</w:t>
        </w:r>
      </w:hyperlink>
    </w:p>
    <w:p>
      <w:pPr>
        <w:pStyle w:val="BodyText"/>
        <w:tabs>
          <w:tab w:pos="9712" w:val="right" w:leader="dot"/>
        </w:tabs>
        <w:ind w:left="1081"/>
      </w:pPr>
      <w:hyperlink w:history="true" w:anchor="_bookmark320">
        <w:r>
          <w:rPr/>
          <w:t>Fi</w:t>
        </w:r>
      </w:hyperlink>
      <w:hyperlink w:history="true" w:anchor="_bookmark320">
        <w:r>
          <w:rPr/>
          <w:t>gure</w:t>
        </w:r>
        <w:r>
          <w:rPr>
            <w:spacing w:val="-5"/>
          </w:rPr>
          <w:t> </w:t>
        </w:r>
        <w:r>
          <w:rPr/>
          <w:t>D-7.</w:t>
        </w:r>
        <w:r>
          <w:rPr>
            <w:spacing w:val="-5"/>
          </w:rPr>
          <w:t> </w:t>
        </w:r>
        <w:r>
          <w:rPr/>
          <w:t>Newport</w:t>
        </w:r>
        <w:r>
          <w:rPr>
            <w:spacing w:val="-5"/>
          </w:rPr>
          <w:t> </w:t>
        </w:r>
        <w:r>
          <w:rPr/>
          <w:t>Ranger</w:t>
        </w:r>
        <w:r>
          <w:rPr>
            <w:spacing w:val="-5"/>
          </w:rPr>
          <w:t> </w:t>
        </w:r>
        <w:r>
          <w:rPr/>
          <w:t>District</w:t>
        </w:r>
        <w:r>
          <w:rPr>
            <w:spacing w:val="-5"/>
          </w:rPr>
          <w:t> </w:t>
        </w:r>
        <w:r>
          <w:rPr/>
          <w:t>scenic</w:t>
        </w:r>
        <w:r>
          <w:rPr>
            <w:spacing w:val="-5"/>
          </w:rPr>
          <w:t> </w:t>
        </w:r>
        <w:r>
          <w:rPr/>
          <w:t>integrity</w:t>
        </w:r>
        <w:r>
          <w:rPr>
            <w:spacing w:val="-6"/>
          </w:rPr>
          <w:t> </w:t>
        </w:r>
        <w:r>
          <w:rPr>
            <w:spacing w:val="-2"/>
          </w:rPr>
          <w:t>objectives</w:t>
        </w:r>
        <w:r>
          <w:rPr/>
          <w:tab/>
        </w:r>
        <w:r>
          <w:rPr>
            <w:spacing w:val="-5"/>
          </w:rPr>
          <w:t>204</w:t>
        </w:r>
      </w:hyperlink>
    </w:p>
    <w:p>
      <w:pPr>
        <w:pStyle w:val="BodyText"/>
        <w:tabs>
          <w:tab w:pos="9712" w:val="right" w:leader="dot"/>
        </w:tabs>
        <w:ind w:left="1082"/>
      </w:pPr>
      <w:hyperlink w:history="true" w:anchor="_bookmark325">
        <w:r>
          <w:rPr/>
          <w:t>Fi</w:t>
        </w:r>
      </w:hyperlink>
      <w:hyperlink w:history="true" w:anchor="_bookmark325">
        <w:r>
          <w:rPr/>
          <w:t>gure</w:t>
        </w:r>
        <w:r>
          <w:rPr>
            <w:spacing w:val="-7"/>
          </w:rPr>
          <w:t> </w:t>
        </w:r>
        <w:r>
          <w:rPr/>
          <w:t>F-1.</w:t>
        </w:r>
        <w:r>
          <w:rPr>
            <w:spacing w:val="-4"/>
          </w:rPr>
          <w:t> </w:t>
        </w:r>
        <w:r>
          <w:rPr/>
          <w:t>Colville</w:t>
        </w:r>
        <w:r>
          <w:rPr>
            <w:spacing w:val="-7"/>
          </w:rPr>
          <w:t> </w:t>
        </w:r>
        <w:r>
          <w:rPr/>
          <w:t>National</w:t>
        </w:r>
        <w:r>
          <w:rPr>
            <w:spacing w:val="-8"/>
          </w:rPr>
          <w:t> </w:t>
        </w:r>
        <w:r>
          <w:rPr/>
          <w:t>Forest</w:t>
        </w:r>
        <w:r>
          <w:rPr>
            <w:spacing w:val="-4"/>
          </w:rPr>
          <w:t> </w:t>
        </w:r>
        <w:r>
          <w:rPr/>
          <w:t>recreation</w:t>
        </w:r>
        <w:r>
          <w:rPr>
            <w:spacing w:val="-7"/>
          </w:rPr>
          <w:t> </w:t>
        </w:r>
        <w:r>
          <w:rPr/>
          <w:t>opportunity</w:t>
        </w:r>
        <w:r>
          <w:rPr>
            <w:spacing w:val="-4"/>
          </w:rPr>
          <w:t> </w:t>
        </w:r>
        <w:r>
          <w:rPr>
            <w:spacing w:val="-2"/>
          </w:rPr>
          <w:t>spectrum</w:t>
        </w:r>
        <w:r>
          <w:rPr/>
          <w:tab/>
        </w:r>
        <w:r>
          <w:rPr>
            <w:spacing w:val="-5"/>
          </w:rPr>
          <w:t>209</w:t>
        </w:r>
      </w:hyperlink>
    </w:p>
    <w:p>
      <w:pPr>
        <w:pStyle w:val="BodyText"/>
        <w:tabs>
          <w:tab w:pos="9712" w:val="right" w:leader="dot"/>
        </w:tabs>
        <w:spacing w:before="1"/>
        <w:ind w:left="1082"/>
      </w:pPr>
      <w:hyperlink w:history="true" w:anchor="_bookmark333">
        <w:r>
          <w:rPr/>
          <w:t>Fi</w:t>
        </w:r>
      </w:hyperlink>
      <w:hyperlink w:history="true" w:anchor="_bookmark333">
        <w:r>
          <w:rPr/>
          <w:t>gure</w:t>
        </w:r>
        <w:r>
          <w:rPr>
            <w:spacing w:val="-4"/>
          </w:rPr>
          <w:t> </w:t>
        </w:r>
        <w:r>
          <w:rPr/>
          <w:t>G-1.</w:t>
        </w:r>
        <w:r>
          <w:rPr>
            <w:spacing w:val="-7"/>
          </w:rPr>
          <w:t> </w:t>
        </w:r>
        <w:r>
          <w:rPr/>
          <w:t>Designated</w:t>
        </w:r>
        <w:r>
          <w:rPr>
            <w:spacing w:val="-6"/>
          </w:rPr>
          <w:t> </w:t>
        </w:r>
        <w:r>
          <w:rPr/>
          <w:t>communication</w:t>
        </w:r>
        <w:r>
          <w:rPr>
            <w:spacing w:val="-7"/>
          </w:rPr>
          <w:t> </w:t>
        </w:r>
        <w:r>
          <w:rPr/>
          <w:t>sites</w:t>
        </w:r>
        <w:r>
          <w:rPr>
            <w:spacing w:val="-6"/>
          </w:rPr>
          <w:t> </w:t>
        </w:r>
        <w:r>
          <w:rPr/>
          <w:t>and</w:t>
        </w:r>
        <w:r>
          <w:rPr>
            <w:spacing w:val="-6"/>
          </w:rPr>
          <w:t> </w:t>
        </w:r>
        <w:r>
          <w:rPr/>
          <w:t>energy</w:t>
        </w:r>
        <w:r>
          <w:rPr>
            <w:spacing w:val="-3"/>
          </w:rPr>
          <w:t> </w:t>
        </w:r>
        <w:r>
          <w:rPr>
            <w:spacing w:val="-2"/>
          </w:rPr>
          <w:t>corridors</w:t>
        </w:r>
        <w:r>
          <w:rPr/>
          <w:tab/>
        </w:r>
        <w:r>
          <w:rPr>
            <w:spacing w:val="-5"/>
          </w:rPr>
          <w:t>221</w:t>
        </w:r>
      </w:hyperlink>
    </w:p>
    <w:p>
      <w:pPr>
        <w:pStyle w:val="BodyText"/>
        <w:tabs>
          <w:tab w:pos="9712" w:val="right" w:leader="dot"/>
        </w:tabs>
        <w:ind w:left="1082"/>
      </w:pPr>
      <w:hyperlink w:history="true" w:anchor="_bookmark338">
        <w:r>
          <w:rPr/>
          <w:t>Fi</w:t>
        </w:r>
      </w:hyperlink>
      <w:hyperlink w:history="true" w:anchor="_bookmark338">
        <w:r>
          <w:rPr/>
          <w:t>gure</w:t>
        </w:r>
        <w:r>
          <w:rPr>
            <w:spacing w:val="-3"/>
          </w:rPr>
          <w:t> </w:t>
        </w:r>
        <w:r>
          <w:rPr/>
          <w:t>G-2.</w:t>
        </w:r>
        <w:r>
          <w:rPr>
            <w:spacing w:val="-6"/>
          </w:rPr>
          <w:t> </w:t>
        </w:r>
        <w:r>
          <w:rPr/>
          <w:t>Mineral</w:t>
        </w:r>
        <w:r>
          <w:rPr>
            <w:spacing w:val="-6"/>
          </w:rPr>
          <w:t> </w:t>
        </w:r>
        <w:r>
          <w:rPr/>
          <w:t>withdrawals</w:t>
        </w:r>
        <w:r>
          <w:rPr>
            <w:spacing w:val="-5"/>
          </w:rPr>
          <w:t> </w:t>
        </w:r>
        <w:r>
          <w:rPr/>
          <w:t>on</w:t>
        </w:r>
        <w:r>
          <w:rPr>
            <w:spacing w:val="-4"/>
          </w:rPr>
          <w:t> </w:t>
        </w:r>
        <w:r>
          <w:rPr/>
          <w:t>the</w:t>
        </w:r>
        <w:r>
          <w:rPr>
            <w:spacing w:val="-5"/>
          </w:rPr>
          <w:t> </w:t>
        </w:r>
        <w:r>
          <w:rPr/>
          <w:t>west</w:t>
        </w:r>
        <w:r>
          <w:rPr>
            <w:spacing w:val="-2"/>
          </w:rPr>
          <w:t> </w:t>
        </w:r>
        <w:r>
          <w:rPr/>
          <w:t>side</w:t>
        </w:r>
        <w:r>
          <w:rPr>
            <w:spacing w:val="-5"/>
          </w:rPr>
          <w:t> </w:t>
        </w:r>
        <w:r>
          <w:rPr/>
          <w:t>of</w:t>
        </w:r>
        <w:r>
          <w:rPr>
            <w:spacing w:val="-5"/>
          </w:rPr>
          <w:t> </w:t>
        </w:r>
        <w:r>
          <w:rPr/>
          <w:t>the</w:t>
        </w:r>
        <w:r>
          <w:rPr>
            <w:spacing w:val="-2"/>
          </w:rPr>
          <w:t> </w:t>
        </w:r>
        <w:r>
          <w:rPr/>
          <w:t>Colville</w:t>
        </w:r>
        <w:r>
          <w:rPr>
            <w:spacing w:val="-2"/>
          </w:rPr>
          <w:t> </w:t>
        </w:r>
        <w:r>
          <w:rPr/>
          <w:t>National</w:t>
        </w:r>
        <w:r>
          <w:rPr>
            <w:spacing w:val="-3"/>
          </w:rPr>
          <w:t> </w:t>
        </w:r>
        <w:r>
          <w:rPr>
            <w:spacing w:val="-2"/>
          </w:rPr>
          <w:t>Forest</w:t>
        </w:r>
        <w:r>
          <w:rPr/>
          <w:tab/>
        </w:r>
        <w:r>
          <w:rPr>
            <w:spacing w:val="-5"/>
          </w:rPr>
          <w:t>228</w:t>
        </w:r>
      </w:hyperlink>
    </w:p>
    <w:p>
      <w:pPr>
        <w:pStyle w:val="BodyText"/>
        <w:tabs>
          <w:tab w:pos="9712" w:val="right" w:leader="dot"/>
        </w:tabs>
        <w:spacing w:line="268" w:lineRule="exact"/>
        <w:ind w:left="1081"/>
      </w:pPr>
      <w:hyperlink w:history="true" w:anchor="_bookmark339">
        <w:r>
          <w:rPr/>
          <w:t>Fi</w:t>
        </w:r>
      </w:hyperlink>
      <w:hyperlink w:history="true" w:anchor="_bookmark339">
        <w:r>
          <w:rPr/>
          <w:t>gure</w:t>
        </w:r>
        <w:r>
          <w:rPr>
            <w:spacing w:val="-4"/>
          </w:rPr>
          <w:t> </w:t>
        </w:r>
        <w:r>
          <w:rPr/>
          <w:t>G-3.</w:t>
        </w:r>
        <w:r>
          <w:rPr>
            <w:spacing w:val="-6"/>
          </w:rPr>
          <w:t> </w:t>
        </w:r>
        <w:r>
          <w:rPr/>
          <w:t>Mineral</w:t>
        </w:r>
        <w:r>
          <w:rPr>
            <w:spacing w:val="-5"/>
          </w:rPr>
          <w:t> </w:t>
        </w:r>
        <w:r>
          <w:rPr/>
          <w:t>withdrawals</w:t>
        </w:r>
        <w:r>
          <w:rPr>
            <w:spacing w:val="-5"/>
          </w:rPr>
          <w:t> </w:t>
        </w:r>
        <w:r>
          <w:rPr/>
          <w:t>on</w:t>
        </w:r>
        <w:r>
          <w:rPr>
            <w:spacing w:val="-4"/>
          </w:rPr>
          <w:t> </w:t>
        </w:r>
        <w:r>
          <w:rPr/>
          <w:t>the</w:t>
        </w:r>
        <w:r>
          <w:rPr>
            <w:spacing w:val="-4"/>
          </w:rPr>
          <w:t> </w:t>
        </w:r>
        <w:r>
          <w:rPr/>
          <w:t>east</w:t>
        </w:r>
        <w:r>
          <w:rPr>
            <w:spacing w:val="-5"/>
          </w:rPr>
          <w:t> </w:t>
        </w:r>
        <w:r>
          <w:rPr/>
          <w:t>side</w:t>
        </w:r>
        <w:r>
          <w:rPr>
            <w:spacing w:val="-5"/>
          </w:rPr>
          <w:t> </w:t>
        </w:r>
        <w:r>
          <w:rPr/>
          <w:t>of</w:t>
        </w:r>
        <w:r>
          <w:rPr>
            <w:spacing w:val="-4"/>
          </w:rPr>
          <w:t> </w:t>
        </w:r>
        <w:r>
          <w:rPr/>
          <w:t>the</w:t>
        </w:r>
        <w:r>
          <w:rPr>
            <w:spacing w:val="-2"/>
          </w:rPr>
          <w:t> </w:t>
        </w:r>
        <w:r>
          <w:rPr/>
          <w:t>Colville</w:t>
        </w:r>
        <w:r>
          <w:rPr>
            <w:spacing w:val="-5"/>
          </w:rPr>
          <w:t> </w:t>
        </w:r>
        <w:r>
          <w:rPr/>
          <w:t>National</w:t>
        </w:r>
        <w:r>
          <w:rPr>
            <w:spacing w:val="-5"/>
          </w:rPr>
          <w:t> </w:t>
        </w:r>
        <w:r>
          <w:rPr>
            <w:spacing w:val="-2"/>
          </w:rPr>
          <w:t>Forest</w:t>
        </w:r>
        <w:r>
          <w:rPr/>
          <w:tab/>
        </w:r>
        <w:r>
          <w:rPr>
            <w:spacing w:val="-5"/>
          </w:rPr>
          <w:t>229</w:t>
        </w:r>
      </w:hyperlink>
    </w:p>
    <w:p>
      <w:pPr>
        <w:pStyle w:val="BodyText"/>
        <w:tabs>
          <w:tab w:pos="9712" w:val="right" w:leader="dot"/>
        </w:tabs>
        <w:spacing w:line="268" w:lineRule="exact"/>
        <w:ind w:left="1081"/>
      </w:pPr>
      <w:hyperlink w:history="true" w:anchor="_bookmark340">
        <w:r>
          <w:rPr/>
          <w:t>Fi</w:t>
        </w:r>
      </w:hyperlink>
      <w:hyperlink w:history="true" w:anchor="_bookmark340">
        <w:r>
          <w:rPr/>
          <w:t>gure</w:t>
        </w:r>
        <w:r>
          <w:rPr>
            <w:spacing w:val="-4"/>
          </w:rPr>
          <w:t> </w:t>
        </w:r>
        <w:r>
          <w:rPr/>
          <w:t>G-4.</w:t>
        </w:r>
        <w:r>
          <w:rPr>
            <w:spacing w:val="-5"/>
          </w:rPr>
          <w:t> </w:t>
        </w:r>
        <w:r>
          <w:rPr/>
          <w:t>Republic</w:t>
        </w:r>
        <w:r>
          <w:rPr>
            <w:spacing w:val="-5"/>
          </w:rPr>
          <w:t> </w:t>
        </w:r>
        <w:r>
          <w:rPr/>
          <w:t>Ranger</w:t>
        </w:r>
        <w:r>
          <w:rPr>
            <w:spacing w:val="-5"/>
          </w:rPr>
          <w:t> </w:t>
        </w:r>
        <w:r>
          <w:rPr/>
          <w:t>District</w:t>
        </w:r>
        <w:r>
          <w:rPr>
            <w:spacing w:val="-6"/>
          </w:rPr>
          <w:t> </w:t>
        </w:r>
        <w:r>
          <w:rPr/>
          <w:t>mineral</w:t>
        </w:r>
        <w:r>
          <w:rPr>
            <w:spacing w:val="-7"/>
          </w:rPr>
          <w:t> </w:t>
        </w:r>
        <w:r>
          <w:rPr>
            <w:spacing w:val="-2"/>
          </w:rPr>
          <w:t>withdrawals</w:t>
        </w:r>
        <w:r>
          <w:rPr/>
          <w:tab/>
        </w:r>
        <w:r>
          <w:rPr>
            <w:spacing w:val="-5"/>
          </w:rPr>
          <w:t>230</w:t>
        </w:r>
      </w:hyperlink>
    </w:p>
    <w:p>
      <w:pPr>
        <w:pStyle w:val="BodyText"/>
        <w:tabs>
          <w:tab w:pos="9710" w:val="right" w:leader="dot"/>
        </w:tabs>
        <w:spacing w:before="2"/>
        <w:ind w:left="1080"/>
      </w:pPr>
      <w:hyperlink w:history="true" w:anchor="_bookmark341">
        <w:r>
          <w:rPr/>
          <w:t>Fi</w:t>
        </w:r>
      </w:hyperlink>
      <w:hyperlink w:history="true" w:anchor="_bookmark341">
        <w:r>
          <w:rPr/>
          <w:t>gure</w:t>
        </w:r>
        <w:r>
          <w:rPr>
            <w:spacing w:val="-3"/>
          </w:rPr>
          <w:t> </w:t>
        </w:r>
        <w:r>
          <w:rPr/>
          <w:t>G-5.</w:t>
        </w:r>
        <w:r>
          <w:rPr>
            <w:spacing w:val="-4"/>
          </w:rPr>
          <w:t> </w:t>
        </w:r>
        <w:r>
          <w:rPr/>
          <w:t>Three</w:t>
        </w:r>
        <w:r>
          <w:rPr>
            <w:spacing w:val="-3"/>
          </w:rPr>
          <w:t> </w:t>
        </w:r>
        <w:r>
          <w:rPr/>
          <w:t>Rivers</w:t>
        </w:r>
        <w:r>
          <w:rPr>
            <w:spacing w:val="-4"/>
          </w:rPr>
          <w:t> </w:t>
        </w:r>
        <w:r>
          <w:rPr/>
          <w:t>Ranger</w:t>
        </w:r>
        <w:r>
          <w:rPr>
            <w:spacing w:val="-4"/>
          </w:rPr>
          <w:t> </w:t>
        </w:r>
        <w:r>
          <w:rPr/>
          <w:t>District</w:t>
        </w:r>
        <w:r>
          <w:rPr>
            <w:spacing w:val="-5"/>
          </w:rPr>
          <w:t> </w:t>
        </w:r>
        <w:r>
          <w:rPr/>
          <w:t>mineral</w:t>
        </w:r>
        <w:r>
          <w:rPr>
            <w:spacing w:val="-7"/>
          </w:rPr>
          <w:t> </w:t>
        </w:r>
        <w:r>
          <w:rPr/>
          <w:t>withdrawals</w:t>
        </w:r>
        <w:r>
          <w:rPr>
            <w:spacing w:val="-4"/>
          </w:rPr>
          <w:t> </w:t>
        </w:r>
        <w:r>
          <w:rPr/>
          <w:t>(map</w:t>
        </w:r>
        <w:r>
          <w:rPr>
            <w:spacing w:val="-6"/>
          </w:rPr>
          <w:t> </w:t>
        </w:r>
        <w:r>
          <w:rPr/>
          <w:t>1</w:t>
        </w:r>
        <w:r>
          <w:rPr>
            <w:spacing w:val="-5"/>
          </w:rPr>
          <w:t> </w:t>
        </w:r>
        <w:r>
          <w:rPr/>
          <w:t>of</w:t>
        </w:r>
        <w:r>
          <w:rPr>
            <w:spacing w:val="-5"/>
          </w:rPr>
          <w:t> 3)</w:t>
        </w:r>
        <w:r>
          <w:rPr/>
          <w:tab/>
        </w:r>
        <w:r>
          <w:rPr>
            <w:spacing w:val="-5"/>
          </w:rPr>
          <w:t>231</w:t>
        </w:r>
      </w:hyperlink>
    </w:p>
    <w:p>
      <w:pPr>
        <w:pStyle w:val="BodyText"/>
        <w:tabs>
          <w:tab w:pos="9710" w:val="right" w:leader="dot"/>
        </w:tabs>
        <w:ind w:left="1079"/>
      </w:pPr>
      <w:hyperlink w:history="true" w:anchor="_bookmark342">
        <w:r>
          <w:rPr/>
          <w:t>Fi</w:t>
        </w:r>
      </w:hyperlink>
      <w:hyperlink w:history="true" w:anchor="_bookmark342">
        <w:r>
          <w:rPr/>
          <w:t>gure</w:t>
        </w:r>
        <w:r>
          <w:rPr>
            <w:spacing w:val="-3"/>
          </w:rPr>
          <w:t> </w:t>
        </w:r>
        <w:r>
          <w:rPr/>
          <w:t>G-6.</w:t>
        </w:r>
        <w:r>
          <w:rPr>
            <w:spacing w:val="-4"/>
          </w:rPr>
          <w:t> </w:t>
        </w:r>
        <w:r>
          <w:rPr/>
          <w:t>Three</w:t>
        </w:r>
        <w:r>
          <w:rPr>
            <w:spacing w:val="-3"/>
          </w:rPr>
          <w:t> </w:t>
        </w:r>
        <w:r>
          <w:rPr/>
          <w:t>Rivers</w:t>
        </w:r>
        <w:r>
          <w:rPr>
            <w:spacing w:val="-4"/>
          </w:rPr>
          <w:t> </w:t>
        </w:r>
        <w:r>
          <w:rPr/>
          <w:t>Ranger</w:t>
        </w:r>
        <w:r>
          <w:rPr>
            <w:spacing w:val="-4"/>
          </w:rPr>
          <w:t> </w:t>
        </w:r>
        <w:r>
          <w:rPr/>
          <w:t>District</w:t>
        </w:r>
        <w:r>
          <w:rPr>
            <w:spacing w:val="-5"/>
          </w:rPr>
          <w:t> </w:t>
        </w:r>
        <w:r>
          <w:rPr/>
          <w:t>mineral</w:t>
        </w:r>
        <w:r>
          <w:rPr>
            <w:spacing w:val="-7"/>
          </w:rPr>
          <w:t> </w:t>
        </w:r>
        <w:r>
          <w:rPr/>
          <w:t>withdrawals</w:t>
        </w:r>
        <w:r>
          <w:rPr>
            <w:spacing w:val="-4"/>
          </w:rPr>
          <w:t> </w:t>
        </w:r>
        <w:r>
          <w:rPr/>
          <w:t>(map</w:t>
        </w:r>
        <w:r>
          <w:rPr>
            <w:spacing w:val="-6"/>
          </w:rPr>
          <w:t> </w:t>
        </w:r>
        <w:r>
          <w:rPr/>
          <w:t>2</w:t>
        </w:r>
        <w:r>
          <w:rPr>
            <w:spacing w:val="-5"/>
          </w:rPr>
          <w:t> </w:t>
        </w:r>
        <w:r>
          <w:rPr/>
          <w:t>of</w:t>
        </w:r>
        <w:r>
          <w:rPr>
            <w:spacing w:val="-5"/>
          </w:rPr>
          <w:t> 3)</w:t>
        </w:r>
        <w:r>
          <w:rPr/>
          <w:tab/>
        </w:r>
        <w:r>
          <w:rPr>
            <w:spacing w:val="-5"/>
          </w:rPr>
          <w:t>232</w:t>
        </w:r>
      </w:hyperlink>
    </w:p>
    <w:p>
      <w:pPr>
        <w:pStyle w:val="BodyText"/>
        <w:tabs>
          <w:tab w:pos="9710" w:val="right" w:leader="dot"/>
        </w:tabs>
        <w:ind w:left="1079"/>
      </w:pPr>
      <w:hyperlink w:history="true" w:anchor="_bookmark343">
        <w:r>
          <w:rPr/>
          <w:t>Fi</w:t>
        </w:r>
      </w:hyperlink>
      <w:hyperlink w:history="true" w:anchor="_bookmark343">
        <w:r>
          <w:rPr/>
          <w:t>gure</w:t>
        </w:r>
        <w:r>
          <w:rPr>
            <w:spacing w:val="-3"/>
          </w:rPr>
          <w:t> </w:t>
        </w:r>
        <w:r>
          <w:rPr/>
          <w:t>G-7.</w:t>
        </w:r>
        <w:r>
          <w:rPr>
            <w:spacing w:val="-4"/>
          </w:rPr>
          <w:t> </w:t>
        </w:r>
        <w:r>
          <w:rPr/>
          <w:t>Three</w:t>
        </w:r>
        <w:r>
          <w:rPr>
            <w:spacing w:val="-3"/>
          </w:rPr>
          <w:t> </w:t>
        </w:r>
        <w:r>
          <w:rPr/>
          <w:t>Rivers</w:t>
        </w:r>
        <w:r>
          <w:rPr>
            <w:spacing w:val="-4"/>
          </w:rPr>
          <w:t> </w:t>
        </w:r>
        <w:r>
          <w:rPr/>
          <w:t>Ranger</w:t>
        </w:r>
        <w:r>
          <w:rPr>
            <w:spacing w:val="-4"/>
          </w:rPr>
          <w:t> </w:t>
        </w:r>
        <w:r>
          <w:rPr/>
          <w:t>District</w:t>
        </w:r>
        <w:r>
          <w:rPr>
            <w:spacing w:val="-5"/>
          </w:rPr>
          <w:t> </w:t>
        </w:r>
        <w:r>
          <w:rPr/>
          <w:t>mineral</w:t>
        </w:r>
        <w:r>
          <w:rPr>
            <w:spacing w:val="-7"/>
          </w:rPr>
          <w:t> </w:t>
        </w:r>
        <w:r>
          <w:rPr/>
          <w:t>withdrawals</w:t>
        </w:r>
        <w:r>
          <w:rPr>
            <w:spacing w:val="-4"/>
          </w:rPr>
          <w:t> </w:t>
        </w:r>
        <w:r>
          <w:rPr/>
          <w:t>(map</w:t>
        </w:r>
        <w:r>
          <w:rPr>
            <w:spacing w:val="-6"/>
          </w:rPr>
          <w:t> </w:t>
        </w:r>
        <w:r>
          <w:rPr/>
          <w:t>3</w:t>
        </w:r>
        <w:r>
          <w:rPr>
            <w:spacing w:val="-5"/>
          </w:rPr>
          <w:t> </w:t>
        </w:r>
        <w:r>
          <w:rPr/>
          <w:t>of</w:t>
        </w:r>
        <w:r>
          <w:rPr>
            <w:spacing w:val="-5"/>
          </w:rPr>
          <w:t> 3)</w:t>
        </w:r>
        <w:r>
          <w:rPr/>
          <w:tab/>
        </w:r>
        <w:r>
          <w:rPr>
            <w:spacing w:val="-5"/>
          </w:rPr>
          <w:t>233</w:t>
        </w:r>
      </w:hyperlink>
    </w:p>
    <w:p>
      <w:pPr>
        <w:pStyle w:val="BodyText"/>
        <w:tabs>
          <w:tab w:pos="9710" w:val="right" w:leader="dot"/>
        </w:tabs>
        <w:ind w:left="1079"/>
      </w:pPr>
      <w:hyperlink w:history="true" w:anchor="_bookmark344">
        <w:r>
          <w:rPr/>
          <w:t>Fi</w:t>
        </w:r>
      </w:hyperlink>
      <w:hyperlink w:history="true" w:anchor="_bookmark344">
        <w:r>
          <w:rPr/>
          <w:t>gure</w:t>
        </w:r>
        <w:r>
          <w:rPr>
            <w:spacing w:val="-4"/>
          </w:rPr>
          <w:t> </w:t>
        </w:r>
        <w:r>
          <w:rPr/>
          <w:t>G-8.</w:t>
        </w:r>
        <w:r>
          <w:rPr>
            <w:spacing w:val="-4"/>
          </w:rPr>
          <w:t> </w:t>
        </w:r>
        <w:r>
          <w:rPr/>
          <w:t>Sullivan</w:t>
        </w:r>
        <w:r>
          <w:rPr>
            <w:spacing w:val="-7"/>
          </w:rPr>
          <w:t> </w:t>
        </w:r>
        <w:r>
          <w:rPr/>
          <w:t>Lake</w:t>
        </w:r>
        <w:r>
          <w:rPr>
            <w:spacing w:val="-3"/>
          </w:rPr>
          <w:t> </w:t>
        </w:r>
        <w:r>
          <w:rPr/>
          <w:t>Ranger</w:t>
        </w:r>
        <w:r>
          <w:rPr>
            <w:spacing w:val="-4"/>
          </w:rPr>
          <w:t> </w:t>
        </w:r>
        <w:r>
          <w:rPr/>
          <w:t>District</w:t>
        </w:r>
        <w:r>
          <w:rPr>
            <w:spacing w:val="-6"/>
          </w:rPr>
          <w:t> </w:t>
        </w:r>
        <w:r>
          <w:rPr/>
          <w:t>mineral</w:t>
        </w:r>
        <w:r>
          <w:rPr>
            <w:spacing w:val="-6"/>
          </w:rPr>
          <w:t> </w:t>
        </w:r>
        <w:r>
          <w:rPr>
            <w:spacing w:val="-2"/>
          </w:rPr>
          <w:t>withdrawals</w:t>
        </w:r>
        <w:r>
          <w:rPr/>
          <w:tab/>
        </w:r>
        <w:r>
          <w:rPr>
            <w:spacing w:val="-5"/>
          </w:rPr>
          <w:t>234</w:t>
        </w:r>
      </w:hyperlink>
    </w:p>
    <w:p>
      <w:pPr>
        <w:pStyle w:val="BodyText"/>
        <w:tabs>
          <w:tab w:pos="9710" w:val="right" w:leader="dot"/>
        </w:tabs>
        <w:spacing w:before="1"/>
        <w:ind w:left="1079"/>
      </w:pPr>
      <w:hyperlink w:history="true" w:anchor="_bookmark345">
        <w:r>
          <w:rPr/>
          <w:t>Fi</w:t>
        </w:r>
      </w:hyperlink>
      <w:hyperlink w:history="true" w:anchor="_bookmark345">
        <w:r>
          <w:rPr/>
          <w:t>gure</w:t>
        </w:r>
        <w:r>
          <w:rPr>
            <w:spacing w:val="-4"/>
          </w:rPr>
          <w:t> </w:t>
        </w:r>
        <w:r>
          <w:rPr/>
          <w:t>G-9.</w:t>
        </w:r>
        <w:r>
          <w:rPr>
            <w:spacing w:val="-4"/>
          </w:rPr>
          <w:t> </w:t>
        </w:r>
        <w:r>
          <w:rPr/>
          <w:t>Newport</w:t>
        </w:r>
        <w:r>
          <w:rPr>
            <w:spacing w:val="-6"/>
          </w:rPr>
          <w:t> </w:t>
        </w:r>
        <w:r>
          <w:rPr/>
          <w:t>Ranger</w:t>
        </w:r>
        <w:r>
          <w:rPr>
            <w:spacing w:val="-4"/>
          </w:rPr>
          <w:t> </w:t>
        </w:r>
        <w:r>
          <w:rPr/>
          <w:t>District</w:t>
        </w:r>
        <w:r>
          <w:rPr>
            <w:spacing w:val="-5"/>
          </w:rPr>
          <w:t> </w:t>
        </w:r>
        <w:r>
          <w:rPr/>
          <w:t>mineral</w:t>
        </w:r>
        <w:r>
          <w:rPr>
            <w:spacing w:val="-6"/>
          </w:rPr>
          <w:t> </w:t>
        </w:r>
        <w:r>
          <w:rPr>
            <w:spacing w:val="-2"/>
          </w:rPr>
          <w:t>withdrawals</w:t>
        </w:r>
        <w:r>
          <w:rPr/>
          <w:tab/>
        </w:r>
        <w:r>
          <w:rPr>
            <w:spacing w:val="-5"/>
          </w:rPr>
          <w:t>235</w:t>
        </w:r>
      </w:hyperlink>
    </w:p>
    <w:p>
      <w:pPr>
        <w:pStyle w:val="BodyText"/>
        <w:tabs>
          <w:tab w:pos="9710" w:val="right" w:leader="dot"/>
        </w:tabs>
        <w:ind w:left="1079"/>
      </w:pPr>
      <w:hyperlink w:history="true" w:anchor="_bookmark347">
        <w:r>
          <w:rPr/>
          <w:t>Fi</w:t>
        </w:r>
      </w:hyperlink>
      <w:hyperlink w:history="true" w:anchor="_bookmark347">
        <w:r>
          <w:rPr/>
          <w:t>gure</w:t>
        </w:r>
        <w:r>
          <w:rPr>
            <w:spacing w:val="-4"/>
          </w:rPr>
          <w:t> </w:t>
        </w:r>
        <w:r>
          <w:rPr/>
          <w:t>H-1.</w:t>
        </w:r>
        <w:r>
          <w:rPr>
            <w:spacing w:val="-5"/>
          </w:rPr>
          <w:t> </w:t>
        </w:r>
        <w:r>
          <w:rPr/>
          <w:t>Colville</w:t>
        </w:r>
        <w:r>
          <w:rPr>
            <w:spacing w:val="-6"/>
          </w:rPr>
          <w:t> </w:t>
        </w:r>
        <w:r>
          <w:rPr/>
          <w:t>National</w:t>
        </w:r>
        <w:r>
          <w:rPr>
            <w:spacing w:val="-5"/>
          </w:rPr>
          <w:t> </w:t>
        </w:r>
        <w:r>
          <w:rPr/>
          <w:t>Forest</w:t>
        </w:r>
        <w:r>
          <w:rPr>
            <w:spacing w:val="-6"/>
          </w:rPr>
          <w:t> </w:t>
        </w:r>
        <w:r>
          <w:rPr/>
          <w:t>management</w:t>
        </w:r>
        <w:r>
          <w:rPr>
            <w:spacing w:val="-6"/>
          </w:rPr>
          <w:t> </w:t>
        </w:r>
        <w:r>
          <w:rPr>
            <w:spacing w:val="-4"/>
          </w:rPr>
          <w:t>areas</w:t>
        </w:r>
        <w:r>
          <w:rPr/>
          <w:tab/>
        </w:r>
        <w:r>
          <w:rPr>
            <w:spacing w:val="-5"/>
          </w:rPr>
          <w:t>236</w:t>
        </w:r>
      </w:hyperlink>
    </w:p>
    <w:p>
      <w:pPr>
        <w:pStyle w:val="BodyText"/>
        <w:spacing w:after="0"/>
        <w:sectPr>
          <w:headerReference w:type="default" r:id="rId26"/>
          <w:headerReference w:type="even" r:id="rId27"/>
          <w:footerReference w:type="default" r:id="rId28"/>
          <w:footerReference w:type="even" r:id="rId29"/>
          <w:pgSz w:w="12240" w:h="15840"/>
          <w:pgMar w:header="725" w:footer="685" w:top="960" w:bottom="880" w:left="1080" w:right="720"/>
        </w:sectPr>
      </w:pPr>
    </w:p>
    <w:p>
      <w:pPr>
        <w:pStyle w:val="Heading1"/>
        <w:tabs>
          <w:tab w:pos="9028" w:val="left" w:leader="none"/>
        </w:tabs>
        <w:spacing w:before="476"/>
      </w:pPr>
      <w:bookmarkStart w:name="Acronyms" w:id="1"/>
      <w:bookmarkEnd w:id="1"/>
      <w:r>
        <w:rPr>
          <w:b w:val="0"/>
        </w:rPr>
      </w:r>
      <w:bookmarkStart w:name="_bookmark0" w:id="2"/>
      <w:bookmarkEnd w:id="2"/>
      <w:r>
        <w:rPr>
          <w:b w:val="0"/>
        </w:rPr>
      </w:r>
      <w:r>
        <w:rPr>
          <w:color w:val="475824"/>
          <w:spacing w:val="-2"/>
          <w:shd w:fill="C2D59B" w:color="auto" w:val="clear"/>
        </w:rPr>
        <w:t>Acronyms</w:t>
      </w:r>
      <w:r>
        <w:rPr>
          <w:color w:val="475824"/>
          <w:shd w:fill="C2D59B" w:color="auto" w:val="clear"/>
        </w:rPr>
        <w:tab/>
      </w:r>
    </w:p>
    <w:p>
      <w:pPr>
        <w:pStyle w:val="BodyText"/>
        <w:spacing w:before="199" w:after="1"/>
        <w:rPr>
          <w:rFonts w:ascii="Arial"/>
          <w:b/>
          <w:sz w:val="20"/>
        </w:rPr>
      </w:pPr>
    </w:p>
    <w:tbl>
      <w:tblPr>
        <w:tblW w:w="0" w:type="auto"/>
        <w:jc w:val="left"/>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10"/>
        <w:gridCol w:w="3428"/>
        <w:gridCol w:w="1331"/>
        <w:gridCol w:w="2930"/>
      </w:tblGrid>
      <w:tr>
        <w:trPr>
          <w:trHeight w:val="244" w:hRule="atLeast"/>
        </w:trPr>
        <w:tc>
          <w:tcPr>
            <w:tcW w:w="810" w:type="dxa"/>
          </w:tcPr>
          <w:p>
            <w:pPr>
              <w:pStyle w:val="TableParagraph"/>
              <w:spacing w:line="225" w:lineRule="exact" w:before="0"/>
              <w:ind w:left="50"/>
              <w:rPr>
                <w:rFonts w:ascii="Calibri"/>
                <w:sz w:val="22"/>
              </w:rPr>
            </w:pPr>
            <w:r>
              <w:rPr>
                <w:rFonts w:ascii="Calibri"/>
                <w:spacing w:val="-5"/>
                <w:sz w:val="22"/>
              </w:rPr>
              <w:t>ACS</w:t>
            </w:r>
          </w:p>
        </w:tc>
        <w:tc>
          <w:tcPr>
            <w:tcW w:w="3428" w:type="dxa"/>
          </w:tcPr>
          <w:p>
            <w:pPr>
              <w:pStyle w:val="TableParagraph"/>
              <w:spacing w:line="225" w:lineRule="exact" w:before="0"/>
              <w:ind w:left="219"/>
              <w:rPr>
                <w:rFonts w:ascii="Calibri"/>
                <w:sz w:val="22"/>
              </w:rPr>
            </w:pPr>
            <w:r>
              <w:rPr>
                <w:rFonts w:ascii="Calibri"/>
                <w:sz w:val="22"/>
              </w:rPr>
              <w:t>Aquatic</w:t>
            </w:r>
            <w:r>
              <w:rPr>
                <w:rFonts w:ascii="Calibri"/>
                <w:spacing w:val="-7"/>
                <w:sz w:val="22"/>
              </w:rPr>
              <w:t> </w:t>
            </w:r>
            <w:r>
              <w:rPr>
                <w:rFonts w:ascii="Calibri"/>
                <w:sz w:val="22"/>
              </w:rPr>
              <w:t>Conservation</w:t>
            </w:r>
            <w:r>
              <w:rPr>
                <w:rFonts w:ascii="Calibri"/>
                <w:spacing w:val="-6"/>
                <w:sz w:val="22"/>
              </w:rPr>
              <w:t> </w:t>
            </w:r>
            <w:r>
              <w:rPr>
                <w:rFonts w:ascii="Calibri"/>
                <w:spacing w:val="-2"/>
                <w:sz w:val="22"/>
              </w:rPr>
              <w:t>Strategy</w:t>
            </w:r>
          </w:p>
        </w:tc>
        <w:tc>
          <w:tcPr>
            <w:tcW w:w="1331" w:type="dxa"/>
          </w:tcPr>
          <w:p>
            <w:pPr>
              <w:pStyle w:val="TableParagraph"/>
              <w:spacing w:line="225" w:lineRule="exact" w:before="0"/>
              <w:ind w:left="492"/>
              <w:rPr>
                <w:rFonts w:ascii="Calibri"/>
                <w:sz w:val="22"/>
              </w:rPr>
            </w:pPr>
            <w:r>
              <w:rPr>
                <w:rFonts w:ascii="Calibri"/>
                <w:spacing w:val="-5"/>
                <w:sz w:val="22"/>
              </w:rPr>
              <w:t>HUC</w:t>
            </w:r>
          </w:p>
        </w:tc>
        <w:tc>
          <w:tcPr>
            <w:tcW w:w="2930" w:type="dxa"/>
          </w:tcPr>
          <w:p>
            <w:pPr>
              <w:pStyle w:val="TableParagraph"/>
              <w:spacing w:line="225" w:lineRule="exact" w:before="0"/>
              <w:ind w:left="140"/>
              <w:rPr>
                <w:rFonts w:ascii="Calibri"/>
                <w:sz w:val="22"/>
              </w:rPr>
            </w:pPr>
            <w:r>
              <w:rPr>
                <w:rFonts w:ascii="Calibri"/>
                <w:sz w:val="22"/>
              </w:rPr>
              <w:t>Hydrologic</w:t>
            </w:r>
            <w:r>
              <w:rPr>
                <w:rFonts w:ascii="Calibri"/>
                <w:spacing w:val="-5"/>
                <w:sz w:val="22"/>
              </w:rPr>
              <w:t> </w:t>
            </w:r>
            <w:r>
              <w:rPr>
                <w:rFonts w:ascii="Calibri"/>
                <w:sz w:val="22"/>
              </w:rPr>
              <w:t>Unit</w:t>
            </w:r>
            <w:r>
              <w:rPr>
                <w:rFonts w:ascii="Calibri"/>
                <w:spacing w:val="-6"/>
                <w:sz w:val="22"/>
              </w:rPr>
              <w:t> </w:t>
            </w:r>
            <w:r>
              <w:rPr>
                <w:rFonts w:ascii="Calibri"/>
                <w:spacing w:val="-4"/>
                <w:sz w:val="22"/>
              </w:rPr>
              <w:t>Code</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AEC</w:t>
            </w:r>
          </w:p>
        </w:tc>
        <w:tc>
          <w:tcPr>
            <w:tcW w:w="3428" w:type="dxa"/>
          </w:tcPr>
          <w:p>
            <w:pPr>
              <w:pStyle w:val="TableParagraph"/>
              <w:spacing w:line="249" w:lineRule="exact" w:before="0"/>
              <w:ind w:left="219"/>
              <w:rPr>
                <w:rFonts w:ascii="Calibri"/>
                <w:sz w:val="22"/>
              </w:rPr>
            </w:pPr>
            <w:r>
              <w:rPr>
                <w:rFonts w:ascii="Calibri"/>
                <w:sz w:val="22"/>
              </w:rPr>
              <w:t>Aquatic</w:t>
            </w:r>
            <w:r>
              <w:rPr>
                <w:rFonts w:ascii="Calibri"/>
                <w:spacing w:val="-6"/>
                <w:sz w:val="22"/>
              </w:rPr>
              <w:t> </w:t>
            </w:r>
            <w:r>
              <w:rPr>
                <w:rFonts w:ascii="Calibri"/>
                <w:sz w:val="22"/>
              </w:rPr>
              <w:t>Ecological</w:t>
            </w:r>
            <w:r>
              <w:rPr>
                <w:rFonts w:ascii="Calibri"/>
                <w:spacing w:val="-7"/>
                <w:sz w:val="22"/>
              </w:rPr>
              <w:t> </w:t>
            </w:r>
            <w:r>
              <w:rPr>
                <w:rFonts w:ascii="Calibri"/>
                <w:spacing w:val="-2"/>
                <w:sz w:val="22"/>
              </w:rPr>
              <w:t>Condition</w:t>
            </w:r>
          </w:p>
        </w:tc>
        <w:tc>
          <w:tcPr>
            <w:tcW w:w="1331" w:type="dxa"/>
          </w:tcPr>
          <w:p>
            <w:pPr>
              <w:pStyle w:val="TableParagraph"/>
              <w:spacing w:line="249" w:lineRule="exact" w:before="0"/>
              <w:ind w:left="491"/>
              <w:rPr>
                <w:rFonts w:ascii="Calibri"/>
                <w:sz w:val="22"/>
              </w:rPr>
            </w:pPr>
            <w:r>
              <w:rPr>
                <w:rFonts w:ascii="Calibri"/>
                <w:spacing w:val="-2"/>
                <w:sz w:val="22"/>
              </w:rPr>
              <w:t>ICBEMP</w:t>
            </w:r>
          </w:p>
        </w:tc>
        <w:tc>
          <w:tcPr>
            <w:tcW w:w="2930" w:type="dxa"/>
          </w:tcPr>
          <w:p>
            <w:pPr>
              <w:pStyle w:val="TableParagraph"/>
              <w:spacing w:line="249" w:lineRule="exact" w:before="0"/>
              <w:ind w:left="140"/>
              <w:rPr>
                <w:rFonts w:ascii="Calibri"/>
                <w:sz w:val="22"/>
              </w:rPr>
            </w:pPr>
            <w:r>
              <w:rPr>
                <w:rFonts w:ascii="Calibri"/>
                <w:sz w:val="22"/>
              </w:rPr>
              <w:t>Interior</w:t>
            </w:r>
            <w:r>
              <w:rPr>
                <w:rFonts w:ascii="Calibri"/>
                <w:spacing w:val="-7"/>
                <w:sz w:val="22"/>
              </w:rPr>
              <w:t> </w:t>
            </w:r>
            <w:r>
              <w:rPr>
                <w:rFonts w:ascii="Calibri"/>
                <w:sz w:val="22"/>
              </w:rPr>
              <w:t>Columbia</w:t>
            </w:r>
            <w:r>
              <w:rPr>
                <w:rFonts w:ascii="Calibri"/>
                <w:spacing w:val="-4"/>
                <w:sz w:val="22"/>
              </w:rPr>
              <w:t> </w:t>
            </w:r>
            <w:r>
              <w:rPr>
                <w:rFonts w:ascii="Calibri"/>
                <w:spacing w:val="-2"/>
                <w:sz w:val="22"/>
              </w:rPr>
              <w:t>Basin</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AIS</w:t>
            </w:r>
          </w:p>
        </w:tc>
        <w:tc>
          <w:tcPr>
            <w:tcW w:w="3428" w:type="dxa"/>
          </w:tcPr>
          <w:p>
            <w:pPr>
              <w:pStyle w:val="TableParagraph"/>
              <w:spacing w:line="249" w:lineRule="exact" w:before="0"/>
              <w:ind w:left="219"/>
              <w:rPr>
                <w:rFonts w:ascii="Calibri"/>
                <w:sz w:val="22"/>
              </w:rPr>
            </w:pPr>
            <w:r>
              <w:rPr>
                <w:rFonts w:ascii="Calibri"/>
                <w:sz w:val="22"/>
              </w:rPr>
              <w:t>Aquatic</w:t>
            </w:r>
            <w:r>
              <w:rPr>
                <w:rFonts w:ascii="Calibri"/>
                <w:spacing w:val="-5"/>
                <w:sz w:val="22"/>
              </w:rPr>
              <w:t> </w:t>
            </w:r>
            <w:r>
              <w:rPr>
                <w:rFonts w:ascii="Calibri"/>
                <w:sz w:val="22"/>
              </w:rPr>
              <w:t>Invasive</w:t>
            </w:r>
            <w:r>
              <w:rPr>
                <w:rFonts w:ascii="Calibri"/>
                <w:spacing w:val="-3"/>
                <w:sz w:val="22"/>
              </w:rPr>
              <w:t> </w:t>
            </w:r>
            <w:r>
              <w:rPr>
                <w:rFonts w:ascii="Calibri"/>
                <w:spacing w:val="-2"/>
                <w:sz w:val="22"/>
              </w:rPr>
              <w:t>Species</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z w:val="22"/>
              </w:rPr>
              <w:t>Ecosystem</w:t>
            </w:r>
            <w:r>
              <w:rPr>
                <w:rFonts w:ascii="Calibri"/>
                <w:spacing w:val="-5"/>
                <w:sz w:val="22"/>
              </w:rPr>
              <w:t> </w:t>
            </w:r>
            <w:r>
              <w:rPr>
                <w:rFonts w:ascii="Calibri"/>
                <w:spacing w:val="-2"/>
                <w:sz w:val="22"/>
              </w:rPr>
              <w:t>Management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AMS</w:t>
            </w:r>
          </w:p>
        </w:tc>
        <w:tc>
          <w:tcPr>
            <w:tcW w:w="3428" w:type="dxa"/>
          </w:tcPr>
          <w:p>
            <w:pPr>
              <w:pStyle w:val="TableParagraph"/>
              <w:spacing w:line="249" w:lineRule="exact" w:before="0"/>
              <w:ind w:left="219"/>
              <w:rPr>
                <w:rFonts w:ascii="Calibri"/>
                <w:sz w:val="22"/>
              </w:rPr>
            </w:pPr>
            <w:r>
              <w:rPr>
                <w:rFonts w:ascii="Calibri"/>
                <w:sz w:val="22"/>
              </w:rPr>
              <w:t>Analysis</w:t>
            </w:r>
            <w:r>
              <w:rPr>
                <w:rFonts w:ascii="Calibri"/>
                <w:spacing w:val="-4"/>
                <w:sz w:val="22"/>
              </w:rPr>
              <w:t> </w:t>
            </w:r>
            <w:r>
              <w:rPr>
                <w:rFonts w:ascii="Calibri"/>
                <w:sz w:val="22"/>
              </w:rPr>
              <w:t>of</w:t>
            </w:r>
            <w:r>
              <w:rPr>
                <w:rFonts w:ascii="Calibri"/>
                <w:spacing w:val="-2"/>
                <w:sz w:val="22"/>
              </w:rPr>
              <w:t> </w:t>
            </w:r>
            <w:r>
              <w:rPr>
                <w:rFonts w:ascii="Calibri"/>
                <w:sz w:val="22"/>
              </w:rPr>
              <w:t>the</w:t>
            </w:r>
            <w:r>
              <w:rPr>
                <w:rFonts w:ascii="Calibri"/>
                <w:spacing w:val="-3"/>
                <w:sz w:val="22"/>
              </w:rPr>
              <w:t> </w:t>
            </w:r>
            <w:r>
              <w:rPr>
                <w:rFonts w:ascii="Calibri"/>
                <w:spacing w:val="-2"/>
                <w:sz w:val="22"/>
              </w:rPr>
              <w:t>Management</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2"/>
                <w:sz w:val="22"/>
              </w:rPr>
              <w:t>Project</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pacing w:val="-2"/>
                <w:sz w:val="22"/>
              </w:rPr>
              <w:t>Situation</w:t>
            </w:r>
          </w:p>
        </w:tc>
        <w:tc>
          <w:tcPr>
            <w:tcW w:w="1331" w:type="dxa"/>
          </w:tcPr>
          <w:p>
            <w:pPr>
              <w:pStyle w:val="TableParagraph"/>
              <w:spacing w:line="249" w:lineRule="exact" w:before="0"/>
              <w:ind w:left="491"/>
              <w:rPr>
                <w:rFonts w:ascii="Calibri"/>
                <w:sz w:val="22"/>
              </w:rPr>
            </w:pPr>
            <w:r>
              <w:rPr>
                <w:rFonts w:ascii="Calibri"/>
                <w:spacing w:val="-5"/>
                <w:sz w:val="22"/>
              </w:rPr>
              <w:t>IDT</w:t>
            </w:r>
          </w:p>
        </w:tc>
        <w:tc>
          <w:tcPr>
            <w:tcW w:w="2930" w:type="dxa"/>
          </w:tcPr>
          <w:p>
            <w:pPr>
              <w:pStyle w:val="TableParagraph"/>
              <w:spacing w:line="249" w:lineRule="exact" w:before="0"/>
              <w:ind w:left="140"/>
              <w:rPr>
                <w:rFonts w:ascii="Calibri"/>
                <w:sz w:val="22"/>
              </w:rPr>
            </w:pPr>
            <w:r>
              <w:rPr>
                <w:rFonts w:ascii="Calibri"/>
                <w:sz w:val="22"/>
              </w:rPr>
              <w:t>Interdisciplinary</w:t>
            </w:r>
            <w:r>
              <w:rPr>
                <w:rFonts w:ascii="Calibri"/>
                <w:spacing w:val="-13"/>
                <w:sz w:val="22"/>
              </w:rPr>
              <w:t> </w:t>
            </w:r>
            <w:r>
              <w:rPr>
                <w:rFonts w:ascii="Calibri"/>
                <w:spacing w:val="-4"/>
                <w:sz w:val="22"/>
              </w:rPr>
              <w:t>Team</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4"/>
                <w:sz w:val="22"/>
              </w:rPr>
              <w:t>ARCS</w:t>
            </w:r>
          </w:p>
        </w:tc>
        <w:tc>
          <w:tcPr>
            <w:tcW w:w="3428" w:type="dxa"/>
          </w:tcPr>
          <w:p>
            <w:pPr>
              <w:pStyle w:val="TableParagraph"/>
              <w:spacing w:line="249" w:lineRule="exact" w:before="0"/>
              <w:ind w:left="219"/>
              <w:rPr>
                <w:rFonts w:ascii="Calibri"/>
                <w:sz w:val="22"/>
              </w:rPr>
            </w:pPr>
            <w:r>
              <w:rPr>
                <w:rFonts w:ascii="Calibri"/>
                <w:sz w:val="22"/>
              </w:rPr>
              <w:t>Aquatic</w:t>
            </w:r>
            <w:r>
              <w:rPr>
                <w:rFonts w:ascii="Calibri"/>
                <w:spacing w:val="-4"/>
                <w:sz w:val="22"/>
              </w:rPr>
              <w:t> </w:t>
            </w:r>
            <w:r>
              <w:rPr>
                <w:rFonts w:ascii="Calibri"/>
                <w:sz w:val="22"/>
              </w:rPr>
              <w:t>and</w:t>
            </w:r>
            <w:r>
              <w:rPr>
                <w:rFonts w:ascii="Calibri"/>
                <w:spacing w:val="-4"/>
                <w:sz w:val="22"/>
              </w:rPr>
              <w:t> </w:t>
            </w:r>
            <w:r>
              <w:rPr>
                <w:rFonts w:ascii="Calibri"/>
                <w:spacing w:val="-2"/>
                <w:sz w:val="22"/>
              </w:rPr>
              <w:t>Riparian</w:t>
            </w:r>
          </w:p>
        </w:tc>
        <w:tc>
          <w:tcPr>
            <w:tcW w:w="1331" w:type="dxa"/>
          </w:tcPr>
          <w:p>
            <w:pPr>
              <w:pStyle w:val="TableParagraph"/>
              <w:spacing w:line="249" w:lineRule="exact" w:before="0"/>
              <w:ind w:left="491"/>
              <w:rPr>
                <w:rFonts w:ascii="Calibri"/>
                <w:sz w:val="22"/>
              </w:rPr>
            </w:pPr>
            <w:r>
              <w:rPr>
                <w:rFonts w:ascii="Calibri"/>
                <w:spacing w:val="-4"/>
                <w:sz w:val="22"/>
              </w:rPr>
              <w:t>IGBC</w:t>
            </w:r>
          </w:p>
        </w:tc>
        <w:tc>
          <w:tcPr>
            <w:tcW w:w="2930" w:type="dxa"/>
          </w:tcPr>
          <w:p>
            <w:pPr>
              <w:pStyle w:val="TableParagraph"/>
              <w:spacing w:line="249" w:lineRule="exact" w:before="0"/>
              <w:ind w:left="140"/>
              <w:rPr>
                <w:rFonts w:ascii="Calibri"/>
                <w:sz w:val="22"/>
              </w:rPr>
            </w:pPr>
            <w:r>
              <w:rPr>
                <w:rFonts w:ascii="Calibri"/>
                <w:sz w:val="22"/>
              </w:rPr>
              <w:t>Interagency</w:t>
            </w:r>
            <w:r>
              <w:rPr>
                <w:rFonts w:ascii="Calibri"/>
                <w:spacing w:val="-9"/>
                <w:sz w:val="22"/>
              </w:rPr>
              <w:t> </w:t>
            </w:r>
            <w:r>
              <w:rPr>
                <w:rFonts w:ascii="Calibri"/>
                <w:sz w:val="22"/>
              </w:rPr>
              <w:t>Grizzly</w:t>
            </w:r>
            <w:r>
              <w:rPr>
                <w:rFonts w:ascii="Calibri"/>
                <w:spacing w:val="-5"/>
                <w:sz w:val="22"/>
              </w:rPr>
              <w:t> </w:t>
            </w:r>
            <w:r>
              <w:rPr>
                <w:rFonts w:ascii="Calibri"/>
                <w:spacing w:val="-4"/>
                <w:sz w:val="22"/>
              </w:rPr>
              <w:t>Bear</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z w:val="22"/>
              </w:rPr>
              <w:t>Conservation</w:t>
            </w:r>
            <w:r>
              <w:rPr>
                <w:rFonts w:ascii="Calibri"/>
                <w:spacing w:val="-7"/>
                <w:sz w:val="22"/>
              </w:rPr>
              <w:t> </w:t>
            </w:r>
            <w:r>
              <w:rPr>
                <w:rFonts w:ascii="Calibri"/>
                <w:spacing w:val="-2"/>
                <w:sz w:val="22"/>
              </w:rPr>
              <w:t>Strategy</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2"/>
                <w:sz w:val="22"/>
              </w:rPr>
              <w:t>Committee</w:t>
            </w:r>
          </w:p>
        </w:tc>
      </w:tr>
      <w:tr>
        <w:trPr>
          <w:trHeight w:val="267" w:hRule="atLeast"/>
        </w:trPr>
        <w:tc>
          <w:tcPr>
            <w:tcW w:w="810" w:type="dxa"/>
          </w:tcPr>
          <w:p>
            <w:pPr>
              <w:pStyle w:val="TableParagraph"/>
              <w:spacing w:line="248" w:lineRule="exact" w:before="0"/>
              <w:ind w:left="50"/>
              <w:rPr>
                <w:rFonts w:ascii="Calibri"/>
                <w:sz w:val="22"/>
              </w:rPr>
            </w:pPr>
            <w:r>
              <w:rPr>
                <w:rFonts w:ascii="Calibri"/>
                <w:spacing w:val="-5"/>
                <w:sz w:val="22"/>
              </w:rPr>
              <w:t>ARS</w:t>
            </w:r>
          </w:p>
        </w:tc>
        <w:tc>
          <w:tcPr>
            <w:tcW w:w="3428" w:type="dxa"/>
          </w:tcPr>
          <w:p>
            <w:pPr>
              <w:pStyle w:val="TableParagraph"/>
              <w:spacing w:line="248" w:lineRule="exact" w:before="0"/>
              <w:ind w:left="219"/>
              <w:rPr>
                <w:rFonts w:ascii="Calibri"/>
                <w:sz w:val="22"/>
              </w:rPr>
            </w:pPr>
            <w:r>
              <w:rPr>
                <w:rFonts w:ascii="Calibri"/>
                <w:sz w:val="22"/>
              </w:rPr>
              <w:t>Administrative</w:t>
            </w:r>
            <w:r>
              <w:rPr>
                <w:rFonts w:ascii="Calibri"/>
                <w:spacing w:val="-5"/>
                <w:sz w:val="22"/>
              </w:rPr>
              <w:t> </w:t>
            </w:r>
            <w:r>
              <w:rPr>
                <w:rFonts w:ascii="Calibri"/>
                <w:sz w:val="22"/>
              </w:rPr>
              <w:t>and</w:t>
            </w:r>
            <w:r>
              <w:rPr>
                <w:rFonts w:ascii="Calibri"/>
                <w:spacing w:val="-7"/>
                <w:sz w:val="22"/>
              </w:rPr>
              <w:t> </w:t>
            </w:r>
            <w:r>
              <w:rPr>
                <w:rFonts w:ascii="Calibri"/>
                <w:spacing w:val="-2"/>
                <w:sz w:val="22"/>
              </w:rPr>
              <w:t>Recreation</w:t>
            </w:r>
          </w:p>
        </w:tc>
        <w:tc>
          <w:tcPr>
            <w:tcW w:w="1331" w:type="dxa"/>
          </w:tcPr>
          <w:p>
            <w:pPr>
              <w:pStyle w:val="TableParagraph"/>
              <w:spacing w:line="248" w:lineRule="exact" w:before="0"/>
              <w:ind w:left="492"/>
              <w:rPr>
                <w:rFonts w:ascii="Calibri"/>
                <w:sz w:val="22"/>
              </w:rPr>
            </w:pPr>
            <w:r>
              <w:rPr>
                <w:rFonts w:ascii="Calibri"/>
                <w:spacing w:val="-2"/>
                <w:sz w:val="22"/>
              </w:rPr>
              <w:t>INFISH</w:t>
            </w:r>
          </w:p>
        </w:tc>
        <w:tc>
          <w:tcPr>
            <w:tcW w:w="2930" w:type="dxa"/>
          </w:tcPr>
          <w:p>
            <w:pPr>
              <w:pStyle w:val="TableParagraph"/>
              <w:spacing w:line="248" w:lineRule="exact" w:before="0"/>
              <w:ind w:left="140"/>
              <w:rPr>
                <w:rFonts w:ascii="Calibri"/>
                <w:sz w:val="22"/>
              </w:rPr>
            </w:pPr>
            <w:r>
              <w:rPr>
                <w:rFonts w:ascii="Calibri"/>
                <w:sz w:val="22"/>
              </w:rPr>
              <w:t>Inland</w:t>
            </w:r>
            <w:r>
              <w:rPr>
                <w:rFonts w:ascii="Calibri"/>
                <w:spacing w:val="-4"/>
                <w:sz w:val="22"/>
              </w:rPr>
              <w:t> </w:t>
            </w:r>
            <w:r>
              <w:rPr>
                <w:rFonts w:ascii="Calibri"/>
                <w:sz w:val="22"/>
              </w:rPr>
              <w:t>Native</w:t>
            </w:r>
            <w:r>
              <w:rPr>
                <w:rFonts w:ascii="Calibri"/>
                <w:spacing w:val="-3"/>
                <w:sz w:val="22"/>
              </w:rPr>
              <w:t> </w:t>
            </w:r>
            <w:r>
              <w:rPr>
                <w:rFonts w:ascii="Calibri"/>
                <w:sz w:val="22"/>
              </w:rPr>
              <w:t>Fish</w:t>
            </w:r>
            <w:r>
              <w:rPr>
                <w:rFonts w:ascii="Calibri"/>
                <w:spacing w:val="-3"/>
                <w:sz w:val="22"/>
              </w:rPr>
              <w:t> </w:t>
            </w:r>
            <w:r>
              <w:rPr>
                <w:rFonts w:ascii="Calibri"/>
                <w:spacing w:val="-2"/>
                <w:sz w:val="22"/>
              </w:rPr>
              <w:t>Strategy</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8" w:lineRule="exact" w:before="0"/>
              <w:ind w:left="219"/>
              <w:rPr>
                <w:rFonts w:ascii="Calibri"/>
                <w:sz w:val="22"/>
              </w:rPr>
            </w:pPr>
            <w:r>
              <w:rPr>
                <w:rFonts w:ascii="Calibri"/>
                <w:spacing w:val="-2"/>
                <w:sz w:val="22"/>
              </w:rPr>
              <w:t>Sites</w:t>
            </w:r>
          </w:p>
        </w:tc>
        <w:tc>
          <w:tcPr>
            <w:tcW w:w="1331" w:type="dxa"/>
          </w:tcPr>
          <w:p>
            <w:pPr>
              <w:pStyle w:val="TableParagraph"/>
              <w:spacing w:line="248" w:lineRule="exact" w:before="0"/>
              <w:ind w:left="492"/>
              <w:rPr>
                <w:rFonts w:ascii="Calibri"/>
                <w:sz w:val="22"/>
              </w:rPr>
            </w:pPr>
            <w:r>
              <w:rPr>
                <w:rFonts w:ascii="Calibri"/>
                <w:spacing w:val="-4"/>
                <w:sz w:val="22"/>
              </w:rPr>
              <w:t>KCRA</w:t>
            </w:r>
          </w:p>
        </w:tc>
        <w:tc>
          <w:tcPr>
            <w:tcW w:w="2930" w:type="dxa"/>
          </w:tcPr>
          <w:p>
            <w:pPr>
              <w:pStyle w:val="TableParagraph"/>
              <w:spacing w:line="249" w:lineRule="exact" w:before="0"/>
              <w:ind w:left="140"/>
              <w:rPr>
                <w:rFonts w:ascii="Calibri"/>
                <w:sz w:val="22"/>
              </w:rPr>
            </w:pPr>
            <w:r>
              <w:rPr>
                <w:rFonts w:ascii="Calibri"/>
                <w:sz w:val="22"/>
              </w:rPr>
              <w:t>Kettle</w:t>
            </w:r>
            <w:r>
              <w:rPr>
                <w:rFonts w:ascii="Calibri"/>
                <w:spacing w:val="-6"/>
                <w:sz w:val="22"/>
              </w:rPr>
              <w:t> </w:t>
            </w:r>
            <w:r>
              <w:rPr>
                <w:rFonts w:ascii="Calibri"/>
                <w:sz w:val="22"/>
              </w:rPr>
              <w:t>Crest</w:t>
            </w:r>
            <w:r>
              <w:rPr>
                <w:rFonts w:ascii="Calibri"/>
                <w:spacing w:val="-4"/>
                <w:sz w:val="22"/>
              </w:rPr>
              <w:t> </w:t>
            </w:r>
            <w:r>
              <w:rPr>
                <w:rFonts w:ascii="Calibri"/>
                <w:sz w:val="22"/>
              </w:rPr>
              <w:t>Recreation</w:t>
            </w:r>
            <w:r>
              <w:rPr>
                <w:rFonts w:ascii="Calibri"/>
                <w:spacing w:val="-7"/>
                <w:sz w:val="22"/>
              </w:rPr>
              <w:t> </w:t>
            </w:r>
            <w:r>
              <w:rPr>
                <w:rFonts w:ascii="Calibri"/>
                <w:spacing w:val="-4"/>
                <w:sz w:val="22"/>
              </w:rPr>
              <w:t>Area</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ASQ</w:t>
            </w:r>
          </w:p>
        </w:tc>
        <w:tc>
          <w:tcPr>
            <w:tcW w:w="3428" w:type="dxa"/>
          </w:tcPr>
          <w:p>
            <w:pPr>
              <w:pStyle w:val="TableParagraph"/>
              <w:spacing w:line="248" w:lineRule="exact" w:before="0"/>
              <w:ind w:left="219"/>
              <w:rPr>
                <w:rFonts w:ascii="Calibri"/>
                <w:sz w:val="22"/>
              </w:rPr>
            </w:pPr>
            <w:r>
              <w:rPr>
                <w:rFonts w:ascii="Calibri"/>
                <w:sz w:val="22"/>
              </w:rPr>
              <w:t>Allowable</w:t>
            </w:r>
            <w:r>
              <w:rPr>
                <w:rFonts w:ascii="Calibri"/>
                <w:spacing w:val="-6"/>
                <w:sz w:val="22"/>
              </w:rPr>
              <w:t> </w:t>
            </w:r>
            <w:r>
              <w:rPr>
                <w:rFonts w:ascii="Calibri"/>
                <w:sz w:val="22"/>
              </w:rPr>
              <w:t>Sale</w:t>
            </w:r>
            <w:r>
              <w:rPr>
                <w:rFonts w:ascii="Calibri"/>
                <w:spacing w:val="-3"/>
                <w:sz w:val="22"/>
              </w:rPr>
              <w:t> </w:t>
            </w:r>
            <w:r>
              <w:rPr>
                <w:rFonts w:ascii="Calibri"/>
                <w:spacing w:val="-2"/>
                <w:sz w:val="22"/>
              </w:rPr>
              <w:t>Quantity</w:t>
            </w:r>
          </w:p>
        </w:tc>
        <w:tc>
          <w:tcPr>
            <w:tcW w:w="1331" w:type="dxa"/>
          </w:tcPr>
          <w:p>
            <w:pPr>
              <w:pStyle w:val="TableParagraph"/>
              <w:spacing w:line="248" w:lineRule="exact" w:before="0"/>
              <w:ind w:left="492"/>
              <w:rPr>
                <w:rFonts w:ascii="Calibri"/>
                <w:sz w:val="22"/>
              </w:rPr>
            </w:pPr>
            <w:r>
              <w:rPr>
                <w:rFonts w:ascii="Calibri"/>
                <w:spacing w:val="-4"/>
                <w:sz w:val="22"/>
              </w:rPr>
              <w:t>LCAS</w:t>
            </w:r>
          </w:p>
        </w:tc>
        <w:tc>
          <w:tcPr>
            <w:tcW w:w="2930" w:type="dxa"/>
          </w:tcPr>
          <w:p>
            <w:pPr>
              <w:pStyle w:val="TableParagraph"/>
              <w:spacing w:line="249" w:lineRule="exact" w:before="0"/>
              <w:ind w:left="140"/>
              <w:rPr>
                <w:rFonts w:ascii="Calibri"/>
                <w:sz w:val="22"/>
              </w:rPr>
            </w:pPr>
            <w:r>
              <w:rPr>
                <w:rFonts w:ascii="Calibri"/>
                <w:sz w:val="22"/>
              </w:rPr>
              <w:t>Lynx</w:t>
            </w:r>
            <w:r>
              <w:rPr>
                <w:rFonts w:ascii="Calibri"/>
                <w:spacing w:val="-5"/>
                <w:sz w:val="22"/>
              </w:rPr>
              <w:t> </w:t>
            </w:r>
            <w:r>
              <w:rPr>
                <w:rFonts w:ascii="Calibri"/>
                <w:sz w:val="22"/>
              </w:rPr>
              <w:t>Conservation</w:t>
            </w:r>
            <w:r>
              <w:rPr>
                <w:rFonts w:ascii="Calibri"/>
                <w:spacing w:val="-5"/>
                <w:sz w:val="22"/>
              </w:rPr>
              <w:t> </w:t>
            </w:r>
            <w:r>
              <w:rPr>
                <w:rFonts w:ascii="Calibri"/>
                <w:spacing w:val="-2"/>
                <w:sz w:val="22"/>
              </w:rPr>
              <w:t>Assessment</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ATV</w:t>
            </w:r>
          </w:p>
        </w:tc>
        <w:tc>
          <w:tcPr>
            <w:tcW w:w="3428" w:type="dxa"/>
          </w:tcPr>
          <w:p>
            <w:pPr>
              <w:pStyle w:val="TableParagraph"/>
              <w:spacing w:line="248" w:lineRule="exact" w:before="0"/>
              <w:ind w:left="219"/>
              <w:rPr>
                <w:rFonts w:ascii="Calibri"/>
                <w:sz w:val="22"/>
              </w:rPr>
            </w:pPr>
            <w:r>
              <w:rPr>
                <w:rFonts w:ascii="Calibri"/>
                <w:sz w:val="22"/>
              </w:rPr>
              <w:t>All-terrain</w:t>
            </w:r>
            <w:r>
              <w:rPr>
                <w:rFonts w:ascii="Calibri"/>
                <w:spacing w:val="-9"/>
                <w:sz w:val="22"/>
              </w:rPr>
              <w:t> </w:t>
            </w:r>
            <w:r>
              <w:rPr>
                <w:rFonts w:ascii="Calibri"/>
                <w:spacing w:val="-2"/>
                <w:sz w:val="22"/>
              </w:rPr>
              <w:t>Vehicle</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z w:val="22"/>
              </w:rPr>
              <w:t>and</w:t>
            </w:r>
            <w:r>
              <w:rPr>
                <w:rFonts w:ascii="Calibri"/>
                <w:spacing w:val="-5"/>
                <w:sz w:val="22"/>
              </w:rPr>
              <w:t> </w:t>
            </w:r>
            <w:r>
              <w:rPr>
                <w:rFonts w:ascii="Calibri"/>
                <w:spacing w:val="-2"/>
                <w:sz w:val="22"/>
              </w:rPr>
              <w:t>Strategy</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AUM</w:t>
            </w:r>
          </w:p>
        </w:tc>
        <w:tc>
          <w:tcPr>
            <w:tcW w:w="3428" w:type="dxa"/>
          </w:tcPr>
          <w:p>
            <w:pPr>
              <w:pStyle w:val="TableParagraph"/>
              <w:spacing w:line="248" w:lineRule="exact" w:before="0"/>
              <w:ind w:left="219"/>
              <w:rPr>
                <w:rFonts w:ascii="Calibri"/>
                <w:sz w:val="22"/>
              </w:rPr>
            </w:pPr>
            <w:r>
              <w:rPr>
                <w:rFonts w:ascii="Calibri"/>
                <w:sz w:val="22"/>
              </w:rPr>
              <w:t>Animal</w:t>
            </w:r>
            <w:r>
              <w:rPr>
                <w:rFonts w:ascii="Calibri"/>
                <w:spacing w:val="-4"/>
                <w:sz w:val="22"/>
              </w:rPr>
              <w:t> </w:t>
            </w:r>
            <w:r>
              <w:rPr>
                <w:rFonts w:ascii="Calibri"/>
                <w:sz w:val="22"/>
              </w:rPr>
              <w:t>Unit</w:t>
            </w:r>
            <w:r>
              <w:rPr>
                <w:rFonts w:ascii="Calibri"/>
                <w:spacing w:val="-4"/>
                <w:sz w:val="22"/>
              </w:rPr>
              <w:t> </w:t>
            </w:r>
            <w:r>
              <w:rPr>
                <w:rFonts w:ascii="Calibri"/>
                <w:spacing w:val="-2"/>
                <w:sz w:val="22"/>
              </w:rPr>
              <w:t>Month</w:t>
            </w:r>
          </w:p>
        </w:tc>
        <w:tc>
          <w:tcPr>
            <w:tcW w:w="1331" w:type="dxa"/>
          </w:tcPr>
          <w:p>
            <w:pPr>
              <w:pStyle w:val="TableParagraph"/>
              <w:spacing w:line="248" w:lineRule="exact" w:before="0"/>
              <w:ind w:left="492"/>
              <w:rPr>
                <w:rFonts w:ascii="Calibri"/>
                <w:sz w:val="22"/>
              </w:rPr>
            </w:pPr>
            <w:r>
              <w:rPr>
                <w:rFonts w:ascii="Calibri"/>
                <w:spacing w:val="-5"/>
                <w:sz w:val="22"/>
              </w:rPr>
              <w:t>LMP</w:t>
            </w:r>
          </w:p>
        </w:tc>
        <w:tc>
          <w:tcPr>
            <w:tcW w:w="2930" w:type="dxa"/>
          </w:tcPr>
          <w:p>
            <w:pPr>
              <w:pStyle w:val="TableParagraph"/>
              <w:spacing w:line="249" w:lineRule="exact" w:before="0"/>
              <w:ind w:left="140"/>
              <w:rPr>
                <w:rFonts w:ascii="Calibri"/>
                <w:sz w:val="22"/>
              </w:rPr>
            </w:pPr>
            <w:r>
              <w:rPr>
                <w:rFonts w:ascii="Calibri"/>
                <w:sz w:val="22"/>
              </w:rPr>
              <w:t>Land</w:t>
            </w:r>
            <w:r>
              <w:rPr>
                <w:rFonts w:ascii="Calibri"/>
                <w:spacing w:val="-9"/>
                <w:sz w:val="22"/>
              </w:rPr>
              <w:t> </w:t>
            </w:r>
            <w:r>
              <w:rPr>
                <w:rFonts w:ascii="Calibri"/>
                <w:sz w:val="22"/>
              </w:rPr>
              <w:t>Management</w:t>
            </w:r>
            <w:r>
              <w:rPr>
                <w:rFonts w:ascii="Calibri"/>
                <w:spacing w:val="-6"/>
                <w:sz w:val="22"/>
              </w:rPr>
              <w:t> </w:t>
            </w:r>
            <w:r>
              <w:rPr>
                <w:rFonts w:ascii="Calibri"/>
                <w:spacing w:val="-4"/>
                <w:sz w:val="22"/>
              </w:rPr>
              <w:t>Plan</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BC</w:t>
            </w:r>
          </w:p>
        </w:tc>
        <w:tc>
          <w:tcPr>
            <w:tcW w:w="3428" w:type="dxa"/>
          </w:tcPr>
          <w:p>
            <w:pPr>
              <w:pStyle w:val="TableParagraph"/>
              <w:spacing w:line="248" w:lineRule="exact" w:before="0"/>
              <w:ind w:left="219"/>
              <w:rPr>
                <w:rFonts w:ascii="Calibri"/>
                <w:sz w:val="22"/>
              </w:rPr>
            </w:pPr>
            <w:r>
              <w:rPr>
                <w:rFonts w:ascii="Calibri"/>
                <w:sz w:val="22"/>
              </w:rPr>
              <w:t>Backcountry</w:t>
            </w:r>
            <w:r>
              <w:rPr>
                <w:rFonts w:ascii="Calibri"/>
                <w:spacing w:val="-11"/>
                <w:sz w:val="22"/>
              </w:rPr>
              <w:t> </w:t>
            </w:r>
            <w:r>
              <w:rPr>
                <w:rFonts w:ascii="Calibri"/>
                <w:sz w:val="22"/>
              </w:rPr>
              <w:t>Non-</w:t>
            </w:r>
            <w:r>
              <w:rPr>
                <w:rFonts w:ascii="Calibri"/>
                <w:spacing w:val="-2"/>
                <w:sz w:val="22"/>
              </w:rPr>
              <w:t>Motorized</w:t>
            </w:r>
          </w:p>
        </w:tc>
        <w:tc>
          <w:tcPr>
            <w:tcW w:w="1331" w:type="dxa"/>
          </w:tcPr>
          <w:p>
            <w:pPr>
              <w:pStyle w:val="TableParagraph"/>
              <w:spacing w:line="248" w:lineRule="exact" w:before="0"/>
              <w:ind w:left="492"/>
              <w:rPr>
                <w:rFonts w:ascii="Calibri"/>
                <w:sz w:val="22"/>
              </w:rPr>
            </w:pPr>
            <w:r>
              <w:rPr>
                <w:rFonts w:ascii="Calibri"/>
                <w:spacing w:val="-4"/>
                <w:sz w:val="22"/>
              </w:rPr>
              <w:t>LRMP</w:t>
            </w:r>
          </w:p>
        </w:tc>
        <w:tc>
          <w:tcPr>
            <w:tcW w:w="2930" w:type="dxa"/>
          </w:tcPr>
          <w:p>
            <w:pPr>
              <w:pStyle w:val="TableParagraph"/>
              <w:spacing w:line="248" w:lineRule="exact" w:before="0"/>
              <w:ind w:left="140"/>
              <w:rPr>
                <w:rFonts w:ascii="Calibri"/>
                <w:sz w:val="22"/>
              </w:rPr>
            </w:pPr>
            <w:r>
              <w:rPr>
                <w:rFonts w:ascii="Calibri"/>
                <w:sz w:val="22"/>
              </w:rPr>
              <w:t>Land</w:t>
            </w:r>
            <w:r>
              <w:rPr>
                <w:rFonts w:ascii="Calibri"/>
                <w:spacing w:val="-5"/>
                <w:sz w:val="22"/>
              </w:rPr>
              <w:t> </w:t>
            </w:r>
            <w:r>
              <w:rPr>
                <w:rFonts w:ascii="Calibri"/>
                <w:sz w:val="22"/>
              </w:rPr>
              <w:t>and</w:t>
            </w:r>
            <w:r>
              <w:rPr>
                <w:rFonts w:ascii="Calibri"/>
                <w:spacing w:val="-3"/>
                <w:sz w:val="22"/>
              </w:rPr>
              <w:t> </w:t>
            </w:r>
            <w:r>
              <w:rPr>
                <w:rFonts w:ascii="Calibri"/>
                <w:spacing w:val="-2"/>
                <w:sz w:val="22"/>
              </w:rPr>
              <w:t>Resource</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BCM</w:t>
            </w:r>
          </w:p>
        </w:tc>
        <w:tc>
          <w:tcPr>
            <w:tcW w:w="3428" w:type="dxa"/>
          </w:tcPr>
          <w:p>
            <w:pPr>
              <w:pStyle w:val="TableParagraph"/>
              <w:spacing w:line="248" w:lineRule="exact" w:before="0"/>
              <w:ind w:left="219"/>
              <w:rPr>
                <w:rFonts w:ascii="Calibri"/>
                <w:sz w:val="22"/>
              </w:rPr>
            </w:pPr>
            <w:r>
              <w:rPr>
                <w:rFonts w:ascii="Calibri"/>
                <w:sz w:val="22"/>
              </w:rPr>
              <w:t>Backcountry</w:t>
            </w:r>
            <w:r>
              <w:rPr>
                <w:rFonts w:ascii="Calibri"/>
                <w:spacing w:val="-8"/>
                <w:sz w:val="22"/>
              </w:rPr>
              <w:t> </w:t>
            </w:r>
            <w:r>
              <w:rPr>
                <w:rFonts w:ascii="Calibri"/>
                <w:spacing w:val="-2"/>
                <w:sz w:val="22"/>
              </w:rPr>
              <w:t>Motorized</w:t>
            </w:r>
          </w:p>
        </w:tc>
        <w:tc>
          <w:tcPr>
            <w:tcW w:w="1331" w:type="dxa"/>
          </w:tcPr>
          <w:p>
            <w:pPr>
              <w:pStyle w:val="TableParagraph"/>
              <w:spacing w:before="0"/>
              <w:rPr>
                <w:rFonts w:ascii="Times New Roman"/>
                <w:sz w:val="18"/>
              </w:rPr>
            </w:pPr>
          </w:p>
        </w:tc>
        <w:tc>
          <w:tcPr>
            <w:tcW w:w="2930" w:type="dxa"/>
          </w:tcPr>
          <w:p>
            <w:pPr>
              <w:pStyle w:val="TableParagraph"/>
              <w:spacing w:line="248" w:lineRule="exact" w:before="0"/>
              <w:ind w:left="140"/>
              <w:rPr>
                <w:rFonts w:ascii="Calibri"/>
                <w:sz w:val="22"/>
              </w:rPr>
            </w:pPr>
            <w:r>
              <w:rPr>
                <w:rFonts w:ascii="Calibri"/>
                <w:sz w:val="22"/>
              </w:rPr>
              <w:t>Management</w:t>
            </w:r>
            <w:r>
              <w:rPr>
                <w:rFonts w:ascii="Calibri"/>
                <w:spacing w:val="-10"/>
                <w:sz w:val="22"/>
              </w:rPr>
              <w:t> </w:t>
            </w:r>
            <w:r>
              <w:rPr>
                <w:rFonts w:ascii="Calibri"/>
                <w:spacing w:val="-4"/>
                <w:sz w:val="22"/>
              </w:rPr>
              <w:t>Plan</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BLM</w:t>
            </w:r>
          </w:p>
        </w:tc>
        <w:tc>
          <w:tcPr>
            <w:tcW w:w="3428" w:type="dxa"/>
          </w:tcPr>
          <w:p>
            <w:pPr>
              <w:pStyle w:val="TableParagraph"/>
              <w:spacing w:line="249" w:lineRule="exact" w:before="0"/>
              <w:ind w:left="219"/>
              <w:rPr>
                <w:rFonts w:ascii="Calibri"/>
                <w:sz w:val="22"/>
              </w:rPr>
            </w:pPr>
            <w:r>
              <w:rPr>
                <w:rFonts w:ascii="Calibri"/>
                <w:sz w:val="22"/>
              </w:rPr>
              <w:t>Bureau</w:t>
            </w:r>
            <w:r>
              <w:rPr>
                <w:rFonts w:ascii="Calibri"/>
                <w:spacing w:val="-3"/>
                <w:sz w:val="22"/>
              </w:rPr>
              <w:t> </w:t>
            </w:r>
            <w:r>
              <w:rPr>
                <w:rFonts w:ascii="Calibri"/>
                <w:sz w:val="22"/>
              </w:rPr>
              <w:t>of</w:t>
            </w:r>
            <w:r>
              <w:rPr>
                <w:rFonts w:ascii="Calibri"/>
                <w:spacing w:val="-4"/>
                <w:sz w:val="22"/>
              </w:rPr>
              <w:t> </w:t>
            </w:r>
            <w:r>
              <w:rPr>
                <w:rFonts w:ascii="Calibri"/>
                <w:sz w:val="22"/>
              </w:rPr>
              <w:t>Land</w:t>
            </w:r>
            <w:r>
              <w:rPr>
                <w:rFonts w:ascii="Calibri"/>
                <w:spacing w:val="-4"/>
                <w:sz w:val="22"/>
              </w:rPr>
              <w:t> </w:t>
            </w:r>
            <w:r>
              <w:rPr>
                <w:rFonts w:ascii="Calibri"/>
                <w:spacing w:val="-2"/>
                <w:sz w:val="22"/>
              </w:rPr>
              <w:t>Management</w:t>
            </w:r>
          </w:p>
        </w:tc>
        <w:tc>
          <w:tcPr>
            <w:tcW w:w="1331" w:type="dxa"/>
          </w:tcPr>
          <w:p>
            <w:pPr>
              <w:pStyle w:val="TableParagraph"/>
              <w:spacing w:line="249" w:lineRule="exact" w:before="0"/>
              <w:ind w:left="492"/>
              <w:rPr>
                <w:rFonts w:ascii="Calibri"/>
                <w:sz w:val="22"/>
              </w:rPr>
            </w:pPr>
            <w:r>
              <w:rPr>
                <w:rFonts w:ascii="Calibri"/>
                <w:spacing w:val="-4"/>
                <w:sz w:val="22"/>
              </w:rPr>
              <w:t>LSOF</w:t>
            </w:r>
          </w:p>
        </w:tc>
        <w:tc>
          <w:tcPr>
            <w:tcW w:w="2930" w:type="dxa"/>
          </w:tcPr>
          <w:p>
            <w:pPr>
              <w:pStyle w:val="TableParagraph"/>
              <w:spacing w:line="248" w:lineRule="exact" w:before="0"/>
              <w:ind w:left="140"/>
              <w:rPr>
                <w:rFonts w:ascii="Calibri"/>
                <w:sz w:val="22"/>
              </w:rPr>
            </w:pPr>
            <w:r>
              <w:rPr>
                <w:rFonts w:ascii="Calibri"/>
                <w:sz w:val="22"/>
              </w:rPr>
              <w:t>Late</w:t>
            </w:r>
            <w:r>
              <w:rPr>
                <w:rFonts w:ascii="Calibri"/>
                <w:spacing w:val="-5"/>
                <w:sz w:val="22"/>
              </w:rPr>
              <w:t> </w:t>
            </w:r>
            <w:r>
              <w:rPr>
                <w:rFonts w:ascii="Calibri"/>
                <w:sz w:val="22"/>
              </w:rPr>
              <w:t>Structure</w:t>
            </w:r>
            <w:r>
              <w:rPr>
                <w:rFonts w:ascii="Calibri"/>
                <w:spacing w:val="-4"/>
                <w:sz w:val="22"/>
              </w:rPr>
              <w:t> </w:t>
            </w:r>
            <w:r>
              <w:rPr>
                <w:rFonts w:ascii="Calibri"/>
                <w:sz w:val="22"/>
              </w:rPr>
              <w:t>Old</w:t>
            </w:r>
            <w:r>
              <w:rPr>
                <w:rFonts w:ascii="Calibri"/>
                <w:spacing w:val="-3"/>
                <w:sz w:val="22"/>
              </w:rPr>
              <w:t> </w:t>
            </w:r>
            <w:r>
              <w:rPr>
                <w:rFonts w:ascii="Calibri"/>
                <w:spacing w:val="-2"/>
                <w:sz w:val="22"/>
              </w:rPr>
              <w:t>Forest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BMP</w:t>
            </w:r>
          </w:p>
        </w:tc>
        <w:tc>
          <w:tcPr>
            <w:tcW w:w="3428" w:type="dxa"/>
          </w:tcPr>
          <w:p>
            <w:pPr>
              <w:pStyle w:val="TableParagraph"/>
              <w:spacing w:line="249" w:lineRule="exact" w:before="0"/>
              <w:ind w:left="219"/>
              <w:rPr>
                <w:rFonts w:ascii="Calibri"/>
                <w:sz w:val="22"/>
              </w:rPr>
            </w:pPr>
            <w:r>
              <w:rPr>
                <w:rFonts w:ascii="Calibri"/>
                <w:sz w:val="22"/>
              </w:rPr>
              <w:t>Best</w:t>
            </w:r>
            <w:r>
              <w:rPr>
                <w:rFonts w:ascii="Calibri"/>
                <w:spacing w:val="-6"/>
                <w:sz w:val="22"/>
              </w:rPr>
              <w:t> </w:t>
            </w:r>
            <w:r>
              <w:rPr>
                <w:rFonts w:ascii="Calibri"/>
                <w:sz w:val="22"/>
              </w:rPr>
              <w:t>Management</w:t>
            </w:r>
            <w:r>
              <w:rPr>
                <w:rFonts w:ascii="Calibri"/>
                <w:spacing w:val="-5"/>
                <w:sz w:val="22"/>
              </w:rPr>
              <w:t> </w:t>
            </w:r>
            <w:r>
              <w:rPr>
                <w:rFonts w:ascii="Calibri"/>
                <w:spacing w:val="-2"/>
                <w:sz w:val="22"/>
              </w:rPr>
              <w:t>Practice</w:t>
            </w:r>
          </w:p>
        </w:tc>
        <w:tc>
          <w:tcPr>
            <w:tcW w:w="1331" w:type="dxa"/>
          </w:tcPr>
          <w:p>
            <w:pPr>
              <w:pStyle w:val="TableParagraph"/>
              <w:spacing w:line="249" w:lineRule="exact" w:before="0"/>
              <w:ind w:left="492"/>
              <w:rPr>
                <w:rFonts w:ascii="Calibri"/>
                <w:sz w:val="22"/>
              </w:rPr>
            </w:pPr>
            <w:r>
              <w:rPr>
                <w:rFonts w:ascii="Calibri"/>
                <w:spacing w:val="-5"/>
                <w:sz w:val="22"/>
              </w:rPr>
              <w:t>LTA</w:t>
            </w:r>
          </w:p>
        </w:tc>
        <w:tc>
          <w:tcPr>
            <w:tcW w:w="2930" w:type="dxa"/>
          </w:tcPr>
          <w:p>
            <w:pPr>
              <w:pStyle w:val="TableParagraph"/>
              <w:spacing w:line="248" w:lineRule="exact" w:before="0"/>
              <w:ind w:left="140"/>
              <w:rPr>
                <w:rFonts w:ascii="Calibri"/>
                <w:sz w:val="22"/>
              </w:rPr>
            </w:pPr>
            <w:r>
              <w:rPr>
                <w:rFonts w:ascii="Calibri"/>
                <w:sz w:val="22"/>
              </w:rPr>
              <w:t>Landtype</w:t>
            </w:r>
            <w:r>
              <w:rPr>
                <w:rFonts w:ascii="Calibri"/>
                <w:spacing w:val="-9"/>
                <w:sz w:val="22"/>
              </w:rPr>
              <w:t> </w:t>
            </w:r>
            <w:r>
              <w:rPr>
                <w:rFonts w:ascii="Calibri"/>
                <w:spacing w:val="-2"/>
                <w:sz w:val="22"/>
              </w:rPr>
              <w:t>Association</w:t>
            </w:r>
          </w:p>
        </w:tc>
      </w:tr>
      <w:tr>
        <w:trPr>
          <w:trHeight w:val="287" w:hRule="atLeast"/>
        </w:trPr>
        <w:tc>
          <w:tcPr>
            <w:tcW w:w="810" w:type="dxa"/>
          </w:tcPr>
          <w:p>
            <w:pPr>
              <w:pStyle w:val="TableParagraph"/>
              <w:spacing w:line="249" w:lineRule="exact" w:before="0"/>
              <w:ind w:left="50"/>
              <w:rPr>
                <w:rFonts w:ascii="Calibri"/>
                <w:sz w:val="22"/>
              </w:rPr>
            </w:pPr>
            <w:r>
              <w:rPr>
                <w:rFonts w:ascii="Calibri"/>
                <w:spacing w:val="-5"/>
                <w:sz w:val="22"/>
              </w:rPr>
              <w:t>CCF</w:t>
            </w:r>
          </w:p>
        </w:tc>
        <w:tc>
          <w:tcPr>
            <w:tcW w:w="3428" w:type="dxa"/>
          </w:tcPr>
          <w:p>
            <w:pPr>
              <w:pStyle w:val="TableParagraph"/>
              <w:spacing w:line="249" w:lineRule="exact" w:before="0"/>
              <w:ind w:left="219"/>
              <w:rPr>
                <w:rFonts w:ascii="Calibri"/>
                <w:sz w:val="22"/>
              </w:rPr>
            </w:pPr>
            <w:r>
              <w:rPr>
                <w:rFonts w:ascii="Calibri"/>
                <w:sz w:val="22"/>
              </w:rPr>
              <w:t>Hundred</w:t>
            </w:r>
            <w:r>
              <w:rPr>
                <w:rFonts w:ascii="Calibri"/>
                <w:spacing w:val="-8"/>
                <w:sz w:val="22"/>
              </w:rPr>
              <w:t> </w:t>
            </w:r>
            <w:r>
              <w:rPr>
                <w:rFonts w:ascii="Calibri"/>
                <w:sz w:val="22"/>
              </w:rPr>
              <w:t>Cubic</w:t>
            </w:r>
            <w:r>
              <w:rPr>
                <w:rFonts w:ascii="Calibri"/>
                <w:spacing w:val="-4"/>
                <w:sz w:val="22"/>
              </w:rPr>
              <w:t> Feet</w:t>
            </w:r>
          </w:p>
        </w:tc>
        <w:tc>
          <w:tcPr>
            <w:tcW w:w="1331" w:type="dxa"/>
          </w:tcPr>
          <w:p>
            <w:pPr>
              <w:pStyle w:val="TableParagraph"/>
              <w:spacing w:line="249" w:lineRule="exact" w:before="0"/>
              <w:ind w:left="492"/>
              <w:rPr>
                <w:rFonts w:ascii="Calibri"/>
                <w:sz w:val="22"/>
              </w:rPr>
            </w:pPr>
            <w:r>
              <w:rPr>
                <w:rFonts w:ascii="Calibri"/>
                <w:spacing w:val="-4"/>
                <w:sz w:val="22"/>
              </w:rPr>
              <w:t>LTSY</w:t>
            </w:r>
          </w:p>
        </w:tc>
        <w:tc>
          <w:tcPr>
            <w:tcW w:w="2930" w:type="dxa"/>
          </w:tcPr>
          <w:p>
            <w:pPr>
              <w:pStyle w:val="TableParagraph"/>
              <w:spacing w:line="248" w:lineRule="exact" w:before="0"/>
              <w:ind w:left="140"/>
              <w:rPr>
                <w:rFonts w:ascii="Calibri"/>
                <w:sz w:val="22"/>
              </w:rPr>
            </w:pPr>
            <w:r>
              <w:rPr>
                <w:rFonts w:ascii="Calibri"/>
                <w:sz w:val="22"/>
              </w:rPr>
              <w:t>Long-term</w:t>
            </w:r>
            <w:r>
              <w:rPr>
                <w:rFonts w:ascii="Calibri"/>
                <w:spacing w:val="-4"/>
                <w:sz w:val="22"/>
              </w:rPr>
              <w:t> </w:t>
            </w:r>
            <w:r>
              <w:rPr>
                <w:rFonts w:ascii="Calibri"/>
                <w:sz w:val="22"/>
              </w:rPr>
              <w:t>Sustained</w:t>
            </w:r>
            <w:r>
              <w:rPr>
                <w:rFonts w:ascii="Calibri"/>
                <w:spacing w:val="-2"/>
                <w:sz w:val="22"/>
              </w:rPr>
              <w:t> Yield</w:t>
            </w:r>
          </w:p>
        </w:tc>
      </w:tr>
      <w:tr>
        <w:trPr>
          <w:trHeight w:val="536" w:hRule="atLeast"/>
        </w:trPr>
        <w:tc>
          <w:tcPr>
            <w:tcW w:w="810" w:type="dxa"/>
          </w:tcPr>
          <w:p>
            <w:pPr>
              <w:pStyle w:val="TableParagraph"/>
              <w:spacing w:line="267" w:lineRule="exact" w:before="0"/>
              <w:ind w:left="50"/>
              <w:rPr>
                <w:rFonts w:ascii="Calibri"/>
                <w:sz w:val="22"/>
              </w:rPr>
            </w:pPr>
            <w:r>
              <w:rPr>
                <w:rFonts w:ascii="Calibri"/>
                <w:spacing w:val="-5"/>
                <w:sz w:val="22"/>
              </w:rPr>
              <w:t>CEQ</w:t>
            </w:r>
          </w:p>
        </w:tc>
        <w:tc>
          <w:tcPr>
            <w:tcW w:w="3428" w:type="dxa"/>
          </w:tcPr>
          <w:p>
            <w:pPr>
              <w:pStyle w:val="TableParagraph"/>
              <w:spacing w:line="267" w:lineRule="exact" w:before="0"/>
              <w:ind w:left="219"/>
              <w:rPr>
                <w:rFonts w:ascii="Calibri"/>
                <w:sz w:val="22"/>
              </w:rPr>
            </w:pPr>
            <w:r>
              <w:rPr>
                <w:rFonts w:ascii="Calibri"/>
                <w:sz w:val="22"/>
              </w:rPr>
              <w:t>Council</w:t>
            </w:r>
            <w:r>
              <w:rPr>
                <w:rFonts w:ascii="Calibri"/>
                <w:spacing w:val="-4"/>
                <w:sz w:val="22"/>
              </w:rPr>
              <w:t> </w:t>
            </w:r>
            <w:r>
              <w:rPr>
                <w:rFonts w:ascii="Calibri"/>
                <w:sz w:val="22"/>
              </w:rPr>
              <w:t>on</w:t>
            </w:r>
            <w:r>
              <w:rPr>
                <w:rFonts w:ascii="Calibri"/>
                <w:spacing w:val="-2"/>
                <w:sz w:val="22"/>
              </w:rPr>
              <w:t> Environmental</w:t>
            </w:r>
          </w:p>
          <w:p>
            <w:pPr>
              <w:pStyle w:val="TableParagraph"/>
              <w:spacing w:line="250" w:lineRule="exact" w:before="0"/>
              <w:ind w:left="219"/>
              <w:rPr>
                <w:rFonts w:ascii="Calibri"/>
                <w:sz w:val="22"/>
              </w:rPr>
            </w:pPr>
            <w:r>
              <w:rPr>
                <w:rFonts w:ascii="Calibri"/>
                <w:spacing w:val="-2"/>
                <w:sz w:val="22"/>
              </w:rPr>
              <w:t>Quality</w:t>
            </w:r>
          </w:p>
        </w:tc>
        <w:tc>
          <w:tcPr>
            <w:tcW w:w="1331" w:type="dxa"/>
          </w:tcPr>
          <w:p>
            <w:pPr>
              <w:pStyle w:val="TableParagraph"/>
              <w:spacing w:before="228"/>
              <w:ind w:left="492"/>
              <w:rPr>
                <w:rFonts w:ascii="Calibri"/>
                <w:sz w:val="22"/>
              </w:rPr>
            </w:pPr>
            <w:r>
              <w:rPr>
                <w:rFonts w:ascii="Calibri"/>
                <w:spacing w:val="-5"/>
                <w:sz w:val="22"/>
              </w:rPr>
              <w:t>MA</w:t>
            </w:r>
          </w:p>
        </w:tc>
        <w:tc>
          <w:tcPr>
            <w:tcW w:w="2930" w:type="dxa"/>
          </w:tcPr>
          <w:p>
            <w:pPr>
              <w:pStyle w:val="TableParagraph"/>
              <w:spacing w:before="228"/>
              <w:ind w:left="140"/>
              <w:rPr>
                <w:rFonts w:ascii="Calibri"/>
                <w:sz w:val="22"/>
              </w:rPr>
            </w:pPr>
            <w:r>
              <w:rPr>
                <w:rFonts w:ascii="Calibri"/>
                <w:sz w:val="22"/>
              </w:rPr>
              <w:t>Management</w:t>
            </w:r>
            <w:r>
              <w:rPr>
                <w:rFonts w:ascii="Calibri"/>
                <w:spacing w:val="1"/>
                <w:sz w:val="22"/>
              </w:rPr>
              <w:t> </w:t>
            </w:r>
            <w:r>
              <w:rPr>
                <w:rFonts w:ascii="Calibri"/>
                <w:spacing w:val="-4"/>
                <w:sz w:val="22"/>
              </w:rPr>
              <w:t>Area</w:t>
            </w:r>
          </w:p>
        </w:tc>
      </w:tr>
      <w:tr>
        <w:trPr>
          <w:trHeight w:val="286" w:hRule="atLeast"/>
        </w:trPr>
        <w:tc>
          <w:tcPr>
            <w:tcW w:w="810" w:type="dxa"/>
          </w:tcPr>
          <w:p>
            <w:pPr>
              <w:pStyle w:val="TableParagraph"/>
              <w:spacing w:line="267" w:lineRule="exact" w:before="0"/>
              <w:ind w:left="50"/>
              <w:rPr>
                <w:rFonts w:ascii="Calibri"/>
                <w:sz w:val="22"/>
              </w:rPr>
            </w:pPr>
            <w:r>
              <w:rPr>
                <w:rFonts w:ascii="Calibri"/>
                <w:spacing w:val="-5"/>
                <w:sz w:val="22"/>
              </w:rPr>
              <w:t>CFR</w:t>
            </w:r>
          </w:p>
        </w:tc>
        <w:tc>
          <w:tcPr>
            <w:tcW w:w="3428" w:type="dxa"/>
          </w:tcPr>
          <w:p>
            <w:pPr>
              <w:pStyle w:val="TableParagraph"/>
              <w:spacing w:line="267" w:lineRule="exact" w:before="0"/>
              <w:ind w:left="219"/>
              <w:rPr>
                <w:rFonts w:ascii="Calibri"/>
                <w:sz w:val="22"/>
              </w:rPr>
            </w:pPr>
            <w:r>
              <w:rPr>
                <w:rFonts w:ascii="Calibri"/>
                <w:sz w:val="22"/>
              </w:rPr>
              <w:t>Code</w:t>
            </w:r>
            <w:r>
              <w:rPr>
                <w:rFonts w:ascii="Calibri"/>
                <w:spacing w:val="-5"/>
                <w:sz w:val="22"/>
              </w:rPr>
              <w:t> </w:t>
            </w:r>
            <w:r>
              <w:rPr>
                <w:rFonts w:ascii="Calibri"/>
                <w:sz w:val="22"/>
              </w:rPr>
              <w:t>of</w:t>
            </w:r>
            <w:r>
              <w:rPr>
                <w:rFonts w:ascii="Calibri"/>
                <w:spacing w:val="-2"/>
                <w:sz w:val="22"/>
              </w:rPr>
              <w:t> </w:t>
            </w:r>
            <w:r>
              <w:rPr>
                <w:rFonts w:ascii="Calibri"/>
                <w:sz w:val="22"/>
              </w:rPr>
              <w:t>Federal</w:t>
            </w:r>
            <w:r>
              <w:rPr>
                <w:rFonts w:ascii="Calibri"/>
                <w:spacing w:val="-2"/>
                <w:sz w:val="22"/>
              </w:rPr>
              <w:t> Regulations</w:t>
            </w:r>
          </w:p>
        </w:tc>
        <w:tc>
          <w:tcPr>
            <w:tcW w:w="1331" w:type="dxa"/>
          </w:tcPr>
          <w:p>
            <w:pPr>
              <w:pStyle w:val="TableParagraph"/>
              <w:spacing w:line="230" w:lineRule="exact" w:before="0"/>
              <w:ind w:left="492"/>
              <w:rPr>
                <w:rFonts w:ascii="Calibri"/>
                <w:sz w:val="22"/>
              </w:rPr>
            </w:pPr>
            <w:r>
              <w:rPr>
                <w:rFonts w:ascii="Calibri"/>
                <w:spacing w:val="-4"/>
                <w:sz w:val="22"/>
              </w:rPr>
              <w:t>MMBF</w:t>
            </w:r>
          </w:p>
        </w:tc>
        <w:tc>
          <w:tcPr>
            <w:tcW w:w="2930" w:type="dxa"/>
          </w:tcPr>
          <w:p>
            <w:pPr>
              <w:pStyle w:val="TableParagraph"/>
              <w:spacing w:line="230" w:lineRule="exact" w:before="0"/>
              <w:ind w:left="140"/>
              <w:rPr>
                <w:rFonts w:ascii="Calibri"/>
                <w:sz w:val="22"/>
              </w:rPr>
            </w:pPr>
            <w:r>
              <w:rPr>
                <w:rFonts w:ascii="Calibri"/>
                <w:sz w:val="22"/>
              </w:rPr>
              <w:t>Million</w:t>
            </w:r>
            <w:r>
              <w:rPr>
                <w:rFonts w:ascii="Calibri"/>
                <w:spacing w:val="-5"/>
                <w:sz w:val="22"/>
              </w:rPr>
              <w:t> </w:t>
            </w:r>
            <w:r>
              <w:rPr>
                <w:rFonts w:ascii="Calibri"/>
                <w:sz w:val="22"/>
              </w:rPr>
              <w:t>Board</w:t>
            </w:r>
            <w:r>
              <w:rPr>
                <w:rFonts w:ascii="Calibri"/>
                <w:spacing w:val="-4"/>
                <w:sz w:val="22"/>
              </w:rPr>
              <w:t> Feet</w:t>
            </w:r>
          </w:p>
        </w:tc>
      </w:tr>
      <w:tr>
        <w:trPr>
          <w:trHeight w:val="267" w:hRule="atLeast"/>
        </w:trPr>
        <w:tc>
          <w:tcPr>
            <w:tcW w:w="810" w:type="dxa"/>
          </w:tcPr>
          <w:p>
            <w:pPr>
              <w:pStyle w:val="TableParagraph"/>
              <w:spacing w:line="248" w:lineRule="exact" w:before="0"/>
              <w:ind w:left="50"/>
              <w:rPr>
                <w:rFonts w:ascii="Calibri"/>
                <w:sz w:val="22"/>
              </w:rPr>
            </w:pPr>
            <w:r>
              <w:rPr>
                <w:rFonts w:ascii="Calibri"/>
                <w:spacing w:val="-5"/>
                <w:sz w:val="22"/>
              </w:rPr>
              <w:t>CNF</w:t>
            </w:r>
          </w:p>
        </w:tc>
        <w:tc>
          <w:tcPr>
            <w:tcW w:w="3428" w:type="dxa"/>
          </w:tcPr>
          <w:p>
            <w:pPr>
              <w:pStyle w:val="TableParagraph"/>
              <w:spacing w:line="248" w:lineRule="exact" w:before="0"/>
              <w:ind w:left="219"/>
              <w:rPr>
                <w:rFonts w:ascii="Calibri"/>
                <w:sz w:val="22"/>
              </w:rPr>
            </w:pPr>
            <w:r>
              <w:rPr>
                <w:rFonts w:ascii="Calibri"/>
                <w:sz w:val="22"/>
              </w:rPr>
              <w:t>Colville</w:t>
            </w:r>
            <w:r>
              <w:rPr>
                <w:rFonts w:ascii="Calibri"/>
                <w:spacing w:val="-5"/>
                <w:sz w:val="22"/>
              </w:rPr>
              <w:t> </w:t>
            </w:r>
            <w:r>
              <w:rPr>
                <w:rFonts w:ascii="Calibri"/>
                <w:sz w:val="22"/>
              </w:rPr>
              <w:t>National</w:t>
            </w:r>
            <w:r>
              <w:rPr>
                <w:rFonts w:ascii="Calibri"/>
                <w:spacing w:val="-5"/>
                <w:sz w:val="22"/>
              </w:rPr>
              <w:t> </w:t>
            </w:r>
            <w:r>
              <w:rPr>
                <w:rFonts w:ascii="Calibri"/>
                <w:spacing w:val="-2"/>
                <w:sz w:val="22"/>
              </w:rPr>
              <w:t>Forest</w:t>
            </w:r>
          </w:p>
        </w:tc>
        <w:tc>
          <w:tcPr>
            <w:tcW w:w="1331" w:type="dxa"/>
          </w:tcPr>
          <w:p>
            <w:pPr>
              <w:pStyle w:val="TableParagraph"/>
              <w:spacing w:line="248" w:lineRule="exact" w:before="0"/>
              <w:ind w:left="492"/>
              <w:rPr>
                <w:rFonts w:ascii="Calibri"/>
                <w:sz w:val="22"/>
              </w:rPr>
            </w:pPr>
            <w:r>
              <w:rPr>
                <w:rFonts w:ascii="Calibri"/>
                <w:spacing w:val="-5"/>
                <w:sz w:val="22"/>
              </w:rPr>
              <w:t>MOA</w:t>
            </w:r>
          </w:p>
        </w:tc>
        <w:tc>
          <w:tcPr>
            <w:tcW w:w="2930" w:type="dxa"/>
          </w:tcPr>
          <w:p>
            <w:pPr>
              <w:pStyle w:val="TableParagraph"/>
              <w:spacing w:line="248" w:lineRule="exact" w:before="0"/>
              <w:ind w:left="140"/>
              <w:rPr>
                <w:rFonts w:ascii="Calibri"/>
                <w:sz w:val="22"/>
              </w:rPr>
            </w:pPr>
            <w:r>
              <w:rPr>
                <w:rFonts w:ascii="Calibri"/>
                <w:sz w:val="22"/>
              </w:rPr>
              <w:t>Memorandum</w:t>
            </w:r>
            <w:r>
              <w:rPr>
                <w:rFonts w:ascii="Calibri"/>
                <w:spacing w:val="-4"/>
                <w:sz w:val="22"/>
              </w:rPr>
              <w:t> </w:t>
            </w:r>
            <w:r>
              <w:rPr>
                <w:rFonts w:ascii="Calibri"/>
                <w:sz w:val="22"/>
              </w:rPr>
              <w:t>of</w:t>
            </w:r>
            <w:r>
              <w:rPr>
                <w:rFonts w:ascii="Calibri"/>
                <w:spacing w:val="-3"/>
                <w:sz w:val="22"/>
              </w:rPr>
              <w:t> </w:t>
            </w:r>
            <w:r>
              <w:rPr>
                <w:rFonts w:ascii="Calibri"/>
                <w:spacing w:val="-2"/>
                <w:sz w:val="22"/>
              </w:rPr>
              <w:t>Agreement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CWA</w:t>
            </w:r>
          </w:p>
        </w:tc>
        <w:tc>
          <w:tcPr>
            <w:tcW w:w="3428" w:type="dxa"/>
          </w:tcPr>
          <w:p>
            <w:pPr>
              <w:pStyle w:val="TableParagraph"/>
              <w:spacing w:line="249" w:lineRule="exact" w:before="0"/>
              <w:ind w:left="219"/>
              <w:rPr>
                <w:rFonts w:ascii="Calibri"/>
                <w:sz w:val="22"/>
              </w:rPr>
            </w:pPr>
            <w:r>
              <w:rPr>
                <w:rFonts w:ascii="Calibri"/>
                <w:sz w:val="22"/>
              </w:rPr>
              <w:t>Clean</w:t>
            </w:r>
            <w:r>
              <w:rPr>
                <w:rFonts w:ascii="Calibri"/>
                <w:spacing w:val="-4"/>
                <w:sz w:val="22"/>
              </w:rPr>
              <w:t> </w:t>
            </w:r>
            <w:r>
              <w:rPr>
                <w:rFonts w:ascii="Calibri"/>
                <w:sz w:val="22"/>
              </w:rPr>
              <w:t>Water</w:t>
            </w:r>
            <w:r>
              <w:rPr>
                <w:rFonts w:ascii="Calibri"/>
                <w:spacing w:val="-3"/>
                <w:sz w:val="22"/>
              </w:rPr>
              <w:t> </w:t>
            </w:r>
            <w:r>
              <w:rPr>
                <w:rFonts w:ascii="Calibri"/>
                <w:spacing w:val="-5"/>
                <w:sz w:val="22"/>
              </w:rPr>
              <w:t>Act</w:t>
            </w:r>
          </w:p>
        </w:tc>
        <w:tc>
          <w:tcPr>
            <w:tcW w:w="1331" w:type="dxa"/>
          </w:tcPr>
          <w:p>
            <w:pPr>
              <w:pStyle w:val="TableParagraph"/>
              <w:spacing w:before="0"/>
              <w:rPr>
                <w:rFonts w:ascii="Times New Roman"/>
                <w:sz w:val="18"/>
              </w:rPr>
            </w:pPr>
          </w:p>
        </w:tc>
        <w:tc>
          <w:tcPr>
            <w:tcW w:w="2930" w:type="dxa"/>
          </w:tcPr>
          <w:p>
            <w:pPr>
              <w:pStyle w:val="TableParagraph"/>
              <w:spacing w:before="0"/>
              <w:rPr>
                <w:rFonts w:ascii="Times New Roman"/>
                <w:sz w:val="18"/>
              </w:rPr>
            </w:pPr>
          </w:p>
        </w:tc>
      </w:tr>
      <w:tr>
        <w:trPr>
          <w:trHeight w:val="268" w:hRule="atLeast"/>
        </w:trPr>
        <w:tc>
          <w:tcPr>
            <w:tcW w:w="810" w:type="dxa"/>
          </w:tcPr>
          <w:p>
            <w:pPr>
              <w:pStyle w:val="TableParagraph"/>
              <w:spacing w:line="249" w:lineRule="exact" w:before="0"/>
              <w:ind w:left="50"/>
              <w:rPr>
                <w:rFonts w:ascii="Calibri"/>
                <w:sz w:val="22"/>
              </w:rPr>
            </w:pPr>
            <w:r>
              <w:rPr>
                <w:rFonts w:ascii="Calibri"/>
                <w:spacing w:val="-4"/>
                <w:sz w:val="22"/>
              </w:rPr>
              <w:t>CWPP</w:t>
            </w:r>
          </w:p>
        </w:tc>
        <w:tc>
          <w:tcPr>
            <w:tcW w:w="3428" w:type="dxa"/>
          </w:tcPr>
          <w:p>
            <w:pPr>
              <w:pStyle w:val="TableParagraph"/>
              <w:spacing w:line="249" w:lineRule="exact" w:before="0"/>
              <w:ind w:left="219"/>
              <w:rPr>
                <w:rFonts w:ascii="Calibri"/>
                <w:sz w:val="22"/>
              </w:rPr>
            </w:pPr>
            <w:r>
              <w:rPr>
                <w:rFonts w:ascii="Calibri"/>
                <w:sz w:val="22"/>
              </w:rPr>
              <w:t>Community</w:t>
            </w:r>
            <w:r>
              <w:rPr>
                <w:rFonts w:ascii="Calibri"/>
                <w:spacing w:val="-5"/>
                <w:sz w:val="22"/>
              </w:rPr>
              <w:t> </w:t>
            </w:r>
            <w:r>
              <w:rPr>
                <w:rFonts w:ascii="Calibri"/>
                <w:spacing w:val="-2"/>
                <w:sz w:val="22"/>
              </w:rPr>
              <w:t>Wildfire</w:t>
            </w:r>
          </w:p>
        </w:tc>
        <w:tc>
          <w:tcPr>
            <w:tcW w:w="1331" w:type="dxa"/>
          </w:tcPr>
          <w:p>
            <w:pPr>
              <w:pStyle w:val="TableParagraph"/>
              <w:spacing w:line="249" w:lineRule="exact" w:before="0"/>
              <w:ind w:left="492"/>
              <w:rPr>
                <w:rFonts w:ascii="Calibri"/>
                <w:sz w:val="22"/>
              </w:rPr>
            </w:pPr>
            <w:r>
              <w:rPr>
                <w:rFonts w:ascii="Calibri"/>
                <w:spacing w:val="-5"/>
                <w:sz w:val="22"/>
              </w:rPr>
              <w:t>MOU</w:t>
            </w:r>
          </w:p>
        </w:tc>
        <w:tc>
          <w:tcPr>
            <w:tcW w:w="2930" w:type="dxa"/>
          </w:tcPr>
          <w:p>
            <w:pPr>
              <w:pStyle w:val="TableParagraph"/>
              <w:spacing w:line="249" w:lineRule="exact" w:before="0"/>
              <w:ind w:left="140"/>
              <w:rPr>
                <w:rFonts w:ascii="Calibri"/>
                <w:sz w:val="22"/>
              </w:rPr>
            </w:pPr>
            <w:r>
              <w:rPr>
                <w:rFonts w:ascii="Calibri"/>
                <w:sz w:val="22"/>
              </w:rPr>
              <w:t>Memorandum</w:t>
            </w:r>
            <w:r>
              <w:rPr>
                <w:rFonts w:ascii="Calibri"/>
                <w:spacing w:val="-8"/>
                <w:sz w:val="22"/>
              </w:rPr>
              <w:t> </w:t>
            </w:r>
            <w:r>
              <w:rPr>
                <w:rFonts w:ascii="Calibri"/>
                <w:spacing w:val="-5"/>
                <w:sz w:val="22"/>
              </w:rPr>
              <w:t>of</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z w:val="22"/>
              </w:rPr>
              <w:t>Protection</w:t>
            </w:r>
            <w:r>
              <w:rPr>
                <w:rFonts w:ascii="Calibri"/>
                <w:spacing w:val="-10"/>
                <w:sz w:val="22"/>
              </w:rPr>
              <w:t> </w:t>
            </w:r>
            <w:r>
              <w:rPr>
                <w:rFonts w:ascii="Calibri"/>
                <w:spacing w:val="-4"/>
                <w:sz w:val="22"/>
              </w:rPr>
              <w:t>Plan</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2"/>
                <w:sz w:val="22"/>
              </w:rPr>
              <w:t>Understanding</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4"/>
                <w:sz w:val="22"/>
              </w:rPr>
              <w:t>DEIS</w:t>
            </w:r>
          </w:p>
        </w:tc>
        <w:tc>
          <w:tcPr>
            <w:tcW w:w="3428" w:type="dxa"/>
          </w:tcPr>
          <w:p>
            <w:pPr>
              <w:pStyle w:val="TableParagraph"/>
              <w:spacing w:line="249" w:lineRule="exact" w:before="0"/>
              <w:ind w:left="219"/>
              <w:rPr>
                <w:rFonts w:ascii="Calibri"/>
                <w:sz w:val="22"/>
              </w:rPr>
            </w:pPr>
            <w:r>
              <w:rPr>
                <w:rFonts w:ascii="Calibri"/>
                <w:sz w:val="22"/>
              </w:rPr>
              <w:t>Draft</w:t>
            </w:r>
            <w:r>
              <w:rPr>
                <w:rFonts w:ascii="Calibri"/>
                <w:spacing w:val="-8"/>
                <w:sz w:val="22"/>
              </w:rPr>
              <w:t> </w:t>
            </w:r>
            <w:r>
              <w:rPr>
                <w:rFonts w:ascii="Calibri"/>
                <w:sz w:val="22"/>
              </w:rPr>
              <w:t>Environmental</w:t>
            </w:r>
            <w:r>
              <w:rPr>
                <w:rFonts w:ascii="Calibri"/>
                <w:spacing w:val="-5"/>
                <w:sz w:val="22"/>
              </w:rPr>
              <w:t> </w:t>
            </w:r>
            <w:r>
              <w:rPr>
                <w:rFonts w:ascii="Calibri"/>
                <w:spacing w:val="-2"/>
                <w:sz w:val="22"/>
              </w:rPr>
              <w:t>Impact</w:t>
            </w:r>
          </w:p>
        </w:tc>
        <w:tc>
          <w:tcPr>
            <w:tcW w:w="1331" w:type="dxa"/>
          </w:tcPr>
          <w:p>
            <w:pPr>
              <w:pStyle w:val="TableParagraph"/>
              <w:spacing w:line="249" w:lineRule="exact" w:before="0"/>
              <w:ind w:left="492"/>
              <w:rPr>
                <w:rFonts w:ascii="Calibri"/>
                <w:sz w:val="22"/>
              </w:rPr>
            </w:pPr>
            <w:r>
              <w:rPr>
                <w:rFonts w:ascii="Calibri"/>
                <w:spacing w:val="-2"/>
                <w:sz w:val="22"/>
              </w:rPr>
              <w:t>MUSYA</w:t>
            </w:r>
          </w:p>
        </w:tc>
        <w:tc>
          <w:tcPr>
            <w:tcW w:w="2930" w:type="dxa"/>
          </w:tcPr>
          <w:p>
            <w:pPr>
              <w:pStyle w:val="TableParagraph"/>
              <w:spacing w:line="249" w:lineRule="exact" w:before="0"/>
              <w:ind w:left="140"/>
              <w:rPr>
                <w:rFonts w:ascii="Calibri"/>
                <w:sz w:val="22"/>
              </w:rPr>
            </w:pPr>
            <w:r>
              <w:rPr>
                <w:rFonts w:ascii="Calibri"/>
                <w:sz w:val="22"/>
              </w:rPr>
              <w:t>Multiple</w:t>
            </w:r>
            <w:r>
              <w:rPr>
                <w:rFonts w:ascii="Calibri"/>
                <w:spacing w:val="-7"/>
                <w:sz w:val="22"/>
              </w:rPr>
              <w:t> </w:t>
            </w:r>
            <w:r>
              <w:rPr>
                <w:rFonts w:ascii="Calibri"/>
                <w:sz w:val="22"/>
              </w:rPr>
              <w:t>Use</w:t>
            </w:r>
            <w:r>
              <w:rPr>
                <w:rFonts w:ascii="Calibri"/>
                <w:spacing w:val="-5"/>
                <w:sz w:val="22"/>
              </w:rPr>
              <w:t> </w:t>
            </w:r>
            <w:r>
              <w:rPr>
                <w:rFonts w:ascii="Calibri"/>
                <w:sz w:val="22"/>
              </w:rPr>
              <w:t>Sustained</w:t>
            </w:r>
            <w:r>
              <w:rPr>
                <w:rFonts w:ascii="Calibri"/>
                <w:spacing w:val="-6"/>
                <w:sz w:val="22"/>
              </w:rPr>
              <w:t> </w:t>
            </w:r>
            <w:r>
              <w:rPr>
                <w:rFonts w:ascii="Calibri"/>
                <w:spacing w:val="-4"/>
                <w:sz w:val="22"/>
              </w:rPr>
              <w:t>Yield</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pacing w:val="-2"/>
                <w:sz w:val="22"/>
              </w:rPr>
              <w:t>Statement</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5"/>
                <w:sz w:val="22"/>
              </w:rPr>
              <w:t>Act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DSM</w:t>
            </w:r>
          </w:p>
        </w:tc>
        <w:tc>
          <w:tcPr>
            <w:tcW w:w="3428" w:type="dxa"/>
          </w:tcPr>
          <w:p>
            <w:pPr>
              <w:pStyle w:val="TableParagraph"/>
              <w:spacing w:line="249" w:lineRule="exact" w:before="0"/>
              <w:ind w:left="219"/>
              <w:rPr>
                <w:rFonts w:ascii="Calibri"/>
                <w:sz w:val="22"/>
              </w:rPr>
            </w:pPr>
            <w:r>
              <w:rPr>
                <w:rFonts w:ascii="Calibri"/>
                <w:sz w:val="22"/>
              </w:rPr>
              <w:t>Decision</w:t>
            </w:r>
            <w:r>
              <w:rPr>
                <w:rFonts w:ascii="Calibri"/>
                <w:spacing w:val="-5"/>
                <w:sz w:val="22"/>
              </w:rPr>
              <w:t> </w:t>
            </w:r>
            <w:r>
              <w:rPr>
                <w:rFonts w:ascii="Calibri"/>
                <w:sz w:val="22"/>
              </w:rPr>
              <w:t>Support</w:t>
            </w:r>
            <w:r>
              <w:rPr>
                <w:rFonts w:ascii="Calibri"/>
                <w:spacing w:val="-5"/>
                <w:sz w:val="22"/>
              </w:rPr>
              <w:t> </w:t>
            </w:r>
            <w:r>
              <w:rPr>
                <w:rFonts w:ascii="Calibri"/>
                <w:spacing w:val="-4"/>
                <w:sz w:val="22"/>
              </w:rPr>
              <w:t>Model</w:t>
            </w:r>
          </w:p>
        </w:tc>
        <w:tc>
          <w:tcPr>
            <w:tcW w:w="1331" w:type="dxa"/>
          </w:tcPr>
          <w:p>
            <w:pPr>
              <w:pStyle w:val="TableParagraph"/>
              <w:spacing w:line="249" w:lineRule="exact" w:before="0"/>
              <w:ind w:left="492"/>
              <w:rPr>
                <w:rFonts w:ascii="Calibri"/>
                <w:sz w:val="22"/>
              </w:rPr>
            </w:pPr>
            <w:r>
              <w:rPr>
                <w:rFonts w:ascii="Calibri"/>
                <w:spacing w:val="-4"/>
                <w:sz w:val="22"/>
              </w:rPr>
              <w:t>MVUM</w:t>
            </w:r>
          </w:p>
        </w:tc>
        <w:tc>
          <w:tcPr>
            <w:tcW w:w="2930" w:type="dxa"/>
          </w:tcPr>
          <w:p>
            <w:pPr>
              <w:pStyle w:val="TableParagraph"/>
              <w:spacing w:line="249" w:lineRule="exact" w:before="0"/>
              <w:ind w:left="140"/>
              <w:rPr>
                <w:rFonts w:ascii="Calibri"/>
                <w:sz w:val="22"/>
              </w:rPr>
            </w:pPr>
            <w:r>
              <w:rPr>
                <w:rFonts w:ascii="Calibri"/>
                <w:sz w:val="22"/>
              </w:rPr>
              <w:t>Motor</w:t>
            </w:r>
            <w:r>
              <w:rPr>
                <w:rFonts w:ascii="Calibri"/>
                <w:spacing w:val="-4"/>
                <w:sz w:val="22"/>
              </w:rPr>
              <w:t> </w:t>
            </w:r>
            <w:r>
              <w:rPr>
                <w:rFonts w:ascii="Calibri"/>
                <w:sz w:val="22"/>
              </w:rPr>
              <w:t>Vehicle</w:t>
            </w:r>
            <w:r>
              <w:rPr>
                <w:rFonts w:ascii="Calibri"/>
                <w:spacing w:val="-4"/>
                <w:sz w:val="22"/>
              </w:rPr>
              <w:t> </w:t>
            </w:r>
            <w:r>
              <w:rPr>
                <w:rFonts w:ascii="Calibri"/>
                <w:sz w:val="22"/>
              </w:rPr>
              <w:t>Use</w:t>
            </w:r>
            <w:r>
              <w:rPr>
                <w:rFonts w:ascii="Calibri"/>
                <w:spacing w:val="-4"/>
                <w:sz w:val="22"/>
              </w:rPr>
              <w:t> </w:t>
            </w:r>
            <w:r>
              <w:rPr>
                <w:rFonts w:ascii="Calibri"/>
                <w:spacing w:val="-5"/>
                <w:sz w:val="22"/>
              </w:rPr>
              <w:t>Map</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EPA</w:t>
            </w:r>
          </w:p>
        </w:tc>
        <w:tc>
          <w:tcPr>
            <w:tcW w:w="3428" w:type="dxa"/>
          </w:tcPr>
          <w:p>
            <w:pPr>
              <w:pStyle w:val="TableParagraph"/>
              <w:spacing w:line="249" w:lineRule="exact" w:before="0"/>
              <w:ind w:left="219"/>
              <w:rPr>
                <w:rFonts w:ascii="Calibri"/>
                <w:sz w:val="22"/>
              </w:rPr>
            </w:pPr>
            <w:r>
              <w:rPr>
                <w:rFonts w:ascii="Calibri"/>
                <w:sz w:val="22"/>
              </w:rPr>
              <w:t>Environmental</w:t>
            </w:r>
            <w:r>
              <w:rPr>
                <w:rFonts w:ascii="Calibri"/>
                <w:spacing w:val="-8"/>
                <w:sz w:val="22"/>
              </w:rPr>
              <w:t> </w:t>
            </w:r>
            <w:r>
              <w:rPr>
                <w:rFonts w:ascii="Calibri"/>
                <w:spacing w:val="-2"/>
                <w:sz w:val="22"/>
              </w:rPr>
              <w:t>Protection</w:t>
            </w:r>
          </w:p>
        </w:tc>
        <w:tc>
          <w:tcPr>
            <w:tcW w:w="1331" w:type="dxa"/>
          </w:tcPr>
          <w:p>
            <w:pPr>
              <w:pStyle w:val="TableParagraph"/>
              <w:spacing w:line="249" w:lineRule="exact" w:before="0"/>
              <w:ind w:left="492"/>
              <w:rPr>
                <w:rFonts w:ascii="Calibri"/>
                <w:sz w:val="22"/>
              </w:rPr>
            </w:pPr>
            <w:r>
              <w:rPr>
                <w:rFonts w:ascii="Calibri"/>
                <w:spacing w:val="-4"/>
                <w:sz w:val="22"/>
              </w:rPr>
              <w:t>NAAQ</w:t>
            </w:r>
          </w:p>
        </w:tc>
        <w:tc>
          <w:tcPr>
            <w:tcW w:w="2930" w:type="dxa"/>
          </w:tcPr>
          <w:p>
            <w:pPr>
              <w:pStyle w:val="TableParagraph"/>
              <w:spacing w:line="249" w:lineRule="exact" w:before="0"/>
              <w:ind w:left="140"/>
              <w:rPr>
                <w:rFonts w:ascii="Calibri"/>
                <w:sz w:val="22"/>
              </w:rPr>
            </w:pPr>
            <w:r>
              <w:rPr>
                <w:rFonts w:ascii="Calibri"/>
                <w:sz w:val="22"/>
              </w:rPr>
              <w:t>National</w:t>
            </w:r>
            <w:r>
              <w:rPr>
                <w:rFonts w:ascii="Calibri"/>
                <w:spacing w:val="-4"/>
                <w:sz w:val="22"/>
              </w:rPr>
              <w:t> </w:t>
            </w:r>
            <w:r>
              <w:rPr>
                <w:rFonts w:ascii="Calibri"/>
                <w:sz w:val="22"/>
              </w:rPr>
              <w:t>Ambient</w:t>
            </w:r>
            <w:r>
              <w:rPr>
                <w:rFonts w:ascii="Calibri"/>
                <w:spacing w:val="-3"/>
                <w:sz w:val="22"/>
              </w:rPr>
              <w:t> </w:t>
            </w:r>
            <w:r>
              <w:rPr>
                <w:rFonts w:ascii="Calibri"/>
                <w:sz w:val="22"/>
              </w:rPr>
              <w:t>Air</w:t>
            </w:r>
            <w:r>
              <w:rPr>
                <w:rFonts w:ascii="Calibri"/>
                <w:spacing w:val="-5"/>
                <w:sz w:val="22"/>
              </w:rPr>
              <w:t> </w:t>
            </w:r>
            <w:r>
              <w:rPr>
                <w:rFonts w:ascii="Calibri"/>
                <w:spacing w:val="-2"/>
                <w:sz w:val="22"/>
              </w:rPr>
              <w:t>Quality</w:t>
            </w:r>
          </w:p>
        </w:tc>
      </w:tr>
      <w:tr>
        <w:trPr>
          <w:trHeight w:val="267" w:hRule="atLeast"/>
        </w:trPr>
        <w:tc>
          <w:tcPr>
            <w:tcW w:w="810" w:type="dxa"/>
          </w:tcPr>
          <w:p>
            <w:pPr>
              <w:pStyle w:val="TableParagraph"/>
              <w:spacing w:before="0"/>
              <w:rPr>
                <w:rFonts w:ascii="Times New Roman"/>
                <w:sz w:val="18"/>
              </w:rPr>
            </w:pPr>
          </w:p>
        </w:tc>
        <w:tc>
          <w:tcPr>
            <w:tcW w:w="3428" w:type="dxa"/>
          </w:tcPr>
          <w:p>
            <w:pPr>
              <w:pStyle w:val="TableParagraph"/>
              <w:spacing w:line="248" w:lineRule="exact" w:before="0"/>
              <w:ind w:left="219"/>
              <w:rPr>
                <w:rFonts w:ascii="Calibri"/>
                <w:sz w:val="22"/>
              </w:rPr>
            </w:pPr>
            <w:r>
              <w:rPr>
                <w:rFonts w:ascii="Calibri"/>
                <w:spacing w:val="-2"/>
                <w:sz w:val="22"/>
              </w:rPr>
              <w:t>Agency</w:t>
            </w:r>
          </w:p>
        </w:tc>
        <w:tc>
          <w:tcPr>
            <w:tcW w:w="1331" w:type="dxa"/>
          </w:tcPr>
          <w:p>
            <w:pPr>
              <w:pStyle w:val="TableParagraph"/>
              <w:spacing w:before="0"/>
              <w:rPr>
                <w:rFonts w:ascii="Times New Roman"/>
                <w:sz w:val="18"/>
              </w:rPr>
            </w:pPr>
          </w:p>
        </w:tc>
        <w:tc>
          <w:tcPr>
            <w:tcW w:w="2930" w:type="dxa"/>
          </w:tcPr>
          <w:p>
            <w:pPr>
              <w:pStyle w:val="TableParagraph"/>
              <w:spacing w:line="248" w:lineRule="exact" w:before="0"/>
              <w:ind w:left="140"/>
              <w:rPr>
                <w:rFonts w:ascii="Calibri"/>
                <w:sz w:val="22"/>
              </w:rPr>
            </w:pPr>
            <w:r>
              <w:rPr>
                <w:rFonts w:ascii="Calibri"/>
                <w:spacing w:val="-2"/>
                <w:sz w:val="22"/>
              </w:rPr>
              <w:t>Standard</w:t>
            </w:r>
          </w:p>
        </w:tc>
      </w:tr>
      <w:tr>
        <w:trPr>
          <w:trHeight w:val="268" w:hRule="atLeast"/>
        </w:trPr>
        <w:tc>
          <w:tcPr>
            <w:tcW w:w="810" w:type="dxa"/>
          </w:tcPr>
          <w:p>
            <w:pPr>
              <w:pStyle w:val="TableParagraph"/>
              <w:spacing w:line="248" w:lineRule="exact" w:before="0"/>
              <w:ind w:left="50"/>
              <w:rPr>
                <w:rFonts w:ascii="Calibri"/>
                <w:sz w:val="22"/>
              </w:rPr>
            </w:pPr>
            <w:r>
              <w:rPr>
                <w:rFonts w:ascii="Calibri"/>
                <w:spacing w:val="-5"/>
                <w:sz w:val="22"/>
              </w:rPr>
              <w:t>ESA</w:t>
            </w:r>
          </w:p>
        </w:tc>
        <w:tc>
          <w:tcPr>
            <w:tcW w:w="3428" w:type="dxa"/>
          </w:tcPr>
          <w:p>
            <w:pPr>
              <w:pStyle w:val="TableParagraph"/>
              <w:spacing w:line="248" w:lineRule="exact" w:before="0"/>
              <w:ind w:left="219"/>
              <w:rPr>
                <w:rFonts w:ascii="Calibri"/>
                <w:sz w:val="22"/>
              </w:rPr>
            </w:pPr>
            <w:r>
              <w:rPr>
                <w:rFonts w:ascii="Calibri"/>
                <w:sz w:val="22"/>
              </w:rPr>
              <w:t>Endangered</w:t>
            </w:r>
            <w:r>
              <w:rPr>
                <w:rFonts w:ascii="Calibri"/>
                <w:spacing w:val="-6"/>
                <w:sz w:val="22"/>
              </w:rPr>
              <w:t> </w:t>
            </w:r>
            <w:r>
              <w:rPr>
                <w:rFonts w:ascii="Calibri"/>
                <w:sz w:val="22"/>
              </w:rPr>
              <w:t>Species</w:t>
            </w:r>
            <w:r>
              <w:rPr>
                <w:rFonts w:ascii="Calibri"/>
                <w:spacing w:val="-6"/>
                <w:sz w:val="22"/>
              </w:rPr>
              <w:t> </w:t>
            </w:r>
            <w:r>
              <w:rPr>
                <w:rFonts w:ascii="Calibri"/>
                <w:spacing w:val="-5"/>
                <w:sz w:val="22"/>
              </w:rPr>
              <w:t>Act</w:t>
            </w:r>
          </w:p>
        </w:tc>
        <w:tc>
          <w:tcPr>
            <w:tcW w:w="1331" w:type="dxa"/>
          </w:tcPr>
          <w:p>
            <w:pPr>
              <w:pStyle w:val="TableParagraph"/>
              <w:spacing w:line="248" w:lineRule="exact" w:before="0"/>
              <w:ind w:left="492"/>
              <w:rPr>
                <w:rFonts w:ascii="Calibri"/>
                <w:sz w:val="22"/>
              </w:rPr>
            </w:pPr>
            <w:r>
              <w:rPr>
                <w:rFonts w:ascii="Calibri"/>
                <w:spacing w:val="-4"/>
                <w:sz w:val="22"/>
              </w:rPr>
              <w:t>NEPA</w:t>
            </w:r>
          </w:p>
        </w:tc>
        <w:tc>
          <w:tcPr>
            <w:tcW w:w="2930" w:type="dxa"/>
          </w:tcPr>
          <w:p>
            <w:pPr>
              <w:pStyle w:val="TableParagraph"/>
              <w:spacing w:line="248" w:lineRule="exact" w:before="0"/>
              <w:ind w:left="140"/>
              <w:rPr>
                <w:rFonts w:ascii="Calibri"/>
                <w:sz w:val="22"/>
              </w:rPr>
            </w:pPr>
            <w:r>
              <w:rPr>
                <w:rFonts w:ascii="Calibri"/>
                <w:sz w:val="22"/>
              </w:rPr>
              <w:t>National</w:t>
            </w:r>
            <w:r>
              <w:rPr>
                <w:rFonts w:ascii="Calibri"/>
                <w:spacing w:val="-8"/>
                <w:sz w:val="22"/>
              </w:rPr>
              <w:t> </w:t>
            </w:r>
            <w:r>
              <w:rPr>
                <w:rFonts w:ascii="Calibri"/>
                <w:sz w:val="22"/>
              </w:rPr>
              <w:t>Environmental</w:t>
            </w:r>
            <w:r>
              <w:rPr>
                <w:rFonts w:ascii="Calibri"/>
                <w:spacing w:val="-7"/>
                <w:sz w:val="22"/>
              </w:rPr>
              <w:t> </w:t>
            </w:r>
            <w:r>
              <w:rPr>
                <w:rFonts w:ascii="Calibri"/>
                <w:spacing w:val="-2"/>
                <w:sz w:val="22"/>
              </w:rPr>
              <w:t>Policy</w:t>
            </w:r>
          </w:p>
        </w:tc>
      </w:tr>
      <w:tr>
        <w:trPr>
          <w:trHeight w:val="267" w:hRule="atLeast"/>
        </w:trPr>
        <w:tc>
          <w:tcPr>
            <w:tcW w:w="810" w:type="dxa"/>
          </w:tcPr>
          <w:p>
            <w:pPr>
              <w:pStyle w:val="TableParagraph"/>
              <w:spacing w:line="248" w:lineRule="exact" w:before="0"/>
              <w:ind w:left="50"/>
              <w:rPr>
                <w:rFonts w:ascii="Calibri"/>
                <w:sz w:val="22"/>
              </w:rPr>
            </w:pPr>
            <w:r>
              <w:rPr>
                <w:rFonts w:ascii="Calibri"/>
                <w:spacing w:val="-4"/>
                <w:sz w:val="22"/>
              </w:rPr>
              <w:t>FEIS</w:t>
            </w:r>
          </w:p>
        </w:tc>
        <w:tc>
          <w:tcPr>
            <w:tcW w:w="3428" w:type="dxa"/>
          </w:tcPr>
          <w:p>
            <w:pPr>
              <w:pStyle w:val="TableParagraph"/>
              <w:spacing w:line="248" w:lineRule="exact" w:before="0"/>
              <w:ind w:left="219"/>
              <w:rPr>
                <w:rFonts w:ascii="Calibri"/>
                <w:sz w:val="22"/>
              </w:rPr>
            </w:pPr>
            <w:r>
              <w:rPr>
                <w:rFonts w:ascii="Calibri"/>
                <w:sz w:val="22"/>
              </w:rPr>
              <w:t>Final</w:t>
            </w:r>
            <w:r>
              <w:rPr>
                <w:rFonts w:ascii="Calibri"/>
                <w:spacing w:val="-6"/>
                <w:sz w:val="22"/>
              </w:rPr>
              <w:t> </w:t>
            </w:r>
            <w:r>
              <w:rPr>
                <w:rFonts w:ascii="Calibri"/>
                <w:sz w:val="22"/>
              </w:rPr>
              <w:t>Environmental</w:t>
            </w:r>
            <w:r>
              <w:rPr>
                <w:rFonts w:ascii="Calibri"/>
                <w:spacing w:val="-6"/>
                <w:sz w:val="22"/>
              </w:rPr>
              <w:t> </w:t>
            </w:r>
            <w:r>
              <w:rPr>
                <w:rFonts w:ascii="Calibri"/>
                <w:spacing w:val="-2"/>
                <w:sz w:val="22"/>
              </w:rPr>
              <w:t>Impact</w:t>
            </w:r>
          </w:p>
        </w:tc>
        <w:tc>
          <w:tcPr>
            <w:tcW w:w="1331" w:type="dxa"/>
          </w:tcPr>
          <w:p>
            <w:pPr>
              <w:pStyle w:val="TableParagraph"/>
              <w:spacing w:before="0"/>
              <w:rPr>
                <w:rFonts w:ascii="Times New Roman"/>
                <w:sz w:val="18"/>
              </w:rPr>
            </w:pPr>
          </w:p>
        </w:tc>
        <w:tc>
          <w:tcPr>
            <w:tcW w:w="2930" w:type="dxa"/>
          </w:tcPr>
          <w:p>
            <w:pPr>
              <w:pStyle w:val="TableParagraph"/>
              <w:spacing w:line="248" w:lineRule="exact" w:before="0"/>
              <w:ind w:left="140"/>
              <w:rPr>
                <w:rFonts w:ascii="Calibri"/>
                <w:sz w:val="22"/>
              </w:rPr>
            </w:pPr>
            <w:r>
              <w:rPr>
                <w:rFonts w:ascii="Calibri"/>
                <w:spacing w:val="-5"/>
                <w:sz w:val="22"/>
              </w:rPr>
              <w:t>Act</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pacing w:val="-2"/>
                <w:sz w:val="22"/>
              </w:rPr>
              <w:t>Statement</w:t>
            </w:r>
          </w:p>
        </w:tc>
        <w:tc>
          <w:tcPr>
            <w:tcW w:w="1331" w:type="dxa"/>
          </w:tcPr>
          <w:p>
            <w:pPr>
              <w:pStyle w:val="TableParagraph"/>
              <w:spacing w:line="249" w:lineRule="exact" w:before="0"/>
              <w:ind w:left="491"/>
              <w:rPr>
                <w:rFonts w:ascii="Calibri"/>
                <w:sz w:val="22"/>
              </w:rPr>
            </w:pPr>
            <w:r>
              <w:rPr>
                <w:rFonts w:ascii="Calibri"/>
                <w:spacing w:val="-4"/>
                <w:sz w:val="22"/>
              </w:rPr>
              <w:t>NFMA</w:t>
            </w:r>
          </w:p>
        </w:tc>
        <w:tc>
          <w:tcPr>
            <w:tcW w:w="2930" w:type="dxa"/>
          </w:tcPr>
          <w:p>
            <w:pPr>
              <w:pStyle w:val="TableParagraph"/>
              <w:spacing w:line="249" w:lineRule="exact" w:before="0"/>
              <w:ind w:left="140"/>
              <w:rPr>
                <w:rFonts w:ascii="Calibri"/>
                <w:sz w:val="22"/>
              </w:rPr>
            </w:pPr>
            <w:r>
              <w:rPr>
                <w:rFonts w:ascii="Calibri"/>
                <w:sz w:val="22"/>
              </w:rPr>
              <w:t>National</w:t>
            </w:r>
            <w:r>
              <w:rPr>
                <w:rFonts w:ascii="Calibri"/>
                <w:spacing w:val="-5"/>
                <w:sz w:val="22"/>
              </w:rPr>
              <w:t> </w:t>
            </w:r>
            <w:r>
              <w:rPr>
                <w:rFonts w:ascii="Calibri"/>
                <w:sz w:val="22"/>
              </w:rPr>
              <w:t>Forest</w:t>
            </w:r>
            <w:r>
              <w:rPr>
                <w:rFonts w:ascii="Calibri"/>
                <w:spacing w:val="-5"/>
                <w:sz w:val="22"/>
              </w:rPr>
              <w:t> </w:t>
            </w:r>
            <w:r>
              <w:rPr>
                <w:rFonts w:ascii="Calibri"/>
                <w:spacing w:val="-2"/>
                <w:sz w:val="22"/>
              </w:rPr>
              <w:t>Management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4"/>
                <w:sz w:val="22"/>
              </w:rPr>
              <w:t>FERC</w:t>
            </w:r>
          </w:p>
        </w:tc>
        <w:tc>
          <w:tcPr>
            <w:tcW w:w="3428" w:type="dxa"/>
          </w:tcPr>
          <w:p>
            <w:pPr>
              <w:pStyle w:val="TableParagraph"/>
              <w:spacing w:line="249" w:lineRule="exact" w:before="0"/>
              <w:ind w:left="219"/>
              <w:rPr>
                <w:rFonts w:ascii="Calibri"/>
                <w:sz w:val="22"/>
              </w:rPr>
            </w:pPr>
            <w:r>
              <w:rPr>
                <w:rFonts w:ascii="Calibri"/>
                <w:sz w:val="22"/>
              </w:rPr>
              <w:t>Federal</w:t>
            </w:r>
            <w:r>
              <w:rPr>
                <w:rFonts w:ascii="Calibri"/>
                <w:spacing w:val="-5"/>
                <w:sz w:val="22"/>
              </w:rPr>
              <w:t> </w:t>
            </w:r>
            <w:r>
              <w:rPr>
                <w:rFonts w:ascii="Calibri"/>
                <w:sz w:val="22"/>
              </w:rPr>
              <w:t>Energy</w:t>
            </w:r>
            <w:r>
              <w:rPr>
                <w:rFonts w:ascii="Calibri"/>
                <w:spacing w:val="-4"/>
                <w:sz w:val="22"/>
              </w:rPr>
              <w:t> </w:t>
            </w:r>
            <w:r>
              <w:rPr>
                <w:rFonts w:ascii="Calibri"/>
                <w:spacing w:val="-2"/>
                <w:sz w:val="22"/>
              </w:rPr>
              <w:t>Regulatory</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5"/>
                <w:sz w:val="22"/>
              </w:rPr>
              <w:t>Act</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pacing w:val="-2"/>
                <w:sz w:val="22"/>
              </w:rPr>
              <w:t>Commission</w:t>
            </w:r>
          </w:p>
        </w:tc>
        <w:tc>
          <w:tcPr>
            <w:tcW w:w="1331" w:type="dxa"/>
          </w:tcPr>
          <w:p>
            <w:pPr>
              <w:pStyle w:val="TableParagraph"/>
              <w:spacing w:line="249" w:lineRule="exact" w:before="0"/>
              <w:ind w:left="491"/>
              <w:rPr>
                <w:rFonts w:ascii="Calibri"/>
                <w:sz w:val="22"/>
              </w:rPr>
            </w:pPr>
            <w:r>
              <w:rPr>
                <w:rFonts w:ascii="Calibri"/>
                <w:spacing w:val="-5"/>
                <w:sz w:val="22"/>
              </w:rPr>
              <w:t>NFS</w:t>
            </w:r>
          </w:p>
        </w:tc>
        <w:tc>
          <w:tcPr>
            <w:tcW w:w="2930" w:type="dxa"/>
          </w:tcPr>
          <w:p>
            <w:pPr>
              <w:pStyle w:val="TableParagraph"/>
              <w:spacing w:line="249" w:lineRule="exact" w:before="0"/>
              <w:ind w:left="140"/>
              <w:rPr>
                <w:rFonts w:ascii="Calibri"/>
                <w:sz w:val="22"/>
              </w:rPr>
            </w:pPr>
            <w:r>
              <w:rPr>
                <w:rFonts w:ascii="Calibri"/>
                <w:sz w:val="22"/>
              </w:rPr>
              <w:t>National</w:t>
            </w:r>
            <w:r>
              <w:rPr>
                <w:rFonts w:ascii="Calibri"/>
                <w:spacing w:val="-5"/>
                <w:sz w:val="22"/>
              </w:rPr>
              <w:t> </w:t>
            </w:r>
            <w:r>
              <w:rPr>
                <w:rFonts w:ascii="Calibri"/>
                <w:sz w:val="22"/>
              </w:rPr>
              <w:t>Forest</w:t>
            </w:r>
            <w:r>
              <w:rPr>
                <w:rFonts w:ascii="Calibri"/>
                <w:spacing w:val="-5"/>
                <w:sz w:val="22"/>
              </w:rPr>
              <w:t> </w:t>
            </w:r>
            <w:r>
              <w:rPr>
                <w:rFonts w:ascii="Calibri"/>
                <w:spacing w:val="-2"/>
                <w:sz w:val="22"/>
              </w:rPr>
              <w:t>System</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FR</w:t>
            </w:r>
          </w:p>
        </w:tc>
        <w:tc>
          <w:tcPr>
            <w:tcW w:w="3428" w:type="dxa"/>
          </w:tcPr>
          <w:p>
            <w:pPr>
              <w:pStyle w:val="TableParagraph"/>
              <w:spacing w:line="249" w:lineRule="exact" w:before="0"/>
              <w:ind w:left="219"/>
              <w:rPr>
                <w:rFonts w:ascii="Calibri"/>
                <w:sz w:val="22"/>
              </w:rPr>
            </w:pPr>
            <w:r>
              <w:rPr>
                <w:rFonts w:ascii="Calibri"/>
                <w:sz w:val="22"/>
              </w:rPr>
              <w:t>Focused</w:t>
            </w:r>
            <w:r>
              <w:rPr>
                <w:rFonts w:ascii="Calibri"/>
                <w:spacing w:val="-2"/>
                <w:sz w:val="22"/>
              </w:rPr>
              <w:t> Restoration</w:t>
            </w:r>
          </w:p>
        </w:tc>
        <w:tc>
          <w:tcPr>
            <w:tcW w:w="1331" w:type="dxa"/>
          </w:tcPr>
          <w:p>
            <w:pPr>
              <w:pStyle w:val="TableParagraph"/>
              <w:spacing w:line="249" w:lineRule="exact" w:before="0"/>
              <w:ind w:left="491"/>
              <w:rPr>
                <w:rFonts w:ascii="Calibri"/>
                <w:sz w:val="22"/>
              </w:rPr>
            </w:pPr>
            <w:r>
              <w:rPr>
                <w:rFonts w:ascii="Calibri"/>
                <w:spacing w:val="-5"/>
                <w:sz w:val="22"/>
              </w:rPr>
              <w:t>NHD</w:t>
            </w:r>
          </w:p>
        </w:tc>
        <w:tc>
          <w:tcPr>
            <w:tcW w:w="2930" w:type="dxa"/>
          </w:tcPr>
          <w:p>
            <w:pPr>
              <w:pStyle w:val="TableParagraph"/>
              <w:spacing w:line="249" w:lineRule="exact" w:before="0"/>
              <w:ind w:left="140"/>
              <w:rPr>
                <w:rFonts w:ascii="Calibri"/>
                <w:sz w:val="22"/>
              </w:rPr>
            </w:pPr>
            <w:r>
              <w:rPr>
                <w:rFonts w:ascii="Calibri"/>
                <w:sz w:val="22"/>
              </w:rPr>
              <w:t>National</w:t>
            </w:r>
            <w:r>
              <w:rPr>
                <w:rFonts w:ascii="Calibri"/>
                <w:spacing w:val="-7"/>
                <w:sz w:val="22"/>
              </w:rPr>
              <w:t> </w:t>
            </w:r>
            <w:r>
              <w:rPr>
                <w:rFonts w:ascii="Calibri"/>
                <w:sz w:val="22"/>
              </w:rPr>
              <w:t>Hydrography</w:t>
            </w:r>
            <w:r>
              <w:rPr>
                <w:rFonts w:ascii="Calibri"/>
                <w:spacing w:val="-7"/>
                <w:sz w:val="22"/>
              </w:rPr>
              <w:t> </w:t>
            </w:r>
            <w:r>
              <w:rPr>
                <w:rFonts w:ascii="Calibri"/>
                <w:spacing w:val="-2"/>
                <w:sz w:val="22"/>
              </w:rPr>
              <w:t>Dataset</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4"/>
                <w:sz w:val="22"/>
              </w:rPr>
              <w:t>FRCC</w:t>
            </w:r>
          </w:p>
        </w:tc>
        <w:tc>
          <w:tcPr>
            <w:tcW w:w="3428" w:type="dxa"/>
          </w:tcPr>
          <w:p>
            <w:pPr>
              <w:pStyle w:val="TableParagraph"/>
              <w:spacing w:line="249" w:lineRule="exact" w:before="0"/>
              <w:ind w:left="219"/>
              <w:rPr>
                <w:rFonts w:ascii="Calibri"/>
                <w:sz w:val="22"/>
              </w:rPr>
            </w:pPr>
            <w:r>
              <w:rPr>
                <w:rFonts w:ascii="Calibri"/>
                <w:sz w:val="22"/>
              </w:rPr>
              <w:t>Fire</w:t>
            </w:r>
            <w:r>
              <w:rPr>
                <w:rFonts w:ascii="Calibri"/>
                <w:spacing w:val="-5"/>
                <w:sz w:val="22"/>
              </w:rPr>
              <w:t> </w:t>
            </w:r>
            <w:r>
              <w:rPr>
                <w:rFonts w:ascii="Calibri"/>
                <w:sz w:val="22"/>
              </w:rPr>
              <w:t>Regime</w:t>
            </w:r>
            <w:r>
              <w:rPr>
                <w:rFonts w:ascii="Calibri"/>
                <w:spacing w:val="-6"/>
                <w:sz w:val="22"/>
              </w:rPr>
              <w:t> </w:t>
            </w:r>
            <w:r>
              <w:rPr>
                <w:rFonts w:ascii="Calibri"/>
                <w:sz w:val="22"/>
              </w:rPr>
              <w:t>Condition</w:t>
            </w:r>
            <w:r>
              <w:rPr>
                <w:rFonts w:ascii="Calibri"/>
                <w:spacing w:val="-4"/>
                <w:sz w:val="22"/>
              </w:rPr>
              <w:t> Class</w:t>
            </w:r>
          </w:p>
        </w:tc>
        <w:tc>
          <w:tcPr>
            <w:tcW w:w="1331" w:type="dxa"/>
          </w:tcPr>
          <w:p>
            <w:pPr>
              <w:pStyle w:val="TableParagraph"/>
              <w:spacing w:line="249" w:lineRule="exact" w:before="0"/>
              <w:ind w:left="491"/>
              <w:rPr>
                <w:rFonts w:ascii="Calibri"/>
                <w:sz w:val="22"/>
              </w:rPr>
            </w:pPr>
            <w:r>
              <w:rPr>
                <w:rFonts w:ascii="Calibri"/>
                <w:spacing w:val="-4"/>
                <w:sz w:val="22"/>
              </w:rPr>
              <w:t>NHPA</w:t>
            </w:r>
          </w:p>
        </w:tc>
        <w:tc>
          <w:tcPr>
            <w:tcW w:w="2930" w:type="dxa"/>
          </w:tcPr>
          <w:p>
            <w:pPr>
              <w:pStyle w:val="TableParagraph"/>
              <w:spacing w:line="249" w:lineRule="exact" w:before="0"/>
              <w:ind w:left="140"/>
              <w:rPr>
                <w:rFonts w:ascii="Calibri"/>
                <w:sz w:val="22"/>
              </w:rPr>
            </w:pPr>
            <w:r>
              <w:rPr>
                <w:rFonts w:ascii="Calibri"/>
                <w:sz w:val="22"/>
              </w:rPr>
              <w:t>National</w:t>
            </w:r>
            <w:r>
              <w:rPr>
                <w:rFonts w:ascii="Calibri"/>
                <w:spacing w:val="-5"/>
                <w:sz w:val="22"/>
              </w:rPr>
              <w:t> </w:t>
            </w:r>
            <w:r>
              <w:rPr>
                <w:rFonts w:ascii="Calibri"/>
                <w:sz w:val="22"/>
              </w:rPr>
              <w:t>Historic</w:t>
            </w:r>
            <w:r>
              <w:rPr>
                <w:rFonts w:ascii="Calibri"/>
                <w:spacing w:val="-6"/>
                <w:sz w:val="22"/>
              </w:rPr>
              <w:t> </w:t>
            </w:r>
            <w:r>
              <w:rPr>
                <w:rFonts w:ascii="Calibri"/>
                <w:spacing w:val="-2"/>
                <w:sz w:val="22"/>
              </w:rPr>
              <w:t>Preservation</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FSH</w:t>
            </w:r>
          </w:p>
        </w:tc>
        <w:tc>
          <w:tcPr>
            <w:tcW w:w="3428" w:type="dxa"/>
          </w:tcPr>
          <w:p>
            <w:pPr>
              <w:pStyle w:val="TableParagraph"/>
              <w:spacing w:line="249" w:lineRule="exact" w:before="0"/>
              <w:ind w:left="219"/>
              <w:rPr>
                <w:rFonts w:ascii="Calibri"/>
                <w:sz w:val="22"/>
              </w:rPr>
            </w:pPr>
            <w:r>
              <w:rPr>
                <w:rFonts w:ascii="Calibri"/>
                <w:sz w:val="22"/>
              </w:rPr>
              <w:t>Forest</w:t>
            </w:r>
            <w:r>
              <w:rPr>
                <w:rFonts w:ascii="Calibri"/>
                <w:spacing w:val="-5"/>
                <w:sz w:val="22"/>
              </w:rPr>
              <w:t> </w:t>
            </w:r>
            <w:r>
              <w:rPr>
                <w:rFonts w:ascii="Calibri"/>
                <w:sz w:val="22"/>
              </w:rPr>
              <w:t>Service</w:t>
            </w:r>
            <w:r>
              <w:rPr>
                <w:rFonts w:ascii="Calibri"/>
                <w:spacing w:val="-1"/>
                <w:sz w:val="22"/>
              </w:rPr>
              <w:t> </w:t>
            </w:r>
            <w:r>
              <w:rPr>
                <w:rFonts w:ascii="Calibri"/>
                <w:spacing w:val="-2"/>
                <w:sz w:val="22"/>
              </w:rPr>
              <w:t>Handbook</w:t>
            </w:r>
          </w:p>
        </w:tc>
        <w:tc>
          <w:tcPr>
            <w:tcW w:w="1331" w:type="dxa"/>
          </w:tcPr>
          <w:p>
            <w:pPr>
              <w:pStyle w:val="TableParagraph"/>
              <w:spacing w:before="0"/>
              <w:rPr>
                <w:rFonts w:ascii="Times New Roman"/>
                <w:sz w:val="18"/>
              </w:rPr>
            </w:pPr>
          </w:p>
        </w:tc>
        <w:tc>
          <w:tcPr>
            <w:tcW w:w="2930" w:type="dxa"/>
          </w:tcPr>
          <w:p>
            <w:pPr>
              <w:pStyle w:val="TableParagraph"/>
              <w:spacing w:line="249" w:lineRule="exact" w:before="0"/>
              <w:ind w:left="140"/>
              <w:rPr>
                <w:rFonts w:ascii="Calibri"/>
                <w:sz w:val="22"/>
              </w:rPr>
            </w:pPr>
            <w:r>
              <w:rPr>
                <w:rFonts w:ascii="Calibri"/>
                <w:spacing w:val="-5"/>
                <w:sz w:val="22"/>
              </w:rPr>
              <w:t>Act</w:t>
            </w:r>
          </w:p>
        </w:tc>
      </w:tr>
      <w:tr>
        <w:trPr>
          <w:trHeight w:val="286" w:hRule="atLeast"/>
        </w:trPr>
        <w:tc>
          <w:tcPr>
            <w:tcW w:w="810" w:type="dxa"/>
          </w:tcPr>
          <w:p>
            <w:pPr>
              <w:pStyle w:val="TableParagraph"/>
              <w:spacing w:line="251" w:lineRule="exact" w:before="16"/>
              <w:ind w:left="50"/>
              <w:rPr>
                <w:rFonts w:ascii="Calibri"/>
                <w:sz w:val="22"/>
              </w:rPr>
            </w:pPr>
            <w:r>
              <w:rPr>
                <w:rFonts w:ascii="Calibri"/>
                <w:spacing w:val="-5"/>
                <w:sz w:val="22"/>
              </w:rPr>
              <w:t>FSM</w:t>
            </w:r>
          </w:p>
        </w:tc>
        <w:tc>
          <w:tcPr>
            <w:tcW w:w="3428" w:type="dxa"/>
          </w:tcPr>
          <w:p>
            <w:pPr>
              <w:pStyle w:val="TableParagraph"/>
              <w:spacing w:line="251" w:lineRule="exact" w:before="16"/>
              <w:ind w:left="219"/>
              <w:rPr>
                <w:rFonts w:ascii="Calibri"/>
                <w:sz w:val="22"/>
              </w:rPr>
            </w:pPr>
            <w:r>
              <w:rPr>
                <w:rFonts w:ascii="Calibri"/>
                <w:sz w:val="22"/>
              </w:rPr>
              <w:t>Forest</w:t>
            </w:r>
            <w:r>
              <w:rPr>
                <w:rFonts w:ascii="Calibri"/>
                <w:spacing w:val="-5"/>
                <w:sz w:val="22"/>
              </w:rPr>
              <w:t> </w:t>
            </w:r>
            <w:r>
              <w:rPr>
                <w:rFonts w:ascii="Calibri"/>
                <w:sz w:val="22"/>
              </w:rPr>
              <w:t>Service</w:t>
            </w:r>
            <w:r>
              <w:rPr>
                <w:rFonts w:ascii="Calibri"/>
                <w:spacing w:val="-4"/>
                <w:sz w:val="22"/>
              </w:rPr>
              <w:t> </w:t>
            </w:r>
            <w:r>
              <w:rPr>
                <w:rFonts w:ascii="Calibri"/>
                <w:spacing w:val="-2"/>
                <w:sz w:val="22"/>
              </w:rPr>
              <w:t>Manual</w:t>
            </w:r>
          </w:p>
        </w:tc>
        <w:tc>
          <w:tcPr>
            <w:tcW w:w="1331" w:type="dxa"/>
          </w:tcPr>
          <w:p>
            <w:pPr>
              <w:pStyle w:val="TableParagraph"/>
              <w:spacing w:line="249" w:lineRule="exact" w:before="0"/>
              <w:ind w:left="491"/>
              <w:rPr>
                <w:rFonts w:ascii="Calibri"/>
                <w:sz w:val="22"/>
              </w:rPr>
            </w:pPr>
            <w:r>
              <w:rPr>
                <w:rFonts w:ascii="Calibri"/>
                <w:spacing w:val="-5"/>
                <w:sz w:val="22"/>
              </w:rPr>
              <w:t>NOA</w:t>
            </w:r>
          </w:p>
        </w:tc>
        <w:tc>
          <w:tcPr>
            <w:tcW w:w="2930" w:type="dxa"/>
          </w:tcPr>
          <w:p>
            <w:pPr>
              <w:pStyle w:val="TableParagraph"/>
              <w:spacing w:line="249" w:lineRule="exact" w:before="0"/>
              <w:ind w:left="139"/>
              <w:rPr>
                <w:rFonts w:ascii="Calibri"/>
                <w:sz w:val="22"/>
              </w:rPr>
            </w:pPr>
            <w:r>
              <w:rPr>
                <w:rFonts w:ascii="Calibri"/>
                <w:sz w:val="22"/>
              </w:rPr>
              <w:t>Notice</w:t>
            </w:r>
            <w:r>
              <w:rPr>
                <w:rFonts w:ascii="Calibri"/>
                <w:spacing w:val="-2"/>
                <w:sz w:val="22"/>
              </w:rPr>
              <w:t> </w:t>
            </w:r>
            <w:r>
              <w:rPr>
                <w:rFonts w:ascii="Calibri"/>
                <w:sz w:val="22"/>
              </w:rPr>
              <w:t>of</w:t>
            </w:r>
            <w:r>
              <w:rPr>
                <w:rFonts w:ascii="Calibri"/>
                <w:spacing w:val="-2"/>
                <w:sz w:val="22"/>
              </w:rPr>
              <w:t> Availability</w:t>
            </w:r>
          </w:p>
        </w:tc>
      </w:tr>
      <w:tr>
        <w:trPr>
          <w:trHeight w:val="267" w:hRule="atLeast"/>
        </w:trPr>
        <w:tc>
          <w:tcPr>
            <w:tcW w:w="810" w:type="dxa"/>
          </w:tcPr>
          <w:p>
            <w:pPr>
              <w:pStyle w:val="TableParagraph"/>
              <w:spacing w:line="248" w:lineRule="exact" w:before="0"/>
              <w:ind w:left="50"/>
              <w:rPr>
                <w:rFonts w:ascii="Calibri"/>
                <w:sz w:val="22"/>
              </w:rPr>
            </w:pPr>
            <w:r>
              <w:rPr>
                <w:rFonts w:ascii="Calibri"/>
                <w:spacing w:val="-5"/>
                <w:sz w:val="22"/>
              </w:rPr>
              <w:t>GDE</w:t>
            </w:r>
          </w:p>
        </w:tc>
        <w:tc>
          <w:tcPr>
            <w:tcW w:w="3428" w:type="dxa"/>
          </w:tcPr>
          <w:p>
            <w:pPr>
              <w:pStyle w:val="TableParagraph"/>
              <w:spacing w:line="248" w:lineRule="exact" w:before="0"/>
              <w:ind w:left="219"/>
              <w:rPr>
                <w:rFonts w:ascii="Calibri"/>
                <w:sz w:val="22"/>
              </w:rPr>
            </w:pPr>
            <w:r>
              <w:rPr>
                <w:rFonts w:ascii="Calibri"/>
                <w:spacing w:val="-2"/>
                <w:sz w:val="22"/>
              </w:rPr>
              <w:t>Groundwater-dependent</w:t>
            </w:r>
          </w:p>
        </w:tc>
        <w:tc>
          <w:tcPr>
            <w:tcW w:w="1331" w:type="dxa"/>
          </w:tcPr>
          <w:p>
            <w:pPr>
              <w:pStyle w:val="TableParagraph"/>
              <w:spacing w:line="231" w:lineRule="exact" w:before="0"/>
              <w:ind w:left="491"/>
              <w:rPr>
                <w:rFonts w:ascii="Calibri"/>
                <w:sz w:val="22"/>
              </w:rPr>
            </w:pPr>
            <w:r>
              <w:rPr>
                <w:rFonts w:ascii="Calibri"/>
                <w:spacing w:val="-5"/>
                <w:sz w:val="22"/>
              </w:rPr>
              <w:t>NRT</w:t>
            </w:r>
          </w:p>
        </w:tc>
        <w:tc>
          <w:tcPr>
            <w:tcW w:w="2930" w:type="dxa"/>
          </w:tcPr>
          <w:p>
            <w:pPr>
              <w:pStyle w:val="TableParagraph"/>
              <w:spacing w:line="231" w:lineRule="exact" w:before="0"/>
              <w:ind w:left="140"/>
              <w:rPr>
                <w:rFonts w:ascii="Calibri"/>
                <w:sz w:val="22"/>
              </w:rPr>
            </w:pPr>
            <w:r>
              <w:rPr>
                <w:rFonts w:ascii="Calibri"/>
                <w:sz w:val="22"/>
              </w:rPr>
              <w:t>National</w:t>
            </w:r>
            <w:r>
              <w:rPr>
                <w:rFonts w:ascii="Calibri"/>
                <w:spacing w:val="-6"/>
                <w:sz w:val="22"/>
              </w:rPr>
              <w:t> </w:t>
            </w:r>
            <w:r>
              <w:rPr>
                <w:rFonts w:ascii="Calibri"/>
                <w:sz w:val="22"/>
              </w:rPr>
              <w:t>Recreation</w:t>
            </w:r>
            <w:r>
              <w:rPr>
                <w:rFonts w:ascii="Calibri"/>
                <w:spacing w:val="-8"/>
                <w:sz w:val="22"/>
              </w:rPr>
              <w:t> </w:t>
            </w:r>
            <w:r>
              <w:rPr>
                <w:rFonts w:ascii="Calibri"/>
                <w:spacing w:val="-2"/>
                <w:sz w:val="22"/>
              </w:rPr>
              <w:t>Trail</w:t>
            </w:r>
          </w:p>
        </w:tc>
      </w:tr>
      <w:tr>
        <w:trPr>
          <w:trHeight w:val="268" w:hRule="atLeast"/>
        </w:trPr>
        <w:tc>
          <w:tcPr>
            <w:tcW w:w="810" w:type="dxa"/>
          </w:tcPr>
          <w:p>
            <w:pPr>
              <w:pStyle w:val="TableParagraph"/>
              <w:spacing w:before="0"/>
              <w:rPr>
                <w:rFonts w:ascii="Times New Roman"/>
                <w:sz w:val="18"/>
              </w:rPr>
            </w:pPr>
          </w:p>
        </w:tc>
        <w:tc>
          <w:tcPr>
            <w:tcW w:w="3428" w:type="dxa"/>
          </w:tcPr>
          <w:p>
            <w:pPr>
              <w:pStyle w:val="TableParagraph"/>
              <w:spacing w:line="249" w:lineRule="exact" w:before="0"/>
              <w:ind w:left="219"/>
              <w:rPr>
                <w:rFonts w:ascii="Calibri"/>
                <w:sz w:val="22"/>
              </w:rPr>
            </w:pPr>
            <w:r>
              <w:rPr>
                <w:rFonts w:ascii="Calibri"/>
                <w:spacing w:val="-2"/>
                <w:sz w:val="22"/>
              </w:rPr>
              <w:t>Ecosystems</w:t>
            </w:r>
          </w:p>
        </w:tc>
        <w:tc>
          <w:tcPr>
            <w:tcW w:w="1331" w:type="dxa"/>
          </w:tcPr>
          <w:p>
            <w:pPr>
              <w:pStyle w:val="TableParagraph"/>
              <w:spacing w:line="230" w:lineRule="exact" w:before="0"/>
              <w:ind w:left="491"/>
              <w:rPr>
                <w:rFonts w:ascii="Calibri"/>
                <w:sz w:val="22"/>
              </w:rPr>
            </w:pPr>
            <w:r>
              <w:rPr>
                <w:rFonts w:ascii="Calibri"/>
                <w:spacing w:val="-5"/>
                <w:sz w:val="22"/>
              </w:rPr>
              <w:t>NST</w:t>
            </w:r>
          </w:p>
        </w:tc>
        <w:tc>
          <w:tcPr>
            <w:tcW w:w="2930" w:type="dxa"/>
          </w:tcPr>
          <w:p>
            <w:pPr>
              <w:pStyle w:val="TableParagraph"/>
              <w:spacing w:line="230" w:lineRule="exact" w:before="0"/>
              <w:ind w:left="140"/>
              <w:rPr>
                <w:rFonts w:ascii="Calibri"/>
                <w:sz w:val="22"/>
              </w:rPr>
            </w:pPr>
            <w:r>
              <w:rPr>
                <w:rFonts w:ascii="Calibri"/>
                <w:sz w:val="22"/>
              </w:rPr>
              <w:t>National</w:t>
            </w:r>
            <w:r>
              <w:rPr>
                <w:rFonts w:ascii="Calibri"/>
                <w:spacing w:val="-5"/>
                <w:sz w:val="22"/>
              </w:rPr>
              <w:t> </w:t>
            </w:r>
            <w:r>
              <w:rPr>
                <w:rFonts w:ascii="Calibri"/>
                <w:sz w:val="22"/>
              </w:rPr>
              <w:t>Scenic</w:t>
            </w:r>
            <w:r>
              <w:rPr>
                <w:rFonts w:ascii="Calibri"/>
                <w:spacing w:val="-4"/>
                <w:sz w:val="22"/>
              </w:rPr>
              <w:t> </w:t>
            </w:r>
            <w:r>
              <w:rPr>
                <w:rFonts w:ascii="Calibri"/>
                <w:spacing w:val="-2"/>
                <w:sz w:val="22"/>
              </w:rPr>
              <w:t>Trail</w:t>
            </w:r>
          </w:p>
        </w:tc>
      </w:tr>
      <w:tr>
        <w:trPr>
          <w:trHeight w:val="268" w:hRule="atLeast"/>
        </w:trPr>
        <w:tc>
          <w:tcPr>
            <w:tcW w:w="810" w:type="dxa"/>
          </w:tcPr>
          <w:p>
            <w:pPr>
              <w:pStyle w:val="TableParagraph"/>
              <w:spacing w:line="249" w:lineRule="exact" w:before="0"/>
              <w:ind w:left="50"/>
              <w:rPr>
                <w:rFonts w:ascii="Calibri"/>
                <w:sz w:val="22"/>
              </w:rPr>
            </w:pPr>
            <w:r>
              <w:rPr>
                <w:rFonts w:ascii="Calibri"/>
                <w:spacing w:val="-5"/>
                <w:sz w:val="22"/>
              </w:rPr>
              <w:t>GIS</w:t>
            </w:r>
          </w:p>
        </w:tc>
        <w:tc>
          <w:tcPr>
            <w:tcW w:w="3428" w:type="dxa"/>
          </w:tcPr>
          <w:p>
            <w:pPr>
              <w:pStyle w:val="TableParagraph"/>
              <w:spacing w:line="249" w:lineRule="exact" w:before="0"/>
              <w:ind w:left="219"/>
              <w:rPr>
                <w:rFonts w:ascii="Calibri"/>
                <w:sz w:val="22"/>
              </w:rPr>
            </w:pPr>
            <w:r>
              <w:rPr>
                <w:rFonts w:ascii="Calibri"/>
                <w:sz w:val="22"/>
              </w:rPr>
              <w:t>Geographic</w:t>
            </w:r>
            <w:r>
              <w:rPr>
                <w:rFonts w:ascii="Calibri"/>
                <w:spacing w:val="-6"/>
                <w:sz w:val="22"/>
              </w:rPr>
              <w:t> </w:t>
            </w:r>
            <w:r>
              <w:rPr>
                <w:rFonts w:ascii="Calibri"/>
                <w:spacing w:val="-2"/>
                <w:sz w:val="22"/>
              </w:rPr>
              <w:t>Information</w:t>
            </w:r>
          </w:p>
        </w:tc>
        <w:tc>
          <w:tcPr>
            <w:tcW w:w="1331" w:type="dxa"/>
          </w:tcPr>
          <w:p>
            <w:pPr>
              <w:pStyle w:val="TableParagraph"/>
              <w:spacing w:line="230" w:lineRule="exact" w:before="0"/>
              <w:ind w:left="491"/>
              <w:rPr>
                <w:rFonts w:ascii="Calibri"/>
                <w:sz w:val="22"/>
              </w:rPr>
            </w:pPr>
            <w:r>
              <w:rPr>
                <w:rFonts w:ascii="Calibri"/>
                <w:spacing w:val="-5"/>
                <w:sz w:val="22"/>
              </w:rPr>
              <w:t>NT</w:t>
            </w:r>
          </w:p>
        </w:tc>
        <w:tc>
          <w:tcPr>
            <w:tcW w:w="2930" w:type="dxa"/>
          </w:tcPr>
          <w:p>
            <w:pPr>
              <w:pStyle w:val="TableParagraph"/>
              <w:spacing w:line="230" w:lineRule="exact" w:before="0"/>
              <w:ind w:left="140"/>
              <w:rPr>
                <w:rFonts w:ascii="Calibri"/>
                <w:sz w:val="22"/>
              </w:rPr>
            </w:pPr>
            <w:r>
              <w:rPr>
                <w:rFonts w:ascii="Calibri"/>
                <w:sz w:val="22"/>
              </w:rPr>
              <w:t>Nationally</w:t>
            </w:r>
            <w:r>
              <w:rPr>
                <w:rFonts w:ascii="Calibri"/>
                <w:spacing w:val="-8"/>
                <w:sz w:val="22"/>
              </w:rPr>
              <w:t> </w:t>
            </w:r>
            <w:r>
              <w:rPr>
                <w:rFonts w:ascii="Calibri"/>
                <w:sz w:val="22"/>
              </w:rPr>
              <w:t>Designated</w:t>
            </w:r>
            <w:r>
              <w:rPr>
                <w:rFonts w:ascii="Calibri"/>
                <w:spacing w:val="-7"/>
                <w:sz w:val="22"/>
              </w:rPr>
              <w:t> </w:t>
            </w:r>
            <w:r>
              <w:rPr>
                <w:rFonts w:ascii="Calibri"/>
                <w:spacing w:val="-2"/>
                <w:sz w:val="22"/>
              </w:rPr>
              <w:t>Trails</w:t>
            </w:r>
          </w:p>
        </w:tc>
      </w:tr>
      <w:tr>
        <w:trPr>
          <w:trHeight w:val="536" w:hRule="atLeast"/>
        </w:trPr>
        <w:tc>
          <w:tcPr>
            <w:tcW w:w="810" w:type="dxa"/>
          </w:tcPr>
          <w:p>
            <w:pPr>
              <w:pStyle w:val="TableParagraph"/>
              <w:spacing w:before="12"/>
              <w:rPr>
                <w:b/>
                <w:sz w:val="22"/>
              </w:rPr>
            </w:pPr>
          </w:p>
          <w:p>
            <w:pPr>
              <w:pStyle w:val="TableParagraph"/>
              <w:spacing w:line="251" w:lineRule="exact" w:before="0"/>
              <w:ind w:left="50"/>
              <w:rPr>
                <w:rFonts w:ascii="Calibri"/>
                <w:sz w:val="22"/>
              </w:rPr>
            </w:pPr>
            <w:r>
              <w:rPr>
                <w:rFonts w:ascii="Calibri"/>
                <w:spacing w:val="-5"/>
                <w:sz w:val="22"/>
              </w:rPr>
              <w:t>GR</w:t>
            </w:r>
          </w:p>
        </w:tc>
        <w:tc>
          <w:tcPr>
            <w:tcW w:w="3428" w:type="dxa"/>
          </w:tcPr>
          <w:p>
            <w:pPr>
              <w:pStyle w:val="TableParagraph"/>
              <w:spacing w:line="265" w:lineRule="exact" w:before="0"/>
              <w:ind w:left="219"/>
              <w:rPr>
                <w:rFonts w:ascii="Calibri"/>
                <w:sz w:val="22"/>
              </w:rPr>
            </w:pPr>
            <w:r>
              <w:rPr>
                <w:rFonts w:ascii="Calibri"/>
                <w:spacing w:val="-2"/>
                <w:sz w:val="22"/>
              </w:rPr>
              <w:t>System</w:t>
            </w:r>
          </w:p>
          <w:p>
            <w:pPr>
              <w:pStyle w:val="TableParagraph"/>
              <w:spacing w:line="251" w:lineRule="exact" w:before="0"/>
              <w:ind w:left="219"/>
              <w:rPr>
                <w:rFonts w:ascii="Calibri"/>
                <w:sz w:val="22"/>
              </w:rPr>
            </w:pPr>
            <w:r>
              <w:rPr>
                <w:rFonts w:ascii="Calibri"/>
                <w:sz w:val="22"/>
              </w:rPr>
              <w:t>General</w:t>
            </w:r>
            <w:r>
              <w:rPr>
                <w:rFonts w:ascii="Calibri"/>
                <w:spacing w:val="-4"/>
                <w:sz w:val="22"/>
              </w:rPr>
              <w:t> </w:t>
            </w:r>
            <w:r>
              <w:rPr>
                <w:rFonts w:ascii="Calibri"/>
                <w:spacing w:val="-2"/>
                <w:sz w:val="22"/>
              </w:rPr>
              <w:t>Restoration</w:t>
            </w:r>
          </w:p>
        </w:tc>
        <w:tc>
          <w:tcPr>
            <w:tcW w:w="1331" w:type="dxa"/>
          </w:tcPr>
          <w:p>
            <w:pPr>
              <w:pStyle w:val="TableParagraph"/>
              <w:spacing w:line="230" w:lineRule="exact" w:before="0"/>
              <w:ind w:left="491"/>
              <w:rPr>
                <w:rFonts w:ascii="Calibri"/>
                <w:sz w:val="22"/>
              </w:rPr>
            </w:pPr>
            <w:r>
              <w:rPr>
                <w:rFonts w:ascii="Calibri"/>
                <w:spacing w:val="-4"/>
                <w:sz w:val="22"/>
              </w:rPr>
              <w:t>NVUM</w:t>
            </w:r>
          </w:p>
        </w:tc>
        <w:tc>
          <w:tcPr>
            <w:tcW w:w="2930" w:type="dxa"/>
          </w:tcPr>
          <w:p>
            <w:pPr>
              <w:pStyle w:val="TableParagraph"/>
              <w:spacing w:line="230" w:lineRule="exact" w:before="0"/>
              <w:ind w:left="140"/>
              <w:rPr>
                <w:rFonts w:ascii="Calibri"/>
                <w:sz w:val="22"/>
              </w:rPr>
            </w:pPr>
            <w:r>
              <w:rPr>
                <w:rFonts w:ascii="Calibri"/>
                <w:sz w:val="22"/>
              </w:rPr>
              <w:t>National</w:t>
            </w:r>
            <w:r>
              <w:rPr>
                <w:rFonts w:ascii="Calibri"/>
                <w:spacing w:val="-4"/>
                <w:sz w:val="22"/>
              </w:rPr>
              <w:t> </w:t>
            </w:r>
            <w:r>
              <w:rPr>
                <w:rFonts w:ascii="Calibri"/>
                <w:sz w:val="22"/>
              </w:rPr>
              <w:t>Visitor</w:t>
            </w:r>
            <w:r>
              <w:rPr>
                <w:rFonts w:ascii="Calibri"/>
                <w:spacing w:val="-4"/>
                <w:sz w:val="22"/>
              </w:rPr>
              <w:t> </w:t>
            </w:r>
            <w:r>
              <w:rPr>
                <w:rFonts w:ascii="Calibri"/>
                <w:spacing w:val="-5"/>
                <w:sz w:val="22"/>
              </w:rPr>
              <w:t>Use</w:t>
            </w:r>
          </w:p>
          <w:p>
            <w:pPr>
              <w:pStyle w:val="TableParagraph"/>
              <w:spacing w:before="0"/>
              <w:ind w:left="140"/>
              <w:rPr>
                <w:rFonts w:ascii="Calibri"/>
                <w:sz w:val="22"/>
              </w:rPr>
            </w:pPr>
            <w:r>
              <w:rPr>
                <w:rFonts w:ascii="Calibri"/>
                <w:spacing w:val="-2"/>
                <w:sz w:val="22"/>
              </w:rPr>
              <w:t>Monitoring</w:t>
            </w:r>
          </w:p>
        </w:tc>
      </w:tr>
      <w:tr>
        <w:trPr>
          <w:trHeight w:val="262" w:hRule="atLeast"/>
        </w:trPr>
        <w:tc>
          <w:tcPr>
            <w:tcW w:w="810" w:type="dxa"/>
          </w:tcPr>
          <w:p>
            <w:pPr>
              <w:pStyle w:val="TableParagraph"/>
              <w:spacing w:line="243" w:lineRule="exact" w:before="0"/>
              <w:ind w:left="50"/>
              <w:rPr>
                <w:rFonts w:ascii="Calibri"/>
                <w:sz w:val="22"/>
              </w:rPr>
            </w:pPr>
            <w:r>
              <w:rPr>
                <w:rFonts w:ascii="Calibri"/>
                <w:spacing w:val="-5"/>
                <w:sz w:val="22"/>
              </w:rPr>
              <w:t>HRV</w:t>
            </w:r>
          </w:p>
        </w:tc>
        <w:tc>
          <w:tcPr>
            <w:tcW w:w="3428" w:type="dxa"/>
          </w:tcPr>
          <w:p>
            <w:pPr>
              <w:pStyle w:val="TableParagraph"/>
              <w:spacing w:line="243" w:lineRule="exact" w:before="0"/>
              <w:ind w:left="219"/>
              <w:rPr>
                <w:rFonts w:ascii="Calibri"/>
                <w:sz w:val="22"/>
              </w:rPr>
            </w:pPr>
            <w:r>
              <w:rPr>
                <w:rFonts w:ascii="Calibri"/>
                <w:sz w:val="22"/>
              </w:rPr>
              <w:t>Historical</w:t>
            </w:r>
            <w:r>
              <w:rPr>
                <w:rFonts w:ascii="Calibri"/>
                <w:spacing w:val="-5"/>
                <w:sz w:val="22"/>
              </w:rPr>
              <w:t> </w:t>
            </w:r>
            <w:r>
              <w:rPr>
                <w:rFonts w:ascii="Calibri"/>
                <w:sz w:val="22"/>
              </w:rPr>
              <w:t>Range</w:t>
            </w:r>
            <w:r>
              <w:rPr>
                <w:rFonts w:ascii="Calibri"/>
                <w:spacing w:val="-4"/>
                <w:sz w:val="22"/>
              </w:rPr>
              <w:t> </w:t>
            </w:r>
            <w:r>
              <w:rPr>
                <w:rFonts w:ascii="Calibri"/>
                <w:sz w:val="22"/>
              </w:rPr>
              <w:t>of</w:t>
            </w:r>
            <w:r>
              <w:rPr>
                <w:rFonts w:ascii="Calibri"/>
                <w:spacing w:val="-2"/>
                <w:sz w:val="22"/>
              </w:rPr>
              <w:t> Variability</w:t>
            </w:r>
          </w:p>
        </w:tc>
        <w:tc>
          <w:tcPr>
            <w:tcW w:w="1331" w:type="dxa"/>
          </w:tcPr>
          <w:p>
            <w:pPr>
              <w:pStyle w:val="TableParagraph"/>
              <w:spacing w:line="231" w:lineRule="exact" w:before="0"/>
              <w:ind w:left="491"/>
              <w:rPr>
                <w:rFonts w:ascii="Calibri"/>
                <w:sz w:val="22"/>
              </w:rPr>
            </w:pPr>
            <w:r>
              <w:rPr>
                <w:rFonts w:ascii="Calibri"/>
                <w:spacing w:val="-5"/>
                <w:sz w:val="22"/>
              </w:rPr>
              <w:t>OHV</w:t>
            </w:r>
          </w:p>
        </w:tc>
        <w:tc>
          <w:tcPr>
            <w:tcW w:w="2930" w:type="dxa"/>
          </w:tcPr>
          <w:p>
            <w:pPr>
              <w:pStyle w:val="TableParagraph"/>
              <w:spacing w:line="231" w:lineRule="exact" w:before="0"/>
              <w:ind w:left="140"/>
              <w:rPr>
                <w:rFonts w:ascii="Calibri"/>
                <w:sz w:val="22"/>
              </w:rPr>
            </w:pPr>
            <w:r>
              <w:rPr>
                <w:rFonts w:ascii="Calibri"/>
                <w:sz w:val="22"/>
              </w:rPr>
              <w:t>Off-highway</w:t>
            </w:r>
            <w:r>
              <w:rPr>
                <w:rFonts w:ascii="Calibri"/>
                <w:spacing w:val="-7"/>
                <w:sz w:val="22"/>
              </w:rPr>
              <w:t> </w:t>
            </w:r>
            <w:r>
              <w:rPr>
                <w:rFonts w:ascii="Calibri"/>
                <w:spacing w:val="-2"/>
                <w:sz w:val="22"/>
              </w:rPr>
              <w:t>Vehicle</w:t>
            </w:r>
          </w:p>
        </w:tc>
      </w:tr>
    </w:tbl>
    <w:p>
      <w:pPr>
        <w:pStyle w:val="TableParagraph"/>
        <w:spacing w:after="0" w:line="231" w:lineRule="exact"/>
        <w:rPr>
          <w:rFonts w:ascii="Calibri"/>
          <w:sz w:val="22"/>
        </w:rPr>
        <w:sectPr>
          <w:pgSz w:w="12240" w:h="15840"/>
          <w:pgMar w:header="725" w:footer="685" w:top="960" w:bottom="880" w:left="1080" w:right="720"/>
        </w:sectPr>
      </w:pPr>
    </w:p>
    <w:p>
      <w:pPr>
        <w:pStyle w:val="BodyText"/>
        <w:rPr>
          <w:rFonts w:ascii="Arial"/>
          <w:b/>
          <w:sz w:val="20"/>
        </w:rPr>
      </w:pPr>
    </w:p>
    <w:p>
      <w:pPr>
        <w:pStyle w:val="BodyText"/>
        <w:rPr>
          <w:rFonts w:ascii="Arial"/>
          <w:b/>
          <w:sz w:val="20"/>
        </w:rPr>
      </w:pPr>
    </w:p>
    <w:p>
      <w:pPr>
        <w:pStyle w:val="BodyText"/>
        <w:spacing w:before="97"/>
        <w:rPr>
          <w:rFonts w:ascii="Arial"/>
          <w:b/>
          <w:sz w:val="20"/>
        </w:rPr>
      </w:pPr>
    </w:p>
    <w:tbl>
      <w:tblPr>
        <w:tblW w:w="0" w:type="auto"/>
        <w:jc w:val="left"/>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20"/>
        <w:gridCol w:w="3425"/>
        <w:gridCol w:w="1316"/>
        <w:gridCol w:w="2946"/>
      </w:tblGrid>
      <w:tr>
        <w:trPr>
          <w:trHeight w:val="244" w:hRule="atLeast"/>
        </w:trPr>
        <w:tc>
          <w:tcPr>
            <w:tcW w:w="820" w:type="dxa"/>
          </w:tcPr>
          <w:p>
            <w:pPr>
              <w:pStyle w:val="TableParagraph"/>
              <w:spacing w:line="225" w:lineRule="exact" w:before="0"/>
              <w:ind w:left="51"/>
              <w:rPr>
                <w:rFonts w:ascii="Calibri"/>
                <w:sz w:val="22"/>
              </w:rPr>
            </w:pPr>
            <w:r>
              <w:rPr>
                <w:rFonts w:ascii="Calibri"/>
                <w:spacing w:val="-4"/>
                <w:sz w:val="22"/>
              </w:rPr>
              <w:t>PIBO</w:t>
            </w:r>
          </w:p>
        </w:tc>
        <w:tc>
          <w:tcPr>
            <w:tcW w:w="3425" w:type="dxa"/>
          </w:tcPr>
          <w:p>
            <w:pPr>
              <w:pStyle w:val="TableParagraph"/>
              <w:spacing w:line="225" w:lineRule="exact" w:before="0"/>
              <w:ind w:left="210"/>
              <w:rPr>
                <w:rFonts w:ascii="Calibri"/>
                <w:sz w:val="22"/>
              </w:rPr>
            </w:pPr>
            <w:r>
              <w:rPr>
                <w:rFonts w:ascii="Calibri"/>
                <w:sz w:val="22"/>
              </w:rPr>
              <w:t>PACFISH/INFISH</w:t>
            </w:r>
            <w:r>
              <w:rPr>
                <w:rFonts w:ascii="Calibri"/>
                <w:spacing w:val="-10"/>
                <w:sz w:val="22"/>
              </w:rPr>
              <w:t> </w:t>
            </w:r>
            <w:r>
              <w:rPr>
                <w:rFonts w:ascii="Calibri"/>
                <w:spacing w:val="-2"/>
                <w:sz w:val="22"/>
              </w:rPr>
              <w:t>Biological</w:t>
            </w:r>
          </w:p>
        </w:tc>
        <w:tc>
          <w:tcPr>
            <w:tcW w:w="1316" w:type="dxa"/>
          </w:tcPr>
          <w:p>
            <w:pPr>
              <w:pStyle w:val="TableParagraph"/>
              <w:spacing w:line="225" w:lineRule="exact" w:before="0"/>
              <w:ind w:left="486"/>
              <w:rPr>
                <w:rFonts w:ascii="Calibri"/>
                <w:sz w:val="22"/>
              </w:rPr>
            </w:pPr>
            <w:r>
              <w:rPr>
                <w:rFonts w:ascii="Calibri"/>
                <w:spacing w:val="-5"/>
                <w:sz w:val="22"/>
              </w:rPr>
              <w:t>TES</w:t>
            </w:r>
          </w:p>
        </w:tc>
        <w:tc>
          <w:tcPr>
            <w:tcW w:w="2946" w:type="dxa"/>
          </w:tcPr>
          <w:p>
            <w:pPr>
              <w:pStyle w:val="TableParagraph"/>
              <w:spacing w:line="225" w:lineRule="exact" w:before="0"/>
              <w:ind w:left="149"/>
              <w:rPr>
                <w:rFonts w:ascii="Calibri"/>
                <w:sz w:val="22"/>
              </w:rPr>
            </w:pPr>
            <w:r>
              <w:rPr>
                <w:rFonts w:ascii="Calibri"/>
                <w:sz w:val="22"/>
              </w:rPr>
              <w:t>Threatened,</w:t>
            </w:r>
            <w:r>
              <w:rPr>
                <w:rFonts w:ascii="Calibri"/>
                <w:spacing w:val="-8"/>
                <w:sz w:val="22"/>
              </w:rPr>
              <w:t> </w:t>
            </w:r>
            <w:r>
              <w:rPr>
                <w:rFonts w:ascii="Calibri"/>
                <w:sz w:val="22"/>
              </w:rPr>
              <w:t>Endangered</w:t>
            </w:r>
            <w:r>
              <w:rPr>
                <w:rFonts w:ascii="Calibri"/>
                <w:spacing w:val="-9"/>
                <w:sz w:val="22"/>
              </w:rPr>
              <w:t> </w:t>
            </w:r>
            <w:r>
              <w:rPr>
                <w:rFonts w:ascii="Calibri"/>
                <w:spacing w:val="-10"/>
                <w:sz w:val="22"/>
              </w:rPr>
              <w:t>&amp;</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10"/>
              <w:rPr>
                <w:rFonts w:ascii="Calibri"/>
                <w:sz w:val="22"/>
              </w:rPr>
            </w:pPr>
            <w:r>
              <w:rPr>
                <w:rFonts w:ascii="Calibri"/>
                <w:spacing w:val="-2"/>
                <w:sz w:val="22"/>
              </w:rPr>
              <w:t>Opinion</w:t>
            </w:r>
          </w:p>
        </w:tc>
        <w:tc>
          <w:tcPr>
            <w:tcW w:w="1316" w:type="dxa"/>
          </w:tcPr>
          <w:p>
            <w:pPr>
              <w:pStyle w:val="TableParagraph"/>
              <w:spacing w:before="0"/>
              <w:rPr>
                <w:rFonts w:ascii="Times New Roman"/>
                <w:sz w:val="18"/>
              </w:rPr>
            </w:pPr>
          </w:p>
        </w:tc>
        <w:tc>
          <w:tcPr>
            <w:tcW w:w="2946" w:type="dxa"/>
          </w:tcPr>
          <w:p>
            <w:pPr>
              <w:pStyle w:val="TableParagraph"/>
              <w:spacing w:line="249" w:lineRule="exact" w:before="0"/>
              <w:ind w:left="149"/>
              <w:rPr>
                <w:rFonts w:ascii="Calibri"/>
                <w:sz w:val="22"/>
              </w:rPr>
            </w:pPr>
            <w:r>
              <w:rPr>
                <w:rFonts w:ascii="Calibri"/>
                <w:sz w:val="22"/>
              </w:rPr>
              <w:t>Sensitive</w:t>
            </w:r>
            <w:r>
              <w:rPr>
                <w:rFonts w:ascii="Calibri"/>
                <w:spacing w:val="-5"/>
                <w:sz w:val="22"/>
              </w:rPr>
              <w:t> </w:t>
            </w:r>
            <w:r>
              <w:rPr>
                <w:rFonts w:ascii="Calibri"/>
                <w:spacing w:val="-2"/>
                <w:sz w:val="22"/>
              </w:rPr>
              <w:t>(species)</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4"/>
                <w:sz w:val="22"/>
              </w:rPr>
              <w:t>PILT</w:t>
            </w:r>
          </w:p>
        </w:tc>
        <w:tc>
          <w:tcPr>
            <w:tcW w:w="3425" w:type="dxa"/>
          </w:tcPr>
          <w:p>
            <w:pPr>
              <w:pStyle w:val="TableParagraph"/>
              <w:spacing w:line="248" w:lineRule="exact" w:before="0"/>
              <w:ind w:left="210"/>
              <w:rPr>
                <w:rFonts w:ascii="Calibri"/>
                <w:sz w:val="22"/>
              </w:rPr>
            </w:pPr>
            <w:r>
              <w:rPr>
                <w:rFonts w:ascii="Calibri"/>
                <w:sz w:val="22"/>
              </w:rPr>
              <w:t>Payment</w:t>
            </w:r>
            <w:r>
              <w:rPr>
                <w:rFonts w:ascii="Calibri"/>
                <w:spacing w:val="-2"/>
                <w:sz w:val="22"/>
              </w:rPr>
              <w:t> </w:t>
            </w:r>
            <w:r>
              <w:rPr>
                <w:rFonts w:ascii="Calibri"/>
                <w:sz w:val="22"/>
              </w:rPr>
              <w:t>in</w:t>
            </w:r>
            <w:r>
              <w:rPr>
                <w:rFonts w:ascii="Calibri"/>
                <w:spacing w:val="-3"/>
                <w:sz w:val="22"/>
              </w:rPr>
              <w:t> </w:t>
            </w:r>
            <w:r>
              <w:rPr>
                <w:rFonts w:ascii="Calibri"/>
                <w:sz w:val="22"/>
              </w:rPr>
              <w:t>Lieu</w:t>
            </w:r>
            <w:r>
              <w:rPr>
                <w:rFonts w:ascii="Calibri"/>
                <w:spacing w:val="-3"/>
                <w:sz w:val="22"/>
              </w:rPr>
              <w:t> </w:t>
            </w:r>
            <w:r>
              <w:rPr>
                <w:rFonts w:ascii="Calibri"/>
                <w:sz w:val="22"/>
              </w:rPr>
              <w:t>of</w:t>
            </w:r>
            <w:r>
              <w:rPr>
                <w:rFonts w:ascii="Calibri"/>
                <w:spacing w:val="-3"/>
                <w:sz w:val="22"/>
              </w:rPr>
              <w:t> </w:t>
            </w:r>
            <w:r>
              <w:rPr>
                <w:rFonts w:ascii="Calibri"/>
                <w:spacing w:val="-4"/>
                <w:sz w:val="22"/>
              </w:rPr>
              <w:t>Taxes</w:t>
            </w:r>
          </w:p>
        </w:tc>
        <w:tc>
          <w:tcPr>
            <w:tcW w:w="1316" w:type="dxa"/>
          </w:tcPr>
          <w:p>
            <w:pPr>
              <w:pStyle w:val="TableParagraph"/>
              <w:spacing w:line="248" w:lineRule="exact" w:before="0"/>
              <w:ind w:left="486"/>
              <w:rPr>
                <w:rFonts w:ascii="Calibri"/>
                <w:sz w:val="22"/>
              </w:rPr>
            </w:pPr>
            <w:r>
              <w:rPr>
                <w:rFonts w:ascii="Calibri"/>
                <w:spacing w:val="-4"/>
                <w:sz w:val="22"/>
              </w:rPr>
              <w:t>TMDL</w:t>
            </w:r>
          </w:p>
        </w:tc>
        <w:tc>
          <w:tcPr>
            <w:tcW w:w="2946" w:type="dxa"/>
          </w:tcPr>
          <w:p>
            <w:pPr>
              <w:pStyle w:val="TableParagraph"/>
              <w:spacing w:line="248" w:lineRule="exact" w:before="0"/>
              <w:ind w:left="149"/>
              <w:rPr>
                <w:rFonts w:ascii="Calibri"/>
                <w:sz w:val="22"/>
              </w:rPr>
            </w:pPr>
            <w:r>
              <w:rPr>
                <w:rFonts w:ascii="Calibri"/>
                <w:sz w:val="22"/>
              </w:rPr>
              <w:t>Total</w:t>
            </w:r>
            <w:r>
              <w:rPr>
                <w:rFonts w:ascii="Calibri"/>
                <w:spacing w:val="-7"/>
                <w:sz w:val="22"/>
              </w:rPr>
              <w:t> </w:t>
            </w:r>
            <w:r>
              <w:rPr>
                <w:rFonts w:ascii="Calibri"/>
                <w:sz w:val="22"/>
              </w:rPr>
              <w:t>Maximum</w:t>
            </w:r>
            <w:r>
              <w:rPr>
                <w:rFonts w:ascii="Calibri"/>
                <w:spacing w:val="-4"/>
                <w:sz w:val="22"/>
              </w:rPr>
              <w:t> </w:t>
            </w:r>
            <w:r>
              <w:rPr>
                <w:rFonts w:ascii="Calibri"/>
                <w:sz w:val="22"/>
              </w:rPr>
              <w:t>Daily</w:t>
            </w:r>
            <w:r>
              <w:rPr>
                <w:rFonts w:ascii="Calibri"/>
                <w:spacing w:val="-4"/>
                <w:sz w:val="22"/>
              </w:rPr>
              <w:t> Load</w:t>
            </w:r>
          </w:p>
        </w:tc>
      </w:tr>
      <w:tr>
        <w:trPr>
          <w:trHeight w:val="286" w:hRule="atLeast"/>
        </w:trPr>
        <w:tc>
          <w:tcPr>
            <w:tcW w:w="820" w:type="dxa"/>
          </w:tcPr>
          <w:p>
            <w:pPr>
              <w:pStyle w:val="TableParagraph"/>
              <w:spacing w:line="250" w:lineRule="exact" w:before="17"/>
              <w:ind w:left="50"/>
              <w:rPr>
                <w:rFonts w:ascii="Calibri"/>
                <w:sz w:val="22"/>
              </w:rPr>
            </w:pPr>
            <w:r>
              <w:rPr>
                <w:rFonts w:ascii="Calibri"/>
                <w:spacing w:val="-4"/>
                <w:sz w:val="22"/>
              </w:rPr>
              <w:t>PTSQ</w:t>
            </w:r>
          </w:p>
        </w:tc>
        <w:tc>
          <w:tcPr>
            <w:tcW w:w="3425" w:type="dxa"/>
          </w:tcPr>
          <w:p>
            <w:pPr>
              <w:pStyle w:val="TableParagraph"/>
              <w:spacing w:line="250" w:lineRule="exact" w:before="17"/>
              <w:ind w:left="209"/>
              <w:rPr>
                <w:rFonts w:ascii="Calibri"/>
                <w:sz w:val="22"/>
              </w:rPr>
            </w:pPr>
            <w:r>
              <w:rPr>
                <w:rFonts w:ascii="Calibri"/>
                <w:sz w:val="22"/>
              </w:rPr>
              <w:t>Projected</w:t>
            </w:r>
            <w:r>
              <w:rPr>
                <w:rFonts w:ascii="Calibri"/>
                <w:spacing w:val="-5"/>
                <w:sz w:val="22"/>
              </w:rPr>
              <w:t> </w:t>
            </w:r>
            <w:r>
              <w:rPr>
                <w:rFonts w:ascii="Calibri"/>
                <w:sz w:val="22"/>
              </w:rPr>
              <w:t>Timber</w:t>
            </w:r>
            <w:r>
              <w:rPr>
                <w:rFonts w:ascii="Calibri"/>
                <w:spacing w:val="-3"/>
                <w:sz w:val="22"/>
              </w:rPr>
              <w:t> </w:t>
            </w:r>
            <w:r>
              <w:rPr>
                <w:rFonts w:ascii="Calibri"/>
                <w:spacing w:val="-4"/>
                <w:sz w:val="22"/>
              </w:rPr>
              <w:t>Sale</w:t>
            </w:r>
          </w:p>
        </w:tc>
        <w:tc>
          <w:tcPr>
            <w:tcW w:w="1316" w:type="dxa"/>
          </w:tcPr>
          <w:p>
            <w:pPr>
              <w:pStyle w:val="TableParagraph"/>
              <w:spacing w:line="248" w:lineRule="exact" w:before="0"/>
              <w:ind w:left="486"/>
              <w:rPr>
                <w:rFonts w:ascii="Calibri"/>
                <w:sz w:val="22"/>
              </w:rPr>
            </w:pPr>
            <w:r>
              <w:rPr>
                <w:rFonts w:ascii="Calibri"/>
                <w:spacing w:val="-5"/>
                <w:sz w:val="22"/>
              </w:rPr>
              <w:t>USC</w:t>
            </w:r>
          </w:p>
        </w:tc>
        <w:tc>
          <w:tcPr>
            <w:tcW w:w="2946" w:type="dxa"/>
          </w:tcPr>
          <w:p>
            <w:pPr>
              <w:pStyle w:val="TableParagraph"/>
              <w:spacing w:line="248" w:lineRule="exact" w:before="0"/>
              <w:ind w:left="149"/>
              <w:rPr>
                <w:rFonts w:ascii="Calibri"/>
                <w:sz w:val="22"/>
              </w:rPr>
            </w:pPr>
            <w:r>
              <w:rPr>
                <w:rFonts w:ascii="Calibri"/>
                <w:sz w:val="22"/>
              </w:rPr>
              <w:t>United</w:t>
            </w:r>
            <w:r>
              <w:rPr>
                <w:rFonts w:ascii="Calibri"/>
                <w:spacing w:val="-5"/>
                <w:sz w:val="22"/>
              </w:rPr>
              <w:t> </w:t>
            </w:r>
            <w:r>
              <w:rPr>
                <w:rFonts w:ascii="Calibri"/>
                <w:sz w:val="22"/>
              </w:rPr>
              <w:t>States</w:t>
            </w:r>
            <w:r>
              <w:rPr>
                <w:rFonts w:ascii="Calibri"/>
                <w:spacing w:val="-3"/>
                <w:sz w:val="22"/>
              </w:rPr>
              <w:t> </w:t>
            </w:r>
            <w:r>
              <w:rPr>
                <w:rFonts w:ascii="Calibri"/>
                <w:spacing w:val="-4"/>
                <w:sz w:val="22"/>
              </w:rPr>
              <w:t>Code</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pacing w:val="-2"/>
                <w:sz w:val="22"/>
              </w:rPr>
              <w:t>Quantity</w:t>
            </w:r>
          </w:p>
        </w:tc>
        <w:tc>
          <w:tcPr>
            <w:tcW w:w="1316" w:type="dxa"/>
          </w:tcPr>
          <w:p>
            <w:pPr>
              <w:pStyle w:val="TableParagraph"/>
              <w:spacing w:line="230" w:lineRule="exact" w:before="0"/>
              <w:ind w:left="485"/>
              <w:rPr>
                <w:rFonts w:ascii="Calibri"/>
                <w:sz w:val="22"/>
              </w:rPr>
            </w:pPr>
            <w:r>
              <w:rPr>
                <w:rFonts w:ascii="Calibri"/>
                <w:spacing w:val="-4"/>
                <w:sz w:val="22"/>
              </w:rPr>
              <w:t>USDA</w:t>
            </w:r>
          </w:p>
        </w:tc>
        <w:tc>
          <w:tcPr>
            <w:tcW w:w="2946" w:type="dxa"/>
          </w:tcPr>
          <w:p>
            <w:pPr>
              <w:pStyle w:val="TableParagraph"/>
              <w:spacing w:line="230" w:lineRule="exact" w:before="0"/>
              <w:ind w:left="149"/>
              <w:rPr>
                <w:rFonts w:ascii="Calibri"/>
                <w:sz w:val="22"/>
              </w:rPr>
            </w:pPr>
            <w:r>
              <w:rPr>
                <w:rFonts w:ascii="Calibri"/>
                <w:sz w:val="22"/>
              </w:rPr>
              <w:t>United</w:t>
            </w:r>
            <w:r>
              <w:rPr>
                <w:rFonts w:ascii="Calibri"/>
                <w:spacing w:val="-7"/>
                <w:sz w:val="22"/>
              </w:rPr>
              <w:t> </w:t>
            </w:r>
            <w:r>
              <w:rPr>
                <w:rFonts w:ascii="Calibri"/>
                <w:sz w:val="22"/>
              </w:rPr>
              <w:t>States</w:t>
            </w:r>
            <w:r>
              <w:rPr>
                <w:rFonts w:ascii="Calibri"/>
                <w:spacing w:val="-7"/>
                <w:sz w:val="22"/>
              </w:rPr>
              <w:t> </w:t>
            </w:r>
            <w:r>
              <w:rPr>
                <w:rFonts w:ascii="Calibri"/>
                <w:sz w:val="22"/>
              </w:rPr>
              <w:t>Department</w:t>
            </w:r>
            <w:r>
              <w:rPr>
                <w:rFonts w:ascii="Calibri"/>
                <w:spacing w:val="-6"/>
                <w:sz w:val="22"/>
              </w:rPr>
              <w:t> </w:t>
            </w:r>
            <w:r>
              <w:rPr>
                <w:rFonts w:ascii="Calibri"/>
                <w:spacing w:val="-5"/>
                <w:sz w:val="22"/>
              </w:rPr>
              <w:t>of</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5"/>
                <w:sz w:val="22"/>
              </w:rPr>
              <w:t>PUD</w:t>
            </w:r>
          </w:p>
        </w:tc>
        <w:tc>
          <w:tcPr>
            <w:tcW w:w="3425" w:type="dxa"/>
          </w:tcPr>
          <w:p>
            <w:pPr>
              <w:pStyle w:val="TableParagraph"/>
              <w:spacing w:line="248" w:lineRule="exact" w:before="0"/>
              <w:ind w:left="209"/>
              <w:rPr>
                <w:rFonts w:ascii="Calibri"/>
                <w:sz w:val="22"/>
              </w:rPr>
            </w:pPr>
            <w:r>
              <w:rPr>
                <w:rFonts w:ascii="Calibri"/>
                <w:sz w:val="22"/>
              </w:rPr>
              <w:t>Public</w:t>
            </w:r>
            <w:r>
              <w:rPr>
                <w:rFonts w:ascii="Calibri"/>
                <w:spacing w:val="-5"/>
                <w:sz w:val="22"/>
              </w:rPr>
              <w:t> </w:t>
            </w:r>
            <w:r>
              <w:rPr>
                <w:rFonts w:ascii="Calibri"/>
                <w:sz w:val="22"/>
              </w:rPr>
              <w:t>Utility</w:t>
            </w:r>
            <w:r>
              <w:rPr>
                <w:rFonts w:ascii="Calibri"/>
                <w:spacing w:val="-5"/>
                <w:sz w:val="22"/>
              </w:rPr>
              <w:t> </w:t>
            </w:r>
            <w:r>
              <w:rPr>
                <w:rFonts w:ascii="Calibri"/>
                <w:spacing w:val="-2"/>
                <w:sz w:val="22"/>
              </w:rPr>
              <w:t>District</w:t>
            </w:r>
          </w:p>
        </w:tc>
        <w:tc>
          <w:tcPr>
            <w:tcW w:w="1316" w:type="dxa"/>
          </w:tcPr>
          <w:p>
            <w:pPr>
              <w:pStyle w:val="TableParagraph"/>
              <w:spacing w:before="0"/>
              <w:rPr>
                <w:rFonts w:ascii="Times New Roman"/>
                <w:sz w:val="18"/>
              </w:rPr>
            </w:pPr>
          </w:p>
        </w:tc>
        <w:tc>
          <w:tcPr>
            <w:tcW w:w="2946" w:type="dxa"/>
          </w:tcPr>
          <w:p>
            <w:pPr>
              <w:pStyle w:val="TableParagraph"/>
              <w:spacing w:line="230" w:lineRule="exact" w:before="0"/>
              <w:ind w:left="149"/>
              <w:rPr>
                <w:rFonts w:ascii="Calibri"/>
                <w:sz w:val="22"/>
              </w:rPr>
            </w:pPr>
            <w:r>
              <w:rPr>
                <w:rFonts w:ascii="Calibri"/>
                <w:spacing w:val="-2"/>
                <w:sz w:val="22"/>
              </w:rPr>
              <w:t>Agriculture</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PWA</w:t>
            </w:r>
          </w:p>
        </w:tc>
        <w:tc>
          <w:tcPr>
            <w:tcW w:w="3425" w:type="dxa"/>
          </w:tcPr>
          <w:p>
            <w:pPr>
              <w:pStyle w:val="TableParagraph"/>
              <w:spacing w:line="249" w:lineRule="exact" w:before="0"/>
              <w:ind w:left="209"/>
              <w:rPr>
                <w:rFonts w:ascii="Calibri"/>
                <w:sz w:val="22"/>
              </w:rPr>
            </w:pPr>
            <w:r>
              <w:rPr>
                <w:rFonts w:ascii="Calibri"/>
                <w:sz w:val="22"/>
              </w:rPr>
              <w:t>Potential</w:t>
            </w:r>
            <w:r>
              <w:rPr>
                <w:rFonts w:ascii="Calibri"/>
                <w:spacing w:val="-11"/>
                <w:sz w:val="22"/>
              </w:rPr>
              <w:t> </w:t>
            </w:r>
            <w:r>
              <w:rPr>
                <w:rFonts w:ascii="Calibri"/>
                <w:sz w:val="22"/>
              </w:rPr>
              <w:t>Wilderness</w:t>
            </w:r>
            <w:r>
              <w:rPr>
                <w:rFonts w:ascii="Calibri"/>
                <w:spacing w:val="-6"/>
                <w:sz w:val="22"/>
              </w:rPr>
              <w:t> </w:t>
            </w:r>
            <w:r>
              <w:rPr>
                <w:rFonts w:ascii="Calibri"/>
                <w:spacing w:val="-4"/>
                <w:sz w:val="22"/>
              </w:rPr>
              <w:t>Area</w:t>
            </w:r>
          </w:p>
        </w:tc>
        <w:tc>
          <w:tcPr>
            <w:tcW w:w="1316" w:type="dxa"/>
          </w:tcPr>
          <w:p>
            <w:pPr>
              <w:pStyle w:val="TableParagraph"/>
              <w:spacing w:line="231" w:lineRule="exact" w:before="0"/>
              <w:ind w:left="485"/>
              <w:rPr>
                <w:rFonts w:ascii="Calibri"/>
                <w:sz w:val="22"/>
              </w:rPr>
            </w:pPr>
            <w:r>
              <w:rPr>
                <w:rFonts w:ascii="Calibri"/>
                <w:spacing w:val="-4"/>
                <w:sz w:val="22"/>
              </w:rPr>
              <w:t>USDI</w:t>
            </w:r>
          </w:p>
        </w:tc>
        <w:tc>
          <w:tcPr>
            <w:tcW w:w="2946" w:type="dxa"/>
          </w:tcPr>
          <w:p>
            <w:pPr>
              <w:pStyle w:val="TableParagraph"/>
              <w:spacing w:line="231" w:lineRule="exact" w:before="0"/>
              <w:ind w:left="149"/>
              <w:rPr>
                <w:rFonts w:ascii="Calibri"/>
                <w:sz w:val="22"/>
              </w:rPr>
            </w:pPr>
            <w:r>
              <w:rPr>
                <w:rFonts w:ascii="Calibri"/>
                <w:sz w:val="22"/>
              </w:rPr>
              <w:t>United</w:t>
            </w:r>
            <w:r>
              <w:rPr>
                <w:rFonts w:ascii="Calibri"/>
                <w:spacing w:val="-7"/>
                <w:sz w:val="22"/>
              </w:rPr>
              <w:t> </w:t>
            </w:r>
            <w:r>
              <w:rPr>
                <w:rFonts w:ascii="Calibri"/>
                <w:sz w:val="22"/>
              </w:rPr>
              <w:t>States</w:t>
            </w:r>
            <w:r>
              <w:rPr>
                <w:rFonts w:ascii="Calibri"/>
                <w:spacing w:val="-7"/>
                <w:sz w:val="22"/>
              </w:rPr>
              <w:t> </w:t>
            </w:r>
            <w:r>
              <w:rPr>
                <w:rFonts w:ascii="Calibri"/>
                <w:sz w:val="22"/>
              </w:rPr>
              <w:t>Department</w:t>
            </w:r>
            <w:r>
              <w:rPr>
                <w:rFonts w:ascii="Calibri"/>
                <w:spacing w:val="-6"/>
                <w:sz w:val="22"/>
              </w:rPr>
              <w:t> </w:t>
            </w:r>
            <w:r>
              <w:rPr>
                <w:rFonts w:ascii="Calibri"/>
                <w:spacing w:val="-5"/>
                <w:sz w:val="22"/>
              </w:rPr>
              <w:t>of</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4"/>
                <w:sz w:val="22"/>
              </w:rPr>
              <w:t>PWSQ</w:t>
            </w:r>
          </w:p>
        </w:tc>
        <w:tc>
          <w:tcPr>
            <w:tcW w:w="3425" w:type="dxa"/>
          </w:tcPr>
          <w:p>
            <w:pPr>
              <w:pStyle w:val="TableParagraph"/>
              <w:spacing w:line="249" w:lineRule="exact" w:before="0"/>
              <w:ind w:left="209"/>
              <w:rPr>
                <w:rFonts w:ascii="Calibri"/>
                <w:sz w:val="22"/>
              </w:rPr>
            </w:pPr>
            <w:r>
              <w:rPr>
                <w:rFonts w:ascii="Calibri"/>
                <w:sz w:val="22"/>
              </w:rPr>
              <w:t>Projected</w:t>
            </w:r>
            <w:r>
              <w:rPr>
                <w:rFonts w:ascii="Calibri"/>
                <w:spacing w:val="-5"/>
                <w:sz w:val="22"/>
              </w:rPr>
              <w:t> </w:t>
            </w:r>
            <w:r>
              <w:rPr>
                <w:rFonts w:ascii="Calibri"/>
                <w:sz w:val="22"/>
              </w:rPr>
              <w:t>Wood</w:t>
            </w:r>
            <w:r>
              <w:rPr>
                <w:rFonts w:ascii="Calibri"/>
                <w:spacing w:val="-5"/>
                <w:sz w:val="22"/>
              </w:rPr>
              <w:t> </w:t>
            </w:r>
            <w:r>
              <w:rPr>
                <w:rFonts w:ascii="Calibri"/>
                <w:sz w:val="22"/>
              </w:rPr>
              <w:t>Sale</w:t>
            </w:r>
            <w:r>
              <w:rPr>
                <w:rFonts w:ascii="Calibri"/>
                <w:spacing w:val="-5"/>
                <w:sz w:val="22"/>
              </w:rPr>
              <w:t> </w:t>
            </w:r>
            <w:r>
              <w:rPr>
                <w:rFonts w:ascii="Calibri"/>
                <w:spacing w:val="-2"/>
                <w:sz w:val="22"/>
              </w:rPr>
              <w:t>Quantity</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pacing w:val="-2"/>
                <w:sz w:val="22"/>
              </w:rPr>
              <w:t>Interior</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4"/>
                <w:sz w:val="22"/>
              </w:rPr>
              <w:t>RACR</w:t>
            </w:r>
          </w:p>
        </w:tc>
        <w:tc>
          <w:tcPr>
            <w:tcW w:w="3425" w:type="dxa"/>
          </w:tcPr>
          <w:p>
            <w:pPr>
              <w:pStyle w:val="TableParagraph"/>
              <w:spacing w:line="249" w:lineRule="exact" w:before="0"/>
              <w:ind w:left="209"/>
              <w:rPr>
                <w:rFonts w:ascii="Calibri"/>
                <w:sz w:val="22"/>
              </w:rPr>
            </w:pPr>
            <w:r>
              <w:rPr>
                <w:rFonts w:ascii="Calibri"/>
                <w:sz w:val="22"/>
              </w:rPr>
              <w:t>Roadless</w:t>
            </w:r>
            <w:r>
              <w:rPr>
                <w:rFonts w:ascii="Calibri"/>
                <w:spacing w:val="-5"/>
                <w:sz w:val="22"/>
              </w:rPr>
              <w:t> </w:t>
            </w:r>
            <w:r>
              <w:rPr>
                <w:rFonts w:ascii="Calibri"/>
                <w:sz w:val="22"/>
              </w:rPr>
              <w:t>Area</w:t>
            </w:r>
            <w:r>
              <w:rPr>
                <w:rFonts w:ascii="Calibri"/>
                <w:spacing w:val="-4"/>
                <w:sz w:val="22"/>
              </w:rPr>
              <w:t> </w:t>
            </w:r>
            <w:r>
              <w:rPr>
                <w:rFonts w:ascii="Calibri"/>
                <w:spacing w:val="-2"/>
                <w:sz w:val="22"/>
              </w:rPr>
              <w:t>Conservation</w:t>
            </w:r>
          </w:p>
        </w:tc>
        <w:tc>
          <w:tcPr>
            <w:tcW w:w="1316" w:type="dxa"/>
          </w:tcPr>
          <w:p>
            <w:pPr>
              <w:pStyle w:val="TableParagraph"/>
              <w:spacing w:line="231" w:lineRule="exact" w:before="0"/>
              <w:ind w:left="485"/>
              <w:rPr>
                <w:rFonts w:ascii="Calibri"/>
                <w:sz w:val="22"/>
              </w:rPr>
            </w:pPr>
            <w:r>
              <w:rPr>
                <w:rFonts w:ascii="Calibri"/>
                <w:spacing w:val="-4"/>
                <w:sz w:val="22"/>
              </w:rPr>
              <w:t>USFS</w:t>
            </w:r>
          </w:p>
        </w:tc>
        <w:tc>
          <w:tcPr>
            <w:tcW w:w="2946" w:type="dxa"/>
          </w:tcPr>
          <w:p>
            <w:pPr>
              <w:pStyle w:val="TableParagraph"/>
              <w:spacing w:line="231" w:lineRule="exact" w:before="0"/>
              <w:ind w:left="149"/>
              <w:rPr>
                <w:rFonts w:ascii="Calibri"/>
                <w:sz w:val="22"/>
              </w:rPr>
            </w:pPr>
            <w:r>
              <w:rPr>
                <w:rFonts w:ascii="Calibri"/>
                <w:sz w:val="22"/>
              </w:rPr>
              <w:t>United</w:t>
            </w:r>
            <w:r>
              <w:rPr>
                <w:rFonts w:ascii="Calibri"/>
                <w:spacing w:val="-6"/>
                <w:sz w:val="22"/>
              </w:rPr>
              <w:t> </w:t>
            </w:r>
            <w:r>
              <w:rPr>
                <w:rFonts w:ascii="Calibri"/>
                <w:sz w:val="22"/>
              </w:rPr>
              <w:t>States</w:t>
            </w:r>
            <w:r>
              <w:rPr>
                <w:rFonts w:ascii="Calibri"/>
                <w:spacing w:val="-5"/>
                <w:sz w:val="22"/>
              </w:rPr>
              <w:t> </w:t>
            </w:r>
            <w:r>
              <w:rPr>
                <w:rFonts w:ascii="Calibri"/>
                <w:sz w:val="22"/>
              </w:rPr>
              <w:t>Forest</w:t>
            </w:r>
            <w:r>
              <w:rPr>
                <w:rFonts w:ascii="Calibri"/>
                <w:spacing w:val="-3"/>
                <w:sz w:val="22"/>
              </w:rPr>
              <w:t> </w:t>
            </w:r>
            <w:r>
              <w:rPr>
                <w:rFonts w:ascii="Calibri"/>
                <w:spacing w:val="-2"/>
                <w:sz w:val="22"/>
              </w:rPr>
              <w:t>Service</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pacing w:val="-4"/>
                <w:sz w:val="22"/>
              </w:rPr>
              <w:t>Rule</w:t>
            </w:r>
          </w:p>
        </w:tc>
        <w:tc>
          <w:tcPr>
            <w:tcW w:w="1316" w:type="dxa"/>
          </w:tcPr>
          <w:p>
            <w:pPr>
              <w:pStyle w:val="TableParagraph"/>
              <w:spacing w:line="231" w:lineRule="exact" w:before="0"/>
              <w:ind w:left="486"/>
              <w:rPr>
                <w:rFonts w:ascii="Calibri"/>
                <w:sz w:val="22"/>
              </w:rPr>
            </w:pPr>
            <w:r>
              <w:rPr>
                <w:rFonts w:ascii="Calibri"/>
                <w:spacing w:val="-4"/>
                <w:sz w:val="22"/>
              </w:rPr>
              <w:t>USGS</w:t>
            </w:r>
          </w:p>
        </w:tc>
        <w:tc>
          <w:tcPr>
            <w:tcW w:w="2946" w:type="dxa"/>
          </w:tcPr>
          <w:p>
            <w:pPr>
              <w:pStyle w:val="TableParagraph"/>
              <w:spacing w:line="231" w:lineRule="exact" w:before="0"/>
              <w:ind w:left="149"/>
              <w:rPr>
                <w:rFonts w:ascii="Calibri"/>
                <w:sz w:val="22"/>
              </w:rPr>
            </w:pPr>
            <w:r>
              <w:rPr>
                <w:rFonts w:ascii="Calibri"/>
                <w:sz w:val="22"/>
              </w:rPr>
              <w:t>United</w:t>
            </w:r>
            <w:r>
              <w:rPr>
                <w:rFonts w:ascii="Calibri"/>
                <w:spacing w:val="-5"/>
                <w:sz w:val="22"/>
              </w:rPr>
              <w:t> </w:t>
            </w:r>
            <w:r>
              <w:rPr>
                <w:rFonts w:ascii="Calibri"/>
                <w:sz w:val="22"/>
              </w:rPr>
              <w:t>States</w:t>
            </w:r>
            <w:r>
              <w:rPr>
                <w:rFonts w:ascii="Calibri"/>
                <w:spacing w:val="-3"/>
                <w:sz w:val="22"/>
              </w:rPr>
              <w:t> </w:t>
            </w:r>
            <w:r>
              <w:rPr>
                <w:rFonts w:ascii="Calibri"/>
                <w:spacing w:val="-2"/>
                <w:sz w:val="22"/>
              </w:rPr>
              <w:t>Geological</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4"/>
                <w:sz w:val="22"/>
              </w:rPr>
              <w:t>RHCA</w:t>
            </w:r>
          </w:p>
        </w:tc>
        <w:tc>
          <w:tcPr>
            <w:tcW w:w="3425" w:type="dxa"/>
          </w:tcPr>
          <w:p>
            <w:pPr>
              <w:pStyle w:val="TableParagraph"/>
              <w:spacing w:line="249" w:lineRule="exact" w:before="0"/>
              <w:ind w:left="209"/>
              <w:rPr>
                <w:rFonts w:ascii="Calibri"/>
                <w:sz w:val="22"/>
              </w:rPr>
            </w:pPr>
            <w:r>
              <w:rPr>
                <w:rFonts w:ascii="Calibri"/>
                <w:sz w:val="22"/>
              </w:rPr>
              <w:t>Riparian</w:t>
            </w:r>
            <w:r>
              <w:rPr>
                <w:rFonts w:ascii="Calibri"/>
                <w:spacing w:val="-7"/>
                <w:sz w:val="22"/>
              </w:rPr>
              <w:t> </w:t>
            </w:r>
            <w:r>
              <w:rPr>
                <w:rFonts w:ascii="Calibri"/>
                <w:sz w:val="22"/>
              </w:rPr>
              <w:t>Habitat</w:t>
            </w:r>
            <w:r>
              <w:rPr>
                <w:rFonts w:ascii="Calibri"/>
                <w:spacing w:val="-4"/>
                <w:sz w:val="22"/>
              </w:rPr>
              <w:t> </w:t>
            </w:r>
            <w:r>
              <w:rPr>
                <w:rFonts w:ascii="Calibri"/>
                <w:spacing w:val="-2"/>
                <w:sz w:val="22"/>
              </w:rPr>
              <w:t>Conservation</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pacing w:val="-2"/>
                <w:sz w:val="22"/>
              </w:rPr>
              <w:t>Survey</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pacing w:val="-4"/>
                <w:sz w:val="22"/>
              </w:rPr>
              <w:t>Area</w:t>
            </w:r>
          </w:p>
        </w:tc>
        <w:tc>
          <w:tcPr>
            <w:tcW w:w="1316" w:type="dxa"/>
          </w:tcPr>
          <w:p>
            <w:pPr>
              <w:pStyle w:val="TableParagraph"/>
              <w:spacing w:line="231" w:lineRule="exact" w:before="0"/>
              <w:ind w:left="486"/>
              <w:rPr>
                <w:rFonts w:ascii="Calibri"/>
                <w:sz w:val="22"/>
              </w:rPr>
            </w:pPr>
            <w:r>
              <w:rPr>
                <w:rFonts w:ascii="Calibri"/>
                <w:spacing w:val="-5"/>
                <w:sz w:val="22"/>
              </w:rPr>
              <w:t>WAC</w:t>
            </w:r>
          </w:p>
        </w:tc>
        <w:tc>
          <w:tcPr>
            <w:tcW w:w="2946" w:type="dxa"/>
          </w:tcPr>
          <w:p>
            <w:pPr>
              <w:pStyle w:val="TableParagraph"/>
              <w:spacing w:line="231" w:lineRule="exact" w:before="0"/>
              <w:ind w:left="149"/>
              <w:rPr>
                <w:rFonts w:ascii="Calibri"/>
                <w:sz w:val="22"/>
              </w:rPr>
            </w:pPr>
            <w:r>
              <w:rPr>
                <w:rFonts w:ascii="Calibri"/>
                <w:sz w:val="22"/>
              </w:rPr>
              <w:t>Washington</w:t>
            </w:r>
            <w:r>
              <w:rPr>
                <w:rFonts w:ascii="Calibri"/>
                <w:spacing w:val="-5"/>
                <w:sz w:val="22"/>
              </w:rPr>
              <w:t> </w:t>
            </w:r>
            <w:r>
              <w:rPr>
                <w:rFonts w:ascii="Calibri"/>
                <w:spacing w:val="-2"/>
                <w:sz w:val="22"/>
              </w:rPr>
              <w:t>Administrative</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5"/>
                <w:sz w:val="22"/>
              </w:rPr>
              <w:t>RMA</w:t>
            </w:r>
          </w:p>
        </w:tc>
        <w:tc>
          <w:tcPr>
            <w:tcW w:w="3425" w:type="dxa"/>
          </w:tcPr>
          <w:p>
            <w:pPr>
              <w:pStyle w:val="TableParagraph"/>
              <w:spacing w:line="248" w:lineRule="exact" w:before="0"/>
              <w:ind w:left="209"/>
              <w:rPr>
                <w:rFonts w:ascii="Calibri"/>
                <w:sz w:val="22"/>
              </w:rPr>
            </w:pPr>
            <w:r>
              <w:rPr>
                <w:rFonts w:ascii="Calibri"/>
                <w:sz w:val="22"/>
              </w:rPr>
              <w:t>Riparian</w:t>
            </w:r>
            <w:r>
              <w:rPr>
                <w:rFonts w:ascii="Calibri"/>
                <w:spacing w:val="-8"/>
                <w:sz w:val="22"/>
              </w:rPr>
              <w:t> </w:t>
            </w:r>
            <w:r>
              <w:rPr>
                <w:rFonts w:ascii="Calibri"/>
                <w:sz w:val="22"/>
              </w:rPr>
              <w:t>Management</w:t>
            </w:r>
            <w:r>
              <w:rPr>
                <w:rFonts w:ascii="Calibri"/>
                <w:spacing w:val="-7"/>
                <w:sz w:val="22"/>
              </w:rPr>
              <w:t> </w:t>
            </w:r>
            <w:r>
              <w:rPr>
                <w:rFonts w:ascii="Calibri"/>
                <w:spacing w:val="-4"/>
                <w:sz w:val="22"/>
              </w:rPr>
              <w:t>Area</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pacing w:val="-4"/>
                <w:sz w:val="22"/>
              </w:rPr>
              <w:t>Code</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RMO</w:t>
            </w:r>
          </w:p>
        </w:tc>
        <w:tc>
          <w:tcPr>
            <w:tcW w:w="3425" w:type="dxa"/>
          </w:tcPr>
          <w:p>
            <w:pPr>
              <w:pStyle w:val="TableParagraph"/>
              <w:spacing w:line="249" w:lineRule="exact" w:before="0"/>
              <w:ind w:left="209"/>
              <w:rPr>
                <w:rFonts w:ascii="Calibri"/>
                <w:sz w:val="22"/>
              </w:rPr>
            </w:pPr>
            <w:r>
              <w:rPr>
                <w:rFonts w:ascii="Calibri"/>
                <w:sz w:val="22"/>
              </w:rPr>
              <w:t>Riparian</w:t>
            </w:r>
            <w:r>
              <w:rPr>
                <w:rFonts w:ascii="Calibri"/>
                <w:spacing w:val="-7"/>
                <w:sz w:val="22"/>
              </w:rPr>
              <w:t> </w:t>
            </w:r>
            <w:r>
              <w:rPr>
                <w:rFonts w:ascii="Calibri"/>
                <w:spacing w:val="-2"/>
                <w:sz w:val="22"/>
              </w:rPr>
              <w:t>Management</w:t>
            </w:r>
          </w:p>
        </w:tc>
        <w:tc>
          <w:tcPr>
            <w:tcW w:w="1316" w:type="dxa"/>
          </w:tcPr>
          <w:p>
            <w:pPr>
              <w:pStyle w:val="TableParagraph"/>
              <w:spacing w:line="230" w:lineRule="exact" w:before="0"/>
              <w:ind w:left="486"/>
              <w:rPr>
                <w:rFonts w:ascii="Calibri"/>
                <w:sz w:val="22"/>
              </w:rPr>
            </w:pPr>
            <w:r>
              <w:rPr>
                <w:rFonts w:ascii="Calibri"/>
                <w:spacing w:val="-5"/>
                <w:sz w:val="22"/>
              </w:rPr>
              <w:t>WAP</w:t>
            </w:r>
          </w:p>
        </w:tc>
        <w:tc>
          <w:tcPr>
            <w:tcW w:w="2946" w:type="dxa"/>
          </w:tcPr>
          <w:p>
            <w:pPr>
              <w:pStyle w:val="TableParagraph"/>
              <w:spacing w:line="230" w:lineRule="exact" w:before="0"/>
              <w:ind w:left="149"/>
              <w:rPr>
                <w:rFonts w:ascii="Calibri"/>
                <w:sz w:val="22"/>
              </w:rPr>
            </w:pPr>
            <w:r>
              <w:rPr>
                <w:rFonts w:ascii="Calibri"/>
                <w:sz w:val="22"/>
              </w:rPr>
              <w:t>Watershed</w:t>
            </w:r>
            <w:r>
              <w:rPr>
                <w:rFonts w:ascii="Calibri"/>
                <w:spacing w:val="-8"/>
                <w:sz w:val="22"/>
              </w:rPr>
              <w:t> </w:t>
            </w:r>
            <w:r>
              <w:rPr>
                <w:rFonts w:ascii="Calibri"/>
                <w:sz w:val="22"/>
              </w:rPr>
              <w:t>Action</w:t>
            </w:r>
            <w:r>
              <w:rPr>
                <w:rFonts w:ascii="Calibri"/>
                <w:spacing w:val="-7"/>
                <w:sz w:val="22"/>
              </w:rPr>
              <w:t> </w:t>
            </w:r>
            <w:r>
              <w:rPr>
                <w:rFonts w:ascii="Calibri"/>
                <w:spacing w:val="-4"/>
                <w:sz w:val="22"/>
              </w:rPr>
              <w:t>Plan</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pacing w:val="-2"/>
                <w:sz w:val="22"/>
              </w:rPr>
              <w:t>Objective</w:t>
            </w:r>
          </w:p>
        </w:tc>
        <w:tc>
          <w:tcPr>
            <w:tcW w:w="1316" w:type="dxa"/>
          </w:tcPr>
          <w:p>
            <w:pPr>
              <w:pStyle w:val="TableParagraph"/>
              <w:spacing w:line="230" w:lineRule="exact" w:before="0"/>
              <w:ind w:left="486"/>
              <w:rPr>
                <w:rFonts w:ascii="Calibri"/>
                <w:sz w:val="22"/>
              </w:rPr>
            </w:pPr>
            <w:r>
              <w:rPr>
                <w:rFonts w:ascii="Calibri"/>
                <w:spacing w:val="-5"/>
                <w:sz w:val="22"/>
              </w:rPr>
              <w:t>WCD</w:t>
            </w:r>
          </w:p>
        </w:tc>
        <w:tc>
          <w:tcPr>
            <w:tcW w:w="2946" w:type="dxa"/>
          </w:tcPr>
          <w:p>
            <w:pPr>
              <w:pStyle w:val="TableParagraph"/>
              <w:spacing w:line="230" w:lineRule="exact" w:before="0"/>
              <w:ind w:left="149"/>
              <w:rPr>
                <w:rFonts w:ascii="Calibri"/>
                <w:sz w:val="22"/>
              </w:rPr>
            </w:pPr>
            <w:r>
              <w:rPr>
                <w:rFonts w:ascii="Calibri"/>
                <w:sz w:val="22"/>
              </w:rPr>
              <w:t>Wilderness</w:t>
            </w:r>
            <w:r>
              <w:rPr>
                <w:rFonts w:ascii="Calibri"/>
                <w:spacing w:val="-3"/>
                <w:sz w:val="22"/>
              </w:rPr>
              <w:t> </w:t>
            </w:r>
            <w:r>
              <w:rPr>
                <w:rFonts w:ascii="Calibri"/>
                <w:sz w:val="22"/>
              </w:rPr>
              <w:t>-</w:t>
            </w:r>
            <w:r>
              <w:rPr>
                <w:rFonts w:ascii="Calibri"/>
                <w:spacing w:val="-5"/>
                <w:sz w:val="22"/>
              </w:rPr>
              <w:t> </w:t>
            </w:r>
            <w:r>
              <w:rPr>
                <w:rFonts w:ascii="Calibri"/>
                <w:spacing w:val="-2"/>
                <w:sz w:val="22"/>
              </w:rPr>
              <w:t>Congressionally</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5"/>
                <w:sz w:val="22"/>
              </w:rPr>
              <w:t>RNA</w:t>
            </w:r>
          </w:p>
        </w:tc>
        <w:tc>
          <w:tcPr>
            <w:tcW w:w="3425" w:type="dxa"/>
          </w:tcPr>
          <w:p>
            <w:pPr>
              <w:pStyle w:val="TableParagraph"/>
              <w:spacing w:line="248" w:lineRule="exact" w:before="0"/>
              <w:ind w:left="209"/>
              <w:rPr>
                <w:rFonts w:ascii="Calibri"/>
                <w:sz w:val="22"/>
              </w:rPr>
            </w:pPr>
            <w:r>
              <w:rPr>
                <w:rFonts w:ascii="Calibri"/>
                <w:sz w:val="22"/>
              </w:rPr>
              <w:t>Research</w:t>
            </w:r>
            <w:r>
              <w:rPr>
                <w:rFonts w:ascii="Calibri"/>
                <w:spacing w:val="-8"/>
                <w:sz w:val="22"/>
              </w:rPr>
              <w:t> </w:t>
            </w:r>
            <w:r>
              <w:rPr>
                <w:rFonts w:ascii="Calibri"/>
                <w:sz w:val="22"/>
              </w:rPr>
              <w:t>Natural</w:t>
            </w:r>
            <w:r>
              <w:rPr>
                <w:rFonts w:ascii="Calibri"/>
                <w:spacing w:val="-4"/>
                <w:sz w:val="22"/>
              </w:rPr>
              <w:t> Area</w:t>
            </w:r>
          </w:p>
        </w:tc>
        <w:tc>
          <w:tcPr>
            <w:tcW w:w="1316" w:type="dxa"/>
          </w:tcPr>
          <w:p>
            <w:pPr>
              <w:pStyle w:val="TableParagraph"/>
              <w:spacing w:before="0"/>
              <w:rPr>
                <w:rFonts w:ascii="Times New Roman"/>
                <w:sz w:val="18"/>
              </w:rPr>
            </w:pPr>
          </w:p>
        </w:tc>
        <w:tc>
          <w:tcPr>
            <w:tcW w:w="2946" w:type="dxa"/>
          </w:tcPr>
          <w:p>
            <w:pPr>
              <w:pStyle w:val="TableParagraph"/>
              <w:spacing w:line="230" w:lineRule="exact" w:before="0"/>
              <w:ind w:left="149"/>
              <w:rPr>
                <w:rFonts w:ascii="Calibri"/>
                <w:sz w:val="22"/>
              </w:rPr>
            </w:pPr>
            <w:r>
              <w:rPr>
                <w:rFonts w:ascii="Calibri"/>
                <w:spacing w:val="-2"/>
                <w:sz w:val="22"/>
              </w:rPr>
              <w:t>Designated</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ROD</w:t>
            </w:r>
          </w:p>
        </w:tc>
        <w:tc>
          <w:tcPr>
            <w:tcW w:w="3425" w:type="dxa"/>
          </w:tcPr>
          <w:p>
            <w:pPr>
              <w:pStyle w:val="TableParagraph"/>
              <w:spacing w:line="249" w:lineRule="exact" w:before="0"/>
              <w:ind w:left="209"/>
              <w:rPr>
                <w:rFonts w:ascii="Calibri"/>
                <w:sz w:val="22"/>
              </w:rPr>
            </w:pPr>
            <w:r>
              <w:rPr>
                <w:rFonts w:ascii="Calibri"/>
                <w:sz w:val="22"/>
              </w:rPr>
              <w:t>Record</w:t>
            </w:r>
            <w:r>
              <w:rPr>
                <w:rFonts w:ascii="Calibri"/>
                <w:spacing w:val="-3"/>
                <w:sz w:val="22"/>
              </w:rPr>
              <w:t> </w:t>
            </w:r>
            <w:r>
              <w:rPr>
                <w:rFonts w:ascii="Calibri"/>
                <w:sz w:val="22"/>
              </w:rPr>
              <w:t>of</w:t>
            </w:r>
            <w:r>
              <w:rPr>
                <w:rFonts w:ascii="Calibri"/>
                <w:spacing w:val="-2"/>
                <w:sz w:val="22"/>
              </w:rPr>
              <w:t> Decision</w:t>
            </w:r>
          </w:p>
        </w:tc>
        <w:tc>
          <w:tcPr>
            <w:tcW w:w="1316" w:type="dxa"/>
          </w:tcPr>
          <w:p>
            <w:pPr>
              <w:pStyle w:val="TableParagraph"/>
              <w:spacing w:line="231" w:lineRule="exact" w:before="0"/>
              <w:ind w:left="486"/>
              <w:rPr>
                <w:rFonts w:ascii="Calibri"/>
                <w:sz w:val="22"/>
              </w:rPr>
            </w:pPr>
            <w:r>
              <w:rPr>
                <w:rFonts w:ascii="Calibri"/>
                <w:spacing w:val="-5"/>
                <w:sz w:val="22"/>
              </w:rPr>
              <w:t>WCF</w:t>
            </w:r>
          </w:p>
        </w:tc>
        <w:tc>
          <w:tcPr>
            <w:tcW w:w="2946" w:type="dxa"/>
          </w:tcPr>
          <w:p>
            <w:pPr>
              <w:pStyle w:val="TableParagraph"/>
              <w:spacing w:line="231" w:lineRule="exact" w:before="0"/>
              <w:ind w:left="149"/>
              <w:rPr>
                <w:rFonts w:ascii="Calibri"/>
                <w:sz w:val="22"/>
              </w:rPr>
            </w:pPr>
            <w:r>
              <w:rPr>
                <w:rFonts w:ascii="Calibri"/>
                <w:sz w:val="22"/>
              </w:rPr>
              <w:t>Watershed</w:t>
            </w:r>
            <w:r>
              <w:rPr>
                <w:rFonts w:ascii="Calibri"/>
                <w:spacing w:val="-7"/>
                <w:sz w:val="22"/>
              </w:rPr>
              <w:t> </w:t>
            </w:r>
            <w:r>
              <w:rPr>
                <w:rFonts w:ascii="Calibri"/>
                <w:spacing w:val="-2"/>
                <w:sz w:val="22"/>
              </w:rPr>
              <w:t>Condition</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ROS</w:t>
            </w:r>
          </w:p>
        </w:tc>
        <w:tc>
          <w:tcPr>
            <w:tcW w:w="3425" w:type="dxa"/>
          </w:tcPr>
          <w:p>
            <w:pPr>
              <w:pStyle w:val="TableParagraph"/>
              <w:spacing w:line="249" w:lineRule="exact" w:before="0"/>
              <w:ind w:left="209"/>
              <w:rPr>
                <w:rFonts w:ascii="Calibri"/>
                <w:sz w:val="22"/>
              </w:rPr>
            </w:pPr>
            <w:r>
              <w:rPr>
                <w:rFonts w:ascii="Calibri"/>
                <w:sz w:val="22"/>
              </w:rPr>
              <w:t>Recreation</w:t>
            </w:r>
            <w:r>
              <w:rPr>
                <w:rFonts w:ascii="Calibri"/>
                <w:spacing w:val="-7"/>
                <w:sz w:val="22"/>
              </w:rPr>
              <w:t> </w:t>
            </w:r>
            <w:r>
              <w:rPr>
                <w:rFonts w:ascii="Calibri"/>
                <w:spacing w:val="-2"/>
                <w:sz w:val="22"/>
              </w:rPr>
              <w:t>Opportunity</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pacing w:val="-2"/>
                <w:sz w:val="22"/>
              </w:rPr>
              <w:t>Framework</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pacing w:val="-2"/>
                <w:sz w:val="22"/>
              </w:rPr>
              <w:t>Spectrum</w:t>
            </w:r>
          </w:p>
        </w:tc>
        <w:tc>
          <w:tcPr>
            <w:tcW w:w="1316" w:type="dxa"/>
          </w:tcPr>
          <w:p>
            <w:pPr>
              <w:pStyle w:val="TableParagraph"/>
              <w:spacing w:line="231" w:lineRule="exact" w:before="0"/>
              <w:ind w:left="486"/>
              <w:rPr>
                <w:rFonts w:ascii="Calibri"/>
                <w:sz w:val="22"/>
              </w:rPr>
            </w:pPr>
            <w:r>
              <w:rPr>
                <w:rFonts w:ascii="Calibri"/>
                <w:spacing w:val="-4"/>
                <w:sz w:val="22"/>
              </w:rPr>
              <w:t>WDFW</w:t>
            </w:r>
          </w:p>
        </w:tc>
        <w:tc>
          <w:tcPr>
            <w:tcW w:w="2946" w:type="dxa"/>
          </w:tcPr>
          <w:p>
            <w:pPr>
              <w:pStyle w:val="TableParagraph"/>
              <w:spacing w:line="231" w:lineRule="exact" w:before="0"/>
              <w:ind w:left="149"/>
              <w:rPr>
                <w:rFonts w:ascii="Calibri"/>
                <w:sz w:val="22"/>
              </w:rPr>
            </w:pPr>
            <w:r>
              <w:rPr>
                <w:rFonts w:ascii="Calibri"/>
                <w:sz w:val="22"/>
              </w:rPr>
              <w:t>Washington</w:t>
            </w:r>
            <w:r>
              <w:rPr>
                <w:rFonts w:ascii="Calibri"/>
                <w:spacing w:val="-9"/>
                <w:sz w:val="22"/>
              </w:rPr>
              <w:t> </w:t>
            </w:r>
            <w:r>
              <w:rPr>
                <w:rFonts w:ascii="Calibri"/>
                <w:sz w:val="22"/>
              </w:rPr>
              <w:t>Department</w:t>
            </w:r>
            <w:r>
              <w:rPr>
                <w:rFonts w:ascii="Calibri"/>
                <w:spacing w:val="-8"/>
                <w:sz w:val="22"/>
              </w:rPr>
              <w:t> </w:t>
            </w:r>
            <w:r>
              <w:rPr>
                <w:rFonts w:ascii="Calibri"/>
                <w:spacing w:val="-5"/>
                <w:sz w:val="22"/>
              </w:rPr>
              <w:t>of</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RW</w:t>
            </w:r>
          </w:p>
        </w:tc>
        <w:tc>
          <w:tcPr>
            <w:tcW w:w="3425" w:type="dxa"/>
          </w:tcPr>
          <w:p>
            <w:pPr>
              <w:pStyle w:val="TableParagraph"/>
              <w:spacing w:line="249" w:lineRule="exact" w:before="0"/>
              <w:ind w:left="209"/>
              <w:rPr>
                <w:rFonts w:ascii="Calibri"/>
                <w:sz w:val="22"/>
              </w:rPr>
            </w:pPr>
            <w:r>
              <w:rPr>
                <w:rFonts w:ascii="Calibri"/>
                <w:sz w:val="22"/>
              </w:rPr>
              <w:t>Recommended</w:t>
            </w:r>
            <w:r>
              <w:rPr>
                <w:rFonts w:ascii="Calibri"/>
                <w:spacing w:val="-8"/>
                <w:sz w:val="22"/>
              </w:rPr>
              <w:t> </w:t>
            </w:r>
            <w:r>
              <w:rPr>
                <w:rFonts w:ascii="Calibri"/>
                <w:spacing w:val="-2"/>
                <w:sz w:val="22"/>
              </w:rPr>
              <w:t>Wilderness</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z w:val="22"/>
              </w:rPr>
              <w:t>Fish</w:t>
            </w:r>
            <w:r>
              <w:rPr>
                <w:rFonts w:ascii="Calibri"/>
                <w:spacing w:val="-5"/>
                <w:sz w:val="22"/>
              </w:rPr>
              <w:t> </w:t>
            </w:r>
            <w:r>
              <w:rPr>
                <w:rFonts w:ascii="Calibri"/>
                <w:sz w:val="22"/>
              </w:rPr>
              <w:t>and</w:t>
            </w:r>
            <w:r>
              <w:rPr>
                <w:rFonts w:ascii="Calibri"/>
                <w:spacing w:val="-3"/>
                <w:sz w:val="22"/>
              </w:rPr>
              <w:t> </w:t>
            </w:r>
            <w:r>
              <w:rPr>
                <w:rFonts w:ascii="Calibri"/>
                <w:spacing w:val="-2"/>
                <w:sz w:val="22"/>
              </w:rPr>
              <w:t>Wildlife</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SB</w:t>
            </w:r>
          </w:p>
        </w:tc>
        <w:tc>
          <w:tcPr>
            <w:tcW w:w="3425" w:type="dxa"/>
          </w:tcPr>
          <w:p>
            <w:pPr>
              <w:pStyle w:val="TableParagraph"/>
              <w:spacing w:line="249" w:lineRule="exact" w:before="0"/>
              <w:ind w:left="209"/>
              <w:rPr>
                <w:rFonts w:ascii="Calibri"/>
                <w:sz w:val="22"/>
              </w:rPr>
            </w:pPr>
            <w:r>
              <w:rPr>
                <w:rFonts w:ascii="Calibri"/>
                <w:sz w:val="22"/>
              </w:rPr>
              <w:t>Scenic</w:t>
            </w:r>
            <w:r>
              <w:rPr>
                <w:rFonts w:ascii="Calibri"/>
                <w:spacing w:val="-5"/>
                <w:sz w:val="22"/>
              </w:rPr>
              <w:t> </w:t>
            </w:r>
            <w:r>
              <w:rPr>
                <w:rFonts w:ascii="Calibri"/>
                <w:spacing w:val="-2"/>
                <w:sz w:val="22"/>
              </w:rPr>
              <w:t>Byways</w:t>
            </w:r>
          </w:p>
        </w:tc>
        <w:tc>
          <w:tcPr>
            <w:tcW w:w="1316" w:type="dxa"/>
          </w:tcPr>
          <w:p>
            <w:pPr>
              <w:pStyle w:val="TableParagraph"/>
              <w:spacing w:line="231" w:lineRule="exact" w:before="0"/>
              <w:ind w:left="486"/>
              <w:rPr>
                <w:rFonts w:ascii="Calibri"/>
                <w:sz w:val="22"/>
              </w:rPr>
            </w:pPr>
            <w:r>
              <w:rPr>
                <w:rFonts w:ascii="Calibri"/>
                <w:spacing w:val="-2"/>
                <w:sz w:val="22"/>
              </w:rPr>
              <w:t>WADoE</w:t>
            </w:r>
          </w:p>
        </w:tc>
        <w:tc>
          <w:tcPr>
            <w:tcW w:w="2946" w:type="dxa"/>
          </w:tcPr>
          <w:p>
            <w:pPr>
              <w:pStyle w:val="TableParagraph"/>
              <w:spacing w:line="231" w:lineRule="exact" w:before="0"/>
              <w:ind w:left="149"/>
              <w:rPr>
                <w:rFonts w:ascii="Calibri"/>
                <w:sz w:val="22"/>
              </w:rPr>
            </w:pPr>
            <w:r>
              <w:rPr>
                <w:rFonts w:ascii="Calibri"/>
                <w:sz w:val="22"/>
              </w:rPr>
              <w:t>Washington</w:t>
            </w:r>
            <w:r>
              <w:rPr>
                <w:rFonts w:ascii="Calibri"/>
                <w:spacing w:val="-9"/>
                <w:sz w:val="22"/>
              </w:rPr>
              <w:t> </w:t>
            </w:r>
            <w:r>
              <w:rPr>
                <w:rFonts w:ascii="Calibri"/>
                <w:sz w:val="22"/>
              </w:rPr>
              <w:t>Department</w:t>
            </w:r>
            <w:r>
              <w:rPr>
                <w:rFonts w:ascii="Calibri"/>
                <w:spacing w:val="-8"/>
                <w:sz w:val="22"/>
              </w:rPr>
              <w:t> </w:t>
            </w:r>
            <w:r>
              <w:rPr>
                <w:rFonts w:ascii="Calibri"/>
                <w:spacing w:val="-5"/>
                <w:sz w:val="22"/>
              </w:rPr>
              <w:t>of</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SIO</w:t>
            </w:r>
          </w:p>
        </w:tc>
        <w:tc>
          <w:tcPr>
            <w:tcW w:w="3425" w:type="dxa"/>
          </w:tcPr>
          <w:p>
            <w:pPr>
              <w:pStyle w:val="TableParagraph"/>
              <w:spacing w:line="249" w:lineRule="exact" w:before="0"/>
              <w:ind w:left="209"/>
              <w:rPr>
                <w:rFonts w:ascii="Calibri"/>
                <w:sz w:val="22"/>
              </w:rPr>
            </w:pPr>
            <w:r>
              <w:rPr>
                <w:rFonts w:ascii="Calibri"/>
                <w:sz w:val="22"/>
              </w:rPr>
              <w:t>Scenic</w:t>
            </w:r>
            <w:r>
              <w:rPr>
                <w:rFonts w:ascii="Calibri"/>
                <w:spacing w:val="-5"/>
                <w:sz w:val="22"/>
              </w:rPr>
              <w:t> </w:t>
            </w:r>
            <w:r>
              <w:rPr>
                <w:rFonts w:ascii="Calibri"/>
                <w:sz w:val="22"/>
              </w:rPr>
              <w:t>Integrity</w:t>
            </w:r>
            <w:r>
              <w:rPr>
                <w:rFonts w:ascii="Calibri"/>
                <w:spacing w:val="-4"/>
                <w:sz w:val="22"/>
              </w:rPr>
              <w:t> </w:t>
            </w:r>
            <w:r>
              <w:rPr>
                <w:rFonts w:ascii="Calibri"/>
                <w:spacing w:val="-2"/>
                <w:sz w:val="22"/>
              </w:rPr>
              <w:t>Objectives</w:t>
            </w:r>
          </w:p>
        </w:tc>
        <w:tc>
          <w:tcPr>
            <w:tcW w:w="1316" w:type="dxa"/>
          </w:tcPr>
          <w:p>
            <w:pPr>
              <w:pStyle w:val="TableParagraph"/>
              <w:spacing w:before="0"/>
              <w:rPr>
                <w:rFonts w:ascii="Times New Roman"/>
                <w:sz w:val="18"/>
              </w:rPr>
            </w:pPr>
          </w:p>
        </w:tc>
        <w:tc>
          <w:tcPr>
            <w:tcW w:w="2946" w:type="dxa"/>
          </w:tcPr>
          <w:p>
            <w:pPr>
              <w:pStyle w:val="TableParagraph"/>
              <w:spacing w:line="231" w:lineRule="exact" w:before="0"/>
              <w:ind w:left="149"/>
              <w:rPr>
                <w:rFonts w:ascii="Calibri"/>
                <w:sz w:val="22"/>
              </w:rPr>
            </w:pPr>
            <w:r>
              <w:rPr>
                <w:rFonts w:ascii="Calibri"/>
                <w:spacing w:val="-2"/>
                <w:sz w:val="22"/>
              </w:rPr>
              <w:t>Ecology</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5"/>
                <w:sz w:val="22"/>
              </w:rPr>
              <w:t>SMS</w:t>
            </w:r>
          </w:p>
        </w:tc>
        <w:tc>
          <w:tcPr>
            <w:tcW w:w="3425" w:type="dxa"/>
          </w:tcPr>
          <w:p>
            <w:pPr>
              <w:pStyle w:val="TableParagraph"/>
              <w:spacing w:line="248" w:lineRule="exact" w:before="0"/>
              <w:ind w:left="209"/>
              <w:rPr>
                <w:rFonts w:ascii="Calibri"/>
                <w:sz w:val="22"/>
              </w:rPr>
            </w:pPr>
            <w:r>
              <w:rPr>
                <w:rFonts w:ascii="Calibri"/>
                <w:sz w:val="22"/>
              </w:rPr>
              <w:t>Scenery</w:t>
            </w:r>
            <w:r>
              <w:rPr>
                <w:rFonts w:ascii="Calibri"/>
                <w:spacing w:val="-7"/>
                <w:sz w:val="22"/>
              </w:rPr>
              <w:t> </w:t>
            </w:r>
            <w:r>
              <w:rPr>
                <w:rFonts w:ascii="Calibri"/>
                <w:sz w:val="22"/>
              </w:rPr>
              <w:t>Management</w:t>
            </w:r>
            <w:r>
              <w:rPr>
                <w:rFonts w:ascii="Calibri"/>
                <w:spacing w:val="-5"/>
                <w:sz w:val="22"/>
              </w:rPr>
              <w:t> </w:t>
            </w:r>
            <w:r>
              <w:rPr>
                <w:rFonts w:ascii="Calibri"/>
                <w:spacing w:val="-2"/>
                <w:sz w:val="22"/>
              </w:rPr>
              <w:t>System</w:t>
            </w:r>
          </w:p>
        </w:tc>
        <w:tc>
          <w:tcPr>
            <w:tcW w:w="1316" w:type="dxa"/>
          </w:tcPr>
          <w:p>
            <w:pPr>
              <w:pStyle w:val="TableParagraph"/>
              <w:spacing w:line="231" w:lineRule="exact" w:before="0"/>
              <w:ind w:left="486"/>
              <w:rPr>
                <w:rFonts w:ascii="Calibri"/>
                <w:sz w:val="22"/>
              </w:rPr>
            </w:pPr>
            <w:r>
              <w:rPr>
                <w:rFonts w:ascii="Calibri"/>
                <w:spacing w:val="-4"/>
                <w:sz w:val="22"/>
              </w:rPr>
              <w:t>WQIP</w:t>
            </w:r>
          </w:p>
        </w:tc>
        <w:tc>
          <w:tcPr>
            <w:tcW w:w="2946" w:type="dxa"/>
          </w:tcPr>
          <w:p>
            <w:pPr>
              <w:pStyle w:val="TableParagraph"/>
              <w:spacing w:line="231" w:lineRule="exact" w:before="0"/>
              <w:ind w:left="149"/>
              <w:rPr>
                <w:rFonts w:ascii="Calibri"/>
                <w:sz w:val="22"/>
              </w:rPr>
            </w:pPr>
            <w:r>
              <w:rPr>
                <w:rFonts w:ascii="Calibri"/>
                <w:sz w:val="22"/>
              </w:rPr>
              <w:t>Water</w:t>
            </w:r>
            <w:r>
              <w:rPr>
                <w:rFonts w:ascii="Calibri"/>
                <w:spacing w:val="-5"/>
                <w:sz w:val="22"/>
              </w:rPr>
              <w:t> </w:t>
            </w:r>
            <w:r>
              <w:rPr>
                <w:rFonts w:ascii="Calibri"/>
                <w:sz w:val="22"/>
              </w:rPr>
              <w:t>Quality</w:t>
            </w:r>
            <w:r>
              <w:rPr>
                <w:rFonts w:ascii="Calibri"/>
                <w:spacing w:val="-3"/>
                <w:sz w:val="22"/>
              </w:rPr>
              <w:t> </w:t>
            </w:r>
            <w:r>
              <w:rPr>
                <w:rFonts w:ascii="Calibri"/>
                <w:spacing w:val="-2"/>
                <w:sz w:val="22"/>
              </w:rPr>
              <w:t>Implementation</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5"/>
                <w:sz w:val="22"/>
              </w:rPr>
              <w:t>SPM</w:t>
            </w:r>
          </w:p>
        </w:tc>
        <w:tc>
          <w:tcPr>
            <w:tcW w:w="3425" w:type="dxa"/>
          </w:tcPr>
          <w:p>
            <w:pPr>
              <w:pStyle w:val="TableParagraph"/>
              <w:spacing w:line="249" w:lineRule="exact" w:before="0"/>
              <w:ind w:left="209"/>
              <w:rPr>
                <w:rFonts w:ascii="Calibri"/>
                <w:sz w:val="22"/>
              </w:rPr>
            </w:pPr>
            <w:r>
              <w:rPr>
                <w:rFonts w:ascii="Calibri"/>
                <w:sz w:val="22"/>
              </w:rPr>
              <w:t>Semi-primitive</w:t>
            </w:r>
            <w:r>
              <w:rPr>
                <w:rFonts w:ascii="Calibri"/>
                <w:spacing w:val="-12"/>
                <w:sz w:val="22"/>
              </w:rPr>
              <w:t> </w:t>
            </w:r>
            <w:r>
              <w:rPr>
                <w:rFonts w:ascii="Calibri"/>
                <w:spacing w:val="-2"/>
                <w:sz w:val="22"/>
              </w:rPr>
              <w:t>Motorized</w:t>
            </w:r>
          </w:p>
        </w:tc>
        <w:tc>
          <w:tcPr>
            <w:tcW w:w="1316" w:type="dxa"/>
          </w:tcPr>
          <w:p>
            <w:pPr>
              <w:pStyle w:val="TableParagraph"/>
              <w:spacing w:before="0"/>
              <w:rPr>
                <w:rFonts w:ascii="Times New Roman"/>
                <w:sz w:val="18"/>
              </w:rPr>
            </w:pPr>
          </w:p>
        </w:tc>
        <w:tc>
          <w:tcPr>
            <w:tcW w:w="2946" w:type="dxa"/>
          </w:tcPr>
          <w:p>
            <w:pPr>
              <w:pStyle w:val="TableParagraph"/>
              <w:spacing w:line="230" w:lineRule="exact" w:before="0"/>
              <w:ind w:left="149"/>
              <w:rPr>
                <w:rFonts w:ascii="Calibri"/>
                <w:sz w:val="22"/>
              </w:rPr>
            </w:pPr>
            <w:r>
              <w:rPr>
                <w:rFonts w:ascii="Calibri"/>
                <w:spacing w:val="-4"/>
                <w:sz w:val="22"/>
              </w:rPr>
              <w:t>Plan</w:t>
            </w:r>
          </w:p>
        </w:tc>
      </w:tr>
      <w:tr>
        <w:trPr>
          <w:trHeight w:val="268" w:hRule="atLeast"/>
        </w:trPr>
        <w:tc>
          <w:tcPr>
            <w:tcW w:w="820" w:type="dxa"/>
          </w:tcPr>
          <w:p>
            <w:pPr>
              <w:pStyle w:val="TableParagraph"/>
              <w:spacing w:line="249" w:lineRule="exact" w:before="0"/>
              <w:ind w:left="50"/>
              <w:rPr>
                <w:rFonts w:ascii="Calibri"/>
                <w:sz w:val="22"/>
              </w:rPr>
            </w:pPr>
            <w:r>
              <w:rPr>
                <w:rFonts w:ascii="Calibri"/>
                <w:spacing w:val="-4"/>
                <w:sz w:val="22"/>
              </w:rPr>
              <w:t>SPNM</w:t>
            </w:r>
          </w:p>
        </w:tc>
        <w:tc>
          <w:tcPr>
            <w:tcW w:w="3425" w:type="dxa"/>
          </w:tcPr>
          <w:p>
            <w:pPr>
              <w:pStyle w:val="TableParagraph"/>
              <w:spacing w:line="249" w:lineRule="exact" w:before="0"/>
              <w:ind w:left="209"/>
              <w:rPr>
                <w:rFonts w:ascii="Calibri"/>
                <w:sz w:val="22"/>
              </w:rPr>
            </w:pPr>
            <w:r>
              <w:rPr>
                <w:rFonts w:ascii="Calibri"/>
                <w:spacing w:val="-2"/>
                <w:sz w:val="22"/>
              </w:rPr>
              <w:t>Semi-primitive</w:t>
            </w:r>
            <w:r>
              <w:rPr>
                <w:rFonts w:ascii="Calibri"/>
                <w:spacing w:val="23"/>
                <w:sz w:val="22"/>
              </w:rPr>
              <w:t> </w:t>
            </w:r>
            <w:r>
              <w:rPr>
                <w:rFonts w:ascii="Calibri"/>
                <w:spacing w:val="-2"/>
                <w:sz w:val="22"/>
              </w:rPr>
              <w:t>Non-Motorized</w:t>
            </w:r>
          </w:p>
        </w:tc>
        <w:tc>
          <w:tcPr>
            <w:tcW w:w="1316" w:type="dxa"/>
          </w:tcPr>
          <w:p>
            <w:pPr>
              <w:pStyle w:val="TableParagraph"/>
              <w:spacing w:line="230" w:lineRule="exact" w:before="0"/>
              <w:ind w:left="486"/>
              <w:rPr>
                <w:rFonts w:ascii="Calibri"/>
                <w:sz w:val="22"/>
              </w:rPr>
            </w:pPr>
            <w:r>
              <w:rPr>
                <w:rFonts w:ascii="Calibri"/>
                <w:spacing w:val="-4"/>
                <w:sz w:val="22"/>
              </w:rPr>
              <w:t>WRIA</w:t>
            </w:r>
          </w:p>
        </w:tc>
        <w:tc>
          <w:tcPr>
            <w:tcW w:w="2946" w:type="dxa"/>
          </w:tcPr>
          <w:p>
            <w:pPr>
              <w:pStyle w:val="TableParagraph"/>
              <w:spacing w:line="230" w:lineRule="exact" w:before="0"/>
              <w:ind w:left="149"/>
              <w:rPr>
                <w:rFonts w:ascii="Calibri"/>
                <w:sz w:val="22"/>
              </w:rPr>
            </w:pPr>
            <w:r>
              <w:rPr>
                <w:rFonts w:ascii="Calibri"/>
                <w:sz w:val="22"/>
              </w:rPr>
              <w:t>Water</w:t>
            </w:r>
            <w:r>
              <w:rPr>
                <w:rFonts w:ascii="Calibri"/>
                <w:spacing w:val="-6"/>
                <w:sz w:val="22"/>
              </w:rPr>
              <w:t> </w:t>
            </w:r>
            <w:r>
              <w:rPr>
                <w:rFonts w:ascii="Calibri"/>
                <w:sz w:val="22"/>
              </w:rPr>
              <w:t>Resources</w:t>
            </w:r>
            <w:r>
              <w:rPr>
                <w:rFonts w:ascii="Calibri"/>
                <w:spacing w:val="-3"/>
                <w:sz w:val="22"/>
              </w:rPr>
              <w:t> </w:t>
            </w:r>
            <w:r>
              <w:rPr>
                <w:rFonts w:ascii="Calibri"/>
                <w:spacing w:val="-2"/>
                <w:sz w:val="22"/>
              </w:rPr>
              <w:t>Inventory</w:t>
            </w:r>
          </w:p>
        </w:tc>
      </w:tr>
      <w:tr>
        <w:trPr>
          <w:trHeight w:val="267" w:hRule="atLeast"/>
        </w:trPr>
        <w:tc>
          <w:tcPr>
            <w:tcW w:w="820" w:type="dxa"/>
          </w:tcPr>
          <w:p>
            <w:pPr>
              <w:pStyle w:val="TableParagraph"/>
              <w:spacing w:line="248" w:lineRule="exact" w:before="0"/>
              <w:ind w:left="50"/>
              <w:rPr>
                <w:rFonts w:ascii="Calibri"/>
                <w:sz w:val="22"/>
              </w:rPr>
            </w:pPr>
            <w:r>
              <w:rPr>
                <w:rFonts w:ascii="Calibri"/>
                <w:spacing w:val="-5"/>
                <w:sz w:val="22"/>
              </w:rPr>
              <w:t>TEP</w:t>
            </w:r>
          </w:p>
        </w:tc>
        <w:tc>
          <w:tcPr>
            <w:tcW w:w="3425" w:type="dxa"/>
          </w:tcPr>
          <w:p>
            <w:pPr>
              <w:pStyle w:val="TableParagraph"/>
              <w:spacing w:line="248" w:lineRule="exact" w:before="0"/>
              <w:ind w:left="209"/>
              <w:rPr>
                <w:rFonts w:ascii="Calibri"/>
                <w:sz w:val="22"/>
              </w:rPr>
            </w:pPr>
            <w:r>
              <w:rPr>
                <w:rFonts w:ascii="Calibri"/>
                <w:sz w:val="22"/>
              </w:rPr>
              <w:t>Threatened,</w:t>
            </w:r>
            <w:r>
              <w:rPr>
                <w:rFonts w:ascii="Calibri"/>
                <w:spacing w:val="-8"/>
                <w:sz w:val="22"/>
              </w:rPr>
              <w:t> </w:t>
            </w:r>
            <w:r>
              <w:rPr>
                <w:rFonts w:ascii="Calibri"/>
                <w:sz w:val="22"/>
              </w:rPr>
              <w:t>Endangered,</w:t>
            </w:r>
            <w:r>
              <w:rPr>
                <w:rFonts w:ascii="Calibri"/>
                <w:spacing w:val="-9"/>
                <w:sz w:val="22"/>
              </w:rPr>
              <w:t> </w:t>
            </w:r>
            <w:r>
              <w:rPr>
                <w:rFonts w:ascii="Calibri"/>
                <w:spacing w:val="-5"/>
                <w:sz w:val="22"/>
              </w:rPr>
              <w:t>and</w:t>
            </w:r>
          </w:p>
        </w:tc>
        <w:tc>
          <w:tcPr>
            <w:tcW w:w="1316" w:type="dxa"/>
          </w:tcPr>
          <w:p>
            <w:pPr>
              <w:pStyle w:val="TableParagraph"/>
              <w:spacing w:before="0"/>
              <w:rPr>
                <w:rFonts w:ascii="Times New Roman"/>
                <w:sz w:val="18"/>
              </w:rPr>
            </w:pPr>
          </w:p>
        </w:tc>
        <w:tc>
          <w:tcPr>
            <w:tcW w:w="2946" w:type="dxa"/>
          </w:tcPr>
          <w:p>
            <w:pPr>
              <w:pStyle w:val="TableParagraph"/>
              <w:spacing w:line="230" w:lineRule="exact" w:before="0"/>
              <w:ind w:left="149"/>
              <w:rPr>
                <w:rFonts w:ascii="Calibri"/>
                <w:sz w:val="22"/>
              </w:rPr>
            </w:pPr>
            <w:r>
              <w:rPr>
                <w:rFonts w:ascii="Calibri"/>
                <w:spacing w:val="-2"/>
                <w:sz w:val="22"/>
              </w:rPr>
              <w:t>Areas</w:t>
            </w:r>
          </w:p>
        </w:tc>
      </w:tr>
      <w:tr>
        <w:trPr>
          <w:trHeight w:val="268" w:hRule="atLeast"/>
        </w:trPr>
        <w:tc>
          <w:tcPr>
            <w:tcW w:w="820" w:type="dxa"/>
          </w:tcPr>
          <w:p>
            <w:pPr>
              <w:pStyle w:val="TableParagraph"/>
              <w:spacing w:before="0"/>
              <w:rPr>
                <w:rFonts w:ascii="Times New Roman"/>
                <w:sz w:val="18"/>
              </w:rPr>
            </w:pPr>
          </w:p>
        </w:tc>
        <w:tc>
          <w:tcPr>
            <w:tcW w:w="3425" w:type="dxa"/>
          </w:tcPr>
          <w:p>
            <w:pPr>
              <w:pStyle w:val="TableParagraph"/>
              <w:spacing w:line="249" w:lineRule="exact" w:before="0"/>
              <w:ind w:left="209"/>
              <w:rPr>
                <w:rFonts w:ascii="Calibri"/>
                <w:sz w:val="22"/>
              </w:rPr>
            </w:pPr>
            <w:r>
              <w:rPr>
                <w:rFonts w:ascii="Calibri"/>
                <w:sz w:val="22"/>
              </w:rPr>
              <w:t>Proposed</w:t>
            </w:r>
            <w:r>
              <w:rPr>
                <w:rFonts w:ascii="Calibri"/>
                <w:spacing w:val="-5"/>
                <w:sz w:val="22"/>
              </w:rPr>
              <w:t> </w:t>
            </w:r>
            <w:r>
              <w:rPr>
                <w:rFonts w:ascii="Calibri"/>
                <w:spacing w:val="-2"/>
                <w:sz w:val="22"/>
              </w:rPr>
              <w:t>(species)</w:t>
            </w:r>
          </w:p>
        </w:tc>
        <w:tc>
          <w:tcPr>
            <w:tcW w:w="1316" w:type="dxa"/>
          </w:tcPr>
          <w:p>
            <w:pPr>
              <w:pStyle w:val="TableParagraph"/>
              <w:spacing w:line="231" w:lineRule="exact" w:before="0"/>
              <w:ind w:left="486"/>
              <w:rPr>
                <w:rFonts w:ascii="Calibri"/>
                <w:sz w:val="22"/>
              </w:rPr>
            </w:pPr>
            <w:r>
              <w:rPr>
                <w:rFonts w:ascii="Calibri"/>
                <w:spacing w:val="-5"/>
                <w:sz w:val="22"/>
              </w:rPr>
              <w:t>WSR</w:t>
            </w:r>
          </w:p>
        </w:tc>
        <w:tc>
          <w:tcPr>
            <w:tcW w:w="2946" w:type="dxa"/>
          </w:tcPr>
          <w:p>
            <w:pPr>
              <w:pStyle w:val="TableParagraph"/>
              <w:spacing w:line="231" w:lineRule="exact" w:before="0"/>
              <w:ind w:left="149"/>
              <w:rPr>
                <w:rFonts w:ascii="Calibri"/>
                <w:sz w:val="22"/>
              </w:rPr>
            </w:pPr>
            <w:r>
              <w:rPr>
                <w:rFonts w:ascii="Calibri"/>
                <w:sz w:val="22"/>
              </w:rPr>
              <w:t>Wild</w:t>
            </w:r>
            <w:r>
              <w:rPr>
                <w:rFonts w:ascii="Calibri"/>
                <w:spacing w:val="-4"/>
                <w:sz w:val="22"/>
              </w:rPr>
              <w:t> </w:t>
            </w:r>
            <w:r>
              <w:rPr>
                <w:rFonts w:ascii="Calibri"/>
                <w:sz w:val="22"/>
              </w:rPr>
              <w:t>and</w:t>
            </w:r>
            <w:r>
              <w:rPr>
                <w:rFonts w:ascii="Calibri"/>
                <w:spacing w:val="-3"/>
                <w:sz w:val="22"/>
              </w:rPr>
              <w:t> </w:t>
            </w:r>
            <w:r>
              <w:rPr>
                <w:rFonts w:ascii="Calibri"/>
                <w:sz w:val="22"/>
              </w:rPr>
              <w:t>Scenic</w:t>
            </w:r>
            <w:r>
              <w:rPr>
                <w:rFonts w:ascii="Calibri"/>
                <w:spacing w:val="-4"/>
                <w:sz w:val="22"/>
              </w:rPr>
              <w:t> River</w:t>
            </w:r>
          </w:p>
        </w:tc>
      </w:tr>
      <w:tr>
        <w:trPr>
          <w:trHeight w:val="226" w:hRule="atLeast"/>
        </w:trPr>
        <w:tc>
          <w:tcPr>
            <w:tcW w:w="820" w:type="dxa"/>
          </w:tcPr>
          <w:p>
            <w:pPr>
              <w:pStyle w:val="TableParagraph"/>
              <w:spacing w:before="0"/>
              <w:rPr>
                <w:rFonts w:ascii="Times New Roman"/>
                <w:sz w:val="16"/>
              </w:rPr>
            </w:pPr>
          </w:p>
        </w:tc>
        <w:tc>
          <w:tcPr>
            <w:tcW w:w="3425" w:type="dxa"/>
          </w:tcPr>
          <w:p>
            <w:pPr>
              <w:pStyle w:val="TableParagraph"/>
              <w:spacing w:before="0"/>
              <w:rPr>
                <w:rFonts w:ascii="Times New Roman"/>
                <w:sz w:val="16"/>
              </w:rPr>
            </w:pPr>
          </w:p>
        </w:tc>
        <w:tc>
          <w:tcPr>
            <w:tcW w:w="1316" w:type="dxa"/>
          </w:tcPr>
          <w:p>
            <w:pPr>
              <w:pStyle w:val="TableParagraph"/>
              <w:spacing w:line="207" w:lineRule="exact" w:before="0"/>
              <w:ind w:left="486"/>
              <w:rPr>
                <w:rFonts w:ascii="Calibri"/>
                <w:sz w:val="22"/>
              </w:rPr>
            </w:pPr>
            <w:r>
              <w:rPr>
                <w:rFonts w:ascii="Calibri"/>
                <w:spacing w:val="-5"/>
                <w:sz w:val="22"/>
              </w:rPr>
              <w:t>WUI</w:t>
            </w:r>
          </w:p>
        </w:tc>
        <w:tc>
          <w:tcPr>
            <w:tcW w:w="2946" w:type="dxa"/>
          </w:tcPr>
          <w:p>
            <w:pPr>
              <w:pStyle w:val="TableParagraph"/>
              <w:spacing w:line="207" w:lineRule="exact" w:before="0"/>
              <w:ind w:left="149"/>
              <w:rPr>
                <w:rFonts w:ascii="Calibri"/>
                <w:sz w:val="22"/>
              </w:rPr>
            </w:pPr>
            <w:r>
              <w:rPr>
                <w:rFonts w:ascii="Calibri"/>
                <w:spacing w:val="-2"/>
                <w:sz w:val="22"/>
              </w:rPr>
              <w:t>Wildland-urban</w:t>
            </w:r>
            <w:r>
              <w:rPr>
                <w:rFonts w:ascii="Calibri"/>
                <w:spacing w:val="15"/>
                <w:sz w:val="22"/>
              </w:rPr>
              <w:t> </w:t>
            </w:r>
            <w:r>
              <w:rPr>
                <w:rFonts w:ascii="Calibri"/>
                <w:spacing w:val="-2"/>
                <w:sz w:val="22"/>
              </w:rPr>
              <w:t>Interface</w:t>
            </w:r>
          </w:p>
        </w:tc>
      </w:tr>
    </w:tbl>
    <w:p>
      <w:pPr>
        <w:pStyle w:val="TableParagraph"/>
        <w:spacing w:after="0" w:line="207" w:lineRule="exact"/>
        <w:rPr>
          <w:rFonts w:ascii="Calibri"/>
          <w:sz w:val="22"/>
        </w:rPr>
        <w:sectPr>
          <w:pgSz w:w="12240" w:h="15840"/>
          <w:pgMar w:header="725" w:footer="685" w:top="960" w:bottom="880" w:left="1080" w:right="720"/>
        </w:sect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rPr>
          <w:rFonts w:ascii="Arial"/>
          <w:b/>
        </w:rPr>
      </w:pPr>
    </w:p>
    <w:p>
      <w:pPr>
        <w:pStyle w:val="BodyText"/>
        <w:spacing w:before="158"/>
        <w:rPr>
          <w:rFonts w:ascii="Arial"/>
          <w:b/>
        </w:rPr>
      </w:pPr>
    </w:p>
    <w:p>
      <w:pPr>
        <w:pStyle w:val="BodyText"/>
        <w:ind w:left="3230"/>
      </w:pPr>
      <w:r>
        <w:rPr/>
        <w:t>This</w:t>
      </w:r>
      <w:r>
        <w:rPr>
          <w:spacing w:val="-8"/>
        </w:rPr>
        <w:t> </w:t>
      </w:r>
      <w:r>
        <w:rPr/>
        <w:t>page</w:t>
      </w:r>
      <w:r>
        <w:rPr>
          <w:spacing w:val="-7"/>
        </w:rPr>
        <w:t> </w:t>
      </w:r>
      <w:r>
        <w:rPr/>
        <w:t>intentionally</w:t>
      </w:r>
      <w:r>
        <w:rPr>
          <w:spacing w:val="-7"/>
        </w:rPr>
        <w:t> </w:t>
      </w:r>
      <w:r>
        <w:rPr/>
        <w:t>left</w:t>
      </w:r>
      <w:r>
        <w:rPr>
          <w:spacing w:val="-9"/>
        </w:rPr>
        <w:t> </w:t>
      </w:r>
      <w:r>
        <w:rPr>
          <w:spacing w:val="-2"/>
        </w:rPr>
        <w:t>blank</w:t>
      </w:r>
    </w:p>
    <w:p>
      <w:pPr>
        <w:pStyle w:val="BodyText"/>
        <w:spacing w:after="0"/>
        <w:sectPr>
          <w:pgSz w:w="12240" w:h="15840"/>
          <w:pgMar w:header="725" w:footer="685" w:top="960" w:bottom="880" w:left="1080" w:right="720"/>
        </w:sectPr>
      </w:pPr>
    </w:p>
    <w:p>
      <w:pPr>
        <w:pStyle w:val="BodyText"/>
        <w:spacing w:before="396"/>
        <w:rPr>
          <w:sz w:val="36"/>
        </w:rPr>
      </w:pPr>
    </w:p>
    <w:p>
      <w:pPr>
        <w:pStyle w:val="Heading1"/>
        <w:tabs>
          <w:tab w:pos="9748" w:val="left" w:leader="none"/>
        </w:tabs>
        <w:ind w:left="1151"/>
      </w:pPr>
      <w:bookmarkStart w:name="Chapter 1" w:id="3"/>
      <w:bookmarkEnd w:id="3"/>
      <w:r>
        <w:rPr>
          <w:b w:val="0"/>
        </w:rPr>
      </w:r>
      <w:bookmarkStart w:name="_bookmark1" w:id="4"/>
      <w:bookmarkEnd w:id="4"/>
      <w:r>
        <w:rPr>
          <w:b w:val="0"/>
        </w:rPr>
      </w:r>
      <w:r>
        <w:rPr>
          <w:color w:val="475824"/>
          <w:shd w:fill="C2D59B" w:color="auto" w:val="clear"/>
        </w:rPr>
        <w:t>Chapter</w:t>
      </w:r>
      <w:r>
        <w:rPr>
          <w:color w:val="475824"/>
          <w:spacing w:val="-9"/>
          <w:shd w:fill="C2D59B" w:color="auto" w:val="clear"/>
        </w:rPr>
        <w:t> </w:t>
      </w:r>
      <w:r>
        <w:rPr>
          <w:color w:val="475824"/>
          <w:spacing w:val="-10"/>
          <w:shd w:fill="C2D59B" w:color="auto" w:val="clear"/>
        </w:rPr>
        <w:t>1</w:t>
      </w:r>
      <w:r>
        <w:rPr>
          <w:color w:val="475824"/>
          <w:shd w:fill="C2D59B" w:color="auto" w:val="clear"/>
        </w:rPr>
        <w:tab/>
      </w:r>
    </w:p>
    <w:p>
      <w:pPr>
        <w:pStyle w:val="Heading2"/>
        <w:spacing w:before="238"/>
        <w:ind w:left="1151"/>
      </w:pPr>
      <w:bookmarkStart w:name="Introduction" w:id="5"/>
      <w:bookmarkEnd w:id="5"/>
      <w:r>
        <w:rPr/>
      </w:r>
      <w:bookmarkStart w:name="_bookmark2" w:id="6"/>
      <w:bookmarkEnd w:id="6"/>
      <w:r>
        <w:rPr/>
      </w:r>
      <w:r>
        <w:rPr>
          <w:smallCaps/>
          <w:color w:val="475824"/>
          <w:spacing w:val="-2"/>
        </w:rPr>
        <w:t>Introduction</w:t>
      </w:r>
    </w:p>
    <w:p>
      <w:pPr>
        <w:pStyle w:val="BodyText"/>
        <w:spacing w:line="232" w:lineRule="auto" w:before="68"/>
        <w:ind w:left="1151" w:right="801"/>
      </w:pPr>
      <w:r>
        <w:rPr/>
        <w:t>Located</w:t>
      </w:r>
      <w:r>
        <w:rPr>
          <w:spacing w:val="-6"/>
        </w:rPr>
        <w:t> </w:t>
      </w:r>
      <w:r>
        <w:rPr/>
        <w:t>in</w:t>
      </w:r>
      <w:r>
        <w:rPr>
          <w:spacing w:val="-6"/>
        </w:rPr>
        <w:t> </w:t>
      </w:r>
      <w:r>
        <w:rPr/>
        <w:t>the</w:t>
      </w:r>
      <w:r>
        <w:rPr>
          <w:spacing w:val="-7"/>
        </w:rPr>
        <w:t> </w:t>
      </w:r>
      <w:r>
        <w:rPr/>
        <w:t>northeastern</w:t>
      </w:r>
      <w:r>
        <w:rPr>
          <w:spacing w:val="-6"/>
        </w:rPr>
        <w:t> </w:t>
      </w:r>
      <w:r>
        <w:rPr/>
        <w:t>corner</w:t>
      </w:r>
      <w:r>
        <w:rPr>
          <w:spacing w:val="-7"/>
        </w:rPr>
        <w:t> </w:t>
      </w:r>
      <w:r>
        <w:rPr/>
        <w:t>of</w:t>
      </w:r>
      <w:r>
        <w:rPr>
          <w:spacing w:val="-7"/>
        </w:rPr>
        <w:t> </w:t>
      </w:r>
      <w:r>
        <w:rPr/>
        <w:t>Washington</w:t>
      </w:r>
      <w:r>
        <w:rPr>
          <w:spacing w:val="-6"/>
        </w:rPr>
        <w:t> </w:t>
      </w:r>
      <w:r>
        <w:rPr/>
        <w:t>State,</w:t>
      </w:r>
      <w:r>
        <w:rPr>
          <w:spacing w:val="-5"/>
        </w:rPr>
        <w:t> </w:t>
      </w:r>
      <w:r>
        <w:rPr/>
        <w:t>the</w:t>
      </w:r>
      <w:r>
        <w:rPr>
          <w:spacing w:val="-4"/>
        </w:rPr>
        <w:t> </w:t>
      </w:r>
      <w:r>
        <w:rPr/>
        <w:t>Colville</w:t>
      </w:r>
      <w:r>
        <w:rPr>
          <w:spacing w:val="-7"/>
        </w:rPr>
        <w:t> </w:t>
      </w:r>
      <w:r>
        <w:rPr/>
        <w:t>National</w:t>
      </w:r>
      <w:r>
        <w:rPr>
          <w:spacing w:val="-8"/>
        </w:rPr>
        <w:t> </w:t>
      </w:r>
      <w:r>
        <w:rPr/>
        <w:t>Forest</w:t>
      </w:r>
      <w:r>
        <w:rPr>
          <w:spacing w:val="-4"/>
        </w:rPr>
        <w:t> </w:t>
      </w:r>
      <w:r>
        <w:rPr/>
        <w:t>lies</w:t>
      </w:r>
      <w:r>
        <w:rPr>
          <w:spacing w:val="-5"/>
        </w:rPr>
        <w:t> </w:t>
      </w:r>
      <w:r>
        <w:rPr/>
        <w:t>within a remote area of wild beauty and rich history. Encompassing 1.1 million acres, the Colville occupies</w:t>
      </w:r>
      <w:r>
        <w:rPr>
          <w:spacing w:val="-1"/>
        </w:rPr>
        <w:t> </w:t>
      </w:r>
      <w:r>
        <w:rPr/>
        <w:t>nearly one-third</w:t>
      </w:r>
      <w:r>
        <w:rPr>
          <w:spacing w:val="-3"/>
        </w:rPr>
        <w:t> </w:t>
      </w:r>
      <w:r>
        <w:rPr/>
        <w:t>of the total</w:t>
      </w:r>
      <w:r>
        <w:rPr>
          <w:spacing w:val="-3"/>
        </w:rPr>
        <w:t> </w:t>
      </w:r>
      <w:r>
        <w:rPr/>
        <w:t>area</w:t>
      </w:r>
      <w:r>
        <w:rPr>
          <w:spacing w:val="-1"/>
        </w:rPr>
        <w:t> </w:t>
      </w:r>
      <w:r>
        <w:rPr/>
        <w:t>of</w:t>
      </w:r>
      <w:r>
        <w:rPr>
          <w:spacing w:val="-1"/>
        </w:rPr>
        <w:t> </w:t>
      </w:r>
      <w:r>
        <w:rPr/>
        <w:t>Ferry,</w:t>
      </w:r>
      <w:r>
        <w:rPr>
          <w:spacing w:val="-1"/>
        </w:rPr>
        <w:t> </w:t>
      </w:r>
      <w:r>
        <w:rPr/>
        <w:t>Pend Oreille,</w:t>
      </w:r>
      <w:r>
        <w:rPr>
          <w:spacing w:val="-1"/>
        </w:rPr>
        <w:t> </w:t>
      </w:r>
      <w:r>
        <w:rPr/>
        <w:t>and Stevens</w:t>
      </w:r>
      <w:r>
        <w:rPr>
          <w:spacing w:val="-1"/>
        </w:rPr>
        <w:t> </w:t>
      </w:r>
      <w:r>
        <w:rPr/>
        <w:t>Counties. To the north, the national forest is bordered by British Columbia; to the west by the Okanogan- Wenatchee National Forest; to the east by the Idaho Panhandle National Forests; and to the south</w:t>
      </w:r>
      <w:r>
        <w:rPr>
          <w:spacing w:val="-3"/>
        </w:rPr>
        <w:t> </w:t>
      </w:r>
      <w:r>
        <w:rPr/>
        <w:t>by</w:t>
      </w:r>
      <w:r>
        <w:rPr>
          <w:spacing w:val="-1"/>
        </w:rPr>
        <w:t> </w:t>
      </w:r>
      <w:r>
        <w:rPr/>
        <w:t>a</w:t>
      </w:r>
      <w:r>
        <w:rPr>
          <w:spacing w:val="-2"/>
        </w:rPr>
        <w:t> </w:t>
      </w:r>
      <w:r>
        <w:rPr/>
        <w:t>portion</w:t>
      </w:r>
      <w:r>
        <w:rPr>
          <w:spacing w:val="-5"/>
        </w:rPr>
        <w:t> </w:t>
      </w:r>
      <w:r>
        <w:rPr/>
        <w:t>of</w:t>
      </w:r>
      <w:r>
        <w:rPr>
          <w:spacing w:val="-2"/>
        </w:rPr>
        <w:t> </w:t>
      </w:r>
      <w:r>
        <w:rPr/>
        <w:t>the</w:t>
      </w:r>
      <w:r>
        <w:rPr>
          <w:spacing w:val="-4"/>
        </w:rPr>
        <w:t> </w:t>
      </w:r>
      <w:r>
        <w:rPr/>
        <w:t>Colville</w:t>
      </w:r>
      <w:r>
        <w:rPr>
          <w:spacing w:val="-4"/>
        </w:rPr>
        <w:t> </w:t>
      </w:r>
      <w:r>
        <w:rPr/>
        <w:t>Confederated</w:t>
      </w:r>
      <w:r>
        <w:rPr>
          <w:spacing w:val="-3"/>
        </w:rPr>
        <w:t> </w:t>
      </w:r>
      <w:r>
        <w:rPr/>
        <w:t>Tribes</w:t>
      </w:r>
      <w:r>
        <w:rPr>
          <w:spacing w:val="-4"/>
        </w:rPr>
        <w:t> </w:t>
      </w:r>
      <w:r>
        <w:rPr/>
        <w:t>Indian</w:t>
      </w:r>
      <w:r>
        <w:rPr>
          <w:spacing w:val="-3"/>
        </w:rPr>
        <w:t> </w:t>
      </w:r>
      <w:r>
        <w:rPr/>
        <w:t>Reservation.</w:t>
      </w:r>
      <w:r>
        <w:rPr>
          <w:spacing w:val="-5"/>
        </w:rPr>
        <w:t> </w:t>
      </w:r>
      <w:r>
        <w:rPr/>
        <w:t>Lincoln</w:t>
      </w:r>
      <w:r>
        <w:rPr>
          <w:spacing w:val="-5"/>
        </w:rPr>
        <w:t> </w:t>
      </w:r>
      <w:r>
        <w:rPr/>
        <w:t>and</w:t>
      </w:r>
      <w:r>
        <w:rPr>
          <w:spacing w:val="-3"/>
        </w:rPr>
        <w:t> </w:t>
      </w:r>
      <w:r>
        <w:rPr/>
        <w:t>Spokane Counties, though not immediately adjacent, are within the Colville National Forest's area of influence.</w:t>
      </w:r>
      <w:r>
        <w:rPr>
          <w:spacing w:val="-5"/>
        </w:rPr>
        <w:t> </w:t>
      </w:r>
      <w:r>
        <w:rPr/>
        <w:t>If</w:t>
      </w:r>
      <w:r>
        <w:rPr>
          <w:spacing w:val="-5"/>
        </w:rPr>
        <w:t> </w:t>
      </w:r>
      <w:r>
        <w:rPr/>
        <w:t>these</w:t>
      </w:r>
      <w:r>
        <w:rPr>
          <w:spacing w:val="-7"/>
        </w:rPr>
        <w:t> </w:t>
      </w:r>
      <w:r>
        <w:rPr/>
        <w:t>two</w:t>
      </w:r>
      <w:r>
        <w:rPr>
          <w:spacing w:val="-4"/>
        </w:rPr>
        <w:t> </w:t>
      </w:r>
      <w:r>
        <w:rPr/>
        <w:t>counties</w:t>
      </w:r>
      <w:r>
        <w:rPr>
          <w:spacing w:val="-5"/>
        </w:rPr>
        <w:t> </w:t>
      </w:r>
      <w:r>
        <w:rPr/>
        <w:t>are</w:t>
      </w:r>
      <w:r>
        <w:rPr>
          <w:spacing w:val="-7"/>
        </w:rPr>
        <w:t> </w:t>
      </w:r>
      <w:r>
        <w:rPr/>
        <w:t>included,</w:t>
      </w:r>
      <w:r>
        <w:rPr>
          <w:spacing w:val="-5"/>
        </w:rPr>
        <w:t> </w:t>
      </w:r>
      <w:r>
        <w:rPr/>
        <w:t>the</w:t>
      </w:r>
      <w:r>
        <w:rPr>
          <w:spacing w:val="-4"/>
        </w:rPr>
        <w:t> </w:t>
      </w:r>
      <w:r>
        <w:rPr/>
        <w:t>influence</w:t>
      </w:r>
      <w:r>
        <w:rPr>
          <w:spacing w:val="-4"/>
        </w:rPr>
        <w:t> </w:t>
      </w:r>
      <w:r>
        <w:rPr/>
        <w:t>area</w:t>
      </w:r>
      <w:r>
        <w:rPr>
          <w:spacing w:val="-7"/>
        </w:rPr>
        <w:t> </w:t>
      </w:r>
      <w:r>
        <w:rPr/>
        <w:t>of</w:t>
      </w:r>
      <w:r>
        <w:rPr>
          <w:spacing w:val="-5"/>
        </w:rPr>
        <w:t> </w:t>
      </w:r>
      <w:r>
        <w:rPr/>
        <w:t>the</w:t>
      </w:r>
      <w:r>
        <w:rPr>
          <w:spacing w:val="-4"/>
        </w:rPr>
        <w:t> </w:t>
      </w:r>
      <w:r>
        <w:rPr/>
        <w:t>national</w:t>
      </w:r>
      <w:r>
        <w:rPr>
          <w:spacing w:val="-5"/>
        </w:rPr>
        <w:t> </w:t>
      </w:r>
      <w:r>
        <w:rPr/>
        <w:t>forest</w:t>
      </w:r>
      <w:r>
        <w:rPr>
          <w:spacing w:val="-4"/>
        </w:rPr>
        <w:t> </w:t>
      </w:r>
      <w:r>
        <w:rPr/>
        <w:t>accounts for almost 10 percent of the total state population. Visitation from other areas, such as Okanogan</w:t>
      </w:r>
      <w:r>
        <w:rPr>
          <w:spacing w:val="-3"/>
        </w:rPr>
        <w:t> </w:t>
      </w:r>
      <w:r>
        <w:rPr/>
        <w:t>County,</w:t>
      </w:r>
      <w:r>
        <w:rPr>
          <w:spacing w:val="-4"/>
        </w:rPr>
        <w:t> </w:t>
      </w:r>
      <w:r>
        <w:rPr/>
        <w:t>may</w:t>
      </w:r>
      <w:r>
        <w:rPr>
          <w:spacing w:val="-1"/>
        </w:rPr>
        <w:t> </w:t>
      </w:r>
      <w:r>
        <w:rPr/>
        <w:t>also</w:t>
      </w:r>
      <w:r>
        <w:rPr>
          <w:spacing w:val="-1"/>
        </w:rPr>
        <w:t> </w:t>
      </w:r>
      <w:r>
        <w:rPr/>
        <w:t>be</w:t>
      </w:r>
      <w:r>
        <w:rPr>
          <w:spacing w:val="-4"/>
        </w:rPr>
        <w:t> </w:t>
      </w:r>
      <w:r>
        <w:rPr/>
        <w:t>substantial</w:t>
      </w:r>
      <w:r>
        <w:rPr>
          <w:spacing w:val="-5"/>
        </w:rPr>
        <w:t> </w:t>
      </w:r>
      <w:r>
        <w:rPr/>
        <w:t>and,</w:t>
      </w:r>
      <w:r>
        <w:rPr>
          <w:spacing w:val="-2"/>
        </w:rPr>
        <w:t> </w:t>
      </w:r>
      <w:r>
        <w:rPr/>
        <w:t>if</w:t>
      </w:r>
      <w:r>
        <w:rPr>
          <w:spacing w:val="-2"/>
        </w:rPr>
        <w:t> </w:t>
      </w:r>
      <w:r>
        <w:rPr/>
        <w:t>considered,</w:t>
      </w:r>
      <w:r>
        <w:rPr>
          <w:spacing w:val="-4"/>
        </w:rPr>
        <w:t> </w:t>
      </w:r>
      <w:r>
        <w:rPr/>
        <w:t>would</w:t>
      </w:r>
      <w:r>
        <w:rPr>
          <w:spacing w:val="-3"/>
        </w:rPr>
        <w:t> </w:t>
      </w:r>
      <w:r>
        <w:rPr/>
        <w:t>enlarge</w:t>
      </w:r>
      <w:r>
        <w:rPr>
          <w:spacing w:val="-1"/>
        </w:rPr>
        <w:t> </w:t>
      </w:r>
      <w:r>
        <w:rPr/>
        <w:t>the</w:t>
      </w:r>
      <w:r>
        <w:rPr>
          <w:spacing w:val="-5"/>
        </w:rPr>
        <w:t> </w:t>
      </w:r>
      <w:r>
        <w:rPr/>
        <w:t>Colville’s</w:t>
      </w:r>
      <w:r>
        <w:rPr>
          <w:spacing w:val="-2"/>
        </w:rPr>
        <w:t> </w:t>
      </w:r>
      <w:r>
        <w:rPr/>
        <w:t>area of influence.</w:t>
      </w:r>
    </w:p>
    <w:p>
      <w:pPr>
        <w:pStyle w:val="BodyText"/>
        <w:spacing w:before="6"/>
        <w:rPr>
          <w:sz w:val="13"/>
        </w:rPr>
      </w:pPr>
      <w:r>
        <w:rPr>
          <w:sz w:val="13"/>
        </w:rPr>
        <w:drawing>
          <wp:anchor distT="0" distB="0" distL="0" distR="0" allowOverlap="1" layoutInCell="1" locked="0" behindDoc="1" simplePos="0" relativeHeight="487590912">
            <wp:simplePos x="0" y="0"/>
            <wp:positionH relativeFrom="page">
              <wp:posOffset>1417321</wp:posOffset>
            </wp:positionH>
            <wp:positionV relativeFrom="paragraph">
              <wp:posOffset>119846</wp:posOffset>
            </wp:positionV>
            <wp:extent cx="5632815" cy="4431792"/>
            <wp:effectExtent l="0" t="0" r="0" b="0"/>
            <wp:wrapTopAndBottom/>
            <wp:docPr id="52" name="Image 52" descr="Map showing the Colville National Forest, ranger districts, and major highways in the area"/>
            <wp:cNvGraphicFramePr>
              <a:graphicFrameLocks/>
            </wp:cNvGraphicFramePr>
            <a:graphic>
              <a:graphicData uri="http://schemas.openxmlformats.org/drawingml/2006/picture">
                <pic:pic>
                  <pic:nvPicPr>
                    <pic:cNvPr id="52" name="Image 52" descr="Map showing the Colville National Forest, ranger districts, and major highways in the area"/>
                    <pic:cNvPicPr/>
                  </pic:nvPicPr>
                  <pic:blipFill>
                    <a:blip r:embed="rId34" cstate="print"/>
                    <a:stretch>
                      <a:fillRect/>
                    </a:stretch>
                  </pic:blipFill>
                  <pic:spPr>
                    <a:xfrm>
                      <a:off x="0" y="0"/>
                      <a:ext cx="5632815" cy="4431792"/>
                    </a:xfrm>
                    <a:prstGeom prst="rect">
                      <a:avLst/>
                    </a:prstGeom>
                  </pic:spPr>
                </pic:pic>
              </a:graphicData>
            </a:graphic>
          </wp:anchor>
        </w:drawing>
      </w:r>
    </w:p>
    <w:p>
      <w:pPr>
        <w:spacing w:before="49"/>
        <w:ind w:left="1151" w:right="0" w:firstLine="0"/>
        <w:jc w:val="left"/>
        <w:rPr>
          <w:rFonts w:ascii="Arial"/>
          <w:b/>
          <w:sz w:val="18"/>
        </w:rPr>
      </w:pPr>
      <w:bookmarkStart w:name="_bookmark3" w:id="7"/>
      <w:bookmarkEnd w:id="7"/>
      <w:r>
        <w:rPr/>
      </w:r>
      <w:r>
        <w:rPr>
          <w:rFonts w:ascii="Arial"/>
          <w:b/>
          <w:color w:val="283014"/>
          <w:sz w:val="18"/>
        </w:rPr>
        <w:t>Figure</w:t>
      </w:r>
      <w:r>
        <w:rPr>
          <w:rFonts w:ascii="Arial"/>
          <w:b/>
          <w:color w:val="283014"/>
          <w:spacing w:val="-1"/>
          <w:sz w:val="18"/>
        </w:rPr>
        <w:t> </w:t>
      </w:r>
      <w:r>
        <w:rPr>
          <w:rFonts w:ascii="Arial"/>
          <w:b/>
          <w:color w:val="283014"/>
          <w:sz w:val="18"/>
        </w:rPr>
        <w:t>1.</w:t>
      </w:r>
      <w:r>
        <w:rPr>
          <w:rFonts w:ascii="Arial"/>
          <w:b/>
          <w:color w:val="283014"/>
          <w:spacing w:val="-4"/>
          <w:sz w:val="18"/>
        </w:rPr>
        <w:t> </w:t>
      </w:r>
      <w:r>
        <w:rPr>
          <w:rFonts w:ascii="Arial"/>
          <w:b/>
          <w:color w:val="283014"/>
          <w:sz w:val="18"/>
        </w:rPr>
        <w:t>Vicinity</w:t>
      </w:r>
      <w:r>
        <w:rPr>
          <w:rFonts w:ascii="Arial"/>
          <w:b/>
          <w:color w:val="283014"/>
          <w:spacing w:val="-8"/>
          <w:sz w:val="18"/>
        </w:rPr>
        <w:t> </w:t>
      </w:r>
      <w:r>
        <w:rPr>
          <w:rFonts w:ascii="Arial"/>
          <w:b/>
          <w:color w:val="283014"/>
          <w:sz w:val="18"/>
        </w:rPr>
        <w:t>map</w:t>
      </w:r>
      <w:r>
        <w:rPr>
          <w:rFonts w:ascii="Arial"/>
          <w:b/>
          <w:color w:val="283014"/>
          <w:spacing w:val="-2"/>
          <w:sz w:val="18"/>
        </w:rPr>
        <w:t> </w:t>
      </w:r>
      <w:r>
        <w:rPr>
          <w:rFonts w:ascii="Arial"/>
          <w:b/>
          <w:color w:val="283014"/>
          <w:sz w:val="18"/>
        </w:rPr>
        <w:t>of</w:t>
      </w:r>
      <w:r>
        <w:rPr>
          <w:rFonts w:ascii="Arial"/>
          <w:b/>
          <w:color w:val="283014"/>
          <w:spacing w:val="-1"/>
          <w:sz w:val="18"/>
        </w:rPr>
        <w:t> </w:t>
      </w:r>
      <w:r>
        <w:rPr>
          <w:rFonts w:ascii="Arial"/>
          <w:b/>
          <w:color w:val="283014"/>
          <w:sz w:val="18"/>
        </w:rPr>
        <w:t>the</w:t>
      </w:r>
      <w:r>
        <w:rPr>
          <w:rFonts w:ascii="Arial"/>
          <w:b/>
          <w:color w:val="283014"/>
          <w:spacing w:val="-4"/>
          <w:sz w:val="18"/>
        </w:rPr>
        <w:t> </w:t>
      </w:r>
      <w:r>
        <w:rPr>
          <w:rFonts w:ascii="Arial"/>
          <w:b/>
          <w:color w:val="283014"/>
          <w:sz w:val="18"/>
        </w:rPr>
        <w:t>Colville National</w:t>
      </w:r>
      <w:r>
        <w:rPr>
          <w:rFonts w:ascii="Arial"/>
          <w:b/>
          <w:color w:val="283014"/>
          <w:spacing w:val="-2"/>
          <w:sz w:val="18"/>
        </w:rPr>
        <w:t> Forest</w:t>
      </w:r>
    </w:p>
    <w:p>
      <w:pPr>
        <w:pStyle w:val="BodyText"/>
        <w:spacing w:before="157"/>
        <w:rPr>
          <w:rFonts w:ascii="Arial"/>
          <w:b/>
          <w:sz w:val="18"/>
        </w:rPr>
      </w:pPr>
    </w:p>
    <w:p>
      <w:pPr>
        <w:pStyle w:val="BodyText"/>
        <w:spacing w:line="232" w:lineRule="auto"/>
        <w:ind w:left="1152" w:right="742" w:hanging="1"/>
      </w:pPr>
      <w:r>
        <w:rPr/>
        <w:t>Visitors</w:t>
      </w:r>
      <w:r>
        <w:rPr>
          <w:spacing w:val="-6"/>
        </w:rPr>
        <w:t> </w:t>
      </w:r>
      <w:r>
        <w:rPr/>
        <w:t>access</w:t>
      </w:r>
      <w:r>
        <w:rPr>
          <w:spacing w:val="-8"/>
        </w:rPr>
        <w:t> </w:t>
      </w:r>
      <w:r>
        <w:rPr/>
        <w:t>the</w:t>
      </w:r>
      <w:r>
        <w:rPr>
          <w:spacing w:val="-5"/>
        </w:rPr>
        <w:t> </w:t>
      </w:r>
      <w:r>
        <w:rPr/>
        <w:t>Colville</w:t>
      </w:r>
      <w:r>
        <w:rPr>
          <w:spacing w:val="-8"/>
        </w:rPr>
        <w:t> </w:t>
      </w:r>
      <w:r>
        <w:rPr/>
        <w:t>National</w:t>
      </w:r>
      <w:r>
        <w:rPr>
          <w:spacing w:val="-6"/>
        </w:rPr>
        <w:t> </w:t>
      </w:r>
      <w:r>
        <w:rPr/>
        <w:t>Forest</w:t>
      </w:r>
      <w:r>
        <w:rPr>
          <w:spacing w:val="-5"/>
        </w:rPr>
        <w:t> </w:t>
      </w:r>
      <w:r>
        <w:rPr/>
        <w:t>from</w:t>
      </w:r>
      <w:r>
        <w:rPr>
          <w:spacing w:val="-7"/>
        </w:rPr>
        <w:t> </w:t>
      </w:r>
      <w:r>
        <w:rPr/>
        <w:t>one</w:t>
      </w:r>
      <w:r>
        <w:rPr>
          <w:spacing w:val="-8"/>
        </w:rPr>
        <w:t> </w:t>
      </w:r>
      <w:r>
        <w:rPr/>
        <w:t>Federal</w:t>
      </w:r>
      <w:r>
        <w:rPr>
          <w:spacing w:val="-6"/>
        </w:rPr>
        <w:t> </w:t>
      </w:r>
      <w:r>
        <w:rPr/>
        <w:t>(U.S.</w:t>
      </w:r>
      <w:r>
        <w:rPr>
          <w:spacing w:val="-6"/>
        </w:rPr>
        <w:t> </w:t>
      </w:r>
      <w:r>
        <w:rPr/>
        <w:t>395)</w:t>
      </w:r>
      <w:r>
        <w:rPr>
          <w:spacing w:val="-6"/>
        </w:rPr>
        <w:t> </w:t>
      </w:r>
      <w:r>
        <w:rPr/>
        <w:t>and</w:t>
      </w:r>
      <w:r>
        <w:rPr>
          <w:spacing w:val="-7"/>
        </w:rPr>
        <w:t> </w:t>
      </w:r>
      <w:r>
        <w:rPr/>
        <w:t>three</w:t>
      </w:r>
      <w:r>
        <w:rPr>
          <w:spacing w:val="-7"/>
        </w:rPr>
        <w:t> </w:t>
      </w:r>
      <w:r>
        <w:rPr/>
        <w:t>State</w:t>
      </w:r>
      <w:r>
        <w:rPr>
          <w:spacing w:val="-5"/>
        </w:rPr>
        <w:t> </w:t>
      </w:r>
      <w:r>
        <w:rPr/>
        <w:t>highways (Highways 21, 25, and 31) that mostly follow the north–south drainages, and from State Highway 20, which transects the middle of the national forest in a west–east direction. Three</w:t>
      </w:r>
    </w:p>
    <w:p>
      <w:pPr>
        <w:pStyle w:val="BodyText"/>
        <w:spacing w:after="0" w:line="232" w:lineRule="auto"/>
        <w:sectPr>
          <w:headerReference w:type="default" r:id="rId30"/>
          <w:headerReference w:type="even" r:id="rId31"/>
          <w:footerReference w:type="default" r:id="rId32"/>
          <w:footerReference w:type="even" r:id="rId33"/>
          <w:pgSz w:w="12240" w:h="15840"/>
          <w:pgMar w:header="725" w:footer="891" w:top="960" w:bottom="1080" w:left="1080" w:right="720"/>
          <w:pgNumType w:start="1"/>
        </w:sectPr>
      </w:pPr>
    </w:p>
    <w:p>
      <w:pPr>
        <w:pStyle w:val="BodyText"/>
        <w:spacing w:before="212"/>
      </w:pPr>
    </w:p>
    <w:p>
      <w:pPr>
        <w:pStyle w:val="BodyText"/>
        <w:spacing w:line="232" w:lineRule="auto"/>
        <w:ind w:left="359" w:right="1445"/>
      </w:pPr>
      <w:r>
        <w:rPr/>
        <w:t>recognized scenic byways bisect the Colville: Sherman Pass and North Pend Oreille National Scenic</w:t>
      </w:r>
      <w:r>
        <w:rPr>
          <w:spacing w:val="-6"/>
        </w:rPr>
        <w:t> </w:t>
      </w:r>
      <w:r>
        <w:rPr/>
        <w:t>Byways</w:t>
      </w:r>
      <w:r>
        <w:rPr>
          <w:spacing w:val="-6"/>
        </w:rPr>
        <w:t> </w:t>
      </w:r>
      <w:r>
        <w:rPr/>
        <w:t>and</w:t>
      </w:r>
      <w:r>
        <w:rPr>
          <w:spacing w:val="-7"/>
        </w:rPr>
        <w:t> </w:t>
      </w:r>
      <w:r>
        <w:rPr/>
        <w:t>the</w:t>
      </w:r>
      <w:r>
        <w:rPr>
          <w:spacing w:val="-5"/>
        </w:rPr>
        <w:t> </w:t>
      </w:r>
      <w:r>
        <w:rPr/>
        <w:t>International</w:t>
      </w:r>
      <w:r>
        <w:rPr>
          <w:spacing w:val="-6"/>
        </w:rPr>
        <w:t> </w:t>
      </w:r>
      <w:r>
        <w:rPr/>
        <w:t>Selkirk</w:t>
      </w:r>
      <w:r>
        <w:rPr>
          <w:spacing w:val="-5"/>
        </w:rPr>
        <w:t> </w:t>
      </w:r>
      <w:r>
        <w:rPr/>
        <w:t>Loop</w:t>
      </w:r>
      <w:r>
        <w:rPr>
          <w:spacing w:val="-7"/>
        </w:rPr>
        <w:t> </w:t>
      </w:r>
      <w:r>
        <w:rPr/>
        <w:t>(designated</w:t>
      </w:r>
      <w:r>
        <w:rPr>
          <w:spacing w:val="-7"/>
        </w:rPr>
        <w:t> </w:t>
      </w:r>
      <w:r>
        <w:rPr/>
        <w:t>an</w:t>
      </w:r>
      <w:r>
        <w:rPr>
          <w:spacing w:val="-7"/>
        </w:rPr>
        <w:t> </w:t>
      </w:r>
      <w:r>
        <w:rPr/>
        <w:t>All-American</w:t>
      </w:r>
      <w:r>
        <w:rPr>
          <w:spacing w:val="-7"/>
        </w:rPr>
        <w:t> </w:t>
      </w:r>
      <w:r>
        <w:rPr/>
        <w:t>Road).</w:t>
      </w:r>
      <w:r>
        <w:rPr>
          <w:spacing w:val="-6"/>
        </w:rPr>
        <w:t> </w:t>
      </w:r>
      <w:r>
        <w:rPr/>
        <w:t>Numerous National Forest System (NFS) roads and trails provide access to gathering sites for forest products and a diversity of developed and dispersed, outdoor, rustic recreation opportunities.</w:t>
      </w:r>
    </w:p>
    <w:p>
      <w:pPr>
        <w:pStyle w:val="BodyText"/>
        <w:spacing w:line="232" w:lineRule="auto" w:before="187"/>
        <w:ind w:left="359" w:right="1621"/>
      </w:pPr>
      <w:r>
        <w:rPr/>
        <w:t>Two north</w:t>
      </w:r>
      <w:r>
        <w:rPr>
          <w:rFonts w:ascii="Symbol" w:hAnsi="Symbol"/>
        </w:rPr>
        <w:t></w:t>
      </w:r>
      <w:r>
        <w:rPr/>
        <w:t>south oriented mountain ranges comprise the bulk of the Colville National Forest: the 7,000-foot</w:t>
      </w:r>
      <w:r>
        <w:rPr>
          <w:spacing w:val="-2"/>
        </w:rPr>
        <w:t> </w:t>
      </w:r>
      <w:r>
        <w:rPr/>
        <w:t>Selkirk Range (featuring</w:t>
      </w:r>
      <w:r>
        <w:rPr>
          <w:spacing w:val="-1"/>
        </w:rPr>
        <w:t> </w:t>
      </w:r>
      <w:r>
        <w:rPr/>
        <w:t>the</w:t>
      </w:r>
      <w:r>
        <w:rPr>
          <w:spacing w:val="-2"/>
        </w:rPr>
        <w:t> </w:t>
      </w:r>
      <w:r>
        <w:rPr/>
        <w:t>outstanding</w:t>
      </w:r>
      <w:r>
        <w:rPr>
          <w:spacing w:val="-1"/>
        </w:rPr>
        <w:t> </w:t>
      </w:r>
      <w:r>
        <w:rPr/>
        <w:t>high-country Salmo-Priest Wilderness) and the Kettle River Range. The Pend Oreille River, surrounded by mostly private land, runs along the western edge of the Selkirks. The 130-mile-long Lake Roosevelt National Recreation Area, a segment of the Columbia River reservoir created by Grand Coulee Dam, divides the national</w:t>
      </w:r>
      <w:r>
        <w:rPr>
          <w:spacing w:val="-6"/>
        </w:rPr>
        <w:t> </w:t>
      </w:r>
      <w:r>
        <w:rPr/>
        <w:t>forest.</w:t>
      </w:r>
      <w:r>
        <w:rPr>
          <w:spacing w:val="-6"/>
        </w:rPr>
        <w:t> </w:t>
      </w:r>
      <w:r>
        <w:rPr/>
        <w:t>The</w:t>
      </w:r>
      <w:r>
        <w:rPr>
          <w:spacing w:val="-8"/>
        </w:rPr>
        <w:t> </w:t>
      </w:r>
      <w:r>
        <w:rPr/>
        <w:t>National</w:t>
      </w:r>
      <w:r>
        <w:rPr>
          <w:spacing w:val="-6"/>
        </w:rPr>
        <w:t> </w:t>
      </w:r>
      <w:r>
        <w:rPr/>
        <w:t>Recreation</w:t>
      </w:r>
      <w:r>
        <w:rPr>
          <w:spacing w:val="-7"/>
        </w:rPr>
        <w:t> </w:t>
      </w:r>
      <w:r>
        <w:rPr/>
        <w:t>Area</w:t>
      </w:r>
      <w:r>
        <w:rPr>
          <w:spacing w:val="-6"/>
        </w:rPr>
        <w:t> </w:t>
      </w:r>
      <w:r>
        <w:rPr/>
        <w:t>draws</w:t>
      </w:r>
      <w:r>
        <w:rPr>
          <w:spacing w:val="-7"/>
        </w:rPr>
        <w:t> </w:t>
      </w:r>
      <w:r>
        <w:rPr/>
        <w:t>thousands</w:t>
      </w:r>
      <w:r>
        <w:rPr>
          <w:spacing w:val="-6"/>
        </w:rPr>
        <w:t> </w:t>
      </w:r>
      <w:r>
        <w:rPr/>
        <w:t>of</w:t>
      </w:r>
      <w:r>
        <w:rPr>
          <w:spacing w:val="-8"/>
        </w:rPr>
        <w:t> </w:t>
      </w:r>
      <w:r>
        <w:rPr/>
        <w:t>visitors</w:t>
      </w:r>
      <w:r>
        <w:rPr>
          <w:spacing w:val="-6"/>
        </w:rPr>
        <w:t> </w:t>
      </w:r>
      <w:r>
        <w:rPr/>
        <w:t>to</w:t>
      </w:r>
      <w:r>
        <w:rPr>
          <w:spacing w:val="-7"/>
        </w:rPr>
        <w:t> </w:t>
      </w:r>
      <w:r>
        <w:rPr/>
        <w:t>this</w:t>
      </w:r>
      <w:r>
        <w:rPr>
          <w:spacing w:val="-6"/>
        </w:rPr>
        <w:t> </w:t>
      </w:r>
      <w:r>
        <w:rPr/>
        <w:t>remote</w:t>
      </w:r>
      <w:r>
        <w:rPr>
          <w:spacing w:val="-8"/>
        </w:rPr>
        <w:t> </w:t>
      </w:r>
      <w:r>
        <w:rPr/>
        <w:t>corner of Washington State each year.</w:t>
      </w:r>
    </w:p>
    <w:p>
      <w:pPr>
        <w:pStyle w:val="BodyText"/>
        <w:spacing w:before="7"/>
        <w:rPr>
          <w:sz w:val="13"/>
        </w:rPr>
      </w:pPr>
      <w:r>
        <w:rPr>
          <w:sz w:val="13"/>
        </w:rPr>
        <w:drawing>
          <wp:anchor distT="0" distB="0" distL="0" distR="0" allowOverlap="1" layoutInCell="1" locked="0" behindDoc="1" simplePos="0" relativeHeight="487591424">
            <wp:simplePos x="0" y="0"/>
            <wp:positionH relativeFrom="page">
              <wp:posOffset>914400</wp:posOffset>
            </wp:positionH>
            <wp:positionV relativeFrom="paragraph">
              <wp:posOffset>120959</wp:posOffset>
            </wp:positionV>
            <wp:extent cx="5509810" cy="4364164"/>
            <wp:effectExtent l="0" t="0" r="0" b="0"/>
            <wp:wrapTopAndBottom/>
            <wp:docPr id="53" name="Image 53" descr="Map showing Colville National Forest counties and neighboring lands"/>
            <wp:cNvGraphicFramePr>
              <a:graphicFrameLocks/>
            </wp:cNvGraphicFramePr>
            <a:graphic>
              <a:graphicData uri="http://schemas.openxmlformats.org/drawingml/2006/picture">
                <pic:pic>
                  <pic:nvPicPr>
                    <pic:cNvPr id="53" name="Image 53" descr="Map showing Colville National Forest counties and neighboring lands"/>
                    <pic:cNvPicPr/>
                  </pic:nvPicPr>
                  <pic:blipFill>
                    <a:blip r:embed="rId35" cstate="print"/>
                    <a:stretch>
                      <a:fillRect/>
                    </a:stretch>
                  </pic:blipFill>
                  <pic:spPr>
                    <a:xfrm>
                      <a:off x="0" y="0"/>
                      <a:ext cx="5509810" cy="4364164"/>
                    </a:xfrm>
                    <a:prstGeom prst="rect">
                      <a:avLst/>
                    </a:prstGeom>
                  </pic:spPr>
                </pic:pic>
              </a:graphicData>
            </a:graphic>
          </wp:anchor>
        </w:drawing>
      </w:r>
    </w:p>
    <w:p>
      <w:pPr>
        <w:spacing w:before="21"/>
        <w:ind w:left="360" w:right="0" w:firstLine="0"/>
        <w:jc w:val="left"/>
        <w:rPr>
          <w:rFonts w:ascii="Arial"/>
          <w:b/>
          <w:sz w:val="18"/>
        </w:rPr>
      </w:pPr>
      <w:bookmarkStart w:name="_bookmark4" w:id="8"/>
      <w:bookmarkEnd w:id="8"/>
      <w:r>
        <w:rPr/>
      </w:r>
      <w:r>
        <w:rPr>
          <w:rFonts w:ascii="Arial"/>
          <w:b/>
          <w:color w:val="283014"/>
          <w:sz w:val="18"/>
        </w:rPr>
        <w:t>Figure</w:t>
      </w:r>
      <w:r>
        <w:rPr>
          <w:rFonts w:ascii="Arial"/>
          <w:b/>
          <w:color w:val="283014"/>
          <w:spacing w:val="-2"/>
          <w:sz w:val="18"/>
        </w:rPr>
        <w:t> </w:t>
      </w:r>
      <w:r>
        <w:rPr>
          <w:rFonts w:ascii="Arial"/>
          <w:b/>
          <w:color w:val="283014"/>
          <w:sz w:val="18"/>
        </w:rPr>
        <w:t>2.</w:t>
      </w:r>
      <w:r>
        <w:rPr>
          <w:rFonts w:ascii="Arial"/>
          <w:b/>
          <w:color w:val="283014"/>
          <w:spacing w:val="-4"/>
          <w:sz w:val="18"/>
        </w:rPr>
        <w:t> </w:t>
      </w:r>
      <w:r>
        <w:rPr>
          <w:rFonts w:ascii="Arial"/>
          <w:b/>
          <w:color w:val="283014"/>
          <w:sz w:val="18"/>
        </w:rPr>
        <w:t>Colville</w:t>
      </w:r>
      <w:r>
        <w:rPr>
          <w:rFonts w:ascii="Arial"/>
          <w:b/>
          <w:color w:val="283014"/>
          <w:spacing w:val="-2"/>
          <w:sz w:val="18"/>
        </w:rPr>
        <w:t> </w:t>
      </w:r>
      <w:r>
        <w:rPr>
          <w:rFonts w:ascii="Arial"/>
          <w:b/>
          <w:color w:val="283014"/>
          <w:sz w:val="18"/>
        </w:rPr>
        <w:t>National</w:t>
      </w:r>
      <w:r>
        <w:rPr>
          <w:rFonts w:ascii="Arial"/>
          <w:b/>
          <w:color w:val="283014"/>
          <w:spacing w:val="-2"/>
          <w:sz w:val="18"/>
        </w:rPr>
        <w:t> </w:t>
      </w:r>
      <w:r>
        <w:rPr>
          <w:rFonts w:ascii="Arial"/>
          <w:b/>
          <w:color w:val="283014"/>
          <w:sz w:val="18"/>
        </w:rPr>
        <w:t>Forest</w:t>
      </w:r>
      <w:r>
        <w:rPr>
          <w:rFonts w:ascii="Arial"/>
          <w:b/>
          <w:color w:val="283014"/>
          <w:spacing w:val="-3"/>
          <w:sz w:val="18"/>
        </w:rPr>
        <w:t> </w:t>
      </w:r>
      <w:r>
        <w:rPr>
          <w:rFonts w:ascii="Arial"/>
          <w:b/>
          <w:color w:val="283014"/>
          <w:sz w:val="18"/>
        </w:rPr>
        <w:t>counties</w:t>
      </w:r>
      <w:r>
        <w:rPr>
          <w:rFonts w:ascii="Arial"/>
          <w:b/>
          <w:color w:val="283014"/>
          <w:spacing w:val="-4"/>
          <w:sz w:val="18"/>
        </w:rPr>
        <w:t> </w:t>
      </w:r>
      <w:r>
        <w:rPr>
          <w:rFonts w:ascii="Arial"/>
          <w:b/>
          <w:color w:val="283014"/>
          <w:sz w:val="18"/>
        </w:rPr>
        <w:t>and</w:t>
      </w:r>
      <w:r>
        <w:rPr>
          <w:rFonts w:ascii="Arial"/>
          <w:b/>
          <w:color w:val="283014"/>
          <w:spacing w:val="-3"/>
          <w:sz w:val="18"/>
        </w:rPr>
        <w:t> </w:t>
      </w:r>
      <w:r>
        <w:rPr>
          <w:rFonts w:ascii="Arial"/>
          <w:b/>
          <w:color w:val="283014"/>
          <w:sz w:val="18"/>
        </w:rPr>
        <w:t>neighboring</w:t>
      </w:r>
      <w:r>
        <w:rPr>
          <w:rFonts w:ascii="Arial"/>
          <w:b/>
          <w:color w:val="283014"/>
          <w:spacing w:val="-2"/>
          <w:sz w:val="18"/>
        </w:rPr>
        <w:t> lands</w:t>
      </w:r>
    </w:p>
    <w:p>
      <w:pPr>
        <w:pStyle w:val="BodyText"/>
        <w:spacing w:before="156"/>
        <w:rPr>
          <w:rFonts w:ascii="Arial"/>
          <w:b/>
          <w:sz w:val="18"/>
        </w:rPr>
      </w:pPr>
    </w:p>
    <w:p>
      <w:pPr>
        <w:pStyle w:val="BodyText"/>
        <w:spacing w:line="232" w:lineRule="auto"/>
        <w:ind w:left="359" w:right="1445"/>
      </w:pPr>
      <w:r>
        <w:rPr/>
        <w:t>Three vegetation zones comprise Colville National Forest, each with a unique climate and topography.</w:t>
      </w:r>
      <w:r>
        <w:rPr>
          <w:spacing w:val="-9"/>
        </w:rPr>
        <w:t> </w:t>
      </w:r>
      <w:r>
        <w:rPr/>
        <w:t>Dry</w:t>
      </w:r>
      <w:r>
        <w:rPr>
          <w:spacing w:val="-5"/>
        </w:rPr>
        <w:t> </w:t>
      </w:r>
      <w:r>
        <w:rPr/>
        <w:t>forests</w:t>
      </w:r>
      <w:r>
        <w:rPr>
          <w:spacing w:val="-8"/>
        </w:rPr>
        <w:t> </w:t>
      </w:r>
      <w:r>
        <w:rPr/>
        <w:t>of</w:t>
      </w:r>
      <w:r>
        <w:rPr>
          <w:spacing w:val="-8"/>
        </w:rPr>
        <w:t> </w:t>
      </w:r>
      <w:r>
        <w:rPr/>
        <w:t>ponderosa</w:t>
      </w:r>
      <w:r>
        <w:rPr>
          <w:spacing w:val="-6"/>
        </w:rPr>
        <w:t> </w:t>
      </w:r>
      <w:r>
        <w:rPr/>
        <w:t>pine</w:t>
      </w:r>
      <w:r>
        <w:rPr>
          <w:spacing w:val="-8"/>
        </w:rPr>
        <w:t> </w:t>
      </w:r>
      <w:r>
        <w:rPr/>
        <w:t>and</w:t>
      </w:r>
      <w:r>
        <w:rPr>
          <w:spacing w:val="-7"/>
        </w:rPr>
        <w:t> </w:t>
      </w:r>
      <w:r>
        <w:rPr/>
        <w:t>Douglas-fir</w:t>
      </w:r>
      <w:r>
        <w:rPr>
          <w:spacing w:val="-6"/>
        </w:rPr>
        <w:t> </w:t>
      </w:r>
      <w:r>
        <w:rPr/>
        <w:t>dominate</w:t>
      </w:r>
      <w:r>
        <w:rPr>
          <w:spacing w:val="-5"/>
        </w:rPr>
        <w:t> </w:t>
      </w:r>
      <w:r>
        <w:rPr/>
        <w:t>the</w:t>
      </w:r>
      <w:r>
        <w:rPr>
          <w:spacing w:val="-6"/>
        </w:rPr>
        <w:t> </w:t>
      </w:r>
      <w:r>
        <w:rPr/>
        <w:t>rolling</w:t>
      </w:r>
      <w:r>
        <w:rPr>
          <w:spacing w:val="-7"/>
        </w:rPr>
        <w:t> </w:t>
      </w:r>
      <w:r>
        <w:rPr/>
        <w:t>landscape</w:t>
      </w:r>
      <w:r>
        <w:rPr>
          <w:spacing w:val="-5"/>
        </w:rPr>
        <w:t> </w:t>
      </w:r>
      <w:r>
        <w:rPr/>
        <w:t>of</w:t>
      </w:r>
      <w:r>
        <w:rPr>
          <w:spacing w:val="-8"/>
        </w:rPr>
        <w:t> </w:t>
      </w:r>
      <w:r>
        <w:rPr/>
        <w:t>the Okanogan Highlands west of the Kettle Crest. The subalpine fir types along the Kettle Crest separate the western portion of the national forest from the lush valleys and richly forested mountains to the east where rainfall reaches 50 inches a year in the Salmo-Priest Wilderness.</w:t>
      </w:r>
    </w:p>
    <w:p>
      <w:pPr>
        <w:pStyle w:val="BodyText"/>
        <w:spacing w:line="232" w:lineRule="auto"/>
        <w:ind w:left="359" w:right="1621"/>
      </w:pPr>
      <w:r>
        <w:rPr/>
        <w:t>Western red cedar and western hemlock forests are comparable to those on the west side of the</w:t>
      </w:r>
      <w:r>
        <w:rPr>
          <w:spacing w:val="-5"/>
        </w:rPr>
        <w:t> </w:t>
      </w:r>
      <w:r>
        <w:rPr/>
        <w:t>North</w:t>
      </w:r>
      <w:r>
        <w:rPr>
          <w:spacing w:val="-7"/>
        </w:rPr>
        <w:t> </w:t>
      </w:r>
      <w:r>
        <w:rPr/>
        <w:t>Cascades</w:t>
      </w:r>
      <w:r>
        <w:rPr>
          <w:spacing w:val="-6"/>
        </w:rPr>
        <w:t> </w:t>
      </w:r>
      <w:r>
        <w:rPr/>
        <w:t>Range.</w:t>
      </w:r>
      <w:r>
        <w:rPr>
          <w:spacing w:val="-9"/>
        </w:rPr>
        <w:t> </w:t>
      </w:r>
      <w:r>
        <w:rPr/>
        <w:t>Wildlife</w:t>
      </w:r>
      <w:r>
        <w:rPr>
          <w:spacing w:val="-5"/>
        </w:rPr>
        <w:t> </w:t>
      </w:r>
      <w:r>
        <w:rPr/>
        <w:t>including</w:t>
      </w:r>
      <w:r>
        <w:rPr>
          <w:spacing w:val="-7"/>
        </w:rPr>
        <w:t> </w:t>
      </w:r>
      <w:r>
        <w:rPr/>
        <w:t>bull</w:t>
      </w:r>
      <w:r>
        <w:rPr>
          <w:spacing w:val="-6"/>
        </w:rPr>
        <w:t> </w:t>
      </w:r>
      <w:r>
        <w:rPr/>
        <w:t>trout,</w:t>
      </w:r>
      <w:r>
        <w:rPr>
          <w:spacing w:val="-6"/>
        </w:rPr>
        <w:t> </w:t>
      </w:r>
      <w:r>
        <w:rPr/>
        <w:t>grizzly</w:t>
      </w:r>
      <w:r>
        <w:rPr>
          <w:spacing w:val="-5"/>
        </w:rPr>
        <w:t> </w:t>
      </w:r>
      <w:r>
        <w:rPr/>
        <w:t>bear,</w:t>
      </w:r>
      <w:r>
        <w:rPr>
          <w:spacing w:val="-8"/>
        </w:rPr>
        <w:t> </w:t>
      </w:r>
      <w:r>
        <w:rPr/>
        <w:t>woodland</w:t>
      </w:r>
      <w:r>
        <w:rPr>
          <w:spacing w:val="-7"/>
        </w:rPr>
        <w:t> </w:t>
      </w:r>
      <w:r>
        <w:rPr/>
        <w:t>caribou,</w:t>
      </w:r>
      <w:r>
        <w:rPr>
          <w:spacing w:val="-6"/>
        </w:rPr>
        <w:t> </w:t>
      </w:r>
      <w:r>
        <w:rPr/>
        <w:t>moose, wolf, and bald eagle inhabit regions of the Colville.</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742"/>
      </w:pPr>
      <w:r>
        <w:rPr/>
        <w:t>All water flowing from the Colville National Forest eventually drains into the Columbia River. Major</w:t>
      </w:r>
      <w:r>
        <w:rPr>
          <w:spacing w:val="-7"/>
        </w:rPr>
        <w:t> </w:t>
      </w:r>
      <w:r>
        <w:rPr/>
        <w:t>drainages</w:t>
      </w:r>
      <w:r>
        <w:rPr>
          <w:spacing w:val="-6"/>
        </w:rPr>
        <w:t> </w:t>
      </w:r>
      <w:r>
        <w:rPr/>
        <w:t>include</w:t>
      </w:r>
      <w:r>
        <w:rPr>
          <w:spacing w:val="-7"/>
        </w:rPr>
        <w:t> </w:t>
      </w:r>
      <w:r>
        <w:rPr/>
        <w:t>the</w:t>
      </w:r>
      <w:r>
        <w:rPr>
          <w:spacing w:val="-5"/>
        </w:rPr>
        <w:t> </w:t>
      </w:r>
      <w:r>
        <w:rPr/>
        <w:t>Pend</w:t>
      </w:r>
      <w:r>
        <w:rPr>
          <w:spacing w:val="-6"/>
        </w:rPr>
        <w:t> </w:t>
      </w:r>
      <w:r>
        <w:rPr/>
        <w:t>Oreille,</w:t>
      </w:r>
      <w:r>
        <w:rPr>
          <w:spacing w:val="-6"/>
        </w:rPr>
        <w:t> </w:t>
      </w:r>
      <w:r>
        <w:rPr/>
        <w:t>Colville,</w:t>
      </w:r>
      <w:r>
        <w:rPr>
          <w:spacing w:val="-6"/>
        </w:rPr>
        <w:t> </w:t>
      </w:r>
      <w:r>
        <w:rPr/>
        <w:t>Kettle,</w:t>
      </w:r>
      <w:r>
        <w:rPr>
          <w:spacing w:val="-6"/>
        </w:rPr>
        <w:t> </w:t>
      </w:r>
      <w:r>
        <w:rPr/>
        <w:t>and</w:t>
      </w:r>
      <w:r>
        <w:rPr>
          <w:spacing w:val="-6"/>
        </w:rPr>
        <w:t> </w:t>
      </w:r>
      <w:r>
        <w:rPr/>
        <w:t>Sanpoil</w:t>
      </w:r>
      <w:r>
        <w:rPr>
          <w:spacing w:val="-8"/>
        </w:rPr>
        <w:t> </w:t>
      </w:r>
      <w:r>
        <w:rPr/>
        <w:t>Rivers.</w:t>
      </w:r>
      <w:r>
        <w:rPr>
          <w:spacing w:val="-6"/>
        </w:rPr>
        <w:t> </w:t>
      </w:r>
      <w:r>
        <w:rPr/>
        <w:t>The</w:t>
      </w:r>
      <w:r>
        <w:rPr>
          <w:spacing w:val="-6"/>
        </w:rPr>
        <w:t> </w:t>
      </w:r>
      <w:r>
        <w:rPr/>
        <w:t>national</w:t>
      </w:r>
      <w:r>
        <w:rPr>
          <w:spacing w:val="-6"/>
        </w:rPr>
        <w:t> </w:t>
      </w:r>
      <w:r>
        <w:rPr/>
        <w:t>forest contains approximately 500 miles of fish-bearing streams and about 100 lakes and ponds.</w:t>
      </w:r>
    </w:p>
    <w:p>
      <w:pPr>
        <w:pStyle w:val="BodyText"/>
        <w:spacing w:line="232" w:lineRule="auto" w:before="198"/>
        <w:ind w:left="1151" w:right="801"/>
      </w:pPr>
      <w:r>
        <w:rPr/>
        <w:t>Principal ecosystem services are timber, wildlife, fish,</w:t>
      </w:r>
      <w:r>
        <w:rPr>
          <w:spacing w:val="-1"/>
        </w:rPr>
        <w:t> </w:t>
      </w:r>
      <w:r>
        <w:rPr/>
        <w:t>water, forage, and recreation. Timber harvest remains one of the primary ways the Colville National Forest meets economic needs. Between</w:t>
      </w:r>
      <w:r>
        <w:rPr>
          <w:spacing w:val="-9"/>
        </w:rPr>
        <w:t> </w:t>
      </w:r>
      <w:r>
        <w:rPr/>
        <w:t>1988</w:t>
      </w:r>
      <w:r>
        <w:rPr>
          <w:spacing w:val="-5"/>
        </w:rPr>
        <w:t> </w:t>
      </w:r>
      <w:r>
        <w:rPr/>
        <w:t>and</w:t>
      </w:r>
      <w:r>
        <w:rPr>
          <w:spacing w:val="-7"/>
        </w:rPr>
        <w:t> </w:t>
      </w:r>
      <w:r>
        <w:rPr/>
        <w:t>2014,</w:t>
      </w:r>
      <w:r>
        <w:rPr>
          <w:spacing w:val="-8"/>
        </w:rPr>
        <w:t> </w:t>
      </w:r>
      <w:r>
        <w:rPr/>
        <w:t>timber</w:t>
      </w:r>
      <w:r>
        <w:rPr>
          <w:spacing w:val="-6"/>
        </w:rPr>
        <w:t> </w:t>
      </w:r>
      <w:r>
        <w:rPr/>
        <w:t>harvest</w:t>
      </w:r>
      <w:r>
        <w:rPr>
          <w:spacing w:val="-6"/>
        </w:rPr>
        <w:t> </w:t>
      </w:r>
      <w:r>
        <w:rPr/>
        <w:t>levels</w:t>
      </w:r>
      <w:r>
        <w:rPr>
          <w:spacing w:val="-6"/>
        </w:rPr>
        <w:t> </w:t>
      </w:r>
      <w:r>
        <w:rPr/>
        <w:t>averaged</w:t>
      </w:r>
      <w:r>
        <w:rPr>
          <w:spacing w:val="-7"/>
        </w:rPr>
        <w:t> </w:t>
      </w:r>
      <w:r>
        <w:rPr/>
        <w:t>approximately</w:t>
      </w:r>
      <w:r>
        <w:rPr>
          <w:spacing w:val="-7"/>
        </w:rPr>
        <w:t> </w:t>
      </w:r>
      <w:r>
        <w:rPr/>
        <w:t>47.6</w:t>
      </w:r>
      <w:r>
        <w:rPr>
          <w:spacing w:val="-7"/>
        </w:rPr>
        <w:t> </w:t>
      </w:r>
      <w:r>
        <w:rPr/>
        <w:t>million</w:t>
      </w:r>
      <w:r>
        <w:rPr>
          <w:spacing w:val="-7"/>
        </w:rPr>
        <w:t> </w:t>
      </w:r>
      <w:r>
        <w:rPr/>
        <w:t>board</w:t>
      </w:r>
      <w:r>
        <w:rPr>
          <w:spacing w:val="-7"/>
        </w:rPr>
        <w:t> </w:t>
      </w:r>
      <w:r>
        <w:rPr/>
        <w:t>feet (MMBF)</w:t>
      </w:r>
      <w:r>
        <w:rPr>
          <w:spacing w:val="-3"/>
        </w:rPr>
        <w:t> </w:t>
      </w:r>
      <w:r>
        <w:rPr/>
        <w:t>per</w:t>
      </w:r>
      <w:r>
        <w:rPr>
          <w:spacing w:val="-5"/>
        </w:rPr>
        <w:t> </w:t>
      </w:r>
      <w:r>
        <w:rPr/>
        <w:t>year.</w:t>
      </w:r>
      <w:r>
        <w:rPr>
          <w:spacing w:val="-3"/>
        </w:rPr>
        <w:t> </w:t>
      </w:r>
      <w:r>
        <w:rPr/>
        <w:t>The</w:t>
      </w:r>
      <w:r>
        <w:rPr>
          <w:spacing w:val="-2"/>
        </w:rPr>
        <w:t> </w:t>
      </w:r>
      <w:r>
        <w:rPr/>
        <w:t>amount</w:t>
      </w:r>
      <w:r>
        <w:rPr>
          <w:spacing w:val="-2"/>
        </w:rPr>
        <w:t> </w:t>
      </w:r>
      <w:r>
        <w:rPr/>
        <w:t>of</w:t>
      </w:r>
      <w:r>
        <w:rPr>
          <w:spacing w:val="-3"/>
        </w:rPr>
        <w:t> </w:t>
      </w:r>
      <w:r>
        <w:rPr/>
        <w:t>timber</w:t>
      </w:r>
      <w:r>
        <w:rPr>
          <w:spacing w:val="-5"/>
        </w:rPr>
        <w:t> </w:t>
      </w:r>
      <w:r>
        <w:rPr/>
        <w:t>sold</w:t>
      </w:r>
      <w:r>
        <w:rPr>
          <w:spacing w:val="-4"/>
        </w:rPr>
        <w:t> </w:t>
      </w:r>
      <w:r>
        <w:rPr/>
        <w:t>has</w:t>
      </w:r>
      <w:r>
        <w:rPr>
          <w:spacing w:val="-3"/>
        </w:rPr>
        <w:t> </w:t>
      </w:r>
      <w:r>
        <w:rPr/>
        <w:t>declined</w:t>
      </w:r>
      <w:r>
        <w:rPr>
          <w:spacing w:val="-4"/>
        </w:rPr>
        <w:t> </w:t>
      </w:r>
      <w:r>
        <w:rPr/>
        <w:t>over</w:t>
      </w:r>
      <w:r>
        <w:rPr>
          <w:spacing w:val="-5"/>
        </w:rPr>
        <w:t> </w:t>
      </w:r>
      <w:r>
        <w:rPr/>
        <w:t>the</w:t>
      </w:r>
      <w:r>
        <w:rPr>
          <w:spacing w:val="-2"/>
        </w:rPr>
        <w:t> </w:t>
      </w:r>
      <w:r>
        <w:rPr/>
        <w:t>life</w:t>
      </w:r>
      <w:r>
        <w:rPr>
          <w:spacing w:val="-5"/>
        </w:rPr>
        <w:t> </w:t>
      </w:r>
      <w:r>
        <w:rPr/>
        <w:t>of</w:t>
      </w:r>
      <w:r>
        <w:rPr>
          <w:spacing w:val="-5"/>
        </w:rPr>
        <w:t> </w:t>
      </w:r>
      <w:r>
        <w:rPr/>
        <w:t>the</w:t>
      </w:r>
      <w:r>
        <w:rPr>
          <w:spacing w:val="-5"/>
        </w:rPr>
        <w:t> </w:t>
      </w:r>
      <w:r>
        <w:rPr/>
        <w:t>1988</w:t>
      </w:r>
      <w:r>
        <w:rPr>
          <w:spacing w:val="-2"/>
        </w:rPr>
        <w:t> </w:t>
      </w:r>
      <w:r>
        <w:rPr/>
        <w:t>Forest</w:t>
      </w:r>
      <w:r>
        <w:rPr>
          <w:spacing w:val="-5"/>
        </w:rPr>
        <w:t> </w:t>
      </w:r>
      <w:r>
        <w:rPr/>
        <w:t>Plan from a high of 134 MMBF in 1989 to a low of 18 MMBF in 2005 (with an average</w:t>
      </w:r>
      <w:r>
        <w:rPr>
          <w:spacing w:val="-1"/>
        </w:rPr>
        <w:t> </w:t>
      </w:r>
      <w:r>
        <w:rPr/>
        <w:t>of 49 MMBF per</w:t>
      </w:r>
      <w:r>
        <w:rPr>
          <w:spacing w:val="-2"/>
        </w:rPr>
        <w:t> </w:t>
      </w:r>
      <w:r>
        <w:rPr/>
        <w:t>year</w:t>
      </w:r>
      <w:r>
        <w:rPr>
          <w:spacing w:val="-2"/>
        </w:rPr>
        <w:t> </w:t>
      </w:r>
      <w:r>
        <w:rPr/>
        <w:t>from</w:t>
      </w:r>
      <w:r>
        <w:rPr>
          <w:spacing w:val="-3"/>
        </w:rPr>
        <w:t> </w:t>
      </w:r>
      <w:r>
        <w:rPr/>
        <w:t>2012-2016).</w:t>
      </w:r>
      <w:r>
        <w:rPr>
          <w:spacing w:val="-5"/>
        </w:rPr>
        <w:t> </w:t>
      </w:r>
      <w:r>
        <w:rPr/>
        <w:t>Approximately</w:t>
      </w:r>
      <w:r>
        <w:rPr>
          <w:spacing w:val="-2"/>
        </w:rPr>
        <w:t> </w:t>
      </w:r>
      <w:r>
        <w:rPr/>
        <w:t>10</w:t>
      </w:r>
      <w:r>
        <w:rPr>
          <w:spacing w:val="-2"/>
        </w:rPr>
        <w:t> </w:t>
      </w:r>
      <w:r>
        <w:rPr/>
        <w:t>percent</w:t>
      </w:r>
      <w:r>
        <w:rPr>
          <w:spacing w:val="-4"/>
        </w:rPr>
        <w:t> </w:t>
      </w:r>
      <w:r>
        <w:rPr/>
        <w:t>of</w:t>
      </w:r>
      <w:r>
        <w:rPr>
          <w:spacing w:val="-2"/>
        </w:rPr>
        <w:t> </w:t>
      </w:r>
      <w:r>
        <w:rPr/>
        <w:t>the</w:t>
      </w:r>
      <w:r>
        <w:rPr>
          <w:spacing w:val="-4"/>
        </w:rPr>
        <w:t> </w:t>
      </w:r>
      <w:r>
        <w:rPr/>
        <w:t>annual</w:t>
      </w:r>
      <w:r>
        <w:rPr>
          <w:spacing w:val="-2"/>
        </w:rPr>
        <w:t> </w:t>
      </w:r>
      <w:r>
        <w:rPr/>
        <w:t>volume</w:t>
      </w:r>
      <w:r>
        <w:rPr>
          <w:spacing w:val="-2"/>
        </w:rPr>
        <w:t> </w:t>
      </w:r>
      <w:r>
        <w:rPr/>
        <w:t>the</w:t>
      </w:r>
      <w:r>
        <w:rPr>
          <w:spacing w:val="-2"/>
        </w:rPr>
        <w:t> </w:t>
      </w:r>
      <w:r>
        <w:rPr/>
        <w:t>national</w:t>
      </w:r>
      <w:r>
        <w:rPr>
          <w:spacing w:val="-2"/>
        </w:rPr>
        <w:t> </w:t>
      </w:r>
      <w:r>
        <w:rPr/>
        <w:t>forest sells is non-commercial</w:t>
      </w:r>
      <w:r>
        <w:rPr>
          <w:spacing w:val="-3"/>
        </w:rPr>
        <w:t> </w:t>
      </w:r>
      <w:r>
        <w:rPr/>
        <w:t>material such</w:t>
      </w:r>
      <w:r>
        <w:rPr>
          <w:spacing w:val="-1"/>
        </w:rPr>
        <w:t> </w:t>
      </w:r>
      <w:r>
        <w:rPr/>
        <w:t>as firewood</w:t>
      </w:r>
      <w:r>
        <w:rPr>
          <w:spacing w:val="-1"/>
        </w:rPr>
        <w:t> </w:t>
      </w:r>
      <w:r>
        <w:rPr/>
        <w:t>or</w:t>
      </w:r>
      <w:r>
        <w:rPr>
          <w:spacing w:val="-2"/>
        </w:rPr>
        <w:t> </w:t>
      </w:r>
      <w:r>
        <w:rPr/>
        <w:t>biomass. During</w:t>
      </w:r>
      <w:r>
        <w:rPr>
          <w:spacing w:val="-3"/>
        </w:rPr>
        <w:t> </w:t>
      </w:r>
      <w:r>
        <w:rPr/>
        <w:t>the</w:t>
      </w:r>
      <w:r>
        <w:rPr>
          <w:spacing w:val="-2"/>
        </w:rPr>
        <w:t> </w:t>
      </w:r>
      <w:r>
        <w:rPr/>
        <w:t>most recent 10-year period, the Colville supported an average of 29,500 animal unit months of forage for cattle grazing. The national forest currently has a total of 58 grazing allotments that cover</w:t>
      </w:r>
    </w:p>
    <w:p>
      <w:pPr>
        <w:pStyle w:val="BodyText"/>
        <w:spacing w:line="232" w:lineRule="auto"/>
        <w:ind w:left="1151" w:right="1073"/>
      </w:pPr>
      <w:r>
        <w:rPr/>
        <w:t>810,000</w:t>
      </w:r>
      <w:r>
        <w:rPr>
          <w:spacing w:val="-7"/>
        </w:rPr>
        <w:t> </w:t>
      </w:r>
      <w:r>
        <w:rPr/>
        <w:t>acres.</w:t>
      </w:r>
      <w:r>
        <w:rPr>
          <w:spacing w:val="-6"/>
        </w:rPr>
        <w:t> </w:t>
      </w:r>
      <w:r>
        <w:rPr/>
        <w:t>Grazing</w:t>
      </w:r>
      <w:r>
        <w:rPr>
          <w:spacing w:val="-7"/>
        </w:rPr>
        <w:t> </w:t>
      </w:r>
      <w:r>
        <w:rPr/>
        <w:t>on</w:t>
      </w:r>
      <w:r>
        <w:rPr>
          <w:spacing w:val="-8"/>
        </w:rPr>
        <w:t> </w:t>
      </w:r>
      <w:r>
        <w:rPr/>
        <w:t>the</w:t>
      </w:r>
      <w:r>
        <w:rPr>
          <w:spacing w:val="-5"/>
        </w:rPr>
        <w:t> </w:t>
      </w:r>
      <w:r>
        <w:rPr/>
        <w:t>Colville</w:t>
      </w:r>
      <w:r>
        <w:rPr>
          <w:spacing w:val="-5"/>
        </w:rPr>
        <w:t> </w:t>
      </w:r>
      <w:r>
        <w:rPr/>
        <w:t>National</w:t>
      </w:r>
      <w:r>
        <w:rPr>
          <w:spacing w:val="-6"/>
        </w:rPr>
        <w:t> </w:t>
      </w:r>
      <w:r>
        <w:rPr/>
        <w:t>Forest</w:t>
      </w:r>
      <w:r>
        <w:rPr>
          <w:spacing w:val="-8"/>
        </w:rPr>
        <w:t> </w:t>
      </w:r>
      <w:r>
        <w:rPr/>
        <w:t>generally</w:t>
      </w:r>
      <w:r>
        <w:rPr>
          <w:spacing w:val="-7"/>
        </w:rPr>
        <w:t> </w:t>
      </w:r>
      <w:r>
        <w:rPr/>
        <w:t>occurs</w:t>
      </w:r>
      <w:r>
        <w:rPr>
          <w:spacing w:val="-6"/>
        </w:rPr>
        <w:t> </w:t>
      </w:r>
      <w:r>
        <w:rPr/>
        <w:t>from</w:t>
      </w:r>
      <w:r>
        <w:rPr>
          <w:spacing w:val="-5"/>
        </w:rPr>
        <w:t> </w:t>
      </w:r>
      <w:r>
        <w:rPr/>
        <w:t>June</w:t>
      </w:r>
      <w:r>
        <w:rPr>
          <w:spacing w:val="-8"/>
        </w:rPr>
        <w:t> </w:t>
      </w:r>
      <w:r>
        <w:rPr/>
        <w:t>through </w:t>
      </w:r>
      <w:r>
        <w:rPr>
          <w:spacing w:val="-2"/>
        </w:rPr>
        <w:t>October.</w:t>
      </w:r>
    </w:p>
    <w:p>
      <w:pPr>
        <w:pStyle w:val="BodyText"/>
        <w:spacing w:line="232" w:lineRule="auto" w:before="195"/>
        <w:ind w:left="1151" w:right="922"/>
        <w:jc w:val="both"/>
      </w:pPr>
      <w:r>
        <w:rPr/>
        <w:t>With an estimated</w:t>
      </w:r>
      <w:r>
        <w:rPr>
          <w:spacing w:val="-1"/>
        </w:rPr>
        <w:t> </w:t>
      </w:r>
      <w:r>
        <w:rPr/>
        <w:t>336,000 visits per year, the Colville National Forest is a</w:t>
      </w:r>
      <w:r>
        <w:rPr>
          <w:spacing w:val="-1"/>
        </w:rPr>
        <w:t> </w:t>
      </w:r>
      <w:r>
        <w:rPr/>
        <w:t>popular retreat for activities including camping, winter sports, forest product gathering, off-highway vehicle use, four-season</w:t>
      </w:r>
      <w:r>
        <w:rPr>
          <w:spacing w:val="-3"/>
        </w:rPr>
        <w:t> </w:t>
      </w:r>
      <w:r>
        <w:rPr/>
        <w:t>trail</w:t>
      </w:r>
      <w:r>
        <w:rPr>
          <w:spacing w:val="-2"/>
        </w:rPr>
        <w:t> </w:t>
      </w:r>
      <w:r>
        <w:rPr/>
        <w:t>use,</w:t>
      </w:r>
      <w:r>
        <w:rPr>
          <w:spacing w:val="-2"/>
        </w:rPr>
        <w:t> </w:t>
      </w:r>
      <w:r>
        <w:rPr/>
        <w:t>driving</w:t>
      </w:r>
      <w:r>
        <w:rPr>
          <w:spacing w:val="-3"/>
        </w:rPr>
        <w:t> </w:t>
      </w:r>
      <w:r>
        <w:rPr/>
        <w:t>for</w:t>
      </w:r>
      <w:r>
        <w:rPr>
          <w:spacing w:val="-2"/>
        </w:rPr>
        <w:t> </w:t>
      </w:r>
      <w:r>
        <w:rPr/>
        <w:t>pleasure,</w:t>
      </w:r>
      <w:r>
        <w:rPr>
          <w:spacing w:val="-2"/>
        </w:rPr>
        <w:t> </w:t>
      </w:r>
      <w:r>
        <w:rPr/>
        <w:t>snowmobiling,</w:t>
      </w:r>
      <w:r>
        <w:rPr>
          <w:spacing w:val="-2"/>
        </w:rPr>
        <w:t> </w:t>
      </w:r>
      <w:r>
        <w:rPr/>
        <w:t>backcountry</w:t>
      </w:r>
      <w:r>
        <w:rPr>
          <w:spacing w:val="-3"/>
        </w:rPr>
        <w:t> </w:t>
      </w:r>
      <w:r>
        <w:rPr/>
        <w:t>travel,</w:t>
      </w:r>
      <w:r>
        <w:rPr>
          <w:spacing w:val="-4"/>
        </w:rPr>
        <w:t> </w:t>
      </w:r>
      <w:r>
        <w:rPr/>
        <w:t>hunting,</w:t>
      </w:r>
      <w:r>
        <w:rPr>
          <w:spacing w:val="-2"/>
        </w:rPr>
        <w:t> </w:t>
      </w:r>
      <w:r>
        <w:rPr/>
        <w:t>fishing, and</w:t>
      </w:r>
      <w:r>
        <w:rPr>
          <w:spacing w:val="-7"/>
        </w:rPr>
        <w:t> </w:t>
      </w:r>
      <w:r>
        <w:rPr/>
        <w:t>wildlife</w:t>
      </w:r>
      <w:r>
        <w:rPr>
          <w:spacing w:val="-8"/>
        </w:rPr>
        <w:t> </w:t>
      </w:r>
      <w:r>
        <w:rPr/>
        <w:t>viewing.</w:t>
      </w:r>
      <w:r>
        <w:rPr>
          <w:spacing w:val="-7"/>
        </w:rPr>
        <w:t> </w:t>
      </w:r>
      <w:r>
        <w:rPr/>
        <w:t>Combined,</w:t>
      </w:r>
      <w:r>
        <w:rPr>
          <w:spacing w:val="-7"/>
        </w:rPr>
        <w:t> </w:t>
      </w:r>
      <w:r>
        <w:rPr/>
        <w:t>day-use</w:t>
      </w:r>
      <w:r>
        <w:rPr>
          <w:spacing w:val="-6"/>
        </w:rPr>
        <w:t> </w:t>
      </w:r>
      <w:r>
        <w:rPr/>
        <w:t>and</w:t>
      </w:r>
      <w:r>
        <w:rPr>
          <w:spacing w:val="-9"/>
        </w:rPr>
        <w:t> </w:t>
      </w:r>
      <w:r>
        <w:rPr/>
        <w:t>overnight</w:t>
      </w:r>
      <w:r>
        <w:rPr>
          <w:spacing w:val="-8"/>
        </w:rPr>
        <w:t> </w:t>
      </w:r>
      <w:r>
        <w:rPr/>
        <w:t>recreation</w:t>
      </w:r>
      <w:r>
        <w:rPr>
          <w:spacing w:val="-7"/>
        </w:rPr>
        <w:t> </w:t>
      </w:r>
      <w:r>
        <w:rPr/>
        <w:t>opportunities</w:t>
      </w:r>
      <w:r>
        <w:rPr>
          <w:spacing w:val="-8"/>
        </w:rPr>
        <w:t> </w:t>
      </w:r>
      <w:r>
        <w:rPr/>
        <w:t>contribute</w:t>
      </w:r>
      <w:r>
        <w:rPr>
          <w:spacing w:val="-6"/>
        </w:rPr>
        <w:t> </w:t>
      </w:r>
      <w:r>
        <w:rPr/>
        <w:t>an estimated $7.5 million (in 2003 dollars) in annual revenues to communities located within</w:t>
      </w:r>
    </w:p>
    <w:p>
      <w:pPr>
        <w:pStyle w:val="BodyText"/>
        <w:spacing w:line="261" w:lineRule="exact"/>
        <w:ind w:left="1151"/>
        <w:jc w:val="both"/>
      </w:pPr>
      <w:r>
        <w:rPr/>
        <w:t>50</w:t>
      </w:r>
      <w:r>
        <w:rPr>
          <w:spacing w:val="-8"/>
        </w:rPr>
        <w:t> </w:t>
      </w:r>
      <w:r>
        <w:rPr/>
        <w:t>miles</w:t>
      </w:r>
      <w:r>
        <w:rPr>
          <w:spacing w:val="-6"/>
        </w:rPr>
        <w:t> </w:t>
      </w:r>
      <w:r>
        <w:rPr/>
        <w:t>of</w:t>
      </w:r>
      <w:r>
        <w:rPr>
          <w:spacing w:val="-5"/>
        </w:rPr>
        <w:t> </w:t>
      </w:r>
      <w:r>
        <w:rPr/>
        <w:t>the</w:t>
      </w:r>
      <w:r>
        <w:rPr>
          <w:spacing w:val="-6"/>
        </w:rPr>
        <w:t> </w:t>
      </w:r>
      <w:r>
        <w:rPr/>
        <w:t>national</w:t>
      </w:r>
      <w:r>
        <w:rPr>
          <w:spacing w:val="-5"/>
        </w:rPr>
        <w:t> </w:t>
      </w:r>
      <w:r>
        <w:rPr/>
        <w:t>forest</w:t>
      </w:r>
      <w:r>
        <w:rPr>
          <w:spacing w:val="-3"/>
        </w:rPr>
        <w:t> </w:t>
      </w:r>
      <w:r>
        <w:rPr/>
        <w:t>(2009</w:t>
      </w:r>
      <w:r>
        <w:rPr>
          <w:spacing w:val="-6"/>
        </w:rPr>
        <w:t> </w:t>
      </w:r>
      <w:r>
        <w:rPr/>
        <w:t>NVUM</w:t>
      </w:r>
      <w:r>
        <w:rPr>
          <w:spacing w:val="-5"/>
        </w:rPr>
        <w:t> </w:t>
      </w:r>
      <w:r>
        <w:rPr/>
        <w:t>Master</w:t>
      </w:r>
      <w:r>
        <w:rPr>
          <w:spacing w:val="-6"/>
        </w:rPr>
        <w:t> </w:t>
      </w:r>
      <w:r>
        <w:rPr>
          <w:spacing w:val="-2"/>
        </w:rPr>
        <w:t>Report).</w:t>
      </w:r>
    </w:p>
    <w:p>
      <w:pPr>
        <w:pStyle w:val="BodyText"/>
        <w:spacing w:line="232" w:lineRule="auto" w:before="198"/>
        <w:ind w:left="1151" w:right="801"/>
      </w:pPr>
      <w:r>
        <w:rPr/>
        <w:t>Approximately</w:t>
      </w:r>
      <w:r>
        <w:rPr>
          <w:spacing w:val="-7"/>
        </w:rPr>
        <w:t> </w:t>
      </w:r>
      <w:r>
        <w:rPr/>
        <w:t>4,000</w:t>
      </w:r>
      <w:r>
        <w:rPr>
          <w:spacing w:val="-8"/>
        </w:rPr>
        <w:t> </w:t>
      </w:r>
      <w:r>
        <w:rPr/>
        <w:t>miles</w:t>
      </w:r>
      <w:r>
        <w:rPr>
          <w:spacing w:val="-9"/>
        </w:rPr>
        <w:t> </w:t>
      </w:r>
      <w:r>
        <w:rPr/>
        <w:t>of</w:t>
      </w:r>
      <w:r>
        <w:rPr>
          <w:spacing w:val="-8"/>
        </w:rPr>
        <w:t> </w:t>
      </w:r>
      <w:r>
        <w:rPr/>
        <w:t>National</w:t>
      </w:r>
      <w:r>
        <w:rPr>
          <w:spacing w:val="-8"/>
        </w:rPr>
        <w:t> </w:t>
      </w:r>
      <w:r>
        <w:rPr/>
        <w:t>Forest</w:t>
      </w:r>
      <w:r>
        <w:rPr>
          <w:spacing w:val="-7"/>
        </w:rPr>
        <w:t> </w:t>
      </w:r>
      <w:r>
        <w:rPr/>
        <w:t>System</w:t>
      </w:r>
      <w:r>
        <w:rPr>
          <w:spacing w:val="-8"/>
        </w:rPr>
        <w:t> </w:t>
      </w:r>
      <w:r>
        <w:rPr/>
        <w:t>roads</w:t>
      </w:r>
      <w:r>
        <w:rPr>
          <w:spacing w:val="-8"/>
        </w:rPr>
        <w:t> </w:t>
      </w:r>
      <w:r>
        <w:rPr/>
        <w:t>provide</w:t>
      </w:r>
      <w:r>
        <w:rPr>
          <w:spacing w:val="-9"/>
        </w:rPr>
        <w:t> </w:t>
      </w:r>
      <w:r>
        <w:rPr/>
        <w:t>access</w:t>
      </w:r>
      <w:r>
        <w:rPr>
          <w:spacing w:val="-8"/>
        </w:rPr>
        <w:t> </w:t>
      </w:r>
      <w:r>
        <w:rPr/>
        <w:t>to</w:t>
      </w:r>
      <w:r>
        <w:rPr>
          <w:spacing w:val="-7"/>
        </w:rPr>
        <w:t> </w:t>
      </w:r>
      <w:r>
        <w:rPr/>
        <w:t>recreation</w:t>
      </w:r>
      <w:r>
        <w:rPr>
          <w:spacing w:val="-8"/>
        </w:rPr>
        <w:t> </w:t>
      </w:r>
      <w:r>
        <w:rPr/>
        <w:t>areas and places to collect renewable forest products such as firewood, berries, mushrooms, and Christmas trees. The Colville National Forest manages 32 campgrounds, 2 eligible wild and scenic</w:t>
      </w:r>
      <w:r>
        <w:rPr>
          <w:spacing w:val="-1"/>
        </w:rPr>
        <w:t> </w:t>
      </w:r>
      <w:r>
        <w:rPr/>
        <w:t>rivers,</w:t>
      </w:r>
      <w:r>
        <w:rPr>
          <w:spacing w:val="-1"/>
        </w:rPr>
        <w:t> </w:t>
      </w:r>
      <w:r>
        <w:rPr/>
        <w:t>the Salmo-Priest</w:t>
      </w:r>
      <w:r>
        <w:rPr>
          <w:spacing w:val="-3"/>
        </w:rPr>
        <w:t> </w:t>
      </w:r>
      <w:r>
        <w:rPr/>
        <w:t>Wilderness,</w:t>
      </w:r>
      <w:r>
        <w:rPr>
          <w:spacing w:val="-3"/>
        </w:rPr>
        <w:t> </w:t>
      </w:r>
      <w:r>
        <w:rPr/>
        <w:t>197</w:t>
      </w:r>
      <w:r>
        <w:rPr>
          <w:spacing w:val="-2"/>
        </w:rPr>
        <w:t> </w:t>
      </w:r>
      <w:r>
        <w:rPr/>
        <w:t>miles</w:t>
      </w:r>
      <w:r>
        <w:rPr>
          <w:spacing w:val="-3"/>
        </w:rPr>
        <w:t> </w:t>
      </w:r>
      <w:r>
        <w:rPr/>
        <w:t>of</w:t>
      </w:r>
      <w:r>
        <w:rPr>
          <w:spacing w:val="-1"/>
        </w:rPr>
        <w:t> </w:t>
      </w:r>
      <w:r>
        <w:rPr/>
        <w:t>the</w:t>
      </w:r>
      <w:r>
        <w:rPr>
          <w:spacing w:val="-3"/>
        </w:rPr>
        <w:t> </w:t>
      </w:r>
      <w:r>
        <w:rPr/>
        <w:t>Pacific</w:t>
      </w:r>
      <w:r>
        <w:rPr>
          <w:spacing w:val="-1"/>
        </w:rPr>
        <w:t> </w:t>
      </w:r>
      <w:r>
        <w:rPr/>
        <w:t>Northwest National</w:t>
      </w:r>
      <w:r>
        <w:rPr>
          <w:spacing w:val="-1"/>
        </w:rPr>
        <w:t> </w:t>
      </w:r>
      <w:r>
        <w:rPr/>
        <w:t>Scenic Trail, 49 Degrees North Mountain Resort, and 15 recreation residences.</w:t>
      </w:r>
    </w:p>
    <w:p>
      <w:pPr>
        <w:pStyle w:val="Heading2"/>
        <w:spacing w:before="232"/>
        <w:ind w:left="1151"/>
        <w:jc w:val="both"/>
      </w:pPr>
      <w:bookmarkStart w:name="Management Challenges" w:id="9"/>
      <w:bookmarkEnd w:id="9"/>
      <w:r>
        <w:rPr/>
      </w:r>
      <w:bookmarkStart w:name="_bookmark5" w:id="10"/>
      <w:bookmarkEnd w:id="10"/>
      <w:r>
        <w:rPr/>
      </w:r>
      <w:r>
        <w:rPr>
          <w:smallCaps/>
          <w:color w:val="475824"/>
          <w:spacing w:val="-2"/>
        </w:rPr>
        <w:t>Management</w:t>
      </w:r>
      <w:r>
        <w:rPr>
          <w:smallCaps/>
          <w:color w:val="475824"/>
          <w:spacing w:val="-1"/>
        </w:rPr>
        <w:t> </w:t>
      </w:r>
      <w:r>
        <w:rPr>
          <w:smallCaps/>
          <w:color w:val="475824"/>
          <w:spacing w:val="-2"/>
        </w:rPr>
        <w:t>Challenges</w:t>
      </w:r>
    </w:p>
    <w:p>
      <w:pPr>
        <w:pStyle w:val="BodyText"/>
        <w:spacing w:line="232" w:lineRule="auto" w:before="65"/>
        <w:ind w:left="1151" w:right="742"/>
      </w:pPr>
      <w:r>
        <w:rPr/>
        <w:t>Managing the Colville National Forest to continue providing public benefits includes making available recreation access, facilities, and services; supplying renewable and non-renewable forest products; and providing roads, services, and accommodations to support local economies. It also encompasses protecting clean water sources, aquatic and terrestrial habitat for</w:t>
      </w:r>
      <w:r>
        <w:rPr>
          <w:spacing w:val="-4"/>
        </w:rPr>
        <w:t> </w:t>
      </w:r>
      <w:r>
        <w:rPr/>
        <w:t>species</w:t>
      </w:r>
      <w:r>
        <w:rPr>
          <w:spacing w:val="-6"/>
        </w:rPr>
        <w:t> </w:t>
      </w:r>
      <w:r>
        <w:rPr/>
        <w:t>of</w:t>
      </w:r>
      <w:r>
        <w:rPr>
          <w:spacing w:val="-4"/>
        </w:rPr>
        <w:t> </w:t>
      </w:r>
      <w:r>
        <w:rPr/>
        <w:t>fish,</w:t>
      </w:r>
      <w:r>
        <w:rPr>
          <w:spacing w:val="-6"/>
        </w:rPr>
        <w:t> </w:t>
      </w:r>
      <w:r>
        <w:rPr/>
        <w:t>plants,</w:t>
      </w:r>
      <w:r>
        <w:rPr>
          <w:spacing w:val="-4"/>
        </w:rPr>
        <w:t> </w:t>
      </w:r>
      <w:r>
        <w:rPr/>
        <w:t>and</w:t>
      </w:r>
      <w:r>
        <w:rPr>
          <w:spacing w:val="-5"/>
        </w:rPr>
        <w:t> </w:t>
      </w:r>
      <w:r>
        <w:rPr/>
        <w:t>wildlife;</w:t>
      </w:r>
      <w:r>
        <w:rPr>
          <w:spacing w:val="-5"/>
        </w:rPr>
        <w:t> </w:t>
      </w:r>
      <w:r>
        <w:rPr/>
        <w:t>and</w:t>
      </w:r>
      <w:r>
        <w:rPr>
          <w:spacing w:val="-5"/>
        </w:rPr>
        <w:t> </w:t>
      </w:r>
      <w:r>
        <w:rPr/>
        <w:t>preserving</w:t>
      </w:r>
      <w:r>
        <w:rPr>
          <w:spacing w:val="-7"/>
        </w:rPr>
        <w:t> </w:t>
      </w:r>
      <w:r>
        <w:rPr/>
        <w:t>heritage</w:t>
      </w:r>
      <w:r>
        <w:rPr>
          <w:spacing w:val="-3"/>
        </w:rPr>
        <w:t> </w:t>
      </w:r>
      <w:r>
        <w:rPr/>
        <w:t>resources.</w:t>
      </w:r>
      <w:r>
        <w:rPr>
          <w:spacing w:val="-7"/>
        </w:rPr>
        <w:t> </w:t>
      </w:r>
      <w:r>
        <w:rPr/>
        <w:t>And,</w:t>
      </w:r>
      <w:r>
        <w:rPr>
          <w:spacing w:val="-4"/>
        </w:rPr>
        <w:t> </w:t>
      </w:r>
      <w:r>
        <w:rPr/>
        <w:t>each</w:t>
      </w:r>
      <w:r>
        <w:rPr>
          <w:spacing w:val="-5"/>
        </w:rPr>
        <w:t> </w:t>
      </w:r>
      <w:r>
        <w:rPr/>
        <w:t>year,</w:t>
      </w:r>
      <w:r>
        <w:rPr>
          <w:spacing w:val="-6"/>
        </w:rPr>
        <w:t> </w:t>
      </w:r>
      <w:r>
        <w:rPr/>
        <w:t>forest managers</w:t>
      </w:r>
      <w:r>
        <w:rPr>
          <w:spacing w:val="-6"/>
        </w:rPr>
        <w:t> </w:t>
      </w:r>
      <w:r>
        <w:rPr/>
        <w:t>focus</w:t>
      </w:r>
      <w:r>
        <w:rPr>
          <w:spacing w:val="-8"/>
        </w:rPr>
        <w:t> </w:t>
      </w:r>
      <w:r>
        <w:rPr/>
        <w:t>more</w:t>
      </w:r>
      <w:r>
        <w:rPr>
          <w:spacing w:val="-8"/>
        </w:rPr>
        <w:t> </w:t>
      </w:r>
      <w:r>
        <w:rPr/>
        <w:t>on</w:t>
      </w:r>
      <w:r>
        <w:rPr>
          <w:spacing w:val="-7"/>
        </w:rPr>
        <w:t> </w:t>
      </w:r>
      <w:r>
        <w:rPr/>
        <w:t>providing</w:t>
      </w:r>
      <w:r>
        <w:rPr>
          <w:spacing w:val="-7"/>
        </w:rPr>
        <w:t> </w:t>
      </w:r>
      <w:r>
        <w:rPr/>
        <w:t>quiet,</w:t>
      </w:r>
      <w:r>
        <w:rPr>
          <w:spacing w:val="-8"/>
        </w:rPr>
        <w:t> </w:t>
      </w:r>
      <w:r>
        <w:rPr/>
        <w:t>natural</w:t>
      </w:r>
      <w:r>
        <w:rPr>
          <w:spacing w:val="-6"/>
        </w:rPr>
        <w:t> </w:t>
      </w:r>
      <w:r>
        <w:rPr/>
        <w:t>places</w:t>
      </w:r>
      <w:r>
        <w:rPr>
          <w:spacing w:val="-6"/>
        </w:rPr>
        <w:t> </w:t>
      </w:r>
      <w:r>
        <w:rPr/>
        <w:t>for</w:t>
      </w:r>
      <w:r>
        <w:rPr>
          <w:spacing w:val="-6"/>
        </w:rPr>
        <w:t> </w:t>
      </w:r>
      <w:r>
        <w:rPr/>
        <w:t>personal</w:t>
      </w:r>
      <w:r>
        <w:rPr>
          <w:spacing w:val="-6"/>
        </w:rPr>
        <w:t> </w:t>
      </w:r>
      <w:r>
        <w:rPr/>
        <w:t>renewal</w:t>
      </w:r>
      <w:r>
        <w:rPr>
          <w:spacing w:val="-9"/>
        </w:rPr>
        <w:t> </w:t>
      </w:r>
      <w:r>
        <w:rPr/>
        <w:t>while</w:t>
      </w:r>
      <w:r>
        <w:rPr>
          <w:spacing w:val="-5"/>
        </w:rPr>
        <w:t> </w:t>
      </w:r>
      <w:r>
        <w:rPr/>
        <w:t>emphasizing planning and restoration of forest ecosystems to make them more resilient to changing</w:t>
      </w:r>
      <w:r>
        <w:rPr/>
        <w:t> </w:t>
      </w:r>
      <w:r>
        <w:rPr>
          <w:spacing w:val="-2"/>
        </w:rPr>
        <w:t>climates.</w:t>
      </w:r>
    </w:p>
    <w:p>
      <w:pPr>
        <w:pStyle w:val="BodyText"/>
        <w:spacing w:line="232" w:lineRule="auto" w:before="196"/>
        <w:ind w:left="1151" w:right="1073"/>
      </w:pPr>
      <w:r>
        <w:rPr/>
        <w:t>Challenges forest managers face in providing these benefits include population growth, urbanization,</w:t>
      </w:r>
      <w:r>
        <w:rPr>
          <w:spacing w:val="-3"/>
        </w:rPr>
        <w:t> </w:t>
      </w:r>
      <w:r>
        <w:rPr/>
        <w:t>appropriate</w:t>
      </w:r>
      <w:r>
        <w:rPr>
          <w:spacing w:val="-5"/>
        </w:rPr>
        <w:t> </w:t>
      </w:r>
      <w:r>
        <w:rPr/>
        <w:t>recreational</w:t>
      </w:r>
      <w:r>
        <w:rPr>
          <w:spacing w:val="-3"/>
        </w:rPr>
        <w:t> </w:t>
      </w:r>
      <w:r>
        <w:rPr/>
        <w:t>use,</w:t>
      </w:r>
      <w:r>
        <w:rPr>
          <w:spacing w:val="-3"/>
        </w:rPr>
        <w:t> </w:t>
      </w:r>
      <w:r>
        <w:rPr/>
        <w:t>access,</w:t>
      </w:r>
      <w:r>
        <w:rPr>
          <w:spacing w:val="-5"/>
        </w:rPr>
        <w:t> </w:t>
      </w:r>
      <w:r>
        <w:rPr/>
        <w:t>climate</w:t>
      </w:r>
      <w:r>
        <w:rPr>
          <w:spacing w:val="-5"/>
        </w:rPr>
        <w:t> </w:t>
      </w:r>
      <w:r>
        <w:rPr/>
        <w:t>change,</w:t>
      </w:r>
      <w:r>
        <w:rPr>
          <w:spacing w:val="-5"/>
        </w:rPr>
        <w:t> </w:t>
      </w:r>
      <w:r>
        <w:rPr/>
        <w:t>vegetation</w:t>
      </w:r>
      <w:r>
        <w:rPr>
          <w:spacing w:val="-4"/>
        </w:rPr>
        <w:t> </w:t>
      </w:r>
      <w:r>
        <w:rPr/>
        <w:t>and</w:t>
      </w:r>
      <w:r>
        <w:rPr>
          <w:spacing w:val="-4"/>
        </w:rPr>
        <w:t> </w:t>
      </w:r>
      <w:r>
        <w:rPr/>
        <w:t>wildlife diseases,</w:t>
      </w:r>
      <w:r>
        <w:rPr>
          <w:spacing w:val="-8"/>
        </w:rPr>
        <w:t> </w:t>
      </w:r>
      <w:r>
        <w:rPr/>
        <w:t>wildland</w:t>
      </w:r>
      <w:r>
        <w:rPr>
          <w:spacing w:val="-7"/>
        </w:rPr>
        <w:t> </w:t>
      </w:r>
      <w:r>
        <w:rPr/>
        <w:t>fire,</w:t>
      </w:r>
      <w:r>
        <w:rPr>
          <w:spacing w:val="-8"/>
        </w:rPr>
        <w:t> </w:t>
      </w:r>
      <w:r>
        <w:rPr/>
        <w:t>invasive</w:t>
      </w:r>
      <w:r>
        <w:rPr>
          <w:spacing w:val="-5"/>
        </w:rPr>
        <w:t> </w:t>
      </w:r>
      <w:r>
        <w:rPr/>
        <w:t>non-native</w:t>
      </w:r>
      <w:r>
        <w:rPr>
          <w:spacing w:val="-8"/>
        </w:rPr>
        <w:t> </w:t>
      </w:r>
      <w:r>
        <w:rPr/>
        <w:t>species</w:t>
      </w:r>
      <w:r>
        <w:rPr>
          <w:spacing w:val="-8"/>
        </w:rPr>
        <w:t> </w:t>
      </w:r>
      <w:r>
        <w:rPr/>
        <w:t>management,</w:t>
      </w:r>
      <w:r>
        <w:rPr>
          <w:spacing w:val="-8"/>
        </w:rPr>
        <w:t> </w:t>
      </w:r>
      <w:r>
        <w:rPr/>
        <w:t>and</w:t>
      </w:r>
      <w:r>
        <w:rPr>
          <w:spacing w:val="-7"/>
        </w:rPr>
        <w:t> </w:t>
      </w:r>
      <w:r>
        <w:rPr/>
        <w:t>protection</w:t>
      </w:r>
      <w:r>
        <w:rPr>
          <w:spacing w:val="-8"/>
        </w:rPr>
        <w:t> </w:t>
      </w:r>
      <w:r>
        <w:rPr/>
        <w:t>of</w:t>
      </w:r>
      <w:r>
        <w:rPr>
          <w:spacing w:val="-6"/>
        </w:rPr>
        <w:t> </w:t>
      </w:r>
      <w:r>
        <w:rPr/>
        <w:t>natural resources. Discussion of these challenges follows.</w:t>
      </w:r>
    </w:p>
    <w:p>
      <w:pPr>
        <w:pStyle w:val="Heading3"/>
        <w:spacing w:before="233"/>
        <w:jc w:val="both"/>
      </w:pPr>
      <w:bookmarkStart w:name="Climate Change" w:id="11"/>
      <w:bookmarkEnd w:id="11"/>
      <w:r>
        <w:rPr>
          <w:b w:val="0"/>
        </w:rPr>
      </w:r>
      <w:bookmarkStart w:name="_bookmark6" w:id="12"/>
      <w:bookmarkEnd w:id="12"/>
      <w:r>
        <w:rPr>
          <w:b w:val="0"/>
        </w:rPr>
      </w:r>
      <w:r>
        <w:rPr>
          <w:smallCaps/>
          <w:color w:val="475824"/>
        </w:rPr>
        <w:t>Climate</w:t>
      </w:r>
      <w:r>
        <w:rPr>
          <w:smallCaps/>
          <w:color w:val="475824"/>
          <w:spacing w:val="-8"/>
        </w:rPr>
        <w:t> </w:t>
      </w:r>
      <w:r>
        <w:rPr>
          <w:smallCaps/>
          <w:color w:val="475824"/>
          <w:spacing w:val="-2"/>
        </w:rPr>
        <w:t>Change</w:t>
      </w:r>
    </w:p>
    <w:p>
      <w:pPr>
        <w:pStyle w:val="BodyText"/>
        <w:spacing w:line="232" w:lineRule="auto" w:before="63"/>
        <w:ind w:left="1151" w:right="801"/>
      </w:pPr>
      <w:r>
        <w:rPr/>
        <w:t>Projected climate changes, based on current knowledge, information, and data presents complex</w:t>
      </w:r>
      <w:r>
        <w:rPr>
          <w:spacing w:val="-8"/>
        </w:rPr>
        <w:t> </w:t>
      </w:r>
      <w:r>
        <w:rPr/>
        <w:t>challenges</w:t>
      </w:r>
      <w:r>
        <w:rPr>
          <w:spacing w:val="-7"/>
        </w:rPr>
        <w:t> </w:t>
      </w:r>
      <w:r>
        <w:rPr/>
        <w:t>in</w:t>
      </w:r>
      <w:r>
        <w:rPr>
          <w:spacing w:val="-7"/>
        </w:rPr>
        <w:t> </w:t>
      </w:r>
      <w:r>
        <w:rPr/>
        <w:t>predicting</w:t>
      </w:r>
      <w:r>
        <w:rPr>
          <w:spacing w:val="-7"/>
        </w:rPr>
        <w:t> </w:t>
      </w:r>
      <w:r>
        <w:rPr/>
        <w:t>long-term</w:t>
      </w:r>
      <w:r>
        <w:rPr>
          <w:spacing w:val="-7"/>
        </w:rPr>
        <w:t> </w:t>
      </w:r>
      <w:r>
        <w:rPr/>
        <w:t>changes.</w:t>
      </w:r>
      <w:r>
        <w:rPr>
          <w:spacing w:val="-7"/>
        </w:rPr>
        <w:t> </w:t>
      </w:r>
      <w:r>
        <w:rPr/>
        <w:t>Broad-scale</w:t>
      </w:r>
      <w:r>
        <w:rPr>
          <w:spacing w:val="-6"/>
        </w:rPr>
        <w:t> </w:t>
      </w:r>
      <w:r>
        <w:rPr/>
        <w:t>climate</w:t>
      </w:r>
      <w:r>
        <w:rPr>
          <w:spacing w:val="-8"/>
        </w:rPr>
        <w:t> </w:t>
      </w:r>
      <w:r>
        <w:rPr/>
        <w:t>change</w:t>
      </w:r>
      <w:r>
        <w:rPr>
          <w:spacing w:val="-8"/>
        </w:rPr>
        <w:t> </w:t>
      </w:r>
      <w:r>
        <w:rPr/>
        <w:t>assumptions and potential effects were considered when writing the desired conditions for this plan, </w:t>
      </w:r>
      <w:r>
        <w:rPr>
          <w:spacing w:val="-2"/>
        </w:rPr>
        <w:t>including:</w:t>
      </w:r>
    </w:p>
    <w:p>
      <w:pPr>
        <w:pStyle w:val="BodyText"/>
        <w:spacing w:after="0" w:line="232" w:lineRule="auto"/>
        <w:sectPr>
          <w:pgSz w:w="12240" w:h="15840"/>
          <w:pgMar w:header="725" w:footer="891" w:top="960" w:bottom="1080" w:left="1080" w:right="720"/>
        </w:sectPr>
      </w:pPr>
    </w:p>
    <w:p>
      <w:pPr>
        <w:pStyle w:val="BodyText"/>
        <w:spacing w:before="212"/>
      </w:pPr>
    </w:p>
    <w:p>
      <w:pPr>
        <w:pStyle w:val="ListParagraph"/>
        <w:numPr>
          <w:ilvl w:val="0"/>
          <w:numId w:val="1"/>
        </w:numPr>
        <w:tabs>
          <w:tab w:pos="899" w:val="left" w:leader="none"/>
        </w:tabs>
        <w:spacing w:line="232" w:lineRule="auto" w:before="0" w:after="0"/>
        <w:ind w:left="899" w:right="1799" w:hanging="360"/>
        <w:jc w:val="left"/>
        <w:rPr>
          <w:sz w:val="22"/>
        </w:rPr>
      </w:pPr>
      <w:r>
        <w:rPr>
          <w:sz w:val="22"/>
        </w:rPr>
        <w:t>Continued</w:t>
      </w:r>
      <w:r>
        <w:rPr>
          <w:spacing w:val="-6"/>
          <w:sz w:val="22"/>
        </w:rPr>
        <w:t> </w:t>
      </w:r>
      <w:r>
        <w:rPr>
          <w:sz w:val="22"/>
        </w:rPr>
        <w:t>warming</w:t>
      </w:r>
      <w:r>
        <w:rPr>
          <w:spacing w:val="-6"/>
          <w:sz w:val="22"/>
        </w:rPr>
        <w:t> </w:t>
      </w:r>
      <w:r>
        <w:rPr>
          <w:sz w:val="22"/>
        </w:rPr>
        <w:t>in</w:t>
      </w:r>
      <w:r>
        <w:rPr>
          <w:spacing w:val="-8"/>
          <w:sz w:val="22"/>
        </w:rPr>
        <w:t> </w:t>
      </w:r>
      <w:r>
        <w:rPr>
          <w:sz w:val="22"/>
        </w:rPr>
        <w:t>the</w:t>
      </w:r>
      <w:r>
        <w:rPr>
          <w:spacing w:val="-7"/>
          <w:sz w:val="22"/>
        </w:rPr>
        <w:t> </w:t>
      </w:r>
      <w:r>
        <w:rPr>
          <w:sz w:val="22"/>
        </w:rPr>
        <w:t>Pacific</w:t>
      </w:r>
      <w:r>
        <w:rPr>
          <w:spacing w:val="-5"/>
          <w:sz w:val="22"/>
        </w:rPr>
        <w:t> </w:t>
      </w:r>
      <w:r>
        <w:rPr>
          <w:sz w:val="22"/>
        </w:rPr>
        <w:t>Northwest</w:t>
      </w:r>
      <w:r>
        <w:rPr>
          <w:spacing w:val="-4"/>
          <w:sz w:val="22"/>
        </w:rPr>
        <w:t> </w:t>
      </w:r>
      <w:r>
        <w:rPr>
          <w:sz w:val="22"/>
        </w:rPr>
        <w:t>is</w:t>
      </w:r>
      <w:r>
        <w:rPr>
          <w:spacing w:val="-5"/>
          <w:sz w:val="22"/>
        </w:rPr>
        <w:t> </w:t>
      </w:r>
      <w:r>
        <w:rPr>
          <w:sz w:val="22"/>
        </w:rPr>
        <w:t>likely</w:t>
      </w:r>
      <w:r>
        <w:rPr>
          <w:spacing w:val="-4"/>
          <w:sz w:val="22"/>
        </w:rPr>
        <w:t> </w:t>
      </w:r>
      <w:r>
        <w:rPr>
          <w:sz w:val="22"/>
        </w:rPr>
        <w:t>to</w:t>
      </w:r>
      <w:r>
        <w:rPr>
          <w:spacing w:val="-4"/>
          <w:sz w:val="22"/>
        </w:rPr>
        <w:t> </w:t>
      </w:r>
      <w:r>
        <w:rPr>
          <w:sz w:val="22"/>
        </w:rPr>
        <w:t>result</w:t>
      </w:r>
      <w:r>
        <w:rPr>
          <w:spacing w:val="-4"/>
          <w:sz w:val="22"/>
        </w:rPr>
        <w:t> </w:t>
      </w:r>
      <w:r>
        <w:rPr>
          <w:sz w:val="22"/>
        </w:rPr>
        <w:t>in</w:t>
      </w:r>
      <w:r>
        <w:rPr>
          <w:spacing w:val="-5"/>
          <w:sz w:val="22"/>
        </w:rPr>
        <w:t> </w:t>
      </w:r>
      <w:r>
        <w:rPr>
          <w:sz w:val="22"/>
        </w:rPr>
        <w:t>increased</w:t>
      </w:r>
      <w:r>
        <w:rPr>
          <w:spacing w:val="-8"/>
          <w:sz w:val="22"/>
        </w:rPr>
        <w:t> </w:t>
      </w:r>
      <w:r>
        <w:rPr>
          <w:sz w:val="22"/>
        </w:rPr>
        <w:t>water</w:t>
      </w:r>
      <w:r>
        <w:rPr>
          <w:spacing w:val="-7"/>
          <w:sz w:val="22"/>
        </w:rPr>
        <w:t> </w:t>
      </w:r>
      <w:r>
        <w:rPr>
          <w:sz w:val="22"/>
        </w:rPr>
        <w:t>use</w:t>
      </w:r>
      <w:r>
        <w:rPr>
          <w:spacing w:val="-4"/>
          <w:sz w:val="22"/>
        </w:rPr>
        <w:t> </w:t>
      </w:r>
      <w:r>
        <w:rPr>
          <w:sz w:val="22"/>
        </w:rPr>
        <w:t>by vegetation (Hamlet et al. 2007)</w:t>
      </w:r>
    </w:p>
    <w:p>
      <w:pPr>
        <w:pStyle w:val="ListParagraph"/>
        <w:numPr>
          <w:ilvl w:val="0"/>
          <w:numId w:val="1"/>
        </w:numPr>
        <w:tabs>
          <w:tab w:pos="899" w:val="left" w:leader="none"/>
        </w:tabs>
        <w:spacing w:line="240" w:lineRule="auto" w:before="113" w:after="0"/>
        <w:ind w:left="899" w:right="0" w:hanging="359"/>
        <w:jc w:val="left"/>
        <w:rPr>
          <w:sz w:val="22"/>
        </w:rPr>
      </w:pPr>
      <w:r>
        <w:rPr>
          <w:sz w:val="22"/>
        </w:rPr>
        <w:t>Reduced</w:t>
      </w:r>
      <w:r>
        <w:rPr>
          <w:spacing w:val="-14"/>
          <w:sz w:val="22"/>
        </w:rPr>
        <w:t> </w:t>
      </w:r>
      <w:r>
        <w:rPr>
          <w:sz w:val="22"/>
        </w:rPr>
        <w:t>water</w:t>
      </w:r>
      <w:r>
        <w:rPr>
          <w:spacing w:val="-10"/>
          <w:sz w:val="22"/>
        </w:rPr>
        <w:t> </w:t>
      </w:r>
      <w:r>
        <w:rPr>
          <w:sz w:val="22"/>
        </w:rPr>
        <w:t>available</w:t>
      </w:r>
      <w:r>
        <w:rPr>
          <w:spacing w:val="-10"/>
          <w:sz w:val="22"/>
        </w:rPr>
        <w:t> </w:t>
      </w:r>
      <w:r>
        <w:rPr>
          <w:sz w:val="22"/>
        </w:rPr>
        <w:t>for</w:t>
      </w:r>
      <w:r>
        <w:rPr>
          <w:spacing w:val="-11"/>
          <w:sz w:val="22"/>
        </w:rPr>
        <w:t> </w:t>
      </w:r>
      <w:r>
        <w:rPr>
          <w:sz w:val="22"/>
        </w:rPr>
        <w:t>forest</w:t>
      </w:r>
      <w:r>
        <w:rPr>
          <w:spacing w:val="-12"/>
          <w:sz w:val="22"/>
        </w:rPr>
        <w:t> </w:t>
      </w:r>
      <w:r>
        <w:rPr>
          <w:sz w:val="22"/>
        </w:rPr>
        <w:t>vegetation,</w:t>
      </w:r>
      <w:r>
        <w:rPr>
          <w:spacing w:val="-12"/>
          <w:sz w:val="22"/>
        </w:rPr>
        <w:t> </w:t>
      </w:r>
      <w:r>
        <w:rPr>
          <w:sz w:val="22"/>
        </w:rPr>
        <w:t>wildlife,</w:t>
      </w:r>
      <w:r>
        <w:rPr>
          <w:spacing w:val="-12"/>
          <w:sz w:val="22"/>
        </w:rPr>
        <w:t> </w:t>
      </w:r>
      <w:r>
        <w:rPr>
          <w:sz w:val="22"/>
        </w:rPr>
        <w:t>and</w:t>
      </w:r>
      <w:r>
        <w:rPr>
          <w:spacing w:val="-11"/>
          <w:sz w:val="22"/>
        </w:rPr>
        <w:t> </w:t>
      </w:r>
      <w:r>
        <w:rPr>
          <w:spacing w:val="-2"/>
          <w:sz w:val="22"/>
        </w:rPr>
        <w:t>humans</w:t>
      </w:r>
    </w:p>
    <w:p>
      <w:pPr>
        <w:pStyle w:val="ListParagraph"/>
        <w:numPr>
          <w:ilvl w:val="0"/>
          <w:numId w:val="1"/>
        </w:numPr>
        <w:tabs>
          <w:tab w:pos="900" w:val="left" w:leader="none"/>
        </w:tabs>
        <w:spacing w:line="232" w:lineRule="auto" w:before="117" w:after="0"/>
        <w:ind w:left="900" w:right="2007" w:hanging="360"/>
        <w:jc w:val="left"/>
        <w:rPr>
          <w:sz w:val="22"/>
        </w:rPr>
      </w:pPr>
      <w:r>
        <w:rPr>
          <w:sz w:val="22"/>
        </w:rPr>
        <w:t>Increased</w:t>
      </w:r>
      <w:r>
        <w:rPr>
          <w:spacing w:val="-10"/>
          <w:sz w:val="22"/>
        </w:rPr>
        <w:t> </w:t>
      </w:r>
      <w:r>
        <w:rPr>
          <w:sz w:val="22"/>
        </w:rPr>
        <w:t>stress</w:t>
      </w:r>
      <w:r>
        <w:rPr>
          <w:spacing w:val="-9"/>
          <w:sz w:val="22"/>
        </w:rPr>
        <w:t> </w:t>
      </w:r>
      <w:r>
        <w:rPr>
          <w:sz w:val="22"/>
        </w:rPr>
        <w:t>on</w:t>
      </w:r>
      <w:r>
        <w:rPr>
          <w:spacing w:val="-8"/>
          <w:sz w:val="22"/>
        </w:rPr>
        <w:t> </w:t>
      </w:r>
      <w:r>
        <w:rPr>
          <w:sz w:val="22"/>
        </w:rPr>
        <w:t>water</w:t>
      </w:r>
      <w:r>
        <w:rPr>
          <w:spacing w:val="-7"/>
          <w:sz w:val="22"/>
        </w:rPr>
        <w:t> </w:t>
      </w:r>
      <w:r>
        <w:rPr>
          <w:sz w:val="22"/>
        </w:rPr>
        <w:t>supplies</w:t>
      </w:r>
      <w:r>
        <w:rPr>
          <w:spacing w:val="-7"/>
          <w:sz w:val="22"/>
        </w:rPr>
        <w:t> </w:t>
      </w:r>
      <w:r>
        <w:rPr>
          <w:sz w:val="22"/>
        </w:rPr>
        <w:t>and</w:t>
      </w:r>
      <w:r>
        <w:rPr>
          <w:spacing w:val="-8"/>
          <w:sz w:val="22"/>
        </w:rPr>
        <w:t> </w:t>
      </w:r>
      <w:r>
        <w:rPr>
          <w:sz w:val="22"/>
        </w:rPr>
        <w:t>water</w:t>
      </w:r>
      <w:r>
        <w:rPr>
          <w:spacing w:val="-9"/>
          <w:sz w:val="22"/>
        </w:rPr>
        <w:t> </w:t>
      </w:r>
      <w:r>
        <w:rPr>
          <w:sz w:val="22"/>
        </w:rPr>
        <w:t>storage</w:t>
      </w:r>
      <w:r>
        <w:rPr>
          <w:spacing w:val="-6"/>
          <w:sz w:val="22"/>
        </w:rPr>
        <w:t> </w:t>
      </w:r>
      <w:r>
        <w:rPr>
          <w:sz w:val="22"/>
        </w:rPr>
        <w:t>facilities</w:t>
      </w:r>
      <w:r>
        <w:rPr>
          <w:spacing w:val="-9"/>
          <w:sz w:val="22"/>
        </w:rPr>
        <w:t> </w:t>
      </w:r>
      <w:r>
        <w:rPr>
          <w:sz w:val="22"/>
        </w:rPr>
        <w:t>throughout</w:t>
      </w:r>
      <w:r>
        <w:rPr>
          <w:spacing w:val="-6"/>
          <w:sz w:val="22"/>
        </w:rPr>
        <w:t> </w:t>
      </w:r>
      <w:r>
        <w:rPr>
          <w:sz w:val="22"/>
        </w:rPr>
        <w:t>the</w:t>
      </w:r>
      <w:r>
        <w:rPr>
          <w:spacing w:val="-9"/>
          <w:sz w:val="22"/>
        </w:rPr>
        <w:t> </w:t>
      </w:r>
      <w:r>
        <w:rPr>
          <w:sz w:val="22"/>
        </w:rPr>
        <w:t>Pacific </w:t>
      </w:r>
      <w:r>
        <w:rPr>
          <w:spacing w:val="-2"/>
          <w:sz w:val="22"/>
        </w:rPr>
        <w:t>Northwest</w:t>
      </w:r>
    </w:p>
    <w:p>
      <w:pPr>
        <w:pStyle w:val="ListParagraph"/>
        <w:numPr>
          <w:ilvl w:val="0"/>
          <w:numId w:val="1"/>
        </w:numPr>
        <w:tabs>
          <w:tab w:pos="899" w:val="left" w:leader="none"/>
        </w:tabs>
        <w:spacing w:line="240" w:lineRule="auto" w:before="114" w:after="0"/>
        <w:ind w:left="899" w:right="0" w:hanging="359"/>
        <w:jc w:val="left"/>
        <w:rPr>
          <w:sz w:val="22"/>
        </w:rPr>
      </w:pPr>
      <w:r>
        <w:rPr>
          <w:spacing w:val="-2"/>
          <w:sz w:val="22"/>
        </w:rPr>
        <w:t>Redistributed</w:t>
      </w:r>
      <w:r>
        <w:rPr>
          <w:spacing w:val="3"/>
          <w:sz w:val="22"/>
        </w:rPr>
        <w:t> </w:t>
      </w:r>
      <w:r>
        <w:rPr>
          <w:spacing w:val="-2"/>
          <w:sz w:val="22"/>
        </w:rPr>
        <w:t>forested</w:t>
      </w:r>
      <w:r>
        <w:rPr>
          <w:spacing w:val="3"/>
          <w:sz w:val="22"/>
        </w:rPr>
        <w:t> </w:t>
      </w:r>
      <w:r>
        <w:rPr>
          <w:spacing w:val="-2"/>
          <w:sz w:val="22"/>
        </w:rPr>
        <w:t>and</w:t>
      </w:r>
      <w:r>
        <w:rPr>
          <w:spacing w:val="1"/>
          <w:sz w:val="22"/>
        </w:rPr>
        <w:t> </w:t>
      </w:r>
      <w:r>
        <w:rPr>
          <w:spacing w:val="-2"/>
          <w:sz w:val="22"/>
        </w:rPr>
        <w:t>nonforested</w:t>
      </w:r>
      <w:r>
        <w:rPr>
          <w:spacing w:val="4"/>
          <w:sz w:val="22"/>
        </w:rPr>
        <w:t> </w:t>
      </w:r>
      <w:r>
        <w:rPr>
          <w:spacing w:val="-2"/>
          <w:sz w:val="22"/>
        </w:rPr>
        <w:t>habitats</w:t>
      </w:r>
    </w:p>
    <w:p>
      <w:pPr>
        <w:pStyle w:val="BodyText"/>
        <w:spacing w:before="110"/>
        <w:ind w:left="359"/>
      </w:pPr>
      <w:r>
        <w:rPr/>
        <w:t>Additional</w:t>
      </w:r>
      <w:r>
        <w:rPr>
          <w:spacing w:val="-7"/>
        </w:rPr>
        <w:t> </w:t>
      </w:r>
      <w:r>
        <w:rPr/>
        <w:t>information</w:t>
      </w:r>
      <w:r>
        <w:rPr>
          <w:spacing w:val="-8"/>
        </w:rPr>
        <w:t> </w:t>
      </w:r>
      <w:r>
        <w:rPr/>
        <w:t>is</w:t>
      </w:r>
      <w:r>
        <w:rPr>
          <w:spacing w:val="-9"/>
        </w:rPr>
        <w:t> </w:t>
      </w:r>
      <w:r>
        <w:rPr/>
        <w:t>located</w:t>
      </w:r>
      <w:r>
        <w:rPr>
          <w:spacing w:val="-8"/>
        </w:rPr>
        <w:t> </w:t>
      </w:r>
      <w:r>
        <w:rPr/>
        <w:t>in</w:t>
      </w:r>
      <w:r>
        <w:rPr>
          <w:spacing w:val="-7"/>
        </w:rPr>
        <w:t> </w:t>
      </w:r>
      <w:r>
        <w:rPr/>
        <w:t>the</w:t>
      </w:r>
      <w:r>
        <w:rPr>
          <w:spacing w:val="-9"/>
        </w:rPr>
        <w:t> </w:t>
      </w:r>
      <w:r>
        <w:rPr/>
        <w:t>final</w:t>
      </w:r>
      <w:r>
        <w:rPr>
          <w:spacing w:val="-6"/>
        </w:rPr>
        <w:t> </w:t>
      </w:r>
      <w:r>
        <w:rPr/>
        <w:t>Programmatic</w:t>
      </w:r>
      <w:r>
        <w:rPr>
          <w:spacing w:val="-9"/>
        </w:rPr>
        <w:t> </w:t>
      </w:r>
      <w:r>
        <w:rPr/>
        <w:t>Land</w:t>
      </w:r>
      <w:r>
        <w:rPr>
          <w:spacing w:val="-9"/>
        </w:rPr>
        <w:t> </w:t>
      </w:r>
      <w:r>
        <w:rPr/>
        <w:t>Management</w:t>
      </w:r>
      <w:r>
        <w:rPr>
          <w:spacing w:val="-9"/>
        </w:rPr>
        <w:t> </w:t>
      </w:r>
      <w:r>
        <w:rPr/>
        <w:t>Plan</w:t>
      </w:r>
      <w:r>
        <w:rPr>
          <w:spacing w:val="-7"/>
        </w:rPr>
        <w:t> </w:t>
      </w:r>
      <w:r>
        <w:rPr>
          <w:spacing w:val="-4"/>
        </w:rPr>
        <w:t>EIS.</w:t>
      </w:r>
    </w:p>
    <w:p>
      <w:pPr>
        <w:pStyle w:val="Heading3"/>
        <w:spacing w:before="235"/>
        <w:ind w:left="360"/>
      </w:pPr>
      <w:bookmarkStart w:name="Ecosystem Sustainability" w:id="13"/>
      <w:bookmarkEnd w:id="13"/>
      <w:r>
        <w:rPr>
          <w:b w:val="0"/>
        </w:rPr>
      </w:r>
      <w:bookmarkStart w:name="_bookmark7" w:id="14"/>
      <w:bookmarkEnd w:id="14"/>
      <w:r>
        <w:rPr>
          <w:b w:val="0"/>
        </w:rPr>
      </w:r>
      <w:r>
        <w:rPr>
          <w:smallCaps/>
          <w:color w:val="475824"/>
        </w:rPr>
        <w:t>Ecosystem</w:t>
      </w:r>
      <w:r>
        <w:rPr>
          <w:smallCaps/>
          <w:color w:val="475824"/>
          <w:spacing w:val="-7"/>
        </w:rPr>
        <w:t> </w:t>
      </w:r>
      <w:r>
        <w:rPr>
          <w:smallCaps/>
          <w:color w:val="475824"/>
          <w:spacing w:val="-2"/>
        </w:rPr>
        <w:t>Sustainability</w:t>
      </w:r>
    </w:p>
    <w:p>
      <w:pPr>
        <w:pStyle w:val="BodyText"/>
        <w:spacing w:line="232" w:lineRule="auto" w:before="64"/>
        <w:ind w:left="360" w:right="1621"/>
      </w:pPr>
      <w:r>
        <w:rPr/>
        <w:t>Our national forests</w:t>
      </w:r>
      <w:r>
        <w:rPr>
          <w:spacing w:val="-2"/>
        </w:rPr>
        <w:t> </w:t>
      </w:r>
      <w:r>
        <w:rPr/>
        <w:t>are</w:t>
      </w:r>
      <w:r>
        <w:rPr>
          <w:spacing w:val="-2"/>
        </w:rPr>
        <w:t> </w:t>
      </w:r>
      <w:r>
        <w:rPr/>
        <w:t>valued</w:t>
      </w:r>
      <w:r>
        <w:rPr>
          <w:spacing w:val="-1"/>
        </w:rPr>
        <w:t> </w:t>
      </w:r>
      <w:r>
        <w:rPr/>
        <w:t>for large areas</w:t>
      </w:r>
      <w:r>
        <w:rPr>
          <w:spacing w:val="-2"/>
        </w:rPr>
        <w:t> </w:t>
      </w:r>
      <w:r>
        <w:rPr/>
        <w:t>of naturally functioning</w:t>
      </w:r>
      <w:r>
        <w:rPr>
          <w:spacing w:val="-1"/>
        </w:rPr>
        <w:t> </w:t>
      </w:r>
      <w:r>
        <w:rPr/>
        <w:t>ecosystems. However, climate change, spreading invasive plant and animal species, and human activities threaten these</w:t>
      </w:r>
      <w:r>
        <w:rPr>
          <w:spacing w:val="-8"/>
        </w:rPr>
        <w:t> </w:t>
      </w:r>
      <w:r>
        <w:rPr/>
        <w:t>same</w:t>
      </w:r>
      <w:r>
        <w:rPr>
          <w:spacing w:val="-8"/>
        </w:rPr>
        <w:t> </w:t>
      </w:r>
      <w:r>
        <w:rPr/>
        <w:t>ecosystems.</w:t>
      </w:r>
      <w:r>
        <w:rPr>
          <w:spacing w:val="-11"/>
        </w:rPr>
        <w:t> </w:t>
      </w:r>
      <w:r>
        <w:rPr/>
        <w:t>Demand</w:t>
      </w:r>
      <w:r>
        <w:rPr>
          <w:spacing w:val="-9"/>
        </w:rPr>
        <w:t> </w:t>
      </w:r>
      <w:r>
        <w:rPr/>
        <w:t>for</w:t>
      </w:r>
      <w:r>
        <w:rPr>
          <w:spacing w:val="-10"/>
        </w:rPr>
        <w:t> </w:t>
      </w:r>
      <w:r>
        <w:rPr/>
        <w:t>natural</w:t>
      </w:r>
      <w:r>
        <w:rPr>
          <w:spacing w:val="-8"/>
        </w:rPr>
        <w:t> </w:t>
      </w:r>
      <w:r>
        <w:rPr/>
        <w:t>resources,</w:t>
      </w:r>
      <w:r>
        <w:rPr>
          <w:spacing w:val="-8"/>
        </w:rPr>
        <w:t> </w:t>
      </w:r>
      <w:r>
        <w:rPr/>
        <w:t>whether</w:t>
      </w:r>
      <w:r>
        <w:rPr>
          <w:spacing w:val="-8"/>
        </w:rPr>
        <w:t> </w:t>
      </w:r>
      <w:r>
        <w:rPr/>
        <w:t>for</w:t>
      </w:r>
      <w:r>
        <w:rPr>
          <w:spacing w:val="-10"/>
        </w:rPr>
        <w:t> </w:t>
      </w:r>
      <w:r>
        <w:rPr/>
        <w:t>recreation</w:t>
      </w:r>
      <w:r>
        <w:rPr>
          <w:spacing w:val="-9"/>
        </w:rPr>
        <w:t> </w:t>
      </w:r>
      <w:r>
        <w:rPr/>
        <w:t>or</w:t>
      </w:r>
      <w:r>
        <w:rPr>
          <w:spacing w:val="-13"/>
        </w:rPr>
        <w:t> </w:t>
      </w:r>
      <w:r>
        <w:rPr/>
        <w:t>commodity, places additional pressure on ecosystem sustainability. Fragmentation of plant and wildlife habitat resulting from growth patterns on lands adjacent to national forests, management activities,</w:t>
      </w:r>
      <w:r>
        <w:rPr>
          <w:spacing w:val="-4"/>
        </w:rPr>
        <w:t> </w:t>
      </w:r>
      <w:r>
        <w:rPr/>
        <w:t>and</w:t>
      </w:r>
      <w:r>
        <w:rPr>
          <w:spacing w:val="-5"/>
        </w:rPr>
        <w:t> </w:t>
      </w:r>
      <w:r>
        <w:rPr/>
        <w:t>increased</w:t>
      </w:r>
      <w:r>
        <w:rPr>
          <w:spacing w:val="-5"/>
        </w:rPr>
        <w:t> </w:t>
      </w:r>
      <w:r>
        <w:rPr/>
        <w:t>use</w:t>
      </w:r>
      <w:r>
        <w:rPr>
          <w:spacing w:val="-3"/>
        </w:rPr>
        <w:t> </w:t>
      </w:r>
      <w:r>
        <w:rPr/>
        <w:t>of</w:t>
      </w:r>
      <w:r>
        <w:rPr>
          <w:spacing w:val="-6"/>
        </w:rPr>
        <w:t> </w:t>
      </w:r>
      <w:r>
        <w:rPr/>
        <w:t>National</w:t>
      </w:r>
      <w:r>
        <w:rPr>
          <w:spacing w:val="-7"/>
        </w:rPr>
        <w:t> </w:t>
      </w:r>
      <w:r>
        <w:rPr/>
        <w:t>Forest</w:t>
      </w:r>
      <w:r>
        <w:rPr>
          <w:spacing w:val="-6"/>
        </w:rPr>
        <w:t> </w:t>
      </w:r>
      <w:r>
        <w:rPr/>
        <w:t>System</w:t>
      </w:r>
      <w:r>
        <w:rPr>
          <w:spacing w:val="-5"/>
        </w:rPr>
        <w:t> </w:t>
      </w:r>
      <w:r>
        <w:rPr/>
        <w:t>lands</w:t>
      </w:r>
      <w:r>
        <w:rPr>
          <w:spacing w:val="-4"/>
        </w:rPr>
        <w:t> </w:t>
      </w:r>
      <w:r>
        <w:rPr/>
        <w:t>is</w:t>
      </w:r>
      <w:r>
        <w:rPr>
          <w:spacing w:val="-4"/>
        </w:rPr>
        <w:t> </w:t>
      </w:r>
      <w:r>
        <w:rPr/>
        <w:t>affecting</w:t>
      </w:r>
      <w:r>
        <w:rPr>
          <w:spacing w:val="-5"/>
        </w:rPr>
        <w:t> </w:t>
      </w:r>
      <w:r>
        <w:rPr/>
        <w:t>our</w:t>
      </w:r>
      <w:r>
        <w:rPr>
          <w:spacing w:val="-4"/>
        </w:rPr>
        <w:t> </w:t>
      </w:r>
      <w:r>
        <w:rPr/>
        <w:t>ability</w:t>
      </w:r>
      <w:r>
        <w:rPr>
          <w:spacing w:val="-3"/>
        </w:rPr>
        <w:t> </w:t>
      </w:r>
      <w:r>
        <w:rPr/>
        <w:t>to</w:t>
      </w:r>
      <w:r>
        <w:rPr>
          <w:spacing w:val="-5"/>
        </w:rPr>
        <w:t> </w:t>
      </w:r>
      <w:r>
        <w:rPr/>
        <w:t>manage for federally protected species, such as the grizzly bear, woodland caribou, and bull trout.</w:t>
      </w:r>
    </w:p>
    <w:p>
      <w:pPr>
        <w:pStyle w:val="BodyText"/>
        <w:spacing w:before="7"/>
        <w:rPr>
          <w:sz w:val="15"/>
        </w:rPr>
      </w:pPr>
    </w:p>
    <w:p>
      <w:pPr>
        <w:pStyle w:val="BodyText"/>
        <w:ind w:left="1606"/>
        <w:rPr>
          <w:sz w:val="20"/>
        </w:rPr>
      </w:pPr>
      <w:r>
        <w:rPr>
          <w:sz w:val="20"/>
        </w:rPr>
        <w:drawing>
          <wp:inline distT="0" distB="0" distL="0" distR="0">
            <wp:extent cx="3850886" cy="2793492"/>
            <wp:effectExtent l="0" t="0" r="0" b="0"/>
            <wp:docPr id="54" name="Image 54" descr="photo courtesy of Brandon Weinmann"/>
            <wp:cNvGraphicFramePr>
              <a:graphicFrameLocks/>
            </wp:cNvGraphicFramePr>
            <a:graphic>
              <a:graphicData uri="http://schemas.openxmlformats.org/drawingml/2006/picture">
                <pic:pic>
                  <pic:nvPicPr>
                    <pic:cNvPr id="54" name="Image 54" descr="photo courtesy of Brandon Weinmann"/>
                    <pic:cNvPicPr/>
                  </pic:nvPicPr>
                  <pic:blipFill>
                    <a:blip r:embed="rId36" cstate="print"/>
                    <a:stretch>
                      <a:fillRect/>
                    </a:stretch>
                  </pic:blipFill>
                  <pic:spPr>
                    <a:xfrm>
                      <a:off x="0" y="0"/>
                      <a:ext cx="3850886" cy="2793492"/>
                    </a:xfrm>
                    <a:prstGeom prst="rect">
                      <a:avLst/>
                    </a:prstGeom>
                  </pic:spPr>
                </pic:pic>
              </a:graphicData>
            </a:graphic>
          </wp:inline>
        </w:drawing>
      </w:r>
      <w:r>
        <w:rPr>
          <w:sz w:val="20"/>
        </w:rPr>
      </w:r>
    </w:p>
    <w:p>
      <w:pPr>
        <w:pStyle w:val="BodyText"/>
        <w:spacing w:after="0"/>
        <w:rPr>
          <w:sz w:val="20"/>
        </w:rPr>
        <w:sectPr>
          <w:pgSz w:w="12240" w:h="15840"/>
          <w:pgMar w:header="725" w:footer="891" w:top="960" w:bottom="1080" w:left="1080" w:right="720"/>
        </w:sectPr>
      </w:pPr>
    </w:p>
    <w:p>
      <w:pPr>
        <w:pStyle w:val="BodyText"/>
        <w:spacing w:before="244"/>
      </w:pPr>
    </w:p>
    <w:p>
      <w:pPr>
        <w:pStyle w:val="Heading3"/>
        <w:ind w:left="359"/>
      </w:pPr>
      <w:bookmarkStart w:name="Insects and Pathogens" w:id="15"/>
      <w:bookmarkEnd w:id="15"/>
      <w:r>
        <w:rPr>
          <w:b w:val="0"/>
        </w:rPr>
      </w:r>
      <w:bookmarkStart w:name="_bookmark8" w:id="16"/>
      <w:bookmarkEnd w:id="16"/>
      <w:r>
        <w:rPr>
          <w:b w:val="0"/>
        </w:rPr>
      </w:r>
      <w:r>
        <w:rPr>
          <w:smallCaps/>
          <w:color w:val="475824"/>
        </w:rPr>
        <w:t>Insects</w:t>
      </w:r>
      <w:r>
        <w:rPr>
          <w:smallCaps/>
          <w:color w:val="475824"/>
          <w:spacing w:val="-4"/>
        </w:rPr>
        <w:t> </w:t>
      </w:r>
      <w:r>
        <w:rPr>
          <w:smallCaps/>
          <w:color w:val="475824"/>
        </w:rPr>
        <w:t>and</w:t>
      </w:r>
      <w:r>
        <w:rPr>
          <w:smallCaps/>
          <w:color w:val="475824"/>
          <w:spacing w:val="-7"/>
        </w:rPr>
        <w:t> </w:t>
      </w:r>
      <w:r>
        <w:rPr>
          <w:smallCaps/>
          <w:color w:val="475824"/>
          <w:spacing w:val="-2"/>
        </w:rPr>
        <w:t>Pathogens</w:t>
      </w:r>
    </w:p>
    <w:p>
      <w:pPr>
        <w:spacing w:before="47"/>
        <w:ind w:left="359" w:right="0" w:firstLine="0"/>
        <w:jc w:val="left"/>
        <w:rPr>
          <w:sz w:val="18"/>
        </w:rPr>
      </w:pPr>
      <w:r>
        <w:rPr/>
        <w:br w:type="column"/>
      </w:r>
      <w:r>
        <w:rPr>
          <w:sz w:val="18"/>
        </w:rPr>
        <w:t>Hanley</w:t>
      </w:r>
      <w:r>
        <w:rPr>
          <w:spacing w:val="-5"/>
          <w:sz w:val="18"/>
        </w:rPr>
        <w:t> </w:t>
      </w:r>
      <w:r>
        <w:rPr>
          <w:spacing w:val="-2"/>
          <w:sz w:val="18"/>
        </w:rPr>
        <w:t>Meadow</w:t>
      </w:r>
    </w:p>
    <w:p>
      <w:pPr>
        <w:spacing w:after="0"/>
        <w:jc w:val="left"/>
        <w:rPr>
          <w:sz w:val="18"/>
        </w:rPr>
        <w:sectPr>
          <w:type w:val="continuous"/>
          <w:pgSz w:w="12240" w:h="15840"/>
          <w:pgMar w:header="725" w:footer="891" w:top="1440" w:bottom="280" w:left="1080" w:right="720"/>
          <w:cols w:num="2" w:equalWidth="0">
            <w:col w:w="3393" w:space="287"/>
            <w:col w:w="6760"/>
          </w:cols>
        </w:sectPr>
      </w:pPr>
    </w:p>
    <w:p>
      <w:pPr>
        <w:pStyle w:val="BodyText"/>
        <w:spacing w:line="232" w:lineRule="auto" w:before="64"/>
        <w:ind w:left="359" w:right="1445"/>
      </w:pPr>
      <w:r>
        <w:rPr/>
        <w:t>Insects and pathogens are a natural part of a functioning ecosystem. However, impacts from them can be exacerbated when stands are over stocked and stand structures and species composition</w:t>
      </w:r>
      <w:r>
        <w:rPr>
          <w:spacing w:val="-5"/>
        </w:rPr>
        <w:t> </w:t>
      </w:r>
      <w:r>
        <w:rPr/>
        <w:t>favor</w:t>
      </w:r>
      <w:r>
        <w:rPr>
          <w:spacing w:val="-4"/>
        </w:rPr>
        <w:t> </w:t>
      </w:r>
      <w:r>
        <w:rPr/>
        <w:t>the</w:t>
      </w:r>
      <w:r>
        <w:rPr>
          <w:spacing w:val="-6"/>
        </w:rPr>
        <w:t> </w:t>
      </w:r>
      <w:r>
        <w:rPr/>
        <w:t>insect</w:t>
      </w:r>
      <w:r>
        <w:rPr>
          <w:spacing w:val="-4"/>
        </w:rPr>
        <w:t> </w:t>
      </w:r>
      <w:r>
        <w:rPr/>
        <w:t>or</w:t>
      </w:r>
      <w:r>
        <w:rPr>
          <w:spacing w:val="-6"/>
        </w:rPr>
        <w:t> </w:t>
      </w:r>
      <w:r>
        <w:rPr/>
        <w:t>pathogens.</w:t>
      </w:r>
      <w:r>
        <w:rPr>
          <w:spacing w:val="-4"/>
        </w:rPr>
        <w:t> </w:t>
      </w:r>
      <w:r>
        <w:rPr/>
        <w:t>In</w:t>
      </w:r>
      <w:r>
        <w:rPr>
          <w:spacing w:val="-7"/>
        </w:rPr>
        <w:t> </w:t>
      </w:r>
      <w:r>
        <w:rPr/>
        <w:t>addition,</w:t>
      </w:r>
      <w:r>
        <w:rPr>
          <w:spacing w:val="-4"/>
        </w:rPr>
        <w:t> </w:t>
      </w:r>
      <w:r>
        <w:rPr/>
        <w:t>the</w:t>
      </w:r>
      <w:r>
        <w:rPr>
          <w:spacing w:val="-4"/>
        </w:rPr>
        <w:t> </w:t>
      </w:r>
      <w:r>
        <w:rPr/>
        <w:t>introduction</w:t>
      </w:r>
      <w:r>
        <w:rPr>
          <w:spacing w:val="-7"/>
        </w:rPr>
        <w:t> </w:t>
      </w:r>
      <w:r>
        <w:rPr/>
        <w:t>of</w:t>
      </w:r>
      <w:r>
        <w:rPr>
          <w:spacing w:val="-4"/>
        </w:rPr>
        <w:t> </w:t>
      </w:r>
      <w:r>
        <w:rPr/>
        <w:t>the</w:t>
      </w:r>
      <w:r>
        <w:rPr>
          <w:spacing w:val="-4"/>
        </w:rPr>
        <w:t> </w:t>
      </w:r>
      <w:r>
        <w:rPr/>
        <w:t>non-native</w:t>
      </w:r>
      <w:r>
        <w:rPr>
          <w:spacing w:val="-6"/>
        </w:rPr>
        <w:t> </w:t>
      </w:r>
      <w:r>
        <w:rPr/>
        <w:t>white pine blister rust has decreased the presence and regeneration levels of the five needle pines.</w:t>
      </w:r>
    </w:p>
    <w:p>
      <w:pPr>
        <w:pStyle w:val="BodyText"/>
        <w:spacing w:line="232" w:lineRule="auto"/>
        <w:ind w:left="359" w:right="1445"/>
      </w:pPr>
      <w:r>
        <w:rPr/>
        <w:t>Additionally</w:t>
      </w:r>
      <w:r>
        <w:rPr>
          <w:spacing w:val="-2"/>
        </w:rPr>
        <w:t> </w:t>
      </w:r>
      <w:r>
        <w:rPr/>
        <w:t>the</w:t>
      </w:r>
      <w:r>
        <w:rPr>
          <w:spacing w:val="-2"/>
        </w:rPr>
        <w:t> </w:t>
      </w:r>
      <w:r>
        <w:rPr/>
        <w:t>non-native</w:t>
      </w:r>
      <w:r>
        <w:rPr>
          <w:spacing w:val="-4"/>
        </w:rPr>
        <w:t> </w:t>
      </w:r>
      <w:r>
        <w:rPr/>
        <w:t>balsam</w:t>
      </w:r>
      <w:r>
        <w:rPr>
          <w:spacing w:val="-4"/>
        </w:rPr>
        <w:t> </w:t>
      </w:r>
      <w:r>
        <w:rPr/>
        <w:t>woolly</w:t>
      </w:r>
      <w:r>
        <w:rPr>
          <w:spacing w:val="-4"/>
        </w:rPr>
        <w:t> </w:t>
      </w:r>
      <w:r>
        <w:rPr/>
        <w:t>adelgid</w:t>
      </w:r>
      <w:r>
        <w:rPr>
          <w:spacing w:val="-3"/>
        </w:rPr>
        <w:t> </w:t>
      </w:r>
      <w:r>
        <w:rPr/>
        <w:t>is</w:t>
      </w:r>
      <w:r>
        <w:rPr>
          <w:spacing w:val="-5"/>
        </w:rPr>
        <w:t> </w:t>
      </w:r>
      <w:r>
        <w:rPr/>
        <w:t>changing</w:t>
      </w:r>
      <w:r>
        <w:rPr>
          <w:spacing w:val="-4"/>
        </w:rPr>
        <w:t> </w:t>
      </w:r>
      <w:r>
        <w:rPr/>
        <w:t>some</w:t>
      </w:r>
      <w:r>
        <w:rPr>
          <w:spacing w:val="-5"/>
        </w:rPr>
        <w:t> </w:t>
      </w:r>
      <w:r>
        <w:rPr/>
        <w:t>of</w:t>
      </w:r>
      <w:r>
        <w:rPr>
          <w:spacing w:val="-5"/>
        </w:rPr>
        <w:t> </w:t>
      </w:r>
      <w:r>
        <w:rPr/>
        <w:t>the</w:t>
      </w:r>
      <w:r>
        <w:rPr>
          <w:spacing w:val="-5"/>
        </w:rPr>
        <w:t> </w:t>
      </w:r>
      <w:r>
        <w:rPr/>
        <w:t>true</w:t>
      </w:r>
      <w:r>
        <w:rPr>
          <w:spacing w:val="-2"/>
        </w:rPr>
        <w:t> </w:t>
      </w:r>
      <w:r>
        <w:rPr/>
        <w:t>fir</w:t>
      </w:r>
      <w:r>
        <w:rPr>
          <w:spacing w:val="-3"/>
        </w:rPr>
        <w:t> </w:t>
      </w:r>
      <w:r>
        <w:rPr/>
        <w:t>species </w:t>
      </w:r>
      <w:r>
        <w:rPr>
          <w:spacing w:val="-2"/>
        </w:rPr>
        <w:t>presence.</w:t>
      </w:r>
    </w:p>
    <w:p>
      <w:pPr>
        <w:pStyle w:val="BodyText"/>
        <w:spacing w:line="232" w:lineRule="auto" w:before="196"/>
        <w:ind w:left="359" w:right="1621"/>
      </w:pPr>
      <w:r>
        <w:rPr/>
        <w:t>We</w:t>
      </w:r>
      <w:r>
        <w:rPr>
          <w:spacing w:val="-7"/>
        </w:rPr>
        <w:t> </w:t>
      </w:r>
      <w:r>
        <w:rPr/>
        <w:t>have</w:t>
      </w:r>
      <w:r>
        <w:rPr>
          <w:spacing w:val="-7"/>
        </w:rPr>
        <w:t> </w:t>
      </w:r>
      <w:r>
        <w:rPr/>
        <w:t>identified</w:t>
      </w:r>
      <w:r>
        <w:rPr>
          <w:spacing w:val="-8"/>
        </w:rPr>
        <w:t> </w:t>
      </w:r>
      <w:r>
        <w:rPr/>
        <w:t>wildfire</w:t>
      </w:r>
      <w:r>
        <w:rPr>
          <w:spacing w:val="-9"/>
        </w:rPr>
        <w:t> </w:t>
      </w:r>
      <w:r>
        <w:rPr/>
        <w:t>exclusion,</w:t>
      </w:r>
      <w:r>
        <w:rPr>
          <w:spacing w:val="-7"/>
        </w:rPr>
        <w:t> </w:t>
      </w:r>
      <w:r>
        <w:rPr/>
        <w:t>historic</w:t>
      </w:r>
      <w:r>
        <w:rPr>
          <w:spacing w:val="-8"/>
        </w:rPr>
        <w:t> </w:t>
      </w:r>
      <w:r>
        <w:rPr/>
        <w:t>grazing</w:t>
      </w:r>
      <w:r>
        <w:rPr>
          <w:spacing w:val="-8"/>
        </w:rPr>
        <w:t> </w:t>
      </w:r>
      <w:r>
        <w:rPr/>
        <w:t>practices,</w:t>
      </w:r>
      <w:r>
        <w:rPr>
          <w:spacing w:val="-9"/>
        </w:rPr>
        <w:t> </w:t>
      </w:r>
      <w:r>
        <w:rPr/>
        <w:t>and</w:t>
      </w:r>
      <w:r>
        <w:rPr>
          <w:spacing w:val="-8"/>
        </w:rPr>
        <w:t> </w:t>
      </w:r>
      <w:r>
        <w:rPr/>
        <w:t>historic</w:t>
      </w:r>
      <w:r>
        <w:rPr>
          <w:spacing w:val="-7"/>
        </w:rPr>
        <w:t> </w:t>
      </w:r>
      <w:r>
        <w:rPr/>
        <w:t>timber</w:t>
      </w:r>
      <w:r>
        <w:rPr>
          <w:spacing w:val="-8"/>
        </w:rPr>
        <w:t> </w:t>
      </w:r>
      <w:r>
        <w:rPr/>
        <w:t>harvesting as the principal factors resulting in increased live tree stocking levels, increased levels of mid and late seral species, and homogenization of spatial patterns. These factors contribute to</w:t>
      </w:r>
    </w:p>
    <w:p>
      <w:pPr>
        <w:pStyle w:val="BodyText"/>
        <w:spacing w:after="0" w:line="232" w:lineRule="auto"/>
        <w:sectPr>
          <w:type w:val="continuous"/>
          <w:pgSz w:w="12240" w:h="15840"/>
          <w:pgMar w:header="725" w:footer="891" w:top="1440" w:bottom="280" w:left="1080" w:right="720"/>
        </w:sectPr>
      </w:pPr>
    </w:p>
    <w:p>
      <w:pPr>
        <w:pStyle w:val="BodyText"/>
        <w:spacing w:before="212"/>
      </w:pPr>
    </w:p>
    <w:p>
      <w:pPr>
        <w:pStyle w:val="BodyText"/>
        <w:spacing w:line="232" w:lineRule="auto"/>
        <w:ind w:left="1151" w:right="742"/>
      </w:pPr>
      <w:r>
        <w:rPr/>
        <w:t>uncharacteristic conditions that support larger scale and more persistent insect outbreaks (Hessburg</w:t>
      </w:r>
      <w:r>
        <w:rPr>
          <w:spacing w:val="-7"/>
        </w:rPr>
        <w:t> </w:t>
      </w:r>
      <w:r>
        <w:rPr/>
        <w:t>et</w:t>
      </w:r>
      <w:r>
        <w:rPr>
          <w:spacing w:val="-3"/>
        </w:rPr>
        <w:t> </w:t>
      </w:r>
      <w:r>
        <w:rPr/>
        <w:t>al.</w:t>
      </w:r>
      <w:r>
        <w:rPr>
          <w:spacing w:val="-7"/>
        </w:rPr>
        <w:t> </w:t>
      </w:r>
      <w:r>
        <w:rPr/>
        <w:t>1994).</w:t>
      </w:r>
      <w:r>
        <w:rPr>
          <w:spacing w:val="-4"/>
        </w:rPr>
        <w:t> </w:t>
      </w:r>
      <w:r>
        <w:rPr/>
        <w:t>These</w:t>
      </w:r>
      <w:r>
        <w:rPr>
          <w:spacing w:val="-3"/>
        </w:rPr>
        <w:t> </w:t>
      </w:r>
      <w:r>
        <w:rPr/>
        <w:t>factors</w:t>
      </w:r>
      <w:r>
        <w:rPr>
          <w:spacing w:val="-4"/>
        </w:rPr>
        <w:t> </w:t>
      </w:r>
      <w:r>
        <w:rPr/>
        <w:t>also</w:t>
      </w:r>
      <w:r>
        <w:rPr>
          <w:spacing w:val="-3"/>
        </w:rPr>
        <w:t> </w:t>
      </w:r>
      <w:r>
        <w:rPr/>
        <w:t>lead</w:t>
      </w:r>
      <w:r>
        <w:rPr>
          <w:spacing w:val="-7"/>
        </w:rPr>
        <w:t> </w:t>
      </w:r>
      <w:r>
        <w:rPr/>
        <w:t>to</w:t>
      </w:r>
      <w:r>
        <w:rPr>
          <w:spacing w:val="-5"/>
        </w:rPr>
        <w:t> </w:t>
      </w:r>
      <w:r>
        <w:rPr/>
        <w:t>stand</w:t>
      </w:r>
      <w:r>
        <w:rPr>
          <w:spacing w:val="-5"/>
        </w:rPr>
        <w:t> </w:t>
      </w:r>
      <w:r>
        <w:rPr/>
        <w:t>conditions</w:t>
      </w:r>
      <w:r>
        <w:rPr>
          <w:spacing w:val="-6"/>
        </w:rPr>
        <w:t> </w:t>
      </w:r>
      <w:r>
        <w:rPr/>
        <w:t>that</w:t>
      </w:r>
      <w:r>
        <w:rPr>
          <w:spacing w:val="-3"/>
        </w:rPr>
        <w:t> </w:t>
      </w:r>
      <w:r>
        <w:rPr/>
        <w:t>cause</w:t>
      </w:r>
      <w:r>
        <w:rPr>
          <w:spacing w:val="-3"/>
        </w:rPr>
        <w:t> </w:t>
      </w:r>
      <w:r>
        <w:rPr/>
        <w:t>an</w:t>
      </w:r>
      <w:r>
        <w:rPr>
          <w:spacing w:val="-5"/>
        </w:rPr>
        <w:t> </w:t>
      </w:r>
      <w:r>
        <w:rPr/>
        <w:t>increase</w:t>
      </w:r>
      <w:r>
        <w:rPr>
          <w:spacing w:val="-6"/>
        </w:rPr>
        <w:t> </w:t>
      </w:r>
      <w:r>
        <w:rPr/>
        <w:t>of</w:t>
      </w:r>
      <w:r>
        <w:rPr>
          <w:spacing w:val="-6"/>
        </w:rPr>
        <w:t> </w:t>
      </w:r>
      <w:r>
        <w:rPr/>
        <w:t>tree growth loss and mortality by native root diseases and dwarf mistletoes. Acreage affected by insects and disease has consistently exceeded acreage affected by wildfire in the Colville National Forest.</w:t>
      </w:r>
    </w:p>
    <w:p>
      <w:pPr>
        <w:pStyle w:val="BodyText"/>
        <w:spacing w:line="232" w:lineRule="auto" w:before="198"/>
        <w:ind w:left="1151" w:right="801"/>
      </w:pPr>
      <w:r>
        <w:rPr/>
        <w:t>The</w:t>
      </w:r>
      <w:r>
        <w:rPr>
          <w:spacing w:val="-2"/>
        </w:rPr>
        <w:t> </w:t>
      </w:r>
      <w:r>
        <w:rPr/>
        <w:t>interaction</w:t>
      </w:r>
      <w:r>
        <w:rPr>
          <w:spacing w:val="-6"/>
        </w:rPr>
        <w:t> </w:t>
      </w:r>
      <w:r>
        <w:rPr/>
        <w:t>of</w:t>
      </w:r>
      <w:r>
        <w:rPr>
          <w:spacing w:val="-3"/>
        </w:rPr>
        <w:t> </w:t>
      </w:r>
      <w:r>
        <w:rPr/>
        <w:t>increased</w:t>
      </w:r>
      <w:r>
        <w:rPr>
          <w:spacing w:val="-4"/>
        </w:rPr>
        <w:t> </w:t>
      </w:r>
      <w:r>
        <w:rPr/>
        <w:t>tree</w:t>
      </w:r>
      <w:r>
        <w:rPr>
          <w:spacing w:val="-5"/>
        </w:rPr>
        <w:t> </w:t>
      </w:r>
      <w:r>
        <w:rPr/>
        <w:t>density,</w:t>
      </w:r>
      <w:r>
        <w:rPr>
          <w:spacing w:val="-5"/>
        </w:rPr>
        <w:t> </w:t>
      </w:r>
      <w:r>
        <w:rPr/>
        <w:t>stand</w:t>
      </w:r>
      <w:r>
        <w:rPr>
          <w:spacing w:val="-4"/>
        </w:rPr>
        <w:t> </w:t>
      </w:r>
      <w:r>
        <w:rPr/>
        <w:t>structures</w:t>
      </w:r>
      <w:r>
        <w:rPr>
          <w:spacing w:val="-3"/>
        </w:rPr>
        <w:t> </w:t>
      </w:r>
      <w:r>
        <w:rPr/>
        <w:t>and</w:t>
      </w:r>
      <w:r>
        <w:rPr>
          <w:spacing w:val="-4"/>
        </w:rPr>
        <w:t> </w:t>
      </w:r>
      <w:r>
        <w:rPr/>
        <w:t>species</w:t>
      </w:r>
      <w:r>
        <w:rPr>
          <w:spacing w:val="-3"/>
        </w:rPr>
        <w:t> </w:t>
      </w:r>
      <w:r>
        <w:rPr/>
        <w:t>compositions</w:t>
      </w:r>
      <w:r>
        <w:rPr>
          <w:spacing w:val="-3"/>
        </w:rPr>
        <w:t> </w:t>
      </w:r>
      <w:r>
        <w:rPr/>
        <w:t>that</w:t>
      </w:r>
      <w:r>
        <w:rPr>
          <w:spacing w:val="-5"/>
        </w:rPr>
        <w:t> </w:t>
      </w:r>
      <w:r>
        <w:rPr/>
        <w:t>favor root disease and dwarf mistletoe spread, increased insect levels of both defoliators and bark beetles,</w:t>
      </w:r>
      <w:r>
        <w:rPr>
          <w:spacing w:val="-4"/>
        </w:rPr>
        <w:t> </w:t>
      </w:r>
      <w:r>
        <w:rPr/>
        <w:t>increased</w:t>
      </w:r>
      <w:r>
        <w:rPr>
          <w:spacing w:val="-5"/>
        </w:rPr>
        <w:t> </w:t>
      </w:r>
      <w:r>
        <w:rPr/>
        <w:t>fuel</w:t>
      </w:r>
      <w:r>
        <w:rPr>
          <w:spacing w:val="-4"/>
        </w:rPr>
        <w:t> </w:t>
      </w:r>
      <w:r>
        <w:rPr/>
        <w:t>levels,</w:t>
      </w:r>
      <w:r>
        <w:rPr>
          <w:spacing w:val="-4"/>
        </w:rPr>
        <w:t> </w:t>
      </w:r>
      <w:r>
        <w:rPr/>
        <w:t>and</w:t>
      </w:r>
      <w:r>
        <w:rPr>
          <w:spacing w:val="-5"/>
        </w:rPr>
        <w:t> </w:t>
      </w:r>
      <w:r>
        <w:rPr/>
        <w:t>climate</w:t>
      </w:r>
      <w:r>
        <w:rPr>
          <w:spacing w:val="-6"/>
        </w:rPr>
        <w:t> </w:t>
      </w:r>
      <w:r>
        <w:rPr/>
        <w:t>change</w:t>
      </w:r>
      <w:r>
        <w:rPr>
          <w:spacing w:val="-3"/>
        </w:rPr>
        <w:t> </w:t>
      </w:r>
      <w:r>
        <w:rPr/>
        <w:t>impacts</w:t>
      </w:r>
      <w:r>
        <w:rPr>
          <w:spacing w:val="-4"/>
        </w:rPr>
        <w:t> </w:t>
      </w:r>
      <w:r>
        <w:rPr/>
        <w:t>such</w:t>
      </w:r>
      <w:r>
        <w:rPr>
          <w:spacing w:val="-5"/>
        </w:rPr>
        <w:t> </w:t>
      </w:r>
      <w:r>
        <w:rPr/>
        <w:t>as</w:t>
      </w:r>
      <w:r>
        <w:rPr>
          <w:spacing w:val="-3"/>
        </w:rPr>
        <w:t> </w:t>
      </w:r>
      <w:r>
        <w:rPr/>
        <w:t>water</w:t>
      </w:r>
      <w:r>
        <w:rPr>
          <w:spacing w:val="-4"/>
        </w:rPr>
        <w:t> </w:t>
      </w:r>
      <w:r>
        <w:rPr/>
        <w:t>stress</w:t>
      </w:r>
      <w:hyperlink w:history="true" w:anchor="_bookmark11">
        <w:r>
          <w:rPr>
            <w:vertAlign w:val="superscript"/>
          </w:rPr>
          <w:t>1</w:t>
        </w:r>
      </w:hyperlink>
      <w:r>
        <w:rPr>
          <w:spacing w:val="-5"/>
          <w:vertAlign w:val="baseline"/>
        </w:rPr>
        <w:t> </w:t>
      </w:r>
      <w:r>
        <w:rPr>
          <w:vertAlign w:val="baseline"/>
        </w:rPr>
        <w:t>are</w:t>
      </w:r>
      <w:r>
        <w:rPr>
          <w:spacing w:val="-3"/>
          <w:vertAlign w:val="baseline"/>
        </w:rPr>
        <w:t> </w:t>
      </w:r>
      <w:r>
        <w:rPr>
          <w:vertAlign w:val="baseline"/>
        </w:rPr>
        <w:t>influencing the levels of current late forest structures and will continue to influence future late forest structure</w:t>
      </w:r>
      <w:r>
        <w:rPr>
          <w:spacing w:val="-1"/>
          <w:vertAlign w:val="baseline"/>
        </w:rPr>
        <w:t> </w:t>
      </w:r>
      <w:r>
        <w:rPr>
          <w:vertAlign w:val="baseline"/>
        </w:rPr>
        <w:t>development. White pine blister rust</w:t>
      </w:r>
      <w:r>
        <w:rPr>
          <w:spacing w:val="-1"/>
          <w:vertAlign w:val="baseline"/>
        </w:rPr>
        <w:t> </w:t>
      </w:r>
      <w:r>
        <w:rPr>
          <w:vertAlign w:val="baseline"/>
        </w:rPr>
        <w:t>has widespread impact</w:t>
      </w:r>
      <w:r>
        <w:rPr>
          <w:spacing w:val="-1"/>
          <w:vertAlign w:val="baseline"/>
        </w:rPr>
        <w:t> </w:t>
      </w:r>
      <w:r>
        <w:rPr>
          <w:vertAlign w:val="baseline"/>
        </w:rPr>
        <w:t>on forest</w:t>
      </w:r>
      <w:r>
        <w:rPr>
          <w:spacing w:val="-1"/>
          <w:vertAlign w:val="baseline"/>
        </w:rPr>
        <w:t> </w:t>
      </w:r>
      <w:r>
        <w:rPr>
          <w:vertAlign w:val="baseline"/>
        </w:rPr>
        <w:t>structure</w:t>
      </w:r>
      <w:r>
        <w:rPr>
          <w:spacing w:val="-1"/>
          <w:vertAlign w:val="baseline"/>
        </w:rPr>
        <w:t> </w:t>
      </w:r>
      <w:r>
        <w:rPr>
          <w:vertAlign w:val="baseline"/>
        </w:rPr>
        <w:t>and composition that have forest health consequences beyond the disease itself.</w:t>
      </w:r>
    </w:p>
    <w:p>
      <w:pPr>
        <w:pStyle w:val="Heading3"/>
        <w:spacing w:before="232"/>
      </w:pPr>
      <w:bookmarkStart w:name="Invasive Species" w:id="17"/>
      <w:bookmarkEnd w:id="17"/>
      <w:r>
        <w:rPr>
          <w:b w:val="0"/>
        </w:rPr>
      </w:r>
      <w:bookmarkStart w:name="_bookmark9" w:id="18"/>
      <w:bookmarkEnd w:id="18"/>
      <w:r>
        <w:rPr>
          <w:b w:val="0"/>
        </w:rPr>
      </w:r>
      <w:r>
        <w:rPr>
          <w:smallCaps/>
          <w:color w:val="475824"/>
        </w:rPr>
        <w:t>Invasive</w:t>
      </w:r>
      <w:r>
        <w:rPr>
          <w:smallCaps/>
          <w:color w:val="475824"/>
          <w:spacing w:val="-7"/>
        </w:rPr>
        <w:t> </w:t>
      </w:r>
      <w:r>
        <w:rPr>
          <w:smallCaps/>
          <w:color w:val="475824"/>
          <w:spacing w:val="-2"/>
        </w:rPr>
        <w:t>Species</w:t>
      </w:r>
    </w:p>
    <w:p>
      <w:pPr>
        <w:pStyle w:val="BodyText"/>
        <w:spacing w:line="232" w:lineRule="auto" w:before="64"/>
        <w:ind w:left="1151" w:right="742"/>
      </w:pPr>
      <w:r>
        <w:rPr/>
        <w:t>National</w:t>
      </w:r>
      <w:r>
        <w:rPr>
          <w:spacing w:val="-6"/>
        </w:rPr>
        <w:t> </w:t>
      </w:r>
      <w:r>
        <w:rPr/>
        <w:t>invasive</w:t>
      </w:r>
      <w:r>
        <w:rPr>
          <w:spacing w:val="-7"/>
        </w:rPr>
        <w:t> </w:t>
      </w:r>
      <w:r>
        <w:rPr/>
        <w:t>species</w:t>
      </w:r>
      <w:r>
        <w:rPr>
          <w:spacing w:val="-7"/>
        </w:rPr>
        <w:t> </w:t>
      </w:r>
      <w:r>
        <w:rPr/>
        <w:t>management</w:t>
      </w:r>
      <w:r>
        <w:rPr>
          <w:spacing w:val="-5"/>
        </w:rPr>
        <w:t> </w:t>
      </w:r>
      <w:r>
        <w:rPr/>
        <w:t>direction</w:t>
      </w:r>
      <w:r>
        <w:rPr>
          <w:spacing w:val="-6"/>
        </w:rPr>
        <w:t> </w:t>
      </w:r>
      <w:r>
        <w:rPr/>
        <w:t>is</w:t>
      </w:r>
      <w:r>
        <w:rPr>
          <w:spacing w:val="-6"/>
        </w:rPr>
        <w:t> </w:t>
      </w:r>
      <w:r>
        <w:rPr/>
        <w:t>provided</w:t>
      </w:r>
      <w:r>
        <w:rPr>
          <w:spacing w:val="-6"/>
        </w:rPr>
        <w:t> </w:t>
      </w:r>
      <w:r>
        <w:rPr/>
        <w:t>by</w:t>
      </w:r>
      <w:r>
        <w:rPr>
          <w:spacing w:val="-5"/>
        </w:rPr>
        <w:t> </w:t>
      </w:r>
      <w:r>
        <w:rPr/>
        <w:t>Forest</w:t>
      </w:r>
      <w:r>
        <w:rPr>
          <w:spacing w:val="-5"/>
        </w:rPr>
        <w:t> </w:t>
      </w:r>
      <w:r>
        <w:rPr/>
        <w:t>Service</w:t>
      </w:r>
      <w:r>
        <w:rPr>
          <w:spacing w:val="-7"/>
        </w:rPr>
        <w:t> </w:t>
      </w:r>
      <w:r>
        <w:rPr/>
        <w:t>Manual</w:t>
      </w:r>
      <w:r>
        <w:rPr>
          <w:spacing w:val="-6"/>
        </w:rPr>
        <w:t> </w:t>
      </w:r>
      <w:r>
        <w:rPr/>
        <w:t>2900.</w:t>
      </w:r>
      <w:r>
        <w:rPr>
          <w:spacing w:val="-8"/>
        </w:rPr>
        <w:t> </w:t>
      </w:r>
      <w:r>
        <w:rPr/>
        <w:t>The objectives for aquatic and terrestrial invasive species management (including vertebrates, invertebrates, plants, and pathogens) in the Forest Plan are based upon an integrated pest management approach on all areas within the National Forest System, and on areas managed outside of the National Forest System under the authority of the Wyden Amendment (P.L.</w:t>
      </w:r>
      <w:r>
        <w:rPr>
          <w:spacing w:val="-1"/>
        </w:rPr>
        <w:t> </w:t>
      </w:r>
      <w:r>
        <w:rPr/>
        <w:t>109- 54, Section 434), prioritizing prevention and early detection and rapid response actions as </w:t>
      </w:r>
      <w:r>
        <w:rPr>
          <w:spacing w:val="-2"/>
        </w:rPr>
        <w:t>necessary.</w:t>
      </w:r>
    </w:p>
    <w:p>
      <w:pPr>
        <w:pStyle w:val="BodyText"/>
        <w:spacing w:line="232" w:lineRule="auto" w:before="197"/>
        <w:ind w:left="1151" w:right="742"/>
      </w:pPr>
      <w:r>
        <w:rPr/>
        <w:t>Currently, approximately 20,000 acres of invasive plants exist on the Colville National Forest. Class A</w:t>
      </w:r>
      <w:hyperlink w:history="true" w:anchor="_bookmark12">
        <w:r>
          <w:rPr>
            <w:vertAlign w:val="superscript"/>
          </w:rPr>
          <w:t>2</w:t>
        </w:r>
      </w:hyperlink>
      <w:r>
        <w:rPr>
          <w:vertAlign w:val="baseline"/>
        </w:rPr>
        <w:t> noxious weeds and invasive plants near wilderness, RNAs and</w:t>
      </w:r>
      <w:r>
        <w:rPr>
          <w:spacing w:val="-1"/>
          <w:vertAlign w:val="baseline"/>
        </w:rPr>
        <w:t> </w:t>
      </w:r>
      <w:r>
        <w:rPr>
          <w:vertAlign w:val="baseline"/>
        </w:rPr>
        <w:t>other unique areas are a priority for treatment. Invasive animals such as feral pig are a high priority for prevention and early</w:t>
      </w:r>
      <w:r>
        <w:rPr>
          <w:spacing w:val="-4"/>
          <w:vertAlign w:val="baseline"/>
        </w:rPr>
        <w:t> </w:t>
      </w:r>
      <w:r>
        <w:rPr>
          <w:vertAlign w:val="baseline"/>
        </w:rPr>
        <w:t>detection</w:t>
      </w:r>
      <w:r>
        <w:rPr>
          <w:spacing w:val="-6"/>
          <w:vertAlign w:val="baseline"/>
        </w:rPr>
        <w:t> </w:t>
      </w:r>
      <w:r>
        <w:rPr>
          <w:vertAlign w:val="baseline"/>
        </w:rPr>
        <w:t>and</w:t>
      </w:r>
      <w:r>
        <w:rPr>
          <w:spacing w:val="-6"/>
          <w:vertAlign w:val="baseline"/>
        </w:rPr>
        <w:t> </w:t>
      </w:r>
      <w:r>
        <w:rPr>
          <w:vertAlign w:val="baseline"/>
        </w:rPr>
        <w:t>rapid</w:t>
      </w:r>
      <w:r>
        <w:rPr>
          <w:spacing w:val="-6"/>
          <w:vertAlign w:val="baseline"/>
        </w:rPr>
        <w:t> </w:t>
      </w:r>
      <w:r>
        <w:rPr>
          <w:vertAlign w:val="baseline"/>
        </w:rPr>
        <w:t>response.</w:t>
      </w:r>
      <w:r>
        <w:rPr>
          <w:spacing w:val="-7"/>
          <w:vertAlign w:val="baseline"/>
        </w:rPr>
        <w:t> </w:t>
      </w:r>
      <w:r>
        <w:rPr>
          <w:vertAlign w:val="baseline"/>
        </w:rPr>
        <w:t>Aquatic</w:t>
      </w:r>
      <w:r>
        <w:rPr>
          <w:spacing w:val="-5"/>
          <w:vertAlign w:val="baseline"/>
        </w:rPr>
        <w:t> </w:t>
      </w:r>
      <w:r>
        <w:rPr>
          <w:vertAlign w:val="baseline"/>
        </w:rPr>
        <w:t>invasives</w:t>
      </w:r>
      <w:r>
        <w:rPr>
          <w:spacing w:val="-9"/>
          <w:vertAlign w:val="baseline"/>
        </w:rPr>
        <w:t> </w:t>
      </w:r>
      <w:r>
        <w:rPr>
          <w:vertAlign w:val="baseline"/>
        </w:rPr>
        <w:t>such</w:t>
      </w:r>
      <w:r>
        <w:rPr>
          <w:spacing w:val="-6"/>
          <w:vertAlign w:val="baseline"/>
        </w:rPr>
        <w:t> </w:t>
      </w:r>
      <w:r>
        <w:rPr>
          <w:vertAlign w:val="baseline"/>
        </w:rPr>
        <w:t>as</w:t>
      </w:r>
      <w:r>
        <w:rPr>
          <w:spacing w:val="-5"/>
          <w:vertAlign w:val="baseline"/>
        </w:rPr>
        <w:t> </w:t>
      </w:r>
      <w:r>
        <w:rPr>
          <w:vertAlign w:val="baseline"/>
        </w:rPr>
        <w:t>quagga</w:t>
      </w:r>
      <w:r>
        <w:rPr>
          <w:spacing w:val="-5"/>
          <w:vertAlign w:val="baseline"/>
        </w:rPr>
        <w:t> </w:t>
      </w:r>
      <w:r>
        <w:rPr>
          <w:vertAlign w:val="baseline"/>
        </w:rPr>
        <w:t>and</w:t>
      </w:r>
      <w:r>
        <w:rPr>
          <w:spacing w:val="-6"/>
          <w:vertAlign w:val="baseline"/>
        </w:rPr>
        <w:t> </w:t>
      </w:r>
      <w:r>
        <w:rPr>
          <w:vertAlign w:val="baseline"/>
        </w:rPr>
        <w:t>zebra</w:t>
      </w:r>
      <w:r>
        <w:rPr>
          <w:spacing w:val="-6"/>
          <w:vertAlign w:val="baseline"/>
        </w:rPr>
        <w:t> </w:t>
      </w:r>
      <w:r>
        <w:rPr>
          <w:vertAlign w:val="baseline"/>
        </w:rPr>
        <w:t>mussels</w:t>
      </w:r>
      <w:r>
        <w:rPr>
          <w:spacing w:val="-6"/>
          <w:vertAlign w:val="baseline"/>
        </w:rPr>
        <w:t> </w:t>
      </w:r>
      <w:r>
        <w:rPr>
          <w:vertAlign w:val="baseline"/>
        </w:rPr>
        <w:t>are</w:t>
      </w:r>
      <w:r>
        <w:rPr>
          <w:spacing w:val="-6"/>
          <w:vertAlign w:val="baseline"/>
        </w:rPr>
        <w:t> </w:t>
      </w:r>
      <w:r>
        <w:rPr>
          <w:vertAlign w:val="baseline"/>
        </w:rPr>
        <w:t>also a high priority for prevention and early detection and rapid response. Invasive insects such as Asian longhorned beetle also pose a threat of serious impact to forest conditions. Pathogens such as exotic root diseases may also target a specific species of native tree and result in widespread damage. Funding to treat known invasive populations has not kept pace with their spread, capacity to treat known risks, and fully implement early detection and rapid response.</w:t>
      </w:r>
    </w:p>
    <w:p>
      <w:pPr>
        <w:pStyle w:val="Heading3"/>
        <w:spacing w:before="231"/>
      </w:pPr>
      <w:bookmarkStart w:name="Fire Management" w:id="19"/>
      <w:bookmarkEnd w:id="19"/>
      <w:r>
        <w:rPr>
          <w:b w:val="0"/>
        </w:rPr>
      </w:r>
      <w:bookmarkStart w:name="_bookmark10" w:id="20"/>
      <w:bookmarkEnd w:id="20"/>
      <w:r>
        <w:rPr>
          <w:b w:val="0"/>
        </w:rPr>
      </w:r>
      <w:r>
        <w:rPr>
          <w:smallCaps/>
          <w:color w:val="475824"/>
        </w:rPr>
        <w:t>Fire</w:t>
      </w:r>
      <w:r>
        <w:rPr>
          <w:smallCaps/>
          <w:color w:val="475824"/>
          <w:spacing w:val="-4"/>
        </w:rPr>
        <w:t> </w:t>
      </w:r>
      <w:r>
        <w:rPr>
          <w:smallCaps/>
          <w:color w:val="475824"/>
          <w:spacing w:val="-2"/>
        </w:rPr>
        <w:t>Management</w:t>
      </w:r>
    </w:p>
    <w:p>
      <w:pPr>
        <w:pStyle w:val="BodyText"/>
        <w:spacing w:line="232" w:lineRule="auto" w:before="64"/>
        <w:ind w:left="1151" w:right="801"/>
      </w:pPr>
      <w:r>
        <w:rPr/>
        <w:t>Wildland</w:t>
      </w:r>
      <w:r>
        <w:rPr>
          <w:spacing w:val="-8"/>
        </w:rPr>
        <w:t> </w:t>
      </w:r>
      <w:r>
        <w:rPr/>
        <w:t>fire</w:t>
      </w:r>
      <w:r>
        <w:rPr>
          <w:spacing w:val="-6"/>
        </w:rPr>
        <w:t> </w:t>
      </w:r>
      <w:r>
        <w:rPr/>
        <w:t>is</w:t>
      </w:r>
      <w:r>
        <w:rPr>
          <w:spacing w:val="-9"/>
        </w:rPr>
        <w:t> </w:t>
      </w:r>
      <w:r>
        <w:rPr/>
        <w:t>an</w:t>
      </w:r>
      <w:r>
        <w:rPr>
          <w:spacing w:val="-8"/>
        </w:rPr>
        <w:t> </w:t>
      </w:r>
      <w:r>
        <w:rPr/>
        <w:t>essential</w:t>
      </w:r>
      <w:r>
        <w:rPr>
          <w:spacing w:val="-10"/>
        </w:rPr>
        <w:t> </w:t>
      </w:r>
      <w:r>
        <w:rPr/>
        <w:t>disturbance</w:t>
      </w:r>
      <w:r>
        <w:rPr>
          <w:spacing w:val="-6"/>
        </w:rPr>
        <w:t> </w:t>
      </w:r>
      <w:r>
        <w:rPr/>
        <w:t>process</w:t>
      </w:r>
      <w:r>
        <w:rPr>
          <w:spacing w:val="-7"/>
        </w:rPr>
        <w:t> </w:t>
      </w:r>
      <w:r>
        <w:rPr/>
        <w:t>in</w:t>
      </w:r>
      <w:r>
        <w:rPr>
          <w:spacing w:val="-8"/>
        </w:rPr>
        <w:t> </w:t>
      </w:r>
      <w:r>
        <w:rPr/>
        <w:t>dynamic</w:t>
      </w:r>
      <w:r>
        <w:rPr>
          <w:spacing w:val="-7"/>
        </w:rPr>
        <w:t> </w:t>
      </w:r>
      <w:r>
        <w:rPr/>
        <w:t>and</w:t>
      </w:r>
      <w:r>
        <w:rPr>
          <w:spacing w:val="-10"/>
        </w:rPr>
        <w:t> </w:t>
      </w:r>
      <w:r>
        <w:rPr/>
        <w:t>resilient</w:t>
      </w:r>
      <w:r>
        <w:rPr>
          <w:spacing w:val="-9"/>
        </w:rPr>
        <w:t> </w:t>
      </w:r>
      <w:r>
        <w:rPr/>
        <w:t>ecosystems.</w:t>
      </w:r>
      <w:r>
        <w:rPr>
          <w:spacing w:val="-7"/>
        </w:rPr>
        <w:t> </w:t>
      </w:r>
      <w:r>
        <w:rPr/>
        <w:t>However, the potential for uncharacteristic wildfire that is more severe, dangerous, and difficult and costly to suppress, concerns forest managers.</w:t>
      </w:r>
    </w:p>
    <w:p>
      <w:pPr>
        <w:pStyle w:val="BodyText"/>
        <w:spacing w:line="232" w:lineRule="auto" w:before="200"/>
        <w:ind w:left="1152" w:right="742"/>
      </w:pPr>
      <w:r>
        <w:rPr/>
        <w:t>Fire played an important role in the historical development of both forested and non-forested vegetation across northeastern Washington. Fire was generally either low or mixed severity across much of the Colville National Forest. It created a mix of structural stages (forested vegetation); removed understory trees in dry forest types; resulted in a mix of opening sizes creating</w:t>
      </w:r>
      <w:r>
        <w:rPr>
          <w:spacing w:val="-9"/>
        </w:rPr>
        <w:t> </w:t>
      </w:r>
      <w:r>
        <w:rPr/>
        <w:t>locations</w:t>
      </w:r>
      <w:r>
        <w:rPr>
          <w:spacing w:val="-9"/>
        </w:rPr>
        <w:t> </w:t>
      </w:r>
      <w:r>
        <w:rPr/>
        <w:t>for</w:t>
      </w:r>
      <w:r>
        <w:rPr>
          <w:spacing w:val="-9"/>
        </w:rPr>
        <w:t> </w:t>
      </w:r>
      <w:r>
        <w:rPr/>
        <w:t>establishment</w:t>
      </w:r>
      <w:r>
        <w:rPr>
          <w:spacing w:val="-9"/>
        </w:rPr>
        <w:t> </w:t>
      </w:r>
      <w:r>
        <w:rPr/>
        <w:t>of</w:t>
      </w:r>
      <w:r>
        <w:rPr>
          <w:spacing w:val="-8"/>
        </w:rPr>
        <w:t> </w:t>
      </w:r>
      <w:r>
        <w:rPr/>
        <w:t>shade-intolerant</w:t>
      </w:r>
      <w:r>
        <w:rPr>
          <w:spacing w:val="-7"/>
        </w:rPr>
        <w:t> </w:t>
      </w:r>
      <w:r>
        <w:rPr/>
        <w:t>tree</w:t>
      </w:r>
      <w:r>
        <w:rPr>
          <w:spacing w:val="-7"/>
        </w:rPr>
        <w:t> </w:t>
      </w:r>
      <w:r>
        <w:rPr/>
        <w:t>species</w:t>
      </w:r>
      <w:r>
        <w:rPr>
          <w:spacing w:val="-8"/>
        </w:rPr>
        <w:t> </w:t>
      </w:r>
      <w:r>
        <w:rPr/>
        <w:t>and</w:t>
      </w:r>
      <w:r>
        <w:rPr>
          <w:spacing w:val="-9"/>
        </w:rPr>
        <w:t> </w:t>
      </w:r>
      <w:r>
        <w:rPr/>
        <w:t>increased</w:t>
      </w:r>
      <w:r>
        <w:rPr>
          <w:spacing w:val="-9"/>
        </w:rPr>
        <w:t> </w:t>
      </w:r>
      <w:r>
        <w:rPr/>
        <w:t>ground-level forage; regenerated shrubs and understory plants for wildlife forage; and created</w:t>
      </w:r>
      <w:r>
        <w:rPr>
          <w:spacing w:val="-1"/>
        </w:rPr>
        <w:t> </w:t>
      </w:r>
      <w:r>
        <w:rPr/>
        <w:t>snag habitat.</w:t>
      </w:r>
    </w:p>
    <w:p>
      <w:pPr>
        <w:pStyle w:val="BodyText"/>
        <w:rPr>
          <w:sz w:val="20"/>
        </w:rPr>
      </w:pPr>
    </w:p>
    <w:p>
      <w:pPr>
        <w:pStyle w:val="BodyText"/>
        <w:spacing w:before="52"/>
        <w:rPr>
          <w:sz w:val="20"/>
        </w:rPr>
      </w:pPr>
      <w:r>
        <w:rPr>
          <w:sz w:val="20"/>
        </w:rPr>
        <mc:AlternateContent>
          <mc:Choice Requires="wps">
            <w:drawing>
              <wp:anchor distT="0" distB="0" distL="0" distR="0" allowOverlap="1" layoutInCell="1" locked="0" behindDoc="1" simplePos="0" relativeHeight="487591936">
                <wp:simplePos x="0" y="0"/>
                <wp:positionH relativeFrom="page">
                  <wp:posOffset>1417319</wp:posOffset>
                </wp:positionH>
                <wp:positionV relativeFrom="paragraph">
                  <wp:posOffset>203738</wp:posOffset>
                </wp:positionV>
                <wp:extent cx="1828800" cy="7620"/>
                <wp:effectExtent l="0" t="0" r="0" b="0"/>
                <wp:wrapTopAndBottom/>
                <wp:docPr id="55" name="Graphic 55"/>
                <wp:cNvGraphicFramePr>
                  <a:graphicFrameLocks/>
                </wp:cNvGraphicFramePr>
                <a:graphic>
                  <a:graphicData uri="http://schemas.microsoft.com/office/word/2010/wordprocessingShape">
                    <wps:wsp>
                      <wps:cNvPr id="55" name="Graphic 55"/>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6.042387pt;width:144pt;height:.599pt;mso-position-horizontal-relative:page;mso-position-vertical-relative:paragraph;z-index:-15724544;mso-wrap-distance-left:0;mso-wrap-distance-right:0" id="docshape49" filled="true" fillcolor="#000000" stroked="false">
                <v:fill type="solid"/>
                <w10:wrap type="topAndBottom"/>
              </v:rect>
            </w:pict>
          </mc:Fallback>
        </mc:AlternateContent>
      </w:r>
    </w:p>
    <w:p>
      <w:pPr>
        <w:spacing w:before="95"/>
        <w:ind w:left="1152" w:right="1073" w:hanging="1"/>
        <w:jc w:val="left"/>
        <w:rPr>
          <w:sz w:val="18"/>
        </w:rPr>
      </w:pPr>
      <w:bookmarkStart w:name="_bookmark11" w:id="21"/>
      <w:bookmarkEnd w:id="21"/>
      <w:r>
        <w:rPr/>
      </w:r>
      <w:r>
        <w:rPr>
          <w:position w:val="5"/>
          <w:sz w:val="12"/>
        </w:rPr>
        <w:t>1</w:t>
      </w:r>
      <w:r>
        <w:rPr>
          <w:spacing w:val="10"/>
          <w:position w:val="5"/>
          <w:sz w:val="12"/>
        </w:rPr>
        <w:t> </w:t>
      </w:r>
      <w:r>
        <w:rPr>
          <w:sz w:val="18"/>
        </w:rPr>
        <w:t>Water</w:t>
      </w:r>
      <w:r>
        <w:rPr>
          <w:spacing w:val="-3"/>
          <w:sz w:val="18"/>
        </w:rPr>
        <w:t> </w:t>
      </w:r>
      <w:r>
        <w:rPr>
          <w:sz w:val="18"/>
        </w:rPr>
        <w:t>stress</w:t>
      </w:r>
      <w:r>
        <w:rPr>
          <w:spacing w:val="-3"/>
          <w:sz w:val="18"/>
        </w:rPr>
        <w:t> </w:t>
      </w:r>
      <w:r>
        <w:rPr>
          <w:sz w:val="18"/>
        </w:rPr>
        <w:t>is</w:t>
      </w:r>
      <w:r>
        <w:rPr>
          <w:spacing w:val="-1"/>
          <w:sz w:val="18"/>
        </w:rPr>
        <w:t> </w:t>
      </w:r>
      <w:r>
        <w:rPr>
          <w:sz w:val="18"/>
        </w:rPr>
        <w:t>primarily</w:t>
      </w:r>
      <w:r>
        <w:rPr>
          <w:spacing w:val="-2"/>
          <w:sz w:val="18"/>
        </w:rPr>
        <w:t> </w:t>
      </w:r>
      <w:r>
        <w:rPr>
          <w:sz w:val="18"/>
        </w:rPr>
        <w:t>caused</w:t>
      </w:r>
      <w:r>
        <w:rPr>
          <w:spacing w:val="-1"/>
          <w:sz w:val="18"/>
        </w:rPr>
        <w:t> </w:t>
      </w:r>
      <w:r>
        <w:rPr>
          <w:sz w:val="18"/>
        </w:rPr>
        <w:t>by</w:t>
      </w:r>
      <w:r>
        <w:rPr>
          <w:spacing w:val="-2"/>
          <w:sz w:val="18"/>
        </w:rPr>
        <w:t> </w:t>
      </w:r>
      <w:r>
        <w:rPr>
          <w:sz w:val="18"/>
        </w:rPr>
        <w:t>a</w:t>
      </w:r>
      <w:r>
        <w:rPr>
          <w:spacing w:val="-2"/>
          <w:sz w:val="18"/>
        </w:rPr>
        <w:t> </w:t>
      </w:r>
      <w:r>
        <w:rPr>
          <w:sz w:val="18"/>
        </w:rPr>
        <w:t>water</w:t>
      </w:r>
      <w:r>
        <w:rPr>
          <w:spacing w:val="-3"/>
          <w:sz w:val="18"/>
        </w:rPr>
        <w:t> </w:t>
      </w:r>
      <w:r>
        <w:rPr>
          <w:sz w:val="18"/>
        </w:rPr>
        <w:t>deficit</w:t>
      </w:r>
      <w:r>
        <w:rPr>
          <w:spacing w:val="-3"/>
          <w:sz w:val="18"/>
        </w:rPr>
        <w:t> </w:t>
      </w:r>
      <w:r>
        <w:rPr>
          <w:sz w:val="18"/>
        </w:rPr>
        <w:t>(where</w:t>
      </w:r>
      <w:r>
        <w:rPr>
          <w:spacing w:val="-3"/>
          <w:sz w:val="18"/>
        </w:rPr>
        <w:t> </w:t>
      </w:r>
      <w:r>
        <w:rPr>
          <w:sz w:val="18"/>
        </w:rPr>
        <w:t>there</w:t>
      </w:r>
      <w:r>
        <w:rPr>
          <w:spacing w:val="-3"/>
          <w:sz w:val="18"/>
        </w:rPr>
        <w:t> </w:t>
      </w:r>
      <w:r>
        <w:rPr>
          <w:sz w:val="18"/>
        </w:rPr>
        <w:t>is</w:t>
      </w:r>
      <w:r>
        <w:rPr>
          <w:spacing w:val="-1"/>
          <w:sz w:val="18"/>
        </w:rPr>
        <w:t> </w:t>
      </w:r>
      <w:r>
        <w:rPr>
          <w:sz w:val="18"/>
        </w:rPr>
        <w:t>a</w:t>
      </w:r>
      <w:r>
        <w:rPr>
          <w:spacing w:val="-2"/>
          <w:sz w:val="18"/>
        </w:rPr>
        <w:t> </w:t>
      </w:r>
      <w:r>
        <w:rPr>
          <w:sz w:val="18"/>
        </w:rPr>
        <w:t>lack</w:t>
      </w:r>
      <w:r>
        <w:rPr>
          <w:spacing w:val="-3"/>
          <w:sz w:val="18"/>
        </w:rPr>
        <w:t> </w:t>
      </w:r>
      <w:r>
        <w:rPr>
          <w:sz w:val="18"/>
        </w:rPr>
        <w:t>of</w:t>
      </w:r>
      <w:r>
        <w:rPr>
          <w:spacing w:val="-2"/>
          <w:sz w:val="18"/>
        </w:rPr>
        <w:t> </w:t>
      </w:r>
      <w:r>
        <w:rPr>
          <w:sz w:val="18"/>
        </w:rPr>
        <w:t>water</w:t>
      </w:r>
      <w:r>
        <w:rPr>
          <w:spacing w:val="-3"/>
          <w:sz w:val="18"/>
        </w:rPr>
        <w:t> </w:t>
      </w:r>
      <w:r>
        <w:rPr>
          <w:sz w:val="18"/>
        </w:rPr>
        <w:t>to</w:t>
      </w:r>
      <w:r>
        <w:rPr>
          <w:spacing w:val="-1"/>
          <w:sz w:val="18"/>
        </w:rPr>
        <w:t> </w:t>
      </w:r>
      <w:r>
        <w:rPr>
          <w:sz w:val="18"/>
        </w:rPr>
        <w:t>fully</w:t>
      </w:r>
      <w:r>
        <w:rPr>
          <w:spacing w:val="-2"/>
          <w:sz w:val="18"/>
        </w:rPr>
        <w:t> </w:t>
      </w:r>
      <w:r>
        <w:rPr>
          <w:sz w:val="18"/>
        </w:rPr>
        <w:t>meet</w:t>
      </w:r>
      <w:r>
        <w:rPr>
          <w:spacing w:val="-3"/>
          <w:sz w:val="18"/>
        </w:rPr>
        <w:t> </w:t>
      </w:r>
      <w:r>
        <w:rPr>
          <w:sz w:val="18"/>
        </w:rPr>
        <w:t>the</w:t>
      </w:r>
      <w:r>
        <w:rPr>
          <w:spacing w:val="-1"/>
          <w:sz w:val="18"/>
        </w:rPr>
        <w:t> </w:t>
      </w:r>
      <w:r>
        <w:rPr>
          <w:sz w:val="18"/>
        </w:rPr>
        <w:t>needs</w:t>
      </w:r>
      <w:r>
        <w:rPr>
          <w:spacing w:val="-3"/>
          <w:sz w:val="18"/>
        </w:rPr>
        <w:t> </w:t>
      </w:r>
      <w:r>
        <w:rPr>
          <w:sz w:val="18"/>
        </w:rPr>
        <w:t>of</w:t>
      </w:r>
      <w:r>
        <w:rPr>
          <w:spacing w:val="-2"/>
          <w:sz w:val="18"/>
        </w:rPr>
        <w:t> </w:t>
      </w:r>
      <w:r>
        <w:rPr>
          <w:sz w:val="18"/>
        </w:rPr>
        <w:t>the </w:t>
      </w:r>
      <w:r>
        <w:rPr>
          <w:spacing w:val="-2"/>
          <w:sz w:val="18"/>
        </w:rPr>
        <w:t>vegetation).</w:t>
      </w:r>
    </w:p>
    <w:p>
      <w:pPr>
        <w:spacing w:before="0"/>
        <w:ind w:left="1151" w:right="801" w:firstLine="0"/>
        <w:jc w:val="left"/>
        <w:rPr>
          <w:sz w:val="18"/>
        </w:rPr>
      </w:pPr>
      <w:bookmarkStart w:name="_bookmark12" w:id="22"/>
      <w:bookmarkEnd w:id="22"/>
      <w:r>
        <w:rPr/>
      </w:r>
      <w:r>
        <w:rPr>
          <w:position w:val="5"/>
          <w:sz w:val="12"/>
        </w:rPr>
        <w:t>2</w:t>
      </w:r>
      <w:r>
        <w:rPr>
          <w:spacing w:val="20"/>
          <w:position w:val="5"/>
          <w:sz w:val="12"/>
        </w:rPr>
        <w:t> </w:t>
      </w:r>
      <w:r>
        <w:rPr>
          <w:sz w:val="18"/>
        </w:rPr>
        <w:t>Class A weeds are non-native species whose distribution in Washington State is still limited. Preventing new infestations</w:t>
      </w:r>
      <w:r>
        <w:rPr>
          <w:spacing w:val="-3"/>
          <w:sz w:val="18"/>
        </w:rPr>
        <w:t> </w:t>
      </w:r>
      <w:r>
        <w:rPr>
          <w:sz w:val="18"/>
        </w:rPr>
        <w:t>and</w:t>
      </w:r>
      <w:r>
        <w:rPr>
          <w:spacing w:val="-3"/>
          <w:sz w:val="18"/>
        </w:rPr>
        <w:t> </w:t>
      </w:r>
      <w:r>
        <w:rPr>
          <w:sz w:val="18"/>
        </w:rPr>
        <w:t>eradicating</w:t>
      </w:r>
      <w:r>
        <w:rPr>
          <w:spacing w:val="-3"/>
          <w:sz w:val="18"/>
        </w:rPr>
        <w:t> </w:t>
      </w:r>
      <w:r>
        <w:rPr>
          <w:sz w:val="18"/>
        </w:rPr>
        <w:t>existing</w:t>
      </w:r>
      <w:r>
        <w:rPr>
          <w:spacing w:val="-3"/>
          <w:sz w:val="18"/>
        </w:rPr>
        <w:t> </w:t>
      </w:r>
      <w:r>
        <w:rPr>
          <w:sz w:val="18"/>
        </w:rPr>
        <w:t>infestations</w:t>
      </w:r>
      <w:r>
        <w:rPr>
          <w:spacing w:val="-3"/>
          <w:sz w:val="18"/>
        </w:rPr>
        <w:t> </w:t>
      </w:r>
      <w:r>
        <w:rPr>
          <w:sz w:val="18"/>
        </w:rPr>
        <w:t>are</w:t>
      </w:r>
      <w:r>
        <w:rPr>
          <w:spacing w:val="-3"/>
          <w:sz w:val="18"/>
        </w:rPr>
        <w:t> </w:t>
      </w:r>
      <w:r>
        <w:rPr>
          <w:sz w:val="18"/>
        </w:rPr>
        <w:t>the</w:t>
      </w:r>
      <w:r>
        <w:rPr>
          <w:spacing w:val="-3"/>
          <w:sz w:val="18"/>
        </w:rPr>
        <w:t> </w:t>
      </w:r>
      <w:r>
        <w:rPr>
          <w:sz w:val="18"/>
        </w:rPr>
        <w:t>highest</w:t>
      </w:r>
      <w:r>
        <w:rPr>
          <w:spacing w:val="-3"/>
          <w:sz w:val="18"/>
        </w:rPr>
        <w:t> </w:t>
      </w:r>
      <w:r>
        <w:rPr>
          <w:sz w:val="18"/>
        </w:rPr>
        <w:t>priority.</w:t>
      </w:r>
      <w:r>
        <w:rPr>
          <w:spacing w:val="-2"/>
          <w:sz w:val="18"/>
        </w:rPr>
        <w:t> </w:t>
      </w:r>
      <w:r>
        <w:rPr>
          <w:sz w:val="18"/>
        </w:rPr>
        <w:t>Eradication</w:t>
      </w:r>
      <w:r>
        <w:rPr>
          <w:spacing w:val="-3"/>
          <w:sz w:val="18"/>
        </w:rPr>
        <w:t> </w:t>
      </w:r>
      <w:r>
        <w:rPr>
          <w:sz w:val="18"/>
        </w:rPr>
        <w:t>of</w:t>
      </w:r>
      <w:r>
        <w:rPr>
          <w:spacing w:val="-2"/>
          <w:sz w:val="18"/>
        </w:rPr>
        <w:t> </w:t>
      </w:r>
      <w:r>
        <w:rPr>
          <w:sz w:val="18"/>
        </w:rPr>
        <w:t>all</w:t>
      </w:r>
      <w:r>
        <w:rPr>
          <w:spacing w:val="-3"/>
          <w:sz w:val="18"/>
        </w:rPr>
        <w:t> </w:t>
      </w:r>
      <w:r>
        <w:rPr>
          <w:sz w:val="18"/>
        </w:rPr>
        <w:t>Class</w:t>
      </w:r>
      <w:r>
        <w:rPr>
          <w:spacing w:val="-3"/>
          <w:sz w:val="18"/>
        </w:rPr>
        <w:t> </w:t>
      </w:r>
      <w:r>
        <w:rPr>
          <w:sz w:val="18"/>
        </w:rPr>
        <w:t>A</w:t>
      </w:r>
      <w:r>
        <w:rPr>
          <w:spacing w:val="-1"/>
          <w:sz w:val="18"/>
        </w:rPr>
        <w:t> </w:t>
      </w:r>
      <w:r>
        <w:rPr>
          <w:sz w:val="18"/>
        </w:rPr>
        <w:t>plants</w:t>
      </w:r>
      <w:r>
        <w:rPr>
          <w:spacing w:val="-3"/>
          <w:sz w:val="18"/>
        </w:rPr>
        <w:t> </w:t>
      </w:r>
      <w:r>
        <w:rPr>
          <w:sz w:val="18"/>
        </w:rPr>
        <w:t>is</w:t>
      </w:r>
      <w:r>
        <w:rPr>
          <w:spacing w:val="-3"/>
          <w:sz w:val="18"/>
        </w:rPr>
        <w:t> </w:t>
      </w:r>
      <w:r>
        <w:rPr>
          <w:sz w:val="18"/>
        </w:rPr>
        <w:t>required by law.</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359" w:right="1516"/>
      </w:pPr>
      <w:r>
        <w:rPr/>
        <w:t>However, uncharacteristic wildfire may contribute to the spread of invasive plant species, reduce habitat for federally listed terrestrial and aquatic species, and cause damage to the Forest’s infrastructure and adjacent property values. Uncharacteristic wildfire is often associated with high to moderate fire intensity and burn severity, which could result in accelerated erosion, loss or impairment of soil productivity, potential to increase peak flows, reduce water quality, and decrease aquatic habitat function. Uncharacteristic wildfires are also associated with increasingly high levels of dead and downed fuel, overstocked forests, and drought. Insect outbreaks and diseases can also contribute to (or create additional) fuel loads. Development</w:t>
      </w:r>
      <w:r>
        <w:rPr>
          <w:spacing w:val="-7"/>
        </w:rPr>
        <w:t> </w:t>
      </w:r>
      <w:r>
        <w:rPr/>
        <w:t>of</w:t>
      </w:r>
      <w:r>
        <w:rPr>
          <w:spacing w:val="-6"/>
        </w:rPr>
        <w:t> </w:t>
      </w:r>
      <w:r>
        <w:rPr/>
        <w:t>structures</w:t>
      </w:r>
      <w:r>
        <w:rPr>
          <w:spacing w:val="-8"/>
        </w:rPr>
        <w:t> </w:t>
      </w:r>
      <w:r>
        <w:rPr/>
        <w:t>in</w:t>
      </w:r>
      <w:r>
        <w:rPr>
          <w:spacing w:val="-7"/>
        </w:rPr>
        <w:t> </w:t>
      </w:r>
      <w:r>
        <w:rPr/>
        <w:t>the</w:t>
      </w:r>
      <w:r>
        <w:rPr>
          <w:spacing w:val="-5"/>
        </w:rPr>
        <w:t> </w:t>
      </w:r>
      <w:r>
        <w:rPr/>
        <w:t>wildland</w:t>
      </w:r>
      <w:r>
        <w:rPr>
          <w:spacing w:val="-7"/>
        </w:rPr>
        <w:t> </w:t>
      </w:r>
      <w:r>
        <w:rPr/>
        <w:t>interface</w:t>
      </w:r>
      <w:r>
        <w:rPr>
          <w:spacing w:val="-5"/>
        </w:rPr>
        <w:t> </w:t>
      </w:r>
      <w:r>
        <w:rPr/>
        <w:t>areas</w:t>
      </w:r>
      <w:r>
        <w:rPr>
          <w:spacing w:val="-6"/>
        </w:rPr>
        <w:t> </w:t>
      </w:r>
      <w:r>
        <w:rPr/>
        <w:t>adjacent</w:t>
      </w:r>
      <w:r>
        <w:rPr>
          <w:spacing w:val="-5"/>
        </w:rPr>
        <w:t> </w:t>
      </w:r>
      <w:r>
        <w:rPr/>
        <w:t>to</w:t>
      </w:r>
      <w:r>
        <w:rPr>
          <w:spacing w:val="-5"/>
        </w:rPr>
        <w:t> </w:t>
      </w:r>
      <w:r>
        <w:rPr/>
        <w:t>national</w:t>
      </w:r>
      <w:r>
        <w:rPr>
          <w:spacing w:val="-6"/>
        </w:rPr>
        <w:t> </w:t>
      </w:r>
      <w:r>
        <w:rPr/>
        <w:t>forest</w:t>
      </w:r>
      <w:r>
        <w:rPr>
          <w:spacing w:val="-5"/>
        </w:rPr>
        <w:t> </w:t>
      </w:r>
      <w:r>
        <w:rPr/>
        <w:t>lands</w:t>
      </w:r>
      <w:r>
        <w:rPr>
          <w:spacing w:val="-5"/>
        </w:rPr>
        <w:t> </w:t>
      </w:r>
      <w:r>
        <w:rPr/>
        <w:t>adds to the complexity and danger of wildfire suppression.</w:t>
      </w:r>
    </w:p>
    <w:p>
      <w:pPr>
        <w:pStyle w:val="Heading3"/>
        <w:spacing w:before="232"/>
        <w:ind w:left="360"/>
      </w:pPr>
      <w:bookmarkStart w:name="Wildland-urban Interface" w:id="23"/>
      <w:bookmarkEnd w:id="23"/>
      <w:r>
        <w:rPr>
          <w:b w:val="0"/>
        </w:rPr>
      </w:r>
      <w:bookmarkStart w:name="_bookmark13" w:id="24"/>
      <w:bookmarkEnd w:id="24"/>
      <w:r>
        <w:rPr>
          <w:b w:val="0"/>
        </w:rPr>
      </w:r>
      <w:r>
        <w:rPr>
          <w:smallCaps/>
          <w:color w:val="475824"/>
          <w:spacing w:val="-2"/>
        </w:rPr>
        <w:t>Wildland-urban</w:t>
      </w:r>
      <w:r>
        <w:rPr>
          <w:smallCaps/>
          <w:color w:val="475824"/>
          <w:spacing w:val="11"/>
        </w:rPr>
        <w:t> </w:t>
      </w:r>
      <w:r>
        <w:rPr>
          <w:smallCaps/>
          <w:color w:val="475824"/>
          <w:spacing w:val="-2"/>
        </w:rPr>
        <w:t>Interface</w:t>
      </w:r>
    </w:p>
    <w:p>
      <w:pPr>
        <w:pStyle w:val="BodyText"/>
        <w:spacing w:line="232" w:lineRule="auto" w:before="64"/>
        <w:ind w:left="359" w:right="1445"/>
      </w:pPr>
      <w:r>
        <w:rPr/>
        <w:t>Wildland-urban interface (WUI) will continue to change over the life of the Forest Plan. As communities</w:t>
      </w:r>
      <w:r>
        <w:rPr>
          <w:spacing w:val="-4"/>
        </w:rPr>
        <w:t> </w:t>
      </w:r>
      <w:r>
        <w:rPr/>
        <w:t>update</w:t>
      </w:r>
      <w:r>
        <w:rPr>
          <w:spacing w:val="-6"/>
        </w:rPr>
        <w:t> </w:t>
      </w:r>
      <w:r>
        <w:rPr/>
        <w:t>their</w:t>
      </w:r>
      <w:r>
        <w:rPr>
          <w:spacing w:val="-7"/>
        </w:rPr>
        <w:t> </w:t>
      </w:r>
      <w:r>
        <w:rPr/>
        <w:t>wildfire</w:t>
      </w:r>
      <w:r>
        <w:rPr>
          <w:spacing w:val="-3"/>
        </w:rPr>
        <w:t> </w:t>
      </w:r>
      <w:r>
        <w:rPr/>
        <w:t>protection</w:t>
      </w:r>
      <w:r>
        <w:rPr>
          <w:spacing w:val="-5"/>
        </w:rPr>
        <w:t> </w:t>
      </w:r>
      <w:r>
        <w:rPr/>
        <w:t>plans,</w:t>
      </w:r>
      <w:r>
        <w:rPr>
          <w:spacing w:val="-4"/>
        </w:rPr>
        <w:t> </w:t>
      </w:r>
      <w:r>
        <w:rPr/>
        <w:t>additional</w:t>
      </w:r>
      <w:r>
        <w:rPr>
          <w:spacing w:val="-4"/>
        </w:rPr>
        <w:t> </w:t>
      </w:r>
      <w:r>
        <w:rPr/>
        <w:t>WUI</w:t>
      </w:r>
      <w:r>
        <w:rPr>
          <w:spacing w:val="-7"/>
        </w:rPr>
        <w:t> </w:t>
      </w:r>
      <w:r>
        <w:rPr/>
        <w:t>area</w:t>
      </w:r>
      <w:r>
        <w:rPr>
          <w:spacing w:val="-6"/>
        </w:rPr>
        <w:t> </w:t>
      </w:r>
      <w:r>
        <w:rPr/>
        <w:t>can</w:t>
      </w:r>
      <w:r>
        <w:rPr>
          <w:spacing w:val="-5"/>
        </w:rPr>
        <w:t> </w:t>
      </w:r>
      <w:r>
        <w:rPr/>
        <w:t>and</w:t>
      </w:r>
      <w:r>
        <w:rPr>
          <w:spacing w:val="-7"/>
        </w:rPr>
        <w:t> </w:t>
      </w:r>
      <w:r>
        <w:rPr/>
        <w:t>will</w:t>
      </w:r>
      <w:r>
        <w:rPr>
          <w:spacing w:val="-4"/>
        </w:rPr>
        <w:t> </w:t>
      </w:r>
      <w:r>
        <w:rPr/>
        <w:t>be</w:t>
      </w:r>
      <w:r>
        <w:rPr>
          <w:spacing w:val="-3"/>
        </w:rPr>
        <w:t> </w:t>
      </w:r>
      <w:r>
        <w:rPr/>
        <w:t>added. The</w:t>
      </w:r>
      <w:r>
        <w:rPr>
          <w:spacing w:val="-3"/>
        </w:rPr>
        <w:t> </w:t>
      </w:r>
      <w:r>
        <w:rPr/>
        <w:t>trend</w:t>
      </w:r>
      <w:r>
        <w:rPr>
          <w:spacing w:val="-5"/>
        </w:rPr>
        <w:t> </w:t>
      </w:r>
      <w:r>
        <w:rPr/>
        <w:t>indicates</w:t>
      </w:r>
      <w:r>
        <w:rPr>
          <w:spacing w:val="-6"/>
        </w:rPr>
        <w:t> </w:t>
      </w:r>
      <w:r>
        <w:rPr/>
        <w:t>that</w:t>
      </w:r>
      <w:r>
        <w:rPr>
          <w:spacing w:val="-3"/>
        </w:rPr>
        <w:t> </w:t>
      </w:r>
      <w:r>
        <w:rPr/>
        <w:t>people</w:t>
      </w:r>
      <w:r>
        <w:rPr>
          <w:spacing w:val="-6"/>
        </w:rPr>
        <w:t> </w:t>
      </w:r>
      <w:r>
        <w:rPr/>
        <w:t>will</w:t>
      </w:r>
      <w:r>
        <w:rPr>
          <w:spacing w:val="-4"/>
        </w:rPr>
        <w:t> </w:t>
      </w:r>
      <w:r>
        <w:rPr/>
        <w:t>continue</w:t>
      </w:r>
      <w:r>
        <w:rPr>
          <w:spacing w:val="-6"/>
        </w:rPr>
        <w:t> </w:t>
      </w:r>
      <w:r>
        <w:rPr/>
        <w:t>to</w:t>
      </w:r>
      <w:r>
        <w:rPr>
          <w:spacing w:val="-3"/>
        </w:rPr>
        <w:t> </w:t>
      </w:r>
      <w:r>
        <w:rPr/>
        <w:t>build</w:t>
      </w:r>
      <w:r>
        <w:rPr>
          <w:spacing w:val="-5"/>
        </w:rPr>
        <w:t> </w:t>
      </w:r>
      <w:r>
        <w:rPr/>
        <w:t>adjacent</w:t>
      </w:r>
      <w:r>
        <w:rPr>
          <w:spacing w:val="-3"/>
        </w:rPr>
        <w:t> </w:t>
      </w:r>
      <w:r>
        <w:rPr/>
        <w:t>to</w:t>
      </w:r>
      <w:r>
        <w:rPr>
          <w:spacing w:val="-3"/>
        </w:rPr>
        <w:t> </w:t>
      </w:r>
      <w:r>
        <w:rPr/>
        <w:t>national</w:t>
      </w:r>
      <w:r>
        <w:rPr>
          <w:spacing w:val="-4"/>
        </w:rPr>
        <w:t> </w:t>
      </w:r>
      <w:r>
        <w:rPr/>
        <w:t>forest</w:t>
      </w:r>
      <w:r>
        <w:rPr>
          <w:spacing w:val="-3"/>
        </w:rPr>
        <w:t> </w:t>
      </w:r>
      <w:r>
        <w:rPr/>
        <w:t>lands.</w:t>
      </w:r>
      <w:r>
        <w:rPr>
          <w:spacing w:val="-4"/>
        </w:rPr>
        <w:t> </w:t>
      </w:r>
      <w:r>
        <w:rPr/>
        <w:t>This</w:t>
      </w:r>
      <w:r>
        <w:rPr>
          <w:spacing w:val="-4"/>
        </w:rPr>
        <w:t> </w:t>
      </w:r>
      <w:r>
        <w:rPr/>
        <w:t>will affect wildland fire and fuels projects through public input in support of, or against those projects. It will also affect wildland fire limits in some areas because of social and political concerns related to individual perceptions of wildland fire risk and fuel management.</w:t>
      </w:r>
    </w:p>
    <w:p>
      <w:pPr>
        <w:pStyle w:val="BodyText"/>
        <w:spacing w:line="232" w:lineRule="auto" w:before="196"/>
        <w:ind w:left="359" w:right="1445"/>
      </w:pPr>
      <w:r>
        <w:rPr/>
        <w:t>This</w:t>
      </w:r>
      <w:r>
        <w:rPr>
          <w:spacing w:val="-5"/>
        </w:rPr>
        <w:t> </w:t>
      </w:r>
      <w:r>
        <w:rPr/>
        <w:t>Forest</w:t>
      </w:r>
      <w:r>
        <w:rPr>
          <w:spacing w:val="-7"/>
        </w:rPr>
        <w:t> </w:t>
      </w:r>
      <w:r>
        <w:rPr/>
        <w:t>Plan</w:t>
      </w:r>
      <w:r>
        <w:rPr>
          <w:spacing w:val="-8"/>
        </w:rPr>
        <w:t> </w:t>
      </w:r>
      <w:r>
        <w:rPr/>
        <w:t>includes</w:t>
      </w:r>
      <w:r>
        <w:rPr>
          <w:spacing w:val="-5"/>
        </w:rPr>
        <w:t> </w:t>
      </w:r>
      <w:r>
        <w:rPr/>
        <w:t>recommended</w:t>
      </w:r>
      <w:r>
        <w:rPr>
          <w:spacing w:val="-6"/>
        </w:rPr>
        <w:t> </w:t>
      </w:r>
      <w:r>
        <w:rPr/>
        <w:t>wilderness</w:t>
      </w:r>
      <w:r>
        <w:rPr>
          <w:spacing w:val="-7"/>
        </w:rPr>
        <w:t> </w:t>
      </w:r>
      <w:r>
        <w:rPr/>
        <w:t>management</w:t>
      </w:r>
      <w:r>
        <w:rPr>
          <w:spacing w:val="-7"/>
        </w:rPr>
        <w:t> </w:t>
      </w:r>
      <w:r>
        <w:rPr/>
        <w:t>area</w:t>
      </w:r>
      <w:r>
        <w:rPr>
          <w:spacing w:val="-7"/>
        </w:rPr>
        <w:t> </w:t>
      </w:r>
      <w:r>
        <w:rPr/>
        <w:t>designations</w:t>
      </w:r>
      <w:r>
        <w:rPr>
          <w:spacing w:val="-5"/>
        </w:rPr>
        <w:t> </w:t>
      </w:r>
      <w:r>
        <w:rPr/>
        <w:t>that</w:t>
      </w:r>
      <w:r>
        <w:rPr>
          <w:spacing w:val="-7"/>
        </w:rPr>
        <w:t> </w:t>
      </w:r>
      <w:r>
        <w:rPr/>
        <w:t>overlap areas identified as WUI by counties. Desired conditions for recommended wilderness include retaining wilderness characteristics. This overlap of management area desired conditions will also affect management of fuels and fire risk.</w:t>
      </w:r>
    </w:p>
    <w:p>
      <w:pPr>
        <w:pStyle w:val="Heading3"/>
        <w:spacing w:before="235"/>
        <w:ind w:left="360"/>
      </w:pPr>
      <w:bookmarkStart w:name="Recreation" w:id="25"/>
      <w:bookmarkEnd w:id="25"/>
      <w:r>
        <w:rPr>
          <w:b w:val="0"/>
        </w:rPr>
      </w:r>
      <w:bookmarkStart w:name="_bookmark14" w:id="26"/>
      <w:bookmarkEnd w:id="26"/>
      <w:r>
        <w:rPr>
          <w:b w:val="0"/>
        </w:rPr>
      </w:r>
      <w:r>
        <w:rPr>
          <w:smallCaps/>
          <w:color w:val="475824"/>
          <w:spacing w:val="-2"/>
        </w:rPr>
        <w:t>Recreation</w:t>
      </w:r>
    </w:p>
    <w:p>
      <w:pPr>
        <w:pStyle w:val="BodyText"/>
        <w:spacing w:line="232" w:lineRule="auto" w:before="64"/>
        <w:ind w:left="359" w:right="1516"/>
      </w:pPr>
      <w:r>
        <w:rPr/>
        <w:t>Recreational use of the Colville National Forest is projected to increase due to population growth, more people seeking outdoor activities, and increased participation in popular activities.</w:t>
      </w:r>
      <w:r>
        <w:rPr>
          <w:spacing w:val="-2"/>
        </w:rPr>
        <w:t> </w:t>
      </w:r>
      <w:r>
        <w:rPr/>
        <w:t>Increasing</w:t>
      </w:r>
      <w:r>
        <w:rPr>
          <w:spacing w:val="-2"/>
        </w:rPr>
        <w:t> </w:t>
      </w:r>
      <w:r>
        <w:rPr/>
        <w:t>numbers</w:t>
      </w:r>
      <w:r>
        <w:rPr>
          <w:spacing w:val="-1"/>
        </w:rPr>
        <w:t> </w:t>
      </w:r>
      <w:r>
        <w:rPr/>
        <w:t>of</w:t>
      </w:r>
      <w:r>
        <w:rPr>
          <w:spacing w:val="-3"/>
        </w:rPr>
        <w:t> </w:t>
      </w:r>
      <w:r>
        <w:rPr/>
        <w:t>residents</w:t>
      </w:r>
      <w:r>
        <w:rPr>
          <w:spacing w:val="-3"/>
        </w:rPr>
        <w:t> </w:t>
      </w:r>
      <w:r>
        <w:rPr/>
        <w:t>of</w:t>
      </w:r>
      <w:r>
        <w:rPr>
          <w:spacing w:val="-3"/>
        </w:rPr>
        <w:t> </w:t>
      </w:r>
      <w:r>
        <w:rPr/>
        <w:t>communities</w:t>
      </w:r>
      <w:r>
        <w:rPr>
          <w:spacing w:val="-1"/>
        </w:rPr>
        <w:t> </w:t>
      </w:r>
      <w:r>
        <w:rPr/>
        <w:t>surrounding</w:t>
      </w:r>
      <w:r>
        <w:rPr>
          <w:spacing w:val="-2"/>
        </w:rPr>
        <w:t> </w:t>
      </w:r>
      <w:r>
        <w:rPr/>
        <w:t>the national</w:t>
      </w:r>
      <w:r>
        <w:rPr>
          <w:spacing w:val="-1"/>
        </w:rPr>
        <w:t> </w:t>
      </w:r>
      <w:r>
        <w:rPr/>
        <w:t>forest seek healthful, outdoor-oriented lifestyles. Changing use</w:t>
      </w:r>
      <w:r>
        <w:rPr>
          <w:spacing w:val="-1"/>
        </w:rPr>
        <w:t> </w:t>
      </w:r>
      <w:r>
        <w:rPr/>
        <w:t>patterns</w:t>
      </w:r>
      <w:r>
        <w:rPr>
          <w:spacing w:val="-1"/>
        </w:rPr>
        <w:t> </w:t>
      </w:r>
      <w:r>
        <w:rPr/>
        <w:t>suggest the need to provide</w:t>
      </w:r>
      <w:r>
        <w:rPr>
          <w:spacing w:val="-3"/>
        </w:rPr>
        <w:t> </w:t>
      </w:r>
      <w:r>
        <w:rPr/>
        <w:t>more specific infrastructure, such as facilities for large group use. Some activities such as mountain biking and off-highway vehicle use have surged in popularity since the current plans were approved. As development of private land continues, the Forest Service anticipates a greater dependence on the Colville for nature-based activities and experiences that are becoming less accessible elsewhere. In some locations, resource impacts and crowding associated with recreational</w:t>
      </w:r>
      <w:r>
        <w:rPr>
          <w:spacing w:val="-8"/>
        </w:rPr>
        <w:t> </w:t>
      </w:r>
      <w:r>
        <w:rPr/>
        <w:t>use</w:t>
      </w:r>
      <w:r>
        <w:rPr>
          <w:spacing w:val="-5"/>
        </w:rPr>
        <w:t> </w:t>
      </w:r>
      <w:r>
        <w:rPr/>
        <w:t>are</w:t>
      </w:r>
      <w:r>
        <w:rPr>
          <w:spacing w:val="-5"/>
        </w:rPr>
        <w:t> </w:t>
      </w:r>
      <w:r>
        <w:rPr/>
        <w:t>growing,</w:t>
      </w:r>
      <w:r>
        <w:rPr>
          <w:spacing w:val="-6"/>
        </w:rPr>
        <w:t> </w:t>
      </w:r>
      <w:r>
        <w:rPr/>
        <w:t>and</w:t>
      </w:r>
      <w:r>
        <w:rPr>
          <w:spacing w:val="-7"/>
        </w:rPr>
        <w:t> </w:t>
      </w:r>
      <w:r>
        <w:rPr/>
        <w:t>damage</w:t>
      </w:r>
      <w:r>
        <w:rPr>
          <w:spacing w:val="-5"/>
        </w:rPr>
        <w:t> </w:t>
      </w:r>
      <w:r>
        <w:rPr/>
        <w:t>to</w:t>
      </w:r>
      <w:r>
        <w:rPr>
          <w:spacing w:val="-5"/>
        </w:rPr>
        <w:t> </w:t>
      </w:r>
      <w:r>
        <w:rPr/>
        <w:t>riparian</w:t>
      </w:r>
      <w:r>
        <w:rPr>
          <w:spacing w:val="-8"/>
        </w:rPr>
        <w:t> </w:t>
      </w:r>
      <w:r>
        <w:rPr/>
        <w:t>areas</w:t>
      </w:r>
      <w:r>
        <w:rPr>
          <w:spacing w:val="-6"/>
        </w:rPr>
        <w:t> </w:t>
      </w:r>
      <w:r>
        <w:rPr/>
        <w:t>and</w:t>
      </w:r>
      <w:r>
        <w:rPr>
          <w:spacing w:val="-7"/>
        </w:rPr>
        <w:t> </w:t>
      </w:r>
      <w:r>
        <w:rPr/>
        <w:t>unauthorized</w:t>
      </w:r>
      <w:r>
        <w:rPr>
          <w:spacing w:val="-7"/>
        </w:rPr>
        <w:t> </w:t>
      </w:r>
      <w:r>
        <w:rPr/>
        <w:t>trail</w:t>
      </w:r>
      <w:r>
        <w:rPr>
          <w:spacing w:val="-8"/>
        </w:rPr>
        <w:t> </w:t>
      </w:r>
      <w:r>
        <w:rPr/>
        <w:t>development are of particular concern.</w:t>
      </w:r>
    </w:p>
    <w:p>
      <w:pPr>
        <w:pStyle w:val="BodyText"/>
        <w:spacing w:line="232" w:lineRule="auto" w:before="194"/>
        <w:ind w:left="359" w:right="1696"/>
        <w:jc w:val="both"/>
      </w:pPr>
      <w:r>
        <w:rPr/>
        <w:t>Maintaining</w:t>
      </w:r>
      <w:r>
        <w:rPr>
          <w:spacing w:val="-4"/>
        </w:rPr>
        <w:t> </w:t>
      </w:r>
      <w:r>
        <w:rPr/>
        <w:t>recreation</w:t>
      </w:r>
      <w:r>
        <w:rPr>
          <w:spacing w:val="-4"/>
        </w:rPr>
        <w:t> </w:t>
      </w:r>
      <w:r>
        <w:rPr/>
        <w:t>infrastructure</w:t>
      </w:r>
      <w:r>
        <w:rPr>
          <w:spacing w:val="-5"/>
        </w:rPr>
        <w:t> </w:t>
      </w:r>
      <w:r>
        <w:rPr/>
        <w:t>and</w:t>
      </w:r>
      <w:r>
        <w:rPr>
          <w:spacing w:val="-4"/>
        </w:rPr>
        <w:t> </w:t>
      </w:r>
      <w:r>
        <w:rPr/>
        <w:t>providing</w:t>
      </w:r>
      <w:r>
        <w:rPr>
          <w:spacing w:val="-4"/>
        </w:rPr>
        <w:t> </w:t>
      </w:r>
      <w:r>
        <w:rPr/>
        <w:t>opportunities</w:t>
      </w:r>
      <w:r>
        <w:rPr>
          <w:spacing w:val="-3"/>
        </w:rPr>
        <w:t> </w:t>
      </w:r>
      <w:r>
        <w:rPr/>
        <w:t>for</w:t>
      </w:r>
      <w:r>
        <w:rPr>
          <w:spacing w:val="-3"/>
        </w:rPr>
        <w:t> </w:t>
      </w:r>
      <w:r>
        <w:rPr/>
        <w:t>a</w:t>
      </w:r>
      <w:r>
        <w:rPr>
          <w:spacing w:val="-5"/>
        </w:rPr>
        <w:t> </w:t>
      </w:r>
      <w:r>
        <w:rPr/>
        <w:t>broad</w:t>
      </w:r>
      <w:r>
        <w:rPr>
          <w:spacing w:val="-4"/>
        </w:rPr>
        <w:t> </w:t>
      </w:r>
      <w:r>
        <w:rPr/>
        <w:t>cross-section</w:t>
      </w:r>
      <w:r>
        <w:rPr>
          <w:spacing w:val="-4"/>
        </w:rPr>
        <w:t> </w:t>
      </w:r>
      <w:r>
        <w:rPr/>
        <w:t>of the</w:t>
      </w:r>
      <w:r>
        <w:rPr>
          <w:spacing w:val="-6"/>
        </w:rPr>
        <w:t> </w:t>
      </w:r>
      <w:r>
        <w:rPr/>
        <w:t>public</w:t>
      </w:r>
      <w:r>
        <w:rPr>
          <w:spacing w:val="-7"/>
        </w:rPr>
        <w:t> </w:t>
      </w:r>
      <w:r>
        <w:rPr/>
        <w:t>will</w:t>
      </w:r>
      <w:r>
        <w:rPr>
          <w:spacing w:val="-10"/>
        </w:rPr>
        <w:t> </w:t>
      </w:r>
      <w:r>
        <w:rPr/>
        <w:t>strengthen</w:t>
      </w:r>
      <w:r>
        <w:rPr>
          <w:spacing w:val="-7"/>
        </w:rPr>
        <w:t> </w:t>
      </w:r>
      <w:r>
        <w:rPr/>
        <w:t>the</w:t>
      </w:r>
      <w:r>
        <w:rPr>
          <w:spacing w:val="-6"/>
        </w:rPr>
        <w:t> </w:t>
      </w:r>
      <w:r>
        <w:rPr/>
        <w:t>national</w:t>
      </w:r>
      <w:r>
        <w:rPr>
          <w:spacing w:val="-7"/>
        </w:rPr>
        <w:t> </w:t>
      </w:r>
      <w:r>
        <w:rPr/>
        <w:t>forest’s</w:t>
      </w:r>
      <w:r>
        <w:rPr>
          <w:spacing w:val="-9"/>
        </w:rPr>
        <w:t> </w:t>
      </w:r>
      <w:r>
        <w:rPr/>
        <w:t>relevancy</w:t>
      </w:r>
      <w:r>
        <w:rPr>
          <w:spacing w:val="-6"/>
        </w:rPr>
        <w:t> </w:t>
      </w:r>
      <w:r>
        <w:rPr/>
        <w:t>and</w:t>
      </w:r>
      <w:r>
        <w:rPr>
          <w:spacing w:val="-8"/>
        </w:rPr>
        <w:t> </w:t>
      </w:r>
      <w:r>
        <w:rPr/>
        <w:t>contribute</w:t>
      </w:r>
      <w:r>
        <w:rPr>
          <w:spacing w:val="-6"/>
        </w:rPr>
        <w:t> </w:t>
      </w:r>
      <w:r>
        <w:rPr/>
        <w:t>to</w:t>
      </w:r>
      <w:r>
        <w:rPr>
          <w:spacing w:val="-6"/>
        </w:rPr>
        <w:t> </w:t>
      </w:r>
      <w:r>
        <w:rPr/>
        <w:t>future</w:t>
      </w:r>
      <w:r>
        <w:rPr>
          <w:spacing w:val="-9"/>
        </w:rPr>
        <w:t> </w:t>
      </w:r>
      <w:r>
        <w:rPr/>
        <w:t>generations’ appreciation and support of the National Forest System.</w:t>
      </w:r>
    </w:p>
    <w:p>
      <w:pPr>
        <w:pStyle w:val="Heading3"/>
        <w:spacing w:before="234"/>
        <w:ind w:left="360"/>
      </w:pPr>
      <w:bookmarkStart w:name="Forest Transportation System (Access Sys" w:id="27"/>
      <w:bookmarkEnd w:id="27"/>
      <w:r>
        <w:rPr>
          <w:b w:val="0"/>
        </w:rPr>
      </w:r>
      <w:bookmarkStart w:name="_bookmark15" w:id="28"/>
      <w:bookmarkEnd w:id="28"/>
      <w:r>
        <w:rPr>
          <w:b w:val="0"/>
        </w:rPr>
      </w:r>
      <w:r>
        <w:rPr>
          <w:smallCaps/>
          <w:color w:val="475824"/>
        </w:rPr>
        <w:t>Forest</w:t>
      </w:r>
      <w:r>
        <w:rPr>
          <w:smallCaps/>
          <w:color w:val="475824"/>
          <w:spacing w:val="-10"/>
        </w:rPr>
        <w:t> </w:t>
      </w:r>
      <w:r>
        <w:rPr>
          <w:smallCaps/>
          <w:color w:val="475824"/>
        </w:rPr>
        <w:t>Transportation</w:t>
      </w:r>
      <w:r>
        <w:rPr>
          <w:smallCaps/>
          <w:color w:val="475824"/>
          <w:spacing w:val="-8"/>
        </w:rPr>
        <w:t> </w:t>
      </w:r>
      <w:r>
        <w:rPr>
          <w:smallCaps/>
          <w:color w:val="475824"/>
        </w:rPr>
        <w:t>System</w:t>
      </w:r>
      <w:r>
        <w:rPr>
          <w:smallCaps/>
          <w:color w:val="475824"/>
          <w:spacing w:val="-6"/>
        </w:rPr>
        <w:t> </w:t>
      </w:r>
      <w:r>
        <w:rPr>
          <w:smallCaps/>
          <w:color w:val="475824"/>
        </w:rPr>
        <w:t>(Access</w:t>
      </w:r>
      <w:r>
        <w:rPr>
          <w:smallCaps/>
          <w:color w:val="475824"/>
          <w:spacing w:val="-7"/>
        </w:rPr>
        <w:t> </w:t>
      </w:r>
      <w:r>
        <w:rPr>
          <w:smallCaps/>
          <w:color w:val="475824"/>
          <w:spacing w:val="-2"/>
        </w:rPr>
        <w:t>System)</w:t>
      </w:r>
    </w:p>
    <w:p>
      <w:pPr>
        <w:pStyle w:val="BodyText"/>
        <w:spacing w:line="232" w:lineRule="auto" w:before="64"/>
        <w:ind w:left="359" w:right="1621"/>
      </w:pPr>
      <w:r>
        <w:rPr/>
        <w:t>Issues</w:t>
      </w:r>
      <w:r>
        <w:rPr>
          <w:spacing w:val="-6"/>
        </w:rPr>
        <w:t> </w:t>
      </w:r>
      <w:r>
        <w:rPr/>
        <w:t>surrounding</w:t>
      </w:r>
      <w:r>
        <w:rPr>
          <w:spacing w:val="-6"/>
        </w:rPr>
        <w:t> </w:t>
      </w:r>
      <w:r>
        <w:rPr/>
        <w:t>access</w:t>
      </w:r>
      <w:r>
        <w:rPr>
          <w:spacing w:val="-6"/>
        </w:rPr>
        <w:t> </w:t>
      </w:r>
      <w:r>
        <w:rPr/>
        <w:t>to</w:t>
      </w:r>
      <w:r>
        <w:rPr>
          <w:spacing w:val="-5"/>
        </w:rPr>
        <w:t> </w:t>
      </w:r>
      <w:r>
        <w:rPr/>
        <w:t>and</w:t>
      </w:r>
      <w:r>
        <w:rPr>
          <w:spacing w:val="-6"/>
        </w:rPr>
        <w:t> </w:t>
      </w:r>
      <w:r>
        <w:rPr/>
        <w:t>through</w:t>
      </w:r>
      <w:r>
        <w:rPr>
          <w:spacing w:val="-6"/>
        </w:rPr>
        <w:t> </w:t>
      </w:r>
      <w:r>
        <w:rPr/>
        <w:t>the</w:t>
      </w:r>
      <w:r>
        <w:rPr>
          <w:spacing w:val="-5"/>
        </w:rPr>
        <w:t> </w:t>
      </w:r>
      <w:r>
        <w:rPr/>
        <w:t>national</w:t>
      </w:r>
      <w:r>
        <w:rPr>
          <w:spacing w:val="-7"/>
        </w:rPr>
        <w:t> </w:t>
      </w:r>
      <w:r>
        <w:rPr/>
        <w:t>forest</w:t>
      </w:r>
      <w:r>
        <w:rPr>
          <w:spacing w:val="-5"/>
        </w:rPr>
        <w:t> </w:t>
      </w:r>
      <w:r>
        <w:rPr/>
        <w:t>are</w:t>
      </w:r>
      <w:r>
        <w:rPr>
          <w:spacing w:val="-5"/>
        </w:rPr>
        <w:t> </w:t>
      </w:r>
      <w:r>
        <w:rPr/>
        <w:t>complex.</w:t>
      </w:r>
      <w:r>
        <w:rPr>
          <w:spacing w:val="-8"/>
        </w:rPr>
        <w:t> </w:t>
      </w:r>
      <w:r>
        <w:rPr/>
        <w:t>The</w:t>
      </w:r>
      <w:r>
        <w:rPr>
          <w:spacing w:val="-5"/>
        </w:rPr>
        <w:t> </w:t>
      </w:r>
      <w:r>
        <w:rPr/>
        <w:t>Colville</w:t>
      </w:r>
      <w:r>
        <w:rPr>
          <w:spacing w:val="-5"/>
        </w:rPr>
        <w:t> </w:t>
      </w:r>
      <w:r>
        <w:rPr/>
        <w:t>National Forest administers over 4,000 miles of system roads. The cost of managing this extensive transportation system while providing public and administrative access, habitat for fish and wildlife, and preservation and improvement of water quality presents challenging resource </w:t>
      </w:r>
      <w:r>
        <w:rPr>
          <w:spacing w:val="-2"/>
        </w:rPr>
        <w:t>trade-offs.</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801"/>
      </w:pPr>
      <w:r>
        <w:rPr/>
        <w:t>Additional</w:t>
      </w:r>
      <w:r>
        <w:rPr>
          <w:spacing w:val="-6"/>
        </w:rPr>
        <w:t> </w:t>
      </w:r>
      <w:r>
        <w:rPr/>
        <w:t>private</w:t>
      </w:r>
      <w:r>
        <w:rPr>
          <w:spacing w:val="-5"/>
        </w:rPr>
        <w:t> </w:t>
      </w:r>
      <w:r>
        <w:rPr/>
        <w:t>landowners</w:t>
      </w:r>
      <w:r>
        <w:rPr>
          <w:spacing w:val="-6"/>
        </w:rPr>
        <w:t> </w:t>
      </w:r>
      <w:r>
        <w:rPr/>
        <w:t>adjacent</w:t>
      </w:r>
      <w:r>
        <w:rPr>
          <w:spacing w:val="-8"/>
        </w:rPr>
        <w:t> </w:t>
      </w:r>
      <w:r>
        <w:rPr/>
        <w:t>to</w:t>
      </w:r>
      <w:r>
        <w:rPr>
          <w:spacing w:val="-5"/>
        </w:rPr>
        <w:t> </w:t>
      </w:r>
      <w:r>
        <w:rPr/>
        <w:t>national</w:t>
      </w:r>
      <w:r>
        <w:rPr>
          <w:spacing w:val="-6"/>
        </w:rPr>
        <w:t> </w:t>
      </w:r>
      <w:r>
        <w:rPr/>
        <w:t>forests</w:t>
      </w:r>
      <w:r>
        <w:rPr>
          <w:spacing w:val="-8"/>
        </w:rPr>
        <w:t> </w:t>
      </w:r>
      <w:r>
        <w:rPr/>
        <w:t>means</w:t>
      </w:r>
      <w:r>
        <w:rPr>
          <w:spacing w:val="-8"/>
        </w:rPr>
        <w:t> </w:t>
      </w:r>
      <w:r>
        <w:rPr/>
        <w:t>more</w:t>
      </w:r>
      <w:r>
        <w:rPr>
          <w:spacing w:val="-5"/>
        </w:rPr>
        <w:t> </w:t>
      </w:r>
      <w:r>
        <w:rPr/>
        <w:t>neighbors</w:t>
      </w:r>
      <w:r>
        <w:rPr>
          <w:spacing w:val="-8"/>
        </w:rPr>
        <w:t> </w:t>
      </w:r>
      <w:r>
        <w:rPr/>
        <w:t>with</w:t>
      </w:r>
      <w:r>
        <w:rPr>
          <w:spacing w:val="-9"/>
        </w:rPr>
        <w:t> </w:t>
      </w:r>
      <w:r>
        <w:rPr/>
        <w:t>whom the Forest Service needs to coordinate access for public recreation and other management </w:t>
      </w:r>
      <w:r>
        <w:rPr>
          <w:spacing w:val="-2"/>
        </w:rPr>
        <w:t>activities.</w:t>
      </w:r>
    </w:p>
    <w:p>
      <w:pPr>
        <w:pStyle w:val="Heading3"/>
        <w:spacing w:before="234"/>
      </w:pPr>
      <w:bookmarkStart w:name="Renewable Forest Products" w:id="29"/>
      <w:bookmarkEnd w:id="29"/>
      <w:r>
        <w:rPr>
          <w:b w:val="0"/>
        </w:rPr>
      </w:r>
      <w:bookmarkStart w:name="_bookmark16" w:id="30"/>
      <w:bookmarkEnd w:id="30"/>
      <w:r>
        <w:rPr>
          <w:b w:val="0"/>
        </w:rPr>
      </w:r>
      <w:r>
        <w:rPr>
          <w:smallCaps/>
          <w:color w:val="475824"/>
        </w:rPr>
        <w:t>Renewable</w:t>
      </w:r>
      <w:r>
        <w:rPr>
          <w:smallCaps/>
          <w:color w:val="475824"/>
          <w:spacing w:val="-7"/>
        </w:rPr>
        <w:t> </w:t>
      </w:r>
      <w:r>
        <w:rPr>
          <w:smallCaps/>
          <w:color w:val="475824"/>
        </w:rPr>
        <w:t>Forest</w:t>
      </w:r>
      <w:r>
        <w:rPr>
          <w:smallCaps/>
          <w:color w:val="475824"/>
          <w:spacing w:val="-7"/>
        </w:rPr>
        <w:t> </w:t>
      </w:r>
      <w:r>
        <w:rPr>
          <w:smallCaps/>
          <w:color w:val="475824"/>
          <w:spacing w:val="-2"/>
        </w:rPr>
        <w:t>Products</w:t>
      </w:r>
    </w:p>
    <w:p>
      <w:pPr>
        <w:pStyle w:val="BodyText"/>
        <w:spacing w:line="232" w:lineRule="auto" w:before="64"/>
        <w:ind w:left="1151" w:right="742"/>
      </w:pPr>
      <w:r>
        <w:rPr/>
        <w:t>The Colville National Forest provides water and renewable forest products such as timber, firewood, forage, huckleberries,</w:t>
      </w:r>
      <w:r>
        <w:rPr>
          <w:spacing w:val="-1"/>
        </w:rPr>
        <w:t> </w:t>
      </w:r>
      <w:r>
        <w:rPr/>
        <w:t>mushrooms,</w:t>
      </w:r>
      <w:r>
        <w:rPr>
          <w:spacing w:val="-1"/>
        </w:rPr>
        <w:t> </w:t>
      </w:r>
      <w:r>
        <w:rPr/>
        <w:t>material</w:t>
      </w:r>
      <w:r>
        <w:rPr>
          <w:spacing w:val="-2"/>
        </w:rPr>
        <w:t> </w:t>
      </w:r>
      <w:r>
        <w:rPr/>
        <w:t>for floral arrangements,</w:t>
      </w:r>
      <w:r>
        <w:rPr>
          <w:spacing w:val="-1"/>
        </w:rPr>
        <w:t> </w:t>
      </w:r>
      <w:r>
        <w:rPr/>
        <w:t>Christmas</w:t>
      </w:r>
      <w:r>
        <w:rPr>
          <w:spacing w:val="-1"/>
        </w:rPr>
        <w:t> </w:t>
      </w:r>
      <w:r>
        <w:rPr/>
        <w:t>trees, native plants and seed, and medicinal plants. Managers must effectively communicate with an increasing</w:t>
      </w:r>
      <w:r>
        <w:rPr>
          <w:spacing w:val="-7"/>
        </w:rPr>
        <w:t> </w:t>
      </w:r>
      <w:r>
        <w:rPr/>
        <w:t>diversity</w:t>
      </w:r>
      <w:r>
        <w:rPr>
          <w:spacing w:val="-7"/>
        </w:rPr>
        <w:t> </w:t>
      </w:r>
      <w:r>
        <w:rPr/>
        <w:t>of</w:t>
      </w:r>
      <w:r>
        <w:rPr>
          <w:spacing w:val="-6"/>
        </w:rPr>
        <w:t> </w:t>
      </w:r>
      <w:r>
        <w:rPr/>
        <w:t>people</w:t>
      </w:r>
      <w:r>
        <w:rPr>
          <w:spacing w:val="-5"/>
        </w:rPr>
        <w:t> </w:t>
      </w:r>
      <w:r>
        <w:rPr/>
        <w:t>with</w:t>
      </w:r>
      <w:r>
        <w:rPr>
          <w:spacing w:val="-8"/>
        </w:rPr>
        <w:t> </w:t>
      </w:r>
      <w:r>
        <w:rPr/>
        <w:t>varying</w:t>
      </w:r>
      <w:r>
        <w:rPr>
          <w:spacing w:val="-7"/>
        </w:rPr>
        <w:t> </w:t>
      </w:r>
      <w:r>
        <w:rPr/>
        <w:t>knowledge</w:t>
      </w:r>
      <w:r>
        <w:rPr>
          <w:spacing w:val="-9"/>
        </w:rPr>
        <w:t> </w:t>
      </w:r>
      <w:r>
        <w:rPr/>
        <w:t>of</w:t>
      </w:r>
      <w:r>
        <w:rPr>
          <w:spacing w:val="-6"/>
        </w:rPr>
        <w:t> </w:t>
      </w:r>
      <w:r>
        <w:rPr/>
        <w:t>national</w:t>
      </w:r>
      <w:r>
        <w:rPr>
          <w:spacing w:val="-6"/>
        </w:rPr>
        <w:t> </w:t>
      </w:r>
      <w:r>
        <w:rPr/>
        <w:t>forest</w:t>
      </w:r>
      <w:r>
        <w:rPr>
          <w:spacing w:val="-7"/>
        </w:rPr>
        <w:t> </w:t>
      </w:r>
      <w:r>
        <w:rPr/>
        <w:t>management</w:t>
      </w:r>
      <w:r>
        <w:rPr>
          <w:spacing w:val="-7"/>
        </w:rPr>
        <w:t> </w:t>
      </w:r>
      <w:r>
        <w:rPr/>
        <w:t>objectives to encourage responsible stewardship of the national forest.</w:t>
      </w:r>
    </w:p>
    <w:p>
      <w:pPr>
        <w:pStyle w:val="Heading3"/>
        <w:spacing w:before="233"/>
      </w:pPr>
      <w:bookmarkStart w:name="Implementation Challenges" w:id="31"/>
      <w:bookmarkEnd w:id="31"/>
      <w:r>
        <w:rPr>
          <w:b w:val="0"/>
        </w:rPr>
      </w:r>
      <w:bookmarkStart w:name="_bookmark17" w:id="32"/>
      <w:bookmarkEnd w:id="32"/>
      <w:r>
        <w:rPr>
          <w:b w:val="0"/>
        </w:rPr>
      </w:r>
      <w:r>
        <w:rPr>
          <w:smallCaps/>
          <w:color w:val="475824"/>
        </w:rPr>
        <w:t>Implementation</w:t>
      </w:r>
      <w:r>
        <w:rPr>
          <w:smallCaps/>
          <w:color w:val="475824"/>
          <w:spacing w:val="-13"/>
        </w:rPr>
        <w:t> </w:t>
      </w:r>
      <w:r>
        <w:rPr>
          <w:smallCaps/>
          <w:color w:val="475824"/>
          <w:spacing w:val="-2"/>
        </w:rPr>
        <w:t>Challenges</w:t>
      </w:r>
    </w:p>
    <w:p>
      <w:pPr>
        <w:pStyle w:val="BodyText"/>
        <w:spacing w:line="232" w:lineRule="auto" w:before="64"/>
        <w:ind w:left="1152" w:right="735"/>
      </w:pPr>
      <w:r>
        <w:rPr/>
        <w:t>A final challenge is maintaining relevancy of the national forests to the American people. Our success in achieving desired conditions depends on recognizing these challenges, some of</w:t>
      </w:r>
      <w:r>
        <w:rPr>
          <w:spacing w:val="40"/>
        </w:rPr>
        <w:t> </w:t>
      </w:r>
      <w:r>
        <w:rPr/>
        <w:t>which</w:t>
      </w:r>
      <w:r>
        <w:rPr>
          <w:spacing w:val="-7"/>
        </w:rPr>
        <w:t> </w:t>
      </w:r>
      <w:r>
        <w:rPr/>
        <w:t>may</w:t>
      </w:r>
      <w:r>
        <w:rPr>
          <w:spacing w:val="-5"/>
        </w:rPr>
        <w:t> </w:t>
      </w:r>
      <w:r>
        <w:rPr/>
        <w:t>be</w:t>
      </w:r>
      <w:r>
        <w:rPr>
          <w:spacing w:val="-5"/>
        </w:rPr>
        <w:t> </w:t>
      </w:r>
      <w:r>
        <w:rPr/>
        <w:t>beyond</w:t>
      </w:r>
      <w:r>
        <w:rPr>
          <w:spacing w:val="-9"/>
        </w:rPr>
        <w:t> </w:t>
      </w:r>
      <w:r>
        <w:rPr/>
        <w:t>our</w:t>
      </w:r>
      <w:r>
        <w:rPr>
          <w:spacing w:val="-8"/>
        </w:rPr>
        <w:t> </w:t>
      </w:r>
      <w:r>
        <w:rPr/>
        <w:t>management</w:t>
      </w:r>
      <w:r>
        <w:rPr>
          <w:spacing w:val="-5"/>
        </w:rPr>
        <w:t> </w:t>
      </w:r>
      <w:r>
        <w:rPr/>
        <w:t>capability,</w:t>
      </w:r>
      <w:r>
        <w:rPr>
          <w:spacing w:val="-8"/>
        </w:rPr>
        <w:t> </w:t>
      </w:r>
      <w:r>
        <w:rPr/>
        <w:t>such</w:t>
      </w:r>
      <w:r>
        <w:rPr>
          <w:spacing w:val="-7"/>
        </w:rPr>
        <w:t> </w:t>
      </w:r>
      <w:r>
        <w:rPr/>
        <w:t>as</w:t>
      </w:r>
      <w:r>
        <w:rPr>
          <w:spacing w:val="-6"/>
        </w:rPr>
        <w:t> </w:t>
      </w:r>
      <w:r>
        <w:rPr/>
        <w:t>uncertainties</w:t>
      </w:r>
      <w:r>
        <w:rPr>
          <w:spacing w:val="-6"/>
        </w:rPr>
        <w:t> </w:t>
      </w:r>
      <w:r>
        <w:rPr/>
        <w:t>around</w:t>
      </w:r>
      <w:r>
        <w:rPr>
          <w:spacing w:val="-7"/>
        </w:rPr>
        <w:t> </w:t>
      </w:r>
      <w:r>
        <w:rPr/>
        <w:t>climate</w:t>
      </w:r>
      <w:r>
        <w:rPr>
          <w:spacing w:val="-5"/>
        </w:rPr>
        <w:t> </w:t>
      </w:r>
      <w:r>
        <w:rPr/>
        <w:t>change, unforeseen environmental disturbances, and budgetary fluctuations. These challenges may mean it will take longer and more work to achieve the desired conditions. Congress allocates the</w:t>
      </w:r>
      <w:r>
        <w:rPr>
          <w:spacing w:val="-3"/>
        </w:rPr>
        <w:t> </w:t>
      </w:r>
      <w:r>
        <w:rPr/>
        <w:t>Forest</w:t>
      </w:r>
      <w:r>
        <w:rPr>
          <w:spacing w:val="-3"/>
        </w:rPr>
        <w:t> </w:t>
      </w:r>
      <w:r>
        <w:rPr/>
        <w:t>Service</w:t>
      </w:r>
      <w:r>
        <w:rPr>
          <w:spacing w:val="-3"/>
        </w:rPr>
        <w:t> </w:t>
      </w:r>
      <w:r>
        <w:rPr/>
        <w:t>budgets</w:t>
      </w:r>
      <w:r>
        <w:rPr>
          <w:spacing w:val="-8"/>
        </w:rPr>
        <w:t> </w:t>
      </w:r>
      <w:r>
        <w:rPr/>
        <w:t>on</w:t>
      </w:r>
      <w:r>
        <w:rPr>
          <w:spacing w:val="-5"/>
        </w:rPr>
        <w:t> </w:t>
      </w:r>
      <w:r>
        <w:rPr/>
        <w:t>an</w:t>
      </w:r>
      <w:r>
        <w:rPr>
          <w:spacing w:val="-5"/>
        </w:rPr>
        <w:t> </w:t>
      </w:r>
      <w:r>
        <w:rPr/>
        <w:t>annual</w:t>
      </w:r>
      <w:r>
        <w:rPr>
          <w:spacing w:val="-4"/>
        </w:rPr>
        <w:t> </w:t>
      </w:r>
      <w:r>
        <w:rPr/>
        <w:t>basis,</w:t>
      </w:r>
      <w:r>
        <w:rPr>
          <w:spacing w:val="-6"/>
        </w:rPr>
        <w:t> </w:t>
      </w:r>
      <w:r>
        <w:rPr/>
        <w:t>which</w:t>
      </w:r>
      <w:r>
        <w:rPr>
          <w:spacing w:val="-6"/>
        </w:rPr>
        <w:t> </w:t>
      </w:r>
      <w:r>
        <w:rPr/>
        <w:t>may</w:t>
      </w:r>
      <w:r>
        <w:rPr>
          <w:spacing w:val="-5"/>
        </w:rPr>
        <w:t> </w:t>
      </w:r>
      <w:r>
        <w:rPr/>
        <w:t>or</w:t>
      </w:r>
      <w:r>
        <w:rPr>
          <w:spacing w:val="-6"/>
        </w:rPr>
        <w:t> </w:t>
      </w:r>
      <w:r>
        <w:rPr/>
        <w:t>may</w:t>
      </w:r>
      <w:r>
        <w:rPr>
          <w:spacing w:val="-5"/>
        </w:rPr>
        <w:t> </w:t>
      </w:r>
      <w:r>
        <w:rPr/>
        <w:t>not</w:t>
      </w:r>
      <w:r>
        <w:rPr>
          <w:spacing w:val="-6"/>
        </w:rPr>
        <w:t> </w:t>
      </w:r>
      <w:r>
        <w:rPr/>
        <w:t>be</w:t>
      </w:r>
      <w:r>
        <w:rPr>
          <w:spacing w:val="-3"/>
        </w:rPr>
        <w:t> </w:t>
      </w:r>
      <w:r>
        <w:rPr/>
        <w:t>sufficient</w:t>
      </w:r>
      <w:r>
        <w:rPr>
          <w:spacing w:val="-3"/>
        </w:rPr>
        <w:t> </w:t>
      </w:r>
      <w:r>
        <w:rPr/>
        <w:t>to</w:t>
      </w:r>
      <w:r>
        <w:rPr>
          <w:spacing w:val="-3"/>
        </w:rPr>
        <w:t> </w:t>
      </w:r>
      <w:r>
        <w:rPr/>
        <w:t>implement proposed annual activities or meet desired conditions.</w:t>
      </w:r>
    </w:p>
    <w:p>
      <w:pPr>
        <w:pStyle w:val="BodyText"/>
        <w:spacing w:after="0" w:line="232" w:lineRule="auto"/>
        <w:sectPr>
          <w:pgSz w:w="12240" w:h="15840"/>
          <w:pgMar w:header="725" w:footer="891" w:top="960" w:bottom="1080" w:left="1080" w:right="7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pStyle w:val="BodyText"/>
        <w:spacing w:before="1"/>
        <w:ind w:left="3194"/>
      </w:pPr>
      <w:r>
        <w:rPr/>
        <w:t>This</w:t>
      </w:r>
      <w:r>
        <w:rPr>
          <w:spacing w:val="-8"/>
        </w:rPr>
        <w:t> </w:t>
      </w:r>
      <w:r>
        <w:rPr/>
        <w:t>page</w:t>
      </w:r>
      <w:r>
        <w:rPr>
          <w:spacing w:val="-7"/>
        </w:rPr>
        <w:t> </w:t>
      </w:r>
      <w:r>
        <w:rPr/>
        <w:t>intentionally</w:t>
      </w:r>
      <w:r>
        <w:rPr>
          <w:spacing w:val="-7"/>
        </w:rPr>
        <w:t> </w:t>
      </w:r>
      <w:r>
        <w:rPr/>
        <w:t>left</w:t>
      </w:r>
      <w:r>
        <w:rPr>
          <w:spacing w:val="-9"/>
        </w:rPr>
        <w:t> </w:t>
      </w:r>
      <w:r>
        <w:rPr>
          <w:spacing w:val="-2"/>
        </w:rPr>
        <w:t>blank</w:t>
      </w:r>
    </w:p>
    <w:p>
      <w:pPr>
        <w:pStyle w:val="BodyText"/>
        <w:spacing w:after="0"/>
        <w:sectPr>
          <w:pgSz w:w="12240" w:h="15840"/>
          <w:pgMar w:header="725" w:footer="891" w:top="960" w:bottom="1080" w:left="1080" w:right="720"/>
        </w:sectPr>
      </w:pPr>
    </w:p>
    <w:p>
      <w:pPr>
        <w:pStyle w:val="BodyText"/>
        <w:spacing w:before="198"/>
        <w:rPr>
          <w:sz w:val="26"/>
        </w:rPr>
      </w:pPr>
    </w:p>
    <w:p>
      <w:pPr>
        <w:pStyle w:val="Heading2"/>
        <w:ind w:left="1151"/>
      </w:pPr>
      <w:bookmarkStart w:name="Introduction to the Plan" w:id="33"/>
      <w:bookmarkEnd w:id="33"/>
      <w:r>
        <w:rPr/>
      </w:r>
      <w:bookmarkStart w:name="_bookmark18" w:id="34"/>
      <w:bookmarkEnd w:id="34"/>
      <w:r>
        <w:rPr/>
      </w:r>
      <w:r>
        <w:rPr>
          <w:smallCaps/>
          <w:color w:val="475824"/>
        </w:rPr>
        <w:t>Introduction</w:t>
      </w:r>
      <w:r>
        <w:rPr>
          <w:smallCaps/>
          <w:color w:val="475824"/>
          <w:spacing w:val="-15"/>
        </w:rPr>
        <w:t> </w:t>
      </w:r>
      <w:r>
        <w:rPr>
          <w:smallCaps/>
          <w:color w:val="475824"/>
        </w:rPr>
        <w:t>to</w:t>
      </w:r>
      <w:r>
        <w:rPr>
          <w:smallCaps/>
          <w:color w:val="475824"/>
          <w:spacing w:val="-14"/>
        </w:rPr>
        <w:t> </w:t>
      </w:r>
      <w:r>
        <w:rPr>
          <w:smallCaps/>
          <w:color w:val="475824"/>
        </w:rPr>
        <w:t>the</w:t>
      </w:r>
      <w:r>
        <w:rPr>
          <w:smallCaps/>
          <w:color w:val="475824"/>
          <w:spacing w:val="-9"/>
        </w:rPr>
        <w:t> </w:t>
      </w:r>
      <w:r>
        <w:rPr>
          <w:smallCaps/>
          <w:color w:val="475824"/>
          <w:spacing w:val="-4"/>
        </w:rPr>
        <w:t>Plan</w:t>
      </w:r>
    </w:p>
    <w:p>
      <w:pPr>
        <w:pStyle w:val="BodyText"/>
        <w:spacing w:line="232" w:lineRule="auto" w:before="65"/>
        <w:ind w:left="1151" w:right="801"/>
      </w:pPr>
      <w:r>
        <w:rPr/>
        <w:t>The</w:t>
      </w:r>
      <w:r>
        <w:rPr>
          <w:spacing w:val="-4"/>
        </w:rPr>
        <w:t> </w:t>
      </w:r>
      <w:r>
        <w:rPr/>
        <w:t>mission</w:t>
      </w:r>
      <w:r>
        <w:rPr>
          <w:spacing w:val="-5"/>
        </w:rPr>
        <w:t> </w:t>
      </w:r>
      <w:r>
        <w:rPr/>
        <w:t>of</w:t>
      </w:r>
      <w:r>
        <w:rPr>
          <w:spacing w:val="-4"/>
        </w:rPr>
        <w:t> </w:t>
      </w:r>
      <w:r>
        <w:rPr/>
        <w:t>the</w:t>
      </w:r>
      <w:r>
        <w:rPr>
          <w:spacing w:val="-1"/>
        </w:rPr>
        <w:t> </w:t>
      </w:r>
      <w:r>
        <w:rPr/>
        <w:t>United</w:t>
      </w:r>
      <w:r>
        <w:rPr>
          <w:spacing w:val="-3"/>
        </w:rPr>
        <w:t> </w:t>
      </w:r>
      <w:r>
        <w:rPr/>
        <w:t>States</w:t>
      </w:r>
      <w:r>
        <w:rPr>
          <w:spacing w:val="-4"/>
        </w:rPr>
        <w:t> </w:t>
      </w:r>
      <w:r>
        <w:rPr/>
        <w:t>Department</w:t>
      </w:r>
      <w:r>
        <w:rPr>
          <w:spacing w:val="-4"/>
        </w:rPr>
        <w:t> </w:t>
      </w:r>
      <w:r>
        <w:rPr/>
        <w:t>of</w:t>
      </w:r>
      <w:r>
        <w:rPr>
          <w:spacing w:val="-2"/>
        </w:rPr>
        <w:t> </w:t>
      </w:r>
      <w:r>
        <w:rPr/>
        <w:t>Agriculture</w:t>
      </w:r>
      <w:r>
        <w:rPr>
          <w:spacing w:val="-1"/>
        </w:rPr>
        <w:t> </w:t>
      </w:r>
      <w:r>
        <w:rPr/>
        <w:t>(USDA)</w:t>
      </w:r>
      <w:r>
        <w:rPr>
          <w:spacing w:val="-4"/>
        </w:rPr>
        <w:t> </w:t>
      </w:r>
      <w:r>
        <w:rPr/>
        <w:t>Forest</w:t>
      </w:r>
      <w:r>
        <w:rPr>
          <w:spacing w:val="-1"/>
        </w:rPr>
        <w:t> </w:t>
      </w:r>
      <w:r>
        <w:rPr/>
        <w:t>Service</w:t>
      </w:r>
      <w:r>
        <w:rPr>
          <w:spacing w:val="-6"/>
        </w:rPr>
        <w:t> </w:t>
      </w:r>
      <w:r>
        <w:rPr/>
        <w:t>is</w:t>
      </w:r>
      <w:r>
        <w:rPr>
          <w:spacing w:val="-2"/>
        </w:rPr>
        <w:t> </w:t>
      </w:r>
      <w:r>
        <w:rPr/>
        <w:t>to</w:t>
      </w:r>
      <w:r>
        <w:rPr>
          <w:spacing w:val="-3"/>
        </w:rPr>
        <w:t> </w:t>
      </w:r>
      <w:r>
        <w:rPr/>
        <w:t>sustain the</w:t>
      </w:r>
      <w:r>
        <w:rPr>
          <w:spacing w:val="-4"/>
        </w:rPr>
        <w:t> </w:t>
      </w:r>
      <w:r>
        <w:rPr/>
        <w:t>health,</w:t>
      </w:r>
      <w:r>
        <w:rPr>
          <w:spacing w:val="-7"/>
        </w:rPr>
        <w:t> </w:t>
      </w:r>
      <w:r>
        <w:rPr/>
        <w:t>diversity,</w:t>
      </w:r>
      <w:r>
        <w:rPr>
          <w:spacing w:val="-7"/>
        </w:rPr>
        <w:t> </w:t>
      </w:r>
      <w:r>
        <w:rPr/>
        <w:t>and</w:t>
      </w:r>
      <w:r>
        <w:rPr>
          <w:spacing w:val="-6"/>
        </w:rPr>
        <w:t> </w:t>
      </w:r>
      <w:r>
        <w:rPr/>
        <w:t>productivity</w:t>
      </w:r>
      <w:r>
        <w:rPr>
          <w:spacing w:val="-6"/>
        </w:rPr>
        <w:t> </w:t>
      </w:r>
      <w:r>
        <w:rPr/>
        <w:t>of</w:t>
      </w:r>
      <w:r>
        <w:rPr>
          <w:spacing w:val="-7"/>
        </w:rPr>
        <w:t> </w:t>
      </w:r>
      <w:r>
        <w:rPr/>
        <w:t>the</w:t>
      </w:r>
      <w:r>
        <w:rPr>
          <w:spacing w:val="-4"/>
        </w:rPr>
        <w:t> </w:t>
      </w:r>
      <w:r>
        <w:rPr/>
        <w:t>Nation’s</w:t>
      </w:r>
      <w:r>
        <w:rPr>
          <w:spacing w:val="-5"/>
        </w:rPr>
        <w:t> </w:t>
      </w:r>
      <w:r>
        <w:rPr/>
        <w:t>forests</w:t>
      </w:r>
      <w:r>
        <w:rPr>
          <w:spacing w:val="-5"/>
        </w:rPr>
        <w:t> </w:t>
      </w:r>
      <w:r>
        <w:rPr/>
        <w:t>and</w:t>
      </w:r>
      <w:r>
        <w:rPr>
          <w:spacing w:val="-6"/>
        </w:rPr>
        <w:t> </w:t>
      </w:r>
      <w:r>
        <w:rPr/>
        <w:t>grasslands</w:t>
      </w:r>
      <w:r>
        <w:rPr>
          <w:spacing w:val="-7"/>
        </w:rPr>
        <w:t> </w:t>
      </w:r>
      <w:r>
        <w:rPr/>
        <w:t>to</w:t>
      </w:r>
      <w:r>
        <w:rPr>
          <w:spacing w:val="-6"/>
        </w:rPr>
        <w:t> </w:t>
      </w:r>
      <w:r>
        <w:rPr/>
        <w:t>meet</w:t>
      </w:r>
      <w:r>
        <w:rPr>
          <w:spacing w:val="-4"/>
        </w:rPr>
        <w:t> </w:t>
      </w:r>
      <w:r>
        <w:rPr/>
        <w:t>the</w:t>
      </w:r>
      <w:r>
        <w:rPr>
          <w:spacing w:val="-7"/>
        </w:rPr>
        <w:t> </w:t>
      </w:r>
      <w:r>
        <w:rPr/>
        <w:t>needs of present and future generations. The phrase, “Caring for the Land and Serving People” captures</w:t>
      </w:r>
      <w:r>
        <w:rPr>
          <w:spacing w:val="-2"/>
        </w:rPr>
        <w:t> </w:t>
      </w:r>
      <w:r>
        <w:rPr/>
        <w:t>the USDA</w:t>
      </w:r>
      <w:r>
        <w:rPr>
          <w:spacing w:val="-3"/>
        </w:rPr>
        <w:t> </w:t>
      </w:r>
      <w:r>
        <w:rPr/>
        <w:t>Forest</w:t>
      </w:r>
      <w:r>
        <w:rPr>
          <w:spacing w:val="-2"/>
        </w:rPr>
        <w:t> </w:t>
      </w:r>
      <w:r>
        <w:rPr/>
        <w:t>Service</w:t>
      </w:r>
      <w:r>
        <w:rPr>
          <w:spacing w:val="-2"/>
        </w:rPr>
        <w:t> </w:t>
      </w:r>
      <w:r>
        <w:rPr/>
        <w:t>mission. As set</w:t>
      </w:r>
      <w:r>
        <w:rPr>
          <w:spacing w:val="-2"/>
        </w:rPr>
        <w:t> </w:t>
      </w:r>
      <w:r>
        <w:rPr/>
        <w:t>forth</w:t>
      </w:r>
      <w:r>
        <w:rPr>
          <w:spacing w:val="-3"/>
        </w:rPr>
        <w:t> </w:t>
      </w:r>
      <w:r>
        <w:rPr/>
        <w:t>in</w:t>
      </w:r>
      <w:r>
        <w:rPr>
          <w:spacing w:val="-1"/>
        </w:rPr>
        <w:t> </w:t>
      </w:r>
      <w:r>
        <w:rPr/>
        <w:t>law, our</w:t>
      </w:r>
      <w:r>
        <w:rPr>
          <w:spacing w:val="-2"/>
        </w:rPr>
        <w:t> </w:t>
      </w:r>
      <w:r>
        <w:rPr/>
        <w:t>mission</w:t>
      </w:r>
      <w:r>
        <w:rPr>
          <w:spacing w:val="-1"/>
        </w:rPr>
        <w:t> </w:t>
      </w:r>
      <w:r>
        <w:rPr/>
        <w:t>is</w:t>
      </w:r>
      <w:r>
        <w:rPr>
          <w:spacing w:val="-2"/>
        </w:rPr>
        <w:t> </w:t>
      </w:r>
      <w:r>
        <w:rPr/>
        <w:t>to</w:t>
      </w:r>
      <w:r>
        <w:rPr>
          <w:spacing w:val="-1"/>
        </w:rPr>
        <w:t> </w:t>
      </w:r>
      <w:r>
        <w:rPr/>
        <w:t>achieve quality land management under the sustainable multiple-use management concept to meet the diverse needs</w:t>
      </w:r>
      <w:r>
        <w:rPr>
          <w:spacing w:val="-2"/>
        </w:rPr>
        <w:t> </w:t>
      </w:r>
      <w:r>
        <w:rPr/>
        <w:t>of people. The</w:t>
      </w:r>
      <w:r>
        <w:rPr>
          <w:spacing w:val="-2"/>
        </w:rPr>
        <w:t> </w:t>
      </w:r>
      <w:r>
        <w:rPr/>
        <w:t>overall goal</w:t>
      </w:r>
      <w:r>
        <w:rPr>
          <w:spacing w:val="-3"/>
        </w:rPr>
        <w:t> </w:t>
      </w:r>
      <w:r>
        <w:rPr/>
        <w:t>of</w:t>
      </w:r>
      <w:r>
        <w:rPr>
          <w:spacing w:val="-2"/>
        </w:rPr>
        <w:t> </w:t>
      </w:r>
      <w:r>
        <w:rPr/>
        <w:t>managing</w:t>
      </w:r>
      <w:r>
        <w:rPr>
          <w:spacing w:val="-3"/>
        </w:rPr>
        <w:t> </w:t>
      </w:r>
      <w:r>
        <w:rPr/>
        <w:t>the National</w:t>
      </w:r>
      <w:r>
        <w:rPr>
          <w:spacing w:val="-3"/>
        </w:rPr>
        <w:t> </w:t>
      </w:r>
      <w:r>
        <w:rPr/>
        <w:t>Forest System</w:t>
      </w:r>
      <w:r>
        <w:rPr>
          <w:spacing w:val="-1"/>
        </w:rPr>
        <w:t> </w:t>
      </w:r>
      <w:r>
        <w:rPr/>
        <w:t>is to</w:t>
      </w:r>
      <w:r>
        <w:rPr>
          <w:spacing w:val="-1"/>
        </w:rPr>
        <w:t> </w:t>
      </w:r>
      <w:r>
        <w:rPr/>
        <w:t>sustain the multiple uses of its renewable resources in perpetuity, while maintaining the long-term productivity of the land.</w:t>
      </w:r>
    </w:p>
    <w:p>
      <w:pPr>
        <w:pStyle w:val="Heading2"/>
        <w:spacing w:before="231"/>
        <w:ind w:left="1151"/>
      </w:pPr>
      <w:bookmarkStart w:name="Purpose of this Land Management Plan" w:id="35"/>
      <w:bookmarkEnd w:id="35"/>
      <w:r>
        <w:rPr/>
      </w:r>
      <w:bookmarkStart w:name="_bookmark19" w:id="36"/>
      <w:bookmarkEnd w:id="36"/>
      <w:r>
        <w:rPr/>
      </w:r>
      <w:r>
        <w:rPr>
          <w:smallCaps/>
          <w:color w:val="475824"/>
        </w:rPr>
        <w:t>Purpose</w:t>
      </w:r>
      <w:r>
        <w:rPr>
          <w:smallCaps/>
          <w:color w:val="475824"/>
          <w:spacing w:val="-7"/>
        </w:rPr>
        <w:t> </w:t>
      </w:r>
      <w:r>
        <w:rPr>
          <w:smallCaps/>
          <w:color w:val="475824"/>
        </w:rPr>
        <w:t>of</w:t>
      </w:r>
      <w:r>
        <w:rPr>
          <w:smallCaps/>
          <w:color w:val="475824"/>
          <w:spacing w:val="-14"/>
        </w:rPr>
        <w:t> </w:t>
      </w:r>
      <w:r>
        <w:rPr>
          <w:smallCaps/>
          <w:color w:val="475824"/>
        </w:rPr>
        <w:t>this</w:t>
      </w:r>
      <w:r>
        <w:rPr>
          <w:smallCaps/>
          <w:color w:val="475824"/>
          <w:spacing w:val="-6"/>
        </w:rPr>
        <w:t> </w:t>
      </w:r>
      <w:r>
        <w:rPr>
          <w:smallCaps/>
          <w:color w:val="475824"/>
        </w:rPr>
        <w:t>Land</w:t>
      </w:r>
      <w:r>
        <w:rPr>
          <w:smallCaps/>
          <w:color w:val="475824"/>
          <w:spacing w:val="-10"/>
        </w:rPr>
        <w:t> </w:t>
      </w:r>
      <w:r>
        <w:rPr>
          <w:smallCaps/>
          <w:color w:val="475824"/>
        </w:rPr>
        <w:t>Management</w:t>
      </w:r>
      <w:r>
        <w:rPr>
          <w:smallCaps/>
          <w:color w:val="475824"/>
          <w:spacing w:val="-11"/>
        </w:rPr>
        <w:t> </w:t>
      </w:r>
      <w:r>
        <w:rPr>
          <w:smallCaps/>
          <w:color w:val="475824"/>
          <w:spacing w:val="-4"/>
        </w:rPr>
        <w:t>Plan</w:t>
      </w:r>
    </w:p>
    <w:p>
      <w:pPr>
        <w:pStyle w:val="BodyText"/>
        <w:spacing w:line="232" w:lineRule="auto" w:before="65"/>
        <w:ind w:left="1152" w:right="801"/>
      </w:pPr>
      <w:r>
        <w:rPr/>
        <w:t>Based on current information and guidance, this Land Management Plan (Plan or Forest Plan) provides responsible land management direction for the Colville National Forest by guiding programs, practices, uses and projects. For ease of discussion throughout this document, the Colville</w:t>
      </w:r>
      <w:r>
        <w:rPr>
          <w:spacing w:val="-7"/>
        </w:rPr>
        <w:t> </w:t>
      </w:r>
      <w:r>
        <w:rPr/>
        <w:t>National</w:t>
      </w:r>
      <w:r>
        <w:rPr>
          <w:spacing w:val="-7"/>
        </w:rPr>
        <w:t> </w:t>
      </w:r>
      <w:r>
        <w:rPr/>
        <w:t>Forest</w:t>
      </w:r>
      <w:r>
        <w:rPr>
          <w:spacing w:val="-7"/>
        </w:rPr>
        <w:t> </w:t>
      </w:r>
      <w:r>
        <w:rPr/>
        <w:t>will</w:t>
      </w:r>
      <w:r>
        <w:rPr>
          <w:spacing w:val="-10"/>
        </w:rPr>
        <w:t> </w:t>
      </w:r>
      <w:r>
        <w:rPr/>
        <w:t>be</w:t>
      </w:r>
      <w:r>
        <w:rPr>
          <w:spacing w:val="-7"/>
        </w:rPr>
        <w:t> </w:t>
      </w:r>
      <w:r>
        <w:rPr/>
        <w:t>referred</w:t>
      </w:r>
      <w:r>
        <w:rPr>
          <w:spacing w:val="-8"/>
        </w:rPr>
        <w:t> </w:t>
      </w:r>
      <w:r>
        <w:rPr/>
        <w:t>to</w:t>
      </w:r>
      <w:r>
        <w:rPr>
          <w:spacing w:val="-7"/>
        </w:rPr>
        <w:t> </w:t>
      </w:r>
      <w:r>
        <w:rPr/>
        <w:t>as</w:t>
      </w:r>
      <w:r>
        <w:rPr>
          <w:spacing w:val="-7"/>
        </w:rPr>
        <w:t> </w:t>
      </w:r>
      <w:r>
        <w:rPr/>
        <w:t>Forest</w:t>
      </w:r>
      <w:r>
        <w:rPr>
          <w:spacing w:val="-9"/>
        </w:rPr>
        <w:t> </w:t>
      </w:r>
      <w:r>
        <w:rPr/>
        <w:t>when</w:t>
      </w:r>
      <w:r>
        <w:rPr>
          <w:spacing w:val="-8"/>
        </w:rPr>
        <w:t> </w:t>
      </w:r>
      <w:r>
        <w:rPr/>
        <w:t>referencing</w:t>
      </w:r>
      <w:r>
        <w:rPr>
          <w:spacing w:val="-8"/>
        </w:rPr>
        <w:t> </w:t>
      </w:r>
      <w:r>
        <w:rPr/>
        <w:t>the</w:t>
      </w:r>
      <w:r>
        <w:rPr>
          <w:spacing w:val="-7"/>
        </w:rPr>
        <w:t> </w:t>
      </w:r>
      <w:r>
        <w:rPr/>
        <w:t>single</w:t>
      </w:r>
      <w:r>
        <w:rPr>
          <w:spacing w:val="-9"/>
        </w:rPr>
        <w:t> </w:t>
      </w:r>
      <w:r>
        <w:rPr/>
        <w:t>administrative unit, the staff that administers the unit, or the National Forest System lands within the unit.</w:t>
      </w:r>
    </w:p>
    <w:p>
      <w:pPr>
        <w:pStyle w:val="BodyText"/>
        <w:spacing w:line="232" w:lineRule="auto" w:before="198"/>
        <w:ind w:left="1151" w:right="801"/>
      </w:pPr>
      <w:r>
        <w:rPr/>
        <w:t>On</w:t>
      </w:r>
      <w:r>
        <w:rPr>
          <w:spacing w:val="-4"/>
        </w:rPr>
        <w:t> </w:t>
      </w:r>
      <w:r>
        <w:rPr/>
        <w:t>March</w:t>
      </w:r>
      <w:r>
        <w:rPr>
          <w:spacing w:val="-4"/>
        </w:rPr>
        <w:t> </w:t>
      </w:r>
      <w:r>
        <w:rPr/>
        <w:t>23,</w:t>
      </w:r>
      <w:r>
        <w:rPr>
          <w:spacing w:val="-5"/>
        </w:rPr>
        <w:t> </w:t>
      </w:r>
      <w:r>
        <w:rPr/>
        <w:t>2012,</w:t>
      </w:r>
      <w:r>
        <w:rPr>
          <w:spacing w:val="-3"/>
        </w:rPr>
        <w:t> </w:t>
      </w:r>
      <w:r>
        <w:rPr/>
        <w:t>the</w:t>
      </w:r>
      <w:r>
        <w:rPr>
          <w:spacing w:val="-5"/>
        </w:rPr>
        <w:t> </w:t>
      </w:r>
      <w:r>
        <w:rPr/>
        <w:t>agency</w:t>
      </w:r>
      <w:r>
        <w:rPr>
          <w:spacing w:val="-4"/>
        </w:rPr>
        <w:t> </w:t>
      </w:r>
      <w:r>
        <w:rPr/>
        <w:t>established</w:t>
      </w:r>
      <w:r>
        <w:rPr>
          <w:spacing w:val="-6"/>
        </w:rPr>
        <w:t> </w:t>
      </w:r>
      <w:r>
        <w:rPr/>
        <w:t>a</w:t>
      </w:r>
      <w:r>
        <w:rPr>
          <w:spacing w:val="-3"/>
        </w:rPr>
        <w:t> </w:t>
      </w:r>
      <w:r>
        <w:rPr/>
        <w:t>new</w:t>
      </w:r>
      <w:r>
        <w:rPr>
          <w:spacing w:val="-2"/>
        </w:rPr>
        <w:t> </w:t>
      </w:r>
      <w:r>
        <w:rPr/>
        <w:t>planning</w:t>
      </w:r>
      <w:r>
        <w:rPr>
          <w:spacing w:val="-4"/>
        </w:rPr>
        <w:t> </w:t>
      </w:r>
      <w:r>
        <w:rPr/>
        <w:t>rule</w:t>
      </w:r>
      <w:r>
        <w:rPr>
          <w:spacing w:val="-2"/>
        </w:rPr>
        <w:t> </w:t>
      </w:r>
      <w:r>
        <w:rPr/>
        <w:t>(the</w:t>
      </w:r>
      <w:r>
        <w:rPr>
          <w:spacing w:val="-5"/>
        </w:rPr>
        <w:t> </w:t>
      </w:r>
      <w:r>
        <w:rPr/>
        <w:t>2012</w:t>
      </w:r>
      <w:r>
        <w:rPr>
          <w:spacing w:val="-4"/>
        </w:rPr>
        <w:t> </w:t>
      </w:r>
      <w:r>
        <w:rPr/>
        <w:t>Planning</w:t>
      </w:r>
      <w:r>
        <w:rPr>
          <w:spacing w:val="-4"/>
        </w:rPr>
        <w:t> </w:t>
      </w:r>
      <w:r>
        <w:rPr/>
        <w:t>Rule).</w:t>
      </w:r>
      <w:r>
        <w:rPr>
          <w:spacing w:val="-3"/>
        </w:rPr>
        <w:t> </w:t>
      </w:r>
      <w:r>
        <w:rPr/>
        <w:t>The 2012 Rule also provides transition language at 36 CFR 219.17(b)(3), allowing the responsible official to elect to use the provisions of the prior planning regulations to prepare plan amendments and revisions. The responsible official has elected to continue to follow the provisions of the planning regulations in effect prior to May 9, 2012, as indicated in the 2011 Notice of Intent.</w:t>
      </w:r>
    </w:p>
    <w:p>
      <w:pPr>
        <w:pStyle w:val="BodyText"/>
        <w:spacing w:line="232" w:lineRule="auto" w:before="196"/>
        <w:ind w:left="1151"/>
      </w:pPr>
      <w:r>
        <w:rPr/>
        <w:t>This</w:t>
      </w:r>
      <w:r>
        <w:rPr>
          <w:spacing w:val="-5"/>
        </w:rPr>
        <w:t> </w:t>
      </w:r>
      <w:r>
        <w:rPr/>
        <w:t>Plan</w:t>
      </w:r>
      <w:r>
        <w:rPr>
          <w:spacing w:val="-6"/>
        </w:rPr>
        <w:t> </w:t>
      </w:r>
      <w:r>
        <w:rPr/>
        <w:t>provides</w:t>
      </w:r>
      <w:r>
        <w:rPr>
          <w:spacing w:val="-5"/>
        </w:rPr>
        <w:t> </w:t>
      </w:r>
      <w:r>
        <w:rPr/>
        <w:t>broad</w:t>
      </w:r>
      <w:r>
        <w:rPr>
          <w:spacing w:val="-6"/>
        </w:rPr>
        <w:t> </w:t>
      </w:r>
      <w:r>
        <w:rPr/>
        <w:t>guidance</w:t>
      </w:r>
      <w:r>
        <w:rPr>
          <w:spacing w:val="-4"/>
        </w:rPr>
        <w:t> </w:t>
      </w:r>
      <w:r>
        <w:rPr/>
        <w:t>and</w:t>
      </w:r>
      <w:r>
        <w:rPr>
          <w:spacing w:val="-6"/>
        </w:rPr>
        <w:t> </w:t>
      </w:r>
      <w:r>
        <w:rPr/>
        <w:t>information</w:t>
      </w:r>
      <w:r>
        <w:rPr>
          <w:spacing w:val="-6"/>
        </w:rPr>
        <w:t> </w:t>
      </w:r>
      <w:r>
        <w:rPr/>
        <w:t>for</w:t>
      </w:r>
      <w:r>
        <w:rPr>
          <w:spacing w:val="-7"/>
        </w:rPr>
        <w:t> </w:t>
      </w:r>
      <w:r>
        <w:rPr/>
        <w:t>project</w:t>
      </w:r>
      <w:r>
        <w:rPr>
          <w:spacing w:val="-4"/>
        </w:rPr>
        <w:t> </w:t>
      </w:r>
      <w:r>
        <w:rPr/>
        <w:t>and</w:t>
      </w:r>
      <w:r>
        <w:rPr>
          <w:spacing w:val="-6"/>
        </w:rPr>
        <w:t> </w:t>
      </w:r>
      <w:r>
        <w:rPr/>
        <w:t>activity</w:t>
      </w:r>
      <w:r>
        <w:rPr>
          <w:spacing w:val="-6"/>
        </w:rPr>
        <w:t> </w:t>
      </w:r>
      <w:r>
        <w:rPr/>
        <w:t>decision-making</w:t>
      </w:r>
      <w:r>
        <w:rPr>
          <w:spacing w:val="-6"/>
        </w:rPr>
        <w:t> </w:t>
      </w:r>
      <w:r>
        <w:rPr/>
        <w:t>for approximately the next 15 years</w:t>
      </w:r>
      <w:hyperlink w:history="true" w:anchor="_bookmark20">
        <w:r>
          <w:rPr>
            <w:vertAlign w:val="superscript"/>
          </w:rPr>
          <w:t>3</w:t>
        </w:r>
      </w:hyperlink>
      <w:r>
        <w:rPr>
          <w:vertAlign w:val="baseline"/>
        </w:rPr>
        <w:t>.</w:t>
      </w:r>
    </w:p>
    <w:p>
      <w:pPr>
        <w:pStyle w:val="BodyText"/>
        <w:rPr>
          <w:sz w:val="19"/>
        </w:rPr>
      </w:pPr>
      <w:r>
        <w:rPr>
          <w:sz w:val="19"/>
        </w:rPr>
        <mc:AlternateContent>
          <mc:Choice Requires="wps">
            <w:drawing>
              <wp:anchor distT="0" distB="0" distL="0" distR="0" allowOverlap="1" layoutInCell="1" locked="0" behindDoc="1" simplePos="0" relativeHeight="487592448">
                <wp:simplePos x="0" y="0"/>
                <wp:positionH relativeFrom="page">
                  <wp:posOffset>1336547</wp:posOffset>
                </wp:positionH>
                <wp:positionV relativeFrom="paragraph">
                  <wp:posOffset>162573</wp:posOffset>
                </wp:positionV>
                <wp:extent cx="5614670" cy="2996565"/>
                <wp:effectExtent l="0" t="0" r="0" b="0"/>
                <wp:wrapTopAndBottom/>
                <wp:docPr id="56" name="Group 56"/>
                <wp:cNvGraphicFramePr>
                  <a:graphicFrameLocks/>
                </wp:cNvGraphicFramePr>
                <a:graphic>
                  <a:graphicData uri="http://schemas.microsoft.com/office/word/2010/wordprocessingGroup">
                    <wpg:wgp>
                      <wpg:cNvPr id="56" name="Group 56"/>
                      <wpg:cNvGrpSpPr/>
                      <wpg:grpSpPr>
                        <a:xfrm>
                          <a:off x="0" y="0"/>
                          <a:ext cx="5614670" cy="2996565"/>
                          <a:chExt cx="5614670" cy="2996565"/>
                        </a:xfrm>
                      </wpg:grpSpPr>
                      <wps:wsp>
                        <wps:cNvPr id="57" name="Graphic 57"/>
                        <wps:cNvSpPr/>
                        <wps:spPr>
                          <a:xfrm>
                            <a:off x="12191" y="12191"/>
                            <a:ext cx="5577840" cy="304800"/>
                          </a:xfrm>
                          <a:custGeom>
                            <a:avLst/>
                            <a:gdLst/>
                            <a:ahLst/>
                            <a:cxnLst/>
                            <a:rect l="l" t="t" r="r" b="b"/>
                            <a:pathLst>
                              <a:path w="5577840" h="304800">
                                <a:moveTo>
                                  <a:pt x="5577840" y="0"/>
                                </a:moveTo>
                                <a:lnTo>
                                  <a:pt x="0" y="0"/>
                                </a:lnTo>
                                <a:lnTo>
                                  <a:pt x="0" y="304800"/>
                                </a:lnTo>
                                <a:lnTo>
                                  <a:pt x="5577840" y="304800"/>
                                </a:lnTo>
                                <a:lnTo>
                                  <a:pt x="5577840" y="0"/>
                                </a:lnTo>
                                <a:close/>
                              </a:path>
                            </a:pathLst>
                          </a:custGeom>
                          <a:solidFill>
                            <a:srgbClr val="D5E2BB"/>
                          </a:solidFill>
                        </wps:spPr>
                        <wps:bodyPr wrap="square" lIns="0" tIns="0" rIns="0" bIns="0" rtlCol="0">
                          <a:prstTxWarp prst="textNoShape">
                            <a:avLst/>
                          </a:prstTxWarp>
                          <a:noAutofit/>
                        </wps:bodyPr>
                      </wps:wsp>
                      <wps:wsp>
                        <wps:cNvPr id="58" name="Graphic 58"/>
                        <wps:cNvSpPr/>
                        <wps:spPr>
                          <a:xfrm>
                            <a:off x="0" y="0"/>
                            <a:ext cx="5602605" cy="317500"/>
                          </a:xfrm>
                          <a:custGeom>
                            <a:avLst/>
                            <a:gdLst/>
                            <a:ahLst/>
                            <a:cxnLst/>
                            <a:rect l="l" t="t" r="r" b="b"/>
                            <a:pathLst>
                              <a:path w="5602605" h="317500">
                                <a:moveTo>
                                  <a:pt x="12179" y="12204"/>
                                </a:moveTo>
                                <a:lnTo>
                                  <a:pt x="0" y="12204"/>
                                </a:lnTo>
                                <a:lnTo>
                                  <a:pt x="0" y="316992"/>
                                </a:lnTo>
                                <a:lnTo>
                                  <a:pt x="12179" y="316992"/>
                                </a:lnTo>
                                <a:lnTo>
                                  <a:pt x="12179" y="12204"/>
                                </a:lnTo>
                                <a:close/>
                              </a:path>
                              <a:path w="5602605" h="317500">
                                <a:moveTo>
                                  <a:pt x="12179" y="0"/>
                                </a:moveTo>
                                <a:lnTo>
                                  <a:pt x="0" y="0"/>
                                </a:lnTo>
                                <a:lnTo>
                                  <a:pt x="0" y="12192"/>
                                </a:lnTo>
                                <a:lnTo>
                                  <a:pt x="12179" y="12192"/>
                                </a:lnTo>
                                <a:lnTo>
                                  <a:pt x="12179" y="0"/>
                                </a:lnTo>
                                <a:close/>
                              </a:path>
                              <a:path w="5602605" h="317500">
                                <a:moveTo>
                                  <a:pt x="5602224" y="0"/>
                                </a:moveTo>
                                <a:lnTo>
                                  <a:pt x="5590032" y="0"/>
                                </a:lnTo>
                                <a:lnTo>
                                  <a:pt x="12192" y="0"/>
                                </a:lnTo>
                                <a:lnTo>
                                  <a:pt x="12192" y="12192"/>
                                </a:lnTo>
                                <a:lnTo>
                                  <a:pt x="5590032" y="12192"/>
                                </a:lnTo>
                                <a:lnTo>
                                  <a:pt x="5602224" y="12192"/>
                                </a:lnTo>
                                <a:lnTo>
                                  <a:pt x="5602224" y="0"/>
                                </a:lnTo>
                                <a:close/>
                              </a:path>
                            </a:pathLst>
                          </a:custGeom>
                          <a:solidFill>
                            <a:srgbClr val="283014"/>
                          </a:solidFill>
                        </wps:spPr>
                        <wps:bodyPr wrap="square" lIns="0" tIns="0" rIns="0" bIns="0" rtlCol="0">
                          <a:prstTxWarp prst="textNoShape">
                            <a:avLst/>
                          </a:prstTxWarp>
                          <a:noAutofit/>
                        </wps:bodyPr>
                      </wps:wsp>
                      <wps:wsp>
                        <wps:cNvPr id="59" name="Graphic 59"/>
                        <wps:cNvSpPr/>
                        <wps:spPr>
                          <a:xfrm>
                            <a:off x="5602223" y="12204"/>
                            <a:ext cx="12700" cy="304800"/>
                          </a:xfrm>
                          <a:custGeom>
                            <a:avLst/>
                            <a:gdLst/>
                            <a:ahLst/>
                            <a:cxnLst/>
                            <a:rect l="l" t="t" r="r" b="b"/>
                            <a:pathLst>
                              <a:path w="12700" h="304800">
                                <a:moveTo>
                                  <a:pt x="12179" y="0"/>
                                </a:moveTo>
                                <a:lnTo>
                                  <a:pt x="0" y="0"/>
                                </a:lnTo>
                                <a:lnTo>
                                  <a:pt x="0" y="304787"/>
                                </a:lnTo>
                                <a:lnTo>
                                  <a:pt x="12179" y="304787"/>
                                </a:lnTo>
                                <a:lnTo>
                                  <a:pt x="12179" y="0"/>
                                </a:lnTo>
                                <a:close/>
                              </a:path>
                            </a:pathLst>
                          </a:custGeom>
                          <a:solidFill>
                            <a:srgbClr val="000000"/>
                          </a:solidFill>
                        </wps:spPr>
                        <wps:bodyPr wrap="square" lIns="0" tIns="0" rIns="0" bIns="0" rtlCol="0">
                          <a:prstTxWarp prst="textNoShape">
                            <a:avLst/>
                          </a:prstTxWarp>
                          <a:noAutofit/>
                        </wps:bodyPr>
                      </wps:wsp>
                      <wps:wsp>
                        <wps:cNvPr id="60" name="Graphic 60"/>
                        <wps:cNvSpPr/>
                        <wps:spPr>
                          <a:xfrm>
                            <a:off x="5590032" y="12204"/>
                            <a:ext cx="12700" cy="304800"/>
                          </a:xfrm>
                          <a:custGeom>
                            <a:avLst/>
                            <a:gdLst/>
                            <a:ahLst/>
                            <a:cxnLst/>
                            <a:rect l="l" t="t" r="r" b="b"/>
                            <a:pathLst>
                              <a:path w="12700" h="304800">
                                <a:moveTo>
                                  <a:pt x="12192" y="0"/>
                                </a:moveTo>
                                <a:lnTo>
                                  <a:pt x="0" y="0"/>
                                </a:lnTo>
                                <a:lnTo>
                                  <a:pt x="0" y="304787"/>
                                </a:lnTo>
                                <a:lnTo>
                                  <a:pt x="12192" y="304787"/>
                                </a:lnTo>
                                <a:lnTo>
                                  <a:pt x="12192" y="0"/>
                                </a:lnTo>
                                <a:close/>
                              </a:path>
                            </a:pathLst>
                          </a:custGeom>
                          <a:solidFill>
                            <a:srgbClr val="283014"/>
                          </a:solidFill>
                        </wps:spPr>
                        <wps:bodyPr wrap="square" lIns="0" tIns="0" rIns="0" bIns="0" rtlCol="0">
                          <a:prstTxWarp prst="textNoShape">
                            <a:avLst/>
                          </a:prstTxWarp>
                          <a:noAutofit/>
                        </wps:bodyPr>
                      </wps:wsp>
                      <wps:wsp>
                        <wps:cNvPr id="61" name="Graphic 61"/>
                        <wps:cNvSpPr/>
                        <wps:spPr>
                          <a:xfrm>
                            <a:off x="12191" y="316991"/>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62" name="Graphic 62"/>
                        <wps:cNvSpPr/>
                        <wps:spPr>
                          <a:xfrm>
                            <a:off x="0" y="316991"/>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63" name="Graphic 63"/>
                        <wps:cNvSpPr/>
                        <wps:spPr>
                          <a:xfrm>
                            <a:off x="5602223" y="316991"/>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5590032" y="316991"/>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65" name="Graphic 65"/>
                        <wps:cNvSpPr/>
                        <wps:spPr>
                          <a:xfrm>
                            <a:off x="12191" y="481583"/>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66" name="Graphic 66"/>
                        <wps:cNvSpPr/>
                        <wps:spPr>
                          <a:xfrm>
                            <a:off x="0" y="481583"/>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67" name="Graphic 67"/>
                        <wps:cNvSpPr/>
                        <wps:spPr>
                          <a:xfrm>
                            <a:off x="5602223" y="481583"/>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5590032" y="481583"/>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69" name="Graphic 69"/>
                        <wps:cNvSpPr/>
                        <wps:spPr>
                          <a:xfrm>
                            <a:off x="12191" y="646176"/>
                            <a:ext cx="5577840" cy="166370"/>
                          </a:xfrm>
                          <a:custGeom>
                            <a:avLst/>
                            <a:gdLst/>
                            <a:ahLst/>
                            <a:cxnLst/>
                            <a:rect l="l" t="t" r="r" b="b"/>
                            <a:pathLst>
                              <a:path w="5577840" h="166370">
                                <a:moveTo>
                                  <a:pt x="5577840" y="0"/>
                                </a:moveTo>
                                <a:lnTo>
                                  <a:pt x="0" y="0"/>
                                </a:lnTo>
                                <a:lnTo>
                                  <a:pt x="0" y="166115"/>
                                </a:lnTo>
                                <a:lnTo>
                                  <a:pt x="5577840" y="166115"/>
                                </a:lnTo>
                                <a:lnTo>
                                  <a:pt x="5577840" y="0"/>
                                </a:lnTo>
                                <a:close/>
                              </a:path>
                            </a:pathLst>
                          </a:custGeom>
                          <a:solidFill>
                            <a:srgbClr val="D5E2BB"/>
                          </a:solidFill>
                        </wps:spPr>
                        <wps:bodyPr wrap="square" lIns="0" tIns="0" rIns="0" bIns="0" rtlCol="0">
                          <a:prstTxWarp prst="textNoShape">
                            <a:avLst/>
                          </a:prstTxWarp>
                          <a:noAutofit/>
                        </wps:bodyPr>
                      </wps:wsp>
                      <wps:wsp>
                        <wps:cNvPr id="70" name="Graphic 70"/>
                        <wps:cNvSpPr/>
                        <wps:spPr>
                          <a:xfrm>
                            <a:off x="0" y="646163"/>
                            <a:ext cx="12700" cy="166370"/>
                          </a:xfrm>
                          <a:custGeom>
                            <a:avLst/>
                            <a:gdLst/>
                            <a:ahLst/>
                            <a:cxnLst/>
                            <a:rect l="l" t="t" r="r" b="b"/>
                            <a:pathLst>
                              <a:path w="12700" h="166370">
                                <a:moveTo>
                                  <a:pt x="12191" y="0"/>
                                </a:moveTo>
                                <a:lnTo>
                                  <a:pt x="0" y="0"/>
                                </a:lnTo>
                                <a:lnTo>
                                  <a:pt x="0" y="166128"/>
                                </a:lnTo>
                                <a:lnTo>
                                  <a:pt x="12191" y="166128"/>
                                </a:lnTo>
                                <a:lnTo>
                                  <a:pt x="12191" y="0"/>
                                </a:lnTo>
                                <a:close/>
                              </a:path>
                            </a:pathLst>
                          </a:custGeom>
                          <a:solidFill>
                            <a:srgbClr val="283014"/>
                          </a:solidFill>
                        </wps:spPr>
                        <wps:bodyPr wrap="square" lIns="0" tIns="0" rIns="0" bIns="0" rtlCol="0">
                          <a:prstTxWarp prst="textNoShape">
                            <a:avLst/>
                          </a:prstTxWarp>
                          <a:noAutofit/>
                        </wps:bodyPr>
                      </wps:wsp>
                      <wps:wsp>
                        <wps:cNvPr id="71" name="Graphic 71"/>
                        <wps:cNvSpPr/>
                        <wps:spPr>
                          <a:xfrm>
                            <a:off x="5602223" y="646163"/>
                            <a:ext cx="12700" cy="166370"/>
                          </a:xfrm>
                          <a:custGeom>
                            <a:avLst/>
                            <a:gdLst/>
                            <a:ahLst/>
                            <a:cxnLst/>
                            <a:rect l="l" t="t" r="r" b="b"/>
                            <a:pathLst>
                              <a:path w="12700" h="166370">
                                <a:moveTo>
                                  <a:pt x="12179" y="0"/>
                                </a:moveTo>
                                <a:lnTo>
                                  <a:pt x="0" y="0"/>
                                </a:lnTo>
                                <a:lnTo>
                                  <a:pt x="0" y="166128"/>
                                </a:lnTo>
                                <a:lnTo>
                                  <a:pt x="12179" y="166128"/>
                                </a:lnTo>
                                <a:lnTo>
                                  <a:pt x="12179" y="0"/>
                                </a:lnTo>
                                <a:close/>
                              </a:path>
                            </a:pathLst>
                          </a:custGeom>
                          <a:solidFill>
                            <a:srgbClr val="000000"/>
                          </a:solidFill>
                        </wps:spPr>
                        <wps:bodyPr wrap="square" lIns="0" tIns="0" rIns="0" bIns="0" rtlCol="0">
                          <a:prstTxWarp prst="textNoShape">
                            <a:avLst/>
                          </a:prstTxWarp>
                          <a:noAutofit/>
                        </wps:bodyPr>
                      </wps:wsp>
                      <wps:wsp>
                        <wps:cNvPr id="72" name="Graphic 72"/>
                        <wps:cNvSpPr/>
                        <wps:spPr>
                          <a:xfrm>
                            <a:off x="5590032" y="646163"/>
                            <a:ext cx="12700" cy="166370"/>
                          </a:xfrm>
                          <a:custGeom>
                            <a:avLst/>
                            <a:gdLst/>
                            <a:ahLst/>
                            <a:cxnLst/>
                            <a:rect l="l" t="t" r="r" b="b"/>
                            <a:pathLst>
                              <a:path w="12700" h="166370">
                                <a:moveTo>
                                  <a:pt x="12192" y="0"/>
                                </a:moveTo>
                                <a:lnTo>
                                  <a:pt x="0" y="0"/>
                                </a:lnTo>
                                <a:lnTo>
                                  <a:pt x="0" y="166128"/>
                                </a:lnTo>
                                <a:lnTo>
                                  <a:pt x="12192" y="166128"/>
                                </a:lnTo>
                                <a:lnTo>
                                  <a:pt x="12192" y="0"/>
                                </a:lnTo>
                                <a:close/>
                              </a:path>
                            </a:pathLst>
                          </a:custGeom>
                          <a:solidFill>
                            <a:srgbClr val="283014"/>
                          </a:solidFill>
                        </wps:spPr>
                        <wps:bodyPr wrap="square" lIns="0" tIns="0" rIns="0" bIns="0" rtlCol="0">
                          <a:prstTxWarp prst="textNoShape">
                            <a:avLst/>
                          </a:prstTxWarp>
                          <a:noAutofit/>
                        </wps:bodyPr>
                      </wps:wsp>
                      <wps:wsp>
                        <wps:cNvPr id="73" name="Graphic 73"/>
                        <wps:cNvSpPr/>
                        <wps:spPr>
                          <a:xfrm>
                            <a:off x="12191" y="812291"/>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74" name="Graphic 74"/>
                        <wps:cNvSpPr/>
                        <wps:spPr>
                          <a:xfrm>
                            <a:off x="0" y="812291"/>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75" name="Graphic 75"/>
                        <wps:cNvSpPr/>
                        <wps:spPr>
                          <a:xfrm>
                            <a:off x="5602223" y="812291"/>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76" name="Graphic 76"/>
                        <wps:cNvSpPr/>
                        <wps:spPr>
                          <a:xfrm>
                            <a:off x="5590032" y="812291"/>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77" name="Graphic 77"/>
                        <wps:cNvSpPr/>
                        <wps:spPr>
                          <a:xfrm>
                            <a:off x="12191" y="976883"/>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78" name="Graphic 78"/>
                        <wps:cNvSpPr/>
                        <wps:spPr>
                          <a:xfrm>
                            <a:off x="0" y="976883"/>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79" name="Graphic 79"/>
                        <wps:cNvSpPr/>
                        <wps:spPr>
                          <a:xfrm>
                            <a:off x="5602223" y="976883"/>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80" name="Graphic 80"/>
                        <wps:cNvSpPr/>
                        <wps:spPr>
                          <a:xfrm>
                            <a:off x="5590032" y="976883"/>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81" name="Graphic 81"/>
                        <wps:cNvSpPr/>
                        <wps:spPr>
                          <a:xfrm>
                            <a:off x="12191" y="1141475"/>
                            <a:ext cx="5577840" cy="166370"/>
                          </a:xfrm>
                          <a:custGeom>
                            <a:avLst/>
                            <a:gdLst/>
                            <a:ahLst/>
                            <a:cxnLst/>
                            <a:rect l="l" t="t" r="r" b="b"/>
                            <a:pathLst>
                              <a:path w="5577840" h="166370">
                                <a:moveTo>
                                  <a:pt x="5577840" y="0"/>
                                </a:moveTo>
                                <a:lnTo>
                                  <a:pt x="0" y="0"/>
                                </a:lnTo>
                                <a:lnTo>
                                  <a:pt x="0" y="166116"/>
                                </a:lnTo>
                                <a:lnTo>
                                  <a:pt x="5577840" y="166116"/>
                                </a:lnTo>
                                <a:lnTo>
                                  <a:pt x="5577840" y="0"/>
                                </a:lnTo>
                                <a:close/>
                              </a:path>
                            </a:pathLst>
                          </a:custGeom>
                          <a:solidFill>
                            <a:srgbClr val="D5E2BB"/>
                          </a:solidFill>
                        </wps:spPr>
                        <wps:bodyPr wrap="square" lIns="0" tIns="0" rIns="0" bIns="0" rtlCol="0">
                          <a:prstTxWarp prst="textNoShape">
                            <a:avLst/>
                          </a:prstTxWarp>
                          <a:noAutofit/>
                        </wps:bodyPr>
                      </wps:wsp>
                      <wps:wsp>
                        <wps:cNvPr id="82" name="Graphic 82"/>
                        <wps:cNvSpPr/>
                        <wps:spPr>
                          <a:xfrm>
                            <a:off x="0" y="1141475"/>
                            <a:ext cx="12700" cy="166370"/>
                          </a:xfrm>
                          <a:custGeom>
                            <a:avLst/>
                            <a:gdLst/>
                            <a:ahLst/>
                            <a:cxnLst/>
                            <a:rect l="l" t="t" r="r" b="b"/>
                            <a:pathLst>
                              <a:path w="12700" h="166370">
                                <a:moveTo>
                                  <a:pt x="12191" y="0"/>
                                </a:moveTo>
                                <a:lnTo>
                                  <a:pt x="0" y="0"/>
                                </a:lnTo>
                                <a:lnTo>
                                  <a:pt x="0" y="166116"/>
                                </a:lnTo>
                                <a:lnTo>
                                  <a:pt x="12191" y="166116"/>
                                </a:lnTo>
                                <a:lnTo>
                                  <a:pt x="12191" y="0"/>
                                </a:lnTo>
                                <a:close/>
                              </a:path>
                            </a:pathLst>
                          </a:custGeom>
                          <a:solidFill>
                            <a:srgbClr val="283014"/>
                          </a:solidFill>
                        </wps:spPr>
                        <wps:bodyPr wrap="square" lIns="0" tIns="0" rIns="0" bIns="0" rtlCol="0">
                          <a:prstTxWarp prst="textNoShape">
                            <a:avLst/>
                          </a:prstTxWarp>
                          <a:noAutofit/>
                        </wps:bodyPr>
                      </wps:wsp>
                      <wps:wsp>
                        <wps:cNvPr id="83" name="Graphic 83"/>
                        <wps:cNvSpPr/>
                        <wps:spPr>
                          <a:xfrm>
                            <a:off x="5602223" y="1141475"/>
                            <a:ext cx="12700" cy="166370"/>
                          </a:xfrm>
                          <a:custGeom>
                            <a:avLst/>
                            <a:gdLst/>
                            <a:ahLst/>
                            <a:cxnLst/>
                            <a:rect l="l" t="t" r="r" b="b"/>
                            <a:pathLst>
                              <a:path w="12700" h="166370">
                                <a:moveTo>
                                  <a:pt x="12179" y="0"/>
                                </a:moveTo>
                                <a:lnTo>
                                  <a:pt x="0" y="0"/>
                                </a:lnTo>
                                <a:lnTo>
                                  <a:pt x="0" y="166116"/>
                                </a:lnTo>
                                <a:lnTo>
                                  <a:pt x="12179" y="166116"/>
                                </a:lnTo>
                                <a:lnTo>
                                  <a:pt x="12179" y="0"/>
                                </a:lnTo>
                                <a:close/>
                              </a:path>
                            </a:pathLst>
                          </a:custGeom>
                          <a:solidFill>
                            <a:srgbClr val="000000"/>
                          </a:solidFill>
                        </wps:spPr>
                        <wps:bodyPr wrap="square" lIns="0" tIns="0" rIns="0" bIns="0" rtlCol="0">
                          <a:prstTxWarp prst="textNoShape">
                            <a:avLst/>
                          </a:prstTxWarp>
                          <a:noAutofit/>
                        </wps:bodyPr>
                      </wps:wsp>
                      <wps:wsp>
                        <wps:cNvPr id="84" name="Graphic 84"/>
                        <wps:cNvSpPr/>
                        <wps:spPr>
                          <a:xfrm>
                            <a:off x="5590032" y="1141475"/>
                            <a:ext cx="12700" cy="166370"/>
                          </a:xfrm>
                          <a:custGeom>
                            <a:avLst/>
                            <a:gdLst/>
                            <a:ahLst/>
                            <a:cxnLst/>
                            <a:rect l="l" t="t" r="r" b="b"/>
                            <a:pathLst>
                              <a:path w="12700" h="166370">
                                <a:moveTo>
                                  <a:pt x="12192" y="0"/>
                                </a:moveTo>
                                <a:lnTo>
                                  <a:pt x="0" y="0"/>
                                </a:lnTo>
                                <a:lnTo>
                                  <a:pt x="0" y="166116"/>
                                </a:lnTo>
                                <a:lnTo>
                                  <a:pt x="12192" y="166116"/>
                                </a:lnTo>
                                <a:lnTo>
                                  <a:pt x="12192" y="0"/>
                                </a:lnTo>
                                <a:close/>
                              </a:path>
                            </a:pathLst>
                          </a:custGeom>
                          <a:solidFill>
                            <a:srgbClr val="283014"/>
                          </a:solidFill>
                        </wps:spPr>
                        <wps:bodyPr wrap="square" lIns="0" tIns="0" rIns="0" bIns="0" rtlCol="0">
                          <a:prstTxWarp prst="textNoShape">
                            <a:avLst/>
                          </a:prstTxWarp>
                          <a:noAutofit/>
                        </wps:bodyPr>
                      </wps:wsp>
                      <wps:wsp>
                        <wps:cNvPr id="85" name="Graphic 85"/>
                        <wps:cNvSpPr/>
                        <wps:spPr>
                          <a:xfrm>
                            <a:off x="12191" y="1307591"/>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86" name="Graphic 86"/>
                        <wps:cNvSpPr/>
                        <wps:spPr>
                          <a:xfrm>
                            <a:off x="0" y="1307591"/>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87" name="Graphic 87"/>
                        <wps:cNvSpPr/>
                        <wps:spPr>
                          <a:xfrm>
                            <a:off x="5602223" y="1307591"/>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5590032" y="1307591"/>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89" name="Graphic 89"/>
                        <wps:cNvSpPr/>
                        <wps:spPr>
                          <a:xfrm>
                            <a:off x="12191" y="1472183"/>
                            <a:ext cx="5577840" cy="165100"/>
                          </a:xfrm>
                          <a:custGeom>
                            <a:avLst/>
                            <a:gdLst/>
                            <a:ahLst/>
                            <a:cxnLst/>
                            <a:rect l="l" t="t" r="r" b="b"/>
                            <a:pathLst>
                              <a:path w="5577840" h="165100">
                                <a:moveTo>
                                  <a:pt x="5577840" y="0"/>
                                </a:moveTo>
                                <a:lnTo>
                                  <a:pt x="0" y="0"/>
                                </a:lnTo>
                                <a:lnTo>
                                  <a:pt x="0" y="164592"/>
                                </a:lnTo>
                                <a:lnTo>
                                  <a:pt x="5577840" y="164592"/>
                                </a:lnTo>
                                <a:lnTo>
                                  <a:pt x="5577840" y="0"/>
                                </a:lnTo>
                                <a:close/>
                              </a:path>
                            </a:pathLst>
                          </a:custGeom>
                          <a:solidFill>
                            <a:srgbClr val="D5E2BB"/>
                          </a:solidFill>
                        </wps:spPr>
                        <wps:bodyPr wrap="square" lIns="0" tIns="0" rIns="0" bIns="0" rtlCol="0">
                          <a:prstTxWarp prst="textNoShape">
                            <a:avLst/>
                          </a:prstTxWarp>
                          <a:noAutofit/>
                        </wps:bodyPr>
                      </wps:wsp>
                      <wps:wsp>
                        <wps:cNvPr id="90" name="Graphic 90"/>
                        <wps:cNvSpPr/>
                        <wps:spPr>
                          <a:xfrm>
                            <a:off x="0" y="1472183"/>
                            <a:ext cx="12700" cy="165100"/>
                          </a:xfrm>
                          <a:custGeom>
                            <a:avLst/>
                            <a:gdLst/>
                            <a:ahLst/>
                            <a:cxnLst/>
                            <a:rect l="l" t="t" r="r" b="b"/>
                            <a:pathLst>
                              <a:path w="12700" h="165100">
                                <a:moveTo>
                                  <a:pt x="12191" y="0"/>
                                </a:moveTo>
                                <a:lnTo>
                                  <a:pt x="0" y="0"/>
                                </a:lnTo>
                                <a:lnTo>
                                  <a:pt x="0" y="164592"/>
                                </a:lnTo>
                                <a:lnTo>
                                  <a:pt x="12191" y="164592"/>
                                </a:lnTo>
                                <a:lnTo>
                                  <a:pt x="12191" y="0"/>
                                </a:lnTo>
                                <a:close/>
                              </a:path>
                            </a:pathLst>
                          </a:custGeom>
                          <a:solidFill>
                            <a:srgbClr val="283014"/>
                          </a:solidFill>
                        </wps:spPr>
                        <wps:bodyPr wrap="square" lIns="0" tIns="0" rIns="0" bIns="0" rtlCol="0">
                          <a:prstTxWarp prst="textNoShape">
                            <a:avLst/>
                          </a:prstTxWarp>
                          <a:noAutofit/>
                        </wps:bodyPr>
                      </wps:wsp>
                      <wps:wsp>
                        <wps:cNvPr id="91" name="Graphic 91"/>
                        <wps:cNvSpPr/>
                        <wps:spPr>
                          <a:xfrm>
                            <a:off x="5602223" y="1472183"/>
                            <a:ext cx="12700" cy="165100"/>
                          </a:xfrm>
                          <a:custGeom>
                            <a:avLst/>
                            <a:gdLst/>
                            <a:ahLst/>
                            <a:cxnLst/>
                            <a:rect l="l" t="t" r="r" b="b"/>
                            <a:pathLst>
                              <a:path w="12700" h="165100">
                                <a:moveTo>
                                  <a:pt x="12179" y="0"/>
                                </a:moveTo>
                                <a:lnTo>
                                  <a:pt x="0" y="0"/>
                                </a:lnTo>
                                <a:lnTo>
                                  <a:pt x="0" y="164592"/>
                                </a:lnTo>
                                <a:lnTo>
                                  <a:pt x="12179" y="164592"/>
                                </a:lnTo>
                                <a:lnTo>
                                  <a:pt x="12179" y="0"/>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5590032" y="1472183"/>
                            <a:ext cx="12700" cy="165100"/>
                          </a:xfrm>
                          <a:custGeom>
                            <a:avLst/>
                            <a:gdLst/>
                            <a:ahLst/>
                            <a:cxnLst/>
                            <a:rect l="l" t="t" r="r" b="b"/>
                            <a:pathLst>
                              <a:path w="12700" h="165100">
                                <a:moveTo>
                                  <a:pt x="12192" y="0"/>
                                </a:moveTo>
                                <a:lnTo>
                                  <a:pt x="0" y="0"/>
                                </a:lnTo>
                                <a:lnTo>
                                  <a:pt x="0" y="164592"/>
                                </a:lnTo>
                                <a:lnTo>
                                  <a:pt x="12192" y="164592"/>
                                </a:lnTo>
                                <a:lnTo>
                                  <a:pt x="12192" y="0"/>
                                </a:lnTo>
                                <a:close/>
                              </a:path>
                            </a:pathLst>
                          </a:custGeom>
                          <a:solidFill>
                            <a:srgbClr val="283014"/>
                          </a:solidFill>
                        </wps:spPr>
                        <wps:bodyPr wrap="square" lIns="0" tIns="0" rIns="0" bIns="0" rtlCol="0">
                          <a:prstTxWarp prst="textNoShape">
                            <a:avLst/>
                          </a:prstTxWarp>
                          <a:noAutofit/>
                        </wps:bodyPr>
                      </wps:wsp>
                      <wps:wsp>
                        <wps:cNvPr id="93" name="Graphic 93"/>
                        <wps:cNvSpPr/>
                        <wps:spPr>
                          <a:xfrm>
                            <a:off x="12191" y="1636776"/>
                            <a:ext cx="5577840" cy="166370"/>
                          </a:xfrm>
                          <a:custGeom>
                            <a:avLst/>
                            <a:gdLst/>
                            <a:ahLst/>
                            <a:cxnLst/>
                            <a:rect l="l" t="t" r="r" b="b"/>
                            <a:pathLst>
                              <a:path w="5577840" h="166370">
                                <a:moveTo>
                                  <a:pt x="5577840" y="0"/>
                                </a:moveTo>
                                <a:lnTo>
                                  <a:pt x="0" y="0"/>
                                </a:lnTo>
                                <a:lnTo>
                                  <a:pt x="0" y="166116"/>
                                </a:lnTo>
                                <a:lnTo>
                                  <a:pt x="5577840" y="166116"/>
                                </a:lnTo>
                                <a:lnTo>
                                  <a:pt x="5577840" y="0"/>
                                </a:lnTo>
                                <a:close/>
                              </a:path>
                            </a:pathLst>
                          </a:custGeom>
                          <a:solidFill>
                            <a:srgbClr val="D5E2BB"/>
                          </a:solidFill>
                        </wps:spPr>
                        <wps:bodyPr wrap="square" lIns="0" tIns="0" rIns="0" bIns="0" rtlCol="0">
                          <a:prstTxWarp prst="textNoShape">
                            <a:avLst/>
                          </a:prstTxWarp>
                          <a:noAutofit/>
                        </wps:bodyPr>
                      </wps:wsp>
                      <wps:wsp>
                        <wps:cNvPr id="94" name="Graphic 94"/>
                        <wps:cNvSpPr/>
                        <wps:spPr>
                          <a:xfrm>
                            <a:off x="0" y="1636776"/>
                            <a:ext cx="12700" cy="166370"/>
                          </a:xfrm>
                          <a:custGeom>
                            <a:avLst/>
                            <a:gdLst/>
                            <a:ahLst/>
                            <a:cxnLst/>
                            <a:rect l="l" t="t" r="r" b="b"/>
                            <a:pathLst>
                              <a:path w="12700" h="166370">
                                <a:moveTo>
                                  <a:pt x="12191" y="0"/>
                                </a:moveTo>
                                <a:lnTo>
                                  <a:pt x="0" y="0"/>
                                </a:lnTo>
                                <a:lnTo>
                                  <a:pt x="0" y="166116"/>
                                </a:lnTo>
                                <a:lnTo>
                                  <a:pt x="12191" y="166116"/>
                                </a:lnTo>
                                <a:lnTo>
                                  <a:pt x="12191" y="0"/>
                                </a:lnTo>
                                <a:close/>
                              </a:path>
                            </a:pathLst>
                          </a:custGeom>
                          <a:solidFill>
                            <a:srgbClr val="283014"/>
                          </a:solidFill>
                        </wps:spPr>
                        <wps:bodyPr wrap="square" lIns="0" tIns="0" rIns="0" bIns="0" rtlCol="0">
                          <a:prstTxWarp prst="textNoShape">
                            <a:avLst/>
                          </a:prstTxWarp>
                          <a:noAutofit/>
                        </wps:bodyPr>
                      </wps:wsp>
                      <wps:wsp>
                        <wps:cNvPr id="95" name="Graphic 95"/>
                        <wps:cNvSpPr/>
                        <wps:spPr>
                          <a:xfrm>
                            <a:off x="5602223" y="1636776"/>
                            <a:ext cx="12700" cy="166370"/>
                          </a:xfrm>
                          <a:custGeom>
                            <a:avLst/>
                            <a:gdLst/>
                            <a:ahLst/>
                            <a:cxnLst/>
                            <a:rect l="l" t="t" r="r" b="b"/>
                            <a:pathLst>
                              <a:path w="12700" h="166370">
                                <a:moveTo>
                                  <a:pt x="12179" y="0"/>
                                </a:moveTo>
                                <a:lnTo>
                                  <a:pt x="0" y="0"/>
                                </a:lnTo>
                                <a:lnTo>
                                  <a:pt x="0" y="166116"/>
                                </a:lnTo>
                                <a:lnTo>
                                  <a:pt x="12179" y="166116"/>
                                </a:lnTo>
                                <a:lnTo>
                                  <a:pt x="12179" y="0"/>
                                </a:lnTo>
                                <a:close/>
                              </a:path>
                            </a:pathLst>
                          </a:custGeom>
                          <a:solidFill>
                            <a:srgbClr val="000000"/>
                          </a:solidFill>
                        </wps:spPr>
                        <wps:bodyPr wrap="square" lIns="0" tIns="0" rIns="0" bIns="0" rtlCol="0">
                          <a:prstTxWarp prst="textNoShape">
                            <a:avLst/>
                          </a:prstTxWarp>
                          <a:noAutofit/>
                        </wps:bodyPr>
                      </wps:wsp>
                      <wps:wsp>
                        <wps:cNvPr id="96" name="Graphic 96"/>
                        <wps:cNvSpPr/>
                        <wps:spPr>
                          <a:xfrm>
                            <a:off x="5590032" y="1636776"/>
                            <a:ext cx="12700" cy="166370"/>
                          </a:xfrm>
                          <a:custGeom>
                            <a:avLst/>
                            <a:gdLst/>
                            <a:ahLst/>
                            <a:cxnLst/>
                            <a:rect l="l" t="t" r="r" b="b"/>
                            <a:pathLst>
                              <a:path w="12700" h="166370">
                                <a:moveTo>
                                  <a:pt x="12192" y="0"/>
                                </a:moveTo>
                                <a:lnTo>
                                  <a:pt x="0" y="0"/>
                                </a:lnTo>
                                <a:lnTo>
                                  <a:pt x="0" y="166116"/>
                                </a:lnTo>
                                <a:lnTo>
                                  <a:pt x="12192" y="166116"/>
                                </a:lnTo>
                                <a:lnTo>
                                  <a:pt x="12192" y="0"/>
                                </a:lnTo>
                                <a:close/>
                              </a:path>
                            </a:pathLst>
                          </a:custGeom>
                          <a:solidFill>
                            <a:srgbClr val="283014"/>
                          </a:solidFill>
                        </wps:spPr>
                        <wps:bodyPr wrap="square" lIns="0" tIns="0" rIns="0" bIns="0" rtlCol="0">
                          <a:prstTxWarp prst="textNoShape">
                            <a:avLst/>
                          </a:prstTxWarp>
                          <a:noAutofit/>
                        </wps:bodyPr>
                      </wps:wsp>
                      <wps:wsp>
                        <wps:cNvPr id="97" name="Graphic 97"/>
                        <wps:cNvSpPr/>
                        <wps:spPr>
                          <a:xfrm>
                            <a:off x="12191" y="1802892"/>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98" name="Graphic 98"/>
                        <wps:cNvSpPr/>
                        <wps:spPr>
                          <a:xfrm>
                            <a:off x="0" y="1802892"/>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99" name="Graphic 99"/>
                        <wps:cNvSpPr/>
                        <wps:spPr>
                          <a:xfrm>
                            <a:off x="5602223" y="1802892"/>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5590032" y="1802892"/>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101" name="Graphic 101"/>
                        <wps:cNvSpPr/>
                        <wps:spPr>
                          <a:xfrm>
                            <a:off x="12191" y="1967483"/>
                            <a:ext cx="5577840" cy="165100"/>
                          </a:xfrm>
                          <a:custGeom>
                            <a:avLst/>
                            <a:gdLst/>
                            <a:ahLst/>
                            <a:cxnLst/>
                            <a:rect l="l" t="t" r="r" b="b"/>
                            <a:pathLst>
                              <a:path w="5577840" h="165100">
                                <a:moveTo>
                                  <a:pt x="5577840" y="0"/>
                                </a:moveTo>
                                <a:lnTo>
                                  <a:pt x="0" y="0"/>
                                </a:lnTo>
                                <a:lnTo>
                                  <a:pt x="0" y="164592"/>
                                </a:lnTo>
                                <a:lnTo>
                                  <a:pt x="5577840" y="164592"/>
                                </a:lnTo>
                                <a:lnTo>
                                  <a:pt x="5577840" y="0"/>
                                </a:lnTo>
                                <a:close/>
                              </a:path>
                            </a:pathLst>
                          </a:custGeom>
                          <a:solidFill>
                            <a:srgbClr val="D5E2BB"/>
                          </a:solidFill>
                        </wps:spPr>
                        <wps:bodyPr wrap="square" lIns="0" tIns="0" rIns="0" bIns="0" rtlCol="0">
                          <a:prstTxWarp prst="textNoShape">
                            <a:avLst/>
                          </a:prstTxWarp>
                          <a:noAutofit/>
                        </wps:bodyPr>
                      </wps:wsp>
                      <wps:wsp>
                        <wps:cNvPr id="102" name="Graphic 102"/>
                        <wps:cNvSpPr/>
                        <wps:spPr>
                          <a:xfrm>
                            <a:off x="0" y="1967483"/>
                            <a:ext cx="12700" cy="165100"/>
                          </a:xfrm>
                          <a:custGeom>
                            <a:avLst/>
                            <a:gdLst/>
                            <a:ahLst/>
                            <a:cxnLst/>
                            <a:rect l="l" t="t" r="r" b="b"/>
                            <a:pathLst>
                              <a:path w="12700" h="165100">
                                <a:moveTo>
                                  <a:pt x="12191" y="0"/>
                                </a:moveTo>
                                <a:lnTo>
                                  <a:pt x="0" y="0"/>
                                </a:lnTo>
                                <a:lnTo>
                                  <a:pt x="0" y="164592"/>
                                </a:lnTo>
                                <a:lnTo>
                                  <a:pt x="12191" y="164592"/>
                                </a:lnTo>
                                <a:lnTo>
                                  <a:pt x="12191" y="0"/>
                                </a:lnTo>
                                <a:close/>
                              </a:path>
                            </a:pathLst>
                          </a:custGeom>
                          <a:solidFill>
                            <a:srgbClr val="283014"/>
                          </a:solidFill>
                        </wps:spPr>
                        <wps:bodyPr wrap="square" lIns="0" tIns="0" rIns="0" bIns="0" rtlCol="0">
                          <a:prstTxWarp prst="textNoShape">
                            <a:avLst/>
                          </a:prstTxWarp>
                          <a:noAutofit/>
                        </wps:bodyPr>
                      </wps:wsp>
                      <wps:wsp>
                        <wps:cNvPr id="103" name="Graphic 103"/>
                        <wps:cNvSpPr/>
                        <wps:spPr>
                          <a:xfrm>
                            <a:off x="5602223" y="1967483"/>
                            <a:ext cx="12700" cy="165100"/>
                          </a:xfrm>
                          <a:custGeom>
                            <a:avLst/>
                            <a:gdLst/>
                            <a:ahLst/>
                            <a:cxnLst/>
                            <a:rect l="l" t="t" r="r" b="b"/>
                            <a:pathLst>
                              <a:path w="12700" h="165100">
                                <a:moveTo>
                                  <a:pt x="12179" y="0"/>
                                </a:moveTo>
                                <a:lnTo>
                                  <a:pt x="0" y="0"/>
                                </a:lnTo>
                                <a:lnTo>
                                  <a:pt x="0" y="164592"/>
                                </a:lnTo>
                                <a:lnTo>
                                  <a:pt x="12179" y="164592"/>
                                </a:lnTo>
                                <a:lnTo>
                                  <a:pt x="12179" y="0"/>
                                </a:lnTo>
                                <a:close/>
                              </a:path>
                            </a:pathLst>
                          </a:custGeom>
                          <a:solidFill>
                            <a:srgbClr val="000000"/>
                          </a:solidFill>
                        </wps:spPr>
                        <wps:bodyPr wrap="square" lIns="0" tIns="0" rIns="0" bIns="0" rtlCol="0">
                          <a:prstTxWarp prst="textNoShape">
                            <a:avLst/>
                          </a:prstTxWarp>
                          <a:noAutofit/>
                        </wps:bodyPr>
                      </wps:wsp>
                      <wps:wsp>
                        <wps:cNvPr id="104" name="Graphic 104"/>
                        <wps:cNvSpPr/>
                        <wps:spPr>
                          <a:xfrm>
                            <a:off x="5590032" y="1967483"/>
                            <a:ext cx="12700" cy="165100"/>
                          </a:xfrm>
                          <a:custGeom>
                            <a:avLst/>
                            <a:gdLst/>
                            <a:ahLst/>
                            <a:cxnLst/>
                            <a:rect l="l" t="t" r="r" b="b"/>
                            <a:pathLst>
                              <a:path w="12700" h="165100">
                                <a:moveTo>
                                  <a:pt x="12192" y="0"/>
                                </a:moveTo>
                                <a:lnTo>
                                  <a:pt x="0" y="0"/>
                                </a:lnTo>
                                <a:lnTo>
                                  <a:pt x="0" y="164592"/>
                                </a:lnTo>
                                <a:lnTo>
                                  <a:pt x="12192" y="164592"/>
                                </a:lnTo>
                                <a:lnTo>
                                  <a:pt x="12192" y="0"/>
                                </a:lnTo>
                                <a:close/>
                              </a:path>
                            </a:pathLst>
                          </a:custGeom>
                          <a:solidFill>
                            <a:srgbClr val="283014"/>
                          </a:solidFill>
                        </wps:spPr>
                        <wps:bodyPr wrap="square" lIns="0" tIns="0" rIns="0" bIns="0" rtlCol="0">
                          <a:prstTxWarp prst="textNoShape">
                            <a:avLst/>
                          </a:prstTxWarp>
                          <a:noAutofit/>
                        </wps:bodyPr>
                      </wps:wsp>
                      <wps:wsp>
                        <wps:cNvPr id="105" name="Graphic 105"/>
                        <wps:cNvSpPr/>
                        <wps:spPr>
                          <a:xfrm>
                            <a:off x="12191" y="2132076"/>
                            <a:ext cx="5577840" cy="166370"/>
                          </a:xfrm>
                          <a:custGeom>
                            <a:avLst/>
                            <a:gdLst/>
                            <a:ahLst/>
                            <a:cxnLst/>
                            <a:rect l="l" t="t" r="r" b="b"/>
                            <a:pathLst>
                              <a:path w="5577840" h="166370">
                                <a:moveTo>
                                  <a:pt x="5577840" y="0"/>
                                </a:moveTo>
                                <a:lnTo>
                                  <a:pt x="0" y="0"/>
                                </a:lnTo>
                                <a:lnTo>
                                  <a:pt x="0" y="166116"/>
                                </a:lnTo>
                                <a:lnTo>
                                  <a:pt x="5577840" y="166116"/>
                                </a:lnTo>
                                <a:lnTo>
                                  <a:pt x="5577840" y="0"/>
                                </a:lnTo>
                                <a:close/>
                              </a:path>
                            </a:pathLst>
                          </a:custGeom>
                          <a:solidFill>
                            <a:srgbClr val="D5E2BB"/>
                          </a:solidFill>
                        </wps:spPr>
                        <wps:bodyPr wrap="square" lIns="0" tIns="0" rIns="0" bIns="0" rtlCol="0">
                          <a:prstTxWarp prst="textNoShape">
                            <a:avLst/>
                          </a:prstTxWarp>
                          <a:noAutofit/>
                        </wps:bodyPr>
                      </wps:wsp>
                      <wps:wsp>
                        <wps:cNvPr id="106" name="Graphic 106"/>
                        <wps:cNvSpPr/>
                        <wps:spPr>
                          <a:xfrm>
                            <a:off x="0" y="2132063"/>
                            <a:ext cx="12700" cy="166370"/>
                          </a:xfrm>
                          <a:custGeom>
                            <a:avLst/>
                            <a:gdLst/>
                            <a:ahLst/>
                            <a:cxnLst/>
                            <a:rect l="l" t="t" r="r" b="b"/>
                            <a:pathLst>
                              <a:path w="12700" h="166370">
                                <a:moveTo>
                                  <a:pt x="12191" y="0"/>
                                </a:moveTo>
                                <a:lnTo>
                                  <a:pt x="0" y="0"/>
                                </a:lnTo>
                                <a:lnTo>
                                  <a:pt x="0" y="166128"/>
                                </a:lnTo>
                                <a:lnTo>
                                  <a:pt x="12191" y="166128"/>
                                </a:lnTo>
                                <a:lnTo>
                                  <a:pt x="12191" y="0"/>
                                </a:lnTo>
                                <a:close/>
                              </a:path>
                            </a:pathLst>
                          </a:custGeom>
                          <a:solidFill>
                            <a:srgbClr val="283014"/>
                          </a:solidFill>
                        </wps:spPr>
                        <wps:bodyPr wrap="square" lIns="0" tIns="0" rIns="0" bIns="0" rtlCol="0">
                          <a:prstTxWarp prst="textNoShape">
                            <a:avLst/>
                          </a:prstTxWarp>
                          <a:noAutofit/>
                        </wps:bodyPr>
                      </wps:wsp>
                      <wps:wsp>
                        <wps:cNvPr id="107" name="Graphic 107"/>
                        <wps:cNvSpPr/>
                        <wps:spPr>
                          <a:xfrm>
                            <a:off x="5602223" y="2132063"/>
                            <a:ext cx="12700" cy="166370"/>
                          </a:xfrm>
                          <a:custGeom>
                            <a:avLst/>
                            <a:gdLst/>
                            <a:ahLst/>
                            <a:cxnLst/>
                            <a:rect l="l" t="t" r="r" b="b"/>
                            <a:pathLst>
                              <a:path w="12700" h="166370">
                                <a:moveTo>
                                  <a:pt x="12179" y="0"/>
                                </a:moveTo>
                                <a:lnTo>
                                  <a:pt x="0" y="0"/>
                                </a:lnTo>
                                <a:lnTo>
                                  <a:pt x="0" y="166128"/>
                                </a:lnTo>
                                <a:lnTo>
                                  <a:pt x="12179" y="166128"/>
                                </a:lnTo>
                                <a:lnTo>
                                  <a:pt x="12179" y="0"/>
                                </a:lnTo>
                                <a:close/>
                              </a:path>
                            </a:pathLst>
                          </a:custGeom>
                          <a:solidFill>
                            <a:srgbClr val="000000"/>
                          </a:solidFill>
                        </wps:spPr>
                        <wps:bodyPr wrap="square" lIns="0" tIns="0" rIns="0" bIns="0" rtlCol="0">
                          <a:prstTxWarp prst="textNoShape">
                            <a:avLst/>
                          </a:prstTxWarp>
                          <a:noAutofit/>
                        </wps:bodyPr>
                      </wps:wsp>
                      <wps:wsp>
                        <wps:cNvPr id="108" name="Graphic 108"/>
                        <wps:cNvSpPr/>
                        <wps:spPr>
                          <a:xfrm>
                            <a:off x="5590032" y="2132063"/>
                            <a:ext cx="12700" cy="166370"/>
                          </a:xfrm>
                          <a:custGeom>
                            <a:avLst/>
                            <a:gdLst/>
                            <a:ahLst/>
                            <a:cxnLst/>
                            <a:rect l="l" t="t" r="r" b="b"/>
                            <a:pathLst>
                              <a:path w="12700" h="166370">
                                <a:moveTo>
                                  <a:pt x="12192" y="0"/>
                                </a:moveTo>
                                <a:lnTo>
                                  <a:pt x="0" y="0"/>
                                </a:lnTo>
                                <a:lnTo>
                                  <a:pt x="0" y="166128"/>
                                </a:lnTo>
                                <a:lnTo>
                                  <a:pt x="12192" y="166128"/>
                                </a:lnTo>
                                <a:lnTo>
                                  <a:pt x="12192" y="0"/>
                                </a:lnTo>
                                <a:close/>
                              </a:path>
                            </a:pathLst>
                          </a:custGeom>
                          <a:solidFill>
                            <a:srgbClr val="283014"/>
                          </a:solidFill>
                        </wps:spPr>
                        <wps:bodyPr wrap="square" lIns="0" tIns="0" rIns="0" bIns="0" rtlCol="0">
                          <a:prstTxWarp prst="textNoShape">
                            <a:avLst/>
                          </a:prstTxWarp>
                          <a:noAutofit/>
                        </wps:bodyPr>
                      </wps:wsp>
                      <wps:wsp>
                        <wps:cNvPr id="109" name="Graphic 109"/>
                        <wps:cNvSpPr/>
                        <wps:spPr>
                          <a:xfrm>
                            <a:off x="12191" y="2298192"/>
                            <a:ext cx="5577840" cy="165100"/>
                          </a:xfrm>
                          <a:custGeom>
                            <a:avLst/>
                            <a:gdLst/>
                            <a:ahLst/>
                            <a:cxnLst/>
                            <a:rect l="l" t="t" r="r" b="b"/>
                            <a:pathLst>
                              <a:path w="5577840" h="165100">
                                <a:moveTo>
                                  <a:pt x="5577840" y="0"/>
                                </a:moveTo>
                                <a:lnTo>
                                  <a:pt x="0" y="0"/>
                                </a:lnTo>
                                <a:lnTo>
                                  <a:pt x="0" y="164591"/>
                                </a:lnTo>
                                <a:lnTo>
                                  <a:pt x="5577840" y="164591"/>
                                </a:lnTo>
                                <a:lnTo>
                                  <a:pt x="5577840" y="0"/>
                                </a:lnTo>
                                <a:close/>
                              </a:path>
                            </a:pathLst>
                          </a:custGeom>
                          <a:solidFill>
                            <a:srgbClr val="D5E2BB"/>
                          </a:solidFill>
                        </wps:spPr>
                        <wps:bodyPr wrap="square" lIns="0" tIns="0" rIns="0" bIns="0" rtlCol="0">
                          <a:prstTxWarp prst="textNoShape">
                            <a:avLst/>
                          </a:prstTxWarp>
                          <a:noAutofit/>
                        </wps:bodyPr>
                      </wps:wsp>
                      <wps:wsp>
                        <wps:cNvPr id="110" name="Graphic 110"/>
                        <wps:cNvSpPr/>
                        <wps:spPr>
                          <a:xfrm>
                            <a:off x="0" y="2298192"/>
                            <a:ext cx="12700" cy="165100"/>
                          </a:xfrm>
                          <a:custGeom>
                            <a:avLst/>
                            <a:gdLst/>
                            <a:ahLst/>
                            <a:cxnLst/>
                            <a:rect l="l" t="t" r="r" b="b"/>
                            <a:pathLst>
                              <a:path w="12700" h="165100">
                                <a:moveTo>
                                  <a:pt x="12191" y="0"/>
                                </a:moveTo>
                                <a:lnTo>
                                  <a:pt x="0" y="0"/>
                                </a:lnTo>
                                <a:lnTo>
                                  <a:pt x="0" y="164591"/>
                                </a:lnTo>
                                <a:lnTo>
                                  <a:pt x="12191" y="164591"/>
                                </a:lnTo>
                                <a:lnTo>
                                  <a:pt x="12191" y="0"/>
                                </a:lnTo>
                                <a:close/>
                              </a:path>
                            </a:pathLst>
                          </a:custGeom>
                          <a:solidFill>
                            <a:srgbClr val="283014"/>
                          </a:solidFill>
                        </wps:spPr>
                        <wps:bodyPr wrap="square" lIns="0" tIns="0" rIns="0" bIns="0" rtlCol="0">
                          <a:prstTxWarp prst="textNoShape">
                            <a:avLst/>
                          </a:prstTxWarp>
                          <a:noAutofit/>
                        </wps:bodyPr>
                      </wps:wsp>
                      <wps:wsp>
                        <wps:cNvPr id="111" name="Graphic 111"/>
                        <wps:cNvSpPr/>
                        <wps:spPr>
                          <a:xfrm>
                            <a:off x="5602223" y="2298192"/>
                            <a:ext cx="12700" cy="165100"/>
                          </a:xfrm>
                          <a:custGeom>
                            <a:avLst/>
                            <a:gdLst/>
                            <a:ahLst/>
                            <a:cxnLst/>
                            <a:rect l="l" t="t" r="r" b="b"/>
                            <a:pathLst>
                              <a:path w="12700" h="165100">
                                <a:moveTo>
                                  <a:pt x="12179" y="0"/>
                                </a:moveTo>
                                <a:lnTo>
                                  <a:pt x="0" y="0"/>
                                </a:lnTo>
                                <a:lnTo>
                                  <a:pt x="0" y="164591"/>
                                </a:lnTo>
                                <a:lnTo>
                                  <a:pt x="12179" y="164591"/>
                                </a:lnTo>
                                <a:lnTo>
                                  <a:pt x="12179" y="0"/>
                                </a:lnTo>
                                <a:close/>
                              </a:path>
                            </a:pathLst>
                          </a:custGeom>
                          <a:solidFill>
                            <a:srgbClr val="000000"/>
                          </a:solidFill>
                        </wps:spPr>
                        <wps:bodyPr wrap="square" lIns="0" tIns="0" rIns="0" bIns="0" rtlCol="0">
                          <a:prstTxWarp prst="textNoShape">
                            <a:avLst/>
                          </a:prstTxWarp>
                          <a:noAutofit/>
                        </wps:bodyPr>
                      </wps:wsp>
                      <wps:wsp>
                        <wps:cNvPr id="112" name="Graphic 112"/>
                        <wps:cNvSpPr/>
                        <wps:spPr>
                          <a:xfrm>
                            <a:off x="5590032" y="2298192"/>
                            <a:ext cx="12700" cy="165100"/>
                          </a:xfrm>
                          <a:custGeom>
                            <a:avLst/>
                            <a:gdLst/>
                            <a:ahLst/>
                            <a:cxnLst/>
                            <a:rect l="l" t="t" r="r" b="b"/>
                            <a:pathLst>
                              <a:path w="12700" h="165100">
                                <a:moveTo>
                                  <a:pt x="12192" y="0"/>
                                </a:moveTo>
                                <a:lnTo>
                                  <a:pt x="0" y="0"/>
                                </a:lnTo>
                                <a:lnTo>
                                  <a:pt x="0" y="164591"/>
                                </a:lnTo>
                                <a:lnTo>
                                  <a:pt x="12192" y="164591"/>
                                </a:lnTo>
                                <a:lnTo>
                                  <a:pt x="12192" y="0"/>
                                </a:lnTo>
                                <a:close/>
                              </a:path>
                            </a:pathLst>
                          </a:custGeom>
                          <a:solidFill>
                            <a:srgbClr val="283014"/>
                          </a:solidFill>
                        </wps:spPr>
                        <wps:bodyPr wrap="square" lIns="0" tIns="0" rIns="0" bIns="0" rtlCol="0">
                          <a:prstTxWarp prst="textNoShape">
                            <a:avLst/>
                          </a:prstTxWarp>
                          <a:noAutofit/>
                        </wps:bodyPr>
                      </wps:wsp>
                      <wps:wsp>
                        <wps:cNvPr id="113" name="Graphic 113"/>
                        <wps:cNvSpPr/>
                        <wps:spPr>
                          <a:xfrm>
                            <a:off x="12191" y="2462783"/>
                            <a:ext cx="5577840" cy="509270"/>
                          </a:xfrm>
                          <a:custGeom>
                            <a:avLst/>
                            <a:gdLst/>
                            <a:ahLst/>
                            <a:cxnLst/>
                            <a:rect l="l" t="t" r="r" b="b"/>
                            <a:pathLst>
                              <a:path w="5577840" h="509270">
                                <a:moveTo>
                                  <a:pt x="5577840" y="0"/>
                                </a:moveTo>
                                <a:lnTo>
                                  <a:pt x="0" y="0"/>
                                </a:lnTo>
                                <a:lnTo>
                                  <a:pt x="0" y="509016"/>
                                </a:lnTo>
                                <a:lnTo>
                                  <a:pt x="5577840" y="509016"/>
                                </a:lnTo>
                                <a:lnTo>
                                  <a:pt x="5577840" y="0"/>
                                </a:lnTo>
                                <a:close/>
                              </a:path>
                            </a:pathLst>
                          </a:custGeom>
                          <a:solidFill>
                            <a:srgbClr val="D5E2BB"/>
                          </a:solidFill>
                        </wps:spPr>
                        <wps:bodyPr wrap="square" lIns="0" tIns="0" rIns="0" bIns="0" rtlCol="0">
                          <a:prstTxWarp prst="textNoShape">
                            <a:avLst/>
                          </a:prstTxWarp>
                          <a:noAutofit/>
                        </wps:bodyPr>
                      </wps:wsp>
                      <wps:wsp>
                        <wps:cNvPr id="114" name="Graphic 114"/>
                        <wps:cNvSpPr/>
                        <wps:spPr>
                          <a:xfrm>
                            <a:off x="0" y="2971812"/>
                            <a:ext cx="12700" cy="12700"/>
                          </a:xfrm>
                          <a:custGeom>
                            <a:avLst/>
                            <a:gdLst/>
                            <a:ahLst/>
                            <a:cxnLst/>
                            <a:rect l="l" t="t" r="r" b="b"/>
                            <a:pathLst>
                              <a:path w="12700" h="12700">
                                <a:moveTo>
                                  <a:pt x="12179" y="0"/>
                                </a:moveTo>
                                <a:lnTo>
                                  <a:pt x="0" y="0"/>
                                </a:lnTo>
                                <a:lnTo>
                                  <a:pt x="0" y="12179"/>
                                </a:lnTo>
                                <a:lnTo>
                                  <a:pt x="12179" y="12179"/>
                                </a:lnTo>
                                <a:lnTo>
                                  <a:pt x="12179" y="0"/>
                                </a:lnTo>
                                <a:close/>
                              </a:path>
                            </a:pathLst>
                          </a:custGeom>
                          <a:solidFill>
                            <a:srgbClr val="283014"/>
                          </a:solidFill>
                        </wps:spPr>
                        <wps:bodyPr wrap="square" lIns="0" tIns="0" rIns="0" bIns="0" rtlCol="0">
                          <a:prstTxWarp prst="textNoShape">
                            <a:avLst/>
                          </a:prstTxWarp>
                          <a:noAutofit/>
                        </wps:bodyPr>
                      </wps:wsp>
                      <wps:wsp>
                        <wps:cNvPr id="115" name="Graphic 115"/>
                        <wps:cNvSpPr/>
                        <wps:spPr>
                          <a:xfrm>
                            <a:off x="12191" y="2984004"/>
                            <a:ext cx="5577840" cy="12700"/>
                          </a:xfrm>
                          <a:custGeom>
                            <a:avLst/>
                            <a:gdLst/>
                            <a:ahLst/>
                            <a:cxnLst/>
                            <a:rect l="l" t="t" r="r" b="b"/>
                            <a:pathLst>
                              <a:path w="5577840" h="12700">
                                <a:moveTo>
                                  <a:pt x="5577840" y="0"/>
                                </a:moveTo>
                                <a:lnTo>
                                  <a:pt x="0" y="0"/>
                                </a:lnTo>
                                <a:lnTo>
                                  <a:pt x="0" y="12179"/>
                                </a:lnTo>
                                <a:lnTo>
                                  <a:pt x="5577840" y="12179"/>
                                </a:lnTo>
                                <a:lnTo>
                                  <a:pt x="5577840"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12191" y="2971800"/>
                            <a:ext cx="5577840" cy="12700"/>
                          </a:xfrm>
                          <a:custGeom>
                            <a:avLst/>
                            <a:gdLst/>
                            <a:ahLst/>
                            <a:cxnLst/>
                            <a:rect l="l" t="t" r="r" b="b"/>
                            <a:pathLst>
                              <a:path w="5577840" h="12700">
                                <a:moveTo>
                                  <a:pt x="5577840" y="0"/>
                                </a:moveTo>
                                <a:lnTo>
                                  <a:pt x="0" y="0"/>
                                </a:lnTo>
                                <a:lnTo>
                                  <a:pt x="0" y="12192"/>
                                </a:lnTo>
                                <a:lnTo>
                                  <a:pt x="5577840" y="12192"/>
                                </a:lnTo>
                                <a:lnTo>
                                  <a:pt x="5577840" y="0"/>
                                </a:lnTo>
                                <a:close/>
                              </a:path>
                            </a:pathLst>
                          </a:custGeom>
                          <a:solidFill>
                            <a:srgbClr val="283014"/>
                          </a:solidFill>
                        </wps:spPr>
                        <wps:bodyPr wrap="square" lIns="0" tIns="0" rIns="0" bIns="0" rtlCol="0">
                          <a:prstTxWarp prst="textNoShape">
                            <a:avLst/>
                          </a:prstTxWarp>
                          <a:noAutofit/>
                        </wps:bodyPr>
                      </wps:wsp>
                      <wps:wsp>
                        <wps:cNvPr id="117" name="Graphic 117"/>
                        <wps:cNvSpPr/>
                        <wps:spPr>
                          <a:xfrm>
                            <a:off x="5590032" y="2971800"/>
                            <a:ext cx="24765" cy="24765"/>
                          </a:xfrm>
                          <a:custGeom>
                            <a:avLst/>
                            <a:gdLst/>
                            <a:ahLst/>
                            <a:cxnLst/>
                            <a:rect l="l" t="t" r="r" b="b"/>
                            <a:pathLst>
                              <a:path w="24765" h="24765">
                                <a:moveTo>
                                  <a:pt x="24371" y="0"/>
                                </a:moveTo>
                                <a:lnTo>
                                  <a:pt x="12192" y="0"/>
                                </a:lnTo>
                                <a:lnTo>
                                  <a:pt x="12192" y="12204"/>
                                </a:lnTo>
                                <a:lnTo>
                                  <a:pt x="0" y="12204"/>
                                </a:lnTo>
                                <a:lnTo>
                                  <a:pt x="0" y="24384"/>
                                </a:lnTo>
                                <a:lnTo>
                                  <a:pt x="12192" y="24384"/>
                                </a:lnTo>
                                <a:lnTo>
                                  <a:pt x="24371" y="24384"/>
                                </a:lnTo>
                                <a:lnTo>
                                  <a:pt x="24371" y="12204"/>
                                </a:lnTo>
                                <a:lnTo>
                                  <a:pt x="24371" y="0"/>
                                </a:lnTo>
                                <a:close/>
                              </a:path>
                            </a:pathLst>
                          </a:custGeom>
                          <a:solidFill>
                            <a:srgbClr val="000000"/>
                          </a:solidFill>
                        </wps:spPr>
                        <wps:bodyPr wrap="square" lIns="0" tIns="0" rIns="0" bIns="0" rtlCol="0">
                          <a:prstTxWarp prst="textNoShape">
                            <a:avLst/>
                          </a:prstTxWarp>
                          <a:noAutofit/>
                        </wps:bodyPr>
                      </wps:wsp>
                      <wps:wsp>
                        <wps:cNvPr id="118" name="Graphic 118"/>
                        <wps:cNvSpPr/>
                        <wps:spPr>
                          <a:xfrm>
                            <a:off x="0" y="2462783"/>
                            <a:ext cx="5602605" cy="521334"/>
                          </a:xfrm>
                          <a:custGeom>
                            <a:avLst/>
                            <a:gdLst/>
                            <a:ahLst/>
                            <a:cxnLst/>
                            <a:rect l="l" t="t" r="r" b="b"/>
                            <a:pathLst>
                              <a:path w="5602605" h="521334">
                                <a:moveTo>
                                  <a:pt x="12179" y="0"/>
                                </a:moveTo>
                                <a:lnTo>
                                  <a:pt x="0" y="0"/>
                                </a:lnTo>
                                <a:lnTo>
                                  <a:pt x="0" y="509016"/>
                                </a:lnTo>
                                <a:lnTo>
                                  <a:pt x="12179" y="509016"/>
                                </a:lnTo>
                                <a:lnTo>
                                  <a:pt x="12179" y="0"/>
                                </a:lnTo>
                                <a:close/>
                              </a:path>
                              <a:path w="5602605" h="521334">
                                <a:moveTo>
                                  <a:pt x="5602224" y="509028"/>
                                </a:moveTo>
                                <a:lnTo>
                                  <a:pt x="5590032" y="509028"/>
                                </a:lnTo>
                                <a:lnTo>
                                  <a:pt x="5590032" y="521208"/>
                                </a:lnTo>
                                <a:lnTo>
                                  <a:pt x="5602224" y="521208"/>
                                </a:lnTo>
                                <a:lnTo>
                                  <a:pt x="5602224" y="509028"/>
                                </a:lnTo>
                                <a:close/>
                              </a:path>
                            </a:pathLst>
                          </a:custGeom>
                          <a:solidFill>
                            <a:srgbClr val="283014"/>
                          </a:solidFill>
                        </wps:spPr>
                        <wps:bodyPr wrap="square" lIns="0" tIns="0" rIns="0" bIns="0" rtlCol="0">
                          <a:prstTxWarp prst="textNoShape">
                            <a:avLst/>
                          </a:prstTxWarp>
                          <a:noAutofit/>
                        </wps:bodyPr>
                      </wps:wsp>
                      <wps:wsp>
                        <wps:cNvPr id="119" name="Graphic 119"/>
                        <wps:cNvSpPr/>
                        <wps:spPr>
                          <a:xfrm>
                            <a:off x="5602223" y="2462783"/>
                            <a:ext cx="12700" cy="509270"/>
                          </a:xfrm>
                          <a:custGeom>
                            <a:avLst/>
                            <a:gdLst/>
                            <a:ahLst/>
                            <a:cxnLst/>
                            <a:rect l="l" t="t" r="r" b="b"/>
                            <a:pathLst>
                              <a:path w="12700" h="509270">
                                <a:moveTo>
                                  <a:pt x="12179" y="0"/>
                                </a:moveTo>
                                <a:lnTo>
                                  <a:pt x="0" y="0"/>
                                </a:lnTo>
                                <a:lnTo>
                                  <a:pt x="0" y="509016"/>
                                </a:lnTo>
                                <a:lnTo>
                                  <a:pt x="12179" y="509016"/>
                                </a:lnTo>
                                <a:lnTo>
                                  <a:pt x="12179" y="0"/>
                                </a:lnTo>
                                <a:close/>
                              </a:path>
                            </a:pathLst>
                          </a:custGeom>
                          <a:solidFill>
                            <a:srgbClr val="000000"/>
                          </a:solidFill>
                        </wps:spPr>
                        <wps:bodyPr wrap="square" lIns="0" tIns="0" rIns="0" bIns="0" rtlCol="0">
                          <a:prstTxWarp prst="textNoShape">
                            <a:avLst/>
                          </a:prstTxWarp>
                          <a:noAutofit/>
                        </wps:bodyPr>
                      </wps:wsp>
                      <wps:wsp>
                        <wps:cNvPr id="120" name="Graphic 120"/>
                        <wps:cNvSpPr/>
                        <wps:spPr>
                          <a:xfrm>
                            <a:off x="5590032" y="2462783"/>
                            <a:ext cx="12700" cy="509270"/>
                          </a:xfrm>
                          <a:custGeom>
                            <a:avLst/>
                            <a:gdLst/>
                            <a:ahLst/>
                            <a:cxnLst/>
                            <a:rect l="l" t="t" r="r" b="b"/>
                            <a:pathLst>
                              <a:path w="12700" h="509270">
                                <a:moveTo>
                                  <a:pt x="12192" y="0"/>
                                </a:moveTo>
                                <a:lnTo>
                                  <a:pt x="0" y="0"/>
                                </a:lnTo>
                                <a:lnTo>
                                  <a:pt x="0" y="509016"/>
                                </a:lnTo>
                                <a:lnTo>
                                  <a:pt x="12192" y="509016"/>
                                </a:lnTo>
                                <a:lnTo>
                                  <a:pt x="12192" y="0"/>
                                </a:lnTo>
                                <a:close/>
                              </a:path>
                            </a:pathLst>
                          </a:custGeom>
                          <a:solidFill>
                            <a:srgbClr val="283014"/>
                          </a:solidFill>
                        </wps:spPr>
                        <wps:bodyPr wrap="square" lIns="0" tIns="0" rIns="0" bIns="0" rtlCol="0">
                          <a:prstTxWarp prst="textNoShape">
                            <a:avLst/>
                          </a:prstTxWarp>
                          <a:noAutofit/>
                        </wps:bodyPr>
                      </wps:wsp>
                      <wps:wsp>
                        <wps:cNvPr id="121" name="Textbox 121"/>
                        <wps:cNvSpPr txBox="1"/>
                        <wps:spPr>
                          <a:xfrm>
                            <a:off x="12191" y="12191"/>
                            <a:ext cx="5572125" cy="2959735"/>
                          </a:xfrm>
                          <a:prstGeom prst="rect">
                            <a:avLst/>
                          </a:prstGeom>
                        </wps:spPr>
                        <wps:txbx>
                          <w:txbxContent>
                            <w:p>
                              <w:pPr>
                                <w:spacing w:before="18"/>
                                <w:ind w:left="11" w:right="0" w:firstLine="0"/>
                                <w:jc w:val="center"/>
                                <w:rPr>
                                  <w:b/>
                                  <w:sz w:val="22"/>
                                </w:rPr>
                              </w:pPr>
                              <w:r>
                                <w:rPr>
                                  <w:b/>
                                  <w:sz w:val="22"/>
                                </w:rPr>
                                <w:t>Forest</w:t>
                              </w:r>
                              <w:r>
                                <w:rPr>
                                  <w:b/>
                                  <w:spacing w:val="-8"/>
                                  <w:sz w:val="22"/>
                                </w:rPr>
                                <w:t> </w:t>
                              </w:r>
                              <w:r>
                                <w:rPr>
                                  <w:b/>
                                  <w:sz w:val="22"/>
                                </w:rPr>
                                <w:t>Plan</w:t>
                              </w:r>
                              <w:r>
                                <w:rPr>
                                  <w:b/>
                                  <w:spacing w:val="-7"/>
                                  <w:sz w:val="22"/>
                                </w:rPr>
                                <w:t> </w:t>
                              </w:r>
                              <w:r>
                                <w:rPr>
                                  <w:b/>
                                  <w:spacing w:val="-2"/>
                                  <w:sz w:val="22"/>
                                </w:rPr>
                                <w:t>Characteristics</w:t>
                              </w:r>
                            </w:p>
                            <w:p>
                              <w:pPr>
                                <w:spacing w:line="232" w:lineRule="auto" w:before="199"/>
                                <w:ind w:left="108" w:right="172" w:firstLine="0"/>
                                <w:jc w:val="left"/>
                                <w:rPr>
                                  <w:sz w:val="22"/>
                                </w:rPr>
                              </w:pPr>
                              <w:r>
                                <w:rPr>
                                  <w:b/>
                                  <w:i/>
                                  <w:sz w:val="22"/>
                                </w:rPr>
                                <w:t>The Plan is strategic in nature. </w:t>
                              </w:r>
                              <w:r>
                                <w:rPr>
                                  <w:sz w:val="22"/>
                                </w:rPr>
                                <w:t>It does not include project and activity decisions. Those decisions</w:t>
                              </w:r>
                              <w:r>
                                <w:rPr>
                                  <w:spacing w:val="-7"/>
                                  <w:sz w:val="22"/>
                                </w:rPr>
                                <w:t> </w:t>
                              </w:r>
                              <w:r>
                                <w:rPr>
                                  <w:sz w:val="22"/>
                                </w:rPr>
                                <w:t>are</w:t>
                              </w:r>
                              <w:r>
                                <w:rPr>
                                  <w:spacing w:val="-7"/>
                                  <w:sz w:val="22"/>
                                </w:rPr>
                                <w:t> </w:t>
                              </w:r>
                              <w:r>
                                <w:rPr>
                                  <w:sz w:val="22"/>
                                </w:rPr>
                                <w:t>made</w:t>
                              </w:r>
                              <w:r>
                                <w:rPr>
                                  <w:spacing w:val="-4"/>
                                  <w:sz w:val="22"/>
                                </w:rPr>
                                <w:t> </w:t>
                              </w:r>
                              <w:r>
                                <w:rPr>
                                  <w:sz w:val="22"/>
                                </w:rPr>
                                <w:t>later,</w:t>
                              </w:r>
                              <w:r>
                                <w:rPr>
                                  <w:spacing w:val="-7"/>
                                  <w:sz w:val="22"/>
                                </w:rPr>
                                <w:t> </w:t>
                              </w:r>
                              <w:r>
                                <w:rPr>
                                  <w:sz w:val="22"/>
                                </w:rPr>
                                <w:t>only</w:t>
                              </w:r>
                              <w:r>
                                <w:rPr>
                                  <w:spacing w:val="-4"/>
                                  <w:sz w:val="22"/>
                                </w:rPr>
                                <w:t> </w:t>
                              </w:r>
                              <w:r>
                                <w:rPr>
                                  <w:sz w:val="22"/>
                                </w:rPr>
                                <w:t>after</w:t>
                              </w:r>
                              <w:r>
                                <w:rPr>
                                  <w:spacing w:val="-5"/>
                                  <w:sz w:val="22"/>
                                </w:rPr>
                                <w:t> </w:t>
                              </w:r>
                              <w:r>
                                <w:rPr>
                                  <w:sz w:val="22"/>
                                </w:rPr>
                                <w:t>specific</w:t>
                              </w:r>
                              <w:r>
                                <w:rPr>
                                  <w:spacing w:val="-5"/>
                                  <w:sz w:val="22"/>
                                </w:rPr>
                                <w:t> </w:t>
                              </w:r>
                              <w:r>
                                <w:rPr>
                                  <w:sz w:val="22"/>
                                </w:rPr>
                                <w:t>proposals</w:t>
                              </w:r>
                              <w:r>
                                <w:rPr>
                                  <w:spacing w:val="-7"/>
                                  <w:sz w:val="22"/>
                                </w:rPr>
                                <w:t> </w:t>
                              </w:r>
                              <w:r>
                                <w:rPr>
                                  <w:sz w:val="22"/>
                                </w:rPr>
                                <w:t>are</w:t>
                              </w:r>
                              <w:r>
                                <w:rPr>
                                  <w:spacing w:val="-7"/>
                                  <w:sz w:val="22"/>
                                </w:rPr>
                                <w:t> </w:t>
                              </w:r>
                              <w:r>
                                <w:rPr>
                                  <w:sz w:val="22"/>
                                </w:rPr>
                                <w:t>made</w:t>
                              </w:r>
                              <w:r>
                                <w:rPr>
                                  <w:spacing w:val="-4"/>
                                  <w:sz w:val="22"/>
                                </w:rPr>
                                <w:t> </w:t>
                              </w:r>
                              <w:r>
                                <w:rPr>
                                  <w:sz w:val="22"/>
                                </w:rPr>
                                <w:t>and</w:t>
                              </w:r>
                              <w:r>
                                <w:rPr>
                                  <w:spacing w:val="-6"/>
                                  <w:sz w:val="22"/>
                                </w:rPr>
                                <w:t> </w:t>
                              </w:r>
                              <w:r>
                                <w:rPr>
                                  <w:sz w:val="22"/>
                                </w:rPr>
                                <w:t>analyzed</w:t>
                              </w:r>
                              <w:r>
                                <w:rPr>
                                  <w:spacing w:val="-6"/>
                                  <w:sz w:val="22"/>
                                </w:rPr>
                                <w:t> </w:t>
                              </w:r>
                              <w:r>
                                <w:rPr>
                                  <w:sz w:val="22"/>
                                </w:rPr>
                                <w:t>and</w:t>
                              </w:r>
                              <w:r>
                                <w:rPr>
                                  <w:spacing w:val="-8"/>
                                  <w:sz w:val="22"/>
                                </w:rPr>
                                <w:t> </w:t>
                              </w:r>
                              <w:r>
                                <w:rPr>
                                  <w:sz w:val="22"/>
                                </w:rPr>
                                <w:t>there</w:t>
                              </w:r>
                              <w:r>
                                <w:rPr>
                                  <w:spacing w:val="-7"/>
                                  <w:sz w:val="22"/>
                                </w:rPr>
                                <w:t> </w:t>
                              </w:r>
                              <w:r>
                                <w:rPr>
                                  <w:sz w:val="22"/>
                                </w:rPr>
                                <w:t>is</w:t>
                              </w:r>
                              <w:r>
                                <w:rPr>
                                  <w:spacing w:val="-5"/>
                                  <w:sz w:val="22"/>
                                </w:rPr>
                                <w:t> </w:t>
                              </w:r>
                              <w:r>
                                <w:rPr>
                                  <w:sz w:val="22"/>
                                </w:rPr>
                                <w:t>the opportunity for public involvement.</w:t>
                              </w:r>
                            </w:p>
                            <w:p>
                              <w:pPr>
                                <w:spacing w:line="232" w:lineRule="auto" w:before="257"/>
                                <w:ind w:left="108" w:right="172" w:firstLine="0"/>
                                <w:jc w:val="left"/>
                                <w:rPr>
                                  <w:sz w:val="22"/>
                                </w:rPr>
                              </w:pPr>
                              <w:r>
                                <w:rPr>
                                  <w:b/>
                                  <w:i/>
                                  <w:sz w:val="22"/>
                                </w:rPr>
                                <w:t>The Plan includes plan components. </w:t>
                              </w:r>
                              <w:r>
                                <w:rPr>
                                  <w:sz w:val="22"/>
                                </w:rPr>
                                <w:t>These are desired conditions, objectives, suitability of areas, areas with special designations, monitoring, and standards and guidelines. Plan components</w:t>
                              </w:r>
                              <w:r>
                                <w:rPr>
                                  <w:spacing w:val="-5"/>
                                  <w:sz w:val="22"/>
                                </w:rPr>
                                <w:t> </w:t>
                              </w:r>
                              <w:r>
                                <w:rPr>
                                  <w:sz w:val="22"/>
                                </w:rPr>
                                <w:t>are</w:t>
                              </w:r>
                              <w:r>
                                <w:rPr>
                                  <w:spacing w:val="-5"/>
                                  <w:sz w:val="22"/>
                                </w:rPr>
                                <w:t> </w:t>
                              </w:r>
                              <w:r>
                                <w:rPr>
                                  <w:sz w:val="22"/>
                                </w:rPr>
                                <w:t>distinguished</w:t>
                              </w:r>
                              <w:r>
                                <w:rPr>
                                  <w:spacing w:val="-4"/>
                                  <w:sz w:val="22"/>
                                </w:rPr>
                                <w:t> </w:t>
                              </w:r>
                              <w:r>
                                <w:rPr>
                                  <w:sz w:val="22"/>
                                </w:rPr>
                                <w:t>from</w:t>
                              </w:r>
                              <w:r>
                                <w:rPr>
                                  <w:spacing w:val="-4"/>
                                  <w:sz w:val="22"/>
                                </w:rPr>
                                <w:t> </w:t>
                              </w:r>
                              <w:r>
                                <w:rPr>
                                  <w:sz w:val="22"/>
                                </w:rPr>
                                <w:t>other</w:t>
                              </w:r>
                              <w:r>
                                <w:rPr>
                                  <w:spacing w:val="-3"/>
                                  <w:sz w:val="22"/>
                                </w:rPr>
                                <w:t> </w:t>
                              </w:r>
                              <w:r>
                                <w:rPr>
                                  <w:sz w:val="22"/>
                                </w:rPr>
                                <w:t>parts</w:t>
                              </w:r>
                              <w:r>
                                <w:rPr>
                                  <w:spacing w:val="-5"/>
                                  <w:sz w:val="22"/>
                                </w:rPr>
                                <w:t> </w:t>
                              </w:r>
                              <w:r>
                                <w:rPr>
                                  <w:sz w:val="22"/>
                                </w:rPr>
                                <w:t>of</w:t>
                              </w:r>
                              <w:r>
                                <w:rPr>
                                  <w:spacing w:val="-5"/>
                                  <w:sz w:val="22"/>
                                </w:rPr>
                                <w:t> </w:t>
                              </w:r>
                              <w:r>
                                <w:rPr>
                                  <w:sz w:val="22"/>
                                </w:rPr>
                                <w:t>the</w:t>
                              </w:r>
                              <w:r>
                                <w:rPr>
                                  <w:spacing w:val="-5"/>
                                  <w:sz w:val="22"/>
                                </w:rPr>
                                <w:t> </w:t>
                              </w:r>
                              <w:r>
                                <w:rPr>
                                  <w:sz w:val="22"/>
                                </w:rPr>
                                <w:t>Plan</w:t>
                              </w:r>
                              <w:r>
                                <w:rPr>
                                  <w:spacing w:val="-4"/>
                                  <w:sz w:val="22"/>
                                </w:rPr>
                                <w:t> </w:t>
                              </w:r>
                              <w:r>
                                <w:rPr>
                                  <w:sz w:val="22"/>
                                </w:rPr>
                                <w:t>because</w:t>
                              </w:r>
                              <w:r>
                                <w:rPr>
                                  <w:spacing w:val="-2"/>
                                  <w:sz w:val="22"/>
                                </w:rPr>
                                <w:t> </w:t>
                              </w:r>
                              <w:r>
                                <w:rPr>
                                  <w:sz w:val="22"/>
                                </w:rPr>
                                <w:t>they</w:t>
                              </w:r>
                              <w:r>
                                <w:rPr>
                                  <w:spacing w:val="-2"/>
                                  <w:sz w:val="22"/>
                                </w:rPr>
                                <w:t> </w:t>
                              </w:r>
                              <w:r>
                                <w:rPr>
                                  <w:sz w:val="22"/>
                                </w:rPr>
                                <w:t>can</w:t>
                              </w:r>
                              <w:r>
                                <w:rPr>
                                  <w:spacing w:val="-6"/>
                                  <w:sz w:val="22"/>
                                </w:rPr>
                                <w:t> </w:t>
                              </w:r>
                              <w:r>
                                <w:rPr>
                                  <w:sz w:val="22"/>
                                </w:rPr>
                                <w:t>only</w:t>
                              </w:r>
                              <w:r>
                                <w:rPr>
                                  <w:spacing w:val="-2"/>
                                  <w:sz w:val="22"/>
                                </w:rPr>
                                <w:t> </w:t>
                              </w:r>
                              <w:r>
                                <w:rPr>
                                  <w:sz w:val="22"/>
                                </w:rPr>
                                <w:t>be</w:t>
                              </w:r>
                              <w:r>
                                <w:rPr>
                                  <w:spacing w:val="-5"/>
                                  <w:sz w:val="22"/>
                                </w:rPr>
                                <w:t> </w:t>
                              </w:r>
                              <w:r>
                                <w:rPr>
                                  <w:sz w:val="22"/>
                                </w:rPr>
                                <w:t>changed by a plan amendment.</w:t>
                              </w:r>
                            </w:p>
                            <w:p>
                              <w:pPr>
                                <w:spacing w:line="232" w:lineRule="auto" w:before="259"/>
                                <w:ind w:left="108" w:right="0" w:firstLine="0"/>
                                <w:jc w:val="left"/>
                                <w:rPr>
                                  <w:sz w:val="22"/>
                                </w:rPr>
                              </w:pPr>
                              <w:r>
                                <w:rPr>
                                  <w:b/>
                                  <w:i/>
                                  <w:sz w:val="22"/>
                                </w:rPr>
                                <w:t>The</w:t>
                              </w:r>
                              <w:r>
                                <w:rPr>
                                  <w:b/>
                                  <w:i/>
                                  <w:spacing w:val="-6"/>
                                  <w:sz w:val="22"/>
                                </w:rPr>
                                <w:t> </w:t>
                              </w:r>
                              <w:r>
                                <w:rPr>
                                  <w:b/>
                                  <w:i/>
                                  <w:sz w:val="22"/>
                                </w:rPr>
                                <w:t>Plan</w:t>
                              </w:r>
                              <w:r>
                                <w:rPr>
                                  <w:b/>
                                  <w:i/>
                                  <w:spacing w:val="-4"/>
                                  <w:sz w:val="22"/>
                                </w:rPr>
                                <w:t> </w:t>
                              </w:r>
                              <w:r>
                                <w:rPr>
                                  <w:b/>
                                  <w:i/>
                                  <w:sz w:val="22"/>
                                </w:rPr>
                                <w:t>is</w:t>
                              </w:r>
                              <w:r>
                                <w:rPr>
                                  <w:b/>
                                  <w:i/>
                                  <w:spacing w:val="-6"/>
                                  <w:sz w:val="22"/>
                                </w:rPr>
                                <w:t> </w:t>
                              </w:r>
                              <w:r>
                                <w:rPr>
                                  <w:b/>
                                  <w:i/>
                                  <w:sz w:val="22"/>
                                </w:rPr>
                                <w:t>adaptive.</w:t>
                              </w:r>
                              <w:r>
                                <w:rPr>
                                  <w:b/>
                                  <w:i/>
                                  <w:spacing w:val="-4"/>
                                  <w:sz w:val="22"/>
                                </w:rPr>
                                <w:t> </w:t>
                              </w:r>
                              <w:r>
                                <w:rPr>
                                  <w:sz w:val="22"/>
                                </w:rPr>
                                <w:t>New</w:t>
                              </w:r>
                              <w:r>
                                <w:rPr>
                                  <w:spacing w:val="-5"/>
                                  <w:sz w:val="22"/>
                                </w:rPr>
                                <w:t> </w:t>
                              </w:r>
                              <w:r>
                                <w:rPr>
                                  <w:sz w:val="22"/>
                                </w:rPr>
                                <w:t>knowledge</w:t>
                              </w:r>
                              <w:r>
                                <w:rPr>
                                  <w:spacing w:val="-2"/>
                                  <w:sz w:val="22"/>
                                </w:rPr>
                                <w:t> </w:t>
                              </w:r>
                              <w:r>
                                <w:rPr>
                                  <w:sz w:val="22"/>
                                </w:rPr>
                                <w:t>and</w:t>
                              </w:r>
                              <w:r>
                                <w:rPr>
                                  <w:spacing w:val="-4"/>
                                  <w:sz w:val="22"/>
                                </w:rPr>
                                <w:t> </w:t>
                              </w:r>
                              <w:r>
                                <w:rPr>
                                  <w:sz w:val="22"/>
                                </w:rPr>
                                <w:t>information</w:t>
                              </w:r>
                              <w:r>
                                <w:rPr>
                                  <w:spacing w:val="-4"/>
                                  <w:sz w:val="22"/>
                                </w:rPr>
                                <w:t> </w:t>
                              </w:r>
                              <w:r>
                                <w:rPr>
                                  <w:sz w:val="22"/>
                                </w:rPr>
                                <w:t>can</w:t>
                              </w:r>
                              <w:r>
                                <w:rPr>
                                  <w:spacing w:val="-4"/>
                                  <w:sz w:val="22"/>
                                </w:rPr>
                                <w:t> </w:t>
                              </w:r>
                              <w:r>
                                <w:rPr>
                                  <w:sz w:val="22"/>
                                </w:rPr>
                                <w:t>be</w:t>
                              </w:r>
                              <w:r>
                                <w:rPr>
                                  <w:spacing w:val="-2"/>
                                  <w:sz w:val="22"/>
                                </w:rPr>
                                <w:t> </w:t>
                              </w:r>
                              <w:r>
                                <w:rPr>
                                  <w:sz w:val="22"/>
                                </w:rPr>
                                <w:t>analyzed</w:t>
                              </w:r>
                              <w:r>
                                <w:rPr>
                                  <w:spacing w:val="-4"/>
                                  <w:sz w:val="22"/>
                                </w:rPr>
                                <w:t> </w:t>
                              </w:r>
                              <w:r>
                                <w:rPr>
                                  <w:sz w:val="22"/>
                                </w:rPr>
                                <w:t>and</w:t>
                              </w:r>
                              <w:r>
                                <w:rPr>
                                  <w:spacing w:val="-6"/>
                                  <w:sz w:val="22"/>
                                </w:rPr>
                                <w:t> </w:t>
                              </w:r>
                              <w:r>
                                <w:rPr>
                                  <w:sz w:val="22"/>
                                </w:rPr>
                                <w:t>the</w:t>
                              </w:r>
                              <w:r>
                                <w:rPr>
                                  <w:spacing w:val="-5"/>
                                  <w:sz w:val="22"/>
                                </w:rPr>
                                <w:t> </w:t>
                              </w:r>
                              <w:r>
                                <w:rPr>
                                  <w:sz w:val="22"/>
                                </w:rPr>
                                <w:t>Plan</w:t>
                              </w:r>
                              <w:r>
                                <w:rPr>
                                  <w:spacing w:val="-4"/>
                                  <w:sz w:val="22"/>
                                </w:rPr>
                                <w:t> </w:t>
                              </w:r>
                              <w:r>
                                <w:rPr>
                                  <w:sz w:val="22"/>
                                </w:rPr>
                                <w:t>changed,</w:t>
                              </w:r>
                              <w:r>
                                <w:rPr>
                                  <w:spacing w:val="-3"/>
                                  <w:sz w:val="22"/>
                                </w:rPr>
                                <w:t> </w:t>
                              </w:r>
                              <w:r>
                                <w:rPr>
                                  <w:sz w:val="22"/>
                                </w:rPr>
                                <w:t>if appropriate, at any time. Changes to plan components are made by a formal amendment </w:t>
                              </w:r>
                              <w:r>
                                <w:rPr>
                                  <w:spacing w:val="-2"/>
                                  <w:sz w:val="22"/>
                                </w:rPr>
                                <w:t>process.</w:t>
                              </w:r>
                            </w:p>
                            <w:p>
                              <w:pPr>
                                <w:spacing w:before="252"/>
                                <w:ind w:left="108" w:right="0" w:firstLine="0"/>
                                <w:jc w:val="left"/>
                                <w:rPr>
                                  <w:b/>
                                  <w:i/>
                                  <w:sz w:val="22"/>
                                </w:rPr>
                              </w:pPr>
                              <w:r>
                                <w:rPr>
                                  <w:b/>
                                  <w:i/>
                                  <w:sz w:val="22"/>
                                </w:rPr>
                                <w:t>The</w:t>
                              </w:r>
                              <w:r>
                                <w:rPr>
                                  <w:b/>
                                  <w:i/>
                                  <w:spacing w:val="-12"/>
                                  <w:sz w:val="22"/>
                                </w:rPr>
                                <w:t> </w:t>
                              </w:r>
                              <w:r>
                                <w:rPr>
                                  <w:b/>
                                  <w:i/>
                                  <w:sz w:val="22"/>
                                </w:rPr>
                                <w:t>Plan</w:t>
                              </w:r>
                              <w:r>
                                <w:rPr>
                                  <w:b/>
                                  <w:i/>
                                  <w:spacing w:val="-7"/>
                                  <w:sz w:val="22"/>
                                </w:rPr>
                                <w:t> </w:t>
                              </w:r>
                              <w:r>
                                <w:rPr>
                                  <w:b/>
                                  <w:i/>
                                  <w:sz w:val="22"/>
                                </w:rPr>
                                <w:t>honors</w:t>
                              </w:r>
                              <w:r>
                                <w:rPr>
                                  <w:b/>
                                  <w:i/>
                                  <w:spacing w:val="-7"/>
                                  <w:sz w:val="22"/>
                                </w:rPr>
                                <w:t> </w:t>
                              </w:r>
                              <w:r>
                                <w:rPr>
                                  <w:b/>
                                  <w:i/>
                                  <w:sz w:val="22"/>
                                </w:rPr>
                                <w:t>the</w:t>
                              </w:r>
                              <w:r>
                                <w:rPr>
                                  <w:b/>
                                  <w:i/>
                                  <w:spacing w:val="-6"/>
                                  <w:sz w:val="22"/>
                                </w:rPr>
                                <w:t> </w:t>
                              </w:r>
                              <w:r>
                                <w:rPr>
                                  <w:b/>
                                  <w:i/>
                                  <w:sz w:val="22"/>
                                </w:rPr>
                                <w:t>continuing</w:t>
                              </w:r>
                              <w:r>
                                <w:rPr>
                                  <w:b/>
                                  <w:i/>
                                  <w:spacing w:val="-7"/>
                                  <w:sz w:val="22"/>
                                </w:rPr>
                                <w:t> </w:t>
                              </w:r>
                              <w:r>
                                <w:rPr>
                                  <w:b/>
                                  <w:i/>
                                  <w:sz w:val="22"/>
                                </w:rPr>
                                <w:t>validity</w:t>
                              </w:r>
                              <w:r>
                                <w:rPr>
                                  <w:b/>
                                  <w:i/>
                                  <w:spacing w:val="-8"/>
                                  <w:sz w:val="22"/>
                                </w:rPr>
                                <w:t> </w:t>
                              </w:r>
                              <w:r>
                                <w:rPr>
                                  <w:b/>
                                  <w:i/>
                                  <w:sz w:val="22"/>
                                </w:rPr>
                                <w:t>of</w:t>
                              </w:r>
                              <w:r>
                                <w:rPr>
                                  <w:b/>
                                  <w:i/>
                                  <w:spacing w:val="-9"/>
                                  <w:sz w:val="22"/>
                                </w:rPr>
                                <w:t> </w:t>
                              </w:r>
                              <w:r>
                                <w:rPr>
                                  <w:b/>
                                  <w:i/>
                                  <w:sz w:val="22"/>
                                </w:rPr>
                                <w:t>private,</w:t>
                              </w:r>
                              <w:r>
                                <w:rPr>
                                  <w:b/>
                                  <w:i/>
                                  <w:spacing w:val="-8"/>
                                  <w:sz w:val="22"/>
                                </w:rPr>
                                <w:t> </w:t>
                              </w:r>
                              <w:r>
                                <w:rPr>
                                  <w:b/>
                                  <w:i/>
                                  <w:sz w:val="22"/>
                                </w:rPr>
                                <w:t>statutory,</w:t>
                              </w:r>
                              <w:r>
                                <w:rPr>
                                  <w:b/>
                                  <w:i/>
                                  <w:spacing w:val="-8"/>
                                  <w:sz w:val="22"/>
                                </w:rPr>
                                <w:t> </w:t>
                              </w:r>
                              <w:r>
                                <w:rPr>
                                  <w:b/>
                                  <w:i/>
                                  <w:sz w:val="22"/>
                                </w:rPr>
                                <w:t>or</w:t>
                              </w:r>
                              <w:r>
                                <w:rPr>
                                  <w:b/>
                                  <w:i/>
                                  <w:spacing w:val="-8"/>
                                  <w:sz w:val="22"/>
                                </w:rPr>
                                <w:t> </w:t>
                              </w:r>
                              <w:r>
                                <w:rPr>
                                  <w:b/>
                                  <w:i/>
                                  <w:sz w:val="22"/>
                                </w:rPr>
                                <w:t>pre-existing</w:t>
                              </w:r>
                              <w:r>
                                <w:rPr>
                                  <w:b/>
                                  <w:i/>
                                  <w:spacing w:val="-5"/>
                                  <w:sz w:val="22"/>
                                </w:rPr>
                                <w:t> </w:t>
                              </w:r>
                              <w:r>
                                <w:rPr>
                                  <w:b/>
                                  <w:i/>
                                  <w:spacing w:val="-2"/>
                                  <w:sz w:val="22"/>
                                </w:rPr>
                                <w:t>rights.</w:t>
                              </w:r>
                            </w:p>
                          </w:txbxContent>
                        </wps:txbx>
                        <wps:bodyPr wrap="square" lIns="0" tIns="0" rIns="0" bIns="0" rtlCol="0">
                          <a:noAutofit/>
                        </wps:bodyPr>
                      </wps:wsp>
                    </wpg:wgp>
                  </a:graphicData>
                </a:graphic>
              </wp:anchor>
            </w:drawing>
          </mc:Choice>
          <mc:Fallback>
            <w:pict>
              <v:group style="position:absolute;margin-left:105.239998pt;margin-top:12.801035pt;width:442.1pt;height:235.95pt;mso-position-horizontal-relative:page;mso-position-vertical-relative:paragraph;z-index:-15724032;mso-wrap-distance-left:0;mso-wrap-distance-right:0" id="docshapegroup50" coordorigin="2105,256" coordsize="8842,4719">
                <v:rect style="position:absolute;left:2124;top:275;width:8784;height:480" id="docshape51" filled="true" fillcolor="#d5e2bb" stroked="false">
                  <v:fill type="solid"/>
                </v:rect>
                <v:shape style="position:absolute;left:2104;top:256;width:8823;height:500" id="docshape52" coordorigin="2105,256" coordsize="8823,500" path="m2124,275l2105,275,2105,755,2124,755,2124,275xm2124,256l2105,256,2105,275,2124,275,2124,256xm10927,256l10908,256,2124,256,2124,275,10908,275,10927,275,10927,256xe" filled="true" fillcolor="#283014" stroked="false">
                  <v:path arrowok="t"/>
                  <v:fill type="solid"/>
                </v:shape>
                <v:rect style="position:absolute;left:10927;top:275;width:20;height:480" id="docshape53" filled="true" fillcolor="#000000" stroked="false">
                  <v:fill type="solid"/>
                </v:rect>
                <v:rect style="position:absolute;left:10908;top:275;width:20;height:480" id="docshape54" filled="true" fillcolor="#283014" stroked="false">
                  <v:fill type="solid"/>
                </v:rect>
                <v:rect style="position:absolute;left:2124;top:755;width:8784;height:260" id="docshape55" filled="true" fillcolor="#d5e2bb" stroked="false">
                  <v:fill type="solid"/>
                </v:rect>
                <v:rect style="position:absolute;left:2104;top:755;width:20;height:260" id="docshape56" filled="true" fillcolor="#283014" stroked="false">
                  <v:fill type="solid"/>
                </v:rect>
                <v:rect style="position:absolute;left:10927;top:755;width:20;height:260" id="docshape57" filled="true" fillcolor="#000000" stroked="false">
                  <v:fill type="solid"/>
                </v:rect>
                <v:rect style="position:absolute;left:10908;top:755;width:20;height:260" id="docshape58" filled="true" fillcolor="#283014" stroked="false">
                  <v:fill type="solid"/>
                </v:rect>
                <v:rect style="position:absolute;left:2124;top:1014;width:8784;height:260" id="docshape59" filled="true" fillcolor="#d5e2bb" stroked="false">
                  <v:fill type="solid"/>
                </v:rect>
                <v:rect style="position:absolute;left:2104;top:1014;width:20;height:260" id="docshape60" filled="true" fillcolor="#283014" stroked="false">
                  <v:fill type="solid"/>
                </v:rect>
                <v:rect style="position:absolute;left:10927;top:1014;width:20;height:260" id="docshape61" filled="true" fillcolor="#000000" stroked="false">
                  <v:fill type="solid"/>
                </v:rect>
                <v:rect style="position:absolute;left:10908;top:1014;width:20;height:260" id="docshape62" filled="true" fillcolor="#283014" stroked="false">
                  <v:fill type="solid"/>
                </v:rect>
                <v:rect style="position:absolute;left:2124;top:1273;width:8784;height:262" id="docshape63" filled="true" fillcolor="#d5e2bb" stroked="false">
                  <v:fill type="solid"/>
                </v:rect>
                <v:rect style="position:absolute;left:2104;top:1273;width:20;height:262" id="docshape64" filled="true" fillcolor="#283014" stroked="false">
                  <v:fill type="solid"/>
                </v:rect>
                <v:rect style="position:absolute;left:10927;top:1273;width:20;height:262" id="docshape65" filled="true" fillcolor="#000000" stroked="false">
                  <v:fill type="solid"/>
                </v:rect>
                <v:rect style="position:absolute;left:10908;top:1273;width:20;height:262" id="docshape66" filled="true" fillcolor="#283014" stroked="false">
                  <v:fill type="solid"/>
                </v:rect>
                <v:rect style="position:absolute;left:2124;top:1535;width:8784;height:260" id="docshape67" filled="true" fillcolor="#d5e2bb" stroked="false">
                  <v:fill type="solid"/>
                </v:rect>
                <v:rect style="position:absolute;left:2104;top:1535;width:20;height:260" id="docshape68" filled="true" fillcolor="#283014" stroked="false">
                  <v:fill type="solid"/>
                </v:rect>
                <v:rect style="position:absolute;left:10927;top:1535;width:20;height:260" id="docshape69" filled="true" fillcolor="#000000" stroked="false">
                  <v:fill type="solid"/>
                </v:rect>
                <v:rect style="position:absolute;left:10908;top:1535;width:20;height:260" id="docshape70" filled="true" fillcolor="#283014" stroked="false">
                  <v:fill type="solid"/>
                </v:rect>
                <v:rect style="position:absolute;left:2124;top:1794;width:8784;height:260" id="docshape71" filled="true" fillcolor="#d5e2bb" stroked="false">
                  <v:fill type="solid"/>
                </v:rect>
                <v:rect style="position:absolute;left:2104;top:1794;width:20;height:260" id="docshape72" filled="true" fillcolor="#283014" stroked="false">
                  <v:fill type="solid"/>
                </v:rect>
                <v:rect style="position:absolute;left:10927;top:1794;width:20;height:260" id="docshape73" filled="true" fillcolor="#000000" stroked="false">
                  <v:fill type="solid"/>
                </v:rect>
                <v:rect style="position:absolute;left:10908;top:1794;width:20;height:260" id="docshape74" filled="true" fillcolor="#283014" stroked="false">
                  <v:fill type="solid"/>
                </v:rect>
                <v:rect style="position:absolute;left:2124;top:2053;width:8784;height:262" id="docshape75" filled="true" fillcolor="#d5e2bb" stroked="false">
                  <v:fill type="solid"/>
                </v:rect>
                <v:rect style="position:absolute;left:2104;top:2053;width:20;height:262" id="docshape76" filled="true" fillcolor="#283014" stroked="false">
                  <v:fill type="solid"/>
                </v:rect>
                <v:rect style="position:absolute;left:10927;top:2053;width:20;height:262" id="docshape77" filled="true" fillcolor="#000000" stroked="false">
                  <v:fill type="solid"/>
                </v:rect>
                <v:rect style="position:absolute;left:10908;top:2053;width:20;height:262" id="docshape78" filled="true" fillcolor="#283014" stroked="false">
                  <v:fill type="solid"/>
                </v:rect>
                <v:rect style="position:absolute;left:2124;top:2315;width:8784;height:260" id="docshape79" filled="true" fillcolor="#d5e2bb" stroked="false">
                  <v:fill type="solid"/>
                </v:rect>
                <v:rect style="position:absolute;left:2104;top:2315;width:20;height:260" id="docshape80" filled="true" fillcolor="#283014" stroked="false">
                  <v:fill type="solid"/>
                </v:rect>
                <v:rect style="position:absolute;left:10927;top:2315;width:20;height:260" id="docshape81" filled="true" fillcolor="#000000" stroked="false">
                  <v:fill type="solid"/>
                </v:rect>
                <v:rect style="position:absolute;left:10908;top:2315;width:20;height:260" id="docshape82" filled="true" fillcolor="#283014" stroked="false">
                  <v:fill type="solid"/>
                </v:rect>
                <v:rect style="position:absolute;left:2124;top:2574;width:8784;height:260" id="docshape83" filled="true" fillcolor="#d5e2bb" stroked="false">
                  <v:fill type="solid"/>
                </v:rect>
                <v:rect style="position:absolute;left:2104;top:2574;width:20;height:260" id="docshape84" filled="true" fillcolor="#283014" stroked="false">
                  <v:fill type="solid"/>
                </v:rect>
                <v:rect style="position:absolute;left:10927;top:2574;width:20;height:260" id="docshape85" filled="true" fillcolor="#000000" stroked="false">
                  <v:fill type="solid"/>
                </v:rect>
                <v:rect style="position:absolute;left:10908;top:2574;width:20;height:260" id="docshape86" filled="true" fillcolor="#283014" stroked="false">
                  <v:fill type="solid"/>
                </v:rect>
                <v:rect style="position:absolute;left:2124;top:2833;width:8784;height:262" id="docshape87" filled="true" fillcolor="#d5e2bb" stroked="false">
                  <v:fill type="solid"/>
                </v:rect>
                <v:rect style="position:absolute;left:2104;top:2833;width:20;height:262" id="docshape88" filled="true" fillcolor="#283014" stroked="false">
                  <v:fill type="solid"/>
                </v:rect>
                <v:rect style="position:absolute;left:10927;top:2833;width:20;height:262" id="docshape89" filled="true" fillcolor="#000000" stroked="false">
                  <v:fill type="solid"/>
                </v:rect>
                <v:rect style="position:absolute;left:10908;top:2833;width:20;height:262" id="docshape90" filled="true" fillcolor="#283014" stroked="false">
                  <v:fill type="solid"/>
                </v:rect>
                <v:rect style="position:absolute;left:2124;top:3095;width:8784;height:260" id="docshape91" filled="true" fillcolor="#d5e2bb" stroked="false">
                  <v:fill type="solid"/>
                </v:rect>
                <v:rect style="position:absolute;left:2104;top:3095;width:20;height:260" id="docshape92" filled="true" fillcolor="#283014" stroked="false">
                  <v:fill type="solid"/>
                </v:rect>
                <v:rect style="position:absolute;left:10927;top:3095;width:20;height:260" id="docshape93" filled="true" fillcolor="#000000" stroked="false">
                  <v:fill type="solid"/>
                </v:rect>
                <v:rect style="position:absolute;left:10908;top:3095;width:20;height:260" id="docshape94" filled="true" fillcolor="#283014" stroked="false">
                  <v:fill type="solid"/>
                </v:rect>
                <v:rect style="position:absolute;left:2124;top:3354;width:8784;height:260" id="docshape95" filled="true" fillcolor="#d5e2bb" stroked="false">
                  <v:fill type="solid"/>
                </v:rect>
                <v:rect style="position:absolute;left:2104;top:3354;width:20;height:260" id="docshape96" filled="true" fillcolor="#283014" stroked="false">
                  <v:fill type="solid"/>
                </v:rect>
                <v:rect style="position:absolute;left:10927;top:3354;width:20;height:260" id="docshape97" filled="true" fillcolor="#000000" stroked="false">
                  <v:fill type="solid"/>
                </v:rect>
                <v:rect style="position:absolute;left:10908;top:3354;width:20;height:260" id="docshape98" filled="true" fillcolor="#283014" stroked="false">
                  <v:fill type="solid"/>
                </v:rect>
                <v:rect style="position:absolute;left:2124;top:3613;width:8784;height:262" id="docshape99" filled="true" fillcolor="#d5e2bb" stroked="false">
                  <v:fill type="solid"/>
                </v:rect>
                <v:rect style="position:absolute;left:2104;top:3613;width:20;height:262" id="docshape100" filled="true" fillcolor="#283014" stroked="false">
                  <v:fill type="solid"/>
                </v:rect>
                <v:rect style="position:absolute;left:10927;top:3613;width:20;height:262" id="docshape101" filled="true" fillcolor="#000000" stroked="false">
                  <v:fill type="solid"/>
                </v:rect>
                <v:rect style="position:absolute;left:10908;top:3613;width:20;height:262" id="docshape102" filled="true" fillcolor="#283014" stroked="false">
                  <v:fill type="solid"/>
                </v:rect>
                <v:rect style="position:absolute;left:2124;top:3875;width:8784;height:260" id="docshape103" filled="true" fillcolor="#d5e2bb" stroked="false">
                  <v:fill type="solid"/>
                </v:rect>
                <v:rect style="position:absolute;left:2104;top:3875;width:20;height:260" id="docshape104" filled="true" fillcolor="#283014" stroked="false">
                  <v:fill type="solid"/>
                </v:rect>
                <v:rect style="position:absolute;left:10927;top:3875;width:20;height:260" id="docshape105" filled="true" fillcolor="#000000" stroked="false">
                  <v:fill type="solid"/>
                </v:rect>
                <v:rect style="position:absolute;left:10908;top:3875;width:20;height:260" id="docshape106" filled="true" fillcolor="#283014" stroked="false">
                  <v:fill type="solid"/>
                </v:rect>
                <v:rect style="position:absolute;left:2124;top:4134;width:8784;height:802" id="docshape107" filled="true" fillcolor="#d5e2bb" stroked="false">
                  <v:fill type="solid"/>
                </v:rect>
                <v:rect style="position:absolute;left:2104;top:4936;width:20;height:20" id="docshape108" filled="true" fillcolor="#283014" stroked="false">
                  <v:fill type="solid"/>
                </v:rect>
                <v:rect style="position:absolute;left:2124;top:4955;width:8784;height:20" id="docshape109" filled="true" fillcolor="#000000" stroked="false">
                  <v:fill type="solid"/>
                </v:rect>
                <v:rect style="position:absolute;left:2124;top:4936;width:8784;height:20" id="docshape110" filled="true" fillcolor="#283014" stroked="false">
                  <v:fill type="solid"/>
                </v:rect>
                <v:shape style="position:absolute;left:10908;top:4936;width:39;height:39" id="docshape111" coordorigin="10908,4936" coordsize="39,39" path="m10946,4936l10927,4936,10927,4955,10908,4955,10908,4974,10927,4974,10946,4974,10946,4955,10946,4936xe" filled="true" fillcolor="#000000" stroked="false">
                  <v:path arrowok="t"/>
                  <v:fill type="solid"/>
                </v:shape>
                <v:shape style="position:absolute;left:2104;top:4134;width:8823;height:821" id="docshape112" coordorigin="2105,4134" coordsize="8823,821" path="m2124,4134l2105,4134,2105,4936,2124,4936,2124,4134xm10927,4936l10908,4936,10908,4955,10927,4955,10927,4936xe" filled="true" fillcolor="#283014" stroked="false">
                  <v:path arrowok="t"/>
                  <v:fill type="solid"/>
                </v:shape>
                <v:rect style="position:absolute;left:10927;top:4134;width:20;height:802" id="docshape113" filled="true" fillcolor="#000000" stroked="false">
                  <v:fill type="solid"/>
                </v:rect>
                <v:rect style="position:absolute;left:10908;top:4134;width:20;height:802" id="docshape114" filled="true" fillcolor="#283014" stroked="false">
                  <v:fill type="solid"/>
                </v:rect>
                <v:shape style="position:absolute;left:2124;top:275;width:8775;height:4661" type="#_x0000_t202" id="docshape115" filled="false" stroked="false">
                  <v:textbox inset="0,0,0,0">
                    <w:txbxContent>
                      <w:p>
                        <w:pPr>
                          <w:spacing w:before="18"/>
                          <w:ind w:left="11" w:right="0" w:firstLine="0"/>
                          <w:jc w:val="center"/>
                          <w:rPr>
                            <w:b/>
                            <w:sz w:val="22"/>
                          </w:rPr>
                        </w:pPr>
                        <w:r>
                          <w:rPr>
                            <w:b/>
                            <w:sz w:val="22"/>
                          </w:rPr>
                          <w:t>Forest</w:t>
                        </w:r>
                        <w:r>
                          <w:rPr>
                            <w:b/>
                            <w:spacing w:val="-8"/>
                            <w:sz w:val="22"/>
                          </w:rPr>
                          <w:t> </w:t>
                        </w:r>
                        <w:r>
                          <w:rPr>
                            <w:b/>
                            <w:sz w:val="22"/>
                          </w:rPr>
                          <w:t>Plan</w:t>
                        </w:r>
                        <w:r>
                          <w:rPr>
                            <w:b/>
                            <w:spacing w:val="-7"/>
                            <w:sz w:val="22"/>
                          </w:rPr>
                          <w:t> </w:t>
                        </w:r>
                        <w:r>
                          <w:rPr>
                            <w:b/>
                            <w:spacing w:val="-2"/>
                            <w:sz w:val="22"/>
                          </w:rPr>
                          <w:t>Characteristics</w:t>
                        </w:r>
                      </w:p>
                      <w:p>
                        <w:pPr>
                          <w:spacing w:line="232" w:lineRule="auto" w:before="199"/>
                          <w:ind w:left="108" w:right="172" w:firstLine="0"/>
                          <w:jc w:val="left"/>
                          <w:rPr>
                            <w:sz w:val="22"/>
                          </w:rPr>
                        </w:pPr>
                        <w:r>
                          <w:rPr>
                            <w:b/>
                            <w:i/>
                            <w:sz w:val="22"/>
                          </w:rPr>
                          <w:t>The Plan is strategic in nature. </w:t>
                        </w:r>
                        <w:r>
                          <w:rPr>
                            <w:sz w:val="22"/>
                          </w:rPr>
                          <w:t>It does not include project and activity decisions. Those decisions</w:t>
                        </w:r>
                        <w:r>
                          <w:rPr>
                            <w:spacing w:val="-7"/>
                            <w:sz w:val="22"/>
                          </w:rPr>
                          <w:t> </w:t>
                        </w:r>
                        <w:r>
                          <w:rPr>
                            <w:sz w:val="22"/>
                          </w:rPr>
                          <w:t>are</w:t>
                        </w:r>
                        <w:r>
                          <w:rPr>
                            <w:spacing w:val="-7"/>
                            <w:sz w:val="22"/>
                          </w:rPr>
                          <w:t> </w:t>
                        </w:r>
                        <w:r>
                          <w:rPr>
                            <w:sz w:val="22"/>
                          </w:rPr>
                          <w:t>made</w:t>
                        </w:r>
                        <w:r>
                          <w:rPr>
                            <w:spacing w:val="-4"/>
                            <w:sz w:val="22"/>
                          </w:rPr>
                          <w:t> </w:t>
                        </w:r>
                        <w:r>
                          <w:rPr>
                            <w:sz w:val="22"/>
                          </w:rPr>
                          <w:t>later,</w:t>
                        </w:r>
                        <w:r>
                          <w:rPr>
                            <w:spacing w:val="-7"/>
                            <w:sz w:val="22"/>
                          </w:rPr>
                          <w:t> </w:t>
                        </w:r>
                        <w:r>
                          <w:rPr>
                            <w:sz w:val="22"/>
                          </w:rPr>
                          <w:t>only</w:t>
                        </w:r>
                        <w:r>
                          <w:rPr>
                            <w:spacing w:val="-4"/>
                            <w:sz w:val="22"/>
                          </w:rPr>
                          <w:t> </w:t>
                        </w:r>
                        <w:r>
                          <w:rPr>
                            <w:sz w:val="22"/>
                          </w:rPr>
                          <w:t>after</w:t>
                        </w:r>
                        <w:r>
                          <w:rPr>
                            <w:spacing w:val="-5"/>
                            <w:sz w:val="22"/>
                          </w:rPr>
                          <w:t> </w:t>
                        </w:r>
                        <w:r>
                          <w:rPr>
                            <w:sz w:val="22"/>
                          </w:rPr>
                          <w:t>specific</w:t>
                        </w:r>
                        <w:r>
                          <w:rPr>
                            <w:spacing w:val="-5"/>
                            <w:sz w:val="22"/>
                          </w:rPr>
                          <w:t> </w:t>
                        </w:r>
                        <w:r>
                          <w:rPr>
                            <w:sz w:val="22"/>
                          </w:rPr>
                          <w:t>proposals</w:t>
                        </w:r>
                        <w:r>
                          <w:rPr>
                            <w:spacing w:val="-7"/>
                            <w:sz w:val="22"/>
                          </w:rPr>
                          <w:t> </w:t>
                        </w:r>
                        <w:r>
                          <w:rPr>
                            <w:sz w:val="22"/>
                          </w:rPr>
                          <w:t>are</w:t>
                        </w:r>
                        <w:r>
                          <w:rPr>
                            <w:spacing w:val="-7"/>
                            <w:sz w:val="22"/>
                          </w:rPr>
                          <w:t> </w:t>
                        </w:r>
                        <w:r>
                          <w:rPr>
                            <w:sz w:val="22"/>
                          </w:rPr>
                          <w:t>made</w:t>
                        </w:r>
                        <w:r>
                          <w:rPr>
                            <w:spacing w:val="-4"/>
                            <w:sz w:val="22"/>
                          </w:rPr>
                          <w:t> </w:t>
                        </w:r>
                        <w:r>
                          <w:rPr>
                            <w:sz w:val="22"/>
                          </w:rPr>
                          <w:t>and</w:t>
                        </w:r>
                        <w:r>
                          <w:rPr>
                            <w:spacing w:val="-6"/>
                            <w:sz w:val="22"/>
                          </w:rPr>
                          <w:t> </w:t>
                        </w:r>
                        <w:r>
                          <w:rPr>
                            <w:sz w:val="22"/>
                          </w:rPr>
                          <w:t>analyzed</w:t>
                        </w:r>
                        <w:r>
                          <w:rPr>
                            <w:spacing w:val="-6"/>
                            <w:sz w:val="22"/>
                          </w:rPr>
                          <w:t> </w:t>
                        </w:r>
                        <w:r>
                          <w:rPr>
                            <w:sz w:val="22"/>
                          </w:rPr>
                          <w:t>and</w:t>
                        </w:r>
                        <w:r>
                          <w:rPr>
                            <w:spacing w:val="-8"/>
                            <w:sz w:val="22"/>
                          </w:rPr>
                          <w:t> </w:t>
                        </w:r>
                        <w:r>
                          <w:rPr>
                            <w:sz w:val="22"/>
                          </w:rPr>
                          <w:t>there</w:t>
                        </w:r>
                        <w:r>
                          <w:rPr>
                            <w:spacing w:val="-7"/>
                            <w:sz w:val="22"/>
                          </w:rPr>
                          <w:t> </w:t>
                        </w:r>
                        <w:r>
                          <w:rPr>
                            <w:sz w:val="22"/>
                          </w:rPr>
                          <w:t>is</w:t>
                        </w:r>
                        <w:r>
                          <w:rPr>
                            <w:spacing w:val="-5"/>
                            <w:sz w:val="22"/>
                          </w:rPr>
                          <w:t> </w:t>
                        </w:r>
                        <w:r>
                          <w:rPr>
                            <w:sz w:val="22"/>
                          </w:rPr>
                          <w:t>the opportunity for public involvement.</w:t>
                        </w:r>
                      </w:p>
                      <w:p>
                        <w:pPr>
                          <w:spacing w:line="232" w:lineRule="auto" w:before="257"/>
                          <w:ind w:left="108" w:right="172" w:firstLine="0"/>
                          <w:jc w:val="left"/>
                          <w:rPr>
                            <w:sz w:val="22"/>
                          </w:rPr>
                        </w:pPr>
                        <w:r>
                          <w:rPr>
                            <w:b/>
                            <w:i/>
                            <w:sz w:val="22"/>
                          </w:rPr>
                          <w:t>The Plan includes plan components. </w:t>
                        </w:r>
                        <w:r>
                          <w:rPr>
                            <w:sz w:val="22"/>
                          </w:rPr>
                          <w:t>These are desired conditions, objectives, suitability of areas, areas with special designations, monitoring, and standards and guidelines. Plan components</w:t>
                        </w:r>
                        <w:r>
                          <w:rPr>
                            <w:spacing w:val="-5"/>
                            <w:sz w:val="22"/>
                          </w:rPr>
                          <w:t> </w:t>
                        </w:r>
                        <w:r>
                          <w:rPr>
                            <w:sz w:val="22"/>
                          </w:rPr>
                          <w:t>are</w:t>
                        </w:r>
                        <w:r>
                          <w:rPr>
                            <w:spacing w:val="-5"/>
                            <w:sz w:val="22"/>
                          </w:rPr>
                          <w:t> </w:t>
                        </w:r>
                        <w:r>
                          <w:rPr>
                            <w:sz w:val="22"/>
                          </w:rPr>
                          <w:t>distinguished</w:t>
                        </w:r>
                        <w:r>
                          <w:rPr>
                            <w:spacing w:val="-4"/>
                            <w:sz w:val="22"/>
                          </w:rPr>
                          <w:t> </w:t>
                        </w:r>
                        <w:r>
                          <w:rPr>
                            <w:sz w:val="22"/>
                          </w:rPr>
                          <w:t>from</w:t>
                        </w:r>
                        <w:r>
                          <w:rPr>
                            <w:spacing w:val="-4"/>
                            <w:sz w:val="22"/>
                          </w:rPr>
                          <w:t> </w:t>
                        </w:r>
                        <w:r>
                          <w:rPr>
                            <w:sz w:val="22"/>
                          </w:rPr>
                          <w:t>other</w:t>
                        </w:r>
                        <w:r>
                          <w:rPr>
                            <w:spacing w:val="-3"/>
                            <w:sz w:val="22"/>
                          </w:rPr>
                          <w:t> </w:t>
                        </w:r>
                        <w:r>
                          <w:rPr>
                            <w:sz w:val="22"/>
                          </w:rPr>
                          <w:t>parts</w:t>
                        </w:r>
                        <w:r>
                          <w:rPr>
                            <w:spacing w:val="-5"/>
                            <w:sz w:val="22"/>
                          </w:rPr>
                          <w:t> </w:t>
                        </w:r>
                        <w:r>
                          <w:rPr>
                            <w:sz w:val="22"/>
                          </w:rPr>
                          <w:t>of</w:t>
                        </w:r>
                        <w:r>
                          <w:rPr>
                            <w:spacing w:val="-5"/>
                            <w:sz w:val="22"/>
                          </w:rPr>
                          <w:t> </w:t>
                        </w:r>
                        <w:r>
                          <w:rPr>
                            <w:sz w:val="22"/>
                          </w:rPr>
                          <w:t>the</w:t>
                        </w:r>
                        <w:r>
                          <w:rPr>
                            <w:spacing w:val="-5"/>
                            <w:sz w:val="22"/>
                          </w:rPr>
                          <w:t> </w:t>
                        </w:r>
                        <w:r>
                          <w:rPr>
                            <w:sz w:val="22"/>
                          </w:rPr>
                          <w:t>Plan</w:t>
                        </w:r>
                        <w:r>
                          <w:rPr>
                            <w:spacing w:val="-4"/>
                            <w:sz w:val="22"/>
                          </w:rPr>
                          <w:t> </w:t>
                        </w:r>
                        <w:r>
                          <w:rPr>
                            <w:sz w:val="22"/>
                          </w:rPr>
                          <w:t>because</w:t>
                        </w:r>
                        <w:r>
                          <w:rPr>
                            <w:spacing w:val="-2"/>
                            <w:sz w:val="22"/>
                          </w:rPr>
                          <w:t> </w:t>
                        </w:r>
                        <w:r>
                          <w:rPr>
                            <w:sz w:val="22"/>
                          </w:rPr>
                          <w:t>they</w:t>
                        </w:r>
                        <w:r>
                          <w:rPr>
                            <w:spacing w:val="-2"/>
                            <w:sz w:val="22"/>
                          </w:rPr>
                          <w:t> </w:t>
                        </w:r>
                        <w:r>
                          <w:rPr>
                            <w:sz w:val="22"/>
                          </w:rPr>
                          <w:t>can</w:t>
                        </w:r>
                        <w:r>
                          <w:rPr>
                            <w:spacing w:val="-6"/>
                            <w:sz w:val="22"/>
                          </w:rPr>
                          <w:t> </w:t>
                        </w:r>
                        <w:r>
                          <w:rPr>
                            <w:sz w:val="22"/>
                          </w:rPr>
                          <w:t>only</w:t>
                        </w:r>
                        <w:r>
                          <w:rPr>
                            <w:spacing w:val="-2"/>
                            <w:sz w:val="22"/>
                          </w:rPr>
                          <w:t> </w:t>
                        </w:r>
                        <w:r>
                          <w:rPr>
                            <w:sz w:val="22"/>
                          </w:rPr>
                          <w:t>be</w:t>
                        </w:r>
                        <w:r>
                          <w:rPr>
                            <w:spacing w:val="-5"/>
                            <w:sz w:val="22"/>
                          </w:rPr>
                          <w:t> </w:t>
                        </w:r>
                        <w:r>
                          <w:rPr>
                            <w:sz w:val="22"/>
                          </w:rPr>
                          <w:t>changed by a plan amendment.</w:t>
                        </w:r>
                      </w:p>
                      <w:p>
                        <w:pPr>
                          <w:spacing w:line="232" w:lineRule="auto" w:before="259"/>
                          <w:ind w:left="108" w:right="0" w:firstLine="0"/>
                          <w:jc w:val="left"/>
                          <w:rPr>
                            <w:sz w:val="22"/>
                          </w:rPr>
                        </w:pPr>
                        <w:r>
                          <w:rPr>
                            <w:b/>
                            <w:i/>
                            <w:sz w:val="22"/>
                          </w:rPr>
                          <w:t>The</w:t>
                        </w:r>
                        <w:r>
                          <w:rPr>
                            <w:b/>
                            <w:i/>
                            <w:spacing w:val="-6"/>
                            <w:sz w:val="22"/>
                          </w:rPr>
                          <w:t> </w:t>
                        </w:r>
                        <w:r>
                          <w:rPr>
                            <w:b/>
                            <w:i/>
                            <w:sz w:val="22"/>
                          </w:rPr>
                          <w:t>Plan</w:t>
                        </w:r>
                        <w:r>
                          <w:rPr>
                            <w:b/>
                            <w:i/>
                            <w:spacing w:val="-4"/>
                            <w:sz w:val="22"/>
                          </w:rPr>
                          <w:t> </w:t>
                        </w:r>
                        <w:r>
                          <w:rPr>
                            <w:b/>
                            <w:i/>
                            <w:sz w:val="22"/>
                          </w:rPr>
                          <w:t>is</w:t>
                        </w:r>
                        <w:r>
                          <w:rPr>
                            <w:b/>
                            <w:i/>
                            <w:spacing w:val="-6"/>
                            <w:sz w:val="22"/>
                          </w:rPr>
                          <w:t> </w:t>
                        </w:r>
                        <w:r>
                          <w:rPr>
                            <w:b/>
                            <w:i/>
                            <w:sz w:val="22"/>
                          </w:rPr>
                          <w:t>adaptive.</w:t>
                        </w:r>
                        <w:r>
                          <w:rPr>
                            <w:b/>
                            <w:i/>
                            <w:spacing w:val="-4"/>
                            <w:sz w:val="22"/>
                          </w:rPr>
                          <w:t> </w:t>
                        </w:r>
                        <w:r>
                          <w:rPr>
                            <w:sz w:val="22"/>
                          </w:rPr>
                          <w:t>New</w:t>
                        </w:r>
                        <w:r>
                          <w:rPr>
                            <w:spacing w:val="-5"/>
                            <w:sz w:val="22"/>
                          </w:rPr>
                          <w:t> </w:t>
                        </w:r>
                        <w:r>
                          <w:rPr>
                            <w:sz w:val="22"/>
                          </w:rPr>
                          <w:t>knowledge</w:t>
                        </w:r>
                        <w:r>
                          <w:rPr>
                            <w:spacing w:val="-2"/>
                            <w:sz w:val="22"/>
                          </w:rPr>
                          <w:t> </w:t>
                        </w:r>
                        <w:r>
                          <w:rPr>
                            <w:sz w:val="22"/>
                          </w:rPr>
                          <w:t>and</w:t>
                        </w:r>
                        <w:r>
                          <w:rPr>
                            <w:spacing w:val="-4"/>
                            <w:sz w:val="22"/>
                          </w:rPr>
                          <w:t> </w:t>
                        </w:r>
                        <w:r>
                          <w:rPr>
                            <w:sz w:val="22"/>
                          </w:rPr>
                          <w:t>information</w:t>
                        </w:r>
                        <w:r>
                          <w:rPr>
                            <w:spacing w:val="-4"/>
                            <w:sz w:val="22"/>
                          </w:rPr>
                          <w:t> </w:t>
                        </w:r>
                        <w:r>
                          <w:rPr>
                            <w:sz w:val="22"/>
                          </w:rPr>
                          <w:t>can</w:t>
                        </w:r>
                        <w:r>
                          <w:rPr>
                            <w:spacing w:val="-4"/>
                            <w:sz w:val="22"/>
                          </w:rPr>
                          <w:t> </w:t>
                        </w:r>
                        <w:r>
                          <w:rPr>
                            <w:sz w:val="22"/>
                          </w:rPr>
                          <w:t>be</w:t>
                        </w:r>
                        <w:r>
                          <w:rPr>
                            <w:spacing w:val="-2"/>
                            <w:sz w:val="22"/>
                          </w:rPr>
                          <w:t> </w:t>
                        </w:r>
                        <w:r>
                          <w:rPr>
                            <w:sz w:val="22"/>
                          </w:rPr>
                          <w:t>analyzed</w:t>
                        </w:r>
                        <w:r>
                          <w:rPr>
                            <w:spacing w:val="-4"/>
                            <w:sz w:val="22"/>
                          </w:rPr>
                          <w:t> </w:t>
                        </w:r>
                        <w:r>
                          <w:rPr>
                            <w:sz w:val="22"/>
                          </w:rPr>
                          <w:t>and</w:t>
                        </w:r>
                        <w:r>
                          <w:rPr>
                            <w:spacing w:val="-6"/>
                            <w:sz w:val="22"/>
                          </w:rPr>
                          <w:t> </w:t>
                        </w:r>
                        <w:r>
                          <w:rPr>
                            <w:sz w:val="22"/>
                          </w:rPr>
                          <w:t>the</w:t>
                        </w:r>
                        <w:r>
                          <w:rPr>
                            <w:spacing w:val="-5"/>
                            <w:sz w:val="22"/>
                          </w:rPr>
                          <w:t> </w:t>
                        </w:r>
                        <w:r>
                          <w:rPr>
                            <w:sz w:val="22"/>
                          </w:rPr>
                          <w:t>Plan</w:t>
                        </w:r>
                        <w:r>
                          <w:rPr>
                            <w:spacing w:val="-4"/>
                            <w:sz w:val="22"/>
                          </w:rPr>
                          <w:t> </w:t>
                        </w:r>
                        <w:r>
                          <w:rPr>
                            <w:sz w:val="22"/>
                          </w:rPr>
                          <w:t>changed,</w:t>
                        </w:r>
                        <w:r>
                          <w:rPr>
                            <w:spacing w:val="-3"/>
                            <w:sz w:val="22"/>
                          </w:rPr>
                          <w:t> </w:t>
                        </w:r>
                        <w:r>
                          <w:rPr>
                            <w:sz w:val="22"/>
                          </w:rPr>
                          <w:t>if appropriate, at any time. Changes to plan components are made by a formal amendment </w:t>
                        </w:r>
                        <w:r>
                          <w:rPr>
                            <w:spacing w:val="-2"/>
                            <w:sz w:val="22"/>
                          </w:rPr>
                          <w:t>process.</w:t>
                        </w:r>
                      </w:p>
                      <w:p>
                        <w:pPr>
                          <w:spacing w:before="252"/>
                          <w:ind w:left="108" w:right="0" w:firstLine="0"/>
                          <w:jc w:val="left"/>
                          <w:rPr>
                            <w:b/>
                            <w:i/>
                            <w:sz w:val="22"/>
                          </w:rPr>
                        </w:pPr>
                        <w:r>
                          <w:rPr>
                            <w:b/>
                            <w:i/>
                            <w:sz w:val="22"/>
                          </w:rPr>
                          <w:t>The</w:t>
                        </w:r>
                        <w:r>
                          <w:rPr>
                            <w:b/>
                            <w:i/>
                            <w:spacing w:val="-12"/>
                            <w:sz w:val="22"/>
                          </w:rPr>
                          <w:t> </w:t>
                        </w:r>
                        <w:r>
                          <w:rPr>
                            <w:b/>
                            <w:i/>
                            <w:sz w:val="22"/>
                          </w:rPr>
                          <w:t>Plan</w:t>
                        </w:r>
                        <w:r>
                          <w:rPr>
                            <w:b/>
                            <w:i/>
                            <w:spacing w:val="-7"/>
                            <w:sz w:val="22"/>
                          </w:rPr>
                          <w:t> </w:t>
                        </w:r>
                        <w:r>
                          <w:rPr>
                            <w:b/>
                            <w:i/>
                            <w:sz w:val="22"/>
                          </w:rPr>
                          <w:t>honors</w:t>
                        </w:r>
                        <w:r>
                          <w:rPr>
                            <w:b/>
                            <w:i/>
                            <w:spacing w:val="-7"/>
                            <w:sz w:val="22"/>
                          </w:rPr>
                          <w:t> </w:t>
                        </w:r>
                        <w:r>
                          <w:rPr>
                            <w:b/>
                            <w:i/>
                            <w:sz w:val="22"/>
                          </w:rPr>
                          <w:t>the</w:t>
                        </w:r>
                        <w:r>
                          <w:rPr>
                            <w:b/>
                            <w:i/>
                            <w:spacing w:val="-6"/>
                            <w:sz w:val="22"/>
                          </w:rPr>
                          <w:t> </w:t>
                        </w:r>
                        <w:r>
                          <w:rPr>
                            <w:b/>
                            <w:i/>
                            <w:sz w:val="22"/>
                          </w:rPr>
                          <w:t>continuing</w:t>
                        </w:r>
                        <w:r>
                          <w:rPr>
                            <w:b/>
                            <w:i/>
                            <w:spacing w:val="-7"/>
                            <w:sz w:val="22"/>
                          </w:rPr>
                          <w:t> </w:t>
                        </w:r>
                        <w:r>
                          <w:rPr>
                            <w:b/>
                            <w:i/>
                            <w:sz w:val="22"/>
                          </w:rPr>
                          <w:t>validity</w:t>
                        </w:r>
                        <w:r>
                          <w:rPr>
                            <w:b/>
                            <w:i/>
                            <w:spacing w:val="-8"/>
                            <w:sz w:val="22"/>
                          </w:rPr>
                          <w:t> </w:t>
                        </w:r>
                        <w:r>
                          <w:rPr>
                            <w:b/>
                            <w:i/>
                            <w:sz w:val="22"/>
                          </w:rPr>
                          <w:t>of</w:t>
                        </w:r>
                        <w:r>
                          <w:rPr>
                            <w:b/>
                            <w:i/>
                            <w:spacing w:val="-9"/>
                            <w:sz w:val="22"/>
                          </w:rPr>
                          <w:t> </w:t>
                        </w:r>
                        <w:r>
                          <w:rPr>
                            <w:b/>
                            <w:i/>
                            <w:sz w:val="22"/>
                          </w:rPr>
                          <w:t>private,</w:t>
                        </w:r>
                        <w:r>
                          <w:rPr>
                            <w:b/>
                            <w:i/>
                            <w:spacing w:val="-8"/>
                            <w:sz w:val="22"/>
                          </w:rPr>
                          <w:t> </w:t>
                        </w:r>
                        <w:r>
                          <w:rPr>
                            <w:b/>
                            <w:i/>
                            <w:sz w:val="22"/>
                          </w:rPr>
                          <w:t>statutory,</w:t>
                        </w:r>
                        <w:r>
                          <w:rPr>
                            <w:b/>
                            <w:i/>
                            <w:spacing w:val="-8"/>
                            <w:sz w:val="22"/>
                          </w:rPr>
                          <w:t> </w:t>
                        </w:r>
                        <w:r>
                          <w:rPr>
                            <w:b/>
                            <w:i/>
                            <w:sz w:val="22"/>
                          </w:rPr>
                          <w:t>or</w:t>
                        </w:r>
                        <w:r>
                          <w:rPr>
                            <w:b/>
                            <w:i/>
                            <w:spacing w:val="-8"/>
                            <w:sz w:val="22"/>
                          </w:rPr>
                          <w:t> </w:t>
                        </w:r>
                        <w:r>
                          <w:rPr>
                            <w:b/>
                            <w:i/>
                            <w:sz w:val="22"/>
                          </w:rPr>
                          <w:t>pre-existing</w:t>
                        </w:r>
                        <w:r>
                          <w:rPr>
                            <w:b/>
                            <w:i/>
                            <w:spacing w:val="-5"/>
                            <w:sz w:val="22"/>
                          </w:rPr>
                          <w:t> </w:t>
                        </w:r>
                        <w:r>
                          <w:rPr>
                            <w:b/>
                            <w:i/>
                            <w:spacing w:val="-2"/>
                            <w:sz w:val="22"/>
                          </w:rPr>
                          <w:t>rights.</w:t>
                        </w:r>
                      </w:p>
                    </w:txbxContent>
                  </v:textbox>
                  <w10:wrap type="none"/>
                </v:shape>
                <w10:wrap type="topAndBottom"/>
              </v:group>
            </w:pict>
          </mc:Fallback>
        </mc:AlternateContent>
      </w:r>
    </w:p>
    <w:p>
      <w:pPr>
        <w:pStyle w:val="BodyText"/>
        <w:rPr>
          <w:sz w:val="20"/>
        </w:rPr>
      </w:pPr>
    </w:p>
    <w:p>
      <w:pPr>
        <w:pStyle w:val="BodyText"/>
        <w:spacing w:before="145"/>
        <w:rPr>
          <w:sz w:val="20"/>
        </w:rPr>
      </w:pPr>
      <w:r>
        <w:rPr>
          <w:sz w:val="20"/>
        </w:rPr>
        <mc:AlternateContent>
          <mc:Choice Requires="wps">
            <w:drawing>
              <wp:anchor distT="0" distB="0" distL="0" distR="0" allowOverlap="1" layoutInCell="1" locked="0" behindDoc="1" simplePos="0" relativeHeight="487592960">
                <wp:simplePos x="0" y="0"/>
                <wp:positionH relativeFrom="page">
                  <wp:posOffset>1417319</wp:posOffset>
                </wp:positionH>
                <wp:positionV relativeFrom="paragraph">
                  <wp:posOffset>262559</wp:posOffset>
                </wp:positionV>
                <wp:extent cx="1828800" cy="7620"/>
                <wp:effectExtent l="0" t="0" r="0" b="0"/>
                <wp:wrapTopAndBottom/>
                <wp:docPr id="122" name="Graphic 122"/>
                <wp:cNvGraphicFramePr>
                  <a:graphicFrameLocks/>
                </wp:cNvGraphicFramePr>
                <a:graphic>
                  <a:graphicData uri="http://schemas.microsoft.com/office/word/2010/wordprocessingShape">
                    <wps:wsp>
                      <wps:cNvPr id="122" name="Graphic 122"/>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0.673969pt;width:144pt;height:.599pt;mso-position-horizontal-relative:page;mso-position-vertical-relative:paragraph;z-index:-15723520;mso-wrap-distance-left:0;mso-wrap-distance-right:0" id="docshape116" filled="true" fillcolor="#000000" stroked="false">
                <v:fill type="solid"/>
                <w10:wrap type="topAndBottom"/>
              </v:rect>
            </w:pict>
          </mc:Fallback>
        </mc:AlternateContent>
      </w:r>
    </w:p>
    <w:p>
      <w:pPr>
        <w:spacing w:before="95"/>
        <w:ind w:left="1151" w:right="0" w:firstLine="0"/>
        <w:jc w:val="left"/>
        <w:rPr>
          <w:sz w:val="18"/>
        </w:rPr>
      </w:pPr>
      <w:bookmarkStart w:name="_bookmark20" w:id="37"/>
      <w:bookmarkEnd w:id="37"/>
      <w:r>
        <w:rPr/>
      </w:r>
      <w:r>
        <w:rPr>
          <w:position w:val="5"/>
          <w:sz w:val="12"/>
        </w:rPr>
        <w:t>3</w:t>
      </w:r>
      <w:r>
        <w:rPr>
          <w:sz w:val="18"/>
        </w:rPr>
        <w:t>May</w:t>
      </w:r>
      <w:r>
        <w:rPr>
          <w:spacing w:val="-4"/>
          <w:sz w:val="18"/>
        </w:rPr>
        <w:t> </w:t>
      </w:r>
      <w:r>
        <w:rPr>
          <w:sz w:val="18"/>
        </w:rPr>
        <w:t>be</w:t>
      </w:r>
      <w:r>
        <w:rPr>
          <w:spacing w:val="-3"/>
          <w:sz w:val="18"/>
        </w:rPr>
        <w:t> </w:t>
      </w:r>
      <w:r>
        <w:rPr>
          <w:sz w:val="18"/>
        </w:rPr>
        <w:t>revised sooner</w:t>
      </w:r>
      <w:r>
        <w:rPr>
          <w:spacing w:val="-3"/>
          <w:sz w:val="18"/>
        </w:rPr>
        <w:t> </w:t>
      </w:r>
      <w:r>
        <w:rPr>
          <w:sz w:val="18"/>
        </w:rPr>
        <w:t>if</w:t>
      </w:r>
      <w:r>
        <w:rPr>
          <w:spacing w:val="-2"/>
          <w:sz w:val="18"/>
        </w:rPr>
        <w:t> </w:t>
      </w:r>
      <w:r>
        <w:rPr>
          <w:sz w:val="18"/>
        </w:rPr>
        <w:t>needed because</w:t>
      </w:r>
      <w:r>
        <w:rPr>
          <w:spacing w:val="-3"/>
          <w:sz w:val="18"/>
        </w:rPr>
        <w:t> </w:t>
      </w:r>
      <w:r>
        <w:rPr>
          <w:sz w:val="18"/>
        </w:rPr>
        <w:t>of</w:t>
      </w:r>
      <w:r>
        <w:rPr>
          <w:spacing w:val="-1"/>
          <w:sz w:val="18"/>
        </w:rPr>
        <w:t> </w:t>
      </w:r>
      <w:r>
        <w:rPr>
          <w:sz w:val="18"/>
        </w:rPr>
        <w:t>important</w:t>
      </w:r>
      <w:r>
        <w:rPr>
          <w:spacing w:val="-3"/>
          <w:sz w:val="18"/>
        </w:rPr>
        <w:t> </w:t>
      </w:r>
      <w:r>
        <w:rPr>
          <w:sz w:val="18"/>
        </w:rPr>
        <w:t>changed</w:t>
      </w:r>
      <w:r>
        <w:rPr>
          <w:spacing w:val="-2"/>
          <w:sz w:val="18"/>
        </w:rPr>
        <w:t> conditions.</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359" w:right="1073"/>
      </w:pPr>
      <w:r>
        <w:rPr/>
        <w:t>The</w:t>
      </w:r>
      <w:r>
        <w:rPr>
          <w:spacing w:val="-4"/>
        </w:rPr>
        <w:t> </w:t>
      </w:r>
      <w:r>
        <w:rPr/>
        <w:t>Forest</w:t>
      </w:r>
      <w:r>
        <w:rPr>
          <w:spacing w:val="-7"/>
        </w:rPr>
        <w:t> </w:t>
      </w:r>
      <w:r>
        <w:rPr/>
        <w:t>Plan</w:t>
      </w:r>
      <w:r>
        <w:rPr>
          <w:spacing w:val="-6"/>
        </w:rPr>
        <w:t> </w:t>
      </w:r>
      <w:r>
        <w:rPr/>
        <w:t>provides</w:t>
      </w:r>
      <w:r>
        <w:rPr>
          <w:spacing w:val="-5"/>
        </w:rPr>
        <w:t> </w:t>
      </w:r>
      <w:r>
        <w:rPr/>
        <w:t>guidance</w:t>
      </w:r>
      <w:r>
        <w:rPr>
          <w:spacing w:val="-4"/>
        </w:rPr>
        <w:t> </w:t>
      </w:r>
      <w:r>
        <w:rPr/>
        <w:t>for</w:t>
      </w:r>
      <w:r>
        <w:rPr>
          <w:spacing w:val="-7"/>
        </w:rPr>
        <w:t> </w:t>
      </w:r>
      <w:r>
        <w:rPr/>
        <w:t>project-</w:t>
      </w:r>
      <w:r>
        <w:rPr>
          <w:spacing w:val="-8"/>
        </w:rPr>
        <w:t> </w:t>
      </w:r>
      <w:r>
        <w:rPr/>
        <w:t>and</w:t>
      </w:r>
      <w:r>
        <w:rPr>
          <w:spacing w:val="-6"/>
        </w:rPr>
        <w:t> </w:t>
      </w:r>
      <w:r>
        <w:rPr/>
        <w:t>activity-level</w:t>
      </w:r>
      <w:r>
        <w:rPr>
          <w:spacing w:val="-5"/>
        </w:rPr>
        <w:t> </w:t>
      </w:r>
      <w:r>
        <w:rPr/>
        <w:t>decision-making</w:t>
      </w:r>
      <w:r>
        <w:rPr>
          <w:spacing w:val="-8"/>
        </w:rPr>
        <w:t> </w:t>
      </w:r>
      <w:r>
        <w:rPr/>
        <w:t>on</w:t>
      </w:r>
      <w:r>
        <w:rPr>
          <w:spacing w:val="-6"/>
        </w:rPr>
        <w:t> </w:t>
      </w:r>
      <w:r>
        <w:rPr/>
        <w:t>the</w:t>
      </w:r>
      <w:r>
        <w:rPr>
          <w:spacing w:val="-7"/>
        </w:rPr>
        <w:t> </w:t>
      </w:r>
      <w:r>
        <w:rPr/>
        <w:t>Colville National Forest for approximately the next 15 years. This guidance includes:</w:t>
      </w:r>
    </w:p>
    <w:p>
      <w:pPr>
        <w:pStyle w:val="ListParagraph"/>
        <w:numPr>
          <w:ilvl w:val="0"/>
          <w:numId w:val="2"/>
        </w:numPr>
        <w:tabs>
          <w:tab w:pos="899" w:val="left" w:leader="none"/>
        </w:tabs>
        <w:spacing w:line="232" w:lineRule="auto" w:before="199" w:after="0"/>
        <w:ind w:left="899" w:right="1517" w:hanging="360"/>
        <w:jc w:val="left"/>
        <w:rPr>
          <w:sz w:val="22"/>
        </w:rPr>
      </w:pPr>
      <w:r>
        <w:rPr>
          <w:sz w:val="22"/>
        </w:rPr>
        <w:t>Forestwide multiple-use goals (listed as desired conditions) and objectives, including a description</w:t>
      </w:r>
      <w:r>
        <w:rPr>
          <w:spacing w:val="-6"/>
          <w:sz w:val="22"/>
        </w:rPr>
        <w:t> </w:t>
      </w:r>
      <w:r>
        <w:rPr>
          <w:sz w:val="22"/>
        </w:rPr>
        <w:t>of</w:t>
      </w:r>
      <w:r>
        <w:rPr>
          <w:spacing w:val="-3"/>
          <w:sz w:val="22"/>
        </w:rPr>
        <w:t> </w:t>
      </w:r>
      <w:r>
        <w:rPr>
          <w:sz w:val="22"/>
        </w:rPr>
        <w:t>the</w:t>
      </w:r>
      <w:r>
        <w:rPr>
          <w:spacing w:val="-5"/>
          <w:sz w:val="22"/>
        </w:rPr>
        <w:t> </w:t>
      </w:r>
      <w:r>
        <w:rPr>
          <w:sz w:val="22"/>
        </w:rPr>
        <w:t>desired</w:t>
      </w:r>
      <w:r>
        <w:rPr>
          <w:spacing w:val="-4"/>
          <w:sz w:val="22"/>
        </w:rPr>
        <w:t> </w:t>
      </w:r>
      <w:r>
        <w:rPr>
          <w:sz w:val="22"/>
        </w:rPr>
        <w:t>condition</w:t>
      </w:r>
      <w:r>
        <w:rPr>
          <w:spacing w:val="-6"/>
          <w:sz w:val="22"/>
        </w:rPr>
        <w:t> </w:t>
      </w:r>
      <w:r>
        <w:rPr>
          <w:sz w:val="22"/>
        </w:rPr>
        <w:t>of</w:t>
      </w:r>
      <w:r>
        <w:rPr>
          <w:spacing w:val="-6"/>
          <w:sz w:val="22"/>
        </w:rPr>
        <w:t> </w:t>
      </w:r>
      <w:r>
        <w:rPr>
          <w:sz w:val="22"/>
        </w:rPr>
        <w:t>the</w:t>
      </w:r>
      <w:r>
        <w:rPr>
          <w:spacing w:val="-2"/>
          <w:sz w:val="22"/>
        </w:rPr>
        <w:t> </w:t>
      </w:r>
      <w:r>
        <w:rPr>
          <w:sz w:val="22"/>
        </w:rPr>
        <w:t>Forest</w:t>
      </w:r>
      <w:r>
        <w:rPr>
          <w:spacing w:val="-2"/>
          <w:sz w:val="22"/>
        </w:rPr>
        <w:t> </w:t>
      </w:r>
      <w:r>
        <w:rPr>
          <w:sz w:val="22"/>
        </w:rPr>
        <w:t>and</w:t>
      </w:r>
      <w:r>
        <w:rPr>
          <w:spacing w:val="-6"/>
          <w:sz w:val="22"/>
        </w:rPr>
        <w:t> </w:t>
      </w:r>
      <w:r>
        <w:rPr>
          <w:sz w:val="22"/>
        </w:rPr>
        <w:t>an</w:t>
      </w:r>
      <w:r>
        <w:rPr>
          <w:spacing w:val="-4"/>
          <w:sz w:val="22"/>
        </w:rPr>
        <w:t> </w:t>
      </w:r>
      <w:r>
        <w:rPr>
          <w:sz w:val="22"/>
        </w:rPr>
        <w:t>identification</w:t>
      </w:r>
      <w:r>
        <w:rPr>
          <w:spacing w:val="-6"/>
          <w:sz w:val="22"/>
        </w:rPr>
        <w:t> </w:t>
      </w:r>
      <w:r>
        <w:rPr>
          <w:sz w:val="22"/>
        </w:rPr>
        <w:t>of</w:t>
      </w:r>
      <w:r>
        <w:rPr>
          <w:spacing w:val="-6"/>
          <w:sz w:val="22"/>
        </w:rPr>
        <w:t> </w:t>
      </w:r>
      <w:r>
        <w:rPr>
          <w:sz w:val="22"/>
        </w:rPr>
        <w:t>the</w:t>
      </w:r>
      <w:r>
        <w:rPr>
          <w:spacing w:val="-2"/>
          <w:sz w:val="22"/>
        </w:rPr>
        <w:t> </w:t>
      </w:r>
      <w:r>
        <w:rPr>
          <w:sz w:val="22"/>
        </w:rPr>
        <w:t>quantities</w:t>
      </w:r>
      <w:r>
        <w:rPr>
          <w:spacing w:val="-5"/>
          <w:sz w:val="22"/>
        </w:rPr>
        <w:t> </w:t>
      </w:r>
      <w:r>
        <w:rPr>
          <w:sz w:val="22"/>
        </w:rPr>
        <w:t>of goods and services that are expected to be produced during the planning period.</w:t>
      </w:r>
    </w:p>
    <w:p>
      <w:pPr>
        <w:pStyle w:val="ListParagraph"/>
        <w:numPr>
          <w:ilvl w:val="0"/>
          <w:numId w:val="2"/>
        </w:numPr>
        <w:tabs>
          <w:tab w:pos="900" w:val="left" w:leader="none"/>
        </w:tabs>
        <w:spacing w:line="232" w:lineRule="auto" w:before="118" w:after="0"/>
        <w:ind w:left="900" w:right="2581" w:hanging="360"/>
        <w:jc w:val="left"/>
        <w:rPr>
          <w:sz w:val="22"/>
        </w:rPr>
      </w:pPr>
      <w:r>
        <w:rPr>
          <w:sz w:val="22"/>
        </w:rPr>
        <w:t>Forestwide</w:t>
      </w:r>
      <w:r>
        <w:rPr>
          <w:spacing w:val="-6"/>
          <w:sz w:val="22"/>
        </w:rPr>
        <w:t> </w:t>
      </w:r>
      <w:r>
        <w:rPr>
          <w:sz w:val="22"/>
        </w:rPr>
        <w:t>standards</w:t>
      </w:r>
      <w:r>
        <w:rPr>
          <w:spacing w:val="-7"/>
          <w:sz w:val="22"/>
        </w:rPr>
        <w:t> </w:t>
      </w:r>
      <w:r>
        <w:rPr>
          <w:sz w:val="22"/>
        </w:rPr>
        <w:t>and</w:t>
      </w:r>
      <w:r>
        <w:rPr>
          <w:spacing w:val="-8"/>
          <w:sz w:val="22"/>
        </w:rPr>
        <w:t> </w:t>
      </w:r>
      <w:r>
        <w:rPr>
          <w:sz w:val="22"/>
        </w:rPr>
        <w:t>guidelines</w:t>
      </w:r>
      <w:r>
        <w:rPr>
          <w:spacing w:val="-7"/>
          <w:sz w:val="22"/>
        </w:rPr>
        <w:t> </w:t>
      </w:r>
      <w:r>
        <w:rPr>
          <w:sz w:val="22"/>
        </w:rPr>
        <w:t>applying</w:t>
      </w:r>
      <w:r>
        <w:rPr>
          <w:spacing w:val="-8"/>
          <w:sz w:val="22"/>
        </w:rPr>
        <w:t> </w:t>
      </w:r>
      <w:r>
        <w:rPr>
          <w:sz w:val="22"/>
        </w:rPr>
        <w:t>to</w:t>
      </w:r>
      <w:r>
        <w:rPr>
          <w:spacing w:val="-6"/>
          <w:sz w:val="22"/>
        </w:rPr>
        <w:t> </w:t>
      </w:r>
      <w:r>
        <w:rPr>
          <w:sz w:val="22"/>
        </w:rPr>
        <w:t>future</w:t>
      </w:r>
      <w:r>
        <w:rPr>
          <w:spacing w:val="-9"/>
          <w:sz w:val="22"/>
        </w:rPr>
        <w:t> </w:t>
      </w:r>
      <w:r>
        <w:rPr>
          <w:sz w:val="22"/>
        </w:rPr>
        <w:t>activities</w:t>
      </w:r>
      <w:r>
        <w:rPr>
          <w:spacing w:val="-9"/>
          <w:sz w:val="22"/>
        </w:rPr>
        <w:t> </w:t>
      </w:r>
      <w:r>
        <w:rPr>
          <w:sz w:val="22"/>
        </w:rPr>
        <w:t>and</w:t>
      </w:r>
      <w:r>
        <w:rPr>
          <w:spacing w:val="-8"/>
          <w:sz w:val="22"/>
        </w:rPr>
        <w:t> </w:t>
      </w:r>
      <w:r>
        <w:rPr>
          <w:sz w:val="22"/>
        </w:rPr>
        <w:t>resource </w:t>
      </w:r>
      <w:r>
        <w:rPr>
          <w:spacing w:val="-2"/>
          <w:sz w:val="22"/>
        </w:rPr>
        <w:t>integration.</w:t>
      </w:r>
    </w:p>
    <w:p>
      <w:pPr>
        <w:pStyle w:val="ListParagraph"/>
        <w:numPr>
          <w:ilvl w:val="0"/>
          <w:numId w:val="2"/>
        </w:numPr>
        <w:tabs>
          <w:tab w:pos="899" w:val="left" w:leader="none"/>
        </w:tabs>
        <w:spacing w:line="232" w:lineRule="auto" w:before="120" w:after="0"/>
        <w:ind w:left="899" w:right="1678" w:hanging="360"/>
        <w:jc w:val="left"/>
        <w:rPr>
          <w:sz w:val="22"/>
        </w:rPr>
      </w:pPr>
      <w:r>
        <w:rPr>
          <w:sz w:val="22"/>
        </w:rPr>
        <w:t>Management</w:t>
      </w:r>
      <w:r>
        <w:rPr>
          <w:spacing w:val="-6"/>
          <w:sz w:val="22"/>
        </w:rPr>
        <w:t> </w:t>
      </w:r>
      <w:r>
        <w:rPr>
          <w:sz w:val="22"/>
        </w:rPr>
        <w:t>area</w:t>
      </w:r>
      <w:r>
        <w:rPr>
          <w:spacing w:val="-7"/>
          <w:sz w:val="22"/>
        </w:rPr>
        <w:t> </w:t>
      </w:r>
      <w:r>
        <w:rPr>
          <w:sz w:val="22"/>
        </w:rPr>
        <w:t>(MA)</w:t>
      </w:r>
      <w:r>
        <w:rPr>
          <w:spacing w:val="-7"/>
          <w:sz w:val="22"/>
        </w:rPr>
        <w:t> </w:t>
      </w:r>
      <w:r>
        <w:rPr>
          <w:sz w:val="22"/>
        </w:rPr>
        <w:t>direction</w:t>
      </w:r>
      <w:r>
        <w:rPr>
          <w:spacing w:val="-8"/>
          <w:sz w:val="22"/>
        </w:rPr>
        <w:t> </w:t>
      </w:r>
      <w:r>
        <w:rPr>
          <w:sz w:val="22"/>
        </w:rPr>
        <w:t>(multiple-use</w:t>
      </w:r>
      <w:r>
        <w:rPr>
          <w:spacing w:val="-6"/>
          <w:sz w:val="22"/>
        </w:rPr>
        <w:t> </w:t>
      </w:r>
      <w:r>
        <w:rPr>
          <w:sz w:val="22"/>
        </w:rPr>
        <w:t>prescriptions)</w:t>
      </w:r>
      <w:r>
        <w:rPr>
          <w:spacing w:val="-9"/>
          <w:sz w:val="22"/>
        </w:rPr>
        <w:t> </w:t>
      </w:r>
      <w:r>
        <w:rPr>
          <w:sz w:val="22"/>
        </w:rPr>
        <w:t>with</w:t>
      </w:r>
      <w:r>
        <w:rPr>
          <w:spacing w:val="-10"/>
          <w:sz w:val="22"/>
        </w:rPr>
        <w:t> </w:t>
      </w:r>
      <w:r>
        <w:rPr>
          <w:sz w:val="22"/>
        </w:rPr>
        <w:t>associated</w:t>
      </w:r>
      <w:r>
        <w:rPr>
          <w:spacing w:val="-10"/>
          <w:sz w:val="22"/>
        </w:rPr>
        <w:t> </w:t>
      </w:r>
      <w:r>
        <w:rPr>
          <w:sz w:val="22"/>
        </w:rPr>
        <w:t>standards and guidelines, including possible actions (see appendix B).</w:t>
      </w:r>
    </w:p>
    <w:p>
      <w:pPr>
        <w:pStyle w:val="ListParagraph"/>
        <w:numPr>
          <w:ilvl w:val="0"/>
          <w:numId w:val="2"/>
        </w:numPr>
        <w:tabs>
          <w:tab w:pos="900" w:val="left" w:leader="none"/>
        </w:tabs>
        <w:spacing w:line="232" w:lineRule="auto" w:before="118" w:after="0"/>
        <w:ind w:left="900" w:right="1543" w:hanging="360"/>
        <w:jc w:val="left"/>
        <w:rPr>
          <w:sz w:val="22"/>
        </w:rPr>
      </w:pPr>
      <w:r>
        <w:rPr>
          <w:sz w:val="22"/>
        </w:rPr>
        <w:t>Monitoring</w:t>
      </w:r>
      <w:r>
        <w:rPr>
          <w:spacing w:val="-6"/>
          <w:sz w:val="22"/>
        </w:rPr>
        <w:t> </w:t>
      </w:r>
      <w:r>
        <w:rPr>
          <w:sz w:val="22"/>
        </w:rPr>
        <w:t>and</w:t>
      </w:r>
      <w:r>
        <w:rPr>
          <w:spacing w:val="-8"/>
          <w:sz w:val="22"/>
        </w:rPr>
        <w:t> </w:t>
      </w:r>
      <w:r>
        <w:rPr>
          <w:sz w:val="22"/>
        </w:rPr>
        <w:t>evaluation</w:t>
      </w:r>
      <w:r>
        <w:rPr>
          <w:spacing w:val="-10"/>
          <w:sz w:val="22"/>
        </w:rPr>
        <w:t> </w:t>
      </w:r>
      <w:r>
        <w:rPr>
          <w:sz w:val="22"/>
        </w:rPr>
        <w:t>requirements</w:t>
      </w:r>
      <w:r>
        <w:rPr>
          <w:spacing w:val="-7"/>
          <w:sz w:val="22"/>
        </w:rPr>
        <w:t> </w:t>
      </w:r>
      <w:r>
        <w:rPr>
          <w:sz w:val="22"/>
        </w:rPr>
        <w:t>that</w:t>
      </w:r>
      <w:r>
        <w:rPr>
          <w:spacing w:val="-5"/>
          <w:sz w:val="22"/>
        </w:rPr>
        <w:t> </w:t>
      </w:r>
      <w:r>
        <w:rPr>
          <w:sz w:val="22"/>
        </w:rPr>
        <w:t>provide</w:t>
      </w:r>
      <w:r>
        <w:rPr>
          <w:spacing w:val="-9"/>
          <w:sz w:val="22"/>
        </w:rPr>
        <w:t> </w:t>
      </w:r>
      <w:r>
        <w:rPr>
          <w:sz w:val="22"/>
        </w:rPr>
        <w:t>a</w:t>
      </w:r>
      <w:r>
        <w:rPr>
          <w:spacing w:val="-6"/>
          <w:sz w:val="22"/>
        </w:rPr>
        <w:t> </w:t>
      </w:r>
      <w:r>
        <w:rPr>
          <w:sz w:val="22"/>
        </w:rPr>
        <w:t>basis</w:t>
      </w:r>
      <w:r>
        <w:rPr>
          <w:spacing w:val="-6"/>
          <w:sz w:val="22"/>
        </w:rPr>
        <w:t> </w:t>
      </w:r>
      <w:r>
        <w:rPr>
          <w:sz w:val="22"/>
        </w:rPr>
        <w:t>for</w:t>
      </w:r>
      <w:r>
        <w:rPr>
          <w:spacing w:val="-7"/>
          <w:sz w:val="22"/>
        </w:rPr>
        <w:t> </w:t>
      </w:r>
      <w:r>
        <w:rPr>
          <w:sz w:val="22"/>
        </w:rPr>
        <w:t>a</w:t>
      </w:r>
      <w:r>
        <w:rPr>
          <w:spacing w:val="-6"/>
          <w:sz w:val="22"/>
        </w:rPr>
        <w:t> </w:t>
      </w:r>
      <w:r>
        <w:rPr>
          <w:sz w:val="22"/>
        </w:rPr>
        <w:t>periodic</w:t>
      </w:r>
      <w:r>
        <w:rPr>
          <w:spacing w:val="-6"/>
          <w:sz w:val="22"/>
        </w:rPr>
        <w:t> </w:t>
      </w:r>
      <w:r>
        <w:rPr>
          <w:sz w:val="22"/>
        </w:rPr>
        <w:t>determination and evaluation of the effects of management practices.</w:t>
      </w:r>
    </w:p>
    <w:p>
      <w:pPr>
        <w:pStyle w:val="ListParagraph"/>
        <w:numPr>
          <w:ilvl w:val="0"/>
          <w:numId w:val="2"/>
        </w:numPr>
        <w:tabs>
          <w:tab w:pos="899" w:val="left" w:leader="none"/>
        </w:tabs>
        <w:spacing w:line="232" w:lineRule="auto" w:before="119" w:after="0"/>
        <w:ind w:left="899" w:right="1809" w:hanging="360"/>
        <w:jc w:val="left"/>
        <w:rPr>
          <w:sz w:val="22"/>
        </w:rPr>
      </w:pPr>
      <w:r>
        <w:rPr>
          <w:sz w:val="22"/>
        </w:rPr>
        <w:t>Recommendation</w:t>
      </w:r>
      <w:r>
        <w:rPr>
          <w:spacing w:val="-9"/>
          <w:sz w:val="22"/>
        </w:rPr>
        <w:t> </w:t>
      </w:r>
      <w:r>
        <w:rPr>
          <w:sz w:val="22"/>
        </w:rPr>
        <w:t>of</w:t>
      </w:r>
      <w:r>
        <w:rPr>
          <w:spacing w:val="-8"/>
          <w:sz w:val="22"/>
        </w:rPr>
        <w:t> </w:t>
      </w:r>
      <w:r>
        <w:rPr>
          <w:sz w:val="22"/>
        </w:rPr>
        <w:t>wilderness</w:t>
      </w:r>
      <w:r>
        <w:rPr>
          <w:spacing w:val="-6"/>
          <w:sz w:val="22"/>
        </w:rPr>
        <w:t> </w:t>
      </w:r>
      <w:r>
        <w:rPr>
          <w:sz w:val="22"/>
        </w:rPr>
        <w:t>to</w:t>
      </w:r>
      <w:r>
        <w:rPr>
          <w:spacing w:val="-5"/>
          <w:sz w:val="22"/>
        </w:rPr>
        <w:t> </w:t>
      </w:r>
      <w:r>
        <w:rPr>
          <w:sz w:val="22"/>
        </w:rPr>
        <w:t>Congress;</w:t>
      </w:r>
      <w:r>
        <w:rPr>
          <w:spacing w:val="-5"/>
          <w:sz w:val="22"/>
        </w:rPr>
        <w:t> </w:t>
      </w:r>
      <w:r>
        <w:rPr>
          <w:sz w:val="22"/>
        </w:rPr>
        <w:t>and</w:t>
      </w:r>
      <w:r>
        <w:rPr>
          <w:spacing w:val="-7"/>
          <w:sz w:val="22"/>
        </w:rPr>
        <w:t> </w:t>
      </w:r>
      <w:r>
        <w:rPr>
          <w:sz w:val="22"/>
        </w:rPr>
        <w:t>recommendation</w:t>
      </w:r>
      <w:r>
        <w:rPr>
          <w:spacing w:val="-9"/>
          <w:sz w:val="22"/>
        </w:rPr>
        <w:t> </w:t>
      </w:r>
      <w:r>
        <w:rPr>
          <w:sz w:val="22"/>
        </w:rPr>
        <w:t>of</w:t>
      </w:r>
      <w:r>
        <w:rPr>
          <w:spacing w:val="-8"/>
          <w:sz w:val="22"/>
        </w:rPr>
        <w:t> </w:t>
      </w:r>
      <w:r>
        <w:rPr>
          <w:sz w:val="22"/>
        </w:rPr>
        <w:t>rivers</w:t>
      </w:r>
      <w:r>
        <w:rPr>
          <w:spacing w:val="-8"/>
          <w:sz w:val="22"/>
        </w:rPr>
        <w:t> </w:t>
      </w:r>
      <w:r>
        <w:rPr>
          <w:sz w:val="22"/>
        </w:rPr>
        <w:t>eligible</w:t>
      </w:r>
      <w:r>
        <w:rPr>
          <w:spacing w:val="-5"/>
          <w:sz w:val="22"/>
        </w:rPr>
        <w:t> </w:t>
      </w:r>
      <w:r>
        <w:rPr>
          <w:sz w:val="22"/>
        </w:rPr>
        <w:t>for inclusion in the Wild and Scenic River System.</w:t>
      </w:r>
    </w:p>
    <w:p>
      <w:pPr>
        <w:pStyle w:val="ListParagraph"/>
        <w:numPr>
          <w:ilvl w:val="0"/>
          <w:numId w:val="2"/>
        </w:numPr>
        <w:tabs>
          <w:tab w:pos="900" w:val="left" w:leader="none"/>
        </w:tabs>
        <w:spacing w:line="232" w:lineRule="auto" w:before="120" w:after="0"/>
        <w:ind w:left="900" w:right="2010" w:hanging="360"/>
        <w:jc w:val="left"/>
        <w:rPr>
          <w:sz w:val="22"/>
        </w:rPr>
      </w:pPr>
      <w:r>
        <w:rPr>
          <w:sz w:val="22"/>
        </w:rPr>
        <w:t>Determination</w:t>
      </w:r>
      <w:r>
        <w:rPr>
          <w:spacing w:val="-7"/>
          <w:sz w:val="22"/>
        </w:rPr>
        <w:t> </w:t>
      </w:r>
      <w:r>
        <w:rPr>
          <w:sz w:val="22"/>
        </w:rPr>
        <w:t>of</w:t>
      </w:r>
      <w:r>
        <w:rPr>
          <w:spacing w:val="-8"/>
          <w:sz w:val="22"/>
        </w:rPr>
        <w:t> </w:t>
      </w:r>
      <w:r>
        <w:rPr>
          <w:sz w:val="22"/>
        </w:rPr>
        <w:t>suitability</w:t>
      </w:r>
      <w:r>
        <w:rPr>
          <w:spacing w:val="-7"/>
          <w:sz w:val="22"/>
        </w:rPr>
        <w:t> </w:t>
      </w:r>
      <w:r>
        <w:rPr>
          <w:sz w:val="22"/>
        </w:rPr>
        <w:t>and</w:t>
      </w:r>
      <w:r>
        <w:rPr>
          <w:spacing w:val="-7"/>
          <w:sz w:val="22"/>
        </w:rPr>
        <w:t> </w:t>
      </w:r>
      <w:r>
        <w:rPr>
          <w:sz w:val="22"/>
        </w:rPr>
        <w:t>potential</w:t>
      </w:r>
      <w:r>
        <w:rPr>
          <w:spacing w:val="-8"/>
          <w:sz w:val="22"/>
        </w:rPr>
        <w:t> </w:t>
      </w:r>
      <w:r>
        <w:rPr>
          <w:sz w:val="22"/>
        </w:rPr>
        <w:t>capability</w:t>
      </w:r>
      <w:r>
        <w:rPr>
          <w:spacing w:val="-7"/>
          <w:sz w:val="22"/>
        </w:rPr>
        <w:t> </w:t>
      </w:r>
      <w:r>
        <w:rPr>
          <w:sz w:val="22"/>
        </w:rPr>
        <w:t>of</w:t>
      </w:r>
      <w:r>
        <w:rPr>
          <w:spacing w:val="-8"/>
          <w:sz w:val="22"/>
        </w:rPr>
        <w:t> </w:t>
      </w:r>
      <w:r>
        <w:rPr>
          <w:sz w:val="22"/>
        </w:rPr>
        <w:t>lands</w:t>
      </w:r>
      <w:r>
        <w:rPr>
          <w:spacing w:val="-6"/>
          <w:sz w:val="22"/>
        </w:rPr>
        <w:t> </w:t>
      </w:r>
      <w:r>
        <w:rPr>
          <w:sz w:val="22"/>
        </w:rPr>
        <w:t>for</w:t>
      </w:r>
      <w:r>
        <w:rPr>
          <w:spacing w:val="-6"/>
          <w:sz w:val="22"/>
        </w:rPr>
        <w:t> </w:t>
      </w:r>
      <w:r>
        <w:rPr>
          <w:sz w:val="22"/>
        </w:rPr>
        <w:t>resource</w:t>
      </w:r>
      <w:r>
        <w:rPr>
          <w:spacing w:val="-8"/>
          <w:sz w:val="22"/>
        </w:rPr>
        <w:t> </w:t>
      </w:r>
      <w:r>
        <w:rPr>
          <w:sz w:val="22"/>
        </w:rPr>
        <w:t>production (timber and grazing).</w:t>
      </w:r>
    </w:p>
    <w:p>
      <w:pPr>
        <w:pStyle w:val="BodyText"/>
        <w:spacing w:line="232" w:lineRule="auto" w:before="118"/>
        <w:ind w:left="360" w:right="1516"/>
      </w:pPr>
      <w:r>
        <w:rPr/>
        <w:t>Life</w:t>
      </w:r>
      <w:r>
        <w:rPr>
          <w:spacing w:val="-6"/>
        </w:rPr>
        <w:t> </w:t>
      </w:r>
      <w:r>
        <w:rPr/>
        <w:t>and</w:t>
      </w:r>
      <w:r>
        <w:rPr>
          <w:spacing w:val="-10"/>
        </w:rPr>
        <w:t> </w:t>
      </w:r>
      <w:r>
        <w:rPr/>
        <w:t>safety</w:t>
      </w:r>
      <w:r>
        <w:rPr>
          <w:spacing w:val="-8"/>
        </w:rPr>
        <w:t> </w:t>
      </w:r>
      <w:r>
        <w:rPr/>
        <w:t>of</w:t>
      </w:r>
      <w:r>
        <w:rPr>
          <w:spacing w:val="-7"/>
        </w:rPr>
        <w:t> </w:t>
      </w:r>
      <w:r>
        <w:rPr/>
        <w:t>forest</w:t>
      </w:r>
      <w:r>
        <w:rPr>
          <w:spacing w:val="-6"/>
        </w:rPr>
        <w:t> </w:t>
      </w:r>
      <w:r>
        <w:rPr/>
        <w:t>users</w:t>
      </w:r>
      <w:r>
        <w:rPr>
          <w:spacing w:val="-7"/>
        </w:rPr>
        <w:t> </w:t>
      </w:r>
      <w:r>
        <w:rPr/>
        <w:t>is</w:t>
      </w:r>
      <w:r>
        <w:rPr>
          <w:spacing w:val="-7"/>
        </w:rPr>
        <w:t> </w:t>
      </w:r>
      <w:r>
        <w:rPr/>
        <w:t>important.</w:t>
      </w:r>
      <w:r>
        <w:rPr>
          <w:spacing w:val="-7"/>
        </w:rPr>
        <w:t> </w:t>
      </w:r>
      <w:r>
        <w:rPr/>
        <w:t>However,</w:t>
      </w:r>
      <w:r>
        <w:rPr>
          <w:spacing w:val="-7"/>
        </w:rPr>
        <w:t> </w:t>
      </w:r>
      <w:r>
        <w:rPr/>
        <w:t>it</w:t>
      </w:r>
      <w:r>
        <w:rPr>
          <w:spacing w:val="-9"/>
        </w:rPr>
        <w:t> </w:t>
      </w:r>
      <w:r>
        <w:rPr/>
        <w:t>is</w:t>
      </w:r>
      <w:r>
        <w:rPr>
          <w:spacing w:val="-7"/>
        </w:rPr>
        <w:t> </w:t>
      </w:r>
      <w:r>
        <w:rPr/>
        <w:t>not</w:t>
      </w:r>
      <w:r>
        <w:rPr>
          <w:spacing w:val="-9"/>
        </w:rPr>
        <w:t> </w:t>
      </w:r>
      <w:r>
        <w:rPr/>
        <w:t>necessary</w:t>
      </w:r>
      <w:r>
        <w:rPr>
          <w:spacing w:val="-6"/>
        </w:rPr>
        <w:t> </w:t>
      </w:r>
      <w:r>
        <w:rPr/>
        <w:t>to</w:t>
      </w:r>
      <w:r>
        <w:rPr>
          <w:spacing w:val="-6"/>
        </w:rPr>
        <w:t> </w:t>
      </w:r>
      <w:r>
        <w:rPr/>
        <w:t>provide</w:t>
      </w:r>
      <w:r>
        <w:rPr>
          <w:spacing w:val="-9"/>
        </w:rPr>
        <w:t> </w:t>
      </w:r>
      <w:r>
        <w:rPr/>
        <w:t>management direction for safety in a forest plan. Numerous regulations, codes, and policies provide for human health and safety.</w:t>
      </w:r>
    </w:p>
    <w:p>
      <w:pPr>
        <w:pStyle w:val="Heading2"/>
        <w:spacing w:before="235"/>
      </w:pPr>
      <w:bookmarkStart w:name="Summary of the Analysis of the managemen" w:id="38"/>
      <w:bookmarkEnd w:id="38"/>
      <w:r>
        <w:rPr/>
      </w:r>
      <w:bookmarkStart w:name="_bookmark21" w:id="39"/>
      <w:bookmarkEnd w:id="39"/>
      <w:r>
        <w:rPr/>
      </w:r>
      <w:r>
        <w:rPr>
          <w:smallCaps/>
          <w:color w:val="475824"/>
        </w:rPr>
        <w:t>Summary</w:t>
      </w:r>
      <w:r>
        <w:rPr>
          <w:smallCaps/>
          <w:color w:val="475824"/>
          <w:spacing w:val="-16"/>
        </w:rPr>
        <w:t> </w:t>
      </w:r>
      <w:r>
        <w:rPr>
          <w:smallCaps/>
          <w:color w:val="475824"/>
        </w:rPr>
        <w:t>of</w:t>
      </w:r>
      <w:r>
        <w:rPr>
          <w:smallCaps/>
          <w:color w:val="475824"/>
          <w:spacing w:val="-17"/>
        </w:rPr>
        <w:t> </w:t>
      </w:r>
      <w:r>
        <w:rPr>
          <w:smallCaps/>
          <w:color w:val="475824"/>
        </w:rPr>
        <w:t>the</w:t>
      </w:r>
      <w:r>
        <w:rPr>
          <w:smallCaps/>
          <w:color w:val="475824"/>
          <w:spacing w:val="-10"/>
        </w:rPr>
        <w:t> </w:t>
      </w:r>
      <w:r>
        <w:rPr>
          <w:smallCaps/>
          <w:color w:val="475824"/>
        </w:rPr>
        <w:t>Analysis</w:t>
      </w:r>
      <w:r>
        <w:rPr>
          <w:smallCaps/>
          <w:color w:val="475824"/>
          <w:spacing w:val="-13"/>
        </w:rPr>
        <w:t> </w:t>
      </w:r>
      <w:r>
        <w:rPr>
          <w:smallCaps/>
          <w:color w:val="475824"/>
        </w:rPr>
        <w:t>of</w:t>
      </w:r>
      <w:r>
        <w:rPr>
          <w:smallCaps/>
          <w:color w:val="475824"/>
          <w:spacing w:val="-16"/>
        </w:rPr>
        <w:t> </w:t>
      </w:r>
      <w:r>
        <w:rPr>
          <w:smallCaps/>
          <w:color w:val="475824"/>
        </w:rPr>
        <w:t>the</w:t>
      </w:r>
      <w:r>
        <w:rPr>
          <w:smallCaps/>
          <w:color w:val="475824"/>
          <w:spacing w:val="-10"/>
        </w:rPr>
        <w:t> </w:t>
      </w:r>
      <w:r>
        <w:rPr>
          <w:smallCaps/>
          <w:color w:val="475824"/>
        </w:rPr>
        <w:t>management</w:t>
      </w:r>
      <w:r>
        <w:rPr>
          <w:smallCaps/>
          <w:color w:val="475824"/>
          <w:spacing w:val="-15"/>
        </w:rPr>
        <w:t> </w:t>
      </w:r>
      <w:r>
        <w:rPr>
          <w:smallCaps/>
          <w:color w:val="475824"/>
          <w:spacing w:val="-2"/>
        </w:rPr>
        <w:t>Situation</w:t>
      </w:r>
    </w:p>
    <w:p>
      <w:pPr>
        <w:pStyle w:val="BodyText"/>
        <w:spacing w:line="232" w:lineRule="auto" w:before="65"/>
        <w:ind w:left="359" w:right="1445"/>
      </w:pPr>
      <w:r>
        <w:rPr/>
        <w:t>The</w:t>
      </w:r>
      <w:r>
        <w:rPr>
          <w:spacing w:val="-3"/>
        </w:rPr>
        <w:t> </w:t>
      </w:r>
      <w:r>
        <w:rPr/>
        <w:t>Analysis</w:t>
      </w:r>
      <w:r>
        <w:rPr>
          <w:spacing w:val="-6"/>
        </w:rPr>
        <w:t> </w:t>
      </w:r>
      <w:r>
        <w:rPr/>
        <w:t>of</w:t>
      </w:r>
      <w:r>
        <w:rPr>
          <w:spacing w:val="-6"/>
        </w:rPr>
        <w:t> </w:t>
      </w:r>
      <w:r>
        <w:rPr/>
        <w:t>the</w:t>
      </w:r>
      <w:r>
        <w:rPr>
          <w:spacing w:val="-6"/>
        </w:rPr>
        <w:t> </w:t>
      </w:r>
      <w:r>
        <w:rPr/>
        <w:t>Management</w:t>
      </w:r>
      <w:r>
        <w:rPr>
          <w:spacing w:val="-3"/>
        </w:rPr>
        <w:t> </w:t>
      </w:r>
      <w:r>
        <w:rPr/>
        <w:t>Situation</w:t>
      </w:r>
      <w:r>
        <w:rPr>
          <w:spacing w:val="-5"/>
        </w:rPr>
        <w:t> </w:t>
      </w:r>
      <w:r>
        <w:rPr/>
        <w:t>(AMS),</w:t>
      </w:r>
      <w:r>
        <w:rPr>
          <w:spacing w:val="-4"/>
        </w:rPr>
        <w:t> </w:t>
      </w:r>
      <w:r>
        <w:rPr/>
        <w:t>required</w:t>
      </w:r>
      <w:r>
        <w:rPr>
          <w:spacing w:val="-5"/>
        </w:rPr>
        <w:t> </w:t>
      </w:r>
      <w:r>
        <w:rPr/>
        <w:t>by</w:t>
      </w:r>
      <w:r>
        <w:rPr>
          <w:spacing w:val="-5"/>
        </w:rPr>
        <w:t> </w:t>
      </w:r>
      <w:r>
        <w:rPr/>
        <w:t>the</w:t>
      </w:r>
      <w:r>
        <w:rPr>
          <w:spacing w:val="-5"/>
        </w:rPr>
        <w:t> </w:t>
      </w:r>
      <w:r>
        <w:rPr/>
        <w:t>1982</w:t>
      </w:r>
      <w:r>
        <w:rPr>
          <w:spacing w:val="-3"/>
        </w:rPr>
        <w:t> </w:t>
      </w:r>
      <w:r>
        <w:rPr/>
        <w:t>Planning</w:t>
      </w:r>
      <w:r>
        <w:rPr>
          <w:spacing w:val="-5"/>
        </w:rPr>
        <w:t> </w:t>
      </w:r>
      <w:r>
        <w:rPr/>
        <w:t>Rule,</w:t>
      </w:r>
      <w:r>
        <w:rPr>
          <w:spacing w:val="-4"/>
        </w:rPr>
        <w:t> </w:t>
      </w:r>
      <w:r>
        <w:rPr/>
        <w:t>describes the social, economic, and ecological conditions and trends in and around the Colville National Forest. The AMS notes where the former land management plan (the 1988 plan) does not provide</w:t>
      </w:r>
      <w:r>
        <w:rPr>
          <w:spacing w:val="-1"/>
        </w:rPr>
        <w:t> </w:t>
      </w:r>
      <w:r>
        <w:rPr/>
        <w:t>adequate</w:t>
      </w:r>
      <w:r>
        <w:rPr>
          <w:spacing w:val="-1"/>
        </w:rPr>
        <w:t> </w:t>
      </w:r>
      <w:r>
        <w:rPr/>
        <w:t>management guidance</w:t>
      </w:r>
      <w:r>
        <w:rPr>
          <w:spacing w:val="-1"/>
        </w:rPr>
        <w:t> </w:t>
      </w:r>
      <w:r>
        <w:rPr/>
        <w:t>for</w:t>
      </w:r>
      <w:r>
        <w:rPr>
          <w:spacing w:val="-1"/>
        </w:rPr>
        <w:t> </w:t>
      </w:r>
      <w:r>
        <w:rPr/>
        <w:t>the present and future,</w:t>
      </w:r>
      <w:r>
        <w:rPr>
          <w:spacing w:val="-1"/>
        </w:rPr>
        <w:t> </w:t>
      </w:r>
      <w:r>
        <w:rPr/>
        <w:t>and it identifies where</w:t>
      </w:r>
      <w:r>
        <w:rPr>
          <w:spacing w:val="-1"/>
        </w:rPr>
        <w:t> </w:t>
      </w:r>
      <w:r>
        <w:rPr/>
        <w:t>the conditions and trends indicate a need for change from the 1988 plan. The AMS is located in</w:t>
      </w:r>
      <w:r>
        <w:rPr>
          <w:spacing w:val="-1"/>
        </w:rPr>
        <w:t> </w:t>
      </w:r>
      <w:r>
        <w:rPr/>
        <w:t>the planning record.</w:t>
      </w:r>
    </w:p>
    <w:p>
      <w:pPr>
        <w:pStyle w:val="BodyText"/>
        <w:spacing w:line="232" w:lineRule="auto" w:before="196"/>
        <w:ind w:left="359" w:right="1445"/>
      </w:pPr>
      <w:r>
        <w:rPr/>
        <w:t>The</w:t>
      </w:r>
      <w:r>
        <w:rPr>
          <w:spacing w:val="-3"/>
        </w:rPr>
        <w:t> </w:t>
      </w:r>
      <w:r>
        <w:rPr/>
        <w:t>AMS</w:t>
      </w:r>
      <w:r>
        <w:rPr>
          <w:spacing w:val="-7"/>
        </w:rPr>
        <w:t> </w:t>
      </w:r>
      <w:r>
        <w:rPr/>
        <w:t>identifies</w:t>
      </w:r>
      <w:r>
        <w:rPr>
          <w:spacing w:val="-6"/>
        </w:rPr>
        <w:t> </w:t>
      </w:r>
      <w:r>
        <w:rPr/>
        <w:t>three</w:t>
      </w:r>
      <w:r>
        <w:rPr>
          <w:spacing w:val="-3"/>
        </w:rPr>
        <w:t> </w:t>
      </w:r>
      <w:r>
        <w:rPr/>
        <w:t>primary</w:t>
      </w:r>
      <w:r>
        <w:rPr>
          <w:spacing w:val="-3"/>
        </w:rPr>
        <w:t> </w:t>
      </w:r>
      <w:r>
        <w:rPr/>
        <w:t>areas,</w:t>
      </w:r>
      <w:r>
        <w:rPr>
          <w:spacing w:val="-6"/>
        </w:rPr>
        <w:t> </w:t>
      </w:r>
      <w:r>
        <w:rPr/>
        <w:t>or</w:t>
      </w:r>
      <w:r>
        <w:rPr>
          <w:spacing w:val="-6"/>
        </w:rPr>
        <w:t> </w:t>
      </w:r>
      <w:r>
        <w:rPr/>
        <w:t>revision</w:t>
      </w:r>
      <w:r>
        <w:rPr>
          <w:spacing w:val="-5"/>
        </w:rPr>
        <w:t> </w:t>
      </w:r>
      <w:r>
        <w:rPr/>
        <w:t>topics,</w:t>
      </w:r>
      <w:r>
        <w:rPr>
          <w:spacing w:val="-4"/>
        </w:rPr>
        <w:t> </w:t>
      </w:r>
      <w:r>
        <w:rPr/>
        <w:t>where</w:t>
      </w:r>
      <w:r>
        <w:rPr>
          <w:spacing w:val="-6"/>
        </w:rPr>
        <w:t> </w:t>
      </w:r>
      <w:r>
        <w:rPr/>
        <w:t>there</w:t>
      </w:r>
      <w:r>
        <w:rPr>
          <w:spacing w:val="-6"/>
        </w:rPr>
        <w:t> </w:t>
      </w:r>
      <w:r>
        <w:rPr/>
        <w:t>are</w:t>
      </w:r>
      <w:r>
        <w:rPr>
          <w:spacing w:val="-6"/>
        </w:rPr>
        <w:t> </w:t>
      </w:r>
      <w:r>
        <w:rPr/>
        <w:t>priority</w:t>
      </w:r>
      <w:r>
        <w:rPr>
          <w:spacing w:val="-3"/>
        </w:rPr>
        <w:t> </w:t>
      </w:r>
      <w:r>
        <w:rPr/>
        <w:t>needs</w:t>
      </w:r>
      <w:r>
        <w:rPr>
          <w:spacing w:val="-6"/>
        </w:rPr>
        <w:t> </w:t>
      </w:r>
      <w:r>
        <w:rPr/>
        <w:t>for change in program direction.</w:t>
      </w:r>
    </w:p>
    <w:p>
      <w:pPr>
        <w:pStyle w:val="ListParagraph"/>
        <w:numPr>
          <w:ilvl w:val="0"/>
          <w:numId w:val="2"/>
        </w:numPr>
        <w:tabs>
          <w:tab w:pos="899" w:val="left" w:leader="none"/>
        </w:tabs>
        <w:spacing w:line="240" w:lineRule="auto" w:before="193" w:after="0"/>
        <w:ind w:left="899" w:right="0" w:hanging="359"/>
        <w:jc w:val="left"/>
        <w:rPr>
          <w:sz w:val="22"/>
        </w:rPr>
      </w:pPr>
      <w:r>
        <w:rPr>
          <w:sz w:val="22"/>
        </w:rPr>
        <w:t>Vegetation</w:t>
      </w:r>
      <w:r>
        <w:rPr>
          <w:spacing w:val="-11"/>
          <w:sz w:val="22"/>
        </w:rPr>
        <w:t> </w:t>
      </w:r>
      <w:r>
        <w:rPr>
          <w:sz w:val="22"/>
        </w:rPr>
        <w:t>and</w:t>
      </w:r>
      <w:r>
        <w:rPr>
          <w:spacing w:val="-11"/>
          <w:sz w:val="22"/>
        </w:rPr>
        <w:t> </w:t>
      </w:r>
      <w:r>
        <w:rPr>
          <w:sz w:val="22"/>
        </w:rPr>
        <w:t>Fuels</w:t>
      </w:r>
      <w:r>
        <w:rPr>
          <w:spacing w:val="-9"/>
          <w:sz w:val="22"/>
        </w:rPr>
        <w:t> </w:t>
      </w:r>
      <w:r>
        <w:rPr>
          <w:spacing w:val="-2"/>
          <w:sz w:val="22"/>
        </w:rPr>
        <w:t>Treatment</w:t>
      </w:r>
    </w:p>
    <w:p>
      <w:pPr>
        <w:pStyle w:val="ListParagraph"/>
        <w:numPr>
          <w:ilvl w:val="0"/>
          <w:numId w:val="2"/>
        </w:numPr>
        <w:tabs>
          <w:tab w:pos="899" w:val="left" w:leader="none"/>
        </w:tabs>
        <w:spacing w:line="240" w:lineRule="auto" w:before="110" w:after="0"/>
        <w:ind w:left="899" w:right="0" w:hanging="359"/>
        <w:jc w:val="left"/>
        <w:rPr>
          <w:sz w:val="22"/>
        </w:rPr>
      </w:pPr>
      <w:r>
        <w:rPr>
          <w:sz w:val="22"/>
        </w:rPr>
        <w:t>Aquatic</w:t>
      </w:r>
      <w:r>
        <w:rPr>
          <w:spacing w:val="-7"/>
          <w:sz w:val="22"/>
        </w:rPr>
        <w:t> </w:t>
      </w:r>
      <w:r>
        <w:rPr>
          <w:sz w:val="22"/>
        </w:rPr>
        <w:t>(Fish</w:t>
      </w:r>
      <w:r>
        <w:rPr>
          <w:spacing w:val="-8"/>
          <w:sz w:val="22"/>
        </w:rPr>
        <w:t> </w:t>
      </w:r>
      <w:r>
        <w:rPr>
          <w:sz w:val="22"/>
        </w:rPr>
        <w:t>and</w:t>
      </w:r>
      <w:r>
        <w:rPr>
          <w:spacing w:val="-8"/>
          <w:sz w:val="22"/>
        </w:rPr>
        <w:t> </w:t>
      </w:r>
      <w:r>
        <w:rPr>
          <w:sz w:val="22"/>
        </w:rPr>
        <w:t>Water)</w:t>
      </w:r>
      <w:r>
        <w:rPr>
          <w:spacing w:val="-6"/>
          <w:sz w:val="22"/>
        </w:rPr>
        <w:t> </w:t>
      </w:r>
      <w:r>
        <w:rPr>
          <w:spacing w:val="-2"/>
          <w:sz w:val="22"/>
        </w:rPr>
        <w:t>Systems</w:t>
      </w:r>
    </w:p>
    <w:p>
      <w:pPr>
        <w:pStyle w:val="ListParagraph"/>
        <w:numPr>
          <w:ilvl w:val="0"/>
          <w:numId w:val="2"/>
        </w:numPr>
        <w:tabs>
          <w:tab w:pos="899" w:val="left" w:leader="none"/>
        </w:tabs>
        <w:spacing w:line="240" w:lineRule="auto" w:before="113" w:after="0"/>
        <w:ind w:left="899" w:right="0" w:hanging="359"/>
        <w:jc w:val="left"/>
        <w:rPr>
          <w:sz w:val="22"/>
        </w:rPr>
      </w:pPr>
      <w:r>
        <w:rPr>
          <w:sz w:val="22"/>
        </w:rPr>
        <w:t>Wildlife</w:t>
      </w:r>
      <w:r>
        <w:rPr>
          <w:spacing w:val="-9"/>
          <w:sz w:val="22"/>
        </w:rPr>
        <w:t> </w:t>
      </w:r>
      <w:r>
        <w:rPr>
          <w:spacing w:val="-2"/>
          <w:sz w:val="22"/>
        </w:rPr>
        <w:t>Habitat</w:t>
      </w:r>
    </w:p>
    <w:p>
      <w:pPr>
        <w:pStyle w:val="Heading2"/>
        <w:spacing w:before="232"/>
      </w:pPr>
      <w:bookmarkStart w:name="Management Context" w:id="40"/>
      <w:bookmarkEnd w:id="40"/>
      <w:r>
        <w:rPr/>
      </w:r>
      <w:bookmarkStart w:name="_bookmark22" w:id="41"/>
      <w:bookmarkEnd w:id="41"/>
      <w:r>
        <w:rPr/>
      </w:r>
      <w:r>
        <w:rPr>
          <w:smallCaps/>
          <w:color w:val="475824"/>
          <w:spacing w:val="-2"/>
        </w:rPr>
        <w:t>Management</w:t>
      </w:r>
      <w:r>
        <w:rPr>
          <w:smallCaps/>
          <w:color w:val="475824"/>
          <w:spacing w:val="-1"/>
        </w:rPr>
        <w:t> </w:t>
      </w:r>
      <w:r>
        <w:rPr>
          <w:smallCaps/>
          <w:color w:val="475824"/>
          <w:spacing w:val="-2"/>
        </w:rPr>
        <w:t>Context</w:t>
      </w:r>
    </w:p>
    <w:p>
      <w:pPr>
        <w:pStyle w:val="BodyText"/>
        <w:spacing w:line="232" w:lineRule="auto" w:before="65"/>
        <w:ind w:left="360" w:right="1445"/>
      </w:pPr>
      <w:r>
        <w:rPr/>
        <w:t>Management of National Forest System lands occurs in a larger context and geographic landscape.</w:t>
      </w:r>
      <w:r>
        <w:rPr>
          <w:spacing w:val="-6"/>
        </w:rPr>
        <w:t> </w:t>
      </w:r>
      <w:r>
        <w:rPr/>
        <w:t>National</w:t>
      </w:r>
      <w:r>
        <w:rPr>
          <w:spacing w:val="-6"/>
        </w:rPr>
        <w:t> </w:t>
      </w:r>
      <w:r>
        <w:rPr/>
        <w:t>laws,</w:t>
      </w:r>
      <w:r>
        <w:rPr>
          <w:spacing w:val="-8"/>
        </w:rPr>
        <w:t> </w:t>
      </w:r>
      <w:r>
        <w:rPr/>
        <w:t>regulations,</w:t>
      </w:r>
      <w:r>
        <w:rPr>
          <w:spacing w:val="-6"/>
        </w:rPr>
        <w:t> </w:t>
      </w:r>
      <w:r>
        <w:rPr/>
        <w:t>and</w:t>
      </w:r>
      <w:r>
        <w:rPr>
          <w:spacing w:val="-7"/>
        </w:rPr>
        <w:t> </w:t>
      </w:r>
      <w:r>
        <w:rPr/>
        <w:t>policy</w:t>
      </w:r>
      <w:r>
        <w:rPr>
          <w:spacing w:val="-7"/>
        </w:rPr>
        <w:t> </w:t>
      </w:r>
      <w:r>
        <w:rPr/>
        <w:t>guide</w:t>
      </w:r>
      <w:r>
        <w:rPr>
          <w:spacing w:val="-5"/>
        </w:rPr>
        <w:t> </w:t>
      </w:r>
      <w:r>
        <w:rPr/>
        <w:t>the</w:t>
      </w:r>
      <w:r>
        <w:rPr>
          <w:spacing w:val="-8"/>
        </w:rPr>
        <w:t> </w:t>
      </w:r>
      <w:r>
        <w:rPr/>
        <w:t>Forest’s</w:t>
      </w:r>
      <w:r>
        <w:rPr>
          <w:spacing w:val="-6"/>
        </w:rPr>
        <w:t> </w:t>
      </w:r>
      <w:r>
        <w:rPr/>
        <w:t>interaction</w:t>
      </w:r>
      <w:r>
        <w:rPr>
          <w:spacing w:val="-9"/>
        </w:rPr>
        <w:t> </w:t>
      </w:r>
      <w:r>
        <w:rPr/>
        <w:t>with</w:t>
      </w:r>
      <w:r>
        <w:rPr>
          <w:spacing w:val="-7"/>
        </w:rPr>
        <w:t> </w:t>
      </w:r>
      <w:r>
        <w:rPr/>
        <w:t>local,</w:t>
      </w:r>
      <w:r>
        <w:rPr>
          <w:spacing w:val="-6"/>
        </w:rPr>
        <w:t> </w:t>
      </w:r>
      <w:r>
        <w:rPr/>
        <w:t>State and</w:t>
      </w:r>
      <w:r>
        <w:rPr>
          <w:spacing w:val="-1"/>
        </w:rPr>
        <w:t> </w:t>
      </w:r>
      <w:r>
        <w:rPr/>
        <w:t>Federal agencies. The</w:t>
      </w:r>
      <w:r>
        <w:rPr>
          <w:spacing w:val="-4"/>
        </w:rPr>
        <w:t> </w:t>
      </w:r>
      <w:r>
        <w:rPr/>
        <w:t>Colville National Forest covers a wide</w:t>
      </w:r>
      <w:r>
        <w:rPr>
          <w:spacing w:val="-2"/>
        </w:rPr>
        <w:t> </w:t>
      </w:r>
      <w:r>
        <w:rPr/>
        <w:t>geographic landscape and</w:t>
      </w:r>
      <w:r>
        <w:rPr>
          <w:spacing w:val="-1"/>
        </w:rPr>
        <w:t> </w:t>
      </w:r>
      <w:r>
        <w:rPr/>
        <w:t>is a neighbor to many entities, ranging from the private landowner, to State and Federal lands, to Tribal lands, and</w:t>
      </w:r>
      <w:r>
        <w:rPr>
          <w:spacing w:val="-1"/>
        </w:rPr>
        <w:t> </w:t>
      </w:r>
      <w:r>
        <w:rPr/>
        <w:t>a foreign</w:t>
      </w:r>
      <w:r>
        <w:rPr>
          <w:spacing w:val="-1"/>
        </w:rPr>
        <w:t> </w:t>
      </w:r>
      <w:r>
        <w:rPr/>
        <w:t>country to the</w:t>
      </w:r>
      <w:r>
        <w:rPr>
          <w:spacing w:val="-2"/>
        </w:rPr>
        <w:t> </w:t>
      </w:r>
      <w:r>
        <w:rPr/>
        <w:t>north</w:t>
      </w:r>
      <w:r>
        <w:rPr>
          <w:spacing w:val="-1"/>
        </w:rPr>
        <w:t> </w:t>
      </w:r>
      <w:r>
        <w:rPr/>
        <w:t>(Canada). The</w:t>
      </w:r>
      <w:r>
        <w:rPr>
          <w:spacing w:val="-2"/>
        </w:rPr>
        <w:t> </w:t>
      </w:r>
      <w:r>
        <w:rPr/>
        <w:t>management</w:t>
      </w:r>
      <w:r>
        <w:rPr>
          <w:spacing w:val="-2"/>
        </w:rPr>
        <w:t> </w:t>
      </w:r>
      <w:r>
        <w:rPr/>
        <w:t>of</w:t>
      </w:r>
      <w:r>
        <w:rPr>
          <w:spacing w:val="-2"/>
        </w:rPr>
        <w:t> </w:t>
      </w:r>
      <w:r>
        <w:rPr/>
        <w:t>the</w:t>
      </w:r>
      <w:r>
        <w:rPr>
          <w:spacing w:val="-2"/>
        </w:rPr>
        <w:t> </w:t>
      </w:r>
      <w:r>
        <w:rPr/>
        <w:t>Forest is set within this complex regulatory and geographic environment, and is guided by numerous laws, regulations, executive orders, treaties, and agreements. Following is a brief overview of this complex situation.</w:t>
      </w:r>
    </w:p>
    <w:p>
      <w:pPr>
        <w:pStyle w:val="BodyText"/>
        <w:spacing w:after="0" w:line="232" w:lineRule="auto"/>
        <w:sectPr>
          <w:pgSz w:w="12240" w:h="15840"/>
          <w:pgMar w:header="725" w:footer="891" w:top="960" w:bottom="1080" w:left="1080" w:right="720"/>
        </w:sectPr>
      </w:pPr>
    </w:p>
    <w:p>
      <w:pPr>
        <w:pStyle w:val="BodyText"/>
        <w:spacing w:before="207"/>
      </w:pPr>
    </w:p>
    <w:p>
      <w:pPr>
        <w:pStyle w:val="Heading3"/>
      </w:pPr>
      <w:bookmarkStart w:name="Consultation, Cooperation and Coordinati" w:id="42"/>
      <w:bookmarkEnd w:id="42"/>
      <w:r>
        <w:rPr>
          <w:b w:val="0"/>
        </w:rPr>
      </w:r>
      <w:bookmarkStart w:name="_bookmark23" w:id="43"/>
      <w:bookmarkEnd w:id="43"/>
      <w:r>
        <w:rPr>
          <w:b w:val="0"/>
        </w:rPr>
      </w:r>
      <w:r>
        <w:rPr>
          <w:smallCaps/>
          <w:color w:val="475824"/>
        </w:rPr>
        <w:t>Consultation,</w:t>
      </w:r>
      <w:r>
        <w:rPr>
          <w:smallCaps/>
          <w:color w:val="475824"/>
          <w:spacing w:val="-16"/>
        </w:rPr>
        <w:t> </w:t>
      </w:r>
      <w:r>
        <w:rPr>
          <w:smallCaps/>
          <w:color w:val="475824"/>
        </w:rPr>
        <w:t>Cooperation</w:t>
      </w:r>
      <w:r>
        <w:rPr>
          <w:smallCaps/>
          <w:color w:val="475824"/>
          <w:spacing w:val="-13"/>
        </w:rPr>
        <w:t> </w:t>
      </w:r>
      <w:r>
        <w:rPr>
          <w:smallCaps/>
          <w:color w:val="475824"/>
        </w:rPr>
        <w:t>and</w:t>
      </w:r>
      <w:r>
        <w:rPr>
          <w:smallCaps/>
          <w:color w:val="475824"/>
          <w:spacing w:val="-9"/>
        </w:rPr>
        <w:t> </w:t>
      </w:r>
      <w:r>
        <w:rPr>
          <w:smallCaps/>
          <w:color w:val="475824"/>
          <w:spacing w:val="-2"/>
        </w:rPr>
        <w:t>Coordination</w:t>
      </w:r>
    </w:p>
    <w:p>
      <w:pPr>
        <w:pStyle w:val="BodyText"/>
        <w:spacing w:line="232" w:lineRule="auto" w:before="64"/>
        <w:ind w:left="1151" w:right="769"/>
      </w:pPr>
      <w:r>
        <w:rPr/>
        <w:t>The Colville National Forest contains lands adjacent to other national forests, national wildlife refuges,</w:t>
      </w:r>
      <w:r>
        <w:rPr>
          <w:spacing w:val="-1"/>
        </w:rPr>
        <w:t> </w:t>
      </w:r>
      <w:r>
        <w:rPr/>
        <w:t>United</w:t>
      </w:r>
      <w:r>
        <w:rPr>
          <w:spacing w:val="-4"/>
        </w:rPr>
        <w:t> </w:t>
      </w:r>
      <w:r>
        <w:rPr/>
        <w:t>States</w:t>
      </w:r>
      <w:r>
        <w:rPr>
          <w:spacing w:val="-3"/>
        </w:rPr>
        <w:t> </w:t>
      </w:r>
      <w:r>
        <w:rPr/>
        <w:t>Department of</w:t>
      </w:r>
      <w:r>
        <w:rPr>
          <w:spacing w:val="-1"/>
        </w:rPr>
        <w:t> </w:t>
      </w:r>
      <w:r>
        <w:rPr/>
        <w:t>Interior</w:t>
      </w:r>
      <w:r>
        <w:rPr>
          <w:spacing w:val="-1"/>
        </w:rPr>
        <w:t> </w:t>
      </w:r>
      <w:r>
        <w:rPr/>
        <w:t>(USDI)</w:t>
      </w:r>
      <w:r>
        <w:rPr>
          <w:spacing w:val="-3"/>
        </w:rPr>
        <w:t> </w:t>
      </w:r>
      <w:r>
        <w:rPr/>
        <w:t>Bureau</w:t>
      </w:r>
      <w:r>
        <w:rPr>
          <w:spacing w:val="-2"/>
        </w:rPr>
        <w:t> </w:t>
      </w:r>
      <w:r>
        <w:rPr/>
        <w:t>of</w:t>
      </w:r>
      <w:r>
        <w:rPr>
          <w:spacing w:val="-3"/>
        </w:rPr>
        <w:t> </w:t>
      </w:r>
      <w:r>
        <w:rPr/>
        <w:t>Land</w:t>
      </w:r>
      <w:r>
        <w:rPr>
          <w:spacing w:val="-4"/>
        </w:rPr>
        <w:t> </w:t>
      </w:r>
      <w:r>
        <w:rPr/>
        <w:t>Management lands,</w:t>
      </w:r>
      <w:r>
        <w:rPr>
          <w:spacing w:val="-1"/>
        </w:rPr>
        <w:t> </w:t>
      </w:r>
      <w:r>
        <w:rPr/>
        <w:t>Tribal lands, and lands managed</w:t>
      </w:r>
      <w:r>
        <w:rPr>
          <w:spacing w:val="-1"/>
        </w:rPr>
        <w:t> </w:t>
      </w:r>
      <w:r>
        <w:rPr/>
        <w:t>by the State, in addition to others. Through</w:t>
      </w:r>
      <w:r>
        <w:rPr>
          <w:spacing w:val="-1"/>
        </w:rPr>
        <w:t> </w:t>
      </w:r>
      <w:r>
        <w:rPr/>
        <w:t>mandatory requirement or agreement, the Forest consults, cooperates, and/or coordinates with many local governments (especially counties), state agencies (including the Washington State Historic Preservation Office), Washington Department of Ecology (Ecology or WADoE), Washington Department of Fish and Wildlife (WDFW)), Federal agencies (including the USDI Fish and Wildlife Service, Department of Homeland Security, and Federal Energy Regulatory Commission), and American Indian tribes, as well as communities, private entities, individuals, research institutions, and organizations. These relationships help improve management efficiency,</w:t>
      </w:r>
      <w:r>
        <w:rPr>
          <w:spacing w:val="-13"/>
        </w:rPr>
        <w:t> </w:t>
      </w:r>
      <w:r>
        <w:rPr/>
        <w:t>achieve</w:t>
      </w:r>
      <w:r>
        <w:rPr>
          <w:spacing w:val="-12"/>
        </w:rPr>
        <w:t> </w:t>
      </w:r>
      <w:r>
        <w:rPr/>
        <w:t>management</w:t>
      </w:r>
      <w:r>
        <w:rPr>
          <w:spacing w:val="-11"/>
        </w:rPr>
        <w:t> </w:t>
      </w:r>
      <w:r>
        <w:rPr/>
        <w:t>goals,</w:t>
      </w:r>
      <w:r>
        <w:rPr>
          <w:spacing w:val="-12"/>
        </w:rPr>
        <w:t> </w:t>
      </w:r>
      <w:r>
        <w:rPr/>
        <w:t>improve</w:t>
      </w:r>
      <w:r>
        <w:rPr>
          <w:spacing w:val="-13"/>
        </w:rPr>
        <w:t> </w:t>
      </w:r>
      <w:r>
        <w:rPr/>
        <w:t>overall</w:t>
      </w:r>
      <w:r>
        <w:rPr>
          <w:spacing w:val="-11"/>
        </w:rPr>
        <w:t> </w:t>
      </w:r>
      <w:r>
        <w:rPr/>
        <w:t>resource</w:t>
      </w:r>
      <w:r>
        <w:rPr>
          <w:spacing w:val="-13"/>
        </w:rPr>
        <w:t> </w:t>
      </w:r>
      <w:r>
        <w:rPr/>
        <w:t>management,</w:t>
      </w:r>
      <w:r>
        <w:rPr>
          <w:spacing w:val="-11"/>
        </w:rPr>
        <w:t> </w:t>
      </w:r>
      <w:r>
        <w:rPr/>
        <w:t>foster</w:t>
      </w:r>
      <w:r>
        <w:rPr>
          <w:spacing w:val="-12"/>
        </w:rPr>
        <w:t> </w:t>
      </w:r>
      <w:r>
        <w:rPr/>
        <w:t>consistent land management at larger scales, and reduce potential conflicts. If these requirements or agreements</w:t>
      </w:r>
      <w:r>
        <w:rPr>
          <w:spacing w:val="-6"/>
        </w:rPr>
        <w:t> </w:t>
      </w:r>
      <w:r>
        <w:rPr/>
        <w:t>change,</w:t>
      </w:r>
      <w:r>
        <w:rPr>
          <w:spacing w:val="-4"/>
        </w:rPr>
        <w:t> </w:t>
      </w:r>
      <w:r>
        <w:rPr/>
        <w:t>the</w:t>
      </w:r>
      <w:r>
        <w:rPr>
          <w:spacing w:val="-6"/>
        </w:rPr>
        <w:t> </w:t>
      </w:r>
      <w:r>
        <w:rPr/>
        <w:t>Forest</w:t>
      </w:r>
      <w:r>
        <w:rPr>
          <w:spacing w:val="-6"/>
        </w:rPr>
        <w:t> </w:t>
      </w:r>
      <w:r>
        <w:rPr/>
        <w:t>will</w:t>
      </w:r>
      <w:r>
        <w:rPr>
          <w:spacing w:val="-4"/>
        </w:rPr>
        <w:t> </w:t>
      </w:r>
      <w:r>
        <w:rPr/>
        <w:t>comply</w:t>
      </w:r>
      <w:r>
        <w:rPr>
          <w:spacing w:val="-3"/>
        </w:rPr>
        <w:t> </w:t>
      </w:r>
      <w:r>
        <w:rPr/>
        <w:t>with,</w:t>
      </w:r>
      <w:r>
        <w:rPr>
          <w:spacing w:val="-6"/>
        </w:rPr>
        <w:t> </w:t>
      </w:r>
      <w:r>
        <w:rPr/>
        <w:t>or</w:t>
      </w:r>
      <w:r>
        <w:rPr>
          <w:spacing w:val="-4"/>
        </w:rPr>
        <w:t> </w:t>
      </w:r>
      <w:r>
        <w:rPr/>
        <w:t>adapt</w:t>
      </w:r>
      <w:r>
        <w:rPr>
          <w:spacing w:val="-3"/>
        </w:rPr>
        <w:t> </w:t>
      </w:r>
      <w:r>
        <w:rPr/>
        <w:t>to</w:t>
      </w:r>
      <w:r>
        <w:rPr>
          <w:spacing w:val="-3"/>
        </w:rPr>
        <w:t> </w:t>
      </w:r>
      <w:r>
        <w:rPr/>
        <w:t>the</w:t>
      </w:r>
      <w:r>
        <w:rPr>
          <w:spacing w:val="-3"/>
        </w:rPr>
        <w:t> </w:t>
      </w:r>
      <w:r>
        <w:rPr/>
        <w:t>changes</w:t>
      </w:r>
      <w:r>
        <w:rPr>
          <w:spacing w:val="-4"/>
        </w:rPr>
        <w:t> </w:t>
      </w:r>
      <w:r>
        <w:rPr/>
        <w:t>as</w:t>
      </w:r>
      <w:r>
        <w:rPr>
          <w:spacing w:val="-6"/>
        </w:rPr>
        <w:t> </w:t>
      </w:r>
      <w:r>
        <w:rPr/>
        <w:t>needed.</w:t>
      </w:r>
      <w:r>
        <w:rPr>
          <w:spacing w:val="-4"/>
        </w:rPr>
        <w:t> </w:t>
      </w:r>
      <w:r>
        <w:rPr/>
        <w:t>The</w:t>
      </w:r>
      <w:r>
        <w:rPr>
          <w:spacing w:val="-3"/>
        </w:rPr>
        <w:t> </w:t>
      </w:r>
      <w:r>
        <w:rPr/>
        <w:t>Forest considers these consultation, cooperation, and coordination activities as standard operating procedure, and, therefore, they are generally not restated as direction in the Forest Plan.</w:t>
      </w:r>
    </w:p>
    <w:p>
      <w:pPr>
        <w:pStyle w:val="Heading3"/>
        <w:spacing w:before="231"/>
      </w:pPr>
      <w:bookmarkStart w:name="International Boundary with Canada" w:id="44"/>
      <w:bookmarkEnd w:id="44"/>
      <w:r>
        <w:rPr>
          <w:b w:val="0"/>
        </w:rPr>
      </w:r>
      <w:bookmarkStart w:name="_bookmark24" w:id="45"/>
      <w:bookmarkEnd w:id="45"/>
      <w:r>
        <w:rPr>
          <w:b w:val="0"/>
        </w:rPr>
      </w:r>
      <w:r>
        <w:rPr>
          <w:smallCaps/>
          <w:color w:val="475824"/>
        </w:rPr>
        <w:t>International</w:t>
      </w:r>
      <w:r>
        <w:rPr>
          <w:smallCaps/>
          <w:color w:val="475824"/>
          <w:spacing w:val="-8"/>
        </w:rPr>
        <w:t> </w:t>
      </w:r>
      <w:r>
        <w:rPr>
          <w:smallCaps/>
          <w:color w:val="475824"/>
        </w:rPr>
        <w:t>Boundary</w:t>
      </w:r>
      <w:r>
        <w:rPr>
          <w:smallCaps/>
          <w:color w:val="475824"/>
          <w:spacing w:val="-8"/>
        </w:rPr>
        <w:t> </w:t>
      </w:r>
      <w:r>
        <w:rPr>
          <w:smallCaps/>
          <w:color w:val="475824"/>
        </w:rPr>
        <w:t>with</w:t>
      </w:r>
      <w:r>
        <w:rPr>
          <w:smallCaps/>
          <w:color w:val="475824"/>
          <w:spacing w:val="-7"/>
        </w:rPr>
        <w:t> </w:t>
      </w:r>
      <w:r>
        <w:rPr>
          <w:smallCaps/>
          <w:color w:val="475824"/>
          <w:spacing w:val="-2"/>
        </w:rPr>
        <w:t>Canada</w:t>
      </w:r>
    </w:p>
    <w:p>
      <w:pPr>
        <w:pStyle w:val="BodyText"/>
        <w:spacing w:line="232" w:lineRule="auto" w:before="63"/>
        <w:ind w:left="1151" w:right="742"/>
      </w:pPr>
      <w:r>
        <w:rPr/>
        <w:t>The Colville National Forest’s northernmost boundary is the international boundary with Canada.</w:t>
      </w:r>
      <w:r>
        <w:rPr>
          <w:spacing w:val="-2"/>
        </w:rPr>
        <w:t> </w:t>
      </w:r>
      <w:r>
        <w:rPr/>
        <w:t>A</w:t>
      </w:r>
      <w:r>
        <w:rPr>
          <w:spacing w:val="-2"/>
        </w:rPr>
        <w:t> </w:t>
      </w:r>
      <w:r>
        <w:rPr/>
        <w:t>60-foot-wide</w:t>
      </w:r>
      <w:r>
        <w:rPr>
          <w:spacing w:val="-4"/>
        </w:rPr>
        <w:t> </w:t>
      </w:r>
      <w:r>
        <w:rPr/>
        <w:t>reservation</w:t>
      </w:r>
      <w:r>
        <w:rPr>
          <w:spacing w:val="-5"/>
        </w:rPr>
        <w:t> </w:t>
      </w:r>
      <w:r>
        <w:rPr/>
        <w:t>strip,</w:t>
      </w:r>
      <w:r>
        <w:rPr>
          <w:spacing w:val="-2"/>
        </w:rPr>
        <w:t> </w:t>
      </w:r>
      <w:r>
        <w:rPr/>
        <w:t>the</w:t>
      </w:r>
      <w:r>
        <w:rPr>
          <w:spacing w:val="-4"/>
        </w:rPr>
        <w:t> </w:t>
      </w:r>
      <w:r>
        <w:rPr/>
        <w:t>“Taft</w:t>
      </w:r>
      <w:r>
        <w:rPr>
          <w:spacing w:val="-1"/>
        </w:rPr>
        <w:t> </w:t>
      </w:r>
      <w:r>
        <w:rPr/>
        <w:t>Reservation”</w:t>
      </w:r>
      <w:r>
        <w:rPr>
          <w:spacing w:val="-3"/>
        </w:rPr>
        <w:t> </w:t>
      </w:r>
      <w:r>
        <w:rPr/>
        <w:t>of</w:t>
      </w:r>
      <w:r>
        <w:rPr>
          <w:spacing w:val="-4"/>
        </w:rPr>
        <w:t> </w:t>
      </w:r>
      <w:r>
        <w:rPr/>
        <w:t>May</w:t>
      </w:r>
      <w:r>
        <w:rPr>
          <w:spacing w:val="-3"/>
        </w:rPr>
        <w:t> </w:t>
      </w:r>
      <w:r>
        <w:rPr/>
        <w:t>3,</w:t>
      </w:r>
      <w:r>
        <w:rPr>
          <w:spacing w:val="-4"/>
        </w:rPr>
        <w:t> </w:t>
      </w:r>
      <w:r>
        <w:rPr/>
        <w:t>1912,</w:t>
      </w:r>
      <w:r>
        <w:rPr>
          <w:spacing w:val="-4"/>
        </w:rPr>
        <w:t> </w:t>
      </w:r>
      <w:r>
        <w:rPr/>
        <w:t>runs</w:t>
      </w:r>
      <w:r>
        <w:rPr>
          <w:spacing w:val="-2"/>
        </w:rPr>
        <w:t> </w:t>
      </w:r>
      <w:r>
        <w:rPr/>
        <w:t>along</w:t>
      </w:r>
      <w:r>
        <w:rPr>
          <w:spacing w:val="-3"/>
        </w:rPr>
        <w:t> </w:t>
      </w:r>
      <w:r>
        <w:rPr/>
        <w:t>the border. Activities by the Forest and other Federal agencies within the reservation strip are the subject of numerous agreements and understandings between Federal agencies as well as treaties</w:t>
      </w:r>
      <w:r>
        <w:rPr>
          <w:spacing w:val="-4"/>
        </w:rPr>
        <w:t> </w:t>
      </w:r>
      <w:r>
        <w:rPr/>
        <w:t>between</w:t>
      </w:r>
      <w:r>
        <w:rPr>
          <w:spacing w:val="-5"/>
        </w:rPr>
        <w:t> </w:t>
      </w:r>
      <w:r>
        <w:rPr/>
        <w:t>the</w:t>
      </w:r>
      <w:r>
        <w:rPr>
          <w:spacing w:val="-3"/>
        </w:rPr>
        <w:t> </w:t>
      </w:r>
      <w:r>
        <w:rPr/>
        <w:t>United</w:t>
      </w:r>
      <w:r>
        <w:rPr>
          <w:spacing w:val="-5"/>
        </w:rPr>
        <w:t> </w:t>
      </w:r>
      <w:r>
        <w:rPr/>
        <w:t>States</w:t>
      </w:r>
      <w:r>
        <w:rPr>
          <w:spacing w:val="-6"/>
        </w:rPr>
        <w:t> </w:t>
      </w:r>
      <w:r>
        <w:rPr/>
        <w:t>and</w:t>
      </w:r>
      <w:r>
        <w:rPr>
          <w:spacing w:val="-5"/>
        </w:rPr>
        <w:t> </w:t>
      </w:r>
      <w:r>
        <w:rPr/>
        <w:t>Canada.</w:t>
      </w:r>
      <w:r>
        <w:rPr>
          <w:spacing w:val="-4"/>
        </w:rPr>
        <w:t> </w:t>
      </w:r>
      <w:r>
        <w:rPr/>
        <w:t>The</w:t>
      </w:r>
      <w:r>
        <w:rPr>
          <w:spacing w:val="-6"/>
        </w:rPr>
        <w:t> </w:t>
      </w:r>
      <w:r>
        <w:rPr/>
        <w:t>Plan</w:t>
      </w:r>
      <w:r>
        <w:rPr>
          <w:spacing w:val="-5"/>
        </w:rPr>
        <w:t> </w:t>
      </w:r>
      <w:r>
        <w:rPr/>
        <w:t>does</w:t>
      </w:r>
      <w:r>
        <w:rPr>
          <w:spacing w:val="-4"/>
        </w:rPr>
        <w:t> </w:t>
      </w:r>
      <w:r>
        <w:rPr/>
        <w:t>not</w:t>
      </w:r>
      <w:r>
        <w:rPr>
          <w:spacing w:val="-6"/>
        </w:rPr>
        <w:t> </w:t>
      </w:r>
      <w:r>
        <w:rPr/>
        <w:t>address</w:t>
      </w:r>
      <w:r>
        <w:rPr>
          <w:spacing w:val="-6"/>
        </w:rPr>
        <w:t> </w:t>
      </w:r>
      <w:r>
        <w:rPr/>
        <w:t>management</w:t>
      </w:r>
      <w:r>
        <w:rPr>
          <w:spacing w:val="-6"/>
        </w:rPr>
        <w:t> </w:t>
      </w:r>
      <w:r>
        <w:rPr/>
        <w:t>within the 60-foot reservation or activities within the national forest related to the international boundary, as treaties and related agreements and understandings cover those areas.</w:t>
      </w:r>
    </w:p>
    <w:p>
      <w:pPr>
        <w:pStyle w:val="Heading3"/>
        <w:spacing w:before="231"/>
      </w:pPr>
      <w:bookmarkStart w:name="State and Local Government" w:id="46"/>
      <w:bookmarkEnd w:id="46"/>
      <w:r>
        <w:rPr>
          <w:b w:val="0"/>
        </w:rPr>
      </w:r>
      <w:bookmarkStart w:name="_bookmark25" w:id="47"/>
      <w:bookmarkEnd w:id="47"/>
      <w:r>
        <w:rPr>
          <w:b w:val="0"/>
        </w:rPr>
      </w:r>
      <w:r>
        <w:rPr>
          <w:smallCaps/>
          <w:color w:val="475824"/>
        </w:rPr>
        <w:t>State</w:t>
      </w:r>
      <w:r>
        <w:rPr>
          <w:smallCaps/>
          <w:color w:val="475824"/>
          <w:spacing w:val="-3"/>
        </w:rPr>
        <w:t> </w:t>
      </w:r>
      <w:r>
        <w:rPr>
          <w:smallCaps/>
          <w:color w:val="475824"/>
        </w:rPr>
        <w:t>and</w:t>
      </w:r>
      <w:r>
        <w:rPr>
          <w:smallCaps/>
          <w:color w:val="475824"/>
          <w:spacing w:val="-6"/>
        </w:rPr>
        <w:t> </w:t>
      </w:r>
      <w:r>
        <w:rPr>
          <w:smallCaps/>
          <w:color w:val="475824"/>
        </w:rPr>
        <w:t>Local</w:t>
      </w:r>
      <w:r>
        <w:rPr>
          <w:smallCaps/>
          <w:color w:val="475824"/>
          <w:spacing w:val="-6"/>
        </w:rPr>
        <w:t> </w:t>
      </w:r>
      <w:r>
        <w:rPr>
          <w:smallCaps/>
          <w:color w:val="475824"/>
          <w:spacing w:val="-2"/>
        </w:rPr>
        <w:t>Government</w:t>
      </w:r>
    </w:p>
    <w:p>
      <w:pPr>
        <w:pStyle w:val="BodyText"/>
        <w:spacing w:line="232" w:lineRule="auto" w:before="64"/>
        <w:ind w:left="1151" w:right="742"/>
      </w:pPr>
      <w:r>
        <w:rPr/>
        <w:t>State and local government resource management and land use plans provide guidance for management of lands in those jurisdictions. Community wildfire protection plans provide well- defined avenues for coordination. County land use plans describe local government goals and objectives</w:t>
      </w:r>
      <w:r>
        <w:rPr>
          <w:spacing w:val="-8"/>
        </w:rPr>
        <w:t> </w:t>
      </w:r>
      <w:r>
        <w:rPr/>
        <w:t>for</w:t>
      </w:r>
      <w:r>
        <w:rPr>
          <w:spacing w:val="-8"/>
        </w:rPr>
        <w:t> </w:t>
      </w:r>
      <w:r>
        <w:rPr/>
        <w:t>land</w:t>
      </w:r>
      <w:r>
        <w:rPr>
          <w:spacing w:val="-7"/>
        </w:rPr>
        <w:t> </w:t>
      </w:r>
      <w:r>
        <w:rPr/>
        <w:t>management</w:t>
      </w:r>
      <w:r>
        <w:rPr>
          <w:spacing w:val="-6"/>
        </w:rPr>
        <w:t> </w:t>
      </w:r>
      <w:r>
        <w:rPr/>
        <w:t>and</w:t>
      </w:r>
      <w:r>
        <w:rPr>
          <w:spacing w:val="-7"/>
        </w:rPr>
        <w:t> </w:t>
      </w:r>
      <w:r>
        <w:rPr/>
        <w:t>provide</w:t>
      </w:r>
      <w:r>
        <w:rPr>
          <w:spacing w:val="-8"/>
        </w:rPr>
        <w:t> </w:t>
      </w:r>
      <w:r>
        <w:rPr/>
        <w:t>opportunities</w:t>
      </w:r>
      <w:r>
        <w:rPr>
          <w:spacing w:val="-6"/>
        </w:rPr>
        <w:t> </w:t>
      </w:r>
      <w:r>
        <w:rPr/>
        <w:t>for</w:t>
      </w:r>
      <w:r>
        <w:rPr>
          <w:spacing w:val="-6"/>
        </w:rPr>
        <w:t> </w:t>
      </w:r>
      <w:r>
        <w:rPr/>
        <w:t>coordination</w:t>
      </w:r>
      <w:r>
        <w:rPr>
          <w:spacing w:val="-7"/>
        </w:rPr>
        <w:t> </w:t>
      </w:r>
      <w:r>
        <w:rPr/>
        <w:t>between</w:t>
      </w:r>
      <w:r>
        <w:rPr>
          <w:spacing w:val="-7"/>
        </w:rPr>
        <w:t> </w:t>
      </w:r>
      <w:r>
        <w:rPr/>
        <w:t>the</w:t>
      </w:r>
      <w:r>
        <w:rPr>
          <w:spacing w:val="-6"/>
        </w:rPr>
        <w:t> </w:t>
      </w:r>
      <w:r>
        <w:rPr/>
        <w:t>Forest Service and local governments.</w:t>
      </w:r>
    </w:p>
    <w:p>
      <w:pPr>
        <w:pStyle w:val="Heading3"/>
        <w:spacing w:before="234"/>
      </w:pPr>
      <w:bookmarkStart w:name="Federal Trust Responsibility and Tribal " w:id="48"/>
      <w:bookmarkEnd w:id="48"/>
      <w:r>
        <w:rPr>
          <w:b w:val="0"/>
        </w:rPr>
      </w:r>
      <w:bookmarkStart w:name="_bookmark26" w:id="49"/>
      <w:bookmarkEnd w:id="49"/>
      <w:r>
        <w:rPr>
          <w:b w:val="0"/>
        </w:rPr>
      </w:r>
      <w:r>
        <w:rPr>
          <w:smallCaps/>
          <w:color w:val="475824"/>
        </w:rPr>
        <w:t>Federal</w:t>
      </w:r>
      <w:r>
        <w:rPr>
          <w:smallCaps/>
          <w:color w:val="475824"/>
          <w:spacing w:val="-9"/>
        </w:rPr>
        <w:t> </w:t>
      </w:r>
      <w:r>
        <w:rPr>
          <w:smallCaps/>
          <w:color w:val="475824"/>
        </w:rPr>
        <w:t>Trust</w:t>
      </w:r>
      <w:r>
        <w:rPr>
          <w:smallCaps/>
          <w:color w:val="475824"/>
          <w:spacing w:val="-8"/>
        </w:rPr>
        <w:t> </w:t>
      </w:r>
      <w:r>
        <w:rPr>
          <w:smallCaps/>
          <w:color w:val="475824"/>
        </w:rPr>
        <w:t>Responsibility</w:t>
      </w:r>
      <w:r>
        <w:rPr>
          <w:smallCaps/>
          <w:color w:val="475824"/>
          <w:spacing w:val="-5"/>
        </w:rPr>
        <w:t> </w:t>
      </w:r>
      <w:r>
        <w:rPr>
          <w:smallCaps/>
          <w:color w:val="475824"/>
        </w:rPr>
        <w:t>and</w:t>
      </w:r>
      <w:r>
        <w:rPr>
          <w:smallCaps/>
          <w:color w:val="475824"/>
          <w:spacing w:val="-6"/>
        </w:rPr>
        <w:t> </w:t>
      </w:r>
      <w:r>
        <w:rPr>
          <w:smallCaps/>
          <w:color w:val="475824"/>
        </w:rPr>
        <w:t>Tribal</w:t>
      </w:r>
      <w:r>
        <w:rPr>
          <w:smallCaps/>
          <w:color w:val="475824"/>
          <w:spacing w:val="-6"/>
        </w:rPr>
        <w:t> </w:t>
      </w:r>
      <w:r>
        <w:rPr>
          <w:smallCaps/>
          <w:color w:val="475824"/>
        </w:rPr>
        <w:t>Rights</w:t>
      </w:r>
      <w:r>
        <w:rPr>
          <w:smallCaps/>
          <w:color w:val="475824"/>
          <w:spacing w:val="-5"/>
        </w:rPr>
        <w:t> </w:t>
      </w:r>
      <w:r>
        <w:rPr>
          <w:smallCaps/>
          <w:color w:val="475824"/>
        </w:rPr>
        <w:t>and</w:t>
      </w:r>
      <w:r>
        <w:rPr>
          <w:smallCaps/>
          <w:color w:val="475824"/>
          <w:spacing w:val="-6"/>
        </w:rPr>
        <w:t> </w:t>
      </w:r>
      <w:r>
        <w:rPr>
          <w:smallCaps/>
          <w:color w:val="475824"/>
          <w:spacing w:val="-2"/>
        </w:rPr>
        <w:t>Interests</w:t>
      </w:r>
    </w:p>
    <w:p>
      <w:pPr>
        <w:pStyle w:val="BodyText"/>
        <w:spacing w:line="232" w:lineRule="auto" w:before="63"/>
        <w:ind w:left="1151" w:right="801"/>
      </w:pPr>
      <w:r>
        <w:rPr/>
        <w:t>American Indian tribes are sovereign nations. They are government entities with which the Forest Service has established and continues to maintain government-to-government relationships.</w:t>
      </w:r>
      <w:r>
        <w:rPr>
          <w:spacing w:val="-11"/>
        </w:rPr>
        <w:t> </w:t>
      </w:r>
      <w:r>
        <w:rPr/>
        <w:t>In</w:t>
      </w:r>
      <w:r>
        <w:rPr>
          <w:spacing w:val="-11"/>
        </w:rPr>
        <w:t> </w:t>
      </w:r>
      <w:r>
        <w:rPr/>
        <w:t>government-to-government</w:t>
      </w:r>
      <w:r>
        <w:rPr>
          <w:spacing w:val="-10"/>
        </w:rPr>
        <w:t> </w:t>
      </w:r>
      <w:r>
        <w:rPr/>
        <w:t>consultation,</w:t>
      </w:r>
      <w:r>
        <w:rPr>
          <w:spacing w:val="-11"/>
        </w:rPr>
        <w:t> </w:t>
      </w:r>
      <w:r>
        <w:rPr/>
        <w:t>the</w:t>
      </w:r>
      <w:r>
        <w:rPr>
          <w:spacing w:val="-10"/>
        </w:rPr>
        <w:t> </w:t>
      </w:r>
      <w:r>
        <w:rPr/>
        <w:t>Forest</w:t>
      </w:r>
      <w:r>
        <w:rPr>
          <w:spacing w:val="-10"/>
        </w:rPr>
        <w:t> </w:t>
      </w:r>
      <w:r>
        <w:rPr/>
        <w:t>Service</w:t>
      </w:r>
      <w:r>
        <w:rPr>
          <w:spacing w:val="-10"/>
        </w:rPr>
        <w:t> </w:t>
      </w:r>
      <w:r>
        <w:rPr/>
        <w:t>acknowledges</w:t>
      </w:r>
      <w:r>
        <w:rPr>
          <w:spacing w:val="-11"/>
        </w:rPr>
        <w:t> </w:t>
      </w:r>
      <w:r>
        <w:rPr/>
        <w:t>the sovereignty of federally recognized American Indian Tribes, and the special government-to- government relationship between the Tribes and the United States through Executive Order 13175 (November 6, 2000).</w:t>
      </w:r>
    </w:p>
    <w:p>
      <w:pPr>
        <w:pStyle w:val="BodyText"/>
        <w:spacing w:line="232" w:lineRule="auto" w:before="199"/>
        <w:ind w:left="1151" w:right="742"/>
      </w:pPr>
      <w:r>
        <w:rPr/>
        <w:t>The United States Government has a trust responsibility to federally recognized tribes. While Federal laws apply to all federally recognized American Indian Tribes, each Tribe or confederation of Tribes is different and is recognized as a separate and unique government. There</w:t>
      </w:r>
      <w:r>
        <w:rPr>
          <w:spacing w:val="-1"/>
        </w:rPr>
        <w:t> </w:t>
      </w:r>
      <w:r>
        <w:rPr/>
        <w:t>are differences between Tribes</w:t>
      </w:r>
      <w:r>
        <w:rPr>
          <w:spacing w:val="-1"/>
        </w:rPr>
        <w:t> </w:t>
      </w:r>
      <w:r>
        <w:rPr/>
        <w:t>and in historic relationships</w:t>
      </w:r>
      <w:r>
        <w:rPr>
          <w:spacing w:val="-1"/>
        </w:rPr>
        <w:t> </w:t>
      </w:r>
      <w:r>
        <w:rPr/>
        <w:t>between Tribes and lands on and</w:t>
      </w:r>
      <w:r>
        <w:rPr>
          <w:spacing w:val="-7"/>
        </w:rPr>
        <w:t> </w:t>
      </w:r>
      <w:r>
        <w:rPr/>
        <w:t>near</w:t>
      </w:r>
      <w:r>
        <w:rPr>
          <w:spacing w:val="-6"/>
        </w:rPr>
        <w:t> </w:t>
      </w:r>
      <w:r>
        <w:rPr/>
        <w:t>their</w:t>
      </w:r>
      <w:r>
        <w:rPr>
          <w:spacing w:val="-8"/>
        </w:rPr>
        <w:t> </w:t>
      </w:r>
      <w:r>
        <w:rPr/>
        <w:t>current</w:t>
      </w:r>
      <w:r>
        <w:rPr>
          <w:spacing w:val="-8"/>
        </w:rPr>
        <w:t> </w:t>
      </w:r>
      <w:r>
        <w:rPr/>
        <w:t>reservations.</w:t>
      </w:r>
      <w:r>
        <w:rPr>
          <w:spacing w:val="-6"/>
        </w:rPr>
        <w:t> </w:t>
      </w:r>
      <w:r>
        <w:rPr/>
        <w:t>In</w:t>
      </w:r>
      <w:r>
        <w:rPr>
          <w:spacing w:val="-7"/>
        </w:rPr>
        <w:t> </w:t>
      </w:r>
      <w:r>
        <w:rPr/>
        <w:t>some</w:t>
      </w:r>
      <w:r>
        <w:rPr>
          <w:spacing w:val="-5"/>
        </w:rPr>
        <w:t> </w:t>
      </w:r>
      <w:r>
        <w:rPr/>
        <w:t>cases,</w:t>
      </w:r>
      <w:r>
        <w:rPr>
          <w:spacing w:val="-8"/>
        </w:rPr>
        <w:t> </w:t>
      </w:r>
      <w:r>
        <w:rPr/>
        <w:t>several</w:t>
      </w:r>
      <w:r>
        <w:rPr>
          <w:spacing w:val="-6"/>
        </w:rPr>
        <w:t> </w:t>
      </w:r>
      <w:r>
        <w:rPr/>
        <w:t>Tribes</w:t>
      </w:r>
      <w:r>
        <w:rPr>
          <w:spacing w:val="-8"/>
        </w:rPr>
        <w:t> </w:t>
      </w:r>
      <w:r>
        <w:rPr/>
        <w:t>may</w:t>
      </w:r>
      <w:r>
        <w:rPr>
          <w:spacing w:val="-5"/>
        </w:rPr>
        <w:t> </w:t>
      </w:r>
      <w:r>
        <w:rPr/>
        <w:t>have</w:t>
      </w:r>
      <w:r>
        <w:rPr>
          <w:spacing w:val="-8"/>
        </w:rPr>
        <w:t> </w:t>
      </w:r>
      <w:r>
        <w:rPr/>
        <w:t>legal</w:t>
      </w:r>
      <w:r>
        <w:rPr>
          <w:spacing w:val="-8"/>
        </w:rPr>
        <w:t> </w:t>
      </w:r>
      <w:r>
        <w:rPr/>
        <w:t>interests</w:t>
      </w:r>
      <w:r>
        <w:rPr>
          <w:spacing w:val="-6"/>
        </w:rPr>
        <w:t> </w:t>
      </w:r>
      <w:r>
        <w:rPr/>
        <w:t>in</w:t>
      </w:r>
      <w:r>
        <w:rPr>
          <w:spacing w:val="-7"/>
        </w:rPr>
        <w:t> </w:t>
      </w:r>
      <w:r>
        <w:rPr/>
        <w:t>the same lands because they each may have occupied or otherwise used those lands prior to</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60" w:right="1621"/>
      </w:pPr>
      <w:r>
        <w:rPr/>
        <w:t>relocation</w:t>
      </w:r>
      <w:r>
        <w:rPr>
          <w:spacing w:val="-8"/>
        </w:rPr>
        <w:t> </w:t>
      </w:r>
      <w:r>
        <w:rPr/>
        <w:t>on</w:t>
      </w:r>
      <w:r>
        <w:rPr>
          <w:spacing w:val="-6"/>
        </w:rPr>
        <w:t> </w:t>
      </w:r>
      <w:r>
        <w:rPr/>
        <w:t>reservations.</w:t>
      </w:r>
      <w:r>
        <w:rPr>
          <w:spacing w:val="-8"/>
        </w:rPr>
        <w:t> </w:t>
      </w:r>
      <w:r>
        <w:rPr/>
        <w:t>These</w:t>
      </w:r>
      <w:r>
        <w:rPr>
          <w:spacing w:val="-5"/>
        </w:rPr>
        <w:t> </w:t>
      </w:r>
      <w:r>
        <w:rPr/>
        <w:t>factors</w:t>
      </w:r>
      <w:r>
        <w:rPr>
          <w:spacing w:val="-6"/>
        </w:rPr>
        <w:t> </w:t>
      </w:r>
      <w:r>
        <w:rPr/>
        <w:t>and</w:t>
      </w:r>
      <w:r>
        <w:rPr>
          <w:spacing w:val="-8"/>
        </w:rPr>
        <w:t> </w:t>
      </w:r>
      <w:r>
        <w:rPr/>
        <w:t>others</w:t>
      </w:r>
      <w:r>
        <w:rPr>
          <w:spacing w:val="-6"/>
        </w:rPr>
        <w:t> </w:t>
      </w:r>
      <w:r>
        <w:rPr/>
        <w:t>result</w:t>
      </w:r>
      <w:r>
        <w:rPr>
          <w:spacing w:val="-5"/>
        </w:rPr>
        <w:t> </w:t>
      </w:r>
      <w:r>
        <w:rPr/>
        <w:t>in</w:t>
      </w:r>
      <w:r>
        <w:rPr>
          <w:spacing w:val="-6"/>
        </w:rPr>
        <w:t> </w:t>
      </w:r>
      <w:r>
        <w:rPr/>
        <w:t>unique</w:t>
      </w:r>
      <w:r>
        <w:rPr>
          <w:spacing w:val="-5"/>
        </w:rPr>
        <w:t> </w:t>
      </w:r>
      <w:r>
        <w:rPr/>
        <w:t>relationships</w:t>
      </w:r>
      <w:r>
        <w:rPr>
          <w:spacing w:val="-7"/>
        </w:rPr>
        <w:t> </w:t>
      </w:r>
      <w:r>
        <w:rPr/>
        <w:t>with</w:t>
      </w:r>
      <w:r>
        <w:rPr>
          <w:spacing w:val="-6"/>
        </w:rPr>
        <w:t> </w:t>
      </w:r>
      <w:r>
        <w:rPr/>
        <w:t>each </w:t>
      </w:r>
      <w:r>
        <w:rPr>
          <w:spacing w:val="-2"/>
        </w:rPr>
        <w:t>Tribe.</w:t>
      </w:r>
    </w:p>
    <w:p>
      <w:pPr>
        <w:pStyle w:val="BodyText"/>
        <w:spacing w:line="232" w:lineRule="auto" w:before="199"/>
        <w:ind w:left="359" w:right="1621"/>
      </w:pPr>
      <w:r>
        <w:rPr/>
        <w:t>Tribes have reserved rights and privileges for their Tribal members on any off-site reservation lands ceded through executive orders to the United States Government. The Forest Service manages some of those off-reservation lands ceded through executive orders. Therefore, the agency has certain legal responsibilities to American Indian Tribes. The Forest Service is required to manage the lands under their stewardship with full consideration of the Federal trust</w:t>
      </w:r>
      <w:r>
        <w:rPr>
          <w:spacing w:val="-6"/>
        </w:rPr>
        <w:t> </w:t>
      </w:r>
      <w:r>
        <w:rPr/>
        <w:t>responsibility</w:t>
      </w:r>
      <w:r>
        <w:rPr>
          <w:spacing w:val="-6"/>
        </w:rPr>
        <w:t> </w:t>
      </w:r>
      <w:r>
        <w:rPr/>
        <w:t>and</w:t>
      </w:r>
      <w:r>
        <w:rPr>
          <w:spacing w:val="-8"/>
        </w:rPr>
        <w:t> </w:t>
      </w:r>
      <w:r>
        <w:rPr/>
        <w:t>Tribal</w:t>
      </w:r>
      <w:r>
        <w:rPr>
          <w:spacing w:val="-7"/>
        </w:rPr>
        <w:t> </w:t>
      </w:r>
      <w:r>
        <w:rPr/>
        <w:t>rights</w:t>
      </w:r>
      <w:r>
        <w:rPr>
          <w:spacing w:val="-7"/>
        </w:rPr>
        <w:t> </w:t>
      </w:r>
      <w:r>
        <w:rPr/>
        <w:t>and</w:t>
      </w:r>
      <w:r>
        <w:rPr>
          <w:spacing w:val="-8"/>
        </w:rPr>
        <w:t> </w:t>
      </w:r>
      <w:r>
        <w:rPr/>
        <w:t>interests,</w:t>
      </w:r>
      <w:r>
        <w:rPr>
          <w:spacing w:val="-9"/>
        </w:rPr>
        <w:t> </w:t>
      </w:r>
      <w:r>
        <w:rPr/>
        <w:t>particularly</w:t>
      </w:r>
      <w:r>
        <w:rPr>
          <w:spacing w:val="-6"/>
        </w:rPr>
        <w:t> </w:t>
      </w:r>
      <w:r>
        <w:rPr/>
        <w:t>reserved</w:t>
      </w:r>
      <w:r>
        <w:rPr>
          <w:spacing w:val="-8"/>
        </w:rPr>
        <w:t> </w:t>
      </w:r>
      <w:r>
        <w:rPr/>
        <w:t>rights</w:t>
      </w:r>
      <w:r>
        <w:rPr>
          <w:spacing w:val="-9"/>
        </w:rPr>
        <w:t> </w:t>
      </w:r>
      <w:r>
        <w:rPr/>
        <w:t>where</w:t>
      </w:r>
      <w:r>
        <w:rPr>
          <w:spacing w:val="-6"/>
        </w:rPr>
        <w:t> </w:t>
      </w:r>
      <w:r>
        <w:rPr/>
        <w:t>they</w:t>
      </w:r>
      <w:r>
        <w:rPr>
          <w:spacing w:val="-8"/>
        </w:rPr>
        <w:t> </w:t>
      </w:r>
      <w:r>
        <w:rPr/>
        <w:t>exist. In meeting these responsibilities, the agency consults with the Tribes whenever proposed policies or management actions may affect their interests. American Indian access to sites is protected</w:t>
      </w:r>
      <w:r>
        <w:rPr>
          <w:spacing w:val="-5"/>
        </w:rPr>
        <w:t> </w:t>
      </w:r>
      <w:r>
        <w:rPr/>
        <w:t>as</w:t>
      </w:r>
      <w:r>
        <w:rPr>
          <w:spacing w:val="-4"/>
        </w:rPr>
        <w:t> </w:t>
      </w:r>
      <w:r>
        <w:rPr/>
        <w:t>well</w:t>
      </w:r>
      <w:r>
        <w:rPr>
          <w:spacing w:val="-4"/>
        </w:rPr>
        <w:t> </w:t>
      </w:r>
      <w:r>
        <w:rPr/>
        <w:t>as</w:t>
      </w:r>
      <w:r>
        <w:rPr>
          <w:spacing w:val="-6"/>
        </w:rPr>
        <w:t> </w:t>
      </w:r>
      <w:r>
        <w:rPr/>
        <w:t>the</w:t>
      </w:r>
      <w:r>
        <w:rPr>
          <w:spacing w:val="-3"/>
        </w:rPr>
        <w:t> </w:t>
      </w:r>
      <w:r>
        <w:rPr/>
        <w:t>use</w:t>
      </w:r>
      <w:r>
        <w:rPr>
          <w:spacing w:val="-3"/>
        </w:rPr>
        <w:t> </w:t>
      </w:r>
      <w:r>
        <w:rPr/>
        <w:t>and</w:t>
      </w:r>
      <w:r>
        <w:rPr>
          <w:spacing w:val="-5"/>
        </w:rPr>
        <w:t> </w:t>
      </w:r>
      <w:r>
        <w:rPr/>
        <w:t>possession</w:t>
      </w:r>
      <w:r>
        <w:rPr>
          <w:spacing w:val="-7"/>
        </w:rPr>
        <w:t> </w:t>
      </w:r>
      <w:r>
        <w:rPr/>
        <w:t>of</w:t>
      </w:r>
      <w:r>
        <w:rPr>
          <w:spacing w:val="-4"/>
        </w:rPr>
        <w:t> </w:t>
      </w:r>
      <w:r>
        <w:rPr/>
        <w:t>sacred</w:t>
      </w:r>
      <w:r>
        <w:rPr>
          <w:spacing w:val="-7"/>
        </w:rPr>
        <w:t> </w:t>
      </w:r>
      <w:r>
        <w:rPr/>
        <w:t>objects,</w:t>
      </w:r>
      <w:r>
        <w:rPr>
          <w:spacing w:val="-4"/>
        </w:rPr>
        <w:t> </w:t>
      </w:r>
      <w:r>
        <w:rPr/>
        <w:t>the</w:t>
      </w:r>
      <w:r>
        <w:rPr>
          <w:spacing w:val="-3"/>
        </w:rPr>
        <w:t> </w:t>
      </w:r>
      <w:r>
        <w:rPr/>
        <w:t>freedom</w:t>
      </w:r>
      <w:r>
        <w:rPr>
          <w:spacing w:val="-5"/>
        </w:rPr>
        <w:t> </w:t>
      </w:r>
      <w:r>
        <w:rPr/>
        <w:t>to</w:t>
      </w:r>
      <w:r>
        <w:rPr>
          <w:spacing w:val="-5"/>
        </w:rPr>
        <w:t> </w:t>
      </w:r>
      <w:r>
        <w:rPr/>
        <w:t>worship</w:t>
      </w:r>
      <w:r>
        <w:rPr>
          <w:spacing w:val="-5"/>
        </w:rPr>
        <w:t> </w:t>
      </w:r>
      <w:r>
        <w:rPr/>
        <w:t>through ceremonial and traditional rites, and collection of native plant and animal resources for traditional cultural purposes. Appropriate protection of these areas is coordinated with the leaders of the Tribes. On some occasions, access or use by the public may be temporarily denied</w:t>
      </w:r>
      <w:r>
        <w:rPr>
          <w:spacing w:val="-2"/>
        </w:rPr>
        <w:t> </w:t>
      </w:r>
      <w:r>
        <w:rPr/>
        <w:t>to</w:t>
      </w:r>
      <w:r>
        <w:rPr>
          <w:spacing w:val="-2"/>
        </w:rPr>
        <w:t> </w:t>
      </w:r>
      <w:r>
        <w:rPr/>
        <w:t>allow Tribal</w:t>
      </w:r>
      <w:r>
        <w:rPr>
          <w:spacing w:val="-3"/>
        </w:rPr>
        <w:t> </w:t>
      </w:r>
      <w:r>
        <w:rPr/>
        <w:t>members</w:t>
      </w:r>
      <w:r>
        <w:rPr>
          <w:spacing w:val="-1"/>
        </w:rPr>
        <w:t> </w:t>
      </w:r>
      <w:r>
        <w:rPr/>
        <w:t>to</w:t>
      </w:r>
      <w:r>
        <w:rPr>
          <w:spacing w:val="-2"/>
        </w:rPr>
        <w:t> </w:t>
      </w:r>
      <w:r>
        <w:rPr/>
        <w:t>exercise</w:t>
      </w:r>
      <w:r>
        <w:rPr>
          <w:spacing w:val="-3"/>
        </w:rPr>
        <w:t> </w:t>
      </w:r>
      <w:r>
        <w:rPr/>
        <w:t>their</w:t>
      </w:r>
      <w:r>
        <w:rPr>
          <w:spacing w:val="-3"/>
        </w:rPr>
        <w:t> </w:t>
      </w:r>
      <w:r>
        <w:rPr/>
        <w:t>reserved</w:t>
      </w:r>
      <w:r>
        <w:rPr>
          <w:spacing w:val="-2"/>
        </w:rPr>
        <w:t> </w:t>
      </w:r>
      <w:r>
        <w:rPr/>
        <w:t>rights</w:t>
      </w:r>
      <w:r>
        <w:rPr>
          <w:spacing w:val="-1"/>
        </w:rPr>
        <w:t> </w:t>
      </w:r>
      <w:r>
        <w:rPr/>
        <w:t>in</w:t>
      </w:r>
      <w:r>
        <w:rPr>
          <w:spacing w:val="-2"/>
        </w:rPr>
        <w:t> </w:t>
      </w:r>
      <w:r>
        <w:rPr/>
        <w:t>privacy and</w:t>
      </w:r>
      <w:r>
        <w:rPr>
          <w:spacing w:val="-2"/>
        </w:rPr>
        <w:t> </w:t>
      </w:r>
      <w:r>
        <w:rPr/>
        <w:t>solitude.</w:t>
      </w:r>
      <w:r>
        <w:rPr>
          <w:spacing w:val="-1"/>
        </w:rPr>
        <w:t> </w:t>
      </w:r>
      <w:r>
        <w:rPr/>
        <w:t>When such uses or temporary closures occur, participating Tribal members are typically required to verify their membership in a federally recognized tribe.</w:t>
      </w:r>
    </w:p>
    <w:p>
      <w:pPr>
        <w:pStyle w:val="BodyText"/>
        <w:spacing w:line="232" w:lineRule="auto" w:before="192"/>
        <w:ind w:left="359" w:right="1148"/>
      </w:pPr>
      <w:r>
        <w:rPr/>
        <w:t>While</w:t>
      </w:r>
      <w:r>
        <w:rPr>
          <w:spacing w:val="-3"/>
        </w:rPr>
        <w:t> </w:t>
      </w:r>
      <w:r>
        <w:rPr/>
        <w:t>this</w:t>
      </w:r>
      <w:r>
        <w:rPr>
          <w:spacing w:val="-6"/>
        </w:rPr>
        <w:t> </w:t>
      </w:r>
      <w:r>
        <w:rPr/>
        <w:t>Plan</w:t>
      </w:r>
      <w:r>
        <w:rPr>
          <w:spacing w:val="-5"/>
        </w:rPr>
        <w:t> </w:t>
      </w:r>
      <w:r>
        <w:rPr/>
        <w:t>does</w:t>
      </w:r>
      <w:r>
        <w:rPr>
          <w:spacing w:val="-4"/>
        </w:rPr>
        <w:t> </w:t>
      </w:r>
      <w:r>
        <w:rPr/>
        <w:t>not</w:t>
      </w:r>
      <w:r>
        <w:rPr>
          <w:spacing w:val="-6"/>
        </w:rPr>
        <w:t> </w:t>
      </w:r>
      <w:r>
        <w:rPr/>
        <w:t>attempt</w:t>
      </w:r>
      <w:r>
        <w:rPr>
          <w:spacing w:val="-3"/>
        </w:rPr>
        <w:t> </w:t>
      </w:r>
      <w:r>
        <w:rPr/>
        <w:t>to</w:t>
      </w:r>
      <w:r>
        <w:rPr>
          <w:spacing w:val="-3"/>
        </w:rPr>
        <w:t> </w:t>
      </w:r>
      <w:r>
        <w:rPr/>
        <w:t>define</w:t>
      </w:r>
      <w:r>
        <w:rPr>
          <w:spacing w:val="-3"/>
        </w:rPr>
        <w:t> </w:t>
      </w:r>
      <w:r>
        <w:rPr/>
        <w:t>the</w:t>
      </w:r>
      <w:r>
        <w:rPr>
          <w:spacing w:val="-6"/>
        </w:rPr>
        <w:t> </w:t>
      </w:r>
      <w:r>
        <w:rPr/>
        <w:t>legal</w:t>
      </w:r>
      <w:r>
        <w:rPr>
          <w:spacing w:val="-7"/>
        </w:rPr>
        <w:t> </w:t>
      </w:r>
      <w:r>
        <w:rPr/>
        <w:t>obligations</w:t>
      </w:r>
      <w:r>
        <w:rPr>
          <w:spacing w:val="-4"/>
        </w:rPr>
        <w:t> </w:t>
      </w:r>
      <w:r>
        <w:rPr/>
        <w:t>of</w:t>
      </w:r>
      <w:r>
        <w:rPr>
          <w:spacing w:val="-6"/>
        </w:rPr>
        <w:t> </w:t>
      </w:r>
      <w:r>
        <w:rPr/>
        <w:t>the</w:t>
      </w:r>
      <w:r>
        <w:rPr>
          <w:spacing w:val="-3"/>
        </w:rPr>
        <w:t> </w:t>
      </w:r>
      <w:r>
        <w:rPr/>
        <w:t>Forest</w:t>
      </w:r>
      <w:r>
        <w:rPr>
          <w:spacing w:val="-3"/>
        </w:rPr>
        <w:t> </w:t>
      </w:r>
      <w:r>
        <w:rPr/>
        <w:t>Service</w:t>
      </w:r>
      <w:r>
        <w:rPr>
          <w:spacing w:val="-3"/>
        </w:rPr>
        <w:t> </w:t>
      </w:r>
      <w:r>
        <w:rPr/>
        <w:t>under</w:t>
      </w:r>
      <w:r>
        <w:rPr>
          <w:spacing w:val="-6"/>
        </w:rPr>
        <w:t> </w:t>
      </w:r>
      <w:r>
        <w:rPr/>
        <w:t>the Federal trust responsibility,</w:t>
      </w:r>
      <w:r>
        <w:rPr>
          <w:spacing w:val="-1"/>
        </w:rPr>
        <w:t> </w:t>
      </w:r>
      <w:r>
        <w:rPr/>
        <w:t>the</w:t>
      </w:r>
      <w:r>
        <w:rPr>
          <w:spacing w:val="-1"/>
        </w:rPr>
        <w:t> </w:t>
      </w:r>
      <w:r>
        <w:rPr/>
        <w:t>Plan reflects</w:t>
      </w:r>
      <w:r>
        <w:rPr>
          <w:spacing w:val="-1"/>
        </w:rPr>
        <w:t> </w:t>
      </w:r>
      <w:r>
        <w:rPr/>
        <w:t>a commitment,</w:t>
      </w:r>
      <w:r>
        <w:rPr>
          <w:spacing w:val="-1"/>
        </w:rPr>
        <w:t> </w:t>
      </w:r>
      <w:r>
        <w:rPr/>
        <w:t>whether</w:t>
      </w:r>
      <w:r>
        <w:rPr>
          <w:spacing w:val="-1"/>
        </w:rPr>
        <w:t> </w:t>
      </w:r>
      <w:r>
        <w:rPr/>
        <w:t>as a legal obligation or a matter of policy, to address Tribal concerns and interests.</w:t>
      </w:r>
    </w:p>
    <w:p>
      <w:pPr>
        <w:pStyle w:val="BodyText"/>
        <w:spacing w:line="232" w:lineRule="auto" w:before="200"/>
        <w:ind w:left="359" w:right="1445"/>
      </w:pPr>
      <w:r>
        <w:rPr/>
        <w:t>Further, the Plan reflects consideration of Federal legal responsibilities to both Tribes and American</w:t>
      </w:r>
      <w:r>
        <w:rPr>
          <w:spacing w:val="-8"/>
        </w:rPr>
        <w:t> </w:t>
      </w:r>
      <w:r>
        <w:rPr/>
        <w:t>Indian</w:t>
      </w:r>
      <w:r>
        <w:rPr>
          <w:spacing w:val="-8"/>
        </w:rPr>
        <w:t> </w:t>
      </w:r>
      <w:r>
        <w:rPr/>
        <w:t>people</w:t>
      </w:r>
      <w:r>
        <w:rPr>
          <w:spacing w:val="-6"/>
        </w:rPr>
        <w:t> </w:t>
      </w:r>
      <w:r>
        <w:rPr/>
        <w:t>as</w:t>
      </w:r>
      <w:r>
        <w:rPr>
          <w:spacing w:val="-8"/>
        </w:rPr>
        <w:t> </w:t>
      </w:r>
      <w:r>
        <w:rPr/>
        <w:t>expressed</w:t>
      </w:r>
      <w:r>
        <w:rPr>
          <w:spacing w:val="-9"/>
        </w:rPr>
        <w:t> </w:t>
      </w:r>
      <w:r>
        <w:rPr/>
        <w:t>through</w:t>
      </w:r>
      <w:r>
        <w:rPr>
          <w:spacing w:val="-8"/>
        </w:rPr>
        <w:t> </w:t>
      </w:r>
      <w:r>
        <w:rPr/>
        <w:t>executive</w:t>
      </w:r>
      <w:r>
        <w:rPr>
          <w:spacing w:val="-6"/>
        </w:rPr>
        <w:t> </w:t>
      </w:r>
      <w:r>
        <w:rPr/>
        <w:t>order,</w:t>
      </w:r>
      <w:r>
        <w:rPr>
          <w:spacing w:val="-7"/>
        </w:rPr>
        <w:t> </w:t>
      </w:r>
      <w:r>
        <w:rPr/>
        <w:t>Federal</w:t>
      </w:r>
      <w:r>
        <w:rPr>
          <w:spacing w:val="-7"/>
        </w:rPr>
        <w:t> </w:t>
      </w:r>
      <w:r>
        <w:rPr/>
        <w:t>laws</w:t>
      </w:r>
      <w:r>
        <w:rPr>
          <w:spacing w:val="-8"/>
        </w:rPr>
        <w:t> </w:t>
      </w:r>
      <w:r>
        <w:rPr/>
        <w:t>(such</w:t>
      </w:r>
      <w:r>
        <w:rPr>
          <w:spacing w:val="-9"/>
        </w:rPr>
        <w:t> </w:t>
      </w:r>
      <w:r>
        <w:rPr/>
        <w:t>as</w:t>
      </w:r>
      <w:r>
        <w:rPr>
          <w:spacing w:val="-7"/>
        </w:rPr>
        <w:t> </w:t>
      </w:r>
      <w:r>
        <w:rPr/>
        <w:t>Civil</w:t>
      </w:r>
      <w:r>
        <w:rPr>
          <w:spacing w:val="-8"/>
        </w:rPr>
        <w:t> </w:t>
      </w:r>
      <w:r>
        <w:rPr/>
        <w:t>Rights Act, National Environmental Policy Act (NEPA), National Historic Preservation Act, and Native American Graves Protection and Repatriation Act), executive orders, and Federal court </w:t>
      </w:r>
      <w:r>
        <w:rPr>
          <w:spacing w:val="-2"/>
        </w:rPr>
        <w:t>judgments.</w:t>
      </w:r>
    </w:p>
    <w:p>
      <w:pPr>
        <w:pStyle w:val="BodyText"/>
        <w:spacing w:line="232" w:lineRule="auto" w:before="198"/>
        <w:ind w:left="359" w:right="1621"/>
      </w:pPr>
      <w:r>
        <w:rPr/>
        <w:t>More specifically, government-to-government consultation is ongoing between the Forest Service</w:t>
      </w:r>
      <w:r>
        <w:rPr>
          <w:spacing w:val="-6"/>
        </w:rPr>
        <w:t> </w:t>
      </w:r>
      <w:r>
        <w:rPr/>
        <w:t>and</w:t>
      </w:r>
      <w:r>
        <w:rPr>
          <w:spacing w:val="-8"/>
        </w:rPr>
        <w:t> </w:t>
      </w:r>
      <w:r>
        <w:rPr/>
        <w:t>the</w:t>
      </w:r>
      <w:r>
        <w:rPr>
          <w:spacing w:val="-8"/>
        </w:rPr>
        <w:t> </w:t>
      </w:r>
      <w:r>
        <w:rPr/>
        <w:t>Confederated</w:t>
      </w:r>
      <w:r>
        <w:rPr>
          <w:spacing w:val="-8"/>
        </w:rPr>
        <w:t> </w:t>
      </w:r>
      <w:r>
        <w:rPr/>
        <w:t>Tribes</w:t>
      </w:r>
      <w:r>
        <w:rPr>
          <w:spacing w:val="-8"/>
        </w:rPr>
        <w:t> </w:t>
      </w:r>
      <w:r>
        <w:rPr/>
        <w:t>of</w:t>
      </w:r>
      <w:r>
        <w:rPr>
          <w:spacing w:val="-7"/>
        </w:rPr>
        <w:t> </w:t>
      </w:r>
      <w:r>
        <w:rPr/>
        <w:t>the</w:t>
      </w:r>
      <w:r>
        <w:rPr>
          <w:spacing w:val="-6"/>
        </w:rPr>
        <w:t> </w:t>
      </w:r>
      <w:r>
        <w:rPr/>
        <w:t>Colville</w:t>
      </w:r>
      <w:r>
        <w:rPr>
          <w:spacing w:val="-6"/>
        </w:rPr>
        <w:t> </w:t>
      </w:r>
      <w:r>
        <w:rPr/>
        <w:t>Reservation,</w:t>
      </w:r>
      <w:r>
        <w:rPr>
          <w:spacing w:val="-8"/>
        </w:rPr>
        <w:t> </w:t>
      </w:r>
      <w:r>
        <w:rPr/>
        <w:t>the</w:t>
      </w:r>
      <w:r>
        <w:rPr>
          <w:spacing w:val="-6"/>
        </w:rPr>
        <w:t> </w:t>
      </w:r>
      <w:r>
        <w:rPr/>
        <w:t>Kalispel</w:t>
      </w:r>
      <w:r>
        <w:rPr>
          <w:spacing w:val="-7"/>
        </w:rPr>
        <w:t> </w:t>
      </w:r>
      <w:r>
        <w:rPr/>
        <w:t>Tribe</w:t>
      </w:r>
      <w:r>
        <w:rPr>
          <w:spacing w:val="-8"/>
        </w:rPr>
        <w:t> </w:t>
      </w:r>
      <w:r>
        <w:rPr/>
        <w:t>of</w:t>
      </w:r>
      <w:r>
        <w:rPr>
          <w:spacing w:val="-7"/>
        </w:rPr>
        <w:t> </w:t>
      </w:r>
      <w:r>
        <w:rPr/>
        <w:t>Indians, and the Spokane Tribe of Indians.</w:t>
      </w:r>
    </w:p>
    <w:p>
      <w:pPr>
        <w:pStyle w:val="BodyText"/>
        <w:spacing w:before="191"/>
        <w:ind w:left="359"/>
      </w:pPr>
      <w:r>
        <w:rPr/>
        <w:t>The</w:t>
      </w:r>
      <w:r>
        <w:rPr>
          <w:spacing w:val="-5"/>
        </w:rPr>
        <w:t> </w:t>
      </w:r>
      <w:r>
        <w:rPr/>
        <w:t>tribes</w:t>
      </w:r>
      <w:r>
        <w:rPr>
          <w:spacing w:val="-7"/>
        </w:rPr>
        <w:t> </w:t>
      </w:r>
      <w:r>
        <w:rPr/>
        <w:t>and</w:t>
      </w:r>
      <w:r>
        <w:rPr>
          <w:spacing w:val="-6"/>
        </w:rPr>
        <w:t> </w:t>
      </w:r>
      <w:r>
        <w:rPr/>
        <w:t>Executive</w:t>
      </w:r>
      <w:r>
        <w:rPr>
          <w:spacing w:val="-8"/>
        </w:rPr>
        <w:t> </w:t>
      </w:r>
      <w:r>
        <w:rPr/>
        <w:t>orders</w:t>
      </w:r>
      <w:r>
        <w:rPr>
          <w:spacing w:val="-5"/>
        </w:rPr>
        <w:t> </w:t>
      </w:r>
      <w:r>
        <w:rPr/>
        <w:t>are</w:t>
      </w:r>
      <w:r>
        <w:rPr>
          <w:spacing w:val="-4"/>
        </w:rPr>
        <w:t> </w:t>
      </w:r>
      <w:r>
        <w:rPr/>
        <w:t>as</w:t>
      </w:r>
      <w:r>
        <w:rPr>
          <w:spacing w:val="-7"/>
        </w:rPr>
        <w:t> </w:t>
      </w:r>
      <w:r>
        <w:rPr>
          <w:spacing w:val="-2"/>
        </w:rPr>
        <w:t>follows:</w:t>
      </w:r>
    </w:p>
    <w:p>
      <w:pPr>
        <w:pStyle w:val="ListParagraph"/>
        <w:numPr>
          <w:ilvl w:val="0"/>
          <w:numId w:val="2"/>
        </w:numPr>
        <w:tabs>
          <w:tab w:pos="899" w:val="left" w:leader="none"/>
        </w:tabs>
        <w:spacing w:line="232" w:lineRule="auto" w:before="198" w:after="0"/>
        <w:ind w:left="899" w:right="2047" w:hanging="360"/>
        <w:jc w:val="left"/>
        <w:rPr>
          <w:sz w:val="22"/>
        </w:rPr>
      </w:pPr>
      <w:r>
        <w:rPr>
          <w:sz w:val="22"/>
        </w:rPr>
        <w:t>Confederated</w:t>
      </w:r>
      <w:r>
        <w:rPr>
          <w:spacing w:val="-9"/>
          <w:sz w:val="22"/>
        </w:rPr>
        <w:t> </w:t>
      </w:r>
      <w:r>
        <w:rPr>
          <w:sz w:val="22"/>
        </w:rPr>
        <w:t>Tribes</w:t>
      </w:r>
      <w:r>
        <w:rPr>
          <w:spacing w:val="-10"/>
          <w:sz w:val="22"/>
        </w:rPr>
        <w:t> </w:t>
      </w:r>
      <w:r>
        <w:rPr>
          <w:sz w:val="22"/>
        </w:rPr>
        <w:t>of</w:t>
      </w:r>
      <w:r>
        <w:rPr>
          <w:spacing w:val="-11"/>
          <w:sz w:val="22"/>
        </w:rPr>
        <w:t> </w:t>
      </w:r>
      <w:r>
        <w:rPr>
          <w:sz w:val="22"/>
        </w:rPr>
        <w:t>the</w:t>
      </w:r>
      <w:r>
        <w:rPr>
          <w:spacing w:val="-10"/>
          <w:sz w:val="22"/>
        </w:rPr>
        <w:t> </w:t>
      </w:r>
      <w:r>
        <w:rPr>
          <w:sz w:val="22"/>
        </w:rPr>
        <w:t>Colville</w:t>
      </w:r>
      <w:r>
        <w:rPr>
          <w:spacing w:val="-7"/>
          <w:sz w:val="22"/>
        </w:rPr>
        <w:t> </w:t>
      </w:r>
      <w:r>
        <w:rPr>
          <w:sz w:val="22"/>
        </w:rPr>
        <w:t>Reservation:</w:t>
      </w:r>
      <w:r>
        <w:rPr>
          <w:spacing w:val="-7"/>
          <w:sz w:val="22"/>
        </w:rPr>
        <w:t> </w:t>
      </w:r>
      <w:r>
        <w:rPr>
          <w:sz w:val="22"/>
        </w:rPr>
        <w:t>Executive</w:t>
      </w:r>
      <w:r>
        <w:rPr>
          <w:spacing w:val="-7"/>
          <w:sz w:val="22"/>
        </w:rPr>
        <w:t> </w:t>
      </w:r>
      <w:r>
        <w:rPr>
          <w:sz w:val="22"/>
        </w:rPr>
        <w:t>Order</w:t>
      </w:r>
      <w:r>
        <w:rPr>
          <w:spacing w:val="-10"/>
          <w:sz w:val="22"/>
        </w:rPr>
        <w:t> </w:t>
      </w:r>
      <w:r>
        <w:rPr>
          <w:sz w:val="22"/>
        </w:rPr>
        <w:t>of</w:t>
      </w:r>
      <w:r>
        <w:rPr>
          <w:spacing w:val="-11"/>
          <w:sz w:val="22"/>
        </w:rPr>
        <w:t> </w:t>
      </w:r>
      <w:r>
        <w:rPr>
          <w:sz w:val="22"/>
        </w:rPr>
        <w:t>1872;</w:t>
      </w:r>
      <w:r>
        <w:rPr>
          <w:spacing w:val="-7"/>
          <w:sz w:val="22"/>
        </w:rPr>
        <w:t> </w:t>
      </w:r>
      <w:r>
        <w:rPr>
          <w:sz w:val="22"/>
        </w:rPr>
        <w:t>North-Half Agreement of 1891</w:t>
      </w:r>
    </w:p>
    <w:p>
      <w:pPr>
        <w:pStyle w:val="ListParagraph"/>
        <w:numPr>
          <w:ilvl w:val="0"/>
          <w:numId w:val="2"/>
        </w:numPr>
        <w:tabs>
          <w:tab w:pos="899" w:val="left" w:leader="none"/>
        </w:tabs>
        <w:spacing w:line="240" w:lineRule="auto" w:before="111" w:after="0"/>
        <w:ind w:left="899" w:right="0" w:hanging="359"/>
        <w:jc w:val="left"/>
        <w:rPr>
          <w:sz w:val="22"/>
        </w:rPr>
      </w:pPr>
      <w:r>
        <w:rPr>
          <w:sz w:val="22"/>
        </w:rPr>
        <w:t>Kalispel</w:t>
      </w:r>
      <w:r>
        <w:rPr>
          <w:spacing w:val="-8"/>
          <w:sz w:val="22"/>
        </w:rPr>
        <w:t> </w:t>
      </w:r>
      <w:r>
        <w:rPr>
          <w:sz w:val="22"/>
        </w:rPr>
        <w:t>Tribe</w:t>
      </w:r>
      <w:r>
        <w:rPr>
          <w:spacing w:val="-9"/>
          <w:sz w:val="22"/>
        </w:rPr>
        <w:t> </w:t>
      </w:r>
      <w:r>
        <w:rPr>
          <w:sz w:val="22"/>
        </w:rPr>
        <w:t>of</w:t>
      </w:r>
      <w:r>
        <w:rPr>
          <w:spacing w:val="-7"/>
          <w:sz w:val="22"/>
        </w:rPr>
        <w:t> </w:t>
      </w:r>
      <w:r>
        <w:rPr>
          <w:sz w:val="22"/>
        </w:rPr>
        <w:t>Indians:</w:t>
      </w:r>
      <w:r>
        <w:rPr>
          <w:spacing w:val="-8"/>
          <w:sz w:val="22"/>
        </w:rPr>
        <w:t> </w:t>
      </w:r>
      <w:r>
        <w:rPr>
          <w:sz w:val="22"/>
        </w:rPr>
        <w:t>Executive</w:t>
      </w:r>
      <w:r>
        <w:rPr>
          <w:spacing w:val="-6"/>
          <w:sz w:val="22"/>
        </w:rPr>
        <w:t> </w:t>
      </w:r>
      <w:r>
        <w:rPr>
          <w:sz w:val="22"/>
        </w:rPr>
        <w:t>Order</w:t>
      </w:r>
      <w:r>
        <w:rPr>
          <w:spacing w:val="-9"/>
          <w:sz w:val="22"/>
        </w:rPr>
        <w:t> </w:t>
      </w:r>
      <w:r>
        <w:rPr>
          <w:sz w:val="22"/>
        </w:rPr>
        <w:t>of</w:t>
      </w:r>
      <w:r>
        <w:rPr>
          <w:spacing w:val="-7"/>
          <w:sz w:val="22"/>
        </w:rPr>
        <w:t> </w:t>
      </w:r>
      <w:r>
        <w:rPr>
          <w:spacing w:val="-4"/>
          <w:sz w:val="22"/>
        </w:rPr>
        <w:t>1914</w:t>
      </w:r>
    </w:p>
    <w:p>
      <w:pPr>
        <w:pStyle w:val="ListParagraph"/>
        <w:numPr>
          <w:ilvl w:val="0"/>
          <w:numId w:val="2"/>
        </w:numPr>
        <w:tabs>
          <w:tab w:pos="899" w:val="left" w:leader="none"/>
        </w:tabs>
        <w:spacing w:line="240" w:lineRule="auto" w:before="113" w:after="0"/>
        <w:ind w:left="899" w:right="0" w:hanging="359"/>
        <w:jc w:val="left"/>
        <w:rPr>
          <w:sz w:val="22"/>
        </w:rPr>
      </w:pPr>
      <w:r>
        <w:rPr>
          <w:sz w:val="22"/>
        </w:rPr>
        <w:t>Spokane</w:t>
      </w:r>
      <w:r>
        <w:rPr>
          <w:spacing w:val="-7"/>
          <w:sz w:val="22"/>
        </w:rPr>
        <w:t> </w:t>
      </w:r>
      <w:r>
        <w:rPr>
          <w:sz w:val="22"/>
        </w:rPr>
        <w:t>Tribe</w:t>
      </w:r>
      <w:r>
        <w:rPr>
          <w:spacing w:val="-8"/>
          <w:sz w:val="22"/>
        </w:rPr>
        <w:t> </w:t>
      </w:r>
      <w:r>
        <w:rPr>
          <w:sz w:val="22"/>
        </w:rPr>
        <w:t>of</w:t>
      </w:r>
      <w:r>
        <w:rPr>
          <w:spacing w:val="-7"/>
          <w:sz w:val="22"/>
        </w:rPr>
        <w:t> </w:t>
      </w:r>
      <w:r>
        <w:rPr>
          <w:sz w:val="22"/>
        </w:rPr>
        <w:t>Indians:</w:t>
      </w:r>
      <w:r>
        <w:rPr>
          <w:spacing w:val="-8"/>
          <w:sz w:val="22"/>
        </w:rPr>
        <w:t> </w:t>
      </w:r>
      <w:r>
        <w:rPr>
          <w:sz w:val="22"/>
        </w:rPr>
        <w:t>Executive</w:t>
      </w:r>
      <w:r>
        <w:rPr>
          <w:spacing w:val="-8"/>
          <w:sz w:val="22"/>
        </w:rPr>
        <w:t> </w:t>
      </w:r>
      <w:r>
        <w:rPr>
          <w:sz w:val="22"/>
        </w:rPr>
        <w:t>Order</w:t>
      </w:r>
      <w:r>
        <w:rPr>
          <w:spacing w:val="-9"/>
          <w:sz w:val="22"/>
        </w:rPr>
        <w:t> </w:t>
      </w:r>
      <w:r>
        <w:rPr>
          <w:sz w:val="22"/>
        </w:rPr>
        <w:t>of</w:t>
      </w:r>
      <w:r>
        <w:rPr>
          <w:spacing w:val="-8"/>
          <w:sz w:val="22"/>
        </w:rPr>
        <w:t> </w:t>
      </w:r>
      <w:r>
        <w:rPr>
          <w:spacing w:val="-4"/>
          <w:sz w:val="22"/>
        </w:rPr>
        <w:t>1881</w:t>
      </w:r>
    </w:p>
    <w:p>
      <w:pPr>
        <w:pStyle w:val="Heading2"/>
        <w:spacing w:before="232"/>
      </w:pPr>
      <w:bookmarkStart w:name="Consistency with Plan Components" w:id="50"/>
      <w:bookmarkEnd w:id="50"/>
      <w:r>
        <w:rPr/>
      </w:r>
      <w:bookmarkStart w:name="_bookmark27" w:id="51"/>
      <w:bookmarkEnd w:id="51"/>
      <w:r>
        <w:rPr/>
      </w:r>
      <w:r>
        <w:rPr>
          <w:smallCaps/>
          <w:color w:val="475824"/>
        </w:rPr>
        <w:t>Consistency</w:t>
      </w:r>
      <w:r>
        <w:rPr>
          <w:smallCaps/>
          <w:color w:val="475824"/>
          <w:spacing w:val="-16"/>
        </w:rPr>
        <w:t> </w:t>
      </w:r>
      <w:r>
        <w:rPr>
          <w:smallCaps/>
          <w:color w:val="475824"/>
        </w:rPr>
        <w:t>with</w:t>
      </w:r>
      <w:r>
        <w:rPr>
          <w:smallCaps/>
          <w:color w:val="475824"/>
          <w:spacing w:val="-9"/>
        </w:rPr>
        <w:t> </w:t>
      </w:r>
      <w:r>
        <w:rPr>
          <w:smallCaps/>
          <w:color w:val="475824"/>
        </w:rPr>
        <w:t>Plan</w:t>
      </w:r>
      <w:r>
        <w:rPr>
          <w:smallCaps/>
          <w:color w:val="475824"/>
          <w:spacing w:val="-10"/>
        </w:rPr>
        <w:t> </w:t>
      </w:r>
      <w:r>
        <w:rPr>
          <w:smallCaps/>
          <w:color w:val="475824"/>
          <w:spacing w:val="-2"/>
        </w:rPr>
        <w:t>Components</w:t>
      </w:r>
    </w:p>
    <w:p>
      <w:pPr>
        <w:pStyle w:val="BodyText"/>
        <w:spacing w:line="232" w:lineRule="auto" w:before="65"/>
        <w:ind w:left="359" w:right="1445"/>
      </w:pPr>
      <w:r>
        <w:rPr/>
        <w:t>Under the National Forest Management Act (NFMA) of 1976, a project or activity must be consistent with plan components as follows and as described in the Consistency with Plan Components Appendix of this Plan. As projects and activities are planned, an interdisciplinary team</w:t>
      </w:r>
      <w:r>
        <w:rPr>
          <w:spacing w:val="-7"/>
        </w:rPr>
        <w:t> </w:t>
      </w:r>
      <w:r>
        <w:rPr/>
        <w:t>assesses</w:t>
      </w:r>
      <w:r>
        <w:rPr>
          <w:spacing w:val="-9"/>
        </w:rPr>
        <w:t> </w:t>
      </w:r>
      <w:r>
        <w:rPr/>
        <w:t>the</w:t>
      </w:r>
      <w:r>
        <w:rPr>
          <w:spacing w:val="-7"/>
        </w:rPr>
        <w:t> </w:t>
      </w:r>
      <w:r>
        <w:rPr/>
        <w:t>potential</w:t>
      </w:r>
      <w:r>
        <w:rPr>
          <w:spacing w:val="-8"/>
        </w:rPr>
        <w:t> </w:t>
      </w:r>
      <w:r>
        <w:rPr/>
        <w:t>environmental,</w:t>
      </w:r>
      <w:r>
        <w:rPr>
          <w:spacing w:val="-8"/>
        </w:rPr>
        <w:t> </w:t>
      </w:r>
      <w:r>
        <w:rPr/>
        <w:t>physical,</w:t>
      </w:r>
      <w:r>
        <w:rPr>
          <w:spacing w:val="-9"/>
        </w:rPr>
        <w:t> </w:t>
      </w:r>
      <w:r>
        <w:rPr/>
        <w:t>biological,</w:t>
      </w:r>
      <w:r>
        <w:rPr>
          <w:spacing w:val="-9"/>
        </w:rPr>
        <w:t> </w:t>
      </w:r>
      <w:r>
        <w:rPr/>
        <w:t>aesthetic,</w:t>
      </w:r>
      <w:r>
        <w:rPr>
          <w:spacing w:val="-8"/>
        </w:rPr>
        <w:t> </w:t>
      </w:r>
      <w:r>
        <w:rPr/>
        <w:t>cultural,</w:t>
      </w:r>
      <w:r>
        <w:rPr>
          <w:spacing w:val="-8"/>
        </w:rPr>
        <w:t> </w:t>
      </w:r>
      <w:r>
        <w:rPr/>
        <w:t>engineering, and economic impacts on the area.</w:t>
      </w:r>
    </w:p>
    <w:p>
      <w:pPr>
        <w:pStyle w:val="BodyText"/>
        <w:spacing w:line="232" w:lineRule="auto" w:before="197"/>
        <w:ind w:left="359" w:right="1073"/>
      </w:pPr>
      <w:r>
        <w:rPr/>
        <w:t>A</w:t>
      </w:r>
      <w:r>
        <w:rPr>
          <w:spacing w:val="-2"/>
        </w:rPr>
        <w:t> </w:t>
      </w:r>
      <w:r>
        <w:rPr/>
        <w:t>project</w:t>
      </w:r>
      <w:r>
        <w:rPr>
          <w:spacing w:val="-4"/>
        </w:rPr>
        <w:t> </w:t>
      </w:r>
      <w:r>
        <w:rPr/>
        <w:t>or</w:t>
      </w:r>
      <w:r>
        <w:rPr>
          <w:spacing w:val="-4"/>
        </w:rPr>
        <w:t> </w:t>
      </w:r>
      <w:r>
        <w:rPr/>
        <w:t>activity</w:t>
      </w:r>
      <w:r>
        <w:rPr>
          <w:spacing w:val="-3"/>
        </w:rPr>
        <w:t> </w:t>
      </w:r>
      <w:r>
        <w:rPr/>
        <w:t>must</w:t>
      </w:r>
      <w:r>
        <w:rPr>
          <w:spacing w:val="-1"/>
        </w:rPr>
        <w:t> </w:t>
      </w:r>
      <w:r>
        <w:rPr/>
        <w:t>be</w:t>
      </w:r>
      <w:r>
        <w:rPr>
          <w:spacing w:val="-1"/>
        </w:rPr>
        <w:t> </w:t>
      </w:r>
      <w:r>
        <w:rPr/>
        <w:t>consistent</w:t>
      </w:r>
      <w:r>
        <w:rPr>
          <w:spacing w:val="-4"/>
        </w:rPr>
        <w:t> </w:t>
      </w:r>
      <w:r>
        <w:rPr/>
        <w:t>with</w:t>
      </w:r>
      <w:r>
        <w:rPr>
          <w:spacing w:val="-3"/>
        </w:rPr>
        <w:t> </w:t>
      </w:r>
      <w:r>
        <w:rPr/>
        <w:t>the</w:t>
      </w:r>
      <w:r>
        <w:rPr>
          <w:spacing w:val="-1"/>
        </w:rPr>
        <w:t> </w:t>
      </w:r>
      <w:r>
        <w:rPr/>
        <w:t>plan</w:t>
      </w:r>
      <w:r>
        <w:rPr>
          <w:spacing w:val="-5"/>
        </w:rPr>
        <w:t> </w:t>
      </w:r>
      <w:r>
        <w:rPr/>
        <w:t>by</w:t>
      </w:r>
      <w:r>
        <w:rPr>
          <w:spacing w:val="-1"/>
        </w:rPr>
        <w:t> </w:t>
      </w:r>
      <w:r>
        <w:rPr/>
        <w:t>being</w:t>
      </w:r>
      <w:r>
        <w:rPr>
          <w:spacing w:val="-3"/>
        </w:rPr>
        <w:t> </w:t>
      </w:r>
      <w:r>
        <w:rPr/>
        <w:t>consistent</w:t>
      </w:r>
      <w:r>
        <w:rPr>
          <w:spacing w:val="-1"/>
        </w:rPr>
        <w:t> </w:t>
      </w:r>
      <w:r>
        <w:rPr/>
        <w:t>with</w:t>
      </w:r>
      <w:r>
        <w:rPr>
          <w:spacing w:val="-3"/>
        </w:rPr>
        <w:t> </w:t>
      </w:r>
      <w:r>
        <w:rPr/>
        <w:t>applicable</w:t>
      </w:r>
      <w:r>
        <w:rPr>
          <w:spacing w:val="-1"/>
        </w:rPr>
        <w:t> </w:t>
      </w:r>
      <w:r>
        <w:rPr/>
        <w:t>plan direction.</w:t>
      </w:r>
      <w:r>
        <w:rPr>
          <w:spacing w:val="-3"/>
        </w:rPr>
        <w:t> </w:t>
      </w:r>
      <w:r>
        <w:rPr/>
        <w:t>Direction</w:t>
      </w:r>
      <w:r>
        <w:rPr>
          <w:spacing w:val="-4"/>
        </w:rPr>
        <w:t> </w:t>
      </w:r>
      <w:r>
        <w:rPr/>
        <w:t>in</w:t>
      </w:r>
      <w:r>
        <w:rPr>
          <w:spacing w:val="-4"/>
        </w:rPr>
        <w:t> </w:t>
      </w:r>
      <w:r>
        <w:rPr/>
        <w:t>this</w:t>
      </w:r>
      <w:r>
        <w:rPr>
          <w:spacing w:val="-8"/>
        </w:rPr>
        <w:t> </w:t>
      </w:r>
      <w:r>
        <w:rPr/>
        <w:t>Plan</w:t>
      </w:r>
      <w:r>
        <w:rPr>
          <w:spacing w:val="-4"/>
        </w:rPr>
        <w:t> </w:t>
      </w:r>
      <w:r>
        <w:rPr/>
        <w:t>applies</w:t>
      </w:r>
      <w:r>
        <w:rPr>
          <w:spacing w:val="-3"/>
        </w:rPr>
        <w:t> </w:t>
      </w:r>
      <w:r>
        <w:rPr/>
        <w:t>to</w:t>
      </w:r>
      <w:r>
        <w:rPr>
          <w:spacing w:val="-2"/>
        </w:rPr>
        <w:t> </w:t>
      </w:r>
      <w:r>
        <w:rPr/>
        <w:t>all</w:t>
      </w:r>
      <w:r>
        <w:rPr>
          <w:spacing w:val="-6"/>
        </w:rPr>
        <w:t> </w:t>
      </w:r>
      <w:r>
        <w:rPr/>
        <w:t>projects</w:t>
      </w:r>
      <w:r>
        <w:rPr>
          <w:spacing w:val="-3"/>
        </w:rPr>
        <w:t> </w:t>
      </w:r>
      <w:r>
        <w:rPr/>
        <w:t>that</w:t>
      </w:r>
      <w:r>
        <w:rPr>
          <w:spacing w:val="-2"/>
        </w:rPr>
        <w:t> </w:t>
      </w:r>
      <w:r>
        <w:rPr/>
        <w:t>have</w:t>
      </w:r>
      <w:r>
        <w:rPr>
          <w:spacing w:val="-2"/>
        </w:rPr>
        <w:t> </w:t>
      </w:r>
      <w:r>
        <w:rPr/>
        <w:t>decisions</w:t>
      </w:r>
      <w:r>
        <w:rPr>
          <w:spacing w:val="-5"/>
        </w:rPr>
        <w:t> </w:t>
      </w:r>
      <w:r>
        <w:rPr/>
        <w:t>made</w:t>
      </w:r>
      <w:r>
        <w:rPr>
          <w:spacing w:val="-5"/>
        </w:rPr>
        <w:t> </w:t>
      </w:r>
      <w:r>
        <w:rPr/>
        <w:t>on</w:t>
      </w:r>
      <w:r>
        <w:rPr>
          <w:spacing w:val="-4"/>
        </w:rPr>
        <w:t> </w:t>
      </w:r>
      <w:r>
        <w:rPr/>
        <w:t>or</w:t>
      </w:r>
      <w:r>
        <w:rPr>
          <w:spacing w:val="-3"/>
        </w:rPr>
        <w:t> </w:t>
      </w:r>
      <w:r>
        <w:rPr/>
        <w:t>after</w:t>
      </w:r>
      <w:r>
        <w:rPr>
          <w:spacing w:val="-5"/>
        </w:rPr>
        <w:t> </w:t>
      </w:r>
      <w:r>
        <w:rPr/>
        <w:t>the</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783"/>
      </w:pPr>
      <w:r>
        <w:rPr/>
        <w:t>effective</w:t>
      </w:r>
      <w:r>
        <w:rPr>
          <w:spacing w:val="-5"/>
        </w:rPr>
        <w:t> </w:t>
      </w:r>
      <w:r>
        <w:rPr/>
        <w:t>date</w:t>
      </w:r>
      <w:r>
        <w:rPr>
          <w:spacing w:val="-7"/>
        </w:rPr>
        <w:t> </w:t>
      </w:r>
      <w:r>
        <w:rPr/>
        <w:t>of</w:t>
      </w:r>
      <w:r>
        <w:rPr>
          <w:spacing w:val="-6"/>
        </w:rPr>
        <w:t> </w:t>
      </w:r>
      <w:r>
        <w:rPr/>
        <w:t>the</w:t>
      </w:r>
      <w:r>
        <w:rPr>
          <w:spacing w:val="-5"/>
        </w:rPr>
        <w:t> </w:t>
      </w:r>
      <w:r>
        <w:rPr/>
        <w:t>final</w:t>
      </w:r>
      <w:r>
        <w:rPr>
          <w:spacing w:val="-6"/>
        </w:rPr>
        <w:t> </w:t>
      </w:r>
      <w:r>
        <w:rPr/>
        <w:t>record</w:t>
      </w:r>
      <w:r>
        <w:rPr>
          <w:spacing w:val="-8"/>
        </w:rPr>
        <w:t> </w:t>
      </w:r>
      <w:r>
        <w:rPr/>
        <w:t>of</w:t>
      </w:r>
      <w:r>
        <w:rPr>
          <w:spacing w:val="-6"/>
        </w:rPr>
        <w:t> </w:t>
      </w:r>
      <w:r>
        <w:rPr/>
        <w:t>decision</w:t>
      </w:r>
      <w:r>
        <w:rPr>
          <w:spacing w:val="-7"/>
        </w:rPr>
        <w:t> </w:t>
      </w:r>
      <w:r>
        <w:rPr/>
        <w:t>(ROD).</w:t>
      </w:r>
      <w:r>
        <w:rPr>
          <w:spacing w:val="-8"/>
        </w:rPr>
        <w:t> </w:t>
      </w:r>
      <w:r>
        <w:rPr/>
        <w:t>The</w:t>
      </w:r>
      <w:r>
        <w:rPr>
          <w:spacing w:val="-5"/>
        </w:rPr>
        <w:t> </w:t>
      </w:r>
      <w:r>
        <w:rPr/>
        <w:t>ROD</w:t>
      </w:r>
      <w:r>
        <w:rPr>
          <w:spacing w:val="-5"/>
        </w:rPr>
        <w:t> </w:t>
      </w:r>
      <w:r>
        <w:rPr/>
        <w:t>specifies</w:t>
      </w:r>
      <w:r>
        <w:rPr>
          <w:spacing w:val="-7"/>
        </w:rPr>
        <w:t> </w:t>
      </w:r>
      <w:r>
        <w:rPr/>
        <w:t>the</w:t>
      </w:r>
      <w:r>
        <w:rPr>
          <w:spacing w:val="-5"/>
        </w:rPr>
        <w:t> </w:t>
      </w:r>
      <w:r>
        <w:rPr/>
        <w:t>transition</w:t>
      </w:r>
      <w:r>
        <w:rPr>
          <w:spacing w:val="-7"/>
        </w:rPr>
        <w:t> </w:t>
      </w:r>
      <w:r>
        <w:rPr/>
        <w:t>strategy</w:t>
      </w:r>
      <w:r>
        <w:rPr>
          <w:spacing w:val="-5"/>
        </w:rPr>
        <w:t> </w:t>
      </w:r>
      <w:r>
        <w:rPr/>
        <w:t>for short- and long-term ongoing actions.</w:t>
      </w:r>
    </w:p>
    <w:p>
      <w:pPr>
        <w:pStyle w:val="BodyText"/>
        <w:spacing w:line="232" w:lineRule="auto" w:before="199"/>
        <w:ind w:left="1151" w:right="801"/>
      </w:pPr>
      <w:r>
        <w:rPr/>
        <w:t>Plans</w:t>
      </w:r>
      <w:r>
        <w:rPr>
          <w:spacing w:val="-5"/>
        </w:rPr>
        <w:t> </w:t>
      </w:r>
      <w:r>
        <w:rPr/>
        <w:t>also</w:t>
      </w:r>
      <w:r>
        <w:rPr>
          <w:spacing w:val="-4"/>
        </w:rPr>
        <w:t> </w:t>
      </w:r>
      <w:r>
        <w:rPr/>
        <w:t>contain</w:t>
      </w:r>
      <w:r>
        <w:rPr>
          <w:spacing w:val="-8"/>
        </w:rPr>
        <w:t> </w:t>
      </w:r>
      <w:r>
        <w:rPr/>
        <w:t>other</w:t>
      </w:r>
      <w:r>
        <w:rPr>
          <w:spacing w:val="-5"/>
        </w:rPr>
        <w:t> </w:t>
      </w:r>
      <w:r>
        <w:rPr/>
        <w:t>content</w:t>
      </w:r>
      <w:r>
        <w:rPr>
          <w:spacing w:val="-4"/>
        </w:rPr>
        <w:t> </w:t>
      </w:r>
      <w:r>
        <w:rPr/>
        <w:t>(see</w:t>
      </w:r>
      <w:r>
        <w:rPr>
          <w:spacing w:val="-4"/>
        </w:rPr>
        <w:t> </w:t>
      </w:r>
      <w:r>
        <w:rPr/>
        <w:t>the</w:t>
      </w:r>
      <w:r>
        <w:rPr>
          <w:spacing w:val="-4"/>
        </w:rPr>
        <w:t> </w:t>
      </w:r>
      <w:r>
        <w:rPr/>
        <w:t>“Other</w:t>
      </w:r>
      <w:r>
        <w:rPr>
          <w:spacing w:val="-7"/>
        </w:rPr>
        <w:t> </w:t>
      </w:r>
      <w:r>
        <w:rPr/>
        <w:t>Content”</w:t>
      </w:r>
      <w:r>
        <w:rPr>
          <w:spacing w:val="-3"/>
        </w:rPr>
        <w:t> </w:t>
      </w:r>
      <w:r>
        <w:rPr/>
        <w:t>section).</w:t>
      </w:r>
      <w:r>
        <w:rPr>
          <w:spacing w:val="-8"/>
        </w:rPr>
        <w:t> </w:t>
      </w:r>
      <w:r>
        <w:rPr/>
        <w:t>Projects</w:t>
      </w:r>
      <w:r>
        <w:rPr>
          <w:spacing w:val="-5"/>
        </w:rPr>
        <w:t> </w:t>
      </w:r>
      <w:r>
        <w:rPr/>
        <w:t>and</w:t>
      </w:r>
      <w:r>
        <w:rPr>
          <w:spacing w:val="-8"/>
        </w:rPr>
        <w:t> </w:t>
      </w:r>
      <w:r>
        <w:rPr/>
        <w:t>activities</w:t>
      </w:r>
      <w:r>
        <w:rPr>
          <w:spacing w:val="-5"/>
        </w:rPr>
        <w:t> </w:t>
      </w:r>
      <w:r>
        <w:rPr/>
        <w:t>are not required to be consistent with this other content.</w:t>
      </w:r>
    </w:p>
    <w:p>
      <w:pPr>
        <w:pStyle w:val="BodyText"/>
        <w:spacing w:line="232" w:lineRule="auto" w:before="199"/>
        <w:ind w:left="1151" w:right="1073"/>
      </w:pPr>
      <w:r>
        <w:rPr/>
        <w:t>Where</w:t>
      </w:r>
      <w:r>
        <w:rPr>
          <w:spacing w:val="-6"/>
        </w:rPr>
        <w:t> </w:t>
      </w:r>
      <w:r>
        <w:rPr/>
        <w:t>a</w:t>
      </w:r>
      <w:r>
        <w:rPr>
          <w:spacing w:val="-4"/>
        </w:rPr>
        <w:t> </w:t>
      </w:r>
      <w:r>
        <w:rPr/>
        <w:t>proposed</w:t>
      </w:r>
      <w:r>
        <w:rPr>
          <w:spacing w:val="-5"/>
        </w:rPr>
        <w:t> </w:t>
      </w:r>
      <w:r>
        <w:rPr/>
        <w:t>project</w:t>
      </w:r>
      <w:r>
        <w:rPr>
          <w:spacing w:val="-6"/>
        </w:rPr>
        <w:t> </w:t>
      </w:r>
      <w:r>
        <w:rPr/>
        <w:t>or</w:t>
      </w:r>
      <w:r>
        <w:rPr>
          <w:spacing w:val="-4"/>
        </w:rPr>
        <w:t> </w:t>
      </w:r>
      <w:r>
        <w:rPr/>
        <w:t>activity</w:t>
      </w:r>
      <w:r>
        <w:rPr>
          <w:spacing w:val="-3"/>
        </w:rPr>
        <w:t> </w:t>
      </w:r>
      <w:r>
        <w:rPr/>
        <w:t>would</w:t>
      </w:r>
      <w:r>
        <w:rPr>
          <w:spacing w:val="-5"/>
        </w:rPr>
        <w:t> </w:t>
      </w:r>
      <w:r>
        <w:rPr/>
        <w:t>not</w:t>
      </w:r>
      <w:r>
        <w:rPr>
          <w:spacing w:val="-3"/>
        </w:rPr>
        <w:t> </w:t>
      </w:r>
      <w:r>
        <w:rPr/>
        <w:t>be</w:t>
      </w:r>
      <w:r>
        <w:rPr>
          <w:spacing w:val="-6"/>
        </w:rPr>
        <w:t> </w:t>
      </w:r>
      <w:r>
        <w:rPr/>
        <w:t>consistent</w:t>
      </w:r>
      <w:r>
        <w:rPr>
          <w:spacing w:val="-6"/>
        </w:rPr>
        <w:t> </w:t>
      </w:r>
      <w:r>
        <w:rPr/>
        <w:t>with</w:t>
      </w:r>
      <w:r>
        <w:rPr>
          <w:spacing w:val="-5"/>
        </w:rPr>
        <w:t> </w:t>
      </w:r>
      <w:r>
        <w:rPr/>
        <w:t>a</w:t>
      </w:r>
      <w:r>
        <w:rPr>
          <w:spacing w:val="-4"/>
        </w:rPr>
        <w:t> </w:t>
      </w:r>
      <w:r>
        <w:rPr/>
        <w:t>plan</w:t>
      </w:r>
      <w:r>
        <w:rPr>
          <w:spacing w:val="-5"/>
        </w:rPr>
        <w:t> </w:t>
      </w:r>
      <w:r>
        <w:rPr/>
        <w:t>decision,</w:t>
      </w:r>
      <w:r>
        <w:rPr>
          <w:spacing w:val="-4"/>
        </w:rPr>
        <w:t> </w:t>
      </w:r>
      <w:r>
        <w:rPr/>
        <w:t>the responsible official has the following options:</w:t>
      </w:r>
    </w:p>
    <w:p>
      <w:pPr>
        <w:pStyle w:val="ListParagraph"/>
        <w:numPr>
          <w:ilvl w:val="0"/>
          <w:numId w:val="3"/>
        </w:numPr>
        <w:tabs>
          <w:tab w:pos="1691" w:val="left" w:leader="none"/>
        </w:tabs>
        <w:spacing w:line="240" w:lineRule="auto" w:before="193" w:after="0"/>
        <w:ind w:left="1691" w:right="0" w:hanging="359"/>
        <w:jc w:val="left"/>
        <w:rPr>
          <w:sz w:val="22"/>
        </w:rPr>
      </w:pPr>
      <w:r>
        <w:rPr>
          <w:sz w:val="22"/>
        </w:rPr>
        <w:t>To</w:t>
      </w:r>
      <w:r>
        <w:rPr>
          <w:spacing w:val="-8"/>
          <w:sz w:val="22"/>
        </w:rPr>
        <w:t> </w:t>
      </w:r>
      <w:r>
        <w:rPr>
          <w:sz w:val="22"/>
        </w:rPr>
        <w:t>modify</w:t>
      </w:r>
      <w:r>
        <w:rPr>
          <w:spacing w:val="-4"/>
          <w:sz w:val="22"/>
        </w:rPr>
        <w:t> </w:t>
      </w:r>
      <w:r>
        <w:rPr>
          <w:sz w:val="22"/>
        </w:rPr>
        <w:t>the</w:t>
      </w:r>
      <w:r>
        <w:rPr>
          <w:spacing w:val="-7"/>
          <w:sz w:val="22"/>
        </w:rPr>
        <w:t> </w:t>
      </w:r>
      <w:r>
        <w:rPr>
          <w:sz w:val="22"/>
        </w:rPr>
        <w:t>proposal</w:t>
      </w:r>
      <w:r>
        <w:rPr>
          <w:spacing w:val="-5"/>
          <w:sz w:val="22"/>
        </w:rPr>
        <w:t> </w:t>
      </w:r>
      <w:r>
        <w:rPr>
          <w:sz w:val="22"/>
        </w:rPr>
        <w:t>so</w:t>
      </w:r>
      <w:r>
        <w:rPr>
          <w:spacing w:val="-4"/>
          <w:sz w:val="22"/>
        </w:rPr>
        <w:t> </w:t>
      </w:r>
      <w:r>
        <w:rPr>
          <w:sz w:val="22"/>
        </w:rPr>
        <w:t>that</w:t>
      </w:r>
      <w:r>
        <w:rPr>
          <w:spacing w:val="-4"/>
          <w:sz w:val="22"/>
        </w:rPr>
        <w:t> </w:t>
      </w:r>
      <w:r>
        <w:rPr>
          <w:sz w:val="22"/>
        </w:rPr>
        <w:t>the</w:t>
      </w:r>
      <w:r>
        <w:rPr>
          <w:spacing w:val="-4"/>
          <w:sz w:val="22"/>
        </w:rPr>
        <w:t> </w:t>
      </w:r>
      <w:r>
        <w:rPr>
          <w:sz w:val="22"/>
        </w:rPr>
        <w:t>project</w:t>
      </w:r>
      <w:r>
        <w:rPr>
          <w:spacing w:val="-7"/>
          <w:sz w:val="22"/>
        </w:rPr>
        <w:t> </w:t>
      </w:r>
      <w:r>
        <w:rPr>
          <w:sz w:val="22"/>
        </w:rPr>
        <w:t>or</w:t>
      </w:r>
      <w:r>
        <w:rPr>
          <w:spacing w:val="-5"/>
          <w:sz w:val="22"/>
        </w:rPr>
        <w:t> </w:t>
      </w:r>
      <w:r>
        <w:rPr>
          <w:sz w:val="22"/>
        </w:rPr>
        <w:t>activity</w:t>
      </w:r>
      <w:r>
        <w:rPr>
          <w:spacing w:val="-8"/>
          <w:sz w:val="22"/>
        </w:rPr>
        <w:t> </w:t>
      </w:r>
      <w:r>
        <w:rPr>
          <w:sz w:val="22"/>
        </w:rPr>
        <w:t>will</w:t>
      </w:r>
      <w:r>
        <w:rPr>
          <w:spacing w:val="-5"/>
          <w:sz w:val="22"/>
        </w:rPr>
        <w:t> </w:t>
      </w:r>
      <w:r>
        <w:rPr>
          <w:sz w:val="22"/>
        </w:rPr>
        <w:t>be</w:t>
      </w:r>
      <w:r>
        <w:rPr>
          <w:spacing w:val="-4"/>
          <w:sz w:val="22"/>
        </w:rPr>
        <w:t> </w:t>
      </w:r>
      <w:r>
        <w:rPr>
          <w:spacing w:val="-2"/>
          <w:sz w:val="22"/>
        </w:rPr>
        <w:t>consistent;</w:t>
      </w:r>
    </w:p>
    <w:p>
      <w:pPr>
        <w:pStyle w:val="ListParagraph"/>
        <w:numPr>
          <w:ilvl w:val="0"/>
          <w:numId w:val="3"/>
        </w:numPr>
        <w:tabs>
          <w:tab w:pos="1691" w:val="left" w:leader="none"/>
        </w:tabs>
        <w:spacing w:line="240" w:lineRule="auto" w:before="110" w:after="0"/>
        <w:ind w:left="1691" w:right="0" w:hanging="359"/>
        <w:jc w:val="left"/>
        <w:rPr>
          <w:sz w:val="22"/>
        </w:rPr>
      </w:pPr>
      <w:r>
        <w:rPr>
          <w:sz w:val="22"/>
        </w:rPr>
        <w:t>To</w:t>
      </w:r>
      <w:r>
        <w:rPr>
          <w:spacing w:val="-10"/>
          <w:sz w:val="22"/>
        </w:rPr>
        <w:t> </w:t>
      </w:r>
      <w:r>
        <w:rPr>
          <w:sz w:val="22"/>
        </w:rPr>
        <w:t>reject</w:t>
      </w:r>
      <w:r>
        <w:rPr>
          <w:spacing w:val="-11"/>
          <w:sz w:val="22"/>
        </w:rPr>
        <w:t> </w:t>
      </w:r>
      <w:r>
        <w:rPr>
          <w:sz w:val="22"/>
        </w:rPr>
        <w:t>the</w:t>
      </w:r>
      <w:r>
        <w:rPr>
          <w:spacing w:val="-9"/>
          <w:sz w:val="22"/>
        </w:rPr>
        <w:t> </w:t>
      </w:r>
      <w:r>
        <w:rPr>
          <w:sz w:val="22"/>
        </w:rPr>
        <w:t>proposal;</w:t>
      </w:r>
      <w:r>
        <w:rPr>
          <w:spacing w:val="-9"/>
          <w:sz w:val="22"/>
        </w:rPr>
        <w:t> </w:t>
      </w:r>
      <w:r>
        <w:rPr>
          <w:spacing w:val="-5"/>
          <w:sz w:val="22"/>
        </w:rPr>
        <w:t>or</w:t>
      </w:r>
    </w:p>
    <w:p>
      <w:pPr>
        <w:pStyle w:val="ListParagraph"/>
        <w:numPr>
          <w:ilvl w:val="0"/>
          <w:numId w:val="3"/>
        </w:numPr>
        <w:tabs>
          <w:tab w:pos="1692" w:val="left" w:leader="none"/>
        </w:tabs>
        <w:spacing w:line="232" w:lineRule="auto" w:before="120" w:after="0"/>
        <w:ind w:left="1692" w:right="890" w:hanging="360"/>
        <w:jc w:val="left"/>
        <w:rPr>
          <w:sz w:val="22"/>
        </w:rPr>
      </w:pPr>
      <w:r>
        <w:rPr>
          <w:sz w:val="22"/>
        </w:rPr>
        <w:t>To</w:t>
      </w:r>
      <w:r>
        <w:rPr>
          <w:spacing w:val="-3"/>
          <w:sz w:val="22"/>
        </w:rPr>
        <w:t> </w:t>
      </w:r>
      <w:r>
        <w:rPr>
          <w:sz w:val="22"/>
        </w:rPr>
        <w:t>amend</w:t>
      </w:r>
      <w:r>
        <w:rPr>
          <w:spacing w:val="-5"/>
          <w:sz w:val="22"/>
        </w:rPr>
        <w:t> </w:t>
      </w:r>
      <w:r>
        <w:rPr>
          <w:sz w:val="22"/>
        </w:rPr>
        <w:t>the</w:t>
      </w:r>
      <w:r>
        <w:rPr>
          <w:spacing w:val="-3"/>
          <w:sz w:val="22"/>
        </w:rPr>
        <w:t> </w:t>
      </w:r>
      <w:r>
        <w:rPr>
          <w:sz w:val="22"/>
        </w:rPr>
        <w:t>plan</w:t>
      </w:r>
      <w:r>
        <w:rPr>
          <w:spacing w:val="-5"/>
          <w:sz w:val="22"/>
        </w:rPr>
        <w:t> </w:t>
      </w:r>
      <w:r>
        <w:rPr>
          <w:sz w:val="22"/>
        </w:rPr>
        <w:t>at</w:t>
      </w:r>
      <w:r>
        <w:rPr>
          <w:spacing w:val="-3"/>
          <w:sz w:val="22"/>
        </w:rPr>
        <w:t> </w:t>
      </w:r>
      <w:r>
        <w:rPr>
          <w:sz w:val="22"/>
        </w:rPr>
        <w:t>the</w:t>
      </w:r>
      <w:r>
        <w:rPr>
          <w:spacing w:val="-6"/>
          <w:sz w:val="22"/>
        </w:rPr>
        <w:t> </w:t>
      </w:r>
      <w:r>
        <w:rPr>
          <w:sz w:val="22"/>
        </w:rPr>
        <w:t>same</w:t>
      </w:r>
      <w:r>
        <w:rPr>
          <w:spacing w:val="-6"/>
          <w:sz w:val="22"/>
        </w:rPr>
        <w:t> </w:t>
      </w:r>
      <w:r>
        <w:rPr>
          <w:sz w:val="22"/>
        </w:rPr>
        <w:t>time</w:t>
      </w:r>
      <w:r>
        <w:rPr>
          <w:spacing w:val="-3"/>
          <w:sz w:val="22"/>
        </w:rPr>
        <w:t> </w:t>
      </w:r>
      <w:r>
        <w:rPr>
          <w:sz w:val="22"/>
        </w:rPr>
        <w:t>as</w:t>
      </w:r>
      <w:r>
        <w:rPr>
          <w:spacing w:val="-6"/>
          <w:sz w:val="22"/>
        </w:rPr>
        <w:t> </w:t>
      </w:r>
      <w:r>
        <w:rPr>
          <w:sz w:val="22"/>
        </w:rPr>
        <w:t>the</w:t>
      </w:r>
      <w:r>
        <w:rPr>
          <w:spacing w:val="-6"/>
          <w:sz w:val="22"/>
        </w:rPr>
        <w:t> </w:t>
      </w:r>
      <w:r>
        <w:rPr>
          <w:sz w:val="22"/>
        </w:rPr>
        <w:t>approval</w:t>
      </w:r>
      <w:r>
        <w:rPr>
          <w:spacing w:val="-7"/>
          <w:sz w:val="22"/>
        </w:rPr>
        <w:t> </w:t>
      </w:r>
      <w:r>
        <w:rPr>
          <w:sz w:val="22"/>
        </w:rPr>
        <w:t>of</w:t>
      </w:r>
      <w:r>
        <w:rPr>
          <w:spacing w:val="-4"/>
          <w:sz w:val="22"/>
        </w:rPr>
        <w:t> </w:t>
      </w:r>
      <w:r>
        <w:rPr>
          <w:sz w:val="22"/>
        </w:rPr>
        <w:t>the</w:t>
      </w:r>
      <w:r>
        <w:rPr>
          <w:spacing w:val="-3"/>
          <w:sz w:val="22"/>
        </w:rPr>
        <w:t> </w:t>
      </w:r>
      <w:r>
        <w:rPr>
          <w:sz w:val="22"/>
        </w:rPr>
        <w:t>project</w:t>
      </w:r>
      <w:r>
        <w:rPr>
          <w:spacing w:val="-6"/>
          <w:sz w:val="22"/>
        </w:rPr>
        <w:t> </w:t>
      </w:r>
      <w:r>
        <w:rPr>
          <w:sz w:val="22"/>
        </w:rPr>
        <w:t>or</w:t>
      </w:r>
      <w:r>
        <w:rPr>
          <w:spacing w:val="-4"/>
          <w:sz w:val="22"/>
        </w:rPr>
        <w:t> </w:t>
      </w:r>
      <w:r>
        <w:rPr>
          <w:sz w:val="22"/>
        </w:rPr>
        <w:t>activity</w:t>
      </w:r>
      <w:r>
        <w:rPr>
          <w:spacing w:val="-5"/>
          <w:sz w:val="22"/>
        </w:rPr>
        <w:t> </w:t>
      </w:r>
      <w:r>
        <w:rPr>
          <w:sz w:val="22"/>
        </w:rPr>
        <w:t>so</w:t>
      </w:r>
      <w:r>
        <w:rPr>
          <w:spacing w:val="-5"/>
          <w:sz w:val="22"/>
        </w:rPr>
        <w:t> </w:t>
      </w:r>
      <w:r>
        <w:rPr>
          <w:sz w:val="22"/>
        </w:rPr>
        <w:t>that</w:t>
      </w:r>
      <w:r>
        <w:rPr>
          <w:spacing w:val="-3"/>
          <w:sz w:val="22"/>
        </w:rPr>
        <w:t> </w:t>
      </w:r>
      <w:r>
        <w:rPr>
          <w:sz w:val="22"/>
        </w:rPr>
        <w:t>the project or activity is consistent with the plan as amended. The amendment may be limited to apply only to the project or activity.</w:t>
      </w:r>
    </w:p>
    <w:p>
      <w:pPr>
        <w:pStyle w:val="BodyText"/>
        <w:spacing w:line="232" w:lineRule="auto" w:before="118"/>
        <w:ind w:left="1152" w:right="742"/>
      </w:pPr>
      <w:r>
        <w:rPr/>
        <w:t>These plan components apply only to National Forest System lands and are measured at the forestwide scale unless specifically stated otherwise. The timeframe to achieve objectives is 10 to 15 years unless stated otherwise. These plan components do not alter any legal or statutory rights</w:t>
      </w:r>
      <w:r>
        <w:rPr>
          <w:spacing w:val="-4"/>
        </w:rPr>
        <w:t> </w:t>
      </w:r>
      <w:r>
        <w:rPr/>
        <w:t>such</w:t>
      </w:r>
      <w:r>
        <w:rPr>
          <w:spacing w:val="-5"/>
        </w:rPr>
        <w:t> </w:t>
      </w:r>
      <w:r>
        <w:rPr/>
        <w:t>as</w:t>
      </w:r>
      <w:r>
        <w:rPr>
          <w:spacing w:val="-6"/>
        </w:rPr>
        <w:t> </w:t>
      </w:r>
      <w:r>
        <w:rPr/>
        <w:t>mineral</w:t>
      </w:r>
      <w:r>
        <w:rPr>
          <w:spacing w:val="-4"/>
        </w:rPr>
        <w:t> </w:t>
      </w:r>
      <w:r>
        <w:rPr/>
        <w:t>development</w:t>
      </w:r>
      <w:r>
        <w:rPr>
          <w:spacing w:val="-6"/>
        </w:rPr>
        <w:t> </w:t>
      </w:r>
      <w:r>
        <w:rPr/>
        <w:t>or</w:t>
      </w:r>
      <w:r>
        <w:rPr>
          <w:spacing w:val="-4"/>
        </w:rPr>
        <w:t> </w:t>
      </w:r>
      <w:r>
        <w:rPr/>
        <w:t>private</w:t>
      </w:r>
      <w:r>
        <w:rPr>
          <w:spacing w:val="-3"/>
        </w:rPr>
        <w:t> </w:t>
      </w:r>
      <w:r>
        <w:rPr/>
        <w:t>lands</w:t>
      </w:r>
      <w:r>
        <w:rPr>
          <w:spacing w:val="-4"/>
        </w:rPr>
        <w:t> </w:t>
      </w:r>
      <w:r>
        <w:rPr/>
        <w:t>access</w:t>
      </w:r>
      <w:r>
        <w:rPr>
          <w:spacing w:val="-6"/>
        </w:rPr>
        <w:t> </w:t>
      </w:r>
      <w:r>
        <w:rPr/>
        <w:t>or</w:t>
      </w:r>
      <w:r>
        <w:rPr>
          <w:spacing w:val="-4"/>
        </w:rPr>
        <w:t> </w:t>
      </w:r>
      <w:r>
        <w:rPr/>
        <w:t>reduce</w:t>
      </w:r>
      <w:r>
        <w:rPr>
          <w:spacing w:val="-6"/>
        </w:rPr>
        <w:t> </w:t>
      </w:r>
      <w:r>
        <w:rPr/>
        <w:t>the</w:t>
      </w:r>
      <w:r>
        <w:rPr>
          <w:spacing w:val="-3"/>
        </w:rPr>
        <w:t> </w:t>
      </w:r>
      <w:r>
        <w:rPr/>
        <w:t>need</w:t>
      </w:r>
      <w:r>
        <w:rPr>
          <w:spacing w:val="-5"/>
        </w:rPr>
        <w:t> </w:t>
      </w:r>
      <w:r>
        <w:rPr/>
        <w:t>to</w:t>
      </w:r>
      <w:r>
        <w:rPr>
          <w:spacing w:val="-5"/>
        </w:rPr>
        <w:t> </w:t>
      </w:r>
      <w:r>
        <w:rPr/>
        <w:t>provide</w:t>
      </w:r>
      <w:r>
        <w:rPr>
          <w:spacing w:val="-3"/>
        </w:rPr>
        <w:t> </w:t>
      </w:r>
      <w:r>
        <w:rPr/>
        <w:t>public or employee safety. These goals (hereafter identified as desired conditions), objectives, standards and guidelines do not supersede law or regulation in the event of conflict between them. Standards apply only to management actions.</w:t>
      </w:r>
    </w:p>
    <w:p>
      <w:pPr>
        <w:pStyle w:val="BodyText"/>
        <w:spacing w:before="6"/>
        <w:rPr>
          <w:sz w:val="15"/>
        </w:rPr>
      </w:pPr>
    </w:p>
    <w:tbl>
      <w:tblPr>
        <w:tblW w:w="0" w:type="auto"/>
        <w:jc w:val="left"/>
        <w:tblInd w:w="1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9"/>
        <w:gridCol w:w="6471"/>
      </w:tblGrid>
      <w:tr>
        <w:trPr>
          <w:trHeight w:val="460" w:hRule="atLeast"/>
        </w:trPr>
        <w:tc>
          <w:tcPr>
            <w:tcW w:w="8550" w:type="dxa"/>
            <w:gridSpan w:val="2"/>
            <w:tcBorders>
              <w:top w:val="single" w:sz="8" w:space="0" w:color="9BBA58"/>
              <w:left w:val="single" w:sz="8" w:space="0" w:color="9BBA58"/>
              <w:right w:val="single" w:sz="8" w:space="0" w:color="9BBA58"/>
            </w:tcBorders>
            <w:shd w:val="clear" w:color="auto" w:fill="C2D59B"/>
          </w:tcPr>
          <w:p>
            <w:pPr>
              <w:pStyle w:val="TableParagraph"/>
              <w:spacing w:before="20"/>
              <w:ind w:left="107"/>
              <w:rPr>
                <w:rFonts w:ascii="Calibri"/>
                <w:b/>
                <w:sz w:val="20"/>
              </w:rPr>
            </w:pPr>
            <w:r>
              <w:rPr>
                <w:rFonts w:ascii="Calibri"/>
                <w:b/>
                <w:sz w:val="20"/>
              </w:rPr>
              <w:t>Plan</w:t>
            </w:r>
            <w:r>
              <w:rPr>
                <w:rFonts w:ascii="Calibri"/>
                <w:b/>
                <w:spacing w:val="-5"/>
                <w:sz w:val="20"/>
              </w:rPr>
              <w:t> </w:t>
            </w:r>
            <w:r>
              <w:rPr>
                <w:rFonts w:ascii="Calibri"/>
                <w:b/>
                <w:spacing w:val="-2"/>
                <w:sz w:val="20"/>
              </w:rPr>
              <w:t>Components</w:t>
            </w:r>
          </w:p>
        </w:tc>
      </w:tr>
      <w:tr>
        <w:trPr>
          <w:trHeight w:val="2864" w:hRule="atLeast"/>
        </w:trPr>
        <w:tc>
          <w:tcPr>
            <w:tcW w:w="2079" w:type="dxa"/>
            <w:tcBorders>
              <w:left w:val="single" w:sz="8" w:space="0" w:color="9BBA58"/>
            </w:tcBorders>
          </w:tcPr>
          <w:p>
            <w:pPr>
              <w:pStyle w:val="TableParagraph"/>
              <w:spacing w:line="511" w:lineRule="auto" w:before="18"/>
              <w:ind w:left="107" w:right="389"/>
              <w:rPr>
                <w:rFonts w:ascii="Calibri"/>
                <w:b/>
                <w:sz w:val="20"/>
              </w:rPr>
            </w:pPr>
            <w:r>
              <w:rPr>
                <w:rFonts w:ascii="Calibri"/>
                <w:b/>
                <w:sz w:val="20"/>
              </w:rPr>
              <w:t>Desired</w:t>
            </w:r>
            <w:r>
              <w:rPr>
                <w:rFonts w:ascii="Calibri"/>
                <w:b/>
                <w:spacing w:val="-12"/>
                <w:sz w:val="20"/>
              </w:rPr>
              <w:t> </w:t>
            </w:r>
            <w:r>
              <w:rPr>
                <w:rFonts w:ascii="Calibri"/>
                <w:b/>
                <w:sz w:val="20"/>
              </w:rPr>
              <w:t>Conditions </w:t>
            </w:r>
            <w:r>
              <w:rPr>
                <w:rFonts w:ascii="Calibri"/>
                <w:b/>
                <w:spacing w:val="-2"/>
                <w:sz w:val="20"/>
              </w:rPr>
              <w:t>(Goals)</w:t>
            </w:r>
          </w:p>
        </w:tc>
        <w:tc>
          <w:tcPr>
            <w:tcW w:w="6471" w:type="dxa"/>
            <w:tcBorders>
              <w:right w:val="single" w:sz="8" w:space="0" w:color="9BBA58"/>
            </w:tcBorders>
          </w:tcPr>
          <w:p>
            <w:pPr>
              <w:pStyle w:val="TableParagraph"/>
              <w:spacing w:line="254" w:lineRule="auto" w:before="18"/>
              <w:ind w:left="409" w:right="86"/>
              <w:rPr>
                <w:rFonts w:ascii="Calibri"/>
                <w:sz w:val="20"/>
              </w:rPr>
            </w:pPr>
            <w:r>
              <w:rPr>
                <w:rFonts w:ascii="Calibri"/>
                <w:sz w:val="20"/>
              </w:rPr>
              <w:t>Social,</w:t>
            </w:r>
            <w:r>
              <w:rPr>
                <w:rFonts w:ascii="Calibri"/>
                <w:spacing w:val="-5"/>
                <w:sz w:val="20"/>
              </w:rPr>
              <w:t> </w:t>
            </w:r>
            <w:r>
              <w:rPr>
                <w:rFonts w:ascii="Calibri"/>
                <w:sz w:val="20"/>
              </w:rPr>
              <w:t>economic,</w:t>
            </w:r>
            <w:r>
              <w:rPr>
                <w:rFonts w:ascii="Calibri"/>
                <w:spacing w:val="-5"/>
                <w:sz w:val="20"/>
              </w:rPr>
              <w:t> </w:t>
            </w:r>
            <w:r>
              <w:rPr>
                <w:rFonts w:ascii="Calibri"/>
                <w:sz w:val="20"/>
              </w:rPr>
              <w:t>and</w:t>
            </w:r>
            <w:r>
              <w:rPr>
                <w:rFonts w:ascii="Calibri"/>
                <w:spacing w:val="-5"/>
                <w:sz w:val="20"/>
              </w:rPr>
              <w:t> </w:t>
            </w:r>
            <w:r>
              <w:rPr>
                <w:rFonts w:ascii="Calibri"/>
                <w:sz w:val="20"/>
              </w:rPr>
              <w:t>ecological</w:t>
            </w:r>
            <w:r>
              <w:rPr>
                <w:rFonts w:ascii="Calibri"/>
                <w:spacing w:val="-6"/>
                <w:sz w:val="20"/>
              </w:rPr>
              <w:t> </w:t>
            </w:r>
            <w:r>
              <w:rPr>
                <w:rFonts w:ascii="Calibri"/>
                <w:sz w:val="20"/>
              </w:rPr>
              <w:t>attributes</w:t>
            </w:r>
            <w:r>
              <w:rPr>
                <w:rFonts w:ascii="Calibri"/>
                <w:spacing w:val="-7"/>
                <w:sz w:val="20"/>
              </w:rPr>
              <w:t> </w:t>
            </w:r>
            <w:r>
              <w:rPr>
                <w:rFonts w:ascii="Calibri"/>
                <w:sz w:val="20"/>
              </w:rPr>
              <w:t>toward</w:t>
            </w:r>
            <w:r>
              <w:rPr>
                <w:rFonts w:ascii="Calibri"/>
                <w:spacing w:val="-5"/>
                <w:sz w:val="20"/>
              </w:rPr>
              <w:t> </w:t>
            </w:r>
            <w:r>
              <w:rPr>
                <w:rFonts w:ascii="Calibri"/>
                <w:sz w:val="20"/>
              </w:rPr>
              <w:t>which</w:t>
            </w:r>
            <w:r>
              <w:rPr>
                <w:rFonts w:ascii="Calibri"/>
                <w:spacing w:val="-5"/>
                <w:sz w:val="20"/>
              </w:rPr>
              <w:t> </w:t>
            </w:r>
            <w:r>
              <w:rPr>
                <w:rFonts w:ascii="Calibri"/>
                <w:sz w:val="20"/>
              </w:rPr>
              <w:t>management</w:t>
            </w:r>
            <w:r>
              <w:rPr>
                <w:rFonts w:ascii="Calibri"/>
                <w:spacing w:val="-6"/>
                <w:sz w:val="20"/>
              </w:rPr>
              <w:t> </w:t>
            </w:r>
            <w:r>
              <w:rPr>
                <w:rFonts w:ascii="Calibri"/>
                <w:sz w:val="20"/>
              </w:rPr>
              <w:t>of the land and resources of the plan area is to be directed. Desired conditions are aspirations, not final decisions approving projects and activities, and may be achievable only over a long period of time.</w:t>
            </w:r>
          </w:p>
          <w:p>
            <w:pPr>
              <w:pStyle w:val="TableParagraph"/>
              <w:spacing w:line="254" w:lineRule="auto" w:before="6"/>
              <w:ind w:left="409" w:right="86"/>
              <w:rPr>
                <w:rFonts w:ascii="Calibri"/>
                <w:sz w:val="20"/>
              </w:rPr>
            </w:pPr>
            <w:r>
              <w:rPr>
                <w:rFonts w:ascii="Calibri"/>
                <w:sz w:val="20"/>
              </w:rPr>
              <w:t>However,</w:t>
            </w:r>
            <w:r>
              <w:rPr>
                <w:rFonts w:ascii="Calibri"/>
                <w:spacing w:val="-3"/>
                <w:sz w:val="20"/>
              </w:rPr>
              <w:t> </w:t>
            </w:r>
            <w:r>
              <w:rPr>
                <w:rFonts w:ascii="Calibri"/>
                <w:sz w:val="20"/>
              </w:rPr>
              <w:t>projects</w:t>
            </w:r>
            <w:r>
              <w:rPr>
                <w:rFonts w:ascii="Calibri"/>
                <w:spacing w:val="-5"/>
                <w:sz w:val="20"/>
              </w:rPr>
              <w:t> </w:t>
            </w:r>
            <w:r>
              <w:rPr>
                <w:rFonts w:ascii="Calibri"/>
                <w:sz w:val="20"/>
              </w:rPr>
              <w:t>and</w:t>
            </w:r>
            <w:r>
              <w:rPr>
                <w:rFonts w:ascii="Calibri"/>
                <w:spacing w:val="-3"/>
                <w:sz w:val="20"/>
              </w:rPr>
              <w:t> </w:t>
            </w:r>
            <w:r>
              <w:rPr>
                <w:rFonts w:ascii="Calibri"/>
                <w:sz w:val="20"/>
              </w:rPr>
              <w:t>activities</w:t>
            </w:r>
            <w:r>
              <w:rPr>
                <w:rFonts w:ascii="Calibri"/>
                <w:spacing w:val="-5"/>
                <w:sz w:val="20"/>
              </w:rPr>
              <w:t> </w:t>
            </w:r>
            <w:r>
              <w:rPr>
                <w:rFonts w:ascii="Calibri"/>
                <w:sz w:val="20"/>
              </w:rPr>
              <w:t>will</w:t>
            </w:r>
            <w:r>
              <w:rPr>
                <w:rFonts w:ascii="Calibri"/>
                <w:spacing w:val="-4"/>
                <w:sz w:val="20"/>
              </w:rPr>
              <w:t> </w:t>
            </w:r>
            <w:r>
              <w:rPr>
                <w:rFonts w:ascii="Calibri"/>
                <w:sz w:val="20"/>
              </w:rPr>
              <w:t>be</w:t>
            </w:r>
            <w:r>
              <w:rPr>
                <w:rFonts w:ascii="Calibri"/>
                <w:spacing w:val="-5"/>
                <w:sz w:val="20"/>
              </w:rPr>
              <w:t> </w:t>
            </w:r>
            <w:r>
              <w:rPr>
                <w:rFonts w:ascii="Calibri"/>
                <w:sz w:val="20"/>
              </w:rPr>
              <w:t>designed</w:t>
            </w:r>
            <w:r>
              <w:rPr>
                <w:rFonts w:ascii="Calibri"/>
                <w:spacing w:val="-3"/>
                <w:sz w:val="20"/>
              </w:rPr>
              <w:t> </w:t>
            </w:r>
            <w:r>
              <w:rPr>
                <w:rFonts w:ascii="Calibri"/>
                <w:sz w:val="20"/>
              </w:rPr>
              <w:t>to</w:t>
            </w:r>
            <w:r>
              <w:rPr>
                <w:rFonts w:ascii="Calibri"/>
                <w:spacing w:val="-4"/>
                <w:sz w:val="20"/>
              </w:rPr>
              <w:t> </w:t>
            </w:r>
            <w:r>
              <w:rPr>
                <w:rFonts w:ascii="Calibri"/>
                <w:sz w:val="20"/>
              </w:rPr>
              <w:t>move</w:t>
            </w:r>
            <w:r>
              <w:rPr>
                <w:rFonts w:ascii="Calibri"/>
                <w:spacing w:val="-5"/>
                <w:sz w:val="20"/>
              </w:rPr>
              <w:t> </w:t>
            </w:r>
            <w:r>
              <w:rPr>
                <w:rFonts w:ascii="Calibri"/>
                <w:sz w:val="20"/>
              </w:rPr>
              <w:t>the</w:t>
            </w:r>
            <w:r>
              <w:rPr>
                <w:rFonts w:ascii="Calibri"/>
                <w:spacing w:val="-5"/>
                <w:sz w:val="20"/>
              </w:rPr>
              <w:t> </w:t>
            </w:r>
            <w:r>
              <w:rPr>
                <w:rFonts w:ascii="Calibri"/>
                <w:sz w:val="20"/>
              </w:rPr>
              <w:t>forest toward desired conditions.</w:t>
            </w:r>
          </w:p>
          <w:p>
            <w:pPr>
              <w:pStyle w:val="TableParagraph"/>
              <w:spacing w:before="18"/>
              <w:rPr>
                <w:rFonts w:ascii="Calibri"/>
                <w:sz w:val="20"/>
              </w:rPr>
            </w:pPr>
          </w:p>
          <w:p>
            <w:pPr>
              <w:pStyle w:val="TableParagraph"/>
              <w:spacing w:line="254" w:lineRule="auto" w:before="0"/>
              <w:ind w:left="409" w:right="86"/>
              <w:rPr>
                <w:rFonts w:ascii="Calibri"/>
                <w:sz w:val="20"/>
              </w:rPr>
            </w:pPr>
            <w:r>
              <w:rPr>
                <w:rFonts w:ascii="Calibri"/>
                <w:sz w:val="20"/>
              </w:rPr>
              <w:t>To be consistent with the desired conditions of the plan, a project or activity,</w:t>
            </w:r>
            <w:r>
              <w:rPr>
                <w:rFonts w:ascii="Calibri"/>
                <w:spacing w:val="-3"/>
                <w:sz w:val="20"/>
              </w:rPr>
              <w:t> </w:t>
            </w:r>
            <w:r>
              <w:rPr>
                <w:rFonts w:ascii="Calibri"/>
                <w:sz w:val="20"/>
              </w:rPr>
              <w:t>when</w:t>
            </w:r>
            <w:r>
              <w:rPr>
                <w:rFonts w:ascii="Calibri"/>
                <w:spacing w:val="-3"/>
                <w:sz w:val="20"/>
              </w:rPr>
              <w:t> </w:t>
            </w:r>
            <w:r>
              <w:rPr>
                <w:rFonts w:ascii="Calibri"/>
                <w:sz w:val="20"/>
              </w:rPr>
              <w:t>assessed</w:t>
            </w:r>
            <w:r>
              <w:rPr>
                <w:rFonts w:ascii="Calibri"/>
                <w:spacing w:val="-3"/>
                <w:sz w:val="20"/>
              </w:rPr>
              <w:t> </w:t>
            </w:r>
            <w:r>
              <w:rPr>
                <w:rFonts w:ascii="Calibri"/>
                <w:sz w:val="20"/>
              </w:rPr>
              <w:t>at</w:t>
            </w:r>
            <w:r>
              <w:rPr>
                <w:rFonts w:ascii="Calibri"/>
                <w:spacing w:val="-4"/>
                <w:sz w:val="20"/>
              </w:rPr>
              <w:t> </w:t>
            </w:r>
            <w:r>
              <w:rPr>
                <w:rFonts w:ascii="Calibri"/>
                <w:sz w:val="20"/>
              </w:rPr>
              <w:t>the</w:t>
            </w:r>
            <w:r>
              <w:rPr>
                <w:rFonts w:ascii="Calibri"/>
                <w:spacing w:val="-5"/>
                <w:sz w:val="20"/>
              </w:rPr>
              <w:t> </w:t>
            </w:r>
            <w:r>
              <w:rPr>
                <w:rFonts w:ascii="Calibri"/>
                <w:sz w:val="20"/>
              </w:rPr>
              <w:t>appropriate</w:t>
            </w:r>
            <w:r>
              <w:rPr>
                <w:rFonts w:ascii="Calibri"/>
                <w:spacing w:val="-5"/>
                <w:sz w:val="20"/>
              </w:rPr>
              <w:t> </w:t>
            </w:r>
            <w:r>
              <w:rPr>
                <w:rFonts w:ascii="Calibri"/>
                <w:sz w:val="20"/>
              </w:rPr>
              <w:t>spatial</w:t>
            </w:r>
            <w:r>
              <w:rPr>
                <w:rFonts w:ascii="Calibri"/>
                <w:spacing w:val="-4"/>
                <w:sz w:val="20"/>
              </w:rPr>
              <w:t> </w:t>
            </w:r>
            <w:r>
              <w:rPr>
                <w:rFonts w:ascii="Calibri"/>
                <w:sz w:val="20"/>
              </w:rPr>
              <w:t>scale</w:t>
            </w:r>
            <w:r>
              <w:rPr>
                <w:rFonts w:ascii="Calibri"/>
                <w:spacing w:val="-5"/>
                <w:sz w:val="20"/>
              </w:rPr>
              <w:t> </w:t>
            </w:r>
            <w:r>
              <w:rPr>
                <w:rFonts w:ascii="Calibri"/>
                <w:sz w:val="20"/>
              </w:rPr>
              <w:t>described</w:t>
            </w:r>
            <w:r>
              <w:rPr>
                <w:rFonts w:ascii="Calibri"/>
                <w:spacing w:val="-3"/>
                <w:sz w:val="20"/>
              </w:rPr>
              <w:t> </w:t>
            </w:r>
            <w:r>
              <w:rPr>
                <w:rFonts w:ascii="Calibri"/>
                <w:sz w:val="20"/>
              </w:rPr>
              <w:t>in</w:t>
            </w:r>
            <w:r>
              <w:rPr>
                <w:rFonts w:ascii="Calibri"/>
                <w:spacing w:val="-3"/>
                <w:sz w:val="20"/>
              </w:rPr>
              <w:t> </w:t>
            </w:r>
            <w:r>
              <w:rPr>
                <w:rFonts w:ascii="Calibri"/>
                <w:sz w:val="20"/>
              </w:rPr>
              <w:t>the plan (e.g., landscape scale), must be designed to meet one or more of</w:t>
            </w:r>
          </w:p>
          <w:p>
            <w:pPr>
              <w:pStyle w:val="TableParagraph"/>
              <w:spacing w:line="225" w:lineRule="exact" w:before="4"/>
              <w:ind w:left="409"/>
              <w:rPr>
                <w:rFonts w:ascii="Calibri"/>
                <w:sz w:val="20"/>
              </w:rPr>
            </w:pPr>
            <w:r>
              <w:rPr>
                <w:rFonts w:ascii="Calibri"/>
                <w:sz w:val="20"/>
              </w:rPr>
              <w:t>the</w:t>
            </w:r>
            <w:r>
              <w:rPr>
                <w:rFonts w:ascii="Calibri"/>
                <w:spacing w:val="-9"/>
                <w:sz w:val="20"/>
              </w:rPr>
              <w:t> </w:t>
            </w:r>
            <w:r>
              <w:rPr>
                <w:rFonts w:ascii="Calibri"/>
                <w:sz w:val="20"/>
              </w:rPr>
              <w:t>following</w:t>
            </w:r>
            <w:r>
              <w:rPr>
                <w:rFonts w:ascii="Calibri"/>
                <w:spacing w:val="-8"/>
                <w:sz w:val="20"/>
              </w:rPr>
              <w:t> </w:t>
            </w:r>
            <w:r>
              <w:rPr>
                <w:rFonts w:ascii="Calibri"/>
                <w:spacing w:val="-2"/>
                <w:sz w:val="20"/>
              </w:rPr>
              <w:t>conditions:</w:t>
            </w:r>
          </w:p>
        </w:tc>
      </w:tr>
      <w:tr>
        <w:trPr>
          <w:trHeight w:val="779" w:hRule="atLeast"/>
        </w:trPr>
        <w:tc>
          <w:tcPr>
            <w:tcW w:w="2079" w:type="dxa"/>
            <w:tcBorders>
              <w:left w:val="single" w:sz="8" w:space="0" w:color="9BBA58"/>
            </w:tcBorders>
          </w:tcPr>
          <w:p>
            <w:pPr>
              <w:pStyle w:val="TableParagraph"/>
              <w:spacing w:before="0"/>
              <w:rPr>
                <w:rFonts w:ascii="Times New Roman"/>
                <w:sz w:val="20"/>
              </w:rPr>
            </w:pPr>
          </w:p>
        </w:tc>
        <w:tc>
          <w:tcPr>
            <w:tcW w:w="6471" w:type="dxa"/>
            <w:tcBorders>
              <w:right w:val="single" w:sz="8" w:space="0" w:color="9BBA58"/>
            </w:tcBorders>
          </w:tcPr>
          <w:p>
            <w:pPr>
              <w:pStyle w:val="TableParagraph"/>
              <w:tabs>
                <w:tab w:pos="1129" w:val="left" w:leader="none"/>
              </w:tabs>
              <w:spacing w:line="254" w:lineRule="auto" w:before="3"/>
              <w:ind w:left="1129" w:right="279" w:hanging="360"/>
              <w:rPr>
                <w:rFonts w:ascii="Calibri" w:hAnsi="Calibri"/>
                <w:sz w:val="20"/>
              </w:rPr>
            </w:pPr>
            <w:r>
              <w:rPr>
                <w:rFonts w:ascii="Symbol" w:hAnsi="Symbol"/>
                <w:spacing w:val="-10"/>
                <w:sz w:val="20"/>
              </w:rPr>
              <w:t></w:t>
            </w:r>
            <w:r>
              <w:rPr>
                <w:rFonts w:ascii="Times New Roman" w:hAnsi="Times New Roman"/>
                <w:sz w:val="20"/>
              </w:rPr>
              <w:tab/>
            </w:r>
            <w:r>
              <w:rPr>
                <w:rFonts w:ascii="Calibri" w:hAnsi="Calibri"/>
                <w:sz w:val="20"/>
              </w:rPr>
              <w:t>Maintain</w:t>
            </w:r>
            <w:r>
              <w:rPr>
                <w:rFonts w:ascii="Calibri" w:hAnsi="Calibri"/>
                <w:spacing w:val="-3"/>
                <w:sz w:val="20"/>
              </w:rPr>
              <w:t> </w:t>
            </w:r>
            <w:r>
              <w:rPr>
                <w:rFonts w:ascii="Calibri" w:hAnsi="Calibri"/>
                <w:sz w:val="20"/>
              </w:rPr>
              <w:t>or</w:t>
            </w:r>
            <w:r>
              <w:rPr>
                <w:rFonts w:ascii="Calibri" w:hAnsi="Calibri"/>
                <w:spacing w:val="-4"/>
                <w:sz w:val="20"/>
              </w:rPr>
              <w:t> </w:t>
            </w:r>
            <w:r>
              <w:rPr>
                <w:rFonts w:ascii="Calibri" w:hAnsi="Calibri"/>
                <w:sz w:val="20"/>
              </w:rPr>
              <w:t>make</w:t>
            </w:r>
            <w:r>
              <w:rPr>
                <w:rFonts w:ascii="Calibri" w:hAnsi="Calibri"/>
                <w:spacing w:val="-5"/>
                <w:sz w:val="20"/>
              </w:rPr>
              <w:t> </w:t>
            </w:r>
            <w:r>
              <w:rPr>
                <w:rFonts w:ascii="Calibri" w:hAnsi="Calibri"/>
                <w:sz w:val="20"/>
              </w:rPr>
              <w:t>progress</w:t>
            </w:r>
            <w:r>
              <w:rPr>
                <w:rFonts w:ascii="Calibri" w:hAnsi="Calibri"/>
                <w:spacing w:val="-5"/>
                <w:sz w:val="20"/>
              </w:rPr>
              <w:t> </w:t>
            </w:r>
            <w:r>
              <w:rPr>
                <w:rFonts w:ascii="Calibri" w:hAnsi="Calibri"/>
                <w:sz w:val="20"/>
              </w:rPr>
              <w:t>toward</w:t>
            </w:r>
            <w:r>
              <w:rPr>
                <w:rFonts w:ascii="Calibri" w:hAnsi="Calibri"/>
                <w:spacing w:val="-3"/>
                <w:sz w:val="20"/>
              </w:rPr>
              <w:t> </w:t>
            </w:r>
            <w:r>
              <w:rPr>
                <w:rFonts w:ascii="Calibri" w:hAnsi="Calibri"/>
                <w:sz w:val="20"/>
              </w:rPr>
              <w:t>one</w:t>
            </w:r>
            <w:r>
              <w:rPr>
                <w:rFonts w:ascii="Calibri" w:hAnsi="Calibri"/>
                <w:spacing w:val="-5"/>
                <w:sz w:val="20"/>
              </w:rPr>
              <w:t> </w:t>
            </w:r>
            <w:r>
              <w:rPr>
                <w:rFonts w:ascii="Calibri" w:hAnsi="Calibri"/>
                <w:sz w:val="20"/>
              </w:rPr>
              <w:t>or</w:t>
            </w:r>
            <w:r>
              <w:rPr>
                <w:rFonts w:ascii="Calibri" w:hAnsi="Calibri"/>
                <w:spacing w:val="-4"/>
                <w:sz w:val="20"/>
              </w:rPr>
              <w:t> </w:t>
            </w:r>
            <w:r>
              <w:rPr>
                <w:rFonts w:ascii="Calibri" w:hAnsi="Calibri"/>
                <w:sz w:val="20"/>
              </w:rPr>
              <w:t>more</w:t>
            </w:r>
            <w:r>
              <w:rPr>
                <w:rFonts w:ascii="Calibri" w:hAnsi="Calibri"/>
                <w:spacing w:val="-5"/>
                <w:sz w:val="20"/>
              </w:rPr>
              <w:t> </w:t>
            </w:r>
            <w:r>
              <w:rPr>
                <w:rFonts w:ascii="Calibri" w:hAnsi="Calibri"/>
                <w:sz w:val="20"/>
              </w:rPr>
              <w:t>of</w:t>
            </w:r>
            <w:r>
              <w:rPr>
                <w:rFonts w:ascii="Calibri" w:hAnsi="Calibri"/>
                <w:spacing w:val="-5"/>
                <w:sz w:val="20"/>
              </w:rPr>
              <w:t> </w:t>
            </w:r>
            <w:r>
              <w:rPr>
                <w:rFonts w:ascii="Calibri" w:hAnsi="Calibri"/>
                <w:sz w:val="20"/>
              </w:rPr>
              <w:t>the</w:t>
            </w:r>
            <w:r>
              <w:rPr>
                <w:rFonts w:ascii="Calibri" w:hAnsi="Calibri"/>
                <w:spacing w:val="-5"/>
                <w:sz w:val="20"/>
              </w:rPr>
              <w:t> </w:t>
            </w:r>
            <w:r>
              <w:rPr>
                <w:rFonts w:ascii="Calibri" w:hAnsi="Calibri"/>
                <w:sz w:val="20"/>
              </w:rPr>
              <w:t>desired conditions of a plan without adversely affecting progress</w:t>
            </w:r>
          </w:p>
          <w:p>
            <w:pPr>
              <w:pStyle w:val="TableParagraph"/>
              <w:spacing w:line="225" w:lineRule="exact" w:before="4"/>
              <w:ind w:left="1129"/>
              <w:rPr>
                <w:rFonts w:ascii="Calibri"/>
                <w:sz w:val="20"/>
              </w:rPr>
            </w:pPr>
            <w:r>
              <w:rPr>
                <w:rFonts w:ascii="Calibri"/>
                <w:sz w:val="20"/>
              </w:rPr>
              <w:t>toward,</w:t>
            </w:r>
            <w:r>
              <w:rPr>
                <w:rFonts w:ascii="Calibri"/>
                <w:spacing w:val="-8"/>
                <w:sz w:val="20"/>
              </w:rPr>
              <w:t> </w:t>
            </w:r>
            <w:r>
              <w:rPr>
                <w:rFonts w:ascii="Calibri"/>
                <w:sz w:val="20"/>
              </w:rPr>
              <w:t>or</w:t>
            </w:r>
            <w:r>
              <w:rPr>
                <w:rFonts w:ascii="Calibri"/>
                <w:spacing w:val="-7"/>
                <w:sz w:val="20"/>
              </w:rPr>
              <w:t> </w:t>
            </w:r>
            <w:r>
              <w:rPr>
                <w:rFonts w:ascii="Calibri"/>
                <w:sz w:val="20"/>
              </w:rPr>
              <w:t>maintenance</w:t>
            </w:r>
            <w:r>
              <w:rPr>
                <w:rFonts w:ascii="Calibri"/>
                <w:spacing w:val="-9"/>
                <w:sz w:val="20"/>
              </w:rPr>
              <w:t> </w:t>
            </w:r>
            <w:r>
              <w:rPr>
                <w:rFonts w:ascii="Calibri"/>
                <w:sz w:val="20"/>
              </w:rPr>
              <w:t>of,</w:t>
            </w:r>
            <w:r>
              <w:rPr>
                <w:rFonts w:ascii="Calibri"/>
                <w:spacing w:val="-7"/>
                <w:sz w:val="20"/>
              </w:rPr>
              <w:t> </w:t>
            </w:r>
            <w:r>
              <w:rPr>
                <w:rFonts w:ascii="Calibri"/>
                <w:sz w:val="20"/>
              </w:rPr>
              <w:t>other</w:t>
            </w:r>
            <w:r>
              <w:rPr>
                <w:rFonts w:ascii="Calibri"/>
                <w:spacing w:val="-8"/>
                <w:sz w:val="20"/>
              </w:rPr>
              <w:t> </w:t>
            </w:r>
            <w:r>
              <w:rPr>
                <w:rFonts w:ascii="Calibri"/>
                <w:sz w:val="20"/>
              </w:rPr>
              <w:t>desired</w:t>
            </w:r>
            <w:r>
              <w:rPr>
                <w:rFonts w:ascii="Calibri"/>
                <w:spacing w:val="-7"/>
                <w:sz w:val="20"/>
              </w:rPr>
              <w:t> </w:t>
            </w:r>
            <w:r>
              <w:rPr>
                <w:rFonts w:ascii="Calibri"/>
                <w:sz w:val="20"/>
              </w:rPr>
              <w:t>conditions;</w:t>
            </w:r>
            <w:r>
              <w:rPr>
                <w:rFonts w:ascii="Calibri"/>
                <w:spacing w:val="-9"/>
                <w:sz w:val="20"/>
              </w:rPr>
              <w:t> </w:t>
            </w:r>
            <w:r>
              <w:rPr>
                <w:rFonts w:ascii="Calibri"/>
                <w:spacing w:val="-5"/>
                <w:sz w:val="20"/>
              </w:rPr>
              <w:t>or</w:t>
            </w:r>
          </w:p>
        </w:tc>
      </w:tr>
      <w:tr>
        <w:trPr>
          <w:trHeight w:val="519" w:hRule="atLeast"/>
        </w:trPr>
        <w:tc>
          <w:tcPr>
            <w:tcW w:w="2079" w:type="dxa"/>
            <w:tcBorders>
              <w:left w:val="single" w:sz="8" w:space="0" w:color="9BBA58"/>
            </w:tcBorders>
          </w:tcPr>
          <w:p>
            <w:pPr>
              <w:pStyle w:val="TableParagraph"/>
              <w:spacing w:before="0"/>
              <w:rPr>
                <w:rFonts w:ascii="Times New Roman"/>
                <w:sz w:val="20"/>
              </w:rPr>
            </w:pPr>
          </w:p>
        </w:tc>
        <w:tc>
          <w:tcPr>
            <w:tcW w:w="6471" w:type="dxa"/>
            <w:tcBorders>
              <w:right w:val="single" w:sz="8" w:space="0" w:color="9BBA58"/>
            </w:tcBorders>
          </w:tcPr>
          <w:p>
            <w:pPr>
              <w:pStyle w:val="TableParagraph"/>
              <w:tabs>
                <w:tab w:pos="1129" w:val="left" w:leader="none"/>
              </w:tabs>
              <w:spacing w:before="3"/>
              <w:ind w:left="769"/>
              <w:rPr>
                <w:rFonts w:ascii="Calibri" w:hAnsi="Calibri"/>
                <w:sz w:val="20"/>
              </w:rPr>
            </w:pPr>
            <w:r>
              <w:rPr>
                <w:rFonts w:ascii="Symbol" w:hAnsi="Symbol"/>
                <w:spacing w:val="-10"/>
                <w:sz w:val="20"/>
              </w:rPr>
              <w:t></w:t>
            </w:r>
            <w:r>
              <w:rPr>
                <w:rFonts w:ascii="Times New Roman" w:hAnsi="Times New Roman"/>
                <w:sz w:val="20"/>
              </w:rPr>
              <w:tab/>
            </w:r>
            <w:r>
              <w:rPr>
                <w:rFonts w:ascii="Calibri" w:hAnsi="Calibri"/>
                <w:sz w:val="20"/>
              </w:rPr>
              <w:t>Be</w:t>
            </w:r>
            <w:r>
              <w:rPr>
                <w:rFonts w:ascii="Calibri" w:hAnsi="Calibri"/>
                <w:spacing w:val="-6"/>
                <w:sz w:val="20"/>
              </w:rPr>
              <w:t> </w:t>
            </w:r>
            <w:r>
              <w:rPr>
                <w:rFonts w:ascii="Calibri" w:hAnsi="Calibri"/>
                <w:sz w:val="20"/>
              </w:rPr>
              <w:t>neutral</w:t>
            </w:r>
            <w:r>
              <w:rPr>
                <w:rFonts w:ascii="Calibri" w:hAnsi="Calibri"/>
                <w:spacing w:val="-5"/>
                <w:sz w:val="20"/>
              </w:rPr>
              <w:t> </w:t>
            </w:r>
            <w:r>
              <w:rPr>
                <w:rFonts w:ascii="Calibri" w:hAnsi="Calibri"/>
                <w:sz w:val="20"/>
              </w:rPr>
              <w:t>with</w:t>
            </w:r>
            <w:r>
              <w:rPr>
                <w:rFonts w:ascii="Calibri" w:hAnsi="Calibri"/>
                <w:spacing w:val="-4"/>
                <w:sz w:val="20"/>
              </w:rPr>
              <w:t> </w:t>
            </w:r>
            <w:r>
              <w:rPr>
                <w:rFonts w:ascii="Calibri" w:hAnsi="Calibri"/>
                <w:sz w:val="20"/>
              </w:rPr>
              <w:t>regard</w:t>
            </w:r>
            <w:r>
              <w:rPr>
                <w:rFonts w:ascii="Calibri" w:hAnsi="Calibri"/>
                <w:spacing w:val="-4"/>
                <w:sz w:val="20"/>
              </w:rPr>
              <w:t> </w:t>
            </w:r>
            <w:r>
              <w:rPr>
                <w:rFonts w:ascii="Calibri" w:hAnsi="Calibri"/>
                <w:sz w:val="20"/>
              </w:rPr>
              <w:t>to</w:t>
            </w:r>
            <w:r>
              <w:rPr>
                <w:rFonts w:ascii="Calibri" w:hAnsi="Calibri"/>
                <w:spacing w:val="-5"/>
                <w:sz w:val="20"/>
              </w:rPr>
              <w:t> </w:t>
            </w:r>
            <w:r>
              <w:rPr>
                <w:rFonts w:ascii="Calibri" w:hAnsi="Calibri"/>
                <w:sz w:val="20"/>
              </w:rPr>
              <w:t>progress</w:t>
            </w:r>
            <w:r>
              <w:rPr>
                <w:rFonts w:ascii="Calibri" w:hAnsi="Calibri"/>
                <w:spacing w:val="-6"/>
                <w:sz w:val="20"/>
              </w:rPr>
              <w:t> </w:t>
            </w:r>
            <w:r>
              <w:rPr>
                <w:rFonts w:ascii="Calibri" w:hAnsi="Calibri"/>
                <w:sz w:val="20"/>
              </w:rPr>
              <w:t>toward</w:t>
            </w:r>
            <w:r>
              <w:rPr>
                <w:rFonts w:ascii="Calibri" w:hAnsi="Calibri"/>
                <w:spacing w:val="-4"/>
                <w:sz w:val="20"/>
              </w:rPr>
              <w:t> </w:t>
            </w:r>
            <w:r>
              <w:rPr>
                <w:rFonts w:ascii="Calibri" w:hAnsi="Calibri"/>
                <w:sz w:val="20"/>
              </w:rPr>
              <w:t>plan</w:t>
            </w:r>
            <w:r>
              <w:rPr>
                <w:rFonts w:ascii="Calibri" w:hAnsi="Calibri"/>
                <w:spacing w:val="-4"/>
                <w:sz w:val="20"/>
              </w:rPr>
              <w:t> </w:t>
            </w:r>
            <w:r>
              <w:rPr>
                <w:rFonts w:ascii="Calibri" w:hAnsi="Calibri"/>
                <w:spacing w:val="-2"/>
                <w:sz w:val="20"/>
              </w:rPr>
              <w:t>desired</w:t>
            </w:r>
          </w:p>
          <w:p>
            <w:pPr>
              <w:pStyle w:val="TableParagraph"/>
              <w:spacing w:line="226" w:lineRule="exact" w:before="16"/>
              <w:ind w:left="1129"/>
              <w:rPr>
                <w:rFonts w:ascii="Calibri"/>
                <w:sz w:val="20"/>
              </w:rPr>
            </w:pPr>
            <w:r>
              <w:rPr>
                <w:rFonts w:ascii="Calibri"/>
                <w:spacing w:val="-2"/>
                <w:sz w:val="20"/>
              </w:rPr>
              <w:t>conditions;</w:t>
            </w:r>
            <w:r>
              <w:rPr>
                <w:rFonts w:ascii="Calibri"/>
                <w:spacing w:val="6"/>
                <w:sz w:val="20"/>
              </w:rPr>
              <w:t> </w:t>
            </w:r>
            <w:r>
              <w:rPr>
                <w:rFonts w:ascii="Calibri"/>
                <w:spacing w:val="-5"/>
                <w:sz w:val="20"/>
              </w:rPr>
              <w:t>or</w:t>
            </w:r>
          </w:p>
        </w:tc>
      </w:tr>
      <w:tr>
        <w:trPr>
          <w:trHeight w:val="1040" w:hRule="atLeast"/>
        </w:trPr>
        <w:tc>
          <w:tcPr>
            <w:tcW w:w="2079" w:type="dxa"/>
            <w:tcBorders>
              <w:left w:val="single" w:sz="8" w:space="0" w:color="9BBA58"/>
            </w:tcBorders>
          </w:tcPr>
          <w:p>
            <w:pPr>
              <w:pStyle w:val="TableParagraph"/>
              <w:spacing w:before="0"/>
              <w:rPr>
                <w:rFonts w:ascii="Times New Roman"/>
                <w:sz w:val="20"/>
              </w:rPr>
            </w:pPr>
          </w:p>
        </w:tc>
        <w:tc>
          <w:tcPr>
            <w:tcW w:w="6471" w:type="dxa"/>
            <w:tcBorders>
              <w:right w:val="single" w:sz="8" w:space="0" w:color="9BBA58"/>
            </w:tcBorders>
          </w:tcPr>
          <w:p>
            <w:pPr>
              <w:pStyle w:val="TableParagraph"/>
              <w:tabs>
                <w:tab w:pos="1129" w:val="left" w:leader="none"/>
              </w:tabs>
              <w:spacing w:line="254" w:lineRule="auto" w:before="5"/>
              <w:ind w:left="1129" w:right="219" w:hanging="360"/>
              <w:rPr>
                <w:rFonts w:ascii="Calibri" w:hAnsi="Calibri"/>
                <w:sz w:val="20"/>
              </w:rPr>
            </w:pPr>
            <w:r>
              <w:rPr>
                <w:rFonts w:ascii="Symbol" w:hAnsi="Symbol"/>
                <w:spacing w:val="-10"/>
                <w:sz w:val="20"/>
              </w:rPr>
              <w:t></w:t>
            </w:r>
            <w:r>
              <w:rPr>
                <w:rFonts w:ascii="Times New Roman" w:hAnsi="Times New Roman"/>
                <w:sz w:val="20"/>
              </w:rPr>
              <w:tab/>
            </w:r>
            <w:r>
              <w:rPr>
                <w:rFonts w:ascii="Calibri" w:hAnsi="Calibri"/>
                <w:sz w:val="20"/>
              </w:rPr>
              <w:t>Maintain or make progress toward one or more of the desired conditions over the long term, even if the project or activity would</w:t>
            </w:r>
            <w:r>
              <w:rPr>
                <w:rFonts w:ascii="Calibri" w:hAnsi="Calibri"/>
                <w:spacing w:val="-5"/>
                <w:sz w:val="20"/>
              </w:rPr>
              <w:t> </w:t>
            </w:r>
            <w:r>
              <w:rPr>
                <w:rFonts w:ascii="Calibri" w:hAnsi="Calibri"/>
                <w:sz w:val="20"/>
              </w:rPr>
              <w:t>adversely</w:t>
            </w:r>
            <w:r>
              <w:rPr>
                <w:rFonts w:ascii="Calibri" w:hAnsi="Calibri"/>
                <w:spacing w:val="-5"/>
                <w:sz w:val="20"/>
              </w:rPr>
              <w:t> </w:t>
            </w:r>
            <w:r>
              <w:rPr>
                <w:rFonts w:ascii="Calibri" w:hAnsi="Calibri"/>
                <w:sz w:val="20"/>
              </w:rPr>
              <w:t>affect</w:t>
            </w:r>
            <w:r>
              <w:rPr>
                <w:rFonts w:ascii="Calibri" w:hAnsi="Calibri"/>
                <w:spacing w:val="-5"/>
                <w:sz w:val="20"/>
              </w:rPr>
              <w:t> </w:t>
            </w:r>
            <w:r>
              <w:rPr>
                <w:rFonts w:ascii="Calibri" w:hAnsi="Calibri"/>
                <w:sz w:val="20"/>
              </w:rPr>
              <w:t>progress</w:t>
            </w:r>
            <w:r>
              <w:rPr>
                <w:rFonts w:ascii="Calibri" w:hAnsi="Calibri"/>
                <w:spacing w:val="-6"/>
                <w:sz w:val="20"/>
              </w:rPr>
              <w:t> </w:t>
            </w:r>
            <w:r>
              <w:rPr>
                <w:rFonts w:ascii="Calibri" w:hAnsi="Calibri"/>
                <w:sz w:val="20"/>
              </w:rPr>
              <w:t>toward</w:t>
            </w:r>
            <w:r>
              <w:rPr>
                <w:rFonts w:ascii="Calibri" w:hAnsi="Calibri"/>
                <w:spacing w:val="-5"/>
                <w:sz w:val="20"/>
              </w:rPr>
              <w:t> </w:t>
            </w:r>
            <w:r>
              <w:rPr>
                <w:rFonts w:ascii="Calibri" w:hAnsi="Calibri"/>
                <w:sz w:val="20"/>
              </w:rPr>
              <w:t>or</w:t>
            </w:r>
            <w:r>
              <w:rPr>
                <w:rFonts w:ascii="Calibri" w:hAnsi="Calibri"/>
                <w:spacing w:val="-5"/>
                <w:sz w:val="20"/>
              </w:rPr>
              <w:t> </w:t>
            </w:r>
            <w:r>
              <w:rPr>
                <w:rFonts w:ascii="Calibri" w:hAnsi="Calibri"/>
                <w:sz w:val="20"/>
              </w:rPr>
              <w:t>maintenance</w:t>
            </w:r>
            <w:r>
              <w:rPr>
                <w:rFonts w:ascii="Calibri" w:hAnsi="Calibri"/>
                <w:spacing w:val="-6"/>
                <w:sz w:val="20"/>
              </w:rPr>
              <w:t> </w:t>
            </w:r>
            <w:r>
              <w:rPr>
                <w:rFonts w:ascii="Calibri" w:hAnsi="Calibri"/>
                <w:sz w:val="20"/>
              </w:rPr>
              <w:t>of</w:t>
            </w:r>
            <w:r>
              <w:rPr>
                <w:rFonts w:ascii="Calibri" w:hAnsi="Calibri"/>
                <w:spacing w:val="-5"/>
                <w:sz w:val="20"/>
              </w:rPr>
              <w:t> </w:t>
            </w:r>
            <w:r>
              <w:rPr>
                <w:rFonts w:ascii="Calibri" w:hAnsi="Calibri"/>
                <w:sz w:val="20"/>
              </w:rPr>
              <w:t>one</w:t>
            </w:r>
          </w:p>
          <w:p>
            <w:pPr>
              <w:pStyle w:val="TableParagraph"/>
              <w:spacing w:line="225" w:lineRule="exact" w:before="3"/>
              <w:ind w:left="1129"/>
              <w:rPr>
                <w:rFonts w:ascii="Calibri"/>
                <w:sz w:val="20"/>
              </w:rPr>
            </w:pPr>
            <w:r>
              <w:rPr>
                <w:rFonts w:ascii="Calibri"/>
                <w:sz w:val="20"/>
              </w:rPr>
              <w:t>or</w:t>
            </w:r>
            <w:r>
              <w:rPr>
                <w:rFonts w:ascii="Calibri"/>
                <w:spacing w:val="-6"/>
                <w:sz w:val="20"/>
              </w:rPr>
              <w:t> </w:t>
            </w:r>
            <w:r>
              <w:rPr>
                <w:rFonts w:ascii="Calibri"/>
                <w:sz w:val="20"/>
              </w:rPr>
              <w:t>more</w:t>
            </w:r>
            <w:r>
              <w:rPr>
                <w:rFonts w:ascii="Calibri"/>
                <w:spacing w:val="-6"/>
                <w:sz w:val="20"/>
              </w:rPr>
              <w:t> </w:t>
            </w:r>
            <w:r>
              <w:rPr>
                <w:rFonts w:ascii="Calibri"/>
                <w:sz w:val="20"/>
              </w:rPr>
              <w:t>desired</w:t>
            </w:r>
            <w:r>
              <w:rPr>
                <w:rFonts w:ascii="Calibri"/>
                <w:spacing w:val="-5"/>
                <w:sz w:val="20"/>
              </w:rPr>
              <w:t> </w:t>
            </w:r>
            <w:r>
              <w:rPr>
                <w:rFonts w:ascii="Calibri"/>
                <w:sz w:val="20"/>
              </w:rPr>
              <w:t>conditions</w:t>
            </w:r>
            <w:r>
              <w:rPr>
                <w:rFonts w:ascii="Calibri"/>
                <w:spacing w:val="-6"/>
                <w:sz w:val="20"/>
              </w:rPr>
              <w:t> </w:t>
            </w:r>
            <w:r>
              <w:rPr>
                <w:rFonts w:ascii="Calibri"/>
                <w:sz w:val="20"/>
              </w:rPr>
              <w:t>in</w:t>
            </w:r>
            <w:r>
              <w:rPr>
                <w:rFonts w:ascii="Calibri"/>
                <w:spacing w:val="-3"/>
                <w:sz w:val="20"/>
              </w:rPr>
              <w:t> </w:t>
            </w:r>
            <w:r>
              <w:rPr>
                <w:rFonts w:ascii="Calibri"/>
                <w:sz w:val="20"/>
              </w:rPr>
              <w:t>the</w:t>
            </w:r>
            <w:r>
              <w:rPr>
                <w:rFonts w:ascii="Calibri"/>
                <w:spacing w:val="-6"/>
                <w:sz w:val="20"/>
              </w:rPr>
              <w:t> </w:t>
            </w:r>
            <w:r>
              <w:rPr>
                <w:rFonts w:ascii="Calibri"/>
                <w:sz w:val="20"/>
              </w:rPr>
              <w:t>short</w:t>
            </w:r>
            <w:r>
              <w:rPr>
                <w:rFonts w:ascii="Calibri"/>
                <w:spacing w:val="-6"/>
                <w:sz w:val="20"/>
              </w:rPr>
              <w:t> </w:t>
            </w:r>
            <w:r>
              <w:rPr>
                <w:rFonts w:ascii="Calibri"/>
                <w:sz w:val="20"/>
              </w:rPr>
              <w:t>term;</w:t>
            </w:r>
            <w:r>
              <w:rPr>
                <w:rFonts w:ascii="Calibri"/>
                <w:spacing w:val="-6"/>
                <w:sz w:val="20"/>
              </w:rPr>
              <w:t> </w:t>
            </w:r>
            <w:r>
              <w:rPr>
                <w:rFonts w:ascii="Calibri"/>
                <w:spacing w:val="-5"/>
                <w:sz w:val="20"/>
              </w:rPr>
              <w:t>or</w:t>
            </w:r>
          </w:p>
        </w:tc>
      </w:tr>
      <w:tr>
        <w:trPr>
          <w:trHeight w:val="1037" w:hRule="atLeast"/>
        </w:trPr>
        <w:tc>
          <w:tcPr>
            <w:tcW w:w="2079" w:type="dxa"/>
            <w:tcBorders>
              <w:left w:val="single" w:sz="8" w:space="0" w:color="9BBA58"/>
              <w:bottom w:val="single" w:sz="8" w:space="0" w:color="9BBA58"/>
            </w:tcBorders>
          </w:tcPr>
          <w:p>
            <w:pPr>
              <w:pStyle w:val="TableParagraph"/>
              <w:spacing w:before="0"/>
              <w:rPr>
                <w:rFonts w:ascii="Times New Roman"/>
                <w:sz w:val="20"/>
              </w:rPr>
            </w:pPr>
          </w:p>
        </w:tc>
        <w:tc>
          <w:tcPr>
            <w:tcW w:w="6471" w:type="dxa"/>
            <w:tcBorders>
              <w:bottom w:val="single" w:sz="8" w:space="0" w:color="9BBA58"/>
              <w:right w:val="single" w:sz="8" w:space="0" w:color="9BBA58"/>
            </w:tcBorders>
          </w:tcPr>
          <w:p>
            <w:pPr>
              <w:pStyle w:val="TableParagraph"/>
              <w:tabs>
                <w:tab w:pos="1129" w:val="left" w:leader="none"/>
              </w:tabs>
              <w:spacing w:line="256" w:lineRule="auto" w:before="3"/>
              <w:ind w:left="1129" w:right="279" w:hanging="360"/>
              <w:rPr>
                <w:rFonts w:ascii="Calibri" w:hAnsi="Calibri"/>
                <w:sz w:val="20"/>
              </w:rPr>
            </w:pPr>
            <w:r>
              <w:rPr>
                <w:rFonts w:ascii="Symbol" w:hAnsi="Symbol"/>
                <w:spacing w:val="-10"/>
                <w:sz w:val="20"/>
              </w:rPr>
              <w:t></w:t>
            </w:r>
            <w:r>
              <w:rPr>
                <w:rFonts w:ascii="Times New Roman" w:hAnsi="Times New Roman"/>
                <w:sz w:val="20"/>
              </w:rPr>
              <w:tab/>
            </w:r>
            <w:r>
              <w:rPr>
                <w:rFonts w:ascii="Calibri" w:hAnsi="Calibri"/>
                <w:sz w:val="20"/>
              </w:rPr>
              <w:t>Maintain</w:t>
            </w:r>
            <w:r>
              <w:rPr>
                <w:rFonts w:ascii="Calibri" w:hAnsi="Calibri"/>
                <w:spacing w:val="-3"/>
                <w:sz w:val="20"/>
              </w:rPr>
              <w:t> </w:t>
            </w:r>
            <w:r>
              <w:rPr>
                <w:rFonts w:ascii="Calibri" w:hAnsi="Calibri"/>
                <w:sz w:val="20"/>
              </w:rPr>
              <w:t>or</w:t>
            </w:r>
            <w:r>
              <w:rPr>
                <w:rFonts w:ascii="Calibri" w:hAnsi="Calibri"/>
                <w:spacing w:val="-4"/>
                <w:sz w:val="20"/>
              </w:rPr>
              <w:t> </w:t>
            </w:r>
            <w:r>
              <w:rPr>
                <w:rFonts w:ascii="Calibri" w:hAnsi="Calibri"/>
                <w:sz w:val="20"/>
              </w:rPr>
              <w:t>make</w:t>
            </w:r>
            <w:r>
              <w:rPr>
                <w:rFonts w:ascii="Calibri" w:hAnsi="Calibri"/>
                <w:spacing w:val="-5"/>
                <w:sz w:val="20"/>
              </w:rPr>
              <w:t> </w:t>
            </w:r>
            <w:r>
              <w:rPr>
                <w:rFonts w:ascii="Calibri" w:hAnsi="Calibri"/>
                <w:sz w:val="20"/>
              </w:rPr>
              <w:t>progress</w:t>
            </w:r>
            <w:r>
              <w:rPr>
                <w:rFonts w:ascii="Calibri" w:hAnsi="Calibri"/>
                <w:spacing w:val="-5"/>
                <w:sz w:val="20"/>
              </w:rPr>
              <w:t> </w:t>
            </w:r>
            <w:r>
              <w:rPr>
                <w:rFonts w:ascii="Calibri" w:hAnsi="Calibri"/>
                <w:sz w:val="20"/>
              </w:rPr>
              <w:t>toward</w:t>
            </w:r>
            <w:r>
              <w:rPr>
                <w:rFonts w:ascii="Calibri" w:hAnsi="Calibri"/>
                <w:spacing w:val="-3"/>
                <w:sz w:val="20"/>
              </w:rPr>
              <w:t> </w:t>
            </w:r>
            <w:r>
              <w:rPr>
                <w:rFonts w:ascii="Calibri" w:hAnsi="Calibri"/>
                <w:sz w:val="20"/>
              </w:rPr>
              <w:t>one</w:t>
            </w:r>
            <w:r>
              <w:rPr>
                <w:rFonts w:ascii="Calibri" w:hAnsi="Calibri"/>
                <w:spacing w:val="-5"/>
                <w:sz w:val="20"/>
              </w:rPr>
              <w:t> </w:t>
            </w:r>
            <w:r>
              <w:rPr>
                <w:rFonts w:ascii="Calibri" w:hAnsi="Calibri"/>
                <w:sz w:val="20"/>
              </w:rPr>
              <w:t>or</w:t>
            </w:r>
            <w:r>
              <w:rPr>
                <w:rFonts w:ascii="Calibri" w:hAnsi="Calibri"/>
                <w:spacing w:val="-4"/>
                <w:sz w:val="20"/>
              </w:rPr>
              <w:t> </w:t>
            </w:r>
            <w:r>
              <w:rPr>
                <w:rFonts w:ascii="Calibri" w:hAnsi="Calibri"/>
                <w:sz w:val="20"/>
              </w:rPr>
              <w:t>more</w:t>
            </w:r>
            <w:r>
              <w:rPr>
                <w:rFonts w:ascii="Calibri" w:hAnsi="Calibri"/>
                <w:spacing w:val="-5"/>
                <w:sz w:val="20"/>
              </w:rPr>
              <w:t> </w:t>
            </w:r>
            <w:r>
              <w:rPr>
                <w:rFonts w:ascii="Calibri" w:hAnsi="Calibri"/>
                <w:sz w:val="20"/>
              </w:rPr>
              <w:t>of</w:t>
            </w:r>
            <w:r>
              <w:rPr>
                <w:rFonts w:ascii="Calibri" w:hAnsi="Calibri"/>
                <w:spacing w:val="-5"/>
                <w:sz w:val="20"/>
              </w:rPr>
              <w:t> </w:t>
            </w:r>
            <w:r>
              <w:rPr>
                <w:rFonts w:ascii="Calibri" w:hAnsi="Calibri"/>
                <w:sz w:val="20"/>
              </w:rPr>
              <w:t>the</w:t>
            </w:r>
            <w:r>
              <w:rPr>
                <w:rFonts w:ascii="Calibri" w:hAnsi="Calibri"/>
                <w:spacing w:val="-5"/>
                <w:sz w:val="20"/>
              </w:rPr>
              <w:t> </w:t>
            </w:r>
            <w:r>
              <w:rPr>
                <w:rFonts w:ascii="Calibri" w:hAnsi="Calibri"/>
                <w:sz w:val="20"/>
              </w:rPr>
              <w:t>desired conditions over the long term, even if the project or activity would adversely affect progress toward other desired</w:t>
            </w:r>
          </w:p>
          <w:p>
            <w:pPr>
              <w:pStyle w:val="TableParagraph"/>
              <w:spacing w:line="219" w:lineRule="exact" w:before="0"/>
              <w:ind w:left="1129"/>
              <w:rPr>
                <w:rFonts w:ascii="Calibri"/>
                <w:sz w:val="20"/>
              </w:rPr>
            </w:pPr>
            <w:r>
              <w:rPr>
                <w:rFonts w:ascii="Calibri"/>
                <w:sz w:val="20"/>
              </w:rPr>
              <w:t>conditions</w:t>
            </w:r>
            <w:r>
              <w:rPr>
                <w:rFonts w:ascii="Calibri"/>
                <w:spacing w:val="-7"/>
                <w:sz w:val="20"/>
              </w:rPr>
              <w:t> </w:t>
            </w:r>
            <w:r>
              <w:rPr>
                <w:rFonts w:ascii="Calibri"/>
                <w:sz w:val="20"/>
              </w:rPr>
              <w:t>in</w:t>
            </w:r>
            <w:r>
              <w:rPr>
                <w:rFonts w:ascii="Calibri"/>
                <w:spacing w:val="-5"/>
                <w:sz w:val="20"/>
              </w:rPr>
              <w:t> </w:t>
            </w:r>
            <w:r>
              <w:rPr>
                <w:rFonts w:ascii="Calibri"/>
                <w:sz w:val="20"/>
              </w:rPr>
              <w:t>a</w:t>
            </w:r>
            <w:r>
              <w:rPr>
                <w:rFonts w:ascii="Calibri"/>
                <w:spacing w:val="-6"/>
                <w:sz w:val="20"/>
              </w:rPr>
              <w:t> </w:t>
            </w:r>
            <w:r>
              <w:rPr>
                <w:rFonts w:ascii="Calibri"/>
                <w:sz w:val="20"/>
              </w:rPr>
              <w:t>negligible</w:t>
            </w:r>
            <w:r>
              <w:rPr>
                <w:rFonts w:ascii="Calibri"/>
                <w:spacing w:val="-7"/>
                <w:sz w:val="20"/>
              </w:rPr>
              <w:t> </w:t>
            </w:r>
            <w:r>
              <w:rPr>
                <w:rFonts w:ascii="Calibri"/>
                <w:sz w:val="20"/>
              </w:rPr>
              <w:t>way</w:t>
            </w:r>
            <w:r>
              <w:rPr>
                <w:rFonts w:ascii="Calibri"/>
                <w:spacing w:val="-4"/>
                <w:sz w:val="20"/>
              </w:rPr>
              <w:t> </w:t>
            </w:r>
            <w:r>
              <w:rPr>
                <w:rFonts w:ascii="Calibri"/>
                <w:sz w:val="20"/>
              </w:rPr>
              <w:t>over</w:t>
            </w:r>
            <w:r>
              <w:rPr>
                <w:rFonts w:ascii="Calibri"/>
                <w:spacing w:val="-6"/>
                <w:sz w:val="20"/>
              </w:rPr>
              <w:t> </w:t>
            </w:r>
            <w:r>
              <w:rPr>
                <w:rFonts w:ascii="Calibri"/>
                <w:sz w:val="20"/>
              </w:rPr>
              <w:t>the</w:t>
            </w:r>
            <w:r>
              <w:rPr>
                <w:rFonts w:ascii="Calibri"/>
                <w:spacing w:val="-6"/>
                <w:sz w:val="20"/>
              </w:rPr>
              <w:t> </w:t>
            </w:r>
            <w:r>
              <w:rPr>
                <w:rFonts w:ascii="Calibri"/>
                <w:sz w:val="20"/>
              </w:rPr>
              <w:t>long</w:t>
            </w:r>
            <w:r>
              <w:rPr>
                <w:rFonts w:ascii="Calibri"/>
                <w:spacing w:val="-6"/>
                <w:sz w:val="20"/>
              </w:rPr>
              <w:t> </w:t>
            </w:r>
            <w:r>
              <w:rPr>
                <w:rFonts w:ascii="Calibri"/>
                <w:spacing w:val="-4"/>
                <w:sz w:val="20"/>
              </w:rPr>
              <w:t>term.</w:t>
            </w:r>
          </w:p>
        </w:tc>
      </w:tr>
    </w:tbl>
    <w:p>
      <w:pPr>
        <w:pStyle w:val="TableParagraph"/>
        <w:spacing w:after="0" w:line="219" w:lineRule="exact"/>
        <w:rPr>
          <w:rFonts w:ascii="Calibri"/>
          <w:sz w:val="20"/>
        </w:rPr>
        <w:sectPr>
          <w:pgSz w:w="12240" w:h="15840"/>
          <w:pgMar w:header="725" w:footer="891" w:top="960" w:bottom="1080" w:left="1080" w:right="720"/>
        </w:sectPr>
      </w:pPr>
    </w:p>
    <w:p>
      <w:pPr>
        <w:pStyle w:val="BodyText"/>
        <w:spacing w:before="231"/>
        <w:rPr>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28"/>
        <w:gridCol w:w="6820"/>
      </w:tblGrid>
      <w:tr>
        <w:trPr>
          <w:trHeight w:val="460" w:hRule="atLeast"/>
        </w:trPr>
        <w:tc>
          <w:tcPr>
            <w:tcW w:w="8548" w:type="dxa"/>
            <w:gridSpan w:val="2"/>
            <w:shd w:val="clear" w:color="auto" w:fill="C2D59B"/>
          </w:tcPr>
          <w:p>
            <w:pPr>
              <w:pStyle w:val="TableParagraph"/>
              <w:spacing w:before="18"/>
              <w:ind w:left="107"/>
              <w:rPr>
                <w:rFonts w:ascii="Calibri"/>
                <w:b/>
                <w:sz w:val="20"/>
              </w:rPr>
            </w:pPr>
            <w:r>
              <w:rPr>
                <w:rFonts w:ascii="Calibri"/>
                <w:b/>
                <w:sz w:val="20"/>
              </w:rPr>
              <w:t>Plan</w:t>
            </w:r>
            <w:r>
              <w:rPr>
                <w:rFonts w:ascii="Calibri"/>
                <w:b/>
                <w:spacing w:val="-5"/>
                <w:sz w:val="20"/>
              </w:rPr>
              <w:t> </w:t>
            </w:r>
            <w:r>
              <w:rPr>
                <w:rFonts w:ascii="Calibri"/>
                <w:b/>
                <w:spacing w:val="-2"/>
                <w:sz w:val="20"/>
              </w:rPr>
              <w:t>Components</w:t>
            </w:r>
          </w:p>
        </w:tc>
      </w:tr>
      <w:tr>
        <w:trPr>
          <w:trHeight w:val="2019" w:hRule="atLeast"/>
        </w:trPr>
        <w:tc>
          <w:tcPr>
            <w:tcW w:w="8548" w:type="dxa"/>
            <w:gridSpan w:val="2"/>
          </w:tcPr>
          <w:p>
            <w:pPr>
              <w:pStyle w:val="TableParagraph"/>
              <w:spacing w:line="254" w:lineRule="auto" w:before="18"/>
              <w:ind w:left="2478" w:right="116"/>
              <w:rPr>
                <w:rFonts w:ascii="Calibri"/>
                <w:sz w:val="20"/>
              </w:rPr>
            </w:pPr>
            <w:r>
              <w:rPr>
                <w:rFonts w:ascii="Calibri"/>
                <w:sz w:val="20"/>
              </w:rPr>
              <w:t>The project or activity documentation should explain how the project or activity</w:t>
            </w:r>
            <w:r>
              <w:rPr>
                <w:rFonts w:ascii="Calibri"/>
                <w:spacing w:val="-4"/>
                <w:sz w:val="20"/>
              </w:rPr>
              <w:t> </w:t>
            </w:r>
            <w:r>
              <w:rPr>
                <w:rFonts w:ascii="Calibri"/>
                <w:sz w:val="20"/>
              </w:rPr>
              <w:t>is</w:t>
            </w:r>
            <w:r>
              <w:rPr>
                <w:rFonts w:ascii="Calibri"/>
                <w:spacing w:val="-6"/>
                <w:sz w:val="20"/>
              </w:rPr>
              <w:t> </w:t>
            </w:r>
            <w:r>
              <w:rPr>
                <w:rFonts w:ascii="Calibri"/>
                <w:sz w:val="20"/>
              </w:rPr>
              <w:t>consistent</w:t>
            </w:r>
            <w:r>
              <w:rPr>
                <w:rFonts w:ascii="Calibri"/>
                <w:spacing w:val="-5"/>
                <w:sz w:val="20"/>
              </w:rPr>
              <w:t> </w:t>
            </w:r>
            <w:r>
              <w:rPr>
                <w:rFonts w:ascii="Calibri"/>
                <w:sz w:val="20"/>
              </w:rPr>
              <w:t>with</w:t>
            </w:r>
            <w:r>
              <w:rPr>
                <w:rFonts w:ascii="Calibri"/>
                <w:spacing w:val="-4"/>
                <w:sz w:val="20"/>
              </w:rPr>
              <w:t> </w:t>
            </w:r>
            <w:r>
              <w:rPr>
                <w:rFonts w:ascii="Calibri"/>
                <w:sz w:val="20"/>
              </w:rPr>
              <w:t>desired</w:t>
            </w:r>
            <w:r>
              <w:rPr>
                <w:rFonts w:ascii="Calibri"/>
                <w:spacing w:val="-4"/>
                <w:sz w:val="20"/>
              </w:rPr>
              <w:t> </w:t>
            </w:r>
            <w:r>
              <w:rPr>
                <w:rFonts w:ascii="Calibri"/>
                <w:sz w:val="20"/>
              </w:rPr>
              <w:t>conditions</w:t>
            </w:r>
            <w:r>
              <w:rPr>
                <w:rFonts w:ascii="Calibri"/>
                <w:spacing w:val="-6"/>
                <w:sz w:val="20"/>
              </w:rPr>
              <w:t> </w:t>
            </w:r>
            <w:r>
              <w:rPr>
                <w:rFonts w:ascii="Calibri"/>
                <w:sz w:val="20"/>
              </w:rPr>
              <w:t>and</w:t>
            </w:r>
            <w:r>
              <w:rPr>
                <w:rFonts w:ascii="Calibri"/>
                <w:spacing w:val="-4"/>
                <w:sz w:val="20"/>
              </w:rPr>
              <w:t> </w:t>
            </w:r>
            <w:r>
              <w:rPr>
                <w:rFonts w:ascii="Calibri"/>
                <w:sz w:val="20"/>
              </w:rPr>
              <w:t>describe</w:t>
            </w:r>
            <w:r>
              <w:rPr>
                <w:rFonts w:ascii="Calibri"/>
                <w:spacing w:val="-6"/>
                <w:sz w:val="20"/>
              </w:rPr>
              <w:t> </w:t>
            </w:r>
            <w:r>
              <w:rPr>
                <w:rFonts w:ascii="Calibri"/>
                <w:sz w:val="20"/>
              </w:rPr>
              <w:t>any</w:t>
            </w:r>
            <w:r>
              <w:rPr>
                <w:rFonts w:ascii="Calibri"/>
                <w:spacing w:val="-4"/>
                <w:sz w:val="20"/>
              </w:rPr>
              <w:t> </w:t>
            </w:r>
            <w:r>
              <w:rPr>
                <w:rFonts w:ascii="Calibri"/>
                <w:sz w:val="20"/>
              </w:rPr>
              <w:t>short-term or negligible long-term adverse effects the project or activity may have concerning the maintenance or attainment of any desired condition. If a project will adversely affect progress toward one or more desired condition in more than a negligible way or short-term way, a Plan Amendment is required.</w:t>
            </w:r>
          </w:p>
        </w:tc>
      </w:tr>
      <w:tr>
        <w:trPr>
          <w:trHeight w:val="6440" w:hRule="atLeast"/>
        </w:trPr>
        <w:tc>
          <w:tcPr>
            <w:tcW w:w="1728" w:type="dxa"/>
            <w:tcBorders>
              <w:right w:val="nil"/>
            </w:tcBorders>
          </w:tcPr>
          <w:p>
            <w:pPr>
              <w:pStyle w:val="TableParagraph"/>
              <w:spacing w:before="18"/>
              <w:ind w:left="107"/>
              <w:rPr>
                <w:rFonts w:ascii="Calibri"/>
                <w:b/>
                <w:sz w:val="20"/>
              </w:rPr>
            </w:pPr>
            <w:r>
              <w:rPr>
                <w:rFonts w:ascii="Calibri"/>
                <w:b/>
                <w:spacing w:val="-2"/>
                <w:sz w:val="20"/>
              </w:rPr>
              <w:t>Objectives</w:t>
            </w:r>
          </w:p>
        </w:tc>
        <w:tc>
          <w:tcPr>
            <w:tcW w:w="6820" w:type="dxa"/>
            <w:tcBorders>
              <w:left w:val="nil"/>
            </w:tcBorders>
          </w:tcPr>
          <w:p>
            <w:pPr>
              <w:pStyle w:val="TableParagraph"/>
              <w:spacing w:line="256" w:lineRule="auto" w:before="18"/>
              <w:ind w:left="760" w:right="132"/>
              <w:rPr>
                <w:rFonts w:ascii="Calibri"/>
                <w:sz w:val="20"/>
              </w:rPr>
            </w:pPr>
            <w:r>
              <w:rPr>
                <w:rFonts w:ascii="Calibri"/>
                <w:sz w:val="20"/>
              </w:rPr>
              <w:t>These are concise projections of measurable, time-specific intended outcomes. Objectives are the means of measuring progress toward achieving or maintaining desired conditions. The objectives represent just</w:t>
            </w:r>
            <w:r>
              <w:rPr>
                <w:rFonts w:ascii="Calibri"/>
                <w:spacing w:val="-4"/>
                <w:sz w:val="20"/>
              </w:rPr>
              <w:t> </w:t>
            </w:r>
            <w:r>
              <w:rPr>
                <w:rFonts w:ascii="Calibri"/>
                <w:sz w:val="20"/>
              </w:rPr>
              <w:t>some</w:t>
            </w:r>
            <w:r>
              <w:rPr>
                <w:rFonts w:ascii="Calibri"/>
                <w:spacing w:val="-5"/>
                <w:sz w:val="20"/>
              </w:rPr>
              <w:t> </w:t>
            </w:r>
            <w:r>
              <w:rPr>
                <w:rFonts w:ascii="Calibri"/>
                <w:sz w:val="20"/>
              </w:rPr>
              <w:t>of</w:t>
            </w:r>
            <w:r>
              <w:rPr>
                <w:rFonts w:ascii="Calibri"/>
                <w:spacing w:val="-5"/>
                <w:sz w:val="20"/>
              </w:rPr>
              <w:t> </w:t>
            </w:r>
            <w:r>
              <w:rPr>
                <w:rFonts w:ascii="Calibri"/>
                <w:sz w:val="20"/>
              </w:rPr>
              <w:t>the</w:t>
            </w:r>
            <w:r>
              <w:rPr>
                <w:rFonts w:ascii="Calibri"/>
                <w:spacing w:val="-5"/>
                <w:sz w:val="20"/>
              </w:rPr>
              <w:t> </w:t>
            </w:r>
            <w:r>
              <w:rPr>
                <w:rFonts w:ascii="Calibri"/>
                <w:sz w:val="20"/>
              </w:rPr>
              <w:t>expected</w:t>
            </w:r>
            <w:r>
              <w:rPr>
                <w:rFonts w:ascii="Calibri"/>
                <w:spacing w:val="-3"/>
                <w:sz w:val="20"/>
              </w:rPr>
              <w:t> </w:t>
            </w:r>
            <w:r>
              <w:rPr>
                <w:rFonts w:ascii="Calibri"/>
                <w:sz w:val="20"/>
              </w:rPr>
              <w:t>outcomes</w:t>
            </w:r>
            <w:r>
              <w:rPr>
                <w:rFonts w:ascii="Calibri"/>
                <w:spacing w:val="-5"/>
                <w:sz w:val="20"/>
              </w:rPr>
              <w:t> </w:t>
            </w:r>
            <w:r>
              <w:rPr>
                <w:rFonts w:ascii="Calibri"/>
                <w:sz w:val="20"/>
              </w:rPr>
              <w:t>or</w:t>
            </w:r>
            <w:r>
              <w:rPr>
                <w:rFonts w:ascii="Calibri"/>
                <w:spacing w:val="-4"/>
                <w:sz w:val="20"/>
              </w:rPr>
              <w:t> </w:t>
            </w:r>
            <w:r>
              <w:rPr>
                <w:rFonts w:ascii="Calibri"/>
                <w:sz w:val="20"/>
              </w:rPr>
              <w:t>actions</w:t>
            </w:r>
            <w:r>
              <w:rPr>
                <w:rFonts w:ascii="Calibri"/>
                <w:spacing w:val="-5"/>
                <w:sz w:val="20"/>
              </w:rPr>
              <w:t> </w:t>
            </w:r>
            <w:r>
              <w:rPr>
                <w:rFonts w:ascii="Calibri"/>
                <w:sz w:val="20"/>
              </w:rPr>
              <w:t>required</w:t>
            </w:r>
            <w:r>
              <w:rPr>
                <w:rFonts w:ascii="Calibri"/>
                <w:spacing w:val="-3"/>
                <w:sz w:val="20"/>
              </w:rPr>
              <w:t> </w:t>
            </w:r>
            <w:r>
              <w:rPr>
                <w:rFonts w:ascii="Calibri"/>
                <w:sz w:val="20"/>
              </w:rPr>
              <w:t>to</w:t>
            </w:r>
            <w:r>
              <w:rPr>
                <w:rFonts w:ascii="Calibri"/>
                <w:spacing w:val="-4"/>
                <w:sz w:val="20"/>
              </w:rPr>
              <w:t> </w:t>
            </w:r>
            <w:r>
              <w:rPr>
                <w:rFonts w:ascii="Calibri"/>
                <w:sz w:val="20"/>
              </w:rPr>
              <w:t>accomplish movement toward desired conditions.</w:t>
            </w:r>
          </w:p>
          <w:p>
            <w:pPr>
              <w:pStyle w:val="TableParagraph"/>
              <w:spacing w:before="9"/>
              <w:rPr>
                <w:rFonts w:ascii="Calibri"/>
                <w:sz w:val="20"/>
              </w:rPr>
            </w:pPr>
          </w:p>
          <w:p>
            <w:pPr>
              <w:pStyle w:val="TableParagraph"/>
              <w:spacing w:line="256" w:lineRule="auto" w:before="0"/>
              <w:ind w:left="760" w:right="590"/>
              <w:jc w:val="both"/>
              <w:rPr>
                <w:rFonts w:ascii="Calibri"/>
                <w:sz w:val="20"/>
              </w:rPr>
            </w:pPr>
            <w:r>
              <w:rPr>
                <w:rFonts w:ascii="Calibri"/>
                <w:sz w:val="20"/>
              </w:rPr>
              <w:t>Variation in achieving objectives may occur during the next 10 to 15</w:t>
            </w:r>
            <w:r>
              <w:rPr>
                <w:rFonts w:ascii="Calibri"/>
                <w:spacing w:val="-7"/>
                <w:sz w:val="20"/>
              </w:rPr>
              <w:t> </w:t>
            </w:r>
            <w:r>
              <w:rPr>
                <w:rFonts w:ascii="Calibri"/>
                <w:sz w:val="20"/>
              </w:rPr>
              <w:t>years</w:t>
            </w:r>
            <w:r>
              <w:rPr>
                <w:rFonts w:ascii="Calibri"/>
                <w:spacing w:val="-7"/>
                <w:sz w:val="20"/>
              </w:rPr>
              <w:t> </w:t>
            </w:r>
            <w:r>
              <w:rPr>
                <w:rFonts w:ascii="Calibri"/>
                <w:sz w:val="20"/>
              </w:rPr>
              <w:t>because</w:t>
            </w:r>
            <w:r>
              <w:rPr>
                <w:rFonts w:ascii="Calibri"/>
                <w:spacing w:val="-7"/>
                <w:sz w:val="20"/>
              </w:rPr>
              <w:t> </w:t>
            </w:r>
            <w:r>
              <w:rPr>
                <w:rFonts w:ascii="Calibri"/>
                <w:sz w:val="20"/>
              </w:rPr>
              <w:t>of</w:t>
            </w:r>
            <w:r>
              <w:rPr>
                <w:rFonts w:ascii="Calibri"/>
                <w:spacing w:val="-7"/>
                <w:sz w:val="20"/>
              </w:rPr>
              <w:t> </w:t>
            </w:r>
            <w:r>
              <w:rPr>
                <w:rFonts w:ascii="Calibri"/>
                <w:sz w:val="20"/>
              </w:rPr>
              <w:t>changes</w:t>
            </w:r>
            <w:r>
              <w:rPr>
                <w:rFonts w:ascii="Calibri"/>
                <w:spacing w:val="-7"/>
                <w:sz w:val="20"/>
              </w:rPr>
              <w:t> </w:t>
            </w:r>
            <w:r>
              <w:rPr>
                <w:rFonts w:ascii="Calibri"/>
                <w:sz w:val="20"/>
              </w:rPr>
              <w:t>in</w:t>
            </w:r>
            <w:r>
              <w:rPr>
                <w:rFonts w:ascii="Calibri"/>
                <w:spacing w:val="-5"/>
                <w:sz w:val="20"/>
              </w:rPr>
              <w:t> </w:t>
            </w:r>
            <w:r>
              <w:rPr>
                <w:rFonts w:ascii="Calibri"/>
                <w:sz w:val="20"/>
              </w:rPr>
              <w:t>environmental</w:t>
            </w:r>
            <w:r>
              <w:rPr>
                <w:rFonts w:ascii="Calibri"/>
                <w:spacing w:val="-6"/>
                <w:sz w:val="20"/>
              </w:rPr>
              <w:t> </w:t>
            </w:r>
            <w:r>
              <w:rPr>
                <w:rFonts w:ascii="Calibri"/>
                <w:sz w:val="20"/>
              </w:rPr>
              <w:t>conditions,</w:t>
            </w:r>
            <w:r>
              <w:rPr>
                <w:rFonts w:ascii="Calibri"/>
                <w:spacing w:val="-5"/>
                <w:sz w:val="20"/>
              </w:rPr>
              <w:t> </w:t>
            </w:r>
            <w:r>
              <w:rPr>
                <w:rFonts w:ascii="Calibri"/>
                <w:spacing w:val="-2"/>
                <w:sz w:val="20"/>
              </w:rPr>
              <w:t>available</w:t>
            </w:r>
          </w:p>
          <w:p>
            <w:pPr>
              <w:pStyle w:val="TableParagraph"/>
              <w:spacing w:line="256" w:lineRule="auto" w:before="0"/>
              <w:ind w:left="760" w:right="220"/>
              <w:jc w:val="both"/>
              <w:rPr>
                <w:rFonts w:ascii="Calibri"/>
                <w:sz w:val="20"/>
              </w:rPr>
            </w:pPr>
            <w:r>
              <w:rPr>
                <w:rFonts w:ascii="Calibri"/>
                <w:sz w:val="20"/>
              </w:rPr>
              <w:t>budgets,</w:t>
            </w:r>
            <w:r>
              <w:rPr>
                <w:rFonts w:ascii="Calibri"/>
                <w:spacing w:val="-4"/>
                <w:sz w:val="20"/>
              </w:rPr>
              <w:t> </w:t>
            </w:r>
            <w:r>
              <w:rPr>
                <w:rFonts w:ascii="Calibri"/>
                <w:sz w:val="20"/>
              </w:rPr>
              <w:t>and</w:t>
            </w:r>
            <w:r>
              <w:rPr>
                <w:rFonts w:ascii="Calibri"/>
                <w:spacing w:val="-4"/>
                <w:sz w:val="20"/>
              </w:rPr>
              <w:t> </w:t>
            </w:r>
            <w:r>
              <w:rPr>
                <w:rFonts w:ascii="Calibri"/>
                <w:sz w:val="20"/>
              </w:rPr>
              <w:t>other</w:t>
            </w:r>
            <w:r>
              <w:rPr>
                <w:rFonts w:ascii="Calibri"/>
                <w:spacing w:val="-5"/>
                <w:sz w:val="20"/>
              </w:rPr>
              <w:t> </w:t>
            </w:r>
            <w:r>
              <w:rPr>
                <w:rFonts w:ascii="Calibri"/>
                <w:sz w:val="20"/>
              </w:rPr>
              <w:t>factors.</w:t>
            </w:r>
            <w:r>
              <w:rPr>
                <w:rFonts w:ascii="Calibri"/>
                <w:spacing w:val="-5"/>
                <w:sz w:val="20"/>
              </w:rPr>
              <w:t> </w:t>
            </w:r>
            <w:r>
              <w:rPr>
                <w:rFonts w:ascii="Calibri"/>
                <w:sz w:val="20"/>
              </w:rPr>
              <w:t>Objectives</w:t>
            </w:r>
            <w:r>
              <w:rPr>
                <w:rFonts w:ascii="Calibri"/>
                <w:spacing w:val="-6"/>
                <w:sz w:val="20"/>
              </w:rPr>
              <w:t> </w:t>
            </w:r>
            <w:r>
              <w:rPr>
                <w:rFonts w:ascii="Calibri"/>
                <w:sz w:val="20"/>
              </w:rPr>
              <w:t>are</w:t>
            </w:r>
            <w:r>
              <w:rPr>
                <w:rFonts w:ascii="Calibri"/>
                <w:spacing w:val="-3"/>
                <w:sz w:val="20"/>
              </w:rPr>
              <w:t> </w:t>
            </w:r>
            <w:r>
              <w:rPr>
                <w:rFonts w:ascii="Calibri"/>
                <w:sz w:val="20"/>
              </w:rPr>
              <w:t>strongly</w:t>
            </w:r>
            <w:r>
              <w:rPr>
                <w:rFonts w:ascii="Calibri"/>
                <w:spacing w:val="-4"/>
                <w:sz w:val="20"/>
              </w:rPr>
              <w:t> </w:t>
            </w:r>
            <w:r>
              <w:rPr>
                <w:rFonts w:ascii="Calibri"/>
                <w:sz w:val="20"/>
              </w:rPr>
              <w:t>influenced</w:t>
            </w:r>
            <w:r>
              <w:rPr>
                <w:rFonts w:ascii="Calibri"/>
                <w:spacing w:val="-4"/>
                <w:sz w:val="20"/>
              </w:rPr>
              <w:t> </w:t>
            </w:r>
            <w:r>
              <w:rPr>
                <w:rFonts w:ascii="Calibri"/>
                <w:sz w:val="20"/>
              </w:rPr>
              <w:t>by</w:t>
            </w:r>
            <w:r>
              <w:rPr>
                <w:rFonts w:ascii="Calibri"/>
                <w:spacing w:val="-4"/>
                <w:sz w:val="20"/>
              </w:rPr>
              <w:t> </w:t>
            </w:r>
            <w:r>
              <w:rPr>
                <w:rFonts w:ascii="Calibri"/>
                <w:sz w:val="20"/>
              </w:rPr>
              <w:t>recent trends, past experiences</w:t>
            </w:r>
            <w:r>
              <w:rPr>
                <w:rFonts w:ascii="Calibri"/>
                <w:spacing w:val="-1"/>
                <w:sz w:val="20"/>
              </w:rPr>
              <w:t> </w:t>
            </w:r>
            <w:r>
              <w:rPr>
                <w:rFonts w:ascii="Calibri"/>
                <w:sz w:val="20"/>
              </w:rPr>
              <w:t>and anticipated staffing levels, and short-term </w:t>
            </w:r>
            <w:r>
              <w:rPr>
                <w:rFonts w:ascii="Calibri"/>
                <w:spacing w:val="-2"/>
                <w:sz w:val="20"/>
              </w:rPr>
              <w:t>budgets.</w:t>
            </w:r>
          </w:p>
          <w:p>
            <w:pPr>
              <w:pStyle w:val="TableParagraph"/>
              <w:spacing w:before="9"/>
              <w:rPr>
                <w:rFonts w:ascii="Calibri"/>
                <w:sz w:val="20"/>
              </w:rPr>
            </w:pPr>
          </w:p>
          <w:p>
            <w:pPr>
              <w:pStyle w:val="TableParagraph"/>
              <w:spacing w:line="256" w:lineRule="auto" w:before="1"/>
              <w:ind w:left="760" w:right="132"/>
              <w:rPr>
                <w:rFonts w:ascii="Calibri"/>
                <w:sz w:val="20"/>
              </w:rPr>
            </w:pPr>
            <w:r>
              <w:rPr>
                <w:rFonts w:ascii="Calibri"/>
                <w:sz w:val="20"/>
              </w:rPr>
              <w:t>A project or activity is consistent with the objectives of the plan if it contributes to or does not prevent the attainment of any applicable objectives. The project or activity documentation should identify any applicable</w:t>
            </w:r>
            <w:r>
              <w:rPr>
                <w:rFonts w:ascii="Calibri"/>
                <w:spacing w:val="-6"/>
                <w:sz w:val="20"/>
              </w:rPr>
              <w:t> </w:t>
            </w:r>
            <w:r>
              <w:rPr>
                <w:rFonts w:ascii="Calibri"/>
                <w:sz w:val="20"/>
              </w:rPr>
              <w:t>objective(s)</w:t>
            </w:r>
            <w:r>
              <w:rPr>
                <w:rFonts w:ascii="Calibri"/>
                <w:spacing w:val="-5"/>
                <w:sz w:val="20"/>
              </w:rPr>
              <w:t> </w:t>
            </w:r>
            <w:r>
              <w:rPr>
                <w:rFonts w:ascii="Calibri"/>
                <w:sz w:val="20"/>
              </w:rPr>
              <w:t>to</w:t>
            </w:r>
            <w:r>
              <w:rPr>
                <w:rFonts w:ascii="Calibri"/>
                <w:spacing w:val="-5"/>
                <w:sz w:val="20"/>
              </w:rPr>
              <w:t> </w:t>
            </w:r>
            <w:r>
              <w:rPr>
                <w:rFonts w:ascii="Calibri"/>
                <w:sz w:val="20"/>
              </w:rPr>
              <w:t>which</w:t>
            </w:r>
            <w:r>
              <w:rPr>
                <w:rFonts w:ascii="Calibri"/>
                <w:spacing w:val="-4"/>
                <w:sz w:val="20"/>
              </w:rPr>
              <w:t> </w:t>
            </w:r>
            <w:r>
              <w:rPr>
                <w:rFonts w:ascii="Calibri"/>
                <w:sz w:val="20"/>
              </w:rPr>
              <w:t>the</w:t>
            </w:r>
            <w:r>
              <w:rPr>
                <w:rFonts w:ascii="Calibri"/>
                <w:spacing w:val="-6"/>
                <w:sz w:val="20"/>
              </w:rPr>
              <w:t> </w:t>
            </w:r>
            <w:r>
              <w:rPr>
                <w:rFonts w:ascii="Calibri"/>
                <w:sz w:val="20"/>
              </w:rPr>
              <w:t>project</w:t>
            </w:r>
            <w:r>
              <w:rPr>
                <w:rFonts w:ascii="Calibri"/>
                <w:spacing w:val="-5"/>
                <w:sz w:val="20"/>
              </w:rPr>
              <w:t> </w:t>
            </w:r>
            <w:r>
              <w:rPr>
                <w:rFonts w:ascii="Calibri"/>
                <w:sz w:val="20"/>
              </w:rPr>
              <w:t>contributes</w:t>
            </w:r>
            <w:r>
              <w:rPr>
                <w:rFonts w:ascii="Calibri"/>
                <w:spacing w:val="-7"/>
                <w:sz w:val="20"/>
              </w:rPr>
              <w:t> </w:t>
            </w:r>
            <w:r>
              <w:rPr>
                <w:rFonts w:ascii="Calibri"/>
                <w:sz w:val="20"/>
              </w:rPr>
              <w:t>and</w:t>
            </w:r>
            <w:r>
              <w:rPr>
                <w:rFonts w:ascii="Calibri"/>
                <w:spacing w:val="-4"/>
                <w:sz w:val="20"/>
              </w:rPr>
              <w:t> </w:t>
            </w:r>
            <w:r>
              <w:rPr>
                <w:rFonts w:ascii="Calibri"/>
                <w:sz w:val="20"/>
              </w:rPr>
              <w:t>document that the project or activity does not prevent the attainment of any objectives. If</w:t>
            </w:r>
            <w:r>
              <w:rPr>
                <w:rFonts w:ascii="Calibri"/>
                <w:spacing w:val="-1"/>
                <w:sz w:val="20"/>
              </w:rPr>
              <w:t> </w:t>
            </w:r>
            <w:r>
              <w:rPr>
                <w:rFonts w:ascii="Calibri"/>
                <w:sz w:val="20"/>
              </w:rPr>
              <w:t>there</w:t>
            </w:r>
            <w:r>
              <w:rPr>
                <w:rFonts w:ascii="Calibri"/>
                <w:spacing w:val="-1"/>
                <w:sz w:val="20"/>
              </w:rPr>
              <w:t> </w:t>
            </w:r>
            <w:r>
              <w:rPr>
                <w:rFonts w:ascii="Calibri"/>
                <w:sz w:val="20"/>
              </w:rPr>
              <w:t>are</w:t>
            </w:r>
            <w:r>
              <w:rPr>
                <w:rFonts w:ascii="Calibri"/>
                <w:spacing w:val="-1"/>
                <w:sz w:val="20"/>
              </w:rPr>
              <w:t> </w:t>
            </w:r>
            <w:r>
              <w:rPr>
                <w:rFonts w:ascii="Calibri"/>
                <w:sz w:val="20"/>
              </w:rPr>
              <w:t>no applicable</w:t>
            </w:r>
            <w:r>
              <w:rPr>
                <w:rFonts w:ascii="Calibri"/>
                <w:spacing w:val="-1"/>
                <w:sz w:val="20"/>
              </w:rPr>
              <w:t> </w:t>
            </w:r>
            <w:r>
              <w:rPr>
                <w:rFonts w:ascii="Calibri"/>
                <w:sz w:val="20"/>
              </w:rPr>
              <w:t>objectives, the</w:t>
            </w:r>
            <w:r>
              <w:rPr>
                <w:rFonts w:ascii="Calibri"/>
                <w:spacing w:val="-1"/>
                <w:sz w:val="20"/>
              </w:rPr>
              <w:t> </w:t>
            </w:r>
            <w:r>
              <w:rPr>
                <w:rFonts w:ascii="Calibri"/>
                <w:sz w:val="20"/>
              </w:rPr>
              <w:t>project or activity must be consistent with the objectives of the plan, and the project or activity document should state that fact.</w:t>
            </w:r>
          </w:p>
          <w:p>
            <w:pPr>
              <w:pStyle w:val="TableParagraph"/>
              <w:spacing w:before="5"/>
              <w:rPr>
                <w:rFonts w:ascii="Calibri"/>
                <w:sz w:val="20"/>
              </w:rPr>
            </w:pPr>
          </w:p>
          <w:p>
            <w:pPr>
              <w:pStyle w:val="TableParagraph"/>
              <w:spacing w:line="256" w:lineRule="auto" w:before="0"/>
              <w:ind w:left="760" w:right="132"/>
              <w:rPr>
                <w:rFonts w:ascii="Calibri"/>
                <w:sz w:val="20"/>
              </w:rPr>
            </w:pPr>
            <w:r>
              <w:rPr>
                <w:rFonts w:ascii="Calibri"/>
                <w:sz w:val="20"/>
              </w:rPr>
              <w:t>The</w:t>
            </w:r>
            <w:r>
              <w:rPr>
                <w:rFonts w:ascii="Calibri"/>
                <w:spacing w:val="-5"/>
                <w:sz w:val="20"/>
              </w:rPr>
              <w:t> </w:t>
            </w:r>
            <w:r>
              <w:rPr>
                <w:rFonts w:ascii="Calibri"/>
                <w:sz w:val="20"/>
              </w:rPr>
              <w:t>objectives</w:t>
            </w:r>
            <w:r>
              <w:rPr>
                <w:rFonts w:ascii="Calibri"/>
                <w:spacing w:val="-5"/>
                <w:sz w:val="20"/>
              </w:rPr>
              <w:t> </w:t>
            </w:r>
            <w:r>
              <w:rPr>
                <w:rFonts w:ascii="Calibri"/>
                <w:sz w:val="20"/>
              </w:rPr>
              <w:t>section</w:t>
            </w:r>
            <w:r>
              <w:rPr>
                <w:rFonts w:ascii="Calibri"/>
                <w:spacing w:val="-3"/>
                <w:sz w:val="20"/>
              </w:rPr>
              <w:t> </w:t>
            </w:r>
            <w:r>
              <w:rPr>
                <w:rFonts w:ascii="Calibri"/>
                <w:sz w:val="20"/>
              </w:rPr>
              <w:t>provides</w:t>
            </w:r>
            <w:r>
              <w:rPr>
                <w:rFonts w:ascii="Calibri"/>
                <w:spacing w:val="-5"/>
                <w:sz w:val="20"/>
              </w:rPr>
              <w:t> </w:t>
            </w:r>
            <w:r>
              <w:rPr>
                <w:rFonts w:ascii="Calibri"/>
                <w:sz w:val="20"/>
              </w:rPr>
              <w:t>a</w:t>
            </w:r>
            <w:r>
              <w:rPr>
                <w:rFonts w:ascii="Calibri"/>
                <w:spacing w:val="-3"/>
                <w:sz w:val="20"/>
              </w:rPr>
              <w:t> </w:t>
            </w:r>
            <w:r>
              <w:rPr>
                <w:rFonts w:ascii="Calibri"/>
                <w:sz w:val="20"/>
              </w:rPr>
              <w:t>description</w:t>
            </w:r>
            <w:r>
              <w:rPr>
                <w:rFonts w:ascii="Calibri"/>
                <w:spacing w:val="-3"/>
                <w:sz w:val="20"/>
              </w:rPr>
              <w:t> </w:t>
            </w:r>
            <w:r>
              <w:rPr>
                <w:rFonts w:ascii="Calibri"/>
                <w:sz w:val="20"/>
              </w:rPr>
              <w:t>of</w:t>
            </w:r>
            <w:r>
              <w:rPr>
                <w:rFonts w:ascii="Calibri"/>
                <w:spacing w:val="-5"/>
                <w:sz w:val="20"/>
              </w:rPr>
              <w:t> </w:t>
            </w:r>
            <w:r>
              <w:rPr>
                <w:rFonts w:ascii="Calibri"/>
                <w:sz w:val="20"/>
              </w:rPr>
              <w:t>the</w:t>
            </w:r>
            <w:r>
              <w:rPr>
                <w:rFonts w:ascii="Calibri"/>
                <w:spacing w:val="-5"/>
                <w:sz w:val="20"/>
              </w:rPr>
              <w:t> </w:t>
            </w:r>
            <w:r>
              <w:rPr>
                <w:rFonts w:ascii="Calibri"/>
                <w:sz w:val="20"/>
              </w:rPr>
              <w:t>potential</w:t>
            </w:r>
            <w:r>
              <w:rPr>
                <w:rFonts w:ascii="Calibri"/>
                <w:spacing w:val="-4"/>
                <w:sz w:val="20"/>
              </w:rPr>
              <w:t> </w:t>
            </w:r>
            <w:r>
              <w:rPr>
                <w:rFonts w:ascii="Calibri"/>
                <w:sz w:val="20"/>
              </w:rPr>
              <w:t>outcomes or results that may be expected to be provided during the planning </w:t>
            </w:r>
            <w:r>
              <w:rPr>
                <w:rFonts w:ascii="Calibri"/>
                <w:spacing w:val="-2"/>
                <w:sz w:val="20"/>
              </w:rPr>
              <w:t>period.</w:t>
            </w:r>
          </w:p>
        </w:tc>
      </w:tr>
      <w:tr>
        <w:trPr>
          <w:trHeight w:val="3320" w:hRule="atLeast"/>
        </w:trPr>
        <w:tc>
          <w:tcPr>
            <w:tcW w:w="1728" w:type="dxa"/>
            <w:tcBorders>
              <w:right w:val="nil"/>
            </w:tcBorders>
          </w:tcPr>
          <w:p>
            <w:pPr>
              <w:pStyle w:val="TableParagraph"/>
              <w:spacing w:before="18"/>
              <w:ind w:left="107"/>
              <w:rPr>
                <w:rFonts w:ascii="Calibri"/>
                <w:b/>
                <w:sz w:val="20"/>
              </w:rPr>
            </w:pPr>
            <w:r>
              <w:rPr>
                <w:rFonts w:ascii="Calibri"/>
                <w:b/>
                <w:spacing w:val="-2"/>
                <w:sz w:val="20"/>
              </w:rPr>
              <w:t>Standards</w:t>
            </w:r>
          </w:p>
        </w:tc>
        <w:tc>
          <w:tcPr>
            <w:tcW w:w="6820" w:type="dxa"/>
            <w:tcBorders>
              <w:left w:val="nil"/>
            </w:tcBorders>
          </w:tcPr>
          <w:p>
            <w:pPr>
              <w:pStyle w:val="TableParagraph"/>
              <w:spacing w:line="254" w:lineRule="auto" w:before="18"/>
              <w:ind w:left="760"/>
              <w:rPr>
                <w:rFonts w:ascii="Calibri"/>
                <w:sz w:val="20"/>
              </w:rPr>
            </w:pPr>
            <w:r>
              <w:rPr>
                <w:rFonts w:ascii="Calibri"/>
                <w:sz w:val="20"/>
              </w:rPr>
              <w:t>Standards are constraints upon project and activity decision making. Standards are established to help achieve desired conditions and objectives</w:t>
            </w:r>
            <w:r>
              <w:rPr>
                <w:rFonts w:ascii="Calibri"/>
                <w:spacing w:val="-5"/>
                <w:sz w:val="20"/>
              </w:rPr>
              <w:t> </w:t>
            </w:r>
            <w:r>
              <w:rPr>
                <w:rFonts w:ascii="Calibri"/>
                <w:sz w:val="20"/>
              </w:rPr>
              <w:t>and</w:t>
            </w:r>
            <w:r>
              <w:rPr>
                <w:rFonts w:ascii="Calibri"/>
                <w:spacing w:val="-3"/>
                <w:sz w:val="20"/>
              </w:rPr>
              <w:t> </w:t>
            </w:r>
            <w:r>
              <w:rPr>
                <w:rFonts w:ascii="Calibri"/>
                <w:sz w:val="20"/>
              </w:rPr>
              <w:t>to</w:t>
            </w:r>
            <w:r>
              <w:rPr>
                <w:rFonts w:ascii="Calibri"/>
                <w:spacing w:val="-4"/>
                <w:sz w:val="20"/>
              </w:rPr>
              <w:t> </w:t>
            </w:r>
            <w:r>
              <w:rPr>
                <w:rFonts w:ascii="Calibri"/>
                <w:sz w:val="20"/>
              </w:rPr>
              <w:t>ensure</w:t>
            </w:r>
            <w:r>
              <w:rPr>
                <w:rFonts w:ascii="Calibri"/>
                <w:spacing w:val="-5"/>
                <w:sz w:val="20"/>
              </w:rPr>
              <w:t> </w:t>
            </w:r>
            <w:r>
              <w:rPr>
                <w:rFonts w:ascii="Calibri"/>
                <w:sz w:val="20"/>
              </w:rPr>
              <w:t>projects</w:t>
            </w:r>
            <w:r>
              <w:rPr>
                <w:rFonts w:ascii="Calibri"/>
                <w:spacing w:val="-5"/>
                <w:sz w:val="20"/>
              </w:rPr>
              <w:t> </w:t>
            </w:r>
            <w:r>
              <w:rPr>
                <w:rFonts w:ascii="Calibri"/>
                <w:sz w:val="20"/>
              </w:rPr>
              <w:t>and</w:t>
            </w:r>
            <w:r>
              <w:rPr>
                <w:rFonts w:ascii="Calibri"/>
                <w:spacing w:val="-3"/>
                <w:sz w:val="20"/>
              </w:rPr>
              <w:t> </w:t>
            </w:r>
            <w:r>
              <w:rPr>
                <w:rFonts w:ascii="Calibri"/>
                <w:sz w:val="20"/>
              </w:rPr>
              <w:t>activities</w:t>
            </w:r>
            <w:r>
              <w:rPr>
                <w:rFonts w:ascii="Calibri"/>
                <w:spacing w:val="-5"/>
                <w:sz w:val="20"/>
              </w:rPr>
              <w:t> </w:t>
            </w:r>
            <w:r>
              <w:rPr>
                <w:rFonts w:ascii="Calibri"/>
                <w:sz w:val="20"/>
              </w:rPr>
              <w:t>on</w:t>
            </w:r>
            <w:r>
              <w:rPr>
                <w:rFonts w:ascii="Calibri"/>
                <w:spacing w:val="-3"/>
                <w:sz w:val="20"/>
              </w:rPr>
              <w:t> </w:t>
            </w:r>
            <w:r>
              <w:rPr>
                <w:rFonts w:ascii="Calibri"/>
                <w:sz w:val="20"/>
              </w:rPr>
              <w:t>NFS</w:t>
            </w:r>
            <w:r>
              <w:rPr>
                <w:rFonts w:ascii="Calibri"/>
                <w:spacing w:val="-4"/>
                <w:sz w:val="20"/>
              </w:rPr>
              <w:t> </w:t>
            </w:r>
            <w:r>
              <w:rPr>
                <w:rFonts w:ascii="Calibri"/>
                <w:sz w:val="20"/>
              </w:rPr>
              <w:t>lands</w:t>
            </w:r>
            <w:r>
              <w:rPr>
                <w:rFonts w:ascii="Calibri"/>
                <w:spacing w:val="-5"/>
                <w:sz w:val="20"/>
              </w:rPr>
              <w:t> </w:t>
            </w:r>
            <w:r>
              <w:rPr>
                <w:rFonts w:ascii="Calibri"/>
                <w:sz w:val="20"/>
              </w:rPr>
              <w:t>comply</w:t>
            </w:r>
            <w:r>
              <w:rPr>
                <w:rFonts w:ascii="Calibri"/>
                <w:spacing w:val="-3"/>
                <w:sz w:val="20"/>
              </w:rPr>
              <w:t> </w:t>
            </w:r>
            <w:r>
              <w:rPr>
                <w:rFonts w:ascii="Calibri"/>
                <w:sz w:val="20"/>
              </w:rPr>
              <w:t>with applicable laws, regulations, Executive orders, and agency directives.</w:t>
            </w:r>
          </w:p>
          <w:p>
            <w:pPr>
              <w:pStyle w:val="TableParagraph"/>
              <w:spacing w:before="21"/>
              <w:rPr>
                <w:rFonts w:ascii="Calibri"/>
                <w:sz w:val="20"/>
              </w:rPr>
            </w:pPr>
          </w:p>
          <w:p>
            <w:pPr>
              <w:pStyle w:val="TableParagraph"/>
              <w:spacing w:line="254" w:lineRule="auto" w:before="0"/>
              <w:ind w:left="760" w:right="132"/>
              <w:rPr>
                <w:rFonts w:ascii="Calibri"/>
                <w:sz w:val="20"/>
              </w:rPr>
            </w:pPr>
            <w:r>
              <w:rPr>
                <w:rFonts w:ascii="Calibri"/>
                <w:sz w:val="20"/>
              </w:rPr>
              <w:t>A project or activity must be consistent with all standards applicable to the type of project or activity and its location in the plan area. A project or</w:t>
            </w:r>
            <w:r>
              <w:rPr>
                <w:rFonts w:ascii="Calibri"/>
                <w:spacing w:val="-4"/>
                <w:sz w:val="20"/>
              </w:rPr>
              <w:t> </w:t>
            </w:r>
            <w:r>
              <w:rPr>
                <w:rFonts w:ascii="Calibri"/>
                <w:sz w:val="20"/>
              </w:rPr>
              <w:t>activity</w:t>
            </w:r>
            <w:r>
              <w:rPr>
                <w:rFonts w:ascii="Calibri"/>
                <w:spacing w:val="-3"/>
                <w:sz w:val="20"/>
              </w:rPr>
              <w:t> </w:t>
            </w:r>
            <w:r>
              <w:rPr>
                <w:rFonts w:ascii="Calibri"/>
                <w:sz w:val="20"/>
              </w:rPr>
              <w:t>is</w:t>
            </w:r>
            <w:r>
              <w:rPr>
                <w:rFonts w:ascii="Calibri"/>
                <w:spacing w:val="-5"/>
                <w:sz w:val="20"/>
              </w:rPr>
              <w:t> </w:t>
            </w:r>
            <w:r>
              <w:rPr>
                <w:rFonts w:ascii="Calibri"/>
                <w:sz w:val="20"/>
              </w:rPr>
              <w:t>consistent</w:t>
            </w:r>
            <w:r>
              <w:rPr>
                <w:rFonts w:ascii="Calibri"/>
                <w:spacing w:val="-4"/>
                <w:sz w:val="20"/>
              </w:rPr>
              <w:t> </w:t>
            </w:r>
            <w:r>
              <w:rPr>
                <w:rFonts w:ascii="Calibri"/>
                <w:sz w:val="20"/>
              </w:rPr>
              <w:t>with</w:t>
            </w:r>
            <w:r>
              <w:rPr>
                <w:rFonts w:ascii="Calibri"/>
                <w:spacing w:val="-3"/>
                <w:sz w:val="20"/>
              </w:rPr>
              <w:t> </w:t>
            </w:r>
            <w:r>
              <w:rPr>
                <w:rFonts w:ascii="Calibri"/>
                <w:sz w:val="20"/>
              </w:rPr>
              <w:t>a</w:t>
            </w:r>
            <w:r>
              <w:rPr>
                <w:rFonts w:ascii="Calibri"/>
                <w:spacing w:val="-4"/>
                <w:sz w:val="20"/>
              </w:rPr>
              <w:t> </w:t>
            </w:r>
            <w:r>
              <w:rPr>
                <w:rFonts w:ascii="Calibri"/>
                <w:sz w:val="20"/>
              </w:rPr>
              <w:t>standard</w:t>
            </w:r>
            <w:r>
              <w:rPr>
                <w:rFonts w:ascii="Calibri"/>
                <w:spacing w:val="-3"/>
                <w:sz w:val="20"/>
              </w:rPr>
              <w:t> </w:t>
            </w:r>
            <w:r>
              <w:rPr>
                <w:rFonts w:ascii="Calibri"/>
                <w:sz w:val="20"/>
              </w:rPr>
              <w:t>when</w:t>
            </w:r>
            <w:r>
              <w:rPr>
                <w:rFonts w:ascii="Calibri"/>
                <w:spacing w:val="-3"/>
                <w:sz w:val="20"/>
              </w:rPr>
              <w:t> </w:t>
            </w:r>
            <w:r>
              <w:rPr>
                <w:rFonts w:ascii="Calibri"/>
                <w:sz w:val="20"/>
              </w:rPr>
              <w:t>its</w:t>
            </w:r>
            <w:r>
              <w:rPr>
                <w:rFonts w:ascii="Calibri"/>
                <w:spacing w:val="-5"/>
                <w:sz w:val="20"/>
              </w:rPr>
              <w:t> </w:t>
            </w:r>
            <w:r>
              <w:rPr>
                <w:rFonts w:ascii="Calibri"/>
                <w:sz w:val="20"/>
              </w:rPr>
              <w:t>design</w:t>
            </w:r>
            <w:r>
              <w:rPr>
                <w:rFonts w:ascii="Calibri"/>
                <w:spacing w:val="-3"/>
                <w:sz w:val="20"/>
              </w:rPr>
              <w:t> </w:t>
            </w:r>
            <w:r>
              <w:rPr>
                <w:rFonts w:ascii="Calibri"/>
                <w:sz w:val="20"/>
              </w:rPr>
              <w:t>is</w:t>
            </w:r>
            <w:r>
              <w:rPr>
                <w:rFonts w:ascii="Calibri"/>
                <w:spacing w:val="-5"/>
                <w:sz w:val="20"/>
              </w:rPr>
              <w:t> </w:t>
            </w:r>
            <w:r>
              <w:rPr>
                <w:rFonts w:ascii="Calibri"/>
                <w:sz w:val="20"/>
              </w:rPr>
              <w:t>in</w:t>
            </w:r>
            <w:r>
              <w:rPr>
                <w:rFonts w:ascii="Calibri"/>
                <w:spacing w:val="-1"/>
                <w:sz w:val="20"/>
              </w:rPr>
              <w:t> </w:t>
            </w:r>
            <w:r>
              <w:rPr>
                <w:rFonts w:ascii="Calibri"/>
                <w:sz w:val="20"/>
              </w:rPr>
              <w:t>exact</w:t>
            </w:r>
            <w:r>
              <w:rPr>
                <w:rFonts w:ascii="Calibri"/>
                <w:spacing w:val="-4"/>
                <w:sz w:val="20"/>
              </w:rPr>
              <w:t> </w:t>
            </w:r>
            <w:r>
              <w:rPr>
                <w:rFonts w:ascii="Calibri"/>
                <w:sz w:val="20"/>
              </w:rPr>
              <w:t>accord with the standard; variance from a standard is not allowed except by plan amendment. The project or activity documentation should confirm that the project or activity is consistent with applicable standards.</w:t>
            </w:r>
          </w:p>
          <w:p>
            <w:pPr>
              <w:pStyle w:val="TableParagraph"/>
              <w:spacing w:before="7"/>
              <w:ind w:left="760"/>
              <w:rPr>
                <w:rFonts w:ascii="Calibri"/>
                <w:sz w:val="20"/>
              </w:rPr>
            </w:pPr>
            <w:r>
              <w:rPr>
                <w:rFonts w:ascii="Calibri"/>
                <w:sz w:val="20"/>
              </w:rPr>
              <w:t>Standards</w:t>
            </w:r>
            <w:r>
              <w:rPr>
                <w:rFonts w:ascii="Calibri"/>
                <w:spacing w:val="-7"/>
                <w:sz w:val="20"/>
              </w:rPr>
              <w:t> </w:t>
            </w:r>
            <w:r>
              <w:rPr>
                <w:rFonts w:ascii="Calibri"/>
                <w:sz w:val="20"/>
              </w:rPr>
              <w:t>are</w:t>
            </w:r>
            <w:r>
              <w:rPr>
                <w:rFonts w:ascii="Calibri"/>
                <w:spacing w:val="-7"/>
                <w:sz w:val="20"/>
              </w:rPr>
              <w:t> </w:t>
            </w:r>
            <w:r>
              <w:rPr>
                <w:rFonts w:ascii="Calibri"/>
                <w:sz w:val="20"/>
              </w:rPr>
              <w:t>explicitly</w:t>
            </w:r>
            <w:r>
              <w:rPr>
                <w:rFonts w:ascii="Calibri"/>
                <w:spacing w:val="-5"/>
                <w:sz w:val="20"/>
              </w:rPr>
              <w:t> </w:t>
            </w:r>
            <w:r>
              <w:rPr>
                <w:rFonts w:ascii="Calibri"/>
                <w:sz w:val="20"/>
              </w:rPr>
              <w:t>identified</w:t>
            </w:r>
            <w:r>
              <w:rPr>
                <w:rFonts w:ascii="Calibri"/>
                <w:spacing w:val="-5"/>
                <w:sz w:val="20"/>
              </w:rPr>
              <w:t> </w:t>
            </w:r>
            <w:r>
              <w:rPr>
                <w:rFonts w:ascii="Calibri"/>
                <w:sz w:val="20"/>
              </w:rPr>
              <w:t>in</w:t>
            </w:r>
            <w:r>
              <w:rPr>
                <w:rFonts w:ascii="Calibri"/>
                <w:spacing w:val="-6"/>
                <w:sz w:val="20"/>
              </w:rPr>
              <w:t> </w:t>
            </w:r>
            <w:r>
              <w:rPr>
                <w:rFonts w:ascii="Calibri"/>
                <w:sz w:val="20"/>
              </w:rPr>
              <w:t>the</w:t>
            </w:r>
            <w:r>
              <w:rPr>
                <w:rFonts w:ascii="Calibri"/>
                <w:spacing w:val="-6"/>
                <w:sz w:val="20"/>
              </w:rPr>
              <w:t> </w:t>
            </w:r>
            <w:r>
              <w:rPr>
                <w:rFonts w:ascii="Calibri"/>
                <w:spacing w:val="-2"/>
                <w:sz w:val="20"/>
              </w:rPr>
              <w:t>Plan.</w:t>
            </w:r>
          </w:p>
        </w:tc>
      </w:tr>
    </w:tbl>
    <w:p>
      <w:pPr>
        <w:pStyle w:val="TableParagraph"/>
        <w:spacing w:after="0"/>
        <w:rPr>
          <w:rFonts w:ascii="Calibri"/>
          <w:sz w:val="20"/>
        </w:rPr>
        <w:sectPr>
          <w:pgSz w:w="12240" w:h="15840"/>
          <w:pgMar w:header="725" w:footer="891" w:top="960" w:bottom="1080" w:left="1080" w:right="720"/>
        </w:sectPr>
      </w:pPr>
    </w:p>
    <w:p>
      <w:pPr>
        <w:pStyle w:val="BodyText"/>
        <w:spacing w:before="231"/>
        <w:rPr>
          <w:sz w:val="20"/>
        </w:rPr>
      </w:pPr>
    </w:p>
    <w:tbl>
      <w:tblPr>
        <w:tblW w:w="0" w:type="auto"/>
        <w:jc w:val="left"/>
        <w:tblInd w:w="1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7"/>
        <w:gridCol w:w="6471"/>
      </w:tblGrid>
      <w:tr>
        <w:trPr>
          <w:trHeight w:val="460" w:hRule="atLeast"/>
        </w:trPr>
        <w:tc>
          <w:tcPr>
            <w:tcW w:w="8548" w:type="dxa"/>
            <w:gridSpan w:val="2"/>
            <w:tcBorders>
              <w:top w:val="single" w:sz="8" w:space="0" w:color="9BBA58"/>
              <w:left w:val="single" w:sz="8" w:space="0" w:color="9BBA58"/>
              <w:bottom w:val="single" w:sz="8" w:space="0" w:color="9BBA58"/>
              <w:right w:val="single" w:sz="8" w:space="0" w:color="9BBA58"/>
            </w:tcBorders>
            <w:shd w:val="clear" w:color="auto" w:fill="C2D59B"/>
          </w:tcPr>
          <w:p>
            <w:pPr>
              <w:pStyle w:val="TableParagraph"/>
              <w:spacing w:before="18"/>
              <w:ind w:left="107"/>
              <w:rPr>
                <w:rFonts w:ascii="Calibri"/>
                <w:b/>
                <w:sz w:val="20"/>
              </w:rPr>
            </w:pPr>
            <w:r>
              <w:rPr>
                <w:rFonts w:ascii="Calibri"/>
                <w:b/>
                <w:sz w:val="20"/>
              </w:rPr>
              <w:t>Plan</w:t>
            </w:r>
            <w:r>
              <w:rPr>
                <w:rFonts w:ascii="Calibri"/>
                <w:b/>
                <w:spacing w:val="-5"/>
                <w:sz w:val="20"/>
              </w:rPr>
              <w:t> </w:t>
            </w:r>
            <w:r>
              <w:rPr>
                <w:rFonts w:ascii="Calibri"/>
                <w:b/>
                <w:spacing w:val="-2"/>
                <w:sz w:val="20"/>
              </w:rPr>
              <w:t>Components</w:t>
            </w:r>
          </w:p>
        </w:tc>
      </w:tr>
      <w:tr>
        <w:trPr>
          <w:trHeight w:val="1648" w:hRule="atLeast"/>
        </w:trPr>
        <w:tc>
          <w:tcPr>
            <w:tcW w:w="2077" w:type="dxa"/>
            <w:tcBorders>
              <w:top w:val="single" w:sz="8" w:space="0" w:color="9BBA58"/>
              <w:left w:val="single" w:sz="8" w:space="0" w:color="9BBA58"/>
            </w:tcBorders>
          </w:tcPr>
          <w:p>
            <w:pPr>
              <w:pStyle w:val="TableParagraph"/>
              <w:spacing w:before="18"/>
              <w:ind w:left="107"/>
              <w:rPr>
                <w:rFonts w:ascii="Calibri"/>
                <w:b/>
                <w:sz w:val="20"/>
              </w:rPr>
            </w:pPr>
            <w:r>
              <w:rPr>
                <w:rFonts w:ascii="Calibri"/>
                <w:b/>
                <w:spacing w:val="-2"/>
                <w:sz w:val="20"/>
              </w:rPr>
              <w:t>Guidelines</w:t>
            </w:r>
          </w:p>
        </w:tc>
        <w:tc>
          <w:tcPr>
            <w:tcW w:w="6471" w:type="dxa"/>
            <w:tcBorders>
              <w:top w:val="single" w:sz="8" w:space="0" w:color="9BBA58"/>
              <w:right w:val="single" w:sz="8" w:space="0" w:color="9BBA58"/>
            </w:tcBorders>
          </w:tcPr>
          <w:p>
            <w:pPr>
              <w:pStyle w:val="TableParagraph"/>
              <w:spacing w:line="254" w:lineRule="auto" w:before="18"/>
              <w:ind w:left="411" w:right="86"/>
              <w:rPr>
                <w:rFonts w:ascii="Calibri"/>
                <w:sz w:val="20"/>
              </w:rPr>
            </w:pPr>
            <w:r>
              <w:rPr>
                <w:rFonts w:ascii="Calibri"/>
                <w:sz w:val="20"/>
              </w:rPr>
              <w:t>Guidelines</w:t>
            </w:r>
            <w:r>
              <w:rPr>
                <w:rFonts w:ascii="Calibri"/>
                <w:spacing w:val="-3"/>
                <w:sz w:val="20"/>
              </w:rPr>
              <w:t> </w:t>
            </w:r>
            <w:r>
              <w:rPr>
                <w:rFonts w:ascii="Calibri"/>
                <w:sz w:val="20"/>
              </w:rPr>
              <w:t>provide</w:t>
            </w:r>
            <w:r>
              <w:rPr>
                <w:rFonts w:ascii="Calibri"/>
                <w:spacing w:val="-3"/>
                <w:sz w:val="20"/>
              </w:rPr>
              <w:t> </w:t>
            </w:r>
            <w:r>
              <w:rPr>
                <w:rFonts w:ascii="Calibri"/>
                <w:sz w:val="20"/>
              </w:rPr>
              <w:t>operational</w:t>
            </w:r>
            <w:r>
              <w:rPr>
                <w:rFonts w:ascii="Calibri"/>
                <w:spacing w:val="-2"/>
                <w:sz w:val="20"/>
              </w:rPr>
              <w:t> </w:t>
            </w:r>
            <w:r>
              <w:rPr>
                <w:rFonts w:ascii="Calibri"/>
                <w:sz w:val="20"/>
              </w:rPr>
              <w:t>practices</w:t>
            </w:r>
            <w:r>
              <w:rPr>
                <w:rFonts w:ascii="Calibri"/>
                <w:spacing w:val="-3"/>
                <w:sz w:val="20"/>
              </w:rPr>
              <w:t> </w:t>
            </w:r>
            <w:r>
              <w:rPr>
                <w:rFonts w:ascii="Calibri"/>
                <w:sz w:val="20"/>
              </w:rPr>
              <w:t>and</w:t>
            </w:r>
            <w:r>
              <w:rPr>
                <w:rFonts w:ascii="Calibri"/>
                <w:spacing w:val="-1"/>
                <w:sz w:val="20"/>
              </w:rPr>
              <w:t> </w:t>
            </w:r>
            <w:r>
              <w:rPr>
                <w:rFonts w:ascii="Calibri"/>
                <w:sz w:val="20"/>
              </w:rPr>
              <w:t>procedures</w:t>
            </w:r>
            <w:r>
              <w:rPr>
                <w:rFonts w:ascii="Calibri"/>
                <w:spacing w:val="-3"/>
                <w:sz w:val="20"/>
              </w:rPr>
              <w:t> </w:t>
            </w:r>
            <w:r>
              <w:rPr>
                <w:rFonts w:ascii="Calibri"/>
                <w:sz w:val="20"/>
              </w:rPr>
              <w:t>that</w:t>
            </w:r>
            <w:r>
              <w:rPr>
                <w:rFonts w:ascii="Calibri"/>
                <w:spacing w:val="-2"/>
                <w:sz w:val="20"/>
              </w:rPr>
              <w:t> </w:t>
            </w:r>
            <w:r>
              <w:rPr>
                <w:rFonts w:ascii="Calibri"/>
                <w:sz w:val="20"/>
              </w:rPr>
              <w:t>are</w:t>
            </w:r>
            <w:r>
              <w:rPr>
                <w:rFonts w:ascii="Calibri"/>
                <w:spacing w:val="-3"/>
                <w:sz w:val="20"/>
              </w:rPr>
              <w:t> </w:t>
            </w:r>
            <w:r>
              <w:rPr>
                <w:rFonts w:ascii="Calibri"/>
                <w:sz w:val="20"/>
              </w:rPr>
              <w:t>applied to</w:t>
            </w:r>
            <w:r>
              <w:rPr>
                <w:rFonts w:ascii="Calibri"/>
                <w:spacing w:val="-4"/>
                <w:sz w:val="20"/>
              </w:rPr>
              <w:t> </w:t>
            </w:r>
            <w:r>
              <w:rPr>
                <w:rFonts w:ascii="Calibri"/>
                <w:sz w:val="20"/>
              </w:rPr>
              <w:t>project</w:t>
            </w:r>
            <w:r>
              <w:rPr>
                <w:rFonts w:ascii="Calibri"/>
                <w:spacing w:val="-4"/>
                <w:sz w:val="20"/>
              </w:rPr>
              <w:t> </w:t>
            </w:r>
            <w:r>
              <w:rPr>
                <w:rFonts w:ascii="Calibri"/>
                <w:sz w:val="20"/>
              </w:rPr>
              <w:t>and</w:t>
            </w:r>
            <w:r>
              <w:rPr>
                <w:rFonts w:ascii="Calibri"/>
                <w:spacing w:val="-4"/>
                <w:sz w:val="20"/>
              </w:rPr>
              <w:t> </w:t>
            </w:r>
            <w:r>
              <w:rPr>
                <w:rFonts w:ascii="Calibri"/>
                <w:sz w:val="20"/>
              </w:rPr>
              <w:t>activity</w:t>
            </w:r>
            <w:r>
              <w:rPr>
                <w:rFonts w:ascii="Calibri"/>
                <w:spacing w:val="-4"/>
                <w:sz w:val="20"/>
              </w:rPr>
              <w:t> </w:t>
            </w:r>
            <w:r>
              <w:rPr>
                <w:rFonts w:ascii="Calibri"/>
                <w:sz w:val="20"/>
              </w:rPr>
              <w:t>decision</w:t>
            </w:r>
            <w:r>
              <w:rPr>
                <w:rFonts w:ascii="Calibri"/>
                <w:spacing w:val="-4"/>
                <w:sz w:val="20"/>
              </w:rPr>
              <w:t> </w:t>
            </w:r>
            <w:r>
              <w:rPr>
                <w:rFonts w:ascii="Calibri"/>
                <w:sz w:val="20"/>
              </w:rPr>
              <w:t>making</w:t>
            </w:r>
            <w:r>
              <w:rPr>
                <w:rFonts w:ascii="Calibri"/>
                <w:spacing w:val="-4"/>
                <w:sz w:val="20"/>
              </w:rPr>
              <w:t> </w:t>
            </w:r>
            <w:r>
              <w:rPr>
                <w:rFonts w:ascii="Calibri"/>
                <w:sz w:val="20"/>
              </w:rPr>
              <w:t>to</w:t>
            </w:r>
            <w:r>
              <w:rPr>
                <w:rFonts w:ascii="Calibri"/>
                <w:spacing w:val="-4"/>
                <w:sz w:val="20"/>
              </w:rPr>
              <w:t> </w:t>
            </w:r>
            <w:r>
              <w:rPr>
                <w:rFonts w:ascii="Calibri"/>
                <w:sz w:val="20"/>
              </w:rPr>
              <w:t>help</w:t>
            </w:r>
            <w:r>
              <w:rPr>
                <w:rFonts w:ascii="Calibri"/>
                <w:spacing w:val="-4"/>
                <w:sz w:val="20"/>
              </w:rPr>
              <w:t> </w:t>
            </w:r>
            <w:r>
              <w:rPr>
                <w:rFonts w:ascii="Calibri"/>
                <w:sz w:val="20"/>
              </w:rPr>
              <w:t>achieve</w:t>
            </w:r>
            <w:r>
              <w:rPr>
                <w:rFonts w:ascii="Calibri"/>
                <w:spacing w:val="-5"/>
                <w:sz w:val="20"/>
              </w:rPr>
              <w:t> </w:t>
            </w:r>
            <w:r>
              <w:rPr>
                <w:rFonts w:ascii="Calibri"/>
                <w:sz w:val="20"/>
              </w:rPr>
              <w:t>desired</w:t>
            </w:r>
            <w:r>
              <w:rPr>
                <w:rFonts w:ascii="Calibri"/>
                <w:spacing w:val="-4"/>
                <w:sz w:val="20"/>
              </w:rPr>
              <w:t> </w:t>
            </w:r>
            <w:r>
              <w:rPr>
                <w:rFonts w:ascii="Calibri"/>
                <w:sz w:val="20"/>
              </w:rPr>
              <w:t>conditions and objectives, to avoid or mitigate undesirable effects, or to meet applicable legal requirements.</w:t>
            </w:r>
          </w:p>
          <w:p>
            <w:pPr>
              <w:pStyle w:val="TableParagraph"/>
              <w:spacing w:before="21"/>
              <w:rPr>
                <w:rFonts w:ascii="Calibri"/>
                <w:sz w:val="20"/>
              </w:rPr>
            </w:pPr>
          </w:p>
          <w:p>
            <w:pPr>
              <w:pStyle w:val="TableParagraph"/>
              <w:spacing w:before="0"/>
              <w:ind w:left="411"/>
              <w:rPr>
                <w:rFonts w:ascii="Calibri"/>
                <w:sz w:val="20"/>
              </w:rPr>
            </w:pPr>
            <w:r>
              <w:rPr>
                <w:rFonts w:ascii="Calibri"/>
                <w:sz w:val="20"/>
              </w:rPr>
              <w:t>A</w:t>
            </w:r>
            <w:r>
              <w:rPr>
                <w:rFonts w:ascii="Calibri"/>
                <w:spacing w:val="-6"/>
                <w:sz w:val="20"/>
              </w:rPr>
              <w:t> </w:t>
            </w:r>
            <w:r>
              <w:rPr>
                <w:rFonts w:ascii="Calibri"/>
                <w:sz w:val="20"/>
              </w:rPr>
              <w:t>project</w:t>
            </w:r>
            <w:r>
              <w:rPr>
                <w:rFonts w:ascii="Calibri"/>
                <w:spacing w:val="-5"/>
                <w:sz w:val="20"/>
              </w:rPr>
              <w:t> </w:t>
            </w:r>
            <w:r>
              <w:rPr>
                <w:rFonts w:ascii="Calibri"/>
                <w:sz w:val="20"/>
              </w:rPr>
              <w:t>or</w:t>
            </w:r>
            <w:r>
              <w:rPr>
                <w:rFonts w:ascii="Calibri"/>
                <w:spacing w:val="-5"/>
                <w:sz w:val="20"/>
              </w:rPr>
              <w:t> </w:t>
            </w:r>
            <w:r>
              <w:rPr>
                <w:rFonts w:ascii="Calibri"/>
                <w:sz w:val="20"/>
              </w:rPr>
              <w:t>activity</w:t>
            </w:r>
            <w:r>
              <w:rPr>
                <w:rFonts w:ascii="Calibri"/>
                <w:spacing w:val="-5"/>
                <w:sz w:val="20"/>
              </w:rPr>
              <w:t> </w:t>
            </w:r>
            <w:r>
              <w:rPr>
                <w:rFonts w:ascii="Calibri"/>
                <w:sz w:val="20"/>
              </w:rPr>
              <w:t>is</w:t>
            </w:r>
            <w:r>
              <w:rPr>
                <w:rFonts w:ascii="Calibri"/>
                <w:spacing w:val="-6"/>
                <w:sz w:val="20"/>
              </w:rPr>
              <w:t> </w:t>
            </w:r>
            <w:r>
              <w:rPr>
                <w:rFonts w:ascii="Calibri"/>
                <w:sz w:val="20"/>
              </w:rPr>
              <w:t>consistent</w:t>
            </w:r>
            <w:r>
              <w:rPr>
                <w:rFonts w:ascii="Calibri"/>
                <w:spacing w:val="-5"/>
                <w:sz w:val="20"/>
              </w:rPr>
              <w:t> </w:t>
            </w:r>
            <w:r>
              <w:rPr>
                <w:rFonts w:ascii="Calibri"/>
                <w:sz w:val="20"/>
              </w:rPr>
              <w:t>with</w:t>
            </w:r>
            <w:r>
              <w:rPr>
                <w:rFonts w:ascii="Calibri"/>
                <w:spacing w:val="-5"/>
                <w:sz w:val="20"/>
              </w:rPr>
              <w:t> </w:t>
            </w:r>
            <w:r>
              <w:rPr>
                <w:rFonts w:ascii="Calibri"/>
                <w:sz w:val="20"/>
              </w:rPr>
              <w:t>a</w:t>
            </w:r>
            <w:r>
              <w:rPr>
                <w:rFonts w:ascii="Calibri"/>
                <w:spacing w:val="-5"/>
                <w:sz w:val="20"/>
              </w:rPr>
              <w:t> </w:t>
            </w:r>
            <w:r>
              <w:rPr>
                <w:rFonts w:ascii="Calibri"/>
                <w:sz w:val="20"/>
              </w:rPr>
              <w:t>guideline</w:t>
            </w:r>
            <w:r>
              <w:rPr>
                <w:rFonts w:ascii="Calibri"/>
                <w:spacing w:val="-6"/>
                <w:sz w:val="20"/>
              </w:rPr>
              <w:t> </w:t>
            </w:r>
            <w:r>
              <w:rPr>
                <w:rFonts w:ascii="Calibri"/>
                <w:sz w:val="20"/>
              </w:rPr>
              <w:t>in</w:t>
            </w:r>
            <w:r>
              <w:rPr>
                <w:rFonts w:ascii="Calibri"/>
                <w:spacing w:val="-5"/>
                <w:sz w:val="20"/>
              </w:rPr>
              <w:t> </w:t>
            </w:r>
            <w:r>
              <w:rPr>
                <w:rFonts w:ascii="Calibri"/>
                <w:sz w:val="20"/>
              </w:rPr>
              <w:t>either</w:t>
            </w:r>
            <w:r>
              <w:rPr>
                <w:rFonts w:ascii="Calibri"/>
                <w:spacing w:val="-3"/>
                <w:sz w:val="20"/>
              </w:rPr>
              <w:t> </w:t>
            </w:r>
            <w:r>
              <w:rPr>
                <w:rFonts w:ascii="Calibri"/>
                <w:sz w:val="20"/>
              </w:rPr>
              <w:t>of</w:t>
            </w:r>
            <w:r>
              <w:rPr>
                <w:rFonts w:ascii="Calibri"/>
                <w:spacing w:val="-7"/>
                <w:sz w:val="20"/>
              </w:rPr>
              <w:t> </w:t>
            </w:r>
            <w:r>
              <w:rPr>
                <w:rFonts w:ascii="Calibri"/>
                <w:sz w:val="20"/>
              </w:rPr>
              <w:t>two</w:t>
            </w:r>
            <w:r>
              <w:rPr>
                <w:rFonts w:ascii="Calibri"/>
                <w:spacing w:val="-5"/>
                <w:sz w:val="20"/>
              </w:rPr>
              <w:t> </w:t>
            </w:r>
            <w:r>
              <w:rPr>
                <w:rFonts w:ascii="Calibri"/>
                <w:spacing w:val="-2"/>
                <w:sz w:val="20"/>
              </w:rPr>
              <w:t>ways:</w:t>
            </w:r>
          </w:p>
        </w:tc>
      </w:tr>
      <w:tr>
        <w:trPr>
          <w:trHeight w:val="640" w:hRule="atLeast"/>
        </w:trPr>
        <w:tc>
          <w:tcPr>
            <w:tcW w:w="2077" w:type="dxa"/>
            <w:tcBorders>
              <w:left w:val="single" w:sz="8" w:space="0" w:color="9BBA58"/>
            </w:tcBorders>
          </w:tcPr>
          <w:p>
            <w:pPr>
              <w:pStyle w:val="TableParagraph"/>
              <w:spacing w:before="0"/>
              <w:rPr>
                <w:rFonts w:ascii="Times New Roman"/>
                <w:sz w:val="18"/>
              </w:rPr>
            </w:pPr>
          </w:p>
        </w:tc>
        <w:tc>
          <w:tcPr>
            <w:tcW w:w="6471" w:type="dxa"/>
            <w:tcBorders>
              <w:right w:val="single" w:sz="8" w:space="0" w:color="9BBA58"/>
            </w:tcBorders>
          </w:tcPr>
          <w:p>
            <w:pPr>
              <w:pStyle w:val="TableParagraph"/>
              <w:spacing w:line="256" w:lineRule="auto" w:before="49"/>
              <w:ind w:left="891" w:right="86" w:hanging="209"/>
              <w:rPr>
                <w:rFonts w:ascii="Calibri"/>
                <w:sz w:val="20"/>
              </w:rPr>
            </w:pPr>
            <w:r>
              <w:rPr>
                <w:rFonts w:ascii="Calibri"/>
                <w:sz w:val="20"/>
              </w:rPr>
              <w:t>1.</w:t>
            </w:r>
            <w:r>
              <w:rPr>
                <w:rFonts w:ascii="Calibri"/>
                <w:spacing w:val="-4"/>
                <w:sz w:val="20"/>
              </w:rPr>
              <w:t> </w:t>
            </w:r>
            <w:r>
              <w:rPr>
                <w:rFonts w:ascii="Calibri"/>
                <w:sz w:val="20"/>
              </w:rPr>
              <w:t>The</w:t>
            </w:r>
            <w:r>
              <w:rPr>
                <w:rFonts w:ascii="Calibri"/>
                <w:spacing w:val="-5"/>
                <w:sz w:val="20"/>
              </w:rPr>
              <w:t> </w:t>
            </w:r>
            <w:r>
              <w:rPr>
                <w:rFonts w:ascii="Calibri"/>
                <w:sz w:val="20"/>
              </w:rPr>
              <w:t>project</w:t>
            </w:r>
            <w:r>
              <w:rPr>
                <w:rFonts w:ascii="Calibri"/>
                <w:spacing w:val="-4"/>
                <w:sz w:val="20"/>
              </w:rPr>
              <w:t> </w:t>
            </w:r>
            <w:r>
              <w:rPr>
                <w:rFonts w:ascii="Calibri"/>
                <w:sz w:val="20"/>
              </w:rPr>
              <w:t>or</w:t>
            </w:r>
            <w:r>
              <w:rPr>
                <w:rFonts w:ascii="Calibri"/>
                <w:spacing w:val="-4"/>
                <w:sz w:val="20"/>
              </w:rPr>
              <w:t> </w:t>
            </w:r>
            <w:r>
              <w:rPr>
                <w:rFonts w:ascii="Calibri"/>
                <w:sz w:val="20"/>
              </w:rPr>
              <w:t>activity</w:t>
            </w:r>
            <w:r>
              <w:rPr>
                <w:rFonts w:ascii="Calibri"/>
                <w:spacing w:val="-3"/>
                <w:sz w:val="20"/>
              </w:rPr>
              <w:t> </w:t>
            </w:r>
            <w:r>
              <w:rPr>
                <w:rFonts w:ascii="Calibri"/>
                <w:sz w:val="20"/>
              </w:rPr>
              <w:t>is</w:t>
            </w:r>
            <w:r>
              <w:rPr>
                <w:rFonts w:ascii="Calibri"/>
                <w:spacing w:val="-5"/>
                <w:sz w:val="20"/>
              </w:rPr>
              <w:t> </w:t>
            </w:r>
            <w:r>
              <w:rPr>
                <w:rFonts w:ascii="Calibri"/>
                <w:sz w:val="20"/>
              </w:rPr>
              <w:t>designed</w:t>
            </w:r>
            <w:r>
              <w:rPr>
                <w:rFonts w:ascii="Calibri"/>
                <w:spacing w:val="-3"/>
                <w:sz w:val="20"/>
              </w:rPr>
              <w:t> </w:t>
            </w:r>
            <w:r>
              <w:rPr>
                <w:rFonts w:ascii="Calibri"/>
                <w:sz w:val="20"/>
              </w:rPr>
              <w:t>exactly</w:t>
            </w:r>
            <w:r>
              <w:rPr>
                <w:rFonts w:ascii="Calibri"/>
                <w:spacing w:val="-3"/>
                <w:sz w:val="20"/>
              </w:rPr>
              <w:t> </w:t>
            </w:r>
            <w:r>
              <w:rPr>
                <w:rFonts w:ascii="Calibri"/>
                <w:sz w:val="20"/>
              </w:rPr>
              <w:t>in</w:t>
            </w:r>
            <w:r>
              <w:rPr>
                <w:rFonts w:ascii="Calibri"/>
                <w:spacing w:val="-3"/>
                <w:sz w:val="20"/>
              </w:rPr>
              <w:t> </w:t>
            </w:r>
            <w:r>
              <w:rPr>
                <w:rFonts w:ascii="Calibri"/>
                <w:sz w:val="20"/>
              </w:rPr>
              <w:t>accord</w:t>
            </w:r>
            <w:r>
              <w:rPr>
                <w:rFonts w:ascii="Calibri"/>
                <w:spacing w:val="-3"/>
                <w:sz w:val="20"/>
              </w:rPr>
              <w:t> </w:t>
            </w:r>
            <w:r>
              <w:rPr>
                <w:rFonts w:ascii="Calibri"/>
                <w:sz w:val="20"/>
              </w:rPr>
              <w:t>with</w:t>
            </w:r>
            <w:r>
              <w:rPr>
                <w:rFonts w:ascii="Calibri"/>
                <w:spacing w:val="-3"/>
                <w:sz w:val="20"/>
              </w:rPr>
              <w:t> </w:t>
            </w:r>
            <w:r>
              <w:rPr>
                <w:rFonts w:ascii="Calibri"/>
                <w:sz w:val="20"/>
              </w:rPr>
              <w:t>the guideline; or</w:t>
            </w:r>
          </w:p>
        </w:tc>
      </w:tr>
      <w:tr>
        <w:trPr>
          <w:trHeight w:val="1159" w:hRule="atLeast"/>
        </w:trPr>
        <w:tc>
          <w:tcPr>
            <w:tcW w:w="2077" w:type="dxa"/>
            <w:tcBorders>
              <w:left w:val="single" w:sz="8" w:space="0" w:color="9BBA58"/>
            </w:tcBorders>
          </w:tcPr>
          <w:p>
            <w:pPr>
              <w:pStyle w:val="TableParagraph"/>
              <w:spacing w:before="0"/>
              <w:rPr>
                <w:rFonts w:ascii="Times New Roman"/>
                <w:sz w:val="18"/>
              </w:rPr>
            </w:pPr>
          </w:p>
        </w:tc>
        <w:tc>
          <w:tcPr>
            <w:tcW w:w="6471" w:type="dxa"/>
            <w:tcBorders>
              <w:right w:val="single" w:sz="8" w:space="0" w:color="9BBA58"/>
            </w:tcBorders>
          </w:tcPr>
          <w:p>
            <w:pPr>
              <w:pStyle w:val="TableParagraph"/>
              <w:spacing w:line="254" w:lineRule="auto" w:before="49"/>
              <w:ind w:left="891" w:right="86" w:hanging="209"/>
              <w:rPr>
                <w:rFonts w:ascii="Calibri"/>
                <w:sz w:val="20"/>
              </w:rPr>
            </w:pPr>
            <w:r>
              <w:rPr>
                <w:rFonts w:ascii="Calibri"/>
                <w:sz w:val="20"/>
              </w:rPr>
              <w:t>2. A project or activity design varies from the exact words of the guideline, but it is as effective in meeting the purpose of the guideline</w:t>
            </w:r>
            <w:r>
              <w:rPr>
                <w:rFonts w:ascii="Calibri"/>
                <w:spacing w:val="-5"/>
                <w:sz w:val="20"/>
              </w:rPr>
              <w:t> </w:t>
            </w:r>
            <w:r>
              <w:rPr>
                <w:rFonts w:ascii="Calibri"/>
                <w:sz w:val="20"/>
              </w:rPr>
              <w:t>to</w:t>
            </w:r>
            <w:r>
              <w:rPr>
                <w:rFonts w:ascii="Calibri"/>
                <w:spacing w:val="-4"/>
                <w:sz w:val="20"/>
              </w:rPr>
              <w:t> </w:t>
            </w:r>
            <w:r>
              <w:rPr>
                <w:rFonts w:ascii="Calibri"/>
                <w:sz w:val="20"/>
              </w:rPr>
              <w:t>contribute</w:t>
            </w:r>
            <w:r>
              <w:rPr>
                <w:rFonts w:ascii="Calibri"/>
                <w:spacing w:val="-5"/>
                <w:sz w:val="20"/>
              </w:rPr>
              <w:t> </w:t>
            </w:r>
            <w:r>
              <w:rPr>
                <w:rFonts w:ascii="Calibri"/>
                <w:sz w:val="20"/>
              </w:rPr>
              <w:t>to</w:t>
            </w:r>
            <w:r>
              <w:rPr>
                <w:rFonts w:ascii="Calibri"/>
                <w:spacing w:val="-4"/>
                <w:sz w:val="20"/>
              </w:rPr>
              <w:t> </w:t>
            </w:r>
            <w:r>
              <w:rPr>
                <w:rFonts w:ascii="Calibri"/>
                <w:sz w:val="20"/>
              </w:rPr>
              <w:t>the</w:t>
            </w:r>
            <w:r>
              <w:rPr>
                <w:rFonts w:ascii="Calibri"/>
                <w:spacing w:val="-5"/>
                <w:sz w:val="20"/>
              </w:rPr>
              <w:t> </w:t>
            </w:r>
            <w:r>
              <w:rPr>
                <w:rFonts w:ascii="Calibri"/>
                <w:sz w:val="20"/>
              </w:rPr>
              <w:t>maintenance</w:t>
            </w:r>
            <w:r>
              <w:rPr>
                <w:rFonts w:ascii="Calibri"/>
                <w:spacing w:val="-5"/>
                <w:sz w:val="20"/>
              </w:rPr>
              <w:t> </w:t>
            </w:r>
            <w:r>
              <w:rPr>
                <w:rFonts w:ascii="Calibri"/>
                <w:sz w:val="20"/>
              </w:rPr>
              <w:t>or</w:t>
            </w:r>
            <w:r>
              <w:rPr>
                <w:rFonts w:ascii="Calibri"/>
                <w:spacing w:val="-4"/>
                <w:sz w:val="20"/>
              </w:rPr>
              <w:t> </w:t>
            </w:r>
            <w:r>
              <w:rPr>
                <w:rFonts w:ascii="Calibri"/>
                <w:sz w:val="20"/>
              </w:rPr>
              <w:t>attainment</w:t>
            </w:r>
            <w:r>
              <w:rPr>
                <w:rFonts w:ascii="Calibri"/>
                <w:spacing w:val="-4"/>
                <w:sz w:val="20"/>
              </w:rPr>
              <w:t> </w:t>
            </w:r>
            <w:r>
              <w:rPr>
                <w:rFonts w:ascii="Calibri"/>
                <w:sz w:val="20"/>
              </w:rPr>
              <w:t>of</w:t>
            </w:r>
            <w:r>
              <w:rPr>
                <w:rFonts w:ascii="Calibri"/>
                <w:spacing w:val="-2"/>
                <w:sz w:val="20"/>
              </w:rPr>
              <w:t> </w:t>
            </w:r>
            <w:r>
              <w:rPr>
                <w:rFonts w:ascii="Calibri"/>
                <w:sz w:val="20"/>
              </w:rPr>
              <w:t>the relevant desired conditions and objectives.</w:t>
            </w:r>
          </w:p>
        </w:tc>
      </w:tr>
      <w:tr>
        <w:trPr>
          <w:trHeight w:val="2051" w:hRule="atLeast"/>
        </w:trPr>
        <w:tc>
          <w:tcPr>
            <w:tcW w:w="2077" w:type="dxa"/>
            <w:tcBorders>
              <w:left w:val="single" w:sz="8" w:space="0" w:color="9BBA58"/>
              <w:bottom w:val="single" w:sz="8" w:space="0" w:color="9BBA58"/>
            </w:tcBorders>
          </w:tcPr>
          <w:p>
            <w:pPr>
              <w:pStyle w:val="TableParagraph"/>
              <w:spacing w:before="0"/>
              <w:rPr>
                <w:rFonts w:ascii="Times New Roman"/>
                <w:sz w:val="18"/>
              </w:rPr>
            </w:pPr>
          </w:p>
        </w:tc>
        <w:tc>
          <w:tcPr>
            <w:tcW w:w="6471" w:type="dxa"/>
            <w:tcBorders>
              <w:bottom w:val="single" w:sz="8" w:space="0" w:color="9BBA58"/>
              <w:right w:val="single" w:sz="8" w:space="0" w:color="9BBA58"/>
            </w:tcBorders>
          </w:tcPr>
          <w:p>
            <w:pPr>
              <w:pStyle w:val="TableParagraph"/>
              <w:spacing w:line="254" w:lineRule="auto" w:before="49"/>
              <w:ind w:left="411" w:right="86"/>
              <w:rPr>
                <w:rFonts w:ascii="Calibri"/>
                <w:sz w:val="20"/>
              </w:rPr>
            </w:pPr>
            <w:r>
              <w:rPr>
                <w:rFonts w:ascii="Calibri"/>
                <w:sz w:val="20"/>
              </w:rPr>
              <w:t>Guidelines are explicitly identified in the Plan. When a project or activity varies from the exact words of the guideline, the project or activity documentation must specifically explain how the project or activity design</w:t>
            </w:r>
            <w:r>
              <w:rPr>
                <w:rFonts w:ascii="Calibri"/>
                <w:spacing w:val="-3"/>
                <w:sz w:val="20"/>
              </w:rPr>
              <w:t> </w:t>
            </w:r>
            <w:r>
              <w:rPr>
                <w:rFonts w:ascii="Calibri"/>
                <w:sz w:val="20"/>
              </w:rPr>
              <w:t>is</w:t>
            </w:r>
            <w:r>
              <w:rPr>
                <w:rFonts w:ascii="Calibri"/>
                <w:spacing w:val="-4"/>
                <w:sz w:val="20"/>
              </w:rPr>
              <w:t> </w:t>
            </w:r>
            <w:r>
              <w:rPr>
                <w:rFonts w:ascii="Calibri"/>
                <w:sz w:val="20"/>
              </w:rPr>
              <w:t>as</w:t>
            </w:r>
            <w:r>
              <w:rPr>
                <w:rFonts w:ascii="Calibri"/>
                <w:spacing w:val="-4"/>
                <w:sz w:val="20"/>
              </w:rPr>
              <w:t> </w:t>
            </w:r>
            <w:r>
              <w:rPr>
                <w:rFonts w:ascii="Calibri"/>
                <w:sz w:val="20"/>
              </w:rPr>
              <w:t>effective</w:t>
            </w:r>
            <w:r>
              <w:rPr>
                <w:rFonts w:ascii="Calibri"/>
                <w:spacing w:val="-4"/>
                <w:sz w:val="20"/>
              </w:rPr>
              <w:t> </w:t>
            </w:r>
            <w:r>
              <w:rPr>
                <w:rFonts w:ascii="Calibri"/>
                <w:sz w:val="20"/>
              </w:rPr>
              <w:t>in</w:t>
            </w:r>
            <w:r>
              <w:rPr>
                <w:rFonts w:ascii="Calibri"/>
                <w:spacing w:val="-3"/>
                <w:sz w:val="20"/>
              </w:rPr>
              <w:t> </w:t>
            </w:r>
            <w:r>
              <w:rPr>
                <w:rFonts w:ascii="Calibri"/>
                <w:sz w:val="20"/>
              </w:rPr>
              <w:t>contributing</w:t>
            </w:r>
            <w:r>
              <w:rPr>
                <w:rFonts w:ascii="Calibri"/>
                <w:spacing w:val="-3"/>
                <w:sz w:val="20"/>
              </w:rPr>
              <w:t> </w:t>
            </w:r>
            <w:r>
              <w:rPr>
                <w:rFonts w:ascii="Calibri"/>
                <w:sz w:val="20"/>
              </w:rPr>
              <w:t>to</w:t>
            </w:r>
            <w:r>
              <w:rPr>
                <w:rFonts w:ascii="Calibri"/>
                <w:spacing w:val="-3"/>
                <w:sz w:val="20"/>
              </w:rPr>
              <w:t> </w:t>
            </w:r>
            <w:r>
              <w:rPr>
                <w:rFonts w:ascii="Calibri"/>
                <w:sz w:val="20"/>
              </w:rPr>
              <w:t>the</w:t>
            </w:r>
            <w:r>
              <w:rPr>
                <w:rFonts w:ascii="Calibri"/>
                <w:spacing w:val="-4"/>
                <w:sz w:val="20"/>
              </w:rPr>
              <w:t> </w:t>
            </w:r>
            <w:r>
              <w:rPr>
                <w:rFonts w:ascii="Calibri"/>
                <w:sz w:val="20"/>
              </w:rPr>
              <w:t>maintenance</w:t>
            </w:r>
            <w:r>
              <w:rPr>
                <w:rFonts w:ascii="Calibri"/>
                <w:spacing w:val="-4"/>
                <w:sz w:val="20"/>
              </w:rPr>
              <w:t> </w:t>
            </w:r>
            <w:r>
              <w:rPr>
                <w:rFonts w:ascii="Calibri"/>
                <w:sz w:val="20"/>
              </w:rPr>
              <w:t>or</w:t>
            </w:r>
            <w:r>
              <w:rPr>
                <w:rFonts w:ascii="Calibri"/>
                <w:spacing w:val="-3"/>
                <w:sz w:val="20"/>
              </w:rPr>
              <w:t> </w:t>
            </w:r>
            <w:r>
              <w:rPr>
                <w:rFonts w:ascii="Calibri"/>
                <w:sz w:val="20"/>
              </w:rPr>
              <w:t>attainment</w:t>
            </w:r>
            <w:r>
              <w:rPr>
                <w:rFonts w:ascii="Calibri"/>
                <w:spacing w:val="-3"/>
                <w:sz w:val="20"/>
              </w:rPr>
              <w:t> </w:t>
            </w:r>
            <w:r>
              <w:rPr>
                <w:rFonts w:ascii="Calibri"/>
                <w:sz w:val="20"/>
              </w:rPr>
              <w:t>of relevant desired conditions and objectives. When deviation from a guideline</w:t>
            </w:r>
            <w:r>
              <w:rPr>
                <w:rFonts w:ascii="Calibri"/>
                <w:spacing w:val="-3"/>
                <w:sz w:val="20"/>
              </w:rPr>
              <w:t> </w:t>
            </w:r>
            <w:r>
              <w:rPr>
                <w:rFonts w:ascii="Calibri"/>
                <w:sz w:val="20"/>
              </w:rPr>
              <w:t>does</w:t>
            </w:r>
            <w:r>
              <w:rPr>
                <w:rFonts w:ascii="Calibri"/>
                <w:spacing w:val="-3"/>
                <w:sz w:val="20"/>
              </w:rPr>
              <w:t> </w:t>
            </w:r>
            <w:r>
              <w:rPr>
                <w:rFonts w:ascii="Calibri"/>
                <w:sz w:val="20"/>
              </w:rPr>
              <w:t>not</w:t>
            </w:r>
            <w:r>
              <w:rPr>
                <w:rFonts w:ascii="Calibri"/>
                <w:spacing w:val="-2"/>
                <w:sz w:val="20"/>
              </w:rPr>
              <w:t> </w:t>
            </w:r>
            <w:r>
              <w:rPr>
                <w:rFonts w:ascii="Calibri"/>
                <w:sz w:val="20"/>
              </w:rPr>
              <w:t>meet</w:t>
            </w:r>
            <w:r>
              <w:rPr>
                <w:rFonts w:ascii="Calibri"/>
                <w:spacing w:val="-2"/>
                <w:sz w:val="20"/>
              </w:rPr>
              <w:t> </w:t>
            </w:r>
            <w:r>
              <w:rPr>
                <w:rFonts w:ascii="Calibri"/>
                <w:sz w:val="20"/>
              </w:rPr>
              <w:t>the</w:t>
            </w:r>
            <w:r>
              <w:rPr>
                <w:rFonts w:ascii="Calibri"/>
                <w:spacing w:val="-3"/>
                <w:sz w:val="20"/>
              </w:rPr>
              <w:t> </w:t>
            </w:r>
            <w:r>
              <w:rPr>
                <w:rFonts w:ascii="Calibri"/>
                <w:sz w:val="20"/>
              </w:rPr>
              <w:t>original</w:t>
            </w:r>
            <w:r>
              <w:rPr>
                <w:rFonts w:ascii="Calibri"/>
                <w:spacing w:val="-2"/>
                <w:sz w:val="20"/>
              </w:rPr>
              <w:t> </w:t>
            </w:r>
            <w:r>
              <w:rPr>
                <w:rFonts w:ascii="Calibri"/>
                <w:sz w:val="20"/>
              </w:rPr>
              <w:t>intent,</w:t>
            </w:r>
            <w:r>
              <w:rPr>
                <w:rFonts w:ascii="Calibri"/>
                <w:spacing w:val="-1"/>
                <w:sz w:val="20"/>
              </w:rPr>
              <w:t> </w:t>
            </w:r>
            <w:r>
              <w:rPr>
                <w:rFonts w:ascii="Calibri"/>
                <w:sz w:val="20"/>
              </w:rPr>
              <w:t>however,</w:t>
            </w:r>
            <w:r>
              <w:rPr>
                <w:rFonts w:ascii="Calibri"/>
                <w:spacing w:val="-1"/>
                <w:sz w:val="20"/>
              </w:rPr>
              <w:t> </w:t>
            </w:r>
            <w:r>
              <w:rPr>
                <w:rFonts w:ascii="Calibri"/>
                <w:sz w:val="20"/>
              </w:rPr>
              <w:t>a</w:t>
            </w:r>
            <w:r>
              <w:rPr>
                <w:rFonts w:ascii="Calibri"/>
                <w:spacing w:val="-2"/>
                <w:sz w:val="20"/>
              </w:rPr>
              <w:t> </w:t>
            </w:r>
            <w:r>
              <w:rPr>
                <w:rFonts w:ascii="Calibri"/>
                <w:sz w:val="20"/>
              </w:rPr>
              <w:t>plan</w:t>
            </w:r>
            <w:r>
              <w:rPr>
                <w:rFonts w:ascii="Calibri"/>
                <w:spacing w:val="-1"/>
                <w:sz w:val="20"/>
              </w:rPr>
              <w:t> </w:t>
            </w:r>
            <w:r>
              <w:rPr>
                <w:rFonts w:ascii="Calibri"/>
                <w:sz w:val="20"/>
              </w:rPr>
              <w:t>amendment is required.</w:t>
            </w:r>
          </w:p>
        </w:tc>
      </w:tr>
      <w:tr>
        <w:trPr>
          <w:trHeight w:val="3669" w:hRule="atLeast"/>
        </w:trPr>
        <w:tc>
          <w:tcPr>
            <w:tcW w:w="2077" w:type="dxa"/>
            <w:tcBorders>
              <w:top w:val="single" w:sz="8" w:space="0" w:color="9BBA58"/>
              <w:left w:val="single" w:sz="8" w:space="0" w:color="9BBA58"/>
            </w:tcBorders>
          </w:tcPr>
          <w:p>
            <w:pPr>
              <w:pStyle w:val="TableParagraph"/>
              <w:spacing w:before="18"/>
              <w:ind w:left="107"/>
              <w:rPr>
                <w:rFonts w:ascii="Calibri"/>
                <w:b/>
                <w:sz w:val="20"/>
              </w:rPr>
            </w:pPr>
            <w:r>
              <w:rPr>
                <w:rFonts w:ascii="Calibri"/>
                <w:b/>
                <w:sz w:val="20"/>
              </w:rPr>
              <w:t>Suitability</w:t>
            </w:r>
            <w:r>
              <w:rPr>
                <w:rFonts w:ascii="Calibri"/>
                <w:b/>
                <w:spacing w:val="-7"/>
                <w:sz w:val="20"/>
              </w:rPr>
              <w:t> </w:t>
            </w:r>
            <w:r>
              <w:rPr>
                <w:rFonts w:ascii="Calibri"/>
                <w:b/>
                <w:sz w:val="20"/>
              </w:rPr>
              <w:t>of</w:t>
            </w:r>
            <w:r>
              <w:rPr>
                <w:rFonts w:ascii="Calibri"/>
                <w:b/>
                <w:spacing w:val="-7"/>
                <w:sz w:val="20"/>
              </w:rPr>
              <w:t> </w:t>
            </w:r>
            <w:r>
              <w:rPr>
                <w:rFonts w:ascii="Calibri"/>
                <w:b/>
                <w:spacing w:val="-2"/>
                <w:sz w:val="20"/>
              </w:rPr>
              <w:t>Areas</w:t>
            </w:r>
          </w:p>
        </w:tc>
        <w:tc>
          <w:tcPr>
            <w:tcW w:w="6471" w:type="dxa"/>
            <w:tcBorders>
              <w:top w:val="single" w:sz="8" w:space="0" w:color="9BBA58"/>
              <w:right w:val="single" w:sz="8" w:space="0" w:color="9BBA58"/>
            </w:tcBorders>
          </w:tcPr>
          <w:p>
            <w:pPr>
              <w:pStyle w:val="TableParagraph"/>
              <w:spacing w:line="256" w:lineRule="auto" w:before="18"/>
              <w:ind w:left="411" w:right="86"/>
              <w:rPr>
                <w:rFonts w:ascii="Calibri" w:hAnsi="Calibri"/>
                <w:sz w:val="20"/>
              </w:rPr>
            </w:pPr>
            <w:r>
              <w:rPr>
                <w:rFonts w:ascii="Calibri" w:hAnsi="Calibri"/>
                <w:sz w:val="20"/>
              </w:rPr>
              <w:t>National Forest System lands are identified as “generally suitable” for various</w:t>
            </w:r>
            <w:r>
              <w:rPr>
                <w:rFonts w:ascii="Calibri" w:hAnsi="Calibri"/>
                <w:spacing w:val="-6"/>
                <w:sz w:val="20"/>
              </w:rPr>
              <w:t> </w:t>
            </w:r>
            <w:r>
              <w:rPr>
                <w:rFonts w:ascii="Calibri" w:hAnsi="Calibri"/>
                <w:sz w:val="20"/>
              </w:rPr>
              <w:t>uses.</w:t>
            </w:r>
            <w:r>
              <w:rPr>
                <w:rFonts w:ascii="Calibri" w:hAnsi="Calibri"/>
                <w:spacing w:val="-3"/>
                <w:sz w:val="20"/>
              </w:rPr>
              <w:t> </w:t>
            </w:r>
            <w:r>
              <w:rPr>
                <w:rFonts w:ascii="Calibri" w:hAnsi="Calibri"/>
                <w:sz w:val="20"/>
              </w:rPr>
              <w:t>Suitability</w:t>
            </w:r>
            <w:r>
              <w:rPr>
                <w:rFonts w:ascii="Calibri" w:hAnsi="Calibri"/>
                <w:spacing w:val="-4"/>
                <w:sz w:val="20"/>
              </w:rPr>
              <w:t> </w:t>
            </w:r>
            <w:r>
              <w:rPr>
                <w:rFonts w:ascii="Calibri" w:hAnsi="Calibri"/>
                <w:sz w:val="20"/>
              </w:rPr>
              <w:t>describes</w:t>
            </w:r>
            <w:r>
              <w:rPr>
                <w:rFonts w:ascii="Calibri" w:hAnsi="Calibri"/>
                <w:spacing w:val="-6"/>
                <w:sz w:val="20"/>
              </w:rPr>
              <w:t> </w:t>
            </w:r>
            <w:r>
              <w:rPr>
                <w:rFonts w:ascii="Calibri" w:hAnsi="Calibri"/>
                <w:sz w:val="20"/>
              </w:rPr>
              <w:t>the</w:t>
            </w:r>
            <w:r>
              <w:rPr>
                <w:rFonts w:ascii="Calibri" w:hAnsi="Calibri"/>
                <w:spacing w:val="-6"/>
                <w:sz w:val="20"/>
              </w:rPr>
              <w:t> </w:t>
            </w:r>
            <w:r>
              <w:rPr>
                <w:rFonts w:ascii="Calibri" w:hAnsi="Calibri"/>
                <w:sz w:val="20"/>
              </w:rPr>
              <w:t>appropriateness</w:t>
            </w:r>
            <w:r>
              <w:rPr>
                <w:rFonts w:ascii="Calibri" w:hAnsi="Calibri"/>
                <w:spacing w:val="-6"/>
                <w:sz w:val="20"/>
              </w:rPr>
              <w:t> </w:t>
            </w:r>
            <w:r>
              <w:rPr>
                <w:rFonts w:ascii="Calibri" w:hAnsi="Calibri"/>
                <w:sz w:val="20"/>
              </w:rPr>
              <w:t>of</w:t>
            </w:r>
            <w:r>
              <w:rPr>
                <w:rFonts w:ascii="Calibri" w:hAnsi="Calibri"/>
                <w:spacing w:val="-6"/>
                <w:sz w:val="20"/>
              </w:rPr>
              <w:t> </w:t>
            </w:r>
            <w:r>
              <w:rPr>
                <w:rFonts w:ascii="Calibri" w:hAnsi="Calibri"/>
                <w:sz w:val="20"/>
              </w:rPr>
              <w:t>applying</w:t>
            </w:r>
            <w:r>
              <w:rPr>
                <w:rFonts w:ascii="Calibri" w:hAnsi="Calibri"/>
                <w:spacing w:val="-5"/>
                <w:sz w:val="20"/>
              </w:rPr>
              <w:t> </w:t>
            </w:r>
            <w:r>
              <w:rPr>
                <w:rFonts w:ascii="Calibri" w:hAnsi="Calibri"/>
                <w:sz w:val="20"/>
              </w:rPr>
              <w:t>certain resource management practices (uses) to a particular area of land. An area may be identified as generally suitable for uses that are compatible with desired conditions and objectives for that area.</w:t>
            </w:r>
          </w:p>
          <w:p>
            <w:pPr>
              <w:pStyle w:val="TableParagraph"/>
              <w:spacing w:before="9"/>
              <w:rPr>
                <w:rFonts w:ascii="Calibri"/>
                <w:sz w:val="20"/>
              </w:rPr>
            </w:pPr>
          </w:p>
          <w:p>
            <w:pPr>
              <w:pStyle w:val="TableParagraph"/>
              <w:spacing w:line="254" w:lineRule="auto" w:before="0"/>
              <w:ind w:left="411" w:right="86"/>
              <w:rPr>
                <w:rFonts w:ascii="Calibri"/>
                <w:sz w:val="20"/>
              </w:rPr>
            </w:pPr>
            <w:r>
              <w:rPr>
                <w:rFonts w:ascii="Calibri"/>
                <w:sz w:val="20"/>
              </w:rPr>
              <w:t>A project with the purpose of timber production may occur only in an area</w:t>
            </w:r>
            <w:r>
              <w:rPr>
                <w:rFonts w:ascii="Calibri"/>
                <w:spacing w:val="-5"/>
                <w:sz w:val="20"/>
              </w:rPr>
              <w:t> </w:t>
            </w:r>
            <w:r>
              <w:rPr>
                <w:rFonts w:ascii="Calibri"/>
                <w:sz w:val="20"/>
              </w:rPr>
              <w:t>identified</w:t>
            </w:r>
            <w:r>
              <w:rPr>
                <w:rFonts w:ascii="Calibri"/>
                <w:spacing w:val="-4"/>
                <w:sz w:val="20"/>
              </w:rPr>
              <w:t> </w:t>
            </w:r>
            <w:r>
              <w:rPr>
                <w:rFonts w:ascii="Calibri"/>
                <w:sz w:val="20"/>
              </w:rPr>
              <w:t>as</w:t>
            </w:r>
            <w:r>
              <w:rPr>
                <w:rFonts w:ascii="Calibri"/>
                <w:spacing w:val="-6"/>
                <w:sz w:val="20"/>
              </w:rPr>
              <w:t> </w:t>
            </w:r>
            <w:r>
              <w:rPr>
                <w:rFonts w:ascii="Calibri"/>
                <w:sz w:val="20"/>
              </w:rPr>
              <w:t>suitable</w:t>
            </w:r>
            <w:r>
              <w:rPr>
                <w:rFonts w:ascii="Calibri"/>
                <w:spacing w:val="-6"/>
                <w:sz w:val="20"/>
              </w:rPr>
              <w:t> </w:t>
            </w:r>
            <w:r>
              <w:rPr>
                <w:rFonts w:ascii="Calibri"/>
                <w:sz w:val="20"/>
              </w:rPr>
              <w:t>for</w:t>
            </w:r>
            <w:r>
              <w:rPr>
                <w:rFonts w:ascii="Calibri"/>
                <w:spacing w:val="-3"/>
                <w:sz w:val="20"/>
              </w:rPr>
              <w:t> </w:t>
            </w:r>
            <w:r>
              <w:rPr>
                <w:rFonts w:ascii="Calibri"/>
                <w:sz w:val="20"/>
              </w:rPr>
              <w:t>timber</w:t>
            </w:r>
            <w:r>
              <w:rPr>
                <w:rFonts w:ascii="Calibri"/>
                <w:spacing w:val="-5"/>
                <w:sz w:val="20"/>
              </w:rPr>
              <w:t> </w:t>
            </w:r>
            <w:r>
              <w:rPr>
                <w:rFonts w:ascii="Calibri"/>
                <w:sz w:val="20"/>
              </w:rPr>
              <w:t>production.</w:t>
            </w:r>
            <w:r>
              <w:rPr>
                <w:rFonts w:ascii="Calibri"/>
                <w:spacing w:val="-5"/>
                <w:sz w:val="20"/>
              </w:rPr>
              <w:t> </w:t>
            </w:r>
            <w:r>
              <w:rPr>
                <w:rFonts w:ascii="Calibri"/>
                <w:sz w:val="20"/>
              </w:rPr>
              <w:t>The</w:t>
            </w:r>
            <w:r>
              <w:rPr>
                <w:rFonts w:ascii="Calibri"/>
                <w:spacing w:val="-6"/>
                <w:sz w:val="20"/>
              </w:rPr>
              <w:t> </w:t>
            </w:r>
            <w:r>
              <w:rPr>
                <w:rFonts w:ascii="Calibri"/>
                <w:sz w:val="20"/>
              </w:rPr>
              <w:t>documentation</w:t>
            </w:r>
            <w:r>
              <w:rPr>
                <w:rFonts w:ascii="Calibri"/>
                <w:spacing w:val="-4"/>
                <w:sz w:val="20"/>
              </w:rPr>
              <w:t> </w:t>
            </w:r>
            <w:r>
              <w:rPr>
                <w:rFonts w:ascii="Calibri"/>
                <w:sz w:val="20"/>
              </w:rPr>
              <w:t>for the project should confirm the project area meets the suitability </w:t>
            </w:r>
            <w:r>
              <w:rPr>
                <w:rFonts w:ascii="Calibri"/>
                <w:spacing w:val="-2"/>
                <w:sz w:val="20"/>
              </w:rPr>
              <w:t>requirements.</w:t>
            </w:r>
          </w:p>
          <w:p>
            <w:pPr>
              <w:pStyle w:val="TableParagraph"/>
              <w:spacing w:before="21"/>
              <w:rPr>
                <w:rFonts w:ascii="Calibri"/>
                <w:sz w:val="20"/>
              </w:rPr>
            </w:pPr>
          </w:p>
          <w:p>
            <w:pPr>
              <w:pStyle w:val="TableParagraph"/>
              <w:spacing w:line="254" w:lineRule="auto" w:before="0"/>
              <w:ind w:left="411" w:right="86"/>
              <w:rPr>
                <w:rFonts w:ascii="Calibri"/>
                <w:sz w:val="20"/>
              </w:rPr>
            </w:pPr>
            <w:r>
              <w:rPr>
                <w:rFonts w:ascii="Calibri"/>
                <w:sz w:val="20"/>
              </w:rPr>
              <w:t>Except</w:t>
            </w:r>
            <w:r>
              <w:rPr>
                <w:rFonts w:ascii="Calibri"/>
                <w:spacing w:val="-4"/>
                <w:sz w:val="20"/>
              </w:rPr>
              <w:t> </w:t>
            </w:r>
            <w:r>
              <w:rPr>
                <w:rFonts w:ascii="Calibri"/>
                <w:sz w:val="20"/>
              </w:rPr>
              <w:t>for</w:t>
            </w:r>
            <w:r>
              <w:rPr>
                <w:rFonts w:ascii="Calibri"/>
                <w:spacing w:val="-4"/>
                <w:sz w:val="20"/>
              </w:rPr>
              <w:t> </w:t>
            </w:r>
            <w:r>
              <w:rPr>
                <w:rFonts w:ascii="Calibri"/>
                <w:sz w:val="20"/>
              </w:rPr>
              <w:t>projects</w:t>
            </w:r>
            <w:r>
              <w:rPr>
                <w:rFonts w:ascii="Calibri"/>
                <w:spacing w:val="-3"/>
                <w:sz w:val="20"/>
              </w:rPr>
              <w:t> </w:t>
            </w:r>
            <w:r>
              <w:rPr>
                <w:rFonts w:ascii="Calibri"/>
                <w:sz w:val="20"/>
              </w:rPr>
              <w:t>with</w:t>
            </w:r>
            <w:r>
              <w:rPr>
                <w:rFonts w:ascii="Calibri"/>
                <w:spacing w:val="-3"/>
                <w:sz w:val="20"/>
              </w:rPr>
              <w:t> </w:t>
            </w:r>
            <w:r>
              <w:rPr>
                <w:rFonts w:ascii="Calibri"/>
                <w:sz w:val="20"/>
              </w:rPr>
              <w:t>a</w:t>
            </w:r>
            <w:r>
              <w:rPr>
                <w:rFonts w:ascii="Calibri"/>
                <w:spacing w:val="-3"/>
                <w:sz w:val="20"/>
              </w:rPr>
              <w:t> </w:t>
            </w:r>
            <w:r>
              <w:rPr>
                <w:rFonts w:ascii="Calibri"/>
                <w:sz w:val="20"/>
              </w:rPr>
              <w:t>purpose</w:t>
            </w:r>
            <w:r>
              <w:rPr>
                <w:rFonts w:ascii="Calibri"/>
                <w:spacing w:val="-5"/>
                <w:sz w:val="20"/>
              </w:rPr>
              <w:t> </w:t>
            </w:r>
            <w:r>
              <w:rPr>
                <w:rFonts w:ascii="Calibri"/>
                <w:sz w:val="20"/>
              </w:rPr>
              <w:t>of</w:t>
            </w:r>
            <w:r>
              <w:rPr>
                <w:rFonts w:ascii="Calibri"/>
                <w:spacing w:val="-5"/>
                <w:sz w:val="20"/>
              </w:rPr>
              <w:t> </w:t>
            </w:r>
            <w:r>
              <w:rPr>
                <w:rFonts w:ascii="Calibri"/>
                <w:sz w:val="20"/>
              </w:rPr>
              <w:t>timber</w:t>
            </w:r>
            <w:r>
              <w:rPr>
                <w:rFonts w:ascii="Calibri"/>
                <w:spacing w:val="-4"/>
                <w:sz w:val="20"/>
              </w:rPr>
              <w:t> </w:t>
            </w:r>
            <w:r>
              <w:rPr>
                <w:rFonts w:ascii="Calibri"/>
                <w:sz w:val="20"/>
              </w:rPr>
              <w:t>production,</w:t>
            </w:r>
            <w:r>
              <w:rPr>
                <w:rFonts w:ascii="Calibri"/>
                <w:spacing w:val="-3"/>
                <w:sz w:val="20"/>
              </w:rPr>
              <w:t> </w:t>
            </w:r>
            <w:r>
              <w:rPr>
                <w:rFonts w:ascii="Calibri"/>
                <w:sz w:val="20"/>
              </w:rPr>
              <w:t>a</w:t>
            </w:r>
            <w:r>
              <w:rPr>
                <w:rFonts w:ascii="Calibri"/>
                <w:spacing w:val="-6"/>
                <w:sz w:val="20"/>
              </w:rPr>
              <w:t> </w:t>
            </w:r>
            <w:r>
              <w:rPr>
                <w:rFonts w:ascii="Calibri"/>
                <w:sz w:val="20"/>
              </w:rPr>
              <w:t>project</w:t>
            </w:r>
            <w:r>
              <w:rPr>
                <w:rFonts w:ascii="Calibri"/>
                <w:spacing w:val="-4"/>
                <w:sz w:val="20"/>
              </w:rPr>
              <w:t> </w:t>
            </w:r>
            <w:r>
              <w:rPr>
                <w:rFonts w:ascii="Calibri"/>
                <w:sz w:val="20"/>
              </w:rPr>
              <w:t>or activity</w:t>
            </w:r>
            <w:r>
              <w:rPr>
                <w:rFonts w:ascii="Calibri"/>
                <w:spacing w:val="-7"/>
                <w:sz w:val="20"/>
              </w:rPr>
              <w:t> </w:t>
            </w:r>
            <w:r>
              <w:rPr>
                <w:rFonts w:ascii="Calibri"/>
                <w:sz w:val="20"/>
              </w:rPr>
              <w:t>must</w:t>
            </w:r>
            <w:r>
              <w:rPr>
                <w:rFonts w:ascii="Calibri"/>
                <w:spacing w:val="-7"/>
                <w:sz w:val="20"/>
              </w:rPr>
              <w:t> </w:t>
            </w:r>
            <w:r>
              <w:rPr>
                <w:rFonts w:ascii="Calibri"/>
                <w:sz w:val="20"/>
              </w:rPr>
              <w:t>address</w:t>
            </w:r>
            <w:r>
              <w:rPr>
                <w:rFonts w:ascii="Calibri"/>
                <w:spacing w:val="-8"/>
                <w:sz w:val="20"/>
              </w:rPr>
              <w:t> </w:t>
            </w:r>
            <w:r>
              <w:rPr>
                <w:rFonts w:ascii="Calibri"/>
                <w:sz w:val="20"/>
              </w:rPr>
              <w:t>plan</w:t>
            </w:r>
            <w:r>
              <w:rPr>
                <w:rFonts w:ascii="Calibri"/>
                <w:spacing w:val="-6"/>
                <w:sz w:val="20"/>
              </w:rPr>
              <w:t> </w:t>
            </w:r>
            <w:r>
              <w:rPr>
                <w:rFonts w:ascii="Calibri"/>
                <w:sz w:val="20"/>
              </w:rPr>
              <w:t>suitability</w:t>
            </w:r>
            <w:r>
              <w:rPr>
                <w:rFonts w:ascii="Calibri"/>
                <w:spacing w:val="-6"/>
                <w:sz w:val="20"/>
              </w:rPr>
              <w:t> </w:t>
            </w:r>
            <w:r>
              <w:rPr>
                <w:rFonts w:ascii="Calibri"/>
                <w:sz w:val="20"/>
              </w:rPr>
              <w:t>determinations</w:t>
            </w:r>
            <w:r>
              <w:rPr>
                <w:rFonts w:ascii="Calibri"/>
                <w:spacing w:val="-8"/>
                <w:sz w:val="20"/>
              </w:rPr>
              <w:t> </w:t>
            </w:r>
            <w:r>
              <w:rPr>
                <w:rFonts w:ascii="Calibri"/>
                <w:sz w:val="20"/>
              </w:rPr>
              <w:t>in</w:t>
            </w:r>
            <w:r>
              <w:rPr>
                <w:rFonts w:ascii="Calibri"/>
                <w:spacing w:val="-6"/>
                <w:sz w:val="20"/>
              </w:rPr>
              <w:t> </w:t>
            </w:r>
            <w:r>
              <w:rPr>
                <w:rFonts w:ascii="Calibri"/>
                <w:sz w:val="20"/>
              </w:rPr>
              <w:t>either</w:t>
            </w:r>
            <w:r>
              <w:rPr>
                <w:rFonts w:ascii="Calibri"/>
                <w:spacing w:val="-7"/>
                <w:sz w:val="20"/>
              </w:rPr>
              <w:t> </w:t>
            </w:r>
            <w:r>
              <w:rPr>
                <w:rFonts w:ascii="Calibri"/>
                <w:sz w:val="20"/>
              </w:rPr>
              <w:t>of</w:t>
            </w:r>
            <w:r>
              <w:rPr>
                <w:rFonts w:ascii="Calibri"/>
                <w:spacing w:val="-8"/>
                <w:sz w:val="20"/>
              </w:rPr>
              <w:t> </w:t>
            </w:r>
            <w:r>
              <w:rPr>
                <w:rFonts w:ascii="Calibri"/>
                <w:spacing w:val="-5"/>
                <w:sz w:val="20"/>
              </w:rPr>
              <w:t>two</w:t>
            </w:r>
          </w:p>
          <w:p>
            <w:pPr>
              <w:pStyle w:val="TableParagraph"/>
              <w:spacing w:before="4"/>
              <w:ind w:left="411"/>
              <w:rPr>
                <w:rFonts w:ascii="Calibri"/>
                <w:sz w:val="20"/>
              </w:rPr>
            </w:pPr>
            <w:r>
              <w:rPr>
                <w:rFonts w:ascii="Calibri"/>
                <w:spacing w:val="-4"/>
                <w:sz w:val="20"/>
              </w:rPr>
              <w:t>ways:</w:t>
            </w:r>
          </w:p>
        </w:tc>
      </w:tr>
      <w:tr>
        <w:trPr>
          <w:trHeight w:val="579" w:hRule="atLeast"/>
        </w:trPr>
        <w:tc>
          <w:tcPr>
            <w:tcW w:w="2077" w:type="dxa"/>
            <w:tcBorders>
              <w:left w:val="single" w:sz="8" w:space="0" w:color="9BBA58"/>
            </w:tcBorders>
          </w:tcPr>
          <w:p>
            <w:pPr>
              <w:pStyle w:val="TableParagraph"/>
              <w:spacing w:before="0"/>
              <w:rPr>
                <w:rFonts w:ascii="Times New Roman"/>
                <w:sz w:val="18"/>
              </w:rPr>
            </w:pPr>
          </w:p>
        </w:tc>
        <w:tc>
          <w:tcPr>
            <w:tcW w:w="6471" w:type="dxa"/>
            <w:tcBorders>
              <w:right w:val="single" w:sz="8" w:space="0" w:color="9BBA58"/>
            </w:tcBorders>
          </w:tcPr>
          <w:p>
            <w:pPr>
              <w:pStyle w:val="TableParagraph"/>
              <w:spacing w:line="254" w:lineRule="auto" w:before="0"/>
              <w:ind w:left="891" w:right="86" w:hanging="209"/>
              <w:rPr>
                <w:rFonts w:ascii="Calibri"/>
                <w:sz w:val="20"/>
              </w:rPr>
            </w:pPr>
            <w:r>
              <w:rPr>
                <w:rFonts w:ascii="Calibri"/>
                <w:sz w:val="20"/>
              </w:rPr>
              <w:t>1.</w:t>
            </w:r>
            <w:r>
              <w:rPr>
                <w:rFonts w:ascii="Calibri"/>
                <w:spacing w:val="-3"/>
                <w:sz w:val="20"/>
              </w:rPr>
              <w:t> </w:t>
            </w:r>
            <w:r>
              <w:rPr>
                <w:rFonts w:ascii="Calibri"/>
                <w:sz w:val="20"/>
              </w:rPr>
              <w:t>The</w:t>
            </w:r>
            <w:r>
              <w:rPr>
                <w:rFonts w:ascii="Calibri"/>
                <w:spacing w:val="-4"/>
                <w:sz w:val="20"/>
              </w:rPr>
              <w:t> </w:t>
            </w:r>
            <w:r>
              <w:rPr>
                <w:rFonts w:ascii="Calibri"/>
                <w:sz w:val="20"/>
              </w:rPr>
              <w:t>project</w:t>
            </w:r>
            <w:r>
              <w:rPr>
                <w:rFonts w:ascii="Calibri"/>
                <w:spacing w:val="-3"/>
                <w:sz w:val="20"/>
              </w:rPr>
              <w:t> </w:t>
            </w:r>
            <w:r>
              <w:rPr>
                <w:rFonts w:ascii="Calibri"/>
                <w:sz w:val="20"/>
              </w:rPr>
              <w:t>or</w:t>
            </w:r>
            <w:r>
              <w:rPr>
                <w:rFonts w:ascii="Calibri"/>
                <w:spacing w:val="-3"/>
                <w:sz w:val="20"/>
              </w:rPr>
              <w:t> </w:t>
            </w:r>
            <w:r>
              <w:rPr>
                <w:rFonts w:ascii="Calibri"/>
                <w:sz w:val="20"/>
              </w:rPr>
              <w:t>activity</w:t>
            </w:r>
            <w:r>
              <w:rPr>
                <w:rFonts w:ascii="Calibri"/>
                <w:spacing w:val="-2"/>
                <w:sz w:val="20"/>
              </w:rPr>
              <w:t> </w:t>
            </w:r>
            <w:r>
              <w:rPr>
                <w:rFonts w:ascii="Calibri"/>
                <w:sz w:val="20"/>
              </w:rPr>
              <w:t>is</w:t>
            </w:r>
            <w:r>
              <w:rPr>
                <w:rFonts w:ascii="Calibri"/>
                <w:spacing w:val="-4"/>
                <w:sz w:val="20"/>
              </w:rPr>
              <w:t> </w:t>
            </w:r>
            <w:r>
              <w:rPr>
                <w:rFonts w:ascii="Calibri"/>
                <w:sz w:val="20"/>
              </w:rPr>
              <w:t>a</w:t>
            </w:r>
            <w:r>
              <w:rPr>
                <w:rFonts w:ascii="Calibri"/>
                <w:spacing w:val="-3"/>
                <w:sz w:val="20"/>
              </w:rPr>
              <w:t> </w:t>
            </w:r>
            <w:r>
              <w:rPr>
                <w:rFonts w:ascii="Calibri"/>
                <w:sz w:val="20"/>
              </w:rPr>
              <w:t>use</w:t>
            </w:r>
            <w:r>
              <w:rPr>
                <w:rFonts w:ascii="Calibri"/>
                <w:spacing w:val="-4"/>
                <w:sz w:val="20"/>
              </w:rPr>
              <w:t> </w:t>
            </w:r>
            <w:r>
              <w:rPr>
                <w:rFonts w:ascii="Calibri"/>
                <w:sz w:val="20"/>
              </w:rPr>
              <w:t>identified</w:t>
            </w:r>
            <w:r>
              <w:rPr>
                <w:rFonts w:ascii="Calibri"/>
                <w:spacing w:val="-2"/>
                <w:sz w:val="20"/>
              </w:rPr>
              <w:t> </w:t>
            </w:r>
            <w:r>
              <w:rPr>
                <w:rFonts w:ascii="Calibri"/>
                <w:sz w:val="20"/>
              </w:rPr>
              <w:t>in</w:t>
            </w:r>
            <w:r>
              <w:rPr>
                <w:rFonts w:ascii="Calibri"/>
                <w:spacing w:val="-2"/>
                <w:sz w:val="20"/>
              </w:rPr>
              <w:t> </w:t>
            </w:r>
            <w:r>
              <w:rPr>
                <w:rFonts w:ascii="Calibri"/>
                <w:sz w:val="20"/>
              </w:rPr>
              <w:t>the</w:t>
            </w:r>
            <w:r>
              <w:rPr>
                <w:rFonts w:ascii="Calibri"/>
                <w:spacing w:val="-4"/>
                <w:sz w:val="20"/>
              </w:rPr>
              <w:t> </w:t>
            </w:r>
            <w:r>
              <w:rPr>
                <w:rFonts w:ascii="Calibri"/>
                <w:sz w:val="20"/>
              </w:rPr>
              <w:t>plan</w:t>
            </w:r>
            <w:r>
              <w:rPr>
                <w:rFonts w:ascii="Calibri"/>
                <w:spacing w:val="-2"/>
                <w:sz w:val="20"/>
              </w:rPr>
              <w:t> </w:t>
            </w:r>
            <w:r>
              <w:rPr>
                <w:rFonts w:ascii="Calibri"/>
                <w:sz w:val="20"/>
              </w:rPr>
              <w:t>as</w:t>
            </w:r>
            <w:r>
              <w:rPr>
                <w:rFonts w:ascii="Calibri"/>
                <w:spacing w:val="-4"/>
                <w:sz w:val="20"/>
              </w:rPr>
              <w:t> </w:t>
            </w:r>
            <w:r>
              <w:rPr>
                <w:rFonts w:ascii="Calibri"/>
                <w:sz w:val="20"/>
              </w:rPr>
              <w:t>suitable</w:t>
            </w:r>
            <w:r>
              <w:rPr>
                <w:rFonts w:ascii="Calibri"/>
                <w:spacing w:val="-4"/>
                <w:sz w:val="20"/>
              </w:rPr>
              <w:t> </w:t>
            </w:r>
            <w:r>
              <w:rPr>
                <w:rFonts w:ascii="Calibri"/>
                <w:sz w:val="20"/>
              </w:rPr>
              <w:t>for the location where the project or activity is to occur; or</w:t>
            </w:r>
          </w:p>
        </w:tc>
      </w:tr>
      <w:tr>
        <w:trPr>
          <w:trHeight w:val="1970" w:hRule="atLeast"/>
        </w:trPr>
        <w:tc>
          <w:tcPr>
            <w:tcW w:w="2077" w:type="dxa"/>
            <w:tcBorders>
              <w:left w:val="single" w:sz="8" w:space="0" w:color="9BBA58"/>
              <w:bottom w:val="single" w:sz="8" w:space="0" w:color="9BBA58"/>
            </w:tcBorders>
          </w:tcPr>
          <w:p>
            <w:pPr>
              <w:pStyle w:val="TableParagraph"/>
              <w:spacing w:before="0"/>
              <w:rPr>
                <w:rFonts w:ascii="Times New Roman"/>
                <w:sz w:val="18"/>
              </w:rPr>
            </w:pPr>
          </w:p>
        </w:tc>
        <w:tc>
          <w:tcPr>
            <w:tcW w:w="6471" w:type="dxa"/>
            <w:tcBorders>
              <w:bottom w:val="single" w:sz="8" w:space="0" w:color="9BBA58"/>
              <w:right w:val="single" w:sz="8" w:space="0" w:color="9BBA58"/>
            </w:tcBorders>
          </w:tcPr>
          <w:p>
            <w:pPr>
              <w:pStyle w:val="TableParagraph"/>
              <w:spacing w:line="252" w:lineRule="auto" w:before="50"/>
              <w:ind w:left="891" w:right="86" w:hanging="209"/>
              <w:rPr>
                <w:rFonts w:ascii="Calibri" w:hAnsi="Calibri"/>
                <w:sz w:val="20"/>
              </w:rPr>
            </w:pPr>
            <w:r>
              <w:rPr>
                <w:rFonts w:ascii="Calibri" w:hAnsi="Calibri"/>
                <w:sz w:val="20"/>
              </w:rPr>
              <w:t>2. The project or activity is not a use identified in the plan as suitable for the location (i.e., the plan is silent on the use or the plan identifies the use as not suitable), but the responsible official determines that the use is appropriate for that location’s desired conditions and objectives. However</w:t>
            </w:r>
            <w:r>
              <w:rPr>
                <w:rFonts w:ascii="Calibri" w:hAnsi="Calibri"/>
                <w:sz w:val="22"/>
              </w:rPr>
              <w:t>, i</w:t>
            </w:r>
            <w:r>
              <w:rPr>
                <w:rFonts w:ascii="Calibri" w:hAnsi="Calibri"/>
                <w:sz w:val="20"/>
              </w:rPr>
              <w:t>f a project or activity is specified</w:t>
            </w:r>
            <w:r>
              <w:rPr>
                <w:rFonts w:ascii="Calibri" w:hAnsi="Calibri"/>
                <w:spacing w:val="-3"/>
                <w:sz w:val="20"/>
              </w:rPr>
              <w:t> </w:t>
            </w:r>
            <w:r>
              <w:rPr>
                <w:rFonts w:ascii="Calibri" w:hAnsi="Calibri"/>
                <w:sz w:val="20"/>
              </w:rPr>
              <w:t>in</w:t>
            </w:r>
            <w:r>
              <w:rPr>
                <w:rFonts w:ascii="Calibri" w:hAnsi="Calibri"/>
                <w:spacing w:val="-3"/>
                <w:sz w:val="20"/>
              </w:rPr>
              <w:t> </w:t>
            </w:r>
            <w:r>
              <w:rPr>
                <w:rFonts w:ascii="Calibri" w:hAnsi="Calibri"/>
                <w:sz w:val="20"/>
              </w:rPr>
              <w:t>the</w:t>
            </w:r>
            <w:r>
              <w:rPr>
                <w:rFonts w:ascii="Calibri" w:hAnsi="Calibri"/>
                <w:spacing w:val="-5"/>
                <w:sz w:val="20"/>
              </w:rPr>
              <w:t> </w:t>
            </w:r>
            <w:r>
              <w:rPr>
                <w:rFonts w:ascii="Calibri" w:hAnsi="Calibri"/>
                <w:sz w:val="20"/>
              </w:rPr>
              <w:t>plan</w:t>
            </w:r>
            <w:r>
              <w:rPr>
                <w:rFonts w:ascii="Calibri" w:hAnsi="Calibri"/>
                <w:spacing w:val="-3"/>
                <w:sz w:val="20"/>
              </w:rPr>
              <w:t> </w:t>
            </w:r>
            <w:r>
              <w:rPr>
                <w:rFonts w:ascii="Calibri" w:hAnsi="Calibri"/>
                <w:sz w:val="20"/>
              </w:rPr>
              <w:t>as</w:t>
            </w:r>
            <w:r>
              <w:rPr>
                <w:rFonts w:ascii="Calibri" w:hAnsi="Calibri"/>
                <w:spacing w:val="-5"/>
                <w:sz w:val="20"/>
              </w:rPr>
              <w:t> </w:t>
            </w:r>
            <w:r>
              <w:rPr>
                <w:rFonts w:ascii="Calibri" w:hAnsi="Calibri"/>
                <w:sz w:val="20"/>
              </w:rPr>
              <w:t>not</w:t>
            </w:r>
            <w:r>
              <w:rPr>
                <w:rFonts w:ascii="Calibri" w:hAnsi="Calibri"/>
                <w:spacing w:val="-4"/>
                <w:sz w:val="20"/>
              </w:rPr>
              <w:t> </w:t>
            </w:r>
            <w:r>
              <w:rPr>
                <w:rFonts w:ascii="Calibri" w:hAnsi="Calibri"/>
                <w:sz w:val="20"/>
              </w:rPr>
              <w:t>suitable</w:t>
            </w:r>
            <w:r>
              <w:rPr>
                <w:rFonts w:ascii="Calibri" w:hAnsi="Calibri"/>
                <w:spacing w:val="-5"/>
                <w:sz w:val="20"/>
              </w:rPr>
              <w:t> </w:t>
            </w:r>
            <w:r>
              <w:rPr>
                <w:rFonts w:ascii="Calibri" w:hAnsi="Calibri"/>
                <w:sz w:val="20"/>
              </w:rPr>
              <w:t>for</w:t>
            </w:r>
            <w:r>
              <w:rPr>
                <w:rFonts w:ascii="Calibri" w:hAnsi="Calibri"/>
                <w:spacing w:val="-4"/>
                <w:sz w:val="20"/>
              </w:rPr>
              <w:t> </w:t>
            </w:r>
            <w:r>
              <w:rPr>
                <w:rFonts w:ascii="Calibri" w:hAnsi="Calibri"/>
                <w:sz w:val="20"/>
              </w:rPr>
              <w:t>the</w:t>
            </w:r>
            <w:r>
              <w:rPr>
                <w:rFonts w:ascii="Calibri" w:hAnsi="Calibri"/>
                <w:spacing w:val="-5"/>
                <w:sz w:val="20"/>
              </w:rPr>
              <w:t> </w:t>
            </w:r>
            <w:r>
              <w:rPr>
                <w:rFonts w:ascii="Calibri" w:hAnsi="Calibri"/>
                <w:sz w:val="20"/>
              </w:rPr>
              <w:t>area,</w:t>
            </w:r>
            <w:r>
              <w:rPr>
                <w:rFonts w:ascii="Calibri" w:hAnsi="Calibri"/>
                <w:spacing w:val="-3"/>
                <w:sz w:val="20"/>
              </w:rPr>
              <w:t> </w:t>
            </w:r>
            <w:r>
              <w:rPr>
                <w:rFonts w:ascii="Calibri" w:hAnsi="Calibri"/>
                <w:sz w:val="20"/>
              </w:rPr>
              <w:t>an</w:t>
            </w:r>
            <w:r>
              <w:rPr>
                <w:rFonts w:ascii="Calibri" w:hAnsi="Calibri"/>
                <w:spacing w:val="-3"/>
                <w:sz w:val="20"/>
              </w:rPr>
              <w:t> </w:t>
            </w:r>
            <w:r>
              <w:rPr>
                <w:rFonts w:ascii="Calibri" w:hAnsi="Calibri"/>
                <w:sz w:val="20"/>
              </w:rPr>
              <w:t>amendment</w:t>
            </w:r>
            <w:r>
              <w:rPr>
                <w:rFonts w:ascii="Calibri" w:hAnsi="Calibri"/>
                <w:spacing w:val="-4"/>
                <w:sz w:val="20"/>
              </w:rPr>
              <w:t> </w:t>
            </w:r>
            <w:r>
              <w:rPr>
                <w:rFonts w:ascii="Calibri" w:hAnsi="Calibri"/>
                <w:sz w:val="20"/>
              </w:rPr>
              <w:t>to the forest plan is required.</w:t>
            </w:r>
          </w:p>
        </w:tc>
      </w:tr>
    </w:tbl>
    <w:p>
      <w:pPr>
        <w:pStyle w:val="TableParagraph"/>
        <w:spacing w:after="0" w:line="252" w:lineRule="auto"/>
        <w:rPr>
          <w:rFonts w:ascii="Calibri" w:hAnsi="Calibri"/>
          <w:sz w:val="20"/>
        </w:rPr>
        <w:sectPr>
          <w:pgSz w:w="12240" w:h="15840"/>
          <w:pgMar w:header="725" w:footer="891" w:top="960" w:bottom="1080" w:left="1080" w:right="720"/>
        </w:sectPr>
      </w:pPr>
    </w:p>
    <w:p>
      <w:pPr>
        <w:pStyle w:val="BodyText"/>
        <w:spacing w:before="231"/>
        <w:rPr>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8549"/>
      </w:tblGrid>
      <w:tr>
        <w:trPr>
          <w:trHeight w:val="460" w:hRule="atLeast"/>
        </w:trPr>
        <w:tc>
          <w:tcPr>
            <w:tcW w:w="8549" w:type="dxa"/>
            <w:shd w:val="clear" w:color="auto" w:fill="C2D59B"/>
          </w:tcPr>
          <w:p>
            <w:pPr>
              <w:pStyle w:val="TableParagraph"/>
              <w:spacing w:before="18"/>
              <w:ind w:left="107"/>
              <w:rPr>
                <w:rFonts w:ascii="Calibri"/>
                <w:b/>
                <w:sz w:val="20"/>
              </w:rPr>
            </w:pPr>
            <w:r>
              <w:rPr>
                <w:rFonts w:ascii="Calibri"/>
                <w:b/>
                <w:sz w:val="20"/>
              </w:rPr>
              <w:t>Plan</w:t>
            </w:r>
            <w:r>
              <w:rPr>
                <w:rFonts w:ascii="Calibri"/>
                <w:b/>
                <w:spacing w:val="-5"/>
                <w:sz w:val="20"/>
              </w:rPr>
              <w:t> </w:t>
            </w:r>
            <w:r>
              <w:rPr>
                <w:rFonts w:ascii="Calibri"/>
                <w:b/>
                <w:spacing w:val="-2"/>
                <w:sz w:val="20"/>
              </w:rPr>
              <w:t>Components</w:t>
            </w:r>
          </w:p>
        </w:tc>
      </w:tr>
      <w:tr>
        <w:trPr>
          <w:trHeight w:val="2000" w:hRule="atLeast"/>
        </w:trPr>
        <w:tc>
          <w:tcPr>
            <w:tcW w:w="8549" w:type="dxa"/>
          </w:tcPr>
          <w:p>
            <w:pPr>
              <w:pStyle w:val="TableParagraph"/>
              <w:spacing w:before="11"/>
              <w:rPr>
                <w:rFonts w:ascii="Calibri"/>
                <w:sz w:val="20"/>
              </w:rPr>
            </w:pPr>
          </w:p>
          <w:p>
            <w:pPr>
              <w:pStyle w:val="TableParagraph"/>
              <w:spacing w:line="256" w:lineRule="auto" w:before="0"/>
              <w:ind w:left="2478" w:right="157"/>
              <w:jc w:val="both"/>
              <w:rPr>
                <w:rFonts w:ascii="Calibri"/>
                <w:sz w:val="20"/>
              </w:rPr>
            </w:pPr>
            <w:r>
              <w:rPr>
                <w:rFonts w:ascii="Calibri"/>
                <w:sz w:val="20"/>
              </w:rPr>
              <w:t>The</w:t>
            </w:r>
            <w:r>
              <w:rPr>
                <w:rFonts w:ascii="Calibri"/>
                <w:spacing w:val="-5"/>
                <w:sz w:val="20"/>
              </w:rPr>
              <w:t> </w:t>
            </w:r>
            <w:r>
              <w:rPr>
                <w:rFonts w:ascii="Calibri"/>
                <w:sz w:val="20"/>
              </w:rPr>
              <w:t>project</w:t>
            </w:r>
            <w:r>
              <w:rPr>
                <w:rFonts w:ascii="Calibri"/>
                <w:spacing w:val="-4"/>
                <w:sz w:val="20"/>
              </w:rPr>
              <w:t> </w:t>
            </w:r>
            <w:r>
              <w:rPr>
                <w:rFonts w:ascii="Calibri"/>
                <w:sz w:val="20"/>
              </w:rPr>
              <w:t>documentation</w:t>
            </w:r>
            <w:r>
              <w:rPr>
                <w:rFonts w:ascii="Calibri"/>
                <w:spacing w:val="-3"/>
                <w:sz w:val="20"/>
              </w:rPr>
              <w:t> </w:t>
            </w:r>
            <w:r>
              <w:rPr>
                <w:rFonts w:ascii="Calibri"/>
                <w:sz w:val="20"/>
              </w:rPr>
              <w:t>should</w:t>
            </w:r>
            <w:r>
              <w:rPr>
                <w:rFonts w:ascii="Calibri"/>
                <w:spacing w:val="-3"/>
                <w:sz w:val="20"/>
              </w:rPr>
              <w:t> </w:t>
            </w:r>
            <w:r>
              <w:rPr>
                <w:rFonts w:ascii="Calibri"/>
                <w:sz w:val="20"/>
              </w:rPr>
              <w:t>describe</w:t>
            </w:r>
            <w:r>
              <w:rPr>
                <w:rFonts w:ascii="Calibri"/>
                <w:spacing w:val="-5"/>
                <w:sz w:val="20"/>
              </w:rPr>
              <w:t> </w:t>
            </w:r>
            <w:r>
              <w:rPr>
                <w:rFonts w:ascii="Calibri"/>
                <w:sz w:val="20"/>
              </w:rPr>
              <w:t>that</w:t>
            </w:r>
            <w:r>
              <w:rPr>
                <w:rFonts w:ascii="Calibri"/>
                <w:spacing w:val="-4"/>
                <w:sz w:val="20"/>
              </w:rPr>
              <w:t> </w:t>
            </w:r>
            <w:r>
              <w:rPr>
                <w:rFonts w:ascii="Calibri"/>
                <w:sz w:val="20"/>
              </w:rPr>
              <w:t>the</w:t>
            </w:r>
            <w:r>
              <w:rPr>
                <w:rFonts w:ascii="Calibri"/>
                <w:spacing w:val="-5"/>
                <w:sz w:val="20"/>
              </w:rPr>
              <w:t> </w:t>
            </w:r>
            <w:r>
              <w:rPr>
                <w:rFonts w:ascii="Calibri"/>
                <w:sz w:val="20"/>
              </w:rPr>
              <w:t>project</w:t>
            </w:r>
            <w:r>
              <w:rPr>
                <w:rFonts w:ascii="Calibri"/>
                <w:spacing w:val="-1"/>
                <w:sz w:val="20"/>
              </w:rPr>
              <w:t> </w:t>
            </w:r>
            <w:r>
              <w:rPr>
                <w:rFonts w:ascii="Calibri"/>
                <w:sz w:val="20"/>
              </w:rPr>
              <w:t>or</w:t>
            </w:r>
            <w:r>
              <w:rPr>
                <w:rFonts w:ascii="Calibri"/>
                <w:spacing w:val="-4"/>
                <w:sz w:val="20"/>
              </w:rPr>
              <w:t> </w:t>
            </w:r>
            <w:r>
              <w:rPr>
                <w:rFonts w:ascii="Calibri"/>
                <w:sz w:val="20"/>
              </w:rPr>
              <w:t>activity</w:t>
            </w:r>
            <w:r>
              <w:rPr>
                <w:rFonts w:ascii="Calibri"/>
                <w:spacing w:val="-3"/>
                <w:sz w:val="20"/>
              </w:rPr>
              <w:t> </w:t>
            </w:r>
            <w:r>
              <w:rPr>
                <w:rFonts w:ascii="Calibri"/>
                <w:sz w:val="20"/>
              </w:rPr>
              <w:t>is either:</w:t>
            </w:r>
            <w:r>
              <w:rPr>
                <w:rFonts w:ascii="Calibri"/>
                <w:spacing w:val="-2"/>
                <w:sz w:val="20"/>
              </w:rPr>
              <w:t> </w:t>
            </w:r>
            <w:r>
              <w:rPr>
                <w:rFonts w:ascii="Calibri"/>
                <w:sz w:val="20"/>
              </w:rPr>
              <w:t>(1)</w:t>
            </w:r>
            <w:r>
              <w:rPr>
                <w:rFonts w:ascii="Calibri"/>
                <w:spacing w:val="-1"/>
                <w:sz w:val="20"/>
              </w:rPr>
              <w:t> </w:t>
            </w:r>
            <w:r>
              <w:rPr>
                <w:rFonts w:ascii="Calibri"/>
                <w:sz w:val="20"/>
              </w:rPr>
              <w:t>a</w:t>
            </w:r>
            <w:r>
              <w:rPr>
                <w:rFonts w:ascii="Calibri"/>
                <w:spacing w:val="-1"/>
                <w:sz w:val="20"/>
              </w:rPr>
              <w:t> </w:t>
            </w:r>
            <w:r>
              <w:rPr>
                <w:rFonts w:ascii="Calibri"/>
                <w:sz w:val="20"/>
              </w:rPr>
              <w:t>use</w:t>
            </w:r>
            <w:r>
              <w:rPr>
                <w:rFonts w:ascii="Calibri"/>
                <w:spacing w:val="-2"/>
                <w:sz w:val="20"/>
              </w:rPr>
              <w:t> </w:t>
            </w:r>
            <w:r>
              <w:rPr>
                <w:rFonts w:ascii="Calibri"/>
                <w:sz w:val="20"/>
              </w:rPr>
              <w:t>for which the area</w:t>
            </w:r>
            <w:r>
              <w:rPr>
                <w:rFonts w:ascii="Calibri"/>
                <w:spacing w:val="-1"/>
                <w:sz w:val="20"/>
              </w:rPr>
              <w:t> </w:t>
            </w:r>
            <w:r>
              <w:rPr>
                <w:rFonts w:ascii="Calibri"/>
                <w:sz w:val="20"/>
              </w:rPr>
              <w:t>is</w:t>
            </w:r>
            <w:r>
              <w:rPr>
                <w:rFonts w:ascii="Calibri"/>
                <w:spacing w:val="-2"/>
                <w:sz w:val="20"/>
              </w:rPr>
              <w:t> </w:t>
            </w:r>
            <w:r>
              <w:rPr>
                <w:rFonts w:ascii="Calibri"/>
                <w:sz w:val="20"/>
              </w:rPr>
              <w:t>specifically identified in the</w:t>
            </w:r>
            <w:r>
              <w:rPr>
                <w:rFonts w:ascii="Calibri"/>
                <w:spacing w:val="-2"/>
                <w:sz w:val="20"/>
              </w:rPr>
              <w:t> </w:t>
            </w:r>
            <w:r>
              <w:rPr>
                <w:rFonts w:ascii="Calibri"/>
                <w:sz w:val="20"/>
              </w:rPr>
              <w:t>plan as suitable</w:t>
            </w:r>
            <w:r>
              <w:rPr>
                <w:rFonts w:ascii="Calibri"/>
                <w:spacing w:val="-4"/>
                <w:sz w:val="20"/>
              </w:rPr>
              <w:t> </w:t>
            </w:r>
            <w:r>
              <w:rPr>
                <w:rFonts w:ascii="Calibri"/>
                <w:sz w:val="20"/>
              </w:rPr>
              <w:t>or</w:t>
            </w:r>
            <w:r>
              <w:rPr>
                <w:rFonts w:ascii="Calibri"/>
                <w:spacing w:val="-3"/>
                <w:sz w:val="20"/>
              </w:rPr>
              <w:t> </w:t>
            </w:r>
            <w:r>
              <w:rPr>
                <w:rFonts w:ascii="Calibri"/>
                <w:sz w:val="20"/>
              </w:rPr>
              <w:t>(2)</w:t>
            </w:r>
            <w:r>
              <w:rPr>
                <w:rFonts w:ascii="Calibri"/>
                <w:spacing w:val="-3"/>
                <w:sz w:val="20"/>
              </w:rPr>
              <w:t> </w:t>
            </w:r>
            <w:r>
              <w:rPr>
                <w:rFonts w:ascii="Calibri"/>
                <w:sz w:val="20"/>
              </w:rPr>
              <w:t>not</w:t>
            </w:r>
            <w:r>
              <w:rPr>
                <w:rFonts w:ascii="Calibri"/>
                <w:spacing w:val="-3"/>
                <w:sz w:val="20"/>
              </w:rPr>
              <w:t> </w:t>
            </w:r>
            <w:r>
              <w:rPr>
                <w:rFonts w:ascii="Calibri"/>
                <w:sz w:val="20"/>
              </w:rPr>
              <w:t>a</w:t>
            </w:r>
            <w:r>
              <w:rPr>
                <w:rFonts w:ascii="Calibri"/>
                <w:spacing w:val="-2"/>
                <w:sz w:val="20"/>
              </w:rPr>
              <w:t> </w:t>
            </w:r>
            <w:r>
              <w:rPr>
                <w:rFonts w:ascii="Calibri"/>
                <w:sz w:val="20"/>
              </w:rPr>
              <w:t>use</w:t>
            </w:r>
            <w:r>
              <w:rPr>
                <w:rFonts w:ascii="Calibri"/>
                <w:spacing w:val="-4"/>
                <w:sz w:val="20"/>
              </w:rPr>
              <w:t> </w:t>
            </w:r>
            <w:r>
              <w:rPr>
                <w:rFonts w:ascii="Calibri"/>
                <w:sz w:val="20"/>
              </w:rPr>
              <w:t>for</w:t>
            </w:r>
            <w:r>
              <w:rPr>
                <w:rFonts w:ascii="Calibri"/>
                <w:spacing w:val="-1"/>
                <w:sz w:val="20"/>
              </w:rPr>
              <w:t> </w:t>
            </w:r>
            <w:r>
              <w:rPr>
                <w:rFonts w:ascii="Calibri"/>
                <w:sz w:val="20"/>
              </w:rPr>
              <w:t>which</w:t>
            </w:r>
            <w:r>
              <w:rPr>
                <w:rFonts w:ascii="Calibri"/>
                <w:spacing w:val="-2"/>
                <w:sz w:val="20"/>
              </w:rPr>
              <w:t> </w:t>
            </w:r>
            <w:r>
              <w:rPr>
                <w:rFonts w:ascii="Calibri"/>
                <w:sz w:val="20"/>
              </w:rPr>
              <w:t>the</w:t>
            </w:r>
            <w:r>
              <w:rPr>
                <w:rFonts w:ascii="Calibri"/>
                <w:spacing w:val="-4"/>
                <w:sz w:val="20"/>
              </w:rPr>
              <w:t> </w:t>
            </w:r>
            <w:r>
              <w:rPr>
                <w:rFonts w:ascii="Calibri"/>
                <w:sz w:val="20"/>
              </w:rPr>
              <w:t>area</w:t>
            </w:r>
            <w:r>
              <w:rPr>
                <w:rFonts w:ascii="Calibri"/>
                <w:spacing w:val="-3"/>
                <w:sz w:val="20"/>
              </w:rPr>
              <w:t> </w:t>
            </w:r>
            <w:r>
              <w:rPr>
                <w:rFonts w:ascii="Calibri"/>
                <w:sz w:val="20"/>
              </w:rPr>
              <w:t>is</w:t>
            </w:r>
            <w:r>
              <w:rPr>
                <w:rFonts w:ascii="Calibri"/>
                <w:spacing w:val="-4"/>
                <w:sz w:val="20"/>
              </w:rPr>
              <w:t> </w:t>
            </w:r>
            <w:r>
              <w:rPr>
                <w:rFonts w:ascii="Calibri"/>
                <w:sz w:val="20"/>
              </w:rPr>
              <w:t>specifically</w:t>
            </w:r>
            <w:r>
              <w:rPr>
                <w:rFonts w:ascii="Calibri"/>
                <w:spacing w:val="-2"/>
                <w:sz w:val="20"/>
              </w:rPr>
              <w:t> </w:t>
            </w:r>
            <w:r>
              <w:rPr>
                <w:rFonts w:ascii="Calibri"/>
                <w:sz w:val="20"/>
              </w:rPr>
              <w:t>identified</w:t>
            </w:r>
            <w:r>
              <w:rPr>
                <w:rFonts w:ascii="Calibri"/>
                <w:spacing w:val="-2"/>
                <w:sz w:val="20"/>
              </w:rPr>
              <w:t> </w:t>
            </w:r>
            <w:r>
              <w:rPr>
                <w:rFonts w:ascii="Calibri"/>
                <w:sz w:val="20"/>
              </w:rPr>
              <w:t>in</w:t>
            </w:r>
            <w:r>
              <w:rPr>
                <w:rFonts w:ascii="Calibri"/>
                <w:spacing w:val="-2"/>
                <w:sz w:val="20"/>
              </w:rPr>
              <w:t> </w:t>
            </w:r>
            <w:r>
              <w:rPr>
                <w:rFonts w:ascii="Calibri"/>
                <w:sz w:val="20"/>
              </w:rPr>
              <w:t>the plan as suitable, but it is, nonetheless, appropriate for that location.</w:t>
            </w:r>
          </w:p>
          <w:p>
            <w:pPr>
              <w:pStyle w:val="TableParagraph"/>
              <w:spacing w:line="254" w:lineRule="auto" w:before="0"/>
              <w:ind w:left="2478" w:right="136"/>
              <w:jc w:val="both"/>
              <w:rPr>
                <w:rFonts w:ascii="Calibri"/>
                <w:sz w:val="20"/>
              </w:rPr>
            </w:pPr>
            <w:r>
              <w:rPr>
                <w:rFonts w:ascii="Calibri"/>
                <w:sz w:val="20"/>
              </w:rPr>
              <w:t>However,</w:t>
            </w:r>
            <w:r>
              <w:rPr>
                <w:rFonts w:ascii="Calibri"/>
                <w:spacing w:val="-2"/>
                <w:sz w:val="20"/>
              </w:rPr>
              <w:t> </w:t>
            </w:r>
            <w:r>
              <w:rPr>
                <w:rFonts w:ascii="Calibri"/>
                <w:sz w:val="20"/>
              </w:rPr>
              <w:t>if</w:t>
            </w:r>
            <w:r>
              <w:rPr>
                <w:rFonts w:ascii="Calibri"/>
                <w:spacing w:val="-4"/>
                <w:sz w:val="20"/>
              </w:rPr>
              <w:t> </w:t>
            </w:r>
            <w:r>
              <w:rPr>
                <w:rFonts w:ascii="Calibri"/>
                <w:sz w:val="20"/>
              </w:rPr>
              <w:t>a</w:t>
            </w:r>
            <w:r>
              <w:rPr>
                <w:rFonts w:ascii="Calibri"/>
                <w:spacing w:val="-2"/>
                <w:sz w:val="20"/>
              </w:rPr>
              <w:t> </w:t>
            </w:r>
            <w:r>
              <w:rPr>
                <w:rFonts w:ascii="Calibri"/>
                <w:sz w:val="20"/>
              </w:rPr>
              <w:t>project</w:t>
            </w:r>
            <w:r>
              <w:rPr>
                <w:rFonts w:ascii="Calibri"/>
                <w:spacing w:val="-3"/>
                <w:sz w:val="20"/>
              </w:rPr>
              <w:t> </w:t>
            </w:r>
            <w:r>
              <w:rPr>
                <w:rFonts w:ascii="Calibri"/>
                <w:sz w:val="20"/>
              </w:rPr>
              <w:t>or</w:t>
            </w:r>
            <w:r>
              <w:rPr>
                <w:rFonts w:ascii="Calibri"/>
                <w:spacing w:val="-3"/>
                <w:sz w:val="20"/>
              </w:rPr>
              <w:t> </w:t>
            </w:r>
            <w:r>
              <w:rPr>
                <w:rFonts w:ascii="Calibri"/>
                <w:sz w:val="20"/>
              </w:rPr>
              <w:t>activity</w:t>
            </w:r>
            <w:r>
              <w:rPr>
                <w:rFonts w:ascii="Calibri"/>
                <w:spacing w:val="-2"/>
                <w:sz w:val="20"/>
              </w:rPr>
              <w:t> </w:t>
            </w:r>
            <w:r>
              <w:rPr>
                <w:rFonts w:ascii="Calibri"/>
                <w:sz w:val="20"/>
              </w:rPr>
              <w:t>is</w:t>
            </w:r>
            <w:r>
              <w:rPr>
                <w:rFonts w:ascii="Calibri"/>
                <w:spacing w:val="-4"/>
                <w:sz w:val="20"/>
              </w:rPr>
              <w:t> </w:t>
            </w:r>
            <w:r>
              <w:rPr>
                <w:rFonts w:ascii="Calibri"/>
                <w:sz w:val="20"/>
              </w:rPr>
              <w:t>specified</w:t>
            </w:r>
            <w:r>
              <w:rPr>
                <w:rFonts w:ascii="Calibri"/>
                <w:spacing w:val="-2"/>
                <w:sz w:val="20"/>
              </w:rPr>
              <w:t> </w:t>
            </w:r>
            <w:r>
              <w:rPr>
                <w:rFonts w:ascii="Calibri"/>
                <w:sz w:val="20"/>
              </w:rPr>
              <w:t>in</w:t>
            </w:r>
            <w:r>
              <w:rPr>
                <w:rFonts w:ascii="Calibri"/>
                <w:spacing w:val="-2"/>
                <w:sz w:val="20"/>
              </w:rPr>
              <w:t> </w:t>
            </w:r>
            <w:r>
              <w:rPr>
                <w:rFonts w:ascii="Calibri"/>
                <w:sz w:val="20"/>
              </w:rPr>
              <w:t>the</w:t>
            </w:r>
            <w:r>
              <w:rPr>
                <w:rFonts w:ascii="Calibri"/>
                <w:spacing w:val="-4"/>
                <w:sz w:val="20"/>
              </w:rPr>
              <w:t> </w:t>
            </w:r>
            <w:r>
              <w:rPr>
                <w:rFonts w:ascii="Calibri"/>
                <w:sz w:val="20"/>
              </w:rPr>
              <w:t>plan</w:t>
            </w:r>
            <w:r>
              <w:rPr>
                <w:rFonts w:ascii="Calibri"/>
                <w:spacing w:val="-2"/>
                <w:sz w:val="20"/>
              </w:rPr>
              <w:t> </w:t>
            </w:r>
            <w:r>
              <w:rPr>
                <w:rFonts w:ascii="Calibri"/>
                <w:sz w:val="20"/>
              </w:rPr>
              <w:t>as</w:t>
            </w:r>
            <w:r>
              <w:rPr>
                <w:rFonts w:ascii="Calibri"/>
                <w:spacing w:val="-4"/>
                <w:sz w:val="20"/>
              </w:rPr>
              <w:t> </w:t>
            </w:r>
            <w:r>
              <w:rPr>
                <w:rFonts w:ascii="Calibri"/>
                <w:sz w:val="20"/>
              </w:rPr>
              <w:t>not</w:t>
            </w:r>
            <w:r>
              <w:rPr>
                <w:rFonts w:ascii="Calibri"/>
                <w:spacing w:val="-3"/>
                <w:sz w:val="20"/>
              </w:rPr>
              <w:t> </w:t>
            </w:r>
            <w:r>
              <w:rPr>
                <w:rFonts w:ascii="Calibri"/>
                <w:sz w:val="20"/>
              </w:rPr>
              <w:t>suitable</w:t>
            </w:r>
            <w:r>
              <w:rPr>
                <w:rFonts w:ascii="Calibri"/>
                <w:spacing w:val="-4"/>
                <w:sz w:val="20"/>
              </w:rPr>
              <w:t> </w:t>
            </w:r>
            <w:r>
              <w:rPr>
                <w:rFonts w:ascii="Calibri"/>
                <w:sz w:val="20"/>
              </w:rPr>
              <w:t>for the area, an amendment to the forest plan is required.</w:t>
            </w:r>
          </w:p>
        </w:tc>
      </w:tr>
    </w:tbl>
    <w:p>
      <w:pPr>
        <w:pStyle w:val="BodyText"/>
        <w:spacing w:before="94"/>
      </w:pPr>
    </w:p>
    <w:p>
      <w:pPr>
        <w:pStyle w:val="BodyText"/>
        <w:spacing w:line="232" w:lineRule="auto"/>
        <w:ind w:left="359" w:right="1621"/>
      </w:pPr>
      <w:r>
        <w:rPr/>
        <w:t>Changes such as updates of data and maps, typographical errors, modifications to the monitoring</w:t>
      </w:r>
      <w:r>
        <w:rPr>
          <w:spacing w:val="-8"/>
        </w:rPr>
        <w:t> </w:t>
      </w:r>
      <w:r>
        <w:rPr/>
        <w:t>program</w:t>
      </w:r>
      <w:r>
        <w:rPr>
          <w:spacing w:val="-6"/>
        </w:rPr>
        <w:t> </w:t>
      </w:r>
      <w:r>
        <w:rPr/>
        <w:t>and</w:t>
      </w:r>
      <w:r>
        <w:rPr>
          <w:spacing w:val="-9"/>
        </w:rPr>
        <w:t> </w:t>
      </w:r>
      <w:r>
        <w:rPr/>
        <w:t>monitoring</w:t>
      </w:r>
      <w:r>
        <w:rPr>
          <w:spacing w:val="-8"/>
        </w:rPr>
        <w:t> </w:t>
      </w:r>
      <w:r>
        <w:rPr/>
        <w:t>information,</w:t>
      </w:r>
      <w:r>
        <w:rPr>
          <w:spacing w:val="-7"/>
        </w:rPr>
        <w:t> </w:t>
      </w:r>
      <w:r>
        <w:rPr/>
        <w:t>and</w:t>
      </w:r>
      <w:r>
        <w:rPr>
          <w:spacing w:val="-9"/>
        </w:rPr>
        <w:t> </w:t>
      </w:r>
      <w:r>
        <w:rPr/>
        <w:t>other</w:t>
      </w:r>
      <w:r>
        <w:rPr>
          <w:spacing w:val="-7"/>
        </w:rPr>
        <w:t> </w:t>
      </w:r>
      <w:r>
        <w:rPr/>
        <w:t>non-substantive</w:t>
      </w:r>
      <w:r>
        <w:rPr>
          <w:spacing w:val="-6"/>
        </w:rPr>
        <w:t> </w:t>
      </w:r>
      <w:r>
        <w:rPr/>
        <w:t>changes</w:t>
      </w:r>
      <w:r>
        <w:rPr>
          <w:spacing w:val="-7"/>
        </w:rPr>
        <w:t> </w:t>
      </w:r>
      <w:r>
        <w:rPr/>
        <w:t>in</w:t>
      </w:r>
      <w:r>
        <w:rPr>
          <w:spacing w:val="-8"/>
        </w:rPr>
        <w:t> </w:t>
      </w:r>
      <w:r>
        <w:rPr/>
        <w:t>this document, may be made with administrative corrections. The public will be notified of any future amendments or administrative corrections to the plan.</w:t>
      </w:r>
    </w:p>
    <w:p>
      <w:pPr>
        <w:pStyle w:val="Heading2"/>
        <w:spacing w:before="237"/>
      </w:pPr>
      <w:bookmarkStart w:name="Plan Structure" w:id="52"/>
      <w:bookmarkEnd w:id="52"/>
      <w:r>
        <w:rPr/>
      </w:r>
      <w:bookmarkStart w:name="_bookmark28" w:id="53"/>
      <w:bookmarkEnd w:id="53"/>
      <w:r>
        <w:rPr/>
      </w:r>
      <w:r>
        <w:rPr>
          <w:smallCaps/>
          <w:color w:val="475824"/>
        </w:rPr>
        <w:t>Plan</w:t>
      </w:r>
      <w:r>
        <w:rPr>
          <w:smallCaps/>
          <w:color w:val="475824"/>
          <w:spacing w:val="-9"/>
        </w:rPr>
        <w:t> </w:t>
      </w:r>
      <w:r>
        <w:rPr>
          <w:smallCaps/>
          <w:color w:val="475824"/>
          <w:spacing w:val="-2"/>
        </w:rPr>
        <w:t>Structure</w:t>
      </w:r>
    </w:p>
    <w:p>
      <w:pPr>
        <w:pStyle w:val="BodyText"/>
        <w:spacing w:line="232" w:lineRule="auto" w:before="65"/>
        <w:ind w:left="360" w:right="2452"/>
        <w:jc w:val="both"/>
      </w:pPr>
      <w:r>
        <w:rPr/>
        <w:t>This</w:t>
      </w:r>
      <w:r>
        <w:rPr>
          <w:spacing w:val="-5"/>
        </w:rPr>
        <w:t> </w:t>
      </w:r>
      <w:r>
        <w:rPr/>
        <w:t>Plan</w:t>
      </w:r>
      <w:r>
        <w:rPr>
          <w:spacing w:val="-6"/>
        </w:rPr>
        <w:t> </w:t>
      </w:r>
      <w:r>
        <w:rPr/>
        <w:t>is</w:t>
      </w:r>
      <w:r>
        <w:rPr>
          <w:spacing w:val="-7"/>
        </w:rPr>
        <w:t> </w:t>
      </w:r>
      <w:r>
        <w:rPr/>
        <w:t>organized</w:t>
      </w:r>
      <w:r>
        <w:rPr>
          <w:spacing w:val="-6"/>
        </w:rPr>
        <w:t> </w:t>
      </w:r>
      <w:r>
        <w:rPr/>
        <w:t>into</w:t>
      </w:r>
      <w:r>
        <w:rPr>
          <w:spacing w:val="-4"/>
        </w:rPr>
        <w:t> </w:t>
      </w:r>
      <w:r>
        <w:rPr/>
        <w:t>several</w:t>
      </w:r>
      <w:r>
        <w:rPr>
          <w:spacing w:val="-8"/>
        </w:rPr>
        <w:t> </w:t>
      </w:r>
      <w:r>
        <w:rPr/>
        <w:t>major</w:t>
      </w:r>
      <w:r>
        <w:rPr>
          <w:spacing w:val="-5"/>
        </w:rPr>
        <w:t> </w:t>
      </w:r>
      <w:r>
        <w:rPr/>
        <w:t>divisions:</w:t>
      </w:r>
      <w:r>
        <w:rPr>
          <w:spacing w:val="-6"/>
        </w:rPr>
        <w:t> </w:t>
      </w:r>
      <w:r>
        <w:rPr/>
        <w:t>Chapter</w:t>
      </w:r>
      <w:r>
        <w:rPr>
          <w:spacing w:val="-7"/>
        </w:rPr>
        <w:t> </w:t>
      </w:r>
      <w:r>
        <w:rPr/>
        <w:t>1:</w:t>
      </w:r>
      <w:r>
        <w:rPr>
          <w:spacing w:val="-4"/>
        </w:rPr>
        <w:t> </w:t>
      </w:r>
      <w:r>
        <w:rPr/>
        <w:t>Introduction;</w:t>
      </w:r>
      <w:r>
        <w:rPr>
          <w:spacing w:val="-4"/>
        </w:rPr>
        <w:t> </w:t>
      </w:r>
      <w:r>
        <w:rPr/>
        <w:t>Chapter</w:t>
      </w:r>
      <w:r>
        <w:rPr>
          <w:spacing w:val="-5"/>
        </w:rPr>
        <w:t> </w:t>
      </w:r>
      <w:r>
        <w:rPr/>
        <w:t>2: Forestwide</w:t>
      </w:r>
      <w:r>
        <w:rPr>
          <w:spacing w:val="-7"/>
        </w:rPr>
        <w:t> </w:t>
      </w:r>
      <w:r>
        <w:rPr/>
        <w:t>Direction;</w:t>
      </w:r>
      <w:r>
        <w:rPr>
          <w:spacing w:val="-8"/>
        </w:rPr>
        <w:t> </w:t>
      </w:r>
      <w:r>
        <w:rPr/>
        <w:t>Chapter</w:t>
      </w:r>
      <w:r>
        <w:rPr>
          <w:spacing w:val="-9"/>
        </w:rPr>
        <w:t> </w:t>
      </w:r>
      <w:r>
        <w:rPr/>
        <w:t>3:</w:t>
      </w:r>
      <w:r>
        <w:rPr>
          <w:spacing w:val="-8"/>
        </w:rPr>
        <w:t> </w:t>
      </w:r>
      <w:r>
        <w:rPr/>
        <w:t>Management</w:t>
      </w:r>
      <w:r>
        <w:rPr>
          <w:spacing w:val="-7"/>
        </w:rPr>
        <w:t> </w:t>
      </w:r>
      <w:r>
        <w:rPr/>
        <w:t>Area</w:t>
      </w:r>
      <w:r>
        <w:rPr>
          <w:spacing w:val="-9"/>
        </w:rPr>
        <w:t> </w:t>
      </w:r>
      <w:r>
        <w:rPr/>
        <w:t>Direction;</w:t>
      </w:r>
      <w:r>
        <w:rPr>
          <w:spacing w:val="-7"/>
        </w:rPr>
        <w:t> </w:t>
      </w:r>
      <w:r>
        <w:rPr/>
        <w:t>Chapter</w:t>
      </w:r>
      <w:r>
        <w:rPr>
          <w:spacing w:val="-9"/>
        </w:rPr>
        <w:t> </w:t>
      </w:r>
      <w:r>
        <w:rPr/>
        <w:t>4:</w:t>
      </w:r>
      <w:r>
        <w:rPr>
          <w:spacing w:val="-8"/>
        </w:rPr>
        <w:t> </w:t>
      </w:r>
      <w:r>
        <w:rPr/>
        <w:t>Monitoring; Appendices; and References.</w:t>
      </w:r>
    </w:p>
    <w:p>
      <w:pPr>
        <w:pStyle w:val="BodyText"/>
        <w:spacing w:line="232" w:lineRule="auto" w:before="197"/>
        <w:ind w:left="360" w:right="1538"/>
        <w:jc w:val="both"/>
      </w:pPr>
      <w:r>
        <w:rPr/>
        <w:t>A map</w:t>
      </w:r>
      <w:r>
        <w:rPr>
          <w:spacing w:val="-2"/>
        </w:rPr>
        <w:t> </w:t>
      </w:r>
      <w:r>
        <w:rPr/>
        <w:t>of</w:t>
      </w:r>
      <w:r>
        <w:rPr>
          <w:spacing w:val="-2"/>
        </w:rPr>
        <w:t> </w:t>
      </w:r>
      <w:r>
        <w:rPr/>
        <w:t>management areas can be found in appendix H of</w:t>
      </w:r>
      <w:r>
        <w:rPr>
          <w:spacing w:val="-1"/>
        </w:rPr>
        <w:t> </w:t>
      </w:r>
      <w:r>
        <w:rPr/>
        <w:t>this</w:t>
      </w:r>
      <w:r>
        <w:rPr>
          <w:spacing w:val="-1"/>
        </w:rPr>
        <w:t> </w:t>
      </w:r>
      <w:r>
        <w:rPr/>
        <w:t>Plan. Other</w:t>
      </w:r>
      <w:r>
        <w:rPr>
          <w:spacing w:val="-1"/>
        </w:rPr>
        <w:t> </w:t>
      </w:r>
      <w:r>
        <w:rPr/>
        <w:t>maps can be found in</w:t>
      </w:r>
      <w:r>
        <w:rPr>
          <w:spacing w:val="-6"/>
        </w:rPr>
        <w:t> </w:t>
      </w:r>
      <w:r>
        <w:rPr/>
        <w:t>the</w:t>
      </w:r>
      <w:r>
        <w:rPr>
          <w:spacing w:val="-7"/>
        </w:rPr>
        <w:t> </w:t>
      </w:r>
      <w:r>
        <w:rPr/>
        <w:t>map</w:t>
      </w:r>
      <w:r>
        <w:rPr>
          <w:spacing w:val="-6"/>
        </w:rPr>
        <w:t> </w:t>
      </w:r>
      <w:r>
        <w:rPr/>
        <w:t>packet</w:t>
      </w:r>
      <w:r>
        <w:rPr>
          <w:spacing w:val="-7"/>
        </w:rPr>
        <w:t> </w:t>
      </w:r>
      <w:r>
        <w:rPr/>
        <w:t>enclosed</w:t>
      </w:r>
      <w:r>
        <w:rPr>
          <w:spacing w:val="-7"/>
        </w:rPr>
        <w:t> </w:t>
      </w:r>
      <w:r>
        <w:rPr/>
        <w:t>with</w:t>
      </w:r>
      <w:r>
        <w:rPr>
          <w:spacing w:val="-6"/>
        </w:rPr>
        <w:t> </w:t>
      </w:r>
      <w:r>
        <w:rPr/>
        <w:t>the</w:t>
      </w:r>
      <w:r>
        <w:rPr>
          <w:spacing w:val="-3"/>
        </w:rPr>
        <w:t> </w:t>
      </w:r>
      <w:r>
        <w:rPr/>
        <w:t>Final</w:t>
      </w:r>
      <w:r>
        <w:rPr>
          <w:spacing w:val="-5"/>
        </w:rPr>
        <w:t> </w:t>
      </w:r>
      <w:r>
        <w:rPr/>
        <w:t>Environmental</w:t>
      </w:r>
      <w:r>
        <w:rPr>
          <w:spacing w:val="-5"/>
        </w:rPr>
        <w:t> </w:t>
      </w:r>
      <w:r>
        <w:rPr/>
        <w:t>Impact</w:t>
      </w:r>
      <w:r>
        <w:rPr>
          <w:spacing w:val="-4"/>
        </w:rPr>
        <w:t> </w:t>
      </w:r>
      <w:r>
        <w:rPr/>
        <w:t>Statement</w:t>
      </w:r>
      <w:r>
        <w:rPr>
          <w:spacing w:val="-4"/>
        </w:rPr>
        <w:t> </w:t>
      </w:r>
      <w:r>
        <w:rPr/>
        <w:t>for</w:t>
      </w:r>
      <w:r>
        <w:rPr>
          <w:spacing w:val="-7"/>
        </w:rPr>
        <w:t> </w:t>
      </w:r>
      <w:r>
        <w:rPr/>
        <w:t>the</w:t>
      </w:r>
      <w:r>
        <w:rPr>
          <w:spacing w:val="-4"/>
        </w:rPr>
        <w:t> </w:t>
      </w:r>
      <w:r>
        <w:rPr/>
        <w:t>Colville</w:t>
      </w:r>
      <w:r>
        <w:rPr>
          <w:spacing w:val="-7"/>
        </w:rPr>
        <w:t> </w:t>
      </w:r>
      <w:r>
        <w:rPr/>
        <w:t>Land Management</w:t>
      </w:r>
      <w:r>
        <w:rPr>
          <w:spacing w:val="-13"/>
        </w:rPr>
        <w:t> </w:t>
      </w:r>
      <w:r>
        <w:rPr/>
        <w:t>Plan,</w:t>
      </w:r>
      <w:r>
        <w:rPr>
          <w:spacing w:val="-12"/>
        </w:rPr>
        <w:t> </w:t>
      </w:r>
      <w:r>
        <w:rPr/>
        <w:t>and</w:t>
      </w:r>
      <w:r>
        <w:rPr>
          <w:spacing w:val="-13"/>
        </w:rPr>
        <w:t> </w:t>
      </w:r>
      <w:r>
        <w:rPr/>
        <w:t>at</w:t>
      </w:r>
      <w:r>
        <w:rPr>
          <w:spacing w:val="-12"/>
        </w:rPr>
        <w:t> </w:t>
      </w:r>
      <w:hyperlink r:id="rId37">
        <w:r>
          <w:rPr>
            <w:color w:val="0000FF"/>
            <w:u w:val="single" w:color="0000FF"/>
          </w:rPr>
          <w:t>https://www.fs.usda.gov/main/colville/landmanagement/planning</w:t>
        </w:r>
        <w:r>
          <w:rPr>
            <w:u w:val="none"/>
          </w:rPr>
          <w:t>.</w:t>
        </w:r>
      </w:hyperlink>
      <w:r>
        <w:rPr>
          <w:spacing w:val="-13"/>
          <w:u w:val="none"/>
        </w:rPr>
        <w:t> </w:t>
      </w:r>
      <w:r>
        <w:rPr>
          <w:u w:val="none"/>
        </w:rPr>
        <w:t>A glossary</w:t>
      </w:r>
      <w:r>
        <w:rPr>
          <w:spacing w:val="-3"/>
          <w:u w:val="none"/>
        </w:rPr>
        <w:t> </w:t>
      </w:r>
      <w:r>
        <w:rPr>
          <w:u w:val="none"/>
        </w:rPr>
        <w:t>and</w:t>
      </w:r>
      <w:r>
        <w:rPr>
          <w:spacing w:val="-5"/>
          <w:u w:val="none"/>
        </w:rPr>
        <w:t> </w:t>
      </w:r>
      <w:r>
        <w:rPr>
          <w:u w:val="none"/>
        </w:rPr>
        <w:t>bibliography</w:t>
      </w:r>
      <w:r>
        <w:rPr>
          <w:spacing w:val="-5"/>
          <w:u w:val="none"/>
        </w:rPr>
        <w:t> </w:t>
      </w:r>
      <w:r>
        <w:rPr>
          <w:u w:val="none"/>
        </w:rPr>
        <w:t>are</w:t>
      </w:r>
      <w:r>
        <w:rPr>
          <w:spacing w:val="-3"/>
          <w:u w:val="none"/>
        </w:rPr>
        <w:t> </w:t>
      </w:r>
      <w:r>
        <w:rPr>
          <w:u w:val="none"/>
        </w:rPr>
        <w:t>also</w:t>
      </w:r>
      <w:r>
        <w:rPr>
          <w:spacing w:val="-3"/>
          <w:u w:val="none"/>
        </w:rPr>
        <w:t> </w:t>
      </w:r>
      <w:r>
        <w:rPr>
          <w:u w:val="none"/>
        </w:rPr>
        <w:t>included</w:t>
      </w:r>
      <w:r>
        <w:rPr>
          <w:spacing w:val="-5"/>
          <w:u w:val="none"/>
        </w:rPr>
        <w:t> </w:t>
      </w:r>
      <w:r>
        <w:rPr>
          <w:u w:val="none"/>
        </w:rPr>
        <w:t>in</w:t>
      </w:r>
      <w:r>
        <w:rPr>
          <w:spacing w:val="-7"/>
          <w:u w:val="none"/>
        </w:rPr>
        <w:t> </w:t>
      </w:r>
      <w:r>
        <w:rPr>
          <w:u w:val="none"/>
        </w:rPr>
        <w:t>the</w:t>
      </w:r>
      <w:r>
        <w:rPr>
          <w:spacing w:val="-3"/>
          <w:u w:val="none"/>
        </w:rPr>
        <w:t> </w:t>
      </w:r>
      <w:r>
        <w:rPr>
          <w:u w:val="none"/>
        </w:rPr>
        <w:t>Final</w:t>
      </w:r>
      <w:r>
        <w:rPr>
          <w:spacing w:val="-7"/>
          <w:u w:val="none"/>
        </w:rPr>
        <w:t> </w:t>
      </w:r>
      <w:r>
        <w:rPr>
          <w:u w:val="none"/>
        </w:rPr>
        <w:t>Environmental</w:t>
      </w:r>
      <w:r>
        <w:rPr>
          <w:spacing w:val="-4"/>
          <w:u w:val="none"/>
        </w:rPr>
        <w:t> </w:t>
      </w:r>
      <w:r>
        <w:rPr>
          <w:u w:val="none"/>
        </w:rPr>
        <w:t>Impact</w:t>
      </w:r>
      <w:r>
        <w:rPr>
          <w:spacing w:val="-3"/>
          <w:u w:val="none"/>
        </w:rPr>
        <w:t> </w:t>
      </w:r>
      <w:r>
        <w:rPr>
          <w:u w:val="none"/>
        </w:rPr>
        <w:t>Statement</w:t>
      </w:r>
      <w:r>
        <w:rPr>
          <w:spacing w:val="-3"/>
          <w:u w:val="none"/>
        </w:rPr>
        <w:t> </w:t>
      </w:r>
      <w:r>
        <w:rPr>
          <w:u w:val="none"/>
        </w:rPr>
        <w:t>for</w:t>
      </w:r>
      <w:r>
        <w:rPr>
          <w:spacing w:val="-6"/>
          <w:u w:val="none"/>
        </w:rPr>
        <w:t> </w:t>
      </w:r>
      <w:r>
        <w:rPr>
          <w:u w:val="none"/>
        </w:rPr>
        <w:t>the Colville Land Management Plan.</w:t>
      </w:r>
    </w:p>
    <w:p>
      <w:pPr>
        <w:pStyle w:val="BodyText"/>
        <w:spacing w:line="232" w:lineRule="auto" w:before="198"/>
        <w:ind w:left="360" w:right="1631"/>
        <w:jc w:val="both"/>
      </w:pPr>
      <w:r>
        <w:rPr/>
        <w:t>The</w:t>
      </w:r>
      <w:r>
        <w:rPr>
          <w:spacing w:val="-3"/>
        </w:rPr>
        <w:t> </w:t>
      </w:r>
      <w:r>
        <w:rPr/>
        <w:t>following</w:t>
      </w:r>
      <w:r>
        <w:rPr>
          <w:spacing w:val="-5"/>
        </w:rPr>
        <w:t> </w:t>
      </w:r>
      <w:r>
        <w:rPr/>
        <w:t>discussion</w:t>
      </w:r>
      <w:r>
        <w:rPr>
          <w:spacing w:val="-5"/>
        </w:rPr>
        <w:t> </w:t>
      </w:r>
      <w:r>
        <w:rPr/>
        <w:t>briefly</w:t>
      </w:r>
      <w:r>
        <w:rPr>
          <w:spacing w:val="-3"/>
        </w:rPr>
        <w:t> </w:t>
      </w:r>
      <w:r>
        <w:rPr/>
        <w:t>describes</w:t>
      </w:r>
      <w:r>
        <w:rPr>
          <w:spacing w:val="-4"/>
        </w:rPr>
        <w:t> </w:t>
      </w:r>
      <w:r>
        <w:rPr/>
        <w:t>how</w:t>
      </w:r>
      <w:r>
        <w:rPr>
          <w:spacing w:val="-6"/>
        </w:rPr>
        <w:t> </w:t>
      </w:r>
      <w:r>
        <w:rPr/>
        <w:t>the</w:t>
      </w:r>
      <w:r>
        <w:rPr>
          <w:spacing w:val="-6"/>
        </w:rPr>
        <w:t> </w:t>
      </w:r>
      <w:r>
        <w:rPr/>
        <w:t>plan</w:t>
      </w:r>
      <w:r>
        <w:rPr>
          <w:spacing w:val="-5"/>
        </w:rPr>
        <w:t> </w:t>
      </w:r>
      <w:r>
        <w:rPr/>
        <w:t>components</w:t>
      </w:r>
      <w:r>
        <w:rPr>
          <w:spacing w:val="-6"/>
        </w:rPr>
        <w:t> </w:t>
      </w:r>
      <w:r>
        <w:rPr/>
        <w:t>are</w:t>
      </w:r>
      <w:r>
        <w:rPr>
          <w:spacing w:val="-6"/>
        </w:rPr>
        <w:t> </w:t>
      </w:r>
      <w:r>
        <w:rPr/>
        <w:t>distributed</w:t>
      </w:r>
      <w:r>
        <w:rPr>
          <w:spacing w:val="-5"/>
        </w:rPr>
        <w:t> </w:t>
      </w:r>
      <w:r>
        <w:rPr/>
        <w:t>among</w:t>
      </w:r>
      <w:r>
        <w:rPr>
          <w:spacing w:val="-5"/>
        </w:rPr>
        <w:t> </w:t>
      </w:r>
      <w:r>
        <w:rPr/>
        <w:t>the parts of this Plan. For a quick preview of the Plan structure, glance at the Table of Contents.</w:t>
      </w:r>
    </w:p>
    <w:p>
      <w:pPr>
        <w:pStyle w:val="BodyText"/>
        <w:spacing w:before="100"/>
        <w:rPr>
          <w:sz w:val="20"/>
        </w:rPr>
      </w:pPr>
    </w:p>
    <w:tbl>
      <w:tblPr>
        <w:tblW w:w="0" w:type="auto"/>
        <w:jc w:val="left"/>
        <w:tblInd w:w="487"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083"/>
        <w:gridCol w:w="6359"/>
      </w:tblGrid>
      <w:tr>
        <w:trPr>
          <w:trHeight w:val="458" w:hRule="atLeast"/>
        </w:trPr>
        <w:tc>
          <w:tcPr>
            <w:tcW w:w="8442" w:type="dxa"/>
            <w:gridSpan w:val="2"/>
            <w:tcBorders>
              <w:top w:val="nil"/>
            </w:tcBorders>
            <w:shd w:val="clear" w:color="auto" w:fill="C2D59B"/>
          </w:tcPr>
          <w:p>
            <w:pPr>
              <w:pStyle w:val="TableParagraph"/>
              <w:spacing w:before="18"/>
              <w:ind w:left="107"/>
              <w:rPr>
                <w:rFonts w:ascii="Calibri"/>
                <w:b/>
                <w:sz w:val="20"/>
              </w:rPr>
            </w:pPr>
            <w:r>
              <w:rPr>
                <w:rFonts w:ascii="Calibri"/>
                <w:b/>
                <w:sz w:val="20"/>
              </w:rPr>
              <w:t>Parts</w:t>
            </w:r>
            <w:r>
              <w:rPr>
                <w:rFonts w:ascii="Calibri"/>
                <w:b/>
                <w:spacing w:val="-3"/>
                <w:sz w:val="20"/>
              </w:rPr>
              <w:t> </w:t>
            </w:r>
            <w:r>
              <w:rPr>
                <w:rFonts w:ascii="Calibri"/>
                <w:b/>
                <w:sz w:val="20"/>
              </w:rPr>
              <w:t>of</w:t>
            </w:r>
            <w:r>
              <w:rPr>
                <w:rFonts w:ascii="Calibri"/>
                <w:b/>
                <w:spacing w:val="-4"/>
                <w:sz w:val="20"/>
              </w:rPr>
              <w:t> </w:t>
            </w:r>
            <w:r>
              <w:rPr>
                <w:rFonts w:ascii="Calibri"/>
                <w:b/>
                <w:sz w:val="20"/>
              </w:rPr>
              <w:t>the</w:t>
            </w:r>
            <w:r>
              <w:rPr>
                <w:rFonts w:ascii="Calibri"/>
                <w:b/>
                <w:spacing w:val="-2"/>
                <w:sz w:val="20"/>
              </w:rPr>
              <w:t> </w:t>
            </w:r>
            <w:r>
              <w:rPr>
                <w:rFonts w:ascii="Calibri"/>
                <w:b/>
                <w:spacing w:val="-4"/>
                <w:sz w:val="20"/>
              </w:rPr>
              <w:t>Plan</w:t>
            </w:r>
          </w:p>
        </w:tc>
      </w:tr>
      <w:tr>
        <w:trPr>
          <w:trHeight w:val="1760" w:hRule="atLeast"/>
        </w:trPr>
        <w:tc>
          <w:tcPr>
            <w:tcW w:w="2083" w:type="dxa"/>
            <w:tcBorders>
              <w:right w:val="nil"/>
            </w:tcBorders>
          </w:tcPr>
          <w:p>
            <w:pPr>
              <w:pStyle w:val="TableParagraph"/>
              <w:spacing w:line="254" w:lineRule="auto" w:before="20"/>
              <w:ind w:left="107" w:right="222"/>
              <w:rPr>
                <w:rFonts w:ascii="Calibri"/>
                <w:b/>
                <w:sz w:val="20"/>
              </w:rPr>
            </w:pPr>
            <w:r>
              <w:rPr>
                <w:rFonts w:ascii="Calibri"/>
                <w:b/>
                <w:sz w:val="20"/>
              </w:rPr>
              <w:t>Chapter 1: </w:t>
            </w:r>
            <w:r>
              <w:rPr>
                <w:rFonts w:ascii="Calibri"/>
                <w:b/>
                <w:spacing w:val="-2"/>
                <w:sz w:val="20"/>
              </w:rPr>
              <w:t>Introduction</w:t>
            </w:r>
          </w:p>
        </w:tc>
        <w:tc>
          <w:tcPr>
            <w:tcW w:w="6359" w:type="dxa"/>
            <w:tcBorders>
              <w:left w:val="nil"/>
            </w:tcBorders>
          </w:tcPr>
          <w:p>
            <w:pPr>
              <w:pStyle w:val="TableParagraph"/>
              <w:spacing w:line="254" w:lineRule="auto" w:before="20"/>
              <w:ind w:left="249" w:right="132"/>
              <w:rPr>
                <w:rFonts w:ascii="Calibri"/>
                <w:sz w:val="20"/>
              </w:rPr>
            </w:pPr>
            <w:r>
              <w:rPr>
                <w:rFonts w:ascii="Calibri"/>
                <w:sz w:val="20"/>
              </w:rPr>
              <w:t>This</w:t>
            </w:r>
            <w:r>
              <w:rPr>
                <w:rFonts w:ascii="Calibri"/>
                <w:spacing w:val="-5"/>
                <w:sz w:val="20"/>
              </w:rPr>
              <w:t> </w:t>
            </w:r>
            <w:r>
              <w:rPr>
                <w:rFonts w:ascii="Calibri"/>
                <w:sz w:val="20"/>
              </w:rPr>
              <w:t>chapter</w:t>
            </w:r>
            <w:r>
              <w:rPr>
                <w:rFonts w:ascii="Calibri"/>
                <w:spacing w:val="-4"/>
                <w:sz w:val="20"/>
              </w:rPr>
              <w:t> </w:t>
            </w:r>
            <w:r>
              <w:rPr>
                <w:rFonts w:ascii="Calibri"/>
                <w:sz w:val="20"/>
              </w:rPr>
              <w:t>contains</w:t>
            </w:r>
            <w:r>
              <w:rPr>
                <w:rFonts w:ascii="Calibri"/>
                <w:spacing w:val="-5"/>
                <w:sz w:val="20"/>
              </w:rPr>
              <w:t> </w:t>
            </w:r>
            <w:r>
              <w:rPr>
                <w:rFonts w:ascii="Calibri"/>
                <w:sz w:val="20"/>
              </w:rPr>
              <w:t>an</w:t>
            </w:r>
            <w:r>
              <w:rPr>
                <w:rFonts w:ascii="Calibri"/>
                <w:spacing w:val="-3"/>
                <w:sz w:val="20"/>
              </w:rPr>
              <w:t> </w:t>
            </w:r>
            <w:r>
              <w:rPr>
                <w:rFonts w:ascii="Calibri"/>
                <w:sz w:val="20"/>
              </w:rPr>
              <w:t>introduction</w:t>
            </w:r>
            <w:r>
              <w:rPr>
                <w:rFonts w:ascii="Calibri"/>
                <w:spacing w:val="-3"/>
                <w:sz w:val="20"/>
              </w:rPr>
              <w:t> </w:t>
            </w:r>
            <w:r>
              <w:rPr>
                <w:rFonts w:ascii="Calibri"/>
                <w:sz w:val="20"/>
              </w:rPr>
              <w:t>to</w:t>
            </w:r>
            <w:r>
              <w:rPr>
                <w:rFonts w:ascii="Calibri"/>
                <w:spacing w:val="-4"/>
                <w:sz w:val="20"/>
              </w:rPr>
              <w:t> </w:t>
            </w:r>
            <w:r>
              <w:rPr>
                <w:rFonts w:ascii="Calibri"/>
                <w:sz w:val="20"/>
              </w:rPr>
              <w:t>the</w:t>
            </w:r>
            <w:r>
              <w:rPr>
                <w:rFonts w:ascii="Calibri"/>
                <w:spacing w:val="-5"/>
                <w:sz w:val="20"/>
              </w:rPr>
              <w:t> </w:t>
            </w:r>
            <w:r>
              <w:rPr>
                <w:rFonts w:ascii="Calibri"/>
                <w:sz w:val="20"/>
              </w:rPr>
              <w:t>Colville</w:t>
            </w:r>
            <w:r>
              <w:rPr>
                <w:rFonts w:ascii="Calibri"/>
                <w:spacing w:val="-5"/>
                <w:sz w:val="20"/>
              </w:rPr>
              <w:t> </w:t>
            </w:r>
            <w:r>
              <w:rPr>
                <w:rFonts w:ascii="Calibri"/>
                <w:sz w:val="20"/>
              </w:rPr>
              <w:t>National</w:t>
            </w:r>
            <w:r>
              <w:rPr>
                <w:rFonts w:ascii="Calibri"/>
                <w:spacing w:val="-4"/>
                <w:sz w:val="20"/>
              </w:rPr>
              <w:t> </w:t>
            </w:r>
            <w:r>
              <w:rPr>
                <w:rFonts w:ascii="Calibri"/>
                <w:sz w:val="20"/>
              </w:rPr>
              <w:t>Forest.</w:t>
            </w:r>
            <w:r>
              <w:rPr>
                <w:rFonts w:ascii="Calibri"/>
                <w:spacing w:val="-4"/>
                <w:sz w:val="20"/>
              </w:rPr>
              <w:t> </w:t>
            </w:r>
            <w:r>
              <w:rPr>
                <w:rFonts w:ascii="Calibri"/>
                <w:sz w:val="20"/>
              </w:rPr>
              <w:t>It also contains information about the ecological and social challenges associated with managing the forest, and the context for the local, regional, and national laws and policies that guide management.</w:t>
            </w:r>
          </w:p>
          <w:p>
            <w:pPr>
              <w:pStyle w:val="TableParagraph"/>
              <w:spacing w:before="19"/>
              <w:rPr>
                <w:rFonts w:ascii="Calibri"/>
                <w:sz w:val="20"/>
              </w:rPr>
            </w:pPr>
          </w:p>
          <w:p>
            <w:pPr>
              <w:pStyle w:val="TableParagraph"/>
              <w:spacing w:before="0"/>
              <w:ind w:left="249"/>
              <w:rPr>
                <w:rFonts w:ascii="Calibri"/>
                <w:sz w:val="20"/>
              </w:rPr>
            </w:pPr>
            <w:r>
              <w:rPr>
                <w:rFonts w:ascii="Calibri"/>
                <w:sz w:val="20"/>
              </w:rPr>
              <w:t>This</w:t>
            </w:r>
            <w:r>
              <w:rPr>
                <w:rFonts w:ascii="Calibri"/>
                <w:spacing w:val="-6"/>
                <w:sz w:val="20"/>
              </w:rPr>
              <w:t> </w:t>
            </w:r>
            <w:r>
              <w:rPr>
                <w:rFonts w:ascii="Calibri"/>
                <w:sz w:val="20"/>
              </w:rPr>
              <w:t>chapter</w:t>
            </w:r>
            <w:r>
              <w:rPr>
                <w:rFonts w:ascii="Calibri"/>
                <w:spacing w:val="-4"/>
                <w:sz w:val="20"/>
              </w:rPr>
              <w:t> </w:t>
            </w:r>
            <w:r>
              <w:rPr>
                <w:rFonts w:ascii="Calibri"/>
                <w:sz w:val="20"/>
              </w:rPr>
              <w:t>also</w:t>
            </w:r>
            <w:r>
              <w:rPr>
                <w:rFonts w:ascii="Calibri"/>
                <w:spacing w:val="-4"/>
                <w:sz w:val="20"/>
              </w:rPr>
              <w:t> </w:t>
            </w:r>
            <w:r>
              <w:rPr>
                <w:rFonts w:ascii="Calibri"/>
                <w:sz w:val="20"/>
              </w:rPr>
              <w:t>provides</w:t>
            </w:r>
            <w:r>
              <w:rPr>
                <w:rFonts w:ascii="Calibri"/>
                <w:spacing w:val="-5"/>
                <w:sz w:val="20"/>
              </w:rPr>
              <w:t> </w:t>
            </w:r>
            <w:r>
              <w:rPr>
                <w:rFonts w:ascii="Calibri"/>
                <w:sz w:val="20"/>
              </w:rPr>
              <w:t>an</w:t>
            </w:r>
            <w:r>
              <w:rPr>
                <w:rFonts w:ascii="Calibri"/>
                <w:spacing w:val="-3"/>
                <w:sz w:val="20"/>
              </w:rPr>
              <w:t> </w:t>
            </w:r>
            <w:r>
              <w:rPr>
                <w:rFonts w:ascii="Calibri"/>
                <w:sz w:val="20"/>
              </w:rPr>
              <w:t>outline</w:t>
            </w:r>
            <w:r>
              <w:rPr>
                <w:rFonts w:ascii="Calibri"/>
                <w:spacing w:val="-6"/>
                <w:sz w:val="20"/>
              </w:rPr>
              <w:t> </w:t>
            </w:r>
            <w:r>
              <w:rPr>
                <w:rFonts w:ascii="Calibri"/>
                <w:sz w:val="20"/>
              </w:rPr>
              <w:t>for</w:t>
            </w:r>
            <w:r>
              <w:rPr>
                <w:rFonts w:ascii="Calibri"/>
                <w:spacing w:val="-4"/>
                <w:sz w:val="20"/>
              </w:rPr>
              <w:t> </w:t>
            </w:r>
            <w:r>
              <w:rPr>
                <w:rFonts w:ascii="Calibri"/>
                <w:sz w:val="20"/>
              </w:rPr>
              <w:t>how</w:t>
            </w:r>
            <w:r>
              <w:rPr>
                <w:rFonts w:ascii="Calibri"/>
                <w:spacing w:val="-5"/>
                <w:sz w:val="20"/>
              </w:rPr>
              <w:t> </w:t>
            </w:r>
            <w:r>
              <w:rPr>
                <w:rFonts w:ascii="Calibri"/>
                <w:sz w:val="20"/>
              </w:rPr>
              <w:t>the</w:t>
            </w:r>
            <w:r>
              <w:rPr>
                <w:rFonts w:ascii="Calibri"/>
                <w:spacing w:val="-5"/>
                <w:sz w:val="20"/>
              </w:rPr>
              <w:t> </w:t>
            </w:r>
            <w:r>
              <w:rPr>
                <w:rFonts w:ascii="Calibri"/>
                <w:sz w:val="20"/>
              </w:rPr>
              <w:t>Plan</w:t>
            </w:r>
            <w:r>
              <w:rPr>
                <w:rFonts w:ascii="Calibri"/>
                <w:spacing w:val="-3"/>
                <w:sz w:val="20"/>
              </w:rPr>
              <w:t> </w:t>
            </w:r>
            <w:r>
              <w:rPr>
                <w:rFonts w:ascii="Calibri"/>
                <w:sz w:val="20"/>
              </w:rPr>
              <w:t>is</w:t>
            </w:r>
            <w:r>
              <w:rPr>
                <w:rFonts w:ascii="Calibri"/>
                <w:spacing w:val="-5"/>
                <w:sz w:val="20"/>
              </w:rPr>
              <w:t> </w:t>
            </w:r>
            <w:r>
              <w:rPr>
                <w:rFonts w:ascii="Calibri"/>
                <w:spacing w:val="-2"/>
                <w:sz w:val="20"/>
              </w:rPr>
              <w:t>structured.</w:t>
            </w:r>
          </w:p>
        </w:tc>
      </w:tr>
      <w:tr>
        <w:trPr>
          <w:trHeight w:val="1648" w:hRule="atLeast"/>
        </w:trPr>
        <w:tc>
          <w:tcPr>
            <w:tcW w:w="2083" w:type="dxa"/>
            <w:tcBorders>
              <w:bottom w:val="nil"/>
              <w:right w:val="nil"/>
            </w:tcBorders>
          </w:tcPr>
          <w:p>
            <w:pPr>
              <w:pStyle w:val="TableParagraph"/>
              <w:spacing w:line="256" w:lineRule="auto" w:before="18"/>
              <w:ind w:left="107" w:right="222"/>
              <w:rPr>
                <w:rFonts w:ascii="Calibri"/>
                <w:b/>
                <w:sz w:val="20"/>
              </w:rPr>
            </w:pPr>
            <w:r>
              <w:rPr>
                <w:rFonts w:ascii="Calibri"/>
                <w:b/>
                <w:sz w:val="20"/>
              </w:rPr>
              <w:t>Chapter 2: Forestwide</w:t>
            </w:r>
            <w:r>
              <w:rPr>
                <w:rFonts w:ascii="Calibri"/>
                <w:b/>
                <w:spacing w:val="-12"/>
                <w:sz w:val="20"/>
              </w:rPr>
              <w:t> </w:t>
            </w:r>
            <w:r>
              <w:rPr>
                <w:rFonts w:ascii="Calibri"/>
                <w:b/>
                <w:sz w:val="20"/>
              </w:rPr>
              <w:t>Direction</w:t>
            </w:r>
          </w:p>
        </w:tc>
        <w:tc>
          <w:tcPr>
            <w:tcW w:w="6359" w:type="dxa"/>
            <w:tcBorders>
              <w:left w:val="nil"/>
              <w:bottom w:val="nil"/>
            </w:tcBorders>
          </w:tcPr>
          <w:p>
            <w:pPr>
              <w:pStyle w:val="TableParagraph"/>
              <w:spacing w:line="256" w:lineRule="auto" w:before="18"/>
              <w:ind w:left="249" w:right="132"/>
              <w:rPr>
                <w:rFonts w:ascii="Calibri"/>
                <w:sz w:val="20"/>
              </w:rPr>
            </w:pPr>
            <w:r>
              <w:rPr>
                <w:rFonts w:ascii="Calibri"/>
                <w:sz w:val="20"/>
              </w:rPr>
              <w:t>This chapter contains direction that applies forestwide unless more stringent or restrictive direction is found in chapter 3. Forestwide direction includes desired conditions, objectives, standards, and guidelines.</w:t>
            </w:r>
            <w:r>
              <w:rPr>
                <w:rFonts w:ascii="Calibri"/>
                <w:spacing w:val="-6"/>
                <w:sz w:val="20"/>
              </w:rPr>
              <w:t> </w:t>
            </w:r>
            <w:r>
              <w:rPr>
                <w:rFonts w:ascii="Calibri"/>
                <w:sz w:val="20"/>
              </w:rPr>
              <w:t>Other</w:t>
            </w:r>
            <w:r>
              <w:rPr>
                <w:rFonts w:ascii="Calibri"/>
                <w:spacing w:val="-6"/>
                <w:sz w:val="20"/>
              </w:rPr>
              <w:t> </w:t>
            </w:r>
            <w:r>
              <w:rPr>
                <w:rFonts w:ascii="Calibri"/>
                <w:sz w:val="20"/>
              </w:rPr>
              <w:t>Forest</w:t>
            </w:r>
            <w:r>
              <w:rPr>
                <w:rFonts w:ascii="Calibri"/>
                <w:spacing w:val="-6"/>
                <w:sz w:val="20"/>
              </w:rPr>
              <w:t> </w:t>
            </w:r>
            <w:r>
              <w:rPr>
                <w:rFonts w:ascii="Calibri"/>
                <w:sz w:val="20"/>
              </w:rPr>
              <w:t>Service</w:t>
            </w:r>
            <w:r>
              <w:rPr>
                <w:rFonts w:ascii="Calibri"/>
                <w:spacing w:val="-7"/>
                <w:sz w:val="20"/>
              </w:rPr>
              <w:t> </w:t>
            </w:r>
            <w:r>
              <w:rPr>
                <w:rFonts w:ascii="Calibri"/>
                <w:sz w:val="20"/>
              </w:rPr>
              <w:t>direction</w:t>
            </w:r>
            <w:r>
              <w:rPr>
                <w:rFonts w:ascii="Calibri"/>
                <w:spacing w:val="-5"/>
                <w:sz w:val="20"/>
              </w:rPr>
              <w:t> </w:t>
            </w:r>
            <w:r>
              <w:rPr>
                <w:rFonts w:ascii="Calibri"/>
                <w:sz w:val="20"/>
              </w:rPr>
              <w:t>including</w:t>
            </w:r>
            <w:r>
              <w:rPr>
                <w:rFonts w:ascii="Calibri"/>
                <w:spacing w:val="-6"/>
                <w:sz w:val="20"/>
              </w:rPr>
              <w:t> </w:t>
            </w:r>
            <w:r>
              <w:rPr>
                <w:rFonts w:ascii="Calibri"/>
                <w:sz w:val="20"/>
              </w:rPr>
              <w:t>laws,</w:t>
            </w:r>
            <w:r>
              <w:rPr>
                <w:rFonts w:ascii="Calibri"/>
                <w:spacing w:val="-5"/>
                <w:sz w:val="20"/>
              </w:rPr>
              <w:t> </w:t>
            </w:r>
            <w:r>
              <w:rPr>
                <w:rFonts w:ascii="Calibri"/>
                <w:sz w:val="20"/>
              </w:rPr>
              <w:t>regulations, policies, executive orders, and Forest Service directives (manual and handbook), is not repeated in the Forest Plan.</w:t>
            </w:r>
          </w:p>
        </w:tc>
      </w:tr>
      <w:tr>
        <w:trPr>
          <w:trHeight w:val="574" w:hRule="atLeast"/>
        </w:trPr>
        <w:tc>
          <w:tcPr>
            <w:tcW w:w="2083" w:type="dxa"/>
            <w:tcBorders>
              <w:top w:val="nil"/>
              <w:bottom w:val="nil"/>
              <w:right w:val="nil"/>
            </w:tcBorders>
          </w:tcPr>
          <w:p>
            <w:pPr>
              <w:pStyle w:val="TableParagraph"/>
              <w:spacing w:before="0"/>
              <w:rPr>
                <w:rFonts w:ascii="Times New Roman"/>
                <w:sz w:val="20"/>
              </w:rPr>
            </w:pPr>
          </w:p>
        </w:tc>
        <w:tc>
          <w:tcPr>
            <w:tcW w:w="6359" w:type="dxa"/>
            <w:tcBorders>
              <w:top w:val="nil"/>
              <w:left w:val="nil"/>
              <w:bottom w:val="nil"/>
            </w:tcBorders>
          </w:tcPr>
          <w:p>
            <w:pPr>
              <w:pStyle w:val="TableParagraph"/>
              <w:spacing w:line="260" w:lineRule="atLeast" w:before="33"/>
              <w:ind w:left="249" w:right="132"/>
              <w:rPr>
                <w:rFonts w:ascii="Calibri"/>
                <w:i/>
                <w:sz w:val="20"/>
              </w:rPr>
            </w:pPr>
            <w:r>
              <w:rPr>
                <w:rFonts w:ascii="Calibri"/>
                <w:i/>
                <w:sz w:val="20"/>
              </w:rPr>
              <w:t>The</w:t>
            </w:r>
            <w:r>
              <w:rPr>
                <w:rFonts w:ascii="Calibri"/>
                <w:i/>
                <w:spacing w:val="-3"/>
                <w:sz w:val="20"/>
              </w:rPr>
              <w:t> </w:t>
            </w:r>
            <w:r>
              <w:rPr>
                <w:rFonts w:ascii="Calibri"/>
                <w:i/>
                <w:sz w:val="20"/>
              </w:rPr>
              <w:t>chapter</w:t>
            </w:r>
            <w:r>
              <w:rPr>
                <w:rFonts w:ascii="Calibri"/>
                <w:i/>
                <w:spacing w:val="-5"/>
                <w:sz w:val="20"/>
              </w:rPr>
              <w:t> </w:t>
            </w:r>
            <w:r>
              <w:rPr>
                <w:rFonts w:ascii="Calibri"/>
                <w:i/>
                <w:sz w:val="20"/>
              </w:rPr>
              <w:t>is</w:t>
            </w:r>
            <w:r>
              <w:rPr>
                <w:rFonts w:ascii="Calibri"/>
                <w:i/>
                <w:spacing w:val="-5"/>
                <w:sz w:val="20"/>
              </w:rPr>
              <w:t> </w:t>
            </w:r>
            <w:r>
              <w:rPr>
                <w:rFonts w:ascii="Calibri"/>
                <w:i/>
                <w:sz w:val="20"/>
              </w:rPr>
              <w:t>organized</w:t>
            </w:r>
            <w:r>
              <w:rPr>
                <w:rFonts w:ascii="Calibri"/>
                <w:i/>
                <w:spacing w:val="-3"/>
                <w:sz w:val="20"/>
              </w:rPr>
              <w:t> </w:t>
            </w:r>
            <w:r>
              <w:rPr>
                <w:rFonts w:ascii="Calibri"/>
                <w:i/>
                <w:sz w:val="20"/>
              </w:rPr>
              <w:t>by</w:t>
            </w:r>
            <w:r>
              <w:rPr>
                <w:rFonts w:ascii="Calibri"/>
                <w:i/>
                <w:spacing w:val="-4"/>
                <w:sz w:val="20"/>
              </w:rPr>
              <w:t> </w:t>
            </w:r>
            <w:r>
              <w:rPr>
                <w:rFonts w:ascii="Calibri"/>
                <w:i/>
                <w:sz w:val="20"/>
              </w:rPr>
              <w:t>resource,</w:t>
            </w:r>
            <w:r>
              <w:rPr>
                <w:rFonts w:ascii="Calibri"/>
                <w:i/>
                <w:spacing w:val="-3"/>
                <w:sz w:val="20"/>
              </w:rPr>
              <w:t> </w:t>
            </w:r>
            <w:r>
              <w:rPr>
                <w:rFonts w:ascii="Calibri"/>
                <w:i/>
                <w:sz w:val="20"/>
              </w:rPr>
              <w:t>under</w:t>
            </w:r>
            <w:r>
              <w:rPr>
                <w:rFonts w:ascii="Calibri"/>
                <w:i/>
                <w:spacing w:val="-5"/>
                <w:sz w:val="20"/>
              </w:rPr>
              <w:t> </w:t>
            </w:r>
            <w:r>
              <w:rPr>
                <w:rFonts w:ascii="Calibri"/>
                <w:i/>
                <w:sz w:val="20"/>
              </w:rPr>
              <w:t>the</w:t>
            </w:r>
            <w:r>
              <w:rPr>
                <w:rFonts w:ascii="Calibri"/>
                <w:i/>
                <w:spacing w:val="-3"/>
                <w:sz w:val="20"/>
              </w:rPr>
              <w:t> </w:t>
            </w:r>
            <w:r>
              <w:rPr>
                <w:rFonts w:ascii="Calibri"/>
                <w:i/>
                <w:sz w:val="20"/>
              </w:rPr>
              <w:t>following</w:t>
            </w:r>
            <w:r>
              <w:rPr>
                <w:rFonts w:ascii="Calibri"/>
                <w:i/>
                <w:spacing w:val="-3"/>
                <w:sz w:val="20"/>
              </w:rPr>
              <w:t> </w:t>
            </w:r>
            <w:r>
              <w:rPr>
                <w:rFonts w:ascii="Calibri"/>
                <w:i/>
                <w:sz w:val="20"/>
              </w:rPr>
              <w:t>two</w:t>
            </w:r>
            <w:r>
              <w:rPr>
                <w:rFonts w:ascii="Calibri"/>
                <w:i/>
                <w:spacing w:val="-3"/>
                <w:sz w:val="20"/>
              </w:rPr>
              <w:t> </w:t>
            </w:r>
            <w:r>
              <w:rPr>
                <w:rFonts w:ascii="Calibri"/>
                <w:i/>
                <w:sz w:val="20"/>
              </w:rPr>
              <w:t>major</w:t>
            </w:r>
            <w:r>
              <w:rPr>
                <w:rFonts w:ascii="Calibri"/>
                <w:i/>
                <w:sz w:val="20"/>
              </w:rPr>
              <w:t> </w:t>
            </w:r>
            <w:r>
              <w:rPr>
                <w:rFonts w:ascii="Calibri"/>
                <w:i/>
                <w:spacing w:val="-2"/>
                <w:sz w:val="20"/>
              </w:rPr>
              <w:t>categories:</w:t>
            </w:r>
          </w:p>
        </w:tc>
      </w:tr>
      <w:tr>
        <w:trPr>
          <w:trHeight w:val="437" w:hRule="atLeast"/>
        </w:trPr>
        <w:tc>
          <w:tcPr>
            <w:tcW w:w="2083" w:type="dxa"/>
            <w:tcBorders>
              <w:top w:val="nil"/>
              <w:right w:val="nil"/>
            </w:tcBorders>
          </w:tcPr>
          <w:p>
            <w:pPr>
              <w:pStyle w:val="TableParagraph"/>
              <w:spacing w:before="0"/>
              <w:rPr>
                <w:rFonts w:ascii="Times New Roman"/>
                <w:sz w:val="20"/>
              </w:rPr>
            </w:pPr>
          </w:p>
        </w:tc>
        <w:tc>
          <w:tcPr>
            <w:tcW w:w="6359" w:type="dxa"/>
            <w:tcBorders>
              <w:top w:val="nil"/>
              <w:left w:val="nil"/>
            </w:tcBorders>
          </w:tcPr>
          <w:p>
            <w:pPr>
              <w:pStyle w:val="TableParagraph"/>
              <w:numPr>
                <w:ilvl w:val="0"/>
                <w:numId w:val="4"/>
              </w:numPr>
              <w:tabs>
                <w:tab w:pos="1401" w:val="left" w:leader="none"/>
              </w:tabs>
              <w:spacing w:line="239" w:lineRule="exact" w:before="0" w:after="0"/>
              <w:ind w:left="1401" w:right="0" w:hanging="360"/>
              <w:jc w:val="left"/>
              <w:rPr>
                <w:rFonts w:ascii="Calibri" w:hAnsi="Calibri"/>
                <w:i/>
                <w:sz w:val="20"/>
              </w:rPr>
            </w:pPr>
            <w:r>
              <w:rPr>
                <w:rFonts w:ascii="Calibri" w:hAnsi="Calibri"/>
                <w:i/>
                <w:sz w:val="20"/>
              </w:rPr>
              <w:t>Landscape</w:t>
            </w:r>
            <w:r>
              <w:rPr>
                <w:rFonts w:ascii="Calibri" w:hAnsi="Calibri"/>
                <w:i/>
                <w:spacing w:val="-7"/>
                <w:sz w:val="20"/>
              </w:rPr>
              <w:t> </w:t>
            </w:r>
            <w:r>
              <w:rPr>
                <w:rFonts w:ascii="Calibri" w:hAnsi="Calibri"/>
                <w:i/>
                <w:sz w:val="20"/>
              </w:rPr>
              <w:t>Features</w:t>
            </w:r>
            <w:r>
              <w:rPr>
                <w:rFonts w:ascii="Calibri" w:hAnsi="Calibri"/>
                <w:i/>
                <w:spacing w:val="-8"/>
                <w:sz w:val="20"/>
              </w:rPr>
              <w:t> </w:t>
            </w:r>
            <w:r>
              <w:rPr>
                <w:rFonts w:ascii="Calibri" w:hAnsi="Calibri"/>
                <w:i/>
                <w:sz w:val="20"/>
              </w:rPr>
              <w:t>and</w:t>
            </w:r>
            <w:r>
              <w:rPr>
                <w:rFonts w:ascii="Calibri" w:hAnsi="Calibri"/>
                <w:i/>
                <w:spacing w:val="-6"/>
                <w:sz w:val="20"/>
              </w:rPr>
              <w:t> </w:t>
            </w:r>
            <w:r>
              <w:rPr>
                <w:rFonts w:ascii="Calibri" w:hAnsi="Calibri"/>
                <w:i/>
                <w:spacing w:val="-2"/>
                <w:sz w:val="20"/>
              </w:rPr>
              <w:t>Dynamics</w:t>
            </w:r>
          </w:p>
        </w:tc>
      </w:tr>
    </w:tbl>
    <w:p>
      <w:pPr>
        <w:pStyle w:val="TableParagraph"/>
        <w:spacing w:after="0" w:line="239" w:lineRule="exact"/>
        <w:jc w:val="left"/>
        <w:rPr>
          <w:rFonts w:ascii="Calibri" w:hAnsi="Calibri"/>
          <w:i/>
          <w:sz w:val="20"/>
        </w:rPr>
        <w:sectPr>
          <w:pgSz w:w="12240" w:h="15840"/>
          <w:pgMar w:header="725" w:footer="891" w:top="960" w:bottom="1080" w:left="1080" w:right="720"/>
        </w:sectPr>
      </w:pPr>
    </w:p>
    <w:p>
      <w:pPr>
        <w:pStyle w:val="BodyText"/>
        <w:spacing w:before="221"/>
        <w:rPr>
          <w:sz w:val="20"/>
        </w:rPr>
      </w:pPr>
    </w:p>
    <w:tbl>
      <w:tblPr>
        <w:tblW w:w="0" w:type="auto"/>
        <w:jc w:val="left"/>
        <w:tblInd w:w="1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2"/>
        <w:gridCol w:w="6449"/>
      </w:tblGrid>
      <w:tr>
        <w:trPr>
          <w:trHeight w:val="460" w:hRule="atLeast"/>
        </w:trPr>
        <w:tc>
          <w:tcPr>
            <w:tcW w:w="8441" w:type="dxa"/>
            <w:gridSpan w:val="2"/>
            <w:tcBorders>
              <w:left w:val="single" w:sz="8" w:space="0" w:color="9BBA58"/>
              <w:bottom w:val="single" w:sz="8" w:space="0" w:color="9BBA58"/>
              <w:right w:val="single" w:sz="8" w:space="0" w:color="9BBA58"/>
            </w:tcBorders>
            <w:shd w:val="clear" w:color="auto" w:fill="C2D59B"/>
          </w:tcPr>
          <w:p>
            <w:pPr>
              <w:pStyle w:val="TableParagraph"/>
              <w:spacing w:before="18"/>
              <w:ind w:left="107"/>
              <w:rPr>
                <w:rFonts w:ascii="Calibri"/>
                <w:b/>
                <w:sz w:val="20"/>
              </w:rPr>
            </w:pPr>
            <w:r>
              <w:rPr>
                <w:rFonts w:ascii="Calibri"/>
                <w:b/>
                <w:sz w:val="20"/>
              </w:rPr>
              <w:t>Parts</w:t>
            </w:r>
            <w:r>
              <w:rPr>
                <w:rFonts w:ascii="Calibri"/>
                <w:b/>
                <w:spacing w:val="-3"/>
                <w:sz w:val="20"/>
              </w:rPr>
              <w:t> </w:t>
            </w:r>
            <w:r>
              <w:rPr>
                <w:rFonts w:ascii="Calibri"/>
                <w:b/>
                <w:sz w:val="20"/>
              </w:rPr>
              <w:t>of</w:t>
            </w:r>
            <w:r>
              <w:rPr>
                <w:rFonts w:ascii="Calibri"/>
                <w:b/>
                <w:spacing w:val="-4"/>
                <w:sz w:val="20"/>
              </w:rPr>
              <w:t> </w:t>
            </w:r>
            <w:r>
              <w:rPr>
                <w:rFonts w:ascii="Calibri"/>
                <w:b/>
                <w:sz w:val="20"/>
              </w:rPr>
              <w:t>the</w:t>
            </w:r>
            <w:r>
              <w:rPr>
                <w:rFonts w:ascii="Calibri"/>
                <w:b/>
                <w:spacing w:val="-2"/>
                <w:sz w:val="20"/>
              </w:rPr>
              <w:t> </w:t>
            </w:r>
            <w:r>
              <w:rPr>
                <w:rFonts w:ascii="Calibri"/>
                <w:b/>
                <w:spacing w:val="-4"/>
                <w:sz w:val="20"/>
              </w:rPr>
              <w:t>Plan</w:t>
            </w:r>
          </w:p>
        </w:tc>
      </w:tr>
      <w:tr>
        <w:trPr>
          <w:trHeight w:val="2162" w:hRule="atLeast"/>
        </w:trPr>
        <w:tc>
          <w:tcPr>
            <w:tcW w:w="1992" w:type="dxa"/>
            <w:tcBorders>
              <w:top w:val="single" w:sz="8" w:space="0" w:color="9BBA58"/>
              <w:left w:val="single" w:sz="8" w:space="0" w:color="9BBA58"/>
            </w:tcBorders>
          </w:tcPr>
          <w:p>
            <w:pPr>
              <w:pStyle w:val="TableParagraph"/>
              <w:spacing w:before="0"/>
              <w:rPr>
                <w:rFonts w:ascii="Times New Roman"/>
                <w:sz w:val="18"/>
              </w:rPr>
            </w:pPr>
          </w:p>
        </w:tc>
        <w:tc>
          <w:tcPr>
            <w:tcW w:w="6449" w:type="dxa"/>
            <w:tcBorders>
              <w:top w:val="single" w:sz="8" w:space="0" w:color="9BBA58"/>
              <w:right w:val="single" w:sz="8" w:space="0" w:color="9BBA58"/>
            </w:tcBorders>
          </w:tcPr>
          <w:p>
            <w:pPr>
              <w:pStyle w:val="TableParagraph"/>
              <w:spacing w:line="254" w:lineRule="auto" w:before="18"/>
              <w:ind w:left="340" w:right="105"/>
              <w:rPr>
                <w:rFonts w:ascii="Calibri"/>
                <w:sz w:val="20"/>
              </w:rPr>
            </w:pPr>
            <w:r>
              <w:rPr>
                <w:rFonts w:ascii="Calibri"/>
                <w:sz w:val="20"/>
              </w:rPr>
              <w:t>This section includes components for air; aquatic and riparian components including key watersheds (networks of watersheds that provide crucial habitat for threatened and endangered fish and aquatic species); soil; vegetative systems including vegetation disturbance, biological legacies, plant habitats including habitats for threatened and endangered plant species, and species of concern; and wildlife habitats including</w:t>
            </w:r>
            <w:r>
              <w:rPr>
                <w:rFonts w:ascii="Calibri"/>
                <w:spacing w:val="-5"/>
                <w:sz w:val="20"/>
              </w:rPr>
              <w:t> </w:t>
            </w:r>
            <w:r>
              <w:rPr>
                <w:rFonts w:ascii="Calibri"/>
                <w:sz w:val="20"/>
              </w:rPr>
              <w:t>habitats</w:t>
            </w:r>
            <w:r>
              <w:rPr>
                <w:rFonts w:ascii="Calibri"/>
                <w:spacing w:val="-6"/>
                <w:sz w:val="20"/>
              </w:rPr>
              <w:t> </w:t>
            </w:r>
            <w:r>
              <w:rPr>
                <w:rFonts w:ascii="Calibri"/>
                <w:sz w:val="20"/>
              </w:rPr>
              <w:t>for</w:t>
            </w:r>
            <w:r>
              <w:rPr>
                <w:rFonts w:ascii="Calibri"/>
                <w:spacing w:val="-5"/>
                <w:sz w:val="20"/>
              </w:rPr>
              <w:t> </w:t>
            </w:r>
            <w:r>
              <w:rPr>
                <w:rFonts w:ascii="Calibri"/>
                <w:sz w:val="20"/>
              </w:rPr>
              <w:t>threatened,</w:t>
            </w:r>
            <w:r>
              <w:rPr>
                <w:rFonts w:ascii="Calibri"/>
                <w:spacing w:val="-4"/>
                <w:sz w:val="20"/>
              </w:rPr>
              <w:t> </w:t>
            </w:r>
            <w:r>
              <w:rPr>
                <w:rFonts w:ascii="Calibri"/>
                <w:sz w:val="20"/>
              </w:rPr>
              <w:t>endangered,</w:t>
            </w:r>
            <w:r>
              <w:rPr>
                <w:rFonts w:ascii="Calibri"/>
                <w:spacing w:val="-4"/>
                <w:sz w:val="20"/>
              </w:rPr>
              <w:t> </w:t>
            </w:r>
            <w:r>
              <w:rPr>
                <w:rFonts w:ascii="Calibri"/>
                <w:sz w:val="20"/>
              </w:rPr>
              <w:t>surrogate,</w:t>
            </w:r>
            <w:r>
              <w:rPr>
                <w:rFonts w:ascii="Calibri"/>
                <w:spacing w:val="-4"/>
                <w:sz w:val="20"/>
              </w:rPr>
              <w:t> </w:t>
            </w:r>
            <w:r>
              <w:rPr>
                <w:rFonts w:ascii="Calibri"/>
                <w:sz w:val="20"/>
              </w:rPr>
              <w:t>and</w:t>
            </w:r>
            <w:r>
              <w:rPr>
                <w:rFonts w:ascii="Calibri"/>
                <w:spacing w:val="-4"/>
                <w:sz w:val="20"/>
              </w:rPr>
              <w:t> </w:t>
            </w:r>
            <w:r>
              <w:rPr>
                <w:rFonts w:ascii="Calibri"/>
                <w:sz w:val="20"/>
              </w:rPr>
              <w:t>species</w:t>
            </w:r>
            <w:r>
              <w:rPr>
                <w:rFonts w:ascii="Calibri"/>
                <w:spacing w:val="-6"/>
                <w:sz w:val="20"/>
              </w:rPr>
              <w:t> </w:t>
            </w:r>
            <w:r>
              <w:rPr>
                <w:rFonts w:ascii="Calibri"/>
                <w:sz w:val="20"/>
              </w:rPr>
              <w:t>of management interest.</w:t>
            </w:r>
          </w:p>
        </w:tc>
      </w:tr>
      <w:tr>
        <w:trPr>
          <w:trHeight w:val="426" w:hRule="atLeast"/>
        </w:trPr>
        <w:tc>
          <w:tcPr>
            <w:tcW w:w="1992" w:type="dxa"/>
            <w:tcBorders>
              <w:left w:val="single" w:sz="8" w:space="0" w:color="9BBA58"/>
            </w:tcBorders>
          </w:tcPr>
          <w:p>
            <w:pPr>
              <w:pStyle w:val="TableParagraph"/>
              <w:spacing w:before="0"/>
              <w:rPr>
                <w:rFonts w:ascii="Times New Roman"/>
                <w:sz w:val="18"/>
              </w:rPr>
            </w:pPr>
          </w:p>
        </w:tc>
        <w:tc>
          <w:tcPr>
            <w:tcW w:w="6449" w:type="dxa"/>
            <w:tcBorders>
              <w:right w:val="single" w:sz="8" w:space="0" w:color="9BBA58"/>
            </w:tcBorders>
          </w:tcPr>
          <w:p>
            <w:pPr>
              <w:pStyle w:val="TableParagraph"/>
              <w:numPr>
                <w:ilvl w:val="0"/>
                <w:numId w:val="5"/>
              </w:numPr>
              <w:tabs>
                <w:tab w:pos="1492" w:val="left" w:leader="none"/>
              </w:tabs>
              <w:spacing w:line="240" w:lineRule="auto" w:before="56" w:after="0"/>
              <w:ind w:left="1492" w:right="0" w:hanging="360"/>
              <w:jc w:val="left"/>
              <w:rPr>
                <w:rFonts w:ascii="Calibri" w:hAnsi="Calibri"/>
                <w:i/>
                <w:sz w:val="20"/>
              </w:rPr>
            </w:pPr>
            <w:r>
              <w:rPr>
                <w:rFonts w:ascii="Calibri" w:hAnsi="Calibri"/>
                <w:i/>
                <w:sz w:val="20"/>
              </w:rPr>
              <w:t>Social</w:t>
            </w:r>
            <w:r>
              <w:rPr>
                <w:rFonts w:ascii="Calibri" w:hAnsi="Calibri"/>
                <w:i/>
                <w:spacing w:val="-4"/>
                <w:sz w:val="20"/>
              </w:rPr>
              <w:t> </w:t>
            </w:r>
            <w:r>
              <w:rPr>
                <w:rFonts w:ascii="Calibri" w:hAnsi="Calibri"/>
                <w:i/>
                <w:spacing w:val="-2"/>
                <w:sz w:val="20"/>
              </w:rPr>
              <w:t>Systems</w:t>
            </w:r>
          </w:p>
        </w:tc>
      </w:tr>
      <w:tr>
        <w:trPr>
          <w:trHeight w:val="2870" w:hRule="atLeast"/>
        </w:trPr>
        <w:tc>
          <w:tcPr>
            <w:tcW w:w="1992" w:type="dxa"/>
            <w:tcBorders>
              <w:left w:val="single" w:sz="8" w:space="0" w:color="9BBA58"/>
              <w:bottom w:val="single" w:sz="8" w:space="0" w:color="9BBA58"/>
            </w:tcBorders>
          </w:tcPr>
          <w:p>
            <w:pPr>
              <w:pStyle w:val="TableParagraph"/>
              <w:spacing w:before="0"/>
              <w:rPr>
                <w:rFonts w:ascii="Times New Roman"/>
                <w:sz w:val="18"/>
              </w:rPr>
            </w:pPr>
          </w:p>
        </w:tc>
        <w:tc>
          <w:tcPr>
            <w:tcW w:w="6449" w:type="dxa"/>
            <w:tcBorders>
              <w:bottom w:val="single" w:sz="8" w:space="0" w:color="9BBA58"/>
              <w:right w:val="single" w:sz="8" w:space="0" w:color="9BBA58"/>
            </w:tcBorders>
          </w:tcPr>
          <w:p>
            <w:pPr>
              <w:pStyle w:val="TableParagraph"/>
              <w:spacing w:line="254" w:lineRule="auto" w:before="88"/>
              <w:ind w:left="340" w:right="105"/>
              <w:rPr>
                <w:rFonts w:ascii="Calibri"/>
                <w:sz w:val="20"/>
              </w:rPr>
            </w:pPr>
            <w:r>
              <w:rPr>
                <w:rFonts w:ascii="Calibri"/>
                <w:sz w:val="20"/>
              </w:rPr>
              <w:t>This</w:t>
            </w:r>
            <w:r>
              <w:rPr>
                <w:rFonts w:ascii="Calibri"/>
                <w:spacing w:val="-3"/>
                <w:sz w:val="20"/>
              </w:rPr>
              <w:t> </w:t>
            </w:r>
            <w:r>
              <w:rPr>
                <w:rFonts w:ascii="Calibri"/>
                <w:sz w:val="20"/>
              </w:rPr>
              <w:t>section</w:t>
            </w:r>
            <w:r>
              <w:rPr>
                <w:rFonts w:ascii="Calibri"/>
                <w:spacing w:val="-3"/>
                <w:sz w:val="20"/>
              </w:rPr>
              <w:t> </w:t>
            </w:r>
            <w:r>
              <w:rPr>
                <w:rFonts w:ascii="Calibri"/>
                <w:sz w:val="20"/>
              </w:rPr>
              <w:t>includes</w:t>
            </w:r>
            <w:r>
              <w:rPr>
                <w:rFonts w:ascii="Calibri"/>
                <w:spacing w:val="-5"/>
                <w:sz w:val="20"/>
              </w:rPr>
              <w:t> </w:t>
            </w:r>
            <w:r>
              <w:rPr>
                <w:rFonts w:ascii="Calibri"/>
                <w:sz w:val="20"/>
              </w:rPr>
              <w:t>components</w:t>
            </w:r>
            <w:r>
              <w:rPr>
                <w:rFonts w:ascii="Calibri"/>
                <w:spacing w:val="-5"/>
                <w:sz w:val="20"/>
              </w:rPr>
              <w:t> </w:t>
            </w:r>
            <w:r>
              <w:rPr>
                <w:rFonts w:ascii="Calibri"/>
                <w:sz w:val="20"/>
              </w:rPr>
              <w:t>for</w:t>
            </w:r>
            <w:r>
              <w:rPr>
                <w:rFonts w:ascii="Calibri"/>
                <w:spacing w:val="-4"/>
                <w:sz w:val="20"/>
              </w:rPr>
              <w:t> </w:t>
            </w:r>
            <w:r>
              <w:rPr>
                <w:rFonts w:ascii="Calibri"/>
                <w:sz w:val="20"/>
              </w:rPr>
              <w:t>the</w:t>
            </w:r>
            <w:r>
              <w:rPr>
                <w:rFonts w:ascii="Calibri"/>
                <w:spacing w:val="-5"/>
                <w:sz w:val="20"/>
              </w:rPr>
              <w:t> </w:t>
            </w:r>
            <w:r>
              <w:rPr>
                <w:rFonts w:ascii="Calibri"/>
                <w:sz w:val="20"/>
              </w:rPr>
              <w:t>access</w:t>
            </w:r>
            <w:r>
              <w:rPr>
                <w:rFonts w:ascii="Calibri"/>
                <w:spacing w:val="-5"/>
                <w:sz w:val="20"/>
              </w:rPr>
              <w:t> </w:t>
            </w:r>
            <w:r>
              <w:rPr>
                <w:rFonts w:ascii="Calibri"/>
                <w:sz w:val="20"/>
              </w:rPr>
              <w:t>system,</w:t>
            </w:r>
            <w:r>
              <w:rPr>
                <w:rFonts w:ascii="Calibri"/>
                <w:spacing w:val="-3"/>
                <w:sz w:val="20"/>
              </w:rPr>
              <w:t> </w:t>
            </w:r>
            <w:r>
              <w:rPr>
                <w:rFonts w:ascii="Calibri"/>
                <w:sz w:val="20"/>
              </w:rPr>
              <w:t>lands</w:t>
            </w:r>
            <w:r>
              <w:rPr>
                <w:rFonts w:ascii="Calibri"/>
                <w:spacing w:val="-5"/>
                <w:sz w:val="20"/>
              </w:rPr>
              <w:t> </w:t>
            </w:r>
            <w:r>
              <w:rPr>
                <w:rFonts w:ascii="Calibri"/>
                <w:sz w:val="20"/>
              </w:rPr>
              <w:t>and</w:t>
            </w:r>
            <w:r>
              <w:rPr>
                <w:rFonts w:ascii="Calibri"/>
                <w:spacing w:val="-3"/>
                <w:sz w:val="20"/>
              </w:rPr>
              <w:t> </w:t>
            </w:r>
            <w:r>
              <w:rPr>
                <w:rFonts w:ascii="Calibri"/>
                <w:sz w:val="20"/>
              </w:rPr>
              <w:t>special uses, commercial livestock grazing, minerals, public awareness, recreation, renewable forest products, scenery, and source water protections areas.</w:t>
            </w:r>
          </w:p>
          <w:p>
            <w:pPr>
              <w:pStyle w:val="TableParagraph"/>
              <w:spacing w:before="21"/>
              <w:rPr>
                <w:rFonts w:ascii="Calibri"/>
                <w:sz w:val="20"/>
              </w:rPr>
            </w:pPr>
          </w:p>
          <w:p>
            <w:pPr>
              <w:pStyle w:val="TableParagraph"/>
              <w:spacing w:line="254" w:lineRule="auto" w:before="1"/>
              <w:ind w:left="340" w:right="105"/>
              <w:rPr>
                <w:rFonts w:ascii="Calibri"/>
                <w:sz w:val="20"/>
              </w:rPr>
            </w:pPr>
            <w:r>
              <w:rPr>
                <w:rFonts w:ascii="Calibri"/>
                <w:sz w:val="20"/>
              </w:rPr>
              <w:t>This chapter also includes material that is not a plan component and appears</w:t>
            </w:r>
            <w:r>
              <w:rPr>
                <w:rFonts w:ascii="Calibri"/>
                <w:spacing w:val="-5"/>
                <w:sz w:val="20"/>
              </w:rPr>
              <w:t> </w:t>
            </w:r>
            <w:r>
              <w:rPr>
                <w:rFonts w:ascii="Calibri"/>
                <w:sz w:val="20"/>
              </w:rPr>
              <w:t>in</w:t>
            </w:r>
            <w:r>
              <w:rPr>
                <w:rFonts w:ascii="Calibri"/>
                <w:spacing w:val="-3"/>
                <w:sz w:val="20"/>
              </w:rPr>
              <w:t> </w:t>
            </w:r>
            <w:r>
              <w:rPr>
                <w:rFonts w:ascii="Calibri"/>
                <w:sz w:val="20"/>
              </w:rPr>
              <w:t>light</w:t>
            </w:r>
            <w:r>
              <w:rPr>
                <w:rFonts w:ascii="Calibri"/>
                <w:spacing w:val="-4"/>
                <w:sz w:val="20"/>
              </w:rPr>
              <w:t> </w:t>
            </w:r>
            <w:r>
              <w:rPr>
                <w:rFonts w:ascii="Calibri"/>
                <w:sz w:val="20"/>
              </w:rPr>
              <w:t>gray</w:t>
            </w:r>
            <w:r>
              <w:rPr>
                <w:rFonts w:ascii="Calibri"/>
                <w:spacing w:val="-3"/>
                <w:sz w:val="20"/>
              </w:rPr>
              <w:t> </w:t>
            </w:r>
            <w:r>
              <w:rPr>
                <w:rFonts w:ascii="Calibri"/>
                <w:sz w:val="20"/>
              </w:rPr>
              <w:t>boxes.</w:t>
            </w:r>
            <w:r>
              <w:rPr>
                <w:rFonts w:ascii="Calibri"/>
                <w:spacing w:val="-4"/>
                <w:sz w:val="20"/>
              </w:rPr>
              <w:t> </w:t>
            </w:r>
            <w:r>
              <w:rPr>
                <w:rFonts w:ascii="Calibri"/>
                <w:sz w:val="20"/>
              </w:rPr>
              <w:t>This</w:t>
            </w:r>
            <w:r>
              <w:rPr>
                <w:rFonts w:ascii="Calibri"/>
                <w:spacing w:val="-5"/>
                <w:sz w:val="20"/>
              </w:rPr>
              <w:t> </w:t>
            </w:r>
            <w:r>
              <w:rPr>
                <w:rFonts w:ascii="Calibri"/>
                <w:sz w:val="20"/>
              </w:rPr>
              <w:t>information</w:t>
            </w:r>
            <w:r>
              <w:rPr>
                <w:rFonts w:ascii="Calibri"/>
                <w:spacing w:val="-3"/>
                <w:sz w:val="20"/>
              </w:rPr>
              <w:t> </w:t>
            </w:r>
            <w:r>
              <w:rPr>
                <w:rFonts w:ascii="Calibri"/>
                <w:sz w:val="20"/>
              </w:rPr>
              <w:t>is</w:t>
            </w:r>
            <w:r>
              <w:rPr>
                <w:rFonts w:ascii="Calibri"/>
                <w:spacing w:val="-5"/>
                <w:sz w:val="20"/>
              </w:rPr>
              <w:t> </w:t>
            </w:r>
            <w:r>
              <w:rPr>
                <w:rFonts w:ascii="Calibri"/>
                <w:sz w:val="20"/>
              </w:rPr>
              <w:t>background</w:t>
            </w:r>
            <w:r>
              <w:rPr>
                <w:rFonts w:ascii="Calibri"/>
                <w:spacing w:val="-3"/>
                <w:sz w:val="20"/>
              </w:rPr>
              <w:t> </w:t>
            </w:r>
            <w:r>
              <w:rPr>
                <w:rFonts w:ascii="Calibri"/>
                <w:sz w:val="20"/>
              </w:rPr>
              <w:t>and</w:t>
            </w:r>
            <w:r>
              <w:rPr>
                <w:rFonts w:ascii="Calibri"/>
                <w:spacing w:val="-3"/>
                <w:sz w:val="20"/>
              </w:rPr>
              <w:t> </w:t>
            </w:r>
            <w:r>
              <w:rPr>
                <w:rFonts w:ascii="Calibri"/>
                <w:sz w:val="20"/>
              </w:rPr>
              <w:t>typically clarifies limits of authority, definitions, application of management guidance, and applicability of analysis. Projects and activities are not expected to be consistent with this material.</w:t>
            </w:r>
          </w:p>
        </w:tc>
      </w:tr>
      <w:tr>
        <w:trPr>
          <w:trHeight w:val="1623" w:hRule="atLeast"/>
        </w:trPr>
        <w:tc>
          <w:tcPr>
            <w:tcW w:w="1992" w:type="dxa"/>
            <w:tcBorders>
              <w:top w:val="single" w:sz="8" w:space="0" w:color="9BBA58"/>
              <w:left w:val="single" w:sz="8" w:space="0" w:color="9BBA58"/>
            </w:tcBorders>
          </w:tcPr>
          <w:p>
            <w:pPr>
              <w:pStyle w:val="TableParagraph"/>
              <w:spacing w:line="256" w:lineRule="auto" w:before="18"/>
              <w:ind w:left="107" w:right="319"/>
              <w:rPr>
                <w:rFonts w:ascii="Calibri"/>
                <w:b/>
                <w:sz w:val="20"/>
              </w:rPr>
            </w:pPr>
            <w:r>
              <w:rPr>
                <w:rFonts w:ascii="Calibri"/>
                <w:b/>
                <w:sz w:val="20"/>
              </w:rPr>
              <w:t>Chapter 3: Management</w:t>
            </w:r>
            <w:r>
              <w:rPr>
                <w:rFonts w:ascii="Calibri"/>
                <w:b/>
                <w:spacing w:val="-12"/>
                <w:sz w:val="20"/>
              </w:rPr>
              <w:t> </w:t>
            </w:r>
            <w:r>
              <w:rPr>
                <w:rFonts w:ascii="Calibri"/>
                <w:b/>
                <w:sz w:val="20"/>
              </w:rPr>
              <w:t>Area </w:t>
            </w:r>
            <w:r>
              <w:rPr>
                <w:rFonts w:ascii="Calibri"/>
                <w:b/>
                <w:spacing w:val="-2"/>
                <w:sz w:val="20"/>
              </w:rPr>
              <w:t>Direction</w:t>
            </w:r>
          </w:p>
        </w:tc>
        <w:tc>
          <w:tcPr>
            <w:tcW w:w="6449" w:type="dxa"/>
            <w:tcBorders>
              <w:top w:val="single" w:sz="8" w:space="0" w:color="9BBA58"/>
              <w:right w:val="single" w:sz="8" w:space="0" w:color="9BBA58"/>
            </w:tcBorders>
          </w:tcPr>
          <w:p>
            <w:pPr>
              <w:pStyle w:val="TableParagraph"/>
              <w:spacing w:line="254" w:lineRule="auto" w:before="18"/>
              <w:ind w:left="340" w:right="120"/>
              <w:rPr>
                <w:rFonts w:ascii="Calibri"/>
                <w:sz w:val="20"/>
              </w:rPr>
            </w:pPr>
            <w:r>
              <w:rPr>
                <w:rFonts w:ascii="Calibri"/>
                <w:sz w:val="20"/>
              </w:rPr>
              <w:t>Management</w:t>
            </w:r>
            <w:r>
              <w:rPr>
                <w:rFonts w:ascii="Calibri"/>
                <w:spacing w:val="-3"/>
                <w:sz w:val="20"/>
              </w:rPr>
              <w:t> </w:t>
            </w:r>
            <w:r>
              <w:rPr>
                <w:rFonts w:ascii="Calibri"/>
                <w:sz w:val="20"/>
              </w:rPr>
              <w:t>area</w:t>
            </w:r>
            <w:r>
              <w:rPr>
                <w:rFonts w:ascii="Calibri"/>
                <w:spacing w:val="-4"/>
                <w:sz w:val="20"/>
              </w:rPr>
              <w:t> </w:t>
            </w:r>
            <w:r>
              <w:rPr>
                <w:rFonts w:ascii="Calibri"/>
                <w:sz w:val="20"/>
              </w:rPr>
              <w:t>(MA)</w:t>
            </w:r>
            <w:r>
              <w:rPr>
                <w:rFonts w:ascii="Calibri"/>
                <w:spacing w:val="-4"/>
                <w:sz w:val="20"/>
              </w:rPr>
              <w:t> </w:t>
            </w:r>
            <w:r>
              <w:rPr>
                <w:rFonts w:ascii="Calibri"/>
                <w:sz w:val="20"/>
              </w:rPr>
              <w:t>allocations</w:t>
            </w:r>
            <w:r>
              <w:rPr>
                <w:rFonts w:ascii="Calibri"/>
                <w:spacing w:val="-5"/>
                <w:sz w:val="20"/>
              </w:rPr>
              <w:t> </w:t>
            </w:r>
            <w:r>
              <w:rPr>
                <w:rFonts w:ascii="Calibri"/>
                <w:sz w:val="20"/>
              </w:rPr>
              <w:t>are</w:t>
            </w:r>
            <w:r>
              <w:rPr>
                <w:rFonts w:ascii="Calibri"/>
                <w:spacing w:val="-5"/>
                <w:sz w:val="20"/>
              </w:rPr>
              <w:t> </w:t>
            </w:r>
            <w:r>
              <w:rPr>
                <w:rFonts w:ascii="Calibri"/>
                <w:sz w:val="20"/>
              </w:rPr>
              <w:t>specific</w:t>
            </w:r>
            <w:r>
              <w:rPr>
                <w:rFonts w:ascii="Calibri"/>
                <w:spacing w:val="-4"/>
                <w:sz w:val="20"/>
              </w:rPr>
              <w:t> </w:t>
            </w:r>
            <w:r>
              <w:rPr>
                <w:rFonts w:ascii="Calibri"/>
                <w:sz w:val="20"/>
              </w:rPr>
              <w:t>to</w:t>
            </w:r>
            <w:r>
              <w:rPr>
                <w:rFonts w:ascii="Calibri"/>
                <w:spacing w:val="-4"/>
                <w:sz w:val="20"/>
              </w:rPr>
              <w:t> </w:t>
            </w:r>
            <w:r>
              <w:rPr>
                <w:rFonts w:ascii="Calibri"/>
                <w:sz w:val="20"/>
              </w:rPr>
              <w:t>areas</w:t>
            </w:r>
            <w:r>
              <w:rPr>
                <w:rFonts w:ascii="Calibri"/>
                <w:spacing w:val="-5"/>
                <w:sz w:val="20"/>
              </w:rPr>
              <w:t> </w:t>
            </w:r>
            <w:r>
              <w:rPr>
                <w:rFonts w:ascii="Calibri"/>
                <w:sz w:val="20"/>
              </w:rPr>
              <w:t>across</w:t>
            </w:r>
            <w:r>
              <w:rPr>
                <w:rFonts w:ascii="Calibri"/>
                <w:spacing w:val="-5"/>
                <w:sz w:val="20"/>
              </w:rPr>
              <w:t> </w:t>
            </w:r>
            <w:r>
              <w:rPr>
                <w:rFonts w:ascii="Calibri"/>
                <w:sz w:val="20"/>
              </w:rPr>
              <w:t>the</w:t>
            </w:r>
            <w:r>
              <w:rPr>
                <w:rFonts w:ascii="Calibri"/>
                <w:spacing w:val="-5"/>
                <w:sz w:val="20"/>
              </w:rPr>
              <w:t> </w:t>
            </w:r>
            <w:r>
              <w:rPr>
                <w:rFonts w:ascii="Calibri"/>
                <w:sz w:val="20"/>
              </w:rPr>
              <w:t>Forest that have similar management needs and desired conditions. Each MA has a certain emphasis that will direct management activities on that specific piece of land.</w:t>
            </w:r>
          </w:p>
          <w:p>
            <w:pPr>
              <w:pStyle w:val="TableParagraph"/>
              <w:spacing w:before="21"/>
              <w:rPr>
                <w:rFonts w:ascii="Calibri"/>
                <w:sz w:val="20"/>
              </w:rPr>
            </w:pPr>
          </w:p>
          <w:p>
            <w:pPr>
              <w:pStyle w:val="TableParagraph"/>
              <w:spacing w:before="0"/>
              <w:ind w:left="340"/>
              <w:rPr>
                <w:rFonts w:ascii="Calibri"/>
                <w:sz w:val="20"/>
              </w:rPr>
            </w:pPr>
            <w:r>
              <w:rPr>
                <w:rFonts w:ascii="Calibri"/>
                <w:sz w:val="20"/>
              </w:rPr>
              <w:t>This</w:t>
            </w:r>
            <w:r>
              <w:rPr>
                <w:rFonts w:ascii="Calibri"/>
                <w:spacing w:val="-8"/>
                <w:sz w:val="20"/>
              </w:rPr>
              <w:t> </w:t>
            </w:r>
            <w:r>
              <w:rPr>
                <w:rFonts w:ascii="Calibri"/>
                <w:sz w:val="20"/>
              </w:rPr>
              <w:t>chapter</w:t>
            </w:r>
            <w:r>
              <w:rPr>
                <w:rFonts w:ascii="Calibri"/>
                <w:spacing w:val="-6"/>
                <w:sz w:val="20"/>
              </w:rPr>
              <w:t> </w:t>
            </w:r>
            <w:r>
              <w:rPr>
                <w:rFonts w:ascii="Calibri"/>
                <w:sz w:val="20"/>
              </w:rPr>
              <w:t>includes</w:t>
            </w:r>
            <w:r>
              <w:rPr>
                <w:rFonts w:ascii="Calibri"/>
                <w:spacing w:val="-8"/>
                <w:sz w:val="20"/>
              </w:rPr>
              <w:t> </w:t>
            </w:r>
            <w:r>
              <w:rPr>
                <w:rFonts w:ascii="Calibri"/>
                <w:sz w:val="20"/>
              </w:rPr>
              <w:t>the</w:t>
            </w:r>
            <w:r>
              <w:rPr>
                <w:rFonts w:ascii="Calibri"/>
                <w:spacing w:val="-7"/>
                <w:sz w:val="20"/>
              </w:rPr>
              <w:t> </w:t>
            </w:r>
            <w:r>
              <w:rPr>
                <w:rFonts w:ascii="Calibri"/>
                <w:sz w:val="20"/>
              </w:rPr>
              <w:t>following</w:t>
            </w:r>
            <w:r>
              <w:rPr>
                <w:rFonts w:ascii="Calibri"/>
                <w:spacing w:val="-7"/>
                <w:sz w:val="20"/>
              </w:rPr>
              <w:t> </w:t>
            </w:r>
            <w:r>
              <w:rPr>
                <w:rFonts w:ascii="Calibri"/>
                <w:sz w:val="20"/>
              </w:rPr>
              <w:t>for</w:t>
            </w:r>
            <w:r>
              <w:rPr>
                <w:rFonts w:ascii="Calibri"/>
                <w:spacing w:val="-6"/>
                <w:sz w:val="20"/>
              </w:rPr>
              <w:t> </w:t>
            </w:r>
            <w:r>
              <w:rPr>
                <w:rFonts w:ascii="Calibri"/>
                <w:sz w:val="20"/>
              </w:rPr>
              <w:t>each</w:t>
            </w:r>
            <w:r>
              <w:rPr>
                <w:rFonts w:ascii="Calibri"/>
                <w:spacing w:val="-6"/>
                <w:sz w:val="20"/>
              </w:rPr>
              <w:t> </w:t>
            </w:r>
            <w:r>
              <w:rPr>
                <w:rFonts w:ascii="Calibri"/>
                <w:spacing w:val="-5"/>
                <w:sz w:val="20"/>
              </w:rPr>
              <w:t>MA:</w:t>
            </w:r>
          </w:p>
        </w:tc>
      </w:tr>
      <w:tr>
        <w:trPr>
          <w:trHeight w:val="420" w:hRule="atLeast"/>
        </w:trPr>
        <w:tc>
          <w:tcPr>
            <w:tcW w:w="1992" w:type="dxa"/>
            <w:tcBorders>
              <w:left w:val="single" w:sz="8" w:space="0" w:color="9BBA58"/>
            </w:tcBorders>
          </w:tcPr>
          <w:p>
            <w:pPr>
              <w:pStyle w:val="TableParagraph"/>
              <w:spacing w:before="0"/>
              <w:rPr>
                <w:rFonts w:ascii="Times New Roman"/>
                <w:sz w:val="18"/>
              </w:rPr>
            </w:pPr>
          </w:p>
        </w:tc>
        <w:tc>
          <w:tcPr>
            <w:tcW w:w="6449" w:type="dxa"/>
            <w:tcBorders>
              <w:right w:val="single" w:sz="8" w:space="0" w:color="9BBA58"/>
            </w:tcBorders>
          </w:tcPr>
          <w:p>
            <w:pPr>
              <w:pStyle w:val="TableParagraph"/>
              <w:numPr>
                <w:ilvl w:val="0"/>
                <w:numId w:val="6"/>
              </w:numPr>
              <w:tabs>
                <w:tab w:pos="1060" w:val="left" w:leader="none"/>
              </w:tabs>
              <w:spacing w:line="240" w:lineRule="auto" w:before="64" w:after="0"/>
              <w:ind w:left="1060" w:right="0" w:hanging="360"/>
              <w:jc w:val="left"/>
              <w:rPr>
                <w:rFonts w:ascii="Calibri" w:hAnsi="Calibri"/>
                <w:sz w:val="20"/>
              </w:rPr>
            </w:pPr>
            <w:r>
              <w:rPr>
                <w:rFonts w:ascii="Calibri" w:hAnsi="Calibri"/>
                <w:sz w:val="20"/>
              </w:rPr>
              <w:t>A</w:t>
            </w:r>
            <w:r>
              <w:rPr>
                <w:rFonts w:ascii="Calibri" w:hAnsi="Calibri"/>
                <w:spacing w:val="-6"/>
                <w:sz w:val="20"/>
              </w:rPr>
              <w:t> </w:t>
            </w:r>
            <w:r>
              <w:rPr>
                <w:rFonts w:ascii="Calibri" w:hAnsi="Calibri"/>
                <w:sz w:val="20"/>
              </w:rPr>
              <w:t>brief</w:t>
            </w:r>
            <w:r>
              <w:rPr>
                <w:rFonts w:ascii="Calibri" w:hAnsi="Calibri"/>
                <w:spacing w:val="-7"/>
                <w:sz w:val="20"/>
              </w:rPr>
              <w:t> </w:t>
            </w:r>
            <w:r>
              <w:rPr>
                <w:rFonts w:ascii="Calibri" w:hAnsi="Calibri"/>
                <w:sz w:val="20"/>
              </w:rPr>
              <w:t>description</w:t>
            </w:r>
            <w:r>
              <w:rPr>
                <w:rFonts w:ascii="Calibri" w:hAnsi="Calibri"/>
                <w:spacing w:val="-5"/>
                <w:sz w:val="20"/>
              </w:rPr>
              <w:t> </w:t>
            </w:r>
            <w:r>
              <w:rPr>
                <w:rFonts w:ascii="Calibri" w:hAnsi="Calibri"/>
                <w:sz w:val="20"/>
              </w:rPr>
              <w:t>of</w:t>
            </w:r>
            <w:r>
              <w:rPr>
                <w:rFonts w:ascii="Calibri" w:hAnsi="Calibri"/>
                <w:spacing w:val="-7"/>
                <w:sz w:val="20"/>
              </w:rPr>
              <w:t> </w:t>
            </w:r>
            <w:r>
              <w:rPr>
                <w:rFonts w:ascii="Calibri" w:hAnsi="Calibri"/>
                <w:sz w:val="20"/>
              </w:rPr>
              <w:t>the</w:t>
            </w:r>
            <w:r>
              <w:rPr>
                <w:rFonts w:ascii="Calibri" w:hAnsi="Calibri"/>
                <w:spacing w:val="-6"/>
                <w:sz w:val="20"/>
              </w:rPr>
              <w:t> </w:t>
            </w:r>
            <w:r>
              <w:rPr>
                <w:rFonts w:ascii="Calibri" w:hAnsi="Calibri"/>
                <w:sz w:val="20"/>
              </w:rPr>
              <w:t>management</w:t>
            </w:r>
            <w:r>
              <w:rPr>
                <w:rFonts w:ascii="Calibri" w:hAnsi="Calibri"/>
                <w:spacing w:val="-6"/>
                <w:sz w:val="20"/>
              </w:rPr>
              <w:t> </w:t>
            </w:r>
            <w:r>
              <w:rPr>
                <w:rFonts w:ascii="Calibri" w:hAnsi="Calibri"/>
                <w:sz w:val="20"/>
              </w:rPr>
              <w:t>area;</w:t>
            </w:r>
            <w:r>
              <w:rPr>
                <w:rFonts w:ascii="Calibri" w:hAnsi="Calibri"/>
                <w:spacing w:val="-7"/>
                <w:sz w:val="20"/>
              </w:rPr>
              <w:t> </w:t>
            </w:r>
            <w:r>
              <w:rPr>
                <w:rFonts w:ascii="Calibri" w:hAnsi="Calibri"/>
                <w:spacing w:val="-5"/>
                <w:sz w:val="20"/>
              </w:rPr>
              <w:t>and</w:t>
            </w:r>
          </w:p>
        </w:tc>
      </w:tr>
      <w:tr>
        <w:trPr>
          <w:trHeight w:val="680" w:hRule="atLeast"/>
        </w:trPr>
        <w:tc>
          <w:tcPr>
            <w:tcW w:w="1992" w:type="dxa"/>
            <w:tcBorders>
              <w:left w:val="single" w:sz="8" w:space="0" w:color="9BBA58"/>
            </w:tcBorders>
          </w:tcPr>
          <w:p>
            <w:pPr>
              <w:pStyle w:val="TableParagraph"/>
              <w:spacing w:before="0"/>
              <w:rPr>
                <w:rFonts w:ascii="Times New Roman"/>
                <w:sz w:val="18"/>
              </w:rPr>
            </w:pPr>
          </w:p>
        </w:tc>
        <w:tc>
          <w:tcPr>
            <w:tcW w:w="6449" w:type="dxa"/>
            <w:tcBorders>
              <w:right w:val="single" w:sz="8" w:space="0" w:color="9BBA58"/>
            </w:tcBorders>
          </w:tcPr>
          <w:p>
            <w:pPr>
              <w:pStyle w:val="TableParagraph"/>
              <w:numPr>
                <w:ilvl w:val="0"/>
                <w:numId w:val="7"/>
              </w:numPr>
              <w:tabs>
                <w:tab w:pos="1060" w:val="left" w:leader="none"/>
              </w:tabs>
              <w:spacing w:line="254" w:lineRule="auto" w:before="104" w:after="0"/>
              <w:ind w:left="1060" w:right="754" w:hanging="360"/>
              <w:jc w:val="left"/>
              <w:rPr>
                <w:rFonts w:ascii="Calibri" w:hAnsi="Calibri"/>
                <w:sz w:val="20"/>
              </w:rPr>
            </w:pPr>
            <w:r>
              <w:rPr>
                <w:rFonts w:ascii="Calibri" w:hAnsi="Calibri"/>
                <w:sz w:val="20"/>
              </w:rPr>
              <w:t>Management</w:t>
            </w:r>
            <w:r>
              <w:rPr>
                <w:rFonts w:ascii="Calibri" w:hAnsi="Calibri"/>
                <w:spacing w:val="-6"/>
                <w:sz w:val="20"/>
              </w:rPr>
              <w:t> </w:t>
            </w:r>
            <w:r>
              <w:rPr>
                <w:rFonts w:ascii="Calibri" w:hAnsi="Calibri"/>
                <w:sz w:val="20"/>
              </w:rPr>
              <w:t>direction</w:t>
            </w:r>
            <w:r>
              <w:rPr>
                <w:rFonts w:ascii="Calibri" w:hAnsi="Calibri"/>
                <w:spacing w:val="-5"/>
                <w:sz w:val="20"/>
              </w:rPr>
              <w:t> </w:t>
            </w:r>
            <w:r>
              <w:rPr>
                <w:rFonts w:ascii="Calibri" w:hAnsi="Calibri"/>
                <w:sz w:val="20"/>
              </w:rPr>
              <w:t>in</w:t>
            </w:r>
            <w:r>
              <w:rPr>
                <w:rFonts w:ascii="Calibri" w:hAnsi="Calibri"/>
                <w:spacing w:val="-5"/>
                <w:sz w:val="20"/>
              </w:rPr>
              <w:t> </w:t>
            </w:r>
            <w:r>
              <w:rPr>
                <w:rFonts w:ascii="Calibri" w:hAnsi="Calibri"/>
                <w:sz w:val="20"/>
              </w:rPr>
              <w:t>the</w:t>
            </w:r>
            <w:r>
              <w:rPr>
                <w:rFonts w:ascii="Calibri" w:hAnsi="Calibri"/>
                <w:spacing w:val="-7"/>
                <w:sz w:val="20"/>
              </w:rPr>
              <w:t> </w:t>
            </w:r>
            <w:r>
              <w:rPr>
                <w:rFonts w:ascii="Calibri" w:hAnsi="Calibri"/>
                <w:sz w:val="20"/>
              </w:rPr>
              <w:t>form</w:t>
            </w:r>
            <w:r>
              <w:rPr>
                <w:rFonts w:ascii="Calibri" w:hAnsi="Calibri"/>
                <w:spacing w:val="-7"/>
                <w:sz w:val="20"/>
              </w:rPr>
              <w:t> </w:t>
            </w:r>
            <w:r>
              <w:rPr>
                <w:rFonts w:ascii="Calibri" w:hAnsi="Calibri"/>
                <w:sz w:val="20"/>
              </w:rPr>
              <w:t>of</w:t>
            </w:r>
            <w:r>
              <w:rPr>
                <w:rFonts w:ascii="Calibri" w:hAnsi="Calibri"/>
                <w:spacing w:val="-7"/>
                <w:sz w:val="20"/>
              </w:rPr>
              <w:t> </w:t>
            </w:r>
            <w:r>
              <w:rPr>
                <w:rFonts w:ascii="Calibri" w:hAnsi="Calibri"/>
                <w:sz w:val="20"/>
              </w:rPr>
              <w:t>desired</w:t>
            </w:r>
            <w:r>
              <w:rPr>
                <w:rFonts w:ascii="Calibri" w:hAnsi="Calibri"/>
                <w:spacing w:val="-5"/>
                <w:sz w:val="20"/>
              </w:rPr>
              <w:t> </w:t>
            </w:r>
            <w:r>
              <w:rPr>
                <w:rFonts w:ascii="Calibri" w:hAnsi="Calibri"/>
                <w:sz w:val="20"/>
              </w:rPr>
              <w:t>conditions, objectives, standards, and guidelines.</w:t>
            </w:r>
          </w:p>
        </w:tc>
      </w:tr>
      <w:tr>
        <w:trPr>
          <w:trHeight w:val="1185" w:hRule="atLeast"/>
        </w:trPr>
        <w:tc>
          <w:tcPr>
            <w:tcW w:w="1992" w:type="dxa"/>
            <w:tcBorders>
              <w:left w:val="single" w:sz="8" w:space="0" w:color="9BBA58"/>
            </w:tcBorders>
          </w:tcPr>
          <w:p>
            <w:pPr>
              <w:pStyle w:val="TableParagraph"/>
              <w:spacing w:before="0"/>
              <w:rPr>
                <w:rFonts w:ascii="Times New Roman"/>
                <w:sz w:val="18"/>
              </w:rPr>
            </w:pPr>
          </w:p>
        </w:tc>
        <w:tc>
          <w:tcPr>
            <w:tcW w:w="6449" w:type="dxa"/>
            <w:tcBorders>
              <w:right w:val="single" w:sz="8" w:space="0" w:color="9BBA58"/>
            </w:tcBorders>
          </w:tcPr>
          <w:p>
            <w:pPr>
              <w:pStyle w:val="TableParagraph"/>
              <w:numPr>
                <w:ilvl w:val="0"/>
                <w:numId w:val="8"/>
              </w:numPr>
              <w:tabs>
                <w:tab w:pos="1060" w:val="left" w:leader="none"/>
              </w:tabs>
              <w:spacing w:line="254" w:lineRule="auto" w:before="65" w:after="0"/>
              <w:ind w:left="1060" w:right="87" w:hanging="360"/>
              <w:jc w:val="left"/>
              <w:rPr>
                <w:rFonts w:ascii="Calibri" w:hAnsi="Calibri"/>
                <w:sz w:val="20"/>
              </w:rPr>
            </w:pPr>
            <w:r>
              <w:rPr>
                <w:rFonts w:ascii="Calibri" w:hAnsi="Calibri"/>
                <w:sz w:val="20"/>
              </w:rPr>
              <w:t>Forestwide direction, including desired conditions, objectives, standards,</w:t>
            </w:r>
            <w:r>
              <w:rPr>
                <w:rFonts w:ascii="Calibri" w:hAnsi="Calibri"/>
                <w:spacing w:val="-4"/>
                <w:sz w:val="20"/>
              </w:rPr>
              <w:t> </w:t>
            </w:r>
            <w:r>
              <w:rPr>
                <w:rFonts w:ascii="Calibri" w:hAnsi="Calibri"/>
                <w:sz w:val="20"/>
              </w:rPr>
              <w:t>and</w:t>
            </w:r>
            <w:r>
              <w:rPr>
                <w:rFonts w:ascii="Calibri" w:hAnsi="Calibri"/>
                <w:spacing w:val="-4"/>
                <w:sz w:val="20"/>
              </w:rPr>
              <w:t> </w:t>
            </w:r>
            <w:r>
              <w:rPr>
                <w:rFonts w:ascii="Calibri" w:hAnsi="Calibri"/>
                <w:sz w:val="20"/>
              </w:rPr>
              <w:t>guidelines</w:t>
            </w:r>
            <w:r>
              <w:rPr>
                <w:rFonts w:ascii="Calibri" w:hAnsi="Calibri"/>
                <w:spacing w:val="-6"/>
                <w:sz w:val="20"/>
              </w:rPr>
              <w:t> </w:t>
            </w:r>
            <w:r>
              <w:rPr>
                <w:rFonts w:ascii="Calibri" w:hAnsi="Calibri"/>
                <w:sz w:val="20"/>
              </w:rPr>
              <w:t>also</w:t>
            </w:r>
            <w:r>
              <w:rPr>
                <w:rFonts w:ascii="Calibri" w:hAnsi="Calibri"/>
                <w:spacing w:val="-3"/>
                <w:sz w:val="20"/>
              </w:rPr>
              <w:t> </w:t>
            </w:r>
            <w:r>
              <w:rPr>
                <w:rFonts w:ascii="Calibri" w:hAnsi="Calibri"/>
                <w:sz w:val="20"/>
              </w:rPr>
              <w:t>apply</w:t>
            </w:r>
            <w:r>
              <w:rPr>
                <w:rFonts w:ascii="Calibri" w:hAnsi="Calibri"/>
                <w:spacing w:val="-4"/>
                <w:sz w:val="20"/>
              </w:rPr>
              <w:t> </w:t>
            </w:r>
            <w:r>
              <w:rPr>
                <w:rFonts w:ascii="Calibri" w:hAnsi="Calibri"/>
                <w:sz w:val="20"/>
              </w:rPr>
              <w:t>to</w:t>
            </w:r>
            <w:r>
              <w:rPr>
                <w:rFonts w:ascii="Calibri" w:hAnsi="Calibri"/>
                <w:spacing w:val="-5"/>
                <w:sz w:val="20"/>
              </w:rPr>
              <w:t> </w:t>
            </w:r>
            <w:r>
              <w:rPr>
                <w:rFonts w:ascii="Calibri" w:hAnsi="Calibri"/>
                <w:sz w:val="20"/>
              </w:rPr>
              <w:t>each</w:t>
            </w:r>
            <w:r>
              <w:rPr>
                <w:rFonts w:ascii="Calibri" w:hAnsi="Calibri"/>
                <w:spacing w:val="-4"/>
                <w:sz w:val="20"/>
              </w:rPr>
              <w:t> </w:t>
            </w:r>
            <w:r>
              <w:rPr>
                <w:rFonts w:ascii="Calibri" w:hAnsi="Calibri"/>
                <w:sz w:val="20"/>
              </w:rPr>
              <w:t>MA,</w:t>
            </w:r>
            <w:r>
              <w:rPr>
                <w:rFonts w:ascii="Calibri" w:hAnsi="Calibri"/>
                <w:spacing w:val="-4"/>
                <w:sz w:val="20"/>
              </w:rPr>
              <w:t> </w:t>
            </w:r>
            <w:r>
              <w:rPr>
                <w:rFonts w:ascii="Calibri" w:hAnsi="Calibri"/>
                <w:sz w:val="20"/>
              </w:rPr>
              <w:t>unless</w:t>
            </w:r>
            <w:r>
              <w:rPr>
                <w:rFonts w:ascii="Calibri" w:hAnsi="Calibri"/>
                <w:spacing w:val="-6"/>
                <w:sz w:val="20"/>
              </w:rPr>
              <w:t> </w:t>
            </w:r>
            <w:r>
              <w:rPr>
                <w:rFonts w:ascii="Calibri" w:hAnsi="Calibri"/>
                <w:sz w:val="20"/>
              </w:rPr>
              <w:t>direction for the MA is more stringent or restrictive than the forestwide </w:t>
            </w:r>
            <w:r>
              <w:rPr>
                <w:rFonts w:ascii="Calibri" w:hAnsi="Calibri"/>
                <w:spacing w:val="-2"/>
                <w:sz w:val="20"/>
              </w:rPr>
              <w:t>direction.</w:t>
            </w:r>
          </w:p>
        </w:tc>
      </w:tr>
      <w:tr>
        <w:trPr>
          <w:trHeight w:val="1459" w:hRule="atLeast"/>
        </w:trPr>
        <w:tc>
          <w:tcPr>
            <w:tcW w:w="1992" w:type="dxa"/>
            <w:tcBorders>
              <w:left w:val="single" w:sz="8" w:space="0" w:color="9BBA58"/>
            </w:tcBorders>
          </w:tcPr>
          <w:p>
            <w:pPr>
              <w:pStyle w:val="TableParagraph"/>
              <w:spacing w:before="0"/>
              <w:rPr>
                <w:rFonts w:ascii="Times New Roman"/>
                <w:sz w:val="18"/>
              </w:rPr>
            </w:pPr>
          </w:p>
        </w:tc>
        <w:tc>
          <w:tcPr>
            <w:tcW w:w="6449" w:type="dxa"/>
            <w:tcBorders>
              <w:right w:val="single" w:sz="8" w:space="0" w:color="9BBA58"/>
            </w:tcBorders>
          </w:tcPr>
          <w:p>
            <w:pPr>
              <w:pStyle w:val="TableParagraph"/>
              <w:spacing w:line="254" w:lineRule="auto" w:before="49"/>
              <w:ind w:left="340" w:right="120"/>
              <w:rPr>
                <w:rFonts w:ascii="Calibri" w:hAnsi="Calibri"/>
                <w:sz w:val="20"/>
              </w:rPr>
            </w:pPr>
            <w:r>
              <w:rPr>
                <w:rFonts w:ascii="Calibri" w:hAnsi="Calibri"/>
                <w:sz w:val="20"/>
              </w:rPr>
              <w:t>This</w:t>
            </w:r>
            <w:r>
              <w:rPr>
                <w:rFonts w:ascii="Calibri" w:hAnsi="Calibri"/>
                <w:spacing w:val="-4"/>
                <w:sz w:val="20"/>
              </w:rPr>
              <w:t> </w:t>
            </w:r>
            <w:r>
              <w:rPr>
                <w:rFonts w:ascii="Calibri" w:hAnsi="Calibri"/>
                <w:sz w:val="20"/>
              </w:rPr>
              <w:t>chapter</w:t>
            </w:r>
            <w:r>
              <w:rPr>
                <w:rFonts w:ascii="Calibri" w:hAnsi="Calibri"/>
                <w:spacing w:val="-3"/>
                <w:sz w:val="20"/>
              </w:rPr>
              <w:t> </w:t>
            </w:r>
            <w:r>
              <w:rPr>
                <w:rFonts w:ascii="Calibri" w:hAnsi="Calibri"/>
                <w:sz w:val="20"/>
              </w:rPr>
              <w:t>also</w:t>
            </w:r>
            <w:r>
              <w:rPr>
                <w:rFonts w:ascii="Calibri" w:hAnsi="Calibri"/>
                <w:spacing w:val="-4"/>
                <w:sz w:val="20"/>
              </w:rPr>
              <w:t> </w:t>
            </w:r>
            <w:r>
              <w:rPr>
                <w:rFonts w:ascii="Calibri" w:hAnsi="Calibri"/>
                <w:sz w:val="20"/>
              </w:rPr>
              <w:t>includes</w:t>
            </w:r>
            <w:r>
              <w:rPr>
                <w:rFonts w:ascii="Calibri" w:hAnsi="Calibri"/>
                <w:spacing w:val="-4"/>
                <w:sz w:val="20"/>
              </w:rPr>
              <w:t> </w:t>
            </w:r>
            <w:r>
              <w:rPr>
                <w:rFonts w:ascii="Calibri" w:hAnsi="Calibri"/>
                <w:sz w:val="20"/>
              </w:rPr>
              <w:t>tables</w:t>
            </w:r>
            <w:r>
              <w:rPr>
                <w:rFonts w:ascii="Calibri" w:hAnsi="Calibri"/>
                <w:spacing w:val="-4"/>
                <w:sz w:val="20"/>
              </w:rPr>
              <w:t> </w:t>
            </w:r>
            <w:r>
              <w:rPr>
                <w:rFonts w:ascii="Calibri" w:hAnsi="Calibri"/>
                <w:sz w:val="20"/>
              </w:rPr>
              <w:t>showing</w:t>
            </w:r>
            <w:r>
              <w:rPr>
                <w:rFonts w:ascii="Calibri" w:hAnsi="Calibri"/>
                <w:spacing w:val="-3"/>
                <w:sz w:val="20"/>
              </w:rPr>
              <w:t> </w:t>
            </w:r>
            <w:r>
              <w:rPr>
                <w:rFonts w:ascii="Calibri" w:hAnsi="Calibri"/>
                <w:sz w:val="20"/>
              </w:rPr>
              <w:t>suitable</w:t>
            </w:r>
            <w:r>
              <w:rPr>
                <w:rFonts w:ascii="Calibri" w:hAnsi="Calibri"/>
                <w:spacing w:val="-4"/>
                <w:sz w:val="20"/>
              </w:rPr>
              <w:t> </w:t>
            </w:r>
            <w:r>
              <w:rPr>
                <w:rFonts w:ascii="Calibri" w:hAnsi="Calibri"/>
                <w:sz w:val="20"/>
              </w:rPr>
              <w:t>uses</w:t>
            </w:r>
            <w:r>
              <w:rPr>
                <w:rFonts w:ascii="Calibri" w:hAnsi="Calibri"/>
                <w:spacing w:val="-4"/>
                <w:sz w:val="20"/>
              </w:rPr>
              <w:t> </w:t>
            </w:r>
            <w:r>
              <w:rPr>
                <w:rFonts w:ascii="Calibri" w:hAnsi="Calibri"/>
                <w:sz w:val="20"/>
              </w:rPr>
              <w:t>that</w:t>
            </w:r>
            <w:r>
              <w:rPr>
                <w:rFonts w:ascii="Calibri" w:hAnsi="Calibri"/>
                <w:spacing w:val="-3"/>
                <w:sz w:val="20"/>
              </w:rPr>
              <w:t> </w:t>
            </w:r>
            <w:r>
              <w:rPr>
                <w:rFonts w:ascii="Calibri" w:hAnsi="Calibri"/>
                <w:sz w:val="20"/>
              </w:rPr>
              <w:t>may</w:t>
            </w:r>
            <w:r>
              <w:rPr>
                <w:rFonts w:ascii="Calibri" w:hAnsi="Calibri"/>
                <w:spacing w:val="-3"/>
                <w:sz w:val="20"/>
              </w:rPr>
              <w:t> </w:t>
            </w:r>
            <w:r>
              <w:rPr>
                <w:rFonts w:ascii="Calibri" w:hAnsi="Calibri"/>
                <w:sz w:val="20"/>
              </w:rPr>
              <w:t>or</w:t>
            </w:r>
            <w:r>
              <w:rPr>
                <w:rFonts w:ascii="Calibri" w:hAnsi="Calibri"/>
                <w:spacing w:val="-3"/>
                <w:sz w:val="20"/>
              </w:rPr>
              <w:t> </w:t>
            </w:r>
            <w:r>
              <w:rPr>
                <w:rFonts w:ascii="Calibri" w:hAnsi="Calibri"/>
                <w:sz w:val="20"/>
              </w:rPr>
              <w:t>may not be authorized within a management area. For each table, an “X” indicates suitability of the management area for that use, when consistent with forestwide</w:t>
            </w:r>
            <w:r>
              <w:rPr>
                <w:rFonts w:ascii="Calibri" w:hAnsi="Calibri"/>
                <w:spacing w:val="-1"/>
                <w:sz w:val="20"/>
              </w:rPr>
              <w:t> </w:t>
            </w:r>
            <w:r>
              <w:rPr>
                <w:rFonts w:ascii="Calibri" w:hAnsi="Calibri"/>
                <w:sz w:val="20"/>
              </w:rPr>
              <w:t>and management area direction. Some</w:t>
            </w:r>
            <w:r>
              <w:rPr>
                <w:rFonts w:ascii="Calibri" w:hAnsi="Calibri"/>
                <w:spacing w:val="-1"/>
                <w:sz w:val="20"/>
              </w:rPr>
              <w:t> </w:t>
            </w:r>
            <w:r>
              <w:rPr>
                <w:rFonts w:ascii="Calibri" w:hAnsi="Calibri"/>
                <w:sz w:val="20"/>
              </w:rPr>
              <w:t>uses are qualified by constraints or exceptions as shown in the table.</w:t>
            </w:r>
          </w:p>
        </w:tc>
      </w:tr>
      <w:tr>
        <w:trPr>
          <w:trHeight w:val="1571" w:hRule="atLeast"/>
        </w:trPr>
        <w:tc>
          <w:tcPr>
            <w:tcW w:w="1992" w:type="dxa"/>
            <w:tcBorders>
              <w:left w:val="single" w:sz="8" w:space="0" w:color="9BBA58"/>
              <w:bottom w:val="single" w:sz="8" w:space="0" w:color="9BBA58"/>
            </w:tcBorders>
          </w:tcPr>
          <w:p>
            <w:pPr>
              <w:pStyle w:val="TableParagraph"/>
              <w:spacing w:before="0"/>
              <w:rPr>
                <w:rFonts w:ascii="Times New Roman"/>
                <w:sz w:val="18"/>
              </w:rPr>
            </w:pPr>
          </w:p>
        </w:tc>
        <w:tc>
          <w:tcPr>
            <w:tcW w:w="6449" w:type="dxa"/>
            <w:tcBorders>
              <w:bottom w:val="single" w:sz="8" w:space="0" w:color="9BBA58"/>
              <w:right w:val="single" w:sz="8" w:space="0" w:color="9BBA58"/>
            </w:tcBorders>
          </w:tcPr>
          <w:p>
            <w:pPr>
              <w:pStyle w:val="TableParagraph"/>
              <w:spacing w:line="254" w:lineRule="auto" w:before="90"/>
              <w:ind w:left="340" w:right="105"/>
              <w:rPr>
                <w:rFonts w:ascii="Calibri"/>
                <w:sz w:val="20"/>
              </w:rPr>
            </w:pPr>
            <w:r>
              <w:rPr>
                <w:rFonts w:ascii="Calibri"/>
                <w:sz w:val="20"/>
              </w:rPr>
              <w:t>This chapter also includes material that is not a plan component and appears</w:t>
            </w:r>
            <w:r>
              <w:rPr>
                <w:rFonts w:ascii="Calibri"/>
                <w:spacing w:val="-5"/>
                <w:sz w:val="20"/>
              </w:rPr>
              <w:t> </w:t>
            </w:r>
            <w:r>
              <w:rPr>
                <w:rFonts w:ascii="Calibri"/>
                <w:sz w:val="20"/>
              </w:rPr>
              <w:t>in</w:t>
            </w:r>
            <w:r>
              <w:rPr>
                <w:rFonts w:ascii="Calibri"/>
                <w:spacing w:val="-3"/>
                <w:sz w:val="20"/>
              </w:rPr>
              <w:t> </w:t>
            </w:r>
            <w:r>
              <w:rPr>
                <w:rFonts w:ascii="Calibri"/>
                <w:sz w:val="20"/>
              </w:rPr>
              <w:t>light</w:t>
            </w:r>
            <w:r>
              <w:rPr>
                <w:rFonts w:ascii="Calibri"/>
                <w:spacing w:val="-4"/>
                <w:sz w:val="20"/>
              </w:rPr>
              <w:t> </w:t>
            </w:r>
            <w:r>
              <w:rPr>
                <w:rFonts w:ascii="Calibri"/>
                <w:sz w:val="20"/>
              </w:rPr>
              <w:t>gray</w:t>
            </w:r>
            <w:r>
              <w:rPr>
                <w:rFonts w:ascii="Calibri"/>
                <w:spacing w:val="-3"/>
                <w:sz w:val="20"/>
              </w:rPr>
              <w:t> </w:t>
            </w:r>
            <w:r>
              <w:rPr>
                <w:rFonts w:ascii="Calibri"/>
                <w:sz w:val="20"/>
              </w:rPr>
              <w:t>boxes.</w:t>
            </w:r>
            <w:r>
              <w:rPr>
                <w:rFonts w:ascii="Calibri"/>
                <w:spacing w:val="-4"/>
                <w:sz w:val="20"/>
              </w:rPr>
              <w:t> </w:t>
            </w:r>
            <w:r>
              <w:rPr>
                <w:rFonts w:ascii="Calibri"/>
                <w:sz w:val="20"/>
              </w:rPr>
              <w:t>This</w:t>
            </w:r>
            <w:r>
              <w:rPr>
                <w:rFonts w:ascii="Calibri"/>
                <w:spacing w:val="-5"/>
                <w:sz w:val="20"/>
              </w:rPr>
              <w:t> </w:t>
            </w:r>
            <w:r>
              <w:rPr>
                <w:rFonts w:ascii="Calibri"/>
                <w:sz w:val="20"/>
              </w:rPr>
              <w:t>information</w:t>
            </w:r>
            <w:r>
              <w:rPr>
                <w:rFonts w:ascii="Calibri"/>
                <w:spacing w:val="-3"/>
                <w:sz w:val="20"/>
              </w:rPr>
              <w:t> </w:t>
            </w:r>
            <w:r>
              <w:rPr>
                <w:rFonts w:ascii="Calibri"/>
                <w:sz w:val="20"/>
              </w:rPr>
              <w:t>is</w:t>
            </w:r>
            <w:r>
              <w:rPr>
                <w:rFonts w:ascii="Calibri"/>
                <w:spacing w:val="-5"/>
                <w:sz w:val="20"/>
              </w:rPr>
              <w:t> </w:t>
            </w:r>
            <w:r>
              <w:rPr>
                <w:rFonts w:ascii="Calibri"/>
                <w:sz w:val="20"/>
              </w:rPr>
              <w:t>background</w:t>
            </w:r>
            <w:r>
              <w:rPr>
                <w:rFonts w:ascii="Calibri"/>
                <w:spacing w:val="-3"/>
                <w:sz w:val="20"/>
              </w:rPr>
              <w:t> </w:t>
            </w:r>
            <w:r>
              <w:rPr>
                <w:rFonts w:ascii="Calibri"/>
                <w:sz w:val="20"/>
              </w:rPr>
              <w:t>and</w:t>
            </w:r>
            <w:r>
              <w:rPr>
                <w:rFonts w:ascii="Calibri"/>
                <w:spacing w:val="-3"/>
                <w:sz w:val="20"/>
              </w:rPr>
              <w:t> </w:t>
            </w:r>
            <w:r>
              <w:rPr>
                <w:rFonts w:ascii="Calibri"/>
                <w:sz w:val="20"/>
              </w:rPr>
              <w:t>typically clarifies limits of authority, definitions, application of management guidance, and applicability of analysis. Projects and activities are not expected to be consistent with this material</w:t>
            </w:r>
          </w:p>
        </w:tc>
      </w:tr>
    </w:tbl>
    <w:p>
      <w:pPr>
        <w:pStyle w:val="TableParagraph"/>
        <w:spacing w:after="0" w:line="254" w:lineRule="auto"/>
        <w:rPr>
          <w:rFonts w:ascii="Calibri"/>
          <w:sz w:val="20"/>
        </w:rPr>
        <w:sectPr>
          <w:pgSz w:w="12240" w:h="15840"/>
          <w:pgMar w:header="725" w:footer="891" w:top="960" w:bottom="1080" w:left="1080" w:right="720"/>
        </w:sectPr>
      </w:pPr>
    </w:p>
    <w:p>
      <w:pPr>
        <w:pStyle w:val="BodyText"/>
        <w:spacing w:before="221"/>
        <w:rPr>
          <w:sz w:val="20"/>
        </w:rPr>
      </w:pPr>
    </w:p>
    <w:tbl>
      <w:tblPr>
        <w:tblW w:w="0" w:type="auto"/>
        <w:jc w:val="left"/>
        <w:tblInd w:w="487"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139"/>
        <w:gridCol w:w="6302"/>
      </w:tblGrid>
      <w:tr>
        <w:trPr>
          <w:trHeight w:val="460" w:hRule="atLeast"/>
        </w:trPr>
        <w:tc>
          <w:tcPr>
            <w:tcW w:w="8441" w:type="dxa"/>
            <w:gridSpan w:val="2"/>
            <w:tcBorders>
              <w:top w:val="nil"/>
            </w:tcBorders>
            <w:shd w:val="clear" w:color="auto" w:fill="C2D59B"/>
          </w:tcPr>
          <w:p>
            <w:pPr>
              <w:pStyle w:val="TableParagraph"/>
              <w:spacing w:before="18"/>
              <w:ind w:left="107"/>
              <w:rPr>
                <w:rFonts w:ascii="Calibri"/>
                <w:b/>
                <w:sz w:val="20"/>
              </w:rPr>
            </w:pPr>
            <w:r>
              <w:rPr>
                <w:rFonts w:ascii="Calibri"/>
                <w:b/>
                <w:sz w:val="20"/>
              </w:rPr>
              <w:t>Parts</w:t>
            </w:r>
            <w:r>
              <w:rPr>
                <w:rFonts w:ascii="Calibri"/>
                <w:b/>
                <w:spacing w:val="-3"/>
                <w:sz w:val="20"/>
              </w:rPr>
              <w:t> </w:t>
            </w:r>
            <w:r>
              <w:rPr>
                <w:rFonts w:ascii="Calibri"/>
                <w:b/>
                <w:sz w:val="20"/>
              </w:rPr>
              <w:t>of</w:t>
            </w:r>
            <w:r>
              <w:rPr>
                <w:rFonts w:ascii="Calibri"/>
                <w:b/>
                <w:spacing w:val="-4"/>
                <w:sz w:val="20"/>
              </w:rPr>
              <w:t> </w:t>
            </w:r>
            <w:r>
              <w:rPr>
                <w:rFonts w:ascii="Calibri"/>
                <w:b/>
                <w:sz w:val="20"/>
              </w:rPr>
              <w:t>the</w:t>
            </w:r>
            <w:r>
              <w:rPr>
                <w:rFonts w:ascii="Calibri"/>
                <w:b/>
                <w:spacing w:val="-2"/>
                <w:sz w:val="20"/>
              </w:rPr>
              <w:t> </w:t>
            </w:r>
            <w:r>
              <w:rPr>
                <w:rFonts w:ascii="Calibri"/>
                <w:b/>
                <w:spacing w:val="-4"/>
                <w:sz w:val="20"/>
              </w:rPr>
              <w:t>Plan</w:t>
            </w:r>
          </w:p>
        </w:tc>
      </w:tr>
      <w:tr>
        <w:trPr>
          <w:trHeight w:val="2540" w:hRule="atLeast"/>
        </w:trPr>
        <w:tc>
          <w:tcPr>
            <w:tcW w:w="2139" w:type="dxa"/>
            <w:tcBorders>
              <w:right w:val="nil"/>
            </w:tcBorders>
          </w:tcPr>
          <w:p>
            <w:pPr>
              <w:pStyle w:val="TableParagraph"/>
              <w:spacing w:before="18"/>
              <w:ind w:left="107"/>
              <w:rPr>
                <w:rFonts w:ascii="Calibri"/>
                <w:b/>
                <w:sz w:val="20"/>
              </w:rPr>
            </w:pPr>
            <w:r>
              <w:rPr>
                <w:rFonts w:ascii="Calibri"/>
                <w:b/>
                <w:sz w:val="20"/>
              </w:rPr>
              <w:t>Chapter</w:t>
            </w:r>
            <w:r>
              <w:rPr>
                <w:rFonts w:ascii="Calibri"/>
                <w:b/>
                <w:spacing w:val="-3"/>
                <w:sz w:val="20"/>
              </w:rPr>
              <w:t> </w:t>
            </w:r>
            <w:r>
              <w:rPr>
                <w:rFonts w:ascii="Calibri"/>
                <w:b/>
                <w:sz w:val="20"/>
              </w:rPr>
              <w:t>4:</w:t>
            </w:r>
            <w:r>
              <w:rPr>
                <w:rFonts w:ascii="Calibri"/>
                <w:b/>
                <w:spacing w:val="-4"/>
                <w:sz w:val="20"/>
              </w:rPr>
              <w:t> </w:t>
            </w:r>
            <w:r>
              <w:rPr>
                <w:rFonts w:ascii="Calibri"/>
                <w:b/>
                <w:spacing w:val="-2"/>
                <w:sz w:val="20"/>
              </w:rPr>
              <w:t>Monitoring</w:t>
            </w:r>
          </w:p>
        </w:tc>
        <w:tc>
          <w:tcPr>
            <w:tcW w:w="6302" w:type="dxa"/>
            <w:tcBorders>
              <w:left w:val="nil"/>
            </w:tcBorders>
          </w:tcPr>
          <w:p>
            <w:pPr>
              <w:pStyle w:val="TableParagraph"/>
              <w:spacing w:line="256" w:lineRule="auto" w:before="18"/>
              <w:ind w:left="193" w:right="192"/>
              <w:rPr>
                <w:rFonts w:ascii="Calibri"/>
                <w:sz w:val="20"/>
              </w:rPr>
            </w:pPr>
            <w:r>
              <w:rPr>
                <w:rFonts w:ascii="Calibri"/>
                <w:sz w:val="20"/>
              </w:rPr>
              <w:t>Monitoring is used to determine the degree to which on-the-ground management is maintaining or making progress toward desired conditions.</w:t>
            </w:r>
            <w:r>
              <w:rPr>
                <w:rFonts w:ascii="Calibri"/>
                <w:spacing w:val="-6"/>
                <w:sz w:val="20"/>
              </w:rPr>
              <w:t> </w:t>
            </w:r>
            <w:r>
              <w:rPr>
                <w:rFonts w:ascii="Calibri"/>
                <w:sz w:val="20"/>
              </w:rPr>
              <w:t>The</w:t>
            </w:r>
            <w:r>
              <w:rPr>
                <w:rFonts w:ascii="Calibri"/>
                <w:spacing w:val="-7"/>
                <w:sz w:val="20"/>
              </w:rPr>
              <w:t> </w:t>
            </w:r>
            <w:r>
              <w:rPr>
                <w:rFonts w:ascii="Calibri"/>
                <w:sz w:val="20"/>
              </w:rPr>
              <w:t>monitoring</w:t>
            </w:r>
            <w:r>
              <w:rPr>
                <w:rFonts w:ascii="Calibri"/>
                <w:spacing w:val="-4"/>
                <w:sz w:val="20"/>
              </w:rPr>
              <w:t> </w:t>
            </w:r>
            <w:r>
              <w:rPr>
                <w:rFonts w:ascii="Calibri"/>
                <w:sz w:val="20"/>
              </w:rPr>
              <w:t>strategy</w:t>
            </w:r>
            <w:r>
              <w:rPr>
                <w:rFonts w:ascii="Calibri"/>
                <w:spacing w:val="-5"/>
                <w:sz w:val="20"/>
              </w:rPr>
              <w:t> </w:t>
            </w:r>
            <w:r>
              <w:rPr>
                <w:rFonts w:ascii="Calibri"/>
                <w:sz w:val="20"/>
              </w:rPr>
              <w:t>includes</w:t>
            </w:r>
            <w:r>
              <w:rPr>
                <w:rFonts w:ascii="Calibri"/>
                <w:spacing w:val="-7"/>
                <w:sz w:val="20"/>
              </w:rPr>
              <w:t> </w:t>
            </w:r>
            <w:r>
              <w:rPr>
                <w:rFonts w:ascii="Calibri"/>
                <w:sz w:val="20"/>
              </w:rPr>
              <w:t>questions</w:t>
            </w:r>
            <w:r>
              <w:rPr>
                <w:rFonts w:ascii="Calibri"/>
                <w:spacing w:val="-7"/>
                <w:sz w:val="20"/>
              </w:rPr>
              <w:t> </w:t>
            </w:r>
            <w:r>
              <w:rPr>
                <w:rFonts w:ascii="Calibri"/>
                <w:sz w:val="20"/>
              </w:rPr>
              <w:t>and</w:t>
            </w:r>
            <w:r>
              <w:rPr>
                <w:rFonts w:ascii="Calibri"/>
                <w:spacing w:val="-5"/>
                <w:sz w:val="20"/>
              </w:rPr>
              <w:t> </w:t>
            </w:r>
            <w:r>
              <w:rPr>
                <w:rFonts w:ascii="Calibri"/>
                <w:sz w:val="20"/>
              </w:rPr>
              <w:t>performance measures designed to inform implementation and effectiveness of plan decisions. It helps ensure that the plan remains adaptive, in that new knowledge and information can be analyzed and the plan modified as needed. Every monitoring question links to one or more desired conditions,</w:t>
            </w:r>
            <w:r>
              <w:rPr>
                <w:rFonts w:ascii="Calibri"/>
                <w:spacing w:val="-4"/>
                <w:sz w:val="20"/>
              </w:rPr>
              <w:t> </w:t>
            </w:r>
            <w:r>
              <w:rPr>
                <w:rFonts w:ascii="Calibri"/>
                <w:sz w:val="20"/>
              </w:rPr>
              <w:t>objectives,</w:t>
            </w:r>
            <w:r>
              <w:rPr>
                <w:rFonts w:ascii="Calibri"/>
                <w:spacing w:val="-4"/>
                <w:sz w:val="20"/>
              </w:rPr>
              <w:t> </w:t>
            </w:r>
            <w:r>
              <w:rPr>
                <w:rFonts w:ascii="Calibri"/>
                <w:sz w:val="20"/>
              </w:rPr>
              <w:t>standards,</w:t>
            </w:r>
            <w:r>
              <w:rPr>
                <w:rFonts w:ascii="Calibri"/>
                <w:spacing w:val="-4"/>
                <w:sz w:val="20"/>
              </w:rPr>
              <w:t> </w:t>
            </w:r>
            <w:r>
              <w:rPr>
                <w:rFonts w:ascii="Calibri"/>
                <w:sz w:val="20"/>
              </w:rPr>
              <w:t>or</w:t>
            </w:r>
            <w:r>
              <w:rPr>
                <w:rFonts w:ascii="Calibri"/>
                <w:spacing w:val="-4"/>
                <w:sz w:val="20"/>
              </w:rPr>
              <w:t> </w:t>
            </w:r>
            <w:r>
              <w:rPr>
                <w:rFonts w:ascii="Calibri"/>
                <w:sz w:val="20"/>
              </w:rPr>
              <w:t>guidelines.</w:t>
            </w:r>
            <w:r>
              <w:rPr>
                <w:rFonts w:ascii="Calibri"/>
                <w:spacing w:val="-4"/>
                <w:sz w:val="20"/>
              </w:rPr>
              <w:t> </w:t>
            </w:r>
            <w:r>
              <w:rPr>
                <w:rFonts w:ascii="Calibri"/>
                <w:sz w:val="20"/>
              </w:rPr>
              <w:t>However,</w:t>
            </w:r>
            <w:r>
              <w:rPr>
                <w:rFonts w:ascii="Calibri"/>
                <w:spacing w:val="-4"/>
                <w:sz w:val="20"/>
              </w:rPr>
              <w:t> </w:t>
            </w:r>
            <w:r>
              <w:rPr>
                <w:rFonts w:ascii="Calibri"/>
                <w:sz w:val="20"/>
              </w:rPr>
              <w:t>not</w:t>
            </w:r>
            <w:r>
              <w:rPr>
                <w:rFonts w:ascii="Calibri"/>
                <w:spacing w:val="-4"/>
                <w:sz w:val="20"/>
              </w:rPr>
              <w:t> </w:t>
            </w:r>
            <w:r>
              <w:rPr>
                <w:rFonts w:ascii="Calibri"/>
                <w:sz w:val="20"/>
              </w:rPr>
              <w:t>every</w:t>
            </w:r>
            <w:r>
              <w:rPr>
                <w:rFonts w:ascii="Calibri"/>
                <w:spacing w:val="-4"/>
                <w:sz w:val="20"/>
              </w:rPr>
              <w:t> </w:t>
            </w:r>
            <w:r>
              <w:rPr>
                <w:rFonts w:ascii="Calibri"/>
                <w:sz w:val="20"/>
              </w:rPr>
              <w:t>plan component has a corresponding monitoring question.</w:t>
            </w:r>
          </w:p>
        </w:tc>
      </w:tr>
    </w:tbl>
    <w:p>
      <w:pPr>
        <w:pStyle w:val="BodyText"/>
        <w:spacing w:before="172"/>
        <w:rPr>
          <w:sz w:val="26"/>
        </w:rPr>
      </w:pPr>
    </w:p>
    <w:p>
      <w:pPr>
        <w:pStyle w:val="Heading2"/>
        <w:spacing w:before="1"/>
      </w:pPr>
      <w:bookmarkStart w:name="Other Content – Material that is not a P" w:id="54"/>
      <w:bookmarkEnd w:id="54"/>
      <w:r>
        <w:rPr/>
      </w:r>
      <w:bookmarkStart w:name="_bookmark29" w:id="55"/>
      <w:bookmarkEnd w:id="55"/>
      <w:r>
        <w:rPr/>
      </w:r>
      <w:r>
        <w:rPr>
          <w:smallCaps/>
          <w:color w:val="475824"/>
          <w:spacing w:val="-2"/>
        </w:rPr>
        <w:t>Other</w:t>
      </w:r>
      <w:r>
        <w:rPr>
          <w:smallCaps/>
          <w:color w:val="475824"/>
          <w:spacing w:val="-12"/>
        </w:rPr>
        <w:t> </w:t>
      </w:r>
      <w:r>
        <w:rPr>
          <w:smallCaps/>
          <w:color w:val="475824"/>
          <w:spacing w:val="-2"/>
        </w:rPr>
        <w:t>Content</w:t>
      </w:r>
      <w:r>
        <w:rPr>
          <w:smallCaps/>
          <w:color w:val="475824"/>
          <w:spacing w:val="-6"/>
        </w:rPr>
        <w:t> </w:t>
      </w:r>
      <w:r>
        <w:rPr>
          <w:smallCaps/>
          <w:color w:val="475824"/>
          <w:spacing w:val="-2"/>
        </w:rPr>
        <w:t>–</w:t>
      </w:r>
      <w:r>
        <w:rPr>
          <w:smallCaps/>
          <w:color w:val="475824"/>
          <w:spacing w:val="-17"/>
        </w:rPr>
        <w:t> </w:t>
      </w:r>
      <w:r>
        <w:rPr>
          <w:smallCaps/>
          <w:color w:val="475824"/>
          <w:spacing w:val="-2"/>
        </w:rPr>
        <w:t>Material</w:t>
      </w:r>
      <w:r>
        <w:rPr>
          <w:smallCaps/>
          <w:color w:val="475824"/>
          <w:spacing w:val="-16"/>
        </w:rPr>
        <w:t> </w:t>
      </w:r>
      <w:r>
        <w:rPr>
          <w:smallCaps/>
          <w:color w:val="475824"/>
          <w:spacing w:val="-2"/>
        </w:rPr>
        <w:t>that</w:t>
      </w:r>
      <w:r>
        <w:rPr>
          <w:smallCaps/>
          <w:color w:val="475824"/>
          <w:spacing w:val="-6"/>
        </w:rPr>
        <w:t> </w:t>
      </w:r>
      <w:r>
        <w:rPr>
          <w:smallCaps/>
          <w:color w:val="475824"/>
          <w:spacing w:val="-2"/>
        </w:rPr>
        <w:t>is</w:t>
      </w:r>
      <w:r>
        <w:rPr>
          <w:smallCaps/>
          <w:color w:val="475824"/>
          <w:spacing w:val="-4"/>
        </w:rPr>
        <w:t> </w:t>
      </w:r>
      <w:r>
        <w:rPr>
          <w:smallCaps/>
          <w:color w:val="475824"/>
          <w:spacing w:val="-2"/>
        </w:rPr>
        <w:t>not</w:t>
      </w:r>
      <w:r>
        <w:rPr>
          <w:smallCaps/>
          <w:color w:val="475824"/>
          <w:spacing w:val="-18"/>
        </w:rPr>
        <w:t> </w:t>
      </w:r>
      <w:r>
        <w:rPr>
          <w:smallCaps/>
          <w:color w:val="475824"/>
          <w:spacing w:val="-2"/>
        </w:rPr>
        <w:t>a</w:t>
      </w:r>
      <w:r>
        <w:rPr>
          <w:smallCaps/>
          <w:color w:val="475824"/>
          <w:spacing w:val="-16"/>
        </w:rPr>
        <w:t> </w:t>
      </w:r>
      <w:r>
        <w:rPr>
          <w:smallCaps/>
          <w:color w:val="475824"/>
          <w:spacing w:val="-2"/>
        </w:rPr>
        <w:t>Plan</w:t>
      </w:r>
      <w:r>
        <w:rPr>
          <w:smallCaps/>
          <w:color w:val="475824"/>
          <w:spacing w:val="-1"/>
        </w:rPr>
        <w:t> </w:t>
      </w:r>
      <w:r>
        <w:rPr>
          <w:smallCaps/>
          <w:color w:val="475824"/>
          <w:spacing w:val="-2"/>
        </w:rPr>
        <w:t>Component</w:t>
      </w:r>
    </w:p>
    <w:p>
      <w:pPr>
        <w:pStyle w:val="BodyText"/>
        <w:spacing w:line="232" w:lineRule="auto" w:before="65"/>
        <w:ind w:left="360" w:right="1621" w:hanging="1"/>
      </w:pPr>
      <w:r>
        <w:rPr/>
        <w:t>This plan also includes material that is not a plan component. This information is background and typically clarifies limits of authority, definitions, management guidance, application of management</w:t>
      </w:r>
      <w:r>
        <w:rPr>
          <w:spacing w:val="-4"/>
        </w:rPr>
        <w:t> </w:t>
      </w:r>
      <w:r>
        <w:rPr/>
        <w:t>guidance,</w:t>
      </w:r>
      <w:r>
        <w:rPr>
          <w:spacing w:val="-7"/>
        </w:rPr>
        <w:t> </w:t>
      </w:r>
      <w:r>
        <w:rPr/>
        <w:t>and</w:t>
      </w:r>
      <w:r>
        <w:rPr>
          <w:spacing w:val="-6"/>
        </w:rPr>
        <w:t> </w:t>
      </w:r>
      <w:r>
        <w:rPr/>
        <w:t>applicability</w:t>
      </w:r>
      <w:r>
        <w:rPr>
          <w:spacing w:val="-4"/>
        </w:rPr>
        <w:t> </w:t>
      </w:r>
      <w:r>
        <w:rPr/>
        <w:t>of</w:t>
      </w:r>
      <w:r>
        <w:rPr>
          <w:spacing w:val="-7"/>
        </w:rPr>
        <w:t> </w:t>
      </w:r>
      <w:r>
        <w:rPr/>
        <w:t>analysis.</w:t>
      </w:r>
      <w:r>
        <w:rPr>
          <w:spacing w:val="-8"/>
        </w:rPr>
        <w:t> </w:t>
      </w:r>
      <w:r>
        <w:rPr/>
        <w:t>Projects</w:t>
      </w:r>
      <w:r>
        <w:rPr>
          <w:spacing w:val="-7"/>
        </w:rPr>
        <w:t> </w:t>
      </w:r>
      <w:r>
        <w:rPr/>
        <w:t>and</w:t>
      </w:r>
      <w:r>
        <w:rPr>
          <w:spacing w:val="-6"/>
        </w:rPr>
        <w:t> </w:t>
      </w:r>
      <w:r>
        <w:rPr/>
        <w:t>activities</w:t>
      </w:r>
      <w:r>
        <w:rPr>
          <w:spacing w:val="-5"/>
        </w:rPr>
        <w:t> </w:t>
      </w:r>
      <w:r>
        <w:rPr/>
        <w:t>are</w:t>
      </w:r>
      <w:r>
        <w:rPr>
          <w:spacing w:val="-4"/>
        </w:rPr>
        <w:t> </w:t>
      </w:r>
      <w:r>
        <w:rPr/>
        <w:t>not</w:t>
      </w:r>
      <w:r>
        <w:rPr>
          <w:spacing w:val="-4"/>
        </w:rPr>
        <w:t> </w:t>
      </w:r>
      <w:r>
        <w:rPr/>
        <w:t>expected</w:t>
      </w:r>
      <w:r>
        <w:rPr>
          <w:spacing w:val="-6"/>
        </w:rPr>
        <w:t> </w:t>
      </w:r>
      <w:r>
        <w:rPr/>
        <w:t>to be consistent with this background material. Changes to this material do not require a Forest Plan amendment. Other content that is not considered plan direction includes roles and contributions, management challenges, possible management actions, strategies and </w:t>
      </w:r>
      <w:r>
        <w:rPr>
          <w:spacing w:val="-2"/>
        </w:rPr>
        <w:t>monitoring.</w:t>
      </w:r>
    </w:p>
    <w:p>
      <w:pPr>
        <w:pStyle w:val="BodyText"/>
        <w:spacing w:line="232" w:lineRule="auto" w:before="197"/>
        <w:ind w:left="360" w:right="2220"/>
      </w:pPr>
      <w:r>
        <w:rPr/>
        <w:t>All</w:t>
      </w:r>
      <w:r>
        <w:rPr>
          <w:spacing w:val="-4"/>
        </w:rPr>
        <w:t> </w:t>
      </w:r>
      <w:r>
        <w:rPr/>
        <w:t>maps</w:t>
      </w:r>
      <w:r>
        <w:rPr>
          <w:spacing w:val="-5"/>
        </w:rPr>
        <w:t> </w:t>
      </w:r>
      <w:r>
        <w:rPr/>
        <w:t>and</w:t>
      </w:r>
      <w:r>
        <w:rPr>
          <w:spacing w:val="-5"/>
        </w:rPr>
        <w:t> </w:t>
      </w:r>
      <w:r>
        <w:rPr/>
        <w:t>photos</w:t>
      </w:r>
      <w:r>
        <w:rPr>
          <w:spacing w:val="-5"/>
        </w:rPr>
        <w:t> </w:t>
      </w:r>
      <w:r>
        <w:rPr/>
        <w:t>within</w:t>
      </w:r>
      <w:r>
        <w:rPr>
          <w:spacing w:val="-6"/>
        </w:rPr>
        <w:t> </w:t>
      </w:r>
      <w:r>
        <w:rPr/>
        <w:t>the</w:t>
      </w:r>
      <w:r>
        <w:rPr>
          <w:spacing w:val="-5"/>
        </w:rPr>
        <w:t> </w:t>
      </w:r>
      <w:r>
        <w:rPr/>
        <w:t>Plan</w:t>
      </w:r>
      <w:r>
        <w:rPr>
          <w:spacing w:val="-5"/>
        </w:rPr>
        <w:t> </w:t>
      </w:r>
      <w:r>
        <w:rPr/>
        <w:t>are</w:t>
      </w:r>
      <w:r>
        <w:rPr>
          <w:spacing w:val="-3"/>
        </w:rPr>
        <w:t> </w:t>
      </w:r>
      <w:r>
        <w:rPr/>
        <w:t>for</w:t>
      </w:r>
      <w:r>
        <w:rPr>
          <w:spacing w:val="-4"/>
        </w:rPr>
        <w:t> </w:t>
      </w:r>
      <w:r>
        <w:rPr/>
        <w:t>reference</w:t>
      </w:r>
      <w:r>
        <w:rPr>
          <w:spacing w:val="-5"/>
        </w:rPr>
        <w:t> </w:t>
      </w:r>
      <w:r>
        <w:rPr/>
        <w:t>unless</w:t>
      </w:r>
      <w:r>
        <w:rPr>
          <w:spacing w:val="-4"/>
        </w:rPr>
        <w:t> </w:t>
      </w:r>
      <w:r>
        <w:rPr/>
        <w:t>otherwise</w:t>
      </w:r>
      <w:r>
        <w:rPr>
          <w:spacing w:val="-5"/>
        </w:rPr>
        <w:t> </w:t>
      </w:r>
      <w:r>
        <w:rPr/>
        <w:t>noted</w:t>
      </w:r>
      <w:r>
        <w:rPr>
          <w:spacing w:val="-5"/>
        </w:rPr>
        <w:t> </w:t>
      </w:r>
      <w:r>
        <w:rPr/>
        <w:t>as</w:t>
      </w:r>
      <w:r>
        <w:rPr>
          <w:spacing w:val="-5"/>
        </w:rPr>
        <w:t> </w:t>
      </w:r>
      <w:r>
        <w:rPr/>
        <w:t>a</w:t>
      </w:r>
      <w:r>
        <w:rPr>
          <w:spacing w:val="-4"/>
        </w:rPr>
        <w:t> </w:t>
      </w:r>
      <w:r>
        <w:rPr/>
        <w:t>plan </w:t>
      </w:r>
      <w:r>
        <w:rPr>
          <w:spacing w:val="-2"/>
        </w:rPr>
        <w:t>component.</w:t>
      </w:r>
    </w:p>
    <w:p>
      <w:pPr>
        <w:pStyle w:val="Heading3"/>
        <w:spacing w:before="235"/>
        <w:ind w:left="360"/>
      </w:pPr>
      <w:bookmarkStart w:name="Relationship of the Forest Plan to Other" w:id="56"/>
      <w:bookmarkEnd w:id="56"/>
      <w:r>
        <w:rPr>
          <w:b w:val="0"/>
        </w:rPr>
      </w:r>
      <w:bookmarkStart w:name="_bookmark30" w:id="57"/>
      <w:bookmarkEnd w:id="57"/>
      <w:r>
        <w:rPr>
          <w:b w:val="0"/>
        </w:rPr>
      </w:r>
      <w:r>
        <w:rPr>
          <w:smallCaps/>
          <w:color w:val="475824"/>
        </w:rPr>
        <w:t>Relationship</w:t>
      </w:r>
      <w:r>
        <w:rPr>
          <w:smallCaps/>
          <w:color w:val="475824"/>
          <w:spacing w:val="-7"/>
        </w:rPr>
        <w:t> </w:t>
      </w:r>
      <w:r>
        <w:rPr>
          <w:smallCaps/>
          <w:color w:val="475824"/>
        </w:rPr>
        <w:t>of</w:t>
      </w:r>
      <w:r>
        <w:rPr>
          <w:smallCaps/>
          <w:color w:val="475824"/>
          <w:spacing w:val="-5"/>
        </w:rPr>
        <w:t> </w:t>
      </w:r>
      <w:r>
        <w:rPr>
          <w:smallCaps/>
          <w:color w:val="475824"/>
        </w:rPr>
        <w:t>the</w:t>
      </w:r>
      <w:r>
        <w:rPr>
          <w:smallCaps/>
          <w:color w:val="475824"/>
          <w:spacing w:val="-5"/>
        </w:rPr>
        <w:t> </w:t>
      </w:r>
      <w:r>
        <w:rPr>
          <w:smallCaps/>
          <w:color w:val="475824"/>
        </w:rPr>
        <w:t>Forest</w:t>
      </w:r>
      <w:r>
        <w:rPr>
          <w:smallCaps/>
          <w:color w:val="475824"/>
          <w:spacing w:val="-6"/>
        </w:rPr>
        <w:t> </w:t>
      </w:r>
      <w:r>
        <w:rPr>
          <w:smallCaps/>
          <w:color w:val="475824"/>
        </w:rPr>
        <w:t>Plan</w:t>
      </w:r>
      <w:r>
        <w:rPr>
          <w:smallCaps/>
          <w:color w:val="475824"/>
          <w:spacing w:val="-3"/>
        </w:rPr>
        <w:t> </w:t>
      </w:r>
      <w:r>
        <w:rPr>
          <w:smallCaps/>
          <w:color w:val="475824"/>
        </w:rPr>
        <w:t>to</w:t>
      </w:r>
      <w:r>
        <w:rPr>
          <w:smallCaps/>
          <w:color w:val="475824"/>
          <w:spacing w:val="-6"/>
        </w:rPr>
        <w:t> </w:t>
      </w:r>
      <w:r>
        <w:rPr>
          <w:smallCaps/>
          <w:color w:val="475824"/>
        </w:rPr>
        <w:t>Other</w:t>
      </w:r>
      <w:r>
        <w:rPr>
          <w:smallCaps/>
          <w:color w:val="475824"/>
          <w:spacing w:val="-5"/>
        </w:rPr>
        <w:t> </w:t>
      </w:r>
      <w:r>
        <w:rPr>
          <w:smallCaps/>
          <w:color w:val="475824"/>
        </w:rPr>
        <w:t>Strategic</w:t>
      </w:r>
      <w:r>
        <w:rPr>
          <w:smallCaps/>
          <w:color w:val="475824"/>
          <w:spacing w:val="-4"/>
        </w:rPr>
        <w:t> </w:t>
      </w:r>
      <w:r>
        <w:rPr>
          <w:smallCaps/>
          <w:color w:val="475824"/>
          <w:spacing w:val="-2"/>
        </w:rPr>
        <w:t>Guidance</w:t>
      </w:r>
    </w:p>
    <w:p>
      <w:pPr>
        <w:pStyle w:val="Heading4"/>
        <w:spacing w:before="239"/>
      </w:pPr>
      <w:bookmarkStart w:name="Forest Service Management Direction" w:id="58"/>
      <w:bookmarkEnd w:id="58"/>
      <w:r>
        <w:rPr/>
      </w:r>
      <w:bookmarkStart w:name="_bookmark31" w:id="59"/>
      <w:bookmarkEnd w:id="59"/>
      <w:r>
        <w:rPr/>
      </w:r>
      <w:r>
        <w:rPr/>
        <w:t>Forest</w:t>
      </w:r>
      <w:r>
        <w:rPr>
          <w:spacing w:val="-3"/>
        </w:rPr>
        <w:t> </w:t>
      </w:r>
      <w:r>
        <w:rPr/>
        <w:t>Service</w:t>
      </w:r>
      <w:r>
        <w:rPr>
          <w:spacing w:val="-3"/>
        </w:rPr>
        <w:t> </w:t>
      </w:r>
      <w:r>
        <w:rPr/>
        <w:t>Management</w:t>
      </w:r>
      <w:r>
        <w:rPr>
          <w:spacing w:val="-3"/>
        </w:rPr>
        <w:t> </w:t>
      </w:r>
      <w:r>
        <w:rPr>
          <w:spacing w:val="-2"/>
        </w:rPr>
        <w:t>Direction</w:t>
      </w:r>
    </w:p>
    <w:p>
      <w:pPr>
        <w:pStyle w:val="BodyText"/>
        <w:spacing w:before="59"/>
        <w:ind w:left="360"/>
      </w:pPr>
      <w:r>
        <w:rPr/>
        <w:t>Forest</w:t>
      </w:r>
      <w:r>
        <w:rPr>
          <w:spacing w:val="-10"/>
        </w:rPr>
        <w:t> </w:t>
      </w:r>
      <w:r>
        <w:rPr/>
        <w:t>Service</w:t>
      </w:r>
      <w:r>
        <w:rPr>
          <w:spacing w:val="-7"/>
        </w:rPr>
        <w:t> </w:t>
      </w:r>
      <w:r>
        <w:rPr/>
        <w:t>direction</w:t>
      </w:r>
      <w:r>
        <w:rPr>
          <w:spacing w:val="-9"/>
        </w:rPr>
        <w:t> </w:t>
      </w:r>
      <w:r>
        <w:rPr/>
        <w:t>for</w:t>
      </w:r>
      <w:r>
        <w:rPr>
          <w:spacing w:val="-12"/>
        </w:rPr>
        <w:t> </w:t>
      </w:r>
      <w:r>
        <w:rPr/>
        <w:t>managing</w:t>
      </w:r>
      <w:r>
        <w:rPr>
          <w:spacing w:val="-9"/>
        </w:rPr>
        <w:t> </w:t>
      </w:r>
      <w:r>
        <w:rPr/>
        <w:t>National</w:t>
      </w:r>
      <w:r>
        <w:rPr>
          <w:spacing w:val="-11"/>
        </w:rPr>
        <w:t> </w:t>
      </w:r>
      <w:r>
        <w:rPr/>
        <w:t>Forest</w:t>
      </w:r>
      <w:r>
        <w:rPr>
          <w:spacing w:val="-10"/>
        </w:rPr>
        <w:t> </w:t>
      </w:r>
      <w:r>
        <w:rPr/>
        <w:t>System</w:t>
      </w:r>
      <w:r>
        <w:rPr>
          <w:spacing w:val="-7"/>
        </w:rPr>
        <w:t> </w:t>
      </w:r>
      <w:r>
        <w:rPr/>
        <w:t>lands</w:t>
      </w:r>
      <w:r>
        <w:rPr>
          <w:spacing w:val="-8"/>
        </w:rPr>
        <w:t> </w:t>
      </w:r>
      <w:r>
        <w:rPr/>
        <w:t>comes</w:t>
      </w:r>
      <w:r>
        <w:rPr>
          <w:spacing w:val="-10"/>
        </w:rPr>
        <w:t> </w:t>
      </w:r>
      <w:r>
        <w:rPr/>
        <w:t>from</w:t>
      </w:r>
      <w:r>
        <w:rPr>
          <w:spacing w:val="-7"/>
        </w:rPr>
        <w:t> </w:t>
      </w:r>
      <w:r>
        <w:rPr/>
        <w:t>several</w:t>
      </w:r>
      <w:r>
        <w:rPr>
          <w:spacing w:val="-8"/>
        </w:rPr>
        <w:t> </w:t>
      </w:r>
      <w:r>
        <w:rPr>
          <w:spacing w:val="-2"/>
        </w:rPr>
        <w:t>levels.</w:t>
      </w:r>
    </w:p>
    <w:p>
      <w:pPr>
        <w:pStyle w:val="BodyText"/>
        <w:spacing w:line="232" w:lineRule="auto" w:before="196"/>
        <w:ind w:left="359" w:right="1445"/>
      </w:pPr>
      <w:r>
        <w:rPr/>
        <w:t>National</w:t>
      </w:r>
      <w:r>
        <w:rPr>
          <w:spacing w:val="-7"/>
        </w:rPr>
        <w:t> </w:t>
      </w:r>
      <w:r>
        <w:rPr/>
        <w:t>and</w:t>
      </w:r>
      <w:r>
        <w:rPr>
          <w:spacing w:val="-8"/>
        </w:rPr>
        <w:t> </w:t>
      </w:r>
      <w:r>
        <w:rPr/>
        <w:t>regional</w:t>
      </w:r>
      <w:r>
        <w:rPr>
          <w:spacing w:val="-7"/>
        </w:rPr>
        <w:t> </w:t>
      </w:r>
      <w:r>
        <w:rPr/>
        <w:t>direction</w:t>
      </w:r>
      <w:r>
        <w:rPr>
          <w:spacing w:val="-8"/>
        </w:rPr>
        <w:t> </w:t>
      </w:r>
      <w:r>
        <w:rPr/>
        <w:t>includes</w:t>
      </w:r>
      <w:r>
        <w:rPr>
          <w:spacing w:val="-7"/>
        </w:rPr>
        <w:t> </w:t>
      </w:r>
      <w:r>
        <w:rPr/>
        <w:t>laws,</w:t>
      </w:r>
      <w:r>
        <w:rPr>
          <w:spacing w:val="-8"/>
        </w:rPr>
        <w:t> </w:t>
      </w:r>
      <w:r>
        <w:rPr/>
        <w:t>executive</w:t>
      </w:r>
      <w:r>
        <w:rPr>
          <w:spacing w:val="-6"/>
        </w:rPr>
        <w:t> </w:t>
      </w:r>
      <w:r>
        <w:rPr/>
        <w:t>orders,</w:t>
      </w:r>
      <w:r>
        <w:rPr>
          <w:spacing w:val="-7"/>
        </w:rPr>
        <w:t> </w:t>
      </w:r>
      <w:r>
        <w:rPr/>
        <w:t>and</w:t>
      </w:r>
      <w:r>
        <w:rPr>
          <w:spacing w:val="-8"/>
        </w:rPr>
        <w:t> </w:t>
      </w:r>
      <w:r>
        <w:rPr/>
        <w:t>regulations.</w:t>
      </w:r>
      <w:r>
        <w:rPr>
          <w:spacing w:val="-7"/>
        </w:rPr>
        <w:t> </w:t>
      </w:r>
      <w:r>
        <w:rPr/>
        <w:t>Forest</w:t>
      </w:r>
      <w:r>
        <w:rPr>
          <w:spacing w:val="-6"/>
        </w:rPr>
        <w:t> </w:t>
      </w:r>
      <w:r>
        <w:rPr/>
        <w:t>Service policy guides activities on national forests. All forest activities must comply with national direction and reflect national policy, including guidance on</w:t>
      </w:r>
      <w:r>
        <w:rPr>
          <w:spacing w:val="-1"/>
        </w:rPr>
        <w:t> </w:t>
      </w:r>
      <w:r>
        <w:rPr/>
        <w:t>safety and response to emergency </w:t>
      </w:r>
      <w:r>
        <w:rPr>
          <w:spacing w:val="-2"/>
        </w:rPr>
        <w:t>situations.</w:t>
      </w:r>
    </w:p>
    <w:p>
      <w:pPr>
        <w:pStyle w:val="BodyText"/>
        <w:spacing w:line="232" w:lineRule="auto" w:before="199"/>
        <w:ind w:left="359" w:right="1621"/>
      </w:pPr>
      <w:r>
        <w:rPr/>
        <w:t>The</w:t>
      </w:r>
      <w:r>
        <w:rPr>
          <w:spacing w:val="-6"/>
        </w:rPr>
        <w:t> </w:t>
      </w:r>
      <w:r>
        <w:rPr/>
        <w:t>hierarchy</w:t>
      </w:r>
      <w:r>
        <w:rPr>
          <w:spacing w:val="-7"/>
        </w:rPr>
        <w:t> </w:t>
      </w:r>
      <w:r>
        <w:rPr/>
        <w:t>of</w:t>
      </w:r>
      <w:r>
        <w:rPr>
          <w:spacing w:val="-8"/>
        </w:rPr>
        <w:t> </w:t>
      </w:r>
      <w:r>
        <w:rPr/>
        <w:t>management</w:t>
      </w:r>
      <w:r>
        <w:rPr>
          <w:spacing w:val="-6"/>
        </w:rPr>
        <w:t> </w:t>
      </w:r>
      <w:r>
        <w:rPr/>
        <w:t>direction</w:t>
      </w:r>
      <w:r>
        <w:rPr>
          <w:spacing w:val="-7"/>
        </w:rPr>
        <w:t> </w:t>
      </w:r>
      <w:r>
        <w:rPr/>
        <w:t>ranges</w:t>
      </w:r>
      <w:r>
        <w:rPr>
          <w:spacing w:val="-8"/>
        </w:rPr>
        <w:t> </w:t>
      </w:r>
      <w:r>
        <w:rPr/>
        <w:t>from</w:t>
      </w:r>
      <w:r>
        <w:rPr>
          <w:spacing w:val="-6"/>
        </w:rPr>
        <w:t> </w:t>
      </w:r>
      <w:r>
        <w:rPr/>
        <w:t>national</w:t>
      </w:r>
      <w:r>
        <w:rPr>
          <w:spacing w:val="-6"/>
        </w:rPr>
        <w:t> </w:t>
      </w:r>
      <w:r>
        <w:rPr/>
        <w:t>and</w:t>
      </w:r>
      <w:r>
        <w:rPr>
          <w:spacing w:val="-7"/>
        </w:rPr>
        <w:t> </w:t>
      </w:r>
      <w:r>
        <w:rPr/>
        <w:t>regional</w:t>
      </w:r>
      <w:r>
        <w:rPr>
          <w:spacing w:val="-6"/>
        </w:rPr>
        <w:t> </w:t>
      </w:r>
      <w:r>
        <w:rPr/>
        <w:t>direction</w:t>
      </w:r>
      <w:r>
        <w:rPr>
          <w:spacing w:val="-7"/>
        </w:rPr>
        <w:t> </w:t>
      </w:r>
      <w:r>
        <w:rPr/>
        <w:t>to</w:t>
      </w:r>
      <w:r>
        <w:rPr>
          <w:spacing w:val="-6"/>
        </w:rPr>
        <w:t> </w:t>
      </w:r>
      <w:r>
        <w:rPr/>
        <w:t>site- specific, project-level direction when the Forest Plan is implemented. </w:t>
      </w:r>
      <w:hyperlink w:history="true" w:anchor="_bookmark32">
        <w:r>
          <w:rPr/>
          <w:t>Fi</w:t>
        </w:r>
      </w:hyperlink>
      <w:hyperlink w:history="true" w:anchor="_bookmark32">
        <w:r>
          <w:rPr/>
          <w:t>gure 3</w:t>
        </w:r>
      </w:hyperlink>
      <w:r>
        <w:rPr/>
        <w:t> shows the primary levels of direction.</w:t>
      </w:r>
    </w:p>
    <w:p>
      <w:pPr>
        <w:pStyle w:val="BodyText"/>
        <w:spacing w:after="0" w:line="232" w:lineRule="auto"/>
        <w:sectPr>
          <w:pgSz w:w="12240" w:h="15840"/>
          <w:pgMar w:header="725" w:footer="891" w:top="960" w:bottom="1080" w:left="1080" w:right="720"/>
        </w:sectPr>
      </w:pPr>
    </w:p>
    <w:p>
      <w:pPr>
        <w:pStyle w:val="BodyText"/>
        <w:spacing w:before="231"/>
        <w:rPr>
          <w:sz w:val="20"/>
        </w:rPr>
      </w:pPr>
    </w:p>
    <w:p>
      <w:pPr>
        <w:pStyle w:val="BodyText"/>
        <w:ind w:left="3036"/>
        <w:rPr>
          <w:sz w:val="20"/>
        </w:rPr>
      </w:pPr>
      <w:r>
        <w:rPr>
          <w:sz w:val="20"/>
        </w:rPr>
        <w:drawing>
          <wp:inline distT="0" distB="0" distL="0" distR="0">
            <wp:extent cx="3047986" cy="2286000"/>
            <wp:effectExtent l="0" t="0" r="0" b="0"/>
            <wp:docPr id="123" name="Image 123" descr="Graphic showing the hierarchy of management direction for all national forests including national and regional direction, forest direction, and project-level direction"/>
            <wp:cNvGraphicFramePr>
              <a:graphicFrameLocks/>
            </wp:cNvGraphicFramePr>
            <a:graphic>
              <a:graphicData uri="http://schemas.openxmlformats.org/drawingml/2006/picture">
                <pic:pic>
                  <pic:nvPicPr>
                    <pic:cNvPr id="123" name="Image 123" descr="Graphic showing the hierarchy of management direction for all national forests including national and regional direction, forest direction, and project-level direction"/>
                    <pic:cNvPicPr/>
                  </pic:nvPicPr>
                  <pic:blipFill>
                    <a:blip r:embed="rId38" cstate="print"/>
                    <a:stretch>
                      <a:fillRect/>
                    </a:stretch>
                  </pic:blipFill>
                  <pic:spPr>
                    <a:xfrm>
                      <a:off x="0" y="0"/>
                      <a:ext cx="3047986" cy="2286000"/>
                    </a:xfrm>
                    <a:prstGeom prst="rect">
                      <a:avLst/>
                    </a:prstGeom>
                  </pic:spPr>
                </pic:pic>
              </a:graphicData>
            </a:graphic>
          </wp:inline>
        </w:drawing>
      </w:r>
      <w:r>
        <w:rPr>
          <w:sz w:val="20"/>
        </w:rPr>
      </w:r>
    </w:p>
    <w:p>
      <w:pPr>
        <w:spacing w:before="40"/>
        <w:ind w:left="2558" w:right="0" w:firstLine="0"/>
        <w:jc w:val="left"/>
        <w:rPr>
          <w:rFonts w:ascii="Arial"/>
          <w:b/>
          <w:sz w:val="18"/>
        </w:rPr>
      </w:pPr>
      <w:bookmarkStart w:name="_bookmark32" w:id="60"/>
      <w:bookmarkEnd w:id="60"/>
      <w:r>
        <w:rPr/>
      </w:r>
      <w:r>
        <w:rPr>
          <w:rFonts w:ascii="Arial"/>
          <w:b/>
          <w:color w:val="283014"/>
          <w:sz w:val="18"/>
        </w:rPr>
        <w:t>Figure</w:t>
      </w:r>
      <w:r>
        <w:rPr>
          <w:rFonts w:ascii="Arial"/>
          <w:b/>
          <w:color w:val="283014"/>
          <w:spacing w:val="-1"/>
          <w:sz w:val="18"/>
        </w:rPr>
        <w:t> </w:t>
      </w:r>
      <w:r>
        <w:rPr>
          <w:rFonts w:ascii="Arial"/>
          <w:b/>
          <w:color w:val="283014"/>
          <w:sz w:val="18"/>
        </w:rPr>
        <w:t>3.</w:t>
      </w:r>
      <w:r>
        <w:rPr>
          <w:rFonts w:ascii="Arial"/>
          <w:b/>
          <w:color w:val="283014"/>
          <w:spacing w:val="-3"/>
          <w:sz w:val="18"/>
        </w:rPr>
        <w:t> </w:t>
      </w:r>
      <w:r>
        <w:rPr>
          <w:rFonts w:ascii="Arial"/>
          <w:b/>
          <w:color w:val="283014"/>
          <w:sz w:val="18"/>
        </w:rPr>
        <w:t>Hierarchy</w:t>
      </w:r>
      <w:r>
        <w:rPr>
          <w:rFonts w:ascii="Arial"/>
          <w:b/>
          <w:color w:val="283014"/>
          <w:spacing w:val="-11"/>
          <w:sz w:val="18"/>
        </w:rPr>
        <w:t> </w:t>
      </w:r>
      <w:r>
        <w:rPr>
          <w:rFonts w:ascii="Arial"/>
          <w:b/>
          <w:color w:val="283014"/>
          <w:sz w:val="18"/>
        </w:rPr>
        <w:t>of</w:t>
      </w:r>
      <w:r>
        <w:rPr>
          <w:rFonts w:ascii="Arial"/>
          <w:b/>
          <w:color w:val="283014"/>
          <w:spacing w:val="-1"/>
          <w:sz w:val="18"/>
        </w:rPr>
        <w:t> </w:t>
      </w:r>
      <w:r>
        <w:rPr>
          <w:rFonts w:ascii="Arial"/>
          <w:b/>
          <w:color w:val="283014"/>
          <w:sz w:val="18"/>
        </w:rPr>
        <w:t>management</w:t>
      </w:r>
      <w:r>
        <w:rPr>
          <w:rFonts w:ascii="Arial"/>
          <w:b/>
          <w:color w:val="283014"/>
          <w:spacing w:val="-4"/>
          <w:sz w:val="18"/>
        </w:rPr>
        <w:t> </w:t>
      </w:r>
      <w:r>
        <w:rPr>
          <w:rFonts w:ascii="Arial"/>
          <w:b/>
          <w:color w:val="283014"/>
          <w:sz w:val="18"/>
        </w:rPr>
        <w:t>direction</w:t>
      </w:r>
      <w:r>
        <w:rPr>
          <w:rFonts w:ascii="Arial"/>
          <w:b/>
          <w:color w:val="283014"/>
          <w:spacing w:val="-2"/>
          <w:sz w:val="18"/>
        </w:rPr>
        <w:t> </w:t>
      </w:r>
      <w:r>
        <w:rPr>
          <w:rFonts w:ascii="Arial"/>
          <w:b/>
          <w:color w:val="283014"/>
          <w:sz w:val="18"/>
        </w:rPr>
        <w:t>for</w:t>
      </w:r>
      <w:r>
        <w:rPr>
          <w:rFonts w:ascii="Arial"/>
          <w:b/>
          <w:color w:val="283014"/>
          <w:spacing w:val="-2"/>
          <w:sz w:val="18"/>
        </w:rPr>
        <w:t> </w:t>
      </w:r>
      <w:r>
        <w:rPr>
          <w:rFonts w:ascii="Arial"/>
          <w:b/>
          <w:color w:val="283014"/>
          <w:sz w:val="18"/>
        </w:rPr>
        <w:t>all</w:t>
      </w:r>
      <w:r>
        <w:rPr>
          <w:rFonts w:ascii="Arial"/>
          <w:b/>
          <w:color w:val="283014"/>
          <w:spacing w:val="-2"/>
          <w:sz w:val="18"/>
        </w:rPr>
        <w:t> </w:t>
      </w:r>
      <w:r>
        <w:rPr>
          <w:rFonts w:ascii="Arial"/>
          <w:b/>
          <w:color w:val="283014"/>
          <w:sz w:val="18"/>
        </w:rPr>
        <w:t>national</w:t>
      </w:r>
      <w:r>
        <w:rPr>
          <w:rFonts w:ascii="Arial"/>
          <w:b/>
          <w:color w:val="283014"/>
          <w:spacing w:val="-1"/>
          <w:sz w:val="18"/>
        </w:rPr>
        <w:t> </w:t>
      </w:r>
      <w:r>
        <w:rPr>
          <w:rFonts w:ascii="Arial"/>
          <w:b/>
          <w:color w:val="283014"/>
          <w:spacing w:val="-2"/>
          <w:sz w:val="18"/>
        </w:rPr>
        <w:t>forests</w:t>
      </w:r>
    </w:p>
    <w:p>
      <w:pPr>
        <w:pStyle w:val="BodyText"/>
        <w:spacing w:before="34"/>
        <w:rPr>
          <w:rFonts w:ascii="Arial"/>
          <w:b/>
          <w:sz w:val="18"/>
        </w:rPr>
      </w:pPr>
    </w:p>
    <w:p>
      <w:pPr>
        <w:pStyle w:val="Heading3"/>
      </w:pPr>
      <w:bookmarkStart w:name="National and Regional Direction and Guid" w:id="61"/>
      <w:bookmarkEnd w:id="61"/>
      <w:r>
        <w:rPr>
          <w:b w:val="0"/>
        </w:rPr>
      </w:r>
      <w:bookmarkStart w:name="_bookmark33" w:id="62"/>
      <w:bookmarkEnd w:id="62"/>
      <w:r>
        <w:rPr>
          <w:b w:val="0"/>
        </w:rPr>
      </w:r>
      <w:r>
        <w:rPr>
          <w:smallCaps/>
          <w:color w:val="475824"/>
        </w:rPr>
        <w:t>National</w:t>
      </w:r>
      <w:r>
        <w:rPr>
          <w:smallCaps/>
          <w:color w:val="475824"/>
          <w:spacing w:val="-6"/>
        </w:rPr>
        <w:t> </w:t>
      </w:r>
      <w:r>
        <w:rPr>
          <w:smallCaps/>
          <w:color w:val="475824"/>
        </w:rPr>
        <w:t>and</w:t>
      </w:r>
      <w:r>
        <w:rPr>
          <w:smallCaps/>
          <w:color w:val="475824"/>
          <w:spacing w:val="-6"/>
        </w:rPr>
        <w:t> </w:t>
      </w:r>
      <w:r>
        <w:rPr>
          <w:smallCaps/>
          <w:color w:val="475824"/>
        </w:rPr>
        <w:t>Regional</w:t>
      </w:r>
      <w:r>
        <w:rPr>
          <w:smallCaps/>
          <w:color w:val="475824"/>
          <w:spacing w:val="-7"/>
        </w:rPr>
        <w:t> </w:t>
      </w:r>
      <w:r>
        <w:rPr>
          <w:smallCaps/>
          <w:color w:val="475824"/>
        </w:rPr>
        <w:t>Direction</w:t>
      </w:r>
      <w:r>
        <w:rPr>
          <w:smallCaps/>
          <w:color w:val="475824"/>
          <w:spacing w:val="-4"/>
        </w:rPr>
        <w:t> </w:t>
      </w:r>
      <w:r>
        <w:rPr>
          <w:smallCaps/>
          <w:color w:val="475824"/>
        </w:rPr>
        <w:t>and</w:t>
      </w:r>
      <w:r>
        <w:rPr>
          <w:smallCaps/>
          <w:color w:val="475824"/>
          <w:spacing w:val="-6"/>
        </w:rPr>
        <w:t> </w:t>
      </w:r>
      <w:r>
        <w:rPr>
          <w:smallCaps/>
          <w:color w:val="475824"/>
          <w:spacing w:val="-2"/>
        </w:rPr>
        <w:t>Guidance</w:t>
      </w:r>
    </w:p>
    <w:p>
      <w:pPr>
        <w:pStyle w:val="BodyText"/>
        <w:spacing w:line="232" w:lineRule="auto" w:before="64"/>
        <w:ind w:left="1151" w:right="720"/>
      </w:pPr>
      <w:r>
        <w:rPr/>
        <w:t>All land management plans must meet the requirements of the National Forest Management Act of 1976. This Plan</w:t>
      </w:r>
      <w:r>
        <w:rPr>
          <w:spacing w:val="-1"/>
        </w:rPr>
        <w:t> </w:t>
      </w:r>
      <w:r>
        <w:rPr/>
        <w:t>was revised under the transition</w:t>
      </w:r>
      <w:r>
        <w:rPr>
          <w:spacing w:val="-1"/>
        </w:rPr>
        <w:t> </w:t>
      </w:r>
      <w:r>
        <w:rPr/>
        <w:t>provisions of the 2012 Planning Rule (36 CFR 219). Under the 2012 Planning Rule (Title 36, Code of Federal Regulations, Part 219– Planning),</w:t>
      </w:r>
      <w:r>
        <w:rPr>
          <w:spacing w:val="-2"/>
        </w:rPr>
        <w:t> </w:t>
      </w:r>
      <w:r>
        <w:rPr/>
        <w:t>the</w:t>
      </w:r>
      <w:r>
        <w:rPr>
          <w:spacing w:val="-4"/>
        </w:rPr>
        <w:t> </w:t>
      </w:r>
      <w:r>
        <w:rPr/>
        <w:t>responsible</w:t>
      </w:r>
      <w:r>
        <w:rPr>
          <w:spacing w:val="-4"/>
        </w:rPr>
        <w:t> </w:t>
      </w:r>
      <w:r>
        <w:rPr/>
        <w:t>official</w:t>
      </w:r>
      <w:r>
        <w:rPr>
          <w:spacing w:val="-5"/>
        </w:rPr>
        <w:t> </w:t>
      </w:r>
      <w:r>
        <w:rPr/>
        <w:t>may</w:t>
      </w:r>
      <w:r>
        <w:rPr>
          <w:spacing w:val="-1"/>
        </w:rPr>
        <w:t> </w:t>
      </w:r>
      <w:r>
        <w:rPr/>
        <w:t>complete</w:t>
      </w:r>
      <w:r>
        <w:rPr>
          <w:spacing w:val="-4"/>
        </w:rPr>
        <w:t> </w:t>
      </w:r>
      <w:r>
        <w:rPr/>
        <w:t>and</w:t>
      </w:r>
      <w:r>
        <w:rPr>
          <w:spacing w:val="-3"/>
        </w:rPr>
        <w:t> </w:t>
      </w:r>
      <w:r>
        <w:rPr/>
        <w:t>approve</w:t>
      </w:r>
      <w:r>
        <w:rPr>
          <w:spacing w:val="-1"/>
        </w:rPr>
        <w:t> </w:t>
      </w:r>
      <w:r>
        <w:rPr/>
        <w:t>plan</w:t>
      </w:r>
      <w:r>
        <w:rPr>
          <w:spacing w:val="-5"/>
        </w:rPr>
        <w:t> </w:t>
      </w:r>
      <w:r>
        <w:rPr/>
        <w:t>revision</w:t>
      </w:r>
      <w:r>
        <w:rPr>
          <w:spacing w:val="-3"/>
        </w:rPr>
        <w:t> </w:t>
      </w:r>
      <w:r>
        <w:rPr/>
        <w:t>in</w:t>
      </w:r>
      <w:r>
        <w:rPr>
          <w:spacing w:val="-3"/>
        </w:rPr>
        <w:t> </w:t>
      </w:r>
      <w:r>
        <w:rPr/>
        <w:t>conformance</w:t>
      </w:r>
      <w:r>
        <w:rPr>
          <w:spacing w:val="-4"/>
        </w:rPr>
        <w:t> </w:t>
      </w:r>
      <w:r>
        <w:rPr/>
        <w:t>with the provisions of the prior planning regulation, including the transition provisions of the reinstated</w:t>
      </w:r>
      <w:r>
        <w:rPr>
          <w:spacing w:val="-2"/>
        </w:rPr>
        <w:t> </w:t>
      </w:r>
      <w:r>
        <w:rPr/>
        <w:t>2000 rule</w:t>
      </w:r>
      <w:r>
        <w:rPr>
          <w:spacing w:val="-3"/>
        </w:rPr>
        <w:t> </w:t>
      </w:r>
      <w:r>
        <w:rPr/>
        <w:t>(36 CFR</w:t>
      </w:r>
      <w:r>
        <w:rPr>
          <w:spacing w:val="-1"/>
        </w:rPr>
        <w:t> </w:t>
      </w:r>
      <w:r>
        <w:rPr/>
        <w:t>part</w:t>
      </w:r>
      <w:r>
        <w:rPr>
          <w:spacing w:val="-3"/>
        </w:rPr>
        <w:t> </w:t>
      </w:r>
      <w:r>
        <w:rPr/>
        <w:t>299,</w:t>
      </w:r>
      <w:r>
        <w:rPr>
          <w:spacing w:val="-1"/>
        </w:rPr>
        <w:t> </w:t>
      </w:r>
      <w:r>
        <w:rPr/>
        <w:t>published</w:t>
      </w:r>
      <w:r>
        <w:rPr>
          <w:spacing w:val="-2"/>
        </w:rPr>
        <w:t> </w:t>
      </w:r>
      <w:r>
        <w:rPr/>
        <w:t>at</w:t>
      </w:r>
      <w:r>
        <w:rPr>
          <w:spacing w:val="-3"/>
        </w:rPr>
        <w:t> </w:t>
      </w:r>
      <w:r>
        <w:rPr/>
        <w:t>36</w:t>
      </w:r>
      <w:r>
        <w:rPr>
          <w:spacing w:val="-2"/>
        </w:rPr>
        <w:t> </w:t>
      </w:r>
      <w:r>
        <w:rPr/>
        <w:t>CFR</w:t>
      </w:r>
      <w:r>
        <w:rPr>
          <w:spacing w:val="-1"/>
        </w:rPr>
        <w:t> </w:t>
      </w:r>
      <w:r>
        <w:rPr/>
        <w:t>parts</w:t>
      </w:r>
      <w:r>
        <w:rPr>
          <w:spacing w:val="-3"/>
        </w:rPr>
        <w:t> </w:t>
      </w:r>
      <w:r>
        <w:rPr/>
        <w:t>200 to</w:t>
      </w:r>
      <w:r>
        <w:rPr>
          <w:spacing w:val="-2"/>
        </w:rPr>
        <w:t> </w:t>
      </w:r>
      <w:r>
        <w:rPr/>
        <w:t>299,</w:t>
      </w:r>
      <w:r>
        <w:rPr>
          <w:spacing w:val="-1"/>
        </w:rPr>
        <w:t> </w:t>
      </w:r>
      <w:r>
        <w:rPr/>
        <w:t>revised</w:t>
      </w:r>
      <w:r>
        <w:rPr>
          <w:spacing w:val="-2"/>
        </w:rPr>
        <w:t> </w:t>
      </w:r>
      <w:r>
        <w:rPr/>
        <w:t>as</w:t>
      </w:r>
      <w:r>
        <w:rPr>
          <w:spacing w:val="-3"/>
        </w:rPr>
        <w:t> </w:t>
      </w:r>
      <w:r>
        <w:rPr/>
        <w:t>of</w:t>
      </w:r>
      <w:r>
        <w:rPr>
          <w:spacing w:val="-1"/>
        </w:rPr>
        <w:t> </w:t>
      </w:r>
      <w:r>
        <w:rPr/>
        <w:t>July</w:t>
      </w:r>
      <w:r>
        <w:rPr>
          <w:spacing w:val="-2"/>
        </w:rPr>
        <w:t> </w:t>
      </w:r>
      <w:r>
        <w:rPr/>
        <w:t>1, 2010). The transition provisions allow the use of the 1982 planning procedures (see CFR parts 200 to 299, Revised as of July 1, 2000). A paper copy of the 1982 planning procedures is maintained</w:t>
      </w:r>
      <w:r>
        <w:rPr>
          <w:spacing w:val="-8"/>
        </w:rPr>
        <w:t> </w:t>
      </w:r>
      <w:r>
        <w:rPr/>
        <w:t>on</w:t>
      </w:r>
      <w:r>
        <w:rPr>
          <w:spacing w:val="-6"/>
        </w:rPr>
        <w:t> </w:t>
      </w:r>
      <w:r>
        <w:rPr/>
        <w:t>site</w:t>
      </w:r>
      <w:r>
        <w:rPr>
          <w:spacing w:val="-4"/>
        </w:rPr>
        <w:t> </w:t>
      </w:r>
      <w:r>
        <w:rPr/>
        <w:t>at</w:t>
      </w:r>
      <w:r>
        <w:rPr>
          <w:spacing w:val="-7"/>
        </w:rPr>
        <w:t> </w:t>
      </w:r>
      <w:r>
        <w:rPr/>
        <w:t>the</w:t>
      </w:r>
      <w:r>
        <w:rPr>
          <w:spacing w:val="-7"/>
        </w:rPr>
        <w:t> </w:t>
      </w:r>
      <w:r>
        <w:rPr/>
        <w:t>Colville</w:t>
      </w:r>
      <w:r>
        <w:rPr>
          <w:spacing w:val="-7"/>
        </w:rPr>
        <w:t> </w:t>
      </w:r>
      <w:r>
        <w:rPr/>
        <w:t>National</w:t>
      </w:r>
      <w:r>
        <w:rPr>
          <w:spacing w:val="-8"/>
        </w:rPr>
        <w:t> </w:t>
      </w:r>
      <w:r>
        <w:rPr/>
        <w:t>Forest</w:t>
      </w:r>
      <w:r>
        <w:rPr>
          <w:spacing w:val="-7"/>
        </w:rPr>
        <w:t> </w:t>
      </w:r>
      <w:r>
        <w:rPr/>
        <w:t>Supervisor’s</w:t>
      </w:r>
      <w:r>
        <w:rPr>
          <w:spacing w:val="-5"/>
        </w:rPr>
        <w:t> </w:t>
      </w:r>
      <w:r>
        <w:rPr/>
        <w:t>Office</w:t>
      </w:r>
      <w:r>
        <w:rPr>
          <w:spacing w:val="-4"/>
        </w:rPr>
        <w:t> </w:t>
      </w:r>
      <w:r>
        <w:rPr/>
        <w:t>in</w:t>
      </w:r>
      <w:r>
        <w:rPr>
          <w:spacing w:val="-6"/>
        </w:rPr>
        <w:t> </w:t>
      </w:r>
      <w:r>
        <w:rPr/>
        <w:t>Colville,</w:t>
      </w:r>
      <w:r>
        <w:rPr>
          <w:spacing w:val="-7"/>
        </w:rPr>
        <w:t> </w:t>
      </w:r>
      <w:r>
        <w:rPr/>
        <w:t>Washington.</w:t>
      </w:r>
      <w:r>
        <w:rPr>
          <w:spacing w:val="-5"/>
        </w:rPr>
        <w:t> </w:t>
      </w:r>
      <w:r>
        <w:rPr/>
        <w:t>See the following hyperlink for the 1982 procedures </w:t>
      </w:r>
      <w:hyperlink r:id="rId39">
        <w:r>
          <w:rPr>
            <w:color w:val="0000FF"/>
            <w:spacing w:val="-2"/>
            <w:u w:val="single" w:color="0000FF"/>
          </w:rPr>
          <w:t>http://www.fs.fed.us/emc/nfma/includes/nfmareg.html</w:t>
        </w:r>
        <w:r>
          <w:rPr>
            <w:spacing w:val="-2"/>
            <w:u w:val="none"/>
          </w:rPr>
          <w:t>.</w:t>
        </w:r>
      </w:hyperlink>
    </w:p>
    <w:p>
      <w:pPr>
        <w:pStyle w:val="BodyText"/>
        <w:spacing w:line="232" w:lineRule="auto" w:before="194"/>
        <w:ind w:left="1152" w:right="801"/>
      </w:pPr>
      <w:r>
        <w:rPr/>
        <w:t>Direction for land management plans is to focus on outcomes achieved over time (desired conditions)</w:t>
      </w:r>
      <w:r>
        <w:rPr>
          <w:spacing w:val="-5"/>
        </w:rPr>
        <w:t> </w:t>
      </w:r>
      <w:r>
        <w:rPr/>
        <w:t>instead</w:t>
      </w:r>
      <w:r>
        <w:rPr>
          <w:spacing w:val="-6"/>
        </w:rPr>
        <w:t> </w:t>
      </w:r>
      <w:r>
        <w:rPr/>
        <w:t>of</w:t>
      </w:r>
      <w:r>
        <w:rPr>
          <w:spacing w:val="-5"/>
        </w:rPr>
        <w:t> </w:t>
      </w:r>
      <w:r>
        <w:rPr/>
        <w:t>outputs</w:t>
      </w:r>
      <w:r>
        <w:rPr>
          <w:spacing w:val="-3"/>
        </w:rPr>
        <w:t> </w:t>
      </w:r>
      <w:r>
        <w:rPr/>
        <w:t>(products,</w:t>
      </w:r>
      <w:r>
        <w:rPr>
          <w:spacing w:val="-5"/>
        </w:rPr>
        <w:t> </w:t>
      </w:r>
      <w:r>
        <w:rPr/>
        <w:t>goods,</w:t>
      </w:r>
      <w:r>
        <w:rPr>
          <w:spacing w:val="-5"/>
        </w:rPr>
        <w:t> </w:t>
      </w:r>
      <w:r>
        <w:rPr/>
        <w:t>and</w:t>
      </w:r>
      <w:r>
        <w:rPr>
          <w:spacing w:val="-4"/>
        </w:rPr>
        <w:t> </w:t>
      </w:r>
      <w:r>
        <w:rPr/>
        <w:t>services)</w:t>
      </w:r>
      <w:r>
        <w:rPr>
          <w:spacing w:val="-3"/>
        </w:rPr>
        <w:t> </w:t>
      </w:r>
      <w:r>
        <w:rPr/>
        <w:t>as</w:t>
      </w:r>
      <w:r>
        <w:rPr>
          <w:spacing w:val="-3"/>
        </w:rPr>
        <w:t> </w:t>
      </w:r>
      <w:r>
        <w:rPr/>
        <w:t>in</w:t>
      </w:r>
      <w:r>
        <w:rPr>
          <w:spacing w:val="-4"/>
        </w:rPr>
        <w:t> </w:t>
      </w:r>
      <w:r>
        <w:rPr/>
        <w:t>previous</w:t>
      </w:r>
      <w:r>
        <w:rPr>
          <w:spacing w:val="-3"/>
        </w:rPr>
        <w:t> </w:t>
      </w:r>
      <w:r>
        <w:rPr/>
        <w:t>plans.</w:t>
      </w:r>
      <w:r>
        <w:rPr>
          <w:spacing w:val="-3"/>
        </w:rPr>
        <w:t> </w:t>
      </w:r>
      <w:r>
        <w:rPr/>
        <w:t>In</w:t>
      </w:r>
      <w:r>
        <w:rPr>
          <w:spacing w:val="-4"/>
        </w:rPr>
        <w:t> </w:t>
      </w:r>
      <w:r>
        <w:rPr/>
        <w:t>addition, plans must guide development of a budget and project activities that bring about desired outcomes. Rather than making project-level decisions or commitments to implement specific projects, a land management plan provides the context for project development.</w:t>
      </w:r>
    </w:p>
    <w:p>
      <w:pPr>
        <w:pStyle w:val="BodyText"/>
        <w:spacing w:line="232" w:lineRule="auto" w:before="198"/>
        <w:ind w:left="1151" w:right="742"/>
      </w:pPr>
      <w:r>
        <w:rPr/>
        <w:t>Guidance for forest plans is from the USDA Forest Service Strategic Plan. A paper copy of the Strategic</w:t>
      </w:r>
      <w:r>
        <w:rPr>
          <w:spacing w:val="-2"/>
        </w:rPr>
        <w:t> </w:t>
      </w:r>
      <w:r>
        <w:rPr/>
        <w:t>Plan</w:t>
      </w:r>
      <w:r>
        <w:rPr>
          <w:spacing w:val="-1"/>
        </w:rPr>
        <w:t> </w:t>
      </w:r>
      <w:r>
        <w:rPr/>
        <w:t>is</w:t>
      </w:r>
      <w:r>
        <w:rPr>
          <w:spacing w:val="-2"/>
        </w:rPr>
        <w:t> </w:t>
      </w:r>
      <w:r>
        <w:rPr/>
        <w:t>maintained</w:t>
      </w:r>
      <w:r>
        <w:rPr>
          <w:spacing w:val="-1"/>
        </w:rPr>
        <w:t> </w:t>
      </w:r>
      <w:r>
        <w:rPr/>
        <w:t>on</w:t>
      </w:r>
      <w:r>
        <w:rPr>
          <w:spacing w:val="-1"/>
        </w:rPr>
        <w:t> </w:t>
      </w:r>
      <w:r>
        <w:rPr/>
        <w:t>site at</w:t>
      </w:r>
      <w:r>
        <w:rPr>
          <w:spacing w:val="-2"/>
        </w:rPr>
        <w:t> </w:t>
      </w:r>
      <w:r>
        <w:rPr/>
        <w:t>the Colville National Forest Supervisor’s Office in</w:t>
      </w:r>
      <w:r>
        <w:rPr>
          <w:spacing w:val="-1"/>
        </w:rPr>
        <w:t> </w:t>
      </w:r>
      <w:r>
        <w:rPr/>
        <w:t>Colville, Washington, and can also be viewed and downloaded here (</w:t>
      </w:r>
      <w:hyperlink r:id="rId40">
        <w:r>
          <w:rPr>
            <w:color w:val="0000FF"/>
            <w:u w:val="single" w:color="0000FF"/>
          </w:rPr>
          <w:t>http://www.fs.fed.us/plan/</w:t>
        </w:r>
      </w:hyperlink>
      <w:r>
        <w:rPr>
          <w:u w:val="none"/>
        </w:rPr>
        <w:t>). This national-level plan is a framework for the National Forest System annual performance plan. It guides units such as individual national forests or ranger districts in proposing project-level work, while considering the opportunities and challenges detailed in their local unit plans. Like individual</w:t>
      </w:r>
      <w:r>
        <w:rPr>
          <w:spacing w:val="-5"/>
          <w:u w:val="none"/>
        </w:rPr>
        <w:t> </w:t>
      </w:r>
      <w:r>
        <w:rPr>
          <w:u w:val="none"/>
        </w:rPr>
        <w:t>forest</w:t>
      </w:r>
      <w:r>
        <w:rPr>
          <w:spacing w:val="-4"/>
          <w:u w:val="none"/>
        </w:rPr>
        <w:t> </w:t>
      </w:r>
      <w:r>
        <w:rPr>
          <w:u w:val="none"/>
        </w:rPr>
        <w:t>plans,</w:t>
      </w:r>
      <w:r>
        <w:rPr>
          <w:spacing w:val="-7"/>
          <w:u w:val="none"/>
        </w:rPr>
        <w:t> </w:t>
      </w:r>
      <w:r>
        <w:rPr>
          <w:u w:val="none"/>
        </w:rPr>
        <w:t>the</w:t>
      </w:r>
      <w:r>
        <w:rPr>
          <w:spacing w:val="-7"/>
          <w:u w:val="none"/>
        </w:rPr>
        <w:t> </w:t>
      </w:r>
      <w:r>
        <w:rPr>
          <w:u w:val="none"/>
        </w:rPr>
        <w:t>strategic</w:t>
      </w:r>
      <w:r>
        <w:rPr>
          <w:spacing w:val="-5"/>
          <w:u w:val="none"/>
        </w:rPr>
        <w:t> </w:t>
      </w:r>
      <w:r>
        <w:rPr>
          <w:u w:val="none"/>
        </w:rPr>
        <w:t>plan</w:t>
      </w:r>
      <w:r>
        <w:rPr>
          <w:spacing w:val="-6"/>
          <w:u w:val="none"/>
        </w:rPr>
        <w:t> </w:t>
      </w:r>
      <w:r>
        <w:rPr>
          <w:u w:val="none"/>
        </w:rPr>
        <w:t>focuses</w:t>
      </w:r>
      <w:r>
        <w:rPr>
          <w:spacing w:val="-7"/>
          <w:u w:val="none"/>
        </w:rPr>
        <w:t> </w:t>
      </w:r>
      <w:r>
        <w:rPr>
          <w:u w:val="none"/>
        </w:rPr>
        <w:t>on</w:t>
      </w:r>
      <w:r>
        <w:rPr>
          <w:spacing w:val="-6"/>
          <w:u w:val="none"/>
        </w:rPr>
        <w:t> </w:t>
      </w:r>
      <w:r>
        <w:rPr>
          <w:u w:val="none"/>
        </w:rPr>
        <w:t>outcomes</w:t>
      </w:r>
      <w:r>
        <w:rPr>
          <w:spacing w:val="-7"/>
          <w:u w:val="none"/>
        </w:rPr>
        <w:t> </w:t>
      </w:r>
      <w:r>
        <w:rPr>
          <w:u w:val="none"/>
        </w:rPr>
        <w:t>or</w:t>
      </w:r>
      <w:r>
        <w:rPr>
          <w:spacing w:val="-7"/>
          <w:u w:val="none"/>
        </w:rPr>
        <w:t> </w:t>
      </w:r>
      <w:r>
        <w:rPr>
          <w:u w:val="none"/>
        </w:rPr>
        <w:t>results</w:t>
      </w:r>
      <w:r>
        <w:rPr>
          <w:spacing w:val="-7"/>
          <w:u w:val="none"/>
        </w:rPr>
        <w:t> </w:t>
      </w:r>
      <w:r>
        <w:rPr>
          <w:u w:val="none"/>
        </w:rPr>
        <w:t>that</w:t>
      </w:r>
      <w:r>
        <w:rPr>
          <w:spacing w:val="-4"/>
          <w:u w:val="none"/>
        </w:rPr>
        <w:t> </w:t>
      </w:r>
      <w:r>
        <w:rPr>
          <w:u w:val="none"/>
        </w:rPr>
        <w:t>are</w:t>
      </w:r>
      <w:r>
        <w:rPr>
          <w:spacing w:val="-7"/>
          <w:u w:val="none"/>
        </w:rPr>
        <w:t> </w:t>
      </w:r>
      <w:r>
        <w:rPr>
          <w:u w:val="none"/>
        </w:rPr>
        <w:t>to</w:t>
      </w:r>
      <w:r>
        <w:rPr>
          <w:spacing w:val="-4"/>
          <w:u w:val="none"/>
        </w:rPr>
        <w:t> </w:t>
      </w:r>
      <w:r>
        <w:rPr>
          <w:u w:val="none"/>
        </w:rPr>
        <w:t>be</w:t>
      </w:r>
      <w:r>
        <w:rPr>
          <w:spacing w:val="-4"/>
          <w:u w:val="none"/>
        </w:rPr>
        <w:t> </w:t>
      </w:r>
      <w:r>
        <w:rPr>
          <w:u w:val="none"/>
        </w:rPr>
        <w:t>achieved over time. Forest plans consider the National Strategic Plan in developing desired conditions and objectives.</w:t>
      </w:r>
    </w:p>
    <w:p>
      <w:pPr>
        <w:pStyle w:val="BodyText"/>
        <w:spacing w:line="232" w:lineRule="auto" w:before="197"/>
        <w:ind w:left="1151" w:right="801"/>
      </w:pPr>
      <w:r>
        <w:rPr/>
        <w:t>As a Federal land management agency, the Forest Service must follow all applicable Federal laws and regulations. If these laws change or are amended, or if new laws are enacted, the Forest</w:t>
      </w:r>
      <w:r>
        <w:rPr>
          <w:spacing w:val="-4"/>
        </w:rPr>
        <w:t> </w:t>
      </w:r>
      <w:r>
        <w:rPr/>
        <w:t>administration</w:t>
      </w:r>
      <w:r>
        <w:rPr>
          <w:spacing w:val="-5"/>
        </w:rPr>
        <w:t> </w:t>
      </w:r>
      <w:r>
        <w:rPr/>
        <w:t>will</w:t>
      </w:r>
      <w:r>
        <w:rPr>
          <w:spacing w:val="-7"/>
        </w:rPr>
        <w:t> </w:t>
      </w:r>
      <w:r>
        <w:rPr/>
        <w:t>comply</w:t>
      </w:r>
      <w:r>
        <w:rPr>
          <w:spacing w:val="-4"/>
        </w:rPr>
        <w:t> </w:t>
      </w:r>
      <w:r>
        <w:rPr/>
        <w:t>with</w:t>
      </w:r>
      <w:r>
        <w:rPr>
          <w:spacing w:val="-5"/>
        </w:rPr>
        <w:t> </w:t>
      </w:r>
      <w:r>
        <w:rPr/>
        <w:t>the</w:t>
      </w:r>
      <w:r>
        <w:rPr>
          <w:spacing w:val="-6"/>
        </w:rPr>
        <w:t> </w:t>
      </w:r>
      <w:r>
        <w:rPr/>
        <w:t>changes</w:t>
      </w:r>
      <w:r>
        <w:rPr>
          <w:spacing w:val="-6"/>
        </w:rPr>
        <w:t> </w:t>
      </w:r>
      <w:r>
        <w:rPr/>
        <w:t>or</w:t>
      </w:r>
      <w:r>
        <w:rPr>
          <w:spacing w:val="-6"/>
        </w:rPr>
        <w:t> </w:t>
      </w:r>
      <w:r>
        <w:rPr/>
        <w:t>additions.</w:t>
      </w:r>
      <w:r>
        <w:rPr>
          <w:spacing w:val="-4"/>
        </w:rPr>
        <w:t> </w:t>
      </w:r>
      <w:r>
        <w:rPr/>
        <w:t>The</w:t>
      </w:r>
      <w:r>
        <w:rPr>
          <w:spacing w:val="-6"/>
        </w:rPr>
        <w:t> </w:t>
      </w:r>
      <w:r>
        <w:rPr/>
        <w:t>same</w:t>
      </w:r>
      <w:r>
        <w:rPr>
          <w:spacing w:val="-4"/>
        </w:rPr>
        <w:t> </w:t>
      </w:r>
      <w:r>
        <w:rPr/>
        <w:t>situation</w:t>
      </w:r>
      <w:r>
        <w:rPr>
          <w:spacing w:val="-5"/>
        </w:rPr>
        <w:t> </w:t>
      </w:r>
      <w:r>
        <w:rPr/>
        <w:t>applies</w:t>
      </w:r>
      <w:r>
        <w:rPr>
          <w:spacing w:val="-4"/>
        </w:rPr>
        <w:t> </w:t>
      </w:r>
      <w:r>
        <w:rPr/>
        <w:t>to executive orders and to agency policy, as expressed in Forest Service Manual and Handbook directives. This direction does not need to be restated in the Forest Plan. Wherever the laws,</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59" w:right="1445"/>
      </w:pPr>
      <w:r>
        <w:rPr/>
        <w:t>regulations,</w:t>
      </w:r>
      <w:r>
        <w:rPr>
          <w:spacing w:val="-9"/>
        </w:rPr>
        <w:t> </w:t>
      </w:r>
      <w:r>
        <w:rPr/>
        <w:t>or</w:t>
      </w:r>
      <w:r>
        <w:rPr>
          <w:spacing w:val="-7"/>
        </w:rPr>
        <w:t> </w:t>
      </w:r>
      <w:r>
        <w:rPr/>
        <w:t>policies</w:t>
      </w:r>
      <w:r>
        <w:rPr>
          <w:spacing w:val="-7"/>
        </w:rPr>
        <w:t> </w:t>
      </w:r>
      <w:r>
        <w:rPr/>
        <w:t>have</w:t>
      </w:r>
      <w:r>
        <w:rPr>
          <w:spacing w:val="-7"/>
        </w:rPr>
        <w:t> </w:t>
      </w:r>
      <w:r>
        <w:rPr/>
        <w:t>more</w:t>
      </w:r>
      <w:r>
        <w:rPr>
          <w:spacing w:val="-7"/>
        </w:rPr>
        <w:t> </w:t>
      </w:r>
      <w:r>
        <w:rPr/>
        <w:t>stringent</w:t>
      </w:r>
      <w:r>
        <w:rPr>
          <w:spacing w:val="-7"/>
        </w:rPr>
        <w:t> </w:t>
      </w:r>
      <w:r>
        <w:rPr/>
        <w:t>requirements</w:t>
      </w:r>
      <w:r>
        <w:rPr>
          <w:spacing w:val="-7"/>
        </w:rPr>
        <w:t> </w:t>
      </w:r>
      <w:r>
        <w:rPr/>
        <w:t>than</w:t>
      </w:r>
      <w:r>
        <w:rPr>
          <w:spacing w:val="-8"/>
        </w:rPr>
        <w:t> </w:t>
      </w:r>
      <w:r>
        <w:rPr/>
        <w:t>forest</w:t>
      </w:r>
      <w:r>
        <w:rPr>
          <w:spacing w:val="-7"/>
        </w:rPr>
        <w:t> </w:t>
      </w:r>
      <w:r>
        <w:rPr/>
        <w:t>plan</w:t>
      </w:r>
      <w:r>
        <w:rPr>
          <w:spacing w:val="-8"/>
        </w:rPr>
        <w:t> </w:t>
      </w:r>
      <w:r>
        <w:rPr/>
        <w:t>direction,</w:t>
      </w:r>
      <w:r>
        <w:rPr>
          <w:spacing w:val="-7"/>
        </w:rPr>
        <w:t> </w:t>
      </w:r>
      <w:r>
        <w:rPr/>
        <w:t>the</w:t>
      </w:r>
      <w:r>
        <w:rPr>
          <w:spacing w:val="-9"/>
        </w:rPr>
        <w:t> </w:t>
      </w:r>
      <w:r>
        <w:rPr/>
        <w:t>Forest must and will comply with those requirements.</w:t>
      </w:r>
    </w:p>
    <w:p>
      <w:pPr>
        <w:pStyle w:val="BodyText"/>
        <w:spacing w:line="232" w:lineRule="auto" w:before="199"/>
        <w:ind w:left="359" w:right="1516"/>
      </w:pPr>
      <w:r>
        <w:rPr/>
        <w:t>Examples of Federal laws with which forest plans and revised forest plans must be consistent are the Endangered Species Act (ESA), the National Historic Preservation Act, the Wilderness Act, the Clean Water Act, the Clean Air Act, and the National Forest Management Act (NFMA). Guidance for these laws comes from the Code of Federal Regulations (CFR), and the Forest Service Directive System (the Forest Service Handbooks and Forest Service Manuals). That material</w:t>
      </w:r>
      <w:r>
        <w:rPr>
          <w:spacing w:val="-7"/>
        </w:rPr>
        <w:t> </w:t>
      </w:r>
      <w:r>
        <w:rPr/>
        <w:t>is</w:t>
      </w:r>
      <w:r>
        <w:rPr>
          <w:spacing w:val="-4"/>
        </w:rPr>
        <w:t> </w:t>
      </w:r>
      <w:r>
        <w:rPr/>
        <w:t>not</w:t>
      </w:r>
      <w:r>
        <w:rPr>
          <w:spacing w:val="-3"/>
        </w:rPr>
        <w:t> </w:t>
      </w:r>
      <w:r>
        <w:rPr/>
        <w:t>repeated</w:t>
      </w:r>
      <w:r>
        <w:rPr>
          <w:spacing w:val="-5"/>
        </w:rPr>
        <w:t> </w:t>
      </w:r>
      <w:r>
        <w:rPr/>
        <w:t>in</w:t>
      </w:r>
      <w:r>
        <w:rPr>
          <w:spacing w:val="-7"/>
        </w:rPr>
        <w:t> </w:t>
      </w:r>
      <w:r>
        <w:rPr/>
        <w:t>the</w:t>
      </w:r>
      <w:r>
        <w:rPr>
          <w:spacing w:val="-3"/>
        </w:rPr>
        <w:t> </w:t>
      </w:r>
      <w:r>
        <w:rPr/>
        <w:t>Forest</w:t>
      </w:r>
      <w:r>
        <w:rPr>
          <w:spacing w:val="-6"/>
        </w:rPr>
        <w:t> </w:t>
      </w:r>
      <w:r>
        <w:rPr/>
        <w:t>Plan,</w:t>
      </w:r>
      <w:r>
        <w:rPr>
          <w:spacing w:val="-4"/>
        </w:rPr>
        <w:t> </w:t>
      </w:r>
      <w:r>
        <w:rPr/>
        <w:t>but</w:t>
      </w:r>
      <w:r>
        <w:rPr>
          <w:spacing w:val="-3"/>
        </w:rPr>
        <w:t> </w:t>
      </w:r>
      <w:r>
        <w:rPr/>
        <w:t>a</w:t>
      </w:r>
      <w:r>
        <w:rPr>
          <w:spacing w:val="-6"/>
        </w:rPr>
        <w:t> </w:t>
      </w:r>
      <w:r>
        <w:rPr/>
        <w:t>summary</w:t>
      </w:r>
      <w:r>
        <w:rPr>
          <w:spacing w:val="-5"/>
        </w:rPr>
        <w:t> </w:t>
      </w:r>
      <w:r>
        <w:rPr/>
        <w:t>of</w:t>
      </w:r>
      <w:r>
        <w:rPr>
          <w:spacing w:val="-4"/>
        </w:rPr>
        <w:t> </w:t>
      </w:r>
      <w:r>
        <w:rPr/>
        <w:t>these</w:t>
      </w:r>
      <w:r>
        <w:rPr>
          <w:spacing w:val="-6"/>
        </w:rPr>
        <w:t> </w:t>
      </w:r>
      <w:r>
        <w:rPr/>
        <w:t>may</w:t>
      </w:r>
      <w:r>
        <w:rPr>
          <w:spacing w:val="-3"/>
        </w:rPr>
        <w:t> </w:t>
      </w:r>
      <w:r>
        <w:rPr/>
        <w:t>be</w:t>
      </w:r>
      <w:r>
        <w:rPr>
          <w:spacing w:val="-3"/>
        </w:rPr>
        <w:t> </w:t>
      </w:r>
      <w:r>
        <w:rPr/>
        <w:t>found</w:t>
      </w:r>
      <w:r>
        <w:rPr>
          <w:spacing w:val="-5"/>
        </w:rPr>
        <w:t> </w:t>
      </w:r>
      <w:r>
        <w:rPr/>
        <w:t>on</w:t>
      </w:r>
      <w:r>
        <w:rPr>
          <w:spacing w:val="-5"/>
        </w:rPr>
        <w:t> </w:t>
      </w:r>
      <w:r>
        <w:rPr/>
        <w:t>the</w:t>
      </w:r>
      <w:r>
        <w:rPr>
          <w:spacing w:val="-6"/>
        </w:rPr>
        <w:t> </w:t>
      </w:r>
      <w:r>
        <w:rPr/>
        <w:t>Forest Service national website at </w:t>
      </w:r>
      <w:hyperlink r:id="rId41">
        <w:r>
          <w:rPr>
            <w:color w:val="0000FF"/>
            <w:u w:val="single" w:color="0000FF"/>
          </w:rPr>
          <w:t>http://www.fs.fed.us/biology/planning/index.html</w:t>
        </w:r>
      </w:hyperlink>
      <w:r>
        <w:rPr>
          <w:u w:val="none"/>
        </w:rPr>
        <w:t>.</w:t>
      </w:r>
    </w:p>
    <w:p>
      <w:pPr>
        <w:pStyle w:val="BodyText"/>
        <w:spacing w:line="232" w:lineRule="auto" w:before="197"/>
        <w:ind w:left="359" w:right="1516"/>
      </w:pPr>
      <w:r>
        <w:rPr/>
        <w:t>Overarching national policies, such as the Healthy Forests Initiative or the National Fire Plan, also</w:t>
      </w:r>
      <w:r>
        <w:rPr>
          <w:spacing w:val="-4"/>
        </w:rPr>
        <w:t> </w:t>
      </w:r>
      <w:r>
        <w:rPr/>
        <w:t>guide</w:t>
      </w:r>
      <w:r>
        <w:rPr>
          <w:spacing w:val="-4"/>
        </w:rPr>
        <w:t> </w:t>
      </w:r>
      <w:r>
        <w:rPr/>
        <w:t>development</w:t>
      </w:r>
      <w:r>
        <w:rPr>
          <w:spacing w:val="-7"/>
        </w:rPr>
        <w:t> </w:t>
      </w:r>
      <w:r>
        <w:rPr/>
        <w:t>of</w:t>
      </w:r>
      <w:r>
        <w:rPr>
          <w:spacing w:val="-10"/>
        </w:rPr>
        <w:t> </w:t>
      </w:r>
      <w:r>
        <w:rPr/>
        <w:t>forest</w:t>
      </w:r>
      <w:r>
        <w:rPr>
          <w:spacing w:val="-4"/>
        </w:rPr>
        <w:t> </w:t>
      </w:r>
      <w:r>
        <w:rPr/>
        <w:t>plans</w:t>
      </w:r>
      <w:r>
        <w:rPr>
          <w:spacing w:val="-5"/>
        </w:rPr>
        <w:t> </w:t>
      </w:r>
      <w:r>
        <w:rPr/>
        <w:t>and</w:t>
      </w:r>
      <w:r>
        <w:rPr>
          <w:spacing w:val="-8"/>
        </w:rPr>
        <w:t> </w:t>
      </w:r>
      <w:r>
        <w:rPr/>
        <w:t>management</w:t>
      </w:r>
      <w:r>
        <w:rPr>
          <w:spacing w:val="-4"/>
        </w:rPr>
        <w:t> </w:t>
      </w:r>
      <w:r>
        <w:rPr/>
        <w:t>activities.</w:t>
      </w:r>
      <w:r>
        <w:rPr>
          <w:spacing w:val="-5"/>
        </w:rPr>
        <w:t> </w:t>
      </w:r>
      <w:r>
        <w:rPr/>
        <w:t>These</w:t>
      </w:r>
      <w:r>
        <w:rPr>
          <w:spacing w:val="-4"/>
        </w:rPr>
        <w:t> </w:t>
      </w:r>
      <w:r>
        <w:rPr/>
        <w:t>laws,</w:t>
      </w:r>
      <w:r>
        <w:rPr>
          <w:spacing w:val="-7"/>
        </w:rPr>
        <w:t> </w:t>
      </w:r>
      <w:r>
        <w:rPr/>
        <w:t>regulations,</w:t>
      </w:r>
      <w:r>
        <w:rPr>
          <w:spacing w:val="-5"/>
        </w:rPr>
        <w:t> </w:t>
      </w:r>
      <w:r>
        <w:rPr/>
        <w:t>and policies are not repeated in the Forest Plan, but may be found on the USDA Forest Service website at </w:t>
      </w:r>
      <w:hyperlink r:id="rId42">
        <w:r>
          <w:rPr>
            <w:color w:val="0000FF"/>
            <w:u w:val="single" w:color="0000FF"/>
          </w:rPr>
          <w:t>http://www.fs.fed.us/.</w:t>
        </w:r>
      </w:hyperlink>
    </w:p>
    <w:p>
      <w:pPr>
        <w:pStyle w:val="Heading4"/>
        <w:spacing w:before="232"/>
      </w:pPr>
      <w:bookmarkStart w:name="Watershed Analysis" w:id="63"/>
      <w:bookmarkEnd w:id="63"/>
      <w:r>
        <w:rPr/>
      </w:r>
      <w:bookmarkStart w:name="_bookmark34" w:id="64"/>
      <w:bookmarkEnd w:id="64"/>
      <w:r>
        <w:rPr/>
      </w:r>
      <w:r>
        <w:rPr/>
        <w:t>Watershed</w:t>
      </w:r>
      <w:r>
        <w:rPr>
          <w:spacing w:val="-3"/>
        </w:rPr>
        <w:t> </w:t>
      </w:r>
      <w:r>
        <w:rPr>
          <w:spacing w:val="-2"/>
        </w:rPr>
        <w:t>Analysis</w:t>
      </w:r>
    </w:p>
    <w:p>
      <w:pPr>
        <w:pStyle w:val="BodyText"/>
        <w:spacing w:line="232" w:lineRule="auto" w:before="66"/>
        <w:ind w:left="359" w:right="1567"/>
      </w:pPr>
      <w:r>
        <w:rPr/>
        <w:t>Watershed</w:t>
      </w:r>
      <w:r>
        <w:rPr>
          <w:spacing w:val="-8"/>
        </w:rPr>
        <w:t> </w:t>
      </w:r>
      <w:r>
        <w:rPr/>
        <w:t>analysis</w:t>
      </w:r>
      <w:r>
        <w:rPr>
          <w:spacing w:val="-7"/>
        </w:rPr>
        <w:t> </w:t>
      </w:r>
      <w:r>
        <w:rPr/>
        <w:t>is</w:t>
      </w:r>
      <w:r>
        <w:rPr>
          <w:spacing w:val="-9"/>
        </w:rPr>
        <w:t> </w:t>
      </w:r>
      <w:r>
        <w:rPr/>
        <w:t>intended</w:t>
      </w:r>
      <w:r>
        <w:rPr>
          <w:spacing w:val="-8"/>
        </w:rPr>
        <w:t> </w:t>
      </w:r>
      <w:r>
        <w:rPr/>
        <w:t>to</w:t>
      </w:r>
      <w:r>
        <w:rPr>
          <w:spacing w:val="-7"/>
        </w:rPr>
        <w:t> </w:t>
      </w:r>
      <w:r>
        <w:rPr/>
        <w:t>guide</w:t>
      </w:r>
      <w:r>
        <w:rPr>
          <w:spacing w:val="-9"/>
        </w:rPr>
        <w:t> </w:t>
      </w:r>
      <w:r>
        <w:rPr/>
        <w:t>plan</w:t>
      </w:r>
      <w:r>
        <w:rPr>
          <w:spacing w:val="-8"/>
        </w:rPr>
        <w:t> </w:t>
      </w:r>
      <w:r>
        <w:rPr/>
        <w:t>implementation</w:t>
      </w:r>
      <w:r>
        <w:rPr>
          <w:spacing w:val="-8"/>
        </w:rPr>
        <w:t> </w:t>
      </w:r>
      <w:r>
        <w:rPr/>
        <w:t>by</w:t>
      </w:r>
      <w:r>
        <w:rPr>
          <w:spacing w:val="-7"/>
        </w:rPr>
        <w:t> </w:t>
      </w:r>
      <w:r>
        <w:rPr/>
        <w:t>providing</w:t>
      </w:r>
      <w:r>
        <w:rPr>
          <w:spacing w:val="-8"/>
        </w:rPr>
        <w:t> </w:t>
      </w:r>
      <w:r>
        <w:rPr/>
        <w:t>decision-makers</w:t>
      </w:r>
      <w:r>
        <w:rPr>
          <w:spacing w:val="-7"/>
        </w:rPr>
        <w:t> </w:t>
      </w:r>
      <w:r>
        <w:rPr/>
        <w:t>and others: (1) information to identify activities that would maintain watershed and aquatic and riparian</w:t>
      </w:r>
      <w:r>
        <w:rPr>
          <w:spacing w:val="-1"/>
        </w:rPr>
        <w:t> </w:t>
      </w:r>
      <w:r>
        <w:rPr/>
        <w:t>ecological conditions or</w:t>
      </w:r>
      <w:r>
        <w:rPr>
          <w:spacing w:val="-2"/>
        </w:rPr>
        <w:t> </w:t>
      </w:r>
      <w:r>
        <w:rPr/>
        <w:t>move them</w:t>
      </w:r>
      <w:r>
        <w:rPr>
          <w:spacing w:val="-1"/>
        </w:rPr>
        <w:t> </w:t>
      </w:r>
      <w:r>
        <w:rPr/>
        <w:t>toward</w:t>
      </w:r>
      <w:r>
        <w:rPr>
          <w:spacing w:val="-1"/>
        </w:rPr>
        <w:t> </w:t>
      </w:r>
      <w:r>
        <w:rPr/>
        <w:t>desired</w:t>
      </w:r>
      <w:r>
        <w:rPr>
          <w:spacing w:val="-1"/>
        </w:rPr>
        <w:t> </w:t>
      </w:r>
      <w:r>
        <w:rPr/>
        <w:t>conditions; and</w:t>
      </w:r>
      <w:r>
        <w:rPr>
          <w:spacing w:val="-1"/>
        </w:rPr>
        <w:t> </w:t>
      </w:r>
      <w:r>
        <w:rPr/>
        <w:t>(2)</w:t>
      </w:r>
      <w:r>
        <w:rPr>
          <w:spacing w:val="-2"/>
        </w:rPr>
        <w:t> </w:t>
      </w:r>
      <w:r>
        <w:rPr/>
        <w:t>the context for developing projects and evaluating their consistency with plan direction (i.e., desired conditions, objectives, standards, and guidelines associated with watershed and aquatic </w:t>
      </w:r>
      <w:r>
        <w:rPr>
          <w:spacing w:val="-2"/>
        </w:rPr>
        <w:t>resources).</w:t>
      </w:r>
    </w:p>
    <w:p>
      <w:pPr>
        <w:pStyle w:val="BodyText"/>
        <w:spacing w:line="232" w:lineRule="auto" w:before="196"/>
        <w:ind w:left="359" w:right="1621"/>
      </w:pPr>
      <w:r>
        <w:rPr/>
        <w:t>Watershed analysis is also intended to enable protection and recovery of listed species and their habitats and to facilitate efficient project-level conferencing and consultation under section</w:t>
      </w:r>
      <w:r>
        <w:rPr>
          <w:spacing w:val="-2"/>
        </w:rPr>
        <w:t> </w:t>
      </w:r>
      <w:r>
        <w:rPr/>
        <w:t>7</w:t>
      </w:r>
      <w:r>
        <w:rPr>
          <w:spacing w:val="-2"/>
        </w:rPr>
        <w:t> </w:t>
      </w:r>
      <w:r>
        <w:rPr/>
        <w:t>of</w:t>
      </w:r>
      <w:r>
        <w:rPr>
          <w:spacing w:val="-3"/>
        </w:rPr>
        <w:t> </w:t>
      </w:r>
      <w:r>
        <w:rPr/>
        <w:t>the</w:t>
      </w:r>
      <w:r>
        <w:rPr>
          <w:spacing w:val="-2"/>
        </w:rPr>
        <w:t> </w:t>
      </w:r>
      <w:r>
        <w:rPr/>
        <w:t>Endangered</w:t>
      </w:r>
      <w:r>
        <w:rPr>
          <w:spacing w:val="-2"/>
        </w:rPr>
        <w:t> </w:t>
      </w:r>
      <w:r>
        <w:rPr/>
        <w:t>Species</w:t>
      </w:r>
      <w:r>
        <w:rPr>
          <w:spacing w:val="-1"/>
        </w:rPr>
        <w:t> </w:t>
      </w:r>
      <w:r>
        <w:rPr/>
        <w:t>Act.</w:t>
      </w:r>
      <w:r>
        <w:rPr>
          <w:spacing w:val="-1"/>
        </w:rPr>
        <w:t> </w:t>
      </w:r>
      <w:r>
        <w:rPr/>
        <w:t>Similarly,</w:t>
      </w:r>
      <w:r>
        <w:rPr>
          <w:spacing w:val="-1"/>
        </w:rPr>
        <w:t> </w:t>
      </w:r>
      <w:r>
        <w:rPr/>
        <w:t>it</w:t>
      </w:r>
      <w:r>
        <w:rPr>
          <w:spacing w:val="-3"/>
        </w:rPr>
        <w:t> </w:t>
      </w:r>
      <w:r>
        <w:rPr/>
        <w:t>should</w:t>
      </w:r>
      <w:r>
        <w:rPr>
          <w:spacing w:val="-2"/>
        </w:rPr>
        <w:t> </w:t>
      </w:r>
      <w:r>
        <w:rPr/>
        <w:t>enable protection</w:t>
      </w:r>
      <w:r>
        <w:rPr>
          <w:spacing w:val="-2"/>
        </w:rPr>
        <w:t> </w:t>
      </w:r>
      <w:r>
        <w:rPr/>
        <w:t>and</w:t>
      </w:r>
      <w:r>
        <w:rPr>
          <w:spacing w:val="-2"/>
        </w:rPr>
        <w:t> </w:t>
      </w:r>
      <w:r>
        <w:rPr/>
        <w:t>restoration of</w:t>
      </w:r>
      <w:r>
        <w:rPr>
          <w:spacing w:val="-4"/>
        </w:rPr>
        <w:t> </w:t>
      </w:r>
      <w:r>
        <w:rPr/>
        <w:t>water</w:t>
      </w:r>
      <w:r>
        <w:rPr>
          <w:spacing w:val="-4"/>
        </w:rPr>
        <w:t> </w:t>
      </w:r>
      <w:r>
        <w:rPr/>
        <w:t>quality</w:t>
      </w:r>
      <w:r>
        <w:rPr>
          <w:spacing w:val="-3"/>
        </w:rPr>
        <w:t> </w:t>
      </w:r>
      <w:r>
        <w:rPr/>
        <w:t>and</w:t>
      </w:r>
      <w:r>
        <w:rPr>
          <w:spacing w:val="-5"/>
        </w:rPr>
        <w:t> </w:t>
      </w:r>
      <w:r>
        <w:rPr/>
        <w:t>the</w:t>
      </w:r>
      <w:r>
        <w:rPr>
          <w:spacing w:val="-3"/>
        </w:rPr>
        <w:t> </w:t>
      </w:r>
      <w:r>
        <w:rPr/>
        <w:t>full</w:t>
      </w:r>
      <w:r>
        <w:rPr>
          <w:spacing w:val="-4"/>
        </w:rPr>
        <w:t> </w:t>
      </w:r>
      <w:r>
        <w:rPr/>
        <w:t>range</w:t>
      </w:r>
      <w:r>
        <w:rPr>
          <w:spacing w:val="-3"/>
        </w:rPr>
        <w:t> </w:t>
      </w:r>
      <w:r>
        <w:rPr/>
        <w:t>of</w:t>
      </w:r>
      <w:r>
        <w:rPr>
          <w:spacing w:val="-4"/>
        </w:rPr>
        <w:t> </w:t>
      </w:r>
      <w:r>
        <w:rPr/>
        <w:t>beneficial</w:t>
      </w:r>
      <w:r>
        <w:rPr>
          <w:spacing w:val="-4"/>
        </w:rPr>
        <w:t> </w:t>
      </w:r>
      <w:r>
        <w:rPr/>
        <w:t>uses</w:t>
      </w:r>
      <w:r>
        <w:rPr>
          <w:spacing w:val="-6"/>
        </w:rPr>
        <w:t> </w:t>
      </w:r>
      <w:r>
        <w:rPr/>
        <w:t>of</w:t>
      </w:r>
      <w:r>
        <w:rPr>
          <w:spacing w:val="-6"/>
        </w:rPr>
        <w:t> </w:t>
      </w:r>
      <w:r>
        <w:rPr/>
        <w:t>water</w:t>
      </w:r>
      <w:r>
        <w:rPr>
          <w:spacing w:val="-6"/>
        </w:rPr>
        <w:t> </w:t>
      </w:r>
      <w:r>
        <w:rPr/>
        <w:t>identified</w:t>
      </w:r>
      <w:r>
        <w:rPr>
          <w:spacing w:val="-5"/>
        </w:rPr>
        <w:t> </w:t>
      </w:r>
      <w:r>
        <w:rPr/>
        <w:t>under</w:t>
      </w:r>
      <w:r>
        <w:rPr>
          <w:spacing w:val="-6"/>
        </w:rPr>
        <w:t> </w:t>
      </w:r>
      <w:r>
        <w:rPr/>
        <w:t>the</w:t>
      </w:r>
      <w:r>
        <w:rPr>
          <w:spacing w:val="-5"/>
        </w:rPr>
        <w:t> </w:t>
      </w:r>
      <w:r>
        <w:rPr/>
        <w:t>Clean</w:t>
      </w:r>
      <w:r>
        <w:rPr>
          <w:spacing w:val="-5"/>
        </w:rPr>
        <w:t> </w:t>
      </w:r>
      <w:r>
        <w:rPr/>
        <w:t>Water </w:t>
      </w:r>
      <w:r>
        <w:rPr>
          <w:spacing w:val="-4"/>
        </w:rPr>
        <w:t>Act.</w:t>
      </w:r>
    </w:p>
    <w:p>
      <w:pPr>
        <w:pStyle w:val="Heading3"/>
        <w:spacing w:before="234"/>
        <w:ind w:left="360"/>
      </w:pPr>
      <w:bookmarkStart w:name="Forest Direction" w:id="65"/>
      <w:bookmarkEnd w:id="65"/>
      <w:r>
        <w:rPr>
          <w:b w:val="0"/>
        </w:rPr>
      </w:r>
      <w:bookmarkStart w:name="_bookmark35" w:id="66"/>
      <w:bookmarkEnd w:id="66"/>
      <w:r>
        <w:rPr>
          <w:b w:val="0"/>
        </w:rPr>
      </w:r>
      <w:r>
        <w:rPr>
          <w:smallCaps/>
          <w:color w:val="475824"/>
        </w:rPr>
        <w:t>Forest</w:t>
      </w:r>
      <w:r>
        <w:rPr>
          <w:smallCaps/>
          <w:color w:val="475824"/>
          <w:spacing w:val="-6"/>
        </w:rPr>
        <w:t> </w:t>
      </w:r>
      <w:r>
        <w:rPr>
          <w:smallCaps/>
          <w:color w:val="475824"/>
          <w:spacing w:val="-2"/>
        </w:rPr>
        <w:t>Direction</w:t>
      </w:r>
    </w:p>
    <w:p>
      <w:pPr>
        <w:pStyle w:val="BodyText"/>
        <w:spacing w:line="232" w:lineRule="auto" w:before="63"/>
        <w:ind w:left="360" w:right="1445"/>
      </w:pPr>
      <w:r>
        <w:rPr/>
        <w:t>A forest may have a subordinate plan, such as a wilderness management plan, recreation management</w:t>
      </w:r>
      <w:r>
        <w:rPr>
          <w:spacing w:val="-4"/>
        </w:rPr>
        <w:t> </w:t>
      </w:r>
      <w:r>
        <w:rPr/>
        <w:t>plan,</w:t>
      </w:r>
      <w:r>
        <w:rPr>
          <w:spacing w:val="-7"/>
        </w:rPr>
        <w:t> </w:t>
      </w:r>
      <w:r>
        <w:rPr/>
        <w:t>which</w:t>
      </w:r>
      <w:r>
        <w:rPr>
          <w:spacing w:val="-6"/>
        </w:rPr>
        <w:t> </w:t>
      </w:r>
      <w:r>
        <w:rPr/>
        <w:t>serves</w:t>
      </w:r>
      <w:r>
        <w:rPr>
          <w:spacing w:val="-5"/>
        </w:rPr>
        <w:t> </w:t>
      </w:r>
      <w:r>
        <w:rPr/>
        <w:t>to</w:t>
      </w:r>
      <w:r>
        <w:rPr>
          <w:spacing w:val="-4"/>
        </w:rPr>
        <w:t> </w:t>
      </w:r>
      <w:r>
        <w:rPr/>
        <w:t>implement</w:t>
      </w:r>
      <w:r>
        <w:rPr>
          <w:spacing w:val="-7"/>
        </w:rPr>
        <w:t> </w:t>
      </w:r>
      <w:r>
        <w:rPr/>
        <w:t>the</w:t>
      </w:r>
      <w:r>
        <w:rPr>
          <w:spacing w:val="-4"/>
        </w:rPr>
        <w:t> </w:t>
      </w:r>
      <w:r>
        <w:rPr/>
        <w:t>forest</w:t>
      </w:r>
      <w:r>
        <w:rPr>
          <w:spacing w:val="-4"/>
        </w:rPr>
        <w:t> </w:t>
      </w:r>
      <w:r>
        <w:rPr/>
        <w:t>plan.</w:t>
      </w:r>
      <w:r>
        <w:rPr>
          <w:spacing w:val="-5"/>
        </w:rPr>
        <w:t> </w:t>
      </w:r>
      <w:r>
        <w:rPr/>
        <w:t>These</w:t>
      </w:r>
      <w:r>
        <w:rPr>
          <w:spacing w:val="-4"/>
        </w:rPr>
        <w:t> </w:t>
      </w:r>
      <w:r>
        <w:rPr/>
        <w:t>plans</w:t>
      </w:r>
      <w:r>
        <w:rPr>
          <w:spacing w:val="-7"/>
        </w:rPr>
        <w:t> </w:t>
      </w:r>
      <w:r>
        <w:rPr/>
        <w:t>are</w:t>
      </w:r>
      <w:r>
        <w:rPr>
          <w:spacing w:val="-4"/>
        </w:rPr>
        <w:t> </w:t>
      </w:r>
      <w:r>
        <w:rPr/>
        <w:t>consistent</w:t>
      </w:r>
      <w:r>
        <w:rPr>
          <w:spacing w:val="-7"/>
        </w:rPr>
        <w:t> </w:t>
      </w:r>
      <w:r>
        <w:rPr/>
        <w:t>with, the forest plan.</w:t>
      </w:r>
    </w:p>
    <w:p>
      <w:pPr>
        <w:pStyle w:val="Heading3"/>
        <w:spacing w:before="237"/>
        <w:ind w:left="360"/>
      </w:pPr>
      <w:bookmarkStart w:name="Project-level Direction" w:id="67"/>
      <w:bookmarkEnd w:id="67"/>
      <w:r>
        <w:rPr>
          <w:b w:val="0"/>
        </w:rPr>
      </w:r>
      <w:bookmarkStart w:name="_bookmark36" w:id="68"/>
      <w:bookmarkEnd w:id="68"/>
      <w:r>
        <w:rPr>
          <w:b w:val="0"/>
        </w:rPr>
      </w:r>
      <w:r>
        <w:rPr>
          <w:smallCaps/>
          <w:color w:val="475824"/>
        </w:rPr>
        <w:t>Project-level</w:t>
      </w:r>
      <w:r>
        <w:rPr>
          <w:smallCaps/>
          <w:color w:val="475824"/>
          <w:spacing w:val="-13"/>
        </w:rPr>
        <w:t> </w:t>
      </w:r>
      <w:r>
        <w:rPr>
          <w:smallCaps/>
          <w:color w:val="475824"/>
          <w:spacing w:val="-2"/>
        </w:rPr>
        <w:t>Direction</w:t>
      </w:r>
    </w:p>
    <w:p>
      <w:pPr>
        <w:pStyle w:val="BodyText"/>
        <w:spacing w:line="232" w:lineRule="auto" w:before="63"/>
        <w:ind w:left="359" w:right="1516"/>
      </w:pPr>
      <w:r>
        <w:rPr/>
        <w:t>Project-level plans are on-the-ground projects and activities designed to accomplish management objectives and move the planning area toward desired conditions. Most site- specific projects and activities are designed to meet the objectives of the land management</w:t>
      </w:r>
      <w:r>
        <w:rPr/>
        <w:t> plan while reflecting current local issues and needs. Projects and activities are subject to the National Environmental Policy Act and other applicable laws and regulations. The same situation</w:t>
      </w:r>
      <w:r>
        <w:rPr>
          <w:spacing w:val="-7"/>
        </w:rPr>
        <w:t> </w:t>
      </w:r>
      <w:r>
        <w:rPr/>
        <w:t>applies</w:t>
      </w:r>
      <w:r>
        <w:rPr>
          <w:spacing w:val="-7"/>
        </w:rPr>
        <w:t> </w:t>
      </w:r>
      <w:r>
        <w:rPr/>
        <w:t>to</w:t>
      </w:r>
      <w:r>
        <w:rPr>
          <w:spacing w:val="-7"/>
        </w:rPr>
        <w:t> </w:t>
      </w:r>
      <w:r>
        <w:rPr/>
        <w:t>executive</w:t>
      </w:r>
      <w:r>
        <w:rPr>
          <w:spacing w:val="-7"/>
        </w:rPr>
        <w:t> </w:t>
      </w:r>
      <w:r>
        <w:rPr/>
        <w:t>orders</w:t>
      </w:r>
      <w:r>
        <w:rPr>
          <w:spacing w:val="-6"/>
        </w:rPr>
        <w:t> </w:t>
      </w:r>
      <w:r>
        <w:rPr/>
        <w:t>and</w:t>
      </w:r>
      <w:r>
        <w:rPr>
          <w:spacing w:val="-8"/>
        </w:rPr>
        <w:t> </w:t>
      </w:r>
      <w:r>
        <w:rPr/>
        <w:t>to</w:t>
      </w:r>
      <w:r>
        <w:rPr>
          <w:spacing w:val="-7"/>
        </w:rPr>
        <w:t> </w:t>
      </w:r>
      <w:r>
        <w:rPr/>
        <w:t>agency</w:t>
      </w:r>
      <w:r>
        <w:rPr>
          <w:spacing w:val="-5"/>
        </w:rPr>
        <w:t> </w:t>
      </w:r>
      <w:r>
        <w:rPr/>
        <w:t>policy,</w:t>
      </w:r>
      <w:r>
        <w:rPr>
          <w:spacing w:val="-6"/>
        </w:rPr>
        <w:t> </w:t>
      </w:r>
      <w:r>
        <w:rPr/>
        <w:t>as</w:t>
      </w:r>
      <w:r>
        <w:rPr>
          <w:spacing w:val="-7"/>
        </w:rPr>
        <w:t> </w:t>
      </w:r>
      <w:r>
        <w:rPr/>
        <w:t>expressed</w:t>
      </w:r>
      <w:r>
        <w:rPr>
          <w:spacing w:val="-7"/>
        </w:rPr>
        <w:t> </w:t>
      </w:r>
      <w:r>
        <w:rPr/>
        <w:t>in</w:t>
      </w:r>
      <w:r>
        <w:rPr>
          <w:spacing w:val="-8"/>
        </w:rPr>
        <w:t> </w:t>
      </w:r>
      <w:r>
        <w:rPr/>
        <w:t>Forest</w:t>
      </w:r>
      <w:r>
        <w:rPr>
          <w:spacing w:val="-9"/>
        </w:rPr>
        <w:t> </w:t>
      </w:r>
      <w:r>
        <w:rPr/>
        <w:t>Service</w:t>
      </w:r>
      <w:r>
        <w:rPr>
          <w:spacing w:val="-7"/>
        </w:rPr>
        <w:t> </w:t>
      </w:r>
      <w:r>
        <w:rPr/>
        <w:t>Manual and Handbook directives. Wherever the laws, regulations, or policies have more stringent requirements than forest plan direction, the Forest must and will comply with those requirements. The level of required environmental analysis and planning to carry out a project is dictated</w:t>
      </w:r>
      <w:r>
        <w:rPr>
          <w:spacing w:val="-1"/>
        </w:rPr>
        <w:t> </w:t>
      </w:r>
      <w:r>
        <w:rPr/>
        <w:t>by the scope and complexity of the project, public issues, and</w:t>
      </w:r>
      <w:r>
        <w:rPr>
          <w:spacing w:val="-1"/>
        </w:rPr>
        <w:t> </w:t>
      </w:r>
      <w:r>
        <w:rPr/>
        <w:t>the project’s potential effects on the human environment.</w:t>
      </w:r>
    </w:p>
    <w:p>
      <w:pPr>
        <w:pStyle w:val="BodyText"/>
        <w:spacing w:after="0" w:line="232" w:lineRule="auto"/>
        <w:sectPr>
          <w:pgSz w:w="12240" w:h="15840"/>
          <w:pgMar w:header="725" w:footer="891" w:top="960" w:bottom="1080" w:left="1080" w:right="720"/>
        </w:sectPr>
      </w:pPr>
    </w:p>
    <w:p>
      <w:pPr>
        <w:pStyle w:val="BodyText"/>
        <w:spacing w:before="157"/>
        <w:rPr>
          <w:sz w:val="26"/>
        </w:rPr>
      </w:pPr>
    </w:p>
    <w:p>
      <w:pPr>
        <w:pStyle w:val="Heading2"/>
        <w:ind w:left="1151"/>
      </w:pPr>
      <w:bookmarkStart w:name="Decisions Made in the Previous Forest Pl" w:id="69"/>
      <w:bookmarkEnd w:id="69"/>
      <w:r>
        <w:rPr/>
      </w:r>
      <w:bookmarkStart w:name="_bookmark37" w:id="70"/>
      <w:bookmarkEnd w:id="70"/>
      <w:r>
        <w:rPr/>
      </w:r>
      <w:r>
        <w:rPr>
          <w:smallCaps/>
          <w:color w:val="475824"/>
        </w:rPr>
        <w:t>Decisions</w:t>
      </w:r>
      <w:r>
        <w:rPr>
          <w:smallCaps/>
          <w:color w:val="475824"/>
          <w:spacing w:val="-10"/>
        </w:rPr>
        <w:t> </w:t>
      </w:r>
      <w:r>
        <w:rPr>
          <w:smallCaps/>
          <w:color w:val="475824"/>
        </w:rPr>
        <w:t>Made</w:t>
      </w:r>
      <w:r>
        <w:rPr>
          <w:smallCaps/>
          <w:color w:val="475824"/>
          <w:spacing w:val="-6"/>
        </w:rPr>
        <w:t> </w:t>
      </w:r>
      <w:r>
        <w:rPr>
          <w:smallCaps/>
          <w:color w:val="475824"/>
        </w:rPr>
        <w:t>in</w:t>
      </w:r>
      <w:r>
        <w:rPr>
          <w:smallCaps/>
          <w:color w:val="475824"/>
          <w:spacing w:val="-14"/>
        </w:rPr>
        <w:t> </w:t>
      </w:r>
      <w:r>
        <w:rPr>
          <w:smallCaps/>
          <w:color w:val="475824"/>
        </w:rPr>
        <w:t>the</w:t>
      </w:r>
      <w:r>
        <w:rPr>
          <w:smallCaps/>
          <w:color w:val="475824"/>
          <w:spacing w:val="-9"/>
        </w:rPr>
        <w:t> </w:t>
      </w:r>
      <w:r>
        <w:rPr>
          <w:smallCaps/>
          <w:color w:val="475824"/>
        </w:rPr>
        <w:t>Previous</w:t>
      </w:r>
      <w:r>
        <w:rPr>
          <w:smallCaps/>
          <w:color w:val="475824"/>
          <w:spacing w:val="-8"/>
        </w:rPr>
        <w:t> </w:t>
      </w:r>
      <w:r>
        <w:rPr>
          <w:smallCaps/>
          <w:color w:val="475824"/>
        </w:rPr>
        <w:t>Forest</w:t>
      </w:r>
      <w:r>
        <w:rPr>
          <w:smallCaps/>
          <w:color w:val="475824"/>
          <w:spacing w:val="-11"/>
        </w:rPr>
        <w:t> </w:t>
      </w:r>
      <w:r>
        <w:rPr>
          <w:smallCaps/>
          <w:color w:val="475824"/>
          <w:spacing w:val="-4"/>
        </w:rPr>
        <w:t>Plan</w:t>
      </w:r>
    </w:p>
    <w:p>
      <w:pPr>
        <w:pStyle w:val="BodyText"/>
        <w:spacing w:line="232" w:lineRule="auto" w:before="65"/>
        <w:ind w:left="1151" w:right="801"/>
      </w:pPr>
      <w:r>
        <w:rPr/>
        <w:t>Decisions</w:t>
      </w:r>
      <w:r>
        <w:rPr>
          <w:spacing w:val="-2"/>
        </w:rPr>
        <w:t> </w:t>
      </w:r>
      <w:r>
        <w:rPr/>
        <w:t>made</w:t>
      </w:r>
      <w:r>
        <w:rPr>
          <w:spacing w:val="-2"/>
        </w:rPr>
        <w:t> </w:t>
      </w:r>
      <w:r>
        <w:rPr/>
        <w:t>in</w:t>
      </w:r>
      <w:r>
        <w:rPr>
          <w:spacing w:val="-1"/>
        </w:rPr>
        <w:t> </w:t>
      </w:r>
      <w:r>
        <w:rPr/>
        <w:t>the previous Forest</w:t>
      </w:r>
      <w:r>
        <w:rPr>
          <w:spacing w:val="-2"/>
        </w:rPr>
        <w:t> </w:t>
      </w:r>
      <w:r>
        <w:rPr/>
        <w:t>Plan, such</w:t>
      </w:r>
      <w:r>
        <w:rPr>
          <w:spacing w:val="-1"/>
        </w:rPr>
        <w:t> </w:t>
      </w:r>
      <w:r>
        <w:rPr/>
        <w:t>as resource</w:t>
      </w:r>
      <w:r>
        <w:rPr>
          <w:spacing w:val="-2"/>
        </w:rPr>
        <w:t> </w:t>
      </w:r>
      <w:r>
        <w:rPr/>
        <w:t>management standards, will no longer</w:t>
      </w:r>
      <w:r>
        <w:rPr>
          <w:spacing w:val="-4"/>
        </w:rPr>
        <w:t> </w:t>
      </w:r>
      <w:r>
        <w:rPr/>
        <w:t>be</w:t>
      </w:r>
      <w:r>
        <w:rPr>
          <w:spacing w:val="-3"/>
        </w:rPr>
        <w:t> </w:t>
      </w:r>
      <w:r>
        <w:rPr/>
        <w:t>binding</w:t>
      </w:r>
      <w:r>
        <w:rPr>
          <w:spacing w:val="-5"/>
        </w:rPr>
        <w:t> </w:t>
      </w:r>
      <w:r>
        <w:rPr/>
        <w:t>unless</w:t>
      </w:r>
      <w:r>
        <w:rPr>
          <w:spacing w:val="-6"/>
        </w:rPr>
        <w:t> </w:t>
      </w:r>
      <w:r>
        <w:rPr/>
        <w:t>they</w:t>
      </w:r>
      <w:r>
        <w:rPr>
          <w:spacing w:val="-3"/>
        </w:rPr>
        <w:t> </w:t>
      </w:r>
      <w:r>
        <w:rPr/>
        <w:t>are</w:t>
      </w:r>
      <w:r>
        <w:rPr>
          <w:spacing w:val="-8"/>
        </w:rPr>
        <w:t> </w:t>
      </w:r>
      <w:r>
        <w:rPr/>
        <w:t>explicitly</w:t>
      </w:r>
      <w:r>
        <w:rPr>
          <w:spacing w:val="-3"/>
        </w:rPr>
        <w:t> </w:t>
      </w:r>
      <w:r>
        <w:rPr/>
        <w:t>carried</w:t>
      </w:r>
      <w:r>
        <w:rPr>
          <w:spacing w:val="-5"/>
        </w:rPr>
        <w:t> </w:t>
      </w:r>
      <w:r>
        <w:rPr/>
        <w:t>forward</w:t>
      </w:r>
      <w:r>
        <w:rPr>
          <w:spacing w:val="-5"/>
        </w:rPr>
        <w:t> </w:t>
      </w:r>
      <w:r>
        <w:rPr/>
        <w:t>by</w:t>
      </w:r>
      <w:r>
        <w:rPr>
          <w:spacing w:val="-3"/>
        </w:rPr>
        <w:t> </w:t>
      </w:r>
      <w:r>
        <w:rPr/>
        <w:t>inclusion</w:t>
      </w:r>
      <w:r>
        <w:rPr>
          <w:spacing w:val="-5"/>
        </w:rPr>
        <w:t> </w:t>
      </w:r>
      <w:r>
        <w:rPr/>
        <w:t>in</w:t>
      </w:r>
      <w:r>
        <w:rPr>
          <w:spacing w:val="-5"/>
        </w:rPr>
        <w:t> </w:t>
      </w:r>
      <w:r>
        <w:rPr/>
        <w:t>this</w:t>
      </w:r>
      <w:r>
        <w:rPr>
          <w:spacing w:val="-4"/>
        </w:rPr>
        <w:t> </w:t>
      </w:r>
      <w:r>
        <w:rPr/>
        <w:t>plan.</w:t>
      </w:r>
      <w:r>
        <w:rPr>
          <w:spacing w:val="-4"/>
        </w:rPr>
        <w:t> </w:t>
      </w:r>
      <w:r>
        <w:rPr/>
        <w:t>Note</w:t>
      </w:r>
      <w:r>
        <w:rPr>
          <w:spacing w:val="-6"/>
        </w:rPr>
        <w:t> </w:t>
      </w:r>
      <w:r>
        <w:rPr/>
        <w:t>that laws, regulations, and directives are not repeated or summarized in this Plan (unlike the previous Forest Plan), but are still in force.</w:t>
      </w:r>
    </w:p>
    <w:p>
      <w:pPr>
        <w:pStyle w:val="Heading2"/>
        <w:spacing w:before="234"/>
        <w:ind w:left="1151"/>
      </w:pPr>
      <w:bookmarkStart w:name="Planning Record" w:id="71"/>
      <w:bookmarkEnd w:id="71"/>
      <w:r>
        <w:rPr/>
      </w:r>
      <w:bookmarkStart w:name="_bookmark38" w:id="72"/>
      <w:bookmarkEnd w:id="72"/>
      <w:r>
        <w:rPr/>
      </w:r>
      <w:r>
        <w:rPr>
          <w:smallCaps/>
          <w:color w:val="475824"/>
        </w:rPr>
        <w:t>Planning</w:t>
      </w:r>
      <w:r>
        <w:rPr>
          <w:smallCaps/>
          <w:color w:val="475824"/>
          <w:spacing w:val="-13"/>
        </w:rPr>
        <w:t> </w:t>
      </w:r>
      <w:r>
        <w:rPr>
          <w:smallCaps/>
          <w:color w:val="475824"/>
          <w:spacing w:val="-2"/>
        </w:rPr>
        <w:t>Record</w:t>
      </w:r>
    </w:p>
    <w:p>
      <w:pPr>
        <w:pStyle w:val="BodyText"/>
        <w:spacing w:line="232" w:lineRule="auto" w:before="65"/>
        <w:ind w:left="1151" w:right="801"/>
      </w:pPr>
      <w:r>
        <w:rPr/>
        <w:t>A</w:t>
      </w:r>
      <w:r>
        <w:rPr>
          <w:spacing w:val="-5"/>
        </w:rPr>
        <w:t> </w:t>
      </w:r>
      <w:r>
        <w:rPr/>
        <w:t>variety</w:t>
      </w:r>
      <w:r>
        <w:rPr>
          <w:spacing w:val="-6"/>
        </w:rPr>
        <w:t> </w:t>
      </w:r>
      <w:r>
        <w:rPr/>
        <w:t>of</w:t>
      </w:r>
      <w:r>
        <w:rPr>
          <w:spacing w:val="-5"/>
        </w:rPr>
        <w:t> </w:t>
      </w:r>
      <w:r>
        <w:rPr/>
        <w:t>documents,</w:t>
      </w:r>
      <w:r>
        <w:rPr>
          <w:spacing w:val="-5"/>
        </w:rPr>
        <w:t> </w:t>
      </w:r>
      <w:r>
        <w:rPr/>
        <w:t>including</w:t>
      </w:r>
      <w:r>
        <w:rPr>
          <w:spacing w:val="-6"/>
        </w:rPr>
        <w:t> </w:t>
      </w:r>
      <w:r>
        <w:rPr/>
        <w:t>the</w:t>
      </w:r>
      <w:r>
        <w:rPr>
          <w:spacing w:val="-4"/>
        </w:rPr>
        <w:t> </w:t>
      </w:r>
      <w:r>
        <w:rPr/>
        <w:t>Forest</w:t>
      </w:r>
      <w:r>
        <w:rPr>
          <w:spacing w:val="-7"/>
        </w:rPr>
        <w:t> </w:t>
      </w:r>
      <w:r>
        <w:rPr/>
        <w:t>Plan,</w:t>
      </w:r>
      <w:r>
        <w:rPr>
          <w:spacing w:val="-7"/>
        </w:rPr>
        <w:t> </w:t>
      </w:r>
      <w:r>
        <w:rPr/>
        <w:t>make</w:t>
      </w:r>
      <w:r>
        <w:rPr>
          <w:spacing w:val="-4"/>
        </w:rPr>
        <w:t> </w:t>
      </w:r>
      <w:r>
        <w:rPr/>
        <w:t>up</w:t>
      </w:r>
      <w:r>
        <w:rPr>
          <w:spacing w:val="-6"/>
        </w:rPr>
        <w:t> </w:t>
      </w:r>
      <w:r>
        <w:rPr/>
        <w:t>the</w:t>
      </w:r>
      <w:r>
        <w:rPr>
          <w:spacing w:val="-4"/>
        </w:rPr>
        <w:t> </w:t>
      </w:r>
      <w:r>
        <w:rPr/>
        <w:t>planning</w:t>
      </w:r>
      <w:r>
        <w:rPr>
          <w:spacing w:val="-6"/>
        </w:rPr>
        <w:t> </w:t>
      </w:r>
      <w:r>
        <w:rPr/>
        <w:t>record.</w:t>
      </w:r>
      <w:r>
        <w:rPr>
          <w:spacing w:val="-5"/>
        </w:rPr>
        <w:t> </w:t>
      </w:r>
      <w:r>
        <w:rPr/>
        <w:t>Aside</w:t>
      </w:r>
      <w:r>
        <w:rPr>
          <w:spacing w:val="-4"/>
        </w:rPr>
        <w:t> </w:t>
      </w:r>
      <w:r>
        <w:rPr/>
        <w:t>from</w:t>
      </w:r>
      <w:r>
        <w:rPr>
          <w:spacing w:val="-4"/>
        </w:rPr>
        <w:t> </w:t>
      </w:r>
      <w:r>
        <w:rPr/>
        <w:t>the land management plan, these include the final environmental impact statement, record of decision, and the project record. Following is a description of the</w:t>
      </w:r>
      <w:r>
        <w:rPr>
          <w:spacing w:val="-1"/>
        </w:rPr>
        <w:t> </w:t>
      </w:r>
      <w:r>
        <w:rPr/>
        <w:t>most prominent documents.</w:t>
      </w:r>
    </w:p>
    <w:p>
      <w:pPr>
        <w:pStyle w:val="Heading3"/>
        <w:spacing w:before="234"/>
      </w:pPr>
      <w:bookmarkStart w:name="Environmental Impact Statement" w:id="73"/>
      <w:bookmarkEnd w:id="73"/>
      <w:r>
        <w:rPr>
          <w:b w:val="0"/>
        </w:rPr>
      </w:r>
      <w:bookmarkStart w:name="_bookmark39" w:id="74"/>
      <w:bookmarkEnd w:id="74"/>
      <w:r>
        <w:rPr>
          <w:b w:val="0"/>
        </w:rPr>
      </w:r>
      <w:r>
        <w:rPr>
          <w:smallCaps/>
          <w:color w:val="475824"/>
        </w:rPr>
        <w:t>Environmental</w:t>
      </w:r>
      <w:r>
        <w:rPr>
          <w:smallCaps/>
          <w:color w:val="475824"/>
          <w:spacing w:val="-10"/>
        </w:rPr>
        <w:t> </w:t>
      </w:r>
      <w:r>
        <w:rPr>
          <w:smallCaps/>
          <w:color w:val="475824"/>
        </w:rPr>
        <w:t>Impact</w:t>
      </w:r>
      <w:r>
        <w:rPr>
          <w:smallCaps/>
          <w:color w:val="475824"/>
          <w:spacing w:val="-10"/>
        </w:rPr>
        <w:t> </w:t>
      </w:r>
      <w:r>
        <w:rPr>
          <w:smallCaps/>
          <w:color w:val="475824"/>
          <w:spacing w:val="-2"/>
        </w:rPr>
        <w:t>Statement</w:t>
      </w:r>
    </w:p>
    <w:p>
      <w:pPr>
        <w:pStyle w:val="BodyText"/>
        <w:spacing w:line="232" w:lineRule="auto" w:before="64"/>
        <w:ind w:left="1151" w:right="801"/>
      </w:pPr>
      <w:r>
        <w:rPr/>
        <w:t>The preparation</w:t>
      </w:r>
      <w:r>
        <w:rPr>
          <w:spacing w:val="-3"/>
        </w:rPr>
        <w:t> </w:t>
      </w:r>
      <w:r>
        <w:rPr/>
        <w:t>of an</w:t>
      </w:r>
      <w:r>
        <w:rPr>
          <w:spacing w:val="-3"/>
        </w:rPr>
        <w:t> </w:t>
      </w:r>
      <w:r>
        <w:rPr/>
        <w:t>environmental impact</w:t>
      </w:r>
      <w:r>
        <w:rPr>
          <w:spacing w:val="-2"/>
        </w:rPr>
        <w:t> </w:t>
      </w:r>
      <w:r>
        <w:rPr/>
        <w:t>statement (EIS) disclosing</w:t>
      </w:r>
      <w:r>
        <w:rPr>
          <w:spacing w:val="-1"/>
        </w:rPr>
        <w:t> </w:t>
      </w:r>
      <w:r>
        <w:rPr/>
        <w:t>a preferred</w:t>
      </w:r>
      <w:r>
        <w:rPr>
          <w:spacing w:val="-1"/>
        </w:rPr>
        <w:t> </w:t>
      </w:r>
      <w:r>
        <w:rPr/>
        <w:t>alternative and</w:t>
      </w:r>
      <w:r>
        <w:rPr>
          <w:spacing w:val="-5"/>
        </w:rPr>
        <w:t> </w:t>
      </w:r>
      <w:r>
        <w:rPr/>
        <w:t>a</w:t>
      </w:r>
      <w:r>
        <w:rPr>
          <w:spacing w:val="-5"/>
        </w:rPr>
        <w:t> </w:t>
      </w:r>
      <w:r>
        <w:rPr/>
        <w:t>range</w:t>
      </w:r>
      <w:r>
        <w:rPr>
          <w:spacing w:val="-4"/>
        </w:rPr>
        <w:t> </w:t>
      </w:r>
      <w:r>
        <w:rPr/>
        <w:t>of</w:t>
      </w:r>
      <w:r>
        <w:rPr>
          <w:spacing w:val="-6"/>
        </w:rPr>
        <w:t> </w:t>
      </w:r>
      <w:r>
        <w:rPr/>
        <w:t>alternatives</w:t>
      </w:r>
      <w:r>
        <w:rPr>
          <w:spacing w:val="-9"/>
        </w:rPr>
        <w:t> </w:t>
      </w:r>
      <w:r>
        <w:rPr/>
        <w:t>is</w:t>
      </w:r>
      <w:r>
        <w:rPr>
          <w:spacing w:val="-5"/>
        </w:rPr>
        <w:t> </w:t>
      </w:r>
      <w:r>
        <w:rPr/>
        <w:t>required</w:t>
      </w:r>
      <w:r>
        <w:rPr>
          <w:spacing w:val="-7"/>
        </w:rPr>
        <w:t> </w:t>
      </w:r>
      <w:r>
        <w:rPr/>
        <w:t>by</w:t>
      </w:r>
      <w:r>
        <w:rPr>
          <w:spacing w:val="-5"/>
        </w:rPr>
        <w:t> </w:t>
      </w:r>
      <w:r>
        <w:rPr/>
        <w:t>the</w:t>
      </w:r>
      <w:r>
        <w:rPr>
          <w:spacing w:val="-4"/>
        </w:rPr>
        <w:t> </w:t>
      </w:r>
      <w:r>
        <w:rPr/>
        <w:t>National</w:t>
      </w:r>
      <w:r>
        <w:rPr>
          <w:spacing w:val="-7"/>
        </w:rPr>
        <w:t> </w:t>
      </w:r>
      <w:r>
        <w:rPr/>
        <w:t>Environmental</w:t>
      </w:r>
      <w:r>
        <w:rPr>
          <w:spacing w:val="-5"/>
        </w:rPr>
        <w:t> </w:t>
      </w:r>
      <w:r>
        <w:rPr/>
        <w:t>Policy</w:t>
      </w:r>
      <w:r>
        <w:rPr>
          <w:spacing w:val="-4"/>
        </w:rPr>
        <w:t> </w:t>
      </w:r>
      <w:r>
        <w:rPr/>
        <w:t>Act</w:t>
      </w:r>
      <w:r>
        <w:rPr>
          <w:spacing w:val="-6"/>
        </w:rPr>
        <w:t> </w:t>
      </w:r>
      <w:r>
        <w:rPr/>
        <w:t>(1969)</w:t>
      </w:r>
      <w:r>
        <w:rPr>
          <w:spacing w:val="-5"/>
        </w:rPr>
        <w:t> </w:t>
      </w:r>
      <w:r>
        <w:rPr/>
        <w:t>and</w:t>
      </w:r>
      <w:r>
        <w:rPr>
          <w:spacing w:val="-5"/>
        </w:rPr>
        <w:t> </w:t>
      </w:r>
      <w:r>
        <w:rPr/>
        <w:t>the implementing regulations of NFMA (36 CFR 219). The Final Environmental Impact Statement (FEIS) for the Colville Land Management Plan also provides information on the existing conditions and the environmental effects associated with the alternatives.</w:t>
      </w:r>
    </w:p>
    <w:p>
      <w:pPr>
        <w:pStyle w:val="Heading3"/>
        <w:spacing w:before="234"/>
      </w:pPr>
      <w:bookmarkStart w:name="Record of Decision" w:id="75"/>
      <w:bookmarkEnd w:id="75"/>
      <w:r>
        <w:rPr>
          <w:b w:val="0"/>
        </w:rPr>
      </w:r>
      <w:bookmarkStart w:name="_bookmark40" w:id="76"/>
      <w:bookmarkEnd w:id="76"/>
      <w:r>
        <w:rPr>
          <w:b w:val="0"/>
        </w:rPr>
      </w:r>
      <w:r>
        <w:rPr>
          <w:smallCaps/>
          <w:color w:val="475824"/>
        </w:rPr>
        <w:t>Record</w:t>
      </w:r>
      <w:r>
        <w:rPr>
          <w:smallCaps/>
          <w:color w:val="475824"/>
          <w:spacing w:val="-4"/>
        </w:rPr>
        <w:t> </w:t>
      </w:r>
      <w:r>
        <w:rPr>
          <w:smallCaps/>
          <w:color w:val="475824"/>
        </w:rPr>
        <w:t>of</w:t>
      </w:r>
      <w:r>
        <w:rPr>
          <w:smallCaps/>
          <w:color w:val="475824"/>
          <w:spacing w:val="-3"/>
        </w:rPr>
        <w:t> </w:t>
      </w:r>
      <w:r>
        <w:rPr>
          <w:smallCaps/>
          <w:color w:val="475824"/>
          <w:spacing w:val="-2"/>
        </w:rPr>
        <w:t>Decision</w:t>
      </w:r>
    </w:p>
    <w:p>
      <w:pPr>
        <w:pStyle w:val="BodyText"/>
        <w:spacing w:line="232" w:lineRule="auto" w:before="63"/>
        <w:ind w:left="1151" w:right="824"/>
        <w:jc w:val="both"/>
      </w:pPr>
      <w:r>
        <w:rPr/>
        <w:t>A</w:t>
      </w:r>
      <w:r>
        <w:rPr>
          <w:spacing w:val="-4"/>
        </w:rPr>
        <w:t> </w:t>
      </w:r>
      <w:r>
        <w:rPr/>
        <w:t>record</w:t>
      </w:r>
      <w:r>
        <w:rPr>
          <w:spacing w:val="-7"/>
        </w:rPr>
        <w:t> </w:t>
      </w:r>
      <w:r>
        <w:rPr/>
        <w:t>of</w:t>
      </w:r>
      <w:r>
        <w:rPr>
          <w:spacing w:val="-4"/>
        </w:rPr>
        <w:t> </w:t>
      </w:r>
      <w:r>
        <w:rPr/>
        <w:t>decision</w:t>
      </w:r>
      <w:r>
        <w:rPr>
          <w:spacing w:val="-5"/>
        </w:rPr>
        <w:t> </w:t>
      </w:r>
      <w:r>
        <w:rPr/>
        <w:t>(ROD)</w:t>
      </w:r>
      <w:r>
        <w:rPr>
          <w:spacing w:val="-6"/>
        </w:rPr>
        <w:t> </w:t>
      </w:r>
      <w:r>
        <w:rPr/>
        <w:t>follows</w:t>
      </w:r>
      <w:r>
        <w:rPr>
          <w:spacing w:val="-6"/>
        </w:rPr>
        <w:t> </w:t>
      </w:r>
      <w:r>
        <w:rPr/>
        <w:t>the</w:t>
      </w:r>
      <w:r>
        <w:rPr>
          <w:spacing w:val="-3"/>
        </w:rPr>
        <w:t> </w:t>
      </w:r>
      <w:r>
        <w:rPr/>
        <w:t>FEIS.</w:t>
      </w:r>
      <w:r>
        <w:rPr>
          <w:spacing w:val="-4"/>
        </w:rPr>
        <w:t> </w:t>
      </w:r>
      <w:r>
        <w:rPr/>
        <w:t>The</w:t>
      </w:r>
      <w:r>
        <w:rPr>
          <w:spacing w:val="-3"/>
        </w:rPr>
        <w:t> </w:t>
      </w:r>
      <w:r>
        <w:rPr/>
        <w:t>ROD</w:t>
      </w:r>
      <w:r>
        <w:rPr>
          <w:spacing w:val="-3"/>
        </w:rPr>
        <w:t> </w:t>
      </w:r>
      <w:r>
        <w:rPr/>
        <w:t>documents</w:t>
      </w:r>
      <w:r>
        <w:rPr>
          <w:spacing w:val="-6"/>
        </w:rPr>
        <w:t> </w:t>
      </w:r>
      <w:r>
        <w:rPr/>
        <w:t>the</w:t>
      </w:r>
      <w:r>
        <w:rPr>
          <w:spacing w:val="-3"/>
        </w:rPr>
        <w:t> </w:t>
      </w:r>
      <w:r>
        <w:rPr/>
        <w:t>selection</w:t>
      </w:r>
      <w:r>
        <w:rPr>
          <w:spacing w:val="-7"/>
        </w:rPr>
        <w:t> </w:t>
      </w:r>
      <w:r>
        <w:rPr/>
        <w:t>of</w:t>
      </w:r>
      <w:r>
        <w:rPr>
          <w:spacing w:val="-7"/>
        </w:rPr>
        <w:t> </w:t>
      </w:r>
      <w:r>
        <w:rPr/>
        <w:t>an</w:t>
      </w:r>
      <w:r>
        <w:rPr>
          <w:spacing w:val="-5"/>
        </w:rPr>
        <w:t> </w:t>
      </w:r>
      <w:r>
        <w:rPr/>
        <w:t>alternative and</w:t>
      </w:r>
      <w:r>
        <w:rPr>
          <w:spacing w:val="-5"/>
        </w:rPr>
        <w:t> </w:t>
      </w:r>
      <w:r>
        <w:rPr/>
        <w:t>the</w:t>
      </w:r>
      <w:r>
        <w:rPr>
          <w:spacing w:val="-4"/>
        </w:rPr>
        <w:t> </w:t>
      </w:r>
      <w:r>
        <w:rPr/>
        <w:t>rationale</w:t>
      </w:r>
      <w:r>
        <w:rPr>
          <w:spacing w:val="-4"/>
        </w:rPr>
        <w:t> </w:t>
      </w:r>
      <w:r>
        <w:rPr/>
        <w:t>for</w:t>
      </w:r>
      <w:r>
        <w:rPr>
          <w:spacing w:val="-5"/>
        </w:rPr>
        <w:t> </w:t>
      </w:r>
      <w:r>
        <w:rPr/>
        <w:t>that</w:t>
      </w:r>
      <w:r>
        <w:rPr>
          <w:spacing w:val="-6"/>
        </w:rPr>
        <w:t> </w:t>
      </w:r>
      <w:r>
        <w:rPr/>
        <w:t>selection</w:t>
      </w:r>
      <w:r>
        <w:rPr>
          <w:spacing w:val="-5"/>
        </w:rPr>
        <w:t> </w:t>
      </w:r>
      <w:r>
        <w:rPr/>
        <w:t>to</w:t>
      </w:r>
      <w:r>
        <w:rPr>
          <w:spacing w:val="-4"/>
        </w:rPr>
        <w:t> </w:t>
      </w:r>
      <w:r>
        <w:rPr/>
        <w:t>be</w:t>
      </w:r>
      <w:r>
        <w:rPr>
          <w:spacing w:val="-6"/>
        </w:rPr>
        <w:t> </w:t>
      </w:r>
      <w:r>
        <w:rPr/>
        <w:t>the</w:t>
      </w:r>
      <w:r>
        <w:rPr>
          <w:spacing w:val="-5"/>
        </w:rPr>
        <w:t> </w:t>
      </w:r>
      <w:r>
        <w:rPr/>
        <w:t>Land</w:t>
      </w:r>
      <w:r>
        <w:rPr>
          <w:spacing w:val="-7"/>
        </w:rPr>
        <w:t> </w:t>
      </w:r>
      <w:r>
        <w:rPr/>
        <w:t>Management</w:t>
      </w:r>
      <w:r>
        <w:rPr>
          <w:spacing w:val="-6"/>
        </w:rPr>
        <w:t> </w:t>
      </w:r>
      <w:r>
        <w:rPr/>
        <w:t>Plan</w:t>
      </w:r>
      <w:r>
        <w:rPr>
          <w:spacing w:val="-5"/>
        </w:rPr>
        <w:t> </w:t>
      </w:r>
      <w:r>
        <w:rPr/>
        <w:t>for</w:t>
      </w:r>
      <w:r>
        <w:rPr>
          <w:spacing w:val="-5"/>
        </w:rPr>
        <w:t> </w:t>
      </w:r>
      <w:r>
        <w:rPr/>
        <w:t>the</w:t>
      </w:r>
      <w:r>
        <w:rPr>
          <w:spacing w:val="-4"/>
        </w:rPr>
        <w:t> </w:t>
      </w:r>
      <w:r>
        <w:rPr/>
        <w:t>Forest.</w:t>
      </w:r>
      <w:r>
        <w:rPr>
          <w:spacing w:val="-5"/>
        </w:rPr>
        <w:t> </w:t>
      </w:r>
      <w:r>
        <w:rPr/>
        <w:t>This</w:t>
      </w:r>
      <w:r>
        <w:rPr>
          <w:spacing w:val="-5"/>
        </w:rPr>
        <w:t> </w:t>
      </w:r>
      <w:r>
        <w:rPr/>
        <w:t>Forest Plan is based on the preferred alternative selected in the ROD.</w:t>
      </w:r>
    </w:p>
    <w:p>
      <w:pPr>
        <w:pStyle w:val="Heading3"/>
        <w:spacing w:before="237"/>
      </w:pPr>
      <w:bookmarkStart w:name="Project Record" w:id="77"/>
      <w:bookmarkEnd w:id="77"/>
      <w:r>
        <w:rPr>
          <w:b w:val="0"/>
        </w:rPr>
      </w:r>
      <w:bookmarkStart w:name="_bookmark41" w:id="78"/>
      <w:bookmarkEnd w:id="78"/>
      <w:r>
        <w:rPr>
          <w:b w:val="0"/>
        </w:rPr>
      </w:r>
      <w:r>
        <w:rPr>
          <w:smallCaps/>
          <w:color w:val="475824"/>
        </w:rPr>
        <w:t>Project</w:t>
      </w:r>
      <w:r>
        <w:rPr>
          <w:smallCaps/>
          <w:color w:val="475824"/>
          <w:spacing w:val="-8"/>
        </w:rPr>
        <w:t> </w:t>
      </w:r>
      <w:r>
        <w:rPr>
          <w:smallCaps/>
          <w:color w:val="475824"/>
          <w:spacing w:val="-2"/>
        </w:rPr>
        <w:t>Record</w:t>
      </w:r>
    </w:p>
    <w:p>
      <w:pPr>
        <w:pStyle w:val="BodyText"/>
        <w:spacing w:line="232" w:lineRule="auto" w:before="63"/>
        <w:ind w:left="1151" w:right="1073"/>
      </w:pPr>
      <w:r>
        <w:rPr/>
        <w:t>The project record consists of the relevant decision documentation and pertinent records documenting</w:t>
      </w:r>
      <w:r>
        <w:rPr>
          <w:spacing w:val="-7"/>
        </w:rPr>
        <w:t> </w:t>
      </w:r>
      <w:r>
        <w:rPr/>
        <w:t>the</w:t>
      </w:r>
      <w:r>
        <w:rPr>
          <w:spacing w:val="-5"/>
        </w:rPr>
        <w:t> </w:t>
      </w:r>
      <w:r>
        <w:rPr/>
        <w:t>planning</w:t>
      </w:r>
      <w:r>
        <w:rPr>
          <w:spacing w:val="-9"/>
        </w:rPr>
        <w:t> </w:t>
      </w:r>
      <w:r>
        <w:rPr/>
        <w:t>process.</w:t>
      </w:r>
      <w:r>
        <w:rPr>
          <w:spacing w:val="-6"/>
        </w:rPr>
        <w:t> </w:t>
      </w:r>
      <w:r>
        <w:rPr/>
        <w:t>All</w:t>
      </w:r>
      <w:r>
        <w:rPr>
          <w:spacing w:val="-6"/>
        </w:rPr>
        <w:t> </w:t>
      </w:r>
      <w:r>
        <w:rPr/>
        <w:t>references</w:t>
      </w:r>
      <w:r>
        <w:rPr>
          <w:spacing w:val="-6"/>
        </w:rPr>
        <w:t> </w:t>
      </w:r>
      <w:r>
        <w:rPr/>
        <w:t>used</w:t>
      </w:r>
      <w:r>
        <w:rPr>
          <w:spacing w:val="-7"/>
        </w:rPr>
        <w:t> </w:t>
      </w:r>
      <w:r>
        <w:rPr/>
        <w:t>throughout</w:t>
      </w:r>
      <w:r>
        <w:rPr>
          <w:spacing w:val="-5"/>
        </w:rPr>
        <w:t> </w:t>
      </w:r>
      <w:r>
        <w:rPr/>
        <w:t>the</w:t>
      </w:r>
      <w:r>
        <w:rPr>
          <w:spacing w:val="-5"/>
        </w:rPr>
        <w:t> </w:t>
      </w:r>
      <w:r>
        <w:rPr/>
        <w:t>planning</w:t>
      </w:r>
      <w:r>
        <w:rPr>
          <w:spacing w:val="-7"/>
        </w:rPr>
        <w:t> </w:t>
      </w:r>
      <w:r>
        <w:rPr/>
        <w:t>process</w:t>
      </w:r>
      <w:r>
        <w:rPr>
          <w:spacing w:val="-6"/>
        </w:rPr>
        <w:t> </w:t>
      </w:r>
      <w:r>
        <w:rPr/>
        <w:t>are </w:t>
      </w:r>
      <w:r>
        <w:rPr>
          <w:spacing w:val="-2"/>
        </w:rPr>
        <w:t>included.</w:t>
      </w:r>
    </w:p>
    <w:p>
      <w:pPr>
        <w:pStyle w:val="Heading3"/>
        <w:spacing w:before="234"/>
      </w:pPr>
      <w:bookmarkStart w:name="Glossary" w:id="79"/>
      <w:bookmarkEnd w:id="79"/>
      <w:r>
        <w:rPr>
          <w:b w:val="0"/>
        </w:rPr>
      </w:r>
      <w:bookmarkStart w:name="_bookmark42" w:id="80"/>
      <w:bookmarkEnd w:id="80"/>
      <w:r>
        <w:rPr>
          <w:b w:val="0"/>
        </w:rPr>
      </w:r>
      <w:r>
        <w:rPr>
          <w:smallCaps/>
          <w:color w:val="475824"/>
          <w:spacing w:val="-2"/>
        </w:rPr>
        <w:t>Glossary</w:t>
      </w:r>
    </w:p>
    <w:p>
      <w:pPr>
        <w:pStyle w:val="BodyText"/>
        <w:spacing w:line="232" w:lineRule="auto" w:before="64"/>
        <w:ind w:left="1152" w:right="726"/>
        <w:jc w:val="both"/>
      </w:pPr>
      <w:r>
        <w:rPr/>
        <w:t>The</w:t>
      </w:r>
      <w:r>
        <w:rPr>
          <w:spacing w:val="-4"/>
        </w:rPr>
        <w:t> </w:t>
      </w:r>
      <w:r>
        <w:rPr/>
        <w:t>glossary</w:t>
      </w:r>
      <w:r>
        <w:rPr>
          <w:spacing w:val="-4"/>
        </w:rPr>
        <w:t> </w:t>
      </w:r>
      <w:r>
        <w:rPr/>
        <w:t>is</w:t>
      </w:r>
      <w:r>
        <w:rPr>
          <w:spacing w:val="-7"/>
        </w:rPr>
        <w:t> </w:t>
      </w:r>
      <w:r>
        <w:rPr/>
        <w:t>a</w:t>
      </w:r>
      <w:r>
        <w:rPr>
          <w:spacing w:val="-5"/>
        </w:rPr>
        <w:t> </w:t>
      </w:r>
      <w:r>
        <w:rPr/>
        <w:t>separate</w:t>
      </w:r>
      <w:r>
        <w:rPr>
          <w:spacing w:val="-4"/>
        </w:rPr>
        <w:t> </w:t>
      </w:r>
      <w:r>
        <w:rPr/>
        <w:t>companion</w:t>
      </w:r>
      <w:r>
        <w:rPr>
          <w:spacing w:val="-6"/>
        </w:rPr>
        <w:t> </w:t>
      </w:r>
      <w:r>
        <w:rPr/>
        <w:t>document</w:t>
      </w:r>
      <w:r>
        <w:rPr>
          <w:spacing w:val="-4"/>
        </w:rPr>
        <w:t> </w:t>
      </w:r>
      <w:r>
        <w:rPr/>
        <w:t>that</w:t>
      </w:r>
      <w:r>
        <w:rPr>
          <w:spacing w:val="-7"/>
        </w:rPr>
        <w:t> </w:t>
      </w:r>
      <w:r>
        <w:rPr/>
        <w:t>supports</w:t>
      </w:r>
      <w:r>
        <w:rPr>
          <w:spacing w:val="-5"/>
        </w:rPr>
        <w:t> </w:t>
      </w:r>
      <w:r>
        <w:rPr/>
        <w:t>the</w:t>
      </w:r>
      <w:r>
        <w:rPr>
          <w:spacing w:val="-7"/>
        </w:rPr>
        <w:t> </w:t>
      </w:r>
      <w:r>
        <w:rPr/>
        <w:t>entire</w:t>
      </w:r>
      <w:r>
        <w:rPr>
          <w:spacing w:val="-4"/>
        </w:rPr>
        <w:t> </w:t>
      </w:r>
      <w:r>
        <w:rPr/>
        <w:t>planning</w:t>
      </w:r>
      <w:r>
        <w:rPr>
          <w:spacing w:val="-6"/>
        </w:rPr>
        <w:t> </w:t>
      </w:r>
      <w:r>
        <w:rPr/>
        <w:t>record.</w:t>
      </w:r>
      <w:r>
        <w:rPr>
          <w:spacing w:val="-5"/>
        </w:rPr>
        <w:t> </w:t>
      </w:r>
      <w:r>
        <w:rPr/>
        <w:t>It</w:t>
      </w:r>
      <w:r>
        <w:rPr>
          <w:spacing w:val="-4"/>
        </w:rPr>
        <w:t> </w:t>
      </w:r>
      <w:r>
        <w:rPr/>
        <w:t>also provides definitions of select words from this Forest Plan.</w:t>
      </w:r>
    </w:p>
    <w:p>
      <w:pPr>
        <w:pStyle w:val="Heading3"/>
        <w:spacing w:before="235"/>
      </w:pPr>
      <w:bookmarkStart w:name="About the Appendices" w:id="81"/>
      <w:bookmarkEnd w:id="81"/>
      <w:r>
        <w:rPr>
          <w:b w:val="0"/>
        </w:rPr>
      </w:r>
      <w:bookmarkStart w:name="_bookmark43" w:id="82"/>
      <w:bookmarkEnd w:id="82"/>
      <w:r>
        <w:rPr>
          <w:b w:val="0"/>
        </w:rPr>
      </w:r>
      <w:r>
        <w:rPr>
          <w:smallCaps/>
          <w:color w:val="475824"/>
        </w:rPr>
        <w:t>About</w:t>
      </w:r>
      <w:r>
        <w:rPr>
          <w:smallCaps/>
          <w:color w:val="475824"/>
          <w:spacing w:val="-6"/>
        </w:rPr>
        <w:t> </w:t>
      </w:r>
      <w:r>
        <w:rPr>
          <w:smallCaps/>
          <w:color w:val="475824"/>
        </w:rPr>
        <w:t>the</w:t>
      </w:r>
      <w:r>
        <w:rPr>
          <w:smallCaps/>
          <w:color w:val="475824"/>
          <w:spacing w:val="2"/>
        </w:rPr>
        <w:t> </w:t>
      </w:r>
      <w:r>
        <w:rPr>
          <w:smallCaps/>
          <w:color w:val="475824"/>
          <w:spacing w:val="-2"/>
        </w:rPr>
        <w:t>Appendices</w:t>
      </w:r>
    </w:p>
    <w:p>
      <w:pPr>
        <w:pStyle w:val="Heading4"/>
        <w:spacing w:before="239"/>
        <w:ind w:left="1151"/>
      </w:pPr>
      <w:bookmarkStart w:name="Appendix A: Consistency with Plan Compon" w:id="83"/>
      <w:bookmarkEnd w:id="83"/>
      <w:r>
        <w:rPr/>
      </w:r>
      <w:bookmarkStart w:name="_bookmark44" w:id="84"/>
      <w:bookmarkEnd w:id="84"/>
      <w:r>
        <w:rPr/>
      </w:r>
      <w:r>
        <w:rPr/>
        <w:t>Appendix</w:t>
      </w:r>
      <w:r>
        <w:rPr>
          <w:spacing w:val="-6"/>
        </w:rPr>
        <w:t> </w:t>
      </w:r>
      <w:r>
        <w:rPr/>
        <w:t>A:</w:t>
      </w:r>
      <w:r>
        <w:rPr>
          <w:spacing w:val="-2"/>
        </w:rPr>
        <w:t> </w:t>
      </w:r>
      <w:r>
        <w:rPr/>
        <w:t>Consistency</w:t>
      </w:r>
      <w:r>
        <w:rPr>
          <w:spacing w:val="-3"/>
        </w:rPr>
        <w:t> </w:t>
      </w:r>
      <w:r>
        <w:rPr/>
        <w:t>with</w:t>
      </w:r>
      <w:r>
        <w:rPr>
          <w:spacing w:val="-2"/>
        </w:rPr>
        <w:t> </w:t>
      </w:r>
      <w:r>
        <w:rPr/>
        <w:t>Plan</w:t>
      </w:r>
      <w:r>
        <w:rPr>
          <w:spacing w:val="-2"/>
        </w:rPr>
        <w:t> Components</w:t>
      </w:r>
    </w:p>
    <w:p>
      <w:pPr>
        <w:pStyle w:val="BodyText"/>
        <w:spacing w:before="59"/>
        <w:ind w:left="1151"/>
        <w:jc w:val="both"/>
      </w:pPr>
      <w:r>
        <w:rPr/>
        <w:t>This</w:t>
      </w:r>
      <w:r>
        <w:rPr>
          <w:spacing w:val="-8"/>
        </w:rPr>
        <w:t> </w:t>
      </w:r>
      <w:r>
        <w:rPr/>
        <w:t>appendix</w:t>
      </w:r>
      <w:r>
        <w:rPr>
          <w:spacing w:val="-7"/>
        </w:rPr>
        <w:t> </w:t>
      </w:r>
      <w:r>
        <w:rPr/>
        <w:t>explains</w:t>
      </w:r>
      <w:r>
        <w:rPr>
          <w:spacing w:val="-6"/>
        </w:rPr>
        <w:t> </w:t>
      </w:r>
      <w:r>
        <w:rPr/>
        <w:t>how</w:t>
      </w:r>
      <w:r>
        <w:rPr>
          <w:spacing w:val="-7"/>
        </w:rPr>
        <w:t> </w:t>
      </w:r>
      <w:r>
        <w:rPr/>
        <w:t>projects</w:t>
      </w:r>
      <w:r>
        <w:rPr>
          <w:spacing w:val="-8"/>
        </w:rPr>
        <w:t> </w:t>
      </w:r>
      <w:r>
        <w:rPr/>
        <w:t>and</w:t>
      </w:r>
      <w:r>
        <w:rPr>
          <w:spacing w:val="-6"/>
        </w:rPr>
        <w:t> </w:t>
      </w:r>
      <w:r>
        <w:rPr/>
        <w:t>activities</w:t>
      </w:r>
      <w:r>
        <w:rPr>
          <w:spacing w:val="-7"/>
        </w:rPr>
        <w:t> </w:t>
      </w:r>
      <w:r>
        <w:rPr/>
        <w:t>must</w:t>
      </w:r>
      <w:r>
        <w:rPr>
          <w:spacing w:val="-5"/>
        </w:rPr>
        <w:t> </w:t>
      </w:r>
      <w:r>
        <w:rPr/>
        <w:t>be</w:t>
      </w:r>
      <w:r>
        <w:rPr>
          <w:spacing w:val="-5"/>
        </w:rPr>
        <w:t> </w:t>
      </w:r>
      <w:r>
        <w:rPr/>
        <w:t>consistent</w:t>
      </w:r>
      <w:r>
        <w:rPr>
          <w:spacing w:val="-7"/>
        </w:rPr>
        <w:t> </w:t>
      </w:r>
      <w:r>
        <w:rPr/>
        <w:t>with</w:t>
      </w:r>
      <w:r>
        <w:rPr>
          <w:spacing w:val="-8"/>
        </w:rPr>
        <w:t> </w:t>
      </w:r>
      <w:r>
        <w:rPr/>
        <w:t>this</w:t>
      </w:r>
      <w:r>
        <w:rPr>
          <w:spacing w:val="-6"/>
        </w:rPr>
        <w:t> </w:t>
      </w:r>
      <w:r>
        <w:rPr/>
        <w:t>Forest</w:t>
      </w:r>
      <w:r>
        <w:rPr>
          <w:spacing w:val="-6"/>
        </w:rPr>
        <w:t> </w:t>
      </w:r>
      <w:r>
        <w:rPr>
          <w:spacing w:val="-2"/>
        </w:rPr>
        <w:t>Plan.</w:t>
      </w:r>
    </w:p>
    <w:p>
      <w:pPr>
        <w:pStyle w:val="Heading4"/>
        <w:spacing w:before="234"/>
        <w:ind w:left="1151"/>
      </w:pPr>
      <w:bookmarkStart w:name="Appendix B: Proposed and Possible Manage" w:id="85"/>
      <w:bookmarkEnd w:id="85"/>
      <w:r>
        <w:rPr/>
      </w:r>
      <w:bookmarkStart w:name="_bookmark45" w:id="86"/>
      <w:bookmarkEnd w:id="86"/>
      <w:r>
        <w:rPr/>
      </w:r>
      <w:r>
        <w:rPr/>
        <w:t>Appendix</w:t>
      </w:r>
      <w:r>
        <w:rPr>
          <w:spacing w:val="-7"/>
        </w:rPr>
        <w:t> </w:t>
      </w:r>
      <w:r>
        <w:rPr/>
        <w:t>B:</w:t>
      </w:r>
      <w:r>
        <w:rPr>
          <w:spacing w:val="-2"/>
        </w:rPr>
        <w:t> </w:t>
      </w:r>
      <w:r>
        <w:rPr/>
        <w:t>Proposed</w:t>
      </w:r>
      <w:r>
        <w:rPr>
          <w:spacing w:val="-3"/>
        </w:rPr>
        <w:t> </w:t>
      </w:r>
      <w:r>
        <w:rPr/>
        <w:t>and</w:t>
      </w:r>
      <w:r>
        <w:rPr>
          <w:spacing w:val="-4"/>
        </w:rPr>
        <w:t> </w:t>
      </w:r>
      <w:r>
        <w:rPr/>
        <w:t>Possible</w:t>
      </w:r>
      <w:r>
        <w:rPr>
          <w:spacing w:val="-4"/>
        </w:rPr>
        <w:t> </w:t>
      </w:r>
      <w:r>
        <w:rPr/>
        <w:t>Management</w:t>
      </w:r>
      <w:r>
        <w:rPr>
          <w:spacing w:val="-1"/>
        </w:rPr>
        <w:t> </w:t>
      </w:r>
      <w:r>
        <w:rPr>
          <w:spacing w:val="-2"/>
        </w:rPr>
        <w:t>Actions</w:t>
      </w:r>
    </w:p>
    <w:p>
      <w:pPr>
        <w:pStyle w:val="BodyText"/>
        <w:spacing w:line="232" w:lineRule="auto" w:before="63"/>
        <w:ind w:left="1152" w:right="801" w:hanging="1"/>
      </w:pPr>
      <w:r>
        <w:rPr/>
        <w:t>Appendix B describes proposed and possible management actions that the staff of the Colville National</w:t>
      </w:r>
      <w:r>
        <w:rPr>
          <w:spacing w:val="-4"/>
        </w:rPr>
        <w:t> </w:t>
      </w:r>
      <w:r>
        <w:rPr/>
        <w:t>Forest</w:t>
      </w:r>
      <w:r>
        <w:rPr>
          <w:spacing w:val="-3"/>
        </w:rPr>
        <w:t> </w:t>
      </w:r>
      <w:r>
        <w:rPr/>
        <w:t>anticipate</w:t>
      </w:r>
      <w:r>
        <w:rPr>
          <w:spacing w:val="-3"/>
        </w:rPr>
        <w:t> </w:t>
      </w:r>
      <w:r>
        <w:rPr/>
        <w:t>to</w:t>
      </w:r>
      <w:r>
        <w:rPr>
          <w:spacing w:val="-5"/>
        </w:rPr>
        <w:t> </w:t>
      </w:r>
      <w:r>
        <w:rPr/>
        <w:t>occur</w:t>
      </w:r>
      <w:r>
        <w:rPr>
          <w:spacing w:val="-6"/>
        </w:rPr>
        <w:t> </w:t>
      </w:r>
      <w:r>
        <w:rPr/>
        <w:t>over</w:t>
      </w:r>
      <w:r>
        <w:rPr>
          <w:spacing w:val="-6"/>
        </w:rPr>
        <w:t> </w:t>
      </w:r>
      <w:r>
        <w:rPr/>
        <w:t>the</w:t>
      </w:r>
      <w:r>
        <w:rPr>
          <w:spacing w:val="-3"/>
        </w:rPr>
        <w:t> </w:t>
      </w:r>
      <w:r>
        <w:rPr/>
        <w:t>life</w:t>
      </w:r>
      <w:r>
        <w:rPr>
          <w:spacing w:val="-6"/>
        </w:rPr>
        <w:t> </w:t>
      </w:r>
      <w:r>
        <w:rPr/>
        <w:t>of</w:t>
      </w:r>
      <w:r>
        <w:rPr>
          <w:spacing w:val="-4"/>
        </w:rPr>
        <w:t> </w:t>
      </w:r>
      <w:r>
        <w:rPr/>
        <w:t>the</w:t>
      </w:r>
      <w:r>
        <w:rPr>
          <w:spacing w:val="-6"/>
        </w:rPr>
        <w:t> </w:t>
      </w:r>
      <w:r>
        <w:rPr/>
        <w:t>Plan,</w:t>
      </w:r>
      <w:r>
        <w:rPr>
          <w:spacing w:val="-4"/>
        </w:rPr>
        <w:t> </w:t>
      </w:r>
      <w:r>
        <w:rPr/>
        <w:t>which</w:t>
      </w:r>
      <w:r>
        <w:rPr>
          <w:spacing w:val="-6"/>
        </w:rPr>
        <w:t> </w:t>
      </w:r>
      <w:r>
        <w:rPr/>
        <w:t>show</w:t>
      </w:r>
      <w:r>
        <w:rPr>
          <w:spacing w:val="-6"/>
        </w:rPr>
        <w:t> </w:t>
      </w:r>
      <w:r>
        <w:rPr/>
        <w:t>the</w:t>
      </w:r>
      <w:r>
        <w:rPr>
          <w:spacing w:val="-6"/>
        </w:rPr>
        <w:t> </w:t>
      </w:r>
      <w:r>
        <w:rPr/>
        <w:t>variety</w:t>
      </w:r>
      <w:r>
        <w:rPr>
          <w:spacing w:val="-3"/>
        </w:rPr>
        <w:t> </w:t>
      </w:r>
      <w:r>
        <w:rPr/>
        <w:t>of</w:t>
      </w:r>
      <w:r>
        <w:rPr>
          <w:spacing w:val="-8"/>
        </w:rPr>
        <w:t> </w:t>
      </w:r>
      <w:r>
        <w:rPr/>
        <w:t>multiple- use opportunities or resource management programs that the Forest expects to provide (36 CFR 219.11(b)).</w:t>
      </w:r>
    </w:p>
    <w:p>
      <w:pPr>
        <w:pStyle w:val="Heading4"/>
        <w:spacing w:before="234"/>
        <w:ind w:left="1151"/>
      </w:pPr>
      <w:bookmarkStart w:name="Appendix C: Wildlife, Fish and Plant Spe" w:id="87"/>
      <w:bookmarkEnd w:id="87"/>
      <w:r>
        <w:rPr/>
      </w:r>
      <w:bookmarkStart w:name="_bookmark46" w:id="88"/>
      <w:bookmarkEnd w:id="88"/>
      <w:r>
        <w:rPr/>
      </w:r>
      <w:r>
        <w:rPr/>
        <w:t>Appendix</w:t>
      </w:r>
      <w:r>
        <w:rPr>
          <w:spacing w:val="-5"/>
        </w:rPr>
        <w:t> </w:t>
      </w:r>
      <w:r>
        <w:rPr/>
        <w:t>C:</w:t>
      </w:r>
      <w:r>
        <w:rPr>
          <w:spacing w:val="-7"/>
        </w:rPr>
        <w:t> </w:t>
      </w:r>
      <w:r>
        <w:rPr/>
        <w:t>Wildlife,</w:t>
      </w:r>
      <w:r>
        <w:rPr>
          <w:spacing w:val="-4"/>
        </w:rPr>
        <w:t> </w:t>
      </w:r>
      <w:r>
        <w:rPr/>
        <w:t>Fish</w:t>
      </w:r>
      <w:r>
        <w:rPr>
          <w:spacing w:val="-2"/>
        </w:rPr>
        <w:t> </w:t>
      </w:r>
      <w:r>
        <w:rPr/>
        <w:t>and</w:t>
      </w:r>
      <w:r>
        <w:rPr>
          <w:spacing w:val="-2"/>
        </w:rPr>
        <w:t> </w:t>
      </w:r>
      <w:r>
        <w:rPr/>
        <w:t>Plant</w:t>
      </w:r>
      <w:r>
        <w:rPr>
          <w:spacing w:val="-1"/>
        </w:rPr>
        <w:t> </w:t>
      </w:r>
      <w:r>
        <w:rPr/>
        <w:t>Species</w:t>
      </w:r>
      <w:r>
        <w:rPr>
          <w:spacing w:val="-5"/>
        </w:rPr>
        <w:t> </w:t>
      </w:r>
      <w:r>
        <w:rPr/>
        <w:t>of the</w:t>
      </w:r>
      <w:r>
        <w:rPr>
          <w:spacing w:val="-1"/>
        </w:rPr>
        <w:t> </w:t>
      </w:r>
      <w:r>
        <w:rPr/>
        <w:t>Colville</w:t>
      </w:r>
      <w:r>
        <w:rPr>
          <w:spacing w:val="-2"/>
        </w:rPr>
        <w:t> </w:t>
      </w:r>
      <w:r>
        <w:rPr/>
        <w:t>National</w:t>
      </w:r>
      <w:r>
        <w:rPr>
          <w:spacing w:val="-6"/>
        </w:rPr>
        <w:t> </w:t>
      </w:r>
      <w:r>
        <w:rPr>
          <w:spacing w:val="-2"/>
        </w:rPr>
        <w:t>Forest</w:t>
      </w:r>
    </w:p>
    <w:p>
      <w:pPr>
        <w:pStyle w:val="BodyText"/>
        <w:spacing w:line="232" w:lineRule="auto" w:before="65"/>
        <w:ind w:left="1152" w:right="1073"/>
      </w:pPr>
      <w:r>
        <w:rPr/>
        <w:t>Appendix</w:t>
      </w:r>
      <w:r>
        <w:rPr>
          <w:spacing w:val="-3"/>
        </w:rPr>
        <w:t> </w:t>
      </w:r>
      <w:r>
        <w:rPr/>
        <w:t>C</w:t>
      </w:r>
      <w:r>
        <w:rPr>
          <w:spacing w:val="-3"/>
        </w:rPr>
        <w:t> </w:t>
      </w:r>
      <w:r>
        <w:rPr/>
        <w:t>provides</w:t>
      </w:r>
      <w:r>
        <w:rPr>
          <w:spacing w:val="-3"/>
        </w:rPr>
        <w:t> </w:t>
      </w:r>
      <w:r>
        <w:rPr/>
        <w:t>a</w:t>
      </w:r>
      <w:r>
        <w:rPr>
          <w:spacing w:val="-5"/>
        </w:rPr>
        <w:t> </w:t>
      </w:r>
      <w:r>
        <w:rPr/>
        <w:t>summary</w:t>
      </w:r>
      <w:r>
        <w:rPr>
          <w:spacing w:val="-4"/>
        </w:rPr>
        <w:t> </w:t>
      </w:r>
      <w:r>
        <w:rPr/>
        <w:t>of</w:t>
      </w:r>
      <w:r>
        <w:rPr>
          <w:spacing w:val="-5"/>
        </w:rPr>
        <w:t> </w:t>
      </w:r>
      <w:r>
        <w:rPr/>
        <w:t>wildlife,</w:t>
      </w:r>
      <w:r>
        <w:rPr>
          <w:spacing w:val="-3"/>
        </w:rPr>
        <w:t> </w:t>
      </w:r>
      <w:r>
        <w:rPr/>
        <w:t>fish</w:t>
      </w:r>
      <w:r>
        <w:rPr>
          <w:spacing w:val="-4"/>
        </w:rPr>
        <w:t> </w:t>
      </w:r>
      <w:r>
        <w:rPr/>
        <w:t>and</w:t>
      </w:r>
      <w:r>
        <w:rPr>
          <w:spacing w:val="-4"/>
        </w:rPr>
        <w:t> </w:t>
      </w:r>
      <w:r>
        <w:rPr/>
        <w:t>plant</w:t>
      </w:r>
      <w:r>
        <w:rPr>
          <w:spacing w:val="-2"/>
        </w:rPr>
        <w:t> </w:t>
      </w:r>
      <w:r>
        <w:rPr/>
        <w:t>species</w:t>
      </w:r>
      <w:r>
        <w:rPr>
          <w:spacing w:val="-5"/>
        </w:rPr>
        <w:t> </w:t>
      </w:r>
      <w:r>
        <w:rPr/>
        <w:t>known</w:t>
      </w:r>
      <w:r>
        <w:rPr>
          <w:spacing w:val="-6"/>
        </w:rPr>
        <w:t> </w:t>
      </w:r>
      <w:r>
        <w:rPr/>
        <w:t>to</w:t>
      </w:r>
      <w:r>
        <w:rPr>
          <w:spacing w:val="-4"/>
        </w:rPr>
        <w:t> </w:t>
      </w:r>
      <w:r>
        <w:rPr/>
        <w:t>occur</w:t>
      </w:r>
      <w:r>
        <w:rPr>
          <w:spacing w:val="-5"/>
        </w:rPr>
        <w:t> </w:t>
      </w:r>
      <w:r>
        <w:rPr/>
        <w:t>on</w:t>
      </w:r>
      <w:r>
        <w:rPr>
          <w:spacing w:val="-4"/>
        </w:rPr>
        <w:t> </w:t>
      </w:r>
      <w:r>
        <w:rPr/>
        <w:t>the Colville National Forest at the time this Plan becomes effective.</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Appendix D: Scenic Integrity Objectives" w:id="89"/>
      <w:bookmarkEnd w:id="89"/>
      <w:r>
        <w:rPr/>
      </w:r>
      <w:bookmarkStart w:name="_bookmark47" w:id="90"/>
      <w:bookmarkEnd w:id="90"/>
      <w:r>
        <w:rPr/>
      </w:r>
      <w:r>
        <w:rPr/>
        <w:t>Appendix</w:t>
      </w:r>
      <w:r>
        <w:rPr>
          <w:spacing w:val="-5"/>
        </w:rPr>
        <w:t> </w:t>
      </w:r>
      <w:r>
        <w:rPr/>
        <w:t>D:</w:t>
      </w:r>
      <w:r>
        <w:rPr>
          <w:spacing w:val="-1"/>
        </w:rPr>
        <w:t> </w:t>
      </w:r>
      <w:r>
        <w:rPr/>
        <w:t>Scenic</w:t>
      </w:r>
      <w:r>
        <w:rPr>
          <w:spacing w:val="-5"/>
        </w:rPr>
        <w:t> </w:t>
      </w:r>
      <w:r>
        <w:rPr/>
        <w:t>Integrity</w:t>
      </w:r>
      <w:r>
        <w:rPr>
          <w:spacing w:val="-4"/>
        </w:rPr>
        <w:t> </w:t>
      </w:r>
      <w:r>
        <w:rPr>
          <w:spacing w:val="-2"/>
        </w:rPr>
        <w:t>Objectives</w:t>
      </w:r>
    </w:p>
    <w:p>
      <w:pPr>
        <w:pStyle w:val="BodyText"/>
        <w:spacing w:line="232" w:lineRule="auto" w:before="66"/>
        <w:ind w:left="359" w:right="1621"/>
      </w:pPr>
      <w:r>
        <w:rPr/>
        <w:t>This</w:t>
      </w:r>
      <w:r>
        <w:rPr>
          <w:spacing w:val="-5"/>
        </w:rPr>
        <w:t> </w:t>
      </w:r>
      <w:r>
        <w:rPr/>
        <w:t>appendix</w:t>
      </w:r>
      <w:r>
        <w:rPr>
          <w:spacing w:val="-5"/>
        </w:rPr>
        <w:t> </w:t>
      </w:r>
      <w:r>
        <w:rPr/>
        <w:t>provides</w:t>
      </w:r>
      <w:r>
        <w:rPr>
          <w:spacing w:val="-7"/>
        </w:rPr>
        <w:t> </w:t>
      </w:r>
      <w:r>
        <w:rPr/>
        <w:t>maps</w:t>
      </w:r>
      <w:r>
        <w:rPr>
          <w:spacing w:val="-5"/>
        </w:rPr>
        <w:t> </w:t>
      </w:r>
      <w:r>
        <w:rPr/>
        <w:t>displaying</w:t>
      </w:r>
      <w:r>
        <w:rPr>
          <w:spacing w:val="-6"/>
        </w:rPr>
        <w:t> </w:t>
      </w:r>
      <w:r>
        <w:rPr/>
        <w:t>scenic</w:t>
      </w:r>
      <w:r>
        <w:rPr>
          <w:spacing w:val="-7"/>
        </w:rPr>
        <w:t> </w:t>
      </w:r>
      <w:r>
        <w:rPr/>
        <w:t>integrity</w:t>
      </w:r>
      <w:r>
        <w:rPr>
          <w:spacing w:val="-4"/>
        </w:rPr>
        <w:t> </w:t>
      </w:r>
      <w:r>
        <w:rPr/>
        <w:t>objective</w:t>
      </w:r>
      <w:r>
        <w:rPr>
          <w:spacing w:val="-4"/>
        </w:rPr>
        <w:t> </w:t>
      </w:r>
      <w:r>
        <w:rPr/>
        <w:t>designations</w:t>
      </w:r>
      <w:r>
        <w:rPr>
          <w:spacing w:val="-7"/>
        </w:rPr>
        <w:t> </w:t>
      </w:r>
      <w:r>
        <w:rPr/>
        <w:t>across</w:t>
      </w:r>
      <w:r>
        <w:rPr>
          <w:spacing w:val="-7"/>
        </w:rPr>
        <w:t> </w:t>
      </w:r>
      <w:r>
        <w:rPr/>
        <w:t>the Colville National Forest.</w:t>
      </w:r>
    </w:p>
    <w:p>
      <w:pPr>
        <w:pStyle w:val="Heading4"/>
        <w:spacing w:before="234"/>
      </w:pPr>
      <w:bookmarkStart w:name="Appendix E: Suitable Uses" w:id="91"/>
      <w:bookmarkEnd w:id="91"/>
      <w:r>
        <w:rPr/>
      </w:r>
      <w:bookmarkStart w:name="_bookmark48" w:id="92"/>
      <w:bookmarkEnd w:id="92"/>
      <w:r>
        <w:rPr/>
      </w:r>
      <w:r>
        <w:rPr/>
        <w:t>Appendix</w:t>
      </w:r>
      <w:r>
        <w:rPr>
          <w:spacing w:val="-5"/>
        </w:rPr>
        <w:t> </w:t>
      </w:r>
      <w:r>
        <w:rPr/>
        <w:t>E:</w:t>
      </w:r>
      <w:r>
        <w:rPr>
          <w:spacing w:val="-3"/>
        </w:rPr>
        <w:t> </w:t>
      </w:r>
      <w:r>
        <w:rPr/>
        <w:t>Suitable</w:t>
      </w:r>
      <w:r>
        <w:rPr>
          <w:spacing w:val="-3"/>
        </w:rPr>
        <w:t> </w:t>
      </w:r>
      <w:r>
        <w:rPr>
          <w:spacing w:val="-4"/>
        </w:rPr>
        <w:t>Uses</w:t>
      </w:r>
    </w:p>
    <w:p>
      <w:pPr>
        <w:pStyle w:val="BodyText"/>
        <w:spacing w:line="232" w:lineRule="auto" w:before="65"/>
        <w:ind w:left="360" w:right="2220"/>
      </w:pPr>
      <w:r>
        <w:rPr/>
        <w:t>This</w:t>
      </w:r>
      <w:r>
        <w:rPr>
          <w:spacing w:val="-5"/>
        </w:rPr>
        <w:t> </w:t>
      </w:r>
      <w:r>
        <w:rPr/>
        <w:t>appendix</w:t>
      </w:r>
      <w:r>
        <w:rPr>
          <w:spacing w:val="-5"/>
        </w:rPr>
        <w:t> </w:t>
      </w:r>
      <w:r>
        <w:rPr/>
        <w:t>provides</w:t>
      </w:r>
      <w:r>
        <w:rPr>
          <w:spacing w:val="-7"/>
        </w:rPr>
        <w:t> </w:t>
      </w:r>
      <w:r>
        <w:rPr/>
        <w:t>a</w:t>
      </w:r>
      <w:r>
        <w:rPr>
          <w:spacing w:val="-5"/>
        </w:rPr>
        <w:t> </w:t>
      </w:r>
      <w:r>
        <w:rPr/>
        <w:t>table</w:t>
      </w:r>
      <w:r>
        <w:rPr>
          <w:spacing w:val="-4"/>
        </w:rPr>
        <w:t> </w:t>
      </w:r>
      <w:r>
        <w:rPr/>
        <w:t>comparing</w:t>
      </w:r>
      <w:r>
        <w:rPr>
          <w:spacing w:val="-6"/>
        </w:rPr>
        <w:t> </w:t>
      </w:r>
      <w:r>
        <w:rPr/>
        <w:t>suitable</w:t>
      </w:r>
      <w:r>
        <w:rPr>
          <w:spacing w:val="-7"/>
        </w:rPr>
        <w:t> </w:t>
      </w:r>
      <w:r>
        <w:rPr/>
        <w:t>uses</w:t>
      </w:r>
      <w:r>
        <w:rPr>
          <w:spacing w:val="-5"/>
        </w:rPr>
        <w:t> </w:t>
      </w:r>
      <w:r>
        <w:rPr/>
        <w:t>across</w:t>
      </w:r>
      <w:r>
        <w:rPr>
          <w:spacing w:val="-7"/>
        </w:rPr>
        <w:t> </w:t>
      </w:r>
      <w:r>
        <w:rPr/>
        <w:t>all</w:t>
      </w:r>
      <w:r>
        <w:rPr>
          <w:spacing w:val="-8"/>
        </w:rPr>
        <w:t> </w:t>
      </w:r>
      <w:r>
        <w:rPr/>
        <w:t>management</w:t>
      </w:r>
      <w:r>
        <w:rPr>
          <w:spacing w:val="-4"/>
        </w:rPr>
        <w:t> </w:t>
      </w:r>
      <w:r>
        <w:rPr/>
        <w:t>area designations across the Colville National Forest.</w:t>
      </w:r>
    </w:p>
    <w:p>
      <w:pPr>
        <w:pStyle w:val="Heading4"/>
        <w:spacing w:before="235"/>
      </w:pPr>
      <w:bookmarkStart w:name="Appendix F: Recreation Opportunity Spect" w:id="93"/>
      <w:bookmarkEnd w:id="93"/>
      <w:r>
        <w:rPr/>
      </w:r>
      <w:bookmarkStart w:name="_bookmark49" w:id="94"/>
      <w:bookmarkEnd w:id="94"/>
      <w:r>
        <w:rPr/>
      </w:r>
      <w:r>
        <w:rPr/>
        <w:t>Appendix</w:t>
      </w:r>
      <w:r>
        <w:rPr>
          <w:spacing w:val="-7"/>
        </w:rPr>
        <w:t> </w:t>
      </w:r>
      <w:r>
        <w:rPr/>
        <w:t>F:</w:t>
      </w:r>
      <w:r>
        <w:rPr>
          <w:spacing w:val="-3"/>
        </w:rPr>
        <w:t> </w:t>
      </w:r>
      <w:r>
        <w:rPr/>
        <w:t>Recreation</w:t>
      </w:r>
      <w:r>
        <w:rPr>
          <w:spacing w:val="-3"/>
        </w:rPr>
        <w:t> </w:t>
      </w:r>
      <w:r>
        <w:rPr/>
        <w:t>Opportunity</w:t>
      </w:r>
      <w:r>
        <w:rPr>
          <w:spacing w:val="-6"/>
        </w:rPr>
        <w:t> </w:t>
      </w:r>
      <w:r>
        <w:rPr>
          <w:spacing w:val="-2"/>
        </w:rPr>
        <w:t>Spectrum</w:t>
      </w:r>
    </w:p>
    <w:p>
      <w:pPr>
        <w:pStyle w:val="BodyText"/>
        <w:spacing w:line="232" w:lineRule="auto" w:before="63"/>
        <w:ind w:left="360" w:right="1621"/>
      </w:pPr>
      <w:r>
        <w:rPr/>
        <w:t>This</w:t>
      </w:r>
      <w:r>
        <w:rPr>
          <w:spacing w:val="-6"/>
        </w:rPr>
        <w:t> </w:t>
      </w:r>
      <w:r>
        <w:rPr/>
        <w:t>appendix</w:t>
      </w:r>
      <w:r>
        <w:rPr>
          <w:spacing w:val="-6"/>
        </w:rPr>
        <w:t> </w:t>
      </w:r>
      <w:r>
        <w:rPr/>
        <w:t>provides</w:t>
      </w:r>
      <w:r>
        <w:rPr>
          <w:spacing w:val="-7"/>
        </w:rPr>
        <w:t> </w:t>
      </w:r>
      <w:r>
        <w:rPr/>
        <w:t>a</w:t>
      </w:r>
      <w:r>
        <w:rPr>
          <w:spacing w:val="-7"/>
        </w:rPr>
        <w:t> </w:t>
      </w:r>
      <w:r>
        <w:rPr/>
        <w:t>map</w:t>
      </w:r>
      <w:r>
        <w:rPr>
          <w:spacing w:val="-7"/>
        </w:rPr>
        <w:t> </w:t>
      </w:r>
      <w:r>
        <w:rPr/>
        <w:t>displaying</w:t>
      </w:r>
      <w:r>
        <w:rPr>
          <w:spacing w:val="-7"/>
        </w:rPr>
        <w:t> </w:t>
      </w:r>
      <w:r>
        <w:rPr/>
        <w:t>recreation</w:t>
      </w:r>
      <w:r>
        <w:rPr>
          <w:spacing w:val="-7"/>
        </w:rPr>
        <w:t> </w:t>
      </w:r>
      <w:r>
        <w:rPr/>
        <w:t>opportunity</w:t>
      </w:r>
      <w:r>
        <w:rPr>
          <w:spacing w:val="-7"/>
        </w:rPr>
        <w:t> </w:t>
      </w:r>
      <w:r>
        <w:rPr/>
        <w:t>spectrum</w:t>
      </w:r>
      <w:r>
        <w:rPr>
          <w:spacing w:val="-5"/>
        </w:rPr>
        <w:t> </w:t>
      </w:r>
      <w:r>
        <w:rPr/>
        <w:t>designations</w:t>
      </w:r>
      <w:r>
        <w:rPr>
          <w:spacing w:val="-6"/>
        </w:rPr>
        <w:t> </w:t>
      </w:r>
      <w:r>
        <w:rPr/>
        <w:t>across the Colville National Forest.</w:t>
      </w:r>
    </w:p>
    <w:p>
      <w:pPr>
        <w:pStyle w:val="Heading4"/>
        <w:spacing w:before="234"/>
        <w:ind w:left="359" w:right="1073"/>
      </w:pPr>
      <w:bookmarkStart w:name="Appendix G: Sites with Administrative De" w:id="95"/>
      <w:bookmarkEnd w:id="95"/>
      <w:r>
        <w:rPr/>
      </w:r>
      <w:bookmarkStart w:name="_bookmark50" w:id="96"/>
      <w:bookmarkEnd w:id="96"/>
      <w:r>
        <w:rPr/>
      </w:r>
      <w:r>
        <w:rPr/>
        <w:t>Appendix</w:t>
      </w:r>
      <w:r>
        <w:rPr>
          <w:spacing w:val="-6"/>
        </w:rPr>
        <w:t> </w:t>
      </w:r>
      <w:r>
        <w:rPr/>
        <w:t>G:</w:t>
      </w:r>
      <w:r>
        <w:rPr>
          <w:spacing w:val="-3"/>
        </w:rPr>
        <w:t> </w:t>
      </w:r>
      <w:r>
        <w:rPr/>
        <w:t>Sites</w:t>
      </w:r>
      <w:r>
        <w:rPr>
          <w:spacing w:val="-4"/>
        </w:rPr>
        <w:t> </w:t>
      </w:r>
      <w:r>
        <w:rPr/>
        <w:t>with</w:t>
      </w:r>
      <w:r>
        <w:rPr>
          <w:spacing w:val="-3"/>
        </w:rPr>
        <w:t> </w:t>
      </w:r>
      <w:r>
        <w:rPr/>
        <w:t>Administrative</w:t>
      </w:r>
      <w:r>
        <w:rPr>
          <w:spacing w:val="-3"/>
        </w:rPr>
        <w:t> </w:t>
      </w:r>
      <w:r>
        <w:rPr/>
        <w:t>Designations</w:t>
      </w:r>
      <w:r>
        <w:rPr>
          <w:spacing w:val="-6"/>
        </w:rPr>
        <w:t> </w:t>
      </w:r>
      <w:r>
        <w:rPr/>
        <w:t>and</w:t>
      </w:r>
      <w:r>
        <w:rPr>
          <w:spacing w:val="-5"/>
        </w:rPr>
        <w:t> </w:t>
      </w:r>
      <w:r>
        <w:rPr/>
        <w:t>Areas</w:t>
      </w:r>
      <w:r>
        <w:rPr>
          <w:spacing w:val="-10"/>
        </w:rPr>
        <w:t> </w:t>
      </w:r>
      <w:r>
        <w:rPr/>
        <w:t>Withdrawn</w:t>
      </w:r>
      <w:r>
        <w:rPr>
          <w:spacing w:val="-3"/>
        </w:rPr>
        <w:t> </w:t>
      </w:r>
      <w:r>
        <w:rPr/>
        <w:t>from Mineral Entry</w:t>
      </w:r>
    </w:p>
    <w:p>
      <w:pPr>
        <w:pStyle w:val="BodyText"/>
        <w:spacing w:line="232" w:lineRule="auto" w:before="66"/>
        <w:ind w:left="359" w:right="1621"/>
      </w:pPr>
      <w:r>
        <w:rPr/>
        <w:t>This</w:t>
      </w:r>
      <w:r>
        <w:rPr>
          <w:spacing w:val="-6"/>
        </w:rPr>
        <w:t> </w:t>
      </w:r>
      <w:r>
        <w:rPr/>
        <w:t>appendix</w:t>
      </w:r>
      <w:r>
        <w:rPr>
          <w:spacing w:val="-6"/>
        </w:rPr>
        <w:t> </w:t>
      </w:r>
      <w:r>
        <w:rPr/>
        <w:t>provides</w:t>
      </w:r>
      <w:r>
        <w:rPr>
          <w:spacing w:val="-7"/>
        </w:rPr>
        <w:t> </w:t>
      </w:r>
      <w:r>
        <w:rPr/>
        <w:t>tables</w:t>
      </w:r>
      <w:r>
        <w:rPr>
          <w:spacing w:val="-6"/>
        </w:rPr>
        <w:t> </w:t>
      </w:r>
      <w:r>
        <w:rPr/>
        <w:t>and</w:t>
      </w:r>
      <w:r>
        <w:rPr>
          <w:spacing w:val="-8"/>
        </w:rPr>
        <w:t> </w:t>
      </w:r>
      <w:r>
        <w:rPr/>
        <w:t>maps</w:t>
      </w:r>
      <w:r>
        <w:rPr>
          <w:spacing w:val="-7"/>
        </w:rPr>
        <w:t> </w:t>
      </w:r>
      <w:r>
        <w:rPr/>
        <w:t>with</w:t>
      </w:r>
      <w:r>
        <w:rPr>
          <w:spacing w:val="-7"/>
        </w:rPr>
        <w:t> </w:t>
      </w:r>
      <w:r>
        <w:rPr/>
        <w:t>locations</w:t>
      </w:r>
      <w:r>
        <w:rPr>
          <w:spacing w:val="-7"/>
        </w:rPr>
        <w:t> </w:t>
      </w:r>
      <w:r>
        <w:rPr/>
        <w:t>of</w:t>
      </w:r>
      <w:r>
        <w:rPr>
          <w:spacing w:val="-6"/>
        </w:rPr>
        <w:t> </w:t>
      </w:r>
      <w:r>
        <w:rPr/>
        <w:t>designated</w:t>
      </w:r>
      <w:r>
        <w:rPr>
          <w:spacing w:val="-6"/>
        </w:rPr>
        <w:t> </w:t>
      </w:r>
      <w:r>
        <w:rPr/>
        <w:t>administrative</w:t>
      </w:r>
      <w:r>
        <w:rPr>
          <w:spacing w:val="-5"/>
        </w:rPr>
        <w:t> </w:t>
      </w:r>
      <w:r>
        <w:rPr/>
        <w:t>sites, designated energy corridors, and areas withdrawn from mineral</w:t>
      </w:r>
      <w:r>
        <w:rPr>
          <w:spacing w:val="-1"/>
        </w:rPr>
        <w:t> </w:t>
      </w:r>
      <w:r>
        <w:rPr/>
        <w:t>entry across the Colville National Forest.</w:t>
      </w:r>
    </w:p>
    <w:p>
      <w:pPr>
        <w:pStyle w:val="Heading4"/>
        <w:spacing w:before="233"/>
      </w:pPr>
      <w:bookmarkStart w:name="Appendix H: Management Area Map" w:id="97"/>
      <w:bookmarkEnd w:id="97"/>
      <w:r>
        <w:rPr/>
      </w:r>
      <w:bookmarkStart w:name="_bookmark51" w:id="98"/>
      <w:bookmarkEnd w:id="98"/>
      <w:r>
        <w:rPr/>
      </w:r>
      <w:r>
        <w:rPr/>
        <w:t>Appendix</w:t>
      </w:r>
      <w:r>
        <w:rPr>
          <w:spacing w:val="-6"/>
        </w:rPr>
        <w:t> </w:t>
      </w:r>
      <w:r>
        <w:rPr/>
        <w:t>H:</w:t>
      </w:r>
      <w:r>
        <w:rPr>
          <w:spacing w:val="-2"/>
        </w:rPr>
        <w:t> </w:t>
      </w:r>
      <w:r>
        <w:rPr/>
        <w:t>Management</w:t>
      </w:r>
      <w:r>
        <w:rPr>
          <w:spacing w:val="-3"/>
        </w:rPr>
        <w:t> </w:t>
      </w:r>
      <w:r>
        <w:rPr/>
        <w:t>Area</w:t>
      </w:r>
      <w:r>
        <w:rPr>
          <w:spacing w:val="-2"/>
        </w:rPr>
        <w:t> </w:t>
      </w:r>
      <w:r>
        <w:rPr>
          <w:spacing w:val="-5"/>
        </w:rPr>
        <w:t>Map</w:t>
      </w:r>
    </w:p>
    <w:p>
      <w:pPr>
        <w:pStyle w:val="BodyText"/>
        <w:spacing w:line="232" w:lineRule="auto" w:before="65"/>
        <w:ind w:left="360" w:right="1445"/>
      </w:pPr>
      <w:r>
        <w:rPr/>
        <w:t>This</w:t>
      </w:r>
      <w:r>
        <w:rPr>
          <w:spacing w:val="-5"/>
        </w:rPr>
        <w:t> </w:t>
      </w:r>
      <w:r>
        <w:rPr/>
        <w:t>appendix</w:t>
      </w:r>
      <w:r>
        <w:rPr>
          <w:spacing w:val="-5"/>
        </w:rPr>
        <w:t> </w:t>
      </w:r>
      <w:r>
        <w:rPr/>
        <w:t>provides</w:t>
      </w:r>
      <w:r>
        <w:rPr>
          <w:spacing w:val="-7"/>
        </w:rPr>
        <w:t> </w:t>
      </w:r>
      <w:r>
        <w:rPr/>
        <w:t>a</w:t>
      </w:r>
      <w:r>
        <w:rPr>
          <w:spacing w:val="-7"/>
        </w:rPr>
        <w:t> </w:t>
      </w:r>
      <w:r>
        <w:rPr/>
        <w:t>map</w:t>
      </w:r>
      <w:r>
        <w:rPr>
          <w:spacing w:val="-6"/>
        </w:rPr>
        <w:t> </w:t>
      </w:r>
      <w:r>
        <w:rPr/>
        <w:t>displaying</w:t>
      </w:r>
      <w:r>
        <w:rPr>
          <w:spacing w:val="-6"/>
        </w:rPr>
        <w:t> </w:t>
      </w:r>
      <w:r>
        <w:rPr/>
        <w:t>management</w:t>
      </w:r>
      <w:r>
        <w:rPr>
          <w:spacing w:val="-7"/>
        </w:rPr>
        <w:t> </w:t>
      </w:r>
      <w:r>
        <w:rPr/>
        <w:t>area</w:t>
      </w:r>
      <w:r>
        <w:rPr>
          <w:spacing w:val="-4"/>
        </w:rPr>
        <w:t> </w:t>
      </w:r>
      <w:r>
        <w:rPr/>
        <w:t>designations</w:t>
      </w:r>
      <w:r>
        <w:rPr>
          <w:spacing w:val="-5"/>
        </w:rPr>
        <w:t> </w:t>
      </w:r>
      <w:r>
        <w:rPr/>
        <w:t>across</w:t>
      </w:r>
      <w:r>
        <w:rPr>
          <w:spacing w:val="-7"/>
        </w:rPr>
        <w:t> </w:t>
      </w:r>
      <w:r>
        <w:rPr/>
        <w:t>the</w:t>
      </w:r>
      <w:r>
        <w:rPr>
          <w:spacing w:val="-4"/>
        </w:rPr>
        <w:t> </w:t>
      </w:r>
      <w:r>
        <w:rPr/>
        <w:t>Colville National Forest.</w:t>
      </w:r>
    </w:p>
    <w:p>
      <w:pPr>
        <w:pStyle w:val="BodyText"/>
        <w:spacing w:after="0" w:line="232" w:lineRule="auto"/>
        <w:sectPr>
          <w:pgSz w:w="12240" w:h="15840"/>
          <w:pgMar w:header="725" w:footer="891" w:top="960" w:bottom="1080" w:left="1080" w:right="720"/>
        </w:sectPr>
      </w:pPr>
    </w:p>
    <w:p>
      <w:pPr>
        <w:pStyle w:val="BodyText"/>
        <w:spacing w:before="157"/>
        <w:rPr>
          <w:sz w:val="26"/>
        </w:rPr>
      </w:pPr>
    </w:p>
    <w:p>
      <w:pPr>
        <w:pStyle w:val="Heading2"/>
        <w:ind w:left="1151" w:right="1073"/>
      </w:pPr>
      <w:bookmarkStart w:name="Roles and Contributions for the Colville" w:id="99"/>
      <w:bookmarkEnd w:id="99"/>
      <w:r>
        <w:rPr/>
      </w:r>
      <w:bookmarkStart w:name="_bookmark52" w:id="100"/>
      <w:bookmarkEnd w:id="100"/>
      <w:r>
        <w:rPr/>
      </w:r>
      <w:r>
        <w:rPr>
          <w:smallCaps/>
          <w:color w:val="475824"/>
        </w:rPr>
        <w:t>Roles</w:t>
      </w:r>
      <w:r>
        <w:rPr>
          <w:smallCaps/>
          <w:color w:val="475824"/>
          <w:spacing w:val="-19"/>
        </w:rPr>
        <w:t> </w:t>
      </w:r>
      <w:r>
        <w:rPr>
          <w:smallCaps/>
          <w:color w:val="475824"/>
        </w:rPr>
        <w:t>and</w:t>
      </w:r>
      <w:r>
        <w:rPr>
          <w:smallCaps/>
          <w:color w:val="475824"/>
          <w:spacing w:val="-18"/>
        </w:rPr>
        <w:t> </w:t>
      </w:r>
      <w:r>
        <w:rPr>
          <w:smallCaps/>
          <w:color w:val="475824"/>
        </w:rPr>
        <w:t>Contributions</w:t>
      </w:r>
      <w:r>
        <w:rPr>
          <w:smallCaps/>
          <w:color w:val="475824"/>
          <w:spacing w:val="-16"/>
        </w:rPr>
        <w:t> </w:t>
      </w:r>
      <w:r>
        <w:rPr>
          <w:smallCaps/>
          <w:color w:val="475824"/>
        </w:rPr>
        <w:t>for</w:t>
      </w:r>
      <w:r>
        <w:rPr>
          <w:smallCaps/>
          <w:color w:val="475824"/>
          <w:spacing w:val="-18"/>
        </w:rPr>
        <w:t> </w:t>
      </w:r>
      <w:r>
        <w:rPr>
          <w:smallCaps/>
          <w:color w:val="475824"/>
        </w:rPr>
        <w:t>the</w:t>
      </w:r>
      <w:r>
        <w:rPr>
          <w:smallCaps/>
          <w:color w:val="475824"/>
          <w:spacing w:val="-15"/>
        </w:rPr>
        <w:t> </w:t>
      </w:r>
      <w:r>
        <w:rPr>
          <w:smallCaps/>
          <w:color w:val="475824"/>
        </w:rPr>
        <w:t>Colville</w:t>
      </w:r>
      <w:r>
        <w:rPr>
          <w:smallCaps/>
          <w:color w:val="475824"/>
          <w:spacing w:val="-13"/>
        </w:rPr>
        <w:t> </w:t>
      </w:r>
      <w:r>
        <w:rPr>
          <w:smallCaps/>
          <w:color w:val="475824"/>
        </w:rPr>
        <w:t>National </w:t>
      </w:r>
      <w:r>
        <w:rPr>
          <w:smallCaps/>
          <w:color w:val="475824"/>
          <w:spacing w:val="-2"/>
        </w:rPr>
        <w:t>Forest</w:t>
      </w:r>
    </w:p>
    <w:p>
      <w:pPr>
        <w:pStyle w:val="Heading3"/>
        <w:spacing w:before="243"/>
      </w:pPr>
      <w:bookmarkStart w:name="International Level" w:id="101"/>
      <w:bookmarkEnd w:id="101"/>
      <w:r>
        <w:rPr>
          <w:b w:val="0"/>
        </w:rPr>
      </w:r>
      <w:bookmarkStart w:name="_bookmark53" w:id="102"/>
      <w:bookmarkEnd w:id="102"/>
      <w:r>
        <w:rPr>
          <w:b w:val="0"/>
        </w:rPr>
      </w:r>
      <w:r>
        <w:rPr>
          <w:smallCaps/>
          <w:color w:val="475824"/>
        </w:rPr>
        <w:t>International</w:t>
      </w:r>
      <w:r>
        <w:rPr>
          <w:smallCaps/>
          <w:color w:val="475824"/>
          <w:spacing w:val="-14"/>
        </w:rPr>
        <w:t> </w:t>
      </w:r>
      <w:r>
        <w:rPr>
          <w:smallCaps/>
          <w:color w:val="475824"/>
          <w:spacing w:val="-2"/>
        </w:rPr>
        <w:t>Level</w:t>
      </w:r>
    </w:p>
    <w:p>
      <w:pPr>
        <w:pStyle w:val="BodyText"/>
        <w:spacing w:line="232" w:lineRule="auto" w:before="63"/>
        <w:ind w:left="1871" w:right="720"/>
      </w:pPr>
      <w:r>
        <w:rPr>
          <w:b/>
        </w:rPr>
        <w:t>Contains</w:t>
      </w:r>
      <w:r>
        <w:rPr>
          <w:b/>
          <w:spacing w:val="-4"/>
        </w:rPr>
        <w:t> </w:t>
      </w:r>
      <w:r>
        <w:rPr>
          <w:b/>
        </w:rPr>
        <w:t>the</w:t>
      </w:r>
      <w:r>
        <w:rPr>
          <w:b/>
          <w:spacing w:val="-5"/>
        </w:rPr>
        <w:t> </w:t>
      </w:r>
      <w:r>
        <w:rPr>
          <w:b/>
        </w:rPr>
        <w:t>International</w:t>
      </w:r>
      <w:r>
        <w:rPr>
          <w:b/>
          <w:spacing w:val="-5"/>
        </w:rPr>
        <w:t> </w:t>
      </w:r>
      <w:r>
        <w:rPr>
          <w:b/>
        </w:rPr>
        <w:t>Selkirk</w:t>
      </w:r>
      <w:r>
        <w:rPr>
          <w:b/>
          <w:spacing w:val="-4"/>
        </w:rPr>
        <w:t> </w:t>
      </w:r>
      <w:r>
        <w:rPr>
          <w:b/>
        </w:rPr>
        <w:t>Loop.</w:t>
      </w:r>
      <w:r>
        <w:rPr>
          <w:b/>
          <w:spacing w:val="-5"/>
        </w:rPr>
        <w:t> </w:t>
      </w:r>
      <w:r>
        <w:rPr/>
        <w:t>This</w:t>
      </w:r>
      <w:r>
        <w:rPr>
          <w:spacing w:val="-4"/>
        </w:rPr>
        <w:t> </w:t>
      </w:r>
      <w:r>
        <w:rPr/>
        <w:t>designated</w:t>
      </w:r>
      <w:r>
        <w:rPr>
          <w:spacing w:val="-5"/>
        </w:rPr>
        <w:t> </w:t>
      </w:r>
      <w:r>
        <w:rPr/>
        <w:t>All-American</w:t>
      </w:r>
      <w:r>
        <w:rPr>
          <w:spacing w:val="-5"/>
        </w:rPr>
        <w:t> </w:t>
      </w:r>
      <w:r>
        <w:rPr/>
        <w:t>Road</w:t>
      </w:r>
      <w:r>
        <w:rPr>
          <w:spacing w:val="-7"/>
        </w:rPr>
        <w:t> </w:t>
      </w:r>
      <w:r>
        <w:rPr/>
        <w:t>is</w:t>
      </w:r>
      <w:r>
        <w:rPr>
          <w:spacing w:val="-6"/>
        </w:rPr>
        <w:t> </w:t>
      </w:r>
      <w:r>
        <w:rPr/>
        <w:t>one</w:t>
      </w:r>
      <w:r>
        <w:rPr>
          <w:spacing w:val="-4"/>
        </w:rPr>
        <w:t> </w:t>
      </w:r>
      <w:r>
        <w:rPr/>
        <w:t>of</w:t>
      </w:r>
      <w:r>
        <w:rPr>
          <w:spacing w:val="-6"/>
        </w:rPr>
        <w:t> </w:t>
      </w:r>
      <w:r>
        <w:rPr/>
        <w:t>31 in the Nation. It winds through northeastern Washington, northern Idaho, and southeastern British Columbia. The loop received the national Rural Community Assistance Action Award from the Chief of the USDA Forest Service for 2000 to 2001.</w:t>
      </w:r>
    </w:p>
    <w:p>
      <w:pPr>
        <w:spacing w:line="232" w:lineRule="auto" w:before="199"/>
        <w:ind w:left="1871" w:right="1073" w:firstLine="0"/>
        <w:jc w:val="left"/>
        <w:rPr>
          <w:sz w:val="22"/>
        </w:rPr>
      </w:pPr>
      <w:r>
        <w:rPr>
          <w:b/>
          <w:sz w:val="22"/>
        </w:rPr>
        <w:t>Shares</w:t>
      </w:r>
      <w:r>
        <w:rPr>
          <w:b/>
          <w:spacing w:val="-4"/>
          <w:sz w:val="22"/>
        </w:rPr>
        <w:t> </w:t>
      </w:r>
      <w:r>
        <w:rPr>
          <w:b/>
          <w:sz w:val="22"/>
        </w:rPr>
        <w:t>an</w:t>
      </w:r>
      <w:r>
        <w:rPr>
          <w:b/>
          <w:spacing w:val="-6"/>
          <w:sz w:val="22"/>
        </w:rPr>
        <w:t> </w:t>
      </w:r>
      <w:r>
        <w:rPr>
          <w:b/>
          <w:sz w:val="22"/>
        </w:rPr>
        <w:t>international</w:t>
      </w:r>
      <w:r>
        <w:rPr>
          <w:b/>
          <w:spacing w:val="-4"/>
          <w:sz w:val="22"/>
        </w:rPr>
        <w:t> </w:t>
      </w:r>
      <w:r>
        <w:rPr>
          <w:b/>
          <w:sz w:val="22"/>
        </w:rPr>
        <w:t>boundary</w:t>
      </w:r>
      <w:r>
        <w:rPr>
          <w:b/>
          <w:spacing w:val="-4"/>
          <w:sz w:val="22"/>
        </w:rPr>
        <w:t> </w:t>
      </w:r>
      <w:r>
        <w:rPr>
          <w:b/>
          <w:sz w:val="22"/>
        </w:rPr>
        <w:t>with</w:t>
      </w:r>
      <w:r>
        <w:rPr>
          <w:b/>
          <w:spacing w:val="-8"/>
          <w:sz w:val="22"/>
        </w:rPr>
        <w:t> </w:t>
      </w:r>
      <w:r>
        <w:rPr>
          <w:b/>
          <w:sz w:val="22"/>
        </w:rPr>
        <w:t>Canada.</w:t>
      </w:r>
      <w:r>
        <w:rPr>
          <w:b/>
          <w:spacing w:val="-4"/>
          <w:sz w:val="22"/>
        </w:rPr>
        <w:t> </w:t>
      </w:r>
      <w:r>
        <w:rPr>
          <w:sz w:val="22"/>
        </w:rPr>
        <w:t>The</w:t>
      </w:r>
      <w:r>
        <w:rPr>
          <w:spacing w:val="-7"/>
          <w:sz w:val="22"/>
        </w:rPr>
        <w:t> </w:t>
      </w:r>
      <w:r>
        <w:rPr>
          <w:sz w:val="22"/>
        </w:rPr>
        <w:t>Colville</w:t>
      </w:r>
      <w:r>
        <w:rPr>
          <w:spacing w:val="-7"/>
          <w:sz w:val="22"/>
        </w:rPr>
        <w:t> </w:t>
      </w:r>
      <w:r>
        <w:rPr>
          <w:sz w:val="22"/>
        </w:rPr>
        <w:t>National</w:t>
      </w:r>
      <w:r>
        <w:rPr>
          <w:spacing w:val="-8"/>
          <w:sz w:val="22"/>
        </w:rPr>
        <w:t> </w:t>
      </w:r>
      <w:r>
        <w:rPr>
          <w:sz w:val="22"/>
        </w:rPr>
        <w:t>Forest</w:t>
      </w:r>
      <w:r>
        <w:rPr>
          <w:spacing w:val="-7"/>
          <w:sz w:val="22"/>
        </w:rPr>
        <w:t> </w:t>
      </w:r>
      <w:r>
        <w:rPr>
          <w:sz w:val="22"/>
        </w:rPr>
        <w:t>shares 50</w:t>
      </w:r>
      <w:r>
        <w:rPr>
          <w:spacing w:val="-8"/>
          <w:sz w:val="22"/>
        </w:rPr>
        <w:t> </w:t>
      </w:r>
      <w:r>
        <w:rPr>
          <w:sz w:val="22"/>
        </w:rPr>
        <w:t>miles</w:t>
      </w:r>
      <w:r>
        <w:rPr>
          <w:spacing w:val="-7"/>
          <w:sz w:val="22"/>
        </w:rPr>
        <w:t> </w:t>
      </w:r>
      <w:r>
        <w:rPr>
          <w:sz w:val="22"/>
        </w:rPr>
        <w:t>of</w:t>
      </w:r>
      <w:r>
        <w:rPr>
          <w:spacing w:val="-4"/>
          <w:sz w:val="22"/>
        </w:rPr>
        <w:t> </w:t>
      </w:r>
      <w:r>
        <w:rPr>
          <w:sz w:val="22"/>
        </w:rPr>
        <w:t>border</w:t>
      </w:r>
      <w:r>
        <w:rPr>
          <w:spacing w:val="-7"/>
          <w:sz w:val="22"/>
        </w:rPr>
        <w:t> </w:t>
      </w:r>
      <w:r>
        <w:rPr>
          <w:sz w:val="22"/>
        </w:rPr>
        <w:t>with</w:t>
      </w:r>
      <w:r>
        <w:rPr>
          <w:spacing w:val="-5"/>
          <w:sz w:val="22"/>
        </w:rPr>
        <w:t> </w:t>
      </w:r>
      <w:r>
        <w:rPr>
          <w:sz w:val="22"/>
        </w:rPr>
        <w:t>Canada.</w:t>
      </w:r>
      <w:r>
        <w:rPr>
          <w:spacing w:val="-5"/>
          <w:sz w:val="22"/>
        </w:rPr>
        <w:t> </w:t>
      </w:r>
      <w:r>
        <w:rPr>
          <w:sz w:val="22"/>
        </w:rPr>
        <w:t>Visitors</w:t>
      </w:r>
      <w:r>
        <w:rPr>
          <w:spacing w:val="-5"/>
          <w:sz w:val="22"/>
        </w:rPr>
        <w:t> </w:t>
      </w:r>
      <w:r>
        <w:rPr>
          <w:sz w:val="22"/>
        </w:rPr>
        <w:t>cross</w:t>
      </w:r>
      <w:r>
        <w:rPr>
          <w:spacing w:val="-4"/>
          <w:sz w:val="22"/>
        </w:rPr>
        <w:t> </w:t>
      </w:r>
      <w:r>
        <w:rPr>
          <w:sz w:val="22"/>
        </w:rPr>
        <w:t>the</w:t>
      </w:r>
      <w:r>
        <w:rPr>
          <w:spacing w:val="-7"/>
          <w:sz w:val="22"/>
        </w:rPr>
        <w:t> </w:t>
      </w:r>
      <w:r>
        <w:rPr>
          <w:sz w:val="22"/>
        </w:rPr>
        <w:t>Unites</w:t>
      </w:r>
      <w:r>
        <w:rPr>
          <w:spacing w:val="-5"/>
          <w:sz w:val="22"/>
        </w:rPr>
        <w:t> </w:t>
      </w:r>
      <w:r>
        <w:rPr>
          <w:sz w:val="22"/>
        </w:rPr>
        <w:t>States</w:t>
      </w:r>
      <w:r>
        <w:rPr>
          <w:spacing w:val="-4"/>
          <w:sz w:val="22"/>
        </w:rPr>
        <w:t> </w:t>
      </w:r>
      <w:r>
        <w:rPr>
          <w:sz w:val="22"/>
        </w:rPr>
        <w:t>and</w:t>
      </w:r>
      <w:r>
        <w:rPr>
          <w:spacing w:val="-8"/>
          <w:sz w:val="22"/>
        </w:rPr>
        <w:t> </w:t>
      </w:r>
      <w:r>
        <w:rPr>
          <w:sz w:val="22"/>
        </w:rPr>
        <w:t>Canada</w:t>
      </w:r>
      <w:r>
        <w:rPr>
          <w:spacing w:val="-4"/>
          <w:sz w:val="22"/>
        </w:rPr>
        <w:t> </w:t>
      </w:r>
      <w:r>
        <w:rPr>
          <w:spacing w:val="-2"/>
          <w:sz w:val="22"/>
        </w:rPr>
        <w:t>border</w:t>
      </w:r>
    </w:p>
    <w:p>
      <w:pPr>
        <w:pStyle w:val="BodyText"/>
        <w:spacing w:line="232" w:lineRule="auto"/>
        <w:ind w:left="1871" w:right="801"/>
      </w:pPr>
      <w:r>
        <w:rPr/>
        <w:t>through</w:t>
      </w:r>
      <w:r>
        <w:rPr>
          <w:spacing w:val="-8"/>
        </w:rPr>
        <w:t> </w:t>
      </w:r>
      <w:r>
        <w:rPr/>
        <w:t>six</w:t>
      </w:r>
      <w:r>
        <w:rPr>
          <w:spacing w:val="-9"/>
        </w:rPr>
        <w:t> </w:t>
      </w:r>
      <w:r>
        <w:rPr/>
        <w:t>international</w:t>
      </w:r>
      <w:r>
        <w:rPr>
          <w:spacing w:val="-7"/>
        </w:rPr>
        <w:t> </w:t>
      </w:r>
      <w:r>
        <w:rPr/>
        <w:t>gateways</w:t>
      </w:r>
      <w:r>
        <w:rPr>
          <w:spacing w:val="-7"/>
        </w:rPr>
        <w:t> </w:t>
      </w:r>
      <w:r>
        <w:rPr/>
        <w:t>that</w:t>
      </w:r>
      <w:r>
        <w:rPr>
          <w:spacing w:val="-6"/>
        </w:rPr>
        <w:t> </w:t>
      </w:r>
      <w:r>
        <w:rPr/>
        <w:t>allow</w:t>
      </w:r>
      <w:r>
        <w:rPr>
          <w:spacing w:val="-9"/>
        </w:rPr>
        <w:t> </w:t>
      </w:r>
      <w:r>
        <w:rPr/>
        <w:t>access</w:t>
      </w:r>
      <w:r>
        <w:rPr>
          <w:spacing w:val="-7"/>
        </w:rPr>
        <w:t> </w:t>
      </w:r>
      <w:r>
        <w:rPr/>
        <w:t>through</w:t>
      </w:r>
      <w:r>
        <w:rPr>
          <w:spacing w:val="-8"/>
        </w:rPr>
        <w:t> </w:t>
      </w:r>
      <w:r>
        <w:rPr/>
        <w:t>the</w:t>
      </w:r>
      <w:r>
        <w:rPr>
          <w:spacing w:val="-9"/>
        </w:rPr>
        <w:t> </w:t>
      </w:r>
      <w:r>
        <w:rPr/>
        <w:t>national</w:t>
      </w:r>
      <w:r>
        <w:rPr>
          <w:spacing w:val="-10"/>
        </w:rPr>
        <w:t> </w:t>
      </w:r>
      <w:r>
        <w:rPr/>
        <w:t>forest</w:t>
      </w:r>
      <w:r>
        <w:rPr>
          <w:spacing w:val="-9"/>
        </w:rPr>
        <w:t> </w:t>
      </w:r>
      <w:r>
        <w:rPr/>
        <w:t>(these include, from west to east: Ferry, Danville, Laurier, Frontier, Boundary, and</w:t>
      </w:r>
      <w:r>
        <w:rPr>
          <w:spacing w:val="-1"/>
        </w:rPr>
        <w:t> </w:t>
      </w:r>
      <w:r>
        <w:rPr/>
        <w:t>Metaline </w:t>
      </w:r>
      <w:r>
        <w:rPr>
          <w:spacing w:val="-2"/>
        </w:rPr>
        <w:t>Falls).</w:t>
      </w:r>
    </w:p>
    <w:p>
      <w:pPr>
        <w:pStyle w:val="BodyText"/>
        <w:spacing w:line="232" w:lineRule="auto" w:before="198"/>
        <w:ind w:left="1870" w:right="801" w:firstLine="1"/>
      </w:pPr>
      <w:r>
        <w:rPr>
          <w:b/>
        </w:rPr>
        <w:t>Hydroelectric power production and energy infrastructure. </w:t>
      </w:r>
      <w:r>
        <w:rPr/>
        <w:t>Waters from the Colville National</w:t>
      </w:r>
      <w:r>
        <w:rPr>
          <w:spacing w:val="-1"/>
        </w:rPr>
        <w:t> </w:t>
      </w:r>
      <w:r>
        <w:rPr/>
        <w:t>Forest drain</w:t>
      </w:r>
      <w:r>
        <w:rPr>
          <w:spacing w:val="-2"/>
        </w:rPr>
        <w:t> </w:t>
      </w:r>
      <w:r>
        <w:rPr/>
        <w:t>to Lake Roosevelt</w:t>
      </w:r>
      <w:r>
        <w:rPr>
          <w:spacing w:val="-3"/>
        </w:rPr>
        <w:t> </w:t>
      </w:r>
      <w:r>
        <w:rPr/>
        <w:t>on</w:t>
      </w:r>
      <w:r>
        <w:rPr>
          <w:spacing w:val="-4"/>
        </w:rPr>
        <w:t> </w:t>
      </w:r>
      <w:r>
        <w:rPr/>
        <w:t>the Columbia</w:t>
      </w:r>
      <w:r>
        <w:rPr>
          <w:spacing w:val="-1"/>
        </w:rPr>
        <w:t> </w:t>
      </w:r>
      <w:r>
        <w:rPr/>
        <w:t>River,</w:t>
      </w:r>
      <w:r>
        <w:rPr>
          <w:spacing w:val="-3"/>
        </w:rPr>
        <w:t> </w:t>
      </w:r>
      <w:r>
        <w:rPr/>
        <w:t>which</w:t>
      </w:r>
      <w:r>
        <w:rPr>
          <w:spacing w:val="-2"/>
        </w:rPr>
        <w:t> </w:t>
      </w:r>
      <w:r>
        <w:rPr/>
        <w:t>is</w:t>
      </w:r>
      <w:r>
        <w:rPr>
          <w:spacing w:val="-3"/>
        </w:rPr>
        <w:t> </w:t>
      </w:r>
      <w:r>
        <w:rPr/>
        <w:t>impounded</w:t>
      </w:r>
      <w:r>
        <w:rPr>
          <w:spacing w:val="-2"/>
        </w:rPr>
        <w:t> </w:t>
      </w:r>
      <w:r>
        <w:rPr/>
        <w:t>by the Grand Coulee Dam, the largest power supplying dam in the United States. The Grand</w:t>
      </w:r>
      <w:r>
        <w:rPr>
          <w:spacing w:val="-7"/>
        </w:rPr>
        <w:t> </w:t>
      </w:r>
      <w:r>
        <w:rPr/>
        <w:t>Coulee</w:t>
      </w:r>
      <w:r>
        <w:rPr>
          <w:spacing w:val="-7"/>
        </w:rPr>
        <w:t> </w:t>
      </w:r>
      <w:r>
        <w:rPr/>
        <w:t>Dam</w:t>
      </w:r>
      <w:r>
        <w:rPr>
          <w:spacing w:val="-5"/>
        </w:rPr>
        <w:t> </w:t>
      </w:r>
      <w:r>
        <w:rPr/>
        <w:t>generates</w:t>
      </w:r>
      <w:r>
        <w:rPr>
          <w:spacing w:val="-6"/>
        </w:rPr>
        <w:t> </w:t>
      </w:r>
      <w:r>
        <w:rPr/>
        <w:t>21</w:t>
      </w:r>
      <w:r>
        <w:rPr>
          <w:spacing w:val="-5"/>
        </w:rPr>
        <w:t> </w:t>
      </w:r>
      <w:r>
        <w:rPr/>
        <w:t>billion</w:t>
      </w:r>
      <w:r>
        <w:rPr>
          <w:spacing w:val="-8"/>
        </w:rPr>
        <w:t> </w:t>
      </w:r>
      <w:r>
        <w:rPr/>
        <w:t>kilowatt-hours</w:t>
      </w:r>
      <w:r>
        <w:rPr>
          <w:spacing w:val="-7"/>
        </w:rPr>
        <w:t> </w:t>
      </w:r>
      <w:r>
        <w:rPr/>
        <w:t>of</w:t>
      </w:r>
      <w:r>
        <w:rPr>
          <w:spacing w:val="-6"/>
        </w:rPr>
        <w:t> </w:t>
      </w:r>
      <w:r>
        <w:rPr/>
        <w:t>electricity</w:t>
      </w:r>
      <w:r>
        <w:rPr>
          <w:spacing w:val="-5"/>
        </w:rPr>
        <w:t> </w:t>
      </w:r>
      <w:r>
        <w:rPr/>
        <w:t>per</w:t>
      </w:r>
      <w:r>
        <w:rPr>
          <w:spacing w:val="-7"/>
        </w:rPr>
        <w:t> </w:t>
      </w:r>
      <w:r>
        <w:rPr/>
        <w:t>year,</w:t>
      </w:r>
      <w:r>
        <w:rPr>
          <w:spacing w:val="-7"/>
        </w:rPr>
        <w:t> </w:t>
      </w:r>
      <w:r>
        <w:rPr/>
        <w:t>supplying power to Washington, Oregon, Idaho, Montana, Wyoming, Colorado, California, Nevada, New Mexico, Utah, Arizona, and Canada. In addition, there are two hydropower projects with acreage on the Colville National Forest on the Pend Oreille River.</w:t>
      </w:r>
      <w:r>
        <w:rPr>
          <w:spacing w:val="-11"/>
        </w:rPr>
        <w:t> </w:t>
      </w:r>
      <w:r>
        <w:rPr/>
        <w:t>Boundary</w:t>
      </w:r>
      <w:r>
        <w:rPr>
          <w:spacing w:val="-10"/>
        </w:rPr>
        <w:t> </w:t>
      </w:r>
      <w:r>
        <w:rPr/>
        <w:t>Dam</w:t>
      </w:r>
      <w:r>
        <w:rPr>
          <w:spacing w:val="-8"/>
        </w:rPr>
        <w:t> </w:t>
      </w:r>
      <w:r>
        <w:rPr/>
        <w:t>generates</w:t>
      </w:r>
      <w:r>
        <w:rPr>
          <w:spacing w:val="-10"/>
        </w:rPr>
        <w:t> </w:t>
      </w:r>
      <w:r>
        <w:rPr/>
        <w:t>one-third</w:t>
      </w:r>
      <w:r>
        <w:rPr>
          <w:spacing w:val="-11"/>
        </w:rPr>
        <w:t> </w:t>
      </w:r>
      <w:r>
        <w:rPr/>
        <w:t>of</w:t>
      </w:r>
      <w:r>
        <w:rPr>
          <w:spacing w:val="-9"/>
        </w:rPr>
        <w:t> </w:t>
      </w:r>
      <w:r>
        <w:rPr/>
        <w:t>Seattle</w:t>
      </w:r>
      <w:r>
        <w:rPr>
          <w:spacing w:val="-8"/>
        </w:rPr>
        <w:t> </w:t>
      </w:r>
      <w:r>
        <w:rPr/>
        <w:t>City</w:t>
      </w:r>
      <w:r>
        <w:rPr>
          <w:spacing w:val="-8"/>
        </w:rPr>
        <w:t> </w:t>
      </w:r>
      <w:r>
        <w:rPr/>
        <w:t>Light’s</w:t>
      </w:r>
      <w:r>
        <w:rPr>
          <w:spacing w:val="-10"/>
        </w:rPr>
        <w:t> </w:t>
      </w:r>
      <w:r>
        <w:rPr/>
        <w:t>power,</w:t>
      </w:r>
      <w:r>
        <w:rPr>
          <w:spacing w:val="-9"/>
        </w:rPr>
        <w:t> </w:t>
      </w:r>
      <w:r>
        <w:rPr/>
        <w:t>and</w:t>
      </w:r>
      <w:r>
        <w:rPr>
          <w:spacing w:val="-11"/>
        </w:rPr>
        <w:t> </w:t>
      </w:r>
      <w:r>
        <w:rPr/>
        <w:t>Box</w:t>
      </w:r>
      <w:r>
        <w:rPr>
          <w:spacing w:val="-10"/>
        </w:rPr>
        <w:t> </w:t>
      </w:r>
      <w:r>
        <w:rPr/>
        <w:t>Canyon Dam supplies power for Pend Oreille County. Both dams also supply power to other western states and Canada at times of peak production. Bonneville Power Administration owns, operates, and maintains approximately 85 miles of electric transmission lines on the Colville National Forest.</w:t>
      </w:r>
    </w:p>
    <w:p>
      <w:pPr>
        <w:pStyle w:val="BodyText"/>
        <w:spacing w:line="232" w:lineRule="auto" w:before="193"/>
        <w:ind w:left="1870" w:right="801"/>
      </w:pPr>
      <w:r>
        <w:rPr>
          <w:b/>
        </w:rPr>
        <w:t>Traditional Tribal Lands. </w:t>
      </w:r>
      <w:r>
        <w:rPr/>
        <w:t>The Colville National Forest recognizes rights and responsibilities</w:t>
      </w:r>
      <w:r>
        <w:rPr>
          <w:spacing w:val="-10"/>
        </w:rPr>
        <w:t> </w:t>
      </w:r>
      <w:r>
        <w:rPr/>
        <w:t>with</w:t>
      </w:r>
      <w:r>
        <w:rPr>
          <w:spacing w:val="-11"/>
        </w:rPr>
        <w:t> </w:t>
      </w:r>
      <w:r>
        <w:rPr/>
        <w:t>the</w:t>
      </w:r>
      <w:r>
        <w:rPr>
          <w:spacing w:val="-12"/>
        </w:rPr>
        <w:t> </w:t>
      </w:r>
      <w:r>
        <w:rPr/>
        <w:t>following</w:t>
      </w:r>
      <w:r>
        <w:rPr>
          <w:spacing w:val="-13"/>
        </w:rPr>
        <w:t> </w:t>
      </w:r>
      <w:r>
        <w:rPr/>
        <w:t>federally</w:t>
      </w:r>
      <w:r>
        <w:rPr>
          <w:spacing w:val="-9"/>
        </w:rPr>
        <w:t> </w:t>
      </w:r>
      <w:r>
        <w:rPr/>
        <w:t>recognized</w:t>
      </w:r>
      <w:r>
        <w:rPr>
          <w:spacing w:val="-13"/>
        </w:rPr>
        <w:t> </w:t>
      </w:r>
      <w:r>
        <w:rPr/>
        <w:t>Indian</w:t>
      </w:r>
      <w:r>
        <w:rPr>
          <w:spacing w:val="-10"/>
        </w:rPr>
        <w:t> </w:t>
      </w:r>
      <w:r>
        <w:rPr/>
        <w:t>Tribes:</w:t>
      </w:r>
      <w:r>
        <w:rPr>
          <w:spacing w:val="-9"/>
        </w:rPr>
        <w:t> </w:t>
      </w:r>
      <w:r>
        <w:rPr/>
        <w:t>the</w:t>
      </w:r>
      <w:r>
        <w:rPr>
          <w:spacing w:val="-9"/>
        </w:rPr>
        <w:t> </w:t>
      </w:r>
      <w:r>
        <w:rPr/>
        <w:t>Confederated Tribes of the Colville, the Kalispel Tribe of Indians, and the Spokane Tribe of Indians.</w:t>
      </w:r>
    </w:p>
    <w:p>
      <w:pPr>
        <w:pStyle w:val="BodyText"/>
        <w:spacing w:line="232" w:lineRule="auto"/>
        <w:ind w:left="1870" w:right="801"/>
      </w:pPr>
      <w:r>
        <w:rPr/>
        <w:t>Each</w:t>
      </w:r>
      <w:r>
        <w:rPr>
          <w:spacing w:val="-4"/>
        </w:rPr>
        <w:t> </w:t>
      </w:r>
      <w:r>
        <w:rPr/>
        <w:t>has</w:t>
      </w:r>
      <w:r>
        <w:rPr>
          <w:spacing w:val="-3"/>
        </w:rPr>
        <w:t> </w:t>
      </w:r>
      <w:r>
        <w:rPr/>
        <w:t>a</w:t>
      </w:r>
      <w:r>
        <w:rPr>
          <w:spacing w:val="-3"/>
        </w:rPr>
        <w:t> </w:t>
      </w:r>
      <w:r>
        <w:rPr/>
        <w:t>long,</w:t>
      </w:r>
      <w:r>
        <w:rPr>
          <w:spacing w:val="-3"/>
        </w:rPr>
        <w:t> </w:t>
      </w:r>
      <w:r>
        <w:rPr/>
        <w:t>rich</w:t>
      </w:r>
      <w:r>
        <w:rPr>
          <w:spacing w:val="-4"/>
        </w:rPr>
        <w:t> </w:t>
      </w:r>
      <w:r>
        <w:rPr/>
        <w:t>history</w:t>
      </w:r>
      <w:r>
        <w:rPr>
          <w:spacing w:val="-2"/>
        </w:rPr>
        <w:t> </w:t>
      </w:r>
      <w:r>
        <w:rPr/>
        <w:t>and</w:t>
      </w:r>
      <w:r>
        <w:rPr>
          <w:spacing w:val="-6"/>
        </w:rPr>
        <w:t> </w:t>
      </w:r>
      <w:r>
        <w:rPr/>
        <w:t>modern</w:t>
      </w:r>
      <w:r>
        <w:rPr>
          <w:spacing w:val="-4"/>
        </w:rPr>
        <w:t> </w:t>
      </w:r>
      <w:r>
        <w:rPr/>
        <w:t>ties</w:t>
      </w:r>
      <w:r>
        <w:rPr>
          <w:spacing w:val="-5"/>
        </w:rPr>
        <w:t> </w:t>
      </w:r>
      <w:r>
        <w:rPr/>
        <w:t>to</w:t>
      </w:r>
      <w:r>
        <w:rPr>
          <w:spacing w:val="-2"/>
        </w:rPr>
        <w:t> </w:t>
      </w:r>
      <w:r>
        <w:rPr/>
        <w:t>the</w:t>
      </w:r>
      <w:r>
        <w:rPr>
          <w:spacing w:val="-5"/>
        </w:rPr>
        <w:t> </w:t>
      </w:r>
      <w:r>
        <w:rPr/>
        <w:t>lands</w:t>
      </w:r>
      <w:r>
        <w:rPr>
          <w:spacing w:val="-3"/>
        </w:rPr>
        <w:t> </w:t>
      </w:r>
      <w:r>
        <w:rPr/>
        <w:t>and</w:t>
      </w:r>
      <w:r>
        <w:rPr>
          <w:spacing w:val="-4"/>
        </w:rPr>
        <w:t> </w:t>
      </w:r>
      <w:r>
        <w:rPr/>
        <w:t>resources</w:t>
      </w:r>
      <w:r>
        <w:rPr>
          <w:spacing w:val="-3"/>
        </w:rPr>
        <w:t> </w:t>
      </w:r>
      <w:r>
        <w:rPr/>
        <w:t>of</w:t>
      </w:r>
      <w:r>
        <w:rPr>
          <w:spacing w:val="-3"/>
        </w:rPr>
        <w:t> </w:t>
      </w:r>
      <w:r>
        <w:rPr/>
        <w:t>the</w:t>
      </w:r>
      <w:r>
        <w:rPr>
          <w:spacing w:val="-5"/>
        </w:rPr>
        <w:t> </w:t>
      </w:r>
      <w:r>
        <w:rPr/>
        <w:t>Colville National Forest. Furthermore, The Colville and Kalispel Tribal reservation lands share boundaries with, or are near Colville National Forest lands. Participation and interest varies among the Tribes depending upon location, issues, and opportunities.</w:t>
      </w:r>
    </w:p>
    <w:p>
      <w:pPr>
        <w:pStyle w:val="BodyText"/>
        <w:spacing w:line="232" w:lineRule="auto"/>
        <w:ind w:left="1870" w:right="801"/>
      </w:pPr>
      <w:r>
        <w:rPr/>
        <w:t>Government-to-government relationships with these Tribes has been maintained through</w:t>
      </w:r>
      <w:r>
        <w:rPr>
          <w:spacing w:val="-5"/>
        </w:rPr>
        <w:t> </w:t>
      </w:r>
      <w:r>
        <w:rPr/>
        <w:t>the</w:t>
      </w:r>
      <w:r>
        <w:rPr>
          <w:spacing w:val="-3"/>
        </w:rPr>
        <w:t> </w:t>
      </w:r>
      <w:r>
        <w:rPr/>
        <w:t>planning</w:t>
      </w:r>
      <w:r>
        <w:rPr>
          <w:spacing w:val="-5"/>
        </w:rPr>
        <w:t> </w:t>
      </w:r>
      <w:r>
        <w:rPr/>
        <w:t>process</w:t>
      </w:r>
      <w:r>
        <w:rPr>
          <w:spacing w:val="-4"/>
        </w:rPr>
        <w:t> </w:t>
      </w:r>
      <w:r>
        <w:rPr/>
        <w:t>and</w:t>
      </w:r>
      <w:r>
        <w:rPr>
          <w:spacing w:val="-5"/>
        </w:rPr>
        <w:t> </w:t>
      </w:r>
      <w:r>
        <w:rPr/>
        <w:t>will</w:t>
      </w:r>
      <w:r>
        <w:rPr>
          <w:spacing w:val="-4"/>
        </w:rPr>
        <w:t> </w:t>
      </w:r>
      <w:r>
        <w:rPr/>
        <w:t>be</w:t>
      </w:r>
      <w:r>
        <w:rPr>
          <w:spacing w:val="-6"/>
        </w:rPr>
        <w:t> </w:t>
      </w:r>
      <w:r>
        <w:rPr/>
        <w:t>continued</w:t>
      </w:r>
      <w:r>
        <w:rPr>
          <w:spacing w:val="-5"/>
        </w:rPr>
        <w:t> </w:t>
      </w:r>
      <w:r>
        <w:rPr/>
        <w:t>during</w:t>
      </w:r>
      <w:r>
        <w:rPr>
          <w:spacing w:val="-5"/>
        </w:rPr>
        <w:t> </w:t>
      </w:r>
      <w:r>
        <w:rPr/>
        <w:t>the</w:t>
      </w:r>
      <w:r>
        <w:rPr>
          <w:spacing w:val="-3"/>
        </w:rPr>
        <w:t> </w:t>
      </w:r>
      <w:r>
        <w:rPr/>
        <w:t>implementation</w:t>
      </w:r>
      <w:r>
        <w:rPr>
          <w:spacing w:val="-7"/>
        </w:rPr>
        <w:t> </w:t>
      </w:r>
      <w:r>
        <w:rPr/>
        <w:t>of</w:t>
      </w:r>
      <w:r>
        <w:rPr>
          <w:spacing w:val="-6"/>
        </w:rPr>
        <w:t> </w:t>
      </w:r>
      <w:r>
        <w:rPr/>
        <w:t>the </w:t>
      </w:r>
      <w:r>
        <w:rPr>
          <w:spacing w:val="-2"/>
        </w:rPr>
        <w:t>Plan.</w:t>
      </w:r>
    </w:p>
    <w:p>
      <w:pPr>
        <w:pStyle w:val="Heading3"/>
        <w:spacing w:before="232"/>
      </w:pPr>
      <w:bookmarkStart w:name="National Level" w:id="103"/>
      <w:bookmarkEnd w:id="103"/>
      <w:r>
        <w:rPr>
          <w:b w:val="0"/>
        </w:rPr>
      </w:r>
      <w:bookmarkStart w:name="_bookmark54" w:id="104"/>
      <w:bookmarkEnd w:id="104"/>
      <w:r>
        <w:rPr>
          <w:b w:val="0"/>
        </w:rPr>
      </w:r>
      <w:r>
        <w:rPr>
          <w:smallCaps/>
          <w:color w:val="475824"/>
        </w:rPr>
        <w:t>National</w:t>
      </w:r>
      <w:r>
        <w:rPr>
          <w:smallCaps/>
          <w:color w:val="475824"/>
          <w:spacing w:val="-7"/>
        </w:rPr>
        <w:t> </w:t>
      </w:r>
      <w:r>
        <w:rPr>
          <w:smallCaps/>
          <w:color w:val="475824"/>
          <w:spacing w:val="-2"/>
        </w:rPr>
        <w:t>Level</w:t>
      </w:r>
    </w:p>
    <w:p>
      <w:pPr>
        <w:pStyle w:val="BodyText"/>
        <w:spacing w:line="232" w:lineRule="auto" w:before="63"/>
        <w:ind w:left="1871" w:right="769"/>
      </w:pPr>
      <w:r>
        <w:rPr>
          <w:b/>
        </w:rPr>
        <w:t>Provides habitat for three federally protected terrestrial wildlife species. </w:t>
      </w:r>
      <w:r>
        <w:rPr/>
        <w:t>The USDI</w:t>
      </w:r>
      <w:r>
        <w:rPr/>
        <w:t> Fish and Wildlife Service lists the grizzly bear and Canada lynx as threatened species and woodland caribou as an endangered species. The far eastern portion of Colville National Forest is included</w:t>
      </w:r>
      <w:r>
        <w:rPr>
          <w:spacing w:val="-1"/>
        </w:rPr>
        <w:t> </w:t>
      </w:r>
      <w:r>
        <w:rPr/>
        <w:t>in the Selkirk Grizzly Bear Recovery area. The recovery area supports a small population of grizzly bears. The Colville contains a recovery area and designated critical habitat for the last remaining herd of woodland caribou in the continental United States. The recovery area for the Selkirk Mountain Woodland Caribou, possibly the most endangered mammal in the continental United States, includes</w:t>
      </w:r>
      <w:r>
        <w:rPr>
          <w:spacing w:val="-3"/>
        </w:rPr>
        <w:t> </w:t>
      </w:r>
      <w:r>
        <w:rPr/>
        <w:t>a</w:t>
      </w:r>
      <w:r>
        <w:rPr>
          <w:spacing w:val="-3"/>
        </w:rPr>
        <w:t> </w:t>
      </w:r>
      <w:r>
        <w:rPr/>
        <w:t>portion</w:t>
      </w:r>
      <w:r>
        <w:rPr>
          <w:spacing w:val="-6"/>
        </w:rPr>
        <w:t> </w:t>
      </w:r>
      <w:r>
        <w:rPr/>
        <w:t>of</w:t>
      </w:r>
      <w:r>
        <w:rPr>
          <w:spacing w:val="-5"/>
        </w:rPr>
        <w:t> </w:t>
      </w:r>
      <w:r>
        <w:rPr/>
        <w:t>the</w:t>
      </w:r>
      <w:r>
        <w:rPr>
          <w:spacing w:val="-2"/>
        </w:rPr>
        <w:t> </w:t>
      </w:r>
      <w:r>
        <w:rPr/>
        <w:t>Colville</w:t>
      </w:r>
      <w:r>
        <w:rPr>
          <w:spacing w:val="-5"/>
        </w:rPr>
        <w:t> </w:t>
      </w:r>
      <w:r>
        <w:rPr/>
        <w:t>National</w:t>
      </w:r>
      <w:r>
        <w:rPr>
          <w:spacing w:val="-6"/>
        </w:rPr>
        <w:t> </w:t>
      </w:r>
      <w:r>
        <w:rPr/>
        <w:t>Forest</w:t>
      </w:r>
      <w:r>
        <w:rPr>
          <w:spacing w:val="-5"/>
        </w:rPr>
        <w:t> </w:t>
      </w:r>
      <w:r>
        <w:rPr/>
        <w:t>and</w:t>
      </w:r>
      <w:r>
        <w:rPr>
          <w:spacing w:val="-6"/>
        </w:rPr>
        <w:t> </w:t>
      </w:r>
      <w:r>
        <w:rPr/>
        <w:t>public</w:t>
      </w:r>
      <w:r>
        <w:rPr>
          <w:spacing w:val="-3"/>
        </w:rPr>
        <w:t> </w:t>
      </w:r>
      <w:r>
        <w:rPr/>
        <w:t>lands</w:t>
      </w:r>
      <w:r>
        <w:rPr>
          <w:spacing w:val="-3"/>
        </w:rPr>
        <w:t> </w:t>
      </w:r>
      <w:r>
        <w:rPr/>
        <w:t>in</w:t>
      </w:r>
      <w:r>
        <w:rPr>
          <w:spacing w:val="-4"/>
        </w:rPr>
        <w:t> </w:t>
      </w:r>
      <w:r>
        <w:rPr/>
        <w:t>northern</w:t>
      </w:r>
      <w:r>
        <w:rPr>
          <w:spacing w:val="-4"/>
        </w:rPr>
        <w:t> </w:t>
      </w:r>
      <w:r>
        <w:rPr/>
        <w:t>Idaho</w:t>
      </w:r>
      <w:r>
        <w:rPr>
          <w:spacing w:val="-2"/>
        </w:rPr>
        <w:t> </w:t>
      </w:r>
      <w:r>
        <w:rPr/>
        <w:t>and</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079" w:right="1516"/>
      </w:pPr>
      <w:r>
        <w:rPr/>
        <w:t>southern</w:t>
      </w:r>
      <w:r>
        <w:rPr>
          <w:spacing w:val="-5"/>
        </w:rPr>
        <w:t> </w:t>
      </w:r>
      <w:r>
        <w:rPr/>
        <w:t>British</w:t>
      </w:r>
      <w:r>
        <w:rPr>
          <w:spacing w:val="-5"/>
        </w:rPr>
        <w:t> </w:t>
      </w:r>
      <w:r>
        <w:rPr/>
        <w:t>Columbia.</w:t>
      </w:r>
      <w:r>
        <w:rPr>
          <w:spacing w:val="-7"/>
        </w:rPr>
        <w:t> </w:t>
      </w:r>
      <w:r>
        <w:rPr/>
        <w:t>In</w:t>
      </w:r>
      <w:r>
        <w:rPr>
          <w:spacing w:val="-5"/>
        </w:rPr>
        <w:t> </w:t>
      </w:r>
      <w:r>
        <w:rPr/>
        <w:t>2013,</w:t>
      </w:r>
      <w:r>
        <w:rPr>
          <w:spacing w:val="-6"/>
        </w:rPr>
        <w:t> </w:t>
      </w:r>
      <w:r>
        <w:rPr/>
        <w:t>only</w:t>
      </w:r>
      <w:r>
        <w:rPr>
          <w:spacing w:val="-3"/>
        </w:rPr>
        <w:t> </w:t>
      </w:r>
      <w:r>
        <w:rPr/>
        <w:t>18</w:t>
      </w:r>
      <w:r>
        <w:rPr>
          <w:spacing w:val="-3"/>
        </w:rPr>
        <w:t> </w:t>
      </w:r>
      <w:r>
        <w:rPr/>
        <w:t>animals</w:t>
      </w:r>
      <w:r>
        <w:rPr>
          <w:spacing w:val="-6"/>
        </w:rPr>
        <w:t> </w:t>
      </w:r>
      <w:r>
        <w:rPr/>
        <w:t>were</w:t>
      </w:r>
      <w:r>
        <w:rPr>
          <w:spacing w:val="-3"/>
        </w:rPr>
        <w:t> </w:t>
      </w:r>
      <w:r>
        <w:rPr/>
        <w:t>counted</w:t>
      </w:r>
      <w:r>
        <w:rPr>
          <w:spacing w:val="-5"/>
        </w:rPr>
        <w:t> </w:t>
      </w:r>
      <w:r>
        <w:rPr/>
        <w:t>in</w:t>
      </w:r>
      <w:r>
        <w:rPr>
          <w:spacing w:val="-7"/>
        </w:rPr>
        <w:t> </w:t>
      </w:r>
      <w:r>
        <w:rPr/>
        <w:t>the</w:t>
      </w:r>
      <w:r>
        <w:rPr>
          <w:spacing w:val="-3"/>
        </w:rPr>
        <w:t> </w:t>
      </w:r>
      <w:r>
        <w:rPr/>
        <w:t>entire</w:t>
      </w:r>
      <w:r>
        <w:rPr>
          <w:spacing w:val="-6"/>
        </w:rPr>
        <w:t> </w:t>
      </w:r>
      <w:r>
        <w:rPr/>
        <w:t>recovery area. The Colville does not contain designated critical habitat for Canada lynx, but follows current science direction for managing Canada lynx habitat (ILBT 2013). The crest of the Kettle River Mountains (known as the Kettle Crest) is part of a Core Area that is important for the recovery of Canada lynx in Washington. While lynx have been occasionally detected within their historical range in Ferry, Stevens, and Pend Oreille Counties,</w:t>
      </w:r>
      <w:r>
        <w:rPr>
          <w:spacing w:val="-2"/>
        </w:rPr>
        <w:t> </w:t>
      </w:r>
      <w:r>
        <w:rPr/>
        <w:t>these detections</w:t>
      </w:r>
      <w:r>
        <w:rPr>
          <w:spacing w:val="-5"/>
        </w:rPr>
        <w:t> </w:t>
      </w:r>
      <w:r>
        <w:rPr/>
        <w:t>are too</w:t>
      </w:r>
      <w:r>
        <w:rPr>
          <w:spacing w:val="-1"/>
        </w:rPr>
        <w:t> </w:t>
      </w:r>
      <w:r>
        <w:rPr/>
        <w:t>few</w:t>
      </w:r>
      <w:r>
        <w:rPr>
          <w:spacing w:val="-2"/>
        </w:rPr>
        <w:t> </w:t>
      </w:r>
      <w:r>
        <w:rPr/>
        <w:t>to represent</w:t>
      </w:r>
      <w:r>
        <w:rPr>
          <w:spacing w:val="-2"/>
        </w:rPr>
        <w:t> </w:t>
      </w:r>
      <w:r>
        <w:rPr/>
        <w:t>a resident population</w:t>
      </w:r>
      <w:r>
        <w:rPr>
          <w:spacing w:val="-1"/>
        </w:rPr>
        <w:t> </w:t>
      </w:r>
      <w:r>
        <w:rPr/>
        <w:t>(Lewis</w:t>
      </w:r>
      <w:r>
        <w:rPr>
          <w:spacing w:val="-2"/>
        </w:rPr>
        <w:t> </w:t>
      </w:r>
      <w:r>
        <w:rPr/>
        <w:t>2016). However, this plan incorporates new science regarding this species.</w:t>
      </w:r>
    </w:p>
    <w:p>
      <w:pPr>
        <w:pStyle w:val="BodyText"/>
        <w:spacing w:line="232" w:lineRule="auto" w:before="196"/>
        <w:ind w:left="1079" w:right="1492"/>
      </w:pPr>
      <w:r>
        <w:rPr>
          <w:b/>
        </w:rPr>
        <w:t>Contains one of six nationally designated grizzly bear recovery areas. </w:t>
      </w:r>
      <w:r>
        <w:rPr/>
        <w:t>The Selkirk Grizzly Bear Recovery Area is home to a population of approximately 30 grizzly bears. The recovery area is one of two in Washington State and one of six in the Nation. It includes</w:t>
      </w:r>
      <w:r>
        <w:rPr>
          <w:spacing w:val="-5"/>
        </w:rPr>
        <w:t> </w:t>
      </w:r>
      <w:r>
        <w:rPr/>
        <w:t>the</w:t>
      </w:r>
      <w:r>
        <w:rPr>
          <w:spacing w:val="-4"/>
        </w:rPr>
        <w:t> </w:t>
      </w:r>
      <w:r>
        <w:rPr/>
        <w:t>Selkirk</w:t>
      </w:r>
      <w:r>
        <w:rPr>
          <w:spacing w:val="-7"/>
        </w:rPr>
        <w:t> </w:t>
      </w:r>
      <w:r>
        <w:rPr/>
        <w:t>Mountains</w:t>
      </w:r>
      <w:r>
        <w:rPr>
          <w:spacing w:val="-5"/>
        </w:rPr>
        <w:t> </w:t>
      </w:r>
      <w:r>
        <w:rPr/>
        <w:t>ecosystem</w:t>
      </w:r>
      <w:r>
        <w:rPr>
          <w:spacing w:val="-6"/>
        </w:rPr>
        <w:t> </w:t>
      </w:r>
      <w:r>
        <w:rPr/>
        <w:t>of</w:t>
      </w:r>
      <w:r>
        <w:rPr>
          <w:spacing w:val="-5"/>
        </w:rPr>
        <w:t> </w:t>
      </w:r>
      <w:r>
        <w:rPr/>
        <w:t>northern</w:t>
      </w:r>
      <w:r>
        <w:rPr>
          <w:spacing w:val="-8"/>
        </w:rPr>
        <w:t> </w:t>
      </w:r>
      <w:r>
        <w:rPr/>
        <w:t>Idaho,</w:t>
      </w:r>
      <w:r>
        <w:rPr>
          <w:spacing w:val="-5"/>
        </w:rPr>
        <w:t> </w:t>
      </w:r>
      <w:r>
        <w:rPr/>
        <w:t>southern</w:t>
      </w:r>
      <w:r>
        <w:rPr>
          <w:spacing w:val="-6"/>
        </w:rPr>
        <w:t> </w:t>
      </w:r>
      <w:r>
        <w:rPr/>
        <w:t>British</w:t>
      </w:r>
      <w:r>
        <w:rPr>
          <w:spacing w:val="-8"/>
        </w:rPr>
        <w:t> </w:t>
      </w:r>
      <w:r>
        <w:rPr/>
        <w:t>Columbia, and northeastern Washington. The northeastern part of the Colville National Forest contains the Washington portion of the recovery area.</w:t>
      </w:r>
    </w:p>
    <w:p>
      <w:pPr>
        <w:pStyle w:val="BodyText"/>
        <w:spacing w:line="232" w:lineRule="auto" w:before="197"/>
        <w:ind w:left="1079" w:right="1445"/>
      </w:pPr>
      <w:r>
        <w:rPr>
          <w:b/>
        </w:rPr>
        <w:t>Provides habitat for one federally protected species of fish. </w:t>
      </w:r>
      <w:r>
        <w:rPr/>
        <w:t>Bull trout are federally listed</w:t>
      </w:r>
      <w:r>
        <w:rPr>
          <w:spacing w:val="-6"/>
        </w:rPr>
        <w:t> </w:t>
      </w:r>
      <w:r>
        <w:rPr/>
        <w:t>as</w:t>
      </w:r>
      <w:r>
        <w:rPr>
          <w:spacing w:val="-5"/>
        </w:rPr>
        <w:t> </w:t>
      </w:r>
      <w:r>
        <w:rPr/>
        <w:t>a</w:t>
      </w:r>
      <w:r>
        <w:rPr>
          <w:spacing w:val="-7"/>
        </w:rPr>
        <w:t> </w:t>
      </w:r>
      <w:r>
        <w:rPr/>
        <w:t>threatened</w:t>
      </w:r>
      <w:r>
        <w:rPr>
          <w:spacing w:val="-8"/>
        </w:rPr>
        <w:t> </w:t>
      </w:r>
      <w:r>
        <w:rPr/>
        <w:t>species</w:t>
      </w:r>
      <w:r>
        <w:rPr>
          <w:spacing w:val="-5"/>
        </w:rPr>
        <w:t> </w:t>
      </w:r>
      <w:r>
        <w:rPr/>
        <w:t>under</w:t>
      </w:r>
      <w:r>
        <w:rPr>
          <w:spacing w:val="-5"/>
        </w:rPr>
        <w:t> </w:t>
      </w:r>
      <w:r>
        <w:rPr/>
        <w:t>the</w:t>
      </w:r>
      <w:r>
        <w:rPr>
          <w:spacing w:val="-4"/>
        </w:rPr>
        <w:t> </w:t>
      </w:r>
      <w:r>
        <w:rPr/>
        <w:t>Endangered</w:t>
      </w:r>
      <w:r>
        <w:rPr>
          <w:spacing w:val="-6"/>
        </w:rPr>
        <w:t> </w:t>
      </w:r>
      <w:r>
        <w:rPr/>
        <w:t>Species</w:t>
      </w:r>
      <w:r>
        <w:rPr>
          <w:spacing w:val="-5"/>
        </w:rPr>
        <w:t> </w:t>
      </w:r>
      <w:r>
        <w:rPr/>
        <w:t>Act.</w:t>
      </w:r>
      <w:r>
        <w:rPr>
          <w:spacing w:val="-5"/>
        </w:rPr>
        <w:t> </w:t>
      </w:r>
      <w:r>
        <w:rPr/>
        <w:t>Bull</w:t>
      </w:r>
      <w:r>
        <w:rPr>
          <w:spacing w:val="-5"/>
        </w:rPr>
        <w:t> </w:t>
      </w:r>
      <w:r>
        <w:rPr/>
        <w:t>trout</w:t>
      </w:r>
      <w:r>
        <w:rPr>
          <w:spacing w:val="-4"/>
        </w:rPr>
        <w:t> </w:t>
      </w:r>
      <w:r>
        <w:rPr/>
        <w:t>population numbers on the Colville National Forest are very small and local populations may not currently exist, although occasional individuals are observed in streams on the Forest within the Pend Oreille River subbasin. All designated bull trout critical habitat on the Forest</w:t>
      </w:r>
      <w:r>
        <w:rPr>
          <w:spacing w:val="-1"/>
        </w:rPr>
        <w:t> </w:t>
      </w:r>
      <w:r>
        <w:rPr/>
        <w:t>is</w:t>
      </w:r>
      <w:r>
        <w:rPr>
          <w:spacing w:val="-4"/>
        </w:rPr>
        <w:t> </w:t>
      </w:r>
      <w:r>
        <w:rPr/>
        <w:t>within</w:t>
      </w:r>
      <w:r>
        <w:rPr>
          <w:spacing w:val="-3"/>
        </w:rPr>
        <w:t> </w:t>
      </w:r>
      <w:r>
        <w:rPr/>
        <w:t>the</w:t>
      </w:r>
      <w:r>
        <w:rPr>
          <w:spacing w:val="-1"/>
        </w:rPr>
        <w:t> </w:t>
      </w:r>
      <w:r>
        <w:rPr/>
        <w:t>Pend</w:t>
      </w:r>
      <w:r>
        <w:rPr>
          <w:spacing w:val="-3"/>
        </w:rPr>
        <w:t> </w:t>
      </w:r>
      <w:r>
        <w:rPr/>
        <w:t>Oreille</w:t>
      </w:r>
      <w:r>
        <w:rPr>
          <w:spacing w:val="-1"/>
        </w:rPr>
        <w:t> </w:t>
      </w:r>
      <w:r>
        <w:rPr/>
        <w:t>River</w:t>
      </w:r>
      <w:r>
        <w:rPr>
          <w:spacing w:val="-4"/>
        </w:rPr>
        <w:t> </w:t>
      </w:r>
      <w:r>
        <w:rPr/>
        <w:t>subbasin.</w:t>
      </w:r>
      <w:r>
        <w:rPr>
          <w:spacing w:val="-2"/>
        </w:rPr>
        <w:t> </w:t>
      </w:r>
      <w:r>
        <w:rPr/>
        <w:t>Approximately</w:t>
      </w:r>
      <w:r>
        <w:rPr>
          <w:spacing w:val="-3"/>
        </w:rPr>
        <w:t> </w:t>
      </w:r>
      <w:r>
        <w:rPr/>
        <w:t>98</w:t>
      </w:r>
      <w:r>
        <w:rPr>
          <w:spacing w:val="-3"/>
        </w:rPr>
        <w:t> </w:t>
      </w:r>
      <w:r>
        <w:rPr/>
        <w:t>miles</w:t>
      </w:r>
      <w:r>
        <w:rPr>
          <w:spacing w:val="-4"/>
        </w:rPr>
        <w:t> </w:t>
      </w:r>
      <w:r>
        <w:rPr/>
        <w:t>of</w:t>
      </w:r>
      <w:r>
        <w:rPr>
          <w:spacing w:val="-2"/>
        </w:rPr>
        <w:t> </w:t>
      </w:r>
      <w:r>
        <w:rPr/>
        <w:t>streams</w:t>
      </w:r>
      <w:r>
        <w:rPr>
          <w:spacing w:val="-2"/>
        </w:rPr>
        <w:t> </w:t>
      </w:r>
      <w:r>
        <w:rPr/>
        <w:t>on the Colville National Forest are designated as critical habitat for the recovery of this </w:t>
      </w:r>
      <w:r>
        <w:rPr>
          <w:spacing w:val="-2"/>
        </w:rPr>
        <w:t>species.</w:t>
      </w:r>
    </w:p>
    <w:p>
      <w:pPr>
        <w:spacing w:line="232" w:lineRule="auto" w:before="196"/>
        <w:ind w:left="1079" w:right="2017" w:firstLine="0"/>
        <w:jc w:val="left"/>
        <w:rPr>
          <w:sz w:val="22"/>
        </w:rPr>
      </w:pPr>
      <w:r>
        <w:rPr>
          <w:b/>
          <w:sz w:val="22"/>
        </w:rPr>
        <w:t>Contributes</w:t>
      </w:r>
      <w:r>
        <w:rPr>
          <w:b/>
          <w:spacing w:val="-6"/>
          <w:sz w:val="22"/>
        </w:rPr>
        <w:t> </w:t>
      </w:r>
      <w:r>
        <w:rPr>
          <w:b/>
          <w:sz w:val="22"/>
        </w:rPr>
        <w:t>one</w:t>
      </w:r>
      <w:r>
        <w:rPr>
          <w:b/>
          <w:spacing w:val="-10"/>
          <w:sz w:val="22"/>
        </w:rPr>
        <w:t> </w:t>
      </w:r>
      <w:r>
        <w:rPr>
          <w:b/>
          <w:sz w:val="22"/>
        </w:rPr>
        <w:t>wilderness</w:t>
      </w:r>
      <w:r>
        <w:rPr>
          <w:b/>
          <w:spacing w:val="-6"/>
          <w:sz w:val="22"/>
        </w:rPr>
        <w:t> </w:t>
      </w:r>
      <w:r>
        <w:rPr>
          <w:b/>
          <w:sz w:val="22"/>
        </w:rPr>
        <w:t>to</w:t>
      </w:r>
      <w:r>
        <w:rPr>
          <w:b/>
          <w:spacing w:val="-8"/>
          <w:sz w:val="22"/>
        </w:rPr>
        <w:t> </w:t>
      </w:r>
      <w:r>
        <w:rPr>
          <w:b/>
          <w:sz w:val="22"/>
        </w:rPr>
        <w:t>the</w:t>
      </w:r>
      <w:r>
        <w:rPr>
          <w:b/>
          <w:spacing w:val="-10"/>
          <w:sz w:val="22"/>
        </w:rPr>
        <w:t> </w:t>
      </w:r>
      <w:r>
        <w:rPr>
          <w:b/>
          <w:sz w:val="22"/>
        </w:rPr>
        <w:t>National</w:t>
      </w:r>
      <w:r>
        <w:rPr>
          <w:b/>
          <w:spacing w:val="-6"/>
          <w:sz w:val="22"/>
        </w:rPr>
        <w:t> </w:t>
      </w:r>
      <w:r>
        <w:rPr>
          <w:b/>
          <w:sz w:val="22"/>
        </w:rPr>
        <w:t>Wilderness</w:t>
      </w:r>
      <w:r>
        <w:rPr>
          <w:b/>
          <w:spacing w:val="-6"/>
          <w:sz w:val="22"/>
        </w:rPr>
        <w:t> </w:t>
      </w:r>
      <w:r>
        <w:rPr>
          <w:b/>
          <w:sz w:val="22"/>
        </w:rPr>
        <w:t>Preservation</w:t>
      </w:r>
      <w:r>
        <w:rPr>
          <w:b/>
          <w:spacing w:val="-8"/>
          <w:sz w:val="22"/>
        </w:rPr>
        <w:t> </w:t>
      </w:r>
      <w:r>
        <w:rPr>
          <w:b/>
          <w:sz w:val="22"/>
        </w:rPr>
        <w:t>System.</w:t>
      </w:r>
      <w:r>
        <w:rPr>
          <w:b/>
          <w:spacing w:val="-8"/>
          <w:sz w:val="22"/>
        </w:rPr>
        <w:t> </w:t>
      </w:r>
      <w:r>
        <w:rPr>
          <w:sz w:val="22"/>
        </w:rPr>
        <w:t>The Salmo-Priest Wilderness (31,400 acres) is an example of the Okanogan Highlands landform and is the only wilderness in the northeastern section of the state.</w:t>
      </w:r>
    </w:p>
    <w:p>
      <w:pPr>
        <w:spacing w:line="232" w:lineRule="auto" w:before="200"/>
        <w:ind w:left="1079" w:right="2049" w:hanging="1"/>
        <w:jc w:val="left"/>
        <w:rPr>
          <w:sz w:val="22"/>
        </w:rPr>
      </w:pPr>
      <w:r>
        <w:rPr>
          <w:b/>
          <w:sz w:val="22"/>
        </w:rPr>
        <w:t>Contains</w:t>
      </w:r>
      <w:r>
        <w:rPr>
          <w:b/>
          <w:spacing w:val="-7"/>
          <w:sz w:val="22"/>
        </w:rPr>
        <w:t> </w:t>
      </w:r>
      <w:r>
        <w:rPr>
          <w:b/>
          <w:sz w:val="22"/>
        </w:rPr>
        <w:t>four</w:t>
      </w:r>
      <w:r>
        <w:rPr>
          <w:b/>
          <w:spacing w:val="-7"/>
          <w:sz w:val="22"/>
        </w:rPr>
        <w:t> </w:t>
      </w:r>
      <w:r>
        <w:rPr>
          <w:b/>
          <w:sz w:val="22"/>
        </w:rPr>
        <w:t>national</w:t>
      </w:r>
      <w:r>
        <w:rPr>
          <w:b/>
          <w:spacing w:val="-8"/>
          <w:sz w:val="22"/>
        </w:rPr>
        <w:t> </w:t>
      </w:r>
      <w:r>
        <w:rPr>
          <w:b/>
          <w:sz w:val="22"/>
        </w:rPr>
        <w:t>recreation</w:t>
      </w:r>
      <w:r>
        <w:rPr>
          <w:b/>
          <w:spacing w:val="-8"/>
          <w:sz w:val="22"/>
        </w:rPr>
        <w:t> </w:t>
      </w:r>
      <w:r>
        <w:rPr>
          <w:b/>
          <w:sz w:val="22"/>
        </w:rPr>
        <w:t>trails</w:t>
      </w:r>
      <w:r>
        <w:rPr>
          <w:b/>
          <w:spacing w:val="-7"/>
          <w:sz w:val="22"/>
        </w:rPr>
        <w:t> </w:t>
      </w:r>
      <w:r>
        <w:rPr>
          <w:b/>
          <w:sz w:val="22"/>
        </w:rPr>
        <w:t>(NRT)</w:t>
      </w:r>
      <w:r>
        <w:rPr>
          <w:sz w:val="22"/>
        </w:rPr>
        <w:t>.</w:t>
      </w:r>
      <w:r>
        <w:rPr>
          <w:spacing w:val="-10"/>
          <w:sz w:val="22"/>
        </w:rPr>
        <w:t> </w:t>
      </w:r>
      <w:r>
        <w:rPr>
          <w:sz w:val="22"/>
        </w:rPr>
        <w:t>The</w:t>
      </w:r>
      <w:r>
        <w:rPr>
          <w:spacing w:val="-7"/>
          <w:sz w:val="22"/>
        </w:rPr>
        <w:t> </w:t>
      </w:r>
      <w:r>
        <w:rPr>
          <w:sz w:val="22"/>
        </w:rPr>
        <w:t>Colville</w:t>
      </w:r>
      <w:r>
        <w:rPr>
          <w:spacing w:val="-7"/>
          <w:sz w:val="22"/>
        </w:rPr>
        <w:t> </w:t>
      </w:r>
      <w:r>
        <w:rPr>
          <w:sz w:val="22"/>
        </w:rPr>
        <w:t>National</w:t>
      </w:r>
      <w:r>
        <w:rPr>
          <w:spacing w:val="-8"/>
          <w:sz w:val="22"/>
        </w:rPr>
        <w:t> </w:t>
      </w:r>
      <w:r>
        <w:rPr>
          <w:sz w:val="22"/>
        </w:rPr>
        <w:t>Forest</w:t>
      </w:r>
      <w:r>
        <w:rPr>
          <w:spacing w:val="-7"/>
          <w:sz w:val="22"/>
        </w:rPr>
        <w:t> </w:t>
      </w:r>
      <w:r>
        <w:rPr>
          <w:sz w:val="22"/>
        </w:rPr>
        <w:t>hosts 80</w:t>
      </w:r>
      <w:r>
        <w:rPr>
          <w:spacing w:val="-7"/>
          <w:sz w:val="22"/>
        </w:rPr>
        <w:t> </w:t>
      </w:r>
      <w:r>
        <w:rPr>
          <w:sz w:val="22"/>
        </w:rPr>
        <w:t>miles</w:t>
      </w:r>
      <w:r>
        <w:rPr>
          <w:spacing w:val="-8"/>
          <w:sz w:val="22"/>
        </w:rPr>
        <w:t> </w:t>
      </w:r>
      <w:r>
        <w:rPr>
          <w:sz w:val="22"/>
        </w:rPr>
        <w:t>of</w:t>
      </w:r>
      <w:r>
        <w:rPr>
          <w:spacing w:val="-6"/>
          <w:sz w:val="22"/>
        </w:rPr>
        <w:t> </w:t>
      </w:r>
      <w:r>
        <w:rPr>
          <w:sz w:val="22"/>
        </w:rPr>
        <w:t>NRTs.</w:t>
      </w:r>
      <w:r>
        <w:rPr>
          <w:spacing w:val="-6"/>
          <w:sz w:val="22"/>
        </w:rPr>
        <w:t> </w:t>
      </w:r>
      <w:r>
        <w:rPr>
          <w:sz w:val="22"/>
        </w:rPr>
        <w:t>Two</w:t>
      </w:r>
      <w:r>
        <w:rPr>
          <w:spacing w:val="-7"/>
          <w:sz w:val="22"/>
        </w:rPr>
        <w:t> </w:t>
      </w:r>
      <w:r>
        <w:rPr>
          <w:sz w:val="22"/>
        </w:rPr>
        <w:t>of</w:t>
      </w:r>
      <w:r>
        <w:rPr>
          <w:spacing w:val="-7"/>
          <w:sz w:val="22"/>
        </w:rPr>
        <w:t> </w:t>
      </w:r>
      <w:r>
        <w:rPr>
          <w:sz w:val="22"/>
        </w:rPr>
        <w:t>the</w:t>
      </w:r>
      <w:r>
        <w:rPr>
          <w:spacing w:val="-5"/>
          <w:sz w:val="22"/>
        </w:rPr>
        <w:t> </w:t>
      </w:r>
      <w:r>
        <w:rPr>
          <w:sz w:val="22"/>
        </w:rPr>
        <w:t>longest</w:t>
      </w:r>
      <w:r>
        <w:rPr>
          <w:spacing w:val="-6"/>
          <w:sz w:val="22"/>
        </w:rPr>
        <w:t> </w:t>
      </w:r>
      <w:r>
        <w:rPr>
          <w:sz w:val="22"/>
        </w:rPr>
        <w:t>trails</w:t>
      </w:r>
      <w:r>
        <w:rPr>
          <w:spacing w:val="-7"/>
          <w:sz w:val="22"/>
        </w:rPr>
        <w:t> </w:t>
      </w:r>
      <w:r>
        <w:rPr>
          <w:sz w:val="22"/>
        </w:rPr>
        <w:t>are</w:t>
      </w:r>
      <w:r>
        <w:rPr>
          <w:spacing w:val="-8"/>
          <w:sz w:val="22"/>
        </w:rPr>
        <w:t> </w:t>
      </w:r>
      <w:r>
        <w:rPr>
          <w:sz w:val="22"/>
        </w:rPr>
        <w:t>the</w:t>
      </w:r>
      <w:r>
        <w:rPr>
          <w:spacing w:val="-5"/>
          <w:sz w:val="22"/>
        </w:rPr>
        <w:t> </w:t>
      </w:r>
      <w:r>
        <w:rPr>
          <w:sz w:val="22"/>
        </w:rPr>
        <w:t>Kettle</w:t>
      </w:r>
      <w:r>
        <w:rPr>
          <w:spacing w:val="-5"/>
          <w:sz w:val="22"/>
        </w:rPr>
        <w:t> </w:t>
      </w:r>
      <w:r>
        <w:rPr>
          <w:sz w:val="22"/>
        </w:rPr>
        <w:t>Crest</w:t>
      </w:r>
      <w:r>
        <w:rPr>
          <w:spacing w:val="-5"/>
          <w:sz w:val="22"/>
        </w:rPr>
        <w:t> </w:t>
      </w:r>
      <w:r>
        <w:rPr>
          <w:sz w:val="22"/>
        </w:rPr>
        <w:t>(44</w:t>
      </w:r>
      <w:r>
        <w:rPr>
          <w:spacing w:val="-7"/>
          <w:sz w:val="22"/>
        </w:rPr>
        <w:t> </w:t>
      </w:r>
      <w:r>
        <w:rPr>
          <w:sz w:val="22"/>
        </w:rPr>
        <w:t>miles)</w:t>
      </w:r>
      <w:r>
        <w:rPr>
          <w:spacing w:val="-6"/>
          <w:sz w:val="22"/>
        </w:rPr>
        <w:t> </w:t>
      </w:r>
      <w:r>
        <w:rPr>
          <w:sz w:val="22"/>
        </w:rPr>
        <w:t>and</w:t>
      </w:r>
      <w:r>
        <w:rPr>
          <w:spacing w:val="-8"/>
          <w:sz w:val="22"/>
        </w:rPr>
        <w:t> </w:t>
      </w:r>
      <w:r>
        <w:rPr>
          <w:spacing w:val="-5"/>
          <w:sz w:val="22"/>
        </w:rPr>
        <w:t>the</w:t>
      </w:r>
    </w:p>
    <w:p>
      <w:pPr>
        <w:pStyle w:val="BodyText"/>
        <w:spacing w:line="232" w:lineRule="auto"/>
        <w:ind w:left="1079" w:right="1073"/>
      </w:pPr>
      <w:r>
        <w:rPr/>
        <w:t>Shedroof</w:t>
      </w:r>
      <w:r>
        <w:rPr>
          <w:spacing w:val="-8"/>
        </w:rPr>
        <w:t> </w:t>
      </w:r>
      <w:r>
        <w:rPr/>
        <w:t>Divide</w:t>
      </w:r>
      <w:r>
        <w:rPr>
          <w:spacing w:val="-8"/>
        </w:rPr>
        <w:t> </w:t>
      </w:r>
      <w:r>
        <w:rPr/>
        <w:t>(21.8</w:t>
      </w:r>
      <w:r>
        <w:rPr>
          <w:spacing w:val="-7"/>
        </w:rPr>
        <w:t> </w:t>
      </w:r>
      <w:r>
        <w:rPr/>
        <w:t>miles).</w:t>
      </w:r>
      <w:r>
        <w:rPr>
          <w:spacing w:val="-6"/>
        </w:rPr>
        <w:t> </w:t>
      </w:r>
      <w:r>
        <w:rPr/>
        <w:t>The</w:t>
      </w:r>
      <w:r>
        <w:rPr>
          <w:spacing w:val="-8"/>
        </w:rPr>
        <w:t> </w:t>
      </w:r>
      <w:r>
        <w:rPr/>
        <w:t>other</w:t>
      </w:r>
      <w:r>
        <w:rPr>
          <w:spacing w:val="-8"/>
        </w:rPr>
        <w:t> </w:t>
      </w:r>
      <w:r>
        <w:rPr/>
        <w:t>two</w:t>
      </w:r>
      <w:r>
        <w:rPr>
          <w:spacing w:val="-5"/>
        </w:rPr>
        <w:t> </w:t>
      </w:r>
      <w:r>
        <w:rPr/>
        <w:t>NRTs</w:t>
      </w:r>
      <w:r>
        <w:rPr>
          <w:spacing w:val="-8"/>
        </w:rPr>
        <w:t> </w:t>
      </w:r>
      <w:r>
        <w:rPr/>
        <w:t>are</w:t>
      </w:r>
      <w:r>
        <w:rPr>
          <w:spacing w:val="-8"/>
        </w:rPr>
        <w:t> </w:t>
      </w:r>
      <w:r>
        <w:rPr/>
        <w:t>the</w:t>
      </w:r>
      <w:r>
        <w:rPr>
          <w:spacing w:val="-5"/>
        </w:rPr>
        <w:t> </w:t>
      </w:r>
      <w:r>
        <w:rPr/>
        <w:t>Lakeshore</w:t>
      </w:r>
      <w:r>
        <w:rPr>
          <w:spacing w:val="-5"/>
        </w:rPr>
        <w:t> </w:t>
      </w:r>
      <w:r>
        <w:rPr/>
        <w:t>Trail,</w:t>
      </w:r>
      <w:r>
        <w:rPr>
          <w:spacing w:val="-8"/>
        </w:rPr>
        <w:t> </w:t>
      </w:r>
      <w:r>
        <w:rPr/>
        <w:t>also</w:t>
      </w:r>
      <w:r>
        <w:rPr>
          <w:spacing w:val="-7"/>
        </w:rPr>
        <w:t> </w:t>
      </w:r>
      <w:r>
        <w:rPr/>
        <w:t>known</w:t>
      </w:r>
      <w:r>
        <w:rPr>
          <w:spacing w:val="-7"/>
        </w:rPr>
        <w:t> </w:t>
      </w:r>
      <w:r>
        <w:rPr/>
        <w:t>as Sullivan Lake (4.3 miles), and Pass Creek-Grassy Top (7.8 miles).</w:t>
      </w:r>
    </w:p>
    <w:p>
      <w:pPr>
        <w:spacing w:line="232" w:lineRule="auto" w:before="196"/>
        <w:ind w:left="1079" w:right="1445" w:firstLine="0"/>
        <w:jc w:val="left"/>
        <w:rPr>
          <w:sz w:val="22"/>
        </w:rPr>
      </w:pPr>
      <w:r>
        <w:rPr>
          <w:b/>
          <w:sz w:val="22"/>
        </w:rPr>
        <w:t>Contains</w:t>
      </w:r>
      <w:r>
        <w:rPr>
          <w:b/>
          <w:spacing w:val="-4"/>
          <w:sz w:val="22"/>
        </w:rPr>
        <w:t> </w:t>
      </w:r>
      <w:r>
        <w:rPr>
          <w:b/>
          <w:sz w:val="22"/>
        </w:rPr>
        <w:t>approximately</w:t>
      </w:r>
      <w:r>
        <w:rPr>
          <w:b/>
          <w:spacing w:val="-6"/>
          <w:sz w:val="22"/>
        </w:rPr>
        <w:t> </w:t>
      </w:r>
      <w:r>
        <w:rPr>
          <w:b/>
          <w:sz w:val="22"/>
        </w:rPr>
        <w:t>140</w:t>
      </w:r>
      <w:r>
        <w:rPr>
          <w:b/>
          <w:spacing w:val="-4"/>
          <w:sz w:val="22"/>
        </w:rPr>
        <w:t> </w:t>
      </w:r>
      <w:r>
        <w:rPr>
          <w:b/>
          <w:sz w:val="22"/>
        </w:rPr>
        <w:t>miles</w:t>
      </w:r>
      <w:r>
        <w:rPr>
          <w:b/>
          <w:spacing w:val="-7"/>
          <w:sz w:val="22"/>
        </w:rPr>
        <w:t> </w:t>
      </w:r>
      <w:r>
        <w:rPr>
          <w:b/>
          <w:sz w:val="22"/>
        </w:rPr>
        <w:t>of</w:t>
      </w:r>
      <w:r>
        <w:rPr>
          <w:b/>
          <w:spacing w:val="-5"/>
          <w:sz w:val="22"/>
        </w:rPr>
        <w:t> </w:t>
      </w:r>
      <w:r>
        <w:rPr>
          <w:b/>
          <w:sz w:val="22"/>
        </w:rPr>
        <w:t>the</w:t>
      </w:r>
      <w:r>
        <w:rPr>
          <w:b/>
          <w:spacing w:val="-6"/>
          <w:sz w:val="22"/>
        </w:rPr>
        <w:t> </w:t>
      </w:r>
      <w:r>
        <w:rPr>
          <w:b/>
          <w:sz w:val="22"/>
        </w:rPr>
        <w:t>1,200-mile</w:t>
      </w:r>
      <w:r>
        <w:rPr>
          <w:b/>
          <w:spacing w:val="-6"/>
          <w:sz w:val="22"/>
        </w:rPr>
        <w:t> </w:t>
      </w:r>
      <w:r>
        <w:rPr>
          <w:b/>
          <w:sz w:val="22"/>
        </w:rPr>
        <w:t>Pacific</w:t>
      </w:r>
      <w:r>
        <w:rPr>
          <w:b/>
          <w:spacing w:val="-6"/>
          <w:sz w:val="22"/>
        </w:rPr>
        <w:t> </w:t>
      </w:r>
      <w:r>
        <w:rPr>
          <w:b/>
          <w:sz w:val="22"/>
        </w:rPr>
        <w:t>Northwest</w:t>
      </w:r>
      <w:r>
        <w:rPr>
          <w:b/>
          <w:spacing w:val="-7"/>
          <w:sz w:val="22"/>
        </w:rPr>
        <w:t> </w:t>
      </w:r>
      <w:r>
        <w:rPr>
          <w:b/>
          <w:sz w:val="22"/>
        </w:rPr>
        <w:t>National</w:t>
      </w:r>
      <w:r>
        <w:rPr>
          <w:b/>
          <w:spacing w:val="-6"/>
          <w:sz w:val="22"/>
        </w:rPr>
        <w:t> </w:t>
      </w:r>
      <w:r>
        <w:rPr>
          <w:b/>
          <w:sz w:val="22"/>
        </w:rPr>
        <w:t>Scenic Trail on National Forest System lands. </w:t>
      </w:r>
      <w:r>
        <w:rPr>
          <w:sz w:val="22"/>
        </w:rPr>
        <w:t>The Pacific Northwest National Scenic Trail crosses</w:t>
      </w:r>
      <w:r>
        <w:rPr>
          <w:spacing w:val="-1"/>
          <w:sz w:val="22"/>
        </w:rPr>
        <w:t> </w:t>
      </w:r>
      <w:r>
        <w:rPr>
          <w:sz w:val="22"/>
        </w:rPr>
        <w:t>seven national forests and ranks among the</w:t>
      </w:r>
      <w:r>
        <w:rPr>
          <w:spacing w:val="-1"/>
          <w:sz w:val="22"/>
        </w:rPr>
        <w:t> </w:t>
      </w:r>
      <w:r>
        <w:rPr>
          <w:sz w:val="22"/>
        </w:rPr>
        <w:t>most</w:t>
      </w:r>
      <w:r>
        <w:rPr>
          <w:spacing w:val="-1"/>
          <w:sz w:val="22"/>
        </w:rPr>
        <w:t> </w:t>
      </w:r>
      <w:r>
        <w:rPr>
          <w:sz w:val="22"/>
        </w:rPr>
        <w:t>scenic</w:t>
      </w:r>
      <w:r>
        <w:rPr>
          <w:spacing w:val="-1"/>
          <w:sz w:val="22"/>
        </w:rPr>
        <w:t> </w:t>
      </w:r>
      <w:r>
        <w:rPr>
          <w:sz w:val="22"/>
        </w:rPr>
        <w:t>trails in the world. The trail</w:t>
      </w:r>
      <w:r>
        <w:rPr>
          <w:spacing w:val="-4"/>
          <w:sz w:val="22"/>
        </w:rPr>
        <w:t> </w:t>
      </w:r>
      <w:r>
        <w:rPr>
          <w:sz w:val="22"/>
        </w:rPr>
        <w:t>begins</w:t>
      </w:r>
      <w:r>
        <w:rPr>
          <w:spacing w:val="-4"/>
          <w:sz w:val="22"/>
        </w:rPr>
        <w:t> </w:t>
      </w:r>
      <w:r>
        <w:rPr>
          <w:sz w:val="22"/>
        </w:rPr>
        <w:t>at</w:t>
      </w:r>
      <w:r>
        <w:rPr>
          <w:spacing w:val="-6"/>
          <w:sz w:val="22"/>
        </w:rPr>
        <w:t> </w:t>
      </w:r>
      <w:r>
        <w:rPr>
          <w:sz w:val="22"/>
        </w:rPr>
        <w:t>the</w:t>
      </w:r>
      <w:r>
        <w:rPr>
          <w:spacing w:val="-3"/>
          <w:sz w:val="22"/>
        </w:rPr>
        <w:t> </w:t>
      </w:r>
      <w:r>
        <w:rPr>
          <w:sz w:val="22"/>
        </w:rPr>
        <w:t>Continental</w:t>
      </w:r>
      <w:r>
        <w:rPr>
          <w:spacing w:val="-4"/>
          <w:sz w:val="22"/>
        </w:rPr>
        <w:t> </w:t>
      </w:r>
      <w:r>
        <w:rPr>
          <w:sz w:val="22"/>
        </w:rPr>
        <w:t>Divide</w:t>
      </w:r>
      <w:r>
        <w:rPr>
          <w:spacing w:val="-3"/>
          <w:sz w:val="22"/>
        </w:rPr>
        <w:t> </w:t>
      </w:r>
      <w:r>
        <w:rPr>
          <w:sz w:val="22"/>
        </w:rPr>
        <w:t>and</w:t>
      </w:r>
      <w:r>
        <w:rPr>
          <w:spacing w:val="-7"/>
          <w:sz w:val="22"/>
        </w:rPr>
        <w:t> </w:t>
      </w:r>
      <w:r>
        <w:rPr>
          <w:sz w:val="22"/>
        </w:rPr>
        <w:t>ends</w:t>
      </w:r>
      <w:r>
        <w:rPr>
          <w:spacing w:val="-4"/>
          <w:sz w:val="22"/>
        </w:rPr>
        <w:t> </w:t>
      </w:r>
      <w:r>
        <w:rPr>
          <w:sz w:val="22"/>
        </w:rPr>
        <w:t>at</w:t>
      </w:r>
      <w:r>
        <w:rPr>
          <w:spacing w:val="-6"/>
          <w:sz w:val="22"/>
        </w:rPr>
        <w:t> </w:t>
      </w:r>
      <w:r>
        <w:rPr>
          <w:sz w:val="22"/>
        </w:rPr>
        <w:t>the</w:t>
      </w:r>
      <w:r>
        <w:rPr>
          <w:spacing w:val="-6"/>
          <w:sz w:val="22"/>
        </w:rPr>
        <w:t> </w:t>
      </w:r>
      <w:r>
        <w:rPr>
          <w:sz w:val="22"/>
        </w:rPr>
        <w:t>Pacific</w:t>
      </w:r>
      <w:r>
        <w:rPr>
          <w:spacing w:val="-4"/>
          <w:sz w:val="22"/>
        </w:rPr>
        <w:t> </w:t>
      </w:r>
      <w:r>
        <w:rPr>
          <w:sz w:val="22"/>
        </w:rPr>
        <w:t>Ocean,</w:t>
      </w:r>
      <w:r>
        <w:rPr>
          <w:spacing w:val="-4"/>
          <w:sz w:val="22"/>
        </w:rPr>
        <w:t> </w:t>
      </w:r>
      <w:r>
        <w:rPr>
          <w:sz w:val="22"/>
        </w:rPr>
        <w:t>passing</w:t>
      </w:r>
      <w:r>
        <w:rPr>
          <w:spacing w:val="-5"/>
          <w:sz w:val="22"/>
        </w:rPr>
        <w:t> </w:t>
      </w:r>
      <w:r>
        <w:rPr>
          <w:sz w:val="22"/>
        </w:rPr>
        <w:t>through</w:t>
      </w:r>
      <w:r>
        <w:rPr>
          <w:spacing w:val="-5"/>
          <w:sz w:val="22"/>
        </w:rPr>
        <w:t> </w:t>
      </w:r>
      <w:r>
        <w:rPr>
          <w:sz w:val="22"/>
        </w:rPr>
        <w:t>the Selkirk and Kettle River Range Mountains on the Colville National Forest.</w:t>
      </w:r>
    </w:p>
    <w:p>
      <w:pPr>
        <w:pStyle w:val="Heading5"/>
        <w:spacing w:before="228"/>
        <w:rPr>
          <w:rFonts w:ascii="Arial"/>
          <w:position w:val="9"/>
          <w:sz w:val="18"/>
        </w:rPr>
      </w:pPr>
      <w:bookmarkStart w:name="Pacific Northwest Regional Level2F3F" w:id="105"/>
      <w:bookmarkEnd w:id="105"/>
      <w:r>
        <w:rPr>
          <w:b w:val="0"/>
        </w:rPr>
      </w:r>
      <w:bookmarkStart w:name="_bookmark55" w:id="106"/>
      <w:bookmarkEnd w:id="106"/>
      <w:r>
        <w:rPr>
          <w:b w:val="0"/>
        </w:rPr>
      </w:r>
      <w:r>
        <w:rPr>
          <w:rFonts w:ascii="Arial"/>
          <w:color w:val="475824"/>
          <w:sz w:val="27"/>
        </w:rPr>
        <w:t>P</w:t>
      </w:r>
      <w:r>
        <w:rPr>
          <w:rFonts w:ascii="Arial"/>
          <w:color w:val="475824"/>
        </w:rPr>
        <w:t>ACIFIC</w:t>
      </w:r>
      <w:r>
        <w:rPr>
          <w:rFonts w:ascii="Arial"/>
          <w:color w:val="475824"/>
          <w:spacing w:val="-12"/>
        </w:rPr>
        <w:t> </w:t>
      </w:r>
      <w:r>
        <w:rPr>
          <w:rFonts w:ascii="Arial"/>
          <w:color w:val="475824"/>
          <w:sz w:val="27"/>
        </w:rPr>
        <w:t>N</w:t>
      </w:r>
      <w:r>
        <w:rPr>
          <w:rFonts w:ascii="Arial"/>
          <w:color w:val="475824"/>
        </w:rPr>
        <w:t>ORTHWEST</w:t>
      </w:r>
      <w:r>
        <w:rPr>
          <w:rFonts w:ascii="Arial"/>
          <w:color w:val="475824"/>
          <w:spacing w:val="-8"/>
        </w:rPr>
        <w:t> </w:t>
      </w:r>
      <w:r>
        <w:rPr>
          <w:rFonts w:ascii="Arial"/>
          <w:color w:val="475824"/>
          <w:sz w:val="27"/>
        </w:rPr>
        <w:t>R</w:t>
      </w:r>
      <w:r>
        <w:rPr>
          <w:rFonts w:ascii="Arial"/>
          <w:color w:val="475824"/>
        </w:rPr>
        <w:t>EGIONAL</w:t>
      </w:r>
      <w:r>
        <w:rPr>
          <w:rFonts w:ascii="Arial"/>
          <w:color w:val="475824"/>
          <w:spacing w:val="-8"/>
        </w:rPr>
        <w:t> </w:t>
      </w:r>
      <w:r>
        <w:rPr>
          <w:rFonts w:ascii="Arial"/>
          <w:color w:val="475824"/>
          <w:sz w:val="27"/>
        </w:rPr>
        <w:t>L</w:t>
      </w:r>
      <w:r>
        <w:rPr>
          <w:rFonts w:ascii="Arial"/>
          <w:color w:val="475824"/>
        </w:rPr>
        <w:t>EVEL</w:t>
      </w:r>
      <w:r>
        <w:rPr>
          <w:rFonts w:ascii="Arial"/>
          <w:color w:val="475824"/>
          <w:spacing w:val="-38"/>
        </w:rPr>
        <w:t> </w:t>
      </w:r>
      <w:hyperlink w:history="true" w:anchor="_bookmark56">
        <w:r>
          <w:rPr>
            <w:rFonts w:ascii="Arial"/>
            <w:color w:val="475824"/>
            <w:spacing w:val="-10"/>
            <w:position w:val="9"/>
            <w:sz w:val="18"/>
          </w:rPr>
          <w:t>4</w:t>
        </w:r>
      </w:hyperlink>
    </w:p>
    <w:p>
      <w:pPr>
        <w:spacing w:line="232" w:lineRule="auto" w:before="64"/>
        <w:ind w:left="1079" w:right="1621" w:firstLine="0"/>
        <w:jc w:val="left"/>
        <w:rPr>
          <w:sz w:val="22"/>
        </w:rPr>
      </w:pPr>
      <w:r>
        <w:rPr>
          <w:b/>
          <w:sz w:val="22"/>
        </w:rPr>
        <w:t>Provides habitat for regionally rare plant, animal, and fish species. </w:t>
      </w:r>
      <w:r>
        <w:rPr>
          <w:sz w:val="22"/>
        </w:rPr>
        <w:t>The Colville National</w:t>
      </w:r>
      <w:r>
        <w:rPr>
          <w:spacing w:val="-5"/>
          <w:sz w:val="22"/>
        </w:rPr>
        <w:t> </w:t>
      </w:r>
      <w:r>
        <w:rPr>
          <w:sz w:val="22"/>
        </w:rPr>
        <w:t>Forest</w:t>
      </w:r>
      <w:r>
        <w:rPr>
          <w:spacing w:val="-4"/>
          <w:sz w:val="22"/>
        </w:rPr>
        <w:t> </w:t>
      </w:r>
      <w:r>
        <w:rPr>
          <w:sz w:val="22"/>
        </w:rPr>
        <w:t>provides</w:t>
      </w:r>
      <w:r>
        <w:rPr>
          <w:spacing w:val="-7"/>
          <w:sz w:val="22"/>
        </w:rPr>
        <w:t> </w:t>
      </w:r>
      <w:r>
        <w:rPr>
          <w:sz w:val="22"/>
        </w:rPr>
        <w:t>habitat</w:t>
      </w:r>
      <w:r>
        <w:rPr>
          <w:spacing w:val="-4"/>
          <w:sz w:val="22"/>
        </w:rPr>
        <w:t> </w:t>
      </w:r>
      <w:r>
        <w:rPr>
          <w:sz w:val="22"/>
        </w:rPr>
        <w:t>for</w:t>
      </w:r>
      <w:r>
        <w:rPr>
          <w:spacing w:val="-7"/>
          <w:sz w:val="22"/>
        </w:rPr>
        <w:t> </w:t>
      </w:r>
      <w:r>
        <w:rPr>
          <w:sz w:val="22"/>
        </w:rPr>
        <w:t>5</w:t>
      </w:r>
      <w:r>
        <w:rPr>
          <w:spacing w:val="-4"/>
          <w:sz w:val="22"/>
        </w:rPr>
        <w:t> </w:t>
      </w:r>
      <w:r>
        <w:rPr>
          <w:sz w:val="22"/>
        </w:rPr>
        <w:t>fish</w:t>
      </w:r>
      <w:r>
        <w:rPr>
          <w:spacing w:val="-6"/>
          <w:sz w:val="22"/>
        </w:rPr>
        <w:t> </w:t>
      </w:r>
      <w:r>
        <w:rPr>
          <w:sz w:val="22"/>
        </w:rPr>
        <w:t>species,</w:t>
      </w:r>
      <w:r>
        <w:rPr>
          <w:spacing w:val="-7"/>
          <w:sz w:val="22"/>
        </w:rPr>
        <w:t> </w:t>
      </w:r>
      <w:r>
        <w:rPr>
          <w:sz w:val="22"/>
        </w:rPr>
        <w:t>41</w:t>
      </w:r>
      <w:r>
        <w:rPr>
          <w:spacing w:val="-6"/>
          <w:sz w:val="22"/>
        </w:rPr>
        <w:t> </w:t>
      </w:r>
      <w:r>
        <w:rPr>
          <w:sz w:val="22"/>
        </w:rPr>
        <w:t>plant</w:t>
      </w:r>
      <w:r>
        <w:rPr>
          <w:spacing w:val="-4"/>
          <w:sz w:val="22"/>
        </w:rPr>
        <w:t> </w:t>
      </w:r>
      <w:r>
        <w:rPr>
          <w:sz w:val="22"/>
        </w:rPr>
        <w:t>species,</w:t>
      </w:r>
      <w:r>
        <w:rPr>
          <w:spacing w:val="-5"/>
          <w:sz w:val="22"/>
        </w:rPr>
        <w:t> </w:t>
      </w:r>
      <w:r>
        <w:rPr>
          <w:sz w:val="22"/>
        </w:rPr>
        <w:t>and</w:t>
      </w:r>
      <w:r>
        <w:rPr>
          <w:spacing w:val="-6"/>
          <w:sz w:val="22"/>
        </w:rPr>
        <w:t> </w:t>
      </w:r>
      <w:r>
        <w:rPr>
          <w:sz w:val="22"/>
        </w:rPr>
        <w:t>27</w:t>
      </w:r>
      <w:r>
        <w:rPr>
          <w:spacing w:val="-6"/>
          <w:sz w:val="22"/>
        </w:rPr>
        <w:t> </w:t>
      </w:r>
      <w:r>
        <w:rPr>
          <w:sz w:val="22"/>
        </w:rPr>
        <w:t>wildlife species considered sensitive by the Forest Service.</w:t>
      </w:r>
    </w:p>
    <w:p>
      <w:pPr>
        <w:pStyle w:val="BodyText"/>
        <w:spacing w:line="232" w:lineRule="auto" w:before="200"/>
        <w:ind w:left="1079" w:right="1516"/>
      </w:pPr>
      <w:r>
        <w:rPr>
          <w:b/>
        </w:rPr>
        <w:t>Supports the most concentrated milling area in the state. </w:t>
      </w:r>
      <w:r>
        <w:rPr/>
        <w:t>The Colville timber processing area (composed of three Washington counties and three northern Idaho counties)</w:t>
      </w:r>
      <w:r>
        <w:rPr>
          <w:spacing w:val="-4"/>
        </w:rPr>
        <w:t> </w:t>
      </w:r>
      <w:r>
        <w:rPr/>
        <w:t>includes</w:t>
      </w:r>
      <w:r>
        <w:rPr>
          <w:spacing w:val="-4"/>
        </w:rPr>
        <w:t> </w:t>
      </w:r>
      <w:r>
        <w:rPr/>
        <w:t>22</w:t>
      </w:r>
      <w:r>
        <w:rPr>
          <w:spacing w:val="-5"/>
        </w:rPr>
        <w:t> </w:t>
      </w:r>
      <w:r>
        <w:rPr/>
        <w:t>milling</w:t>
      </w:r>
      <w:r>
        <w:rPr>
          <w:spacing w:val="-5"/>
        </w:rPr>
        <w:t> </w:t>
      </w:r>
      <w:r>
        <w:rPr/>
        <w:t>facilities,</w:t>
      </w:r>
      <w:r>
        <w:rPr>
          <w:spacing w:val="-6"/>
        </w:rPr>
        <w:t> </w:t>
      </w:r>
      <w:r>
        <w:rPr/>
        <w:t>11</w:t>
      </w:r>
      <w:r>
        <w:rPr>
          <w:spacing w:val="-5"/>
        </w:rPr>
        <w:t> </w:t>
      </w:r>
      <w:r>
        <w:rPr/>
        <w:t>of</w:t>
      </w:r>
      <w:r>
        <w:rPr>
          <w:spacing w:val="-6"/>
        </w:rPr>
        <w:t> </w:t>
      </w:r>
      <w:r>
        <w:rPr/>
        <w:t>which</w:t>
      </w:r>
      <w:r>
        <w:rPr>
          <w:spacing w:val="-5"/>
        </w:rPr>
        <w:t> </w:t>
      </w:r>
      <w:r>
        <w:rPr/>
        <w:t>are</w:t>
      </w:r>
      <w:r>
        <w:rPr>
          <w:spacing w:val="-6"/>
        </w:rPr>
        <w:t> </w:t>
      </w:r>
      <w:r>
        <w:rPr/>
        <w:t>sawmills.</w:t>
      </w:r>
      <w:r>
        <w:rPr>
          <w:spacing w:val="-4"/>
        </w:rPr>
        <w:t> </w:t>
      </w:r>
      <w:r>
        <w:rPr/>
        <w:t>Some</w:t>
      </w:r>
      <w:r>
        <w:rPr>
          <w:spacing w:val="-6"/>
        </w:rPr>
        <w:t> </w:t>
      </w:r>
      <w:r>
        <w:rPr/>
        <w:t>of</w:t>
      </w:r>
      <w:r>
        <w:rPr>
          <w:spacing w:val="-4"/>
        </w:rPr>
        <w:t> </w:t>
      </w:r>
      <w:r>
        <w:rPr/>
        <w:t>these</w:t>
      </w:r>
      <w:r>
        <w:rPr>
          <w:spacing w:val="-3"/>
        </w:rPr>
        <w:t> </w:t>
      </w:r>
      <w:r>
        <w:rPr/>
        <w:t>facilities specialize in using small-diameter timber that is abundant on National Forest System</w:t>
      </w:r>
    </w:p>
    <w:p>
      <w:pPr>
        <w:pStyle w:val="BodyText"/>
        <w:spacing w:before="8"/>
        <w:rPr>
          <w:sz w:val="10"/>
        </w:rPr>
      </w:pPr>
      <w:r>
        <w:rPr>
          <w:sz w:val="10"/>
        </w:rPr>
        <mc:AlternateContent>
          <mc:Choice Requires="wps">
            <w:drawing>
              <wp:anchor distT="0" distB="0" distL="0" distR="0" allowOverlap="1" layoutInCell="1" locked="0" behindDoc="1" simplePos="0" relativeHeight="487593472">
                <wp:simplePos x="0" y="0"/>
                <wp:positionH relativeFrom="page">
                  <wp:posOffset>914400</wp:posOffset>
                </wp:positionH>
                <wp:positionV relativeFrom="paragraph">
                  <wp:posOffset>98292</wp:posOffset>
                </wp:positionV>
                <wp:extent cx="1828800" cy="7620"/>
                <wp:effectExtent l="0" t="0" r="0" b="0"/>
                <wp:wrapTopAndBottom/>
                <wp:docPr id="124" name="Graphic 124"/>
                <wp:cNvGraphicFramePr>
                  <a:graphicFrameLocks/>
                </wp:cNvGraphicFramePr>
                <a:graphic>
                  <a:graphicData uri="http://schemas.microsoft.com/office/word/2010/wordprocessingShape">
                    <wps:wsp>
                      <wps:cNvPr id="124" name="Graphic 124"/>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7.739535pt;width:144pt;height:.599pt;mso-position-horizontal-relative:page;mso-position-vertical-relative:paragraph;z-index:-15723008;mso-wrap-distance-left:0;mso-wrap-distance-right:0" id="docshape117" filled="true" fillcolor="#000000" stroked="false">
                <v:fill type="solid"/>
                <w10:wrap type="topAndBottom"/>
              </v:rect>
            </w:pict>
          </mc:Fallback>
        </mc:AlternateContent>
      </w:r>
    </w:p>
    <w:p>
      <w:pPr>
        <w:spacing w:before="95"/>
        <w:ind w:left="360" w:right="0" w:firstLine="0"/>
        <w:jc w:val="left"/>
        <w:rPr>
          <w:sz w:val="18"/>
        </w:rPr>
      </w:pPr>
      <w:bookmarkStart w:name="_bookmark56" w:id="107"/>
      <w:bookmarkEnd w:id="107"/>
      <w:r>
        <w:rPr/>
      </w:r>
      <w:r>
        <w:rPr>
          <w:position w:val="5"/>
          <w:sz w:val="12"/>
        </w:rPr>
        <w:t>4</w:t>
      </w:r>
      <w:r>
        <w:rPr>
          <w:spacing w:val="8"/>
          <w:position w:val="5"/>
          <w:sz w:val="12"/>
        </w:rPr>
        <w:t> </w:t>
      </w:r>
      <w:r>
        <w:rPr>
          <w:sz w:val="18"/>
        </w:rPr>
        <w:t>Pacific</w:t>
      </w:r>
      <w:r>
        <w:rPr>
          <w:spacing w:val="-2"/>
          <w:sz w:val="18"/>
        </w:rPr>
        <w:t> </w:t>
      </w:r>
      <w:r>
        <w:rPr>
          <w:sz w:val="18"/>
        </w:rPr>
        <w:t>Northwest</w:t>
      </w:r>
      <w:r>
        <w:rPr>
          <w:spacing w:val="-2"/>
          <w:sz w:val="18"/>
        </w:rPr>
        <w:t> </w:t>
      </w:r>
      <w:r>
        <w:rPr>
          <w:sz w:val="18"/>
        </w:rPr>
        <w:t>Region,</w:t>
      </w:r>
      <w:r>
        <w:rPr>
          <w:spacing w:val="-2"/>
          <w:sz w:val="18"/>
        </w:rPr>
        <w:t> </w:t>
      </w:r>
      <w:r>
        <w:rPr>
          <w:sz w:val="18"/>
        </w:rPr>
        <w:t>or</w:t>
      </w:r>
      <w:r>
        <w:rPr>
          <w:spacing w:val="-2"/>
          <w:sz w:val="18"/>
        </w:rPr>
        <w:t> </w:t>
      </w:r>
      <w:r>
        <w:rPr>
          <w:sz w:val="18"/>
        </w:rPr>
        <w:t>Region</w:t>
      </w:r>
      <w:r>
        <w:rPr>
          <w:spacing w:val="-3"/>
          <w:sz w:val="18"/>
        </w:rPr>
        <w:t> </w:t>
      </w:r>
      <w:r>
        <w:rPr>
          <w:sz w:val="18"/>
        </w:rPr>
        <w:t>6,</w:t>
      </w:r>
      <w:r>
        <w:rPr>
          <w:spacing w:val="-2"/>
          <w:sz w:val="18"/>
        </w:rPr>
        <w:t> </w:t>
      </w:r>
      <w:r>
        <w:rPr>
          <w:sz w:val="18"/>
        </w:rPr>
        <w:t>refers</w:t>
      </w:r>
      <w:r>
        <w:rPr>
          <w:spacing w:val="-2"/>
          <w:sz w:val="18"/>
        </w:rPr>
        <w:t> </w:t>
      </w:r>
      <w:r>
        <w:rPr>
          <w:sz w:val="18"/>
        </w:rPr>
        <w:t>to</w:t>
      </w:r>
      <w:r>
        <w:rPr>
          <w:spacing w:val="-1"/>
          <w:sz w:val="18"/>
        </w:rPr>
        <w:t> </w:t>
      </w:r>
      <w:r>
        <w:rPr>
          <w:sz w:val="18"/>
        </w:rPr>
        <w:t>all</w:t>
      </w:r>
      <w:r>
        <w:rPr>
          <w:spacing w:val="-2"/>
          <w:sz w:val="18"/>
        </w:rPr>
        <w:t> </w:t>
      </w:r>
      <w:r>
        <w:rPr>
          <w:sz w:val="18"/>
        </w:rPr>
        <w:t>National</w:t>
      </w:r>
      <w:r>
        <w:rPr>
          <w:spacing w:val="-3"/>
          <w:sz w:val="18"/>
        </w:rPr>
        <w:t> </w:t>
      </w:r>
      <w:r>
        <w:rPr>
          <w:sz w:val="18"/>
        </w:rPr>
        <w:t>Forest System</w:t>
      </w:r>
      <w:r>
        <w:rPr>
          <w:spacing w:val="-1"/>
          <w:sz w:val="18"/>
        </w:rPr>
        <w:t> </w:t>
      </w:r>
      <w:r>
        <w:rPr>
          <w:sz w:val="18"/>
        </w:rPr>
        <w:t>lands</w:t>
      </w:r>
      <w:r>
        <w:rPr>
          <w:spacing w:val="-3"/>
          <w:sz w:val="18"/>
        </w:rPr>
        <w:t> </w:t>
      </w:r>
      <w:r>
        <w:rPr>
          <w:sz w:val="18"/>
        </w:rPr>
        <w:t>within</w:t>
      </w:r>
      <w:r>
        <w:rPr>
          <w:spacing w:val="-2"/>
          <w:sz w:val="18"/>
        </w:rPr>
        <w:t> </w:t>
      </w:r>
      <w:r>
        <w:rPr>
          <w:sz w:val="18"/>
        </w:rPr>
        <w:t>Washington</w:t>
      </w:r>
      <w:r>
        <w:rPr>
          <w:spacing w:val="-1"/>
          <w:sz w:val="18"/>
        </w:rPr>
        <w:t> </w:t>
      </w:r>
      <w:r>
        <w:rPr>
          <w:sz w:val="18"/>
        </w:rPr>
        <w:t>and</w:t>
      </w:r>
      <w:r>
        <w:rPr>
          <w:spacing w:val="-2"/>
          <w:sz w:val="18"/>
        </w:rPr>
        <w:t> Oregon.</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1872" w:right="801"/>
      </w:pPr>
      <w:r>
        <w:rPr/>
        <w:t>lands</w:t>
      </w:r>
      <w:r>
        <w:rPr>
          <w:spacing w:val="-8"/>
        </w:rPr>
        <w:t> </w:t>
      </w:r>
      <w:r>
        <w:rPr/>
        <w:t>in</w:t>
      </w:r>
      <w:r>
        <w:rPr>
          <w:spacing w:val="-9"/>
        </w:rPr>
        <w:t> </w:t>
      </w:r>
      <w:r>
        <w:rPr/>
        <w:t>northeastern</w:t>
      </w:r>
      <w:r>
        <w:rPr>
          <w:spacing w:val="-11"/>
        </w:rPr>
        <w:t> </w:t>
      </w:r>
      <w:r>
        <w:rPr/>
        <w:t>Washington.</w:t>
      </w:r>
      <w:r>
        <w:rPr>
          <w:spacing w:val="-8"/>
        </w:rPr>
        <w:t> </w:t>
      </w:r>
      <w:r>
        <w:rPr/>
        <w:t>This</w:t>
      </w:r>
      <w:r>
        <w:rPr>
          <w:spacing w:val="-8"/>
        </w:rPr>
        <w:t> </w:t>
      </w:r>
      <w:r>
        <w:rPr/>
        <w:t>concentration</w:t>
      </w:r>
      <w:r>
        <w:rPr>
          <w:spacing w:val="-11"/>
        </w:rPr>
        <w:t> </w:t>
      </w:r>
      <w:r>
        <w:rPr/>
        <w:t>of</w:t>
      </w:r>
      <w:r>
        <w:rPr>
          <w:spacing w:val="-8"/>
        </w:rPr>
        <w:t> </w:t>
      </w:r>
      <w:r>
        <w:rPr/>
        <w:t>industrial</w:t>
      </w:r>
      <w:r>
        <w:rPr>
          <w:spacing w:val="-8"/>
        </w:rPr>
        <w:t> </w:t>
      </w:r>
      <w:r>
        <w:rPr/>
        <w:t>activity</w:t>
      </w:r>
      <w:r>
        <w:rPr>
          <w:spacing w:val="-7"/>
        </w:rPr>
        <w:t> </w:t>
      </w:r>
      <w:r>
        <w:rPr/>
        <w:t>contributes to local economies and to the character of communities.</w:t>
      </w:r>
    </w:p>
    <w:p>
      <w:pPr>
        <w:pStyle w:val="BodyText"/>
        <w:spacing w:line="232" w:lineRule="auto" w:before="199"/>
        <w:ind w:left="1871" w:right="742"/>
      </w:pPr>
      <w:r>
        <w:rPr>
          <w:b/>
        </w:rPr>
        <w:t>Contains some of the most highly mineralized areas in the state. </w:t>
      </w:r>
      <w:r>
        <w:rPr/>
        <w:t>The Colville National Forest has a geological environment favorable to the occurrence of mineral deposits. There has been renewed interest in mineral exploration on the Forest over the past several years, in addition to ongoing locatable mining operations on private and other Federal lands adjoining the Forest. These mining operations supply important minerals for industry and provide economic benefits to rural communities and counties through direct</w:t>
      </w:r>
      <w:r>
        <w:rPr>
          <w:spacing w:val="-6"/>
        </w:rPr>
        <w:t> </w:t>
      </w:r>
      <w:r>
        <w:rPr/>
        <w:t>employment,</w:t>
      </w:r>
      <w:r>
        <w:rPr>
          <w:spacing w:val="-3"/>
        </w:rPr>
        <w:t> </w:t>
      </w:r>
      <w:r>
        <w:rPr/>
        <w:t>direct</w:t>
      </w:r>
      <w:r>
        <w:rPr>
          <w:spacing w:val="-8"/>
        </w:rPr>
        <w:t> </w:t>
      </w:r>
      <w:r>
        <w:rPr/>
        <w:t>purchase</w:t>
      </w:r>
      <w:r>
        <w:rPr>
          <w:spacing w:val="-6"/>
        </w:rPr>
        <w:t> </w:t>
      </w:r>
      <w:r>
        <w:rPr/>
        <w:t>of</w:t>
      </w:r>
      <w:r>
        <w:rPr>
          <w:spacing w:val="-4"/>
        </w:rPr>
        <w:t> </w:t>
      </w:r>
      <w:r>
        <w:rPr/>
        <w:t>goods</w:t>
      </w:r>
      <w:r>
        <w:rPr>
          <w:spacing w:val="-4"/>
        </w:rPr>
        <w:t> </w:t>
      </w:r>
      <w:r>
        <w:rPr/>
        <w:t>and</w:t>
      </w:r>
      <w:r>
        <w:rPr>
          <w:spacing w:val="-5"/>
        </w:rPr>
        <w:t> </w:t>
      </w:r>
      <w:r>
        <w:rPr/>
        <w:t>services,</w:t>
      </w:r>
      <w:r>
        <w:rPr>
          <w:spacing w:val="-4"/>
        </w:rPr>
        <w:t> </w:t>
      </w:r>
      <w:r>
        <w:rPr/>
        <w:t>and</w:t>
      </w:r>
      <w:r>
        <w:rPr>
          <w:spacing w:val="-5"/>
        </w:rPr>
        <w:t> </w:t>
      </w:r>
      <w:r>
        <w:rPr/>
        <w:t>increased</w:t>
      </w:r>
      <w:r>
        <w:rPr>
          <w:spacing w:val="-7"/>
        </w:rPr>
        <w:t> </w:t>
      </w:r>
      <w:r>
        <w:rPr/>
        <w:t>tax</w:t>
      </w:r>
      <w:r>
        <w:rPr>
          <w:spacing w:val="-4"/>
        </w:rPr>
        <w:t> </w:t>
      </w:r>
      <w:r>
        <w:rPr/>
        <w:t>bases.</w:t>
      </w:r>
      <w:r>
        <w:rPr>
          <w:spacing w:val="-4"/>
        </w:rPr>
        <w:t> </w:t>
      </w:r>
      <w:r>
        <w:rPr/>
        <w:t>The mining industry has been a major contributor to the tri-county economy, and will continue to do so in the future. There is low potential for oil and gas, or geothermal resources on</w:t>
      </w:r>
      <w:r>
        <w:rPr>
          <w:spacing w:val="-1"/>
        </w:rPr>
        <w:t> </w:t>
      </w:r>
      <w:r>
        <w:rPr/>
        <w:t>the Forest. No leasable operations authorized by the Secretary of Interior occur on the Forest at this time.</w:t>
      </w:r>
    </w:p>
    <w:p>
      <w:pPr>
        <w:pStyle w:val="Heading3"/>
        <w:spacing w:before="231"/>
      </w:pPr>
      <w:bookmarkStart w:name="State and Local Level" w:id="108"/>
      <w:bookmarkEnd w:id="108"/>
      <w:r>
        <w:rPr>
          <w:b w:val="0"/>
        </w:rPr>
      </w:r>
      <w:bookmarkStart w:name="_bookmark57" w:id="109"/>
      <w:bookmarkEnd w:id="109"/>
      <w:r>
        <w:rPr>
          <w:b w:val="0"/>
        </w:rPr>
      </w:r>
      <w:r>
        <w:rPr>
          <w:smallCaps/>
          <w:color w:val="475824"/>
        </w:rPr>
        <w:t>State</w:t>
      </w:r>
      <w:r>
        <w:rPr>
          <w:smallCaps/>
          <w:color w:val="475824"/>
          <w:spacing w:val="-3"/>
        </w:rPr>
        <w:t> </w:t>
      </w:r>
      <w:r>
        <w:rPr>
          <w:smallCaps/>
          <w:color w:val="475824"/>
        </w:rPr>
        <w:t>and</w:t>
      </w:r>
      <w:r>
        <w:rPr>
          <w:smallCaps/>
          <w:color w:val="475824"/>
          <w:spacing w:val="-6"/>
        </w:rPr>
        <w:t> </w:t>
      </w:r>
      <w:r>
        <w:rPr>
          <w:smallCaps/>
          <w:color w:val="475824"/>
        </w:rPr>
        <w:t>Local</w:t>
      </w:r>
      <w:r>
        <w:rPr>
          <w:smallCaps/>
          <w:color w:val="475824"/>
          <w:spacing w:val="-6"/>
        </w:rPr>
        <w:t> </w:t>
      </w:r>
      <w:r>
        <w:rPr>
          <w:smallCaps/>
          <w:color w:val="475824"/>
          <w:spacing w:val="-2"/>
        </w:rPr>
        <w:t>Level</w:t>
      </w:r>
    </w:p>
    <w:p>
      <w:pPr>
        <w:spacing w:line="232" w:lineRule="auto" w:before="63"/>
        <w:ind w:left="1871" w:right="918" w:firstLine="0"/>
        <w:jc w:val="both"/>
        <w:rPr>
          <w:sz w:val="22"/>
        </w:rPr>
      </w:pPr>
      <w:r>
        <w:rPr>
          <w:b/>
          <w:sz w:val="22"/>
        </w:rPr>
        <w:t>Showcases</w:t>
      </w:r>
      <w:r>
        <w:rPr>
          <w:b/>
          <w:spacing w:val="-2"/>
          <w:sz w:val="22"/>
        </w:rPr>
        <w:t> </w:t>
      </w:r>
      <w:r>
        <w:rPr>
          <w:b/>
          <w:sz w:val="22"/>
        </w:rPr>
        <w:t>Sherman</w:t>
      </w:r>
      <w:r>
        <w:rPr>
          <w:b/>
          <w:spacing w:val="-4"/>
          <w:sz w:val="22"/>
        </w:rPr>
        <w:t> </w:t>
      </w:r>
      <w:r>
        <w:rPr>
          <w:b/>
          <w:sz w:val="22"/>
        </w:rPr>
        <w:t>Pass</w:t>
      </w:r>
      <w:r>
        <w:rPr>
          <w:b/>
          <w:spacing w:val="-5"/>
          <w:sz w:val="22"/>
        </w:rPr>
        <w:t> </w:t>
      </w:r>
      <w:r>
        <w:rPr>
          <w:b/>
          <w:sz w:val="22"/>
        </w:rPr>
        <w:t>Scenic</w:t>
      </w:r>
      <w:r>
        <w:rPr>
          <w:b/>
          <w:spacing w:val="-4"/>
          <w:sz w:val="22"/>
        </w:rPr>
        <w:t> </w:t>
      </w:r>
      <w:r>
        <w:rPr>
          <w:b/>
          <w:sz w:val="22"/>
        </w:rPr>
        <w:t>Byway</w:t>
      </w:r>
      <w:r>
        <w:rPr>
          <w:b/>
          <w:spacing w:val="-2"/>
          <w:sz w:val="22"/>
        </w:rPr>
        <w:t> </w:t>
      </w:r>
      <w:r>
        <w:rPr>
          <w:b/>
          <w:sz w:val="22"/>
        </w:rPr>
        <w:t>and</w:t>
      </w:r>
      <w:r>
        <w:rPr>
          <w:b/>
          <w:spacing w:val="-4"/>
          <w:sz w:val="22"/>
        </w:rPr>
        <w:t> </w:t>
      </w:r>
      <w:r>
        <w:rPr>
          <w:b/>
          <w:sz w:val="22"/>
        </w:rPr>
        <w:t>North</w:t>
      </w:r>
      <w:r>
        <w:rPr>
          <w:b/>
          <w:spacing w:val="-6"/>
          <w:sz w:val="22"/>
        </w:rPr>
        <w:t> </w:t>
      </w:r>
      <w:r>
        <w:rPr>
          <w:b/>
          <w:sz w:val="22"/>
        </w:rPr>
        <w:t>Pend</w:t>
      </w:r>
      <w:r>
        <w:rPr>
          <w:b/>
          <w:spacing w:val="-4"/>
          <w:sz w:val="22"/>
        </w:rPr>
        <w:t> </w:t>
      </w:r>
      <w:r>
        <w:rPr>
          <w:b/>
          <w:sz w:val="22"/>
        </w:rPr>
        <w:t>Oreille</w:t>
      </w:r>
      <w:r>
        <w:rPr>
          <w:b/>
          <w:spacing w:val="-4"/>
          <w:sz w:val="22"/>
        </w:rPr>
        <w:t> </w:t>
      </w:r>
      <w:r>
        <w:rPr>
          <w:b/>
          <w:sz w:val="22"/>
        </w:rPr>
        <w:t>Scenic</w:t>
      </w:r>
      <w:r>
        <w:rPr>
          <w:b/>
          <w:spacing w:val="-4"/>
          <w:sz w:val="22"/>
        </w:rPr>
        <w:t> </w:t>
      </w:r>
      <w:r>
        <w:rPr>
          <w:b/>
          <w:sz w:val="22"/>
        </w:rPr>
        <w:t>Byway.</w:t>
      </w:r>
      <w:r>
        <w:rPr>
          <w:b/>
          <w:spacing w:val="-4"/>
          <w:sz w:val="22"/>
        </w:rPr>
        <w:t> </w:t>
      </w:r>
      <w:r>
        <w:rPr>
          <w:sz w:val="22"/>
        </w:rPr>
        <w:t>These national</w:t>
      </w:r>
      <w:r>
        <w:rPr>
          <w:spacing w:val="-8"/>
          <w:sz w:val="22"/>
        </w:rPr>
        <w:t> </w:t>
      </w:r>
      <w:r>
        <w:rPr>
          <w:sz w:val="22"/>
        </w:rPr>
        <w:t>forest</w:t>
      </w:r>
      <w:r>
        <w:rPr>
          <w:spacing w:val="-7"/>
          <w:sz w:val="22"/>
        </w:rPr>
        <w:t> </w:t>
      </w:r>
      <w:r>
        <w:rPr>
          <w:sz w:val="22"/>
        </w:rPr>
        <w:t>scenic</w:t>
      </w:r>
      <w:r>
        <w:rPr>
          <w:spacing w:val="-8"/>
          <w:sz w:val="22"/>
        </w:rPr>
        <w:t> </w:t>
      </w:r>
      <w:r>
        <w:rPr>
          <w:sz w:val="22"/>
        </w:rPr>
        <w:t>byways</w:t>
      </w:r>
      <w:r>
        <w:rPr>
          <w:spacing w:val="-8"/>
          <w:sz w:val="22"/>
        </w:rPr>
        <w:t> </w:t>
      </w:r>
      <w:r>
        <w:rPr>
          <w:sz w:val="22"/>
        </w:rPr>
        <w:t>showcase</w:t>
      </w:r>
      <w:r>
        <w:rPr>
          <w:spacing w:val="-7"/>
          <w:sz w:val="22"/>
        </w:rPr>
        <w:t> </w:t>
      </w:r>
      <w:r>
        <w:rPr>
          <w:sz w:val="22"/>
        </w:rPr>
        <w:t>historical</w:t>
      </w:r>
      <w:r>
        <w:rPr>
          <w:spacing w:val="-8"/>
          <w:sz w:val="22"/>
        </w:rPr>
        <w:t> </w:t>
      </w:r>
      <w:r>
        <w:rPr>
          <w:sz w:val="22"/>
        </w:rPr>
        <w:t>sites,</w:t>
      </w:r>
      <w:r>
        <w:rPr>
          <w:spacing w:val="-8"/>
          <w:sz w:val="22"/>
        </w:rPr>
        <w:t> </w:t>
      </w:r>
      <w:r>
        <w:rPr>
          <w:sz w:val="22"/>
        </w:rPr>
        <w:t>views</w:t>
      </w:r>
      <w:r>
        <w:rPr>
          <w:spacing w:val="-10"/>
          <w:sz w:val="22"/>
        </w:rPr>
        <w:t> </w:t>
      </w:r>
      <w:r>
        <w:rPr>
          <w:sz w:val="22"/>
        </w:rPr>
        <w:t>of</w:t>
      </w:r>
      <w:r>
        <w:rPr>
          <w:spacing w:val="-8"/>
          <w:sz w:val="22"/>
        </w:rPr>
        <w:t> </w:t>
      </w:r>
      <w:r>
        <w:rPr>
          <w:sz w:val="22"/>
        </w:rPr>
        <w:t>rivers</w:t>
      </w:r>
      <w:r>
        <w:rPr>
          <w:spacing w:val="-8"/>
          <w:sz w:val="22"/>
        </w:rPr>
        <w:t> </w:t>
      </w:r>
      <w:r>
        <w:rPr>
          <w:sz w:val="22"/>
        </w:rPr>
        <w:t>and</w:t>
      </w:r>
      <w:r>
        <w:rPr>
          <w:spacing w:val="-11"/>
          <w:sz w:val="22"/>
        </w:rPr>
        <w:t> </w:t>
      </w:r>
      <w:r>
        <w:rPr>
          <w:sz w:val="22"/>
        </w:rPr>
        <w:t>mountains, and offer varied vegetation including stunning fall foliage and views of past burns.</w:t>
      </w:r>
    </w:p>
    <w:p>
      <w:pPr>
        <w:pStyle w:val="BodyText"/>
        <w:spacing w:line="232" w:lineRule="auto" w:before="198"/>
        <w:ind w:left="1871" w:right="1073"/>
      </w:pPr>
      <w:r>
        <w:rPr>
          <w:b/>
        </w:rPr>
        <w:t>Provides a continuous supply of high quality water. </w:t>
      </w:r>
      <w:r>
        <w:rPr/>
        <w:t>Brown and Froemke (2009) estimated the annual contribution of water supply for all national forests in the contiguous</w:t>
      </w:r>
      <w:r>
        <w:rPr>
          <w:spacing w:val="-6"/>
        </w:rPr>
        <w:t> </w:t>
      </w:r>
      <w:r>
        <w:rPr/>
        <w:t>United</w:t>
      </w:r>
      <w:r>
        <w:rPr>
          <w:spacing w:val="-7"/>
        </w:rPr>
        <w:t> </w:t>
      </w:r>
      <w:r>
        <w:rPr/>
        <w:t>States</w:t>
      </w:r>
      <w:r>
        <w:rPr>
          <w:spacing w:val="-6"/>
        </w:rPr>
        <w:t> </w:t>
      </w:r>
      <w:r>
        <w:rPr/>
        <w:t>based</w:t>
      </w:r>
      <w:r>
        <w:rPr>
          <w:spacing w:val="-7"/>
        </w:rPr>
        <w:t> </w:t>
      </w:r>
      <w:r>
        <w:rPr/>
        <w:t>on</w:t>
      </w:r>
      <w:r>
        <w:rPr>
          <w:spacing w:val="-7"/>
        </w:rPr>
        <w:t> </w:t>
      </w:r>
      <w:r>
        <w:rPr/>
        <w:t>data</w:t>
      </w:r>
      <w:r>
        <w:rPr>
          <w:spacing w:val="-6"/>
        </w:rPr>
        <w:t> </w:t>
      </w:r>
      <w:r>
        <w:rPr/>
        <w:t>from</w:t>
      </w:r>
      <w:r>
        <w:rPr>
          <w:spacing w:val="-6"/>
        </w:rPr>
        <w:t> </w:t>
      </w:r>
      <w:r>
        <w:rPr/>
        <w:t>1953</w:t>
      </w:r>
      <w:r>
        <w:rPr>
          <w:spacing w:val="-7"/>
        </w:rPr>
        <w:t> </w:t>
      </w:r>
      <w:r>
        <w:rPr/>
        <w:t>to</w:t>
      </w:r>
      <w:r>
        <w:rPr>
          <w:spacing w:val="-7"/>
        </w:rPr>
        <w:t> </w:t>
      </w:r>
      <w:r>
        <w:rPr/>
        <w:t>1994.</w:t>
      </w:r>
      <w:r>
        <w:rPr>
          <w:spacing w:val="-9"/>
        </w:rPr>
        <w:t> </w:t>
      </w:r>
      <w:r>
        <w:rPr/>
        <w:t>Water</w:t>
      </w:r>
      <w:r>
        <w:rPr>
          <w:spacing w:val="-6"/>
        </w:rPr>
        <w:t> </w:t>
      </w:r>
      <w:r>
        <w:rPr/>
        <w:t>supply</w:t>
      </w:r>
      <w:r>
        <w:rPr>
          <w:spacing w:val="-7"/>
        </w:rPr>
        <w:t> </w:t>
      </w:r>
      <w:r>
        <w:rPr/>
        <w:t>estimates were calculated as “precipitation minus natural evapotranspiration” with the assumption</w:t>
      </w:r>
      <w:r>
        <w:rPr>
          <w:spacing w:val="-8"/>
        </w:rPr>
        <w:t> </w:t>
      </w:r>
      <w:r>
        <w:rPr/>
        <w:t>that</w:t>
      </w:r>
      <w:r>
        <w:rPr>
          <w:spacing w:val="-4"/>
        </w:rPr>
        <w:t> </w:t>
      </w:r>
      <w:r>
        <w:rPr/>
        <w:t>water</w:t>
      </w:r>
      <w:r>
        <w:rPr>
          <w:spacing w:val="-7"/>
        </w:rPr>
        <w:t> </w:t>
      </w:r>
      <w:r>
        <w:rPr/>
        <w:t>that</w:t>
      </w:r>
      <w:r>
        <w:rPr>
          <w:spacing w:val="-7"/>
        </w:rPr>
        <w:t> </w:t>
      </w:r>
      <w:r>
        <w:rPr/>
        <w:t>infiltrates</w:t>
      </w:r>
      <w:r>
        <w:rPr>
          <w:spacing w:val="-5"/>
        </w:rPr>
        <w:t> </w:t>
      </w:r>
      <w:r>
        <w:rPr/>
        <w:t>into</w:t>
      </w:r>
      <w:r>
        <w:rPr>
          <w:spacing w:val="-6"/>
        </w:rPr>
        <w:t> </w:t>
      </w:r>
      <w:r>
        <w:rPr/>
        <w:t>the</w:t>
      </w:r>
      <w:r>
        <w:rPr>
          <w:spacing w:val="-4"/>
        </w:rPr>
        <w:t> </w:t>
      </w:r>
      <w:r>
        <w:rPr/>
        <w:t>soil</w:t>
      </w:r>
      <w:r>
        <w:rPr>
          <w:spacing w:val="-5"/>
        </w:rPr>
        <w:t> </w:t>
      </w:r>
      <w:r>
        <w:rPr/>
        <w:t>is</w:t>
      </w:r>
      <w:r>
        <w:rPr>
          <w:spacing w:val="-7"/>
        </w:rPr>
        <w:t> </w:t>
      </w:r>
      <w:r>
        <w:rPr/>
        <w:t>not</w:t>
      </w:r>
      <w:r>
        <w:rPr>
          <w:spacing w:val="-7"/>
        </w:rPr>
        <w:t> </w:t>
      </w:r>
      <w:r>
        <w:rPr/>
        <w:t>evaporated</w:t>
      </w:r>
      <w:r>
        <w:rPr>
          <w:spacing w:val="-8"/>
        </w:rPr>
        <w:t> </w:t>
      </w:r>
      <w:r>
        <w:rPr/>
        <w:t>or</w:t>
      </w:r>
      <w:r>
        <w:rPr>
          <w:spacing w:val="-5"/>
        </w:rPr>
        <w:t> </w:t>
      </w:r>
      <w:r>
        <w:rPr/>
        <w:t>transpired</w:t>
      </w:r>
      <w:r>
        <w:rPr>
          <w:spacing w:val="-6"/>
        </w:rPr>
        <w:t> </w:t>
      </w:r>
      <w:r>
        <w:rPr/>
        <w:t>is eventually</w:t>
      </w:r>
      <w:r>
        <w:rPr>
          <w:spacing w:val="-1"/>
        </w:rPr>
        <w:t> </w:t>
      </w:r>
      <w:r>
        <w:rPr/>
        <w:t>available</w:t>
      </w:r>
      <w:r>
        <w:rPr>
          <w:spacing w:val="-4"/>
        </w:rPr>
        <w:t> </w:t>
      </w:r>
      <w:r>
        <w:rPr/>
        <w:t>as</w:t>
      </w:r>
      <w:r>
        <w:rPr>
          <w:spacing w:val="-2"/>
        </w:rPr>
        <w:t> </w:t>
      </w:r>
      <w:r>
        <w:rPr/>
        <w:t>surface</w:t>
      </w:r>
      <w:r>
        <w:rPr>
          <w:spacing w:val="-1"/>
        </w:rPr>
        <w:t> </w:t>
      </w:r>
      <w:r>
        <w:rPr/>
        <w:t>water</w:t>
      </w:r>
      <w:r>
        <w:rPr>
          <w:spacing w:val="-4"/>
        </w:rPr>
        <w:t> </w:t>
      </w:r>
      <w:r>
        <w:rPr/>
        <w:t>(Brown</w:t>
      </w:r>
      <w:r>
        <w:rPr>
          <w:spacing w:val="-3"/>
        </w:rPr>
        <w:t> </w:t>
      </w:r>
      <w:r>
        <w:rPr/>
        <w:t>and</w:t>
      </w:r>
      <w:r>
        <w:rPr>
          <w:spacing w:val="-3"/>
        </w:rPr>
        <w:t> </w:t>
      </w:r>
      <w:r>
        <w:rPr/>
        <w:t>Froemke</w:t>
      </w:r>
      <w:r>
        <w:rPr>
          <w:spacing w:val="-4"/>
        </w:rPr>
        <w:t> </w:t>
      </w:r>
      <w:r>
        <w:rPr/>
        <w:t>2009).</w:t>
      </w:r>
      <w:r>
        <w:rPr>
          <w:spacing w:val="-2"/>
        </w:rPr>
        <w:t> </w:t>
      </w:r>
      <w:r>
        <w:rPr/>
        <w:t>Estimated</w:t>
      </w:r>
      <w:r>
        <w:rPr>
          <w:spacing w:val="-3"/>
        </w:rPr>
        <w:t> </w:t>
      </w:r>
      <w:r>
        <w:rPr/>
        <w:t>annual contribution to water supply from lands within the Colville National Forest administrative boundary is 65,100 million cubic feet</w:t>
      </w:r>
      <w:r>
        <w:rPr>
          <w:spacing w:val="-14"/>
        </w:rPr>
        <w:t> </w:t>
      </w:r>
      <w:r>
        <w:rPr/>
        <w:t>per year. Estimated annual contribution from lands within the Colville National Forest ownership boundary is 51,500 million cubic feet per year.</w:t>
      </w:r>
    </w:p>
    <w:p>
      <w:pPr>
        <w:pStyle w:val="BodyText"/>
        <w:spacing w:line="232" w:lineRule="auto" w:before="196"/>
        <w:ind w:left="1872" w:right="801"/>
      </w:pPr>
      <w:r>
        <w:rPr>
          <w:b/>
        </w:rPr>
        <w:t>Provides</w:t>
      </w:r>
      <w:r>
        <w:rPr>
          <w:b/>
          <w:spacing w:val="-8"/>
        </w:rPr>
        <w:t> </w:t>
      </w:r>
      <w:r>
        <w:rPr>
          <w:b/>
        </w:rPr>
        <w:t>an</w:t>
      </w:r>
      <w:r>
        <w:rPr>
          <w:b/>
          <w:spacing w:val="-11"/>
        </w:rPr>
        <w:t> </w:t>
      </w:r>
      <w:r>
        <w:rPr>
          <w:b/>
        </w:rPr>
        <w:t>important</w:t>
      </w:r>
      <w:r>
        <w:rPr>
          <w:b/>
          <w:spacing w:val="-9"/>
        </w:rPr>
        <w:t> </w:t>
      </w:r>
      <w:r>
        <w:rPr>
          <w:b/>
        </w:rPr>
        <w:t>recreational</w:t>
      </w:r>
      <w:r>
        <w:rPr>
          <w:b/>
          <w:spacing w:val="-8"/>
        </w:rPr>
        <w:t> </w:t>
      </w:r>
      <w:r>
        <w:rPr>
          <w:b/>
        </w:rPr>
        <w:t>fishery.</w:t>
      </w:r>
      <w:r>
        <w:rPr>
          <w:b/>
          <w:spacing w:val="-9"/>
        </w:rPr>
        <w:t> </w:t>
      </w:r>
      <w:r>
        <w:rPr/>
        <w:t>Northeastern</w:t>
      </w:r>
      <w:r>
        <w:rPr>
          <w:spacing w:val="-9"/>
        </w:rPr>
        <w:t> </w:t>
      </w:r>
      <w:r>
        <w:rPr/>
        <w:t>Washington</w:t>
      </w:r>
      <w:r>
        <w:rPr>
          <w:spacing w:val="-9"/>
        </w:rPr>
        <w:t> </w:t>
      </w:r>
      <w:r>
        <w:rPr/>
        <w:t>is</w:t>
      </w:r>
      <w:r>
        <w:rPr>
          <w:spacing w:val="-10"/>
        </w:rPr>
        <w:t> </w:t>
      </w:r>
      <w:r>
        <w:rPr/>
        <w:t>popular</w:t>
      </w:r>
      <w:r>
        <w:rPr>
          <w:spacing w:val="-10"/>
        </w:rPr>
        <w:t> </w:t>
      </w:r>
      <w:r>
        <w:rPr/>
        <w:t>with recreationists</w:t>
      </w:r>
      <w:r>
        <w:rPr>
          <w:spacing w:val="-6"/>
        </w:rPr>
        <w:t> </w:t>
      </w:r>
      <w:r>
        <w:rPr/>
        <w:t>and</w:t>
      </w:r>
      <w:r>
        <w:rPr>
          <w:spacing w:val="-7"/>
        </w:rPr>
        <w:t> </w:t>
      </w:r>
      <w:r>
        <w:rPr/>
        <w:t>is</w:t>
      </w:r>
      <w:r>
        <w:rPr>
          <w:spacing w:val="-8"/>
        </w:rPr>
        <w:t> </w:t>
      </w:r>
      <w:r>
        <w:rPr/>
        <w:t>a</w:t>
      </w:r>
      <w:r>
        <w:rPr>
          <w:spacing w:val="-6"/>
        </w:rPr>
        <w:t> </w:t>
      </w:r>
      <w:r>
        <w:rPr/>
        <w:t>favorite</w:t>
      </w:r>
      <w:r>
        <w:rPr>
          <w:spacing w:val="-5"/>
        </w:rPr>
        <w:t> </w:t>
      </w:r>
      <w:r>
        <w:rPr/>
        <w:t>fishing</w:t>
      </w:r>
      <w:r>
        <w:rPr>
          <w:spacing w:val="-7"/>
        </w:rPr>
        <w:t> </w:t>
      </w:r>
      <w:r>
        <w:rPr/>
        <w:t>destination.</w:t>
      </w:r>
      <w:r>
        <w:rPr>
          <w:spacing w:val="-6"/>
        </w:rPr>
        <w:t> </w:t>
      </w:r>
      <w:r>
        <w:rPr/>
        <w:t>Trout</w:t>
      </w:r>
      <w:r>
        <w:rPr>
          <w:spacing w:val="-5"/>
        </w:rPr>
        <w:t> </w:t>
      </w:r>
      <w:r>
        <w:rPr/>
        <w:t>and</w:t>
      </w:r>
      <w:r>
        <w:rPr>
          <w:spacing w:val="-7"/>
        </w:rPr>
        <w:t> </w:t>
      </w:r>
      <w:r>
        <w:rPr/>
        <w:t>31</w:t>
      </w:r>
      <w:r>
        <w:rPr>
          <w:spacing w:val="-5"/>
        </w:rPr>
        <w:t> </w:t>
      </w:r>
      <w:r>
        <w:rPr/>
        <w:t>species</w:t>
      </w:r>
      <w:r>
        <w:rPr>
          <w:spacing w:val="-8"/>
        </w:rPr>
        <w:t> </w:t>
      </w:r>
      <w:r>
        <w:rPr/>
        <w:t>or</w:t>
      </w:r>
      <w:r>
        <w:rPr>
          <w:spacing w:val="-6"/>
        </w:rPr>
        <w:t> </w:t>
      </w:r>
      <w:r>
        <w:rPr/>
        <w:t>sub-species of fish inhabit Colville National Forest waters. The major sport fishes are cutthroat trout, rainbow trout, Eastern brook trout, German brown trout, ling cod, crappie, sunfish, bass, bullheads, and perch. The Colville National Forest encourages partnerships with local entities and the public to advance resource conservation and enhance recreational fishing opportunities.</w:t>
      </w:r>
    </w:p>
    <w:p>
      <w:pPr>
        <w:spacing w:line="232" w:lineRule="auto" w:before="197"/>
        <w:ind w:left="1871" w:right="1073" w:firstLine="0"/>
        <w:jc w:val="left"/>
        <w:rPr>
          <w:sz w:val="22"/>
        </w:rPr>
      </w:pPr>
      <w:r>
        <w:rPr>
          <w:b/>
          <w:sz w:val="22"/>
        </w:rPr>
        <w:t>Contains</w:t>
      </w:r>
      <w:r>
        <w:rPr>
          <w:b/>
          <w:spacing w:val="-7"/>
          <w:sz w:val="22"/>
        </w:rPr>
        <w:t> </w:t>
      </w:r>
      <w:r>
        <w:rPr>
          <w:b/>
          <w:sz w:val="22"/>
        </w:rPr>
        <w:t>an</w:t>
      </w:r>
      <w:r>
        <w:rPr>
          <w:b/>
          <w:spacing w:val="-9"/>
          <w:sz w:val="22"/>
        </w:rPr>
        <w:t> </w:t>
      </w:r>
      <w:r>
        <w:rPr>
          <w:b/>
          <w:sz w:val="22"/>
        </w:rPr>
        <w:t>important</w:t>
      </w:r>
      <w:r>
        <w:rPr>
          <w:b/>
          <w:spacing w:val="-8"/>
          <w:sz w:val="22"/>
        </w:rPr>
        <w:t> </w:t>
      </w:r>
      <w:r>
        <w:rPr>
          <w:b/>
          <w:sz w:val="22"/>
        </w:rPr>
        <w:t>diversity</w:t>
      </w:r>
      <w:r>
        <w:rPr>
          <w:b/>
          <w:spacing w:val="-7"/>
          <w:sz w:val="22"/>
        </w:rPr>
        <w:t> </w:t>
      </w:r>
      <w:r>
        <w:rPr>
          <w:b/>
          <w:sz w:val="22"/>
        </w:rPr>
        <w:t>of</w:t>
      </w:r>
      <w:r>
        <w:rPr>
          <w:b/>
          <w:spacing w:val="-10"/>
          <w:sz w:val="22"/>
        </w:rPr>
        <w:t> </w:t>
      </w:r>
      <w:r>
        <w:rPr>
          <w:b/>
          <w:sz w:val="22"/>
        </w:rPr>
        <w:t>wildlife</w:t>
      </w:r>
      <w:r>
        <w:rPr>
          <w:b/>
          <w:spacing w:val="-9"/>
          <w:sz w:val="22"/>
        </w:rPr>
        <w:t> </w:t>
      </w:r>
      <w:r>
        <w:rPr>
          <w:b/>
          <w:sz w:val="22"/>
        </w:rPr>
        <w:t>species.</w:t>
      </w:r>
      <w:r>
        <w:rPr>
          <w:b/>
          <w:spacing w:val="-6"/>
          <w:sz w:val="22"/>
        </w:rPr>
        <w:t> </w:t>
      </w:r>
      <w:r>
        <w:rPr>
          <w:sz w:val="22"/>
        </w:rPr>
        <w:t>Three</w:t>
      </w:r>
      <w:r>
        <w:rPr>
          <w:spacing w:val="-7"/>
          <w:sz w:val="22"/>
        </w:rPr>
        <w:t> </w:t>
      </w:r>
      <w:r>
        <w:rPr>
          <w:sz w:val="22"/>
        </w:rPr>
        <w:t>hundred</w:t>
      </w:r>
      <w:r>
        <w:rPr>
          <w:spacing w:val="-10"/>
          <w:sz w:val="22"/>
        </w:rPr>
        <w:t> </w:t>
      </w:r>
      <w:r>
        <w:rPr>
          <w:sz w:val="22"/>
        </w:rPr>
        <w:t>twenty-three known species of vertebrate wildlife occur in Colville National Forest, including</w:t>
      </w:r>
    </w:p>
    <w:p>
      <w:pPr>
        <w:pStyle w:val="BodyText"/>
        <w:spacing w:line="232" w:lineRule="auto"/>
        <w:ind w:left="1871" w:right="778"/>
      </w:pPr>
      <w:r>
        <w:rPr/>
        <w:t>73 species of mammals, 234 birds, 9 reptiles, and 7 species of amphibians. Unique wildlife species such as red-tailed chipmunk, northern bog lemming, and woodland caribou live on the national forest. The Selkirk Mountains and Kettle River Range are also the only places in America where woodland caribou, moose, elk, mule deer, and white-tailed</w:t>
      </w:r>
      <w:r>
        <w:rPr>
          <w:spacing w:val="-8"/>
        </w:rPr>
        <w:t> </w:t>
      </w:r>
      <w:r>
        <w:rPr/>
        <w:t>deer</w:t>
      </w:r>
      <w:r>
        <w:rPr>
          <w:spacing w:val="-9"/>
        </w:rPr>
        <w:t> </w:t>
      </w:r>
      <w:r>
        <w:rPr/>
        <w:t>share</w:t>
      </w:r>
      <w:r>
        <w:rPr>
          <w:spacing w:val="-9"/>
        </w:rPr>
        <w:t> </w:t>
      </w:r>
      <w:r>
        <w:rPr/>
        <w:t>the</w:t>
      </w:r>
      <w:r>
        <w:rPr>
          <w:spacing w:val="-9"/>
        </w:rPr>
        <w:t> </w:t>
      </w:r>
      <w:r>
        <w:rPr/>
        <w:t>same</w:t>
      </w:r>
      <w:r>
        <w:rPr>
          <w:spacing w:val="-6"/>
        </w:rPr>
        <w:t> </w:t>
      </w:r>
      <w:r>
        <w:rPr/>
        <w:t>habitat.</w:t>
      </w:r>
      <w:r>
        <w:rPr>
          <w:spacing w:val="-7"/>
        </w:rPr>
        <w:t> </w:t>
      </w:r>
      <w:r>
        <w:rPr/>
        <w:t>Northeastern</w:t>
      </w:r>
      <w:r>
        <w:rPr>
          <w:spacing w:val="-7"/>
        </w:rPr>
        <w:t> </w:t>
      </w:r>
      <w:r>
        <w:rPr/>
        <w:t>Washington</w:t>
      </w:r>
      <w:r>
        <w:rPr>
          <w:spacing w:val="-8"/>
        </w:rPr>
        <w:t> </w:t>
      </w:r>
      <w:r>
        <w:rPr/>
        <w:t>harbors</w:t>
      </w:r>
      <w:r>
        <w:rPr>
          <w:spacing w:val="-9"/>
        </w:rPr>
        <w:t> </w:t>
      </w:r>
      <w:r>
        <w:rPr/>
        <w:t>the</w:t>
      </w:r>
      <w:r>
        <w:rPr>
          <w:spacing w:val="-6"/>
        </w:rPr>
        <w:t> </w:t>
      </w:r>
      <w:r>
        <w:rPr/>
        <w:t>largest white-tailed deer populations in Washington. White-tailed deer provide an important recreational, economic, and ecological resource, contributing to local economies by attracting hunters to the area. The Washington Department of Fish and Wildlife identifies</w:t>
      </w:r>
      <w:r>
        <w:rPr>
          <w:spacing w:val="-3"/>
        </w:rPr>
        <w:t> </w:t>
      </w:r>
      <w:r>
        <w:rPr/>
        <w:t>two</w:t>
      </w:r>
      <w:r>
        <w:rPr>
          <w:spacing w:val="-4"/>
        </w:rPr>
        <w:t> </w:t>
      </w:r>
      <w:r>
        <w:rPr/>
        <w:t>areas</w:t>
      </w:r>
      <w:r>
        <w:rPr>
          <w:spacing w:val="-5"/>
        </w:rPr>
        <w:t> </w:t>
      </w:r>
      <w:r>
        <w:rPr/>
        <w:t>that</w:t>
      </w:r>
      <w:r>
        <w:rPr>
          <w:spacing w:val="-3"/>
        </w:rPr>
        <w:t> </w:t>
      </w:r>
      <w:r>
        <w:rPr/>
        <w:t>are</w:t>
      </w:r>
      <w:r>
        <w:rPr>
          <w:spacing w:val="-3"/>
        </w:rPr>
        <w:t> </w:t>
      </w:r>
      <w:r>
        <w:rPr/>
        <w:t>managed</w:t>
      </w:r>
      <w:r>
        <w:rPr>
          <w:spacing w:val="-4"/>
        </w:rPr>
        <w:t> </w:t>
      </w:r>
      <w:r>
        <w:rPr/>
        <w:t>for</w:t>
      </w:r>
      <w:r>
        <w:rPr>
          <w:spacing w:val="-5"/>
        </w:rPr>
        <w:t> </w:t>
      </w:r>
      <w:r>
        <w:rPr/>
        <w:t>white-tailed</w:t>
      </w:r>
      <w:r>
        <w:rPr>
          <w:spacing w:val="-6"/>
        </w:rPr>
        <w:t> </w:t>
      </w:r>
      <w:r>
        <w:rPr/>
        <w:t>deer</w:t>
      </w:r>
      <w:r>
        <w:rPr>
          <w:spacing w:val="-3"/>
        </w:rPr>
        <w:t> </w:t>
      </w:r>
      <w:r>
        <w:rPr/>
        <w:t>that</w:t>
      </w:r>
      <w:r>
        <w:rPr>
          <w:spacing w:val="-3"/>
        </w:rPr>
        <w:t> </w:t>
      </w:r>
      <w:r>
        <w:rPr/>
        <w:t>include</w:t>
      </w:r>
      <w:r>
        <w:rPr>
          <w:spacing w:val="-3"/>
        </w:rPr>
        <w:t> </w:t>
      </w:r>
      <w:r>
        <w:rPr/>
        <w:t>portions</w:t>
      </w:r>
      <w:r>
        <w:rPr>
          <w:spacing w:val="-5"/>
        </w:rPr>
        <w:t> </w:t>
      </w:r>
      <w:r>
        <w:rPr/>
        <w:t>of</w:t>
      </w:r>
      <w:r>
        <w:rPr>
          <w:spacing w:val="-3"/>
        </w:rPr>
        <w:t> </w:t>
      </w:r>
      <w:r>
        <w:rPr/>
        <w:t>the</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079" w:right="1445"/>
      </w:pPr>
      <w:r>
        <w:rPr/>
        <w:t>Colville</w:t>
      </w:r>
      <w:r>
        <w:rPr>
          <w:spacing w:val="-5"/>
        </w:rPr>
        <w:t> </w:t>
      </w:r>
      <w:r>
        <w:rPr/>
        <w:t>National</w:t>
      </w:r>
      <w:r>
        <w:rPr>
          <w:spacing w:val="-6"/>
        </w:rPr>
        <w:t> </w:t>
      </w:r>
      <w:r>
        <w:rPr/>
        <w:t>Forest:</w:t>
      </w:r>
      <w:r>
        <w:rPr>
          <w:spacing w:val="-7"/>
        </w:rPr>
        <w:t> </w:t>
      </w:r>
      <w:r>
        <w:rPr/>
        <w:t>the</w:t>
      </w:r>
      <w:r>
        <w:rPr>
          <w:spacing w:val="-5"/>
        </w:rPr>
        <w:t> </w:t>
      </w:r>
      <w:r>
        <w:rPr/>
        <w:t>Okanogan</w:t>
      </w:r>
      <w:r>
        <w:rPr>
          <w:spacing w:val="-7"/>
        </w:rPr>
        <w:t> </w:t>
      </w:r>
      <w:r>
        <w:rPr/>
        <w:t>Highlands</w:t>
      </w:r>
      <w:r>
        <w:rPr>
          <w:spacing w:val="-6"/>
        </w:rPr>
        <w:t> </w:t>
      </w:r>
      <w:r>
        <w:rPr/>
        <w:t>is</w:t>
      </w:r>
      <w:r>
        <w:rPr>
          <w:spacing w:val="-6"/>
        </w:rPr>
        <w:t> </w:t>
      </w:r>
      <w:r>
        <w:rPr/>
        <w:t>composed</w:t>
      </w:r>
      <w:r>
        <w:rPr>
          <w:spacing w:val="-8"/>
        </w:rPr>
        <w:t> </w:t>
      </w:r>
      <w:r>
        <w:rPr/>
        <w:t>of</w:t>
      </w:r>
      <w:r>
        <w:rPr>
          <w:spacing w:val="-6"/>
        </w:rPr>
        <w:t> </w:t>
      </w:r>
      <w:r>
        <w:rPr/>
        <w:t>25</w:t>
      </w:r>
      <w:r>
        <w:rPr>
          <w:spacing w:val="-5"/>
        </w:rPr>
        <w:t> </w:t>
      </w:r>
      <w:r>
        <w:rPr/>
        <w:t>percent</w:t>
      </w:r>
      <w:r>
        <w:rPr>
          <w:spacing w:val="-8"/>
        </w:rPr>
        <w:t> </w:t>
      </w:r>
      <w:r>
        <w:rPr/>
        <w:t>National Forest System land and</w:t>
      </w:r>
      <w:r>
        <w:rPr>
          <w:spacing w:val="-1"/>
        </w:rPr>
        <w:t> </w:t>
      </w:r>
      <w:r>
        <w:rPr/>
        <w:t>the Selkirks contain</w:t>
      </w:r>
      <w:r>
        <w:rPr>
          <w:spacing w:val="-1"/>
        </w:rPr>
        <w:t> </w:t>
      </w:r>
      <w:r>
        <w:rPr/>
        <w:t>26 percent National Forest System land.</w:t>
      </w:r>
    </w:p>
    <w:p>
      <w:pPr>
        <w:pStyle w:val="BodyText"/>
        <w:spacing w:line="232" w:lineRule="auto" w:before="199"/>
        <w:ind w:left="1079" w:right="1516"/>
      </w:pPr>
      <w:r>
        <w:rPr>
          <w:b/>
        </w:rPr>
        <w:t>Contains a significant diversity of plant species and communities. </w:t>
      </w:r>
      <w:r>
        <w:rPr/>
        <w:t>Herbaria data include about 2,400 vascular and nonvascular plant and fungi taxa that occur on the Colville National Forest and vicinity. Of those, 41 have been identified as Region 6 sensitive species. The moonwort species, </w:t>
      </w:r>
      <w:r>
        <w:rPr>
          <w:i/>
        </w:rPr>
        <w:t>Botrychium lineare</w:t>
      </w:r>
      <w:r>
        <w:rPr/>
        <w:t>, occurs here at the only site</w:t>
      </w:r>
      <w:r>
        <w:rPr>
          <w:spacing w:val="-5"/>
        </w:rPr>
        <w:t> </w:t>
      </w:r>
      <w:r>
        <w:rPr/>
        <w:t>in</w:t>
      </w:r>
      <w:r>
        <w:rPr>
          <w:spacing w:val="-9"/>
        </w:rPr>
        <w:t> </w:t>
      </w:r>
      <w:r>
        <w:rPr/>
        <w:t>Washington</w:t>
      </w:r>
      <w:r>
        <w:rPr>
          <w:spacing w:val="-7"/>
        </w:rPr>
        <w:t> </w:t>
      </w:r>
      <w:r>
        <w:rPr/>
        <w:t>State;</w:t>
      </w:r>
      <w:r>
        <w:rPr>
          <w:spacing w:val="-7"/>
        </w:rPr>
        <w:t> </w:t>
      </w:r>
      <w:r>
        <w:rPr/>
        <w:t>the</w:t>
      </w:r>
      <w:r>
        <w:rPr>
          <w:spacing w:val="-5"/>
        </w:rPr>
        <w:t> </w:t>
      </w:r>
      <w:r>
        <w:rPr/>
        <w:t>moonwort</w:t>
      </w:r>
      <w:r>
        <w:rPr>
          <w:spacing w:val="-5"/>
        </w:rPr>
        <w:t> </w:t>
      </w:r>
      <w:r>
        <w:rPr/>
        <w:t>genus</w:t>
      </w:r>
      <w:r>
        <w:rPr>
          <w:spacing w:val="-6"/>
        </w:rPr>
        <w:t> </w:t>
      </w:r>
      <w:r>
        <w:rPr/>
        <w:t>thrives</w:t>
      </w:r>
      <w:r>
        <w:rPr>
          <w:spacing w:val="-8"/>
        </w:rPr>
        <w:t> </w:t>
      </w:r>
      <w:r>
        <w:rPr/>
        <w:t>on</w:t>
      </w:r>
      <w:r>
        <w:rPr>
          <w:spacing w:val="-7"/>
        </w:rPr>
        <w:t> </w:t>
      </w:r>
      <w:r>
        <w:rPr/>
        <w:t>the</w:t>
      </w:r>
      <w:r>
        <w:rPr>
          <w:spacing w:val="-8"/>
        </w:rPr>
        <w:t> </w:t>
      </w:r>
      <w:r>
        <w:rPr/>
        <w:t>Colville</w:t>
      </w:r>
      <w:r>
        <w:rPr>
          <w:spacing w:val="-5"/>
        </w:rPr>
        <w:t> </w:t>
      </w:r>
      <w:r>
        <w:rPr/>
        <w:t>National</w:t>
      </w:r>
      <w:r>
        <w:rPr>
          <w:spacing w:val="-6"/>
        </w:rPr>
        <w:t> </w:t>
      </w:r>
      <w:r>
        <w:rPr/>
        <w:t>Forest.</w:t>
      </w:r>
      <w:r>
        <w:rPr>
          <w:spacing w:val="-6"/>
        </w:rPr>
        <w:t> </w:t>
      </w:r>
      <w:r>
        <w:rPr/>
        <w:t>In addition, there are two wildflower viewing sites documented and described for public recreation</w:t>
      </w:r>
      <w:r>
        <w:rPr>
          <w:spacing w:val="-7"/>
        </w:rPr>
        <w:t> </w:t>
      </w:r>
      <w:r>
        <w:rPr/>
        <w:t>opportunities.</w:t>
      </w:r>
      <w:r>
        <w:rPr>
          <w:spacing w:val="-6"/>
        </w:rPr>
        <w:t> </w:t>
      </w:r>
      <w:r>
        <w:rPr/>
        <w:t>The</w:t>
      </w:r>
      <w:r>
        <w:rPr>
          <w:spacing w:val="-3"/>
        </w:rPr>
        <w:t> </w:t>
      </w:r>
      <w:r>
        <w:rPr/>
        <w:t>wide</w:t>
      </w:r>
      <w:r>
        <w:rPr>
          <w:spacing w:val="-3"/>
        </w:rPr>
        <w:t> </w:t>
      </w:r>
      <w:r>
        <w:rPr/>
        <w:t>range</w:t>
      </w:r>
      <w:r>
        <w:rPr>
          <w:spacing w:val="-6"/>
        </w:rPr>
        <w:t> </w:t>
      </w:r>
      <w:r>
        <w:rPr/>
        <w:t>of</w:t>
      </w:r>
      <w:r>
        <w:rPr>
          <w:spacing w:val="-4"/>
        </w:rPr>
        <w:t> </w:t>
      </w:r>
      <w:r>
        <w:rPr/>
        <w:t>geological</w:t>
      </w:r>
      <w:r>
        <w:rPr>
          <w:spacing w:val="-7"/>
        </w:rPr>
        <w:t> </w:t>
      </w:r>
      <w:r>
        <w:rPr/>
        <w:t>and</w:t>
      </w:r>
      <w:r>
        <w:rPr>
          <w:spacing w:val="-5"/>
        </w:rPr>
        <w:t> </w:t>
      </w:r>
      <w:r>
        <w:rPr/>
        <w:t>soil</w:t>
      </w:r>
      <w:r>
        <w:rPr>
          <w:spacing w:val="-6"/>
        </w:rPr>
        <w:t> </w:t>
      </w:r>
      <w:r>
        <w:rPr/>
        <w:t>types,</w:t>
      </w:r>
      <w:r>
        <w:rPr>
          <w:spacing w:val="-4"/>
        </w:rPr>
        <w:t> </w:t>
      </w:r>
      <w:r>
        <w:rPr/>
        <w:t>precipitation,</w:t>
      </w:r>
      <w:r>
        <w:rPr>
          <w:spacing w:val="-4"/>
        </w:rPr>
        <w:t> </w:t>
      </w:r>
      <w:r>
        <w:rPr/>
        <w:t>and elevations spanning from warm valley bottoms to cold mountain peaks supports a diverse assortment of plant communities.</w:t>
      </w:r>
    </w:p>
    <w:p>
      <w:pPr>
        <w:pStyle w:val="BodyText"/>
        <w:spacing w:line="232" w:lineRule="auto" w:before="195"/>
        <w:ind w:left="358" w:right="1516"/>
      </w:pPr>
      <w:r>
        <w:rPr/>
        <w:t>Paper copies of the Plan, as well as detailed assessments, evaluations, reports, and documents associated with the Plan, are maintained on site at the Colville National Forest Supervisor’s Office</w:t>
      </w:r>
      <w:r>
        <w:rPr>
          <w:spacing w:val="-4"/>
        </w:rPr>
        <w:t> </w:t>
      </w:r>
      <w:r>
        <w:rPr/>
        <w:t>in</w:t>
      </w:r>
      <w:r>
        <w:rPr>
          <w:spacing w:val="-6"/>
        </w:rPr>
        <w:t> </w:t>
      </w:r>
      <w:r>
        <w:rPr/>
        <w:t>Colville,</w:t>
      </w:r>
      <w:r>
        <w:rPr>
          <w:spacing w:val="-7"/>
        </w:rPr>
        <w:t> </w:t>
      </w:r>
      <w:r>
        <w:rPr/>
        <w:t>Washington.</w:t>
      </w:r>
      <w:r>
        <w:rPr>
          <w:spacing w:val="-5"/>
        </w:rPr>
        <w:t> </w:t>
      </w:r>
      <w:r>
        <w:rPr/>
        <w:t>These</w:t>
      </w:r>
      <w:r>
        <w:rPr>
          <w:spacing w:val="-4"/>
        </w:rPr>
        <w:t> </w:t>
      </w:r>
      <w:r>
        <w:rPr/>
        <w:t>documents</w:t>
      </w:r>
      <w:r>
        <w:rPr>
          <w:spacing w:val="-5"/>
        </w:rPr>
        <w:t> </w:t>
      </w:r>
      <w:r>
        <w:rPr/>
        <w:t>are</w:t>
      </w:r>
      <w:r>
        <w:rPr>
          <w:spacing w:val="-4"/>
        </w:rPr>
        <w:t> </w:t>
      </w:r>
      <w:r>
        <w:rPr/>
        <w:t>also</w:t>
      </w:r>
      <w:r>
        <w:rPr>
          <w:spacing w:val="-4"/>
        </w:rPr>
        <w:t> </w:t>
      </w:r>
      <w:r>
        <w:rPr/>
        <w:t>available</w:t>
      </w:r>
      <w:r>
        <w:rPr>
          <w:spacing w:val="-4"/>
        </w:rPr>
        <w:t> </w:t>
      </w:r>
      <w:r>
        <w:rPr/>
        <w:t>to</w:t>
      </w:r>
      <w:r>
        <w:rPr>
          <w:spacing w:val="-6"/>
        </w:rPr>
        <w:t> </w:t>
      </w:r>
      <w:r>
        <w:rPr/>
        <w:t>view</w:t>
      </w:r>
      <w:r>
        <w:rPr>
          <w:spacing w:val="-4"/>
        </w:rPr>
        <w:t> </w:t>
      </w:r>
      <w:r>
        <w:rPr/>
        <w:t>and</w:t>
      </w:r>
      <w:r>
        <w:rPr>
          <w:spacing w:val="-6"/>
        </w:rPr>
        <w:t> </w:t>
      </w:r>
      <w:r>
        <w:rPr/>
        <w:t>download</w:t>
      </w:r>
      <w:r>
        <w:rPr>
          <w:spacing w:val="-8"/>
        </w:rPr>
        <w:t> </w:t>
      </w:r>
      <w:r>
        <w:rPr/>
        <w:t>on</w:t>
      </w:r>
      <w:r>
        <w:rPr>
          <w:spacing w:val="-6"/>
        </w:rPr>
        <w:t> </w:t>
      </w:r>
      <w:r>
        <w:rPr/>
        <w:t>the land management plan development website: </w:t>
      </w:r>
      <w:hyperlink r:id="rId37">
        <w:r>
          <w:rPr>
            <w:color w:val="0000FF"/>
            <w:spacing w:val="-2"/>
            <w:u w:val="single" w:color="0000FF"/>
          </w:rPr>
          <w:t>https://www.fs.usda.gov/main/colville/landmanagement/planning</w:t>
        </w:r>
      </w:hyperlink>
    </w:p>
    <w:p>
      <w:pPr>
        <w:pStyle w:val="BodyText"/>
        <w:spacing w:after="0" w:line="232" w:lineRule="auto"/>
        <w:sectPr>
          <w:pgSz w:w="12240" w:h="15840"/>
          <w:pgMar w:header="725" w:footer="891" w:top="960" w:bottom="1080" w:left="1080" w:right="720"/>
        </w:sectPr>
      </w:pPr>
    </w:p>
    <w:p>
      <w:pPr>
        <w:pStyle w:val="BodyText"/>
        <w:spacing w:before="197"/>
        <w:rPr>
          <w:sz w:val="36"/>
        </w:rPr>
      </w:pPr>
    </w:p>
    <w:p>
      <w:pPr>
        <w:pStyle w:val="Heading1"/>
        <w:tabs>
          <w:tab w:pos="9748" w:val="left" w:leader="none"/>
        </w:tabs>
        <w:ind w:left="1151"/>
      </w:pPr>
      <w:bookmarkStart w:name="Chapter 2" w:id="110"/>
      <w:bookmarkEnd w:id="110"/>
      <w:r>
        <w:rPr>
          <w:b w:val="0"/>
        </w:rPr>
      </w:r>
      <w:bookmarkStart w:name="_bookmark58" w:id="111"/>
      <w:bookmarkEnd w:id="111"/>
      <w:r>
        <w:rPr>
          <w:b w:val="0"/>
        </w:rPr>
      </w:r>
      <w:r>
        <w:rPr>
          <w:color w:val="475824"/>
          <w:shd w:fill="C2D59B" w:color="auto" w:val="clear"/>
        </w:rPr>
        <w:t>Chapter</w:t>
      </w:r>
      <w:r>
        <w:rPr>
          <w:color w:val="475824"/>
          <w:spacing w:val="-9"/>
          <w:shd w:fill="C2D59B" w:color="auto" w:val="clear"/>
        </w:rPr>
        <w:t> </w:t>
      </w:r>
      <w:r>
        <w:rPr>
          <w:color w:val="475824"/>
          <w:spacing w:val="-10"/>
          <w:shd w:fill="C2D59B" w:color="auto" w:val="clear"/>
        </w:rPr>
        <w:t>2</w:t>
      </w:r>
      <w:r>
        <w:rPr>
          <w:color w:val="475824"/>
          <w:shd w:fill="C2D59B" w:color="auto" w:val="clear"/>
        </w:rPr>
        <w:tab/>
      </w:r>
    </w:p>
    <w:p>
      <w:pPr>
        <w:pStyle w:val="Heading2"/>
        <w:spacing w:before="238"/>
        <w:ind w:left="1151"/>
      </w:pPr>
      <w:bookmarkStart w:name="Forestwide Direction – Introduction" w:id="112"/>
      <w:bookmarkEnd w:id="112"/>
      <w:r>
        <w:rPr/>
      </w:r>
      <w:bookmarkStart w:name="_bookmark59" w:id="113"/>
      <w:bookmarkEnd w:id="113"/>
      <w:r>
        <w:rPr/>
      </w:r>
      <w:r>
        <w:rPr>
          <w:smallCaps/>
          <w:color w:val="475824"/>
        </w:rPr>
        <w:t>Forestwide</w:t>
      </w:r>
      <w:r>
        <w:rPr>
          <w:smallCaps/>
          <w:color w:val="475824"/>
          <w:spacing w:val="-18"/>
        </w:rPr>
        <w:t> </w:t>
      </w:r>
      <w:r>
        <w:rPr>
          <w:smallCaps/>
          <w:color w:val="475824"/>
        </w:rPr>
        <w:t>Direction</w:t>
      </w:r>
      <w:r>
        <w:rPr>
          <w:smallCaps/>
          <w:color w:val="475824"/>
          <w:spacing w:val="-11"/>
        </w:rPr>
        <w:t> </w:t>
      </w:r>
      <w:r>
        <w:rPr>
          <w:smallCaps/>
          <w:color w:val="475824"/>
        </w:rPr>
        <w:t>–</w:t>
      </w:r>
      <w:r>
        <w:rPr>
          <w:smallCaps/>
          <w:color w:val="475824"/>
          <w:spacing w:val="-18"/>
        </w:rPr>
        <w:t> </w:t>
      </w:r>
      <w:r>
        <w:rPr>
          <w:smallCaps/>
          <w:color w:val="475824"/>
          <w:spacing w:val="-2"/>
        </w:rPr>
        <w:t>Introduction</w:t>
      </w:r>
    </w:p>
    <w:p>
      <w:pPr>
        <w:pStyle w:val="BodyText"/>
        <w:spacing w:line="232" w:lineRule="auto" w:before="65"/>
        <w:ind w:left="1151" w:right="1073"/>
      </w:pPr>
      <w:r>
        <w:rPr>
          <w:b/>
        </w:rPr>
        <w:t>Desired</w:t>
      </w:r>
      <w:r>
        <w:rPr>
          <w:b/>
          <w:spacing w:val="-7"/>
        </w:rPr>
        <w:t> </w:t>
      </w:r>
      <w:r>
        <w:rPr>
          <w:b/>
        </w:rPr>
        <w:t>conditions</w:t>
      </w:r>
      <w:r>
        <w:rPr/>
        <w:t>:</w:t>
      </w:r>
      <w:r>
        <w:rPr>
          <w:spacing w:val="-6"/>
        </w:rPr>
        <w:t> </w:t>
      </w:r>
      <w:r>
        <w:rPr/>
        <w:t>A</w:t>
      </w:r>
      <w:r>
        <w:rPr>
          <w:spacing w:val="-5"/>
        </w:rPr>
        <w:t> </w:t>
      </w:r>
      <w:r>
        <w:rPr/>
        <w:t>project</w:t>
      </w:r>
      <w:r>
        <w:rPr>
          <w:spacing w:val="-4"/>
        </w:rPr>
        <w:t> </w:t>
      </w:r>
      <w:r>
        <w:rPr/>
        <w:t>or</w:t>
      </w:r>
      <w:r>
        <w:rPr>
          <w:spacing w:val="-6"/>
        </w:rPr>
        <w:t> </w:t>
      </w:r>
      <w:r>
        <w:rPr/>
        <w:t>activity</w:t>
      </w:r>
      <w:r>
        <w:rPr>
          <w:spacing w:val="-6"/>
        </w:rPr>
        <w:t> </w:t>
      </w:r>
      <w:r>
        <w:rPr/>
        <w:t>must</w:t>
      </w:r>
      <w:r>
        <w:rPr>
          <w:spacing w:val="-4"/>
        </w:rPr>
        <w:t> </w:t>
      </w:r>
      <w:r>
        <w:rPr/>
        <w:t>be</w:t>
      </w:r>
      <w:r>
        <w:rPr>
          <w:spacing w:val="-4"/>
        </w:rPr>
        <w:t> </w:t>
      </w:r>
      <w:r>
        <w:rPr/>
        <w:t>consistent</w:t>
      </w:r>
      <w:r>
        <w:rPr>
          <w:spacing w:val="-6"/>
        </w:rPr>
        <w:t> </w:t>
      </w:r>
      <w:r>
        <w:rPr/>
        <w:t>with</w:t>
      </w:r>
      <w:r>
        <w:rPr>
          <w:spacing w:val="-6"/>
        </w:rPr>
        <w:t> </w:t>
      </w:r>
      <w:r>
        <w:rPr/>
        <w:t>desired</w:t>
      </w:r>
      <w:r>
        <w:rPr>
          <w:spacing w:val="-6"/>
        </w:rPr>
        <w:t> </w:t>
      </w:r>
      <w:r>
        <w:rPr/>
        <w:t>conditions</w:t>
      </w:r>
      <w:r>
        <w:rPr>
          <w:spacing w:val="-5"/>
        </w:rPr>
        <w:t> </w:t>
      </w:r>
      <w:r>
        <w:rPr/>
        <w:t>as described in appendix A.</w:t>
      </w:r>
    </w:p>
    <w:p>
      <w:pPr>
        <w:spacing w:line="232" w:lineRule="auto" w:before="199"/>
        <w:ind w:left="1151" w:right="801" w:firstLine="0"/>
        <w:jc w:val="left"/>
        <w:rPr>
          <w:sz w:val="22"/>
        </w:rPr>
      </w:pPr>
      <w:r>
        <w:rPr>
          <w:b/>
          <w:sz w:val="22"/>
        </w:rPr>
        <w:t>Forestwide</w:t>
      </w:r>
      <w:r>
        <w:rPr>
          <w:b/>
          <w:spacing w:val="-7"/>
          <w:sz w:val="22"/>
        </w:rPr>
        <w:t> </w:t>
      </w:r>
      <w:r>
        <w:rPr>
          <w:b/>
          <w:sz w:val="22"/>
        </w:rPr>
        <w:t>desired</w:t>
      </w:r>
      <w:r>
        <w:rPr>
          <w:b/>
          <w:spacing w:val="-9"/>
          <w:sz w:val="22"/>
        </w:rPr>
        <w:t> </w:t>
      </w:r>
      <w:r>
        <w:rPr>
          <w:b/>
          <w:sz w:val="22"/>
        </w:rPr>
        <w:t>conditions</w:t>
      </w:r>
      <w:r>
        <w:rPr>
          <w:b/>
          <w:spacing w:val="-6"/>
          <w:sz w:val="22"/>
        </w:rPr>
        <w:t> </w:t>
      </w:r>
      <w:r>
        <w:rPr>
          <w:b/>
          <w:sz w:val="22"/>
        </w:rPr>
        <w:t>(chapter</w:t>
      </w:r>
      <w:r>
        <w:rPr>
          <w:b/>
          <w:spacing w:val="-6"/>
          <w:sz w:val="22"/>
        </w:rPr>
        <w:t> </w:t>
      </w:r>
      <w:r>
        <w:rPr>
          <w:b/>
          <w:sz w:val="22"/>
        </w:rPr>
        <w:t>2)</w:t>
      </w:r>
      <w:r>
        <w:rPr>
          <w:b/>
          <w:spacing w:val="-6"/>
          <w:sz w:val="22"/>
        </w:rPr>
        <w:t> </w:t>
      </w:r>
      <w:r>
        <w:rPr>
          <w:sz w:val="22"/>
        </w:rPr>
        <w:t>apply</w:t>
      </w:r>
      <w:r>
        <w:rPr>
          <w:spacing w:val="-7"/>
          <w:sz w:val="22"/>
        </w:rPr>
        <w:t> </w:t>
      </w:r>
      <w:r>
        <w:rPr>
          <w:sz w:val="22"/>
        </w:rPr>
        <w:t>only</w:t>
      </w:r>
      <w:r>
        <w:rPr>
          <w:spacing w:val="-7"/>
          <w:sz w:val="22"/>
        </w:rPr>
        <w:t> </w:t>
      </w:r>
      <w:r>
        <w:rPr>
          <w:sz w:val="22"/>
        </w:rPr>
        <w:t>to</w:t>
      </w:r>
      <w:r>
        <w:rPr>
          <w:spacing w:val="-5"/>
          <w:sz w:val="22"/>
        </w:rPr>
        <w:t> </w:t>
      </w:r>
      <w:r>
        <w:rPr>
          <w:sz w:val="22"/>
        </w:rPr>
        <w:t>Colville</w:t>
      </w:r>
      <w:r>
        <w:rPr>
          <w:spacing w:val="-6"/>
          <w:sz w:val="22"/>
        </w:rPr>
        <w:t> </w:t>
      </w:r>
      <w:r>
        <w:rPr>
          <w:sz w:val="22"/>
        </w:rPr>
        <w:t>National</w:t>
      </w:r>
      <w:r>
        <w:rPr>
          <w:spacing w:val="-6"/>
          <w:sz w:val="22"/>
        </w:rPr>
        <w:t> </w:t>
      </w:r>
      <w:r>
        <w:rPr>
          <w:sz w:val="22"/>
        </w:rPr>
        <w:t>Forest</w:t>
      </w:r>
      <w:r>
        <w:rPr>
          <w:spacing w:val="-6"/>
          <w:sz w:val="22"/>
        </w:rPr>
        <w:t> </w:t>
      </w:r>
      <w:r>
        <w:rPr>
          <w:sz w:val="22"/>
        </w:rPr>
        <w:t>System</w:t>
      </w:r>
      <w:r>
        <w:rPr>
          <w:spacing w:val="-6"/>
          <w:sz w:val="22"/>
        </w:rPr>
        <w:t> </w:t>
      </w:r>
      <w:r>
        <w:rPr>
          <w:sz w:val="22"/>
        </w:rPr>
        <w:t>lands and are measured at a forestwide scale unless otherwise stated.</w:t>
      </w:r>
    </w:p>
    <w:p>
      <w:pPr>
        <w:pStyle w:val="BodyText"/>
        <w:spacing w:line="232" w:lineRule="auto" w:before="199"/>
        <w:ind w:left="1152" w:right="720" w:hanging="1"/>
      </w:pPr>
      <w:r>
        <w:rPr>
          <w:b/>
        </w:rPr>
        <w:t>Management area desired conditions (chapter 3) </w:t>
      </w:r>
      <w:r>
        <w:rPr/>
        <w:t>are specific to each management area. Forestwide desired conditions apply to these areas. Some management direction, such as Riparian Management Areas, overlays parts of other management areas. The applicability of plan direction is guided by the principle that, where management direction overlaps, and depending on site-specific</w:t>
      </w:r>
      <w:r>
        <w:rPr>
          <w:spacing w:val="-1"/>
        </w:rPr>
        <w:t> </w:t>
      </w:r>
      <w:r>
        <w:rPr/>
        <w:t>conditions and the activity or use, the most restrictive plan direction applies.</w:t>
      </w:r>
      <w:r>
        <w:rPr>
          <w:spacing w:val="-6"/>
        </w:rPr>
        <w:t> </w:t>
      </w:r>
      <w:r>
        <w:rPr/>
        <w:t>Using</w:t>
      </w:r>
      <w:r>
        <w:rPr>
          <w:spacing w:val="-7"/>
        </w:rPr>
        <w:t> </w:t>
      </w:r>
      <w:r>
        <w:rPr/>
        <w:t>the</w:t>
      </w:r>
      <w:r>
        <w:rPr>
          <w:spacing w:val="-7"/>
        </w:rPr>
        <w:t> </w:t>
      </w:r>
      <w:r>
        <w:rPr/>
        <w:t>most</w:t>
      </w:r>
      <w:r>
        <w:rPr>
          <w:spacing w:val="-7"/>
        </w:rPr>
        <w:t> </w:t>
      </w:r>
      <w:r>
        <w:rPr/>
        <w:t>restrictive</w:t>
      </w:r>
      <w:r>
        <w:rPr>
          <w:spacing w:val="-5"/>
        </w:rPr>
        <w:t> </w:t>
      </w:r>
      <w:r>
        <w:rPr/>
        <w:t>plan</w:t>
      </w:r>
      <w:r>
        <w:rPr>
          <w:spacing w:val="-7"/>
        </w:rPr>
        <w:t> </w:t>
      </w:r>
      <w:r>
        <w:rPr/>
        <w:t>direction</w:t>
      </w:r>
      <w:r>
        <w:rPr>
          <w:spacing w:val="-7"/>
        </w:rPr>
        <w:t> </w:t>
      </w:r>
      <w:r>
        <w:rPr/>
        <w:t>provides</w:t>
      </w:r>
      <w:r>
        <w:rPr>
          <w:spacing w:val="-6"/>
        </w:rPr>
        <w:t> </w:t>
      </w:r>
      <w:r>
        <w:rPr/>
        <w:t>guidance</w:t>
      </w:r>
      <w:r>
        <w:rPr>
          <w:spacing w:val="-5"/>
        </w:rPr>
        <w:t> </w:t>
      </w:r>
      <w:r>
        <w:rPr/>
        <w:t>and</w:t>
      </w:r>
      <w:r>
        <w:rPr>
          <w:spacing w:val="-7"/>
        </w:rPr>
        <w:t> </w:t>
      </w:r>
      <w:r>
        <w:rPr/>
        <w:t>protection</w:t>
      </w:r>
      <w:r>
        <w:rPr>
          <w:spacing w:val="-7"/>
        </w:rPr>
        <w:t> </w:t>
      </w:r>
      <w:r>
        <w:rPr/>
        <w:t>for</w:t>
      </w:r>
      <w:r>
        <w:rPr>
          <w:spacing w:val="-6"/>
        </w:rPr>
        <w:t> </w:t>
      </w:r>
      <w:r>
        <w:rPr/>
        <w:t>resource- based or socially sensitive functions provided by National Forest System lands.</w:t>
      </w:r>
    </w:p>
    <w:p>
      <w:pPr>
        <w:pStyle w:val="BodyText"/>
        <w:spacing w:line="232" w:lineRule="auto" w:before="197"/>
        <w:ind w:left="1152" w:right="801"/>
      </w:pPr>
      <w:r>
        <w:rPr>
          <w:b/>
        </w:rPr>
        <w:t>Objectives: </w:t>
      </w:r>
      <w:r>
        <w:rPr/>
        <w:t>A project or activity must be consistent with objectives as described in the Consistency</w:t>
      </w:r>
      <w:r>
        <w:rPr>
          <w:spacing w:val="-3"/>
        </w:rPr>
        <w:t> </w:t>
      </w:r>
      <w:r>
        <w:rPr/>
        <w:t>with</w:t>
      </w:r>
      <w:r>
        <w:rPr>
          <w:spacing w:val="-5"/>
        </w:rPr>
        <w:t> </w:t>
      </w:r>
      <w:r>
        <w:rPr/>
        <w:t>Plan</w:t>
      </w:r>
      <w:r>
        <w:rPr>
          <w:spacing w:val="-3"/>
        </w:rPr>
        <w:t> </w:t>
      </w:r>
      <w:r>
        <w:rPr/>
        <w:t>Components</w:t>
      </w:r>
      <w:r>
        <w:rPr>
          <w:spacing w:val="-2"/>
        </w:rPr>
        <w:t> </w:t>
      </w:r>
      <w:r>
        <w:rPr/>
        <w:t>Appendix</w:t>
      </w:r>
      <w:r>
        <w:rPr>
          <w:spacing w:val="-4"/>
        </w:rPr>
        <w:t> </w:t>
      </w:r>
      <w:r>
        <w:rPr/>
        <w:t>(appendix</w:t>
      </w:r>
      <w:r>
        <w:rPr>
          <w:spacing w:val="-2"/>
        </w:rPr>
        <w:t> </w:t>
      </w:r>
      <w:r>
        <w:rPr/>
        <w:t>A</w:t>
      </w:r>
      <w:r>
        <w:rPr>
          <w:spacing w:val="-2"/>
        </w:rPr>
        <w:t> </w:t>
      </w:r>
      <w:r>
        <w:rPr/>
        <w:t>of</w:t>
      </w:r>
      <w:r>
        <w:rPr>
          <w:spacing w:val="-4"/>
        </w:rPr>
        <w:t> </w:t>
      </w:r>
      <w:r>
        <w:rPr/>
        <w:t>this</w:t>
      </w:r>
      <w:r>
        <w:rPr>
          <w:spacing w:val="-4"/>
        </w:rPr>
        <w:t> </w:t>
      </w:r>
      <w:r>
        <w:rPr/>
        <w:t>Plan).</w:t>
      </w:r>
      <w:r>
        <w:rPr>
          <w:spacing w:val="-2"/>
        </w:rPr>
        <w:t> </w:t>
      </w:r>
      <w:r>
        <w:rPr/>
        <w:t>Objectives</w:t>
      </w:r>
      <w:r>
        <w:rPr>
          <w:spacing w:val="-2"/>
        </w:rPr>
        <w:t> </w:t>
      </w:r>
      <w:r>
        <w:rPr/>
        <w:t>do</w:t>
      </w:r>
      <w:r>
        <w:rPr>
          <w:spacing w:val="-1"/>
        </w:rPr>
        <w:t> </w:t>
      </w:r>
      <w:r>
        <w:rPr/>
        <w:t>not</w:t>
      </w:r>
      <w:r>
        <w:rPr>
          <w:spacing w:val="-1"/>
        </w:rPr>
        <w:t> </w:t>
      </w:r>
      <w:r>
        <w:rPr/>
        <w:t>imply a program of work, a list of projects, or a minimum or maximum amount to be accomplished. Accomplishing the objectives depends on availability of resources, including budget, to complete the work. The amounts shown reflect current budget trends and available resources on the Colville National Forest. Objectives provide information on outcomes and are not mandatory</w:t>
      </w:r>
      <w:r>
        <w:rPr>
          <w:spacing w:val="-5"/>
        </w:rPr>
        <w:t> </w:t>
      </w:r>
      <w:r>
        <w:rPr/>
        <w:t>tasks.</w:t>
      </w:r>
      <w:r>
        <w:rPr>
          <w:spacing w:val="-4"/>
        </w:rPr>
        <w:t> </w:t>
      </w:r>
      <w:r>
        <w:rPr/>
        <w:t>The</w:t>
      </w:r>
      <w:r>
        <w:rPr>
          <w:spacing w:val="-6"/>
        </w:rPr>
        <w:t> </w:t>
      </w:r>
      <w:r>
        <w:rPr/>
        <w:t>national</w:t>
      </w:r>
      <w:r>
        <w:rPr>
          <w:spacing w:val="-4"/>
        </w:rPr>
        <w:t> </w:t>
      </w:r>
      <w:r>
        <w:rPr/>
        <w:t>forest</w:t>
      </w:r>
      <w:r>
        <w:rPr>
          <w:spacing w:val="-6"/>
        </w:rPr>
        <w:t> </w:t>
      </w:r>
      <w:r>
        <w:rPr/>
        <w:t>engages</w:t>
      </w:r>
      <w:r>
        <w:rPr>
          <w:spacing w:val="-4"/>
        </w:rPr>
        <w:t> </w:t>
      </w:r>
      <w:r>
        <w:rPr/>
        <w:t>in</w:t>
      </w:r>
      <w:r>
        <w:rPr>
          <w:spacing w:val="-5"/>
        </w:rPr>
        <w:t> </w:t>
      </w:r>
      <w:r>
        <w:rPr/>
        <w:t>tasks</w:t>
      </w:r>
      <w:r>
        <w:rPr>
          <w:spacing w:val="-9"/>
        </w:rPr>
        <w:t> </w:t>
      </w:r>
      <w:r>
        <w:rPr/>
        <w:t>beyond</w:t>
      </w:r>
      <w:r>
        <w:rPr>
          <w:spacing w:val="-5"/>
        </w:rPr>
        <w:t> </w:t>
      </w:r>
      <w:r>
        <w:rPr/>
        <w:t>those</w:t>
      </w:r>
      <w:r>
        <w:rPr>
          <w:spacing w:val="-6"/>
        </w:rPr>
        <w:t> </w:t>
      </w:r>
      <w:r>
        <w:rPr/>
        <w:t>shown</w:t>
      </w:r>
      <w:r>
        <w:rPr>
          <w:spacing w:val="-4"/>
        </w:rPr>
        <w:t> </w:t>
      </w:r>
      <w:r>
        <w:rPr/>
        <w:t>in</w:t>
      </w:r>
      <w:r>
        <w:rPr>
          <w:spacing w:val="-7"/>
        </w:rPr>
        <w:t> </w:t>
      </w:r>
      <w:r>
        <w:rPr/>
        <w:t>the</w:t>
      </w:r>
      <w:r>
        <w:rPr>
          <w:spacing w:val="-6"/>
        </w:rPr>
        <w:t> </w:t>
      </w:r>
      <w:r>
        <w:rPr/>
        <w:t>Plan</w:t>
      </w:r>
      <w:r>
        <w:rPr>
          <w:spacing w:val="-5"/>
        </w:rPr>
        <w:t> </w:t>
      </w:r>
      <w:r>
        <w:rPr/>
        <w:t>that</w:t>
      </w:r>
      <w:r>
        <w:rPr>
          <w:spacing w:val="-6"/>
        </w:rPr>
        <w:t> </w:t>
      </w:r>
      <w:r>
        <w:rPr/>
        <w:t>also move the Forest toward desired conditions.</w:t>
      </w:r>
    </w:p>
    <w:p>
      <w:pPr>
        <w:pStyle w:val="BodyText"/>
        <w:spacing w:line="232" w:lineRule="auto" w:before="197"/>
        <w:ind w:left="1151" w:right="801"/>
      </w:pPr>
      <w:r>
        <w:rPr/>
        <w:t>Management</w:t>
      </w:r>
      <w:r>
        <w:rPr>
          <w:spacing w:val="-3"/>
        </w:rPr>
        <w:t> </w:t>
      </w:r>
      <w:r>
        <w:rPr/>
        <w:t>activities</w:t>
      </w:r>
      <w:r>
        <w:rPr>
          <w:spacing w:val="-4"/>
        </w:rPr>
        <w:t> </w:t>
      </w:r>
      <w:r>
        <w:rPr/>
        <w:t>used</w:t>
      </w:r>
      <w:r>
        <w:rPr>
          <w:spacing w:val="-5"/>
        </w:rPr>
        <w:t> </w:t>
      </w:r>
      <w:r>
        <w:rPr/>
        <w:t>to</w:t>
      </w:r>
      <w:r>
        <w:rPr>
          <w:spacing w:val="-3"/>
        </w:rPr>
        <w:t> </w:t>
      </w:r>
      <w:r>
        <w:rPr/>
        <w:t>accomplish</w:t>
      </w:r>
      <w:r>
        <w:rPr>
          <w:spacing w:val="-7"/>
        </w:rPr>
        <w:t> </w:t>
      </w:r>
      <w:r>
        <w:rPr/>
        <w:t>objectives</w:t>
      </w:r>
      <w:r>
        <w:rPr>
          <w:spacing w:val="-8"/>
        </w:rPr>
        <w:t> </w:t>
      </w:r>
      <w:r>
        <w:rPr/>
        <w:t>are</w:t>
      </w:r>
      <w:r>
        <w:rPr>
          <w:spacing w:val="-3"/>
        </w:rPr>
        <w:t> </w:t>
      </w:r>
      <w:r>
        <w:rPr/>
        <w:t>not</w:t>
      </w:r>
      <w:r>
        <w:rPr>
          <w:spacing w:val="-3"/>
        </w:rPr>
        <w:t> </w:t>
      </w:r>
      <w:r>
        <w:rPr/>
        <w:t>included</w:t>
      </w:r>
      <w:r>
        <w:rPr>
          <w:spacing w:val="-5"/>
        </w:rPr>
        <w:t> </w:t>
      </w:r>
      <w:r>
        <w:rPr/>
        <w:t>in</w:t>
      </w:r>
      <w:r>
        <w:rPr>
          <w:spacing w:val="-7"/>
        </w:rPr>
        <w:t> </w:t>
      </w:r>
      <w:r>
        <w:rPr/>
        <w:t>the</w:t>
      </w:r>
      <w:r>
        <w:rPr>
          <w:spacing w:val="-3"/>
        </w:rPr>
        <w:t> </w:t>
      </w:r>
      <w:r>
        <w:rPr/>
        <w:t>plan</w:t>
      </w:r>
      <w:r>
        <w:rPr>
          <w:spacing w:val="-5"/>
        </w:rPr>
        <w:t> </w:t>
      </w:r>
      <w:r>
        <w:rPr/>
        <w:t>components, as</w:t>
      </w:r>
      <w:r>
        <w:rPr>
          <w:spacing w:val="-4"/>
        </w:rPr>
        <w:t> </w:t>
      </w:r>
      <w:r>
        <w:rPr/>
        <w:t>a</w:t>
      </w:r>
      <w:r>
        <w:rPr>
          <w:spacing w:val="-6"/>
        </w:rPr>
        <w:t> </w:t>
      </w:r>
      <w:r>
        <w:rPr/>
        <w:t>variety</w:t>
      </w:r>
      <w:r>
        <w:rPr>
          <w:spacing w:val="-5"/>
        </w:rPr>
        <w:t> </w:t>
      </w:r>
      <w:r>
        <w:rPr/>
        <w:t>of</w:t>
      </w:r>
      <w:r>
        <w:rPr>
          <w:spacing w:val="-4"/>
        </w:rPr>
        <w:t> </w:t>
      </w:r>
      <w:r>
        <w:rPr/>
        <w:t>tools</w:t>
      </w:r>
      <w:r>
        <w:rPr>
          <w:spacing w:val="-6"/>
        </w:rPr>
        <w:t> </w:t>
      </w:r>
      <w:r>
        <w:rPr/>
        <w:t>or</w:t>
      </w:r>
      <w:r>
        <w:rPr>
          <w:spacing w:val="-6"/>
        </w:rPr>
        <w:t> </w:t>
      </w:r>
      <w:r>
        <w:rPr/>
        <w:t>techniques</w:t>
      </w:r>
      <w:r>
        <w:rPr>
          <w:spacing w:val="-4"/>
        </w:rPr>
        <w:t> </w:t>
      </w:r>
      <w:r>
        <w:rPr/>
        <w:t>may</w:t>
      </w:r>
      <w:r>
        <w:rPr>
          <w:spacing w:val="-5"/>
        </w:rPr>
        <w:t> </w:t>
      </w:r>
      <w:r>
        <w:rPr/>
        <w:t>be</w:t>
      </w:r>
      <w:r>
        <w:rPr>
          <w:spacing w:val="-3"/>
        </w:rPr>
        <w:t> </w:t>
      </w:r>
      <w:r>
        <w:rPr/>
        <w:t>used</w:t>
      </w:r>
      <w:r>
        <w:rPr>
          <w:spacing w:val="-6"/>
        </w:rPr>
        <w:t> </w:t>
      </w:r>
      <w:r>
        <w:rPr/>
        <w:t>by</w:t>
      </w:r>
      <w:r>
        <w:rPr>
          <w:spacing w:val="-5"/>
        </w:rPr>
        <w:t> </w:t>
      </w:r>
      <w:r>
        <w:rPr/>
        <w:t>staff</w:t>
      </w:r>
      <w:r>
        <w:rPr>
          <w:spacing w:val="-4"/>
        </w:rPr>
        <w:t> </w:t>
      </w:r>
      <w:r>
        <w:rPr/>
        <w:t>of</w:t>
      </w:r>
      <w:r>
        <w:rPr>
          <w:spacing w:val="-6"/>
        </w:rPr>
        <w:t> </w:t>
      </w:r>
      <w:r>
        <w:rPr/>
        <w:t>the</w:t>
      </w:r>
      <w:r>
        <w:rPr>
          <w:spacing w:val="-3"/>
        </w:rPr>
        <w:t> </w:t>
      </w:r>
      <w:r>
        <w:rPr/>
        <w:t>Colville</w:t>
      </w:r>
      <w:r>
        <w:rPr>
          <w:spacing w:val="-3"/>
        </w:rPr>
        <w:t> </w:t>
      </w:r>
      <w:r>
        <w:rPr/>
        <w:t>National</w:t>
      </w:r>
      <w:r>
        <w:rPr>
          <w:spacing w:val="-4"/>
        </w:rPr>
        <w:t> </w:t>
      </w:r>
      <w:r>
        <w:rPr/>
        <w:t>Forest</w:t>
      </w:r>
      <w:r>
        <w:rPr>
          <w:spacing w:val="-3"/>
        </w:rPr>
        <w:t> </w:t>
      </w:r>
      <w:r>
        <w:rPr/>
        <w:t>and</w:t>
      </w:r>
      <w:r>
        <w:rPr>
          <w:spacing w:val="-6"/>
        </w:rPr>
        <w:t> </w:t>
      </w:r>
      <w:r>
        <w:rPr/>
        <w:t>serve to accomplish the objective. A description of tools and techniques likely to be used is found in Appendix B. Proposed and Possible Management Actions. Standards and guidelines found in chapters 2 and 3 of this Plan constrain the range of possible management actions available for </w:t>
      </w:r>
      <w:r>
        <w:rPr>
          <w:spacing w:val="-4"/>
        </w:rPr>
        <w:t>use.</w:t>
      </w:r>
    </w:p>
    <w:p>
      <w:pPr>
        <w:pStyle w:val="BodyText"/>
        <w:spacing w:line="232" w:lineRule="auto" w:before="196"/>
        <w:ind w:left="1151" w:right="1073"/>
      </w:pPr>
      <w:r>
        <w:rPr>
          <w:b/>
        </w:rPr>
        <w:t>Standards</w:t>
      </w:r>
      <w:r>
        <w:rPr>
          <w:b/>
          <w:spacing w:val="-4"/>
        </w:rPr>
        <w:t> </w:t>
      </w:r>
      <w:r>
        <w:rPr>
          <w:b/>
        </w:rPr>
        <w:t>and</w:t>
      </w:r>
      <w:r>
        <w:rPr>
          <w:b/>
          <w:spacing w:val="-6"/>
        </w:rPr>
        <w:t> </w:t>
      </w:r>
      <w:r>
        <w:rPr>
          <w:b/>
        </w:rPr>
        <w:t>guidelines</w:t>
      </w:r>
      <w:r>
        <w:rPr/>
        <w:t>:</w:t>
      </w:r>
      <w:r>
        <w:rPr>
          <w:spacing w:val="-6"/>
        </w:rPr>
        <w:t> </w:t>
      </w:r>
      <w:r>
        <w:rPr/>
        <w:t>Apply</w:t>
      </w:r>
      <w:r>
        <w:rPr>
          <w:spacing w:val="-4"/>
        </w:rPr>
        <w:t> </w:t>
      </w:r>
      <w:r>
        <w:rPr/>
        <w:t>to</w:t>
      </w:r>
      <w:r>
        <w:rPr>
          <w:spacing w:val="-4"/>
        </w:rPr>
        <w:t> </w:t>
      </w:r>
      <w:r>
        <w:rPr/>
        <w:t>project</w:t>
      </w:r>
      <w:r>
        <w:rPr>
          <w:spacing w:val="-7"/>
        </w:rPr>
        <w:t> </w:t>
      </w:r>
      <w:r>
        <w:rPr/>
        <w:t>or</w:t>
      </w:r>
      <w:r>
        <w:rPr>
          <w:spacing w:val="-7"/>
        </w:rPr>
        <w:t> </w:t>
      </w:r>
      <w:r>
        <w:rPr/>
        <w:t>activity</w:t>
      </w:r>
      <w:r>
        <w:rPr>
          <w:spacing w:val="-6"/>
        </w:rPr>
        <w:t> </w:t>
      </w:r>
      <w:r>
        <w:rPr/>
        <w:t>design</w:t>
      </w:r>
      <w:r>
        <w:rPr>
          <w:spacing w:val="-6"/>
        </w:rPr>
        <w:t> </w:t>
      </w:r>
      <w:r>
        <w:rPr/>
        <w:t>and</w:t>
      </w:r>
      <w:r>
        <w:rPr>
          <w:spacing w:val="-6"/>
        </w:rPr>
        <w:t> </w:t>
      </w:r>
      <w:r>
        <w:rPr/>
        <w:t>implementation.</w:t>
      </w:r>
      <w:r>
        <w:rPr>
          <w:spacing w:val="-5"/>
        </w:rPr>
        <w:t> </w:t>
      </w:r>
      <w:r>
        <w:rPr/>
        <w:t>They</w:t>
      </w:r>
      <w:r>
        <w:rPr>
          <w:spacing w:val="-4"/>
        </w:rPr>
        <w:t> </w:t>
      </w:r>
      <w:r>
        <w:rPr/>
        <w:t>are sideboards</w:t>
      </w:r>
      <w:r>
        <w:rPr>
          <w:spacing w:val="-8"/>
        </w:rPr>
        <w:t> </w:t>
      </w:r>
      <w:r>
        <w:rPr/>
        <w:t>for</w:t>
      </w:r>
      <w:r>
        <w:rPr>
          <w:spacing w:val="-5"/>
        </w:rPr>
        <w:t> </w:t>
      </w:r>
      <w:r>
        <w:rPr/>
        <w:t>projects</w:t>
      </w:r>
      <w:r>
        <w:rPr>
          <w:spacing w:val="-6"/>
        </w:rPr>
        <w:t> </w:t>
      </w:r>
      <w:r>
        <w:rPr/>
        <w:t>and</w:t>
      </w:r>
      <w:r>
        <w:rPr>
          <w:spacing w:val="-8"/>
        </w:rPr>
        <w:t> </w:t>
      </w:r>
      <w:r>
        <w:rPr/>
        <w:t>activities</w:t>
      </w:r>
      <w:r>
        <w:rPr>
          <w:spacing w:val="-7"/>
        </w:rPr>
        <w:t> </w:t>
      </w:r>
      <w:r>
        <w:rPr/>
        <w:t>to</w:t>
      </w:r>
      <w:r>
        <w:rPr>
          <w:spacing w:val="-6"/>
        </w:rPr>
        <w:t> </w:t>
      </w:r>
      <w:r>
        <w:rPr/>
        <w:t>help</w:t>
      </w:r>
      <w:r>
        <w:rPr>
          <w:spacing w:val="-6"/>
        </w:rPr>
        <w:t> </w:t>
      </w:r>
      <w:r>
        <w:rPr/>
        <w:t>achieve</w:t>
      </w:r>
      <w:r>
        <w:rPr>
          <w:spacing w:val="-5"/>
        </w:rPr>
        <w:t> </w:t>
      </w:r>
      <w:r>
        <w:rPr/>
        <w:t>the</w:t>
      </w:r>
      <w:r>
        <w:rPr>
          <w:spacing w:val="-4"/>
        </w:rPr>
        <w:t> </w:t>
      </w:r>
      <w:r>
        <w:rPr/>
        <w:t>desired</w:t>
      </w:r>
      <w:r>
        <w:rPr>
          <w:spacing w:val="-8"/>
        </w:rPr>
        <w:t> </w:t>
      </w:r>
      <w:r>
        <w:rPr/>
        <w:t>conditions</w:t>
      </w:r>
      <w:r>
        <w:rPr>
          <w:spacing w:val="-5"/>
        </w:rPr>
        <w:t> </w:t>
      </w:r>
      <w:r>
        <w:rPr/>
        <w:t>and</w:t>
      </w:r>
      <w:r>
        <w:rPr>
          <w:spacing w:val="-8"/>
        </w:rPr>
        <w:t> </w:t>
      </w:r>
      <w:r>
        <w:rPr>
          <w:spacing w:val="-2"/>
        </w:rPr>
        <w:t>objectives.</w:t>
      </w:r>
    </w:p>
    <w:p>
      <w:pPr>
        <w:pStyle w:val="BodyText"/>
        <w:spacing w:line="232" w:lineRule="auto" w:before="199"/>
        <w:ind w:left="1151" w:right="1073"/>
      </w:pPr>
      <w:r>
        <w:rPr/>
        <w:t>Forestwide standards and guidelines apply in all management areas, unless specifically identified</w:t>
      </w:r>
      <w:r>
        <w:rPr>
          <w:spacing w:val="-6"/>
        </w:rPr>
        <w:t> </w:t>
      </w:r>
      <w:r>
        <w:rPr/>
        <w:t>as</w:t>
      </w:r>
      <w:r>
        <w:rPr>
          <w:spacing w:val="-5"/>
        </w:rPr>
        <w:t> </w:t>
      </w:r>
      <w:r>
        <w:rPr/>
        <w:t>not</w:t>
      </w:r>
      <w:r>
        <w:rPr>
          <w:spacing w:val="-4"/>
        </w:rPr>
        <w:t> </w:t>
      </w:r>
      <w:r>
        <w:rPr/>
        <w:t>applicable.</w:t>
      </w:r>
      <w:r>
        <w:rPr>
          <w:spacing w:val="-5"/>
        </w:rPr>
        <w:t> </w:t>
      </w:r>
      <w:r>
        <w:rPr/>
        <w:t>Some</w:t>
      </w:r>
      <w:r>
        <w:rPr>
          <w:spacing w:val="-7"/>
        </w:rPr>
        <w:t> </w:t>
      </w:r>
      <w:r>
        <w:rPr/>
        <w:t>management</w:t>
      </w:r>
      <w:r>
        <w:rPr>
          <w:spacing w:val="-4"/>
        </w:rPr>
        <w:t> </w:t>
      </w:r>
      <w:r>
        <w:rPr/>
        <w:t>areas,</w:t>
      </w:r>
      <w:r>
        <w:rPr>
          <w:spacing w:val="-7"/>
        </w:rPr>
        <w:t> </w:t>
      </w:r>
      <w:r>
        <w:rPr/>
        <w:t>such</w:t>
      </w:r>
      <w:r>
        <w:rPr>
          <w:spacing w:val="-6"/>
        </w:rPr>
        <w:t> </w:t>
      </w:r>
      <w:r>
        <w:rPr/>
        <w:t>as</w:t>
      </w:r>
      <w:r>
        <w:rPr>
          <w:spacing w:val="-5"/>
        </w:rPr>
        <w:t> </w:t>
      </w:r>
      <w:r>
        <w:rPr/>
        <w:t>Riparian</w:t>
      </w:r>
      <w:r>
        <w:rPr>
          <w:spacing w:val="-7"/>
        </w:rPr>
        <w:t> </w:t>
      </w:r>
      <w:r>
        <w:rPr/>
        <w:t>Management</w:t>
      </w:r>
      <w:r>
        <w:rPr>
          <w:spacing w:val="-4"/>
        </w:rPr>
        <w:t> </w:t>
      </w:r>
      <w:r>
        <w:rPr/>
        <w:t>Areas, overlap or overlay other management areas.</w:t>
      </w:r>
    </w:p>
    <w:p>
      <w:pPr>
        <w:pStyle w:val="BodyText"/>
        <w:spacing w:line="232" w:lineRule="auto" w:before="200"/>
        <w:ind w:left="1151" w:right="1073"/>
      </w:pPr>
      <w:r>
        <w:rPr/>
        <w:t>Combinations of activities or uses are dependent on site-specific conditions, making it unreasonable</w:t>
      </w:r>
      <w:r>
        <w:rPr>
          <w:spacing w:val="-6"/>
        </w:rPr>
        <w:t> </w:t>
      </w:r>
      <w:r>
        <w:rPr/>
        <w:t>to</w:t>
      </w:r>
      <w:r>
        <w:rPr>
          <w:spacing w:val="-6"/>
        </w:rPr>
        <w:t> </w:t>
      </w:r>
      <w:r>
        <w:rPr/>
        <w:t>include</w:t>
      </w:r>
      <w:r>
        <w:rPr>
          <w:spacing w:val="-4"/>
        </w:rPr>
        <w:t> </w:t>
      </w:r>
      <w:r>
        <w:rPr/>
        <w:t>all</w:t>
      </w:r>
      <w:r>
        <w:rPr>
          <w:spacing w:val="-7"/>
        </w:rPr>
        <w:t> </w:t>
      </w:r>
      <w:r>
        <w:rPr/>
        <w:t>combinations</w:t>
      </w:r>
      <w:r>
        <w:rPr>
          <w:spacing w:val="-6"/>
        </w:rPr>
        <w:t> </w:t>
      </w:r>
      <w:r>
        <w:rPr/>
        <w:t>and</w:t>
      </w:r>
      <w:r>
        <w:rPr>
          <w:spacing w:val="-6"/>
        </w:rPr>
        <w:t> </w:t>
      </w:r>
      <w:r>
        <w:rPr/>
        <w:t>the</w:t>
      </w:r>
      <w:r>
        <w:rPr>
          <w:spacing w:val="-4"/>
        </w:rPr>
        <w:t> </w:t>
      </w:r>
      <w:r>
        <w:rPr/>
        <w:t>applicable</w:t>
      </w:r>
      <w:r>
        <w:rPr>
          <w:spacing w:val="-4"/>
        </w:rPr>
        <w:t> </w:t>
      </w:r>
      <w:r>
        <w:rPr/>
        <w:t>plan</w:t>
      </w:r>
      <w:r>
        <w:rPr>
          <w:spacing w:val="-6"/>
        </w:rPr>
        <w:t> </w:t>
      </w:r>
      <w:r>
        <w:rPr/>
        <w:t>direction</w:t>
      </w:r>
      <w:r>
        <w:rPr>
          <w:spacing w:val="-7"/>
        </w:rPr>
        <w:t> </w:t>
      </w:r>
      <w:r>
        <w:rPr/>
        <w:t>within</w:t>
      </w:r>
      <w:r>
        <w:rPr>
          <w:spacing w:val="-7"/>
        </w:rPr>
        <w:t> </w:t>
      </w:r>
      <w:r>
        <w:rPr/>
        <w:t>the</w:t>
      </w:r>
      <w:r>
        <w:rPr>
          <w:spacing w:val="-4"/>
        </w:rPr>
        <w:t> </w:t>
      </w:r>
      <w:r>
        <w:rPr/>
        <w:t>forest plan. Therefore, applicability of plan direction is guided by the principle that where management areas overlap, the most restrictive plan direction applies, depending on site- specific conditions and the activity or use.</w:t>
      </w:r>
    </w:p>
    <w:p>
      <w:pPr>
        <w:pStyle w:val="BodyText"/>
        <w:spacing w:after="0" w:line="232" w:lineRule="auto"/>
        <w:sectPr>
          <w:headerReference w:type="default" r:id="rId43"/>
          <w:headerReference w:type="even" r:id="rId44"/>
          <w:footerReference w:type="default" r:id="rId45"/>
          <w:footerReference w:type="even" r:id="rId46"/>
          <w:pgSz w:w="12240" w:h="15840"/>
          <w:pgMar w:header="725" w:footer="891" w:top="960" w:bottom="1080" w:left="1080" w:right="720"/>
          <w:pgNumType w:start="27"/>
        </w:sectPr>
      </w:pPr>
    </w:p>
    <w:p>
      <w:pPr>
        <w:pStyle w:val="BodyText"/>
        <w:spacing w:before="157"/>
        <w:rPr>
          <w:sz w:val="26"/>
        </w:rPr>
      </w:pPr>
    </w:p>
    <w:p>
      <w:pPr>
        <w:pStyle w:val="Heading2"/>
        <w:spacing w:line="368" w:lineRule="exact"/>
      </w:pPr>
      <w:bookmarkStart w:name="Forestwide Direction – Landscape Feature" w:id="114"/>
      <w:bookmarkEnd w:id="114"/>
      <w:r>
        <w:rPr/>
      </w:r>
      <w:bookmarkStart w:name="_bookmark60" w:id="115"/>
      <w:bookmarkEnd w:id="115"/>
      <w:r>
        <w:rPr/>
      </w:r>
      <w:r>
        <w:rPr>
          <w:smallCaps/>
          <w:color w:val="475824"/>
          <w:spacing w:val="-2"/>
        </w:rPr>
        <w:t>Forestwide</w:t>
      </w:r>
      <w:r>
        <w:rPr>
          <w:smallCaps/>
          <w:color w:val="475824"/>
          <w:spacing w:val="-1"/>
        </w:rPr>
        <w:t> </w:t>
      </w:r>
      <w:r>
        <w:rPr>
          <w:smallCaps/>
          <w:color w:val="475824"/>
          <w:spacing w:val="-2"/>
        </w:rPr>
        <w:t>Direction</w:t>
      </w:r>
      <w:r>
        <w:rPr>
          <w:smallCaps/>
          <w:color w:val="475824"/>
        </w:rPr>
        <w:t> </w:t>
      </w:r>
      <w:r>
        <w:rPr>
          <w:smallCaps/>
          <w:color w:val="475824"/>
          <w:spacing w:val="-2"/>
        </w:rPr>
        <w:t>–</w:t>
      </w:r>
      <w:r>
        <w:rPr>
          <w:smallCaps/>
          <w:color w:val="475824"/>
          <w:spacing w:val="-16"/>
        </w:rPr>
        <w:t> </w:t>
      </w:r>
      <w:r>
        <w:rPr>
          <w:smallCaps/>
          <w:color w:val="475824"/>
          <w:spacing w:val="-2"/>
        </w:rPr>
        <w:t>Landscape</w:t>
      </w:r>
      <w:r>
        <w:rPr>
          <w:smallCaps/>
          <w:color w:val="475824"/>
          <w:spacing w:val="-1"/>
        </w:rPr>
        <w:t> </w:t>
      </w:r>
      <w:r>
        <w:rPr>
          <w:smallCaps/>
          <w:color w:val="475824"/>
          <w:spacing w:val="-2"/>
        </w:rPr>
        <w:t>Features</w:t>
      </w:r>
      <w:r>
        <w:rPr>
          <w:smallCaps/>
          <w:color w:val="475824"/>
          <w:spacing w:val="-14"/>
        </w:rPr>
        <w:t> </w:t>
      </w:r>
      <w:r>
        <w:rPr>
          <w:smallCaps/>
          <w:color w:val="475824"/>
          <w:spacing w:val="-5"/>
        </w:rPr>
        <w:t>and</w:t>
      </w:r>
    </w:p>
    <w:p>
      <w:pPr>
        <w:spacing w:line="368" w:lineRule="exact" w:before="0"/>
        <w:ind w:left="360" w:right="0" w:firstLine="0"/>
        <w:jc w:val="left"/>
        <w:rPr>
          <w:rFonts w:ascii="Arial"/>
          <w:sz w:val="32"/>
        </w:rPr>
      </w:pPr>
      <w:r>
        <w:rPr>
          <w:rFonts w:ascii="Arial"/>
          <w:smallCaps/>
          <w:color w:val="475824"/>
          <w:spacing w:val="-2"/>
          <w:sz w:val="32"/>
        </w:rPr>
        <w:t>Dynamics</w:t>
      </w:r>
    </w:p>
    <w:p>
      <w:pPr>
        <w:pStyle w:val="BodyText"/>
        <w:spacing w:line="410" w:lineRule="auto" w:before="61" w:after="2"/>
        <w:ind w:left="360" w:right="4012"/>
      </w:pPr>
      <w:r>
        <w:rPr/>
        <w:t>This</w:t>
      </w:r>
      <w:r>
        <w:rPr>
          <w:spacing w:val="-8"/>
        </w:rPr>
        <w:t> </w:t>
      </w:r>
      <w:r>
        <w:rPr/>
        <w:t>section</w:t>
      </w:r>
      <w:r>
        <w:rPr>
          <w:spacing w:val="-9"/>
        </w:rPr>
        <w:t> </w:t>
      </w:r>
      <w:r>
        <w:rPr/>
        <w:t>contains</w:t>
      </w:r>
      <w:r>
        <w:rPr>
          <w:spacing w:val="-8"/>
        </w:rPr>
        <w:t> </w:t>
      </w:r>
      <w:r>
        <w:rPr/>
        <w:t>desired</w:t>
      </w:r>
      <w:r>
        <w:rPr>
          <w:spacing w:val="-9"/>
        </w:rPr>
        <w:t> </w:t>
      </w:r>
      <w:r>
        <w:rPr/>
        <w:t>conditions</w:t>
      </w:r>
      <w:r>
        <w:rPr>
          <w:spacing w:val="-9"/>
        </w:rPr>
        <w:t> </w:t>
      </w:r>
      <w:r>
        <w:rPr/>
        <w:t>for</w:t>
      </w:r>
      <w:r>
        <w:rPr>
          <w:spacing w:val="-9"/>
        </w:rPr>
        <w:t> </w:t>
      </w:r>
      <w:r>
        <w:rPr/>
        <w:t>the</w:t>
      </w:r>
      <w:r>
        <w:rPr>
          <w:spacing w:val="-7"/>
        </w:rPr>
        <w:t> </w:t>
      </w:r>
      <w:r>
        <w:rPr/>
        <w:t>following</w:t>
      </w:r>
      <w:r>
        <w:rPr>
          <w:spacing w:val="-9"/>
        </w:rPr>
        <w:t> </w:t>
      </w:r>
      <w:r>
        <w:rPr/>
        <w:t>resources: Air, soil, vegetation, water resources, and wildlife habitats.</w:t>
      </w:r>
    </w:p>
    <w:p>
      <w:pPr>
        <w:pStyle w:val="BodyText"/>
        <w:ind w:left="360"/>
        <w:rPr>
          <w:sz w:val="20"/>
        </w:rPr>
      </w:pPr>
      <w:r>
        <w:rPr>
          <w:sz w:val="20"/>
        </w:rPr>
        <w:drawing>
          <wp:inline distT="0" distB="0" distL="0" distR="0">
            <wp:extent cx="5114914" cy="6480048"/>
            <wp:effectExtent l="0" t="0" r="0" b="0"/>
            <wp:docPr id="133" name="Image 133" descr="Collage of photos showing landscape features of the Colville National Forest."/>
            <wp:cNvGraphicFramePr>
              <a:graphicFrameLocks/>
            </wp:cNvGraphicFramePr>
            <a:graphic>
              <a:graphicData uri="http://schemas.openxmlformats.org/drawingml/2006/picture">
                <pic:pic>
                  <pic:nvPicPr>
                    <pic:cNvPr id="133" name="Image 133" descr="Collage of photos showing landscape features of the Colville National Forest."/>
                    <pic:cNvPicPr/>
                  </pic:nvPicPr>
                  <pic:blipFill>
                    <a:blip r:embed="rId47" cstate="print"/>
                    <a:stretch>
                      <a:fillRect/>
                    </a:stretch>
                  </pic:blipFill>
                  <pic:spPr>
                    <a:xfrm>
                      <a:off x="0" y="0"/>
                      <a:ext cx="5114914" cy="6480048"/>
                    </a:xfrm>
                    <a:prstGeom prst="rect">
                      <a:avLst/>
                    </a:prstGeom>
                  </pic:spPr>
                </pic:pic>
              </a:graphicData>
            </a:graphic>
          </wp:inline>
        </w:drawing>
      </w:r>
      <w:r>
        <w:rPr>
          <w:sz w:val="20"/>
        </w:rPr>
      </w:r>
    </w:p>
    <w:p>
      <w:pPr>
        <w:pStyle w:val="BodyText"/>
        <w:spacing w:after="0"/>
        <w:rPr>
          <w:sz w:val="20"/>
        </w:rPr>
        <w:sectPr>
          <w:pgSz w:w="12240" w:h="15840"/>
          <w:pgMar w:header="725" w:footer="891" w:top="960" w:bottom="1080" w:left="1080" w:right="720"/>
        </w:sectPr>
      </w:pPr>
    </w:p>
    <w:p>
      <w:pPr>
        <w:pStyle w:val="BodyText"/>
        <w:spacing w:before="146"/>
        <w:rPr>
          <w:sz w:val="27"/>
        </w:rPr>
      </w:pPr>
    </w:p>
    <w:p>
      <w:pPr>
        <w:spacing w:before="0"/>
        <w:ind w:left="1151" w:right="0" w:firstLine="0"/>
        <w:jc w:val="left"/>
        <w:rPr>
          <w:rFonts w:ascii="Arial"/>
          <w:b/>
          <w:sz w:val="27"/>
        </w:rPr>
      </w:pPr>
      <w:bookmarkStart w:name="Air (AIR)" w:id="116"/>
      <w:bookmarkEnd w:id="116"/>
      <w:r>
        <w:rPr/>
      </w:r>
      <w:bookmarkStart w:name="_bookmark61" w:id="117"/>
      <w:bookmarkEnd w:id="117"/>
      <w:r>
        <w:rPr/>
      </w:r>
      <w:r>
        <w:rPr>
          <w:rFonts w:ascii="Arial"/>
          <w:b/>
          <w:color w:val="475824"/>
          <w:sz w:val="27"/>
        </w:rPr>
        <w:t>A</w:t>
      </w:r>
      <w:r>
        <w:rPr>
          <w:rFonts w:ascii="Arial"/>
          <w:b/>
          <w:color w:val="475824"/>
          <w:sz w:val="22"/>
        </w:rPr>
        <w:t>IR</w:t>
      </w:r>
      <w:r>
        <w:rPr>
          <w:rFonts w:ascii="Arial"/>
          <w:b/>
          <w:color w:val="475824"/>
          <w:spacing w:val="-4"/>
          <w:sz w:val="22"/>
        </w:rPr>
        <w:t> </w:t>
      </w:r>
      <w:r>
        <w:rPr>
          <w:rFonts w:ascii="Arial"/>
          <w:b/>
          <w:color w:val="475824"/>
          <w:spacing w:val="-2"/>
          <w:sz w:val="27"/>
        </w:rPr>
        <w:t>(AIR)</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593984">
                <wp:simplePos x="0" y="0"/>
                <wp:positionH relativeFrom="page">
                  <wp:posOffset>1627632</wp:posOffset>
                </wp:positionH>
                <wp:positionV relativeFrom="paragraph">
                  <wp:posOffset>75397</wp:posOffset>
                </wp:positionV>
                <wp:extent cx="5248910" cy="2958465"/>
                <wp:effectExtent l="0" t="0" r="0" b="0"/>
                <wp:wrapTopAndBottom/>
                <wp:docPr id="134" name="Group 134"/>
                <wp:cNvGraphicFramePr>
                  <a:graphicFrameLocks/>
                </wp:cNvGraphicFramePr>
                <a:graphic>
                  <a:graphicData uri="http://schemas.microsoft.com/office/word/2010/wordprocessingGroup">
                    <wpg:wgp>
                      <wpg:cNvPr id="134" name="Group 134"/>
                      <wpg:cNvGrpSpPr/>
                      <wpg:grpSpPr>
                        <a:xfrm>
                          <a:off x="0" y="0"/>
                          <a:ext cx="5248910" cy="2958465"/>
                          <a:chExt cx="5248910" cy="2958465"/>
                        </a:xfrm>
                      </wpg:grpSpPr>
                      <wps:wsp>
                        <wps:cNvPr id="135" name="Graphic 135"/>
                        <wps:cNvSpPr/>
                        <wps:spPr>
                          <a:xfrm>
                            <a:off x="0" y="0"/>
                            <a:ext cx="5248910" cy="2787650"/>
                          </a:xfrm>
                          <a:custGeom>
                            <a:avLst/>
                            <a:gdLst/>
                            <a:ahLst/>
                            <a:cxnLst/>
                            <a:rect l="l" t="t" r="r" b="b"/>
                            <a:pathLst>
                              <a:path w="5248910" h="2787650">
                                <a:moveTo>
                                  <a:pt x="5248643" y="0"/>
                                </a:moveTo>
                                <a:lnTo>
                                  <a:pt x="0" y="0"/>
                                </a:lnTo>
                                <a:lnTo>
                                  <a:pt x="0" y="170688"/>
                                </a:lnTo>
                                <a:lnTo>
                                  <a:pt x="0" y="341376"/>
                                </a:lnTo>
                                <a:lnTo>
                                  <a:pt x="0" y="2787396"/>
                                </a:lnTo>
                                <a:lnTo>
                                  <a:pt x="5248643" y="2787396"/>
                                </a:lnTo>
                                <a:lnTo>
                                  <a:pt x="5248643" y="170688"/>
                                </a:lnTo>
                                <a:lnTo>
                                  <a:pt x="5248643" y="0"/>
                                </a:lnTo>
                                <a:close/>
                              </a:path>
                            </a:pathLst>
                          </a:custGeom>
                          <a:solidFill>
                            <a:srgbClr val="DFDFDF"/>
                          </a:solidFill>
                        </wps:spPr>
                        <wps:bodyPr wrap="square" lIns="0" tIns="0" rIns="0" bIns="0" rtlCol="0">
                          <a:prstTxWarp prst="textNoShape">
                            <a:avLst/>
                          </a:prstTxWarp>
                          <a:noAutofit/>
                        </wps:bodyPr>
                      </wps:wsp>
                      <wps:wsp>
                        <wps:cNvPr id="136" name="Graphic 136"/>
                        <wps:cNvSpPr/>
                        <wps:spPr>
                          <a:xfrm>
                            <a:off x="3415284" y="2764535"/>
                            <a:ext cx="32384" cy="9525"/>
                          </a:xfrm>
                          <a:custGeom>
                            <a:avLst/>
                            <a:gdLst/>
                            <a:ahLst/>
                            <a:cxnLst/>
                            <a:rect l="l" t="t" r="r" b="b"/>
                            <a:pathLst>
                              <a:path w="32384" h="9525">
                                <a:moveTo>
                                  <a:pt x="32003" y="0"/>
                                </a:moveTo>
                                <a:lnTo>
                                  <a:pt x="0" y="0"/>
                                </a:lnTo>
                                <a:lnTo>
                                  <a:pt x="0" y="9144"/>
                                </a:lnTo>
                                <a:lnTo>
                                  <a:pt x="32003" y="9144"/>
                                </a:lnTo>
                                <a:lnTo>
                                  <a:pt x="32003" y="0"/>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0" y="2787395"/>
                            <a:ext cx="5248910" cy="170815"/>
                          </a:xfrm>
                          <a:custGeom>
                            <a:avLst/>
                            <a:gdLst/>
                            <a:ahLst/>
                            <a:cxnLst/>
                            <a:rect l="l" t="t" r="r" b="b"/>
                            <a:pathLst>
                              <a:path w="5248910" h="170815">
                                <a:moveTo>
                                  <a:pt x="5248656" y="0"/>
                                </a:moveTo>
                                <a:lnTo>
                                  <a:pt x="0" y="0"/>
                                </a:lnTo>
                                <a:lnTo>
                                  <a:pt x="0" y="170687"/>
                                </a:lnTo>
                                <a:lnTo>
                                  <a:pt x="5248656" y="170687"/>
                                </a:lnTo>
                                <a:lnTo>
                                  <a:pt x="5248656" y="0"/>
                                </a:lnTo>
                                <a:close/>
                              </a:path>
                            </a:pathLst>
                          </a:custGeom>
                          <a:solidFill>
                            <a:srgbClr val="DFDFDF"/>
                          </a:solidFill>
                        </wps:spPr>
                        <wps:bodyPr wrap="square" lIns="0" tIns="0" rIns="0" bIns="0" rtlCol="0">
                          <a:prstTxWarp prst="textNoShape">
                            <a:avLst/>
                          </a:prstTxWarp>
                          <a:noAutofit/>
                        </wps:bodyPr>
                      </wps:wsp>
                      <wps:wsp>
                        <wps:cNvPr id="138" name="Graphic 138"/>
                        <wps:cNvSpPr/>
                        <wps:spPr>
                          <a:xfrm>
                            <a:off x="1504188" y="2935223"/>
                            <a:ext cx="35560" cy="9525"/>
                          </a:xfrm>
                          <a:custGeom>
                            <a:avLst/>
                            <a:gdLst/>
                            <a:ahLst/>
                            <a:cxnLst/>
                            <a:rect l="l" t="t" r="r" b="b"/>
                            <a:pathLst>
                              <a:path w="35560" h="9525">
                                <a:moveTo>
                                  <a:pt x="35051" y="0"/>
                                </a:moveTo>
                                <a:lnTo>
                                  <a:pt x="0" y="0"/>
                                </a:lnTo>
                                <a:lnTo>
                                  <a:pt x="0" y="9144"/>
                                </a:lnTo>
                                <a:lnTo>
                                  <a:pt x="35051" y="9144"/>
                                </a:lnTo>
                                <a:lnTo>
                                  <a:pt x="35051" y="0"/>
                                </a:lnTo>
                                <a:close/>
                              </a:path>
                            </a:pathLst>
                          </a:custGeom>
                          <a:solidFill>
                            <a:srgbClr val="000080"/>
                          </a:solidFill>
                        </wps:spPr>
                        <wps:bodyPr wrap="square" lIns="0" tIns="0" rIns="0" bIns="0" rtlCol="0">
                          <a:prstTxWarp prst="textNoShape">
                            <a:avLst/>
                          </a:prstTxWarp>
                          <a:noAutofit/>
                        </wps:bodyPr>
                      </wps:wsp>
                      <wps:wsp>
                        <wps:cNvPr id="139" name="Textbox 139"/>
                        <wps:cNvSpPr txBox="1"/>
                        <wps:spPr>
                          <a:xfrm>
                            <a:off x="0" y="0"/>
                            <a:ext cx="5248910" cy="2940050"/>
                          </a:xfrm>
                          <a:prstGeom prst="rect">
                            <a:avLst/>
                          </a:prstGeom>
                        </wps:spPr>
                        <wps:txbx>
                          <w:txbxContent>
                            <w:p>
                              <w:pPr>
                                <w:spacing w:before="0"/>
                                <w:ind w:left="28" w:right="120" w:firstLine="0"/>
                                <w:jc w:val="left"/>
                                <w:rPr>
                                  <w:sz w:val="22"/>
                                </w:rPr>
                              </w:pPr>
                              <w:r>
                                <w:rPr>
                                  <w:sz w:val="22"/>
                                </w:rPr>
                                <w:t>The Forest Service is responsible for protecting air resources on national forests. This includes both protecting national forests from adverse impacts caused by off-forest sources, as well as protecting the national forest and surrounding areas from the adverse effects of air pollution originating on Forest Service land. Smoke from both wildfires and prescribed</w:t>
                              </w:r>
                              <w:r>
                                <w:rPr>
                                  <w:spacing w:val="-3"/>
                                  <w:sz w:val="22"/>
                                </w:rPr>
                                <w:t> </w:t>
                              </w:r>
                              <w:r>
                                <w:rPr>
                                  <w:sz w:val="22"/>
                                </w:rPr>
                                <w:t>burns</w:t>
                              </w:r>
                              <w:r>
                                <w:rPr>
                                  <w:spacing w:val="-2"/>
                                  <w:sz w:val="22"/>
                                </w:rPr>
                                <w:t> </w:t>
                              </w:r>
                              <w:r>
                                <w:rPr>
                                  <w:sz w:val="22"/>
                                </w:rPr>
                                <w:t>are</w:t>
                              </w:r>
                              <w:r>
                                <w:rPr>
                                  <w:spacing w:val="-4"/>
                                  <w:sz w:val="22"/>
                                </w:rPr>
                                <w:t> </w:t>
                              </w:r>
                              <w:r>
                                <w:rPr>
                                  <w:sz w:val="22"/>
                                </w:rPr>
                                <w:t>two</w:t>
                              </w:r>
                              <w:r>
                                <w:rPr>
                                  <w:spacing w:val="-3"/>
                                  <w:sz w:val="22"/>
                                </w:rPr>
                                <w:t> </w:t>
                              </w:r>
                              <w:r>
                                <w:rPr>
                                  <w:sz w:val="22"/>
                                </w:rPr>
                                <w:t>of</w:t>
                              </w:r>
                              <w:r>
                                <w:rPr>
                                  <w:spacing w:val="-2"/>
                                  <w:sz w:val="22"/>
                                </w:rPr>
                                <w:t> </w:t>
                              </w:r>
                              <w:r>
                                <w:rPr>
                                  <w:sz w:val="22"/>
                                </w:rPr>
                                <w:t>the</w:t>
                              </w:r>
                              <w:r>
                                <w:rPr>
                                  <w:spacing w:val="-1"/>
                                  <w:sz w:val="22"/>
                                </w:rPr>
                                <w:t> </w:t>
                              </w:r>
                              <w:r>
                                <w:rPr>
                                  <w:sz w:val="22"/>
                                </w:rPr>
                                <w:t>largest</w:t>
                              </w:r>
                              <w:r>
                                <w:rPr>
                                  <w:spacing w:val="-1"/>
                                  <w:sz w:val="22"/>
                                </w:rPr>
                                <w:t> </w:t>
                              </w:r>
                              <w:r>
                                <w:rPr>
                                  <w:sz w:val="22"/>
                                </w:rPr>
                                <w:t>sources</w:t>
                              </w:r>
                              <w:r>
                                <w:rPr>
                                  <w:spacing w:val="-4"/>
                                  <w:sz w:val="22"/>
                                </w:rPr>
                                <w:t> </w:t>
                              </w:r>
                              <w:r>
                                <w:rPr>
                                  <w:sz w:val="22"/>
                                </w:rPr>
                                <w:t>of</w:t>
                              </w:r>
                              <w:r>
                                <w:rPr>
                                  <w:spacing w:val="-2"/>
                                  <w:sz w:val="22"/>
                                </w:rPr>
                                <w:t> </w:t>
                              </w:r>
                              <w:r>
                                <w:rPr>
                                  <w:sz w:val="22"/>
                                </w:rPr>
                                <w:t>emissions</w:t>
                              </w:r>
                              <w:r>
                                <w:rPr>
                                  <w:spacing w:val="-4"/>
                                  <w:sz w:val="22"/>
                                </w:rPr>
                                <w:t> </w:t>
                              </w:r>
                              <w:r>
                                <w:rPr>
                                  <w:sz w:val="22"/>
                                </w:rPr>
                                <w:t>of</w:t>
                              </w:r>
                              <w:r>
                                <w:rPr>
                                  <w:spacing w:val="-2"/>
                                  <w:sz w:val="22"/>
                                </w:rPr>
                                <w:t> </w:t>
                              </w:r>
                              <w:r>
                                <w:rPr>
                                  <w:sz w:val="22"/>
                                </w:rPr>
                                <w:t>air</w:t>
                              </w:r>
                              <w:r>
                                <w:rPr>
                                  <w:spacing w:val="-2"/>
                                  <w:sz w:val="22"/>
                                </w:rPr>
                                <w:t> </w:t>
                              </w:r>
                              <w:r>
                                <w:rPr>
                                  <w:sz w:val="22"/>
                                </w:rPr>
                                <w:t>pollutants</w:t>
                              </w:r>
                              <w:r>
                                <w:rPr>
                                  <w:spacing w:val="-4"/>
                                  <w:sz w:val="22"/>
                                </w:rPr>
                                <w:t> </w:t>
                              </w:r>
                              <w:r>
                                <w:rPr>
                                  <w:sz w:val="22"/>
                                </w:rPr>
                                <w:t>on</w:t>
                              </w:r>
                              <w:r>
                                <w:rPr>
                                  <w:spacing w:val="-5"/>
                                  <w:sz w:val="22"/>
                                </w:rPr>
                                <w:t> </w:t>
                              </w:r>
                              <w:r>
                                <w:rPr>
                                  <w:sz w:val="22"/>
                                </w:rPr>
                                <w:t>the</w:t>
                              </w:r>
                              <w:r>
                                <w:rPr>
                                  <w:spacing w:val="-1"/>
                                  <w:sz w:val="22"/>
                                </w:rPr>
                                <w:t> </w:t>
                              </w:r>
                              <w:r>
                                <w:rPr>
                                  <w:sz w:val="22"/>
                                </w:rPr>
                                <w:t>forest. When</w:t>
                              </w:r>
                              <w:r>
                                <w:rPr>
                                  <w:spacing w:val="-1"/>
                                  <w:sz w:val="22"/>
                                </w:rPr>
                                <w:t> </w:t>
                              </w:r>
                              <w:r>
                                <w:rPr>
                                  <w:sz w:val="22"/>
                                </w:rPr>
                                <w:t>conducting</w:t>
                              </w:r>
                              <w:r>
                                <w:rPr>
                                  <w:spacing w:val="-1"/>
                                  <w:sz w:val="22"/>
                                </w:rPr>
                                <w:t> </w:t>
                              </w:r>
                              <w:r>
                                <w:rPr>
                                  <w:sz w:val="22"/>
                                </w:rPr>
                                <w:t>prescribed</w:t>
                              </w:r>
                              <w:r>
                                <w:rPr>
                                  <w:spacing w:val="-1"/>
                                  <w:sz w:val="22"/>
                                </w:rPr>
                                <w:t> </w:t>
                              </w:r>
                              <w:r>
                                <w:rPr>
                                  <w:sz w:val="22"/>
                                </w:rPr>
                                <w:t>burns on</w:t>
                              </w:r>
                              <w:r>
                                <w:rPr>
                                  <w:spacing w:val="-1"/>
                                  <w:sz w:val="22"/>
                                </w:rPr>
                                <w:t> </w:t>
                              </w:r>
                              <w:r>
                                <w:rPr>
                                  <w:sz w:val="22"/>
                                </w:rPr>
                                <w:t>national forests, the Forest Service</w:t>
                              </w:r>
                              <w:r>
                                <w:rPr>
                                  <w:spacing w:val="-2"/>
                                  <w:sz w:val="22"/>
                                </w:rPr>
                                <w:t> </w:t>
                              </w:r>
                              <w:r>
                                <w:rPr>
                                  <w:sz w:val="22"/>
                                </w:rPr>
                                <w:t>will</w:t>
                              </w:r>
                              <w:r>
                                <w:rPr>
                                  <w:spacing w:val="-2"/>
                                  <w:sz w:val="22"/>
                                </w:rPr>
                                <w:t> </w:t>
                              </w:r>
                              <w:r>
                                <w:rPr>
                                  <w:sz w:val="22"/>
                                </w:rPr>
                                <w:t>comply</w:t>
                              </w:r>
                              <w:r>
                                <w:rPr>
                                  <w:spacing w:val="-1"/>
                                  <w:sz w:val="22"/>
                                </w:rPr>
                                <w:t> </w:t>
                              </w:r>
                              <w:r>
                                <w:rPr>
                                  <w:sz w:val="22"/>
                                </w:rPr>
                                <w:t>with the Washington State Department of Natural Resources Smoke Management Plan.</w:t>
                              </w:r>
                            </w:p>
                            <w:p>
                              <w:pPr>
                                <w:spacing w:line="240" w:lineRule="auto" w:before="121"/>
                                <w:ind w:left="28" w:right="0" w:firstLine="0"/>
                                <w:jc w:val="left"/>
                                <w:rPr>
                                  <w:sz w:val="22"/>
                                </w:rPr>
                              </w:pPr>
                              <w:r>
                                <w:rPr>
                                  <w:sz w:val="22"/>
                                </w:rPr>
                                <w:t>The most stringent areas for air quality are the Class 1 areas. These are special areas of natural wonder and scenic beauty, such as national parks and wilderness areas, where air quality</w:t>
                              </w:r>
                              <w:r>
                                <w:rPr>
                                  <w:spacing w:val="-2"/>
                                  <w:sz w:val="22"/>
                                </w:rPr>
                                <w:t> </w:t>
                              </w:r>
                              <w:r>
                                <w:rPr>
                                  <w:sz w:val="22"/>
                                </w:rPr>
                                <w:t>should</w:t>
                              </w:r>
                              <w:r>
                                <w:rPr>
                                  <w:spacing w:val="-4"/>
                                  <w:sz w:val="22"/>
                                </w:rPr>
                                <w:t> </w:t>
                              </w:r>
                              <w:r>
                                <w:rPr>
                                  <w:sz w:val="22"/>
                                </w:rPr>
                                <w:t>be</w:t>
                              </w:r>
                              <w:r>
                                <w:rPr>
                                  <w:spacing w:val="-2"/>
                                  <w:sz w:val="22"/>
                                </w:rPr>
                                <w:t> </w:t>
                              </w:r>
                              <w:r>
                                <w:rPr>
                                  <w:sz w:val="22"/>
                                </w:rPr>
                                <w:t>given</w:t>
                              </w:r>
                              <w:r>
                                <w:rPr>
                                  <w:spacing w:val="-4"/>
                                  <w:sz w:val="22"/>
                                </w:rPr>
                                <w:t> </w:t>
                              </w:r>
                              <w:r>
                                <w:rPr>
                                  <w:sz w:val="22"/>
                                </w:rPr>
                                <w:t>special</w:t>
                              </w:r>
                              <w:r>
                                <w:rPr>
                                  <w:spacing w:val="-3"/>
                                  <w:sz w:val="22"/>
                                </w:rPr>
                                <w:t> </w:t>
                              </w:r>
                              <w:r>
                                <w:rPr>
                                  <w:sz w:val="22"/>
                                </w:rPr>
                                <w:t>protection.</w:t>
                              </w:r>
                              <w:r>
                                <w:rPr>
                                  <w:spacing w:val="-3"/>
                                  <w:sz w:val="22"/>
                                </w:rPr>
                                <w:t> </w:t>
                              </w:r>
                              <w:r>
                                <w:rPr>
                                  <w:sz w:val="22"/>
                                </w:rPr>
                                <w:t>These</w:t>
                              </w:r>
                              <w:r>
                                <w:rPr>
                                  <w:spacing w:val="-2"/>
                                  <w:sz w:val="22"/>
                                </w:rPr>
                                <w:t> </w:t>
                              </w:r>
                              <w:r>
                                <w:rPr>
                                  <w:sz w:val="22"/>
                                </w:rPr>
                                <w:t>areas</w:t>
                              </w:r>
                              <w:r>
                                <w:rPr>
                                  <w:spacing w:val="-5"/>
                                  <w:sz w:val="22"/>
                                </w:rPr>
                                <w:t> </w:t>
                              </w:r>
                              <w:r>
                                <w:rPr>
                                  <w:sz w:val="22"/>
                                </w:rPr>
                                <w:t>are</w:t>
                              </w:r>
                              <w:r>
                                <w:rPr>
                                  <w:spacing w:val="-2"/>
                                  <w:sz w:val="22"/>
                                </w:rPr>
                                <w:t> </w:t>
                              </w:r>
                              <w:r>
                                <w:rPr>
                                  <w:sz w:val="22"/>
                                </w:rPr>
                                <w:t>subject</w:t>
                              </w:r>
                              <w:r>
                                <w:rPr>
                                  <w:spacing w:val="-2"/>
                                  <w:sz w:val="22"/>
                                </w:rPr>
                                <w:t> </w:t>
                              </w:r>
                              <w:r>
                                <w:rPr>
                                  <w:sz w:val="22"/>
                                </w:rPr>
                                <w:t>to</w:t>
                              </w:r>
                              <w:r>
                                <w:rPr>
                                  <w:spacing w:val="-4"/>
                                  <w:sz w:val="22"/>
                                </w:rPr>
                                <w:t> </w:t>
                              </w:r>
                              <w:r>
                                <w:rPr>
                                  <w:sz w:val="22"/>
                                </w:rPr>
                                <w:t>maximum</w:t>
                              </w:r>
                              <w:r>
                                <w:rPr>
                                  <w:spacing w:val="-2"/>
                                  <w:sz w:val="22"/>
                                </w:rPr>
                                <w:t> </w:t>
                              </w:r>
                              <w:r>
                                <w:rPr>
                                  <w:sz w:val="22"/>
                                </w:rPr>
                                <w:t>limits</w:t>
                              </w:r>
                              <w:r>
                                <w:rPr>
                                  <w:spacing w:val="-5"/>
                                  <w:sz w:val="22"/>
                                </w:rPr>
                                <w:t> </w:t>
                              </w:r>
                              <w:r>
                                <w:rPr>
                                  <w:sz w:val="22"/>
                                </w:rPr>
                                <w:t>on</w:t>
                              </w:r>
                              <w:r>
                                <w:rPr>
                                  <w:spacing w:val="-4"/>
                                  <w:sz w:val="22"/>
                                </w:rPr>
                                <w:t> </w:t>
                              </w:r>
                              <w:r>
                                <w:rPr>
                                  <w:sz w:val="22"/>
                                </w:rPr>
                                <w:t>air quality degradation called air quality increments. The Colville National Forest has no Class I wilderness areas.</w:t>
                              </w:r>
                            </w:p>
                            <w:p>
                              <w:pPr>
                                <w:spacing w:before="119"/>
                                <w:ind w:left="28" w:right="120" w:firstLine="0"/>
                                <w:jc w:val="left"/>
                                <w:rPr>
                                  <w:sz w:val="22"/>
                                </w:rPr>
                              </w:pPr>
                              <w:r>
                                <w:rPr>
                                  <w:sz w:val="22"/>
                                </w:rPr>
                                <w:t>An</w:t>
                              </w:r>
                              <w:r>
                                <w:rPr>
                                  <w:spacing w:val="-3"/>
                                  <w:sz w:val="22"/>
                                </w:rPr>
                                <w:t> </w:t>
                              </w:r>
                              <w:r>
                                <w:rPr>
                                  <w:sz w:val="22"/>
                                </w:rPr>
                                <w:t>illustration</w:t>
                              </w:r>
                              <w:r>
                                <w:rPr>
                                  <w:spacing w:val="-5"/>
                                  <w:sz w:val="22"/>
                                </w:rPr>
                                <w:t> </w:t>
                              </w:r>
                              <w:r>
                                <w:rPr>
                                  <w:sz w:val="22"/>
                                </w:rPr>
                                <w:t>of</w:t>
                              </w:r>
                              <w:r>
                                <w:rPr>
                                  <w:spacing w:val="-2"/>
                                  <w:sz w:val="22"/>
                                </w:rPr>
                                <w:t> </w:t>
                              </w:r>
                              <w:r>
                                <w:rPr>
                                  <w:sz w:val="22"/>
                                </w:rPr>
                                <w:t>Class</w:t>
                              </w:r>
                              <w:r>
                                <w:rPr>
                                  <w:spacing w:val="-2"/>
                                  <w:sz w:val="22"/>
                                </w:rPr>
                                <w:t> </w:t>
                              </w:r>
                              <w:r>
                                <w:rPr>
                                  <w:sz w:val="22"/>
                                </w:rPr>
                                <w:t>I</w:t>
                              </w:r>
                              <w:r>
                                <w:rPr>
                                  <w:spacing w:val="-2"/>
                                  <w:sz w:val="22"/>
                                </w:rPr>
                                <w:t> </w:t>
                              </w:r>
                              <w:r>
                                <w:rPr>
                                  <w:sz w:val="22"/>
                                </w:rPr>
                                <w:t>desired</w:t>
                              </w:r>
                              <w:r>
                                <w:rPr>
                                  <w:spacing w:val="-3"/>
                                  <w:sz w:val="22"/>
                                </w:rPr>
                                <w:t> </w:t>
                              </w:r>
                              <w:r>
                                <w:rPr>
                                  <w:sz w:val="22"/>
                                </w:rPr>
                                <w:t>conditions</w:t>
                              </w:r>
                              <w:r>
                                <w:rPr>
                                  <w:spacing w:val="-2"/>
                                  <w:sz w:val="22"/>
                                </w:rPr>
                                <w:t> </w:t>
                              </w:r>
                              <w:r>
                                <w:rPr>
                                  <w:sz w:val="22"/>
                                </w:rPr>
                                <w:t>can</w:t>
                              </w:r>
                              <w:r>
                                <w:rPr>
                                  <w:spacing w:val="-3"/>
                                  <w:sz w:val="22"/>
                                </w:rPr>
                                <w:t> </w:t>
                              </w:r>
                              <w:r>
                                <w:rPr>
                                  <w:sz w:val="22"/>
                                </w:rPr>
                                <w:t>be</w:t>
                              </w:r>
                              <w:r>
                                <w:rPr>
                                  <w:spacing w:val="-1"/>
                                  <w:sz w:val="22"/>
                                </w:rPr>
                                <w:t> </w:t>
                              </w:r>
                              <w:r>
                                <w:rPr>
                                  <w:sz w:val="22"/>
                                </w:rPr>
                                <w:t>seen</w:t>
                              </w:r>
                              <w:r>
                                <w:rPr>
                                  <w:spacing w:val="-5"/>
                                  <w:sz w:val="22"/>
                                </w:rPr>
                                <w:t> </w:t>
                              </w:r>
                              <w:r>
                                <w:rPr>
                                  <w:sz w:val="22"/>
                                </w:rPr>
                                <w:t>on</w:t>
                              </w:r>
                              <w:r>
                                <w:rPr>
                                  <w:spacing w:val="-3"/>
                                  <w:sz w:val="22"/>
                                </w:rPr>
                                <w:t> </w:t>
                              </w:r>
                              <w:r>
                                <w:rPr>
                                  <w:sz w:val="22"/>
                                </w:rPr>
                                <w:t>the</w:t>
                              </w:r>
                              <w:r>
                                <w:rPr>
                                  <w:spacing w:val="-1"/>
                                  <w:sz w:val="22"/>
                                </w:rPr>
                                <w:t> </w:t>
                              </w:r>
                              <w:r>
                                <w:rPr>
                                  <w:sz w:val="22"/>
                                </w:rPr>
                                <w:t>following</w:t>
                              </w:r>
                              <w:r>
                                <w:rPr>
                                  <w:spacing w:val="-3"/>
                                  <w:sz w:val="22"/>
                                </w:rPr>
                                <w:t> </w:t>
                              </w:r>
                              <w:r>
                                <w:rPr>
                                  <w:sz w:val="22"/>
                                </w:rPr>
                                <w:t>USDA</w:t>
                              </w:r>
                              <w:r>
                                <w:rPr>
                                  <w:spacing w:val="-2"/>
                                  <w:sz w:val="22"/>
                                </w:rPr>
                                <w:t> </w:t>
                              </w:r>
                              <w:r>
                                <w:rPr>
                                  <w:sz w:val="22"/>
                                </w:rPr>
                                <w:t>Forest Service air quality image website: </w:t>
                              </w:r>
                              <w:hyperlink r:id="rId48">
                                <w:r>
                                  <w:rPr>
                                    <w:color w:val="000080"/>
                                    <w:sz w:val="22"/>
                                    <w:u w:val="single" w:color="000080"/>
                                  </w:rPr>
                                  <w:t>http://www.fsvisimages.com/</w:t>
                                </w:r>
                              </w:hyperlink>
                            </w:p>
                            <w:p>
                              <w:pPr>
                                <w:spacing w:before="92"/>
                                <w:ind w:left="28" w:right="120" w:firstLine="0"/>
                                <w:jc w:val="left"/>
                                <w:rPr>
                                  <w:sz w:val="22"/>
                                </w:rPr>
                              </w:pPr>
                              <w:r>
                                <w:rPr>
                                  <w:sz w:val="22"/>
                                </w:rPr>
                                <w:t>The</w:t>
                              </w:r>
                              <w:r>
                                <w:rPr>
                                  <w:spacing w:val="-3"/>
                                  <w:sz w:val="22"/>
                                </w:rPr>
                                <w:t> </w:t>
                              </w:r>
                              <w:r>
                                <w:rPr>
                                  <w:sz w:val="22"/>
                                </w:rPr>
                                <w:t>National</w:t>
                              </w:r>
                              <w:r>
                                <w:rPr>
                                  <w:spacing w:val="-3"/>
                                  <w:sz w:val="22"/>
                                </w:rPr>
                                <w:t> </w:t>
                              </w:r>
                              <w:r>
                                <w:rPr>
                                  <w:sz w:val="22"/>
                                </w:rPr>
                                <w:t>Ambient</w:t>
                              </w:r>
                              <w:r>
                                <w:rPr>
                                  <w:spacing w:val="-3"/>
                                  <w:sz w:val="22"/>
                                </w:rPr>
                                <w:t> </w:t>
                              </w:r>
                              <w:r>
                                <w:rPr>
                                  <w:sz w:val="22"/>
                                </w:rPr>
                                <w:t>Air</w:t>
                              </w:r>
                              <w:r>
                                <w:rPr>
                                  <w:spacing w:val="-5"/>
                                  <w:sz w:val="22"/>
                                </w:rPr>
                                <w:t> </w:t>
                              </w:r>
                              <w:r>
                                <w:rPr>
                                  <w:sz w:val="22"/>
                                </w:rPr>
                                <w:t>Quality</w:t>
                              </w:r>
                              <w:r>
                                <w:rPr>
                                  <w:spacing w:val="-3"/>
                                  <w:sz w:val="22"/>
                                </w:rPr>
                                <w:t> </w:t>
                              </w:r>
                              <w:r>
                                <w:rPr>
                                  <w:sz w:val="22"/>
                                </w:rPr>
                                <w:t>Standards</w:t>
                              </w:r>
                              <w:r>
                                <w:rPr>
                                  <w:spacing w:val="-5"/>
                                  <w:sz w:val="22"/>
                                </w:rPr>
                                <w:t> </w:t>
                              </w:r>
                              <w:r>
                                <w:rPr>
                                  <w:sz w:val="22"/>
                                </w:rPr>
                                <w:t>can</w:t>
                              </w:r>
                              <w:r>
                                <w:rPr>
                                  <w:spacing w:val="-4"/>
                                  <w:sz w:val="22"/>
                                </w:rPr>
                                <w:t> </w:t>
                              </w:r>
                              <w:r>
                                <w:rPr>
                                  <w:sz w:val="22"/>
                                </w:rPr>
                                <w:t>be</w:t>
                              </w:r>
                              <w:r>
                                <w:rPr>
                                  <w:spacing w:val="-5"/>
                                  <w:sz w:val="22"/>
                                </w:rPr>
                                <w:t> </w:t>
                              </w:r>
                              <w:r>
                                <w:rPr>
                                  <w:sz w:val="22"/>
                                </w:rPr>
                                <w:t>found</w:t>
                              </w:r>
                              <w:r>
                                <w:rPr>
                                  <w:spacing w:val="-4"/>
                                  <w:sz w:val="22"/>
                                </w:rPr>
                                <w:t> </w:t>
                              </w:r>
                              <w:r>
                                <w:rPr>
                                  <w:sz w:val="22"/>
                                </w:rPr>
                                <w:t>at</w:t>
                              </w:r>
                              <w:r>
                                <w:rPr>
                                  <w:spacing w:val="-3"/>
                                  <w:sz w:val="22"/>
                                </w:rPr>
                                <w:t> </w:t>
                              </w:r>
                              <w:hyperlink r:id="rId49">
                                <w:r>
                                  <w:rPr>
                                    <w:color w:val="0000FF"/>
                                    <w:sz w:val="22"/>
                                    <w:u w:val="single" w:color="0000FF"/>
                                  </w:rPr>
                                  <w:t>https://www.epa.gov/criteria-</w:t>
                                </w:r>
                              </w:hyperlink>
                              <w:r>
                                <w:rPr>
                                  <w:color w:val="0000FF"/>
                                  <w:sz w:val="22"/>
                                  <w:u w:val="none"/>
                                </w:rPr>
                                <w:t> </w:t>
                              </w:r>
                              <w:hyperlink r:id="rId49">
                                <w:r>
                                  <w:rPr>
                                    <w:color w:val="0000FF"/>
                                    <w:spacing w:val="-2"/>
                                    <w:sz w:val="22"/>
                                    <w:u w:val="single" w:color="0000FF"/>
                                  </w:rPr>
                                  <w:t>air-pollutants/naaqs-table</w:t>
                                </w:r>
                                <w:r>
                                  <w:rPr>
                                    <w:color w:val="000080"/>
                                    <w:spacing w:val="-2"/>
                                    <w:sz w:val="22"/>
                                    <w:u w:val="none"/>
                                  </w:rPr>
                                  <w:t>.</w:t>
                                </w:r>
                              </w:hyperlink>
                            </w:p>
                          </w:txbxContent>
                        </wps:txbx>
                        <wps:bodyPr wrap="square" lIns="0" tIns="0" rIns="0" bIns="0" rtlCol="0">
                          <a:noAutofit/>
                        </wps:bodyPr>
                      </wps:wsp>
                    </wpg:wgp>
                  </a:graphicData>
                </a:graphic>
              </wp:anchor>
            </w:drawing>
          </mc:Choice>
          <mc:Fallback>
            <w:pict>
              <v:group style="position:absolute;margin-left:128.160004pt;margin-top:5.936826pt;width:413.3pt;height:232.95pt;mso-position-horizontal-relative:page;mso-position-vertical-relative:paragraph;z-index:-15722496;mso-wrap-distance-left:0;mso-wrap-distance-right:0" id="docshapegroup126" coordorigin="2563,119" coordsize="8266,4659">
                <v:shape style="position:absolute;left:2563;top:118;width:8266;height:4390" id="docshape127" coordorigin="2563,119" coordsize="8266,4390" path="m10829,119l2563,119,2563,388,2563,656,2563,4508,10829,4508,10829,388,10829,119xe" filled="true" fillcolor="#dfdfdf" stroked="false">
                  <v:path arrowok="t"/>
                  <v:fill type="solid"/>
                </v:shape>
                <v:rect style="position:absolute;left:7941;top:4472;width:51;height:15" id="docshape128" filled="true" fillcolor="#000000" stroked="false">
                  <v:fill type="solid"/>
                </v:rect>
                <v:rect style="position:absolute;left:2563;top:4508;width:8266;height:269" id="docshape129" filled="true" fillcolor="#dfdfdf" stroked="false">
                  <v:fill type="solid"/>
                </v:rect>
                <v:rect style="position:absolute;left:4932;top:4741;width:56;height:15" id="docshape130" filled="true" fillcolor="#000080" stroked="false">
                  <v:fill type="solid"/>
                </v:rect>
                <v:shape style="position:absolute;left:2563;top:118;width:8266;height:4630" type="#_x0000_t202" id="docshape131" filled="false" stroked="false">
                  <v:textbox inset="0,0,0,0">
                    <w:txbxContent>
                      <w:p>
                        <w:pPr>
                          <w:spacing w:before="0"/>
                          <w:ind w:left="28" w:right="120" w:firstLine="0"/>
                          <w:jc w:val="left"/>
                          <w:rPr>
                            <w:sz w:val="22"/>
                          </w:rPr>
                        </w:pPr>
                        <w:r>
                          <w:rPr>
                            <w:sz w:val="22"/>
                          </w:rPr>
                          <w:t>The Forest Service is responsible for protecting air resources on national forests. This includes both protecting national forests from adverse impacts caused by off-forest sources, as well as protecting the national forest and surrounding areas from the adverse effects of air pollution originating on Forest Service land. Smoke from both wildfires and prescribed</w:t>
                        </w:r>
                        <w:r>
                          <w:rPr>
                            <w:spacing w:val="-3"/>
                            <w:sz w:val="22"/>
                          </w:rPr>
                          <w:t> </w:t>
                        </w:r>
                        <w:r>
                          <w:rPr>
                            <w:sz w:val="22"/>
                          </w:rPr>
                          <w:t>burns</w:t>
                        </w:r>
                        <w:r>
                          <w:rPr>
                            <w:spacing w:val="-2"/>
                            <w:sz w:val="22"/>
                          </w:rPr>
                          <w:t> </w:t>
                        </w:r>
                        <w:r>
                          <w:rPr>
                            <w:sz w:val="22"/>
                          </w:rPr>
                          <w:t>are</w:t>
                        </w:r>
                        <w:r>
                          <w:rPr>
                            <w:spacing w:val="-4"/>
                            <w:sz w:val="22"/>
                          </w:rPr>
                          <w:t> </w:t>
                        </w:r>
                        <w:r>
                          <w:rPr>
                            <w:sz w:val="22"/>
                          </w:rPr>
                          <w:t>two</w:t>
                        </w:r>
                        <w:r>
                          <w:rPr>
                            <w:spacing w:val="-3"/>
                            <w:sz w:val="22"/>
                          </w:rPr>
                          <w:t> </w:t>
                        </w:r>
                        <w:r>
                          <w:rPr>
                            <w:sz w:val="22"/>
                          </w:rPr>
                          <w:t>of</w:t>
                        </w:r>
                        <w:r>
                          <w:rPr>
                            <w:spacing w:val="-2"/>
                            <w:sz w:val="22"/>
                          </w:rPr>
                          <w:t> </w:t>
                        </w:r>
                        <w:r>
                          <w:rPr>
                            <w:sz w:val="22"/>
                          </w:rPr>
                          <w:t>the</w:t>
                        </w:r>
                        <w:r>
                          <w:rPr>
                            <w:spacing w:val="-1"/>
                            <w:sz w:val="22"/>
                          </w:rPr>
                          <w:t> </w:t>
                        </w:r>
                        <w:r>
                          <w:rPr>
                            <w:sz w:val="22"/>
                          </w:rPr>
                          <w:t>largest</w:t>
                        </w:r>
                        <w:r>
                          <w:rPr>
                            <w:spacing w:val="-1"/>
                            <w:sz w:val="22"/>
                          </w:rPr>
                          <w:t> </w:t>
                        </w:r>
                        <w:r>
                          <w:rPr>
                            <w:sz w:val="22"/>
                          </w:rPr>
                          <w:t>sources</w:t>
                        </w:r>
                        <w:r>
                          <w:rPr>
                            <w:spacing w:val="-4"/>
                            <w:sz w:val="22"/>
                          </w:rPr>
                          <w:t> </w:t>
                        </w:r>
                        <w:r>
                          <w:rPr>
                            <w:sz w:val="22"/>
                          </w:rPr>
                          <w:t>of</w:t>
                        </w:r>
                        <w:r>
                          <w:rPr>
                            <w:spacing w:val="-2"/>
                            <w:sz w:val="22"/>
                          </w:rPr>
                          <w:t> </w:t>
                        </w:r>
                        <w:r>
                          <w:rPr>
                            <w:sz w:val="22"/>
                          </w:rPr>
                          <w:t>emissions</w:t>
                        </w:r>
                        <w:r>
                          <w:rPr>
                            <w:spacing w:val="-4"/>
                            <w:sz w:val="22"/>
                          </w:rPr>
                          <w:t> </w:t>
                        </w:r>
                        <w:r>
                          <w:rPr>
                            <w:sz w:val="22"/>
                          </w:rPr>
                          <w:t>of</w:t>
                        </w:r>
                        <w:r>
                          <w:rPr>
                            <w:spacing w:val="-2"/>
                            <w:sz w:val="22"/>
                          </w:rPr>
                          <w:t> </w:t>
                        </w:r>
                        <w:r>
                          <w:rPr>
                            <w:sz w:val="22"/>
                          </w:rPr>
                          <w:t>air</w:t>
                        </w:r>
                        <w:r>
                          <w:rPr>
                            <w:spacing w:val="-2"/>
                            <w:sz w:val="22"/>
                          </w:rPr>
                          <w:t> </w:t>
                        </w:r>
                        <w:r>
                          <w:rPr>
                            <w:sz w:val="22"/>
                          </w:rPr>
                          <w:t>pollutants</w:t>
                        </w:r>
                        <w:r>
                          <w:rPr>
                            <w:spacing w:val="-4"/>
                            <w:sz w:val="22"/>
                          </w:rPr>
                          <w:t> </w:t>
                        </w:r>
                        <w:r>
                          <w:rPr>
                            <w:sz w:val="22"/>
                          </w:rPr>
                          <w:t>on</w:t>
                        </w:r>
                        <w:r>
                          <w:rPr>
                            <w:spacing w:val="-5"/>
                            <w:sz w:val="22"/>
                          </w:rPr>
                          <w:t> </w:t>
                        </w:r>
                        <w:r>
                          <w:rPr>
                            <w:sz w:val="22"/>
                          </w:rPr>
                          <w:t>the</w:t>
                        </w:r>
                        <w:r>
                          <w:rPr>
                            <w:spacing w:val="-1"/>
                            <w:sz w:val="22"/>
                          </w:rPr>
                          <w:t> </w:t>
                        </w:r>
                        <w:r>
                          <w:rPr>
                            <w:sz w:val="22"/>
                          </w:rPr>
                          <w:t>forest. When</w:t>
                        </w:r>
                        <w:r>
                          <w:rPr>
                            <w:spacing w:val="-1"/>
                            <w:sz w:val="22"/>
                          </w:rPr>
                          <w:t> </w:t>
                        </w:r>
                        <w:r>
                          <w:rPr>
                            <w:sz w:val="22"/>
                          </w:rPr>
                          <w:t>conducting</w:t>
                        </w:r>
                        <w:r>
                          <w:rPr>
                            <w:spacing w:val="-1"/>
                            <w:sz w:val="22"/>
                          </w:rPr>
                          <w:t> </w:t>
                        </w:r>
                        <w:r>
                          <w:rPr>
                            <w:sz w:val="22"/>
                          </w:rPr>
                          <w:t>prescribed</w:t>
                        </w:r>
                        <w:r>
                          <w:rPr>
                            <w:spacing w:val="-1"/>
                            <w:sz w:val="22"/>
                          </w:rPr>
                          <w:t> </w:t>
                        </w:r>
                        <w:r>
                          <w:rPr>
                            <w:sz w:val="22"/>
                          </w:rPr>
                          <w:t>burns on</w:t>
                        </w:r>
                        <w:r>
                          <w:rPr>
                            <w:spacing w:val="-1"/>
                            <w:sz w:val="22"/>
                          </w:rPr>
                          <w:t> </w:t>
                        </w:r>
                        <w:r>
                          <w:rPr>
                            <w:sz w:val="22"/>
                          </w:rPr>
                          <w:t>national forests, the Forest Service</w:t>
                        </w:r>
                        <w:r>
                          <w:rPr>
                            <w:spacing w:val="-2"/>
                            <w:sz w:val="22"/>
                          </w:rPr>
                          <w:t> </w:t>
                        </w:r>
                        <w:r>
                          <w:rPr>
                            <w:sz w:val="22"/>
                          </w:rPr>
                          <w:t>will</w:t>
                        </w:r>
                        <w:r>
                          <w:rPr>
                            <w:spacing w:val="-2"/>
                            <w:sz w:val="22"/>
                          </w:rPr>
                          <w:t> </w:t>
                        </w:r>
                        <w:r>
                          <w:rPr>
                            <w:sz w:val="22"/>
                          </w:rPr>
                          <w:t>comply</w:t>
                        </w:r>
                        <w:r>
                          <w:rPr>
                            <w:spacing w:val="-1"/>
                            <w:sz w:val="22"/>
                          </w:rPr>
                          <w:t> </w:t>
                        </w:r>
                        <w:r>
                          <w:rPr>
                            <w:sz w:val="22"/>
                          </w:rPr>
                          <w:t>with the Washington State Department of Natural Resources Smoke Management Plan.</w:t>
                        </w:r>
                      </w:p>
                      <w:p>
                        <w:pPr>
                          <w:spacing w:line="240" w:lineRule="auto" w:before="121"/>
                          <w:ind w:left="28" w:right="0" w:firstLine="0"/>
                          <w:jc w:val="left"/>
                          <w:rPr>
                            <w:sz w:val="22"/>
                          </w:rPr>
                        </w:pPr>
                        <w:r>
                          <w:rPr>
                            <w:sz w:val="22"/>
                          </w:rPr>
                          <w:t>The most stringent areas for air quality are the Class 1 areas. These are special areas of natural wonder and scenic beauty, such as national parks and wilderness areas, where air quality</w:t>
                        </w:r>
                        <w:r>
                          <w:rPr>
                            <w:spacing w:val="-2"/>
                            <w:sz w:val="22"/>
                          </w:rPr>
                          <w:t> </w:t>
                        </w:r>
                        <w:r>
                          <w:rPr>
                            <w:sz w:val="22"/>
                          </w:rPr>
                          <w:t>should</w:t>
                        </w:r>
                        <w:r>
                          <w:rPr>
                            <w:spacing w:val="-4"/>
                            <w:sz w:val="22"/>
                          </w:rPr>
                          <w:t> </w:t>
                        </w:r>
                        <w:r>
                          <w:rPr>
                            <w:sz w:val="22"/>
                          </w:rPr>
                          <w:t>be</w:t>
                        </w:r>
                        <w:r>
                          <w:rPr>
                            <w:spacing w:val="-2"/>
                            <w:sz w:val="22"/>
                          </w:rPr>
                          <w:t> </w:t>
                        </w:r>
                        <w:r>
                          <w:rPr>
                            <w:sz w:val="22"/>
                          </w:rPr>
                          <w:t>given</w:t>
                        </w:r>
                        <w:r>
                          <w:rPr>
                            <w:spacing w:val="-4"/>
                            <w:sz w:val="22"/>
                          </w:rPr>
                          <w:t> </w:t>
                        </w:r>
                        <w:r>
                          <w:rPr>
                            <w:sz w:val="22"/>
                          </w:rPr>
                          <w:t>special</w:t>
                        </w:r>
                        <w:r>
                          <w:rPr>
                            <w:spacing w:val="-3"/>
                            <w:sz w:val="22"/>
                          </w:rPr>
                          <w:t> </w:t>
                        </w:r>
                        <w:r>
                          <w:rPr>
                            <w:sz w:val="22"/>
                          </w:rPr>
                          <w:t>protection.</w:t>
                        </w:r>
                        <w:r>
                          <w:rPr>
                            <w:spacing w:val="-3"/>
                            <w:sz w:val="22"/>
                          </w:rPr>
                          <w:t> </w:t>
                        </w:r>
                        <w:r>
                          <w:rPr>
                            <w:sz w:val="22"/>
                          </w:rPr>
                          <w:t>These</w:t>
                        </w:r>
                        <w:r>
                          <w:rPr>
                            <w:spacing w:val="-2"/>
                            <w:sz w:val="22"/>
                          </w:rPr>
                          <w:t> </w:t>
                        </w:r>
                        <w:r>
                          <w:rPr>
                            <w:sz w:val="22"/>
                          </w:rPr>
                          <w:t>areas</w:t>
                        </w:r>
                        <w:r>
                          <w:rPr>
                            <w:spacing w:val="-5"/>
                            <w:sz w:val="22"/>
                          </w:rPr>
                          <w:t> </w:t>
                        </w:r>
                        <w:r>
                          <w:rPr>
                            <w:sz w:val="22"/>
                          </w:rPr>
                          <w:t>are</w:t>
                        </w:r>
                        <w:r>
                          <w:rPr>
                            <w:spacing w:val="-2"/>
                            <w:sz w:val="22"/>
                          </w:rPr>
                          <w:t> </w:t>
                        </w:r>
                        <w:r>
                          <w:rPr>
                            <w:sz w:val="22"/>
                          </w:rPr>
                          <w:t>subject</w:t>
                        </w:r>
                        <w:r>
                          <w:rPr>
                            <w:spacing w:val="-2"/>
                            <w:sz w:val="22"/>
                          </w:rPr>
                          <w:t> </w:t>
                        </w:r>
                        <w:r>
                          <w:rPr>
                            <w:sz w:val="22"/>
                          </w:rPr>
                          <w:t>to</w:t>
                        </w:r>
                        <w:r>
                          <w:rPr>
                            <w:spacing w:val="-4"/>
                            <w:sz w:val="22"/>
                          </w:rPr>
                          <w:t> </w:t>
                        </w:r>
                        <w:r>
                          <w:rPr>
                            <w:sz w:val="22"/>
                          </w:rPr>
                          <w:t>maximum</w:t>
                        </w:r>
                        <w:r>
                          <w:rPr>
                            <w:spacing w:val="-2"/>
                            <w:sz w:val="22"/>
                          </w:rPr>
                          <w:t> </w:t>
                        </w:r>
                        <w:r>
                          <w:rPr>
                            <w:sz w:val="22"/>
                          </w:rPr>
                          <w:t>limits</w:t>
                        </w:r>
                        <w:r>
                          <w:rPr>
                            <w:spacing w:val="-5"/>
                            <w:sz w:val="22"/>
                          </w:rPr>
                          <w:t> </w:t>
                        </w:r>
                        <w:r>
                          <w:rPr>
                            <w:sz w:val="22"/>
                          </w:rPr>
                          <w:t>on</w:t>
                        </w:r>
                        <w:r>
                          <w:rPr>
                            <w:spacing w:val="-4"/>
                            <w:sz w:val="22"/>
                          </w:rPr>
                          <w:t> </w:t>
                        </w:r>
                        <w:r>
                          <w:rPr>
                            <w:sz w:val="22"/>
                          </w:rPr>
                          <w:t>air quality degradation called air quality increments. The Colville National Forest has no Class I wilderness areas.</w:t>
                        </w:r>
                      </w:p>
                      <w:p>
                        <w:pPr>
                          <w:spacing w:before="119"/>
                          <w:ind w:left="28" w:right="120" w:firstLine="0"/>
                          <w:jc w:val="left"/>
                          <w:rPr>
                            <w:sz w:val="22"/>
                          </w:rPr>
                        </w:pPr>
                        <w:r>
                          <w:rPr>
                            <w:sz w:val="22"/>
                          </w:rPr>
                          <w:t>An</w:t>
                        </w:r>
                        <w:r>
                          <w:rPr>
                            <w:spacing w:val="-3"/>
                            <w:sz w:val="22"/>
                          </w:rPr>
                          <w:t> </w:t>
                        </w:r>
                        <w:r>
                          <w:rPr>
                            <w:sz w:val="22"/>
                          </w:rPr>
                          <w:t>illustration</w:t>
                        </w:r>
                        <w:r>
                          <w:rPr>
                            <w:spacing w:val="-5"/>
                            <w:sz w:val="22"/>
                          </w:rPr>
                          <w:t> </w:t>
                        </w:r>
                        <w:r>
                          <w:rPr>
                            <w:sz w:val="22"/>
                          </w:rPr>
                          <w:t>of</w:t>
                        </w:r>
                        <w:r>
                          <w:rPr>
                            <w:spacing w:val="-2"/>
                            <w:sz w:val="22"/>
                          </w:rPr>
                          <w:t> </w:t>
                        </w:r>
                        <w:r>
                          <w:rPr>
                            <w:sz w:val="22"/>
                          </w:rPr>
                          <w:t>Class</w:t>
                        </w:r>
                        <w:r>
                          <w:rPr>
                            <w:spacing w:val="-2"/>
                            <w:sz w:val="22"/>
                          </w:rPr>
                          <w:t> </w:t>
                        </w:r>
                        <w:r>
                          <w:rPr>
                            <w:sz w:val="22"/>
                          </w:rPr>
                          <w:t>I</w:t>
                        </w:r>
                        <w:r>
                          <w:rPr>
                            <w:spacing w:val="-2"/>
                            <w:sz w:val="22"/>
                          </w:rPr>
                          <w:t> </w:t>
                        </w:r>
                        <w:r>
                          <w:rPr>
                            <w:sz w:val="22"/>
                          </w:rPr>
                          <w:t>desired</w:t>
                        </w:r>
                        <w:r>
                          <w:rPr>
                            <w:spacing w:val="-3"/>
                            <w:sz w:val="22"/>
                          </w:rPr>
                          <w:t> </w:t>
                        </w:r>
                        <w:r>
                          <w:rPr>
                            <w:sz w:val="22"/>
                          </w:rPr>
                          <w:t>conditions</w:t>
                        </w:r>
                        <w:r>
                          <w:rPr>
                            <w:spacing w:val="-2"/>
                            <w:sz w:val="22"/>
                          </w:rPr>
                          <w:t> </w:t>
                        </w:r>
                        <w:r>
                          <w:rPr>
                            <w:sz w:val="22"/>
                          </w:rPr>
                          <w:t>can</w:t>
                        </w:r>
                        <w:r>
                          <w:rPr>
                            <w:spacing w:val="-3"/>
                            <w:sz w:val="22"/>
                          </w:rPr>
                          <w:t> </w:t>
                        </w:r>
                        <w:r>
                          <w:rPr>
                            <w:sz w:val="22"/>
                          </w:rPr>
                          <w:t>be</w:t>
                        </w:r>
                        <w:r>
                          <w:rPr>
                            <w:spacing w:val="-1"/>
                            <w:sz w:val="22"/>
                          </w:rPr>
                          <w:t> </w:t>
                        </w:r>
                        <w:r>
                          <w:rPr>
                            <w:sz w:val="22"/>
                          </w:rPr>
                          <w:t>seen</w:t>
                        </w:r>
                        <w:r>
                          <w:rPr>
                            <w:spacing w:val="-5"/>
                            <w:sz w:val="22"/>
                          </w:rPr>
                          <w:t> </w:t>
                        </w:r>
                        <w:r>
                          <w:rPr>
                            <w:sz w:val="22"/>
                          </w:rPr>
                          <w:t>on</w:t>
                        </w:r>
                        <w:r>
                          <w:rPr>
                            <w:spacing w:val="-3"/>
                            <w:sz w:val="22"/>
                          </w:rPr>
                          <w:t> </w:t>
                        </w:r>
                        <w:r>
                          <w:rPr>
                            <w:sz w:val="22"/>
                          </w:rPr>
                          <w:t>the</w:t>
                        </w:r>
                        <w:r>
                          <w:rPr>
                            <w:spacing w:val="-1"/>
                            <w:sz w:val="22"/>
                          </w:rPr>
                          <w:t> </w:t>
                        </w:r>
                        <w:r>
                          <w:rPr>
                            <w:sz w:val="22"/>
                          </w:rPr>
                          <w:t>following</w:t>
                        </w:r>
                        <w:r>
                          <w:rPr>
                            <w:spacing w:val="-3"/>
                            <w:sz w:val="22"/>
                          </w:rPr>
                          <w:t> </w:t>
                        </w:r>
                        <w:r>
                          <w:rPr>
                            <w:sz w:val="22"/>
                          </w:rPr>
                          <w:t>USDA</w:t>
                        </w:r>
                        <w:r>
                          <w:rPr>
                            <w:spacing w:val="-2"/>
                            <w:sz w:val="22"/>
                          </w:rPr>
                          <w:t> </w:t>
                        </w:r>
                        <w:r>
                          <w:rPr>
                            <w:sz w:val="22"/>
                          </w:rPr>
                          <w:t>Forest Service air quality image website: </w:t>
                        </w:r>
                        <w:hyperlink r:id="rId48">
                          <w:r>
                            <w:rPr>
                              <w:color w:val="000080"/>
                              <w:sz w:val="22"/>
                              <w:u w:val="single" w:color="000080"/>
                            </w:rPr>
                            <w:t>http://www.fsvisimages.com/</w:t>
                          </w:r>
                        </w:hyperlink>
                      </w:p>
                      <w:p>
                        <w:pPr>
                          <w:spacing w:before="92"/>
                          <w:ind w:left="28" w:right="120" w:firstLine="0"/>
                          <w:jc w:val="left"/>
                          <w:rPr>
                            <w:sz w:val="22"/>
                          </w:rPr>
                        </w:pPr>
                        <w:r>
                          <w:rPr>
                            <w:sz w:val="22"/>
                          </w:rPr>
                          <w:t>The</w:t>
                        </w:r>
                        <w:r>
                          <w:rPr>
                            <w:spacing w:val="-3"/>
                            <w:sz w:val="22"/>
                          </w:rPr>
                          <w:t> </w:t>
                        </w:r>
                        <w:r>
                          <w:rPr>
                            <w:sz w:val="22"/>
                          </w:rPr>
                          <w:t>National</w:t>
                        </w:r>
                        <w:r>
                          <w:rPr>
                            <w:spacing w:val="-3"/>
                            <w:sz w:val="22"/>
                          </w:rPr>
                          <w:t> </w:t>
                        </w:r>
                        <w:r>
                          <w:rPr>
                            <w:sz w:val="22"/>
                          </w:rPr>
                          <w:t>Ambient</w:t>
                        </w:r>
                        <w:r>
                          <w:rPr>
                            <w:spacing w:val="-3"/>
                            <w:sz w:val="22"/>
                          </w:rPr>
                          <w:t> </w:t>
                        </w:r>
                        <w:r>
                          <w:rPr>
                            <w:sz w:val="22"/>
                          </w:rPr>
                          <w:t>Air</w:t>
                        </w:r>
                        <w:r>
                          <w:rPr>
                            <w:spacing w:val="-5"/>
                            <w:sz w:val="22"/>
                          </w:rPr>
                          <w:t> </w:t>
                        </w:r>
                        <w:r>
                          <w:rPr>
                            <w:sz w:val="22"/>
                          </w:rPr>
                          <w:t>Quality</w:t>
                        </w:r>
                        <w:r>
                          <w:rPr>
                            <w:spacing w:val="-3"/>
                            <w:sz w:val="22"/>
                          </w:rPr>
                          <w:t> </w:t>
                        </w:r>
                        <w:r>
                          <w:rPr>
                            <w:sz w:val="22"/>
                          </w:rPr>
                          <w:t>Standards</w:t>
                        </w:r>
                        <w:r>
                          <w:rPr>
                            <w:spacing w:val="-5"/>
                            <w:sz w:val="22"/>
                          </w:rPr>
                          <w:t> </w:t>
                        </w:r>
                        <w:r>
                          <w:rPr>
                            <w:sz w:val="22"/>
                          </w:rPr>
                          <w:t>can</w:t>
                        </w:r>
                        <w:r>
                          <w:rPr>
                            <w:spacing w:val="-4"/>
                            <w:sz w:val="22"/>
                          </w:rPr>
                          <w:t> </w:t>
                        </w:r>
                        <w:r>
                          <w:rPr>
                            <w:sz w:val="22"/>
                          </w:rPr>
                          <w:t>be</w:t>
                        </w:r>
                        <w:r>
                          <w:rPr>
                            <w:spacing w:val="-5"/>
                            <w:sz w:val="22"/>
                          </w:rPr>
                          <w:t> </w:t>
                        </w:r>
                        <w:r>
                          <w:rPr>
                            <w:sz w:val="22"/>
                          </w:rPr>
                          <w:t>found</w:t>
                        </w:r>
                        <w:r>
                          <w:rPr>
                            <w:spacing w:val="-4"/>
                            <w:sz w:val="22"/>
                          </w:rPr>
                          <w:t> </w:t>
                        </w:r>
                        <w:r>
                          <w:rPr>
                            <w:sz w:val="22"/>
                          </w:rPr>
                          <w:t>at</w:t>
                        </w:r>
                        <w:r>
                          <w:rPr>
                            <w:spacing w:val="-3"/>
                            <w:sz w:val="22"/>
                          </w:rPr>
                          <w:t> </w:t>
                        </w:r>
                        <w:hyperlink r:id="rId49">
                          <w:r>
                            <w:rPr>
                              <w:color w:val="0000FF"/>
                              <w:sz w:val="22"/>
                              <w:u w:val="single" w:color="0000FF"/>
                            </w:rPr>
                            <w:t>https://www.epa.gov/criteria-</w:t>
                          </w:r>
                        </w:hyperlink>
                        <w:r>
                          <w:rPr>
                            <w:color w:val="0000FF"/>
                            <w:sz w:val="22"/>
                            <w:u w:val="none"/>
                          </w:rPr>
                          <w:t> </w:t>
                        </w:r>
                        <w:hyperlink r:id="rId49">
                          <w:r>
                            <w:rPr>
                              <w:color w:val="0000FF"/>
                              <w:spacing w:val="-2"/>
                              <w:sz w:val="22"/>
                              <w:u w:val="single" w:color="0000FF"/>
                            </w:rPr>
                            <w:t>air-pollutants/naaqs-table</w:t>
                          </w:r>
                          <w:r>
                            <w:rPr>
                              <w:color w:val="000080"/>
                              <w:spacing w:val="-2"/>
                              <w:sz w:val="22"/>
                              <w:u w:val="none"/>
                            </w:rPr>
                            <w:t>.</w:t>
                          </w:r>
                        </w:hyperlink>
                      </w:p>
                    </w:txbxContent>
                  </v:textbox>
                  <w10:wrap type="none"/>
                </v:shape>
                <w10:wrap type="topAndBottom"/>
              </v:group>
            </w:pict>
          </mc:Fallback>
        </mc:AlternateContent>
      </w:r>
    </w:p>
    <w:p>
      <w:pPr>
        <w:pStyle w:val="Heading4"/>
        <w:spacing w:before="240"/>
        <w:ind w:left="1151"/>
      </w:pPr>
      <w:bookmarkStart w:name="Desired Condition" w:id="118"/>
      <w:bookmarkEnd w:id="118"/>
      <w:r>
        <w:rPr/>
      </w:r>
      <w:bookmarkStart w:name="_bookmark62" w:id="119"/>
      <w:bookmarkEnd w:id="119"/>
      <w:r>
        <w:rPr/>
      </w:r>
      <w:r>
        <w:rPr/>
        <w:t>Desired</w:t>
      </w:r>
      <w:r>
        <w:rPr>
          <w:spacing w:val="-4"/>
        </w:rPr>
        <w:t> </w:t>
      </w:r>
      <w:r>
        <w:rPr>
          <w:spacing w:val="-2"/>
        </w:rPr>
        <w:t>Condition</w:t>
      </w:r>
    </w:p>
    <w:p>
      <w:pPr>
        <w:spacing w:before="240"/>
        <w:ind w:left="1151" w:right="0" w:firstLine="0"/>
        <w:jc w:val="left"/>
        <w:rPr>
          <w:rFonts w:ascii="Arial"/>
          <w:i/>
          <w:sz w:val="22"/>
        </w:rPr>
      </w:pPr>
      <w:bookmarkStart w:name="FW-DC-AIR-01. Air Quality Protection" w:id="120"/>
      <w:bookmarkEnd w:id="120"/>
      <w:r>
        <w:rPr/>
      </w:r>
      <w:r>
        <w:rPr>
          <w:rFonts w:ascii="Arial"/>
          <w:i/>
          <w:sz w:val="22"/>
        </w:rPr>
        <w:t>FW-DC-AIR-01.</w:t>
      </w:r>
      <w:r>
        <w:rPr>
          <w:rFonts w:ascii="Arial"/>
          <w:i/>
          <w:spacing w:val="-8"/>
          <w:sz w:val="22"/>
        </w:rPr>
        <w:t> </w:t>
      </w:r>
      <w:r>
        <w:rPr>
          <w:rFonts w:ascii="Arial"/>
          <w:i/>
          <w:sz w:val="22"/>
        </w:rPr>
        <w:t>Air</w:t>
      </w:r>
      <w:r>
        <w:rPr>
          <w:rFonts w:ascii="Arial"/>
          <w:i/>
          <w:spacing w:val="-7"/>
          <w:sz w:val="22"/>
        </w:rPr>
        <w:t> </w:t>
      </w:r>
      <w:r>
        <w:rPr>
          <w:rFonts w:ascii="Arial"/>
          <w:i/>
          <w:sz w:val="22"/>
        </w:rPr>
        <w:t>Quality</w:t>
      </w:r>
      <w:r>
        <w:rPr>
          <w:rFonts w:ascii="Arial"/>
          <w:i/>
          <w:spacing w:val="-5"/>
          <w:sz w:val="22"/>
        </w:rPr>
        <w:t> </w:t>
      </w:r>
      <w:r>
        <w:rPr>
          <w:rFonts w:ascii="Arial"/>
          <w:i/>
          <w:spacing w:val="-2"/>
          <w:sz w:val="22"/>
        </w:rPr>
        <w:t>Protection</w:t>
      </w:r>
    </w:p>
    <w:p>
      <w:pPr>
        <w:pStyle w:val="BodyText"/>
        <w:spacing w:line="232" w:lineRule="auto" w:before="64"/>
        <w:ind w:left="1152" w:right="801"/>
      </w:pPr>
      <w:r>
        <w:rPr/>
        <w:t>Air quality on National Forest System lands is protected, maintained and/or improved at the Forest</w:t>
      </w:r>
      <w:r>
        <w:rPr>
          <w:spacing w:val="-4"/>
        </w:rPr>
        <w:t> </w:t>
      </w:r>
      <w:r>
        <w:rPr/>
        <w:t>scale</w:t>
      </w:r>
      <w:r>
        <w:rPr>
          <w:spacing w:val="-7"/>
        </w:rPr>
        <w:t> </w:t>
      </w:r>
      <w:r>
        <w:rPr/>
        <w:t>over</w:t>
      </w:r>
      <w:r>
        <w:rPr>
          <w:spacing w:val="-7"/>
        </w:rPr>
        <w:t> </w:t>
      </w:r>
      <w:r>
        <w:rPr/>
        <w:t>the</w:t>
      </w:r>
      <w:r>
        <w:rPr>
          <w:spacing w:val="-4"/>
        </w:rPr>
        <w:t> </w:t>
      </w:r>
      <w:r>
        <w:rPr/>
        <w:t>life</w:t>
      </w:r>
      <w:r>
        <w:rPr>
          <w:spacing w:val="-7"/>
        </w:rPr>
        <w:t> </w:t>
      </w:r>
      <w:r>
        <w:rPr/>
        <w:t>of</w:t>
      </w:r>
      <w:r>
        <w:rPr>
          <w:spacing w:val="-8"/>
        </w:rPr>
        <w:t> </w:t>
      </w:r>
      <w:r>
        <w:rPr/>
        <w:t>the</w:t>
      </w:r>
      <w:r>
        <w:rPr>
          <w:spacing w:val="-4"/>
        </w:rPr>
        <w:t> </w:t>
      </w:r>
      <w:r>
        <w:rPr/>
        <w:t>Plan.</w:t>
      </w:r>
      <w:r>
        <w:rPr>
          <w:spacing w:val="-8"/>
        </w:rPr>
        <w:t> </w:t>
      </w:r>
      <w:r>
        <w:rPr/>
        <w:t>Management</w:t>
      </w:r>
      <w:r>
        <w:rPr>
          <w:spacing w:val="-7"/>
        </w:rPr>
        <w:t> </w:t>
      </w:r>
      <w:r>
        <w:rPr/>
        <w:t>activities</w:t>
      </w:r>
      <w:r>
        <w:rPr>
          <w:spacing w:val="-7"/>
        </w:rPr>
        <w:t> </w:t>
      </w:r>
      <w:r>
        <w:rPr/>
        <w:t>contribute</w:t>
      </w:r>
      <w:r>
        <w:rPr>
          <w:spacing w:val="-4"/>
        </w:rPr>
        <w:t> </w:t>
      </w:r>
      <w:r>
        <w:rPr/>
        <w:t>to</w:t>
      </w:r>
      <w:r>
        <w:rPr>
          <w:spacing w:val="-4"/>
        </w:rPr>
        <w:t> </w:t>
      </w:r>
      <w:r>
        <w:rPr/>
        <w:t>conditions</w:t>
      </w:r>
      <w:r>
        <w:rPr>
          <w:spacing w:val="-5"/>
        </w:rPr>
        <w:t> </w:t>
      </w:r>
      <w:r>
        <w:rPr/>
        <w:t>that</w:t>
      </w:r>
      <w:r>
        <w:rPr>
          <w:spacing w:val="-7"/>
        </w:rPr>
        <w:t> </w:t>
      </w:r>
      <w:r>
        <w:rPr/>
        <w:t>meet or exceed National Ambient Air Quality Standards on the Forest.</w:t>
      </w:r>
    </w:p>
    <w:p>
      <w:pPr>
        <w:pStyle w:val="BodyText"/>
        <w:spacing w:line="232" w:lineRule="auto" w:before="198"/>
        <w:ind w:left="1151" w:right="959"/>
        <w:jc w:val="both"/>
      </w:pPr>
      <w:r>
        <w:rPr/>
        <w:t>Forest</w:t>
      </w:r>
      <w:r>
        <w:rPr>
          <w:spacing w:val="-3"/>
        </w:rPr>
        <w:t> </w:t>
      </w:r>
      <w:r>
        <w:rPr/>
        <w:t>visitors</w:t>
      </w:r>
      <w:r>
        <w:rPr>
          <w:spacing w:val="-1"/>
        </w:rPr>
        <w:t> </w:t>
      </w:r>
      <w:r>
        <w:rPr/>
        <w:t>and/or</w:t>
      </w:r>
      <w:r>
        <w:rPr>
          <w:spacing w:val="-3"/>
        </w:rPr>
        <w:t> </w:t>
      </w:r>
      <w:r>
        <w:rPr/>
        <w:t>residents</w:t>
      </w:r>
      <w:r>
        <w:rPr>
          <w:spacing w:val="-1"/>
        </w:rPr>
        <w:t> </w:t>
      </w:r>
      <w:r>
        <w:rPr/>
        <w:t>living</w:t>
      </w:r>
      <w:r>
        <w:rPr>
          <w:spacing w:val="-2"/>
        </w:rPr>
        <w:t> </w:t>
      </w:r>
      <w:r>
        <w:rPr/>
        <w:t>adjacent to</w:t>
      </w:r>
      <w:r>
        <w:rPr>
          <w:spacing w:val="-2"/>
        </w:rPr>
        <w:t> </w:t>
      </w:r>
      <w:r>
        <w:rPr/>
        <w:t>the</w:t>
      </w:r>
      <w:r>
        <w:rPr>
          <w:spacing w:val="-3"/>
        </w:rPr>
        <w:t> </w:t>
      </w:r>
      <w:r>
        <w:rPr/>
        <w:t>national</w:t>
      </w:r>
      <w:r>
        <w:rPr>
          <w:spacing w:val="-1"/>
        </w:rPr>
        <w:t> </w:t>
      </w:r>
      <w:r>
        <w:rPr/>
        <w:t>forest</w:t>
      </w:r>
      <w:r>
        <w:rPr>
          <w:spacing w:val="-3"/>
        </w:rPr>
        <w:t> </w:t>
      </w:r>
      <w:r>
        <w:rPr/>
        <w:t>experience</w:t>
      </w:r>
      <w:r>
        <w:rPr>
          <w:spacing w:val="-3"/>
        </w:rPr>
        <w:t> </w:t>
      </w:r>
      <w:r>
        <w:rPr/>
        <w:t>clean</w:t>
      </w:r>
      <w:r>
        <w:rPr>
          <w:spacing w:val="-2"/>
        </w:rPr>
        <w:t> </w:t>
      </w:r>
      <w:r>
        <w:rPr/>
        <w:t>air</w:t>
      </w:r>
      <w:r>
        <w:rPr>
          <w:spacing w:val="-1"/>
        </w:rPr>
        <w:t> </w:t>
      </w:r>
      <w:r>
        <w:rPr/>
        <w:t>and clear</w:t>
      </w:r>
      <w:r>
        <w:rPr>
          <w:spacing w:val="-7"/>
        </w:rPr>
        <w:t> </w:t>
      </w:r>
      <w:r>
        <w:rPr/>
        <w:t>views</w:t>
      </w:r>
      <w:r>
        <w:rPr>
          <w:spacing w:val="-5"/>
        </w:rPr>
        <w:t> </w:t>
      </w:r>
      <w:r>
        <w:rPr/>
        <w:t>as</w:t>
      </w:r>
      <w:r>
        <w:rPr>
          <w:spacing w:val="-7"/>
        </w:rPr>
        <w:t> </w:t>
      </w:r>
      <w:r>
        <w:rPr/>
        <w:t>would</w:t>
      </w:r>
      <w:r>
        <w:rPr>
          <w:spacing w:val="-6"/>
        </w:rPr>
        <w:t> </w:t>
      </w:r>
      <w:r>
        <w:rPr/>
        <w:t>occur</w:t>
      </w:r>
      <w:r>
        <w:rPr>
          <w:spacing w:val="-7"/>
        </w:rPr>
        <w:t> </w:t>
      </w:r>
      <w:r>
        <w:rPr/>
        <w:t>under</w:t>
      </w:r>
      <w:r>
        <w:rPr>
          <w:spacing w:val="-5"/>
        </w:rPr>
        <w:t> </w:t>
      </w:r>
      <w:r>
        <w:rPr/>
        <w:t>natural</w:t>
      </w:r>
      <w:r>
        <w:rPr>
          <w:spacing w:val="-5"/>
        </w:rPr>
        <w:t> </w:t>
      </w:r>
      <w:r>
        <w:rPr/>
        <w:t>conditions.</w:t>
      </w:r>
      <w:r>
        <w:rPr>
          <w:spacing w:val="-5"/>
        </w:rPr>
        <w:t> </w:t>
      </w:r>
      <w:r>
        <w:rPr/>
        <w:t>They</w:t>
      </w:r>
      <w:r>
        <w:rPr>
          <w:spacing w:val="-4"/>
        </w:rPr>
        <w:t> </w:t>
      </w:r>
      <w:r>
        <w:rPr/>
        <w:t>are</w:t>
      </w:r>
      <w:r>
        <w:rPr>
          <w:spacing w:val="-7"/>
        </w:rPr>
        <w:t> </w:t>
      </w:r>
      <w:r>
        <w:rPr/>
        <w:t>aware</w:t>
      </w:r>
      <w:r>
        <w:rPr>
          <w:spacing w:val="-4"/>
        </w:rPr>
        <w:t> </w:t>
      </w:r>
      <w:r>
        <w:rPr/>
        <w:t>of</w:t>
      </w:r>
      <w:r>
        <w:rPr>
          <w:spacing w:val="-7"/>
        </w:rPr>
        <w:t> </w:t>
      </w:r>
      <w:r>
        <w:rPr/>
        <w:t>short-term</w:t>
      </w:r>
      <w:r>
        <w:rPr>
          <w:spacing w:val="-4"/>
        </w:rPr>
        <w:t> </w:t>
      </w:r>
      <w:r>
        <w:rPr/>
        <w:t>impacts</w:t>
      </w:r>
      <w:r>
        <w:rPr>
          <w:spacing w:val="-7"/>
        </w:rPr>
        <w:t> </w:t>
      </w:r>
      <w:r>
        <w:rPr/>
        <w:t>to air quality due to wildland fires and prescribed burns.</w:t>
      </w:r>
    </w:p>
    <w:p>
      <w:pPr>
        <w:pStyle w:val="Heading4"/>
        <w:spacing w:before="236"/>
        <w:ind w:left="1151"/>
      </w:pPr>
      <w:bookmarkStart w:name="Standard" w:id="121"/>
      <w:bookmarkEnd w:id="121"/>
      <w:r>
        <w:rPr/>
      </w:r>
      <w:bookmarkStart w:name="_bookmark63" w:id="122"/>
      <w:bookmarkEnd w:id="122"/>
      <w:r>
        <w:rPr/>
      </w:r>
      <w:r>
        <w:rPr>
          <w:spacing w:val="-2"/>
        </w:rPr>
        <w:t>Standard</w:t>
      </w:r>
    </w:p>
    <w:p>
      <w:pPr>
        <w:spacing w:before="237"/>
        <w:ind w:left="1151" w:right="0" w:firstLine="0"/>
        <w:jc w:val="left"/>
        <w:rPr>
          <w:rFonts w:ascii="Arial"/>
          <w:i/>
          <w:sz w:val="22"/>
        </w:rPr>
      </w:pPr>
      <w:bookmarkStart w:name="FW-STD-AIR-01. Air Quality" w:id="123"/>
      <w:bookmarkEnd w:id="123"/>
      <w:r>
        <w:rPr/>
      </w:r>
      <w:r>
        <w:rPr>
          <w:rFonts w:ascii="Arial"/>
          <w:i/>
          <w:sz w:val="22"/>
        </w:rPr>
        <w:t>FW-STD-AIR-01.</w:t>
      </w:r>
      <w:r>
        <w:rPr>
          <w:rFonts w:ascii="Arial"/>
          <w:i/>
          <w:spacing w:val="-8"/>
          <w:sz w:val="22"/>
        </w:rPr>
        <w:t> </w:t>
      </w:r>
      <w:r>
        <w:rPr>
          <w:rFonts w:ascii="Arial"/>
          <w:i/>
          <w:sz w:val="22"/>
        </w:rPr>
        <w:t>Air</w:t>
      </w:r>
      <w:r>
        <w:rPr>
          <w:rFonts w:ascii="Arial"/>
          <w:i/>
          <w:spacing w:val="-8"/>
          <w:sz w:val="22"/>
        </w:rPr>
        <w:t> </w:t>
      </w:r>
      <w:r>
        <w:rPr>
          <w:rFonts w:ascii="Arial"/>
          <w:i/>
          <w:spacing w:val="-2"/>
          <w:sz w:val="22"/>
        </w:rPr>
        <w:t>Quality</w:t>
      </w:r>
    </w:p>
    <w:p>
      <w:pPr>
        <w:pStyle w:val="BodyText"/>
        <w:spacing w:line="232" w:lineRule="auto" w:before="67"/>
        <w:ind w:left="1151" w:right="801"/>
      </w:pPr>
      <w:r>
        <w:rPr/>
        <w:t>Activities comply with the</w:t>
      </w:r>
      <w:r>
        <w:rPr>
          <w:spacing w:val="-2"/>
        </w:rPr>
        <w:t> </w:t>
      </w:r>
      <w:r>
        <w:rPr/>
        <w:t>national standards set forth in the Clean Air Act, and</w:t>
      </w:r>
      <w:r>
        <w:rPr>
          <w:spacing w:val="-1"/>
        </w:rPr>
        <w:t> </w:t>
      </w:r>
      <w:r>
        <w:rPr/>
        <w:t>any State and local</w:t>
      </w:r>
      <w:r>
        <w:rPr>
          <w:spacing w:val="-7"/>
        </w:rPr>
        <w:t> </w:t>
      </w:r>
      <w:r>
        <w:rPr/>
        <w:t>requirements</w:t>
      </w:r>
      <w:r>
        <w:rPr>
          <w:spacing w:val="-7"/>
        </w:rPr>
        <w:t> </w:t>
      </w:r>
      <w:r>
        <w:rPr/>
        <w:t>for</w:t>
      </w:r>
      <w:r>
        <w:rPr>
          <w:spacing w:val="-7"/>
        </w:rPr>
        <w:t> </w:t>
      </w:r>
      <w:r>
        <w:rPr/>
        <w:t>air</w:t>
      </w:r>
      <w:r>
        <w:rPr>
          <w:spacing w:val="-9"/>
        </w:rPr>
        <w:t> </w:t>
      </w:r>
      <w:r>
        <w:rPr/>
        <w:t>pollution</w:t>
      </w:r>
      <w:r>
        <w:rPr>
          <w:spacing w:val="-8"/>
        </w:rPr>
        <w:t> </w:t>
      </w:r>
      <w:r>
        <w:rPr/>
        <w:t>control.</w:t>
      </w:r>
      <w:r>
        <w:rPr>
          <w:spacing w:val="-9"/>
        </w:rPr>
        <w:t> </w:t>
      </w:r>
      <w:r>
        <w:rPr/>
        <w:t>Planned</w:t>
      </w:r>
      <w:r>
        <w:rPr>
          <w:spacing w:val="-8"/>
        </w:rPr>
        <w:t> </w:t>
      </w:r>
      <w:r>
        <w:rPr/>
        <w:t>ignitions</w:t>
      </w:r>
      <w:r>
        <w:rPr>
          <w:spacing w:val="-7"/>
        </w:rPr>
        <w:t> </w:t>
      </w:r>
      <w:r>
        <w:rPr/>
        <w:t>shall</w:t>
      </w:r>
      <w:r>
        <w:rPr>
          <w:spacing w:val="-7"/>
        </w:rPr>
        <w:t> </w:t>
      </w:r>
      <w:r>
        <w:rPr/>
        <w:t>follow</w:t>
      </w:r>
      <w:r>
        <w:rPr>
          <w:spacing w:val="-9"/>
        </w:rPr>
        <w:t> </w:t>
      </w:r>
      <w:r>
        <w:rPr/>
        <w:t>all</w:t>
      </w:r>
      <w:r>
        <w:rPr>
          <w:spacing w:val="-7"/>
        </w:rPr>
        <w:t> </w:t>
      </w:r>
      <w:r>
        <w:rPr/>
        <w:t>Washington</w:t>
      </w:r>
      <w:r>
        <w:rPr>
          <w:spacing w:val="-8"/>
        </w:rPr>
        <w:t> </w:t>
      </w:r>
      <w:r>
        <w:rPr/>
        <w:t>State smoke regulations to reduce the potential impacts of smoke.</w:t>
      </w:r>
    </w:p>
    <w:p>
      <w:pPr>
        <w:spacing w:before="234"/>
        <w:ind w:left="1151" w:right="0" w:firstLine="0"/>
        <w:jc w:val="both"/>
        <w:rPr>
          <w:rFonts w:ascii="Arial"/>
          <w:b/>
          <w:sz w:val="27"/>
        </w:rPr>
      </w:pPr>
      <w:bookmarkStart w:name="Soil (SOIL)" w:id="124"/>
      <w:bookmarkEnd w:id="124"/>
      <w:r>
        <w:rPr/>
      </w:r>
      <w:bookmarkStart w:name="_bookmark64" w:id="125"/>
      <w:bookmarkEnd w:id="125"/>
      <w:r>
        <w:rPr/>
      </w:r>
      <w:r>
        <w:rPr>
          <w:rFonts w:ascii="Arial"/>
          <w:b/>
          <w:color w:val="475824"/>
          <w:sz w:val="27"/>
        </w:rPr>
        <w:t>S</w:t>
      </w:r>
      <w:r>
        <w:rPr>
          <w:rFonts w:ascii="Arial"/>
          <w:b/>
          <w:color w:val="475824"/>
          <w:sz w:val="22"/>
        </w:rPr>
        <w:t>OIL</w:t>
      </w:r>
      <w:r>
        <w:rPr>
          <w:rFonts w:ascii="Arial"/>
          <w:b/>
          <w:color w:val="475824"/>
          <w:spacing w:val="-1"/>
          <w:sz w:val="22"/>
        </w:rPr>
        <w:t> </w:t>
      </w:r>
      <w:r>
        <w:rPr>
          <w:rFonts w:ascii="Arial"/>
          <w:b/>
          <w:color w:val="475824"/>
          <w:spacing w:val="-2"/>
          <w:sz w:val="27"/>
        </w:rPr>
        <w:t>(SOIL)</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594496">
                <wp:simplePos x="0" y="0"/>
                <wp:positionH relativeFrom="page">
                  <wp:posOffset>1627632</wp:posOffset>
                </wp:positionH>
                <wp:positionV relativeFrom="paragraph">
                  <wp:posOffset>74925</wp:posOffset>
                </wp:positionV>
                <wp:extent cx="5248910" cy="1024255"/>
                <wp:effectExtent l="0" t="0" r="0" b="0"/>
                <wp:wrapTopAndBottom/>
                <wp:docPr id="140" name="Textbox 140"/>
                <wp:cNvGraphicFramePr>
                  <a:graphicFrameLocks/>
                </wp:cNvGraphicFramePr>
                <a:graphic>
                  <a:graphicData uri="http://schemas.microsoft.com/office/word/2010/wordprocessingShape">
                    <wps:wsp>
                      <wps:cNvPr id="140" name="Textbox 140"/>
                      <wps:cNvSpPr txBox="1"/>
                      <wps:spPr>
                        <a:xfrm>
                          <a:off x="0" y="0"/>
                          <a:ext cx="5248910" cy="1024255"/>
                        </a:xfrm>
                        <a:prstGeom prst="rect">
                          <a:avLst/>
                        </a:prstGeom>
                        <a:solidFill>
                          <a:srgbClr val="DFDFDF"/>
                        </a:solidFill>
                      </wps:spPr>
                      <wps:txbx>
                        <w:txbxContent>
                          <w:p>
                            <w:pPr>
                              <w:pStyle w:val="BodyText"/>
                              <w:ind w:left="28" w:right="120"/>
                              <w:rPr>
                                <w:color w:val="000000"/>
                              </w:rPr>
                            </w:pPr>
                            <w:r>
                              <w:rPr>
                                <w:color w:val="000000"/>
                              </w:rPr>
                              <w:t>Soils are an integral part of ecosystems, their function, and the above and below ground interaction of organisms. These functions all contribute to ecological resilience. Soil conservation</w:t>
                            </w:r>
                            <w:r>
                              <w:rPr>
                                <w:color w:val="000000"/>
                                <w:spacing w:val="-4"/>
                              </w:rPr>
                              <w:t> </w:t>
                            </w:r>
                            <w:r>
                              <w:rPr>
                                <w:color w:val="000000"/>
                              </w:rPr>
                              <w:t>and</w:t>
                            </w:r>
                            <w:r>
                              <w:rPr>
                                <w:color w:val="000000"/>
                                <w:spacing w:val="-4"/>
                              </w:rPr>
                              <w:t> </w:t>
                            </w:r>
                            <w:r>
                              <w:rPr>
                                <w:color w:val="000000"/>
                              </w:rPr>
                              <w:t>protection</w:t>
                            </w:r>
                            <w:r>
                              <w:rPr>
                                <w:color w:val="000000"/>
                                <w:spacing w:val="-4"/>
                              </w:rPr>
                              <w:t> </w:t>
                            </w:r>
                            <w:r>
                              <w:rPr>
                                <w:color w:val="000000"/>
                              </w:rPr>
                              <w:t>is</w:t>
                            </w:r>
                            <w:r>
                              <w:rPr>
                                <w:color w:val="000000"/>
                                <w:spacing w:val="-3"/>
                              </w:rPr>
                              <w:t> </w:t>
                            </w:r>
                            <w:r>
                              <w:rPr>
                                <w:color w:val="000000"/>
                              </w:rPr>
                              <w:t>needed</w:t>
                            </w:r>
                            <w:r>
                              <w:rPr>
                                <w:color w:val="000000"/>
                                <w:spacing w:val="-5"/>
                              </w:rPr>
                              <w:t> </w:t>
                            </w:r>
                            <w:r>
                              <w:rPr>
                                <w:color w:val="000000"/>
                              </w:rPr>
                              <w:t>to</w:t>
                            </w:r>
                            <w:r>
                              <w:rPr>
                                <w:color w:val="000000"/>
                                <w:spacing w:val="-4"/>
                              </w:rPr>
                              <w:t> </w:t>
                            </w:r>
                            <w:r>
                              <w:rPr>
                                <w:color w:val="000000"/>
                              </w:rPr>
                              <w:t>effectively</w:t>
                            </w:r>
                            <w:r>
                              <w:rPr>
                                <w:color w:val="000000"/>
                                <w:spacing w:val="-6"/>
                              </w:rPr>
                              <w:t> </w:t>
                            </w:r>
                            <w:r>
                              <w:rPr>
                                <w:color w:val="000000"/>
                              </w:rPr>
                              <w:t>maintain</w:t>
                            </w:r>
                            <w:r>
                              <w:rPr>
                                <w:color w:val="000000"/>
                                <w:spacing w:val="-4"/>
                              </w:rPr>
                              <w:t> </w:t>
                            </w:r>
                            <w:r>
                              <w:rPr>
                                <w:color w:val="000000"/>
                              </w:rPr>
                              <w:t>soil</w:t>
                            </w:r>
                            <w:r>
                              <w:rPr>
                                <w:color w:val="000000"/>
                                <w:spacing w:val="-3"/>
                              </w:rPr>
                              <w:t> </w:t>
                            </w:r>
                            <w:r>
                              <w:rPr>
                                <w:color w:val="000000"/>
                              </w:rPr>
                              <w:t>quality</w:t>
                            </w:r>
                            <w:r>
                              <w:rPr>
                                <w:color w:val="000000"/>
                                <w:spacing w:val="-2"/>
                              </w:rPr>
                              <w:t> </w:t>
                            </w:r>
                            <w:r>
                              <w:rPr>
                                <w:color w:val="000000"/>
                              </w:rPr>
                              <w:t>and</w:t>
                            </w:r>
                            <w:r>
                              <w:rPr>
                                <w:color w:val="000000"/>
                                <w:spacing w:val="-4"/>
                              </w:rPr>
                              <w:t> </w:t>
                            </w:r>
                            <w:r>
                              <w:rPr>
                                <w:color w:val="000000"/>
                              </w:rPr>
                              <w:t>productivity and improve or protect watershed conditions. Generally, soil productivity standards and guidelines are not applied to administrative sites or dedicated use areas (such as roads, recreation sites).</w:t>
                            </w:r>
                          </w:p>
                        </w:txbxContent>
                      </wps:txbx>
                      <wps:bodyPr wrap="square" lIns="0" tIns="0" rIns="0" bIns="0" rtlCol="0">
                        <a:noAutofit/>
                      </wps:bodyPr>
                    </wps:wsp>
                  </a:graphicData>
                </a:graphic>
              </wp:anchor>
            </w:drawing>
          </mc:Choice>
          <mc:Fallback>
            <w:pict>
              <v:shape style="position:absolute;margin-left:128.160004pt;margin-top:5.89961pt;width:413.3pt;height:80.650pt;mso-position-horizontal-relative:page;mso-position-vertical-relative:paragraph;z-index:-15721984;mso-wrap-distance-left:0;mso-wrap-distance-right:0" type="#_x0000_t202" id="docshape132" filled="true" fillcolor="#dfdfdf" stroked="false">
                <v:textbox inset="0,0,0,0">
                  <w:txbxContent>
                    <w:p>
                      <w:pPr>
                        <w:pStyle w:val="BodyText"/>
                        <w:ind w:left="28" w:right="120"/>
                        <w:rPr>
                          <w:color w:val="000000"/>
                        </w:rPr>
                      </w:pPr>
                      <w:r>
                        <w:rPr>
                          <w:color w:val="000000"/>
                        </w:rPr>
                        <w:t>Soils are an integral part of ecosystems, their function, and the above and below ground interaction of organisms. These functions all contribute to ecological resilience. Soil conservation</w:t>
                      </w:r>
                      <w:r>
                        <w:rPr>
                          <w:color w:val="000000"/>
                          <w:spacing w:val="-4"/>
                        </w:rPr>
                        <w:t> </w:t>
                      </w:r>
                      <w:r>
                        <w:rPr>
                          <w:color w:val="000000"/>
                        </w:rPr>
                        <w:t>and</w:t>
                      </w:r>
                      <w:r>
                        <w:rPr>
                          <w:color w:val="000000"/>
                          <w:spacing w:val="-4"/>
                        </w:rPr>
                        <w:t> </w:t>
                      </w:r>
                      <w:r>
                        <w:rPr>
                          <w:color w:val="000000"/>
                        </w:rPr>
                        <w:t>protection</w:t>
                      </w:r>
                      <w:r>
                        <w:rPr>
                          <w:color w:val="000000"/>
                          <w:spacing w:val="-4"/>
                        </w:rPr>
                        <w:t> </w:t>
                      </w:r>
                      <w:r>
                        <w:rPr>
                          <w:color w:val="000000"/>
                        </w:rPr>
                        <w:t>is</w:t>
                      </w:r>
                      <w:r>
                        <w:rPr>
                          <w:color w:val="000000"/>
                          <w:spacing w:val="-3"/>
                        </w:rPr>
                        <w:t> </w:t>
                      </w:r>
                      <w:r>
                        <w:rPr>
                          <w:color w:val="000000"/>
                        </w:rPr>
                        <w:t>needed</w:t>
                      </w:r>
                      <w:r>
                        <w:rPr>
                          <w:color w:val="000000"/>
                          <w:spacing w:val="-5"/>
                        </w:rPr>
                        <w:t> </w:t>
                      </w:r>
                      <w:r>
                        <w:rPr>
                          <w:color w:val="000000"/>
                        </w:rPr>
                        <w:t>to</w:t>
                      </w:r>
                      <w:r>
                        <w:rPr>
                          <w:color w:val="000000"/>
                          <w:spacing w:val="-4"/>
                        </w:rPr>
                        <w:t> </w:t>
                      </w:r>
                      <w:r>
                        <w:rPr>
                          <w:color w:val="000000"/>
                        </w:rPr>
                        <w:t>effectively</w:t>
                      </w:r>
                      <w:r>
                        <w:rPr>
                          <w:color w:val="000000"/>
                          <w:spacing w:val="-6"/>
                        </w:rPr>
                        <w:t> </w:t>
                      </w:r>
                      <w:r>
                        <w:rPr>
                          <w:color w:val="000000"/>
                        </w:rPr>
                        <w:t>maintain</w:t>
                      </w:r>
                      <w:r>
                        <w:rPr>
                          <w:color w:val="000000"/>
                          <w:spacing w:val="-4"/>
                        </w:rPr>
                        <w:t> </w:t>
                      </w:r>
                      <w:r>
                        <w:rPr>
                          <w:color w:val="000000"/>
                        </w:rPr>
                        <w:t>soil</w:t>
                      </w:r>
                      <w:r>
                        <w:rPr>
                          <w:color w:val="000000"/>
                          <w:spacing w:val="-3"/>
                        </w:rPr>
                        <w:t> </w:t>
                      </w:r>
                      <w:r>
                        <w:rPr>
                          <w:color w:val="000000"/>
                        </w:rPr>
                        <w:t>quality</w:t>
                      </w:r>
                      <w:r>
                        <w:rPr>
                          <w:color w:val="000000"/>
                          <w:spacing w:val="-2"/>
                        </w:rPr>
                        <w:t> </w:t>
                      </w:r>
                      <w:r>
                        <w:rPr>
                          <w:color w:val="000000"/>
                        </w:rPr>
                        <w:t>and</w:t>
                      </w:r>
                      <w:r>
                        <w:rPr>
                          <w:color w:val="000000"/>
                          <w:spacing w:val="-4"/>
                        </w:rPr>
                        <w:t> </w:t>
                      </w:r>
                      <w:r>
                        <w:rPr>
                          <w:color w:val="000000"/>
                        </w:rPr>
                        <w:t>productivity and improve or protect watershed conditions. Generally, soil productivity standards and guidelines are not applied to administrative sites or dedicated use areas (such as roads, recreation sites).</w:t>
                      </w:r>
                    </w:p>
                  </w:txbxContent>
                </v:textbox>
                <v:fill type="solid"/>
                <w10:wrap type="topAndBottom"/>
              </v:shape>
            </w:pict>
          </mc:Fallback>
        </mc:AlternateContent>
      </w:r>
    </w:p>
    <w:p>
      <w:pPr>
        <w:pStyle w:val="BodyText"/>
        <w:spacing w:after="0"/>
        <w:rPr>
          <w:rFonts w:ascii="Arial"/>
          <w:b/>
          <w:sz w:val="8"/>
        </w:rPr>
        <w:sectPr>
          <w:pgSz w:w="12240" w:h="15840"/>
          <w:pgMar w:header="725" w:footer="891" w:top="960" w:bottom="1080" w:left="1080" w:right="720"/>
        </w:sectPr>
      </w:pPr>
    </w:p>
    <w:p>
      <w:pPr>
        <w:pStyle w:val="BodyText"/>
        <w:spacing w:before="199"/>
        <w:rPr>
          <w:rFonts w:ascii="Arial"/>
          <w:b/>
          <w:sz w:val="24"/>
        </w:rPr>
      </w:pPr>
    </w:p>
    <w:p>
      <w:pPr>
        <w:pStyle w:val="Heading4"/>
      </w:pPr>
      <w:bookmarkStart w:name="Desired Conditions" w:id="126"/>
      <w:bookmarkEnd w:id="126"/>
      <w:r>
        <w:rPr/>
      </w:r>
      <w:bookmarkStart w:name="_bookmark65" w:id="127"/>
      <w:bookmarkEnd w:id="127"/>
      <w:r>
        <w:rPr/>
      </w:r>
      <w:r>
        <w:rPr/>
        <w:t>Desired</w:t>
      </w:r>
      <w:r>
        <w:rPr>
          <w:spacing w:val="-4"/>
        </w:rPr>
        <w:t> </w:t>
      </w:r>
      <w:r>
        <w:rPr>
          <w:spacing w:val="-2"/>
        </w:rPr>
        <w:t>Conditions</w:t>
      </w:r>
    </w:p>
    <w:p>
      <w:pPr>
        <w:spacing w:before="240"/>
        <w:ind w:left="360" w:right="0" w:firstLine="0"/>
        <w:jc w:val="left"/>
        <w:rPr>
          <w:rFonts w:ascii="Arial"/>
          <w:i/>
          <w:sz w:val="22"/>
        </w:rPr>
      </w:pPr>
      <w:bookmarkStart w:name="FW-DC-SOIL-01. Soil Productivity and Fun" w:id="128"/>
      <w:bookmarkEnd w:id="128"/>
      <w:r>
        <w:rPr/>
      </w:r>
      <w:r>
        <w:rPr>
          <w:rFonts w:ascii="Arial"/>
          <w:i/>
          <w:sz w:val="22"/>
        </w:rPr>
        <w:t>FW-DC-SOIL-01.</w:t>
      </w:r>
      <w:r>
        <w:rPr>
          <w:rFonts w:ascii="Arial"/>
          <w:i/>
          <w:spacing w:val="-8"/>
          <w:sz w:val="22"/>
        </w:rPr>
        <w:t> </w:t>
      </w:r>
      <w:r>
        <w:rPr>
          <w:rFonts w:ascii="Arial"/>
          <w:i/>
          <w:sz w:val="22"/>
        </w:rPr>
        <w:t>Soil</w:t>
      </w:r>
      <w:r>
        <w:rPr>
          <w:rFonts w:ascii="Arial"/>
          <w:i/>
          <w:spacing w:val="-6"/>
          <w:sz w:val="22"/>
        </w:rPr>
        <w:t> </w:t>
      </w:r>
      <w:r>
        <w:rPr>
          <w:rFonts w:ascii="Arial"/>
          <w:i/>
          <w:sz w:val="22"/>
        </w:rPr>
        <w:t>Productivity</w:t>
      </w:r>
      <w:r>
        <w:rPr>
          <w:rFonts w:ascii="Arial"/>
          <w:i/>
          <w:spacing w:val="-5"/>
          <w:sz w:val="22"/>
        </w:rPr>
        <w:t> </w:t>
      </w:r>
      <w:r>
        <w:rPr>
          <w:rFonts w:ascii="Arial"/>
          <w:i/>
          <w:sz w:val="22"/>
        </w:rPr>
        <w:t>and</w:t>
      </w:r>
      <w:r>
        <w:rPr>
          <w:rFonts w:ascii="Arial"/>
          <w:i/>
          <w:spacing w:val="-8"/>
          <w:sz w:val="22"/>
        </w:rPr>
        <w:t> </w:t>
      </w:r>
      <w:r>
        <w:rPr>
          <w:rFonts w:ascii="Arial"/>
          <w:i/>
          <w:spacing w:val="-2"/>
          <w:sz w:val="22"/>
        </w:rPr>
        <w:t>Function</w:t>
      </w:r>
    </w:p>
    <w:p>
      <w:pPr>
        <w:pStyle w:val="BodyText"/>
        <w:spacing w:line="232" w:lineRule="auto" w:before="65"/>
        <w:ind w:left="360" w:right="1445"/>
      </w:pPr>
      <w:r>
        <w:rPr/>
        <w:t>Soil productivity and function contributes to the long-term resilience of ecosystems. Management</w:t>
      </w:r>
      <w:r>
        <w:rPr>
          <w:spacing w:val="-3"/>
        </w:rPr>
        <w:t> </w:t>
      </w:r>
      <w:r>
        <w:rPr/>
        <w:t>activities</w:t>
      </w:r>
      <w:r>
        <w:rPr>
          <w:spacing w:val="-6"/>
        </w:rPr>
        <w:t> </w:t>
      </w:r>
      <w:r>
        <w:rPr/>
        <w:t>occur</w:t>
      </w:r>
      <w:r>
        <w:rPr>
          <w:spacing w:val="-4"/>
        </w:rPr>
        <w:t> </w:t>
      </w:r>
      <w:r>
        <w:rPr/>
        <w:t>on</w:t>
      </w:r>
      <w:r>
        <w:rPr>
          <w:spacing w:val="-5"/>
        </w:rPr>
        <w:t> </w:t>
      </w:r>
      <w:r>
        <w:rPr/>
        <w:t>soils</w:t>
      </w:r>
      <w:r>
        <w:rPr>
          <w:spacing w:val="-6"/>
        </w:rPr>
        <w:t> </w:t>
      </w:r>
      <w:r>
        <w:rPr/>
        <w:t>with</w:t>
      </w:r>
      <w:r>
        <w:rPr>
          <w:spacing w:val="-5"/>
        </w:rPr>
        <w:t> </w:t>
      </w:r>
      <w:r>
        <w:rPr/>
        <w:t>the</w:t>
      </w:r>
      <w:r>
        <w:rPr>
          <w:spacing w:val="-6"/>
        </w:rPr>
        <w:t> </w:t>
      </w:r>
      <w:r>
        <w:rPr/>
        <w:t>inherent</w:t>
      </w:r>
      <w:r>
        <w:rPr>
          <w:spacing w:val="-3"/>
        </w:rPr>
        <w:t> </w:t>
      </w:r>
      <w:r>
        <w:rPr/>
        <w:t>capability</w:t>
      </w:r>
      <w:r>
        <w:rPr>
          <w:spacing w:val="-5"/>
        </w:rPr>
        <w:t> </w:t>
      </w:r>
      <w:r>
        <w:rPr/>
        <w:t>to</w:t>
      </w:r>
      <w:r>
        <w:rPr>
          <w:spacing w:val="-5"/>
        </w:rPr>
        <w:t> </w:t>
      </w:r>
      <w:r>
        <w:rPr/>
        <w:t>support</w:t>
      </w:r>
      <w:r>
        <w:rPr>
          <w:spacing w:val="-6"/>
        </w:rPr>
        <w:t> </w:t>
      </w:r>
      <w:r>
        <w:rPr/>
        <w:t>those</w:t>
      </w:r>
      <w:r>
        <w:rPr>
          <w:spacing w:val="-3"/>
        </w:rPr>
        <w:t> </w:t>
      </w:r>
      <w:r>
        <w:rPr/>
        <w:t>activities.</w:t>
      </w:r>
    </w:p>
    <w:p>
      <w:pPr>
        <w:pStyle w:val="BodyText"/>
        <w:spacing w:before="84"/>
      </w:pPr>
    </w:p>
    <w:p>
      <w:pPr>
        <w:spacing w:before="0" w:after="42"/>
        <w:ind w:left="360" w:right="0" w:firstLine="0"/>
        <w:jc w:val="left"/>
        <w:rPr>
          <w:rFonts w:ascii="Arial"/>
          <w:b/>
          <w:sz w:val="18"/>
        </w:rPr>
      </w:pPr>
      <w:bookmarkStart w:name="_bookmark66" w:id="129"/>
      <w:bookmarkEnd w:id="129"/>
      <w:r>
        <w:rPr/>
      </w:r>
      <w:r>
        <w:rPr>
          <w:rFonts w:ascii="Arial"/>
          <w:b/>
          <w:sz w:val="18"/>
        </w:rPr>
        <w:t>Table</w:t>
      </w:r>
      <w:r>
        <w:rPr>
          <w:rFonts w:ascii="Arial"/>
          <w:b/>
          <w:spacing w:val="-6"/>
          <w:sz w:val="18"/>
        </w:rPr>
        <w:t> </w:t>
      </w:r>
      <w:r>
        <w:rPr>
          <w:rFonts w:ascii="Arial"/>
          <w:b/>
          <w:sz w:val="18"/>
        </w:rPr>
        <w:t>1.</w:t>
      </w:r>
      <w:r>
        <w:rPr>
          <w:rFonts w:ascii="Arial"/>
          <w:b/>
          <w:spacing w:val="-2"/>
          <w:sz w:val="18"/>
        </w:rPr>
        <w:t> </w:t>
      </w:r>
      <w:r>
        <w:rPr>
          <w:rFonts w:ascii="Arial"/>
          <w:b/>
          <w:sz w:val="18"/>
        </w:rPr>
        <w:t>Soil</w:t>
      </w:r>
      <w:r>
        <w:rPr>
          <w:rFonts w:ascii="Arial"/>
          <w:b/>
          <w:spacing w:val="-3"/>
          <w:sz w:val="18"/>
        </w:rPr>
        <w:t> </w:t>
      </w:r>
      <w:r>
        <w:rPr>
          <w:rFonts w:ascii="Arial"/>
          <w:b/>
          <w:sz w:val="18"/>
        </w:rPr>
        <w:t>ecological</w:t>
      </w:r>
      <w:r>
        <w:rPr>
          <w:rFonts w:ascii="Arial"/>
          <w:b/>
          <w:spacing w:val="-2"/>
          <w:sz w:val="18"/>
        </w:rPr>
        <w:t> </w:t>
      </w:r>
      <w:r>
        <w:rPr>
          <w:rFonts w:ascii="Arial"/>
          <w:b/>
          <w:sz w:val="18"/>
        </w:rPr>
        <w:t>functions</w:t>
      </w:r>
      <w:r>
        <w:rPr>
          <w:rFonts w:ascii="Arial"/>
          <w:b/>
          <w:spacing w:val="-4"/>
          <w:sz w:val="18"/>
        </w:rPr>
        <w:t> </w:t>
      </w:r>
      <w:r>
        <w:rPr>
          <w:rFonts w:ascii="Arial"/>
          <w:b/>
          <w:sz w:val="18"/>
        </w:rPr>
        <w:t>with</w:t>
      </w:r>
      <w:r>
        <w:rPr>
          <w:rFonts w:ascii="Arial"/>
          <w:b/>
          <w:spacing w:val="-2"/>
          <w:sz w:val="18"/>
        </w:rPr>
        <w:t> </w:t>
      </w:r>
      <w:r>
        <w:rPr>
          <w:rFonts w:ascii="Arial"/>
          <w:b/>
          <w:sz w:val="18"/>
        </w:rPr>
        <w:t>attributes</w:t>
      </w:r>
      <w:r>
        <w:rPr>
          <w:rFonts w:ascii="Arial"/>
          <w:b/>
          <w:spacing w:val="-3"/>
          <w:sz w:val="18"/>
        </w:rPr>
        <w:t> </w:t>
      </w:r>
      <w:r>
        <w:rPr>
          <w:rFonts w:ascii="Arial"/>
          <w:b/>
          <w:sz w:val="18"/>
        </w:rPr>
        <w:t>and</w:t>
      </w:r>
      <w:r>
        <w:rPr>
          <w:rFonts w:ascii="Arial"/>
          <w:b/>
          <w:spacing w:val="-4"/>
          <w:sz w:val="18"/>
        </w:rPr>
        <w:t> </w:t>
      </w:r>
      <w:r>
        <w:rPr>
          <w:rFonts w:ascii="Arial"/>
          <w:b/>
          <w:sz w:val="18"/>
        </w:rPr>
        <w:t>indicators</w:t>
      </w:r>
      <w:r>
        <w:rPr>
          <w:rFonts w:ascii="Arial"/>
          <w:b/>
          <w:spacing w:val="-1"/>
          <w:sz w:val="18"/>
        </w:rPr>
        <w:t> </w:t>
      </w:r>
      <w:r>
        <w:rPr>
          <w:rFonts w:ascii="Arial"/>
          <w:b/>
          <w:sz w:val="18"/>
        </w:rPr>
        <w:t>for</w:t>
      </w:r>
      <w:r>
        <w:rPr>
          <w:rFonts w:ascii="Arial"/>
          <w:b/>
          <w:spacing w:val="-2"/>
          <w:sz w:val="18"/>
        </w:rPr>
        <w:t> </w:t>
      </w:r>
      <w:r>
        <w:rPr>
          <w:rFonts w:ascii="Arial"/>
          <w:b/>
          <w:sz w:val="18"/>
        </w:rPr>
        <w:t>long-term</w:t>
      </w:r>
      <w:r>
        <w:rPr>
          <w:rFonts w:ascii="Arial"/>
          <w:b/>
          <w:spacing w:val="-4"/>
          <w:sz w:val="18"/>
        </w:rPr>
        <w:t> </w:t>
      </w:r>
      <w:r>
        <w:rPr>
          <w:rFonts w:ascii="Arial"/>
          <w:b/>
          <w:sz w:val="18"/>
        </w:rPr>
        <w:t>soil</w:t>
      </w:r>
      <w:r>
        <w:rPr>
          <w:rFonts w:ascii="Arial"/>
          <w:b/>
          <w:spacing w:val="-3"/>
          <w:sz w:val="18"/>
        </w:rPr>
        <w:t> </w:t>
      </w:r>
      <w:r>
        <w:rPr>
          <w:rFonts w:ascii="Arial"/>
          <w:b/>
          <w:spacing w:val="-2"/>
          <w:sz w:val="18"/>
        </w:rPr>
        <w:t>productivity</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368"/>
        <w:gridCol w:w="1800"/>
        <w:gridCol w:w="1531"/>
        <w:gridCol w:w="4229"/>
      </w:tblGrid>
      <w:tr>
        <w:trPr>
          <w:trHeight w:val="520" w:hRule="atLeast"/>
        </w:trPr>
        <w:tc>
          <w:tcPr>
            <w:tcW w:w="1368" w:type="dxa"/>
            <w:shd w:val="clear" w:color="auto" w:fill="D5E2BB"/>
          </w:tcPr>
          <w:p>
            <w:pPr>
              <w:pStyle w:val="TableParagraph"/>
              <w:spacing w:line="267" w:lineRule="exact" w:before="0"/>
              <w:ind w:left="107"/>
              <w:rPr>
                <w:rFonts w:ascii="Calibri"/>
                <w:b/>
                <w:sz w:val="22"/>
              </w:rPr>
            </w:pPr>
            <w:r>
              <w:rPr>
                <w:rFonts w:ascii="Calibri"/>
                <w:b/>
                <w:sz w:val="22"/>
              </w:rPr>
              <w:t>Soil</w:t>
            </w:r>
            <w:r>
              <w:rPr>
                <w:rFonts w:ascii="Calibri"/>
                <w:b/>
                <w:spacing w:val="-3"/>
                <w:sz w:val="22"/>
              </w:rPr>
              <w:t> </w:t>
            </w:r>
            <w:r>
              <w:rPr>
                <w:rFonts w:ascii="Calibri"/>
                <w:b/>
                <w:spacing w:val="-2"/>
                <w:sz w:val="22"/>
              </w:rPr>
              <w:t>function</w:t>
            </w:r>
          </w:p>
        </w:tc>
        <w:tc>
          <w:tcPr>
            <w:tcW w:w="1800" w:type="dxa"/>
            <w:shd w:val="clear" w:color="auto" w:fill="D5E2BB"/>
          </w:tcPr>
          <w:p>
            <w:pPr>
              <w:pStyle w:val="TableParagraph"/>
              <w:spacing w:line="264" w:lineRule="exact" w:before="0"/>
              <w:ind w:left="107"/>
              <w:rPr>
                <w:rFonts w:ascii="Calibri"/>
                <w:b/>
                <w:sz w:val="22"/>
              </w:rPr>
            </w:pPr>
            <w:r>
              <w:rPr>
                <w:rFonts w:ascii="Calibri"/>
                <w:b/>
                <w:spacing w:val="-2"/>
                <w:sz w:val="22"/>
              </w:rPr>
              <w:t>Selected</w:t>
            </w:r>
          </w:p>
          <w:p>
            <w:pPr>
              <w:pStyle w:val="TableParagraph"/>
              <w:spacing w:line="236" w:lineRule="exact" w:before="0"/>
              <w:ind w:left="107"/>
              <w:rPr>
                <w:rFonts w:ascii="Calibri"/>
                <w:b/>
                <w:sz w:val="22"/>
              </w:rPr>
            </w:pPr>
            <w:r>
              <w:rPr>
                <w:rFonts w:ascii="Calibri"/>
                <w:b/>
                <w:spacing w:val="-2"/>
                <w:sz w:val="22"/>
              </w:rPr>
              <w:t>attributes</w:t>
            </w:r>
          </w:p>
        </w:tc>
        <w:tc>
          <w:tcPr>
            <w:tcW w:w="1531" w:type="dxa"/>
            <w:shd w:val="clear" w:color="auto" w:fill="D5E2BB"/>
          </w:tcPr>
          <w:p>
            <w:pPr>
              <w:pStyle w:val="TableParagraph"/>
              <w:spacing w:line="264" w:lineRule="exact" w:before="0"/>
              <w:ind w:left="107"/>
              <w:rPr>
                <w:rFonts w:ascii="Calibri"/>
                <w:b/>
                <w:sz w:val="22"/>
              </w:rPr>
            </w:pPr>
            <w:r>
              <w:rPr>
                <w:rFonts w:ascii="Calibri"/>
                <w:b/>
                <w:sz w:val="22"/>
              </w:rPr>
              <w:t>Soil</w:t>
            </w:r>
            <w:r>
              <w:rPr>
                <w:rFonts w:ascii="Calibri"/>
                <w:b/>
                <w:spacing w:val="-5"/>
                <w:sz w:val="22"/>
              </w:rPr>
              <w:t> </w:t>
            </w:r>
            <w:r>
              <w:rPr>
                <w:rFonts w:ascii="Calibri"/>
                <w:b/>
                <w:spacing w:val="-2"/>
                <w:sz w:val="22"/>
              </w:rPr>
              <w:t>quality</w:t>
            </w:r>
          </w:p>
          <w:p>
            <w:pPr>
              <w:pStyle w:val="TableParagraph"/>
              <w:spacing w:line="236" w:lineRule="exact" w:before="0"/>
              <w:ind w:left="107"/>
              <w:rPr>
                <w:rFonts w:ascii="Calibri"/>
                <w:b/>
                <w:sz w:val="22"/>
              </w:rPr>
            </w:pPr>
            <w:r>
              <w:rPr>
                <w:rFonts w:ascii="Calibri"/>
                <w:b/>
                <w:spacing w:val="-2"/>
                <w:sz w:val="22"/>
              </w:rPr>
              <w:t>indicator</w:t>
            </w:r>
          </w:p>
        </w:tc>
        <w:tc>
          <w:tcPr>
            <w:tcW w:w="4229" w:type="dxa"/>
            <w:shd w:val="clear" w:color="auto" w:fill="D5E2BB"/>
          </w:tcPr>
          <w:p>
            <w:pPr>
              <w:pStyle w:val="TableParagraph"/>
              <w:spacing w:line="267" w:lineRule="exact" w:before="0"/>
              <w:ind w:left="107"/>
              <w:rPr>
                <w:rFonts w:ascii="Calibri"/>
                <w:b/>
                <w:sz w:val="22"/>
              </w:rPr>
            </w:pPr>
            <w:r>
              <w:rPr>
                <w:rFonts w:ascii="Calibri"/>
                <w:b/>
                <w:sz w:val="22"/>
              </w:rPr>
              <w:t>Desired</w:t>
            </w:r>
            <w:r>
              <w:rPr>
                <w:rFonts w:ascii="Calibri"/>
                <w:b/>
                <w:spacing w:val="-7"/>
                <w:sz w:val="22"/>
              </w:rPr>
              <w:t> </w:t>
            </w:r>
            <w:r>
              <w:rPr>
                <w:rFonts w:ascii="Calibri"/>
                <w:b/>
                <w:spacing w:val="-2"/>
                <w:sz w:val="22"/>
              </w:rPr>
              <w:t>condition</w:t>
            </w:r>
          </w:p>
        </w:tc>
      </w:tr>
      <w:tr>
        <w:trPr>
          <w:trHeight w:val="1328" w:hRule="atLeast"/>
        </w:trPr>
        <w:tc>
          <w:tcPr>
            <w:tcW w:w="1368" w:type="dxa"/>
            <w:vMerge w:val="restart"/>
          </w:tcPr>
          <w:p>
            <w:pPr>
              <w:pStyle w:val="TableParagraph"/>
              <w:spacing w:line="267" w:lineRule="exact" w:before="0"/>
              <w:ind w:left="107"/>
              <w:rPr>
                <w:rFonts w:ascii="Calibri"/>
                <w:b/>
                <w:sz w:val="22"/>
              </w:rPr>
            </w:pPr>
            <w:r>
              <w:rPr>
                <w:rFonts w:ascii="Calibri"/>
                <w:b/>
                <w:spacing w:val="-2"/>
                <w:sz w:val="22"/>
              </w:rPr>
              <w:t>Biological</w:t>
            </w:r>
          </w:p>
        </w:tc>
        <w:tc>
          <w:tcPr>
            <w:tcW w:w="1800" w:type="dxa"/>
          </w:tcPr>
          <w:p>
            <w:pPr>
              <w:pStyle w:val="TableParagraph"/>
              <w:spacing w:line="267" w:lineRule="exact" w:before="0"/>
              <w:ind w:left="107"/>
              <w:rPr>
                <w:rFonts w:ascii="Calibri"/>
                <w:sz w:val="22"/>
              </w:rPr>
            </w:pPr>
            <w:r>
              <w:rPr>
                <w:rFonts w:ascii="Calibri"/>
                <w:spacing w:val="-4"/>
                <w:sz w:val="22"/>
              </w:rPr>
              <w:t>Roots</w:t>
            </w:r>
          </w:p>
        </w:tc>
        <w:tc>
          <w:tcPr>
            <w:tcW w:w="1531" w:type="dxa"/>
          </w:tcPr>
          <w:p>
            <w:pPr>
              <w:pStyle w:val="TableParagraph"/>
              <w:spacing w:line="232" w:lineRule="auto" w:before="5"/>
              <w:ind w:left="107" w:right="127"/>
              <w:rPr>
                <w:rFonts w:ascii="Calibri"/>
                <w:sz w:val="22"/>
              </w:rPr>
            </w:pPr>
            <w:r>
              <w:rPr>
                <w:rFonts w:ascii="Calibri"/>
                <w:spacing w:val="-2"/>
                <w:sz w:val="22"/>
              </w:rPr>
              <w:t>Root</w:t>
            </w:r>
            <w:r>
              <w:rPr>
                <w:rFonts w:ascii="Calibri"/>
                <w:spacing w:val="-11"/>
                <w:sz w:val="22"/>
              </w:rPr>
              <w:t> </w:t>
            </w:r>
            <w:r>
              <w:rPr>
                <w:rFonts w:ascii="Calibri"/>
                <w:spacing w:val="-2"/>
                <w:sz w:val="22"/>
              </w:rPr>
              <w:t>growth </w:t>
            </w:r>
            <w:r>
              <w:rPr>
                <w:rFonts w:ascii="Calibri"/>
                <w:spacing w:val="-4"/>
                <w:sz w:val="22"/>
              </w:rPr>
              <w:t>and </w:t>
            </w:r>
            <w:r>
              <w:rPr>
                <w:rFonts w:ascii="Calibri"/>
                <w:spacing w:val="-2"/>
                <w:sz w:val="22"/>
              </w:rPr>
              <w:t>distribution</w:t>
            </w:r>
          </w:p>
        </w:tc>
        <w:tc>
          <w:tcPr>
            <w:tcW w:w="4229" w:type="dxa"/>
          </w:tcPr>
          <w:p>
            <w:pPr>
              <w:pStyle w:val="TableParagraph"/>
              <w:spacing w:line="232" w:lineRule="auto" w:before="5"/>
              <w:ind w:left="107"/>
              <w:rPr>
                <w:rFonts w:ascii="Calibri"/>
                <w:sz w:val="22"/>
              </w:rPr>
            </w:pPr>
            <w:r>
              <w:rPr>
                <w:rFonts w:ascii="Calibri"/>
                <w:sz w:val="22"/>
              </w:rPr>
              <w:t>Root</w:t>
            </w:r>
            <w:r>
              <w:rPr>
                <w:rFonts w:ascii="Calibri"/>
                <w:spacing w:val="-13"/>
                <w:sz w:val="22"/>
              </w:rPr>
              <w:t> </w:t>
            </w:r>
            <w:r>
              <w:rPr>
                <w:rFonts w:ascii="Calibri"/>
                <w:sz w:val="22"/>
              </w:rPr>
              <w:t>growth,</w:t>
            </w:r>
            <w:r>
              <w:rPr>
                <w:rFonts w:ascii="Calibri"/>
                <w:spacing w:val="-11"/>
                <w:sz w:val="22"/>
              </w:rPr>
              <w:t> </w:t>
            </w:r>
            <w:r>
              <w:rPr>
                <w:rFonts w:ascii="Calibri"/>
                <w:sz w:val="22"/>
              </w:rPr>
              <w:t>both</w:t>
            </w:r>
            <w:r>
              <w:rPr>
                <w:rFonts w:ascii="Calibri"/>
                <w:spacing w:val="-13"/>
                <w:sz w:val="22"/>
              </w:rPr>
              <w:t> </w:t>
            </w:r>
            <w:r>
              <w:rPr>
                <w:rFonts w:ascii="Calibri"/>
                <w:sz w:val="22"/>
              </w:rPr>
              <w:t>vertically</w:t>
            </w:r>
            <w:r>
              <w:rPr>
                <w:rFonts w:ascii="Calibri"/>
                <w:spacing w:val="-11"/>
                <w:sz w:val="22"/>
              </w:rPr>
              <w:t> </w:t>
            </w:r>
            <w:r>
              <w:rPr>
                <w:rFonts w:ascii="Calibri"/>
                <w:sz w:val="22"/>
              </w:rPr>
              <w:t>and</w:t>
            </w:r>
            <w:r>
              <w:rPr>
                <w:rFonts w:ascii="Calibri"/>
                <w:spacing w:val="-12"/>
                <w:sz w:val="22"/>
              </w:rPr>
              <w:t> </w:t>
            </w:r>
            <w:r>
              <w:rPr>
                <w:rFonts w:ascii="Calibri"/>
                <w:sz w:val="22"/>
              </w:rPr>
              <w:t>laterally,</w:t>
            </w:r>
            <w:r>
              <w:rPr>
                <w:rFonts w:ascii="Calibri"/>
                <w:spacing w:val="-13"/>
                <w:sz w:val="22"/>
              </w:rPr>
              <w:t> </w:t>
            </w:r>
            <w:r>
              <w:rPr>
                <w:rFonts w:ascii="Calibri"/>
                <w:sz w:val="22"/>
              </w:rPr>
              <w:t>is not impeded</w:t>
            </w:r>
            <w:r>
              <w:rPr>
                <w:rFonts w:ascii="Calibri"/>
                <w:spacing w:val="-4"/>
                <w:sz w:val="22"/>
              </w:rPr>
              <w:t> </w:t>
            </w:r>
            <w:r>
              <w:rPr>
                <w:rFonts w:ascii="Calibri"/>
                <w:sz w:val="22"/>
              </w:rPr>
              <w:t>by land</w:t>
            </w:r>
            <w:r>
              <w:rPr>
                <w:rFonts w:ascii="Calibri"/>
                <w:spacing w:val="-4"/>
                <w:sz w:val="22"/>
              </w:rPr>
              <w:t> </w:t>
            </w:r>
            <w:r>
              <w:rPr>
                <w:rFonts w:ascii="Calibri"/>
                <w:sz w:val="22"/>
              </w:rPr>
              <w:t>management actions. Root distribution and depth is at expected levels for vegetation type and successional </w:t>
            </w:r>
            <w:r>
              <w:rPr>
                <w:rFonts w:ascii="Calibri"/>
                <w:spacing w:val="-2"/>
                <w:sz w:val="22"/>
              </w:rPr>
              <w:t>stage.</w:t>
            </w:r>
          </w:p>
        </w:tc>
      </w:tr>
      <w:tr>
        <w:trPr>
          <w:trHeight w:val="1300" w:hRule="atLeast"/>
        </w:trPr>
        <w:tc>
          <w:tcPr>
            <w:tcW w:w="1368" w:type="dxa"/>
            <w:vMerge/>
            <w:tcBorders>
              <w:top w:val="nil"/>
            </w:tcBorders>
          </w:tcPr>
          <w:p>
            <w:pPr>
              <w:rPr>
                <w:sz w:val="2"/>
                <w:szCs w:val="2"/>
              </w:rPr>
            </w:pPr>
          </w:p>
        </w:tc>
        <w:tc>
          <w:tcPr>
            <w:tcW w:w="1800" w:type="dxa"/>
            <w:vMerge w:val="restart"/>
          </w:tcPr>
          <w:p>
            <w:pPr>
              <w:pStyle w:val="TableParagraph"/>
              <w:spacing w:line="232" w:lineRule="auto" w:before="7"/>
              <w:ind w:left="107" w:right="117"/>
              <w:rPr>
                <w:rFonts w:ascii="Calibri"/>
                <w:sz w:val="22"/>
              </w:rPr>
            </w:pPr>
            <w:r>
              <w:rPr>
                <w:rFonts w:ascii="Calibri"/>
                <w:sz w:val="22"/>
              </w:rPr>
              <w:t>Plant</w:t>
            </w:r>
            <w:r>
              <w:rPr>
                <w:rFonts w:ascii="Calibri"/>
                <w:spacing w:val="-13"/>
                <w:sz w:val="22"/>
              </w:rPr>
              <w:t> </w:t>
            </w:r>
            <w:r>
              <w:rPr>
                <w:rFonts w:ascii="Calibri"/>
                <w:sz w:val="22"/>
              </w:rPr>
              <w:t>Community Potential and </w:t>
            </w:r>
            <w:r>
              <w:rPr>
                <w:rFonts w:ascii="Calibri"/>
                <w:spacing w:val="-2"/>
                <w:sz w:val="22"/>
              </w:rPr>
              <w:t>Thermodynamics</w:t>
            </w:r>
          </w:p>
        </w:tc>
        <w:tc>
          <w:tcPr>
            <w:tcW w:w="1531" w:type="dxa"/>
          </w:tcPr>
          <w:p>
            <w:pPr>
              <w:pStyle w:val="TableParagraph"/>
              <w:spacing w:line="232" w:lineRule="auto" w:before="7"/>
              <w:ind w:left="107"/>
              <w:rPr>
                <w:rFonts w:ascii="Calibri"/>
                <w:sz w:val="22"/>
              </w:rPr>
            </w:pPr>
            <w:r>
              <w:rPr>
                <w:rFonts w:ascii="Calibri"/>
                <w:spacing w:val="-2"/>
                <w:sz w:val="22"/>
              </w:rPr>
              <w:t>Plant Community Composition</w:t>
            </w:r>
          </w:p>
        </w:tc>
        <w:tc>
          <w:tcPr>
            <w:tcW w:w="4229" w:type="dxa"/>
          </w:tcPr>
          <w:p>
            <w:pPr>
              <w:pStyle w:val="TableParagraph"/>
              <w:spacing w:line="232" w:lineRule="auto" w:before="7"/>
              <w:ind w:left="107" w:right="59"/>
              <w:rPr>
                <w:rFonts w:ascii="Calibri"/>
                <w:sz w:val="22"/>
              </w:rPr>
            </w:pPr>
            <w:r>
              <w:rPr>
                <w:rFonts w:ascii="Calibri"/>
                <w:sz w:val="22"/>
              </w:rPr>
              <w:t>The soil is capable of supporting a distribution of desirable plant species by vegetative layer (i.e., trees, shrubs, herbaceous)</w:t>
            </w:r>
            <w:r>
              <w:rPr>
                <w:rFonts w:ascii="Calibri"/>
                <w:spacing w:val="-9"/>
                <w:sz w:val="22"/>
              </w:rPr>
              <w:t> </w:t>
            </w:r>
            <w:r>
              <w:rPr>
                <w:rFonts w:ascii="Calibri"/>
                <w:sz w:val="22"/>
              </w:rPr>
              <w:t>as</w:t>
            </w:r>
            <w:r>
              <w:rPr>
                <w:rFonts w:ascii="Calibri"/>
                <w:spacing w:val="-9"/>
                <w:sz w:val="22"/>
              </w:rPr>
              <w:t> </w:t>
            </w:r>
            <w:r>
              <w:rPr>
                <w:rFonts w:ascii="Calibri"/>
                <w:sz w:val="22"/>
              </w:rPr>
              <w:t>identified</w:t>
            </w:r>
            <w:r>
              <w:rPr>
                <w:rFonts w:ascii="Calibri"/>
                <w:spacing w:val="-9"/>
                <w:sz w:val="22"/>
              </w:rPr>
              <w:t> </w:t>
            </w:r>
            <w:r>
              <w:rPr>
                <w:rFonts w:ascii="Calibri"/>
                <w:sz w:val="22"/>
              </w:rPr>
              <w:t>in</w:t>
            </w:r>
            <w:r>
              <w:rPr>
                <w:rFonts w:ascii="Calibri"/>
                <w:spacing w:val="-9"/>
                <w:sz w:val="22"/>
              </w:rPr>
              <w:t> </w:t>
            </w:r>
            <w:r>
              <w:rPr>
                <w:rFonts w:ascii="Calibri"/>
                <w:sz w:val="22"/>
              </w:rPr>
              <w:t>the</w:t>
            </w:r>
            <w:r>
              <w:rPr>
                <w:rFonts w:ascii="Calibri"/>
                <w:spacing w:val="-8"/>
                <w:sz w:val="22"/>
              </w:rPr>
              <w:t> </w:t>
            </w:r>
            <w:r>
              <w:rPr>
                <w:rFonts w:ascii="Calibri"/>
                <w:sz w:val="22"/>
              </w:rPr>
              <w:t>potential</w:t>
            </w:r>
          </w:p>
          <w:p>
            <w:pPr>
              <w:pStyle w:val="TableParagraph"/>
              <w:spacing w:line="230" w:lineRule="exact" w:before="0"/>
              <w:ind w:left="107"/>
              <w:rPr>
                <w:rFonts w:ascii="Calibri"/>
                <w:sz w:val="22"/>
              </w:rPr>
            </w:pPr>
            <w:r>
              <w:rPr>
                <w:rFonts w:ascii="Calibri"/>
                <w:sz w:val="22"/>
              </w:rPr>
              <w:t>plant</w:t>
            </w:r>
            <w:r>
              <w:rPr>
                <w:rFonts w:ascii="Calibri"/>
                <w:spacing w:val="-6"/>
                <w:sz w:val="22"/>
              </w:rPr>
              <w:t> </w:t>
            </w:r>
            <w:r>
              <w:rPr>
                <w:rFonts w:ascii="Calibri"/>
                <w:spacing w:val="-2"/>
                <w:sz w:val="22"/>
              </w:rPr>
              <w:t>community.</w:t>
            </w:r>
          </w:p>
        </w:tc>
      </w:tr>
      <w:tr>
        <w:trPr>
          <w:trHeight w:val="781" w:hRule="atLeast"/>
        </w:trPr>
        <w:tc>
          <w:tcPr>
            <w:tcW w:w="1368" w:type="dxa"/>
            <w:vMerge/>
            <w:tcBorders>
              <w:top w:val="nil"/>
            </w:tcBorders>
          </w:tcPr>
          <w:p>
            <w:pPr>
              <w:rPr>
                <w:sz w:val="2"/>
                <w:szCs w:val="2"/>
              </w:rPr>
            </w:pPr>
          </w:p>
        </w:tc>
        <w:tc>
          <w:tcPr>
            <w:tcW w:w="1800" w:type="dxa"/>
            <w:vMerge/>
            <w:tcBorders>
              <w:top w:val="nil"/>
            </w:tcBorders>
          </w:tcPr>
          <w:p>
            <w:pPr>
              <w:rPr>
                <w:sz w:val="2"/>
                <w:szCs w:val="2"/>
              </w:rPr>
            </w:pPr>
          </w:p>
        </w:tc>
        <w:tc>
          <w:tcPr>
            <w:tcW w:w="1531" w:type="dxa"/>
          </w:tcPr>
          <w:p>
            <w:pPr>
              <w:pStyle w:val="TableParagraph"/>
              <w:spacing w:line="232" w:lineRule="auto" w:before="7"/>
              <w:ind w:left="107" w:right="127"/>
              <w:rPr>
                <w:rFonts w:ascii="Calibri"/>
                <w:sz w:val="22"/>
              </w:rPr>
            </w:pPr>
            <w:r>
              <w:rPr>
                <w:rFonts w:ascii="Calibri"/>
                <w:sz w:val="22"/>
              </w:rPr>
              <w:t>Canopy</w:t>
            </w:r>
            <w:r>
              <w:rPr>
                <w:rFonts w:ascii="Calibri"/>
                <w:spacing w:val="-4"/>
                <w:sz w:val="22"/>
              </w:rPr>
              <w:t> </w:t>
            </w:r>
            <w:r>
              <w:rPr>
                <w:rFonts w:ascii="Calibri"/>
                <w:sz w:val="22"/>
              </w:rPr>
              <w:t>Cover and</w:t>
            </w:r>
            <w:r>
              <w:rPr>
                <w:rFonts w:ascii="Calibri"/>
                <w:spacing w:val="-5"/>
                <w:sz w:val="22"/>
              </w:rPr>
              <w:t> </w:t>
            </w:r>
            <w:r>
              <w:rPr>
                <w:rFonts w:ascii="Calibri"/>
                <w:sz w:val="22"/>
              </w:rPr>
              <w:t>Soil</w:t>
            </w:r>
            <w:r>
              <w:rPr>
                <w:rFonts w:ascii="Calibri"/>
                <w:spacing w:val="-1"/>
                <w:sz w:val="22"/>
              </w:rPr>
              <w:t> </w:t>
            </w:r>
            <w:r>
              <w:rPr>
                <w:rFonts w:ascii="Calibri"/>
                <w:spacing w:val="-2"/>
                <w:sz w:val="22"/>
              </w:rPr>
              <w:t>Cover</w:t>
            </w:r>
          </w:p>
        </w:tc>
        <w:tc>
          <w:tcPr>
            <w:tcW w:w="4229" w:type="dxa"/>
          </w:tcPr>
          <w:p>
            <w:pPr>
              <w:pStyle w:val="TableParagraph"/>
              <w:spacing w:line="260" w:lineRule="exact" w:before="0"/>
              <w:ind w:left="107" w:right="59"/>
              <w:rPr>
                <w:rFonts w:ascii="Calibri"/>
                <w:sz w:val="22"/>
              </w:rPr>
            </w:pPr>
            <w:r>
              <w:rPr>
                <w:rFonts w:ascii="Calibri"/>
                <w:sz w:val="22"/>
              </w:rPr>
              <w:t>Soil</w:t>
            </w:r>
            <w:r>
              <w:rPr>
                <w:rFonts w:ascii="Calibri"/>
                <w:spacing w:val="-12"/>
                <w:sz w:val="22"/>
              </w:rPr>
              <w:t> </w:t>
            </w:r>
            <w:r>
              <w:rPr>
                <w:rFonts w:ascii="Calibri"/>
                <w:sz w:val="22"/>
              </w:rPr>
              <w:t>temperature</w:t>
            </w:r>
            <w:r>
              <w:rPr>
                <w:rFonts w:ascii="Calibri"/>
                <w:spacing w:val="-10"/>
                <w:sz w:val="22"/>
              </w:rPr>
              <w:t> </w:t>
            </w:r>
            <w:r>
              <w:rPr>
                <w:rFonts w:ascii="Calibri"/>
                <w:sz w:val="22"/>
              </w:rPr>
              <w:t>and</w:t>
            </w:r>
            <w:r>
              <w:rPr>
                <w:rFonts w:ascii="Calibri"/>
                <w:spacing w:val="-13"/>
                <w:sz w:val="22"/>
              </w:rPr>
              <w:t> </w:t>
            </w:r>
            <w:r>
              <w:rPr>
                <w:rFonts w:ascii="Calibri"/>
                <w:sz w:val="22"/>
              </w:rPr>
              <w:t>moisture</w:t>
            </w:r>
            <w:r>
              <w:rPr>
                <w:rFonts w:ascii="Calibri"/>
                <w:spacing w:val="-10"/>
                <w:sz w:val="22"/>
              </w:rPr>
              <w:t> </w:t>
            </w:r>
            <w:r>
              <w:rPr>
                <w:rFonts w:ascii="Calibri"/>
                <w:sz w:val="22"/>
              </w:rPr>
              <w:t>is</w:t>
            </w:r>
            <w:r>
              <w:rPr>
                <w:rFonts w:ascii="Calibri"/>
                <w:spacing w:val="-13"/>
                <w:sz w:val="22"/>
              </w:rPr>
              <w:t> </w:t>
            </w:r>
            <w:r>
              <w:rPr>
                <w:rFonts w:ascii="Calibri"/>
                <w:sz w:val="22"/>
              </w:rPr>
              <w:t>maintained in conditions to support desired floral and faunal communities.</w:t>
            </w:r>
          </w:p>
        </w:tc>
      </w:tr>
      <w:tr>
        <w:trPr>
          <w:trHeight w:val="808" w:hRule="atLeast"/>
        </w:trPr>
        <w:tc>
          <w:tcPr>
            <w:tcW w:w="1368" w:type="dxa"/>
            <w:vMerge w:val="restart"/>
          </w:tcPr>
          <w:p>
            <w:pPr>
              <w:pStyle w:val="TableParagraph"/>
              <w:spacing w:line="267" w:lineRule="exact" w:before="0"/>
              <w:ind w:left="107"/>
              <w:rPr>
                <w:rFonts w:ascii="Calibri"/>
                <w:b/>
                <w:sz w:val="22"/>
              </w:rPr>
            </w:pPr>
            <w:r>
              <w:rPr>
                <w:rFonts w:ascii="Calibri"/>
                <w:b/>
                <w:spacing w:val="-2"/>
                <w:sz w:val="22"/>
              </w:rPr>
              <w:t>Hydrologic</w:t>
            </w:r>
          </w:p>
        </w:tc>
        <w:tc>
          <w:tcPr>
            <w:tcW w:w="1800" w:type="dxa"/>
          </w:tcPr>
          <w:p>
            <w:pPr>
              <w:pStyle w:val="TableParagraph"/>
              <w:spacing w:line="267" w:lineRule="exact" w:before="0"/>
              <w:ind w:left="107"/>
              <w:rPr>
                <w:rFonts w:ascii="Calibri"/>
                <w:sz w:val="22"/>
              </w:rPr>
            </w:pPr>
            <w:r>
              <w:rPr>
                <w:rFonts w:ascii="Calibri"/>
                <w:spacing w:val="-2"/>
                <w:sz w:val="22"/>
              </w:rPr>
              <w:t>Infiltration</w:t>
            </w:r>
          </w:p>
        </w:tc>
        <w:tc>
          <w:tcPr>
            <w:tcW w:w="1531" w:type="dxa"/>
          </w:tcPr>
          <w:p>
            <w:pPr>
              <w:pStyle w:val="TableParagraph"/>
              <w:spacing w:line="232" w:lineRule="auto" w:before="5"/>
              <w:ind w:left="107"/>
              <w:rPr>
                <w:rFonts w:ascii="Calibri"/>
                <w:sz w:val="22"/>
              </w:rPr>
            </w:pPr>
            <w:r>
              <w:rPr>
                <w:rFonts w:ascii="Calibri"/>
                <w:spacing w:val="-2"/>
                <w:sz w:val="22"/>
              </w:rPr>
              <w:t>Surface Structure</w:t>
            </w:r>
          </w:p>
        </w:tc>
        <w:tc>
          <w:tcPr>
            <w:tcW w:w="4229" w:type="dxa"/>
          </w:tcPr>
          <w:p>
            <w:pPr>
              <w:pStyle w:val="TableParagraph"/>
              <w:spacing w:line="232" w:lineRule="auto" w:before="5"/>
              <w:ind w:left="107"/>
              <w:rPr>
                <w:rFonts w:ascii="Calibri"/>
                <w:sz w:val="22"/>
              </w:rPr>
            </w:pPr>
            <w:r>
              <w:rPr>
                <w:rFonts w:ascii="Calibri"/>
                <w:sz w:val="22"/>
              </w:rPr>
              <w:t>Surface</w:t>
            </w:r>
            <w:r>
              <w:rPr>
                <w:rFonts w:ascii="Calibri"/>
                <w:spacing w:val="-7"/>
                <w:sz w:val="22"/>
              </w:rPr>
              <w:t> </w:t>
            </w:r>
            <w:r>
              <w:rPr>
                <w:rFonts w:ascii="Calibri"/>
                <w:sz w:val="22"/>
              </w:rPr>
              <w:t>structure</w:t>
            </w:r>
            <w:r>
              <w:rPr>
                <w:rFonts w:ascii="Calibri"/>
                <w:spacing w:val="-7"/>
                <w:sz w:val="22"/>
              </w:rPr>
              <w:t> </w:t>
            </w:r>
            <w:r>
              <w:rPr>
                <w:rFonts w:ascii="Calibri"/>
                <w:sz w:val="22"/>
              </w:rPr>
              <w:t>is</w:t>
            </w:r>
            <w:r>
              <w:rPr>
                <w:rFonts w:ascii="Calibri"/>
                <w:spacing w:val="-10"/>
                <w:sz w:val="22"/>
              </w:rPr>
              <w:t> </w:t>
            </w:r>
            <w:r>
              <w:rPr>
                <w:rFonts w:ascii="Calibri"/>
                <w:sz w:val="22"/>
              </w:rPr>
              <w:t>as</w:t>
            </w:r>
            <w:r>
              <w:rPr>
                <w:rFonts w:ascii="Calibri"/>
                <w:spacing w:val="-10"/>
                <w:sz w:val="22"/>
              </w:rPr>
              <w:t> </w:t>
            </w:r>
            <w:r>
              <w:rPr>
                <w:rFonts w:ascii="Calibri"/>
                <w:sz w:val="22"/>
              </w:rPr>
              <w:t>expected</w:t>
            </w:r>
            <w:r>
              <w:rPr>
                <w:rFonts w:ascii="Calibri"/>
                <w:spacing w:val="-9"/>
                <w:sz w:val="22"/>
              </w:rPr>
              <w:t> </w:t>
            </w:r>
            <w:r>
              <w:rPr>
                <w:rFonts w:ascii="Calibri"/>
                <w:sz w:val="22"/>
              </w:rPr>
              <w:t>for</w:t>
            </w:r>
            <w:r>
              <w:rPr>
                <w:rFonts w:ascii="Calibri"/>
                <w:spacing w:val="-8"/>
                <w:sz w:val="22"/>
              </w:rPr>
              <w:t> </w:t>
            </w:r>
            <w:r>
              <w:rPr>
                <w:rFonts w:ascii="Calibri"/>
                <w:sz w:val="22"/>
              </w:rPr>
              <w:t>the</w:t>
            </w:r>
            <w:r>
              <w:rPr>
                <w:rFonts w:ascii="Calibri"/>
                <w:spacing w:val="-10"/>
                <w:sz w:val="22"/>
              </w:rPr>
              <w:t> </w:t>
            </w:r>
            <w:r>
              <w:rPr>
                <w:rFonts w:ascii="Calibri"/>
                <w:sz w:val="22"/>
              </w:rPr>
              <w:t>site (e.g., granular, subangular blocky, single </w:t>
            </w:r>
            <w:r>
              <w:rPr>
                <w:rFonts w:ascii="Calibri"/>
                <w:spacing w:val="-2"/>
                <w:sz w:val="22"/>
              </w:rPr>
              <w:t>grain).</w:t>
            </w:r>
          </w:p>
        </w:tc>
      </w:tr>
      <w:tr>
        <w:trPr>
          <w:trHeight w:val="779" w:hRule="atLeast"/>
        </w:trPr>
        <w:tc>
          <w:tcPr>
            <w:tcW w:w="1368" w:type="dxa"/>
            <w:vMerge/>
            <w:tcBorders>
              <w:top w:val="nil"/>
            </w:tcBorders>
          </w:tcPr>
          <w:p>
            <w:pPr>
              <w:rPr>
                <w:sz w:val="2"/>
                <w:szCs w:val="2"/>
              </w:rPr>
            </w:pPr>
          </w:p>
        </w:tc>
        <w:tc>
          <w:tcPr>
            <w:tcW w:w="1800" w:type="dxa"/>
            <w:vMerge w:val="restart"/>
          </w:tcPr>
          <w:p>
            <w:pPr>
              <w:pStyle w:val="TableParagraph"/>
              <w:spacing w:line="232" w:lineRule="auto" w:before="5"/>
              <w:ind w:left="107" w:right="286"/>
              <w:rPr>
                <w:rFonts w:ascii="Calibri"/>
                <w:sz w:val="22"/>
              </w:rPr>
            </w:pPr>
            <w:r>
              <w:rPr>
                <w:rFonts w:ascii="Calibri"/>
                <w:spacing w:val="-2"/>
                <w:sz w:val="22"/>
              </w:rPr>
              <w:t>Water </w:t>
            </w:r>
            <w:r>
              <w:rPr>
                <w:rFonts w:ascii="Calibri"/>
                <w:sz w:val="22"/>
              </w:rPr>
              <w:t>Absorption</w:t>
            </w:r>
            <w:r>
              <w:rPr>
                <w:rFonts w:ascii="Calibri"/>
                <w:spacing w:val="-13"/>
                <w:sz w:val="22"/>
              </w:rPr>
              <w:t> </w:t>
            </w:r>
            <w:r>
              <w:rPr>
                <w:rFonts w:ascii="Calibri"/>
                <w:sz w:val="22"/>
              </w:rPr>
              <w:t>and </w:t>
            </w:r>
            <w:r>
              <w:rPr>
                <w:rFonts w:ascii="Calibri"/>
                <w:spacing w:val="-2"/>
                <w:sz w:val="22"/>
              </w:rPr>
              <w:t>Storage</w:t>
            </w:r>
          </w:p>
        </w:tc>
        <w:tc>
          <w:tcPr>
            <w:tcW w:w="1531" w:type="dxa"/>
          </w:tcPr>
          <w:p>
            <w:pPr>
              <w:pStyle w:val="TableParagraph"/>
              <w:spacing w:line="232" w:lineRule="auto" w:before="5"/>
              <w:ind w:left="107" w:right="588"/>
              <w:rPr>
                <w:rFonts w:ascii="Calibri"/>
                <w:sz w:val="22"/>
              </w:rPr>
            </w:pPr>
            <w:r>
              <w:rPr>
                <w:rFonts w:ascii="Calibri"/>
                <w:spacing w:val="-2"/>
                <w:sz w:val="22"/>
              </w:rPr>
              <w:t>Available Water</w:t>
            </w:r>
          </w:p>
        </w:tc>
        <w:tc>
          <w:tcPr>
            <w:tcW w:w="4229" w:type="dxa"/>
          </w:tcPr>
          <w:p>
            <w:pPr>
              <w:pStyle w:val="TableParagraph"/>
              <w:spacing w:line="232" w:lineRule="auto" w:before="5"/>
              <w:ind w:left="107"/>
              <w:rPr>
                <w:rFonts w:ascii="Calibri"/>
                <w:sz w:val="22"/>
              </w:rPr>
            </w:pPr>
            <w:r>
              <w:rPr>
                <w:rFonts w:ascii="Calibri"/>
                <w:sz w:val="22"/>
              </w:rPr>
              <w:t>Site</w:t>
            </w:r>
            <w:r>
              <w:rPr>
                <w:rFonts w:ascii="Calibri"/>
                <w:spacing w:val="-5"/>
                <w:sz w:val="22"/>
              </w:rPr>
              <w:t> </w:t>
            </w:r>
            <w:r>
              <w:rPr>
                <w:rFonts w:ascii="Calibri"/>
                <w:sz w:val="22"/>
              </w:rPr>
              <w:t>water</w:t>
            </w:r>
            <w:r>
              <w:rPr>
                <w:rFonts w:ascii="Calibri"/>
                <w:spacing w:val="-6"/>
                <w:sz w:val="22"/>
              </w:rPr>
              <w:t> </w:t>
            </w:r>
            <w:r>
              <w:rPr>
                <w:rFonts w:ascii="Calibri"/>
                <w:sz w:val="22"/>
              </w:rPr>
              <w:t>is</w:t>
            </w:r>
            <w:r>
              <w:rPr>
                <w:rFonts w:ascii="Calibri"/>
                <w:spacing w:val="-8"/>
                <w:sz w:val="22"/>
              </w:rPr>
              <w:t> </w:t>
            </w:r>
            <w:r>
              <w:rPr>
                <w:rFonts w:ascii="Calibri"/>
                <w:sz w:val="22"/>
              </w:rPr>
              <w:t>as</w:t>
            </w:r>
            <w:r>
              <w:rPr>
                <w:rFonts w:ascii="Calibri"/>
                <w:spacing w:val="-8"/>
                <w:sz w:val="22"/>
              </w:rPr>
              <w:t> </w:t>
            </w:r>
            <w:r>
              <w:rPr>
                <w:rFonts w:ascii="Calibri"/>
                <w:sz w:val="22"/>
              </w:rPr>
              <w:t>expected</w:t>
            </w:r>
            <w:r>
              <w:rPr>
                <w:rFonts w:ascii="Calibri"/>
                <w:spacing w:val="-7"/>
                <w:sz w:val="22"/>
              </w:rPr>
              <w:t> </w:t>
            </w:r>
            <w:r>
              <w:rPr>
                <w:rFonts w:ascii="Calibri"/>
                <w:sz w:val="22"/>
              </w:rPr>
              <w:t>for</w:t>
            </w:r>
            <w:r>
              <w:rPr>
                <w:rFonts w:ascii="Calibri"/>
                <w:spacing w:val="-6"/>
                <w:sz w:val="22"/>
              </w:rPr>
              <w:t> </w:t>
            </w:r>
            <w:r>
              <w:rPr>
                <w:rFonts w:ascii="Calibri"/>
                <w:sz w:val="22"/>
              </w:rPr>
              <w:t>the</w:t>
            </w:r>
            <w:r>
              <w:rPr>
                <w:rFonts w:ascii="Calibri"/>
                <w:spacing w:val="-5"/>
                <w:sz w:val="22"/>
              </w:rPr>
              <w:t> </w:t>
            </w:r>
            <w:r>
              <w:rPr>
                <w:rFonts w:ascii="Calibri"/>
                <w:sz w:val="22"/>
              </w:rPr>
              <w:t>soil</w:t>
            </w:r>
            <w:r>
              <w:rPr>
                <w:rFonts w:ascii="Calibri"/>
                <w:spacing w:val="-6"/>
                <w:sz w:val="22"/>
              </w:rPr>
              <w:t> </w:t>
            </w:r>
            <w:r>
              <w:rPr>
                <w:rFonts w:ascii="Calibri"/>
                <w:sz w:val="22"/>
              </w:rPr>
              <w:t>type</w:t>
            </w:r>
            <w:r>
              <w:rPr>
                <w:rFonts w:ascii="Calibri"/>
                <w:spacing w:val="-8"/>
                <w:sz w:val="22"/>
              </w:rPr>
              <w:t> </w:t>
            </w:r>
            <w:r>
              <w:rPr>
                <w:rFonts w:ascii="Calibri"/>
                <w:sz w:val="22"/>
              </w:rPr>
              <w:t>or has been improved.</w:t>
            </w:r>
          </w:p>
        </w:tc>
      </w:tr>
      <w:tr>
        <w:trPr>
          <w:trHeight w:val="520" w:hRule="atLeast"/>
        </w:trPr>
        <w:tc>
          <w:tcPr>
            <w:tcW w:w="1368" w:type="dxa"/>
            <w:vMerge/>
            <w:tcBorders>
              <w:top w:val="nil"/>
            </w:tcBorders>
          </w:tcPr>
          <w:p>
            <w:pPr>
              <w:rPr>
                <w:sz w:val="2"/>
                <w:szCs w:val="2"/>
              </w:rPr>
            </w:pPr>
          </w:p>
        </w:tc>
        <w:tc>
          <w:tcPr>
            <w:tcW w:w="1800" w:type="dxa"/>
            <w:vMerge/>
            <w:tcBorders>
              <w:top w:val="nil"/>
            </w:tcBorders>
          </w:tcPr>
          <w:p>
            <w:pPr>
              <w:rPr>
                <w:sz w:val="2"/>
                <w:szCs w:val="2"/>
              </w:rPr>
            </w:pPr>
          </w:p>
        </w:tc>
        <w:tc>
          <w:tcPr>
            <w:tcW w:w="1531" w:type="dxa"/>
          </w:tcPr>
          <w:p>
            <w:pPr>
              <w:pStyle w:val="TableParagraph"/>
              <w:spacing w:line="264" w:lineRule="exact" w:before="0"/>
              <w:ind w:left="107"/>
              <w:rPr>
                <w:rFonts w:ascii="Calibri"/>
                <w:sz w:val="22"/>
              </w:rPr>
            </w:pPr>
            <w:r>
              <w:rPr>
                <w:rFonts w:ascii="Calibri"/>
                <w:spacing w:val="-2"/>
                <w:sz w:val="22"/>
              </w:rPr>
              <w:t>Volcanic</w:t>
            </w:r>
            <w:r>
              <w:rPr>
                <w:rFonts w:ascii="Calibri"/>
                <w:spacing w:val="-3"/>
                <w:sz w:val="22"/>
              </w:rPr>
              <w:t> </w:t>
            </w:r>
            <w:r>
              <w:rPr>
                <w:rFonts w:ascii="Calibri"/>
                <w:spacing w:val="-5"/>
                <w:sz w:val="22"/>
              </w:rPr>
              <w:t>Ash</w:t>
            </w:r>
          </w:p>
          <w:p>
            <w:pPr>
              <w:pStyle w:val="TableParagraph"/>
              <w:spacing w:line="236" w:lineRule="exact" w:before="0"/>
              <w:ind w:left="107"/>
              <w:rPr>
                <w:rFonts w:ascii="Calibri"/>
                <w:sz w:val="22"/>
              </w:rPr>
            </w:pPr>
            <w:r>
              <w:rPr>
                <w:rFonts w:ascii="Calibri"/>
                <w:spacing w:val="-5"/>
                <w:sz w:val="22"/>
              </w:rPr>
              <w:t>Cap</w:t>
            </w:r>
          </w:p>
        </w:tc>
        <w:tc>
          <w:tcPr>
            <w:tcW w:w="4229" w:type="dxa"/>
          </w:tcPr>
          <w:p>
            <w:pPr>
              <w:pStyle w:val="TableParagraph"/>
              <w:spacing w:line="264" w:lineRule="exact" w:before="0"/>
              <w:ind w:left="107"/>
              <w:rPr>
                <w:rFonts w:ascii="Calibri"/>
                <w:sz w:val="22"/>
              </w:rPr>
            </w:pPr>
            <w:r>
              <w:rPr>
                <w:rFonts w:ascii="Calibri"/>
                <w:sz w:val="22"/>
              </w:rPr>
              <w:t>Soil</w:t>
            </w:r>
            <w:r>
              <w:rPr>
                <w:rFonts w:ascii="Calibri"/>
                <w:spacing w:val="-4"/>
                <w:sz w:val="22"/>
              </w:rPr>
              <w:t> </w:t>
            </w:r>
            <w:r>
              <w:rPr>
                <w:rFonts w:ascii="Calibri"/>
                <w:sz w:val="22"/>
              </w:rPr>
              <w:t>ash</w:t>
            </w:r>
            <w:r>
              <w:rPr>
                <w:rFonts w:ascii="Calibri"/>
                <w:spacing w:val="-4"/>
                <w:sz w:val="22"/>
              </w:rPr>
              <w:t> </w:t>
            </w:r>
            <w:r>
              <w:rPr>
                <w:rFonts w:ascii="Calibri"/>
                <w:sz w:val="22"/>
              </w:rPr>
              <w:t>cap</w:t>
            </w:r>
            <w:r>
              <w:rPr>
                <w:rFonts w:ascii="Calibri"/>
                <w:spacing w:val="-5"/>
                <w:sz w:val="22"/>
              </w:rPr>
              <w:t> </w:t>
            </w:r>
            <w:r>
              <w:rPr>
                <w:rFonts w:ascii="Calibri"/>
                <w:sz w:val="22"/>
              </w:rPr>
              <w:t>is</w:t>
            </w:r>
            <w:r>
              <w:rPr>
                <w:rFonts w:ascii="Calibri"/>
                <w:spacing w:val="-5"/>
                <w:sz w:val="22"/>
              </w:rPr>
              <w:t> </w:t>
            </w:r>
            <w:r>
              <w:rPr>
                <w:rFonts w:ascii="Calibri"/>
                <w:sz w:val="22"/>
              </w:rPr>
              <w:t>intact</w:t>
            </w:r>
            <w:r>
              <w:rPr>
                <w:rFonts w:ascii="Calibri"/>
                <w:spacing w:val="-5"/>
                <w:sz w:val="22"/>
              </w:rPr>
              <w:t> </w:t>
            </w:r>
            <w:r>
              <w:rPr>
                <w:rFonts w:ascii="Calibri"/>
                <w:sz w:val="22"/>
              </w:rPr>
              <w:t>and</w:t>
            </w:r>
            <w:r>
              <w:rPr>
                <w:rFonts w:ascii="Calibri"/>
                <w:spacing w:val="-5"/>
                <w:sz w:val="22"/>
              </w:rPr>
              <w:t> </w:t>
            </w:r>
            <w:r>
              <w:rPr>
                <w:rFonts w:ascii="Calibri"/>
                <w:sz w:val="22"/>
              </w:rPr>
              <w:t>as</w:t>
            </w:r>
            <w:r>
              <w:rPr>
                <w:rFonts w:ascii="Calibri"/>
                <w:spacing w:val="-5"/>
                <w:sz w:val="22"/>
              </w:rPr>
              <w:t> </w:t>
            </w:r>
            <w:r>
              <w:rPr>
                <w:rFonts w:ascii="Calibri"/>
                <w:sz w:val="22"/>
              </w:rPr>
              <w:t>expected</w:t>
            </w:r>
            <w:r>
              <w:rPr>
                <w:rFonts w:ascii="Calibri"/>
                <w:spacing w:val="-6"/>
                <w:sz w:val="22"/>
              </w:rPr>
              <w:t> </w:t>
            </w:r>
            <w:r>
              <w:rPr>
                <w:rFonts w:ascii="Calibri"/>
                <w:sz w:val="22"/>
              </w:rPr>
              <w:t>for</w:t>
            </w:r>
            <w:r>
              <w:rPr>
                <w:rFonts w:ascii="Calibri"/>
                <w:spacing w:val="-5"/>
                <w:sz w:val="22"/>
              </w:rPr>
              <w:t> the</w:t>
            </w:r>
          </w:p>
          <w:p>
            <w:pPr>
              <w:pStyle w:val="TableParagraph"/>
              <w:spacing w:line="236" w:lineRule="exact" w:before="0"/>
              <w:ind w:left="107"/>
              <w:rPr>
                <w:rFonts w:ascii="Calibri"/>
                <w:sz w:val="22"/>
              </w:rPr>
            </w:pPr>
            <w:r>
              <w:rPr>
                <w:rFonts w:ascii="Calibri"/>
                <w:spacing w:val="-2"/>
                <w:sz w:val="22"/>
              </w:rPr>
              <w:t>site.</w:t>
            </w:r>
          </w:p>
        </w:tc>
      </w:tr>
      <w:tr>
        <w:trPr>
          <w:trHeight w:val="779" w:hRule="atLeast"/>
        </w:trPr>
        <w:tc>
          <w:tcPr>
            <w:tcW w:w="1368" w:type="dxa"/>
            <w:vMerge/>
            <w:tcBorders>
              <w:top w:val="nil"/>
            </w:tcBorders>
          </w:tcPr>
          <w:p>
            <w:pPr>
              <w:rPr>
                <w:sz w:val="2"/>
                <w:szCs w:val="2"/>
              </w:rPr>
            </w:pPr>
          </w:p>
        </w:tc>
        <w:tc>
          <w:tcPr>
            <w:tcW w:w="1800" w:type="dxa"/>
          </w:tcPr>
          <w:p>
            <w:pPr>
              <w:pStyle w:val="TableParagraph"/>
              <w:spacing w:line="232" w:lineRule="auto" w:before="5"/>
              <w:ind w:left="107" w:right="505"/>
              <w:rPr>
                <w:rFonts w:ascii="Calibri"/>
                <w:sz w:val="22"/>
              </w:rPr>
            </w:pPr>
            <w:r>
              <w:rPr>
                <w:rFonts w:ascii="Calibri"/>
                <w:spacing w:val="-2"/>
                <w:sz w:val="22"/>
              </w:rPr>
              <w:t>Water Transmission</w:t>
            </w:r>
          </w:p>
        </w:tc>
        <w:tc>
          <w:tcPr>
            <w:tcW w:w="1531" w:type="dxa"/>
          </w:tcPr>
          <w:p>
            <w:pPr>
              <w:pStyle w:val="TableParagraph"/>
              <w:spacing w:line="232" w:lineRule="auto" w:before="5"/>
              <w:ind w:left="107" w:right="418"/>
              <w:rPr>
                <w:rFonts w:ascii="Calibri"/>
                <w:sz w:val="22"/>
              </w:rPr>
            </w:pPr>
            <w:r>
              <w:rPr>
                <w:rFonts w:ascii="Calibri"/>
                <w:spacing w:val="-2"/>
                <w:sz w:val="22"/>
              </w:rPr>
              <w:t>Subsurface </w:t>
            </w:r>
            <w:r>
              <w:rPr>
                <w:rFonts w:ascii="Calibri"/>
                <w:spacing w:val="-4"/>
                <w:sz w:val="22"/>
              </w:rPr>
              <w:t>Flow</w:t>
            </w:r>
          </w:p>
          <w:p>
            <w:pPr>
              <w:pStyle w:val="TableParagraph"/>
              <w:spacing w:line="233" w:lineRule="exact" w:before="0"/>
              <w:ind w:left="107"/>
              <w:rPr>
                <w:rFonts w:ascii="Calibri"/>
                <w:sz w:val="22"/>
              </w:rPr>
            </w:pPr>
            <w:r>
              <w:rPr>
                <w:rFonts w:ascii="Calibri"/>
                <w:spacing w:val="-2"/>
                <w:sz w:val="22"/>
              </w:rPr>
              <w:t>Connectivity</w:t>
            </w:r>
          </w:p>
        </w:tc>
        <w:tc>
          <w:tcPr>
            <w:tcW w:w="4229" w:type="dxa"/>
          </w:tcPr>
          <w:p>
            <w:pPr>
              <w:pStyle w:val="TableParagraph"/>
              <w:spacing w:line="232" w:lineRule="auto" w:before="5"/>
              <w:ind w:left="107"/>
              <w:rPr>
                <w:rFonts w:ascii="Calibri"/>
                <w:sz w:val="22"/>
              </w:rPr>
            </w:pPr>
            <w:r>
              <w:rPr>
                <w:rFonts w:ascii="Calibri"/>
                <w:sz w:val="22"/>
              </w:rPr>
              <w:t>Maintain</w:t>
            </w:r>
            <w:r>
              <w:rPr>
                <w:rFonts w:ascii="Calibri"/>
                <w:spacing w:val="-13"/>
                <w:sz w:val="22"/>
              </w:rPr>
              <w:t> </w:t>
            </w:r>
            <w:r>
              <w:rPr>
                <w:rFonts w:ascii="Calibri"/>
                <w:sz w:val="22"/>
              </w:rPr>
              <w:t>subsurface</w:t>
            </w:r>
            <w:r>
              <w:rPr>
                <w:rFonts w:ascii="Calibri"/>
                <w:spacing w:val="-11"/>
                <w:sz w:val="22"/>
              </w:rPr>
              <w:t> </w:t>
            </w:r>
            <w:r>
              <w:rPr>
                <w:rFonts w:ascii="Calibri"/>
                <w:sz w:val="22"/>
              </w:rPr>
              <w:t>flow</w:t>
            </w:r>
            <w:r>
              <w:rPr>
                <w:rFonts w:ascii="Calibri"/>
                <w:spacing w:val="-13"/>
                <w:sz w:val="22"/>
              </w:rPr>
              <w:t> </w:t>
            </w:r>
            <w:r>
              <w:rPr>
                <w:rFonts w:ascii="Calibri"/>
                <w:sz w:val="22"/>
              </w:rPr>
              <w:t>connectivity</w:t>
            </w:r>
            <w:r>
              <w:rPr>
                <w:rFonts w:ascii="Calibri"/>
                <w:spacing w:val="-11"/>
                <w:sz w:val="22"/>
              </w:rPr>
              <w:t> </w:t>
            </w:r>
            <w:r>
              <w:rPr>
                <w:rFonts w:ascii="Calibri"/>
                <w:sz w:val="22"/>
              </w:rPr>
              <w:t>(i.e., subsurface flow is not obstructed or</w:t>
            </w:r>
          </w:p>
          <w:p>
            <w:pPr>
              <w:pStyle w:val="TableParagraph"/>
              <w:spacing w:line="233" w:lineRule="exact" w:before="0"/>
              <w:ind w:left="107"/>
              <w:rPr>
                <w:rFonts w:ascii="Calibri"/>
                <w:sz w:val="22"/>
              </w:rPr>
            </w:pPr>
            <w:r>
              <w:rPr>
                <w:rFonts w:ascii="Calibri"/>
                <w:spacing w:val="-2"/>
                <w:sz w:val="22"/>
              </w:rPr>
              <w:t>intercepted).</w:t>
            </w:r>
          </w:p>
        </w:tc>
      </w:tr>
      <w:tr>
        <w:trPr>
          <w:trHeight w:val="2600" w:hRule="atLeast"/>
        </w:trPr>
        <w:tc>
          <w:tcPr>
            <w:tcW w:w="1368" w:type="dxa"/>
            <w:vMerge w:val="restart"/>
          </w:tcPr>
          <w:p>
            <w:pPr>
              <w:pStyle w:val="TableParagraph"/>
              <w:spacing w:line="232" w:lineRule="auto" w:before="7"/>
              <w:ind w:left="107" w:right="460"/>
              <w:rPr>
                <w:rFonts w:ascii="Calibri"/>
                <w:b/>
                <w:sz w:val="22"/>
              </w:rPr>
            </w:pPr>
            <w:r>
              <w:rPr>
                <w:rFonts w:ascii="Calibri"/>
                <w:b/>
                <w:spacing w:val="-2"/>
                <w:sz w:val="22"/>
              </w:rPr>
              <w:t>Nutrient Cycling</w:t>
            </w:r>
          </w:p>
        </w:tc>
        <w:tc>
          <w:tcPr>
            <w:tcW w:w="1800" w:type="dxa"/>
            <w:vMerge w:val="restart"/>
          </w:tcPr>
          <w:p>
            <w:pPr>
              <w:pStyle w:val="TableParagraph"/>
              <w:spacing w:line="232" w:lineRule="auto" w:before="7"/>
              <w:ind w:left="107"/>
              <w:rPr>
                <w:rFonts w:ascii="Calibri"/>
                <w:sz w:val="22"/>
              </w:rPr>
            </w:pPr>
            <w:r>
              <w:rPr>
                <w:rFonts w:ascii="Calibri"/>
                <w:spacing w:val="-2"/>
                <w:sz w:val="22"/>
              </w:rPr>
              <w:t>Organic</w:t>
            </w:r>
            <w:r>
              <w:rPr>
                <w:rFonts w:ascii="Calibri"/>
                <w:spacing w:val="-11"/>
                <w:sz w:val="22"/>
              </w:rPr>
              <w:t> </w:t>
            </w:r>
            <w:r>
              <w:rPr>
                <w:rFonts w:ascii="Calibri"/>
                <w:spacing w:val="-2"/>
                <w:sz w:val="22"/>
              </w:rPr>
              <w:t>Matter Composition</w:t>
            </w:r>
          </w:p>
        </w:tc>
        <w:tc>
          <w:tcPr>
            <w:tcW w:w="1531" w:type="dxa"/>
          </w:tcPr>
          <w:p>
            <w:pPr>
              <w:pStyle w:val="TableParagraph"/>
              <w:spacing w:line="232" w:lineRule="auto" w:before="7"/>
              <w:ind w:left="107" w:right="717"/>
              <w:jc w:val="both"/>
              <w:rPr>
                <w:rFonts w:ascii="Calibri"/>
                <w:sz w:val="22"/>
              </w:rPr>
            </w:pPr>
            <w:r>
              <w:rPr>
                <w:rFonts w:ascii="Calibri"/>
                <w:spacing w:val="-2"/>
                <w:sz w:val="22"/>
              </w:rPr>
              <w:t>Surface Organic Matter</w:t>
            </w:r>
          </w:p>
        </w:tc>
        <w:tc>
          <w:tcPr>
            <w:tcW w:w="4229" w:type="dxa"/>
          </w:tcPr>
          <w:p>
            <w:pPr>
              <w:pStyle w:val="TableParagraph"/>
              <w:spacing w:line="232" w:lineRule="auto" w:before="7"/>
              <w:ind w:left="107" w:right="122"/>
              <w:rPr>
                <w:rFonts w:ascii="Calibri"/>
                <w:sz w:val="22"/>
              </w:rPr>
            </w:pPr>
            <w:r>
              <w:rPr>
                <w:rFonts w:ascii="Calibri"/>
                <w:sz w:val="22"/>
              </w:rPr>
              <w:t>The amount of organic material on top of the mineral soil is maintained at levels to sustain soil microorganisms and provide for nutrient cycling. The size, amount, and distribution</w:t>
            </w:r>
            <w:r>
              <w:rPr>
                <w:rFonts w:ascii="Calibri"/>
                <w:spacing w:val="-12"/>
                <w:sz w:val="22"/>
              </w:rPr>
              <w:t> </w:t>
            </w:r>
            <w:r>
              <w:rPr>
                <w:rFonts w:ascii="Calibri"/>
                <w:sz w:val="22"/>
              </w:rPr>
              <w:t>of</w:t>
            </w:r>
            <w:r>
              <w:rPr>
                <w:rFonts w:ascii="Calibri"/>
                <w:spacing w:val="-12"/>
                <w:sz w:val="22"/>
              </w:rPr>
              <w:t> </w:t>
            </w:r>
            <w:r>
              <w:rPr>
                <w:rFonts w:ascii="Calibri"/>
                <w:sz w:val="22"/>
              </w:rPr>
              <w:t>organic</w:t>
            </w:r>
            <w:r>
              <w:rPr>
                <w:rFonts w:ascii="Calibri"/>
                <w:spacing w:val="-12"/>
                <w:sz w:val="22"/>
              </w:rPr>
              <w:t> </w:t>
            </w:r>
            <w:r>
              <w:rPr>
                <w:rFonts w:ascii="Calibri"/>
                <w:sz w:val="22"/>
              </w:rPr>
              <w:t>matter</w:t>
            </w:r>
            <w:r>
              <w:rPr>
                <w:rFonts w:ascii="Calibri"/>
                <w:spacing w:val="-10"/>
                <w:sz w:val="22"/>
              </w:rPr>
              <w:t> </w:t>
            </w:r>
            <w:r>
              <w:rPr>
                <w:rFonts w:ascii="Calibri"/>
                <w:sz w:val="22"/>
              </w:rPr>
              <w:t>maintained</w:t>
            </w:r>
            <w:r>
              <w:rPr>
                <w:rFonts w:ascii="Calibri"/>
                <w:spacing w:val="-12"/>
                <w:sz w:val="22"/>
              </w:rPr>
              <w:t> </w:t>
            </w:r>
            <w:r>
              <w:rPr>
                <w:rFonts w:ascii="Calibri"/>
                <w:sz w:val="22"/>
              </w:rPr>
              <w:t>on the mineral soil on a long term basis is consistent with the amounts that occur given the local ecological type, climate, and normal wildland fire return interval for the</w:t>
            </w:r>
          </w:p>
          <w:p>
            <w:pPr>
              <w:pStyle w:val="TableParagraph"/>
              <w:spacing w:line="229" w:lineRule="exact" w:before="0"/>
              <w:ind w:left="107"/>
              <w:rPr>
                <w:rFonts w:ascii="Calibri"/>
                <w:sz w:val="22"/>
              </w:rPr>
            </w:pPr>
            <w:r>
              <w:rPr>
                <w:rFonts w:ascii="Calibri"/>
                <w:spacing w:val="-2"/>
                <w:sz w:val="22"/>
              </w:rPr>
              <w:t>area.</w:t>
            </w:r>
          </w:p>
        </w:tc>
      </w:tr>
      <w:tr>
        <w:trPr>
          <w:trHeight w:val="963" w:hRule="atLeast"/>
        </w:trPr>
        <w:tc>
          <w:tcPr>
            <w:tcW w:w="1368" w:type="dxa"/>
            <w:vMerge/>
            <w:tcBorders>
              <w:top w:val="nil"/>
            </w:tcBorders>
          </w:tcPr>
          <w:p>
            <w:pPr>
              <w:rPr>
                <w:sz w:val="2"/>
                <w:szCs w:val="2"/>
              </w:rPr>
            </w:pPr>
          </w:p>
        </w:tc>
        <w:tc>
          <w:tcPr>
            <w:tcW w:w="1800" w:type="dxa"/>
            <w:vMerge/>
            <w:tcBorders>
              <w:top w:val="nil"/>
            </w:tcBorders>
          </w:tcPr>
          <w:p>
            <w:pPr>
              <w:rPr>
                <w:sz w:val="2"/>
                <w:szCs w:val="2"/>
              </w:rPr>
            </w:pPr>
          </w:p>
        </w:tc>
        <w:tc>
          <w:tcPr>
            <w:tcW w:w="1531" w:type="dxa"/>
          </w:tcPr>
          <w:p>
            <w:pPr>
              <w:pStyle w:val="TableParagraph"/>
              <w:spacing w:line="232" w:lineRule="auto" w:before="5"/>
              <w:ind w:left="107"/>
              <w:rPr>
                <w:rFonts w:ascii="Calibri"/>
                <w:sz w:val="22"/>
              </w:rPr>
            </w:pPr>
            <w:r>
              <w:rPr>
                <w:rFonts w:ascii="Calibri"/>
                <w:spacing w:val="-2"/>
                <w:sz w:val="22"/>
              </w:rPr>
              <w:t>Fine</w:t>
            </w:r>
            <w:r>
              <w:rPr>
                <w:rFonts w:ascii="Calibri"/>
                <w:spacing w:val="-11"/>
                <w:sz w:val="22"/>
              </w:rPr>
              <w:t> </w:t>
            </w:r>
            <w:r>
              <w:rPr>
                <w:rFonts w:ascii="Calibri"/>
                <w:spacing w:val="-2"/>
                <w:sz w:val="22"/>
              </w:rPr>
              <w:t>Woody Material</w:t>
            </w:r>
          </w:p>
        </w:tc>
        <w:tc>
          <w:tcPr>
            <w:tcW w:w="4229" w:type="dxa"/>
          </w:tcPr>
          <w:p>
            <w:pPr>
              <w:pStyle w:val="TableParagraph"/>
              <w:spacing w:line="232" w:lineRule="auto" w:before="5"/>
              <w:ind w:left="107"/>
              <w:rPr>
                <w:rFonts w:ascii="Calibri"/>
                <w:sz w:val="22"/>
              </w:rPr>
            </w:pPr>
            <w:r>
              <w:rPr>
                <w:rFonts w:ascii="Calibri"/>
                <w:sz w:val="22"/>
              </w:rPr>
              <w:t>Fine woody material is on site in various stages</w:t>
            </w:r>
            <w:r>
              <w:rPr>
                <w:rFonts w:ascii="Calibri"/>
                <w:spacing w:val="-12"/>
                <w:sz w:val="22"/>
              </w:rPr>
              <w:t> </w:t>
            </w:r>
            <w:r>
              <w:rPr>
                <w:rFonts w:ascii="Calibri"/>
                <w:sz w:val="22"/>
              </w:rPr>
              <w:t>of</w:t>
            </w:r>
            <w:r>
              <w:rPr>
                <w:rFonts w:ascii="Calibri"/>
                <w:spacing w:val="-11"/>
                <w:sz w:val="22"/>
              </w:rPr>
              <w:t> </w:t>
            </w:r>
            <w:r>
              <w:rPr>
                <w:rFonts w:ascii="Calibri"/>
                <w:sz w:val="22"/>
              </w:rPr>
              <w:t>decay</w:t>
            </w:r>
            <w:r>
              <w:rPr>
                <w:rFonts w:ascii="Calibri"/>
                <w:spacing w:val="-10"/>
                <w:sz w:val="22"/>
              </w:rPr>
              <w:t> </w:t>
            </w:r>
            <w:r>
              <w:rPr>
                <w:rFonts w:ascii="Calibri"/>
                <w:sz w:val="22"/>
              </w:rPr>
              <w:t>in</w:t>
            </w:r>
            <w:r>
              <w:rPr>
                <w:rFonts w:ascii="Calibri"/>
                <w:spacing w:val="-11"/>
                <w:sz w:val="22"/>
              </w:rPr>
              <w:t> </w:t>
            </w:r>
            <w:r>
              <w:rPr>
                <w:rFonts w:ascii="Calibri"/>
                <w:sz w:val="22"/>
              </w:rPr>
              <w:t>amounts</w:t>
            </w:r>
            <w:r>
              <w:rPr>
                <w:rFonts w:ascii="Calibri"/>
                <w:spacing w:val="-12"/>
                <w:sz w:val="22"/>
              </w:rPr>
              <w:t> </w:t>
            </w:r>
            <w:r>
              <w:rPr>
                <w:rFonts w:ascii="Calibri"/>
                <w:sz w:val="22"/>
              </w:rPr>
              <w:t>appropriate</w:t>
            </w:r>
            <w:r>
              <w:rPr>
                <w:rFonts w:ascii="Calibri"/>
                <w:spacing w:val="-10"/>
                <w:sz w:val="22"/>
              </w:rPr>
              <w:t> </w:t>
            </w:r>
            <w:r>
              <w:rPr>
                <w:rFonts w:ascii="Calibri"/>
                <w:sz w:val="22"/>
              </w:rPr>
              <w:t>for plant association group.</w:t>
            </w:r>
          </w:p>
        </w:tc>
      </w:tr>
    </w:tbl>
    <w:p>
      <w:pPr>
        <w:pStyle w:val="TableParagraph"/>
        <w:spacing w:after="0" w:line="232" w:lineRule="auto"/>
        <w:rPr>
          <w:rFonts w:ascii="Calibri"/>
          <w:sz w:val="22"/>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368"/>
        <w:gridCol w:w="1800"/>
        <w:gridCol w:w="1531"/>
        <w:gridCol w:w="4229"/>
      </w:tblGrid>
      <w:tr>
        <w:trPr>
          <w:trHeight w:val="520" w:hRule="atLeast"/>
        </w:trPr>
        <w:tc>
          <w:tcPr>
            <w:tcW w:w="1368" w:type="dxa"/>
            <w:shd w:val="clear" w:color="auto" w:fill="D5E2BB"/>
          </w:tcPr>
          <w:p>
            <w:pPr>
              <w:pStyle w:val="TableParagraph"/>
              <w:spacing w:line="267" w:lineRule="exact" w:before="0"/>
              <w:ind w:left="107"/>
              <w:rPr>
                <w:rFonts w:ascii="Calibri"/>
                <w:b/>
                <w:sz w:val="22"/>
              </w:rPr>
            </w:pPr>
            <w:r>
              <w:rPr>
                <w:rFonts w:ascii="Calibri"/>
                <w:b/>
                <w:sz w:val="22"/>
              </w:rPr>
              <w:t>Soil</w:t>
            </w:r>
            <w:r>
              <w:rPr>
                <w:rFonts w:ascii="Calibri"/>
                <w:b/>
                <w:spacing w:val="-3"/>
                <w:sz w:val="22"/>
              </w:rPr>
              <w:t> </w:t>
            </w:r>
            <w:r>
              <w:rPr>
                <w:rFonts w:ascii="Calibri"/>
                <w:b/>
                <w:spacing w:val="-2"/>
                <w:sz w:val="22"/>
              </w:rPr>
              <w:t>function</w:t>
            </w:r>
          </w:p>
        </w:tc>
        <w:tc>
          <w:tcPr>
            <w:tcW w:w="1800" w:type="dxa"/>
            <w:shd w:val="clear" w:color="auto" w:fill="D5E2BB"/>
          </w:tcPr>
          <w:p>
            <w:pPr>
              <w:pStyle w:val="TableParagraph"/>
              <w:spacing w:line="264" w:lineRule="exact" w:before="0"/>
              <w:ind w:left="107"/>
              <w:rPr>
                <w:rFonts w:ascii="Calibri"/>
                <w:b/>
                <w:sz w:val="22"/>
              </w:rPr>
            </w:pPr>
            <w:r>
              <w:rPr>
                <w:rFonts w:ascii="Calibri"/>
                <w:b/>
                <w:spacing w:val="-2"/>
                <w:sz w:val="22"/>
              </w:rPr>
              <w:t>Selected</w:t>
            </w:r>
          </w:p>
          <w:p>
            <w:pPr>
              <w:pStyle w:val="TableParagraph"/>
              <w:spacing w:line="236" w:lineRule="exact" w:before="0"/>
              <w:ind w:left="107"/>
              <w:rPr>
                <w:rFonts w:ascii="Calibri"/>
                <w:b/>
                <w:sz w:val="22"/>
              </w:rPr>
            </w:pPr>
            <w:r>
              <w:rPr>
                <w:rFonts w:ascii="Calibri"/>
                <w:b/>
                <w:spacing w:val="-2"/>
                <w:sz w:val="22"/>
              </w:rPr>
              <w:t>attributes</w:t>
            </w:r>
          </w:p>
        </w:tc>
        <w:tc>
          <w:tcPr>
            <w:tcW w:w="1531" w:type="dxa"/>
            <w:shd w:val="clear" w:color="auto" w:fill="D5E2BB"/>
          </w:tcPr>
          <w:p>
            <w:pPr>
              <w:pStyle w:val="TableParagraph"/>
              <w:spacing w:line="264" w:lineRule="exact" w:before="0"/>
              <w:ind w:left="107"/>
              <w:rPr>
                <w:rFonts w:ascii="Calibri"/>
                <w:b/>
                <w:sz w:val="22"/>
              </w:rPr>
            </w:pPr>
            <w:r>
              <w:rPr>
                <w:rFonts w:ascii="Calibri"/>
                <w:b/>
                <w:sz w:val="22"/>
              </w:rPr>
              <w:t>Soil</w:t>
            </w:r>
            <w:r>
              <w:rPr>
                <w:rFonts w:ascii="Calibri"/>
                <w:b/>
                <w:spacing w:val="-5"/>
                <w:sz w:val="22"/>
              </w:rPr>
              <w:t> </w:t>
            </w:r>
            <w:r>
              <w:rPr>
                <w:rFonts w:ascii="Calibri"/>
                <w:b/>
                <w:spacing w:val="-2"/>
                <w:sz w:val="22"/>
              </w:rPr>
              <w:t>quality</w:t>
            </w:r>
          </w:p>
          <w:p>
            <w:pPr>
              <w:pStyle w:val="TableParagraph"/>
              <w:spacing w:line="236" w:lineRule="exact" w:before="0"/>
              <w:ind w:left="107"/>
              <w:rPr>
                <w:rFonts w:ascii="Calibri"/>
                <w:b/>
                <w:sz w:val="22"/>
              </w:rPr>
            </w:pPr>
            <w:r>
              <w:rPr>
                <w:rFonts w:ascii="Calibri"/>
                <w:b/>
                <w:spacing w:val="-2"/>
                <w:sz w:val="22"/>
              </w:rPr>
              <w:t>indicator</w:t>
            </w:r>
          </w:p>
        </w:tc>
        <w:tc>
          <w:tcPr>
            <w:tcW w:w="4229" w:type="dxa"/>
            <w:shd w:val="clear" w:color="auto" w:fill="D5E2BB"/>
          </w:tcPr>
          <w:p>
            <w:pPr>
              <w:pStyle w:val="TableParagraph"/>
              <w:spacing w:line="267" w:lineRule="exact" w:before="0"/>
              <w:ind w:left="107"/>
              <w:rPr>
                <w:rFonts w:ascii="Calibri"/>
                <w:b/>
                <w:sz w:val="22"/>
              </w:rPr>
            </w:pPr>
            <w:r>
              <w:rPr>
                <w:rFonts w:ascii="Calibri"/>
                <w:b/>
                <w:sz w:val="22"/>
              </w:rPr>
              <w:t>Desired</w:t>
            </w:r>
            <w:r>
              <w:rPr>
                <w:rFonts w:ascii="Calibri"/>
                <w:b/>
                <w:spacing w:val="-7"/>
                <w:sz w:val="22"/>
              </w:rPr>
              <w:t> </w:t>
            </w:r>
            <w:r>
              <w:rPr>
                <w:rFonts w:ascii="Calibri"/>
                <w:b/>
                <w:spacing w:val="-2"/>
                <w:sz w:val="22"/>
              </w:rPr>
              <w:t>condition</w:t>
            </w:r>
          </w:p>
        </w:tc>
      </w:tr>
      <w:tr>
        <w:trPr>
          <w:trHeight w:val="779" w:hRule="atLeast"/>
        </w:trPr>
        <w:tc>
          <w:tcPr>
            <w:tcW w:w="1368" w:type="dxa"/>
            <w:vMerge w:val="restart"/>
          </w:tcPr>
          <w:p>
            <w:pPr>
              <w:pStyle w:val="TableParagraph"/>
              <w:spacing w:line="232" w:lineRule="auto" w:before="5"/>
              <w:ind w:left="107"/>
              <w:rPr>
                <w:rFonts w:ascii="Calibri"/>
                <w:b/>
                <w:sz w:val="22"/>
              </w:rPr>
            </w:pPr>
            <w:r>
              <w:rPr>
                <w:rFonts w:ascii="Calibri"/>
                <w:b/>
                <w:spacing w:val="-2"/>
                <w:sz w:val="22"/>
              </w:rPr>
              <w:t>Nutrient Cycling (continued)</w:t>
            </w:r>
          </w:p>
        </w:tc>
        <w:tc>
          <w:tcPr>
            <w:tcW w:w="1800" w:type="dxa"/>
          </w:tcPr>
          <w:p>
            <w:pPr>
              <w:pStyle w:val="TableParagraph"/>
              <w:spacing w:before="0"/>
              <w:rPr>
                <w:rFonts w:ascii="Times New Roman"/>
                <w:sz w:val="20"/>
              </w:rPr>
            </w:pPr>
          </w:p>
        </w:tc>
        <w:tc>
          <w:tcPr>
            <w:tcW w:w="1531" w:type="dxa"/>
          </w:tcPr>
          <w:p>
            <w:pPr>
              <w:pStyle w:val="TableParagraph"/>
              <w:spacing w:line="232" w:lineRule="auto" w:before="5"/>
              <w:ind w:left="107"/>
              <w:rPr>
                <w:rFonts w:ascii="Calibri"/>
                <w:sz w:val="22"/>
              </w:rPr>
            </w:pPr>
            <w:r>
              <w:rPr>
                <w:rFonts w:ascii="Calibri"/>
                <w:spacing w:val="-2"/>
                <w:sz w:val="22"/>
              </w:rPr>
              <w:t>Coarse</w:t>
            </w:r>
            <w:r>
              <w:rPr>
                <w:rFonts w:ascii="Calibri"/>
                <w:spacing w:val="-11"/>
                <w:sz w:val="22"/>
              </w:rPr>
              <w:t> </w:t>
            </w:r>
            <w:r>
              <w:rPr>
                <w:rFonts w:ascii="Calibri"/>
                <w:spacing w:val="-2"/>
                <w:sz w:val="22"/>
              </w:rPr>
              <w:t>Woody Material</w:t>
            </w:r>
          </w:p>
        </w:tc>
        <w:tc>
          <w:tcPr>
            <w:tcW w:w="4229" w:type="dxa"/>
          </w:tcPr>
          <w:p>
            <w:pPr>
              <w:pStyle w:val="TableParagraph"/>
              <w:spacing w:line="232" w:lineRule="auto" w:before="5"/>
              <w:ind w:left="107"/>
              <w:rPr>
                <w:rFonts w:ascii="Calibri"/>
                <w:sz w:val="22"/>
              </w:rPr>
            </w:pPr>
            <w:r>
              <w:rPr>
                <w:rFonts w:ascii="Calibri"/>
                <w:sz w:val="22"/>
              </w:rPr>
              <w:t>See</w:t>
            </w:r>
            <w:r>
              <w:rPr>
                <w:rFonts w:ascii="Calibri"/>
                <w:spacing w:val="-10"/>
                <w:sz w:val="22"/>
              </w:rPr>
              <w:t> </w:t>
            </w:r>
            <w:r>
              <w:rPr>
                <w:rFonts w:ascii="Calibri"/>
                <w:sz w:val="22"/>
              </w:rPr>
              <w:t>FW-DC-VEG-04.</w:t>
            </w:r>
            <w:r>
              <w:rPr>
                <w:rFonts w:ascii="Calibri"/>
                <w:spacing w:val="-11"/>
                <w:sz w:val="22"/>
              </w:rPr>
              <w:t> </w:t>
            </w:r>
            <w:r>
              <w:rPr>
                <w:rFonts w:ascii="Calibri"/>
                <w:sz w:val="22"/>
              </w:rPr>
              <w:t>Snags</w:t>
            </w:r>
            <w:r>
              <w:rPr>
                <w:rFonts w:ascii="Calibri"/>
                <w:spacing w:val="-12"/>
                <w:sz w:val="22"/>
              </w:rPr>
              <w:t> </w:t>
            </w:r>
            <w:r>
              <w:rPr>
                <w:rFonts w:ascii="Calibri"/>
                <w:sz w:val="22"/>
              </w:rPr>
              <w:t>and</w:t>
            </w:r>
            <w:r>
              <w:rPr>
                <w:rFonts w:ascii="Calibri"/>
                <w:spacing w:val="-11"/>
                <w:sz w:val="22"/>
              </w:rPr>
              <w:t> </w:t>
            </w:r>
            <w:r>
              <w:rPr>
                <w:rFonts w:ascii="Calibri"/>
                <w:sz w:val="22"/>
              </w:rPr>
              <w:t>coarse</w:t>
            </w:r>
            <w:r>
              <w:rPr>
                <w:rFonts w:ascii="Calibri"/>
                <w:spacing w:val="-12"/>
                <w:sz w:val="22"/>
              </w:rPr>
              <w:t> </w:t>
            </w:r>
            <w:r>
              <w:rPr>
                <w:rFonts w:ascii="Calibri"/>
                <w:sz w:val="22"/>
              </w:rPr>
              <w:t>woody </w:t>
            </w:r>
            <w:r>
              <w:rPr>
                <w:rFonts w:ascii="Calibri"/>
                <w:spacing w:val="-2"/>
                <w:sz w:val="22"/>
              </w:rPr>
              <w:t>debris</w:t>
            </w:r>
          </w:p>
        </w:tc>
      </w:tr>
      <w:tr>
        <w:trPr>
          <w:trHeight w:val="1561" w:hRule="atLeast"/>
        </w:trPr>
        <w:tc>
          <w:tcPr>
            <w:tcW w:w="1368" w:type="dxa"/>
            <w:vMerge/>
            <w:tcBorders>
              <w:top w:val="nil"/>
            </w:tcBorders>
          </w:tcPr>
          <w:p>
            <w:pPr>
              <w:rPr>
                <w:sz w:val="2"/>
                <w:szCs w:val="2"/>
              </w:rPr>
            </w:pPr>
          </w:p>
        </w:tc>
        <w:tc>
          <w:tcPr>
            <w:tcW w:w="1800" w:type="dxa"/>
            <w:vMerge w:val="restart"/>
          </w:tcPr>
          <w:p>
            <w:pPr>
              <w:pStyle w:val="TableParagraph"/>
              <w:spacing w:line="232" w:lineRule="auto" w:before="7"/>
              <w:ind w:left="107"/>
              <w:rPr>
                <w:rFonts w:ascii="Calibri"/>
                <w:sz w:val="22"/>
              </w:rPr>
            </w:pPr>
            <w:r>
              <w:rPr>
                <w:rFonts w:ascii="Calibri"/>
                <w:spacing w:val="-2"/>
                <w:sz w:val="22"/>
              </w:rPr>
              <w:t>Nutrient Availability</w:t>
            </w:r>
          </w:p>
        </w:tc>
        <w:tc>
          <w:tcPr>
            <w:tcW w:w="1531" w:type="dxa"/>
          </w:tcPr>
          <w:p>
            <w:pPr>
              <w:pStyle w:val="TableParagraph"/>
              <w:spacing w:line="232" w:lineRule="auto" w:before="7"/>
              <w:ind w:left="107" w:right="378"/>
              <w:jc w:val="both"/>
              <w:rPr>
                <w:rFonts w:ascii="Calibri"/>
                <w:sz w:val="22"/>
              </w:rPr>
            </w:pPr>
            <w:r>
              <w:rPr>
                <w:rFonts w:ascii="Calibri"/>
                <w:sz w:val="22"/>
              </w:rPr>
              <w:t>Surface (A) horizon or mollic</w:t>
            </w:r>
            <w:r>
              <w:rPr>
                <w:rFonts w:ascii="Calibri"/>
                <w:spacing w:val="-5"/>
                <w:sz w:val="22"/>
              </w:rPr>
              <w:t> </w:t>
            </w:r>
            <w:r>
              <w:rPr>
                <w:rFonts w:ascii="Calibri"/>
                <w:spacing w:val="-2"/>
                <w:sz w:val="22"/>
              </w:rPr>
              <w:t>layer</w:t>
            </w:r>
          </w:p>
        </w:tc>
        <w:tc>
          <w:tcPr>
            <w:tcW w:w="4229" w:type="dxa"/>
          </w:tcPr>
          <w:p>
            <w:pPr>
              <w:pStyle w:val="TableParagraph"/>
              <w:spacing w:line="232" w:lineRule="auto" w:before="7"/>
              <w:ind w:left="107"/>
              <w:rPr>
                <w:rFonts w:ascii="Calibri"/>
                <w:sz w:val="22"/>
              </w:rPr>
            </w:pPr>
            <w:r>
              <w:rPr>
                <w:rFonts w:ascii="Calibri"/>
                <w:sz w:val="22"/>
              </w:rPr>
              <w:t>The amount of organic matter within the mineral soil, indicated by the color and thickness</w:t>
            </w:r>
            <w:r>
              <w:rPr>
                <w:rFonts w:ascii="Calibri"/>
                <w:spacing w:val="-6"/>
                <w:sz w:val="22"/>
              </w:rPr>
              <w:t> </w:t>
            </w:r>
            <w:r>
              <w:rPr>
                <w:rFonts w:ascii="Calibri"/>
                <w:sz w:val="22"/>
              </w:rPr>
              <w:t>of</w:t>
            </w:r>
            <w:r>
              <w:rPr>
                <w:rFonts w:ascii="Calibri"/>
                <w:spacing w:val="-6"/>
                <w:sz w:val="22"/>
              </w:rPr>
              <w:t> </w:t>
            </w:r>
            <w:r>
              <w:rPr>
                <w:rFonts w:ascii="Calibri"/>
                <w:sz w:val="22"/>
              </w:rPr>
              <w:t>the</w:t>
            </w:r>
            <w:r>
              <w:rPr>
                <w:rFonts w:ascii="Calibri"/>
                <w:spacing w:val="-4"/>
                <w:sz w:val="22"/>
              </w:rPr>
              <w:t> </w:t>
            </w:r>
            <w:r>
              <w:rPr>
                <w:rFonts w:ascii="Calibri"/>
                <w:sz w:val="22"/>
              </w:rPr>
              <w:t>upper</w:t>
            </w:r>
            <w:r>
              <w:rPr>
                <w:rFonts w:ascii="Calibri"/>
                <w:spacing w:val="-6"/>
                <w:sz w:val="22"/>
              </w:rPr>
              <w:t> </w:t>
            </w:r>
            <w:r>
              <w:rPr>
                <w:rFonts w:ascii="Calibri"/>
                <w:sz w:val="22"/>
              </w:rPr>
              <w:t>soil</w:t>
            </w:r>
            <w:r>
              <w:rPr>
                <w:rFonts w:ascii="Calibri"/>
                <w:spacing w:val="-7"/>
                <w:sz w:val="22"/>
              </w:rPr>
              <w:t> </w:t>
            </w:r>
            <w:r>
              <w:rPr>
                <w:rFonts w:ascii="Calibri"/>
                <w:sz w:val="22"/>
              </w:rPr>
              <w:t>horizon,</w:t>
            </w:r>
            <w:r>
              <w:rPr>
                <w:rFonts w:ascii="Calibri"/>
                <w:spacing w:val="-5"/>
                <w:sz w:val="22"/>
              </w:rPr>
              <w:t> </w:t>
            </w:r>
            <w:r>
              <w:rPr>
                <w:rFonts w:ascii="Calibri"/>
                <w:sz w:val="22"/>
              </w:rPr>
              <w:t>is</w:t>
            </w:r>
            <w:r>
              <w:rPr>
                <w:rFonts w:ascii="Calibri"/>
                <w:spacing w:val="-6"/>
                <w:sz w:val="22"/>
              </w:rPr>
              <w:t> </w:t>
            </w:r>
            <w:r>
              <w:rPr>
                <w:rFonts w:ascii="Calibri"/>
                <w:sz w:val="22"/>
              </w:rPr>
              <w:t>within the normal range of characteristics for the site, and is distributed normally across the</w:t>
            </w:r>
          </w:p>
          <w:p>
            <w:pPr>
              <w:pStyle w:val="TableParagraph"/>
              <w:spacing w:line="232" w:lineRule="exact" w:before="0"/>
              <w:ind w:left="107"/>
              <w:rPr>
                <w:rFonts w:ascii="Calibri"/>
                <w:sz w:val="22"/>
              </w:rPr>
            </w:pPr>
            <w:r>
              <w:rPr>
                <w:rFonts w:ascii="Calibri"/>
                <w:spacing w:val="-2"/>
                <w:sz w:val="22"/>
              </w:rPr>
              <w:t>area.</w:t>
            </w:r>
            <w:hyperlink w:history="true" w:anchor="_bookmark67">
              <w:r>
                <w:rPr>
                  <w:rFonts w:ascii="Calibri"/>
                  <w:spacing w:val="-2"/>
                  <w:sz w:val="22"/>
                  <w:vertAlign w:val="superscript"/>
                </w:rPr>
                <w:t>5</w:t>
              </w:r>
            </w:hyperlink>
          </w:p>
        </w:tc>
      </w:tr>
      <w:tr>
        <w:trPr>
          <w:trHeight w:val="601" w:hRule="atLeast"/>
        </w:trPr>
        <w:tc>
          <w:tcPr>
            <w:tcW w:w="1368" w:type="dxa"/>
            <w:vMerge/>
            <w:tcBorders>
              <w:top w:val="nil"/>
            </w:tcBorders>
          </w:tcPr>
          <w:p>
            <w:pPr>
              <w:rPr>
                <w:sz w:val="2"/>
                <w:szCs w:val="2"/>
              </w:rPr>
            </w:pPr>
          </w:p>
        </w:tc>
        <w:tc>
          <w:tcPr>
            <w:tcW w:w="1800" w:type="dxa"/>
            <w:vMerge/>
            <w:tcBorders>
              <w:top w:val="nil"/>
            </w:tcBorders>
          </w:tcPr>
          <w:p>
            <w:pPr>
              <w:rPr>
                <w:sz w:val="2"/>
                <w:szCs w:val="2"/>
              </w:rPr>
            </w:pPr>
          </w:p>
        </w:tc>
        <w:tc>
          <w:tcPr>
            <w:tcW w:w="1531" w:type="dxa"/>
          </w:tcPr>
          <w:p>
            <w:pPr>
              <w:pStyle w:val="TableParagraph"/>
              <w:spacing w:line="232" w:lineRule="auto" w:before="5"/>
              <w:ind w:left="107"/>
              <w:rPr>
                <w:rFonts w:ascii="Calibri"/>
                <w:sz w:val="22"/>
              </w:rPr>
            </w:pPr>
            <w:r>
              <w:rPr>
                <w:rFonts w:ascii="Calibri"/>
                <w:spacing w:val="-2"/>
                <w:sz w:val="22"/>
              </w:rPr>
              <w:t>Nutrient Deficiency</w:t>
            </w:r>
          </w:p>
        </w:tc>
        <w:tc>
          <w:tcPr>
            <w:tcW w:w="4229" w:type="dxa"/>
          </w:tcPr>
          <w:p>
            <w:pPr>
              <w:pStyle w:val="TableParagraph"/>
              <w:spacing w:line="232" w:lineRule="auto" w:before="5"/>
              <w:ind w:left="107"/>
              <w:rPr>
                <w:rFonts w:ascii="Calibri"/>
                <w:sz w:val="22"/>
              </w:rPr>
            </w:pPr>
            <w:r>
              <w:rPr>
                <w:rFonts w:ascii="Calibri"/>
                <w:sz w:val="22"/>
              </w:rPr>
              <w:t>Soil</w:t>
            </w:r>
            <w:r>
              <w:rPr>
                <w:rFonts w:ascii="Calibri"/>
                <w:spacing w:val="-9"/>
                <w:sz w:val="22"/>
              </w:rPr>
              <w:t> </w:t>
            </w:r>
            <w:r>
              <w:rPr>
                <w:rFonts w:ascii="Calibri"/>
                <w:sz w:val="22"/>
              </w:rPr>
              <w:t>nutrients</w:t>
            </w:r>
            <w:r>
              <w:rPr>
                <w:rFonts w:ascii="Calibri"/>
                <w:spacing w:val="-10"/>
                <w:sz w:val="22"/>
              </w:rPr>
              <w:t> </w:t>
            </w:r>
            <w:r>
              <w:rPr>
                <w:rFonts w:ascii="Calibri"/>
                <w:sz w:val="22"/>
              </w:rPr>
              <w:t>are</w:t>
            </w:r>
            <w:r>
              <w:rPr>
                <w:rFonts w:ascii="Calibri"/>
                <w:spacing w:val="-10"/>
                <w:sz w:val="22"/>
              </w:rPr>
              <w:t> </w:t>
            </w:r>
            <w:r>
              <w:rPr>
                <w:rFonts w:ascii="Calibri"/>
                <w:sz w:val="22"/>
              </w:rPr>
              <w:t>maintained</w:t>
            </w:r>
            <w:r>
              <w:rPr>
                <w:rFonts w:ascii="Calibri"/>
                <w:spacing w:val="-10"/>
                <w:sz w:val="22"/>
              </w:rPr>
              <w:t> </w:t>
            </w:r>
            <w:r>
              <w:rPr>
                <w:rFonts w:ascii="Calibri"/>
                <w:sz w:val="22"/>
              </w:rPr>
              <w:t>at</w:t>
            </w:r>
            <w:r>
              <w:rPr>
                <w:rFonts w:ascii="Calibri"/>
                <w:spacing w:val="-8"/>
                <w:sz w:val="22"/>
              </w:rPr>
              <w:t> </w:t>
            </w:r>
            <w:r>
              <w:rPr>
                <w:rFonts w:ascii="Calibri"/>
                <w:sz w:val="22"/>
              </w:rPr>
              <w:t>levels</w:t>
            </w:r>
            <w:r>
              <w:rPr>
                <w:rFonts w:ascii="Calibri"/>
                <w:spacing w:val="-9"/>
                <w:sz w:val="22"/>
              </w:rPr>
              <w:t> </w:t>
            </w:r>
            <w:r>
              <w:rPr>
                <w:rFonts w:ascii="Calibri"/>
                <w:sz w:val="22"/>
              </w:rPr>
              <w:t>to support desired vegetation.</w:t>
            </w:r>
          </w:p>
        </w:tc>
      </w:tr>
      <w:tr>
        <w:trPr>
          <w:trHeight w:val="520" w:hRule="atLeast"/>
        </w:trPr>
        <w:tc>
          <w:tcPr>
            <w:tcW w:w="1368" w:type="dxa"/>
          </w:tcPr>
          <w:p>
            <w:pPr>
              <w:pStyle w:val="TableParagraph"/>
              <w:spacing w:line="267" w:lineRule="exact" w:before="0"/>
              <w:ind w:left="107"/>
              <w:rPr>
                <w:rFonts w:ascii="Calibri"/>
                <w:b/>
                <w:sz w:val="22"/>
              </w:rPr>
            </w:pPr>
            <w:r>
              <w:rPr>
                <w:rFonts w:ascii="Calibri"/>
                <w:b/>
                <w:spacing w:val="-2"/>
                <w:sz w:val="22"/>
              </w:rPr>
              <w:t>Carbon</w:t>
            </w:r>
          </w:p>
        </w:tc>
        <w:tc>
          <w:tcPr>
            <w:tcW w:w="1800" w:type="dxa"/>
          </w:tcPr>
          <w:p>
            <w:pPr>
              <w:pStyle w:val="TableParagraph"/>
              <w:spacing w:line="264" w:lineRule="exact" w:before="0"/>
              <w:ind w:left="107"/>
              <w:rPr>
                <w:rFonts w:ascii="Calibri"/>
                <w:sz w:val="22"/>
              </w:rPr>
            </w:pPr>
            <w:r>
              <w:rPr>
                <w:rFonts w:ascii="Calibri"/>
                <w:sz w:val="22"/>
              </w:rPr>
              <w:t>Carbon</w:t>
            </w:r>
            <w:r>
              <w:rPr>
                <w:rFonts w:ascii="Calibri"/>
                <w:spacing w:val="-4"/>
                <w:sz w:val="22"/>
              </w:rPr>
              <w:t> </w:t>
            </w:r>
            <w:r>
              <w:rPr>
                <w:rFonts w:ascii="Calibri"/>
                <w:spacing w:val="-2"/>
                <w:sz w:val="22"/>
              </w:rPr>
              <w:t>Storage</w:t>
            </w:r>
          </w:p>
          <w:p>
            <w:pPr>
              <w:pStyle w:val="TableParagraph"/>
              <w:spacing w:line="236" w:lineRule="exact" w:before="0"/>
              <w:ind w:left="107"/>
              <w:rPr>
                <w:rFonts w:ascii="Calibri"/>
                <w:sz w:val="22"/>
              </w:rPr>
            </w:pPr>
            <w:r>
              <w:rPr>
                <w:rFonts w:ascii="Calibri"/>
                <w:spacing w:val="-2"/>
                <w:sz w:val="22"/>
              </w:rPr>
              <w:t>Potential</w:t>
            </w:r>
          </w:p>
        </w:tc>
        <w:tc>
          <w:tcPr>
            <w:tcW w:w="1531" w:type="dxa"/>
          </w:tcPr>
          <w:p>
            <w:pPr>
              <w:pStyle w:val="TableParagraph"/>
              <w:spacing w:before="0"/>
              <w:rPr>
                <w:rFonts w:ascii="Times New Roman"/>
                <w:sz w:val="20"/>
              </w:rPr>
            </w:pPr>
          </w:p>
        </w:tc>
        <w:tc>
          <w:tcPr>
            <w:tcW w:w="4229" w:type="dxa"/>
          </w:tcPr>
          <w:p>
            <w:pPr>
              <w:pStyle w:val="TableParagraph"/>
              <w:spacing w:line="264" w:lineRule="exact" w:before="0"/>
              <w:ind w:left="107"/>
              <w:rPr>
                <w:rFonts w:ascii="Calibri" w:hAnsi="Calibri"/>
                <w:sz w:val="22"/>
              </w:rPr>
            </w:pPr>
            <w:r>
              <w:rPr>
                <w:rFonts w:ascii="Calibri" w:hAnsi="Calibri"/>
                <w:sz w:val="22"/>
              </w:rPr>
              <w:t>The</w:t>
            </w:r>
            <w:r>
              <w:rPr>
                <w:rFonts w:ascii="Calibri" w:hAnsi="Calibri"/>
                <w:spacing w:val="-5"/>
                <w:sz w:val="22"/>
              </w:rPr>
              <w:t> </w:t>
            </w:r>
            <w:r>
              <w:rPr>
                <w:rFonts w:ascii="Calibri" w:hAnsi="Calibri"/>
                <w:sz w:val="22"/>
              </w:rPr>
              <w:t>soil’s</w:t>
            </w:r>
            <w:r>
              <w:rPr>
                <w:rFonts w:ascii="Calibri" w:hAnsi="Calibri"/>
                <w:spacing w:val="-5"/>
                <w:sz w:val="22"/>
              </w:rPr>
              <w:t> </w:t>
            </w:r>
            <w:r>
              <w:rPr>
                <w:rFonts w:ascii="Calibri" w:hAnsi="Calibri"/>
                <w:sz w:val="22"/>
              </w:rPr>
              <w:t>ability</w:t>
            </w:r>
            <w:r>
              <w:rPr>
                <w:rFonts w:ascii="Calibri" w:hAnsi="Calibri"/>
                <w:spacing w:val="-4"/>
                <w:sz w:val="22"/>
              </w:rPr>
              <w:t> </w:t>
            </w:r>
            <w:r>
              <w:rPr>
                <w:rFonts w:ascii="Calibri" w:hAnsi="Calibri"/>
                <w:sz w:val="22"/>
              </w:rPr>
              <w:t>to</w:t>
            </w:r>
            <w:r>
              <w:rPr>
                <w:rFonts w:ascii="Calibri" w:hAnsi="Calibri"/>
                <w:spacing w:val="-5"/>
                <w:sz w:val="22"/>
              </w:rPr>
              <w:t> </w:t>
            </w:r>
            <w:r>
              <w:rPr>
                <w:rFonts w:ascii="Calibri" w:hAnsi="Calibri"/>
                <w:sz w:val="22"/>
              </w:rPr>
              <w:t>store</w:t>
            </w:r>
            <w:r>
              <w:rPr>
                <w:rFonts w:ascii="Calibri" w:hAnsi="Calibri"/>
                <w:spacing w:val="-4"/>
                <w:sz w:val="22"/>
              </w:rPr>
              <w:t> </w:t>
            </w:r>
            <w:r>
              <w:rPr>
                <w:rFonts w:ascii="Calibri" w:hAnsi="Calibri"/>
                <w:sz w:val="22"/>
              </w:rPr>
              <w:t>carbon</w:t>
            </w:r>
            <w:r>
              <w:rPr>
                <w:rFonts w:ascii="Calibri" w:hAnsi="Calibri"/>
                <w:spacing w:val="-6"/>
                <w:sz w:val="22"/>
              </w:rPr>
              <w:t> </w:t>
            </w:r>
            <w:r>
              <w:rPr>
                <w:rFonts w:ascii="Calibri" w:hAnsi="Calibri"/>
                <w:sz w:val="22"/>
              </w:rPr>
              <w:t>is</w:t>
            </w:r>
            <w:r>
              <w:rPr>
                <w:rFonts w:ascii="Calibri" w:hAnsi="Calibri"/>
                <w:spacing w:val="-5"/>
                <w:sz w:val="22"/>
              </w:rPr>
              <w:t> not</w:t>
            </w:r>
          </w:p>
          <w:p>
            <w:pPr>
              <w:pStyle w:val="TableParagraph"/>
              <w:spacing w:line="236" w:lineRule="exact" w:before="0"/>
              <w:ind w:left="107"/>
              <w:rPr>
                <w:rFonts w:ascii="Calibri"/>
                <w:sz w:val="22"/>
              </w:rPr>
            </w:pPr>
            <w:r>
              <w:rPr>
                <w:rFonts w:ascii="Calibri"/>
                <w:sz w:val="22"/>
              </w:rPr>
              <w:t>reduced</w:t>
            </w:r>
            <w:r>
              <w:rPr>
                <w:rFonts w:ascii="Calibri"/>
                <w:spacing w:val="-9"/>
                <w:sz w:val="22"/>
              </w:rPr>
              <w:t> </w:t>
            </w:r>
            <w:r>
              <w:rPr>
                <w:rFonts w:ascii="Calibri"/>
                <w:sz w:val="22"/>
              </w:rPr>
              <w:t>from</w:t>
            </w:r>
            <w:r>
              <w:rPr>
                <w:rFonts w:ascii="Calibri"/>
                <w:spacing w:val="-8"/>
                <w:sz w:val="22"/>
              </w:rPr>
              <w:t> </w:t>
            </w:r>
            <w:r>
              <w:rPr>
                <w:rFonts w:ascii="Calibri"/>
                <w:sz w:val="22"/>
              </w:rPr>
              <w:t>current</w:t>
            </w:r>
            <w:r>
              <w:rPr>
                <w:rFonts w:ascii="Calibri"/>
                <w:spacing w:val="-6"/>
                <w:sz w:val="22"/>
              </w:rPr>
              <w:t> </w:t>
            </w:r>
            <w:r>
              <w:rPr>
                <w:rFonts w:ascii="Calibri"/>
                <w:spacing w:val="-2"/>
                <w:sz w:val="22"/>
              </w:rPr>
              <w:t>levels.</w:t>
            </w:r>
          </w:p>
        </w:tc>
      </w:tr>
      <w:tr>
        <w:trPr>
          <w:trHeight w:val="779" w:hRule="atLeast"/>
        </w:trPr>
        <w:tc>
          <w:tcPr>
            <w:tcW w:w="1368" w:type="dxa"/>
            <w:vMerge w:val="restart"/>
          </w:tcPr>
          <w:p>
            <w:pPr>
              <w:pStyle w:val="TableParagraph"/>
              <w:spacing w:line="232" w:lineRule="auto" w:before="5"/>
              <w:ind w:left="107" w:right="108"/>
              <w:rPr>
                <w:rFonts w:ascii="Calibri"/>
                <w:b/>
                <w:sz w:val="22"/>
              </w:rPr>
            </w:pPr>
            <w:r>
              <w:rPr>
                <w:rFonts w:ascii="Calibri"/>
                <w:b/>
                <w:sz w:val="22"/>
              </w:rPr>
              <w:t>Support</w:t>
            </w:r>
            <w:r>
              <w:rPr>
                <w:rFonts w:ascii="Calibri"/>
                <w:b/>
                <w:spacing w:val="-13"/>
                <w:sz w:val="22"/>
              </w:rPr>
              <w:t> </w:t>
            </w:r>
            <w:r>
              <w:rPr>
                <w:rFonts w:ascii="Calibri"/>
                <w:b/>
                <w:sz w:val="22"/>
              </w:rPr>
              <w:t>and </w:t>
            </w:r>
            <w:r>
              <w:rPr>
                <w:rFonts w:ascii="Calibri"/>
                <w:b/>
                <w:spacing w:val="-2"/>
                <w:sz w:val="22"/>
              </w:rPr>
              <w:t>Stability</w:t>
            </w:r>
          </w:p>
        </w:tc>
        <w:tc>
          <w:tcPr>
            <w:tcW w:w="1800" w:type="dxa"/>
          </w:tcPr>
          <w:p>
            <w:pPr>
              <w:pStyle w:val="TableParagraph"/>
              <w:spacing w:line="267" w:lineRule="exact" w:before="0"/>
              <w:ind w:left="107"/>
              <w:rPr>
                <w:rFonts w:ascii="Calibri"/>
                <w:sz w:val="22"/>
              </w:rPr>
            </w:pPr>
            <w:r>
              <w:rPr>
                <w:rFonts w:ascii="Calibri"/>
                <w:spacing w:val="-2"/>
                <w:sz w:val="22"/>
              </w:rPr>
              <w:t>Stability</w:t>
            </w:r>
          </w:p>
        </w:tc>
        <w:tc>
          <w:tcPr>
            <w:tcW w:w="1531" w:type="dxa"/>
          </w:tcPr>
          <w:p>
            <w:pPr>
              <w:pStyle w:val="TableParagraph"/>
              <w:spacing w:line="232" w:lineRule="auto" w:before="5"/>
              <w:ind w:left="107" w:right="116"/>
              <w:rPr>
                <w:rFonts w:ascii="Calibri"/>
                <w:sz w:val="22"/>
              </w:rPr>
            </w:pPr>
            <w:r>
              <w:rPr>
                <w:rFonts w:ascii="Calibri"/>
                <w:spacing w:val="-2"/>
                <w:sz w:val="22"/>
              </w:rPr>
              <w:t>Surface </w:t>
            </w:r>
            <w:r>
              <w:rPr>
                <w:rFonts w:ascii="Calibri"/>
                <w:sz w:val="22"/>
              </w:rPr>
              <w:t>erosion</w:t>
            </w:r>
            <w:r>
              <w:rPr>
                <w:rFonts w:ascii="Calibri"/>
                <w:spacing w:val="-13"/>
                <w:sz w:val="22"/>
              </w:rPr>
              <w:t> </w:t>
            </w:r>
            <w:r>
              <w:rPr>
                <w:rFonts w:ascii="Calibri"/>
                <w:sz w:val="22"/>
              </w:rPr>
              <w:t>(wind,</w:t>
            </w:r>
          </w:p>
          <w:p>
            <w:pPr>
              <w:pStyle w:val="TableParagraph"/>
              <w:spacing w:line="233" w:lineRule="exact" w:before="0"/>
              <w:ind w:left="107"/>
              <w:rPr>
                <w:rFonts w:ascii="Calibri"/>
                <w:sz w:val="22"/>
              </w:rPr>
            </w:pPr>
            <w:r>
              <w:rPr>
                <w:rFonts w:ascii="Calibri"/>
                <w:sz w:val="22"/>
              </w:rPr>
              <w:t>rill,</w:t>
            </w:r>
            <w:r>
              <w:rPr>
                <w:rFonts w:ascii="Calibri"/>
                <w:spacing w:val="-2"/>
                <w:sz w:val="22"/>
              </w:rPr>
              <w:t> </w:t>
            </w:r>
            <w:r>
              <w:rPr>
                <w:rFonts w:ascii="Calibri"/>
                <w:sz w:val="22"/>
              </w:rPr>
              <w:t>or</w:t>
            </w:r>
            <w:r>
              <w:rPr>
                <w:rFonts w:ascii="Calibri"/>
                <w:spacing w:val="-1"/>
                <w:sz w:val="22"/>
              </w:rPr>
              <w:t> </w:t>
            </w:r>
            <w:r>
              <w:rPr>
                <w:rFonts w:ascii="Calibri"/>
                <w:spacing w:val="-2"/>
                <w:sz w:val="22"/>
              </w:rPr>
              <w:t>sheet)</w:t>
            </w:r>
          </w:p>
        </w:tc>
        <w:tc>
          <w:tcPr>
            <w:tcW w:w="4229" w:type="dxa"/>
          </w:tcPr>
          <w:p>
            <w:pPr>
              <w:pStyle w:val="TableParagraph"/>
              <w:spacing w:line="232" w:lineRule="auto" w:before="5"/>
              <w:ind w:left="107"/>
              <w:rPr>
                <w:rFonts w:ascii="Calibri"/>
                <w:sz w:val="22"/>
              </w:rPr>
            </w:pPr>
            <w:r>
              <w:rPr>
                <w:rFonts w:ascii="Calibri"/>
                <w:sz w:val="22"/>
              </w:rPr>
              <w:t>Erosion is occurring at natural levels or not evident</w:t>
            </w:r>
            <w:r>
              <w:rPr>
                <w:rFonts w:ascii="Calibri"/>
                <w:spacing w:val="-6"/>
                <w:sz w:val="22"/>
              </w:rPr>
              <w:t> </w:t>
            </w:r>
            <w:r>
              <w:rPr>
                <w:rFonts w:ascii="Calibri"/>
                <w:sz w:val="22"/>
              </w:rPr>
              <w:t>and</w:t>
            </w:r>
            <w:r>
              <w:rPr>
                <w:rFonts w:ascii="Calibri"/>
                <w:spacing w:val="-7"/>
                <w:sz w:val="22"/>
              </w:rPr>
              <w:t> </w:t>
            </w:r>
            <w:r>
              <w:rPr>
                <w:rFonts w:ascii="Calibri"/>
                <w:sz w:val="22"/>
              </w:rPr>
              <w:t>an</w:t>
            </w:r>
            <w:r>
              <w:rPr>
                <w:rFonts w:ascii="Calibri"/>
                <w:spacing w:val="-7"/>
                <w:sz w:val="22"/>
              </w:rPr>
              <w:t> </w:t>
            </w:r>
            <w:r>
              <w:rPr>
                <w:rFonts w:ascii="Calibri"/>
                <w:sz w:val="22"/>
              </w:rPr>
              <w:t>adequate</w:t>
            </w:r>
            <w:r>
              <w:rPr>
                <w:rFonts w:ascii="Calibri"/>
                <w:spacing w:val="-6"/>
                <w:sz w:val="22"/>
              </w:rPr>
              <w:t> </w:t>
            </w:r>
            <w:r>
              <w:rPr>
                <w:rFonts w:ascii="Calibri"/>
                <w:sz w:val="22"/>
              </w:rPr>
              <w:t>level</w:t>
            </w:r>
            <w:r>
              <w:rPr>
                <w:rFonts w:ascii="Calibri"/>
                <w:spacing w:val="-9"/>
                <w:sz w:val="22"/>
              </w:rPr>
              <w:t> </w:t>
            </w:r>
            <w:r>
              <w:rPr>
                <w:rFonts w:ascii="Calibri"/>
                <w:sz w:val="22"/>
              </w:rPr>
              <w:t>of</w:t>
            </w:r>
            <w:r>
              <w:rPr>
                <w:rFonts w:ascii="Calibri"/>
                <w:spacing w:val="-7"/>
                <w:sz w:val="22"/>
              </w:rPr>
              <w:t> </w:t>
            </w:r>
            <w:r>
              <w:rPr>
                <w:rFonts w:ascii="Calibri"/>
                <w:sz w:val="22"/>
              </w:rPr>
              <w:t>soil</w:t>
            </w:r>
            <w:r>
              <w:rPr>
                <w:rFonts w:ascii="Calibri"/>
                <w:spacing w:val="-7"/>
                <w:sz w:val="22"/>
              </w:rPr>
              <w:t> </w:t>
            </w:r>
            <w:r>
              <w:rPr>
                <w:rFonts w:ascii="Calibri"/>
                <w:sz w:val="22"/>
              </w:rPr>
              <w:t>cover</w:t>
            </w:r>
            <w:r>
              <w:rPr>
                <w:rFonts w:ascii="Calibri"/>
                <w:spacing w:val="-7"/>
                <w:sz w:val="22"/>
              </w:rPr>
              <w:t> </w:t>
            </w:r>
            <w:r>
              <w:rPr>
                <w:rFonts w:ascii="Calibri"/>
                <w:sz w:val="22"/>
              </w:rPr>
              <w:t>is</w:t>
            </w:r>
          </w:p>
          <w:p>
            <w:pPr>
              <w:pStyle w:val="TableParagraph"/>
              <w:spacing w:line="233" w:lineRule="exact" w:before="0"/>
              <w:ind w:left="107"/>
              <w:rPr>
                <w:rFonts w:ascii="Calibri"/>
                <w:sz w:val="22"/>
              </w:rPr>
            </w:pPr>
            <w:r>
              <w:rPr>
                <w:rFonts w:ascii="Calibri"/>
                <w:sz w:val="22"/>
              </w:rPr>
              <w:t>maintained</w:t>
            </w:r>
            <w:r>
              <w:rPr>
                <w:rFonts w:ascii="Calibri"/>
                <w:spacing w:val="-13"/>
                <w:sz w:val="22"/>
              </w:rPr>
              <w:t> </w:t>
            </w:r>
            <w:r>
              <w:rPr>
                <w:rFonts w:ascii="Calibri"/>
                <w:sz w:val="22"/>
              </w:rPr>
              <w:t>to</w:t>
            </w:r>
            <w:r>
              <w:rPr>
                <w:rFonts w:ascii="Calibri"/>
                <w:spacing w:val="-10"/>
                <w:sz w:val="22"/>
              </w:rPr>
              <w:t> </w:t>
            </w:r>
            <w:r>
              <w:rPr>
                <w:rFonts w:ascii="Calibri"/>
                <w:sz w:val="22"/>
              </w:rPr>
              <w:t>prevent</w:t>
            </w:r>
            <w:r>
              <w:rPr>
                <w:rFonts w:ascii="Calibri"/>
                <w:spacing w:val="-13"/>
                <w:sz w:val="22"/>
              </w:rPr>
              <w:t> </w:t>
            </w:r>
            <w:r>
              <w:rPr>
                <w:rFonts w:ascii="Calibri"/>
                <w:sz w:val="22"/>
              </w:rPr>
              <w:t>accelerated</w:t>
            </w:r>
            <w:r>
              <w:rPr>
                <w:rFonts w:ascii="Calibri"/>
                <w:spacing w:val="-11"/>
                <w:sz w:val="22"/>
              </w:rPr>
              <w:t> </w:t>
            </w:r>
            <w:r>
              <w:rPr>
                <w:rFonts w:ascii="Calibri"/>
                <w:spacing w:val="-2"/>
                <w:sz w:val="22"/>
              </w:rPr>
              <w:t>erosion.</w:t>
            </w:r>
          </w:p>
        </w:tc>
      </w:tr>
      <w:tr>
        <w:trPr>
          <w:trHeight w:val="1820" w:hRule="atLeast"/>
        </w:trPr>
        <w:tc>
          <w:tcPr>
            <w:tcW w:w="1368" w:type="dxa"/>
            <w:vMerge/>
            <w:tcBorders>
              <w:top w:val="nil"/>
            </w:tcBorders>
          </w:tcPr>
          <w:p>
            <w:pPr>
              <w:rPr>
                <w:sz w:val="2"/>
                <w:szCs w:val="2"/>
              </w:rPr>
            </w:pPr>
          </w:p>
        </w:tc>
        <w:tc>
          <w:tcPr>
            <w:tcW w:w="1800" w:type="dxa"/>
          </w:tcPr>
          <w:p>
            <w:pPr>
              <w:pStyle w:val="TableParagraph"/>
              <w:spacing w:before="1"/>
              <w:ind w:left="107"/>
              <w:rPr>
                <w:rFonts w:ascii="Calibri"/>
                <w:sz w:val="22"/>
              </w:rPr>
            </w:pPr>
            <w:r>
              <w:rPr>
                <w:rFonts w:ascii="Calibri"/>
                <w:spacing w:val="-2"/>
                <w:sz w:val="22"/>
              </w:rPr>
              <w:t>Support</w:t>
            </w:r>
          </w:p>
        </w:tc>
        <w:tc>
          <w:tcPr>
            <w:tcW w:w="1531" w:type="dxa"/>
          </w:tcPr>
          <w:p>
            <w:pPr>
              <w:pStyle w:val="TableParagraph"/>
              <w:spacing w:line="232" w:lineRule="auto" w:before="7"/>
              <w:ind w:left="107" w:right="102"/>
              <w:rPr>
                <w:rFonts w:ascii="Calibri"/>
                <w:sz w:val="22"/>
              </w:rPr>
            </w:pPr>
            <w:r>
              <w:rPr>
                <w:rFonts w:ascii="Calibri"/>
                <w:sz w:val="22"/>
              </w:rPr>
              <w:t>Site support (mass</w:t>
            </w:r>
            <w:r>
              <w:rPr>
                <w:rFonts w:ascii="Calibri"/>
                <w:spacing w:val="-13"/>
                <w:sz w:val="22"/>
              </w:rPr>
              <w:t> </w:t>
            </w:r>
            <w:r>
              <w:rPr>
                <w:rFonts w:ascii="Calibri"/>
                <w:sz w:val="22"/>
              </w:rPr>
              <w:t>erosion, </w:t>
            </w:r>
            <w:r>
              <w:rPr>
                <w:rFonts w:ascii="Calibri"/>
                <w:spacing w:val="-2"/>
                <w:sz w:val="22"/>
              </w:rPr>
              <w:t>landslide prone)</w:t>
            </w:r>
          </w:p>
        </w:tc>
        <w:tc>
          <w:tcPr>
            <w:tcW w:w="4229" w:type="dxa"/>
          </w:tcPr>
          <w:p>
            <w:pPr>
              <w:pStyle w:val="TableParagraph"/>
              <w:spacing w:line="232" w:lineRule="auto" w:before="7"/>
              <w:ind w:left="107" w:right="59"/>
              <w:rPr>
                <w:rFonts w:ascii="Calibri"/>
                <w:sz w:val="22"/>
              </w:rPr>
            </w:pPr>
            <w:r>
              <w:rPr>
                <w:rFonts w:ascii="Calibri"/>
                <w:sz w:val="22"/>
              </w:rPr>
              <w:t>Site stability potential is unchanged or stability has been improved. Soil stability varies from minor soil creep to active land flows</w:t>
            </w:r>
            <w:r>
              <w:rPr>
                <w:rFonts w:ascii="Calibri"/>
                <w:spacing w:val="-11"/>
                <w:sz w:val="22"/>
              </w:rPr>
              <w:t> </w:t>
            </w:r>
            <w:r>
              <w:rPr>
                <w:rFonts w:ascii="Calibri"/>
                <w:sz w:val="22"/>
              </w:rPr>
              <w:t>dependent</w:t>
            </w:r>
            <w:r>
              <w:rPr>
                <w:rFonts w:ascii="Calibri"/>
                <w:spacing w:val="-11"/>
                <w:sz w:val="22"/>
              </w:rPr>
              <w:t> </w:t>
            </w:r>
            <w:r>
              <w:rPr>
                <w:rFonts w:ascii="Calibri"/>
                <w:sz w:val="22"/>
              </w:rPr>
              <w:t>on</w:t>
            </w:r>
            <w:r>
              <w:rPr>
                <w:rFonts w:ascii="Calibri"/>
                <w:spacing w:val="-10"/>
                <w:sz w:val="22"/>
              </w:rPr>
              <w:t> </w:t>
            </w:r>
            <w:r>
              <w:rPr>
                <w:rFonts w:ascii="Calibri"/>
                <w:sz w:val="22"/>
              </w:rPr>
              <w:t>soil</w:t>
            </w:r>
            <w:r>
              <w:rPr>
                <w:rFonts w:ascii="Calibri"/>
                <w:spacing w:val="-9"/>
                <w:sz w:val="22"/>
              </w:rPr>
              <w:t> </w:t>
            </w:r>
            <w:r>
              <w:rPr>
                <w:rFonts w:ascii="Calibri"/>
                <w:sz w:val="22"/>
              </w:rPr>
              <w:t>characteristics,</w:t>
            </w:r>
            <w:r>
              <w:rPr>
                <w:rFonts w:ascii="Calibri"/>
                <w:spacing w:val="-9"/>
                <w:sz w:val="22"/>
              </w:rPr>
              <w:t> </w:t>
            </w:r>
            <w:r>
              <w:rPr>
                <w:rFonts w:ascii="Calibri"/>
                <w:sz w:val="22"/>
              </w:rPr>
              <w:t>soil moisture, and triggers. Management activities avoid or do not accelerate</w:t>
            </w:r>
          </w:p>
          <w:p>
            <w:pPr>
              <w:pStyle w:val="TableParagraph"/>
              <w:spacing w:line="230" w:lineRule="exact" w:before="0"/>
              <w:ind w:left="107"/>
              <w:rPr>
                <w:rFonts w:ascii="Calibri"/>
                <w:sz w:val="22"/>
              </w:rPr>
            </w:pPr>
            <w:r>
              <w:rPr>
                <w:rFonts w:ascii="Calibri"/>
                <w:sz w:val="22"/>
              </w:rPr>
              <w:t>underlying</w:t>
            </w:r>
            <w:r>
              <w:rPr>
                <w:rFonts w:ascii="Calibri"/>
                <w:spacing w:val="-9"/>
                <w:sz w:val="22"/>
              </w:rPr>
              <w:t> </w:t>
            </w:r>
            <w:r>
              <w:rPr>
                <w:rFonts w:ascii="Calibri"/>
                <w:sz w:val="22"/>
              </w:rPr>
              <w:t>soil</w:t>
            </w:r>
            <w:r>
              <w:rPr>
                <w:rFonts w:ascii="Calibri"/>
                <w:spacing w:val="-9"/>
                <w:sz w:val="22"/>
              </w:rPr>
              <w:t> </w:t>
            </w:r>
            <w:r>
              <w:rPr>
                <w:rFonts w:ascii="Calibri"/>
                <w:sz w:val="22"/>
              </w:rPr>
              <w:t>movement</w:t>
            </w:r>
            <w:r>
              <w:rPr>
                <w:rFonts w:ascii="Calibri"/>
                <w:spacing w:val="-5"/>
                <w:sz w:val="22"/>
              </w:rPr>
              <w:t> </w:t>
            </w:r>
            <w:r>
              <w:rPr>
                <w:rFonts w:ascii="Calibri"/>
                <w:spacing w:val="-2"/>
                <w:sz w:val="22"/>
              </w:rPr>
              <w:t>rates.</w:t>
            </w:r>
          </w:p>
        </w:tc>
      </w:tr>
      <w:tr>
        <w:trPr>
          <w:trHeight w:val="520" w:hRule="atLeast"/>
        </w:trPr>
        <w:tc>
          <w:tcPr>
            <w:tcW w:w="1368" w:type="dxa"/>
            <w:vMerge/>
            <w:tcBorders>
              <w:top w:val="nil"/>
            </w:tcBorders>
          </w:tcPr>
          <w:p>
            <w:pPr>
              <w:rPr>
                <w:sz w:val="2"/>
                <w:szCs w:val="2"/>
              </w:rPr>
            </w:pPr>
          </w:p>
        </w:tc>
        <w:tc>
          <w:tcPr>
            <w:tcW w:w="1800" w:type="dxa"/>
          </w:tcPr>
          <w:p>
            <w:pPr>
              <w:pStyle w:val="TableParagraph"/>
              <w:spacing w:line="267" w:lineRule="exact" w:before="0"/>
              <w:ind w:left="107"/>
              <w:rPr>
                <w:rFonts w:ascii="Calibri"/>
                <w:sz w:val="22"/>
              </w:rPr>
            </w:pPr>
            <w:r>
              <w:rPr>
                <w:rFonts w:ascii="Calibri"/>
                <w:spacing w:val="-2"/>
                <w:sz w:val="22"/>
              </w:rPr>
              <w:t>Deposition</w:t>
            </w:r>
          </w:p>
        </w:tc>
        <w:tc>
          <w:tcPr>
            <w:tcW w:w="1531" w:type="dxa"/>
          </w:tcPr>
          <w:p>
            <w:pPr>
              <w:pStyle w:val="TableParagraph"/>
              <w:spacing w:line="264" w:lineRule="exact" w:before="0"/>
              <w:ind w:left="107"/>
              <w:rPr>
                <w:rFonts w:ascii="Calibri"/>
                <w:sz w:val="22"/>
              </w:rPr>
            </w:pPr>
            <w:r>
              <w:rPr>
                <w:rFonts w:ascii="Calibri"/>
                <w:spacing w:val="-4"/>
                <w:sz w:val="22"/>
              </w:rPr>
              <w:t>Soil</w:t>
            </w:r>
          </w:p>
          <w:p>
            <w:pPr>
              <w:pStyle w:val="TableParagraph"/>
              <w:spacing w:line="236" w:lineRule="exact" w:before="0"/>
              <w:ind w:left="107"/>
              <w:rPr>
                <w:rFonts w:ascii="Calibri"/>
                <w:sz w:val="22"/>
              </w:rPr>
            </w:pPr>
            <w:r>
              <w:rPr>
                <w:rFonts w:ascii="Calibri"/>
                <w:spacing w:val="-2"/>
                <w:sz w:val="22"/>
              </w:rPr>
              <w:t>deposition</w:t>
            </w:r>
          </w:p>
        </w:tc>
        <w:tc>
          <w:tcPr>
            <w:tcW w:w="4229" w:type="dxa"/>
          </w:tcPr>
          <w:p>
            <w:pPr>
              <w:pStyle w:val="TableParagraph"/>
              <w:spacing w:line="264" w:lineRule="exact" w:before="0"/>
              <w:ind w:left="107"/>
              <w:rPr>
                <w:rFonts w:ascii="Calibri"/>
                <w:sz w:val="22"/>
              </w:rPr>
            </w:pPr>
            <w:r>
              <w:rPr>
                <w:rFonts w:ascii="Calibri"/>
                <w:sz w:val="22"/>
              </w:rPr>
              <w:t>Deposition</w:t>
            </w:r>
            <w:r>
              <w:rPr>
                <w:rFonts w:ascii="Calibri"/>
                <w:spacing w:val="-8"/>
                <w:sz w:val="22"/>
              </w:rPr>
              <w:t> </w:t>
            </w:r>
            <w:r>
              <w:rPr>
                <w:rFonts w:ascii="Calibri"/>
                <w:sz w:val="22"/>
              </w:rPr>
              <w:t>is</w:t>
            </w:r>
            <w:r>
              <w:rPr>
                <w:rFonts w:ascii="Calibri"/>
                <w:spacing w:val="-6"/>
                <w:sz w:val="22"/>
              </w:rPr>
              <w:t> </w:t>
            </w:r>
            <w:r>
              <w:rPr>
                <w:rFonts w:ascii="Calibri"/>
                <w:sz w:val="22"/>
              </w:rPr>
              <w:t>at</w:t>
            </w:r>
            <w:r>
              <w:rPr>
                <w:rFonts w:ascii="Calibri"/>
                <w:spacing w:val="-4"/>
                <w:sz w:val="22"/>
              </w:rPr>
              <w:t> </w:t>
            </w:r>
            <w:r>
              <w:rPr>
                <w:rFonts w:ascii="Calibri"/>
                <w:sz w:val="22"/>
              </w:rPr>
              <w:t>natural</w:t>
            </w:r>
            <w:r>
              <w:rPr>
                <w:rFonts w:ascii="Calibri"/>
                <w:spacing w:val="-5"/>
                <w:sz w:val="22"/>
              </w:rPr>
              <w:t> </w:t>
            </w:r>
            <w:r>
              <w:rPr>
                <w:rFonts w:ascii="Calibri"/>
                <w:sz w:val="22"/>
              </w:rPr>
              <w:t>levels</w:t>
            </w:r>
            <w:r>
              <w:rPr>
                <w:rFonts w:ascii="Calibri"/>
                <w:spacing w:val="-5"/>
                <w:sz w:val="22"/>
              </w:rPr>
              <w:t> </w:t>
            </w:r>
            <w:r>
              <w:rPr>
                <w:rFonts w:ascii="Calibri"/>
                <w:sz w:val="22"/>
              </w:rPr>
              <w:t>and</w:t>
            </w:r>
            <w:r>
              <w:rPr>
                <w:rFonts w:ascii="Calibri"/>
                <w:spacing w:val="-6"/>
                <w:sz w:val="22"/>
              </w:rPr>
              <w:t> </w:t>
            </w:r>
            <w:r>
              <w:rPr>
                <w:rFonts w:ascii="Calibri"/>
                <w:spacing w:val="-2"/>
                <w:sz w:val="22"/>
              </w:rPr>
              <w:t>recent</w:t>
            </w:r>
          </w:p>
          <w:p>
            <w:pPr>
              <w:pStyle w:val="TableParagraph"/>
              <w:spacing w:line="236" w:lineRule="exact" w:before="0"/>
              <w:ind w:left="107"/>
              <w:rPr>
                <w:rFonts w:ascii="Calibri"/>
                <w:sz w:val="22"/>
              </w:rPr>
            </w:pPr>
            <w:r>
              <w:rPr>
                <w:rFonts w:ascii="Calibri"/>
                <w:sz w:val="22"/>
              </w:rPr>
              <w:t>depositional</w:t>
            </w:r>
            <w:r>
              <w:rPr>
                <w:rFonts w:ascii="Calibri"/>
                <w:spacing w:val="-8"/>
                <w:sz w:val="22"/>
              </w:rPr>
              <w:t> </w:t>
            </w:r>
            <w:r>
              <w:rPr>
                <w:rFonts w:ascii="Calibri"/>
                <w:sz w:val="22"/>
              </w:rPr>
              <w:t>material</w:t>
            </w:r>
            <w:r>
              <w:rPr>
                <w:rFonts w:ascii="Calibri"/>
                <w:spacing w:val="-8"/>
                <w:sz w:val="22"/>
              </w:rPr>
              <w:t> </w:t>
            </w:r>
            <w:r>
              <w:rPr>
                <w:rFonts w:ascii="Calibri"/>
                <w:sz w:val="22"/>
              </w:rPr>
              <w:t>is</w:t>
            </w:r>
            <w:r>
              <w:rPr>
                <w:rFonts w:ascii="Calibri"/>
                <w:spacing w:val="-4"/>
                <w:sz w:val="22"/>
              </w:rPr>
              <w:t> </w:t>
            </w:r>
            <w:r>
              <w:rPr>
                <w:rFonts w:ascii="Calibri"/>
                <w:spacing w:val="-2"/>
                <w:sz w:val="22"/>
              </w:rPr>
              <w:t>vegetated.</w:t>
            </w:r>
          </w:p>
        </w:tc>
      </w:tr>
      <w:tr>
        <w:trPr>
          <w:trHeight w:val="1040" w:hRule="atLeast"/>
        </w:trPr>
        <w:tc>
          <w:tcPr>
            <w:tcW w:w="1368" w:type="dxa"/>
          </w:tcPr>
          <w:p>
            <w:pPr>
              <w:pStyle w:val="TableParagraph"/>
              <w:spacing w:line="232" w:lineRule="auto" w:before="5"/>
              <w:ind w:left="107" w:right="88"/>
              <w:rPr>
                <w:rFonts w:ascii="Calibri"/>
                <w:b/>
                <w:sz w:val="22"/>
              </w:rPr>
            </w:pPr>
            <w:r>
              <w:rPr>
                <w:rFonts w:ascii="Calibri"/>
                <w:b/>
                <w:sz w:val="22"/>
              </w:rPr>
              <w:t>Filtering</w:t>
            </w:r>
            <w:r>
              <w:rPr>
                <w:rFonts w:ascii="Calibri"/>
                <w:b/>
                <w:spacing w:val="-13"/>
                <w:sz w:val="22"/>
              </w:rPr>
              <w:t> </w:t>
            </w:r>
            <w:r>
              <w:rPr>
                <w:rFonts w:ascii="Calibri"/>
                <w:b/>
                <w:sz w:val="22"/>
              </w:rPr>
              <w:t>and </w:t>
            </w:r>
            <w:r>
              <w:rPr>
                <w:rFonts w:ascii="Calibri"/>
                <w:b/>
                <w:spacing w:val="-2"/>
                <w:sz w:val="22"/>
              </w:rPr>
              <w:t>Buffering</w:t>
            </w:r>
          </w:p>
        </w:tc>
        <w:tc>
          <w:tcPr>
            <w:tcW w:w="1800" w:type="dxa"/>
          </w:tcPr>
          <w:p>
            <w:pPr>
              <w:pStyle w:val="TableParagraph"/>
              <w:spacing w:line="267" w:lineRule="exact" w:before="0"/>
              <w:ind w:left="107"/>
              <w:rPr>
                <w:rFonts w:ascii="Calibri"/>
                <w:sz w:val="22"/>
              </w:rPr>
            </w:pPr>
            <w:r>
              <w:rPr>
                <w:rFonts w:ascii="Calibri"/>
                <w:spacing w:val="-2"/>
                <w:sz w:val="22"/>
              </w:rPr>
              <w:t>Filtering</w:t>
            </w:r>
          </w:p>
        </w:tc>
        <w:tc>
          <w:tcPr>
            <w:tcW w:w="1531" w:type="dxa"/>
          </w:tcPr>
          <w:p>
            <w:pPr>
              <w:pStyle w:val="TableParagraph"/>
              <w:spacing w:line="232" w:lineRule="auto" w:before="5"/>
              <w:ind w:left="107"/>
              <w:rPr>
                <w:rFonts w:ascii="Calibri"/>
                <w:sz w:val="22"/>
              </w:rPr>
            </w:pPr>
            <w:r>
              <w:rPr>
                <w:rFonts w:ascii="Calibri"/>
                <w:spacing w:val="-4"/>
                <w:sz w:val="22"/>
              </w:rPr>
              <w:t>Soil </w:t>
            </w:r>
            <w:r>
              <w:rPr>
                <w:rFonts w:ascii="Calibri"/>
                <w:spacing w:val="-2"/>
                <w:sz w:val="22"/>
              </w:rPr>
              <w:t>contamination</w:t>
            </w:r>
          </w:p>
        </w:tc>
        <w:tc>
          <w:tcPr>
            <w:tcW w:w="4229" w:type="dxa"/>
          </w:tcPr>
          <w:p>
            <w:pPr>
              <w:pStyle w:val="TableParagraph"/>
              <w:spacing w:line="232" w:lineRule="auto" w:before="5"/>
              <w:ind w:left="107"/>
              <w:rPr>
                <w:rFonts w:ascii="Calibri"/>
                <w:sz w:val="22"/>
              </w:rPr>
            </w:pPr>
            <w:r>
              <w:rPr>
                <w:rFonts w:ascii="Calibri"/>
                <w:sz w:val="22"/>
              </w:rPr>
              <w:t>The soil acts as a filter and</w:t>
            </w:r>
            <w:r>
              <w:rPr>
                <w:rFonts w:ascii="Calibri"/>
                <w:spacing w:val="-1"/>
                <w:sz w:val="22"/>
              </w:rPr>
              <w:t> </w:t>
            </w:r>
            <w:r>
              <w:rPr>
                <w:rFonts w:ascii="Calibri"/>
                <w:sz w:val="22"/>
              </w:rPr>
              <w:t>buffer to protect the</w:t>
            </w:r>
            <w:r>
              <w:rPr>
                <w:rFonts w:ascii="Calibri"/>
                <w:spacing w:val="-13"/>
                <w:sz w:val="22"/>
              </w:rPr>
              <w:t> </w:t>
            </w:r>
            <w:r>
              <w:rPr>
                <w:rFonts w:ascii="Calibri"/>
                <w:sz w:val="22"/>
              </w:rPr>
              <w:t>quality</w:t>
            </w:r>
            <w:r>
              <w:rPr>
                <w:rFonts w:ascii="Calibri"/>
                <w:spacing w:val="-12"/>
                <w:sz w:val="22"/>
              </w:rPr>
              <w:t> </w:t>
            </w:r>
            <w:r>
              <w:rPr>
                <w:rFonts w:ascii="Calibri"/>
                <w:sz w:val="22"/>
              </w:rPr>
              <w:t>of</w:t>
            </w:r>
            <w:r>
              <w:rPr>
                <w:rFonts w:ascii="Calibri"/>
                <w:spacing w:val="-13"/>
                <w:sz w:val="22"/>
              </w:rPr>
              <w:t> </w:t>
            </w:r>
            <w:r>
              <w:rPr>
                <w:rFonts w:ascii="Calibri"/>
                <w:sz w:val="22"/>
              </w:rPr>
              <w:t>water,</w:t>
            </w:r>
            <w:r>
              <w:rPr>
                <w:rFonts w:ascii="Calibri"/>
                <w:spacing w:val="-11"/>
                <w:sz w:val="22"/>
              </w:rPr>
              <w:t> </w:t>
            </w:r>
            <w:r>
              <w:rPr>
                <w:rFonts w:ascii="Calibri"/>
                <w:sz w:val="22"/>
              </w:rPr>
              <w:t>air,</w:t>
            </w:r>
            <w:r>
              <w:rPr>
                <w:rFonts w:ascii="Calibri"/>
                <w:spacing w:val="-12"/>
                <w:sz w:val="22"/>
              </w:rPr>
              <w:t> </w:t>
            </w:r>
            <w:r>
              <w:rPr>
                <w:rFonts w:ascii="Calibri"/>
                <w:sz w:val="22"/>
              </w:rPr>
              <w:t>and</w:t>
            </w:r>
            <w:r>
              <w:rPr>
                <w:rFonts w:ascii="Calibri"/>
                <w:spacing w:val="-13"/>
                <w:sz w:val="22"/>
              </w:rPr>
              <w:t> </w:t>
            </w:r>
            <w:r>
              <w:rPr>
                <w:rFonts w:ascii="Calibri"/>
                <w:sz w:val="22"/>
              </w:rPr>
              <w:t>other</w:t>
            </w:r>
            <w:r>
              <w:rPr>
                <w:rFonts w:ascii="Calibri"/>
                <w:spacing w:val="-12"/>
                <w:sz w:val="22"/>
              </w:rPr>
              <w:t> </w:t>
            </w:r>
            <w:r>
              <w:rPr>
                <w:rFonts w:ascii="Calibri"/>
                <w:sz w:val="22"/>
              </w:rPr>
              <w:t>resources by immobilizing, degrading or detoxifying</w:t>
            </w:r>
          </w:p>
          <w:p>
            <w:pPr>
              <w:pStyle w:val="TableParagraph"/>
              <w:spacing w:line="234" w:lineRule="exact" w:before="0"/>
              <w:ind w:left="107"/>
              <w:rPr>
                <w:rFonts w:ascii="Calibri"/>
                <w:sz w:val="22"/>
              </w:rPr>
            </w:pPr>
            <w:r>
              <w:rPr>
                <w:rFonts w:ascii="Calibri"/>
                <w:sz w:val="22"/>
              </w:rPr>
              <w:t>chemical</w:t>
            </w:r>
            <w:r>
              <w:rPr>
                <w:rFonts w:ascii="Calibri"/>
                <w:spacing w:val="-7"/>
                <w:sz w:val="22"/>
              </w:rPr>
              <w:t> </w:t>
            </w:r>
            <w:r>
              <w:rPr>
                <w:rFonts w:ascii="Calibri"/>
                <w:sz w:val="22"/>
              </w:rPr>
              <w:t>compounds</w:t>
            </w:r>
            <w:r>
              <w:rPr>
                <w:rFonts w:ascii="Calibri"/>
                <w:spacing w:val="-7"/>
                <w:sz w:val="22"/>
              </w:rPr>
              <w:t> </w:t>
            </w:r>
            <w:r>
              <w:rPr>
                <w:rFonts w:ascii="Calibri"/>
                <w:sz w:val="22"/>
              </w:rPr>
              <w:t>or</w:t>
            </w:r>
            <w:r>
              <w:rPr>
                <w:rFonts w:ascii="Calibri"/>
                <w:spacing w:val="-7"/>
                <w:sz w:val="22"/>
              </w:rPr>
              <w:t> </w:t>
            </w:r>
            <w:r>
              <w:rPr>
                <w:rFonts w:ascii="Calibri"/>
                <w:sz w:val="22"/>
              </w:rPr>
              <w:t>excess</w:t>
            </w:r>
            <w:r>
              <w:rPr>
                <w:rFonts w:ascii="Calibri"/>
                <w:spacing w:val="-5"/>
                <w:sz w:val="22"/>
              </w:rPr>
              <w:t> </w:t>
            </w:r>
            <w:r>
              <w:rPr>
                <w:rFonts w:ascii="Calibri"/>
                <w:spacing w:val="-2"/>
                <w:sz w:val="22"/>
              </w:rPr>
              <w:t>nutrients.</w:t>
            </w:r>
          </w:p>
        </w:tc>
      </w:tr>
    </w:tbl>
    <w:p>
      <w:pPr>
        <w:pStyle w:val="BodyText"/>
        <w:spacing w:before="229"/>
        <w:rPr>
          <w:rFonts w:ascii="Arial"/>
          <w:b/>
        </w:rPr>
      </w:pPr>
    </w:p>
    <w:p>
      <w:pPr>
        <w:spacing w:before="0"/>
        <w:ind w:left="1151" w:right="0" w:firstLine="0"/>
        <w:jc w:val="left"/>
        <w:rPr>
          <w:rFonts w:ascii="Arial"/>
          <w:i/>
          <w:sz w:val="22"/>
        </w:rPr>
      </w:pPr>
      <w:bookmarkStart w:name="FW-DC-SOIL-02. Detrimental Soil Conditio" w:id="130"/>
      <w:bookmarkEnd w:id="130"/>
      <w:r>
        <w:rPr/>
      </w:r>
      <w:r>
        <w:rPr>
          <w:rFonts w:ascii="Arial"/>
          <w:i/>
          <w:sz w:val="22"/>
        </w:rPr>
        <w:t>FW-DC-SOIL-02.</w:t>
      </w:r>
      <w:r>
        <w:rPr>
          <w:rFonts w:ascii="Arial"/>
          <w:i/>
          <w:spacing w:val="-10"/>
          <w:sz w:val="22"/>
        </w:rPr>
        <w:t> </w:t>
      </w:r>
      <w:r>
        <w:rPr>
          <w:rFonts w:ascii="Arial"/>
          <w:i/>
          <w:sz w:val="22"/>
        </w:rPr>
        <w:t>Detrimental</w:t>
      </w:r>
      <w:r>
        <w:rPr>
          <w:rFonts w:ascii="Arial"/>
          <w:i/>
          <w:spacing w:val="-8"/>
          <w:sz w:val="22"/>
        </w:rPr>
        <w:t> </w:t>
      </w:r>
      <w:r>
        <w:rPr>
          <w:rFonts w:ascii="Arial"/>
          <w:i/>
          <w:sz w:val="22"/>
        </w:rPr>
        <w:t>Soil</w:t>
      </w:r>
      <w:r>
        <w:rPr>
          <w:rFonts w:ascii="Arial"/>
          <w:i/>
          <w:spacing w:val="-8"/>
          <w:sz w:val="22"/>
        </w:rPr>
        <w:t> </w:t>
      </w:r>
      <w:r>
        <w:rPr>
          <w:rFonts w:ascii="Arial"/>
          <w:i/>
          <w:spacing w:val="-2"/>
          <w:sz w:val="22"/>
        </w:rPr>
        <w:t>Conditions</w:t>
      </w:r>
    </w:p>
    <w:p>
      <w:pPr>
        <w:pStyle w:val="BodyText"/>
        <w:spacing w:line="232" w:lineRule="auto" w:before="65"/>
        <w:ind w:left="1152" w:right="750"/>
      </w:pPr>
      <w:r>
        <w:rPr/>
        <w:t>Surface erosion rates are within the natural range of variation for a given biophysical setting. There is no degradation of aquatic habitat and water quality from surface erosion rates</w:t>
      </w:r>
      <w:r>
        <w:rPr/>
        <w:t> resulting</w:t>
      </w:r>
      <w:r>
        <w:rPr>
          <w:spacing w:val="-7"/>
        </w:rPr>
        <w:t> </w:t>
      </w:r>
      <w:r>
        <w:rPr/>
        <w:t>from</w:t>
      </w:r>
      <w:r>
        <w:rPr>
          <w:spacing w:val="-6"/>
        </w:rPr>
        <w:t> </w:t>
      </w:r>
      <w:r>
        <w:rPr/>
        <w:t>permitted</w:t>
      </w:r>
      <w:r>
        <w:rPr>
          <w:spacing w:val="-7"/>
        </w:rPr>
        <w:t> </w:t>
      </w:r>
      <w:r>
        <w:rPr/>
        <w:t>uses</w:t>
      </w:r>
      <w:r>
        <w:rPr>
          <w:spacing w:val="-6"/>
        </w:rPr>
        <w:t> </w:t>
      </w:r>
      <w:r>
        <w:rPr/>
        <w:t>and</w:t>
      </w:r>
      <w:r>
        <w:rPr>
          <w:spacing w:val="-9"/>
        </w:rPr>
        <w:t> </w:t>
      </w:r>
      <w:r>
        <w:rPr/>
        <w:t>management</w:t>
      </w:r>
      <w:r>
        <w:rPr>
          <w:spacing w:val="-6"/>
        </w:rPr>
        <w:t> </w:t>
      </w:r>
      <w:r>
        <w:rPr/>
        <w:t>actions.</w:t>
      </w:r>
      <w:r>
        <w:rPr>
          <w:spacing w:val="-6"/>
        </w:rPr>
        <w:t> </w:t>
      </w:r>
      <w:r>
        <w:rPr/>
        <w:t>Ecological</w:t>
      </w:r>
      <w:r>
        <w:rPr>
          <w:spacing w:val="-6"/>
        </w:rPr>
        <w:t> </w:t>
      </w:r>
      <w:r>
        <w:rPr/>
        <w:t>and</w:t>
      </w:r>
      <w:r>
        <w:rPr>
          <w:spacing w:val="-7"/>
        </w:rPr>
        <w:t> </w:t>
      </w:r>
      <w:r>
        <w:rPr/>
        <w:t>hydrologic</w:t>
      </w:r>
      <w:r>
        <w:rPr>
          <w:spacing w:val="-6"/>
        </w:rPr>
        <w:t> </w:t>
      </w:r>
      <w:r>
        <w:rPr/>
        <w:t>functions</w:t>
      </w:r>
      <w:r>
        <w:rPr>
          <w:spacing w:val="-8"/>
        </w:rPr>
        <w:t> </w:t>
      </w:r>
      <w:r>
        <w:rPr/>
        <w:t>are not impaired by soil compaction.</w:t>
      </w:r>
    </w:p>
    <w:p>
      <w:pPr>
        <w:spacing w:before="234"/>
        <w:ind w:left="1152" w:right="0" w:firstLine="0"/>
        <w:jc w:val="left"/>
        <w:rPr>
          <w:rFonts w:ascii="Arial"/>
          <w:i/>
          <w:sz w:val="22"/>
        </w:rPr>
      </w:pPr>
      <w:bookmarkStart w:name="FW-DC-SOIL-03. Soil Stability" w:id="131"/>
      <w:bookmarkEnd w:id="131"/>
      <w:r>
        <w:rPr/>
      </w:r>
      <w:r>
        <w:rPr>
          <w:rFonts w:ascii="Arial"/>
          <w:i/>
          <w:sz w:val="22"/>
        </w:rPr>
        <w:t>FW-DC-SOIL-03.</w:t>
      </w:r>
      <w:r>
        <w:rPr>
          <w:rFonts w:ascii="Arial"/>
          <w:i/>
          <w:spacing w:val="-9"/>
          <w:sz w:val="22"/>
        </w:rPr>
        <w:t> </w:t>
      </w:r>
      <w:r>
        <w:rPr>
          <w:rFonts w:ascii="Arial"/>
          <w:i/>
          <w:sz w:val="22"/>
        </w:rPr>
        <w:t>Soil</w:t>
      </w:r>
      <w:r>
        <w:rPr>
          <w:rFonts w:ascii="Arial"/>
          <w:i/>
          <w:spacing w:val="-7"/>
          <w:sz w:val="22"/>
        </w:rPr>
        <w:t> </w:t>
      </w:r>
      <w:r>
        <w:rPr>
          <w:rFonts w:ascii="Arial"/>
          <w:i/>
          <w:spacing w:val="-2"/>
          <w:sz w:val="22"/>
        </w:rPr>
        <w:t>Stability</w:t>
      </w:r>
    </w:p>
    <w:p>
      <w:pPr>
        <w:pStyle w:val="BodyText"/>
        <w:spacing w:line="232" w:lineRule="auto" w:before="65"/>
        <w:ind w:left="1152" w:right="844"/>
        <w:jc w:val="both"/>
      </w:pPr>
      <w:r>
        <w:rPr/>
        <w:t>Soil</w:t>
      </w:r>
      <w:r>
        <w:rPr>
          <w:spacing w:val="-5"/>
        </w:rPr>
        <w:t> </w:t>
      </w:r>
      <w:r>
        <w:rPr/>
        <w:t>stability</w:t>
      </w:r>
      <w:r>
        <w:rPr>
          <w:spacing w:val="-6"/>
        </w:rPr>
        <w:t> </w:t>
      </w:r>
      <w:r>
        <w:rPr/>
        <w:t>varies</w:t>
      </w:r>
      <w:r>
        <w:rPr>
          <w:spacing w:val="-4"/>
        </w:rPr>
        <w:t> </w:t>
      </w:r>
      <w:r>
        <w:rPr/>
        <w:t>from</w:t>
      </w:r>
      <w:r>
        <w:rPr>
          <w:spacing w:val="-6"/>
        </w:rPr>
        <w:t> </w:t>
      </w:r>
      <w:r>
        <w:rPr/>
        <w:t>minor</w:t>
      </w:r>
      <w:r>
        <w:rPr>
          <w:spacing w:val="-5"/>
        </w:rPr>
        <w:t> </w:t>
      </w:r>
      <w:r>
        <w:rPr/>
        <w:t>soil</w:t>
      </w:r>
      <w:r>
        <w:rPr>
          <w:spacing w:val="-5"/>
        </w:rPr>
        <w:t> </w:t>
      </w:r>
      <w:r>
        <w:rPr/>
        <w:t>creep</w:t>
      </w:r>
      <w:r>
        <w:rPr>
          <w:spacing w:val="-6"/>
        </w:rPr>
        <w:t> </w:t>
      </w:r>
      <w:r>
        <w:rPr/>
        <w:t>to</w:t>
      </w:r>
      <w:r>
        <w:rPr>
          <w:spacing w:val="-4"/>
        </w:rPr>
        <w:t> </w:t>
      </w:r>
      <w:r>
        <w:rPr/>
        <w:t>active</w:t>
      </w:r>
      <w:r>
        <w:rPr>
          <w:spacing w:val="-4"/>
        </w:rPr>
        <w:t> </w:t>
      </w:r>
      <w:r>
        <w:rPr/>
        <w:t>land</w:t>
      </w:r>
      <w:r>
        <w:rPr>
          <w:spacing w:val="-6"/>
        </w:rPr>
        <w:t> </w:t>
      </w:r>
      <w:r>
        <w:rPr/>
        <w:t>flows</w:t>
      </w:r>
      <w:r>
        <w:rPr>
          <w:spacing w:val="-5"/>
        </w:rPr>
        <w:t> </w:t>
      </w:r>
      <w:r>
        <w:rPr/>
        <w:t>dependent</w:t>
      </w:r>
      <w:r>
        <w:rPr>
          <w:spacing w:val="-6"/>
        </w:rPr>
        <w:t> </w:t>
      </w:r>
      <w:r>
        <w:rPr/>
        <w:t>on</w:t>
      </w:r>
      <w:r>
        <w:rPr>
          <w:spacing w:val="-6"/>
        </w:rPr>
        <w:t> </w:t>
      </w:r>
      <w:r>
        <w:rPr/>
        <w:t>soil</w:t>
      </w:r>
      <w:r>
        <w:rPr>
          <w:spacing w:val="-7"/>
        </w:rPr>
        <w:t> </w:t>
      </w:r>
      <w:r>
        <w:rPr/>
        <w:t>characteristics, soil</w:t>
      </w:r>
      <w:r>
        <w:rPr>
          <w:spacing w:val="-8"/>
        </w:rPr>
        <w:t> </w:t>
      </w:r>
      <w:r>
        <w:rPr/>
        <w:t>moisture,</w:t>
      </w:r>
      <w:r>
        <w:rPr>
          <w:spacing w:val="-7"/>
        </w:rPr>
        <w:t> </w:t>
      </w:r>
      <w:r>
        <w:rPr/>
        <w:t>and</w:t>
      </w:r>
      <w:r>
        <w:rPr>
          <w:spacing w:val="-6"/>
        </w:rPr>
        <w:t> </w:t>
      </w:r>
      <w:r>
        <w:rPr/>
        <w:t>triggers.</w:t>
      </w:r>
      <w:r>
        <w:rPr>
          <w:spacing w:val="-8"/>
        </w:rPr>
        <w:t> </w:t>
      </w:r>
      <w:r>
        <w:rPr/>
        <w:t>Management</w:t>
      </w:r>
      <w:r>
        <w:rPr>
          <w:spacing w:val="-5"/>
        </w:rPr>
        <w:t> </w:t>
      </w:r>
      <w:r>
        <w:rPr/>
        <w:t>activities</w:t>
      </w:r>
      <w:r>
        <w:rPr>
          <w:spacing w:val="-6"/>
        </w:rPr>
        <w:t> </w:t>
      </w:r>
      <w:r>
        <w:rPr/>
        <w:t>do</w:t>
      </w:r>
      <w:r>
        <w:rPr>
          <w:spacing w:val="-6"/>
        </w:rPr>
        <w:t> </w:t>
      </w:r>
      <w:r>
        <w:rPr/>
        <w:t>not</w:t>
      </w:r>
      <w:r>
        <w:rPr>
          <w:spacing w:val="-5"/>
        </w:rPr>
        <w:t> </w:t>
      </w:r>
      <w:r>
        <w:rPr/>
        <w:t>accelerate</w:t>
      </w:r>
      <w:r>
        <w:rPr>
          <w:spacing w:val="-5"/>
        </w:rPr>
        <w:t> </w:t>
      </w:r>
      <w:r>
        <w:rPr/>
        <w:t>underlying</w:t>
      </w:r>
      <w:r>
        <w:rPr>
          <w:spacing w:val="-6"/>
        </w:rPr>
        <w:t> </w:t>
      </w:r>
      <w:r>
        <w:rPr/>
        <w:t>soil</w:t>
      </w:r>
      <w:r>
        <w:rPr>
          <w:spacing w:val="-8"/>
        </w:rPr>
        <w:t> </w:t>
      </w:r>
      <w:r>
        <w:rPr/>
        <w:t>movement </w:t>
      </w:r>
      <w:r>
        <w:rPr>
          <w:spacing w:val="-2"/>
        </w:rPr>
        <w:t>rates.</w:t>
      </w:r>
    </w:p>
    <w:p>
      <w:pPr>
        <w:pStyle w:val="BodyText"/>
        <w:rPr>
          <w:sz w:val="20"/>
        </w:rPr>
      </w:pPr>
    </w:p>
    <w:p>
      <w:pPr>
        <w:pStyle w:val="BodyText"/>
        <w:rPr>
          <w:sz w:val="20"/>
        </w:rPr>
      </w:pPr>
    </w:p>
    <w:p>
      <w:pPr>
        <w:pStyle w:val="BodyText"/>
        <w:spacing w:before="140"/>
        <w:rPr>
          <w:sz w:val="20"/>
        </w:rPr>
      </w:pPr>
      <w:r>
        <w:rPr>
          <w:sz w:val="20"/>
        </w:rPr>
        <mc:AlternateContent>
          <mc:Choice Requires="wps">
            <w:drawing>
              <wp:anchor distT="0" distB="0" distL="0" distR="0" allowOverlap="1" layoutInCell="1" locked="0" behindDoc="1" simplePos="0" relativeHeight="487595008">
                <wp:simplePos x="0" y="0"/>
                <wp:positionH relativeFrom="page">
                  <wp:posOffset>1417319</wp:posOffset>
                </wp:positionH>
                <wp:positionV relativeFrom="paragraph">
                  <wp:posOffset>259776</wp:posOffset>
                </wp:positionV>
                <wp:extent cx="1828800" cy="7620"/>
                <wp:effectExtent l="0" t="0" r="0" b="0"/>
                <wp:wrapTopAndBottom/>
                <wp:docPr id="141" name="Graphic 141"/>
                <wp:cNvGraphicFramePr>
                  <a:graphicFrameLocks/>
                </wp:cNvGraphicFramePr>
                <a:graphic>
                  <a:graphicData uri="http://schemas.microsoft.com/office/word/2010/wordprocessingShape">
                    <wps:wsp>
                      <wps:cNvPr id="141" name="Graphic 141"/>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0.454844pt;width:144pt;height:.6pt;mso-position-horizontal-relative:page;mso-position-vertical-relative:paragraph;z-index:-15721472;mso-wrap-distance-left:0;mso-wrap-distance-right:0" id="docshape133" filled="true" fillcolor="#000000" stroked="false">
                <v:fill type="solid"/>
                <w10:wrap type="topAndBottom"/>
              </v:rect>
            </w:pict>
          </mc:Fallback>
        </mc:AlternateContent>
      </w:r>
    </w:p>
    <w:p>
      <w:pPr>
        <w:spacing w:before="95"/>
        <w:ind w:left="1152" w:right="1073" w:hanging="1"/>
        <w:jc w:val="left"/>
        <w:rPr>
          <w:sz w:val="18"/>
        </w:rPr>
      </w:pPr>
      <w:bookmarkStart w:name="_bookmark67" w:id="132"/>
      <w:bookmarkEnd w:id="132"/>
      <w:r>
        <w:rPr/>
      </w:r>
      <w:r>
        <w:rPr>
          <w:position w:val="5"/>
          <w:sz w:val="12"/>
        </w:rPr>
        <w:t>5</w:t>
      </w:r>
      <w:r>
        <w:rPr>
          <w:spacing w:val="9"/>
          <w:position w:val="5"/>
          <w:sz w:val="12"/>
        </w:rPr>
        <w:t> </w:t>
      </w:r>
      <w:r>
        <w:rPr>
          <w:sz w:val="18"/>
        </w:rPr>
        <w:t>Soil</w:t>
      </w:r>
      <w:r>
        <w:rPr>
          <w:spacing w:val="-4"/>
          <w:sz w:val="18"/>
        </w:rPr>
        <w:t> </w:t>
      </w:r>
      <w:r>
        <w:rPr>
          <w:sz w:val="18"/>
        </w:rPr>
        <w:t>characteristics</w:t>
      </w:r>
      <w:r>
        <w:rPr>
          <w:spacing w:val="-4"/>
          <w:sz w:val="18"/>
        </w:rPr>
        <w:t> </w:t>
      </w:r>
      <w:r>
        <w:rPr>
          <w:sz w:val="18"/>
        </w:rPr>
        <w:t>are</w:t>
      </w:r>
      <w:r>
        <w:rPr>
          <w:spacing w:val="-4"/>
          <w:sz w:val="18"/>
        </w:rPr>
        <w:t> </w:t>
      </w:r>
      <w:r>
        <w:rPr>
          <w:sz w:val="18"/>
        </w:rPr>
        <w:t>defined</w:t>
      </w:r>
      <w:r>
        <w:rPr>
          <w:spacing w:val="-4"/>
          <w:sz w:val="18"/>
        </w:rPr>
        <w:t> </w:t>
      </w:r>
      <w:r>
        <w:rPr>
          <w:sz w:val="18"/>
        </w:rPr>
        <w:t>by</w:t>
      </w:r>
      <w:r>
        <w:rPr>
          <w:spacing w:val="-3"/>
          <w:sz w:val="18"/>
        </w:rPr>
        <w:t> </w:t>
      </w:r>
      <w:r>
        <w:rPr>
          <w:sz w:val="18"/>
        </w:rPr>
        <w:t>Natural</w:t>
      </w:r>
      <w:r>
        <w:rPr>
          <w:spacing w:val="-4"/>
          <w:sz w:val="18"/>
        </w:rPr>
        <w:t> </w:t>
      </w:r>
      <w:r>
        <w:rPr>
          <w:sz w:val="18"/>
        </w:rPr>
        <w:t>Resources</w:t>
      </w:r>
      <w:r>
        <w:rPr>
          <w:spacing w:val="-4"/>
          <w:sz w:val="18"/>
        </w:rPr>
        <w:t> </w:t>
      </w:r>
      <w:r>
        <w:rPr>
          <w:sz w:val="18"/>
        </w:rPr>
        <w:t>Conservation</w:t>
      </w:r>
      <w:r>
        <w:rPr>
          <w:spacing w:val="-4"/>
          <w:sz w:val="18"/>
        </w:rPr>
        <w:t> </w:t>
      </w:r>
      <w:r>
        <w:rPr>
          <w:sz w:val="18"/>
        </w:rPr>
        <w:t>Service</w:t>
      </w:r>
      <w:r>
        <w:rPr>
          <w:spacing w:val="-2"/>
          <w:sz w:val="18"/>
        </w:rPr>
        <w:t> </w:t>
      </w:r>
      <w:r>
        <w:rPr>
          <w:sz w:val="18"/>
        </w:rPr>
        <w:t>SSUGRO</w:t>
      </w:r>
      <w:r>
        <w:rPr>
          <w:spacing w:val="-2"/>
          <w:sz w:val="18"/>
        </w:rPr>
        <w:t> </w:t>
      </w:r>
      <w:r>
        <w:rPr>
          <w:sz w:val="18"/>
        </w:rPr>
        <w:t>(Soil</w:t>
      </w:r>
      <w:r>
        <w:rPr>
          <w:spacing w:val="-4"/>
          <w:sz w:val="18"/>
        </w:rPr>
        <w:t> </w:t>
      </w:r>
      <w:r>
        <w:rPr>
          <w:sz w:val="18"/>
        </w:rPr>
        <w:t>Survey</w:t>
      </w:r>
      <w:r>
        <w:rPr>
          <w:spacing w:val="-1"/>
          <w:sz w:val="18"/>
        </w:rPr>
        <w:t> </w:t>
      </w:r>
      <w:r>
        <w:rPr>
          <w:sz w:val="18"/>
        </w:rPr>
        <w:t>Geographic Database) soil data layer</w:t>
      </w:r>
    </w:p>
    <w:p>
      <w:pPr>
        <w:spacing w:after="0"/>
        <w:jc w:val="left"/>
        <w:rPr>
          <w:sz w:val="18"/>
        </w:rPr>
        <w:sectPr>
          <w:pgSz w:w="12240" w:h="15840"/>
          <w:pgMar w:header="725" w:footer="891" w:top="960" w:bottom="1080" w:left="1080" w:right="720"/>
        </w:sectPr>
      </w:pPr>
    </w:p>
    <w:p>
      <w:pPr>
        <w:pStyle w:val="BodyText"/>
        <w:spacing w:before="182"/>
        <w:rPr>
          <w:sz w:val="24"/>
        </w:rPr>
      </w:pPr>
    </w:p>
    <w:p>
      <w:pPr>
        <w:pStyle w:val="Heading4"/>
      </w:pPr>
      <w:bookmarkStart w:name="Objective" w:id="133"/>
      <w:bookmarkEnd w:id="133"/>
      <w:r>
        <w:rPr/>
      </w:r>
      <w:bookmarkStart w:name="_bookmark68" w:id="134"/>
      <w:bookmarkEnd w:id="134"/>
      <w:r>
        <w:rPr/>
      </w:r>
      <w:r>
        <w:rPr>
          <w:spacing w:val="-2"/>
        </w:rPr>
        <w:t>Objective</w:t>
      </w:r>
    </w:p>
    <w:p>
      <w:pPr>
        <w:spacing w:before="240"/>
        <w:ind w:left="360" w:right="0" w:firstLine="0"/>
        <w:jc w:val="left"/>
        <w:rPr>
          <w:rFonts w:ascii="Arial"/>
          <w:i/>
          <w:sz w:val="22"/>
        </w:rPr>
      </w:pPr>
      <w:bookmarkStart w:name="FW-OBJ-SOIL-01. Soil Productivity and Fu" w:id="135"/>
      <w:bookmarkEnd w:id="135"/>
      <w:r>
        <w:rPr/>
      </w:r>
      <w:r>
        <w:rPr>
          <w:rFonts w:ascii="Arial"/>
          <w:i/>
          <w:sz w:val="22"/>
        </w:rPr>
        <w:t>FW-OBJ-SOIL-01.</w:t>
      </w:r>
      <w:r>
        <w:rPr>
          <w:rFonts w:ascii="Arial"/>
          <w:i/>
          <w:spacing w:val="-7"/>
          <w:sz w:val="22"/>
        </w:rPr>
        <w:t> </w:t>
      </w:r>
      <w:r>
        <w:rPr>
          <w:rFonts w:ascii="Arial"/>
          <w:i/>
          <w:sz w:val="22"/>
        </w:rPr>
        <w:t>Soil</w:t>
      </w:r>
      <w:r>
        <w:rPr>
          <w:rFonts w:ascii="Arial"/>
          <w:i/>
          <w:spacing w:val="-6"/>
          <w:sz w:val="22"/>
        </w:rPr>
        <w:t> </w:t>
      </w:r>
      <w:r>
        <w:rPr>
          <w:rFonts w:ascii="Arial"/>
          <w:i/>
          <w:sz w:val="22"/>
        </w:rPr>
        <w:t>Productivity</w:t>
      </w:r>
      <w:r>
        <w:rPr>
          <w:rFonts w:ascii="Arial"/>
          <w:i/>
          <w:spacing w:val="-8"/>
          <w:sz w:val="22"/>
        </w:rPr>
        <w:t> </w:t>
      </w:r>
      <w:r>
        <w:rPr>
          <w:rFonts w:ascii="Arial"/>
          <w:i/>
          <w:sz w:val="22"/>
        </w:rPr>
        <w:t>and</w:t>
      </w:r>
      <w:r>
        <w:rPr>
          <w:rFonts w:ascii="Arial"/>
          <w:i/>
          <w:spacing w:val="-5"/>
          <w:sz w:val="22"/>
        </w:rPr>
        <w:t> </w:t>
      </w:r>
      <w:r>
        <w:rPr>
          <w:rFonts w:ascii="Arial"/>
          <w:i/>
          <w:spacing w:val="-2"/>
          <w:sz w:val="22"/>
        </w:rPr>
        <w:t>Function</w:t>
      </w:r>
    </w:p>
    <w:p>
      <w:pPr>
        <w:pStyle w:val="BodyText"/>
        <w:spacing w:line="232" w:lineRule="auto" w:before="65"/>
        <w:ind w:left="359" w:right="1445"/>
      </w:pPr>
      <w:r>
        <w:rPr/>
        <w:t>Within</w:t>
      </w:r>
      <w:r>
        <w:rPr>
          <w:spacing w:val="-9"/>
        </w:rPr>
        <w:t> </w:t>
      </w:r>
      <w:r>
        <w:rPr/>
        <w:t>5</w:t>
      </w:r>
      <w:r>
        <w:rPr>
          <w:spacing w:val="-9"/>
        </w:rPr>
        <w:t> </w:t>
      </w:r>
      <w:r>
        <w:rPr/>
        <w:t>years</w:t>
      </w:r>
      <w:r>
        <w:rPr>
          <w:spacing w:val="-8"/>
        </w:rPr>
        <w:t> </w:t>
      </w:r>
      <w:r>
        <w:rPr/>
        <w:t>of</w:t>
      </w:r>
      <w:r>
        <w:rPr>
          <w:spacing w:val="-8"/>
        </w:rPr>
        <w:t> </w:t>
      </w:r>
      <w:r>
        <w:rPr/>
        <w:t>plan</w:t>
      </w:r>
      <w:r>
        <w:rPr>
          <w:spacing w:val="-9"/>
        </w:rPr>
        <w:t> </w:t>
      </w:r>
      <w:r>
        <w:rPr/>
        <w:t>implementation,</w:t>
      </w:r>
      <w:r>
        <w:rPr>
          <w:spacing w:val="-9"/>
        </w:rPr>
        <w:t> </w:t>
      </w:r>
      <w:r>
        <w:rPr/>
        <w:t>annually</w:t>
      </w:r>
      <w:r>
        <w:rPr>
          <w:spacing w:val="-7"/>
        </w:rPr>
        <w:t> </w:t>
      </w:r>
      <w:r>
        <w:rPr/>
        <w:t>stabilize,</w:t>
      </w:r>
      <w:r>
        <w:rPr>
          <w:spacing w:val="-8"/>
        </w:rPr>
        <w:t> </w:t>
      </w:r>
      <w:r>
        <w:rPr/>
        <w:t>rehabilitate,</w:t>
      </w:r>
      <w:r>
        <w:rPr>
          <w:spacing w:val="-9"/>
        </w:rPr>
        <w:t> </w:t>
      </w:r>
      <w:r>
        <w:rPr/>
        <w:t>or</w:t>
      </w:r>
      <w:r>
        <w:rPr>
          <w:spacing w:val="-9"/>
        </w:rPr>
        <w:t> </w:t>
      </w:r>
      <w:r>
        <w:rPr/>
        <w:t>restore</w:t>
      </w:r>
      <w:r>
        <w:rPr>
          <w:spacing w:val="-9"/>
        </w:rPr>
        <w:t> </w:t>
      </w:r>
      <w:r>
        <w:rPr/>
        <w:t>natural processes that support soil productivity and function on 20 to 30 acres.</w:t>
      </w:r>
    </w:p>
    <w:p>
      <w:pPr>
        <w:pStyle w:val="Heading4"/>
        <w:spacing w:before="234"/>
      </w:pPr>
      <w:bookmarkStart w:name="Standard" w:id="136"/>
      <w:bookmarkEnd w:id="136"/>
      <w:r>
        <w:rPr/>
      </w:r>
      <w:bookmarkStart w:name="_bookmark69" w:id="137"/>
      <w:bookmarkEnd w:id="137"/>
      <w:r>
        <w:rPr/>
      </w:r>
      <w:r>
        <w:rPr>
          <w:spacing w:val="-2"/>
        </w:rPr>
        <w:t>Standard</w:t>
      </w:r>
    </w:p>
    <w:p>
      <w:pPr>
        <w:spacing w:before="240"/>
        <w:ind w:left="360" w:right="0" w:firstLine="0"/>
        <w:jc w:val="left"/>
        <w:rPr>
          <w:rFonts w:ascii="Arial"/>
          <w:i/>
          <w:sz w:val="22"/>
        </w:rPr>
      </w:pPr>
      <w:bookmarkStart w:name="FW-STD-SOIL-01. Effective Ground Cover" w:id="138"/>
      <w:bookmarkEnd w:id="138"/>
      <w:r>
        <w:rPr/>
      </w:r>
      <w:r>
        <w:rPr>
          <w:rFonts w:ascii="Arial"/>
          <w:i/>
          <w:sz w:val="22"/>
        </w:rPr>
        <w:t>FW-STD-SOIL-01.</w:t>
      </w:r>
      <w:r>
        <w:rPr>
          <w:rFonts w:ascii="Arial"/>
          <w:i/>
          <w:spacing w:val="-9"/>
          <w:sz w:val="22"/>
        </w:rPr>
        <w:t> </w:t>
      </w:r>
      <w:r>
        <w:rPr>
          <w:rFonts w:ascii="Arial"/>
          <w:i/>
          <w:sz w:val="22"/>
        </w:rPr>
        <w:t>Effective</w:t>
      </w:r>
      <w:r>
        <w:rPr>
          <w:rFonts w:ascii="Arial"/>
          <w:i/>
          <w:spacing w:val="-8"/>
          <w:sz w:val="22"/>
        </w:rPr>
        <w:t> </w:t>
      </w:r>
      <w:r>
        <w:rPr>
          <w:rFonts w:ascii="Arial"/>
          <w:i/>
          <w:sz w:val="22"/>
        </w:rPr>
        <w:t>Ground</w:t>
      </w:r>
      <w:r>
        <w:rPr>
          <w:rFonts w:ascii="Arial"/>
          <w:i/>
          <w:spacing w:val="-8"/>
          <w:sz w:val="22"/>
        </w:rPr>
        <w:t> </w:t>
      </w:r>
      <w:r>
        <w:rPr>
          <w:rFonts w:ascii="Arial"/>
          <w:i/>
          <w:spacing w:val="-4"/>
          <w:sz w:val="22"/>
        </w:rPr>
        <w:t>Cover</w:t>
      </w:r>
    </w:p>
    <w:p>
      <w:pPr>
        <w:pStyle w:val="BodyText"/>
        <w:spacing w:line="232" w:lineRule="auto" w:before="64"/>
        <w:ind w:left="359" w:right="1621"/>
      </w:pPr>
      <w:r>
        <w:rPr/>
        <w:t>Minimum</w:t>
      </w:r>
      <w:r>
        <w:rPr>
          <w:spacing w:val="-6"/>
        </w:rPr>
        <w:t> </w:t>
      </w:r>
      <w:r>
        <w:rPr/>
        <w:t>effective</w:t>
      </w:r>
      <w:r>
        <w:rPr>
          <w:spacing w:val="-6"/>
        </w:rPr>
        <w:t> </w:t>
      </w:r>
      <w:r>
        <w:rPr/>
        <w:t>ground</w:t>
      </w:r>
      <w:r>
        <w:rPr>
          <w:spacing w:val="-10"/>
        </w:rPr>
        <w:t> </w:t>
      </w:r>
      <w:r>
        <w:rPr/>
        <w:t>cover</w:t>
      </w:r>
      <w:r>
        <w:rPr>
          <w:spacing w:val="-7"/>
        </w:rPr>
        <w:t> </w:t>
      </w:r>
      <w:r>
        <w:rPr/>
        <w:t>following</w:t>
      </w:r>
      <w:r>
        <w:rPr>
          <w:spacing w:val="-8"/>
        </w:rPr>
        <w:t> </w:t>
      </w:r>
      <w:r>
        <w:rPr/>
        <w:t>any</w:t>
      </w:r>
      <w:r>
        <w:rPr>
          <w:spacing w:val="-8"/>
        </w:rPr>
        <w:t> </w:t>
      </w:r>
      <w:r>
        <w:rPr/>
        <w:t>soil-disturbing</w:t>
      </w:r>
      <w:r>
        <w:rPr>
          <w:spacing w:val="-8"/>
        </w:rPr>
        <w:t> </w:t>
      </w:r>
      <w:r>
        <w:rPr/>
        <w:t>management</w:t>
      </w:r>
      <w:r>
        <w:rPr>
          <w:spacing w:val="-6"/>
        </w:rPr>
        <w:t> </w:t>
      </w:r>
      <w:r>
        <w:rPr/>
        <w:t>activity</w:t>
      </w:r>
      <w:r>
        <w:rPr>
          <w:spacing w:val="-6"/>
        </w:rPr>
        <w:t> </w:t>
      </w:r>
      <w:r>
        <w:rPr/>
        <w:t>should</w:t>
      </w:r>
      <w:r>
        <w:rPr>
          <w:spacing w:val="-8"/>
        </w:rPr>
        <w:t> </w:t>
      </w:r>
      <w:r>
        <w:rPr/>
        <w:t>be as shown in the following table.</w:t>
      </w:r>
    </w:p>
    <w:p>
      <w:pPr>
        <w:pStyle w:val="BodyText"/>
        <w:spacing w:before="85"/>
      </w:pPr>
    </w:p>
    <w:p>
      <w:pPr>
        <w:spacing w:before="0" w:after="42"/>
        <w:ind w:left="360" w:right="0" w:firstLine="0"/>
        <w:jc w:val="left"/>
        <w:rPr>
          <w:rFonts w:ascii="Arial"/>
          <w:b/>
          <w:sz w:val="18"/>
        </w:rPr>
      </w:pPr>
      <w:bookmarkStart w:name="_bookmark70" w:id="139"/>
      <w:bookmarkEnd w:id="139"/>
      <w:r>
        <w:rPr/>
      </w:r>
      <w:r>
        <w:rPr>
          <w:rFonts w:ascii="Arial"/>
          <w:b/>
          <w:sz w:val="18"/>
        </w:rPr>
        <w:t>Table</w:t>
      </w:r>
      <w:r>
        <w:rPr>
          <w:rFonts w:ascii="Arial"/>
          <w:b/>
          <w:spacing w:val="-6"/>
          <w:sz w:val="18"/>
        </w:rPr>
        <w:t> </w:t>
      </w:r>
      <w:r>
        <w:rPr>
          <w:rFonts w:ascii="Arial"/>
          <w:b/>
          <w:sz w:val="18"/>
        </w:rPr>
        <w:t>2.</w:t>
      </w:r>
      <w:r>
        <w:rPr>
          <w:rFonts w:ascii="Arial"/>
          <w:b/>
          <w:spacing w:val="-2"/>
          <w:sz w:val="18"/>
        </w:rPr>
        <w:t> </w:t>
      </w:r>
      <w:r>
        <w:rPr>
          <w:rFonts w:ascii="Arial"/>
          <w:b/>
          <w:sz w:val="18"/>
        </w:rPr>
        <w:t>Minimum</w:t>
      </w:r>
      <w:r>
        <w:rPr>
          <w:rFonts w:ascii="Arial"/>
          <w:b/>
          <w:spacing w:val="-1"/>
          <w:sz w:val="18"/>
        </w:rPr>
        <w:t> </w:t>
      </w:r>
      <w:r>
        <w:rPr>
          <w:rFonts w:ascii="Arial"/>
          <w:b/>
          <w:sz w:val="18"/>
        </w:rPr>
        <w:t>effective ground</w:t>
      </w:r>
      <w:r>
        <w:rPr>
          <w:rFonts w:ascii="Arial"/>
          <w:b/>
          <w:spacing w:val="-2"/>
          <w:sz w:val="18"/>
        </w:rPr>
        <w:t> </w:t>
      </w:r>
      <w:r>
        <w:rPr>
          <w:rFonts w:ascii="Arial"/>
          <w:b/>
          <w:sz w:val="18"/>
        </w:rPr>
        <w:t>cover</w:t>
      </w:r>
      <w:r>
        <w:rPr>
          <w:rFonts w:ascii="Arial"/>
          <w:b/>
          <w:spacing w:val="-3"/>
          <w:sz w:val="18"/>
        </w:rPr>
        <w:t> </w:t>
      </w:r>
      <w:r>
        <w:rPr>
          <w:rFonts w:ascii="Arial"/>
          <w:b/>
          <w:sz w:val="18"/>
        </w:rPr>
        <w:t>following</w:t>
      </w:r>
      <w:r>
        <w:rPr>
          <w:rFonts w:ascii="Arial"/>
          <w:b/>
          <w:spacing w:val="-1"/>
          <w:sz w:val="18"/>
        </w:rPr>
        <w:t> </w:t>
      </w:r>
      <w:r>
        <w:rPr>
          <w:rFonts w:ascii="Arial"/>
          <w:b/>
          <w:sz w:val="18"/>
        </w:rPr>
        <w:t>any</w:t>
      </w:r>
      <w:r>
        <w:rPr>
          <w:rFonts w:ascii="Arial"/>
          <w:b/>
          <w:spacing w:val="-11"/>
          <w:sz w:val="18"/>
        </w:rPr>
        <w:t> </w:t>
      </w:r>
      <w:r>
        <w:rPr>
          <w:rFonts w:ascii="Arial"/>
          <w:b/>
          <w:sz w:val="18"/>
        </w:rPr>
        <w:t>soil-disturbing</w:t>
      </w:r>
      <w:r>
        <w:rPr>
          <w:rFonts w:ascii="Arial"/>
          <w:b/>
          <w:spacing w:val="-1"/>
          <w:sz w:val="18"/>
        </w:rPr>
        <w:t> </w:t>
      </w:r>
      <w:r>
        <w:rPr>
          <w:rFonts w:ascii="Arial"/>
          <w:b/>
          <w:spacing w:val="-2"/>
          <w:sz w:val="18"/>
        </w:rPr>
        <w:t>activity</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628"/>
        <w:gridCol w:w="3214"/>
        <w:gridCol w:w="2708"/>
      </w:tblGrid>
      <w:tr>
        <w:trPr>
          <w:trHeight w:val="460" w:hRule="atLeast"/>
        </w:trPr>
        <w:tc>
          <w:tcPr>
            <w:tcW w:w="2628" w:type="dxa"/>
            <w:tcBorders>
              <w:bottom w:val="single" w:sz="6" w:space="0" w:color="9BBA58"/>
            </w:tcBorders>
            <w:shd w:val="clear" w:color="auto" w:fill="D5E2BB"/>
          </w:tcPr>
          <w:p>
            <w:pPr>
              <w:pStyle w:val="TableParagraph"/>
              <w:spacing w:before="0"/>
              <w:rPr>
                <w:rFonts w:ascii="Times New Roman"/>
                <w:sz w:val="20"/>
              </w:rPr>
            </w:pPr>
          </w:p>
        </w:tc>
        <w:tc>
          <w:tcPr>
            <w:tcW w:w="3214" w:type="dxa"/>
            <w:tcBorders>
              <w:bottom w:val="single" w:sz="6" w:space="0" w:color="9BBA58"/>
              <w:right w:val="nil"/>
            </w:tcBorders>
            <w:shd w:val="clear" w:color="auto" w:fill="D5E2BB"/>
          </w:tcPr>
          <w:p>
            <w:pPr>
              <w:pStyle w:val="TableParagraph"/>
              <w:spacing w:line="267" w:lineRule="exact" w:before="0"/>
              <w:ind w:left="638"/>
              <w:rPr>
                <w:rFonts w:ascii="Calibri"/>
                <w:b/>
                <w:sz w:val="22"/>
              </w:rPr>
            </w:pPr>
            <w:r>
              <w:rPr>
                <w:rFonts w:ascii="Calibri"/>
                <w:b/>
                <w:sz w:val="22"/>
              </w:rPr>
              <w:t>Minimum</w:t>
            </w:r>
            <w:r>
              <w:rPr>
                <w:rFonts w:ascii="Calibri"/>
                <w:b/>
                <w:spacing w:val="-9"/>
                <w:sz w:val="22"/>
              </w:rPr>
              <w:t> </w:t>
            </w:r>
            <w:r>
              <w:rPr>
                <w:rFonts w:ascii="Calibri"/>
                <w:b/>
                <w:sz w:val="22"/>
              </w:rPr>
              <w:t>percent</w:t>
            </w:r>
            <w:r>
              <w:rPr>
                <w:rFonts w:ascii="Calibri"/>
                <w:b/>
                <w:spacing w:val="-7"/>
                <w:sz w:val="22"/>
              </w:rPr>
              <w:t> </w:t>
            </w:r>
            <w:r>
              <w:rPr>
                <w:rFonts w:ascii="Calibri"/>
                <w:b/>
                <w:spacing w:val="-2"/>
                <w:sz w:val="22"/>
              </w:rPr>
              <w:t>effective</w:t>
            </w:r>
          </w:p>
        </w:tc>
        <w:tc>
          <w:tcPr>
            <w:tcW w:w="2708" w:type="dxa"/>
            <w:tcBorders>
              <w:left w:val="nil"/>
              <w:bottom w:val="single" w:sz="6" w:space="0" w:color="9BBA58"/>
            </w:tcBorders>
            <w:shd w:val="clear" w:color="auto" w:fill="D5E2BB"/>
          </w:tcPr>
          <w:p>
            <w:pPr>
              <w:pStyle w:val="TableParagraph"/>
              <w:spacing w:line="267" w:lineRule="exact" w:before="0"/>
              <w:ind w:left="6"/>
              <w:rPr>
                <w:rFonts w:ascii="Calibri"/>
                <w:b/>
                <w:sz w:val="22"/>
              </w:rPr>
            </w:pPr>
            <w:r>
              <w:rPr>
                <w:rFonts w:ascii="Calibri"/>
                <w:b/>
                <w:sz w:val="22"/>
              </w:rPr>
              <w:t>ground</w:t>
            </w:r>
            <w:r>
              <w:rPr>
                <w:rFonts w:ascii="Calibri"/>
                <w:b/>
                <w:spacing w:val="-9"/>
                <w:sz w:val="22"/>
              </w:rPr>
              <w:t> </w:t>
            </w:r>
            <w:r>
              <w:rPr>
                <w:rFonts w:ascii="Calibri"/>
                <w:b/>
                <w:spacing w:val="-2"/>
                <w:sz w:val="22"/>
              </w:rPr>
              <w:t>cover</w:t>
            </w:r>
          </w:p>
        </w:tc>
      </w:tr>
      <w:tr>
        <w:trPr>
          <w:trHeight w:val="460" w:hRule="atLeast"/>
        </w:trPr>
        <w:tc>
          <w:tcPr>
            <w:tcW w:w="2628" w:type="dxa"/>
            <w:tcBorders>
              <w:top w:val="single" w:sz="6" w:space="0" w:color="9BBA58"/>
            </w:tcBorders>
          </w:tcPr>
          <w:p>
            <w:pPr>
              <w:pStyle w:val="TableParagraph"/>
              <w:spacing w:line="268" w:lineRule="exact" w:before="0"/>
              <w:ind w:left="107"/>
              <w:rPr>
                <w:rFonts w:ascii="Calibri"/>
                <w:b/>
                <w:sz w:val="22"/>
              </w:rPr>
            </w:pPr>
            <w:r>
              <w:rPr>
                <w:rFonts w:ascii="Calibri"/>
                <w:b/>
                <w:sz w:val="22"/>
              </w:rPr>
              <w:t>Erosion</w:t>
            </w:r>
            <w:r>
              <w:rPr>
                <w:rFonts w:ascii="Calibri"/>
                <w:b/>
                <w:spacing w:val="-12"/>
                <w:sz w:val="22"/>
              </w:rPr>
              <w:t> </w:t>
            </w:r>
            <w:r>
              <w:rPr>
                <w:rFonts w:ascii="Calibri"/>
                <w:b/>
                <w:sz w:val="22"/>
              </w:rPr>
              <w:t>hazard</w:t>
            </w:r>
            <w:r>
              <w:rPr>
                <w:rFonts w:ascii="Calibri"/>
                <w:b/>
                <w:spacing w:val="-10"/>
                <w:sz w:val="22"/>
              </w:rPr>
              <w:t> </w:t>
            </w:r>
            <w:r>
              <w:rPr>
                <w:rFonts w:ascii="Calibri"/>
                <w:b/>
                <w:spacing w:val="-4"/>
                <w:sz w:val="22"/>
              </w:rPr>
              <w:t>class</w:t>
            </w:r>
          </w:p>
        </w:tc>
        <w:tc>
          <w:tcPr>
            <w:tcW w:w="3214" w:type="dxa"/>
            <w:tcBorders>
              <w:top w:val="single" w:sz="6" w:space="0" w:color="9BBA58"/>
            </w:tcBorders>
          </w:tcPr>
          <w:p>
            <w:pPr>
              <w:pStyle w:val="TableParagraph"/>
              <w:spacing w:line="268" w:lineRule="exact" w:before="0"/>
              <w:ind w:left="18" w:right="2"/>
              <w:jc w:val="center"/>
              <w:rPr>
                <w:rFonts w:ascii="Calibri"/>
                <w:sz w:val="22"/>
              </w:rPr>
            </w:pPr>
            <w:r>
              <w:rPr>
                <w:rFonts w:ascii="Calibri"/>
                <w:sz w:val="22"/>
              </w:rPr>
              <w:t>1st</w:t>
            </w:r>
            <w:r>
              <w:rPr>
                <w:rFonts w:ascii="Calibri"/>
                <w:spacing w:val="-5"/>
                <w:sz w:val="22"/>
              </w:rPr>
              <w:t> </w:t>
            </w:r>
            <w:r>
              <w:rPr>
                <w:rFonts w:ascii="Calibri"/>
                <w:spacing w:val="-4"/>
                <w:sz w:val="22"/>
              </w:rPr>
              <w:t>year</w:t>
            </w:r>
          </w:p>
        </w:tc>
        <w:tc>
          <w:tcPr>
            <w:tcW w:w="2708" w:type="dxa"/>
            <w:tcBorders>
              <w:top w:val="single" w:sz="6" w:space="0" w:color="9BBA58"/>
            </w:tcBorders>
          </w:tcPr>
          <w:p>
            <w:pPr>
              <w:pStyle w:val="TableParagraph"/>
              <w:spacing w:line="268" w:lineRule="exact" w:before="0"/>
              <w:ind w:left="12"/>
              <w:jc w:val="center"/>
              <w:rPr>
                <w:rFonts w:ascii="Calibri"/>
                <w:sz w:val="22"/>
              </w:rPr>
            </w:pPr>
            <w:r>
              <w:rPr>
                <w:rFonts w:ascii="Calibri"/>
                <w:sz w:val="22"/>
              </w:rPr>
              <w:t>2nd</w:t>
            </w:r>
            <w:r>
              <w:rPr>
                <w:rFonts w:ascii="Calibri"/>
                <w:spacing w:val="-2"/>
                <w:sz w:val="22"/>
              </w:rPr>
              <w:t> </w:t>
            </w:r>
            <w:r>
              <w:rPr>
                <w:rFonts w:ascii="Calibri"/>
                <w:spacing w:val="-4"/>
                <w:sz w:val="22"/>
              </w:rPr>
              <w:t>year</w:t>
            </w:r>
          </w:p>
        </w:tc>
      </w:tr>
      <w:tr>
        <w:trPr>
          <w:trHeight w:val="460" w:hRule="atLeast"/>
        </w:trPr>
        <w:tc>
          <w:tcPr>
            <w:tcW w:w="2628" w:type="dxa"/>
          </w:tcPr>
          <w:p>
            <w:pPr>
              <w:pStyle w:val="TableParagraph"/>
              <w:spacing w:line="267" w:lineRule="exact" w:before="0"/>
              <w:ind w:left="107"/>
              <w:rPr>
                <w:rFonts w:ascii="Calibri"/>
                <w:b/>
                <w:sz w:val="22"/>
              </w:rPr>
            </w:pPr>
            <w:r>
              <w:rPr>
                <w:rFonts w:ascii="Calibri"/>
                <w:b/>
                <w:sz w:val="22"/>
              </w:rPr>
              <w:t>Low</w:t>
            </w:r>
            <w:r>
              <w:rPr>
                <w:rFonts w:ascii="Calibri"/>
                <w:b/>
                <w:spacing w:val="-11"/>
                <w:sz w:val="22"/>
              </w:rPr>
              <w:t> </w:t>
            </w:r>
            <w:r>
              <w:rPr>
                <w:rFonts w:ascii="Calibri"/>
                <w:b/>
                <w:sz w:val="22"/>
              </w:rPr>
              <w:t>(very</w:t>
            </w:r>
            <w:r>
              <w:rPr>
                <w:rFonts w:ascii="Calibri"/>
                <w:b/>
                <w:spacing w:val="-10"/>
                <w:sz w:val="22"/>
              </w:rPr>
              <w:t> </w:t>
            </w:r>
            <w:r>
              <w:rPr>
                <w:rFonts w:ascii="Calibri"/>
                <w:b/>
                <w:sz w:val="22"/>
              </w:rPr>
              <w:t>slight-</w:t>
            </w:r>
            <w:r>
              <w:rPr>
                <w:rFonts w:ascii="Calibri"/>
                <w:b/>
                <w:spacing w:val="-2"/>
                <w:sz w:val="22"/>
              </w:rPr>
              <w:t>slight)</w:t>
            </w:r>
          </w:p>
        </w:tc>
        <w:tc>
          <w:tcPr>
            <w:tcW w:w="3214" w:type="dxa"/>
          </w:tcPr>
          <w:p>
            <w:pPr>
              <w:pStyle w:val="TableParagraph"/>
              <w:spacing w:line="267" w:lineRule="exact" w:before="0"/>
              <w:ind w:left="18"/>
              <w:jc w:val="center"/>
              <w:rPr>
                <w:rFonts w:ascii="Calibri"/>
                <w:sz w:val="22"/>
              </w:rPr>
            </w:pPr>
            <w:r>
              <w:rPr>
                <w:rFonts w:ascii="Calibri"/>
                <w:spacing w:val="-2"/>
                <w:sz w:val="22"/>
              </w:rPr>
              <w:t>20-</w:t>
            </w:r>
            <w:r>
              <w:rPr>
                <w:rFonts w:ascii="Calibri"/>
                <w:spacing w:val="-5"/>
                <w:sz w:val="22"/>
              </w:rPr>
              <w:t>30</w:t>
            </w:r>
          </w:p>
        </w:tc>
        <w:tc>
          <w:tcPr>
            <w:tcW w:w="2708" w:type="dxa"/>
          </w:tcPr>
          <w:p>
            <w:pPr>
              <w:pStyle w:val="TableParagraph"/>
              <w:spacing w:line="267" w:lineRule="exact" w:before="0"/>
              <w:ind w:left="15"/>
              <w:jc w:val="center"/>
              <w:rPr>
                <w:rFonts w:ascii="Calibri"/>
                <w:sz w:val="22"/>
              </w:rPr>
            </w:pPr>
            <w:r>
              <w:rPr>
                <w:rFonts w:ascii="Calibri"/>
                <w:spacing w:val="-2"/>
                <w:sz w:val="22"/>
              </w:rPr>
              <w:t>30-</w:t>
            </w:r>
            <w:r>
              <w:rPr>
                <w:rFonts w:ascii="Calibri"/>
                <w:spacing w:val="-5"/>
                <w:sz w:val="22"/>
              </w:rPr>
              <w:t>40</w:t>
            </w:r>
          </w:p>
        </w:tc>
      </w:tr>
      <w:tr>
        <w:trPr>
          <w:trHeight w:val="459" w:hRule="atLeast"/>
        </w:trPr>
        <w:tc>
          <w:tcPr>
            <w:tcW w:w="2628" w:type="dxa"/>
          </w:tcPr>
          <w:p>
            <w:pPr>
              <w:pStyle w:val="TableParagraph"/>
              <w:spacing w:line="267" w:lineRule="exact" w:before="0"/>
              <w:ind w:left="107"/>
              <w:rPr>
                <w:rFonts w:ascii="Calibri"/>
                <w:b/>
                <w:sz w:val="22"/>
              </w:rPr>
            </w:pPr>
            <w:r>
              <w:rPr>
                <w:rFonts w:ascii="Calibri"/>
                <w:b/>
                <w:sz w:val="22"/>
              </w:rPr>
              <w:t>Medium</w:t>
            </w:r>
            <w:r>
              <w:rPr>
                <w:rFonts w:ascii="Calibri"/>
                <w:b/>
                <w:spacing w:val="-4"/>
                <w:sz w:val="22"/>
              </w:rPr>
              <w:t> </w:t>
            </w:r>
            <w:r>
              <w:rPr>
                <w:rFonts w:ascii="Calibri"/>
                <w:b/>
                <w:spacing w:val="-2"/>
                <w:sz w:val="22"/>
              </w:rPr>
              <w:t>(moderate)</w:t>
            </w:r>
          </w:p>
        </w:tc>
        <w:tc>
          <w:tcPr>
            <w:tcW w:w="3214" w:type="dxa"/>
          </w:tcPr>
          <w:p>
            <w:pPr>
              <w:pStyle w:val="TableParagraph"/>
              <w:spacing w:line="267" w:lineRule="exact" w:before="0"/>
              <w:ind w:left="18"/>
              <w:jc w:val="center"/>
              <w:rPr>
                <w:rFonts w:ascii="Calibri"/>
                <w:sz w:val="22"/>
              </w:rPr>
            </w:pPr>
            <w:r>
              <w:rPr>
                <w:rFonts w:ascii="Calibri"/>
                <w:spacing w:val="-2"/>
                <w:sz w:val="22"/>
              </w:rPr>
              <w:t>30-</w:t>
            </w:r>
            <w:r>
              <w:rPr>
                <w:rFonts w:ascii="Calibri"/>
                <w:spacing w:val="-5"/>
                <w:sz w:val="22"/>
              </w:rPr>
              <w:t>45</w:t>
            </w:r>
          </w:p>
        </w:tc>
        <w:tc>
          <w:tcPr>
            <w:tcW w:w="2708" w:type="dxa"/>
          </w:tcPr>
          <w:p>
            <w:pPr>
              <w:pStyle w:val="TableParagraph"/>
              <w:spacing w:line="267" w:lineRule="exact" w:before="0"/>
              <w:ind w:left="15"/>
              <w:jc w:val="center"/>
              <w:rPr>
                <w:rFonts w:ascii="Calibri"/>
                <w:sz w:val="22"/>
              </w:rPr>
            </w:pPr>
            <w:r>
              <w:rPr>
                <w:rFonts w:ascii="Calibri"/>
                <w:spacing w:val="-2"/>
                <w:sz w:val="22"/>
              </w:rPr>
              <w:t>40-</w:t>
            </w:r>
            <w:r>
              <w:rPr>
                <w:rFonts w:ascii="Calibri"/>
                <w:spacing w:val="-5"/>
                <w:sz w:val="22"/>
              </w:rPr>
              <w:t>60</w:t>
            </w:r>
          </w:p>
        </w:tc>
      </w:tr>
      <w:tr>
        <w:trPr>
          <w:trHeight w:val="460" w:hRule="atLeast"/>
        </w:trPr>
        <w:tc>
          <w:tcPr>
            <w:tcW w:w="2628" w:type="dxa"/>
          </w:tcPr>
          <w:p>
            <w:pPr>
              <w:pStyle w:val="TableParagraph"/>
              <w:spacing w:line="267" w:lineRule="exact" w:before="0"/>
              <w:ind w:left="107"/>
              <w:rPr>
                <w:rFonts w:ascii="Calibri"/>
                <w:b/>
                <w:sz w:val="22"/>
              </w:rPr>
            </w:pPr>
            <w:r>
              <w:rPr>
                <w:rFonts w:ascii="Calibri"/>
                <w:b/>
                <w:sz w:val="22"/>
              </w:rPr>
              <w:t>High</w:t>
            </w:r>
            <w:r>
              <w:rPr>
                <w:rFonts w:ascii="Calibri"/>
                <w:b/>
                <w:spacing w:val="-4"/>
                <w:sz w:val="22"/>
              </w:rPr>
              <w:t> </w:t>
            </w:r>
            <w:r>
              <w:rPr>
                <w:rFonts w:ascii="Calibri"/>
                <w:b/>
                <w:spacing w:val="-2"/>
                <w:sz w:val="22"/>
              </w:rPr>
              <w:t>(severe)</w:t>
            </w:r>
          </w:p>
        </w:tc>
        <w:tc>
          <w:tcPr>
            <w:tcW w:w="3214" w:type="dxa"/>
          </w:tcPr>
          <w:p>
            <w:pPr>
              <w:pStyle w:val="TableParagraph"/>
              <w:spacing w:line="267" w:lineRule="exact" w:before="0"/>
              <w:ind w:left="18"/>
              <w:jc w:val="center"/>
              <w:rPr>
                <w:rFonts w:ascii="Calibri"/>
                <w:sz w:val="22"/>
              </w:rPr>
            </w:pPr>
            <w:r>
              <w:rPr>
                <w:rFonts w:ascii="Calibri"/>
                <w:spacing w:val="-2"/>
                <w:sz w:val="22"/>
              </w:rPr>
              <w:t>45-</w:t>
            </w:r>
            <w:r>
              <w:rPr>
                <w:rFonts w:ascii="Calibri"/>
                <w:spacing w:val="-5"/>
                <w:sz w:val="22"/>
              </w:rPr>
              <w:t>60</w:t>
            </w:r>
          </w:p>
        </w:tc>
        <w:tc>
          <w:tcPr>
            <w:tcW w:w="2708" w:type="dxa"/>
          </w:tcPr>
          <w:p>
            <w:pPr>
              <w:pStyle w:val="TableParagraph"/>
              <w:spacing w:line="267" w:lineRule="exact" w:before="0"/>
              <w:ind w:left="15"/>
              <w:jc w:val="center"/>
              <w:rPr>
                <w:rFonts w:ascii="Calibri"/>
                <w:sz w:val="22"/>
              </w:rPr>
            </w:pPr>
            <w:r>
              <w:rPr>
                <w:rFonts w:ascii="Calibri"/>
                <w:spacing w:val="-2"/>
                <w:sz w:val="22"/>
              </w:rPr>
              <w:t>60-</w:t>
            </w:r>
            <w:r>
              <w:rPr>
                <w:rFonts w:ascii="Calibri"/>
                <w:spacing w:val="-5"/>
                <w:sz w:val="22"/>
              </w:rPr>
              <w:t>75</w:t>
            </w:r>
          </w:p>
        </w:tc>
      </w:tr>
      <w:tr>
        <w:trPr>
          <w:trHeight w:val="460" w:hRule="atLeast"/>
        </w:trPr>
        <w:tc>
          <w:tcPr>
            <w:tcW w:w="2628" w:type="dxa"/>
          </w:tcPr>
          <w:p>
            <w:pPr>
              <w:pStyle w:val="TableParagraph"/>
              <w:spacing w:line="267" w:lineRule="exact" w:before="0"/>
              <w:ind w:left="107"/>
              <w:rPr>
                <w:rFonts w:ascii="Calibri"/>
                <w:b/>
                <w:sz w:val="22"/>
              </w:rPr>
            </w:pPr>
            <w:r>
              <w:rPr>
                <w:rFonts w:ascii="Calibri"/>
                <w:b/>
                <w:sz w:val="22"/>
              </w:rPr>
              <w:t>Very</w:t>
            </w:r>
            <w:r>
              <w:rPr>
                <w:rFonts w:ascii="Calibri"/>
                <w:b/>
                <w:spacing w:val="-6"/>
                <w:sz w:val="22"/>
              </w:rPr>
              <w:t> </w:t>
            </w:r>
            <w:r>
              <w:rPr>
                <w:rFonts w:ascii="Calibri"/>
                <w:b/>
                <w:sz w:val="22"/>
              </w:rPr>
              <w:t>High</w:t>
            </w:r>
            <w:r>
              <w:rPr>
                <w:rFonts w:ascii="Calibri"/>
                <w:b/>
                <w:spacing w:val="-10"/>
                <w:sz w:val="22"/>
              </w:rPr>
              <w:t> </w:t>
            </w:r>
            <w:r>
              <w:rPr>
                <w:rFonts w:ascii="Calibri"/>
                <w:b/>
                <w:sz w:val="22"/>
              </w:rPr>
              <w:t>(very</w:t>
            </w:r>
            <w:r>
              <w:rPr>
                <w:rFonts w:ascii="Calibri"/>
                <w:b/>
                <w:spacing w:val="-7"/>
                <w:sz w:val="22"/>
              </w:rPr>
              <w:t> </w:t>
            </w:r>
            <w:r>
              <w:rPr>
                <w:rFonts w:ascii="Calibri"/>
                <w:b/>
                <w:spacing w:val="-2"/>
                <w:sz w:val="22"/>
              </w:rPr>
              <w:t>severe)</w:t>
            </w:r>
          </w:p>
        </w:tc>
        <w:tc>
          <w:tcPr>
            <w:tcW w:w="3214" w:type="dxa"/>
          </w:tcPr>
          <w:p>
            <w:pPr>
              <w:pStyle w:val="TableParagraph"/>
              <w:spacing w:line="267" w:lineRule="exact" w:before="0"/>
              <w:ind w:left="18"/>
              <w:jc w:val="center"/>
              <w:rPr>
                <w:rFonts w:ascii="Calibri"/>
                <w:sz w:val="22"/>
              </w:rPr>
            </w:pPr>
            <w:r>
              <w:rPr>
                <w:rFonts w:ascii="Calibri"/>
                <w:spacing w:val="-2"/>
                <w:sz w:val="22"/>
              </w:rPr>
              <w:t>60-</w:t>
            </w:r>
            <w:r>
              <w:rPr>
                <w:rFonts w:ascii="Calibri"/>
                <w:spacing w:val="-5"/>
                <w:sz w:val="22"/>
              </w:rPr>
              <w:t>75</w:t>
            </w:r>
          </w:p>
        </w:tc>
        <w:tc>
          <w:tcPr>
            <w:tcW w:w="2708" w:type="dxa"/>
          </w:tcPr>
          <w:p>
            <w:pPr>
              <w:pStyle w:val="TableParagraph"/>
              <w:spacing w:line="267" w:lineRule="exact" w:before="0"/>
              <w:ind w:left="15"/>
              <w:jc w:val="center"/>
              <w:rPr>
                <w:rFonts w:ascii="Calibri"/>
                <w:sz w:val="22"/>
              </w:rPr>
            </w:pPr>
            <w:r>
              <w:rPr>
                <w:rFonts w:ascii="Calibri"/>
                <w:spacing w:val="-2"/>
                <w:sz w:val="22"/>
              </w:rPr>
              <w:t>75-</w:t>
            </w:r>
            <w:r>
              <w:rPr>
                <w:rFonts w:ascii="Calibri"/>
                <w:spacing w:val="-5"/>
                <w:sz w:val="22"/>
              </w:rPr>
              <w:t>90</w:t>
            </w:r>
          </w:p>
        </w:tc>
      </w:tr>
    </w:tbl>
    <w:p>
      <w:pPr>
        <w:spacing w:before="40"/>
        <w:ind w:left="360" w:right="0" w:firstLine="0"/>
        <w:jc w:val="left"/>
        <w:rPr>
          <w:rFonts w:ascii="Arial"/>
          <w:sz w:val="16"/>
        </w:rPr>
      </w:pPr>
      <w:bookmarkStart w:name="Guidelines" w:id="140"/>
      <w:bookmarkEnd w:id="140"/>
      <w:r>
        <w:rPr/>
      </w:r>
      <w:bookmarkStart w:name="_bookmark71" w:id="141"/>
      <w:bookmarkEnd w:id="141"/>
      <w:r>
        <w:rPr/>
      </w:r>
      <w:r>
        <w:rPr>
          <w:rFonts w:ascii="Arial"/>
          <w:sz w:val="16"/>
        </w:rPr>
        <w:t>(Source</w:t>
      </w:r>
      <w:r>
        <w:rPr>
          <w:rFonts w:ascii="Arial"/>
          <w:spacing w:val="-6"/>
          <w:sz w:val="16"/>
        </w:rPr>
        <w:t> </w:t>
      </w:r>
      <w:r>
        <w:rPr>
          <w:rFonts w:ascii="Arial"/>
          <w:sz w:val="16"/>
        </w:rPr>
        <w:t>for</w:t>
      </w:r>
      <w:r>
        <w:rPr>
          <w:rFonts w:ascii="Arial"/>
          <w:spacing w:val="-4"/>
          <w:sz w:val="16"/>
        </w:rPr>
        <w:t> </w:t>
      </w:r>
      <w:r>
        <w:rPr>
          <w:rFonts w:ascii="Arial"/>
          <w:sz w:val="16"/>
        </w:rPr>
        <w:t>erosion</w:t>
      </w:r>
      <w:r>
        <w:rPr>
          <w:rFonts w:ascii="Arial"/>
          <w:spacing w:val="-6"/>
          <w:sz w:val="16"/>
        </w:rPr>
        <w:t> </w:t>
      </w:r>
      <w:r>
        <w:rPr>
          <w:rFonts w:ascii="Arial"/>
          <w:sz w:val="16"/>
        </w:rPr>
        <w:t>hazard</w:t>
      </w:r>
      <w:r>
        <w:rPr>
          <w:rFonts w:ascii="Arial"/>
          <w:spacing w:val="-4"/>
          <w:sz w:val="16"/>
        </w:rPr>
        <w:t> </w:t>
      </w:r>
      <w:r>
        <w:rPr>
          <w:rFonts w:ascii="Arial"/>
          <w:sz w:val="16"/>
        </w:rPr>
        <w:t>classes:</w:t>
      </w:r>
      <w:r>
        <w:rPr>
          <w:rFonts w:ascii="Arial"/>
          <w:spacing w:val="-5"/>
          <w:sz w:val="16"/>
        </w:rPr>
        <w:t> </w:t>
      </w:r>
      <w:r>
        <w:rPr>
          <w:rFonts w:ascii="Arial"/>
          <w:sz w:val="16"/>
        </w:rPr>
        <w:t>Forest</w:t>
      </w:r>
      <w:r>
        <w:rPr>
          <w:rFonts w:ascii="Arial"/>
          <w:spacing w:val="-5"/>
          <w:sz w:val="16"/>
        </w:rPr>
        <w:t> </w:t>
      </w:r>
      <w:r>
        <w:rPr>
          <w:rFonts w:ascii="Arial"/>
          <w:sz w:val="16"/>
        </w:rPr>
        <w:t>Service</w:t>
      </w:r>
      <w:r>
        <w:rPr>
          <w:rFonts w:ascii="Arial"/>
          <w:spacing w:val="-3"/>
          <w:sz w:val="16"/>
        </w:rPr>
        <w:t> </w:t>
      </w:r>
      <w:r>
        <w:rPr>
          <w:rFonts w:ascii="Arial"/>
          <w:sz w:val="16"/>
        </w:rPr>
        <w:t>Manual</w:t>
      </w:r>
      <w:r>
        <w:rPr>
          <w:rFonts w:ascii="Arial"/>
          <w:spacing w:val="-3"/>
          <w:sz w:val="16"/>
        </w:rPr>
        <w:t> </w:t>
      </w:r>
      <w:r>
        <w:rPr>
          <w:rFonts w:ascii="Arial"/>
          <w:spacing w:val="-2"/>
          <w:sz w:val="16"/>
        </w:rPr>
        <w:t>2520)</w:t>
      </w:r>
    </w:p>
    <w:p>
      <w:pPr>
        <w:pStyle w:val="BodyText"/>
        <w:spacing w:before="178"/>
        <w:rPr>
          <w:rFonts w:ascii="Arial"/>
          <w:sz w:val="16"/>
        </w:rPr>
      </w:pPr>
    </w:p>
    <w:p>
      <w:pPr>
        <w:pStyle w:val="Heading4"/>
      </w:pPr>
      <w:r>
        <w:rPr>
          <w:spacing w:val="-2"/>
        </w:rPr>
        <w:t>Guidelines</w:t>
      </w:r>
    </w:p>
    <w:p>
      <w:pPr>
        <w:spacing w:before="240"/>
        <w:ind w:left="360" w:right="0" w:firstLine="0"/>
        <w:jc w:val="left"/>
        <w:rPr>
          <w:rFonts w:ascii="Arial"/>
          <w:i/>
          <w:sz w:val="22"/>
        </w:rPr>
      </w:pPr>
      <w:bookmarkStart w:name="FW-GDL-SOIL-01. Total Soil Resource Comm" w:id="142"/>
      <w:bookmarkEnd w:id="142"/>
      <w:r>
        <w:rPr/>
      </w:r>
      <w:r>
        <w:rPr>
          <w:rFonts w:ascii="Arial"/>
          <w:i/>
          <w:sz w:val="22"/>
        </w:rPr>
        <w:t>FW-GDL-SOIL-01.</w:t>
      </w:r>
      <w:r>
        <w:rPr>
          <w:rFonts w:ascii="Arial"/>
          <w:i/>
          <w:spacing w:val="-6"/>
          <w:sz w:val="22"/>
        </w:rPr>
        <w:t> </w:t>
      </w:r>
      <w:r>
        <w:rPr>
          <w:rFonts w:ascii="Arial"/>
          <w:i/>
          <w:sz w:val="22"/>
        </w:rPr>
        <w:t>Total</w:t>
      </w:r>
      <w:r>
        <w:rPr>
          <w:rFonts w:ascii="Arial"/>
          <w:i/>
          <w:spacing w:val="-9"/>
          <w:sz w:val="22"/>
        </w:rPr>
        <w:t> </w:t>
      </w:r>
      <w:r>
        <w:rPr>
          <w:rFonts w:ascii="Arial"/>
          <w:i/>
          <w:sz w:val="22"/>
        </w:rPr>
        <w:t>Soil</w:t>
      </w:r>
      <w:r>
        <w:rPr>
          <w:rFonts w:ascii="Arial"/>
          <w:i/>
          <w:spacing w:val="-6"/>
          <w:sz w:val="22"/>
        </w:rPr>
        <w:t> </w:t>
      </w:r>
      <w:r>
        <w:rPr>
          <w:rFonts w:ascii="Arial"/>
          <w:i/>
          <w:sz w:val="22"/>
        </w:rPr>
        <w:t>Resource</w:t>
      </w:r>
      <w:r>
        <w:rPr>
          <w:rFonts w:ascii="Arial"/>
          <w:i/>
          <w:spacing w:val="-5"/>
          <w:sz w:val="22"/>
        </w:rPr>
        <w:t> </w:t>
      </w:r>
      <w:r>
        <w:rPr>
          <w:rFonts w:ascii="Arial"/>
          <w:i/>
          <w:spacing w:val="-2"/>
          <w:sz w:val="22"/>
        </w:rPr>
        <w:t>Commitment</w:t>
      </w:r>
    </w:p>
    <w:p>
      <w:pPr>
        <w:pStyle w:val="BodyText"/>
        <w:spacing w:line="232" w:lineRule="auto" w:before="64"/>
        <w:ind w:left="360" w:right="1621"/>
      </w:pPr>
      <w:r>
        <w:rPr/>
        <w:t>The</w:t>
      </w:r>
      <w:r>
        <w:rPr>
          <w:spacing w:val="-4"/>
        </w:rPr>
        <w:t> </w:t>
      </w:r>
      <w:r>
        <w:rPr/>
        <w:t>Total</w:t>
      </w:r>
      <w:r>
        <w:rPr>
          <w:spacing w:val="-8"/>
        </w:rPr>
        <w:t> </w:t>
      </w:r>
      <w:r>
        <w:rPr/>
        <w:t>Soil</w:t>
      </w:r>
      <w:r>
        <w:rPr>
          <w:spacing w:val="-5"/>
        </w:rPr>
        <w:t> </w:t>
      </w:r>
      <w:r>
        <w:rPr/>
        <w:t>Resource</w:t>
      </w:r>
      <w:r>
        <w:rPr>
          <w:spacing w:val="-7"/>
        </w:rPr>
        <w:t> </w:t>
      </w:r>
      <w:r>
        <w:rPr/>
        <w:t>Commitment</w:t>
      </w:r>
      <w:r>
        <w:rPr>
          <w:spacing w:val="-4"/>
        </w:rPr>
        <w:t> </w:t>
      </w:r>
      <w:r>
        <w:rPr/>
        <w:t>is</w:t>
      </w:r>
      <w:r>
        <w:rPr>
          <w:spacing w:val="-7"/>
        </w:rPr>
        <w:t> </w:t>
      </w:r>
      <w:r>
        <w:rPr/>
        <w:t>no</w:t>
      </w:r>
      <w:r>
        <w:rPr>
          <w:spacing w:val="-6"/>
        </w:rPr>
        <w:t> </w:t>
      </w:r>
      <w:r>
        <w:rPr/>
        <w:t>more</w:t>
      </w:r>
      <w:r>
        <w:rPr>
          <w:spacing w:val="-7"/>
        </w:rPr>
        <w:t> </w:t>
      </w:r>
      <w:r>
        <w:rPr/>
        <w:t>than</w:t>
      </w:r>
      <w:r>
        <w:rPr>
          <w:spacing w:val="-8"/>
        </w:rPr>
        <w:t> </w:t>
      </w:r>
      <w:r>
        <w:rPr/>
        <w:t>5</w:t>
      </w:r>
      <w:r>
        <w:rPr>
          <w:spacing w:val="-4"/>
        </w:rPr>
        <w:t> </w:t>
      </w:r>
      <w:r>
        <w:rPr/>
        <w:t>percent</w:t>
      </w:r>
      <w:r>
        <w:rPr>
          <w:spacing w:val="-7"/>
        </w:rPr>
        <w:t> </w:t>
      </w:r>
      <w:r>
        <w:rPr/>
        <w:t>of</w:t>
      </w:r>
      <w:r>
        <w:rPr>
          <w:spacing w:val="-7"/>
        </w:rPr>
        <w:t> </w:t>
      </w:r>
      <w:r>
        <w:rPr/>
        <w:t>the</w:t>
      </w:r>
      <w:r>
        <w:rPr>
          <w:spacing w:val="-4"/>
        </w:rPr>
        <w:t> </w:t>
      </w:r>
      <w:r>
        <w:rPr/>
        <w:t>Forest.</w:t>
      </w:r>
      <w:r>
        <w:rPr>
          <w:spacing w:val="-5"/>
        </w:rPr>
        <w:t> </w:t>
      </w:r>
      <w:r>
        <w:rPr/>
        <w:t>The</w:t>
      </w:r>
      <w:r>
        <w:rPr>
          <w:spacing w:val="-4"/>
        </w:rPr>
        <w:t> </w:t>
      </w:r>
      <w:r>
        <w:rPr/>
        <w:t>soil</w:t>
      </w:r>
      <w:r>
        <w:rPr>
          <w:spacing w:val="-8"/>
        </w:rPr>
        <w:t> </w:t>
      </w:r>
      <w:r>
        <w:rPr/>
        <w:t>stability and support function is maintained within the Total Soil Resource Commitment.</w:t>
      </w:r>
    </w:p>
    <w:p>
      <w:pPr>
        <w:pStyle w:val="BodyText"/>
        <w:spacing w:line="232" w:lineRule="auto" w:before="199"/>
        <w:ind w:left="360" w:right="1621"/>
      </w:pPr>
      <w:r>
        <w:rPr/>
        <w:t>Total</w:t>
      </w:r>
      <w:r>
        <w:rPr>
          <w:spacing w:val="-2"/>
        </w:rPr>
        <w:t> </w:t>
      </w:r>
      <w:r>
        <w:rPr/>
        <w:t>Soil</w:t>
      </w:r>
      <w:r>
        <w:rPr>
          <w:spacing w:val="-5"/>
        </w:rPr>
        <w:t> </w:t>
      </w:r>
      <w:r>
        <w:rPr/>
        <w:t>Resource</w:t>
      </w:r>
      <w:r>
        <w:rPr>
          <w:spacing w:val="-4"/>
        </w:rPr>
        <w:t> </w:t>
      </w:r>
      <w:r>
        <w:rPr/>
        <w:t>Commitment</w:t>
      </w:r>
      <w:r>
        <w:rPr>
          <w:spacing w:val="-1"/>
        </w:rPr>
        <w:t> </w:t>
      </w:r>
      <w:r>
        <w:rPr/>
        <w:t>is</w:t>
      </w:r>
      <w:r>
        <w:rPr>
          <w:spacing w:val="-2"/>
        </w:rPr>
        <w:t> </w:t>
      </w:r>
      <w:r>
        <w:rPr/>
        <w:t>the</w:t>
      </w:r>
      <w:r>
        <w:rPr>
          <w:spacing w:val="-4"/>
        </w:rPr>
        <w:t> </w:t>
      </w:r>
      <w:r>
        <w:rPr/>
        <w:t>conversion</w:t>
      </w:r>
      <w:r>
        <w:rPr>
          <w:spacing w:val="-5"/>
        </w:rPr>
        <w:t> </w:t>
      </w:r>
      <w:r>
        <w:rPr/>
        <w:t>of</w:t>
      </w:r>
      <w:r>
        <w:rPr>
          <w:spacing w:val="-2"/>
        </w:rPr>
        <w:t> </w:t>
      </w:r>
      <w:r>
        <w:rPr/>
        <w:t>a</w:t>
      </w:r>
      <w:r>
        <w:rPr>
          <w:spacing w:val="-4"/>
        </w:rPr>
        <w:t> </w:t>
      </w:r>
      <w:r>
        <w:rPr/>
        <w:t>productive</w:t>
      </w:r>
      <w:r>
        <w:rPr>
          <w:spacing w:val="-4"/>
        </w:rPr>
        <w:t> </w:t>
      </w:r>
      <w:r>
        <w:rPr/>
        <w:t>site</w:t>
      </w:r>
      <w:r>
        <w:rPr>
          <w:spacing w:val="-4"/>
        </w:rPr>
        <w:t> </w:t>
      </w:r>
      <w:r>
        <w:rPr/>
        <w:t>to</w:t>
      </w:r>
      <w:r>
        <w:rPr>
          <w:spacing w:val="-3"/>
        </w:rPr>
        <w:t> </w:t>
      </w:r>
      <w:r>
        <w:rPr/>
        <w:t>an</w:t>
      </w:r>
      <w:r>
        <w:rPr>
          <w:spacing w:val="-3"/>
        </w:rPr>
        <w:t> </w:t>
      </w:r>
      <w:r>
        <w:rPr/>
        <w:t>essentially</w:t>
      </w:r>
      <w:r>
        <w:rPr>
          <w:spacing w:val="-1"/>
        </w:rPr>
        <w:t> </w:t>
      </w:r>
      <w:r>
        <w:rPr/>
        <w:t>non- productive site (0 to 40 percent of natural productivity) for a period of more than 50 years. Examples</w:t>
      </w:r>
      <w:r>
        <w:rPr>
          <w:spacing w:val="-10"/>
        </w:rPr>
        <w:t> </w:t>
      </w:r>
      <w:r>
        <w:rPr/>
        <w:t>include</w:t>
      </w:r>
      <w:r>
        <w:rPr>
          <w:spacing w:val="-8"/>
        </w:rPr>
        <w:t> </w:t>
      </w:r>
      <w:r>
        <w:rPr/>
        <w:t>system</w:t>
      </w:r>
      <w:r>
        <w:rPr>
          <w:spacing w:val="-10"/>
        </w:rPr>
        <w:t> </w:t>
      </w:r>
      <w:r>
        <w:rPr/>
        <w:t>roads,</w:t>
      </w:r>
      <w:r>
        <w:rPr>
          <w:spacing w:val="-9"/>
        </w:rPr>
        <w:t> </w:t>
      </w:r>
      <w:r>
        <w:rPr/>
        <w:t>administrative</w:t>
      </w:r>
      <w:r>
        <w:rPr>
          <w:spacing w:val="-10"/>
        </w:rPr>
        <w:t> </w:t>
      </w:r>
      <w:r>
        <w:rPr/>
        <w:t>sites,</w:t>
      </w:r>
      <w:r>
        <w:rPr>
          <w:spacing w:val="-9"/>
        </w:rPr>
        <w:t> </w:t>
      </w:r>
      <w:r>
        <w:rPr/>
        <w:t>developed</w:t>
      </w:r>
      <w:r>
        <w:rPr>
          <w:spacing w:val="-10"/>
        </w:rPr>
        <w:t> </w:t>
      </w:r>
      <w:r>
        <w:rPr/>
        <w:t>campgrounds,</w:t>
      </w:r>
      <w:r>
        <w:rPr>
          <w:spacing w:val="-10"/>
        </w:rPr>
        <w:t> </w:t>
      </w:r>
      <w:r>
        <w:rPr/>
        <w:t>rock</w:t>
      </w:r>
      <w:r>
        <w:rPr>
          <w:spacing w:val="-8"/>
        </w:rPr>
        <w:t> </w:t>
      </w:r>
      <w:r>
        <w:rPr/>
        <w:t>quarries, mine sites, and livestock watering facilities</w:t>
      </w:r>
      <w:hyperlink w:history="true" w:anchor="_bookmark72">
        <w:r>
          <w:rPr>
            <w:vertAlign w:val="superscript"/>
          </w:rPr>
          <w:t>6</w:t>
        </w:r>
      </w:hyperlink>
      <w:r>
        <w:rPr>
          <w:vertAlign w:val="baseline"/>
        </w:rPr>
        <w:t>.</w:t>
      </w:r>
    </w:p>
    <w:p>
      <w:pPr>
        <w:spacing w:before="234"/>
        <w:ind w:left="360" w:right="0" w:firstLine="0"/>
        <w:jc w:val="left"/>
        <w:rPr>
          <w:rFonts w:ascii="Arial"/>
          <w:i/>
          <w:sz w:val="22"/>
        </w:rPr>
      </w:pPr>
      <w:bookmarkStart w:name="FW-GDL-SOIL-02. Native Topsoil" w:id="143"/>
      <w:bookmarkEnd w:id="143"/>
      <w:r>
        <w:rPr/>
      </w:r>
      <w:r>
        <w:rPr>
          <w:rFonts w:ascii="Arial"/>
          <w:i/>
          <w:sz w:val="22"/>
        </w:rPr>
        <w:t>FW-GDL-SOIL-02.</w:t>
      </w:r>
      <w:r>
        <w:rPr>
          <w:rFonts w:ascii="Arial"/>
          <w:i/>
          <w:spacing w:val="-11"/>
          <w:sz w:val="22"/>
        </w:rPr>
        <w:t> </w:t>
      </w:r>
      <w:r>
        <w:rPr>
          <w:rFonts w:ascii="Arial"/>
          <w:i/>
          <w:sz w:val="22"/>
        </w:rPr>
        <w:t>Native</w:t>
      </w:r>
      <w:r>
        <w:rPr>
          <w:rFonts w:ascii="Arial"/>
          <w:i/>
          <w:spacing w:val="-9"/>
          <w:sz w:val="22"/>
        </w:rPr>
        <w:t> </w:t>
      </w:r>
      <w:r>
        <w:rPr>
          <w:rFonts w:ascii="Arial"/>
          <w:i/>
          <w:spacing w:val="-2"/>
          <w:sz w:val="22"/>
        </w:rPr>
        <w:t>Topsoil</w:t>
      </w:r>
    </w:p>
    <w:p>
      <w:pPr>
        <w:pStyle w:val="BodyText"/>
        <w:spacing w:before="59"/>
        <w:ind w:left="359"/>
      </w:pPr>
      <w:r>
        <w:rPr/>
        <w:t>Native</w:t>
      </w:r>
      <w:r>
        <w:rPr>
          <w:spacing w:val="-9"/>
        </w:rPr>
        <w:t> </w:t>
      </w:r>
      <w:r>
        <w:rPr/>
        <w:t>topsoil</w:t>
      </w:r>
      <w:r>
        <w:rPr>
          <w:spacing w:val="-7"/>
        </w:rPr>
        <w:t> </w:t>
      </w:r>
      <w:r>
        <w:rPr/>
        <w:t>should</w:t>
      </w:r>
      <w:r>
        <w:rPr>
          <w:spacing w:val="-8"/>
        </w:rPr>
        <w:t> </w:t>
      </w:r>
      <w:r>
        <w:rPr/>
        <w:t>be</w:t>
      </w:r>
      <w:r>
        <w:rPr>
          <w:spacing w:val="-6"/>
        </w:rPr>
        <w:t> </w:t>
      </w:r>
      <w:r>
        <w:rPr/>
        <w:t>used</w:t>
      </w:r>
      <w:r>
        <w:rPr>
          <w:spacing w:val="-8"/>
        </w:rPr>
        <w:t> </w:t>
      </w:r>
      <w:r>
        <w:rPr/>
        <w:t>where</w:t>
      </w:r>
      <w:r>
        <w:rPr>
          <w:spacing w:val="-6"/>
        </w:rPr>
        <w:t> </w:t>
      </w:r>
      <w:r>
        <w:rPr/>
        <w:t>practical</w:t>
      </w:r>
      <w:r>
        <w:rPr>
          <w:spacing w:val="-8"/>
        </w:rPr>
        <w:t> </w:t>
      </w:r>
      <w:r>
        <w:rPr/>
        <w:t>to</w:t>
      </w:r>
      <w:r>
        <w:rPr>
          <w:spacing w:val="-8"/>
        </w:rPr>
        <w:t> </w:t>
      </w:r>
      <w:r>
        <w:rPr/>
        <w:t>meet</w:t>
      </w:r>
      <w:r>
        <w:rPr>
          <w:spacing w:val="-8"/>
        </w:rPr>
        <w:t> </w:t>
      </w:r>
      <w:r>
        <w:rPr/>
        <w:t>restoration</w:t>
      </w:r>
      <w:r>
        <w:rPr>
          <w:spacing w:val="-10"/>
        </w:rPr>
        <w:t> </w:t>
      </w:r>
      <w:r>
        <w:rPr/>
        <w:t>project</w:t>
      </w:r>
      <w:r>
        <w:rPr>
          <w:spacing w:val="-6"/>
        </w:rPr>
        <w:t> </w:t>
      </w:r>
      <w:r>
        <w:rPr>
          <w:spacing w:val="-2"/>
        </w:rPr>
        <w:t>objectives.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r>
        <w:rPr>
          <w:sz w:val="20"/>
        </w:rPr>
        <mc:AlternateContent>
          <mc:Choice Requires="wps">
            <w:drawing>
              <wp:anchor distT="0" distB="0" distL="0" distR="0" allowOverlap="1" layoutInCell="1" locked="0" behindDoc="1" simplePos="0" relativeHeight="487595520">
                <wp:simplePos x="0" y="0"/>
                <wp:positionH relativeFrom="page">
                  <wp:posOffset>914400</wp:posOffset>
                </wp:positionH>
                <wp:positionV relativeFrom="paragraph">
                  <wp:posOffset>171177</wp:posOffset>
                </wp:positionV>
                <wp:extent cx="1828800" cy="7620"/>
                <wp:effectExtent l="0" t="0" r="0" b="0"/>
                <wp:wrapTopAndBottom/>
                <wp:docPr id="142" name="Graphic 142"/>
                <wp:cNvGraphicFramePr>
                  <a:graphicFrameLocks/>
                </wp:cNvGraphicFramePr>
                <a:graphic>
                  <a:graphicData uri="http://schemas.microsoft.com/office/word/2010/wordprocessingShape">
                    <wps:wsp>
                      <wps:cNvPr id="142" name="Graphic 142"/>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3.478516pt;width:144pt;height:.6pt;mso-position-horizontal-relative:page;mso-position-vertical-relative:paragraph;z-index:-15720960;mso-wrap-distance-left:0;mso-wrap-distance-right:0" id="docshape134" filled="true" fillcolor="#000000" stroked="false">
                <v:fill type="solid"/>
                <w10:wrap type="topAndBottom"/>
              </v:rect>
            </w:pict>
          </mc:Fallback>
        </mc:AlternateContent>
      </w:r>
    </w:p>
    <w:p>
      <w:pPr>
        <w:spacing w:before="95"/>
        <w:ind w:left="360" w:right="1567" w:hanging="1"/>
        <w:jc w:val="left"/>
        <w:rPr>
          <w:sz w:val="18"/>
        </w:rPr>
      </w:pPr>
      <w:bookmarkStart w:name="_bookmark72" w:id="144"/>
      <w:bookmarkEnd w:id="144"/>
      <w:r>
        <w:rPr/>
      </w:r>
      <w:r>
        <w:rPr>
          <w:position w:val="5"/>
          <w:sz w:val="12"/>
        </w:rPr>
        <w:t>6</w:t>
      </w:r>
      <w:r>
        <w:rPr>
          <w:spacing w:val="10"/>
          <w:position w:val="5"/>
          <w:sz w:val="12"/>
        </w:rPr>
        <w:t> </w:t>
      </w:r>
      <w:r>
        <w:rPr>
          <w:sz w:val="18"/>
        </w:rPr>
        <w:t>Existing</w:t>
      </w:r>
      <w:r>
        <w:rPr>
          <w:spacing w:val="-3"/>
          <w:sz w:val="18"/>
        </w:rPr>
        <w:t> </w:t>
      </w:r>
      <w:r>
        <w:rPr>
          <w:sz w:val="18"/>
        </w:rPr>
        <w:t>condition</w:t>
      </w:r>
      <w:r>
        <w:rPr>
          <w:spacing w:val="-3"/>
          <w:sz w:val="18"/>
        </w:rPr>
        <w:t> </w:t>
      </w:r>
      <w:r>
        <w:rPr>
          <w:sz w:val="18"/>
        </w:rPr>
        <w:t>as</w:t>
      </w:r>
      <w:r>
        <w:rPr>
          <w:spacing w:val="-3"/>
          <w:sz w:val="18"/>
        </w:rPr>
        <w:t> </w:t>
      </w:r>
      <w:r>
        <w:rPr>
          <w:sz w:val="18"/>
        </w:rPr>
        <w:t>of</w:t>
      </w:r>
      <w:r>
        <w:rPr>
          <w:spacing w:val="-2"/>
          <w:sz w:val="18"/>
        </w:rPr>
        <w:t> </w:t>
      </w:r>
      <w:r>
        <w:rPr>
          <w:sz w:val="18"/>
        </w:rPr>
        <w:t>December</w:t>
      </w:r>
      <w:r>
        <w:rPr>
          <w:spacing w:val="-3"/>
          <w:sz w:val="18"/>
        </w:rPr>
        <w:t> </w:t>
      </w:r>
      <w:r>
        <w:rPr>
          <w:sz w:val="18"/>
        </w:rPr>
        <w:t>2016</w:t>
      </w:r>
      <w:r>
        <w:rPr>
          <w:spacing w:val="-2"/>
          <w:sz w:val="18"/>
        </w:rPr>
        <w:t> </w:t>
      </w:r>
      <w:r>
        <w:rPr>
          <w:sz w:val="18"/>
        </w:rPr>
        <w:t>is</w:t>
      </w:r>
      <w:r>
        <w:rPr>
          <w:spacing w:val="-3"/>
          <w:sz w:val="18"/>
        </w:rPr>
        <w:t> </w:t>
      </w:r>
      <w:r>
        <w:rPr>
          <w:sz w:val="18"/>
        </w:rPr>
        <w:t>that</w:t>
      </w:r>
      <w:r>
        <w:rPr>
          <w:spacing w:val="-3"/>
          <w:sz w:val="18"/>
        </w:rPr>
        <w:t> </w:t>
      </w:r>
      <w:r>
        <w:rPr>
          <w:sz w:val="18"/>
        </w:rPr>
        <w:t>less</w:t>
      </w:r>
      <w:r>
        <w:rPr>
          <w:spacing w:val="-3"/>
          <w:sz w:val="18"/>
        </w:rPr>
        <w:t> </w:t>
      </w:r>
      <w:r>
        <w:rPr>
          <w:sz w:val="18"/>
        </w:rPr>
        <w:t>than</w:t>
      </w:r>
      <w:r>
        <w:rPr>
          <w:spacing w:val="-3"/>
          <w:sz w:val="18"/>
        </w:rPr>
        <w:t> </w:t>
      </w:r>
      <w:r>
        <w:rPr>
          <w:sz w:val="18"/>
        </w:rPr>
        <w:t>2 percent of</w:t>
      </w:r>
      <w:r>
        <w:rPr>
          <w:spacing w:val="-2"/>
          <w:sz w:val="18"/>
        </w:rPr>
        <w:t> </w:t>
      </w:r>
      <w:r>
        <w:rPr>
          <w:sz w:val="18"/>
        </w:rPr>
        <w:t>lands</w:t>
      </w:r>
      <w:r>
        <w:rPr>
          <w:spacing w:val="-3"/>
          <w:sz w:val="18"/>
        </w:rPr>
        <w:t> </w:t>
      </w:r>
      <w:r>
        <w:rPr>
          <w:sz w:val="18"/>
        </w:rPr>
        <w:t>managed</w:t>
      </w:r>
      <w:r>
        <w:rPr>
          <w:spacing w:val="-3"/>
          <w:sz w:val="18"/>
        </w:rPr>
        <w:t> </w:t>
      </w:r>
      <w:r>
        <w:rPr>
          <w:sz w:val="18"/>
        </w:rPr>
        <w:t>by</w:t>
      </w:r>
      <w:r>
        <w:rPr>
          <w:spacing w:val="-2"/>
          <w:sz w:val="18"/>
        </w:rPr>
        <w:t> </w:t>
      </w:r>
      <w:r>
        <w:rPr>
          <w:sz w:val="18"/>
        </w:rPr>
        <w:t>the</w:t>
      </w:r>
      <w:r>
        <w:rPr>
          <w:spacing w:val="-3"/>
          <w:sz w:val="18"/>
        </w:rPr>
        <w:t> </w:t>
      </w:r>
      <w:r>
        <w:rPr>
          <w:sz w:val="18"/>
        </w:rPr>
        <w:t>Colville</w:t>
      </w:r>
      <w:r>
        <w:rPr>
          <w:spacing w:val="-3"/>
          <w:sz w:val="18"/>
        </w:rPr>
        <w:t> </w:t>
      </w:r>
      <w:r>
        <w:rPr>
          <w:sz w:val="18"/>
        </w:rPr>
        <w:t>National</w:t>
      </w:r>
      <w:r>
        <w:rPr>
          <w:spacing w:val="-3"/>
          <w:sz w:val="18"/>
        </w:rPr>
        <w:t> </w:t>
      </w:r>
      <w:r>
        <w:rPr>
          <w:sz w:val="18"/>
        </w:rPr>
        <w:t>Forest is dedicated to uses other than soil/vegetation productivity.</w:t>
      </w:r>
    </w:p>
    <w:p>
      <w:pPr>
        <w:spacing w:after="0"/>
        <w:jc w:val="left"/>
        <w:rPr>
          <w:sz w:val="18"/>
        </w:rPr>
        <w:sectPr>
          <w:pgSz w:w="12240" w:h="15840"/>
          <w:pgMar w:header="725" w:footer="891" w:top="960" w:bottom="1080" w:left="1080" w:right="720"/>
        </w:sectPr>
      </w:pPr>
    </w:p>
    <w:p>
      <w:pPr>
        <w:pStyle w:val="BodyText"/>
        <w:spacing w:before="207"/>
      </w:pPr>
    </w:p>
    <w:p>
      <w:pPr>
        <w:pStyle w:val="Heading3"/>
      </w:pPr>
      <w:bookmarkStart w:name="Vegetation (VEG)" w:id="145"/>
      <w:bookmarkEnd w:id="145"/>
      <w:r>
        <w:rPr>
          <w:b w:val="0"/>
        </w:rPr>
      </w:r>
      <w:bookmarkStart w:name="_bookmark73" w:id="146"/>
      <w:bookmarkEnd w:id="146"/>
      <w:r>
        <w:rPr>
          <w:b w:val="0"/>
        </w:rPr>
      </w:r>
      <w:r>
        <w:rPr>
          <w:smallCaps/>
          <w:color w:val="475824"/>
        </w:rPr>
        <w:t>Vegetation</w:t>
      </w:r>
      <w:r>
        <w:rPr>
          <w:smallCaps/>
          <w:color w:val="475824"/>
          <w:spacing w:val="-8"/>
        </w:rPr>
        <w:t> </w:t>
      </w:r>
      <w:r>
        <w:rPr>
          <w:smallCaps/>
          <w:color w:val="475824"/>
          <w:spacing w:val="-4"/>
        </w:rPr>
        <w:t>(VEG)</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596032">
                <wp:simplePos x="0" y="0"/>
                <wp:positionH relativeFrom="page">
                  <wp:posOffset>1627632</wp:posOffset>
                </wp:positionH>
                <wp:positionV relativeFrom="paragraph">
                  <wp:posOffset>75420</wp:posOffset>
                </wp:positionV>
                <wp:extent cx="5248910" cy="929640"/>
                <wp:effectExtent l="0" t="0" r="0" b="0"/>
                <wp:wrapTopAndBottom/>
                <wp:docPr id="143" name="Textbox 143"/>
                <wp:cNvGraphicFramePr>
                  <a:graphicFrameLocks/>
                </wp:cNvGraphicFramePr>
                <a:graphic>
                  <a:graphicData uri="http://schemas.microsoft.com/office/word/2010/wordprocessingShape">
                    <wps:wsp>
                      <wps:cNvPr id="143" name="Textbox 143"/>
                      <wps:cNvSpPr txBox="1"/>
                      <wps:spPr>
                        <a:xfrm>
                          <a:off x="0" y="0"/>
                          <a:ext cx="5248910" cy="929640"/>
                        </a:xfrm>
                        <a:prstGeom prst="rect">
                          <a:avLst/>
                        </a:prstGeom>
                        <a:solidFill>
                          <a:srgbClr val="DFDFDF"/>
                        </a:solidFill>
                      </wps:spPr>
                      <wps:txbx>
                        <w:txbxContent>
                          <w:p>
                            <w:pPr>
                              <w:pStyle w:val="BodyText"/>
                              <w:spacing w:line="268" w:lineRule="exact"/>
                              <w:ind w:left="28"/>
                              <w:rPr>
                                <w:color w:val="000000"/>
                              </w:rPr>
                            </w:pPr>
                            <w:r>
                              <w:rPr>
                                <w:color w:val="000000"/>
                              </w:rPr>
                              <w:t>CONIFER</w:t>
                            </w:r>
                            <w:r>
                              <w:rPr>
                                <w:color w:val="000000"/>
                                <w:spacing w:val="-4"/>
                              </w:rPr>
                              <w:t> </w:t>
                            </w:r>
                            <w:r>
                              <w:rPr>
                                <w:color w:val="000000"/>
                                <w:spacing w:val="-2"/>
                              </w:rPr>
                              <w:t>SYSTEMS</w:t>
                            </w:r>
                          </w:p>
                          <w:p>
                            <w:pPr>
                              <w:pStyle w:val="BodyText"/>
                              <w:spacing w:before="120"/>
                              <w:ind w:left="28" w:right="120"/>
                              <w:rPr>
                                <w:color w:val="000000"/>
                              </w:rPr>
                            </w:pPr>
                            <w:r>
                              <w:rPr>
                                <w:color w:val="000000"/>
                              </w:rPr>
                              <w:t>Vegetation in the planning area is classified into forest vegetation types that are aggregations</w:t>
                            </w:r>
                            <w:r>
                              <w:rPr>
                                <w:color w:val="000000"/>
                                <w:spacing w:val="-5"/>
                              </w:rPr>
                              <w:t> </w:t>
                            </w:r>
                            <w:r>
                              <w:rPr>
                                <w:color w:val="000000"/>
                              </w:rPr>
                              <w:t>of</w:t>
                            </w:r>
                            <w:r>
                              <w:rPr>
                                <w:color w:val="000000"/>
                                <w:spacing w:val="-3"/>
                              </w:rPr>
                              <w:t> </w:t>
                            </w:r>
                            <w:r>
                              <w:rPr>
                                <w:color w:val="000000"/>
                              </w:rPr>
                              <w:t>plant</w:t>
                            </w:r>
                            <w:r>
                              <w:rPr>
                                <w:color w:val="000000"/>
                                <w:spacing w:val="-5"/>
                              </w:rPr>
                              <w:t> </w:t>
                            </w:r>
                            <w:r>
                              <w:rPr>
                                <w:color w:val="000000"/>
                              </w:rPr>
                              <w:t>association</w:t>
                            </w:r>
                            <w:r>
                              <w:rPr>
                                <w:color w:val="000000"/>
                                <w:spacing w:val="-4"/>
                              </w:rPr>
                              <w:t> </w:t>
                            </w:r>
                            <w:r>
                              <w:rPr>
                                <w:color w:val="000000"/>
                              </w:rPr>
                              <w:t>groups.</w:t>
                            </w:r>
                            <w:r>
                              <w:rPr>
                                <w:color w:val="000000"/>
                                <w:spacing w:val="-3"/>
                              </w:rPr>
                              <w:t> </w:t>
                            </w:r>
                            <w:r>
                              <w:rPr>
                                <w:color w:val="000000"/>
                              </w:rPr>
                              <w:t>Plant</w:t>
                            </w:r>
                            <w:r>
                              <w:rPr>
                                <w:color w:val="000000"/>
                                <w:spacing w:val="-5"/>
                              </w:rPr>
                              <w:t> </w:t>
                            </w:r>
                            <w:r>
                              <w:rPr>
                                <w:color w:val="000000"/>
                              </w:rPr>
                              <w:t>association</w:t>
                            </w:r>
                            <w:r>
                              <w:rPr>
                                <w:color w:val="000000"/>
                                <w:spacing w:val="-4"/>
                              </w:rPr>
                              <w:t> </w:t>
                            </w:r>
                            <w:r>
                              <w:rPr>
                                <w:color w:val="000000"/>
                              </w:rPr>
                              <w:t>groups</w:t>
                            </w:r>
                            <w:r>
                              <w:rPr>
                                <w:color w:val="000000"/>
                                <w:spacing w:val="-3"/>
                              </w:rPr>
                              <w:t> </w:t>
                            </w:r>
                            <w:r>
                              <w:rPr>
                                <w:color w:val="000000"/>
                              </w:rPr>
                              <w:t>are</w:t>
                            </w:r>
                            <w:r>
                              <w:rPr>
                                <w:color w:val="000000"/>
                                <w:spacing w:val="-4"/>
                              </w:rPr>
                              <w:t> </w:t>
                            </w:r>
                            <w:r>
                              <w:rPr>
                                <w:color w:val="000000"/>
                              </w:rPr>
                              <w:t>made</w:t>
                            </w:r>
                            <w:r>
                              <w:rPr>
                                <w:color w:val="000000"/>
                                <w:spacing w:val="-2"/>
                              </w:rPr>
                              <w:t> </w:t>
                            </w:r>
                            <w:r>
                              <w:rPr>
                                <w:color w:val="000000"/>
                              </w:rPr>
                              <w:t>up</w:t>
                            </w:r>
                            <w:r>
                              <w:rPr>
                                <w:color w:val="000000"/>
                                <w:spacing w:val="-4"/>
                              </w:rPr>
                              <w:t> </w:t>
                            </w:r>
                            <w:r>
                              <w:rPr>
                                <w:color w:val="000000"/>
                              </w:rPr>
                              <w:t>of</w:t>
                            </w:r>
                            <w:r>
                              <w:rPr>
                                <w:color w:val="000000"/>
                                <w:spacing w:val="-5"/>
                              </w:rPr>
                              <w:t> </w:t>
                            </w:r>
                            <w:r>
                              <w:rPr>
                                <w:color w:val="000000"/>
                              </w:rPr>
                              <w:t>plant associations defined in the plant association guide developed for the Colville National Forest. The five vegetation types are listed in </w:t>
                            </w:r>
                            <w:hyperlink w:history="true" w:anchor="_bookmark74">
                              <w:r>
                                <w:rPr>
                                  <w:color w:val="000000"/>
                                </w:rPr>
                                <w:t>table 3.</w:t>
                              </w:r>
                            </w:hyperlink>
                          </w:p>
                        </w:txbxContent>
                      </wps:txbx>
                      <wps:bodyPr wrap="square" lIns="0" tIns="0" rIns="0" bIns="0" rtlCol="0">
                        <a:noAutofit/>
                      </wps:bodyPr>
                    </wps:wsp>
                  </a:graphicData>
                </a:graphic>
              </wp:anchor>
            </w:drawing>
          </mc:Choice>
          <mc:Fallback>
            <w:pict>
              <v:shape style="position:absolute;margin-left:128.160004pt;margin-top:5.938584pt;width:413.3pt;height:73.2pt;mso-position-horizontal-relative:page;mso-position-vertical-relative:paragraph;z-index:-15720448;mso-wrap-distance-left:0;mso-wrap-distance-right:0" type="#_x0000_t202" id="docshape135" filled="true" fillcolor="#dfdfdf" stroked="false">
                <v:textbox inset="0,0,0,0">
                  <w:txbxContent>
                    <w:p>
                      <w:pPr>
                        <w:pStyle w:val="BodyText"/>
                        <w:spacing w:line="268" w:lineRule="exact"/>
                        <w:ind w:left="28"/>
                        <w:rPr>
                          <w:color w:val="000000"/>
                        </w:rPr>
                      </w:pPr>
                      <w:r>
                        <w:rPr>
                          <w:color w:val="000000"/>
                        </w:rPr>
                        <w:t>CONIFER</w:t>
                      </w:r>
                      <w:r>
                        <w:rPr>
                          <w:color w:val="000000"/>
                          <w:spacing w:val="-4"/>
                        </w:rPr>
                        <w:t> </w:t>
                      </w:r>
                      <w:r>
                        <w:rPr>
                          <w:color w:val="000000"/>
                          <w:spacing w:val="-2"/>
                        </w:rPr>
                        <w:t>SYSTEMS</w:t>
                      </w:r>
                    </w:p>
                    <w:p>
                      <w:pPr>
                        <w:pStyle w:val="BodyText"/>
                        <w:spacing w:before="120"/>
                        <w:ind w:left="28" w:right="120"/>
                        <w:rPr>
                          <w:color w:val="000000"/>
                        </w:rPr>
                      </w:pPr>
                      <w:r>
                        <w:rPr>
                          <w:color w:val="000000"/>
                        </w:rPr>
                        <w:t>Vegetation in the planning area is classified into forest vegetation types that are aggregations</w:t>
                      </w:r>
                      <w:r>
                        <w:rPr>
                          <w:color w:val="000000"/>
                          <w:spacing w:val="-5"/>
                        </w:rPr>
                        <w:t> </w:t>
                      </w:r>
                      <w:r>
                        <w:rPr>
                          <w:color w:val="000000"/>
                        </w:rPr>
                        <w:t>of</w:t>
                      </w:r>
                      <w:r>
                        <w:rPr>
                          <w:color w:val="000000"/>
                          <w:spacing w:val="-3"/>
                        </w:rPr>
                        <w:t> </w:t>
                      </w:r>
                      <w:r>
                        <w:rPr>
                          <w:color w:val="000000"/>
                        </w:rPr>
                        <w:t>plant</w:t>
                      </w:r>
                      <w:r>
                        <w:rPr>
                          <w:color w:val="000000"/>
                          <w:spacing w:val="-5"/>
                        </w:rPr>
                        <w:t> </w:t>
                      </w:r>
                      <w:r>
                        <w:rPr>
                          <w:color w:val="000000"/>
                        </w:rPr>
                        <w:t>association</w:t>
                      </w:r>
                      <w:r>
                        <w:rPr>
                          <w:color w:val="000000"/>
                          <w:spacing w:val="-4"/>
                        </w:rPr>
                        <w:t> </w:t>
                      </w:r>
                      <w:r>
                        <w:rPr>
                          <w:color w:val="000000"/>
                        </w:rPr>
                        <w:t>groups.</w:t>
                      </w:r>
                      <w:r>
                        <w:rPr>
                          <w:color w:val="000000"/>
                          <w:spacing w:val="-3"/>
                        </w:rPr>
                        <w:t> </w:t>
                      </w:r>
                      <w:r>
                        <w:rPr>
                          <w:color w:val="000000"/>
                        </w:rPr>
                        <w:t>Plant</w:t>
                      </w:r>
                      <w:r>
                        <w:rPr>
                          <w:color w:val="000000"/>
                          <w:spacing w:val="-5"/>
                        </w:rPr>
                        <w:t> </w:t>
                      </w:r>
                      <w:r>
                        <w:rPr>
                          <w:color w:val="000000"/>
                        </w:rPr>
                        <w:t>association</w:t>
                      </w:r>
                      <w:r>
                        <w:rPr>
                          <w:color w:val="000000"/>
                          <w:spacing w:val="-4"/>
                        </w:rPr>
                        <w:t> </w:t>
                      </w:r>
                      <w:r>
                        <w:rPr>
                          <w:color w:val="000000"/>
                        </w:rPr>
                        <w:t>groups</w:t>
                      </w:r>
                      <w:r>
                        <w:rPr>
                          <w:color w:val="000000"/>
                          <w:spacing w:val="-3"/>
                        </w:rPr>
                        <w:t> </w:t>
                      </w:r>
                      <w:r>
                        <w:rPr>
                          <w:color w:val="000000"/>
                        </w:rPr>
                        <w:t>are</w:t>
                      </w:r>
                      <w:r>
                        <w:rPr>
                          <w:color w:val="000000"/>
                          <w:spacing w:val="-4"/>
                        </w:rPr>
                        <w:t> </w:t>
                      </w:r>
                      <w:r>
                        <w:rPr>
                          <w:color w:val="000000"/>
                        </w:rPr>
                        <w:t>made</w:t>
                      </w:r>
                      <w:r>
                        <w:rPr>
                          <w:color w:val="000000"/>
                          <w:spacing w:val="-2"/>
                        </w:rPr>
                        <w:t> </w:t>
                      </w:r>
                      <w:r>
                        <w:rPr>
                          <w:color w:val="000000"/>
                        </w:rPr>
                        <w:t>up</w:t>
                      </w:r>
                      <w:r>
                        <w:rPr>
                          <w:color w:val="000000"/>
                          <w:spacing w:val="-4"/>
                        </w:rPr>
                        <w:t> </w:t>
                      </w:r>
                      <w:r>
                        <w:rPr>
                          <w:color w:val="000000"/>
                        </w:rPr>
                        <w:t>of</w:t>
                      </w:r>
                      <w:r>
                        <w:rPr>
                          <w:color w:val="000000"/>
                          <w:spacing w:val="-5"/>
                        </w:rPr>
                        <w:t> </w:t>
                      </w:r>
                      <w:r>
                        <w:rPr>
                          <w:color w:val="000000"/>
                        </w:rPr>
                        <w:t>plant associations defined in the plant association guide developed for the Colville National Forest. The five vegetation types are listed in </w:t>
                      </w:r>
                      <w:hyperlink w:history="true" w:anchor="_bookmark74">
                        <w:r>
                          <w:rPr>
                            <w:color w:val="000000"/>
                          </w:rPr>
                          <w:t>table 3.</w:t>
                        </w:r>
                      </w:hyperlink>
                    </w:p>
                  </w:txbxContent>
                </v:textbox>
                <v:fill type="solid"/>
                <w10:wrap type="topAndBottom"/>
              </v:shape>
            </w:pict>
          </mc:Fallback>
        </mc:AlternateContent>
      </w:r>
    </w:p>
    <w:p>
      <w:pPr>
        <w:pStyle w:val="BodyText"/>
        <w:spacing w:before="152"/>
        <w:rPr>
          <w:rFonts w:ascii="Arial"/>
          <w:b/>
          <w:sz w:val="18"/>
        </w:rPr>
      </w:pPr>
    </w:p>
    <w:p>
      <w:pPr>
        <w:spacing w:before="0" w:after="41"/>
        <w:ind w:left="1512" w:right="0" w:firstLine="0"/>
        <w:jc w:val="left"/>
        <w:rPr>
          <w:rFonts w:ascii="Arial"/>
          <w:b/>
          <w:sz w:val="18"/>
        </w:rPr>
      </w:pPr>
      <w:bookmarkStart w:name="_bookmark74" w:id="147"/>
      <w:bookmarkEnd w:id="147"/>
      <w:r>
        <w:rPr/>
      </w:r>
      <w:r>
        <w:rPr>
          <w:rFonts w:ascii="Arial"/>
          <w:b/>
          <w:sz w:val="18"/>
        </w:rPr>
        <w:t>Table</w:t>
      </w:r>
      <w:r>
        <w:rPr>
          <w:rFonts w:ascii="Arial"/>
          <w:b/>
          <w:spacing w:val="-5"/>
          <w:sz w:val="18"/>
        </w:rPr>
        <w:t> </w:t>
      </w:r>
      <w:r>
        <w:rPr>
          <w:rFonts w:ascii="Arial"/>
          <w:b/>
          <w:sz w:val="18"/>
        </w:rPr>
        <w:t>3.</w:t>
      </w:r>
      <w:r>
        <w:rPr>
          <w:rFonts w:ascii="Arial"/>
          <w:b/>
          <w:spacing w:val="-2"/>
          <w:sz w:val="18"/>
        </w:rPr>
        <w:t> </w:t>
      </w:r>
      <w:r>
        <w:rPr>
          <w:rFonts w:ascii="Arial"/>
          <w:b/>
          <w:sz w:val="18"/>
        </w:rPr>
        <w:t>Forest</w:t>
      </w:r>
      <w:r>
        <w:rPr>
          <w:rFonts w:ascii="Arial"/>
          <w:b/>
          <w:spacing w:val="-3"/>
          <w:sz w:val="18"/>
        </w:rPr>
        <w:t> </w:t>
      </w:r>
      <w:r>
        <w:rPr>
          <w:rFonts w:ascii="Arial"/>
          <w:b/>
          <w:sz w:val="18"/>
        </w:rPr>
        <w:t>vegetation</w:t>
      </w:r>
      <w:r>
        <w:rPr>
          <w:rFonts w:ascii="Arial"/>
          <w:b/>
          <w:spacing w:val="-2"/>
          <w:sz w:val="18"/>
        </w:rPr>
        <w:t> </w:t>
      </w:r>
      <w:r>
        <w:rPr>
          <w:rFonts w:ascii="Arial"/>
          <w:b/>
          <w:sz w:val="18"/>
        </w:rPr>
        <w:t>types</w:t>
      </w:r>
      <w:r>
        <w:rPr>
          <w:rFonts w:ascii="Arial"/>
          <w:b/>
          <w:spacing w:val="-1"/>
          <w:sz w:val="18"/>
        </w:rPr>
        <w:t> </w:t>
      </w:r>
      <w:r>
        <w:rPr>
          <w:rFonts w:ascii="Arial"/>
          <w:b/>
          <w:sz w:val="18"/>
        </w:rPr>
        <w:t>for</w:t>
      </w:r>
      <w:r>
        <w:rPr>
          <w:rFonts w:ascii="Arial"/>
          <w:b/>
          <w:spacing w:val="-4"/>
          <w:sz w:val="18"/>
        </w:rPr>
        <w:t> </w:t>
      </w:r>
      <w:r>
        <w:rPr>
          <w:rFonts w:ascii="Arial"/>
          <w:b/>
          <w:sz w:val="18"/>
        </w:rPr>
        <w:t>the</w:t>
      </w:r>
      <w:r>
        <w:rPr>
          <w:rFonts w:ascii="Arial"/>
          <w:b/>
          <w:spacing w:val="-1"/>
          <w:sz w:val="18"/>
        </w:rPr>
        <w:t> </w:t>
      </w:r>
      <w:r>
        <w:rPr>
          <w:rFonts w:ascii="Arial"/>
          <w:b/>
          <w:sz w:val="18"/>
        </w:rPr>
        <w:t>Colville</w:t>
      </w:r>
      <w:r>
        <w:rPr>
          <w:rFonts w:ascii="Arial"/>
          <w:b/>
          <w:spacing w:val="-2"/>
          <w:sz w:val="18"/>
        </w:rPr>
        <w:t> </w:t>
      </w:r>
      <w:r>
        <w:rPr>
          <w:rFonts w:ascii="Arial"/>
          <w:b/>
          <w:sz w:val="18"/>
        </w:rPr>
        <w:t>National</w:t>
      </w:r>
      <w:r>
        <w:rPr>
          <w:rFonts w:ascii="Arial"/>
          <w:b/>
          <w:spacing w:val="-4"/>
          <w:sz w:val="18"/>
        </w:rPr>
        <w:t> </w:t>
      </w:r>
      <w:r>
        <w:rPr>
          <w:rFonts w:ascii="Arial"/>
          <w:b/>
          <w:spacing w:val="-2"/>
          <w:sz w:val="18"/>
        </w:rPr>
        <w:t>Forest</w:t>
      </w:r>
    </w:p>
    <w:tbl>
      <w:tblPr>
        <w:tblW w:w="0" w:type="auto"/>
        <w:jc w:val="left"/>
        <w:tblInd w:w="1522"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8191"/>
      </w:tblGrid>
      <w:tr>
        <w:trPr>
          <w:trHeight w:val="287" w:hRule="atLeast"/>
        </w:trPr>
        <w:tc>
          <w:tcPr>
            <w:tcW w:w="8191" w:type="dxa"/>
            <w:shd w:val="clear" w:color="auto" w:fill="D5E2BB"/>
          </w:tcPr>
          <w:p>
            <w:pPr>
              <w:pStyle w:val="TableParagraph"/>
              <w:ind w:left="16"/>
              <w:jc w:val="center"/>
              <w:rPr>
                <w:b/>
                <w:sz w:val="18"/>
              </w:rPr>
            </w:pPr>
            <w:r>
              <w:rPr>
                <w:b/>
                <w:sz w:val="18"/>
              </w:rPr>
              <w:t>Forest</w:t>
            </w:r>
            <w:r>
              <w:rPr>
                <w:b/>
                <w:spacing w:val="-5"/>
                <w:sz w:val="18"/>
              </w:rPr>
              <w:t> </w:t>
            </w:r>
            <w:r>
              <w:rPr>
                <w:b/>
                <w:sz w:val="18"/>
              </w:rPr>
              <w:t>vegetation</w:t>
            </w:r>
            <w:r>
              <w:rPr>
                <w:b/>
                <w:spacing w:val="-2"/>
                <w:sz w:val="18"/>
              </w:rPr>
              <w:t> </w:t>
            </w:r>
            <w:r>
              <w:rPr>
                <w:b/>
                <w:spacing w:val="-4"/>
                <w:sz w:val="18"/>
              </w:rPr>
              <w:t>type</w:t>
            </w:r>
          </w:p>
        </w:tc>
      </w:tr>
      <w:tr>
        <w:trPr>
          <w:trHeight w:val="287" w:hRule="atLeast"/>
        </w:trPr>
        <w:tc>
          <w:tcPr>
            <w:tcW w:w="8191" w:type="dxa"/>
          </w:tcPr>
          <w:p>
            <w:pPr>
              <w:pStyle w:val="TableParagraph"/>
              <w:ind w:left="107"/>
              <w:rPr>
                <w:sz w:val="18"/>
              </w:rPr>
            </w:pPr>
            <w:r>
              <w:rPr>
                <w:sz w:val="18"/>
              </w:rPr>
              <w:t>Douglas-fir</w:t>
            </w:r>
            <w:r>
              <w:rPr>
                <w:spacing w:val="-6"/>
                <w:sz w:val="18"/>
              </w:rPr>
              <w:t> </w:t>
            </w:r>
            <w:r>
              <w:rPr>
                <w:spacing w:val="-5"/>
                <w:sz w:val="18"/>
              </w:rPr>
              <w:t>dry</w:t>
            </w:r>
          </w:p>
        </w:tc>
      </w:tr>
      <w:tr>
        <w:trPr>
          <w:trHeight w:val="284" w:hRule="atLeast"/>
        </w:trPr>
        <w:tc>
          <w:tcPr>
            <w:tcW w:w="8191" w:type="dxa"/>
          </w:tcPr>
          <w:p>
            <w:pPr>
              <w:pStyle w:val="TableParagraph"/>
              <w:ind w:left="107"/>
              <w:rPr>
                <w:sz w:val="18"/>
              </w:rPr>
            </w:pPr>
            <w:r>
              <w:rPr>
                <w:sz w:val="18"/>
              </w:rPr>
              <w:t>Northern</w:t>
            </w:r>
            <w:r>
              <w:rPr>
                <w:spacing w:val="-3"/>
                <w:sz w:val="18"/>
              </w:rPr>
              <w:t> </w:t>
            </w:r>
            <w:r>
              <w:rPr>
                <w:sz w:val="18"/>
              </w:rPr>
              <w:t>Rocky</w:t>
            </w:r>
            <w:r>
              <w:rPr>
                <w:spacing w:val="-5"/>
                <w:sz w:val="18"/>
              </w:rPr>
              <w:t> </w:t>
            </w:r>
            <w:r>
              <w:rPr>
                <w:sz w:val="18"/>
              </w:rPr>
              <w:t>Mountain</w:t>
            </w:r>
            <w:r>
              <w:rPr>
                <w:spacing w:val="-2"/>
                <w:sz w:val="18"/>
              </w:rPr>
              <w:t> </w:t>
            </w:r>
            <w:r>
              <w:rPr>
                <w:sz w:val="18"/>
              </w:rPr>
              <w:t>mixed</w:t>
            </w:r>
            <w:r>
              <w:rPr>
                <w:spacing w:val="-3"/>
                <w:sz w:val="18"/>
              </w:rPr>
              <w:t> </w:t>
            </w:r>
            <w:r>
              <w:rPr>
                <w:spacing w:val="-2"/>
                <w:sz w:val="18"/>
              </w:rPr>
              <w:t>conifer</w:t>
            </w:r>
          </w:p>
        </w:tc>
      </w:tr>
      <w:tr>
        <w:trPr>
          <w:trHeight w:val="287" w:hRule="atLeast"/>
        </w:trPr>
        <w:tc>
          <w:tcPr>
            <w:tcW w:w="8191" w:type="dxa"/>
          </w:tcPr>
          <w:p>
            <w:pPr>
              <w:pStyle w:val="TableParagraph"/>
              <w:spacing w:before="42"/>
              <w:ind w:left="107"/>
              <w:rPr>
                <w:sz w:val="18"/>
              </w:rPr>
            </w:pPr>
            <w:r>
              <w:rPr>
                <w:sz w:val="18"/>
              </w:rPr>
              <w:t>Western</w:t>
            </w:r>
            <w:r>
              <w:rPr>
                <w:spacing w:val="-1"/>
                <w:sz w:val="18"/>
              </w:rPr>
              <w:t> </w:t>
            </w:r>
            <w:r>
              <w:rPr>
                <w:sz w:val="18"/>
              </w:rPr>
              <w:t>hemlock /</w:t>
            </w:r>
            <w:r>
              <w:rPr>
                <w:spacing w:val="-7"/>
                <w:sz w:val="18"/>
              </w:rPr>
              <w:t> </w:t>
            </w:r>
            <w:r>
              <w:rPr>
                <w:sz w:val="18"/>
              </w:rPr>
              <w:t>Western red</w:t>
            </w:r>
            <w:r>
              <w:rPr>
                <w:spacing w:val="-1"/>
                <w:sz w:val="18"/>
              </w:rPr>
              <w:t> </w:t>
            </w:r>
            <w:r>
              <w:rPr>
                <w:spacing w:val="-2"/>
                <w:sz w:val="18"/>
              </w:rPr>
              <w:t>cedar</w:t>
            </w:r>
          </w:p>
        </w:tc>
      </w:tr>
      <w:tr>
        <w:trPr>
          <w:trHeight w:val="287" w:hRule="atLeast"/>
        </w:trPr>
        <w:tc>
          <w:tcPr>
            <w:tcW w:w="8191" w:type="dxa"/>
          </w:tcPr>
          <w:p>
            <w:pPr>
              <w:pStyle w:val="TableParagraph"/>
              <w:spacing w:before="42"/>
              <w:ind w:left="107"/>
              <w:rPr>
                <w:sz w:val="18"/>
              </w:rPr>
            </w:pPr>
            <w:r>
              <w:rPr>
                <w:sz w:val="18"/>
              </w:rPr>
              <w:t>Subalpine</w:t>
            </w:r>
            <w:r>
              <w:rPr>
                <w:spacing w:val="-4"/>
                <w:sz w:val="18"/>
              </w:rPr>
              <w:t> </w:t>
            </w:r>
            <w:r>
              <w:rPr>
                <w:sz w:val="18"/>
              </w:rPr>
              <w:t>fir</w:t>
            </w:r>
            <w:r>
              <w:rPr>
                <w:spacing w:val="-2"/>
                <w:sz w:val="18"/>
              </w:rPr>
              <w:t> </w:t>
            </w:r>
            <w:r>
              <w:rPr>
                <w:sz w:val="18"/>
              </w:rPr>
              <w:t>/</w:t>
            </w:r>
            <w:r>
              <w:rPr>
                <w:spacing w:val="-4"/>
                <w:sz w:val="18"/>
              </w:rPr>
              <w:t> </w:t>
            </w:r>
            <w:r>
              <w:rPr>
                <w:sz w:val="18"/>
              </w:rPr>
              <w:t>Lodgepole</w:t>
            </w:r>
            <w:r>
              <w:rPr>
                <w:spacing w:val="-3"/>
                <w:sz w:val="18"/>
              </w:rPr>
              <w:t> </w:t>
            </w:r>
            <w:r>
              <w:rPr>
                <w:spacing w:val="-4"/>
                <w:sz w:val="18"/>
              </w:rPr>
              <w:t>pine</w:t>
            </w:r>
          </w:p>
        </w:tc>
      </w:tr>
      <w:tr>
        <w:trPr>
          <w:trHeight w:val="289" w:hRule="atLeast"/>
        </w:trPr>
        <w:tc>
          <w:tcPr>
            <w:tcW w:w="8191" w:type="dxa"/>
          </w:tcPr>
          <w:p>
            <w:pPr>
              <w:pStyle w:val="TableParagraph"/>
              <w:spacing w:before="42"/>
              <w:ind w:left="107"/>
              <w:rPr>
                <w:sz w:val="18"/>
              </w:rPr>
            </w:pPr>
            <w:r>
              <w:rPr>
                <w:sz w:val="18"/>
              </w:rPr>
              <w:t>Spruce</w:t>
            </w:r>
            <w:r>
              <w:rPr>
                <w:spacing w:val="-4"/>
                <w:sz w:val="18"/>
              </w:rPr>
              <w:t> </w:t>
            </w:r>
            <w:r>
              <w:rPr>
                <w:sz w:val="18"/>
              </w:rPr>
              <w:t>/</w:t>
            </w:r>
            <w:r>
              <w:rPr>
                <w:spacing w:val="-2"/>
                <w:sz w:val="18"/>
              </w:rPr>
              <w:t> </w:t>
            </w:r>
            <w:r>
              <w:rPr>
                <w:sz w:val="18"/>
              </w:rPr>
              <w:t>Subalpine</w:t>
            </w:r>
            <w:r>
              <w:rPr>
                <w:spacing w:val="-3"/>
                <w:sz w:val="18"/>
              </w:rPr>
              <w:t> </w:t>
            </w:r>
            <w:r>
              <w:rPr>
                <w:spacing w:val="-5"/>
                <w:sz w:val="18"/>
              </w:rPr>
              <w:t>fir</w:t>
            </w:r>
          </w:p>
        </w:tc>
      </w:tr>
    </w:tbl>
    <w:p>
      <w:pPr>
        <w:pStyle w:val="BodyText"/>
        <w:spacing w:before="10"/>
        <w:rPr>
          <w:rFonts w:ascii="Arial"/>
          <w:b/>
          <w:sz w:val="18"/>
        </w:rPr>
      </w:pPr>
      <w:r>
        <w:rPr>
          <w:rFonts w:ascii="Arial"/>
          <w:b/>
          <w:sz w:val="18"/>
        </w:rPr>
        <mc:AlternateContent>
          <mc:Choice Requires="wps">
            <w:drawing>
              <wp:anchor distT="0" distB="0" distL="0" distR="0" allowOverlap="1" layoutInCell="1" locked="0" behindDoc="1" simplePos="0" relativeHeight="487596544">
                <wp:simplePos x="0" y="0"/>
                <wp:positionH relativeFrom="page">
                  <wp:posOffset>1627632</wp:posOffset>
                </wp:positionH>
                <wp:positionV relativeFrom="paragraph">
                  <wp:posOffset>153288</wp:posOffset>
                </wp:positionV>
                <wp:extent cx="5248910" cy="852169"/>
                <wp:effectExtent l="0" t="0" r="0" b="0"/>
                <wp:wrapTopAndBottom/>
                <wp:docPr id="144" name="Textbox 144"/>
                <wp:cNvGraphicFramePr>
                  <a:graphicFrameLocks/>
                </wp:cNvGraphicFramePr>
                <a:graphic>
                  <a:graphicData uri="http://schemas.microsoft.com/office/word/2010/wordprocessingShape">
                    <wps:wsp>
                      <wps:cNvPr id="144" name="Textbox 144"/>
                      <wps:cNvSpPr txBox="1"/>
                      <wps:spPr>
                        <a:xfrm>
                          <a:off x="0" y="0"/>
                          <a:ext cx="5248910" cy="852169"/>
                        </a:xfrm>
                        <a:prstGeom prst="rect">
                          <a:avLst/>
                        </a:prstGeom>
                        <a:solidFill>
                          <a:srgbClr val="DFDFDF"/>
                        </a:solidFill>
                      </wps:spPr>
                      <wps:txbx>
                        <w:txbxContent>
                          <w:p>
                            <w:pPr>
                              <w:pStyle w:val="BodyText"/>
                              <w:ind w:left="28" w:right="120"/>
                              <w:rPr>
                                <w:color w:val="000000"/>
                              </w:rPr>
                            </w:pPr>
                            <w:r>
                              <w:rPr>
                                <w:color w:val="000000"/>
                              </w:rPr>
                              <w:t>Tree</w:t>
                            </w:r>
                            <w:r>
                              <w:rPr>
                                <w:color w:val="000000"/>
                                <w:spacing w:val="-4"/>
                              </w:rPr>
                              <w:t> </w:t>
                            </w:r>
                            <w:r>
                              <w:rPr>
                                <w:color w:val="000000"/>
                              </w:rPr>
                              <w:t>structure</w:t>
                            </w:r>
                            <w:r>
                              <w:rPr>
                                <w:color w:val="000000"/>
                                <w:spacing w:val="-1"/>
                              </w:rPr>
                              <w:t> </w:t>
                            </w:r>
                            <w:r>
                              <w:rPr>
                                <w:color w:val="000000"/>
                              </w:rPr>
                              <w:t>is</w:t>
                            </w:r>
                            <w:r>
                              <w:rPr>
                                <w:color w:val="000000"/>
                                <w:spacing w:val="-2"/>
                              </w:rPr>
                              <w:t> </w:t>
                            </w:r>
                            <w:r>
                              <w:rPr>
                                <w:color w:val="000000"/>
                              </w:rPr>
                              <w:t>classified</w:t>
                            </w:r>
                            <w:r>
                              <w:rPr>
                                <w:color w:val="000000"/>
                                <w:spacing w:val="-3"/>
                              </w:rPr>
                              <w:t> </w:t>
                            </w:r>
                            <w:r>
                              <w:rPr>
                                <w:color w:val="000000"/>
                              </w:rPr>
                              <w:t>into</w:t>
                            </w:r>
                            <w:r>
                              <w:rPr>
                                <w:color w:val="000000"/>
                                <w:spacing w:val="-1"/>
                              </w:rPr>
                              <w:t> </w:t>
                            </w:r>
                            <w:r>
                              <w:rPr>
                                <w:color w:val="000000"/>
                              </w:rPr>
                              <w:t>five</w:t>
                            </w:r>
                            <w:r>
                              <w:rPr>
                                <w:color w:val="000000"/>
                                <w:spacing w:val="-1"/>
                              </w:rPr>
                              <w:t> </w:t>
                            </w:r>
                            <w:r>
                              <w:rPr>
                                <w:color w:val="000000"/>
                              </w:rPr>
                              <w:t>general</w:t>
                            </w:r>
                            <w:r>
                              <w:rPr>
                                <w:color w:val="000000"/>
                                <w:spacing w:val="-2"/>
                              </w:rPr>
                              <w:t> </w:t>
                            </w:r>
                            <w:r>
                              <w:rPr>
                                <w:color w:val="000000"/>
                              </w:rPr>
                              <w:t>groups</w:t>
                            </w:r>
                            <w:r>
                              <w:rPr>
                                <w:color w:val="000000"/>
                                <w:spacing w:val="-2"/>
                              </w:rPr>
                              <w:t> </w:t>
                            </w:r>
                            <w:r>
                              <w:rPr>
                                <w:color w:val="000000"/>
                              </w:rPr>
                              <w:t>based</w:t>
                            </w:r>
                            <w:r>
                              <w:rPr>
                                <w:color w:val="000000"/>
                                <w:spacing w:val="-3"/>
                              </w:rPr>
                              <w:t> </w:t>
                            </w:r>
                            <w:r>
                              <w:rPr>
                                <w:color w:val="000000"/>
                              </w:rPr>
                              <w:t>on</w:t>
                            </w:r>
                            <w:r>
                              <w:rPr>
                                <w:color w:val="000000"/>
                                <w:spacing w:val="-3"/>
                              </w:rPr>
                              <w:t> </w:t>
                            </w:r>
                            <w:r>
                              <w:rPr>
                                <w:color w:val="000000"/>
                              </w:rPr>
                              <w:t>diameter</w:t>
                            </w:r>
                            <w:r>
                              <w:rPr>
                                <w:color w:val="000000"/>
                                <w:spacing w:val="-2"/>
                              </w:rPr>
                              <w:t> </w:t>
                            </w:r>
                            <w:r>
                              <w:rPr>
                                <w:color w:val="000000"/>
                              </w:rPr>
                              <w:t>and</w:t>
                            </w:r>
                            <w:r>
                              <w:rPr>
                                <w:color w:val="000000"/>
                                <w:spacing w:val="-4"/>
                              </w:rPr>
                              <w:t> </w:t>
                            </w:r>
                            <w:r>
                              <w:rPr>
                                <w:color w:val="000000"/>
                              </w:rPr>
                              <w:t>canopy</w:t>
                            </w:r>
                            <w:r>
                              <w:rPr>
                                <w:color w:val="000000"/>
                                <w:spacing w:val="-3"/>
                              </w:rPr>
                              <w:t> </w:t>
                            </w:r>
                            <w:r>
                              <w:rPr>
                                <w:color w:val="000000"/>
                              </w:rPr>
                              <w:t>cover</w:t>
                            </w:r>
                            <w:r>
                              <w:rPr>
                                <w:color w:val="000000"/>
                                <w:spacing w:val="-4"/>
                              </w:rPr>
                              <w:t> </w:t>
                            </w:r>
                            <w:r>
                              <w:rPr>
                                <w:color w:val="000000"/>
                              </w:rPr>
                              <w:t>as shown</w:t>
                            </w:r>
                            <w:r>
                              <w:rPr>
                                <w:color w:val="000000"/>
                                <w:spacing w:val="-2"/>
                              </w:rPr>
                              <w:t> </w:t>
                            </w:r>
                            <w:r>
                              <w:rPr>
                                <w:color w:val="000000"/>
                              </w:rPr>
                              <w:t>in</w:t>
                            </w:r>
                            <w:r>
                              <w:rPr>
                                <w:color w:val="000000"/>
                                <w:spacing w:val="-4"/>
                              </w:rPr>
                              <w:t> </w:t>
                            </w:r>
                            <w:hyperlink w:history="true" w:anchor="_bookmark75">
                              <w:r>
                                <w:rPr>
                                  <w:color w:val="000000"/>
                                </w:rPr>
                                <w:t>table</w:t>
                              </w:r>
                              <w:r>
                                <w:rPr>
                                  <w:color w:val="000000"/>
                                  <w:spacing w:val="-3"/>
                                </w:rPr>
                                <w:t> </w:t>
                              </w:r>
                              <w:r>
                                <w:rPr>
                                  <w:color w:val="000000"/>
                                </w:rPr>
                                <w:t>4.</w:t>
                              </w:r>
                            </w:hyperlink>
                            <w:r>
                              <w:rPr>
                                <w:color w:val="000000"/>
                                <w:spacing w:val="-1"/>
                              </w:rPr>
                              <w:t> </w:t>
                            </w:r>
                            <w:r>
                              <w:rPr>
                                <w:color w:val="000000"/>
                              </w:rPr>
                              <w:t>The</w:t>
                            </w:r>
                            <w:r>
                              <w:rPr>
                                <w:color w:val="000000"/>
                                <w:spacing w:val="-3"/>
                              </w:rPr>
                              <w:t> </w:t>
                            </w:r>
                            <w:r>
                              <w:rPr>
                                <w:color w:val="000000"/>
                              </w:rPr>
                              <w:t>diameter</w:t>
                            </w:r>
                            <w:r>
                              <w:rPr>
                                <w:color w:val="000000"/>
                                <w:spacing w:val="-1"/>
                              </w:rPr>
                              <w:t> </w:t>
                            </w:r>
                            <w:r>
                              <w:rPr>
                                <w:color w:val="000000"/>
                              </w:rPr>
                              <w:t>is</w:t>
                            </w:r>
                            <w:r>
                              <w:rPr>
                                <w:color w:val="000000"/>
                                <w:spacing w:val="-3"/>
                              </w:rPr>
                              <w:t> </w:t>
                            </w:r>
                            <w:r>
                              <w:rPr>
                                <w:color w:val="000000"/>
                              </w:rPr>
                              <w:t>based</w:t>
                            </w:r>
                            <w:r>
                              <w:rPr>
                                <w:color w:val="000000"/>
                                <w:spacing w:val="-4"/>
                              </w:rPr>
                              <w:t> </w:t>
                            </w:r>
                            <w:r>
                              <w:rPr>
                                <w:color w:val="000000"/>
                              </w:rPr>
                              <w:t>on</w:t>
                            </w:r>
                            <w:r>
                              <w:rPr>
                                <w:color w:val="000000"/>
                                <w:spacing w:val="-2"/>
                              </w:rPr>
                              <w:t> </w:t>
                            </w:r>
                            <w:r>
                              <w:rPr>
                                <w:color w:val="000000"/>
                              </w:rPr>
                              <w:t>the quadratic</w:t>
                            </w:r>
                            <w:r>
                              <w:rPr>
                                <w:color w:val="000000"/>
                                <w:spacing w:val="-3"/>
                              </w:rPr>
                              <w:t> </w:t>
                            </w:r>
                            <w:r>
                              <w:rPr>
                                <w:color w:val="000000"/>
                              </w:rPr>
                              <w:t>mean</w:t>
                            </w:r>
                            <w:r>
                              <w:rPr>
                                <w:color w:val="000000"/>
                                <w:spacing w:val="-2"/>
                              </w:rPr>
                              <w:t> </w:t>
                            </w:r>
                            <w:r>
                              <w:rPr>
                                <w:color w:val="000000"/>
                              </w:rPr>
                              <w:t>diameter</w:t>
                            </w:r>
                            <w:r>
                              <w:rPr>
                                <w:color w:val="000000"/>
                                <w:spacing w:val="-1"/>
                              </w:rPr>
                              <w:t> </w:t>
                            </w:r>
                            <w:r>
                              <w:rPr>
                                <w:color w:val="000000"/>
                              </w:rPr>
                              <w:t>in</w:t>
                            </w:r>
                            <w:r>
                              <w:rPr>
                                <w:color w:val="000000"/>
                                <w:spacing w:val="-2"/>
                              </w:rPr>
                              <w:t> </w:t>
                            </w:r>
                            <w:r>
                              <w:rPr>
                                <w:color w:val="000000"/>
                              </w:rPr>
                              <w:t>inches</w:t>
                            </w:r>
                            <w:r>
                              <w:rPr>
                                <w:color w:val="000000"/>
                                <w:spacing w:val="-1"/>
                              </w:rPr>
                              <w:t> </w:t>
                            </w:r>
                            <w:r>
                              <w:rPr>
                                <w:color w:val="000000"/>
                              </w:rPr>
                              <w:t>of</w:t>
                            </w:r>
                            <w:r>
                              <w:rPr>
                                <w:color w:val="000000"/>
                                <w:spacing w:val="-3"/>
                              </w:rPr>
                              <w:t> </w:t>
                            </w:r>
                            <w:r>
                              <w:rPr>
                                <w:color w:val="000000"/>
                              </w:rPr>
                              <w:t>trees whose heights are in the top 25 percent of all tree heights in the stand. This generally means that the diameters of the larger trees in a stand are used to define the structure </w:t>
                            </w:r>
                            <w:r>
                              <w:rPr>
                                <w:color w:val="000000"/>
                                <w:spacing w:val="-2"/>
                              </w:rPr>
                              <w:t>class.</w:t>
                            </w:r>
                          </w:p>
                        </w:txbxContent>
                      </wps:txbx>
                      <wps:bodyPr wrap="square" lIns="0" tIns="0" rIns="0" bIns="0" rtlCol="0">
                        <a:noAutofit/>
                      </wps:bodyPr>
                    </wps:wsp>
                  </a:graphicData>
                </a:graphic>
              </wp:anchor>
            </w:drawing>
          </mc:Choice>
          <mc:Fallback>
            <w:pict>
              <v:shape style="position:absolute;margin-left:128.160004pt;margin-top:12.07pt;width:413.3pt;height:67.1pt;mso-position-horizontal-relative:page;mso-position-vertical-relative:paragraph;z-index:-15719936;mso-wrap-distance-left:0;mso-wrap-distance-right:0" type="#_x0000_t202" id="docshape136" filled="true" fillcolor="#dfdfdf" stroked="false">
                <v:textbox inset="0,0,0,0">
                  <w:txbxContent>
                    <w:p>
                      <w:pPr>
                        <w:pStyle w:val="BodyText"/>
                        <w:ind w:left="28" w:right="120"/>
                        <w:rPr>
                          <w:color w:val="000000"/>
                        </w:rPr>
                      </w:pPr>
                      <w:r>
                        <w:rPr>
                          <w:color w:val="000000"/>
                        </w:rPr>
                        <w:t>Tree</w:t>
                      </w:r>
                      <w:r>
                        <w:rPr>
                          <w:color w:val="000000"/>
                          <w:spacing w:val="-4"/>
                        </w:rPr>
                        <w:t> </w:t>
                      </w:r>
                      <w:r>
                        <w:rPr>
                          <w:color w:val="000000"/>
                        </w:rPr>
                        <w:t>structure</w:t>
                      </w:r>
                      <w:r>
                        <w:rPr>
                          <w:color w:val="000000"/>
                          <w:spacing w:val="-1"/>
                        </w:rPr>
                        <w:t> </w:t>
                      </w:r>
                      <w:r>
                        <w:rPr>
                          <w:color w:val="000000"/>
                        </w:rPr>
                        <w:t>is</w:t>
                      </w:r>
                      <w:r>
                        <w:rPr>
                          <w:color w:val="000000"/>
                          <w:spacing w:val="-2"/>
                        </w:rPr>
                        <w:t> </w:t>
                      </w:r>
                      <w:r>
                        <w:rPr>
                          <w:color w:val="000000"/>
                        </w:rPr>
                        <w:t>classified</w:t>
                      </w:r>
                      <w:r>
                        <w:rPr>
                          <w:color w:val="000000"/>
                          <w:spacing w:val="-3"/>
                        </w:rPr>
                        <w:t> </w:t>
                      </w:r>
                      <w:r>
                        <w:rPr>
                          <w:color w:val="000000"/>
                        </w:rPr>
                        <w:t>into</w:t>
                      </w:r>
                      <w:r>
                        <w:rPr>
                          <w:color w:val="000000"/>
                          <w:spacing w:val="-1"/>
                        </w:rPr>
                        <w:t> </w:t>
                      </w:r>
                      <w:r>
                        <w:rPr>
                          <w:color w:val="000000"/>
                        </w:rPr>
                        <w:t>five</w:t>
                      </w:r>
                      <w:r>
                        <w:rPr>
                          <w:color w:val="000000"/>
                          <w:spacing w:val="-1"/>
                        </w:rPr>
                        <w:t> </w:t>
                      </w:r>
                      <w:r>
                        <w:rPr>
                          <w:color w:val="000000"/>
                        </w:rPr>
                        <w:t>general</w:t>
                      </w:r>
                      <w:r>
                        <w:rPr>
                          <w:color w:val="000000"/>
                          <w:spacing w:val="-2"/>
                        </w:rPr>
                        <w:t> </w:t>
                      </w:r>
                      <w:r>
                        <w:rPr>
                          <w:color w:val="000000"/>
                        </w:rPr>
                        <w:t>groups</w:t>
                      </w:r>
                      <w:r>
                        <w:rPr>
                          <w:color w:val="000000"/>
                          <w:spacing w:val="-2"/>
                        </w:rPr>
                        <w:t> </w:t>
                      </w:r>
                      <w:r>
                        <w:rPr>
                          <w:color w:val="000000"/>
                        </w:rPr>
                        <w:t>based</w:t>
                      </w:r>
                      <w:r>
                        <w:rPr>
                          <w:color w:val="000000"/>
                          <w:spacing w:val="-3"/>
                        </w:rPr>
                        <w:t> </w:t>
                      </w:r>
                      <w:r>
                        <w:rPr>
                          <w:color w:val="000000"/>
                        </w:rPr>
                        <w:t>on</w:t>
                      </w:r>
                      <w:r>
                        <w:rPr>
                          <w:color w:val="000000"/>
                          <w:spacing w:val="-3"/>
                        </w:rPr>
                        <w:t> </w:t>
                      </w:r>
                      <w:r>
                        <w:rPr>
                          <w:color w:val="000000"/>
                        </w:rPr>
                        <w:t>diameter</w:t>
                      </w:r>
                      <w:r>
                        <w:rPr>
                          <w:color w:val="000000"/>
                          <w:spacing w:val="-2"/>
                        </w:rPr>
                        <w:t> </w:t>
                      </w:r>
                      <w:r>
                        <w:rPr>
                          <w:color w:val="000000"/>
                        </w:rPr>
                        <w:t>and</w:t>
                      </w:r>
                      <w:r>
                        <w:rPr>
                          <w:color w:val="000000"/>
                          <w:spacing w:val="-4"/>
                        </w:rPr>
                        <w:t> </w:t>
                      </w:r>
                      <w:r>
                        <w:rPr>
                          <w:color w:val="000000"/>
                        </w:rPr>
                        <w:t>canopy</w:t>
                      </w:r>
                      <w:r>
                        <w:rPr>
                          <w:color w:val="000000"/>
                          <w:spacing w:val="-3"/>
                        </w:rPr>
                        <w:t> </w:t>
                      </w:r>
                      <w:r>
                        <w:rPr>
                          <w:color w:val="000000"/>
                        </w:rPr>
                        <w:t>cover</w:t>
                      </w:r>
                      <w:r>
                        <w:rPr>
                          <w:color w:val="000000"/>
                          <w:spacing w:val="-4"/>
                        </w:rPr>
                        <w:t> </w:t>
                      </w:r>
                      <w:r>
                        <w:rPr>
                          <w:color w:val="000000"/>
                        </w:rPr>
                        <w:t>as shown</w:t>
                      </w:r>
                      <w:r>
                        <w:rPr>
                          <w:color w:val="000000"/>
                          <w:spacing w:val="-2"/>
                        </w:rPr>
                        <w:t> </w:t>
                      </w:r>
                      <w:r>
                        <w:rPr>
                          <w:color w:val="000000"/>
                        </w:rPr>
                        <w:t>in</w:t>
                      </w:r>
                      <w:r>
                        <w:rPr>
                          <w:color w:val="000000"/>
                          <w:spacing w:val="-4"/>
                        </w:rPr>
                        <w:t> </w:t>
                      </w:r>
                      <w:hyperlink w:history="true" w:anchor="_bookmark75">
                        <w:r>
                          <w:rPr>
                            <w:color w:val="000000"/>
                          </w:rPr>
                          <w:t>table</w:t>
                        </w:r>
                        <w:r>
                          <w:rPr>
                            <w:color w:val="000000"/>
                            <w:spacing w:val="-3"/>
                          </w:rPr>
                          <w:t> </w:t>
                        </w:r>
                        <w:r>
                          <w:rPr>
                            <w:color w:val="000000"/>
                          </w:rPr>
                          <w:t>4.</w:t>
                        </w:r>
                      </w:hyperlink>
                      <w:r>
                        <w:rPr>
                          <w:color w:val="000000"/>
                          <w:spacing w:val="-1"/>
                        </w:rPr>
                        <w:t> </w:t>
                      </w:r>
                      <w:r>
                        <w:rPr>
                          <w:color w:val="000000"/>
                        </w:rPr>
                        <w:t>The</w:t>
                      </w:r>
                      <w:r>
                        <w:rPr>
                          <w:color w:val="000000"/>
                          <w:spacing w:val="-3"/>
                        </w:rPr>
                        <w:t> </w:t>
                      </w:r>
                      <w:r>
                        <w:rPr>
                          <w:color w:val="000000"/>
                        </w:rPr>
                        <w:t>diameter</w:t>
                      </w:r>
                      <w:r>
                        <w:rPr>
                          <w:color w:val="000000"/>
                          <w:spacing w:val="-1"/>
                        </w:rPr>
                        <w:t> </w:t>
                      </w:r>
                      <w:r>
                        <w:rPr>
                          <w:color w:val="000000"/>
                        </w:rPr>
                        <w:t>is</w:t>
                      </w:r>
                      <w:r>
                        <w:rPr>
                          <w:color w:val="000000"/>
                          <w:spacing w:val="-3"/>
                        </w:rPr>
                        <w:t> </w:t>
                      </w:r>
                      <w:r>
                        <w:rPr>
                          <w:color w:val="000000"/>
                        </w:rPr>
                        <w:t>based</w:t>
                      </w:r>
                      <w:r>
                        <w:rPr>
                          <w:color w:val="000000"/>
                          <w:spacing w:val="-4"/>
                        </w:rPr>
                        <w:t> </w:t>
                      </w:r>
                      <w:r>
                        <w:rPr>
                          <w:color w:val="000000"/>
                        </w:rPr>
                        <w:t>on</w:t>
                      </w:r>
                      <w:r>
                        <w:rPr>
                          <w:color w:val="000000"/>
                          <w:spacing w:val="-2"/>
                        </w:rPr>
                        <w:t> </w:t>
                      </w:r>
                      <w:r>
                        <w:rPr>
                          <w:color w:val="000000"/>
                        </w:rPr>
                        <w:t>the quadratic</w:t>
                      </w:r>
                      <w:r>
                        <w:rPr>
                          <w:color w:val="000000"/>
                          <w:spacing w:val="-3"/>
                        </w:rPr>
                        <w:t> </w:t>
                      </w:r>
                      <w:r>
                        <w:rPr>
                          <w:color w:val="000000"/>
                        </w:rPr>
                        <w:t>mean</w:t>
                      </w:r>
                      <w:r>
                        <w:rPr>
                          <w:color w:val="000000"/>
                          <w:spacing w:val="-2"/>
                        </w:rPr>
                        <w:t> </w:t>
                      </w:r>
                      <w:r>
                        <w:rPr>
                          <w:color w:val="000000"/>
                        </w:rPr>
                        <w:t>diameter</w:t>
                      </w:r>
                      <w:r>
                        <w:rPr>
                          <w:color w:val="000000"/>
                          <w:spacing w:val="-1"/>
                        </w:rPr>
                        <w:t> </w:t>
                      </w:r>
                      <w:r>
                        <w:rPr>
                          <w:color w:val="000000"/>
                        </w:rPr>
                        <w:t>in</w:t>
                      </w:r>
                      <w:r>
                        <w:rPr>
                          <w:color w:val="000000"/>
                          <w:spacing w:val="-2"/>
                        </w:rPr>
                        <w:t> </w:t>
                      </w:r>
                      <w:r>
                        <w:rPr>
                          <w:color w:val="000000"/>
                        </w:rPr>
                        <w:t>inches</w:t>
                      </w:r>
                      <w:r>
                        <w:rPr>
                          <w:color w:val="000000"/>
                          <w:spacing w:val="-1"/>
                        </w:rPr>
                        <w:t> </w:t>
                      </w:r>
                      <w:r>
                        <w:rPr>
                          <w:color w:val="000000"/>
                        </w:rPr>
                        <w:t>of</w:t>
                      </w:r>
                      <w:r>
                        <w:rPr>
                          <w:color w:val="000000"/>
                          <w:spacing w:val="-3"/>
                        </w:rPr>
                        <w:t> </w:t>
                      </w:r>
                      <w:r>
                        <w:rPr>
                          <w:color w:val="000000"/>
                        </w:rPr>
                        <w:t>trees whose heights are in the top 25 percent of all tree heights in the stand. This generally means that the diameters of the larger trees in a stand are used to define the structure </w:t>
                      </w:r>
                      <w:r>
                        <w:rPr>
                          <w:color w:val="000000"/>
                          <w:spacing w:val="-2"/>
                        </w:rPr>
                        <w:t>class.</w:t>
                      </w:r>
                    </w:p>
                  </w:txbxContent>
                </v:textbox>
                <v:fill type="solid"/>
                <w10:wrap type="topAndBottom"/>
              </v:shape>
            </w:pict>
          </mc:Fallback>
        </mc:AlternateContent>
      </w:r>
    </w:p>
    <w:p>
      <w:pPr>
        <w:pStyle w:val="BodyText"/>
        <w:spacing w:before="152"/>
        <w:rPr>
          <w:rFonts w:ascii="Arial"/>
          <w:b/>
          <w:sz w:val="18"/>
        </w:rPr>
      </w:pPr>
    </w:p>
    <w:p>
      <w:pPr>
        <w:spacing w:before="0" w:after="41"/>
        <w:ind w:left="1512" w:right="0" w:firstLine="0"/>
        <w:jc w:val="left"/>
        <w:rPr>
          <w:rFonts w:ascii="Arial"/>
          <w:b/>
          <w:sz w:val="18"/>
        </w:rPr>
      </w:pPr>
      <w:bookmarkStart w:name="_bookmark75" w:id="148"/>
      <w:bookmarkEnd w:id="148"/>
      <w:r>
        <w:rPr/>
      </w:r>
      <w:r>
        <w:rPr>
          <w:rFonts w:ascii="Arial"/>
          <w:b/>
          <w:sz w:val="18"/>
        </w:rPr>
        <w:t>Table</w:t>
      </w:r>
      <w:r>
        <w:rPr>
          <w:rFonts w:ascii="Arial"/>
          <w:b/>
          <w:spacing w:val="-7"/>
          <w:sz w:val="18"/>
        </w:rPr>
        <w:t> </w:t>
      </w:r>
      <w:r>
        <w:rPr>
          <w:rFonts w:ascii="Arial"/>
          <w:b/>
          <w:sz w:val="18"/>
        </w:rPr>
        <w:t>4.</w:t>
      </w:r>
      <w:r>
        <w:rPr>
          <w:rFonts w:ascii="Arial"/>
          <w:b/>
          <w:spacing w:val="-2"/>
          <w:sz w:val="18"/>
        </w:rPr>
        <w:t> </w:t>
      </w:r>
      <w:r>
        <w:rPr>
          <w:rFonts w:ascii="Arial"/>
          <w:b/>
          <w:sz w:val="18"/>
        </w:rPr>
        <w:t>Forest</w:t>
      </w:r>
      <w:r>
        <w:rPr>
          <w:rFonts w:ascii="Arial"/>
          <w:b/>
          <w:spacing w:val="-2"/>
          <w:sz w:val="18"/>
        </w:rPr>
        <w:t> </w:t>
      </w:r>
      <w:r>
        <w:rPr>
          <w:rFonts w:ascii="Arial"/>
          <w:b/>
          <w:sz w:val="18"/>
        </w:rPr>
        <w:t>structure</w:t>
      </w:r>
      <w:r>
        <w:rPr>
          <w:rFonts w:ascii="Arial"/>
          <w:b/>
          <w:spacing w:val="-1"/>
          <w:sz w:val="18"/>
        </w:rPr>
        <w:t> </w:t>
      </w:r>
      <w:r>
        <w:rPr>
          <w:rFonts w:ascii="Arial"/>
          <w:b/>
          <w:spacing w:val="-2"/>
          <w:sz w:val="18"/>
        </w:rPr>
        <w:t>classes</w:t>
      </w:r>
    </w:p>
    <w:tbl>
      <w:tblPr>
        <w:tblW w:w="0" w:type="auto"/>
        <w:jc w:val="left"/>
        <w:tblInd w:w="1522"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498"/>
        <w:gridCol w:w="6694"/>
      </w:tblGrid>
      <w:tr>
        <w:trPr>
          <w:trHeight w:val="303" w:hRule="atLeast"/>
        </w:trPr>
        <w:tc>
          <w:tcPr>
            <w:tcW w:w="1498" w:type="dxa"/>
            <w:shd w:val="clear" w:color="auto" w:fill="D5E2BB"/>
          </w:tcPr>
          <w:p>
            <w:pPr>
              <w:pStyle w:val="TableParagraph"/>
              <w:ind w:left="347"/>
              <w:rPr>
                <w:b/>
                <w:sz w:val="18"/>
              </w:rPr>
            </w:pPr>
            <w:r>
              <w:rPr>
                <w:b/>
                <w:spacing w:val="-2"/>
                <w:sz w:val="18"/>
              </w:rPr>
              <w:t>Structure</w:t>
            </w:r>
          </w:p>
        </w:tc>
        <w:tc>
          <w:tcPr>
            <w:tcW w:w="6694" w:type="dxa"/>
            <w:shd w:val="clear" w:color="auto" w:fill="D5E2BB"/>
          </w:tcPr>
          <w:p>
            <w:pPr>
              <w:pStyle w:val="TableParagraph"/>
              <w:ind w:left="17"/>
              <w:jc w:val="center"/>
              <w:rPr>
                <w:b/>
                <w:sz w:val="18"/>
              </w:rPr>
            </w:pPr>
            <w:r>
              <w:rPr>
                <w:b/>
                <w:spacing w:val="-2"/>
                <w:sz w:val="18"/>
              </w:rPr>
              <w:t>Definition</w:t>
            </w:r>
          </w:p>
        </w:tc>
      </w:tr>
      <w:tr>
        <w:trPr>
          <w:trHeight w:val="301" w:hRule="atLeast"/>
        </w:trPr>
        <w:tc>
          <w:tcPr>
            <w:tcW w:w="1498" w:type="dxa"/>
          </w:tcPr>
          <w:p>
            <w:pPr>
              <w:pStyle w:val="TableParagraph"/>
              <w:ind w:left="107"/>
              <w:rPr>
                <w:b/>
                <w:sz w:val="18"/>
              </w:rPr>
            </w:pPr>
            <w:r>
              <w:rPr>
                <w:b/>
                <w:spacing w:val="-2"/>
                <w:sz w:val="18"/>
              </w:rPr>
              <w:t>Early</w:t>
            </w:r>
          </w:p>
        </w:tc>
        <w:tc>
          <w:tcPr>
            <w:tcW w:w="6694" w:type="dxa"/>
          </w:tcPr>
          <w:p>
            <w:pPr>
              <w:pStyle w:val="TableParagraph"/>
              <w:ind w:left="107"/>
              <w:rPr>
                <w:sz w:val="18"/>
              </w:rPr>
            </w:pPr>
            <w:r>
              <w:rPr>
                <w:sz w:val="18"/>
              </w:rPr>
              <w:t>Trees</w:t>
            </w:r>
            <w:r>
              <w:rPr>
                <w:spacing w:val="-4"/>
                <w:sz w:val="18"/>
              </w:rPr>
              <w:t> </w:t>
            </w:r>
            <w:r>
              <w:rPr>
                <w:sz w:val="18"/>
              </w:rPr>
              <w:t>less</w:t>
            </w:r>
            <w:r>
              <w:rPr>
                <w:spacing w:val="-1"/>
                <w:sz w:val="18"/>
              </w:rPr>
              <w:t> </w:t>
            </w:r>
            <w:r>
              <w:rPr>
                <w:sz w:val="18"/>
              </w:rPr>
              <w:t>than</w:t>
            </w:r>
            <w:r>
              <w:rPr>
                <w:spacing w:val="-4"/>
                <w:sz w:val="18"/>
              </w:rPr>
              <w:t> </w:t>
            </w:r>
            <w:r>
              <w:rPr>
                <w:sz w:val="18"/>
              </w:rPr>
              <w:t>10</w:t>
            </w:r>
            <w:r>
              <w:rPr>
                <w:spacing w:val="-2"/>
                <w:sz w:val="18"/>
              </w:rPr>
              <w:t> </w:t>
            </w:r>
            <w:r>
              <w:rPr>
                <w:sz w:val="18"/>
              </w:rPr>
              <w:t>inches</w:t>
            </w:r>
            <w:r>
              <w:rPr>
                <w:spacing w:val="-3"/>
                <w:sz w:val="18"/>
              </w:rPr>
              <w:t> </w:t>
            </w:r>
            <w:r>
              <w:rPr>
                <w:sz w:val="18"/>
              </w:rPr>
              <w:t>d.b.h</w:t>
            </w:r>
            <w:r>
              <w:rPr>
                <w:spacing w:val="-1"/>
                <w:sz w:val="18"/>
              </w:rPr>
              <w:t> </w:t>
            </w:r>
            <w:r>
              <w:rPr>
                <w:sz w:val="18"/>
              </w:rPr>
              <w:t>or</w:t>
            </w:r>
            <w:r>
              <w:rPr>
                <w:spacing w:val="-2"/>
                <w:sz w:val="18"/>
              </w:rPr>
              <w:t> </w:t>
            </w:r>
            <w:r>
              <w:rPr>
                <w:sz w:val="18"/>
              </w:rPr>
              <w:t>canopy</w:t>
            </w:r>
            <w:r>
              <w:rPr>
                <w:spacing w:val="-3"/>
                <w:sz w:val="18"/>
              </w:rPr>
              <w:t> </w:t>
            </w:r>
            <w:r>
              <w:rPr>
                <w:sz w:val="18"/>
              </w:rPr>
              <w:t>cover</w:t>
            </w:r>
            <w:r>
              <w:rPr>
                <w:spacing w:val="-3"/>
                <w:sz w:val="18"/>
              </w:rPr>
              <w:t> </w:t>
            </w:r>
            <w:r>
              <w:rPr>
                <w:sz w:val="18"/>
              </w:rPr>
              <w:t>less</w:t>
            </w:r>
            <w:r>
              <w:rPr>
                <w:spacing w:val="-1"/>
                <w:sz w:val="18"/>
              </w:rPr>
              <w:t> </w:t>
            </w:r>
            <w:r>
              <w:rPr>
                <w:sz w:val="18"/>
              </w:rPr>
              <w:t>than</w:t>
            </w:r>
            <w:r>
              <w:rPr>
                <w:spacing w:val="-1"/>
                <w:sz w:val="18"/>
              </w:rPr>
              <w:t> </w:t>
            </w:r>
            <w:r>
              <w:rPr>
                <w:sz w:val="18"/>
              </w:rPr>
              <w:t>10</w:t>
            </w:r>
            <w:r>
              <w:rPr>
                <w:spacing w:val="-4"/>
                <w:sz w:val="18"/>
              </w:rPr>
              <w:t> </w:t>
            </w:r>
            <w:r>
              <w:rPr>
                <w:spacing w:val="-2"/>
                <w:sz w:val="18"/>
              </w:rPr>
              <w:t>percent</w:t>
            </w:r>
          </w:p>
        </w:tc>
      </w:tr>
      <w:tr>
        <w:trPr>
          <w:trHeight w:val="469" w:hRule="atLeast"/>
        </w:trPr>
        <w:tc>
          <w:tcPr>
            <w:tcW w:w="1498" w:type="dxa"/>
          </w:tcPr>
          <w:p>
            <w:pPr>
              <w:pStyle w:val="TableParagraph"/>
              <w:ind w:left="107"/>
              <w:rPr>
                <w:b/>
                <w:sz w:val="18"/>
              </w:rPr>
            </w:pPr>
            <w:r>
              <w:rPr>
                <w:b/>
                <w:sz w:val="18"/>
              </w:rPr>
              <w:t>Mid</w:t>
            </w:r>
            <w:r>
              <w:rPr>
                <w:b/>
                <w:spacing w:val="-3"/>
                <w:sz w:val="18"/>
              </w:rPr>
              <w:t> </w:t>
            </w:r>
            <w:r>
              <w:rPr>
                <w:b/>
                <w:spacing w:val="-4"/>
                <w:sz w:val="18"/>
              </w:rPr>
              <w:t>Open</w:t>
            </w:r>
          </w:p>
        </w:tc>
        <w:tc>
          <w:tcPr>
            <w:tcW w:w="6694" w:type="dxa"/>
          </w:tcPr>
          <w:p>
            <w:pPr>
              <w:pStyle w:val="TableParagraph"/>
              <w:ind w:left="107"/>
              <w:rPr>
                <w:sz w:val="18"/>
              </w:rPr>
            </w:pPr>
            <w:r>
              <w:rPr>
                <w:sz w:val="18"/>
              </w:rPr>
              <w:t>Trees</w:t>
            </w:r>
            <w:r>
              <w:rPr>
                <w:spacing w:val="-3"/>
                <w:sz w:val="18"/>
              </w:rPr>
              <w:t> </w:t>
            </w:r>
            <w:r>
              <w:rPr>
                <w:sz w:val="18"/>
              </w:rPr>
              <w:t>10</w:t>
            </w:r>
            <w:r>
              <w:rPr>
                <w:spacing w:val="-1"/>
                <w:sz w:val="18"/>
              </w:rPr>
              <w:t> </w:t>
            </w:r>
            <w:r>
              <w:rPr>
                <w:sz w:val="18"/>
              </w:rPr>
              <w:t>to</w:t>
            </w:r>
            <w:r>
              <w:rPr>
                <w:spacing w:val="-1"/>
                <w:sz w:val="18"/>
              </w:rPr>
              <w:t> </w:t>
            </w:r>
            <w:r>
              <w:rPr>
                <w:sz w:val="18"/>
              </w:rPr>
              <w:t>less</w:t>
            </w:r>
            <w:r>
              <w:rPr>
                <w:spacing w:val="-3"/>
                <w:sz w:val="18"/>
              </w:rPr>
              <w:t> </w:t>
            </w:r>
            <w:r>
              <w:rPr>
                <w:sz w:val="18"/>
              </w:rPr>
              <w:t>than</w:t>
            </w:r>
            <w:r>
              <w:rPr>
                <w:spacing w:val="-1"/>
                <w:sz w:val="18"/>
              </w:rPr>
              <w:t> </w:t>
            </w:r>
            <w:r>
              <w:rPr>
                <w:sz w:val="18"/>
              </w:rPr>
              <w:t>20</w:t>
            </w:r>
            <w:r>
              <w:rPr>
                <w:spacing w:val="-4"/>
                <w:sz w:val="18"/>
              </w:rPr>
              <w:t> </w:t>
            </w:r>
            <w:r>
              <w:rPr>
                <w:sz w:val="18"/>
              </w:rPr>
              <w:t>inches</w:t>
            </w:r>
            <w:r>
              <w:rPr>
                <w:spacing w:val="-1"/>
                <w:sz w:val="18"/>
              </w:rPr>
              <w:t> </w:t>
            </w:r>
            <w:r>
              <w:rPr>
                <w:sz w:val="18"/>
              </w:rPr>
              <w:t>d.b.h,</w:t>
            </w:r>
            <w:r>
              <w:rPr>
                <w:spacing w:val="-3"/>
                <w:sz w:val="18"/>
              </w:rPr>
              <w:t> </w:t>
            </w:r>
            <w:r>
              <w:rPr>
                <w:sz w:val="18"/>
              </w:rPr>
              <w:t>canopy</w:t>
            </w:r>
            <w:r>
              <w:rPr>
                <w:spacing w:val="-3"/>
                <w:sz w:val="18"/>
              </w:rPr>
              <w:t> </w:t>
            </w:r>
            <w:r>
              <w:rPr>
                <w:sz w:val="18"/>
              </w:rPr>
              <w:t>cover</w:t>
            </w:r>
            <w:r>
              <w:rPr>
                <w:spacing w:val="-2"/>
                <w:sz w:val="18"/>
              </w:rPr>
              <w:t> </w:t>
            </w:r>
            <w:r>
              <w:rPr>
                <w:sz w:val="18"/>
              </w:rPr>
              <w:t>10</w:t>
            </w:r>
            <w:r>
              <w:rPr>
                <w:spacing w:val="-1"/>
                <w:sz w:val="18"/>
              </w:rPr>
              <w:t> </w:t>
            </w:r>
            <w:r>
              <w:rPr>
                <w:sz w:val="18"/>
              </w:rPr>
              <w:t>percent</w:t>
            </w:r>
            <w:r>
              <w:rPr>
                <w:spacing w:val="-2"/>
                <w:sz w:val="18"/>
              </w:rPr>
              <w:t> </w:t>
            </w:r>
            <w:r>
              <w:rPr>
                <w:sz w:val="18"/>
              </w:rPr>
              <w:t>up</w:t>
            </w:r>
            <w:r>
              <w:rPr>
                <w:spacing w:val="-4"/>
                <w:sz w:val="18"/>
              </w:rPr>
              <w:t> </w:t>
            </w:r>
            <w:r>
              <w:rPr>
                <w:sz w:val="18"/>
              </w:rPr>
              <w:t>to</w:t>
            </w:r>
            <w:r>
              <w:rPr>
                <w:spacing w:val="-4"/>
                <w:sz w:val="18"/>
              </w:rPr>
              <w:t> </w:t>
            </w:r>
            <w:r>
              <w:rPr>
                <w:sz w:val="18"/>
              </w:rPr>
              <w:t>40 </w:t>
            </w:r>
            <w:r>
              <w:rPr>
                <w:spacing w:val="-2"/>
                <w:sz w:val="18"/>
              </w:rPr>
              <w:t>percent</w:t>
            </w:r>
          </w:p>
        </w:tc>
      </w:tr>
      <w:tr>
        <w:trPr>
          <w:trHeight w:val="301" w:hRule="atLeast"/>
        </w:trPr>
        <w:tc>
          <w:tcPr>
            <w:tcW w:w="1498" w:type="dxa"/>
          </w:tcPr>
          <w:p>
            <w:pPr>
              <w:pStyle w:val="TableParagraph"/>
              <w:ind w:left="107"/>
              <w:rPr>
                <w:b/>
                <w:sz w:val="18"/>
              </w:rPr>
            </w:pPr>
            <w:r>
              <w:rPr>
                <w:b/>
                <w:sz w:val="18"/>
              </w:rPr>
              <w:t>Mid</w:t>
            </w:r>
            <w:r>
              <w:rPr>
                <w:b/>
                <w:spacing w:val="-3"/>
                <w:sz w:val="18"/>
              </w:rPr>
              <w:t> </w:t>
            </w:r>
            <w:r>
              <w:rPr>
                <w:b/>
                <w:spacing w:val="-2"/>
                <w:sz w:val="18"/>
              </w:rPr>
              <w:t>Closed</w:t>
            </w:r>
          </w:p>
        </w:tc>
        <w:tc>
          <w:tcPr>
            <w:tcW w:w="6694" w:type="dxa"/>
          </w:tcPr>
          <w:p>
            <w:pPr>
              <w:pStyle w:val="TableParagraph"/>
              <w:ind w:left="107"/>
              <w:rPr>
                <w:sz w:val="18"/>
              </w:rPr>
            </w:pPr>
            <w:r>
              <w:rPr>
                <w:sz w:val="18"/>
              </w:rPr>
              <w:t>Trees</w:t>
            </w:r>
            <w:r>
              <w:rPr>
                <w:spacing w:val="-4"/>
                <w:sz w:val="18"/>
              </w:rPr>
              <w:t> </w:t>
            </w:r>
            <w:r>
              <w:rPr>
                <w:sz w:val="18"/>
              </w:rPr>
              <w:t>10</w:t>
            </w:r>
            <w:r>
              <w:rPr>
                <w:spacing w:val="-1"/>
                <w:sz w:val="18"/>
              </w:rPr>
              <w:t> </w:t>
            </w:r>
            <w:r>
              <w:rPr>
                <w:sz w:val="18"/>
              </w:rPr>
              <w:t>to</w:t>
            </w:r>
            <w:r>
              <w:rPr>
                <w:spacing w:val="-1"/>
                <w:sz w:val="18"/>
              </w:rPr>
              <w:t> </w:t>
            </w:r>
            <w:r>
              <w:rPr>
                <w:sz w:val="18"/>
              </w:rPr>
              <w:t>less</w:t>
            </w:r>
            <w:r>
              <w:rPr>
                <w:spacing w:val="-3"/>
                <w:sz w:val="18"/>
              </w:rPr>
              <w:t> </w:t>
            </w:r>
            <w:r>
              <w:rPr>
                <w:sz w:val="18"/>
              </w:rPr>
              <w:t>than</w:t>
            </w:r>
            <w:r>
              <w:rPr>
                <w:spacing w:val="-1"/>
                <w:sz w:val="18"/>
              </w:rPr>
              <w:t> </w:t>
            </w:r>
            <w:r>
              <w:rPr>
                <w:sz w:val="18"/>
              </w:rPr>
              <w:t>20</w:t>
            </w:r>
            <w:r>
              <w:rPr>
                <w:spacing w:val="-4"/>
                <w:sz w:val="18"/>
              </w:rPr>
              <w:t> </w:t>
            </w:r>
            <w:r>
              <w:rPr>
                <w:sz w:val="18"/>
              </w:rPr>
              <w:t>inches</w:t>
            </w:r>
            <w:r>
              <w:rPr>
                <w:spacing w:val="-1"/>
                <w:sz w:val="18"/>
              </w:rPr>
              <w:t> </w:t>
            </w:r>
            <w:r>
              <w:rPr>
                <w:sz w:val="18"/>
              </w:rPr>
              <w:t>d.b.h,</w:t>
            </w:r>
            <w:r>
              <w:rPr>
                <w:spacing w:val="-4"/>
                <w:sz w:val="18"/>
              </w:rPr>
              <w:t> </w:t>
            </w:r>
            <w:r>
              <w:rPr>
                <w:sz w:val="18"/>
              </w:rPr>
              <w:t>canopy</w:t>
            </w:r>
            <w:r>
              <w:rPr>
                <w:spacing w:val="-3"/>
                <w:sz w:val="18"/>
              </w:rPr>
              <w:t> </w:t>
            </w:r>
            <w:r>
              <w:rPr>
                <w:sz w:val="18"/>
              </w:rPr>
              <w:t>cover</w:t>
            </w:r>
            <w:r>
              <w:rPr>
                <w:spacing w:val="-2"/>
                <w:sz w:val="18"/>
              </w:rPr>
              <w:t> </w:t>
            </w:r>
            <w:r>
              <w:rPr>
                <w:sz w:val="18"/>
              </w:rPr>
              <w:t>40</w:t>
            </w:r>
            <w:r>
              <w:rPr>
                <w:spacing w:val="-1"/>
                <w:sz w:val="18"/>
              </w:rPr>
              <w:t> </w:t>
            </w:r>
            <w:r>
              <w:rPr>
                <w:sz w:val="18"/>
              </w:rPr>
              <w:t>percent</w:t>
            </w:r>
            <w:r>
              <w:rPr>
                <w:spacing w:val="-2"/>
                <w:sz w:val="18"/>
              </w:rPr>
              <w:t> </w:t>
            </w:r>
            <w:r>
              <w:rPr>
                <w:sz w:val="18"/>
              </w:rPr>
              <w:t>or</w:t>
            </w:r>
            <w:r>
              <w:rPr>
                <w:spacing w:val="-3"/>
                <w:sz w:val="18"/>
              </w:rPr>
              <w:t> </w:t>
            </w:r>
            <w:r>
              <w:rPr>
                <w:spacing w:val="-2"/>
                <w:sz w:val="18"/>
              </w:rPr>
              <w:t>greater</w:t>
            </w:r>
          </w:p>
        </w:tc>
      </w:tr>
      <w:tr>
        <w:trPr>
          <w:trHeight w:val="304" w:hRule="atLeast"/>
        </w:trPr>
        <w:tc>
          <w:tcPr>
            <w:tcW w:w="1498" w:type="dxa"/>
            <w:tcBorders>
              <w:bottom w:val="dashed" w:sz="4" w:space="0" w:color="000000"/>
            </w:tcBorders>
          </w:tcPr>
          <w:p>
            <w:pPr>
              <w:pStyle w:val="TableParagraph"/>
              <w:spacing w:before="42"/>
              <w:ind w:left="107"/>
              <w:rPr>
                <w:b/>
                <w:sz w:val="18"/>
              </w:rPr>
            </w:pPr>
            <w:r>
              <w:rPr>
                <w:b/>
                <w:sz w:val="18"/>
              </w:rPr>
              <w:t>Late</w:t>
            </w:r>
            <w:r>
              <w:rPr>
                <w:b/>
                <w:spacing w:val="1"/>
                <w:sz w:val="18"/>
              </w:rPr>
              <w:t> </w:t>
            </w:r>
            <w:r>
              <w:rPr>
                <w:b/>
                <w:spacing w:val="-4"/>
                <w:sz w:val="18"/>
              </w:rPr>
              <w:t>Open</w:t>
            </w:r>
          </w:p>
        </w:tc>
        <w:tc>
          <w:tcPr>
            <w:tcW w:w="6694" w:type="dxa"/>
            <w:tcBorders>
              <w:bottom w:val="dashed" w:sz="4" w:space="0" w:color="000000"/>
            </w:tcBorders>
          </w:tcPr>
          <w:p>
            <w:pPr>
              <w:pStyle w:val="TableParagraph"/>
              <w:spacing w:before="42"/>
              <w:ind w:left="107"/>
              <w:rPr>
                <w:sz w:val="18"/>
              </w:rPr>
            </w:pPr>
            <w:r>
              <w:rPr>
                <w:sz w:val="18"/>
              </w:rPr>
              <w:t>Trees</w:t>
            </w:r>
            <w:r>
              <w:rPr>
                <w:spacing w:val="-3"/>
                <w:sz w:val="18"/>
              </w:rPr>
              <w:t> </w:t>
            </w:r>
            <w:r>
              <w:rPr>
                <w:sz w:val="18"/>
              </w:rPr>
              <w:t>20</w:t>
            </w:r>
            <w:r>
              <w:rPr>
                <w:spacing w:val="-4"/>
                <w:sz w:val="18"/>
              </w:rPr>
              <w:t> </w:t>
            </w:r>
            <w:r>
              <w:rPr>
                <w:sz w:val="18"/>
              </w:rPr>
              <w:t>inches</w:t>
            </w:r>
            <w:r>
              <w:rPr>
                <w:spacing w:val="-3"/>
                <w:sz w:val="18"/>
              </w:rPr>
              <w:t> </w:t>
            </w:r>
            <w:r>
              <w:rPr>
                <w:sz w:val="18"/>
              </w:rPr>
              <w:t>or</w:t>
            </w:r>
            <w:r>
              <w:rPr>
                <w:spacing w:val="-2"/>
                <w:sz w:val="18"/>
              </w:rPr>
              <w:t> </w:t>
            </w:r>
            <w:r>
              <w:rPr>
                <w:sz w:val="18"/>
              </w:rPr>
              <w:t>greater</w:t>
            </w:r>
            <w:r>
              <w:rPr>
                <w:spacing w:val="-5"/>
                <w:sz w:val="18"/>
              </w:rPr>
              <w:t> </w:t>
            </w:r>
            <w:r>
              <w:rPr>
                <w:sz w:val="18"/>
              </w:rPr>
              <w:t>d.b.h,</w:t>
            </w:r>
            <w:r>
              <w:rPr>
                <w:spacing w:val="-2"/>
                <w:sz w:val="18"/>
              </w:rPr>
              <w:t> </w:t>
            </w:r>
            <w:r>
              <w:rPr>
                <w:sz w:val="18"/>
              </w:rPr>
              <w:t>canopy</w:t>
            </w:r>
            <w:r>
              <w:rPr>
                <w:spacing w:val="-5"/>
                <w:sz w:val="18"/>
              </w:rPr>
              <w:t> </w:t>
            </w:r>
            <w:r>
              <w:rPr>
                <w:sz w:val="18"/>
              </w:rPr>
              <w:t>cover</w:t>
            </w:r>
            <w:r>
              <w:rPr>
                <w:spacing w:val="-2"/>
                <w:sz w:val="18"/>
              </w:rPr>
              <w:t> </w:t>
            </w:r>
            <w:r>
              <w:rPr>
                <w:sz w:val="18"/>
              </w:rPr>
              <w:t>10</w:t>
            </w:r>
            <w:r>
              <w:rPr>
                <w:spacing w:val="-4"/>
                <w:sz w:val="18"/>
              </w:rPr>
              <w:t> </w:t>
            </w:r>
            <w:r>
              <w:rPr>
                <w:sz w:val="18"/>
              </w:rPr>
              <w:t>percent</w:t>
            </w:r>
            <w:r>
              <w:rPr>
                <w:spacing w:val="-4"/>
                <w:sz w:val="18"/>
              </w:rPr>
              <w:t> </w:t>
            </w:r>
            <w:r>
              <w:rPr>
                <w:sz w:val="18"/>
              </w:rPr>
              <w:t>up</w:t>
            </w:r>
            <w:r>
              <w:rPr>
                <w:spacing w:val="-1"/>
                <w:sz w:val="18"/>
              </w:rPr>
              <w:t> </w:t>
            </w:r>
            <w:r>
              <w:rPr>
                <w:sz w:val="18"/>
              </w:rPr>
              <w:t>to</w:t>
            </w:r>
            <w:r>
              <w:rPr>
                <w:spacing w:val="-1"/>
                <w:sz w:val="18"/>
              </w:rPr>
              <w:t> </w:t>
            </w:r>
            <w:r>
              <w:rPr>
                <w:sz w:val="18"/>
              </w:rPr>
              <w:t>40 </w:t>
            </w:r>
            <w:r>
              <w:rPr>
                <w:spacing w:val="-2"/>
                <w:sz w:val="18"/>
              </w:rPr>
              <w:t>percent</w:t>
            </w:r>
          </w:p>
        </w:tc>
      </w:tr>
      <w:tr>
        <w:trPr>
          <w:trHeight w:val="313" w:hRule="atLeast"/>
        </w:trPr>
        <w:tc>
          <w:tcPr>
            <w:tcW w:w="1498" w:type="dxa"/>
            <w:tcBorders>
              <w:top w:val="dashed" w:sz="4" w:space="0" w:color="000000"/>
            </w:tcBorders>
          </w:tcPr>
          <w:p>
            <w:pPr>
              <w:pStyle w:val="TableParagraph"/>
              <w:ind w:left="107"/>
              <w:rPr>
                <w:b/>
                <w:sz w:val="18"/>
              </w:rPr>
            </w:pPr>
            <w:r>
              <w:rPr>
                <w:b/>
                <w:sz w:val="18"/>
              </w:rPr>
              <w:t>Late</w:t>
            </w:r>
            <w:r>
              <w:rPr>
                <w:b/>
                <w:spacing w:val="1"/>
                <w:sz w:val="18"/>
              </w:rPr>
              <w:t> </w:t>
            </w:r>
            <w:r>
              <w:rPr>
                <w:b/>
                <w:spacing w:val="-2"/>
                <w:sz w:val="18"/>
              </w:rPr>
              <w:t>Closed</w:t>
            </w:r>
          </w:p>
        </w:tc>
        <w:tc>
          <w:tcPr>
            <w:tcW w:w="6694" w:type="dxa"/>
            <w:tcBorders>
              <w:top w:val="dashed" w:sz="4" w:space="0" w:color="000000"/>
            </w:tcBorders>
          </w:tcPr>
          <w:p>
            <w:pPr>
              <w:pStyle w:val="TableParagraph"/>
              <w:ind w:left="107"/>
              <w:rPr>
                <w:sz w:val="18"/>
              </w:rPr>
            </w:pPr>
            <w:r>
              <w:rPr>
                <w:sz w:val="18"/>
              </w:rPr>
              <w:t>Trees</w:t>
            </w:r>
            <w:r>
              <w:rPr>
                <w:spacing w:val="-3"/>
                <w:sz w:val="18"/>
              </w:rPr>
              <w:t> </w:t>
            </w:r>
            <w:r>
              <w:rPr>
                <w:sz w:val="18"/>
              </w:rPr>
              <w:t>20</w:t>
            </w:r>
            <w:r>
              <w:rPr>
                <w:spacing w:val="-4"/>
                <w:sz w:val="18"/>
              </w:rPr>
              <w:t> </w:t>
            </w:r>
            <w:r>
              <w:rPr>
                <w:sz w:val="18"/>
              </w:rPr>
              <w:t>inches</w:t>
            </w:r>
            <w:r>
              <w:rPr>
                <w:spacing w:val="-2"/>
                <w:sz w:val="18"/>
              </w:rPr>
              <w:t> </w:t>
            </w:r>
            <w:r>
              <w:rPr>
                <w:sz w:val="18"/>
              </w:rPr>
              <w:t>or</w:t>
            </w:r>
            <w:r>
              <w:rPr>
                <w:spacing w:val="-2"/>
                <w:sz w:val="18"/>
              </w:rPr>
              <w:t> </w:t>
            </w:r>
            <w:r>
              <w:rPr>
                <w:sz w:val="18"/>
              </w:rPr>
              <w:t>greater</w:t>
            </w:r>
            <w:r>
              <w:rPr>
                <w:spacing w:val="-5"/>
                <w:sz w:val="18"/>
              </w:rPr>
              <w:t> </w:t>
            </w:r>
            <w:r>
              <w:rPr>
                <w:sz w:val="18"/>
              </w:rPr>
              <w:t>d.b.h,</w:t>
            </w:r>
            <w:r>
              <w:rPr>
                <w:spacing w:val="-1"/>
                <w:sz w:val="18"/>
              </w:rPr>
              <w:t> </w:t>
            </w:r>
            <w:r>
              <w:rPr>
                <w:sz w:val="18"/>
              </w:rPr>
              <w:t>canopy</w:t>
            </w:r>
            <w:r>
              <w:rPr>
                <w:spacing w:val="-6"/>
                <w:sz w:val="18"/>
              </w:rPr>
              <w:t> </w:t>
            </w:r>
            <w:r>
              <w:rPr>
                <w:sz w:val="18"/>
              </w:rPr>
              <w:t>cover</w:t>
            </w:r>
            <w:r>
              <w:rPr>
                <w:spacing w:val="-2"/>
                <w:sz w:val="18"/>
              </w:rPr>
              <w:t> </w:t>
            </w:r>
            <w:r>
              <w:rPr>
                <w:sz w:val="18"/>
              </w:rPr>
              <w:t>40</w:t>
            </w:r>
            <w:r>
              <w:rPr>
                <w:spacing w:val="-3"/>
                <w:sz w:val="18"/>
              </w:rPr>
              <w:t> </w:t>
            </w:r>
            <w:r>
              <w:rPr>
                <w:sz w:val="18"/>
              </w:rPr>
              <w:t>percent</w:t>
            </w:r>
            <w:r>
              <w:rPr>
                <w:spacing w:val="-4"/>
                <w:sz w:val="18"/>
              </w:rPr>
              <w:t> </w:t>
            </w:r>
            <w:r>
              <w:rPr>
                <w:sz w:val="18"/>
              </w:rPr>
              <w:t>or</w:t>
            </w:r>
            <w:r>
              <w:rPr>
                <w:spacing w:val="-3"/>
                <w:sz w:val="18"/>
              </w:rPr>
              <w:t> </w:t>
            </w:r>
            <w:r>
              <w:rPr>
                <w:spacing w:val="-2"/>
                <w:sz w:val="18"/>
              </w:rPr>
              <w:t>greater</w:t>
            </w:r>
          </w:p>
        </w:tc>
      </w:tr>
    </w:tbl>
    <w:p>
      <w:pPr>
        <w:pStyle w:val="BodyText"/>
        <w:spacing w:before="229"/>
        <w:rPr>
          <w:rFonts w:ascii="Arial"/>
          <w:b/>
          <w:sz w:val="20"/>
        </w:rPr>
      </w:pPr>
      <w:r>
        <w:rPr>
          <w:rFonts w:ascii="Arial"/>
          <w:b/>
          <w:sz w:val="20"/>
        </w:rPr>
        <mc:AlternateContent>
          <mc:Choice Requires="wps">
            <w:drawing>
              <wp:anchor distT="0" distB="0" distL="0" distR="0" allowOverlap="1" layoutInCell="1" locked="0" behindDoc="1" simplePos="0" relativeHeight="487597056">
                <wp:simplePos x="0" y="0"/>
                <wp:positionH relativeFrom="page">
                  <wp:posOffset>1627632</wp:posOffset>
                </wp:positionH>
                <wp:positionV relativeFrom="paragraph">
                  <wp:posOffset>306704</wp:posOffset>
                </wp:positionV>
                <wp:extent cx="5248910" cy="2369820"/>
                <wp:effectExtent l="0" t="0" r="0" b="0"/>
                <wp:wrapTopAndBottom/>
                <wp:docPr id="145" name="Textbox 145"/>
                <wp:cNvGraphicFramePr>
                  <a:graphicFrameLocks/>
                </wp:cNvGraphicFramePr>
                <a:graphic>
                  <a:graphicData uri="http://schemas.microsoft.com/office/word/2010/wordprocessingShape">
                    <wps:wsp>
                      <wps:cNvPr id="145" name="Textbox 145"/>
                      <wps:cNvSpPr txBox="1"/>
                      <wps:spPr>
                        <a:xfrm>
                          <a:off x="0" y="0"/>
                          <a:ext cx="5248910" cy="2369820"/>
                        </a:xfrm>
                        <a:prstGeom prst="rect">
                          <a:avLst/>
                        </a:prstGeom>
                        <a:solidFill>
                          <a:srgbClr val="DFDFDF"/>
                        </a:solidFill>
                      </wps:spPr>
                      <wps:txbx>
                        <w:txbxContent>
                          <w:p>
                            <w:pPr>
                              <w:pStyle w:val="BodyText"/>
                              <w:ind w:left="28" w:right="120"/>
                              <w:rPr>
                                <w:color w:val="000000"/>
                              </w:rPr>
                            </w:pPr>
                            <w:r>
                              <w:rPr>
                                <w:color w:val="000000"/>
                              </w:rPr>
                              <w:t>FEDERALLY</w:t>
                            </w:r>
                            <w:r>
                              <w:rPr>
                                <w:color w:val="000000"/>
                                <w:spacing w:val="-6"/>
                              </w:rPr>
                              <w:t> </w:t>
                            </w:r>
                            <w:r>
                              <w:rPr>
                                <w:color w:val="000000"/>
                              </w:rPr>
                              <w:t>THREATENED,</w:t>
                            </w:r>
                            <w:r>
                              <w:rPr>
                                <w:color w:val="000000"/>
                                <w:spacing w:val="-4"/>
                              </w:rPr>
                              <w:t> </w:t>
                            </w:r>
                            <w:r>
                              <w:rPr>
                                <w:color w:val="000000"/>
                              </w:rPr>
                              <w:t>ENDANGERED</w:t>
                            </w:r>
                            <w:r>
                              <w:rPr>
                                <w:color w:val="000000"/>
                                <w:spacing w:val="-4"/>
                              </w:rPr>
                              <w:t> </w:t>
                            </w:r>
                            <w:r>
                              <w:rPr>
                                <w:color w:val="000000"/>
                              </w:rPr>
                              <w:t>AND</w:t>
                            </w:r>
                            <w:r>
                              <w:rPr>
                                <w:color w:val="000000"/>
                                <w:spacing w:val="-5"/>
                              </w:rPr>
                              <w:t> </w:t>
                            </w:r>
                            <w:r>
                              <w:rPr>
                                <w:color w:val="000000"/>
                              </w:rPr>
                              <w:t>PROPOSED</w:t>
                            </w:r>
                            <w:r>
                              <w:rPr>
                                <w:color w:val="000000"/>
                                <w:spacing w:val="-4"/>
                              </w:rPr>
                              <w:t> </w:t>
                            </w:r>
                            <w:r>
                              <w:rPr>
                                <w:color w:val="000000"/>
                              </w:rPr>
                              <w:t>SPECIES</w:t>
                            </w:r>
                            <w:r>
                              <w:rPr>
                                <w:color w:val="000000"/>
                                <w:spacing w:val="-5"/>
                              </w:rPr>
                              <w:t> </w:t>
                            </w:r>
                            <w:r>
                              <w:rPr>
                                <w:color w:val="000000"/>
                              </w:rPr>
                              <w:t>(TES),</w:t>
                            </w:r>
                            <w:r>
                              <w:rPr>
                                <w:color w:val="000000"/>
                                <w:spacing w:val="-6"/>
                              </w:rPr>
                              <w:t> </w:t>
                            </w:r>
                            <w:r>
                              <w:rPr>
                                <w:color w:val="000000"/>
                              </w:rPr>
                              <w:t>AND</w:t>
                            </w:r>
                            <w:r>
                              <w:rPr>
                                <w:color w:val="000000"/>
                                <w:spacing w:val="-4"/>
                              </w:rPr>
                              <w:t> </w:t>
                            </w:r>
                            <w:r>
                              <w:rPr>
                                <w:color w:val="000000"/>
                              </w:rPr>
                              <w:t>REGIONALLY SENSITIVE AND STRATEGIC PLANT SPECIES</w:t>
                            </w:r>
                          </w:p>
                          <w:p>
                            <w:pPr>
                              <w:pStyle w:val="BodyText"/>
                              <w:spacing w:before="120"/>
                              <w:ind w:left="28" w:right="120"/>
                              <w:rPr>
                                <w:color w:val="000000"/>
                              </w:rPr>
                            </w:pPr>
                            <w:r>
                              <w:rPr>
                                <w:color w:val="000000"/>
                              </w:rPr>
                              <w:t>Federally threatened, endangered, proposed and sensitive plant species in the planning area are those formally listed by the USDI Fish and Wildlife Service under the Federal Endangered Species Act. The R6 Regional Forester Special Status Species List includes federally threatened, endangered and proposed threatened; and regionally sensitive and strategic</w:t>
                            </w:r>
                            <w:r>
                              <w:rPr>
                                <w:color w:val="000000"/>
                                <w:spacing w:val="-5"/>
                              </w:rPr>
                              <w:t> </w:t>
                            </w:r>
                            <w:r>
                              <w:rPr>
                                <w:color w:val="000000"/>
                              </w:rPr>
                              <w:t>plant</w:t>
                            </w:r>
                            <w:r>
                              <w:rPr>
                                <w:color w:val="000000"/>
                                <w:spacing w:val="-2"/>
                              </w:rPr>
                              <w:t> </w:t>
                            </w:r>
                            <w:r>
                              <w:rPr>
                                <w:color w:val="000000"/>
                              </w:rPr>
                              <w:t>species.</w:t>
                            </w:r>
                            <w:r>
                              <w:rPr>
                                <w:color w:val="000000"/>
                                <w:spacing w:val="-3"/>
                              </w:rPr>
                              <w:t> </w:t>
                            </w:r>
                            <w:r>
                              <w:rPr>
                                <w:color w:val="000000"/>
                              </w:rPr>
                              <w:t>Although</w:t>
                            </w:r>
                            <w:r>
                              <w:rPr>
                                <w:color w:val="000000"/>
                                <w:spacing w:val="-4"/>
                              </w:rPr>
                              <w:t> </w:t>
                            </w:r>
                            <w:r>
                              <w:rPr>
                                <w:color w:val="000000"/>
                              </w:rPr>
                              <w:t>no</w:t>
                            </w:r>
                            <w:r>
                              <w:rPr>
                                <w:color w:val="000000"/>
                                <w:spacing w:val="-2"/>
                              </w:rPr>
                              <w:t> </w:t>
                            </w:r>
                            <w:r>
                              <w:rPr>
                                <w:color w:val="000000"/>
                              </w:rPr>
                              <w:t>federally</w:t>
                            </w:r>
                            <w:r>
                              <w:rPr>
                                <w:color w:val="000000"/>
                                <w:spacing w:val="-4"/>
                              </w:rPr>
                              <w:t> </w:t>
                            </w:r>
                            <w:r>
                              <w:rPr>
                                <w:color w:val="000000"/>
                              </w:rPr>
                              <w:t>listed</w:t>
                            </w:r>
                            <w:r>
                              <w:rPr>
                                <w:color w:val="000000"/>
                                <w:spacing w:val="-6"/>
                              </w:rPr>
                              <w:t> </w:t>
                            </w:r>
                            <w:r>
                              <w:rPr>
                                <w:color w:val="000000"/>
                              </w:rPr>
                              <w:t>plant</w:t>
                            </w:r>
                            <w:r>
                              <w:rPr>
                                <w:color w:val="000000"/>
                                <w:spacing w:val="-2"/>
                              </w:rPr>
                              <w:t> </w:t>
                            </w:r>
                            <w:r>
                              <w:rPr>
                                <w:color w:val="000000"/>
                              </w:rPr>
                              <w:t>species</w:t>
                            </w:r>
                            <w:r>
                              <w:rPr>
                                <w:color w:val="000000"/>
                                <w:spacing w:val="-5"/>
                              </w:rPr>
                              <w:t> </w:t>
                            </w:r>
                            <w:r>
                              <w:rPr>
                                <w:color w:val="000000"/>
                              </w:rPr>
                              <w:t>are</w:t>
                            </w:r>
                            <w:r>
                              <w:rPr>
                                <w:color w:val="000000"/>
                                <w:spacing w:val="-5"/>
                              </w:rPr>
                              <w:t> </w:t>
                            </w:r>
                            <w:r>
                              <w:rPr>
                                <w:color w:val="000000"/>
                              </w:rPr>
                              <w:t>currently</w:t>
                            </w:r>
                            <w:r>
                              <w:rPr>
                                <w:color w:val="000000"/>
                                <w:spacing w:val="-2"/>
                              </w:rPr>
                              <w:t> </w:t>
                            </w:r>
                            <w:r>
                              <w:rPr>
                                <w:color w:val="000000"/>
                              </w:rPr>
                              <w:t>known</w:t>
                            </w:r>
                            <w:r>
                              <w:rPr>
                                <w:color w:val="000000"/>
                                <w:spacing w:val="-4"/>
                              </w:rPr>
                              <w:t> </w:t>
                            </w:r>
                            <w:r>
                              <w:rPr>
                                <w:color w:val="000000"/>
                              </w:rPr>
                              <w:t>from the Colville National Forest, 41 regionally sensitive plant species do occur on the Forest.</w:t>
                            </w:r>
                          </w:p>
                          <w:p>
                            <w:pPr>
                              <w:pStyle w:val="BodyText"/>
                              <w:ind w:left="28" w:right="31"/>
                              <w:rPr>
                                <w:color w:val="000000"/>
                              </w:rPr>
                            </w:pPr>
                            <w:r>
                              <w:rPr>
                                <w:color w:val="000000"/>
                              </w:rPr>
                              <w:t>Locations for many TES plant species include unique habitats that</w:t>
                            </w:r>
                            <w:r>
                              <w:rPr>
                                <w:color w:val="000000"/>
                                <w:spacing w:val="-1"/>
                              </w:rPr>
                              <w:t> </w:t>
                            </w:r>
                            <w:r>
                              <w:rPr>
                                <w:color w:val="000000"/>
                              </w:rPr>
                              <w:t>may be rare or</w:t>
                            </w:r>
                            <w:r>
                              <w:rPr>
                                <w:color w:val="000000"/>
                                <w:spacing w:val="-2"/>
                              </w:rPr>
                              <w:t> </w:t>
                            </w:r>
                            <w:r>
                              <w:rPr>
                                <w:color w:val="000000"/>
                              </w:rPr>
                              <w:t>represent a small portion of a particular landscape. Meadows, wetlands (marsh, bog, fen, carr,</w:t>
                            </w:r>
                            <w:r>
                              <w:rPr>
                                <w:color w:val="000000"/>
                              </w:rPr>
                              <w:t> swamp, spring, and seep), riparian areas, alpine fellfields, rock outcrops, cliffs, or talus are suitable</w:t>
                            </w:r>
                            <w:r>
                              <w:rPr>
                                <w:color w:val="000000"/>
                                <w:spacing w:val="-1"/>
                              </w:rPr>
                              <w:t> </w:t>
                            </w:r>
                            <w:r>
                              <w:rPr>
                                <w:color w:val="000000"/>
                              </w:rPr>
                              <w:t>TES</w:t>
                            </w:r>
                            <w:r>
                              <w:rPr>
                                <w:color w:val="000000"/>
                                <w:spacing w:val="-3"/>
                              </w:rPr>
                              <w:t> </w:t>
                            </w:r>
                            <w:r>
                              <w:rPr>
                                <w:color w:val="000000"/>
                              </w:rPr>
                              <w:t>plant</w:t>
                            </w:r>
                            <w:r>
                              <w:rPr>
                                <w:color w:val="000000"/>
                                <w:spacing w:val="-1"/>
                              </w:rPr>
                              <w:t> </w:t>
                            </w:r>
                            <w:r>
                              <w:rPr>
                                <w:color w:val="000000"/>
                              </w:rPr>
                              <w:t>habitat.</w:t>
                            </w:r>
                            <w:r>
                              <w:rPr>
                                <w:color w:val="000000"/>
                                <w:spacing w:val="-5"/>
                              </w:rPr>
                              <w:t> </w:t>
                            </w:r>
                            <w:r>
                              <w:rPr>
                                <w:color w:val="000000"/>
                              </w:rPr>
                              <w:t>Appendix</w:t>
                            </w:r>
                            <w:r>
                              <w:rPr>
                                <w:color w:val="000000"/>
                                <w:spacing w:val="-2"/>
                              </w:rPr>
                              <w:t> </w:t>
                            </w:r>
                            <w:r>
                              <w:rPr>
                                <w:color w:val="000000"/>
                              </w:rPr>
                              <w:t>C</w:t>
                            </w:r>
                            <w:r>
                              <w:rPr>
                                <w:color w:val="000000"/>
                                <w:spacing w:val="-2"/>
                              </w:rPr>
                              <w:t> </w:t>
                            </w:r>
                            <w:r>
                              <w:rPr>
                                <w:color w:val="000000"/>
                              </w:rPr>
                              <w:t>provides</w:t>
                            </w:r>
                            <w:r>
                              <w:rPr>
                                <w:color w:val="000000"/>
                                <w:spacing w:val="-2"/>
                              </w:rPr>
                              <w:t> </w:t>
                            </w:r>
                            <w:r>
                              <w:rPr>
                                <w:color w:val="000000"/>
                              </w:rPr>
                              <w:t>a</w:t>
                            </w:r>
                            <w:r>
                              <w:rPr>
                                <w:color w:val="000000"/>
                                <w:spacing w:val="-4"/>
                              </w:rPr>
                              <w:t> </w:t>
                            </w:r>
                            <w:r>
                              <w:rPr>
                                <w:color w:val="000000"/>
                              </w:rPr>
                              <w:t>list</w:t>
                            </w:r>
                            <w:r>
                              <w:rPr>
                                <w:color w:val="000000"/>
                                <w:spacing w:val="-4"/>
                              </w:rPr>
                              <w:t> </w:t>
                            </w:r>
                            <w:r>
                              <w:rPr>
                                <w:color w:val="000000"/>
                              </w:rPr>
                              <w:t>of</w:t>
                            </w:r>
                            <w:r>
                              <w:rPr>
                                <w:color w:val="000000"/>
                                <w:spacing w:val="-2"/>
                              </w:rPr>
                              <w:t> </w:t>
                            </w:r>
                            <w:r>
                              <w:rPr>
                                <w:color w:val="000000"/>
                              </w:rPr>
                              <w:t>the</w:t>
                            </w:r>
                            <w:r>
                              <w:rPr>
                                <w:color w:val="000000"/>
                                <w:spacing w:val="-4"/>
                              </w:rPr>
                              <w:t> </w:t>
                            </w:r>
                            <w:r>
                              <w:rPr>
                                <w:color w:val="000000"/>
                              </w:rPr>
                              <w:t>sensitive</w:t>
                            </w:r>
                            <w:r>
                              <w:rPr>
                                <w:color w:val="000000"/>
                                <w:spacing w:val="-4"/>
                              </w:rPr>
                              <w:t> </w:t>
                            </w:r>
                            <w:r>
                              <w:rPr>
                                <w:color w:val="000000"/>
                              </w:rPr>
                              <w:t>plant</w:t>
                            </w:r>
                            <w:r>
                              <w:rPr>
                                <w:color w:val="000000"/>
                                <w:spacing w:val="-1"/>
                              </w:rPr>
                              <w:t> </w:t>
                            </w:r>
                            <w:r>
                              <w:rPr>
                                <w:color w:val="000000"/>
                              </w:rPr>
                              <w:t>species</w:t>
                            </w:r>
                            <w:r>
                              <w:rPr>
                                <w:color w:val="000000"/>
                                <w:spacing w:val="-2"/>
                              </w:rPr>
                              <w:t> </w:t>
                            </w:r>
                            <w:r>
                              <w:rPr>
                                <w:color w:val="000000"/>
                              </w:rPr>
                              <w:t>discussed in this plan.</w:t>
                            </w:r>
                          </w:p>
                        </w:txbxContent>
                      </wps:txbx>
                      <wps:bodyPr wrap="square" lIns="0" tIns="0" rIns="0" bIns="0" rtlCol="0">
                        <a:noAutofit/>
                      </wps:bodyPr>
                    </wps:wsp>
                  </a:graphicData>
                </a:graphic>
              </wp:anchor>
            </w:drawing>
          </mc:Choice>
          <mc:Fallback>
            <w:pict>
              <v:shape style="position:absolute;margin-left:128.160004pt;margin-top:24.15pt;width:413.3pt;height:186.6pt;mso-position-horizontal-relative:page;mso-position-vertical-relative:paragraph;z-index:-15719424;mso-wrap-distance-left:0;mso-wrap-distance-right:0" type="#_x0000_t202" id="docshape137" filled="true" fillcolor="#dfdfdf" stroked="false">
                <v:textbox inset="0,0,0,0">
                  <w:txbxContent>
                    <w:p>
                      <w:pPr>
                        <w:pStyle w:val="BodyText"/>
                        <w:ind w:left="28" w:right="120"/>
                        <w:rPr>
                          <w:color w:val="000000"/>
                        </w:rPr>
                      </w:pPr>
                      <w:r>
                        <w:rPr>
                          <w:color w:val="000000"/>
                        </w:rPr>
                        <w:t>FEDERALLY</w:t>
                      </w:r>
                      <w:r>
                        <w:rPr>
                          <w:color w:val="000000"/>
                          <w:spacing w:val="-6"/>
                        </w:rPr>
                        <w:t> </w:t>
                      </w:r>
                      <w:r>
                        <w:rPr>
                          <w:color w:val="000000"/>
                        </w:rPr>
                        <w:t>THREATENED,</w:t>
                      </w:r>
                      <w:r>
                        <w:rPr>
                          <w:color w:val="000000"/>
                          <w:spacing w:val="-4"/>
                        </w:rPr>
                        <w:t> </w:t>
                      </w:r>
                      <w:r>
                        <w:rPr>
                          <w:color w:val="000000"/>
                        </w:rPr>
                        <w:t>ENDANGERED</w:t>
                      </w:r>
                      <w:r>
                        <w:rPr>
                          <w:color w:val="000000"/>
                          <w:spacing w:val="-4"/>
                        </w:rPr>
                        <w:t> </w:t>
                      </w:r>
                      <w:r>
                        <w:rPr>
                          <w:color w:val="000000"/>
                        </w:rPr>
                        <w:t>AND</w:t>
                      </w:r>
                      <w:r>
                        <w:rPr>
                          <w:color w:val="000000"/>
                          <w:spacing w:val="-5"/>
                        </w:rPr>
                        <w:t> </w:t>
                      </w:r>
                      <w:r>
                        <w:rPr>
                          <w:color w:val="000000"/>
                        </w:rPr>
                        <w:t>PROPOSED</w:t>
                      </w:r>
                      <w:r>
                        <w:rPr>
                          <w:color w:val="000000"/>
                          <w:spacing w:val="-4"/>
                        </w:rPr>
                        <w:t> </w:t>
                      </w:r>
                      <w:r>
                        <w:rPr>
                          <w:color w:val="000000"/>
                        </w:rPr>
                        <w:t>SPECIES</w:t>
                      </w:r>
                      <w:r>
                        <w:rPr>
                          <w:color w:val="000000"/>
                          <w:spacing w:val="-5"/>
                        </w:rPr>
                        <w:t> </w:t>
                      </w:r>
                      <w:r>
                        <w:rPr>
                          <w:color w:val="000000"/>
                        </w:rPr>
                        <w:t>(TES),</w:t>
                      </w:r>
                      <w:r>
                        <w:rPr>
                          <w:color w:val="000000"/>
                          <w:spacing w:val="-6"/>
                        </w:rPr>
                        <w:t> </w:t>
                      </w:r>
                      <w:r>
                        <w:rPr>
                          <w:color w:val="000000"/>
                        </w:rPr>
                        <w:t>AND</w:t>
                      </w:r>
                      <w:r>
                        <w:rPr>
                          <w:color w:val="000000"/>
                          <w:spacing w:val="-4"/>
                        </w:rPr>
                        <w:t> </w:t>
                      </w:r>
                      <w:r>
                        <w:rPr>
                          <w:color w:val="000000"/>
                        </w:rPr>
                        <w:t>REGIONALLY SENSITIVE AND STRATEGIC PLANT SPECIES</w:t>
                      </w:r>
                    </w:p>
                    <w:p>
                      <w:pPr>
                        <w:pStyle w:val="BodyText"/>
                        <w:spacing w:before="120"/>
                        <w:ind w:left="28" w:right="120"/>
                        <w:rPr>
                          <w:color w:val="000000"/>
                        </w:rPr>
                      </w:pPr>
                      <w:r>
                        <w:rPr>
                          <w:color w:val="000000"/>
                        </w:rPr>
                        <w:t>Federally threatened, endangered, proposed and sensitive plant species in the planning area are those formally listed by the USDI Fish and Wildlife Service under the Federal Endangered Species Act. The R6 Regional Forester Special Status Species List includes federally threatened, endangered and proposed threatened; and regionally sensitive and strategic</w:t>
                      </w:r>
                      <w:r>
                        <w:rPr>
                          <w:color w:val="000000"/>
                          <w:spacing w:val="-5"/>
                        </w:rPr>
                        <w:t> </w:t>
                      </w:r>
                      <w:r>
                        <w:rPr>
                          <w:color w:val="000000"/>
                        </w:rPr>
                        <w:t>plant</w:t>
                      </w:r>
                      <w:r>
                        <w:rPr>
                          <w:color w:val="000000"/>
                          <w:spacing w:val="-2"/>
                        </w:rPr>
                        <w:t> </w:t>
                      </w:r>
                      <w:r>
                        <w:rPr>
                          <w:color w:val="000000"/>
                        </w:rPr>
                        <w:t>species.</w:t>
                      </w:r>
                      <w:r>
                        <w:rPr>
                          <w:color w:val="000000"/>
                          <w:spacing w:val="-3"/>
                        </w:rPr>
                        <w:t> </w:t>
                      </w:r>
                      <w:r>
                        <w:rPr>
                          <w:color w:val="000000"/>
                        </w:rPr>
                        <w:t>Although</w:t>
                      </w:r>
                      <w:r>
                        <w:rPr>
                          <w:color w:val="000000"/>
                          <w:spacing w:val="-4"/>
                        </w:rPr>
                        <w:t> </w:t>
                      </w:r>
                      <w:r>
                        <w:rPr>
                          <w:color w:val="000000"/>
                        </w:rPr>
                        <w:t>no</w:t>
                      </w:r>
                      <w:r>
                        <w:rPr>
                          <w:color w:val="000000"/>
                          <w:spacing w:val="-2"/>
                        </w:rPr>
                        <w:t> </w:t>
                      </w:r>
                      <w:r>
                        <w:rPr>
                          <w:color w:val="000000"/>
                        </w:rPr>
                        <w:t>federally</w:t>
                      </w:r>
                      <w:r>
                        <w:rPr>
                          <w:color w:val="000000"/>
                          <w:spacing w:val="-4"/>
                        </w:rPr>
                        <w:t> </w:t>
                      </w:r>
                      <w:r>
                        <w:rPr>
                          <w:color w:val="000000"/>
                        </w:rPr>
                        <w:t>listed</w:t>
                      </w:r>
                      <w:r>
                        <w:rPr>
                          <w:color w:val="000000"/>
                          <w:spacing w:val="-6"/>
                        </w:rPr>
                        <w:t> </w:t>
                      </w:r>
                      <w:r>
                        <w:rPr>
                          <w:color w:val="000000"/>
                        </w:rPr>
                        <w:t>plant</w:t>
                      </w:r>
                      <w:r>
                        <w:rPr>
                          <w:color w:val="000000"/>
                          <w:spacing w:val="-2"/>
                        </w:rPr>
                        <w:t> </w:t>
                      </w:r>
                      <w:r>
                        <w:rPr>
                          <w:color w:val="000000"/>
                        </w:rPr>
                        <w:t>species</w:t>
                      </w:r>
                      <w:r>
                        <w:rPr>
                          <w:color w:val="000000"/>
                          <w:spacing w:val="-5"/>
                        </w:rPr>
                        <w:t> </w:t>
                      </w:r>
                      <w:r>
                        <w:rPr>
                          <w:color w:val="000000"/>
                        </w:rPr>
                        <w:t>are</w:t>
                      </w:r>
                      <w:r>
                        <w:rPr>
                          <w:color w:val="000000"/>
                          <w:spacing w:val="-5"/>
                        </w:rPr>
                        <w:t> </w:t>
                      </w:r>
                      <w:r>
                        <w:rPr>
                          <w:color w:val="000000"/>
                        </w:rPr>
                        <w:t>currently</w:t>
                      </w:r>
                      <w:r>
                        <w:rPr>
                          <w:color w:val="000000"/>
                          <w:spacing w:val="-2"/>
                        </w:rPr>
                        <w:t> </w:t>
                      </w:r>
                      <w:r>
                        <w:rPr>
                          <w:color w:val="000000"/>
                        </w:rPr>
                        <w:t>known</w:t>
                      </w:r>
                      <w:r>
                        <w:rPr>
                          <w:color w:val="000000"/>
                          <w:spacing w:val="-4"/>
                        </w:rPr>
                        <w:t> </w:t>
                      </w:r>
                      <w:r>
                        <w:rPr>
                          <w:color w:val="000000"/>
                        </w:rPr>
                        <w:t>from the Colville National Forest, 41 regionally sensitive plant species do occur on the Forest.</w:t>
                      </w:r>
                    </w:p>
                    <w:p>
                      <w:pPr>
                        <w:pStyle w:val="BodyText"/>
                        <w:ind w:left="28" w:right="31"/>
                        <w:rPr>
                          <w:color w:val="000000"/>
                        </w:rPr>
                      </w:pPr>
                      <w:r>
                        <w:rPr>
                          <w:color w:val="000000"/>
                        </w:rPr>
                        <w:t>Locations for many TES plant species include unique habitats that</w:t>
                      </w:r>
                      <w:r>
                        <w:rPr>
                          <w:color w:val="000000"/>
                          <w:spacing w:val="-1"/>
                        </w:rPr>
                        <w:t> </w:t>
                      </w:r>
                      <w:r>
                        <w:rPr>
                          <w:color w:val="000000"/>
                        </w:rPr>
                        <w:t>may be rare or</w:t>
                      </w:r>
                      <w:r>
                        <w:rPr>
                          <w:color w:val="000000"/>
                          <w:spacing w:val="-2"/>
                        </w:rPr>
                        <w:t> </w:t>
                      </w:r>
                      <w:r>
                        <w:rPr>
                          <w:color w:val="000000"/>
                        </w:rPr>
                        <w:t>represent a small portion of a particular landscape. Meadows, wetlands (marsh, bog, fen, carr,</w:t>
                      </w:r>
                      <w:r>
                        <w:rPr>
                          <w:color w:val="000000"/>
                        </w:rPr>
                        <w:t> swamp, spring, and seep), riparian areas, alpine fellfields, rock outcrops, cliffs, or talus are suitable</w:t>
                      </w:r>
                      <w:r>
                        <w:rPr>
                          <w:color w:val="000000"/>
                          <w:spacing w:val="-1"/>
                        </w:rPr>
                        <w:t> </w:t>
                      </w:r>
                      <w:r>
                        <w:rPr>
                          <w:color w:val="000000"/>
                        </w:rPr>
                        <w:t>TES</w:t>
                      </w:r>
                      <w:r>
                        <w:rPr>
                          <w:color w:val="000000"/>
                          <w:spacing w:val="-3"/>
                        </w:rPr>
                        <w:t> </w:t>
                      </w:r>
                      <w:r>
                        <w:rPr>
                          <w:color w:val="000000"/>
                        </w:rPr>
                        <w:t>plant</w:t>
                      </w:r>
                      <w:r>
                        <w:rPr>
                          <w:color w:val="000000"/>
                          <w:spacing w:val="-1"/>
                        </w:rPr>
                        <w:t> </w:t>
                      </w:r>
                      <w:r>
                        <w:rPr>
                          <w:color w:val="000000"/>
                        </w:rPr>
                        <w:t>habitat.</w:t>
                      </w:r>
                      <w:r>
                        <w:rPr>
                          <w:color w:val="000000"/>
                          <w:spacing w:val="-5"/>
                        </w:rPr>
                        <w:t> </w:t>
                      </w:r>
                      <w:r>
                        <w:rPr>
                          <w:color w:val="000000"/>
                        </w:rPr>
                        <w:t>Appendix</w:t>
                      </w:r>
                      <w:r>
                        <w:rPr>
                          <w:color w:val="000000"/>
                          <w:spacing w:val="-2"/>
                        </w:rPr>
                        <w:t> </w:t>
                      </w:r>
                      <w:r>
                        <w:rPr>
                          <w:color w:val="000000"/>
                        </w:rPr>
                        <w:t>C</w:t>
                      </w:r>
                      <w:r>
                        <w:rPr>
                          <w:color w:val="000000"/>
                          <w:spacing w:val="-2"/>
                        </w:rPr>
                        <w:t> </w:t>
                      </w:r>
                      <w:r>
                        <w:rPr>
                          <w:color w:val="000000"/>
                        </w:rPr>
                        <w:t>provides</w:t>
                      </w:r>
                      <w:r>
                        <w:rPr>
                          <w:color w:val="000000"/>
                          <w:spacing w:val="-2"/>
                        </w:rPr>
                        <w:t> </w:t>
                      </w:r>
                      <w:r>
                        <w:rPr>
                          <w:color w:val="000000"/>
                        </w:rPr>
                        <w:t>a</w:t>
                      </w:r>
                      <w:r>
                        <w:rPr>
                          <w:color w:val="000000"/>
                          <w:spacing w:val="-4"/>
                        </w:rPr>
                        <w:t> </w:t>
                      </w:r>
                      <w:r>
                        <w:rPr>
                          <w:color w:val="000000"/>
                        </w:rPr>
                        <w:t>list</w:t>
                      </w:r>
                      <w:r>
                        <w:rPr>
                          <w:color w:val="000000"/>
                          <w:spacing w:val="-4"/>
                        </w:rPr>
                        <w:t> </w:t>
                      </w:r>
                      <w:r>
                        <w:rPr>
                          <w:color w:val="000000"/>
                        </w:rPr>
                        <w:t>of</w:t>
                      </w:r>
                      <w:r>
                        <w:rPr>
                          <w:color w:val="000000"/>
                          <w:spacing w:val="-2"/>
                        </w:rPr>
                        <w:t> </w:t>
                      </w:r>
                      <w:r>
                        <w:rPr>
                          <w:color w:val="000000"/>
                        </w:rPr>
                        <w:t>the</w:t>
                      </w:r>
                      <w:r>
                        <w:rPr>
                          <w:color w:val="000000"/>
                          <w:spacing w:val="-4"/>
                        </w:rPr>
                        <w:t> </w:t>
                      </w:r>
                      <w:r>
                        <w:rPr>
                          <w:color w:val="000000"/>
                        </w:rPr>
                        <w:t>sensitive</w:t>
                      </w:r>
                      <w:r>
                        <w:rPr>
                          <w:color w:val="000000"/>
                          <w:spacing w:val="-4"/>
                        </w:rPr>
                        <w:t> </w:t>
                      </w:r>
                      <w:r>
                        <w:rPr>
                          <w:color w:val="000000"/>
                        </w:rPr>
                        <w:t>plant</w:t>
                      </w:r>
                      <w:r>
                        <w:rPr>
                          <w:color w:val="000000"/>
                          <w:spacing w:val="-1"/>
                        </w:rPr>
                        <w:t> </w:t>
                      </w:r>
                      <w:r>
                        <w:rPr>
                          <w:color w:val="000000"/>
                        </w:rPr>
                        <w:t>species</w:t>
                      </w:r>
                      <w:r>
                        <w:rPr>
                          <w:color w:val="000000"/>
                          <w:spacing w:val="-2"/>
                        </w:rPr>
                        <w:t> </w:t>
                      </w:r>
                      <w:r>
                        <w:rPr>
                          <w:color w:val="000000"/>
                        </w:rPr>
                        <w:t>discussed in this plan.</w:t>
                      </w:r>
                    </w:p>
                  </w:txbxContent>
                </v:textbox>
                <v:fill type="solid"/>
                <w10:wrap type="topAndBottom"/>
              </v:shape>
            </w:pict>
          </mc:Fallback>
        </mc:AlternateContent>
      </w:r>
    </w:p>
    <w:p>
      <w:pPr>
        <w:pStyle w:val="BodyText"/>
        <w:spacing w:after="0"/>
        <w:rPr>
          <w:rFonts w:ascii="Arial"/>
          <w:b/>
          <w:sz w:val="20"/>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p>
      <w:pPr>
        <w:pStyle w:val="BodyText"/>
        <w:ind w:left="691"/>
        <w:rPr>
          <w:rFonts w:ascii="Arial"/>
          <w:sz w:val="20"/>
        </w:rPr>
      </w:pPr>
      <w:r>
        <w:rPr>
          <w:rFonts w:ascii="Arial"/>
          <w:sz w:val="20"/>
        </w:rPr>
        <mc:AlternateContent>
          <mc:Choice Requires="wps">
            <w:drawing>
              <wp:inline distT="0" distB="0" distL="0" distR="0">
                <wp:extent cx="5248910" cy="3032760"/>
                <wp:effectExtent l="0" t="0" r="0" b="0"/>
                <wp:docPr id="146" name="Textbox 146"/>
                <wp:cNvGraphicFramePr>
                  <a:graphicFrameLocks/>
                </wp:cNvGraphicFramePr>
                <a:graphic>
                  <a:graphicData uri="http://schemas.microsoft.com/office/word/2010/wordprocessingShape">
                    <wps:wsp>
                      <wps:cNvPr id="146" name="Textbox 146"/>
                      <wps:cNvSpPr txBox="1"/>
                      <wps:spPr>
                        <a:xfrm>
                          <a:off x="0" y="0"/>
                          <a:ext cx="5248910" cy="3032760"/>
                        </a:xfrm>
                        <a:prstGeom prst="rect">
                          <a:avLst/>
                        </a:prstGeom>
                        <a:solidFill>
                          <a:srgbClr val="DFDFDF"/>
                        </a:solidFill>
                      </wps:spPr>
                      <wps:txbx>
                        <w:txbxContent>
                          <w:p>
                            <w:pPr>
                              <w:pStyle w:val="BodyText"/>
                              <w:spacing w:line="268" w:lineRule="exact"/>
                              <w:ind w:left="28"/>
                              <w:rPr>
                                <w:color w:val="000000"/>
                              </w:rPr>
                            </w:pPr>
                            <w:r>
                              <w:rPr>
                                <w:color w:val="000000"/>
                              </w:rPr>
                              <w:t>NON-FORESTED</w:t>
                            </w:r>
                            <w:r>
                              <w:rPr>
                                <w:color w:val="000000"/>
                                <w:spacing w:val="-5"/>
                              </w:rPr>
                              <w:t> </w:t>
                            </w:r>
                            <w:r>
                              <w:rPr>
                                <w:color w:val="000000"/>
                              </w:rPr>
                              <w:t>AND</w:t>
                            </w:r>
                            <w:r>
                              <w:rPr>
                                <w:color w:val="000000"/>
                                <w:spacing w:val="-6"/>
                              </w:rPr>
                              <w:t> </w:t>
                            </w:r>
                            <w:r>
                              <w:rPr>
                                <w:color w:val="000000"/>
                              </w:rPr>
                              <w:t>DECIDUOUS</w:t>
                            </w:r>
                            <w:r>
                              <w:rPr>
                                <w:color w:val="000000"/>
                                <w:spacing w:val="-6"/>
                              </w:rPr>
                              <w:t> </w:t>
                            </w:r>
                            <w:r>
                              <w:rPr>
                                <w:color w:val="000000"/>
                              </w:rPr>
                              <w:t>FOREST</w:t>
                            </w:r>
                            <w:r>
                              <w:rPr>
                                <w:color w:val="000000"/>
                                <w:spacing w:val="-7"/>
                              </w:rPr>
                              <w:t> </w:t>
                            </w:r>
                            <w:r>
                              <w:rPr>
                                <w:color w:val="000000"/>
                                <w:spacing w:val="-2"/>
                              </w:rPr>
                              <w:t>SYSTEMS</w:t>
                            </w:r>
                          </w:p>
                          <w:p>
                            <w:pPr>
                              <w:pStyle w:val="BodyText"/>
                              <w:spacing w:before="120"/>
                              <w:ind w:left="28"/>
                              <w:rPr>
                                <w:color w:val="000000"/>
                              </w:rPr>
                            </w:pPr>
                            <w:r>
                              <w:rPr>
                                <w:color w:val="000000"/>
                              </w:rPr>
                              <w:t>The ecological character and geographic extent of non-forest communities, deciduous forests,</w:t>
                            </w:r>
                            <w:r>
                              <w:rPr>
                                <w:color w:val="000000"/>
                                <w:spacing w:val="-3"/>
                              </w:rPr>
                              <w:t> </w:t>
                            </w:r>
                            <w:r>
                              <w:rPr>
                                <w:color w:val="000000"/>
                              </w:rPr>
                              <w:t>and</w:t>
                            </w:r>
                            <w:r>
                              <w:rPr>
                                <w:color w:val="000000"/>
                                <w:spacing w:val="-4"/>
                              </w:rPr>
                              <w:t> </w:t>
                            </w:r>
                            <w:r>
                              <w:rPr>
                                <w:color w:val="000000"/>
                              </w:rPr>
                              <w:t>riparian/wetland</w:t>
                            </w:r>
                            <w:r>
                              <w:rPr>
                                <w:color w:val="000000"/>
                                <w:spacing w:val="-4"/>
                              </w:rPr>
                              <w:t> </w:t>
                            </w:r>
                            <w:r>
                              <w:rPr>
                                <w:color w:val="000000"/>
                              </w:rPr>
                              <w:t>vegetation</w:t>
                            </w:r>
                            <w:r>
                              <w:rPr>
                                <w:color w:val="000000"/>
                                <w:spacing w:val="-6"/>
                              </w:rPr>
                              <w:t> </w:t>
                            </w:r>
                            <w:r>
                              <w:rPr>
                                <w:color w:val="000000"/>
                              </w:rPr>
                              <w:t>in</w:t>
                            </w:r>
                            <w:r>
                              <w:rPr>
                                <w:color w:val="000000"/>
                                <w:spacing w:val="-4"/>
                              </w:rPr>
                              <w:t> </w:t>
                            </w:r>
                            <w:r>
                              <w:rPr>
                                <w:color w:val="000000"/>
                              </w:rPr>
                              <w:t>the</w:t>
                            </w:r>
                            <w:r>
                              <w:rPr>
                                <w:color w:val="000000"/>
                                <w:spacing w:val="-2"/>
                              </w:rPr>
                              <w:t> </w:t>
                            </w:r>
                            <w:r>
                              <w:rPr>
                                <w:color w:val="000000"/>
                              </w:rPr>
                              <w:t>planning</w:t>
                            </w:r>
                            <w:r>
                              <w:rPr>
                                <w:color w:val="000000"/>
                                <w:spacing w:val="-4"/>
                              </w:rPr>
                              <w:t> </w:t>
                            </w:r>
                            <w:r>
                              <w:rPr>
                                <w:color w:val="000000"/>
                              </w:rPr>
                              <w:t>area</w:t>
                            </w:r>
                            <w:r>
                              <w:rPr>
                                <w:color w:val="000000"/>
                                <w:spacing w:val="-3"/>
                              </w:rPr>
                              <w:t> </w:t>
                            </w:r>
                            <w:r>
                              <w:rPr>
                                <w:color w:val="000000"/>
                              </w:rPr>
                              <w:t>and</w:t>
                            </w:r>
                            <w:r>
                              <w:rPr>
                                <w:color w:val="000000"/>
                                <w:spacing w:val="-4"/>
                              </w:rPr>
                              <w:t> </w:t>
                            </w:r>
                            <w:r>
                              <w:rPr>
                                <w:color w:val="000000"/>
                              </w:rPr>
                              <w:t>northeastern</w:t>
                            </w:r>
                            <w:r>
                              <w:rPr>
                                <w:color w:val="000000"/>
                                <w:spacing w:val="-6"/>
                              </w:rPr>
                              <w:t> </w:t>
                            </w:r>
                            <w:r>
                              <w:rPr>
                                <w:color w:val="000000"/>
                              </w:rPr>
                              <w:t>Washington are as described by Clausnitzer et al. (2006) and literature cited there. Nine vegetation groups</w:t>
                            </w:r>
                            <w:r>
                              <w:rPr>
                                <w:color w:val="000000"/>
                                <w:spacing w:val="-3"/>
                              </w:rPr>
                              <w:t> </w:t>
                            </w:r>
                            <w:r>
                              <w:rPr>
                                <w:color w:val="000000"/>
                              </w:rPr>
                              <w:t>are</w:t>
                            </w:r>
                            <w:r>
                              <w:rPr>
                                <w:color w:val="000000"/>
                                <w:spacing w:val="-2"/>
                              </w:rPr>
                              <w:t> </w:t>
                            </w:r>
                            <w:r>
                              <w:rPr>
                                <w:color w:val="000000"/>
                              </w:rPr>
                              <w:t>described</w:t>
                            </w:r>
                            <w:r>
                              <w:rPr>
                                <w:color w:val="000000"/>
                                <w:spacing w:val="-4"/>
                              </w:rPr>
                              <w:t> </w:t>
                            </w:r>
                            <w:r>
                              <w:rPr>
                                <w:color w:val="000000"/>
                              </w:rPr>
                              <w:t>based</w:t>
                            </w:r>
                            <w:r>
                              <w:rPr>
                                <w:color w:val="000000"/>
                                <w:spacing w:val="-4"/>
                              </w:rPr>
                              <w:t> </w:t>
                            </w:r>
                            <w:r>
                              <w:rPr>
                                <w:color w:val="000000"/>
                              </w:rPr>
                              <w:t>upon</w:t>
                            </w:r>
                            <w:r>
                              <w:rPr>
                                <w:color w:val="000000"/>
                                <w:spacing w:val="-4"/>
                              </w:rPr>
                              <w:t> </w:t>
                            </w:r>
                            <w:r>
                              <w:rPr>
                                <w:color w:val="000000"/>
                              </w:rPr>
                              <w:t>broad</w:t>
                            </w:r>
                            <w:r>
                              <w:rPr>
                                <w:color w:val="000000"/>
                                <w:spacing w:val="-4"/>
                              </w:rPr>
                              <w:t> </w:t>
                            </w:r>
                            <w:r>
                              <w:rPr>
                                <w:color w:val="000000"/>
                              </w:rPr>
                              <w:t>physiognomic</w:t>
                            </w:r>
                            <w:r>
                              <w:rPr>
                                <w:color w:val="000000"/>
                                <w:spacing w:val="-3"/>
                              </w:rPr>
                              <w:t> </w:t>
                            </w:r>
                            <w:r>
                              <w:rPr>
                                <w:color w:val="000000"/>
                              </w:rPr>
                              <w:t>and</w:t>
                            </w:r>
                            <w:r>
                              <w:rPr>
                                <w:color w:val="000000"/>
                                <w:spacing w:val="-4"/>
                              </w:rPr>
                              <w:t> </w:t>
                            </w:r>
                            <w:r>
                              <w:rPr>
                                <w:color w:val="000000"/>
                              </w:rPr>
                              <w:t>environmental</w:t>
                            </w:r>
                            <w:r>
                              <w:rPr>
                                <w:color w:val="000000"/>
                                <w:spacing w:val="-3"/>
                              </w:rPr>
                              <w:t> </w:t>
                            </w:r>
                            <w:r>
                              <w:rPr>
                                <w:color w:val="000000"/>
                              </w:rPr>
                              <w:t>factors</w:t>
                            </w:r>
                            <w:r>
                              <w:rPr>
                                <w:color w:val="000000"/>
                                <w:spacing w:val="-3"/>
                              </w:rPr>
                              <w:t> </w:t>
                            </w:r>
                            <w:r>
                              <w:rPr>
                                <w:color w:val="000000"/>
                              </w:rPr>
                              <w:t>related</w:t>
                            </w:r>
                            <w:r>
                              <w:rPr>
                                <w:color w:val="000000"/>
                                <w:spacing w:val="-4"/>
                              </w:rPr>
                              <w:t> </w:t>
                            </w:r>
                            <w:r>
                              <w:rPr>
                                <w:color w:val="000000"/>
                              </w:rPr>
                              <w:t>to dominant vegetation lifeform and elevational gradients. This classification served as a framework for vegetation analyses that supported forest plan revision on the Colville National Forest.</w:t>
                            </w:r>
                          </w:p>
                          <w:p>
                            <w:pPr>
                              <w:pStyle w:val="BodyText"/>
                              <w:spacing w:before="119"/>
                              <w:ind w:left="28"/>
                              <w:rPr>
                                <w:color w:val="000000"/>
                              </w:rPr>
                            </w:pPr>
                            <w:r>
                              <w:rPr>
                                <w:color w:val="000000"/>
                              </w:rPr>
                              <w:t>VEGETATION</w:t>
                            </w:r>
                            <w:r>
                              <w:rPr>
                                <w:color w:val="000000"/>
                                <w:spacing w:val="-11"/>
                              </w:rPr>
                              <w:t> </w:t>
                            </w:r>
                            <w:r>
                              <w:rPr>
                                <w:color w:val="000000"/>
                              </w:rPr>
                              <w:t>WITHIN</w:t>
                            </w:r>
                            <w:r>
                              <w:rPr>
                                <w:color w:val="000000"/>
                                <w:spacing w:val="-7"/>
                              </w:rPr>
                              <w:t> </w:t>
                            </w:r>
                            <w:r>
                              <w:rPr>
                                <w:color w:val="000000"/>
                              </w:rPr>
                              <w:t>THE</w:t>
                            </w:r>
                            <w:r>
                              <w:rPr>
                                <w:color w:val="000000"/>
                                <w:spacing w:val="-8"/>
                              </w:rPr>
                              <w:t> </w:t>
                            </w:r>
                            <w:r>
                              <w:rPr>
                                <w:color w:val="000000"/>
                              </w:rPr>
                              <w:t>WILDLAND-URBAN</w:t>
                            </w:r>
                            <w:r>
                              <w:rPr>
                                <w:color w:val="000000"/>
                                <w:spacing w:val="-7"/>
                              </w:rPr>
                              <w:t> </w:t>
                            </w:r>
                            <w:r>
                              <w:rPr>
                                <w:color w:val="000000"/>
                              </w:rPr>
                              <w:t>INTERFACE</w:t>
                            </w:r>
                            <w:r>
                              <w:rPr>
                                <w:color w:val="000000"/>
                                <w:spacing w:val="-5"/>
                              </w:rPr>
                              <w:t> </w:t>
                            </w:r>
                            <w:r>
                              <w:rPr>
                                <w:color w:val="000000"/>
                                <w:spacing w:val="-2"/>
                              </w:rPr>
                              <w:t>(WUI)</w:t>
                            </w:r>
                          </w:p>
                          <w:p>
                            <w:pPr>
                              <w:pStyle w:val="BodyText"/>
                              <w:spacing w:before="121"/>
                              <w:ind w:left="28" w:right="322"/>
                              <w:jc w:val="both"/>
                              <w:rPr>
                                <w:color w:val="000000"/>
                              </w:rPr>
                            </w:pPr>
                            <w:r>
                              <w:rPr>
                                <w:color w:val="000000"/>
                              </w:rPr>
                              <w:t>Wildland-urban</w:t>
                            </w:r>
                            <w:r>
                              <w:rPr>
                                <w:color w:val="000000"/>
                                <w:spacing w:val="-3"/>
                              </w:rPr>
                              <w:t> </w:t>
                            </w:r>
                            <w:r>
                              <w:rPr>
                                <w:color w:val="000000"/>
                              </w:rPr>
                              <w:t>interface</w:t>
                            </w:r>
                            <w:r>
                              <w:rPr>
                                <w:color w:val="000000"/>
                                <w:spacing w:val="-1"/>
                              </w:rPr>
                              <w:t> </w:t>
                            </w:r>
                            <w:r>
                              <w:rPr>
                                <w:color w:val="000000"/>
                              </w:rPr>
                              <w:t>(WUI)</w:t>
                            </w:r>
                            <w:r>
                              <w:rPr>
                                <w:color w:val="000000"/>
                                <w:spacing w:val="-1"/>
                              </w:rPr>
                              <w:t> </w:t>
                            </w:r>
                            <w:r>
                              <w:rPr>
                                <w:color w:val="000000"/>
                              </w:rPr>
                              <w:t>in</w:t>
                            </w:r>
                            <w:r>
                              <w:rPr>
                                <w:color w:val="000000"/>
                                <w:spacing w:val="-3"/>
                              </w:rPr>
                              <w:t> </w:t>
                            </w:r>
                            <w:r>
                              <w:rPr>
                                <w:color w:val="000000"/>
                              </w:rPr>
                              <w:t>the</w:t>
                            </w:r>
                            <w:r>
                              <w:rPr>
                                <w:color w:val="000000"/>
                                <w:spacing w:val="-1"/>
                              </w:rPr>
                              <w:t> </w:t>
                            </w:r>
                            <w:r>
                              <w:rPr>
                                <w:color w:val="000000"/>
                              </w:rPr>
                              <w:t>planning</w:t>
                            </w:r>
                            <w:r>
                              <w:rPr>
                                <w:color w:val="000000"/>
                                <w:spacing w:val="-3"/>
                              </w:rPr>
                              <w:t> </w:t>
                            </w:r>
                            <w:r>
                              <w:rPr>
                                <w:color w:val="000000"/>
                              </w:rPr>
                              <w:t>area</w:t>
                            </w:r>
                            <w:r>
                              <w:rPr>
                                <w:color w:val="000000"/>
                                <w:spacing w:val="-2"/>
                              </w:rPr>
                              <w:t> </w:t>
                            </w:r>
                            <w:r>
                              <w:rPr>
                                <w:color w:val="000000"/>
                              </w:rPr>
                              <w:t>is</w:t>
                            </w:r>
                            <w:r>
                              <w:rPr>
                                <w:color w:val="000000"/>
                                <w:spacing w:val="-2"/>
                              </w:rPr>
                              <w:t> </w:t>
                            </w:r>
                            <w:r>
                              <w:rPr>
                                <w:color w:val="000000"/>
                              </w:rPr>
                              <w:t>defined</w:t>
                            </w:r>
                            <w:r>
                              <w:rPr>
                                <w:color w:val="000000"/>
                                <w:spacing w:val="-3"/>
                              </w:rPr>
                              <w:t> </w:t>
                            </w:r>
                            <w:r>
                              <w:rPr>
                                <w:color w:val="000000"/>
                              </w:rPr>
                              <w:t>as</w:t>
                            </w:r>
                            <w:r>
                              <w:rPr>
                                <w:color w:val="000000"/>
                                <w:spacing w:val="-4"/>
                              </w:rPr>
                              <w:t> </w:t>
                            </w:r>
                            <w:r>
                              <w:rPr>
                                <w:color w:val="000000"/>
                              </w:rPr>
                              <w:t>“the</w:t>
                            </w:r>
                            <w:r>
                              <w:rPr>
                                <w:color w:val="000000"/>
                                <w:spacing w:val="-1"/>
                              </w:rPr>
                              <w:t> </w:t>
                            </w:r>
                            <w:r>
                              <w:rPr>
                                <w:color w:val="000000"/>
                              </w:rPr>
                              <w:t>line,</w:t>
                            </w:r>
                            <w:r>
                              <w:rPr>
                                <w:color w:val="000000"/>
                                <w:spacing w:val="-4"/>
                              </w:rPr>
                              <w:t> </w:t>
                            </w:r>
                            <w:r>
                              <w:rPr>
                                <w:color w:val="000000"/>
                              </w:rPr>
                              <w:t>area,</w:t>
                            </w:r>
                            <w:r>
                              <w:rPr>
                                <w:color w:val="000000"/>
                                <w:spacing w:val="-4"/>
                              </w:rPr>
                              <w:t> </w:t>
                            </w:r>
                            <w:r>
                              <w:rPr>
                                <w:color w:val="000000"/>
                              </w:rPr>
                              <w:t>or</w:t>
                            </w:r>
                            <w:r>
                              <w:rPr>
                                <w:color w:val="000000"/>
                                <w:spacing w:val="-2"/>
                              </w:rPr>
                              <w:t> </w:t>
                            </w:r>
                            <w:r>
                              <w:rPr>
                                <w:color w:val="000000"/>
                              </w:rPr>
                              <w:t>zone where</w:t>
                            </w:r>
                            <w:r>
                              <w:rPr>
                                <w:color w:val="000000"/>
                                <w:spacing w:val="-2"/>
                              </w:rPr>
                              <w:t> </w:t>
                            </w:r>
                            <w:r>
                              <w:rPr>
                                <w:color w:val="000000"/>
                              </w:rPr>
                              <w:t>structures and</w:t>
                            </w:r>
                            <w:r>
                              <w:rPr>
                                <w:color w:val="000000"/>
                                <w:spacing w:val="-3"/>
                              </w:rPr>
                              <w:t> </w:t>
                            </w:r>
                            <w:r>
                              <w:rPr>
                                <w:color w:val="000000"/>
                              </w:rPr>
                              <w:t>other</w:t>
                            </w:r>
                            <w:r>
                              <w:rPr>
                                <w:color w:val="000000"/>
                                <w:spacing w:val="-2"/>
                              </w:rPr>
                              <w:t> </w:t>
                            </w:r>
                            <w:r>
                              <w:rPr>
                                <w:color w:val="000000"/>
                              </w:rPr>
                              <w:t>human</w:t>
                            </w:r>
                            <w:r>
                              <w:rPr>
                                <w:color w:val="000000"/>
                                <w:spacing w:val="-1"/>
                              </w:rPr>
                              <w:t> </w:t>
                            </w:r>
                            <w:r>
                              <w:rPr>
                                <w:color w:val="000000"/>
                              </w:rPr>
                              <w:t>development</w:t>
                            </w:r>
                            <w:r>
                              <w:rPr>
                                <w:color w:val="000000"/>
                                <w:spacing w:val="-2"/>
                              </w:rPr>
                              <w:t> </w:t>
                            </w:r>
                            <w:r>
                              <w:rPr>
                                <w:color w:val="000000"/>
                              </w:rPr>
                              <w:t>meet</w:t>
                            </w:r>
                            <w:r>
                              <w:rPr>
                                <w:color w:val="000000"/>
                                <w:spacing w:val="-2"/>
                              </w:rPr>
                              <w:t> </w:t>
                            </w:r>
                            <w:r>
                              <w:rPr>
                                <w:color w:val="000000"/>
                              </w:rPr>
                              <w:t>or intermingle with</w:t>
                            </w:r>
                            <w:r>
                              <w:rPr>
                                <w:color w:val="000000"/>
                                <w:spacing w:val="-1"/>
                              </w:rPr>
                              <w:t> </w:t>
                            </w:r>
                            <w:r>
                              <w:rPr>
                                <w:color w:val="000000"/>
                              </w:rPr>
                              <w:t>undeveloped wildland or vegetative fuels” (NWCC 2012).</w:t>
                            </w:r>
                            <w:hyperlink w:history="true" w:anchor="_bookmark77">
                              <w:r>
                                <w:rPr>
                                  <w:color w:val="000000"/>
                                  <w:vertAlign w:val="superscript"/>
                                </w:rPr>
                                <w:t>7</w:t>
                              </w:r>
                            </w:hyperlink>
                            <w:r>
                              <w:rPr>
                                <w:color w:val="000000"/>
                                <w:vertAlign w:val="baseline"/>
                              </w:rPr>
                              <w:t> See glossary for specific definition.</w:t>
                            </w:r>
                          </w:p>
                          <w:p>
                            <w:pPr>
                              <w:pStyle w:val="BodyText"/>
                              <w:spacing w:before="119"/>
                              <w:ind w:left="28" w:right="120"/>
                              <w:rPr>
                                <w:color w:val="000000"/>
                              </w:rPr>
                            </w:pPr>
                            <w:r>
                              <w:rPr>
                                <w:color w:val="000000"/>
                              </w:rPr>
                              <w:t>The prioritization of fuels treatments within WUI will follow the National Fire Plan, the Healthy</w:t>
                            </w:r>
                            <w:r>
                              <w:rPr>
                                <w:color w:val="000000"/>
                                <w:spacing w:val="-3"/>
                              </w:rPr>
                              <w:t> </w:t>
                            </w:r>
                            <w:r>
                              <w:rPr>
                                <w:color w:val="000000"/>
                              </w:rPr>
                              <w:t>Forests</w:t>
                            </w:r>
                            <w:r>
                              <w:rPr>
                                <w:color w:val="000000"/>
                                <w:spacing w:val="-4"/>
                              </w:rPr>
                              <w:t> </w:t>
                            </w:r>
                            <w:r>
                              <w:rPr>
                                <w:color w:val="000000"/>
                              </w:rPr>
                              <w:t>Restoration</w:t>
                            </w:r>
                            <w:r>
                              <w:rPr>
                                <w:color w:val="000000"/>
                                <w:spacing w:val="-5"/>
                              </w:rPr>
                              <w:t> </w:t>
                            </w:r>
                            <w:r>
                              <w:rPr>
                                <w:color w:val="000000"/>
                              </w:rPr>
                              <w:t>Act-PL108-148,</w:t>
                            </w:r>
                            <w:r>
                              <w:rPr>
                                <w:color w:val="000000"/>
                                <w:spacing w:val="-4"/>
                              </w:rPr>
                              <w:t> </w:t>
                            </w:r>
                            <w:r>
                              <w:rPr>
                                <w:color w:val="000000"/>
                              </w:rPr>
                              <w:t>and</w:t>
                            </w:r>
                            <w:r>
                              <w:rPr>
                                <w:color w:val="000000"/>
                                <w:spacing w:val="-5"/>
                              </w:rPr>
                              <w:t> </w:t>
                            </w:r>
                            <w:r>
                              <w:rPr>
                                <w:color w:val="000000"/>
                              </w:rPr>
                              <w:t>individual</w:t>
                            </w:r>
                            <w:r>
                              <w:rPr>
                                <w:color w:val="000000"/>
                                <w:spacing w:val="-4"/>
                              </w:rPr>
                              <w:t> </w:t>
                            </w:r>
                            <w:r>
                              <w:rPr>
                                <w:color w:val="000000"/>
                              </w:rPr>
                              <w:t>community</w:t>
                            </w:r>
                            <w:r>
                              <w:rPr>
                                <w:color w:val="000000"/>
                                <w:spacing w:val="-5"/>
                              </w:rPr>
                              <w:t> </w:t>
                            </w:r>
                            <w:r>
                              <w:rPr>
                                <w:color w:val="000000"/>
                              </w:rPr>
                              <w:t>wildfire</w:t>
                            </w:r>
                            <w:r>
                              <w:rPr>
                                <w:color w:val="000000"/>
                                <w:spacing w:val="-3"/>
                              </w:rPr>
                              <w:t> </w:t>
                            </w:r>
                            <w:r>
                              <w:rPr>
                                <w:color w:val="000000"/>
                              </w:rPr>
                              <w:t>protection plans. Individual fuels reduction projects and their relationships to WUI are defined on a project basis.</w:t>
                            </w:r>
                          </w:p>
                        </w:txbxContent>
                      </wps:txbx>
                      <wps:bodyPr wrap="square" lIns="0" tIns="0" rIns="0" bIns="0" rtlCol="0">
                        <a:noAutofit/>
                      </wps:bodyPr>
                    </wps:wsp>
                  </a:graphicData>
                </a:graphic>
              </wp:inline>
            </w:drawing>
          </mc:Choice>
          <mc:Fallback>
            <w:pict>
              <v:shape style="width:413.3pt;height:238.8pt;mso-position-horizontal-relative:char;mso-position-vertical-relative:line" type="#_x0000_t202" id="docshape138" filled="true" fillcolor="#dfdfdf" stroked="false">
                <w10:anchorlock/>
                <v:textbox inset="0,0,0,0">
                  <w:txbxContent>
                    <w:p>
                      <w:pPr>
                        <w:pStyle w:val="BodyText"/>
                        <w:spacing w:line="268" w:lineRule="exact"/>
                        <w:ind w:left="28"/>
                        <w:rPr>
                          <w:color w:val="000000"/>
                        </w:rPr>
                      </w:pPr>
                      <w:r>
                        <w:rPr>
                          <w:color w:val="000000"/>
                        </w:rPr>
                        <w:t>NON-FORESTED</w:t>
                      </w:r>
                      <w:r>
                        <w:rPr>
                          <w:color w:val="000000"/>
                          <w:spacing w:val="-5"/>
                        </w:rPr>
                        <w:t> </w:t>
                      </w:r>
                      <w:r>
                        <w:rPr>
                          <w:color w:val="000000"/>
                        </w:rPr>
                        <w:t>AND</w:t>
                      </w:r>
                      <w:r>
                        <w:rPr>
                          <w:color w:val="000000"/>
                          <w:spacing w:val="-6"/>
                        </w:rPr>
                        <w:t> </w:t>
                      </w:r>
                      <w:r>
                        <w:rPr>
                          <w:color w:val="000000"/>
                        </w:rPr>
                        <w:t>DECIDUOUS</w:t>
                      </w:r>
                      <w:r>
                        <w:rPr>
                          <w:color w:val="000000"/>
                          <w:spacing w:val="-6"/>
                        </w:rPr>
                        <w:t> </w:t>
                      </w:r>
                      <w:r>
                        <w:rPr>
                          <w:color w:val="000000"/>
                        </w:rPr>
                        <w:t>FOREST</w:t>
                      </w:r>
                      <w:r>
                        <w:rPr>
                          <w:color w:val="000000"/>
                          <w:spacing w:val="-7"/>
                        </w:rPr>
                        <w:t> </w:t>
                      </w:r>
                      <w:r>
                        <w:rPr>
                          <w:color w:val="000000"/>
                          <w:spacing w:val="-2"/>
                        </w:rPr>
                        <w:t>SYSTEMS</w:t>
                      </w:r>
                    </w:p>
                    <w:p>
                      <w:pPr>
                        <w:pStyle w:val="BodyText"/>
                        <w:spacing w:before="120"/>
                        <w:ind w:left="28"/>
                        <w:rPr>
                          <w:color w:val="000000"/>
                        </w:rPr>
                      </w:pPr>
                      <w:r>
                        <w:rPr>
                          <w:color w:val="000000"/>
                        </w:rPr>
                        <w:t>The ecological character and geographic extent of non-forest communities, deciduous forests,</w:t>
                      </w:r>
                      <w:r>
                        <w:rPr>
                          <w:color w:val="000000"/>
                          <w:spacing w:val="-3"/>
                        </w:rPr>
                        <w:t> </w:t>
                      </w:r>
                      <w:r>
                        <w:rPr>
                          <w:color w:val="000000"/>
                        </w:rPr>
                        <w:t>and</w:t>
                      </w:r>
                      <w:r>
                        <w:rPr>
                          <w:color w:val="000000"/>
                          <w:spacing w:val="-4"/>
                        </w:rPr>
                        <w:t> </w:t>
                      </w:r>
                      <w:r>
                        <w:rPr>
                          <w:color w:val="000000"/>
                        </w:rPr>
                        <w:t>riparian/wetland</w:t>
                      </w:r>
                      <w:r>
                        <w:rPr>
                          <w:color w:val="000000"/>
                          <w:spacing w:val="-4"/>
                        </w:rPr>
                        <w:t> </w:t>
                      </w:r>
                      <w:r>
                        <w:rPr>
                          <w:color w:val="000000"/>
                        </w:rPr>
                        <w:t>vegetation</w:t>
                      </w:r>
                      <w:r>
                        <w:rPr>
                          <w:color w:val="000000"/>
                          <w:spacing w:val="-6"/>
                        </w:rPr>
                        <w:t> </w:t>
                      </w:r>
                      <w:r>
                        <w:rPr>
                          <w:color w:val="000000"/>
                        </w:rPr>
                        <w:t>in</w:t>
                      </w:r>
                      <w:r>
                        <w:rPr>
                          <w:color w:val="000000"/>
                          <w:spacing w:val="-4"/>
                        </w:rPr>
                        <w:t> </w:t>
                      </w:r>
                      <w:r>
                        <w:rPr>
                          <w:color w:val="000000"/>
                        </w:rPr>
                        <w:t>the</w:t>
                      </w:r>
                      <w:r>
                        <w:rPr>
                          <w:color w:val="000000"/>
                          <w:spacing w:val="-2"/>
                        </w:rPr>
                        <w:t> </w:t>
                      </w:r>
                      <w:r>
                        <w:rPr>
                          <w:color w:val="000000"/>
                        </w:rPr>
                        <w:t>planning</w:t>
                      </w:r>
                      <w:r>
                        <w:rPr>
                          <w:color w:val="000000"/>
                          <w:spacing w:val="-4"/>
                        </w:rPr>
                        <w:t> </w:t>
                      </w:r>
                      <w:r>
                        <w:rPr>
                          <w:color w:val="000000"/>
                        </w:rPr>
                        <w:t>area</w:t>
                      </w:r>
                      <w:r>
                        <w:rPr>
                          <w:color w:val="000000"/>
                          <w:spacing w:val="-3"/>
                        </w:rPr>
                        <w:t> </w:t>
                      </w:r>
                      <w:r>
                        <w:rPr>
                          <w:color w:val="000000"/>
                        </w:rPr>
                        <w:t>and</w:t>
                      </w:r>
                      <w:r>
                        <w:rPr>
                          <w:color w:val="000000"/>
                          <w:spacing w:val="-4"/>
                        </w:rPr>
                        <w:t> </w:t>
                      </w:r>
                      <w:r>
                        <w:rPr>
                          <w:color w:val="000000"/>
                        </w:rPr>
                        <w:t>northeastern</w:t>
                      </w:r>
                      <w:r>
                        <w:rPr>
                          <w:color w:val="000000"/>
                          <w:spacing w:val="-6"/>
                        </w:rPr>
                        <w:t> </w:t>
                      </w:r>
                      <w:r>
                        <w:rPr>
                          <w:color w:val="000000"/>
                        </w:rPr>
                        <w:t>Washington are as described by Clausnitzer et al. (2006) and literature cited there. Nine vegetation groups</w:t>
                      </w:r>
                      <w:r>
                        <w:rPr>
                          <w:color w:val="000000"/>
                          <w:spacing w:val="-3"/>
                        </w:rPr>
                        <w:t> </w:t>
                      </w:r>
                      <w:r>
                        <w:rPr>
                          <w:color w:val="000000"/>
                        </w:rPr>
                        <w:t>are</w:t>
                      </w:r>
                      <w:r>
                        <w:rPr>
                          <w:color w:val="000000"/>
                          <w:spacing w:val="-2"/>
                        </w:rPr>
                        <w:t> </w:t>
                      </w:r>
                      <w:r>
                        <w:rPr>
                          <w:color w:val="000000"/>
                        </w:rPr>
                        <w:t>described</w:t>
                      </w:r>
                      <w:r>
                        <w:rPr>
                          <w:color w:val="000000"/>
                          <w:spacing w:val="-4"/>
                        </w:rPr>
                        <w:t> </w:t>
                      </w:r>
                      <w:r>
                        <w:rPr>
                          <w:color w:val="000000"/>
                        </w:rPr>
                        <w:t>based</w:t>
                      </w:r>
                      <w:r>
                        <w:rPr>
                          <w:color w:val="000000"/>
                          <w:spacing w:val="-4"/>
                        </w:rPr>
                        <w:t> </w:t>
                      </w:r>
                      <w:r>
                        <w:rPr>
                          <w:color w:val="000000"/>
                        </w:rPr>
                        <w:t>upon</w:t>
                      </w:r>
                      <w:r>
                        <w:rPr>
                          <w:color w:val="000000"/>
                          <w:spacing w:val="-4"/>
                        </w:rPr>
                        <w:t> </w:t>
                      </w:r>
                      <w:r>
                        <w:rPr>
                          <w:color w:val="000000"/>
                        </w:rPr>
                        <w:t>broad</w:t>
                      </w:r>
                      <w:r>
                        <w:rPr>
                          <w:color w:val="000000"/>
                          <w:spacing w:val="-4"/>
                        </w:rPr>
                        <w:t> </w:t>
                      </w:r>
                      <w:r>
                        <w:rPr>
                          <w:color w:val="000000"/>
                        </w:rPr>
                        <w:t>physiognomic</w:t>
                      </w:r>
                      <w:r>
                        <w:rPr>
                          <w:color w:val="000000"/>
                          <w:spacing w:val="-3"/>
                        </w:rPr>
                        <w:t> </w:t>
                      </w:r>
                      <w:r>
                        <w:rPr>
                          <w:color w:val="000000"/>
                        </w:rPr>
                        <w:t>and</w:t>
                      </w:r>
                      <w:r>
                        <w:rPr>
                          <w:color w:val="000000"/>
                          <w:spacing w:val="-4"/>
                        </w:rPr>
                        <w:t> </w:t>
                      </w:r>
                      <w:r>
                        <w:rPr>
                          <w:color w:val="000000"/>
                        </w:rPr>
                        <w:t>environmental</w:t>
                      </w:r>
                      <w:r>
                        <w:rPr>
                          <w:color w:val="000000"/>
                          <w:spacing w:val="-3"/>
                        </w:rPr>
                        <w:t> </w:t>
                      </w:r>
                      <w:r>
                        <w:rPr>
                          <w:color w:val="000000"/>
                        </w:rPr>
                        <w:t>factors</w:t>
                      </w:r>
                      <w:r>
                        <w:rPr>
                          <w:color w:val="000000"/>
                          <w:spacing w:val="-3"/>
                        </w:rPr>
                        <w:t> </w:t>
                      </w:r>
                      <w:r>
                        <w:rPr>
                          <w:color w:val="000000"/>
                        </w:rPr>
                        <w:t>related</w:t>
                      </w:r>
                      <w:r>
                        <w:rPr>
                          <w:color w:val="000000"/>
                          <w:spacing w:val="-4"/>
                        </w:rPr>
                        <w:t> </w:t>
                      </w:r>
                      <w:r>
                        <w:rPr>
                          <w:color w:val="000000"/>
                        </w:rPr>
                        <w:t>to dominant vegetation lifeform and elevational gradients. This classification served as a framework for vegetation analyses that supported forest plan revision on the Colville National Forest.</w:t>
                      </w:r>
                    </w:p>
                    <w:p>
                      <w:pPr>
                        <w:pStyle w:val="BodyText"/>
                        <w:spacing w:before="119"/>
                        <w:ind w:left="28"/>
                        <w:rPr>
                          <w:color w:val="000000"/>
                        </w:rPr>
                      </w:pPr>
                      <w:r>
                        <w:rPr>
                          <w:color w:val="000000"/>
                        </w:rPr>
                        <w:t>VEGETATION</w:t>
                      </w:r>
                      <w:r>
                        <w:rPr>
                          <w:color w:val="000000"/>
                          <w:spacing w:val="-11"/>
                        </w:rPr>
                        <w:t> </w:t>
                      </w:r>
                      <w:r>
                        <w:rPr>
                          <w:color w:val="000000"/>
                        </w:rPr>
                        <w:t>WITHIN</w:t>
                      </w:r>
                      <w:r>
                        <w:rPr>
                          <w:color w:val="000000"/>
                          <w:spacing w:val="-7"/>
                        </w:rPr>
                        <w:t> </w:t>
                      </w:r>
                      <w:r>
                        <w:rPr>
                          <w:color w:val="000000"/>
                        </w:rPr>
                        <w:t>THE</w:t>
                      </w:r>
                      <w:r>
                        <w:rPr>
                          <w:color w:val="000000"/>
                          <w:spacing w:val="-8"/>
                        </w:rPr>
                        <w:t> </w:t>
                      </w:r>
                      <w:r>
                        <w:rPr>
                          <w:color w:val="000000"/>
                        </w:rPr>
                        <w:t>WILDLAND-URBAN</w:t>
                      </w:r>
                      <w:r>
                        <w:rPr>
                          <w:color w:val="000000"/>
                          <w:spacing w:val="-7"/>
                        </w:rPr>
                        <w:t> </w:t>
                      </w:r>
                      <w:r>
                        <w:rPr>
                          <w:color w:val="000000"/>
                        </w:rPr>
                        <w:t>INTERFACE</w:t>
                      </w:r>
                      <w:r>
                        <w:rPr>
                          <w:color w:val="000000"/>
                          <w:spacing w:val="-5"/>
                        </w:rPr>
                        <w:t> </w:t>
                      </w:r>
                      <w:r>
                        <w:rPr>
                          <w:color w:val="000000"/>
                          <w:spacing w:val="-2"/>
                        </w:rPr>
                        <w:t>(WUI)</w:t>
                      </w:r>
                    </w:p>
                    <w:p>
                      <w:pPr>
                        <w:pStyle w:val="BodyText"/>
                        <w:spacing w:before="121"/>
                        <w:ind w:left="28" w:right="322"/>
                        <w:jc w:val="both"/>
                        <w:rPr>
                          <w:color w:val="000000"/>
                        </w:rPr>
                      </w:pPr>
                      <w:r>
                        <w:rPr>
                          <w:color w:val="000000"/>
                        </w:rPr>
                        <w:t>Wildland-urban</w:t>
                      </w:r>
                      <w:r>
                        <w:rPr>
                          <w:color w:val="000000"/>
                          <w:spacing w:val="-3"/>
                        </w:rPr>
                        <w:t> </w:t>
                      </w:r>
                      <w:r>
                        <w:rPr>
                          <w:color w:val="000000"/>
                        </w:rPr>
                        <w:t>interface</w:t>
                      </w:r>
                      <w:r>
                        <w:rPr>
                          <w:color w:val="000000"/>
                          <w:spacing w:val="-1"/>
                        </w:rPr>
                        <w:t> </w:t>
                      </w:r>
                      <w:r>
                        <w:rPr>
                          <w:color w:val="000000"/>
                        </w:rPr>
                        <w:t>(WUI)</w:t>
                      </w:r>
                      <w:r>
                        <w:rPr>
                          <w:color w:val="000000"/>
                          <w:spacing w:val="-1"/>
                        </w:rPr>
                        <w:t> </w:t>
                      </w:r>
                      <w:r>
                        <w:rPr>
                          <w:color w:val="000000"/>
                        </w:rPr>
                        <w:t>in</w:t>
                      </w:r>
                      <w:r>
                        <w:rPr>
                          <w:color w:val="000000"/>
                          <w:spacing w:val="-3"/>
                        </w:rPr>
                        <w:t> </w:t>
                      </w:r>
                      <w:r>
                        <w:rPr>
                          <w:color w:val="000000"/>
                        </w:rPr>
                        <w:t>the</w:t>
                      </w:r>
                      <w:r>
                        <w:rPr>
                          <w:color w:val="000000"/>
                          <w:spacing w:val="-1"/>
                        </w:rPr>
                        <w:t> </w:t>
                      </w:r>
                      <w:r>
                        <w:rPr>
                          <w:color w:val="000000"/>
                        </w:rPr>
                        <w:t>planning</w:t>
                      </w:r>
                      <w:r>
                        <w:rPr>
                          <w:color w:val="000000"/>
                          <w:spacing w:val="-3"/>
                        </w:rPr>
                        <w:t> </w:t>
                      </w:r>
                      <w:r>
                        <w:rPr>
                          <w:color w:val="000000"/>
                        </w:rPr>
                        <w:t>area</w:t>
                      </w:r>
                      <w:r>
                        <w:rPr>
                          <w:color w:val="000000"/>
                          <w:spacing w:val="-2"/>
                        </w:rPr>
                        <w:t> </w:t>
                      </w:r>
                      <w:r>
                        <w:rPr>
                          <w:color w:val="000000"/>
                        </w:rPr>
                        <w:t>is</w:t>
                      </w:r>
                      <w:r>
                        <w:rPr>
                          <w:color w:val="000000"/>
                          <w:spacing w:val="-2"/>
                        </w:rPr>
                        <w:t> </w:t>
                      </w:r>
                      <w:r>
                        <w:rPr>
                          <w:color w:val="000000"/>
                        </w:rPr>
                        <w:t>defined</w:t>
                      </w:r>
                      <w:r>
                        <w:rPr>
                          <w:color w:val="000000"/>
                          <w:spacing w:val="-3"/>
                        </w:rPr>
                        <w:t> </w:t>
                      </w:r>
                      <w:r>
                        <w:rPr>
                          <w:color w:val="000000"/>
                        </w:rPr>
                        <w:t>as</w:t>
                      </w:r>
                      <w:r>
                        <w:rPr>
                          <w:color w:val="000000"/>
                          <w:spacing w:val="-4"/>
                        </w:rPr>
                        <w:t> </w:t>
                      </w:r>
                      <w:r>
                        <w:rPr>
                          <w:color w:val="000000"/>
                        </w:rPr>
                        <w:t>“the</w:t>
                      </w:r>
                      <w:r>
                        <w:rPr>
                          <w:color w:val="000000"/>
                          <w:spacing w:val="-1"/>
                        </w:rPr>
                        <w:t> </w:t>
                      </w:r>
                      <w:r>
                        <w:rPr>
                          <w:color w:val="000000"/>
                        </w:rPr>
                        <w:t>line,</w:t>
                      </w:r>
                      <w:r>
                        <w:rPr>
                          <w:color w:val="000000"/>
                          <w:spacing w:val="-4"/>
                        </w:rPr>
                        <w:t> </w:t>
                      </w:r>
                      <w:r>
                        <w:rPr>
                          <w:color w:val="000000"/>
                        </w:rPr>
                        <w:t>area,</w:t>
                      </w:r>
                      <w:r>
                        <w:rPr>
                          <w:color w:val="000000"/>
                          <w:spacing w:val="-4"/>
                        </w:rPr>
                        <w:t> </w:t>
                      </w:r>
                      <w:r>
                        <w:rPr>
                          <w:color w:val="000000"/>
                        </w:rPr>
                        <w:t>or</w:t>
                      </w:r>
                      <w:r>
                        <w:rPr>
                          <w:color w:val="000000"/>
                          <w:spacing w:val="-2"/>
                        </w:rPr>
                        <w:t> </w:t>
                      </w:r>
                      <w:r>
                        <w:rPr>
                          <w:color w:val="000000"/>
                        </w:rPr>
                        <w:t>zone where</w:t>
                      </w:r>
                      <w:r>
                        <w:rPr>
                          <w:color w:val="000000"/>
                          <w:spacing w:val="-2"/>
                        </w:rPr>
                        <w:t> </w:t>
                      </w:r>
                      <w:r>
                        <w:rPr>
                          <w:color w:val="000000"/>
                        </w:rPr>
                        <w:t>structures and</w:t>
                      </w:r>
                      <w:r>
                        <w:rPr>
                          <w:color w:val="000000"/>
                          <w:spacing w:val="-3"/>
                        </w:rPr>
                        <w:t> </w:t>
                      </w:r>
                      <w:r>
                        <w:rPr>
                          <w:color w:val="000000"/>
                        </w:rPr>
                        <w:t>other</w:t>
                      </w:r>
                      <w:r>
                        <w:rPr>
                          <w:color w:val="000000"/>
                          <w:spacing w:val="-2"/>
                        </w:rPr>
                        <w:t> </w:t>
                      </w:r>
                      <w:r>
                        <w:rPr>
                          <w:color w:val="000000"/>
                        </w:rPr>
                        <w:t>human</w:t>
                      </w:r>
                      <w:r>
                        <w:rPr>
                          <w:color w:val="000000"/>
                          <w:spacing w:val="-1"/>
                        </w:rPr>
                        <w:t> </w:t>
                      </w:r>
                      <w:r>
                        <w:rPr>
                          <w:color w:val="000000"/>
                        </w:rPr>
                        <w:t>development</w:t>
                      </w:r>
                      <w:r>
                        <w:rPr>
                          <w:color w:val="000000"/>
                          <w:spacing w:val="-2"/>
                        </w:rPr>
                        <w:t> </w:t>
                      </w:r>
                      <w:r>
                        <w:rPr>
                          <w:color w:val="000000"/>
                        </w:rPr>
                        <w:t>meet</w:t>
                      </w:r>
                      <w:r>
                        <w:rPr>
                          <w:color w:val="000000"/>
                          <w:spacing w:val="-2"/>
                        </w:rPr>
                        <w:t> </w:t>
                      </w:r>
                      <w:r>
                        <w:rPr>
                          <w:color w:val="000000"/>
                        </w:rPr>
                        <w:t>or intermingle with</w:t>
                      </w:r>
                      <w:r>
                        <w:rPr>
                          <w:color w:val="000000"/>
                          <w:spacing w:val="-1"/>
                        </w:rPr>
                        <w:t> </w:t>
                      </w:r>
                      <w:r>
                        <w:rPr>
                          <w:color w:val="000000"/>
                        </w:rPr>
                        <w:t>undeveloped wildland or vegetative fuels” (NWCC 2012).</w:t>
                      </w:r>
                      <w:hyperlink w:history="true" w:anchor="_bookmark77">
                        <w:r>
                          <w:rPr>
                            <w:color w:val="000000"/>
                            <w:vertAlign w:val="superscript"/>
                          </w:rPr>
                          <w:t>7</w:t>
                        </w:r>
                      </w:hyperlink>
                      <w:r>
                        <w:rPr>
                          <w:color w:val="000000"/>
                          <w:vertAlign w:val="baseline"/>
                        </w:rPr>
                        <w:t> See glossary for specific definition.</w:t>
                      </w:r>
                    </w:p>
                    <w:p>
                      <w:pPr>
                        <w:pStyle w:val="BodyText"/>
                        <w:spacing w:before="119"/>
                        <w:ind w:left="28" w:right="120"/>
                        <w:rPr>
                          <w:color w:val="000000"/>
                        </w:rPr>
                      </w:pPr>
                      <w:r>
                        <w:rPr>
                          <w:color w:val="000000"/>
                        </w:rPr>
                        <w:t>The prioritization of fuels treatments within WUI will follow the National Fire Plan, the Healthy</w:t>
                      </w:r>
                      <w:r>
                        <w:rPr>
                          <w:color w:val="000000"/>
                          <w:spacing w:val="-3"/>
                        </w:rPr>
                        <w:t> </w:t>
                      </w:r>
                      <w:r>
                        <w:rPr>
                          <w:color w:val="000000"/>
                        </w:rPr>
                        <w:t>Forests</w:t>
                      </w:r>
                      <w:r>
                        <w:rPr>
                          <w:color w:val="000000"/>
                          <w:spacing w:val="-4"/>
                        </w:rPr>
                        <w:t> </w:t>
                      </w:r>
                      <w:r>
                        <w:rPr>
                          <w:color w:val="000000"/>
                        </w:rPr>
                        <w:t>Restoration</w:t>
                      </w:r>
                      <w:r>
                        <w:rPr>
                          <w:color w:val="000000"/>
                          <w:spacing w:val="-5"/>
                        </w:rPr>
                        <w:t> </w:t>
                      </w:r>
                      <w:r>
                        <w:rPr>
                          <w:color w:val="000000"/>
                        </w:rPr>
                        <w:t>Act-PL108-148,</w:t>
                      </w:r>
                      <w:r>
                        <w:rPr>
                          <w:color w:val="000000"/>
                          <w:spacing w:val="-4"/>
                        </w:rPr>
                        <w:t> </w:t>
                      </w:r>
                      <w:r>
                        <w:rPr>
                          <w:color w:val="000000"/>
                        </w:rPr>
                        <w:t>and</w:t>
                      </w:r>
                      <w:r>
                        <w:rPr>
                          <w:color w:val="000000"/>
                          <w:spacing w:val="-5"/>
                        </w:rPr>
                        <w:t> </w:t>
                      </w:r>
                      <w:r>
                        <w:rPr>
                          <w:color w:val="000000"/>
                        </w:rPr>
                        <w:t>individual</w:t>
                      </w:r>
                      <w:r>
                        <w:rPr>
                          <w:color w:val="000000"/>
                          <w:spacing w:val="-4"/>
                        </w:rPr>
                        <w:t> </w:t>
                      </w:r>
                      <w:r>
                        <w:rPr>
                          <w:color w:val="000000"/>
                        </w:rPr>
                        <w:t>community</w:t>
                      </w:r>
                      <w:r>
                        <w:rPr>
                          <w:color w:val="000000"/>
                          <w:spacing w:val="-5"/>
                        </w:rPr>
                        <w:t> </w:t>
                      </w:r>
                      <w:r>
                        <w:rPr>
                          <w:color w:val="000000"/>
                        </w:rPr>
                        <w:t>wildfire</w:t>
                      </w:r>
                      <w:r>
                        <w:rPr>
                          <w:color w:val="000000"/>
                          <w:spacing w:val="-3"/>
                        </w:rPr>
                        <w:t> </w:t>
                      </w:r>
                      <w:r>
                        <w:rPr>
                          <w:color w:val="000000"/>
                        </w:rPr>
                        <w:t>protection plans. Individual fuels reduction projects and their relationships to WUI are defined on a project basis.</w:t>
                      </w:r>
                    </w:p>
                  </w:txbxContent>
                </v:textbox>
                <v:fill type="solid"/>
              </v:shape>
            </w:pict>
          </mc:Fallback>
        </mc:AlternateContent>
      </w:r>
      <w:r>
        <w:rPr>
          <w:rFonts w:ascii="Arial"/>
          <w:sz w:val="20"/>
        </w:rPr>
      </w:r>
    </w:p>
    <w:p>
      <w:pPr>
        <w:pStyle w:val="BodyText"/>
        <w:spacing w:before="60"/>
        <w:rPr>
          <w:rFonts w:ascii="Arial"/>
          <w:b/>
          <w:sz w:val="24"/>
        </w:rPr>
      </w:pPr>
    </w:p>
    <w:p>
      <w:pPr>
        <w:pStyle w:val="Heading4"/>
      </w:pPr>
      <w:bookmarkStart w:name="Desired Conditions" w:id="149"/>
      <w:bookmarkEnd w:id="149"/>
      <w:r>
        <w:rPr/>
      </w:r>
      <w:bookmarkStart w:name="_bookmark76" w:id="150"/>
      <w:bookmarkEnd w:id="150"/>
      <w:r>
        <w:rPr/>
      </w:r>
      <w:r>
        <w:rPr/>
        <w:t>Desired</w:t>
      </w:r>
      <w:r>
        <w:rPr>
          <w:spacing w:val="-4"/>
        </w:rPr>
        <w:t> </w:t>
      </w:r>
      <w:r>
        <w:rPr>
          <w:spacing w:val="-2"/>
        </w:rPr>
        <w:t>Conditions</w:t>
      </w:r>
    </w:p>
    <w:p>
      <w:pPr>
        <w:spacing w:before="240"/>
        <w:ind w:left="360" w:right="0" w:firstLine="0"/>
        <w:jc w:val="left"/>
        <w:rPr>
          <w:rFonts w:ascii="Arial"/>
          <w:i/>
          <w:sz w:val="22"/>
        </w:rPr>
      </w:pPr>
      <w:bookmarkStart w:name="FW-DC-VEG-01. Plant Species Composition" w:id="151"/>
      <w:bookmarkEnd w:id="151"/>
      <w:r>
        <w:rPr/>
      </w:r>
      <w:r>
        <w:rPr>
          <w:rFonts w:ascii="Arial"/>
          <w:i/>
          <w:sz w:val="22"/>
        </w:rPr>
        <w:t>FW-DC-VEG-01.</w:t>
      </w:r>
      <w:r>
        <w:rPr>
          <w:rFonts w:ascii="Arial"/>
          <w:i/>
          <w:spacing w:val="-8"/>
          <w:sz w:val="22"/>
        </w:rPr>
        <w:t> </w:t>
      </w:r>
      <w:r>
        <w:rPr>
          <w:rFonts w:ascii="Arial"/>
          <w:i/>
          <w:sz w:val="22"/>
        </w:rPr>
        <w:t>Plant</w:t>
      </w:r>
      <w:r>
        <w:rPr>
          <w:rFonts w:ascii="Arial"/>
          <w:i/>
          <w:spacing w:val="-7"/>
          <w:sz w:val="22"/>
        </w:rPr>
        <w:t> </w:t>
      </w:r>
      <w:r>
        <w:rPr>
          <w:rFonts w:ascii="Arial"/>
          <w:i/>
          <w:sz w:val="22"/>
        </w:rPr>
        <w:t>Species</w:t>
      </w:r>
      <w:r>
        <w:rPr>
          <w:rFonts w:ascii="Arial"/>
          <w:i/>
          <w:spacing w:val="-6"/>
          <w:sz w:val="22"/>
        </w:rPr>
        <w:t> </w:t>
      </w:r>
      <w:r>
        <w:rPr>
          <w:rFonts w:ascii="Arial"/>
          <w:i/>
          <w:spacing w:val="-2"/>
          <w:sz w:val="22"/>
        </w:rPr>
        <w:t>Composition</w:t>
      </w:r>
    </w:p>
    <w:p>
      <w:pPr>
        <w:pStyle w:val="BodyText"/>
        <w:spacing w:line="232" w:lineRule="auto" w:before="67"/>
        <w:ind w:left="359" w:right="1445"/>
      </w:pPr>
      <w:r>
        <w:rPr/>
        <w:t>Native species and native plant communities are the desired dominant vegetation. National Forest System lands contribute to the diversity, species composition, and structural diversity of native</w:t>
      </w:r>
      <w:r>
        <w:rPr>
          <w:spacing w:val="-5"/>
        </w:rPr>
        <w:t> </w:t>
      </w:r>
      <w:r>
        <w:rPr/>
        <w:t>upland</w:t>
      </w:r>
      <w:r>
        <w:rPr>
          <w:spacing w:val="-6"/>
        </w:rPr>
        <w:t> </w:t>
      </w:r>
      <w:r>
        <w:rPr/>
        <w:t>plant</w:t>
      </w:r>
      <w:r>
        <w:rPr>
          <w:spacing w:val="-5"/>
        </w:rPr>
        <w:t> </w:t>
      </w:r>
      <w:r>
        <w:rPr/>
        <w:t>communities.</w:t>
      </w:r>
      <w:r>
        <w:rPr>
          <w:spacing w:val="-6"/>
        </w:rPr>
        <w:t> </w:t>
      </w:r>
      <w:r>
        <w:rPr/>
        <w:t>The</w:t>
      </w:r>
      <w:r>
        <w:rPr>
          <w:spacing w:val="-7"/>
        </w:rPr>
        <w:t> </w:t>
      </w:r>
      <w:r>
        <w:rPr/>
        <w:t>full</w:t>
      </w:r>
      <w:r>
        <w:rPr>
          <w:spacing w:val="-6"/>
        </w:rPr>
        <w:t> </w:t>
      </w:r>
      <w:r>
        <w:rPr/>
        <w:t>range</w:t>
      </w:r>
      <w:r>
        <w:rPr>
          <w:spacing w:val="-5"/>
        </w:rPr>
        <w:t> </w:t>
      </w:r>
      <w:r>
        <w:rPr/>
        <w:t>of</w:t>
      </w:r>
      <w:r>
        <w:rPr>
          <w:spacing w:val="-7"/>
        </w:rPr>
        <w:t> </w:t>
      </w:r>
      <w:r>
        <w:rPr/>
        <w:t>potential</w:t>
      </w:r>
      <w:r>
        <w:rPr>
          <w:spacing w:val="-6"/>
        </w:rPr>
        <w:t> </w:t>
      </w:r>
      <w:r>
        <w:rPr/>
        <w:t>natural</w:t>
      </w:r>
      <w:r>
        <w:rPr>
          <w:spacing w:val="-6"/>
        </w:rPr>
        <w:t> </w:t>
      </w:r>
      <w:r>
        <w:rPr/>
        <w:t>vegetation</w:t>
      </w:r>
      <w:r>
        <w:rPr>
          <w:spacing w:val="-8"/>
        </w:rPr>
        <w:t> </w:t>
      </w:r>
      <w:r>
        <w:rPr/>
        <w:t>is</w:t>
      </w:r>
      <w:r>
        <w:rPr>
          <w:spacing w:val="-7"/>
        </w:rPr>
        <w:t> </w:t>
      </w:r>
      <w:r>
        <w:rPr/>
        <w:t>maintained</w:t>
      </w:r>
      <w:r>
        <w:rPr>
          <w:spacing w:val="-8"/>
        </w:rPr>
        <w:t> </w:t>
      </w:r>
      <w:r>
        <w:rPr/>
        <w:t>on the Forest where it supports plant and animal diversity including pollinators and other invertebrates, and robust ecological function.</w:t>
      </w:r>
    </w:p>
    <w:p>
      <w:pPr>
        <w:spacing w:before="233"/>
        <w:ind w:left="359" w:right="0" w:firstLine="0"/>
        <w:jc w:val="left"/>
        <w:rPr>
          <w:rFonts w:ascii="Arial"/>
          <w:i/>
          <w:sz w:val="22"/>
        </w:rPr>
      </w:pPr>
      <w:bookmarkStart w:name="FW-DC-VEG-02. Insects and Diseases" w:id="152"/>
      <w:bookmarkEnd w:id="152"/>
      <w:r>
        <w:rPr/>
      </w:r>
      <w:r>
        <w:rPr>
          <w:rFonts w:ascii="Arial"/>
          <w:i/>
          <w:sz w:val="22"/>
        </w:rPr>
        <w:t>FW-DC-VEG-02.</w:t>
      </w:r>
      <w:r>
        <w:rPr>
          <w:rFonts w:ascii="Arial"/>
          <w:i/>
          <w:spacing w:val="-8"/>
          <w:sz w:val="22"/>
        </w:rPr>
        <w:t> </w:t>
      </w:r>
      <w:r>
        <w:rPr>
          <w:rFonts w:ascii="Arial"/>
          <w:i/>
          <w:sz w:val="22"/>
        </w:rPr>
        <w:t>Insects</w:t>
      </w:r>
      <w:r>
        <w:rPr>
          <w:rFonts w:ascii="Arial"/>
          <w:i/>
          <w:spacing w:val="-7"/>
          <w:sz w:val="22"/>
        </w:rPr>
        <w:t> </w:t>
      </w:r>
      <w:r>
        <w:rPr>
          <w:rFonts w:ascii="Arial"/>
          <w:i/>
          <w:sz w:val="22"/>
        </w:rPr>
        <w:t>and</w:t>
      </w:r>
      <w:r>
        <w:rPr>
          <w:rFonts w:ascii="Arial"/>
          <w:i/>
          <w:spacing w:val="-5"/>
          <w:sz w:val="22"/>
        </w:rPr>
        <w:t> </w:t>
      </w:r>
      <w:r>
        <w:rPr>
          <w:rFonts w:ascii="Arial"/>
          <w:i/>
          <w:spacing w:val="-2"/>
          <w:sz w:val="22"/>
        </w:rPr>
        <w:t>Diseases</w:t>
      </w:r>
    </w:p>
    <w:p>
      <w:pPr>
        <w:pStyle w:val="BodyText"/>
        <w:spacing w:line="232" w:lineRule="auto" w:before="64"/>
        <w:ind w:left="360" w:right="1516"/>
      </w:pPr>
      <w:r>
        <w:rPr/>
        <w:t>Native insects, diseases, fungi, bacteria, and viruses engage in their natural (endemic) role in contributing</w:t>
      </w:r>
      <w:r>
        <w:rPr>
          <w:spacing w:val="-7"/>
        </w:rPr>
        <w:t> </w:t>
      </w:r>
      <w:r>
        <w:rPr/>
        <w:t>to</w:t>
      </w:r>
      <w:r>
        <w:rPr>
          <w:spacing w:val="-7"/>
        </w:rPr>
        <w:t> </w:t>
      </w:r>
      <w:r>
        <w:rPr/>
        <w:t>ecosystem</w:t>
      </w:r>
      <w:r>
        <w:rPr>
          <w:spacing w:val="-8"/>
        </w:rPr>
        <w:t> </w:t>
      </w:r>
      <w:r>
        <w:rPr/>
        <w:t>processes</w:t>
      </w:r>
      <w:r>
        <w:rPr>
          <w:spacing w:val="-7"/>
        </w:rPr>
        <w:t> </w:t>
      </w:r>
      <w:r>
        <w:rPr/>
        <w:t>such</w:t>
      </w:r>
      <w:r>
        <w:rPr>
          <w:spacing w:val="-7"/>
        </w:rPr>
        <w:t> </w:t>
      </w:r>
      <w:r>
        <w:rPr/>
        <w:t>as</w:t>
      </w:r>
      <w:r>
        <w:rPr>
          <w:spacing w:val="-7"/>
        </w:rPr>
        <w:t> </w:t>
      </w:r>
      <w:r>
        <w:rPr/>
        <w:t>pollination,</w:t>
      </w:r>
      <w:r>
        <w:rPr>
          <w:spacing w:val="-6"/>
        </w:rPr>
        <w:t> </w:t>
      </w:r>
      <w:r>
        <w:rPr/>
        <w:t>food</w:t>
      </w:r>
      <w:r>
        <w:rPr>
          <w:spacing w:val="-8"/>
        </w:rPr>
        <w:t> </w:t>
      </w:r>
      <w:r>
        <w:rPr/>
        <w:t>webs,</w:t>
      </w:r>
      <w:r>
        <w:rPr>
          <w:spacing w:val="-7"/>
        </w:rPr>
        <w:t> </w:t>
      </w:r>
      <w:r>
        <w:rPr/>
        <w:t>decay</w:t>
      </w:r>
      <w:r>
        <w:rPr>
          <w:spacing w:val="-7"/>
        </w:rPr>
        <w:t> </w:t>
      </w:r>
      <w:r>
        <w:rPr/>
        <w:t>and</w:t>
      </w:r>
      <w:r>
        <w:rPr>
          <w:spacing w:val="-7"/>
        </w:rPr>
        <w:t> </w:t>
      </w:r>
      <w:r>
        <w:rPr/>
        <w:t>nutrient</w:t>
      </w:r>
      <w:r>
        <w:rPr>
          <w:spacing w:val="-5"/>
        </w:rPr>
        <w:t> </w:t>
      </w:r>
      <w:r>
        <w:rPr/>
        <w:t>cycling, providing habitats, and functioning as natural control</w:t>
      </w:r>
      <w:r>
        <w:rPr>
          <w:spacing w:val="-2"/>
        </w:rPr>
        <w:t> </w:t>
      </w:r>
      <w:r>
        <w:rPr/>
        <w:t>agents. Landscapes provide a patchwork of varied structural, compositional, and successional stages that ensure the continuation of these processes.</w:t>
      </w:r>
    </w:p>
    <w:p>
      <w:pPr>
        <w:spacing w:before="233"/>
        <w:ind w:left="360" w:right="0" w:firstLine="0"/>
        <w:jc w:val="left"/>
        <w:rPr>
          <w:rFonts w:ascii="Arial"/>
          <w:i/>
          <w:sz w:val="22"/>
        </w:rPr>
      </w:pPr>
      <w:bookmarkStart w:name="FW-DC-VEG-03. Forest Structure" w:id="153"/>
      <w:bookmarkEnd w:id="153"/>
      <w:r>
        <w:rPr/>
      </w:r>
      <w:r>
        <w:rPr>
          <w:rFonts w:ascii="Arial"/>
          <w:i/>
          <w:sz w:val="22"/>
        </w:rPr>
        <w:t>FW-DC-VEG-03.</w:t>
      </w:r>
      <w:r>
        <w:rPr>
          <w:rFonts w:ascii="Arial"/>
          <w:i/>
          <w:spacing w:val="-8"/>
          <w:sz w:val="22"/>
        </w:rPr>
        <w:t> </w:t>
      </w:r>
      <w:r>
        <w:rPr>
          <w:rFonts w:ascii="Arial"/>
          <w:i/>
          <w:sz w:val="22"/>
        </w:rPr>
        <w:t>Forest</w:t>
      </w:r>
      <w:r>
        <w:rPr>
          <w:rFonts w:ascii="Arial"/>
          <w:i/>
          <w:spacing w:val="-10"/>
          <w:sz w:val="22"/>
        </w:rPr>
        <w:t> </w:t>
      </w:r>
      <w:r>
        <w:rPr>
          <w:rFonts w:ascii="Arial"/>
          <w:i/>
          <w:spacing w:val="-2"/>
          <w:sz w:val="22"/>
        </w:rPr>
        <w:t>Structure</w:t>
      </w:r>
    </w:p>
    <w:p>
      <w:pPr>
        <w:pStyle w:val="BodyText"/>
        <w:spacing w:line="232" w:lineRule="auto" w:before="65"/>
        <w:ind w:left="359" w:right="1621"/>
      </w:pPr>
      <w:r>
        <w:rPr/>
        <w:t>Forest structural classes are resilient and compatible with maintaining characteristic disturbance processes</w:t>
      </w:r>
      <w:r>
        <w:rPr>
          <w:spacing w:val="-2"/>
        </w:rPr>
        <w:t> </w:t>
      </w:r>
      <w:r>
        <w:rPr/>
        <w:t>such</w:t>
      </w:r>
      <w:r>
        <w:rPr>
          <w:spacing w:val="-3"/>
        </w:rPr>
        <w:t> </w:t>
      </w:r>
      <w:r>
        <w:rPr/>
        <w:t>as wildland</w:t>
      </w:r>
      <w:r>
        <w:rPr>
          <w:spacing w:val="-1"/>
        </w:rPr>
        <w:t> </w:t>
      </w:r>
      <w:r>
        <w:rPr/>
        <w:t>fire, insects,</w:t>
      </w:r>
      <w:r>
        <w:rPr>
          <w:spacing w:val="-2"/>
        </w:rPr>
        <w:t> </w:t>
      </w:r>
      <w:r>
        <w:rPr/>
        <w:t>and</w:t>
      </w:r>
      <w:r>
        <w:rPr>
          <w:spacing w:val="-1"/>
        </w:rPr>
        <w:t> </w:t>
      </w:r>
      <w:r>
        <w:rPr/>
        <w:t>diseases. Habitat conditions for associated</w:t>
      </w:r>
      <w:r>
        <w:rPr>
          <w:spacing w:val="-7"/>
        </w:rPr>
        <w:t> </w:t>
      </w:r>
      <w:r>
        <w:rPr/>
        <w:t>species</w:t>
      </w:r>
      <w:r>
        <w:rPr>
          <w:spacing w:val="-7"/>
        </w:rPr>
        <w:t> </w:t>
      </w:r>
      <w:r>
        <w:rPr/>
        <w:t>are</w:t>
      </w:r>
      <w:r>
        <w:rPr>
          <w:spacing w:val="-6"/>
        </w:rPr>
        <w:t> </w:t>
      </w:r>
      <w:r>
        <w:rPr/>
        <w:t>present.</w:t>
      </w:r>
      <w:r>
        <w:rPr>
          <w:spacing w:val="-7"/>
        </w:rPr>
        <w:t> </w:t>
      </w:r>
      <w:r>
        <w:rPr/>
        <w:t>Structure</w:t>
      </w:r>
      <w:r>
        <w:rPr>
          <w:spacing w:val="-6"/>
        </w:rPr>
        <w:t> </w:t>
      </w:r>
      <w:r>
        <w:rPr/>
        <w:t>contributes</w:t>
      </w:r>
      <w:r>
        <w:rPr>
          <w:spacing w:val="-7"/>
        </w:rPr>
        <w:t> </w:t>
      </w:r>
      <w:r>
        <w:rPr/>
        <w:t>to</w:t>
      </w:r>
      <w:r>
        <w:rPr>
          <w:spacing w:val="-6"/>
        </w:rPr>
        <w:t> </w:t>
      </w:r>
      <w:r>
        <w:rPr/>
        <w:t>scenic</w:t>
      </w:r>
      <w:r>
        <w:rPr>
          <w:spacing w:val="-7"/>
        </w:rPr>
        <w:t> </w:t>
      </w:r>
      <w:r>
        <w:rPr/>
        <w:t>quality</w:t>
      </w:r>
      <w:r>
        <w:rPr>
          <w:spacing w:val="-7"/>
        </w:rPr>
        <w:t> </w:t>
      </w:r>
      <w:r>
        <w:rPr/>
        <w:t>and</w:t>
      </w:r>
      <w:r>
        <w:rPr>
          <w:spacing w:val="-7"/>
        </w:rPr>
        <w:t> </w:t>
      </w:r>
      <w:r>
        <w:rPr/>
        <w:t>contributes</w:t>
      </w:r>
      <w:r>
        <w:rPr>
          <w:spacing w:val="-7"/>
        </w:rPr>
        <w:t> </w:t>
      </w:r>
      <w:r>
        <w:rPr/>
        <w:t>to desired landscape character, particularly along scenic byways and highways.</w:t>
      </w:r>
    </w:p>
    <w:p>
      <w:pPr>
        <w:pStyle w:val="BodyText"/>
        <w:spacing w:line="232" w:lineRule="auto" w:before="199"/>
        <w:ind w:left="359" w:right="1567"/>
      </w:pPr>
      <w:r>
        <w:rPr/>
        <w:t>Forest openings would be commensurate with historical conditions for size and distribution to reflect natural disturbance processes. The historical range of variability for forest structure is the</w:t>
      </w:r>
      <w:r>
        <w:rPr>
          <w:spacing w:val="-5"/>
        </w:rPr>
        <w:t> </w:t>
      </w:r>
      <w:r>
        <w:rPr/>
        <w:t>desired</w:t>
      </w:r>
      <w:r>
        <w:rPr>
          <w:spacing w:val="-7"/>
        </w:rPr>
        <w:t> </w:t>
      </w:r>
      <w:r>
        <w:rPr/>
        <w:t>condition.</w:t>
      </w:r>
      <w:r>
        <w:rPr>
          <w:spacing w:val="-6"/>
        </w:rPr>
        <w:t> </w:t>
      </w:r>
      <w:r>
        <w:rPr/>
        <w:t>Historical</w:t>
      </w:r>
      <w:r>
        <w:rPr>
          <w:spacing w:val="-6"/>
        </w:rPr>
        <w:t> </w:t>
      </w:r>
      <w:r>
        <w:rPr/>
        <w:t>range</w:t>
      </w:r>
      <w:r>
        <w:rPr>
          <w:spacing w:val="-8"/>
        </w:rPr>
        <w:t> </w:t>
      </w:r>
      <w:r>
        <w:rPr/>
        <w:t>of</w:t>
      </w:r>
      <w:r>
        <w:rPr>
          <w:spacing w:val="-8"/>
        </w:rPr>
        <w:t> </w:t>
      </w:r>
      <w:r>
        <w:rPr/>
        <w:t>variability</w:t>
      </w:r>
      <w:r>
        <w:rPr>
          <w:spacing w:val="-5"/>
        </w:rPr>
        <w:t> </w:t>
      </w:r>
      <w:r>
        <w:rPr/>
        <w:t>will</w:t>
      </w:r>
      <w:r>
        <w:rPr>
          <w:spacing w:val="-6"/>
        </w:rPr>
        <w:t> </w:t>
      </w:r>
      <w:r>
        <w:rPr/>
        <w:t>be</w:t>
      </w:r>
      <w:r>
        <w:rPr>
          <w:spacing w:val="-5"/>
        </w:rPr>
        <w:t> </w:t>
      </w:r>
      <w:r>
        <w:rPr/>
        <w:t>evaluated</w:t>
      </w:r>
      <w:r>
        <w:rPr>
          <w:spacing w:val="-9"/>
        </w:rPr>
        <w:t> </w:t>
      </w:r>
      <w:r>
        <w:rPr/>
        <w:t>on</w:t>
      </w:r>
      <w:r>
        <w:rPr>
          <w:spacing w:val="-7"/>
        </w:rPr>
        <w:t> </w:t>
      </w:r>
      <w:r>
        <w:rPr/>
        <w:t>National</w:t>
      </w:r>
      <w:r>
        <w:rPr>
          <w:spacing w:val="-9"/>
        </w:rPr>
        <w:t> </w:t>
      </w:r>
      <w:r>
        <w:rPr/>
        <w:t>Forest</w:t>
      </w:r>
      <w:r>
        <w:rPr>
          <w:spacing w:val="-5"/>
        </w:rPr>
        <w:t> </w:t>
      </w:r>
      <w:r>
        <w:rPr/>
        <w:t>System lands at the appropriate scale, given vegetation type and natural disturbance history. </w:t>
      </w:r>
      <w:hyperlink w:history="true" w:anchor="_bookmark78">
        <w:r>
          <w:rPr/>
          <w:t>Table 5</w:t>
        </w:r>
      </w:hyperlink>
      <w:r>
        <w:rPr/>
        <w:t> and </w:t>
      </w:r>
      <w:hyperlink w:history="true" w:anchor="_bookmark79">
        <w:r>
          <w:rPr/>
          <w:t>table 6</w:t>
        </w:r>
      </w:hyperlink>
      <w:r>
        <w:rPr/>
        <w:t> contain desired conditions for each vegetation type.</w:t>
      </w:r>
    </w:p>
    <w:p>
      <w:pPr>
        <w:pStyle w:val="BodyText"/>
        <w:spacing w:before="144"/>
        <w:rPr>
          <w:sz w:val="20"/>
        </w:rPr>
      </w:pPr>
      <w:r>
        <w:rPr>
          <w:sz w:val="20"/>
        </w:rPr>
        <mc:AlternateContent>
          <mc:Choice Requires="wps">
            <w:drawing>
              <wp:anchor distT="0" distB="0" distL="0" distR="0" allowOverlap="1" layoutInCell="1" locked="0" behindDoc="1" simplePos="0" relativeHeight="487598080">
                <wp:simplePos x="0" y="0"/>
                <wp:positionH relativeFrom="page">
                  <wp:posOffset>914400</wp:posOffset>
                </wp:positionH>
                <wp:positionV relativeFrom="paragraph">
                  <wp:posOffset>261790</wp:posOffset>
                </wp:positionV>
                <wp:extent cx="1828800" cy="7620"/>
                <wp:effectExtent l="0" t="0" r="0" b="0"/>
                <wp:wrapTopAndBottom/>
                <wp:docPr id="147" name="Graphic 147"/>
                <wp:cNvGraphicFramePr>
                  <a:graphicFrameLocks/>
                </wp:cNvGraphicFramePr>
                <a:graphic>
                  <a:graphicData uri="http://schemas.microsoft.com/office/word/2010/wordprocessingShape">
                    <wps:wsp>
                      <wps:cNvPr id="147" name="Graphic 147"/>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20.613422pt;width:144pt;height:.599pt;mso-position-horizontal-relative:page;mso-position-vertical-relative:paragraph;z-index:-15718400;mso-wrap-distance-left:0;mso-wrap-distance-right:0" id="docshape139" filled="true" fillcolor="#000000" stroked="false">
                <v:fill type="solid"/>
                <w10:wrap type="topAndBottom"/>
              </v:rect>
            </w:pict>
          </mc:Fallback>
        </mc:AlternateContent>
      </w:r>
    </w:p>
    <w:p>
      <w:pPr>
        <w:spacing w:before="95"/>
        <w:ind w:left="360" w:right="0" w:firstLine="0"/>
        <w:jc w:val="left"/>
        <w:rPr>
          <w:sz w:val="18"/>
        </w:rPr>
      </w:pPr>
      <w:bookmarkStart w:name="_bookmark77" w:id="154"/>
      <w:bookmarkEnd w:id="154"/>
      <w:r>
        <w:rPr/>
      </w:r>
      <w:r>
        <w:rPr>
          <w:position w:val="5"/>
          <w:sz w:val="12"/>
        </w:rPr>
        <w:t>7</w:t>
      </w:r>
      <w:r>
        <w:rPr>
          <w:spacing w:val="9"/>
          <w:position w:val="5"/>
          <w:sz w:val="12"/>
        </w:rPr>
        <w:t> </w:t>
      </w:r>
      <w:r>
        <w:rPr>
          <w:sz w:val="18"/>
        </w:rPr>
        <w:t>National</w:t>
      </w:r>
      <w:r>
        <w:rPr>
          <w:spacing w:val="-3"/>
          <w:sz w:val="18"/>
        </w:rPr>
        <w:t> </w:t>
      </w:r>
      <w:r>
        <w:rPr>
          <w:sz w:val="18"/>
        </w:rPr>
        <w:t>Wildfire</w:t>
      </w:r>
      <w:r>
        <w:rPr>
          <w:spacing w:val="-3"/>
          <w:sz w:val="18"/>
        </w:rPr>
        <w:t> </w:t>
      </w:r>
      <w:r>
        <w:rPr>
          <w:sz w:val="18"/>
        </w:rPr>
        <w:t>Coordinating</w:t>
      </w:r>
      <w:r>
        <w:rPr>
          <w:spacing w:val="-3"/>
          <w:sz w:val="18"/>
        </w:rPr>
        <w:t> </w:t>
      </w:r>
      <w:r>
        <w:rPr>
          <w:spacing w:val="-2"/>
          <w:sz w:val="18"/>
        </w:rPr>
        <w:t>Group.</w:t>
      </w:r>
    </w:p>
    <w:p>
      <w:pPr>
        <w:spacing w:after="0"/>
        <w:jc w:val="left"/>
        <w:rPr>
          <w:sz w:val="18"/>
        </w:rPr>
        <w:sectPr>
          <w:pgSz w:w="12240" w:h="15840"/>
          <w:pgMar w:header="725" w:footer="891" w:top="960" w:bottom="1080" w:left="1080" w:right="720"/>
        </w:sectPr>
      </w:pPr>
    </w:p>
    <w:p>
      <w:pPr>
        <w:pStyle w:val="BodyText"/>
        <w:rPr>
          <w:sz w:val="18"/>
        </w:rPr>
      </w:pPr>
    </w:p>
    <w:p>
      <w:pPr>
        <w:pStyle w:val="BodyText"/>
        <w:spacing w:before="34"/>
        <w:rPr>
          <w:sz w:val="18"/>
        </w:rPr>
      </w:pPr>
    </w:p>
    <w:p>
      <w:pPr>
        <w:spacing w:before="1" w:after="41"/>
        <w:ind w:left="1151" w:right="0" w:firstLine="0"/>
        <w:jc w:val="left"/>
        <w:rPr>
          <w:rFonts w:ascii="Arial"/>
          <w:b/>
          <w:sz w:val="18"/>
        </w:rPr>
      </w:pPr>
      <w:bookmarkStart w:name="_bookmark78" w:id="155"/>
      <w:bookmarkEnd w:id="155"/>
      <w:r>
        <w:rPr/>
      </w:r>
      <w:r>
        <w:rPr>
          <w:rFonts w:ascii="Arial"/>
          <w:b/>
          <w:sz w:val="18"/>
        </w:rPr>
        <w:t>Table</w:t>
      </w:r>
      <w:r>
        <w:rPr>
          <w:rFonts w:ascii="Arial"/>
          <w:b/>
          <w:spacing w:val="-5"/>
          <w:sz w:val="18"/>
        </w:rPr>
        <w:t> </w:t>
      </w:r>
      <w:r>
        <w:rPr>
          <w:rFonts w:ascii="Arial"/>
          <w:b/>
          <w:sz w:val="18"/>
        </w:rPr>
        <w:t>5.</w:t>
      </w:r>
      <w:r>
        <w:rPr>
          <w:rFonts w:ascii="Arial"/>
          <w:b/>
          <w:spacing w:val="-2"/>
          <w:sz w:val="18"/>
        </w:rPr>
        <w:t> </w:t>
      </w:r>
      <w:r>
        <w:rPr>
          <w:rFonts w:ascii="Arial"/>
          <w:b/>
          <w:sz w:val="18"/>
        </w:rPr>
        <w:t>Desired</w:t>
      </w:r>
      <w:r>
        <w:rPr>
          <w:rFonts w:ascii="Arial"/>
          <w:b/>
          <w:spacing w:val="-2"/>
          <w:sz w:val="18"/>
        </w:rPr>
        <w:t> </w:t>
      </w:r>
      <w:r>
        <w:rPr>
          <w:rFonts w:ascii="Arial"/>
          <w:b/>
          <w:sz w:val="18"/>
        </w:rPr>
        <w:t>condition</w:t>
      </w:r>
      <w:r>
        <w:rPr>
          <w:rFonts w:ascii="Arial"/>
          <w:b/>
          <w:spacing w:val="-5"/>
          <w:sz w:val="18"/>
        </w:rPr>
        <w:t> </w:t>
      </w:r>
      <w:r>
        <w:rPr>
          <w:rFonts w:ascii="Arial"/>
          <w:b/>
          <w:sz w:val="18"/>
        </w:rPr>
        <w:t>for</w:t>
      </w:r>
      <w:r>
        <w:rPr>
          <w:rFonts w:ascii="Arial"/>
          <w:b/>
          <w:spacing w:val="-3"/>
          <w:sz w:val="18"/>
        </w:rPr>
        <w:t> </w:t>
      </w:r>
      <w:r>
        <w:rPr>
          <w:rFonts w:ascii="Arial"/>
          <w:b/>
          <w:sz w:val="18"/>
        </w:rPr>
        <w:t>forest</w:t>
      </w:r>
      <w:r>
        <w:rPr>
          <w:rFonts w:ascii="Arial"/>
          <w:b/>
          <w:spacing w:val="-2"/>
          <w:sz w:val="18"/>
        </w:rPr>
        <w:t> </w:t>
      </w:r>
      <w:r>
        <w:rPr>
          <w:rFonts w:ascii="Arial"/>
          <w:b/>
          <w:sz w:val="18"/>
        </w:rPr>
        <w:t>structure</w:t>
      </w:r>
      <w:r>
        <w:rPr>
          <w:rFonts w:ascii="Arial"/>
          <w:b/>
          <w:spacing w:val="-3"/>
          <w:sz w:val="18"/>
        </w:rPr>
        <w:t> </w:t>
      </w:r>
      <w:r>
        <w:rPr>
          <w:rFonts w:ascii="Arial"/>
          <w:b/>
          <w:spacing w:val="-2"/>
          <w:sz w:val="18"/>
        </w:rPr>
        <w:t>(HRV)*</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110"/>
        <w:gridCol w:w="763"/>
        <w:gridCol w:w="1049"/>
        <w:gridCol w:w="1227"/>
        <w:gridCol w:w="1133"/>
        <w:gridCol w:w="1267"/>
      </w:tblGrid>
      <w:tr>
        <w:trPr>
          <w:trHeight w:val="536" w:hRule="atLeast"/>
        </w:trPr>
        <w:tc>
          <w:tcPr>
            <w:tcW w:w="3110" w:type="dxa"/>
            <w:shd w:val="clear" w:color="auto" w:fill="D5E2BB"/>
          </w:tcPr>
          <w:p>
            <w:pPr>
              <w:pStyle w:val="TableParagraph"/>
              <w:spacing w:before="0"/>
              <w:rPr>
                <w:rFonts w:ascii="Times New Roman"/>
                <w:sz w:val="16"/>
              </w:rPr>
            </w:pPr>
          </w:p>
        </w:tc>
        <w:tc>
          <w:tcPr>
            <w:tcW w:w="763" w:type="dxa"/>
            <w:shd w:val="clear" w:color="auto" w:fill="D5E2BB"/>
          </w:tcPr>
          <w:p>
            <w:pPr>
              <w:pStyle w:val="TableParagraph"/>
              <w:spacing w:line="207" w:lineRule="exact"/>
              <w:ind w:left="21"/>
              <w:jc w:val="center"/>
              <w:rPr>
                <w:b/>
                <w:sz w:val="18"/>
              </w:rPr>
            </w:pPr>
            <w:r>
              <w:rPr>
                <w:b/>
                <w:spacing w:val="-2"/>
                <w:sz w:val="18"/>
              </w:rPr>
              <w:t>Early</w:t>
            </w:r>
          </w:p>
          <w:p>
            <w:pPr>
              <w:pStyle w:val="TableParagraph"/>
              <w:spacing w:line="207" w:lineRule="exact" w:before="0"/>
              <w:ind w:left="21" w:right="4"/>
              <w:jc w:val="center"/>
              <w:rPr>
                <w:b/>
                <w:sz w:val="18"/>
              </w:rPr>
            </w:pPr>
            <w:r>
              <w:rPr>
                <w:b/>
                <w:spacing w:val="-10"/>
                <w:sz w:val="18"/>
              </w:rPr>
              <w:t>%</w:t>
            </w:r>
          </w:p>
        </w:tc>
        <w:tc>
          <w:tcPr>
            <w:tcW w:w="1049" w:type="dxa"/>
            <w:shd w:val="clear" w:color="auto" w:fill="D5E2BB"/>
          </w:tcPr>
          <w:p>
            <w:pPr>
              <w:pStyle w:val="TableParagraph"/>
              <w:spacing w:line="207" w:lineRule="exact"/>
              <w:ind w:left="19" w:right="2"/>
              <w:jc w:val="center"/>
              <w:rPr>
                <w:b/>
                <w:sz w:val="18"/>
              </w:rPr>
            </w:pPr>
            <w:r>
              <w:rPr>
                <w:b/>
                <w:sz w:val="18"/>
              </w:rPr>
              <w:t>Mid</w:t>
            </w:r>
            <w:r>
              <w:rPr>
                <w:b/>
                <w:spacing w:val="-3"/>
                <w:sz w:val="18"/>
              </w:rPr>
              <w:t> </w:t>
            </w:r>
            <w:r>
              <w:rPr>
                <w:b/>
                <w:spacing w:val="-4"/>
                <w:sz w:val="18"/>
              </w:rPr>
              <w:t>open</w:t>
            </w:r>
          </w:p>
          <w:p>
            <w:pPr>
              <w:pStyle w:val="TableParagraph"/>
              <w:spacing w:line="207" w:lineRule="exact" w:before="0"/>
              <w:ind w:left="19"/>
              <w:jc w:val="center"/>
              <w:rPr>
                <w:b/>
                <w:sz w:val="18"/>
              </w:rPr>
            </w:pPr>
            <w:r>
              <w:rPr>
                <w:b/>
                <w:spacing w:val="-10"/>
                <w:sz w:val="18"/>
              </w:rPr>
              <w:t>%</w:t>
            </w:r>
          </w:p>
        </w:tc>
        <w:tc>
          <w:tcPr>
            <w:tcW w:w="1227" w:type="dxa"/>
            <w:shd w:val="clear" w:color="auto" w:fill="D5E2BB"/>
          </w:tcPr>
          <w:p>
            <w:pPr>
              <w:pStyle w:val="TableParagraph"/>
              <w:spacing w:line="207" w:lineRule="exact"/>
              <w:ind w:left="19"/>
              <w:jc w:val="center"/>
              <w:rPr>
                <w:b/>
                <w:sz w:val="18"/>
              </w:rPr>
            </w:pPr>
            <w:r>
              <w:rPr>
                <w:b/>
                <w:sz w:val="18"/>
              </w:rPr>
              <w:t>Mid</w:t>
            </w:r>
            <w:r>
              <w:rPr>
                <w:b/>
                <w:spacing w:val="-3"/>
                <w:sz w:val="18"/>
              </w:rPr>
              <w:t> </w:t>
            </w:r>
            <w:r>
              <w:rPr>
                <w:b/>
                <w:spacing w:val="-2"/>
                <w:sz w:val="18"/>
              </w:rPr>
              <w:t>closed</w:t>
            </w:r>
          </w:p>
          <w:p>
            <w:pPr>
              <w:pStyle w:val="TableParagraph"/>
              <w:spacing w:line="207" w:lineRule="exact" w:before="0"/>
              <w:ind w:left="19" w:right="1"/>
              <w:jc w:val="center"/>
              <w:rPr>
                <w:b/>
                <w:sz w:val="18"/>
              </w:rPr>
            </w:pPr>
            <w:r>
              <w:rPr>
                <w:b/>
                <w:spacing w:val="-10"/>
                <w:sz w:val="18"/>
              </w:rPr>
              <w:t>%</w:t>
            </w:r>
          </w:p>
        </w:tc>
        <w:tc>
          <w:tcPr>
            <w:tcW w:w="1133" w:type="dxa"/>
            <w:shd w:val="clear" w:color="auto" w:fill="D5E2BB"/>
          </w:tcPr>
          <w:p>
            <w:pPr>
              <w:pStyle w:val="TableParagraph"/>
              <w:spacing w:line="207" w:lineRule="exact"/>
              <w:ind w:left="21" w:right="6"/>
              <w:jc w:val="center"/>
              <w:rPr>
                <w:b/>
                <w:sz w:val="18"/>
              </w:rPr>
            </w:pPr>
            <w:r>
              <w:rPr>
                <w:b/>
                <w:sz w:val="18"/>
              </w:rPr>
              <w:t>Late</w:t>
            </w:r>
            <w:r>
              <w:rPr>
                <w:b/>
                <w:spacing w:val="1"/>
                <w:sz w:val="18"/>
              </w:rPr>
              <w:t> </w:t>
            </w:r>
            <w:r>
              <w:rPr>
                <w:b/>
                <w:spacing w:val="-4"/>
                <w:sz w:val="18"/>
              </w:rPr>
              <w:t>open</w:t>
            </w:r>
          </w:p>
          <w:p>
            <w:pPr>
              <w:pStyle w:val="TableParagraph"/>
              <w:spacing w:line="207" w:lineRule="exact" w:before="0"/>
              <w:ind w:left="21" w:right="6"/>
              <w:jc w:val="center"/>
              <w:rPr>
                <w:b/>
                <w:sz w:val="18"/>
              </w:rPr>
            </w:pPr>
            <w:r>
              <w:rPr>
                <w:b/>
                <w:spacing w:val="-10"/>
                <w:sz w:val="18"/>
              </w:rPr>
              <w:t>%</w:t>
            </w:r>
          </w:p>
        </w:tc>
        <w:tc>
          <w:tcPr>
            <w:tcW w:w="1267" w:type="dxa"/>
            <w:shd w:val="clear" w:color="auto" w:fill="D5E2BB"/>
          </w:tcPr>
          <w:p>
            <w:pPr>
              <w:pStyle w:val="TableParagraph"/>
              <w:spacing w:line="207" w:lineRule="exact"/>
              <w:ind w:left="21" w:right="2"/>
              <w:jc w:val="center"/>
              <w:rPr>
                <w:b/>
                <w:sz w:val="18"/>
              </w:rPr>
            </w:pPr>
            <w:r>
              <w:rPr>
                <w:b/>
                <w:sz w:val="18"/>
              </w:rPr>
              <w:t>Late</w:t>
            </w:r>
            <w:r>
              <w:rPr>
                <w:b/>
                <w:spacing w:val="1"/>
                <w:sz w:val="18"/>
              </w:rPr>
              <w:t> </w:t>
            </w:r>
            <w:r>
              <w:rPr>
                <w:b/>
                <w:spacing w:val="-2"/>
                <w:sz w:val="18"/>
              </w:rPr>
              <w:t>closed</w:t>
            </w:r>
          </w:p>
          <w:p>
            <w:pPr>
              <w:pStyle w:val="TableParagraph"/>
              <w:spacing w:line="207" w:lineRule="exact" w:before="0"/>
              <w:ind w:left="21" w:right="6"/>
              <w:jc w:val="center"/>
              <w:rPr>
                <w:b/>
                <w:sz w:val="18"/>
              </w:rPr>
            </w:pPr>
            <w:r>
              <w:rPr>
                <w:b/>
                <w:spacing w:val="-10"/>
                <w:sz w:val="18"/>
              </w:rPr>
              <w:t>%</w:t>
            </w:r>
          </w:p>
        </w:tc>
      </w:tr>
      <w:tr>
        <w:trPr>
          <w:trHeight w:val="349" w:hRule="atLeast"/>
        </w:trPr>
        <w:tc>
          <w:tcPr>
            <w:tcW w:w="3110" w:type="dxa"/>
          </w:tcPr>
          <w:p>
            <w:pPr>
              <w:pStyle w:val="TableParagraph"/>
              <w:ind w:left="107"/>
              <w:rPr>
                <w:b/>
                <w:sz w:val="18"/>
              </w:rPr>
            </w:pPr>
            <w:r>
              <w:rPr>
                <w:b/>
                <w:sz w:val="18"/>
              </w:rPr>
              <w:t>Douglas-fir</w:t>
            </w:r>
            <w:r>
              <w:rPr>
                <w:b/>
                <w:spacing w:val="-3"/>
                <w:sz w:val="18"/>
              </w:rPr>
              <w:t> </w:t>
            </w:r>
            <w:r>
              <w:rPr>
                <w:b/>
                <w:spacing w:val="-5"/>
                <w:sz w:val="18"/>
              </w:rPr>
              <w:t>dry</w:t>
            </w:r>
          </w:p>
        </w:tc>
        <w:tc>
          <w:tcPr>
            <w:tcW w:w="763" w:type="dxa"/>
          </w:tcPr>
          <w:p>
            <w:pPr>
              <w:pStyle w:val="TableParagraph"/>
              <w:ind w:left="21" w:right="4"/>
              <w:jc w:val="center"/>
              <w:rPr>
                <w:sz w:val="18"/>
              </w:rPr>
            </w:pPr>
            <w:r>
              <w:rPr>
                <w:spacing w:val="-4"/>
                <w:sz w:val="18"/>
              </w:rPr>
              <w:t>6</w:t>
            </w:r>
            <w:r>
              <w:rPr>
                <w:rFonts w:ascii="Symbol" w:hAnsi="Symbol"/>
                <w:spacing w:val="-4"/>
                <w:sz w:val="18"/>
              </w:rPr>
              <w:t></w:t>
            </w:r>
            <w:r>
              <w:rPr>
                <w:spacing w:val="-4"/>
                <w:sz w:val="18"/>
              </w:rPr>
              <w:t>16</w:t>
            </w:r>
          </w:p>
        </w:tc>
        <w:tc>
          <w:tcPr>
            <w:tcW w:w="1049" w:type="dxa"/>
          </w:tcPr>
          <w:p>
            <w:pPr>
              <w:pStyle w:val="TableParagraph"/>
              <w:ind w:left="19"/>
              <w:jc w:val="center"/>
              <w:rPr>
                <w:sz w:val="18"/>
              </w:rPr>
            </w:pPr>
            <w:r>
              <w:rPr>
                <w:spacing w:val="-5"/>
                <w:sz w:val="18"/>
              </w:rPr>
              <w:t>2</w:t>
            </w:r>
            <w:r>
              <w:rPr>
                <w:rFonts w:ascii="Symbol" w:hAnsi="Symbol"/>
                <w:spacing w:val="-5"/>
                <w:sz w:val="18"/>
              </w:rPr>
              <w:t></w:t>
            </w:r>
            <w:r>
              <w:rPr>
                <w:spacing w:val="-5"/>
                <w:sz w:val="18"/>
              </w:rPr>
              <w:t>8</w:t>
            </w:r>
          </w:p>
        </w:tc>
        <w:tc>
          <w:tcPr>
            <w:tcW w:w="1227" w:type="dxa"/>
          </w:tcPr>
          <w:p>
            <w:pPr>
              <w:pStyle w:val="TableParagraph"/>
              <w:ind w:left="19"/>
              <w:jc w:val="center"/>
              <w:rPr>
                <w:sz w:val="18"/>
              </w:rPr>
            </w:pPr>
            <w:r>
              <w:rPr>
                <w:spacing w:val="-4"/>
                <w:sz w:val="18"/>
              </w:rPr>
              <w:t>4</w:t>
            </w:r>
            <w:r>
              <w:rPr>
                <w:rFonts w:ascii="Symbol" w:hAnsi="Symbol"/>
                <w:spacing w:val="-4"/>
                <w:sz w:val="18"/>
              </w:rPr>
              <w:t></w:t>
            </w:r>
            <w:r>
              <w:rPr>
                <w:spacing w:val="-4"/>
                <w:sz w:val="18"/>
              </w:rPr>
              <w:t>13</w:t>
            </w:r>
          </w:p>
        </w:tc>
        <w:tc>
          <w:tcPr>
            <w:tcW w:w="1133" w:type="dxa"/>
          </w:tcPr>
          <w:p>
            <w:pPr>
              <w:pStyle w:val="TableParagraph"/>
              <w:ind w:left="21"/>
              <w:jc w:val="center"/>
              <w:rPr>
                <w:sz w:val="18"/>
              </w:rPr>
            </w:pPr>
            <w:r>
              <w:rPr>
                <w:spacing w:val="-2"/>
                <w:sz w:val="18"/>
              </w:rPr>
              <w:t>38</w:t>
            </w:r>
            <w:r>
              <w:rPr>
                <w:rFonts w:ascii="Symbol" w:hAnsi="Symbol"/>
                <w:spacing w:val="-2"/>
                <w:sz w:val="18"/>
              </w:rPr>
              <w:t></w:t>
            </w:r>
            <w:r>
              <w:rPr>
                <w:spacing w:val="-2"/>
                <w:sz w:val="18"/>
              </w:rPr>
              <w:t>78</w:t>
            </w:r>
          </w:p>
        </w:tc>
        <w:tc>
          <w:tcPr>
            <w:tcW w:w="1267" w:type="dxa"/>
          </w:tcPr>
          <w:p>
            <w:pPr>
              <w:pStyle w:val="TableParagraph"/>
              <w:ind w:left="21"/>
              <w:jc w:val="center"/>
              <w:rPr>
                <w:sz w:val="18"/>
              </w:rPr>
            </w:pPr>
            <w:r>
              <w:rPr>
                <w:spacing w:val="-4"/>
                <w:sz w:val="18"/>
              </w:rPr>
              <w:t>1</w:t>
            </w:r>
            <w:r>
              <w:rPr>
                <w:rFonts w:ascii="Symbol" w:hAnsi="Symbol"/>
                <w:spacing w:val="-4"/>
                <w:sz w:val="18"/>
              </w:rPr>
              <w:t></w:t>
            </w:r>
            <w:r>
              <w:rPr>
                <w:spacing w:val="-4"/>
                <w:sz w:val="18"/>
              </w:rPr>
              <w:t>32</w:t>
            </w:r>
          </w:p>
        </w:tc>
      </w:tr>
      <w:tr>
        <w:trPr>
          <w:trHeight w:val="536" w:hRule="atLeast"/>
        </w:trPr>
        <w:tc>
          <w:tcPr>
            <w:tcW w:w="3110" w:type="dxa"/>
          </w:tcPr>
          <w:p>
            <w:pPr>
              <w:pStyle w:val="TableParagraph"/>
              <w:ind w:left="107"/>
              <w:rPr>
                <w:b/>
                <w:sz w:val="18"/>
              </w:rPr>
            </w:pPr>
            <w:r>
              <w:rPr>
                <w:b/>
                <w:sz w:val="18"/>
              </w:rPr>
              <w:t>Northern</w:t>
            </w:r>
            <w:r>
              <w:rPr>
                <w:b/>
                <w:spacing w:val="-13"/>
                <w:sz w:val="18"/>
              </w:rPr>
              <w:t> </w:t>
            </w:r>
            <w:r>
              <w:rPr>
                <w:b/>
                <w:sz w:val="18"/>
              </w:rPr>
              <w:t>Rocky</w:t>
            </w:r>
            <w:r>
              <w:rPr>
                <w:b/>
                <w:spacing w:val="-12"/>
                <w:sz w:val="18"/>
              </w:rPr>
              <w:t> </w:t>
            </w:r>
            <w:r>
              <w:rPr>
                <w:b/>
                <w:sz w:val="18"/>
              </w:rPr>
              <w:t>Mountain</w:t>
            </w:r>
            <w:r>
              <w:rPr>
                <w:b/>
                <w:spacing w:val="-11"/>
                <w:sz w:val="18"/>
              </w:rPr>
              <w:t> </w:t>
            </w:r>
            <w:r>
              <w:rPr>
                <w:b/>
                <w:sz w:val="18"/>
              </w:rPr>
              <w:t>mixed </w:t>
            </w:r>
            <w:r>
              <w:rPr>
                <w:b/>
                <w:spacing w:val="-2"/>
                <w:sz w:val="18"/>
              </w:rPr>
              <w:t>conifer</w:t>
            </w:r>
          </w:p>
        </w:tc>
        <w:tc>
          <w:tcPr>
            <w:tcW w:w="763" w:type="dxa"/>
          </w:tcPr>
          <w:p>
            <w:pPr>
              <w:pStyle w:val="TableParagraph"/>
              <w:ind w:left="21" w:right="4"/>
              <w:jc w:val="center"/>
              <w:rPr>
                <w:sz w:val="18"/>
              </w:rPr>
            </w:pPr>
            <w:r>
              <w:rPr>
                <w:spacing w:val="-4"/>
                <w:sz w:val="18"/>
              </w:rPr>
              <w:t>9</w:t>
            </w:r>
            <w:r>
              <w:rPr>
                <w:rFonts w:ascii="Symbol" w:hAnsi="Symbol"/>
                <w:spacing w:val="-4"/>
                <w:sz w:val="18"/>
              </w:rPr>
              <w:t></w:t>
            </w:r>
            <w:r>
              <w:rPr>
                <w:spacing w:val="-4"/>
                <w:sz w:val="18"/>
              </w:rPr>
              <w:t>25</w:t>
            </w:r>
          </w:p>
        </w:tc>
        <w:tc>
          <w:tcPr>
            <w:tcW w:w="1049" w:type="dxa"/>
          </w:tcPr>
          <w:p>
            <w:pPr>
              <w:pStyle w:val="TableParagraph"/>
              <w:ind w:left="19"/>
              <w:jc w:val="center"/>
              <w:rPr>
                <w:sz w:val="18"/>
              </w:rPr>
            </w:pPr>
            <w:r>
              <w:rPr>
                <w:spacing w:val="-5"/>
                <w:sz w:val="18"/>
              </w:rPr>
              <w:t>1</w:t>
            </w:r>
            <w:r>
              <w:rPr>
                <w:rFonts w:ascii="Symbol" w:hAnsi="Symbol"/>
                <w:spacing w:val="-5"/>
                <w:sz w:val="18"/>
              </w:rPr>
              <w:t></w:t>
            </w:r>
            <w:r>
              <w:rPr>
                <w:spacing w:val="-5"/>
                <w:sz w:val="18"/>
              </w:rPr>
              <w:t>3</w:t>
            </w:r>
          </w:p>
        </w:tc>
        <w:tc>
          <w:tcPr>
            <w:tcW w:w="1227" w:type="dxa"/>
          </w:tcPr>
          <w:p>
            <w:pPr>
              <w:pStyle w:val="TableParagraph"/>
              <w:ind w:left="19"/>
              <w:jc w:val="center"/>
              <w:rPr>
                <w:sz w:val="18"/>
              </w:rPr>
            </w:pPr>
            <w:r>
              <w:rPr>
                <w:spacing w:val="-2"/>
                <w:sz w:val="18"/>
              </w:rPr>
              <w:t>18</w:t>
            </w:r>
            <w:r>
              <w:rPr>
                <w:rFonts w:ascii="Symbol" w:hAnsi="Symbol"/>
                <w:spacing w:val="-2"/>
                <w:sz w:val="18"/>
              </w:rPr>
              <w:t></w:t>
            </w:r>
            <w:r>
              <w:rPr>
                <w:spacing w:val="-2"/>
                <w:sz w:val="18"/>
              </w:rPr>
              <w:t>30</w:t>
            </w:r>
          </w:p>
        </w:tc>
        <w:tc>
          <w:tcPr>
            <w:tcW w:w="1133" w:type="dxa"/>
          </w:tcPr>
          <w:p>
            <w:pPr>
              <w:pStyle w:val="TableParagraph"/>
              <w:ind w:left="21" w:right="5"/>
              <w:jc w:val="center"/>
              <w:rPr>
                <w:sz w:val="18"/>
              </w:rPr>
            </w:pPr>
            <w:r>
              <w:rPr>
                <w:spacing w:val="-5"/>
                <w:sz w:val="18"/>
              </w:rPr>
              <w:t>4</w:t>
            </w:r>
            <w:r>
              <w:rPr>
                <w:rFonts w:ascii="Symbol" w:hAnsi="Symbol"/>
                <w:spacing w:val="-5"/>
                <w:sz w:val="18"/>
              </w:rPr>
              <w:t></w:t>
            </w:r>
            <w:r>
              <w:rPr>
                <w:spacing w:val="-5"/>
                <w:sz w:val="18"/>
              </w:rPr>
              <w:t>6</w:t>
            </w:r>
          </w:p>
        </w:tc>
        <w:tc>
          <w:tcPr>
            <w:tcW w:w="1267" w:type="dxa"/>
          </w:tcPr>
          <w:p>
            <w:pPr>
              <w:pStyle w:val="TableParagraph"/>
              <w:ind w:left="21"/>
              <w:jc w:val="center"/>
              <w:rPr>
                <w:sz w:val="18"/>
              </w:rPr>
            </w:pPr>
            <w:r>
              <w:rPr>
                <w:spacing w:val="-2"/>
                <w:sz w:val="18"/>
              </w:rPr>
              <w:t>44</w:t>
            </w:r>
            <w:r>
              <w:rPr>
                <w:rFonts w:ascii="Symbol" w:hAnsi="Symbol"/>
                <w:spacing w:val="-2"/>
                <w:sz w:val="18"/>
              </w:rPr>
              <w:t></w:t>
            </w:r>
            <w:r>
              <w:rPr>
                <w:spacing w:val="-2"/>
                <w:sz w:val="18"/>
              </w:rPr>
              <w:t>60</w:t>
            </w:r>
          </w:p>
        </w:tc>
      </w:tr>
      <w:tr>
        <w:trPr>
          <w:trHeight w:val="536" w:hRule="atLeast"/>
        </w:trPr>
        <w:tc>
          <w:tcPr>
            <w:tcW w:w="3110" w:type="dxa"/>
          </w:tcPr>
          <w:p>
            <w:pPr>
              <w:pStyle w:val="TableParagraph"/>
              <w:ind w:left="107"/>
              <w:rPr>
                <w:b/>
                <w:sz w:val="18"/>
              </w:rPr>
            </w:pPr>
            <w:r>
              <w:rPr>
                <w:b/>
                <w:sz w:val="18"/>
              </w:rPr>
              <w:t>Western</w:t>
            </w:r>
            <w:r>
              <w:rPr>
                <w:b/>
                <w:spacing w:val="-8"/>
                <w:sz w:val="18"/>
              </w:rPr>
              <w:t> </w:t>
            </w:r>
            <w:r>
              <w:rPr>
                <w:b/>
                <w:sz w:val="18"/>
              </w:rPr>
              <w:t>hemlock</w:t>
            </w:r>
            <w:r>
              <w:rPr>
                <w:b/>
                <w:spacing w:val="-8"/>
                <w:sz w:val="18"/>
              </w:rPr>
              <w:t> </w:t>
            </w:r>
            <w:r>
              <w:rPr>
                <w:b/>
                <w:sz w:val="18"/>
              </w:rPr>
              <w:t>/</w:t>
            </w:r>
            <w:r>
              <w:rPr>
                <w:b/>
                <w:spacing w:val="-10"/>
                <w:sz w:val="18"/>
              </w:rPr>
              <w:t> </w:t>
            </w:r>
            <w:r>
              <w:rPr>
                <w:b/>
                <w:sz w:val="18"/>
              </w:rPr>
              <w:t>Western</w:t>
            </w:r>
            <w:r>
              <w:rPr>
                <w:b/>
                <w:spacing w:val="-12"/>
                <w:sz w:val="18"/>
              </w:rPr>
              <w:t> </w:t>
            </w:r>
            <w:r>
              <w:rPr>
                <w:b/>
                <w:sz w:val="18"/>
              </w:rPr>
              <w:t>red </w:t>
            </w:r>
            <w:r>
              <w:rPr>
                <w:b/>
                <w:spacing w:val="-2"/>
                <w:sz w:val="18"/>
              </w:rPr>
              <w:t>cedar</w:t>
            </w:r>
          </w:p>
        </w:tc>
        <w:tc>
          <w:tcPr>
            <w:tcW w:w="763" w:type="dxa"/>
          </w:tcPr>
          <w:p>
            <w:pPr>
              <w:pStyle w:val="TableParagraph"/>
              <w:ind w:left="21" w:right="4"/>
              <w:jc w:val="center"/>
              <w:rPr>
                <w:sz w:val="18"/>
              </w:rPr>
            </w:pPr>
            <w:r>
              <w:rPr>
                <w:spacing w:val="-4"/>
                <w:sz w:val="18"/>
              </w:rPr>
              <w:t>4</w:t>
            </w:r>
            <w:r>
              <w:rPr>
                <w:rFonts w:ascii="Symbol" w:hAnsi="Symbol"/>
                <w:spacing w:val="-4"/>
                <w:sz w:val="18"/>
              </w:rPr>
              <w:t></w:t>
            </w:r>
            <w:r>
              <w:rPr>
                <w:spacing w:val="-4"/>
                <w:sz w:val="18"/>
              </w:rPr>
              <w:t>24</w:t>
            </w:r>
          </w:p>
        </w:tc>
        <w:tc>
          <w:tcPr>
            <w:tcW w:w="1049" w:type="dxa"/>
          </w:tcPr>
          <w:p>
            <w:pPr>
              <w:pStyle w:val="TableParagraph"/>
              <w:ind w:left="19" w:right="2"/>
              <w:jc w:val="center"/>
              <w:rPr>
                <w:sz w:val="18"/>
              </w:rPr>
            </w:pPr>
            <w:r>
              <w:rPr>
                <w:spacing w:val="-10"/>
                <w:sz w:val="18"/>
              </w:rPr>
              <w:t>0</w:t>
            </w:r>
          </w:p>
        </w:tc>
        <w:tc>
          <w:tcPr>
            <w:tcW w:w="1227" w:type="dxa"/>
          </w:tcPr>
          <w:p>
            <w:pPr>
              <w:pStyle w:val="TableParagraph"/>
              <w:ind w:left="19"/>
              <w:jc w:val="center"/>
              <w:rPr>
                <w:sz w:val="18"/>
              </w:rPr>
            </w:pPr>
            <w:r>
              <w:rPr>
                <w:spacing w:val="-4"/>
                <w:sz w:val="18"/>
              </w:rPr>
              <w:t>7</w:t>
            </w:r>
            <w:r>
              <w:rPr>
                <w:rFonts w:ascii="Symbol" w:hAnsi="Symbol"/>
                <w:spacing w:val="-4"/>
                <w:sz w:val="18"/>
              </w:rPr>
              <w:t></w:t>
            </w:r>
            <w:r>
              <w:rPr>
                <w:spacing w:val="-4"/>
                <w:sz w:val="18"/>
              </w:rPr>
              <w:t>27</w:t>
            </w:r>
          </w:p>
        </w:tc>
        <w:tc>
          <w:tcPr>
            <w:tcW w:w="1133" w:type="dxa"/>
          </w:tcPr>
          <w:p>
            <w:pPr>
              <w:pStyle w:val="TableParagraph"/>
              <w:ind w:left="21" w:right="3"/>
              <w:jc w:val="center"/>
              <w:rPr>
                <w:sz w:val="18"/>
              </w:rPr>
            </w:pPr>
            <w:r>
              <w:rPr>
                <w:spacing w:val="-10"/>
                <w:sz w:val="18"/>
              </w:rPr>
              <w:t>0</w:t>
            </w:r>
          </w:p>
        </w:tc>
        <w:tc>
          <w:tcPr>
            <w:tcW w:w="1267" w:type="dxa"/>
          </w:tcPr>
          <w:p>
            <w:pPr>
              <w:pStyle w:val="TableParagraph"/>
              <w:ind w:left="21"/>
              <w:jc w:val="center"/>
              <w:rPr>
                <w:sz w:val="18"/>
              </w:rPr>
            </w:pPr>
            <w:r>
              <w:rPr>
                <w:spacing w:val="-2"/>
                <w:sz w:val="18"/>
              </w:rPr>
              <w:t>55</w:t>
            </w:r>
            <w:r>
              <w:rPr>
                <w:rFonts w:ascii="Symbol" w:hAnsi="Symbol"/>
                <w:spacing w:val="-2"/>
                <w:sz w:val="18"/>
              </w:rPr>
              <w:t></w:t>
            </w:r>
            <w:r>
              <w:rPr>
                <w:spacing w:val="-2"/>
                <w:sz w:val="18"/>
              </w:rPr>
              <w:t>83</w:t>
            </w:r>
          </w:p>
        </w:tc>
      </w:tr>
      <w:tr>
        <w:trPr>
          <w:trHeight w:val="385" w:hRule="atLeast"/>
        </w:trPr>
        <w:tc>
          <w:tcPr>
            <w:tcW w:w="3110" w:type="dxa"/>
          </w:tcPr>
          <w:p>
            <w:pPr>
              <w:pStyle w:val="TableParagraph"/>
              <w:ind w:left="107"/>
              <w:rPr>
                <w:b/>
                <w:sz w:val="18"/>
              </w:rPr>
            </w:pPr>
            <w:r>
              <w:rPr>
                <w:b/>
                <w:sz w:val="18"/>
              </w:rPr>
              <w:t>Subalpine</w:t>
            </w:r>
            <w:r>
              <w:rPr>
                <w:b/>
                <w:spacing w:val="-3"/>
                <w:sz w:val="18"/>
              </w:rPr>
              <w:t> </w:t>
            </w:r>
            <w:r>
              <w:rPr>
                <w:b/>
                <w:sz w:val="18"/>
              </w:rPr>
              <w:t>fir</w:t>
            </w:r>
            <w:r>
              <w:rPr>
                <w:b/>
                <w:spacing w:val="-3"/>
                <w:sz w:val="18"/>
              </w:rPr>
              <w:t> </w:t>
            </w:r>
            <w:r>
              <w:rPr>
                <w:b/>
                <w:sz w:val="18"/>
              </w:rPr>
              <w:t>/</w:t>
            </w:r>
            <w:r>
              <w:rPr>
                <w:b/>
                <w:spacing w:val="-2"/>
                <w:sz w:val="18"/>
              </w:rPr>
              <w:t> </w:t>
            </w:r>
            <w:r>
              <w:rPr>
                <w:b/>
                <w:sz w:val="18"/>
              </w:rPr>
              <w:t>Lodgepole </w:t>
            </w:r>
            <w:r>
              <w:rPr>
                <w:b/>
                <w:spacing w:val="-4"/>
                <w:sz w:val="18"/>
              </w:rPr>
              <w:t>pine</w:t>
            </w:r>
          </w:p>
        </w:tc>
        <w:tc>
          <w:tcPr>
            <w:tcW w:w="763" w:type="dxa"/>
          </w:tcPr>
          <w:p>
            <w:pPr>
              <w:pStyle w:val="TableParagraph"/>
              <w:ind w:left="21" w:right="4"/>
              <w:jc w:val="center"/>
              <w:rPr>
                <w:sz w:val="18"/>
              </w:rPr>
            </w:pPr>
            <w:r>
              <w:rPr>
                <w:spacing w:val="-2"/>
                <w:sz w:val="18"/>
              </w:rPr>
              <w:t>45</w:t>
            </w:r>
            <w:r>
              <w:rPr>
                <w:rFonts w:ascii="Symbol" w:hAnsi="Symbol"/>
                <w:spacing w:val="-2"/>
                <w:sz w:val="18"/>
              </w:rPr>
              <w:t></w:t>
            </w:r>
            <w:r>
              <w:rPr>
                <w:spacing w:val="-2"/>
                <w:sz w:val="18"/>
              </w:rPr>
              <w:t>65</w:t>
            </w:r>
          </w:p>
        </w:tc>
        <w:tc>
          <w:tcPr>
            <w:tcW w:w="1049" w:type="dxa"/>
          </w:tcPr>
          <w:p>
            <w:pPr>
              <w:pStyle w:val="TableParagraph"/>
              <w:ind w:left="19" w:right="2"/>
              <w:jc w:val="center"/>
              <w:rPr>
                <w:sz w:val="18"/>
              </w:rPr>
            </w:pPr>
            <w:r>
              <w:rPr>
                <w:spacing w:val="-10"/>
                <w:sz w:val="18"/>
              </w:rPr>
              <w:t>0</w:t>
            </w:r>
          </w:p>
        </w:tc>
        <w:tc>
          <w:tcPr>
            <w:tcW w:w="1227" w:type="dxa"/>
          </w:tcPr>
          <w:p>
            <w:pPr>
              <w:pStyle w:val="TableParagraph"/>
              <w:ind w:left="19"/>
              <w:jc w:val="center"/>
              <w:rPr>
                <w:sz w:val="18"/>
              </w:rPr>
            </w:pPr>
            <w:r>
              <w:rPr>
                <w:spacing w:val="-2"/>
                <w:sz w:val="18"/>
              </w:rPr>
              <w:t>33</w:t>
            </w:r>
            <w:r>
              <w:rPr>
                <w:rFonts w:ascii="Symbol" w:hAnsi="Symbol"/>
                <w:spacing w:val="-2"/>
                <w:sz w:val="18"/>
              </w:rPr>
              <w:t></w:t>
            </w:r>
            <w:r>
              <w:rPr>
                <w:spacing w:val="-2"/>
                <w:sz w:val="18"/>
              </w:rPr>
              <w:t>53</w:t>
            </w:r>
          </w:p>
        </w:tc>
        <w:tc>
          <w:tcPr>
            <w:tcW w:w="1133" w:type="dxa"/>
          </w:tcPr>
          <w:p>
            <w:pPr>
              <w:pStyle w:val="TableParagraph"/>
              <w:ind w:left="21" w:right="3"/>
              <w:jc w:val="center"/>
              <w:rPr>
                <w:sz w:val="18"/>
              </w:rPr>
            </w:pPr>
            <w:r>
              <w:rPr>
                <w:spacing w:val="-10"/>
                <w:sz w:val="18"/>
              </w:rPr>
              <w:t>0</w:t>
            </w:r>
          </w:p>
        </w:tc>
        <w:tc>
          <w:tcPr>
            <w:tcW w:w="1267" w:type="dxa"/>
          </w:tcPr>
          <w:p>
            <w:pPr>
              <w:pStyle w:val="TableParagraph"/>
              <w:ind w:left="21" w:right="3"/>
              <w:jc w:val="center"/>
              <w:rPr>
                <w:sz w:val="18"/>
              </w:rPr>
            </w:pPr>
            <w:r>
              <w:rPr>
                <w:spacing w:val="-10"/>
                <w:sz w:val="18"/>
              </w:rPr>
              <w:t>3</w:t>
            </w:r>
          </w:p>
        </w:tc>
      </w:tr>
      <w:tr>
        <w:trPr>
          <w:trHeight w:val="428" w:hRule="atLeast"/>
        </w:trPr>
        <w:tc>
          <w:tcPr>
            <w:tcW w:w="3110" w:type="dxa"/>
          </w:tcPr>
          <w:p>
            <w:pPr>
              <w:pStyle w:val="TableParagraph"/>
              <w:ind w:left="107"/>
              <w:rPr>
                <w:b/>
                <w:sz w:val="18"/>
              </w:rPr>
            </w:pPr>
            <w:r>
              <w:rPr>
                <w:b/>
                <w:sz w:val="18"/>
              </w:rPr>
              <w:t>Spruce</w:t>
            </w:r>
            <w:r>
              <w:rPr>
                <w:b/>
                <w:spacing w:val="-4"/>
                <w:sz w:val="18"/>
              </w:rPr>
              <w:t> </w:t>
            </w:r>
            <w:r>
              <w:rPr>
                <w:b/>
                <w:sz w:val="18"/>
              </w:rPr>
              <w:t>/</w:t>
            </w:r>
            <w:r>
              <w:rPr>
                <w:b/>
                <w:spacing w:val="-3"/>
                <w:sz w:val="18"/>
              </w:rPr>
              <w:t> </w:t>
            </w:r>
            <w:r>
              <w:rPr>
                <w:b/>
                <w:sz w:val="18"/>
              </w:rPr>
              <w:t>Subalpine</w:t>
            </w:r>
            <w:r>
              <w:rPr>
                <w:b/>
                <w:spacing w:val="-1"/>
                <w:sz w:val="18"/>
              </w:rPr>
              <w:t> </w:t>
            </w:r>
            <w:r>
              <w:rPr>
                <w:b/>
                <w:spacing w:val="-5"/>
                <w:sz w:val="18"/>
              </w:rPr>
              <w:t>fir</w:t>
            </w:r>
          </w:p>
        </w:tc>
        <w:tc>
          <w:tcPr>
            <w:tcW w:w="763" w:type="dxa"/>
          </w:tcPr>
          <w:p>
            <w:pPr>
              <w:pStyle w:val="TableParagraph"/>
              <w:ind w:left="21" w:right="4"/>
              <w:jc w:val="center"/>
              <w:rPr>
                <w:sz w:val="18"/>
              </w:rPr>
            </w:pPr>
            <w:r>
              <w:rPr>
                <w:spacing w:val="-2"/>
                <w:sz w:val="18"/>
              </w:rPr>
              <w:t>14</w:t>
            </w:r>
            <w:r>
              <w:rPr>
                <w:rFonts w:ascii="Symbol" w:hAnsi="Symbol"/>
                <w:spacing w:val="-2"/>
                <w:sz w:val="18"/>
              </w:rPr>
              <w:t></w:t>
            </w:r>
            <w:r>
              <w:rPr>
                <w:spacing w:val="-2"/>
                <w:sz w:val="18"/>
              </w:rPr>
              <w:t>46</w:t>
            </w:r>
          </w:p>
        </w:tc>
        <w:tc>
          <w:tcPr>
            <w:tcW w:w="1049" w:type="dxa"/>
          </w:tcPr>
          <w:p>
            <w:pPr>
              <w:pStyle w:val="TableParagraph"/>
              <w:ind w:left="19" w:right="2"/>
              <w:jc w:val="center"/>
              <w:rPr>
                <w:sz w:val="18"/>
              </w:rPr>
            </w:pPr>
            <w:r>
              <w:rPr>
                <w:spacing w:val="-10"/>
                <w:sz w:val="18"/>
              </w:rPr>
              <w:t>0</w:t>
            </w:r>
          </w:p>
        </w:tc>
        <w:tc>
          <w:tcPr>
            <w:tcW w:w="1227" w:type="dxa"/>
          </w:tcPr>
          <w:p>
            <w:pPr>
              <w:pStyle w:val="TableParagraph"/>
              <w:ind w:left="19"/>
              <w:jc w:val="center"/>
              <w:rPr>
                <w:sz w:val="18"/>
              </w:rPr>
            </w:pPr>
            <w:r>
              <w:rPr>
                <w:spacing w:val="-2"/>
                <w:sz w:val="18"/>
              </w:rPr>
              <w:t>13</w:t>
            </w:r>
            <w:r>
              <w:rPr>
                <w:rFonts w:ascii="Symbol" w:hAnsi="Symbol"/>
                <w:spacing w:val="-2"/>
                <w:sz w:val="18"/>
              </w:rPr>
              <w:t></w:t>
            </w:r>
            <w:r>
              <w:rPr>
                <w:spacing w:val="-2"/>
                <w:sz w:val="18"/>
              </w:rPr>
              <w:t>41</w:t>
            </w:r>
          </w:p>
        </w:tc>
        <w:tc>
          <w:tcPr>
            <w:tcW w:w="1133" w:type="dxa"/>
          </w:tcPr>
          <w:p>
            <w:pPr>
              <w:pStyle w:val="TableParagraph"/>
              <w:ind w:left="21" w:right="3"/>
              <w:jc w:val="center"/>
              <w:rPr>
                <w:sz w:val="18"/>
              </w:rPr>
            </w:pPr>
            <w:r>
              <w:rPr>
                <w:spacing w:val="-10"/>
                <w:sz w:val="18"/>
              </w:rPr>
              <w:t>0</w:t>
            </w:r>
          </w:p>
        </w:tc>
        <w:tc>
          <w:tcPr>
            <w:tcW w:w="1267" w:type="dxa"/>
          </w:tcPr>
          <w:p>
            <w:pPr>
              <w:pStyle w:val="TableParagraph"/>
              <w:ind w:left="21"/>
              <w:jc w:val="center"/>
              <w:rPr>
                <w:sz w:val="18"/>
              </w:rPr>
            </w:pPr>
            <w:r>
              <w:rPr>
                <w:spacing w:val="-2"/>
                <w:sz w:val="18"/>
              </w:rPr>
              <w:t>29</w:t>
            </w:r>
            <w:r>
              <w:rPr>
                <w:rFonts w:ascii="Symbol" w:hAnsi="Symbol"/>
                <w:spacing w:val="-2"/>
                <w:sz w:val="18"/>
              </w:rPr>
              <w:t></w:t>
            </w:r>
            <w:r>
              <w:rPr>
                <w:spacing w:val="-2"/>
                <w:sz w:val="18"/>
              </w:rPr>
              <w:t>57</w:t>
            </w:r>
          </w:p>
        </w:tc>
      </w:tr>
    </w:tbl>
    <w:p>
      <w:pPr>
        <w:spacing w:before="43"/>
        <w:ind w:left="1151" w:right="0" w:firstLine="0"/>
        <w:jc w:val="left"/>
        <w:rPr>
          <w:rFonts w:ascii="Arial"/>
          <w:sz w:val="16"/>
        </w:rPr>
      </w:pPr>
      <w:bookmarkStart w:name="_bookmark79" w:id="156"/>
      <w:bookmarkEnd w:id="156"/>
      <w:r>
        <w:rPr/>
      </w:r>
      <w:r>
        <w:rPr>
          <w:rFonts w:ascii="Arial"/>
          <w:sz w:val="16"/>
        </w:rPr>
        <w:t>*</w:t>
      </w:r>
      <w:r>
        <w:rPr>
          <w:rFonts w:ascii="Arial"/>
          <w:spacing w:val="-6"/>
          <w:sz w:val="16"/>
        </w:rPr>
        <w:t> </w:t>
      </w:r>
      <w:r>
        <w:rPr>
          <w:rFonts w:ascii="Arial"/>
          <w:sz w:val="16"/>
        </w:rPr>
        <w:t>ST-Sim</w:t>
      </w:r>
      <w:r>
        <w:rPr>
          <w:rFonts w:ascii="Arial"/>
          <w:spacing w:val="-3"/>
          <w:sz w:val="16"/>
        </w:rPr>
        <w:t> </w:t>
      </w:r>
      <w:r>
        <w:rPr>
          <w:rFonts w:ascii="Arial"/>
          <w:sz w:val="16"/>
        </w:rPr>
        <w:t>state</w:t>
      </w:r>
      <w:r>
        <w:rPr>
          <w:rFonts w:ascii="Arial"/>
          <w:spacing w:val="-5"/>
          <w:sz w:val="16"/>
        </w:rPr>
        <w:t> </w:t>
      </w:r>
      <w:r>
        <w:rPr>
          <w:rFonts w:ascii="Arial"/>
          <w:sz w:val="16"/>
        </w:rPr>
        <w:t>and</w:t>
      </w:r>
      <w:r>
        <w:rPr>
          <w:rFonts w:ascii="Arial"/>
          <w:spacing w:val="-4"/>
          <w:sz w:val="16"/>
        </w:rPr>
        <w:t> </w:t>
      </w:r>
      <w:r>
        <w:rPr>
          <w:rFonts w:ascii="Arial"/>
          <w:sz w:val="16"/>
        </w:rPr>
        <w:t>transition</w:t>
      </w:r>
      <w:r>
        <w:rPr>
          <w:rFonts w:ascii="Arial"/>
          <w:spacing w:val="-6"/>
          <w:sz w:val="16"/>
        </w:rPr>
        <w:t> </w:t>
      </w:r>
      <w:r>
        <w:rPr>
          <w:rFonts w:ascii="Arial"/>
          <w:sz w:val="16"/>
        </w:rPr>
        <w:t>model</w:t>
      </w:r>
      <w:r>
        <w:rPr>
          <w:rFonts w:ascii="Arial"/>
          <w:spacing w:val="-3"/>
          <w:sz w:val="16"/>
        </w:rPr>
        <w:t> </w:t>
      </w:r>
      <w:r>
        <w:rPr>
          <w:rFonts w:ascii="Arial"/>
          <w:sz w:val="16"/>
        </w:rPr>
        <w:t>software</w:t>
      </w:r>
      <w:r>
        <w:rPr>
          <w:rFonts w:ascii="Arial"/>
          <w:spacing w:val="-4"/>
          <w:sz w:val="16"/>
        </w:rPr>
        <w:t> </w:t>
      </w:r>
      <w:r>
        <w:rPr>
          <w:rFonts w:ascii="Arial"/>
          <w:sz w:val="16"/>
        </w:rPr>
        <w:t>was</w:t>
      </w:r>
      <w:r>
        <w:rPr>
          <w:rFonts w:ascii="Arial"/>
          <w:spacing w:val="-2"/>
          <w:sz w:val="16"/>
        </w:rPr>
        <w:t> </w:t>
      </w:r>
      <w:r>
        <w:rPr>
          <w:rFonts w:ascii="Arial"/>
          <w:sz w:val="16"/>
        </w:rPr>
        <w:t>used</w:t>
      </w:r>
      <w:r>
        <w:rPr>
          <w:rFonts w:ascii="Arial"/>
          <w:spacing w:val="-4"/>
          <w:sz w:val="16"/>
        </w:rPr>
        <w:t> </w:t>
      </w:r>
      <w:r>
        <w:rPr>
          <w:rFonts w:ascii="Arial"/>
          <w:sz w:val="16"/>
        </w:rPr>
        <w:t>to</w:t>
      </w:r>
      <w:r>
        <w:rPr>
          <w:rFonts w:ascii="Arial"/>
          <w:spacing w:val="-6"/>
          <w:sz w:val="16"/>
        </w:rPr>
        <w:t> </w:t>
      </w:r>
      <w:r>
        <w:rPr>
          <w:rFonts w:ascii="Arial"/>
          <w:sz w:val="16"/>
        </w:rPr>
        <w:t>provide</w:t>
      </w:r>
      <w:r>
        <w:rPr>
          <w:rFonts w:ascii="Arial"/>
          <w:spacing w:val="-4"/>
          <w:sz w:val="16"/>
        </w:rPr>
        <w:t> </w:t>
      </w:r>
      <w:r>
        <w:rPr>
          <w:rFonts w:ascii="Arial"/>
          <w:sz w:val="16"/>
        </w:rPr>
        <w:t>values</w:t>
      </w:r>
      <w:r>
        <w:rPr>
          <w:rFonts w:ascii="Arial"/>
          <w:spacing w:val="-5"/>
          <w:sz w:val="16"/>
        </w:rPr>
        <w:t> </w:t>
      </w:r>
      <w:r>
        <w:rPr>
          <w:rFonts w:ascii="Arial"/>
          <w:sz w:val="16"/>
        </w:rPr>
        <w:t>for</w:t>
      </w:r>
      <w:r>
        <w:rPr>
          <w:rFonts w:ascii="Arial"/>
          <w:spacing w:val="-4"/>
          <w:sz w:val="16"/>
        </w:rPr>
        <w:t> </w:t>
      </w:r>
      <w:r>
        <w:rPr>
          <w:rFonts w:ascii="Arial"/>
          <w:sz w:val="16"/>
        </w:rPr>
        <w:t>the</w:t>
      </w:r>
      <w:r>
        <w:rPr>
          <w:rFonts w:ascii="Arial"/>
          <w:spacing w:val="-6"/>
          <w:sz w:val="16"/>
        </w:rPr>
        <w:t> </w:t>
      </w:r>
      <w:r>
        <w:rPr>
          <w:rFonts w:ascii="Arial"/>
          <w:sz w:val="16"/>
        </w:rPr>
        <w:t>historical</w:t>
      </w:r>
      <w:r>
        <w:rPr>
          <w:rFonts w:ascii="Arial"/>
          <w:spacing w:val="-3"/>
          <w:sz w:val="16"/>
        </w:rPr>
        <w:t> </w:t>
      </w:r>
      <w:r>
        <w:rPr>
          <w:rFonts w:ascii="Arial"/>
          <w:sz w:val="16"/>
        </w:rPr>
        <w:t>range</w:t>
      </w:r>
      <w:r>
        <w:rPr>
          <w:rFonts w:ascii="Arial"/>
          <w:spacing w:val="-4"/>
          <w:sz w:val="16"/>
        </w:rPr>
        <w:t> </w:t>
      </w:r>
      <w:r>
        <w:rPr>
          <w:rFonts w:ascii="Arial"/>
          <w:sz w:val="16"/>
        </w:rPr>
        <w:t>of</w:t>
      </w:r>
      <w:r>
        <w:rPr>
          <w:rFonts w:ascii="Arial"/>
          <w:spacing w:val="-5"/>
          <w:sz w:val="16"/>
        </w:rPr>
        <w:t> </w:t>
      </w:r>
      <w:r>
        <w:rPr>
          <w:rFonts w:ascii="Arial"/>
          <w:sz w:val="16"/>
        </w:rPr>
        <w:t>variability</w:t>
      </w:r>
      <w:r>
        <w:rPr>
          <w:rFonts w:ascii="Arial"/>
          <w:spacing w:val="-3"/>
          <w:sz w:val="16"/>
        </w:rPr>
        <w:t> </w:t>
      </w:r>
      <w:r>
        <w:rPr>
          <w:rFonts w:ascii="Arial"/>
          <w:spacing w:val="-2"/>
          <w:sz w:val="16"/>
        </w:rPr>
        <w:t>(HRV)</w:t>
      </w:r>
    </w:p>
    <w:p>
      <w:pPr>
        <w:pStyle w:val="BodyText"/>
        <w:spacing w:before="177"/>
        <w:rPr>
          <w:rFonts w:ascii="Arial"/>
          <w:sz w:val="16"/>
        </w:rPr>
      </w:pPr>
    </w:p>
    <w:p>
      <w:pPr>
        <w:spacing w:before="0" w:after="41"/>
        <w:ind w:left="1151" w:right="0" w:firstLine="0"/>
        <w:jc w:val="left"/>
        <w:rPr>
          <w:rFonts w:ascii="Arial"/>
          <w:b/>
          <w:sz w:val="18"/>
        </w:rPr>
      </w:pPr>
      <w:r>
        <w:rPr>
          <w:rFonts w:ascii="Arial"/>
          <w:b/>
          <w:sz w:val="18"/>
        </w:rPr>
        <w:t>Table</w:t>
      </w:r>
      <w:r>
        <w:rPr>
          <w:rFonts w:ascii="Arial"/>
          <w:b/>
          <w:spacing w:val="-5"/>
          <w:sz w:val="18"/>
        </w:rPr>
        <w:t> </w:t>
      </w:r>
      <w:r>
        <w:rPr>
          <w:rFonts w:ascii="Arial"/>
          <w:b/>
          <w:sz w:val="18"/>
        </w:rPr>
        <w:t>6.</w:t>
      </w:r>
      <w:r>
        <w:rPr>
          <w:rFonts w:ascii="Arial"/>
          <w:b/>
          <w:spacing w:val="-1"/>
          <w:sz w:val="18"/>
        </w:rPr>
        <w:t> </w:t>
      </w:r>
      <w:r>
        <w:rPr>
          <w:rFonts w:ascii="Arial"/>
          <w:b/>
          <w:sz w:val="18"/>
        </w:rPr>
        <w:t>Expected</w:t>
      </w:r>
      <w:r>
        <w:rPr>
          <w:rFonts w:ascii="Arial"/>
          <w:b/>
          <w:spacing w:val="-3"/>
          <w:sz w:val="18"/>
        </w:rPr>
        <w:t> </w:t>
      </w:r>
      <w:r>
        <w:rPr>
          <w:rFonts w:ascii="Arial"/>
          <w:b/>
          <w:sz w:val="18"/>
        </w:rPr>
        <w:t>patch</w:t>
      </w:r>
      <w:r>
        <w:rPr>
          <w:rFonts w:ascii="Arial"/>
          <w:b/>
          <w:spacing w:val="-3"/>
          <w:sz w:val="18"/>
        </w:rPr>
        <w:t> </w:t>
      </w:r>
      <w:r>
        <w:rPr>
          <w:rFonts w:ascii="Arial"/>
          <w:b/>
          <w:sz w:val="18"/>
        </w:rPr>
        <w:t>size</w:t>
      </w:r>
      <w:r>
        <w:rPr>
          <w:rFonts w:ascii="Arial"/>
          <w:b/>
          <w:spacing w:val="-2"/>
          <w:sz w:val="18"/>
        </w:rPr>
        <w:t> </w:t>
      </w:r>
      <w:r>
        <w:rPr>
          <w:rFonts w:ascii="Arial"/>
          <w:b/>
          <w:sz w:val="18"/>
        </w:rPr>
        <w:t>by</w:t>
      </w:r>
      <w:r>
        <w:rPr>
          <w:rFonts w:ascii="Arial"/>
          <w:b/>
          <w:spacing w:val="-8"/>
          <w:sz w:val="18"/>
        </w:rPr>
        <w:t> </w:t>
      </w:r>
      <w:r>
        <w:rPr>
          <w:rFonts w:ascii="Arial"/>
          <w:b/>
          <w:sz w:val="18"/>
        </w:rPr>
        <w:t>forest</w:t>
      </w:r>
      <w:r>
        <w:rPr>
          <w:rFonts w:ascii="Arial"/>
          <w:b/>
          <w:spacing w:val="-1"/>
          <w:sz w:val="18"/>
        </w:rPr>
        <w:t> </w:t>
      </w:r>
      <w:r>
        <w:rPr>
          <w:rFonts w:ascii="Arial"/>
          <w:b/>
          <w:sz w:val="18"/>
        </w:rPr>
        <w:t>vegetation </w:t>
      </w:r>
      <w:r>
        <w:rPr>
          <w:rFonts w:ascii="Arial"/>
          <w:b/>
          <w:spacing w:val="-4"/>
          <w:sz w:val="18"/>
        </w:rPr>
        <w:t>type</w:t>
      </w:r>
    </w:p>
    <w:tbl>
      <w:tblPr>
        <w:tblW w:w="0" w:type="auto"/>
        <w:jc w:val="left"/>
        <w:tblInd w:w="1188"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620"/>
        <w:gridCol w:w="1505"/>
        <w:gridCol w:w="2429"/>
        <w:gridCol w:w="2998"/>
      </w:tblGrid>
      <w:tr>
        <w:trPr>
          <w:trHeight w:val="445" w:hRule="atLeast"/>
        </w:trPr>
        <w:tc>
          <w:tcPr>
            <w:tcW w:w="1620" w:type="dxa"/>
            <w:shd w:val="clear" w:color="auto" w:fill="D5E2BB"/>
          </w:tcPr>
          <w:p>
            <w:pPr>
              <w:pStyle w:val="TableParagraph"/>
              <w:spacing w:before="118"/>
              <w:ind w:left="141"/>
              <w:rPr>
                <w:b/>
                <w:sz w:val="18"/>
              </w:rPr>
            </w:pPr>
            <w:r>
              <w:rPr>
                <w:b/>
                <w:sz w:val="18"/>
              </w:rPr>
              <w:t>Vegetation</w:t>
            </w:r>
            <w:r>
              <w:rPr>
                <w:b/>
                <w:spacing w:val="-6"/>
                <w:sz w:val="18"/>
              </w:rPr>
              <w:t> </w:t>
            </w:r>
            <w:r>
              <w:rPr>
                <w:b/>
                <w:spacing w:val="-4"/>
                <w:sz w:val="18"/>
              </w:rPr>
              <w:t>type</w:t>
            </w:r>
          </w:p>
        </w:tc>
        <w:tc>
          <w:tcPr>
            <w:tcW w:w="1505" w:type="dxa"/>
            <w:shd w:val="clear" w:color="auto" w:fill="D5E2BB"/>
          </w:tcPr>
          <w:p>
            <w:pPr>
              <w:pStyle w:val="TableParagraph"/>
              <w:spacing w:before="118"/>
              <w:ind w:left="311"/>
              <w:rPr>
                <w:b/>
                <w:sz w:val="18"/>
              </w:rPr>
            </w:pPr>
            <w:r>
              <w:rPr>
                <w:b/>
                <w:sz w:val="18"/>
              </w:rPr>
              <w:t>Patch</w:t>
            </w:r>
            <w:r>
              <w:rPr>
                <w:b/>
                <w:spacing w:val="-2"/>
                <w:sz w:val="18"/>
              </w:rPr>
              <w:t> </w:t>
            </w:r>
            <w:r>
              <w:rPr>
                <w:b/>
                <w:spacing w:val="-4"/>
                <w:sz w:val="18"/>
              </w:rPr>
              <w:t>size</w:t>
            </w:r>
          </w:p>
        </w:tc>
        <w:tc>
          <w:tcPr>
            <w:tcW w:w="2429" w:type="dxa"/>
            <w:shd w:val="clear" w:color="auto" w:fill="D5E2BB"/>
          </w:tcPr>
          <w:p>
            <w:pPr>
              <w:pStyle w:val="TableParagraph"/>
              <w:spacing w:before="118"/>
              <w:ind w:left="652"/>
              <w:rPr>
                <w:b/>
                <w:sz w:val="18"/>
              </w:rPr>
            </w:pPr>
            <w:r>
              <w:rPr>
                <w:b/>
                <w:sz w:val="18"/>
              </w:rPr>
              <w:t>Opening</w:t>
            </w:r>
            <w:r>
              <w:rPr>
                <w:b/>
                <w:spacing w:val="-3"/>
                <w:sz w:val="18"/>
              </w:rPr>
              <w:t> </w:t>
            </w:r>
            <w:r>
              <w:rPr>
                <w:b/>
                <w:spacing w:val="-4"/>
                <w:sz w:val="18"/>
              </w:rPr>
              <w:t>size</w:t>
            </w:r>
          </w:p>
        </w:tc>
        <w:tc>
          <w:tcPr>
            <w:tcW w:w="2998" w:type="dxa"/>
            <w:shd w:val="clear" w:color="auto" w:fill="D5E2BB"/>
          </w:tcPr>
          <w:p>
            <w:pPr>
              <w:pStyle w:val="TableParagraph"/>
              <w:spacing w:before="118"/>
              <w:ind w:left="1000"/>
              <w:rPr>
                <w:b/>
                <w:sz w:val="18"/>
              </w:rPr>
            </w:pPr>
            <w:r>
              <w:rPr>
                <w:b/>
                <w:spacing w:val="-2"/>
                <w:sz w:val="18"/>
              </w:rPr>
              <w:t>Description</w:t>
            </w:r>
          </w:p>
        </w:tc>
      </w:tr>
      <w:tr>
        <w:trPr>
          <w:trHeight w:val="1688" w:hRule="atLeast"/>
        </w:trPr>
        <w:tc>
          <w:tcPr>
            <w:tcW w:w="1620" w:type="dxa"/>
          </w:tcPr>
          <w:p>
            <w:pPr>
              <w:pStyle w:val="TableParagraph"/>
              <w:spacing w:before="121"/>
              <w:ind w:left="81"/>
              <w:rPr>
                <w:sz w:val="18"/>
              </w:rPr>
            </w:pPr>
            <w:r>
              <w:rPr>
                <w:sz w:val="18"/>
              </w:rPr>
              <w:t>Douglas-fir</w:t>
            </w:r>
            <w:r>
              <w:rPr>
                <w:spacing w:val="-6"/>
                <w:sz w:val="18"/>
              </w:rPr>
              <w:t> </w:t>
            </w:r>
            <w:r>
              <w:rPr>
                <w:spacing w:val="-5"/>
                <w:sz w:val="18"/>
              </w:rPr>
              <w:t>dry</w:t>
            </w:r>
          </w:p>
        </w:tc>
        <w:tc>
          <w:tcPr>
            <w:tcW w:w="1505" w:type="dxa"/>
          </w:tcPr>
          <w:p>
            <w:pPr>
              <w:pStyle w:val="TableParagraph"/>
              <w:spacing w:before="121"/>
              <w:ind w:left="81"/>
              <w:rPr>
                <w:sz w:val="18"/>
              </w:rPr>
            </w:pPr>
            <w:r>
              <w:rPr>
                <w:sz w:val="18"/>
              </w:rPr>
              <w:t>Highly</w:t>
            </w:r>
            <w:r>
              <w:rPr>
                <w:spacing w:val="-4"/>
                <w:sz w:val="18"/>
              </w:rPr>
              <w:t> </w:t>
            </w:r>
            <w:r>
              <w:rPr>
                <w:spacing w:val="-2"/>
                <w:sz w:val="18"/>
              </w:rPr>
              <w:t>variable</w:t>
            </w:r>
          </w:p>
        </w:tc>
        <w:tc>
          <w:tcPr>
            <w:tcW w:w="2429" w:type="dxa"/>
          </w:tcPr>
          <w:p>
            <w:pPr>
              <w:pStyle w:val="TableParagraph"/>
              <w:spacing w:before="121"/>
              <w:ind w:left="78" w:right="99"/>
              <w:rPr>
                <w:sz w:val="18"/>
              </w:rPr>
            </w:pPr>
            <w:r>
              <w:rPr>
                <w:sz w:val="18"/>
              </w:rPr>
              <w:t>Primarily small (less than 5 acres) with occasional openings greater than 10 acres in very limited circumstances. Openings less</w:t>
            </w:r>
            <w:r>
              <w:rPr>
                <w:spacing w:val="-6"/>
                <w:sz w:val="18"/>
              </w:rPr>
              <w:t> </w:t>
            </w:r>
            <w:r>
              <w:rPr>
                <w:sz w:val="18"/>
              </w:rPr>
              <w:t>than</w:t>
            </w:r>
            <w:r>
              <w:rPr>
                <w:spacing w:val="-6"/>
                <w:sz w:val="18"/>
              </w:rPr>
              <w:t> </w:t>
            </w:r>
            <w:r>
              <w:rPr>
                <w:sz w:val="18"/>
              </w:rPr>
              <w:t>40</w:t>
            </w:r>
            <w:r>
              <w:rPr>
                <w:spacing w:val="-6"/>
                <w:sz w:val="18"/>
              </w:rPr>
              <w:t> </w:t>
            </w:r>
            <w:r>
              <w:rPr>
                <w:sz w:val="18"/>
              </w:rPr>
              <w:t>acres</w:t>
            </w:r>
            <w:r>
              <w:rPr>
                <w:spacing w:val="-8"/>
                <w:sz w:val="18"/>
              </w:rPr>
              <w:t> </w:t>
            </w:r>
            <w:r>
              <w:rPr>
                <w:sz w:val="18"/>
              </w:rPr>
              <w:t>in</w:t>
            </w:r>
            <w:r>
              <w:rPr>
                <w:spacing w:val="-9"/>
                <w:sz w:val="18"/>
              </w:rPr>
              <w:t> </w:t>
            </w:r>
            <w:r>
              <w:rPr>
                <w:sz w:val="18"/>
              </w:rPr>
              <w:t>nearly all cases.</w:t>
            </w:r>
          </w:p>
        </w:tc>
        <w:tc>
          <w:tcPr>
            <w:tcW w:w="2998" w:type="dxa"/>
          </w:tcPr>
          <w:p>
            <w:pPr>
              <w:pStyle w:val="TableParagraph"/>
              <w:spacing w:before="121"/>
              <w:ind w:left="78" w:right="119"/>
              <w:rPr>
                <w:sz w:val="18"/>
              </w:rPr>
            </w:pPr>
            <w:r>
              <w:rPr>
                <w:sz w:val="18"/>
              </w:rPr>
              <w:t>Larger</w:t>
            </w:r>
            <w:r>
              <w:rPr>
                <w:spacing w:val="-13"/>
                <w:sz w:val="18"/>
              </w:rPr>
              <w:t> </w:t>
            </w:r>
            <w:r>
              <w:rPr>
                <w:sz w:val="18"/>
              </w:rPr>
              <w:t>patches</w:t>
            </w:r>
            <w:r>
              <w:rPr>
                <w:spacing w:val="-11"/>
                <w:sz w:val="18"/>
              </w:rPr>
              <w:t> </w:t>
            </w:r>
            <w:r>
              <w:rPr>
                <w:sz w:val="18"/>
              </w:rPr>
              <w:t>of</w:t>
            </w:r>
            <w:r>
              <w:rPr>
                <w:spacing w:val="-13"/>
                <w:sz w:val="18"/>
              </w:rPr>
              <w:t> </w:t>
            </w:r>
            <w:r>
              <w:rPr>
                <w:sz w:val="18"/>
              </w:rPr>
              <w:t>open-canopied stands would have included tree clumps and openings at a scale finer than that of an individual </w:t>
            </w:r>
            <w:r>
              <w:rPr>
                <w:spacing w:val="-2"/>
                <w:sz w:val="18"/>
              </w:rPr>
              <w:t>stand.</w:t>
            </w:r>
          </w:p>
        </w:tc>
      </w:tr>
      <w:tr>
        <w:trPr>
          <w:trHeight w:val="1276" w:hRule="atLeast"/>
        </w:trPr>
        <w:tc>
          <w:tcPr>
            <w:tcW w:w="1620" w:type="dxa"/>
          </w:tcPr>
          <w:p>
            <w:pPr>
              <w:pStyle w:val="TableParagraph"/>
              <w:spacing w:before="121"/>
              <w:ind w:left="81" w:right="247"/>
              <w:jc w:val="both"/>
              <w:rPr>
                <w:sz w:val="18"/>
              </w:rPr>
            </w:pPr>
            <w:r>
              <w:rPr>
                <w:sz w:val="18"/>
              </w:rPr>
              <w:t>Northern</w:t>
            </w:r>
            <w:r>
              <w:rPr>
                <w:spacing w:val="-13"/>
                <w:sz w:val="18"/>
              </w:rPr>
              <w:t> </w:t>
            </w:r>
            <w:r>
              <w:rPr>
                <w:sz w:val="18"/>
              </w:rPr>
              <w:t>Rocky Mountain</w:t>
            </w:r>
            <w:r>
              <w:rPr>
                <w:spacing w:val="-13"/>
                <w:sz w:val="18"/>
              </w:rPr>
              <w:t> </w:t>
            </w:r>
            <w:r>
              <w:rPr>
                <w:sz w:val="18"/>
              </w:rPr>
              <w:t>Mixed </w:t>
            </w:r>
            <w:r>
              <w:rPr>
                <w:spacing w:val="-2"/>
                <w:sz w:val="18"/>
              </w:rPr>
              <w:t>Conifer</w:t>
            </w:r>
          </w:p>
        </w:tc>
        <w:tc>
          <w:tcPr>
            <w:tcW w:w="1505" w:type="dxa"/>
          </w:tcPr>
          <w:p>
            <w:pPr>
              <w:pStyle w:val="TableParagraph"/>
              <w:spacing w:line="207" w:lineRule="exact" w:before="121"/>
              <w:ind w:left="81"/>
              <w:rPr>
                <w:sz w:val="18"/>
              </w:rPr>
            </w:pPr>
            <w:r>
              <w:rPr>
                <w:sz w:val="18"/>
              </w:rPr>
              <w:t>Variable</w:t>
            </w:r>
            <w:r>
              <w:rPr>
                <w:spacing w:val="-2"/>
                <w:sz w:val="18"/>
              </w:rPr>
              <w:t> </w:t>
            </w:r>
            <w:r>
              <w:rPr>
                <w:sz w:val="18"/>
              </w:rPr>
              <w:t>(5</w:t>
            </w:r>
            <w:r>
              <w:rPr>
                <w:spacing w:val="-5"/>
                <w:sz w:val="18"/>
              </w:rPr>
              <w:t> to</w:t>
            </w:r>
          </w:p>
          <w:p>
            <w:pPr>
              <w:pStyle w:val="TableParagraph"/>
              <w:spacing w:line="207" w:lineRule="exact" w:before="0"/>
              <w:ind w:left="81"/>
              <w:rPr>
                <w:sz w:val="18"/>
              </w:rPr>
            </w:pPr>
            <w:r>
              <w:rPr>
                <w:sz w:val="18"/>
              </w:rPr>
              <w:t>1,000</w:t>
            </w:r>
            <w:r>
              <w:rPr>
                <w:spacing w:val="-8"/>
                <w:sz w:val="18"/>
              </w:rPr>
              <w:t> </w:t>
            </w:r>
            <w:r>
              <w:rPr>
                <w:spacing w:val="-2"/>
                <w:sz w:val="18"/>
              </w:rPr>
              <w:t>acres)</w:t>
            </w:r>
          </w:p>
        </w:tc>
        <w:tc>
          <w:tcPr>
            <w:tcW w:w="2429" w:type="dxa"/>
          </w:tcPr>
          <w:p>
            <w:pPr>
              <w:pStyle w:val="TableParagraph"/>
              <w:spacing w:before="121"/>
              <w:ind w:left="78" w:right="99"/>
              <w:rPr>
                <w:sz w:val="18"/>
              </w:rPr>
            </w:pPr>
            <w:r>
              <w:rPr>
                <w:sz w:val="18"/>
              </w:rPr>
              <w:t>Openings generally less than</w:t>
            </w:r>
            <w:r>
              <w:rPr>
                <w:spacing w:val="-7"/>
                <w:sz w:val="18"/>
              </w:rPr>
              <w:t> </w:t>
            </w:r>
            <w:r>
              <w:rPr>
                <w:sz w:val="18"/>
              </w:rPr>
              <w:t>40</w:t>
            </w:r>
            <w:r>
              <w:rPr>
                <w:spacing w:val="-7"/>
                <w:sz w:val="18"/>
              </w:rPr>
              <w:t> </w:t>
            </w:r>
            <w:r>
              <w:rPr>
                <w:sz w:val="18"/>
              </w:rPr>
              <w:t>acres</w:t>
            </w:r>
            <w:r>
              <w:rPr>
                <w:spacing w:val="-8"/>
                <w:sz w:val="18"/>
              </w:rPr>
              <w:t> </w:t>
            </w:r>
            <w:r>
              <w:rPr>
                <w:sz w:val="18"/>
              </w:rPr>
              <w:t>in</w:t>
            </w:r>
            <w:r>
              <w:rPr>
                <w:spacing w:val="-9"/>
                <w:sz w:val="18"/>
              </w:rPr>
              <w:t> </w:t>
            </w:r>
            <w:r>
              <w:rPr>
                <w:sz w:val="18"/>
              </w:rPr>
              <w:t>size,</w:t>
            </w:r>
            <w:r>
              <w:rPr>
                <w:spacing w:val="-7"/>
                <w:sz w:val="18"/>
              </w:rPr>
              <w:t> </w:t>
            </w:r>
            <w:r>
              <w:rPr>
                <w:sz w:val="18"/>
              </w:rPr>
              <w:t>with the majority of patches being</w:t>
            </w:r>
            <w:r>
              <w:rPr>
                <w:spacing w:val="-3"/>
                <w:sz w:val="18"/>
              </w:rPr>
              <w:t> </w:t>
            </w:r>
            <w:r>
              <w:rPr>
                <w:sz w:val="18"/>
              </w:rPr>
              <w:t>less</w:t>
            </w:r>
            <w:r>
              <w:rPr>
                <w:spacing w:val="-2"/>
                <w:sz w:val="18"/>
              </w:rPr>
              <w:t> </w:t>
            </w:r>
            <w:r>
              <w:rPr>
                <w:sz w:val="18"/>
              </w:rPr>
              <w:t>than</w:t>
            </w:r>
            <w:r>
              <w:rPr>
                <w:spacing w:val="-3"/>
                <w:sz w:val="18"/>
              </w:rPr>
              <w:t> </w:t>
            </w:r>
            <w:r>
              <w:rPr>
                <w:sz w:val="18"/>
              </w:rPr>
              <w:t>5 acres in </w:t>
            </w:r>
            <w:r>
              <w:rPr>
                <w:spacing w:val="-2"/>
                <w:sz w:val="18"/>
              </w:rPr>
              <w:t>size.</w:t>
            </w:r>
          </w:p>
        </w:tc>
        <w:tc>
          <w:tcPr>
            <w:tcW w:w="2998" w:type="dxa"/>
          </w:tcPr>
          <w:p>
            <w:pPr>
              <w:pStyle w:val="TableParagraph"/>
              <w:spacing w:before="121"/>
              <w:ind w:left="78"/>
              <w:rPr>
                <w:sz w:val="18"/>
              </w:rPr>
            </w:pPr>
            <w:r>
              <w:rPr>
                <w:sz w:val="18"/>
              </w:rPr>
              <w:t>Mixed severity fire generates variable patches and openings, though</w:t>
            </w:r>
            <w:r>
              <w:rPr>
                <w:spacing w:val="-7"/>
                <w:sz w:val="18"/>
              </w:rPr>
              <w:t> </w:t>
            </w:r>
            <w:r>
              <w:rPr>
                <w:sz w:val="18"/>
              </w:rPr>
              <w:t>most</w:t>
            </w:r>
            <w:r>
              <w:rPr>
                <w:spacing w:val="-10"/>
                <w:sz w:val="18"/>
              </w:rPr>
              <w:t> </w:t>
            </w:r>
            <w:r>
              <w:rPr>
                <w:sz w:val="18"/>
              </w:rPr>
              <w:t>openings</w:t>
            </w:r>
            <w:r>
              <w:rPr>
                <w:spacing w:val="-7"/>
                <w:sz w:val="18"/>
              </w:rPr>
              <w:t> </w:t>
            </w:r>
            <w:r>
              <w:rPr>
                <w:sz w:val="18"/>
              </w:rPr>
              <w:t>in</w:t>
            </w:r>
            <w:r>
              <w:rPr>
                <w:spacing w:val="-7"/>
                <w:sz w:val="18"/>
              </w:rPr>
              <w:t> </w:t>
            </w:r>
            <w:r>
              <w:rPr>
                <w:sz w:val="18"/>
              </w:rPr>
              <w:t>this</w:t>
            </w:r>
            <w:r>
              <w:rPr>
                <w:spacing w:val="-7"/>
                <w:sz w:val="18"/>
              </w:rPr>
              <w:t> </w:t>
            </w:r>
            <w:r>
              <w:rPr>
                <w:sz w:val="18"/>
              </w:rPr>
              <w:t>type would have historically been relatively small.</w:t>
            </w:r>
          </w:p>
        </w:tc>
      </w:tr>
      <w:tr>
        <w:trPr>
          <w:trHeight w:val="2101" w:hRule="atLeast"/>
        </w:trPr>
        <w:tc>
          <w:tcPr>
            <w:tcW w:w="1620" w:type="dxa"/>
          </w:tcPr>
          <w:p>
            <w:pPr>
              <w:pStyle w:val="TableParagraph"/>
              <w:spacing w:before="118"/>
              <w:ind w:left="81" w:right="108"/>
              <w:rPr>
                <w:sz w:val="18"/>
              </w:rPr>
            </w:pPr>
            <w:r>
              <w:rPr>
                <w:sz w:val="18"/>
              </w:rPr>
              <w:t>Western red cedar</w:t>
            </w:r>
            <w:r>
              <w:rPr>
                <w:spacing w:val="-15"/>
                <w:sz w:val="18"/>
              </w:rPr>
              <w:t> </w:t>
            </w:r>
            <w:r>
              <w:rPr>
                <w:sz w:val="18"/>
              </w:rPr>
              <w:t>/</w:t>
            </w:r>
            <w:r>
              <w:rPr>
                <w:spacing w:val="-12"/>
                <w:sz w:val="18"/>
              </w:rPr>
              <w:t> </w:t>
            </w:r>
            <w:r>
              <w:rPr>
                <w:sz w:val="18"/>
              </w:rPr>
              <w:t>Western </w:t>
            </w:r>
            <w:r>
              <w:rPr>
                <w:spacing w:val="-2"/>
                <w:sz w:val="18"/>
              </w:rPr>
              <w:t>hemlock</w:t>
            </w:r>
          </w:p>
        </w:tc>
        <w:tc>
          <w:tcPr>
            <w:tcW w:w="1505" w:type="dxa"/>
          </w:tcPr>
          <w:p>
            <w:pPr>
              <w:pStyle w:val="TableParagraph"/>
              <w:spacing w:before="118"/>
              <w:ind w:left="81"/>
              <w:rPr>
                <w:sz w:val="18"/>
              </w:rPr>
            </w:pPr>
            <w:r>
              <w:rPr>
                <w:sz w:val="18"/>
              </w:rPr>
              <w:t>Medium</w:t>
            </w:r>
            <w:r>
              <w:rPr>
                <w:spacing w:val="-15"/>
                <w:sz w:val="18"/>
              </w:rPr>
              <w:t> </w:t>
            </w:r>
            <w:r>
              <w:rPr>
                <w:sz w:val="18"/>
              </w:rPr>
              <w:t>to</w:t>
            </w:r>
            <w:r>
              <w:rPr>
                <w:spacing w:val="-12"/>
                <w:sz w:val="18"/>
              </w:rPr>
              <w:t> </w:t>
            </w:r>
            <w:r>
              <w:rPr>
                <w:sz w:val="18"/>
              </w:rPr>
              <w:t>large </w:t>
            </w:r>
            <w:r>
              <w:rPr>
                <w:spacing w:val="-2"/>
                <w:sz w:val="18"/>
              </w:rPr>
              <w:t>(constrained </w:t>
            </w:r>
            <w:r>
              <w:rPr>
                <w:sz w:val="18"/>
              </w:rPr>
              <w:t>primarily by </w:t>
            </w:r>
            <w:r>
              <w:rPr>
                <w:spacing w:val="-2"/>
                <w:sz w:val="18"/>
              </w:rPr>
              <w:t>spatial arrangement)</w:t>
            </w:r>
          </w:p>
        </w:tc>
        <w:tc>
          <w:tcPr>
            <w:tcW w:w="2429" w:type="dxa"/>
          </w:tcPr>
          <w:p>
            <w:pPr>
              <w:pStyle w:val="TableParagraph"/>
              <w:spacing w:before="119"/>
              <w:ind w:left="78" w:right="313"/>
              <w:rPr>
                <w:sz w:val="18"/>
              </w:rPr>
            </w:pPr>
            <w:r>
              <w:rPr>
                <w:sz w:val="18"/>
              </w:rPr>
              <w:t>Generally</w:t>
            </w:r>
            <w:r>
              <w:rPr>
                <w:spacing w:val="-13"/>
                <w:sz w:val="18"/>
              </w:rPr>
              <w:t> </w:t>
            </w:r>
            <w:r>
              <w:rPr>
                <w:sz w:val="18"/>
              </w:rPr>
              <w:t>commensurate with patch sizes.</w:t>
            </w:r>
          </w:p>
        </w:tc>
        <w:tc>
          <w:tcPr>
            <w:tcW w:w="2998" w:type="dxa"/>
          </w:tcPr>
          <w:p>
            <w:pPr>
              <w:pStyle w:val="TableParagraph"/>
              <w:spacing w:before="119"/>
              <w:ind w:left="78" w:right="58"/>
              <w:rPr>
                <w:sz w:val="18"/>
              </w:rPr>
            </w:pPr>
            <w:r>
              <w:rPr>
                <w:sz w:val="18"/>
              </w:rPr>
              <w:t>The</w:t>
            </w:r>
            <w:r>
              <w:rPr>
                <w:spacing w:val="-4"/>
                <w:sz w:val="18"/>
              </w:rPr>
              <w:t> </w:t>
            </w:r>
            <w:r>
              <w:rPr>
                <w:sz w:val="18"/>
              </w:rPr>
              <w:t>primary</w:t>
            </w:r>
            <w:r>
              <w:rPr>
                <w:spacing w:val="-6"/>
                <w:sz w:val="18"/>
              </w:rPr>
              <w:t> </w:t>
            </w:r>
            <w:r>
              <w:rPr>
                <w:sz w:val="18"/>
              </w:rPr>
              <w:t>limiting</w:t>
            </w:r>
            <w:r>
              <w:rPr>
                <w:spacing w:val="-4"/>
                <w:sz w:val="18"/>
              </w:rPr>
              <w:t> </w:t>
            </w:r>
            <w:r>
              <w:rPr>
                <w:sz w:val="18"/>
              </w:rPr>
              <w:t>factor</w:t>
            </w:r>
            <w:r>
              <w:rPr>
                <w:spacing w:val="-6"/>
                <w:sz w:val="18"/>
              </w:rPr>
              <w:t> </w:t>
            </w:r>
            <w:r>
              <w:rPr>
                <w:sz w:val="18"/>
              </w:rPr>
              <w:t>on</w:t>
            </w:r>
            <w:r>
              <w:rPr>
                <w:spacing w:val="-6"/>
                <w:sz w:val="18"/>
              </w:rPr>
              <w:t> </w:t>
            </w:r>
            <w:r>
              <w:rPr>
                <w:sz w:val="18"/>
              </w:rPr>
              <w:t>patch and</w:t>
            </w:r>
            <w:r>
              <w:rPr>
                <w:spacing w:val="-4"/>
                <w:sz w:val="18"/>
              </w:rPr>
              <w:t> </w:t>
            </w:r>
            <w:r>
              <w:rPr>
                <w:sz w:val="18"/>
              </w:rPr>
              <w:t>opening</w:t>
            </w:r>
            <w:r>
              <w:rPr>
                <w:spacing w:val="-7"/>
                <w:sz w:val="18"/>
              </w:rPr>
              <w:t> </w:t>
            </w:r>
            <w:r>
              <w:rPr>
                <w:sz w:val="18"/>
              </w:rPr>
              <w:t>size</w:t>
            </w:r>
            <w:r>
              <w:rPr>
                <w:spacing w:val="-4"/>
                <w:sz w:val="18"/>
              </w:rPr>
              <w:t> </w:t>
            </w:r>
            <w:r>
              <w:rPr>
                <w:sz w:val="18"/>
              </w:rPr>
              <w:t>for</w:t>
            </w:r>
            <w:r>
              <w:rPr>
                <w:spacing w:val="-7"/>
                <w:sz w:val="18"/>
              </w:rPr>
              <w:t> </w:t>
            </w:r>
            <w:r>
              <w:rPr>
                <w:sz w:val="18"/>
              </w:rPr>
              <w:t>this</w:t>
            </w:r>
            <w:r>
              <w:rPr>
                <w:spacing w:val="-4"/>
                <w:sz w:val="18"/>
              </w:rPr>
              <w:t> </w:t>
            </w:r>
            <w:r>
              <w:rPr>
                <w:sz w:val="18"/>
              </w:rPr>
              <w:t>type</w:t>
            </w:r>
            <w:r>
              <w:rPr>
                <w:spacing w:val="-7"/>
                <w:sz w:val="18"/>
              </w:rPr>
              <w:t> </w:t>
            </w:r>
            <w:r>
              <w:rPr>
                <w:sz w:val="18"/>
              </w:rPr>
              <w:t>is</w:t>
            </w:r>
            <w:r>
              <w:rPr>
                <w:spacing w:val="-4"/>
                <w:sz w:val="18"/>
              </w:rPr>
              <w:t> </w:t>
            </w:r>
            <w:r>
              <w:rPr>
                <w:sz w:val="18"/>
              </w:rPr>
              <w:t>the spatial arrangement of the vegetation type itself. Because it does not generally occur in large contiguous areas of the Colville, smaller patches and openings would occur here than typical for this vegetation type.</w:t>
            </w:r>
          </w:p>
        </w:tc>
      </w:tr>
      <w:tr>
        <w:trPr>
          <w:trHeight w:val="1482" w:hRule="atLeast"/>
        </w:trPr>
        <w:tc>
          <w:tcPr>
            <w:tcW w:w="1620" w:type="dxa"/>
          </w:tcPr>
          <w:p>
            <w:pPr>
              <w:pStyle w:val="TableParagraph"/>
              <w:spacing w:before="121"/>
              <w:ind w:left="81" w:right="280"/>
              <w:rPr>
                <w:sz w:val="18"/>
              </w:rPr>
            </w:pPr>
            <w:r>
              <w:rPr>
                <w:sz w:val="18"/>
              </w:rPr>
              <w:t>Subalpine fir / Lodgepole</w:t>
            </w:r>
            <w:r>
              <w:rPr>
                <w:spacing w:val="-13"/>
                <w:sz w:val="18"/>
              </w:rPr>
              <w:t> </w:t>
            </w:r>
            <w:r>
              <w:rPr>
                <w:sz w:val="18"/>
              </w:rPr>
              <w:t>pine</w:t>
            </w:r>
          </w:p>
        </w:tc>
        <w:tc>
          <w:tcPr>
            <w:tcW w:w="1505" w:type="dxa"/>
          </w:tcPr>
          <w:p>
            <w:pPr>
              <w:pStyle w:val="TableParagraph"/>
              <w:spacing w:before="121"/>
              <w:ind w:left="81" w:right="131"/>
              <w:rPr>
                <w:sz w:val="18"/>
              </w:rPr>
            </w:pPr>
            <w:r>
              <w:rPr>
                <w:spacing w:val="-2"/>
                <w:sz w:val="18"/>
              </w:rPr>
              <w:t>Variable, </w:t>
            </w:r>
            <w:r>
              <w:rPr>
                <w:sz w:val="18"/>
              </w:rPr>
              <w:t>ranging up to 1,000s</w:t>
            </w:r>
            <w:r>
              <w:rPr>
                <w:spacing w:val="-15"/>
                <w:sz w:val="18"/>
              </w:rPr>
              <w:t> </w:t>
            </w:r>
            <w:r>
              <w:rPr>
                <w:sz w:val="18"/>
              </w:rPr>
              <w:t>of</w:t>
            </w:r>
            <w:r>
              <w:rPr>
                <w:spacing w:val="-12"/>
                <w:sz w:val="18"/>
              </w:rPr>
              <w:t> </w:t>
            </w:r>
            <w:r>
              <w:rPr>
                <w:sz w:val="18"/>
              </w:rPr>
              <w:t>acres</w:t>
            </w:r>
          </w:p>
        </w:tc>
        <w:tc>
          <w:tcPr>
            <w:tcW w:w="2429" w:type="dxa"/>
          </w:tcPr>
          <w:p>
            <w:pPr>
              <w:pStyle w:val="TableParagraph"/>
              <w:spacing w:before="121"/>
              <w:ind w:left="78" w:right="96"/>
              <w:rPr>
                <w:sz w:val="18"/>
              </w:rPr>
            </w:pPr>
            <w:r>
              <w:rPr>
                <w:sz w:val="18"/>
              </w:rPr>
              <w:t>Highly variable, with many small-medium</w:t>
            </w:r>
            <w:r>
              <w:rPr>
                <w:spacing w:val="-15"/>
                <w:sz w:val="18"/>
              </w:rPr>
              <w:t> </w:t>
            </w:r>
            <w:r>
              <w:rPr>
                <w:sz w:val="18"/>
              </w:rPr>
              <w:t>patches</w:t>
            </w:r>
            <w:r>
              <w:rPr>
                <w:spacing w:val="-12"/>
                <w:sz w:val="18"/>
              </w:rPr>
              <w:t> </w:t>
            </w:r>
            <w:r>
              <w:rPr>
                <w:sz w:val="18"/>
              </w:rPr>
              <w:t>(less than 40 acres) and a few larger patches up to 1,000 acres or more in size.</w:t>
            </w:r>
          </w:p>
        </w:tc>
        <w:tc>
          <w:tcPr>
            <w:tcW w:w="2998" w:type="dxa"/>
          </w:tcPr>
          <w:p>
            <w:pPr>
              <w:pStyle w:val="TableParagraph"/>
              <w:spacing w:before="121"/>
              <w:ind w:left="78"/>
              <w:rPr>
                <w:sz w:val="18"/>
              </w:rPr>
            </w:pPr>
            <w:r>
              <w:rPr>
                <w:sz w:val="18"/>
              </w:rPr>
              <w:t>Predominantly smaller patches would</w:t>
            </w:r>
            <w:r>
              <w:rPr>
                <w:spacing w:val="-9"/>
                <w:sz w:val="18"/>
              </w:rPr>
              <w:t> </w:t>
            </w:r>
            <w:r>
              <w:rPr>
                <w:sz w:val="18"/>
              </w:rPr>
              <w:t>have</w:t>
            </w:r>
            <w:r>
              <w:rPr>
                <w:spacing w:val="-9"/>
                <w:sz w:val="18"/>
              </w:rPr>
              <w:t> </w:t>
            </w:r>
            <w:r>
              <w:rPr>
                <w:sz w:val="18"/>
              </w:rPr>
              <w:t>been</w:t>
            </w:r>
            <w:r>
              <w:rPr>
                <w:spacing w:val="-9"/>
                <w:sz w:val="18"/>
              </w:rPr>
              <w:t> </w:t>
            </w:r>
            <w:r>
              <w:rPr>
                <w:sz w:val="18"/>
              </w:rPr>
              <w:t>interspersed</w:t>
            </w:r>
            <w:r>
              <w:rPr>
                <w:spacing w:val="-11"/>
                <w:sz w:val="18"/>
              </w:rPr>
              <w:t> </w:t>
            </w:r>
            <w:r>
              <w:rPr>
                <w:sz w:val="18"/>
              </w:rPr>
              <w:t>with few, larger patches. The larger patches were historically created during</w:t>
            </w:r>
            <w:r>
              <w:rPr>
                <w:spacing w:val="-11"/>
                <w:sz w:val="18"/>
              </w:rPr>
              <w:t> </w:t>
            </w:r>
            <w:r>
              <w:rPr>
                <w:sz w:val="18"/>
              </w:rPr>
              <w:t>extreme</w:t>
            </w:r>
            <w:r>
              <w:rPr>
                <w:spacing w:val="-8"/>
                <w:sz w:val="18"/>
              </w:rPr>
              <w:t> </w:t>
            </w:r>
            <w:r>
              <w:rPr>
                <w:sz w:val="18"/>
              </w:rPr>
              <w:t>fire</w:t>
            </w:r>
            <w:r>
              <w:rPr>
                <w:spacing w:val="-8"/>
                <w:sz w:val="18"/>
              </w:rPr>
              <w:t> </w:t>
            </w:r>
            <w:r>
              <w:rPr>
                <w:sz w:val="18"/>
              </w:rPr>
              <w:t>weather</w:t>
            </w:r>
            <w:r>
              <w:rPr>
                <w:spacing w:val="-9"/>
                <w:sz w:val="18"/>
              </w:rPr>
              <w:t> </w:t>
            </w:r>
            <w:r>
              <w:rPr>
                <w:sz w:val="18"/>
              </w:rPr>
              <w:t>events much as they are today.</w:t>
            </w:r>
          </w:p>
        </w:tc>
      </w:tr>
      <w:tr>
        <w:trPr>
          <w:trHeight w:val="1691" w:hRule="atLeast"/>
        </w:trPr>
        <w:tc>
          <w:tcPr>
            <w:tcW w:w="1620" w:type="dxa"/>
          </w:tcPr>
          <w:p>
            <w:pPr>
              <w:pStyle w:val="TableParagraph"/>
              <w:spacing w:before="121"/>
              <w:ind w:left="81" w:right="511"/>
              <w:rPr>
                <w:sz w:val="18"/>
              </w:rPr>
            </w:pPr>
            <w:r>
              <w:rPr>
                <w:sz w:val="18"/>
              </w:rPr>
              <w:t>Spruce / Subalpine</w:t>
            </w:r>
            <w:r>
              <w:rPr>
                <w:spacing w:val="-13"/>
                <w:sz w:val="18"/>
              </w:rPr>
              <w:t> </w:t>
            </w:r>
            <w:r>
              <w:rPr>
                <w:sz w:val="18"/>
              </w:rPr>
              <w:t>fir</w:t>
            </w:r>
          </w:p>
        </w:tc>
        <w:tc>
          <w:tcPr>
            <w:tcW w:w="1505" w:type="dxa"/>
          </w:tcPr>
          <w:p>
            <w:pPr>
              <w:pStyle w:val="TableParagraph"/>
              <w:spacing w:before="121"/>
              <w:ind w:left="81"/>
              <w:rPr>
                <w:sz w:val="18"/>
              </w:rPr>
            </w:pPr>
            <w:r>
              <w:rPr>
                <w:sz w:val="18"/>
              </w:rPr>
              <w:t>Generally less than 500 acres, with</w:t>
            </w:r>
            <w:r>
              <w:rPr>
                <w:spacing w:val="-15"/>
                <w:sz w:val="18"/>
              </w:rPr>
              <w:t> </w:t>
            </w:r>
            <w:r>
              <w:rPr>
                <w:sz w:val="18"/>
              </w:rPr>
              <w:t>the</w:t>
            </w:r>
            <w:r>
              <w:rPr>
                <w:spacing w:val="-12"/>
                <w:sz w:val="18"/>
              </w:rPr>
              <w:t> </w:t>
            </w:r>
            <w:r>
              <w:rPr>
                <w:sz w:val="18"/>
              </w:rPr>
              <w:t>majority of patches less than 40 acres</w:t>
            </w:r>
          </w:p>
        </w:tc>
        <w:tc>
          <w:tcPr>
            <w:tcW w:w="2429" w:type="dxa"/>
          </w:tcPr>
          <w:p>
            <w:pPr>
              <w:pStyle w:val="TableParagraph"/>
              <w:spacing w:before="121"/>
              <w:ind w:left="78" w:right="313"/>
              <w:rPr>
                <w:sz w:val="18"/>
              </w:rPr>
            </w:pPr>
            <w:r>
              <w:rPr>
                <w:sz w:val="18"/>
              </w:rPr>
              <w:t>Generally</w:t>
            </w:r>
            <w:r>
              <w:rPr>
                <w:spacing w:val="-13"/>
                <w:sz w:val="18"/>
              </w:rPr>
              <w:t> </w:t>
            </w:r>
            <w:r>
              <w:rPr>
                <w:sz w:val="18"/>
              </w:rPr>
              <w:t>commensurate with patch sizes.</w:t>
            </w:r>
          </w:p>
        </w:tc>
        <w:tc>
          <w:tcPr>
            <w:tcW w:w="2998" w:type="dxa"/>
          </w:tcPr>
          <w:p>
            <w:pPr>
              <w:pStyle w:val="TableParagraph"/>
              <w:spacing w:before="121"/>
              <w:ind w:left="78" w:right="119"/>
              <w:rPr>
                <w:sz w:val="18"/>
              </w:rPr>
            </w:pPr>
            <w:r>
              <w:rPr>
                <w:sz w:val="18"/>
              </w:rPr>
              <w:t>Both patch and opening size is primarily limited by spatial arrangement on the Colville National Forest. As a result, smaller patches and openings would</w:t>
            </w:r>
            <w:r>
              <w:rPr>
                <w:spacing w:val="-6"/>
                <w:sz w:val="18"/>
              </w:rPr>
              <w:t> </w:t>
            </w:r>
            <w:r>
              <w:rPr>
                <w:sz w:val="18"/>
              </w:rPr>
              <w:t>occur</w:t>
            </w:r>
            <w:r>
              <w:rPr>
                <w:spacing w:val="-7"/>
                <w:sz w:val="18"/>
              </w:rPr>
              <w:t> </w:t>
            </w:r>
            <w:r>
              <w:rPr>
                <w:sz w:val="18"/>
              </w:rPr>
              <w:t>here</w:t>
            </w:r>
            <w:r>
              <w:rPr>
                <w:spacing w:val="-6"/>
                <w:sz w:val="18"/>
              </w:rPr>
              <w:t> </w:t>
            </w:r>
            <w:r>
              <w:rPr>
                <w:sz w:val="18"/>
              </w:rPr>
              <w:t>than</w:t>
            </w:r>
            <w:r>
              <w:rPr>
                <w:spacing w:val="-6"/>
                <w:sz w:val="18"/>
              </w:rPr>
              <w:t> </w:t>
            </w:r>
            <w:r>
              <w:rPr>
                <w:sz w:val="18"/>
              </w:rPr>
              <w:t>is</w:t>
            </w:r>
            <w:r>
              <w:rPr>
                <w:spacing w:val="-6"/>
                <w:sz w:val="18"/>
              </w:rPr>
              <w:t> </w:t>
            </w:r>
            <w:r>
              <w:rPr>
                <w:sz w:val="18"/>
              </w:rPr>
              <w:t>typical</w:t>
            </w:r>
            <w:r>
              <w:rPr>
                <w:spacing w:val="-6"/>
                <w:sz w:val="18"/>
              </w:rPr>
              <w:t> </w:t>
            </w:r>
            <w:r>
              <w:rPr>
                <w:sz w:val="18"/>
              </w:rPr>
              <w:t>for this vegetation type.</w:t>
            </w:r>
          </w:p>
        </w:tc>
      </w:tr>
    </w:tbl>
    <w:p>
      <w:pPr>
        <w:pStyle w:val="TableParagraph"/>
        <w:spacing w:after="0"/>
        <w:rPr>
          <w:sz w:val="18"/>
        </w:rPr>
        <w:sectPr>
          <w:pgSz w:w="12240" w:h="15840"/>
          <w:pgMar w:header="725" w:footer="891" w:top="960" w:bottom="1080" w:left="1080" w:right="720"/>
        </w:sectPr>
      </w:pPr>
    </w:p>
    <w:p>
      <w:pPr>
        <w:pStyle w:val="BodyText"/>
        <w:spacing w:before="222"/>
        <w:rPr>
          <w:rFonts w:ascii="Arial"/>
          <w:b/>
        </w:rPr>
      </w:pPr>
    </w:p>
    <w:p>
      <w:pPr>
        <w:spacing w:before="0"/>
        <w:ind w:left="360" w:right="0" w:firstLine="0"/>
        <w:jc w:val="left"/>
        <w:rPr>
          <w:rFonts w:ascii="Arial"/>
          <w:i/>
          <w:sz w:val="22"/>
        </w:rPr>
      </w:pPr>
      <w:bookmarkStart w:name="FW-DC-VEG-04. Snags and Coarse Woody Deb" w:id="157"/>
      <w:bookmarkEnd w:id="157"/>
      <w:r>
        <w:rPr/>
      </w:r>
      <w:r>
        <w:rPr>
          <w:rFonts w:ascii="Arial"/>
          <w:i/>
          <w:sz w:val="22"/>
        </w:rPr>
        <w:t>FW-DC-VEG-04.</w:t>
      </w:r>
      <w:r>
        <w:rPr>
          <w:rFonts w:ascii="Arial"/>
          <w:i/>
          <w:spacing w:val="-6"/>
          <w:sz w:val="22"/>
        </w:rPr>
        <w:t> </w:t>
      </w:r>
      <w:r>
        <w:rPr>
          <w:rFonts w:ascii="Arial"/>
          <w:i/>
          <w:sz w:val="22"/>
        </w:rPr>
        <w:t>Snags</w:t>
      </w:r>
      <w:r>
        <w:rPr>
          <w:rFonts w:ascii="Arial"/>
          <w:i/>
          <w:spacing w:val="-8"/>
          <w:sz w:val="22"/>
        </w:rPr>
        <w:t> </w:t>
      </w:r>
      <w:r>
        <w:rPr>
          <w:rFonts w:ascii="Arial"/>
          <w:i/>
          <w:sz w:val="22"/>
        </w:rPr>
        <w:t>and</w:t>
      </w:r>
      <w:r>
        <w:rPr>
          <w:rFonts w:ascii="Arial"/>
          <w:i/>
          <w:spacing w:val="-4"/>
          <w:sz w:val="22"/>
        </w:rPr>
        <w:t> </w:t>
      </w:r>
      <w:r>
        <w:rPr>
          <w:rFonts w:ascii="Arial"/>
          <w:i/>
          <w:sz w:val="22"/>
        </w:rPr>
        <w:t>Coarse</w:t>
      </w:r>
      <w:r>
        <w:rPr>
          <w:rFonts w:ascii="Arial"/>
          <w:i/>
          <w:spacing w:val="-8"/>
          <w:sz w:val="22"/>
        </w:rPr>
        <w:t> </w:t>
      </w:r>
      <w:r>
        <w:rPr>
          <w:rFonts w:ascii="Arial"/>
          <w:i/>
          <w:sz w:val="22"/>
        </w:rPr>
        <w:t>Woody</w:t>
      </w:r>
      <w:r>
        <w:rPr>
          <w:rFonts w:ascii="Arial"/>
          <w:i/>
          <w:spacing w:val="-6"/>
          <w:sz w:val="22"/>
        </w:rPr>
        <w:t> </w:t>
      </w:r>
      <w:r>
        <w:rPr>
          <w:rFonts w:ascii="Arial"/>
          <w:i/>
          <w:spacing w:val="-2"/>
          <w:sz w:val="22"/>
        </w:rPr>
        <w:t>Debris</w:t>
      </w:r>
    </w:p>
    <w:p>
      <w:pPr>
        <w:pStyle w:val="BodyText"/>
        <w:spacing w:line="232" w:lineRule="auto" w:before="65"/>
        <w:ind w:left="359" w:right="1605"/>
      </w:pPr>
      <w:r>
        <w:rPr/>
        <w:t>Snags and down wood occur in sizes, amounts, and distributions to provide important wildlife habitat and contribute to ecosystem processes and services. This desired condition for snag and down wood levels applies forestwide within forested habitat types with the exception of the Administrative and Recreation Sites Management Areas. The desired conditions for snags and</w:t>
      </w:r>
      <w:r>
        <w:rPr>
          <w:spacing w:val="-6"/>
        </w:rPr>
        <w:t> </w:t>
      </w:r>
      <w:r>
        <w:rPr/>
        <w:t>down</w:t>
      </w:r>
      <w:r>
        <w:rPr>
          <w:spacing w:val="-8"/>
        </w:rPr>
        <w:t> </w:t>
      </w:r>
      <w:r>
        <w:rPr/>
        <w:t>wood</w:t>
      </w:r>
      <w:r>
        <w:rPr>
          <w:spacing w:val="-6"/>
        </w:rPr>
        <w:t> </w:t>
      </w:r>
      <w:r>
        <w:rPr/>
        <w:t>levels</w:t>
      </w:r>
      <w:r>
        <w:rPr>
          <w:spacing w:val="-5"/>
        </w:rPr>
        <w:t> </w:t>
      </w:r>
      <w:r>
        <w:rPr/>
        <w:t>is</w:t>
      </w:r>
      <w:r>
        <w:rPr>
          <w:spacing w:val="-7"/>
        </w:rPr>
        <w:t> </w:t>
      </w:r>
      <w:r>
        <w:rPr/>
        <w:t>evaluated</w:t>
      </w:r>
      <w:r>
        <w:rPr>
          <w:spacing w:val="-6"/>
        </w:rPr>
        <w:t> </w:t>
      </w:r>
      <w:r>
        <w:rPr/>
        <w:t>on</w:t>
      </w:r>
      <w:r>
        <w:rPr>
          <w:spacing w:val="-6"/>
        </w:rPr>
        <w:t> </w:t>
      </w:r>
      <w:r>
        <w:rPr/>
        <w:t>National</w:t>
      </w:r>
      <w:r>
        <w:rPr>
          <w:spacing w:val="-5"/>
        </w:rPr>
        <w:t> </w:t>
      </w:r>
      <w:r>
        <w:rPr/>
        <w:t>Forest</w:t>
      </w:r>
      <w:r>
        <w:rPr>
          <w:spacing w:val="-7"/>
        </w:rPr>
        <w:t> </w:t>
      </w:r>
      <w:r>
        <w:rPr/>
        <w:t>system</w:t>
      </w:r>
      <w:r>
        <w:rPr>
          <w:spacing w:val="-4"/>
        </w:rPr>
        <w:t> </w:t>
      </w:r>
      <w:r>
        <w:rPr/>
        <w:t>lands</w:t>
      </w:r>
      <w:r>
        <w:rPr>
          <w:spacing w:val="-5"/>
        </w:rPr>
        <w:t> </w:t>
      </w:r>
      <w:r>
        <w:rPr/>
        <w:t>at</w:t>
      </w:r>
      <w:r>
        <w:rPr>
          <w:spacing w:val="-7"/>
        </w:rPr>
        <w:t> </w:t>
      </w:r>
      <w:r>
        <w:rPr/>
        <w:t>the</w:t>
      </w:r>
      <w:r>
        <w:rPr>
          <w:spacing w:val="-7"/>
        </w:rPr>
        <w:t> </w:t>
      </w:r>
      <w:r>
        <w:rPr/>
        <w:t>watershed</w:t>
      </w:r>
      <w:r>
        <w:rPr>
          <w:spacing w:val="-6"/>
        </w:rPr>
        <w:t> </w:t>
      </w:r>
      <w:r>
        <w:rPr/>
        <w:t>scale</w:t>
      </w:r>
      <w:r>
        <w:rPr>
          <w:spacing w:val="-4"/>
        </w:rPr>
        <w:t> </w:t>
      </w:r>
      <w:r>
        <w:rPr/>
        <w:t>(see </w:t>
      </w:r>
      <w:hyperlink w:history="true" w:anchor="_bookmark80">
        <w:r>
          <w:rPr/>
          <w:t>Table 7</w:t>
        </w:r>
      </w:hyperlink>
      <w:r>
        <w:rPr/>
        <w:t> and </w:t>
      </w:r>
      <w:hyperlink w:history="true" w:anchor="_bookmark81">
        <w:r>
          <w:rPr/>
          <w:t>table 8</w:t>
        </w:r>
      </w:hyperlink>
      <w:r>
        <w:rPr/>
        <w:t>).</w:t>
      </w:r>
    </w:p>
    <w:p>
      <w:pPr>
        <w:pStyle w:val="BodyText"/>
        <w:spacing w:before="84"/>
      </w:pPr>
    </w:p>
    <w:p>
      <w:pPr>
        <w:spacing w:before="0" w:after="39"/>
        <w:ind w:left="360" w:right="0" w:firstLine="0"/>
        <w:jc w:val="left"/>
        <w:rPr>
          <w:rFonts w:ascii="Arial"/>
          <w:b/>
          <w:sz w:val="18"/>
        </w:rPr>
      </w:pPr>
      <w:bookmarkStart w:name="_bookmark80" w:id="158"/>
      <w:bookmarkEnd w:id="158"/>
      <w:r>
        <w:rPr/>
      </w:r>
      <w:r>
        <w:rPr>
          <w:rFonts w:ascii="Arial"/>
          <w:b/>
          <w:sz w:val="18"/>
        </w:rPr>
        <w:t>Table</w:t>
      </w:r>
      <w:r>
        <w:rPr>
          <w:rFonts w:ascii="Arial"/>
          <w:b/>
          <w:spacing w:val="-4"/>
          <w:sz w:val="18"/>
        </w:rPr>
        <w:t> </w:t>
      </w:r>
      <w:r>
        <w:rPr>
          <w:rFonts w:ascii="Arial"/>
          <w:b/>
          <w:sz w:val="18"/>
        </w:rPr>
        <w:t>7.</w:t>
      </w:r>
      <w:r>
        <w:rPr>
          <w:rFonts w:ascii="Arial"/>
          <w:b/>
          <w:spacing w:val="-2"/>
          <w:sz w:val="18"/>
        </w:rPr>
        <w:t> </w:t>
      </w:r>
      <w:r>
        <w:rPr>
          <w:rFonts w:ascii="Arial"/>
          <w:b/>
          <w:sz w:val="18"/>
        </w:rPr>
        <w:t>Desired</w:t>
      </w:r>
      <w:r>
        <w:rPr>
          <w:rFonts w:ascii="Arial"/>
          <w:b/>
          <w:spacing w:val="-2"/>
          <w:sz w:val="18"/>
        </w:rPr>
        <w:t> </w:t>
      </w:r>
      <w:r>
        <w:rPr>
          <w:rFonts w:ascii="Arial"/>
          <w:b/>
          <w:sz w:val="18"/>
        </w:rPr>
        <w:t>amounts</w:t>
      </w:r>
      <w:r>
        <w:rPr>
          <w:rFonts w:ascii="Arial"/>
          <w:b/>
          <w:spacing w:val="-4"/>
          <w:sz w:val="18"/>
        </w:rPr>
        <w:t> </w:t>
      </w:r>
      <w:r>
        <w:rPr>
          <w:rFonts w:ascii="Arial"/>
          <w:b/>
          <w:sz w:val="18"/>
        </w:rPr>
        <w:t>and</w:t>
      </w:r>
      <w:r>
        <w:rPr>
          <w:rFonts w:ascii="Arial"/>
          <w:b/>
          <w:spacing w:val="-2"/>
          <w:sz w:val="18"/>
        </w:rPr>
        <w:t> </w:t>
      </w:r>
      <w:r>
        <w:rPr>
          <w:rFonts w:ascii="Arial"/>
          <w:b/>
          <w:sz w:val="18"/>
        </w:rPr>
        <w:t>spatial</w:t>
      </w:r>
      <w:r>
        <w:rPr>
          <w:rFonts w:ascii="Arial"/>
          <w:b/>
          <w:spacing w:val="-2"/>
          <w:sz w:val="18"/>
        </w:rPr>
        <w:t> </w:t>
      </w:r>
      <w:r>
        <w:rPr>
          <w:rFonts w:ascii="Arial"/>
          <w:b/>
          <w:sz w:val="18"/>
        </w:rPr>
        <w:t>arrangement</w:t>
      </w:r>
      <w:r>
        <w:rPr>
          <w:rFonts w:ascii="Arial"/>
          <w:b/>
          <w:spacing w:val="-2"/>
          <w:sz w:val="18"/>
        </w:rPr>
        <w:t> </w:t>
      </w:r>
      <w:r>
        <w:rPr>
          <w:rFonts w:ascii="Arial"/>
          <w:b/>
          <w:sz w:val="18"/>
        </w:rPr>
        <w:t>of</w:t>
      </w:r>
      <w:r>
        <w:rPr>
          <w:rFonts w:ascii="Arial"/>
          <w:b/>
          <w:spacing w:val="-2"/>
          <w:sz w:val="18"/>
        </w:rPr>
        <w:t> </w:t>
      </w:r>
      <w:r>
        <w:rPr>
          <w:rFonts w:ascii="Arial"/>
          <w:b/>
          <w:sz w:val="18"/>
        </w:rPr>
        <w:t>snags</w:t>
      </w:r>
      <w:r>
        <w:rPr>
          <w:rFonts w:ascii="Arial"/>
          <w:b/>
          <w:spacing w:val="-1"/>
          <w:sz w:val="18"/>
        </w:rPr>
        <w:t> </w:t>
      </w:r>
      <w:r>
        <w:rPr>
          <w:rFonts w:ascii="Arial"/>
          <w:b/>
          <w:sz w:val="18"/>
        </w:rPr>
        <w:t>by</w:t>
      </w:r>
      <w:r>
        <w:rPr>
          <w:rFonts w:ascii="Arial"/>
          <w:b/>
          <w:spacing w:val="-9"/>
          <w:sz w:val="18"/>
        </w:rPr>
        <w:t> </w:t>
      </w:r>
      <w:r>
        <w:rPr>
          <w:rFonts w:ascii="Arial"/>
          <w:b/>
          <w:sz w:val="18"/>
        </w:rPr>
        <w:t>forest</w:t>
      </w:r>
      <w:r>
        <w:rPr>
          <w:rFonts w:ascii="Arial"/>
          <w:b/>
          <w:spacing w:val="-2"/>
          <w:sz w:val="18"/>
        </w:rPr>
        <w:t> </w:t>
      </w:r>
      <w:r>
        <w:rPr>
          <w:rFonts w:ascii="Arial"/>
          <w:b/>
          <w:sz w:val="18"/>
        </w:rPr>
        <w:t>vegetation</w:t>
      </w:r>
      <w:r>
        <w:rPr>
          <w:rFonts w:ascii="Arial"/>
          <w:b/>
          <w:spacing w:val="-2"/>
          <w:sz w:val="18"/>
        </w:rPr>
        <w:t> types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775"/>
        <w:gridCol w:w="2251"/>
        <w:gridCol w:w="2301"/>
      </w:tblGrid>
      <w:tr>
        <w:trPr>
          <w:trHeight w:val="654" w:hRule="atLeast"/>
        </w:trPr>
        <w:tc>
          <w:tcPr>
            <w:tcW w:w="3775" w:type="dxa"/>
            <w:shd w:val="clear" w:color="auto" w:fill="D5E2BB"/>
          </w:tcPr>
          <w:p>
            <w:pPr>
              <w:pStyle w:val="TableParagraph"/>
              <w:spacing w:before="121"/>
              <w:ind w:left="897"/>
              <w:rPr>
                <w:b/>
                <w:sz w:val="18"/>
              </w:rPr>
            </w:pPr>
            <w:r>
              <w:rPr>
                <w:b/>
                <w:sz w:val="18"/>
              </w:rPr>
              <w:t>Forest</w:t>
            </w:r>
            <w:r>
              <w:rPr>
                <w:b/>
                <w:spacing w:val="-3"/>
                <w:sz w:val="18"/>
              </w:rPr>
              <w:t> </w:t>
            </w:r>
            <w:r>
              <w:rPr>
                <w:b/>
                <w:sz w:val="18"/>
              </w:rPr>
              <w:t>Vegetation</w:t>
            </w:r>
            <w:r>
              <w:rPr>
                <w:b/>
                <w:spacing w:val="-3"/>
                <w:sz w:val="18"/>
              </w:rPr>
              <w:t> </w:t>
            </w:r>
            <w:r>
              <w:rPr>
                <w:b/>
                <w:spacing w:val="-4"/>
                <w:sz w:val="18"/>
              </w:rPr>
              <w:t>Type</w:t>
            </w:r>
          </w:p>
        </w:tc>
        <w:tc>
          <w:tcPr>
            <w:tcW w:w="2251" w:type="dxa"/>
            <w:shd w:val="clear" w:color="auto" w:fill="D5E2BB"/>
          </w:tcPr>
          <w:p>
            <w:pPr>
              <w:pStyle w:val="TableParagraph"/>
              <w:spacing w:line="235" w:lineRule="auto" w:before="121"/>
              <w:ind w:left="374" w:right="4" w:hanging="190"/>
              <w:rPr>
                <w:b/>
                <w:position w:val="6"/>
                <w:sz w:val="12"/>
              </w:rPr>
            </w:pPr>
            <w:r>
              <w:rPr>
                <w:b/>
                <w:sz w:val="18"/>
              </w:rPr>
              <w:t>Small</w:t>
            </w:r>
            <w:r>
              <w:rPr>
                <w:b/>
                <w:position w:val="6"/>
                <w:sz w:val="12"/>
              </w:rPr>
              <w:t>1</w:t>
            </w:r>
            <w:r>
              <w:rPr>
                <w:b/>
                <w:spacing w:val="5"/>
                <w:position w:val="6"/>
                <w:sz w:val="12"/>
              </w:rPr>
              <w:t> </w:t>
            </w:r>
            <w:r>
              <w:rPr>
                <w:b/>
                <w:sz w:val="18"/>
              </w:rPr>
              <w:t>Snags</w:t>
            </w:r>
            <w:r>
              <w:rPr>
                <w:b/>
                <w:spacing w:val="-11"/>
                <w:sz w:val="18"/>
              </w:rPr>
              <w:t> </w:t>
            </w:r>
            <w:r>
              <w:rPr>
                <w:b/>
                <w:sz w:val="18"/>
              </w:rPr>
              <w:t>per</w:t>
            </w:r>
            <w:r>
              <w:rPr>
                <w:b/>
                <w:spacing w:val="-13"/>
                <w:sz w:val="18"/>
              </w:rPr>
              <w:t> </w:t>
            </w:r>
            <w:r>
              <w:rPr>
                <w:b/>
                <w:sz w:val="18"/>
              </w:rPr>
              <w:t>acre by Density Class</w:t>
            </w:r>
            <w:r>
              <w:rPr>
                <w:b/>
                <w:position w:val="6"/>
                <w:sz w:val="12"/>
              </w:rPr>
              <w:t>3</w:t>
            </w:r>
          </w:p>
        </w:tc>
        <w:tc>
          <w:tcPr>
            <w:tcW w:w="2301" w:type="dxa"/>
            <w:shd w:val="clear" w:color="auto" w:fill="D5E2BB"/>
          </w:tcPr>
          <w:p>
            <w:pPr>
              <w:pStyle w:val="TableParagraph"/>
              <w:spacing w:line="235" w:lineRule="auto" w:before="121"/>
              <w:ind w:left="400" w:right="26" w:hanging="197"/>
              <w:rPr>
                <w:b/>
                <w:position w:val="6"/>
                <w:sz w:val="12"/>
              </w:rPr>
            </w:pPr>
            <w:r>
              <w:rPr>
                <w:b/>
                <w:sz w:val="18"/>
              </w:rPr>
              <w:t>Large</w:t>
            </w:r>
            <w:r>
              <w:rPr>
                <w:b/>
                <w:position w:val="6"/>
                <w:sz w:val="12"/>
              </w:rPr>
              <w:t>2</w:t>
            </w:r>
            <w:r>
              <w:rPr>
                <w:b/>
                <w:spacing w:val="5"/>
                <w:position w:val="6"/>
                <w:sz w:val="12"/>
              </w:rPr>
              <w:t> </w:t>
            </w:r>
            <w:r>
              <w:rPr>
                <w:b/>
                <w:sz w:val="18"/>
              </w:rPr>
              <w:t>Snags</w:t>
            </w:r>
            <w:r>
              <w:rPr>
                <w:b/>
                <w:spacing w:val="-11"/>
                <w:sz w:val="18"/>
              </w:rPr>
              <w:t> </w:t>
            </w:r>
            <w:r>
              <w:rPr>
                <w:b/>
                <w:sz w:val="18"/>
              </w:rPr>
              <w:t>per</w:t>
            </w:r>
            <w:r>
              <w:rPr>
                <w:b/>
                <w:spacing w:val="-13"/>
                <w:sz w:val="18"/>
              </w:rPr>
              <w:t> </w:t>
            </w:r>
            <w:r>
              <w:rPr>
                <w:b/>
                <w:sz w:val="18"/>
              </w:rPr>
              <w:t>acre by Density Class</w:t>
            </w:r>
            <w:r>
              <w:rPr>
                <w:b/>
                <w:position w:val="6"/>
                <w:sz w:val="12"/>
              </w:rPr>
              <w:t>4</w:t>
            </w:r>
          </w:p>
        </w:tc>
      </w:tr>
      <w:tr>
        <w:trPr>
          <w:trHeight w:val="327" w:hRule="atLeast"/>
        </w:trPr>
        <w:tc>
          <w:tcPr>
            <w:tcW w:w="3775" w:type="dxa"/>
          </w:tcPr>
          <w:p>
            <w:pPr>
              <w:pStyle w:val="TableParagraph"/>
              <w:spacing w:before="58"/>
              <w:ind w:left="112"/>
              <w:rPr>
                <w:b/>
                <w:sz w:val="18"/>
              </w:rPr>
            </w:pPr>
            <w:r>
              <w:rPr>
                <w:b/>
                <w:sz w:val="18"/>
              </w:rPr>
              <w:t>Douglas-fir</w:t>
            </w:r>
            <w:r>
              <w:rPr>
                <w:b/>
                <w:spacing w:val="-3"/>
                <w:sz w:val="18"/>
              </w:rPr>
              <w:t> </w:t>
            </w:r>
            <w:r>
              <w:rPr>
                <w:b/>
                <w:spacing w:val="-5"/>
                <w:sz w:val="18"/>
              </w:rPr>
              <w:t>Dry</w:t>
            </w:r>
          </w:p>
        </w:tc>
        <w:tc>
          <w:tcPr>
            <w:tcW w:w="2251" w:type="dxa"/>
          </w:tcPr>
          <w:p>
            <w:pPr>
              <w:pStyle w:val="TableParagraph"/>
              <w:spacing w:before="0"/>
              <w:rPr>
                <w:rFonts w:ascii="Times New Roman"/>
                <w:sz w:val="18"/>
              </w:rPr>
            </w:pPr>
          </w:p>
        </w:tc>
        <w:tc>
          <w:tcPr>
            <w:tcW w:w="2301" w:type="dxa"/>
          </w:tcPr>
          <w:p>
            <w:pPr>
              <w:pStyle w:val="TableParagraph"/>
              <w:spacing w:before="0"/>
              <w:rPr>
                <w:rFonts w:ascii="Times New Roman"/>
                <w:sz w:val="18"/>
              </w:rPr>
            </w:pPr>
          </w:p>
        </w:tc>
      </w:tr>
      <w:tr>
        <w:trPr>
          <w:trHeight w:val="325" w:hRule="atLeast"/>
        </w:trPr>
        <w:tc>
          <w:tcPr>
            <w:tcW w:w="3775" w:type="dxa"/>
          </w:tcPr>
          <w:p>
            <w:pPr>
              <w:pStyle w:val="TableParagraph"/>
              <w:spacing w:before="58"/>
              <w:ind w:left="359"/>
              <w:rPr>
                <w:sz w:val="18"/>
              </w:rPr>
            </w:pPr>
            <w:r>
              <w:rPr>
                <w:sz w:val="18"/>
              </w:rPr>
              <w:t>Low</w:t>
            </w:r>
            <w:r>
              <w:rPr>
                <w:spacing w:val="-6"/>
                <w:sz w:val="18"/>
              </w:rPr>
              <w:t> </w:t>
            </w:r>
            <w:r>
              <w:rPr>
                <w:sz w:val="18"/>
              </w:rPr>
              <w:t>Density</w:t>
            </w:r>
            <w:r>
              <w:rPr>
                <w:spacing w:val="-4"/>
                <w:sz w:val="18"/>
              </w:rPr>
              <w:t> </w:t>
            </w:r>
            <w:r>
              <w:rPr>
                <w:spacing w:val="-2"/>
                <w:sz w:val="18"/>
              </w:rPr>
              <w:t>Class</w:t>
            </w:r>
          </w:p>
        </w:tc>
        <w:tc>
          <w:tcPr>
            <w:tcW w:w="2251" w:type="dxa"/>
          </w:tcPr>
          <w:p>
            <w:pPr>
              <w:pStyle w:val="TableParagraph"/>
              <w:spacing w:before="58"/>
              <w:ind w:left="28" w:right="4"/>
              <w:jc w:val="center"/>
              <w:rPr>
                <w:sz w:val="18"/>
              </w:rPr>
            </w:pPr>
            <w:r>
              <w:rPr>
                <w:spacing w:val="-5"/>
                <w:sz w:val="18"/>
              </w:rPr>
              <w:t>&lt;4</w:t>
            </w:r>
          </w:p>
        </w:tc>
        <w:tc>
          <w:tcPr>
            <w:tcW w:w="2301" w:type="dxa"/>
          </w:tcPr>
          <w:p>
            <w:pPr>
              <w:pStyle w:val="TableParagraph"/>
              <w:spacing w:before="58"/>
              <w:ind w:left="110" w:right="82"/>
              <w:jc w:val="center"/>
              <w:rPr>
                <w:sz w:val="18"/>
              </w:rPr>
            </w:pPr>
            <w:r>
              <w:rPr>
                <w:spacing w:val="-5"/>
                <w:sz w:val="18"/>
              </w:rPr>
              <w:t>&lt;2</w:t>
            </w:r>
          </w:p>
        </w:tc>
      </w:tr>
      <w:tr>
        <w:trPr>
          <w:trHeight w:val="328" w:hRule="atLeast"/>
        </w:trPr>
        <w:tc>
          <w:tcPr>
            <w:tcW w:w="3775" w:type="dxa"/>
          </w:tcPr>
          <w:p>
            <w:pPr>
              <w:pStyle w:val="TableParagraph"/>
              <w:spacing w:before="61"/>
              <w:ind w:left="359"/>
              <w:rPr>
                <w:sz w:val="18"/>
              </w:rPr>
            </w:pPr>
            <w:r>
              <w:rPr>
                <w:sz w:val="18"/>
              </w:rPr>
              <w:t>Moderate</w:t>
            </w:r>
            <w:r>
              <w:rPr>
                <w:spacing w:val="-8"/>
                <w:sz w:val="18"/>
              </w:rPr>
              <w:t> </w:t>
            </w:r>
            <w:r>
              <w:rPr>
                <w:sz w:val="18"/>
              </w:rPr>
              <w:t>Density</w:t>
            </w:r>
            <w:r>
              <w:rPr>
                <w:spacing w:val="-9"/>
                <w:sz w:val="18"/>
              </w:rPr>
              <w:t> </w:t>
            </w:r>
            <w:r>
              <w:rPr>
                <w:spacing w:val="-4"/>
                <w:sz w:val="18"/>
              </w:rPr>
              <w:t>Class</w:t>
            </w:r>
          </w:p>
        </w:tc>
        <w:tc>
          <w:tcPr>
            <w:tcW w:w="2251" w:type="dxa"/>
          </w:tcPr>
          <w:p>
            <w:pPr>
              <w:pStyle w:val="TableParagraph"/>
              <w:spacing w:before="61"/>
              <w:ind w:left="28" w:right="2"/>
              <w:jc w:val="center"/>
              <w:rPr>
                <w:sz w:val="18"/>
              </w:rPr>
            </w:pPr>
            <w:r>
              <w:rPr>
                <w:spacing w:val="-2"/>
                <w:sz w:val="18"/>
              </w:rPr>
              <w:t>4-</w:t>
            </w:r>
            <w:r>
              <w:rPr>
                <w:spacing w:val="-10"/>
                <w:sz w:val="18"/>
              </w:rPr>
              <w:t>8</w:t>
            </w:r>
          </w:p>
        </w:tc>
        <w:tc>
          <w:tcPr>
            <w:tcW w:w="2301" w:type="dxa"/>
          </w:tcPr>
          <w:p>
            <w:pPr>
              <w:pStyle w:val="TableParagraph"/>
              <w:spacing w:before="61"/>
              <w:ind w:left="111" w:right="82"/>
              <w:jc w:val="center"/>
              <w:rPr>
                <w:sz w:val="18"/>
              </w:rPr>
            </w:pPr>
            <w:r>
              <w:rPr>
                <w:spacing w:val="-2"/>
                <w:sz w:val="18"/>
              </w:rPr>
              <w:t>2-</w:t>
            </w:r>
            <w:r>
              <w:rPr>
                <w:spacing w:val="-10"/>
                <w:sz w:val="18"/>
              </w:rPr>
              <w:t>4</w:t>
            </w:r>
          </w:p>
        </w:tc>
      </w:tr>
      <w:tr>
        <w:trPr>
          <w:trHeight w:val="325" w:hRule="atLeast"/>
        </w:trPr>
        <w:tc>
          <w:tcPr>
            <w:tcW w:w="3775" w:type="dxa"/>
            <w:tcBorders>
              <w:bottom w:val="single" w:sz="12" w:space="0" w:color="9BBA58"/>
            </w:tcBorders>
          </w:tcPr>
          <w:p>
            <w:pPr>
              <w:pStyle w:val="TableParagraph"/>
              <w:spacing w:before="58"/>
              <w:ind w:left="359"/>
              <w:rPr>
                <w:sz w:val="18"/>
              </w:rPr>
            </w:pPr>
            <w:r>
              <w:rPr>
                <w:sz w:val="18"/>
              </w:rPr>
              <w:t>High</w:t>
            </w:r>
            <w:r>
              <w:rPr>
                <w:spacing w:val="-5"/>
                <w:sz w:val="18"/>
              </w:rPr>
              <w:t> </w:t>
            </w:r>
            <w:r>
              <w:rPr>
                <w:sz w:val="18"/>
              </w:rPr>
              <w:t>Density</w:t>
            </w:r>
            <w:r>
              <w:rPr>
                <w:spacing w:val="-4"/>
                <w:sz w:val="18"/>
              </w:rPr>
              <w:t> Class</w:t>
            </w:r>
          </w:p>
        </w:tc>
        <w:tc>
          <w:tcPr>
            <w:tcW w:w="2251" w:type="dxa"/>
            <w:tcBorders>
              <w:bottom w:val="single" w:sz="12" w:space="0" w:color="9BBA58"/>
            </w:tcBorders>
          </w:tcPr>
          <w:p>
            <w:pPr>
              <w:pStyle w:val="TableParagraph"/>
              <w:spacing w:before="58"/>
              <w:ind w:left="28" w:right="4"/>
              <w:jc w:val="center"/>
              <w:rPr>
                <w:sz w:val="18"/>
              </w:rPr>
            </w:pPr>
            <w:r>
              <w:rPr>
                <w:spacing w:val="-5"/>
                <w:sz w:val="18"/>
              </w:rPr>
              <w:t>&gt;8</w:t>
            </w:r>
          </w:p>
        </w:tc>
        <w:tc>
          <w:tcPr>
            <w:tcW w:w="2301" w:type="dxa"/>
            <w:tcBorders>
              <w:bottom w:val="single" w:sz="12" w:space="0" w:color="9BBA58"/>
            </w:tcBorders>
          </w:tcPr>
          <w:p>
            <w:pPr>
              <w:pStyle w:val="TableParagraph"/>
              <w:spacing w:before="58"/>
              <w:ind w:left="109" w:right="82"/>
              <w:jc w:val="center"/>
              <w:rPr>
                <w:sz w:val="18"/>
              </w:rPr>
            </w:pPr>
            <w:r>
              <w:rPr>
                <w:spacing w:val="-5"/>
                <w:sz w:val="18"/>
              </w:rPr>
              <w:t>&gt;4</w:t>
            </w:r>
          </w:p>
        </w:tc>
      </w:tr>
      <w:tr>
        <w:trPr>
          <w:trHeight w:val="327" w:hRule="atLeast"/>
        </w:trPr>
        <w:tc>
          <w:tcPr>
            <w:tcW w:w="3775" w:type="dxa"/>
            <w:tcBorders>
              <w:top w:val="single" w:sz="12" w:space="0" w:color="9BBA58"/>
            </w:tcBorders>
          </w:tcPr>
          <w:p>
            <w:pPr>
              <w:pStyle w:val="TableParagraph"/>
              <w:spacing w:before="61"/>
              <w:ind w:left="112"/>
              <w:rPr>
                <w:b/>
                <w:sz w:val="18"/>
              </w:rPr>
            </w:pPr>
            <w:r>
              <w:rPr>
                <w:b/>
                <w:sz w:val="18"/>
              </w:rPr>
              <w:t>Northern</w:t>
            </w:r>
            <w:r>
              <w:rPr>
                <w:b/>
                <w:spacing w:val="-1"/>
                <w:sz w:val="18"/>
              </w:rPr>
              <w:t> </w:t>
            </w:r>
            <w:r>
              <w:rPr>
                <w:b/>
                <w:sz w:val="18"/>
              </w:rPr>
              <w:t>Rocky</w:t>
            </w:r>
            <w:r>
              <w:rPr>
                <w:b/>
                <w:spacing w:val="-9"/>
                <w:sz w:val="18"/>
              </w:rPr>
              <w:t> </w:t>
            </w:r>
            <w:r>
              <w:rPr>
                <w:b/>
                <w:sz w:val="18"/>
              </w:rPr>
              <w:t>Mountains</w:t>
            </w:r>
            <w:r>
              <w:rPr>
                <w:b/>
                <w:spacing w:val="-3"/>
                <w:sz w:val="18"/>
              </w:rPr>
              <w:t> </w:t>
            </w:r>
            <w:r>
              <w:rPr>
                <w:b/>
                <w:sz w:val="18"/>
              </w:rPr>
              <w:t>Mixed</w:t>
            </w:r>
            <w:r>
              <w:rPr>
                <w:b/>
                <w:spacing w:val="-2"/>
                <w:sz w:val="18"/>
              </w:rPr>
              <w:t> Conifer</w:t>
            </w:r>
          </w:p>
        </w:tc>
        <w:tc>
          <w:tcPr>
            <w:tcW w:w="2251" w:type="dxa"/>
            <w:tcBorders>
              <w:top w:val="single" w:sz="12" w:space="0" w:color="9BBA58"/>
            </w:tcBorders>
          </w:tcPr>
          <w:p>
            <w:pPr>
              <w:pStyle w:val="TableParagraph"/>
              <w:spacing w:before="0"/>
              <w:rPr>
                <w:rFonts w:ascii="Times New Roman"/>
                <w:sz w:val="18"/>
              </w:rPr>
            </w:pPr>
          </w:p>
        </w:tc>
        <w:tc>
          <w:tcPr>
            <w:tcW w:w="2301" w:type="dxa"/>
            <w:tcBorders>
              <w:top w:val="single" w:sz="12" w:space="0" w:color="9BBA58"/>
            </w:tcBorders>
          </w:tcPr>
          <w:p>
            <w:pPr>
              <w:pStyle w:val="TableParagraph"/>
              <w:spacing w:before="0"/>
              <w:rPr>
                <w:rFonts w:ascii="Times New Roman"/>
                <w:sz w:val="18"/>
              </w:rPr>
            </w:pPr>
          </w:p>
        </w:tc>
      </w:tr>
      <w:tr>
        <w:trPr>
          <w:trHeight w:val="328" w:hRule="atLeast"/>
        </w:trPr>
        <w:tc>
          <w:tcPr>
            <w:tcW w:w="3775" w:type="dxa"/>
          </w:tcPr>
          <w:p>
            <w:pPr>
              <w:pStyle w:val="TableParagraph"/>
              <w:spacing w:before="61"/>
              <w:ind w:left="359"/>
              <w:rPr>
                <w:sz w:val="18"/>
              </w:rPr>
            </w:pPr>
            <w:r>
              <w:rPr>
                <w:sz w:val="18"/>
              </w:rPr>
              <w:t>Low</w:t>
            </w:r>
            <w:r>
              <w:rPr>
                <w:spacing w:val="-6"/>
                <w:sz w:val="18"/>
              </w:rPr>
              <w:t> </w:t>
            </w:r>
            <w:r>
              <w:rPr>
                <w:sz w:val="18"/>
              </w:rPr>
              <w:t>Density</w:t>
            </w:r>
            <w:r>
              <w:rPr>
                <w:spacing w:val="-4"/>
                <w:sz w:val="18"/>
              </w:rPr>
              <w:t> </w:t>
            </w:r>
            <w:r>
              <w:rPr>
                <w:spacing w:val="-2"/>
                <w:sz w:val="18"/>
              </w:rPr>
              <w:t>Class</w:t>
            </w:r>
          </w:p>
        </w:tc>
        <w:tc>
          <w:tcPr>
            <w:tcW w:w="2251" w:type="dxa"/>
          </w:tcPr>
          <w:p>
            <w:pPr>
              <w:pStyle w:val="TableParagraph"/>
              <w:spacing w:before="61"/>
              <w:ind w:left="28" w:right="4"/>
              <w:jc w:val="center"/>
              <w:rPr>
                <w:sz w:val="18"/>
              </w:rPr>
            </w:pPr>
            <w:r>
              <w:rPr>
                <w:spacing w:val="-5"/>
                <w:sz w:val="18"/>
              </w:rPr>
              <w:t>&lt;6</w:t>
            </w:r>
          </w:p>
        </w:tc>
        <w:tc>
          <w:tcPr>
            <w:tcW w:w="2301" w:type="dxa"/>
          </w:tcPr>
          <w:p>
            <w:pPr>
              <w:pStyle w:val="TableParagraph"/>
              <w:spacing w:before="61"/>
              <w:ind w:left="110" w:right="82"/>
              <w:jc w:val="center"/>
              <w:rPr>
                <w:sz w:val="18"/>
              </w:rPr>
            </w:pPr>
            <w:r>
              <w:rPr>
                <w:spacing w:val="-5"/>
                <w:sz w:val="18"/>
              </w:rPr>
              <w:t>&lt;4</w:t>
            </w:r>
          </w:p>
        </w:tc>
      </w:tr>
      <w:tr>
        <w:trPr>
          <w:trHeight w:val="325" w:hRule="atLeast"/>
        </w:trPr>
        <w:tc>
          <w:tcPr>
            <w:tcW w:w="3775" w:type="dxa"/>
          </w:tcPr>
          <w:p>
            <w:pPr>
              <w:pStyle w:val="TableParagraph"/>
              <w:spacing w:before="58"/>
              <w:ind w:left="359"/>
              <w:rPr>
                <w:sz w:val="18"/>
              </w:rPr>
            </w:pPr>
            <w:r>
              <w:rPr>
                <w:sz w:val="18"/>
              </w:rPr>
              <w:t>Moderate</w:t>
            </w:r>
            <w:r>
              <w:rPr>
                <w:spacing w:val="-8"/>
                <w:sz w:val="18"/>
              </w:rPr>
              <w:t> </w:t>
            </w:r>
            <w:r>
              <w:rPr>
                <w:sz w:val="18"/>
              </w:rPr>
              <w:t>Density</w:t>
            </w:r>
            <w:r>
              <w:rPr>
                <w:spacing w:val="-9"/>
                <w:sz w:val="18"/>
              </w:rPr>
              <w:t> </w:t>
            </w:r>
            <w:r>
              <w:rPr>
                <w:spacing w:val="-4"/>
                <w:sz w:val="18"/>
              </w:rPr>
              <w:t>Class</w:t>
            </w:r>
          </w:p>
        </w:tc>
        <w:tc>
          <w:tcPr>
            <w:tcW w:w="2251" w:type="dxa"/>
          </w:tcPr>
          <w:p>
            <w:pPr>
              <w:pStyle w:val="TableParagraph"/>
              <w:spacing w:before="58"/>
              <w:ind w:left="28" w:right="2"/>
              <w:jc w:val="center"/>
              <w:rPr>
                <w:sz w:val="18"/>
              </w:rPr>
            </w:pPr>
            <w:r>
              <w:rPr>
                <w:spacing w:val="-2"/>
                <w:sz w:val="18"/>
              </w:rPr>
              <w:t>6-</w:t>
            </w:r>
            <w:r>
              <w:rPr>
                <w:spacing w:val="-5"/>
                <w:sz w:val="18"/>
              </w:rPr>
              <w:t>10</w:t>
            </w:r>
          </w:p>
        </w:tc>
        <w:tc>
          <w:tcPr>
            <w:tcW w:w="2301" w:type="dxa"/>
          </w:tcPr>
          <w:p>
            <w:pPr>
              <w:pStyle w:val="TableParagraph"/>
              <w:spacing w:before="58"/>
              <w:ind w:left="111" w:right="82"/>
              <w:jc w:val="center"/>
              <w:rPr>
                <w:sz w:val="18"/>
              </w:rPr>
            </w:pPr>
            <w:r>
              <w:rPr>
                <w:spacing w:val="-2"/>
                <w:sz w:val="18"/>
              </w:rPr>
              <w:t>5-</w:t>
            </w:r>
            <w:r>
              <w:rPr>
                <w:spacing w:val="-10"/>
                <w:sz w:val="18"/>
              </w:rPr>
              <w:t>9</w:t>
            </w:r>
          </w:p>
        </w:tc>
      </w:tr>
      <w:tr>
        <w:trPr>
          <w:trHeight w:val="327" w:hRule="atLeast"/>
        </w:trPr>
        <w:tc>
          <w:tcPr>
            <w:tcW w:w="3775" w:type="dxa"/>
            <w:tcBorders>
              <w:bottom w:val="single" w:sz="12" w:space="0" w:color="9BBA58"/>
            </w:tcBorders>
          </w:tcPr>
          <w:p>
            <w:pPr>
              <w:pStyle w:val="TableParagraph"/>
              <w:spacing w:before="61"/>
              <w:ind w:left="359"/>
              <w:rPr>
                <w:sz w:val="18"/>
              </w:rPr>
            </w:pPr>
            <w:r>
              <w:rPr>
                <w:sz w:val="18"/>
              </w:rPr>
              <w:t>High</w:t>
            </w:r>
            <w:r>
              <w:rPr>
                <w:spacing w:val="-5"/>
                <w:sz w:val="18"/>
              </w:rPr>
              <w:t> </w:t>
            </w:r>
            <w:r>
              <w:rPr>
                <w:sz w:val="18"/>
              </w:rPr>
              <w:t>Density</w:t>
            </w:r>
            <w:r>
              <w:rPr>
                <w:spacing w:val="-4"/>
                <w:sz w:val="18"/>
              </w:rPr>
              <w:t> Class</w:t>
            </w:r>
          </w:p>
        </w:tc>
        <w:tc>
          <w:tcPr>
            <w:tcW w:w="2251" w:type="dxa"/>
            <w:tcBorders>
              <w:bottom w:val="single" w:sz="12" w:space="0" w:color="9BBA58"/>
            </w:tcBorders>
          </w:tcPr>
          <w:p>
            <w:pPr>
              <w:pStyle w:val="TableParagraph"/>
              <w:spacing w:before="61"/>
              <w:ind w:left="28"/>
              <w:jc w:val="center"/>
              <w:rPr>
                <w:sz w:val="18"/>
              </w:rPr>
            </w:pPr>
            <w:r>
              <w:rPr>
                <w:spacing w:val="-5"/>
                <w:sz w:val="18"/>
              </w:rPr>
              <w:t>&gt;10</w:t>
            </w:r>
          </w:p>
        </w:tc>
        <w:tc>
          <w:tcPr>
            <w:tcW w:w="2301" w:type="dxa"/>
            <w:tcBorders>
              <w:bottom w:val="single" w:sz="12" w:space="0" w:color="9BBA58"/>
            </w:tcBorders>
          </w:tcPr>
          <w:p>
            <w:pPr>
              <w:pStyle w:val="TableParagraph"/>
              <w:spacing w:before="61"/>
              <w:ind w:left="109" w:right="82"/>
              <w:jc w:val="center"/>
              <w:rPr>
                <w:sz w:val="18"/>
              </w:rPr>
            </w:pPr>
            <w:r>
              <w:rPr>
                <w:spacing w:val="-5"/>
                <w:sz w:val="18"/>
              </w:rPr>
              <w:t>&gt;9</w:t>
            </w:r>
          </w:p>
        </w:tc>
      </w:tr>
      <w:tr>
        <w:trPr>
          <w:trHeight w:val="327" w:hRule="atLeast"/>
        </w:trPr>
        <w:tc>
          <w:tcPr>
            <w:tcW w:w="3775" w:type="dxa"/>
            <w:tcBorders>
              <w:top w:val="single" w:sz="12" w:space="0" w:color="9BBA58"/>
            </w:tcBorders>
          </w:tcPr>
          <w:p>
            <w:pPr>
              <w:pStyle w:val="TableParagraph"/>
              <w:spacing w:before="58"/>
              <w:ind w:left="112"/>
              <w:rPr>
                <w:b/>
                <w:sz w:val="18"/>
              </w:rPr>
            </w:pPr>
            <w:r>
              <w:rPr>
                <w:b/>
                <w:sz w:val="18"/>
              </w:rPr>
              <w:t>Western</w:t>
            </w:r>
            <w:r>
              <w:rPr>
                <w:b/>
                <w:spacing w:val="-5"/>
                <w:sz w:val="18"/>
              </w:rPr>
              <w:t> </w:t>
            </w:r>
            <w:r>
              <w:rPr>
                <w:b/>
                <w:sz w:val="18"/>
              </w:rPr>
              <w:t>Hemlock/Western</w:t>
            </w:r>
            <w:r>
              <w:rPr>
                <w:b/>
                <w:spacing w:val="-5"/>
                <w:sz w:val="18"/>
              </w:rPr>
              <w:t> </w:t>
            </w:r>
            <w:r>
              <w:rPr>
                <w:b/>
                <w:sz w:val="18"/>
              </w:rPr>
              <w:t>Red</w:t>
            </w:r>
            <w:r>
              <w:rPr>
                <w:b/>
                <w:spacing w:val="-5"/>
                <w:sz w:val="18"/>
              </w:rPr>
              <w:t> </w:t>
            </w:r>
            <w:r>
              <w:rPr>
                <w:b/>
                <w:spacing w:val="-2"/>
                <w:sz w:val="18"/>
              </w:rPr>
              <w:t>Cedar</w:t>
            </w:r>
          </w:p>
        </w:tc>
        <w:tc>
          <w:tcPr>
            <w:tcW w:w="2251" w:type="dxa"/>
            <w:tcBorders>
              <w:top w:val="single" w:sz="12" w:space="0" w:color="9BBA58"/>
            </w:tcBorders>
          </w:tcPr>
          <w:p>
            <w:pPr>
              <w:pStyle w:val="TableParagraph"/>
              <w:spacing w:before="0"/>
              <w:rPr>
                <w:rFonts w:ascii="Times New Roman"/>
                <w:sz w:val="18"/>
              </w:rPr>
            </w:pPr>
          </w:p>
        </w:tc>
        <w:tc>
          <w:tcPr>
            <w:tcW w:w="2301" w:type="dxa"/>
            <w:tcBorders>
              <w:top w:val="single" w:sz="12" w:space="0" w:color="9BBA58"/>
            </w:tcBorders>
          </w:tcPr>
          <w:p>
            <w:pPr>
              <w:pStyle w:val="TableParagraph"/>
              <w:spacing w:before="0"/>
              <w:rPr>
                <w:rFonts w:ascii="Times New Roman"/>
                <w:sz w:val="18"/>
              </w:rPr>
            </w:pPr>
          </w:p>
        </w:tc>
      </w:tr>
      <w:tr>
        <w:trPr>
          <w:trHeight w:val="325" w:hRule="atLeast"/>
        </w:trPr>
        <w:tc>
          <w:tcPr>
            <w:tcW w:w="3775" w:type="dxa"/>
          </w:tcPr>
          <w:p>
            <w:pPr>
              <w:pStyle w:val="TableParagraph"/>
              <w:spacing w:before="58"/>
              <w:ind w:left="359"/>
              <w:rPr>
                <w:sz w:val="18"/>
              </w:rPr>
            </w:pPr>
            <w:r>
              <w:rPr>
                <w:sz w:val="18"/>
              </w:rPr>
              <w:t>Low</w:t>
            </w:r>
            <w:r>
              <w:rPr>
                <w:spacing w:val="-6"/>
                <w:sz w:val="18"/>
              </w:rPr>
              <w:t> </w:t>
            </w:r>
            <w:r>
              <w:rPr>
                <w:sz w:val="18"/>
              </w:rPr>
              <w:t>Density</w:t>
            </w:r>
            <w:r>
              <w:rPr>
                <w:spacing w:val="-4"/>
                <w:sz w:val="18"/>
              </w:rPr>
              <w:t> </w:t>
            </w:r>
            <w:r>
              <w:rPr>
                <w:spacing w:val="-2"/>
                <w:sz w:val="18"/>
              </w:rPr>
              <w:t>Class</w:t>
            </w:r>
          </w:p>
        </w:tc>
        <w:tc>
          <w:tcPr>
            <w:tcW w:w="2251" w:type="dxa"/>
          </w:tcPr>
          <w:p>
            <w:pPr>
              <w:pStyle w:val="TableParagraph"/>
              <w:spacing w:before="58"/>
              <w:ind w:left="28" w:right="4"/>
              <w:jc w:val="center"/>
              <w:rPr>
                <w:sz w:val="18"/>
              </w:rPr>
            </w:pPr>
            <w:r>
              <w:rPr>
                <w:spacing w:val="-5"/>
                <w:sz w:val="18"/>
              </w:rPr>
              <w:t>&lt;8</w:t>
            </w:r>
          </w:p>
        </w:tc>
        <w:tc>
          <w:tcPr>
            <w:tcW w:w="2301" w:type="dxa"/>
          </w:tcPr>
          <w:p>
            <w:pPr>
              <w:pStyle w:val="TableParagraph"/>
              <w:spacing w:before="58"/>
              <w:ind w:left="110" w:right="82"/>
              <w:jc w:val="center"/>
              <w:rPr>
                <w:sz w:val="18"/>
              </w:rPr>
            </w:pPr>
            <w:r>
              <w:rPr>
                <w:spacing w:val="-5"/>
                <w:sz w:val="18"/>
              </w:rPr>
              <w:t>&lt;3</w:t>
            </w:r>
          </w:p>
        </w:tc>
      </w:tr>
      <w:tr>
        <w:trPr>
          <w:trHeight w:val="327" w:hRule="atLeast"/>
        </w:trPr>
        <w:tc>
          <w:tcPr>
            <w:tcW w:w="3775" w:type="dxa"/>
          </w:tcPr>
          <w:p>
            <w:pPr>
              <w:pStyle w:val="TableParagraph"/>
              <w:spacing w:before="61"/>
              <w:ind w:left="359"/>
              <w:rPr>
                <w:sz w:val="18"/>
              </w:rPr>
            </w:pPr>
            <w:r>
              <w:rPr>
                <w:sz w:val="18"/>
              </w:rPr>
              <w:t>Moderate</w:t>
            </w:r>
            <w:r>
              <w:rPr>
                <w:spacing w:val="-8"/>
                <w:sz w:val="18"/>
              </w:rPr>
              <w:t> </w:t>
            </w:r>
            <w:r>
              <w:rPr>
                <w:sz w:val="18"/>
              </w:rPr>
              <w:t>Density</w:t>
            </w:r>
            <w:r>
              <w:rPr>
                <w:spacing w:val="-9"/>
                <w:sz w:val="18"/>
              </w:rPr>
              <w:t> </w:t>
            </w:r>
            <w:r>
              <w:rPr>
                <w:spacing w:val="-4"/>
                <w:sz w:val="18"/>
              </w:rPr>
              <w:t>Class</w:t>
            </w:r>
          </w:p>
        </w:tc>
        <w:tc>
          <w:tcPr>
            <w:tcW w:w="2251" w:type="dxa"/>
          </w:tcPr>
          <w:p>
            <w:pPr>
              <w:pStyle w:val="TableParagraph"/>
              <w:spacing w:before="61"/>
              <w:ind w:left="28" w:right="2"/>
              <w:jc w:val="center"/>
              <w:rPr>
                <w:sz w:val="18"/>
              </w:rPr>
            </w:pPr>
            <w:r>
              <w:rPr>
                <w:spacing w:val="-2"/>
                <w:sz w:val="18"/>
              </w:rPr>
              <w:t>8-</w:t>
            </w:r>
            <w:r>
              <w:rPr>
                <w:spacing w:val="-5"/>
                <w:sz w:val="18"/>
              </w:rPr>
              <w:t>15</w:t>
            </w:r>
          </w:p>
        </w:tc>
        <w:tc>
          <w:tcPr>
            <w:tcW w:w="2301" w:type="dxa"/>
          </w:tcPr>
          <w:p>
            <w:pPr>
              <w:pStyle w:val="TableParagraph"/>
              <w:spacing w:before="61"/>
              <w:ind w:left="111" w:right="82"/>
              <w:jc w:val="center"/>
              <w:rPr>
                <w:sz w:val="18"/>
              </w:rPr>
            </w:pPr>
            <w:r>
              <w:rPr>
                <w:spacing w:val="-2"/>
                <w:sz w:val="18"/>
              </w:rPr>
              <w:t>3-</w:t>
            </w:r>
            <w:r>
              <w:rPr>
                <w:spacing w:val="-10"/>
                <w:sz w:val="18"/>
              </w:rPr>
              <w:t>6</w:t>
            </w:r>
          </w:p>
        </w:tc>
      </w:tr>
      <w:tr>
        <w:trPr>
          <w:trHeight w:val="325" w:hRule="atLeast"/>
        </w:trPr>
        <w:tc>
          <w:tcPr>
            <w:tcW w:w="3775" w:type="dxa"/>
            <w:tcBorders>
              <w:bottom w:val="single" w:sz="12" w:space="0" w:color="9BBA58"/>
            </w:tcBorders>
          </w:tcPr>
          <w:p>
            <w:pPr>
              <w:pStyle w:val="TableParagraph"/>
              <w:spacing w:before="58"/>
              <w:ind w:left="359"/>
              <w:rPr>
                <w:sz w:val="18"/>
              </w:rPr>
            </w:pPr>
            <w:r>
              <w:rPr>
                <w:sz w:val="18"/>
              </w:rPr>
              <w:t>High</w:t>
            </w:r>
            <w:r>
              <w:rPr>
                <w:spacing w:val="-5"/>
                <w:sz w:val="18"/>
              </w:rPr>
              <w:t> </w:t>
            </w:r>
            <w:r>
              <w:rPr>
                <w:sz w:val="18"/>
              </w:rPr>
              <w:t>Density</w:t>
            </w:r>
            <w:r>
              <w:rPr>
                <w:spacing w:val="-4"/>
                <w:sz w:val="18"/>
              </w:rPr>
              <w:t> Class</w:t>
            </w:r>
          </w:p>
        </w:tc>
        <w:tc>
          <w:tcPr>
            <w:tcW w:w="2251" w:type="dxa"/>
            <w:tcBorders>
              <w:bottom w:val="single" w:sz="12" w:space="0" w:color="9BBA58"/>
            </w:tcBorders>
          </w:tcPr>
          <w:p>
            <w:pPr>
              <w:pStyle w:val="TableParagraph"/>
              <w:spacing w:before="58"/>
              <w:ind w:left="28"/>
              <w:jc w:val="center"/>
              <w:rPr>
                <w:sz w:val="18"/>
              </w:rPr>
            </w:pPr>
            <w:r>
              <w:rPr>
                <w:spacing w:val="-5"/>
                <w:sz w:val="18"/>
              </w:rPr>
              <w:t>&gt;15</w:t>
            </w:r>
          </w:p>
        </w:tc>
        <w:tc>
          <w:tcPr>
            <w:tcW w:w="2301" w:type="dxa"/>
            <w:tcBorders>
              <w:bottom w:val="single" w:sz="12" w:space="0" w:color="9BBA58"/>
            </w:tcBorders>
          </w:tcPr>
          <w:p>
            <w:pPr>
              <w:pStyle w:val="TableParagraph"/>
              <w:spacing w:before="58"/>
              <w:ind w:left="109" w:right="82"/>
              <w:jc w:val="center"/>
              <w:rPr>
                <w:sz w:val="18"/>
              </w:rPr>
            </w:pPr>
            <w:r>
              <w:rPr>
                <w:spacing w:val="-5"/>
                <w:sz w:val="18"/>
              </w:rPr>
              <w:t>&gt;6</w:t>
            </w:r>
          </w:p>
        </w:tc>
      </w:tr>
      <w:tr>
        <w:trPr>
          <w:trHeight w:val="327" w:hRule="atLeast"/>
        </w:trPr>
        <w:tc>
          <w:tcPr>
            <w:tcW w:w="3775" w:type="dxa"/>
            <w:tcBorders>
              <w:top w:val="single" w:sz="12" w:space="0" w:color="9BBA58"/>
            </w:tcBorders>
          </w:tcPr>
          <w:p>
            <w:pPr>
              <w:pStyle w:val="TableParagraph"/>
              <w:spacing w:before="61"/>
              <w:ind w:left="112"/>
              <w:rPr>
                <w:b/>
                <w:sz w:val="18"/>
              </w:rPr>
            </w:pPr>
            <w:r>
              <w:rPr>
                <w:b/>
                <w:sz w:val="18"/>
              </w:rPr>
              <w:t>Subalpine</w:t>
            </w:r>
            <w:r>
              <w:rPr>
                <w:b/>
                <w:spacing w:val="-2"/>
                <w:sz w:val="18"/>
              </w:rPr>
              <w:t> fir/Lodgepole</w:t>
            </w:r>
          </w:p>
        </w:tc>
        <w:tc>
          <w:tcPr>
            <w:tcW w:w="2251" w:type="dxa"/>
            <w:tcBorders>
              <w:top w:val="single" w:sz="12" w:space="0" w:color="9BBA58"/>
            </w:tcBorders>
          </w:tcPr>
          <w:p>
            <w:pPr>
              <w:pStyle w:val="TableParagraph"/>
              <w:spacing w:before="0"/>
              <w:rPr>
                <w:rFonts w:ascii="Times New Roman"/>
                <w:sz w:val="18"/>
              </w:rPr>
            </w:pPr>
          </w:p>
        </w:tc>
        <w:tc>
          <w:tcPr>
            <w:tcW w:w="2301" w:type="dxa"/>
            <w:tcBorders>
              <w:top w:val="single" w:sz="12" w:space="0" w:color="9BBA58"/>
            </w:tcBorders>
          </w:tcPr>
          <w:p>
            <w:pPr>
              <w:pStyle w:val="TableParagraph"/>
              <w:spacing w:before="0"/>
              <w:rPr>
                <w:rFonts w:ascii="Times New Roman"/>
                <w:sz w:val="18"/>
              </w:rPr>
            </w:pPr>
          </w:p>
        </w:tc>
      </w:tr>
      <w:tr>
        <w:trPr>
          <w:trHeight w:val="327" w:hRule="atLeast"/>
        </w:trPr>
        <w:tc>
          <w:tcPr>
            <w:tcW w:w="3775" w:type="dxa"/>
          </w:tcPr>
          <w:p>
            <w:pPr>
              <w:pStyle w:val="TableParagraph"/>
              <w:spacing w:before="58"/>
              <w:ind w:left="359"/>
              <w:rPr>
                <w:sz w:val="18"/>
              </w:rPr>
            </w:pPr>
            <w:r>
              <w:rPr>
                <w:sz w:val="18"/>
              </w:rPr>
              <w:t>Low</w:t>
            </w:r>
            <w:r>
              <w:rPr>
                <w:spacing w:val="-6"/>
                <w:sz w:val="18"/>
              </w:rPr>
              <w:t> </w:t>
            </w:r>
            <w:r>
              <w:rPr>
                <w:sz w:val="18"/>
              </w:rPr>
              <w:t>Density</w:t>
            </w:r>
            <w:r>
              <w:rPr>
                <w:spacing w:val="-4"/>
                <w:sz w:val="18"/>
              </w:rPr>
              <w:t> </w:t>
            </w:r>
            <w:r>
              <w:rPr>
                <w:spacing w:val="-2"/>
                <w:sz w:val="18"/>
              </w:rPr>
              <w:t>Class</w:t>
            </w:r>
          </w:p>
        </w:tc>
        <w:tc>
          <w:tcPr>
            <w:tcW w:w="2251" w:type="dxa"/>
          </w:tcPr>
          <w:p>
            <w:pPr>
              <w:pStyle w:val="TableParagraph"/>
              <w:spacing w:before="58"/>
              <w:ind w:left="28" w:right="4"/>
              <w:jc w:val="center"/>
              <w:rPr>
                <w:sz w:val="18"/>
              </w:rPr>
            </w:pPr>
            <w:r>
              <w:rPr>
                <w:spacing w:val="-5"/>
                <w:sz w:val="18"/>
              </w:rPr>
              <w:t>&lt;8</w:t>
            </w:r>
          </w:p>
        </w:tc>
        <w:tc>
          <w:tcPr>
            <w:tcW w:w="2301" w:type="dxa"/>
          </w:tcPr>
          <w:p>
            <w:pPr>
              <w:pStyle w:val="TableParagraph"/>
              <w:spacing w:before="58"/>
              <w:ind w:left="110" w:right="82"/>
              <w:jc w:val="center"/>
              <w:rPr>
                <w:sz w:val="18"/>
              </w:rPr>
            </w:pPr>
            <w:r>
              <w:rPr>
                <w:spacing w:val="-5"/>
                <w:sz w:val="18"/>
              </w:rPr>
              <w:t>&lt;3</w:t>
            </w:r>
          </w:p>
        </w:tc>
      </w:tr>
      <w:tr>
        <w:trPr>
          <w:trHeight w:val="325" w:hRule="atLeast"/>
        </w:trPr>
        <w:tc>
          <w:tcPr>
            <w:tcW w:w="3775" w:type="dxa"/>
          </w:tcPr>
          <w:p>
            <w:pPr>
              <w:pStyle w:val="TableParagraph"/>
              <w:spacing w:before="58"/>
              <w:ind w:left="359"/>
              <w:rPr>
                <w:sz w:val="18"/>
              </w:rPr>
            </w:pPr>
            <w:r>
              <w:rPr>
                <w:sz w:val="18"/>
              </w:rPr>
              <w:t>Moderate</w:t>
            </w:r>
            <w:r>
              <w:rPr>
                <w:spacing w:val="-8"/>
                <w:sz w:val="18"/>
              </w:rPr>
              <w:t> </w:t>
            </w:r>
            <w:r>
              <w:rPr>
                <w:sz w:val="18"/>
              </w:rPr>
              <w:t>Density</w:t>
            </w:r>
            <w:r>
              <w:rPr>
                <w:spacing w:val="-9"/>
                <w:sz w:val="18"/>
              </w:rPr>
              <w:t> </w:t>
            </w:r>
            <w:r>
              <w:rPr>
                <w:spacing w:val="-2"/>
                <w:sz w:val="18"/>
              </w:rPr>
              <w:t>Class</w:t>
            </w:r>
          </w:p>
        </w:tc>
        <w:tc>
          <w:tcPr>
            <w:tcW w:w="2251" w:type="dxa"/>
          </w:tcPr>
          <w:p>
            <w:pPr>
              <w:pStyle w:val="TableParagraph"/>
              <w:spacing w:before="58"/>
              <w:ind w:left="28" w:right="2"/>
              <w:jc w:val="center"/>
              <w:rPr>
                <w:sz w:val="18"/>
              </w:rPr>
            </w:pPr>
            <w:r>
              <w:rPr>
                <w:spacing w:val="-2"/>
                <w:sz w:val="18"/>
              </w:rPr>
              <w:t>8-</w:t>
            </w:r>
            <w:r>
              <w:rPr>
                <w:spacing w:val="-5"/>
                <w:sz w:val="18"/>
              </w:rPr>
              <w:t>14</w:t>
            </w:r>
          </w:p>
        </w:tc>
        <w:tc>
          <w:tcPr>
            <w:tcW w:w="2301" w:type="dxa"/>
          </w:tcPr>
          <w:p>
            <w:pPr>
              <w:pStyle w:val="TableParagraph"/>
              <w:spacing w:before="58"/>
              <w:ind w:left="111" w:right="82"/>
              <w:jc w:val="center"/>
              <w:rPr>
                <w:sz w:val="18"/>
              </w:rPr>
            </w:pPr>
            <w:r>
              <w:rPr>
                <w:spacing w:val="-2"/>
                <w:sz w:val="18"/>
              </w:rPr>
              <w:t>3-</w:t>
            </w:r>
            <w:r>
              <w:rPr>
                <w:spacing w:val="-10"/>
                <w:sz w:val="18"/>
              </w:rPr>
              <w:t>6</w:t>
            </w:r>
          </w:p>
        </w:tc>
      </w:tr>
      <w:tr>
        <w:trPr>
          <w:trHeight w:val="327" w:hRule="atLeast"/>
        </w:trPr>
        <w:tc>
          <w:tcPr>
            <w:tcW w:w="3775" w:type="dxa"/>
            <w:tcBorders>
              <w:left w:val="single" w:sz="12" w:space="0" w:color="9BBA58"/>
              <w:bottom w:val="single" w:sz="12" w:space="0" w:color="9BBA58"/>
            </w:tcBorders>
          </w:tcPr>
          <w:p>
            <w:pPr>
              <w:pStyle w:val="TableParagraph"/>
              <w:spacing w:before="61"/>
              <w:ind w:left="354"/>
              <w:rPr>
                <w:sz w:val="18"/>
              </w:rPr>
            </w:pPr>
            <w:r>
              <w:rPr>
                <w:sz w:val="18"/>
              </w:rPr>
              <w:t>High</w:t>
            </w:r>
            <w:r>
              <w:rPr>
                <w:spacing w:val="-5"/>
                <w:sz w:val="18"/>
              </w:rPr>
              <w:t> </w:t>
            </w:r>
            <w:r>
              <w:rPr>
                <w:sz w:val="18"/>
              </w:rPr>
              <w:t>Density</w:t>
            </w:r>
            <w:r>
              <w:rPr>
                <w:spacing w:val="-4"/>
                <w:sz w:val="18"/>
              </w:rPr>
              <w:t> Class</w:t>
            </w:r>
          </w:p>
        </w:tc>
        <w:tc>
          <w:tcPr>
            <w:tcW w:w="2251" w:type="dxa"/>
            <w:tcBorders>
              <w:bottom w:val="single" w:sz="12" w:space="0" w:color="9BBA58"/>
            </w:tcBorders>
          </w:tcPr>
          <w:p>
            <w:pPr>
              <w:pStyle w:val="TableParagraph"/>
              <w:spacing w:before="61"/>
              <w:ind w:left="28"/>
              <w:jc w:val="center"/>
              <w:rPr>
                <w:sz w:val="18"/>
              </w:rPr>
            </w:pPr>
            <w:r>
              <w:rPr>
                <w:spacing w:val="-5"/>
                <w:sz w:val="18"/>
              </w:rPr>
              <w:t>&gt;14</w:t>
            </w:r>
          </w:p>
        </w:tc>
        <w:tc>
          <w:tcPr>
            <w:tcW w:w="2301" w:type="dxa"/>
            <w:tcBorders>
              <w:bottom w:val="single" w:sz="12" w:space="0" w:color="9BBA58"/>
            </w:tcBorders>
          </w:tcPr>
          <w:p>
            <w:pPr>
              <w:pStyle w:val="TableParagraph"/>
              <w:spacing w:before="61"/>
              <w:ind w:left="109" w:right="82"/>
              <w:jc w:val="center"/>
              <w:rPr>
                <w:sz w:val="18"/>
              </w:rPr>
            </w:pPr>
            <w:r>
              <w:rPr>
                <w:spacing w:val="-5"/>
                <w:sz w:val="18"/>
              </w:rPr>
              <w:t>&gt;6</w:t>
            </w:r>
          </w:p>
        </w:tc>
      </w:tr>
      <w:tr>
        <w:trPr>
          <w:trHeight w:val="327" w:hRule="atLeast"/>
        </w:trPr>
        <w:tc>
          <w:tcPr>
            <w:tcW w:w="3775" w:type="dxa"/>
            <w:tcBorders>
              <w:top w:val="single" w:sz="12" w:space="0" w:color="9BBA58"/>
              <w:left w:val="single" w:sz="12" w:space="0" w:color="9BBA58"/>
            </w:tcBorders>
          </w:tcPr>
          <w:p>
            <w:pPr>
              <w:pStyle w:val="TableParagraph"/>
              <w:spacing w:before="58"/>
              <w:ind w:left="107"/>
              <w:rPr>
                <w:b/>
                <w:sz w:val="18"/>
              </w:rPr>
            </w:pPr>
            <w:r>
              <w:rPr>
                <w:b/>
                <w:sz w:val="18"/>
              </w:rPr>
              <w:t>Spruce/Subalpine</w:t>
            </w:r>
            <w:r>
              <w:rPr>
                <w:b/>
                <w:spacing w:val="-7"/>
                <w:sz w:val="18"/>
              </w:rPr>
              <w:t> </w:t>
            </w:r>
            <w:r>
              <w:rPr>
                <w:b/>
                <w:spacing w:val="-5"/>
                <w:sz w:val="18"/>
              </w:rPr>
              <w:t>fir</w:t>
            </w:r>
          </w:p>
        </w:tc>
        <w:tc>
          <w:tcPr>
            <w:tcW w:w="2251" w:type="dxa"/>
            <w:tcBorders>
              <w:top w:val="single" w:sz="12" w:space="0" w:color="9BBA58"/>
            </w:tcBorders>
          </w:tcPr>
          <w:p>
            <w:pPr>
              <w:pStyle w:val="TableParagraph"/>
              <w:spacing w:before="0"/>
              <w:rPr>
                <w:rFonts w:ascii="Times New Roman"/>
                <w:sz w:val="18"/>
              </w:rPr>
            </w:pPr>
          </w:p>
        </w:tc>
        <w:tc>
          <w:tcPr>
            <w:tcW w:w="2301" w:type="dxa"/>
            <w:tcBorders>
              <w:top w:val="single" w:sz="12" w:space="0" w:color="9BBA58"/>
            </w:tcBorders>
          </w:tcPr>
          <w:p>
            <w:pPr>
              <w:pStyle w:val="TableParagraph"/>
              <w:spacing w:before="0"/>
              <w:rPr>
                <w:rFonts w:ascii="Times New Roman"/>
                <w:sz w:val="18"/>
              </w:rPr>
            </w:pPr>
          </w:p>
        </w:tc>
      </w:tr>
      <w:tr>
        <w:trPr>
          <w:trHeight w:val="325" w:hRule="atLeast"/>
        </w:trPr>
        <w:tc>
          <w:tcPr>
            <w:tcW w:w="3775" w:type="dxa"/>
          </w:tcPr>
          <w:p>
            <w:pPr>
              <w:pStyle w:val="TableParagraph"/>
              <w:spacing w:before="58"/>
              <w:ind w:left="359"/>
              <w:rPr>
                <w:sz w:val="18"/>
              </w:rPr>
            </w:pPr>
            <w:r>
              <w:rPr>
                <w:sz w:val="18"/>
              </w:rPr>
              <w:t>Low</w:t>
            </w:r>
            <w:r>
              <w:rPr>
                <w:spacing w:val="-6"/>
                <w:sz w:val="18"/>
              </w:rPr>
              <w:t> </w:t>
            </w:r>
            <w:r>
              <w:rPr>
                <w:sz w:val="18"/>
              </w:rPr>
              <w:t>Density</w:t>
            </w:r>
            <w:r>
              <w:rPr>
                <w:spacing w:val="-4"/>
                <w:sz w:val="18"/>
              </w:rPr>
              <w:t> </w:t>
            </w:r>
            <w:r>
              <w:rPr>
                <w:spacing w:val="-2"/>
                <w:sz w:val="18"/>
              </w:rPr>
              <w:t>Class</w:t>
            </w:r>
          </w:p>
        </w:tc>
        <w:tc>
          <w:tcPr>
            <w:tcW w:w="2251" w:type="dxa"/>
          </w:tcPr>
          <w:p>
            <w:pPr>
              <w:pStyle w:val="TableParagraph"/>
              <w:spacing w:before="58"/>
              <w:ind w:left="28" w:right="4"/>
              <w:jc w:val="center"/>
              <w:rPr>
                <w:sz w:val="18"/>
              </w:rPr>
            </w:pPr>
            <w:r>
              <w:rPr>
                <w:spacing w:val="-5"/>
                <w:sz w:val="18"/>
              </w:rPr>
              <w:t>&lt;9</w:t>
            </w:r>
          </w:p>
        </w:tc>
        <w:tc>
          <w:tcPr>
            <w:tcW w:w="2301" w:type="dxa"/>
          </w:tcPr>
          <w:p>
            <w:pPr>
              <w:pStyle w:val="TableParagraph"/>
              <w:spacing w:before="58"/>
              <w:ind w:left="110" w:right="82"/>
              <w:jc w:val="center"/>
              <w:rPr>
                <w:sz w:val="18"/>
              </w:rPr>
            </w:pPr>
            <w:r>
              <w:rPr>
                <w:spacing w:val="-5"/>
                <w:sz w:val="18"/>
              </w:rPr>
              <w:t>&lt;3</w:t>
            </w:r>
          </w:p>
        </w:tc>
      </w:tr>
      <w:tr>
        <w:trPr>
          <w:trHeight w:val="327" w:hRule="atLeast"/>
        </w:trPr>
        <w:tc>
          <w:tcPr>
            <w:tcW w:w="3775" w:type="dxa"/>
          </w:tcPr>
          <w:p>
            <w:pPr>
              <w:pStyle w:val="TableParagraph"/>
              <w:spacing w:before="61"/>
              <w:ind w:left="359"/>
              <w:rPr>
                <w:sz w:val="18"/>
              </w:rPr>
            </w:pPr>
            <w:r>
              <w:rPr>
                <w:sz w:val="18"/>
              </w:rPr>
              <w:t>Moderate</w:t>
            </w:r>
            <w:r>
              <w:rPr>
                <w:spacing w:val="-8"/>
                <w:sz w:val="18"/>
              </w:rPr>
              <w:t> </w:t>
            </w:r>
            <w:r>
              <w:rPr>
                <w:sz w:val="18"/>
              </w:rPr>
              <w:t>Density</w:t>
            </w:r>
            <w:r>
              <w:rPr>
                <w:spacing w:val="-9"/>
                <w:sz w:val="18"/>
              </w:rPr>
              <w:t> </w:t>
            </w:r>
            <w:r>
              <w:rPr>
                <w:spacing w:val="-4"/>
                <w:sz w:val="18"/>
              </w:rPr>
              <w:t>Class</w:t>
            </w:r>
          </w:p>
        </w:tc>
        <w:tc>
          <w:tcPr>
            <w:tcW w:w="2251" w:type="dxa"/>
          </w:tcPr>
          <w:p>
            <w:pPr>
              <w:pStyle w:val="TableParagraph"/>
              <w:spacing w:before="61"/>
              <w:ind w:left="28" w:right="2"/>
              <w:jc w:val="center"/>
              <w:rPr>
                <w:sz w:val="18"/>
              </w:rPr>
            </w:pPr>
            <w:r>
              <w:rPr>
                <w:spacing w:val="-2"/>
                <w:sz w:val="18"/>
              </w:rPr>
              <w:t>9-</w:t>
            </w:r>
            <w:r>
              <w:rPr>
                <w:spacing w:val="-5"/>
                <w:sz w:val="18"/>
              </w:rPr>
              <w:t>16</w:t>
            </w:r>
          </w:p>
        </w:tc>
        <w:tc>
          <w:tcPr>
            <w:tcW w:w="2301" w:type="dxa"/>
          </w:tcPr>
          <w:p>
            <w:pPr>
              <w:pStyle w:val="TableParagraph"/>
              <w:spacing w:before="61"/>
              <w:ind w:left="111" w:right="82"/>
              <w:jc w:val="center"/>
              <w:rPr>
                <w:sz w:val="18"/>
              </w:rPr>
            </w:pPr>
            <w:r>
              <w:rPr>
                <w:spacing w:val="-2"/>
                <w:sz w:val="18"/>
              </w:rPr>
              <w:t>3-</w:t>
            </w:r>
            <w:r>
              <w:rPr>
                <w:spacing w:val="-10"/>
                <w:sz w:val="18"/>
              </w:rPr>
              <w:t>6</w:t>
            </w:r>
          </w:p>
        </w:tc>
      </w:tr>
      <w:tr>
        <w:trPr>
          <w:trHeight w:val="328" w:hRule="atLeast"/>
        </w:trPr>
        <w:tc>
          <w:tcPr>
            <w:tcW w:w="3775" w:type="dxa"/>
          </w:tcPr>
          <w:p>
            <w:pPr>
              <w:pStyle w:val="TableParagraph"/>
              <w:spacing w:before="58"/>
              <w:ind w:left="359"/>
              <w:rPr>
                <w:sz w:val="18"/>
              </w:rPr>
            </w:pPr>
            <w:r>
              <w:rPr>
                <w:sz w:val="18"/>
              </w:rPr>
              <w:t>High</w:t>
            </w:r>
            <w:r>
              <w:rPr>
                <w:spacing w:val="-5"/>
                <w:sz w:val="18"/>
              </w:rPr>
              <w:t> </w:t>
            </w:r>
            <w:r>
              <w:rPr>
                <w:sz w:val="18"/>
              </w:rPr>
              <w:t>Density</w:t>
            </w:r>
            <w:r>
              <w:rPr>
                <w:spacing w:val="-4"/>
                <w:sz w:val="18"/>
              </w:rPr>
              <w:t> Class</w:t>
            </w:r>
          </w:p>
        </w:tc>
        <w:tc>
          <w:tcPr>
            <w:tcW w:w="2251" w:type="dxa"/>
          </w:tcPr>
          <w:p>
            <w:pPr>
              <w:pStyle w:val="TableParagraph"/>
              <w:spacing w:before="58"/>
              <w:ind w:left="28"/>
              <w:jc w:val="center"/>
              <w:rPr>
                <w:sz w:val="18"/>
              </w:rPr>
            </w:pPr>
            <w:r>
              <w:rPr>
                <w:spacing w:val="-5"/>
                <w:sz w:val="18"/>
              </w:rPr>
              <w:t>&gt;16</w:t>
            </w:r>
          </w:p>
        </w:tc>
        <w:tc>
          <w:tcPr>
            <w:tcW w:w="2301" w:type="dxa"/>
          </w:tcPr>
          <w:p>
            <w:pPr>
              <w:pStyle w:val="TableParagraph"/>
              <w:spacing w:before="58"/>
              <w:ind w:left="109" w:right="82"/>
              <w:jc w:val="center"/>
              <w:rPr>
                <w:sz w:val="18"/>
              </w:rPr>
            </w:pPr>
            <w:r>
              <w:rPr>
                <w:spacing w:val="-5"/>
                <w:sz w:val="18"/>
              </w:rPr>
              <w:t>&gt;6</w:t>
            </w:r>
          </w:p>
        </w:tc>
      </w:tr>
    </w:tbl>
    <w:p>
      <w:pPr>
        <w:spacing w:before="51"/>
        <w:ind w:left="360" w:right="2220" w:firstLine="0"/>
        <w:jc w:val="left"/>
        <w:rPr>
          <w:rFonts w:ascii="Arial"/>
          <w:sz w:val="16"/>
        </w:rPr>
      </w:pPr>
      <w:r>
        <w:rPr>
          <w:rFonts w:ascii="Arial"/>
          <w:sz w:val="16"/>
        </w:rPr>
        <w:t>1/</w:t>
      </w:r>
      <w:r>
        <w:rPr>
          <w:rFonts w:ascii="Arial"/>
          <w:spacing w:val="-1"/>
          <w:sz w:val="16"/>
        </w:rPr>
        <w:t> </w:t>
      </w:r>
      <w:r>
        <w:rPr>
          <w:rFonts w:ascii="Arial"/>
          <w:sz w:val="16"/>
        </w:rPr>
        <w:t>Small</w:t>
      </w:r>
      <w:r>
        <w:rPr>
          <w:rFonts w:ascii="Arial"/>
          <w:spacing w:val="-4"/>
          <w:sz w:val="16"/>
        </w:rPr>
        <w:t> </w:t>
      </w:r>
      <w:r>
        <w:rPr>
          <w:rFonts w:ascii="Arial"/>
          <w:sz w:val="16"/>
        </w:rPr>
        <w:t>snags</w:t>
      </w:r>
      <w:r>
        <w:rPr>
          <w:rFonts w:ascii="Arial"/>
          <w:spacing w:val="-1"/>
          <w:sz w:val="16"/>
        </w:rPr>
        <w:t> </w:t>
      </w:r>
      <w:r>
        <w:rPr>
          <w:rFonts w:ascii="Arial"/>
          <w:sz w:val="16"/>
        </w:rPr>
        <w:t>=</w:t>
      </w:r>
      <w:r>
        <w:rPr>
          <w:rFonts w:ascii="Arial"/>
          <w:spacing w:val="-5"/>
          <w:sz w:val="16"/>
        </w:rPr>
        <w:t> </w:t>
      </w:r>
      <w:r>
        <w:rPr>
          <w:rFonts w:ascii="Arial"/>
          <w:sz w:val="16"/>
        </w:rPr>
        <w:t>10-20</w:t>
      </w:r>
      <w:r>
        <w:rPr>
          <w:rFonts w:ascii="Arial"/>
          <w:spacing w:val="-3"/>
          <w:sz w:val="16"/>
        </w:rPr>
        <w:t> </w:t>
      </w:r>
      <w:r>
        <w:rPr>
          <w:rFonts w:ascii="Arial"/>
          <w:sz w:val="16"/>
        </w:rPr>
        <w:t>inches</w:t>
      </w:r>
      <w:r>
        <w:rPr>
          <w:rFonts w:ascii="Arial"/>
          <w:spacing w:val="-1"/>
          <w:sz w:val="16"/>
        </w:rPr>
        <w:t> </w:t>
      </w:r>
      <w:r>
        <w:rPr>
          <w:rFonts w:ascii="Arial"/>
          <w:sz w:val="16"/>
        </w:rPr>
        <w:t>DBH</w:t>
      </w:r>
      <w:r>
        <w:rPr>
          <w:rFonts w:ascii="Arial"/>
          <w:spacing w:val="-3"/>
          <w:sz w:val="16"/>
        </w:rPr>
        <w:t> </w:t>
      </w:r>
      <w:r>
        <w:rPr>
          <w:rFonts w:ascii="Arial"/>
          <w:sz w:val="16"/>
        </w:rPr>
        <w:t>for</w:t>
      </w:r>
      <w:r>
        <w:rPr>
          <w:rFonts w:ascii="Arial"/>
          <w:spacing w:val="-3"/>
          <w:sz w:val="16"/>
        </w:rPr>
        <w:t> </w:t>
      </w:r>
      <w:r>
        <w:rPr>
          <w:rFonts w:ascii="Arial"/>
          <w:sz w:val="16"/>
        </w:rPr>
        <w:t>Douglas-fir</w:t>
      </w:r>
      <w:r>
        <w:rPr>
          <w:rFonts w:ascii="Arial"/>
          <w:spacing w:val="-3"/>
          <w:sz w:val="16"/>
        </w:rPr>
        <w:t> </w:t>
      </w:r>
      <w:r>
        <w:rPr>
          <w:rFonts w:ascii="Arial"/>
          <w:sz w:val="16"/>
        </w:rPr>
        <w:t>Dry,</w:t>
      </w:r>
      <w:r>
        <w:rPr>
          <w:rFonts w:ascii="Arial"/>
          <w:spacing w:val="-1"/>
          <w:sz w:val="16"/>
        </w:rPr>
        <w:t> </w:t>
      </w:r>
      <w:r>
        <w:rPr>
          <w:rFonts w:ascii="Arial"/>
          <w:sz w:val="16"/>
        </w:rPr>
        <w:t>Northern</w:t>
      </w:r>
      <w:r>
        <w:rPr>
          <w:rFonts w:ascii="Arial"/>
          <w:spacing w:val="-3"/>
          <w:sz w:val="16"/>
        </w:rPr>
        <w:t> </w:t>
      </w:r>
      <w:r>
        <w:rPr>
          <w:rFonts w:ascii="Arial"/>
          <w:sz w:val="16"/>
        </w:rPr>
        <w:t>Rocky</w:t>
      </w:r>
      <w:r>
        <w:rPr>
          <w:rFonts w:ascii="Arial"/>
          <w:spacing w:val="-3"/>
          <w:sz w:val="16"/>
        </w:rPr>
        <w:t> </w:t>
      </w:r>
      <w:r>
        <w:rPr>
          <w:rFonts w:ascii="Arial"/>
          <w:sz w:val="16"/>
        </w:rPr>
        <w:t>Mountains</w:t>
      </w:r>
      <w:r>
        <w:rPr>
          <w:rFonts w:ascii="Arial"/>
          <w:spacing w:val="-1"/>
          <w:sz w:val="16"/>
        </w:rPr>
        <w:t> </w:t>
      </w:r>
      <w:r>
        <w:rPr>
          <w:rFonts w:ascii="Arial"/>
          <w:sz w:val="16"/>
        </w:rPr>
        <w:t>Mixed</w:t>
      </w:r>
      <w:r>
        <w:rPr>
          <w:rFonts w:ascii="Arial"/>
          <w:spacing w:val="-3"/>
          <w:sz w:val="16"/>
        </w:rPr>
        <w:t> </w:t>
      </w:r>
      <w:r>
        <w:rPr>
          <w:rFonts w:ascii="Arial"/>
          <w:sz w:val="16"/>
        </w:rPr>
        <w:t>Conifer,</w:t>
      </w:r>
      <w:r>
        <w:rPr>
          <w:rFonts w:ascii="Arial"/>
          <w:spacing w:val="-6"/>
          <w:sz w:val="16"/>
        </w:rPr>
        <w:t> </w:t>
      </w:r>
      <w:r>
        <w:rPr>
          <w:rFonts w:ascii="Arial"/>
          <w:sz w:val="16"/>
        </w:rPr>
        <w:t>Western Hemlock/Red Cedar, Spruce/Subalpine fir and 8-15 inches DBH for Subalpine fir/Lodgepole.</w:t>
      </w:r>
    </w:p>
    <w:p>
      <w:pPr>
        <w:spacing w:before="40"/>
        <w:ind w:left="360" w:right="1445" w:firstLine="0"/>
        <w:jc w:val="left"/>
        <w:rPr>
          <w:rFonts w:ascii="Arial"/>
          <w:sz w:val="16"/>
        </w:rPr>
      </w:pPr>
      <w:r>
        <w:rPr>
          <w:rFonts w:ascii="Arial"/>
          <w:sz w:val="16"/>
        </w:rPr>
        <w:t>2/</w:t>
      </w:r>
      <w:r>
        <w:rPr>
          <w:rFonts w:ascii="Arial"/>
          <w:spacing w:val="-1"/>
          <w:sz w:val="16"/>
        </w:rPr>
        <w:t> </w:t>
      </w:r>
      <w:r>
        <w:rPr>
          <w:rFonts w:ascii="Arial"/>
          <w:sz w:val="16"/>
        </w:rPr>
        <w:t>Large</w:t>
      </w:r>
      <w:r>
        <w:rPr>
          <w:rFonts w:ascii="Arial"/>
          <w:spacing w:val="-3"/>
          <w:sz w:val="16"/>
        </w:rPr>
        <w:t> </w:t>
      </w:r>
      <w:r>
        <w:rPr>
          <w:rFonts w:ascii="Arial"/>
          <w:sz w:val="16"/>
        </w:rPr>
        <w:t>snags</w:t>
      </w:r>
      <w:r>
        <w:rPr>
          <w:rFonts w:ascii="Arial"/>
          <w:spacing w:val="-1"/>
          <w:sz w:val="16"/>
        </w:rPr>
        <w:t> </w:t>
      </w:r>
      <w:r>
        <w:rPr>
          <w:rFonts w:ascii="Arial"/>
          <w:sz w:val="16"/>
        </w:rPr>
        <w:t>=</w:t>
      </w:r>
      <w:r>
        <w:rPr>
          <w:rFonts w:ascii="Arial"/>
          <w:spacing w:val="-4"/>
          <w:sz w:val="16"/>
        </w:rPr>
        <w:t> </w:t>
      </w:r>
      <w:r>
        <w:rPr>
          <w:rFonts w:ascii="Arial"/>
          <w:sz w:val="16"/>
        </w:rPr>
        <w:t>&gt;20</w:t>
      </w:r>
      <w:r>
        <w:rPr>
          <w:rFonts w:ascii="Arial"/>
          <w:spacing w:val="-4"/>
          <w:sz w:val="16"/>
        </w:rPr>
        <w:t> </w:t>
      </w:r>
      <w:r>
        <w:rPr>
          <w:rFonts w:ascii="Arial"/>
          <w:sz w:val="16"/>
        </w:rPr>
        <w:t>inches</w:t>
      </w:r>
      <w:r>
        <w:rPr>
          <w:rFonts w:ascii="Arial"/>
          <w:spacing w:val="-1"/>
          <w:sz w:val="16"/>
        </w:rPr>
        <w:t> </w:t>
      </w:r>
      <w:r>
        <w:rPr>
          <w:rFonts w:ascii="Arial"/>
          <w:sz w:val="16"/>
        </w:rPr>
        <w:t>DBH</w:t>
      </w:r>
      <w:r>
        <w:rPr>
          <w:rFonts w:ascii="Arial"/>
          <w:spacing w:val="-7"/>
          <w:sz w:val="16"/>
        </w:rPr>
        <w:t> </w:t>
      </w:r>
      <w:r>
        <w:rPr>
          <w:rFonts w:ascii="Arial"/>
          <w:sz w:val="16"/>
        </w:rPr>
        <w:t>for</w:t>
      </w:r>
      <w:r>
        <w:rPr>
          <w:rFonts w:ascii="Arial"/>
          <w:spacing w:val="-3"/>
          <w:sz w:val="16"/>
        </w:rPr>
        <w:t> </w:t>
      </w:r>
      <w:r>
        <w:rPr>
          <w:rFonts w:ascii="Arial"/>
          <w:sz w:val="16"/>
        </w:rPr>
        <w:t>Douglas-fir</w:t>
      </w:r>
      <w:r>
        <w:rPr>
          <w:rFonts w:ascii="Arial"/>
          <w:spacing w:val="-3"/>
          <w:sz w:val="16"/>
        </w:rPr>
        <w:t> </w:t>
      </w:r>
      <w:r>
        <w:rPr>
          <w:rFonts w:ascii="Arial"/>
          <w:sz w:val="16"/>
        </w:rPr>
        <w:t>Dry,</w:t>
      </w:r>
      <w:r>
        <w:rPr>
          <w:rFonts w:ascii="Arial"/>
          <w:spacing w:val="-1"/>
          <w:sz w:val="16"/>
        </w:rPr>
        <w:t> </w:t>
      </w:r>
      <w:r>
        <w:rPr>
          <w:rFonts w:ascii="Arial"/>
          <w:sz w:val="16"/>
        </w:rPr>
        <w:t>Northern</w:t>
      </w:r>
      <w:r>
        <w:rPr>
          <w:rFonts w:ascii="Arial"/>
          <w:spacing w:val="-3"/>
          <w:sz w:val="16"/>
        </w:rPr>
        <w:t> </w:t>
      </w:r>
      <w:r>
        <w:rPr>
          <w:rFonts w:ascii="Arial"/>
          <w:sz w:val="16"/>
        </w:rPr>
        <w:t>Rocky</w:t>
      </w:r>
      <w:r>
        <w:rPr>
          <w:rFonts w:ascii="Arial"/>
          <w:spacing w:val="-3"/>
          <w:sz w:val="16"/>
        </w:rPr>
        <w:t> </w:t>
      </w:r>
      <w:r>
        <w:rPr>
          <w:rFonts w:ascii="Arial"/>
          <w:sz w:val="16"/>
        </w:rPr>
        <w:t>Mountains</w:t>
      </w:r>
      <w:r>
        <w:rPr>
          <w:rFonts w:ascii="Arial"/>
          <w:spacing w:val="-1"/>
          <w:sz w:val="16"/>
        </w:rPr>
        <w:t> </w:t>
      </w:r>
      <w:r>
        <w:rPr>
          <w:rFonts w:ascii="Arial"/>
          <w:sz w:val="16"/>
        </w:rPr>
        <w:t>Mixed</w:t>
      </w:r>
      <w:r>
        <w:rPr>
          <w:rFonts w:ascii="Arial"/>
          <w:spacing w:val="-3"/>
          <w:sz w:val="16"/>
        </w:rPr>
        <w:t> </w:t>
      </w:r>
      <w:r>
        <w:rPr>
          <w:rFonts w:ascii="Arial"/>
          <w:sz w:val="16"/>
        </w:rPr>
        <w:t>Conifer,</w:t>
      </w:r>
      <w:r>
        <w:rPr>
          <w:rFonts w:ascii="Arial"/>
          <w:spacing w:val="-5"/>
          <w:sz w:val="16"/>
        </w:rPr>
        <w:t> </w:t>
      </w:r>
      <w:r>
        <w:rPr>
          <w:rFonts w:ascii="Arial"/>
          <w:sz w:val="16"/>
        </w:rPr>
        <w:t>Western</w:t>
      </w:r>
      <w:r>
        <w:rPr>
          <w:rFonts w:ascii="Arial"/>
          <w:spacing w:val="-3"/>
          <w:sz w:val="16"/>
        </w:rPr>
        <w:t> </w:t>
      </w:r>
      <w:r>
        <w:rPr>
          <w:rFonts w:ascii="Arial"/>
          <w:sz w:val="16"/>
        </w:rPr>
        <w:t>Hemlock/Red Cedar, Spruce/Subalpine fir and &gt;15 inches DBH for Subalpine fir/Lodgepole.</w:t>
      </w:r>
    </w:p>
    <w:p>
      <w:pPr>
        <w:spacing w:before="40"/>
        <w:ind w:left="360" w:right="1445" w:hanging="1"/>
        <w:jc w:val="left"/>
        <w:rPr>
          <w:rFonts w:ascii="Arial"/>
          <w:sz w:val="16"/>
        </w:rPr>
      </w:pPr>
      <w:r>
        <w:rPr>
          <w:rFonts w:ascii="Arial"/>
          <w:sz w:val="16"/>
        </w:rPr>
        <w:t>3/ The</w:t>
      </w:r>
      <w:r>
        <w:rPr>
          <w:rFonts w:ascii="Arial"/>
          <w:spacing w:val="-2"/>
          <w:sz w:val="16"/>
        </w:rPr>
        <w:t> </w:t>
      </w:r>
      <w:r>
        <w:rPr>
          <w:rFonts w:ascii="Arial"/>
          <w:sz w:val="16"/>
        </w:rPr>
        <w:t>desired</w:t>
      </w:r>
      <w:r>
        <w:rPr>
          <w:rFonts w:ascii="Arial"/>
          <w:spacing w:val="-2"/>
          <w:sz w:val="16"/>
        </w:rPr>
        <w:t> </w:t>
      </w:r>
      <w:r>
        <w:rPr>
          <w:rFonts w:ascii="Arial"/>
          <w:sz w:val="16"/>
        </w:rPr>
        <w:t>proportions of</w:t>
      </w:r>
      <w:r>
        <w:rPr>
          <w:rFonts w:ascii="Arial"/>
          <w:spacing w:val="-3"/>
          <w:sz w:val="16"/>
        </w:rPr>
        <w:t> </w:t>
      </w:r>
      <w:r>
        <w:rPr>
          <w:rFonts w:ascii="Arial"/>
          <w:sz w:val="16"/>
        </w:rPr>
        <w:t>the</w:t>
      </w:r>
      <w:r>
        <w:rPr>
          <w:rFonts w:ascii="Arial"/>
          <w:spacing w:val="-4"/>
          <w:sz w:val="16"/>
        </w:rPr>
        <w:t> </w:t>
      </w:r>
      <w:r>
        <w:rPr>
          <w:rFonts w:ascii="Arial"/>
          <w:sz w:val="16"/>
        </w:rPr>
        <w:t>snag</w:t>
      </w:r>
      <w:r>
        <w:rPr>
          <w:rFonts w:ascii="Arial"/>
          <w:spacing w:val="-2"/>
          <w:sz w:val="16"/>
        </w:rPr>
        <w:t> </w:t>
      </w:r>
      <w:r>
        <w:rPr>
          <w:rFonts w:ascii="Arial"/>
          <w:sz w:val="16"/>
        </w:rPr>
        <w:t>density</w:t>
      </w:r>
      <w:r>
        <w:rPr>
          <w:rFonts w:ascii="Arial"/>
          <w:spacing w:val="-5"/>
          <w:sz w:val="16"/>
        </w:rPr>
        <w:t> </w:t>
      </w:r>
      <w:r>
        <w:rPr>
          <w:rFonts w:ascii="Arial"/>
          <w:sz w:val="16"/>
        </w:rPr>
        <w:t>classes</w:t>
      </w:r>
      <w:r>
        <w:rPr>
          <w:rFonts w:ascii="Arial"/>
          <w:spacing w:val="-2"/>
          <w:sz w:val="16"/>
        </w:rPr>
        <w:t> </w:t>
      </w:r>
      <w:r>
        <w:rPr>
          <w:rFonts w:ascii="Arial"/>
          <w:sz w:val="16"/>
        </w:rPr>
        <w:t>for</w:t>
      </w:r>
      <w:r>
        <w:rPr>
          <w:rFonts w:ascii="Arial"/>
          <w:spacing w:val="-4"/>
          <w:sz w:val="16"/>
        </w:rPr>
        <w:t> </w:t>
      </w:r>
      <w:r>
        <w:rPr>
          <w:rFonts w:ascii="Arial"/>
          <w:sz w:val="16"/>
        </w:rPr>
        <w:t>small</w:t>
      </w:r>
      <w:r>
        <w:rPr>
          <w:rFonts w:ascii="Arial"/>
          <w:spacing w:val="-3"/>
          <w:sz w:val="16"/>
        </w:rPr>
        <w:t> </w:t>
      </w:r>
      <w:r>
        <w:rPr>
          <w:rFonts w:ascii="Arial"/>
          <w:sz w:val="16"/>
        </w:rPr>
        <w:t>snags</w:t>
      </w:r>
      <w:r>
        <w:rPr>
          <w:rFonts w:ascii="Arial"/>
          <w:spacing w:val="-3"/>
          <w:sz w:val="16"/>
        </w:rPr>
        <w:t> </w:t>
      </w:r>
      <w:r>
        <w:rPr>
          <w:rFonts w:ascii="Arial"/>
          <w:sz w:val="16"/>
        </w:rPr>
        <w:t>measured</w:t>
      </w:r>
      <w:r>
        <w:rPr>
          <w:rFonts w:ascii="Arial"/>
          <w:spacing w:val="-2"/>
          <w:sz w:val="16"/>
        </w:rPr>
        <w:t> </w:t>
      </w:r>
      <w:r>
        <w:rPr>
          <w:rFonts w:ascii="Arial"/>
          <w:sz w:val="16"/>
        </w:rPr>
        <w:t>at a</w:t>
      </w:r>
      <w:r>
        <w:rPr>
          <w:rFonts w:ascii="Arial"/>
          <w:spacing w:val="-2"/>
          <w:sz w:val="16"/>
        </w:rPr>
        <w:t> </w:t>
      </w:r>
      <w:r>
        <w:rPr>
          <w:rFonts w:ascii="Arial"/>
          <w:sz w:val="16"/>
        </w:rPr>
        <w:t>watershed</w:t>
      </w:r>
      <w:r>
        <w:rPr>
          <w:rFonts w:ascii="Arial"/>
          <w:spacing w:val="-4"/>
          <w:sz w:val="16"/>
        </w:rPr>
        <w:t> </w:t>
      </w:r>
      <w:r>
        <w:rPr>
          <w:rFonts w:ascii="Arial"/>
          <w:sz w:val="16"/>
        </w:rPr>
        <w:t>scale</w:t>
      </w:r>
      <w:r>
        <w:rPr>
          <w:rFonts w:ascii="Arial"/>
          <w:spacing w:val="-4"/>
          <w:sz w:val="16"/>
        </w:rPr>
        <w:t> </w:t>
      </w:r>
      <w:r>
        <w:rPr>
          <w:rFonts w:ascii="Arial"/>
          <w:sz w:val="16"/>
        </w:rPr>
        <w:t>are</w:t>
      </w:r>
      <w:r>
        <w:rPr>
          <w:rFonts w:ascii="Arial"/>
          <w:spacing w:val="-2"/>
          <w:sz w:val="16"/>
        </w:rPr>
        <w:t> </w:t>
      </w:r>
      <w:r>
        <w:rPr>
          <w:rFonts w:ascii="Arial"/>
          <w:sz w:val="16"/>
        </w:rPr>
        <w:t>Low</w:t>
      </w:r>
      <w:r>
        <w:rPr>
          <w:rFonts w:ascii="Arial"/>
          <w:spacing w:val="-5"/>
          <w:sz w:val="16"/>
        </w:rPr>
        <w:t> </w:t>
      </w:r>
      <w:r>
        <w:rPr>
          <w:rFonts w:ascii="Arial"/>
          <w:sz w:val="16"/>
        </w:rPr>
        <w:t>Density Class</w:t>
      </w:r>
      <w:r>
        <w:rPr>
          <w:rFonts w:ascii="Arial"/>
          <w:spacing w:val="-6"/>
          <w:sz w:val="16"/>
        </w:rPr>
        <w:t> </w:t>
      </w:r>
      <w:r>
        <w:rPr>
          <w:rFonts w:ascii="Arial"/>
          <w:sz w:val="16"/>
        </w:rPr>
        <w:t>=</w:t>
      </w:r>
      <w:r>
        <w:rPr>
          <w:rFonts w:ascii="Arial"/>
          <w:spacing w:val="-3"/>
          <w:sz w:val="16"/>
        </w:rPr>
        <w:t> </w:t>
      </w:r>
      <w:r>
        <w:rPr>
          <w:rFonts w:ascii="Arial"/>
          <w:sz w:val="16"/>
        </w:rPr>
        <w:t>&lt;50%</w:t>
      </w:r>
      <w:r>
        <w:rPr>
          <w:rFonts w:ascii="Arial"/>
          <w:spacing w:val="-1"/>
          <w:sz w:val="16"/>
        </w:rPr>
        <w:t> </w:t>
      </w:r>
      <w:r>
        <w:rPr>
          <w:rFonts w:ascii="Arial"/>
          <w:sz w:val="16"/>
        </w:rPr>
        <w:t>of</w:t>
      </w:r>
      <w:r>
        <w:rPr>
          <w:rFonts w:ascii="Arial"/>
          <w:spacing w:val="-4"/>
          <w:sz w:val="16"/>
        </w:rPr>
        <w:t> </w:t>
      </w:r>
      <w:r>
        <w:rPr>
          <w:rFonts w:ascii="Arial"/>
          <w:sz w:val="16"/>
        </w:rPr>
        <w:t>the</w:t>
      </w:r>
      <w:r>
        <w:rPr>
          <w:rFonts w:ascii="Arial"/>
          <w:spacing w:val="-3"/>
          <w:sz w:val="16"/>
        </w:rPr>
        <w:t> </w:t>
      </w:r>
      <w:r>
        <w:rPr>
          <w:rFonts w:ascii="Arial"/>
          <w:sz w:val="16"/>
        </w:rPr>
        <w:t>area,</w:t>
      </w:r>
      <w:r>
        <w:rPr>
          <w:rFonts w:ascii="Arial"/>
          <w:spacing w:val="-4"/>
          <w:sz w:val="16"/>
        </w:rPr>
        <w:t> </w:t>
      </w:r>
      <w:r>
        <w:rPr>
          <w:rFonts w:ascii="Arial"/>
          <w:sz w:val="16"/>
        </w:rPr>
        <w:t>Moderate</w:t>
      </w:r>
      <w:r>
        <w:rPr>
          <w:rFonts w:ascii="Arial"/>
          <w:spacing w:val="-3"/>
          <w:sz w:val="16"/>
        </w:rPr>
        <w:t> </w:t>
      </w:r>
      <w:r>
        <w:rPr>
          <w:rFonts w:ascii="Arial"/>
          <w:sz w:val="16"/>
        </w:rPr>
        <w:t>Density</w:t>
      </w:r>
      <w:r>
        <w:rPr>
          <w:rFonts w:ascii="Arial"/>
          <w:spacing w:val="-3"/>
          <w:sz w:val="16"/>
        </w:rPr>
        <w:t> </w:t>
      </w:r>
      <w:r>
        <w:rPr>
          <w:rFonts w:ascii="Arial"/>
          <w:sz w:val="16"/>
        </w:rPr>
        <w:t>Class</w:t>
      </w:r>
      <w:r>
        <w:rPr>
          <w:rFonts w:ascii="Arial"/>
          <w:spacing w:val="-3"/>
          <w:sz w:val="16"/>
        </w:rPr>
        <w:t> </w:t>
      </w:r>
      <w:r>
        <w:rPr>
          <w:rFonts w:ascii="Arial"/>
          <w:sz w:val="16"/>
        </w:rPr>
        <w:t>=</w:t>
      </w:r>
      <w:r>
        <w:rPr>
          <w:rFonts w:ascii="Arial"/>
          <w:spacing w:val="-3"/>
          <w:sz w:val="16"/>
        </w:rPr>
        <w:t> </w:t>
      </w:r>
      <w:r>
        <w:rPr>
          <w:rFonts w:ascii="Arial"/>
          <w:sz w:val="16"/>
        </w:rPr>
        <w:t>25-45%</w:t>
      </w:r>
      <w:r>
        <w:rPr>
          <w:rFonts w:ascii="Arial"/>
          <w:spacing w:val="-1"/>
          <w:sz w:val="16"/>
        </w:rPr>
        <w:t> </w:t>
      </w:r>
      <w:r>
        <w:rPr>
          <w:rFonts w:ascii="Arial"/>
          <w:sz w:val="16"/>
        </w:rPr>
        <w:t>of</w:t>
      </w:r>
      <w:r>
        <w:rPr>
          <w:rFonts w:ascii="Arial"/>
          <w:spacing w:val="-4"/>
          <w:sz w:val="16"/>
        </w:rPr>
        <w:t> </w:t>
      </w:r>
      <w:r>
        <w:rPr>
          <w:rFonts w:ascii="Arial"/>
          <w:sz w:val="16"/>
        </w:rPr>
        <w:t>the</w:t>
      </w:r>
      <w:r>
        <w:rPr>
          <w:rFonts w:ascii="Arial"/>
          <w:spacing w:val="-8"/>
          <w:sz w:val="16"/>
        </w:rPr>
        <w:t> </w:t>
      </w:r>
      <w:r>
        <w:rPr>
          <w:rFonts w:ascii="Arial"/>
          <w:sz w:val="16"/>
        </w:rPr>
        <w:t>area,</w:t>
      </w:r>
      <w:r>
        <w:rPr>
          <w:rFonts w:ascii="Arial"/>
          <w:spacing w:val="-1"/>
          <w:sz w:val="16"/>
        </w:rPr>
        <w:t> </w:t>
      </w:r>
      <w:r>
        <w:rPr>
          <w:rFonts w:ascii="Arial"/>
          <w:sz w:val="16"/>
        </w:rPr>
        <w:t>and</w:t>
      </w:r>
      <w:r>
        <w:rPr>
          <w:rFonts w:ascii="Arial"/>
          <w:spacing w:val="-3"/>
          <w:sz w:val="16"/>
        </w:rPr>
        <w:t> </w:t>
      </w:r>
      <w:r>
        <w:rPr>
          <w:rFonts w:ascii="Arial"/>
          <w:sz w:val="16"/>
        </w:rPr>
        <w:t>High</w:t>
      </w:r>
      <w:r>
        <w:rPr>
          <w:rFonts w:ascii="Arial"/>
          <w:spacing w:val="-3"/>
          <w:sz w:val="16"/>
        </w:rPr>
        <w:t> </w:t>
      </w:r>
      <w:r>
        <w:rPr>
          <w:rFonts w:ascii="Arial"/>
          <w:sz w:val="16"/>
        </w:rPr>
        <w:t>Density</w:t>
      </w:r>
      <w:r>
        <w:rPr>
          <w:rFonts w:ascii="Arial"/>
          <w:spacing w:val="-3"/>
          <w:sz w:val="16"/>
        </w:rPr>
        <w:t> </w:t>
      </w:r>
      <w:r>
        <w:rPr>
          <w:rFonts w:ascii="Arial"/>
          <w:sz w:val="16"/>
        </w:rPr>
        <w:t>Class</w:t>
      </w:r>
      <w:r>
        <w:rPr>
          <w:rFonts w:ascii="Arial"/>
          <w:spacing w:val="-1"/>
          <w:sz w:val="16"/>
        </w:rPr>
        <w:t> </w:t>
      </w:r>
      <w:r>
        <w:rPr>
          <w:rFonts w:ascii="Arial"/>
          <w:sz w:val="16"/>
        </w:rPr>
        <w:t>=</w:t>
      </w:r>
      <w:r>
        <w:rPr>
          <w:rFonts w:ascii="Arial"/>
          <w:spacing w:val="-5"/>
          <w:sz w:val="16"/>
        </w:rPr>
        <w:t> </w:t>
      </w:r>
      <w:r>
        <w:rPr>
          <w:rFonts w:ascii="Arial"/>
          <w:sz w:val="16"/>
        </w:rPr>
        <w:t>5-25%</w:t>
      </w:r>
      <w:r>
        <w:rPr>
          <w:rFonts w:ascii="Arial"/>
          <w:spacing w:val="-2"/>
          <w:sz w:val="16"/>
        </w:rPr>
        <w:t> </w:t>
      </w:r>
      <w:r>
        <w:rPr>
          <w:rFonts w:ascii="Arial"/>
          <w:sz w:val="16"/>
        </w:rPr>
        <w:t>of</w:t>
      </w:r>
      <w:r>
        <w:rPr>
          <w:rFonts w:ascii="Arial"/>
          <w:spacing w:val="-4"/>
          <w:sz w:val="16"/>
        </w:rPr>
        <w:t> </w:t>
      </w:r>
      <w:r>
        <w:rPr>
          <w:rFonts w:ascii="Arial"/>
          <w:sz w:val="16"/>
        </w:rPr>
        <w:t>the</w:t>
      </w:r>
      <w:r>
        <w:rPr>
          <w:rFonts w:ascii="Arial"/>
          <w:spacing w:val="-4"/>
          <w:sz w:val="16"/>
        </w:rPr>
        <w:t> </w:t>
      </w:r>
      <w:r>
        <w:rPr>
          <w:rFonts w:ascii="Arial"/>
          <w:spacing w:val="-2"/>
          <w:sz w:val="16"/>
        </w:rPr>
        <w:t>area.</w:t>
      </w:r>
    </w:p>
    <w:p>
      <w:pPr>
        <w:spacing w:before="40"/>
        <w:ind w:left="360" w:right="1445" w:hanging="1"/>
        <w:jc w:val="left"/>
        <w:rPr>
          <w:rFonts w:ascii="Arial"/>
          <w:sz w:val="16"/>
        </w:rPr>
      </w:pPr>
      <w:r>
        <w:rPr>
          <w:rFonts w:ascii="Arial"/>
          <w:sz w:val="16"/>
        </w:rPr>
        <w:t>4/ The</w:t>
      </w:r>
      <w:r>
        <w:rPr>
          <w:rFonts w:ascii="Arial"/>
          <w:spacing w:val="-2"/>
          <w:sz w:val="16"/>
        </w:rPr>
        <w:t> </w:t>
      </w:r>
      <w:r>
        <w:rPr>
          <w:rFonts w:ascii="Arial"/>
          <w:sz w:val="16"/>
        </w:rPr>
        <w:t>desired</w:t>
      </w:r>
      <w:r>
        <w:rPr>
          <w:rFonts w:ascii="Arial"/>
          <w:spacing w:val="-2"/>
          <w:sz w:val="16"/>
        </w:rPr>
        <w:t> </w:t>
      </w:r>
      <w:r>
        <w:rPr>
          <w:rFonts w:ascii="Arial"/>
          <w:sz w:val="16"/>
        </w:rPr>
        <w:t>proportions of</w:t>
      </w:r>
      <w:r>
        <w:rPr>
          <w:rFonts w:ascii="Arial"/>
          <w:spacing w:val="-3"/>
          <w:sz w:val="16"/>
        </w:rPr>
        <w:t> </w:t>
      </w:r>
      <w:r>
        <w:rPr>
          <w:rFonts w:ascii="Arial"/>
          <w:sz w:val="16"/>
        </w:rPr>
        <w:t>the</w:t>
      </w:r>
      <w:r>
        <w:rPr>
          <w:rFonts w:ascii="Arial"/>
          <w:spacing w:val="-4"/>
          <w:sz w:val="16"/>
        </w:rPr>
        <w:t> </w:t>
      </w:r>
      <w:r>
        <w:rPr>
          <w:rFonts w:ascii="Arial"/>
          <w:sz w:val="16"/>
        </w:rPr>
        <w:t>snag</w:t>
      </w:r>
      <w:r>
        <w:rPr>
          <w:rFonts w:ascii="Arial"/>
          <w:spacing w:val="-2"/>
          <w:sz w:val="16"/>
        </w:rPr>
        <w:t> </w:t>
      </w:r>
      <w:r>
        <w:rPr>
          <w:rFonts w:ascii="Arial"/>
          <w:sz w:val="16"/>
        </w:rPr>
        <w:t>density</w:t>
      </w:r>
      <w:r>
        <w:rPr>
          <w:rFonts w:ascii="Arial"/>
          <w:spacing w:val="-5"/>
          <w:sz w:val="16"/>
        </w:rPr>
        <w:t> </w:t>
      </w:r>
      <w:r>
        <w:rPr>
          <w:rFonts w:ascii="Arial"/>
          <w:sz w:val="16"/>
        </w:rPr>
        <w:t>classes</w:t>
      </w:r>
      <w:r>
        <w:rPr>
          <w:rFonts w:ascii="Arial"/>
          <w:spacing w:val="-2"/>
          <w:sz w:val="16"/>
        </w:rPr>
        <w:t> </w:t>
      </w:r>
      <w:r>
        <w:rPr>
          <w:rFonts w:ascii="Arial"/>
          <w:sz w:val="16"/>
        </w:rPr>
        <w:t>for</w:t>
      </w:r>
      <w:r>
        <w:rPr>
          <w:rFonts w:ascii="Arial"/>
          <w:spacing w:val="-2"/>
          <w:sz w:val="16"/>
        </w:rPr>
        <w:t> </w:t>
      </w:r>
      <w:r>
        <w:rPr>
          <w:rFonts w:ascii="Arial"/>
          <w:sz w:val="16"/>
        </w:rPr>
        <w:t>large</w:t>
      </w:r>
      <w:r>
        <w:rPr>
          <w:rFonts w:ascii="Arial"/>
          <w:spacing w:val="-4"/>
          <w:sz w:val="16"/>
        </w:rPr>
        <w:t> </w:t>
      </w:r>
      <w:r>
        <w:rPr>
          <w:rFonts w:ascii="Arial"/>
          <w:sz w:val="16"/>
        </w:rPr>
        <w:t>snags</w:t>
      </w:r>
      <w:r>
        <w:rPr>
          <w:rFonts w:ascii="Arial"/>
          <w:spacing w:val="-3"/>
          <w:sz w:val="16"/>
        </w:rPr>
        <w:t> </w:t>
      </w:r>
      <w:r>
        <w:rPr>
          <w:rFonts w:ascii="Arial"/>
          <w:sz w:val="16"/>
        </w:rPr>
        <w:t>measured</w:t>
      </w:r>
      <w:r>
        <w:rPr>
          <w:rFonts w:ascii="Arial"/>
          <w:spacing w:val="-2"/>
          <w:sz w:val="16"/>
        </w:rPr>
        <w:t> </w:t>
      </w:r>
      <w:r>
        <w:rPr>
          <w:rFonts w:ascii="Arial"/>
          <w:sz w:val="16"/>
        </w:rPr>
        <w:t>at a</w:t>
      </w:r>
      <w:r>
        <w:rPr>
          <w:rFonts w:ascii="Arial"/>
          <w:spacing w:val="-2"/>
          <w:sz w:val="16"/>
        </w:rPr>
        <w:t> </w:t>
      </w:r>
      <w:r>
        <w:rPr>
          <w:rFonts w:ascii="Arial"/>
          <w:sz w:val="16"/>
        </w:rPr>
        <w:t>watershed</w:t>
      </w:r>
      <w:r>
        <w:rPr>
          <w:rFonts w:ascii="Arial"/>
          <w:spacing w:val="-4"/>
          <w:sz w:val="16"/>
        </w:rPr>
        <w:t> </w:t>
      </w:r>
      <w:r>
        <w:rPr>
          <w:rFonts w:ascii="Arial"/>
          <w:sz w:val="16"/>
        </w:rPr>
        <w:t>scale</w:t>
      </w:r>
      <w:r>
        <w:rPr>
          <w:rFonts w:ascii="Arial"/>
          <w:spacing w:val="-4"/>
          <w:sz w:val="16"/>
        </w:rPr>
        <w:t> </w:t>
      </w:r>
      <w:r>
        <w:rPr>
          <w:rFonts w:ascii="Arial"/>
          <w:sz w:val="16"/>
        </w:rPr>
        <w:t>are</w:t>
      </w:r>
      <w:r>
        <w:rPr>
          <w:rFonts w:ascii="Arial"/>
          <w:spacing w:val="-2"/>
          <w:sz w:val="16"/>
        </w:rPr>
        <w:t> </w:t>
      </w:r>
      <w:r>
        <w:rPr>
          <w:rFonts w:ascii="Arial"/>
          <w:sz w:val="16"/>
        </w:rPr>
        <w:t>Low</w:t>
      </w:r>
      <w:r>
        <w:rPr>
          <w:rFonts w:ascii="Arial"/>
          <w:spacing w:val="-5"/>
          <w:sz w:val="16"/>
        </w:rPr>
        <w:t> </w:t>
      </w:r>
      <w:r>
        <w:rPr>
          <w:rFonts w:ascii="Arial"/>
          <w:sz w:val="16"/>
        </w:rPr>
        <w:t>Density Class</w:t>
      </w:r>
      <w:r>
        <w:rPr>
          <w:rFonts w:ascii="Arial"/>
          <w:spacing w:val="-6"/>
          <w:sz w:val="16"/>
        </w:rPr>
        <w:t> </w:t>
      </w:r>
      <w:r>
        <w:rPr>
          <w:rFonts w:ascii="Arial"/>
          <w:sz w:val="16"/>
        </w:rPr>
        <w:t>=</w:t>
      </w:r>
      <w:r>
        <w:rPr>
          <w:rFonts w:ascii="Arial"/>
          <w:spacing w:val="-3"/>
          <w:sz w:val="16"/>
        </w:rPr>
        <w:t> </w:t>
      </w:r>
      <w:r>
        <w:rPr>
          <w:rFonts w:ascii="Arial"/>
          <w:sz w:val="16"/>
        </w:rPr>
        <w:t>&lt;50%</w:t>
      </w:r>
      <w:r>
        <w:rPr>
          <w:rFonts w:ascii="Arial"/>
          <w:spacing w:val="-1"/>
          <w:sz w:val="16"/>
        </w:rPr>
        <w:t> </w:t>
      </w:r>
      <w:r>
        <w:rPr>
          <w:rFonts w:ascii="Arial"/>
          <w:sz w:val="16"/>
        </w:rPr>
        <w:t>of</w:t>
      </w:r>
      <w:r>
        <w:rPr>
          <w:rFonts w:ascii="Arial"/>
          <w:spacing w:val="-4"/>
          <w:sz w:val="16"/>
        </w:rPr>
        <w:t> </w:t>
      </w:r>
      <w:r>
        <w:rPr>
          <w:rFonts w:ascii="Arial"/>
          <w:sz w:val="16"/>
        </w:rPr>
        <w:t>the</w:t>
      </w:r>
      <w:r>
        <w:rPr>
          <w:rFonts w:ascii="Arial"/>
          <w:spacing w:val="-3"/>
          <w:sz w:val="16"/>
        </w:rPr>
        <w:t> </w:t>
      </w:r>
      <w:r>
        <w:rPr>
          <w:rFonts w:ascii="Arial"/>
          <w:sz w:val="16"/>
        </w:rPr>
        <w:t>area,</w:t>
      </w:r>
      <w:r>
        <w:rPr>
          <w:rFonts w:ascii="Arial"/>
          <w:spacing w:val="-4"/>
          <w:sz w:val="16"/>
        </w:rPr>
        <w:t> </w:t>
      </w:r>
      <w:r>
        <w:rPr>
          <w:rFonts w:ascii="Arial"/>
          <w:sz w:val="16"/>
        </w:rPr>
        <w:t>Moderate</w:t>
      </w:r>
      <w:r>
        <w:rPr>
          <w:rFonts w:ascii="Arial"/>
          <w:spacing w:val="-3"/>
          <w:sz w:val="16"/>
        </w:rPr>
        <w:t> </w:t>
      </w:r>
      <w:r>
        <w:rPr>
          <w:rFonts w:ascii="Arial"/>
          <w:sz w:val="16"/>
        </w:rPr>
        <w:t>Density</w:t>
      </w:r>
      <w:r>
        <w:rPr>
          <w:rFonts w:ascii="Arial"/>
          <w:spacing w:val="-3"/>
          <w:sz w:val="16"/>
        </w:rPr>
        <w:t> </w:t>
      </w:r>
      <w:r>
        <w:rPr>
          <w:rFonts w:ascii="Arial"/>
          <w:sz w:val="16"/>
        </w:rPr>
        <w:t>Class</w:t>
      </w:r>
      <w:r>
        <w:rPr>
          <w:rFonts w:ascii="Arial"/>
          <w:spacing w:val="-3"/>
          <w:sz w:val="16"/>
        </w:rPr>
        <w:t> </w:t>
      </w:r>
      <w:r>
        <w:rPr>
          <w:rFonts w:ascii="Arial"/>
          <w:sz w:val="16"/>
        </w:rPr>
        <w:t>=</w:t>
      </w:r>
      <w:r>
        <w:rPr>
          <w:rFonts w:ascii="Arial"/>
          <w:spacing w:val="-3"/>
          <w:sz w:val="16"/>
        </w:rPr>
        <w:t> </w:t>
      </w:r>
      <w:r>
        <w:rPr>
          <w:rFonts w:ascii="Arial"/>
          <w:sz w:val="16"/>
        </w:rPr>
        <w:t>35-45%</w:t>
      </w:r>
      <w:r>
        <w:rPr>
          <w:rFonts w:ascii="Arial"/>
          <w:spacing w:val="-1"/>
          <w:sz w:val="16"/>
        </w:rPr>
        <w:t> </w:t>
      </w:r>
      <w:r>
        <w:rPr>
          <w:rFonts w:ascii="Arial"/>
          <w:sz w:val="16"/>
        </w:rPr>
        <w:t>of</w:t>
      </w:r>
      <w:r>
        <w:rPr>
          <w:rFonts w:ascii="Arial"/>
          <w:spacing w:val="-4"/>
          <w:sz w:val="16"/>
        </w:rPr>
        <w:t> </w:t>
      </w:r>
      <w:r>
        <w:rPr>
          <w:rFonts w:ascii="Arial"/>
          <w:sz w:val="16"/>
        </w:rPr>
        <w:t>the</w:t>
      </w:r>
      <w:r>
        <w:rPr>
          <w:rFonts w:ascii="Arial"/>
          <w:spacing w:val="-8"/>
          <w:sz w:val="16"/>
        </w:rPr>
        <w:t> </w:t>
      </w:r>
      <w:r>
        <w:rPr>
          <w:rFonts w:ascii="Arial"/>
          <w:sz w:val="16"/>
        </w:rPr>
        <w:t>area,</w:t>
      </w:r>
      <w:r>
        <w:rPr>
          <w:rFonts w:ascii="Arial"/>
          <w:spacing w:val="-1"/>
          <w:sz w:val="16"/>
        </w:rPr>
        <w:t> </w:t>
      </w:r>
      <w:r>
        <w:rPr>
          <w:rFonts w:ascii="Arial"/>
          <w:sz w:val="16"/>
        </w:rPr>
        <w:t>and</w:t>
      </w:r>
      <w:r>
        <w:rPr>
          <w:rFonts w:ascii="Arial"/>
          <w:spacing w:val="-3"/>
          <w:sz w:val="16"/>
        </w:rPr>
        <w:t> </w:t>
      </w:r>
      <w:r>
        <w:rPr>
          <w:rFonts w:ascii="Arial"/>
          <w:sz w:val="16"/>
        </w:rPr>
        <w:t>High</w:t>
      </w:r>
      <w:r>
        <w:rPr>
          <w:rFonts w:ascii="Arial"/>
          <w:spacing w:val="-3"/>
          <w:sz w:val="16"/>
        </w:rPr>
        <w:t> </w:t>
      </w:r>
      <w:r>
        <w:rPr>
          <w:rFonts w:ascii="Arial"/>
          <w:sz w:val="16"/>
        </w:rPr>
        <w:t>Density</w:t>
      </w:r>
      <w:r>
        <w:rPr>
          <w:rFonts w:ascii="Arial"/>
          <w:spacing w:val="-3"/>
          <w:sz w:val="16"/>
        </w:rPr>
        <w:t> </w:t>
      </w:r>
      <w:r>
        <w:rPr>
          <w:rFonts w:ascii="Arial"/>
          <w:sz w:val="16"/>
        </w:rPr>
        <w:t>Class</w:t>
      </w:r>
      <w:r>
        <w:rPr>
          <w:rFonts w:ascii="Arial"/>
          <w:spacing w:val="-1"/>
          <w:sz w:val="16"/>
        </w:rPr>
        <w:t> </w:t>
      </w:r>
      <w:r>
        <w:rPr>
          <w:rFonts w:ascii="Arial"/>
          <w:sz w:val="16"/>
        </w:rPr>
        <w:t>=</w:t>
      </w:r>
      <w:r>
        <w:rPr>
          <w:rFonts w:ascii="Arial"/>
          <w:spacing w:val="-5"/>
          <w:sz w:val="16"/>
        </w:rPr>
        <w:t> </w:t>
      </w:r>
      <w:r>
        <w:rPr>
          <w:rFonts w:ascii="Arial"/>
          <w:sz w:val="16"/>
        </w:rPr>
        <w:t>5-15%</w:t>
      </w:r>
      <w:r>
        <w:rPr>
          <w:rFonts w:ascii="Arial"/>
          <w:spacing w:val="-2"/>
          <w:sz w:val="16"/>
        </w:rPr>
        <w:t> </w:t>
      </w:r>
      <w:r>
        <w:rPr>
          <w:rFonts w:ascii="Arial"/>
          <w:sz w:val="16"/>
        </w:rPr>
        <w:t>of</w:t>
      </w:r>
      <w:r>
        <w:rPr>
          <w:rFonts w:ascii="Arial"/>
          <w:spacing w:val="-4"/>
          <w:sz w:val="16"/>
        </w:rPr>
        <w:t> </w:t>
      </w:r>
      <w:r>
        <w:rPr>
          <w:rFonts w:ascii="Arial"/>
          <w:sz w:val="16"/>
        </w:rPr>
        <w:t>the</w:t>
      </w:r>
      <w:r>
        <w:rPr>
          <w:rFonts w:ascii="Arial"/>
          <w:spacing w:val="-4"/>
          <w:sz w:val="16"/>
        </w:rPr>
        <w:t> </w:t>
      </w:r>
      <w:r>
        <w:rPr>
          <w:rFonts w:ascii="Arial"/>
          <w:spacing w:val="-2"/>
          <w:sz w:val="16"/>
        </w:rPr>
        <w:t>area.</w:t>
      </w:r>
    </w:p>
    <w:p>
      <w:pPr>
        <w:spacing w:after="0"/>
        <w:jc w:val="left"/>
        <w:rPr>
          <w:rFonts w:ascii="Arial"/>
          <w:sz w:val="16"/>
        </w:rPr>
        <w:sectPr>
          <w:pgSz w:w="12240" w:h="15840"/>
          <w:pgMar w:header="725" w:footer="891" w:top="960" w:bottom="1080" w:left="1080" w:right="720"/>
        </w:sectPr>
      </w:pPr>
    </w:p>
    <w:p>
      <w:pPr>
        <w:pStyle w:val="BodyText"/>
        <w:rPr>
          <w:rFonts w:ascii="Arial"/>
          <w:sz w:val="18"/>
        </w:rPr>
      </w:pPr>
    </w:p>
    <w:p>
      <w:pPr>
        <w:pStyle w:val="BodyText"/>
        <w:spacing w:before="60"/>
        <w:rPr>
          <w:rFonts w:ascii="Arial"/>
          <w:sz w:val="18"/>
        </w:rPr>
      </w:pPr>
    </w:p>
    <w:p>
      <w:pPr>
        <w:spacing w:before="0" w:after="41"/>
        <w:ind w:left="1151" w:right="0" w:firstLine="0"/>
        <w:jc w:val="left"/>
        <w:rPr>
          <w:rFonts w:ascii="Arial"/>
          <w:b/>
          <w:sz w:val="18"/>
        </w:rPr>
      </w:pPr>
      <w:bookmarkStart w:name="_bookmark81" w:id="159"/>
      <w:bookmarkEnd w:id="159"/>
      <w:r>
        <w:rPr/>
      </w:r>
      <w:r>
        <w:rPr>
          <w:rFonts w:ascii="Arial"/>
          <w:b/>
          <w:sz w:val="18"/>
        </w:rPr>
        <w:t>Table</w:t>
      </w:r>
      <w:r>
        <w:rPr>
          <w:rFonts w:ascii="Arial"/>
          <w:b/>
          <w:spacing w:val="-5"/>
          <w:sz w:val="18"/>
        </w:rPr>
        <w:t> </w:t>
      </w:r>
      <w:r>
        <w:rPr>
          <w:rFonts w:ascii="Arial"/>
          <w:b/>
          <w:sz w:val="18"/>
        </w:rPr>
        <w:t>8.</w:t>
      </w:r>
      <w:r>
        <w:rPr>
          <w:rFonts w:ascii="Arial"/>
          <w:b/>
          <w:spacing w:val="-2"/>
          <w:sz w:val="18"/>
        </w:rPr>
        <w:t> </w:t>
      </w:r>
      <w:r>
        <w:rPr>
          <w:rFonts w:ascii="Arial"/>
          <w:b/>
          <w:sz w:val="18"/>
        </w:rPr>
        <w:t>Desired</w:t>
      </w:r>
      <w:r>
        <w:rPr>
          <w:rFonts w:ascii="Arial"/>
          <w:b/>
          <w:spacing w:val="-3"/>
          <w:sz w:val="18"/>
        </w:rPr>
        <w:t> </w:t>
      </w:r>
      <w:r>
        <w:rPr>
          <w:rFonts w:ascii="Arial"/>
          <w:b/>
          <w:sz w:val="18"/>
        </w:rPr>
        <w:t>amounts</w:t>
      </w:r>
      <w:r>
        <w:rPr>
          <w:rFonts w:ascii="Arial"/>
          <w:b/>
          <w:spacing w:val="-4"/>
          <w:sz w:val="18"/>
        </w:rPr>
        <w:t> </w:t>
      </w:r>
      <w:r>
        <w:rPr>
          <w:rFonts w:ascii="Arial"/>
          <w:b/>
          <w:sz w:val="18"/>
        </w:rPr>
        <w:t>of</w:t>
      </w:r>
      <w:r>
        <w:rPr>
          <w:rFonts w:ascii="Arial"/>
          <w:b/>
          <w:spacing w:val="-5"/>
          <w:sz w:val="18"/>
        </w:rPr>
        <w:t> </w:t>
      </w:r>
      <w:r>
        <w:rPr>
          <w:rFonts w:ascii="Arial"/>
          <w:b/>
          <w:sz w:val="18"/>
        </w:rPr>
        <w:t>coarse</w:t>
      </w:r>
      <w:r>
        <w:rPr>
          <w:rFonts w:ascii="Arial"/>
          <w:b/>
          <w:spacing w:val="-4"/>
          <w:sz w:val="18"/>
        </w:rPr>
        <w:t> </w:t>
      </w:r>
      <w:r>
        <w:rPr>
          <w:rFonts w:ascii="Arial"/>
          <w:b/>
          <w:sz w:val="18"/>
        </w:rPr>
        <w:t>woody</w:t>
      </w:r>
      <w:r>
        <w:rPr>
          <w:rFonts w:ascii="Arial"/>
          <w:b/>
          <w:spacing w:val="-9"/>
          <w:sz w:val="18"/>
        </w:rPr>
        <w:t> </w:t>
      </w:r>
      <w:r>
        <w:rPr>
          <w:rFonts w:ascii="Arial"/>
          <w:b/>
          <w:sz w:val="18"/>
        </w:rPr>
        <w:t>debris</w:t>
      </w:r>
      <w:r>
        <w:rPr>
          <w:rFonts w:ascii="Arial"/>
          <w:b/>
          <w:spacing w:val="-2"/>
          <w:sz w:val="18"/>
        </w:rPr>
        <w:t> </w:t>
      </w:r>
      <w:r>
        <w:rPr>
          <w:rFonts w:ascii="Arial"/>
          <w:b/>
          <w:sz w:val="18"/>
        </w:rPr>
        <w:t>(CWD)</w:t>
      </w:r>
      <w:r>
        <w:rPr>
          <w:rFonts w:ascii="Arial"/>
          <w:b/>
          <w:spacing w:val="-3"/>
          <w:sz w:val="18"/>
        </w:rPr>
        <w:t> </w:t>
      </w:r>
      <w:r>
        <w:rPr>
          <w:rFonts w:ascii="Arial"/>
          <w:b/>
          <w:sz w:val="18"/>
        </w:rPr>
        <w:t>by</w:t>
      </w:r>
      <w:r>
        <w:rPr>
          <w:rFonts w:ascii="Arial"/>
          <w:b/>
          <w:spacing w:val="-11"/>
          <w:sz w:val="18"/>
        </w:rPr>
        <w:t> </w:t>
      </w:r>
      <w:r>
        <w:rPr>
          <w:rFonts w:ascii="Arial"/>
          <w:b/>
          <w:sz w:val="18"/>
        </w:rPr>
        <w:t>forest</w:t>
      </w:r>
      <w:r>
        <w:rPr>
          <w:rFonts w:ascii="Arial"/>
          <w:b/>
          <w:spacing w:val="-3"/>
          <w:sz w:val="18"/>
        </w:rPr>
        <w:t> </w:t>
      </w:r>
      <w:r>
        <w:rPr>
          <w:rFonts w:ascii="Arial"/>
          <w:b/>
          <w:sz w:val="18"/>
        </w:rPr>
        <w:t>vegetation</w:t>
      </w:r>
      <w:r>
        <w:rPr>
          <w:rFonts w:ascii="Arial"/>
          <w:b/>
          <w:spacing w:val="-3"/>
          <w:sz w:val="18"/>
        </w:rPr>
        <w:t> </w:t>
      </w:r>
      <w:r>
        <w:rPr>
          <w:rFonts w:ascii="Arial"/>
          <w:b/>
          <w:spacing w:val="-2"/>
          <w:sz w:val="18"/>
        </w:rPr>
        <w:t>types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274"/>
        <w:gridCol w:w="4274"/>
      </w:tblGrid>
      <w:tr>
        <w:trPr>
          <w:trHeight w:val="287" w:hRule="atLeast"/>
        </w:trPr>
        <w:tc>
          <w:tcPr>
            <w:tcW w:w="4274" w:type="dxa"/>
            <w:shd w:val="clear" w:color="auto" w:fill="D5E2BB"/>
          </w:tcPr>
          <w:p>
            <w:pPr>
              <w:pStyle w:val="TableParagraph"/>
              <w:ind w:left="1142"/>
              <w:rPr>
                <w:b/>
                <w:sz w:val="18"/>
              </w:rPr>
            </w:pPr>
            <w:r>
              <w:rPr>
                <w:b/>
                <w:sz w:val="18"/>
              </w:rPr>
              <w:t>Forest</w:t>
            </w:r>
            <w:r>
              <w:rPr>
                <w:b/>
                <w:spacing w:val="-3"/>
                <w:sz w:val="18"/>
              </w:rPr>
              <w:t> </w:t>
            </w:r>
            <w:r>
              <w:rPr>
                <w:b/>
                <w:sz w:val="18"/>
              </w:rPr>
              <w:t>Vegetation</w:t>
            </w:r>
            <w:r>
              <w:rPr>
                <w:b/>
                <w:spacing w:val="-3"/>
                <w:sz w:val="18"/>
              </w:rPr>
              <w:t> </w:t>
            </w:r>
            <w:r>
              <w:rPr>
                <w:b/>
                <w:spacing w:val="-4"/>
                <w:sz w:val="18"/>
              </w:rPr>
              <w:t>Type</w:t>
            </w:r>
          </w:p>
        </w:tc>
        <w:tc>
          <w:tcPr>
            <w:tcW w:w="4274" w:type="dxa"/>
            <w:shd w:val="clear" w:color="auto" w:fill="D5E2BB"/>
          </w:tcPr>
          <w:p>
            <w:pPr>
              <w:pStyle w:val="TableParagraph"/>
              <w:spacing w:before="36"/>
              <w:ind w:left="23"/>
              <w:jc w:val="center"/>
              <w:rPr>
                <w:b/>
                <w:sz w:val="18"/>
              </w:rPr>
            </w:pPr>
            <w:r>
              <w:rPr>
                <w:b/>
                <w:sz w:val="18"/>
              </w:rPr>
              <w:t>Coarse</w:t>
            </w:r>
            <w:r>
              <w:rPr>
                <w:b/>
                <w:spacing w:val="-1"/>
                <w:sz w:val="18"/>
              </w:rPr>
              <w:t> </w:t>
            </w:r>
            <w:r>
              <w:rPr>
                <w:b/>
                <w:sz w:val="18"/>
              </w:rPr>
              <w:t>Woody</w:t>
            </w:r>
            <w:r>
              <w:rPr>
                <w:b/>
                <w:spacing w:val="-9"/>
                <w:sz w:val="18"/>
              </w:rPr>
              <w:t> </w:t>
            </w:r>
            <w:r>
              <w:rPr>
                <w:b/>
                <w:sz w:val="18"/>
              </w:rPr>
              <w:t>Debris</w:t>
            </w:r>
            <w:r>
              <w:rPr>
                <w:b/>
                <w:position w:val="6"/>
                <w:sz w:val="12"/>
              </w:rPr>
              <w:t>1</w:t>
            </w:r>
            <w:r>
              <w:rPr>
                <w:b/>
                <w:spacing w:val="15"/>
                <w:position w:val="6"/>
                <w:sz w:val="12"/>
              </w:rPr>
              <w:t> </w:t>
            </w:r>
            <w:r>
              <w:rPr>
                <w:b/>
                <w:sz w:val="18"/>
              </w:rPr>
              <w:t>(tons</w:t>
            </w:r>
            <w:r>
              <w:rPr>
                <w:b/>
                <w:spacing w:val="-4"/>
                <w:sz w:val="18"/>
              </w:rPr>
              <w:t> </w:t>
            </w:r>
            <w:r>
              <w:rPr>
                <w:b/>
                <w:sz w:val="18"/>
              </w:rPr>
              <w:t>per</w:t>
            </w:r>
            <w:r>
              <w:rPr>
                <w:b/>
                <w:spacing w:val="-3"/>
                <w:sz w:val="18"/>
              </w:rPr>
              <w:t> </w:t>
            </w:r>
            <w:r>
              <w:rPr>
                <w:b/>
                <w:spacing w:val="-4"/>
                <w:sz w:val="18"/>
              </w:rPr>
              <w:t>acre)</w:t>
            </w:r>
          </w:p>
        </w:tc>
      </w:tr>
      <w:tr>
        <w:trPr>
          <w:trHeight w:val="287" w:hRule="atLeast"/>
        </w:trPr>
        <w:tc>
          <w:tcPr>
            <w:tcW w:w="4274" w:type="dxa"/>
          </w:tcPr>
          <w:p>
            <w:pPr>
              <w:pStyle w:val="TableParagraph"/>
              <w:ind w:left="107"/>
              <w:rPr>
                <w:sz w:val="18"/>
              </w:rPr>
            </w:pPr>
            <w:r>
              <w:rPr>
                <w:sz w:val="18"/>
              </w:rPr>
              <w:t>Douglas-fir</w:t>
            </w:r>
            <w:r>
              <w:rPr>
                <w:spacing w:val="-6"/>
                <w:sz w:val="18"/>
              </w:rPr>
              <w:t> </w:t>
            </w:r>
            <w:r>
              <w:rPr>
                <w:spacing w:val="-5"/>
                <w:sz w:val="18"/>
              </w:rPr>
              <w:t>Dry</w:t>
            </w:r>
          </w:p>
        </w:tc>
        <w:tc>
          <w:tcPr>
            <w:tcW w:w="4274" w:type="dxa"/>
          </w:tcPr>
          <w:p>
            <w:pPr>
              <w:pStyle w:val="TableParagraph"/>
              <w:ind w:left="23" w:right="4"/>
              <w:jc w:val="center"/>
              <w:rPr>
                <w:sz w:val="18"/>
              </w:rPr>
            </w:pPr>
            <w:r>
              <w:rPr>
                <w:spacing w:val="-2"/>
                <w:sz w:val="18"/>
              </w:rPr>
              <w:t>3-</w:t>
            </w:r>
            <w:r>
              <w:rPr>
                <w:spacing w:val="-10"/>
                <w:sz w:val="18"/>
              </w:rPr>
              <w:t>7</w:t>
            </w:r>
          </w:p>
        </w:tc>
      </w:tr>
      <w:tr>
        <w:trPr>
          <w:trHeight w:val="287" w:hRule="atLeast"/>
        </w:trPr>
        <w:tc>
          <w:tcPr>
            <w:tcW w:w="4274" w:type="dxa"/>
          </w:tcPr>
          <w:p>
            <w:pPr>
              <w:pStyle w:val="TableParagraph"/>
              <w:ind w:left="107"/>
              <w:rPr>
                <w:sz w:val="18"/>
              </w:rPr>
            </w:pPr>
            <w:r>
              <w:rPr>
                <w:sz w:val="18"/>
              </w:rPr>
              <w:t>Northern</w:t>
            </w:r>
            <w:r>
              <w:rPr>
                <w:spacing w:val="-4"/>
                <w:sz w:val="18"/>
              </w:rPr>
              <w:t> </w:t>
            </w:r>
            <w:r>
              <w:rPr>
                <w:sz w:val="18"/>
              </w:rPr>
              <w:t>Rocky</w:t>
            </w:r>
            <w:r>
              <w:rPr>
                <w:spacing w:val="-6"/>
                <w:sz w:val="18"/>
              </w:rPr>
              <w:t> </w:t>
            </w:r>
            <w:r>
              <w:rPr>
                <w:sz w:val="18"/>
              </w:rPr>
              <w:t>Mountains</w:t>
            </w:r>
            <w:r>
              <w:rPr>
                <w:spacing w:val="-3"/>
                <w:sz w:val="18"/>
              </w:rPr>
              <w:t> </w:t>
            </w:r>
            <w:r>
              <w:rPr>
                <w:sz w:val="18"/>
              </w:rPr>
              <w:t>Mixed</w:t>
            </w:r>
            <w:r>
              <w:rPr>
                <w:spacing w:val="-4"/>
                <w:sz w:val="18"/>
              </w:rPr>
              <w:t> </w:t>
            </w:r>
            <w:r>
              <w:rPr>
                <w:spacing w:val="-2"/>
                <w:sz w:val="18"/>
              </w:rPr>
              <w:t>Conifer</w:t>
            </w:r>
          </w:p>
        </w:tc>
        <w:tc>
          <w:tcPr>
            <w:tcW w:w="4274" w:type="dxa"/>
          </w:tcPr>
          <w:p>
            <w:pPr>
              <w:pStyle w:val="TableParagraph"/>
              <w:ind w:left="23" w:right="3"/>
              <w:jc w:val="center"/>
              <w:rPr>
                <w:sz w:val="18"/>
              </w:rPr>
            </w:pPr>
            <w:r>
              <w:rPr>
                <w:spacing w:val="-2"/>
                <w:sz w:val="18"/>
              </w:rPr>
              <w:t>5-</w:t>
            </w:r>
            <w:r>
              <w:rPr>
                <w:spacing w:val="-5"/>
                <w:sz w:val="18"/>
              </w:rPr>
              <w:t>10</w:t>
            </w:r>
          </w:p>
        </w:tc>
      </w:tr>
      <w:tr>
        <w:trPr>
          <w:trHeight w:val="287" w:hRule="atLeast"/>
        </w:trPr>
        <w:tc>
          <w:tcPr>
            <w:tcW w:w="4274" w:type="dxa"/>
          </w:tcPr>
          <w:p>
            <w:pPr>
              <w:pStyle w:val="TableParagraph"/>
              <w:ind w:left="107"/>
              <w:rPr>
                <w:sz w:val="18"/>
              </w:rPr>
            </w:pPr>
            <w:r>
              <w:rPr>
                <w:sz w:val="18"/>
              </w:rPr>
              <w:t>Western</w:t>
            </w:r>
            <w:r>
              <w:rPr>
                <w:spacing w:val="-4"/>
                <w:sz w:val="18"/>
              </w:rPr>
              <w:t> </w:t>
            </w:r>
            <w:r>
              <w:rPr>
                <w:sz w:val="18"/>
              </w:rPr>
              <w:t>Hemlock/Western</w:t>
            </w:r>
            <w:r>
              <w:rPr>
                <w:spacing w:val="-4"/>
                <w:sz w:val="18"/>
              </w:rPr>
              <w:t> </w:t>
            </w:r>
            <w:r>
              <w:rPr>
                <w:sz w:val="18"/>
              </w:rPr>
              <w:t>Red</w:t>
            </w:r>
            <w:r>
              <w:rPr>
                <w:spacing w:val="-3"/>
                <w:sz w:val="18"/>
              </w:rPr>
              <w:t> </w:t>
            </w:r>
            <w:r>
              <w:rPr>
                <w:spacing w:val="-2"/>
                <w:sz w:val="18"/>
              </w:rPr>
              <w:t>Cedar</w:t>
            </w:r>
          </w:p>
        </w:tc>
        <w:tc>
          <w:tcPr>
            <w:tcW w:w="4274" w:type="dxa"/>
          </w:tcPr>
          <w:p>
            <w:pPr>
              <w:pStyle w:val="TableParagraph"/>
              <w:ind w:left="23" w:right="3"/>
              <w:jc w:val="center"/>
              <w:rPr>
                <w:sz w:val="18"/>
              </w:rPr>
            </w:pPr>
            <w:r>
              <w:rPr>
                <w:spacing w:val="-2"/>
                <w:sz w:val="18"/>
              </w:rPr>
              <w:t>25-</w:t>
            </w:r>
            <w:r>
              <w:rPr>
                <w:spacing w:val="-7"/>
                <w:sz w:val="18"/>
              </w:rPr>
              <w:t>40</w:t>
            </w:r>
          </w:p>
        </w:tc>
      </w:tr>
      <w:tr>
        <w:trPr>
          <w:trHeight w:val="284" w:hRule="atLeast"/>
        </w:trPr>
        <w:tc>
          <w:tcPr>
            <w:tcW w:w="4274" w:type="dxa"/>
          </w:tcPr>
          <w:p>
            <w:pPr>
              <w:pStyle w:val="TableParagraph"/>
              <w:ind w:left="107"/>
              <w:rPr>
                <w:sz w:val="18"/>
              </w:rPr>
            </w:pPr>
            <w:r>
              <w:rPr>
                <w:sz w:val="18"/>
              </w:rPr>
              <w:t>Subalpine</w:t>
            </w:r>
            <w:r>
              <w:rPr>
                <w:spacing w:val="-9"/>
                <w:sz w:val="18"/>
              </w:rPr>
              <w:t> </w:t>
            </w:r>
            <w:r>
              <w:rPr>
                <w:sz w:val="18"/>
              </w:rPr>
              <w:t>fir/Lodgepole</w:t>
            </w:r>
            <w:r>
              <w:rPr>
                <w:spacing w:val="-4"/>
                <w:sz w:val="18"/>
              </w:rPr>
              <w:t> pine</w:t>
            </w:r>
          </w:p>
        </w:tc>
        <w:tc>
          <w:tcPr>
            <w:tcW w:w="4274" w:type="dxa"/>
          </w:tcPr>
          <w:p>
            <w:pPr>
              <w:pStyle w:val="TableParagraph"/>
              <w:ind w:left="23" w:right="3"/>
              <w:jc w:val="center"/>
              <w:rPr>
                <w:sz w:val="18"/>
              </w:rPr>
            </w:pPr>
            <w:r>
              <w:rPr>
                <w:spacing w:val="-2"/>
                <w:sz w:val="18"/>
              </w:rPr>
              <w:t>16-</w:t>
            </w:r>
            <w:r>
              <w:rPr>
                <w:spacing w:val="-7"/>
                <w:sz w:val="18"/>
              </w:rPr>
              <w:t>40</w:t>
            </w:r>
          </w:p>
        </w:tc>
      </w:tr>
      <w:tr>
        <w:trPr>
          <w:trHeight w:val="289" w:hRule="atLeast"/>
        </w:trPr>
        <w:tc>
          <w:tcPr>
            <w:tcW w:w="4274" w:type="dxa"/>
          </w:tcPr>
          <w:p>
            <w:pPr>
              <w:pStyle w:val="TableParagraph"/>
              <w:spacing w:before="42"/>
              <w:ind w:left="107"/>
              <w:rPr>
                <w:sz w:val="18"/>
              </w:rPr>
            </w:pPr>
            <w:r>
              <w:rPr>
                <w:sz w:val="18"/>
              </w:rPr>
              <w:t>Spruce/Subalpine</w:t>
            </w:r>
            <w:r>
              <w:rPr>
                <w:spacing w:val="-6"/>
                <w:sz w:val="18"/>
              </w:rPr>
              <w:t> </w:t>
            </w:r>
            <w:r>
              <w:rPr>
                <w:spacing w:val="-5"/>
                <w:sz w:val="18"/>
              </w:rPr>
              <w:t>fir</w:t>
            </w:r>
          </w:p>
        </w:tc>
        <w:tc>
          <w:tcPr>
            <w:tcW w:w="4274" w:type="dxa"/>
          </w:tcPr>
          <w:p>
            <w:pPr>
              <w:pStyle w:val="TableParagraph"/>
              <w:spacing w:before="42"/>
              <w:ind w:left="23" w:right="3"/>
              <w:jc w:val="center"/>
              <w:rPr>
                <w:sz w:val="18"/>
              </w:rPr>
            </w:pPr>
            <w:r>
              <w:rPr>
                <w:spacing w:val="-2"/>
                <w:sz w:val="18"/>
              </w:rPr>
              <w:t>5-</w:t>
            </w:r>
            <w:r>
              <w:rPr>
                <w:spacing w:val="-5"/>
                <w:sz w:val="18"/>
              </w:rPr>
              <w:t>12</w:t>
            </w:r>
          </w:p>
        </w:tc>
      </w:tr>
    </w:tbl>
    <w:p>
      <w:pPr>
        <w:spacing w:before="41"/>
        <w:ind w:left="1151" w:right="961" w:firstLine="0"/>
        <w:jc w:val="left"/>
        <w:rPr>
          <w:rFonts w:ascii="Arial"/>
          <w:sz w:val="16"/>
        </w:rPr>
      </w:pPr>
      <w:r>
        <w:rPr>
          <w:rFonts w:ascii="Arial"/>
          <w:sz w:val="16"/>
          <w:u w:val="single"/>
        </w:rPr>
        <w:t>1</w:t>
      </w:r>
      <w:r>
        <w:rPr>
          <w:rFonts w:ascii="Arial"/>
          <w:sz w:val="16"/>
          <w:u w:val="none"/>
        </w:rPr>
        <w:t>/ Log</w:t>
      </w:r>
      <w:r>
        <w:rPr>
          <w:rFonts w:ascii="Arial"/>
          <w:spacing w:val="-4"/>
          <w:sz w:val="16"/>
          <w:u w:val="none"/>
        </w:rPr>
        <w:t> </w:t>
      </w:r>
      <w:r>
        <w:rPr>
          <w:rFonts w:ascii="Arial"/>
          <w:sz w:val="16"/>
          <w:u w:val="none"/>
        </w:rPr>
        <w:t>size</w:t>
      </w:r>
      <w:r>
        <w:rPr>
          <w:rFonts w:ascii="Arial"/>
          <w:spacing w:val="-2"/>
          <w:sz w:val="16"/>
          <w:u w:val="none"/>
        </w:rPr>
        <w:t> </w:t>
      </w:r>
      <w:r>
        <w:rPr>
          <w:rFonts w:ascii="Arial"/>
          <w:sz w:val="16"/>
          <w:u w:val="none"/>
        </w:rPr>
        <w:t>=</w:t>
      </w:r>
      <w:r>
        <w:rPr>
          <w:rFonts w:ascii="Arial"/>
          <w:spacing w:val="-6"/>
          <w:sz w:val="16"/>
          <w:u w:val="none"/>
        </w:rPr>
        <w:t> </w:t>
      </w:r>
      <w:r>
        <w:rPr>
          <w:rFonts w:ascii="Arial"/>
          <w:sz w:val="16"/>
          <w:u w:val="none"/>
        </w:rPr>
        <w:t>minimum-10</w:t>
      </w:r>
      <w:r>
        <w:rPr>
          <w:rFonts w:ascii="Arial"/>
          <w:spacing w:val="-2"/>
          <w:sz w:val="16"/>
          <w:u w:val="none"/>
        </w:rPr>
        <w:t> </w:t>
      </w:r>
      <w:r>
        <w:rPr>
          <w:rFonts w:ascii="Arial"/>
          <w:sz w:val="16"/>
          <w:u w:val="none"/>
        </w:rPr>
        <w:t>inches</w:t>
      </w:r>
      <w:r>
        <w:rPr>
          <w:rFonts w:ascii="Arial"/>
          <w:spacing w:val="-3"/>
          <w:sz w:val="16"/>
          <w:u w:val="none"/>
        </w:rPr>
        <w:t> </w:t>
      </w:r>
      <w:r>
        <w:rPr>
          <w:rFonts w:ascii="Arial"/>
          <w:sz w:val="16"/>
          <w:u w:val="none"/>
        </w:rPr>
        <w:t>diameter</w:t>
      </w:r>
      <w:r>
        <w:rPr>
          <w:rFonts w:ascii="Arial"/>
          <w:spacing w:val="-2"/>
          <w:sz w:val="16"/>
          <w:u w:val="none"/>
        </w:rPr>
        <w:t> </w:t>
      </w:r>
      <w:r>
        <w:rPr>
          <w:rFonts w:ascii="Arial"/>
          <w:sz w:val="16"/>
          <w:u w:val="none"/>
        </w:rPr>
        <w:t>on</w:t>
      </w:r>
      <w:r>
        <w:rPr>
          <w:rFonts w:ascii="Arial"/>
          <w:spacing w:val="-4"/>
          <w:sz w:val="16"/>
          <w:u w:val="none"/>
        </w:rPr>
        <w:t> </w:t>
      </w:r>
      <w:r>
        <w:rPr>
          <w:rFonts w:ascii="Arial"/>
          <w:sz w:val="16"/>
          <w:u w:val="none"/>
        </w:rPr>
        <w:t>large</w:t>
      </w:r>
      <w:r>
        <w:rPr>
          <w:rFonts w:ascii="Arial"/>
          <w:spacing w:val="-2"/>
          <w:sz w:val="16"/>
          <w:u w:val="none"/>
        </w:rPr>
        <w:t> </w:t>
      </w:r>
      <w:r>
        <w:rPr>
          <w:rFonts w:ascii="Arial"/>
          <w:sz w:val="16"/>
          <w:u w:val="none"/>
        </w:rPr>
        <w:t>end</w:t>
      </w:r>
      <w:r>
        <w:rPr>
          <w:rFonts w:ascii="Arial"/>
          <w:spacing w:val="-2"/>
          <w:sz w:val="16"/>
          <w:u w:val="none"/>
        </w:rPr>
        <w:t> </w:t>
      </w:r>
      <w:r>
        <w:rPr>
          <w:rFonts w:ascii="Arial"/>
          <w:sz w:val="16"/>
          <w:u w:val="none"/>
        </w:rPr>
        <w:t>and</w:t>
      </w:r>
      <w:r>
        <w:rPr>
          <w:rFonts w:ascii="Arial"/>
          <w:spacing w:val="-2"/>
          <w:sz w:val="16"/>
          <w:u w:val="none"/>
        </w:rPr>
        <w:t> </w:t>
      </w:r>
      <w:r>
        <w:rPr>
          <w:rFonts w:ascii="Arial"/>
          <w:sz w:val="16"/>
          <w:u w:val="none"/>
        </w:rPr>
        <w:t>over</w:t>
      </w:r>
      <w:r>
        <w:rPr>
          <w:rFonts w:ascii="Arial"/>
          <w:spacing w:val="-2"/>
          <w:sz w:val="16"/>
          <w:u w:val="none"/>
        </w:rPr>
        <w:t> </w:t>
      </w:r>
      <w:r>
        <w:rPr>
          <w:rFonts w:ascii="Arial"/>
          <w:sz w:val="16"/>
          <w:u w:val="none"/>
        </w:rPr>
        <w:t>16</w:t>
      </w:r>
      <w:r>
        <w:rPr>
          <w:rFonts w:ascii="Arial"/>
          <w:spacing w:val="-4"/>
          <w:sz w:val="16"/>
          <w:u w:val="none"/>
        </w:rPr>
        <w:t> </w:t>
      </w:r>
      <w:r>
        <w:rPr>
          <w:rFonts w:ascii="Arial"/>
          <w:sz w:val="16"/>
          <w:u w:val="none"/>
        </w:rPr>
        <w:t>feet</w:t>
      </w:r>
      <w:r>
        <w:rPr>
          <w:rFonts w:ascii="Arial"/>
          <w:spacing w:val="-3"/>
          <w:sz w:val="16"/>
          <w:u w:val="none"/>
        </w:rPr>
        <w:t> </w:t>
      </w:r>
      <w:r>
        <w:rPr>
          <w:rFonts w:ascii="Arial"/>
          <w:sz w:val="16"/>
          <w:u w:val="none"/>
        </w:rPr>
        <w:t>long;</w:t>
      </w:r>
      <w:r>
        <w:rPr>
          <w:rFonts w:ascii="Arial"/>
          <w:spacing w:val="-3"/>
          <w:sz w:val="16"/>
          <w:u w:val="none"/>
        </w:rPr>
        <w:t> </w:t>
      </w:r>
      <w:r>
        <w:rPr>
          <w:rFonts w:ascii="Arial"/>
          <w:sz w:val="16"/>
          <w:u w:val="none"/>
        </w:rPr>
        <w:t>preferred-16</w:t>
      </w:r>
      <w:r>
        <w:rPr>
          <w:rFonts w:ascii="Arial"/>
          <w:spacing w:val="-2"/>
          <w:sz w:val="16"/>
          <w:u w:val="none"/>
        </w:rPr>
        <w:t> </w:t>
      </w:r>
      <w:r>
        <w:rPr>
          <w:rFonts w:ascii="Arial"/>
          <w:sz w:val="16"/>
          <w:u w:val="none"/>
        </w:rPr>
        <w:t>inches diameter</w:t>
      </w:r>
      <w:r>
        <w:rPr>
          <w:rFonts w:ascii="Arial"/>
          <w:spacing w:val="-2"/>
          <w:sz w:val="16"/>
          <w:u w:val="none"/>
        </w:rPr>
        <w:t> </w:t>
      </w:r>
      <w:r>
        <w:rPr>
          <w:rFonts w:ascii="Arial"/>
          <w:sz w:val="16"/>
          <w:u w:val="none"/>
        </w:rPr>
        <w:t>on</w:t>
      </w:r>
      <w:r>
        <w:rPr>
          <w:rFonts w:ascii="Arial"/>
          <w:spacing w:val="-4"/>
          <w:sz w:val="16"/>
          <w:u w:val="none"/>
        </w:rPr>
        <w:t> </w:t>
      </w:r>
      <w:r>
        <w:rPr>
          <w:rFonts w:ascii="Arial"/>
          <w:sz w:val="16"/>
          <w:u w:val="none"/>
        </w:rPr>
        <w:t>large end and over 33 feet long</w:t>
      </w:r>
    </w:p>
    <w:p>
      <w:pPr>
        <w:pStyle w:val="BodyText"/>
        <w:spacing w:before="176"/>
        <w:rPr>
          <w:rFonts w:ascii="Arial"/>
          <w:sz w:val="16"/>
        </w:rPr>
      </w:pPr>
    </w:p>
    <w:p>
      <w:pPr>
        <w:spacing w:before="0"/>
        <w:ind w:left="1151" w:right="0" w:firstLine="0"/>
        <w:jc w:val="left"/>
        <w:rPr>
          <w:rFonts w:ascii="Arial"/>
          <w:i/>
          <w:sz w:val="22"/>
        </w:rPr>
      </w:pPr>
      <w:bookmarkStart w:name="FW-DC-VEG-05. Biological Legacies" w:id="160"/>
      <w:bookmarkEnd w:id="160"/>
      <w:r>
        <w:rPr/>
      </w:r>
      <w:r>
        <w:rPr>
          <w:rFonts w:ascii="Arial"/>
          <w:i/>
          <w:sz w:val="22"/>
        </w:rPr>
        <w:t>FW-DC-VEG-05.</w:t>
      </w:r>
      <w:r>
        <w:rPr>
          <w:rFonts w:ascii="Arial"/>
          <w:i/>
          <w:spacing w:val="-11"/>
          <w:sz w:val="22"/>
        </w:rPr>
        <w:t> </w:t>
      </w:r>
      <w:r>
        <w:rPr>
          <w:rFonts w:ascii="Arial"/>
          <w:i/>
          <w:sz w:val="22"/>
        </w:rPr>
        <w:t>Biological</w:t>
      </w:r>
      <w:r>
        <w:rPr>
          <w:rFonts w:ascii="Arial"/>
          <w:i/>
          <w:spacing w:val="-10"/>
          <w:sz w:val="22"/>
        </w:rPr>
        <w:t> </w:t>
      </w:r>
      <w:r>
        <w:rPr>
          <w:rFonts w:ascii="Arial"/>
          <w:i/>
          <w:spacing w:val="-2"/>
          <w:sz w:val="22"/>
        </w:rPr>
        <w:t>Legacies</w:t>
      </w:r>
    </w:p>
    <w:p>
      <w:pPr>
        <w:pStyle w:val="BodyText"/>
        <w:spacing w:line="232" w:lineRule="auto" w:before="65"/>
        <w:ind w:left="1152" w:right="801"/>
      </w:pPr>
      <w:r>
        <w:rPr/>
        <w:t>Large</w:t>
      </w:r>
      <w:r>
        <w:rPr>
          <w:spacing w:val="-5"/>
        </w:rPr>
        <w:t> </w:t>
      </w:r>
      <w:r>
        <w:rPr/>
        <w:t>trees,</w:t>
      </w:r>
      <w:r>
        <w:rPr>
          <w:spacing w:val="-6"/>
        </w:rPr>
        <w:t> </w:t>
      </w:r>
      <w:r>
        <w:rPr/>
        <w:t>snags,</w:t>
      </w:r>
      <w:r>
        <w:rPr>
          <w:spacing w:val="-7"/>
        </w:rPr>
        <w:t> </w:t>
      </w:r>
      <w:r>
        <w:rPr/>
        <w:t>and</w:t>
      </w:r>
      <w:r>
        <w:rPr>
          <w:spacing w:val="-6"/>
        </w:rPr>
        <w:t> </w:t>
      </w:r>
      <w:r>
        <w:rPr/>
        <w:t>down</w:t>
      </w:r>
      <w:r>
        <w:rPr>
          <w:spacing w:val="-6"/>
        </w:rPr>
        <w:t> </w:t>
      </w:r>
      <w:r>
        <w:rPr/>
        <w:t>wood</w:t>
      </w:r>
      <w:r>
        <w:rPr>
          <w:spacing w:val="-6"/>
        </w:rPr>
        <w:t> </w:t>
      </w:r>
      <w:r>
        <w:rPr/>
        <w:t>are</w:t>
      </w:r>
      <w:r>
        <w:rPr>
          <w:spacing w:val="-7"/>
        </w:rPr>
        <w:t> </w:t>
      </w:r>
      <w:r>
        <w:rPr/>
        <w:t>represented</w:t>
      </w:r>
      <w:r>
        <w:rPr>
          <w:spacing w:val="-8"/>
        </w:rPr>
        <w:t> </w:t>
      </w:r>
      <w:r>
        <w:rPr/>
        <w:t>across</w:t>
      </w:r>
      <w:r>
        <w:rPr>
          <w:spacing w:val="-6"/>
        </w:rPr>
        <w:t> </w:t>
      </w:r>
      <w:r>
        <w:rPr/>
        <w:t>the</w:t>
      </w:r>
      <w:r>
        <w:rPr>
          <w:spacing w:val="-7"/>
        </w:rPr>
        <w:t> </w:t>
      </w:r>
      <w:r>
        <w:rPr/>
        <w:t>landscape</w:t>
      </w:r>
      <w:r>
        <w:rPr>
          <w:spacing w:val="-5"/>
        </w:rPr>
        <w:t> </w:t>
      </w:r>
      <w:r>
        <w:rPr/>
        <w:t>and</w:t>
      </w:r>
      <w:r>
        <w:rPr>
          <w:spacing w:val="-6"/>
        </w:rPr>
        <w:t> </w:t>
      </w:r>
      <w:r>
        <w:rPr/>
        <w:t>large</w:t>
      </w:r>
      <w:r>
        <w:rPr>
          <w:spacing w:val="-5"/>
        </w:rPr>
        <w:t> </w:t>
      </w:r>
      <w:r>
        <w:rPr/>
        <w:t>tree</w:t>
      </w:r>
      <w:r>
        <w:rPr>
          <w:spacing w:val="-5"/>
        </w:rPr>
        <w:t> </w:t>
      </w:r>
      <w:r>
        <w:rPr/>
        <w:t>habitat is maintained to support wildlife, aquatic and soil</w:t>
      </w:r>
      <w:r>
        <w:rPr>
          <w:spacing w:val="-1"/>
        </w:rPr>
        <w:t> </w:t>
      </w:r>
      <w:r>
        <w:rPr/>
        <w:t>resources and support recovery processes in the post disturbance ecosystem.</w:t>
      </w:r>
    </w:p>
    <w:p>
      <w:pPr>
        <w:pStyle w:val="BodyText"/>
        <w:spacing w:before="191"/>
        <w:ind w:left="1151" w:right="1073"/>
      </w:pPr>
      <w:r>
        <w:rPr/>
        <w:t>Examples</w:t>
      </w:r>
      <w:r>
        <w:rPr>
          <w:spacing w:val="-4"/>
        </w:rPr>
        <w:t> </w:t>
      </w:r>
      <w:r>
        <w:rPr/>
        <w:t>of</w:t>
      </w:r>
      <w:r>
        <w:rPr>
          <w:spacing w:val="-3"/>
        </w:rPr>
        <w:t> </w:t>
      </w:r>
      <w:r>
        <w:rPr/>
        <w:t>biological</w:t>
      </w:r>
      <w:r>
        <w:rPr>
          <w:spacing w:val="-3"/>
        </w:rPr>
        <w:t> </w:t>
      </w:r>
      <w:r>
        <w:rPr/>
        <w:t>legacy</w:t>
      </w:r>
      <w:r>
        <w:rPr>
          <w:spacing w:val="-2"/>
        </w:rPr>
        <w:t> </w:t>
      </w:r>
      <w:r>
        <w:rPr/>
        <w:t>categories</w:t>
      </w:r>
      <w:r>
        <w:rPr>
          <w:spacing w:val="-2"/>
        </w:rPr>
        <w:t> </w:t>
      </w:r>
      <w:r>
        <w:rPr/>
        <w:t>are</w:t>
      </w:r>
      <w:r>
        <w:rPr>
          <w:spacing w:val="-2"/>
        </w:rPr>
        <w:t> </w:t>
      </w:r>
      <w:r>
        <w:rPr/>
        <w:t>provided</w:t>
      </w:r>
      <w:r>
        <w:rPr>
          <w:spacing w:val="-5"/>
        </w:rPr>
        <w:t> </w:t>
      </w:r>
      <w:r>
        <w:rPr/>
        <w:t>in</w:t>
      </w:r>
      <w:r>
        <w:rPr>
          <w:spacing w:val="-4"/>
        </w:rPr>
        <w:t> </w:t>
      </w:r>
      <w:hyperlink w:history="true" w:anchor="_bookmark82">
        <w:r>
          <w:rPr/>
          <w:t>table</w:t>
        </w:r>
        <w:r>
          <w:rPr>
            <w:spacing w:val="-2"/>
          </w:rPr>
          <w:t> </w:t>
        </w:r>
        <w:r>
          <w:rPr/>
          <w:t>9.</w:t>
        </w:r>
      </w:hyperlink>
      <w:r>
        <w:rPr>
          <w:spacing w:val="-5"/>
        </w:rPr>
        <w:t> </w:t>
      </w:r>
      <w:r>
        <w:rPr/>
        <w:t>Not</w:t>
      </w:r>
      <w:r>
        <w:rPr>
          <w:spacing w:val="-4"/>
        </w:rPr>
        <w:t> </w:t>
      </w:r>
      <w:r>
        <w:rPr/>
        <w:t>all</w:t>
      </w:r>
      <w:r>
        <w:rPr>
          <w:spacing w:val="-3"/>
        </w:rPr>
        <w:t> </w:t>
      </w:r>
      <w:r>
        <w:rPr/>
        <w:t>components</w:t>
      </w:r>
      <w:r>
        <w:rPr>
          <w:spacing w:val="-3"/>
        </w:rPr>
        <w:t> </w:t>
      </w:r>
      <w:r>
        <w:rPr/>
        <w:t>will</w:t>
      </w:r>
      <w:r>
        <w:rPr>
          <w:spacing w:val="-3"/>
        </w:rPr>
        <w:t> </w:t>
      </w:r>
      <w:r>
        <w:rPr/>
        <w:t>be present within an individual site-specific project area.</w:t>
      </w:r>
    </w:p>
    <w:p>
      <w:pPr>
        <w:pStyle w:val="BodyText"/>
        <w:spacing w:before="92"/>
      </w:pPr>
    </w:p>
    <w:p>
      <w:pPr>
        <w:spacing w:before="0" w:after="41"/>
        <w:ind w:left="1151" w:right="0" w:firstLine="0"/>
        <w:jc w:val="left"/>
        <w:rPr>
          <w:rFonts w:ascii="Arial"/>
          <w:b/>
          <w:sz w:val="18"/>
        </w:rPr>
      </w:pPr>
      <w:bookmarkStart w:name="_bookmark82" w:id="161"/>
      <w:bookmarkEnd w:id="161"/>
      <w:r>
        <w:rPr/>
      </w:r>
      <w:r>
        <w:rPr>
          <w:rFonts w:ascii="Arial"/>
          <w:b/>
          <w:sz w:val="18"/>
        </w:rPr>
        <w:t>Table</w:t>
      </w:r>
      <w:r>
        <w:rPr>
          <w:rFonts w:ascii="Arial"/>
          <w:b/>
          <w:spacing w:val="-3"/>
          <w:sz w:val="18"/>
        </w:rPr>
        <w:t> </w:t>
      </w:r>
      <w:r>
        <w:rPr>
          <w:rFonts w:ascii="Arial"/>
          <w:b/>
          <w:sz w:val="18"/>
        </w:rPr>
        <w:t>9.</w:t>
      </w:r>
      <w:r>
        <w:rPr>
          <w:rFonts w:ascii="Arial"/>
          <w:b/>
          <w:spacing w:val="-1"/>
          <w:sz w:val="18"/>
        </w:rPr>
        <w:t> </w:t>
      </w:r>
      <w:r>
        <w:rPr>
          <w:rFonts w:ascii="Arial"/>
          <w:b/>
          <w:sz w:val="18"/>
        </w:rPr>
        <w:t>Biological</w:t>
      </w:r>
      <w:r>
        <w:rPr>
          <w:rFonts w:ascii="Arial"/>
          <w:b/>
          <w:spacing w:val="-3"/>
          <w:sz w:val="18"/>
        </w:rPr>
        <w:t> </w:t>
      </w:r>
      <w:r>
        <w:rPr>
          <w:rFonts w:ascii="Arial"/>
          <w:b/>
          <w:sz w:val="18"/>
        </w:rPr>
        <w:t>legacy</w:t>
      </w:r>
      <w:r>
        <w:rPr>
          <w:rFonts w:ascii="Arial"/>
          <w:b/>
          <w:spacing w:val="-8"/>
          <w:sz w:val="18"/>
        </w:rPr>
        <w:t> </w:t>
      </w:r>
      <w:r>
        <w:rPr>
          <w:rFonts w:ascii="Arial"/>
          <w:b/>
          <w:sz w:val="18"/>
        </w:rPr>
        <w:t>categories</w:t>
      </w:r>
      <w:r>
        <w:rPr>
          <w:rFonts w:ascii="Arial"/>
          <w:b/>
          <w:spacing w:val="-3"/>
          <w:sz w:val="18"/>
        </w:rPr>
        <w:t> </w:t>
      </w:r>
      <w:r>
        <w:rPr>
          <w:rFonts w:ascii="Arial"/>
          <w:b/>
          <w:sz w:val="18"/>
        </w:rPr>
        <w:t>and</w:t>
      </w:r>
      <w:r>
        <w:rPr>
          <w:rFonts w:ascii="Arial"/>
          <w:b/>
          <w:spacing w:val="-1"/>
          <w:sz w:val="18"/>
        </w:rPr>
        <w:t> </w:t>
      </w:r>
      <w:r>
        <w:rPr>
          <w:rFonts w:ascii="Arial"/>
          <w:b/>
          <w:spacing w:val="-2"/>
          <w:sz w:val="18"/>
        </w:rPr>
        <w:t>examples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962"/>
        <w:gridCol w:w="5588"/>
      </w:tblGrid>
      <w:tr>
        <w:trPr>
          <w:trHeight w:val="287" w:hRule="atLeast"/>
        </w:trPr>
        <w:tc>
          <w:tcPr>
            <w:tcW w:w="2962" w:type="dxa"/>
            <w:shd w:val="clear" w:color="auto" w:fill="D5E2BB"/>
          </w:tcPr>
          <w:p>
            <w:pPr>
              <w:pStyle w:val="TableParagraph"/>
              <w:ind w:left="342"/>
              <w:rPr>
                <w:b/>
                <w:sz w:val="18"/>
              </w:rPr>
            </w:pPr>
            <w:r>
              <w:rPr>
                <w:b/>
                <w:sz w:val="18"/>
              </w:rPr>
              <w:t>Biological</w:t>
            </w:r>
            <w:r>
              <w:rPr>
                <w:b/>
                <w:spacing w:val="-1"/>
                <w:sz w:val="18"/>
              </w:rPr>
              <w:t> </w:t>
            </w:r>
            <w:r>
              <w:rPr>
                <w:b/>
                <w:sz w:val="18"/>
              </w:rPr>
              <w:t>legacy</w:t>
            </w:r>
            <w:r>
              <w:rPr>
                <w:b/>
                <w:spacing w:val="-9"/>
                <w:sz w:val="18"/>
              </w:rPr>
              <w:t> </w:t>
            </w:r>
            <w:r>
              <w:rPr>
                <w:b/>
                <w:spacing w:val="-2"/>
                <w:sz w:val="18"/>
              </w:rPr>
              <w:t>category</w:t>
            </w:r>
          </w:p>
        </w:tc>
        <w:tc>
          <w:tcPr>
            <w:tcW w:w="5588" w:type="dxa"/>
            <w:shd w:val="clear" w:color="auto" w:fill="D5E2BB"/>
          </w:tcPr>
          <w:p>
            <w:pPr>
              <w:pStyle w:val="TableParagraph"/>
              <w:ind w:left="19"/>
              <w:jc w:val="center"/>
              <w:rPr>
                <w:b/>
                <w:sz w:val="18"/>
              </w:rPr>
            </w:pPr>
            <w:r>
              <w:rPr>
                <w:b/>
                <w:spacing w:val="-2"/>
                <w:sz w:val="18"/>
              </w:rPr>
              <w:t>Examples</w:t>
            </w:r>
          </w:p>
        </w:tc>
      </w:tr>
      <w:tr>
        <w:trPr>
          <w:trHeight w:val="260" w:hRule="atLeast"/>
        </w:trPr>
        <w:tc>
          <w:tcPr>
            <w:tcW w:w="2962" w:type="dxa"/>
            <w:vMerge w:val="restart"/>
          </w:tcPr>
          <w:p>
            <w:pPr>
              <w:pStyle w:val="TableParagraph"/>
              <w:spacing w:before="42"/>
              <w:ind w:left="107"/>
              <w:rPr>
                <w:b/>
                <w:sz w:val="18"/>
              </w:rPr>
            </w:pPr>
            <w:r>
              <w:rPr>
                <w:b/>
                <w:spacing w:val="-2"/>
                <w:sz w:val="18"/>
              </w:rPr>
              <w:t>Organisms</w:t>
            </w:r>
          </w:p>
        </w:tc>
        <w:tc>
          <w:tcPr>
            <w:tcW w:w="5588" w:type="dxa"/>
          </w:tcPr>
          <w:p>
            <w:pPr>
              <w:pStyle w:val="TableParagraph"/>
              <w:spacing w:line="199" w:lineRule="exact" w:before="42"/>
              <w:ind w:left="107"/>
              <w:rPr>
                <w:sz w:val="18"/>
              </w:rPr>
            </w:pPr>
            <w:r>
              <w:rPr>
                <w:sz w:val="18"/>
              </w:rPr>
              <w:t>Sexually</w:t>
            </w:r>
            <w:r>
              <w:rPr>
                <w:spacing w:val="-3"/>
                <w:sz w:val="18"/>
              </w:rPr>
              <w:t> </w:t>
            </w:r>
            <w:r>
              <w:rPr>
                <w:sz w:val="18"/>
              </w:rPr>
              <w:t>mature</w:t>
            </w:r>
            <w:r>
              <w:rPr>
                <w:spacing w:val="-3"/>
                <w:sz w:val="18"/>
              </w:rPr>
              <w:t> </w:t>
            </w:r>
            <w:r>
              <w:rPr>
                <w:sz w:val="18"/>
              </w:rPr>
              <w:t>and</w:t>
            </w:r>
            <w:r>
              <w:rPr>
                <w:spacing w:val="-4"/>
                <w:sz w:val="18"/>
              </w:rPr>
              <w:t> </w:t>
            </w:r>
            <w:r>
              <w:rPr>
                <w:sz w:val="18"/>
              </w:rPr>
              <w:t>intact</w:t>
            </w:r>
            <w:r>
              <w:rPr>
                <w:spacing w:val="-3"/>
                <w:sz w:val="18"/>
              </w:rPr>
              <w:t> </w:t>
            </w:r>
            <w:r>
              <w:rPr>
                <w:sz w:val="18"/>
              </w:rPr>
              <w:t>live</w:t>
            </w:r>
            <w:r>
              <w:rPr>
                <w:spacing w:val="-3"/>
                <w:sz w:val="18"/>
              </w:rPr>
              <w:t> </w:t>
            </w:r>
            <w:r>
              <w:rPr>
                <w:spacing w:val="-2"/>
                <w:sz w:val="18"/>
              </w:rPr>
              <w:t>trees</w:t>
            </w:r>
          </w:p>
        </w:tc>
      </w:tr>
      <w:tr>
        <w:trPr>
          <w:trHeight w:val="260" w:hRule="atLeast"/>
        </w:trPr>
        <w:tc>
          <w:tcPr>
            <w:tcW w:w="2962" w:type="dxa"/>
            <w:vMerge/>
            <w:tcBorders>
              <w:top w:val="nil"/>
            </w:tcBorders>
          </w:tcPr>
          <w:p>
            <w:pPr>
              <w:rPr>
                <w:sz w:val="2"/>
                <w:szCs w:val="2"/>
              </w:rPr>
            </w:pPr>
          </w:p>
        </w:tc>
        <w:tc>
          <w:tcPr>
            <w:tcW w:w="5588" w:type="dxa"/>
          </w:tcPr>
          <w:p>
            <w:pPr>
              <w:pStyle w:val="TableParagraph"/>
              <w:spacing w:line="201" w:lineRule="exact"/>
              <w:ind w:left="107"/>
              <w:rPr>
                <w:sz w:val="18"/>
              </w:rPr>
            </w:pPr>
            <w:r>
              <w:rPr>
                <w:sz w:val="18"/>
              </w:rPr>
              <w:t>Tree</w:t>
            </w:r>
            <w:r>
              <w:rPr>
                <w:spacing w:val="-2"/>
                <w:sz w:val="18"/>
              </w:rPr>
              <w:t> </w:t>
            </w:r>
            <w:r>
              <w:rPr>
                <w:sz w:val="18"/>
              </w:rPr>
              <w:t>reproduction</w:t>
            </w:r>
            <w:r>
              <w:rPr>
                <w:spacing w:val="-2"/>
                <w:sz w:val="18"/>
              </w:rPr>
              <w:t> </w:t>
            </w:r>
            <w:r>
              <w:rPr>
                <w:sz w:val="18"/>
              </w:rPr>
              <w:t>(seeding</w:t>
            </w:r>
            <w:r>
              <w:rPr>
                <w:spacing w:val="-5"/>
                <w:sz w:val="18"/>
              </w:rPr>
              <w:t> </w:t>
            </w:r>
            <w:r>
              <w:rPr>
                <w:sz w:val="18"/>
              </w:rPr>
              <w:t>and</w:t>
            </w:r>
            <w:r>
              <w:rPr>
                <w:spacing w:val="-2"/>
                <w:sz w:val="18"/>
              </w:rPr>
              <w:t> </w:t>
            </w:r>
            <w:r>
              <w:rPr>
                <w:sz w:val="18"/>
              </w:rPr>
              <w:t>sapling</w:t>
            </w:r>
            <w:r>
              <w:rPr>
                <w:spacing w:val="-1"/>
                <w:sz w:val="18"/>
              </w:rPr>
              <w:t> </w:t>
            </w:r>
            <w:r>
              <w:rPr>
                <w:spacing w:val="-2"/>
                <w:sz w:val="18"/>
              </w:rPr>
              <w:t>banks)</w:t>
            </w:r>
          </w:p>
        </w:tc>
      </w:tr>
      <w:tr>
        <w:trPr>
          <w:trHeight w:val="258" w:hRule="atLeast"/>
        </w:trPr>
        <w:tc>
          <w:tcPr>
            <w:tcW w:w="2962" w:type="dxa"/>
            <w:vMerge/>
            <w:tcBorders>
              <w:top w:val="nil"/>
            </w:tcBorders>
          </w:tcPr>
          <w:p>
            <w:pPr>
              <w:rPr>
                <w:sz w:val="2"/>
                <w:szCs w:val="2"/>
              </w:rPr>
            </w:pPr>
          </w:p>
        </w:tc>
        <w:tc>
          <w:tcPr>
            <w:tcW w:w="5588" w:type="dxa"/>
          </w:tcPr>
          <w:p>
            <w:pPr>
              <w:pStyle w:val="TableParagraph"/>
              <w:spacing w:line="199" w:lineRule="exact"/>
              <w:ind w:left="107"/>
              <w:rPr>
                <w:sz w:val="18"/>
              </w:rPr>
            </w:pPr>
            <w:r>
              <w:rPr>
                <w:sz w:val="18"/>
              </w:rPr>
              <w:t>Vegetatively</w:t>
            </w:r>
            <w:r>
              <w:rPr>
                <w:spacing w:val="-4"/>
                <w:sz w:val="18"/>
              </w:rPr>
              <w:t> </w:t>
            </w:r>
            <w:r>
              <w:rPr>
                <w:sz w:val="18"/>
              </w:rPr>
              <w:t>reproducing</w:t>
            </w:r>
            <w:r>
              <w:rPr>
                <w:spacing w:val="-5"/>
                <w:sz w:val="18"/>
              </w:rPr>
              <w:t> </w:t>
            </w:r>
            <w:r>
              <w:rPr>
                <w:sz w:val="18"/>
              </w:rPr>
              <w:t>parts</w:t>
            </w:r>
            <w:r>
              <w:rPr>
                <w:spacing w:val="-4"/>
                <w:sz w:val="18"/>
              </w:rPr>
              <w:t> </w:t>
            </w:r>
            <w:r>
              <w:rPr>
                <w:sz w:val="18"/>
              </w:rPr>
              <w:t>(e.g.,</w:t>
            </w:r>
            <w:r>
              <w:rPr>
                <w:spacing w:val="-2"/>
                <w:sz w:val="18"/>
              </w:rPr>
              <w:t> roots)</w:t>
            </w:r>
          </w:p>
        </w:tc>
      </w:tr>
      <w:tr>
        <w:trPr>
          <w:trHeight w:val="260" w:hRule="atLeast"/>
        </w:trPr>
        <w:tc>
          <w:tcPr>
            <w:tcW w:w="2962" w:type="dxa"/>
            <w:vMerge/>
            <w:tcBorders>
              <w:top w:val="nil"/>
            </w:tcBorders>
          </w:tcPr>
          <w:p>
            <w:pPr>
              <w:rPr>
                <w:sz w:val="2"/>
                <w:szCs w:val="2"/>
              </w:rPr>
            </w:pPr>
          </w:p>
        </w:tc>
        <w:tc>
          <w:tcPr>
            <w:tcW w:w="5588" w:type="dxa"/>
          </w:tcPr>
          <w:p>
            <w:pPr>
              <w:pStyle w:val="TableParagraph"/>
              <w:spacing w:line="199" w:lineRule="exact" w:before="42"/>
              <w:ind w:left="107"/>
              <w:rPr>
                <w:sz w:val="18"/>
              </w:rPr>
            </w:pPr>
            <w:r>
              <w:rPr>
                <w:sz w:val="18"/>
              </w:rPr>
              <w:t>Seed </w:t>
            </w:r>
            <w:r>
              <w:rPr>
                <w:spacing w:val="-2"/>
                <w:sz w:val="18"/>
              </w:rPr>
              <w:t>banks</w:t>
            </w:r>
          </w:p>
        </w:tc>
      </w:tr>
      <w:tr>
        <w:trPr>
          <w:trHeight w:val="260" w:hRule="atLeast"/>
        </w:trPr>
        <w:tc>
          <w:tcPr>
            <w:tcW w:w="2962" w:type="dxa"/>
            <w:vMerge/>
            <w:tcBorders>
              <w:top w:val="nil"/>
            </w:tcBorders>
          </w:tcPr>
          <w:p>
            <w:pPr>
              <w:rPr>
                <w:sz w:val="2"/>
                <w:szCs w:val="2"/>
              </w:rPr>
            </w:pPr>
          </w:p>
        </w:tc>
        <w:tc>
          <w:tcPr>
            <w:tcW w:w="5588" w:type="dxa"/>
          </w:tcPr>
          <w:p>
            <w:pPr>
              <w:pStyle w:val="TableParagraph"/>
              <w:spacing w:line="201" w:lineRule="exact"/>
              <w:ind w:left="107"/>
              <w:rPr>
                <w:sz w:val="18"/>
              </w:rPr>
            </w:pPr>
            <w:r>
              <w:rPr>
                <w:sz w:val="18"/>
              </w:rPr>
              <w:t>Shrub,</w:t>
            </w:r>
            <w:r>
              <w:rPr>
                <w:spacing w:val="-3"/>
                <w:sz w:val="18"/>
              </w:rPr>
              <w:t> </w:t>
            </w:r>
            <w:r>
              <w:rPr>
                <w:sz w:val="18"/>
              </w:rPr>
              <w:t>herb,</w:t>
            </w:r>
            <w:r>
              <w:rPr>
                <w:spacing w:val="-4"/>
                <w:sz w:val="18"/>
              </w:rPr>
              <w:t> </w:t>
            </w:r>
            <w:r>
              <w:rPr>
                <w:sz w:val="18"/>
              </w:rPr>
              <w:t>bryophyte</w:t>
            </w:r>
            <w:r>
              <w:rPr>
                <w:spacing w:val="-4"/>
                <w:sz w:val="18"/>
              </w:rPr>
              <w:t> </w:t>
            </w:r>
            <w:r>
              <w:rPr>
                <w:spacing w:val="-2"/>
                <w:sz w:val="18"/>
              </w:rPr>
              <w:t>species</w:t>
            </w:r>
          </w:p>
        </w:tc>
      </w:tr>
      <w:tr>
        <w:trPr>
          <w:trHeight w:val="330" w:hRule="atLeast"/>
        </w:trPr>
        <w:tc>
          <w:tcPr>
            <w:tcW w:w="2962" w:type="dxa"/>
            <w:vMerge/>
            <w:tcBorders>
              <w:top w:val="nil"/>
            </w:tcBorders>
          </w:tcPr>
          <w:p>
            <w:pPr>
              <w:rPr>
                <w:sz w:val="2"/>
                <w:szCs w:val="2"/>
              </w:rPr>
            </w:pPr>
          </w:p>
        </w:tc>
        <w:tc>
          <w:tcPr>
            <w:tcW w:w="5588" w:type="dxa"/>
          </w:tcPr>
          <w:p>
            <w:pPr>
              <w:pStyle w:val="TableParagraph"/>
              <w:ind w:left="107"/>
              <w:rPr>
                <w:sz w:val="18"/>
              </w:rPr>
            </w:pPr>
            <w:r>
              <w:rPr>
                <w:sz w:val="18"/>
              </w:rPr>
              <w:t>Mature</w:t>
            </w:r>
            <w:r>
              <w:rPr>
                <w:spacing w:val="-7"/>
                <w:sz w:val="18"/>
              </w:rPr>
              <w:t> </w:t>
            </w:r>
            <w:r>
              <w:rPr>
                <w:sz w:val="18"/>
              </w:rPr>
              <w:t>and</w:t>
            </w:r>
            <w:r>
              <w:rPr>
                <w:spacing w:val="-7"/>
                <w:sz w:val="18"/>
              </w:rPr>
              <w:t> </w:t>
            </w:r>
            <w:r>
              <w:rPr>
                <w:sz w:val="18"/>
              </w:rPr>
              <w:t>immature</w:t>
            </w:r>
            <w:r>
              <w:rPr>
                <w:spacing w:val="-9"/>
                <w:sz w:val="18"/>
              </w:rPr>
              <w:t> </w:t>
            </w:r>
            <w:r>
              <w:rPr>
                <w:sz w:val="18"/>
              </w:rPr>
              <w:t>animals</w:t>
            </w:r>
            <w:r>
              <w:rPr>
                <w:spacing w:val="-8"/>
                <w:sz w:val="18"/>
              </w:rPr>
              <w:t> </w:t>
            </w:r>
            <w:r>
              <w:rPr>
                <w:sz w:val="18"/>
              </w:rPr>
              <w:t>and</w:t>
            </w:r>
            <w:r>
              <w:rPr>
                <w:spacing w:val="-9"/>
                <w:sz w:val="18"/>
              </w:rPr>
              <w:t> </w:t>
            </w:r>
            <w:r>
              <w:rPr>
                <w:spacing w:val="-2"/>
                <w:sz w:val="18"/>
              </w:rPr>
              <w:t>microbes</w:t>
            </w:r>
          </w:p>
        </w:tc>
      </w:tr>
      <w:tr>
        <w:trPr>
          <w:trHeight w:val="260" w:hRule="atLeast"/>
        </w:trPr>
        <w:tc>
          <w:tcPr>
            <w:tcW w:w="2962" w:type="dxa"/>
            <w:vMerge w:val="restart"/>
          </w:tcPr>
          <w:p>
            <w:pPr>
              <w:pStyle w:val="TableParagraph"/>
              <w:ind w:left="107"/>
              <w:rPr>
                <w:b/>
                <w:sz w:val="18"/>
              </w:rPr>
            </w:pPr>
            <w:r>
              <w:rPr>
                <w:b/>
                <w:sz w:val="18"/>
              </w:rPr>
              <w:t>Organic</w:t>
            </w:r>
            <w:r>
              <w:rPr>
                <w:b/>
                <w:spacing w:val="-3"/>
                <w:sz w:val="18"/>
              </w:rPr>
              <w:t> </w:t>
            </w:r>
            <w:r>
              <w:rPr>
                <w:b/>
                <w:spacing w:val="-2"/>
                <w:sz w:val="18"/>
              </w:rPr>
              <w:t>matter</w:t>
            </w:r>
          </w:p>
        </w:tc>
        <w:tc>
          <w:tcPr>
            <w:tcW w:w="5588" w:type="dxa"/>
          </w:tcPr>
          <w:p>
            <w:pPr>
              <w:pStyle w:val="TableParagraph"/>
              <w:spacing w:line="201" w:lineRule="exact"/>
              <w:ind w:left="107"/>
              <w:rPr>
                <w:sz w:val="18"/>
              </w:rPr>
            </w:pPr>
            <w:r>
              <w:rPr>
                <w:sz w:val="18"/>
              </w:rPr>
              <w:t>Fine</w:t>
            </w:r>
            <w:r>
              <w:rPr>
                <w:spacing w:val="-2"/>
                <w:sz w:val="18"/>
              </w:rPr>
              <w:t> litter</w:t>
            </w:r>
          </w:p>
        </w:tc>
      </w:tr>
      <w:tr>
        <w:trPr>
          <w:trHeight w:val="347" w:hRule="atLeast"/>
        </w:trPr>
        <w:tc>
          <w:tcPr>
            <w:tcW w:w="2962" w:type="dxa"/>
            <w:vMerge/>
            <w:tcBorders>
              <w:top w:val="nil"/>
            </w:tcBorders>
          </w:tcPr>
          <w:p>
            <w:pPr>
              <w:rPr>
                <w:sz w:val="2"/>
                <w:szCs w:val="2"/>
              </w:rPr>
            </w:pPr>
          </w:p>
        </w:tc>
        <w:tc>
          <w:tcPr>
            <w:tcW w:w="5588" w:type="dxa"/>
          </w:tcPr>
          <w:p>
            <w:pPr>
              <w:pStyle w:val="TableParagraph"/>
              <w:ind w:left="107"/>
              <w:rPr>
                <w:sz w:val="18"/>
              </w:rPr>
            </w:pPr>
            <w:r>
              <w:rPr>
                <w:sz w:val="18"/>
              </w:rPr>
              <w:t>Particulate</w:t>
            </w:r>
            <w:r>
              <w:rPr>
                <w:spacing w:val="-4"/>
                <w:sz w:val="18"/>
              </w:rPr>
              <w:t> </w:t>
            </w:r>
            <w:r>
              <w:rPr>
                <w:spacing w:val="-2"/>
                <w:sz w:val="18"/>
              </w:rPr>
              <w:t>material</w:t>
            </w:r>
          </w:p>
        </w:tc>
      </w:tr>
      <w:tr>
        <w:trPr>
          <w:trHeight w:val="332" w:hRule="atLeast"/>
        </w:trPr>
        <w:tc>
          <w:tcPr>
            <w:tcW w:w="2962" w:type="dxa"/>
            <w:vMerge w:val="restart"/>
          </w:tcPr>
          <w:p>
            <w:pPr>
              <w:pStyle w:val="TableParagraph"/>
              <w:spacing w:before="42"/>
              <w:ind w:left="107"/>
              <w:rPr>
                <w:b/>
                <w:sz w:val="18"/>
              </w:rPr>
            </w:pPr>
            <w:r>
              <w:rPr>
                <w:b/>
                <w:sz w:val="18"/>
              </w:rPr>
              <w:t>Organically</w:t>
            </w:r>
            <w:r>
              <w:rPr>
                <w:b/>
                <w:spacing w:val="-10"/>
                <w:sz w:val="18"/>
              </w:rPr>
              <w:t> </w:t>
            </w:r>
            <w:r>
              <w:rPr>
                <w:b/>
                <w:sz w:val="18"/>
              </w:rPr>
              <w:t>derived </w:t>
            </w:r>
            <w:r>
              <w:rPr>
                <w:b/>
                <w:spacing w:val="-2"/>
                <w:sz w:val="18"/>
              </w:rPr>
              <w:t>structures</w:t>
            </w:r>
          </w:p>
        </w:tc>
        <w:tc>
          <w:tcPr>
            <w:tcW w:w="5588" w:type="dxa"/>
          </w:tcPr>
          <w:p>
            <w:pPr>
              <w:pStyle w:val="TableParagraph"/>
              <w:spacing w:before="42"/>
              <w:ind w:left="107"/>
              <w:rPr>
                <w:sz w:val="18"/>
              </w:rPr>
            </w:pPr>
            <w:r>
              <w:rPr>
                <w:sz w:val="18"/>
              </w:rPr>
              <w:t>Downed</w:t>
            </w:r>
            <w:r>
              <w:rPr>
                <w:spacing w:val="-1"/>
                <w:sz w:val="18"/>
              </w:rPr>
              <w:t> </w:t>
            </w:r>
            <w:r>
              <w:rPr>
                <w:sz w:val="18"/>
              </w:rPr>
              <w:t>trees</w:t>
            </w:r>
            <w:r>
              <w:rPr>
                <w:spacing w:val="-3"/>
                <w:sz w:val="18"/>
              </w:rPr>
              <w:t> </w:t>
            </w:r>
            <w:r>
              <w:rPr>
                <w:sz w:val="18"/>
              </w:rPr>
              <w:t>and</w:t>
            </w:r>
            <w:r>
              <w:rPr>
                <w:spacing w:val="-4"/>
                <w:sz w:val="18"/>
              </w:rPr>
              <w:t> </w:t>
            </w:r>
            <w:r>
              <w:rPr>
                <w:sz w:val="18"/>
              </w:rPr>
              <w:t>other</w:t>
            </w:r>
            <w:r>
              <w:rPr>
                <w:spacing w:val="-4"/>
                <w:sz w:val="18"/>
              </w:rPr>
              <w:t> </w:t>
            </w:r>
            <w:r>
              <w:rPr>
                <w:sz w:val="18"/>
              </w:rPr>
              <w:t>coarse</w:t>
            </w:r>
            <w:r>
              <w:rPr>
                <w:spacing w:val="-1"/>
                <w:sz w:val="18"/>
              </w:rPr>
              <w:t> </w:t>
            </w:r>
            <w:r>
              <w:rPr>
                <w:sz w:val="18"/>
              </w:rPr>
              <w:t>woody</w:t>
            </w:r>
            <w:r>
              <w:rPr>
                <w:spacing w:val="-3"/>
                <w:sz w:val="18"/>
              </w:rPr>
              <w:t> </w:t>
            </w:r>
            <w:r>
              <w:rPr>
                <w:spacing w:val="-2"/>
                <w:sz w:val="18"/>
              </w:rPr>
              <w:t>debris</w:t>
            </w:r>
          </w:p>
        </w:tc>
      </w:tr>
      <w:tr>
        <w:trPr>
          <w:trHeight w:val="347" w:hRule="atLeast"/>
        </w:trPr>
        <w:tc>
          <w:tcPr>
            <w:tcW w:w="2962" w:type="dxa"/>
            <w:vMerge/>
            <w:tcBorders>
              <w:top w:val="nil"/>
            </w:tcBorders>
          </w:tcPr>
          <w:p>
            <w:pPr>
              <w:rPr>
                <w:sz w:val="2"/>
                <w:szCs w:val="2"/>
              </w:rPr>
            </w:pPr>
          </w:p>
        </w:tc>
        <w:tc>
          <w:tcPr>
            <w:tcW w:w="5588" w:type="dxa"/>
          </w:tcPr>
          <w:p>
            <w:pPr>
              <w:pStyle w:val="TableParagraph"/>
              <w:ind w:left="107"/>
              <w:rPr>
                <w:sz w:val="18"/>
              </w:rPr>
            </w:pPr>
            <w:r>
              <w:rPr>
                <w:sz w:val="18"/>
              </w:rPr>
              <w:t>Root</w:t>
            </w:r>
            <w:r>
              <w:rPr>
                <w:spacing w:val="-3"/>
                <w:sz w:val="18"/>
              </w:rPr>
              <w:t> </w:t>
            </w:r>
            <w:r>
              <w:rPr>
                <w:sz w:val="18"/>
              </w:rPr>
              <w:t>wads</w:t>
            </w:r>
            <w:r>
              <w:rPr>
                <w:spacing w:val="-2"/>
                <w:sz w:val="18"/>
              </w:rPr>
              <w:t> </w:t>
            </w:r>
            <w:r>
              <w:rPr>
                <w:sz w:val="18"/>
              </w:rPr>
              <w:t>and</w:t>
            </w:r>
            <w:r>
              <w:rPr>
                <w:spacing w:val="-2"/>
                <w:sz w:val="18"/>
              </w:rPr>
              <w:t> </w:t>
            </w:r>
            <w:r>
              <w:rPr>
                <w:sz w:val="18"/>
              </w:rPr>
              <w:t>pits</w:t>
            </w:r>
            <w:r>
              <w:rPr>
                <w:spacing w:val="-1"/>
                <w:sz w:val="18"/>
              </w:rPr>
              <w:t> </w:t>
            </w:r>
            <w:r>
              <w:rPr>
                <w:sz w:val="18"/>
              </w:rPr>
              <w:t>from</w:t>
            </w:r>
            <w:r>
              <w:rPr>
                <w:spacing w:val="-4"/>
                <w:sz w:val="18"/>
              </w:rPr>
              <w:t> </w:t>
            </w:r>
            <w:r>
              <w:rPr>
                <w:sz w:val="18"/>
              </w:rPr>
              <w:t>uprooted</w:t>
            </w:r>
            <w:r>
              <w:rPr>
                <w:spacing w:val="-2"/>
                <w:sz w:val="18"/>
              </w:rPr>
              <w:t> </w:t>
            </w:r>
            <w:r>
              <w:rPr>
                <w:spacing w:val="-4"/>
                <w:sz w:val="18"/>
              </w:rPr>
              <w:t>trees</w:t>
            </w:r>
          </w:p>
        </w:tc>
      </w:tr>
      <w:tr>
        <w:trPr>
          <w:trHeight w:val="332" w:hRule="atLeast"/>
        </w:trPr>
        <w:tc>
          <w:tcPr>
            <w:tcW w:w="2962" w:type="dxa"/>
            <w:vMerge/>
            <w:tcBorders>
              <w:top w:val="nil"/>
            </w:tcBorders>
          </w:tcPr>
          <w:p>
            <w:pPr>
              <w:rPr>
                <w:sz w:val="2"/>
                <w:szCs w:val="2"/>
              </w:rPr>
            </w:pPr>
          </w:p>
        </w:tc>
        <w:tc>
          <w:tcPr>
            <w:tcW w:w="5588" w:type="dxa"/>
          </w:tcPr>
          <w:p>
            <w:pPr>
              <w:pStyle w:val="TableParagraph"/>
              <w:spacing w:before="42"/>
              <w:ind w:left="107"/>
              <w:rPr>
                <w:sz w:val="18"/>
              </w:rPr>
            </w:pPr>
            <w:r>
              <w:rPr>
                <w:sz w:val="18"/>
              </w:rPr>
              <w:t>Hollow</w:t>
            </w:r>
            <w:r>
              <w:rPr>
                <w:spacing w:val="-6"/>
                <w:sz w:val="18"/>
              </w:rPr>
              <w:t> </w:t>
            </w:r>
            <w:r>
              <w:rPr>
                <w:sz w:val="18"/>
              </w:rPr>
              <w:t>live</w:t>
            </w:r>
            <w:r>
              <w:rPr>
                <w:spacing w:val="-1"/>
                <w:sz w:val="18"/>
              </w:rPr>
              <w:t> </w:t>
            </w:r>
            <w:r>
              <w:rPr>
                <w:spacing w:val="-2"/>
                <w:sz w:val="18"/>
              </w:rPr>
              <w:t>trees</w:t>
            </w:r>
          </w:p>
        </w:tc>
      </w:tr>
      <w:tr>
        <w:trPr>
          <w:trHeight w:val="520" w:hRule="atLeast"/>
        </w:trPr>
        <w:tc>
          <w:tcPr>
            <w:tcW w:w="2962" w:type="dxa"/>
            <w:vMerge/>
            <w:tcBorders>
              <w:top w:val="nil"/>
            </w:tcBorders>
          </w:tcPr>
          <w:p>
            <w:pPr>
              <w:rPr>
                <w:sz w:val="2"/>
                <w:szCs w:val="2"/>
              </w:rPr>
            </w:pPr>
          </w:p>
        </w:tc>
        <w:tc>
          <w:tcPr>
            <w:tcW w:w="5588" w:type="dxa"/>
          </w:tcPr>
          <w:p>
            <w:pPr>
              <w:pStyle w:val="TableParagraph"/>
              <w:spacing w:line="260" w:lineRule="exact" w:before="0"/>
              <w:ind w:left="107"/>
              <w:rPr>
                <w:sz w:val="18"/>
              </w:rPr>
            </w:pPr>
            <w:r>
              <w:rPr>
                <w:sz w:val="18"/>
              </w:rPr>
              <w:t>Trees</w:t>
            </w:r>
            <w:r>
              <w:rPr>
                <w:spacing w:val="-3"/>
                <w:sz w:val="18"/>
              </w:rPr>
              <w:t> </w:t>
            </w:r>
            <w:r>
              <w:rPr>
                <w:sz w:val="18"/>
              </w:rPr>
              <w:t>with</w:t>
            </w:r>
            <w:r>
              <w:rPr>
                <w:spacing w:val="-3"/>
                <w:sz w:val="18"/>
              </w:rPr>
              <w:t> </w:t>
            </w:r>
            <w:r>
              <w:rPr>
                <w:sz w:val="18"/>
              </w:rPr>
              <w:t>mistletoe</w:t>
            </w:r>
            <w:r>
              <w:rPr>
                <w:spacing w:val="-6"/>
                <w:sz w:val="18"/>
              </w:rPr>
              <w:t> </w:t>
            </w:r>
            <w:r>
              <w:rPr>
                <w:sz w:val="18"/>
              </w:rPr>
              <w:t>brooms</w:t>
            </w:r>
            <w:r>
              <w:rPr>
                <w:spacing w:val="-5"/>
                <w:sz w:val="18"/>
              </w:rPr>
              <w:t> </w:t>
            </w:r>
            <w:r>
              <w:rPr>
                <w:sz w:val="18"/>
              </w:rPr>
              <w:t>or</w:t>
            </w:r>
            <w:r>
              <w:rPr>
                <w:spacing w:val="-4"/>
                <w:sz w:val="18"/>
              </w:rPr>
              <w:t> </w:t>
            </w:r>
            <w:r>
              <w:rPr>
                <w:sz w:val="18"/>
              </w:rPr>
              <w:t>other</w:t>
            </w:r>
            <w:r>
              <w:rPr>
                <w:spacing w:val="-6"/>
                <w:sz w:val="18"/>
              </w:rPr>
              <w:t> </w:t>
            </w:r>
            <w:r>
              <w:rPr>
                <w:sz w:val="18"/>
              </w:rPr>
              <w:t>features</w:t>
            </w:r>
            <w:r>
              <w:rPr>
                <w:spacing w:val="-5"/>
                <w:sz w:val="18"/>
              </w:rPr>
              <w:t> </w:t>
            </w:r>
            <w:r>
              <w:rPr>
                <w:sz w:val="18"/>
              </w:rPr>
              <w:t>important</w:t>
            </w:r>
            <w:r>
              <w:rPr>
                <w:spacing w:val="-4"/>
                <w:sz w:val="18"/>
              </w:rPr>
              <w:t> </w:t>
            </w:r>
            <w:r>
              <w:rPr>
                <w:sz w:val="18"/>
              </w:rPr>
              <w:t>for</w:t>
            </w:r>
            <w:r>
              <w:rPr>
                <w:spacing w:val="-8"/>
                <w:sz w:val="18"/>
              </w:rPr>
              <w:t> </w:t>
            </w:r>
            <w:r>
              <w:rPr>
                <w:sz w:val="18"/>
              </w:rPr>
              <w:t>wildlife </w:t>
            </w:r>
            <w:r>
              <w:rPr>
                <w:spacing w:val="-2"/>
                <w:sz w:val="18"/>
              </w:rPr>
              <w:t>habitat</w:t>
            </w:r>
          </w:p>
        </w:tc>
      </w:tr>
      <w:tr>
        <w:trPr>
          <w:trHeight w:val="258" w:hRule="atLeast"/>
        </w:trPr>
        <w:tc>
          <w:tcPr>
            <w:tcW w:w="2962" w:type="dxa"/>
            <w:vMerge w:val="restart"/>
          </w:tcPr>
          <w:p>
            <w:pPr>
              <w:pStyle w:val="TableParagraph"/>
              <w:ind w:left="107"/>
              <w:rPr>
                <w:b/>
                <w:sz w:val="18"/>
              </w:rPr>
            </w:pPr>
            <w:r>
              <w:rPr>
                <w:b/>
                <w:sz w:val="18"/>
              </w:rPr>
              <w:t>Organically</w:t>
            </w:r>
            <w:r>
              <w:rPr>
                <w:b/>
                <w:spacing w:val="-10"/>
                <w:sz w:val="18"/>
              </w:rPr>
              <w:t> </w:t>
            </w:r>
            <w:r>
              <w:rPr>
                <w:b/>
                <w:sz w:val="18"/>
              </w:rPr>
              <w:t>derived </w:t>
            </w:r>
            <w:r>
              <w:rPr>
                <w:b/>
                <w:spacing w:val="-2"/>
                <w:sz w:val="18"/>
              </w:rPr>
              <w:t>patterns</w:t>
            </w:r>
          </w:p>
        </w:tc>
        <w:tc>
          <w:tcPr>
            <w:tcW w:w="5588" w:type="dxa"/>
          </w:tcPr>
          <w:p>
            <w:pPr>
              <w:pStyle w:val="TableParagraph"/>
              <w:spacing w:line="199" w:lineRule="exact"/>
              <w:ind w:left="107"/>
              <w:rPr>
                <w:sz w:val="18"/>
              </w:rPr>
            </w:pPr>
            <w:r>
              <w:rPr>
                <w:sz w:val="18"/>
              </w:rPr>
              <w:t>Soil</w:t>
            </w:r>
            <w:r>
              <w:rPr>
                <w:spacing w:val="-5"/>
                <w:sz w:val="18"/>
              </w:rPr>
              <w:t> </w:t>
            </w:r>
            <w:r>
              <w:rPr>
                <w:sz w:val="18"/>
              </w:rPr>
              <w:t>chemical,</w:t>
            </w:r>
            <w:r>
              <w:rPr>
                <w:spacing w:val="-5"/>
                <w:sz w:val="18"/>
              </w:rPr>
              <w:t> </w:t>
            </w:r>
            <w:r>
              <w:rPr>
                <w:sz w:val="18"/>
              </w:rPr>
              <w:t>physical,</w:t>
            </w:r>
            <w:r>
              <w:rPr>
                <w:spacing w:val="-3"/>
                <w:sz w:val="18"/>
              </w:rPr>
              <w:t> </w:t>
            </w:r>
            <w:r>
              <w:rPr>
                <w:sz w:val="18"/>
              </w:rPr>
              <w:t>microbial</w:t>
            </w:r>
            <w:r>
              <w:rPr>
                <w:spacing w:val="-1"/>
                <w:sz w:val="18"/>
              </w:rPr>
              <w:t> </w:t>
            </w:r>
            <w:r>
              <w:rPr>
                <w:spacing w:val="-2"/>
                <w:sz w:val="18"/>
              </w:rPr>
              <w:t>properties</w:t>
            </w:r>
          </w:p>
        </w:tc>
      </w:tr>
      <w:tr>
        <w:trPr>
          <w:trHeight w:val="342" w:hRule="atLeast"/>
        </w:trPr>
        <w:tc>
          <w:tcPr>
            <w:tcW w:w="2962" w:type="dxa"/>
            <w:vMerge/>
            <w:tcBorders>
              <w:top w:val="nil"/>
            </w:tcBorders>
          </w:tcPr>
          <w:p>
            <w:pPr>
              <w:rPr>
                <w:sz w:val="2"/>
                <w:szCs w:val="2"/>
              </w:rPr>
            </w:pPr>
          </w:p>
        </w:tc>
        <w:tc>
          <w:tcPr>
            <w:tcW w:w="5588" w:type="dxa"/>
          </w:tcPr>
          <w:p>
            <w:pPr>
              <w:pStyle w:val="TableParagraph"/>
              <w:spacing w:before="42"/>
              <w:ind w:left="107"/>
              <w:rPr>
                <w:sz w:val="18"/>
              </w:rPr>
            </w:pPr>
            <w:r>
              <w:rPr>
                <w:sz w:val="18"/>
              </w:rPr>
              <w:t>Forest</w:t>
            </w:r>
            <w:r>
              <w:rPr>
                <w:spacing w:val="-4"/>
                <w:sz w:val="18"/>
              </w:rPr>
              <w:t> </w:t>
            </w:r>
            <w:r>
              <w:rPr>
                <w:sz w:val="18"/>
              </w:rPr>
              <w:t>understory</w:t>
            </w:r>
            <w:r>
              <w:rPr>
                <w:spacing w:val="-2"/>
                <w:sz w:val="18"/>
              </w:rPr>
              <w:t> </w:t>
            </w:r>
            <w:r>
              <w:rPr>
                <w:sz w:val="18"/>
              </w:rPr>
              <w:t>composition</w:t>
            </w:r>
            <w:r>
              <w:rPr>
                <w:spacing w:val="-4"/>
                <w:sz w:val="18"/>
              </w:rPr>
              <w:t> </w:t>
            </w:r>
            <w:r>
              <w:rPr>
                <w:sz w:val="18"/>
              </w:rPr>
              <w:t>and </w:t>
            </w:r>
            <w:r>
              <w:rPr>
                <w:spacing w:val="-2"/>
                <w:sz w:val="18"/>
              </w:rPr>
              <w:t>distribution</w:t>
            </w:r>
          </w:p>
        </w:tc>
      </w:tr>
    </w:tbl>
    <w:p>
      <w:pPr>
        <w:spacing w:before="46"/>
        <w:ind w:left="1151" w:right="0" w:firstLine="0"/>
        <w:jc w:val="left"/>
        <w:rPr>
          <w:rFonts w:ascii="Arial"/>
          <w:sz w:val="16"/>
        </w:rPr>
      </w:pPr>
      <w:r>
        <w:rPr>
          <w:rFonts w:ascii="Arial"/>
          <w:sz w:val="16"/>
        </w:rPr>
        <w:t>(Franklin</w:t>
      </w:r>
      <w:r>
        <w:rPr>
          <w:rFonts w:ascii="Arial"/>
          <w:spacing w:val="-4"/>
          <w:sz w:val="16"/>
        </w:rPr>
        <w:t> </w:t>
      </w:r>
      <w:r>
        <w:rPr>
          <w:rFonts w:ascii="Arial"/>
          <w:sz w:val="16"/>
        </w:rPr>
        <w:t>et</w:t>
      </w:r>
      <w:r>
        <w:rPr>
          <w:rFonts w:ascii="Arial"/>
          <w:spacing w:val="-2"/>
          <w:sz w:val="16"/>
        </w:rPr>
        <w:t> </w:t>
      </w:r>
      <w:r>
        <w:rPr>
          <w:rFonts w:ascii="Arial"/>
          <w:sz w:val="16"/>
        </w:rPr>
        <w:t>al.</w:t>
      </w:r>
      <w:r>
        <w:rPr>
          <w:rFonts w:ascii="Arial"/>
          <w:spacing w:val="-1"/>
          <w:sz w:val="16"/>
        </w:rPr>
        <w:t> </w:t>
      </w:r>
      <w:r>
        <w:rPr>
          <w:rFonts w:ascii="Arial"/>
          <w:spacing w:val="-2"/>
          <w:sz w:val="16"/>
        </w:rPr>
        <w:t>2007)</w:t>
      </w:r>
    </w:p>
    <w:p>
      <w:pPr>
        <w:pStyle w:val="BodyText"/>
        <w:rPr>
          <w:rFonts w:ascii="Arial"/>
          <w:sz w:val="16"/>
        </w:rPr>
      </w:pPr>
    </w:p>
    <w:p>
      <w:pPr>
        <w:pStyle w:val="BodyText"/>
        <w:spacing w:before="112"/>
        <w:rPr>
          <w:rFonts w:ascii="Arial"/>
          <w:sz w:val="16"/>
        </w:rPr>
      </w:pPr>
    </w:p>
    <w:p>
      <w:pPr>
        <w:spacing w:before="0"/>
        <w:ind w:left="1151" w:right="0" w:firstLine="0"/>
        <w:jc w:val="left"/>
        <w:rPr>
          <w:rFonts w:ascii="Arial"/>
          <w:i/>
          <w:sz w:val="22"/>
        </w:rPr>
      </w:pPr>
      <w:bookmarkStart w:name="FW-DC-VEG-06. Native Plant Materials" w:id="162"/>
      <w:bookmarkEnd w:id="162"/>
      <w:r>
        <w:rPr/>
      </w:r>
      <w:r>
        <w:rPr>
          <w:rFonts w:ascii="Arial"/>
          <w:i/>
          <w:sz w:val="22"/>
        </w:rPr>
        <w:t>FW-DC-VEG-06.</w:t>
      </w:r>
      <w:r>
        <w:rPr>
          <w:rFonts w:ascii="Arial"/>
          <w:i/>
          <w:spacing w:val="-8"/>
          <w:sz w:val="22"/>
        </w:rPr>
        <w:t> </w:t>
      </w:r>
      <w:r>
        <w:rPr>
          <w:rFonts w:ascii="Arial"/>
          <w:i/>
          <w:sz w:val="22"/>
        </w:rPr>
        <w:t>Native</w:t>
      </w:r>
      <w:r>
        <w:rPr>
          <w:rFonts w:ascii="Arial"/>
          <w:i/>
          <w:spacing w:val="-10"/>
          <w:sz w:val="22"/>
        </w:rPr>
        <w:t> </w:t>
      </w:r>
      <w:r>
        <w:rPr>
          <w:rFonts w:ascii="Arial"/>
          <w:i/>
          <w:sz w:val="22"/>
        </w:rPr>
        <w:t>Plant</w:t>
      </w:r>
      <w:r>
        <w:rPr>
          <w:rFonts w:ascii="Arial"/>
          <w:i/>
          <w:spacing w:val="-4"/>
          <w:sz w:val="22"/>
        </w:rPr>
        <w:t> </w:t>
      </w:r>
      <w:r>
        <w:rPr>
          <w:rFonts w:ascii="Arial"/>
          <w:i/>
          <w:spacing w:val="-2"/>
          <w:sz w:val="22"/>
        </w:rPr>
        <w:t>Materials</w:t>
      </w:r>
    </w:p>
    <w:p>
      <w:pPr>
        <w:pStyle w:val="BodyText"/>
        <w:spacing w:line="232" w:lineRule="auto" w:before="65"/>
        <w:ind w:left="1152" w:right="742"/>
      </w:pPr>
      <w:r>
        <w:rPr/>
        <w:t>Locally collected native plant materials are incorporated into project planning and implementation when restoration, rehabilitation, and revegetation goals support ecosystem integrity</w:t>
      </w:r>
      <w:r>
        <w:rPr>
          <w:spacing w:val="-5"/>
        </w:rPr>
        <w:t> </w:t>
      </w:r>
      <w:r>
        <w:rPr/>
        <w:t>and</w:t>
      </w:r>
      <w:r>
        <w:rPr>
          <w:spacing w:val="-9"/>
        </w:rPr>
        <w:t> </w:t>
      </w:r>
      <w:r>
        <w:rPr/>
        <w:t>resilience.</w:t>
      </w:r>
      <w:r>
        <w:rPr>
          <w:spacing w:val="-6"/>
        </w:rPr>
        <w:t> </w:t>
      </w:r>
      <w:r>
        <w:rPr/>
        <w:t>Locally</w:t>
      </w:r>
      <w:r>
        <w:rPr>
          <w:spacing w:val="-5"/>
        </w:rPr>
        <w:t> </w:t>
      </w:r>
      <w:r>
        <w:rPr/>
        <w:t>adapted</w:t>
      </w:r>
      <w:r>
        <w:rPr>
          <w:spacing w:val="-7"/>
        </w:rPr>
        <w:t> </w:t>
      </w:r>
      <w:r>
        <w:rPr/>
        <w:t>plant</w:t>
      </w:r>
      <w:r>
        <w:rPr>
          <w:spacing w:val="-8"/>
        </w:rPr>
        <w:t> </w:t>
      </w:r>
      <w:r>
        <w:rPr/>
        <w:t>material</w:t>
      </w:r>
      <w:r>
        <w:rPr>
          <w:spacing w:val="-11"/>
        </w:rPr>
        <w:t> </w:t>
      </w:r>
      <w:r>
        <w:rPr/>
        <w:t>inventories</w:t>
      </w:r>
      <w:r>
        <w:rPr>
          <w:spacing w:val="-8"/>
        </w:rPr>
        <w:t> </w:t>
      </w:r>
      <w:r>
        <w:rPr/>
        <w:t>are</w:t>
      </w:r>
      <w:r>
        <w:rPr>
          <w:spacing w:val="-8"/>
        </w:rPr>
        <w:t> </w:t>
      </w:r>
      <w:r>
        <w:rPr/>
        <w:t>maintained</w:t>
      </w:r>
      <w:r>
        <w:rPr>
          <w:spacing w:val="-9"/>
        </w:rPr>
        <w:t> </w:t>
      </w:r>
      <w:r>
        <w:rPr/>
        <w:t>to</w:t>
      </w:r>
      <w:r>
        <w:rPr>
          <w:spacing w:val="-5"/>
        </w:rPr>
        <w:t> </w:t>
      </w:r>
      <w:r>
        <w:rPr/>
        <w:t>provide</w:t>
      </w:r>
      <w:r>
        <w:rPr>
          <w:spacing w:val="-8"/>
        </w:rPr>
        <w:t> </w:t>
      </w:r>
      <w:r>
        <w:rPr/>
        <w:t>for revegetation project needs.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FW-DC-VEG-07. Native Plant Seeds and Oth" w:id="163"/>
      <w:bookmarkEnd w:id="163"/>
      <w:r>
        <w:rPr/>
      </w:r>
      <w:r>
        <w:rPr>
          <w:rFonts w:ascii="Arial"/>
          <w:i/>
          <w:sz w:val="22"/>
        </w:rPr>
        <w:t>FW-DC-VEG-07.</w:t>
      </w:r>
      <w:r>
        <w:rPr>
          <w:rFonts w:ascii="Arial"/>
          <w:i/>
          <w:spacing w:val="-8"/>
          <w:sz w:val="22"/>
        </w:rPr>
        <w:t> </w:t>
      </w:r>
      <w:r>
        <w:rPr>
          <w:rFonts w:ascii="Arial"/>
          <w:i/>
          <w:sz w:val="22"/>
        </w:rPr>
        <w:t>Native</w:t>
      </w:r>
      <w:r>
        <w:rPr>
          <w:rFonts w:ascii="Arial"/>
          <w:i/>
          <w:spacing w:val="-8"/>
          <w:sz w:val="22"/>
        </w:rPr>
        <w:t> </w:t>
      </w:r>
      <w:r>
        <w:rPr>
          <w:rFonts w:ascii="Arial"/>
          <w:i/>
          <w:sz w:val="22"/>
        </w:rPr>
        <w:t>Plant</w:t>
      </w:r>
      <w:r>
        <w:rPr>
          <w:rFonts w:ascii="Arial"/>
          <w:i/>
          <w:spacing w:val="-3"/>
          <w:sz w:val="22"/>
        </w:rPr>
        <w:t> </w:t>
      </w:r>
      <w:r>
        <w:rPr>
          <w:rFonts w:ascii="Arial"/>
          <w:i/>
          <w:sz w:val="22"/>
        </w:rPr>
        <w:t>Seeds</w:t>
      </w:r>
      <w:r>
        <w:rPr>
          <w:rFonts w:ascii="Arial"/>
          <w:i/>
          <w:spacing w:val="-3"/>
          <w:sz w:val="22"/>
        </w:rPr>
        <w:t> </w:t>
      </w:r>
      <w:r>
        <w:rPr>
          <w:rFonts w:ascii="Arial"/>
          <w:i/>
          <w:sz w:val="22"/>
        </w:rPr>
        <w:t>and</w:t>
      </w:r>
      <w:r>
        <w:rPr>
          <w:rFonts w:ascii="Arial"/>
          <w:i/>
          <w:spacing w:val="-7"/>
          <w:sz w:val="22"/>
        </w:rPr>
        <w:t> </w:t>
      </w:r>
      <w:r>
        <w:rPr>
          <w:rFonts w:ascii="Arial"/>
          <w:i/>
          <w:sz w:val="22"/>
        </w:rPr>
        <w:t>Other</w:t>
      </w:r>
      <w:r>
        <w:rPr>
          <w:rFonts w:ascii="Arial"/>
          <w:i/>
          <w:spacing w:val="-7"/>
          <w:sz w:val="22"/>
        </w:rPr>
        <w:t> </w:t>
      </w:r>
      <w:r>
        <w:rPr>
          <w:rFonts w:ascii="Arial"/>
          <w:i/>
          <w:sz w:val="22"/>
        </w:rPr>
        <w:t>Genetic</w:t>
      </w:r>
      <w:r>
        <w:rPr>
          <w:rFonts w:ascii="Arial"/>
          <w:i/>
          <w:spacing w:val="-6"/>
          <w:sz w:val="22"/>
        </w:rPr>
        <w:t> </w:t>
      </w:r>
      <w:r>
        <w:rPr>
          <w:rFonts w:ascii="Arial"/>
          <w:i/>
          <w:spacing w:val="-2"/>
          <w:sz w:val="22"/>
        </w:rPr>
        <w:t>Material</w:t>
      </w:r>
    </w:p>
    <w:p>
      <w:pPr>
        <w:pStyle w:val="BodyText"/>
        <w:spacing w:line="232" w:lineRule="auto" w:before="65"/>
        <w:ind w:left="359" w:right="1621"/>
      </w:pPr>
      <w:r>
        <w:rPr/>
        <w:t>Seeds</w:t>
      </w:r>
      <w:r>
        <w:rPr>
          <w:spacing w:val="-6"/>
        </w:rPr>
        <w:t> </w:t>
      </w:r>
      <w:r>
        <w:rPr/>
        <w:t>and</w:t>
      </w:r>
      <w:r>
        <w:rPr>
          <w:spacing w:val="-7"/>
        </w:rPr>
        <w:t> </w:t>
      </w:r>
      <w:r>
        <w:rPr/>
        <w:t>genetic</w:t>
      </w:r>
      <w:r>
        <w:rPr>
          <w:spacing w:val="-8"/>
        </w:rPr>
        <w:t> </w:t>
      </w:r>
      <w:r>
        <w:rPr/>
        <w:t>material</w:t>
      </w:r>
      <w:r>
        <w:rPr>
          <w:spacing w:val="-8"/>
        </w:rPr>
        <w:t> </w:t>
      </w:r>
      <w:r>
        <w:rPr/>
        <w:t>from</w:t>
      </w:r>
      <w:r>
        <w:rPr>
          <w:spacing w:val="-5"/>
        </w:rPr>
        <w:t> </w:t>
      </w:r>
      <w:r>
        <w:rPr/>
        <w:t>native</w:t>
      </w:r>
      <w:r>
        <w:rPr>
          <w:spacing w:val="-8"/>
        </w:rPr>
        <w:t> </w:t>
      </w:r>
      <w:r>
        <w:rPr/>
        <w:t>vascular</w:t>
      </w:r>
      <w:r>
        <w:rPr>
          <w:spacing w:val="-6"/>
        </w:rPr>
        <w:t> </w:t>
      </w:r>
      <w:r>
        <w:rPr/>
        <w:t>and</w:t>
      </w:r>
      <w:r>
        <w:rPr>
          <w:spacing w:val="-7"/>
        </w:rPr>
        <w:t> </w:t>
      </w:r>
      <w:r>
        <w:rPr/>
        <w:t>non-vascular</w:t>
      </w:r>
      <w:r>
        <w:rPr>
          <w:spacing w:val="-6"/>
        </w:rPr>
        <w:t> </w:t>
      </w:r>
      <w:r>
        <w:rPr/>
        <w:t>plants</w:t>
      </w:r>
      <w:r>
        <w:rPr>
          <w:spacing w:val="-6"/>
        </w:rPr>
        <w:t> </w:t>
      </w:r>
      <w:r>
        <w:rPr/>
        <w:t>are</w:t>
      </w:r>
      <w:r>
        <w:rPr>
          <w:spacing w:val="-5"/>
        </w:rPr>
        <w:t> </w:t>
      </w:r>
      <w:r>
        <w:rPr/>
        <w:t>available</w:t>
      </w:r>
      <w:r>
        <w:rPr>
          <w:spacing w:val="-5"/>
        </w:rPr>
        <w:t> </w:t>
      </w:r>
      <w:r>
        <w:rPr/>
        <w:t>for</w:t>
      </w:r>
      <w:r>
        <w:rPr>
          <w:spacing w:val="-8"/>
        </w:rPr>
        <w:t> </w:t>
      </w:r>
      <w:r>
        <w:rPr/>
        <w:t>the purposes of genetic or trait testing, climate change provenance trials, species identification, restoration, or rehabilitation activities. Seeds and other genetic materials are stored in both secure off-site facilities and on-site in existing seed orchards, select trees, evaluation plantations, and other established genetic resource test sites.</w:t>
      </w:r>
    </w:p>
    <w:p>
      <w:pPr>
        <w:spacing w:line="237" w:lineRule="auto" w:before="225"/>
        <w:ind w:left="360" w:right="1148" w:hanging="1"/>
        <w:jc w:val="left"/>
        <w:rPr>
          <w:rFonts w:ascii="Arial" w:hAnsi="Arial"/>
          <w:i/>
          <w:sz w:val="22"/>
        </w:rPr>
      </w:pPr>
      <w:bookmarkStart w:name="FW-DC-VEG-08. Threatened, Endangered and" w:id="164"/>
      <w:bookmarkEnd w:id="164"/>
      <w:r>
        <w:rPr/>
      </w:r>
      <w:r>
        <w:rPr>
          <w:rFonts w:ascii="Arial" w:hAnsi="Arial"/>
          <w:i/>
          <w:sz w:val="22"/>
        </w:rPr>
        <w:t>FW-DC-VEG-08.</w:t>
      </w:r>
      <w:r>
        <w:rPr>
          <w:rFonts w:ascii="Arial" w:hAnsi="Arial"/>
          <w:i/>
          <w:spacing w:val="-6"/>
          <w:sz w:val="22"/>
        </w:rPr>
        <w:t> </w:t>
      </w:r>
      <w:r>
        <w:rPr>
          <w:rFonts w:ascii="Arial" w:hAnsi="Arial"/>
          <w:i/>
          <w:sz w:val="22"/>
        </w:rPr>
        <w:t>Threatened,</w:t>
      </w:r>
      <w:r>
        <w:rPr>
          <w:rFonts w:ascii="Arial" w:hAnsi="Arial"/>
          <w:i/>
          <w:spacing w:val="-3"/>
          <w:sz w:val="22"/>
        </w:rPr>
        <w:t> </w:t>
      </w:r>
      <w:r>
        <w:rPr>
          <w:rFonts w:ascii="Arial" w:hAnsi="Arial"/>
          <w:i/>
          <w:sz w:val="22"/>
        </w:rPr>
        <w:t>Endangered</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Sensitive</w:t>
      </w:r>
      <w:r>
        <w:rPr>
          <w:rFonts w:ascii="Arial" w:hAnsi="Arial"/>
          <w:i/>
          <w:spacing w:val="-5"/>
          <w:sz w:val="22"/>
        </w:rPr>
        <w:t> </w:t>
      </w:r>
      <w:r>
        <w:rPr>
          <w:rFonts w:ascii="Arial" w:hAnsi="Arial"/>
          <w:i/>
          <w:sz w:val="22"/>
        </w:rPr>
        <w:t>Plant</w:t>
      </w:r>
      <w:r>
        <w:rPr>
          <w:rFonts w:ascii="Arial" w:hAnsi="Arial"/>
          <w:i/>
          <w:spacing w:val="-3"/>
          <w:sz w:val="22"/>
        </w:rPr>
        <w:t> </w:t>
      </w:r>
      <w:r>
        <w:rPr>
          <w:rFonts w:ascii="Arial" w:hAnsi="Arial"/>
          <w:i/>
          <w:sz w:val="22"/>
        </w:rPr>
        <w:t>Species</w:t>
      </w:r>
      <w:r>
        <w:rPr>
          <w:rFonts w:ascii="Arial" w:hAnsi="Arial"/>
          <w:i/>
          <w:spacing w:val="-8"/>
          <w:sz w:val="22"/>
        </w:rPr>
        <w:t> </w:t>
      </w:r>
      <w:r>
        <w:rPr>
          <w:rFonts w:ascii="Symbol" w:hAnsi="Symbol"/>
          <w:b/>
          <w:i/>
          <w:sz w:val="23"/>
        </w:rPr>
        <w:t></w:t>
      </w:r>
      <w:r>
        <w:rPr>
          <w:rFonts w:ascii="Times New Roman" w:hAnsi="Times New Roman"/>
          <w:spacing w:val="-2"/>
          <w:sz w:val="23"/>
        </w:rPr>
        <w:t> </w:t>
      </w:r>
      <w:r>
        <w:rPr>
          <w:rFonts w:ascii="Arial" w:hAnsi="Arial"/>
          <w:i/>
          <w:sz w:val="22"/>
        </w:rPr>
        <w:t>Special</w:t>
      </w:r>
      <w:r>
        <w:rPr>
          <w:rFonts w:ascii="Arial" w:hAnsi="Arial"/>
          <w:i/>
          <w:spacing w:val="-5"/>
          <w:sz w:val="22"/>
        </w:rPr>
        <w:t> </w:t>
      </w:r>
      <w:r>
        <w:rPr>
          <w:rFonts w:ascii="Arial" w:hAnsi="Arial"/>
          <w:i/>
          <w:sz w:val="22"/>
        </w:rPr>
        <w:t>and</w:t>
      </w:r>
      <w:r>
        <w:rPr>
          <w:rFonts w:ascii="Arial" w:hAnsi="Arial"/>
          <w:i/>
          <w:sz w:val="22"/>
        </w:rPr>
        <w:t> Unique Habitats</w:t>
      </w:r>
    </w:p>
    <w:p>
      <w:pPr>
        <w:pStyle w:val="BodyText"/>
        <w:spacing w:line="232" w:lineRule="auto" w:before="67"/>
        <w:ind w:left="360" w:right="2006"/>
        <w:jc w:val="both"/>
      </w:pPr>
      <w:r>
        <w:rPr/>
        <w:t>Special and unique habitats support threatened, endangered, and sensitive plant species populations and contribute to high quality suitable habitat for these species. Degraded or diminished</w:t>
      </w:r>
      <w:r>
        <w:rPr>
          <w:spacing w:val="-10"/>
        </w:rPr>
        <w:t> </w:t>
      </w:r>
      <w:r>
        <w:rPr/>
        <w:t>special</w:t>
      </w:r>
      <w:r>
        <w:rPr>
          <w:spacing w:val="-9"/>
        </w:rPr>
        <w:t> </w:t>
      </w:r>
      <w:r>
        <w:rPr/>
        <w:t>and</w:t>
      </w:r>
      <w:r>
        <w:rPr>
          <w:spacing w:val="-7"/>
        </w:rPr>
        <w:t> </w:t>
      </w:r>
      <w:r>
        <w:rPr/>
        <w:t>unique</w:t>
      </w:r>
      <w:r>
        <w:rPr>
          <w:spacing w:val="-5"/>
        </w:rPr>
        <w:t> </w:t>
      </w:r>
      <w:r>
        <w:rPr/>
        <w:t>habitats</w:t>
      </w:r>
      <w:r>
        <w:rPr>
          <w:spacing w:val="-6"/>
        </w:rPr>
        <w:t> </w:t>
      </w:r>
      <w:r>
        <w:rPr/>
        <w:t>are</w:t>
      </w:r>
      <w:r>
        <w:rPr>
          <w:spacing w:val="-6"/>
        </w:rPr>
        <w:t> </w:t>
      </w:r>
      <w:r>
        <w:rPr/>
        <w:t>restored</w:t>
      </w:r>
      <w:r>
        <w:rPr>
          <w:spacing w:val="-10"/>
        </w:rPr>
        <w:t> </w:t>
      </w:r>
      <w:r>
        <w:rPr/>
        <w:t>within</w:t>
      </w:r>
      <w:r>
        <w:rPr>
          <w:spacing w:val="-8"/>
        </w:rPr>
        <w:t> </w:t>
      </w:r>
      <w:r>
        <w:rPr/>
        <w:t>their</w:t>
      </w:r>
      <w:r>
        <w:rPr>
          <w:spacing w:val="-6"/>
        </w:rPr>
        <w:t> </w:t>
      </w:r>
      <w:r>
        <w:rPr/>
        <w:t>natural</w:t>
      </w:r>
      <w:r>
        <w:rPr>
          <w:spacing w:val="-9"/>
        </w:rPr>
        <w:t> </w:t>
      </w:r>
      <w:r>
        <w:rPr/>
        <w:t>range</w:t>
      </w:r>
      <w:r>
        <w:rPr>
          <w:spacing w:val="-5"/>
        </w:rPr>
        <w:t> </w:t>
      </w:r>
      <w:r>
        <w:rPr/>
        <w:t>of</w:t>
      </w:r>
      <w:r>
        <w:rPr>
          <w:spacing w:val="-6"/>
        </w:rPr>
        <w:t> </w:t>
      </w:r>
      <w:r>
        <w:rPr>
          <w:spacing w:val="-2"/>
        </w:rPr>
        <w:t>variation.</w:t>
      </w:r>
    </w:p>
    <w:p>
      <w:pPr>
        <w:spacing w:line="237" w:lineRule="auto" w:before="225"/>
        <w:ind w:left="360" w:right="1073" w:hanging="1"/>
        <w:jc w:val="left"/>
        <w:rPr>
          <w:rFonts w:ascii="Arial" w:hAnsi="Arial"/>
          <w:i/>
          <w:sz w:val="22"/>
        </w:rPr>
      </w:pPr>
      <w:bookmarkStart w:name="FW-DC-VEG-09. Threatened, Endangered and" w:id="165"/>
      <w:bookmarkEnd w:id="165"/>
      <w:r>
        <w:rPr/>
      </w:r>
      <w:r>
        <w:rPr>
          <w:rFonts w:ascii="Arial" w:hAnsi="Arial"/>
          <w:i/>
          <w:sz w:val="22"/>
        </w:rPr>
        <w:t>FW-DC-VEG-09.</w:t>
      </w:r>
      <w:r>
        <w:rPr>
          <w:rFonts w:ascii="Arial" w:hAnsi="Arial"/>
          <w:i/>
          <w:spacing w:val="-6"/>
          <w:sz w:val="22"/>
        </w:rPr>
        <w:t> </w:t>
      </w:r>
      <w:r>
        <w:rPr>
          <w:rFonts w:ascii="Arial" w:hAnsi="Arial"/>
          <w:i/>
          <w:sz w:val="22"/>
        </w:rPr>
        <w:t>Threatened,</w:t>
      </w:r>
      <w:r>
        <w:rPr>
          <w:rFonts w:ascii="Arial" w:hAnsi="Arial"/>
          <w:i/>
          <w:spacing w:val="-3"/>
          <w:sz w:val="22"/>
        </w:rPr>
        <w:t> </w:t>
      </w:r>
      <w:r>
        <w:rPr>
          <w:rFonts w:ascii="Arial" w:hAnsi="Arial"/>
          <w:i/>
          <w:sz w:val="22"/>
        </w:rPr>
        <w:t>Endangered</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Sensitive</w:t>
      </w:r>
      <w:r>
        <w:rPr>
          <w:rFonts w:ascii="Arial" w:hAnsi="Arial"/>
          <w:i/>
          <w:spacing w:val="-5"/>
          <w:sz w:val="22"/>
        </w:rPr>
        <w:t> </w:t>
      </w:r>
      <w:r>
        <w:rPr>
          <w:rFonts w:ascii="Arial" w:hAnsi="Arial"/>
          <w:i/>
          <w:sz w:val="22"/>
        </w:rPr>
        <w:t>Plant</w:t>
      </w:r>
      <w:r>
        <w:rPr>
          <w:rFonts w:ascii="Arial" w:hAnsi="Arial"/>
          <w:i/>
          <w:spacing w:val="-3"/>
          <w:sz w:val="22"/>
        </w:rPr>
        <w:t> </w:t>
      </w:r>
      <w:r>
        <w:rPr>
          <w:rFonts w:ascii="Arial" w:hAnsi="Arial"/>
          <w:i/>
          <w:sz w:val="22"/>
        </w:rPr>
        <w:t>Species</w:t>
      </w:r>
      <w:r>
        <w:rPr>
          <w:rFonts w:ascii="Arial" w:hAnsi="Arial"/>
          <w:i/>
          <w:spacing w:val="-6"/>
          <w:sz w:val="22"/>
        </w:rPr>
        <w:t> </w:t>
      </w:r>
      <w:r>
        <w:rPr>
          <w:rFonts w:ascii="Symbol" w:hAnsi="Symbol"/>
          <w:i/>
          <w:sz w:val="23"/>
        </w:rPr>
        <w:t></w:t>
      </w:r>
      <w:r>
        <w:rPr>
          <w:rFonts w:ascii="Times New Roman" w:hAnsi="Times New Roman"/>
          <w:spacing w:val="-4"/>
          <w:sz w:val="23"/>
        </w:rPr>
        <w:t> </w:t>
      </w:r>
      <w:r>
        <w:rPr>
          <w:rFonts w:ascii="Arial" w:hAnsi="Arial"/>
          <w:i/>
          <w:sz w:val="22"/>
        </w:rPr>
        <w:t>Management-</w:t>
      </w:r>
      <w:r>
        <w:rPr>
          <w:rFonts w:ascii="Arial" w:hAnsi="Arial"/>
          <w:i/>
          <w:sz w:val="22"/>
        </w:rPr>
        <w:t> Related Disturbance</w:t>
      </w:r>
    </w:p>
    <w:p>
      <w:pPr>
        <w:pStyle w:val="BodyText"/>
        <w:spacing w:line="232" w:lineRule="auto" w:before="65"/>
        <w:ind w:left="359" w:right="1516"/>
      </w:pPr>
      <w:r>
        <w:rPr/>
        <w:t>Ecological conditions and processes that sustain the habitats currently or potentially occupied by threatened, endangered, or sensitive plant species</w:t>
      </w:r>
      <w:r>
        <w:rPr>
          <w:spacing w:val="-4"/>
        </w:rPr>
        <w:t> </w:t>
      </w:r>
      <w:r>
        <w:rPr/>
        <w:t>are retained</w:t>
      </w:r>
      <w:r>
        <w:rPr>
          <w:spacing w:val="-1"/>
        </w:rPr>
        <w:t> </w:t>
      </w:r>
      <w:r>
        <w:rPr/>
        <w:t>or restored. The geographic distributions of sensitive plant species in the Forest Plan area are maintained. This includes sufficient</w:t>
      </w:r>
      <w:r>
        <w:rPr>
          <w:spacing w:val="-6"/>
        </w:rPr>
        <w:t> </w:t>
      </w:r>
      <w:r>
        <w:rPr/>
        <w:t>seed</w:t>
      </w:r>
      <w:r>
        <w:rPr>
          <w:spacing w:val="-8"/>
        </w:rPr>
        <w:t> </w:t>
      </w:r>
      <w:r>
        <w:rPr/>
        <w:t>or</w:t>
      </w:r>
      <w:r>
        <w:rPr>
          <w:spacing w:val="-8"/>
        </w:rPr>
        <w:t> </w:t>
      </w:r>
      <w:r>
        <w:rPr/>
        <w:t>vegetative</w:t>
      </w:r>
      <w:r>
        <w:rPr>
          <w:spacing w:val="-6"/>
        </w:rPr>
        <w:t> </w:t>
      </w:r>
      <w:r>
        <w:rPr/>
        <w:t>reproduction</w:t>
      </w:r>
      <w:r>
        <w:rPr>
          <w:spacing w:val="-8"/>
        </w:rPr>
        <w:t> </w:t>
      </w:r>
      <w:r>
        <w:rPr/>
        <w:t>to</w:t>
      </w:r>
      <w:r>
        <w:rPr>
          <w:spacing w:val="-8"/>
        </w:rPr>
        <w:t> </w:t>
      </w:r>
      <w:r>
        <w:rPr/>
        <w:t>maintain</w:t>
      </w:r>
      <w:r>
        <w:rPr>
          <w:spacing w:val="-9"/>
        </w:rPr>
        <w:t> </w:t>
      </w:r>
      <w:r>
        <w:rPr/>
        <w:t>existing</w:t>
      </w:r>
      <w:r>
        <w:rPr>
          <w:spacing w:val="-8"/>
        </w:rPr>
        <w:t> </w:t>
      </w:r>
      <w:r>
        <w:rPr/>
        <w:t>plant</w:t>
      </w:r>
      <w:r>
        <w:rPr>
          <w:spacing w:val="-8"/>
        </w:rPr>
        <w:t> </w:t>
      </w:r>
      <w:r>
        <w:rPr/>
        <w:t>populations</w:t>
      </w:r>
      <w:r>
        <w:rPr>
          <w:spacing w:val="-7"/>
        </w:rPr>
        <w:t> </w:t>
      </w:r>
      <w:r>
        <w:rPr/>
        <w:t>and</w:t>
      </w:r>
      <w:r>
        <w:rPr>
          <w:spacing w:val="-8"/>
        </w:rPr>
        <w:t> </w:t>
      </w:r>
      <w:r>
        <w:rPr/>
        <w:t>associated native plant community biodiversity. Soil disturbance is managed to avoid degradation of threatened, endangered and sensitive plant species and their habitat as well as plant community composition, structure, and productivity.</w:t>
      </w:r>
    </w:p>
    <w:p>
      <w:pPr>
        <w:spacing w:line="237" w:lineRule="auto" w:before="225"/>
        <w:ind w:left="359" w:right="1073" w:firstLine="0"/>
        <w:jc w:val="left"/>
        <w:rPr>
          <w:rFonts w:ascii="Arial" w:hAnsi="Arial"/>
          <w:i/>
          <w:sz w:val="22"/>
        </w:rPr>
      </w:pPr>
      <w:bookmarkStart w:name="FW-DC-VEG-10. Threatened, Endangered and" w:id="166"/>
      <w:bookmarkEnd w:id="166"/>
      <w:r>
        <w:rPr/>
      </w:r>
      <w:r>
        <w:rPr>
          <w:rFonts w:ascii="Arial" w:hAnsi="Arial"/>
          <w:i/>
          <w:sz w:val="22"/>
        </w:rPr>
        <w:t>FW-DC-VEG-10.</w:t>
      </w:r>
      <w:r>
        <w:rPr>
          <w:rFonts w:ascii="Arial" w:hAnsi="Arial"/>
          <w:i/>
          <w:spacing w:val="-6"/>
          <w:sz w:val="22"/>
        </w:rPr>
        <w:t> </w:t>
      </w:r>
      <w:r>
        <w:rPr>
          <w:rFonts w:ascii="Arial" w:hAnsi="Arial"/>
          <w:i/>
          <w:sz w:val="22"/>
        </w:rPr>
        <w:t>Threatened,</w:t>
      </w:r>
      <w:r>
        <w:rPr>
          <w:rFonts w:ascii="Arial" w:hAnsi="Arial"/>
          <w:i/>
          <w:spacing w:val="-3"/>
          <w:sz w:val="22"/>
        </w:rPr>
        <w:t> </w:t>
      </w:r>
      <w:r>
        <w:rPr>
          <w:rFonts w:ascii="Arial" w:hAnsi="Arial"/>
          <w:i/>
          <w:sz w:val="22"/>
        </w:rPr>
        <w:t>Endangered</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Sensitive</w:t>
      </w:r>
      <w:r>
        <w:rPr>
          <w:rFonts w:ascii="Arial" w:hAnsi="Arial"/>
          <w:i/>
          <w:spacing w:val="-5"/>
          <w:sz w:val="22"/>
        </w:rPr>
        <w:t> </w:t>
      </w:r>
      <w:r>
        <w:rPr>
          <w:rFonts w:ascii="Arial" w:hAnsi="Arial"/>
          <w:i/>
          <w:sz w:val="22"/>
        </w:rPr>
        <w:t>Plant</w:t>
      </w:r>
      <w:r>
        <w:rPr>
          <w:rFonts w:ascii="Arial" w:hAnsi="Arial"/>
          <w:i/>
          <w:spacing w:val="-3"/>
          <w:sz w:val="22"/>
        </w:rPr>
        <w:t> </w:t>
      </w:r>
      <w:r>
        <w:rPr>
          <w:rFonts w:ascii="Arial" w:hAnsi="Arial"/>
          <w:i/>
          <w:sz w:val="22"/>
        </w:rPr>
        <w:t>Species</w:t>
      </w:r>
      <w:r>
        <w:rPr>
          <w:rFonts w:ascii="Arial" w:hAnsi="Arial"/>
          <w:i/>
          <w:spacing w:val="-6"/>
          <w:sz w:val="22"/>
        </w:rPr>
        <w:t> </w:t>
      </w:r>
      <w:r>
        <w:rPr>
          <w:rFonts w:ascii="Symbol" w:hAnsi="Symbol"/>
          <w:i/>
          <w:sz w:val="23"/>
        </w:rPr>
        <w:t></w:t>
      </w:r>
      <w:r>
        <w:rPr>
          <w:rFonts w:ascii="Times New Roman" w:hAnsi="Times New Roman"/>
          <w:spacing w:val="-4"/>
          <w:sz w:val="23"/>
        </w:rPr>
        <w:t> </w:t>
      </w:r>
      <w:r>
        <w:rPr>
          <w:rFonts w:ascii="Arial" w:hAnsi="Arial"/>
          <w:i/>
          <w:sz w:val="22"/>
        </w:rPr>
        <w:t>Habitat</w:t>
      </w:r>
      <w:r>
        <w:rPr>
          <w:rFonts w:ascii="Arial" w:hAnsi="Arial"/>
          <w:i/>
          <w:spacing w:val="-3"/>
          <w:sz w:val="22"/>
        </w:rPr>
        <w:t> </w:t>
      </w:r>
      <w:r>
        <w:rPr>
          <w:rFonts w:ascii="Arial" w:hAnsi="Arial"/>
          <w:i/>
          <w:sz w:val="22"/>
        </w:rPr>
        <w:t>and</w:t>
      </w:r>
      <w:r>
        <w:rPr>
          <w:rFonts w:ascii="Arial" w:hAnsi="Arial"/>
          <w:i/>
          <w:sz w:val="22"/>
        </w:rPr>
        <w:t> Population Trends</w:t>
      </w:r>
    </w:p>
    <w:p>
      <w:pPr>
        <w:pStyle w:val="BodyText"/>
        <w:spacing w:line="232" w:lineRule="auto" w:before="67"/>
        <w:ind w:left="359" w:right="1148"/>
      </w:pPr>
      <w:r>
        <w:rPr/>
        <w:t>Population</w:t>
      </w:r>
      <w:r>
        <w:rPr>
          <w:spacing w:val="-6"/>
        </w:rPr>
        <w:t> </w:t>
      </w:r>
      <w:r>
        <w:rPr/>
        <w:t>trends,</w:t>
      </w:r>
      <w:r>
        <w:rPr>
          <w:spacing w:val="-5"/>
        </w:rPr>
        <w:t> </w:t>
      </w:r>
      <w:r>
        <w:rPr/>
        <w:t>amount</w:t>
      </w:r>
      <w:r>
        <w:rPr>
          <w:spacing w:val="-7"/>
        </w:rPr>
        <w:t> </w:t>
      </w:r>
      <w:r>
        <w:rPr/>
        <w:t>of</w:t>
      </w:r>
      <w:r>
        <w:rPr>
          <w:spacing w:val="-7"/>
        </w:rPr>
        <w:t> </w:t>
      </w:r>
      <w:r>
        <w:rPr/>
        <w:t>occupied</w:t>
      </w:r>
      <w:r>
        <w:rPr>
          <w:spacing w:val="-6"/>
        </w:rPr>
        <w:t> </w:t>
      </w:r>
      <w:r>
        <w:rPr/>
        <w:t>habitat,</w:t>
      </w:r>
      <w:r>
        <w:rPr>
          <w:spacing w:val="-5"/>
        </w:rPr>
        <w:t> </w:t>
      </w:r>
      <w:r>
        <w:rPr/>
        <w:t>and</w:t>
      </w:r>
      <w:r>
        <w:rPr>
          <w:spacing w:val="-6"/>
        </w:rPr>
        <w:t> </w:t>
      </w:r>
      <w:r>
        <w:rPr/>
        <w:t>amount</w:t>
      </w:r>
      <w:r>
        <w:rPr>
          <w:spacing w:val="-7"/>
        </w:rPr>
        <w:t> </w:t>
      </w:r>
      <w:r>
        <w:rPr/>
        <w:t>of</w:t>
      </w:r>
      <w:r>
        <w:rPr>
          <w:spacing w:val="-5"/>
        </w:rPr>
        <w:t> </w:t>
      </w:r>
      <w:r>
        <w:rPr/>
        <w:t>unoccupied</w:t>
      </w:r>
      <w:r>
        <w:rPr>
          <w:spacing w:val="-8"/>
        </w:rPr>
        <w:t> </w:t>
      </w:r>
      <w:r>
        <w:rPr/>
        <w:t>suitable</w:t>
      </w:r>
      <w:r>
        <w:rPr>
          <w:spacing w:val="-4"/>
        </w:rPr>
        <w:t> </w:t>
      </w:r>
      <w:r>
        <w:rPr/>
        <w:t>habitat</w:t>
      </w:r>
      <w:r>
        <w:rPr>
          <w:spacing w:val="-4"/>
        </w:rPr>
        <w:t> </w:t>
      </w:r>
      <w:r>
        <w:rPr/>
        <w:t>are stable or increasing for threatened, endangered, and sensitive plant species.</w:t>
      </w:r>
    </w:p>
    <w:p>
      <w:pPr>
        <w:spacing w:before="234"/>
        <w:ind w:left="359" w:right="0" w:firstLine="0"/>
        <w:jc w:val="left"/>
        <w:rPr>
          <w:rFonts w:ascii="Arial"/>
          <w:i/>
          <w:sz w:val="22"/>
        </w:rPr>
      </w:pPr>
      <w:bookmarkStart w:name="FW-DC-VEG-11. Fuels Treatments in Wildla" w:id="167"/>
      <w:bookmarkEnd w:id="167"/>
      <w:r>
        <w:rPr/>
      </w:r>
      <w:r>
        <w:rPr>
          <w:rFonts w:ascii="Arial"/>
          <w:i/>
          <w:sz w:val="22"/>
        </w:rPr>
        <w:t>FW-DC-VEG-11.</w:t>
      </w:r>
      <w:r>
        <w:rPr>
          <w:rFonts w:ascii="Arial"/>
          <w:i/>
          <w:spacing w:val="-11"/>
          <w:sz w:val="22"/>
        </w:rPr>
        <w:t> </w:t>
      </w:r>
      <w:r>
        <w:rPr>
          <w:rFonts w:ascii="Arial"/>
          <w:i/>
          <w:sz w:val="22"/>
        </w:rPr>
        <w:t>Fuels</w:t>
      </w:r>
      <w:r>
        <w:rPr>
          <w:rFonts w:ascii="Arial"/>
          <w:i/>
          <w:spacing w:val="-6"/>
          <w:sz w:val="22"/>
        </w:rPr>
        <w:t> </w:t>
      </w:r>
      <w:r>
        <w:rPr>
          <w:rFonts w:ascii="Arial"/>
          <w:i/>
          <w:sz w:val="22"/>
        </w:rPr>
        <w:t>Treatments</w:t>
      </w:r>
      <w:r>
        <w:rPr>
          <w:rFonts w:ascii="Arial"/>
          <w:i/>
          <w:spacing w:val="-10"/>
          <w:sz w:val="22"/>
        </w:rPr>
        <w:t> </w:t>
      </w:r>
      <w:r>
        <w:rPr>
          <w:rFonts w:ascii="Arial"/>
          <w:i/>
          <w:sz w:val="22"/>
        </w:rPr>
        <w:t>in</w:t>
      </w:r>
      <w:r>
        <w:rPr>
          <w:rFonts w:ascii="Arial"/>
          <w:i/>
          <w:spacing w:val="-9"/>
          <w:sz w:val="22"/>
        </w:rPr>
        <w:t> </w:t>
      </w:r>
      <w:r>
        <w:rPr>
          <w:rFonts w:ascii="Arial"/>
          <w:i/>
          <w:sz w:val="22"/>
        </w:rPr>
        <w:t>Wildland-urban</w:t>
      </w:r>
      <w:r>
        <w:rPr>
          <w:rFonts w:ascii="Arial"/>
          <w:i/>
          <w:spacing w:val="-7"/>
          <w:sz w:val="22"/>
        </w:rPr>
        <w:t> </w:t>
      </w:r>
      <w:r>
        <w:rPr>
          <w:rFonts w:ascii="Arial"/>
          <w:i/>
          <w:spacing w:val="-2"/>
          <w:sz w:val="22"/>
        </w:rPr>
        <w:t>Interface</w:t>
      </w:r>
    </w:p>
    <w:p>
      <w:pPr>
        <w:pStyle w:val="BodyText"/>
        <w:spacing w:line="232" w:lineRule="auto" w:before="65"/>
        <w:ind w:left="359" w:right="1558"/>
      </w:pPr>
      <w:r>
        <w:rPr/>
        <w:t>Fuel</w:t>
      </w:r>
      <w:r>
        <w:rPr>
          <w:spacing w:val="-7"/>
        </w:rPr>
        <w:t> </w:t>
      </w:r>
      <w:r>
        <w:rPr/>
        <w:t>treatments</w:t>
      </w:r>
      <w:r>
        <w:rPr>
          <w:spacing w:val="-7"/>
        </w:rPr>
        <w:t> </w:t>
      </w:r>
      <w:r>
        <w:rPr/>
        <w:t>continue</w:t>
      </w:r>
      <w:r>
        <w:rPr>
          <w:spacing w:val="-6"/>
        </w:rPr>
        <w:t> </w:t>
      </w:r>
      <w:r>
        <w:rPr/>
        <w:t>to</w:t>
      </w:r>
      <w:r>
        <w:rPr>
          <w:spacing w:val="-6"/>
        </w:rPr>
        <w:t> </w:t>
      </w:r>
      <w:r>
        <w:rPr/>
        <w:t>reduce</w:t>
      </w:r>
      <w:r>
        <w:rPr>
          <w:spacing w:val="-6"/>
        </w:rPr>
        <w:t> </w:t>
      </w:r>
      <w:r>
        <w:rPr/>
        <w:t>surface,</w:t>
      </w:r>
      <w:r>
        <w:rPr>
          <w:spacing w:val="-7"/>
        </w:rPr>
        <w:t> </w:t>
      </w:r>
      <w:r>
        <w:rPr/>
        <w:t>ladder,</w:t>
      </w:r>
      <w:r>
        <w:rPr>
          <w:spacing w:val="-9"/>
        </w:rPr>
        <w:t> </w:t>
      </w:r>
      <w:r>
        <w:rPr/>
        <w:t>and</w:t>
      </w:r>
      <w:r>
        <w:rPr>
          <w:spacing w:val="-8"/>
        </w:rPr>
        <w:t> </w:t>
      </w:r>
      <w:r>
        <w:rPr/>
        <w:t>crown</w:t>
      </w:r>
      <w:r>
        <w:rPr>
          <w:spacing w:val="-8"/>
        </w:rPr>
        <w:t> </w:t>
      </w:r>
      <w:r>
        <w:rPr/>
        <w:t>fuels</w:t>
      </w:r>
      <w:r>
        <w:rPr>
          <w:spacing w:val="-7"/>
        </w:rPr>
        <w:t> </w:t>
      </w:r>
      <w:r>
        <w:rPr/>
        <w:t>that</w:t>
      </w:r>
      <w:r>
        <w:rPr>
          <w:spacing w:val="-9"/>
        </w:rPr>
        <w:t> </w:t>
      </w:r>
      <w:r>
        <w:rPr/>
        <w:t>lower</w:t>
      </w:r>
      <w:r>
        <w:rPr>
          <w:spacing w:val="-9"/>
        </w:rPr>
        <w:t> </w:t>
      </w:r>
      <w:r>
        <w:rPr/>
        <w:t>the</w:t>
      </w:r>
      <w:r>
        <w:rPr>
          <w:spacing w:val="-6"/>
        </w:rPr>
        <w:t> </w:t>
      </w:r>
      <w:r>
        <w:rPr/>
        <w:t>potential</w:t>
      </w:r>
      <w:r>
        <w:rPr>
          <w:spacing w:val="-7"/>
        </w:rPr>
        <w:t> </w:t>
      </w:r>
      <w:r>
        <w:rPr/>
        <w:t>for high-severity wildfires in wildland-urban interface areas, providing protection for communities and diversity within the stands. Generally, treated areas consist of open understories with overstory trees (conifers and hardwoods) populated by predominately fire resistant species, with scattered individual or small patches of shrubs and small trees in the understory, maintaining some cover in important wildlife corridors. Surface, ladder, and crown fuels have been treated and maintained to allow low-intensity surface wildland fires (flame lengths of</w:t>
      </w:r>
    </w:p>
    <w:p>
      <w:pPr>
        <w:pStyle w:val="BodyText"/>
        <w:spacing w:line="232" w:lineRule="auto"/>
        <w:ind w:left="359" w:right="1621"/>
      </w:pPr>
      <w:r>
        <w:rPr/>
        <w:t>4</w:t>
      </w:r>
      <w:r>
        <w:rPr>
          <w:spacing w:val="-7"/>
        </w:rPr>
        <w:t> </w:t>
      </w:r>
      <w:r>
        <w:rPr/>
        <w:t>feet</w:t>
      </w:r>
      <w:r>
        <w:rPr>
          <w:spacing w:val="-9"/>
        </w:rPr>
        <w:t> </w:t>
      </w:r>
      <w:r>
        <w:rPr/>
        <w:t>or</w:t>
      </w:r>
      <w:r>
        <w:rPr>
          <w:spacing w:val="-7"/>
        </w:rPr>
        <w:t> </w:t>
      </w:r>
      <w:r>
        <w:rPr/>
        <w:t>less).</w:t>
      </w:r>
      <w:r>
        <w:rPr>
          <w:spacing w:val="-7"/>
        </w:rPr>
        <w:t> </w:t>
      </w:r>
      <w:r>
        <w:rPr/>
        <w:t>Vegetation</w:t>
      </w:r>
      <w:r>
        <w:rPr>
          <w:spacing w:val="-8"/>
        </w:rPr>
        <w:t> </w:t>
      </w:r>
      <w:r>
        <w:rPr/>
        <w:t>has</w:t>
      </w:r>
      <w:r>
        <w:rPr>
          <w:spacing w:val="-7"/>
        </w:rPr>
        <w:t> </w:t>
      </w:r>
      <w:r>
        <w:rPr/>
        <w:t>been</w:t>
      </w:r>
      <w:r>
        <w:rPr>
          <w:spacing w:val="-10"/>
        </w:rPr>
        <w:t> </w:t>
      </w:r>
      <w:r>
        <w:rPr/>
        <w:t>modified</w:t>
      </w:r>
      <w:r>
        <w:rPr>
          <w:spacing w:val="-8"/>
        </w:rPr>
        <w:t> </w:t>
      </w:r>
      <w:r>
        <w:rPr/>
        <w:t>(interrupted)</w:t>
      </w:r>
      <w:r>
        <w:rPr>
          <w:spacing w:val="-7"/>
        </w:rPr>
        <w:t> </w:t>
      </w:r>
      <w:r>
        <w:rPr/>
        <w:t>to</w:t>
      </w:r>
      <w:r>
        <w:rPr>
          <w:spacing w:val="-7"/>
        </w:rPr>
        <w:t> </w:t>
      </w:r>
      <w:r>
        <w:rPr/>
        <w:t>improve</w:t>
      </w:r>
      <w:r>
        <w:rPr>
          <w:spacing w:val="-7"/>
        </w:rPr>
        <w:t> </w:t>
      </w:r>
      <w:r>
        <w:rPr/>
        <w:t>community</w:t>
      </w:r>
      <w:r>
        <w:rPr>
          <w:spacing w:val="-8"/>
        </w:rPr>
        <w:t> </w:t>
      </w:r>
      <w:r>
        <w:rPr/>
        <w:t>protection and enhance public and firefighter safety.</w:t>
      </w:r>
    </w:p>
    <w:p>
      <w:pPr>
        <w:pStyle w:val="BodyText"/>
        <w:spacing w:line="232" w:lineRule="auto" w:before="195"/>
        <w:ind w:left="359" w:right="1621"/>
      </w:pPr>
      <w:r>
        <w:rPr/>
        <w:t>Crown</w:t>
      </w:r>
      <w:r>
        <w:rPr>
          <w:spacing w:val="-6"/>
        </w:rPr>
        <w:t> </w:t>
      </w:r>
      <w:r>
        <w:rPr/>
        <w:t>base</w:t>
      </w:r>
      <w:r>
        <w:rPr>
          <w:spacing w:val="-4"/>
        </w:rPr>
        <w:t> </w:t>
      </w:r>
      <w:r>
        <w:rPr/>
        <w:t>heights</w:t>
      </w:r>
      <w:r>
        <w:rPr>
          <w:spacing w:val="-7"/>
        </w:rPr>
        <w:t> </w:t>
      </w:r>
      <w:r>
        <w:rPr/>
        <w:t>(height</w:t>
      </w:r>
      <w:r>
        <w:rPr>
          <w:spacing w:val="-7"/>
        </w:rPr>
        <w:t> </w:t>
      </w:r>
      <w:r>
        <w:rPr/>
        <w:t>from</w:t>
      </w:r>
      <w:r>
        <w:rPr>
          <w:spacing w:val="-6"/>
        </w:rPr>
        <w:t> </w:t>
      </w:r>
      <w:r>
        <w:rPr/>
        <w:t>the</w:t>
      </w:r>
      <w:r>
        <w:rPr>
          <w:spacing w:val="-4"/>
        </w:rPr>
        <w:t> </w:t>
      </w:r>
      <w:r>
        <w:rPr/>
        <w:t>forest</w:t>
      </w:r>
      <w:r>
        <w:rPr>
          <w:spacing w:val="-4"/>
        </w:rPr>
        <w:t> </w:t>
      </w:r>
      <w:r>
        <w:rPr/>
        <w:t>floor</w:t>
      </w:r>
      <w:r>
        <w:rPr>
          <w:spacing w:val="-5"/>
        </w:rPr>
        <w:t> </w:t>
      </w:r>
      <w:r>
        <w:rPr/>
        <w:t>to</w:t>
      </w:r>
      <w:r>
        <w:rPr>
          <w:spacing w:val="-4"/>
        </w:rPr>
        <w:t> </w:t>
      </w:r>
      <w:r>
        <w:rPr/>
        <w:t>the</w:t>
      </w:r>
      <w:r>
        <w:rPr>
          <w:spacing w:val="-4"/>
        </w:rPr>
        <w:t> </w:t>
      </w:r>
      <w:r>
        <w:rPr/>
        <w:t>bottom</w:t>
      </w:r>
      <w:r>
        <w:rPr>
          <w:spacing w:val="-6"/>
        </w:rPr>
        <w:t> </w:t>
      </w:r>
      <w:r>
        <w:rPr/>
        <w:t>most</w:t>
      </w:r>
      <w:r>
        <w:rPr>
          <w:spacing w:val="-4"/>
        </w:rPr>
        <w:t> </w:t>
      </w:r>
      <w:r>
        <w:rPr/>
        <w:t>branches</w:t>
      </w:r>
      <w:r>
        <w:rPr>
          <w:spacing w:val="-7"/>
        </w:rPr>
        <w:t> </w:t>
      </w:r>
      <w:r>
        <w:rPr/>
        <w:t>of</w:t>
      </w:r>
      <w:r>
        <w:rPr>
          <w:spacing w:val="-7"/>
        </w:rPr>
        <w:t> </w:t>
      </w:r>
      <w:r>
        <w:rPr/>
        <w:t>the</w:t>
      </w:r>
      <w:r>
        <w:rPr>
          <w:spacing w:val="-4"/>
        </w:rPr>
        <w:t> </w:t>
      </w:r>
      <w:r>
        <w:rPr/>
        <w:t>live</w:t>
      </w:r>
      <w:r>
        <w:rPr>
          <w:spacing w:val="-4"/>
        </w:rPr>
        <w:t> </w:t>
      </w:r>
      <w:r>
        <w:rPr/>
        <w:t>tree crown) are managed to avoid crown fires. Crown cover of forest stands allow for adequate spacing between crowns to reduce crown fire potential while minimizing effects on surface wind speeds and drying of surface fuels.</w:t>
      </w:r>
    </w:p>
    <w:p>
      <w:pPr>
        <w:spacing w:before="234"/>
        <w:ind w:left="359" w:right="0" w:firstLine="0"/>
        <w:jc w:val="left"/>
        <w:rPr>
          <w:rFonts w:ascii="Arial"/>
          <w:i/>
          <w:sz w:val="22"/>
        </w:rPr>
      </w:pPr>
      <w:bookmarkStart w:name="FW-DC-VEG-12. Snags and Coarse Woody Deb" w:id="168"/>
      <w:bookmarkEnd w:id="168"/>
      <w:r>
        <w:rPr/>
      </w:r>
      <w:r>
        <w:rPr>
          <w:rFonts w:ascii="Arial"/>
          <w:i/>
          <w:sz w:val="22"/>
        </w:rPr>
        <w:t>FW-DC-VEG-12.</w:t>
      </w:r>
      <w:r>
        <w:rPr>
          <w:rFonts w:ascii="Arial"/>
          <w:i/>
          <w:spacing w:val="-9"/>
          <w:sz w:val="22"/>
        </w:rPr>
        <w:t> </w:t>
      </w:r>
      <w:r>
        <w:rPr>
          <w:rFonts w:ascii="Arial"/>
          <w:i/>
          <w:sz w:val="22"/>
        </w:rPr>
        <w:t>Snags</w:t>
      </w:r>
      <w:r>
        <w:rPr>
          <w:rFonts w:ascii="Arial"/>
          <w:i/>
          <w:spacing w:val="-9"/>
          <w:sz w:val="22"/>
        </w:rPr>
        <w:t> </w:t>
      </w:r>
      <w:r>
        <w:rPr>
          <w:rFonts w:ascii="Arial"/>
          <w:i/>
          <w:sz w:val="22"/>
        </w:rPr>
        <w:t>and</w:t>
      </w:r>
      <w:r>
        <w:rPr>
          <w:rFonts w:ascii="Arial"/>
          <w:i/>
          <w:spacing w:val="-5"/>
          <w:sz w:val="22"/>
        </w:rPr>
        <w:t> </w:t>
      </w:r>
      <w:r>
        <w:rPr>
          <w:rFonts w:ascii="Arial"/>
          <w:i/>
          <w:sz w:val="22"/>
        </w:rPr>
        <w:t>Coarse</w:t>
      </w:r>
      <w:r>
        <w:rPr>
          <w:rFonts w:ascii="Arial"/>
          <w:i/>
          <w:spacing w:val="-9"/>
          <w:sz w:val="22"/>
        </w:rPr>
        <w:t> </w:t>
      </w:r>
      <w:r>
        <w:rPr>
          <w:rFonts w:ascii="Arial"/>
          <w:i/>
          <w:sz w:val="22"/>
        </w:rPr>
        <w:t>Woody</w:t>
      </w:r>
      <w:r>
        <w:rPr>
          <w:rFonts w:ascii="Arial"/>
          <w:i/>
          <w:spacing w:val="-7"/>
          <w:sz w:val="22"/>
        </w:rPr>
        <w:t> </w:t>
      </w:r>
      <w:r>
        <w:rPr>
          <w:rFonts w:ascii="Arial"/>
          <w:i/>
          <w:sz w:val="22"/>
        </w:rPr>
        <w:t>Debris</w:t>
      </w:r>
      <w:r>
        <w:rPr>
          <w:rFonts w:ascii="Arial"/>
          <w:i/>
          <w:spacing w:val="-4"/>
          <w:sz w:val="22"/>
        </w:rPr>
        <w:t> </w:t>
      </w:r>
      <w:r>
        <w:rPr>
          <w:rFonts w:ascii="Arial"/>
          <w:i/>
          <w:sz w:val="22"/>
        </w:rPr>
        <w:t>in</w:t>
      </w:r>
      <w:r>
        <w:rPr>
          <w:rFonts w:ascii="Arial"/>
          <w:i/>
          <w:spacing w:val="-7"/>
          <w:sz w:val="22"/>
        </w:rPr>
        <w:t> </w:t>
      </w:r>
      <w:r>
        <w:rPr>
          <w:rFonts w:ascii="Arial"/>
          <w:i/>
          <w:sz w:val="22"/>
        </w:rPr>
        <w:t>Wildland-urban</w:t>
      </w:r>
      <w:r>
        <w:rPr>
          <w:rFonts w:ascii="Arial"/>
          <w:i/>
          <w:spacing w:val="-7"/>
          <w:sz w:val="22"/>
        </w:rPr>
        <w:t> </w:t>
      </w:r>
      <w:r>
        <w:rPr>
          <w:rFonts w:ascii="Arial"/>
          <w:i/>
          <w:spacing w:val="-2"/>
          <w:sz w:val="22"/>
        </w:rPr>
        <w:t>Interface</w:t>
      </w:r>
    </w:p>
    <w:p>
      <w:pPr>
        <w:pStyle w:val="BodyText"/>
        <w:spacing w:line="232" w:lineRule="auto" w:before="65"/>
        <w:ind w:left="358" w:right="1445"/>
      </w:pPr>
      <w:r>
        <w:rPr/>
        <w:t>Snag</w:t>
      </w:r>
      <w:r>
        <w:rPr>
          <w:spacing w:val="-5"/>
        </w:rPr>
        <w:t> </w:t>
      </w:r>
      <w:r>
        <w:rPr/>
        <w:t>levels</w:t>
      </w:r>
      <w:r>
        <w:rPr>
          <w:spacing w:val="-4"/>
        </w:rPr>
        <w:t> </w:t>
      </w:r>
      <w:r>
        <w:rPr/>
        <w:t>would</w:t>
      </w:r>
      <w:r>
        <w:rPr>
          <w:spacing w:val="-5"/>
        </w:rPr>
        <w:t> </w:t>
      </w:r>
      <w:r>
        <w:rPr/>
        <w:t>follow</w:t>
      </w:r>
      <w:r>
        <w:rPr>
          <w:spacing w:val="-3"/>
        </w:rPr>
        <w:t> </w:t>
      </w:r>
      <w:r>
        <w:rPr/>
        <w:t>desired</w:t>
      </w:r>
      <w:r>
        <w:rPr>
          <w:spacing w:val="-5"/>
        </w:rPr>
        <w:t> </w:t>
      </w:r>
      <w:r>
        <w:rPr/>
        <w:t>conditions</w:t>
      </w:r>
      <w:r>
        <w:rPr>
          <w:spacing w:val="-6"/>
        </w:rPr>
        <w:t> </w:t>
      </w:r>
      <w:r>
        <w:rPr/>
        <w:t>for</w:t>
      </w:r>
      <w:r>
        <w:rPr>
          <w:spacing w:val="-6"/>
        </w:rPr>
        <w:t> </w:t>
      </w:r>
      <w:r>
        <w:rPr/>
        <w:t>snags</w:t>
      </w:r>
      <w:r>
        <w:rPr>
          <w:spacing w:val="-6"/>
        </w:rPr>
        <w:t> </w:t>
      </w:r>
      <w:r>
        <w:rPr/>
        <w:t>within</w:t>
      </w:r>
      <w:r>
        <w:rPr>
          <w:spacing w:val="-5"/>
        </w:rPr>
        <w:t> </w:t>
      </w:r>
      <w:r>
        <w:rPr/>
        <w:t>the</w:t>
      </w:r>
      <w:r>
        <w:rPr>
          <w:spacing w:val="-6"/>
        </w:rPr>
        <w:t> </w:t>
      </w:r>
      <w:r>
        <w:rPr/>
        <w:t>specific</w:t>
      </w:r>
      <w:r>
        <w:rPr>
          <w:spacing w:val="-6"/>
        </w:rPr>
        <w:t> </w:t>
      </w:r>
      <w:r>
        <w:rPr/>
        <w:t>vegetation</w:t>
      </w:r>
      <w:r>
        <w:rPr>
          <w:spacing w:val="-5"/>
        </w:rPr>
        <w:t> </w:t>
      </w:r>
      <w:r>
        <w:rPr/>
        <w:t>type</w:t>
      </w:r>
      <w:r>
        <w:rPr>
          <w:spacing w:val="-3"/>
        </w:rPr>
        <w:t> </w:t>
      </w:r>
      <w:r>
        <w:rPr/>
        <w:t>unless there are site-specific safety concerns (for example, within 1.5 to 2 tree lengths of structures). Coarse woody debris levels would generally be at the lower end of desired conditions for the specific vegetation type to reduce fuel load and wildfire risk.</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DC-VEG-13. Treatment Priorities in Wi" w:id="169"/>
      <w:bookmarkEnd w:id="169"/>
      <w:r>
        <w:rPr/>
      </w:r>
      <w:r>
        <w:rPr>
          <w:rFonts w:ascii="Arial"/>
          <w:i/>
          <w:sz w:val="22"/>
        </w:rPr>
        <w:t>FW-DC-VEG-13.</w:t>
      </w:r>
      <w:r>
        <w:rPr>
          <w:rFonts w:ascii="Arial"/>
          <w:i/>
          <w:spacing w:val="-13"/>
          <w:sz w:val="22"/>
        </w:rPr>
        <w:t> </w:t>
      </w:r>
      <w:r>
        <w:rPr>
          <w:rFonts w:ascii="Arial"/>
          <w:i/>
          <w:sz w:val="22"/>
        </w:rPr>
        <w:t>Treatment</w:t>
      </w:r>
      <w:r>
        <w:rPr>
          <w:rFonts w:ascii="Arial"/>
          <w:i/>
          <w:spacing w:val="-7"/>
          <w:sz w:val="22"/>
        </w:rPr>
        <w:t> </w:t>
      </w:r>
      <w:r>
        <w:rPr>
          <w:rFonts w:ascii="Arial"/>
          <w:i/>
          <w:sz w:val="22"/>
        </w:rPr>
        <w:t>Priorities</w:t>
      </w:r>
      <w:r>
        <w:rPr>
          <w:rFonts w:ascii="Arial"/>
          <w:i/>
          <w:spacing w:val="-9"/>
          <w:sz w:val="22"/>
        </w:rPr>
        <w:t> </w:t>
      </w:r>
      <w:r>
        <w:rPr>
          <w:rFonts w:ascii="Arial"/>
          <w:i/>
          <w:sz w:val="22"/>
        </w:rPr>
        <w:t>in</w:t>
      </w:r>
      <w:r>
        <w:rPr>
          <w:rFonts w:ascii="Arial"/>
          <w:i/>
          <w:spacing w:val="-11"/>
          <w:sz w:val="22"/>
        </w:rPr>
        <w:t> </w:t>
      </w:r>
      <w:r>
        <w:rPr>
          <w:rFonts w:ascii="Arial"/>
          <w:i/>
          <w:sz w:val="22"/>
        </w:rPr>
        <w:t>Wildland-urban</w:t>
      </w:r>
      <w:r>
        <w:rPr>
          <w:rFonts w:ascii="Arial"/>
          <w:i/>
          <w:spacing w:val="-10"/>
          <w:sz w:val="22"/>
        </w:rPr>
        <w:t> </w:t>
      </w:r>
      <w:r>
        <w:rPr>
          <w:rFonts w:ascii="Arial"/>
          <w:i/>
          <w:spacing w:val="-2"/>
          <w:sz w:val="22"/>
        </w:rPr>
        <w:t>Interface</w:t>
      </w:r>
    </w:p>
    <w:p>
      <w:pPr>
        <w:pStyle w:val="BodyText"/>
        <w:spacing w:line="232" w:lineRule="auto" w:before="65"/>
        <w:ind w:left="1151" w:right="742"/>
      </w:pPr>
      <w:r>
        <w:rPr/>
        <w:t>Fuel</w:t>
      </w:r>
      <w:r>
        <w:rPr>
          <w:spacing w:val="-6"/>
        </w:rPr>
        <w:t> </w:t>
      </w:r>
      <w:r>
        <w:rPr/>
        <w:t>treatments</w:t>
      </w:r>
      <w:r>
        <w:rPr>
          <w:spacing w:val="-6"/>
        </w:rPr>
        <w:t> </w:t>
      </w:r>
      <w:r>
        <w:rPr/>
        <w:t>are</w:t>
      </w:r>
      <w:r>
        <w:rPr>
          <w:spacing w:val="-5"/>
        </w:rPr>
        <w:t> </w:t>
      </w:r>
      <w:r>
        <w:rPr/>
        <w:t>emphasized</w:t>
      </w:r>
      <w:r>
        <w:rPr>
          <w:spacing w:val="-7"/>
        </w:rPr>
        <w:t> </w:t>
      </w:r>
      <w:r>
        <w:rPr/>
        <w:t>in</w:t>
      </w:r>
      <w:r>
        <w:rPr>
          <w:spacing w:val="-7"/>
        </w:rPr>
        <w:t> </w:t>
      </w:r>
      <w:r>
        <w:rPr/>
        <w:t>wildland-urban</w:t>
      </w:r>
      <w:r>
        <w:rPr>
          <w:spacing w:val="-7"/>
        </w:rPr>
        <w:t> </w:t>
      </w:r>
      <w:r>
        <w:rPr/>
        <w:t>interface</w:t>
      </w:r>
      <w:r>
        <w:rPr>
          <w:spacing w:val="-5"/>
        </w:rPr>
        <w:t> </w:t>
      </w:r>
      <w:r>
        <w:rPr/>
        <w:t>and</w:t>
      </w:r>
      <w:r>
        <w:rPr>
          <w:spacing w:val="-7"/>
        </w:rPr>
        <w:t> </w:t>
      </w:r>
      <w:r>
        <w:rPr/>
        <w:t>areas</w:t>
      </w:r>
      <w:r>
        <w:rPr>
          <w:spacing w:val="-8"/>
        </w:rPr>
        <w:t> </w:t>
      </w:r>
      <w:r>
        <w:rPr/>
        <w:t>that</w:t>
      </w:r>
      <w:r>
        <w:rPr>
          <w:spacing w:val="-8"/>
        </w:rPr>
        <w:t> </w:t>
      </w:r>
      <w:r>
        <w:rPr/>
        <w:t>exhibit</w:t>
      </w:r>
      <w:r>
        <w:rPr>
          <w:spacing w:val="-5"/>
        </w:rPr>
        <w:t> </w:t>
      </w:r>
      <w:r>
        <w:rPr/>
        <w:t>the</w:t>
      </w:r>
      <w:r>
        <w:rPr>
          <w:spacing w:val="-5"/>
        </w:rPr>
        <w:t> </w:t>
      </w:r>
      <w:r>
        <w:rPr/>
        <w:t>potential for high-severity fire behavior that could impact private or other agency lands.</w:t>
      </w:r>
    </w:p>
    <w:p>
      <w:pPr>
        <w:spacing w:before="234"/>
        <w:ind w:left="1151" w:right="0" w:firstLine="0"/>
        <w:jc w:val="left"/>
        <w:rPr>
          <w:rFonts w:ascii="Arial"/>
          <w:i/>
          <w:sz w:val="22"/>
        </w:rPr>
      </w:pPr>
      <w:bookmarkStart w:name="FW-DC-VEG-14. Maintenance in Wildland-ur" w:id="170"/>
      <w:bookmarkEnd w:id="170"/>
      <w:r>
        <w:rPr/>
      </w:r>
      <w:r>
        <w:rPr>
          <w:rFonts w:ascii="Arial"/>
          <w:i/>
          <w:sz w:val="22"/>
        </w:rPr>
        <w:t>FW-DC-VEG-14.</w:t>
      </w:r>
      <w:r>
        <w:rPr>
          <w:rFonts w:ascii="Arial"/>
          <w:i/>
          <w:spacing w:val="-10"/>
          <w:sz w:val="22"/>
        </w:rPr>
        <w:t> </w:t>
      </w:r>
      <w:r>
        <w:rPr>
          <w:rFonts w:ascii="Arial"/>
          <w:i/>
          <w:sz w:val="22"/>
        </w:rPr>
        <w:t>Maintenance</w:t>
      </w:r>
      <w:r>
        <w:rPr>
          <w:rFonts w:ascii="Arial"/>
          <w:i/>
          <w:spacing w:val="-8"/>
          <w:sz w:val="22"/>
        </w:rPr>
        <w:t> </w:t>
      </w:r>
      <w:r>
        <w:rPr>
          <w:rFonts w:ascii="Arial"/>
          <w:i/>
          <w:sz w:val="22"/>
        </w:rPr>
        <w:t>in</w:t>
      </w:r>
      <w:r>
        <w:rPr>
          <w:rFonts w:ascii="Arial"/>
          <w:i/>
          <w:spacing w:val="-11"/>
          <w:sz w:val="22"/>
        </w:rPr>
        <w:t> </w:t>
      </w:r>
      <w:r>
        <w:rPr>
          <w:rFonts w:ascii="Arial"/>
          <w:i/>
          <w:sz w:val="22"/>
        </w:rPr>
        <w:t>Wildland-urban</w:t>
      </w:r>
      <w:r>
        <w:rPr>
          <w:rFonts w:ascii="Arial"/>
          <w:i/>
          <w:spacing w:val="-11"/>
          <w:sz w:val="22"/>
        </w:rPr>
        <w:t> </w:t>
      </w:r>
      <w:r>
        <w:rPr>
          <w:rFonts w:ascii="Arial"/>
          <w:i/>
          <w:spacing w:val="-2"/>
          <w:sz w:val="22"/>
        </w:rPr>
        <w:t>Interface</w:t>
      </w:r>
    </w:p>
    <w:p>
      <w:pPr>
        <w:pStyle w:val="BodyText"/>
        <w:spacing w:line="232" w:lineRule="auto" w:before="65"/>
        <w:ind w:left="1151"/>
      </w:pPr>
      <w:r>
        <w:rPr/>
        <w:t>A</w:t>
      </w:r>
      <w:r>
        <w:rPr>
          <w:spacing w:val="-6"/>
        </w:rPr>
        <w:t> </w:t>
      </w:r>
      <w:r>
        <w:rPr/>
        <w:t>pattern</w:t>
      </w:r>
      <w:r>
        <w:rPr>
          <w:spacing w:val="-9"/>
        </w:rPr>
        <w:t> </w:t>
      </w:r>
      <w:r>
        <w:rPr/>
        <w:t>of</w:t>
      </w:r>
      <w:r>
        <w:rPr>
          <w:spacing w:val="-8"/>
        </w:rPr>
        <w:t> </w:t>
      </w:r>
      <w:r>
        <w:rPr/>
        <w:t>treatments</w:t>
      </w:r>
      <w:r>
        <w:rPr>
          <w:spacing w:val="-6"/>
        </w:rPr>
        <w:t> </w:t>
      </w:r>
      <w:r>
        <w:rPr/>
        <w:t>that</w:t>
      </w:r>
      <w:r>
        <w:rPr>
          <w:spacing w:val="-5"/>
        </w:rPr>
        <w:t> </w:t>
      </w:r>
      <w:r>
        <w:rPr/>
        <w:t>are</w:t>
      </w:r>
      <w:r>
        <w:rPr>
          <w:spacing w:val="-8"/>
        </w:rPr>
        <w:t> </w:t>
      </w:r>
      <w:r>
        <w:rPr/>
        <w:t>effective</w:t>
      </w:r>
      <w:r>
        <w:rPr>
          <w:spacing w:val="-5"/>
        </w:rPr>
        <w:t> </w:t>
      </w:r>
      <w:r>
        <w:rPr/>
        <w:t>in</w:t>
      </w:r>
      <w:r>
        <w:rPr>
          <w:spacing w:val="-9"/>
        </w:rPr>
        <w:t> </w:t>
      </w:r>
      <w:r>
        <w:rPr/>
        <w:t>modifying</w:t>
      </w:r>
      <w:r>
        <w:rPr>
          <w:spacing w:val="-7"/>
        </w:rPr>
        <w:t> </w:t>
      </w:r>
      <w:r>
        <w:rPr/>
        <w:t>fire</w:t>
      </w:r>
      <w:r>
        <w:rPr>
          <w:spacing w:val="-5"/>
        </w:rPr>
        <w:t> </w:t>
      </w:r>
      <w:r>
        <w:rPr/>
        <w:t>behavior,</w:t>
      </w:r>
      <w:r>
        <w:rPr>
          <w:spacing w:val="-6"/>
        </w:rPr>
        <w:t> </w:t>
      </w:r>
      <w:r>
        <w:rPr/>
        <w:t>as</w:t>
      </w:r>
      <w:r>
        <w:rPr>
          <w:spacing w:val="-8"/>
        </w:rPr>
        <w:t> </w:t>
      </w:r>
      <w:r>
        <w:rPr/>
        <w:t>identified</w:t>
      </w:r>
      <w:r>
        <w:rPr>
          <w:spacing w:val="-7"/>
        </w:rPr>
        <w:t> </w:t>
      </w:r>
      <w:r>
        <w:rPr/>
        <w:t>in</w:t>
      </w:r>
      <w:r>
        <w:rPr>
          <w:spacing w:val="-7"/>
        </w:rPr>
        <w:t> </w:t>
      </w:r>
      <w:r>
        <w:rPr/>
        <w:t>individual community wildfire protection plans, are established and maintained.</w:t>
      </w:r>
    </w:p>
    <w:p>
      <w:pPr>
        <w:pStyle w:val="Heading4"/>
        <w:spacing w:before="234"/>
        <w:ind w:left="1151"/>
      </w:pPr>
      <w:bookmarkStart w:name="Objectives" w:id="171"/>
      <w:bookmarkEnd w:id="171"/>
      <w:r>
        <w:rPr/>
      </w:r>
      <w:bookmarkStart w:name="_bookmark83" w:id="172"/>
      <w:bookmarkEnd w:id="172"/>
      <w:r>
        <w:rPr/>
      </w:r>
      <w:r>
        <w:rPr>
          <w:spacing w:val="-2"/>
        </w:rPr>
        <w:t>Objectives</w:t>
      </w:r>
    </w:p>
    <w:p>
      <w:pPr>
        <w:spacing w:before="240"/>
        <w:ind w:left="1151" w:right="0" w:firstLine="0"/>
        <w:jc w:val="left"/>
        <w:rPr>
          <w:rFonts w:ascii="Arial"/>
          <w:i/>
          <w:sz w:val="22"/>
        </w:rPr>
      </w:pPr>
      <w:bookmarkStart w:name="FW-OBJ-VEG-01. Restoration" w:id="173"/>
      <w:bookmarkEnd w:id="173"/>
      <w:r>
        <w:rPr/>
      </w:r>
      <w:r>
        <w:rPr>
          <w:rFonts w:ascii="Arial"/>
          <w:i/>
          <w:sz w:val="22"/>
        </w:rPr>
        <w:t>FW-OBJ-VEG-01.</w:t>
      </w:r>
      <w:r>
        <w:rPr>
          <w:rFonts w:ascii="Arial"/>
          <w:i/>
          <w:spacing w:val="-9"/>
          <w:sz w:val="22"/>
        </w:rPr>
        <w:t> </w:t>
      </w:r>
      <w:r>
        <w:rPr>
          <w:rFonts w:ascii="Arial"/>
          <w:i/>
          <w:spacing w:val="-2"/>
          <w:sz w:val="22"/>
        </w:rPr>
        <w:t>Restoration</w:t>
      </w:r>
    </w:p>
    <w:p>
      <w:pPr>
        <w:pStyle w:val="BodyText"/>
        <w:spacing w:line="232" w:lineRule="auto" w:before="67"/>
        <w:ind w:left="1151" w:right="801"/>
      </w:pPr>
      <w:r>
        <w:rPr/>
        <w:t>Initiate</w:t>
      </w:r>
      <w:r>
        <w:rPr>
          <w:spacing w:val="-3"/>
        </w:rPr>
        <w:t> </w:t>
      </w:r>
      <w:r>
        <w:rPr/>
        <w:t>active</w:t>
      </w:r>
      <w:r>
        <w:rPr>
          <w:spacing w:val="-6"/>
        </w:rPr>
        <w:t> </w:t>
      </w:r>
      <w:r>
        <w:rPr/>
        <w:t>management</w:t>
      </w:r>
      <w:r>
        <w:rPr>
          <w:spacing w:val="-6"/>
        </w:rPr>
        <w:t> </w:t>
      </w:r>
      <w:r>
        <w:rPr/>
        <w:t>activities</w:t>
      </w:r>
      <w:r>
        <w:rPr>
          <w:spacing w:val="-6"/>
        </w:rPr>
        <w:t> </w:t>
      </w:r>
      <w:r>
        <w:rPr/>
        <w:t>on</w:t>
      </w:r>
      <w:r>
        <w:rPr>
          <w:spacing w:val="-7"/>
        </w:rPr>
        <w:t> </w:t>
      </w:r>
      <w:r>
        <w:rPr/>
        <w:t>18,000</w:t>
      </w:r>
      <w:r>
        <w:rPr>
          <w:spacing w:val="-6"/>
        </w:rPr>
        <w:t> </w:t>
      </w:r>
      <w:r>
        <w:rPr/>
        <w:t>to</w:t>
      </w:r>
      <w:r>
        <w:rPr>
          <w:spacing w:val="-5"/>
        </w:rPr>
        <w:t> </w:t>
      </w:r>
      <w:r>
        <w:rPr/>
        <w:t>25,000</w:t>
      </w:r>
      <w:r>
        <w:rPr>
          <w:spacing w:val="-3"/>
        </w:rPr>
        <w:t> </w:t>
      </w:r>
      <w:r>
        <w:rPr/>
        <w:t>acres</w:t>
      </w:r>
      <w:r>
        <w:rPr>
          <w:spacing w:val="-4"/>
        </w:rPr>
        <w:t> </w:t>
      </w:r>
      <w:r>
        <w:rPr/>
        <w:t>per</w:t>
      </w:r>
      <w:r>
        <w:rPr>
          <w:spacing w:val="-4"/>
        </w:rPr>
        <w:t> </w:t>
      </w:r>
      <w:r>
        <w:rPr/>
        <w:t>year</w:t>
      </w:r>
      <w:r>
        <w:rPr>
          <w:spacing w:val="-6"/>
        </w:rPr>
        <w:t> </w:t>
      </w:r>
      <w:r>
        <w:rPr/>
        <w:t>over</w:t>
      </w:r>
      <w:r>
        <w:rPr>
          <w:spacing w:val="-6"/>
        </w:rPr>
        <w:t> </w:t>
      </w:r>
      <w:r>
        <w:rPr/>
        <w:t>the</w:t>
      </w:r>
      <w:r>
        <w:rPr>
          <w:spacing w:val="-6"/>
        </w:rPr>
        <w:t> </w:t>
      </w:r>
      <w:r>
        <w:rPr/>
        <w:t>next</w:t>
      </w:r>
      <w:r>
        <w:rPr>
          <w:spacing w:val="-6"/>
        </w:rPr>
        <w:t> </w:t>
      </w:r>
      <w:r>
        <w:rPr/>
        <w:t>15</w:t>
      </w:r>
      <w:r>
        <w:rPr>
          <w:spacing w:val="-3"/>
        </w:rPr>
        <w:t> </w:t>
      </w:r>
      <w:r>
        <w:rPr/>
        <w:t>years to move structure toward desired conditions at landscape scales to move the Forest toward desired</w:t>
      </w:r>
      <w:r>
        <w:rPr>
          <w:spacing w:val="-8"/>
        </w:rPr>
        <w:t> </w:t>
      </w:r>
      <w:r>
        <w:rPr/>
        <w:t>vegetative</w:t>
      </w:r>
      <w:r>
        <w:rPr>
          <w:spacing w:val="-5"/>
        </w:rPr>
        <w:t> </w:t>
      </w:r>
      <w:r>
        <w:rPr/>
        <w:t>conditions</w:t>
      </w:r>
      <w:r>
        <w:rPr>
          <w:spacing w:val="-6"/>
        </w:rPr>
        <w:t> </w:t>
      </w:r>
      <w:r>
        <w:rPr/>
        <w:t>and</w:t>
      </w:r>
      <w:r>
        <w:rPr>
          <w:spacing w:val="-7"/>
        </w:rPr>
        <w:t> </w:t>
      </w:r>
      <w:r>
        <w:rPr/>
        <w:t>have</w:t>
      </w:r>
      <w:r>
        <w:rPr>
          <w:spacing w:val="-5"/>
        </w:rPr>
        <w:t> </w:t>
      </w:r>
      <w:r>
        <w:rPr/>
        <w:t>landscapes</w:t>
      </w:r>
      <w:r>
        <w:rPr>
          <w:spacing w:val="-6"/>
        </w:rPr>
        <w:t> </w:t>
      </w:r>
      <w:r>
        <w:rPr/>
        <w:t>dominated</w:t>
      </w:r>
      <w:r>
        <w:rPr>
          <w:spacing w:val="-8"/>
        </w:rPr>
        <w:t> </w:t>
      </w:r>
      <w:r>
        <w:rPr/>
        <w:t>by</w:t>
      </w:r>
      <w:r>
        <w:rPr>
          <w:spacing w:val="-5"/>
        </w:rPr>
        <w:t> </w:t>
      </w:r>
      <w:r>
        <w:rPr/>
        <w:t>Fire</w:t>
      </w:r>
      <w:r>
        <w:rPr>
          <w:spacing w:val="-5"/>
        </w:rPr>
        <w:t> </w:t>
      </w:r>
      <w:r>
        <w:rPr/>
        <w:t>Regime</w:t>
      </w:r>
      <w:r>
        <w:rPr>
          <w:spacing w:val="-7"/>
        </w:rPr>
        <w:t> </w:t>
      </w:r>
      <w:r>
        <w:rPr/>
        <w:t>Condition</w:t>
      </w:r>
      <w:r>
        <w:rPr>
          <w:spacing w:val="-7"/>
        </w:rPr>
        <w:t> </w:t>
      </w:r>
      <w:r>
        <w:rPr/>
        <w:t>Class</w:t>
      </w:r>
      <w:r>
        <w:rPr>
          <w:spacing w:val="-6"/>
        </w:rPr>
        <w:t> </w:t>
      </w:r>
      <w:r>
        <w:rPr/>
        <w:t>I, with the remainder in Fire Regime Condition Class II trending toward Fire Regime Condition Class I.</w:t>
      </w:r>
      <w:hyperlink w:history="true" w:anchor="_bookmark85">
        <w:r>
          <w:rPr>
            <w:vertAlign w:val="superscript"/>
          </w:rPr>
          <w:t>8</w:t>
        </w:r>
      </w:hyperlink>
    </w:p>
    <w:p>
      <w:pPr>
        <w:spacing w:before="233"/>
        <w:ind w:left="1151" w:right="0" w:firstLine="0"/>
        <w:jc w:val="left"/>
        <w:rPr>
          <w:rFonts w:ascii="Arial"/>
          <w:i/>
          <w:sz w:val="22"/>
        </w:rPr>
      </w:pPr>
      <w:bookmarkStart w:name="FW-OBJ-VEG-02. Fuels Treatments" w:id="174"/>
      <w:bookmarkEnd w:id="174"/>
      <w:r>
        <w:rPr/>
      </w:r>
      <w:r>
        <w:rPr>
          <w:rFonts w:ascii="Arial"/>
          <w:i/>
          <w:sz w:val="22"/>
        </w:rPr>
        <w:t>FW-OBJ-VEG-02.</w:t>
      </w:r>
      <w:r>
        <w:rPr>
          <w:rFonts w:ascii="Arial"/>
          <w:i/>
          <w:spacing w:val="-7"/>
          <w:sz w:val="22"/>
        </w:rPr>
        <w:t> </w:t>
      </w:r>
      <w:r>
        <w:rPr>
          <w:rFonts w:ascii="Arial"/>
          <w:i/>
          <w:sz w:val="22"/>
        </w:rPr>
        <w:t>Fuels</w:t>
      </w:r>
      <w:r>
        <w:rPr>
          <w:rFonts w:ascii="Arial"/>
          <w:i/>
          <w:spacing w:val="-9"/>
          <w:sz w:val="22"/>
        </w:rPr>
        <w:t> </w:t>
      </w:r>
      <w:r>
        <w:rPr>
          <w:rFonts w:ascii="Arial"/>
          <w:i/>
          <w:spacing w:val="-2"/>
          <w:sz w:val="22"/>
        </w:rPr>
        <w:t>Treatments</w:t>
      </w:r>
    </w:p>
    <w:p>
      <w:pPr>
        <w:pStyle w:val="BodyText"/>
        <w:spacing w:line="232" w:lineRule="auto" w:before="64"/>
        <w:ind w:left="1152" w:right="1073"/>
      </w:pPr>
      <w:r>
        <w:rPr/>
        <w:t>Initiate</w:t>
      </w:r>
      <w:r>
        <w:rPr>
          <w:spacing w:val="-3"/>
        </w:rPr>
        <w:t> </w:t>
      </w:r>
      <w:r>
        <w:rPr/>
        <w:t>fuel</w:t>
      </w:r>
      <w:r>
        <w:rPr>
          <w:spacing w:val="-7"/>
        </w:rPr>
        <w:t> </w:t>
      </w:r>
      <w:r>
        <w:rPr/>
        <w:t>reduction</w:t>
      </w:r>
      <w:r>
        <w:rPr>
          <w:spacing w:val="-5"/>
        </w:rPr>
        <w:t> </w:t>
      </w:r>
      <w:r>
        <w:rPr/>
        <w:t>activities</w:t>
      </w:r>
      <w:r>
        <w:rPr>
          <w:spacing w:val="-6"/>
        </w:rPr>
        <w:t> </w:t>
      </w:r>
      <w:r>
        <w:rPr/>
        <w:t>on</w:t>
      </w:r>
      <w:r>
        <w:rPr>
          <w:spacing w:val="-5"/>
        </w:rPr>
        <w:t> </w:t>
      </w:r>
      <w:r>
        <w:rPr/>
        <w:t>5,000</w:t>
      </w:r>
      <w:r>
        <w:rPr>
          <w:spacing w:val="-3"/>
        </w:rPr>
        <w:t> </w:t>
      </w:r>
      <w:r>
        <w:rPr/>
        <w:t>acres</w:t>
      </w:r>
      <w:r>
        <w:rPr>
          <w:spacing w:val="-6"/>
        </w:rPr>
        <w:t> </w:t>
      </w:r>
      <w:r>
        <w:rPr/>
        <w:t>per</w:t>
      </w:r>
      <w:r>
        <w:rPr>
          <w:spacing w:val="-6"/>
        </w:rPr>
        <w:t> </w:t>
      </w:r>
      <w:r>
        <w:rPr/>
        <w:t>year</w:t>
      </w:r>
      <w:r>
        <w:rPr>
          <w:spacing w:val="-4"/>
        </w:rPr>
        <w:t> </w:t>
      </w:r>
      <w:r>
        <w:rPr/>
        <w:t>over</w:t>
      </w:r>
      <w:r>
        <w:rPr>
          <w:spacing w:val="-6"/>
        </w:rPr>
        <w:t> </w:t>
      </w:r>
      <w:r>
        <w:rPr/>
        <w:t>the</w:t>
      </w:r>
      <w:r>
        <w:rPr>
          <w:spacing w:val="-3"/>
        </w:rPr>
        <w:t> </w:t>
      </w:r>
      <w:r>
        <w:rPr/>
        <w:t>next</w:t>
      </w:r>
      <w:r>
        <w:rPr>
          <w:spacing w:val="-6"/>
        </w:rPr>
        <w:t> </w:t>
      </w:r>
      <w:r>
        <w:rPr/>
        <w:t>15</w:t>
      </w:r>
      <w:r>
        <w:rPr>
          <w:spacing w:val="-5"/>
        </w:rPr>
        <w:t> </w:t>
      </w:r>
      <w:r>
        <w:rPr/>
        <w:t>years</w:t>
      </w:r>
      <w:r>
        <w:rPr>
          <w:spacing w:val="-4"/>
        </w:rPr>
        <w:t> </w:t>
      </w:r>
      <w:r>
        <w:rPr/>
        <w:t>to</w:t>
      </w:r>
      <w:r>
        <w:rPr>
          <w:spacing w:val="-5"/>
        </w:rPr>
        <w:t> </w:t>
      </w:r>
      <w:r>
        <w:rPr/>
        <w:t>reduce hazardous fuel accumulations in both activity and natural fuels to move toward desired vegetative conditions and have landscapes dominated</w:t>
      </w:r>
      <w:r>
        <w:rPr>
          <w:spacing w:val="-1"/>
        </w:rPr>
        <w:t> </w:t>
      </w:r>
      <w:r>
        <w:rPr/>
        <w:t>by Fire Regime Condition Class I.</w:t>
      </w:r>
    </w:p>
    <w:p>
      <w:pPr>
        <w:spacing w:before="233"/>
        <w:ind w:left="1152" w:right="0" w:firstLine="0"/>
        <w:jc w:val="left"/>
        <w:rPr>
          <w:rFonts w:ascii="Arial"/>
          <w:i/>
          <w:sz w:val="22"/>
        </w:rPr>
      </w:pPr>
      <w:bookmarkStart w:name="FW-OBJ-VEG-03. Non-Forest Habitats for S" w:id="175"/>
      <w:bookmarkEnd w:id="175"/>
      <w:r>
        <w:rPr/>
      </w:r>
      <w:r>
        <w:rPr>
          <w:rFonts w:ascii="Arial"/>
          <w:i/>
          <w:sz w:val="22"/>
        </w:rPr>
        <w:t>FW-OBJ-VEG-03.</w:t>
      </w:r>
      <w:r>
        <w:rPr>
          <w:rFonts w:ascii="Arial"/>
          <w:i/>
          <w:spacing w:val="-5"/>
          <w:sz w:val="22"/>
        </w:rPr>
        <w:t> </w:t>
      </w:r>
      <w:r>
        <w:rPr>
          <w:rFonts w:ascii="Arial"/>
          <w:i/>
          <w:sz w:val="22"/>
        </w:rPr>
        <w:t>Non-Forest</w:t>
      </w:r>
      <w:r>
        <w:rPr>
          <w:rFonts w:ascii="Arial"/>
          <w:i/>
          <w:spacing w:val="-6"/>
          <w:sz w:val="22"/>
        </w:rPr>
        <w:t> </w:t>
      </w:r>
      <w:r>
        <w:rPr>
          <w:rFonts w:ascii="Arial"/>
          <w:i/>
          <w:sz w:val="22"/>
        </w:rPr>
        <w:t>Habitats</w:t>
      </w:r>
      <w:r>
        <w:rPr>
          <w:rFonts w:ascii="Arial"/>
          <w:i/>
          <w:spacing w:val="-8"/>
          <w:sz w:val="22"/>
        </w:rPr>
        <w:t> </w:t>
      </w:r>
      <w:r>
        <w:rPr>
          <w:rFonts w:ascii="Arial"/>
          <w:i/>
          <w:sz w:val="22"/>
        </w:rPr>
        <w:t>for</w:t>
      </w:r>
      <w:r>
        <w:rPr>
          <w:rFonts w:ascii="Arial"/>
          <w:i/>
          <w:spacing w:val="-8"/>
          <w:sz w:val="22"/>
        </w:rPr>
        <w:t> </w:t>
      </w:r>
      <w:r>
        <w:rPr>
          <w:rFonts w:ascii="Arial"/>
          <w:i/>
          <w:sz w:val="22"/>
        </w:rPr>
        <w:t>Sensitive</w:t>
      </w:r>
      <w:r>
        <w:rPr>
          <w:rFonts w:ascii="Arial"/>
          <w:i/>
          <w:spacing w:val="-6"/>
          <w:sz w:val="22"/>
        </w:rPr>
        <w:t> </w:t>
      </w:r>
      <w:r>
        <w:rPr>
          <w:rFonts w:ascii="Arial"/>
          <w:i/>
          <w:sz w:val="22"/>
        </w:rPr>
        <w:t>and</w:t>
      </w:r>
      <w:r>
        <w:rPr>
          <w:rFonts w:ascii="Arial"/>
          <w:i/>
          <w:spacing w:val="-6"/>
          <w:sz w:val="22"/>
        </w:rPr>
        <w:t> </w:t>
      </w:r>
      <w:r>
        <w:rPr>
          <w:rFonts w:ascii="Arial"/>
          <w:i/>
          <w:sz w:val="22"/>
        </w:rPr>
        <w:t>Strategic</w:t>
      </w:r>
      <w:r>
        <w:rPr>
          <w:rFonts w:ascii="Arial"/>
          <w:i/>
          <w:spacing w:val="-5"/>
          <w:sz w:val="22"/>
        </w:rPr>
        <w:t> </w:t>
      </w:r>
      <w:r>
        <w:rPr>
          <w:rFonts w:ascii="Arial"/>
          <w:i/>
          <w:spacing w:val="-2"/>
          <w:sz w:val="22"/>
        </w:rPr>
        <w:t>Species</w:t>
      </w:r>
    </w:p>
    <w:p>
      <w:pPr>
        <w:pStyle w:val="BodyText"/>
        <w:spacing w:line="232" w:lineRule="auto" w:before="65"/>
        <w:ind w:left="1152" w:right="801" w:hanging="1"/>
      </w:pPr>
      <w:r>
        <w:rPr/>
        <w:t>Five</w:t>
      </w:r>
      <w:r>
        <w:rPr>
          <w:spacing w:val="-3"/>
        </w:rPr>
        <w:t> </w:t>
      </w:r>
      <w:r>
        <w:rPr/>
        <w:t>to</w:t>
      </w:r>
      <w:r>
        <w:rPr>
          <w:spacing w:val="-5"/>
        </w:rPr>
        <w:t> </w:t>
      </w:r>
      <w:r>
        <w:rPr/>
        <w:t>10</w:t>
      </w:r>
      <w:r>
        <w:rPr>
          <w:spacing w:val="-5"/>
        </w:rPr>
        <w:t> </w:t>
      </w:r>
      <w:r>
        <w:rPr/>
        <w:t>acres</w:t>
      </w:r>
      <w:r>
        <w:rPr>
          <w:spacing w:val="-4"/>
        </w:rPr>
        <w:t> </w:t>
      </w:r>
      <w:r>
        <w:rPr/>
        <w:t>of</w:t>
      </w:r>
      <w:r>
        <w:rPr>
          <w:spacing w:val="-4"/>
        </w:rPr>
        <w:t> </w:t>
      </w:r>
      <w:r>
        <w:rPr/>
        <w:t>special</w:t>
      </w:r>
      <w:r>
        <w:rPr>
          <w:spacing w:val="-7"/>
        </w:rPr>
        <w:t> </w:t>
      </w:r>
      <w:r>
        <w:rPr/>
        <w:t>and</w:t>
      </w:r>
      <w:r>
        <w:rPr>
          <w:spacing w:val="-5"/>
        </w:rPr>
        <w:t> </w:t>
      </w:r>
      <w:r>
        <w:rPr/>
        <w:t>unique</w:t>
      </w:r>
      <w:r>
        <w:rPr>
          <w:spacing w:val="-3"/>
        </w:rPr>
        <w:t> </w:t>
      </w:r>
      <w:r>
        <w:rPr/>
        <w:t>habitats</w:t>
      </w:r>
      <w:r>
        <w:rPr>
          <w:spacing w:val="-4"/>
        </w:rPr>
        <w:t> </w:t>
      </w:r>
      <w:r>
        <w:rPr/>
        <w:t>are</w:t>
      </w:r>
      <w:r>
        <w:rPr>
          <w:spacing w:val="-6"/>
        </w:rPr>
        <w:t> </w:t>
      </w:r>
      <w:r>
        <w:rPr/>
        <w:t>treated</w:t>
      </w:r>
      <w:r>
        <w:rPr>
          <w:spacing w:val="-5"/>
        </w:rPr>
        <w:t> </w:t>
      </w:r>
      <w:r>
        <w:rPr/>
        <w:t>annually</w:t>
      </w:r>
      <w:r>
        <w:rPr>
          <w:spacing w:val="-5"/>
        </w:rPr>
        <w:t> </w:t>
      </w:r>
      <w:r>
        <w:rPr/>
        <w:t>over</w:t>
      </w:r>
      <w:r>
        <w:rPr>
          <w:spacing w:val="-6"/>
        </w:rPr>
        <w:t> </w:t>
      </w:r>
      <w:r>
        <w:rPr/>
        <w:t>the</w:t>
      </w:r>
      <w:r>
        <w:rPr>
          <w:spacing w:val="-6"/>
        </w:rPr>
        <w:t> </w:t>
      </w:r>
      <w:r>
        <w:rPr/>
        <w:t>15-year</w:t>
      </w:r>
      <w:r>
        <w:rPr>
          <w:spacing w:val="-4"/>
        </w:rPr>
        <w:t> </w:t>
      </w:r>
      <w:r>
        <w:rPr/>
        <w:t>life</w:t>
      </w:r>
      <w:r>
        <w:rPr>
          <w:spacing w:val="-6"/>
        </w:rPr>
        <w:t> </w:t>
      </w:r>
      <w:r>
        <w:rPr/>
        <w:t>of</w:t>
      </w:r>
      <w:r>
        <w:rPr>
          <w:spacing w:val="-7"/>
        </w:rPr>
        <w:t> </w:t>
      </w:r>
      <w:r>
        <w:rPr/>
        <w:t>the </w:t>
      </w:r>
      <w:r>
        <w:rPr>
          <w:spacing w:val="-2"/>
        </w:rPr>
        <w:t>Plan.</w:t>
      </w:r>
    </w:p>
    <w:p>
      <w:pPr>
        <w:pStyle w:val="Heading4"/>
        <w:spacing w:before="235"/>
        <w:ind w:left="1151"/>
      </w:pPr>
      <w:bookmarkStart w:name="Standards" w:id="176"/>
      <w:bookmarkEnd w:id="176"/>
      <w:r>
        <w:rPr/>
      </w:r>
      <w:bookmarkStart w:name="_bookmark84" w:id="177"/>
      <w:bookmarkEnd w:id="177"/>
      <w:r>
        <w:rPr/>
      </w:r>
      <w:r>
        <w:rPr>
          <w:spacing w:val="-2"/>
        </w:rPr>
        <w:t>Standards</w:t>
      </w:r>
    </w:p>
    <w:p>
      <w:pPr>
        <w:spacing w:before="229"/>
        <w:ind w:left="1151" w:right="0" w:firstLine="0"/>
        <w:jc w:val="left"/>
        <w:rPr>
          <w:rFonts w:ascii="Arial" w:hAnsi="Arial"/>
          <w:i/>
          <w:sz w:val="22"/>
        </w:rPr>
      </w:pPr>
      <w:bookmarkStart w:name="FW-STD-VEG-01. Wildland Fire ( Protectio" w:id="178"/>
      <w:bookmarkEnd w:id="178"/>
      <w:r>
        <w:rPr/>
      </w:r>
      <w:r>
        <w:rPr>
          <w:rFonts w:ascii="Arial" w:hAnsi="Arial"/>
          <w:i/>
          <w:sz w:val="22"/>
        </w:rPr>
        <w:t>FW-STD-VEG-01.</w:t>
      </w:r>
      <w:r>
        <w:rPr>
          <w:rFonts w:ascii="Arial" w:hAnsi="Arial"/>
          <w:i/>
          <w:spacing w:val="-8"/>
          <w:sz w:val="22"/>
        </w:rPr>
        <w:t> </w:t>
      </w:r>
      <w:r>
        <w:rPr>
          <w:rFonts w:ascii="Arial" w:hAnsi="Arial"/>
          <w:i/>
          <w:sz w:val="22"/>
        </w:rPr>
        <w:t>Wildland</w:t>
      </w:r>
      <w:r>
        <w:rPr>
          <w:rFonts w:ascii="Arial" w:hAnsi="Arial"/>
          <w:i/>
          <w:spacing w:val="-6"/>
          <w:sz w:val="22"/>
        </w:rPr>
        <w:t> </w:t>
      </w:r>
      <w:r>
        <w:rPr>
          <w:rFonts w:ascii="Arial" w:hAnsi="Arial"/>
          <w:i/>
          <w:sz w:val="22"/>
        </w:rPr>
        <w:t>Fire</w:t>
      </w:r>
      <w:r>
        <w:rPr>
          <w:rFonts w:ascii="Arial" w:hAnsi="Arial"/>
          <w:i/>
          <w:spacing w:val="-8"/>
          <w:sz w:val="22"/>
        </w:rPr>
        <w:t> </w:t>
      </w:r>
      <w:r>
        <w:rPr>
          <w:rFonts w:ascii="Symbol" w:hAnsi="Symbol"/>
          <w:i/>
          <w:sz w:val="23"/>
        </w:rPr>
        <w:t></w:t>
      </w:r>
      <w:r>
        <w:rPr>
          <w:rFonts w:ascii="Times New Roman" w:hAnsi="Times New Roman"/>
          <w:spacing w:val="-1"/>
          <w:sz w:val="23"/>
        </w:rPr>
        <w:t> </w:t>
      </w:r>
      <w:r>
        <w:rPr>
          <w:rFonts w:ascii="Arial" w:hAnsi="Arial"/>
          <w:i/>
          <w:sz w:val="22"/>
        </w:rPr>
        <w:t>Protection</w:t>
      </w:r>
      <w:r>
        <w:rPr>
          <w:rFonts w:ascii="Arial" w:hAnsi="Arial"/>
          <w:i/>
          <w:spacing w:val="-6"/>
          <w:sz w:val="22"/>
        </w:rPr>
        <w:t> </w:t>
      </w:r>
      <w:r>
        <w:rPr>
          <w:rFonts w:ascii="Arial" w:hAnsi="Arial"/>
          <w:i/>
          <w:sz w:val="22"/>
        </w:rPr>
        <w:t>of</w:t>
      </w:r>
      <w:r>
        <w:rPr>
          <w:rFonts w:ascii="Arial" w:hAnsi="Arial"/>
          <w:i/>
          <w:spacing w:val="-5"/>
          <w:sz w:val="22"/>
        </w:rPr>
        <w:t> </w:t>
      </w:r>
      <w:r>
        <w:rPr>
          <w:rFonts w:ascii="Arial" w:hAnsi="Arial"/>
          <w:i/>
          <w:sz w:val="22"/>
        </w:rPr>
        <w:t>Natural</w:t>
      </w:r>
      <w:r>
        <w:rPr>
          <w:rFonts w:ascii="Arial" w:hAnsi="Arial"/>
          <w:i/>
          <w:spacing w:val="-6"/>
          <w:sz w:val="22"/>
        </w:rPr>
        <w:t> </w:t>
      </w:r>
      <w:r>
        <w:rPr>
          <w:rFonts w:ascii="Arial" w:hAnsi="Arial"/>
          <w:i/>
          <w:sz w:val="22"/>
        </w:rPr>
        <w:t>Resources</w:t>
      </w:r>
      <w:r>
        <w:rPr>
          <w:rFonts w:ascii="Arial" w:hAnsi="Arial"/>
          <w:i/>
          <w:spacing w:val="-8"/>
          <w:sz w:val="22"/>
        </w:rPr>
        <w:t> </w:t>
      </w:r>
      <w:r>
        <w:rPr>
          <w:rFonts w:ascii="Arial" w:hAnsi="Arial"/>
          <w:i/>
          <w:sz w:val="22"/>
        </w:rPr>
        <w:t>and</w:t>
      </w:r>
      <w:r>
        <w:rPr>
          <w:rFonts w:ascii="Arial" w:hAnsi="Arial"/>
          <w:i/>
          <w:spacing w:val="-7"/>
          <w:sz w:val="22"/>
        </w:rPr>
        <w:t> </w:t>
      </w:r>
      <w:r>
        <w:rPr>
          <w:rFonts w:ascii="Arial" w:hAnsi="Arial"/>
          <w:i/>
          <w:spacing w:val="-2"/>
          <w:sz w:val="22"/>
        </w:rPr>
        <w:t>Property</w:t>
      </w:r>
    </w:p>
    <w:p>
      <w:pPr>
        <w:pStyle w:val="BodyText"/>
        <w:spacing w:line="232" w:lineRule="auto" w:before="63"/>
        <w:ind w:left="1151" w:right="720"/>
      </w:pPr>
      <w:r>
        <w:rPr/>
        <w:t>Protect human life as the single, overriding priority. Set priorities among protecting human communities</w:t>
      </w:r>
      <w:r>
        <w:rPr>
          <w:spacing w:val="-7"/>
        </w:rPr>
        <w:t> </w:t>
      </w:r>
      <w:r>
        <w:rPr/>
        <w:t>and</w:t>
      </w:r>
      <w:r>
        <w:rPr>
          <w:spacing w:val="-8"/>
        </w:rPr>
        <w:t> </w:t>
      </w:r>
      <w:r>
        <w:rPr/>
        <w:t>community</w:t>
      </w:r>
      <w:r>
        <w:rPr>
          <w:spacing w:val="-6"/>
        </w:rPr>
        <w:t> </w:t>
      </w:r>
      <w:r>
        <w:rPr/>
        <w:t>infrastructure,</w:t>
      </w:r>
      <w:r>
        <w:rPr>
          <w:spacing w:val="-9"/>
        </w:rPr>
        <w:t> </w:t>
      </w:r>
      <w:r>
        <w:rPr/>
        <w:t>other</w:t>
      </w:r>
      <w:r>
        <w:rPr>
          <w:spacing w:val="-9"/>
        </w:rPr>
        <w:t> </w:t>
      </w:r>
      <w:r>
        <w:rPr/>
        <w:t>property</w:t>
      </w:r>
      <w:r>
        <w:rPr>
          <w:spacing w:val="-6"/>
        </w:rPr>
        <w:t> </w:t>
      </w:r>
      <w:r>
        <w:rPr/>
        <w:t>and</w:t>
      </w:r>
      <w:r>
        <w:rPr>
          <w:spacing w:val="-8"/>
        </w:rPr>
        <w:t> </w:t>
      </w:r>
      <w:r>
        <w:rPr/>
        <w:t>improvements,</w:t>
      </w:r>
      <w:r>
        <w:rPr>
          <w:spacing w:val="-7"/>
        </w:rPr>
        <w:t> </w:t>
      </w:r>
      <w:r>
        <w:rPr/>
        <w:t>and</w:t>
      </w:r>
      <w:r>
        <w:rPr>
          <w:spacing w:val="-8"/>
        </w:rPr>
        <w:t> </w:t>
      </w:r>
      <w:r>
        <w:rPr/>
        <w:t>natural</w:t>
      </w:r>
      <w:r>
        <w:rPr>
          <w:spacing w:val="-7"/>
        </w:rPr>
        <w:t> </w:t>
      </w:r>
      <w:r>
        <w:rPr/>
        <w:t>and cultural resources based on</w:t>
      </w:r>
      <w:r>
        <w:rPr>
          <w:spacing w:val="-1"/>
        </w:rPr>
        <w:t> </w:t>
      </w:r>
      <w:r>
        <w:rPr/>
        <w:t>the values to be protected, human health</w:t>
      </w:r>
      <w:r>
        <w:rPr>
          <w:spacing w:val="-1"/>
        </w:rPr>
        <w:t> </w:t>
      </w:r>
      <w:r>
        <w:rPr/>
        <w:t>and safety, and the costs of protection. Once people have been committed to an incident, the highest value to be protected is human resources. After</w:t>
      </w:r>
      <w:r>
        <w:rPr>
          <w:spacing w:val="-1"/>
        </w:rPr>
        <w:t> </w:t>
      </w:r>
      <w:r>
        <w:rPr/>
        <w:t>protection</w:t>
      </w:r>
      <w:r>
        <w:rPr>
          <w:spacing w:val="-2"/>
        </w:rPr>
        <w:t> </w:t>
      </w:r>
      <w:r>
        <w:rPr/>
        <w:t>of</w:t>
      </w:r>
      <w:r>
        <w:rPr>
          <w:spacing w:val="-1"/>
        </w:rPr>
        <w:t> </w:t>
      </w:r>
      <w:r>
        <w:rPr/>
        <w:t>human life, all</w:t>
      </w:r>
      <w:r>
        <w:rPr>
          <w:spacing w:val="-2"/>
        </w:rPr>
        <w:t> </w:t>
      </w:r>
      <w:r>
        <w:rPr/>
        <w:t>other protection</w:t>
      </w:r>
      <w:r>
        <w:rPr>
          <w:spacing w:val="-2"/>
        </w:rPr>
        <w:t> </w:t>
      </w:r>
      <w:r>
        <w:rPr/>
        <w:t>decisions</w:t>
      </w:r>
      <w:r>
        <w:rPr>
          <w:spacing w:val="-1"/>
        </w:rPr>
        <w:t> </w:t>
      </w:r>
      <w:r>
        <w:rPr/>
        <w:t>are to be made based on values to be protected, human health and safety, and the costs of </w:t>
      </w:r>
      <w:r>
        <w:rPr>
          <w:spacing w:val="-2"/>
        </w:rPr>
        <w:t>protection.</w:t>
      </w:r>
    </w:p>
    <w:p>
      <w:pPr>
        <w:spacing w:before="222"/>
        <w:ind w:left="1151" w:right="0" w:firstLine="0"/>
        <w:jc w:val="left"/>
        <w:rPr>
          <w:rFonts w:ascii="Arial" w:hAnsi="Arial"/>
          <w:i/>
          <w:sz w:val="22"/>
        </w:rPr>
      </w:pPr>
      <w:bookmarkStart w:name="FW-STD-VEG-02. Threatened, Endangered an" w:id="179"/>
      <w:bookmarkEnd w:id="179"/>
      <w:r>
        <w:rPr/>
      </w:r>
      <w:r>
        <w:rPr>
          <w:rFonts w:ascii="Arial" w:hAnsi="Arial"/>
          <w:i/>
          <w:sz w:val="22"/>
        </w:rPr>
        <w:t>FW-STD-VEG-02.</w:t>
      </w:r>
      <w:r>
        <w:rPr>
          <w:rFonts w:ascii="Arial" w:hAnsi="Arial"/>
          <w:i/>
          <w:spacing w:val="-6"/>
          <w:sz w:val="22"/>
        </w:rPr>
        <w:t> </w:t>
      </w:r>
      <w:r>
        <w:rPr>
          <w:rFonts w:ascii="Arial" w:hAnsi="Arial"/>
          <w:i/>
          <w:sz w:val="22"/>
        </w:rPr>
        <w:t>Threatened,</w:t>
      </w:r>
      <w:r>
        <w:rPr>
          <w:rFonts w:ascii="Arial" w:hAnsi="Arial"/>
          <w:i/>
          <w:spacing w:val="-8"/>
          <w:sz w:val="22"/>
        </w:rPr>
        <w:t> </w:t>
      </w:r>
      <w:r>
        <w:rPr>
          <w:rFonts w:ascii="Arial" w:hAnsi="Arial"/>
          <w:i/>
          <w:sz w:val="22"/>
        </w:rPr>
        <w:t>Endangered</w:t>
      </w:r>
      <w:r>
        <w:rPr>
          <w:rFonts w:ascii="Arial" w:hAnsi="Arial"/>
          <w:i/>
          <w:spacing w:val="-8"/>
          <w:sz w:val="22"/>
        </w:rPr>
        <w:t> </w:t>
      </w:r>
      <w:r>
        <w:rPr>
          <w:rFonts w:ascii="Arial" w:hAnsi="Arial"/>
          <w:i/>
          <w:sz w:val="22"/>
        </w:rPr>
        <w:t>and</w:t>
      </w:r>
      <w:r>
        <w:rPr>
          <w:rFonts w:ascii="Arial" w:hAnsi="Arial"/>
          <w:i/>
          <w:spacing w:val="-9"/>
          <w:sz w:val="22"/>
        </w:rPr>
        <w:t> </w:t>
      </w:r>
      <w:r>
        <w:rPr>
          <w:rFonts w:ascii="Arial" w:hAnsi="Arial"/>
          <w:i/>
          <w:sz w:val="22"/>
        </w:rPr>
        <w:t>Sensitive</w:t>
      </w:r>
      <w:r>
        <w:rPr>
          <w:rFonts w:ascii="Arial" w:hAnsi="Arial"/>
          <w:i/>
          <w:spacing w:val="-7"/>
          <w:sz w:val="22"/>
        </w:rPr>
        <w:t> </w:t>
      </w:r>
      <w:r>
        <w:rPr>
          <w:rFonts w:ascii="Arial" w:hAnsi="Arial"/>
          <w:i/>
          <w:sz w:val="22"/>
        </w:rPr>
        <w:t>Plant</w:t>
      </w:r>
      <w:r>
        <w:rPr>
          <w:rFonts w:ascii="Arial" w:hAnsi="Arial"/>
          <w:i/>
          <w:spacing w:val="-6"/>
          <w:sz w:val="22"/>
        </w:rPr>
        <w:t> </w:t>
      </w:r>
      <w:r>
        <w:rPr>
          <w:rFonts w:ascii="Arial" w:hAnsi="Arial"/>
          <w:i/>
          <w:sz w:val="22"/>
        </w:rPr>
        <w:t>Species</w:t>
      </w:r>
      <w:r>
        <w:rPr>
          <w:rFonts w:ascii="Arial" w:hAnsi="Arial"/>
          <w:i/>
          <w:spacing w:val="-9"/>
          <w:sz w:val="22"/>
        </w:rPr>
        <w:t> </w:t>
      </w:r>
      <w:r>
        <w:rPr>
          <w:rFonts w:ascii="Symbol" w:hAnsi="Symbol"/>
          <w:i/>
          <w:sz w:val="23"/>
        </w:rPr>
        <w:t></w:t>
      </w:r>
      <w:r>
        <w:rPr>
          <w:rFonts w:ascii="Times New Roman" w:hAnsi="Times New Roman"/>
          <w:spacing w:val="-2"/>
          <w:sz w:val="23"/>
        </w:rPr>
        <w:t> </w:t>
      </w:r>
      <w:r>
        <w:rPr>
          <w:rFonts w:ascii="Arial" w:hAnsi="Arial"/>
          <w:i/>
          <w:spacing w:val="-2"/>
          <w:sz w:val="22"/>
        </w:rPr>
        <w:t>Surveys</w:t>
      </w:r>
    </w:p>
    <w:p>
      <w:pPr>
        <w:pStyle w:val="BodyText"/>
        <w:spacing w:line="232" w:lineRule="auto" w:before="63"/>
        <w:ind w:left="1151" w:right="801"/>
      </w:pPr>
      <w:r>
        <w:rPr/>
        <w:t>Surveys</w:t>
      </w:r>
      <w:r>
        <w:rPr>
          <w:spacing w:val="-5"/>
        </w:rPr>
        <w:t> </w:t>
      </w:r>
      <w:r>
        <w:rPr/>
        <w:t>for</w:t>
      </w:r>
      <w:r>
        <w:rPr>
          <w:spacing w:val="-5"/>
        </w:rPr>
        <w:t> </w:t>
      </w:r>
      <w:r>
        <w:rPr/>
        <w:t>threatened,</w:t>
      </w:r>
      <w:r>
        <w:rPr>
          <w:spacing w:val="-5"/>
        </w:rPr>
        <w:t> </w:t>
      </w:r>
      <w:r>
        <w:rPr/>
        <w:t>endangered,</w:t>
      </w:r>
      <w:r>
        <w:rPr>
          <w:spacing w:val="-5"/>
        </w:rPr>
        <w:t> </w:t>
      </w:r>
      <w:r>
        <w:rPr/>
        <w:t>and</w:t>
      </w:r>
      <w:r>
        <w:rPr>
          <w:spacing w:val="-6"/>
        </w:rPr>
        <w:t> </w:t>
      </w:r>
      <w:r>
        <w:rPr/>
        <w:t>sensitive</w:t>
      </w:r>
      <w:r>
        <w:rPr>
          <w:spacing w:val="-7"/>
        </w:rPr>
        <w:t> </w:t>
      </w:r>
      <w:r>
        <w:rPr/>
        <w:t>plant</w:t>
      </w:r>
      <w:r>
        <w:rPr>
          <w:spacing w:val="-5"/>
        </w:rPr>
        <w:t> </w:t>
      </w:r>
      <w:r>
        <w:rPr/>
        <w:t>species</w:t>
      </w:r>
      <w:r>
        <w:rPr>
          <w:spacing w:val="-7"/>
        </w:rPr>
        <w:t> </w:t>
      </w:r>
      <w:r>
        <w:rPr/>
        <w:t>shall</w:t>
      </w:r>
      <w:r>
        <w:rPr>
          <w:spacing w:val="-5"/>
        </w:rPr>
        <w:t> </w:t>
      </w:r>
      <w:r>
        <w:rPr/>
        <w:t>be</w:t>
      </w:r>
      <w:r>
        <w:rPr>
          <w:spacing w:val="-5"/>
        </w:rPr>
        <w:t> </w:t>
      </w:r>
      <w:r>
        <w:rPr/>
        <w:t>conducted</w:t>
      </w:r>
      <w:r>
        <w:rPr>
          <w:spacing w:val="-6"/>
        </w:rPr>
        <w:t> </w:t>
      </w:r>
      <w:r>
        <w:rPr/>
        <w:t>in</w:t>
      </w:r>
      <w:r>
        <w:rPr>
          <w:spacing w:val="-6"/>
        </w:rPr>
        <w:t> </w:t>
      </w:r>
      <w:r>
        <w:rPr/>
        <w:t>suitable habitat</w:t>
      </w:r>
      <w:hyperlink w:history="true" w:anchor="_bookmark86">
        <w:r>
          <w:rPr>
            <w:vertAlign w:val="superscript"/>
          </w:rPr>
          <w:t>9</w:t>
        </w:r>
      </w:hyperlink>
      <w:r>
        <w:rPr>
          <w:vertAlign w:val="baseline"/>
        </w:rPr>
        <w:t> on National Forest System lands before ground-disturbing activities to identify and protect vulnerable populations. All existing sites are identified and managed to support rare</w:t>
      </w:r>
    </w:p>
    <w:p>
      <w:pPr>
        <w:pStyle w:val="BodyText"/>
        <w:rPr>
          <w:sz w:val="20"/>
        </w:rPr>
      </w:pPr>
    </w:p>
    <w:p>
      <w:pPr>
        <w:pStyle w:val="BodyText"/>
        <w:rPr>
          <w:sz w:val="20"/>
        </w:rPr>
      </w:pPr>
    </w:p>
    <w:p>
      <w:pPr>
        <w:pStyle w:val="BodyText"/>
        <w:spacing w:before="55"/>
        <w:rPr>
          <w:sz w:val="20"/>
        </w:rPr>
      </w:pPr>
      <w:r>
        <w:rPr>
          <w:sz w:val="20"/>
        </w:rPr>
        <mc:AlternateContent>
          <mc:Choice Requires="wps">
            <w:drawing>
              <wp:anchor distT="0" distB="0" distL="0" distR="0" allowOverlap="1" layoutInCell="1" locked="0" behindDoc="1" simplePos="0" relativeHeight="487598592">
                <wp:simplePos x="0" y="0"/>
                <wp:positionH relativeFrom="page">
                  <wp:posOffset>1417319</wp:posOffset>
                </wp:positionH>
                <wp:positionV relativeFrom="paragraph">
                  <wp:posOffset>205257</wp:posOffset>
                </wp:positionV>
                <wp:extent cx="1828800" cy="7620"/>
                <wp:effectExtent l="0" t="0" r="0" b="0"/>
                <wp:wrapTopAndBottom/>
                <wp:docPr id="148" name="Graphic 148"/>
                <wp:cNvGraphicFramePr>
                  <a:graphicFrameLocks/>
                </wp:cNvGraphicFramePr>
                <a:graphic>
                  <a:graphicData uri="http://schemas.microsoft.com/office/word/2010/wordprocessingShape">
                    <wps:wsp>
                      <wps:cNvPr id="148" name="Graphic 148"/>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6.162016pt;width:144pt;height:.599pt;mso-position-horizontal-relative:page;mso-position-vertical-relative:paragraph;z-index:-15717888;mso-wrap-distance-left:0;mso-wrap-distance-right:0" id="docshape140" filled="true" fillcolor="#000000" stroked="false">
                <v:fill type="solid"/>
                <w10:wrap type="topAndBottom"/>
              </v:rect>
            </w:pict>
          </mc:Fallback>
        </mc:AlternateContent>
      </w:r>
    </w:p>
    <w:p>
      <w:pPr>
        <w:spacing w:before="95"/>
        <w:ind w:left="1152" w:right="1424" w:hanging="1"/>
        <w:jc w:val="both"/>
        <w:rPr>
          <w:sz w:val="18"/>
        </w:rPr>
      </w:pPr>
      <w:bookmarkStart w:name="_bookmark85" w:id="180"/>
      <w:bookmarkEnd w:id="180"/>
      <w:r>
        <w:rPr/>
      </w:r>
      <w:r>
        <w:rPr>
          <w:position w:val="5"/>
          <w:sz w:val="12"/>
        </w:rPr>
        <w:t>8</w:t>
      </w:r>
      <w:r>
        <w:rPr>
          <w:spacing w:val="12"/>
          <w:position w:val="5"/>
          <w:sz w:val="12"/>
        </w:rPr>
        <w:t> </w:t>
      </w:r>
      <w:r>
        <w:rPr>
          <w:sz w:val="18"/>
        </w:rPr>
        <w:t>Condition</w:t>
      </w:r>
      <w:r>
        <w:rPr>
          <w:spacing w:val="-1"/>
          <w:sz w:val="18"/>
        </w:rPr>
        <w:t> </w:t>
      </w:r>
      <w:r>
        <w:rPr>
          <w:sz w:val="18"/>
        </w:rPr>
        <w:t>class</w:t>
      </w:r>
      <w:r>
        <w:rPr>
          <w:spacing w:val="-1"/>
          <w:sz w:val="18"/>
        </w:rPr>
        <w:t> </w:t>
      </w:r>
      <w:r>
        <w:rPr>
          <w:sz w:val="18"/>
        </w:rPr>
        <w:t>in</w:t>
      </w:r>
      <w:r>
        <w:rPr>
          <w:spacing w:val="-1"/>
          <w:sz w:val="18"/>
        </w:rPr>
        <w:t> </w:t>
      </w:r>
      <w:r>
        <w:rPr>
          <w:sz w:val="18"/>
        </w:rPr>
        <w:t>this</w:t>
      </w:r>
      <w:r>
        <w:rPr>
          <w:spacing w:val="-1"/>
          <w:sz w:val="18"/>
        </w:rPr>
        <w:t> </w:t>
      </w:r>
      <w:r>
        <w:rPr>
          <w:sz w:val="18"/>
        </w:rPr>
        <w:t>context</w:t>
      </w:r>
      <w:r>
        <w:rPr>
          <w:spacing w:val="-1"/>
          <w:sz w:val="18"/>
        </w:rPr>
        <w:t> </w:t>
      </w:r>
      <w:r>
        <w:rPr>
          <w:sz w:val="18"/>
        </w:rPr>
        <w:t>includes</w:t>
      </w:r>
      <w:r>
        <w:rPr>
          <w:spacing w:val="-1"/>
          <w:sz w:val="18"/>
        </w:rPr>
        <w:t> </w:t>
      </w:r>
      <w:r>
        <w:rPr>
          <w:sz w:val="18"/>
        </w:rPr>
        <w:t>more</w:t>
      </w:r>
      <w:r>
        <w:rPr>
          <w:spacing w:val="-1"/>
          <w:sz w:val="18"/>
        </w:rPr>
        <w:t> </w:t>
      </w:r>
      <w:r>
        <w:rPr>
          <w:sz w:val="18"/>
        </w:rPr>
        <w:t>than</w:t>
      </w:r>
      <w:r>
        <w:rPr>
          <w:spacing w:val="-1"/>
          <w:sz w:val="18"/>
        </w:rPr>
        <w:t> </w:t>
      </w:r>
      <w:r>
        <w:rPr>
          <w:sz w:val="18"/>
        </w:rPr>
        <w:t>just</w:t>
      </w:r>
      <w:r>
        <w:rPr>
          <w:spacing w:val="-1"/>
          <w:sz w:val="18"/>
        </w:rPr>
        <w:t> </w:t>
      </w:r>
      <w:r>
        <w:rPr>
          <w:sz w:val="18"/>
        </w:rPr>
        <w:t>forest structure</w:t>
      </w:r>
      <w:r>
        <w:rPr>
          <w:spacing w:val="-1"/>
          <w:sz w:val="18"/>
        </w:rPr>
        <w:t> </w:t>
      </w:r>
      <w:r>
        <w:rPr>
          <w:sz w:val="18"/>
        </w:rPr>
        <w:t>and density, rather, it</w:t>
      </w:r>
      <w:r>
        <w:rPr>
          <w:spacing w:val="-1"/>
          <w:sz w:val="18"/>
        </w:rPr>
        <w:t> </w:t>
      </w:r>
      <w:r>
        <w:rPr>
          <w:sz w:val="18"/>
        </w:rPr>
        <w:t>also includes ecological</w:t>
      </w:r>
      <w:r>
        <w:rPr>
          <w:spacing w:val="-3"/>
          <w:sz w:val="18"/>
        </w:rPr>
        <w:t> </w:t>
      </w:r>
      <w:r>
        <w:rPr>
          <w:sz w:val="18"/>
        </w:rPr>
        <w:t>legacy</w:t>
      </w:r>
      <w:r>
        <w:rPr>
          <w:spacing w:val="-3"/>
          <w:sz w:val="18"/>
        </w:rPr>
        <w:t> </w:t>
      </w:r>
      <w:r>
        <w:rPr>
          <w:sz w:val="18"/>
        </w:rPr>
        <w:t>considerations</w:t>
      </w:r>
      <w:r>
        <w:rPr>
          <w:spacing w:val="-3"/>
          <w:sz w:val="18"/>
        </w:rPr>
        <w:t> </w:t>
      </w:r>
      <w:r>
        <w:rPr>
          <w:sz w:val="18"/>
        </w:rPr>
        <w:t>shown</w:t>
      </w:r>
      <w:r>
        <w:rPr>
          <w:spacing w:val="-3"/>
          <w:sz w:val="18"/>
        </w:rPr>
        <w:t> </w:t>
      </w:r>
      <w:r>
        <w:rPr>
          <w:sz w:val="18"/>
        </w:rPr>
        <w:t>in</w:t>
      </w:r>
      <w:r>
        <w:rPr>
          <w:spacing w:val="-3"/>
          <w:sz w:val="18"/>
        </w:rPr>
        <w:t> </w:t>
      </w:r>
      <w:hyperlink w:history="true" w:anchor="_bookmark82">
        <w:r>
          <w:rPr>
            <w:sz w:val="18"/>
          </w:rPr>
          <w:t>Table</w:t>
        </w:r>
        <w:r>
          <w:rPr>
            <w:spacing w:val="-3"/>
            <w:sz w:val="18"/>
          </w:rPr>
          <w:t> </w:t>
        </w:r>
        <w:r>
          <w:rPr>
            <w:sz w:val="18"/>
          </w:rPr>
          <w:t>9</w:t>
        </w:r>
      </w:hyperlink>
      <w:r>
        <w:rPr>
          <w:spacing w:val="-3"/>
          <w:sz w:val="18"/>
        </w:rPr>
        <w:t> </w:t>
      </w:r>
      <w:r>
        <w:rPr>
          <w:sz w:val="18"/>
        </w:rPr>
        <w:t>such</w:t>
      </w:r>
      <w:r>
        <w:rPr>
          <w:spacing w:val="-3"/>
          <w:sz w:val="18"/>
        </w:rPr>
        <w:t> </w:t>
      </w:r>
      <w:r>
        <w:rPr>
          <w:sz w:val="18"/>
        </w:rPr>
        <w:t>as</w:t>
      </w:r>
      <w:r>
        <w:rPr>
          <w:spacing w:val="-3"/>
          <w:sz w:val="18"/>
        </w:rPr>
        <w:t> </w:t>
      </w:r>
      <w:r>
        <w:rPr>
          <w:sz w:val="18"/>
        </w:rPr>
        <w:t>species</w:t>
      </w:r>
      <w:r>
        <w:rPr>
          <w:spacing w:val="-3"/>
          <w:sz w:val="18"/>
        </w:rPr>
        <w:t> </w:t>
      </w:r>
      <w:r>
        <w:rPr>
          <w:sz w:val="18"/>
        </w:rPr>
        <w:t>composition,</w:t>
      </w:r>
      <w:r>
        <w:rPr>
          <w:spacing w:val="-3"/>
          <w:sz w:val="18"/>
        </w:rPr>
        <w:t> </w:t>
      </w:r>
      <w:r>
        <w:rPr>
          <w:sz w:val="18"/>
        </w:rPr>
        <w:t>insect</w:t>
      </w:r>
      <w:r>
        <w:rPr>
          <w:spacing w:val="-3"/>
          <w:sz w:val="18"/>
        </w:rPr>
        <w:t> </w:t>
      </w:r>
      <w:r>
        <w:rPr>
          <w:sz w:val="18"/>
        </w:rPr>
        <w:t>and</w:t>
      </w:r>
      <w:r>
        <w:rPr>
          <w:spacing w:val="-3"/>
          <w:sz w:val="18"/>
        </w:rPr>
        <w:t> </w:t>
      </w:r>
      <w:r>
        <w:rPr>
          <w:sz w:val="18"/>
        </w:rPr>
        <w:t>disease</w:t>
      </w:r>
      <w:r>
        <w:rPr>
          <w:spacing w:val="-3"/>
          <w:sz w:val="18"/>
        </w:rPr>
        <w:t> </w:t>
      </w:r>
      <w:r>
        <w:rPr>
          <w:sz w:val="18"/>
        </w:rPr>
        <w:t>pathogen conditions, invasive species impacts, and other understory and overstory influences.</w:t>
      </w:r>
    </w:p>
    <w:p>
      <w:pPr>
        <w:spacing w:before="0"/>
        <w:ind w:left="1152" w:right="954" w:hanging="1"/>
        <w:jc w:val="both"/>
        <w:rPr>
          <w:sz w:val="18"/>
        </w:rPr>
      </w:pPr>
      <w:bookmarkStart w:name="_bookmark86" w:id="181"/>
      <w:bookmarkEnd w:id="181"/>
      <w:r>
        <w:rPr/>
      </w:r>
      <w:r>
        <w:rPr>
          <w:position w:val="5"/>
          <w:sz w:val="12"/>
        </w:rPr>
        <w:t>9</w:t>
      </w:r>
      <w:r>
        <w:rPr>
          <w:spacing w:val="10"/>
          <w:position w:val="5"/>
          <w:sz w:val="12"/>
        </w:rPr>
        <w:t> </w:t>
      </w:r>
      <w:r>
        <w:rPr>
          <w:sz w:val="18"/>
        </w:rPr>
        <w:t>Suitable</w:t>
      </w:r>
      <w:r>
        <w:rPr>
          <w:spacing w:val="-3"/>
          <w:sz w:val="18"/>
        </w:rPr>
        <w:t> </w:t>
      </w:r>
      <w:r>
        <w:rPr>
          <w:sz w:val="18"/>
        </w:rPr>
        <w:t>habitat</w:t>
      </w:r>
      <w:r>
        <w:rPr>
          <w:spacing w:val="-3"/>
          <w:sz w:val="18"/>
        </w:rPr>
        <w:t> </w:t>
      </w:r>
      <w:r>
        <w:rPr>
          <w:sz w:val="18"/>
        </w:rPr>
        <w:t>is</w:t>
      </w:r>
      <w:r>
        <w:rPr>
          <w:spacing w:val="-3"/>
          <w:sz w:val="18"/>
        </w:rPr>
        <w:t> </w:t>
      </w:r>
      <w:r>
        <w:rPr>
          <w:sz w:val="18"/>
        </w:rPr>
        <w:t>defined</w:t>
      </w:r>
      <w:r>
        <w:rPr>
          <w:spacing w:val="-3"/>
          <w:sz w:val="18"/>
        </w:rPr>
        <w:t> </w:t>
      </w:r>
      <w:r>
        <w:rPr>
          <w:sz w:val="18"/>
        </w:rPr>
        <w:t>as</w:t>
      </w:r>
      <w:r>
        <w:rPr>
          <w:spacing w:val="-3"/>
          <w:sz w:val="18"/>
        </w:rPr>
        <w:t> </w:t>
      </w:r>
      <w:r>
        <w:rPr>
          <w:sz w:val="18"/>
        </w:rPr>
        <w:t>the</w:t>
      </w:r>
      <w:r>
        <w:rPr>
          <w:spacing w:val="-1"/>
          <w:sz w:val="18"/>
        </w:rPr>
        <w:t> </w:t>
      </w:r>
      <w:r>
        <w:rPr>
          <w:sz w:val="18"/>
        </w:rPr>
        <w:t>natural</w:t>
      </w:r>
      <w:r>
        <w:rPr>
          <w:spacing w:val="-3"/>
          <w:sz w:val="18"/>
        </w:rPr>
        <w:t> </w:t>
      </w:r>
      <w:r>
        <w:rPr>
          <w:sz w:val="18"/>
        </w:rPr>
        <w:t>environment</w:t>
      </w:r>
      <w:r>
        <w:rPr>
          <w:spacing w:val="-3"/>
          <w:sz w:val="18"/>
        </w:rPr>
        <w:t> </w:t>
      </w:r>
      <w:r>
        <w:rPr>
          <w:sz w:val="18"/>
        </w:rPr>
        <w:t>in</w:t>
      </w:r>
      <w:r>
        <w:rPr>
          <w:spacing w:val="-3"/>
          <w:sz w:val="18"/>
        </w:rPr>
        <w:t> </w:t>
      </w:r>
      <w:r>
        <w:rPr>
          <w:sz w:val="18"/>
        </w:rPr>
        <w:t>which</w:t>
      </w:r>
      <w:r>
        <w:rPr>
          <w:spacing w:val="-3"/>
          <w:sz w:val="18"/>
        </w:rPr>
        <w:t> </w:t>
      </w:r>
      <w:r>
        <w:rPr>
          <w:sz w:val="18"/>
        </w:rPr>
        <w:t>a particular species</w:t>
      </w:r>
      <w:r>
        <w:rPr>
          <w:spacing w:val="-3"/>
          <w:sz w:val="18"/>
        </w:rPr>
        <w:t> </w:t>
      </w:r>
      <w:r>
        <w:rPr>
          <w:sz w:val="18"/>
        </w:rPr>
        <w:t>lives.</w:t>
      </w:r>
      <w:r>
        <w:rPr>
          <w:spacing w:val="-2"/>
          <w:sz w:val="18"/>
        </w:rPr>
        <w:t> </w:t>
      </w:r>
      <w:r>
        <w:rPr>
          <w:sz w:val="18"/>
        </w:rPr>
        <w:t>Best</w:t>
      </w:r>
      <w:r>
        <w:rPr>
          <w:spacing w:val="-3"/>
          <w:sz w:val="18"/>
        </w:rPr>
        <w:t> </w:t>
      </w:r>
      <w:r>
        <w:rPr>
          <w:sz w:val="18"/>
        </w:rPr>
        <w:t>available</w:t>
      </w:r>
      <w:r>
        <w:rPr>
          <w:spacing w:val="-3"/>
          <w:sz w:val="18"/>
        </w:rPr>
        <w:t> </w:t>
      </w:r>
      <w:r>
        <w:rPr>
          <w:sz w:val="18"/>
        </w:rPr>
        <w:t>science</w:t>
      </w:r>
      <w:r>
        <w:rPr>
          <w:spacing w:val="-3"/>
          <w:sz w:val="18"/>
        </w:rPr>
        <w:t> </w:t>
      </w:r>
      <w:r>
        <w:rPr>
          <w:sz w:val="18"/>
        </w:rPr>
        <w:t>is utilized to determine appropriate suitable habitat for each sensitive species.</w:t>
      </w:r>
    </w:p>
    <w:p>
      <w:pPr>
        <w:spacing w:after="0"/>
        <w:jc w:val="both"/>
        <w:rPr>
          <w:sz w:val="18"/>
        </w:rPr>
        <w:sectPr>
          <w:pgSz w:w="12240" w:h="15840"/>
          <w:pgMar w:header="725" w:footer="891" w:top="960" w:bottom="1080" w:left="1080" w:right="720"/>
        </w:sectPr>
      </w:pPr>
    </w:p>
    <w:p>
      <w:pPr>
        <w:pStyle w:val="BodyText"/>
        <w:spacing w:before="212"/>
      </w:pPr>
    </w:p>
    <w:p>
      <w:pPr>
        <w:pStyle w:val="BodyText"/>
        <w:spacing w:line="232" w:lineRule="auto"/>
        <w:ind w:left="359" w:right="1445"/>
      </w:pPr>
      <w:r>
        <w:rPr/>
        <w:t>species</w:t>
      </w:r>
      <w:r>
        <w:rPr>
          <w:spacing w:val="-7"/>
        </w:rPr>
        <w:t> </w:t>
      </w:r>
      <w:r>
        <w:rPr/>
        <w:t>recovery</w:t>
      </w:r>
      <w:r>
        <w:rPr>
          <w:spacing w:val="-7"/>
        </w:rPr>
        <w:t> </w:t>
      </w:r>
      <w:r>
        <w:rPr/>
        <w:t>on</w:t>
      </w:r>
      <w:r>
        <w:rPr>
          <w:spacing w:val="-7"/>
        </w:rPr>
        <w:t> </w:t>
      </w:r>
      <w:r>
        <w:rPr/>
        <w:t>National</w:t>
      </w:r>
      <w:r>
        <w:rPr>
          <w:spacing w:val="-6"/>
        </w:rPr>
        <w:t> </w:t>
      </w:r>
      <w:r>
        <w:rPr/>
        <w:t>Forest</w:t>
      </w:r>
      <w:r>
        <w:rPr>
          <w:spacing w:val="-5"/>
        </w:rPr>
        <w:t> </w:t>
      </w:r>
      <w:r>
        <w:rPr/>
        <w:t>System</w:t>
      </w:r>
      <w:r>
        <w:rPr>
          <w:spacing w:val="-7"/>
        </w:rPr>
        <w:t> </w:t>
      </w:r>
      <w:r>
        <w:rPr/>
        <w:t>lands.</w:t>
      </w:r>
      <w:r>
        <w:rPr>
          <w:spacing w:val="-6"/>
        </w:rPr>
        <w:t> </w:t>
      </w:r>
      <w:r>
        <w:rPr/>
        <w:t>Suitable</w:t>
      </w:r>
      <w:r>
        <w:rPr>
          <w:spacing w:val="-5"/>
        </w:rPr>
        <w:t> </w:t>
      </w:r>
      <w:r>
        <w:rPr/>
        <w:t>habitat</w:t>
      </w:r>
      <w:r>
        <w:rPr>
          <w:spacing w:val="-5"/>
        </w:rPr>
        <w:t> </w:t>
      </w:r>
      <w:r>
        <w:rPr/>
        <w:t>shall</w:t>
      </w:r>
      <w:r>
        <w:rPr>
          <w:spacing w:val="-6"/>
        </w:rPr>
        <w:t> </w:t>
      </w:r>
      <w:r>
        <w:rPr/>
        <w:t>be</w:t>
      </w:r>
      <w:r>
        <w:rPr>
          <w:spacing w:val="-7"/>
        </w:rPr>
        <w:t> </w:t>
      </w:r>
      <w:r>
        <w:rPr/>
        <w:t>managed</w:t>
      </w:r>
      <w:r>
        <w:rPr>
          <w:spacing w:val="-7"/>
        </w:rPr>
        <w:t> </w:t>
      </w:r>
      <w:r>
        <w:rPr/>
        <w:t>to</w:t>
      </w:r>
      <w:r>
        <w:rPr>
          <w:spacing w:val="-7"/>
        </w:rPr>
        <w:t> </w:t>
      </w:r>
      <w:r>
        <w:rPr/>
        <w:t>enhance or maintain rare species occurrences on the Forest.</w:t>
      </w:r>
    </w:p>
    <w:p>
      <w:pPr>
        <w:spacing w:before="234"/>
        <w:ind w:left="359" w:right="0" w:firstLine="0"/>
        <w:jc w:val="left"/>
        <w:rPr>
          <w:rFonts w:ascii="Arial"/>
          <w:i/>
          <w:sz w:val="22"/>
        </w:rPr>
      </w:pPr>
      <w:bookmarkStart w:name="FW-STD-VEG-03. Timber Production" w:id="182"/>
      <w:bookmarkEnd w:id="182"/>
      <w:r>
        <w:rPr/>
      </w:r>
      <w:r>
        <w:rPr>
          <w:rFonts w:ascii="Arial"/>
          <w:i/>
          <w:sz w:val="22"/>
        </w:rPr>
        <w:t>FW-STD-VEG-03.</w:t>
      </w:r>
      <w:r>
        <w:rPr>
          <w:rFonts w:ascii="Arial"/>
          <w:i/>
          <w:spacing w:val="-8"/>
          <w:sz w:val="22"/>
        </w:rPr>
        <w:t> </w:t>
      </w:r>
      <w:r>
        <w:rPr>
          <w:rFonts w:ascii="Arial"/>
          <w:i/>
          <w:sz w:val="22"/>
        </w:rPr>
        <w:t>Timber</w:t>
      </w:r>
      <w:r>
        <w:rPr>
          <w:rFonts w:ascii="Arial"/>
          <w:i/>
          <w:spacing w:val="-8"/>
          <w:sz w:val="22"/>
        </w:rPr>
        <w:t> </w:t>
      </w:r>
      <w:r>
        <w:rPr>
          <w:rFonts w:ascii="Arial"/>
          <w:i/>
          <w:spacing w:val="-2"/>
          <w:sz w:val="22"/>
        </w:rPr>
        <w:t>Production</w:t>
      </w:r>
    </w:p>
    <w:p>
      <w:pPr>
        <w:pStyle w:val="BodyText"/>
        <w:spacing w:line="232" w:lineRule="auto" w:before="65"/>
        <w:ind w:left="359" w:right="1621"/>
      </w:pPr>
      <w:r>
        <w:rPr/>
        <w:t>Regulated timber harvest activities shall occur only on those lands classified as suitable for timber</w:t>
      </w:r>
      <w:r>
        <w:rPr>
          <w:spacing w:val="-6"/>
        </w:rPr>
        <w:t> </w:t>
      </w:r>
      <w:r>
        <w:rPr/>
        <w:t>production</w:t>
      </w:r>
      <w:r>
        <w:rPr>
          <w:spacing w:val="-6"/>
        </w:rPr>
        <w:t> </w:t>
      </w:r>
      <w:r>
        <w:rPr/>
        <w:t>(see</w:t>
      </w:r>
      <w:r>
        <w:rPr>
          <w:spacing w:val="-3"/>
        </w:rPr>
        <w:t> </w:t>
      </w:r>
      <w:r>
        <w:rPr/>
        <w:t>suitability</w:t>
      </w:r>
      <w:r>
        <w:rPr>
          <w:spacing w:val="-3"/>
        </w:rPr>
        <w:t> </w:t>
      </w:r>
      <w:r>
        <w:rPr/>
        <w:t>tables</w:t>
      </w:r>
      <w:r>
        <w:rPr>
          <w:spacing w:val="-4"/>
        </w:rPr>
        <w:t> </w:t>
      </w:r>
      <w:r>
        <w:rPr/>
        <w:t>in</w:t>
      </w:r>
      <w:r>
        <w:rPr>
          <w:spacing w:val="-5"/>
        </w:rPr>
        <w:t> </w:t>
      </w:r>
      <w:r>
        <w:rPr/>
        <w:t>chapter</w:t>
      </w:r>
      <w:r>
        <w:rPr>
          <w:spacing w:val="-6"/>
        </w:rPr>
        <w:t> </w:t>
      </w:r>
      <w:r>
        <w:rPr/>
        <w:t>3).</w:t>
      </w:r>
      <w:r>
        <w:rPr>
          <w:spacing w:val="-6"/>
        </w:rPr>
        <w:t> </w:t>
      </w:r>
      <w:r>
        <w:rPr/>
        <w:t>Timber</w:t>
      </w:r>
      <w:r>
        <w:rPr>
          <w:spacing w:val="-6"/>
        </w:rPr>
        <w:t> </w:t>
      </w:r>
      <w:r>
        <w:rPr/>
        <w:t>harvest</w:t>
      </w:r>
      <w:r>
        <w:rPr>
          <w:spacing w:val="-6"/>
        </w:rPr>
        <w:t> </w:t>
      </w:r>
      <w:r>
        <w:rPr/>
        <w:t>on</w:t>
      </w:r>
      <w:r>
        <w:rPr>
          <w:spacing w:val="-5"/>
        </w:rPr>
        <w:t> </w:t>
      </w:r>
      <w:r>
        <w:rPr/>
        <w:t>lands</w:t>
      </w:r>
      <w:r>
        <w:rPr>
          <w:spacing w:val="-4"/>
        </w:rPr>
        <w:t> </w:t>
      </w:r>
      <w:r>
        <w:rPr/>
        <w:t>not</w:t>
      </w:r>
      <w:r>
        <w:rPr>
          <w:spacing w:val="-3"/>
        </w:rPr>
        <w:t> </w:t>
      </w:r>
      <w:r>
        <w:rPr/>
        <w:t>suitable</w:t>
      </w:r>
      <w:r>
        <w:rPr>
          <w:spacing w:val="-3"/>
        </w:rPr>
        <w:t> </w:t>
      </w:r>
      <w:r>
        <w:rPr/>
        <w:t>for timber production shall occur only to meet multiple-use purposes other than timber </w:t>
      </w:r>
      <w:r>
        <w:rPr>
          <w:spacing w:val="-2"/>
        </w:rPr>
        <w:t>production.</w:t>
      </w:r>
    </w:p>
    <w:p>
      <w:pPr>
        <w:spacing w:before="234"/>
        <w:ind w:left="359" w:right="0" w:firstLine="0"/>
        <w:jc w:val="left"/>
        <w:rPr>
          <w:rFonts w:ascii="Arial"/>
          <w:i/>
          <w:sz w:val="22"/>
        </w:rPr>
      </w:pPr>
      <w:bookmarkStart w:name="FW-STD-VEG-04. Even-Aged Harvest Opening" w:id="183"/>
      <w:bookmarkEnd w:id="183"/>
      <w:r>
        <w:rPr/>
      </w:r>
      <w:r>
        <w:rPr>
          <w:rFonts w:ascii="Arial"/>
          <w:i/>
          <w:sz w:val="22"/>
        </w:rPr>
        <w:t>FW-STD-VEG-04.</w:t>
      </w:r>
      <w:r>
        <w:rPr>
          <w:rFonts w:ascii="Arial"/>
          <w:i/>
          <w:spacing w:val="-9"/>
          <w:sz w:val="22"/>
        </w:rPr>
        <w:t> </w:t>
      </w:r>
      <w:r>
        <w:rPr>
          <w:rFonts w:ascii="Arial"/>
          <w:i/>
          <w:sz w:val="22"/>
        </w:rPr>
        <w:t>Even-Aged</w:t>
      </w:r>
      <w:r>
        <w:rPr>
          <w:rFonts w:ascii="Arial"/>
          <w:i/>
          <w:spacing w:val="-9"/>
          <w:sz w:val="22"/>
        </w:rPr>
        <w:t> </w:t>
      </w:r>
      <w:r>
        <w:rPr>
          <w:rFonts w:ascii="Arial"/>
          <w:i/>
          <w:sz w:val="22"/>
        </w:rPr>
        <w:t>Harvest</w:t>
      </w:r>
      <w:r>
        <w:rPr>
          <w:rFonts w:ascii="Arial"/>
          <w:i/>
          <w:spacing w:val="-10"/>
          <w:sz w:val="22"/>
        </w:rPr>
        <w:t> </w:t>
      </w:r>
      <w:r>
        <w:rPr>
          <w:rFonts w:ascii="Arial"/>
          <w:i/>
          <w:spacing w:val="-2"/>
          <w:sz w:val="22"/>
        </w:rPr>
        <w:t>Openings</w:t>
      </w:r>
    </w:p>
    <w:p>
      <w:pPr>
        <w:pStyle w:val="BodyText"/>
        <w:spacing w:line="232" w:lineRule="auto" w:before="65"/>
        <w:ind w:left="359" w:right="1787"/>
        <w:jc w:val="both"/>
      </w:pPr>
      <w:r>
        <w:rPr/>
        <w:t>If individual harvest openings created by even-aged silvicultural practices are proposed that would exceed 40 acres, then NFMA requirements regarding public notification and approval shall</w:t>
      </w:r>
      <w:r>
        <w:rPr>
          <w:spacing w:val="-1"/>
        </w:rPr>
        <w:t> </w:t>
      </w:r>
      <w:r>
        <w:rPr/>
        <w:t>be followed.</w:t>
      </w:r>
      <w:r>
        <w:rPr>
          <w:spacing w:val="-1"/>
        </w:rPr>
        <w:t> </w:t>
      </w:r>
      <w:r>
        <w:rPr/>
        <w:t>These</w:t>
      </w:r>
      <w:r>
        <w:rPr>
          <w:spacing w:val="-2"/>
        </w:rPr>
        <w:t> </w:t>
      </w:r>
      <w:r>
        <w:rPr/>
        <w:t>opening</w:t>
      </w:r>
      <w:r>
        <w:rPr>
          <w:spacing w:val="-2"/>
        </w:rPr>
        <w:t> </w:t>
      </w:r>
      <w:r>
        <w:rPr/>
        <w:t>size limits</w:t>
      </w:r>
      <w:r>
        <w:rPr>
          <w:spacing w:val="-1"/>
        </w:rPr>
        <w:t> </w:t>
      </w:r>
      <w:r>
        <w:rPr/>
        <w:t>shall</w:t>
      </w:r>
      <w:r>
        <w:rPr>
          <w:spacing w:val="-1"/>
        </w:rPr>
        <w:t> </w:t>
      </w:r>
      <w:r>
        <w:rPr/>
        <w:t>not</w:t>
      </w:r>
      <w:r>
        <w:rPr>
          <w:spacing w:val="-3"/>
        </w:rPr>
        <w:t> </w:t>
      </w:r>
      <w:r>
        <w:rPr/>
        <w:t>apply to</w:t>
      </w:r>
      <w:r>
        <w:rPr>
          <w:spacing w:val="-2"/>
        </w:rPr>
        <w:t> </w:t>
      </w:r>
      <w:r>
        <w:rPr/>
        <w:t>the size</w:t>
      </w:r>
      <w:r>
        <w:rPr>
          <w:spacing w:val="-3"/>
        </w:rPr>
        <w:t> </w:t>
      </w:r>
      <w:r>
        <w:rPr/>
        <w:t>of</w:t>
      </w:r>
      <w:r>
        <w:rPr>
          <w:spacing w:val="-1"/>
        </w:rPr>
        <w:t> </w:t>
      </w:r>
      <w:r>
        <w:rPr/>
        <w:t>areas</w:t>
      </w:r>
      <w:r>
        <w:rPr>
          <w:spacing w:val="-1"/>
        </w:rPr>
        <w:t> </w:t>
      </w:r>
      <w:r>
        <w:rPr/>
        <w:t>harvested</w:t>
      </w:r>
      <w:r>
        <w:rPr>
          <w:spacing w:val="-2"/>
        </w:rPr>
        <w:t> </w:t>
      </w:r>
      <w:r>
        <w:rPr/>
        <w:t>as</w:t>
      </w:r>
      <w:r>
        <w:rPr>
          <w:spacing w:val="-3"/>
        </w:rPr>
        <w:t> </w:t>
      </w:r>
      <w:r>
        <w:rPr/>
        <w:t>a result</w:t>
      </w:r>
      <w:r>
        <w:rPr>
          <w:spacing w:val="-10"/>
        </w:rPr>
        <w:t> </w:t>
      </w:r>
      <w:r>
        <w:rPr/>
        <w:t>of</w:t>
      </w:r>
      <w:r>
        <w:rPr>
          <w:spacing w:val="-7"/>
        </w:rPr>
        <w:t> </w:t>
      </w:r>
      <w:r>
        <w:rPr/>
        <w:t>natural</w:t>
      </w:r>
      <w:r>
        <w:rPr>
          <w:spacing w:val="-6"/>
        </w:rPr>
        <w:t> </w:t>
      </w:r>
      <w:r>
        <w:rPr/>
        <w:t>catastrophic</w:t>
      </w:r>
      <w:r>
        <w:rPr>
          <w:spacing w:val="-6"/>
        </w:rPr>
        <w:t> </w:t>
      </w:r>
      <w:r>
        <w:rPr/>
        <w:t>conditions</w:t>
      </w:r>
      <w:r>
        <w:rPr>
          <w:spacing w:val="-6"/>
        </w:rPr>
        <w:t> </w:t>
      </w:r>
      <w:r>
        <w:rPr/>
        <w:t>such</w:t>
      </w:r>
      <w:r>
        <w:rPr>
          <w:spacing w:val="-7"/>
        </w:rPr>
        <w:t> </w:t>
      </w:r>
      <w:r>
        <w:rPr/>
        <w:t>as</w:t>
      </w:r>
      <w:r>
        <w:rPr>
          <w:spacing w:val="-8"/>
        </w:rPr>
        <w:t> </w:t>
      </w:r>
      <w:r>
        <w:rPr/>
        <w:t>fire,</w:t>
      </w:r>
      <w:r>
        <w:rPr>
          <w:spacing w:val="-7"/>
        </w:rPr>
        <w:t> </w:t>
      </w:r>
      <w:r>
        <w:rPr/>
        <w:t>insect</w:t>
      </w:r>
      <w:r>
        <w:rPr>
          <w:spacing w:val="-5"/>
        </w:rPr>
        <w:t> </w:t>
      </w:r>
      <w:r>
        <w:rPr/>
        <w:t>and</w:t>
      </w:r>
      <w:r>
        <w:rPr>
          <w:spacing w:val="-7"/>
        </w:rPr>
        <w:t> </w:t>
      </w:r>
      <w:r>
        <w:rPr/>
        <w:t>disease</w:t>
      </w:r>
      <w:r>
        <w:rPr>
          <w:spacing w:val="-8"/>
        </w:rPr>
        <w:t> </w:t>
      </w:r>
      <w:r>
        <w:rPr/>
        <w:t>attack,</w:t>
      </w:r>
      <w:r>
        <w:rPr>
          <w:spacing w:val="-8"/>
        </w:rPr>
        <w:t> </w:t>
      </w:r>
      <w:r>
        <w:rPr/>
        <w:t>or</w:t>
      </w:r>
      <w:r>
        <w:rPr>
          <w:spacing w:val="-10"/>
        </w:rPr>
        <w:t> </w:t>
      </w:r>
      <w:r>
        <w:rPr>
          <w:spacing w:val="-2"/>
        </w:rPr>
        <w:t>windstorm.</w:t>
      </w:r>
    </w:p>
    <w:p>
      <w:pPr>
        <w:spacing w:before="231"/>
        <w:ind w:left="359" w:right="0" w:firstLine="0"/>
        <w:jc w:val="left"/>
        <w:rPr>
          <w:rFonts w:ascii="Arial"/>
          <w:i/>
          <w:sz w:val="22"/>
        </w:rPr>
      </w:pPr>
      <w:bookmarkStart w:name="FW-STD-VEG-05. Restocking" w:id="184"/>
      <w:bookmarkEnd w:id="184"/>
      <w:r>
        <w:rPr/>
      </w:r>
      <w:r>
        <w:rPr>
          <w:rFonts w:ascii="Arial"/>
          <w:i/>
          <w:sz w:val="22"/>
        </w:rPr>
        <w:t>FW-STD-VEG-05.</w:t>
      </w:r>
      <w:r>
        <w:rPr>
          <w:rFonts w:ascii="Arial"/>
          <w:i/>
          <w:spacing w:val="-11"/>
          <w:sz w:val="22"/>
        </w:rPr>
        <w:t> </w:t>
      </w:r>
      <w:r>
        <w:rPr>
          <w:rFonts w:ascii="Arial"/>
          <w:i/>
          <w:spacing w:val="-2"/>
          <w:sz w:val="22"/>
        </w:rPr>
        <w:t>Restocking</w:t>
      </w:r>
    </w:p>
    <w:p>
      <w:pPr>
        <w:pStyle w:val="BodyText"/>
        <w:spacing w:line="232" w:lineRule="auto" w:before="67"/>
        <w:ind w:left="359" w:right="1445"/>
      </w:pPr>
      <w:r>
        <w:rPr/>
        <w:t>Ensure that timber will be harvested from National Forest System lands only where there is assurance</w:t>
      </w:r>
      <w:r>
        <w:rPr>
          <w:spacing w:val="-6"/>
        </w:rPr>
        <w:t> </w:t>
      </w:r>
      <w:r>
        <w:rPr/>
        <w:t>that</w:t>
      </w:r>
      <w:r>
        <w:rPr>
          <w:spacing w:val="-8"/>
        </w:rPr>
        <w:t> </w:t>
      </w:r>
      <w:r>
        <w:rPr/>
        <w:t>such</w:t>
      </w:r>
      <w:r>
        <w:rPr>
          <w:spacing w:val="-7"/>
        </w:rPr>
        <w:t> </w:t>
      </w:r>
      <w:r>
        <w:rPr/>
        <w:t>lands</w:t>
      </w:r>
      <w:r>
        <w:rPr>
          <w:spacing w:val="-7"/>
        </w:rPr>
        <w:t> </w:t>
      </w:r>
      <w:r>
        <w:rPr/>
        <w:t>can</w:t>
      </w:r>
      <w:r>
        <w:rPr>
          <w:spacing w:val="-7"/>
        </w:rPr>
        <w:t> </w:t>
      </w:r>
      <w:r>
        <w:rPr/>
        <w:t>be</w:t>
      </w:r>
      <w:r>
        <w:rPr>
          <w:spacing w:val="-6"/>
        </w:rPr>
        <w:t> </w:t>
      </w:r>
      <w:r>
        <w:rPr/>
        <w:t>adequately</w:t>
      </w:r>
      <w:r>
        <w:rPr>
          <w:spacing w:val="-6"/>
        </w:rPr>
        <w:t> </w:t>
      </w:r>
      <w:r>
        <w:rPr/>
        <w:t>restocked</w:t>
      </w:r>
      <w:r>
        <w:rPr>
          <w:spacing w:val="-7"/>
        </w:rPr>
        <w:t> </w:t>
      </w:r>
      <w:r>
        <w:rPr/>
        <w:t>within</w:t>
      </w:r>
      <w:r>
        <w:rPr>
          <w:spacing w:val="-7"/>
        </w:rPr>
        <w:t> </w:t>
      </w:r>
      <w:r>
        <w:rPr/>
        <w:t>5</w:t>
      </w:r>
      <w:r>
        <w:rPr>
          <w:spacing w:val="-7"/>
        </w:rPr>
        <w:t> </w:t>
      </w:r>
      <w:r>
        <w:rPr/>
        <w:t>years</w:t>
      </w:r>
      <w:r>
        <w:rPr>
          <w:spacing w:val="-7"/>
        </w:rPr>
        <w:t> </w:t>
      </w:r>
      <w:r>
        <w:rPr/>
        <w:t>after</w:t>
      </w:r>
      <w:r>
        <w:rPr>
          <w:spacing w:val="-7"/>
        </w:rPr>
        <w:t> </w:t>
      </w:r>
      <w:r>
        <w:rPr/>
        <w:t>harvest.</w:t>
      </w:r>
      <w:r>
        <w:rPr>
          <w:spacing w:val="-7"/>
        </w:rPr>
        <w:t> </w:t>
      </w:r>
      <w:r>
        <w:rPr/>
        <w:t>Restocking level is prescribed in a site-specific silviculture prescription for a project treatment unit and is determined to be adequate depending on the objectives and desired conditions for the Plan </w:t>
      </w:r>
      <w:r>
        <w:rPr>
          <w:spacing w:val="-2"/>
        </w:rPr>
        <w:t>area.</w:t>
      </w:r>
    </w:p>
    <w:p>
      <w:pPr>
        <w:spacing w:before="233"/>
        <w:ind w:left="359" w:right="0" w:firstLine="0"/>
        <w:jc w:val="left"/>
        <w:rPr>
          <w:rFonts w:ascii="Arial"/>
          <w:i/>
          <w:sz w:val="22"/>
        </w:rPr>
      </w:pPr>
      <w:bookmarkStart w:name="FW-STD-VEG-06. Even-aged Management" w:id="185"/>
      <w:bookmarkEnd w:id="185"/>
      <w:r>
        <w:rPr/>
      </w:r>
      <w:r>
        <w:rPr>
          <w:rFonts w:ascii="Arial"/>
          <w:i/>
          <w:sz w:val="22"/>
        </w:rPr>
        <w:t>FW-STD-VEG-06.</w:t>
      </w:r>
      <w:r>
        <w:rPr>
          <w:rFonts w:ascii="Arial"/>
          <w:i/>
          <w:spacing w:val="-10"/>
          <w:sz w:val="22"/>
        </w:rPr>
        <w:t> </w:t>
      </w:r>
      <w:r>
        <w:rPr>
          <w:rFonts w:ascii="Arial"/>
          <w:i/>
          <w:sz w:val="22"/>
        </w:rPr>
        <w:t>Even-aged</w:t>
      </w:r>
      <w:r>
        <w:rPr>
          <w:rFonts w:ascii="Arial"/>
          <w:i/>
          <w:spacing w:val="-11"/>
          <w:sz w:val="22"/>
        </w:rPr>
        <w:t> </w:t>
      </w:r>
      <w:r>
        <w:rPr>
          <w:rFonts w:ascii="Arial"/>
          <w:i/>
          <w:spacing w:val="-2"/>
          <w:sz w:val="22"/>
        </w:rPr>
        <w:t>Management</w:t>
      </w:r>
    </w:p>
    <w:p>
      <w:pPr>
        <w:pStyle w:val="BodyText"/>
        <w:spacing w:line="232" w:lineRule="auto" w:before="65"/>
        <w:ind w:left="359" w:right="1445"/>
      </w:pPr>
      <w:r>
        <w:rPr/>
        <w:t>Even-aged stands shall generally have reached or surpassed culmination of mean annual increment</w:t>
      </w:r>
      <w:r>
        <w:rPr>
          <w:spacing w:val="-4"/>
        </w:rPr>
        <w:t> </w:t>
      </w:r>
      <w:r>
        <w:rPr/>
        <w:t>prior</w:t>
      </w:r>
      <w:r>
        <w:rPr>
          <w:spacing w:val="-5"/>
        </w:rPr>
        <w:t> </w:t>
      </w:r>
      <w:r>
        <w:rPr/>
        <w:t>to</w:t>
      </w:r>
      <w:r>
        <w:rPr>
          <w:spacing w:val="-4"/>
        </w:rPr>
        <w:t> </w:t>
      </w:r>
      <w:r>
        <w:rPr/>
        <w:t>regeneration</w:t>
      </w:r>
      <w:r>
        <w:rPr>
          <w:spacing w:val="-6"/>
        </w:rPr>
        <w:t> </w:t>
      </w:r>
      <w:r>
        <w:rPr/>
        <w:t>harvest.</w:t>
      </w:r>
      <w:r>
        <w:rPr>
          <w:spacing w:val="-6"/>
        </w:rPr>
        <w:t> </w:t>
      </w:r>
      <w:r>
        <w:rPr/>
        <w:t>This</w:t>
      </w:r>
      <w:r>
        <w:rPr>
          <w:spacing w:val="-5"/>
        </w:rPr>
        <w:t> </w:t>
      </w:r>
      <w:r>
        <w:rPr/>
        <w:t>shall</w:t>
      </w:r>
      <w:r>
        <w:rPr>
          <w:spacing w:val="-5"/>
        </w:rPr>
        <w:t> </w:t>
      </w:r>
      <w:r>
        <w:rPr/>
        <w:t>not</w:t>
      </w:r>
      <w:r>
        <w:rPr>
          <w:spacing w:val="-6"/>
        </w:rPr>
        <w:t> </w:t>
      </w:r>
      <w:r>
        <w:rPr/>
        <w:t>preclude</w:t>
      </w:r>
      <w:r>
        <w:rPr>
          <w:spacing w:val="-6"/>
        </w:rPr>
        <w:t> </w:t>
      </w:r>
      <w:r>
        <w:rPr/>
        <w:t>the</w:t>
      </w:r>
      <w:r>
        <w:rPr>
          <w:spacing w:val="-4"/>
        </w:rPr>
        <w:t> </w:t>
      </w:r>
      <w:r>
        <w:rPr/>
        <w:t>use</w:t>
      </w:r>
      <w:r>
        <w:rPr>
          <w:spacing w:val="-6"/>
        </w:rPr>
        <w:t> </w:t>
      </w:r>
      <w:r>
        <w:rPr/>
        <w:t>of</w:t>
      </w:r>
      <w:r>
        <w:rPr>
          <w:spacing w:val="-6"/>
        </w:rPr>
        <w:t> </w:t>
      </w:r>
      <w:r>
        <w:rPr/>
        <w:t>sound</w:t>
      </w:r>
      <w:r>
        <w:rPr>
          <w:spacing w:val="-7"/>
        </w:rPr>
        <w:t> </w:t>
      </w:r>
      <w:r>
        <w:rPr/>
        <w:t>silvicultural practices, such as thinning or other stand improvement measures, or salvage or sanitation harvesting of timber stands that are substantially damaged by fire, windthrow or other catastrophe, or that are in imminent danger from insect or disease attack.</w:t>
      </w:r>
    </w:p>
    <w:p>
      <w:pPr>
        <w:spacing w:before="233"/>
        <w:ind w:left="359" w:right="0" w:firstLine="0"/>
        <w:jc w:val="left"/>
        <w:rPr>
          <w:rFonts w:ascii="Arial"/>
          <w:i/>
          <w:sz w:val="22"/>
        </w:rPr>
      </w:pPr>
      <w:bookmarkStart w:name="FW-STD-VEG-07. Even-aged Management" w:id="186"/>
      <w:bookmarkEnd w:id="186"/>
      <w:r>
        <w:rPr/>
      </w:r>
      <w:r>
        <w:rPr>
          <w:rFonts w:ascii="Arial"/>
          <w:i/>
          <w:sz w:val="22"/>
        </w:rPr>
        <w:t>FW-STD-VEG-07.</w:t>
      </w:r>
      <w:r>
        <w:rPr>
          <w:rFonts w:ascii="Arial"/>
          <w:i/>
          <w:spacing w:val="-10"/>
          <w:sz w:val="22"/>
        </w:rPr>
        <w:t> </w:t>
      </w:r>
      <w:r>
        <w:rPr>
          <w:rFonts w:ascii="Arial"/>
          <w:i/>
          <w:sz w:val="22"/>
        </w:rPr>
        <w:t>Even-aged</w:t>
      </w:r>
      <w:r>
        <w:rPr>
          <w:rFonts w:ascii="Arial"/>
          <w:i/>
          <w:spacing w:val="-11"/>
          <w:sz w:val="22"/>
        </w:rPr>
        <w:t> </w:t>
      </w:r>
      <w:r>
        <w:rPr>
          <w:rFonts w:ascii="Arial"/>
          <w:i/>
          <w:spacing w:val="-2"/>
          <w:sz w:val="22"/>
        </w:rPr>
        <w:t>Management</w:t>
      </w:r>
    </w:p>
    <w:p>
      <w:pPr>
        <w:pStyle w:val="BodyText"/>
        <w:spacing w:line="232" w:lineRule="auto" w:before="64"/>
        <w:ind w:left="359" w:right="1621"/>
      </w:pPr>
      <w:r>
        <w:rPr/>
        <w:t>Ensure that clearcutting, seed tree cutting, shelterwood cutting, and other cuts designed to regenerate an</w:t>
      </w:r>
      <w:r>
        <w:rPr>
          <w:spacing w:val="-1"/>
        </w:rPr>
        <w:t> </w:t>
      </w:r>
      <w:r>
        <w:rPr/>
        <w:t>even-aged stand of timber will be used</w:t>
      </w:r>
      <w:r>
        <w:rPr>
          <w:spacing w:val="-1"/>
        </w:rPr>
        <w:t> </w:t>
      </w:r>
      <w:r>
        <w:rPr/>
        <w:t>as a cutting</w:t>
      </w:r>
      <w:r>
        <w:rPr>
          <w:spacing w:val="-1"/>
        </w:rPr>
        <w:t> </w:t>
      </w:r>
      <w:r>
        <w:rPr/>
        <w:t>method</w:t>
      </w:r>
      <w:r>
        <w:rPr>
          <w:spacing w:val="-1"/>
        </w:rPr>
        <w:t> </w:t>
      </w:r>
      <w:r>
        <w:rPr/>
        <w:t>on National Forest System</w:t>
      </w:r>
      <w:r>
        <w:rPr>
          <w:spacing w:val="-3"/>
        </w:rPr>
        <w:t> </w:t>
      </w:r>
      <w:r>
        <w:rPr/>
        <w:t>lands</w:t>
      </w:r>
      <w:r>
        <w:rPr>
          <w:spacing w:val="-6"/>
        </w:rPr>
        <w:t> </w:t>
      </w:r>
      <w:r>
        <w:rPr/>
        <w:t>only</w:t>
      </w:r>
      <w:r>
        <w:rPr>
          <w:spacing w:val="-5"/>
        </w:rPr>
        <w:t> </w:t>
      </w:r>
      <w:r>
        <w:rPr/>
        <w:t>where</w:t>
      </w:r>
      <w:r>
        <w:rPr>
          <w:spacing w:val="-3"/>
        </w:rPr>
        <w:t> </w:t>
      </w:r>
      <w:r>
        <w:rPr/>
        <w:t>for</w:t>
      </w:r>
      <w:r>
        <w:rPr>
          <w:spacing w:val="-4"/>
        </w:rPr>
        <w:t> </w:t>
      </w:r>
      <w:r>
        <w:rPr/>
        <w:t>clearcutting,</w:t>
      </w:r>
      <w:r>
        <w:rPr>
          <w:spacing w:val="-4"/>
        </w:rPr>
        <w:t> </w:t>
      </w:r>
      <w:r>
        <w:rPr/>
        <w:t>it</w:t>
      </w:r>
      <w:r>
        <w:rPr>
          <w:spacing w:val="-3"/>
        </w:rPr>
        <w:t> </w:t>
      </w:r>
      <w:r>
        <w:rPr/>
        <w:t>is</w:t>
      </w:r>
      <w:r>
        <w:rPr>
          <w:spacing w:val="-4"/>
        </w:rPr>
        <w:t> </w:t>
      </w:r>
      <w:r>
        <w:rPr/>
        <w:t>determined</w:t>
      </w:r>
      <w:r>
        <w:rPr>
          <w:spacing w:val="-5"/>
        </w:rPr>
        <w:t> </w:t>
      </w:r>
      <w:r>
        <w:rPr/>
        <w:t>to</w:t>
      </w:r>
      <w:r>
        <w:rPr>
          <w:spacing w:val="-3"/>
        </w:rPr>
        <w:t> </w:t>
      </w:r>
      <w:r>
        <w:rPr/>
        <w:t>be</w:t>
      </w:r>
      <w:r>
        <w:rPr>
          <w:spacing w:val="-3"/>
        </w:rPr>
        <w:t> </w:t>
      </w:r>
      <w:r>
        <w:rPr/>
        <w:t>the</w:t>
      </w:r>
      <w:r>
        <w:rPr>
          <w:spacing w:val="-6"/>
        </w:rPr>
        <w:t> </w:t>
      </w:r>
      <w:r>
        <w:rPr/>
        <w:t>optimum</w:t>
      </w:r>
      <w:r>
        <w:rPr>
          <w:spacing w:val="-5"/>
        </w:rPr>
        <w:t> </w:t>
      </w:r>
      <w:r>
        <w:rPr/>
        <w:t>method,</w:t>
      </w:r>
      <w:r>
        <w:rPr>
          <w:spacing w:val="-4"/>
        </w:rPr>
        <w:t> </w:t>
      </w:r>
      <w:r>
        <w:rPr/>
        <w:t>and</w:t>
      </w:r>
      <w:r>
        <w:rPr>
          <w:spacing w:val="-5"/>
        </w:rPr>
        <w:t> </w:t>
      </w:r>
      <w:r>
        <w:rPr/>
        <w:t>for other</w:t>
      </w:r>
      <w:r>
        <w:rPr>
          <w:spacing w:val="-6"/>
        </w:rPr>
        <w:t> </w:t>
      </w:r>
      <w:r>
        <w:rPr/>
        <w:t>such</w:t>
      </w:r>
      <w:r>
        <w:rPr>
          <w:spacing w:val="-5"/>
        </w:rPr>
        <w:t> </w:t>
      </w:r>
      <w:r>
        <w:rPr/>
        <w:t>cuts</w:t>
      </w:r>
      <w:r>
        <w:rPr>
          <w:spacing w:val="-6"/>
        </w:rPr>
        <w:t> </w:t>
      </w:r>
      <w:r>
        <w:rPr/>
        <w:t>it</w:t>
      </w:r>
      <w:r>
        <w:rPr>
          <w:spacing w:val="-3"/>
        </w:rPr>
        <w:t> </w:t>
      </w:r>
      <w:r>
        <w:rPr/>
        <w:t>is</w:t>
      </w:r>
      <w:r>
        <w:rPr>
          <w:spacing w:val="-6"/>
        </w:rPr>
        <w:t> </w:t>
      </w:r>
      <w:r>
        <w:rPr/>
        <w:t>determined</w:t>
      </w:r>
      <w:r>
        <w:rPr>
          <w:spacing w:val="-5"/>
        </w:rPr>
        <w:t> </w:t>
      </w:r>
      <w:r>
        <w:rPr/>
        <w:t>to</w:t>
      </w:r>
      <w:r>
        <w:rPr>
          <w:spacing w:val="-3"/>
        </w:rPr>
        <w:t> </w:t>
      </w:r>
      <w:r>
        <w:rPr/>
        <w:t>be</w:t>
      </w:r>
      <w:r>
        <w:rPr>
          <w:spacing w:val="-3"/>
        </w:rPr>
        <w:t> </w:t>
      </w:r>
      <w:r>
        <w:rPr/>
        <w:t>appropriate</w:t>
      </w:r>
      <w:r>
        <w:rPr>
          <w:spacing w:val="-6"/>
        </w:rPr>
        <w:t> </w:t>
      </w:r>
      <w:r>
        <w:rPr/>
        <w:t>to</w:t>
      </w:r>
      <w:r>
        <w:rPr>
          <w:spacing w:val="-7"/>
        </w:rPr>
        <w:t> </w:t>
      </w:r>
      <w:r>
        <w:rPr/>
        <w:t>meet</w:t>
      </w:r>
      <w:r>
        <w:rPr>
          <w:spacing w:val="-6"/>
        </w:rPr>
        <w:t> </w:t>
      </w:r>
      <w:r>
        <w:rPr/>
        <w:t>the</w:t>
      </w:r>
      <w:r>
        <w:rPr>
          <w:spacing w:val="-6"/>
        </w:rPr>
        <w:t> </w:t>
      </w:r>
      <w:r>
        <w:rPr/>
        <w:t>objectives</w:t>
      </w:r>
      <w:r>
        <w:rPr>
          <w:spacing w:val="-4"/>
        </w:rPr>
        <w:t> </w:t>
      </w:r>
      <w:r>
        <w:rPr/>
        <w:t>and</w:t>
      </w:r>
      <w:r>
        <w:rPr>
          <w:spacing w:val="-5"/>
        </w:rPr>
        <w:t> </w:t>
      </w:r>
      <w:r>
        <w:rPr/>
        <w:t>requirements</w:t>
      </w:r>
      <w:r>
        <w:rPr>
          <w:spacing w:val="-4"/>
        </w:rPr>
        <w:t> </w:t>
      </w:r>
      <w:r>
        <w:rPr/>
        <w:t>of the Forest Plan.</w:t>
      </w:r>
    </w:p>
    <w:p>
      <w:pPr>
        <w:spacing w:before="233"/>
        <w:ind w:left="359" w:right="0" w:firstLine="0"/>
        <w:jc w:val="left"/>
        <w:rPr>
          <w:rFonts w:ascii="Arial"/>
          <w:i/>
          <w:sz w:val="22"/>
        </w:rPr>
      </w:pPr>
      <w:bookmarkStart w:name="FW-STD-VEG-08. Harvest Systems" w:id="187"/>
      <w:bookmarkEnd w:id="187"/>
      <w:r>
        <w:rPr/>
      </w:r>
      <w:r>
        <w:rPr>
          <w:rFonts w:ascii="Arial"/>
          <w:i/>
          <w:sz w:val="22"/>
        </w:rPr>
        <w:t>FW-STD-VEG-08.</w:t>
      </w:r>
      <w:r>
        <w:rPr>
          <w:rFonts w:ascii="Arial"/>
          <w:i/>
          <w:spacing w:val="-8"/>
          <w:sz w:val="22"/>
        </w:rPr>
        <w:t> </w:t>
      </w:r>
      <w:r>
        <w:rPr>
          <w:rFonts w:ascii="Arial"/>
          <w:i/>
          <w:sz w:val="22"/>
        </w:rPr>
        <w:t>Harvest</w:t>
      </w:r>
      <w:r>
        <w:rPr>
          <w:rFonts w:ascii="Arial"/>
          <w:i/>
          <w:spacing w:val="-8"/>
          <w:sz w:val="22"/>
        </w:rPr>
        <w:t> </w:t>
      </w:r>
      <w:r>
        <w:rPr>
          <w:rFonts w:ascii="Arial"/>
          <w:i/>
          <w:spacing w:val="-2"/>
          <w:sz w:val="22"/>
        </w:rPr>
        <w:t>Systems</w:t>
      </w:r>
    </w:p>
    <w:p>
      <w:pPr>
        <w:pStyle w:val="BodyText"/>
        <w:spacing w:line="232" w:lineRule="auto" w:before="65"/>
        <w:ind w:left="359" w:right="1073"/>
      </w:pPr>
      <w:r>
        <w:rPr/>
        <w:t>The</w:t>
      </w:r>
      <w:r>
        <w:rPr>
          <w:spacing w:val="-4"/>
        </w:rPr>
        <w:t> </w:t>
      </w:r>
      <w:r>
        <w:rPr/>
        <w:t>harvesting</w:t>
      </w:r>
      <w:r>
        <w:rPr>
          <w:spacing w:val="-6"/>
        </w:rPr>
        <w:t> </w:t>
      </w:r>
      <w:r>
        <w:rPr/>
        <w:t>system</w:t>
      </w:r>
      <w:r>
        <w:rPr>
          <w:spacing w:val="-4"/>
        </w:rPr>
        <w:t> </w:t>
      </w:r>
      <w:r>
        <w:rPr/>
        <w:t>to</w:t>
      </w:r>
      <w:r>
        <w:rPr>
          <w:spacing w:val="-4"/>
        </w:rPr>
        <w:t> </w:t>
      </w:r>
      <w:r>
        <w:rPr/>
        <w:t>be</w:t>
      </w:r>
      <w:r>
        <w:rPr>
          <w:spacing w:val="-4"/>
        </w:rPr>
        <w:t> </w:t>
      </w:r>
      <w:r>
        <w:rPr/>
        <w:t>used</w:t>
      </w:r>
      <w:r>
        <w:rPr>
          <w:spacing w:val="-6"/>
        </w:rPr>
        <w:t> </w:t>
      </w:r>
      <w:r>
        <w:rPr/>
        <w:t>shall</w:t>
      </w:r>
      <w:r>
        <w:rPr>
          <w:spacing w:val="-5"/>
        </w:rPr>
        <w:t> </w:t>
      </w:r>
      <w:r>
        <w:rPr/>
        <w:t>not</w:t>
      </w:r>
      <w:r>
        <w:rPr>
          <w:spacing w:val="-4"/>
        </w:rPr>
        <w:t> </w:t>
      </w:r>
      <w:r>
        <w:rPr/>
        <w:t>be</w:t>
      </w:r>
      <w:r>
        <w:rPr>
          <w:spacing w:val="-4"/>
        </w:rPr>
        <w:t> </w:t>
      </w:r>
      <w:r>
        <w:rPr/>
        <w:t>selected</w:t>
      </w:r>
      <w:r>
        <w:rPr>
          <w:spacing w:val="-6"/>
        </w:rPr>
        <w:t> </w:t>
      </w:r>
      <w:r>
        <w:rPr/>
        <w:t>primarily</w:t>
      </w:r>
      <w:r>
        <w:rPr>
          <w:spacing w:val="-6"/>
        </w:rPr>
        <w:t> </w:t>
      </w:r>
      <w:r>
        <w:rPr/>
        <w:t>because</w:t>
      </w:r>
      <w:r>
        <w:rPr>
          <w:spacing w:val="-4"/>
        </w:rPr>
        <w:t> </w:t>
      </w:r>
      <w:r>
        <w:rPr/>
        <w:t>it</w:t>
      </w:r>
      <w:r>
        <w:rPr>
          <w:spacing w:val="-4"/>
        </w:rPr>
        <w:t> </w:t>
      </w:r>
      <w:r>
        <w:rPr/>
        <w:t>will</w:t>
      </w:r>
      <w:r>
        <w:rPr>
          <w:spacing w:val="-8"/>
        </w:rPr>
        <w:t> </w:t>
      </w:r>
      <w:r>
        <w:rPr/>
        <w:t>give</w:t>
      </w:r>
      <w:r>
        <w:rPr>
          <w:spacing w:val="-4"/>
        </w:rPr>
        <w:t> </w:t>
      </w:r>
      <w:r>
        <w:rPr/>
        <w:t>the</w:t>
      </w:r>
      <w:r>
        <w:rPr>
          <w:spacing w:val="-4"/>
        </w:rPr>
        <w:t> </w:t>
      </w:r>
      <w:r>
        <w:rPr/>
        <w:t>greatest dollar return or the greatest unit output of timber.</w:t>
      </w:r>
    </w:p>
    <w:p>
      <w:pPr>
        <w:spacing w:before="234"/>
        <w:ind w:left="359" w:right="0" w:firstLine="0"/>
        <w:jc w:val="left"/>
        <w:rPr>
          <w:rFonts w:ascii="Arial"/>
          <w:i/>
          <w:sz w:val="22"/>
        </w:rPr>
      </w:pPr>
      <w:bookmarkStart w:name="FW-STD-VEG-09. Timber Harvest" w:id="188"/>
      <w:bookmarkEnd w:id="188"/>
      <w:r>
        <w:rPr/>
      </w:r>
      <w:r>
        <w:rPr>
          <w:rFonts w:ascii="Arial"/>
          <w:i/>
          <w:sz w:val="22"/>
        </w:rPr>
        <w:t>FW-STD-VEG-09.</w:t>
      </w:r>
      <w:r>
        <w:rPr>
          <w:rFonts w:ascii="Arial"/>
          <w:i/>
          <w:spacing w:val="-8"/>
          <w:sz w:val="22"/>
        </w:rPr>
        <w:t> </w:t>
      </w:r>
      <w:r>
        <w:rPr>
          <w:rFonts w:ascii="Arial"/>
          <w:i/>
          <w:sz w:val="22"/>
        </w:rPr>
        <w:t>Timber</w:t>
      </w:r>
      <w:r>
        <w:rPr>
          <w:rFonts w:ascii="Arial"/>
          <w:i/>
          <w:spacing w:val="-8"/>
          <w:sz w:val="22"/>
        </w:rPr>
        <w:t> </w:t>
      </w:r>
      <w:r>
        <w:rPr>
          <w:rFonts w:ascii="Arial"/>
          <w:i/>
          <w:spacing w:val="-2"/>
          <w:sz w:val="22"/>
        </w:rPr>
        <w:t>Harvest</w:t>
      </w:r>
    </w:p>
    <w:p>
      <w:pPr>
        <w:pStyle w:val="BodyText"/>
        <w:spacing w:line="232" w:lineRule="auto" w:before="65"/>
        <w:ind w:left="359" w:right="1516"/>
      </w:pPr>
      <w:r>
        <w:rPr/>
        <w:t>Ensure that timber will be harvested from National Forest System lands only where soil, slope, or other watershed conditions will not be irreversibly damaged and where protection is provided</w:t>
      </w:r>
      <w:r>
        <w:rPr>
          <w:spacing w:val="-7"/>
        </w:rPr>
        <w:t> </w:t>
      </w:r>
      <w:r>
        <w:rPr/>
        <w:t>for</w:t>
      </w:r>
      <w:r>
        <w:rPr>
          <w:spacing w:val="-6"/>
        </w:rPr>
        <w:t> </w:t>
      </w:r>
      <w:r>
        <w:rPr/>
        <w:t>streams,</w:t>
      </w:r>
      <w:r>
        <w:rPr>
          <w:spacing w:val="-8"/>
        </w:rPr>
        <w:t> </w:t>
      </w:r>
      <w:r>
        <w:rPr/>
        <w:t>stream-banks,</w:t>
      </w:r>
      <w:r>
        <w:rPr>
          <w:spacing w:val="-6"/>
        </w:rPr>
        <w:t> </w:t>
      </w:r>
      <w:r>
        <w:rPr/>
        <w:t>shorelines,</w:t>
      </w:r>
      <w:r>
        <w:rPr>
          <w:spacing w:val="-6"/>
        </w:rPr>
        <w:t> </w:t>
      </w:r>
      <w:r>
        <w:rPr/>
        <w:t>lakes,</w:t>
      </w:r>
      <w:r>
        <w:rPr>
          <w:spacing w:val="-8"/>
        </w:rPr>
        <w:t> </w:t>
      </w:r>
      <w:r>
        <w:rPr/>
        <w:t>wetlands,</w:t>
      </w:r>
      <w:r>
        <w:rPr>
          <w:spacing w:val="-8"/>
        </w:rPr>
        <w:t> </w:t>
      </w:r>
      <w:r>
        <w:rPr/>
        <w:t>and</w:t>
      </w:r>
      <w:r>
        <w:rPr>
          <w:spacing w:val="-7"/>
        </w:rPr>
        <w:t> </w:t>
      </w:r>
      <w:r>
        <w:rPr/>
        <w:t>other</w:t>
      </w:r>
      <w:r>
        <w:rPr>
          <w:spacing w:val="-6"/>
        </w:rPr>
        <w:t> </w:t>
      </w:r>
      <w:r>
        <w:rPr/>
        <w:t>bodies</w:t>
      </w:r>
      <w:r>
        <w:rPr>
          <w:spacing w:val="-8"/>
        </w:rPr>
        <w:t> </w:t>
      </w:r>
      <w:r>
        <w:rPr/>
        <w:t>of</w:t>
      </w:r>
      <w:r>
        <w:rPr>
          <w:spacing w:val="-9"/>
        </w:rPr>
        <w:t> </w:t>
      </w:r>
      <w:r>
        <w:rPr/>
        <w:t>water</w:t>
      </w:r>
      <w:r>
        <w:rPr>
          <w:spacing w:val="-8"/>
        </w:rPr>
        <w:t> </w:t>
      </w:r>
      <w:r>
        <w:rPr/>
        <w:t>from detrimental changes in water temperature, blockage of water courses, and deposits of sediment, where harvests are likely to seriously and adversely affect water conditions or fish </w:t>
      </w:r>
      <w:r>
        <w:rPr>
          <w:spacing w:val="-2"/>
        </w:rPr>
        <w:t>habitat.</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Guidelines" w:id="189"/>
      <w:bookmarkEnd w:id="189"/>
      <w:r>
        <w:rPr/>
      </w:r>
      <w:bookmarkStart w:name="_bookmark87" w:id="190"/>
      <w:bookmarkEnd w:id="190"/>
      <w:r>
        <w:rPr/>
      </w:r>
      <w:r>
        <w:rPr>
          <w:spacing w:val="-2"/>
        </w:rPr>
        <w:t>Guidelines</w:t>
      </w:r>
    </w:p>
    <w:p>
      <w:pPr>
        <w:spacing w:before="240"/>
        <w:ind w:left="1152" w:right="720" w:firstLine="0"/>
        <w:jc w:val="left"/>
        <w:rPr>
          <w:rFonts w:ascii="Arial" w:hAnsi="Arial"/>
          <w:i/>
          <w:sz w:val="22"/>
        </w:rPr>
      </w:pPr>
      <w:bookmarkStart w:name="FW-GDL-VEG-01. Threatened, Endangered, a" w:id="191"/>
      <w:bookmarkEnd w:id="191"/>
      <w:r>
        <w:rPr/>
      </w:r>
      <w:r>
        <w:rPr>
          <w:rFonts w:ascii="Arial" w:hAnsi="Arial"/>
          <w:i/>
          <w:sz w:val="22"/>
        </w:rPr>
        <w:t>FW-GDL-VEG-01.</w:t>
      </w:r>
      <w:r>
        <w:rPr>
          <w:rFonts w:ascii="Arial" w:hAnsi="Arial"/>
          <w:i/>
          <w:spacing w:val="-5"/>
          <w:sz w:val="22"/>
        </w:rPr>
        <w:t> </w:t>
      </w:r>
      <w:r>
        <w:rPr>
          <w:rFonts w:ascii="Arial" w:hAnsi="Arial"/>
          <w:i/>
          <w:sz w:val="22"/>
        </w:rPr>
        <w:t>Threatened,</w:t>
      </w:r>
      <w:r>
        <w:rPr>
          <w:rFonts w:ascii="Arial" w:hAnsi="Arial"/>
          <w:i/>
          <w:spacing w:val="-5"/>
          <w:sz w:val="22"/>
        </w:rPr>
        <w:t> </w:t>
      </w:r>
      <w:r>
        <w:rPr>
          <w:rFonts w:ascii="Arial" w:hAnsi="Arial"/>
          <w:i/>
          <w:sz w:val="22"/>
        </w:rPr>
        <w:t>Endangered,</w:t>
      </w:r>
      <w:r>
        <w:rPr>
          <w:rFonts w:ascii="Arial" w:hAnsi="Arial"/>
          <w:i/>
          <w:spacing w:val="-2"/>
          <w:sz w:val="22"/>
        </w:rPr>
        <w:t> </w:t>
      </w:r>
      <w:r>
        <w:rPr>
          <w:rFonts w:ascii="Arial" w:hAnsi="Arial"/>
          <w:i/>
          <w:sz w:val="22"/>
        </w:rPr>
        <w:t>and</w:t>
      </w:r>
      <w:r>
        <w:rPr>
          <w:rFonts w:ascii="Arial" w:hAnsi="Arial"/>
          <w:i/>
          <w:spacing w:val="-8"/>
          <w:sz w:val="22"/>
        </w:rPr>
        <w:t> </w:t>
      </w:r>
      <w:r>
        <w:rPr>
          <w:rFonts w:ascii="Arial" w:hAnsi="Arial"/>
          <w:i/>
          <w:sz w:val="22"/>
        </w:rPr>
        <w:t>Sensitive</w:t>
      </w:r>
      <w:r>
        <w:rPr>
          <w:rFonts w:ascii="Arial" w:hAnsi="Arial"/>
          <w:i/>
          <w:spacing w:val="-4"/>
          <w:sz w:val="22"/>
        </w:rPr>
        <w:t> </w:t>
      </w:r>
      <w:r>
        <w:rPr>
          <w:rFonts w:ascii="Arial" w:hAnsi="Arial"/>
          <w:i/>
          <w:sz w:val="22"/>
        </w:rPr>
        <w:t>Plant</w:t>
      </w:r>
      <w:r>
        <w:rPr>
          <w:rFonts w:ascii="Arial" w:hAnsi="Arial"/>
          <w:i/>
          <w:spacing w:val="-2"/>
          <w:sz w:val="22"/>
        </w:rPr>
        <w:t> </w:t>
      </w:r>
      <w:r>
        <w:rPr>
          <w:rFonts w:ascii="Arial" w:hAnsi="Arial"/>
          <w:i/>
          <w:sz w:val="22"/>
        </w:rPr>
        <w:t>Species</w:t>
      </w:r>
      <w:r>
        <w:rPr>
          <w:rFonts w:ascii="Arial" w:hAnsi="Arial"/>
          <w:i/>
          <w:spacing w:val="-8"/>
          <w:sz w:val="22"/>
        </w:rPr>
        <w:t> </w:t>
      </w:r>
      <w:r>
        <w:rPr>
          <w:rFonts w:ascii="Arial" w:hAnsi="Arial"/>
          <w:i/>
          <w:sz w:val="22"/>
        </w:rPr>
        <w:t>–</w:t>
      </w:r>
      <w:r>
        <w:rPr>
          <w:rFonts w:ascii="Arial" w:hAnsi="Arial"/>
          <w:i/>
          <w:spacing w:val="-4"/>
          <w:sz w:val="22"/>
        </w:rPr>
        <w:t> </w:t>
      </w:r>
      <w:r>
        <w:rPr>
          <w:rFonts w:ascii="Arial" w:hAnsi="Arial"/>
          <w:i/>
          <w:sz w:val="22"/>
        </w:rPr>
        <w:t>Disturbance</w:t>
      </w:r>
      <w:r>
        <w:rPr>
          <w:rFonts w:ascii="Arial" w:hAnsi="Arial"/>
          <w:i/>
          <w:sz w:val="22"/>
        </w:rPr>
        <w:t> in Occupied Habitat</w:t>
      </w:r>
    </w:p>
    <w:p>
      <w:pPr>
        <w:pStyle w:val="BodyText"/>
        <w:spacing w:line="232" w:lineRule="auto" w:before="66"/>
        <w:ind w:left="1152" w:right="742"/>
      </w:pPr>
      <w:r>
        <w:rPr/>
        <w:t>Soil</w:t>
      </w:r>
      <w:r>
        <w:rPr>
          <w:spacing w:val="-5"/>
        </w:rPr>
        <w:t> </w:t>
      </w:r>
      <w:r>
        <w:rPr/>
        <w:t>and</w:t>
      </w:r>
      <w:r>
        <w:rPr>
          <w:spacing w:val="-6"/>
        </w:rPr>
        <w:t> </w:t>
      </w:r>
      <w:r>
        <w:rPr/>
        <w:t>habitat</w:t>
      </w:r>
      <w:r>
        <w:rPr>
          <w:spacing w:val="-4"/>
        </w:rPr>
        <w:t> </w:t>
      </w:r>
      <w:r>
        <w:rPr/>
        <w:t>disturbance</w:t>
      </w:r>
      <w:r>
        <w:rPr>
          <w:spacing w:val="-4"/>
        </w:rPr>
        <w:t> </w:t>
      </w:r>
      <w:r>
        <w:rPr/>
        <w:t>should</w:t>
      </w:r>
      <w:r>
        <w:rPr>
          <w:spacing w:val="-6"/>
        </w:rPr>
        <w:t> </w:t>
      </w:r>
      <w:r>
        <w:rPr/>
        <w:t>be</w:t>
      </w:r>
      <w:r>
        <w:rPr>
          <w:spacing w:val="-7"/>
        </w:rPr>
        <w:t> </w:t>
      </w:r>
      <w:r>
        <w:rPr/>
        <w:t>managed</w:t>
      </w:r>
      <w:r>
        <w:rPr>
          <w:spacing w:val="-6"/>
        </w:rPr>
        <w:t> </w:t>
      </w:r>
      <w:r>
        <w:rPr/>
        <w:t>within</w:t>
      </w:r>
      <w:r>
        <w:rPr>
          <w:spacing w:val="-6"/>
        </w:rPr>
        <w:t> </w:t>
      </w:r>
      <w:r>
        <w:rPr/>
        <w:t>occupied</w:t>
      </w:r>
      <w:r>
        <w:rPr>
          <w:spacing w:val="-6"/>
        </w:rPr>
        <w:t> </w:t>
      </w:r>
      <w:r>
        <w:rPr/>
        <w:t>habitat</w:t>
      </w:r>
      <w:r>
        <w:rPr>
          <w:spacing w:val="-4"/>
        </w:rPr>
        <w:t> </w:t>
      </w:r>
      <w:r>
        <w:rPr/>
        <w:t>and</w:t>
      </w:r>
      <w:r>
        <w:rPr>
          <w:spacing w:val="-6"/>
        </w:rPr>
        <w:t> </w:t>
      </w:r>
      <w:r>
        <w:rPr/>
        <w:t>suitable</w:t>
      </w:r>
      <w:r>
        <w:rPr>
          <w:spacing w:val="-4"/>
        </w:rPr>
        <w:t> </w:t>
      </w:r>
      <w:r>
        <w:rPr/>
        <w:t>whitebark pine habitat to the extent practicable to maintain or enhance threatened, endangered, and sensitive plant populations and avoid invasive plant species establishment or spread.</w:t>
      </w:r>
    </w:p>
    <w:p>
      <w:pPr>
        <w:pStyle w:val="BodyText"/>
        <w:spacing w:line="232" w:lineRule="auto"/>
        <w:ind w:left="1152" w:right="1187"/>
      </w:pPr>
      <w:r>
        <w:rPr/>
        <w:t>Consequently, occupied habitat should not be used for timber harvest, fuel breaks or developments</w:t>
      </w:r>
      <w:r>
        <w:rPr>
          <w:spacing w:val="-6"/>
        </w:rPr>
        <w:t> </w:t>
      </w:r>
      <w:r>
        <w:rPr/>
        <w:t>associated</w:t>
      </w:r>
      <w:r>
        <w:rPr>
          <w:spacing w:val="-7"/>
        </w:rPr>
        <w:t> </w:t>
      </w:r>
      <w:r>
        <w:rPr/>
        <w:t>with</w:t>
      </w:r>
      <w:r>
        <w:rPr>
          <w:spacing w:val="-5"/>
        </w:rPr>
        <w:t> </w:t>
      </w:r>
      <w:r>
        <w:rPr/>
        <w:t>wildfire</w:t>
      </w:r>
      <w:r>
        <w:rPr>
          <w:spacing w:val="-3"/>
        </w:rPr>
        <w:t> </w:t>
      </w:r>
      <w:r>
        <w:rPr/>
        <w:t>suppression,</w:t>
      </w:r>
      <w:r>
        <w:rPr>
          <w:spacing w:val="-6"/>
        </w:rPr>
        <w:t> </w:t>
      </w:r>
      <w:r>
        <w:rPr/>
        <w:t>delivery</w:t>
      </w:r>
      <w:r>
        <w:rPr>
          <w:spacing w:val="-5"/>
        </w:rPr>
        <w:t> </w:t>
      </w:r>
      <w:r>
        <w:rPr/>
        <w:t>of</w:t>
      </w:r>
      <w:r>
        <w:rPr>
          <w:spacing w:val="-4"/>
        </w:rPr>
        <w:t> </w:t>
      </w:r>
      <w:r>
        <w:rPr/>
        <w:t>fire</w:t>
      </w:r>
      <w:r>
        <w:rPr>
          <w:spacing w:val="-3"/>
        </w:rPr>
        <w:t> </w:t>
      </w:r>
      <w:r>
        <w:rPr/>
        <w:t>retardant</w:t>
      </w:r>
      <w:r>
        <w:rPr>
          <w:spacing w:val="-6"/>
        </w:rPr>
        <w:t> </w:t>
      </w:r>
      <w:r>
        <w:rPr/>
        <w:t>or</w:t>
      </w:r>
      <w:r>
        <w:rPr>
          <w:spacing w:val="-6"/>
        </w:rPr>
        <w:t> </w:t>
      </w:r>
      <w:r>
        <w:rPr/>
        <w:t>petroleum products,</w:t>
      </w:r>
      <w:r>
        <w:rPr>
          <w:spacing w:val="-8"/>
        </w:rPr>
        <w:t> </w:t>
      </w:r>
      <w:r>
        <w:rPr/>
        <w:t>placement</w:t>
      </w:r>
      <w:r>
        <w:rPr>
          <w:spacing w:val="-8"/>
        </w:rPr>
        <w:t> </w:t>
      </w:r>
      <w:r>
        <w:rPr/>
        <w:t>of</w:t>
      </w:r>
      <w:r>
        <w:rPr>
          <w:spacing w:val="-8"/>
        </w:rPr>
        <w:t> </w:t>
      </w:r>
      <w:r>
        <w:rPr/>
        <w:t>stock-handling</w:t>
      </w:r>
      <w:r>
        <w:rPr>
          <w:spacing w:val="-7"/>
        </w:rPr>
        <w:t> </w:t>
      </w:r>
      <w:r>
        <w:rPr/>
        <w:t>facilities,</w:t>
      </w:r>
      <w:r>
        <w:rPr>
          <w:spacing w:val="-8"/>
        </w:rPr>
        <w:t> </w:t>
      </w:r>
      <w:r>
        <w:rPr/>
        <w:t>recreation,</w:t>
      </w:r>
      <w:r>
        <w:rPr>
          <w:spacing w:val="-8"/>
        </w:rPr>
        <w:t> </w:t>
      </w:r>
      <w:r>
        <w:rPr/>
        <w:t>or</w:t>
      </w:r>
      <w:r>
        <w:rPr>
          <w:spacing w:val="-6"/>
        </w:rPr>
        <w:t> </w:t>
      </w:r>
      <w:r>
        <w:rPr/>
        <w:t>special</w:t>
      </w:r>
      <w:r>
        <w:rPr>
          <w:spacing w:val="-6"/>
        </w:rPr>
        <w:t> </w:t>
      </w:r>
      <w:r>
        <w:rPr/>
        <w:t>use</w:t>
      </w:r>
      <w:r>
        <w:rPr>
          <w:spacing w:val="-8"/>
        </w:rPr>
        <w:t> </w:t>
      </w:r>
      <w:r>
        <w:rPr/>
        <w:t>developments.</w:t>
      </w:r>
      <w:r>
        <w:rPr>
          <w:spacing w:val="-6"/>
        </w:rPr>
        <w:t> </w:t>
      </w:r>
      <w:r>
        <w:rPr/>
        <w:t>A 100-foot buffer</w:t>
      </w:r>
      <w:r>
        <w:rPr>
          <w:spacing w:val="-1"/>
        </w:rPr>
        <w:t> </w:t>
      </w:r>
      <w:r>
        <w:rPr/>
        <w:t>between the occupied habitat</w:t>
      </w:r>
      <w:r>
        <w:rPr>
          <w:spacing w:val="-1"/>
        </w:rPr>
        <w:t> </w:t>
      </w:r>
      <w:r>
        <w:rPr/>
        <w:t>and these</w:t>
      </w:r>
      <w:r>
        <w:rPr>
          <w:spacing w:val="-1"/>
        </w:rPr>
        <w:t> </w:t>
      </w:r>
      <w:r>
        <w:rPr/>
        <w:t>management activities should be maintained, unless habitat restoration activities are designed to benefit threatened, endangered, and sensitive plant species.</w:t>
      </w:r>
    </w:p>
    <w:p>
      <w:pPr>
        <w:pStyle w:val="BodyText"/>
        <w:spacing w:line="232" w:lineRule="auto" w:before="195"/>
        <w:ind w:left="1152" w:right="742"/>
      </w:pPr>
      <w:r>
        <w:rPr/>
        <w:t>Trees</w:t>
      </w:r>
      <w:r>
        <w:rPr>
          <w:spacing w:val="-5"/>
        </w:rPr>
        <w:t> </w:t>
      </w:r>
      <w:r>
        <w:rPr/>
        <w:t>in</w:t>
      </w:r>
      <w:r>
        <w:rPr>
          <w:spacing w:val="-8"/>
        </w:rPr>
        <w:t> </w:t>
      </w:r>
      <w:r>
        <w:rPr/>
        <w:t>occupied</w:t>
      </w:r>
      <w:r>
        <w:rPr>
          <w:spacing w:val="-6"/>
        </w:rPr>
        <w:t> </w:t>
      </w:r>
      <w:r>
        <w:rPr/>
        <w:t>habitat</w:t>
      </w:r>
      <w:r>
        <w:rPr>
          <w:spacing w:val="-7"/>
        </w:rPr>
        <w:t> </w:t>
      </w:r>
      <w:r>
        <w:rPr/>
        <w:t>that</w:t>
      </w:r>
      <w:r>
        <w:rPr>
          <w:spacing w:val="-5"/>
        </w:rPr>
        <w:t> </w:t>
      </w:r>
      <w:r>
        <w:rPr/>
        <w:t>are</w:t>
      </w:r>
      <w:r>
        <w:rPr>
          <w:spacing w:val="-7"/>
        </w:rPr>
        <w:t> </w:t>
      </w:r>
      <w:r>
        <w:rPr/>
        <w:t>felled</w:t>
      </w:r>
      <w:r>
        <w:rPr>
          <w:spacing w:val="-6"/>
        </w:rPr>
        <w:t> </w:t>
      </w:r>
      <w:r>
        <w:rPr/>
        <w:t>for</w:t>
      </w:r>
      <w:r>
        <w:rPr>
          <w:spacing w:val="-7"/>
        </w:rPr>
        <w:t> </w:t>
      </w:r>
      <w:r>
        <w:rPr/>
        <w:t>safety</w:t>
      </w:r>
      <w:r>
        <w:rPr>
          <w:spacing w:val="-6"/>
        </w:rPr>
        <w:t> </w:t>
      </w:r>
      <w:r>
        <w:rPr/>
        <w:t>reasons</w:t>
      </w:r>
      <w:r>
        <w:rPr>
          <w:spacing w:val="-5"/>
        </w:rPr>
        <w:t> </w:t>
      </w:r>
      <w:r>
        <w:rPr/>
        <w:t>should</w:t>
      </w:r>
      <w:r>
        <w:rPr>
          <w:spacing w:val="-6"/>
        </w:rPr>
        <w:t> </w:t>
      </w:r>
      <w:r>
        <w:rPr/>
        <w:t>be</w:t>
      </w:r>
      <w:r>
        <w:rPr>
          <w:spacing w:val="-5"/>
        </w:rPr>
        <w:t> </w:t>
      </w:r>
      <w:r>
        <w:rPr/>
        <w:t>retained</w:t>
      </w:r>
      <w:r>
        <w:rPr>
          <w:spacing w:val="-8"/>
        </w:rPr>
        <w:t> </w:t>
      </w:r>
      <w:r>
        <w:rPr/>
        <w:t>on</w:t>
      </w:r>
      <w:r>
        <w:rPr>
          <w:spacing w:val="-8"/>
        </w:rPr>
        <w:t> </w:t>
      </w:r>
      <w:r>
        <w:rPr/>
        <w:t>site</w:t>
      </w:r>
      <w:r>
        <w:rPr>
          <w:spacing w:val="-5"/>
        </w:rPr>
        <w:t> </w:t>
      </w:r>
      <w:r>
        <w:rPr/>
        <w:t>as</w:t>
      </w:r>
      <w:r>
        <w:rPr>
          <w:spacing w:val="-5"/>
        </w:rPr>
        <w:t> </w:t>
      </w:r>
      <w:r>
        <w:rPr/>
        <w:t>needed to maintain, protect, or enhance habitat unless such action is detrimental to the threatened, endangered, and sensitive species population or habitat and represents a threat through physical impacts or potential uncharacteristic wildfire.</w:t>
      </w:r>
    </w:p>
    <w:p>
      <w:pPr>
        <w:pStyle w:val="BodyText"/>
        <w:spacing w:line="232" w:lineRule="auto" w:before="199"/>
        <w:ind w:left="1152" w:right="1073"/>
      </w:pPr>
      <w:r>
        <w:rPr/>
        <w:t>All</w:t>
      </w:r>
      <w:r>
        <w:rPr>
          <w:spacing w:val="-4"/>
        </w:rPr>
        <w:t> </w:t>
      </w:r>
      <w:r>
        <w:rPr/>
        <w:t>new</w:t>
      </w:r>
      <w:r>
        <w:rPr>
          <w:spacing w:val="-6"/>
        </w:rPr>
        <w:t> </w:t>
      </w:r>
      <w:r>
        <w:rPr/>
        <w:t>road</w:t>
      </w:r>
      <w:r>
        <w:rPr>
          <w:spacing w:val="-5"/>
        </w:rPr>
        <w:t> </w:t>
      </w:r>
      <w:r>
        <w:rPr/>
        <w:t>and</w:t>
      </w:r>
      <w:r>
        <w:rPr>
          <w:spacing w:val="-5"/>
        </w:rPr>
        <w:t> </w:t>
      </w:r>
      <w:r>
        <w:rPr/>
        <w:t>trail</w:t>
      </w:r>
      <w:r>
        <w:rPr>
          <w:spacing w:val="-4"/>
        </w:rPr>
        <w:t> </w:t>
      </w:r>
      <w:r>
        <w:rPr/>
        <w:t>construction</w:t>
      </w:r>
      <w:r>
        <w:rPr>
          <w:spacing w:val="-5"/>
        </w:rPr>
        <w:t> </w:t>
      </w:r>
      <w:r>
        <w:rPr/>
        <w:t>should</w:t>
      </w:r>
      <w:r>
        <w:rPr>
          <w:spacing w:val="-5"/>
        </w:rPr>
        <w:t> </w:t>
      </w:r>
      <w:r>
        <w:rPr/>
        <w:t>be</w:t>
      </w:r>
      <w:r>
        <w:rPr>
          <w:spacing w:val="-3"/>
        </w:rPr>
        <w:t> </w:t>
      </w:r>
      <w:r>
        <w:rPr/>
        <w:t>designed</w:t>
      </w:r>
      <w:r>
        <w:rPr>
          <w:spacing w:val="-5"/>
        </w:rPr>
        <w:t> </w:t>
      </w:r>
      <w:r>
        <w:rPr/>
        <w:t>to</w:t>
      </w:r>
      <w:r>
        <w:rPr>
          <w:spacing w:val="-3"/>
        </w:rPr>
        <w:t> </w:t>
      </w:r>
      <w:r>
        <w:rPr/>
        <w:t>avoid</w:t>
      </w:r>
      <w:r>
        <w:rPr>
          <w:spacing w:val="-5"/>
        </w:rPr>
        <w:t> </w:t>
      </w:r>
      <w:r>
        <w:rPr/>
        <w:t>the</w:t>
      </w:r>
      <w:r>
        <w:rPr>
          <w:spacing w:val="-6"/>
        </w:rPr>
        <w:t> </w:t>
      </w:r>
      <w:r>
        <w:rPr/>
        <w:t>occupied</w:t>
      </w:r>
      <w:r>
        <w:rPr>
          <w:spacing w:val="-5"/>
        </w:rPr>
        <w:t> </w:t>
      </w:r>
      <w:r>
        <w:rPr/>
        <w:t>habitat</w:t>
      </w:r>
      <w:r>
        <w:rPr>
          <w:spacing w:val="-6"/>
        </w:rPr>
        <w:t> </w:t>
      </w:r>
      <w:r>
        <w:rPr/>
        <w:t>of threatened, endangered, and sensitive plant species (minimum 100-foot buffer).</w:t>
      </w:r>
    </w:p>
    <w:p>
      <w:pPr>
        <w:pStyle w:val="BodyText"/>
        <w:spacing w:line="232" w:lineRule="auto" w:before="199"/>
        <w:ind w:left="1151" w:right="801"/>
      </w:pPr>
      <w:r>
        <w:rPr/>
        <w:t>Use of prescribed fire should be avoided in occupied habitat except in areas occupied by fire- dependent</w:t>
      </w:r>
      <w:r>
        <w:rPr>
          <w:spacing w:val="-1"/>
        </w:rPr>
        <w:t> </w:t>
      </w:r>
      <w:r>
        <w:rPr/>
        <w:t>or</w:t>
      </w:r>
      <w:r>
        <w:rPr>
          <w:spacing w:val="-4"/>
        </w:rPr>
        <w:t> </w:t>
      </w:r>
      <w:r>
        <w:rPr/>
        <w:t>fire-tolerant</w:t>
      </w:r>
      <w:r>
        <w:rPr>
          <w:spacing w:val="-6"/>
        </w:rPr>
        <w:t> </w:t>
      </w:r>
      <w:r>
        <w:rPr/>
        <w:t>species.</w:t>
      </w:r>
      <w:r>
        <w:rPr>
          <w:spacing w:val="-2"/>
        </w:rPr>
        <w:t> </w:t>
      </w:r>
      <w:r>
        <w:rPr/>
        <w:t>Slash</w:t>
      </w:r>
      <w:r>
        <w:rPr>
          <w:spacing w:val="-3"/>
        </w:rPr>
        <w:t> </w:t>
      </w:r>
      <w:r>
        <w:rPr/>
        <w:t>piles</w:t>
      </w:r>
      <w:r>
        <w:rPr>
          <w:spacing w:val="-2"/>
        </w:rPr>
        <w:t> </w:t>
      </w:r>
      <w:r>
        <w:rPr/>
        <w:t>and</w:t>
      </w:r>
      <w:r>
        <w:rPr>
          <w:spacing w:val="-5"/>
        </w:rPr>
        <w:t> </w:t>
      </w:r>
      <w:r>
        <w:rPr/>
        <w:t>other</w:t>
      </w:r>
      <w:r>
        <w:rPr>
          <w:spacing w:val="-2"/>
        </w:rPr>
        <w:t> </w:t>
      </w:r>
      <w:r>
        <w:rPr/>
        <w:t>fuels</w:t>
      </w:r>
      <w:r>
        <w:rPr>
          <w:spacing w:val="-2"/>
        </w:rPr>
        <w:t> </w:t>
      </w:r>
      <w:r>
        <w:rPr/>
        <w:t>should</w:t>
      </w:r>
      <w:r>
        <w:rPr>
          <w:spacing w:val="-3"/>
        </w:rPr>
        <w:t> </w:t>
      </w:r>
      <w:r>
        <w:rPr/>
        <w:t>be</w:t>
      </w:r>
      <w:r>
        <w:rPr>
          <w:spacing w:val="-4"/>
        </w:rPr>
        <w:t> </w:t>
      </w:r>
      <w:r>
        <w:rPr/>
        <w:t>managed</w:t>
      </w:r>
      <w:r>
        <w:rPr>
          <w:spacing w:val="-3"/>
        </w:rPr>
        <w:t> </w:t>
      </w:r>
      <w:r>
        <w:rPr/>
        <w:t>to</w:t>
      </w:r>
      <w:r>
        <w:rPr>
          <w:spacing w:val="-1"/>
        </w:rPr>
        <w:t> </w:t>
      </w:r>
      <w:r>
        <w:rPr/>
        <w:t>avoid</w:t>
      </w:r>
      <w:r>
        <w:rPr>
          <w:spacing w:val="-3"/>
        </w:rPr>
        <w:t> </w:t>
      </w:r>
      <w:r>
        <w:rPr/>
        <w:t>the occupied</w:t>
      </w:r>
      <w:r>
        <w:rPr>
          <w:spacing w:val="-11"/>
        </w:rPr>
        <w:t> </w:t>
      </w:r>
      <w:r>
        <w:rPr/>
        <w:t>habitat</w:t>
      </w:r>
      <w:r>
        <w:rPr>
          <w:spacing w:val="-9"/>
        </w:rPr>
        <w:t> </w:t>
      </w:r>
      <w:r>
        <w:rPr/>
        <w:t>of</w:t>
      </w:r>
      <w:r>
        <w:rPr>
          <w:spacing w:val="-8"/>
        </w:rPr>
        <w:t> </w:t>
      </w:r>
      <w:r>
        <w:rPr/>
        <w:t>threatened,</w:t>
      </w:r>
      <w:r>
        <w:rPr>
          <w:spacing w:val="-8"/>
        </w:rPr>
        <w:t> </w:t>
      </w:r>
      <w:r>
        <w:rPr/>
        <w:t>endangered,</w:t>
      </w:r>
      <w:r>
        <w:rPr>
          <w:spacing w:val="-7"/>
        </w:rPr>
        <w:t> </w:t>
      </w:r>
      <w:r>
        <w:rPr/>
        <w:t>and</w:t>
      </w:r>
      <w:r>
        <w:rPr>
          <w:spacing w:val="-9"/>
        </w:rPr>
        <w:t> </w:t>
      </w:r>
      <w:r>
        <w:rPr/>
        <w:t>sensitive</w:t>
      </w:r>
      <w:r>
        <w:rPr>
          <w:spacing w:val="-9"/>
        </w:rPr>
        <w:t> </w:t>
      </w:r>
      <w:r>
        <w:rPr/>
        <w:t>species</w:t>
      </w:r>
      <w:r>
        <w:rPr>
          <w:spacing w:val="-8"/>
        </w:rPr>
        <w:t> </w:t>
      </w:r>
      <w:r>
        <w:rPr/>
        <w:t>(minimum</w:t>
      </w:r>
      <w:r>
        <w:rPr>
          <w:spacing w:val="-9"/>
        </w:rPr>
        <w:t> </w:t>
      </w:r>
      <w:r>
        <w:rPr/>
        <w:t>100-foot</w:t>
      </w:r>
      <w:r>
        <w:rPr>
          <w:spacing w:val="-6"/>
        </w:rPr>
        <w:t> </w:t>
      </w:r>
      <w:r>
        <w:rPr>
          <w:spacing w:val="-2"/>
        </w:rPr>
        <w:t>buffer).</w:t>
      </w:r>
    </w:p>
    <w:p>
      <w:pPr>
        <w:pStyle w:val="BodyText"/>
        <w:spacing w:line="232" w:lineRule="auto" w:before="198"/>
        <w:ind w:left="1151" w:right="720"/>
      </w:pPr>
      <w:r>
        <w:rPr/>
        <w:t>Grazing</w:t>
      </w:r>
      <w:r>
        <w:rPr>
          <w:spacing w:val="-5"/>
        </w:rPr>
        <w:t> </w:t>
      </w:r>
      <w:r>
        <w:rPr/>
        <w:t>management</w:t>
      </w:r>
      <w:r>
        <w:rPr>
          <w:spacing w:val="-3"/>
        </w:rPr>
        <w:t> </w:t>
      </w:r>
      <w:r>
        <w:rPr/>
        <w:t>(including</w:t>
      </w:r>
      <w:r>
        <w:rPr>
          <w:spacing w:val="-5"/>
        </w:rPr>
        <w:t> </w:t>
      </w:r>
      <w:r>
        <w:rPr/>
        <w:t>timing,</w:t>
      </w:r>
      <w:r>
        <w:rPr>
          <w:spacing w:val="-4"/>
        </w:rPr>
        <w:t> </w:t>
      </w:r>
      <w:r>
        <w:rPr/>
        <w:t>intensity,</w:t>
      </w:r>
      <w:r>
        <w:rPr>
          <w:spacing w:val="-4"/>
        </w:rPr>
        <w:t> </w:t>
      </w:r>
      <w:r>
        <w:rPr/>
        <w:t>duration,</w:t>
      </w:r>
      <w:r>
        <w:rPr>
          <w:spacing w:val="-4"/>
        </w:rPr>
        <w:t> </w:t>
      </w:r>
      <w:r>
        <w:rPr/>
        <w:t>frequency</w:t>
      </w:r>
      <w:r>
        <w:rPr>
          <w:spacing w:val="-5"/>
        </w:rPr>
        <w:t> </w:t>
      </w:r>
      <w:r>
        <w:rPr/>
        <w:t>of</w:t>
      </w:r>
      <w:r>
        <w:rPr>
          <w:spacing w:val="-4"/>
        </w:rPr>
        <w:t> </w:t>
      </w:r>
      <w:r>
        <w:rPr/>
        <w:t>use,</w:t>
      </w:r>
      <w:r>
        <w:rPr>
          <w:spacing w:val="-4"/>
        </w:rPr>
        <w:t> </w:t>
      </w:r>
      <w:r>
        <w:rPr/>
        <w:t>and</w:t>
      </w:r>
      <w:r>
        <w:rPr>
          <w:spacing w:val="-5"/>
        </w:rPr>
        <w:t> </w:t>
      </w:r>
      <w:r>
        <w:rPr/>
        <w:t>type</w:t>
      </w:r>
      <w:r>
        <w:rPr>
          <w:spacing w:val="-3"/>
        </w:rPr>
        <w:t> </w:t>
      </w:r>
      <w:r>
        <w:rPr/>
        <w:t>and</w:t>
      </w:r>
      <w:r>
        <w:rPr>
          <w:spacing w:val="-5"/>
        </w:rPr>
        <w:t> </w:t>
      </w:r>
      <w:r>
        <w:rPr/>
        <w:t>class of</w:t>
      </w:r>
      <w:r>
        <w:rPr>
          <w:spacing w:val="-6"/>
        </w:rPr>
        <w:t> </w:t>
      </w:r>
      <w:r>
        <w:rPr/>
        <w:t>livestock)</w:t>
      </w:r>
      <w:r>
        <w:rPr>
          <w:spacing w:val="-6"/>
        </w:rPr>
        <w:t> </w:t>
      </w:r>
      <w:r>
        <w:rPr/>
        <w:t>should</w:t>
      </w:r>
      <w:r>
        <w:rPr>
          <w:spacing w:val="-7"/>
        </w:rPr>
        <w:t> </w:t>
      </w:r>
      <w:r>
        <w:rPr/>
        <w:t>allow</w:t>
      </w:r>
      <w:r>
        <w:rPr>
          <w:spacing w:val="-5"/>
        </w:rPr>
        <w:t> </w:t>
      </w:r>
      <w:r>
        <w:rPr/>
        <w:t>for</w:t>
      </w:r>
      <w:r>
        <w:rPr>
          <w:spacing w:val="-6"/>
        </w:rPr>
        <w:t> </w:t>
      </w:r>
      <w:r>
        <w:rPr/>
        <w:t>completion</w:t>
      </w:r>
      <w:r>
        <w:rPr>
          <w:spacing w:val="-9"/>
        </w:rPr>
        <w:t> </w:t>
      </w:r>
      <w:r>
        <w:rPr/>
        <w:t>of</w:t>
      </w:r>
      <w:r>
        <w:rPr>
          <w:spacing w:val="-6"/>
        </w:rPr>
        <w:t> </w:t>
      </w:r>
      <w:r>
        <w:rPr/>
        <w:t>threatened,</w:t>
      </w:r>
      <w:r>
        <w:rPr>
          <w:spacing w:val="-6"/>
        </w:rPr>
        <w:t> </w:t>
      </w:r>
      <w:r>
        <w:rPr/>
        <w:t>endangered,</w:t>
      </w:r>
      <w:r>
        <w:rPr>
          <w:spacing w:val="-6"/>
        </w:rPr>
        <w:t> </w:t>
      </w:r>
      <w:r>
        <w:rPr/>
        <w:t>and</w:t>
      </w:r>
      <w:r>
        <w:rPr>
          <w:spacing w:val="-7"/>
        </w:rPr>
        <w:t> </w:t>
      </w:r>
      <w:r>
        <w:rPr/>
        <w:t>sensitive</w:t>
      </w:r>
      <w:r>
        <w:rPr>
          <w:spacing w:val="-5"/>
        </w:rPr>
        <w:t> </w:t>
      </w:r>
      <w:r>
        <w:rPr/>
        <w:t>plant</w:t>
      </w:r>
      <w:r>
        <w:rPr>
          <w:spacing w:val="-5"/>
        </w:rPr>
        <w:t> </w:t>
      </w:r>
      <w:r>
        <w:rPr/>
        <w:t>species annual life cycle</w:t>
      </w:r>
      <w:r>
        <w:rPr>
          <w:spacing w:val="-2"/>
        </w:rPr>
        <w:t> </w:t>
      </w:r>
      <w:r>
        <w:rPr/>
        <w:t>and</w:t>
      </w:r>
      <w:r>
        <w:rPr>
          <w:spacing w:val="-1"/>
        </w:rPr>
        <w:t> </w:t>
      </w:r>
      <w:r>
        <w:rPr/>
        <w:t>development and</w:t>
      </w:r>
      <w:r>
        <w:rPr>
          <w:spacing w:val="-1"/>
        </w:rPr>
        <w:t> </w:t>
      </w:r>
      <w:r>
        <w:rPr/>
        <w:t>dispersal</w:t>
      </w:r>
      <w:r>
        <w:rPr>
          <w:spacing w:val="-3"/>
        </w:rPr>
        <w:t> </w:t>
      </w:r>
      <w:r>
        <w:rPr/>
        <w:t>of</w:t>
      </w:r>
      <w:r>
        <w:rPr>
          <w:spacing w:val="-2"/>
        </w:rPr>
        <w:t> </w:t>
      </w:r>
      <w:r>
        <w:rPr/>
        <w:t>reproductive</w:t>
      </w:r>
      <w:r>
        <w:rPr>
          <w:spacing w:val="-2"/>
        </w:rPr>
        <w:t> </w:t>
      </w:r>
      <w:r>
        <w:rPr/>
        <w:t>materials like seed</w:t>
      </w:r>
      <w:r>
        <w:rPr>
          <w:spacing w:val="-1"/>
        </w:rPr>
        <w:t> </w:t>
      </w:r>
      <w:r>
        <w:rPr/>
        <w:t>and</w:t>
      </w:r>
      <w:r>
        <w:rPr>
          <w:spacing w:val="-1"/>
        </w:rPr>
        <w:t> </w:t>
      </w:r>
      <w:r>
        <w:rPr/>
        <w:t>spores. Salting or water developments should not be authorized or allowed such that they reduce threatened, endangered, or sensitive plant populations.</w:t>
      </w:r>
    </w:p>
    <w:p>
      <w:pPr>
        <w:pStyle w:val="BodyText"/>
        <w:spacing w:line="232" w:lineRule="auto" w:before="197"/>
        <w:ind w:left="1151" w:right="801"/>
      </w:pPr>
      <w:r>
        <w:rPr/>
        <w:t>Mining</w:t>
      </w:r>
      <w:r>
        <w:rPr>
          <w:spacing w:val="-7"/>
        </w:rPr>
        <w:t> </w:t>
      </w:r>
      <w:r>
        <w:rPr/>
        <w:t>operations</w:t>
      </w:r>
      <w:r>
        <w:rPr>
          <w:spacing w:val="-6"/>
        </w:rPr>
        <w:t> </w:t>
      </w:r>
      <w:r>
        <w:rPr/>
        <w:t>shall</w:t>
      </w:r>
      <w:r>
        <w:rPr>
          <w:spacing w:val="-9"/>
        </w:rPr>
        <w:t> </w:t>
      </w:r>
      <w:r>
        <w:rPr/>
        <w:t>be</w:t>
      </w:r>
      <w:r>
        <w:rPr>
          <w:spacing w:val="-7"/>
        </w:rPr>
        <w:t> </w:t>
      </w:r>
      <w:r>
        <w:rPr/>
        <w:t>conducted</w:t>
      </w:r>
      <w:r>
        <w:rPr>
          <w:spacing w:val="-7"/>
        </w:rPr>
        <w:t> </w:t>
      </w:r>
      <w:r>
        <w:rPr/>
        <w:t>to</w:t>
      </w:r>
      <w:r>
        <w:rPr>
          <w:spacing w:val="-7"/>
        </w:rPr>
        <w:t> </w:t>
      </w:r>
      <w:r>
        <w:rPr/>
        <w:t>minimize</w:t>
      </w:r>
      <w:r>
        <w:rPr>
          <w:spacing w:val="-5"/>
        </w:rPr>
        <w:t> </w:t>
      </w:r>
      <w:r>
        <w:rPr/>
        <w:t>adverse</w:t>
      </w:r>
      <w:r>
        <w:rPr>
          <w:spacing w:val="-5"/>
        </w:rPr>
        <w:t> </w:t>
      </w:r>
      <w:r>
        <w:rPr/>
        <w:t>environmental</w:t>
      </w:r>
      <w:r>
        <w:rPr>
          <w:spacing w:val="-9"/>
        </w:rPr>
        <w:t> </w:t>
      </w:r>
      <w:r>
        <w:rPr/>
        <w:t>impacts</w:t>
      </w:r>
      <w:r>
        <w:rPr>
          <w:spacing w:val="-6"/>
        </w:rPr>
        <w:t> </w:t>
      </w:r>
      <w:r>
        <w:rPr/>
        <w:t>on</w:t>
      </w:r>
      <w:r>
        <w:rPr>
          <w:spacing w:val="-7"/>
        </w:rPr>
        <w:t> </w:t>
      </w:r>
      <w:r>
        <w:rPr/>
        <w:t>national forest surface resources.</w:t>
      </w:r>
      <w:r>
        <w:rPr>
          <w:spacing w:val="-3"/>
        </w:rPr>
        <w:t> </w:t>
      </w:r>
      <w:r>
        <w:rPr/>
        <w:t>Operations approved</w:t>
      </w:r>
      <w:r>
        <w:rPr>
          <w:spacing w:val="-3"/>
        </w:rPr>
        <w:t> </w:t>
      </w:r>
      <w:r>
        <w:rPr/>
        <w:t>in</w:t>
      </w:r>
      <w:r>
        <w:rPr>
          <w:spacing w:val="-1"/>
        </w:rPr>
        <w:t> </w:t>
      </w:r>
      <w:r>
        <w:rPr/>
        <w:t>a</w:t>
      </w:r>
      <w:r>
        <w:rPr>
          <w:spacing w:val="-2"/>
        </w:rPr>
        <w:t> </w:t>
      </w:r>
      <w:r>
        <w:rPr/>
        <w:t>Plan</w:t>
      </w:r>
      <w:r>
        <w:rPr>
          <w:spacing w:val="-1"/>
        </w:rPr>
        <w:t> </w:t>
      </w:r>
      <w:r>
        <w:rPr/>
        <w:t>of Operations</w:t>
      </w:r>
      <w:r>
        <w:rPr>
          <w:spacing w:val="-2"/>
        </w:rPr>
        <w:t> </w:t>
      </w:r>
      <w:r>
        <w:rPr/>
        <w:t>shall avoid</w:t>
      </w:r>
      <w:r>
        <w:rPr>
          <w:spacing w:val="-2"/>
        </w:rPr>
        <w:t> </w:t>
      </w:r>
      <w:r>
        <w:rPr/>
        <w:t>threatened, endangered, and sensitive plant species and their habitat to the extent practicable.</w:t>
      </w:r>
    </w:p>
    <w:p>
      <w:pPr>
        <w:spacing w:before="233"/>
        <w:ind w:left="1151" w:right="0" w:firstLine="0"/>
        <w:jc w:val="left"/>
        <w:rPr>
          <w:rFonts w:ascii="Arial"/>
          <w:i/>
          <w:sz w:val="22"/>
        </w:rPr>
      </w:pPr>
      <w:bookmarkStart w:name="FW-GDL-VEG-02. Plant Material Collection" w:id="192"/>
      <w:bookmarkEnd w:id="192"/>
      <w:r>
        <w:rPr/>
      </w:r>
      <w:r>
        <w:rPr>
          <w:rFonts w:ascii="Arial"/>
          <w:i/>
          <w:sz w:val="22"/>
        </w:rPr>
        <w:t>FW-GDL-VEG-02.</w:t>
      </w:r>
      <w:r>
        <w:rPr>
          <w:rFonts w:ascii="Arial"/>
          <w:i/>
          <w:spacing w:val="-8"/>
          <w:sz w:val="22"/>
        </w:rPr>
        <w:t> </w:t>
      </w:r>
      <w:r>
        <w:rPr>
          <w:rFonts w:ascii="Arial"/>
          <w:i/>
          <w:sz w:val="22"/>
        </w:rPr>
        <w:t>Plant</w:t>
      </w:r>
      <w:r>
        <w:rPr>
          <w:rFonts w:ascii="Arial"/>
          <w:i/>
          <w:spacing w:val="-8"/>
          <w:sz w:val="22"/>
        </w:rPr>
        <w:t> </w:t>
      </w:r>
      <w:r>
        <w:rPr>
          <w:rFonts w:ascii="Arial"/>
          <w:i/>
          <w:sz w:val="22"/>
        </w:rPr>
        <w:t>Material</w:t>
      </w:r>
      <w:r>
        <w:rPr>
          <w:rFonts w:ascii="Arial"/>
          <w:i/>
          <w:spacing w:val="-8"/>
          <w:sz w:val="22"/>
        </w:rPr>
        <w:t> </w:t>
      </w:r>
      <w:r>
        <w:rPr>
          <w:rFonts w:ascii="Arial"/>
          <w:i/>
          <w:sz w:val="22"/>
        </w:rPr>
        <w:t>Collection</w:t>
      </w:r>
      <w:r>
        <w:rPr>
          <w:rFonts w:ascii="Arial"/>
          <w:i/>
          <w:spacing w:val="-7"/>
          <w:sz w:val="22"/>
        </w:rPr>
        <w:t> </w:t>
      </w:r>
      <w:r>
        <w:rPr>
          <w:rFonts w:ascii="Arial"/>
          <w:i/>
          <w:sz w:val="22"/>
        </w:rPr>
        <w:t>for</w:t>
      </w:r>
      <w:r>
        <w:rPr>
          <w:rFonts w:ascii="Arial"/>
          <w:i/>
          <w:spacing w:val="-8"/>
          <w:sz w:val="22"/>
        </w:rPr>
        <w:t> </w:t>
      </w:r>
      <w:r>
        <w:rPr>
          <w:rFonts w:ascii="Arial"/>
          <w:i/>
          <w:sz w:val="22"/>
        </w:rPr>
        <w:t>Conservation</w:t>
      </w:r>
      <w:r>
        <w:rPr>
          <w:rFonts w:ascii="Arial"/>
          <w:i/>
          <w:spacing w:val="-8"/>
          <w:sz w:val="22"/>
        </w:rPr>
        <w:t> </w:t>
      </w:r>
      <w:r>
        <w:rPr>
          <w:rFonts w:ascii="Arial"/>
          <w:i/>
          <w:spacing w:val="-2"/>
          <w:sz w:val="22"/>
        </w:rPr>
        <w:t>Purposes</w:t>
      </w:r>
    </w:p>
    <w:p>
      <w:pPr>
        <w:pStyle w:val="BodyText"/>
        <w:spacing w:line="232" w:lineRule="auto" w:before="67"/>
        <w:ind w:left="1150" w:right="801"/>
      </w:pPr>
      <w:r>
        <w:rPr/>
        <w:t>Commercial or non-commercial permits or authorizations should generally be issued for collection of seed or plant materials when project objectives are consistent with rare species conservation</w:t>
      </w:r>
      <w:r>
        <w:rPr>
          <w:spacing w:val="-7"/>
        </w:rPr>
        <w:t> </w:t>
      </w:r>
      <w:r>
        <w:rPr/>
        <w:t>practices</w:t>
      </w:r>
      <w:r>
        <w:rPr>
          <w:spacing w:val="-8"/>
        </w:rPr>
        <w:t> </w:t>
      </w:r>
      <w:r>
        <w:rPr/>
        <w:t>(these</w:t>
      </w:r>
      <w:r>
        <w:rPr>
          <w:spacing w:val="-5"/>
        </w:rPr>
        <w:t> </w:t>
      </w:r>
      <w:r>
        <w:rPr/>
        <w:t>practices</w:t>
      </w:r>
      <w:r>
        <w:rPr>
          <w:spacing w:val="-6"/>
        </w:rPr>
        <w:t> </w:t>
      </w:r>
      <w:r>
        <w:rPr/>
        <w:t>could</w:t>
      </w:r>
      <w:r>
        <w:rPr>
          <w:spacing w:val="-7"/>
        </w:rPr>
        <w:t> </w:t>
      </w:r>
      <w:r>
        <w:rPr/>
        <w:t>include</w:t>
      </w:r>
      <w:r>
        <w:rPr>
          <w:spacing w:val="-5"/>
        </w:rPr>
        <w:t> </w:t>
      </w:r>
      <w:r>
        <w:rPr/>
        <w:t>seed</w:t>
      </w:r>
      <w:r>
        <w:rPr>
          <w:spacing w:val="-7"/>
        </w:rPr>
        <w:t> </w:t>
      </w:r>
      <w:r>
        <w:rPr/>
        <w:t>storage</w:t>
      </w:r>
      <w:r>
        <w:rPr>
          <w:spacing w:val="-5"/>
        </w:rPr>
        <w:t> </w:t>
      </w:r>
      <w:r>
        <w:rPr/>
        <w:t>in</w:t>
      </w:r>
      <w:r>
        <w:rPr>
          <w:spacing w:val="-9"/>
        </w:rPr>
        <w:t> </w:t>
      </w:r>
      <w:r>
        <w:rPr/>
        <w:t>recognized</w:t>
      </w:r>
      <w:r>
        <w:rPr>
          <w:spacing w:val="-7"/>
        </w:rPr>
        <w:t> </w:t>
      </w:r>
      <w:r>
        <w:rPr/>
        <w:t>seed</w:t>
      </w:r>
      <w:r>
        <w:rPr>
          <w:spacing w:val="-7"/>
        </w:rPr>
        <w:t> </w:t>
      </w:r>
      <w:r>
        <w:rPr/>
        <w:t>banks,</w:t>
      </w:r>
      <w:r>
        <w:rPr>
          <w:spacing w:val="-8"/>
        </w:rPr>
        <w:t> </w:t>
      </w:r>
      <w:r>
        <w:rPr/>
        <w:t>or collection of plant material for restoration and rehabilitation purposes, or scientific research that benefits species viability).</w:t>
      </w:r>
    </w:p>
    <w:p>
      <w:pPr>
        <w:spacing w:before="233"/>
        <w:ind w:left="1150" w:right="0" w:firstLine="0"/>
        <w:jc w:val="left"/>
        <w:rPr>
          <w:rFonts w:ascii="Arial"/>
          <w:i/>
          <w:sz w:val="22"/>
        </w:rPr>
      </w:pPr>
      <w:bookmarkStart w:name="FW-GDL-VEG-03. Large Tree Management" w:id="193"/>
      <w:bookmarkEnd w:id="193"/>
      <w:r>
        <w:rPr/>
      </w:r>
      <w:r>
        <w:rPr>
          <w:rFonts w:ascii="Arial"/>
          <w:i/>
          <w:sz w:val="22"/>
        </w:rPr>
        <w:t>FW-GDL-VEG-03.</w:t>
      </w:r>
      <w:r>
        <w:rPr>
          <w:rFonts w:ascii="Arial"/>
          <w:i/>
          <w:spacing w:val="-7"/>
          <w:sz w:val="22"/>
        </w:rPr>
        <w:t> </w:t>
      </w:r>
      <w:r>
        <w:rPr>
          <w:rFonts w:ascii="Arial"/>
          <w:i/>
          <w:sz w:val="22"/>
        </w:rPr>
        <w:t>Large</w:t>
      </w:r>
      <w:r>
        <w:rPr>
          <w:rFonts w:ascii="Arial"/>
          <w:i/>
          <w:spacing w:val="-7"/>
          <w:sz w:val="22"/>
        </w:rPr>
        <w:t> </w:t>
      </w:r>
      <w:r>
        <w:rPr>
          <w:rFonts w:ascii="Arial"/>
          <w:i/>
          <w:sz w:val="22"/>
        </w:rPr>
        <w:t>Tree</w:t>
      </w:r>
      <w:r>
        <w:rPr>
          <w:rFonts w:ascii="Arial"/>
          <w:i/>
          <w:spacing w:val="-7"/>
          <w:sz w:val="22"/>
        </w:rPr>
        <w:t> </w:t>
      </w:r>
      <w:r>
        <w:rPr>
          <w:rFonts w:ascii="Arial"/>
          <w:i/>
          <w:spacing w:val="-2"/>
          <w:sz w:val="22"/>
        </w:rPr>
        <w:t>Management</w:t>
      </w:r>
    </w:p>
    <w:p>
      <w:pPr>
        <w:pStyle w:val="BodyText"/>
        <w:spacing w:line="232" w:lineRule="auto" w:before="65"/>
        <w:ind w:left="1150" w:right="801"/>
      </w:pPr>
      <w:r>
        <w:rPr/>
        <w:t>Management activities should retain and generally emphasize recruitment of individual large trees</w:t>
      </w:r>
      <w:r>
        <w:rPr>
          <w:spacing w:val="-7"/>
        </w:rPr>
        <w:t> </w:t>
      </w:r>
      <w:r>
        <w:rPr/>
        <w:t>(larger</w:t>
      </w:r>
      <w:r>
        <w:rPr>
          <w:spacing w:val="-8"/>
        </w:rPr>
        <w:t> </w:t>
      </w:r>
      <w:r>
        <w:rPr/>
        <w:t>than</w:t>
      </w:r>
      <w:r>
        <w:rPr>
          <w:spacing w:val="-6"/>
        </w:rPr>
        <w:t> </w:t>
      </w:r>
      <w:r>
        <w:rPr/>
        <w:t>20</w:t>
      </w:r>
      <w:r>
        <w:rPr>
          <w:spacing w:val="-4"/>
        </w:rPr>
        <w:t> </w:t>
      </w:r>
      <w:r>
        <w:rPr/>
        <w:t>inches</w:t>
      </w:r>
      <w:r>
        <w:rPr>
          <w:spacing w:val="-7"/>
        </w:rPr>
        <w:t> </w:t>
      </w:r>
      <w:r>
        <w:rPr/>
        <w:t>diameter</w:t>
      </w:r>
      <w:r>
        <w:rPr>
          <w:spacing w:val="-5"/>
        </w:rPr>
        <w:t> </w:t>
      </w:r>
      <w:r>
        <w:rPr/>
        <w:t>at</w:t>
      </w:r>
      <w:r>
        <w:rPr>
          <w:spacing w:val="-4"/>
        </w:rPr>
        <w:t> </w:t>
      </w:r>
      <w:r>
        <w:rPr/>
        <w:t>breast</w:t>
      </w:r>
      <w:r>
        <w:rPr>
          <w:spacing w:val="-7"/>
        </w:rPr>
        <w:t> </w:t>
      </w:r>
      <w:r>
        <w:rPr/>
        <w:t>height)</w:t>
      </w:r>
      <w:r>
        <w:rPr>
          <w:spacing w:val="-7"/>
        </w:rPr>
        <w:t> </w:t>
      </w:r>
      <w:r>
        <w:rPr/>
        <w:t>across</w:t>
      </w:r>
      <w:r>
        <w:rPr>
          <w:spacing w:val="-5"/>
        </w:rPr>
        <w:t> </w:t>
      </w:r>
      <w:r>
        <w:rPr/>
        <w:t>the</w:t>
      </w:r>
      <w:r>
        <w:rPr>
          <w:spacing w:val="-4"/>
        </w:rPr>
        <w:t> </w:t>
      </w:r>
      <w:r>
        <w:rPr/>
        <w:t>landscape.</w:t>
      </w:r>
      <w:r>
        <w:rPr>
          <w:spacing w:val="-5"/>
        </w:rPr>
        <w:t> </w:t>
      </w:r>
      <w:r>
        <w:rPr/>
        <w:t>Exceptions</w:t>
      </w:r>
      <w:r>
        <w:rPr>
          <w:spacing w:val="-7"/>
        </w:rPr>
        <w:t> </w:t>
      </w:r>
      <w:r>
        <w:rPr/>
        <w:t>where individual large trees may be removed or destroyed include the following:</w:t>
      </w:r>
    </w:p>
    <w:p>
      <w:pPr>
        <w:pStyle w:val="ListParagraph"/>
        <w:numPr>
          <w:ilvl w:val="0"/>
          <w:numId w:val="9"/>
        </w:numPr>
        <w:tabs>
          <w:tab w:pos="1692" w:val="left" w:leader="none"/>
        </w:tabs>
        <w:spacing w:line="232" w:lineRule="auto" w:before="197" w:after="0"/>
        <w:ind w:left="1692" w:right="1579" w:hanging="360"/>
        <w:jc w:val="left"/>
        <w:rPr>
          <w:sz w:val="22"/>
        </w:rPr>
      </w:pPr>
      <w:r>
        <w:rPr>
          <w:sz w:val="22"/>
        </w:rPr>
        <w:t>Trees</w:t>
      </w:r>
      <w:r>
        <w:rPr>
          <w:spacing w:val="-5"/>
          <w:sz w:val="22"/>
        </w:rPr>
        <w:t> </w:t>
      </w:r>
      <w:r>
        <w:rPr>
          <w:sz w:val="22"/>
        </w:rPr>
        <w:t>need</w:t>
      </w:r>
      <w:r>
        <w:rPr>
          <w:spacing w:val="-6"/>
          <w:sz w:val="22"/>
        </w:rPr>
        <w:t> </w:t>
      </w:r>
      <w:r>
        <w:rPr>
          <w:sz w:val="22"/>
        </w:rPr>
        <w:t>to</w:t>
      </w:r>
      <w:r>
        <w:rPr>
          <w:spacing w:val="-5"/>
          <w:sz w:val="22"/>
        </w:rPr>
        <w:t> </w:t>
      </w:r>
      <w:r>
        <w:rPr>
          <w:sz w:val="22"/>
        </w:rPr>
        <w:t>be</w:t>
      </w:r>
      <w:r>
        <w:rPr>
          <w:spacing w:val="-5"/>
          <w:sz w:val="22"/>
        </w:rPr>
        <w:t> </w:t>
      </w:r>
      <w:r>
        <w:rPr>
          <w:sz w:val="22"/>
        </w:rPr>
        <w:t>removed</w:t>
      </w:r>
      <w:r>
        <w:rPr>
          <w:spacing w:val="-6"/>
          <w:sz w:val="22"/>
        </w:rPr>
        <w:t> </w:t>
      </w:r>
      <w:r>
        <w:rPr>
          <w:sz w:val="22"/>
        </w:rPr>
        <w:t>for</w:t>
      </w:r>
      <w:r>
        <w:rPr>
          <w:spacing w:val="-5"/>
          <w:sz w:val="22"/>
        </w:rPr>
        <w:t> </w:t>
      </w:r>
      <w:r>
        <w:rPr>
          <w:sz w:val="22"/>
        </w:rPr>
        <w:t>public</w:t>
      </w:r>
      <w:r>
        <w:rPr>
          <w:spacing w:val="-5"/>
          <w:sz w:val="22"/>
        </w:rPr>
        <w:t> </w:t>
      </w:r>
      <w:r>
        <w:rPr>
          <w:sz w:val="22"/>
        </w:rPr>
        <w:t>health</w:t>
      </w:r>
      <w:r>
        <w:rPr>
          <w:spacing w:val="-8"/>
          <w:sz w:val="22"/>
        </w:rPr>
        <w:t> </w:t>
      </w:r>
      <w:r>
        <w:rPr>
          <w:sz w:val="22"/>
        </w:rPr>
        <w:t>or</w:t>
      </w:r>
      <w:r>
        <w:rPr>
          <w:spacing w:val="-7"/>
          <w:sz w:val="22"/>
        </w:rPr>
        <w:t> </w:t>
      </w:r>
      <w:r>
        <w:rPr>
          <w:sz w:val="22"/>
        </w:rPr>
        <w:t>safety</w:t>
      </w:r>
      <w:r>
        <w:rPr>
          <w:spacing w:val="-6"/>
          <w:sz w:val="22"/>
        </w:rPr>
        <w:t> </w:t>
      </w:r>
      <w:r>
        <w:rPr>
          <w:sz w:val="22"/>
        </w:rPr>
        <w:t>(such</w:t>
      </w:r>
      <w:r>
        <w:rPr>
          <w:spacing w:val="-6"/>
          <w:sz w:val="22"/>
        </w:rPr>
        <w:t> </w:t>
      </w:r>
      <w:r>
        <w:rPr>
          <w:sz w:val="22"/>
        </w:rPr>
        <w:t>as,</w:t>
      </w:r>
      <w:r>
        <w:rPr>
          <w:spacing w:val="-5"/>
          <w:sz w:val="22"/>
        </w:rPr>
        <w:t> </w:t>
      </w:r>
      <w:r>
        <w:rPr>
          <w:sz w:val="22"/>
        </w:rPr>
        <w:t>but</w:t>
      </w:r>
      <w:r>
        <w:rPr>
          <w:spacing w:val="-5"/>
          <w:sz w:val="22"/>
        </w:rPr>
        <w:t> </w:t>
      </w:r>
      <w:r>
        <w:rPr>
          <w:sz w:val="22"/>
        </w:rPr>
        <w:t>not</w:t>
      </w:r>
      <w:r>
        <w:rPr>
          <w:spacing w:val="-5"/>
          <w:sz w:val="22"/>
        </w:rPr>
        <w:t> </w:t>
      </w:r>
      <w:r>
        <w:rPr>
          <w:sz w:val="22"/>
        </w:rPr>
        <w:t>limited</w:t>
      </w:r>
      <w:r>
        <w:rPr>
          <w:spacing w:val="-8"/>
          <w:sz w:val="22"/>
        </w:rPr>
        <w:t> </w:t>
      </w:r>
      <w:r>
        <w:rPr>
          <w:sz w:val="22"/>
        </w:rPr>
        <w:t>to, danger/hazard trees along roads or in developed or administrative sites).</w:t>
      </w:r>
    </w:p>
    <w:p>
      <w:pPr>
        <w:pStyle w:val="ListParagraph"/>
        <w:spacing w:after="0" w:line="232" w:lineRule="auto"/>
        <w:jc w:val="left"/>
        <w:rPr>
          <w:sz w:val="22"/>
        </w:rPr>
        <w:sectPr>
          <w:pgSz w:w="12240" w:h="15840"/>
          <w:pgMar w:header="725" w:footer="891" w:top="960" w:bottom="1080" w:left="1080" w:right="720"/>
        </w:sectPr>
      </w:pPr>
    </w:p>
    <w:p>
      <w:pPr>
        <w:pStyle w:val="BodyText"/>
        <w:spacing w:before="212"/>
      </w:pPr>
    </w:p>
    <w:p>
      <w:pPr>
        <w:pStyle w:val="ListParagraph"/>
        <w:numPr>
          <w:ilvl w:val="0"/>
          <w:numId w:val="9"/>
        </w:numPr>
        <w:tabs>
          <w:tab w:pos="900" w:val="left" w:leader="none"/>
        </w:tabs>
        <w:spacing w:line="232" w:lineRule="auto" w:before="0" w:after="0"/>
        <w:ind w:left="900" w:right="2023" w:hanging="360"/>
        <w:jc w:val="left"/>
        <w:rPr>
          <w:sz w:val="22"/>
        </w:rPr>
      </w:pPr>
      <w:r>
        <w:rPr>
          <w:sz w:val="22"/>
        </w:rPr>
        <w:t>Trees</w:t>
      </w:r>
      <w:r>
        <w:rPr>
          <w:spacing w:val="-7"/>
          <w:sz w:val="22"/>
        </w:rPr>
        <w:t> </w:t>
      </w:r>
      <w:r>
        <w:rPr>
          <w:sz w:val="22"/>
        </w:rPr>
        <w:t>need</w:t>
      </w:r>
      <w:r>
        <w:rPr>
          <w:spacing w:val="-8"/>
          <w:sz w:val="22"/>
        </w:rPr>
        <w:t> </w:t>
      </w:r>
      <w:r>
        <w:rPr>
          <w:sz w:val="22"/>
        </w:rPr>
        <w:t>to</w:t>
      </w:r>
      <w:r>
        <w:rPr>
          <w:spacing w:val="-6"/>
          <w:sz w:val="22"/>
        </w:rPr>
        <w:t> </w:t>
      </w:r>
      <w:r>
        <w:rPr>
          <w:sz w:val="22"/>
        </w:rPr>
        <w:t>be</w:t>
      </w:r>
      <w:r>
        <w:rPr>
          <w:spacing w:val="-6"/>
          <w:sz w:val="22"/>
        </w:rPr>
        <w:t> </w:t>
      </w:r>
      <w:r>
        <w:rPr>
          <w:sz w:val="22"/>
        </w:rPr>
        <w:t>removed</w:t>
      </w:r>
      <w:r>
        <w:rPr>
          <w:spacing w:val="-8"/>
          <w:sz w:val="22"/>
        </w:rPr>
        <w:t> </w:t>
      </w:r>
      <w:r>
        <w:rPr>
          <w:sz w:val="22"/>
        </w:rPr>
        <w:t>to</w:t>
      </w:r>
      <w:r>
        <w:rPr>
          <w:spacing w:val="-6"/>
          <w:sz w:val="22"/>
        </w:rPr>
        <w:t> </w:t>
      </w:r>
      <w:r>
        <w:rPr>
          <w:sz w:val="22"/>
        </w:rPr>
        <w:t>facilitate</w:t>
      </w:r>
      <w:r>
        <w:rPr>
          <w:spacing w:val="-9"/>
          <w:sz w:val="22"/>
        </w:rPr>
        <w:t> </w:t>
      </w:r>
      <w:r>
        <w:rPr>
          <w:sz w:val="22"/>
        </w:rPr>
        <w:t>management</w:t>
      </w:r>
      <w:r>
        <w:rPr>
          <w:spacing w:val="-9"/>
          <w:sz w:val="22"/>
        </w:rPr>
        <w:t> </w:t>
      </w:r>
      <w:r>
        <w:rPr>
          <w:sz w:val="22"/>
        </w:rPr>
        <w:t>of</w:t>
      </w:r>
      <w:r>
        <w:rPr>
          <w:spacing w:val="-9"/>
          <w:sz w:val="22"/>
        </w:rPr>
        <w:t> </w:t>
      </w:r>
      <w:r>
        <w:rPr>
          <w:sz w:val="22"/>
        </w:rPr>
        <w:t>emergency</w:t>
      </w:r>
      <w:r>
        <w:rPr>
          <w:spacing w:val="-8"/>
          <w:sz w:val="22"/>
        </w:rPr>
        <w:t> </w:t>
      </w:r>
      <w:r>
        <w:rPr>
          <w:sz w:val="22"/>
        </w:rPr>
        <w:t>situations</w:t>
      </w:r>
      <w:r>
        <w:rPr>
          <w:spacing w:val="-7"/>
          <w:sz w:val="22"/>
        </w:rPr>
        <w:t> </w:t>
      </w:r>
      <w:r>
        <w:rPr>
          <w:sz w:val="22"/>
        </w:rPr>
        <w:t>such</w:t>
      </w:r>
      <w:r>
        <w:rPr>
          <w:spacing w:val="-10"/>
          <w:sz w:val="22"/>
        </w:rPr>
        <w:t> </w:t>
      </w:r>
      <w:r>
        <w:rPr>
          <w:sz w:val="22"/>
        </w:rPr>
        <w:t>as wildfire response.</w:t>
      </w:r>
    </w:p>
    <w:p>
      <w:pPr>
        <w:pStyle w:val="BodyText"/>
        <w:spacing w:line="232" w:lineRule="auto" w:before="120"/>
        <w:ind w:left="359" w:right="1073"/>
      </w:pPr>
      <w:r>
        <w:rPr/>
        <w:t>The</w:t>
      </w:r>
      <w:r>
        <w:rPr>
          <w:spacing w:val="-4"/>
        </w:rPr>
        <w:t> </w:t>
      </w:r>
      <w:r>
        <w:rPr/>
        <w:t>following</w:t>
      </w:r>
      <w:r>
        <w:rPr>
          <w:spacing w:val="-8"/>
        </w:rPr>
        <w:t> </w:t>
      </w:r>
      <w:r>
        <w:rPr/>
        <w:t>exemptions</w:t>
      </w:r>
      <w:r>
        <w:rPr>
          <w:spacing w:val="-5"/>
        </w:rPr>
        <w:t> </w:t>
      </w:r>
      <w:r>
        <w:rPr/>
        <w:t>apply</w:t>
      </w:r>
      <w:r>
        <w:rPr>
          <w:spacing w:val="-4"/>
        </w:rPr>
        <w:t> </w:t>
      </w:r>
      <w:r>
        <w:rPr/>
        <w:t>only</w:t>
      </w:r>
      <w:r>
        <w:rPr>
          <w:spacing w:val="-6"/>
        </w:rPr>
        <w:t> </w:t>
      </w:r>
      <w:r>
        <w:rPr/>
        <w:t>to</w:t>
      </w:r>
      <w:r>
        <w:rPr>
          <w:spacing w:val="-6"/>
        </w:rPr>
        <w:t> </w:t>
      </w:r>
      <w:r>
        <w:rPr/>
        <w:t>situations</w:t>
      </w:r>
      <w:r>
        <w:rPr>
          <w:spacing w:val="-7"/>
        </w:rPr>
        <w:t> </w:t>
      </w:r>
      <w:r>
        <w:rPr/>
        <w:t>where</w:t>
      </w:r>
      <w:r>
        <w:rPr>
          <w:spacing w:val="-4"/>
        </w:rPr>
        <w:t> </w:t>
      </w:r>
      <w:r>
        <w:rPr/>
        <w:t>removal</w:t>
      </w:r>
      <w:r>
        <w:rPr>
          <w:spacing w:val="-8"/>
        </w:rPr>
        <w:t> </w:t>
      </w:r>
      <w:r>
        <w:rPr/>
        <w:t>of</w:t>
      </w:r>
      <w:r>
        <w:rPr>
          <w:spacing w:val="-7"/>
        </w:rPr>
        <w:t> </w:t>
      </w:r>
      <w:r>
        <w:rPr/>
        <w:t>smaller</w:t>
      </w:r>
      <w:r>
        <w:rPr>
          <w:spacing w:val="-7"/>
        </w:rPr>
        <w:t> </w:t>
      </w:r>
      <w:r>
        <w:rPr/>
        <w:t>trees</w:t>
      </w:r>
      <w:r>
        <w:rPr>
          <w:spacing w:val="-7"/>
        </w:rPr>
        <w:t> </w:t>
      </w:r>
      <w:r>
        <w:rPr/>
        <w:t>alone</w:t>
      </w:r>
      <w:r>
        <w:rPr>
          <w:spacing w:val="-4"/>
        </w:rPr>
        <w:t> </w:t>
      </w:r>
      <w:r>
        <w:rPr/>
        <w:t>cannot achieve the stated desired conditions:</w:t>
      </w:r>
    </w:p>
    <w:p>
      <w:pPr>
        <w:pStyle w:val="ListParagraph"/>
        <w:numPr>
          <w:ilvl w:val="0"/>
          <w:numId w:val="9"/>
        </w:numPr>
        <w:tabs>
          <w:tab w:pos="900" w:val="left" w:leader="none"/>
        </w:tabs>
        <w:spacing w:line="232" w:lineRule="auto" w:before="199" w:after="0"/>
        <w:ind w:left="900" w:right="1529" w:hanging="360"/>
        <w:jc w:val="left"/>
        <w:rPr>
          <w:sz w:val="22"/>
        </w:rPr>
      </w:pPr>
      <w:r>
        <w:rPr>
          <w:sz w:val="22"/>
        </w:rPr>
        <w:t>Trees</w:t>
      </w:r>
      <w:r>
        <w:rPr>
          <w:spacing w:val="-7"/>
          <w:sz w:val="22"/>
        </w:rPr>
        <w:t> </w:t>
      </w:r>
      <w:r>
        <w:rPr>
          <w:sz w:val="22"/>
        </w:rPr>
        <w:t>need</w:t>
      </w:r>
      <w:r>
        <w:rPr>
          <w:spacing w:val="-8"/>
          <w:sz w:val="22"/>
        </w:rPr>
        <w:t> </w:t>
      </w:r>
      <w:r>
        <w:rPr>
          <w:sz w:val="22"/>
        </w:rPr>
        <w:t>to</w:t>
      </w:r>
      <w:r>
        <w:rPr>
          <w:spacing w:val="-6"/>
          <w:sz w:val="22"/>
        </w:rPr>
        <w:t> </w:t>
      </w:r>
      <w:r>
        <w:rPr>
          <w:sz w:val="22"/>
        </w:rPr>
        <w:t>be</w:t>
      </w:r>
      <w:r>
        <w:rPr>
          <w:spacing w:val="-6"/>
          <w:sz w:val="22"/>
        </w:rPr>
        <w:t> </w:t>
      </w:r>
      <w:r>
        <w:rPr>
          <w:sz w:val="22"/>
        </w:rPr>
        <w:t>removed</w:t>
      </w:r>
      <w:r>
        <w:rPr>
          <w:spacing w:val="-8"/>
          <w:sz w:val="22"/>
        </w:rPr>
        <w:t> </w:t>
      </w:r>
      <w:r>
        <w:rPr>
          <w:sz w:val="22"/>
        </w:rPr>
        <w:t>to</w:t>
      </w:r>
      <w:r>
        <w:rPr>
          <w:spacing w:val="-8"/>
          <w:sz w:val="22"/>
        </w:rPr>
        <w:t> </w:t>
      </w:r>
      <w:r>
        <w:rPr>
          <w:sz w:val="22"/>
        </w:rPr>
        <w:t>meet,</w:t>
      </w:r>
      <w:r>
        <w:rPr>
          <w:spacing w:val="-8"/>
          <w:sz w:val="22"/>
        </w:rPr>
        <w:t> </w:t>
      </w:r>
      <w:r>
        <w:rPr>
          <w:sz w:val="22"/>
        </w:rPr>
        <w:t>promote,</w:t>
      </w:r>
      <w:r>
        <w:rPr>
          <w:spacing w:val="-8"/>
          <w:sz w:val="22"/>
        </w:rPr>
        <w:t> </w:t>
      </w:r>
      <w:r>
        <w:rPr>
          <w:sz w:val="22"/>
        </w:rPr>
        <w:t>or</w:t>
      </w:r>
      <w:r>
        <w:rPr>
          <w:spacing w:val="-8"/>
          <w:sz w:val="22"/>
        </w:rPr>
        <w:t> </w:t>
      </w:r>
      <w:r>
        <w:rPr>
          <w:sz w:val="22"/>
        </w:rPr>
        <w:t>maintain</w:t>
      </w:r>
      <w:r>
        <w:rPr>
          <w:spacing w:val="-8"/>
          <w:sz w:val="22"/>
        </w:rPr>
        <w:t> </w:t>
      </w:r>
      <w:r>
        <w:rPr>
          <w:sz w:val="22"/>
        </w:rPr>
        <w:t>desired</w:t>
      </w:r>
      <w:r>
        <w:rPr>
          <w:spacing w:val="-8"/>
          <w:sz w:val="22"/>
        </w:rPr>
        <w:t> </w:t>
      </w:r>
      <w:r>
        <w:rPr>
          <w:sz w:val="22"/>
        </w:rPr>
        <w:t>conditions</w:t>
      </w:r>
      <w:r>
        <w:rPr>
          <w:spacing w:val="-8"/>
          <w:sz w:val="22"/>
        </w:rPr>
        <w:t> </w:t>
      </w:r>
      <w:r>
        <w:rPr>
          <w:sz w:val="22"/>
        </w:rPr>
        <w:t>for</w:t>
      </w:r>
      <w:r>
        <w:rPr>
          <w:spacing w:val="-8"/>
          <w:sz w:val="22"/>
        </w:rPr>
        <w:t> </w:t>
      </w:r>
      <w:r>
        <w:rPr>
          <w:sz w:val="22"/>
        </w:rPr>
        <w:t>structural stages (see FW-DC-VEG-03. Forest Structure).</w:t>
      </w:r>
    </w:p>
    <w:p>
      <w:pPr>
        <w:pStyle w:val="ListParagraph"/>
        <w:numPr>
          <w:ilvl w:val="0"/>
          <w:numId w:val="9"/>
        </w:numPr>
        <w:tabs>
          <w:tab w:pos="899" w:val="left" w:leader="none"/>
        </w:tabs>
        <w:spacing w:line="240" w:lineRule="auto" w:before="111" w:after="0"/>
        <w:ind w:left="899" w:right="0" w:hanging="359"/>
        <w:jc w:val="left"/>
        <w:rPr>
          <w:sz w:val="22"/>
        </w:rPr>
      </w:pPr>
      <w:r>
        <w:rPr>
          <w:sz w:val="22"/>
        </w:rPr>
        <w:t>Trees</w:t>
      </w:r>
      <w:r>
        <w:rPr>
          <w:spacing w:val="-7"/>
          <w:sz w:val="22"/>
        </w:rPr>
        <w:t> </w:t>
      </w:r>
      <w:r>
        <w:rPr>
          <w:sz w:val="22"/>
        </w:rPr>
        <w:t>need</w:t>
      </w:r>
      <w:r>
        <w:rPr>
          <w:spacing w:val="-7"/>
          <w:sz w:val="22"/>
        </w:rPr>
        <w:t> </w:t>
      </w:r>
      <w:r>
        <w:rPr>
          <w:sz w:val="22"/>
        </w:rPr>
        <w:t>to</w:t>
      </w:r>
      <w:r>
        <w:rPr>
          <w:spacing w:val="-6"/>
          <w:sz w:val="22"/>
        </w:rPr>
        <w:t> </w:t>
      </w:r>
      <w:r>
        <w:rPr>
          <w:sz w:val="22"/>
        </w:rPr>
        <w:t>be</w:t>
      </w:r>
      <w:r>
        <w:rPr>
          <w:spacing w:val="-6"/>
          <w:sz w:val="22"/>
        </w:rPr>
        <w:t> </w:t>
      </w:r>
      <w:r>
        <w:rPr>
          <w:sz w:val="22"/>
        </w:rPr>
        <w:t>removed</w:t>
      </w:r>
      <w:r>
        <w:rPr>
          <w:spacing w:val="-7"/>
          <w:sz w:val="22"/>
        </w:rPr>
        <w:t> </w:t>
      </w:r>
      <w:r>
        <w:rPr>
          <w:sz w:val="22"/>
        </w:rPr>
        <w:t>to</w:t>
      </w:r>
      <w:r>
        <w:rPr>
          <w:spacing w:val="-6"/>
          <w:sz w:val="22"/>
        </w:rPr>
        <w:t> </w:t>
      </w:r>
      <w:r>
        <w:rPr>
          <w:sz w:val="22"/>
        </w:rPr>
        <w:t>control</w:t>
      </w:r>
      <w:r>
        <w:rPr>
          <w:spacing w:val="-8"/>
          <w:sz w:val="22"/>
        </w:rPr>
        <w:t> </w:t>
      </w:r>
      <w:r>
        <w:rPr>
          <w:sz w:val="22"/>
        </w:rPr>
        <w:t>or</w:t>
      </w:r>
      <w:r>
        <w:rPr>
          <w:spacing w:val="-7"/>
          <w:sz w:val="22"/>
        </w:rPr>
        <w:t> </w:t>
      </w:r>
      <w:r>
        <w:rPr>
          <w:sz w:val="22"/>
        </w:rPr>
        <w:t>limit</w:t>
      </w:r>
      <w:r>
        <w:rPr>
          <w:spacing w:val="-5"/>
          <w:sz w:val="22"/>
        </w:rPr>
        <w:t> </w:t>
      </w:r>
      <w:r>
        <w:rPr>
          <w:sz w:val="22"/>
        </w:rPr>
        <w:t>the</w:t>
      </w:r>
      <w:r>
        <w:rPr>
          <w:spacing w:val="-6"/>
          <w:sz w:val="22"/>
        </w:rPr>
        <w:t> </w:t>
      </w:r>
      <w:r>
        <w:rPr>
          <w:sz w:val="22"/>
        </w:rPr>
        <w:t>spread</w:t>
      </w:r>
      <w:r>
        <w:rPr>
          <w:spacing w:val="-7"/>
          <w:sz w:val="22"/>
        </w:rPr>
        <w:t> </w:t>
      </w:r>
      <w:r>
        <w:rPr>
          <w:sz w:val="22"/>
        </w:rPr>
        <w:t>of</w:t>
      </w:r>
      <w:r>
        <w:rPr>
          <w:spacing w:val="-7"/>
          <w:sz w:val="22"/>
        </w:rPr>
        <w:t> </w:t>
      </w:r>
      <w:r>
        <w:rPr>
          <w:sz w:val="22"/>
        </w:rPr>
        <w:t>insect</w:t>
      </w:r>
      <w:r>
        <w:rPr>
          <w:spacing w:val="-6"/>
          <w:sz w:val="22"/>
        </w:rPr>
        <w:t> </w:t>
      </w:r>
      <w:r>
        <w:rPr>
          <w:sz w:val="22"/>
        </w:rPr>
        <w:t>infestation</w:t>
      </w:r>
      <w:r>
        <w:rPr>
          <w:spacing w:val="-5"/>
          <w:sz w:val="22"/>
        </w:rPr>
        <w:t> </w:t>
      </w:r>
      <w:r>
        <w:rPr>
          <w:sz w:val="22"/>
        </w:rPr>
        <w:t>or</w:t>
      </w:r>
      <w:r>
        <w:rPr>
          <w:spacing w:val="-8"/>
          <w:sz w:val="22"/>
        </w:rPr>
        <w:t> </w:t>
      </w:r>
      <w:r>
        <w:rPr>
          <w:spacing w:val="-2"/>
          <w:sz w:val="22"/>
        </w:rPr>
        <w:t>disease.</w:t>
      </w:r>
    </w:p>
    <w:p>
      <w:pPr>
        <w:pStyle w:val="ListParagraph"/>
        <w:numPr>
          <w:ilvl w:val="0"/>
          <w:numId w:val="9"/>
        </w:numPr>
        <w:tabs>
          <w:tab w:pos="900" w:val="left" w:leader="none"/>
        </w:tabs>
        <w:spacing w:line="232" w:lineRule="auto" w:before="119" w:after="0"/>
        <w:ind w:left="900" w:right="1786" w:hanging="360"/>
        <w:jc w:val="left"/>
        <w:rPr>
          <w:sz w:val="22"/>
        </w:rPr>
      </w:pPr>
      <w:r>
        <w:rPr>
          <w:sz w:val="22"/>
        </w:rPr>
        <w:t>Trees</w:t>
      </w:r>
      <w:r>
        <w:rPr>
          <w:spacing w:val="-9"/>
          <w:sz w:val="22"/>
        </w:rPr>
        <w:t> </w:t>
      </w:r>
      <w:r>
        <w:rPr>
          <w:sz w:val="22"/>
        </w:rPr>
        <w:t>need</w:t>
      </w:r>
      <w:r>
        <w:rPr>
          <w:spacing w:val="-10"/>
          <w:sz w:val="22"/>
        </w:rPr>
        <w:t> </w:t>
      </w:r>
      <w:r>
        <w:rPr>
          <w:sz w:val="22"/>
        </w:rPr>
        <w:t>to</w:t>
      </w:r>
      <w:r>
        <w:rPr>
          <w:spacing w:val="-8"/>
          <w:sz w:val="22"/>
        </w:rPr>
        <w:t> </w:t>
      </w:r>
      <w:r>
        <w:rPr>
          <w:sz w:val="22"/>
        </w:rPr>
        <w:t>be</w:t>
      </w:r>
      <w:r>
        <w:rPr>
          <w:spacing w:val="-8"/>
          <w:sz w:val="22"/>
        </w:rPr>
        <w:t> </w:t>
      </w:r>
      <w:r>
        <w:rPr>
          <w:sz w:val="22"/>
        </w:rPr>
        <w:t>removed</w:t>
      </w:r>
      <w:r>
        <w:rPr>
          <w:spacing w:val="-12"/>
          <w:sz w:val="22"/>
        </w:rPr>
        <w:t> </w:t>
      </w:r>
      <w:r>
        <w:rPr>
          <w:sz w:val="22"/>
        </w:rPr>
        <w:t>where</w:t>
      </w:r>
      <w:r>
        <w:rPr>
          <w:spacing w:val="-11"/>
          <w:sz w:val="22"/>
        </w:rPr>
        <w:t> </w:t>
      </w:r>
      <w:r>
        <w:rPr>
          <w:sz w:val="22"/>
        </w:rPr>
        <w:t>strategically</w:t>
      </w:r>
      <w:r>
        <w:rPr>
          <w:spacing w:val="-8"/>
          <w:sz w:val="22"/>
        </w:rPr>
        <w:t> </w:t>
      </w:r>
      <w:r>
        <w:rPr>
          <w:sz w:val="22"/>
        </w:rPr>
        <w:t>critical</w:t>
      </w:r>
      <w:r>
        <w:rPr>
          <w:spacing w:val="-9"/>
          <w:sz w:val="22"/>
        </w:rPr>
        <w:t> </w:t>
      </w:r>
      <w:r>
        <w:rPr>
          <w:sz w:val="22"/>
        </w:rPr>
        <w:t>to</w:t>
      </w:r>
      <w:r>
        <w:rPr>
          <w:spacing w:val="-8"/>
          <w:sz w:val="22"/>
        </w:rPr>
        <w:t> </w:t>
      </w:r>
      <w:r>
        <w:rPr>
          <w:sz w:val="22"/>
        </w:rPr>
        <w:t>reinforce,</w:t>
      </w:r>
      <w:r>
        <w:rPr>
          <w:spacing w:val="-9"/>
          <w:sz w:val="22"/>
        </w:rPr>
        <w:t> </w:t>
      </w:r>
      <w:r>
        <w:rPr>
          <w:sz w:val="22"/>
        </w:rPr>
        <w:t>facilitate,</w:t>
      </w:r>
      <w:r>
        <w:rPr>
          <w:spacing w:val="-11"/>
          <w:sz w:val="22"/>
        </w:rPr>
        <w:t> </w:t>
      </w:r>
      <w:r>
        <w:rPr>
          <w:sz w:val="22"/>
        </w:rPr>
        <w:t>or</w:t>
      </w:r>
      <w:r>
        <w:rPr>
          <w:spacing w:val="-9"/>
          <w:sz w:val="22"/>
        </w:rPr>
        <w:t> </w:t>
      </w:r>
      <w:r>
        <w:rPr>
          <w:sz w:val="22"/>
        </w:rPr>
        <w:t>improve effectiveness of fuel reduction in wildland-urban interfaces.</w:t>
      </w:r>
    </w:p>
    <w:p>
      <w:pPr>
        <w:pStyle w:val="ListParagraph"/>
        <w:numPr>
          <w:ilvl w:val="0"/>
          <w:numId w:val="9"/>
        </w:numPr>
        <w:tabs>
          <w:tab w:pos="900" w:val="left" w:leader="none"/>
        </w:tabs>
        <w:spacing w:line="232" w:lineRule="auto" w:before="118" w:after="0"/>
        <w:ind w:left="900" w:right="1706" w:hanging="360"/>
        <w:jc w:val="left"/>
        <w:rPr>
          <w:sz w:val="22"/>
        </w:rPr>
      </w:pPr>
      <w:r>
        <w:rPr>
          <w:sz w:val="22"/>
        </w:rPr>
        <w:t>Trees</w:t>
      </w:r>
      <w:r>
        <w:rPr>
          <w:spacing w:val="-6"/>
          <w:sz w:val="22"/>
        </w:rPr>
        <w:t> </w:t>
      </w:r>
      <w:r>
        <w:rPr>
          <w:sz w:val="22"/>
        </w:rPr>
        <w:t>need</w:t>
      </w:r>
      <w:r>
        <w:rPr>
          <w:spacing w:val="-7"/>
          <w:sz w:val="22"/>
        </w:rPr>
        <w:t> </w:t>
      </w:r>
      <w:r>
        <w:rPr>
          <w:sz w:val="22"/>
        </w:rPr>
        <w:t>to</w:t>
      </w:r>
      <w:r>
        <w:rPr>
          <w:spacing w:val="-5"/>
          <w:sz w:val="22"/>
        </w:rPr>
        <w:t> </w:t>
      </w:r>
      <w:r>
        <w:rPr>
          <w:sz w:val="22"/>
        </w:rPr>
        <w:t>be</w:t>
      </w:r>
      <w:r>
        <w:rPr>
          <w:spacing w:val="-5"/>
          <w:sz w:val="22"/>
        </w:rPr>
        <w:t> </w:t>
      </w:r>
      <w:r>
        <w:rPr>
          <w:sz w:val="22"/>
        </w:rPr>
        <w:t>removed</w:t>
      </w:r>
      <w:r>
        <w:rPr>
          <w:spacing w:val="-7"/>
          <w:sz w:val="22"/>
        </w:rPr>
        <w:t> </w:t>
      </w:r>
      <w:r>
        <w:rPr>
          <w:sz w:val="22"/>
        </w:rPr>
        <w:t>to</w:t>
      </w:r>
      <w:r>
        <w:rPr>
          <w:spacing w:val="-5"/>
          <w:sz w:val="22"/>
        </w:rPr>
        <w:t> </w:t>
      </w:r>
      <w:r>
        <w:rPr>
          <w:sz w:val="22"/>
        </w:rPr>
        <w:t>promote</w:t>
      </w:r>
      <w:r>
        <w:rPr>
          <w:spacing w:val="-5"/>
          <w:sz w:val="22"/>
        </w:rPr>
        <w:t> </w:t>
      </w:r>
      <w:r>
        <w:rPr>
          <w:sz w:val="22"/>
        </w:rPr>
        <w:t>special</w:t>
      </w:r>
      <w:r>
        <w:rPr>
          <w:spacing w:val="-6"/>
          <w:sz w:val="22"/>
        </w:rPr>
        <w:t> </w:t>
      </w:r>
      <w:r>
        <w:rPr>
          <w:sz w:val="22"/>
        </w:rPr>
        <w:t>plant</w:t>
      </w:r>
      <w:r>
        <w:rPr>
          <w:spacing w:val="-5"/>
          <w:sz w:val="22"/>
        </w:rPr>
        <w:t> </w:t>
      </w:r>
      <w:r>
        <w:rPr>
          <w:sz w:val="22"/>
        </w:rPr>
        <w:t>habitats</w:t>
      </w:r>
      <w:r>
        <w:rPr>
          <w:spacing w:val="-6"/>
          <w:sz w:val="22"/>
        </w:rPr>
        <w:t> </w:t>
      </w:r>
      <w:r>
        <w:rPr>
          <w:sz w:val="22"/>
        </w:rPr>
        <w:t>(such</w:t>
      </w:r>
      <w:r>
        <w:rPr>
          <w:spacing w:val="-7"/>
          <w:sz w:val="22"/>
        </w:rPr>
        <w:t> </w:t>
      </w:r>
      <w:r>
        <w:rPr>
          <w:sz w:val="22"/>
        </w:rPr>
        <w:t>as,</w:t>
      </w:r>
      <w:r>
        <w:rPr>
          <w:spacing w:val="-6"/>
          <w:sz w:val="22"/>
        </w:rPr>
        <w:t> </w:t>
      </w:r>
      <w:r>
        <w:rPr>
          <w:sz w:val="22"/>
        </w:rPr>
        <w:t>but</w:t>
      </w:r>
      <w:r>
        <w:rPr>
          <w:spacing w:val="-5"/>
          <w:sz w:val="22"/>
        </w:rPr>
        <w:t> </w:t>
      </w:r>
      <w:r>
        <w:rPr>
          <w:sz w:val="22"/>
        </w:rPr>
        <w:t>not</w:t>
      </w:r>
      <w:r>
        <w:rPr>
          <w:spacing w:val="-5"/>
          <w:sz w:val="22"/>
        </w:rPr>
        <w:t> </w:t>
      </w:r>
      <w:r>
        <w:rPr>
          <w:sz w:val="22"/>
        </w:rPr>
        <w:t>limited</w:t>
      </w:r>
      <w:r>
        <w:rPr>
          <w:spacing w:val="-7"/>
          <w:sz w:val="22"/>
        </w:rPr>
        <w:t> </w:t>
      </w:r>
      <w:r>
        <w:rPr>
          <w:sz w:val="22"/>
        </w:rPr>
        <w:t>to, aspen, cottonwood, whitebark pine).</w:t>
      </w:r>
    </w:p>
    <w:p>
      <w:pPr>
        <w:spacing w:before="234"/>
        <w:ind w:left="359" w:right="0" w:firstLine="0"/>
        <w:jc w:val="left"/>
        <w:rPr>
          <w:rFonts w:ascii="Arial"/>
          <w:i/>
          <w:sz w:val="22"/>
        </w:rPr>
      </w:pPr>
      <w:bookmarkStart w:name="FW-GDL-VEG-04. Planned and Unplanned Ign" w:id="194"/>
      <w:bookmarkEnd w:id="194"/>
      <w:r>
        <w:rPr/>
      </w:r>
      <w:r>
        <w:rPr>
          <w:rFonts w:ascii="Arial"/>
          <w:i/>
          <w:sz w:val="22"/>
        </w:rPr>
        <w:t>FW-GDL-VEG-04.</w:t>
      </w:r>
      <w:r>
        <w:rPr>
          <w:rFonts w:ascii="Arial"/>
          <w:i/>
          <w:spacing w:val="-8"/>
          <w:sz w:val="22"/>
        </w:rPr>
        <w:t> </w:t>
      </w:r>
      <w:r>
        <w:rPr>
          <w:rFonts w:ascii="Arial"/>
          <w:i/>
          <w:sz w:val="22"/>
        </w:rPr>
        <w:t>Planned</w:t>
      </w:r>
      <w:r>
        <w:rPr>
          <w:rFonts w:ascii="Arial"/>
          <w:i/>
          <w:spacing w:val="-7"/>
          <w:sz w:val="22"/>
        </w:rPr>
        <w:t> </w:t>
      </w:r>
      <w:r>
        <w:rPr>
          <w:rFonts w:ascii="Arial"/>
          <w:i/>
          <w:sz w:val="22"/>
        </w:rPr>
        <w:t>and</w:t>
      </w:r>
      <w:r>
        <w:rPr>
          <w:rFonts w:ascii="Arial"/>
          <w:i/>
          <w:spacing w:val="-8"/>
          <w:sz w:val="22"/>
        </w:rPr>
        <w:t> </w:t>
      </w:r>
      <w:r>
        <w:rPr>
          <w:rFonts w:ascii="Arial"/>
          <w:i/>
          <w:sz w:val="22"/>
        </w:rPr>
        <w:t>Unplanned</w:t>
      </w:r>
      <w:r>
        <w:rPr>
          <w:rFonts w:ascii="Arial"/>
          <w:i/>
          <w:spacing w:val="-7"/>
          <w:sz w:val="22"/>
        </w:rPr>
        <w:t> </w:t>
      </w:r>
      <w:r>
        <w:rPr>
          <w:rFonts w:ascii="Arial"/>
          <w:i/>
          <w:spacing w:val="-2"/>
          <w:sz w:val="22"/>
        </w:rPr>
        <w:t>Ignitions</w:t>
      </w:r>
    </w:p>
    <w:p>
      <w:pPr>
        <w:pStyle w:val="BodyText"/>
        <w:spacing w:line="232" w:lineRule="auto" w:before="65"/>
        <w:ind w:left="360" w:right="1148"/>
      </w:pPr>
      <w:r>
        <w:rPr/>
        <w:t>Use</w:t>
      </w:r>
      <w:r>
        <w:rPr>
          <w:spacing w:val="-6"/>
        </w:rPr>
        <w:t> </w:t>
      </w:r>
      <w:r>
        <w:rPr/>
        <w:t>of</w:t>
      </w:r>
      <w:r>
        <w:rPr>
          <w:spacing w:val="-4"/>
        </w:rPr>
        <w:t> </w:t>
      </w:r>
      <w:r>
        <w:rPr/>
        <w:t>planned</w:t>
      </w:r>
      <w:r>
        <w:rPr>
          <w:spacing w:val="-5"/>
        </w:rPr>
        <w:t> </w:t>
      </w:r>
      <w:r>
        <w:rPr/>
        <w:t>and</w:t>
      </w:r>
      <w:r>
        <w:rPr>
          <w:spacing w:val="-7"/>
        </w:rPr>
        <w:t> </w:t>
      </w:r>
      <w:r>
        <w:rPr/>
        <w:t>management</w:t>
      </w:r>
      <w:r>
        <w:rPr>
          <w:spacing w:val="-3"/>
        </w:rPr>
        <w:t> </w:t>
      </w:r>
      <w:r>
        <w:rPr/>
        <w:t>of</w:t>
      </w:r>
      <w:r>
        <w:rPr>
          <w:spacing w:val="-6"/>
        </w:rPr>
        <w:t> </w:t>
      </w:r>
      <w:r>
        <w:rPr/>
        <w:t>unplanned</w:t>
      </w:r>
      <w:r>
        <w:rPr>
          <w:spacing w:val="-5"/>
        </w:rPr>
        <w:t> </w:t>
      </w:r>
      <w:r>
        <w:rPr/>
        <w:t>ignitions</w:t>
      </w:r>
      <w:r>
        <w:rPr>
          <w:spacing w:val="-4"/>
        </w:rPr>
        <w:t> </w:t>
      </w:r>
      <w:r>
        <w:rPr/>
        <w:t>may</w:t>
      </w:r>
      <w:r>
        <w:rPr>
          <w:spacing w:val="-5"/>
        </w:rPr>
        <w:t> </w:t>
      </w:r>
      <w:r>
        <w:rPr/>
        <w:t>be</w:t>
      </w:r>
      <w:r>
        <w:rPr>
          <w:spacing w:val="-3"/>
        </w:rPr>
        <w:t> </w:t>
      </w:r>
      <w:r>
        <w:rPr/>
        <w:t>authorized.</w:t>
      </w:r>
      <w:r>
        <w:rPr>
          <w:spacing w:val="-4"/>
        </w:rPr>
        <w:t> </w:t>
      </w:r>
      <w:r>
        <w:rPr/>
        <w:t>Objectives</w:t>
      </w:r>
      <w:r>
        <w:rPr>
          <w:spacing w:val="-4"/>
        </w:rPr>
        <w:t> </w:t>
      </w:r>
      <w:r>
        <w:rPr/>
        <w:t>and strategies for all unplanned ignitions shall be identified at the time of the fire.</w:t>
      </w:r>
    </w:p>
    <w:p>
      <w:pPr>
        <w:spacing w:before="234"/>
        <w:ind w:left="359" w:right="1445" w:firstLine="0"/>
        <w:jc w:val="left"/>
        <w:rPr>
          <w:rFonts w:ascii="Arial"/>
          <w:i/>
          <w:sz w:val="22"/>
        </w:rPr>
      </w:pPr>
      <w:bookmarkStart w:name="FW-GDL-VEG-05. Prohibition on Timber Cut" w:id="195"/>
      <w:bookmarkEnd w:id="195"/>
      <w:r>
        <w:rPr/>
      </w:r>
      <w:r>
        <w:rPr>
          <w:rFonts w:ascii="Arial"/>
          <w:i/>
          <w:sz w:val="22"/>
        </w:rPr>
        <w:t>FW-GDL-VEG-05.</w:t>
      </w:r>
      <w:r>
        <w:rPr>
          <w:rFonts w:ascii="Arial"/>
          <w:i/>
          <w:spacing w:val="-5"/>
          <w:sz w:val="22"/>
        </w:rPr>
        <w:t> </w:t>
      </w:r>
      <w:r>
        <w:rPr>
          <w:rFonts w:ascii="Arial"/>
          <w:i/>
          <w:sz w:val="22"/>
        </w:rPr>
        <w:t>Prohibition</w:t>
      </w:r>
      <w:r>
        <w:rPr>
          <w:rFonts w:ascii="Arial"/>
          <w:i/>
          <w:spacing w:val="-5"/>
          <w:sz w:val="22"/>
        </w:rPr>
        <w:t> </w:t>
      </w:r>
      <w:r>
        <w:rPr>
          <w:rFonts w:ascii="Arial"/>
          <w:i/>
          <w:sz w:val="22"/>
        </w:rPr>
        <w:t>on</w:t>
      </w:r>
      <w:r>
        <w:rPr>
          <w:rFonts w:ascii="Arial"/>
          <w:i/>
          <w:spacing w:val="-5"/>
          <w:sz w:val="22"/>
        </w:rPr>
        <w:t> </w:t>
      </w:r>
      <w:r>
        <w:rPr>
          <w:rFonts w:ascii="Arial"/>
          <w:i/>
          <w:sz w:val="22"/>
        </w:rPr>
        <w:t>Timber</w:t>
      </w:r>
      <w:r>
        <w:rPr>
          <w:rFonts w:ascii="Arial"/>
          <w:i/>
          <w:spacing w:val="-3"/>
          <w:sz w:val="22"/>
        </w:rPr>
        <w:t> </w:t>
      </w:r>
      <w:r>
        <w:rPr>
          <w:rFonts w:ascii="Arial"/>
          <w:i/>
          <w:sz w:val="22"/>
        </w:rPr>
        <w:t>Cutting,</w:t>
      </w:r>
      <w:r>
        <w:rPr>
          <w:rFonts w:ascii="Arial"/>
          <w:i/>
          <w:spacing w:val="-5"/>
          <w:sz w:val="22"/>
        </w:rPr>
        <w:t> </w:t>
      </w:r>
      <w:r>
        <w:rPr>
          <w:rFonts w:ascii="Arial"/>
          <w:i/>
          <w:sz w:val="22"/>
        </w:rPr>
        <w:t>Sale,</w:t>
      </w:r>
      <w:r>
        <w:rPr>
          <w:rFonts w:ascii="Arial"/>
          <w:i/>
          <w:spacing w:val="-3"/>
          <w:sz w:val="22"/>
        </w:rPr>
        <w:t> </w:t>
      </w:r>
      <w:r>
        <w:rPr>
          <w:rFonts w:ascii="Arial"/>
          <w:i/>
          <w:sz w:val="22"/>
        </w:rPr>
        <w:t>or</w:t>
      </w:r>
      <w:r>
        <w:rPr>
          <w:rFonts w:ascii="Arial"/>
          <w:i/>
          <w:spacing w:val="-3"/>
          <w:sz w:val="22"/>
        </w:rPr>
        <w:t> </w:t>
      </w:r>
      <w:r>
        <w:rPr>
          <w:rFonts w:ascii="Arial"/>
          <w:i/>
          <w:sz w:val="22"/>
        </w:rPr>
        <w:t>Removal</w:t>
      </w:r>
      <w:r>
        <w:rPr>
          <w:rFonts w:ascii="Arial"/>
          <w:i/>
          <w:spacing w:val="-5"/>
          <w:sz w:val="22"/>
        </w:rPr>
        <w:t> </w:t>
      </w:r>
      <w:r>
        <w:rPr>
          <w:rFonts w:ascii="Arial"/>
          <w:i/>
          <w:sz w:val="22"/>
        </w:rPr>
        <w:t>in</w:t>
      </w:r>
      <w:r>
        <w:rPr>
          <w:rFonts w:ascii="Arial"/>
          <w:i/>
          <w:spacing w:val="-7"/>
          <w:sz w:val="22"/>
        </w:rPr>
        <w:t> </w:t>
      </w:r>
      <w:r>
        <w:rPr>
          <w:rFonts w:ascii="Arial"/>
          <w:i/>
          <w:sz w:val="22"/>
        </w:rPr>
        <w:t>Inventoried</w:t>
      </w:r>
      <w:r>
        <w:rPr>
          <w:rFonts w:ascii="Arial"/>
          <w:i/>
          <w:sz w:val="22"/>
        </w:rPr>
        <w:t> Roadless Areas</w:t>
      </w:r>
    </w:p>
    <w:p>
      <w:pPr>
        <w:pStyle w:val="BodyText"/>
        <w:spacing w:line="232" w:lineRule="auto" w:before="66"/>
        <w:ind w:left="359" w:right="1445"/>
      </w:pPr>
      <w:r>
        <w:rPr/>
        <w:t>Timber removal activities will comply with requirements of the Roadless Area Rule in effect at the time project-level decisions are made. As of the implementation of this forest plan, the Roadless</w:t>
      </w:r>
      <w:r>
        <w:rPr>
          <w:spacing w:val="-5"/>
        </w:rPr>
        <w:t> </w:t>
      </w:r>
      <w:r>
        <w:rPr/>
        <w:t>Area</w:t>
      </w:r>
      <w:r>
        <w:rPr>
          <w:spacing w:val="-5"/>
        </w:rPr>
        <w:t> </w:t>
      </w:r>
      <w:r>
        <w:rPr/>
        <w:t>Rule</w:t>
      </w:r>
      <w:r>
        <w:rPr>
          <w:spacing w:val="-2"/>
        </w:rPr>
        <w:t> </w:t>
      </w:r>
      <w:r>
        <w:rPr/>
        <w:t>in</w:t>
      </w:r>
      <w:r>
        <w:rPr>
          <w:spacing w:val="-4"/>
        </w:rPr>
        <w:t> </w:t>
      </w:r>
      <w:r>
        <w:rPr/>
        <w:t>effect</w:t>
      </w:r>
      <w:r>
        <w:rPr>
          <w:spacing w:val="-3"/>
        </w:rPr>
        <w:t> </w:t>
      </w:r>
      <w:r>
        <w:rPr/>
        <w:t>is</w:t>
      </w:r>
      <w:r>
        <w:rPr>
          <w:spacing w:val="-3"/>
        </w:rPr>
        <w:t> </w:t>
      </w:r>
      <w:r>
        <w:rPr/>
        <w:t>the</w:t>
      </w:r>
      <w:r>
        <w:rPr>
          <w:spacing w:val="-5"/>
        </w:rPr>
        <w:t> </w:t>
      </w:r>
      <w:r>
        <w:rPr/>
        <w:t>2001</w:t>
      </w:r>
      <w:r>
        <w:rPr>
          <w:spacing w:val="-2"/>
        </w:rPr>
        <w:t> </w:t>
      </w:r>
      <w:r>
        <w:rPr/>
        <w:t>Roadless</w:t>
      </w:r>
      <w:r>
        <w:rPr>
          <w:spacing w:val="-3"/>
        </w:rPr>
        <w:t> </w:t>
      </w:r>
      <w:r>
        <w:rPr/>
        <w:t>Area</w:t>
      </w:r>
      <w:r>
        <w:rPr>
          <w:spacing w:val="-5"/>
        </w:rPr>
        <w:t> </w:t>
      </w:r>
      <w:r>
        <w:rPr/>
        <w:t>Conservation</w:t>
      </w:r>
      <w:r>
        <w:rPr>
          <w:spacing w:val="-4"/>
        </w:rPr>
        <w:t> </w:t>
      </w:r>
      <w:r>
        <w:rPr/>
        <w:t>Rule.</w:t>
      </w:r>
      <w:r>
        <w:rPr>
          <w:spacing w:val="-3"/>
        </w:rPr>
        <w:t> </w:t>
      </w:r>
      <w:r>
        <w:rPr/>
        <w:t>In</w:t>
      </w:r>
      <w:r>
        <w:rPr>
          <w:spacing w:val="-4"/>
        </w:rPr>
        <w:t> </w:t>
      </w:r>
      <w:r>
        <w:rPr/>
        <w:t>this</w:t>
      </w:r>
      <w:r>
        <w:rPr>
          <w:spacing w:val="-5"/>
        </w:rPr>
        <w:t> </w:t>
      </w:r>
      <w:r>
        <w:rPr/>
        <w:t>Rule,</w:t>
      </w:r>
      <w:r>
        <w:rPr>
          <w:spacing w:val="-3"/>
        </w:rPr>
        <w:t> </w:t>
      </w:r>
      <w:r>
        <w:rPr/>
        <w:t>direction on timber removal activities can be found in Subpart B of 36 CFR 294.13 (b).</w:t>
      </w:r>
    </w:p>
    <w:p>
      <w:pPr>
        <w:pStyle w:val="BodyText"/>
        <w:spacing w:before="192"/>
        <w:ind w:left="359"/>
      </w:pPr>
      <w:r>
        <w:rPr/>
        <w:t>See</w:t>
      </w:r>
      <w:r>
        <w:rPr>
          <w:spacing w:val="-3"/>
        </w:rPr>
        <w:t> </w:t>
      </w:r>
      <w:r>
        <w:rPr/>
        <w:t>FEIS</w:t>
      </w:r>
      <w:r>
        <w:rPr>
          <w:spacing w:val="-4"/>
        </w:rPr>
        <w:t> </w:t>
      </w:r>
      <w:r>
        <w:rPr/>
        <w:t>Appendix</w:t>
      </w:r>
      <w:r>
        <w:rPr>
          <w:spacing w:val="-3"/>
        </w:rPr>
        <w:t> </w:t>
      </w:r>
      <w:r>
        <w:rPr/>
        <w:t>F</w:t>
      </w:r>
      <w:r>
        <w:rPr>
          <w:spacing w:val="-4"/>
        </w:rPr>
        <w:t> </w:t>
      </w:r>
      <w:r>
        <w:rPr/>
        <w:t>for</w:t>
      </w:r>
      <w:r>
        <w:rPr>
          <w:spacing w:val="-5"/>
        </w:rPr>
        <w:t> </w:t>
      </w:r>
      <w:r>
        <w:rPr/>
        <w:t>maps</w:t>
      </w:r>
      <w:r>
        <w:rPr>
          <w:spacing w:val="-3"/>
        </w:rPr>
        <w:t> </w:t>
      </w:r>
      <w:r>
        <w:rPr/>
        <w:t>of</w:t>
      </w:r>
      <w:r>
        <w:rPr>
          <w:spacing w:val="-3"/>
        </w:rPr>
        <w:t> </w:t>
      </w:r>
      <w:r>
        <w:rPr/>
        <w:t>inventoried</w:t>
      </w:r>
      <w:r>
        <w:rPr>
          <w:spacing w:val="-4"/>
        </w:rPr>
        <w:t> </w:t>
      </w:r>
      <w:r>
        <w:rPr/>
        <w:t>roadless</w:t>
      </w:r>
      <w:r>
        <w:rPr>
          <w:spacing w:val="-5"/>
        </w:rPr>
        <w:t> </w:t>
      </w:r>
      <w:r>
        <w:rPr>
          <w:spacing w:val="-2"/>
        </w:rPr>
        <w:t>areas.</w:t>
      </w:r>
    </w:p>
    <w:p>
      <w:pPr>
        <w:pStyle w:val="Heading3"/>
        <w:spacing w:before="233"/>
        <w:ind w:left="360"/>
      </w:pPr>
      <w:bookmarkStart w:name="Water Resources (WR)" w:id="196"/>
      <w:bookmarkEnd w:id="196"/>
      <w:r>
        <w:rPr>
          <w:b w:val="0"/>
        </w:rPr>
      </w:r>
      <w:bookmarkStart w:name="_bookmark88" w:id="197"/>
      <w:bookmarkEnd w:id="197"/>
      <w:r>
        <w:rPr>
          <w:b w:val="0"/>
        </w:rPr>
      </w:r>
      <w:r>
        <w:rPr>
          <w:smallCaps/>
          <w:color w:val="475824"/>
        </w:rPr>
        <w:t>Water</w:t>
      </w:r>
      <w:r>
        <w:rPr>
          <w:smallCaps/>
          <w:color w:val="475824"/>
          <w:spacing w:val="-5"/>
        </w:rPr>
        <w:t> </w:t>
      </w:r>
      <w:r>
        <w:rPr>
          <w:smallCaps/>
          <w:color w:val="475824"/>
        </w:rPr>
        <w:t>Resources</w:t>
      </w:r>
      <w:r>
        <w:rPr>
          <w:smallCaps/>
          <w:color w:val="475824"/>
          <w:spacing w:val="-6"/>
        </w:rPr>
        <w:t> </w:t>
      </w:r>
      <w:r>
        <w:rPr>
          <w:smallCaps/>
          <w:color w:val="475824"/>
          <w:spacing w:val="-4"/>
        </w:rPr>
        <w:t>(WR)</w:t>
      </w:r>
    </w:p>
    <w:p>
      <w:pPr>
        <w:pStyle w:val="BodyText"/>
        <w:spacing w:before="1"/>
        <w:rPr>
          <w:rFonts w:ascii="Arial"/>
          <w:b/>
          <w:sz w:val="8"/>
        </w:rPr>
      </w:pPr>
      <w:r>
        <w:rPr>
          <w:rFonts w:ascii="Arial"/>
          <w:b/>
          <w:sz w:val="8"/>
        </w:rPr>
        <mc:AlternateContent>
          <mc:Choice Requires="wps">
            <w:drawing>
              <wp:anchor distT="0" distB="0" distL="0" distR="0" allowOverlap="1" layoutInCell="1" locked="0" behindDoc="1" simplePos="0" relativeHeight="487599104">
                <wp:simplePos x="0" y="0"/>
                <wp:positionH relativeFrom="page">
                  <wp:posOffset>1124711</wp:posOffset>
                </wp:positionH>
                <wp:positionV relativeFrom="paragraph">
                  <wp:posOffset>74290</wp:posOffset>
                </wp:positionV>
                <wp:extent cx="5248910" cy="1534795"/>
                <wp:effectExtent l="0" t="0" r="0" b="0"/>
                <wp:wrapTopAndBottom/>
                <wp:docPr id="149" name="Textbox 149"/>
                <wp:cNvGraphicFramePr>
                  <a:graphicFrameLocks/>
                </wp:cNvGraphicFramePr>
                <a:graphic>
                  <a:graphicData uri="http://schemas.microsoft.com/office/word/2010/wordprocessingShape">
                    <wps:wsp>
                      <wps:cNvPr id="149" name="Textbox 149"/>
                      <wps:cNvSpPr txBox="1"/>
                      <wps:spPr>
                        <a:xfrm>
                          <a:off x="0" y="0"/>
                          <a:ext cx="5248910" cy="1534795"/>
                        </a:xfrm>
                        <a:prstGeom prst="rect">
                          <a:avLst/>
                        </a:prstGeom>
                        <a:solidFill>
                          <a:srgbClr val="DFDFDF"/>
                        </a:solidFill>
                      </wps:spPr>
                      <wps:txbx>
                        <w:txbxContent>
                          <w:p>
                            <w:pPr>
                              <w:pStyle w:val="BodyText"/>
                              <w:ind w:left="28"/>
                              <w:rPr>
                                <w:color w:val="000000"/>
                              </w:rPr>
                            </w:pPr>
                            <w:r>
                              <w:rPr>
                                <w:color w:val="000000"/>
                              </w:rPr>
                              <w:t>This section includes background information and plan components for forestwide aquatic and</w:t>
                            </w:r>
                            <w:r>
                              <w:rPr>
                                <w:color w:val="000000"/>
                                <w:spacing w:val="-4"/>
                              </w:rPr>
                              <w:t> </w:t>
                            </w:r>
                            <w:r>
                              <w:rPr>
                                <w:color w:val="000000"/>
                              </w:rPr>
                              <w:t>riparian</w:t>
                            </w:r>
                            <w:r>
                              <w:rPr>
                                <w:color w:val="000000"/>
                                <w:spacing w:val="-4"/>
                              </w:rPr>
                              <w:t> </w:t>
                            </w:r>
                            <w:r>
                              <w:rPr>
                                <w:color w:val="000000"/>
                              </w:rPr>
                              <w:t>systems,</w:t>
                            </w:r>
                            <w:r>
                              <w:rPr>
                                <w:color w:val="000000"/>
                                <w:spacing w:val="-3"/>
                              </w:rPr>
                              <w:t> </w:t>
                            </w:r>
                            <w:r>
                              <w:rPr>
                                <w:color w:val="000000"/>
                              </w:rPr>
                              <w:t>and</w:t>
                            </w:r>
                            <w:r>
                              <w:rPr>
                                <w:color w:val="000000"/>
                                <w:spacing w:val="-6"/>
                              </w:rPr>
                              <w:t> </w:t>
                            </w:r>
                            <w:r>
                              <w:rPr>
                                <w:color w:val="000000"/>
                              </w:rPr>
                              <w:t>management</w:t>
                            </w:r>
                            <w:r>
                              <w:rPr>
                                <w:color w:val="000000"/>
                                <w:spacing w:val="-5"/>
                              </w:rPr>
                              <w:t> </w:t>
                            </w:r>
                            <w:r>
                              <w:rPr>
                                <w:color w:val="000000"/>
                              </w:rPr>
                              <w:t>direction</w:t>
                            </w:r>
                            <w:r>
                              <w:rPr>
                                <w:color w:val="000000"/>
                                <w:spacing w:val="-4"/>
                              </w:rPr>
                              <w:t> </w:t>
                            </w:r>
                            <w:r>
                              <w:rPr>
                                <w:color w:val="000000"/>
                              </w:rPr>
                              <w:t>specific</w:t>
                            </w:r>
                            <w:r>
                              <w:rPr>
                                <w:color w:val="000000"/>
                                <w:spacing w:val="-3"/>
                              </w:rPr>
                              <w:t> </w:t>
                            </w:r>
                            <w:r>
                              <w:rPr>
                                <w:color w:val="000000"/>
                              </w:rPr>
                              <w:t>to</w:t>
                            </w:r>
                            <w:r>
                              <w:rPr>
                                <w:color w:val="000000"/>
                                <w:spacing w:val="-2"/>
                              </w:rPr>
                              <w:t> </w:t>
                            </w:r>
                            <w:r>
                              <w:rPr>
                                <w:color w:val="000000"/>
                              </w:rPr>
                              <w:t>source</w:t>
                            </w:r>
                            <w:r>
                              <w:rPr>
                                <w:color w:val="000000"/>
                                <w:spacing w:val="-5"/>
                              </w:rPr>
                              <w:t> </w:t>
                            </w:r>
                            <w:r>
                              <w:rPr>
                                <w:color w:val="000000"/>
                              </w:rPr>
                              <w:t>water</w:t>
                            </w:r>
                            <w:r>
                              <w:rPr>
                                <w:color w:val="000000"/>
                                <w:spacing w:val="-3"/>
                              </w:rPr>
                              <w:t> </w:t>
                            </w:r>
                            <w:r>
                              <w:rPr>
                                <w:color w:val="000000"/>
                              </w:rPr>
                              <w:t>protection</w:t>
                            </w:r>
                            <w:r>
                              <w:rPr>
                                <w:color w:val="000000"/>
                                <w:spacing w:val="-4"/>
                              </w:rPr>
                              <w:t> </w:t>
                            </w:r>
                            <w:r>
                              <w:rPr>
                                <w:color w:val="000000"/>
                              </w:rPr>
                              <w:t>areas, key watersheds, and focus and priority watersheds. Plan components throughout this section are applied at different watershed scales depending on the resource, and are identified in each plan component, where applicable. Generally, Forest planning is at the subbasin scale. The Colville National Forest lies within five subbasins – Upper Columbia, Sanpoil, Pend Oreille, Kettle, and Colville. Project planning is at the smaller watershed or subwatershed scale. </w:t>
                            </w:r>
                            <w:hyperlink w:history="true" w:anchor="_bookmark89">
                              <w:r>
                                <w:rPr>
                                  <w:color w:val="000000"/>
                                </w:rPr>
                                <w:t>Figure 4</w:t>
                              </w:r>
                            </w:hyperlink>
                            <w:r>
                              <w:rPr>
                                <w:color w:val="000000"/>
                              </w:rPr>
                              <w:t> illustrates the hierarchy of different watershed scales and terminology used throughout this document.</w:t>
                            </w:r>
                          </w:p>
                        </w:txbxContent>
                      </wps:txbx>
                      <wps:bodyPr wrap="square" lIns="0" tIns="0" rIns="0" bIns="0" rtlCol="0">
                        <a:noAutofit/>
                      </wps:bodyPr>
                    </wps:wsp>
                  </a:graphicData>
                </a:graphic>
              </wp:anchor>
            </w:drawing>
          </mc:Choice>
          <mc:Fallback>
            <w:pict>
              <v:shape style="position:absolute;margin-left:88.559998pt;margin-top:5.849609pt;width:413.3pt;height:120.85pt;mso-position-horizontal-relative:page;mso-position-vertical-relative:paragraph;z-index:-15717376;mso-wrap-distance-left:0;mso-wrap-distance-right:0" type="#_x0000_t202" id="docshape141" filled="true" fillcolor="#dfdfdf" stroked="false">
                <v:textbox inset="0,0,0,0">
                  <w:txbxContent>
                    <w:p>
                      <w:pPr>
                        <w:pStyle w:val="BodyText"/>
                        <w:ind w:left="28"/>
                        <w:rPr>
                          <w:color w:val="000000"/>
                        </w:rPr>
                      </w:pPr>
                      <w:r>
                        <w:rPr>
                          <w:color w:val="000000"/>
                        </w:rPr>
                        <w:t>This section includes background information and plan components for forestwide aquatic and</w:t>
                      </w:r>
                      <w:r>
                        <w:rPr>
                          <w:color w:val="000000"/>
                          <w:spacing w:val="-4"/>
                        </w:rPr>
                        <w:t> </w:t>
                      </w:r>
                      <w:r>
                        <w:rPr>
                          <w:color w:val="000000"/>
                        </w:rPr>
                        <w:t>riparian</w:t>
                      </w:r>
                      <w:r>
                        <w:rPr>
                          <w:color w:val="000000"/>
                          <w:spacing w:val="-4"/>
                        </w:rPr>
                        <w:t> </w:t>
                      </w:r>
                      <w:r>
                        <w:rPr>
                          <w:color w:val="000000"/>
                        </w:rPr>
                        <w:t>systems,</w:t>
                      </w:r>
                      <w:r>
                        <w:rPr>
                          <w:color w:val="000000"/>
                          <w:spacing w:val="-3"/>
                        </w:rPr>
                        <w:t> </w:t>
                      </w:r>
                      <w:r>
                        <w:rPr>
                          <w:color w:val="000000"/>
                        </w:rPr>
                        <w:t>and</w:t>
                      </w:r>
                      <w:r>
                        <w:rPr>
                          <w:color w:val="000000"/>
                          <w:spacing w:val="-6"/>
                        </w:rPr>
                        <w:t> </w:t>
                      </w:r>
                      <w:r>
                        <w:rPr>
                          <w:color w:val="000000"/>
                        </w:rPr>
                        <w:t>management</w:t>
                      </w:r>
                      <w:r>
                        <w:rPr>
                          <w:color w:val="000000"/>
                          <w:spacing w:val="-5"/>
                        </w:rPr>
                        <w:t> </w:t>
                      </w:r>
                      <w:r>
                        <w:rPr>
                          <w:color w:val="000000"/>
                        </w:rPr>
                        <w:t>direction</w:t>
                      </w:r>
                      <w:r>
                        <w:rPr>
                          <w:color w:val="000000"/>
                          <w:spacing w:val="-4"/>
                        </w:rPr>
                        <w:t> </w:t>
                      </w:r>
                      <w:r>
                        <w:rPr>
                          <w:color w:val="000000"/>
                        </w:rPr>
                        <w:t>specific</w:t>
                      </w:r>
                      <w:r>
                        <w:rPr>
                          <w:color w:val="000000"/>
                          <w:spacing w:val="-3"/>
                        </w:rPr>
                        <w:t> </w:t>
                      </w:r>
                      <w:r>
                        <w:rPr>
                          <w:color w:val="000000"/>
                        </w:rPr>
                        <w:t>to</w:t>
                      </w:r>
                      <w:r>
                        <w:rPr>
                          <w:color w:val="000000"/>
                          <w:spacing w:val="-2"/>
                        </w:rPr>
                        <w:t> </w:t>
                      </w:r>
                      <w:r>
                        <w:rPr>
                          <w:color w:val="000000"/>
                        </w:rPr>
                        <w:t>source</w:t>
                      </w:r>
                      <w:r>
                        <w:rPr>
                          <w:color w:val="000000"/>
                          <w:spacing w:val="-5"/>
                        </w:rPr>
                        <w:t> </w:t>
                      </w:r>
                      <w:r>
                        <w:rPr>
                          <w:color w:val="000000"/>
                        </w:rPr>
                        <w:t>water</w:t>
                      </w:r>
                      <w:r>
                        <w:rPr>
                          <w:color w:val="000000"/>
                          <w:spacing w:val="-3"/>
                        </w:rPr>
                        <w:t> </w:t>
                      </w:r>
                      <w:r>
                        <w:rPr>
                          <w:color w:val="000000"/>
                        </w:rPr>
                        <w:t>protection</w:t>
                      </w:r>
                      <w:r>
                        <w:rPr>
                          <w:color w:val="000000"/>
                          <w:spacing w:val="-4"/>
                        </w:rPr>
                        <w:t> </w:t>
                      </w:r>
                      <w:r>
                        <w:rPr>
                          <w:color w:val="000000"/>
                        </w:rPr>
                        <w:t>areas, key watersheds, and focus and priority watersheds. Plan components throughout this section are applied at different watershed scales depending on the resource, and are identified in each plan component, where applicable. Generally, Forest planning is at the subbasin scale. The Colville National Forest lies within five subbasins – Upper Columbia, Sanpoil, Pend Oreille, Kettle, and Colville. Project planning is at the smaller watershed or subwatershed scale. </w:t>
                      </w:r>
                      <w:hyperlink w:history="true" w:anchor="_bookmark89">
                        <w:r>
                          <w:rPr>
                            <w:color w:val="000000"/>
                          </w:rPr>
                          <w:t>Figure 4</w:t>
                        </w:r>
                      </w:hyperlink>
                      <w:r>
                        <w:rPr>
                          <w:color w:val="000000"/>
                        </w:rPr>
                        <w:t> illustrates the hierarchy of different watershed scales and terminology used throughout this document.</w:t>
                      </w:r>
                    </w:p>
                  </w:txbxContent>
                </v:textbox>
                <v:fill type="solid"/>
                <w10:wrap type="topAndBottom"/>
              </v:shape>
            </w:pict>
          </mc:Fallback>
        </mc:AlternateContent>
      </w:r>
    </w:p>
    <w:p>
      <w:pPr>
        <w:pStyle w:val="BodyText"/>
        <w:spacing w:after="0"/>
        <w:rPr>
          <w:rFonts w:ascii="Arial"/>
          <w:b/>
          <w:sz w:val="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p>
      <w:pPr>
        <w:pStyle w:val="BodyText"/>
        <w:ind w:left="1152"/>
        <w:rPr>
          <w:rFonts w:ascii="Arial"/>
          <w:sz w:val="20"/>
        </w:rPr>
      </w:pPr>
      <w:r>
        <w:rPr>
          <w:rFonts w:ascii="Arial"/>
          <w:sz w:val="20"/>
        </w:rPr>
        <w:drawing>
          <wp:inline distT="0" distB="0" distL="0" distR="0">
            <wp:extent cx="5082683" cy="6577583"/>
            <wp:effectExtent l="0" t="0" r="0" b="0"/>
            <wp:docPr id="150" name="Image 150" descr="Illustration of watershed hierarchy from the basin to subwatershed scale"/>
            <wp:cNvGraphicFramePr>
              <a:graphicFrameLocks/>
            </wp:cNvGraphicFramePr>
            <a:graphic>
              <a:graphicData uri="http://schemas.openxmlformats.org/drawingml/2006/picture">
                <pic:pic>
                  <pic:nvPicPr>
                    <pic:cNvPr id="150" name="Image 150" descr="Illustration of watershed hierarchy from the basin to subwatershed scale"/>
                    <pic:cNvPicPr/>
                  </pic:nvPicPr>
                  <pic:blipFill>
                    <a:blip r:embed="rId50" cstate="print"/>
                    <a:stretch>
                      <a:fillRect/>
                    </a:stretch>
                  </pic:blipFill>
                  <pic:spPr>
                    <a:xfrm>
                      <a:off x="0" y="0"/>
                      <a:ext cx="5082683" cy="6577583"/>
                    </a:xfrm>
                    <a:prstGeom prst="rect">
                      <a:avLst/>
                    </a:prstGeom>
                  </pic:spPr>
                </pic:pic>
              </a:graphicData>
            </a:graphic>
          </wp:inline>
        </w:drawing>
      </w:r>
      <w:r>
        <w:rPr>
          <w:rFonts w:ascii="Arial"/>
          <w:sz w:val="20"/>
        </w:rPr>
      </w:r>
    </w:p>
    <w:p>
      <w:pPr>
        <w:spacing w:before="41"/>
        <w:ind w:left="1151" w:right="0" w:firstLine="0"/>
        <w:jc w:val="left"/>
        <w:rPr>
          <w:rFonts w:ascii="Arial"/>
          <w:b/>
          <w:sz w:val="18"/>
        </w:rPr>
      </w:pPr>
      <w:bookmarkStart w:name="_bookmark89" w:id="198"/>
      <w:bookmarkEnd w:id="198"/>
      <w:r>
        <w:rPr/>
      </w:r>
      <w:r>
        <w:rPr>
          <w:rFonts w:ascii="Arial"/>
          <w:b/>
          <w:color w:val="283014"/>
          <w:sz w:val="18"/>
        </w:rPr>
        <w:t>Figure</w:t>
      </w:r>
      <w:r>
        <w:rPr>
          <w:rFonts w:ascii="Arial"/>
          <w:b/>
          <w:color w:val="283014"/>
          <w:spacing w:val="-3"/>
          <w:sz w:val="18"/>
        </w:rPr>
        <w:t> </w:t>
      </w:r>
      <w:r>
        <w:rPr>
          <w:rFonts w:ascii="Arial"/>
          <w:b/>
          <w:color w:val="283014"/>
          <w:sz w:val="18"/>
        </w:rPr>
        <w:t>4.</w:t>
      </w:r>
      <w:r>
        <w:rPr>
          <w:rFonts w:ascii="Arial"/>
          <w:b/>
          <w:color w:val="283014"/>
          <w:spacing w:val="-4"/>
          <w:sz w:val="18"/>
        </w:rPr>
        <w:t> </w:t>
      </w:r>
      <w:r>
        <w:rPr>
          <w:rFonts w:ascii="Arial"/>
          <w:b/>
          <w:color w:val="283014"/>
          <w:sz w:val="18"/>
        </w:rPr>
        <w:t>Illustration</w:t>
      </w:r>
      <w:r>
        <w:rPr>
          <w:rFonts w:ascii="Arial"/>
          <w:b/>
          <w:color w:val="283014"/>
          <w:spacing w:val="-3"/>
          <w:sz w:val="18"/>
        </w:rPr>
        <w:t> </w:t>
      </w:r>
      <w:r>
        <w:rPr>
          <w:rFonts w:ascii="Arial"/>
          <w:b/>
          <w:color w:val="283014"/>
          <w:sz w:val="18"/>
        </w:rPr>
        <w:t>of</w:t>
      </w:r>
      <w:r>
        <w:rPr>
          <w:rFonts w:ascii="Arial"/>
          <w:b/>
          <w:color w:val="283014"/>
          <w:spacing w:val="-4"/>
          <w:sz w:val="18"/>
        </w:rPr>
        <w:t> </w:t>
      </w:r>
      <w:r>
        <w:rPr>
          <w:rFonts w:ascii="Arial"/>
          <w:b/>
          <w:color w:val="283014"/>
          <w:sz w:val="18"/>
        </w:rPr>
        <w:t>watershed</w:t>
      </w:r>
      <w:r>
        <w:rPr>
          <w:rFonts w:ascii="Arial"/>
          <w:b/>
          <w:color w:val="283014"/>
          <w:spacing w:val="-2"/>
          <w:sz w:val="18"/>
        </w:rPr>
        <w:t> </w:t>
      </w:r>
      <w:r>
        <w:rPr>
          <w:rFonts w:ascii="Arial"/>
          <w:b/>
          <w:color w:val="283014"/>
          <w:sz w:val="18"/>
        </w:rPr>
        <w:t>hierarchy</w:t>
      </w:r>
      <w:r>
        <w:rPr>
          <w:rFonts w:ascii="Arial"/>
          <w:b/>
          <w:color w:val="283014"/>
          <w:spacing w:val="-8"/>
          <w:sz w:val="18"/>
        </w:rPr>
        <w:t> </w:t>
      </w:r>
      <w:r>
        <w:rPr>
          <w:rFonts w:ascii="Arial"/>
          <w:b/>
          <w:color w:val="283014"/>
          <w:sz w:val="18"/>
        </w:rPr>
        <w:t>from</w:t>
      </w:r>
      <w:r>
        <w:rPr>
          <w:rFonts w:ascii="Arial"/>
          <w:b/>
          <w:color w:val="283014"/>
          <w:spacing w:val="-1"/>
          <w:sz w:val="18"/>
        </w:rPr>
        <w:t> </w:t>
      </w:r>
      <w:r>
        <w:rPr>
          <w:rFonts w:ascii="Arial"/>
          <w:b/>
          <w:color w:val="283014"/>
          <w:sz w:val="18"/>
        </w:rPr>
        <w:t>the basin</w:t>
      </w:r>
      <w:r>
        <w:rPr>
          <w:rFonts w:ascii="Arial"/>
          <w:b/>
          <w:color w:val="283014"/>
          <w:spacing w:val="-2"/>
          <w:sz w:val="18"/>
        </w:rPr>
        <w:t> </w:t>
      </w:r>
      <w:r>
        <w:rPr>
          <w:rFonts w:ascii="Arial"/>
          <w:b/>
          <w:color w:val="283014"/>
          <w:sz w:val="18"/>
        </w:rPr>
        <w:t>to</w:t>
      </w:r>
      <w:r>
        <w:rPr>
          <w:rFonts w:ascii="Arial"/>
          <w:b/>
          <w:color w:val="283014"/>
          <w:spacing w:val="-2"/>
          <w:sz w:val="18"/>
        </w:rPr>
        <w:t> </w:t>
      </w:r>
      <w:r>
        <w:rPr>
          <w:rFonts w:ascii="Arial"/>
          <w:b/>
          <w:color w:val="283014"/>
          <w:sz w:val="18"/>
        </w:rPr>
        <w:t>subwatershed</w:t>
      </w:r>
      <w:r>
        <w:rPr>
          <w:rFonts w:ascii="Arial"/>
          <w:b/>
          <w:color w:val="283014"/>
          <w:spacing w:val="-1"/>
          <w:sz w:val="18"/>
        </w:rPr>
        <w:t> </w:t>
      </w:r>
      <w:r>
        <w:rPr>
          <w:rFonts w:ascii="Arial"/>
          <w:b/>
          <w:color w:val="283014"/>
          <w:spacing w:val="-2"/>
          <w:sz w:val="18"/>
        </w:rPr>
        <w:t>scale</w:t>
      </w:r>
    </w:p>
    <w:p>
      <w:pPr>
        <w:pStyle w:val="BodyText"/>
        <w:spacing w:before="107"/>
        <w:rPr>
          <w:rFonts w:ascii="Arial"/>
          <w:b/>
          <w:sz w:val="20"/>
        </w:rPr>
      </w:pPr>
      <w:r>
        <w:rPr>
          <w:rFonts w:ascii="Arial"/>
          <w:b/>
          <w:sz w:val="20"/>
        </w:rPr>
        <mc:AlternateContent>
          <mc:Choice Requires="wps">
            <w:drawing>
              <wp:anchor distT="0" distB="0" distL="0" distR="0" allowOverlap="1" layoutInCell="1" locked="0" behindDoc="1" simplePos="0" relativeHeight="487599616">
                <wp:simplePos x="0" y="0"/>
                <wp:positionH relativeFrom="page">
                  <wp:posOffset>1627632</wp:posOffset>
                </wp:positionH>
                <wp:positionV relativeFrom="paragraph">
                  <wp:posOffset>229246</wp:posOffset>
                </wp:positionV>
                <wp:extent cx="5248910" cy="928369"/>
                <wp:effectExtent l="0" t="0" r="0" b="0"/>
                <wp:wrapTopAndBottom/>
                <wp:docPr id="151" name="Textbox 151"/>
                <wp:cNvGraphicFramePr>
                  <a:graphicFrameLocks/>
                </wp:cNvGraphicFramePr>
                <a:graphic>
                  <a:graphicData uri="http://schemas.microsoft.com/office/word/2010/wordprocessingShape">
                    <wps:wsp>
                      <wps:cNvPr id="151" name="Textbox 151"/>
                      <wps:cNvSpPr txBox="1"/>
                      <wps:spPr>
                        <a:xfrm>
                          <a:off x="0" y="0"/>
                          <a:ext cx="5248910" cy="928369"/>
                        </a:xfrm>
                        <a:prstGeom prst="rect">
                          <a:avLst/>
                        </a:prstGeom>
                        <a:solidFill>
                          <a:srgbClr val="DFDFDF"/>
                        </a:solidFill>
                      </wps:spPr>
                      <wps:txbx>
                        <w:txbxContent>
                          <w:p>
                            <w:pPr>
                              <w:pStyle w:val="BodyText"/>
                              <w:spacing w:line="268" w:lineRule="exact"/>
                              <w:ind w:left="28"/>
                              <w:rPr>
                                <w:color w:val="000000"/>
                              </w:rPr>
                            </w:pPr>
                            <w:r>
                              <w:rPr>
                                <w:color w:val="000000"/>
                              </w:rPr>
                              <w:t>AQUATIC</w:t>
                            </w:r>
                            <w:r>
                              <w:rPr>
                                <w:color w:val="000000"/>
                                <w:spacing w:val="-4"/>
                              </w:rPr>
                              <w:t> </w:t>
                            </w:r>
                            <w:r>
                              <w:rPr>
                                <w:color w:val="000000"/>
                              </w:rPr>
                              <w:t>AND</w:t>
                            </w:r>
                            <w:r>
                              <w:rPr>
                                <w:color w:val="000000"/>
                                <w:spacing w:val="-5"/>
                              </w:rPr>
                              <w:t> </w:t>
                            </w:r>
                            <w:r>
                              <w:rPr>
                                <w:color w:val="000000"/>
                              </w:rPr>
                              <w:t>RIPARIAN</w:t>
                            </w:r>
                            <w:r>
                              <w:rPr>
                                <w:color w:val="000000"/>
                                <w:spacing w:val="-4"/>
                              </w:rPr>
                              <w:t> </w:t>
                            </w:r>
                            <w:r>
                              <w:rPr>
                                <w:color w:val="000000"/>
                                <w:spacing w:val="-2"/>
                              </w:rPr>
                              <w:t>SYSTEMS</w:t>
                            </w:r>
                          </w:p>
                          <w:p>
                            <w:pPr>
                              <w:pStyle w:val="BodyText"/>
                              <w:spacing w:before="118"/>
                              <w:ind w:left="28" w:right="120"/>
                              <w:rPr>
                                <w:color w:val="000000"/>
                              </w:rPr>
                            </w:pPr>
                            <w:r>
                              <w:rPr>
                                <w:color w:val="000000"/>
                              </w:rPr>
                              <w:t>Aquatic and riparian direction focuses on maintenance and restoration of the ecological processes responsible for creating and sustaining aquatic and riparian ecosystems across National</w:t>
                            </w:r>
                            <w:r>
                              <w:rPr>
                                <w:color w:val="000000"/>
                                <w:spacing w:val="-2"/>
                              </w:rPr>
                              <w:t> </w:t>
                            </w:r>
                            <w:r>
                              <w:rPr>
                                <w:color w:val="000000"/>
                              </w:rPr>
                              <w:t>Forest</w:t>
                            </w:r>
                            <w:r>
                              <w:rPr>
                                <w:color w:val="000000"/>
                                <w:spacing w:val="-4"/>
                              </w:rPr>
                              <w:t> </w:t>
                            </w:r>
                            <w:r>
                              <w:rPr>
                                <w:color w:val="000000"/>
                              </w:rPr>
                              <w:t>System</w:t>
                            </w:r>
                            <w:r>
                              <w:rPr>
                                <w:color w:val="000000"/>
                                <w:spacing w:val="-1"/>
                              </w:rPr>
                              <w:t> </w:t>
                            </w:r>
                            <w:r>
                              <w:rPr>
                                <w:color w:val="000000"/>
                              </w:rPr>
                              <w:t>lands.</w:t>
                            </w:r>
                            <w:r>
                              <w:rPr>
                                <w:color w:val="000000"/>
                                <w:spacing w:val="-2"/>
                              </w:rPr>
                              <w:t> </w:t>
                            </w:r>
                            <w:r>
                              <w:rPr>
                                <w:color w:val="000000"/>
                              </w:rPr>
                              <w:t>Aquatic</w:t>
                            </w:r>
                            <w:r>
                              <w:rPr>
                                <w:color w:val="000000"/>
                                <w:spacing w:val="-2"/>
                              </w:rPr>
                              <w:t> </w:t>
                            </w:r>
                            <w:r>
                              <w:rPr>
                                <w:color w:val="000000"/>
                              </w:rPr>
                              <w:t>and</w:t>
                            </w:r>
                            <w:r>
                              <w:rPr>
                                <w:color w:val="000000"/>
                                <w:spacing w:val="-3"/>
                              </w:rPr>
                              <w:t> </w:t>
                            </w:r>
                            <w:r>
                              <w:rPr>
                                <w:color w:val="000000"/>
                              </w:rPr>
                              <w:t>riparian</w:t>
                            </w:r>
                            <w:r>
                              <w:rPr>
                                <w:color w:val="000000"/>
                                <w:spacing w:val="-3"/>
                              </w:rPr>
                              <w:t> </w:t>
                            </w:r>
                            <w:r>
                              <w:rPr>
                                <w:color w:val="000000"/>
                              </w:rPr>
                              <w:t>plan</w:t>
                            </w:r>
                            <w:r>
                              <w:rPr>
                                <w:color w:val="000000"/>
                                <w:spacing w:val="-3"/>
                              </w:rPr>
                              <w:t> </w:t>
                            </w:r>
                            <w:r>
                              <w:rPr>
                                <w:color w:val="000000"/>
                              </w:rPr>
                              <w:t>direction</w:t>
                            </w:r>
                            <w:r>
                              <w:rPr>
                                <w:color w:val="000000"/>
                                <w:spacing w:val="-5"/>
                              </w:rPr>
                              <w:t> </w:t>
                            </w:r>
                            <w:r>
                              <w:rPr>
                                <w:color w:val="000000"/>
                              </w:rPr>
                              <w:t>is</w:t>
                            </w:r>
                            <w:r>
                              <w:rPr>
                                <w:color w:val="000000"/>
                                <w:spacing w:val="-2"/>
                              </w:rPr>
                              <w:t> </w:t>
                            </w:r>
                            <w:r>
                              <w:rPr>
                                <w:color w:val="000000"/>
                              </w:rPr>
                              <w:t>expected</w:t>
                            </w:r>
                            <w:r>
                              <w:rPr>
                                <w:color w:val="000000"/>
                                <w:spacing w:val="-3"/>
                              </w:rPr>
                              <w:t> </w:t>
                            </w:r>
                            <w:r>
                              <w:rPr>
                                <w:color w:val="000000"/>
                              </w:rPr>
                              <w:t>to</w:t>
                            </w:r>
                            <w:r>
                              <w:rPr>
                                <w:color w:val="000000"/>
                                <w:spacing w:val="-1"/>
                              </w:rPr>
                              <w:t> </w:t>
                            </w:r>
                            <w:r>
                              <w:rPr>
                                <w:color w:val="000000"/>
                              </w:rPr>
                              <w:t>contribute to</w:t>
                            </w:r>
                            <w:r>
                              <w:rPr>
                                <w:color w:val="000000"/>
                                <w:spacing w:val="-6"/>
                              </w:rPr>
                              <w:t> </w:t>
                            </w:r>
                            <w:r>
                              <w:rPr>
                                <w:color w:val="000000"/>
                              </w:rPr>
                              <w:t>networks</w:t>
                            </w:r>
                            <w:r>
                              <w:rPr>
                                <w:color w:val="000000"/>
                                <w:spacing w:val="-6"/>
                              </w:rPr>
                              <w:t> </w:t>
                            </w:r>
                            <w:r>
                              <w:rPr>
                                <w:color w:val="000000"/>
                              </w:rPr>
                              <w:t>of</w:t>
                            </w:r>
                            <w:r>
                              <w:rPr>
                                <w:color w:val="000000"/>
                                <w:spacing w:val="-6"/>
                              </w:rPr>
                              <w:t> </w:t>
                            </w:r>
                            <w:r>
                              <w:rPr>
                                <w:color w:val="000000"/>
                              </w:rPr>
                              <w:t>properly</w:t>
                            </w:r>
                            <w:r>
                              <w:rPr>
                                <w:color w:val="000000"/>
                                <w:spacing w:val="-3"/>
                              </w:rPr>
                              <w:t> </w:t>
                            </w:r>
                            <w:r>
                              <w:rPr>
                                <w:color w:val="000000"/>
                              </w:rPr>
                              <w:t>functioning</w:t>
                            </w:r>
                            <w:r>
                              <w:rPr>
                                <w:color w:val="000000"/>
                                <w:spacing w:val="-5"/>
                              </w:rPr>
                              <w:t> </w:t>
                            </w:r>
                            <w:r>
                              <w:rPr>
                                <w:color w:val="000000"/>
                              </w:rPr>
                              <w:t>watersheds,</w:t>
                            </w:r>
                            <w:r>
                              <w:rPr>
                                <w:color w:val="000000"/>
                                <w:spacing w:val="-6"/>
                              </w:rPr>
                              <w:t> </w:t>
                            </w:r>
                            <w:r>
                              <w:rPr>
                                <w:color w:val="000000"/>
                              </w:rPr>
                              <w:t>recovery</w:t>
                            </w:r>
                            <w:r>
                              <w:rPr>
                                <w:color w:val="000000"/>
                                <w:spacing w:val="-4"/>
                              </w:rPr>
                              <w:t> </w:t>
                            </w:r>
                            <w:r>
                              <w:rPr>
                                <w:color w:val="000000"/>
                              </w:rPr>
                              <w:t>of</w:t>
                            </w:r>
                            <w:r>
                              <w:rPr>
                                <w:color w:val="000000"/>
                                <w:spacing w:val="-6"/>
                              </w:rPr>
                              <w:t> </w:t>
                            </w:r>
                            <w:r>
                              <w:rPr>
                                <w:color w:val="000000"/>
                              </w:rPr>
                              <w:t>Endangered</w:t>
                            </w:r>
                            <w:r>
                              <w:rPr>
                                <w:color w:val="000000"/>
                                <w:spacing w:val="-5"/>
                              </w:rPr>
                              <w:t> </w:t>
                            </w:r>
                            <w:r>
                              <w:rPr>
                                <w:color w:val="000000"/>
                              </w:rPr>
                              <w:t>Species</w:t>
                            </w:r>
                            <w:r>
                              <w:rPr>
                                <w:color w:val="000000"/>
                                <w:spacing w:val="-4"/>
                              </w:rPr>
                              <w:t> </w:t>
                            </w:r>
                            <w:r>
                              <w:rPr>
                                <w:color w:val="000000"/>
                              </w:rPr>
                              <w:t>Act</w:t>
                            </w:r>
                            <w:r>
                              <w:rPr>
                                <w:color w:val="000000"/>
                                <w:spacing w:val="-3"/>
                              </w:rPr>
                              <w:t> </w:t>
                            </w:r>
                            <w:r>
                              <w:rPr>
                                <w:color w:val="000000"/>
                                <w:spacing w:val="-2"/>
                              </w:rPr>
                              <w:t>(ESA)</w:t>
                            </w:r>
                          </w:p>
                        </w:txbxContent>
                      </wps:txbx>
                      <wps:bodyPr wrap="square" lIns="0" tIns="0" rIns="0" bIns="0" rtlCol="0">
                        <a:noAutofit/>
                      </wps:bodyPr>
                    </wps:wsp>
                  </a:graphicData>
                </a:graphic>
              </wp:anchor>
            </w:drawing>
          </mc:Choice>
          <mc:Fallback>
            <w:pict>
              <v:shape style="position:absolute;margin-left:128.160004pt;margin-top:18.050879pt;width:413.3pt;height:73.1pt;mso-position-horizontal-relative:page;mso-position-vertical-relative:paragraph;z-index:-15716864;mso-wrap-distance-left:0;mso-wrap-distance-right:0" type="#_x0000_t202" id="docshape142" filled="true" fillcolor="#dfdfdf" stroked="false">
                <v:textbox inset="0,0,0,0">
                  <w:txbxContent>
                    <w:p>
                      <w:pPr>
                        <w:pStyle w:val="BodyText"/>
                        <w:spacing w:line="268" w:lineRule="exact"/>
                        <w:ind w:left="28"/>
                        <w:rPr>
                          <w:color w:val="000000"/>
                        </w:rPr>
                      </w:pPr>
                      <w:r>
                        <w:rPr>
                          <w:color w:val="000000"/>
                        </w:rPr>
                        <w:t>AQUATIC</w:t>
                      </w:r>
                      <w:r>
                        <w:rPr>
                          <w:color w:val="000000"/>
                          <w:spacing w:val="-4"/>
                        </w:rPr>
                        <w:t> </w:t>
                      </w:r>
                      <w:r>
                        <w:rPr>
                          <w:color w:val="000000"/>
                        </w:rPr>
                        <w:t>AND</w:t>
                      </w:r>
                      <w:r>
                        <w:rPr>
                          <w:color w:val="000000"/>
                          <w:spacing w:val="-5"/>
                        </w:rPr>
                        <w:t> </w:t>
                      </w:r>
                      <w:r>
                        <w:rPr>
                          <w:color w:val="000000"/>
                        </w:rPr>
                        <w:t>RIPARIAN</w:t>
                      </w:r>
                      <w:r>
                        <w:rPr>
                          <w:color w:val="000000"/>
                          <w:spacing w:val="-4"/>
                        </w:rPr>
                        <w:t> </w:t>
                      </w:r>
                      <w:r>
                        <w:rPr>
                          <w:color w:val="000000"/>
                          <w:spacing w:val="-2"/>
                        </w:rPr>
                        <w:t>SYSTEMS</w:t>
                      </w:r>
                    </w:p>
                    <w:p>
                      <w:pPr>
                        <w:pStyle w:val="BodyText"/>
                        <w:spacing w:before="118"/>
                        <w:ind w:left="28" w:right="120"/>
                        <w:rPr>
                          <w:color w:val="000000"/>
                        </w:rPr>
                      </w:pPr>
                      <w:r>
                        <w:rPr>
                          <w:color w:val="000000"/>
                        </w:rPr>
                        <w:t>Aquatic and riparian direction focuses on maintenance and restoration of the ecological processes responsible for creating and sustaining aquatic and riparian ecosystems across National</w:t>
                      </w:r>
                      <w:r>
                        <w:rPr>
                          <w:color w:val="000000"/>
                          <w:spacing w:val="-2"/>
                        </w:rPr>
                        <w:t> </w:t>
                      </w:r>
                      <w:r>
                        <w:rPr>
                          <w:color w:val="000000"/>
                        </w:rPr>
                        <w:t>Forest</w:t>
                      </w:r>
                      <w:r>
                        <w:rPr>
                          <w:color w:val="000000"/>
                          <w:spacing w:val="-4"/>
                        </w:rPr>
                        <w:t> </w:t>
                      </w:r>
                      <w:r>
                        <w:rPr>
                          <w:color w:val="000000"/>
                        </w:rPr>
                        <w:t>System</w:t>
                      </w:r>
                      <w:r>
                        <w:rPr>
                          <w:color w:val="000000"/>
                          <w:spacing w:val="-1"/>
                        </w:rPr>
                        <w:t> </w:t>
                      </w:r>
                      <w:r>
                        <w:rPr>
                          <w:color w:val="000000"/>
                        </w:rPr>
                        <w:t>lands.</w:t>
                      </w:r>
                      <w:r>
                        <w:rPr>
                          <w:color w:val="000000"/>
                          <w:spacing w:val="-2"/>
                        </w:rPr>
                        <w:t> </w:t>
                      </w:r>
                      <w:r>
                        <w:rPr>
                          <w:color w:val="000000"/>
                        </w:rPr>
                        <w:t>Aquatic</w:t>
                      </w:r>
                      <w:r>
                        <w:rPr>
                          <w:color w:val="000000"/>
                          <w:spacing w:val="-2"/>
                        </w:rPr>
                        <w:t> </w:t>
                      </w:r>
                      <w:r>
                        <w:rPr>
                          <w:color w:val="000000"/>
                        </w:rPr>
                        <w:t>and</w:t>
                      </w:r>
                      <w:r>
                        <w:rPr>
                          <w:color w:val="000000"/>
                          <w:spacing w:val="-3"/>
                        </w:rPr>
                        <w:t> </w:t>
                      </w:r>
                      <w:r>
                        <w:rPr>
                          <w:color w:val="000000"/>
                        </w:rPr>
                        <w:t>riparian</w:t>
                      </w:r>
                      <w:r>
                        <w:rPr>
                          <w:color w:val="000000"/>
                          <w:spacing w:val="-3"/>
                        </w:rPr>
                        <w:t> </w:t>
                      </w:r>
                      <w:r>
                        <w:rPr>
                          <w:color w:val="000000"/>
                        </w:rPr>
                        <w:t>plan</w:t>
                      </w:r>
                      <w:r>
                        <w:rPr>
                          <w:color w:val="000000"/>
                          <w:spacing w:val="-3"/>
                        </w:rPr>
                        <w:t> </w:t>
                      </w:r>
                      <w:r>
                        <w:rPr>
                          <w:color w:val="000000"/>
                        </w:rPr>
                        <w:t>direction</w:t>
                      </w:r>
                      <w:r>
                        <w:rPr>
                          <w:color w:val="000000"/>
                          <w:spacing w:val="-5"/>
                        </w:rPr>
                        <w:t> </w:t>
                      </w:r>
                      <w:r>
                        <w:rPr>
                          <w:color w:val="000000"/>
                        </w:rPr>
                        <w:t>is</w:t>
                      </w:r>
                      <w:r>
                        <w:rPr>
                          <w:color w:val="000000"/>
                          <w:spacing w:val="-2"/>
                        </w:rPr>
                        <w:t> </w:t>
                      </w:r>
                      <w:r>
                        <w:rPr>
                          <w:color w:val="000000"/>
                        </w:rPr>
                        <w:t>expected</w:t>
                      </w:r>
                      <w:r>
                        <w:rPr>
                          <w:color w:val="000000"/>
                          <w:spacing w:val="-3"/>
                        </w:rPr>
                        <w:t> </w:t>
                      </w:r>
                      <w:r>
                        <w:rPr>
                          <w:color w:val="000000"/>
                        </w:rPr>
                        <w:t>to</w:t>
                      </w:r>
                      <w:r>
                        <w:rPr>
                          <w:color w:val="000000"/>
                          <w:spacing w:val="-1"/>
                        </w:rPr>
                        <w:t> </w:t>
                      </w:r>
                      <w:r>
                        <w:rPr>
                          <w:color w:val="000000"/>
                        </w:rPr>
                        <w:t>contribute to</w:t>
                      </w:r>
                      <w:r>
                        <w:rPr>
                          <w:color w:val="000000"/>
                          <w:spacing w:val="-6"/>
                        </w:rPr>
                        <w:t> </w:t>
                      </w:r>
                      <w:r>
                        <w:rPr>
                          <w:color w:val="000000"/>
                        </w:rPr>
                        <w:t>networks</w:t>
                      </w:r>
                      <w:r>
                        <w:rPr>
                          <w:color w:val="000000"/>
                          <w:spacing w:val="-6"/>
                        </w:rPr>
                        <w:t> </w:t>
                      </w:r>
                      <w:r>
                        <w:rPr>
                          <w:color w:val="000000"/>
                        </w:rPr>
                        <w:t>of</w:t>
                      </w:r>
                      <w:r>
                        <w:rPr>
                          <w:color w:val="000000"/>
                          <w:spacing w:val="-6"/>
                        </w:rPr>
                        <w:t> </w:t>
                      </w:r>
                      <w:r>
                        <w:rPr>
                          <w:color w:val="000000"/>
                        </w:rPr>
                        <w:t>properly</w:t>
                      </w:r>
                      <w:r>
                        <w:rPr>
                          <w:color w:val="000000"/>
                          <w:spacing w:val="-3"/>
                        </w:rPr>
                        <w:t> </w:t>
                      </w:r>
                      <w:r>
                        <w:rPr>
                          <w:color w:val="000000"/>
                        </w:rPr>
                        <w:t>functioning</w:t>
                      </w:r>
                      <w:r>
                        <w:rPr>
                          <w:color w:val="000000"/>
                          <w:spacing w:val="-5"/>
                        </w:rPr>
                        <w:t> </w:t>
                      </w:r>
                      <w:r>
                        <w:rPr>
                          <w:color w:val="000000"/>
                        </w:rPr>
                        <w:t>watersheds,</w:t>
                      </w:r>
                      <w:r>
                        <w:rPr>
                          <w:color w:val="000000"/>
                          <w:spacing w:val="-6"/>
                        </w:rPr>
                        <w:t> </w:t>
                      </w:r>
                      <w:r>
                        <w:rPr>
                          <w:color w:val="000000"/>
                        </w:rPr>
                        <w:t>recovery</w:t>
                      </w:r>
                      <w:r>
                        <w:rPr>
                          <w:color w:val="000000"/>
                          <w:spacing w:val="-4"/>
                        </w:rPr>
                        <w:t> </w:t>
                      </w:r>
                      <w:r>
                        <w:rPr>
                          <w:color w:val="000000"/>
                        </w:rPr>
                        <w:t>of</w:t>
                      </w:r>
                      <w:r>
                        <w:rPr>
                          <w:color w:val="000000"/>
                          <w:spacing w:val="-6"/>
                        </w:rPr>
                        <w:t> </w:t>
                      </w:r>
                      <w:r>
                        <w:rPr>
                          <w:color w:val="000000"/>
                        </w:rPr>
                        <w:t>Endangered</w:t>
                      </w:r>
                      <w:r>
                        <w:rPr>
                          <w:color w:val="000000"/>
                          <w:spacing w:val="-5"/>
                        </w:rPr>
                        <w:t> </w:t>
                      </w:r>
                      <w:r>
                        <w:rPr>
                          <w:color w:val="000000"/>
                        </w:rPr>
                        <w:t>Species</w:t>
                      </w:r>
                      <w:r>
                        <w:rPr>
                          <w:color w:val="000000"/>
                          <w:spacing w:val="-4"/>
                        </w:rPr>
                        <w:t> </w:t>
                      </w:r>
                      <w:r>
                        <w:rPr>
                          <w:color w:val="000000"/>
                        </w:rPr>
                        <w:t>Act</w:t>
                      </w:r>
                      <w:r>
                        <w:rPr>
                          <w:color w:val="000000"/>
                          <w:spacing w:val="-3"/>
                        </w:rPr>
                        <w:t> </w:t>
                      </w:r>
                      <w:r>
                        <w:rPr>
                          <w:color w:val="000000"/>
                          <w:spacing w:val="-2"/>
                        </w:rPr>
                        <w:t>(ESA)</w:t>
                      </w:r>
                    </w:p>
                  </w:txbxContent>
                </v:textbox>
                <v:fill type="solid"/>
                <w10:wrap type="topAndBottom"/>
              </v:shape>
            </w:pict>
          </mc:Fallback>
        </mc:AlternateContent>
      </w:r>
    </w:p>
    <w:p>
      <w:pPr>
        <w:pStyle w:val="BodyText"/>
        <w:spacing w:after="0"/>
        <w:rPr>
          <w:rFonts w:ascii="Arial"/>
          <w:b/>
          <w:sz w:val="20"/>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p>
      <w:pPr>
        <w:pStyle w:val="BodyText"/>
        <w:ind w:left="691"/>
        <w:rPr>
          <w:rFonts w:ascii="Arial"/>
          <w:sz w:val="20"/>
        </w:rPr>
      </w:pPr>
      <w:r>
        <w:rPr>
          <w:rFonts w:ascii="Arial"/>
          <w:sz w:val="20"/>
        </w:rPr>
        <mc:AlternateContent>
          <mc:Choice Requires="wps">
            <w:drawing>
              <wp:inline distT="0" distB="0" distL="0" distR="0">
                <wp:extent cx="5248910" cy="2105025"/>
                <wp:effectExtent l="0" t="0" r="0" b="0"/>
                <wp:docPr id="152" name="Textbox 152"/>
                <wp:cNvGraphicFramePr>
                  <a:graphicFrameLocks/>
                </wp:cNvGraphicFramePr>
                <a:graphic>
                  <a:graphicData uri="http://schemas.microsoft.com/office/word/2010/wordprocessingShape">
                    <wps:wsp>
                      <wps:cNvPr id="152" name="Textbox 152"/>
                      <wps:cNvSpPr txBox="1"/>
                      <wps:spPr>
                        <a:xfrm>
                          <a:off x="0" y="0"/>
                          <a:ext cx="5248910" cy="2105025"/>
                        </a:xfrm>
                        <a:prstGeom prst="rect">
                          <a:avLst/>
                        </a:prstGeom>
                        <a:solidFill>
                          <a:srgbClr val="DFDFDF"/>
                        </a:solidFill>
                      </wps:spPr>
                      <wps:txbx>
                        <w:txbxContent>
                          <w:p>
                            <w:pPr>
                              <w:pStyle w:val="BodyText"/>
                              <w:ind w:left="28" w:right="120"/>
                              <w:rPr>
                                <w:color w:val="000000"/>
                              </w:rPr>
                            </w:pPr>
                            <w:r>
                              <w:rPr>
                                <w:color w:val="000000"/>
                              </w:rPr>
                              <w:t>listed</w:t>
                            </w:r>
                            <w:r>
                              <w:rPr>
                                <w:color w:val="000000"/>
                                <w:spacing w:val="-4"/>
                              </w:rPr>
                              <w:t> </w:t>
                            </w:r>
                            <w:r>
                              <w:rPr>
                                <w:color w:val="000000"/>
                              </w:rPr>
                              <w:t>fish,</w:t>
                            </w:r>
                            <w:r>
                              <w:rPr>
                                <w:color w:val="000000"/>
                                <w:spacing w:val="-3"/>
                              </w:rPr>
                              <w:t> </w:t>
                            </w:r>
                            <w:r>
                              <w:rPr>
                                <w:color w:val="000000"/>
                              </w:rPr>
                              <w:t>healthy</w:t>
                            </w:r>
                            <w:r>
                              <w:rPr>
                                <w:color w:val="000000"/>
                                <w:spacing w:val="-2"/>
                              </w:rPr>
                              <w:t> </w:t>
                            </w:r>
                            <w:r>
                              <w:rPr>
                                <w:color w:val="000000"/>
                              </w:rPr>
                              <w:t>populations</w:t>
                            </w:r>
                            <w:r>
                              <w:rPr>
                                <w:color w:val="000000"/>
                                <w:spacing w:val="-5"/>
                              </w:rPr>
                              <w:t> </w:t>
                            </w:r>
                            <w:r>
                              <w:rPr>
                                <w:color w:val="000000"/>
                              </w:rPr>
                              <w:t>of</w:t>
                            </w:r>
                            <w:r>
                              <w:rPr>
                                <w:color w:val="000000"/>
                                <w:spacing w:val="-3"/>
                              </w:rPr>
                              <w:t> </w:t>
                            </w:r>
                            <w:r>
                              <w:rPr>
                                <w:color w:val="000000"/>
                              </w:rPr>
                              <w:t>native</w:t>
                            </w:r>
                            <w:r>
                              <w:rPr>
                                <w:color w:val="000000"/>
                                <w:spacing w:val="-2"/>
                              </w:rPr>
                              <w:t> </w:t>
                            </w:r>
                            <w:r>
                              <w:rPr>
                                <w:color w:val="000000"/>
                              </w:rPr>
                              <w:t>fish,</w:t>
                            </w:r>
                            <w:r>
                              <w:rPr>
                                <w:color w:val="000000"/>
                                <w:spacing w:val="-5"/>
                              </w:rPr>
                              <w:t> </w:t>
                            </w:r>
                            <w:r>
                              <w:rPr>
                                <w:color w:val="000000"/>
                              </w:rPr>
                              <w:t>and</w:t>
                            </w:r>
                            <w:r>
                              <w:rPr>
                                <w:color w:val="000000"/>
                                <w:spacing w:val="-4"/>
                              </w:rPr>
                              <w:t> </w:t>
                            </w:r>
                            <w:r>
                              <w:rPr>
                                <w:color w:val="000000"/>
                              </w:rPr>
                              <w:t>other</w:t>
                            </w:r>
                            <w:r>
                              <w:rPr>
                                <w:color w:val="000000"/>
                                <w:spacing w:val="-3"/>
                              </w:rPr>
                              <w:t> </w:t>
                            </w:r>
                            <w:r>
                              <w:rPr>
                                <w:color w:val="000000"/>
                              </w:rPr>
                              <w:t>aquatic</w:t>
                            </w:r>
                            <w:r>
                              <w:rPr>
                                <w:color w:val="000000"/>
                                <w:spacing w:val="-3"/>
                              </w:rPr>
                              <w:t> </w:t>
                            </w:r>
                            <w:r>
                              <w:rPr>
                                <w:color w:val="000000"/>
                              </w:rPr>
                              <w:t>and</w:t>
                            </w:r>
                            <w:r>
                              <w:rPr>
                                <w:color w:val="000000"/>
                                <w:spacing w:val="-4"/>
                              </w:rPr>
                              <w:t> </w:t>
                            </w:r>
                            <w:r>
                              <w:rPr>
                                <w:color w:val="000000"/>
                              </w:rPr>
                              <w:t>riparian-dependent organisms, and provide a basis for meeting water quality standards.</w:t>
                            </w:r>
                          </w:p>
                          <w:p>
                            <w:pPr>
                              <w:pStyle w:val="BodyText"/>
                              <w:spacing w:before="120"/>
                              <w:ind w:left="28"/>
                              <w:rPr>
                                <w:color w:val="000000"/>
                              </w:rPr>
                            </w:pPr>
                            <w:r>
                              <w:rPr>
                                <w:color w:val="000000"/>
                              </w:rPr>
                              <w:t>FISH</w:t>
                            </w:r>
                            <w:r>
                              <w:rPr>
                                <w:color w:val="000000"/>
                                <w:spacing w:val="-6"/>
                              </w:rPr>
                              <w:t> </w:t>
                            </w:r>
                            <w:r>
                              <w:rPr>
                                <w:color w:val="000000"/>
                              </w:rPr>
                              <w:t>AND</w:t>
                            </w:r>
                            <w:r>
                              <w:rPr>
                                <w:color w:val="000000"/>
                                <w:spacing w:val="-3"/>
                              </w:rPr>
                              <w:t> </w:t>
                            </w:r>
                            <w:r>
                              <w:rPr>
                                <w:color w:val="000000"/>
                              </w:rPr>
                              <w:t>AQUATIC</w:t>
                            </w:r>
                            <w:r>
                              <w:rPr>
                                <w:color w:val="000000"/>
                                <w:spacing w:val="-4"/>
                              </w:rPr>
                              <w:t> </w:t>
                            </w:r>
                            <w:r>
                              <w:rPr>
                                <w:color w:val="000000"/>
                                <w:spacing w:val="-2"/>
                              </w:rPr>
                              <w:t>INVERTEBRATES</w:t>
                            </w:r>
                          </w:p>
                          <w:p>
                            <w:pPr>
                              <w:pStyle w:val="BodyText"/>
                              <w:spacing w:before="120"/>
                              <w:ind w:left="28" w:right="120"/>
                              <w:rPr>
                                <w:color w:val="000000"/>
                              </w:rPr>
                            </w:pPr>
                            <w:r>
                              <w:rPr>
                                <w:color w:val="000000"/>
                              </w:rPr>
                              <w:t>The</w:t>
                            </w:r>
                            <w:r>
                              <w:rPr>
                                <w:color w:val="000000"/>
                                <w:spacing w:val="-2"/>
                              </w:rPr>
                              <w:t> </w:t>
                            </w:r>
                            <w:r>
                              <w:rPr>
                                <w:color w:val="000000"/>
                              </w:rPr>
                              <w:t>Forest</w:t>
                            </w:r>
                            <w:r>
                              <w:rPr>
                                <w:color w:val="000000"/>
                                <w:spacing w:val="-5"/>
                              </w:rPr>
                              <w:t> </w:t>
                            </w:r>
                            <w:r>
                              <w:rPr>
                                <w:color w:val="000000"/>
                              </w:rPr>
                              <w:t>Plan</w:t>
                            </w:r>
                            <w:r>
                              <w:rPr>
                                <w:color w:val="000000"/>
                                <w:spacing w:val="-4"/>
                              </w:rPr>
                              <w:t> </w:t>
                            </w:r>
                            <w:r>
                              <w:rPr>
                                <w:color w:val="000000"/>
                              </w:rPr>
                              <w:t>focuses</w:t>
                            </w:r>
                            <w:r>
                              <w:rPr>
                                <w:color w:val="000000"/>
                                <w:spacing w:val="-5"/>
                              </w:rPr>
                              <w:t> </w:t>
                            </w:r>
                            <w:r>
                              <w:rPr>
                                <w:color w:val="000000"/>
                              </w:rPr>
                              <w:t>on</w:t>
                            </w:r>
                            <w:r>
                              <w:rPr>
                                <w:color w:val="000000"/>
                                <w:spacing w:val="-6"/>
                              </w:rPr>
                              <w:t> </w:t>
                            </w:r>
                            <w:r>
                              <w:rPr>
                                <w:color w:val="000000"/>
                              </w:rPr>
                              <w:t>three</w:t>
                            </w:r>
                            <w:r>
                              <w:rPr>
                                <w:color w:val="000000"/>
                                <w:spacing w:val="-2"/>
                              </w:rPr>
                              <w:t> </w:t>
                            </w:r>
                            <w:r>
                              <w:rPr>
                                <w:color w:val="000000"/>
                              </w:rPr>
                              <w:t>groups</w:t>
                            </w:r>
                            <w:r>
                              <w:rPr>
                                <w:color w:val="000000"/>
                                <w:spacing w:val="-5"/>
                              </w:rPr>
                              <w:t> </w:t>
                            </w:r>
                            <w:r>
                              <w:rPr>
                                <w:color w:val="000000"/>
                              </w:rPr>
                              <w:t>of</w:t>
                            </w:r>
                            <w:r>
                              <w:rPr>
                                <w:color w:val="000000"/>
                                <w:spacing w:val="-3"/>
                              </w:rPr>
                              <w:t> </w:t>
                            </w:r>
                            <w:r>
                              <w:rPr>
                                <w:color w:val="000000"/>
                              </w:rPr>
                              <w:t>fish</w:t>
                            </w:r>
                            <w:r>
                              <w:rPr>
                                <w:color w:val="000000"/>
                                <w:spacing w:val="-4"/>
                              </w:rPr>
                              <w:t> </w:t>
                            </w:r>
                            <w:r>
                              <w:rPr>
                                <w:color w:val="000000"/>
                              </w:rPr>
                              <w:t>and</w:t>
                            </w:r>
                            <w:r>
                              <w:rPr>
                                <w:color w:val="000000"/>
                                <w:spacing w:val="-4"/>
                              </w:rPr>
                              <w:t> </w:t>
                            </w:r>
                            <w:r>
                              <w:rPr>
                                <w:color w:val="000000"/>
                              </w:rPr>
                              <w:t>aquatic</w:t>
                            </w:r>
                            <w:r>
                              <w:rPr>
                                <w:color w:val="000000"/>
                                <w:spacing w:val="-3"/>
                              </w:rPr>
                              <w:t> </w:t>
                            </w:r>
                            <w:r>
                              <w:rPr>
                                <w:color w:val="000000"/>
                              </w:rPr>
                              <w:t>invertebrates:</w:t>
                            </w:r>
                            <w:r>
                              <w:rPr>
                                <w:color w:val="000000"/>
                                <w:spacing w:val="-4"/>
                              </w:rPr>
                              <w:t> </w:t>
                            </w:r>
                            <w:r>
                              <w:rPr>
                                <w:color w:val="000000"/>
                              </w:rPr>
                              <w:t>threatened, endangered, and proposed (TEP); surrogate species (SS); and management indicator species (MIS)/ focal species (FS). These groups are further described in appendix C.</w:t>
                            </w:r>
                          </w:p>
                          <w:p>
                            <w:pPr>
                              <w:pStyle w:val="BodyText"/>
                              <w:spacing w:before="118"/>
                              <w:ind w:left="28" w:right="40"/>
                              <w:rPr>
                                <w:color w:val="000000"/>
                              </w:rPr>
                            </w:pPr>
                            <w:r>
                              <w:rPr>
                                <w:color w:val="000000"/>
                              </w:rPr>
                              <w:t>Threatened and endangered species are those formally listed under the Federal</w:t>
                            </w:r>
                            <w:r>
                              <w:rPr>
                                <w:color w:val="000000"/>
                                <w:spacing w:val="40"/>
                              </w:rPr>
                              <w:t> </w:t>
                            </w:r>
                            <w:r>
                              <w:rPr>
                                <w:color w:val="000000"/>
                              </w:rPr>
                              <w:t>Endangered Species Act of 1973. Surrogate species represent other species that share similar habitat and risk factors and include Region 6 sensitive species, state-listed species, or</w:t>
                            </w:r>
                            <w:r>
                              <w:rPr>
                                <w:color w:val="000000"/>
                                <w:spacing w:val="-4"/>
                              </w:rPr>
                              <w:t> </w:t>
                            </w:r>
                            <w:r>
                              <w:rPr>
                                <w:color w:val="000000"/>
                              </w:rPr>
                              <w:t>other</w:t>
                            </w:r>
                            <w:r>
                              <w:rPr>
                                <w:color w:val="000000"/>
                                <w:spacing w:val="-4"/>
                              </w:rPr>
                              <w:t> </w:t>
                            </w:r>
                            <w:r>
                              <w:rPr>
                                <w:color w:val="000000"/>
                              </w:rPr>
                              <w:t>species</w:t>
                            </w:r>
                            <w:r>
                              <w:rPr>
                                <w:color w:val="000000"/>
                                <w:spacing w:val="-2"/>
                              </w:rPr>
                              <w:t> </w:t>
                            </w:r>
                            <w:r>
                              <w:rPr>
                                <w:color w:val="000000"/>
                              </w:rPr>
                              <w:t>for</w:t>
                            </w:r>
                            <w:r>
                              <w:rPr>
                                <w:color w:val="000000"/>
                                <w:spacing w:val="-2"/>
                              </w:rPr>
                              <w:t> </w:t>
                            </w:r>
                            <w:r>
                              <w:rPr>
                                <w:color w:val="000000"/>
                              </w:rPr>
                              <w:t>which</w:t>
                            </w:r>
                            <w:r>
                              <w:rPr>
                                <w:color w:val="000000"/>
                                <w:spacing w:val="-5"/>
                              </w:rPr>
                              <w:t> </w:t>
                            </w:r>
                            <w:r>
                              <w:rPr>
                                <w:color w:val="000000"/>
                              </w:rPr>
                              <w:t>the</w:t>
                            </w:r>
                            <w:r>
                              <w:rPr>
                                <w:color w:val="000000"/>
                                <w:spacing w:val="-1"/>
                              </w:rPr>
                              <w:t> </w:t>
                            </w:r>
                            <w:r>
                              <w:rPr>
                                <w:color w:val="000000"/>
                              </w:rPr>
                              <w:t>published</w:t>
                            </w:r>
                            <w:r>
                              <w:rPr>
                                <w:color w:val="000000"/>
                                <w:spacing w:val="-3"/>
                              </w:rPr>
                              <w:t> </w:t>
                            </w:r>
                            <w:r>
                              <w:rPr>
                                <w:color w:val="000000"/>
                              </w:rPr>
                              <w:t>literature</w:t>
                            </w:r>
                            <w:r>
                              <w:rPr>
                                <w:color w:val="000000"/>
                                <w:spacing w:val="-1"/>
                              </w:rPr>
                              <w:t> </w:t>
                            </w:r>
                            <w:r>
                              <w:rPr>
                                <w:color w:val="000000"/>
                              </w:rPr>
                              <w:t>has</w:t>
                            </w:r>
                            <w:r>
                              <w:rPr>
                                <w:color w:val="000000"/>
                                <w:spacing w:val="-4"/>
                              </w:rPr>
                              <w:t> </w:t>
                            </w:r>
                            <w:r>
                              <w:rPr>
                                <w:color w:val="000000"/>
                              </w:rPr>
                              <w:t>identified</w:t>
                            </w:r>
                            <w:r>
                              <w:rPr>
                                <w:color w:val="000000"/>
                                <w:spacing w:val="-3"/>
                              </w:rPr>
                              <w:t> </w:t>
                            </w:r>
                            <w:r>
                              <w:rPr>
                                <w:color w:val="000000"/>
                              </w:rPr>
                              <w:t>concerns</w:t>
                            </w:r>
                            <w:r>
                              <w:rPr>
                                <w:color w:val="000000"/>
                                <w:spacing w:val="-2"/>
                              </w:rPr>
                              <w:t> </w:t>
                            </w:r>
                            <w:r>
                              <w:rPr>
                                <w:color w:val="000000"/>
                              </w:rPr>
                              <w:t>for</w:t>
                            </w:r>
                            <w:r>
                              <w:rPr>
                                <w:color w:val="000000"/>
                                <w:spacing w:val="-4"/>
                              </w:rPr>
                              <w:t> </w:t>
                            </w:r>
                            <w:r>
                              <w:rPr>
                                <w:color w:val="000000"/>
                              </w:rPr>
                              <w:t>their</w:t>
                            </w:r>
                            <w:r>
                              <w:rPr>
                                <w:color w:val="000000"/>
                                <w:spacing w:val="-2"/>
                              </w:rPr>
                              <w:t> </w:t>
                            </w:r>
                            <w:r>
                              <w:rPr>
                                <w:color w:val="000000"/>
                              </w:rPr>
                              <w:t>viability. Focal species are a subset of the surrogate species that will be used for monitoring.</w:t>
                            </w:r>
                          </w:p>
                        </w:txbxContent>
                      </wps:txbx>
                      <wps:bodyPr wrap="square" lIns="0" tIns="0" rIns="0" bIns="0" rtlCol="0">
                        <a:noAutofit/>
                      </wps:bodyPr>
                    </wps:wsp>
                  </a:graphicData>
                </a:graphic>
              </wp:inline>
            </w:drawing>
          </mc:Choice>
          <mc:Fallback>
            <w:pict>
              <v:shape style="width:413.3pt;height:165.75pt;mso-position-horizontal-relative:char;mso-position-vertical-relative:line" type="#_x0000_t202" id="docshape143" filled="true" fillcolor="#dfdfdf" stroked="false">
                <w10:anchorlock/>
                <v:textbox inset="0,0,0,0">
                  <w:txbxContent>
                    <w:p>
                      <w:pPr>
                        <w:pStyle w:val="BodyText"/>
                        <w:ind w:left="28" w:right="120"/>
                        <w:rPr>
                          <w:color w:val="000000"/>
                        </w:rPr>
                      </w:pPr>
                      <w:r>
                        <w:rPr>
                          <w:color w:val="000000"/>
                        </w:rPr>
                        <w:t>listed</w:t>
                      </w:r>
                      <w:r>
                        <w:rPr>
                          <w:color w:val="000000"/>
                          <w:spacing w:val="-4"/>
                        </w:rPr>
                        <w:t> </w:t>
                      </w:r>
                      <w:r>
                        <w:rPr>
                          <w:color w:val="000000"/>
                        </w:rPr>
                        <w:t>fish,</w:t>
                      </w:r>
                      <w:r>
                        <w:rPr>
                          <w:color w:val="000000"/>
                          <w:spacing w:val="-3"/>
                        </w:rPr>
                        <w:t> </w:t>
                      </w:r>
                      <w:r>
                        <w:rPr>
                          <w:color w:val="000000"/>
                        </w:rPr>
                        <w:t>healthy</w:t>
                      </w:r>
                      <w:r>
                        <w:rPr>
                          <w:color w:val="000000"/>
                          <w:spacing w:val="-2"/>
                        </w:rPr>
                        <w:t> </w:t>
                      </w:r>
                      <w:r>
                        <w:rPr>
                          <w:color w:val="000000"/>
                        </w:rPr>
                        <w:t>populations</w:t>
                      </w:r>
                      <w:r>
                        <w:rPr>
                          <w:color w:val="000000"/>
                          <w:spacing w:val="-5"/>
                        </w:rPr>
                        <w:t> </w:t>
                      </w:r>
                      <w:r>
                        <w:rPr>
                          <w:color w:val="000000"/>
                        </w:rPr>
                        <w:t>of</w:t>
                      </w:r>
                      <w:r>
                        <w:rPr>
                          <w:color w:val="000000"/>
                          <w:spacing w:val="-3"/>
                        </w:rPr>
                        <w:t> </w:t>
                      </w:r>
                      <w:r>
                        <w:rPr>
                          <w:color w:val="000000"/>
                        </w:rPr>
                        <w:t>native</w:t>
                      </w:r>
                      <w:r>
                        <w:rPr>
                          <w:color w:val="000000"/>
                          <w:spacing w:val="-2"/>
                        </w:rPr>
                        <w:t> </w:t>
                      </w:r>
                      <w:r>
                        <w:rPr>
                          <w:color w:val="000000"/>
                        </w:rPr>
                        <w:t>fish,</w:t>
                      </w:r>
                      <w:r>
                        <w:rPr>
                          <w:color w:val="000000"/>
                          <w:spacing w:val="-5"/>
                        </w:rPr>
                        <w:t> </w:t>
                      </w:r>
                      <w:r>
                        <w:rPr>
                          <w:color w:val="000000"/>
                        </w:rPr>
                        <w:t>and</w:t>
                      </w:r>
                      <w:r>
                        <w:rPr>
                          <w:color w:val="000000"/>
                          <w:spacing w:val="-4"/>
                        </w:rPr>
                        <w:t> </w:t>
                      </w:r>
                      <w:r>
                        <w:rPr>
                          <w:color w:val="000000"/>
                        </w:rPr>
                        <w:t>other</w:t>
                      </w:r>
                      <w:r>
                        <w:rPr>
                          <w:color w:val="000000"/>
                          <w:spacing w:val="-3"/>
                        </w:rPr>
                        <w:t> </w:t>
                      </w:r>
                      <w:r>
                        <w:rPr>
                          <w:color w:val="000000"/>
                        </w:rPr>
                        <w:t>aquatic</w:t>
                      </w:r>
                      <w:r>
                        <w:rPr>
                          <w:color w:val="000000"/>
                          <w:spacing w:val="-3"/>
                        </w:rPr>
                        <w:t> </w:t>
                      </w:r>
                      <w:r>
                        <w:rPr>
                          <w:color w:val="000000"/>
                        </w:rPr>
                        <w:t>and</w:t>
                      </w:r>
                      <w:r>
                        <w:rPr>
                          <w:color w:val="000000"/>
                          <w:spacing w:val="-4"/>
                        </w:rPr>
                        <w:t> </w:t>
                      </w:r>
                      <w:r>
                        <w:rPr>
                          <w:color w:val="000000"/>
                        </w:rPr>
                        <w:t>riparian-dependent organisms, and provide a basis for meeting water quality standards.</w:t>
                      </w:r>
                    </w:p>
                    <w:p>
                      <w:pPr>
                        <w:pStyle w:val="BodyText"/>
                        <w:spacing w:before="120"/>
                        <w:ind w:left="28"/>
                        <w:rPr>
                          <w:color w:val="000000"/>
                        </w:rPr>
                      </w:pPr>
                      <w:r>
                        <w:rPr>
                          <w:color w:val="000000"/>
                        </w:rPr>
                        <w:t>FISH</w:t>
                      </w:r>
                      <w:r>
                        <w:rPr>
                          <w:color w:val="000000"/>
                          <w:spacing w:val="-6"/>
                        </w:rPr>
                        <w:t> </w:t>
                      </w:r>
                      <w:r>
                        <w:rPr>
                          <w:color w:val="000000"/>
                        </w:rPr>
                        <w:t>AND</w:t>
                      </w:r>
                      <w:r>
                        <w:rPr>
                          <w:color w:val="000000"/>
                          <w:spacing w:val="-3"/>
                        </w:rPr>
                        <w:t> </w:t>
                      </w:r>
                      <w:r>
                        <w:rPr>
                          <w:color w:val="000000"/>
                        </w:rPr>
                        <w:t>AQUATIC</w:t>
                      </w:r>
                      <w:r>
                        <w:rPr>
                          <w:color w:val="000000"/>
                          <w:spacing w:val="-4"/>
                        </w:rPr>
                        <w:t> </w:t>
                      </w:r>
                      <w:r>
                        <w:rPr>
                          <w:color w:val="000000"/>
                          <w:spacing w:val="-2"/>
                        </w:rPr>
                        <w:t>INVERTEBRATES</w:t>
                      </w:r>
                    </w:p>
                    <w:p>
                      <w:pPr>
                        <w:pStyle w:val="BodyText"/>
                        <w:spacing w:before="120"/>
                        <w:ind w:left="28" w:right="120"/>
                        <w:rPr>
                          <w:color w:val="000000"/>
                        </w:rPr>
                      </w:pPr>
                      <w:r>
                        <w:rPr>
                          <w:color w:val="000000"/>
                        </w:rPr>
                        <w:t>The</w:t>
                      </w:r>
                      <w:r>
                        <w:rPr>
                          <w:color w:val="000000"/>
                          <w:spacing w:val="-2"/>
                        </w:rPr>
                        <w:t> </w:t>
                      </w:r>
                      <w:r>
                        <w:rPr>
                          <w:color w:val="000000"/>
                        </w:rPr>
                        <w:t>Forest</w:t>
                      </w:r>
                      <w:r>
                        <w:rPr>
                          <w:color w:val="000000"/>
                          <w:spacing w:val="-5"/>
                        </w:rPr>
                        <w:t> </w:t>
                      </w:r>
                      <w:r>
                        <w:rPr>
                          <w:color w:val="000000"/>
                        </w:rPr>
                        <w:t>Plan</w:t>
                      </w:r>
                      <w:r>
                        <w:rPr>
                          <w:color w:val="000000"/>
                          <w:spacing w:val="-4"/>
                        </w:rPr>
                        <w:t> </w:t>
                      </w:r>
                      <w:r>
                        <w:rPr>
                          <w:color w:val="000000"/>
                        </w:rPr>
                        <w:t>focuses</w:t>
                      </w:r>
                      <w:r>
                        <w:rPr>
                          <w:color w:val="000000"/>
                          <w:spacing w:val="-5"/>
                        </w:rPr>
                        <w:t> </w:t>
                      </w:r>
                      <w:r>
                        <w:rPr>
                          <w:color w:val="000000"/>
                        </w:rPr>
                        <w:t>on</w:t>
                      </w:r>
                      <w:r>
                        <w:rPr>
                          <w:color w:val="000000"/>
                          <w:spacing w:val="-6"/>
                        </w:rPr>
                        <w:t> </w:t>
                      </w:r>
                      <w:r>
                        <w:rPr>
                          <w:color w:val="000000"/>
                        </w:rPr>
                        <w:t>three</w:t>
                      </w:r>
                      <w:r>
                        <w:rPr>
                          <w:color w:val="000000"/>
                          <w:spacing w:val="-2"/>
                        </w:rPr>
                        <w:t> </w:t>
                      </w:r>
                      <w:r>
                        <w:rPr>
                          <w:color w:val="000000"/>
                        </w:rPr>
                        <w:t>groups</w:t>
                      </w:r>
                      <w:r>
                        <w:rPr>
                          <w:color w:val="000000"/>
                          <w:spacing w:val="-5"/>
                        </w:rPr>
                        <w:t> </w:t>
                      </w:r>
                      <w:r>
                        <w:rPr>
                          <w:color w:val="000000"/>
                        </w:rPr>
                        <w:t>of</w:t>
                      </w:r>
                      <w:r>
                        <w:rPr>
                          <w:color w:val="000000"/>
                          <w:spacing w:val="-3"/>
                        </w:rPr>
                        <w:t> </w:t>
                      </w:r>
                      <w:r>
                        <w:rPr>
                          <w:color w:val="000000"/>
                        </w:rPr>
                        <w:t>fish</w:t>
                      </w:r>
                      <w:r>
                        <w:rPr>
                          <w:color w:val="000000"/>
                          <w:spacing w:val="-4"/>
                        </w:rPr>
                        <w:t> </w:t>
                      </w:r>
                      <w:r>
                        <w:rPr>
                          <w:color w:val="000000"/>
                        </w:rPr>
                        <w:t>and</w:t>
                      </w:r>
                      <w:r>
                        <w:rPr>
                          <w:color w:val="000000"/>
                          <w:spacing w:val="-4"/>
                        </w:rPr>
                        <w:t> </w:t>
                      </w:r>
                      <w:r>
                        <w:rPr>
                          <w:color w:val="000000"/>
                        </w:rPr>
                        <w:t>aquatic</w:t>
                      </w:r>
                      <w:r>
                        <w:rPr>
                          <w:color w:val="000000"/>
                          <w:spacing w:val="-3"/>
                        </w:rPr>
                        <w:t> </w:t>
                      </w:r>
                      <w:r>
                        <w:rPr>
                          <w:color w:val="000000"/>
                        </w:rPr>
                        <w:t>invertebrates:</w:t>
                      </w:r>
                      <w:r>
                        <w:rPr>
                          <w:color w:val="000000"/>
                          <w:spacing w:val="-4"/>
                        </w:rPr>
                        <w:t> </w:t>
                      </w:r>
                      <w:r>
                        <w:rPr>
                          <w:color w:val="000000"/>
                        </w:rPr>
                        <w:t>threatened, endangered, and proposed (TEP); surrogate species (SS); and management indicator species (MIS)/ focal species (FS). These groups are further described in appendix C.</w:t>
                      </w:r>
                    </w:p>
                    <w:p>
                      <w:pPr>
                        <w:pStyle w:val="BodyText"/>
                        <w:spacing w:before="118"/>
                        <w:ind w:left="28" w:right="40"/>
                        <w:rPr>
                          <w:color w:val="000000"/>
                        </w:rPr>
                      </w:pPr>
                      <w:r>
                        <w:rPr>
                          <w:color w:val="000000"/>
                        </w:rPr>
                        <w:t>Threatened and endangered species are those formally listed under the Federal</w:t>
                      </w:r>
                      <w:r>
                        <w:rPr>
                          <w:color w:val="000000"/>
                          <w:spacing w:val="40"/>
                        </w:rPr>
                        <w:t> </w:t>
                      </w:r>
                      <w:r>
                        <w:rPr>
                          <w:color w:val="000000"/>
                        </w:rPr>
                        <w:t>Endangered Species Act of 1973. Surrogate species represent other species that share similar habitat and risk factors and include Region 6 sensitive species, state-listed species, or</w:t>
                      </w:r>
                      <w:r>
                        <w:rPr>
                          <w:color w:val="000000"/>
                          <w:spacing w:val="-4"/>
                        </w:rPr>
                        <w:t> </w:t>
                      </w:r>
                      <w:r>
                        <w:rPr>
                          <w:color w:val="000000"/>
                        </w:rPr>
                        <w:t>other</w:t>
                      </w:r>
                      <w:r>
                        <w:rPr>
                          <w:color w:val="000000"/>
                          <w:spacing w:val="-4"/>
                        </w:rPr>
                        <w:t> </w:t>
                      </w:r>
                      <w:r>
                        <w:rPr>
                          <w:color w:val="000000"/>
                        </w:rPr>
                        <w:t>species</w:t>
                      </w:r>
                      <w:r>
                        <w:rPr>
                          <w:color w:val="000000"/>
                          <w:spacing w:val="-2"/>
                        </w:rPr>
                        <w:t> </w:t>
                      </w:r>
                      <w:r>
                        <w:rPr>
                          <w:color w:val="000000"/>
                        </w:rPr>
                        <w:t>for</w:t>
                      </w:r>
                      <w:r>
                        <w:rPr>
                          <w:color w:val="000000"/>
                          <w:spacing w:val="-2"/>
                        </w:rPr>
                        <w:t> </w:t>
                      </w:r>
                      <w:r>
                        <w:rPr>
                          <w:color w:val="000000"/>
                        </w:rPr>
                        <w:t>which</w:t>
                      </w:r>
                      <w:r>
                        <w:rPr>
                          <w:color w:val="000000"/>
                          <w:spacing w:val="-5"/>
                        </w:rPr>
                        <w:t> </w:t>
                      </w:r>
                      <w:r>
                        <w:rPr>
                          <w:color w:val="000000"/>
                        </w:rPr>
                        <w:t>the</w:t>
                      </w:r>
                      <w:r>
                        <w:rPr>
                          <w:color w:val="000000"/>
                          <w:spacing w:val="-1"/>
                        </w:rPr>
                        <w:t> </w:t>
                      </w:r>
                      <w:r>
                        <w:rPr>
                          <w:color w:val="000000"/>
                        </w:rPr>
                        <w:t>published</w:t>
                      </w:r>
                      <w:r>
                        <w:rPr>
                          <w:color w:val="000000"/>
                          <w:spacing w:val="-3"/>
                        </w:rPr>
                        <w:t> </w:t>
                      </w:r>
                      <w:r>
                        <w:rPr>
                          <w:color w:val="000000"/>
                        </w:rPr>
                        <w:t>literature</w:t>
                      </w:r>
                      <w:r>
                        <w:rPr>
                          <w:color w:val="000000"/>
                          <w:spacing w:val="-1"/>
                        </w:rPr>
                        <w:t> </w:t>
                      </w:r>
                      <w:r>
                        <w:rPr>
                          <w:color w:val="000000"/>
                        </w:rPr>
                        <w:t>has</w:t>
                      </w:r>
                      <w:r>
                        <w:rPr>
                          <w:color w:val="000000"/>
                          <w:spacing w:val="-4"/>
                        </w:rPr>
                        <w:t> </w:t>
                      </w:r>
                      <w:r>
                        <w:rPr>
                          <w:color w:val="000000"/>
                        </w:rPr>
                        <w:t>identified</w:t>
                      </w:r>
                      <w:r>
                        <w:rPr>
                          <w:color w:val="000000"/>
                          <w:spacing w:val="-3"/>
                        </w:rPr>
                        <w:t> </w:t>
                      </w:r>
                      <w:r>
                        <w:rPr>
                          <w:color w:val="000000"/>
                        </w:rPr>
                        <w:t>concerns</w:t>
                      </w:r>
                      <w:r>
                        <w:rPr>
                          <w:color w:val="000000"/>
                          <w:spacing w:val="-2"/>
                        </w:rPr>
                        <w:t> </w:t>
                      </w:r>
                      <w:r>
                        <w:rPr>
                          <w:color w:val="000000"/>
                        </w:rPr>
                        <w:t>for</w:t>
                      </w:r>
                      <w:r>
                        <w:rPr>
                          <w:color w:val="000000"/>
                          <w:spacing w:val="-4"/>
                        </w:rPr>
                        <w:t> </w:t>
                      </w:r>
                      <w:r>
                        <w:rPr>
                          <w:color w:val="000000"/>
                        </w:rPr>
                        <w:t>their</w:t>
                      </w:r>
                      <w:r>
                        <w:rPr>
                          <w:color w:val="000000"/>
                          <w:spacing w:val="-2"/>
                        </w:rPr>
                        <w:t> </w:t>
                      </w:r>
                      <w:r>
                        <w:rPr>
                          <w:color w:val="000000"/>
                        </w:rPr>
                        <w:t>viability. Focal species are a subset of the surrogate species that will be used for monitoring.</w:t>
                      </w:r>
                    </w:p>
                  </w:txbxContent>
                </v:textbox>
                <v:fill type="solid"/>
              </v:shape>
            </w:pict>
          </mc:Fallback>
        </mc:AlternateContent>
      </w:r>
      <w:r>
        <w:rPr>
          <w:rFonts w:ascii="Arial"/>
          <w:sz w:val="20"/>
        </w:rPr>
      </w:r>
    </w:p>
    <w:p>
      <w:pPr>
        <w:pStyle w:val="BodyText"/>
        <w:spacing w:before="103"/>
        <w:ind w:left="1080"/>
      </w:pPr>
      <w:r>
        <w:rPr/>
        <mc:AlternateContent>
          <mc:Choice Requires="wps">
            <w:drawing>
              <wp:anchor distT="0" distB="0" distL="0" distR="0" allowOverlap="1" layoutInCell="1" locked="0" behindDoc="1" simplePos="0" relativeHeight="474257408">
                <wp:simplePos x="0" y="0"/>
                <wp:positionH relativeFrom="page">
                  <wp:posOffset>1353312</wp:posOffset>
                </wp:positionH>
                <wp:positionV relativeFrom="paragraph">
                  <wp:posOffset>66293</wp:posOffset>
                </wp:positionV>
                <wp:extent cx="5020310" cy="5915025"/>
                <wp:effectExtent l="0" t="0" r="0" b="0"/>
                <wp:wrapNone/>
                <wp:docPr id="153" name="Graphic 153"/>
                <wp:cNvGraphicFramePr>
                  <a:graphicFrameLocks/>
                </wp:cNvGraphicFramePr>
                <a:graphic>
                  <a:graphicData uri="http://schemas.microsoft.com/office/word/2010/wordprocessingShape">
                    <wps:wsp>
                      <wps:cNvPr id="153" name="Graphic 153"/>
                      <wps:cNvSpPr/>
                      <wps:spPr>
                        <a:xfrm>
                          <a:off x="0" y="0"/>
                          <a:ext cx="5020310" cy="5915025"/>
                        </a:xfrm>
                        <a:custGeom>
                          <a:avLst/>
                          <a:gdLst/>
                          <a:ahLst/>
                          <a:cxnLst/>
                          <a:rect l="l" t="t" r="r" b="b"/>
                          <a:pathLst>
                            <a:path w="5020310" h="5915025">
                              <a:moveTo>
                                <a:pt x="5020056" y="4396752"/>
                              </a:moveTo>
                              <a:lnTo>
                                <a:pt x="0" y="4396752"/>
                              </a:lnTo>
                              <a:lnTo>
                                <a:pt x="0" y="4643628"/>
                              </a:lnTo>
                              <a:lnTo>
                                <a:pt x="0" y="4814316"/>
                              </a:lnTo>
                              <a:lnTo>
                                <a:pt x="0" y="5914644"/>
                              </a:lnTo>
                              <a:lnTo>
                                <a:pt x="5020056" y="5914644"/>
                              </a:lnTo>
                              <a:lnTo>
                                <a:pt x="5020056" y="4643628"/>
                              </a:lnTo>
                              <a:lnTo>
                                <a:pt x="5020056" y="4396752"/>
                              </a:lnTo>
                              <a:close/>
                            </a:path>
                            <a:path w="5020310" h="5915025">
                              <a:moveTo>
                                <a:pt x="5020056" y="0"/>
                              </a:moveTo>
                              <a:lnTo>
                                <a:pt x="0" y="0"/>
                              </a:lnTo>
                              <a:lnTo>
                                <a:pt x="0" y="246888"/>
                              </a:lnTo>
                              <a:lnTo>
                                <a:pt x="0" y="417576"/>
                              </a:lnTo>
                              <a:lnTo>
                                <a:pt x="0" y="4396740"/>
                              </a:lnTo>
                              <a:lnTo>
                                <a:pt x="5020056" y="4396740"/>
                              </a:lnTo>
                              <a:lnTo>
                                <a:pt x="5020056" y="246888"/>
                              </a:lnTo>
                              <a:lnTo>
                                <a:pt x="50200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06.560005pt;margin-top:5.219974pt;width:395.3pt;height:465.75pt;mso-position-horizontal-relative:page;mso-position-vertical-relative:paragraph;z-index:-29059072" id="docshape144" coordorigin="2131,104" coordsize="7906,9315" path="m10037,7028l2131,7028,2131,7417,2131,7686,2131,7955,2131,8224,2131,8492,2131,8881,2131,9150,2131,9419,10037,9419,10037,9150,10037,8881,10037,8492,10037,8224,10037,7955,10037,7686,10037,7417,10037,7028xm10037,104l2131,104,2131,493,2131,762,2131,1031,2131,1297,2131,1566,2131,1835,2131,2104,2131,2372,2131,2641,2131,2910,2131,3299,2131,3568,2131,3836,2131,4103,2131,4372,2131,4760,2131,5149,2131,5418,2131,5687,2131,5956,2131,6224,2131,6493,2131,6762,2131,7028,10037,7028,10037,6762,10037,6493,10037,6224,10037,5956,10037,5687,10037,5418,10037,5149,10037,4760,10037,4372,10037,4103,10037,3836,10037,3568,10037,3299,10037,2910,10037,2641,10037,2372,10037,2104,10037,1835,10037,1566,10037,1297,10037,1031,10037,762,10037,493,10037,104xe" filled="true" fillcolor="#dfdfdf" stroked="false">
                <v:path arrowok="t"/>
                <v:fill type="solid"/>
                <w10:wrap type="none"/>
              </v:shape>
            </w:pict>
          </mc:Fallback>
        </mc:AlternateContent>
      </w:r>
      <w:r>
        <w:rPr/>
        <w:t>Threatened</w:t>
      </w:r>
      <w:r>
        <w:rPr>
          <w:spacing w:val="-7"/>
        </w:rPr>
        <w:t> </w:t>
      </w:r>
      <w:r>
        <w:rPr/>
        <w:t>and</w:t>
      </w:r>
      <w:r>
        <w:rPr>
          <w:spacing w:val="-7"/>
        </w:rPr>
        <w:t> </w:t>
      </w:r>
      <w:r>
        <w:rPr/>
        <w:t>Endangered</w:t>
      </w:r>
      <w:r>
        <w:rPr>
          <w:spacing w:val="-6"/>
        </w:rPr>
        <w:t> </w:t>
      </w:r>
      <w:r>
        <w:rPr>
          <w:spacing w:val="-2"/>
        </w:rPr>
        <w:t>Species</w:t>
      </w:r>
    </w:p>
    <w:p>
      <w:pPr>
        <w:pStyle w:val="BodyText"/>
        <w:spacing w:before="121"/>
        <w:ind w:left="1080" w:right="1567"/>
      </w:pPr>
      <w:r>
        <w:rPr/>
        <w:t>Plan direction is consistent</w:t>
      </w:r>
      <w:r>
        <w:rPr>
          <w:spacing w:val="-1"/>
        </w:rPr>
        <w:t> </w:t>
      </w:r>
      <w:r>
        <w:rPr/>
        <w:t>with existing recovery plans for federally listed species and applies</w:t>
      </w:r>
      <w:r>
        <w:rPr>
          <w:spacing w:val="-3"/>
        </w:rPr>
        <w:t> </w:t>
      </w:r>
      <w:r>
        <w:rPr/>
        <w:t>in</w:t>
      </w:r>
      <w:r>
        <w:rPr>
          <w:spacing w:val="-4"/>
        </w:rPr>
        <w:t> </w:t>
      </w:r>
      <w:r>
        <w:rPr/>
        <w:t>those</w:t>
      </w:r>
      <w:r>
        <w:rPr>
          <w:spacing w:val="-2"/>
        </w:rPr>
        <w:t> </w:t>
      </w:r>
      <w:r>
        <w:rPr/>
        <w:t>areas</w:t>
      </w:r>
      <w:r>
        <w:rPr>
          <w:spacing w:val="-3"/>
        </w:rPr>
        <w:t> </w:t>
      </w:r>
      <w:r>
        <w:rPr/>
        <w:t>identified</w:t>
      </w:r>
      <w:r>
        <w:rPr>
          <w:spacing w:val="-4"/>
        </w:rPr>
        <w:t> </w:t>
      </w:r>
      <w:r>
        <w:rPr/>
        <w:t>by</w:t>
      </w:r>
      <w:r>
        <w:rPr>
          <w:spacing w:val="-2"/>
        </w:rPr>
        <w:t> </w:t>
      </w:r>
      <w:r>
        <w:rPr/>
        <w:t>the</w:t>
      </w:r>
      <w:r>
        <w:rPr>
          <w:spacing w:val="-2"/>
        </w:rPr>
        <w:t> </w:t>
      </w:r>
      <w:r>
        <w:rPr/>
        <w:t>USDI</w:t>
      </w:r>
      <w:r>
        <w:rPr>
          <w:spacing w:val="-3"/>
        </w:rPr>
        <w:t> </w:t>
      </w:r>
      <w:r>
        <w:rPr/>
        <w:t>Fish</w:t>
      </w:r>
      <w:r>
        <w:rPr>
          <w:spacing w:val="-4"/>
        </w:rPr>
        <w:t> </w:t>
      </w:r>
      <w:r>
        <w:rPr/>
        <w:t>and</w:t>
      </w:r>
      <w:r>
        <w:rPr>
          <w:spacing w:val="-5"/>
        </w:rPr>
        <w:t> </w:t>
      </w:r>
      <w:r>
        <w:rPr/>
        <w:t>Wildlife</w:t>
      </w:r>
      <w:r>
        <w:rPr>
          <w:spacing w:val="-2"/>
        </w:rPr>
        <w:t> </w:t>
      </w:r>
      <w:r>
        <w:rPr/>
        <w:t>Service</w:t>
      </w:r>
      <w:r>
        <w:rPr>
          <w:spacing w:val="-5"/>
        </w:rPr>
        <w:t> </w:t>
      </w:r>
      <w:r>
        <w:rPr/>
        <w:t>as</w:t>
      </w:r>
      <w:r>
        <w:rPr>
          <w:spacing w:val="-3"/>
        </w:rPr>
        <w:t> </w:t>
      </w:r>
      <w:r>
        <w:rPr/>
        <w:t>recovery</w:t>
      </w:r>
      <w:r>
        <w:rPr>
          <w:spacing w:val="-4"/>
        </w:rPr>
        <w:t> </w:t>
      </w:r>
      <w:r>
        <w:rPr/>
        <w:t>areas for each</w:t>
      </w:r>
      <w:r>
        <w:rPr>
          <w:spacing w:val="-1"/>
        </w:rPr>
        <w:t> </w:t>
      </w:r>
      <w:r>
        <w:rPr/>
        <w:t>listed</w:t>
      </w:r>
      <w:r>
        <w:rPr>
          <w:spacing w:val="-1"/>
        </w:rPr>
        <w:t> </w:t>
      </w:r>
      <w:r>
        <w:rPr/>
        <w:t>species. Bull</w:t>
      </w:r>
      <w:r>
        <w:rPr>
          <w:spacing w:val="-3"/>
        </w:rPr>
        <w:t> </w:t>
      </w:r>
      <w:r>
        <w:rPr/>
        <w:t>trout</w:t>
      </w:r>
      <w:r>
        <w:rPr>
          <w:spacing w:val="-2"/>
        </w:rPr>
        <w:t> </w:t>
      </w:r>
      <w:r>
        <w:rPr/>
        <w:t>(threatened)</w:t>
      </w:r>
      <w:r>
        <w:rPr>
          <w:spacing w:val="-2"/>
        </w:rPr>
        <w:t> </w:t>
      </w:r>
      <w:r>
        <w:rPr/>
        <w:t>is the</w:t>
      </w:r>
      <w:r>
        <w:rPr>
          <w:spacing w:val="-2"/>
        </w:rPr>
        <w:t> </w:t>
      </w:r>
      <w:r>
        <w:rPr/>
        <w:t>only listed</w:t>
      </w:r>
      <w:r>
        <w:rPr>
          <w:spacing w:val="-1"/>
        </w:rPr>
        <w:t> </w:t>
      </w:r>
      <w:r>
        <w:rPr/>
        <w:t>fish</w:t>
      </w:r>
      <w:r>
        <w:rPr>
          <w:spacing w:val="-1"/>
        </w:rPr>
        <w:t> </w:t>
      </w:r>
      <w:r>
        <w:rPr/>
        <w:t>species that occurs on the Forest. Critical habitat for bull trout has been officially designated on a portion of the Colville National Forest. While the Forest manages for threatened and endangered species within recovery zones and designated critical habitat, the listed species may also occur on the Forest but outside of the recovery zones. In those instances, the Forest will still consider effects to the listed species and designated critical</w:t>
      </w:r>
      <w:r>
        <w:rPr>
          <w:spacing w:val="-3"/>
        </w:rPr>
        <w:t> </w:t>
      </w:r>
      <w:r>
        <w:rPr/>
        <w:t>habitat</w:t>
      </w:r>
      <w:r>
        <w:rPr>
          <w:spacing w:val="-5"/>
        </w:rPr>
        <w:t> </w:t>
      </w:r>
      <w:r>
        <w:rPr/>
        <w:t>in</w:t>
      </w:r>
      <w:r>
        <w:rPr>
          <w:spacing w:val="-4"/>
        </w:rPr>
        <w:t> </w:t>
      </w:r>
      <w:r>
        <w:rPr/>
        <w:t>accordance</w:t>
      </w:r>
      <w:r>
        <w:rPr>
          <w:spacing w:val="-2"/>
        </w:rPr>
        <w:t> </w:t>
      </w:r>
      <w:r>
        <w:rPr/>
        <w:t>with</w:t>
      </w:r>
      <w:r>
        <w:rPr>
          <w:spacing w:val="-4"/>
        </w:rPr>
        <w:t> </w:t>
      </w:r>
      <w:r>
        <w:rPr/>
        <w:t>the</w:t>
      </w:r>
      <w:r>
        <w:rPr>
          <w:spacing w:val="-5"/>
        </w:rPr>
        <w:t> </w:t>
      </w:r>
      <w:r>
        <w:rPr/>
        <w:t>Endangered</w:t>
      </w:r>
      <w:r>
        <w:rPr>
          <w:spacing w:val="-4"/>
        </w:rPr>
        <w:t> </w:t>
      </w:r>
      <w:r>
        <w:rPr/>
        <w:t>Species</w:t>
      </w:r>
      <w:r>
        <w:rPr>
          <w:spacing w:val="-3"/>
        </w:rPr>
        <w:t> </w:t>
      </w:r>
      <w:r>
        <w:rPr/>
        <w:t>Act</w:t>
      </w:r>
      <w:r>
        <w:rPr>
          <w:spacing w:val="-2"/>
        </w:rPr>
        <w:t> </w:t>
      </w:r>
      <w:r>
        <w:rPr/>
        <w:t>and</w:t>
      </w:r>
      <w:r>
        <w:rPr>
          <w:spacing w:val="-4"/>
        </w:rPr>
        <w:t> </w:t>
      </w:r>
      <w:r>
        <w:rPr/>
        <w:t>in</w:t>
      </w:r>
      <w:r>
        <w:rPr>
          <w:spacing w:val="-4"/>
        </w:rPr>
        <w:t> </w:t>
      </w:r>
      <w:r>
        <w:rPr/>
        <w:t>consultation</w:t>
      </w:r>
      <w:r>
        <w:rPr>
          <w:spacing w:val="-4"/>
        </w:rPr>
        <w:t> </w:t>
      </w:r>
      <w:r>
        <w:rPr/>
        <w:t>with USDI Fish and Wildlife Service.</w:t>
      </w:r>
    </w:p>
    <w:p>
      <w:pPr>
        <w:pStyle w:val="BodyText"/>
        <w:spacing w:before="120"/>
        <w:ind w:left="1080" w:right="1621"/>
      </w:pPr>
      <w:r>
        <w:rPr>
          <w:b/>
        </w:rPr>
        <w:t>Bull trout and Critical Habitat: </w:t>
      </w:r>
      <w:r>
        <w:rPr/>
        <w:t>Spawning population numbers on the Forest are extremely low, and it is currently unknown if any spawning populations present. The Forest</w:t>
      </w:r>
      <w:r>
        <w:rPr>
          <w:spacing w:val="-4"/>
        </w:rPr>
        <w:t> </w:t>
      </w:r>
      <w:r>
        <w:rPr/>
        <w:t>includes</w:t>
      </w:r>
      <w:r>
        <w:rPr>
          <w:spacing w:val="-2"/>
        </w:rPr>
        <w:t> </w:t>
      </w:r>
      <w:r>
        <w:rPr/>
        <w:t>designated</w:t>
      </w:r>
      <w:r>
        <w:rPr>
          <w:spacing w:val="-5"/>
        </w:rPr>
        <w:t> </w:t>
      </w:r>
      <w:r>
        <w:rPr/>
        <w:t>Critical</w:t>
      </w:r>
      <w:r>
        <w:rPr>
          <w:spacing w:val="-2"/>
        </w:rPr>
        <w:t> </w:t>
      </w:r>
      <w:r>
        <w:rPr/>
        <w:t>Habitat</w:t>
      </w:r>
      <w:r>
        <w:rPr>
          <w:spacing w:val="-4"/>
        </w:rPr>
        <w:t> </w:t>
      </w:r>
      <w:r>
        <w:rPr/>
        <w:t>within</w:t>
      </w:r>
      <w:r>
        <w:rPr>
          <w:spacing w:val="-5"/>
        </w:rPr>
        <w:t> </w:t>
      </w:r>
      <w:r>
        <w:rPr/>
        <w:t>the</w:t>
      </w:r>
      <w:r>
        <w:rPr>
          <w:spacing w:val="-4"/>
        </w:rPr>
        <w:t> </w:t>
      </w:r>
      <w:r>
        <w:rPr/>
        <w:t>Pend</w:t>
      </w:r>
      <w:r>
        <w:rPr>
          <w:spacing w:val="-3"/>
        </w:rPr>
        <w:t> </w:t>
      </w:r>
      <w:r>
        <w:rPr/>
        <w:t>Oreille</w:t>
      </w:r>
      <w:r>
        <w:rPr>
          <w:spacing w:val="-4"/>
        </w:rPr>
        <w:t> </w:t>
      </w:r>
      <w:r>
        <w:rPr/>
        <w:t>River</w:t>
      </w:r>
      <w:r>
        <w:rPr>
          <w:spacing w:val="-2"/>
        </w:rPr>
        <w:t> </w:t>
      </w:r>
      <w:r>
        <w:rPr/>
        <w:t>subbasin</w:t>
      </w:r>
      <w:r>
        <w:rPr>
          <w:spacing w:val="-3"/>
        </w:rPr>
        <w:t> </w:t>
      </w:r>
      <w:r>
        <w:rPr/>
        <w:t>(see </w:t>
      </w:r>
      <w:hyperlink r:id="rId51">
        <w:r>
          <w:rPr>
            <w:color w:val="0000FF"/>
            <w:u w:val="single" w:color="0000FF"/>
          </w:rPr>
          <w:t>https://www.fws.gov/pacific/bulltrout/Habitat.cfm</w:t>
        </w:r>
      </w:hyperlink>
      <w:r>
        <w:rPr>
          <w:color w:val="0000FF"/>
          <w:u w:val="none"/>
        </w:rPr>
        <w:t> </w:t>
      </w:r>
      <w:r>
        <w:rPr>
          <w:u w:val="none"/>
        </w:rPr>
        <w:t>for map of bull trout critical </w:t>
      </w:r>
      <w:r>
        <w:rPr>
          <w:spacing w:val="-2"/>
          <w:u w:val="none"/>
        </w:rPr>
        <w:t>habitat).</w:t>
      </w:r>
    </w:p>
    <w:p>
      <w:pPr>
        <w:pStyle w:val="BodyText"/>
        <w:spacing w:before="119"/>
        <w:ind w:left="1080"/>
      </w:pPr>
      <w:r>
        <w:rPr/>
        <w:t>Surrogate</w:t>
      </w:r>
      <w:r>
        <w:rPr>
          <w:spacing w:val="-3"/>
        </w:rPr>
        <w:t> </w:t>
      </w:r>
      <w:r>
        <w:rPr/>
        <w:t>and</w:t>
      </w:r>
      <w:r>
        <w:rPr>
          <w:spacing w:val="-5"/>
        </w:rPr>
        <w:t> </w:t>
      </w:r>
      <w:r>
        <w:rPr/>
        <w:t>Focal</w:t>
      </w:r>
      <w:r>
        <w:rPr>
          <w:spacing w:val="-3"/>
        </w:rPr>
        <w:t> </w:t>
      </w:r>
      <w:r>
        <w:rPr>
          <w:spacing w:val="-2"/>
        </w:rPr>
        <w:t>Species</w:t>
      </w:r>
    </w:p>
    <w:p>
      <w:pPr>
        <w:pStyle w:val="BodyText"/>
        <w:spacing w:before="120"/>
        <w:ind w:left="1080" w:right="1621"/>
      </w:pPr>
      <w:r>
        <w:rPr/>
        <w:t>Selected surrogate species represent specific habitats and risk factors across the planning area (see appendix C). The viability of surrogate species is enhanced by providing favorable habitats conditions (appropriate</w:t>
      </w:r>
      <w:r>
        <w:rPr>
          <w:spacing w:val="-1"/>
        </w:rPr>
        <w:t> </w:t>
      </w:r>
      <w:r>
        <w:rPr/>
        <w:t>mix of cover types and structure stages)</w:t>
      </w:r>
      <w:r>
        <w:rPr>
          <w:spacing w:val="-3"/>
        </w:rPr>
        <w:t> </w:t>
      </w:r>
      <w:r>
        <w:rPr/>
        <w:t>and</w:t>
      </w:r>
      <w:r>
        <w:rPr>
          <w:spacing w:val="-4"/>
        </w:rPr>
        <w:t> </w:t>
      </w:r>
      <w:r>
        <w:rPr/>
        <w:t>reducing</w:t>
      </w:r>
      <w:r>
        <w:rPr>
          <w:spacing w:val="-4"/>
        </w:rPr>
        <w:t> </w:t>
      </w:r>
      <w:r>
        <w:rPr/>
        <w:t>risk</w:t>
      </w:r>
      <w:r>
        <w:rPr>
          <w:spacing w:val="-2"/>
        </w:rPr>
        <w:t> </w:t>
      </w:r>
      <w:r>
        <w:rPr/>
        <w:t>factors. Focal</w:t>
      </w:r>
      <w:r>
        <w:rPr>
          <w:spacing w:val="-6"/>
        </w:rPr>
        <w:t> </w:t>
      </w:r>
      <w:r>
        <w:rPr/>
        <w:t>species</w:t>
      </w:r>
      <w:r>
        <w:rPr>
          <w:spacing w:val="-3"/>
        </w:rPr>
        <w:t> </w:t>
      </w:r>
      <w:r>
        <w:rPr/>
        <w:t>were</w:t>
      </w:r>
      <w:r>
        <w:rPr>
          <w:spacing w:val="-2"/>
        </w:rPr>
        <w:t> </w:t>
      </w:r>
      <w:r>
        <w:rPr/>
        <w:t>selected</w:t>
      </w:r>
      <w:r>
        <w:rPr>
          <w:spacing w:val="-4"/>
        </w:rPr>
        <w:t> </w:t>
      </w:r>
      <w:r>
        <w:rPr/>
        <w:t>to</w:t>
      </w:r>
      <w:r>
        <w:rPr>
          <w:spacing w:val="-4"/>
        </w:rPr>
        <w:t> </w:t>
      </w:r>
      <w:r>
        <w:rPr/>
        <w:t>monitor</w:t>
      </w:r>
      <w:r>
        <w:rPr>
          <w:spacing w:val="-5"/>
        </w:rPr>
        <w:t> </w:t>
      </w:r>
      <w:r>
        <w:rPr/>
        <w:t>the</w:t>
      </w:r>
      <w:r>
        <w:rPr>
          <w:spacing w:val="-2"/>
        </w:rPr>
        <w:t> </w:t>
      </w:r>
      <w:r>
        <w:rPr/>
        <w:t>potential effects</w:t>
      </w:r>
      <w:r>
        <w:rPr>
          <w:spacing w:val="-1"/>
        </w:rPr>
        <w:t> </w:t>
      </w:r>
      <w:r>
        <w:rPr/>
        <w:t>of</w:t>
      </w:r>
      <w:r>
        <w:rPr>
          <w:spacing w:val="-1"/>
        </w:rPr>
        <w:t> </w:t>
      </w:r>
      <w:r>
        <w:rPr/>
        <w:t>major</w:t>
      </w:r>
      <w:r>
        <w:rPr>
          <w:spacing w:val="-1"/>
        </w:rPr>
        <w:t> </w:t>
      </w:r>
      <w:r>
        <w:rPr/>
        <w:t>forest</w:t>
      </w:r>
      <w:r>
        <w:rPr>
          <w:spacing w:val="-1"/>
        </w:rPr>
        <w:t> </w:t>
      </w:r>
      <w:r>
        <w:rPr/>
        <w:t>management activities. These</w:t>
      </w:r>
      <w:r>
        <w:rPr>
          <w:spacing w:val="-1"/>
        </w:rPr>
        <w:t> </w:t>
      </w:r>
      <w:r>
        <w:rPr/>
        <w:t>major activities include: grazing, forest vegetation restoration (such as thinning and prescribed fire), and post-fire salvage harvest. Interior redband trout and westslope cutthroat trout were both surrogate and focal species for the Colville National Forest.</w:t>
      </w:r>
    </w:p>
    <w:p>
      <w:pPr>
        <w:pStyle w:val="BodyText"/>
        <w:spacing w:before="119"/>
        <w:ind w:left="1080" w:right="1567"/>
      </w:pPr>
      <w:r>
        <w:rPr>
          <w:b/>
        </w:rPr>
        <w:t>Interior</w:t>
      </w:r>
      <w:r>
        <w:rPr>
          <w:b/>
          <w:spacing w:val="-5"/>
        </w:rPr>
        <w:t> </w:t>
      </w:r>
      <w:r>
        <w:rPr>
          <w:b/>
        </w:rPr>
        <w:t>redband</w:t>
      </w:r>
      <w:r>
        <w:rPr>
          <w:b/>
          <w:spacing w:val="-4"/>
        </w:rPr>
        <w:t> </w:t>
      </w:r>
      <w:r>
        <w:rPr>
          <w:b/>
        </w:rPr>
        <w:t>trout:</w:t>
      </w:r>
      <w:r>
        <w:rPr>
          <w:b/>
          <w:spacing w:val="-4"/>
        </w:rPr>
        <w:t> </w:t>
      </w:r>
      <w:r>
        <w:rPr/>
        <w:t>Redband</w:t>
      </w:r>
      <w:r>
        <w:rPr>
          <w:spacing w:val="-4"/>
        </w:rPr>
        <w:t> </w:t>
      </w:r>
      <w:r>
        <w:rPr/>
        <w:t>trout</w:t>
      </w:r>
      <w:r>
        <w:rPr>
          <w:spacing w:val="-2"/>
        </w:rPr>
        <w:t> </w:t>
      </w:r>
      <w:r>
        <w:rPr/>
        <w:t>are</w:t>
      </w:r>
      <w:r>
        <w:rPr>
          <w:spacing w:val="-2"/>
        </w:rPr>
        <w:t> </w:t>
      </w:r>
      <w:r>
        <w:rPr/>
        <w:t>distributed</w:t>
      </w:r>
      <w:r>
        <w:rPr>
          <w:spacing w:val="-6"/>
        </w:rPr>
        <w:t> </w:t>
      </w:r>
      <w:r>
        <w:rPr/>
        <w:t>within</w:t>
      </w:r>
      <w:r>
        <w:rPr>
          <w:spacing w:val="-4"/>
        </w:rPr>
        <w:t> </w:t>
      </w:r>
      <w:r>
        <w:rPr/>
        <w:t>the</w:t>
      </w:r>
      <w:r>
        <w:rPr>
          <w:spacing w:val="-5"/>
        </w:rPr>
        <w:t> </w:t>
      </w:r>
      <w:r>
        <w:rPr/>
        <w:t>Kettle,</w:t>
      </w:r>
      <w:r>
        <w:rPr>
          <w:spacing w:val="-3"/>
        </w:rPr>
        <w:t> </w:t>
      </w:r>
      <w:r>
        <w:rPr/>
        <w:t>Sanpoil,</w:t>
      </w:r>
      <w:r>
        <w:rPr>
          <w:spacing w:val="-5"/>
        </w:rPr>
        <w:t> </w:t>
      </w:r>
      <w:r>
        <w:rPr/>
        <w:t>Upper Columbia, and Colville subbasins. The current distribution of redband trout has been significantly reduced</w:t>
      </w:r>
      <w:r>
        <w:rPr>
          <w:spacing w:val="-1"/>
        </w:rPr>
        <w:t> </w:t>
      </w:r>
      <w:r>
        <w:rPr/>
        <w:t>from</w:t>
      </w:r>
      <w:r>
        <w:rPr>
          <w:spacing w:val="-1"/>
        </w:rPr>
        <w:t> </w:t>
      </w:r>
      <w:r>
        <w:rPr/>
        <w:t>the historic distribution. Lost or</w:t>
      </w:r>
      <w:r>
        <w:rPr>
          <w:spacing w:val="-2"/>
        </w:rPr>
        <w:t> </w:t>
      </w:r>
      <w:r>
        <w:rPr/>
        <w:t>degraded</w:t>
      </w:r>
      <w:r>
        <w:rPr>
          <w:spacing w:val="-1"/>
        </w:rPr>
        <w:t> </w:t>
      </w:r>
      <w:r>
        <w:rPr/>
        <w:t>habitat</w:t>
      </w:r>
      <w:r>
        <w:rPr>
          <w:spacing w:val="-3"/>
        </w:rPr>
        <w:t> </w:t>
      </w:r>
      <w:r>
        <w:rPr/>
        <w:t>within</w:t>
      </w:r>
      <w:r>
        <w:rPr>
          <w:spacing w:val="-1"/>
        </w:rPr>
        <w:t> </w:t>
      </w:r>
      <w:r>
        <w:rPr/>
        <w:t>the subbasins and the introduction of non-native fish have had negative impacts on redband trout populations.</w:t>
      </w:r>
    </w:p>
    <w:p>
      <w:pPr>
        <w:pStyle w:val="BodyText"/>
        <w:spacing w:before="122"/>
        <w:ind w:left="1080" w:right="1445"/>
      </w:pPr>
      <w:r>
        <w:rPr>
          <w:b/>
        </w:rPr>
        <w:t>Westslope cutthroat trout: </w:t>
      </w:r>
      <w:r>
        <w:rPr/>
        <w:t>Westslope cutthroat trout are the native cutthroat trout within</w:t>
      </w:r>
      <w:r>
        <w:rPr>
          <w:spacing w:val="-4"/>
        </w:rPr>
        <w:t> </w:t>
      </w:r>
      <w:r>
        <w:rPr/>
        <w:t>the</w:t>
      </w:r>
      <w:r>
        <w:rPr>
          <w:spacing w:val="-5"/>
        </w:rPr>
        <w:t> </w:t>
      </w:r>
      <w:r>
        <w:rPr/>
        <w:t>Colville</w:t>
      </w:r>
      <w:r>
        <w:rPr>
          <w:spacing w:val="-3"/>
        </w:rPr>
        <w:t> </w:t>
      </w:r>
      <w:r>
        <w:rPr/>
        <w:t>National</w:t>
      </w:r>
      <w:r>
        <w:rPr>
          <w:spacing w:val="-5"/>
        </w:rPr>
        <w:t> </w:t>
      </w:r>
      <w:r>
        <w:rPr/>
        <w:t>Forest.</w:t>
      </w:r>
      <w:r>
        <w:rPr>
          <w:spacing w:val="-3"/>
        </w:rPr>
        <w:t> </w:t>
      </w:r>
      <w:r>
        <w:rPr/>
        <w:t>This</w:t>
      </w:r>
      <w:r>
        <w:rPr>
          <w:spacing w:val="-3"/>
        </w:rPr>
        <w:t> </w:t>
      </w:r>
      <w:r>
        <w:rPr/>
        <w:t>species</w:t>
      </w:r>
      <w:r>
        <w:rPr>
          <w:spacing w:val="-5"/>
        </w:rPr>
        <w:t> </w:t>
      </w:r>
      <w:r>
        <w:rPr/>
        <w:t>is</w:t>
      </w:r>
      <w:r>
        <w:rPr>
          <w:spacing w:val="-3"/>
        </w:rPr>
        <w:t> </w:t>
      </w:r>
      <w:r>
        <w:rPr/>
        <w:t>presently</w:t>
      </w:r>
      <w:r>
        <w:rPr>
          <w:spacing w:val="-2"/>
        </w:rPr>
        <w:t> </w:t>
      </w:r>
      <w:r>
        <w:rPr/>
        <w:t>found</w:t>
      </w:r>
      <w:r>
        <w:rPr>
          <w:spacing w:val="-4"/>
        </w:rPr>
        <w:t> </w:t>
      </w:r>
      <w:r>
        <w:rPr/>
        <w:t>in</w:t>
      </w:r>
      <w:r>
        <w:rPr>
          <w:spacing w:val="-4"/>
        </w:rPr>
        <w:t> </w:t>
      </w:r>
      <w:r>
        <w:rPr/>
        <w:t>all</w:t>
      </w:r>
      <w:r>
        <w:rPr>
          <w:spacing w:val="-3"/>
        </w:rPr>
        <w:t> </w:t>
      </w:r>
      <w:r>
        <w:rPr/>
        <w:t>five</w:t>
      </w:r>
      <w:r>
        <w:rPr>
          <w:spacing w:val="-2"/>
        </w:rPr>
        <w:t> </w:t>
      </w:r>
      <w:r>
        <w:rPr/>
        <w:t>subbasins</w:t>
      </w:r>
    </w:p>
    <w:p>
      <w:pPr>
        <w:pStyle w:val="BodyText"/>
        <w:spacing w:after="0"/>
        <w:sectPr>
          <w:pgSz w:w="12240" w:h="15840"/>
          <w:pgMar w:header="725" w:footer="891" w:top="960" w:bottom="1080" w:left="1080" w:right="720"/>
        </w:sectPr>
      </w:pPr>
    </w:p>
    <w:p>
      <w:pPr>
        <w:pStyle w:val="BodyText"/>
        <w:spacing w:before="231"/>
        <w:rPr>
          <w:sz w:val="20"/>
        </w:rPr>
      </w:pPr>
    </w:p>
    <w:p>
      <w:pPr>
        <w:pStyle w:val="BodyText"/>
        <w:ind w:left="1843"/>
        <w:rPr>
          <w:sz w:val="20"/>
        </w:rPr>
      </w:pPr>
      <w:r>
        <w:rPr>
          <w:sz w:val="20"/>
        </w:rPr>
        <mc:AlternateContent>
          <mc:Choice Requires="wps">
            <w:drawing>
              <wp:inline distT="0" distB="0" distL="0" distR="0">
                <wp:extent cx="5020310" cy="683260"/>
                <wp:effectExtent l="0" t="0" r="0" b="0"/>
                <wp:docPr id="154" name="Textbox 154"/>
                <wp:cNvGraphicFramePr>
                  <a:graphicFrameLocks/>
                </wp:cNvGraphicFramePr>
                <a:graphic>
                  <a:graphicData uri="http://schemas.microsoft.com/office/word/2010/wordprocessingShape">
                    <wps:wsp>
                      <wps:cNvPr id="154" name="Textbox 154"/>
                      <wps:cNvSpPr txBox="1"/>
                      <wps:spPr>
                        <a:xfrm>
                          <a:off x="0" y="0"/>
                          <a:ext cx="5020310" cy="683260"/>
                        </a:xfrm>
                        <a:prstGeom prst="rect">
                          <a:avLst/>
                        </a:prstGeom>
                        <a:solidFill>
                          <a:srgbClr val="DFDFDF"/>
                        </a:solidFill>
                      </wps:spPr>
                      <wps:txbx>
                        <w:txbxContent>
                          <w:p>
                            <w:pPr>
                              <w:pStyle w:val="BodyText"/>
                              <w:ind w:left="28" w:right="49"/>
                              <w:rPr>
                                <w:color w:val="000000"/>
                              </w:rPr>
                            </w:pPr>
                            <w:r>
                              <w:rPr>
                                <w:color w:val="000000"/>
                              </w:rPr>
                              <w:t>on the Forest; however, distribution of this species is extremely limited, and with the exception of annually stocked lowland lakes, the species is generally found in headwater streams. In addition to degraded habitat from human activities, the introduction</w:t>
                            </w:r>
                            <w:r>
                              <w:rPr>
                                <w:color w:val="000000"/>
                                <w:spacing w:val="-3"/>
                              </w:rPr>
                              <w:t> </w:t>
                            </w:r>
                            <w:r>
                              <w:rPr>
                                <w:color w:val="000000"/>
                              </w:rPr>
                              <w:t>of</w:t>
                            </w:r>
                            <w:r>
                              <w:rPr>
                                <w:color w:val="000000"/>
                                <w:spacing w:val="-4"/>
                              </w:rPr>
                              <w:t> </w:t>
                            </w:r>
                            <w:r>
                              <w:rPr>
                                <w:color w:val="000000"/>
                              </w:rPr>
                              <w:t>non-native</w:t>
                            </w:r>
                            <w:r>
                              <w:rPr>
                                <w:color w:val="000000"/>
                                <w:spacing w:val="-4"/>
                              </w:rPr>
                              <w:t> </w:t>
                            </w:r>
                            <w:r>
                              <w:rPr>
                                <w:color w:val="000000"/>
                              </w:rPr>
                              <w:t>salmonids</w:t>
                            </w:r>
                            <w:r>
                              <w:rPr>
                                <w:color w:val="000000"/>
                                <w:spacing w:val="-3"/>
                              </w:rPr>
                              <w:t> </w:t>
                            </w:r>
                            <w:r>
                              <w:rPr>
                                <w:color w:val="000000"/>
                              </w:rPr>
                              <w:t>has</w:t>
                            </w:r>
                            <w:r>
                              <w:rPr>
                                <w:color w:val="000000"/>
                                <w:spacing w:val="-3"/>
                              </w:rPr>
                              <w:t> </w:t>
                            </w:r>
                            <w:r>
                              <w:rPr>
                                <w:color w:val="000000"/>
                              </w:rPr>
                              <w:t>had</w:t>
                            </w:r>
                            <w:r>
                              <w:rPr>
                                <w:color w:val="000000"/>
                                <w:spacing w:val="-3"/>
                              </w:rPr>
                              <w:t> </w:t>
                            </w:r>
                            <w:r>
                              <w:rPr>
                                <w:color w:val="000000"/>
                              </w:rPr>
                              <w:t>a</w:t>
                            </w:r>
                            <w:r>
                              <w:rPr>
                                <w:color w:val="000000"/>
                                <w:spacing w:val="-3"/>
                              </w:rPr>
                              <w:t> </w:t>
                            </w:r>
                            <w:r>
                              <w:rPr>
                                <w:color w:val="000000"/>
                              </w:rPr>
                              <w:t>negative</w:t>
                            </w:r>
                            <w:r>
                              <w:rPr>
                                <w:color w:val="000000"/>
                                <w:spacing w:val="-2"/>
                              </w:rPr>
                              <w:t> </w:t>
                            </w:r>
                            <w:r>
                              <w:rPr>
                                <w:color w:val="000000"/>
                              </w:rPr>
                              <w:t>impact</w:t>
                            </w:r>
                            <w:r>
                              <w:rPr>
                                <w:color w:val="000000"/>
                                <w:spacing w:val="-4"/>
                              </w:rPr>
                              <w:t> </w:t>
                            </w:r>
                            <w:r>
                              <w:rPr>
                                <w:color w:val="000000"/>
                              </w:rPr>
                              <w:t>on</w:t>
                            </w:r>
                            <w:r>
                              <w:rPr>
                                <w:color w:val="000000"/>
                                <w:spacing w:val="-5"/>
                              </w:rPr>
                              <w:t> </w:t>
                            </w:r>
                            <w:r>
                              <w:rPr>
                                <w:color w:val="000000"/>
                              </w:rPr>
                              <w:t>the</w:t>
                            </w:r>
                            <w:r>
                              <w:rPr>
                                <w:color w:val="000000"/>
                                <w:spacing w:val="-2"/>
                              </w:rPr>
                              <w:t> </w:t>
                            </w:r>
                            <w:r>
                              <w:rPr>
                                <w:color w:val="000000"/>
                              </w:rPr>
                              <w:t>species’</w:t>
                            </w:r>
                            <w:r>
                              <w:rPr>
                                <w:color w:val="000000"/>
                                <w:spacing w:val="-4"/>
                              </w:rPr>
                              <w:t> </w:t>
                            </w:r>
                            <w:r>
                              <w:rPr>
                                <w:color w:val="000000"/>
                              </w:rPr>
                              <w:t>status.</w:t>
                            </w:r>
                          </w:p>
                        </w:txbxContent>
                      </wps:txbx>
                      <wps:bodyPr wrap="square" lIns="0" tIns="0" rIns="0" bIns="0" rtlCol="0">
                        <a:noAutofit/>
                      </wps:bodyPr>
                    </wps:wsp>
                  </a:graphicData>
                </a:graphic>
              </wp:inline>
            </w:drawing>
          </mc:Choice>
          <mc:Fallback>
            <w:pict>
              <v:shape style="width:395.3pt;height:53.8pt;mso-position-horizontal-relative:char;mso-position-vertical-relative:line" type="#_x0000_t202" id="docshape145" filled="true" fillcolor="#dfdfdf" stroked="false">
                <w10:anchorlock/>
                <v:textbox inset="0,0,0,0">
                  <w:txbxContent>
                    <w:p>
                      <w:pPr>
                        <w:pStyle w:val="BodyText"/>
                        <w:ind w:left="28" w:right="49"/>
                        <w:rPr>
                          <w:color w:val="000000"/>
                        </w:rPr>
                      </w:pPr>
                      <w:r>
                        <w:rPr>
                          <w:color w:val="000000"/>
                        </w:rPr>
                        <w:t>on the Forest; however, distribution of this species is extremely limited, and with the exception of annually stocked lowland lakes, the species is generally found in headwater streams. In addition to degraded habitat from human activities, the introduction</w:t>
                      </w:r>
                      <w:r>
                        <w:rPr>
                          <w:color w:val="000000"/>
                          <w:spacing w:val="-3"/>
                        </w:rPr>
                        <w:t> </w:t>
                      </w:r>
                      <w:r>
                        <w:rPr>
                          <w:color w:val="000000"/>
                        </w:rPr>
                        <w:t>of</w:t>
                      </w:r>
                      <w:r>
                        <w:rPr>
                          <w:color w:val="000000"/>
                          <w:spacing w:val="-4"/>
                        </w:rPr>
                        <w:t> </w:t>
                      </w:r>
                      <w:r>
                        <w:rPr>
                          <w:color w:val="000000"/>
                        </w:rPr>
                        <w:t>non-native</w:t>
                      </w:r>
                      <w:r>
                        <w:rPr>
                          <w:color w:val="000000"/>
                          <w:spacing w:val="-4"/>
                        </w:rPr>
                        <w:t> </w:t>
                      </w:r>
                      <w:r>
                        <w:rPr>
                          <w:color w:val="000000"/>
                        </w:rPr>
                        <w:t>salmonids</w:t>
                      </w:r>
                      <w:r>
                        <w:rPr>
                          <w:color w:val="000000"/>
                          <w:spacing w:val="-3"/>
                        </w:rPr>
                        <w:t> </w:t>
                      </w:r>
                      <w:r>
                        <w:rPr>
                          <w:color w:val="000000"/>
                        </w:rPr>
                        <w:t>has</w:t>
                      </w:r>
                      <w:r>
                        <w:rPr>
                          <w:color w:val="000000"/>
                          <w:spacing w:val="-3"/>
                        </w:rPr>
                        <w:t> </w:t>
                      </w:r>
                      <w:r>
                        <w:rPr>
                          <w:color w:val="000000"/>
                        </w:rPr>
                        <w:t>had</w:t>
                      </w:r>
                      <w:r>
                        <w:rPr>
                          <w:color w:val="000000"/>
                          <w:spacing w:val="-3"/>
                        </w:rPr>
                        <w:t> </w:t>
                      </w:r>
                      <w:r>
                        <w:rPr>
                          <w:color w:val="000000"/>
                        </w:rPr>
                        <w:t>a</w:t>
                      </w:r>
                      <w:r>
                        <w:rPr>
                          <w:color w:val="000000"/>
                          <w:spacing w:val="-3"/>
                        </w:rPr>
                        <w:t> </w:t>
                      </w:r>
                      <w:r>
                        <w:rPr>
                          <w:color w:val="000000"/>
                        </w:rPr>
                        <w:t>negative</w:t>
                      </w:r>
                      <w:r>
                        <w:rPr>
                          <w:color w:val="000000"/>
                          <w:spacing w:val="-2"/>
                        </w:rPr>
                        <w:t> </w:t>
                      </w:r>
                      <w:r>
                        <w:rPr>
                          <w:color w:val="000000"/>
                        </w:rPr>
                        <w:t>impact</w:t>
                      </w:r>
                      <w:r>
                        <w:rPr>
                          <w:color w:val="000000"/>
                          <w:spacing w:val="-4"/>
                        </w:rPr>
                        <w:t> </w:t>
                      </w:r>
                      <w:r>
                        <w:rPr>
                          <w:color w:val="000000"/>
                        </w:rPr>
                        <w:t>on</w:t>
                      </w:r>
                      <w:r>
                        <w:rPr>
                          <w:color w:val="000000"/>
                          <w:spacing w:val="-5"/>
                        </w:rPr>
                        <w:t> </w:t>
                      </w:r>
                      <w:r>
                        <w:rPr>
                          <w:color w:val="000000"/>
                        </w:rPr>
                        <w:t>the</w:t>
                      </w:r>
                      <w:r>
                        <w:rPr>
                          <w:color w:val="000000"/>
                          <w:spacing w:val="-2"/>
                        </w:rPr>
                        <w:t> </w:t>
                      </w:r>
                      <w:r>
                        <w:rPr>
                          <w:color w:val="000000"/>
                        </w:rPr>
                        <w:t>species’</w:t>
                      </w:r>
                      <w:r>
                        <w:rPr>
                          <w:color w:val="000000"/>
                          <w:spacing w:val="-4"/>
                        </w:rPr>
                        <w:t> </w:t>
                      </w:r>
                      <w:r>
                        <w:rPr>
                          <w:color w:val="000000"/>
                        </w:rPr>
                        <w:t>status.</w:t>
                      </w:r>
                    </w:p>
                  </w:txbxContent>
                </v:textbox>
                <v:fill type="solid"/>
              </v:shape>
            </w:pict>
          </mc:Fallback>
        </mc:AlternateContent>
      </w:r>
      <w:r>
        <w:rPr>
          <w:sz w:val="20"/>
        </w:rPr>
      </w:r>
    </w:p>
    <w:p>
      <w:pPr>
        <w:pStyle w:val="BodyText"/>
        <w:spacing w:before="99"/>
        <w:ind w:left="1512"/>
      </w:pPr>
      <w:r>
        <w:rPr/>
        <mc:AlternateContent>
          <mc:Choice Requires="wps">
            <w:drawing>
              <wp:anchor distT="0" distB="0" distL="0" distR="0" allowOverlap="1" layoutInCell="1" locked="0" behindDoc="1" simplePos="0" relativeHeight="474258432">
                <wp:simplePos x="0" y="0"/>
                <wp:positionH relativeFrom="page">
                  <wp:posOffset>1627632</wp:posOffset>
                </wp:positionH>
                <wp:positionV relativeFrom="paragraph">
                  <wp:posOffset>63626</wp:posOffset>
                </wp:positionV>
                <wp:extent cx="5248910" cy="7507605"/>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5248910" cy="7507605"/>
                        </a:xfrm>
                        <a:custGeom>
                          <a:avLst/>
                          <a:gdLst/>
                          <a:ahLst/>
                          <a:cxnLst/>
                          <a:rect l="l" t="t" r="r" b="b"/>
                          <a:pathLst>
                            <a:path w="5248910" h="7507605">
                              <a:moveTo>
                                <a:pt x="5248643" y="5742444"/>
                              </a:moveTo>
                              <a:lnTo>
                                <a:pt x="0" y="5742444"/>
                              </a:lnTo>
                              <a:lnTo>
                                <a:pt x="0" y="5989320"/>
                              </a:lnTo>
                              <a:lnTo>
                                <a:pt x="0" y="6236208"/>
                              </a:lnTo>
                              <a:lnTo>
                                <a:pt x="0" y="7507224"/>
                              </a:lnTo>
                              <a:lnTo>
                                <a:pt x="5248643" y="7507224"/>
                              </a:lnTo>
                              <a:lnTo>
                                <a:pt x="5248643" y="5989320"/>
                              </a:lnTo>
                              <a:lnTo>
                                <a:pt x="5248643" y="5742444"/>
                              </a:lnTo>
                              <a:close/>
                            </a:path>
                            <a:path w="5248910" h="7507605">
                              <a:moveTo>
                                <a:pt x="5248643" y="0"/>
                              </a:moveTo>
                              <a:lnTo>
                                <a:pt x="0" y="0"/>
                              </a:lnTo>
                              <a:lnTo>
                                <a:pt x="0" y="245364"/>
                              </a:lnTo>
                              <a:lnTo>
                                <a:pt x="0" y="416052"/>
                              </a:lnTo>
                              <a:lnTo>
                                <a:pt x="0" y="5742432"/>
                              </a:lnTo>
                              <a:lnTo>
                                <a:pt x="5248643" y="5742432"/>
                              </a:lnTo>
                              <a:lnTo>
                                <a:pt x="5248643" y="245364"/>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009969pt;width:413.3pt;height:591.15pt;mso-position-horizontal-relative:page;mso-position-vertical-relative:paragraph;z-index:-29058048" id="docshape146" coordorigin="2563,100" coordsize="8266,11823" path="m10829,9143l2563,9143,2563,9532,2563,9921,2563,10190,2563,10459,2563,10727,2563,10996,2563,11265,2563,11534,2563,11923,10829,11923,10829,11534,10829,11265,10829,10996,10829,10727,10829,10459,10829,10190,10829,9921,10829,9532,10829,9143xm10829,100l2563,100,2563,487,2563,755,2563,1024,2563,1293,2563,1562,2563,1831,2563,2099,2563,2368,2563,2757,2563,3146,2563,3412,2563,3681,2563,3950,2563,4339,2563,4607,2563,4876,2563,5145,2563,5414,2563,5683,2563,5951,2563,6338,2563,6607,2563,6875,2563,7144,2563,7413,2563,7682,2563,7951,2563,8339,2563,8608,2563,8877,2563,9143,10829,9143,10829,8877,10829,8608,10829,8339,10829,7951,10829,7682,10829,7413,10829,7144,10829,6875,10829,6607,10829,6338,10829,5951,10829,5683,10829,5414,10829,5145,10829,4876,10829,4607,10829,4339,10829,3950,10829,3681,10829,3412,10829,3146,10829,2757,10829,2368,10829,2099,10829,1831,10829,1562,10829,1293,10829,1024,10829,755,10829,487,10829,100xe" filled="true" fillcolor="#dfdfdf" stroked="false">
                <v:path arrowok="t"/>
                <v:fill type="solid"/>
                <w10:wrap type="none"/>
              </v:shape>
            </w:pict>
          </mc:Fallback>
        </mc:AlternateContent>
      </w:r>
      <w:r>
        <w:rPr/>
        <w:t>WATER</w:t>
      </w:r>
      <w:r>
        <w:rPr>
          <w:spacing w:val="-3"/>
        </w:rPr>
        <w:t> </w:t>
      </w:r>
      <w:r>
        <w:rPr>
          <w:spacing w:val="-2"/>
        </w:rPr>
        <w:t>QUALITY</w:t>
      </w:r>
    </w:p>
    <w:p>
      <w:pPr>
        <w:pStyle w:val="BodyText"/>
        <w:spacing w:before="118"/>
        <w:ind w:left="1512" w:right="742"/>
      </w:pPr>
      <w:r>
        <w:rPr/>
        <w:t>All projects on NFS lands implemented in a manner consistent with meeting State surface water quality standards, and the programs established under the Clean Water Act. This includes moving toward meeting water quality improvement targets established in the Colville National Forest</w:t>
      </w:r>
      <w:r>
        <w:rPr>
          <w:spacing w:val="-2"/>
        </w:rPr>
        <w:t> </w:t>
      </w:r>
      <w:r>
        <w:rPr/>
        <w:t>Total Maximum</w:t>
      </w:r>
      <w:r>
        <w:rPr>
          <w:spacing w:val="-1"/>
        </w:rPr>
        <w:t> </w:t>
      </w:r>
      <w:r>
        <w:rPr/>
        <w:t>Daily</w:t>
      </w:r>
      <w:r>
        <w:rPr>
          <w:spacing w:val="-1"/>
        </w:rPr>
        <w:t> </w:t>
      </w:r>
      <w:r>
        <w:rPr/>
        <w:t>Load</w:t>
      </w:r>
      <w:r>
        <w:rPr>
          <w:spacing w:val="-1"/>
        </w:rPr>
        <w:t> </w:t>
      </w:r>
      <w:r>
        <w:rPr/>
        <w:t>and</w:t>
      </w:r>
      <w:r>
        <w:rPr>
          <w:spacing w:val="-1"/>
        </w:rPr>
        <w:t> </w:t>
      </w:r>
      <w:r>
        <w:rPr/>
        <w:t>Water</w:t>
      </w:r>
      <w:r>
        <w:rPr>
          <w:spacing w:val="-2"/>
        </w:rPr>
        <w:t> </w:t>
      </w:r>
      <w:r>
        <w:rPr/>
        <w:t>Quality Implementation</w:t>
      </w:r>
      <w:r>
        <w:rPr>
          <w:spacing w:val="-3"/>
        </w:rPr>
        <w:t> </w:t>
      </w:r>
      <w:r>
        <w:rPr/>
        <w:t>Plan for temperature and fecal coliform. Preservation and improvement of water quality is achieved through implementation of best management practices and Forest Plan components,</w:t>
      </w:r>
      <w:r>
        <w:rPr>
          <w:spacing w:val="-3"/>
        </w:rPr>
        <w:t> </w:t>
      </w:r>
      <w:r>
        <w:rPr/>
        <w:t>including</w:t>
      </w:r>
      <w:r>
        <w:rPr>
          <w:spacing w:val="-4"/>
        </w:rPr>
        <w:t> </w:t>
      </w:r>
      <w:r>
        <w:rPr/>
        <w:t>desired</w:t>
      </w:r>
      <w:r>
        <w:rPr>
          <w:spacing w:val="-4"/>
        </w:rPr>
        <w:t> </w:t>
      </w:r>
      <w:r>
        <w:rPr/>
        <w:t>conditions,</w:t>
      </w:r>
      <w:r>
        <w:rPr>
          <w:spacing w:val="-5"/>
        </w:rPr>
        <w:t> </w:t>
      </w:r>
      <w:r>
        <w:rPr/>
        <w:t>objectives,</w:t>
      </w:r>
      <w:r>
        <w:rPr>
          <w:spacing w:val="-5"/>
        </w:rPr>
        <w:t> </w:t>
      </w:r>
      <w:r>
        <w:rPr/>
        <w:t>standards,</w:t>
      </w:r>
      <w:r>
        <w:rPr>
          <w:spacing w:val="-3"/>
        </w:rPr>
        <w:t> </w:t>
      </w:r>
      <w:r>
        <w:rPr/>
        <w:t>and</w:t>
      </w:r>
      <w:r>
        <w:rPr>
          <w:spacing w:val="-4"/>
        </w:rPr>
        <w:t> </w:t>
      </w:r>
      <w:r>
        <w:rPr/>
        <w:t>guidelines,</w:t>
      </w:r>
      <w:r>
        <w:rPr>
          <w:spacing w:val="-5"/>
        </w:rPr>
        <w:t> </w:t>
      </w:r>
      <w:r>
        <w:rPr/>
        <w:t>and</w:t>
      </w:r>
      <w:r>
        <w:rPr>
          <w:spacing w:val="-4"/>
        </w:rPr>
        <w:t> </w:t>
      </w:r>
      <w:r>
        <w:rPr/>
        <w:t>active </w:t>
      </w:r>
      <w:r>
        <w:rPr>
          <w:spacing w:val="-2"/>
        </w:rPr>
        <w:t>restoration.</w:t>
      </w:r>
    </w:p>
    <w:p>
      <w:pPr>
        <w:pStyle w:val="BodyText"/>
        <w:spacing w:before="122"/>
        <w:ind w:left="1512"/>
      </w:pPr>
      <w:r>
        <w:rPr/>
        <w:t>MUNICIPAL</w:t>
      </w:r>
      <w:r>
        <w:rPr>
          <w:spacing w:val="-7"/>
        </w:rPr>
        <w:t> </w:t>
      </w:r>
      <w:r>
        <w:rPr/>
        <w:t>SUPPLY</w:t>
      </w:r>
      <w:r>
        <w:rPr>
          <w:spacing w:val="-7"/>
        </w:rPr>
        <w:t> </w:t>
      </w:r>
      <w:r>
        <w:rPr/>
        <w:t>WATERSHEDS</w:t>
      </w:r>
      <w:r>
        <w:rPr>
          <w:spacing w:val="-6"/>
        </w:rPr>
        <w:t> </w:t>
      </w:r>
      <w:r>
        <w:rPr/>
        <w:t>AND</w:t>
      </w:r>
      <w:r>
        <w:rPr>
          <w:spacing w:val="-7"/>
        </w:rPr>
        <w:t> </w:t>
      </w:r>
      <w:r>
        <w:rPr/>
        <w:t>SOURCE</w:t>
      </w:r>
      <w:r>
        <w:rPr>
          <w:spacing w:val="-5"/>
        </w:rPr>
        <w:t> </w:t>
      </w:r>
      <w:r>
        <w:rPr/>
        <w:t>WATER</w:t>
      </w:r>
      <w:r>
        <w:rPr>
          <w:spacing w:val="-5"/>
        </w:rPr>
        <w:t> </w:t>
      </w:r>
      <w:r>
        <w:rPr/>
        <w:t>PROTECTION</w:t>
      </w:r>
      <w:r>
        <w:rPr>
          <w:spacing w:val="-6"/>
        </w:rPr>
        <w:t> </w:t>
      </w:r>
      <w:r>
        <w:rPr>
          <w:spacing w:val="-2"/>
        </w:rPr>
        <w:t>AREAS</w:t>
      </w:r>
    </w:p>
    <w:p>
      <w:pPr>
        <w:pStyle w:val="BodyText"/>
        <w:spacing w:before="118"/>
        <w:ind w:left="1512" w:right="801"/>
      </w:pPr>
      <w:r>
        <w:rPr/>
        <w:t>A 1996 amendment to the 1974 Safe Drinking Water Act requires identification of both surface and groundwater source water protection areas upstream of drinking water systems</w:t>
      </w:r>
      <w:r>
        <w:rPr>
          <w:spacing w:val="-4"/>
        </w:rPr>
        <w:t> </w:t>
      </w:r>
      <w:r>
        <w:rPr/>
        <w:t>that</w:t>
      </w:r>
      <w:r>
        <w:rPr>
          <w:spacing w:val="-4"/>
        </w:rPr>
        <w:t> </w:t>
      </w:r>
      <w:r>
        <w:rPr/>
        <w:t>serve</w:t>
      </w:r>
      <w:r>
        <w:rPr>
          <w:spacing w:val="-4"/>
        </w:rPr>
        <w:t> </w:t>
      </w:r>
      <w:r>
        <w:rPr/>
        <w:t>more</w:t>
      </w:r>
      <w:r>
        <w:rPr>
          <w:spacing w:val="-4"/>
        </w:rPr>
        <w:t> </w:t>
      </w:r>
      <w:r>
        <w:rPr/>
        <w:t>than</w:t>
      </w:r>
      <w:r>
        <w:rPr>
          <w:spacing w:val="-3"/>
        </w:rPr>
        <w:t> </w:t>
      </w:r>
      <w:r>
        <w:rPr/>
        <w:t>25</w:t>
      </w:r>
      <w:r>
        <w:rPr>
          <w:spacing w:val="-3"/>
        </w:rPr>
        <w:t> </w:t>
      </w:r>
      <w:r>
        <w:rPr/>
        <w:t>individuals.</w:t>
      </w:r>
      <w:r>
        <w:rPr>
          <w:spacing w:val="-2"/>
        </w:rPr>
        <w:t> </w:t>
      </w:r>
      <w:r>
        <w:rPr/>
        <w:t>Source</w:t>
      </w:r>
      <w:r>
        <w:rPr>
          <w:spacing w:val="-1"/>
        </w:rPr>
        <w:t> </w:t>
      </w:r>
      <w:r>
        <w:rPr/>
        <w:t>water</w:t>
      </w:r>
      <w:r>
        <w:rPr>
          <w:spacing w:val="-2"/>
        </w:rPr>
        <w:t> </w:t>
      </w:r>
      <w:r>
        <w:rPr/>
        <w:t>protection</w:t>
      </w:r>
      <w:r>
        <w:rPr>
          <w:spacing w:val="-5"/>
        </w:rPr>
        <w:t> </w:t>
      </w:r>
      <w:r>
        <w:rPr/>
        <w:t>areas</w:t>
      </w:r>
      <w:r>
        <w:rPr>
          <w:spacing w:val="-4"/>
        </w:rPr>
        <w:t> </w:t>
      </w:r>
      <w:r>
        <w:rPr/>
        <w:t>on</w:t>
      </w:r>
      <w:r>
        <w:rPr>
          <w:spacing w:val="-5"/>
        </w:rPr>
        <w:t> </w:t>
      </w:r>
      <w:r>
        <w:rPr/>
        <w:t>the</w:t>
      </w:r>
      <w:r>
        <w:rPr>
          <w:spacing w:val="-1"/>
        </w:rPr>
        <w:t> </w:t>
      </w:r>
      <w:r>
        <w:rPr/>
        <w:t>Forest are delineated by the Washington Department of Health Office of Drinking Water.</w:t>
      </w:r>
    </w:p>
    <w:p>
      <w:pPr>
        <w:pStyle w:val="BodyText"/>
        <w:spacing w:before="121"/>
        <w:ind w:left="1512" w:right="742"/>
      </w:pPr>
      <w:r>
        <w:rPr/>
        <w:t>Source water is untreated drinking water from streams, rivers, lakes, springs, and aquifers that provides public drinking water. The goal of source water protection is to provide long- term safe, reliable drinking water. Source water protection areas are those that are delineated and mapped by the State of Washington for each federally regulated public water</w:t>
      </w:r>
      <w:r>
        <w:rPr>
          <w:spacing w:val="-4"/>
        </w:rPr>
        <w:t> </w:t>
      </w:r>
      <w:r>
        <w:rPr/>
        <w:t>system.</w:t>
      </w:r>
      <w:r>
        <w:rPr>
          <w:spacing w:val="-2"/>
        </w:rPr>
        <w:t> </w:t>
      </w:r>
      <w:r>
        <w:rPr/>
        <w:t>Waters</w:t>
      </w:r>
      <w:r>
        <w:rPr>
          <w:spacing w:val="-4"/>
        </w:rPr>
        <w:t> </w:t>
      </w:r>
      <w:r>
        <w:rPr/>
        <w:t>of</w:t>
      </w:r>
      <w:r>
        <w:rPr>
          <w:spacing w:val="-4"/>
        </w:rPr>
        <w:t> </w:t>
      </w:r>
      <w:r>
        <w:rPr/>
        <w:t>the</w:t>
      </w:r>
      <w:r>
        <w:rPr>
          <w:spacing w:val="-1"/>
        </w:rPr>
        <w:t> </w:t>
      </w:r>
      <w:r>
        <w:rPr/>
        <w:t>Colville</w:t>
      </w:r>
      <w:r>
        <w:rPr>
          <w:spacing w:val="-4"/>
        </w:rPr>
        <w:t> </w:t>
      </w:r>
      <w:r>
        <w:rPr/>
        <w:t>National</w:t>
      </w:r>
      <w:r>
        <w:rPr>
          <w:spacing w:val="-5"/>
        </w:rPr>
        <w:t> </w:t>
      </w:r>
      <w:r>
        <w:rPr/>
        <w:t>Forest</w:t>
      </w:r>
      <w:r>
        <w:rPr>
          <w:spacing w:val="-1"/>
        </w:rPr>
        <w:t> </w:t>
      </w:r>
      <w:r>
        <w:rPr/>
        <w:t>are</w:t>
      </w:r>
      <w:r>
        <w:rPr>
          <w:spacing w:val="-1"/>
        </w:rPr>
        <w:t> </w:t>
      </w:r>
      <w:r>
        <w:rPr/>
        <w:t>upstream</w:t>
      </w:r>
      <w:r>
        <w:rPr>
          <w:spacing w:val="-3"/>
        </w:rPr>
        <w:t> </w:t>
      </w:r>
      <w:r>
        <w:rPr/>
        <w:t>of</w:t>
      </w:r>
      <w:r>
        <w:rPr>
          <w:spacing w:val="-2"/>
        </w:rPr>
        <w:t> </w:t>
      </w:r>
      <w:r>
        <w:rPr/>
        <w:t>surface</w:t>
      </w:r>
      <w:r>
        <w:rPr>
          <w:spacing w:val="-4"/>
        </w:rPr>
        <w:t> </w:t>
      </w:r>
      <w:r>
        <w:rPr/>
        <w:t>water</w:t>
      </w:r>
      <w:r>
        <w:rPr>
          <w:spacing w:val="-2"/>
        </w:rPr>
        <w:t> </w:t>
      </w:r>
      <w:r>
        <w:rPr/>
        <w:t>systems that service Cusick, Grand Coulee, Ione, Kettle Falls, Metaline, Metaline Falls, Orient, and </w:t>
      </w:r>
      <w:r>
        <w:rPr>
          <w:spacing w:val="-2"/>
        </w:rPr>
        <w:t>Riverbend.</w:t>
      </w:r>
    </w:p>
    <w:p>
      <w:pPr>
        <w:pStyle w:val="BodyText"/>
        <w:spacing w:before="119"/>
        <w:ind w:left="1512" w:right="742"/>
      </w:pPr>
      <w:r>
        <w:rPr/>
        <w:t>Municipal supply watersheds provide water for human consumption where Forest Service management could have a significant impact upon the quality of water at the intake point and</w:t>
      </w:r>
      <w:r>
        <w:rPr>
          <w:spacing w:val="-3"/>
        </w:rPr>
        <w:t> </w:t>
      </w:r>
      <w:r>
        <w:rPr/>
        <w:t>that</w:t>
      </w:r>
      <w:r>
        <w:rPr>
          <w:spacing w:val="-1"/>
        </w:rPr>
        <w:t> </w:t>
      </w:r>
      <w:r>
        <w:rPr/>
        <w:t>provide</w:t>
      </w:r>
      <w:r>
        <w:rPr>
          <w:spacing w:val="-4"/>
        </w:rPr>
        <w:t> </w:t>
      </w:r>
      <w:r>
        <w:rPr/>
        <w:t>water</w:t>
      </w:r>
      <w:r>
        <w:rPr>
          <w:spacing w:val="-2"/>
        </w:rPr>
        <w:t> </w:t>
      </w:r>
      <w:r>
        <w:rPr/>
        <w:t>used</w:t>
      </w:r>
      <w:r>
        <w:rPr>
          <w:spacing w:val="-3"/>
        </w:rPr>
        <w:t> </w:t>
      </w:r>
      <w:r>
        <w:rPr/>
        <w:t>by</w:t>
      </w:r>
      <w:r>
        <w:rPr>
          <w:spacing w:val="-1"/>
        </w:rPr>
        <w:t> </w:t>
      </w:r>
      <w:r>
        <w:rPr/>
        <w:t>a</w:t>
      </w:r>
      <w:r>
        <w:rPr>
          <w:spacing w:val="-2"/>
        </w:rPr>
        <w:t> </w:t>
      </w:r>
      <w:r>
        <w:rPr/>
        <w:t>community</w:t>
      </w:r>
      <w:r>
        <w:rPr>
          <w:spacing w:val="-3"/>
        </w:rPr>
        <w:t> </w:t>
      </w:r>
      <w:r>
        <w:rPr/>
        <w:t>or</w:t>
      </w:r>
      <w:r>
        <w:rPr>
          <w:spacing w:val="-4"/>
        </w:rPr>
        <w:t> </w:t>
      </w:r>
      <w:r>
        <w:rPr/>
        <w:t>other</w:t>
      </w:r>
      <w:r>
        <w:rPr>
          <w:spacing w:val="-7"/>
        </w:rPr>
        <w:t> </w:t>
      </w:r>
      <w:r>
        <w:rPr/>
        <w:t>public</w:t>
      </w:r>
      <w:r>
        <w:rPr>
          <w:spacing w:val="-2"/>
        </w:rPr>
        <w:t> </w:t>
      </w:r>
      <w:r>
        <w:rPr/>
        <w:t>water</w:t>
      </w:r>
      <w:r>
        <w:rPr>
          <w:spacing w:val="-4"/>
        </w:rPr>
        <w:t> </w:t>
      </w:r>
      <w:r>
        <w:rPr/>
        <w:t>system</w:t>
      </w:r>
      <w:r>
        <w:rPr>
          <w:spacing w:val="-1"/>
        </w:rPr>
        <w:t> </w:t>
      </w:r>
      <w:r>
        <w:rPr/>
        <w:t>regularly</w:t>
      </w:r>
      <w:r>
        <w:rPr>
          <w:spacing w:val="-1"/>
        </w:rPr>
        <w:t> </w:t>
      </w:r>
      <w:r>
        <w:rPr/>
        <w:t>serving at least 25 individuals at least 60 days out of the year or providing at least 15 service connections (FSM 2542). Municipal watersheds on the CNF include East Deer Creek, and North Fork Sullivan Creek, which provide water to the communities of Orient and Metaline Falls, respectively.</w:t>
      </w:r>
    </w:p>
    <w:p>
      <w:pPr>
        <w:pStyle w:val="BodyText"/>
        <w:spacing w:before="122"/>
        <w:ind w:left="1512" w:right="801"/>
      </w:pPr>
      <w:r>
        <w:rPr/>
        <w:t>Management direction underlying source water protection areas, and municipal supply watersheds is to be followed in addition to providing for water quality. Management guidance</w:t>
      </w:r>
      <w:r>
        <w:rPr>
          <w:spacing w:val="-2"/>
        </w:rPr>
        <w:t> </w:t>
      </w:r>
      <w:r>
        <w:rPr/>
        <w:t>for</w:t>
      </w:r>
      <w:r>
        <w:rPr>
          <w:spacing w:val="-3"/>
        </w:rPr>
        <w:t> </w:t>
      </w:r>
      <w:r>
        <w:rPr/>
        <w:t>aquatic</w:t>
      </w:r>
      <w:r>
        <w:rPr>
          <w:spacing w:val="-3"/>
        </w:rPr>
        <w:t> </w:t>
      </w:r>
      <w:r>
        <w:rPr/>
        <w:t>and</w:t>
      </w:r>
      <w:r>
        <w:rPr>
          <w:spacing w:val="-3"/>
        </w:rPr>
        <w:t> </w:t>
      </w:r>
      <w:r>
        <w:rPr/>
        <w:t>riparian</w:t>
      </w:r>
      <w:r>
        <w:rPr>
          <w:spacing w:val="-4"/>
        </w:rPr>
        <w:t> </w:t>
      </w:r>
      <w:r>
        <w:rPr/>
        <w:t>ecosystems</w:t>
      </w:r>
      <w:r>
        <w:rPr>
          <w:spacing w:val="-3"/>
        </w:rPr>
        <w:t> </w:t>
      </w:r>
      <w:r>
        <w:rPr/>
        <w:t>and</w:t>
      </w:r>
      <w:r>
        <w:rPr>
          <w:spacing w:val="-4"/>
        </w:rPr>
        <w:t> </w:t>
      </w:r>
      <w:r>
        <w:rPr/>
        <w:t>key</w:t>
      </w:r>
      <w:r>
        <w:rPr>
          <w:spacing w:val="-7"/>
        </w:rPr>
        <w:t> </w:t>
      </w:r>
      <w:r>
        <w:rPr/>
        <w:t>watersheds,</w:t>
      </w:r>
      <w:r>
        <w:rPr>
          <w:spacing w:val="-3"/>
        </w:rPr>
        <w:t> </w:t>
      </w:r>
      <w:r>
        <w:rPr/>
        <w:t>and</w:t>
      </w:r>
      <w:r>
        <w:rPr>
          <w:spacing w:val="-4"/>
        </w:rPr>
        <w:t> </w:t>
      </w:r>
      <w:r>
        <w:rPr/>
        <w:t>implementation</w:t>
      </w:r>
      <w:r>
        <w:rPr>
          <w:spacing w:val="-6"/>
        </w:rPr>
        <w:t> </w:t>
      </w:r>
      <w:r>
        <w:rPr/>
        <w:t>of national best management practices provide for water quality protection.</w:t>
      </w:r>
    </w:p>
    <w:p>
      <w:pPr>
        <w:pStyle w:val="BodyText"/>
        <w:spacing w:before="118"/>
        <w:ind w:left="1512"/>
      </w:pPr>
      <w:r>
        <w:rPr/>
        <w:t>KEY</w:t>
      </w:r>
      <w:r>
        <w:rPr>
          <w:spacing w:val="-2"/>
        </w:rPr>
        <w:t> WATERSHEDS</w:t>
      </w:r>
    </w:p>
    <w:p>
      <w:pPr>
        <w:pStyle w:val="BodyText"/>
        <w:spacing w:before="121"/>
        <w:ind w:left="1512" w:right="742"/>
      </w:pPr>
      <w:r>
        <w:rPr/>
        <w:t>Key watersheds are a subset of the watersheds across the Colville National Forest and are designated at the subwatershed scale (</w:t>
      </w:r>
      <w:hyperlink w:history="true" w:anchor="_bookmark90">
        <w:r>
          <w:rPr/>
          <w:t>figure 5</w:t>
        </w:r>
      </w:hyperlink>
      <w:r>
        <w:rPr/>
        <w:t> and </w:t>
      </w:r>
      <w:hyperlink w:history="true" w:anchor="_bookmark91">
        <w:r>
          <w:rPr/>
          <w:t>table 10</w:t>
        </w:r>
      </w:hyperlink>
      <w:r>
        <w:rPr/>
        <w:t>). They are a network of watersheds that serve as strongholds for important aquatic resources and are crucial to threatened and endangered aquatic species and provide high quality water important for maintenance of downstream populations. Management in key watersheds emphasizes minimizing</w:t>
      </w:r>
      <w:r>
        <w:rPr>
          <w:spacing w:val="-4"/>
        </w:rPr>
        <w:t> </w:t>
      </w:r>
      <w:r>
        <w:rPr/>
        <w:t>risk</w:t>
      </w:r>
      <w:r>
        <w:rPr>
          <w:spacing w:val="-5"/>
        </w:rPr>
        <w:t> </w:t>
      </w:r>
      <w:r>
        <w:rPr/>
        <w:t>and</w:t>
      </w:r>
      <w:r>
        <w:rPr>
          <w:spacing w:val="-6"/>
        </w:rPr>
        <w:t> </w:t>
      </w:r>
      <w:r>
        <w:rPr/>
        <w:t>maximizing</w:t>
      </w:r>
      <w:r>
        <w:rPr>
          <w:spacing w:val="-4"/>
        </w:rPr>
        <w:t> </w:t>
      </w:r>
      <w:r>
        <w:rPr/>
        <w:t>passive</w:t>
      </w:r>
      <w:r>
        <w:rPr>
          <w:spacing w:val="-2"/>
        </w:rPr>
        <w:t> </w:t>
      </w:r>
      <w:r>
        <w:rPr/>
        <w:t>and</w:t>
      </w:r>
      <w:r>
        <w:rPr>
          <w:spacing w:val="-4"/>
        </w:rPr>
        <w:t> </w:t>
      </w:r>
      <w:r>
        <w:rPr/>
        <w:t>active</w:t>
      </w:r>
      <w:r>
        <w:rPr>
          <w:spacing w:val="-2"/>
        </w:rPr>
        <w:t> </w:t>
      </w:r>
      <w:r>
        <w:rPr/>
        <w:t>restoration</w:t>
      </w:r>
      <w:r>
        <w:rPr>
          <w:spacing w:val="-4"/>
        </w:rPr>
        <w:t> </w:t>
      </w:r>
      <w:r>
        <w:rPr/>
        <w:t>or</w:t>
      </w:r>
      <w:r>
        <w:rPr>
          <w:spacing w:val="-3"/>
        </w:rPr>
        <w:t> </w:t>
      </w:r>
      <w:r>
        <w:rPr/>
        <w:t>preservation</w:t>
      </w:r>
      <w:r>
        <w:rPr>
          <w:spacing w:val="-6"/>
        </w:rPr>
        <w:t> </w:t>
      </w:r>
      <w:r>
        <w:rPr/>
        <w:t>of</w:t>
      </w:r>
      <w:r>
        <w:rPr>
          <w:spacing w:val="-5"/>
        </w:rPr>
        <w:t> </w:t>
      </w:r>
      <w:r>
        <w:rPr/>
        <w:t>watershed function and aquatic and riparian habitat.</w:t>
      </w:r>
    </w:p>
    <w:p>
      <w:pPr>
        <w:pStyle w:val="BodyText"/>
        <w:spacing w:after="0"/>
        <w:sectPr>
          <w:pgSz w:w="12240" w:h="15840"/>
          <w:pgMar w:header="725" w:footer="891" w:top="960" w:bottom="1080" w:left="1080" w:right="720"/>
        </w:sectPr>
      </w:pPr>
    </w:p>
    <w:p>
      <w:pPr>
        <w:pStyle w:val="BodyText"/>
        <w:spacing w:before="231"/>
        <w:rPr>
          <w:sz w:val="20"/>
        </w:rPr>
      </w:pPr>
    </w:p>
    <w:p>
      <w:pPr>
        <w:pStyle w:val="BodyText"/>
        <w:ind w:left="691"/>
        <w:rPr>
          <w:sz w:val="20"/>
        </w:rPr>
      </w:pPr>
      <w:r>
        <w:rPr>
          <w:sz w:val="20"/>
        </w:rPr>
        <mc:AlternateContent>
          <mc:Choice Requires="wps">
            <w:drawing>
              <wp:inline distT="0" distB="0" distL="0" distR="0">
                <wp:extent cx="5248910" cy="1022985"/>
                <wp:effectExtent l="0" t="0" r="0" b="0"/>
                <wp:docPr id="156" name="Textbox 156"/>
                <wp:cNvGraphicFramePr>
                  <a:graphicFrameLocks/>
                </wp:cNvGraphicFramePr>
                <a:graphic>
                  <a:graphicData uri="http://schemas.microsoft.com/office/word/2010/wordprocessingShape">
                    <wps:wsp>
                      <wps:cNvPr id="156" name="Textbox 156"/>
                      <wps:cNvSpPr txBox="1"/>
                      <wps:spPr>
                        <a:xfrm>
                          <a:off x="0" y="0"/>
                          <a:ext cx="5248910" cy="1022985"/>
                        </a:xfrm>
                        <a:prstGeom prst="rect">
                          <a:avLst/>
                        </a:prstGeom>
                        <a:solidFill>
                          <a:srgbClr val="DFDFDF"/>
                        </a:solidFill>
                      </wps:spPr>
                      <wps:txbx>
                        <w:txbxContent>
                          <w:p>
                            <w:pPr>
                              <w:pStyle w:val="BodyText"/>
                              <w:ind w:left="28" w:right="120"/>
                              <w:rPr>
                                <w:color w:val="000000"/>
                              </w:rPr>
                            </w:pPr>
                            <w:r>
                              <w:rPr>
                                <w:color w:val="000000"/>
                              </w:rPr>
                              <w:t>Twenty-six</w:t>
                            </w:r>
                            <w:r>
                              <w:rPr>
                                <w:color w:val="000000"/>
                                <w:spacing w:val="-5"/>
                              </w:rPr>
                              <w:t> </w:t>
                            </w:r>
                            <w:r>
                              <w:rPr>
                                <w:color w:val="000000"/>
                              </w:rPr>
                              <w:t>subwatersheds</w:t>
                            </w:r>
                            <w:r>
                              <w:rPr>
                                <w:color w:val="000000"/>
                                <w:spacing w:val="-5"/>
                              </w:rPr>
                              <w:t> </w:t>
                            </w:r>
                            <w:r>
                              <w:rPr>
                                <w:color w:val="000000"/>
                              </w:rPr>
                              <w:t>are</w:t>
                            </w:r>
                            <w:r>
                              <w:rPr>
                                <w:color w:val="000000"/>
                                <w:spacing w:val="-2"/>
                              </w:rPr>
                              <w:t> </w:t>
                            </w:r>
                            <w:r>
                              <w:rPr>
                                <w:color w:val="000000"/>
                              </w:rPr>
                              <w:t>designated</w:t>
                            </w:r>
                            <w:r>
                              <w:rPr>
                                <w:color w:val="000000"/>
                                <w:spacing w:val="-4"/>
                              </w:rPr>
                              <w:t> </w:t>
                            </w:r>
                            <w:r>
                              <w:rPr>
                                <w:color w:val="000000"/>
                              </w:rPr>
                              <w:t>as</w:t>
                            </w:r>
                            <w:r>
                              <w:rPr>
                                <w:color w:val="000000"/>
                                <w:spacing w:val="-5"/>
                              </w:rPr>
                              <w:t> </w:t>
                            </w:r>
                            <w:r>
                              <w:rPr>
                                <w:color w:val="000000"/>
                              </w:rPr>
                              <w:t>Key</w:t>
                            </w:r>
                            <w:r>
                              <w:rPr>
                                <w:color w:val="000000"/>
                                <w:spacing w:val="-4"/>
                              </w:rPr>
                              <w:t> </w:t>
                            </w:r>
                            <w:r>
                              <w:rPr>
                                <w:color w:val="000000"/>
                              </w:rPr>
                              <w:t>Watersheds,</w:t>
                            </w:r>
                            <w:r>
                              <w:rPr>
                                <w:color w:val="000000"/>
                                <w:spacing w:val="-5"/>
                              </w:rPr>
                              <w:t> </w:t>
                            </w:r>
                            <w:r>
                              <w:rPr>
                                <w:color w:val="000000"/>
                              </w:rPr>
                              <w:t>12</w:t>
                            </w:r>
                            <w:r>
                              <w:rPr>
                                <w:color w:val="000000"/>
                                <w:spacing w:val="-4"/>
                              </w:rPr>
                              <w:t> </w:t>
                            </w:r>
                            <w:r>
                              <w:rPr>
                                <w:color w:val="000000"/>
                              </w:rPr>
                              <w:t>of</w:t>
                            </w:r>
                            <w:r>
                              <w:rPr>
                                <w:color w:val="000000"/>
                                <w:spacing w:val="-5"/>
                              </w:rPr>
                              <w:t> </w:t>
                            </w:r>
                            <w:r>
                              <w:rPr>
                                <w:color w:val="000000"/>
                              </w:rPr>
                              <w:t>which</w:t>
                            </w:r>
                            <w:r>
                              <w:rPr>
                                <w:color w:val="000000"/>
                                <w:spacing w:val="-4"/>
                              </w:rPr>
                              <w:t> </w:t>
                            </w:r>
                            <w:r>
                              <w:rPr>
                                <w:color w:val="000000"/>
                              </w:rPr>
                              <w:t>are</w:t>
                            </w:r>
                            <w:r>
                              <w:rPr>
                                <w:color w:val="000000"/>
                                <w:spacing w:val="-2"/>
                              </w:rPr>
                              <w:t> </w:t>
                            </w:r>
                            <w:r>
                              <w:rPr>
                                <w:color w:val="000000"/>
                              </w:rPr>
                              <w:t>designated as a priority for restoration. The plan includes specific objectives for restoration in Key Watersheds that are a priority for restoration. These 12 subwatersheds represent the primary focus areas for active watershed and aquatic restoration through the life of the Forest Plan, based on established national and regional protocols for establishment of priorities, and partnership and funding opportunities.</w:t>
                            </w:r>
                          </w:p>
                        </w:txbxContent>
                      </wps:txbx>
                      <wps:bodyPr wrap="square" lIns="0" tIns="0" rIns="0" bIns="0" rtlCol="0">
                        <a:noAutofit/>
                      </wps:bodyPr>
                    </wps:wsp>
                  </a:graphicData>
                </a:graphic>
              </wp:inline>
            </w:drawing>
          </mc:Choice>
          <mc:Fallback>
            <w:pict>
              <v:shape style="width:413.3pt;height:80.55pt;mso-position-horizontal-relative:char;mso-position-vertical-relative:line" type="#_x0000_t202" id="docshape147" filled="true" fillcolor="#dfdfdf" stroked="false">
                <w10:anchorlock/>
                <v:textbox inset="0,0,0,0">
                  <w:txbxContent>
                    <w:p>
                      <w:pPr>
                        <w:pStyle w:val="BodyText"/>
                        <w:ind w:left="28" w:right="120"/>
                        <w:rPr>
                          <w:color w:val="000000"/>
                        </w:rPr>
                      </w:pPr>
                      <w:r>
                        <w:rPr>
                          <w:color w:val="000000"/>
                        </w:rPr>
                        <w:t>Twenty-six</w:t>
                      </w:r>
                      <w:r>
                        <w:rPr>
                          <w:color w:val="000000"/>
                          <w:spacing w:val="-5"/>
                        </w:rPr>
                        <w:t> </w:t>
                      </w:r>
                      <w:r>
                        <w:rPr>
                          <w:color w:val="000000"/>
                        </w:rPr>
                        <w:t>subwatersheds</w:t>
                      </w:r>
                      <w:r>
                        <w:rPr>
                          <w:color w:val="000000"/>
                          <w:spacing w:val="-5"/>
                        </w:rPr>
                        <w:t> </w:t>
                      </w:r>
                      <w:r>
                        <w:rPr>
                          <w:color w:val="000000"/>
                        </w:rPr>
                        <w:t>are</w:t>
                      </w:r>
                      <w:r>
                        <w:rPr>
                          <w:color w:val="000000"/>
                          <w:spacing w:val="-2"/>
                        </w:rPr>
                        <w:t> </w:t>
                      </w:r>
                      <w:r>
                        <w:rPr>
                          <w:color w:val="000000"/>
                        </w:rPr>
                        <w:t>designated</w:t>
                      </w:r>
                      <w:r>
                        <w:rPr>
                          <w:color w:val="000000"/>
                          <w:spacing w:val="-4"/>
                        </w:rPr>
                        <w:t> </w:t>
                      </w:r>
                      <w:r>
                        <w:rPr>
                          <w:color w:val="000000"/>
                        </w:rPr>
                        <w:t>as</w:t>
                      </w:r>
                      <w:r>
                        <w:rPr>
                          <w:color w:val="000000"/>
                          <w:spacing w:val="-5"/>
                        </w:rPr>
                        <w:t> </w:t>
                      </w:r>
                      <w:r>
                        <w:rPr>
                          <w:color w:val="000000"/>
                        </w:rPr>
                        <w:t>Key</w:t>
                      </w:r>
                      <w:r>
                        <w:rPr>
                          <w:color w:val="000000"/>
                          <w:spacing w:val="-4"/>
                        </w:rPr>
                        <w:t> </w:t>
                      </w:r>
                      <w:r>
                        <w:rPr>
                          <w:color w:val="000000"/>
                        </w:rPr>
                        <w:t>Watersheds,</w:t>
                      </w:r>
                      <w:r>
                        <w:rPr>
                          <w:color w:val="000000"/>
                          <w:spacing w:val="-5"/>
                        </w:rPr>
                        <w:t> </w:t>
                      </w:r>
                      <w:r>
                        <w:rPr>
                          <w:color w:val="000000"/>
                        </w:rPr>
                        <w:t>12</w:t>
                      </w:r>
                      <w:r>
                        <w:rPr>
                          <w:color w:val="000000"/>
                          <w:spacing w:val="-4"/>
                        </w:rPr>
                        <w:t> </w:t>
                      </w:r>
                      <w:r>
                        <w:rPr>
                          <w:color w:val="000000"/>
                        </w:rPr>
                        <w:t>of</w:t>
                      </w:r>
                      <w:r>
                        <w:rPr>
                          <w:color w:val="000000"/>
                          <w:spacing w:val="-5"/>
                        </w:rPr>
                        <w:t> </w:t>
                      </w:r>
                      <w:r>
                        <w:rPr>
                          <w:color w:val="000000"/>
                        </w:rPr>
                        <w:t>which</w:t>
                      </w:r>
                      <w:r>
                        <w:rPr>
                          <w:color w:val="000000"/>
                          <w:spacing w:val="-4"/>
                        </w:rPr>
                        <w:t> </w:t>
                      </w:r>
                      <w:r>
                        <w:rPr>
                          <w:color w:val="000000"/>
                        </w:rPr>
                        <w:t>are</w:t>
                      </w:r>
                      <w:r>
                        <w:rPr>
                          <w:color w:val="000000"/>
                          <w:spacing w:val="-2"/>
                        </w:rPr>
                        <w:t> </w:t>
                      </w:r>
                      <w:r>
                        <w:rPr>
                          <w:color w:val="000000"/>
                        </w:rPr>
                        <w:t>designated as a priority for restoration. The plan includes specific objectives for restoration in Key Watersheds that are a priority for restoration. These 12 subwatersheds represent the primary focus areas for active watershed and aquatic restoration through the life of the Forest Plan, based on established national and regional protocols for establishment of priorities, and partnership and funding opportunities.</w:t>
                      </w:r>
                    </w:p>
                  </w:txbxContent>
                </v:textbox>
                <v:fill type="solid"/>
              </v:shape>
            </w:pict>
          </mc:Fallback>
        </mc:AlternateContent>
      </w:r>
      <w:r>
        <w:rPr>
          <w:sz w:val="20"/>
        </w:rPr>
      </w:r>
    </w:p>
    <w:p>
      <w:pPr>
        <w:pStyle w:val="BodyText"/>
        <w:spacing w:before="11"/>
        <w:rPr>
          <w:sz w:val="5"/>
        </w:rPr>
      </w:pPr>
      <w:r>
        <w:rPr>
          <w:sz w:val="5"/>
        </w:rPr>
        <w:drawing>
          <wp:anchor distT="0" distB="0" distL="0" distR="0" allowOverlap="1" layoutInCell="1" locked="0" behindDoc="1" simplePos="0" relativeHeight="487602688">
            <wp:simplePos x="0" y="0"/>
            <wp:positionH relativeFrom="page">
              <wp:posOffset>914400</wp:posOffset>
            </wp:positionH>
            <wp:positionV relativeFrom="paragraph">
              <wp:posOffset>61168</wp:posOffset>
            </wp:positionV>
            <wp:extent cx="5785524" cy="3821525"/>
            <wp:effectExtent l="0" t="0" r="0" b="0"/>
            <wp:wrapTopAndBottom/>
            <wp:docPr id="157" name="Image 157" descr="Map showing key and municipal supply watersheds"/>
            <wp:cNvGraphicFramePr>
              <a:graphicFrameLocks/>
            </wp:cNvGraphicFramePr>
            <a:graphic>
              <a:graphicData uri="http://schemas.openxmlformats.org/drawingml/2006/picture">
                <pic:pic>
                  <pic:nvPicPr>
                    <pic:cNvPr id="157" name="Image 157" descr="Map showing key and municipal supply watersheds"/>
                    <pic:cNvPicPr/>
                  </pic:nvPicPr>
                  <pic:blipFill>
                    <a:blip r:embed="rId52" cstate="print"/>
                    <a:stretch>
                      <a:fillRect/>
                    </a:stretch>
                  </pic:blipFill>
                  <pic:spPr>
                    <a:xfrm>
                      <a:off x="0" y="0"/>
                      <a:ext cx="5785524" cy="3821525"/>
                    </a:xfrm>
                    <a:prstGeom prst="rect">
                      <a:avLst/>
                    </a:prstGeom>
                  </pic:spPr>
                </pic:pic>
              </a:graphicData>
            </a:graphic>
          </wp:anchor>
        </w:drawing>
      </w:r>
    </w:p>
    <w:p>
      <w:pPr>
        <w:spacing w:before="21"/>
        <w:ind w:left="360" w:right="0" w:firstLine="0"/>
        <w:jc w:val="left"/>
        <w:rPr>
          <w:rFonts w:ascii="Arial"/>
          <w:b/>
          <w:sz w:val="18"/>
        </w:rPr>
      </w:pPr>
      <w:bookmarkStart w:name="_bookmark90" w:id="199"/>
      <w:bookmarkEnd w:id="199"/>
      <w:r>
        <w:rPr/>
      </w:r>
      <w:r>
        <w:rPr>
          <w:rFonts w:ascii="Arial"/>
          <w:b/>
          <w:color w:val="283014"/>
          <w:sz w:val="18"/>
        </w:rPr>
        <w:t>Figure 5.</w:t>
      </w:r>
      <w:r>
        <w:rPr>
          <w:rFonts w:ascii="Arial"/>
          <w:b/>
          <w:color w:val="283014"/>
          <w:spacing w:val="-2"/>
          <w:sz w:val="18"/>
        </w:rPr>
        <w:t> </w:t>
      </w:r>
      <w:r>
        <w:rPr>
          <w:rFonts w:ascii="Arial"/>
          <w:b/>
          <w:color w:val="283014"/>
          <w:sz w:val="18"/>
        </w:rPr>
        <w:t>Key</w:t>
      </w:r>
      <w:r>
        <w:rPr>
          <w:rFonts w:ascii="Arial"/>
          <w:b/>
          <w:color w:val="283014"/>
          <w:spacing w:val="-7"/>
          <w:sz w:val="18"/>
        </w:rPr>
        <w:t> </w:t>
      </w:r>
      <w:r>
        <w:rPr>
          <w:rFonts w:ascii="Arial"/>
          <w:b/>
          <w:color w:val="283014"/>
          <w:sz w:val="18"/>
        </w:rPr>
        <w:t>and municipal</w:t>
      </w:r>
      <w:r>
        <w:rPr>
          <w:rFonts w:ascii="Arial"/>
          <w:b/>
          <w:color w:val="283014"/>
          <w:spacing w:val="-3"/>
          <w:sz w:val="18"/>
        </w:rPr>
        <w:t> </w:t>
      </w:r>
      <w:r>
        <w:rPr>
          <w:rFonts w:ascii="Arial"/>
          <w:b/>
          <w:color w:val="283014"/>
          <w:sz w:val="18"/>
        </w:rPr>
        <w:t>supply</w:t>
      </w:r>
      <w:r>
        <w:rPr>
          <w:rFonts w:ascii="Arial"/>
          <w:b/>
          <w:color w:val="283014"/>
          <w:spacing w:val="-7"/>
          <w:sz w:val="18"/>
        </w:rPr>
        <w:t> </w:t>
      </w:r>
      <w:r>
        <w:rPr>
          <w:rFonts w:ascii="Arial"/>
          <w:b/>
          <w:color w:val="283014"/>
          <w:spacing w:val="-2"/>
          <w:sz w:val="18"/>
        </w:rPr>
        <w:t>watersheds</w:t>
      </w:r>
    </w:p>
    <w:p>
      <w:pPr>
        <w:pStyle w:val="BodyText"/>
        <w:spacing w:before="152"/>
        <w:rPr>
          <w:rFonts w:ascii="Arial"/>
          <w:b/>
          <w:sz w:val="18"/>
        </w:rPr>
      </w:pPr>
    </w:p>
    <w:p>
      <w:pPr>
        <w:spacing w:before="0" w:after="41"/>
        <w:ind w:left="720" w:right="0" w:firstLine="0"/>
        <w:jc w:val="left"/>
        <w:rPr>
          <w:rFonts w:ascii="Arial"/>
          <w:b/>
          <w:sz w:val="18"/>
        </w:rPr>
      </w:pPr>
      <w:bookmarkStart w:name="_bookmark91" w:id="200"/>
      <w:bookmarkEnd w:id="200"/>
      <w:r>
        <w:rPr/>
      </w:r>
      <w:r>
        <w:rPr>
          <w:rFonts w:ascii="Arial"/>
          <w:b/>
          <w:sz w:val="18"/>
        </w:rPr>
        <w:t>Table</w:t>
      </w:r>
      <w:r>
        <w:rPr>
          <w:rFonts w:ascii="Arial"/>
          <w:b/>
          <w:spacing w:val="-4"/>
          <w:sz w:val="18"/>
        </w:rPr>
        <w:t> </w:t>
      </w:r>
      <w:r>
        <w:rPr>
          <w:rFonts w:ascii="Arial"/>
          <w:b/>
          <w:sz w:val="18"/>
        </w:rPr>
        <w:t>10.</w:t>
      </w:r>
      <w:r>
        <w:rPr>
          <w:rFonts w:ascii="Arial"/>
          <w:b/>
          <w:spacing w:val="-2"/>
          <w:sz w:val="18"/>
        </w:rPr>
        <w:t> </w:t>
      </w:r>
      <w:r>
        <w:rPr>
          <w:rFonts w:ascii="Arial"/>
          <w:b/>
          <w:sz w:val="18"/>
        </w:rPr>
        <w:t>Key</w:t>
      </w:r>
      <w:r>
        <w:rPr>
          <w:rFonts w:ascii="Arial"/>
          <w:b/>
          <w:spacing w:val="-10"/>
          <w:sz w:val="18"/>
        </w:rPr>
        <w:t> </w:t>
      </w:r>
      <w:r>
        <w:rPr>
          <w:rFonts w:ascii="Arial"/>
          <w:b/>
          <w:sz w:val="18"/>
        </w:rPr>
        <w:t>watersheds</w:t>
      </w:r>
      <w:r>
        <w:rPr>
          <w:rFonts w:ascii="Arial"/>
          <w:b/>
          <w:spacing w:val="-1"/>
          <w:sz w:val="18"/>
        </w:rPr>
        <w:t> </w:t>
      </w:r>
      <w:r>
        <w:rPr>
          <w:rFonts w:ascii="Arial"/>
          <w:b/>
          <w:sz w:val="18"/>
        </w:rPr>
        <w:t>on</w:t>
      </w:r>
      <w:r>
        <w:rPr>
          <w:rFonts w:ascii="Arial"/>
          <w:b/>
          <w:spacing w:val="-1"/>
          <w:sz w:val="18"/>
        </w:rPr>
        <w:t> </w:t>
      </w:r>
      <w:r>
        <w:rPr>
          <w:rFonts w:ascii="Arial"/>
          <w:b/>
          <w:sz w:val="18"/>
        </w:rPr>
        <w:t>the</w:t>
      </w:r>
      <w:r>
        <w:rPr>
          <w:rFonts w:ascii="Arial"/>
          <w:b/>
          <w:spacing w:val="-1"/>
          <w:sz w:val="18"/>
        </w:rPr>
        <w:t> </w:t>
      </w:r>
      <w:r>
        <w:rPr>
          <w:rFonts w:ascii="Arial"/>
          <w:b/>
          <w:sz w:val="18"/>
        </w:rPr>
        <w:t>Colville</w:t>
      </w:r>
      <w:r>
        <w:rPr>
          <w:rFonts w:ascii="Arial"/>
          <w:b/>
          <w:spacing w:val="-1"/>
          <w:sz w:val="18"/>
        </w:rPr>
        <w:t> </w:t>
      </w:r>
      <w:r>
        <w:rPr>
          <w:rFonts w:ascii="Arial"/>
          <w:b/>
          <w:sz w:val="18"/>
        </w:rPr>
        <w:t>National</w:t>
      </w:r>
      <w:r>
        <w:rPr>
          <w:rFonts w:ascii="Arial"/>
          <w:b/>
          <w:spacing w:val="-1"/>
          <w:sz w:val="18"/>
        </w:rPr>
        <w:t> </w:t>
      </w:r>
      <w:r>
        <w:rPr>
          <w:rFonts w:ascii="Arial"/>
          <w:b/>
          <w:spacing w:val="-2"/>
          <w:sz w:val="18"/>
        </w:rPr>
        <w:t>Forest</w:t>
      </w:r>
    </w:p>
    <w:tbl>
      <w:tblPr>
        <w:tblW w:w="0" w:type="auto"/>
        <w:jc w:val="left"/>
        <w:tblInd w:w="73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531"/>
        <w:gridCol w:w="1080"/>
        <w:gridCol w:w="2695"/>
        <w:gridCol w:w="1565"/>
        <w:gridCol w:w="1327"/>
      </w:tblGrid>
      <w:tr>
        <w:trPr>
          <w:trHeight w:val="1115" w:hRule="atLeast"/>
        </w:trPr>
        <w:tc>
          <w:tcPr>
            <w:tcW w:w="1531" w:type="dxa"/>
            <w:shd w:val="clear" w:color="auto" w:fill="D5E2BB"/>
          </w:tcPr>
          <w:p>
            <w:pPr>
              <w:pStyle w:val="TableParagraph"/>
              <w:spacing w:before="144"/>
              <w:rPr>
                <w:b/>
                <w:sz w:val="18"/>
              </w:rPr>
            </w:pPr>
          </w:p>
          <w:p>
            <w:pPr>
              <w:pStyle w:val="TableParagraph"/>
              <w:spacing w:before="0"/>
              <w:ind w:left="434" w:right="107" w:hanging="308"/>
              <w:rPr>
                <w:b/>
                <w:sz w:val="18"/>
              </w:rPr>
            </w:pPr>
            <w:r>
              <w:rPr>
                <w:b/>
                <w:sz w:val="18"/>
              </w:rPr>
              <w:t>Key</w:t>
            </w:r>
            <w:r>
              <w:rPr>
                <w:b/>
                <w:spacing w:val="-13"/>
                <w:sz w:val="18"/>
              </w:rPr>
              <w:t> </w:t>
            </w:r>
            <w:r>
              <w:rPr>
                <w:b/>
                <w:sz w:val="18"/>
              </w:rPr>
              <w:t>watershed </w:t>
            </w:r>
            <w:r>
              <w:rPr>
                <w:b/>
                <w:spacing w:val="-2"/>
                <w:sz w:val="18"/>
              </w:rPr>
              <w:t>number</w:t>
            </w:r>
          </w:p>
        </w:tc>
        <w:tc>
          <w:tcPr>
            <w:tcW w:w="1080" w:type="dxa"/>
            <w:shd w:val="clear" w:color="auto" w:fill="D5E2BB"/>
          </w:tcPr>
          <w:p>
            <w:pPr>
              <w:pStyle w:val="TableParagraph"/>
              <w:spacing w:before="144"/>
              <w:rPr>
                <w:b/>
                <w:sz w:val="18"/>
              </w:rPr>
            </w:pPr>
          </w:p>
          <w:p>
            <w:pPr>
              <w:pStyle w:val="TableParagraph"/>
              <w:spacing w:before="0"/>
              <w:ind w:left="206" w:right="188" w:firstLine="148"/>
              <w:rPr>
                <w:b/>
                <w:sz w:val="18"/>
              </w:rPr>
            </w:pPr>
            <w:r>
              <w:rPr>
                <w:b/>
                <w:spacing w:val="-4"/>
                <w:sz w:val="18"/>
              </w:rPr>
              <w:t>Map </w:t>
            </w:r>
            <w:r>
              <w:rPr>
                <w:b/>
                <w:spacing w:val="-2"/>
                <w:sz w:val="18"/>
              </w:rPr>
              <w:t>number</w:t>
            </w:r>
          </w:p>
        </w:tc>
        <w:tc>
          <w:tcPr>
            <w:tcW w:w="2695" w:type="dxa"/>
            <w:shd w:val="clear" w:color="auto" w:fill="D5E2BB"/>
          </w:tcPr>
          <w:p>
            <w:pPr>
              <w:pStyle w:val="TableParagraph"/>
              <w:spacing w:before="0"/>
              <w:rPr>
                <w:b/>
                <w:sz w:val="18"/>
              </w:rPr>
            </w:pPr>
          </w:p>
          <w:p>
            <w:pPr>
              <w:pStyle w:val="TableParagraph"/>
              <w:spacing w:before="40"/>
              <w:rPr>
                <w:b/>
                <w:sz w:val="18"/>
              </w:rPr>
            </w:pPr>
          </w:p>
          <w:p>
            <w:pPr>
              <w:pStyle w:val="TableParagraph"/>
              <w:spacing w:before="0"/>
              <w:ind w:left="448"/>
              <w:rPr>
                <w:b/>
                <w:sz w:val="18"/>
              </w:rPr>
            </w:pPr>
            <w:r>
              <w:rPr>
                <w:b/>
                <w:sz w:val="18"/>
              </w:rPr>
              <w:t>Key</w:t>
            </w:r>
            <w:r>
              <w:rPr>
                <w:b/>
                <w:spacing w:val="-8"/>
                <w:sz w:val="18"/>
              </w:rPr>
              <w:t> </w:t>
            </w:r>
            <w:r>
              <w:rPr>
                <w:b/>
                <w:sz w:val="18"/>
              </w:rPr>
              <w:t>watershed</w:t>
            </w:r>
            <w:r>
              <w:rPr>
                <w:b/>
                <w:spacing w:val="2"/>
                <w:sz w:val="18"/>
              </w:rPr>
              <w:t> </w:t>
            </w:r>
            <w:r>
              <w:rPr>
                <w:b/>
                <w:spacing w:val="-4"/>
                <w:sz w:val="18"/>
              </w:rPr>
              <w:t>name</w:t>
            </w:r>
          </w:p>
        </w:tc>
        <w:tc>
          <w:tcPr>
            <w:tcW w:w="1565" w:type="dxa"/>
            <w:shd w:val="clear" w:color="auto" w:fill="D5E2BB"/>
          </w:tcPr>
          <w:p>
            <w:pPr>
              <w:pStyle w:val="TableParagraph"/>
              <w:spacing w:before="41"/>
              <w:rPr>
                <w:b/>
                <w:sz w:val="18"/>
              </w:rPr>
            </w:pPr>
          </w:p>
          <w:p>
            <w:pPr>
              <w:pStyle w:val="TableParagraph"/>
              <w:spacing w:before="0"/>
              <w:ind w:left="175" w:right="156" w:firstLine="2"/>
              <w:jc w:val="center"/>
              <w:rPr>
                <w:b/>
                <w:sz w:val="18"/>
              </w:rPr>
            </w:pPr>
            <w:r>
              <w:rPr>
                <w:b/>
                <w:spacing w:val="-2"/>
                <w:sz w:val="18"/>
              </w:rPr>
              <w:t>Total subwatershed acres</w:t>
            </w:r>
          </w:p>
        </w:tc>
        <w:tc>
          <w:tcPr>
            <w:tcW w:w="1327" w:type="dxa"/>
            <w:shd w:val="clear" w:color="auto" w:fill="D5E2BB"/>
          </w:tcPr>
          <w:p>
            <w:pPr>
              <w:pStyle w:val="TableParagraph"/>
              <w:ind w:left="211" w:right="192" w:hanging="3"/>
              <w:jc w:val="center"/>
              <w:rPr>
                <w:b/>
                <w:sz w:val="18"/>
              </w:rPr>
            </w:pPr>
            <w:r>
              <w:rPr>
                <w:b/>
                <w:spacing w:val="-2"/>
                <w:sz w:val="18"/>
              </w:rPr>
              <w:t>Colville National Forest ownership </w:t>
            </w:r>
            <w:r>
              <w:rPr>
                <w:b/>
                <w:spacing w:val="-4"/>
                <w:sz w:val="18"/>
              </w:rPr>
              <w:t>acres</w:t>
            </w:r>
          </w:p>
        </w:tc>
      </w:tr>
      <w:tr>
        <w:trPr>
          <w:trHeight w:val="287" w:hRule="atLeast"/>
        </w:trPr>
        <w:tc>
          <w:tcPr>
            <w:tcW w:w="1531" w:type="dxa"/>
          </w:tcPr>
          <w:p>
            <w:pPr>
              <w:pStyle w:val="TableParagraph"/>
              <w:ind w:left="19"/>
              <w:jc w:val="center"/>
              <w:rPr>
                <w:b/>
                <w:sz w:val="18"/>
              </w:rPr>
            </w:pPr>
            <w:r>
              <w:rPr>
                <w:b/>
                <w:spacing w:val="-2"/>
                <w:sz w:val="18"/>
              </w:rPr>
              <w:t>170102160102</w:t>
            </w:r>
          </w:p>
        </w:tc>
        <w:tc>
          <w:tcPr>
            <w:tcW w:w="1080" w:type="dxa"/>
          </w:tcPr>
          <w:p>
            <w:pPr>
              <w:pStyle w:val="TableParagraph"/>
              <w:ind w:left="19" w:right="5"/>
              <w:jc w:val="center"/>
              <w:rPr>
                <w:sz w:val="18"/>
              </w:rPr>
            </w:pPr>
            <w:r>
              <w:rPr>
                <w:spacing w:val="-5"/>
                <w:sz w:val="18"/>
              </w:rPr>
              <w:t>26</w:t>
            </w:r>
          </w:p>
        </w:tc>
        <w:tc>
          <w:tcPr>
            <w:tcW w:w="2695" w:type="dxa"/>
          </w:tcPr>
          <w:p>
            <w:pPr>
              <w:pStyle w:val="TableParagraph"/>
              <w:ind w:left="105"/>
              <w:rPr>
                <w:sz w:val="18"/>
              </w:rPr>
            </w:pPr>
            <w:r>
              <w:rPr>
                <w:sz w:val="18"/>
              </w:rPr>
              <w:t>Winchester</w:t>
            </w:r>
            <w:r>
              <w:rPr>
                <w:spacing w:val="-3"/>
                <w:sz w:val="18"/>
              </w:rPr>
              <w:t> </w:t>
            </w:r>
            <w:r>
              <w:rPr>
                <w:spacing w:val="-2"/>
                <w:sz w:val="18"/>
              </w:rPr>
              <w:t>Creek</w:t>
            </w:r>
          </w:p>
        </w:tc>
        <w:tc>
          <w:tcPr>
            <w:tcW w:w="1565" w:type="dxa"/>
          </w:tcPr>
          <w:p>
            <w:pPr>
              <w:pStyle w:val="TableParagraph"/>
              <w:ind w:left="20" w:right="3"/>
              <w:jc w:val="center"/>
              <w:rPr>
                <w:sz w:val="18"/>
              </w:rPr>
            </w:pPr>
            <w:r>
              <w:rPr>
                <w:spacing w:val="-2"/>
                <w:sz w:val="18"/>
              </w:rPr>
              <w:t>10,482</w:t>
            </w:r>
          </w:p>
        </w:tc>
        <w:tc>
          <w:tcPr>
            <w:tcW w:w="1327" w:type="dxa"/>
          </w:tcPr>
          <w:p>
            <w:pPr>
              <w:pStyle w:val="TableParagraph"/>
              <w:ind w:left="22" w:right="8"/>
              <w:jc w:val="center"/>
              <w:rPr>
                <w:sz w:val="18"/>
              </w:rPr>
            </w:pPr>
            <w:r>
              <w:rPr>
                <w:spacing w:val="-2"/>
                <w:sz w:val="18"/>
              </w:rPr>
              <w:t>5,628</w:t>
            </w:r>
          </w:p>
        </w:tc>
      </w:tr>
      <w:tr>
        <w:trPr>
          <w:trHeight w:val="287" w:hRule="atLeast"/>
        </w:trPr>
        <w:tc>
          <w:tcPr>
            <w:tcW w:w="1531" w:type="dxa"/>
          </w:tcPr>
          <w:p>
            <w:pPr>
              <w:pStyle w:val="TableParagraph"/>
              <w:ind w:left="19"/>
              <w:jc w:val="center"/>
              <w:rPr>
                <w:b/>
                <w:sz w:val="18"/>
              </w:rPr>
            </w:pPr>
            <w:r>
              <w:rPr>
                <w:b/>
                <w:spacing w:val="-2"/>
                <w:sz w:val="18"/>
              </w:rPr>
              <w:t>170102160103</w:t>
            </w:r>
          </w:p>
        </w:tc>
        <w:tc>
          <w:tcPr>
            <w:tcW w:w="1080" w:type="dxa"/>
          </w:tcPr>
          <w:p>
            <w:pPr>
              <w:pStyle w:val="TableParagraph"/>
              <w:ind w:left="19" w:right="5"/>
              <w:jc w:val="center"/>
              <w:rPr>
                <w:sz w:val="18"/>
              </w:rPr>
            </w:pPr>
            <w:r>
              <w:rPr>
                <w:spacing w:val="-5"/>
                <w:sz w:val="18"/>
              </w:rPr>
              <w:t>17</w:t>
            </w:r>
          </w:p>
        </w:tc>
        <w:tc>
          <w:tcPr>
            <w:tcW w:w="2695" w:type="dxa"/>
          </w:tcPr>
          <w:p>
            <w:pPr>
              <w:pStyle w:val="TableParagraph"/>
              <w:ind w:left="105"/>
              <w:rPr>
                <w:sz w:val="18"/>
              </w:rPr>
            </w:pPr>
            <w:r>
              <w:rPr>
                <w:sz w:val="18"/>
              </w:rPr>
              <w:t>Smalle</w:t>
            </w:r>
            <w:r>
              <w:rPr>
                <w:spacing w:val="-1"/>
                <w:sz w:val="18"/>
              </w:rPr>
              <w:t> </w:t>
            </w:r>
            <w:r>
              <w:rPr>
                <w:spacing w:val="-2"/>
                <w:sz w:val="18"/>
              </w:rPr>
              <w:t>Creek</w:t>
            </w:r>
          </w:p>
        </w:tc>
        <w:tc>
          <w:tcPr>
            <w:tcW w:w="1565" w:type="dxa"/>
          </w:tcPr>
          <w:p>
            <w:pPr>
              <w:pStyle w:val="TableParagraph"/>
              <w:ind w:left="20" w:right="3"/>
              <w:jc w:val="center"/>
              <w:rPr>
                <w:sz w:val="18"/>
              </w:rPr>
            </w:pPr>
            <w:r>
              <w:rPr>
                <w:spacing w:val="-2"/>
                <w:sz w:val="18"/>
              </w:rPr>
              <w:t>17,754</w:t>
            </w:r>
          </w:p>
        </w:tc>
        <w:tc>
          <w:tcPr>
            <w:tcW w:w="1327" w:type="dxa"/>
          </w:tcPr>
          <w:p>
            <w:pPr>
              <w:pStyle w:val="TableParagraph"/>
              <w:ind w:left="22" w:right="7"/>
              <w:jc w:val="center"/>
              <w:rPr>
                <w:sz w:val="18"/>
              </w:rPr>
            </w:pPr>
            <w:r>
              <w:rPr>
                <w:spacing w:val="-2"/>
                <w:sz w:val="18"/>
              </w:rPr>
              <w:t>11,058</w:t>
            </w:r>
          </w:p>
        </w:tc>
      </w:tr>
      <w:tr>
        <w:trPr>
          <w:trHeight w:val="493" w:hRule="atLeast"/>
        </w:trPr>
        <w:tc>
          <w:tcPr>
            <w:tcW w:w="1531" w:type="dxa"/>
          </w:tcPr>
          <w:p>
            <w:pPr>
              <w:pStyle w:val="TableParagraph"/>
              <w:ind w:left="19"/>
              <w:jc w:val="center"/>
              <w:rPr>
                <w:b/>
                <w:sz w:val="18"/>
              </w:rPr>
            </w:pPr>
            <w:r>
              <w:rPr>
                <w:b/>
                <w:spacing w:val="-2"/>
                <w:sz w:val="18"/>
              </w:rPr>
              <w:t>170102160201</w:t>
            </w:r>
          </w:p>
        </w:tc>
        <w:tc>
          <w:tcPr>
            <w:tcW w:w="1080" w:type="dxa"/>
          </w:tcPr>
          <w:p>
            <w:pPr>
              <w:pStyle w:val="TableParagraph"/>
              <w:ind w:left="19" w:right="5"/>
              <w:jc w:val="center"/>
              <w:rPr>
                <w:sz w:val="18"/>
              </w:rPr>
            </w:pPr>
            <w:r>
              <w:rPr>
                <w:spacing w:val="-10"/>
                <w:sz w:val="18"/>
              </w:rPr>
              <w:t>7</w:t>
            </w:r>
          </w:p>
        </w:tc>
        <w:tc>
          <w:tcPr>
            <w:tcW w:w="2695" w:type="dxa"/>
          </w:tcPr>
          <w:p>
            <w:pPr>
              <w:pStyle w:val="TableParagraph"/>
              <w:ind w:left="105"/>
              <w:rPr>
                <w:sz w:val="18"/>
              </w:rPr>
            </w:pPr>
            <w:r>
              <w:rPr>
                <w:sz w:val="18"/>
              </w:rPr>
              <w:t>Exposure</w:t>
            </w:r>
            <w:r>
              <w:rPr>
                <w:spacing w:val="-15"/>
                <w:sz w:val="18"/>
              </w:rPr>
              <w:t> </w:t>
            </w:r>
            <w:r>
              <w:rPr>
                <w:sz w:val="18"/>
              </w:rPr>
              <w:t>Creek-Pend</w:t>
            </w:r>
            <w:r>
              <w:rPr>
                <w:spacing w:val="-12"/>
                <w:sz w:val="18"/>
              </w:rPr>
              <w:t> </w:t>
            </w:r>
            <w:r>
              <w:rPr>
                <w:sz w:val="18"/>
              </w:rPr>
              <w:t>Oreille </w:t>
            </w:r>
            <w:r>
              <w:rPr>
                <w:spacing w:val="-2"/>
                <w:sz w:val="18"/>
              </w:rPr>
              <w:t>River</w:t>
            </w:r>
          </w:p>
        </w:tc>
        <w:tc>
          <w:tcPr>
            <w:tcW w:w="1565" w:type="dxa"/>
          </w:tcPr>
          <w:p>
            <w:pPr>
              <w:pStyle w:val="TableParagraph"/>
              <w:ind w:left="20" w:right="3"/>
              <w:jc w:val="center"/>
              <w:rPr>
                <w:sz w:val="18"/>
              </w:rPr>
            </w:pPr>
            <w:r>
              <w:rPr>
                <w:spacing w:val="-2"/>
                <w:sz w:val="18"/>
              </w:rPr>
              <w:t>41,224</w:t>
            </w:r>
          </w:p>
        </w:tc>
        <w:tc>
          <w:tcPr>
            <w:tcW w:w="1327" w:type="dxa"/>
          </w:tcPr>
          <w:p>
            <w:pPr>
              <w:pStyle w:val="TableParagraph"/>
              <w:ind w:left="22" w:right="7"/>
              <w:jc w:val="center"/>
              <w:rPr>
                <w:sz w:val="18"/>
              </w:rPr>
            </w:pPr>
            <w:r>
              <w:rPr>
                <w:spacing w:val="-2"/>
                <w:sz w:val="18"/>
              </w:rPr>
              <w:t>14,463</w:t>
            </w:r>
          </w:p>
        </w:tc>
      </w:tr>
      <w:tr>
        <w:trPr>
          <w:trHeight w:val="287" w:hRule="atLeast"/>
        </w:trPr>
        <w:tc>
          <w:tcPr>
            <w:tcW w:w="1531" w:type="dxa"/>
          </w:tcPr>
          <w:p>
            <w:pPr>
              <w:pStyle w:val="TableParagraph"/>
              <w:ind w:left="19"/>
              <w:jc w:val="center"/>
              <w:rPr>
                <w:b/>
                <w:sz w:val="18"/>
              </w:rPr>
            </w:pPr>
            <w:r>
              <w:rPr>
                <w:b/>
                <w:spacing w:val="-2"/>
                <w:sz w:val="18"/>
              </w:rPr>
              <w:t>170102160204</w:t>
            </w:r>
          </w:p>
        </w:tc>
        <w:tc>
          <w:tcPr>
            <w:tcW w:w="1080" w:type="dxa"/>
          </w:tcPr>
          <w:p>
            <w:pPr>
              <w:pStyle w:val="TableParagraph"/>
              <w:ind w:left="19" w:right="5"/>
              <w:jc w:val="center"/>
              <w:rPr>
                <w:sz w:val="18"/>
              </w:rPr>
            </w:pPr>
            <w:r>
              <w:rPr>
                <w:spacing w:val="-10"/>
                <w:sz w:val="18"/>
              </w:rPr>
              <w:t>3</w:t>
            </w:r>
          </w:p>
        </w:tc>
        <w:tc>
          <w:tcPr>
            <w:tcW w:w="2695" w:type="dxa"/>
          </w:tcPr>
          <w:p>
            <w:pPr>
              <w:pStyle w:val="TableParagraph"/>
              <w:ind w:left="105"/>
              <w:rPr>
                <w:sz w:val="18"/>
              </w:rPr>
            </w:pPr>
            <w:r>
              <w:rPr>
                <w:sz w:val="18"/>
              </w:rPr>
              <w:t>Cee</w:t>
            </w:r>
            <w:r>
              <w:rPr>
                <w:spacing w:val="-1"/>
                <w:sz w:val="18"/>
              </w:rPr>
              <w:t> </w:t>
            </w:r>
            <w:r>
              <w:rPr>
                <w:sz w:val="18"/>
              </w:rPr>
              <w:t>Cee</w:t>
            </w:r>
            <w:r>
              <w:rPr>
                <w:spacing w:val="-1"/>
                <w:sz w:val="18"/>
              </w:rPr>
              <w:t> </w:t>
            </w:r>
            <w:r>
              <w:rPr>
                <w:sz w:val="18"/>
              </w:rPr>
              <w:t>Ah</w:t>
            </w:r>
            <w:r>
              <w:rPr>
                <w:spacing w:val="-4"/>
                <w:sz w:val="18"/>
              </w:rPr>
              <w:t> </w:t>
            </w:r>
            <w:r>
              <w:rPr>
                <w:spacing w:val="-2"/>
                <w:sz w:val="18"/>
              </w:rPr>
              <w:t>Creek</w:t>
            </w:r>
          </w:p>
        </w:tc>
        <w:tc>
          <w:tcPr>
            <w:tcW w:w="1565" w:type="dxa"/>
          </w:tcPr>
          <w:p>
            <w:pPr>
              <w:pStyle w:val="TableParagraph"/>
              <w:ind w:left="20" w:right="1"/>
              <w:jc w:val="center"/>
              <w:rPr>
                <w:sz w:val="18"/>
              </w:rPr>
            </w:pPr>
            <w:r>
              <w:rPr>
                <w:spacing w:val="-2"/>
                <w:sz w:val="18"/>
              </w:rPr>
              <w:t>12,063</w:t>
            </w:r>
          </w:p>
        </w:tc>
        <w:tc>
          <w:tcPr>
            <w:tcW w:w="1327" w:type="dxa"/>
          </w:tcPr>
          <w:p>
            <w:pPr>
              <w:pStyle w:val="TableParagraph"/>
              <w:ind w:left="22" w:right="8"/>
              <w:jc w:val="center"/>
              <w:rPr>
                <w:sz w:val="18"/>
              </w:rPr>
            </w:pPr>
            <w:r>
              <w:rPr>
                <w:spacing w:val="-2"/>
                <w:sz w:val="18"/>
              </w:rPr>
              <w:t>6,500</w:t>
            </w:r>
          </w:p>
        </w:tc>
      </w:tr>
      <w:tr>
        <w:trPr>
          <w:trHeight w:val="287" w:hRule="atLeast"/>
        </w:trPr>
        <w:tc>
          <w:tcPr>
            <w:tcW w:w="1531" w:type="dxa"/>
          </w:tcPr>
          <w:p>
            <w:pPr>
              <w:pStyle w:val="TableParagraph"/>
              <w:ind w:left="19"/>
              <w:jc w:val="center"/>
              <w:rPr>
                <w:b/>
                <w:sz w:val="18"/>
              </w:rPr>
            </w:pPr>
            <w:r>
              <w:rPr>
                <w:b/>
                <w:spacing w:val="-2"/>
                <w:sz w:val="18"/>
              </w:rPr>
              <w:t>170102160206</w:t>
            </w:r>
          </w:p>
        </w:tc>
        <w:tc>
          <w:tcPr>
            <w:tcW w:w="1080" w:type="dxa"/>
          </w:tcPr>
          <w:p>
            <w:pPr>
              <w:pStyle w:val="TableParagraph"/>
              <w:ind w:left="19" w:right="5"/>
              <w:jc w:val="center"/>
              <w:rPr>
                <w:sz w:val="18"/>
              </w:rPr>
            </w:pPr>
            <w:r>
              <w:rPr>
                <w:spacing w:val="-5"/>
                <w:sz w:val="18"/>
              </w:rPr>
              <w:t>20</w:t>
            </w:r>
          </w:p>
        </w:tc>
        <w:tc>
          <w:tcPr>
            <w:tcW w:w="2695" w:type="dxa"/>
          </w:tcPr>
          <w:p>
            <w:pPr>
              <w:pStyle w:val="TableParagraph"/>
              <w:ind w:left="105"/>
              <w:rPr>
                <w:sz w:val="18"/>
              </w:rPr>
            </w:pPr>
            <w:r>
              <w:rPr>
                <w:sz w:val="18"/>
              </w:rPr>
              <w:t>Tacoma</w:t>
            </w:r>
            <w:r>
              <w:rPr>
                <w:spacing w:val="1"/>
                <w:sz w:val="18"/>
              </w:rPr>
              <w:t> </w:t>
            </w:r>
            <w:r>
              <w:rPr>
                <w:spacing w:val="-2"/>
                <w:sz w:val="18"/>
              </w:rPr>
              <w:t>Creek</w:t>
            </w:r>
          </w:p>
        </w:tc>
        <w:tc>
          <w:tcPr>
            <w:tcW w:w="1565" w:type="dxa"/>
          </w:tcPr>
          <w:p>
            <w:pPr>
              <w:pStyle w:val="TableParagraph"/>
              <w:ind w:left="20" w:right="3"/>
              <w:jc w:val="center"/>
              <w:rPr>
                <w:sz w:val="18"/>
              </w:rPr>
            </w:pPr>
            <w:r>
              <w:rPr>
                <w:spacing w:val="-2"/>
                <w:sz w:val="18"/>
              </w:rPr>
              <w:t>39,519</w:t>
            </w:r>
          </w:p>
        </w:tc>
        <w:tc>
          <w:tcPr>
            <w:tcW w:w="1327" w:type="dxa"/>
          </w:tcPr>
          <w:p>
            <w:pPr>
              <w:pStyle w:val="TableParagraph"/>
              <w:ind w:left="22" w:right="7"/>
              <w:jc w:val="center"/>
              <w:rPr>
                <w:sz w:val="18"/>
              </w:rPr>
            </w:pPr>
            <w:r>
              <w:rPr>
                <w:spacing w:val="-2"/>
                <w:sz w:val="18"/>
              </w:rPr>
              <w:t>27,182</w:t>
            </w:r>
          </w:p>
        </w:tc>
      </w:tr>
      <w:tr>
        <w:trPr>
          <w:trHeight w:val="493" w:hRule="atLeast"/>
        </w:trPr>
        <w:tc>
          <w:tcPr>
            <w:tcW w:w="1531" w:type="dxa"/>
          </w:tcPr>
          <w:p>
            <w:pPr>
              <w:pStyle w:val="TableParagraph"/>
              <w:ind w:left="19"/>
              <w:jc w:val="center"/>
              <w:rPr>
                <w:b/>
                <w:sz w:val="18"/>
              </w:rPr>
            </w:pPr>
            <w:r>
              <w:rPr>
                <w:b/>
                <w:spacing w:val="-2"/>
                <w:sz w:val="18"/>
              </w:rPr>
              <w:t>170102160302</w:t>
            </w:r>
          </w:p>
        </w:tc>
        <w:tc>
          <w:tcPr>
            <w:tcW w:w="1080" w:type="dxa"/>
          </w:tcPr>
          <w:p>
            <w:pPr>
              <w:pStyle w:val="TableParagraph"/>
              <w:ind w:left="19" w:right="5"/>
              <w:jc w:val="center"/>
              <w:rPr>
                <w:sz w:val="18"/>
              </w:rPr>
            </w:pPr>
            <w:r>
              <w:rPr>
                <w:spacing w:val="-5"/>
                <w:sz w:val="18"/>
              </w:rPr>
              <w:t>25</w:t>
            </w:r>
          </w:p>
        </w:tc>
        <w:tc>
          <w:tcPr>
            <w:tcW w:w="2695" w:type="dxa"/>
          </w:tcPr>
          <w:p>
            <w:pPr>
              <w:pStyle w:val="TableParagraph"/>
              <w:ind w:left="105" w:right="1359"/>
              <w:rPr>
                <w:sz w:val="18"/>
              </w:rPr>
            </w:pPr>
            <w:r>
              <w:rPr>
                <w:sz w:val="18"/>
              </w:rPr>
              <w:t>West Branch Le</w:t>
            </w:r>
            <w:r>
              <w:rPr>
                <w:spacing w:val="-15"/>
                <w:sz w:val="18"/>
              </w:rPr>
              <w:t> </w:t>
            </w:r>
            <w:r>
              <w:rPr>
                <w:sz w:val="18"/>
              </w:rPr>
              <w:t>Clerc</w:t>
            </w:r>
            <w:r>
              <w:rPr>
                <w:spacing w:val="-12"/>
                <w:sz w:val="18"/>
              </w:rPr>
              <w:t> </w:t>
            </w:r>
            <w:r>
              <w:rPr>
                <w:sz w:val="18"/>
              </w:rPr>
              <w:t>Creek</w:t>
            </w:r>
          </w:p>
        </w:tc>
        <w:tc>
          <w:tcPr>
            <w:tcW w:w="1565" w:type="dxa"/>
          </w:tcPr>
          <w:p>
            <w:pPr>
              <w:pStyle w:val="TableParagraph"/>
              <w:ind w:left="20" w:right="3"/>
              <w:jc w:val="center"/>
              <w:rPr>
                <w:sz w:val="18"/>
              </w:rPr>
            </w:pPr>
            <w:r>
              <w:rPr>
                <w:spacing w:val="-2"/>
                <w:sz w:val="18"/>
              </w:rPr>
              <w:t>21,672</w:t>
            </w:r>
          </w:p>
        </w:tc>
        <w:tc>
          <w:tcPr>
            <w:tcW w:w="1327" w:type="dxa"/>
          </w:tcPr>
          <w:p>
            <w:pPr>
              <w:pStyle w:val="TableParagraph"/>
              <w:ind w:left="22" w:right="7"/>
              <w:jc w:val="center"/>
              <w:rPr>
                <w:sz w:val="18"/>
              </w:rPr>
            </w:pPr>
            <w:r>
              <w:rPr>
                <w:spacing w:val="-2"/>
                <w:sz w:val="18"/>
              </w:rPr>
              <w:t>15,099</w:t>
            </w:r>
          </w:p>
        </w:tc>
      </w:tr>
      <w:tr>
        <w:trPr>
          <w:trHeight w:val="493" w:hRule="atLeast"/>
        </w:trPr>
        <w:tc>
          <w:tcPr>
            <w:tcW w:w="1531" w:type="dxa"/>
          </w:tcPr>
          <w:p>
            <w:pPr>
              <w:pStyle w:val="TableParagraph"/>
              <w:ind w:left="19"/>
              <w:jc w:val="center"/>
              <w:rPr>
                <w:b/>
                <w:sz w:val="18"/>
              </w:rPr>
            </w:pPr>
            <w:r>
              <w:rPr>
                <w:b/>
                <w:spacing w:val="-2"/>
                <w:sz w:val="18"/>
              </w:rPr>
              <w:t>170102160303</w:t>
            </w:r>
          </w:p>
        </w:tc>
        <w:tc>
          <w:tcPr>
            <w:tcW w:w="1080" w:type="dxa"/>
          </w:tcPr>
          <w:p>
            <w:pPr>
              <w:pStyle w:val="TableParagraph"/>
              <w:ind w:left="19" w:right="5"/>
              <w:jc w:val="center"/>
              <w:rPr>
                <w:sz w:val="18"/>
              </w:rPr>
            </w:pPr>
            <w:r>
              <w:rPr>
                <w:spacing w:val="-10"/>
                <w:sz w:val="18"/>
              </w:rPr>
              <w:t>5</w:t>
            </w:r>
          </w:p>
        </w:tc>
        <w:tc>
          <w:tcPr>
            <w:tcW w:w="2695" w:type="dxa"/>
          </w:tcPr>
          <w:p>
            <w:pPr>
              <w:pStyle w:val="TableParagraph"/>
              <w:ind w:left="105" w:right="1369"/>
              <w:rPr>
                <w:sz w:val="18"/>
              </w:rPr>
            </w:pPr>
            <w:r>
              <w:rPr>
                <w:sz w:val="18"/>
              </w:rPr>
              <w:t>East Branch</w:t>
            </w:r>
            <w:r>
              <w:rPr>
                <w:spacing w:val="40"/>
                <w:sz w:val="18"/>
              </w:rPr>
              <w:t> </w:t>
            </w:r>
            <w:r>
              <w:rPr>
                <w:sz w:val="18"/>
              </w:rPr>
              <w:t>Le</w:t>
            </w:r>
            <w:r>
              <w:rPr>
                <w:spacing w:val="-15"/>
                <w:sz w:val="18"/>
              </w:rPr>
              <w:t> </w:t>
            </w:r>
            <w:r>
              <w:rPr>
                <w:sz w:val="18"/>
              </w:rPr>
              <w:t>Clerc</w:t>
            </w:r>
            <w:r>
              <w:rPr>
                <w:spacing w:val="-12"/>
                <w:sz w:val="18"/>
              </w:rPr>
              <w:t> </w:t>
            </w:r>
            <w:r>
              <w:rPr>
                <w:sz w:val="18"/>
              </w:rPr>
              <w:t>Creek</w:t>
            </w:r>
          </w:p>
        </w:tc>
        <w:tc>
          <w:tcPr>
            <w:tcW w:w="1565" w:type="dxa"/>
          </w:tcPr>
          <w:p>
            <w:pPr>
              <w:pStyle w:val="TableParagraph"/>
              <w:ind w:left="20" w:right="3"/>
              <w:jc w:val="center"/>
              <w:rPr>
                <w:sz w:val="18"/>
              </w:rPr>
            </w:pPr>
            <w:r>
              <w:rPr>
                <w:spacing w:val="-2"/>
                <w:sz w:val="18"/>
              </w:rPr>
              <w:t>26,663</w:t>
            </w:r>
          </w:p>
        </w:tc>
        <w:tc>
          <w:tcPr>
            <w:tcW w:w="1327" w:type="dxa"/>
          </w:tcPr>
          <w:p>
            <w:pPr>
              <w:pStyle w:val="TableParagraph"/>
              <w:ind w:left="22" w:right="7"/>
              <w:jc w:val="center"/>
              <w:rPr>
                <w:sz w:val="18"/>
              </w:rPr>
            </w:pPr>
            <w:r>
              <w:rPr>
                <w:spacing w:val="-2"/>
                <w:sz w:val="18"/>
              </w:rPr>
              <w:t>11,145</w:t>
            </w:r>
          </w:p>
        </w:tc>
      </w:tr>
      <w:tr>
        <w:trPr>
          <w:trHeight w:val="287" w:hRule="atLeast"/>
        </w:trPr>
        <w:tc>
          <w:tcPr>
            <w:tcW w:w="1531" w:type="dxa"/>
          </w:tcPr>
          <w:p>
            <w:pPr>
              <w:pStyle w:val="TableParagraph"/>
              <w:spacing w:before="42"/>
              <w:ind w:left="19"/>
              <w:jc w:val="center"/>
              <w:rPr>
                <w:b/>
                <w:sz w:val="18"/>
              </w:rPr>
            </w:pPr>
            <w:r>
              <w:rPr>
                <w:b/>
                <w:spacing w:val="-2"/>
                <w:sz w:val="18"/>
              </w:rPr>
              <w:t>170102160304</w:t>
            </w:r>
          </w:p>
        </w:tc>
        <w:tc>
          <w:tcPr>
            <w:tcW w:w="1080" w:type="dxa"/>
          </w:tcPr>
          <w:p>
            <w:pPr>
              <w:pStyle w:val="TableParagraph"/>
              <w:spacing w:before="42"/>
              <w:ind w:left="19" w:right="5"/>
              <w:jc w:val="center"/>
              <w:rPr>
                <w:sz w:val="18"/>
              </w:rPr>
            </w:pPr>
            <w:r>
              <w:rPr>
                <w:spacing w:val="-5"/>
                <w:sz w:val="18"/>
              </w:rPr>
              <w:t>15</w:t>
            </w:r>
          </w:p>
        </w:tc>
        <w:tc>
          <w:tcPr>
            <w:tcW w:w="2695" w:type="dxa"/>
          </w:tcPr>
          <w:p>
            <w:pPr>
              <w:pStyle w:val="TableParagraph"/>
              <w:spacing w:before="42"/>
              <w:ind w:left="105"/>
              <w:rPr>
                <w:sz w:val="18"/>
              </w:rPr>
            </w:pPr>
            <w:r>
              <w:rPr>
                <w:sz w:val="18"/>
              </w:rPr>
              <w:t>Ruby</w:t>
            </w:r>
            <w:r>
              <w:rPr>
                <w:spacing w:val="-4"/>
                <w:sz w:val="18"/>
              </w:rPr>
              <w:t> </w:t>
            </w:r>
            <w:r>
              <w:rPr>
                <w:spacing w:val="-2"/>
                <w:sz w:val="18"/>
              </w:rPr>
              <w:t>Creek</w:t>
            </w:r>
          </w:p>
        </w:tc>
        <w:tc>
          <w:tcPr>
            <w:tcW w:w="1565" w:type="dxa"/>
          </w:tcPr>
          <w:p>
            <w:pPr>
              <w:pStyle w:val="TableParagraph"/>
              <w:spacing w:before="42"/>
              <w:ind w:left="20" w:right="3"/>
              <w:jc w:val="center"/>
              <w:rPr>
                <w:sz w:val="18"/>
              </w:rPr>
            </w:pPr>
            <w:r>
              <w:rPr>
                <w:spacing w:val="-2"/>
                <w:sz w:val="18"/>
              </w:rPr>
              <w:t>19,597</w:t>
            </w:r>
          </w:p>
        </w:tc>
        <w:tc>
          <w:tcPr>
            <w:tcW w:w="1327" w:type="dxa"/>
          </w:tcPr>
          <w:p>
            <w:pPr>
              <w:pStyle w:val="TableParagraph"/>
              <w:spacing w:before="42"/>
              <w:ind w:left="22" w:right="7"/>
              <w:jc w:val="center"/>
              <w:rPr>
                <w:sz w:val="18"/>
              </w:rPr>
            </w:pPr>
            <w:r>
              <w:rPr>
                <w:spacing w:val="-2"/>
                <w:sz w:val="18"/>
              </w:rPr>
              <w:t>18,385</w:t>
            </w:r>
          </w:p>
        </w:tc>
      </w:tr>
    </w:tbl>
    <w:p>
      <w:pPr>
        <w:pStyle w:val="TableParagraph"/>
        <w:spacing w:after="0"/>
        <w:jc w:val="center"/>
        <w:rPr>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522"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531"/>
        <w:gridCol w:w="1080"/>
        <w:gridCol w:w="2695"/>
        <w:gridCol w:w="1565"/>
        <w:gridCol w:w="1327"/>
      </w:tblGrid>
      <w:tr>
        <w:trPr>
          <w:trHeight w:val="1115" w:hRule="atLeast"/>
        </w:trPr>
        <w:tc>
          <w:tcPr>
            <w:tcW w:w="1531" w:type="dxa"/>
            <w:shd w:val="clear" w:color="auto" w:fill="D5E2BB"/>
          </w:tcPr>
          <w:p>
            <w:pPr>
              <w:pStyle w:val="TableParagraph"/>
              <w:spacing w:before="144"/>
              <w:rPr>
                <w:b/>
                <w:sz w:val="18"/>
              </w:rPr>
            </w:pPr>
          </w:p>
          <w:p>
            <w:pPr>
              <w:pStyle w:val="TableParagraph"/>
              <w:spacing w:before="0"/>
              <w:ind w:left="434" w:right="107" w:hanging="308"/>
              <w:rPr>
                <w:b/>
                <w:sz w:val="18"/>
              </w:rPr>
            </w:pPr>
            <w:r>
              <w:rPr>
                <w:b/>
                <w:sz w:val="18"/>
              </w:rPr>
              <w:t>Key</w:t>
            </w:r>
            <w:r>
              <w:rPr>
                <w:b/>
                <w:spacing w:val="-13"/>
                <w:sz w:val="18"/>
              </w:rPr>
              <w:t> </w:t>
            </w:r>
            <w:r>
              <w:rPr>
                <w:b/>
                <w:sz w:val="18"/>
              </w:rPr>
              <w:t>watershed </w:t>
            </w:r>
            <w:r>
              <w:rPr>
                <w:b/>
                <w:spacing w:val="-2"/>
                <w:sz w:val="18"/>
              </w:rPr>
              <w:t>number</w:t>
            </w:r>
          </w:p>
        </w:tc>
        <w:tc>
          <w:tcPr>
            <w:tcW w:w="1080" w:type="dxa"/>
            <w:shd w:val="clear" w:color="auto" w:fill="D5E2BB"/>
          </w:tcPr>
          <w:p>
            <w:pPr>
              <w:pStyle w:val="TableParagraph"/>
              <w:spacing w:before="144"/>
              <w:rPr>
                <w:b/>
                <w:sz w:val="18"/>
              </w:rPr>
            </w:pPr>
          </w:p>
          <w:p>
            <w:pPr>
              <w:pStyle w:val="TableParagraph"/>
              <w:spacing w:before="0"/>
              <w:ind w:left="208" w:right="183" w:firstLine="148"/>
              <w:rPr>
                <w:b/>
                <w:sz w:val="18"/>
              </w:rPr>
            </w:pPr>
            <w:r>
              <w:rPr>
                <w:b/>
                <w:spacing w:val="-4"/>
                <w:sz w:val="18"/>
              </w:rPr>
              <w:t>Map </w:t>
            </w:r>
            <w:r>
              <w:rPr>
                <w:b/>
                <w:spacing w:val="-2"/>
                <w:sz w:val="18"/>
              </w:rPr>
              <w:t>number</w:t>
            </w:r>
          </w:p>
        </w:tc>
        <w:tc>
          <w:tcPr>
            <w:tcW w:w="2695" w:type="dxa"/>
            <w:shd w:val="clear" w:color="auto" w:fill="D5E2BB"/>
          </w:tcPr>
          <w:p>
            <w:pPr>
              <w:pStyle w:val="TableParagraph"/>
              <w:spacing w:before="0"/>
              <w:rPr>
                <w:b/>
                <w:sz w:val="18"/>
              </w:rPr>
            </w:pPr>
          </w:p>
          <w:p>
            <w:pPr>
              <w:pStyle w:val="TableParagraph"/>
              <w:spacing w:before="40"/>
              <w:rPr>
                <w:b/>
                <w:sz w:val="18"/>
              </w:rPr>
            </w:pPr>
          </w:p>
          <w:p>
            <w:pPr>
              <w:pStyle w:val="TableParagraph"/>
              <w:spacing w:before="0"/>
              <w:ind w:left="451"/>
              <w:rPr>
                <w:b/>
                <w:sz w:val="18"/>
              </w:rPr>
            </w:pPr>
            <w:r>
              <w:rPr>
                <w:b/>
                <w:sz w:val="18"/>
              </w:rPr>
              <w:t>Key</w:t>
            </w:r>
            <w:r>
              <w:rPr>
                <w:b/>
                <w:spacing w:val="-8"/>
                <w:sz w:val="18"/>
              </w:rPr>
              <w:t> </w:t>
            </w:r>
            <w:r>
              <w:rPr>
                <w:b/>
                <w:sz w:val="18"/>
              </w:rPr>
              <w:t>watershed</w:t>
            </w:r>
            <w:r>
              <w:rPr>
                <w:b/>
                <w:spacing w:val="2"/>
                <w:sz w:val="18"/>
              </w:rPr>
              <w:t> </w:t>
            </w:r>
            <w:r>
              <w:rPr>
                <w:b/>
                <w:spacing w:val="-4"/>
                <w:sz w:val="18"/>
              </w:rPr>
              <w:t>name</w:t>
            </w:r>
          </w:p>
        </w:tc>
        <w:tc>
          <w:tcPr>
            <w:tcW w:w="1565" w:type="dxa"/>
            <w:shd w:val="clear" w:color="auto" w:fill="D5E2BB"/>
          </w:tcPr>
          <w:p>
            <w:pPr>
              <w:pStyle w:val="TableParagraph"/>
              <w:spacing w:before="38"/>
              <w:rPr>
                <w:b/>
                <w:sz w:val="18"/>
              </w:rPr>
            </w:pPr>
          </w:p>
          <w:p>
            <w:pPr>
              <w:pStyle w:val="TableParagraph"/>
              <w:spacing w:before="1"/>
              <w:ind w:left="175" w:right="156" w:firstLine="2"/>
              <w:jc w:val="center"/>
              <w:rPr>
                <w:b/>
                <w:sz w:val="18"/>
              </w:rPr>
            </w:pPr>
            <w:r>
              <w:rPr>
                <w:b/>
                <w:spacing w:val="-2"/>
                <w:sz w:val="18"/>
              </w:rPr>
              <w:t>Total subwatershed acres</w:t>
            </w:r>
          </w:p>
        </w:tc>
        <w:tc>
          <w:tcPr>
            <w:tcW w:w="1327" w:type="dxa"/>
            <w:shd w:val="clear" w:color="auto" w:fill="D5E2BB"/>
          </w:tcPr>
          <w:p>
            <w:pPr>
              <w:pStyle w:val="TableParagraph"/>
              <w:ind w:left="213" w:right="189" w:hanging="3"/>
              <w:jc w:val="center"/>
              <w:rPr>
                <w:b/>
                <w:sz w:val="18"/>
              </w:rPr>
            </w:pPr>
            <w:r>
              <w:rPr>
                <w:b/>
                <w:spacing w:val="-2"/>
                <w:sz w:val="18"/>
              </w:rPr>
              <w:t>Colville National Forest ownership </w:t>
            </w:r>
            <w:r>
              <w:rPr>
                <w:b/>
                <w:spacing w:val="-4"/>
                <w:sz w:val="18"/>
              </w:rPr>
              <w:t>acres</w:t>
            </w:r>
          </w:p>
        </w:tc>
      </w:tr>
      <w:tr>
        <w:trPr>
          <w:trHeight w:val="287" w:hRule="atLeast"/>
        </w:trPr>
        <w:tc>
          <w:tcPr>
            <w:tcW w:w="1531" w:type="dxa"/>
          </w:tcPr>
          <w:p>
            <w:pPr>
              <w:pStyle w:val="TableParagraph"/>
              <w:ind w:left="19"/>
              <w:jc w:val="center"/>
              <w:rPr>
                <w:b/>
                <w:sz w:val="18"/>
              </w:rPr>
            </w:pPr>
            <w:r>
              <w:rPr>
                <w:b/>
                <w:spacing w:val="-2"/>
                <w:sz w:val="18"/>
              </w:rPr>
              <w:t>170102160401</w:t>
            </w:r>
          </w:p>
        </w:tc>
        <w:tc>
          <w:tcPr>
            <w:tcW w:w="1080" w:type="dxa"/>
          </w:tcPr>
          <w:p>
            <w:pPr>
              <w:pStyle w:val="TableParagraph"/>
              <w:ind w:left="19" w:right="1"/>
              <w:jc w:val="center"/>
              <w:rPr>
                <w:sz w:val="18"/>
              </w:rPr>
            </w:pPr>
            <w:r>
              <w:rPr>
                <w:spacing w:val="-10"/>
                <w:sz w:val="18"/>
              </w:rPr>
              <w:t>8</w:t>
            </w:r>
          </w:p>
        </w:tc>
        <w:tc>
          <w:tcPr>
            <w:tcW w:w="2695" w:type="dxa"/>
          </w:tcPr>
          <w:p>
            <w:pPr>
              <w:pStyle w:val="TableParagraph"/>
              <w:ind w:left="107"/>
              <w:rPr>
                <w:sz w:val="18"/>
              </w:rPr>
            </w:pPr>
            <w:r>
              <w:rPr>
                <w:sz w:val="18"/>
              </w:rPr>
              <w:t>Harvey</w:t>
            </w:r>
            <w:r>
              <w:rPr>
                <w:spacing w:val="-6"/>
                <w:sz w:val="18"/>
              </w:rPr>
              <w:t> </w:t>
            </w:r>
            <w:r>
              <w:rPr>
                <w:spacing w:val="-2"/>
                <w:sz w:val="18"/>
              </w:rPr>
              <w:t>Creek</w:t>
            </w:r>
          </w:p>
        </w:tc>
        <w:tc>
          <w:tcPr>
            <w:tcW w:w="1565" w:type="dxa"/>
          </w:tcPr>
          <w:p>
            <w:pPr>
              <w:pStyle w:val="TableParagraph"/>
              <w:ind w:left="20" w:right="3"/>
              <w:jc w:val="center"/>
              <w:rPr>
                <w:sz w:val="18"/>
              </w:rPr>
            </w:pPr>
            <w:r>
              <w:rPr>
                <w:spacing w:val="-2"/>
                <w:sz w:val="18"/>
              </w:rPr>
              <w:t>32,999</w:t>
            </w:r>
          </w:p>
        </w:tc>
        <w:tc>
          <w:tcPr>
            <w:tcW w:w="1327" w:type="dxa"/>
          </w:tcPr>
          <w:p>
            <w:pPr>
              <w:pStyle w:val="TableParagraph"/>
              <w:ind w:left="22" w:right="2"/>
              <w:jc w:val="center"/>
              <w:rPr>
                <w:sz w:val="18"/>
              </w:rPr>
            </w:pPr>
            <w:r>
              <w:rPr>
                <w:spacing w:val="-2"/>
                <w:sz w:val="18"/>
              </w:rPr>
              <w:t>27,554</w:t>
            </w:r>
          </w:p>
        </w:tc>
      </w:tr>
      <w:tr>
        <w:trPr>
          <w:trHeight w:val="493" w:hRule="atLeast"/>
        </w:trPr>
        <w:tc>
          <w:tcPr>
            <w:tcW w:w="1531" w:type="dxa"/>
          </w:tcPr>
          <w:p>
            <w:pPr>
              <w:pStyle w:val="TableParagraph"/>
              <w:ind w:left="19"/>
              <w:jc w:val="center"/>
              <w:rPr>
                <w:b/>
                <w:sz w:val="18"/>
              </w:rPr>
            </w:pPr>
            <w:r>
              <w:rPr>
                <w:b/>
                <w:spacing w:val="-2"/>
                <w:sz w:val="18"/>
              </w:rPr>
              <w:t>170102160402</w:t>
            </w:r>
          </w:p>
        </w:tc>
        <w:tc>
          <w:tcPr>
            <w:tcW w:w="1080" w:type="dxa"/>
          </w:tcPr>
          <w:p>
            <w:pPr>
              <w:pStyle w:val="TableParagraph"/>
              <w:ind w:left="19"/>
              <w:jc w:val="center"/>
              <w:rPr>
                <w:sz w:val="18"/>
              </w:rPr>
            </w:pPr>
            <w:r>
              <w:rPr>
                <w:spacing w:val="-5"/>
                <w:sz w:val="18"/>
              </w:rPr>
              <w:t>10</w:t>
            </w:r>
          </w:p>
        </w:tc>
        <w:tc>
          <w:tcPr>
            <w:tcW w:w="2695" w:type="dxa"/>
          </w:tcPr>
          <w:p>
            <w:pPr>
              <w:pStyle w:val="TableParagraph"/>
              <w:ind w:left="107" w:right="1400"/>
              <w:rPr>
                <w:sz w:val="18"/>
              </w:rPr>
            </w:pPr>
            <w:r>
              <w:rPr>
                <w:spacing w:val="-2"/>
                <w:sz w:val="18"/>
              </w:rPr>
              <w:t>Headwaters </w:t>
            </w:r>
            <w:r>
              <w:rPr>
                <w:sz w:val="18"/>
              </w:rPr>
              <w:t>Sullivan</w:t>
            </w:r>
            <w:r>
              <w:rPr>
                <w:spacing w:val="-13"/>
                <w:sz w:val="18"/>
              </w:rPr>
              <w:t> </w:t>
            </w:r>
            <w:r>
              <w:rPr>
                <w:sz w:val="18"/>
              </w:rPr>
              <w:t>Creek</w:t>
            </w:r>
          </w:p>
        </w:tc>
        <w:tc>
          <w:tcPr>
            <w:tcW w:w="1565" w:type="dxa"/>
          </w:tcPr>
          <w:p>
            <w:pPr>
              <w:pStyle w:val="TableParagraph"/>
              <w:ind w:left="20" w:right="3"/>
              <w:jc w:val="center"/>
              <w:rPr>
                <w:sz w:val="18"/>
              </w:rPr>
            </w:pPr>
            <w:r>
              <w:rPr>
                <w:spacing w:val="-2"/>
                <w:sz w:val="18"/>
              </w:rPr>
              <w:t>45,516</w:t>
            </w:r>
          </w:p>
        </w:tc>
        <w:tc>
          <w:tcPr>
            <w:tcW w:w="1327" w:type="dxa"/>
          </w:tcPr>
          <w:p>
            <w:pPr>
              <w:pStyle w:val="TableParagraph"/>
              <w:ind w:left="22" w:right="2"/>
              <w:jc w:val="center"/>
              <w:rPr>
                <w:sz w:val="18"/>
              </w:rPr>
            </w:pPr>
            <w:r>
              <w:rPr>
                <w:spacing w:val="-2"/>
                <w:sz w:val="18"/>
              </w:rPr>
              <w:t>45,417</w:t>
            </w:r>
          </w:p>
        </w:tc>
      </w:tr>
      <w:tr>
        <w:trPr>
          <w:trHeight w:val="493" w:hRule="atLeast"/>
        </w:trPr>
        <w:tc>
          <w:tcPr>
            <w:tcW w:w="1531" w:type="dxa"/>
          </w:tcPr>
          <w:p>
            <w:pPr>
              <w:pStyle w:val="TableParagraph"/>
              <w:ind w:left="19"/>
              <w:jc w:val="center"/>
              <w:rPr>
                <w:b/>
                <w:sz w:val="18"/>
              </w:rPr>
            </w:pPr>
            <w:r>
              <w:rPr>
                <w:b/>
                <w:spacing w:val="-2"/>
                <w:sz w:val="18"/>
              </w:rPr>
              <w:t>170102160403</w:t>
            </w:r>
          </w:p>
        </w:tc>
        <w:tc>
          <w:tcPr>
            <w:tcW w:w="1080" w:type="dxa"/>
          </w:tcPr>
          <w:p>
            <w:pPr>
              <w:pStyle w:val="TableParagraph"/>
              <w:ind w:left="19"/>
              <w:jc w:val="center"/>
              <w:rPr>
                <w:sz w:val="18"/>
              </w:rPr>
            </w:pPr>
            <w:r>
              <w:rPr>
                <w:spacing w:val="-5"/>
                <w:sz w:val="18"/>
              </w:rPr>
              <w:t>14</w:t>
            </w:r>
          </w:p>
        </w:tc>
        <w:tc>
          <w:tcPr>
            <w:tcW w:w="2695" w:type="dxa"/>
          </w:tcPr>
          <w:p>
            <w:pPr>
              <w:pStyle w:val="TableParagraph"/>
              <w:ind w:left="107" w:right="764"/>
              <w:rPr>
                <w:sz w:val="18"/>
              </w:rPr>
            </w:pPr>
            <w:r>
              <w:rPr>
                <w:sz w:val="18"/>
              </w:rPr>
              <w:t>North</w:t>
            </w:r>
            <w:r>
              <w:rPr>
                <w:spacing w:val="-15"/>
                <w:sz w:val="18"/>
              </w:rPr>
              <w:t> </w:t>
            </w:r>
            <w:r>
              <w:rPr>
                <w:sz w:val="18"/>
              </w:rPr>
              <w:t>Fork</w:t>
            </w:r>
            <w:r>
              <w:rPr>
                <w:spacing w:val="-12"/>
                <w:sz w:val="18"/>
              </w:rPr>
              <w:t> </w:t>
            </w:r>
            <w:r>
              <w:rPr>
                <w:sz w:val="18"/>
              </w:rPr>
              <w:t>Sullivan </w:t>
            </w:r>
            <w:r>
              <w:rPr>
                <w:spacing w:val="-2"/>
                <w:sz w:val="18"/>
              </w:rPr>
              <w:t>Creek</w:t>
            </w:r>
          </w:p>
        </w:tc>
        <w:tc>
          <w:tcPr>
            <w:tcW w:w="1565" w:type="dxa"/>
          </w:tcPr>
          <w:p>
            <w:pPr>
              <w:pStyle w:val="TableParagraph"/>
              <w:ind w:left="20" w:right="3"/>
              <w:jc w:val="center"/>
              <w:rPr>
                <w:sz w:val="18"/>
              </w:rPr>
            </w:pPr>
            <w:r>
              <w:rPr>
                <w:spacing w:val="-2"/>
                <w:sz w:val="18"/>
              </w:rPr>
              <w:t>12,709</w:t>
            </w:r>
          </w:p>
        </w:tc>
        <w:tc>
          <w:tcPr>
            <w:tcW w:w="1327" w:type="dxa"/>
          </w:tcPr>
          <w:p>
            <w:pPr>
              <w:pStyle w:val="TableParagraph"/>
              <w:ind w:left="22" w:right="2"/>
              <w:jc w:val="center"/>
              <w:rPr>
                <w:sz w:val="18"/>
              </w:rPr>
            </w:pPr>
            <w:r>
              <w:rPr>
                <w:spacing w:val="-2"/>
                <w:sz w:val="18"/>
              </w:rPr>
              <w:t>11,259</w:t>
            </w:r>
          </w:p>
        </w:tc>
      </w:tr>
      <w:tr>
        <w:trPr>
          <w:trHeight w:val="493" w:hRule="atLeast"/>
        </w:trPr>
        <w:tc>
          <w:tcPr>
            <w:tcW w:w="1531" w:type="dxa"/>
          </w:tcPr>
          <w:p>
            <w:pPr>
              <w:pStyle w:val="TableParagraph"/>
              <w:ind w:left="19"/>
              <w:jc w:val="center"/>
              <w:rPr>
                <w:b/>
                <w:sz w:val="18"/>
              </w:rPr>
            </w:pPr>
            <w:r>
              <w:rPr>
                <w:b/>
                <w:spacing w:val="-2"/>
                <w:sz w:val="18"/>
              </w:rPr>
              <w:t>170102160702</w:t>
            </w:r>
          </w:p>
        </w:tc>
        <w:tc>
          <w:tcPr>
            <w:tcW w:w="1080" w:type="dxa"/>
          </w:tcPr>
          <w:p>
            <w:pPr>
              <w:pStyle w:val="TableParagraph"/>
              <w:ind w:left="19" w:right="1"/>
              <w:jc w:val="center"/>
              <w:rPr>
                <w:sz w:val="18"/>
              </w:rPr>
            </w:pPr>
            <w:r>
              <w:rPr>
                <w:spacing w:val="-10"/>
                <w:sz w:val="18"/>
              </w:rPr>
              <w:t>9</w:t>
            </w:r>
          </w:p>
        </w:tc>
        <w:tc>
          <w:tcPr>
            <w:tcW w:w="2695" w:type="dxa"/>
          </w:tcPr>
          <w:p>
            <w:pPr>
              <w:pStyle w:val="TableParagraph"/>
              <w:ind w:left="107" w:right="1080"/>
              <w:rPr>
                <w:sz w:val="18"/>
              </w:rPr>
            </w:pPr>
            <w:r>
              <w:rPr>
                <w:sz w:val="18"/>
              </w:rPr>
              <w:t>Headwaters</w:t>
            </w:r>
            <w:r>
              <w:rPr>
                <w:spacing w:val="-13"/>
                <w:sz w:val="18"/>
              </w:rPr>
              <w:t> </w:t>
            </w:r>
            <w:r>
              <w:rPr>
                <w:sz w:val="18"/>
              </w:rPr>
              <w:t>South Salmo River</w:t>
            </w:r>
          </w:p>
        </w:tc>
        <w:tc>
          <w:tcPr>
            <w:tcW w:w="1565" w:type="dxa"/>
          </w:tcPr>
          <w:p>
            <w:pPr>
              <w:pStyle w:val="TableParagraph"/>
              <w:ind w:left="20" w:right="3"/>
              <w:jc w:val="center"/>
              <w:rPr>
                <w:sz w:val="18"/>
              </w:rPr>
            </w:pPr>
            <w:r>
              <w:rPr>
                <w:spacing w:val="-2"/>
                <w:sz w:val="18"/>
              </w:rPr>
              <w:t>20,697</w:t>
            </w:r>
          </w:p>
        </w:tc>
        <w:tc>
          <w:tcPr>
            <w:tcW w:w="1327" w:type="dxa"/>
          </w:tcPr>
          <w:p>
            <w:pPr>
              <w:pStyle w:val="TableParagraph"/>
              <w:ind w:left="22" w:right="2"/>
              <w:jc w:val="center"/>
              <w:rPr>
                <w:sz w:val="18"/>
              </w:rPr>
            </w:pPr>
            <w:r>
              <w:rPr>
                <w:spacing w:val="-2"/>
                <w:sz w:val="18"/>
              </w:rPr>
              <w:t>12,472</w:t>
            </w:r>
          </w:p>
        </w:tc>
      </w:tr>
      <w:tr>
        <w:trPr>
          <w:trHeight w:val="493" w:hRule="atLeast"/>
        </w:trPr>
        <w:tc>
          <w:tcPr>
            <w:tcW w:w="1531" w:type="dxa"/>
          </w:tcPr>
          <w:p>
            <w:pPr>
              <w:pStyle w:val="TableParagraph"/>
              <w:spacing w:before="42"/>
              <w:ind w:left="19"/>
              <w:jc w:val="center"/>
              <w:rPr>
                <w:b/>
                <w:sz w:val="18"/>
              </w:rPr>
            </w:pPr>
            <w:r>
              <w:rPr>
                <w:b/>
                <w:spacing w:val="-2"/>
                <w:sz w:val="18"/>
              </w:rPr>
              <w:t>170102160902</w:t>
            </w:r>
          </w:p>
        </w:tc>
        <w:tc>
          <w:tcPr>
            <w:tcW w:w="1080" w:type="dxa"/>
          </w:tcPr>
          <w:p>
            <w:pPr>
              <w:pStyle w:val="TableParagraph"/>
              <w:spacing w:before="42"/>
              <w:ind w:left="19"/>
              <w:jc w:val="center"/>
              <w:rPr>
                <w:sz w:val="18"/>
              </w:rPr>
            </w:pPr>
            <w:r>
              <w:rPr>
                <w:spacing w:val="-5"/>
                <w:sz w:val="18"/>
              </w:rPr>
              <w:t>19</w:t>
            </w:r>
          </w:p>
        </w:tc>
        <w:tc>
          <w:tcPr>
            <w:tcW w:w="2695" w:type="dxa"/>
          </w:tcPr>
          <w:p>
            <w:pPr>
              <w:pStyle w:val="TableParagraph"/>
              <w:ind w:left="107" w:right="1080"/>
              <w:rPr>
                <w:sz w:val="18"/>
              </w:rPr>
            </w:pPr>
            <w:r>
              <w:rPr>
                <w:sz w:val="18"/>
              </w:rPr>
              <w:t>Sweet Creek- Pend</w:t>
            </w:r>
            <w:r>
              <w:rPr>
                <w:spacing w:val="-15"/>
                <w:sz w:val="18"/>
              </w:rPr>
              <w:t> </w:t>
            </w:r>
            <w:r>
              <w:rPr>
                <w:sz w:val="18"/>
              </w:rPr>
              <w:t>Oreille</w:t>
            </w:r>
            <w:r>
              <w:rPr>
                <w:spacing w:val="-12"/>
                <w:sz w:val="18"/>
              </w:rPr>
              <w:t> </w:t>
            </w:r>
            <w:r>
              <w:rPr>
                <w:sz w:val="18"/>
              </w:rPr>
              <w:t>River</w:t>
            </w:r>
          </w:p>
        </w:tc>
        <w:tc>
          <w:tcPr>
            <w:tcW w:w="1565" w:type="dxa"/>
          </w:tcPr>
          <w:p>
            <w:pPr>
              <w:pStyle w:val="TableParagraph"/>
              <w:spacing w:before="42"/>
              <w:ind w:left="20" w:right="3"/>
              <w:jc w:val="center"/>
              <w:rPr>
                <w:sz w:val="18"/>
              </w:rPr>
            </w:pPr>
            <w:r>
              <w:rPr>
                <w:spacing w:val="-2"/>
                <w:sz w:val="18"/>
              </w:rPr>
              <w:t>41,832</w:t>
            </w:r>
          </w:p>
        </w:tc>
        <w:tc>
          <w:tcPr>
            <w:tcW w:w="1327" w:type="dxa"/>
          </w:tcPr>
          <w:p>
            <w:pPr>
              <w:pStyle w:val="TableParagraph"/>
              <w:spacing w:before="42"/>
              <w:ind w:left="22" w:right="2"/>
              <w:jc w:val="center"/>
              <w:rPr>
                <w:sz w:val="18"/>
              </w:rPr>
            </w:pPr>
            <w:r>
              <w:rPr>
                <w:spacing w:val="-2"/>
                <w:sz w:val="18"/>
              </w:rPr>
              <w:t>28,890</w:t>
            </w:r>
          </w:p>
        </w:tc>
      </w:tr>
      <w:tr>
        <w:trPr>
          <w:trHeight w:val="287" w:hRule="atLeast"/>
        </w:trPr>
        <w:tc>
          <w:tcPr>
            <w:tcW w:w="1531" w:type="dxa"/>
          </w:tcPr>
          <w:p>
            <w:pPr>
              <w:pStyle w:val="TableParagraph"/>
              <w:spacing w:before="42"/>
              <w:ind w:left="19"/>
              <w:jc w:val="center"/>
              <w:rPr>
                <w:b/>
                <w:sz w:val="18"/>
              </w:rPr>
            </w:pPr>
            <w:r>
              <w:rPr>
                <w:b/>
                <w:spacing w:val="-2"/>
                <w:sz w:val="18"/>
              </w:rPr>
              <w:t>170102160903</w:t>
            </w:r>
          </w:p>
        </w:tc>
        <w:tc>
          <w:tcPr>
            <w:tcW w:w="1080" w:type="dxa"/>
          </w:tcPr>
          <w:p>
            <w:pPr>
              <w:pStyle w:val="TableParagraph"/>
              <w:spacing w:before="42"/>
              <w:ind w:left="19"/>
              <w:jc w:val="center"/>
              <w:rPr>
                <w:sz w:val="18"/>
              </w:rPr>
            </w:pPr>
            <w:r>
              <w:rPr>
                <w:spacing w:val="-5"/>
                <w:sz w:val="18"/>
              </w:rPr>
              <w:t>16</w:t>
            </w:r>
          </w:p>
        </w:tc>
        <w:tc>
          <w:tcPr>
            <w:tcW w:w="2695" w:type="dxa"/>
          </w:tcPr>
          <w:p>
            <w:pPr>
              <w:pStyle w:val="TableParagraph"/>
              <w:spacing w:before="42"/>
              <w:ind w:left="107"/>
              <w:rPr>
                <w:sz w:val="18"/>
              </w:rPr>
            </w:pPr>
            <w:r>
              <w:rPr>
                <w:sz w:val="18"/>
              </w:rPr>
              <w:t>Slate </w:t>
            </w:r>
            <w:r>
              <w:rPr>
                <w:spacing w:val="-2"/>
                <w:sz w:val="18"/>
              </w:rPr>
              <w:t>Creek</w:t>
            </w:r>
          </w:p>
        </w:tc>
        <w:tc>
          <w:tcPr>
            <w:tcW w:w="1565" w:type="dxa"/>
          </w:tcPr>
          <w:p>
            <w:pPr>
              <w:pStyle w:val="TableParagraph"/>
              <w:spacing w:before="42"/>
              <w:ind w:left="20" w:right="3"/>
              <w:jc w:val="center"/>
              <w:rPr>
                <w:sz w:val="18"/>
              </w:rPr>
            </w:pPr>
            <w:r>
              <w:rPr>
                <w:spacing w:val="-2"/>
                <w:sz w:val="18"/>
              </w:rPr>
              <w:t>20,195</w:t>
            </w:r>
          </w:p>
        </w:tc>
        <w:tc>
          <w:tcPr>
            <w:tcW w:w="1327" w:type="dxa"/>
          </w:tcPr>
          <w:p>
            <w:pPr>
              <w:pStyle w:val="TableParagraph"/>
              <w:spacing w:before="42"/>
              <w:ind w:left="22" w:right="2"/>
              <w:jc w:val="center"/>
              <w:rPr>
                <w:sz w:val="18"/>
              </w:rPr>
            </w:pPr>
            <w:r>
              <w:rPr>
                <w:spacing w:val="-2"/>
                <w:sz w:val="18"/>
              </w:rPr>
              <w:t>19,907</w:t>
            </w:r>
          </w:p>
        </w:tc>
      </w:tr>
      <w:tr>
        <w:trPr>
          <w:trHeight w:val="287" w:hRule="atLeast"/>
        </w:trPr>
        <w:tc>
          <w:tcPr>
            <w:tcW w:w="1531" w:type="dxa"/>
          </w:tcPr>
          <w:p>
            <w:pPr>
              <w:pStyle w:val="TableParagraph"/>
              <w:spacing w:before="42"/>
              <w:ind w:left="19"/>
              <w:jc w:val="center"/>
              <w:rPr>
                <w:b/>
                <w:sz w:val="18"/>
              </w:rPr>
            </w:pPr>
            <w:r>
              <w:rPr>
                <w:b/>
                <w:spacing w:val="-2"/>
                <w:sz w:val="18"/>
              </w:rPr>
              <w:t>170102161003</w:t>
            </w:r>
          </w:p>
        </w:tc>
        <w:tc>
          <w:tcPr>
            <w:tcW w:w="1080" w:type="dxa"/>
          </w:tcPr>
          <w:p>
            <w:pPr>
              <w:pStyle w:val="TableParagraph"/>
              <w:spacing w:before="42"/>
              <w:ind w:left="19" w:right="1"/>
              <w:jc w:val="center"/>
              <w:rPr>
                <w:sz w:val="18"/>
              </w:rPr>
            </w:pPr>
            <w:r>
              <w:rPr>
                <w:spacing w:val="-10"/>
                <w:sz w:val="18"/>
              </w:rPr>
              <w:t>2</w:t>
            </w:r>
          </w:p>
        </w:tc>
        <w:tc>
          <w:tcPr>
            <w:tcW w:w="2695" w:type="dxa"/>
          </w:tcPr>
          <w:p>
            <w:pPr>
              <w:pStyle w:val="TableParagraph"/>
              <w:spacing w:before="42"/>
              <w:ind w:left="107"/>
              <w:rPr>
                <w:sz w:val="18"/>
              </w:rPr>
            </w:pPr>
            <w:r>
              <w:rPr>
                <w:sz w:val="18"/>
              </w:rPr>
              <w:t>Cedar</w:t>
            </w:r>
            <w:r>
              <w:rPr>
                <w:spacing w:val="-3"/>
                <w:sz w:val="18"/>
              </w:rPr>
              <w:t> </w:t>
            </w:r>
            <w:r>
              <w:rPr>
                <w:spacing w:val="-2"/>
                <w:sz w:val="18"/>
              </w:rPr>
              <w:t>Creek</w:t>
            </w:r>
          </w:p>
        </w:tc>
        <w:tc>
          <w:tcPr>
            <w:tcW w:w="1565" w:type="dxa"/>
          </w:tcPr>
          <w:p>
            <w:pPr>
              <w:pStyle w:val="TableParagraph"/>
              <w:spacing w:before="42"/>
              <w:ind w:left="20" w:right="3"/>
              <w:jc w:val="center"/>
              <w:rPr>
                <w:sz w:val="18"/>
              </w:rPr>
            </w:pPr>
            <w:r>
              <w:rPr>
                <w:spacing w:val="-2"/>
                <w:sz w:val="18"/>
              </w:rPr>
              <w:t>17,209</w:t>
            </w:r>
          </w:p>
        </w:tc>
        <w:tc>
          <w:tcPr>
            <w:tcW w:w="1327" w:type="dxa"/>
          </w:tcPr>
          <w:p>
            <w:pPr>
              <w:pStyle w:val="TableParagraph"/>
              <w:spacing w:before="42"/>
              <w:ind w:left="22" w:right="2"/>
              <w:jc w:val="center"/>
              <w:rPr>
                <w:sz w:val="18"/>
              </w:rPr>
            </w:pPr>
            <w:r>
              <w:rPr>
                <w:spacing w:val="-2"/>
                <w:sz w:val="18"/>
              </w:rPr>
              <w:t>5,359</w:t>
            </w:r>
          </w:p>
        </w:tc>
      </w:tr>
      <w:tr>
        <w:trPr>
          <w:trHeight w:val="287" w:hRule="atLeast"/>
        </w:trPr>
        <w:tc>
          <w:tcPr>
            <w:tcW w:w="1531" w:type="dxa"/>
          </w:tcPr>
          <w:p>
            <w:pPr>
              <w:pStyle w:val="TableParagraph"/>
              <w:spacing w:before="42"/>
              <w:ind w:left="19"/>
              <w:jc w:val="center"/>
              <w:rPr>
                <w:b/>
                <w:sz w:val="18"/>
              </w:rPr>
            </w:pPr>
            <w:r>
              <w:rPr>
                <w:b/>
                <w:spacing w:val="-2"/>
                <w:sz w:val="18"/>
              </w:rPr>
              <w:t>170200011004</w:t>
            </w:r>
          </w:p>
        </w:tc>
        <w:tc>
          <w:tcPr>
            <w:tcW w:w="1080" w:type="dxa"/>
          </w:tcPr>
          <w:p>
            <w:pPr>
              <w:pStyle w:val="TableParagraph"/>
              <w:spacing w:before="42"/>
              <w:ind w:left="19"/>
              <w:jc w:val="center"/>
              <w:rPr>
                <w:sz w:val="18"/>
              </w:rPr>
            </w:pPr>
            <w:r>
              <w:rPr>
                <w:spacing w:val="-5"/>
                <w:sz w:val="18"/>
              </w:rPr>
              <w:t>13</w:t>
            </w:r>
          </w:p>
        </w:tc>
        <w:tc>
          <w:tcPr>
            <w:tcW w:w="2695" w:type="dxa"/>
          </w:tcPr>
          <w:p>
            <w:pPr>
              <w:pStyle w:val="TableParagraph"/>
              <w:spacing w:before="42"/>
              <w:ind w:left="107"/>
              <w:rPr>
                <w:sz w:val="18"/>
              </w:rPr>
            </w:pPr>
            <w:r>
              <w:rPr>
                <w:sz w:val="18"/>
              </w:rPr>
              <w:t>North</w:t>
            </w:r>
            <w:r>
              <w:rPr>
                <w:spacing w:val="-3"/>
                <w:sz w:val="18"/>
              </w:rPr>
              <w:t> </w:t>
            </w:r>
            <w:r>
              <w:rPr>
                <w:sz w:val="18"/>
              </w:rPr>
              <w:t>Fork</w:t>
            </w:r>
            <w:r>
              <w:rPr>
                <w:spacing w:val="-2"/>
                <w:sz w:val="18"/>
              </w:rPr>
              <w:t> </w:t>
            </w:r>
            <w:r>
              <w:rPr>
                <w:sz w:val="18"/>
              </w:rPr>
              <w:t>Deep</w:t>
            </w:r>
            <w:r>
              <w:rPr>
                <w:spacing w:val="-2"/>
                <w:sz w:val="18"/>
              </w:rPr>
              <w:t> </w:t>
            </w:r>
            <w:r>
              <w:rPr>
                <w:spacing w:val="-4"/>
                <w:sz w:val="18"/>
              </w:rPr>
              <w:t>Creek</w:t>
            </w:r>
          </w:p>
        </w:tc>
        <w:tc>
          <w:tcPr>
            <w:tcW w:w="1565" w:type="dxa"/>
          </w:tcPr>
          <w:p>
            <w:pPr>
              <w:pStyle w:val="TableParagraph"/>
              <w:spacing w:before="42"/>
              <w:ind w:left="20" w:right="3"/>
              <w:jc w:val="center"/>
              <w:rPr>
                <w:sz w:val="18"/>
              </w:rPr>
            </w:pPr>
            <w:r>
              <w:rPr>
                <w:spacing w:val="-2"/>
                <w:sz w:val="18"/>
              </w:rPr>
              <w:t>49,257</w:t>
            </w:r>
          </w:p>
        </w:tc>
        <w:tc>
          <w:tcPr>
            <w:tcW w:w="1327" w:type="dxa"/>
          </w:tcPr>
          <w:p>
            <w:pPr>
              <w:pStyle w:val="TableParagraph"/>
              <w:spacing w:before="42"/>
              <w:ind w:left="22" w:right="3"/>
              <w:jc w:val="center"/>
              <w:rPr>
                <w:sz w:val="18"/>
              </w:rPr>
            </w:pPr>
            <w:r>
              <w:rPr>
                <w:spacing w:val="-2"/>
                <w:sz w:val="18"/>
              </w:rPr>
              <w:t>26,634</w:t>
            </w:r>
          </w:p>
        </w:tc>
      </w:tr>
      <w:tr>
        <w:trPr>
          <w:trHeight w:val="493" w:hRule="atLeast"/>
        </w:trPr>
        <w:tc>
          <w:tcPr>
            <w:tcW w:w="1531" w:type="dxa"/>
          </w:tcPr>
          <w:p>
            <w:pPr>
              <w:pStyle w:val="TableParagraph"/>
              <w:ind w:left="19"/>
              <w:jc w:val="center"/>
              <w:rPr>
                <w:b/>
                <w:sz w:val="18"/>
              </w:rPr>
            </w:pPr>
            <w:r>
              <w:rPr>
                <w:b/>
                <w:spacing w:val="-2"/>
                <w:sz w:val="18"/>
              </w:rPr>
              <w:t>170200011301</w:t>
            </w:r>
          </w:p>
        </w:tc>
        <w:tc>
          <w:tcPr>
            <w:tcW w:w="1080" w:type="dxa"/>
          </w:tcPr>
          <w:p>
            <w:pPr>
              <w:pStyle w:val="TableParagraph"/>
              <w:ind w:left="19"/>
              <w:jc w:val="center"/>
              <w:rPr>
                <w:sz w:val="18"/>
              </w:rPr>
            </w:pPr>
            <w:r>
              <w:rPr>
                <w:spacing w:val="-5"/>
                <w:sz w:val="18"/>
              </w:rPr>
              <w:t>18</w:t>
            </w:r>
          </w:p>
        </w:tc>
        <w:tc>
          <w:tcPr>
            <w:tcW w:w="2695" w:type="dxa"/>
          </w:tcPr>
          <w:p>
            <w:pPr>
              <w:pStyle w:val="TableParagraph"/>
              <w:ind w:left="107" w:right="1300"/>
              <w:rPr>
                <w:sz w:val="18"/>
              </w:rPr>
            </w:pPr>
            <w:r>
              <w:rPr>
                <w:sz w:val="18"/>
              </w:rPr>
              <w:t>South Fork Sherman</w:t>
            </w:r>
            <w:r>
              <w:rPr>
                <w:spacing w:val="-13"/>
                <w:sz w:val="18"/>
              </w:rPr>
              <w:t> </w:t>
            </w:r>
            <w:r>
              <w:rPr>
                <w:sz w:val="18"/>
              </w:rPr>
              <w:t>Creek</w:t>
            </w:r>
          </w:p>
        </w:tc>
        <w:tc>
          <w:tcPr>
            <w:tcW w:w="1565" w:type="dxa"/>
          </w:tcPr>
          <w:p>
            <w:pPr>
              <w:pStyle w:val="TableParagraph"/>
              <w:ind w:left="20" w:right="3"/>
              <w:jc w:val="center"/>
              <w:rPr>
                <w:sz w:val="18"/>
              </w:rPr>
            </w:pPr>
            <w:r>
              <w:rPr>
                <w:spacing w:val="-2"/>
                <w:sz w:val="18"/>
              </w:rPr>
              <w:t>22,004</w:t>
            </w:r>
          </w:p>
        </w:tc>
        <w:tc>
          <w:tcPr>
            <w:tcW w:w="1327" w:type="dxa"/>
          </w:tcPr>
          <w:p>
            <w:pPr>
              <w:pStyle w:val="TableParagraph"/>
              <w:ind w:left="22" w:right="2"/>
              <w:jc w:val="center"/>
              <w:rPr>
                <w:sz w:val="18"/>
              </w:rPr>
            </w:pPr>
            <w:r>
              <w:rPr>
                <w:spacing w:val="-2"/>
                <w:sz w:val="18"/>
              </w:rPr>
              <w:t>21,899</w:t>
            </w:r>
          </w:p>
        </w:tc>
      </w:tr>
      <w:tr>
        <w:trPr>
          <w:trHeight w:val="287" w:hRule="atLeast"/>
        </w:trPr>
        <w:tc>
          <w:tcPr>
            <w:tcW w:w="1531" w:type="dxa"/>
          </w:tcPr>
          <w:p>
            <w:pPr>
              <w:pStyle w:val="TableParagraph"/>
              <w:spacing w:before="42"/>
              <w:ind w:left="19"/>
              <w:jc w:val="center"/>
              <w:rPr>
                <w:b/>
                <w:sz w:val="18"/>
              </w:rPr>
            </w:pPr>
            <w:r>
              <w:rPr>
                <w:b/>
                <w:spacing w:val="-2"/>
                <w:sz w:val="18"/>
              </w:rPr>
              <w:t>170200011302</w:t>
            </w:r>
          </w:p>
        </w:tc>
        <w:tc>
          <w:tcPr>
            <w:tcW w:w="1080" w:type="dxa"/>
          </w:tcPr>
          <w:p>
            <w:pPr>
              <w:pStyle w:val="TableParagraph"/>
              <w:spacing w:before="42"/>
              <w:ind w:left="19"/>
              <w:jc w:val="center"/>
              <w:rPr>
                <w:sz w:val="18"/>
              </w:rPr>
            </w:pPr>
            <w:r>
              <w:rPr>
                <w:spacing w:val="-5"/>
                <w:sz w:val="18"/>
              </w:rPr>
              <w:t>24</w:t>
            </w:r>
          </w:p>
        </w:tc>
        <w:tc>
          <w:tcPr>
            <w:tcW w:w="2695" w:type="dxa"/>
          </w:tcPr>
          <w:p>
            <w:pPr>
              <w:pStyle w:val="TableParagraph"/>
              <w:spacing w:before="42"/>
              <w:ind w:left="107"/>
              <w:rPr>
                <w:sz w:val="18"/>
              </w:rPr>
            </w:pPr>
            <w:r>
              <w:rPr>
                <w:sz w:val="18"/>
              </w:rPr>
              <w:t>Upper</w:t>
            </w:r>
            <w:r>
              <w:rPr>
                <w:spacing w:val="-4"/>
                <w:sz w:val="18"/>
              </w:rPr>
              <w:t> </w:t>
            </w:r>
            <w:r>
              <w:rPr>
                <w:sz w:val="18"/>
              </w:rPr>
              <w:t>Sherman</w:t>
            </w:r>
            <w:r>
              <w:rPr>
                <w:spacing w:val="-4"/>
                <w:sz w:val="18"/>
              </w:rPr>
              <w:t> </w:t>
            </w:r>
            <w:r>
              <w:rPr>
                <w:spacing w:val="-2"/>
                <w:sz w:val="18"/>
              </w:rPr>
              <w:t>Creek</w:t>
            </w:r>
          </w:p>
        </w:tc>
        <w:tc>
          <w:tcPr>
            <w:tcW w:w="1565" w:type="dxa"/>
          </w:tcPr>
          <w:p>
            <w:pPr>
              <w:pStyle w:val="TableParagraph"/>
              <w:spacing w:before="42"/>
              <w:ind w:left="20" w:right="3"/>
              <w:jc w:val="center"/>
              <w:rPr>
                <w:sz w:val="18"/>
              </w:rPr>
            </w:pPr>
            <w:r>
              <w:rPr>
                <w:spacing w:val="-2"/>
                <w:sz w:val="18"/>
              </w:rPr>
              <w:t>26,381</w:t>
            </w:r>
          </w:p>
        </w:tc>
        <w:tc>
          <w:tcPr>
            <w:tcW w:w="1327" w:type="dxa"/>
          </w:tcPr>
          <w:p>
            <w:pPr>
              <w:pStyle w:val="TableParagraph"/>
              <w:spacing w:before="42"/>
              <w:ind w:left="22" w:right="3"/>
              <w:jc w:val="center"/>
              <w:rPr>
                <w:sz w:val="18"/>
              </w:rPr>
            </w:pPr>
            <w:r>
              <w:rPr>
                <w:spacing w:val="-2"/>
                <w:sz w:val="18"/>
              </w:rPr>
              <w:t>26,260</w:t>
            </w:r>
          </w:p>
        </w:tc>
      </w:tr>
      <w:tr>
        <w:trPr>
          <w:trHeight w:val="287" w:hRule="atLeast"/>
        </w:trPr>
        <w:tc>
          <w:tcPr>
            <w:tcW w:w="1531" w:type="dxa"/>
          </w:tcPr>
          <w:p>
            <w:pPr>
              <w:pStyle w:val="TableParagraph"/>
              <w:spacing w:before="42"/>
              <w:ind w:left="19"/>
              <w:jc w:val="center"/>
              <w:rPr>
                <w:b/>
                <w:sz w:val="18"/>
              </w:rPr>
            </w:pPr>
            <w:r>
              <w:rPr>
                <w:b/>
                <w:spacing w:val="-2"/>
                <w:sz w:val="18"/>
              </w:rPr>
              <w:t>170200011303</w:t>
            </w:r>
          </w:p>
        </w:tc>
        <w:tc>
          <w:tcPr>
            <w:tcW w:w="1080" w:type="dxa"/>
          </w:tcPr>
          <w:p>
            <w:pPr>
              <w:pStyle w:val="TableParagraph"/>
              <w:spacing w:before="42"/>
              <w:ind w:left="19"/>
              <w:jc w:val="center"/>
              <w:rPr>
                <w:sz w:val="18"/>
              </w:rPr>
            </w:pPr>
            <w:r>
              <w:rPr>
                <w:spacing w:val="-5"/>
                <w:sz w:val="18"/>
              </w:rPr>
              <w:t>11</w:t>
            </w:r>
          </w:p>
        </w:tc>
        <w:tc>
          <w:tcPr>
            <w:tcW w:w="2695" w:type="dxa"/>
          </w:tcPr>
          <w:p>
            <w:pPr>
              <w:pStyle w:val="TableParagraph"/>
              <w:spacing w:before="42"/>
              <w:ind w:left="107"/>
              <w:rPr>
                <w:sz w:val="18"/>
              </w:rPr>
            </w:pPr>
            <w:r>
              <w:rPr>
                <w:sz w:val="18"/>
              </w:rPr>
              <w:t>Lower</w:t>
            </w:r>
            <w:r>
              <w:rPr>
                <w:spacing w:val="-10"/>
                <w:sz w:val="18"/>
              </w:rPr>
              <w:t> </w:t>
            </w:r>
            <w:r>
              <w:rPr>
                <w:sz w:val="18"/>
              </w:rPr>
              <w:t>Sherman</w:t>
            </w:r>
            <w:r>
              <w:rPr>
                <w:spacing w:val="-8"/>
                <w:sz w:val="18"/>
              </w:rPr>
              <w:t> </w:t>
            </w:r>
            <w:r>
              <w:rPr>
                <w:spacing w:val="-2"/>
                <w:sz w:val="18"/>
              </w:rPr>
              <w:t>Creek</w:t>
            </w:r>
          </w:p>
        </w:tc>
        <w:tc>
          <w:tcPr>
            <w:tcW w:w="1565" w:type="dxa"/>
          </w:tcPr>
          <w:p>
            <w:pPr>
              <w:pStyle w:val="TableParagraph"/>
              <w:spacing w:before="42"/>
              <w:ind w:left="20" w:right="3"/>
              <w:jc w:val="center"/>
              <w:rPr>
                <w:sz w:val="18"/>
              </w:rPr>
            </w:pPr>
            <w:r>
              <w:rPr>
                <w:spacing w:val="-2"/>
                <w:sz w:val="18"/>
              </w:rPr>
              <w:t>20,987</w:t>
            </w:r>
          </w:p>
        </w:tc>
        <w:tc>
          <w:tcPr>
            <w:tcW w:w="1327" w:type="dxa"/>
          </w:tcPr>
          <w:p>
            <w:pPr>
              <w:pStyle w:val="TableParagraph"/>
              <w:spacing w:before="42"/>
              <w:ind w:left="22" w:right="2"/>
              <w:jc w:val="center"/>
              <w:rPr>
                <w:sz w:val="18"/>
              </w:rPr>
            </w:pPr>
            <w:r>
              <w:rPr>
                <w:spacing w:val="-2"/>
                <w:sz w:val="18"/>
              </w:rPr>
              <w:t>15,998</w:t>
            </w:r>
          </w:p>
        </w:tc>
      </w:tr>
      <w:tr>
        <w:trPr>
          <w:trHeight w:val="287" w:hRule="atLeast"/>
        </w:trPr>
        <w:tc>
          <w:tcPr>
            <w:tcW w:w="1531" w:type="dxa"/>
          </w:tcPr>
          <w:p>
            <w:pPr>
              <w:pStyle w:val="TableParagraph"/>
              <w:ind w:left="19"/>
              <w:jc w:val="center"/>
              <w:rPr>
                <w:b/>
                <w:sz w:val="18"/>
              </w:rPr>
            </w:pPr>
            <w:r>
              <w:rPr>
                <w:b/>
                <w:spacing w:val="-2"/>
                <w:sz w:val="18"/>
              </w:rPr>
              <w:t>170200011306</w:t>
            </w:r>
          </w:p>
        </w:tc>
        <w:tc>
          <w:tcPr>
            <w:tcW w:w="1080" w:type="dxa"/>
          </w:tcPr>
          <w:p>
            <w:pPr>
              <w:pStyle w:val="TableParagraph"/>
              <w:ind w:left="19" w:right="1"/>
              <w:jc w:val="center"/>
              <w:rPr>
                <w:sz w:val="18"/>
              </w:rPr>
            </w:pPr>
            <w:r>
              <w:rPr>
                <w:spacing w:val="-10"/>
                <w:sz w:val="18"/>
              </w:rPr>
              <w:t>1</w:t>
            </w:r>
          </w:p>
        </w:tc>
        <w:tc>
          <w:tcPr>
            <w:tcW w:w="2695" w:type="dxa"/>
          </w:tcPr>
          <w:p>
            <w:pPr>
              <w:pStyle w:val="TableParagraph"/>
              <w:ind w:left="107"/>
              <w:rPr>
                <w:sz w:val="18"/>
              </w:rPr>
            </w:pPr>
            <w:r>
              <w:rPr>
                <w:sz w:val="18"/>
              </w:rPr>
              <w:t>Barnaby</w:t>
            </w:r>
            <w:r>
              <w:rPr>
                <w:spacing w:val="-2"/>
                <w:sz w:val="18"/>
              </w:rPr>
              <w:t> Creek</w:t>
            </w:r>
          </w:p>
        </w:tc>
        <w:tc>
          <w:tcPr>
            <w:tcW w:w="1565" w:type="dxa"/>
          </w:tcPr>
          <w:p>
            <w:pPr>
              <w:pStyle w:val="TableParagraph"/>
              <w:ind w:left="20" w:right="3"/>
              <w:jc w:val="center"/>
              <w:rPr>
                <w:sz w:val="18"/>
              </w:rPr>
            </w:pPr>
            <w:r>
              <w:rPr>
                <w:spacing w:val="-2"/>
                <w:sz w:val="18"/>
              </w:rPr>
              <w:t>23,108</w:t>
            </w:r>
          </w:p>
        </w:tc>
        <w:tc>
          <w:tcPr>
            <w:tcW w:w="1327" w:type="dxa"/>
          </w:tcPr>
          <w:p>
            <w:pPr>
              <w:pStyle w:val="TableParagraph"/>
              <w:ind w:left="22" w:right="2"/>
              <w:jc w:val="center"/>
              <w:rPr>
                <w:sz w:val="18"/>
              </w:rPr>
            </w:pPr>
            <w:r>
              <w:rPr>
                <w:spacing w:val="-2"/>
                <w:sz w:val="18"/>
              </w:rPr>
              <w:t>14,299</w:t>
            </w:r>
          </w:p>
        </w:tc>
      </w:tr>
      <w:tr>
        <w:trPr>
          <w:trHeight w:val="287" w:hRule="atLeast"/>
        </w:trPr>
        <w:tc>
          <w:tcPr>
            <w:tcW w:w="1531" w:type="dxa"/>
          </w:tcPr>
          <w:p>
            <w:pPr>
              <w:pStyle w:val="TableParagraph"/>
              <w:ind w:left="19"/>
              <w:jc w:val="center"/>
              <w:rPr>
                <w:b/>
                <w:sz w:val="18"/>
              </w:rPr>
            </w:pPr>
            <w:r>
              <w:rPr>
                <w:b/>
                <w:spacing w:val="-2"/>
                <w:sz w:val="18"/>
              </w:rPr>
              <w:t>170200011401</w:t>
            </w:r>
          </w:p>
        </w:tc>
        <w:tc>
          <w:tcPr>
            <w:tcW w:w="1080" w:type="dxa"/>
          </w:tcPr>
          <w:p>
            <w:pPr>
              <w:pStyle w:val="TableParagraph"/>
              <w:ind w:left="19"/>
              <w:jc w:val="center"/>
              <w:rPr>
                <w:sz w:val="18"/>
              </w:rPr>
            </w:pPr>
            <w:r>
              <w:rPr>
                <w:spacing w:val="-5"/>
                <w:sz w:val="18"/>
              </w:rPr>
              <w:t>23</w:t>
            </w:r>
          </w:p>
        </w:tc>
        <w:tc>
          <w:tcPr>
            <w:tcW w:w="2695" w:type="dxa"/>
          </w:tcPr>
          <w:p>
            <w:pPr>
              <w:pStyle w:val="TableParagraph"/>
              <w:ind w:left="107"/>
              <w:rPr>
                <w:sz w:val="18"/>
              </w:rPr>
            </w:pPr>
            <w:r>
              <w:rPr>
                <w:sz w:val="18"/>
              </w:rPr>
              <w:t>Upper</w:t>
            </w:r>
            <w:r>
              <w:rPr>
                <w:spacing w:val="-4"/>
                <w:sz w:val="18"/>
              </w:rPr>
              <w:t> </w:t>
            </w:r>
            <w:r>
              <w:rPr>
                <w:sz w:val="18"/>
              </w:rPr>
              <w:t>Hall</w:t>
            </w:r>
            <w:r>
              <w:rPr>
                <w:spacing w:val="-2"/>
                <w:sz w:val="18"/>
              </w:rPr>
              <w:t> </w:t>
            </w:r>
            <w:r>
              <w:rPr>
                <w:spacing w:val="-4"/>
                <w:sz w:val="18"/>
              </w:rPr>
              <w:t>Creek</w:t>
            </w:r>
          </w:p>
        </w:tc>
        <w:tc>
          <w:tcPr>
            <w:tcW w:w="1565" w:type="dxa"/>
          </w:tcPr>
          <w:p>
            <w:pPr>
              <w:pStyle w:val="TableParagraph"/>
              <w:ind w:left="20" w:right="3"/>
              <w:jc w:val="center"/>
              <w:rPr>
                <w:sz w:val="18"/>
              </w:rPr>
            </w:pPr>
            <w:r>
              <w:rPr>
                <w:spacing w:val="-2"/>
                <w:sz w:val="18"/>
              </w:rPr>
              <w:t>31,648</w:t>
            </w:r>
          </w:p>
        </w:tc>
        <w:tc>
          <w:tcPr>
            <w:tcW w:w="1327" w:type="dxa"/>
          </w:tcPr>
          <w:p>
            <w:pPr>
              <w:pStyle w:val="TableParagraph"/>
              <w:ind w:left="22" w:right="2"/>
              <w:jc w:val="center"/>
              <w:rPr>
                <w:sz w:val="18"/>
              </w:rPr>
            </w:pPr>
            <w:r>
              <w:rPr>
                <w:spacing w:val="-2"/>
                <w:sz w:val="18"/>
              </w:rPr>
              <w:t>13,786</w:t>
            </w:r>
          </w:p>
        </w:tc>
      </w:tr>
      <w:tr>
        <w:trPr>
          <w:trHeight w:val="287" w:hRule="atLeast"/>
        </w:trPr>
        <w:tc>
          <w:tcPr>
            <w:tcW w:w="1531" w:type="dxa"/>
          </w:tcPr>
          <w:p>
            <w:pPr>
              <w:pStyle w:val="TableParagraph"/>
              <w:ind w:left="19"/>
              <w:jc w:val="center"/>
              <w:rPr>
                <w:b/>
                <w:sz w:val="18"/>
              </w:rPr>
            </w:pPr>
            <w:r>
              <w:rPr>
                <w:b/>
                <w:spacing w:val="-2"/>
                <w:sz w:val="18"/>
              </w:rPr>
              <w:t>170200021301</w:t>
            </w:r>
          </w:p>
        </w:tc>
        <w:tc>
          <w:tcPr>
            <w:tcW w:w="1080" w:type="dxa"/>
          </w:tcPr>
          <w:p>
            <w:pPr>
              <w:pStyle w:val="TableParagraph"/>
              <w:ind w:left="19"/>
              <w:jc w:val="center"/>
              <w:rPr>
                <w:sz w:val="18"/>
              </w:rPr>
            </w:pPr>
            <w:r>
              <w:rPr>
                <w:spacing w:val="-5"/>
                <w:sz w:val="18"/>
              </w:rPr>
              <w:t>22</w:t>
            </w:r>
          </w:p>
        </w:tc>
        <w:tc>
          <w:tcPr>
            <w:tcW w:w="2695" w:type="dxa"/>
          </w:tcPr>
          <w:p>
            <w:pPr>
              <w:pStyle w:val="TableParagraph"/>
              <w:ind w:left="107"/>
              <w:rPr>
                <w:sz w:val="18"/>
              </w:rPr>
            </w:pPr>
            <w:r>
              <w:rPr>
                <w:sz w:val="18"/>
              </w:rPr>
              <w:t>Trout</w:t>
            </w:r>
            <w:r>
              <w:rPr>
                <w:spacing w:val="-2"/>
                <w:sz w:val="18"/>
              </w:rPr>
              <w:t> Creek</w:t>
            </w:r>
          </w:p>
        </w:tc>
        <w:tc>
          <w:tcPr>
            <w:tcW w:w="1565" w:type="dxa"/>
          </w:tcPr>
          <w:p>
            <w:pPr>
              <w:pStyle w:val="TableParagraph"/>
              <w:ind w:left="20" w:right="3"/>
              <w:jc w:val="center"/>
              <w:rPr>
                <w:sz w:val="18"/>
              </w:rPr>
            </w:pPr>
            <w:r>
              <w:rPr>
                <w:spacing w:val="-2"/>
                <w:sz w:val="18"/>
              </w:rPr>
              <w:t>23,435</w:t>
            </w:r>
          </w:p>
        </w:tc>
        <w:tc>
          <w:tcPr>
            <w:tcW w:w="1327" w:type="dxa"/>
          </w:tcPr>
          <w:p>
            <w:pPr>
              <w:pStyle w:val="TableParagraph"/>
              <w:ind w:left="22" w:right="2"/>
              <w:jc w:val="center"/>
              <w:rPr>
                <w:sz w:val="18"/>
              </w:rPr>
            </w:pPr>
            <w:r>
              <w:rPr>
                <w:spacing w:val="-2"/>
                <w:sz w:val="18"/>
              </w:rPr>
              <w:t>14,122</w:t>
            </w:r>
          </w:p>
        </w:tc>
      </w:tr>
      <w:tr>
        <w:trPr>
          <w:trHeight w:val="287" w:hRule="atLeast"/>
        </w:trPr>
        <w:tc>
          <w:tcPr>
            <w:tcW w:w="1531" w:type="dxa"/>
          </w:tcPr>
          <w:p>
            <w:pPr>
              <w:pStyle w:val="TableParagraph"/>
              <w:ind w:left="19"/>
              <w:jc w:val="center"/>
              <w:rPr>
                <w:b/>
                <w:sz w:val="18"/>
              </w:rPr>
            </w:pPr>
            <w:r>
              <w:rPr>
                <w:b/>
                <w:spacing w:val="-2"/>
                <w:sz w:val="18"/>
              </w:rPr>
              <w:t>170200021701</w:t>
            </w:r>
          </w:p>
        </w:tc>
        <w:tc>
          <w:tcPr>
            <w:tcW w:w="1080" w:type="dxa"/>
          </w:tcPr>
          <w:p>
            <w:pPr>
              <w:pStyle w:val="TableParagraph"/>
              <w:ind w:left="19"/>
              <w:jc w:val="center"/>
              <w:rPr>
                <w:sz w:val="18"/>
              </w:rPr>
            </w:pPr>
            <w:r>
              <w:rPr>
                <w:spacing w:val="-5"/>
                <w:sz w:val="18"/>
              </w:rPr>
              <w:t>21</w:t>
            </w:r>
          </w:p>
        </w:tc>
        <w:tc>
          <w:tcPr>
            <w:tcW w:w="2695" w:type="dxa"/>
          </w:tcPr>
          <w:p>
            <w:pPr>
              <w:pStyle w:val="TableParagraph"/>
              <w:ind w:left="107"/>
              <w:rPr>
                <w:sz w:val="18"/>
              </w:rPr>
            </w:pPr>
            <w:r>
              <w:rPr>
                <w:sz w:val="18"/>
              </w:rPr>
              <w:t>Tonata</w:t>
            </w:r>
            <w:r>
              <w:rPr>
                <w:spacing w:val="-1"/>
                <w:sz w:val="18"/>
              </w:rPr>
              <w:t> </w:t>
            </w:r>
            <w:r>
              <w:rPr>
                <w:spacing w:val="-2"/>
                <w:sz w:val="18"/>
              </w:rPr>
              <w:t>Creek</w:t>
            </w:r>
          </w:p>
        </w:tc>
        <w:tc>
          <w:tcPr>
            <w:tcW w:w="1565" w:type="dxa"/>
          </w:tcPr>
          <w:p>
            <w:pPr>
              <w:pStyle w:val="TableParagraph"/>
              <w:ind w:left="20" w:right="3"/>
              <w:jc w:val="center"/>
              <w:rPr>
                <w:sz w:val="18"/>
              </w:rPr>
            </w:pPr>
            <w:r>
              <w:rPr>
                <w:spacing w:val="-2"/>
                <w:sz w:val="18"/>
              </w:rPr>
              <w:t>14,453</w:t>
            </w:r>
          </w:p>
        </w:tc>
        <w:tc>
          <w:tcPr>
            <w:tcW w:w="1327" w:type="dxa"/>
          </w:tcPr>
          <w:p>
            <w:pPr>
              <w:pStyle w:val="TableParagraph"/>
              <w:ind w:left="22" w:right="3"/>
              <w:jc w:val="center"/>
              <w:rPr>
                <w:sz w:val="18"/>
              </w:rPr>
            </w:pPr>
            <w:r>
              <w:rPr>
                <w:spacing w:val="-2"/>
                <w:sz w:val="18"/>
              </w:rPr>
              <w:t>13,781</w:t>
            </w:r>
          </w:p>
        </w:tc>
      </w:tr>
      <w:tr>
        <w:trPr>
          <w:trHeight w:val="493" w:hRule="atLeast"/>
        </w:trPr>
        <w:tc>
          <w:tcPr>
            <w:tcW w:w="1531" w:type="dxa"/>
          </w:tcPr>
          <w:p>
            <w:pPr>
              <w:pStyle w:val="TableParagraph"/>
              <w:ind w:left="19"/>
              <w:jc w:val="center"/>
              <w:rPr>
                <w:b/>
                <w:sz w:val="18"/>
              </w:rPr>
            </w:pPr>
            <w:r>
              <w:rPr>
                <w:b/>
                <w:spacing w:val="-2"/>
                <w:sz w:val="18"/>
              </w:rPr>
              <w:t>170200021907</w:t>
            </w:r>
          </w:p>
        </w:tc>
        <w:tc>
          <w:tcPr>
            <w:tcW w:w="1080" w:type="dxa"/>
          </w:tcPr>
          <w:p>
            <w:pPr>
              <w:pStyle w:val="TableParagraph"/>
              <w:ind w:left="19" w:right="1"/>
              <w:jc w:val="center"/>
              <w:rPr>
                <w:sz w:val="18"/>
              </w:rPr>
            </w:pPr>
            <w:r>
              <w:rPr>
                <w:spacing w:val="-10"/>
                <w:sz w:val="18"/>
              </w:rPr>
              <w:t>6</w:t>
            </w:r>
          </w:p>
        </w:tc>
        <w:tc>
          <w:tcPr>
            <w:tcW w:w="2695" w:type="dxa"/>
          </w:tcPr>
          <w:p>
            <w:pPr>
              <w:pStyle w:val="TableParagraph"/>
              <w:ind w:left="107" w:right="764"/>
              <w:rPr>
                <w:sz w:val="18"/>
              </w:rPr>
            </w:pPr>
            <w:r>
              <w:rPr>
                <w:sz w:val="18"/>
              </w:rPr>
              <w:t>East</w:t>
            </w:r>
            <w:r>
              <w:rPr>
                <w:spacing w:val="-15"/>
                <w:sz w:val="18"/>
              </w:rPr>
              <w:t> </w:t>
            </w:r>
            <w:r>
              <w:rPr>
                <w:sz w:val="18"/>
              </w:rPr>
              <w:t>Deer</w:t>
            </w:r>
            <w:r>
              <w:rPr>
                <w:spacing w:val="-12"/>
                <w:sz w:val="18"/>
              </w:rPr>
              <w:t> </w:t>
            </w:r>
            <w:r>
              <w:rPr>
                <w:sz w:val="18"/>
              </w:rPr>
              <w:t>Creek- Kettle River</w:t>
            </w:r>
          </w:p>
        </w:tc>
        <w:tc>
          <w:tcPr>
            <w:tcW w:w="1565" w:type="dxa"/>
          </w:tcPr>
          <w:p>
            <w:pPr>
              <w:pStyle w:val="TableParagraph"/>
              <w:ind w:left="20" w:right="3"/>
              <w:jc w:val="center"/>
              <w:rPr>
                <w:sz w:val="18"/>
              </w:rPr>
            </w:pPr>
            <w:r>
              <w:rPr>
                <w:spacing w:val="-2"/>
                <w:sz w:val="18"/>
              </w:rPr>
              <w:t>23,385</w:t>
            </w:r>
          </w:p>
        </w:tc>
        <w:tc>
          <w:tcPr>
            <w:tcW w:w="1327" w:type="dxa"/>
          </w:tcPr>
          <w:p>
            <w:pPr>
              <w:pStyle w:val="TableParagraph"/>
              <w:ind w:left="22" w:right="2"/>
              <w:jc w:val="center"/>
              <w:rPr>
                <w:sz w:val="18"/>
              </w:rPr>
            </w:pPr>
            <w:r>
              <w:rPr>
                <w:spacing w:val="-2"/>
                <w:sz w:val="18"/>
              </w:rPr>
              <w:t>15,443</w:t>
            </w:r>
          </w:p>
        </w:tc>
      </w:tr>
      <w:tr>
        <w:trPr>
          <w:trHeight w:val="493" w:hRule="atLeast"/>
        </w:trPr>
        <w:tc>
          <w:tcPr>
            <w:tcW w:w="1531" w:type="dxa"/>
          </w:tcPr>
          <w:p>
            <w:pPr>
              <w:pStyle w:val="TableParagraph"/>
              <w:ind w:left="19"/>
              <w:jc w:val="center"/>
              <w:rPr>
                <w:b/>
                <w:sz w:val="18"/>
              </w:rPr>
            </w:pPr>
            <w:r>
              <w:rPr>
                <w:b/>
                <w:spacing w:val="-2"/>
                <w:sz w:val="18"/>
              </w:rPr>
              <w:t>170200022002</w:t>
            </w:r>
          </w:p>
        </w:tc>
        <w:tc>
          <w:tcPr>
            <w:tcW w:w="1080" w:type="dxa"/>
          </w:tcPr>
          <w:p>
            <w:pPr>
              <w:pStyle w:val="TableParagraph"/>
              <w:ind w:left="19"/>
              <w:jc w:val="center"/>
              <w:rPr>
                <w:sz w:val="18"/>
              </w:rPr>
            </w:pPr>
            <w:r>
              <w:rPr>
                <w:spacing w:val="-5"/>
                <w:sz w:val="18"/>
              </w:rPr>
              <w:t>12</w:t>
            </w:r>
          </w:p>
        </w:tc>
        <w:tc>
          <w:tcPr>
            <w:tcW w:w="2695" w:type="dxa"/>
          </w:tcPr>
          <w:p>
            <w:pPr>
              <w:pStyle w:val="TableParagraph"/>
              <w:ind w:left="107" w:right="1250"/>
              <w:rPr>
                <w:sz w:val="18"/>
              </w:rPr>
            </w:pPr>
            <w:r>
              <w:rPr>
                <w:sz w:val="18"/>
              </w:rPr>
              <w:t>North Fork Deadman</w:t>
            </w:r>
            <w:r>
              <w:rPr>
                <w:spacing w:val="-13"/>
                <w:sz w:val="18"/>
              </w:rPr>
              <w:t> </w:t>
            </w:r>
            <w:r>
              <w:rPr>
                <w:sz w:val="18"/>
              </w:rPr>
              <w:t>Creek</w:t>
            </w:r>
          </w:p>
        </w:tc>
        <w:tc>
          <w:tcPr>
            <w:tcW w:w="1565" w:type="dxa"/>
          </w:tcPr>
          <w:p>
            <w:pPr>
              <w:pStyle w:val="TableParagraph"/>
              <w:ind w:left="20" w:right="3"/>
              <w:jc w:val="center"/>
              <w:rPr>
                <w:sz w:val="18"/>
              </w:rPr>
            </w:pPr>
            <w:r>
              <w:rPr>
                <w:spacing w:val="-2"/>
                <w:sz w:val="18"/>
              </w:rPr>
              <w:t>13,450</w:t>
            </w:r>
          </w:p>
        </w:tc>
        <w:tc>
          <w:tcPr>
            <w:tcW w:w="1327" w:type="dxa"/>
          </w:tcPr>
          <w:p>
            <w:pPr>
              <w:pStyle w:val="TableParagraph"/>
              <w:ind w:left="22" w:right="2"/>
              <w:jc w:val="center"/>
              <w:rPr>
                <w:sz w:val="18"/>
              </w:rPr>
            </w:pPr>
            <w:r>
              <w:rPr>
                <w:spacing w:val="-2"/>
                <w:sz w:val="18"/>
              </w:rPr>
              <w:t>13,185</w:t>
            </w:r>
          </w:p>
        </w:tc>
      </w:tr>
      <w:tr>
        <w:trPr>
          <w:trHeight w:val="286" w:hRule="atLeast"/>
        </w:trPr>
        <w:tc>
          <w:tcPr>
            <w:tcW w:w="1531" w:type="dxa"/>
            <w:tcBorders>
              <w:bottom w:val="double" w:sz="6" w:space="0" w:color="9BBA58"/>
            </w:tcBorders>
          </w:tcPr>
          <w:p>
            <w:pPr>
              <w:pStyle w:val="TableParagraph"/>
              <w:ind w:left="19"/>
              <w:jc w:val="center"/>
              <w:rPr>
                <w:b/>
                <w:sz w:val="18"/>
              </w:rPr>
            </w:pPr>
            <w:r>
              <w:rPr>
                <w:b/>
                <w:spacing w:val="-2"/>
                <w:sz w:val="18"/>
              </w:rPr>
              <w:t>170200022003</w:t>
            </w:r>
          </w:p>
        </w:tc>
        <w:tc>
          <w:tcPr>
            <w:tcW w:w="1080" w:type="dxa"/>
            <w:tcBorders>
              <w:bottom w:val="double" w:sz="6" w:space="0" w:color="9BBA58"/>
            </w:tcBorders>
          </w:tcPr>
          <w:p>
            <w:pPr>
              <w:pStyle w:val="TableParagraph"/>
              <w:ind w:left="19" w:right="1"/>
              <w:jc w:val="center"/>
              <w:rPr>
                <w:sz w:val="18"/>
              </w:rPr>
            </w:pPr>
            <w:r>
              <w:rPr>
                <w:spacing w:val="-10"/>
                <w:sz w:val="18"/>
              </w:rPr>
              <w:t>4</w:t>
            </w:r>
          </w:p>
        </w:tc>
        <w:tc>
          <w:tcPr>
            <w:tcW w:w="2695" w:type="dxa"/>
            <w:tcBorders>
              <w:bottom w:val="double" w:sz="6" w:space="0" w:color="9BBA58"/>
            </w:tcBorders>
          </w:tcPr>
          <w:p>
            <w:pPr>
              <w:pStyle w:val="TableParagraph"/>
              <w:ind w:left="107"/>
              <w:rPr>
                <w:sz w:val="18"/>
              </w:rPr>
            </w:pPr>
            <w:r>
              <w:rPr>
                <w:sz w:val="18"/>
              </w:rPr>
              <w:t>Deadman</w:t>
            </w:r>
            <w:r>
              <w:rPr>
                <w:spacing w:val="-3"/>
                <w:sz w:val="18"/>
              </w:rPr>
              <w:t> </w:t>
            </w:r>
            <w:r>
              <w:rPr>
                <w:spacing w:val="-2"/>
                <w:sz w:val="18"/>
              </w:rPr>
              <w:t>Creek</w:t>
            </w:r>
          </w:p>
        </w:tc>
        <w:tc>
          <w:tcPr>
            <w:tcW w:w="1565" w:type="dxa"/>
            <w:tcBorders>
              <w:bottom w:val="double" w:sz="6" w:space="0" w:color="9BBA58"/>
            </w:tcBorders>
          </w:tcPr>
          <w:p>
            <w:pPr>
              <w:pStyle w:val="TableParagraph"/>
              <w:ind w:left="20" w:right="3"/>
              <w:jc w:val="center"/>
              <w:rPr>
                <w:sz w:val="18"/>
              </w:rPr>
            </w:pPr>
            <w:r>
              <w:rPr>
                <w:spacing w:val="-2"/>
                <w:sz w:val="18"/>
              </w:rPr>
              <w:t>26,518</w:t>
            </w:r>
          </w:p>
        </w:tc>
        <w:tc>
          <w:tcPr>
            <w:tcW w:w="1327" w:type="dxa"/>
            <w:tcBorders>
              <w:bottom w:val="double" w:sz="6" w:space="0" w:color="9BBA58"/>
            </w:tcBorders>
          </w:tcPr>
          <w:p>
            <w:pPr>
              <w:pStyle w:val="TableParagraph"/>
              <w:ind w:left="22" w:right="2"/>
              <w:jc w:val="center"/>
              <w:rPr>
                <w:sz w:val="18"/>
              </w:rPr>
            </w:pPr>
            <w:r>
              <w:rPr>
                <w:spacing w:val="-2"/>
                <w:sz w:val="18"/>
              </w:rPr>
              <w:t>22,300</w:t>
            </w:r>
          </w:p>
        </w:tc>
      </w:tr>
      <w:tr>
        <w:trPr>
          <w:trHeight w:val="289" w:hRule="atLeast"/>
        </w:trPr>
        <w:tc>
          <w:tcPr>
            <w:tcW w:w="1531" w:type="dxa"/>
            <w:tcBorders>
              <w:top w:val="double" w:sz="6" w:space="0" w:color="9BBA58"/>
            </w:tcBorders>
          </w:tcPr>
          <w:p>
            <w:pPr>
              <w:pStyle w:val="TableParagraph"/>
              <w:spacing w:before="0"/>
              <w:rPr>
                <w:rFonts w:ascii="Times New Roman"/>
                <w:sz w:val="18"/>
              </w:rPr>
            </w:pPr>
          </w:p>
        </w:tc>
        <w:tc>
          <w:tcPr>
            <w:tcW w:w="1080" w:type="dxa"/>
            <w:tcBorders>
              <w:top w:val="double" w:sz="6" w:space="0" w:color="9BBA58"/>
            </w:tcBorders>
          </w:tcPr>
          <w:p>
            <w:pPr>
              <w:pStyle w:val="TableParagraph"/>
              <w:spacing w:before="0"/>
              <w:rPr>
                <w:rFonts w:ascii="Times New Roman"/>
                <w:sz w:val="18"/>
              </w:rPr>
            </w:pPr>
          </w:p>
        </w:tc>
        <w:tc>
          <w:tcPr>
            <w:tcW w:w="2695" w:type="dxa"/>
            <w:tcBorders>
              <w:top w:val="double" w:sz="6" w:space="0" w:color="9BBA58"/>
            </w:tcBorders>
          </w:tcPr>
          <w:p>
            <w:pPr>
              <w:pStyle w:val="TableParagraph"/>
              <w:spacing w:before="41"/>
              <w:ind w:left="21"/>
              <w:jc w:val="center"/>
              <w:rPr>
                <w:b/>
                <w:sz w:val="18"/>
              </w:rPr>
            </w:pPr>
            <w:r>
              <w:rPr>
                <w:b/>
                <w:spacing w:val="-2"/>
                <w:sz w:val="18"/>
              </w:rPr>
              <w:t>Total</w:t>
            </w:r>
          </w:p>
        </w:tc>
        <w:tc>
          <w:tcPr>
            <w:tcW w:w="1565" w:type="dxa"/>
            <w:tcBorders>
              <w:top w:val="double" w:sz="6" w:space="0" w:color="9BBA58"/>
            </w:tcBorders>
          </w:tcPr>
          <w:p>
            <w:pPr>
              <w:pStyle w:val="TableParagraph"/>
              <w:spacing w:before="41"/>
              <w:ind w:left="20"/>
              <w:jc w:val="center"/>
              <w:rPr>
                <w:b/>
                <w:sz w:val="18"/>
              </w:rPr>
            </w:pPr>
            <w:r>
              <w:rPr>
                <w:b/>
                <w:spacing w:val="-2"/>
                <w:sz w:val="18"/>
              </w:rPr>
              <w:t>654,757</w:t>
            </w:r>
          </w:p>
        </w:tc>
        <w:tc>
          <w:tcPr>
            <w:tcW w:w="1327" w:type="dxa"/>
            <w:tcBorders>
              <w:top w:val="double" w:sz="6" w:space="0" w:color="9BBA58"/>
            </w:tcBorders>
          </w:tcPr>
          <w:p>
            <w:pPr>
              <w:pStyle w:val="TableParagraph"/>
              <w:spacing w:before="41"/>
              <w:ind w:left="22"/>
              <w:jc w:val="center"/>
              <w:rPr>
                <w:b/>
                <w:sz w:val="18"/>
              </w:rPr>
            </w:pPr>
            <w:r>
              <w:rPr>
                <w:b/>
                <w:spacing w:val="-2"/>
                <w:sz w:val="18"/>
              </w:rPr>
              <w:t>458,025</w:t>
            </w:r>
          </w:p>
        </w:tc>
      </w:tr>
    </w:tbl>
    <w:p>
      <w:pPr>
        <w:pStyle w:val="BodyText"/>
        <w:rPr>
          <w:rFonts w:ascii="Arial"/>
          <w:b/>
          <w:sz w:val="20"/>
        </w:rPr>
      </w:pPr>
    </w:p>
    <w:p>
      <w:pPr>
        <w:pStyle w:val="BodyText"/>
        <w:spacing w:before="2"/>
        <w:rPr>
          <w:rFonts w:ascii="Arial"/>
          <w:b/>
          <w:sz w:val="20"/>
        </w:rPr>
      </w:pPr>
      <w:r>
        <w:rPr>
          <w:rFonts w:ascii="Arial"/>
          <w:b/>
          <w:sz w:val="20"/>
        </w:rPr>
        <mc:AlternateContent>
          <mc:Choice Requires="wps">
            <w:drawing>
              <wp:anchor distT="0" distB="0" distL="0" distR="0" allowOverlap="1" layoutInCell="1" locked="0" behindDoc="1" simplePos="0" relativeHeight="487603200">
                <wp:simplePos x="0" y="0"/>
                <wp:positionH relativeFrom="page">
                  <wp:posOffset>1627632</wp:posOffset>
                </wp:positionH>
                <wp:positionV relativeFrom="paragraph">
                  <wp:posOffset>162547</wp:posOffset>
                </wp:positionV>
                <wp:extent cx="5248910" cy="1610995"/>
                <wp:effectExtent l="0" t="0" r="0" b="0"/>
                <wp:wrapTopAndBottom/>
                <wp:docPr id="158" name="Textbox 158"/>
                <wp:cNvGraphicFramePr>
                  <a:graphicFrameLocks/>
                </wp:cNvGraphicFramePr>
                <a:graphic>
                  <a:graphicData uri="http://schemas.microsoft.com/office/word/2010/wordprocessingShape">
                    <wps:wsp>
                      <wps:cNvPr id="158" name="Textbox 158"/>
                      <wps:cNvSpPr txBox="1"/>
                      <wps:spPr>
                        <a:xfrm>
                          <a:off x="0" y="0"/>
                          <a:ext cx="5248910" cy="1610995"/>
                        </a:xfrm>
                        <a:prstGeom prst="rect">
                          <a:avLst/>
                        </a:prstGeom>
                        <a:solidFill>
                          <a:srgbClr val="DFDFDF"/>
                        </a:solidFill>
                      </wps:spPr>
                      <wps:txbx>
                        <w:txbxContent>
                          <w:p>
                            <w:pPr>
                              <w:pStyle w:val="BodyText"/>
                              <w:spacing w:line="268" w:lineRule="exact"/>
                              <w:ind w:left="28"/>
                              <w:rPr>
                                <w:color w:val="000000"/>
                              </w:rPr>
                            </w:pPr>
                            <w:r>
                              <w:rPr>
                                <w:color w:val="000000"/>
                              </w:rPr>
                              <w:t>FOCUS</w:t>
                            </w:r>
                            <w:r>
                              <w:rPr>
                                <w:color w:val="000000"/>
                                <w:spacing w:val="-4"/>
                              </w:rPr>
                              <w:t> </w:t>
                            </w:r>
                            <w:r>
                              <w:rPr>
                                <w:color w:val="000000"/>
                              </w:rPr>
                              <w:t>AND</w:t>
                            </w:r>
                            <w:r>
                              <w:rPr>
                                <w:color w:val="000000"/>
                                <w:spacing w:val="-4"/>
                              </w:rPr>
                              <w:t> </w:t>
                            </w:r>
                            <w:r>
                              <w:rPr>
                                <w:color w:val="000000"/>
                              </w:rPr>
                              <w:t>PRIORITY</w:t>
                            </w:r>
                            <w:r>
                              <w:rPr>
                                <w:color w:val="000000"/>
                                <w:spacing w:val="-4"/>
                              </w:rPr>
                              <w:t> </w:t>
                            </w:r>
                            <w:r>
                              <w:rPr>
                                <w:color w:val="000000"/>
                                <w:spacing w:val="-2"/>
                              </w:rPr>
                              <w:t>WATERSHEDS</w:t>
                            </w:r>
                          </w:p>
                          <w:p>
                            <w:pPr>
                              <w:pStyle w:val="BodyText"/>
                              <w:spacing w:before="118"/>
                              <w:ind w:left="28" w:right="120"/>
                              <w:rPr>
                                <w:color w:val="000000"/>
                              </w:rPr>
                            </w:pPr>
                            <w:r>
                              <w:rPr>
                                <w:color w:val="000000"/>
                              </w:rPr>
                              <w:t>Watershed, riparian, and aquatic habitat restoration has been a priority in Region 6 for many years. The region recognized that the most efficient and effective way to improve watershed conditions and riparian and aquatic habitat would be to work with partners to target restoration efforts in specific watersheds, identify restoration needs, and focus restoration efforts on the factors degrading watershed, riparian and aquatic habitat conditions within the identified watersheds that were technically feasible and socially acceptable</w:t>
                            </w:r>
                            <w:r>
                              <w:rPr>
                                <w:color w:val="000000"/>
                                <w:spacing w:val="-4"/>
                              </w:rPr>
                              <w:t> </w:t>
                            </w:r>
                            <w:r>
                              <w:rPr>
                                <w:color w:val="000000"/>
                              </w:rPr>
                              <w:t>before</w:t>
                            </w:r>
                            <w:r>
                              <w:rPr>
                                <w:color w:val="000000"/>
                                <w:spacing w:val="-4"/>
                              </w:rPr>
                              <w:t> </w:t>
                            </w:r>
                            <w:r>
                              <w:rPr>
                                <w:color w:val="000000"/>
                              </w:rPr>
                              <w:t>moving</w:t>
                            </w:r>
                            <w:r>
                              <w:rPr>
                                <w:color w:val="000000"/>
                                <w:spacing w:val="-3"/>
                              </w:rPr>
                              <w:t> </w:t>
                            </w:r>
                            <w:r>
                              <w:rPr>
                                <w:color w:val="000000"/>
                              </w:rPr>
                              <w:t>to</w:t>
                            </w:r>
                            <w:r>
                              <w:rPr>
                                <w:color w:val="000000"/>
                                <w:spacing w:val="-1"/>
                              </w:rPr>
                              <w:t> </w:t>
                            </w:r>
                            <w:r>
                              <w:rPr>
                                <w:color w:val="000000"/>
                              </w:rPr>
                              <w:t>restore</w:t>
                            </w:r>
                            <w:r>
                              <w:rPr>
                                <w:color w:val="000000"/>
                                <w:spacing w:val="-4"/>
                              </w:rPr>
                              <w:t> </w:t>
                            </w:r>
                            <w:r>
                              <w:rPr>
                                <w:color w:val="000000"/>
                              </w:rPr>
                              <w:t>other</w:t>
                            </w:r>
                            <w:r>
                              <w:rPr>
                                <w:color w:val="000000"/>
                                <w:spacing w:val="-4"/>
                              </w:rPr>
                              <w:t> </w:t>
                            </w:r>
                            <w:r>
                              <w:rPr>
                                <w:color w:val="000000"/>
                              </w:rPr>
                              <w:t>watersheds.</w:t>
                            </w:r>
                            <w:r>
                              <w:rPr>
                                <w:color w:val="000000"/>
                                <w:spacing w:val="-2"/>
                              </w:rPr>
                              <w:t> </w:t>
                            </w:r>
                            <w:r>
                              <w:rPr>
                                <w:color w:val="000000"/>
                              </w:rPr>
                              <w:t>To</w:t>
                            </w:r>
                            <w:r>
                              <w:rPr>
                                <w:color w:val="000000"/>
                                <w:spacing w:val="-3"/>
                              </w:rPr>
                              <w:t> </w:t>
                            </w:r>
                            <w:r>
                              <w:rPr>
                                <w:color w:val="000000"/>
                              </w:rPr>
                              <w:t>that</w:t>
                            </w:r>
                            <w:r>
                              <w:rPr>
                                <w:color w:val="000000"/>
                                <w:spacing w:val="-4"/>
                              </w:rPr>
                              <w:t> </w:t>
                            </w:r>
                            <w:r>
                              <w:rPr>
                                <w:color w:val="000000"/>
                              </w:rPr>
                              <w:t>end,</w:t>
                            </w:r>
                            <w:r>
                              <w:rPr>
                                <w:color w:val="000000"/>
                                <w:spacing w:val="-2"/>
                              </w:rPr>
                              <w:t> </w:t>
                            </w:r>
                            <w:r>
                              <w:rPr>
                                <w:color w:val="000000"/>
                              </w:rPr>
                              <w:t>the</w:t>
                            </w:r>
                            <w:r>
                              <w:rPr>
                                <w:color w:val="000000"/>
                                <w:spacing w:val="-1"/>
                              </w:rPr>
                              <w:t> </w:t>
                            </w:r>
                            <w:r>
                              <w:rPr>
                                <w:color w:val="000000"/>
                              </w:rPr>
                              <w:t>region</w:t>
                            </w:r>
                            <w:r>
                              <w:rPr>
                                <w:color w:val="000000"/>
                                <w:spacing w:val="-3"/>
                              </w:rPr>
                              <w:t> </w:t>
                            </w:r>
                            <w:r>
                              <w:rPr>
                                <w:color w:val="000000"/>
                              </w:rPr>
                              <w:t>developed the Region 6 Aquatic Restoration Strategy in 2005. The Aquatic Restoration Strategy was</w:t>
                            </w:r>
                          </w:p>
                        </w:txbxContent>
                      </wps:txbx>
                      <wps:bodyPr wrap="square" lIns="0" tIns="0" rIns="0" bIns="0" rtlCol="0">
                        <a:noAutofit/>
                      </wps:bodyPr>
                    </wps:wsp>
                  </a:graphicData>
                </a:graphic>
              </wp:anchor>
            </w:drawing>
          </mc:Choice>
          <mc:Fallback>
            <w:pict>
              <v:shape style="position:absolute;margin-left:128.160004pt;margin-top:12.799024pt;width:413.3pt;height:126.85pt;mso-position-horizontal-relative:page;mso-position-vertical-relative:paragraph;z-index:-15713280;mso-wrap-distance-left:0;mso-wrap-distance-right:0" type="#_x0000_t202" id="docshape148" filled="true" fillcolor="#dfdfdf" stroked="false">
                <v:textbox inset="0,0,0,0">
                  <w:txbxContent>
                    <w:p>
                      <w:pPr>
                        <w:pStyle w:val="BodyText"/>
                        <w:spacing w:line="268" w:lineRule="exact"/>
                        <w:ind w:left="28"/>
                        <w:rPr>
                          <w:color w:val="000000"/>
                        </w:rPr>
                      </w:pPr>
                      <w:r>
                        <w:rPr>
                          <w:color w:val="000000"/>
                        </w:rPr>
                        <w:t>FOCUS</w:t>
                      </w:r>
                      <w:r>
                        <w:rPr>
                          <w:color w:val="000000"/>
                          <w:spacing w:val="-4"/>
                        </w:rPr>
                        <w:t> </w:t>
                      </w:r>
                      <w:r>
                        <w:rPr>
                          <w:color w:val="000000"/>
                        </w:rPr>
                        <w:t>AND</w:t>
                      </w:r>
                      <w:r>
                        <w:rPr>
                          <w:color w:val="000000"/>
                          <w:spacing w:val="-4"/>
                        </w:rPr>
                        <w:t> </w:t>
                      </w:r>
                      <w:r>
                        <w:rPr>
                          <w:color w:val="000000"/>
                        </w:rPr>
                        <w:t>PRIORITY</w:t>
                      </w:r>
                      <w:r>
                        <w:rPr>
                          <w:color w:val="000000"/>
                          <w:spacing w:val="-4"/>
                        </w:rPr>
                        <w:t> </w:t>
                      </w:r>
                      <w:r>
                        <w:rPr>
                          <w:color w:val="000000"/>
                          <w:spacing w:val="-2"/>
                        </w:rPr>
                        <w:t>WATERSHEDS</w:t>
                      </w:r>
                    </w:p>
                    <w:p>
                      <w:pPr>
                        <w:pStyle w:val="BodyText"/>
                        <w:spacing w:before="118"/>
                        <w:ind w:left="28" w:right="120"/>
                        <w:rPr>
                          <w:color w:val="000000"/>
                        </w:rPr>
                      </w:pPr>
                      <w:r>
                        <w:rPr>
                          <w:color w:val="000000"/>
                        </w:rPr>
                        <w:t>Watershed, riparian, and aquatic habitat restoration has been a priority in Region 6 for many years. The region recognized that the most efficient and effective way to improve watershed conditions and riparian and aquatic habitat would be to work with partners to target restoration efforts in specific watersheds, identify restoration needs, and focus restoration efforts on the factors degrading watershed, riparian and aquatic habitat conditions within the identified watersheds that were technically feasible and socially acceptable</w:t>
                      </w:r>
                      <w:r>
                        <w:rPr>
                          <w:color w:val="000000"/>
                          <w:spacing w:val="-4"/>
                        </w:rPr>
                        <w:t> </w:t>
                      </w:r>
                      <w:r>
                        <w:rPr>
                          <w:color w:val="000000"/>
                        </w:rPr>
                        <w:t>before</w:t>
                      </w:r>
                      <w:r>
                        <w:rPr>
                          <w:color w:val="000000"/>
                          <w:spacing w:val="-4"/>
                        </w:rPr>
                        <w:t> </w:t>
                      </w:r>
                      <w:r>
                        <w:rPr>
                          <w:color w:val="000000"/>
                        </w:rPr>
                        <w:t>moving</w:t>
                      </w:r>
                      <w:r>
                        <w:rPr>
                          <w:color w:val="000000"/>
                          <w:spacing w:val="-3"/>
                        </w:rPr>
                        <w:t> </w:t>
                      </w:r>
                      <w:r>
                        <w:rPr>
                          <w:color w:val="000000"/>
                        </w:rPr>
                        <w:t>to</w:t>
                      </w:r>
                      <w:r>
                        <w:rPr>
                          <w:color w:val="000000"/>
                          <w:spacing w:val="-1"/>
                        </w:rPr>
                        <w:t> </w:t>
                      </w:r>
                      <w:r>
                        <w:rPr>
                          <w:color w:val="000000"/>
                        </w:rPr>
                        <w:t>restore</w:t>
                      </w:r>
                      <w:r>
                        <w:rPr>
                          <w:color w:val="000000"/>
                          <w:spacing w:val="-4"/>
                        </w:rPr>
                        <w:t> </w:t>
                      </w:r>
                      <w:r>
                        <w:rPr>
                          <w:color w:val="000000"/>
                        </w:rPr>
                        <w:t>other</w:t>
                      </w:r>
                      <w:r>
                        <w:rPr>
                          <w:color w:val="000000"/>
                          <w:spacing w:val="-4"/>
                        </w:rPr>
                        <w:t> </w:t>
                      </w:r>
                      <w:r>
                        <w:rPr>
                          <w:color w:val="000000"/>
                        </w:rPr>
                        <w:t>watersheds.</w:t>
                      </w:r>
                      <w:r>
                        <w:rPr>
                          <w:color w:val="000000"/>
                          <w:spacing w:val="-2"/>
                        </w:rPr>
                        <w:t> </w:t>
                      </w:r>
                      <w:r>
                        <w:rPr>
                          <w:color w:val="000000"/>
                        </w:rPr>
                        <w:t>To</w:t>
                      </w:r>
                      <w:r>
                        <w:rPr>
                          <w:color w:val="000000"/>
                          <w:spacing w:val="-3"/>
                        </w:rPr>
                        <w:t> </w:t>
                      </w:r>
                      <w:r>
                        <w:rPr>
                          <w:color w:val="000000"/>
                        </w:rPr>
                        <w:t>that</w:t>
                      </w:r>
                      <w:r>
                        <w:rPr>
                          <w:color w:val="000000"/>
                          <w:spacing w:val="-4"/>
                        </w:rPr>
                        <w:t> </w:t>
                      </w:r>
                      <w:r>
                        <w:rPr>
                          <w:color w:val="000000"/>
                        </w:rPr>
                        <w:t>end,</w:t>
                      </w:r>
                      <w:r>
                        <w:rPr>
                          <w:color w:val="000000"/>
                          <w:spacing w:val="-2"/>
                        </w:rPr>
                        <w:t> </w:t>
                      </w:r>
                      <w:r>
                        <w:rPr>
                          <w:color w:val="000000"/>
                        </w:rPr>
                        <w:t>the</w:t>
                      </w:r>
                      <w:r>
                        <w:rPr>
                          <w:color w:val="000000"/>
                          <w:spacing w:val="-1"/>
                        </w:rPr>
                        <w:t> </w:t>
                      </w:r>
                      <w:r>
                        <w:rPr>
                          <w:color w:val="000000"/>
                        </w:rPr>
                        <w:t>region</w:t>
                      </w:r>
                      <w:r>
                        <w:rPr>
                          <w:color w:val="000000"/>
                          <w:spacing w:val="-3"/>
                        </w:rPr>
                        <w:t> </w:t>
                      </w:r>
                      <w:r>
                        <w:rPr>
                          <w:color w:val="000000"/>
                        </w:rPr>
                        <w:t>developed the Region 6 Aquatic Restoration Strategy in 2005. The Aquatic Restoration Strategy was</w:t>
                      </w:r>
                    </w:p>
                  </w:txbxContent>
                </v:textbox>
                <v:fill type="solid"/>
                <w10:wrap type="topAndBottom"/>
              </v:shape>
            </w:pict>
          </mc:Fallback>
        </mc:AlternateContent>
      </w:r>
    </w:p>
    <w:p>
      <w:pPr>
        <w:pStyle w:val="BodyText"/>
        <w:spacing w:after="0"/>
        <w:rPr>
          <w:rFonts w:ascii="Arial"/>
          <w:b/>
          <w:sz w:val="20"/>
        </w:rPr>
        <w:sectPr>
          <w:pgSz w:w="12240" w:h="15840"/>
          <w:pgMar w:header="725" w:footer="891" w:top="960" w:bottom="1080" w:left="1080" w:right="720"/>
        </w:sectPr>
      </w:pPr>
    </w:p>
    <w:p>
      <w:pPr>
        <w:pStyle w:val="BodyText"/>
        <w:spacing w:before="221"/>
        <w:rPr>
          <w:rFonts w:ascii="Arial"/>
          <w:b/>
        </w:rPr>
      </w:pPr>
    </w:p>
    <w:p>
      <w:pPr>
        <w:pStyle w:val="BodyText"/>
        <w:ind w:left="720" w:right="1073"/>
      </w:pPr>
      <w:r>
        <w:rPr/>
        <mc:AlternateContent>
          <mc:Choice Requires="wps">
            <w:drawing>
              <wp:anchor distT="0" distB="0" distL="0" distR="0" allowOverlap="1" layoutInCell="1" locked="0" behindDoc="1" simplePos="0" relativeHeight="474260992">
                <wp:simplePos x="0" y="0"/>
                <wp:positionH relativeFrom="page">
                  <wp:posOffset>1124712</wp:posOffset>
                </wp:positionH>
                <wp:positionV relativeFrom="paragraph">
                  <wp:posOffset>775</wp:posOffset>
                </wp:positionV>
                <wp:extent cx="5248910" cy="6918959"/>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5248910" cy="6918959"/>
                        </a:xfrm>
                        <a:custGeom>
                          <a:avLst/>
                          <a:gdLst/>
                          <a:ahLst/>
                          <a:cxnLst/>
                          <a:rect l="l" t="t" r="r" b="b"/>
                          <a:pathLst>
                            <a:path w="5248910" h="6918959">
                              <a:moveTo>
                                <a:pt x="5248656" y="6501397"/>
                              </a:moveTo>
                              <a:lnTo>
                                <a:pt x="0" y="6501397"/>
                              </a:lnTo>
                              <a:lnTo>
                                <a:pt x="0" y="6672072"/>
                              </a:lnTo>
                              <a:lnTo>
                                <a:pt x="0" y="6918960"/>
                              </a:lnTo>
                              <a:lnTo>
                                <a:pt x="5248656" y="6918960"/>
                              </a:lnTo>
                              <a:lnTo>
                                <a:pt x="5248656" y="6672072"/>
                              </a:lnTo>
                              <a:lnTo>
                                <a:pt x="5248656" y="6501397"/>
                              </a:lnTo>
                              <a:close/>
                            </a:path>
                            <a:path w="5248910" h="6918959">
                              <a:moveTo>
                                <a:pt x="5248656" y="0"/>
                              </a:moveTo>
                              <a:lnTo>
                                <a:pt x="0" y="0"/>
                              </a:lnTo>
                              <a:lnTo>
                                <a:pt x="0" y="170688"/>
                              </a:lnTo>
                              <a:lnTo>
                                <a:pt x="0" y="417576"/>
                              </a:lnTo>
                              <a:lnTo>
                                <a:pt x="0" y="6501384"/>
                              </a:lnTo>
                              <a:lnTo>
                                <a:pt x="5248656" y="6501384"/>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06104pt;width:413.3pt;height:544.8pt;mso-position-horizontal-relative:page;mso-position-vertical-relative:paragraph;z-index:-29055488" id="docshape149" coordorigin="1771,1" coordsize="8266,10896" path="m10037,10240l1771,10240,1771,10508,1771,10897,10037,10897,10037,10508,10037,10240xm10037,1l1771,1,1771,270,1771,659,1771,928,1771,1196,1771,1463,1771,1732,1771,2120,1771,2389,1771,2658,1771,2927,1771,3196,1771,3464,1771,3733,1771,4002,1771,4388,1771,4777,1771,5046,1771,5315,1771,5584,1771,5852,1771,6121,1771,6510,1771,6779,1771,7048,1771,7314,1771,7583,1771,7852,1771,8120,1771,8509,1771,8778,1771,9167,1771,9436,1771,9704,1771,9973,1771,10240,10037,10240,10037,9973,10037,9704,10037,9436,10037,9167,10037,8778,10037,8509,10037,8120,10037,7852,10037,7583,10037,7314,10037,7048,10037,6779,10037,6510,10037,6121,10037,5852,10037,5584,10037,5315,10037,5046,10037,4777,10037,4388,10037,4002,10037,3733,10037,3464,10037,3196,10037,2927,10037,2658,10037,2389,10037,2120,10037,1732,10037,1463,10037,1196,10037,928,10037,659,10037,270,10037,1xe" filled="true" fillcolor="#dfdfdf" stroked="false">
                <v:path arrowok="t"/>
                <v:fill type="solid"/>
                <w10:wrap type="none"/>
              </v:shape>
            </w:pict>
          </mc:Fallback>
        </mc:AlternateContent>
      </w:r>
      <w:r>
        <w:rPr/>
        <w:t>developed</w:t>
      </w:r>
      <w:r>
        <w:rPr>
          <w:spacing w:val="-4"/>
        </w:rPr>
        <w:t> </w:t>
      </w:r>
      <w:r>
        <w:rPr/>
        <w:t>to</w:t>
      </w:r>
      <w:r>
        <w:rPr>
          <w:spacing w:val="-2"/>
        </w:rPr>
        <w:t> </w:t>
      </w:r>
      <w:r>
        <w:rPr/>
        <w:t>provide</w:t>
      </w:r>
      <w:r>
        <w:rPr>
          <w:spacing w:val="-2"/>
        </w:rPr>
        <w:t> </w:t>
      </w:r>
      <w:r>
        <w:rPr/>
        <w:t>guidance</w:t>
      </w:r>
      <w:r>
        <w:rPr>
          <w:spacing w:val="-2"/>
        </w:rPr>
        <w:t> </w:t>
      </w:r>
      <w:r>
        <w:rPr/>
        <w:t>for</w:t>
      </w:r>
      <w:r>
        <w:rPr>
          <w:spacing w:val="-5"/>
        </w:rPr>
        <w:t> </w:t>
      </w:r>
      <w:r>
        <w:rPr/>
        <w:t>watershed,</w:t>
      </w:r>
      <w:r>
        <w:rPr>
          <w:spacing w:val="-5"/>
        </w:rPr>
        <w:t> </w:t>
      </w:r>
      <w:r>
        <w:rPr/>
        <w:t>riparian,</w:t>
      </w:r>
      <w:r>
        <w:rPr>
          <w:spacing w:val="-3"/>
        </w:rPr>
        <w:t> </w:t>
      </w:r>
      <w:r>
        <w:rPr/>
        <w:t>and</w:t>
      </w:r>
      <w:r>
        <w:rPr>
          <w:spacing w:val="-4"/>
        </w:rPr>
        <w:t> </w:t>
      </w:r>
      <w:r>
        <w:rPr/>
        <w:t>aquatic</w:t>
      </w:r>
      <w:r>
        <w:rPr>
          <w:spacing w:val="-3"/>
        </w:rPr>
        <w:t> </w:t>
      </w:r>
      <w:r>
        <w:rPr/>
        <w:t>habitat</w:t>
      </w:r>
      <w:r>
        <w:rPr>
          <w:spacing w:val="-5"/>
        </w:rPr>
        <w:t> </w:t>
      </w:r>
      <w:r>
        <w:rPr/>
        <w:t>restoration</w:t>
      </w:r>
      <w:r>
        <w:rPr>
          <w:spacing w:val="-3"/>
        </w:rPr>
        <w:t> </w:t>
      </w:r>
      <w:r>
        <w:rPr/>
        <w:t>at</w:t>
      </w:r>
      <w:r>
        <w:rPr>
          <w:spacing w:val="-5"/>
        </w:rPr>
        <w:t> </w:t>
      </w:r>
      <w:r>
        <w:rPr/>
        <w:t>a regional scale using both passive and active restoration.</w:t>
      </w:r>
      <w:r>
        <w:rPr>
          <w:spacing w:val="-22"/>
        </w:rPr>
        <w:t> </w:t>
      </w:r>
      <w:hyperlink w:history="true" w:anchor="_bookmark92">
        <w:r>
          <w:rPr>
            <w:vertAlign w:val="superscript"/>
          </w:rPr>
          <w:t>10</w:t>
        </w:r>
      </w:hyperlink>
    </w:p>
    <w:p>
      <w:pPr>
        <w:pStyle w:val="BodyText"/>
        <w:spacing w:before="121"/>
        <w:ind w:left="720" w:right="1567"/>
      </w:pPr>
      <w:r>
        <w:rPr/>
        <w:t>Through implementation of the Aquatic Restoration Strategy, the region prioritized basins for active restoration. Forests identified focus watersheds at the 5th field watershed scale to</w:t>
      </w:r>
      <w:r>
        <w:rPr>
          <w:spacing w:val="-2"/>
        </w:rPr>
        <w:t> </w:t>
      </w:r>
      <w:r>
        <w:rPr/>
        <w:t>be</w:t>
      </w:r>
      <w:r>
        <w:rPr>
          <w:spacing w:val="-5"/>
        </w:rPr>
        <w:t> </w:t>
      </w:r>
      <w:r>
        <w:rPr/>
        <w:t>priorities</w:t>
      </w:r>
      <w:r>
        <w:rPr>
          <w:spacing w:val="-3"/>
        </w:rPr>
        <w:t> </w:t>
      </w:r>
      <w:r>
        <w:rPr/>
        <w:t>for</w:t>
      </w:r>
      <w:r>
        <w:rPr>
          <w:spacing w:val="-3"/>
        </w:rPr>
        <w:t> </w:t>
      </w:r>
      <w:r>
        <w:rPr/>
        <w:t>active</w:t>
      </w:r>
      <w:r>
        <w:rPr>
          <w:spacing w:val="-5"/>
        </w:rPr>
        <w:t> </w:t>
      </w:r>
      <w:r>
        <w:rPr/>
        <w:t>watershed,</w:t>
      </w:r>
      <w:r>
        <w:rPr>
          <w:spacing w:val="-3"/>
        </w:rPr>
        <w:t> </w:t>
      </w:r>
      <w:r>
        <w:rPr/>
        <w:t>riparian,</w:t>
      </w:r>
      <w:r>
        <w:rPr>
          <w:spacing w:val="-5"/>
        </w:rPr>
        <w:t> </w:t>
      </w:r>
      <w:r>
        <w:rPr/>
        <w:t>and</w:t>
      </w:r>
      <w:r>
        <w:rPr>
          <w:spacing w:val="-4"/>
        </w:rPr>
        <w:t> </w:t>
      </w:r>
      <w:r>
        <w:rPr/>
        <w:t>aquatic</w:t>
      </w:r>
      <w:r>
        <w:rPr>
          <w:spacing w:val="-3"/>
        </w:rPr>
        <w:t> </w:t>
      </w:r>
      <w:r>
        <w:rPr/>
        <w:t>restoration.</w:t>
      </w:r>
      <w:r>
        <w:rPr>
          <w:spacing w:val="-6"/>
        </w:rPr>
        <w:t> </w:t>
      </w:r>
      <w:r>
        <w:rPr/>
        <w:t>The</w:t>
      </w:r>
      <w:r>
        <w:rPr>
          <w:spacing w:val="-2"/>
        </w:rPr>
        <w:t> </w:t>
      </w:r>
      <w:r>
        <w:rPr/>
        <w:t>Colville</w:t>
      </w:r>
      <w:r>
        <w:rPr>
          <w:spacing w:val="-2"/>
        </w:rPr>
        <w:t> </w:t>
      </w:r>
      <w:r>
        <w:rPr/>
        <w:t>National Forest identified three focus watersheds: Le Clerc-Pend Oreille River, Upper San Poil and Chewelah Creek-Colville River.</w:t>
      </w:r>
    </w:p>
    <w:p>
      <w:pPr>
        <w:pStyle w:val="BodyText"/>
        <w:spacing w:before="119"/>
        <w:ind w:left="720" w:right="1445"/>
      </w:pPr>
      <w:r>
        <w:rPr/>
        <w:t>In 2010, the national forests throughout the United States were mandated to assess the current</w:t>
      </w:r>
      <w:r>
        <w:rPr>
          <w:spacing w:val="-3"/>
        </w:rPr>
        <w:t> </w:t>
      </w:r>
      <w:r>
        <w:rPr/>
        <w:t>condition</w:t>
      </w:r>
      <w:r>
        <w:rPr>
          <w:spacing w:val="-6"/>
        </w:rPr>
        <w:t> </w:t>
      </w:r>
      <w:r>
        <w:rPr/>
        <w:t>of</w:t>
      </w:r>
      <w:r>
        <w:rPr>
          <w:spacing w:val="-4"/>
        </w:rPr>
        <w:t> </w:t>
      </w:r>
      <w:r>
        <w:rPr/>
        <w:t>NFS</w:t>
      </w:r>
      <w:r>
        <w:rPr>
          <w:spacing w:val="-6"/>
        </w:rPr>
        <w:t> </w:t>
      </w:r>
      <w:r>
        <w:rPr/>
        <w:t>watersheds</w:t>
      </w:r>
      <w:r>
        <w:rPr>
          <w:spacing w:val="-4"/>
        </w:rPr>
        <w:t> </w:t>
      </w:r>
      <w:r>
        <w:rPr/>
        <w:t>utilizing</w:t>
      </w:r>
      <w:r>
        <w:rPr>
          <w:spacing w:val="-4"/>
        </w:rPr>
        <w:t> </w:t>
      </w:r>
      <w:r>
        <w:rPr/>
        <w:t>the</w:t>
      </w:r>
      <w:r>
        <w:rPr>
          <w:spacing w:val="-3"/>
        </w:rPr>
        <w:t> </w:t>
      </w:r>
      <w:r>
        <w:rPr/>
        <w:t>Watershed</w:t>
      </w:r>
      <w:r>
        <w:rPr>
          <w:spacing w:val="-4"/>
        </w:rPr>
        <w:t> </w:t>
      </w:r>
      <w:r>
        <w:rPr/>
        <w:t>Condition</w:t>
      </w:r>
      <w:r>
        <w:rPr>
          <w:spacing w:val="-4"/>
        </w:rPr>
        <w:t> </w:t>
      </w:r>
      <w:r>
        <w:rPr/>
        <w:t>Framework</w:t>
      </w:r>
      <w:r>
        <w:rPr>
          <w:spacing w:val="-3"/>
        </w:rPr>
        <w:t> </w:t>
      </w:r>
      <w:r>
        <w:rPr/>
        <w:t>(WCF). The results of the WCF were used to identify priority subwatersheds where focused management over a 5- to 10-year period would improve impaired watershed condition.</w:t>
      </w:r>
    </w:p>
    <w:p>
      <w:pPr>
        <w:pStyle w:val="BodyText"/>
        <w:spacing w:before="1"/>
        <w:ind w:left="720" w:right="1621"/>
      </w:pPr>
      <w:r>
        <w:rPr/>
        <w:t>The Colville</w:t>
      </w:r>
      <w:r>
        <w:rPr>
          <w:spacing w:val="-2"/>
        </w:rPr>
        <w:t> </w:t>
      </w:r>
      <w:r>
        <w:rPr/>
        <w:t>identified</w:t>
      </w:r>
      <w:r>
        <w:rPr>
          <w:spacing w:val="-3"/>
        </w:rPr>
        <w:t> </w:t>
      </w:r>
      <w:r>
        <w:rPr/>
        <w:t>three priority subwatersheds through</w:t>
      </w:r>
      <w:r>
        <w:rPr>
          <w:spacing w:val="-1"/>
        </w:rPr>
        <w:t> </w:t>
      </w:r>
      <w:r>
        <w:rPr/>
        <w:t>this process; the West Branch Le Clerc Creek, East Branch Le Clerc Creek, and Ninemile Creek. Once essential projects in existing</w:t>
      </w:r>
      <w:r>
        <w:rPr>
          <w:spacing w:val="-5"/>
        </w:rPr>
        <w:t> </w:t>
      </w:r>
      <w:r>
        <w:rPr/>
        <w:t>subwatersheds</w:t>
      </w:r>
      <w:r>
        <w:rPr>
          <w:spacing w:val="-6"/>
        </w:rPr>
        <w:t> </w:t>
      </w:r>
      <w:r>
        <w:rPr/>
        <w:t>are</w:t>
      </w:r>
      <w:r>
        <w:rPr>
          <w:spacing w:val="-6"/>
        </w:rPr>
        <w:t> </w:t>
      </w:r>
      <w:r>
        <w:rPr/>
        <w:t>completed,</w:t>
      </w:r>
      <w:r>
        <w:rPr>
          <w:spacing w:val="-4"/>
        </w:rPr>
        <w:t> </w:t>
      </w:r>
      <w:r>
        <w:rPr/>
        <w:t>additional</w:t>
      </w:r>
      <w:r>
        <w:rPr>
          <w:spacing w:val="-4"/>
        </w:rPr>
        <w:t> </w:t>
      </w:r>
      <w:r>
        <w:rPr/>
        <w:t>priority</w:t>
      </w:r>
      <w:r>
        <w:rPr>
          <w:spacing w:val="-3"/>
        </w:rPr>
        <w:t> </w:t>
      </w:r>
      <w:r>
        <w:rPr/>
        <w:t>subwatersheds</w:t>
      </w:r>
      <w:r>
        <w:rPr>
          <w:spacing w:val="-4"/>
        </w:rPr>
        <w:t> </w:t>
      </w:r>
      <w:r>
        <w:rPr/>
        <w:t>will</w:t>
      </w:r>
      <w:r>
        <w:rPr>
          <w:spacing w:val="-4"/>
        </w:rPr>
        <w:t> </w:t>
      </w:r>
      <w:r>
        <w:rPr/>
        <w:t>be</w:t>
      </w:r>
      <w:r>
        <w:rPr>
          <w:spacing w:val="-3"/>
        </w:rPr>
        <w:t> </w:t>
      </w:r>
      <w:r>
        <w:rPr/>
        <w:t>identified through the WCF process.</w:t>
      </w:r>
    </w:p>
    <w:p>
      <w:pPr>
        <w:pStyle w:val="BodyText"/>
        <w:spacing w:before="118"/>
        <w:ind w:left="720"/>
      </w:pPr>
      <w:r>
        <w:rPr/>
        <w:t>WATERSHED</w:t>
      </w:r>
      <w:r>
        <w:rPr>
          <w:spacing w:val="-5"/>
        </w:rPr>
        <w:t> </w:t>
      </w:r>
      <w:r>
        <w:rPr>
          <w:spacing w:val="-2"/>
        </w:rPr>
        <w:t>CONDITION</w:t>
      </w:r>
    </w:p>
    <w:p>
      <w:pPr>
        <w:pStyle w:val="BodyText"/>
        <w:spacing w:before="120"/>
        <w:ind w:left="720" w:right="1567"/>
      </w:pPr>
      <w:r>
        <w:rPr/>
        <w:t>Measurement of improvement in watershed condition in this Forest Plan revision is through</w:t>
      </w:r>
      <w:r>
        <w:rPr>
          <w:spacing w:val="-3"/>
        </w:rPr>
        <w:t> </w:t>
      </w:r>
      <w:r>
        <w:rPr/>
        <w:t>improvement</w:t>
      </w:r>
      <w:r>
        <w:rPr>
          <w:spacing w:val="-1"/>
        </w:rPr>
        <w:t> </w:t>
      </w:r>
      <w:r>
        <w:rPr/>
        <w:t>in</w:t>
      </w:r>
      <w:r>
        <w:rPr>
          <w:spacing w:val="-5"/>
        </w:rPr>
        <w:t> </w:t>
      </w:r>
      <w:r>
        <w:rPr/>
        <w:t>watershed</w:t>
      </w:r>
      <w:r>
        <w:rPr>
          <w:spacing w:val="-5"/>
        </w:rPr>
        <w:t> </w:t>
      </w:r>
      <w:r>
        <w:rPr/>
        <w:t>condition</w:t>
      </w:r>
      <w:r>
        <w:rPr>
          <w:spacing w:val="-3"/>
        </w:rPr>
        <w:t> </w:t>
      </w:r>
      <w:r>
        <w:rPr/>
        <w:t>class</w:t>
      </w:r>
      <w:r>
        <w:rPr>
          <w:spacing w:val="-4"/>
        </w:rPr>
        <w:t> </w:t>
      </w:r>
      <w:r>
        <w:rPr/>
        <w:t>measured</w:t>
      </w:r>
      <w:r>
        <w:rPr>
          <w:spacing w:val="-3"/>
        </w:rPr>
        <w:t> </w:t>
      </w:r>
      <w:r>
        <w:rPr/>
        <w:t>through</w:t>
      </w:r>
      <w:r>
        <w:rPr>
          <w:spacing w:val="-3"/>
        </w:rPr>
        <w:t> </w:t>
      </w:r>
      <w:r>
        <w:rPr/>
        <w:t>the</w:t>
      </w:r>
      <w:r>
        <w:rPr>
          <w:spacing w:val="-4"/>
        </w:rPr>
        <w:t> </w:t>
      </w:r>
      <w:r>
        <w:rPr/>
        <w:t>WCF</w:t>
      </w:r>
      <w:r>
        <w:rPr>
          <w:spacing w:val="-5"/>
        </w:rPr>
        <w:t> </w:t>
      </w:r>
      <w:r>
        <w:rPr/>
        <w:t>procedure. The WCF process identified current conditions of subwatersheds on NFS lands. The results of the assessment were used to identify priority subwatersheds where focused management over a 5- to 10-year period could improve constituent elements that impair watershed function.</w:t>
      </w:r>
    </w:p>
    <w:p>
      <w:pPr>
        <w:pStyle w:val="BodyText"/>
        <w:spacing w:before="122"/>
        <w:ind w:left="720" w:right="1567"/>
      </w:pPr>
      <w:r>
        <w:rPr/>
        <w:t>Subwatersheds</w:t>
      </w:r>
      <w:r>
        <w:rPr>
          <w:spacing w:val="-5"/>
        </w:rPr>
        <w:t> </w:t>
      </w:r>
      <w:r>
        <w:rPr/>
        <w:t>are</w:t>
      </w:r>
      <w:r>
        <w:rPr>
          <w:spacing w:val="-2"/>
        </w:rPr>
        <w:t> </w:t>
      </w:r>
      <w:r>
        <w:rPr/>
        <w:t>classified</w:t>
      </w:r>
      <w:r>
        <w:rPr>
          <w:spacing w:val="-4"/>
        </w:rPr>
        <w:t> </w:t>
      </w:r>
      <w:r>
        <w:rPr/>
        <w:t>by</w:t>
      </w:r>
      <w:r>
        <w:rPr>
          <w:spacing w:val="-4"/>
        </w:rPr>
        <w:t> </w:t>
      </w:r>
      <w:r>
        <w:rPr/>
        <w:t>WCF</w:t>
      </w:r>
      <w:r>
        <w:rPr>
          <w:spacing w:val="-4"/>
        </w:rPr>
        <w:t> </w:t>
      </w:r>
      <w:r>
        <w:rPr/>
        <w:t>based</w:t>
      </w:r>
      <w:r>
        <w:rPr>
          <w:spacing w:val="-6"/>
        </w:rPr>
        <w:t> </w:t>
      </w:r>
      <w:r>
        <w:rPr/>
        <w:t>on</w:t>
      </w:r>
      <w:r>
        <w:rPr>
          <w:spacing w:val="-4"/>
        </w:rPr>
        <w:t> </w:t>
      </w:r>
      <w:r>
        <w:rPr/>
        <w:t>geomorphic,</w:t>
      </w:r>
      <w:r>
        <w:rPr>
          <w:spacing w:val="-3"/>
        </w:rPr>
        <w:t> </w:t>
      </w:r>
      <w:r>
        <w:rPr/>
        <w:t>hydrologic,</w:t>
      </w:r>
      <w:r>
        <w:rPr>
          <w:spacing w:val="-3"/>
        </w:rPr>
        <w:t> </w:t>
      </w:r>
      <w:r>
        <w:rPr/>
        <w:t>and</w:t>
      </w:r>
      <w:r>
        <w:rPr>
          <w:spacing w:val="-4"/>
        </w:rPr>
        <w:t> </w:t>
      </w:r>
      <w:r>
        <w:rPr/>
        <w:t>biotic</w:t>
      </w:r>
      <w:r>
        <w:rPr>
          <w:spacing w:val="-3"/>
        </w:rPr>
        <w:t> </w:t>
      </w:r>
      <w:r>
        <w:rPr/>
        <w:t>integrity relative to potential natural condition, which relates to geomorphic, hydrologic, and biological watershed function. Integrity is evaluated in the context of the natural disturbance regime and geoclimatic setting and includes aquatic and terrestrial components because water quality and aquatic habitat are related to the integrity and functionality of the upland and riparian areas across the watershed (Potyondy and Geier </w:t>
      </w:r>
      <w:r>
        <w:rPr>
          <w:spacing w:val="-2"/>
        </w:rPr>
        <w:t>2010).</w:t>
      </w:r>
    </w:p>
    <w:p>
      <w:pPr>
        <w:pStyle w:val="BodyText"/>
        <w:spacing w:before="119"/>
        <w:ind w:left="720" w:right="2220"/>
      </w:pPr>
      <w:r>
        <w:rPr/>
        <w:t>Subwatersheds</w:t>
      </w:r>
      <w:r>
        <w:rPr>
          <w:spacing w:val="-5"/>
        </w:rPr>
        <w:t> </w:t>
      </w:r>
      <w:r>
        <w:rPr/>
        <w:t>on</w:t>
      </w:r>
      <w:r>
        <w:rPr>
          <w:spacing w:val="-6"/>
        </w:rPr>
        <w:t> </w:t>
      </w:r>
      <w:r>
        <w:rPr/>
        <w:t>the</w:t>
      </w:r>
      <w:r>
        <w:rPr>
          <w:spacing w:val="-2"/>
        </w:rPr>
        <w:t> </w:t>
      </w:r>
      <w:r>
        <w:rPr/>
        <w:t>Colville</w:t>
      </w:r>
      <w:r>
        <w:rPr>
          <w:spacing w:val="-2"/>
        </w:rPr>
        <w:t> </w:t>
      </w:r>
      <w:r>
        <w:rPr/>
        <w:t>National</w:t>
      </w:r>
      <w:r>
        <w:rPr>
          <w:spacing w:val="-6"/>
        </w:rPr>
        <w:t> </w:t>
      </w:r>
      <w:r>
        <w:rPr/>
        <w:t>Forest</w:t>
      </w:r>
      <w:r>
        <w:rPr>
          <w:spacing w:val="-5"/>
        </w:rPr>
        <w:t> </w:t>
      </w:r>
      <w:r>
        <w:rPr/>
        <w:t>were</w:t>
      </w:r>
      <w:r>
        <w:rPr>
          <w:spacing w:val="-5"/>
        </w:rPr>
        <w:t> </w:t>
      </w:r>
      <w:r>
        <w:rPr/>
        <w:t>classified</w:t>
      </w:r>
      <w:r>
        <w:rPr>
          <w:spacing w:val="-4"/>
        </w:rPr>
        <w:t> </w:t>
      </w:r>
      <w:r>
        <w:rPr/>
        <w:t>into</w:t>
      </w:r>
      <w:r>
        <w:rPr>
          <w:spacing w:val="-2"/>
        </w:rPr>
        <w:t> </w:t>
      </w:r>
      <w:r>
        <w:rPr/>
        <w:t>three</w:t>
      </w:r>
      <w:r>
        <w:rPr>
          <w:spacing w:val="-2"/>
        </w:rPr>
        <w:t> </w:t>
      </w:r>
      <w:r>
        <w:rPr/>
        <w:t>categories (watershed condition classes) through the WCF:</w:t>
      </w:r>
    </w:p>
    <w:p>
      <w:pPr>
        <w:pStyle w:val="ListParagraph"/>
        <w:numPr>
          <w:ilvl w:val="0"/>
          <w:numId w:val="10"/>
        </w:numPr>
        <w:tabs>
          <w:tab w:pos="1079" w:val="left" w:leader="none"/>
        </w:tabs>
        <w:spacing w:line="240" w:lineRule="auto" w:before="121" w:after="0"/>
        <w:ind w:left="720" w:right="1529" w:firstLine="0"/>
        <w:jc w:val="left"/>
        <w:rPr>
          <w:sz w:val="22"/>
        </w:rPr>
      </w:pPr>
      <w:r>
        <w:rPr>
          <w:sz w:val="22"/>
        </w:rPr>
        <w:t>Class 1: Functioning Properly—subwatersheds that exhibit high geomorphic,</w:t>
      </w:r>
      <w:r>
        <w:rPr>
          <w:spacing w:val="40"/>
          <w:sz w:val="22"/>
        </w:rPr>
        <w:t> </w:t>
      </w:r>
      <w:r>
        <w:rPr>
          <w:sz w:val="22"/>
        </w:rPr>
        <w:t>hydrologic,</w:t>
      </w:r>
      <w:r>
        <w:rPr>
          <w:spacing w:val="-4"/>
          <w:sz w:val="22"/>
        </w:rPr>
        <w:t> </w:t>
      </w:r>
      <w:r>
        <w:rPr>
          <w:sz w:val="22"/>
        </w:rPr>
        <w:t>and</w:t>
      </w:r>
      <w:r>
        <w:rPr>
          <w:spacing w:val="-5"/>
          <w:sz w:val="22"/>
        </w:rPr>
        <w:t> </w:t>
      </w:r>
      <w:r>
        <w:rPr>
          <w:sz w:val="22"/>
        </w:rPr>
        <w:t>biotic</w:t>
      </w:r>
      <w:r>
        <w:rPr>
          <w:spacing w:val="-4"/>
          <w:sz w:val="22"/>
        </w:rPr>
        <w:t> </w:t>
      </w:r>
      <w:r>
        <w:rPr>
          <w:sz w:val="22"/>
        </w:rPr>
        <w:t>integrity</w:t>
      </w:r>
      <w:r>
        <w:rPr>
          <w:spacing w:val="-3"/>
          <w:sz w:val="22"/>
        </w:rPr>
        <w:t> </w:t>
      </w:r>
      <w:r>
        <w:rPr>
          <w:sz w:val="22"/>
        </w:rPr>
        <w:t>relative</w:t>
      </w:r>
      <w:r>
        <w:rPr>
          <w:spacing w:val="-3"/>
          <w:sz w:val="22"/>
        </w:rPr>
        <w:t> </w:t>
      </w:r>
      <w:r>
        <w:rPr>
          <w:sz w:val="22"/>
        </w:rPr>
        <w:t>to</w:t>
      </w:r>
      <w:r>
        <w:rPr>
          <w:spacing w:val="-3"/>
          <w:sz w:val="22"/>
        </w:rPr>
        <w:t> </w:t>
      </w:r>
      <w:r>
        <w:rPr>
          <w:sz w:val="22"/>
        </w:rPr>
        <w:t>natural</w:t>
      </w:r>
      <w:r>
        <w:rPr>
          <w:spacing w:val="-4"/>
          <w:sz w:val="22"/>
        </w:rPr>
        <w:t> </w:t>
      </w:r>
      <w:r>
        <w:rPr>
          <w:sz w:val="22"/>
        </w:rPr>
        <w:t>potential</w:t>
      </w:r>
      <w:r>
        <w:rPr>
          <w:spacing w:val="-4"/>
          <w:sz w:val="22"/>
        </w:rPr>
        <w:t> </w:t>
      </w:r>
      <w:r>
        <w:rPr>
          <w:sz w:val="22"/>
        </w:rPr>
        <w:t>conditions.</w:t>
      </w:r>
      <w:r>
        <w:rPr>
          <w:spacing w:val="-3"/>
          <w:sz w:val="22"/>
        </w:rPr>
        <w:t> </w:t>
      </w:r>
      <w:r>
        <w:rPr>
          <w:sz w:val="22"/>
        </w:rPr>
        <w:t>High</w:t>
      </w:r>
      <w:r>
        <w:rPr>
          <w:spacing w:val="-5"/>
          <w:sz w:val="22"/>
        </w:rPr>
        <w:t> </w:t>
      </w:r>
      <w:r>
        <w:rPr>
          <w:sz w:val="22"/>
        </w:rPr>
        <w:t>integrity</w:t>
      </w:r>
      <w:r>
        <w:rPr>
          <w:spacing w:val="-5"/>
          <w:sz w:val="22"/>
        </w:rPr>
        <w:t> </w:t>
      </w:r>
      <w:r>
        <w:rPr>
          <w:sz w:val="22"/>
        </w:rPr>
        <w:t>means that the</w:t>
      </w:r>
      <w:r>
        <w:rPr>
          <w:spacing w:val="-2"/>
          <w:sz w:val="22"/>
        </w:rPr>
        <w:t> </w:t>
      </w:r>
      <w:r>
        <w:rPr>
          <w:sz w:val="22"/>
        </w:rPr>
        <w:t>watershed</w:t>
      </w:r>
      <w:r>
        <w:rPr>
          <w:spacing w:val="-1"/>
          <w:sz w:val="22"/>
        </w:rPr>
        <w:t> </w:t>
      </w:r>
      <w:r>
        <w:rPr>
          <w:sz w:val="22"/>
        </w:rPr>
        <w:t>is</w:t>
      </w:r>
      <w:r>
        <w:rPr>
          <w:spacing w:val="-2"/>
          <w:sz w:val="22"/>
        </w:rPr>
        <w:t> </w:t>
      </w:r>
      <w:r>
        <w:rPr>
          <w:sz w:val="22"/>
        </w:rPr>
        <w:t>functioning</w:t>
      </w:r>
      <w:r>
        <w:rPr>
          <w:spacing w:val="-1"/>
          <w:sz w:val="22"/>
        </w:rPr>
        <w:t> </w:t>
      </w:r>
      <w:r>
        <w:rPr>
          <w:sz w:val="22"/>
        </w:rPr>
        <w:t>similar</w:t>
      </w:r>
      <w:r>
        <w:rPr>
          <w:spacing w:val="-2"/>
          <w:sz w:val="22"/>
        </w:rPr>
        <w:t> </w:t>
      </w:r>
      <w:r>
        <w:rPr>
          <w:sz w:val="22"/>
        </w:rPr>
        <w:t>to natural</w:t>
      </w:r>
      <w:r>
        <w:rPr>
          <w:spacing w:val="-3"/>
          <w:sz w:val="22"/>
        </w:rPr>
        <w:t> </w:t>
      </w:r>
      <w:r>
        <w:rPr>
          <w:sz w:val="22"/>
        </w:rPr>
        <w:t>wildland</w:t>
      </w:r>
      <w:r>
        <w:rPr>
          <w:spacing w:val="-1"/>
          <w:sz w:val="22"/>
        </w:rPr>
        <w:t> </w:t>
      </w:r>
      <w:r>
        <w:rPr>
          <w:sz w:val="22"/>
        </w:rPr>
        <w:t>conditions</w:t>
      </w:r>
      <w:r>
        <w:rPr>
          <w:spacing w:val="-2"/>
          <w:sz w:val="22"/>
        </w:rPr>
        <w:t> </w:t>
      </w:r>
      <w:r>
        <w:rPr>
          <w:sz w:val="22"/>
        </w:rPr>
        <w:t>(Karr</w:t>
      </w:r>
      <w:r>
        <w:rPr>
          <w:spacing w:val="-2"/>
          <w:sz w:val="22"/>
        </w:rPr>
        <w:t> </w:t>
      </w:r>
      <w:r>
        <w:rPr>
          <w:sz w:val="22"/>
        </w:rPr>
        <w:t>and</w:t>
      </w:r>
      <w:r>
        <w:rPr>
          <w:spacing w:val="-3"/>
          <w:sz w:val="22"/>
        </w:rPr>
        <w:t> </w:t>
      </w:r>
      <w:r>
        <w:rPr>
          <w:sz w:val="22"/>
        </w:rPr>
        <w:t>Chu</w:t>
      </w:r>
      <w:r>
        <w:rPr>
          <w:spacing w:val="-1"/>
          <w:sz w:val="22"/>
        </w:rPr>
        <w:t> </w:t>
      </w:r>
      <w:r>
        <w:rPr>
          <w:sz w:val="22"/>
        </w:rPr>
        <w:t>1999, Lackey 2001). There are minimal adverse human impacts on natural physical or biological processes, and</w:t>
      </w:r>
      <w:r>
        <w:rPr>
          <w:spacing w:val="-1"/>
          <w:sz w:val="22"/>
        </w:rPr>
        <w:t> </w:t>
      </w:r>
      <w:r>
        <w:rPr>
          <w:sz w:val="22"/>
        </w:rPr>
        <w:t>the watershed is able to naturally recover to previous condition in</w:t>
      </w:r>
      <w:r>
        <w:rPr>
          <w:spacing w:val="-1"/>
          <w:sz w:val="22"/>
        </w:rPr>
        <w:t> </w:t>
      </w:r>
      <w:r>
        <w:rPr>
          <w:sz w:val="22"/>
        </w:rPr>
        <w:t>response to natural and human disturbance (Yount and Neimi 1990);</w:t>
      </w:r>
    </w:p>
    <w:p>
      <w:pPr>
        <w:pStyle w:val="BodyText"/>
        <w:rPr>
          <w:sz w:val="20"/>
        </w:rPr>
      </w:pPr>
    </w:p>
    <w:p>
      <w:pPr>
        <w:pStyle w:val="BodyText"/>
        <w:rPr>
          <w:sz w:val="20"/>
        </w:rPr>
      </w:pPr>
    </w:p>
    <w:p>
      <w:pPr>
        <w:pStyle w:val="BodyText"/>
        <w:spacing w:before="1"/>
        <w:rPr>
          <w:sz w:val="20"/>
        </w:rPr>
      </w:pPr>
      <w:r>
        <w:rPr>
          <w:sz w:val="20"/>
        </w:rPr>
        <mc:AlternateContent>
          <mc:Choice Requires="wps">
            <w:drawing>
              <wp:anchor distT="0" distB="0" distL="0" distR="0" allowOverlap="1" layoutInCell="1" locked="0" behindDoc="1" simplePos="0" relativeHeight="487603712">
                <wp:simplePos x="0" y="0"/>
                <wp:positionH relativeFrom="page">
                  <wp:posOffset>914400</wp:posOffset>
                </wp:positionH>
                <wp:positionV relativeFrom="paragraph">
                  <wp:posOffset>171333</wp:posOffset>
                </wp:positionV>
                <wp:extent cx="1828800" cy="7620"/>
                <wp:effectExtent l="0" t="0" r="0" b="0"/>
                <wp:wrapTopAndBottom/>
                <wp:docPr id="160" name="Graphic 160"/>
                <wp:cNvGraphicFramePr>
                  <a:graphicFrameLocks/>
                </wp:cNvGraphicFramePr>
                <a:graphic>
                  <a:graphicData uri="http://schemas.microsoft.com/office/word/2010/wordprocessingShape">
                    <wps:wsp>
                      <wps:cNvPr id="160" name="Graphic 160"/>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3.49084pt;width:144pt;height:.6pt;mso-position-horizontal-relative:page;mso-position-vertical-relative:paragraph;z-index:-15712768;mso-wrap-distance-left:0;mso-wrap-distance-right:0" id="docshape150" filled="true" fillcolor="#000000" stroked="false">
                <v:fill type="solid"/>
                <w10:wrap type="topAndBottom"/>
              </v:rect>
            </w:pict>
          </mc:Fallback>
        </mc:AlternateContent>
      </w:r>
    </w:p>
    <w:p>
      <w:pPr>
        <w:spacing w:before="95"/>
        <w:ind w:left="359" w:right="1621" w:firstLine="0"/>
        <w:jc w:val="left"/>
        <w:rPr>
          <w:sz w:val="18"/>
        </w:rPr>
      </w:pPr>
      <w:bookmarkStart w:name="_bookmark92" w:id="201"/>
      <w:bookmarkEnd w:id="201"/>
      <w:r>
        <w:rPr/>
      </w:r>
      <w:r>
        <w:rPr>
          <w:position w:val="5"/>
          <w:sz w:val="12"/>
        </w:rPr>
        <w:t>10</w:t>
      </w:r>
      <w:r>
        <w:rPr>
          <w:spacing w:val="9"/>
          <w:position w:val="5"/>
          <w:sz w:val="12"/>
        </w:rPr>
        <w:t> </w:t>
      </w:r>
      <w:r>
        <w:rPr>
          <w:sz w:val="18"/>
        </w:rPr>
        <w:t>Passive</w:t>
      </w:r>
      <w:r>
        <w:rPr>
          <w:spacing w:val="-4"/>
          <w:sz w:val="18"/>
        </w:rPr>
        <w:t> </w:t>
      </w:r>
      <w:r>
        <w:rPr>
          <w:sz w:val="18"/>
        </w:rPr>
        <w:t>restoration</w:t>
      </w:r>
      <w:r>
        <w:rPr>
          <w:spacing w:val="-4"/>
          <w:sz w:val="18"/>
        </w:rPr>
        <w:t> </w:t>
      </w:r>
      <w:r>
        <w:rPr>
          <w:sz w:val="18"/>
        </w:rPr>
        <w:t>is</w:t>
      </w:r>
      <w:r>
        <w:rPr>
          <w:spacing w:val="-4"/>
          <w:sz w:val="18"/>
        </w:rPr>
        <w:t> </w:t>
      </w:r>
      <w:r>
        <w:rPr>
          <w:sz w:val="18"/>
        </w:rPr>
        <w:t>the</w:t>
      </w:r>
      <w:r>
        <w:rPr>
          <w:spacing w:val="-4"/>
          <w:sz w:val="18"/>
        </w:rPr>
        <w:t> </w:t>
      </w:r>
      <w:r>
        <w:rPr>
          <w:sz w:val="18"/>
        </w:rPr>
        <w:t>broad-scale</w:t>
      </w:r>
      <w:r>
        <w:rPr>
          <w:spacing w:val="-4"/>
          <w:sz w:val="18"/>
        </w:rPr>
        <w:t> </w:t>
      </w:r>
      <w:r>
        <w:rPr>
          <w:sz w:val="18"/>
        </w:rPr>
        <w:t>natural</w:t>
      </w:r>
      <w:r>
        <w:rPr>
          <w:spacing w:val="-4"/>
          <w:sz w:val="18"/>
        </w:rPr>
        <w:t> </w:t>
      </w:r>
      <w:r>
        <w:rPr>
          <w:sz w:val="18"/>
        </w:rPr>
        <w:t>recovery</w:t>
      </w:r>
      <w:r>
        <w:rPr>
          <w:spacing w:val="-3"/>
          <w:sz w:val="18"/>
        </w:rPr>
        <w:t> </w:t>
      </w:r>
      <w:r>
        <w:rPr>
          <w:sz w:val="18"/>
        </w:rPr>
        <w:t>of</w:t>
      </w:r>
      <w:r>
        <w:rPr>
          <w:spacing w:val="-3"/>
          <w:sz w:val="18"/>
        </w:rPr>
        <w:t> </w:t>
      </w:r>
      <w:r>
        <w:rPr>
          <w:sz w:val="18"/>
        </w:rPr>
        <w:t>the</w:t>
      </w:r>
      <w:r>
        <w:rPr>
          <w:spacing w:val="-4"/>
          <w:sz w:val="18"/>
        </w:rPr>
        <w:t> </w:t>
      </w:r>
      <w:r>
        <w:rPr>
          <w:sz w:val="18"/>
        </w:rPr>
        <w:t>ecosystem</w:t>
      </w:r>
      <w:r>
        <w:rPr>
          <w:spacing w:val="-3"/>
          <w:sz w:val="18"/>
        </w:rPr>
        <w:t> </w:t>
      </w:r>
      <w:r>
        <w:rPr>
          <w:sz w:val="18"/>
        </w:rPr>
        <w:t>and</w:t>
      </w:r>
      <w:r>
        <w:rPr>
          <w:spacing w:val="-4"/>
          <w:sz w:val="18"/>
        </w:rPr>
        <w:t> </w:t>
      </w:r>
      <w:r>
        <w:rPr>
          <w:sz w:val="18"/>
        </w:rPr>
        <w:t>includes</w:t>
      </w:r>
      <w:r>
        <w:rPr>
          <w:spacing w:val="-4"/>
          <w:sz w:val="18"/>
        </w:rPr>
        <w:t> </w:t>
      </w:r>
      <w:r>
        <w:rPr>
          <w:sz w:val="18"/>
        </w:rPr>
        <w:t>coordination,</w:t>
      </w:r>
      <w:r>
        <w:rPr>
          <w:spacing w:val="-3"/>
          <w:sz w:val="18"/>
        </w:rPr>
        <w:t> </w:t>
      </w:r>
      <w:r>
        <w:rPr>
          <w:sz w:val="18"/>
        </w:rPr>
        <w:t>analysis, planning, and design activities to maintain or improve habitat conditions while implementing projects across multiple resource areas.</w:t>
      </w:r>
    </w:p>
    <w:p>
      <w:pPr>
        <w:spacing w:before="1"/>
        <w:ind w:left="359" w:right="1863" w:firstLine="0"/>
        <w:jc w:val="both"/>
        <w:rPr>
          <w:sz w:val="18"/>
        </w:rPr>
      </w:pPr>
      <w:r>
        <w:rPr>
          <w:sz w:val="18"/>
        </w:rPr>
        <w:t>Active</w:t>
      </w:r>
      <w:r>
        <w:rPr>
          <w:spacing w:val="-3"/>
          <w:sz w:val="18"/>
        </w:rPr>
        <w:t> </w:t>
      </w:r>
      <w:r>
        <w:rPr>
          <w:sz w:val="18"/>
        </w:rPr>
        <w:t>restoration</w:t>
      </w:r>
      <w:r>
        <w:rPr>
          <w:spacing w:val="-3"/>
          <w:sz w:val="18"/>
        </w:rPr>
        <w:t> </w:t>
      </w:r>
      <w:r>
        <w:rPr>
          <w:sz w:val="18"/>
        </w:rPr>
        <w:t>includes</w:t>
      </w:r>
      <w:r>
        <w:rPr>
          <w:spacing w:val="-3"/>
          <w:sz w:val="18"/>
        </w:rPr>
        <w:t> </w:t>
      </w:r>
      <w:r>
        <w:rPr>
          <w:sz w:val="18"/>
        </w:rPr>
        <w:t>management</w:t>
      </w:r>
      <w:r>
        <w:rPr>
          <w:spacing w:val="-3"/>
          <w:sz w:val="18"/>
        </w:rPr>
        <w:t> </w:t>
      </w:r>
      <w:r>
        <w:rPr>
          <w:sz w:val="18"/>
        </w:rPr>
        <w:t>actions</w:t>
      </w:r>
      <w:r>
        <w:rPr>
          <w:spacing w:val="-3"/>
          <w:sz w:val="18"/>
        </w:rPr>
        <w:t> </w:t>
      </w:r>
      <w:r>
        <w:rPr>
          <w:sz w:val="18"/>
        </w:rPr>
        <w:t>with</w:t>
      </w:r>
      <w:r>
        <w:rPr>
          <w:spacing w:val="-3"/>
          <w:sz w:val="18"/>
        </w:rPr>
        <w:t> </w:t>
      </w:r>
      <w:r>
        <w:rPr>
          <w:sz w:val="18"/>
        </w:rPr>
        <w:t>the</w:t>
      </w:r>
      <w:r>
        <w:rPr>
          <w:spacing w:val="-3"/>
          <w:sz w:val="18"/>
        </w:rPr>
        <w:t> </w:t>
      </w:r>
      <w:r>
        <w:rPr>
          <w:sz w:val="18"/>
        </w:rPr>
        <w:t>specific</w:t>
      </w:r>
      <w:r>
        <w:rPr>
          <w:spacing w:val="-2"/>
          <w:sz w:val="18"/>
        </w:rPr>
        <w:t> </w:t>
      </w:r>
      <w:r>
        <w:rPr>
          <w:sz w:val="18"/>
        </w:rPr>
        <w:t>goal</w:t>
      </w:r>
      <w:r>
        <w:rPr>
          <w:spacing w:val="-3"/>
          <w:sz w:val="18"/>
        </w:rPr>
        <w:t> </w:t>
      </w:r>
      <w:r>
        <w:rPr>
          <w:sz w:val="18"/>
        </w:rPr>
        <w:t>of</w:t>
      </w:r>
      <w:r>
        <w:rPr>
          <w:spacing w:val="-2"/>
          <w:sz w:val="18"/>
        </w:rPr>
        <w:t> </w:t>
      </w:r>
      <w:r>
        <w:rPr>
          <w:sz w:val="18"/>
        </w:rPr>
        <w:t>restoring</w:t>
      </w:r>
      <w:r>
        <w:rPr>
          <w:spacing w:val="-3"/>
          <w:sz w:val="18"/>
        </w:rPr>
        <w:t> </w:t>
      </w:r>
      <w:r>
        <w:rPr>
          <w:sz w:val="18"/>
        </w:rPr>
        <w:t>the</w:t>
      </w:r>
      <w:r>
        <w:rPr>
          <w:spacing w:val="-3"/>
          <w:sz w:val="18"/>
        </w:rPr>
        <w:t> </w:t>
      </w:r>
      <w:r>
        <w:rPr>
          <w:sz w:val="18"/>
        </w:rPr>
        <w:t>watershed</w:t>
      </w:r>
      <w:r>
        <w:rPr>
          <w:spacing w:val="-1"/>
          <w:sz w:val="18"/>
        </w:rPr>
        <w:t> </w:t>
      </w:r>
      <w:r>
        <w:rPr>
          <w:sz w:val="18"/>
        </w:rPr>
        <w:t>processes</w:t>
      </w:r>
      <w:r>
        <w:rPr>
          <w:spacing w:val="-3"/>
          <w:sz w:val="18"/>
        </w:rPr>
        <w:t> </w:t>
      </w:r>
      <w:r>
        <w:rPr>
          <w:sz w:val="18"/>
        </w:rPr>
        <w:t>that improve</w:t>
      </w:r>
      <w:r>
        <w:rPr>
          <w:spacing w:val="-2"/>
          <w:sz w:val="18"/>
        </w:rPr>
        <w:t> </w:t>
      </w:r>
      <w:r>
        <w:rPr>
          <w:sz w:val="18"/>
        </w:rPr>
        <w:t>aquatic</w:t>
      </w:r>
      <w:r>
        <w:rPr>
          <w:spacing w:val="-1"/>
          <w:sz w:val="18"/>
        </w:rPr>
        <w:t> </w:t>
      </w:r>
      <w:r>
        <w:rPr>
          <w:sz w:val="18"/>
        </w:rPr>
        <w:t>and</w:t>
      </w:r>
      <w:r>
        <w:rPr>
          <w:spacing w:val="-2"/>
          <w:sz w:val="18"/>
        </w:rPr>
        <w:t> </w:t>
      </w:r>
      <w:r>
        <w:rPr>
          <w:sz w:val="18"/>
        </w:rPr>
        <w:t>riparian habitat</w:t>
      </w:r>
      <w:r>
        <w:rPr>
          <w:spacing w:val="-2"/>
          <w:sz w:val="18"/>
        </w:rPr>
        <w:t> </w:t>
      </w:r>
      <w:r>
        <w:rPr>
          <w:sz w:val="18"/>
        </w:rPr>
        <w:t>function.</w:t>
      </w:r>
      <w:r>
        <w:rPr>
          <w:spacing w:val="-1"/>
          <w:sz w:val="18"/>
        </w:rPr>
        <w:t> </w:t>
      </w:r>
      <w:r>
        <w:rPr>
          <w:sz w:val="18"/>
        </w:rPr>
        <w:t>Active</w:t>
      </w:r>
      <w:r>
        <w:rPr>
          <w:spacing w:val="-2"/>
          <w:sz w:val="18"/>
        </w:rPr>
        <w:t> </w:t>
      </w:r>
      <w:r>
        <w:rPr>
          <w:sz w:val="18"/>
        </w:rPr>
        <w:t>restoration is focused</w:t>
      </w:r>
      <w:r>
        <w:rPr>
          <w:spacing w:val="-2"/>
          <w:sz w:val="18"/>
        </w:rPr>
        <w:t> </w:t>
      </w:r>
      <w:r>
        <w:rPr>
          <w:sz w:val="18"/>
        </w:rPr>
        <w:t>on</w:t>
      </w:r>
      <w:r>
        <w:rPr>
          <w:spacing w:val="-2"/>
          <w:sz w:val="18"/>
        </w:rPr>
        <w:t> </w:t>
      </w:r>
      <w:r>
        <w:rPr>
          <w:sz w:val="18"/>
        </w:rPr>
        <w:t>a</w:t>
      </w:r>
      <w:r>
        <w:rPr>
          <w:spacing w:val="-1"/>
          <w:sz w:val="18"/>
        </w:rPr>
        <w:t> </w:t>
      </w:r>
      <w:r>
        <w:rPr>
          <w:sz w:val="18"/>
        </w:rPr>
        <w:t>more</w:t>
      </w:r>
      <w:r>
        <w:rPr>
          <w:spacing w:val="-2"/>
          <w:sz w:val="18"/>
        </w:rPr>
        <w:t> </w:t>
      </w:r>
      <w:r>
        <w:rPr>
          <w:sz w:val="18"/>
        </w:rPr>
        <w:t>limited</w:t>
      </w:r>
      <w:r>
        <w:rPr>
          <w:spacing w:val="-2"/>
          <w:sz w:val="18"/>
        </w:rPr>
        <w:t> </w:t>
      </w:r>
      <w:r>
        <w:rPr>
          <w:sz w:val="18"/>
        </w:rPr>
        <w:t>scale than</w:t>
      </w:r>
      <w:r>
        <w:rPr>
          <w:spacing w:val="-2"/>
          <w:sz w:val="18"/>
        </w:rPr>
        <w:t> </w:t>
      </w:r>
      <w:r>
        <w:rPr>
          <w:sz w:val="18"/>
        </w:rPr>
        <w:t>passive </w:t>
      </w:r>
      <w:r>
        <w:rPr>
          <w:spacing w:val="-2"/>
          <w:sz w:val="18"/>
        </w:rPr>
        <w:t>restoration.</w:t>
      </w:r>
    </w:p>
    <w:p>
      <w:pPr>
        <w:spacing w:after="0"/>
        <w:jc w:val="both"/>
        <w:rPr>
          <w:sz w:val="18"/>
        </w:rPr>
        <w:sectPr>
          <w:pgSz w:w="12240" w:h="15840"/>
          <w:pgMar w:header="725" w:footer="891" w:top="960" w:bottom="1080" w:left="1080" w:right="720"/>
        </w:sectPr>
      </w:pPr>
    </w:p>
    <w:p>
      <w:pPr>
        <w:pStyle w:val="BodyText"/>
        <w:spacing w:before="231"/>
        <w:rPr>
          <w:sz w:val="20"/>
        </w:rPr>
      </w:pPr>
    </w:p>
    <w:p>
      <w:pPr>
        <w:pStyle w:val="BodyText"/>
        <w:ind w:left="1483"/>
        <w:rPr>
          <w:sz w:val="20"/>
        </w:rPr>
      </w:pPr>
      <w:r>
        <w:rPr>
          <w:sz w:val="20"/>
        </w:rPr>
        <mc:AlternateContent>
          <mc:Choice Requires="wps">
            <w:drawing>
              <wp:inline distT="0" distB="0" distL="0" distR="0">
                <wp:extent cx="5248910" cy="1440180"/>
                <wp:effectExtent l="0" t="0" r="0" b="0"/>
                <wp:docPr id="161" name="Textbox 161"/>
                <wp:cNvGraphicFramePr>
                  <a:graphicFrameLocks/>
                </wp:cNvGraphicFramePr>
                <a:graphic>
                  <a:graphicData uri="http://schemas.microsoft.com/office/word/2010/wordprocessingShape">
                    <wps:wsp>
                      <wps:cNvPr id="161" name="Textbox 161"/>
                      <wps:cNvSpPr txBox="1"/>
                      <wps:spPr>
                        <a:xfrm>
                          <a:off x="0" y="0"/>
                          <a:ext cx="5248910" cy="1440180"/>
                        </a:xfrm>
                        <a:prstGeom prst="rect">
                          <a:avLst/>
                        </a:prstGeom>
                        <a:solidFill>
                          <a:srgbClr val="DFDFDF"/>
                        </a:solidFill>
                      </wps:spPr>
                      <wps:txbx>
                        <w:txbxContent>
                          <w:p>
                            <w:pPr>
                              <w:pStyle w:val="BodyText"/>
                              <w:numPr>
                                <w:ilvl w:val="0"/>
                                <w:numId w:val="11"/>
                              </w:numPr>
                              <w:tabs>
                                <w:tab w:pos="388" w:val="left" w:leader="none"/>
                              </w:tabs>
                              <w:spacing w:line="240" w:lineRule="auto" w:before="0" w:after="0"/>
                              <w:ind w:left="28" w:right="142" w:firstLine="0"/>
                              <w:jc w:val="left"/>
                              <w:rPr>
                                <w:color w:val="000000"/>
                              </w:rPr>
                            </w:pPr>
                            <w:r>
                              <w:rPr>
                                <w:color w:val="000000"/>
                              </w:rPr>
                              <w:t>Class</w:t>
                            </w:r>
                            <w:r>
                              <w:rPr>
                                <w:color w:val="000000"/>
                                <w:spacing w:val="-4"/>
                              </w:rPr>
                              <w:t> </w:t>
                            </w:r>
                            <w:r>
                              <w:rPr>
                                <w:color w:val="000000"/>
                              </w:rPr>
                              <w:t>2:</w:t>
                            </w:r>
                            <w:r>
                              <w:rPr>
                                <w:color w:val="000000"/>
                                <w:spacing w:val="-3"/>
                              </w:rPr>
                              <w:t> </w:t>
                            </w:r>
                            <w:r>
                              <w:rPr>
                                <w:color w:val="000000"/>
                              </w:rPr>
                              <w:t>Functioning</w:t>
                            </w:r>
                            <w:r>
                              <w:rPr>
                                <w:color w:val="000000"/>
                                <w:spacing w:val="-5"/>
                              </w:rPr>
                              <w:t> </w:t>
                            </w:r>
                            <w:r>
                              <w:rPr>
                                <w:color w:val="000000"/>
                              </w:rPr>
                              <w:t>at</w:t>
                            </w:r>
                            <w:r>
                              <w:rPr>
                                <w:color w:val="000000"/>
                                <w:spacing w:val="-3"/>
                              </w:rPr>
                              <w:t> </w:t>
                            </w:r>
                            <w:r>
                              <w:rPr>
                                <w:color w:val="000000"/>
                              </w:rPr>
                              <w:t>Risk—subwatersheds</w:t>
                            </w:r>
                            <w:r>
                              <w:rPr>
                                <w:color w:val="000000"/>
                                <w:spacing w:val="-6"/>
                              </w:rPr>
                              <w:t> </w:t>
                            </w:r>
                            <w:r>
                              <w:rPr>
                                <w:color w:val="000000"/>
                              </w:rPr>
                              <w:t>that</w:t>
                            </w:r>
                            <w:r>
                              <w:rPr>
                                <w:color w:val="000000"/>
                                <w:spacing w:val="-6"/>
                              </w:rPr>
                              <w:t> </w:t>
                            </w:r>
                            <w:r>
                              <w:rPr>
                                <w:color w:val="000000"/>
                              </w:rPr>
                              <w:t>exhibit</w:t>
                            </w:r>
                            <w:r>
                              <w:rPr>
                                <w:color w:val="000000"/>
                                <w:spacing w:val="-3"/>
                              </w:rPr>
                              <w:t> </w:t>
                            </w:r>
                            <w:r>
                              <w:rPr>
                                <w:color w:val="000000"/>
                              </w:rPr>
                              <w:t>moderate</w:t>
                            </w:r>
                            <w:r>
                              <w:rPr>
                                <w:color w:val="000000"/>
                                <w:spacing w:val="-3"/>
                              </w:rPr>
                              <w:t> </w:t>
                            </w:r>
                            <w:r>
                              <w:rPr>
                                <w:color w:val="000000"/>
                              </w:rPr>
                              <w:t>integrity.</w:t>
                            </w:r>
                            <w:r>
                              <w:rPr>
                                <w:color w:val="000000"/>
                                <w:spacing w:val="-6"/>
                              </w:rPr>
                              <w:t> </w:t>
                            </w:r>
                            <w:r>
                              <w:rPr>
                                <w:color w:val="000000"/>
                              </w:rPr>
                              <w:t>There</w:t>
                            </w:r>
                            <w:r>
                              <w:rPr>
                                <w:color w:val="000000"/>
                                <w:spacing w:val="-3"/>
                              </w:rPr>
                              <w:t> </w:t>
                            </w:r>
                            <w:r>
                              <w:rPr>
                                <w:color w:val="000000"/>
                              </w:rPr>
                              <w:t>are more human impacts on natural physical or biological processes than in high integrity subwatersheds, and the watershed</w:t>
                            </w:r>
                            <w:r>
                              <w:rPr>
                                <w:color w:val="000000"/>
                                <w:spacing w:val="-1"/>
                              </w:rPr>
                              <w:t> </w:t>
                            </w:r>
                            <w:r>
                              <w:rPr>
                                <w:color w:val="000000"/>
                              </w:rPr>
                              <w:t>may be able to naturally recover to previous condition in response to natural and human disturbance (Yount and Neimi 1990);</w:t>
                            </w:r>
                          </w:p>
                          <w:p>
                            <w:pPr>
                              <w:pStyle w:val="BodyText"/>
                              <w:numPr>
                                <w:ilvl w:val="0"/>
                                <w:numId w:val="11"/>
                              </w:numPr>
                              <w:tabs>
                                <w:tab w:pos="388" w:val="left" w:leader="none"/>
                              </w:tabs>
                              <w:spacing w:line="240" w:lineRule="auto" w:before="118" w:after="0"/>
                              <w:ind w:left="28" w:right="208" w:firstLine="0"/>
                              <w:jc w:val="left"/>
                              <w:rPr>
                                <w:color w:val="000000"/>
                              </w:rPr>
                            </w:pPr>
                            <w:r>
                              <w:rPr>
                                <w:color w:val="000000"/>
                              </w:rPr>
                              <w:t>Class</w:t>
                            </w:r>
                            <w:r>
                              <w:rPr>
                                <w:color w:val="000000"/>
                                <w:spacing w:val="-4"/>
                              </w:rPr>
                              <w:t> </w:t>
                            </w:r>
                            <w:r>
                              <w:rPr>
                                <w:color w:val="000000"/>
                              </w:rPr>
                              <w:t>3:</w:t>
                            </w:r>
                            <w:r>
                              <w:rPr>
                                <w:color w:val="000000"/>
                                <w:spacing w:val="-3"/>
                              </w:rPr>
                              <w:t> </w:t>
                            </w:r>
                            <w:r>
                              <w:rPr>
                                <w:color w:val="000000"/>
                              </w:rPr>
                              <w:t>Impaired</w:t>
                            </w:r>
                            <w:r>
                              <w:rPr>
                                <w:color w:val="000000"/>
                                <w:spacing w:val="-4"/>
                              </w:rPr>
                              <w:t> </w:t>
                            </w:r>
                            <w:r>
                              <w:rPr>
                                <w:color w:val="000000"/>
                              </w:rPr>
                              <w:t>Function—subwatersheds</w:t>
                            </w:r>
                            <w:r>
                              <w:rPr>
                                <w:color w:val="000000"/>
                                <w:spacing w:val="-5"/>
                              </w:rPr>
                              <w:t> </w:t>
                            </w:r>
                            <w:r>
                              <w:rPr>
                                <w:color w:val="000000"/>
                              </w:rPr>
                              <w:t>that</w:t>
                            </w:r>
                            <w:r>
                              <w:rPr>
                                <w:color w:val="000000"/>
                                <w:spacing w:val="-5"/>
                              </w:rPr>
                              <w:t> </w:t>
                            </w:r>
                            <w:r>
                              <w:rPr>
                                <w:color w:val="000000"/>
                              </w:rPr>
                              <w:t>exhibit</w:t>
                            </w:r>
                            <w:r>
                              <w:rPr>
                                <w:color w:val="000000"/>
                                <w:spacing w:val="-3"/>
                              </w:rPr>
                              <w:t> </w:t>
                            </w:r>
                            <w:r>
                              <w:rPr>
                                <w:color w:val="000000"/>
                              </w:rPr>
                              <w:t>low</w:t>
                            </w:r>
                            <w:r>
                              <w:rPr>
                                <w:color w:val="000000"/>
                                <w:spacing w:val="-5"/>
                              </w:rPr>
                              <w:t> </w:t>
                            </w:r>
                            <w:r>
                              <w:rPr>
                                <w:color w:val="000000"/>
                              </w:rPr>
                              <w:t>integrity.</w:t>
                            </w:r>
                            <w:r>
                              <w:rPr>
                                <w:color w:val="000000"/>
                                <w:spacing w:val="-4"/>
                              </w:rPr>
                              <w:t> </w:t>
                            </w:r>
                            <w:r>
                              <w:rPr>
                                <w:color w:val="000000"/>
                              </w:rPr>
                              <w:t>Adverse</w:t>
                            </w:r>
                            <w:r>
                              <w:rPr>
                                <w:color w:val="000000"/>
                                <w:spacing w:val="-5"/>
                              </w:rPr>
                              <w:t> </w:t>
                            </w:r>
                            <w:r>
                              <w:rPr>
                                <w:color w:val="000000"/>
                              </w:rPr>
                              <w:t>human impacts have caused a threshold to be exceeded where the watershed is no longer as resilient to physical and biological processes. The only impaired subwatershed in the planning area is Meadow Creek.</w:t>
                            </w:r>
                          </w:p>
                        </w:txbxContent>
                      </wps:txbx>
                      <wps:bodyPr wrap="square" lIns="0" tIns="0" rIns="0" bIns="0" rtlCol="0">
                        <a:noAutofit/>
                      </wps:bodyPr>
                    </wps:wsp>
                  </a:graphicData>
                </a:graphic>
              </wp:inline>
            </w:drawing>
          </mc:Choice>
          <mc:Fallback>
            <w:pict>
              <v:shape style="width:413.3pt;height:113.4pt;mso-position-horizontal-relative:char;mso-position-vertical-relative:line" type="#_x0000_t202" id="docshape151" filled="true" fillcolor="#dfdfdf" stroked="false">
                <w10:anchorlock/>
                <v:textbox inset="0,0,0,0">
                  <w:txbxContent>
                    <w:p>
                      <w:pPr>
                        <w:pStyle w:val="BodyText"/>
                        <w:numPr>
                          <w:ilvl w:val="0"/>
                          <w:numId w:val="11"/>
                        </w:numPr>
                        <w:tabs>
                          <w:tab w:pos="388" w:val="left" w:leader="none"/>
                        </w:tabs>
                        <w:spacing w:line="240" w:lineRule="auto" w:before="0" w:after="0"/>
                        <w:ind w:left="28" w:right="142" w:firstLine="0"/>
                        <w:jc w:val="left"/>
                        <w:rPr>
                          <w:color w:val="000000"/>
                        </w:rPr>
                      </w:pPr>
                      <w:r>
                        <w:rPr>
                          <w:color w:val="000000"/>
                        </w:rPr>
                        <w:t>Class</w:t>
                      </w:r>
                      <w:r>
                        <w:rPr>
                          <w:color w:val="000000"/>
                          <w:spacing w:val="-4"/>
                        </w:rPr>
                        <w:t> </w:t>
                      </w:r>
                      <w:r>
                        <w:rPr>
                          <w:color w:val="000000"/>
                        </w:rPr>
                        <w:t>2:</w:t>
                      </w:r>
                      <w:r>
                        <w:rPr>
                          <w:color w:val="000000"/>
                          <w:spacing w:val="-3"/>
                        </w:rPr>
                        <w:t> </w:t>
                      </w:r>
                      <w:r>
                        <w:rPr>
                          <w:color w:val="000000"/>
                        </w:rPr>
                        <w:t>Functioning</w:t>
                      </w:r>
                      <w:r>
                        <w:rPr>
                          <w:color w:val="000000"/>
                          <w:spacing w:val="-5"/>
                        </w:rPr>
                        <w:t> </w:t>
                      </w:r>
                      <w:r>
                        <w:rPr>
                          <w:color w:val="000000"/>
                        </w:rPr>
                        <w:t>at</w:t>
                      </w:r>
                      <w:r>
                        <w:rPr>
                          <w:color w:val="000000"/>
                          <w:spacing w:val="-3"/>
                        </w:rPr>
                        <w:t> </w:t>
                      </w:r>
                      <w:r>
                        <w:rPr>
                          <w:color w:val="000000"/>
                        </w:rPr>
                        <w:t>Risk—subwatersheds</w:t>
                      </w:r>
                      <w:r>
                        <w:rPr>
                          <w:color w:val="000000"/>
                          <w:spacing w:val="-6"/>
                        </w:rPr>
                        <w:t> </w:t>
                      </w:r>
                      <w:r>
                        <w:rPr>
                          <w:color w:val="000000"/>
                        </w:rPr>
                        <w:t>that</w:t>
                      </w:r>
                      <w:r>
                        <w:rPr>
                          <w:color w:val="000000"/>
                          <w:spacing w:val="-6"/>
                        </w:rPr>
                        <w:t> </w:t>
                      </w:r>
                      <w:r>
                        <w:rPr>
                          <w:color w:val="000000"/>
                        </w:rPr>
                        <w:t>exhibit</w:t>
                      </w:r>
                      <w:r>
                        <w:rPr>
                          <w:color w:val="000000"/>
                          <w:spacing w:val="-3"/>
                        </w:rPr>
                        <w:t> </w:t>
                      </w:r>
                      <w:r>
                        <w:rPr>
                          <w:color w:val="000000"/>
                        </w:rPr>
                        <w:t>moderate</w:t>
                      </w:r>
                      <w:r>
                        <w:rPr>
                          <w:color w:val="000000"/>
                          <w:spacing w:val="-3"/>
                        </w:rPr>
                        <w:t> </w:t>
                      </w:r>
                      <w:r>
                        <w:rPr>
                          <w:color w:val="000000"/>
                        </w:rPr>
                        <w:t>integrity.</w:t>
                      </w:r>
                      <w:r>
                        <w:rPr>
                          <w:color w:val="000000"/>
                          <w:spacing w:val="-6"/>
                        </w:rPr>
                        <w:t> </w:t>
                      </w:r>
                      <w:r>
                        <w:rPr>
                          <w:color w:val="000000"/>
                        </w:rPr>
                        <w:t>There</w:t>
                      </w:r>
                      <w:r>
                        <w:rPr>
                          <w:color w:val="000000"/>
                          <w:spacing w:val="-3"/>
                        </w:rPr>
                        <w:t> </w:t>
                      </w:r>
                      <w:r>
                        <w:rPr>
                          <w:color w:val="000000"/>
                        </w:rPr>
                        <w:t>are more human impacts on natural physical or biological processes than in high integrity subwatersheds, and the watershed</w:t>
                      </w:r>
                      <w:r>
                        <w:rPr>
                          <w:color w:val="000000"/>
                          <w:spacing w:val="-1"/>
                        </w:rPr>
                        <w:t> </w:t>
                      </w:r>
                      <w:r>
                        <w:rPr>
                          <w:color w:val="000000"/>
                        </w:rPr>
                        <w:t>may be able to naturally recover to previous condition in response to natural and human disturbance (Yount and Neimi 1990);</w:t>
                      </w:r>
                    </w:p>
                    <w:p>
                      <w:pPr>
                        <w:pStyle w:val="BodyText"/>
                        <w:numPr>
                          <w:ilvl w:val="0"/>
                          <w:numId w:val="11"/>
                        </w:numPr>
                        <w:tabs>
                          <w:tab w:pos="388" w:val="left" w:leader="none"/>
                        </w:tabs>
                        <w:spacing w:line="240" w:lineRule="auto" w:before="118" w:after="0"/>
                        <w:ind w:left="28" w:right="208" w:firstLine="0"/>
                        <w:jc w:val="left"/>
                        <w:rPr>
                          <w:color w:val="000000"/>
                        </w:rPr>
                      </w:pPr>
                      <w:r>
                        <w:rPr>
                          <w:color w:val="000000"/>
                        </w:rPr>
                        <w:t>Class</w:t>
                      </w:r>
                      <w:r>
                        <w:rPr>
                          <w:color w:val="000000"/>
                          <w:spacing w:val="-4"/>
                        </w:rPr>
                        <w:t> </w:t>
                      </w:r>
                      <w:r>
                        <w:rPr>
                          <w:color w:val="000000"/>
                        </w:rPr>
                        <w:t>3:</w:t>
                      </w:r>
                      <w:r>
                        <w:rPr>
                          <w:color w:val="000000"/>
                          <w:spacing w:val="-3"/>
                        </w:rPr>
                        <w:t> </w:t>
                      </w:r>
                      <w:r>
                        <w:rPr>
                          <w:color w:val="000000"/>
                        </w:rPr>
                        <w:t>Impaired</w:t>
                      </w:r>
                      <w:r>
                        <w:rPr>
                          <w:color w:val="000000"/>
                          <w:spacing w:val="-4"/>
                        </w:rPr>
                        <w:t> </w:t>
                      </w:r>
                      <w:r>
                        <w:rPr>
                          <w:color w:val="000000"/>
                        </w:rPr>
                        <w:t>Function—subwatersheds</w:t>
                      </w:r>
                      <w:r>
                        <w:rPr>
                          <w:color w:val="000000"/>
                          <w:spacing w:val="-5"/>
                        </w:rPr>
                        <w:t> </w:t>
                      </w:r>
                      <w:r>
                        <w:rPr>
                          <w:color w:val="000000"/>
                        </w:rPr>
                        <w:t>that</w:t>
                      </w:r>
                      <w:r>
                        <w:rPr>
                          <w:color w:val="000000"/>
                          <w:spacing w:val="-5"/>
                        </w:rPr>
                        <w:t> </w:t>
                      </w:r>
                      <w:r>
                        <w:rPr>
                          <w:color w:val="000000"/>
                        </w:rPr>
                        <w:t>exhibit</w:t>
                      </w:r>
                      <w:r>
                        <w:rPr>
                          <w:color w:val="000000"/>
                          <w:spacing w:val="-3"/>
                        </w:rPr>
                        <w:t> </w:t>
                      </w:r>
                      <w:r>
                        <w:rPr>
                          <w:color w:val="000000"/>
                        </w:rPr>
                        <w:t>low</w:t>
                      </w:r>
                      <w:r>
                        <w:rPr>
                          <w:color w:val="000000"/>
                          <w:spacing w:val="-5"/>
                        </w:rPr>
                        <w:t> </w:t>
                      </w:r>
                      <w:r>
                        <w:rPr>
                          <w:color w:val="000000"/>
                        </w:rPr>
                        <w:t>integrity.</w:t>
                      </w:r>
                      <w:r>
                        <w:rPr>
                          <w:color w:val="000000"/>
                          <w:spacing w:val="-4"/>
                        </w:rPr>
                        <w:t> </w:t>
                      </w:r>
                      <w:r>
                        <w:rPr>
                          <w:color w:val="000000"/>
                        </w:rPr>
                        <w:t>Adverse</w:t>
                      </w:r>
                      <w:r>
                        <w:rPr>
                          <w:color w:val="000000"/>
                          <w:spacing w:val="-5"/>
                        </w:rPr>
                        <w:t> </w:t>
                      </w:r>
                      <w:r>
                        <w:rPr>
                          <w:color w:val="000000"/>
                        </w:rPr>
                        <w:t>human impacts have caused a threshold to be exceeded where the watershed is no longer as resilient to physical and biological processes. The only impaired subwatershed in the planning area is Meadow Creek.</w:t>
                      </w:r>
                    </w:p>
                  </w:txbxContent>
                </v:textbox>
                <v:fill type="solid"/>
              </v:shape>
            </w:pict>
          </mc:Fallback>
        </mc:AlternateContent>
      </w:r>
      <w:r>
        <w:rPr>
          <w:sz w:val="20"/>
        </w:rPr>
      </w:r>
    </w:p>
    <w:p>
      <w:pPr>
        <w:pStyle w:val="BodyText"/>
        <w:spacing w:before="8"/>
        <w:rPr>
          <w:sz w:val="5"/>
        </w:rPr>
      </w:pPr>
      <w:r>
        <w:rPr>
          <w:sz w:val="5"/>
        </w:rPr>
        <w:drawing>
          <wp:anchor distT="0" distB="0" distL="0" distR="0" allowOverlap="1" layoutInCell="1" locked="0" behindDoc="1" simplePos="0" relativeHeight="487605248">
            <wp:simplePos x="0" y="0"/>
            <wp:positionH relativeFrom="page">
              <wp:posOffset>1417321</wp:posOffset>
            </wp:positionH>
            <wp:positionV relativeFrom="paragraph">
              <wp:posOffset>59334</wp:posOffset>
            </wp:positionV>
            <wp:extent cx="5444832" cy="4425696"/>
            <wp:effectExtent l="0" t="0" r="0" b="0"/>
            <wp:wrapTopAndBottom/>
            <wp:docPr id="162" name="Image 162" descr="Map showing the current watershed condition class for subwatersheds across the Colville National Forest"/>
            <wp:cNvGraphicFramePr>
              <a:graphicFrameLocks/>
            </wp:cNvGraphicFramePr>
            <a:graphic>
              <a:graphicData uri="http://schemas.openxmlformats.org/drawingml/2006/picture">
                <pic:pic>
                  <pic:nvPicPr>
                    <pic:cNvPr id="162" name="Image 162" descr="Map showing the current watershed condition class for subwatersheds across the Colville National Forest"/>
                    <pic:cNvPicPr/>
                  </pic:nvPicPr>
                  <pic:blipFill>
                    <a:blip r:embed="rId53" cstate="print"/>
                    <a:stretch>
                      <a:fillRect/>
                    </a:stretch>
                  </pic:blipFill>
                  <pic:spPr>
                    <a:xfrm>
                      <a:off x="0" y="0"/>
                      <a:ext cx="5444832" cy="4425696"/>
                    </a:xfrm>
                    <a:prstGeom prst="rect">
                      <a:avLst/>
                    </a:prstGeom>
                  </pic:spPr>
                </pic:pic>
              </a:graphicData>
            </a:graphic>
          </wp:anchor>
        </w:drawing>
      </w:r>
    </w:p>
    <w:p>
      <w:pPr>
        <w:spacing w:before="39"/>
        <w:ind w:left="1151" w:right="0" w:firstLine="0"/>
        <w:jc w:val="left"/>
        <w:rPr>
          <w:rFonts w:ascii="Arial"/>
          <w:b/>
          <w:sz w:val="18"/>
        </w:rPr>
      </w:pPr>
      <w:bookmarkStart w:name="_bookmark93" w:id="202"/>
      <w:bookmarkEnd w:id="202"/>
      <w:r>
        <w:rPr/>
      </w:r>
      <w:r>
        <w:rPr>
          <w:rFonts w:ascii="Arial"/>
          <w:b/>
          <w:color w:val="283014"/>
          <w:sz w:val="18"/>
        </w:rPr>
        <w:t>Figure</w:t>
      </w:r>
      <w:r>
        <w:rPr>
          <w:rFonts w:ascii="Arial"/>
          <w:b/>
          <w:color w:val="283014"/>
          <w:spacing w:val="-1"/>
          <w:sz w:val="18"/>
        </w:rPr>
        <w:t> </w:t>
      </w:r>
      <w:r>
        <w:rPr>
          <w:rFonts w:ascii="Arial"/>
          <w:b/>
          <w:color w:val="283014"/>
          <w:sz w:val="18"/>
        </w:rPr>
        <w:t>6.</w:t>
      </w:r>
      <w:r>
        <w:rPr>
          <w:rFonts w:ascii="Arial"/>
          <w:b/>
          <w:color w:val="283014"/>
          <w:spacing w:val="-4"/>
          <w:sz w:val="18"/>
        </w:rPr>
        <w:t> </w:t>
      </w:r>
      <w:r>
        <w:rPr>
          <w:rFonts w:ascii="Arial"/>
          <w:b/>
          <w:color w:val="283014"/>
          <w:sz w:val="18"/>
        </w:rPr>
        <w:t>Current</w:t>
      </w:r>
      <w:r>
        <w:rPr>
          <w:rFonts w:ascii="Arial"/>
          <w:b/>
          <w:color w:val="283014"/>
          <w:spacing w:val="-4"/>
          <w:sz w:val="18"/>
        </w:rPr>
        <w:t> </w:t>
      </w:r>
      <w:r>
        <w:rPr>
          <w:rFonts w:ascii="Arial"/>
          <w:b/>
          <w:color w:val="283014"/>
          <w:sz w:val="18"/>
        </w:rPr>
        <w:t>watershed</w:t>
      </w:r>
      <w:r>
        <w:rPr>
          <w:rFonts w:ascii="Arial"/>
          <w:b/>
          <w:color w:val="283014"/>
          <w:spacing w:val="-4"/>
          <w:sz w:val="18"/>
        </w:rPr>
        <w:t> </w:t>
      </w:r>
      <w:r>
        <w:rPr>
          <w:rFonts w:ascii="Arial"/>
          <w:b/>
          <w:color w:val="283014"/>
          <w:sz w:val="18"/>
        </w:rPr>
        <w:t>condition</w:t>
      </w:r>
      <w:r>
        <w:rPr>
          <w:rFonts w:ascii="Arial"/>
          <w:b/>
          <w:color w:val="283014"/>
          <w:spacing w:val="-2"/>
          <w:sz w:val="18"/>
        </w:rPr>
        <w:t> </w:t>
      </w:r>
      <w:r>
        <w:rPr>
          <w:rFonts w:ascii="Arial"/>
          <w:b/>
          <w:color w:val="283014"/>
          <w:sz w:val="18"/>
        </w:rPr>
        <w:t>class</w:t>
      </w:r>
      <w:r>
        <w:rPr>
          <w:rFonts w:ascii="Arial"/>
          <w:b/>
          <w:color w:val="283014"/>
          <w:spacing w:val="-1"/>
          <w:sz w:val="18"/>
        </w:rPr>
        <w:t> </w:t>
      </w:r>
      <w:r>
        <w:rPr>
          <w:rFonts w:ascii="Arial"/>
          <w:b/>
          <w:color w:val="283014"/>
          <w:sz w:val="18"/>
        </w:rPr>
        <w:t>for</w:t>
      </w:r>
      <w:r>
        <w:rPr>
          <w:rFonts w:ascii="Arial"/>
          <w:b/>
          <w:color w:val="283014"/>
          <w:spacing w:val="-5"/>
          <w:sz w:val="18"/>
        </w:rPr>
        <w:t> </w:t>
      </w:r>
      <w:r>
        <w:rPr>
          <w:rFonts w:ascii="Arial"/>
          <w:b/>
          <w:color w:val="283014"/>
          <w:sz w:val="18"/>
        </w:rPr>
        <w:t>subwatersheds</w:t>
      </w:r>
      <w:r>
        <w:rPr>
          <w:rFonts w:ascii="Arial"/>
          <w:b/>
          <w:color w:val="283014"/>
          <w:spacing w:val="-4"/>
          <w:sz w:val="18"/>
        </w:rPr>
        <w:t> </w:t>
      </w:r>
      <w:r>
        <w:rPr>
          <w:rFonts w:ascii="Arial"/>
          <w:b/>
          <w:color w:val="283014"/>
          <w:sz w:val="18"/>
        </w:rPr>
        <w:t>across</w:t>
      </w:r>
      <w:r>
        <w:rPr>
          <w:rFonts w:ascii="Arial"/>
          <w:b/>
          <w:color w:val="283014"/>
          <w:spacing w:val="-1"/>
          <w:sz w:val="18"/>
        </w:rPr>
        <w:t> </w:t>
      </w:r>
      <w:r>
        <w:rPr>
          <w:rFonts w:ascii="Arial"/>
          <w:b/>
          <w:color w:val="283014"/>
          <w:sz w:val="18"/>
        </w:rPr>
        <w:t>the</w:t>
      </w:r>
      <w:r>
        <w:rPr>
          <w:rFonts w:ascii="Arial"/>
          <w:b/>
          <w:color w:val="283014"/>
          <w:spacing w:val="-4"/>
          <w:sz w:val="18"/>
        </w:rPr>
        <w:t> </w:t>
      </w:r>
      <w:r>
        <w:rPr>
          <w:rFonts w:ascii="Arial"/>
          <w:b/>
          <w:color w:val="283014"/>
          <w:spacing w:val="-2"/>
          <w:sz w:val="18"/>
        </w:rPr>
        <w:t>Forest</w:t>
      </w:r>
    </w:p>
    <w:p>
      <w:pPr>
        <w:pStyle w:val="BodyText"/>
        <w:spacing w:before="106"/>
        <w:rPr>
          <w:rFonts w:ascii="Arial"/>
          <w:b/>
          <w:sz w:val="20"/>
        </w:rPr>
      </w:pPr>
      <w:r>
        <w:rPr>
          <w:rFonts w:ascii="Arial"/>
          <w:b/>
          <w:sz w:val="20"/>
        </w:rPr>
        <mc:AlternateContent>
          <mc:Choice Requires="wps">
            <w:drawing>
              <wp:anchor distT="0" distB="0" distL="0" distR="0" allowOverlap="1" layoutInCell="1" locked="0" behindDoc="1" simplePos="0" relativeHeight="487605760">
                <wp:simplePos x="0" y="0"/>
                <wp:positionH relativeFrom="page">
                  <wp:posOffset>1627632</wp:posOffset>
                </wp:positionH>
                <wp:positionV relativeFrom="paragraph">
                  <wp:posOffset>228587</wp:posOffset>
                </wp:positionV>
                <wp:extent cx="5248910" cy="1781810"/>
                <wp:effectExtent l="0" t="0" r="0" b="0"/>
                <wp:wrapTopAndBottom/>
                <wp:docPr id="163" name="Textbox 163"/>
                <wp:cNvGraphicFramePr>
                  <a:graphicFrameLocks/>
                </wp:cNvGraphicFramePr>
                <a:graphic>
                  <a:graphicData uri="http://schemas.microsoft.com/office/word/2010/wordprocessingShape">
                    <wps:wsp>
                      <wps:cNvPr id="163" name="Textbox 163"/>
                      <wps:cNvSpPr txBox="1"/>
                      <wps:spPr>
                        <a:xfrm>
                          <a:off x="0" y="0"/>
                          <a:ext cx="5248910" cy="1781810"/>
                        </a:xfrm>
                        <a:prstGeom prst="rect">
                          <a:avLst/>
                        </a:prstGeom>
                        <a:solidFill>
                          <a:srgbClr val="DFDFDF"/>
                        </a:solidFill>
                      </wps:spPr>
                      <wps:txbx>
                        <w:txbxContent>
                          <w:p>
                            <w:pPr>
                              <w:pStyle w:val="BodyText"/>
                              <w:ind w:left="28"/>
                              <w:rPr>
                                <w:color w:val="000000"/>
                              </w:rPr>
                            </w:pPr>
                            <w:r>
                              <w:rPr>
                                <w:color w:val="000000"/>
                              </w:rPr>
                              <w:t>This Forest Plan incorporates by reference the information contained on the WCF map viewer website:</w:t>
                            </w:r>
                            <w:r>
                              <w:rPr>
                                <w:color w:val="000000"/>
                                <w:spacing w:val="40"/>
                              </w:rPr>
                              <w:t> </w:t>
                            </w:r>
                            <w:hyperlink r:id="rId54">
                              <w:r>
                                <w:rPr>
                                  <w:color w:val="0000FF"/>
                                  <w:u w:val="single" w:color="0000FF"/>
                                </w:rPr>
                                <w:t>https://apps.fs.usda.gov/wcatt/</w:t>
                              </w:r>
                              <w:r>
                                <w:rPr>
                                  <w:color w:val="000000"/>
                                  <w:u w:val="none"/>
                                </w:rPr>
                                <w:t>,</w:t>
                              </w:r>
                            </w:hyperlink>
                            <w:r>
                              <w:rPr>
                                <w:color w:val="000000"/>
                                <w:u w:val="none"/>
                              </w:rPr>
                              <w:t> which contains the current WCF Priority Watersheds and associated information. The responsible official will select Priority Watersheds</w:t>
                            </w:r>
                            <w:r>
                              <w:rPr>
                                <w:color w:val="000000"/>
                                <w:spacing w:val="-3"/>
                                <w:u w:val="none"/>
                              </w:rPr>
                              <w:t> </w:t>
                            </w:r>
                            <w:r>
                              <w:rPr>
                                <w:color w:val="000000"/>
                                <w:u w:val="none"/>
                              </w:rPr>
                              <w:t>through</w:t>
                            </w:r>
                            <w:r>
                              <w:rPr>
                                <w:color w:val="000000"/>
                                <w:spacing w:val="-4"/>
                                <w:u w:val="none"/>
                              </w:rPr>
                              <w:t> </w:t>
                            </w:r>
                            <w:r>
                              <w:rPr>
                                <w:color w:val="000000"/>
                                <w:u w:val="none"/>
                              </w:rPr>
                              <w:t>WCF</w:t>
                            </w:r>
                            <w:r>
                              <w:rPr>
                                <w:color w:val="000000"/>
                                <w:spacing w:val="-6"/>
                                <w:u w:val="none"/>
                              </w:rPr>
                              <w:t> </w:t>
                            </w:r>
                            <w:r>
                              <w:rPr>
                                <w:color w:val="000000"/>
                                <w:u w:val="none"/>
                              </w:rPr>
                              <w:t>based</w:t>
                            </w:r>
                            <w:r>
                              <w:rPr>
                                <w:color w:val="000000"/>
                                <w:spacing w:val="-4"/>
                                <w:u w:val="none"/>
                              </w:rPr>
                              <w:t> </w:t>
                            </w:r>
                            <w:r>
                              <w:rPr>
                                <w:color w:val="000000"/>
                                <w:u w:val="none"/>
                              </w:rPr>
                              <w:t>on</w:t>
                            </w:r>
                            <w:r>
                              <w:rPr>
                                <w:color w:val="000000"/>
                                <w:spacing w:val="-4"/>
                                <w:u w:val="none"/>
                              </w:rPr>
                              <w:t> </w:t>
                            </w:r>
                            <w:r>
                              <w:rPr>
                                <w:color w:val="000000"/>
                                <w:u w:val="none"/>
                              </w:rPr>
                              <w:t>an</w:t>
                            </w:r>
                            <w:r>
                              <w:rPr>
                                <w:color w:val="000000"/>
                                <w:spacing w:val="-6"/>
                                <w:u w:val="none"/>
                              </w:rPr>
                              <w:t> </w:t>
                            </w:r>
                            <w:r>
                              <w:rPr>
                                <w:color w:val="000000"/>
                                <w:u w:val="none"/>
                              </w:rPr>
                              <w:t>interdisciplinary</w:t>
                            </w:r>
                            <w:r>
                              <w:rPr>
                                <w:color w:val="000000"/>
                                <w:spacing w:val="-2"/>
                                <w:u w:val="none"/>
                              </w:rPr>
                              <w:t> </w:t>
                            </w:r>
                            <w:r>
                              <w:rPr>
                                <w:color w:val="000000"/>
                                <w:u w:val="none"/>
                              </w:rPr>
                              <w:t>analysis</w:t>
                            </w:r>
                            <w:r>
                              <w:rPr>
                                <w:color w:val="000000"/>
                                <w:spacing w:val="-3"/>
                                <w:u w:val="none"/>
                              </w:rPr>
                              <w:t> </w:t>
                            </w:r>
                            <w:r>
                              <w:rPr>
                                <w:color w:val="000000"/>
                                <w:u w:val="none"/>
                              </w:rPr>
                              <w:t>and</w:t>
                            </w:r>
                            <w:r>
                              <w:rPr>
                                <w:color w:val="000000"/>
                                <w:spacing w:val="-4"/>
                                <w:u w:val="none"/>
                              </w:rPr>
                              <w:t> </w:t>
                            </w:r>
                            <w:r>
                              <w:rPr>
                                <w:color w:val="000000"/>
                                <w:u w:val="none"/>
                              </w:rPr>
                              <w:t>evaluation.</w:t>
                            </w:r>
                            <w:r>
                              <w:rPr>
                                <w:color w:val="000000"/>
                                <w:spacing w:val="-5"/>
                                <w:u w:val="none"/>
                              </w:rPr>
                              <w:t> </w:t>
                            </w:r>
                            <w:r>
                              <w:rPr>
                                <w:color w:val="000000"/>
                                <w:u w:val="none"/>
                              </w:rPr>
                              <w:t>In</w:t>
                            </w:r>
                            <w:r>
                              <w:rPr>
                                <w:color w:val="000000"/>
                                <w:spacing w:val="-4"/>
                                <w:u w:val="none"/>
                              </w:rPr>
                              <w:t> </w:t>
                            </w:r>
                            <w:r>
                              <w:rPr>
                                <w:color w:val="000000"/>
                                <w:u w:val="none"/>
                              </w:rPr>
                              <w:t>addition, the responsible official will reach out to local, State, Tribal, other Federal agencies, and interest groups when identifying priority watersheds (FSH 1909.12, chapter 20, section </w:t>
                            </w:r>
                            <w:r>
                              <w:rPr>
                                <w:color w:val="000000"/>
                                <w:spacing w:val="-2"/>
                                <w:u w:val="none"/>
                              </w:rPr>
                              <w:t>22.31).</w:t>
                            </w:r>
                          </w:p>
                          <w:p>
                            <w:pPr>
                              <w:pStyle w:val="BodyText"/>
                              <w:spacing w:before="118"/>
                              <w:ind w:left="28" w:right="120"/>
                              <w:rPr>
                                <w:color w:val="000000"/>
                              </w:rPr>
                            </w:pPr>
                            <w:r>
                              <w:rPr>
                                <w:color w:val="000000"/>
                              </w:rPr>
                              <w:t>The priorities for watershed, riparian, and aquatic habitat restoration have been further refined through the identification of Key Watersheds during the forest plan revision process.</w:t>
                            </w:r>
                            <w:r>
                              <w:rPr>
                                <w:color w:val="000000"/>
                                <w:spacing w:val="-6"/>
                              </w:rPr>
                              <w:t> </w:t>
                            </w:r>
                            <w:r>
                              <w:rPr>
                                <w:color w:val="000000"/>
                              </w:rPr>
                              <w:t>As</w:t>
                            </w:r>
                            <w:r>
                              <w:rPr>
                                <w:color w:val="000000"/>
                                <w:spacing w:val="-3"/>
                              </w:rPr>
                              <w:t> </w:t>
                            </w:r>
                            <w:r>
                              <w:rPr>
                                <w:color w:val="000000"/>
                              </w:rPr>
                              <w:t>discussed</w:t>
                            </w:r>
                            <w:r>
                              <w:rPr>
                                <w:color w:val="000000"/>
                                <w:spacing w:val="-4"/>
                              </w:rPr>
                              <w:t> </w:t>
                            </w:r>
                            <w:r>
                              <w:rPr>
                                <w:color w:val="000000"/>
                              </w:rPr>
                              <w:t>above,</w:t>
                            </w:r>
                            <w:r>
                              <w:rPr>
                                <w:color w:val="000000"/>
                                <w:spacing w:val="-3"/>
                              </w:rPr>
                              <w:t> </w:t>
                            </w:r>
                            <w:r>
                              <w:rPr>
                                <w:color w:val="000000"/>
                              </w:rPr>
                              <w:t>Key</w:t>
                            </w:r>
                            <w:r>
                              <w:rPr>
                                <w:color w:val="000000"/>
                                <w:spacing w:val="-4"/>
                              </w:rPr>
                              <w:t> </w:t>
                            </w:r>
                            <w:r>
                              <w:rPr>
                                <w:color w:val="000000"/>
                              </w:rPr>
                              <w:t>Watersheds</w:t>
                            </w:r>
                            <w:r>
                              <w:rPr>
                                <w:color w:val="000000"/>
                                <w:spacing w:val="-3"/>
                              </w:rPr>
                              <w:t> </w:t>
                            </w:r>
                            <w:r>
                              <w:rPr>
                                <w:color w:val="000000"/>
                              </w:rPr>
                              <w:t>are</w:t>
                            </w:r>
                            <w:r>
                              <w:rPr>
                                <w:color w:val="000000"/>
                                <w:spacing w:val="-2"/>
                              </w:rPr>
                              <w:t> </w:t>
                            </w:r>
                            <w:r>
                              <w:rPr>
                                <w:color w:val="000000"/>
                              </w:rPr>
                              <w:t>identified</w:t>
                            </w:r>
                            <w:r>
                              <w:rPr>
                                <w:color w:val="000000"/>
                                <w:spacing w:val="-4"/>
                              </w:rPr>
                              <w:t> </w:t>
                            </w:r>
                            <w:r>
                              <w:rPr>
                                <w:color w:val="000000"/>
                              </w:rPr>
                              <w:t>at</w:t>
                            </w:r>
                            <w:r>
                              <w:rPr>
                                <w:color w:val="000000"/>
                                <w:spacing w:val="-5"/>
                              </w:rPr>
                              <w:t> </w:t>
                            </w:r>
                            <w:r>
                              <w:rPr>
                                <w:color w:val="000000"/>
                              </w:rPr>
                              <w:t>the</w:t>
                            </w:r>
                            <w:r>
                              <w:rPr>
                                <w:color w:val="000000"/>
                                <w:spacing w:val="-2"/>
                              </w:rPr>
                              <w:t> </w:t>
                            </w:r>
                            <w:r>
                              <w:rPr>
                                <w:color w:val="000000"/>
                              </w:rPr>
                              <w:t>subwatershed</w:t>
                            </w:r>
                            <w:r>
                              <w:rPr>
                                <w:color w:val="000000"/>
                                <w:spacing w:val="-6"/>
                              </w:rPr>
                              <w:t> </w:t>
                            </w:r>
                            <w:r>
                              <w:rPr>
                                <w:color w:val="000000"/>
                              </w:rPr>
                              <w:t>scale</w:t>
                            </w:r>
                            <w:r>
                              <w:rPr>
                                <w:color w:val="000000"/>
                                <w:spacing w:val="-2"/>
                              </w:rPr>
                              <w:t> </w:t>
                            </w:r>
                            <w:r>
                              <w:rPr>
                                <w:color w:val="000000"/>
                              </w:rPr>
                              <w:t>to</w:t>
                            </w:r>
                          </w:p>
                        </w:txbxContent>
                      </wps:txbx>
                      <wps:bodyPr wrap="square" lIns="0" tIns="0" rIns="0" bIns="0" rtlCol="0">
                        <a:noAutofit/>
                      </wps:bodyPr>
                    </wps:wsp>
                  </a:graphicData>
                </a:graphic>
              </wp:anchor>
            </w:drawing>
          </mc:Choice>
          <mc:Fallback>
            <w:pict>
              <v:shape style="position:absolute;margin-left:128.160004pt;margin-top:17.999023pt;width:413.3pt;height:140.3pt;mso-position-horizontal-relative:page;mso-position-vertical-relative:paragraph;z-index:-15710720;mso-wrap-distance-left:0;mso-wrap-distance-right:0" type="#_x0000_t202" id="docshape152" filled="true" fillcolor="#dfdfdf" stroked="false">
                <v:textbox inset="0,0,0,0">
                  <w:txbxContent>
                    <w:p>
                      <w:pPr>
                        <w:pStyle w:val="BodyText"/>
                        <w:ind w:left="28"/>
                        <w:rPr>
                          <w:color w:val="000000"/>
                        </w:rPr>
                      </w:pPr>
                      <w:r>
                        <w:rPr>
                          <w:color w:val="000000"/>
                        </w:rPr>
                        <w:t>This Forest Plan incorporates by reference the information contained on the WCF map viewer website:</w:t>
                      </w:r>
                      <w:r>
                        <w:rPr>
                          <w:color w:val="000000"/>
                          <w:spacing w:val="40"/>
                        </w:rPr>
                        <w:t> </w:t>
                      </w:r>
                      <w:hyperlink r:id="rId54">
                        <w:r>
                          <w:rPr>
                            <w:color w:val="0000FF"/>
                            <w:u w:val="single" w:color="0000FF"/>
                          </w:rPr>
                          <w:t>https://apps.fs.usda.gov/wcatt/</w:t>
                        </w:r>
                        <w:r>
                          <w:rPr>
                            <w:color w:val="000000"/>
                            <w:u w:val="none"/>
                          </w:rPr>
                          <w:t>,</w:t>
                        </w:r>
                      </w:hyperlink>
                      <w:r>
                        <w:rPr>
                          <w:color w:val="000000"/>
                          <w:u w:val="none"/>
                        </w:rPr>
                        <w:t> which contains the current WCF Priority Watersheds and associated information. The responsible official will select Priority Watersheds</w:t>
                      </w:r>
                      <w:r>
                        <w:rPr>
                          <w:color w:val="000000"/>
                          <w:spacing w:val="-3"/>
                          <w:u w:val="none"/>
                        </w:rPr>
                        <w:t> </w:t>
                      </w:r>
                      <w:r>
                        <w:rPr>
                          <w:color w:val="000000"/>
                          <w:u w:val="none"/>
                        </w:rPr>
                        <w:t>through</w:t>
                      </w:r>
                      <w:r>
                        <w:rPr>
                          <w:color w:val="000000"/>
                          <w:spacing w:val="-4"/>
                          <w:u w:val="none"/>
                        </w:rPr>
                        <w:t> </w:t>
                      </w:r>
                      <w:r>
                        <w:rPr>
                          <w:color w:val="000000"/>
                          <w:u w:val="none"/>
                        </w:rPr>
                        <w:t>WCF</w:t>
                      </w:r>
                      <w:r>
                        <w:rPr>
                          <w:color w:val="000000"/>
                          <w:spacing w:val="-6"/>
                          <w:u w:val="none"/>
                        </w:rPr>
                        <w:t> </w:t>
                      </w:r>
                      <w:r>
                        <w:rPr>
                          <w:color w:val="000000"/>
                          <w:u w:val="none"/>
                        </w:rPr>
                        <w:t>based</w:t>
                      </w:r>
                      <w:r>
                        <w:rPr>
                          <w:color w:val="000000"/>
                          <w:spacing w:val="-4"/>
                          <w:u w:val="none"/>
                        </w:rPr>
                        <w:t> </w:t>
                      </w:r>
                      <w:r>
                        <w:rPr>
                          <w:color w:val="000000"/>
                          <w:u w:val="none"/>
                        </w:rPr>
                        <w:t>on</w:t>
                      </w:r>
                      <w:r>
                        <w:rPr>
                          <w:color w:val="000000"/>
                          <w:spacing w:val="-4"/>
                          <w:u w:val="none"/>
                        </w:rPr>
                        <w:t> </w:t>
                      </w:r>
                      <w:r>
                        <w:rPr>
                          <w:color w:val="000000"/>
                          <w:u w:val="none"/>
                        </w:rPr>
                        <w:t>an</w:t>
                      </w:r>
                      <w:r>
                        <w:rPr>
                          <w:color w:val="000000"/>
                          <w:spacing w:val="-6"/>
                          <w:u w:val="none"/>
                        </w:rPr>
                        <w:t> </w:t>
                      </w:r>
                      <w:r>
                        <w:rPr>
                          <w:color w:val="000000"/>
                          <w:u w:val="none"/>
                        </w:rPr>
                        <w:t>interdisciplinary</w:t>
                      </w:r>
                      <w:r>
                        <w:rPr>
                          <w:color w:val="000000"/>
                          <w:spacing w:val="-2"/>
                          <w:u w:val="none"/>
                        </w:rPr>
                        <w:t> </w:t>
                      </w:r>
                      <w:r>
                        <w:rPr>
                          <w:color w:val="000000"/>
                          <w:u w:val="none"/>
                        </w:rPr>
                        <w:t>analysis</w:t>
                      </w:r>
                      <w:r>
                        <w:rPr>
                          <w:color w:val="000000"/>
                          <w:spacing w:val="-3"/>
                          <w:u w:val="none"/>
                        </w:rPr>
                        <w:t> </w:t>
                      </w:r>
                      <w:r>
                        <w:rPr>
                          <w:color w:val="000000"/>
                          <w:u w:val="none"/>
                        </w:rPr>
                        <w:t>and</w:t>
                      </w:r>
                      <w:r>
                        <w:rPr>
                          <w:color w:val="000000"/>
                          <w:spacing w:val="-4"/>
                          <w:u w:val="none"/>
                        </w:rPr>
                        <w:t> </w:t>
                      </w:r>
                      <w:r>
                        <w:rPr>
                          <w:color w:val="000000"/>
                          <w:u w:val="none"/>
                        </w:rPr>
                        <w:t>evaluation.</w:t>
                      </w:r>
                      <w:r>
                        <w:rPr>
                          <w:color w:val="000000"/>
                          <w:spacing w:val="-5"/>
                          <w:u w:val="none"/>
                        </w:rPr>
                        <w:t> </w:t>
                      </w:r>
                      <w:r>
                        <w:rPr>
                          <w:color w:val="000000"/>
                          <w:u w:val="none"/>
                        </w:rPr>
                        <w:t>In</w:t>
                      </w:r>
                      <w:r>
                        <w:rPr>
                          <w:color w:val="000000"/>
                          <w:spacing w:val="-4"/>
                          <w:u w:val="none"/>
                        </w:rPr>
                        <w:t> </w:t>
                      </w:r>
                      <w:r>
                        <w:rPr>
                          <w:color w:val="000000"/>
                          <w:u w:val="none"/>
                        </w:rPr>
                        <w:t>addition, the responsible official will reach out to local, State, Tribal, other Federal agencies, and interest groups when identifying priority watersheds (FSH 1909.12, chapter 20, section </w:t>
                      </w:r>
                      <w:r>
                        <w:rPr>
                          <w:color w:val="000000"/>
                          <w:spacing w:val="-2"/>
                          <w:u w:val="none"/>
                        </w:rPr>
                        <w:t>22.31).</w:t>
                      </w:r>
                    </w:p>
                    <w:p>
                      <w:pPr>
                        <w:pStyle w:val="BodyText"/>
                        <w:spacing w:before="118"/>
                        <w:ind w:left="28" w:right="120"/>
                        <w:rPr>
                          <w:color w:val="000000"/>
                        </w:rPr>
                      </w:pPr>
                      <w:r>
                        <w:rPr>
                          <w:color w:val="000000"/>
                        </w:rPr>
                        <w:t>The priorities for watershed, riparian, and aquatic habitat restoration have been further refined through the identification of Key Watersheds during the forest plan revision process.</w:t>
                      </w:r>
                      <w:r>
                        <w:rPr>
                          <w:color w:val="000000"/>
                          <w:spacing w:val="-6"/>
                        </w:rPr>
                        <w:t> </w:t>
                      </w:r>
                      <w:r>
                        <w:rPr>
                          <w:color w:val="000000"/>
                        </w:rPr>
                        <w:t>As</w:t>
                      </w:r>
                      <w:r>
                        <w:rPr>
                          <w:color w:val="000000"/>
                          <w:spacing w:val="-3"/>
                        </w:rPr>
                        <w:t> </w:t>
                      </w:r>
                      <w:r>
                        <w:rPr>
                          <w:color w:val="000000"/>
                        </w:rPr>
                        <w:t>discussed</w:t>
                      </w:r>
                      <w:r>
                        <w:rPr>
                          <w:color w:val="000000"/>
                          <w:spacing w:val="-4"/>
                        </w:rPr>
                        <w:t> </w:t>
                      </w:r>
                      <w:r>
                        <w:rPr>
                          <w:color w:val="000000"/>
                        </w:rPr>
                        <w:t>above,</w:t>
                      </w:r>
                      <w:r>
                        <w:rPr>
                          <w:color w:val="000000"/>
                          <w:spacing w:val="-3"/>
                        </w:rPr>
                        <w:t> </w:t>
                      </w:r>
                      <w:r>
                        <w:rPr>
                          <w:color w:val="000000"/>
                        </w:rPr>
                        <w:t>Key</w:t>
                      </w:r>
                      <w:r>
                        <w:rPr>
                          <w:color w:val="000000"/>
                          <w:spacing w:val="-4"/>
                        </w:rPr>
                        <w:t> </w:t>
                      </w:r>
                      <w:r>
                        <w:rPr>
                          <w:color w:val="000000"/>
                        </w:rPr>
                        <w:t>Watersheds</w:t>
                      </w:r>
                      <w:r>
                        <w:rPr>
                          <w:color w:val="000000"/>
                          <w:spacing w:val="-3"/>
                        </w:rPr>
                        <w:t> </w:t>
                      </w:r>
                      <w:r>
                        <w:rPr>
                          <w:color w:val="000000"/>
                        </w:rPr>
                        <w:t>are</w:t>
                      </w:r>
                      <w:r>
                        <w:rPr>
                          <w:color w:val="000000"/>
                          <w:spacing w:val="-2"/>
                        </w:rPr>
                        <w:t> </w:t>
                      </w:r>
                      <w:r>
                        <w:rPr>
                          <w:color w:val="000000"/>
                        </w:rPr>
                        <w:t>identified</w:t>
                      </w:r>
                      <w:r>
                        <w:rPr>
                          <w:color w:val="000000"/>
                          <w:spacing w:val="-4"/>
                        </w:rPr>
                        <w:t> </w:t>
                      </w:r>
                      <w:r>
                        <w:rPr>
                          <w:color w:val="000000"/>
                        </w:rPr>
                        <w:t>at</w:t>
                      </w:r>
                      <w:r>
                        <w:rPr>
                          <w:color w:val="000000"/>
                          <w:spacing w:val="-5"/>
                        </w:rPr>
                        <w:t> </w:t>
                      </w:r>
                      <w:r>
                        <w:rPr>
                          <w:color w:val="000000"/>
                        </w:rPr>
                        <w:t>the</w:t>
                      </w:r>
                      <w:r>
                        <w:rPr>
                          <w:color w:val="000000"/>
                          <w:spacing w:val="-2"/>
                        </w:rPr>
                        <w:t> </w:t>
                      </w:r>
                      <w:r>
                        <w:rPr>
                          <w:color w:val="000000"/>
                        </w:rPr>
                        <w:t>subwatershed</w:t>
                      </w:r>
                      <w:r>
                        <w:rPr>
                          <w:color w:val="000000"/>
                          <w:spacing w:val="-6"/>
                        </w:rPr>
                        <w:t> </w:t>
                      </w:r>
                      <w:r>
                        <w:rPr>
                          <w:color w:val="000000"/>
                        </w:rPr>
                        <w:t>scale</w:t>
                      </w:r>
                      <w:r>
                        <w:rPr>
                          <w:color w:val="000000"/>
                          <w:spacing w:val="-2"/>
                        </w:rPr>
                        <w:t> </w:t>
                      </w:r>
                      <w:r>
                        <w:rPr>
                          <w:color w:val="000000"/>
                        </w:rPr>
                        <w:t>to</w:t>
                      </w:r>
                    </w:p>
                  </w:txbxContent>
                </v:textbox>
                <v:fill type="solid"/>
                <w10:wrap type="topAndBottom"/>
              </v:shape>
            </w:pict>
          </mc:Fallback>
        </mc:AlternateContent>
      </w:r>
    </w:p>
    <w:p>
      <w:pPr>
        <w:pStyle w:val="BodyText"/>
        <w:spacing w:after="0"/>
        <w:rPr>
          <w:rFonts w:ascii="Arial"/>
          <w:b/>
          <w:sz w:val="20"/>
        </w:rPr>
        <w:sectPr>
          <w:pgSz w:w="12240" w:h="15840"/>
          <w:pgMar w:header="725" w:footer="891" w:top="960" w:bottom="1080" w:left="1080" w:right="720"/>
        </w:sectPr>
      </w:pPr>
    </w:p>
    <w:p>
      <w:pPr>
        <w:pStyle w:val="BodyText"/>
        <w:spacing w:before="221"/>
        <w:rPr>
          <w:rFonts w:ascii="Arial"/>
          <w:b/>
        </w:rPr>
      </w:pPr>
    </w:p>
    <w:p>
      <w:pPr>
        <w:pStyle w:val="BodyText"/>
        <w:ind w:left="720" w:right="1148"/>
      </w:pPr>
      <w:r>
        <w:rPr/>
        <mc:AlternateContent>
          <mc:Choice Requires="wps">
            <w:drawing>
              <wp:anchor distT="0" distB="0" distL="0" distR="0" allowOverlap="1" layoutInCell="1" locked="0" behindDoc="1" simplePos="0" relativeHeight="474263040">
                <wp:simplePos x="0" y="0"/>
                <wp:positionH relativeFrom="page">
                  <wp:posOffset>1124712</wp:posOffset>
                </wp:positionH>
                <wp:positionV relativeFrom="paragraph">
                  <wp:posOffset>775</wp:posOffset>
                </wp:positionV>
                <wp:extent cx="5248910" cy="5326380"/>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5248910" cy="5326380"/>
                        </a:xfrm>
                        <a:custGeom>
                          <a:avLst/>
                          <a:gdLst/>
                          <a:ahLst/>
                          <a:cxnLst/>
                          <a:rect l="l" t="t" r="r" b="b"/>
                          <a:pathLst>
                            <a:path w="5248910" h="5326380">
                              <a:moveTo>
                                <a:pt x="5248656" y="0"/>
                              </a:moveTo>
                              <a:lnTo>
                                <a:pt x="0" y="0"/>
                              </a:lnTo>
                              <a:lnTo>
                                <a:pt x="0" y="170688"/>
                              </a:lnTo>
                              <a:lnTo>
                                <a:pt x="0" y="341376"/>
                              </a:lnTo>
                              <a:lnTo>
                                <a:pt x="0" y="5326380"/>
                              </a:lnTo>
                              <a:lnTo>
                                <a:pt x="5248656" y="5326380"/>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06104pt;width:413.3pt;height:419.4pt;mso-position-horizontal-relative:page;mso-position-vertical-relative:paragraph;z-index:-29053440" id="docshape153" coordorigin="1771,1" coordsize="8266,8388" path="m10037,1l1771,1,1771,270,1771,539,1771,8389,10037,8389,10037,270,10037,1xe" filled="true" fillcolor="#dfdfdf" stroked="false">
                <v:path arrowok="t"/>
                <v:fill type="solid"/>
                <w10:wrap type="none"/>
              </v:shape>
            </w:pict>
          </mc:Fallback>
        </mc:AlternateContent>
      </w:r>
      <w:r>
        <w:rPr/>
        <w:t>aid the conservation and recovery of aquatic surrogate species. In some cases, Focus Watersheds</w:t>
      </w:r>
      <w:r>
        <w:rPr>
          <w:spacing w:val="-3"/>
        </w:rPr>
        <w:t> </w:t>
      </w:r>
      <w:r>
        <w:rPr/>
        <w:t>(e.g.,</w:t>
      </w:r>
      <w:r>
        <w:rPr>
          <w:spacing w:val="-5"/>
        </w:rPr>
        <w:t> </w:t>
      </w:r>
      <w:r>
        <w:rPr/>
        <w:t>Le</w:t>
      </w:r>
      <w:r>
        <w:rPr>
          <w:spacing w:val="-5"/>
        </w:rPr>
        <w:t> </w:t>
      </w:r>
      <w:r>
        <w:rPr/>
        <w:t>Clerc</w:t>
      </w:r>
      <w:r>
        <w:rPr>
          <w:spacing w:val="-7"/>
        </w:rPr>
        <w:t> </w:t>
      </w:r>
      <w:r>
        <w:rPr/>
        <w:t>Creek-Pend</w:t>
      </w:r>
      <w:r>
        <w:rPr>
          <w:spacing w:val="-4"/>
        </w:rPr>
        <w:t> </w:t>
      </w:r>
      <w:r>
        <w:rPr/>
        <w:t>Oreille</w:t>
      </w:r>
      <w:r>
        <w:rPr>
          <w:spacing w:val="-5"/>
        </w:rPr>
        <w:t> </w:t>
      </w:r>
      <w:r>
        <w:rPr/>
        <w:t>River)</w:t>
      </w:r>
      <w:r>
        <w:rPr>
          <w:spacing w:val="-3"/>
        </w:rPr>
        <w:t> </w:t>
      </w:r>
      <w:r>
        <w:rPr/>
        <w:t>include</w:t>
      </w:r>
      <w:r>
        <w:rPr>
          <w:spacing w:val="-2"/>
        </w:rPr>
        <w:t> </w:t>
      </w:r>
      <w:r>
        <w:rPr/>
        <w:t>Key</w:t>
      </w:r>
      <w:r>
        <w:rPr>
          <w:spacing w:val="-2"/>
        </w:rPr>
        <w:t> </w:t>
      </w:r>
      <w:r>
        <w:rPr/>
        <w:t>Watersheds</w:t>
      </w:r>
      <w:r>
        <w:rPr>
          <w:spacing w:val="-3"/>
        </w:rPr>
        <w:t> </w:t>
      </w:r>
      <w:r>
        <w:rPr/>
        <w:t>and</w:t>
      </w:r>
      <w:r>
        <w:rPr>
          <w:spacing w:val="-4"/>
        </w:rPr>
        <w:t> </w:t>
      </w:r>
      <w:r>
        <w:rPr/>
        <w:t>Priority Watersheds overlap with the identified Key Watersheds (West Branch Le Clerc Creek).</w:t>
      </w:r>
    </w:p>
    <w:p>
      <w:pPr>
        <w:pStyle w:val="BodyText"/>
        <w:spacing w:before="1"/>
        <w:ind w:left="720" w:right="1516"/>
      </w:pPr>
      <w:r>
        <w:rPr/>
        <w:t>Specific</w:t>
      </w:r>
      <w:r>
        <w:rPr>
          <w:spacing w:val="-2"/>
        </w:rPr>
        <w:t> </w:t>
      </w:r>
      <w:r>
        <w:rPr/>
        <w:t>restoration</w:t>
      </w:r>
      <w:r>
        <w:rPr>
          <w:spacing w:val="-5"/>
        </w:rPr>
        <w:t> </w:t>
      </w:r>
      <w:r>
        <w:rPr/>
        <w:t>objectives</w:t>
      </w:r>
      <w:r>
        <w:rPr>
          <w:spacing w:val="-2"/>
        </w:rPr>
        <w:t> </w:t>
      </w:r>
      <w:r>
        <w:rPr/>
        <w:t>have</w:t>
      </w:r>
      <w:r>
        <w:rPr>
          <w:spacing w:val="-4"/>
        </w:rPr>
        <w:t> </w:t>
      </w:r>
      <w:r>
        <w:rPr/>
        <w:t>been</w:t>
      </w:r>
      <w:r>
        <w:rPr>
          <w:spacing w:val="-3"/>
        </w:rPr>
        <w:t> </w:t>
      </w:r>
      <w:r>
        <w:rPr/>
        <w:t>identified</w:t>
      </w:r>
      <w:r>
        <w:rPr>
          <w:spacing w:val="-3"/>
        </w:rPr>
        <w:t> </w:t>
      </w:r>
      <w:r>
        <w:rPr/>
        <w:t>for</w:t>
      </w:r>
      <w:r>
        <w:rPr>
          <w:spacing w:val="-2"/>
        </w:rPr>
        <w:t> </w:t>
      </w:r>
      <w:r>
        <w:rPr/>
        <w:t>Key</w:t>
      </w:r>
      <w:r>
        <w:rPr>
          <w:spacing w:val="-2"/>
        </w:rPr>
        <w:t> </w:t>
      </w:r>
      <w:r>
        <w:rPr/>
        <w:t>Watersheds</w:t>
      </w:r>
      <w:r>
        <w:rPr>
          <w:spacing w:val="-4"/>
        </w:rPr>
        <w:t> </w:t>
      </w:r>
      <w:r>
        <w:rPr/>
        <w:t>in</w:t>
      </w:r>
      <w:r>
        <w:rPr>
          <w:spacing w:val="-3"/>
        </w:rPr>
        <w:t> </w:t>
      </w:r>
      <w:r>
        <w:rPr/>
        <w:t>the</w:t>
      </w:r>
      <w:r>
        <w:rPr>
          <w:spacing w:val="-4"/>
        </w:rPr>
        <w:t> </w:t>
      </w:r>
      <w:r>
        <w:rPr/>
        <w:t>Plan</w:t>
      </w:r>
      <w:r>
        <w:rPr>
          <w:spacing w:val="-2"/>
        </w:rPr>
        <w:t> </w:t>
      </w:r>
      <w:r>
        <w:rPr/>
        <w:t>and</w:t>
      </w:r>
      <w:r>
        <w:rPr>
          <w:spacing w:val="-3"/>
        </w:rPr>
        <w:t> </w:t>
      </w:r>
      <w:r>
        <w:rPr/>
        <w:t>the Key Watersheds are the priority for active restoration. The Focus and Priority Watersheds that are not in the Key Watershed network are used to target implementation of short- term, opportunistic restoration work such as in subwatersheds that are a restoration priority</w:t>
      </w:r>
      <w:r>
        <w:rPr>
          <w:spacing w:val="-3"/>
        </w:rPr>
        <w:t> </w:t>
      </w:r>
      <w:r>
        <w:rPr/>
        <w:t>for</w:t>
      </w:r>
      <w:r>
        <w:rPr>
          <w:spacing w:val="-4"/>
        </w:rPr>
        <w:t> </w:t>
      </w:r>
      <w:r>
        <w:rPr/>
        <w:t>partners,</w:t>
      </w:r>
      <w:r>
        <w:rPr>
          <w:spacing w:val="-4"/>
        </w:rPr>
        <w:t> </w:t>
      </w:r>
      <w:r>
        <w:rPr/>
        <w:t>but</w:t>
      </w:r>
      <w:r>
        <w:rPr>
          <w:spacing w:val="-1"/>
        </w:rPr>
        <w:t> </w:t>
      </w:r>
      <w:r>
        <w:rPr/>
        <w:t>not</w:t>
      </w:r>
      <w:r>
        <w:rPr>
          <w:spacing w:val="-1"/>
        </w:rPr>
        <w:t> </w:t>
      </w:r>
      <w:r>
        <w:rPr/>
        <w:t>necessarily</w:t>
      </w:r>
      <w:r>
        <w:rPr>
          <w:spacing w:val="-1"/>
        </w:rPr>
        <w:t> </w:t>
      </w:r>
      <w:r>
        <w:rPr/>
        <w:t>a</w:t>
      </w:r>
      <w:r>
        <w:rPr>
          <w:spacing w:val="-4"/>
        </w:rPr>
        <w:t> </w:t>
      </w:r>
      <w:r>
        <w:rPr/>
        <w:t>priority</w:t>
      </w:r>
      <w:r>
        <w:rPr>
          <w:spacing w:val="-1"/>
        </w:rPr>
        <w:t> </w:t>
      </w:r>
      <w:r>
        <w:rPr/>
        <w:t>to</w:t>
      </w:r>
      <w:r>
        <w:rPr>
          <w:spacing w:val="-3"/>
        </w:rPr>
        <w:t> </w:t>
      </w:r>
      <w:r>
        <w:rPr/>
        <w:t>benefit</w:t>
      </w:r>
      <w:r>
        <w:rPr>
          <w:spacing w:val="-1"/>
        </w:rPr>
        <w:t> </w:t>
      </w:r>
      <w:r>
        <w:rPr/>
        <w:t>the</w:t>
      </w:r>
      <w:r>
        <w:rPr>
          <w:spacing w:val="-1"/>
        </w:rPr>
        <w:t> </w:t>
      </w:r>
      <w:r>
        <w:rPr/>
        <w:t>aquatic</w:t>
      </w:r>
      <w:r>
        <w:rPr>
          <w:spacing w:val="-3"/>
        </w:rPr>
        <w:t> </w:t>
      </w:r>
      <w:r>
        <w:rPr/>
        <w:t>surrogate</w:t>
      </w:r>
      <w:r>
        <w:rPr>
          <w:spacing w:val="-1"/>
        </w:rPr>
        <w:t> </w:t>
      </w:r>
      <w:r>
        <w:rPr/>
        <w:t>species.</w:t>
      </w:r>
    </w:p>
    <w:p>
      <w:pPr>
        <w:pStyle w:val="BodyText"/>
        <w:spacing w:before="119"/>
        <w:ind w:left="720"/>
      </w:pPr>
      <w:r>
        <w:rPr/>
        <w:t>WATERSHED</w:t>
      </w:r>
      <w:r>
        <w:rPr>
          <w:spacing w:val="-5"/>
        </w:rPr>
        <w:t> </w:t>
      </w:r>
      <w:r>
        <w:rPr>
          <w:spacing w:val="-2"/>
        </w:rPr>
        <w:t>ANALYSIS</w:t>
      </w:r>
    </w:p>
    <w:p>
      <w:pPr>
        <w:pStyle w:val="BodyText"/>
        <w:spacing w:before="120"/>
        <w:ind w:left="720" w:right="1546"/>
      </w:pPr>
      <w:r>
        <w:rPr/>
        <w:t>Watershed analysis is an interdisciplinary analysis of the status and trends of watershed and aquatic ecosystem conditions, State-designated beneficial uses of water (e.g., municipal water supply), and the hydrologic, geomorphic, and biological processes that strongly influence them. Watershed analysis provides consistent, mid-scale information that serves as a foundation for plan implementation through the development of strategic and integrated programs and projects that protect and restore aquatic resources, while enabling informed and sustainable resource use and management. The watershed analysis process</w:t>
      </w:r>
      <w:r>
        <w:rPr>
          <w:spacing w:val="-5"/>
        </w:rPr>
        <w:t> </w:t>
      </w:r>
      <w:r>
        <w:rPr/>
        <w:t>is</w:t>
      </w:r>
      <w:r>
        <w:rPr>
          <w:spacing w:val="-3"/>
        </w:rPr>
        <w:t> </w:t>
      </w:r>
      <w:r>
        <w:rPr/>
        <w:t>described</w:t>
      </w:r>
      <w:r>
        <w:rPr>
          <w:spacing w:val="-4"/>
        </w:rPr>
        <w:t> </w:t>
      </w:r>
      <w:r>
        <w:rPr/>
        <w:t>in</w:t>
      </w:r>
      <w:r>
        <w:rPr>
          <w:spacing w:val="-4"/>
        </w:rPr>
        <w:t> </w:t>
      </w:r>
      <w:r>
        <w:rPr/>
        <w:t>detail</w:t>
      </w:r>
      <w:r>
        <w:rPr>
          <w:spacing w:val="-3"/>
        </w:rPr>
        <w:t> </w:t>
      </w:r>
      <w:r>
        <w:rPr/>
        <w:t>in</w:t>
      </w:r>
      <w:r>
        <w:rPr>
          <w:spacing w:val="-4"/>
        </w:rPr>
        <w:t> </w:t>
      </w:r>
      <w:r>
        <w:rPr/>
        <w:t>the</w:t>
      </w:r>
      <w:r>
        <w:rPr>
          <w:spacing w:val="-2"/>
        </w:rPr>
        <w:t> </w:t>
      </w:r>
      <w:r>
        <w:rPr/>
        <w:t>Colville</w:t>
      </w:r>
      <w:r>
        <w:rPr>
          <w:spacing w:val="-2"/>
        </w:rPr>
        <w:t> </w:t>
      </w:r>
      <w:r>
        <w:rPr/>
        <w:t>Aquatic</w:t>
      </w:r>
      <w:r>
        <w:rPr>
          <w:spacing w:val="-5"/>
        </w:rPr>
        <w:t> </w:t>
      </w:r>
      <w:r>
        <w:rPr/>
        <w:t>and</w:t>
      </w:r>
      <w:r>
        <w:rPr>
          <w:spacing w:val="-4"/>
        </w:rPr>
        <w:t> </w:t>
      </w:r>
      <w:r>
        <w:rPr/>
        <w:t>Riparian</w:t>
      </w:r>
      <w:r>
        <w:rPr>
          <w:spacing w:val="-4"/>
        </w:rPr>
        <w:t> </w:t>
      </w:r>
      <w:r>
        <w:rPr/>
        <w:t>Conservation</w:t>
      </w:r>
      <w:r>
        <w:rPr>
          <w:spacing w:val="-4"/>
        </w:rPr>
        <w:t> </w:t>
      </w:r>
      <w:r>
        <w:rPr/>
        <w:t>Strategy</w:t>
      </w:r>
      <w:r>
        <w:rPr>
          <w:spacing w:val="-5"/>
        </w:rPr>
        <w:t> </w:t>
      </w:r>
      <w:r>
        <w:rPr/>
        <w:t>(see FEIS, Appendix H).</w:t>
      </w:r>
    </w:p>
    <w:p>
      <w:pPr>
        <w:pStyle w:val="BodyText"/>
        <w:spacing w:before="120"/>
        <w:ind w:left="720"/>
      </w:pPr>
      <w:r>
        <w:rPr/>
        <w:t>Criteria</w:t>
      </w:r>
      <w:r>
        <w:rPr>
          <w:spacing w:val="-7"/>
        </w:rPr>
        <w:t> </w:t>
      </w:r>
      <w:r>
        <w:rPr/>
        <w:t>for</w:t>
      </w:r>
      <w:r>
        <w:rPr>
          <w:spacing w:val="-4"/>
        </w:rPr>
        <w:t> </w:t>
      </w:r>
      <w:r>
        <w:rPr/>
        <w:t>selecting</w:t>
      </w:r>
      <w:r>
        <w:rPr>
          <w:spacing w:val="-5"/>
        </w:rPr>
        <w:t> </w:t>
      </w:r>
      <w:r>
        <w:rPr/>
        <w:t>potential</w:t>
      </w:r>
      <w:r>
        <w:rPr>
          <w:spacing w:val="-4"/>
        </w:rPr>
        <w:t> </w:t>
      </w:r>
      <w:r>
        <w:rPr/>
        <w:t>watersheds</w:t>
      </w:r>
      <w:r>
        <w:rPr>
          <w:spacing w:val="-4"/>
        </w:rPr>
        <w:t> </w:t>
      </w:r>
      <w:r>
        <w:rPr/>
        <w:t>for</w:t>
      </w:r>
      <w:r>
        <w:rPr>
          <w:spacing w:val="-6"/>
        </w:rPr>
        <w:t> </w:t>
      </w:r>
      <w:r>
        <w:rPr/>
        <w:t>analysis</w:t>
      </w:r>
      <w:r>
        <w:rPr>
          <w:spacing w:val="-6"/>
        </w:rPr>
        <w:t> </w:t>
      </w:r>
      <w:r>
        <w:rPr/>
        <w:t>should</w:t>
      </w:r>
      <w:r>
        <w:rPr>
          <w:spacing w:val="-5"/>
        </w:rPr>
        <w:t> </w:t>
      </w:r>
      <w:r>
        <w:rPr/>
        <w:t>include:</w:t>
      </w:r>
      <w:r>
        <w:rPr>
          <w:spacing w:val="-5"/>
        </w:rPr>
        <w:t> </w:t>
      </w:r>
      <w:r>
        <w:rPr/>
        <w:t>(1)</w:t>
      </w:r>
      <w:r>
        <w:rPr>
          <w:spacing w:val="-4"/>
        </w:rPr>
        <w:t> </w:t>
      </w:r>
      <w:r>
        <w:rPr/>
        <w:t>Key</w:t>
      </w:r>
      <w:r>
        <w:rPr>
          <w:spacing w:val="-5"/>
        </w:rPr>
        <w:t> </w:t>
      </w:r>
      <w:r>
        <w:rPr>
          <w:spacing w:val="-2"/>
        </w:rPr>
        <w:t>Watersheds;</w:t>
      </w:r>
    </w:p>
    <w:p>
      <w:pPr>
        <w:pStyle w:val="BodyText"/>
        <w:ind w:left="720" w:right="1445"/>
      </w:pPr>
      <w:r>
        <w:rPr/>
        <w:t>(2)</w:t>
      </w:r>
      <w:r>
        <w:rPr>
          <w:spacing w:val="-5"/>
        </w:rPr>
        <w:t> </w:t>
      </w:r>
      <w:r>
        <w:rPr/>
        <w:t>watersheds</w:t>
      </w:r>
      <w:r>
        <w:rPr>
          <w:spacing w:val="-3"/>
        </w:rPr>
        <w:t> </w:t>
      </w:r>
      <w:r>
        <w:rPr/>
        <w:t>that</w:t>
      </w:r>
      <w:r>
        <w:rPr>
          <w:spacing w:val="-2"/>
        </w:rPr>
        <w:t> </w:t>
      </w:r>
      <w:r>
        <w:rPr/>
        <w:t>have</w:t>
      </w:r>
      <w:r>
        <w:rPr>
          <w:spacing w:val="-2"/>
        </w:rPr>
        <w:t> </w:t>
      </w:r>
      <w:r>
        <w:rPr/>
        <w:t>been</w:t>
      </w:r>
      <w:r>
        <w:rPr>
          <w:spacing w:val="-6"/>
        </w:rPr>
        <w:t> </w:t>
      </w:r>
      <w:r>
        <w:rPr/>
        <w:t>or</w:t>
      </w:r>
      <w:r>
        <w:rPr>
          <w:spacing w:val="-3"/>
        </w:rPr>
        <w:t> </w:t>
      </w:r>
      <w:r>
        <w:rPr/>
        <w:t>likely</w:t>
      </w:r>
      <w:r>
        <w:rPr>
          <w:spacing w:val="-4"/>
        </w:rPr>
        <w:t> </w:t>
      </w:r>
      <w:r>
        <w:rPr/>
        <w:t>will</w:t>
      </w:r>
      <w:r>
        <w:rPr>
          <w:spacing w:val="-3"/>
        </w:rPr>
        <w:t> </w:t>
      </w:r>
      <w:r>
        <w:rPr/>
        <w:t>be</w:t>
      </w:r>
      <w:r>
        <w:rPr>
          <w:spacing w:val="-2"/>
        </w:rPr>
        <w:t> </w:t>
      </w:r>
      <w:r>
        <w:rPr/>
        <w:t>identified</w:t>
      </w:r>
      <w:r>
        <w:rPr>
          <w:spacing w:val="-4"/>
        </w:rPr>
        <w:t> </w:t>
      </w:r>
      <w:r>
        <w:rPr/>
        <w:t>as</w:t>
      </w:r>
      <w:r>
        <w:rPr>
          <w:spacing w:val="-5"/>
        </w:rPr>
        <w:t> </w:t>
      </w:r>
      <w:r>
        <w:rPr/>
        <w:t>Priority</w:t>
      </w:r>
      <w:r>
        <w:rPr>
          <w:spacing w:val="-4"/>
        </w:rPr>
        <w:t> </w:t>
      </w:r>
      <w:r>
        <w:rPr/>
        <w:t>Watersheds</w:t>
      </w:r>
      <w:r>
        <w:rPr>
          <w:spacing w:val="-5"/>
        </w:rPr>
        <w:t> </w:t>
      </w:r>
      <w:r>
        <w:rPr/>
        <w:t>under</w:t>
      </w:r>
      <w:r>
        <w:rPr>
          <w:spacing w:val="-3"/>
        </w:rPr>
        <w:t> </w:t>
      </w:r>
      <w:r>
        <w:rPr/>
        <w:t>the Watershed Condition Framework during the life of the Plan; (3) watersheds that support listed species or contain designated critical habitat; and (4) watersheds wherein management activities are likely to occur that may substantially affect aquatic resources (e.g., due to their inherent nature, location, timing or scale).</w:t>
      </w:r>
    </w:p>
    <w:p>
      <w:pPr>
        <w:pStyle w:val="BodyText"/>
        <w:spacing w:before="119"/>
        <w:ind w:left="720" w:right="1073"/>
      </w:pPr>
      <w:r>
        <w:rPr/>
        <w:t>Watershed</w:t>
      </w:r>
      <w:r>
        <w:rPr>
          <w:spacing w:val="-4"/>
        </w:rPr>
        <w:t> </w:t>
      </w:r>
      <w:r>
        <w:rPr/>
        <w:t>analyses</w:t>
      </w:r>
      <w:r>
        <w:rPr>
          <w:spacing w:val="-3"/>
        </w:rPr>
        <w:t> </w:t>
      </w:r>
      <w:r>
        <w:rPr/>
        <w:t>should</w:t>
      </w:r>
      <w:r>
        <w:rPr>
          <w:spacing w:val="-4"/>
        </w:rPr>
        <w:t> </w:t>
      </w:r>
      <w:r>
        <w:rPr/>
        <w:t>generally</w:t>
      </w:r>
      <w:r>
        <w:rPr>
          <w:spacing w:val="-4"/>
        </w:rPr>
        <w:t> </w:t>
      </w:r>
      <w:r>
        <w:rPr/>
        <w:t>be</w:t>
      </w:r>
      <w:r>
        <w:rPr>
          <w:spacing w:val="-2"/>
        </w:rPr>
        <w:t> </w:t>
      </w:r>
      <w:r>
        <w:rPr/>
        <w:t>conducted</w:t>
      </w:r>
      <w:r>
        <w:rPr>
          <w:spacing w:val="-6"/>
        </w:rPr>
        <w:t> </w:t>
      </w:r>
      <w:r>
        <w:rPr/>
        <w:t>or</w:t>
      </w:r>
      <w:r>
        <w:rPr>
          <w:spacing w:val="-5"/>
        </w:rPr>
        <w:t> </w:t>
      </w:r>
      <w:r>
        <w:rPr/>
        <w:t>updated</w:t>
      </w:r>
      <w:r>
        <w:rPr>
          <w:spacing w:val="-4"/>
        </w:rPr>
        <w:t> </w:t>
      </w:r>
      <w:r>
        <w:rPr/>
        <w:t>prior</w:t>
      </w:r>
      <w:r>
        <w:rPr>
          <w:spacing w:val="-3"/>
        </w:rPr>
        <w:t> </w:t>
      </w:r>
      <w:r>
        <w:rPr/>
        <w:t>to</w:t>
      </w:r>
      <w:r>
        <w:rPr>
          <w:spacing w:val="-2"/>
        </w:rPr>
        <w:t> </w:t>
      </w:r>
      <w:r>
        <w:rPr/>
        <w:t>developing</w:t>
      </w:r>
      <w:r>
        <w:rPr>
          <w:spacing w:val="-4"/>
        </w:rPr>
        <w:t> </w:t>
      </w:r>
      <w:r>
        <w:rPr/>
        <w:t>and implementing Watershed Restoration Action Plans for Priority Watersheds.</w:t>
      </w:r>
    </w:p>
    <w:p>
      <w:pPr>
        <w:pStyle w:val="BodyText"/>
        <w:spacing w:before="120"/>
        <w:ind w:left="720" w:right="1516"/>
      </w:pPr>
      <w:r>
        <w:rPr/>
        <w:t>In</w:t>
      </w:r>
      <w:r>
        <w:rPr>
          <w:spacing w:val="-4"/>
        </w:rPr>
        <w:t> </w:t>
      </w:r>
      <w:r>
        <w:rPr/>
        <w:t>addition,</w:t>
      </w:r>
      <w:r>
        <w:rPr>
          <w:spacing w:val="-3"/>
        </w:rPr>
        <w:t> </w:t>
      </w:r>
      <w:r>
        <w:rPr/>
        <w:t>watershed</w:t>
      </w:r>
      <w:r>
        <w:rPr>
          <w:spacing w:val="-4"/>
        </w:rPr>
        <w:t> </w:t>
      </w:r>
      <w:r>
        <w:rPr/>
        <w:t>analyses</w:t>
      </w:r>
      <w:r>
        <w:rPr>
          <w:spacing w:val="-5"/>
        </w:rPr>
        <w:t> </w:t>
      </w:r>
      <w:r>
        <w:rPr/>
        <w:t>shall</w:t>
      </w:r>
      <w:r>
        <w:rPr>
          <w:spacing w:val="-3"/>
        </w:rPr>
        <w:t> </w:t>
      </w:r>
      <w:r>
        <w:rPr/>
        <w:t>be</w:t>
      </w:r>
      <w:r>
        <w:rPr>
          <w:spacing w:val="-2"/>
        </w:rPr>
        <w:t> </w:t>
      </w:r>
      <w:r>
        <w:rPr/>
        <w:t>conducted</w:t>
      </w:r>
      <w:r>
        <w:rPr>
          <w:spacing w:val="-4"/>
        </w:rPr>
        <w:t> </w:t>
      </w:r>
      <w:r>
        <w:rPr/>
        <w:t>or</w:t>
      </w:r>
      <w:r>
        <w:rPr>
          <w:spacing w:val="-7"/>
        </w:rPr>
        <w:t> </w:t>
      </w:r>
      <w:r>
        <w:rPr/>
        <w:t>updated</w:t>
      </w:r>
      <w:r>
        <w:rPr>
          <w:spacing w:val="-4"/>
        </w:rPr>
        <w:t> </w:t>
      </w:r>
      <w:r>
        <w:rPr/>
        <w:t>prior</w:t>
      </w:r>
      <w:r>
        <w:rPr>
          <w:spacing w:val="-3"/>
        </w:rPr>
        <w:t> </w:t>
      </w:r>
      <w:r>
        <w:rPr/>
        <w:t>to:</w:t>
      </w:r>
      <w:r>
        <w:rPr>
          <w:spacing w:val="40"/>
        </w:rPr>
        <w:t> </w:t>
      </w:r>
      <w:r>
        <w:rPr/>
        <w:t>proposing</w:t>
      </w:r>
      <w:r>
        <w:rPr>
          <w:spacing w:val="-4"/>
        </w:rPr>
        <w:t> </w:t>
      </w:r>
      <w:r>
        <w:rPr/>
        <w:t>changes to Riparian Management Area (RMA) widths, timber salvage or construction of facilities in RMAs, or construction of permanent system roads in RMAs.</w:t>
      </w:r>
    </w:p>
    <w:p>
      <w:pPr>
        <w:pStyle w:val="BodyText"/>
        <w:spacing w:before="94"/>
      </w:pPr>
    </w:p>
    <w:p>
      <w:pPr>
        <w:pStyle w:val="Heading4"/>
      </w:pPr>
      <w:bookmarkStart w:name="Desired Conditions" w:id="203"/>
      <w:bookmarkEnd w:id="203"/>
      <w:r>
        <w:rPr/>
      </w:r>
      <w:bookmarkStart w:name="_bookmark94" w:id="204"/>
      <w:bookmarkEnd w:id="204"/>
      <w:r>
        <w:rPr/>
      </w:r>
      <w:r>
        <w:rPr/>
        <w:t>Desired</w:t>
      </w:r>
      <w:r>
        <w:rPr>
          <w:spacing w:val="-4"/>
        </w:rPr>
        <w:t> </w:t>
      </w:r>
      <w:r>
        <w:rPr>
          <w:spacing w:val="-2"/>
        </w:rPr>
        <w:t>Conditions</w:t>
      </w:r>
    </w:p>
    <w:p>
      <w:pPr>
        <w:spacing w:before="239"/>
        <w:ind w:left="360" w:right="0" w:firstLine="0"/>
        <w:jc w:val="left"/>
        <w:rPr>
          <w:rFonts w:ascii="Arial"/>
          <w:i/>
          <w:sz w:val="22"/>
        </w:rPr>
      </w:pPr>
      <w:bookmarkStart w:name="FW-DC-WR-01. Natural Disturbance Regime " w:id="205"/>
      <w:bookmarkEnd w:id="205"/>
      <w:r>
        <w:rPr/>
      </w:r>
      <w:r>
        <w:rPr>
          <w:rFonts w:ascii="Arial"/>
          <w:i/>
          <w:sz w:val="22"/>
        </w:rPr>
        <w:t>FW-DC-WR-01.</w:t>
      </w:r>
      <w:r>
        <w:rPr>
          <w:rFonts w:ascii="Arial"/>
          <w:i/>
          <w:spacing w:val="-10"/>
          <w:sz w:val="22"/>
        </w:rPr>
        <w:t> </w:t>
      </w:r>
      <w:r>
        <w:rPr>
          <w:rFonts w:ascii="Arial"/>
          <w:i/>
          <w:sz w:val="22"/>
        </w:rPr>
        <w:t>Natural</w:t>
      </w:r>
      <w:r>
        <w:rPr>
          <w:rFonts w:ascii="Arial"/>
          <w:i/>
          <w:spacing w:val="-9"/>
          <w:sz w:val="22"/>
        </w:rPr>
        <w:t> </w:t>
      </w:r>
      <w:r>
        <w:rPr>
          <w:rFonts w:ascii="Arial"/>
          <w:i/>
          <w:sz w:val="22"/>
        </w:rPr>
        <w:t>Disturbance</w:t>
      </w:r>
      <w:r>
        <w:rPr>
          <w:rFonts w:ascii="Arial"/>
          <w:i/>
          <w:spacing w:val="-7"/>
          <w:sz w:val="22"/>
        </w:rPr>
        <w:t> </w:t>
      </w:r>
      <w:r>
        <w:rPr>
          <w:rFonts w:ascii="Arial"/>
          <w:i/>
          <w:sz w:val="22"/>
        </w:rPr>
        <w:t>Regime</w:t>
      </w:r>
      <w:r>
        <w:rPr>
          <w:rFonts w:ascii="Arial"/>
          <w:i/>
          <w:spacing w:val="-8"/>
          <w:sz w:val="22"/>
        </w:rPr>
        <w:t> </w:t>
      </w:r>
      <w:r>
        <w:rPr>
          <w:rFonts w:ascii="Arial"/>
          <w:i/>
          <w:sz w:val="22"/>
        </w:rPr>
        <w:t>of</w:t>
      </w:r>
      <w:r>
        <w:rPr>
          <w:rFonts w:ascii="Arial"/>
          <w:i/>
          <w:spacing w:val="-5"/>
          <w:sz w:val="22"/>
        </w:rPr>
        <w:t> </w:t>
      </w:r>
      <w:r>
        <w:rPr>
          <w:rFonts w:ascii="Arial"/>
          <w:i/>
          <w:sz w:val="22"/>
        </w:rPr>
        <w:t>Aquatic</w:t>
      </w:r>
      <w:r>
        <w:rPr>
          <w:rFonts w:ascii="Arial"/>
          <w:i/>
          <w:spacing w:val="-6"/>
          <w:sz w:val="22"/>
        </w:rPr>
        <w:t> </w:t>
      </w:r>
      <w:r>
        <w:rPr>
          <w:rFonts w:ascii="Arial"/>
          <w:i/>
          <w:sz w:val="22"/>
        </w:rPr>
        <w:t>and</w:t>
      </w:r>
      <w:r>
        <w:rPr>
          <w:rFonts w:ascii="Arial"/>
          <w:i/>
          <w:spacing w:val="-6"/>
          <w:sz w:val="22"/>
        </w:rPr>
        <w:t> </w:t>
      </w:r>
      <w:r>
        <w:rPr>
          <w:rFonts w:ascii="Arial"/>
          <w:i/>
          <w:sz w:val="22"/>
        </w:rPr>
        <w:t>Riparian</w:t>
      </w:r>
      <w:r>
        <w:rPr>
          <w:rFonts w:ascii="Arial"/>
          <w:i/>
          <w:spacing w:val="-8"/>
          <w:sz w:val="22"/>
        </w:rPr>
        <w:t> </w:t>
      </w:r>
      <w:r>
        <w:rPr>
          <w:rFonts w:ascii="Arial"/>
          <w:i/>
          <w:spacing w:val="-2"/>
          <w:sz w:val="22"/>
        </w:rPr>
        <w:t>Systems</w:t>
      </w:r>
    </w:p>
    <w:p>
      <w:pPr>
        <w:pStyle w:val="BodyText"/>
        <w:spacing w:line="232" w:lineRule="auto" w:before="65"/>
        <w:ind w:left="359" w:right="1516"/>
      </w:pPr>
      <w:r>
        <w:rPr/>
        <w:t>National Forest System lands contribute to the distribution, diversity, and resiliency of watershed</w:t>
      </w:r>
      <w:r>
        <w:rPr>
          <w:spacing w:val="-1"/>
        </w:rPr>
        <w:t> </w:t>
      </w:r>
      <w:r>
        <w:rPr/>
        <w:t>and</w:t>
      </w:r>
      <w:r>
        <w:rPr>
          <w:spacing w:val="-1"/>
        </w:rPr>
        <w:t> </w:t>
      </w:r>
      <w:r>
        <w:rPr/>
        <w:t>landscape-scale features,</w:t>
      </w:r>
      <w:r>
        <w:rPr>
          <w:spacing w:val="-2"/>
        </w:rPr>
        <w:t> </w:t>
      </w:r>
      <w:r>
        <w:rPr/>
        <w:t>including</w:t>
      </w:r>
      <w:r>
        <w:rPr>
          <w:spacing w:val="-1"/>
        </w:rPr>
        <w:t> </w:t>
      </w:r>
      <w:r>
        <w:rPr/>
        <w:t>natural disturbance regimes,</w:t>
      </w:r>
      <w:r>
        <w:rPr>
          <w:spacing w:val="-2"/>
        </w:rPr>
        <w:t> </w:t>
      </w:r>
      <w:r>
        <w:rPr/>
        <w:t>of the aquatic, riparian, and wetland ecosystems to which plant and animal species, populations, and communities</w:t>
      </w:r>
      <w:r>
        <w:rPr>
          <w:spacing w:val="-5"/>
        </w:rPr>
        <w:t> </w:t>
      </w:r>
      <w:r>
        <w:rPr/>
        <w:t>are</w:t>
      </w:r>
      <w:r>
        <w:rPr>
          <w:spacing w:val="-4"/>
        </w:rPr>
        <w:t> </w:t>
      </w:r>
      <w:r>
        <w:rPr/>
        <w:t>adapted.</w:t>
      </w:r>
      <w:r>
        <w:rPr>
          <w:spacing w:val="-7"/>
        </w:rPr>
        <w:t> </w:t>
      </w:r>
      <w:r>
        <w:rPr/>
        <w:t>Subbasin</w:t>
      </w:r>
      <w:r>
        <w:rPr>
          <w:spacing w:val="-6"/>
        </w:rPr>
        <w:t> </w:t>
      </w:r>
      <w:r>
        <w:rPr/>
        <w:t>scale</w:t>
      </w:r>
      <w:r>
        <w:rPr>
          <w:spacing w:val="-4"/>
        </w:rPr>
        <w:t> </w:t>
      </w:r>
      <w:r>
        <w:rPr/>
        <w:t>is</w:t>
      </w:r>
      <w:r>
        <w:rPr>
          <w:spacing w:val="-5"/>
        </w:rPr>
        <w:t> </w:t>
      </w:r>
      <w:r>
        <w:rPr/>
        <w:t>used</w:t>
      </w:r>
      <w:r>
        <w:rPr>
          <w:spacing w:val="-6"/>
        </w:rPr>
        <w:t> </w:t>
      </w:r>
      <w:r>
        <w:rPr/>
        <w:t>for</w:t>
      </w:r>
      <w:r>
        <w:rPr>
          <w:spacing w:val="-5"/>
        </w:rPr>
        <w:t> </w:t>
      </w:r>
      <w:r>
        <w:rPr/>
        <w:t>Forest</w:t>
      </w:r>
      <w:r>
        <w:rPr>
          <w:spacing w:val="-4"/>
        </w:rPr>
        <w:t> </w:t>
      </w:r>
      <w:r>
        <w:rPr/>
        <w:t>planning</w:t>
      </w:r>
      <w:r>
        <w:rPr>
          <w:spacing w:val="-6"/>
        </w:rPr>
        <w:t> </w:t>
      </w:r>
      <w:r>
        <w:rPr/>
        <w:t>and</w:t>
      </w:r>
      <w:r>
        <w:rPr>
          <w:spacing w:val="-6"/>
        </w:rPr>
        <w:t> </w:t>
      </w:r>
      <w:r>
        <w:rPr/>
        <w:t>5th</w:t>
      </w:r>
      <w:r>
        <w:rPr>
          <w:spacing w:val="-7"/>
        </w:rPr>
        <w:t> </w:t>
      </w:r>
      <w:r>
        <w:rPr/>
        <w:t>field</w:t>
      </w:r>
      <w:r>
        <w:rPr>
          <w:spacing w:val="-5"/>
        </w:rPr>
        <w:t> </w:t>
      </w:r>
      <w:r>
        <w:rPr/>
        <w:t>watershed</w:t>
      </w:r>
      <w:r>
        <w:rPr>
          <w:spacing w:val="-7"/>
        </w:rPr>
        <w:t> </w:t>
      </w:r>
      <w:r>
        <w:rPr/>
        <w:t>or subwatershed scale is used for project planning.</w:t>
      </w:r>
    </w:p>
    <w:p>
      <w:pPr>
        <w:spacing w:before="233"/>
        <w:ind w:left="359" w:right="0" w:firstLine="0"/>
        <w:jc w:val="left"/>
        <w:rPr>
          <w:rFonts w:ascii="Arial"/>
          <w:i/>
          <w:sz w:val="22"/>
        </w:rPr>
      </w:pPr>
      <w:bookmarkStart w:name="FW-DC-WR-02. Hydrologic and Aquatic and " w:id="206"/>
      <w:bookmarkEnd w:id="206"/>
      <w:r>
        <w:rPr/>
      </w:r>
      <w:r>
        <w:rPr>
          <w:rFonts w:ascii="Arial"/>
          <w:i/>
          <w:sz w:val="22"/>
        </w:rPr>
        <w:t>FW-DC-WR-02.</w:t>
      </w:r>
      <w:r>
        <w:rPr>
          <w:rFonts w:ascii="Arial"/>
          <w:i/>
          <w:spacing w:val="-10"/>
          <w:sz w:val="22"/>
        </w:rPr>
        <w:t> </w:t>
      </w:r>
      <w:r>
        <w:rPr>
          <w:rFonts w:ascii="Arial"/>
          <w:i/>
          <w:sz w:val="22"/>
        </w:rPr>
        <w:t>Hydrologic</w:t>
      </w:r>
      <w:r>
        <w:rPr>
          <w:rFonts w:ascii="Arial"/>
          <w:i/>
          <w:spacing w:val="-7"/>
          <w:sz w:val="22"/>
        </w:rPr>
        <w:t> </w:t>
      </w:r>
      <w:r>
        <w:rPr>
          <w:rFonts w:ascii="Arial"/>
          <w:i/>
          <w:sz w:val="22"/>
        </w:rPr>
        <w:t>and</w:t>
      </w:r>
      <w:r>
        <w:rPr>
          <w:rFonts w:ascii="Arial"/>
          <w:i/>
          <w:spacing w:val="-7"/>
          <w:sz w:val="22"/>
        </w:rPr>
        <w:t> </w:t>
      </w:r>
      <w:r>
        <w:rPr>
          <w:rFonts w:ascii="Arial"/>
          <w:i/>
          <w:sz w:val="22"/>
        </w:rPr>
        <w:t>Aquatic</w:t>
      </w:r>
      <w:r>
        <w:rPr>
          <w:rFonts w:ascii="Arial"/>
          <w:i/>
          <w:spacing w:val="-8"/>
          <w:sz w:val="22"/>
        </w:rPr>
        <w:t> </w:t>
      </w:r>
      <w:r>
        <w:rPr>
          <w:rFonts w:ascii="Arial"/>
          <w:i/>
          <w:sz w:val="22"/>
        </w:rPr>
        <w:t>and</w:t>
      </w:r>
      <w:r>
        <w:rPr>
          <w:rFonts w:ascii="Arial"/>
          <w:i/>
          <w:spacing w:val="-7"/>
          <w:sz w:val="22"/>
        </w:rPr>
        <w:t> </w:t>
      </w:r>
      <w:r>
        <w:rPr>
          <w:rFonts w:ascii="Arial"/>
          <w:i/>
          <w:sz w:val="22"/>
        </w:rPr>
        <w:t>Riparian</w:t>
      </w:r>
      <w:r>
        <w:rPr>
          <w:rFonts w:ascii="Arial"/>
          <w:i/>
          <w:spacing w:val="-7"/>
          <w:sz w:val="22"/>
        </w:rPr>
        <w:t> </w:t>
      </w:r>
      <w:r>
        <w:rPr>
          <w:rFonts w:ascii="Arial"/>
          <w:i/>
          <w:sz w:val="22"/>
        </w:rPr>
        <w:t>Habitat</w:t>
      </w:r>
      <w:r>
        <w:rPr>
          <w:rFonts w:ascii="Arial"/>
          <w:i/>
          <w:spacing w:val="-7"/>
          <w:sz w:val="22"/>
        </w:rPr>
        <w:t> </w:t>
      </w:r>
      <w:r>
        <w:rPr>
          <w:rFonts w:ascii="Arial"/>
          <w:i/>
          <w:spacing w:val="-2"/>
          <w:sz w:val="22"/>
        </w:rPr>
        <w:t>Connectivity</w:t>
      </w:r>
    </w:p>
    <w:p>
      <w:pPr>
        <w:pStyle w:val="BodyText"/>
        <w:spacing w:line="232" w:lineRule="auto" w:before="67"/>
        <w:ind w:left="359" w:right="1445"/>
      </w:pPr>
      <w:r>
        <w:rPr/>
        <w:t>National Forest System lands contribute to uninterrupted physical and biological processes within</w:t>
      </w:r>
      <w:r>
        <w:rPr>
          <w:spacing w:val="-11"/>
        </w:rPr>
        <w:t> </w:t>
      </w:r>
      <w:r>
        <w:rPr/>
        <w:t>and</w:t>
      </w:r>
      <w:r>
        <w:rPr>
          <w:spacing w:val="-11"/>
        </w:rPr>
        <w:t> </w:t>
      </w:r>
      <w:r>
        <w:rPr/>
        <w:t>between</w:t>
      </w:r>
      <w:r>
        <w:rPr>
          <w:spacing w:val="-11"/>
        </w:rPr>
        <w:t> </w:t>
      </w:r>
      <w:r>
        <w:rPr/>
        <w:t>watersheds.</w:t>
      </w:r>
      <w:r>
        <w:rPr>
          <w:spacing w:val="-10"/>
        </w:rPr>
        <w:t> </w:t>
      </w:r>
      <w:r>
        <w:rPr/>
        <w:t>Floodplains,</w:t>
      </w:r>
      <w:r>
        <w:rPr>
          <w:spacing w:val="-12"/>
        </w:rPr>
        <w:t> </w:t>
      </w:r>
      <w:r>
        <w:rPr/>
        <w:t>groundwater-dependent</w:t>
      </w:r>
      <w:r>
        <w:rPr>
          <w:spacing w:val="-10"/>
        </w:rPr>
        <w:t> </w:t>
      </w:r>
      <w:r>
        <w:rPr/>
        <w:t>systems,</w:t>
      </w:r>
      <w:r>
        <w:rPr>
          <w:spacing w:val="-10"/>
        </w:rPr>
        <w:t> </w:t>
      </w:r>
      <w:r>
        <w:rPr/>
        <w:t>upslope</w:t>
      </w:r>
      <w:r>
        <w:rPr>
          <w:spacing w:val="-12"/>
        </w:rPr>
        <w:t> </w:t>
      </w:r>
      <w:r>
        <w:rPr/>
        <w:t>areas, headwater tributaries, and intact habitat refugia provide vertical, horizontal, and drainage network connections. These network connections provide chemically and physically unobstructed</w:t>
      </w:r>
      <w:r>
        <w:rPr>
          <w:spacing w:val="-1"/>
        </w:rPr>
        <w:t> </w:t>
      </w:r>
      <w:r>
        <w:rPr/>
        <w:t>routes to areas critical for fulfilling</w:t>
      </w:r>
      <w:r>
        <w:rPr>
          <w:spacing w:val="-1"/>
        </w:rPr>
        <w:t> </w:t>
      </w:r>
      <w:r>
        <w:rPr/>
        <w:t>life history</w:t>
      </w:r>
      <w:r>
        <w:rPr>
          <w:spacing w:val="-1"/>
        </w:rPr>
        <w:t> </w:t>
      </w:r>
      <w:r>
        <w:rPr/>
        <w:t>requirements</w:t>
      </w:r>
      <w:r>
        <w:rPr>
          <w:spacing w:val="-2"/>
        </w:rPr>
        <w:t> </w:t>
      </w:r>
      <w:r>
        <w:rPr/>
        <w:t>of aquatic, riparian-</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742"/>
      </w:pPr>
      <w:r>
        <w:rPr/>
        <w:t>dependent,</w:t>
      </w:r>
      <w:r>
        <w:rPr>
          <w:spacing w:val="-4"/>
        </w:rPr>
        <w:t> </w:t>
      </w:r>
      <w:r>
        <w:rPr/>
        <w:t>and</w:t>
      </w:r>
      <w:r>
        <w:rPr>
          <w:spacing w:val="-7"/>
        </w:rPr>
        <w:t> </w:t>
      </w:r>
      <w:r>
        <w:rPr/>
        <w:t>many</w:t>
      </w:r>
      <w:r>
        <w:rPr>
          <w:spacing w:val="-3"/>
        </w:rPr>
        <w:t> </w:t>
      </w:r>
      <w:r>
        <w:rPr/>
        <w:t>terrestrial</w:t>
      </w:r>
      <w:r>
        <w:rPr>
          <w:spacing w:val="-4"/>
        </w:rPr>
        <w:t> </w:t>
      </w:r>
      <w:r>
        <w:rPr/>
        <w:t>species</w:t>
      </w:r>
      <w:r>
        <w:rPr>
          <w:spacing w:val="-6"/>
        </w:rPr>
        <w:t> </w:t>
      </w:r>
      <w:r>
        <w:rPr/>
        <w:t>of</w:t>
      </w:r>
      <w:r>
        <w:rPr>
          <w:spacing w:val="-4"/>
        </w:rPr>
        <w:t> </w:t>
      </w:r>
      <w:r>
        <w:rPr/>
        <w:t>plants</w:t>
      </w:r>
      <w:r>
        <w:rPr>
          <w:spacing w:val="-4"/>
        </w:rPr>
        <w:t> </w:t>
      </w:r>
      <w:r>
        <w:rPr/>
        <w:t>and</w:t>
      </w:r>
      <w:r>
        <w:rPr>
          <w:spacing w:val="-7"/>
        </w:rPr>
        <w:t> </w:t>
      </w:r>
      <w:r>
        <w:rPr/>
        <w:t>animals.</w:t>
      </w:r>
      <w:r>
        <w:rPr>
          <w:spacing w:val="-4"/>
        </w:rPr>
        <w:t> </w:t>
      </w:r>
      <w:r>
        <w:rPr/>
        <w:t>Subbasin</w:t>
      </w:r>
      <w:r>
        <w:rPr>
          <w:spacing w:val="-5"/>
        </w:rPr>
        <w:t> </w:t>
      </w:r>
      <w:r>
        <w:rPr/>
        <w:t>scale</w:t>
      </w:r>
      <w:r>
        <w:rPr>
          <w:spacing w:val="-6"/>
        </w:rPr>
        <w:t> </w:t>
      </w:r>
      <w:r>
        <w:rPr/>
        <w:t>is</w:t>
      </w:r>
      <w:r>
        <w:rPr>
          <w:spacing w:val="-4"/>
        </w:rPr>
        <w:t> </w:t>
      </w:r>
      <w:r>
        <w:rPr/>
        <w:t>used</w:t>
      </w:r>
      <w:r>
        <w:rPr>
          <w:spacing w:val="-5"/>
        </w:rPr>
        <w:t> </w:t>
      </w:r>
      <w:r>
        <w:rPr/>
        <w:t>for</w:t>
      </w:r>
      <w:r>
        <w:rPr>
          <w:spacing w:val="-6"/>
        </w:rPr>
        <w:t> </w:t>
      </w:r>
      <w:r>
        <w:rPr/>
        <w:t>Forest planning, and 5th field watershed or subwatershed scale is used for project planning.</w:t>
      </w:r>
    </w:p>
    <w:p>
      <w:pPr>
        <w:spacing w:before="234"/>
        <w:ind w:left="1151" w:right="0" w:firstLine="0"/>
        <w:jc w:val="left"/>
        <w:rPr>
          <w:rFonts w:ascii="Arial"/>
          <w:i/>
          <w:sz w:val="22"/>
        </w:rPr>
      </w:pPr>
      <w:bookmarkStart w:name="FW-DC-WR-03. Self-Sustaining Native and " w:id="207"/>
      <w:bookmarkEnd w:id="207"/>
      <w:r>
        <w:rPr/>
      </w:r>
      <w:r>
        <w:rPr>
          <w:rFonts w:ascii="Arial"/>
          <w:i/>
          <w:sz w:val="22"/>
        </w:rPr>
        <w:t>FW-DC-WR-03.</w:t>
      </w:r>
      <w:r>
        <w:rPr>
          <w:rFonts w:ascii="Arial"/>
          <w:i/>
          <w:spacing w:val="-12"/>
          <w:sz w:val="22"/>
        </w:rPr>
        <w:t> </w:t>
      </w:r>
      <w:r>
        <w:rPr>
          <w:rFonts w:ascii="Arial"/>
          <w:i/>
          <w:sz w:val="22"/>
        </w:rPr>
        <w:t>Self-Sustaining</w:t>
      </w:r>
      <w:r>
        <w:rPr>
          <w:rFonts w:ascii="Arial"/>
          <w:i/>
          <w:spacing w:val="-8"/>
          <w:sz w:val="22"/>
        </w:rPr>
        <w:t> </w:t>
      </w:r>
      <w:r>
        <w:rPr>
          <w:rFonts w:ascii="Arial"/>
          <w:i/>
          <w:sz w:val="22"/>
        </w:rPr>
        <w:t>Native</w:t>
      </w:r>
      <w:r>
        <w:rPr>
          <w:rFonts w:ascii="Arial"/>
          <w:i/>
          <w:spacing w:val="-9"/>
          <w:sz w:val="22"/>
        </w:rPr>
        <w:t> </w:t>
      </w:r>
      <w:r>
        <w:rPr>
          <w:rFonts w:ascii="Arial"/>
          <w:i/>
          <w:sz w:val="22"/>
        </w:rPr>
        <w:t>and</w:t>
      </w:r>
      <w:r>
        <w:rPr>
          <w:rFonts w:ascii="Arial"/>
          <w:i/>
          <w:spacing w:val="-10"/>
          <w:sz w:val="22"/>
        </w:rPr>
        <w:t> </w:t>
      </w:r>
      <w:r>
        <w:rPr>
          <w:rFonts w:ascii="Arial"/>
          <w:i/>
          <w:sz w:val="22"/>
        </w:rPr>
        <w:t>Aquatic</w:t>
      </w:r>
      <w:r>
        <w:rPr>
          <w:rFonts w:ascii="Arial"/>
          <w:i/>
          <w:spacing w:val="-8"/>
          <w:sz w:val="22"/>
        </w:rPr>
        <w:t> </w:t>
      </w:r>
      <w:r>
        <w:rPr>
          <w:rFonts w:ascii="Arial"/>
          <w:i/>
          <w:sz w:val="22"/>
        </w:rPr>
        <w:t>and</w:t>
      </w:r>
      <w:r>
        <w:rPr>
          <w:rFonts w:ascii="Arial"/>
          <w:i/>
          <w:spacing w:val="-9"/>
          <w:sz w:val="22"/>
        </w:rPr>
        <w:t> </w:t>
      </w:r>
      <w:r>
        <w:rPr>
          <w:rFonts w:ascii="Arial"/>
          <w:i/>
          <w:sz w:val="22"/>
        </w:rPr>
        <w:t>Riparian-Dependent</w:t>
      </w:r>
      <w:r>
        <w:rPr>
          <w:rFonts w:ascii="Arial"/>
          <w:i/>
          <w:spacing w:val="-6"/>
          <w:sz w:val="22"/>
        </w:rPr>
        <w:t> </w:t>
      </w:r>
      <w:r>
        <w:rPr>
          <w:rFonts w:ascii="Arial"/>
          <w:i/>
          <w:spacing w:val="-2"/>
          <w:sz w:val="22"/>
        </w:rPr>
        <w:t>Species</w:t>
      </w:r>
    </w:p>
    <w:p>
      <w:pPr>
        <w:pStyle w:val="BodyText"/>
        <w:spacing w:line="232" w:lineRule="auto" w:before="65"/>
        <w:ind w:left="1151" w:right="742"/>
      </w:pPr>
      <w:r>
        <w:rPr/>
        <w:t>National</w:t>
      </w:r>
      <w:r>
        <w:rPr>
          <w:spacing w:val="-6"/>
        </w:rPr>
        <w:t> </w:t>
      </w:r>
      <w:r>
        <w:rPr/>
        <w:t>Forest</w:t>
      </w:r>
      <w:r>
        <w:rPr>
          <w:spacing w:val="-5"/>
        </w:rPr>
        <w:t> </w:t>
      </w:r>
      <w:r>
        <w:rPr/>
        <w:t>System</w:t>
      </w:r>
      <w:r>
        <w:rPr>
          <w:spacing w:val="-5"/>
        </w:rPr>
        <w:t> </w:t>
      </w:r>
      <w:r>
        <w:rPr/>
        <w:t>lands</w:t>
      </w:r>
      <w:r>
        <w:rPr>
          <w:spacing w:val="-6"/>
        </w:rPr>
        <w:t> </w:t>
      </w:r>
      <w:r>
        <w:rPr/>
        <w:t>contribute</w:t>
      </w:r>
      <w:r>
        <w:rPr>
          <w:spacing w:val="-8"/>
        </w:rPr>
        <w:t> </w:t>
      </w:r>
      <w:r>
        <w:rPr/>
        <w:t>to</w:t>
      </w:r>
      <w:r>
        <w:rPr>
          <w:spacing w:val="-7"/>
        </w:rPr>
        <w:t> </w:t>
      </w:r>
      <w:r>
        <w:rPr/>
        <w:t>habitat</w:t>
      </w:r>
      <w:r>
        <w:rPr>
          <w:spacing w:val="-5"/>
        </w:rPr>
        <w:t> </w:t>
      </w:r>
      <w:r>
        <w:rPr/>
        <w:t>and</w:t>
      </w:r>
      <w:r>
        <w:rPr>
          <w:spacing w:val="-7"/>
        </w:rPr>
        <w:t> </w:t>
      </w:r>
      <w:r>
        <w:rPr/>
        <w:t>ecological</w:t>
      </w:r>
      <w:r>
        <w:rPr>
          <w:spacing w:val="-6"/>
        </w:rPr>
        <w:t> </w:t>
      </w:r>
      <w:r>
        <w:rPr/>
        <w:t>conditions</w:t>
      </w:r>
      <w:r>
        <w:rPr>
          <w:spacing w:val="-8"/>
        </w:rPr>
        <w:t> </w:t>
      </w:r>
      <w:r>
        <w:rPr/>
        <w:t>that</w:t>
      </w:r>
      <w:r>
        <w:rPr>
          <w:spacing w:val="-8"/>
        </w:rPr>
        <w:t> </w:t>
      </w:r>
      <w:r>
        <w:rPr/>
        <w:t>are</w:t>
      </w:r>
      <w:r>
        <w:rPr>
          <w:spacing w:val="-5"/>
        </w:rPr>
        <w:t> </w:t>
      </w:r>
      <w:r>
        <w:rPr/>
        <w:t>capable</w:t>
      </w:r>
      <w:r>
        <w:rPr>
          <w:spacing w:val="-8"/>
        </w:rPr>
        <w:t> </w:t>
      </w:r>
      <w:r>
        <w:rPr/>
        <w:t>of supporting self-sustaining populations of native aquatic and riparian-dependent plant and animal species. Subbasin scale is used for forest planning and 5th field watershed or subwatershed scale is used for project planning.</w:t>
      </w:r>
    </w:p>
    <w:p>
      <w:pPr>
        <w:spacing w:before="234"/>
        <w:ind w:left="1151" w:right="0" w:firstLine="0"/>
        <w:jc w:val="left"/>
        <w:rPr>
          <w:rFonts w:ascii="Arial"/>
          <w:i/>
          <w:sz w:val="22"/>
        </w:rPr>
      </w:pPr>
      <w:bookmarkStart w:name="FW-DC-WR-04. Physical Integrity of Aquat" w:id="208"/>
      <w:bookmarkEnd w:id="208"/>
      <w:r>
        <w:rPr/>
      </w:r>
      <w:r>
        <w:rPr>
          <w:rFonts w:ascii="Arial"/>
          <w:i/>
          <w:sz w:val="22"/>
        </w:rPr>
        <w:t>FW-DC-WR-04.</w:t>
      </w:r>
      <w:r>
        <w:rPr>
          <w:rFonts w:ascii="Arial"/>
          <w:i/>
          <w:spacing w:val="-9"/>
          <w:sz w:val="22"/>
        </w:rPr>
        <w:t> </w:t>
      </w:r>
      <w:r>
        <w:rPr>
          <w:rFonts w:ascii="Arial"/>
          <w:i/>
          <w:sz w:val="22"/>
        </w:rPr>
        <w:t>Physical</w:t>
      </w:r>
      <w:r>
        <w:rPr>
          <w:rFonts w:ascii="Arial"/>
          <w:i/>
          <w:spacing w:val="-6"/>
          <w:sz w:val="22"/>
        </w:rPr>
        <w:t> </w:t>
      </w:r>
      <w:r>
        <w:rPr>
          <w:rFonts w:ascii="Arial"/>
          <w:i/>
          <w:sz w:val="22"/>
        </w:rPr>
        <w:t>Integrity</w:t>
      </w:r>
      <w:r>
        <w:rPr>
          <w:rFonts w:ascii="Arial"/>
          <w:i/>
          <w:spacing w:val="-7"/>
          <w:sz w:val="22"/>
        </w:rPr>
        <w:t> </w:t>
      </w:r>
      <w:r>
        <w:rPr>
          <w:rFonts w:ascii="Arial"/>
          <w:i/>
          <w:sz w:val="22"/>
        </w:rPr>
        <w:t>of</w:t>
      </w:r>
      <w:r>
        <w:rPr>
          <w:rFonts w:ascii="Arial"/>
          <w:i/>
          <w:spacing w:val="-4"/>
          <w:sz w:val="22"/>
        </w:rPr>
        <w:t> </w:t>
      </w:r>
      <w:r>
        <w:rPr>
          <w:rFonts w:ascii="Arial"/>
          <w:i/>
          <w:sz w:val="22"/>
        </w:rPr>
        <w:t>Aquatic</w:t>
      </w:r>
      <w:r>
        <w:rPr>
          <w:rFonts w:ascii="Arial"/>
          <w:i/>
          <w:spacing w:val="-7"/>
          <w:sz w:val="22"/>
        </w:rPr>
        <w:t> </w:t>
      </w:r>
      <w:r>
        <w:rPr>
          <w:rFonts w:ascii="Arial"/>
          <w:i/>
          <w:sz w:val="22"/>
        </w:rPr>
        <w:t>and</w:t>
      </w:r>
      <w:r>
        <w:rPr>
          <w:rFonts w:ascii="Arial"/>
          <w:i/>
          <w:spacing w:val="-8"/>
          <w:sz w:val="22"/>
        </w:rPr>
        <w:t> </w:t>
      </w:r>
      <w:r>
        <w:rPr>
          <w:rFonts w:ascii="Arial"/>
          <w:i/>
          <w:sz w:val="22"/>
        </w:rPr>
        <w:t>Riparian</w:t>
      </w:r>
      <w:r>
        <w:rPr>
          <w:rFonts w:ascii="Arial"/>
          <w:i/>
          <w:spacing w:val="-5"/>
          <w:sz w:val="22"/>
        </w:rPr>
        <w:t> </w:t>
      </w:r>
      <w:r>
        <w:rPr>
          <w:rFonts w:ascii="Arial"/>
          <w:i/>
          <w:spacing w:val="-2"/>
          <w:sz w:val="22"/>
        </w:rPr>
        <w:t>Habitat</w:t>
      </w:r>
    </w:p>
    <w:p>
      <w:pPr>
        <w:pStyle w:val="BodyText"/>
        <w:spacing w:line="232" w:lineRule="auto" w:before="65"/>
        <w:ind w:left="1151" w:right="742"/>
      </w:pPr>
      <w:r>
        <w:rPr/>
        <w:t>National Forest System lands provide aquatic habitats in which the distribution of conditions (e.g., bank stability, substrate size, pool depths and frequencies, channel morphology, large woody</w:t>
      </w:r>
      <w:r>
        <w:rPr>
          <w:spacing w:val="-3"/>
        </w:rPr>
        <w:t> </w:t>
      </w:r>
      <w:r>
        <w:rPr/>
        <w:t>debris</w:t>
      </w:r>
      <w:r>
        <w:rPr>
          <w:spacing w:val="-6"/>
        </w:rPr>
        <w:t> </w:t>
      </w:r>
      <w:r>
        <w:rPr/>
        <w:t>size</w:t>
      </w:r>
      <w:r>
        <w:rPr>
          <w:spacing w:val="-3"/>
        </w:rPr>
        <w:t> </w:t>
      </w:r>
      <w:r>
        <w:rPr/>
        <w:t>and</w:t>
      </w:r>
      <w:r>
        <w:rPr>
          <w:spacing w:val="-5"/>
        </w:rPr>
        <w:t> </w:t>
      </w:r>
      <w:r>
        <w:rPr/>
        <w:t>frequency)</w:t>
      </w:r>
      <w:r>
        <w:rPr>
          <w:spacing w:val="-4"/>
        </w:rPr>
        <w:t> </w:t>
      </w:r>
      <w:r>
        <w:rPr/>
        <w:t>in</w:t>
      </w:r>
      <w:r>
        <w:rPr>
          <w:spacing w:val="-7"/>
        </w:rPr>
        <w:t> </w:t>
      </w:r>
      <w:r>
        <w:rPr/>
        <w:t>the</w:t>
      </w:r>
      <w:r>
        <w:rPr>
          <w:spacing w:val="-3"/>
        </w:rPr>
        <w:t> </w:t>
      </w:r>
      <w:r>
        <w:rPr/>
        <w:t>population</w:t>
      </w:r>
      <w:r>
        <w:rPr>
          <w:spacing w:val="-7"/>
        </w:rPr>
        <w:t> </w:t>
      </w:r>
      <w:r>
        <w:rPr/>
        <w:t>of</w:t>
      </w:r>
      <w:r>
        <w:rPr>
          <w:spacing w:val="-6"/>
        </w:rPr>
        <w:t> </w:t>
      </w:r>
      <w:r>
        <w:rPr/>
        <w:t>watersheds</w:t>
      </w:r>
      <w:r>
        <w:rPr>
          <w:spacing w:val="-6"/>
        </w:rPr>
        <w:t> </w:t>
      </w:r>
      <w:r>
        <w:rPr/>
        <w:t>on</w:t>
      </w:r>
      <w:r>
        <w:rPr>
          <w:spacing w:val="-7"/>
        </w:rPr>
        <w:t> </w:t>
      </w:r>
      <w:r>
        <w:rPr/>
        <w:t>the</w:t>
      </w:r>
      <w:r>
        <w:rPr>
          <w:spacing w:val="-3"/>
        </w:rPr>
        <w:t> </w:t>
      </w:r>
      <w:r>
        <w:rPr/>
        <w:t>Forest</w:t>
      </w:r>
      <w:r>
        <w:rPr>
          <w:spacing w:val="-3"/>
        </w:rPr>
        <w:t> </w:t>
      </w:r>
      <w:r>
        <w:rPr/>
        <w:t>is</w:t>
      </w:r>
      <w:r>
        <w:rPr>
          <w:spacing w:val="-4"/>
        </w:rPr>
        <w:t> </w:t>
      </w:r>
      <w:r>
        <w:rPr/>
        <w:t>similar</w:t>
      </w:r>
      <w:r>
        <w:rPr>
          <w:spacing w:val="-6"/>
        </w:rPr>
        <w:t> </w:t>
      </w:r>
      <w:r>
        <w:rPr/>
        <w:t>to</w:t>
      </w:r>
      <w:r>
        <w:rPr>
          <w:spacing w:val="-5"/>
        </w:rPr>
        <w:t> </w:t>
      </w:r>
      <w:r>
        <w:rPr/>
        <w:t>the distribution of conditions in the population of similar, reference condition watersheds.</w:t>
      </w:r>
    </w:p>
    <w:p>
      <w:pPr>
        <w:pStyle w:val="BodyText"/>
        <w:spacing w:line="232" w:lineRule="auto"/>
        <w:ind w:left="1151" w:right="801"/>
      </w:pPr>
      <w:r>
        <w:rPr/>
        <w:t>Reference</w:t>
      </w:r>
      <w:r>
        <w:rPr>
          <w:spacing w:val="-5"/>
        </w:rPr>
        <w:t> </w:t>
      </w:r>
      <w:r>
        <w:rPr/>
        <w:t>conditions</w:t>
      </w:r>
      <w:r>
        <w:rPr>
          <w:spacing w:val="-8"/>
        </w:rPr>
        <w:t> </w:t>
      </w:r>
      <w:r>
        <w:rPr/>
        <w:t>can</w:t>
      </w:r>
      <w:r>
        <w:rPr>
          <w:spacing w:val="-7"/>
        </w:rPr>
        <w:t> </w:t>
      </w:r>
      <w:r>
        <w:rPr/>
        <w:t>be</w:t>
      </w:r>
      <w:r>
        <w:rPr>
          <w:spacing w:val="-5"/>
        </w:rPr>
        <w:t> </w:t>
      </w:r>
      <w:r>
        <w:rPr/>
        <w:t>drawn</w:t>
      </w:r>
      <w:r>
        <w:rPr>
          <w:spacing w:val="-7"/>
        </w:rPr>
        <w:t> </w:t>
      </w:r>
      <w:r>
        <w:rPr/>
        <w:t>from</w:t>
      </w:r>
      <w:r>
        <w:rPr>
          <w:spacing w:val="-5"/>
        </w:rPr>
        <w:t> </w:t>
      </w:r>
      <w:r>
        <w:rPr/>
        <w:t>the</w:t>
      </w:r>
      <w:r>
        <w:rPr>
          <w:spacing w:val="-8"/>
        </w:rPr>
        <w:t> </w:t>
      </w:r>
      <w:r>
        <w:rPr/>
        <w:t>Forest</w:t>
      </w:r>
      <w:r>
        <w:rPr>
          <w:spacing w:val="-8"/>
        </w:rPr>
        <w:t> </w:t>
      </w:r>
      <w:r>
        <w:rPr/>
        <w:t>or</w:t>
      </w:r>
      <w:r>
        <w:rPr>
          <w:spacing w:val="-8"/>
        </w:rPr>
        <w:t> </w:t>
      </w:r>
      <w:r>
        <w:rPr/>
        <w:t>Provincial</w:t>
      </w:r>
      <w:r>
        <w:rPr>
          <w:spacing w:val="-6"/>
        </w:rPr>
        <w:t> </w:t>
      </w:r>
      <w:r>
        <w:rPr/>
        <w:t>scales.</w:t>
      </w:r>
      <w:r>
        <w:rPr>
          <w:spacing w:val="-6"/>
        </w:rPr>
        <w:t> </w:t>
      </w:r>
      <w:r>
        <w:rPr/>
        <w:t>Conditions</w:t>
      </w:r>
      <w:r>
        <w:rPr>
          <w:spacing w:val="-6"/>
        </w:rPr>
        <w:t> </w:t>
      </w:r>
      <w:r>
        <w:rPr/>
        <w:t>assessed</w:t>
      </w:r>
      <w:r>
        <w:rPr>
          <w:spacing w:val="-7"/>
        </w:rPr>
        <w:t> </w:t>
      </w:r>
      <w:r>
        <w:rPr/>
        <w:t>at the subbasin scale are used for forest and project planning.</w:t>
      </w:r>
    </w:p>
    <w:p>
      <w:pPr>
        <w:spacing w:before="231"/>
        <w:ind w:left="1151" w:right="0" w:firstLine="0"/>
        <w:jc w:val="left"/>
        <w:rPr>
          <w:rFonts w:ascii="Arial"/>
          <w:i/>
          <w:sz w:val="22"/>
        </w:rPr>
      </w:pPr>
      <w:bookmarkStart w:name="FW-DC-WR-05. Water Quality" w:id="209"/>
      <w:bookmarkEnd w:id="209"/>
      <w:r>
        <w:rPr/>
      </w:r>
      <w:r>
        <w:rPr>
          <w:rFonts w:ascii="Arial"/>
          <w:i/>
          <w:sz w:val="22"/>
        </w:rPr>
        <w:t>FW-DC-WR-05.</w:t>
      </w:r>
      <w:r>
        <w:rPr>
          <w:rFonts w:ascii="Arial"/>
          <w:i/>
          <w:spacing w:val="-9"/>
          <w:sz w:val="22"/>
        </w:rPr>
        <w:t> </w:t>
      </w:r>
      <w:r>
        <w:rPr>
          <w:rFonts w:ascii="Arial"/>
          <w:i/>
          <w:sz w:val="22"/>
        </w:rPr>
        <w:t>Water</w:t>
      </w:r>
      <w:r>
        <w:rPr>
          <w:rFonts w:ascii="Arial"/>
          <w:i/>
          <w:spacing w:val="-9"/>
          <w:sz w:val="22"/>
        </w:rPr>
        <w:t> </w:t>
      </w:r>
      <w:r>
        <w:rPr>
          <w:rFonts w:ascii="Arial"/>
          <w:i/>
          <w:spacing w:val="-2"/>
          <w:sz w:val="22"/>
        </w:rPr>
        <w:t>Quality</w:t>
      </w:r>
    </w:p>
    <w:p>
      <w:pPr>
        <w:pStyle w:val="BodyText"/>
        <w:spacing w:line="232" w:lineRule="auto" w:before="65"/>
        <w:ind w:left="1151" w:right="801"/>
      </w:pPr>
      <w:r>
        <w:rPr/>
        <w:t>National</w:t>
      </w:r>
      <w:r>
        <w:rPr>
          <w:spacing w:val="-7"/>
        </w:rPr>
        <w:t> </w:t>
      </w:r>
      <w:r>
        <w:rPr/>
        <w:t>Forest</w:t>
      </w:r>
      <w:r>
        <w:rPr>
          <w:spacing w:val="-6"/>
        </w:rPr>
        <w:t> </w:t>
      </w:r>
      <w:r>
        <w:rPr/>
        <w:t>System</w:t>
      </w:r>
      <w:r>
        <w:rPr>
          <w:spacing w:val="-6"/>
        </w:rPr>
        <w:t> </w:t>
      </w:r>
      <w:r>
        <w:rPr/>
        <w:t>lands</w:t>
      </w:r>
      <w:r>
        <w:rPr>
          <w:spacing w:val="-7"/>
        </w:rPr>
        <w:t> </w:t>
      </w:r>
      <w:r>
        <w:rPr/>
        <w:t>contribute</w:t>
      </w:r>
      <w:r>
        <w:rPr>
          <w:spacing w:val="-9"/>
        </w:rPr>
        <w:t> </w:t>
      </w:r>
      <w:r>
        <w:rPr/>
        <w:t>to</w:t>
      </w:r>
      <w:r>
        <w:rPr>
          <w:spacing w:val="-8"/>
        </w:rPr>
        <w:t> </w:t>
      </w:r>
      <w:r>
        <w:rPr/>
        <w:t>water</w:t>
      </w:r>
      <w:r>
        <w:rPr>
          <w:spacing w:val="-7"/>
        </w:rPr>
        <w:t> </w:t>
      </w:r>
      <w:r>
        <w:rPr/>
        <w:t>quality</w:t>
      </w:r>
      <w:r>
        <w:rPr>
          <w:spacing w:val="-6"/>
        </w:rPr>
        <w:t> </w:t>
      </w:r>
      <w:r>
        <w:rPr/>
        <w:t>necessary</w:t>
      </w:r>
      <w:r>
        <w:rPr>
          <w:spacing w:val="-8"/>
        </w:rPr>
        <w:t> </w:t>
      </w:r>
      <w:r>
        <w:rPr/>
        <w:t>to</w:t>
      </w:r>
      <w:r>
        <w:rPr>
          <w:spacing w:val="-8"/>
        </w:rPr>
        <w:t> </w:t>
      </w:r>
      <w:r>
        <w:rPr/>
        <w:t>support</w:t>
      </w:r>
      <w:r>
        <w:rPr>
          <w:spacing w:val="-9"/>
        </w:rPr>
        <w:t> </w:t>
      </w:r>
      <w:r>
        <w:rPr/>
        <w:t>healthy</w:t>
      </w:r>
      <w:r>
        <w:rPr>
          <w:spacing w:val="-6"/>
        </w:rPr>
        <w:t> </w:t>
      </w:r>
      <w:r>
        <w:rPr/>
        <w:t>riparian, aquatic, and wetland ecosystems. Water quality is within the range that maintains the biological, physical, and chemical integrity and benefits survival, growth, reproduction, and migration of individuals composing aquatic and riparian communities, and meets appropriate Washington State water quality standards. Subbasin scale is used for forest planning and 5th field watershed or subwatershed scale is used for project planning.</w:t>
      </w:r>
    </w:p>
    <w:p>
      <w:pPr>
        <w:spacing w:before="234"/>
        <w:ind w:left="1151" w:right="0" w:firstLine="0"/>
        <w:jc w:val="left"/>
        <w:rPr>
          <w:rFonts w:ascii="Arial"/>
          <w:i/>
          <w:sz w:val="22"/>
        </w:rPr>
      </w:pPr>
      <w:bookmarkStart w:name="FW-DC-WR-06. Sediment Regimes" w:id="210"/>
      <w:bookmarkEnd w:id="210"/>
      <w:r>
        <w:rPr/>
      </w:r>
      <w:r>
        <w:rPr>
          <w:rFonts w:ascii="Arial"/>
          <w:i/>
          <w:sz w:val="22"/>
        </w:rPr>
        <w:t>FW-DC-WR-06.</w:t>
      </w:r>
      <w:r>
        <w:rPr>
          <w:rFonts w:ascii="Arial"/>
          <w:i/>
          <w:spacing w:val="-11"/>
          <w:sz w:val="22"/>
        </w:rPr>
        <w:t> </w:t>
      </w:r>
      <w:r>
        <w:rPr>
          <w:rFonts w:ascii="Arial"/>
          <w:i/>
          <w:sz w:val="22"/>
        </w:rPr>
        <w:t>Sediment</w:t>
      </w:r>
      <w:r>
        <w:rPr>
          <w:rFonts w:ascii="Arial"/>
          <w:i/>
          <w:spacing w:val="-8"/>
          <w:sz w:val="22"/>
        </w:rPr>
        <w:t> </w:t>
      </w:r>
      <w:r>
        <w:rPr>
          <w:rFonts w:ascii="Arial"/>
          <w:i/>
          <w:spacing w:val="-2"/>
          <w:sz w:val="22"/>
        </w:rPr>
        <w:t>Regimes</w:t>
      </w:r>
    </w:p>
    <w:p>
      <w:pPr>
        <w:pStyle w:val="BodyText"/>
        <w:spacing w:line="232" w:lineRule="auto" w:before="64"/>
        <w:ind w:left="1151" w:right="801"/>
      </w:pPr>
      <w:r>
        <w:rPr/>
        <w:t>National Forest System lands contribute to the sediment regime within the natural range of variation.</w:t>
      </w:r>
      <w:r>
        <w:rPr>
          <w:spacing w:val="-5"/>
        </w:rPr>
        <w:t> </w:t>
      </w:r>
      <w:r>
        <w:rPr/>
        <w:t>Elements</w:t>
      </w:r>
      <w:r>
        <w:rPr>
          <w:spacing w:val="-7"/>
        </w:rPr>
        <w:t> </w:t>
      </w:r>
      <w:r>
        <w:rPr/>
        <w:t>of</w:t>
      </w:r>
      <w:r>
        <w:rPr>
          <w:spacing w:val="-5"/>
        </w:rPr>
        <w:t> </w:t>
      </w:r>
      <w:r>
        <w:rPr/>
        <w:t>the</w:t>
      </w:r>
      <w:r>
        <w:rPr>
          <w:spacing w:val="-7"/>
        </w:rPr>
        <w:t> </w:t>
      </w:r>
      <w:r>
        <w:rPr/>
        <w:t>sediment</w:t>
      </w:r>
      <w:r>
        <w:rPr>
          <w:spacing w:val="-7"/>
        </w:rPr>
        <w:t> </w:t>
      </w:r>
      <w:r>
        <w:rPr/>
        <w:t>regime</w:t>
      </w:r>
      <w:r>
        <w:rPr>
          <w:spacing w:val="-4"/>
        </w:rPr>
        <w:t> </w:t>
      </w:r>
      <w:r>
        <w:rPr/>
        <w:t>include</w:t>
      </w:r>
      <w:r>
        <w:rPr>
          <w:spacing w:val="-4"/>
        </w:rPr>
        <w:t> </w:t>
      </w:r>
      <w:r>
        <w:rPr/>
        <w:t>the</w:t>
      </w:r>
      <w:r>
        <w:rPr>
          <w:spacing w:val="-4"/>
        </w:rPr>
        <w:t> </w:t>
      </w:r>
      <w:r>
        <w:rPr/>
        <w:t>timing,</w:t>
      </w:r>
      <w:r>
        <w:rPr>
          <w:spacing w:val="-5"/>
        </w:rPr>
        <w:t> </w:t>
      </w:r>
      <w:r>
        <w:rPr/>
        <w:t>volume,</w:t>
      </w:r>
      <w:r>
        <w:rPr>
          <w:spacing w:val="-5"/>
        </w:rPr>
        <w:t> </w:t>
      </w:r>
      <w:r>
        <w:rPr/>
        <w:t>rate,</w:t>
      </w:r>
      <w:r>
        <w:rPr>
          <w:spacing w:val="-5"/>
        </w:rPr>
        <w:t> </w:t>
      </w:r>
      <w:r>
        <w:rPr/>
        <w:t>and</w:t>
      </w:r>
      <w:r>
        <w:rPr>
          <w:spacing w:val="-8"/>
        </w:rPr>
        <w:t> </w:t>
      </w:r>
      <w:r>
        <w:rPr/>
        <w:t>character</w:t>
      </w:r>
      <w:r>
        <w:rPr>
          <w:spacing w:val="-7"/>
        </w:rPr>
        <w:t> </w:t>
      </w:r>
      <w:r>
        <w:rPr/>
        <w:t>of sediment input, storage, and transport. Watershed scale is used for Forest planning and 5th field watershed or subwatershed scale is used for project planning.</w:t>
      </w:r>
    </w:p>
    <w:p>
      <w:pPr>
        <w:spacing w:before="232"/>
        <w:ind w:left="1151" w:right="0" w:firstLine="0"/>
        <w:jc w:val="left"/>
        <w:rPr>
          <w:rFonts w:ascii="Arial"/>
          <w:i/>
          <w:sz w:val="22"/>
        </w:rPr>
      </w:pPr>
      <w:bookmarkStart w:name="FW-DC-WR-07. In-stream Flows" w:id="211"/>
      <w:bookmarkEnd w:id="211"/>
      <w:r>
        <w:rPr/>
      </w:r>
      <w:r>
        <w:rPr>
          <w:rFonts w:ascii="Arial"/>
          <w:i/>
          <w:sz w:val="22"/>
        </w:rPr>
        <w:t>FW-DC-WR-07.</w:t>
      </w:r>
      <w:r>
        <w:rPr>
          <w:rFonts w:ascii="Arial"/>
          <w:i/>
          <w:spacing w:val="-10"/>
          <w:sz w:val="22"/>
        </w:rPr>
        <w:t> </w:t>
      </w:r>
      <w:r>
        <w:rPr>
          <w:rFonts w:ascii="Arial"/>
          <w:i/>
          <w:sz w:val="22"/>
        </w:rPr>
        <w:t>In-stream</w:t>
      </w:r>
      <w:r>
        <w:rPr>
          <w:rFonts w:ascii="Arial"/>
          <w:i/>
          <w:spacing w:val="-7"/>
          <w:sz w:val="22"/>
        </w:rPr>
        <w:t> </w:t>
      </w:r>
      <w:r>
        <w:rPr>
          <w:rFonts w:ascii="Arial"/>
          <w:i/>
          <w:spacing w:val="-4"/>
          <w:sz w:val="22"/>
        </w:rPr>
        <w:t>Flows</w:t>
      </w:r>
    </w:p>
    <w:p>
      <w:pPr>
        <w:pStyle w:val="BodyText"/>
        <w:spacing w:line="232" w:lineRule="auto" w:before="65"/>
        <w:ind w:left="1151" w:right="801"/>
      </w:pPr>
      <w:r>
        <w:rPr/>
        <w:t>National</w:t>
      </w:r>
      <w:r>
        <w:rPr>
          <w:spacing w:val="-8"/>
        </w:rPr>
        <w:t> </w:t>
      </w:r>
      <w:r>
        <w:rPr/>
        <w:t>Forest</w:t>
      </w:r>
      <w:r>
        <w:rPr>
          <w:spacing w:val="-7"/>
        </w:rPr>
        <w:t> </w:t>
      </w:r>
      <w:r>
        <w:rPr/>
        <w:t>System</w:t>
      </w:r>
      <w:r>
        <w:rPr>
          <w:spacing w:val="-7"/>
        </w:rPr>
        <w:t> </w:t>
      </w:r>
      <w:r>
        <w:rPr/>
        <w:t>lands</w:t>
      </w:r>
      <w:r>
        <w:rPr>
          <w:spacing w:val="-8"/>
        </w:rPr>
        <w:t> </w:t>
      </w:r>
      <w:r>
        <w:rPr/>
        <w:t>contribute</w:t>
      </w:r>
      <w:r>
        <w:rPr>
          <w:spacing w:val="-10"/>
        </w:rPr>
        <w:t> </w:t>
      </w:r>
      <w:r>
        <w:rPr/>
        <w:t>to</w:t>
      </w:r>
      <w:r>
        <w:rPr>
          <w:spacing w:val="-9"/>
        </w:rPr>
        <w:t> </w:t>
      </w:r>
      <w:r>
        <w:rPr/>
        <w:t>instream</w:t>
      </w:r>
      <w:r>
        <w:rPr>
          <w:spacing w:val="-9"/>
        </w:rPr>
        <w:t> </w:t>
      </w:r>
      <w:r>
        <w:rPr/>
        <w:t>flows</w:t>
      </w:r>
      <w:r>
        <w:rPr>
          <w:spacing w:val="-10"/>
        </w:rPr>
        <w:t> </w:t>
      </w:r>
      <w:r>
        <w:rPr/>
        <w:t>and</w:t>
      </w:r>
      <w:r>
        <w:rPr>
          <w:spacing w:val="-9"/>
        </w:rPr>
        <w:t> </w:t>
      </w:r>
      <w:r>
        <w:rPr/>
        <w:t>groundwater</w:t>
      </w:r>
      <w:r>
        <w:rPr>
          <w:spacing w:val="-10"/>
        </w:rPr>
        <w:t> </w:t>
      </w:r>
      <w:r>
        <w:rPr/>
        <w:t>sufficient</w:t>
      </w:r>
      <w:r>
        <w:rPr>
          <w:spacing w:val="-7"/>
        </w:rPr>
        <w:t> </w:t>
      </w:r>
      <w:r>
        <w:rPr/>
        <w:t>to</w:t>
      </w:r>
      <w:r>
        <w:rPr>
          <w:spacing w:val="-7"/>
        </w:rPr>
        <w:t> </w:t>
      </w:r>
      <w:r>
        <w:rPr/>
        <w:t>create and sustain riparian, aquatic, and wetland habitats, retain patterns of sediment, temperature, nutrient, and wood routing, and provide for (permitted or certificated) consumptive uses. The timing, magnitude, duration, and spatial distribution of peak, high, and low flows functions in concert with local geology, valley types, soils and geomorphology. Subbasin scale is used for Forest planning and 5th field watershed or subwatershed scale is used for project planning.</w:t>
      </w:r>
    </w:p>
    <w:p>
      <w:pPr>
        <w:spacing w:before="234"/>
        <w:ind w:left="1151" w:right="0" w:firstLine="0"/>
        <w:jc w:val="left"/>
        <w:rPr>
          <w:rFonts w:ascii="Arial"/>
          <w:i/>
          <w:sz w:val="22"/>
        </w:rPr>
      </w:pPr>
      <w:bookmarkStart w:name="FW-DC-WR-08. Floodplain Inundation" w:id="212"/>
      <w:bookmarkEnd w:id="212"/>
      <w:r>
        <w:rPr/>
      </w:r>
      <w:r>
        <w:rPr>
          <w:rFonts w:ascii="Arial"/>
          <w:i/>
          <w:sz w:val="22"/>
        </w:rPr>
        <w:t>FW-DC-WR-08.</w:t>
      </w:r>
      <w:r>
        <w:rPr>
          <w:rFonts w:ascii="Arial"/>
          <w:i/>
          <w:spacing w:val="-13"/>
          <w:sz w:val="22"/>
        </w:rPr>
        <w:t> </w:t>
      </w:r>
      <w:r>
        <w:rPr>
          <w:rFonts w:ascii="Arial"/>
          <w:i/>
          <w:sz w:val="22"/>
        </w:rPr>
        <w:t>Floodplain</w:t>
      </w:r>
      <w:r>
        <w:rPr>
          <w:rFonts w:ascii="Arial"/>
          <w:i/>
          <w:spacing w:val="-11"/>
          <w:sz w:val="22"/>
        </w:rPr>
        <w:t> </w:t>
      </w:r>
      <w:r>
        <w:rPr>
          <w:rFonts w:ascii="Arial"/>
          <w:i/>
          <w:spacing w:val="-2"/>
          <w:sz w:val="22"/>
        </w:rPr>
        <w:t>Inundation</w:t>
      </w:r>
    </w:p>
    <w:p>
      <w:pPr>
        <w:pStyle w:val="BodyText"/>
        <w:spacing w:line="232" w:lineRule="auto" w:before="64"/>
        <w:ind w:left="1151" w:right="801"/>
      </w:pPr>
      <w:r>
        <w:rPr/>
        <w:t>National Forest System lands contribute to the timing, variability, and duration of floodplain inundation</w:t>
      </w:r>
      <w:r>
        <w:rPr>
          <w:spacing w:val="-7"/>
        </w:rPr>
        <w:t> </w:t>
      </w:r>
      <w:r>
        <w:rPr/>
        <w:t>that</w:t>
      </w:r>
      <w:r>
        <w:rPr>
          <w:spacing w:val="-5"/>
        </w:rPr>
        <w:t> </w:t>
      </w:r>
      <w:r>
        <w:rPr/>
        <w:t>are</w:t>
      </w:r>
      <w:r>
        <w:rPr>
          <w:spacing w:val="-5"/>
        </w:rPr>
        <w:t> </w:t>
      </w:r>
      <w:r>
        <w:rPr/>
        <w:t>within</w:t>
      </w:r>
      <w:r>
        <w:rPr>
          <w:spacing w:val="-9"/>
        </w:rPr>
        <w:t> </w:t>
      </w:r>
      <w:r>
        <w:rPr/>
        <w:t>the</w:t>
      </w:r>
      <w:r>
        <w:rPr>
          <w:spacing w:val="-5"/>
        </w:rPr>
        <w:t> </w:t>
      </w:r>
      <w:r>
        <w:rPr/>
        <w:t>natural</w:t>
      </w:r>
      <w:r>
        <w:rPr>
          <w:spacing w:val="-6"/>
        </w:rPr>
        <w:t> </w:t>
      </w:r>
      <w:r>
        <w:rPr/>
        <w:t>range</w:t>
      </w:r>
      <w:r>
        <w:rPr>
          <w:spacing w:val="-8"/>
        </w:rPr>
        <w:t> </w:t>
      </w:r>
      <w:r>
        <w:rPr/>
        <w:t>of</w:t>
      </w:r>
      <w:r>
        <w:rPr>
          <w:spacing w:val="-8"/>
        </w:rPr>
        <w:t> </w:t>
      </w:r>
      <w:r>
        <w:rPr/>
        <w:t>variation.</w:t>
      </w:r>
      <w:r>
        <w:rPr>
          <w:spacing w:val="-6"/>
        </w:rPr>
        <w:t> </w:t>
      </w:r>
      <w:r>
        <w:rPr/>
        <w:t>Fifth</w:t>
      </w:r>
      <w:r>
        <w:rPr>
          <w:spacing w:val="-7"/>
        </w:rPr>
        <w:t> </w:t>
      </w:r>
      <w:r>
        <w:rPr/>
        <w:t>field</w:t>
      </w:r>
      <w:r>
        <w:rPr>
          <w:spacing w:val="-9"/>
        </w:rPr>
        <w:t> </w:t>
      </w:r>
      <w:r>
        <w:rPr/>
        <w:t>watershed</w:t>
      </w:r>
      <w:r>
        <w:rPr>
          <w:spacing w:val="-9"/>
        </w:rPr>
        <w:t> </w:t>
      </w:r>
      <w:r>
        <w:rPr/>
        <w:t>or</w:t>
      </w:r>
      <w:r>
        <w:rPr>
          <w:spacing w:val="-8"/>
        </w:rPr>
        <w:t> </w:t>
      </w:r>
      <w:r>
        <w:rPr/>
        <w:t>subwatershed scale is used for both Forest and project planning.</w:t>
      </w:r>
    </w:p>
    <w:p>
      <w:pPr>
        <w:spacing w:before="233"/>
        <w:ind w:left="1151" w:right="801" w:hanging="1"/>
        <w:jc w:val="left"/>
        <w:rPr>
          <w:rFonts w:ascii="Arial"/>
          <w:i/>
          <w:sz w:val="22"/>
        </w:rPr>
      </w:pPr>
      <w:bookmarkStart w:name="FW-DC-WR-09. Groundwater-dependent Syste" w:id="213"/>
      <w:bookmarkEnd w:id="213"/>
      <w:r>
        <w:rPr/>
      </w:r>
      <w:r>
        <w:rPr>
          <w:rFonts w:ascii="Arial"/>
          <w:i/>
          <w:sz w:val="22"/>
        </w:rPr>
        <w:t>FW-DC-WR-09.</w:t>
      </w:r>
      <w:r>
        <w:rPr>
          <w:rFonts w:ascii="Arial"/>
          <w:i/>
          <w:spacing w:val="-9"/>
          <w:sz w:val="22"/>
        </w:rPr>
        <w:t> </w:t>
      </w:r>
      <w:r>
        <w:rPr>
          <w:rFonts w:ascii="Arial"/>
          <w:i/>
          <w:sz w:val="22"/>
        </w:rPr>
        <w:t>Groundwater-dependent</w:t>
      </w:r>
      <w:r>
        <w:rPr>
          <w:rFonts w:ascii="Arial"/>
          <w:i/>
          <w:spacing w:val="-5"/>
          <w:sz w:val="22"/>
        </w:rPr>
        <w:t> </w:t>
      </w:r>
      <w:r>
        <w:rPr>
          <w:rFonts w:ascii="Arial"/>
          <w:i/>
          <w:sz w:val="22"/>
        </w:rPr>
        <w:t>Systems:</w:t>
      </w:r>
      <w:r>
        <w:rPr>
          <w:rFonts w:ascii="Arial"/>
          <w:i/>
          <w:spacing w:val="-5"/>
          <w:sz w:val="22"/>
        </w:rPr>
        <w:t> </w:t>
      </w:r>
      <w:r>
        <w:rPr>
          <w:rFonts w:ascii="Arial"/>
          <w:i/>
          <w:sz w:val="22"/>
        </w:rPr>
        <w:t>Seeps,</w:t>
      </w:r>
      <w:r>
        <w:rPr>
          <w:rFonts w:ascii="Arial"/>
          <w:i/>
          <w:spacing w:val="-5"/>
          <w:sz w:val="22"/>
        </w:rPr>
        <w:t> </w:t>
      </w:r>
      <w:r>
        <w:rPr>
          <w:rFonts w:ascii="Arial"/>
          <w:i/>
          <w:sz w:val="22"/>
        </w:rPr>
        <w:t>Springs,</w:t>
      </w:r>
      <w:r>
        <w:rPr>
          <w:rFonts w:ascii="Arial"/>
          <w:i/>
          <w:spacing w:val="-7"/>
          <w:sz w:val="22"/>
        </w:rPr>
        <w:t> </w:t>
      </w:r>
      <w:r>
        <w:rPr>
          <w:rFonts w:ascii="Arial"/>
          <w:i/>
          <w:sz w:val="22"/>
        </w:rPr>
        <w:t>and</w:t>
      </w:r>
      <w:r>
        <w:rPr>
          <w:rFonts w:ascii="Arial"/>
          <w:i/>
          <w:spacing w:val="-8"/>
          <w:sz w:val="22"/>
        </w:rPr>
        <w:t> </w:t>
      </w:r>
      <w:r>
        <w:rPr>
          <w:rFonts w:ascii="Arial"/>
          <w:i/>
          <w:sz w:val="22"/>
        </w:rPr>
        <w:t>Groundwater-</w:t>
      </w:r>
      <w:r>
        <w:rPr>
          <w:rFonts w:ascii="Arial"/>
          <w:i/>
          <w:sz w:val="22"/>
        </w:rPr>
        <w:t> fed Wetlands (Fens)</w:t>
      </w:r>
    </w:p>
    <w:p>
      <w:pPr>
        <w:pStyle w:val="BodyText"/>
        <w:spacing w:line="232" w:lineRule="auto" w:before="66"/>
        <w:ind w:left="1151" w:right="961"/>
      </w:pPr>
      <w:r>
        <w:rPr/>
        <w:t>National</w:t>
      </w:r>
      <w:r>
        <w:rPr>
          <w:spacing w:val="-7"/>
        </w:rPr>
        <w:t> </w:t>
      </w:r>
      <w:r>
        <w:rPr/>
        <w:t>Forest</w:t>
      </w:r>
      <w:r>
        <w:rPr>
          <w:spacing w:val="-6"/>
        </w:rPr>
        <w:t> </w:t>
      </w:r>
      <w:r>
        <w:rPr/>
        <w:t>System</w:t>
      </w:r>
      <w:r>
        <w:rPr>
          <w:spacing w:val="-6"/>
        </w:rPr>
        <w:t> </w:t>
      </w:r>
      <w:r>
        <w:rPr/>
        <w:t>lands</w:t>
      </w:r>
      <w:r>
        <w:rPr>
          <w:spacing w:val="-7"/>
        </w:rPr>
        <w:t> </w:t>
      </w:r>
      <w:r>
        <w:rPr/>
        <w:t>contribute</w:t>
      </w:r>
      <w:r>
        <w:rPr>
          <w:spacing w:val="-9"/>
        </w:rPr>
        <w:t> </w:t>
      </w:r>
      <w:r>
        <w:rPr/>
        <w:t>to</w:t>
      </w:r>
      <w:r>
        <w:rPr>
          <w:spacing w:val="-8"/>
        </w:rPr>
        <w:t> </w:t>
      </w:r>
      <w:r>
        <w:rPr/>
        <w:t>the</w:t>
      </w:r>
      <w:r>
        <w:rPr>
          <w:spacing w:val="-9"/>
        </w:rPr>
        <w:t> </w:t>
      </w:r>
      <w:r>
        <w:rPr/>
        <w:t>timing,</w:t>
      </w:r>
      <w:r>
        <w:rPr>
          <w:spacing w:val="-9"/>
        </w:rPr>
        <w:t> </w:t>
      </w:r>
      <w:r>
        <w:rPr/>
        <w:t>variability,</w:t>
      </w:r>
      <w:r>
        <w:rPr>
          <w:spacing w:val="-7"/>
        </w:rPr>
        <w:t> </w:t>
      </w:r>
      <w:r>
        <w:rPr/>
        <w:t>and</w:t>
      </w:r>
      <w:r>
        <w:rPr>
          <w:spacing w:val="-8"/>
        </w:rPr>
        <w:t> </w:t>
      </w:r>
      <w:r>
        <w:rPr/>
        <w:t>water</w:t>
      </w:r>
      <w:r>
        <w:rPr>
          <w:spacing w:val="-9"/>
        </w:rPr>
        <w:t> </w:t>
      </w:r>
      <w:r>
        <w:rPr/>
        <w:t>table</w:t>
      </w:r>
      <w:r>
        <w:rPr>
          <w:spacing w:val="-9"/>
        </w:rPr>
        <w:t> </w:t>
      </w:r>
      <w:r>
        <w:rPr/>
        <w:t>elevation</w:t>
      </w:r>
      <w:r>
        <w:rPr>
          <w:spacing w:val="-8"/>
        </w:rPr>
        <w:t> </w:t>
      </w:r>
      <w:r>
        <w:rPr/>
        <w:t>in </w:t>
      </w:r>
      <w:r>
        <w:rPr>
          <w:spacing w:val="-2"/>
        </w:rPr>
        <w:t>groundwater-fed</w:t>
      </w:r>
      <w:r>
        <w:rPr>
          <w:spacing w:val="2"/>
        </w:rPr>
        <w:t> </w:t>
      </w:r>
      <w:r>
        <w:rPr>
          <w:spacing w:val="-2"/>
        </w:rPr>
        <w:t>wetlands,</w:t>
      </w:r>
      <w:r>
        <w:rPr>
          <w:spacing w:val="3"/>
        </w:rPr>
        <w:t> </w:t>
      </w:r>
      <w:r>
        <w:rPr>
          <w:spacing w:val="-2"/>
        </w:rPr>
        <w:t>seeps,</w:t>
      </w:r>
      <w:r>
        <w:rPr>
          <w:spacing w:val="6"/>
        </w:rPr>
        <w:t> </w:t>
      </w:r>
      <w:r>
        <w:rPr>
          <w:spacing w:val="-2"/>
        </w:rPr>
        <w:t>springs,</w:t>
      </w:r>
      <w:r>
        <w:rPr>
          <w:spacing w:val="6"/>
        </w:rPr>
        <w:t> </w:t>
      </w:r>
      <w:r>
        <w:rPr>
          <w:spacing w:val="-2"/>
        </w:rPr>
        <w:t>and</w:t>
      </w:r>
      <w:r>
        <w:rPr>
          <w:spacing w:val="2"/>
        </w:rPr>
        <w:t> </w:t>
      </w:r>
      <w:r>
        <w:rPr>
          <w:spacing w:val="-2"/>
        </w:rPr>
        <w:t>other</w:t>
      </w:r>
      <w:r>
        <w:rPr>
          <w:spacing w:val="3"/>
        </w:rPr>
        <w:t> </w:t>
      </w:r>
      <w:r>
        <w:rPr>
          <w:spacing w:val="-2"/>
        </w:rPr>
        <w:t>groundwater-dependent</w:t>
      </w:r>
      <w:r>
        <w:rPr>
          <w:spacing w:val="7"/>
        </w:rPr>
        <w:t> </w:t>
      </w:r>
      <w:r>
        <w:rPr>
          <w:spacing w:val="-2"/>
        </w:rPr>
        <w:t>systems.</w:t>
      </w:r>
      <w:r>
        <w:rPr>
          <w:spacing w:val="6"/>
        </w:rPr>
        <w:t> </w:t>
      </w:r>
      <w:r>
        <w:rPr>
          <w:spacing w:val="-2"/>
        </w:rPr>
        <w:t>These</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59" w:right="1445"/>
      </w:pPr>
      <w:r>
        <w:rPr/>
        <w:t>features</w:t>
      </w:r>
      <w:r>
        <w:rPr>
          <w:spacing w:val="-6"/>
        </w:rPr>
        <w:t> </w:t>
      </w:r>
      <w:r>
        <w:rPr/>
        <w:t>are</w:t>
      </w:r>
      <w:r>
        <w:rPr>
          <w:spacing w:val="-5"/>
        </w:rPr>
        <w:t> </w:t>
      </w:r>
      <w:r>
        <w:rPr/>
        <w:t>within</w:t>
      </w:r>
      <w:r>
        <w:rPr>
          <w:spacing w:val="-7"/>
        </w:rPr>
        <w:t> </w:t>
      </w:r>
      <w:r>
        <w:rPr/>
        <w:t>or</w:t>
      </w:r>
      <w:r>
        <w:rPr>
          <w:spacing w:val="-8"/>
        </w:rPr>
        <w:t> </w:t>
      </w:r>
      <w:r>
        <w:rPr/>
        <w:t>moving</w:t>
      </w:r>
      <w:r>
        <w:rPr>
          <w:spacing w:val="-7"/>
        </w:rPr>
        <w:t> </w:t>
      </w:r>
      <w:r>
        <w:rPr/>
        <w:t>toward</w:t>
      </w:r>
      <w:r>
        <w:rPr>
          <w:spacing w:val="-7"/>
        </w:rPr>
        <w:t> </w:t>
      </w:r>
      <w:r>
        <w:rPr/>
        <w:t>proper</w:t>
      </w:r>
      <w:r>
        <w:rPr>
          <w:spacing w:val="-8"/>
        </w:rPr>
        <w:t> </w:t>
      </w:r>
      <w:r>
        <w:rPr/>
        <w:t>functioning</w:t>
      </w:r>
      <w:r>
        <w:rPr>
          <w:spacing w:val="-7"/>
        </w:rPr>
        <w:t> </w:t>
      </w:r>
      <w:r>
        <w:rPr/>
        <w:t>condition.</w:t>
      </w:r>
      <w:r>
        <w:rPr>
          <w:spacing w:val="-6"/>
        </w:rPr>
        <w:t> </w:t>
      </w:r>
      <w:r>
        <w:rPr/>
        <w:t>Subwatershed</w:t>
      </w:r>
      <w:r>
        <w:rPr>
          <w:spacing w:val="-6"/>
        </w:rPr>
        <w:t> </w:t>
      </w:r>
      <w:r>
        <w:rPr/>
        <w:t>scale</w:t>
      </w:r>
      <w:r>
        <w:rPr>
          <w:spacing w:val="-5"/>
        </w:rPr>
        <w:t> </w:t>
      </w:r>
      <w:r>
        <w:rPr/>
        <w:t>is</w:t>
      </w:r>
      <w:r>
        <w:rPr>
          <w:spacing w:val="-6"/>
        </w:rPr>
        <w:t> </w:t>
      </w:r>
      <w:r>
        <w:rPr/>
        <w:t>used for both Forest and project planning.</w:t>
      </w:r>
    </w:p>
    <w:p>
      <w:pPr>
        <w:spacing w:before="234"/>
        <w:ind w:left="359" w:right="0" w:firstLine="0"/>
        <w:jc w:val="left"/>
        <w:rPr>
          <w:rFonts w:ascii="Arial"/>
          <w:i/>
          <w:sz w:val="22"/>
        </w:rPr>
      </w:pPr>
      <w:bookmarkStart w:name="FW-DC-WR-10. Water Production for Downst" w:id="214"/>
      <w:bookmarkEnd w:id="214"/>
      <w:r>
        <w:rPr/>
      </w:r>
      <w:r>
        <w:rPr>
          <w:rFonts w:ascii="Arial"/>
          <w:i/>
          <w:sz w:val="22"/>
        </w:rPr>
        <w:t>FW-DC-WR-10.</w:t>
      </w:r>
      <w:r>
        <w:rPr>
          <w:rFonts w:ascii="Arial"/>
          <w:i/>
          <w:spacing w:val="-10"/>
          <w:sz w:val="22"/>
        </w:rPr>
        <w:t> </w:t>
      </w:r>
      <w:r>
        <w:rPr>
          <w:rFonts w:ascii="Arial"/>
          <w:i/>
          <w:sz w:val="22"/>
        </w:rPr>
        <w:t>Water</w:t>
      </w:r>
      <w:r>
        <w:rPr>
          <w:rFonts w:ascii="Arial"/>
          <w:i/>
          <w:spacing w:val="-7"/>
          <w:sz w:val="22"/>
        </w:rPr>
        <w:t> </w:t>
      </w:r>
      <w:r>
        <w:rPr>
          <w:rFonts w:ascii="Arial"/>
          <w:i/>
          <w:sz w:val="22"/>
        </w:rPr>
        <w:t>Production</w:t>
      </w:r>
      <w:r>
        <w:rPr>
          <w:rFonts w:ascii="Arial"/>
          <w:i/>
          <w:spacing w:val="-8"/>
          <w:sz w:val="22"/>
        </w:rPr>
        <w:t> </w:t>
      </w:r>
      <w:r>
        <w:rPr>
          <w:rFonts w:ascii="Arial"/>
          <w:i/>
          <w:sz w:val="22"/>
        </w:rPr>
        <w:t>for</w:t>
      </w:r>
      <w:r>
        <w:rPr>
          <w:rFonts w:ascii="Arial"/>
          <w:i/>
          <w:spacing w:val="-8"/>
          <w:sz w:val="22"/>
        </w:rPr>
        <w:t> </w:t>
      </w:r>
      <w:r>
        <w:rPr>
          <w:rFonts w:ascii="Arial"/>
          <w:i/>
          <w:sz w:val="22"/>
        </w:rPr>
        <w:t>Downstream</w:t>
      </w:r>
      <w:r>
        <w:rPr>
          <w:rFonts w:ascii="Arial"/>
          <w:i/>
          <w:spacing w:val="-4"/>
          <w:sz w:val="22"/>
        </w:rPr>
        <w:t> Uses</w:t>
      </w:r>
    </w:p>
    <w:p>
      <w:pPr>
        <w:pStyle w:val="BodyText"/>
        <w:spacing w:line="232" w:lineRule="auto" w:before="65"/>
        <w:ind w:left="359" w:right="1621"/>
      </w:pPr>
      <w:r>
        <w:rPr/>
        <w:t>National Forest System lands produce high-quality water for downstream ecological communities</w:t>
      </w:r>
      <w:r>
        <w:rPr>
          <w:spacing w:val="-5"/>
        </w:rPr>
        <w:t> </w:t>
      </w:r>
      <w:r>
        <w:rPr/>
        <w:t>(including</w:t>
      </w:r>
      <w:r>
        <w:rPr>
          <w:spacing w:val="-6"/>
        </w:rPr>
        <w:t> </w:t>
      </w:r>
      <w:r>
        <w:rPr/>
        <w:t>human</w:t>
      </w:r>
      <w:r>
        <w:rPr>
          <w:spacing w:val="-6"/>
        </w:rPr>
        <w:t> </w:t>
      </w:r>
      <w:r>
        <w:rPr/>
        <w:t>communities)</w:t>
      </w:r>
      <w:r>
        <w:rPr>
          <w:spacing w:val="-5"/>
        </w:rPr>
        <w:t> </w:t>
      </w:r>
      <w:r>
        <w:rPr/>
        <w:t>dependent</w:t>
      </w:r>
      <w:r>
        <w:rPr>
          <w:spacing w:val="-5"/>
        </w:rPr>
        <w:t> </w:t>
      </w:r>
      <w:r>
        <w:rPr/>
        <w:t>upon</w:t>
      </w:r>
      <w:r>
        <w:rPr>
          <w:spacing w:val="-6"/>
        </w:rPr>
        <w:t> </w:t>
      </w:r>
      <w:r>
        <w:rPr/>
        <w:t>them.</w:t>
      </w:r>
      <w:r>
        <w:rPr>
          <w:spacing w:val="-7"/>
        </w:rPr>
        <w:t> </w:t>
      </w:r>
      <w:r>
        <w:rPr/>
        <w:t>Watershed</w:t>
      </w:r>
      <w:r>
        <w:rPr>
          <w:spacing w:val="-8"/>
        </w:rPr>
        <w:t> </w:t>
      </w:r>
      <w:r>
        <w:rPr/>
        <w:t>scale</w:t>
      </w:r>
      <w:r>
        <w:rPr>
          <w:spacing w:val="-5"/>
        </w:rPr>
        <w:t> </w:t>
      </w:r>
      <w:r>
        <w:rPr/>
        <w:t>is</w:t>
      </w:r>
      <w:r>
        <w:rPr>
          <w:spacing w:val="-7"/>
        </w:rPr>
        <w:t> </w:t>
      </w:r>
      <w:r>
        <w:rPr/>
        <w:t>used for both Forest and project planning.</w:t>
      </w:r>
    </w:p>
    <w:p>
      <w:pPr>
        <w:spacing w:before="233"/>
        <w:ind w:left="359" w:right="0" w:firstLine="0"/>
        <w:jc w:val="left"/>
        <w:rPr>
          <w:rFonts w:ascii="Arial"/>
          <w:i/>
          <w:sz w:val="22"/>
        </w:rPr>
      </w:pPr>
      <w:bookmarkStart w:name="FW-DC-WR-11. Native Plant Communities" w:id="215"/>
      <w:bookmarkEnd w:id="215"/>
      <w:r>
        <w:rPr/>
      </w:r>
      <w:r>
        <w:rPr>
          <w:rFonts w:ascii="Arial"/>
          <w:i/>
          <w:sz w:val="22"/>
        </w:rPr>
        <w:t>FW-DC-WR-11.</w:t>
      </w:r>
      <w:r>
        <w:rPr>
          <w:rFonts w:ascii="Arial"/>
          <w:i/>
          <w:spacing w:val="-8"/>
          <w:sz w:val="22"/>
        </w:rPr>
        <w:t> </w:t>
      </w:r>
      <w:r>
        <w:rPr>
          <w:rFonts w:ascii="Arial"/>
          <w:i/>
          <w:sz w:val="22"/>
        </w:rPr>
        <w:t>Native</w:t>
      </w:r>
      <w:r>
        <w:rPr>
          <w:rFonts w:ascii="Arial"/>
          <w:i/>
          <w:spacing w:val="-9"/>
          <w:sz w:val="22"/>
        </w:rPr>
        <w:t> </w:t>
      </w:r>
      <w:r>
        <w:rPr>
          <w:rFonts w:ascii="Arial"/>
          <w:i/>
          <w:sz w:val="22"/>
        </w:rPr>
        <w:t>Plant</w:t>
      </w:r>
      <w:r>
        <w:rPr>
          <w:rFonts w:ascii="Arial"/>
          <w:i/>
          <w:spacing w:val="-4"/>
          <w:sz w:val="22"/>
        </w:rPr>
        <w:t> </w:t>
      </w:r>
      <w:r>
        <w:rPr>
          <w:rFonts w:ascii="Arial"/>
          <w:i/>
          <w:spacing w:val="-2"/>
          <w:sz w:val="22"/>
        </w:rPr>
        <w:t>Communities</w:t>
      </w:r>
    </w:p>
    <w:p>
      <w:pPr>
        <w:pStyle w:val="BodyText"/>
        <w:spacing w:line="232" w:lineRule="auto" w:before="64"/>
        <w:ind w:left="359" w:right="1516"/>
      </w:pPr>
      <w:r>
        <w:rPr/>
        <w:t>National Forest System lands contribute to the species composition and structural diversity of native plant communities in riparian management areas (including wetlands). These contribute to adequate summer and winter thermal regulation, nutrient filtering, appropriate rates of surface erosion, bank erosion, and channel migration; and supply amounts and distributions of coarse</w:t>
      </w:r>
      <w:r>
        <w:rPr>
          <w:spacing w:val="-6"/>
        </w:rPr>
        <w:t> </w:t>
      </w:r>
      <w:r>
        <w:rPr/>
        <w:t>woody</w:t>
      </w:r>
      <w:r>
        <w:rPr>
          <w:spacing w:val="-7"/>
        </w:rPr>
        <w:t> </w:t>
      </w:r>
      <w:r>
        <w:rPr/>
        <w:t>debris</w:t>
      </w:r>
      <w:r>
        <w:rPr>
          <w:spacing w:val="-7"/>
        </w:rPr>
        <w:t> </w:t>
      </w:r>
      <w:r>
        <w:rPr/>
        <w:t>and</w:t>
      </w:r>
      <w:r>
        <w:rPr>
          <w:spacing w:val="-8"/>
        </w:rPr>
        <w:t> </w:t>
      </w:r>
      <w:r>
        <w:rPr/>
        <w:t>fine</w:t>
      </w:r>
      <w:r>
        <w:rPr>
          <w:spacing w:val="-6"/>
        </w:rPr>
        <w:t> </w:t>
      </w:r>
      <w:r>
        <w:rPr/>
        <w:t>particulate</w:t>
      </w:r>
      <w:r>
        <w:rPr>
          <w:spacing w:val="-9"/>
        </w:rPr>
        <w:t> </w:t>
      </w:r>
      <w:r>
        <w:rPr/>
        <w:t>organic</w:t>
      </w:r>
      <w:r>
        <w:rPr>
          <w:spacing w:val="-7"/>
        </w:rPr>
        <w:t> </w:t>
      </w:r>
      <w:r>
        <w:rPr/>
        <w:t>matter</w:t>
      </w:r>
      <w:r>
        <w:rPr>
          <w:spacing w:val="-7"/>
        </w:rPr>
        <w:t> </w:t>
      </w:r>
      <w:r>
        <w:rPr/>
        <w:t>sufficient</w:t>
      </w:r>
      <w:r>
        <w:rPr>
          <w:spacing w:val="-9"/>
        </w:rPr>
        <w:t> </w:t>
      </w:r>
      <w:r>
        <w:rPr/>
        <w:t>to</w:t>
      </w:r>
      <w:r>
        <w:rPr>
          <w:spacing w:val="-8"/>
        </w:rPr>
        <w:t> </w:t>
      </w:r>
      <w:r>
        <w:rPr/>
        <w:t>sustain</w:t>
      </w:r>
      <w:r>
        <w:rPr>
          <w:spacing w:val="-8"/>
        </w:rPr>
        <w:t> </w:t>
      </w:r>
      <w:r>
        <w:rPr/>
        <w:t>physical</w:t>
      </w:r>
      <w:r>
        <w:rPr>
          <w:spacing w:val="-7"/>
        </w:rPr>
        <w:t> </w:t>
      </w:r>
      <w:r>
        <w:rPr/>
        <w:t>complexity and stability. Subbasin scale is used for Forest planning and 5th field watershed or</w:t>
      </w:r>
      <w:r>
        <w:rPr/>
        <w:t> subwatershed scale is used for project planning.</w:t>
      </w:r>
    </w:p>
    <w:p>
      <w:pPr>
        <w:spacing w:before="233"/>
        <w:ind w:left="359" w:right="0" w:firstLine="0"/>
        <w:jc w:val="left"/>
        <w:rPr>
          <w:rFonts w:ascii="Arial"/>
          <w:i/>
          <w:sz w:val="22"/>
        </w:rPr>
      </w:pPr>
      <w:bookmarkStart w:name="FW-DC-WR-12. Aquatic Invasive and Non-Na" w:id="216"/>
      <w:bookmarkEnd w:id="216"/>
      <w:r>
        <w:rPr/>
      </w:r>
      <w:r>
        <w:rPr>
          <w:rFonts w:ascii="Arial"/>
          <w:i/>
          <w:sz w:val="22"/>
        </w:rPr>
        <w:t>FW-DC-WR-12.</w:t>
      </w:r>
      <w:r>
        <w:rPr>
          <w:rFonts w:ascii="Arial"/>
          <w:i/>
          <w:spacing w:val="-7"/>
          <w:sz w:val="22"/>
        </w:rPr>
        <w:t> </w:t>
      </w:r>
      <w:r>
        <w:rPr>
          <w:rFonts w:ascii="Arial"/>
          <w:i/>
          <w:sz w:val="22"/>
        </w:rPr>
        <w:t>Aquatic</w:t>
      </w:r>
      <w:r>
        <w:rPr>
          <w:rFonts w:ascii="Arial"/>
          <w:i/>
          <w:spacing w:val="-10"/>
          <w:sz w:val="22"/>
        </w:rPr>
        <w:t> </w:t>
      </w:r>
      <w:r>
        <w:rPr>
          <w:rFonts w:ascii="Arial"/>
          <w:i/>
          <w:sz w:val="22"/>
        </w:rPr>
        <w:t>Invasive</w:t>
      </w:r>
      <w:r>
        <w:rPr>
          <w:rFonts w:ascii="Arial"/>
          <w:i/>
          <w:spacing w:val="-5"/>
          <w:sz w:val="22"/>
        </w:rPr>
        <w:t> </w:t>
      </w:r>
      <w:r>
        <w:rPr>
          <w:rFonts w:ascii="Arial"/>
          <w:i/>
          <w:sz w:val="22"/>
        </w:rPr>
        <w:t>and</w:t>
      </w:r>
      <w:r>
        <w:rPr>
          <w:rFonts w:ascii="Arial"/>
          <w:i/>
          <w:spacing w:val="-8"/>
          <w:sz w:val="22"/>
        </w:rPr>
        <w:t> </w:t>
      </w:r>
      <w:r>
        <w:rPr>
          <w:rFonts w:ascii="Arial"/>
          <w:i/>
          <w:sz w:val="22"/>
        </w:rPr>
        <w:t>Non-Native</w:t>
      </w:r>
      <w:r>
        <w:rPr>
          <w:rFonts w:ascii="Arial"/>
          <w:i/>
          <w:spacing w:val="-7"/>
          <w:sz w:val="22"/>
        </w:rPr>
        <w:t> </w:t>
      </w:r>
      <w:r>
        <w:rPr>
          <w:rFonts w:ascii="Arial"/>
          <w:i/>
          <w:spacing w:val="-2"/>
          <w:sz w:val="22"/>
        </w:rPr>
        <w:t>Species</w:t>
      </w:r>
    </w:p>
    <w:p>
      <w:pPr>
        <w:pStyle w:val="BodyText"/>
        <w:spacing w:line="232" w:lineRule="auto" w:before="65"/>
        <w:ind w:left="359" w:right="1621"/>
      </w:pPr>
      <w:r>
        <w:rPr/>
        <w:t>Aquatic invasive species do not occur as a component of lake, stream, and other riparian- related</w:t>
      </w:r>
      <w:r>
        <w:rPr>
          <w:spacing w:val="-8"/>
        </w:rPr>
        <w:t> </w:t>
      </w:r>
      <w:r>
        <w:rPr/>
        <w:t>ecosystems</w:t>
      </w:r>
      <w:r>
        <w:rPr>
          <w:spacing w:val="-7"/>
        </w:rPr>
        <w:t> </w:t>
      </w:r>
      <w:r>
        <w:rPr/>
        <w:t>or</w:t>
      </w:r>
      <w:r>
        <w:rPr>
          <w:spacing w:val="-7"/>
        </w:rPr>
        <w:t> </w:t>
      </w:r>
      <w:r>
        <w:rPr/>
        <w:t>compete</w:t>
      </w:r>
      <w:r>
        <w:rPr>
          <w:spacing w:val="-7"/>
        </w:rPr>
        <w:t> </w:t>
      </w:r>
      <w:r>
        <w:rPr/>
        <w:t>with</w:t>
      </w:r>
      <w:r>
        <w:rPr>
          <w:spacing w:val="-7"/>
        </w:rPr>
        <w:t> </w:t>
      </w:r>
      <w:r>
        <w:rPr/>
        <w:t>native</w:t>
      </w:r>
      <w:r>
        <w:rPr>
          <w:spacing w:val="-7"/>
        </w:rPr>
        <w:t> </w:t>
      </w:r>
      <w:r>
        <w:rPr/>
        <w:t>species</w:t>
      </w:r>
      <w:r>
        <w:rPr>
          <w:spacing w:val="-6"/>
        </w:rPr>
        <w:t> </w:t>
      </w:r>
      <w:r>
        <w:rPr/>
        <w:t>for</w:t>
      </w:r>
      <w:r>
        <w:rPr>
          <w:spacing w:val="-7"/>
        </w:rPr>
        <w:t> </w:t>
      </w:r>
      <w:r>
        <w:rPr/>
        <w:t>critical</w:t>
      </w:r>
      <w:r>
        <w:rPr>
          <w:spacing w:val="-6"/>
        </w:rPr>
        <w:t> </w:t>
      </w:r>
      <w:r>
        <w:rPr/>
        <w:t>resources.</w:t>
      </w:r>
      <w:r>
        <w:rPr>
          <w:spacing w:val="-6"/>
        </w:rPr>
        <w:t> </w:t>
      </w:r>
      <w:r>
        <w:rPr/>
        <w:t>Subbasin</w:t>
      </w:r>
      <w:r>
        <w:rPr>
          <w:spacing w:val="-7"/>
        </w:rPr>
        <w:t> </w:t>
      </w:r>
      <w:r>
        <w:rPr/>
        <w:t>scale</w:t>
      </w:r>
      <w:r>
        <w:rPr>
          <w:spacing w:val="-5"/>
        </w:rPr>
        <w:t> </w:t>
      </w:r>
      <w:r>
        <w:rPr/>
        <w:t>is</w:t>
      </w:r>
      <w:r>
        <w:rPr>
          <w:spacing w:val="-6"/>
        </w:rPr>
        <w:t> </w:t>
      </w:r>
      <w:r>
        <w:rPr/>
        <w:t>used for Forest planning. Fifth field watershed or subwatershed scale is used for project planning.</w:t>
      </w:r>
    </w:p>
    <w:p>
      <w:pPr>
        <w:spacing w:before="235"/>
        <w:ind w:left="359" w:right="0" w:firstLine="0"/>
        <w:jc w:val="left"/>
        <w:rPr>
          <w:rFonts w:ascii="Arial"/>
          <w:i/>
          <w:sz w:val="22"/>
        </w:rPr>
      </w:pPr>
      <w:bookmarkStart w:name="FW-DC-WR-13. Aquatic Threatened, Endange" w:id="217"/>
      <w:bookmarkEnd w:id="217"/>
      <w:r>
        <w:rPr/>
      </w:r>
      <w:r>
        <w:rPr>
          <w:rFonts w:ascii="Arial"/>
          <w:i/>
          <w:sz w:val="22"/>
        </w:rPr>
        <w:t>FW-DC-WR-13.</w:t>
      </w:r>
      <w:r>
        <w:rPr>
          <w:rFonts w:ascii="Arial"/>
          <w:i/>
          <w:spacing w:val="-10"/>
          <w:sz w:val="22"/>
        </w:rPr>
        <w:t> </w:t>
      </w:r>
      <w:r>
        <w:rPr>
          <w:rFonts w:ascii="Arial"/>
          <w:i/>
          <w:sz w:val="22"/>
        </w:rPr>
        <w:t>Aquatic</w:t>
      </w:r>
      <w:r>
        <w:rPr>
          <w:rFonts w:ascii="Arial"/>
          <w:i/>
          <w:spacing w:val="-12"/>
          <w:sz w:val="22"/>
        </w:rPr>
        <w:t> </w:t>
      </w:r>
      <w:r>
        <w:rPr>
          <w:rFonts w:ascii="Arial"/>
          <w:i/>
          <w:sz w:val="22"/>
        </w:rPr>
        <w:t>Threatened,</w:t>
      </w:r>
      <w:r>
        <w:rPr>
          <w:rFonts w:ascii="Arial"/>
          <w:i/>
          <w:spacing w:val="-6"/>
          <w:sz w:val="22"/>
        </w:rPr>
        <w:t> </w:t>
      </w:r>
      <w:r>
        <w:rPr>
          <w:rFonts w:ascii="Arial"/>
          <w:i/>
          <w:sz w:val="22"/>
        </w:rPr>
        <w:t>Endangered,</w:t>
      </w:r>
      <w:r>
        <w:rPr>
          <w:rFonts w:ascii="Arial"/>
          <w:i/>
          <w:spacing w:val="-6"/>
          <w:sz w:val="22"/>
        </w:rPr>
        <w:t> </w:t>
      </w:r>
      <w:r>
        <w:rPr>
          <w:rFonts w:ascii="Arial"/>
          <w:i/>
          <w:sz w:val="22"/>
        </w:rPr>
        <w:t>and</w:t>
      </w:r>
      <w:r>
        <w:rPr>
          <w:rFonts w:ascii="Arial"/>
          <w:i/>
          <w:spacing w:val="-10"/>
          <w:sz w:val="22"/>
        </w:rPr>
        <w:t> </w:t>
      </w:r>
      <w:r>
        <w:rPr>
          <w:rFonts w:ascii="Arial"/>
          <w:i/>
          <w:sz w:val="22"/>
        </w:rPr>
        <w:t>Sensitive</w:t>
      </w:r>
      <w:r>
        <w:rPr>
          <w:rFonts w:ascii="Arial"/>
          <w:i/>
          <w:spacing w:val="-7"/>
          <w:sz w:val="22"/>
        </w:rPr>
        <w:t> </w:t>
      </w:r>
      <w:r>
        <w:rPr>
          <w:rFonts w:ascii="Arial"/>
          <w:i/>
          <w:spacing w:val="-2"/>
          <w:sz w:val="22"/>
        </w:rPr>
        <w:t>Species</w:t>
      </w:r>
    </w:p>
    <w:p>
      <w:pPr>
        <w:pStyle w:val="BodyText"/>
        <w:spacing w:line="232" w:lineRule="auto" w:before="65"/>
        <w:ind w:left="358" w:right="1516"/>
      </w:pPr>
      <w:r>
        <w:rPr/>
        <w:t>National Forest System lands contribute to the recovery of federally threatened and</w:t>
      </w:r>
      <w:r>
        <w:rPr/>
        <w:t> endangered aquatic species and conservation of Regional Forester’s sensitive aquatic species. Aquatic habitat supports spawning, rearing, and/or</w:t>
      </w:r>
      <w:r>
        <w:rPr>
          <w:spacing w:val="-1"/>
        </w:rPr>
        <w:t> </w:t>
      </w:r>
      <w:r>
        <w:rPr/>
        <w:t>other key life history requirements. Aquatic habitat also is designated as critical habitat for listed species (such as bull trout) in some areas. Subbasin</w:t>
      </w:r>
      <w:r>
        <w:rPr>
          <w:spacing w:val="-6"/>
        </w:rPr>
        <w:t> </w:t>
      </w:r>
      <w:r>
        <w:rPr/>
        <w:t>scale</w:t>
      </w:r>
      <w:r>
        <w:rPr>
          <w:spacing w:val="-4"/>
        </w:rPr>
        <w:t> </w:t>
      </w:r>
      <w:r>
        <w:rPr/>
        <w:t>is</w:t>
      </w:r>
      <w:r>
        <w:rPr>
          <w:spacing w:val="-5"/>
        </w:rPr>
        <w:t> </w:t>
      </w:r>
      <w:r>
        <w:rPr/>
        <w:t>used</w:t>
      </w:r>
      <w:r>
        <w:rPr>
          <w:spacing w:val="-6"/>
        </w:rPr>
        <w:t> </w:t>
      </w:r>
      <w:r>
        <w:rPr/>
        <w:t>for</w:t>
      </w:r>
      <w:r>
        <w:rPr>
          <w:spacing w:val="-5"/>
        </w:rPr>
        <w:t> </w:t>
      </w:r>
      <w:r>
        <w:rPr/>
        <w:t>Forest</w:t>
      </w:r>
      <w:r>
        <w:rPr>
          <w:spacing w:val="-4"/>
        </w:rPr>
        <w:t> </w:t>
      </w:r>
      <w:r>
        <w:rPr/>
        <w:t>planning</w:t>
      </w:r>
      <w:r>
        <w:rPr>
          <w:spacing w:val="-6"/>
        </w:rPr>
        <w:t> </w:t>
      </w:r>
      <w:r>
        <w:rPr/>
        <w:t>and</w:t>
      </w:r>
      <w:r>
        <w:rPr>
          <w:spacing w:val="-6"/>
        </w:rPr>
        <w:t> </w:t>
      </w:r>
      <w:r>
        <w:rPr/>
        <w:t>5th</w:t>
      </w:r>
      <w:r>
        <w:rPr>
          <w:spacing w:val="-7"/>
        </w:rPr>
        <w:t> </w:t>
      </w:r>
      <w:r>
        <w:rPr/>
        <w:t>field</w:t>
      </w:r>
      <w:r>
        <w:rPr>
          <w:spacing w:val="-6"/>
        </w:rPr>
        <w:t> </w:t>
      </w:r>
      <w:r>
        <w:rPr/>
        <w:t>watershed</w:t>
      </w:r>
      <w:r>
        <w:rPr>
          <w:spacing w:val="-7"/>
        </w:rPr>
        <w:t> </w:t>
      </w:r>
      <w:r>
        <w:rPr/>
        <w:t>or</w:t>
      </w:r>
      <w:r>
        <w:rPr>
          <w:spacing w:val="-5"/>
        </w:rPr>
        <w:t> </w:t>
      </w:r>
      <w:r>
        <w:rPr/>
        <w:t>subwatershed</w:t>
      </w:r>
      <w:r>
        <w:rPr>
          <w:spacing w:val="-5"/>
        </w:rPr>
        <w:t> </w:t>
      </w:r>
      <w:r>
        <w:rPr/>
        <w:t>scale</w:t>
      </w:r>
      <w:r>
        <w:rPr>
          <w:spacing w:val="-4"/>
        </w:rPr>
        <w:t> </w:t>
      </w:r>
      <w:r>
        <w:rPr/>
        <w:t>is</w:t>
      </w:r>
      <w:r>
        <w:rPr>
          <w:spacing w:val="-6"/>
        </w:rPr>
        <w:t> </w:t>
      </w:r>
      <w:r>
        <w:rPr/>
        <w:t>used for project planning.</w:t>
      </w:r>
    </w:p>
    <w:p>
      <w:pPr>
        <w:spacing w:before="231"/>
        <w:ind w:left="358" w:right="0" w:firstLine="0"/>
        <w:jc w:val="left"/>
        <w:rPr>
          <w:rFonts w:ascii="Arial"/>
          <w:i/>
          <w:sz w:val="22"/>
        </w:rPr>
      </w:pPr>
      <w:bookmarkStart w:name="FW-DC-WR-14. Resiliency to Climate Chang" w:id="218"/>
      <w:bookmarkEnd w:id="218"/>
      <w:r>
        <w:rPr/>
      </w:r>
      <w:r>
        <w:rPr>
          <w:rFonts w:ascii="Arial"/>
          <w:i/>
          <w:sz w:val="22"/>
        </w:rPr>
        <w:t>FW-DC-WR-14.</w:t>
      </w:r>
      <w:r>
        <w:rPr>
          <w:rFonts w:ascii="Arial"/>
          <w:i/>
          <w:spacing w:val="-8"/>
          <w:sz w:val="22"/>
        </w:rPr>
        <w:t> </w:t>
      </w:r>
      <w:r>
        <w:rPr>
          <w:rFonts w:ascii="Arial"/>
          <w:i/>
          <w:sz w:val="22"/>
        </w:rPr>
        <w:t>Resiliency</w:t>
      </w:r>
      <w:r>
        <w:rPr>
          <w:rFonts w:ascii="Arial"/>
          <w:i/>
          <w:spacing w:val="-6"/>
          <w:sz w:val="22"/>
        </w:rPr>
        <w:t> </w:t>
      </w:r>
      <w:r>
        <w:rPr>
          <w:rFonts w:ascii="Arial"/>
          <w:i/>
          <w:sz w:val="22"/>
        </w:rPr>
        <w:t>to</w:t>
      </w:r>
      <w:r>
        <w:rPr>
          <w:rFonts w:ascii="Arial"/>
          <w:i/>
          <w:spacing w:val="-9"/>
          <w:sz w:val="22"/>
        </w:rPr>
        <w:t> </w:t>
      </w:r>
      <w:r>
        <w:rPr>
          <w:rFonts w:ascii="Arial"/>
          <w:i/>
          <w:sz w:val="22"/>
        </w:rPr>
        <w:t>Climate</w:t>
      </w:r>
      <w:r>
        <w:rPr>
          <w:rFonts w:ascii="Arial"/>
          <w:i/>
          <w:spacing w:val="-8"/>
          <w:sz w:val="22"/>
        </w:rPr>
        <w:t> </w:t>
      </w:r>
      <w:r>
        <w:rPr>
          <w:rFonts w:ascii="Arial"/>
          <w:i/>
          <w:spacing w:val="-2"/>
          <w:sz w:val="22"/>
        </w:rPr>
        <w:t>Change</w:t>
      </w:r>
    </w:p>
    <w:p>
      <w:pPr>
        <w:pStyle w:val="BodyText"/>
        <w:spacing w:line="232" w:lineRule="auto" w:before="65"/>
        <w:ind w:left="358" w:right="940"/>
      </w:pPr>
      <w:r>
        <w:rPr/>
        <w:t>Aquatic and riparian ecosystems are resilient to the effects of climate change and other major disturbances.</w:t>
      </w:r>
      <w:r>
        <w:rPr>
          <w:spacing w:val="-4"/>
        </w:rPr>
        <w:t> </w:t>
      </w:r>
      <w:r>
        <w:rPr/>
        <w:t>Subbasin</w:t>
      </w:r>
      <w:r>
        <w:rPr>
          <w:spacing w:val="-5"/>
        </w:rPr>
        <w:t> </w:t>
      </w:r>
      <w:r>
        <w:rPr/>
        <w:t>scale</w:t>
      </w:r>
      <w:r>
        <w:rPr>
          <w:spacing w:val="-3"/>
        </w:rPr>
        <w:t> </w:t>
      </w:r>
      <w:r>
        <w:rPr/>
        <w:t>is</w:t>
      </w:r>
      <w:r>
        <w:rPr>
          <w:spacing w:val="-4"/>
        </w:rPr>
        <w:t> </w:t>
      </w:r>
      <w:r>
        <w:rPr/>
        <w:t>used</w:t>
      </w:r>
      <w:r>
        <w:rPr>
          <w:spacing w:val="-7"/>
        </w:rPr>
        <w:t> </w:t>
      </w:r>
      <w:r>
        <w:rPr/>
        <w:t>for</w:t>
      </w:r>
      <w:r>
        <w:rPr>
          <w:spacing w:val="-6"/>
        </w:rPr>
        <w:t> </w:t>
      </w:r>
      <w:r>
        <w:rPr/>
        <w:t>Forest</w:t>
      </w:r>
      <w:r>
        <w:rPr>
          <w:spacing w:val="-6"/>
        </w:rPr>
        <w:t> </w:t>
      </w:r>
      <w:r>
        <w:rPr/>
        <w:t>planning</w:t>
      </w:r>
      <w:r>
        <w:rPr>
          <w:spacing w:val="-5"/>
        </w:rPr>
        <w:t> </w:t>
      </w:r>
      <w:r>
        <w:rPr/>
        <w:t>and</w:t>
      </w:r>
      <w:r>
        <w:rPr>
          <w:spacing w:val="-5"/>
        </w:rPr>
        <w:t> </w:t>
      </w:r>
      <w:r>
        <w:rPr/>
        <w:t>5th</w:t>
      </w:r>
      <w:r>
        <w:rPr>
          <w:spacing w:val="-5"/>
        </w:rPr>
        <w:t> </w:t>
      </w:r>
      <w:r>
        <w:rPr/>
        <w:t>field</w:t>
      </w:r>
      <w:r>
        <w:rPr>
          <w:spacing w:val="-7"/>
        </w:rPr>
        <w:t> </w:t>
      </w:r>
      <w:r>
        <w:rPr/>
        <w:t>watershed</w:t>
      </w:r>
      <w:r>
        <w:rPr>
          <w:spacing w:val="-5"/>
        </w:rPr>
        <w:t> </w:t>
      </w:r>
      <w:r>
        <w:rPr/>
        <w:t>scale</w:t>
      </w:r>
      <w:r>
        <w:rPr>
          <w:spacing w:val="-3"/>
        </w:rPr>
        <w:t> </w:t>
      </w:r>
      <w:r>
        <w:rPr/>
        <w:t>is</w:t>
      </w:r>
      <w:r>
        <w:rPr>
          <w:spacing w:val="-4"/>
        </w:rPr>
        <w:t> </w:t>
      </w:r>
      <w:r>
        <w:rPr/>
        <w:t>used</w:t>
      </w:r>
      <w:r>
        <w:rPr>
          <w:spacing w:val="-7"/>
        </w:rPr>
        <w:t> </w:t>
      </w:r>
      <w:r>
        <w:rPr/>
        <w:t>for project planning.</w:t>
      </w:r>
    </w:p>
    <w:p>
      <w:pPr>
        <w:spacing w:before="233"/>
        <w:ind w:left="358" w:right="1445" w:firstLine="0"/>
        <w:jc w:val="left"/>
        <w:rPr>
          <w:rFonts w:ascii="Arial"/>
          <w:i/>
          <w:sz w:val="22"/>
        </w:rPr>
      </w:pPr>
      <w:bookmarkStart w:name="FW-DC-WR-15. Water Quality Standards in " w:id="219"/>
      <w:bookmarkEnd w:id="219"/>
      <w:r>
        <w:rPr/>
      </w:r>
      <w:r>
        <w:rPr>
          <w:rFonts w:ascii="Arial"/>
          <w:i/>
          <w:sz w:val="22"/>
        </w:rPr>
        <w:t>FW-DC-WR-15.</w:t>
      </w:r>
      <w:r>
        <w:rPr>
          <w:rFonts w:ascii="Arial"/>
          <w:i/>
          <w:spacing w:val="-7"/>
          <w:sz w:val="22"/>
        </w:rPr>
        <w:t> </w:t>
      </w:r>
      <w:r>
        <w:rPr>
          <w:rFonts w:ascii="Arial"/>
          <w:i/>
          <w:sz w:val="22"/>
        </w:rPr>
        <w:t>Water</w:t>
      </w:r>
      <w:r>
        <w:rPr>
          <w:rFonts w:ascii="Arial"/>
          <w:i/>
          <w:spacing w:val="-7"/>
          <w:sz w:val="22"/>
        </w:rPr>
        <w:t> </w:t>
      </w:r>
      <w:r>
        <w:rPr>
          <w:rFonts w:ascii="Arial"/>
          <w:i/>
          <w:sz w:val="22"/>
        </w:rPr>
        <w:t>Quality</w:t>
      </w:r>
      <w:r>
        <w:rPr>
          <w:rFonts w:ascii="Arial"/>
          <w:i/>
          <w:spacing w:val="-3"/>
          <w:sz w:val="22"/>
        </w:rPr>
        <w:t> </w:t>
      </w:r>
      <w:r>
        <w:rPr>
          <w:rFonts w:ascii="Arial"/>
          <w:i/>
          <w:sz w:val="22"/>
        </w:rPr>
        <w:t>Standards</w:t>
      </w:r>
      <w:r>
        <w:rPr>
          <w:rFonts w:ascii="Arial"/>
          <w:i/>
          <w:spacing w:val="-3"/>
          <w:sz w:val="22"/>
        </w:rPr>
        <w:t> </w:t>
      </w:r>
      <w:r>
        <w:rPr>
          <w:rFonts w:ascii="Arial"/>
          <w:i/>
          <w:sz w:val="22"/>
        </w:rPr>
        <w:t>in</w:t>
      </w:r>
      <w:r>
        <w:rPr>
          <w:rFonts w:ascii="Arial"/>
          <w:i/>
          <w:spacing w:val="-3"/>
          <w:sz w:val="22"/>
        </w:rPr>
        <w:t> </w:t>
      </w:r>
      <w:r>
        <w:rPr>
          <w:rFonts w:ascii="Arial"/>
          <w:i/>
          <w:sz w:val="22"/>
        </w:rPr>
        <w:t>Municipal</w:t>
      </w:r>
      <w:r>
        <w:rPr>
          <w:rFonts w:ascii="Arial"/>
          <w:i/>
          <w:spacing w:val="-4"/>
          <w:sz w:val="22"/>
        </w:rPr>
        <w:t> </w:t>
      </w:r>
      <w:r>
        <w:rPr>
          <w:rFonts w:ascii="Arial"/>
          <w:i/>
          <w:sz w:val="22"/>
        </w:rPr>
        <w:t>Supply</w:t>
      </w:r>
      <w:r>
        <w:rPr>
          <w:rFonts w:ascii="Arial"/>
          <w:i/>
          <w:spacing w:val="-6"/>
          <w:sz w:val="22"/>
        </w:rPr>
        <w:t> </w:t>
      </w:r>
      <w:r>
        <w:rPr>
          <w:rFonts w:ascii="Arial"/>
          <w:i/>
          <w:sz w:val="22"/>
        </w:rPr>
        <w:t>Watersheds</w:t>
      </w:r>
      <w:r>
        <w:rPr>
          <w:rFonts w:ascii="Arial"/>
          <w:i/>
          <w:spacing w:val="-6"/>
          <w:sz w:val="22"/>
        </w:rPr>
        <w:t> </w:t>
      </w:r>
      <w:r>
        <w:rPr>
          <w:rFonts w:ascii="Arial"/>
          <w:i/>
          <w:sz w:val="22"/>
        </w:rPr>
        <w:t>and</w:t>
      </w:r>
      <w:r>
        <w:rPr>
          <w:rFonts w:ascii="Arial"/>
          <w:i/>
          <w:spacing w:val="-4"/>
          <w:sz w:val="22"/>
        </w:rPr>
        <w:t> </w:t>
      </w:r>
      <w:r>
        <w:rPr>
          <w:rFonts w:ascii="Arial"/>
          <w:i/>
          <w:sz w:val="22"/>
        </w:rPr>
        <w:t>Source</w:t>
      </w:r>
      <w:r>
        <w:rPr>
          <w:rFonts w:ascii="Arial"/>
          <w:i/>
          <w:sz w:val="22"/>
        </w:rPr>
        <w:t> Water Protection Areas</w:t>
      </w:r>
    </w:p>
    <w:p>
      <w:pPr>
        <w:pStyle w:val="BodyText"/>
        <w:spacing w:line="232" w:lineRule="auto" w:before="66"/>
        <w:ind w:left="358" w:right="1516"/>
      </w:pPr>
      <w:r>
        <w:rPr/>
        <w:t>National Forest System lands in municipal supply watersheds (North Fork Sullivan Creek, and East</w:t>
      </w:r>
      <w:r>
        <w:rPr>
          <w:spacing w:val="-5"/>
        </w:rPr>
        <w:t> </w:t>
      </w:r>
      <w:r>
        <w:rPr/>
        <w:t>Fork</w:t>
      </w:r>
      <w:r>
        <w:rPr>
          <w:spacing w:val="-8"/>
        </w:rPr>
        <w:t> </w:t>
      </w:r>
      <w:r>
        <w:rPr/>
        <w:t>Deer</w:t>
      </w:r>
      <w:r>
        <w:rPr>
          <w:spacing w:val="-8"/>
        </w:rPr>
        <w:t> </w:t>
      </w:r>
      <w:r>
        <w:rPr/>
        <w:t>Creek)</w:t>
      </w:r>
      <w:r>
        <w:rPr>
          <w:spacing w:val="-8"/>
        </w:rPr>
        <w:t> </w:t>
      </w:r>
      <w:r>
        <w:rPr/>
        <w:t>and</w:t>
      </w:r>
      <w:r>
        <w:rPr>
          <w:spacing w:val="-7"/>
        </w:rPr>
        <w:t> </w:t>
      </w:r>
      <w:r>
        <w:rPr/>
        <w:t>ground</w:t>
      </w:r>
      <w:r>
        <w:rPr>
          <w:spacing w:val="-7"/>
        </w:rPr>
        <w:t> </w:t>
      </w:r>
      <w:r>
        <w:rPr/>
        <w:t>and</w:t>
      </w:r>
      <w:r>
        <w:rPr>
          <w:spacing w:val="-7"/>
        </w:rPr>
        <w:t> </w:t>
      </w:r>
      <w:r>
        <w:rPr/>
        <w:t>surface</w:t>
      </w:r>
      <w:r>
        <w:rPr>
          <w:spacing w:val="-5"/>
        </w:rPr>
        <w:t> </w:t>
      </w:r>
      <w:r>
        <w:rPr/>
        <w:t>source</w:t>
      </w:r>
      <w:r>
        <w:rPr>
          <w:spacing w:val="-9"/>
        </w:rPr>
        <w:t> </w:t>
      </w:r>
      <w:r>
        <w:rPr/>
        <w:t>water</w:t>
      </w:r>
      <w:r>
        <w:rPr>
          <w:spacing w:val="-6"/>
        </w:rPr>
        <w:t> </w:t>
      </w:r>
      <w:r>
        <w:rPr/>
        <w:t>protection</w:t>
      </w:r>
      <w:r>
        <w:rPr>
          <w:spacing w:val="-7"/>
        </w:rPr>
        <w:t> </w:t>
      </w:r>
      <w:r>
        <w:rPr/>
        <w:t>areas</w:t>
      </w:r>
      <w:r>
        <w:rPr>
          <w:spacing w:val="-8"/>
        </w:rPr>
        <w:t> </w:t>
      </w:r>
      <w:r>
        <w:rPr/>
        <w:t>provide</w:t>
      </w:r>
      <w:r>
        <w:rPr>
          <w:spacing w:val="-8"/>
        </w:rPr>
        <w:t> </w:t>
      </w:r>
      <w:r>
        <w:rPr/>
        <w:t>water</w:t>
      </w:r>
      <w:r>
        <w:rPr>
          <w:spacing w:val="-8"/>
        </w:rPr>
        <w:t> </w:t>
      </w:r>
      <w:r>
        <w:rPr/>
        <w:t>that meets</w:t>
      </w:r>
      <w:r>
        <w:rPr>
          <w:spacing w:val="-1"/>
        </w:rPr>
        <w:t> </w:t>
      </w:r>
      <w:r>
        <w:rPr/>
        <w:t>or</w:t>
      </w:r>
      <w:r>
        <w:rPr>
          <w:spacing w:val="-1"/>
        </w:rPr>
        <w:t> </w:t>
      </w:r>
      <w:r>
        <w:rPr/>
        <w:t>exceeds state</w:t>
      </w:r>
      <w:r>
        <w:rPr>
          <w:spacing w:val="-1"/>
        </w:rPr>
        <w:t> </w:t>
      </w:r>
      <w:r>
        <w:rPr/>
        <w:t>water quality standards for drinking water</w:t>
      </w:r>
      <w:r>
        <w:rPr>
          <w:spacing w:val="-1"/>
        </w:rPr>
        <w:t> </w:t>
      </w:r>
      <w:r>
        <w:rPr/>
        <w:t>with appropriate treatment.</w:t>
      </w:r>
    </w:p>
    <w:p>
      <w:pPr>
        <w:spacing w:before="233"/>
        <w:ind w:left="358" w:right="0" w:firstLine="0"/>
        <w:jc w:val="left"/>
        <w:rPr>
          <w:rFonts w:ascii="Arial"/>
          <w:i/>
          <w:sz w:val="22"/>
        </w:rPr>
      </w:pPr>
      <w:bookmarkStart w:name="FW-DC-WR-16. Key Watershed Network" w:id="220"/>
      <w:bookmarkEnd w:id="220"/>
      <w:r>
        <w:rPr/>
      </w:r>
      <w:r>
        <w:rPr>
          <w:rFonts w:ascii="Arial"/>
          <w:i/>
          <w:sz w:val="22"/>
        </w:rPr>
        <w:t>FW-DC-WR-16.</w:t>
      </w:r>
      <w:r>
        <w:rPr>
          <w:rFonts w:ascii="Arial"/>
          <w:i/>
          <w:spacing w:val="-8"/>
          <w:sz w:val="22"/>
        </w:rPr>
        <w:t> </w:t>
      </w:r>
      <w:r>
        <w:rPr>
          <w:rFonts w:ascii="Arial"/>
          <w:i/>
          <w:sz w:val="22"/>
        </w:rPr>
        <w:t>Key</w:t>
      </w:r>
      <w:r>
        <w:rPr>
          <w:rFonts w:ascii="Arial"/>
          <w:i/>
          <w:spacing w:val="-8"/>
          <w:sz w:val="22"/>
        </w:rPr>
        <w:t> </w:t>
      </w:r>
      <w:r>
        <w:rPr>
          <w:rFonts w:ascii="Arial"/>
          <w:i/>
          <w:sz w:val="22"/>
        </w:rPr>
        <w:t>Watershed</w:t>
      </w:r>
      <w:r>
        <w:rPr>
          <w:rFonts w:ascii="Arial"/>
          <w:i/>
          <w:spacing w:val="-6"/>
          <w:sz w:val="22"/>
        </w:rPr>
        <w:t> </w:t>
      </w:r>
      <w:r>
        <w:rPr>
          <w:rFonts w:ascii="Arial"/>
          <w:i/>
          <w:spacing w:val="-2"/>
          <w:sz w:val="22"/>
        </w:rPr>
        <w:t>Network</w:t>
      </w:r>
    </w:p>
    <w:p>
      <w:pPr>
        <w:pStyle w:val="BodyText"/>
        <w:spacing w:line="232" w:lineRule="auto" w:before="65"/>
        <w:ind w:left="358" w:right="1563"/>
      </w:pPr>
      <w:r>
        <w:rPr/>
        <w:t>Networks of watersheds with functional habitat and functionally intact ecosystems contribute to</w:t>
      </w:r>
      <w:r>
        <w:rPr>
          <w:spacing w:val="-5"/>
        </w:rPr>
        <w:t> </w:t>
      </w:r>
      <w:r>
        <w:rPr/>
        <w:t>and</w:t>
      </w:r>
      <w:r>
        <w:rPr>
          <w:spacing w:val="-8"/>
        </w:rPr>
        <w:t> </w:t>
      </w:r>
      <w:r>
        <w:rPr/>
        <w:t>enhance</w:t>
      </w:r>
      <w:r>
        <w:rPr>
          <w:spacing w:val="-5"/>
        </w:rPr>
        <w:t> </w:t>
      </w:r>
      <w:r>
        <w:rPr/>
        <w:t>conservation</w:t>
      </w:r>
      <w:r>
        <w:rPr>
          <w:spacing w:val="-6"/>
        </w:rPr>
        <w:t> </w:t>
      </w:r>
      <w:r>
        <w:rPr/>
        <w:t>and</w:t>
      </w:r>
      <w:r>
        <w:rPr>
          <w:spacing w:val="-6"/>
        </w:rPr>
        <w:t> </w:t>
      </w:r>
      <w:r>
        <w:rPr/>
        <w:t>recovery</w:t>
      </w:r>
      <w:r>
        <w:rPr>
          <w:spacing w:val="-6"/>
        </w:rPr>
        <w:t> </w:t>
      </w:r>
      <w:r>
        <w:rPr/>
        <w:t>of</w:t>
      </w:r>
      <w:r>
        <w:rPr>
          <w:spacing w:val="-7"/>
        </w:rPr>
        <w:t> </w:t>
      </w:r>
      <w:r>
        <w:rPr/>
        <w:t>specific</w:t>
      </w:r>
      <w:r>
        <w:rPr>
          <w:spacing w:val="-9"/>
        </w:rPr>
        <w:t> </w:t>
      </w:r>
      <w:r>
        <w:rPr/>
        <w:t>threatened,</w:t>
      </w:r>
      <w:r>
        <w:rPr>
          <w:spacing w:val="-6"/>
        </w:rPr>
        <w:t> </w:t>
      </w:r>
      <w:r>
        <w:rPr/>
        <w:t>endangered,</w:t>
      </w:r>
      <w:r>
        <w:rPr>
          <w:spacing w:val="-7"/>
        </w:rPr>
        <w:t> </w:t>
      </w:r>
      <w:r>
        <w:rPr/>
        <w:t>and/or</w:t>
      </w:r>
      <w:r>
        <w:rPr>
          <w:spacing w:val="-6"/>
        </w:rPr>
        <w:t> </w:t>
      </w:r>
      <w:r>
        <w:rPr/>
        <w:t>sensitive aquatic species and high water quality and natural flow regimes. The networks contribute to short-term conservation and long-term recovery at the Recovery Unit or other appropriate population scale.</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DC-WR-17. Roads in Key Watersheds" w:id="221"/>
      <w:bookmarkEnd w:id="221"/>
      <w:r>
        <w:rPr/>
      </w:r>
      <w:r>
        <w:rPr>
          <w:rFonts w:ascii="Arial"/>
          <w:i/>
          <w:sz w:val="22"/>
        </w:rPr>
        <w:t>FW-DC-WR-17.</w:t>
      </w:r>
      <w:r>
        <w:rPr>
          <w:rFonts w:ascii="Arial"/>
          <w:i/>
          <w:spacing w:val="-7"/>
          <w:sz w:val="22"/>
        </w:rPr>
        <w:t> </w:t>
      </w:r>
      <w:r>
        <w:rPr>
          <w:rFonts w:ascii="Arial"/>
          <w:i/>
          <w:sz w:val="22"/>
        </w:rPr>
        <w:t>Roads</w:t>
      </w:r>
      <w:r>
        <w:rPr>
          <w:rFonts w:ascii="Arial"/>
          <w:i/>
          <w:spacing w:val="-5"/>
          <w:sz w:val="22"/>
        </w:rPr>
        <w:t> </w:t>
      </w:r>
      <w:r>
        <w:rPr>
          <w:rFonts w:ascii="Arial"/>
          <w:i/>
          <w:sz w:val="22"/>
        </w:rPr>
        <w:t>in</w:t>
      </w:r>
      <w:r>
        <w:rPr>
          <w:rFonts w:ascii="Arial"/>
          <w:i/>
          <w:spacing w:val="-5"/>
          <w:sz w:val="22"/>
        </w:rPr>
        <w:t> </w:t>
      </w:r>
      <w:r>
        <w:rPr>
          <w:rFonts w:ascii="Arial"/>
          <w:i/>
          <w:sz w:val="22"/>
        </w:rPr>
        <w:t>Key</w:t>
      </w:r>
      <w:r>
        <w:rPr>
          <w:rFonts w:ascii="Arial"/>
          <w:i/>
          <w:spacing w:val="-7"/>
          <w:sz w:val="22"/>
        </w:rPr>
        <w:t> </w:t>
      </w:r>
      <w:r>
        <w:rPr>
          <w:rFonts w:ascii="Arial"/>
          <w:i/>
          <w:spacing w:val="-2"/>
          <w:sz w:val="22"/>
        </w:rPr>
        <w:t>Watersheds</w:t>
      </w:r>
    </w:p>
    <w:p>
      <w:pPr>
        <w:pStyle w:val="BodyText"/>
        <w:spacing w:line="232" w:lineRule="auto" w:before="65"/>
        <w:ind w:left="1151" w:right="783"/>
        <w:jc w:val="both"/>
      </w:pPr>
      <w:r>
        <w:rPr/>
        <w:t>Roads</w:t>
      </w:r>
      <w:r>
        <w:rPr>
          <w:spacing w:val="-4"/>
        </w:rPr>
        <w:t> </w:t>
      </w:r>
      <w:r>
        <w:rPr/>
        <w:t>in</w:t>
      </w:r>
      <w:r>
        <w:rPr>
          <w:spacing w:val="-5"/>
        </w:rPr>
        <w:t> </w:t>
      </w:r>
      <w:r>
        <w:rPr/>
        <w:t>key</w:t>
      </w:r>
      <w:r>
        <w:rPr>
          <w:spacing w:val="-5"/>
        </w:rPr>
        <w:t> </w:t>
      </w:r>
      <w:r>
        <w:rPr/>
        <w:t>watersheds</w:t>
      </w:r>
      <w:r>
        <w:rPr>
          <w:spacing w:val="-6"/>
        </w:rPr>
        <w:t> </w:t>
      </w:r>
      <w:r>
        <w:rPr/>
        <w:t>are</w:t>
      </w:r>
      <w:r>
        <w:rPr>
          <w:spacing w:val="-4"/>
        </w:rPr>
        <w:t> </w:t>
      </w:r>
      <w:r>
        <w:rPr/>
        <w:t>not</w:t>
      </w:r>
      <w:r>
        <w:rPr>
          <w:spacing w:val="-6"/>
        </w:rPr>
        <w:t> </w:t>
      </w:r>
      <w:r>
        <w:rPr/>
        <w:t>a</w:t>
      </w:r>
      <w:r>
        <w:rPr>
          <w:spacing w:val="-4"/>
        </w:rPr>
        <w:t> </w:t>
      </w:r>
      <w:r>
        <w:rPr/>
        <w:t>risk</w:t>
      </w:r>
      <w:r>
        <w:rPr>
          <w:spacing w:val="-4"/>
        </w:rPr>
        <w:t> </w:t>
      </w:r>
      <w:r>
        <w:rPr/>
        <w:t>to</w:t>
      </w:r>
      <w:r>
        <w:rPr>
          <w:spacing w:val="-4"/>
        </w:rPr>
        <w:t> </w:t>
      </w:r>
      <w:r>
        <w:rPr/>
        <w:t>the</w:t>
      </w:r>
      <w:r>
        <w:rPr>
          <w:spacing w:val="-6"/>
        </w:rPr>
        <w:t> </w:t>
      </w:r>
      <w:r>
        <w:rPr/>
        <w:t>function</w:t>
      </w:r>
      <w:r>
        <w:rPr>
          <w:spacing w:val="-7"/>
        </w:rPr>
        <w:t> </w:t>
      </w:r>
      <w:r>
        <w:rPr/>
        <w:t>of</w:t>
      </w:r>
      <w:r>
        <w:rPr>
          <w:spacing w:val="-4"/>
        </w:rPr>
        <w:t> </w:t>
      </w:r>
      <w:r>
        <w:rPr/>
        <w:t>soil</w:t>
      </w:r>
      <w:r>
        <w:rPr>
          <w:spacing w:val="-4"/>
        </w:rPr>
        <w:t> </w:t>
      </w:r>
      <w:r>
        <w:rPr/>
        <w:t>and</w:t>
      </w:r>
      <w:r>
        <w:rPr>
          <w:spacing w:val="-5"/>
        </w:rPr>
        <w:t> </w:t>
      </w:r>
      <w:r>
        <w:rPr/>
        <w:t>water</w:t>
      </w:r>
      <w:r>
        <w:rPr>
          <w:spacing w:val="-6"/>
        </w:rPr>
        <w:t> </w:t>
      </w:r>
      <w:r>
        <w:rPr/>
        <w:t>resources.</w:t>
      </w:r>
      <w:r>
        <w:rPr>
          <w:spacing w:val="-6"/>
        </w:rPr>
        <w:t> </w:t>
      </w:r>
      <w:r>
        <w:rPr/>
        <w:t>Roads</w:t>
      </w:r>
      <w:r>
        <w:rPr>
          <w:spacing w:val="-4"/>
        </w:rPr>
        <w:t> </w:t>
      </w:r>
      <w:r>
        <w:rPr/>
        <w:t>do</w:t>
      </w:r>
      <w:r>
        <w:rPr>
          <w:spacing w:val="-4"/>
        </w:rPr>
        <w:t> </w:t>
      </w:r>
      <w:r>
        <w:rPr/>
        <w:t>not disrupt hydrologic</w:t>
      </w:r>
      <w:r>
        <w:rPr>
          <w:spacing w:val="-2"/>
        </w:rPr>
        <w:t> </w:t>
      </w:r>
      <w:r>
        <w:rPr/>
        <w:t>or</w:t>
      </w:r>
      <w:r>
        <w:rPr>
          <w:spacing w:val="-2"/>
        </w:rPr>
        <w:t> </w:t>
      </w:r>
      <w:r>
        <w:rPr/>
        <w:t>aquatic habitat function</w:t>
      </w:r>
      <w:r>
        <w:rPr>
          <w:spacing w:val="-3"/>
        </w:rPr>
        <w:t> </w:t>
      </w:r>
      <w:r>
        <w:rPr/>
        <w:t>or threatened</w:t>
      </w:r>
      <w:r>
        <w:rPr>
          <w:spacing w:val="-1"/>
        </w:rPr>
        <w:t> </w:t>
      </w:r>
      <w:r>
        <w:rPr/>
        <w:t>and</w:t>
      </w:r>
      <w:r>
        <w:rPr>
          <w:spacing w:val="-1"/>
        </w:rPr>
        <w:t> </w:t>
      </w:r>
      <w:r>
        <w:rPr/>
        <w:t>endangered</w:t>
      </w:r>
      <w:r>
        <w:rPr>
          <w:spacing w:val="-1"/>
        </w:rPr>
        <w:t> </w:t>
      </w:r>
      <w:r>
        <w:rPr/>
        <w:t>species biological and behavioral attributes.</w:t>
      </w:r>
    </w:p>
    <w:p>
      <w:pPr>
        <w:spacing w:before="235"/>
        <w:ind w:left="1151" w:right="0" w:firstLine="0"/>
        <w:jc w:val="left"/>
        <w:rPr>
          <w:rFonts w:ascii="Arial"/>
          <w:i/>
          <w:sz w:val="22"/>
        </w:rPr>
      </w:pPr>
      <w:bookmarkStart w:name="FW-DC-WR-18. Key Watershed Integrity" w:id="222"/>
      <w:bookmarkEnd w:id="222"/>
      <w:r>
        <w:rPr/>
      </w:r>
      <w:r>
        <w:rPr>
          <w:rFonts w:ascii="Arial"/>
          <w:i/>
          <w:sz w:val="22"/>
        </w:rPr>
        <w:t>FW-DC-WR-18.</w:t>
      </w:r>
      <w:r>
        <w:rPr>
          <w:rFonts w:ascii="Arial"/>
          <w:i/>
          <w:spacing w:val="-7"/>
          <w:sz w:val="22"/>
        </w:rPr>
        <w:t> </w:t>
      </w:r>
      <w:r>
        <w:rPr>
          <w:rFonts w:ascii="Arial"/>
          <w:i/>
          <w:sz w:val="22"/>
        </w:rPr>
        <w:t>Key</w:t>
      </w:r>
      <w:r>
        <w:rPr>
          <w:rFonts w:ascii="Arial"/>
          <w:i/>
          <w:spacing w:val="-8"/>
          <w:sz w:val="22"/>
        </w:rPr>
        <w:t> </w:t>
      </w:r>
      <w:r>
        <w:rPr>
          <w:rFonts w:ascii="Arial"/>
          <w:i/>
          <w:sz w:val="22"/>
        </w:rPr>
        <w:t>Watershed</w:t>
      </w:r>
      <w:r>
        <w:rPr>
          <w:rFonts w:ascii="Arial"/>
          <w:i/>
          <w:spacing w:val="-8"/>
          <w:sz w:val="22"/>
        </w:rPr>
        <w:t> </w:t>
      </w:r>
      <w:r>
        <w:rPr>
          <w:rFonts w:ascii="Arial"/>
          <w:i/>
          <w:spacing w:val="-2"/>
          <w:sz w:val="22"/>
        </w:rPr>
        <w:t>Integrity</w:t>
      </w:r>
    </w:p>
    <w:p>
      <w:pPr>
        <w:pStyle w:val="BodyText"/>
        <w:spacing w:line="232" w:lineRule="auto" w:before="65"/>
        <w:ind w:left="1151"/>
      </w:pPr>
      <w:r>
        <w:rPr/>
        <w:t>Key</w:t>
      </w:r>
      <w:r>
        <w:rPr>
          <w:spacing w:val="-6"/>
        </w:rPr>
        <w:t> </w:t>
      </w:r>
      <w:r>
        <w:rPr/>
        <w:t>watersheds</w:t>
      </w:r>
      <w:r>
        <w:rPr>
          <w:spacing w:val="-7"/>
        </w:rPr>
        <w:t> </w:t>
      </w:r>
      <w:r>
        <w:rPr/>
        <w:t>have</w:t>
      </w:r>
      <w:r>
        <w:rPr>
          <w:spacing w:val="-9"/>
        </w:rPr>
        <w:t> </w:t>
      </w:r>
      <w:r>
        <w:rPr/>
        <w:t>high</w:t>
      </w:r>
      <w:r>
        <w:rPr>
          <w:spacing w:val="-8"/>
        </w:rPr>
        <w:t> </w:t>
      </w:r>
      <w:r>
        <w:rPr/>
        <w:t>watershed</w:t>
      </w:r>
      <w:r>
        <w:rPr>
          <w:spacing w:val="-8"/>
        </w:rPr>
        <w:t> </w:t>
      </w:r>
      <w:r>
        <w:rPr/>
        <w:t>integrity</w:t>
      </w:r>
      <w:r>
        <w:rPr>
          <w:spacing w:val="-8"/>
        </w:rPr>
        <w:t> </w:t>
      </w:r>
      <w:r>
        <w:rPr/>
        <w:t>and</w:t>
      </w:r>
      <w:r>
        <w:rPr>
          <w:spacing w:val="-8"/>
        </w:rPr>
        <w:t> </w:t>
      </w:r>
      <w:r>
        <w:rPr/>
        <w:t>contribute</w:t>
      </w:r>
      <w:r>
        <w:rPr>
          <w:spacing w:val="-6"/>
        </w:rPr>
        <w:t> </w:t>
      </w:r>
      <w:r>
        <w:rPr/>
        <w:t>to</w:t>
      </w:r>
      <w:r>
        <w:rPr>
          <w:spacing w:val="-8"/>
        </w:rPr>
        <w:t> </w:t>
      </w:r>
      <w:r>
        <w:rPr/>
        <w:t>resilient</w:t>
      </w:r>
      <w:r>
        <w:rPr>
          <w:spacing w:val="-6"/>
        </w:rPr>
        <w:t> </w:t>
      </w:r>
      <w:r>
        <w:rPr/>
        <w:t>aquatic</w:t>
      </w:r>
      <w:r>
        <w:rPr>
          <w:spacing w:val="-9"/>
        </w:rPr>
        <w:t> </w:t>
      </w:r>
      <w:r>
        <w:rPr/>
        <w:t>and</w:t>
      </w:r>
      <w:r>
        <w:rPr>
          <w:spacing w:val="-8"/>
        </w:rPr>
        <w:t> </w:t>
      </w:r>
      <w:r>
        <w:rPr/>
        <w:t>riparian </w:t>
      </w:r>
      <w:r>
        <w:rPr>
          <w:spacing w:val="-2"/>
        </w:rPr>
        <w:t>ecosystems.</w:t>
      </w:r>
    </w:p>
    <w:p>
      <w:pPr>
        <w:spacing w:before="234"/>
        <w:ind w:left="1151" w:right="0" w:firstLine="0"/>
        <w:jc w:val="left"/>
        <w:rPr>
          <w:rFonts w:ascii="Arial"/>
          <w:i/>
          <w:sz w:val="22"/>
        </w:rPr>
      </w:pPr>
      <w:bookmarkStart w:name="FW-DC-WR-19. Focus and Priority Watershe" w:id="223"/>
      <w:bookmarkEnd w:id="223"/>
      <w:r>
        <w:rPr/>
      </w:r>
      <w:r>
        <w:rPr>
          <w:rFonts w:ascii="Arial"/>
          <w:i/>
          <w:sz w:val="22"/>
        </w:rPr>
        <w:t>FW-DC-WR-19.</w:t>
      </w:r>
      <w:r>
        <w:rPr>
          <w:rFonts w:ascii="Arial"/>
          <w:i/>
          <w:spacing w:val="-7"/>
          <w:sz w:val="22"/>
        </w:rPr>
        <w:t> </w:t>
      </w:r>
      <w:r>
        <w:rPr>
          <w:rFonts w:ascii="Arial"/>
          <w:i/>
          <w:sz w:val="22"/>
        </w:rPr>
        <w:t>Focus</w:t>
      </w:r>
      <w:r>
        <w:rPr>
          <w:rFonts w:ascii="Arial"/>
          <w:i/>
          <w:spacing w:val="-8"/>
          <w:sz w:val="22"/>
        </w:rPr>
        <w:t> </w:t>
      </w:r>
      <w:r>
        <w:rPr>
          <w:rFonts w:ascii="Arial"/>
          <w:i/>
          <w:sz w:val="22"/>
        </w:rPr>
        <w:t>and</w:t>
      </w:r>
      <w:r>
        <w:rPr>
          <w:rFonts w:ascii="Arial"/>
          <w:i/>
          <w:spacing w:val="-5"/>
          <w:sz w:val="22"/>
        </w:rPr>
        <w:t> </w:t>
      </w:r>
      <w:r>
        <w:rPr>
          <w:rFonts w:ascii="Arial"/>
          <w:i/>
          <w:sz w:val="22"/>
        </w:rPr>
        <w:t>Priority</w:t>
      </w:r>
      <w:r>
        <w:rPr>
          <w:rFonts w:ascii="Arial"/>
          <w:i/>
          <w:spacing w:val="-10"/>
          <w:sz w:val="22"/>
        </w:rPr>
        <w:t> </w:t>
      </w:r>
      <w:r>
        <w:rPr>
          <w:rFonts w:ascii="Arial"/>
          <w:i/>
          <w:sz w:val="22"/>
        </w:rPr>
        <w:t>Watershed</w:t>
      </w:r>
      <w:r>
        <w:rPr>
          <w:rFonts w:ascii="Arial"/>
          <w:i/>
          <w:spacing w:val="-5"/>
          <w:sz w:val="22"/>
        </w:rPr>
        <w:t> </w:t>
      </w:r>
      <w:r>
        <w:rPr>
          <w:rFonts w:ascii="Arial"/>
          <w:i/>
          <w:spacing w:val="-2"/>
          <w:sz w:val="22"/>
        </w:rPr>
        <w:t>Network</w:t>
      </w:r>
    </w:p>
    <w:p>
      <w:pPr>
        <w:pStyle w:val="BodyText"/>
        <w:spacing w:line="232" w:lineRule="auto" w:before="65"/>
        <w:ind w:left="1151" w:right="801"/>
      </w:pPr>
      <w:r>
        <w:rPr/>
        <w:t>Focus</w:t>
      </w:r>
      <w:r>
        <w:rPr>
          <w:spacing w:val="-7"/>
        </w:rPr>
        <w:t> </w:t>
      </w:r>
      <w:r>
        <w:rPr/>
        <w:t>and</w:t>
      </w:r>
      <w:r>
        <w:rPr>
          <w:spacing w:val="-8"/>
        </w:rPr>
        <w:t> </w:t>
      </w:r>
      <w:r>
        <w:rPr/>
        <w:t>priority</w:t>
      </w:r>
      <w:r>
        <w:rPr>
          <w:spacing w:val="-6"/>
        </w:rPr>
        <w:t> </w:t>
      </w:r>
      <w:r>
        <w:rPr/>
        <w:t>watersheds</w:t>
      </w:r>
      <w:r>
        <w:rPr>
          <w:spacing w:val="-7"/>
        </w:rPr>
        <w:t> </w:t>
      </w:r>
      <w:r>
        <w:rPr/>
        <w:t>contribute</w:t>
      </w:r>
      <w:r>
        <w:rPr>
          <w:spacing w:val="-6"/>
        </w:rPr>
        <w:t> </w:t>
      </w:r>
      <w:r>
        <w:rPr/>
        <w:t>to</w:t>
      </w:r>
      <w:r>
        <w:rPr>
          <w:spacing w:val="-6"/>
        </w:rPr>
        <w:t> </w:t>
      </w:r>
      <w:r>
        <w:rPr/>
        <w:t>the</w:t>
      </w:r>
      <w:r>
        <w:rPr>
          <w:spacing w:val="-6"/>
        </w:rPr>
        <w:t> </w:t>
      </w:r>
      <w:r>
        <w:rPr/>
        <w:t>sustainability</w:t>
      </w:r>
      <w:r>
        <w:rPr>
          <w:spacing w:val="-6"/>
        </w:rPr>
        <w:t> </w:t>
      </w:r>
      <w:r>
        <w:rPr/>
        <w:t>of</w:t>
      </w:r>
      <w:r>
        <w:rPr>
          <w:spacing w:val="-9"/>
        </w:rPr>
        <w:t> </w:t>
      </w:r>
      <w:r>
        <w:rPr/>
        <w:t>aquatic</w:t>
      </w:r>
      <w:r>
        <w:rPr>
          <w:spacing w:val="-7"/>
        </w:rPr>
        <w:t> </w:t>
      </w:r>
      <w:r>
        <w:rPr/>
        <w:t>and</w:t>
      </w:r>
      <w:r>
        <w:rPr>
          <w:spacing w:val="-8"/>
        </w:rPr>
        <w:t> </w:t>
      </w:r>
      <w:r>
        <w:rPr/>
        <w:t>riparian</w:t>
      </w:r>
      <w:r>
        <w:rPr>
          <w:spacing w:val="-8"/>
        </w:rPr>
        <w:t> </w:t>
      </w:r>
      <w:r>
        <w:rPr/>
        <w:t>systems and species and provide resilient, productive habitat and high water quality.</w:t>
      </w:r>
    </w:p>
    <w:p>
      <w:pPr>
        <w:pStyle w:val="Heading4"/>
        <w:spacing w:before="234"/>
        <w:ind w:left="1151"/>
      </w:pPr>
      <w:bookmarkStart w:name="Objectives" w:id="224"/>
      <w:bookmarkEnd w:id="224"/>
      <w:r>
        <w:rPr/>
      </w:r>
      <w:bookmarkStart w:name="_bookmark95" w:id="225"/>
      <w:bookmarkEnd w:id="225"/>
      <w:r>
        <w:rPr/>
      </w:r>
      <w:r>
        <w:rPr>
          <w:spacing w:val="-2"/>
        </w:rPr>
        <w:t>Objectives</w:t>
      </w:r>
    </w:p>
    <w:p>
      <w:pPr>
        <w:spacing w:before="240"/>
        <w:ind w:left="1151" w:right="0" w:firstLine="0"/>
        <w:jc w:val="left"/>
        <w:rPr>
          <w:rFonts w:ascii="Arial"/>
          <w:i/>
          <w:sz w:val="22"/>
        </w:rPr>
      </w:pPr>
      <w:bookmarkStart w:name="FW-OBJ-WR-01. Aquatic Invasive Species" w:id="226"/>
      <w:bookmarkEnd w:id="226"/>
      <w:r>
        <w:rPr/>
      </w:r>
      <w:r>
        <w:rPr>
          <w:rFonts w:ascii="Arial"/>
          <w:i/>
          <w:sz w:val="22"/>
        </w:rPr>
        <w:t>FW-OBJ-WR-01.</w:t>
      </w:r>
      <w:r>
        <w:rPr>
          <w:rFonts w:ascii="Arial"/>
          <w:i/>
          <w:spacing w:val="-8"/>
          <w:sz w:val="22"/>
        </w:rPr>
        <w:t> </w:t>
      </w:r>
      <w:r>
        <w:rPr>
          <w:rFonts w:ascii="Arial"/>
          <w:i/>
          <w:sz w:val="22"/>
        </w:rPr>
        <w:t>Aquatic</w:t>
      </w:r>
      <w:r>
        <w:rPr>
          <w:rFonts w:ascii="Arial"/>
          <w:i/>
          <w:spacing w:val="-6"/>
          <w:sz w:val="22"/>
        </w:rPr>
        <w:t> </w:t>
      </w:r>
      <w:r>
        <w:rPr>
          <w:rFonts w:ascii="Arial"/>
          <w:i/>
          <w:sz w:val="22"/>
        </w:rPr>
        <w:t>Invasive</w:t>
      </w:r>
      <w:r>
        <w:rPr>
          <w:rFonts w:ascii="Arial"/>
          <w:i/>
          <w:spacing w:val="-7"/>
          <w:sz w:val="22"/>
        </w:rPr>
        <w:t> </w:t>
      </w:r>
      <w:r>
        <w:rPr>
          <w:rFonts w:ascii="Arial"/>
          <w:i/>
          <w:spacing w:val="-2"/>
          <w:sz w:val="22"/>
        </w:rPr>
        <w:t>Species</w:t>
      </w:r>
    </w:p>
    <w:p>
      <w:pPr>
        <w:pStyle w:val="BodyText"/>
        <w:spacing w:line="232" w:lineRule="auto" w:before="65"/>
        <w:ind w:left="1151" w:right="742"/>
      </w:pPr>
      <w:r>
        <w:rPr/>
        <w:t>Within the next 15 years, implement aquatic invasive species prevention measures at all developed</w:t>
      </w:r>
      <w:r>
        <w:rPr>
          <w:spacing w:val="-8"/>
        </w:rPr>
        <w:t> </w:t>
      </w:r>
      <w:r>
        <w:rPr/>
        <w:t>recreation</w:t>
      </w:r>
      <w:r>
        <w:rPr>
          <w:spacing w:val="-6"/>
        </w:rPr>
        <w:t> </w:t>
      </w:r>
      <w:r>
        <w:rPr/>
        <w:t>sites</w:t>
      </w:r>
      <w:r>
        <w:rPr>
          <w:spacing w:val="-7"/>
        </w:rPr>
        <w:t> </w:t>
      </w:r>
      <w:r>
        <w:rPr/>
        <w:t>providing</w:t>
      </w:r>
      <w:r>
        <w:rPr>
          <w:spacing w:val="-6"/>
        </w:rPr>
        <w:t> </w:t>
      </w:r>
      <w:r>
        <w:rPr/>
        <w:t>direct</w:t>
      </w:r>
      <w:r>
        <w:rPr>
          <w:spacing w:val="-4"/>
        </w:rPr>
        <w:t> </w:t>
      </w:r>
      <w:r>
        <w:rPr/>
        <w:t>and/or</w:t>
      </w:r>
      <w:r>
        <w:rPr>
          <w:spacing w:val="-5"/>
        </w:rPr>
        <w:t> </w:t>
      </w:r>
      <w:r>
        <w:rPr/>
        <w:t>indirect</w:t>
      </w:r>
      <w:r>
        <w:rPr>
          <w:spacing w:val="-7"/>
        </w:rPr>
        <w:t> </w:t>
      </w:r>
      <w:r>
        <w:rPr/>
        <w:t>access</w:t>
      </w:r>
      <w:r>
        <w:rPr>
          <w:spacing w:val="-5"/>
        </w:rPr>
        <w:t> </w:t>
      </w:r>
      <w:r>
        <w:rPr/>
        <w:t>to</w:t>
      </w:r>
      <w:r>
        <w:rPr>
          <w:spacing w:val="-6"/>
        </w:rPr>
        <w:t> </w:t>
      </w:r>
      <w:r>
        <w:rPr/>
        <w:t>water</w:t>
      </w:r>
      <w:r>
        <w:rPr>
          <w:spacing w:val="-5"/>
        </w:rPr>
        <w:t> </w:t>
      </w:r>
      <w:r>
        <w:rPr/>
        <w:t>bodies,</w:t>
      </w:r>
      <w:r>
        <w:rPr>
          <w:spacing w:val="-5"/>
        </w:rPr>
        <w:t> </w:t>
      </w:r>
      <w:r>
        <w:rPr/>
        <w:t>such</w:t>
      </w:r>
      <w:r>
        <w:rPr>
          <w:spacing w:val="-6"/>
        </w:rPr>
        <w:t> </w:t>
      </w:r>
      <w:r>
        <w:rPr/>
        <w:t>as</w:t>
      </w:r>
      <w:r>
        <w:rPr>
          <w:spacing w:val="-5"/>
        </w:rPr>
        <w:t> </w:t>
      </w:r>
      <w:r>
        <w:rPr/>
        <w:t>boat ramps, campgrounds, and day use areas that provide portal zones for hand carried watercraft. Implement aquatic invasive species prevention measures as part of all aquatic survey and inventory procedures and other management activities that pose high potential for invasion vectors to occur. For guidance on invasive riparian plants see FW-DC-WR-12 and Invasive Species Desired Condition section.</w:t>
      </w:r>
    </w:p>
    <w:p>
      <w:pPr>
        <w:spacing w:before="232"/>
        <w:ind w:left="1151" w:right="0" w:firstLine="0"/>
        <w:jc w:val="left"/>
        <w:rPr>
          <w:rFonts w:ascii="Arial"/>
          <w:i/>
          <w:sz w:val="22"/>
        </w:rPr>
      </w:pPr>
      <w:bookmarkStart w:name="FW-OBJ-WR-02. Aquatic Invasive and Non-N" w:id="227"/>
      <w:bookmarkEnd w:id="227"/>
      <w:r>
        <w:rPr/>
      </w:r>
      <w:r>
        <w:rPr>
          <w:rFonts w:ascii="Arial"/>
          <w:i/>
          <w:sz w:val="22"/>
        </w:rPr>
        <w:t>FW-OBJ-WR-02.</w:t>
      </w:r>
      <w:r>
        <w:rPr>
          <w:rFonts w:ascii="Arial"/>
          <w:i/>
          <w:spacing w:val="-11"/>
          <w:sz w:val="22"/>
        </w:rPr>
        <w:t> </w:t>
      </w:r>
      <w:r>
        <w:rPr>
          <w:rFonts w:ascii="Arial"/>
          <w:i/>
          <w:sz w:val="22"/>
        </w:rPr>
        <w:t>Aquatic</w:t>
      </w:r>
      <w:r>
        <w:rPr>
          <w:rFonts w:ascii="Arial"/>
          <w:i/>
          <w:spacing w:val="-6"/>
          <w:sz w:val="22"/>
        </w:rPr>
        <w:t> </w:t>
      </w:r>
      <w:r>
        <w:rPr>
          <w:rFonts w:ascii="Arial"/>
          <w:i/>
          <w:sz w:val="22"/>
        </w:rPr>
        <w:t>Invasive</w:t>
      </w:r>
      <w:r>
        <w:rPr>
          <w:rFonts w:ascii="Arial"/>
          <w:i/>
          <w:spacing w:val="-7"/>
          <w:sz w:val="22"/>
        </w:rPr>
        <w:t> </w:t>
      </w:r>
      <w:r>
        <w:rPr>
          <w:rFonts w:ascii="Arial"/>
          <w:i/>
          <w:sz w:val="22"/>
        </w:rPr>
        <w:t>and</w:t>
      </w:r>
      <w:r>
        <w:rPr>
          <w:rFonts w:ascii="Arial"/>
          <w:i/>
          <w:spacing w:val="-7"/>
          <w:sz w:val="22"/>
        </w:rPr>
        <w:t> </w:t>
      </w:r>
      <w:r>
        <w:rPr>
          <w:rFonts w:ascii="Arial"/>
          <w:i/>
          <w:sz w:val="22"/>
        </w:rPr>
        <w:t>Non-Native</w:t>
      </w:r>
      <w:r>
        <w:rPr>
          <w:rFonts w:ascii="Arial"/>
          <w:i/>
          <w:spacing w:val="-7"/>
          <w:sz w:val="22"/>
        </w:rPr>
        <w:t> </w:t>
      </w:r>
      <w:r>
        <w:rPr>
          <w:rFonts w:ascii="Arial"/>
          <w:i/>
          <w:spacing w:val="-2"/>
          <w:sz w:val="22"/>
        </w:rPr>
        <w:t>Species</w:t>
      </w:r>
    </w:p>
    <w:p>
      <w:pPr>
        <w:pStyle w:val="BodyText"/>
        <w:spacing w:line="264" w:lineRule="exact" w:before="59"/>
        <w:ind w:left="1151"/>
      </w:pPr>
      <w:r>
        <w:rPr/>
        <w:t>Within</w:t>
      </w:r>
      <w:r>
        <w:rPr>
          <w:spacing w:val="-9"/>
        </w:rPr>
        <w:t> </w:t>
      </w:r>
      <w:r>
        <w:rPr/>
        <w:t>the</w:t>
      </w:r>
      <w:r>
        <w:rPr>
          <w:spacing w:val="-6"/>
        </w:rPr>
        <w:t> </w:t>
      </w:r>
      <w:r>
        <w:rPr/>
        <w:t>next</w:t>
      </w:r>
      <w:r>
        <w:rPr>
          <w:spacing w:val="-9"/>
        </w:rPr>
        <w:t> </w:t>
      </w:r>
      <w:r>
        <w:rPr/>
        <w:t>15</w:t>
      </w:r>
      <w:r>
        <w:rPr>
          <w:spacing w:val="-8"/>
        </w:rPr>
        <w:t> </w:t>
      </w:r>
      <w:r>
        <w:rPr/>
        <w:t>years,</w:t>
      </w:r>
      <w:r>
        <w:rPr>
          <w:spacing w:val="-7"/>
        </w:rPr>
        <w:t> </w:t>
      </w:r>
      <w:r>
        <w:rPr/>
        <w:t>implement</w:t>
      </w:r>
      <w:r>
        <w:rPr>
          <w:spacing w:val="-6"/>
        </w:rPr>
        <w:t> </w:t>
      </w:r>
      <w:r>
        <w:rPr/>
        <w:t>aquatic</w:t>
      </w:r>
      <w:r>
        <w:rPr>
          <w:spacing w:val="-8"/>
        </w:rPr>
        <w:t> </w:t>
      </w:r>
      <w:r>
        <w:rPr/>
        <w:t>invasive</w:t>
      </w:r>
      <w:r>
        <w:rPr>
          <w:spacing w:val="-8"/>
        </w:rPr>
        <w:t> </w:t>
      </w:r>
      <w:r>
        <w:rPr/>
        <w:t>species</w:t>
      </w:r>
      <w:r>
        <w:rPr>
          <w:spacing w:val="-8"/>
        </w:rPr>
        <w:t> </w:t>
      </w:r>
      <w:r>
        <w:rPr/>
        <w:t>control</w:t>
      </w:r>
      <w:r>
        <w:rPr>
          <w:spacing w:val="-9"/>
        </w:rPr>
        <w:t> </w:t>
      </w:r>
      <w:r>
        <w:rPr/>
        <w:t>and</w:t>
      </w:r>
      <w:r>
        <w:rPr>
          <w:spacing w:val="-8"/>
        </w:rPr>
        <w:t> </w:t>
      </w:r>
      <w:r>
        <w:rPr/>
        <w:t>eradication</w:t>
      </w:r>
      <w:r>
        <w:rPr>
          <w:spacing w:val="-8"/>
        </w:rPr>
        <w:t> </w:t>
      </w:r>
      <w:r>
        <w:rPr>
          <w:spacing w:val="-5"/>
        </w:rPr>
        <w:t>at</w:t>
      </w:r>
    </w:p>
    <w:p>
      <w:pPr>
        <w:pStyle w:val="BodyText"/>
        <w:spacing w:line="232" w:lineRule="auto" w:before="1"/>
        <w:ind w:left="1151" w:right="742"/>
      </w:pPr>
      <w:r>
        <w:rPr/>
        <w:t>15</w:t>
      </w:r>
      <w:r>
        <w:rPr>
          <w:spacing w:val="-8"/>
        </w:rPr>
        <w:t> </w:t>
      </w:r>
      <w:r>
        <w:rPr/>
        <w:t>waterbodies</w:t>
      </w:r>
      <w:r>
        <w:rPr>
          <w:spacing w:val="-9"/>
        </w:rPr>
        <w:t> </w:t>
      </w:r>
      <w:r>
        <w:rPr/>
        <w:t>(streams</w:t>
      </w:r>
      <w:r>
        <w:rPr>
          <w:spacing w:val="-7"/>
        </w:rPr>
        <w:t> </w:t>
      </w:r>
      <w:r>
        <w:rPr/>
        <w:t>and</w:t>
      </w:r>
      <w:r>
        <w:rPr>
          <w:spacing w:val="-8"/>
        </w:rPr>
        <w:t> </w:t>
      </w:r>
      <w:r>
        <w:rPr/>
        <w:t>lakes)</w:t>
      </w:r>
      <w:r>
        <w:rPr>
          <w:spacing w:val="-9"/>
        </w:rPr>
        <w:t> </w:t>
      </w:r>
      <w:r>
        <w:rPr/>
        <w:t>where</w:t>
      </w:r>
      <w:r>
        <w:rPr>
          <w:spacing w:val="-6"/>
        </w:rPr>
        <w:t> </w:t>
      </w:r>
      <w:r>
        <w:rPr/>
        <w:t>such</w:t>
      </w:r>
      <w:r>
        <w:rPr>
          <w:spacing w:val="-8"/>
        </w:rPr>
        <w:t> </w:t>
      </w:r>
      <w:r>
        <w:rPr/>
        <w:t>invasions</w:t>
      </w:r>
      <w:r>
        <w:rPr>
          <w:spacing w:val="-7"/>
        </w:rPr>
        <w:t> </w:t>
      </w:r>
      <w:r>
        <w:rPr/>
        <w:t>have</w:t>
      </w:r>
      <w:r>
        <w:rPr>
          <w:spacing w:val="-9"/>
        </w:rPr>
        <w:t> </w:t>
      </w:r>
      <w:r>
        <w:rPr/>
        <w:t>become</w:t>
      </w:r>
      <w:r>
        <w:rPr>
          <w:spacing w:val="-6"/>
        </w:rPr>
        <w:t> </w:t>
      </w:r>
      <w:r>
        <w:rPr/>
        <w:t>established</w:t>
      </w:r>
      <w:r>
        <w:rPr>
          <w:spacing w:val="-8"/>
        </w:rPr>
        <w:t> </w:t>
      </w:r>
      <w:r>
        <w:rPr/>
        <w:t>and</w:t>
      </w:r>
      <w:r>
        <w:rPr>
          <w:spacing w:val="-8"/>
        </w:rPr>
        <w:t> </w:t>
      </w:r>
      <w:r>
        <w:rPr/>
        <w:t>prevent attainment of listed fish recovery plan goals and/or effects to social, economic, and ecological systems are determined to be unacceptable.</w:t>
      </w:r>
    </w:p>
    <w:p>
      <w:pPr>
        <w:spacing w:before="233"/>
        <w:ind w:left="1151" w:right="0" w:firstLine="0"/>
        <w:jc w:val="left"/>
        <w:rPr>
          <w:rFonts w:ascii="Arial"/>
          <w:i/>
          <w:sz w:val="22"/>
        </w:rPr>
      </w:pPr>
      <w:bookmarkStart w:name="FW-OBJ-WR-03. General Watershed Function" w:id="228"/>
      <w:bookmarkEnd w:id="228"/>
      <w:r>
        <w:rPr/>
      </w:r>
      <w:r>
        <w:rPr>
          <w:rFonts w:ascii="Arial"/>
          <w:i/>
          <w:sz w:val="22"/>
        </w:rPr>
        <w:t>FW-OBJ-WR-03.</w:t>
      </w:r>
      <w:r>
        <w:rPr>
          <w:rFonts w:ascii="Arial"/>
          <w:i/>
          <w:spacing w:val="-11"/>
          <w:sz w:val="22"/>
        </w:rPr>
        <w:t> </w:t>
      </w:r>
      <w:r>
        <w:rPr>
          <w:rFonts w:ascii="Arial"/>
          <w:i/>
          <w:sz w:val="22"/>
        </w:rPr>
        <w:t>General</w:t>
      </w:r>
      <w:r>
        <w:rPr>
          <w:rFonts w:ascii="Arial"/>
          <w:i/>
          <w:spacing w:val="-8"/>
          <w:sz w:val="22"/>
        </w:rPr>
        <w:t> </w:t>
      </w:r>
      <w:r>
        <w:rPr>
          <w:rFonts w:ascii="Arial"/>
          <w:i/>
          <w:sz w:val="22"/>
        </w:rPr>
        <w:t>Watershed</w:t>
      </w:r>
      <w:r>
        <w:rPr>
          <w:rFonts w:ascii="Arial"/>
          <w:i/>
          <w:spacing w:val="-5"/>
          <w:sz w:val="22"/>
        </w:rPr>
        <w:t> </w:t>
      </w:r>
      <w:r>
        <w:rPr>
          <w:rFonts w:ascii="Arial"/>
          <w:i/>
          <w:sz w:val="22"/>
        </w:rPr>
        <w:t>Function</w:t>
      </w:r>
      <w:r>
        <w:rPr>
          <w:rFonts w:ascii="Arial"/>
          <w:i/>
          <w:spacing w:val="-6"/>
          <w:sz w:val="22"/>
        </w:rPr>
        <w:t> </w:t>
      </w:r>
      <w:r>
        <w:rPr>
          <w:rFonts w:ascii="Arial"/>
          <w:i/>
          <w:sz w:val="22"/>
        </w:rPr>
        <w:t>and</w:t>
      </w:r>
      <w:r>
        <w:rPr>
          <w:rFonts w:ascii="Arial"/>
          <w:i/>
          <w:spacing w:val="-5"/>
          <w:sz w:val="22"/>
        </w:rPr>
        <w:t> </w:t>
      </w:r>
      <w:r>
        <w:rPr>
          <w:rFonts w:ascii="Arial"/>
          <w:i/>
          <w:spacing w:val="-2"/>
          <w:sz w:val="22"/>
        </w:rPr>
        <w:t>Restoration</w:t>
      </w:r>
    </w:p>
    <w:p>
      <w:pPr>
        <w:pStyle w:val="BodyText"/>
        <w:spacing w:line="265" w:lineRule="exact" w:before="59"/>
        <w:ind w:left="1151"/>
      </w:pPr>
      <w:r>
        <w:rPr/>
        <w:t>Within</w:t>
      </w:r>
      <w:r>
        <w:rPr>
          <w:spacing w:val="-8"/>
        </w:rPr>
        <w:t> </w:t>
      </w:r>
      <w:r>
        <w:rPr/>
        <w:t>the</w:t>
      </w:r>
      <w:r>
        <w:rPr>
          <w:spacing w:val="-6"/>
        </w:rPr>
        <w:t> </w:t>
      </w:r>
      <w:r>
        <w:rPr/>
        <w:t>next</w:t>
      </w:r>
      <w:r>
        <w:rPr>
          <w:spacing w:val="-9"/>
        </w:rPr>
        <w:t> </w:t>
      </w:r>
      <w:r>
        <w:rPr/>
        <w:t>15</w:t>
      </w:r>
      <w:r>
        <w:rPr>
          <w:spacing w:val="-8"/>
        </w:rPr>
        <w:t> </w:t>
      </w:r>
      <w:r>
        <w:rPr/>
        <w:t>years,</w:t>
      </w:r>
      <w:r>
        <w:rPr>
          <w:spacing w:val="-7"/>
        </w:rPr>
        <w:t> </w:t>
      </w:r>
      <w:r>
        <w:rPr/>
        <w:t>decrease</w:t>
      </w:r>
      <w:r>
        <w:rPr>
          <w:spacing w:val="-6"/>
        </w:rPr>
        <w:t> </w:t>
      </w:r>
      <w:r>
        <w:rPr/>
        <w:t>sediment</w:t>
      </w:r>
      <w:r>
        <w:rPr>
          <w:spacing w:val="-6"/>
        </w:rPr>
        <w:t> </w:t>
      </w:r>
      <w:r>
        <w:rPr/>
        <w:t>delivery</w:t>
      </w:r>
      <w:r>
        <w:rPr>
          <w:spacing w:val="-6"/>
        </w:rPr>
        <w:t> </w:t>
      </w:r>
      <w:r>
        <w:rPr/>
        <w:t>from</w:t>
      </w:r>
      <w:r>
        <w:rPr>
          <w:spacing w:val="-8"/>
        </w:rPr>
        <w:t> </w:t>
      </w:r>
      <w:r>
        <w:rPr/>
        <w:t>management</w:t>
      </w:r>
      <w:r>
        <w:rPr>
          <w:spacing w:val="-6"/>
        </w:rPr>
        <w:t> </w:t>
      </w:r>
      <w:r>
        <w:rPr/>
        <w:t>activities</w:t>
      </w:r>
      <w:r>
        <w:rPr>
          <w:spacing w:val="-8"/>
        </w:rPr>
        <w:t> </w:t>
      </w:r>
      <w:r>
        <w:rPr>
          <w:spacing w:val="-5"/>
        </w:rPr>
        <w:t>on</w:t>
      </w:r>
    </w:p>
    <w:p>
      <w:pPr>
        <w:pStyle w:val="BodyText"/>
        <w:spacing w:line="232" w:lineRule="auto" w:before="2"/>
        <w:ind w:left="1151" w:right="742"/>
      </w:pPr>
      <w:r>
        <w:rPr/>
        <w:t>1,000</w:t>
      </w:r>
      <w:r>
        <w:rPr>
          <w:spacing w:val="-8"/>
        </w:rPr>
        <w:t> </w:t>
      </w:r>
      <w:r>
        <w:rPr/>
        <w:t>acres</w:t>
      </w:r>
      <w:r>
        <w:rPr>
          <w:spacing w:val="-7"/>
        </w:rPr>
        <w:t> </w:t>
      </w:r>
      <w:r>
        <w:rPr/>
        <w:t>including</w:t>
      </w:r>
      <w:r>
        <w:rPr>
          <w:spacing w:val="-8"/>
        </w:rPr>
        <w:t> </w:t>
      </w:r>
      <w:r>
        <w:rPr/>
        <w:t>but</w:t>
      </w:r>
      <w:r>
        <w:rPr>
          <w:spacing w:val="-6"/>
        </w:rPr>
        <w:t> </w:t>
      </w:r>
      <w:r>
        <w:rPr/>
        <w:t>not</w:t>
      </w:r>
      <w:r>
        <w:rPr>
          <w:spacing w:val="-6"/>
        </w:rPr>
        <w:t> </w:t>
      </w:r>
      <w:r>
        <w:rPr/>
        <w:t>limited</w:t>
      </w:r>
      <w:r>
        <w:rPr>
          <w:spacing w:val="-8"/>
        </w:rPr>
        <w:t> </w:t>
      </w:r>
      <w:r>
        <w:rPr/>
        <w:t>to</w:t>
      </w:r>
      <w:r>
        <w:rPr>
          <w:spacing w:val="-8"/>
        </w:rPr>
        <w:t> </w:t>
      </w:r>
      <w:r>
        <w:rPr/>
        <w:t>roads,</w:t>
      </w:r>
      <w:r>
        <w:rPr>
          <w:spacing w:val="-9"/>
        </w:rPr>
        <w:t> </w:t>
      </w:r>
      <w:r>
        <w:rPr/>
        <w:t>trails,</w:t>
      </w:r>
      <w:r>
        <w:rPr>
          <w:spacing w:val="-7"/>
        </w:rPr>
        <w:t> </w:t>
      </w:r>
      <w:r>
        <w:rPr/>
        <w:t>livestock,</w:t>
      </w:r>
      <w:r>
        <w:rPr>
          <w:spacing w:val="-7"/>
        </w:rPr>
        <w:t> </w:t>
      </w:r>
      <w:r>
        <w:rPr/>
        <w:t>unauthorized</w:t>
      </w:r>
      <w:r>
        <w:rPr>
          <w:spacing w:val="-9"/>
        </w:rPr>
        <w:t> </w:t>
      </w:r>
      <w:r>
        <w:rPr/>
        <w:t>off-highway</w:t>
      </w:r>
      <w:r>
        <w:rPr>
          <w:spacing w:val="-6"/>
        </w:rPr>
        <w:t> </w:t>
      </w:r>
      <w:r>
        <w:rPr/>
        <w:t>vehicle use, vegetation management, and dispersed and developed campsites. Restore hydrologic, aquatic, and riparian processes through activities that stabilize streambank erosion, and other accelerated channel destabilizing processes (i.e., headcutting), improve lateral and vertical hydrologic connectivity, and improve stream channel and floodplain function on 10 miles of </w:t>
      </w:r>
      <w:r>
        <w:rPr>
          <w:spacing w:val="-2"/>
        </w:rPr>
        <w:t>streams.</w:t>
      </w:r>
    </w:p>
    <w:p>
      <w:pPr>
        <w:spacing w:before="232"/>
        <w:ind w:left="1151" w:right="0" w:firstLine="0"/>
        <w:jc w:val="left"/>
        <w:rPr>
          <w:rFonts w:ascii="Arial"/>
          <w:i/>
          <w:sz w:val="22"/>
        </w:rPr>
      </w:pPr>
      <w:bookmarkStart w:name="FW-OBJ-WR-04. Fish Habitat Improvement" w:id="229"/>
      <w:bookmarkEnd w:id="229"/>
      <w:r>
        <w:rPr/>
      </w:r>
      <w:r>
        <w:rPr>
          <w:rFonts w:ascii="Arial"/>
          <w:i/>
          <w:sz w:val="22"/>
        </w:rPr>
        <w:t>FW-OBJ-WR-04.</w:t>
      </w:r>
      <w:r>
        <w:rPr>
          <w:rFonts w:ascii="Arial"/>
          <w:i/>
          <w:spacing w:val="-8"/>
          <w:sz w:val="22"/>
        </w:rPr>
        <w:t> </w:t>
      </w:r>
      <w:r>
        <w:rPr>
          <w:rFonts w:ascii="Arial"/>
          <w:i/>
          <w:sz w:val="22"/>
        </w:rPr>
        <w:t>Fish</w:t>
      </w:r>
      <w:r>
        <w:rPr>
          <w:rFonts w:ascii="Arial"/>
          <w:i/>
          <w:spacing w:val="-7"/>
          <w:sz w:val="22"/>
        </w:rPr>
        <w:t> </w:t>
      </w:r>
      <w:r>
        <w:rPr>
          <w:rFonts w:ascii="Arial"/>
          <w:i/>
          <w:sz w:val="22"/>
        </w:rPr>
        <w:t>Habitat</w:t>
      </w:r>
      <w:r>
        <w:rPr>
          <w:rFonts w:ascii="Arial"/>
          <w:i/>
          <w:spacing w:val="-7"/>
          <w:sz w:val="22"/>
        </w:rPr>
        <w:t> </w:t>
      </w:r>
      <w:r>
        <w:rPr>
          <w:rFonts w:ascii="Arial"/>
          <w:i/>
          <w:spacing w:val="-2"/>
          <w:sz w:val="22"/>
        </w:rPr>
        <w:t>Improvement</w:t>
      </w:r>
    </w:p>
    <w:p>
      <w:pPr>
        <w:pStyle w:val="BodyText"/>
        <w:spacing w:line="232" w:lineRule="auto" w:before="65"/>
        <w:ind w:left="1150" w:right="742"/>
      </w:pPr>
      <w:r>
        <w:rPr/>
        <w:t>Within 15 years restore aquatic organism passage for all life stages of native species at 45 road/stream crossings and man-made instream structures such as water diversions and dams outside of key watersheds. Culverts and other passage improvements are to be designed to restore</w:t>
      </w:r>
      <w:r>
        <w:rPr>
          <w:spacing w:val="-8"/>
        </w:rPr>
        <w:t> </w:t>
      </w:r>
      <w:r>
        <w:rPr/>
        <w:t>and</w:t>
      </w:r>
      <w:r>
        <w:rPr>
          <w:spacing w:val="-7"/>
        </w:rPr>
        <w:t> </w:t>
      </w:r>
      <w:r>
        <w:rPr/>
        <w:t>maintain</w:t>
      </w:r>
      <w:r>
        <w:rPr>
          <w:spacing w:val="-7"/>
        </w:rPr>
        <w:t> </w:t>
      </w:r>
      <w:r>
        <w:rPr/>
        <w:t>hydrologic</w:t>
      </w:r>
      <w:r>
        <w:rPr>
          <w:spacing w:val="-6"/>
        </w:rPr>
        <w:t> </w:t>
      </w:r>
      <w:r>
        <w:rPr/>
        <w:t>and</w:t>
      </w:r>
      <w:r>
        <w:rPr>
          <w:spacing w:val="-7"/>
        </w:rPr>
        <w:t> </w:t>
      </w:r>
      <w:r>
        <w:rPr/>
        <w:t>aquatic</w:t>
      </w:r>
      <w:r>
        <w:rPr>
          <w:spacing w:val="-6"/>
        </w:rPr>
        <w:t> </w:t>
      </w:r>
      <w:r>
        <w:rPr/>
        <w:t>habitat</w:t>
      </w:r>
      <w:r>
        <w:rPr>
          <w:spacing w:val="-5"/>
        </w:rPr>
        <w:t> </w:t>
      </w:r>
      <w:r>
        <w:rPr/>
        <w:t>function</w:t>
      </w:r>
      <w:r>
        <w:rPr>
          <w:spacing w:val="-7"/>
        </w:rPr>
        <w:t> </w:t>
      </w:r>
      <w:r>
        <w:rPr/>
        <w:t>and</w:t>
      </w:r>
      <w:r>
        <w:rPr>
          <w:spacing w:val="-7"/>
        </w:rPr>
        <w:t> </w:t>
      </w:r>
      <w:r>
        <w:rPr/>
        <w:t>stream</w:t>
      </w:r>
      <w:r>
        <w:rPr>
          <w:spacing w:val="-7"/>
        </w:rPr>
        <w:t> </w:t>
      </w:r>
      <w:r>
        <w:rPr/>
        <w:t>channel</w:t>
      </w:r>
      <w:r>
        <w:rPr>
          <w:spacing w:val="-9"/>
        </w:rPr>
        <w:t> </w:t>
      </w:r>
      <w:r>
        <w:rPr/>
        <w:t>resiliency</w:t>
      </w:r>
      <w:r>
        <w:rPr>
          <w:spacing w:val="-5"/>
        </w:rPr>
        <w:t> </w:t>
      </w:r>
      <w:r>
        <w:rPr/>
        <w:t>to</w:t>
      </w:r>
      <w:r>
        <w:rPr>
          <w:spacing w:val="-5"/>
        </w:rPr>
        <w:t> </w:t>
      </w:r>
      <w:r>
        <w:rPr/>
        <w:t>a range of flows through natural channel design and other acceptable treatment measures.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FW-OBJ-WR-05. Key Watershed Restoration " w:id="230"/>
      <w:bookmarkEnd w:id="230"/>
      <w:r>
        <w:rPr/>
      </w:r>
      <w:r>
        <w:rPr>
          <w:rFonts w:ascii="Arial"/>
          <w:i/>
          <w:sz w:val="22"/>
        </w:rPr>
        <w:t>FW-OBJ-WR-05.</w:t>
      </w:r>
      <w:r>
        <w:rPr>
          <w:rFonts w:ascii="Arial"/>
          <w:i/>
          <w:spacing w:val="-7"/>
          <w:sz w:val="22"/>
        </w:rPr>
        <w:t> </w:t>
      </w:r>
      <w:r>
        <w:rPr>
          <w:rFonts w:ascii="Arial"/>
          <w:i/>
          <w:sz w:val="22"/>
        </w:rPr>
        <w:t>Key</w:t>
      </w:r>
      <w:r>
        <w:rPr>
          <w:rFonts w:ascii="Arial"/>
          <w:i/>
          <w:spacing w:val="-9"/>
          <w:sz w:val="22"/>
        </w:rPr>
        <w:t> </w:t>
      </w:r>
      <w:r>
        <w:rPr>
          <w:rFonts w:ascii="Arial"/>
          <w:i/>
          <w:sz w:val="22"/>
        </w:rPr>
        <w:t>Watershed</w:t>
      </w:r>
      <w:r>
        <w:rPr>
          <w:rFonts w:ascii="Arial"/>
          <w:i/>
          <w:spacing w:val="-8"/>
          <w:sz w:val="22"/>
        </w:rPr>
        <w:t> </w:t>
      </w:r>
      <w:r>
        <w:rPr>
          <w:rFonts w:ascii="Arial"/>
          <w:i/>
          <w:sz w:val="22"/>
        </w:rPr>
        <w:t>Restoration</w:t>
      </w:r>
      <w:r>
        <w:rPr>
          <w:rFonts w:ascii="Arial"/>
          <w:i/>
          <w:spacing w:val="-7"/>
          <w:sz w:val="22"/>
        </w:rPr>
        <w:t> </w:t>
      </w:r>
      <w:r>
        <w:rPr>
          <w:rFonts w:ascii="Arial"/>
          <w:i/>
          <w:spacing w:val="-2"/>
          <w:sz w:val="22"/>
        </w:rPr>
        <w:t>Prioritization</w:t>
      </w:r>
    </w:p>
    <w:p>
      <w:pPr>
        <w:pStyle w:val="BodyText"/>
        <w:spacing w:line="232" w:lineRule="auto" w:before="65"/>
        <w:ind w:left="360" w:right="1445"/>
      </w:pPr>
      <w:r>
        <w:rPr/>
        <w:t>Management in key watersheds focuses on restoration or preservation of watershed, aquatic, and riparian function and recovery of threatened and endangered species. Improve watershed condition</w:t>
      </w:r>
      <w:r>
        <w:rPr>
          <w:spacing w:val="-9"/>
        </w:rPr>
        <w:t> </w:t>
      </w:r>
      <w:r>
        <w:rPr/>
        <w:t>class</w:t>
      </w:r>
      <w:r>
        <w:rPr>
          <w:spacing w:val="-6"/>
        </w:rPr>
        <w:t> </w:t>
      </w:r>
      <w:r>
        <w:rPr/>
        <w:t>in</w:t>
      </w:r>
      <w:r>
        <w:rPr>
          <w:spacing w:val="-9"/>
        </w:rPr>
        <w:t> </w:t>
      </w:r>
      <w:r>
        <w:rPr/>
        <w:t>key</w:t>
      </w:r>
      <w:r>
        <w:rPr>
          <w:spacing w:val="-7"/>
        </w:rPr>
        <w:t> </w:t>
      </w:r>
      <w:r>
        <w:rPr/>
        <w:t>watersheds</w:t>
      </w:r>
      <w:r>
        <w:rPr>
          <w:spacing w:val="-6"/>
        </w:rPr>
        <w:t> </w:t>
      </w:r>
      <w:r>
        <w:rPr/>
        <w:t>that</w:t>
      </w:r>
      <w:r>
        <w:rPr>
          <w:spacing w:val="-5"/>
        </w:rPr>
        <w:t> </w:t>
      </w:r>
      <w:r>
        <w:rPr/>
        <w:t>are</w:t>
      </w:r>
      <w:r>
        <w:rPr>
          <w:spacing w:val="-5"/>
        </w:rPr>
        <w:t> </w:t>
      </w:r>
      <w:r>
        <w:rPr/>
        <w:t>a</w:t>
      </w:r>
      <w:r>
        <w:rPr>
          <w:spacing w:val="-8"/>
        </w:rPr>
        <w:t> </w:t>
      </w:r>
      <w:r>
        <w:rPr/>
        <w:t>priority</w:t>
      </w:r>
      <w:r>
        <w:rPr>
          <w:spacing w:val="-5"/>
        </w:rPr>
        <w:t> </w:t>
      </w:r>
      <w:r>
        <w:rPr/>
        <w:t>for</w:t>
      </w:r>
      <w:r>
        <w:rPr>
          <w:spacing w:val="-8"/>
        </w:rPr>
        <w:t> </w:t>
      </w:r>
      <w:r>
        <w:rPr/>
        <w:t>restoration</w:t>
      </w:r>
      <w:r>
        <w:rPr>
          <w:spacing w:val="-7"/>
        </w:rPr>
        <w:t> </w:t>
      </w:r>
      <w:r>
        <w:rPr/>
        <w:t>within</w:t>
      </w:r>
      <w:r>
        <w:rPr>
          <w:spacing w:val="-7"/>
        </w:rPr>
        <w:t> </w:t>
      </w:r>
      <w:r>
        <w:rPr/>
        <w:t>15</w:t>
      </w:r>
      <w:r>
        <w:rPr>
          <w:spacing w:val="-5"/>
        </w:rPr>
        <w:t> </w:t>
      </w:r>
      <w:r>
        <w:rPr/>
        <w:t>years</w:t>
      </w:r>
      <w:r>
        <w:rPr>
          <w:spacing w:val="-8"/>
        </w:rPr>
        <w:t> </w:t>
      </w:r>
      <w:r>
        <w:rPr/>
        <w:t>of</w:t>
      </w:r>
      <w:r>
        <w:rPr>
          <w:spacing w:val="-6"/>
        </w:rPr>
        <w:t> </w:t>
      </w:r>
      <w:r>
        <w:rPr/>
        <w:t>forest</w:t>
      </w:r>
      <w:r>
        <w:rPr>
          <w:spacing w:val="-5"/>
        </w:rPr>
        <w:t> </w:t>
      </w:r>
      <w:r>
        <w:rPr/>
        <w:t>plan implementation. Key watersheds that are a priority for restoration include:</w:t>
      </w:r>
    </w:p>
    <w:p>
      <w:pPr>
        <w:pStyle w:val="BodyText"/>
        <w:spacing w:line="232" w:lineRule="auto" w:before="199"/>
        <w:ind w:left="1080" w:right="2017"/>
      </w:pPr>
      <w:r>
        <w:rPr/>
        <w:t>East</w:t>
      </w:r>
      <w:r>
        <w:rPr>
          <w:spacing w:val="-7"/>
        </w:rPr>
        <w:t> </w:t>
      </w:r>
      <w:r>
        <w:rPr/>
        <w:t>Branch</w:t>
      </w:r>
      <w:r>
        <w:rPr>
          <w:spacing w:val="-8"/>
        </w:rPr>
        <w:t> </w:t>
      </w:r>
      <w:r>
        <w:rPr/>
        <w:t>LeClerc</w:t>
      </w:r>
      <w:r>
        <w:rPr>
          <w:spacing w:val="-7"/>
        </w:rPr>
        <w:t> </w:t>
      </w:r>
      <w:r>
        <w:rPr/>
        <w:t>Creek,</w:t>
      </w:r>
      <w:r>
        <w:rPr>
          <w:spacing w:val="-9"/>
        </w:rPr>
        <w:t> </w:t>
      </w:r>
      <w:r>
        <w:rPr/>
        <w:t>West</w:t>
      </w:r>
      <w:r>
        <w:rPr>
          <w:spacing w:val="-7"/>
        </w:rPr>
        <w:t> </w:t>
      </w:r>
      <w:r>
        <w:rPr/>
        <w:t>Branch</w:t>
      </w:r>
      <w:r>
        <w:rPr>
          <w:spacing w:val="-10"/>
        </w:rPr>
        <w:t> </w:t>
      </w:r>
      <w:r>
        <w:rPr/>
        <w:t>LeClerc</w:t>
      </w:r>
      <w:r>
        <w:rPr>
          <w:spacing w:val="-9"/>
        </w:rPr>
        <w:t> </w:t>
      </w:r>
      <w:r>
        <w:rPr/>
        <w:t>Creek,</w:t>
      </w:r>
      <w:r>
        <w:rPr>
          <w:spacing w:val="-9"/>
        </w:rPr>
        <w:t> </w:t>
      </w:r>
      <w:r>
        <w:rPr/>
        <w:t>Deadman</w:t>
      </w:r>
      <w:r>
        <w:rPr>
          <w:spacing w:val="-8"/>
        </w:rPr>
        <w:t> </w:t>
      </w:r>
      <w:r>
        <w:rPr/>
        <w:t>Creek,</w:t>
      </w:r>
      <w:r>
        <w:rPr>
          <w:spacing w:val="-7"/>
        </w:rPr>
        <w:t> </w:t>
      </w:r>
      <w:r>
        <w:rPr/>
        <w:t>Barnaby Creek, Harvey Creek, North Fork Deadman Creek, North Fork Sullivan Creek, Sullivan</w:t>
      </w:r>
      <w:r>
        <w:rPr>
          <w:spacing w:val="-8"/>
        </w:rPr>
        <w:t> </w:t>
      </w:r>
      <w:r>
        <w:rPr/>
        <w:t>Creek,</w:t>
      </w:r>
      <w:r>
        <w:rPr>
          <w:spacing w:val="-9"/>
        </w:rPr>
        <w:t> </w:t>
      </w:r>
      <w:r>
        <w:rPr/>
        <w:t>Ruby</w:t>
      </w:r>
      <w:r>
        <w:rPr>
          <w:spacing w:val="-8"/>
        </w:rPr>
        <w:t> </w:t>
      </w:r>
      <w:r>
        <w:rPr/>
        <w:t>Creek,</w:t>
      </w:r>
      <w:r>
        <w:rPr>
          <w:spacing w:val="-9"/>
        </w:rPr>
        <w:t> </w:t>
      </w:r>
      <w:r>
        <w:rPr/>
        <w:t>Tonata</w:t>
      </w:r>
      <w:r>
        <w:rPr>
          <w:spacing w:val="-7"/>
        </w:rPr>
        <w:t> </w:t>
      </w:r>
      <w:r>
        <w:rPr/>
        <w:t>Creek,</w:t>
      </w:r>
      <w:r>
        <w:rPr>
          <w:spacing w:val="-7"/>
        </w:rPr>
        <w:t> </w:t>
      </w:r>
      <w:r>
        <w:rPr/>
        <w:t>Upper</w:t>
      </w:r>
      <w:r>
        <w:rPr>
          <w:spacing w:val="-7"/>
        </w:rPr>
        <w:t> </w:t>
      </w:r>
      <w:r>
        <w:rPr/>
        <w:t>Sherman</w:t>
      </w:r>
      <w:r>
        <w:rPr>
          <w:spacing w:val="-8"/>
        </w:rPr>
        <w:t> </w:t>
      </w:r>
      <w:r>
        <w:rPr/>
        <w:t>Creek,</w:t>
      </w:r>
      <w:r>
        <w:rPr>
          <w:spacing w:val="-7"/>
        </w:rPr>
        <w:t> </w:t>
      </w:r>
      <w:r>
        <w:rPr/>
        <w:t>and</w:t>
      </w:r>
      <w:r>
        <w:rPr>
          <w:spacing w:val="-8"/>
        </w:rPr>
        <w:t> </w:t>
      </w:r>
      <w:r>
        <w:rPr/>
        <w:t>South</w:t>
      </w:r>
      <w:r>
        <w:rPr>
          <w:spacing w:val="-8"/>
        </w:rPr>
        <w:t> </w:t>
      </w:r>
      <w:r>
        <w:rPr/>
        <w:t>Fork Sherman Creek subwatersheds.</w:t>
      </w:r>
    </w:p>
    <w:p>
      <w:pPr>
        <w:pStyle w:val="BodyText"/>
        <w:spacing w:line="232" w:lineRule="auto" w:before="199"/>
        <w:ind w:left="360" w:right="1148"/>
      </w:pPr>
      <w:r>
        <w:rPr/>
        <w:t>Additional</w:t>
      </w:r>
      <w:r>
        <w:rPr>
          <w:spacing w:val="-6"/>
        </w:rPr>
        <w:t> </w:t>
      </w:r>
      <w:r>
        <w:rPr/>
        <w:t>key</w:t>
      </w:r>
      <w:r>
        <w:rPr>
          <w:spacing w:val="-7"/>
        </w:rPr>
        <w:t> </w:t>
      </w:r>
      <w:r>
        <w:rPr/>
        <w:t>watersheds</w:t>
      </w:r>
      <w:r>
        <w:rPr>
          <w:spacing w:val="-8"/>
        </w:rPr>
        <w:t> </w:t>
      </w:r>
      <w:r>
        <w:rPr/>
        <w:t>that</w:t>
      </w:r>
      <w:r>
        <w:rPr>
          <w:spacing w:val="-6"/>
        </w:rPr>
        <w:t> </w:t>
      </w:r>
      <w:r>
        <w:rPr/>
        <w:t>are</w:t>
      </w:r>
      <w:r>
        <w:rPr>
          <w:spacing w:val="-8"/>
        </w:rPr>
        <w:t> </w:t>
      </w:r>
      <w:r>
        <w:rPr/>
        <w:t>a</w:t>
      </w:r>
      <w:r>
        <w:rPr>
          <w:spacing w:val="-6"/>
        </w:rPr>
        <w:t> </w:t>
      </w:r>
      <w:r>
        <w:rPr/>
        <w:t>priority</w:t>
      </w:r>
      <w:r>
        <w:rPr>
          <w:spacing w:val="-7"/>
        </w:rPr>
        <w:t> </w:t>
      </w:r>
      <w:r>
        <w:rPr/>
        <w:t>for</w:t>
      </w:r>
      <w:r>
        <w:rPr>
          <w:spacing w:val="-8"/>
        </w:rPr>
        <w:t> </w:t>
      </w:r>
      <w:r>
        <w:rPr/>
        <w:t>restoration</w:t>
      </w:r>
      <w:r>
        <w:rPr>
          <w:spacing w:val="-7"/>
        </w:rPr>
        <w:t> </w:t>
      </w:r>
      <w:r>
        <w:rPr/>
        <w:t>will</w:t>
      </w:r>
      <w:r>
        <w:rPr>
          <w:spacing w:val="-9"/>
        </w:rPr>
        <w:t> </w:t>
      </w:r>
      <w:r>
        <w:rPr/>
        <w:t>be</w:t>
      </w:r>
      <w:r>
        <w:rPr>
          <w:spacing w:val="-6"/>
        </w:rPr>
        <w:t> </w:t>
      </w:r>
      <w:r>
        <w:rPr/>
        <w:t>identified,</w:t>
      </w:r>
      <w:r>
        <w:rPr>
          <w:spacing w:val="-6"/>
        </w:rPr>
        <w:t> </w:t>
      </w:r>
      <w:r>
        <w:rPr/>
        <w:t>as</w:t>
      </w:r>
      <w:r>
        <w:rPr>
          <w:spacing w:val="-6"/>
        </w:rPr>
        <w:t> </w:t>
      </w:r>
      <w:r>
        <w:rPr/>
        <w:t>appropriate, through the life of the plan through the WCF process.</w:t>
      </w:r>
    </w:p>
    <w:p>
      <w:pPr>
        <w:spacing w:before="234"/>
        <w:ind w:left="360" w:right="0" w:firstLine="0"/>
        <w:jc w:val="left"/>
        <w:rPr>
          <w:rFonts w:ascii="Arial"/>
          <w:i/>
          <w:sz w:val="22"/>
        </w:rPr>
      </w:pPr>
      <w:bookmarkStart w:name="FW-OBJ-WR-06. Key Watershed Road Treatme" w:id="231"/>
      <w:bookmarkEnd w:id="231"/>
      <w:r>
        <w:rPr/>
      </w:r>
      <w:r>
        <w:rPr>
          <w:rFonts w:ascii="Arial"/>
          <w:i/>
          <w:sz w:val="22"/>
        </w:rPr>
        <w:t>FW-OBJ-WR-06.</w:t>
      </w:r>
      <w:r>
        <w:rPr>
          <w:rFonts w:ascii="Arial"/>
          <w:i/>
          <w:spacing w:val="-6"/>
          <w:sz w:val="22"/>
        </w:rPr>
        <w:t> </w:t>
      </w:r>
      <w:r>
        <w:rPr>
          <w:rFonts w:ascii="Arial"/>
          <w:i/>
          <w:sz w:val="22"/>
        </w:rPr>
        <w:t>Key</w:t>
      </w:r>
      <w:r>
        <w:rPr>
          <w:rFonts w:ascii="Arial"/>
          <w:i/>
          <w:spacing w:val="-8"/>
          <w:sz w:val="22"/>
        </w:rPr>
        <w:t> </w:t>
      </w:r>
      <w:r>
        <w:rPr>
          <w:rFonts w:ascii="Arial"/>
          <w:i/>
          <w:sz w:val="22"/>
        </w:rPr>
        <w:t>Watershed</w:t>
      </w:r>
      <w:r>
        <w:rPr>
          <w:rFonts w:ascii="Arial"/>
          <w:i/>
          <w:spacing w:val="-7"/>
          <w:sz w:val="22"/>
        </w:rPr>
        <w:t> </w:t>
      </w:r>
      <w:r>
        <w:rPr>
          <w:rFonts w:ascii="Arial"/>
          <w:i/>
          <w:sz w:val="22"/>
        </w:rPr>
        <w:t>Road</w:t>
      </w:r>
      <w:r>
        <w:rPr>
          <w:rFonts w:ascii="Arial"/>
          <w:i/>
          <w:spacing w:val="-4"/>
          <w:sz w:val="22"/>
        </w:rPr>
        <w:t> </w:t>
      </w:r>
      <w:r>
        <w:rPr>
          <w:rFonts w:ascii="Arial"/>
          <w:i/>
          <w:spacing w:val="-2"/>
          <w:sz w:val="22"/>
        </w:rPr>
        <w:t>Treatments</w:t>
      </w:r>
    </w:p>
    <w:p>
      <w:pPr>
        <w:pStyle w:val="BodyText"/>
        <w:spacing w:line="232" w:lineRule="auto" w:before="65"/>
        <w:ind w:left="360" w:right="1675"/>
      </w:pPr>
      <w:r>
        <w:rPr/>
        <w:t>Reduce</w:t>
      </w:r>
      <w:r>
        <w:rPr>
          <w:spacing w:val="-7"/>
        </w:rPr>
        <w:t> </w:t>
      </w:r>
      <w:r>
        <w:rPr/>
        <w:t>road-hydrologic</w:t>
      </w:r>
      <w:r>
        <w:rPr>
          <w:spacing w:val="-8"/>
        </w:rPr>
        <w:t> </w:t>
      </w:r>
      <w:r>
        <w:rPr/>
        <w:t>connectivity</w:t>
      </w:r>
      <w:r>
        <w:rPr>
          <w:spacing w:val="-7"/>
        </w:rPr>
        <w:t> </w:t>
      </w:r>
      <w:r>
        <w:rPr/>
        <w:t>and</w:t>
      </w:r>
      <w:r>
        <w:rPr>
          <w:spacing w:val="-9"/>
        </w:rPr>
        <w:t> </w:t>
      </w:r>
      <w:r>
        <w:rPr/>
        <w:t>sediment</w:t>
      </w:r>
      <w:r>
        <w:rPr>
          <w:spacing w:val="-7"/>
        </w:rPr>
        <w:t> </w:t>
      </w:r>
      <w:r>
        <w:rPr/>
        <w:t>delivery</w:t>
      </w:r>
      <w:r>
        <w:rPr>
          <w:spacing w:val="-9"/>
        </w:rPr>
        <w:t> </w:t>
      </w:r>
      <w:r>
        <w:rPr/>
        <w:t>on</w:t>
      </w:r>
      <w:r>
        <w:rPr>
          <w:spacing w:val="-9"/>
        </w:rPr>
        <w:t> </w:t>
      </w:r>
      <w:r>
        <w:rPr/>
        <w:t>roads</w:t>
      </w:r>
      <w:r>
        <w:rPr>
          <w:spacing w:val="-9"/>
        </w:rPr>
        <w:t> </w:t>
      </w:r>
      <w:r>
        <w:rPr/>
        <w:t>through</w:t>
      </w:r>
      <w:r>
        <w:rPr>
          <w:spacing w:val="-9"/>
        </w:rPr>
        <w:t> </w:t>
      </w:r>
      <w:r>
        <w:rPr/>
        <w:t>storm</w:t>
      </w:r>
      <w:r>
        <w:rPr>
          <w:spacing w:val="-7"/>
        </w:rPr>
        <w:t> </w:t>
      </w:r>
      <w:r>
        <w:rPr/>
        <w:t>damage risk reduction treatments, full hydrologic decommissioning, and other accepted treatment measures on 116 miles of hydrologically connected road within 15 years of forest plan </w:t>
      </w:r>
      <w:r>
        <w:rPr>
          <w:spacing w:val="-2"/>
        </w:rPr>
        <w:t>implementation.</w:t>
      </w:r>
    </w:p>
    <w:p>
      <w:pPr>
        <w:pStyle w:val="BodyText"/>
        <w:spacing w:line="232" w:lineRule="auto" w:before="196"/>
        <w:ind w:left="360" w:right="1621"/>
      </w:pPr>
      <w:r>
        <w:rPr/>
        <w:t>Restore</w:t>
      </w:r>
      <w:r>
        <w:rPr>
          <w:spacing w:val="-9"/>
        </w:rPr>
        <w:t> </w:t>
      </w:r>
      <w:r>
        <w:rPr/>
        <w:t>or</w:t>
      </w:r>
      <w:r>
        <w:rPr>
          <w:spacing w:val="-9"/>
        </w:rPr>
        <w:t> </w:t>
      </w:r>
      <w:r>
        <w:rPr/>
        <w:t>maintain</w:t>
      </w:r>
      <w:r>
        <w:rPr>
          <w:spacing w:val="-8"/>
        </w:rPr>
        <w:t> </w:t>
      </w:r>
      <w:r>
        <w:rPr/>
        <w:t>aquatic</w:t>
      </w:r>
      <w:r>
        <w:rPr>
          <w:spacing w:val="-7"/>
        </w:rPr>
        <w:t> </w:t>
      </w:r>
      <w:r>
        <w:rPr/>
        <w:t>organism</w:t>
      </w:r>
      <w:r>
        <w:rPr>
          <w:spacing w:val="-7"/>
        </w:rPr>
        <w:t> </w:t>
      </w:r>
      <w:r>
        <w:rPr/>
        <w:t>passage</w:t>
      </w:r>
      <w:r>
        <w:rPr>
          <w:spacing w:val="-9"/>
        </w:rPr>
        <w:t> </w:t>
      </w:r>
      <w:r>
        <w:rPr/>
        <w:t>and</w:t>
      </w:r>
      <w:r>
        <w:rPr>
          <w:spacing w:val="-8"/>
        </w:rPr>
        <w:t> </w:t>
      </w:r>
      <w:r>
        <w:rPr/>
        <w:t>improve</w:t>
      </w:r>
      <w:r>
        <w:rPr>
          <w:spacing w:val="-9"/>
        </w:rPr>
        <w:t> </w:t>
      </w:r>
      <w:r>
        <w:rPr/>
        <w:t>hydrologic</w:t>
      </w:r>
      <w:r>
        <w:rPr>
          <w:spacing w:val="-9"/>
        </w:rPr>
        <w:t> </w:t>
      </w:r>
      <w:r>
        <w:rPr/>
        <w:t>and</w:t>
      </w:r>
      <w:r>
        <w:rPr>
          <w:spacing w:val="-8"/>
        </w:rPr>
        <w:t> </w:t>
      </w:r>
      <w:r>
        <w:rPr/>
        <w:t>aquatic</w:t>
      </w:r>
      <w:r>
        <w:rPr>
          <w:spacing w:val="-7"/>
        </w:rPr>
        <w:t> </w:t>
      </w:r>
      <w:r>
        <w:rPr/>
        <w:t>habitat function</w:t>
      </w:r>
      <w:r>
        <w:rPr>
          <w:spacing w:val="-4"/>
        </w:rPr>
        <w:t> </w:t>
      </w:r>
      <w:r>
        <w:rPr/>
        <w:t>at</w:t>
      </w:r>
      <w:r>
        <w:rPr>
          <w:spacing w:val="-5"/>
        </w:rPr>
        <w:t> </w:t>
      </w:r>
      <w:r>
        <w:rPr/>
        <w:t>53</w:t>
      </w:r>
      <w:r>
        <w:rPr>
          <w:spacing w:val="-2"/>
        </w:rPr>
        <w:t> </w:t>
      </w:r>
      <w:r>
        <w:rPr/>
        <w:t>road/stream</w:t>
      </w:r>
      <w:r>
        <w:rPr>
          <w:spacing w:val="-4"/>
        </w:rPr>
        <w:t> </w:t>
      </w:r>
      <w:r>
        <w:rPr/>
        <w:t>crossings</w:t>
      </w:r>
      <w:r>
        <w:rPr>
          <w:spacing w:val="-3"/>
        </w:rPr>
        <w:t> </w:t>
      </w:r>
      <w:r>
        <w:rPr/>
        <w:t>for</w:t>
      </w:r>
      <w:r>
        <w:rPr>
          <w:spacing w:val="-3"/>
        </w:rPr>
        <w:t> </w:t>
      </w:r>
      <w:r>
        <w:rPr/>
        <w:t>all</w:t>
      </w:r>
      <w:r>
        <w:rPr>
          <w:spacing w:val="-3"/>
        </w:rPr>
        <w:t> </w:t>
      </w:r>
      <w:r>
        <w:rPr/>
        <w:t>native</w:t>
      </w:r>
      <w:r>
        <w:rPr>
          <w:spacing w:val="-5"/>
        </w:rPr>
        <w:t> </w:t>
      </w:r>
      <w:r>
        <w:rPr/>
        <w:t>aquatic</w:t>
      </w:r>
      <w:r>
        <w:rPr>
          <w:spacing w:val="-3"/>
        </w:rPr>
        <w:t> </w:t>
      </w:r>
      <w:r>
        <w:rPr/>
        <w:t>species,</w:t>
      </w:r>
      <w:r>
        <w:rPr>
          <w:spacing w:val="-3"/>
        </w:rPr>
        <w:t> </w:t>
      </w:r>
      <w:r>
        <w:rPr/>
        <w:t>seasons,</w:t>
      </w:r>
      <w:r>
        <w:rPr>
          <w:spacing w:val="-3"/>
        </w:rPr>
        <w:t> </w:t>
      </w:r>
      <w:r>
        <w:rPr/>
        <w:t>flows,</w:t>
      </w:r>
      <w:r>
        <w:rPr>
          <w:spacing w:val="-3"/>
        </w:rPr>
        <w:t> </w:t>
      </w:r>
      <w:r>
        <w:rPr/>
        <w:t>and</w:t>
      </w:r>
      <w:r>
        <w:rPr>
          <w:spacing w:val="-4"/>
        </w:rPr>
        <w:t> </w:t>
      </w:r>
      <w:r>
        <w:rPr/>
        <w:t>life stages in key watersheds within 15 years of forest plan implementation through culvert replacement or crossing improvement and natural channel design or other acceptable treatment measures that provide for natural stream channel function at all flows.</w:t>
      </w:r>
    </w:p>
    <w:p>
      <w:pPr>
        <w:spacing w:before="233"/>
        <w:ind w:left="360" w:right="0" w:firstLine="0"/>
        <w:jc w:val="left"/>
        <w:rPr>
          <w:rFonts w:ascii="Arial"/>
          <w:i/>
          <w:sz w:val="22"/>
        </w:rPr>
      </w:pPr>
      <w:bookmarkStart w:name="FW-OBJ-WR-07. Key Watershed Range Infras" w:id="232"/>
      <w:bookmarkEnd w:id="232"/>
      <w:r>
        <w:rPr/>
      </w:r>
      <w:r>
        <w:rPr>
          <w:rFonts w:ascii="Arial"/>
          <w:i/>
          <w:sz w:val="22"/>
        </w:rPr>
        <w:t>FW-OBJ-WR-07.</w:t>
      </w:r>
      <w:r>
        <w:rPr>
          <w:rFonts w:ascii="Arial"/>
          <w:i/>
          <w:spacing w:val="-9"/>
          <w:sz w:val="22"/>
        </w:rPr>
        <w:t> </w:t>
      </w:r>
      <w:r>
        <w:rPr>
          <w:rFonts w:ascii="Arial"/>
          <w:i/>
          <w:sz w:val="22"/>
        </w:rPr>
        <w:t>Key</w:t>
      </w:r>
      <w:r>
        <w:rPr>
          <w:rFonts w:ascii="Arial"/>
          <w:i/>
          <w:spacing w:val="-9"/>
          <w:sz w:val="22"/>
        </w:rPr>
        <w:t> </w:t>
      </w:r>
      <w:r>
        <w:rPr>
          <w:rFonts w:ascii="Arial"/>
          <w:i/>
          <w:sz w:val="22"/>
        </w:rPr>
        <w:t>Watershed</w:t>
      </w:r>
      <w:r>
        <w:rPr>
          <w:rFonts w:ascii="Arial"/>
          <w:i/>
          <w:spacing w:val="-8"/>
          <w:sz w:val="22"/>
        </w:rPr>
        <w:t> </w:t>
      </w:r>
      <w:r>
        <w:rPr>
          <w:rFonts w:ascii="Arial"/>
          <w:i/>
          <w:sz w:val="22"/>
        </w:rPr>
        <w:t>Range</w:t>
      </w:r>
      <w:r>
        <w:rPr>
          <w:rFonts w:ascii="Arial"/>
          <w:i/>
          <w:spacing w:val="-7"/>
          <w:sz w:val="22"/>
        </w:rPr>
        <w:t> </w:t>
      </w:r>
      <w:r>
        <w:rPr>
          <w:rFonts w:ascii="Arial"/>
          <w:i/>
          <w:sz w:val="22"/>
        </w:rPr>
        <w:t>Infrastructure</w:t>
      </w:r>
      <w:r>
        <w:rPr>
          <w:rFonts w:ascii="Arial"/>
          <w:i/>
          <w:spacing w:val="-7"/>
          <w:sz w:val="22"/>
        </w:rPr>
        <w:t> </w:t>
      </w:r>
      <w:r>
        <w:rPr>
          <w:rFonts w:ascii="Arial"/>
          <w:i/>
          <w:spacing w:val="-2"/>
          <w:sz w:val="22"/>
        </w:rPr>
        <w:t>Improvements</w:t>
      </w:r>
    </w:p>
    <w:p>
      <w:pPr>
        <w:pStyle w:val="BodyText"/>
        <w:spacing w:line="232" w:lineRule="auto" w:before="67"/>
        <w:ind w:left="360" w:right="1445"/>
      </w:pPr>
      <w:r>
        <w:rPr/>
        <w:t>Improve</w:t>
      </w:r>
      <w:r>
        <w:rPr>
          <w:spacing w:val="-9"/>
        </w:rPr>
        <w:t> </w:t>
      </w:r>
      <w:r>
        <w:rPr/>
        <w:t>hydrologic</w:t>
      </w:r>
      <w:r>
        <w:rPr>
          <w:spacing w:val="-10"/>
        </w:rPr>
        <w:t> </w:t>
      </w:r>
      <w:r>
        <w:rPr/>
        <w:t>and</w:t>
      </w:r>
      <w:r>
        <w:rPr>
          <w:spacing w:val="-10"/>
        </w:rPr>
        <w:t> </w:t>
      </w:r>
      <w:r>
        <w:rPr/>
        <w:t>aquatic</w:t>
      </w:r>
      <w:r>
        <w:rPr>
          <w:spacing w:val="-10"/>
        </w:rPr>
        <w:t> </w:t>
      </w:r>
      <w:r>
        <w:rPr/>
        <w:t>function</w:t>
      </w:r>
      <w:r>
        <w:rPr>
          <w:spacing w:val="-12"/>
        </w:rPr>
        <w:t> </w:t>
      </w:r>
      <w:r>
        <w:rPr/>
        <w:t>through</w:t>
      </w:r>
      <w:r>
        <w:rPr>
          <w:spacing w:val="-10"/>
        </w:rPr>
        <w:t> </w:t>
      </w:r>
      <w:r>
        <w:rPr/>
        <w:t>range</w:t>
      </w:r>
      <w:r>
        <w:rPr>
          <w:spacing w:val="-9"/>
        </w:rPr>
        <w:t> </w:t>
      </w:r>
      <w:r>
        <w:rPr/>
        <w:t>infrastructure</w:t>
      </w:r>
      <w:r>
        <w:rPr>
          <w:spacing w:val="-11"/>
        </w:rPr>
        <w:t> </w:t>
      </w:r>
      <w:r>
        <w:rPr/>
        <w:t>improvements,</w:t>
      </w:r>
      <w:r>
        <w:rPr>
          <w:spacing w:val="-10"/>
        </w:rPr>
        <w:t> </w:t>
      </w:r>
      <w:r>
        <w:rPr/>
        <w:t>including riparian fencing, movement and improvement of watering troughs, and other acceptable treatments over 240 acres within 15 years of plan implementation.</w:t>
      </w:r>
    </w:p>
    <w:p>
      <w:pPr>
        <w:spacing w:before="233"/>
        <w:ind w:left="360" w:right="1073" w:firstLine="0"/>
        <w:jc w:val="left"/>
        <w:rPr>
          <w:rFonts w:ascii="Arial"/>
          <w:i/>
          <w:sz w:val="22"/>
        </w:rPr>
      </w:pPr>
      <w:bookmarkStart w:name="FW-OBJ-WR-08. Upland Vegetation Structur" w:id="233"/>
      <w:bookmarkEnd w:id="233"/>
      <w:r>
        <w:rPr/>
      </w:r>
      <w:r>
        <w:rPr>
          <w:rFonts w:ascii="Arial"/>
          <w:i/>
          <w:sz w:val="22"/>
        </w:rPr>
        <w:t>FW-OBJ-WR-08.</w:t>
      </w:r>
      <w:r>
        <w:rPr>
          <w:rFonts w:ascii="Arial"/>
          <w:i/>
          <w:spacing w:val="-5"/>
          <w:sz w:val="22"/>
        </w:rPr>
        <w:t> </w:t>
      </w:r>
      <w:r>
        <w:rPr>
          <w:rFonts w:ascii="Arial"/>
          <w:i/>
          <w:sz w:val="22"/>
        </w:rPr>
        <w:t>Upland</w:t>
      </w:r>
      <w:r>
        <w:rPr>
          <w:rFonts w:ascii="Arial"/>
          <w:i/>
          <w:spacing w:val="-4"/>
          <w:sz w:val="22"/>
        </w:rPr>
        <w:t> </w:t>
      </w:r>
      <w:r>
        <w:rPr>
          <w:rFonts w:ascii="Arial"/>
          <w:i/>
          <w:sz w:val="22"/>
        </w:rPr>
        <w:t>Vegetation</w:t>
      </w:r>
      <w:r>
        <w:rPr>
          <w:rFonts w:ascii="Arial"/>
          <w:i/>
          <w:spacing w:val="-4"/>
          <w:sz w:val="22"/>
        </w:rPr>
        <w:t> </w:t>
      </w:r>
      <w:r>
        <w:rPr>
          <w:rFonts w:ascii="Arial"/>
          <w:i/>
          <w:sz w:val="22"/>
        </w:rPr>
        <w:t>Structure</w:t>
      </w:r>
      <w:r>
        <w:rPr>
          <w:rFonts w:ascii="Arial"/>
          <w:i/>
          <w:spacing w:val="-4"/>
          <w:sz w:val="22"/>
        </w:rPr>
        <w:t> </w:t>
      </w:r>
      <w:r>
        <w:rPr>
          <w:rFonts w:ascii="Arial"/>
          <w:i/>
          <w:sz w:val="22"/>
        </w:rPr>
        <w:t>in</w:t>
      </w:r>
      <w:r>
        <w:rPr>
          <w:rFonts w:ascii="Arial"/>
          <w:i/>
          <w:spacing w:val="-6"/>
          <w:sz w:val="22"/>
        </w:rPr>
        <w:t> </w:t>
      </w:r>
      <w:r>
        <w:rPr>
          <w:rFonts w:ascii="Arial"/>
          <w:i/>
          <w:sz w:val="22"/>
        </w:rPr>
        <w:t>Riparian</w:t>
      </w:r>
      <w:r>
        <w:rPr>
          <w:rFonts w:ascii="Arial"/>
          <w:i/>
          <w:spacing w:val="-4"/>
          <w:sz w:val="22"/>
        </w:rPr>
        <w:t> </w:t>
      </w:r>
      <w:r>
        <w:rPr>
          <w:rFonts w:ascii="Arial"/>
          <w:i/>
          <w:sz w:val="22"/>
        </w:rPr>
        <w:t>Management</w:t>
      </w:r>
      <w:r>
        <w:rPr>
          <w:rFonts w:ascii="Arial"/>
          <w:i/>
          <w:spacing w:val="-4"/>
          <w:sz w:val="22"/>
        </w:rPr>
        <w:t> </w:t>
      </w:r>
      <w:r>
        <w:rPr>
          <w:rFonts w:ascii="Arial"/>
          <w:i/>
          <w:sz w:val="22"/>
        </w:rPr>
        <w:t>Areas</w:t>
      </w:r>
      <w:r>
        <w:rPr>
          <w:rFonts w:ascii="Arial"/>
          <w:i/>
          <w:spacing w:val="-3"/>
          <w:sz w:val="22"/>
        </w:rPr>
        <w:t> </w:t>
      </w:r>
      <w:r>
        <w:rPr>
          <w:rFonts w:ascii="Arial"/>
          <w:i/>
          <w:sz w:val="22"/>
        </w:rPr>
        <w:t>in</w:t>
      </w:r>
      <w:r>
        <w:rPr>
          <w:rFonts w:ascii="Arial"/>
          <w:i/>
          <w:spacing w:val="-4"/>
          <w:sz w:val="22"/>
        </w:rPr>
        <w:t> </w:t>
      </w:r>
      <w:r>
        <w:rPr>
          <w:rFonts w:ascii="Arial"/>
          <w:i/>
          <w:sz w:val="22"/>
        </w:rPr>
        <w:t>Key</w:t>
      </w:r>
      <w:r>
        <w:rPr>
          <w:rFonts w:ascii="Arial"/>
          <w:i/>
          <w:sz w:val="22"/>
        </w:rPr>
        <w:t> </w:t>
      </w:r>
      <w:r>
        <w:rPr>
          <w:rFonts w:ascii="Arial"/>
          <w:i/>
          <w:spacing w:val="-2"/>
          <w:sz w:val="22"/>
        </w:rPr>
        <w:t>Watersheds</w:t>
      </w:r>
    </w:p>
    <w:p>
      <w:pPr>
        <w:pStyle w:val="BodyText"/>
        <w:spacing w:line="232" w:lineRule="auto" w:before="64"/>
        <w:ind w:left="360" w:right="1148"/>
      </w:pPr>
      <w:r>
        <w:rPr/>
        <w:t>Move</w:t>
      </w:r>
      <w:r>
        <w:rPr>
          <w:spacing w:val="-7"/>
        </w:rPr>
        <w:t> </w:t>
      </w:r>
      <w:r>
        <w:rPr/>
        <w:t>upland</w:t>
      </w:r>
      <w:r>
        <w:rPr>
          <w:spacing w:val="-8"/>
        </w:rPr>
        <w:t> </w:t>
      </w:r>
      <w:r>
        <w:rPr/>
        <w:t>vegetation</w:t>
      </w:r>
      <w:r>
        <w:rPr>
          <w:spacing w:val="-10"/>
        </w:rPr>
        <w:t> </w:t>
      </w:r>
      <w:r>
        <w:rPr/>
        <w:t>within</w:t>
      </w:r>
      <w:r>
        <w:rPr>
          <w:spacing w:val="-8"/>
        </w:rPr>
        <w:t> </w:t>
      </w:r>
      <w:r>
        <w:rPr/>
        <w:t>riparian</w:t>
      </w:r>
      <w:r>
        <w:rPr>
          <w:spacing w:val="-8"/>
        </w:rPr>
        <w:t> </w:t>
      </w:r>
      <w:r>
        <w:rPr/>
        <w:t>management</w:t>
      </w:r>
      <w:r>
        <w:rPr>
          <w:spacing w:val="-11"/>
        </w:rPr>
        <w:t> </w:t>
      </w:r>
      <w:r>
        <w:rPr/>
        <w:t>areas</w:t>
      </w:r>
      <w:r>
        <w:rPr>
          <w:spacing w:val="-8"/>
        </w:rPr>
        <w:t> </w:t>
      </w:r>
      <w:r>
        <w:rPr/>
        <w:t>in</w:t>
      </w:r>
      <w:r>
        <w:rPr>
          <w:spacing w:val="-10"/>
        </w:rPr>
        <w:t> </w:t>
      </w:r>
      <w:r>
        <w:rPr/>
        <w:t>key</w:t>
      </w:r>
      <w:r>
        <w:rPr>
          <w:spacing w:val="-8"/>
        </w:rPr>
        <w:t> </w:t>
      </w:r>
      <w:r>
        <w:rPr/>
        <w:t>watersheds</w:t>
      </w:r>
      <w:r>
        <w:rPr>
          <w:spacing w:val="-9"/>
        </w:rPr>
        <w:t> </w:t>
      </w:r>
      <w:r>
        <w:rPr/>
        <w:t>toward</w:t>
      </w:r>
      <w:r>
        <w:rPr>
          <w:spacing w:val="-8"/>
        </w:rPr>
        <w:t> </w:t>
      </w:r>
      <w:r>
        <w:rPr/>
        <w:t>historical range of variability (</w:t>
      </w:r>
      <w:hyperlink w:history="true" w:anchor="_bookmark91">
        <w:r>
          <w:rPr/>
          <w:t>table 10</w:t>
        </w:r>
      </w:hyperlink>
      <w:r>
        <w:rPr/>
        <w:t>) on 1,500 acres within 15 years of plan implementation.</w:t>
      </w:r>
    </w:p>
    <w:p>
      <w:pPr>
        <w:spacing w:before="234"/>
        <w:ind w:left="360" w:right="0" w:firstLine="0"/>
        <w:jc w:val="left"/>
        <w:rPr>
          <w:rFonts w:ascii="Arial"/>
          <w:i/>
          <w:sz w:val="22"/>
        </w:rPr>
      </w:pPr>
      <w:bookmarkStart w:name="FW-OBJ-WR-09. Stream Restoration in Key " w:id="234"/>
      <w:bookmarkEnd w:id="234"/>
      <w:r>
        <w:rPr/>
      </w:r>
      <w:r>
        <w:rPr>
          <w:rFonts w:ascii="Arial"/>
          <w:i/>
          <w:sz w:val="22"/>
        </w:rPr>
        <w:t>FW-OBJ-WR-09.</w:t>
      </w:r>
      <w:r>
        <w:rPr>
          <w:rFonts w:ascii="Arial"/>
          <w:i/>
          <w:spacing w:val="-7"/>
          <w:sz w:val="22"/>
        </w:rPr>
        <w:t> </w:t>
      </w:r>
      <w:r>
        <w:rPr>
          <w:rFonts w:ascii="Arial"/>
          <w:i/>
          <w:sz w:val="22"/>
        </w:rPr>
        <w:t>Stream</w:t>
      </w:r>
      <w:r>
        <w:rPr>
          <w:rFonts w:ascii="Arial"/>
          <w:i/>
          <w:spacing w:val="-6"/>
          <w:sz w:val="22"/>
        </w:rPr>
        <w:t> </w:t>
      </w:r>
      <w:r>
        <w:rPr>
          <w:rFonts w:ascii="Arial"/>
          <w:i/>
          <w:sz w:val="22"/>
        </w:rPr>
        <w:t>Restoration</w:t>
      </w:r>
      <w:r>
        <w:rPr>
          <w:rFonts w:ascii="Arial"/>
          <w:i/>
          <w:spacing w:val="-5"/>
          <w:sz w:val="22"/>
        </w:rPr>
        <w:t> </w:t>
      </w:r>
      <w:r>
        <w:rPr>
          <w:rFonts w:ascii="Arial"/>
          <w:i/>
          <w:sz w:val="22"/>
        </w:rPr>
        <w:t>in</w:t>
      </w:r>
      <w:r>
        <w:rPr>
          <w:rFonts w:ascii="Arial"/>
          <w:i/>
          <w:spacing w:val="-6"/>
          <w:sz w:val="22"/>
        </w:rPr>
        <w:t> </w:t>
      </w:r>
      <w:r>
        <w:rPr>
          <w:rFonts w:ascii="Arial"/>
          <w:i/>
          <w:sz w:val="22"/>
        </w:rPr>
        <w:t>Key</w:t>
      </w:r>
      <w:r>
        <w:rPr>
          <w:rFonts w:ascii="Arial"/>
          <w:i/>
          <w:spacing w:val="-8"/>
          <w:sz w:val="22"/>
        </w:rPr>
        <w:t> </w:t>
      </w:r>
      <w:r>
        <w:rPr>
          <w:rFonts w:ascii="Arial"/>
          <w:i/>
          <w:spacing w:val="-2"/>
          <w:sz w:val="22"/>
        </w:rPr>
        <w:t>Watersheds</w:t>
      </w:r>
    </w:p>
    <w:p>
      <w:pPr>
        <w:pStyle w:val="BodyText"/>
        <w:spacing w:line="232" w:lineRule="auto" w:before="65"/>
        <w:ind w:left="360" w:right="1445"/>
      </w:pPr>
      <w:r>
        <w:rPr/>
        <w:t>Restore</w:t>
      </w:r>
      <w:r>
        <w:rPr>
          <w:spacing w:val="-3"/>
        </w:rPr>
        <w:t> </w:t>
      </w:r>
      <w:r>
        <w:rPr/>
        <w:t>hydrologic,</w:t>
      </w:r>
      <w:r>
        <w:rPr>
          <w:spacing w:val="-4"/>
        </w:rPr>
        <w:t> </w:t>
      </w:r>
      <w:r>
        <w:rPr/>
        <w:t>geomorphic,</w:t>
      </w:r>
      <w:r>
        <w:rPr>
          <w:spacing w:val="-4"/>
        </w:rPr>
        <w:t> </w:t>
      </w:r>
      <w:r>
        <w:rPr/>
        <w:t>and</w:t>
      </w:r>
      <w:r>
        <w:rPr>
          <w:spacing w:val="-5"/>
        </w:rPr>
        <w:t> </w:t>
      </w:r>
      <w:r>
        <w:rPr/>
        <w:t>riparian</w:t>
      </w:r>
      <w:r>
        <w:rPr>
          <w:spacing w:val="-5"/>
        </w:rPr>
        <w:t> </w:t>
      </w:r>
      <w:r>
        <w:rPr/>
        <w:t>process</w:t>
      </w:r>
      <w:r>
        <w:rPr>
          <w:spacing w:val="-9"/>
        </w:rPr>
        <w:t> </w:t>
      </w:r>
      <w:r>
        <w:rPr/>
        <w:t>and</w:t>
      </w:r>
      <w:r>
        <w:rPr>
          <w:spacing w:val="-5"/>
        </w:rPr>
        <w:t> </w:t>
      </w:r>
      <w:r>
        <w:rPr/>
        <w:t>function</w:t>
      </w:r>
      <w:r>
        <w:rPr>
          <w:spacing w:val="-7"/>
        </w:rPr>
        <w:t> </w:t>
      </w:r>
      <w:r>
        <w:rPr/>
        <w:t>on</w:t>
      </w:r>
      <w:r>
        <w:rPr>
          <w:spacing w:val="-5"/>
        </w:rPr>
        <w:t> </w:t>
      </w:r>
      <w:r>
        <w:rPr/>
        <w:t>81</w:t>
      </w:r>
      <w:r>
        <w:rPr>
          <w:spacing w:val="-5"/>
        </w:rPr>
        <w:t> </w:t>
      </w:r>
      <w:r>
        <w:rPr/>
        <w:t>miles</w:t>
      </w:r>
      <w:r>
        <w:rPr>
          <w:spacing w:val="-6"/>
        </w:rPr>
        <w:t> </w:t>
      </w:r>
      <w:r>
        <w:rPr/>
        <w:t>of</w:t>
      </w:r>
      <w:r>
        <w:rPr>
          <w:spacing w:val="-6"/>
        </w:rPr>
        <w:t> </w:t>
      </w:r>
      <w:r>
        <w:rPr/>
        <w:t>stream</w:t>
      </w:r>
      <w:r>
        <w:rPr>
          <w:spacing w:val="-5"/>
        </w:rPr>
        <w:t> </w:t>
      </w:r>
      <w:r>
        <w:rPr/>
        <w:t>within 15 years of forest plan implementation through activities including streambank stabilization, restoration of lateral and vertical hydrologic connectivity, and improvement of stream channel and floodplain function.</w:t>
      </w:r>
    </w:p>
    <w:p>
      <w:pPr>
        <w:spacing w:before="234"/>
        <w:ind w:left="360" w:right="0" w:firstLine="0"/>
        <w:jc w:val="left"/>
        <w:rPr>
          <w:rFonts w:ascii="Arial"/>
          <w:i/>
          <w:sz w:val="22"/>
        </w:rPr>
      </w:pPr>
      <w:bookmarkStart w:name="FW-OBJ-WR-10. Watershed Restoration in F" w:id="235"/>
      <w:bookmarkEnd w:id="235"/>
      <w:r>
        <w:rPr/>
      </w:r>
      <w:r>
        <w:rPr>
          <w:rFonts w:ascii="Arial"/>
          <w:i/>
          <w:sz w:val="22"/>
        </w:rPr>
        <w:t>FW-OBJ-WR-10.</w:t>
      </w:r>
      <w:r>
        <w:rPr>
          <w:rFonts w:ascii="Arial"/>
          <w:i/>
          <w:spacing w:val="-11"/>
          <w:sz w:val="22"/>
        </w:rPr>
        <w:t> </w:t>
      </w:r>
      <w:r>
        <w:rPr>
          <w:rFonts w:ascii="Arial"/>
          <w:i/>
          <w:sz w:val="22"/>
        </w:rPr>
        <w:t>Watershed</w:t>
      </w:r>
      <w:r>
        <w:rPr>
          <w:rFonts w:ascii="Arial"/>
          <w:i/>
          <w:spacing w:val="-6"/>
          <w:sz w:val="22"/>
        </w:rPr>
        <w:t> </w:t>
      </w:r>
      <w:r>
        <w:rPr>
          <w:rFonts w:ascii="Arial"/>
          <w:i/>
          <w:sz w:val="22"/>
        </w:rPr>
        <w:t>Restoration</w:t>
      </w:r>
      <w:r>
        <w:rPr>
          <w:rFonts w:ascii="Arial"/>
          <w:i/>
          <w:spacing w:val="-6"/>
          <w:sz w:val="22"/>
        </w:rPr>
        <w:t> </w:t>
      </w:r>
      <w:r>
        <w:rPr>
          <w:rFonts w:ascii="Arial"/>
          <w:i/>
          <w:sz w:val="22"/>
        </w:rPr>
        <w:t>in</w:t>
      </w:r>
      <w:r>
        <w:rPr>
          <w:rFonts w:ascii="Arial"/>
          <w:i/>
          <w:spacing w:val="-6"/>
          <w:sz w:val="22"/>
        </w:rPr>
        <w:t> </w:t>
      </w:r>
      <w:r>
        <w:rPr>
          <w:rFonts w:ascii="Arial"/>
          <w:i/>
          <w:sz w:val="22"/>
        </w:rPr>
        <w:t>Focus</w:t>
      </w:r>
      <w:r>
        <w:rPr>
          <w:rFonts w:ascii="Arial"/>
          <w:i/>
          <w:spacing w:val="-8"/>
          <w:sz w:val="22"/>
        </w:rPr>
        <w:t> </w:t>
      </w:r>
      <w:r>
        <w:rPr>
          <w:rFonts w:ascii="Arial"/>
          <w:i/>
          <w:sz w:val="22"/>
        </w:rPr>
        <w:t>and</w:t>
      </w:r>
      <w:r>
        <w:rPr>
          <w:rFonts w:ascii="Arial"/>
          <w:i/>
          <w:spacing w:val="-6"/>
          <w:sz w:val="22"/>
        </w:rPr>
        <w:t> </w:t>
      </w:r>
      <w:r>
        <w:rPr>
          <w:rFonts w:ascii="Arial"/>
          <w:i/>
          <w:sz w:val="22"/>
        </w:rPr>
        <w:t>Priority</w:t>
      </w:r>
      <w:r>
        <w:rPr>
          <w:rFonts w:ascii="Arial"/>
          <w:i/>
          <w:spacing w:val="-7"/>
          <w:sz w:val="22"/>
        </w:rPr>
        <w:t> </w:t>
      </w:r>
      <w:r>
        <w:rPr>
          <w:rFonts w:ascii="Arial"/>
          <w:i/>
          <w:spacing w:val="-2"/>
          <w:sz w:val="22"/>
        </w:rPr>
        <w:t>Watersheds</w:t>
      </w:r>
    </w:p>
    <w:p>
      <w:pPr>
        <w:pStyle w:val="BodyText"/>
        <w:spacing w:line="232" w:lineRule="auto" w:before="64"/>
        <w:ind w:left="359" w:right="1567"/>
      </w:pPr>
      <w:r>
        <w:rPr/>
        <w:t>Over</w:t>
      </w:r>
      <w:r>
        <w:rPr>
          <w:spacing w:val="-3"/>
        </w:rPr>
        <w:t> </w:t>
      </w:r>
      <w:r>
        <w:rPr/>
        <w:t>15 years,</w:t>
      </w:r>
      <w:r>
        <w:rPr>
          <w:spacing w:val="-1"/>
        </w:rPr>
        <w:t> </w:t>
      </w:r>
      <w:r>
        <w:rPr/>
        <w:t>implement</w:t>
      </w:r>
      <w:r>
        <w:rPr>
          <w:spacing w:val="-3"/>
        </w:rPr>
        <w:t> </w:t>
      </w:r>
      <w:r>
        <w:rPr/>
        <w:t>the watershed</w:t>
      </w:r>
      <w:r>
        <w:rPr>
          <w:spacing w:val="-2"/>
        </w:rPr>
        <w:t> </w:t>
      </w:r>
      <w:r>
        <w:rPr/>
        <w:t>condition</w:t>
      </w:r>
      <w:r>
        <w:rPr>
          <w:spacing w:val="-2"/>
        </w:rPr>
        <w:t> </w:t>
      </w:r>
      <w:r>
        <w:rPr/>
        <w:t>framework</w:t>
      </w:r>
      <w:r>
        <w:rPr>
          <w:spacing w:val="-3"/>
        </w:rPr>
        <w:t> </w:t>
      </w:r>
      <w:r>
        <w:rPr/>
        <w:t>through</w:t>
      </w:r>
      <w:r>
        <w:rPr>
          <w:spacing w:val="-2"/>
        </w:rPr>
        <w:t> </w:t>
      </w:r>
      <w:r>
        <w:rPr/>
        <w:t>completion</w:t>
      </w:r>
      <w:r>
        <w:rPr>
          <w:spacing w:val="-2"/>
        </w:rPr>
        <w:t> </w:t>
      </w:r>
      <w:r>
        <w:rPr/>
        <w:t>of</w:t>
      </w:r>
      <w:r>
        <w:rPr>
          <w:spacing w:val="-1"/>
        </w:rPr>
        <w:t> </w:t>
      </w:r>
      <w:r>
        <w:rPr/>
        <w:t>essential projects</w:t>
      </w:r>
      <w:r>
        <w:rPr>
          <w:spacing w:val="-7"/>
        </w:rPr>
        <w:t> </w:t>
      </w:r>
      <w:r>
        <w:rPr/>
        <w:t>outlined</w:t>
      </w:r>
      <w:r>
        <w:rPr>
          <w:spacing w:val="-6"/>
        </w:rPr>
        <w:t> </w:t>
      </w:r>
      <w:r>
        <w:rPr/>
        <w:t>in</w:t>
      </w:r>
      <w:r>
        <w:rPr>
          <w:spacing w:val="-8"/>
        </w:rPr>
        <w:t> </w:t>
      </w:r>
      <w:r>
        <w:rPr/>
        <w:t>watershed</w:t>
      </w:r>
      <w:r>
        <w:rPr>
          <w:spacing w:val="-6"/>
        </w:rPr>
        <w:t> </w:t>
      </w:r>
      <w:r>
        <w:rPr/>
        <w:t>action</w:t>
      </w:r>
      <w:r>
        <w:rPr>
          <w:spacing w:val="-6"/>
        </w:rPr>
        <w:t> </w:t>
      </w:r>
      <w:r>
        <w:rPr/>
        <w:t>plans</w:t>
      </w:r>
      <w:r>
        <w:rPr>
          <w:spacing w:val="-6"/>
        </w:rPr>
        <w:t> </w:t>
      </w:r>
      <w:r>
        <w:rPr/>
        <w:t>in</w:t>
      </w:r>
      <w:r>
        <w:rPr>
          <w:spacing w:val="-8"/>
        </w:rPr>
        <w:t> </w:t>
      </w:r>
      <w:r>
        <w:rPr/>
        <w:t>existing</w:t>
      </w:r>
      <w:r>
        <w:rPr>
          <w:spacing w:val="-8"/>
        </w:rPr>
        <w:t> </w:t>
      </w:r>
      <w:r>
        <w:rPr/>
        <w:t>focus</w:t>
      </w:r>
      <w:r>
        <w:rPr>
          <w:spacing w:val="-6"/>
        </w:rPr>
        <w:t> </w:t>
      </w:r>
      <w:r>
        <w:rPr/>
        <w:t>and</w:t>
      </w:r>
      <w:r>
        <w:rPr>
          <w:spacing w:val="-6"/>
        </w:rPr>
        <w:t> </w:t>
      </w:r>
      <w:r>
        <w:rPr/>
        <w:t>priority</w:t>
      </w:r>
      <w:r>
        <w:rPr>
          <w:spacing w:val="-5"/>
        </w:rPr>
        <w:t> </w:t>
      </w:r>
      <w:r>
        <w:rPr/>
        <w:t>watersheds</w:t>
      </w:r>
      <w:r>
        <w:rPr>
          <w:spacing w:val="-6"/>
        </w:rPr>
        <w:t> </w:t>
      </w:r>
      <w:r>
        <w:rPr/>
        <w:t>to</w:t>
      </w:r>
      <w:r>
        <w:rPr>
          <w:spacing w:val="-6"/>
        </w:rPr>
        <w:t> </w:t>
      </w:r>
      <w:r>
        <w:rPr/>
        <w:t>improve watershed condition class. Focus watersheds designated at the 5th field watershed scale include Upper Sanpoil, Chewelah Creek-Colville River, and LeClerc Creek-Pend Oreille River watersheds. Priority watersheds designated at the subwatershed scale include Ninemile Creek and West Branch LeClerc Creek subwatersheds.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OBJ-WR-11. Watershed Analysis" w:id="236"/>
      <w:bookmarkEnd w:id="236"/>
      <w:r>
        <w:rPr/>
      </w:r>
      <w:r>
        <w:rPr>
          <w:rFonts w:ascii="Arial"/>
          <w:i/>
          <w:sz w:val="22"/>
        </w:rPr>
        <w:t>FW-OBJ-WR-11.</w:t>
      </w:r>
      <w:r>
        <w:rPr>
          <w:rFonts w:ascii="Arial"/>
          <w:i/>
          <w:spacing w:val="-12"/>
          <w:sz w:val="22"/>
        </w:rPr>
        <w:t> </w:t>
      </w:r>
      <w:r>
        <w:rPr>
          <w:rFonts w:ascii="Arial"/>
          <w:i/>
          <w:sz w:val="22"/>
        </w:rPr>
        <w:t>Watershed</w:t>
      </w:r>
      <w:r>
        <w:rPr>
          <w:rFonts w:ascii="Arial"/>
          <w:i/>
          <w:spacing w:val="-8"/>
          <w:sz w:val="22"/>
        </w:rPr>
        <w:t> </w:t>
      </w:r>
      <w:r>
        <w:rPr>
          <w:rFonts w:ascii="Arial"/>
          <w:i/>
          <w:spacing w:val="-2"/>
          <w:sz w:val="22"/>
        </w:rPr>
        <w:t>Analysis</w:t>
      </w:r>
    </w:p>
    <w:p>
      <w:pPr>
        <w:pStyle w:val="BodyText"/>
        <w:spacing w:line="265" w:lineRule="exact" w:before="59"/>
        <w:ind w:left="1151"/>
      </w:pPr>
      <w:r>
        <w:rPr/>
        <w:t>Within</w:t>
      </w:r>
      <w:r>
        <w:rPr>
          <w:spacing w:val="-9"/>
        </w:rPr>
        <w:t> </w:t>
      </w:r>
      <w:r>
        <w:rPr/>
        <w:t>15</w:t>
      </w:r>
      <w:r>
        <w:rPr>
          <w:spacing w:val="-8"/>
        </w:rPr>
        <w:t> </w:t>
      </w:r>
      <w:r>
        <w:rPr/>
        <w:t>years</w:t>
      </w:r>
      <w:r>
        <w:rPr>
          <w:spacing w:val="-9"/>
        </w:rPr>
        <w:t> </w:t>
      </w:r>
      <w:r>
        <w:rPr/>
        <w:t>of</w:t>
      </w:r>
      <w:r>
        <w:rPr>
          <w:spacing w:val="-7"/>
        </w:rPr>
        <w:t> </w:t>
      </w:r>
      <w:r>
        <w:rPr/>
        <w:t>plan</w:t>
      </w:r>
      <w:r>
        <w:rPr>
          <w:spacing w:val="-8"/>
        </w:rPr>
        <w:t> </w:t>
      </w:r>
      <w:r>
        <w:rPr/>
        <w:t>implementation,</w:t>
      </w:r>
      <w:r>
        <w:rPr>
          <w:spacing w:val="-9"/>
        </w:rPr>
        <w:t> </w:t>
      </w:r>
      <w:r>
        <w:rPr/>
        <w:t>complete</w:t>
      </w:r>
      <w:r>
        <w:rPr>
          <w:spacing w:val="-9"/>
        </w:rPr>
        <w:t> </w:t>
      </w:r>
      <w:r>
        <w:rPr/>
        <w:t>or</w:t>
      </w:r>
      <w:r>
        <w:rPr>
          <w:spacing w:val="-10"/>
        </w:rPr>
        <w:t> </w:t>
      </w:r>
      <w:r>
        <w:rPr/>
        <w:t>update</w:t>
      </w:r>
      <w:r>
        <w:rPr>
          <w:spacing w:val="-6"/>
        </w:rPr>
        <w:t> </w:t>
      </w:r>
      <w:r>
        <w:rPr/>
        <w:t>watershed</w:t>
      </w:r>
      <w:r>
        <w:rPr>
          <w:spacing w:val="-8"/>
        </w:rPr>
        <w:t> </w:t>
      </w:r>
      <w:r>
        <w:rPr/>
        <w:t>analyses</w:t>
      </w:r>
      <w:r>
        <w:rPr>
          <w:spacing w:val="-7"/>
        </w:rPr>
        <w:t> </w:t>
      </w:r>
      <w:r>
        <w:rPr>
          <w:spacing w:val="-5"/>
        </w:rPr>
        <w:t>for</w:t>
      </w:r>
    </w:p>
    <w:p>
      <w:pPr>
        <w:pStyle w:val="BodyText"/>
        <w:spacing w:line="232" w:lineRule="auto" w:before="3"/>
        <w:ind w:left="1151" w:right="1073"/>
      </w:pPr>
      <w:r>
        <w:rPr/>
        <w:t>5 subwatersheds. Criteria for selecting subwatershed for watershed analysis include: Key Watersheds, Priority Watersheds, watersheds that support designated critical habitat, or support</w:t>
      </w:r>
      <w:r>
        <w:rPr>
          <w:spacing w:val="-5"/>
        </w:rPr>
        <w:t> </w:t>
      </w:r>
      <w:r>
        <w:rPr/>
        <w:t>listed</w:t>
      </w:r>
      <w:r>
        <w:rPr>
          <w:spacing w:val="-7"/>
        </w:rPr>
        <w:t> </w:t>
      </w:r>
      <w:r>
        <w:rPr/>
        <w:t>species,</w:t>
      </w:r>
      <w:r>
        <w:rPr>
          <w:spacing w:val="-6"/>
        </w:rPr>
        <w:t> </w:t>
      </w:r>
      <w:r>
        <w:rPr/>
        <w:t>and</w:t>
      </w:r>
      <w:r>
        <w:rPr>
          <w:spacing w:val="-8"/>
        </w:rPr>
        <w:t> </w:t>
      </w:r>
      <w:r>
        <w:rPr/>
        <w:t>watersheds</w:t>
      </w:r>
      <w:r>
        <w:rPr>
          <w:spacing w:val="-8"/>
        </w:rPr>
        <w:t> </w:t>
      </w:r>
      <w:r>
        <w:rPr/>
        <w:t>where</w:t>
      </w:r>
      <w:r>
        <w:rPr>
          <w:spacing w:val="-8"/>
        </w:rPr>
        <w:t> </w:t>
      </w:r>
      <w:r>
        <w:rPr/>
        <w:t>management</w:t>
      </w:r>
      <w:r>
        <w:rPr>
          <w:spacing w:val="-5"/>
        </w:rPr>
        <w:t> </w:t>
      </w:r>
      <w:r>
        <w:rPr/>
        <w:t>activities</w:t>
      </w:r>
      <w:r>
        <w:rPr>
          <w:spacing w:val="-8"/>
        </w:rPr>
        <w:t> </w:t>
      </w:r>
      <w:r>
        <w:rPr/>
        <w:t>are</w:t>
      </w:r>
      <w:r>
        <w:rPr>
          <w:spacing w:val="-8"/>
        </w:rPr>
        <w:t> </w:t>
      </w:r>
      <w:r>
        <w:rPr/>
        <w:t>likely</w:t>
      </w:r>
      <w:r>
        <w:rPr>
          <w:spacing w:val="-5"/>
        </w:rPr>
        <w:t> </w:t>
      </w:r>
      <w:r>
        <w:rPr/>
        <w:t>to</w:t>
      </w:r>
      <w:r>
        <w:rPr>
          <w:spacing w:val="-7"/>
        </w:rPr>
        <w:t> </w:t>
      </w:r>
      <w:r>
        <w:rPr/>
        <w:t>occur</w:t>
      </w:r>
      <w:r>
        <w:rPr>
          <w:spacing w:val="-8"/>
        </w:rPr>
        <w:t> </w:t>
      </w:r>
      <w:r>
        <w:rPr/>
        <w:t>that may affect aquatic resources (due to their inherent nature, location, timing, or scale).</w:t>
      </w:r>
    </w:p>
    <w:p>
      <w:pPr>
        <w:pStyle w:val="Heading4"/>
        <w:spacing w:before="232"/>
        <w:ind w:left="1151"/>
      </w:pPr>
      <w:bookmarkStart w:name="Standards" w:id="237"/>
      <w:bookmarkEnd w:id="237"/>
      <w:r>
        <w:rPr/>
      </w:r>
      <w:bookmarkStart w:name="_bookmark96" w:id="238"/>
      <w:bookmarkEnd w:id="238"/>
      <w:r>
        <w:rPr/>
      </w:r>
      <w:r>
        <w:rPr>
          <w:spacing w:val="-2"/>
        </w:rPr>
        <w:t>Standards</w:t>
      </w:r>
    </w:p>
    <w:p>
      <w:pPr>
        <w:spacing w:before="239"/>
        <w:ind w:left="1151" w:right="0" w:firstLine="0"/>
        <w:jc w:val="left"/>
        <w:rPr>
          <w:rFonts w:ascii="Arial"/>
          <w:i/>
          <w:sz w:val="22"/>
        </w:rPr>
      </w:pPr>
      <w:bookmarkStart w:name="FW-STD-WR-01. Best Management Practices" w:id="239"/>
      <w:bookmarkEnd w:id="239"/>
      <w:r>
        <w:rPr/>
      </w:r>
      <w:r>
        <w:rPr>
          <w:rFonts w:ascii="Arial"/>
          <w:i/>
          <w:sz w:val="22"/>
        </w:rPr>
        <w:t>FW-STD-WR-01.</w:t>
      </w:r>
      <w:r>
        <w:rPr>
          <w:rFonts w:ascii="Arial"/>
          <w:i/>
          <w:spacing w:val="-9"/>
          <w:sz w:val="22"/>
        </w:rPr>
        <w:t> </w:t>
      </w:r>
      <w:r>
        <w:rPr>
          <w:rFonts w:ascii="Arial"/>
          <w:i/>
          <w:sz w:val="22"/>
        </w:rPr>
        <w:t>Best</w:t>
      </w:r>
      <w:r>
        <w:rPr>
          <w:rFonts w:ascii="Arial"/>
          <w:i/>
          <w:spacing w:val="-8"/>
          <w:sz w:val="22"/>
        </w:rPr>
        <w:t> </w:t>
      </w:r>
      <w:r>
        <w:rPr>
          <w:rFonts w:ascii="Arial"/>
          <w:i/>
          <w:sz w:val="22"/>
        </w:rPr>
        <w:t>Management</w:t>
      </w:r>
      <w:r>
        <w:rPr>
          <w:rFonts w:ascii="Arial"/>
          <w:i/>
          <w:spacing w:val="-8"/>
          <w:sz w:val="22"/>
        </w:rPr>
        <w:t> </w:t>
      </w:r>
      <w:r>
        <w:rPr>
          <w:rFonts w:ascii="Arial"/>
          <w:i/>
          <w:spacing w:val="-2"/>
          <w:sz w:val="22"/>
        </w:rPr>
        <w:t>Practices</w:t>
      </w:r>
    </w:p>
    <w:p>
      <w:pPr>
        <w:pStyle w:val="BodyText"/>
        <w:spacing w:line="232" w:lineRule="auto" w:before="65"/>
        <w:ind w:left="1152" w:right="801"/>
      </w:pPr>
      <w:r>
        <w:rPr/>
        <w:t>All</w:t>
      </w:r>
      <w:r>
        <w:rPr>
          <w:spacing w:val="-4"/>
        </w:rPr>
        <w:t> </w:t>
      </w:r>
      <w:r>
        <w:rPr/>
        <w:t>projects</w:t>
      </w:r>
      <w:r>
        <w:rPr>
          <w:spacing w:val="-6"/>
        </w:rPr>
        <w:t> </w:t>
      </w:r>
      <w:r>
        <w:rPr/>
        <w:t>shall</w:t>
      </w:r>
      <w:r>
        <w:rPr>
          <w:spacing w:val="-4"/>
        </w:rPr>
        <w:t> </w:t>
      </w:r>
      <w:r>
        <w:rPr/>
        <w:t>be</w:t>
      </w:r>
      <w:r>
        <w:rPr>
          <w:spacing w:val="-3"/>
        </w:rPr>
        <w:t> </w:t>
      </w:r>
      <w:r>
        <w:rPr/>
        <w:t>implemented</w:t>
      </w:r>
      <w:r>
        <w:rPr>
          <w:spacing w:val="-5"/>
        </w:rPr>
        <w:t> </w:t>
      </w:r>
      <w:r>
        <w:rPr/>
        <w:t>in</w:t>
      </w:r>
      <w:r>
        <w:rPr>
          <w:spacing w:val="-5"/>
        </w:rPr>
        <w:t> </w:t>
      </w:r>
      <w:r>
        <w:rPr/>
        <w:t>accordance</w:t>
      </w:r>
      <w:r>
        <w:rPr>
          <w:spacing w:val="-6"/>
        </w:rPr>
        <w:t> </w:t>
      </w:r>
      <w:r>
        <w:rPr/>
        <w:t>with</w:t>
      </w:r>
      <w:r>
        <w:rPr>
          <w:spacing w:val="-7"/>
        </w:rPr>
        <w:t> </w:t>
      </w:r>
      <w:r>
        <w:rPr/>
        <w:t>best</w:t>
      </w:r>
      <w:r>
        <w:rPr>
          <w:spacing w:val="-6"/>
        </w:rPr>
        <w:t> </w:t>
      </w:r>
      <w:r>
        <w:rPr/>
        <w:t>management</w:t>
      </w:r>
      <w:r>
        <w:rPr>
          <w:spacing w:val="-4"/>
        </w:rPr>
        <w:t> </w:t>
      </w:r>
      <w:r>
        <w:rPr/>
        <w:t>practices,</w:t>
      </w:r>
      <w:r>
        <w:rPr>
          <w:spacing w:val="-4"/>
        </w:rPr>
        <w:t> </w:t>
      </w:r>
      <w:r>
        <w:rPr/>
        <w:t>as</w:t>
      </w:r>
      <w:r>
        <w:rPr>
          <w:spacing w:val="-4"/>
        </w:rPr>
        <w:t> </w:t>
      </w:r>
      <w:r>
        <w:rPr/>
        <w:t>described in national and regional technical guides.</w:t>
      </w:r>
    </w:p>
    <w:p>
      <w:pPr>
        <w:spacing w:before="224"/>
        <w:ind w:left="1152" w:right="0" w:firstLine="0"/>
        <w:jc w:val="left"/>
        <w:rPr>
          <w:rFonts w:ascii="Arial" w:hAnsi="Arial"/>
          <w:i/>
          <w:sz w:val="22"/>
        </w:rPr>
      </w:pPr>
      <w:bookmarkStart w:name="FW-STD-WR-02. Aquatic Invasive Species (" w:id="240"/>
      <w:bookmarkEnd w:id="240"/>
      <w:r>
        <w:rPr/>
      </w:r>
      <w:r>
        <w:rPr>
          <w:rFonts w:ascii="Arial" w:hAnsi="Arial"/>
          <w:i/>
          <w:sz w:val="22"/>
        </w:rPr>
        <w:t>FW-STD-WR-02.</w:t>
      </w:r>
      <w:r>
        <w:rPr>
          <w:rFonts w:ascii="Arial" w:hAnsi="Arial"/>
          <w:i/>
          <w:spacing w:val="-8"/>
          <w:sz w:val="22"/>
        </w:rPr>
        <w:t> </w:t>
      </w:r>
      <w:r>
        <w:rPr>
          <w:rFonts w:ascii="Arial" w:hAnsi="Arial"/>
          <w:i/>
          <w:sz w:val="22"/>
        </w:rPr>
        <w:t>Aquatic</w:t>
      </w:r>
      <w:r>
        <w:rPr>
          <w:rFonts w:ascii="Arial" w:hAnsi="Arial"/>
          <w:i/>
          <w:spacing w:val="-6"/>
          <w:sz w:val="22"/>
        </w:rPr>
        <w:t> </w:t>
      </w:r>
      <w:r>
        <w:rPr>
          <w:rFonts w:ascii="Arial" w:hAnsi="Arial"/>
          <w:i/>
          <w:sz w:val="22"/>
        </w:rPr>
        <w:t>Invasive</w:t>
      </w:r>
      <w:r>
        <w:rPr>
          <w:rFonts w:ascii="Arial" w:hAnsi="Arial"/>
          <w:i/>
          <w:spacing w:val="-7"/>
          <w:sz w:val="22"/>
        </w:rPr>
        <w:t> </w:t>
      </w:r>
      <w:r>
        <w:rPr>
          <w:rFonts w:ascii="Arial" w:hAnsi="Arial"/>
          <w:i/>
          <w:sz w:val="22"/>
        </w:rPr>
        <w:t>Species</w:t>
      </w:r>
      <w:r>
        <w:rPr>
          <w:rFonts w:ascii="Arial" w:hAnsi="Arial"/>
          <w:i/>
          <w:spacing w:val="-8"/>
          <w:sz w:val="22"/>
        </w:rPr>
        <w:t> </w:t>
      </w:r>
      <w:r>
        <w:rPr>
          <w:rFonts w:ascii="Symbol" w:hAnsi="Symbol"/>
          <w:i/>
          <w:sz w:val="23"/>
        </w:rPr>
        <w:t></w:t>
      </w:r>
      <w:r>
        <w:rPr>
          <w:rFonts w:ascii="Times New Roman" w:hAnsi="Times New Roman"/>
          <w:spacing w:val="-4"/>
          <w:sz w:val="23"/>
        </w:rPr>
        <w:t> </w:t>
      </w:r>
      <w:r>
        <w:rPr>
          <w:rFonts w:ascii="Arial" w:hAnsi="Arial"/>
          <w:i/>
          <w:sz w:val="22"/>
        </w:rPr>
        <w:t>In-Water</w:t>
      </w:r>
      <w:r>
        <w:rPr>
          <w:rFonts w:ascii="Arial" w:hAnsi="Arial"/>
          <w:i/>
          <w:spacing w:val="-8"/>
          <w:sz w:val="22"/>
        </w:rPr>
        <w:t> </w:t>
      </w:r>
      <w:r>
        <w:rPr>
          <w:rFonts w:ascii="Arial" w:hAnsi="Arial"/>
          <w:i/>
          <w:spacing w:val="-4"/>
          <w:sz w:val="22"/>
        </w:rPr>
        <w:t>Work</w:t>
      </w:r>
    </w:p>
    <w:p>
      <w:pPr>
        <w:pStyle w:val="BodyText"/>
        <w:spacing w:line="232" w:lineRule="auto" w:before="63"/>
        <w:ind w:left="1151" w:right="1073"/>
      </w:pPr>
      <w:r>
        <w:rPr/>
        <w:t>Implement</w:t>
      </w:r>
      <w:r>
        <w:rPr>
          <w:spacing w:val="-7"/>
        </w:rPr>
        <w:t> </w:t>
      </w:r>
      <w:r>
        <w:rPr/>
        <w:t>prevention</w:t>
      </w:r>
      <w:r>
        <w:rPr>
          <w:spacing w:val="-10"/>
        </w:rPr>
        <w:t> </w:t>
      </w:r>
      <w:r>
        <w:rPr/>
        <w:t>measures</w:t>
      </w:r>
      <w:r>
        <w:rPr>
          <w:spacing w:val="-7"/>
        </w:rPr>
        <w:t> </w:t>
      </w:r>
      <w:r>
        <w:rPr/>
        <w:t>for</w:t>
      </w:r>
      <w:r>
        <w:rPr>
          <w:spacing w:val="-7"/>
        </w:rPr>
        <w:t> </w:t>
      </w:r>
      <w:r>
        <w:rPr/>
        <w:t>in-water</w:t>
      </w:r>
      <w:r>
        <w:rPr>
          <w:spacing w:val="-7"/>
        </w:rPr>
        <w:t> </w:t>
      </w:r>
      <w:r>
        <w:rPr/>
        <w:t>projects</w:t>
      </w:r>
      <w:r>
        <w:rPr>
          <w:spacing w:val="-12"/>
        </w:rPr>
        <w:t> </w:t>
      </w:r>
      <w:r>
        <w:rPr/>
        <w:t>to</w:t>
      </w:r>
      <w:r>
        <w:rPr>
          <w:spacing w:val="-7"/>
        </w:rPr>
        <w:t> </w:t>
      </w:r>
      <w:r>
        <w:rPr/>
        <w:t>decrease</w:t>
      </w:r>
      <w:r>
        <w:rPr>
          <w:spacing w:val="-7"/>
        </w:rPr>
        <w:t> </w:t>
      </w:r>
      <w:r>
        <w:rPr/>
        <w:t>the</w:t>
      </w:r>
      <w:r>
        <w:rPr>
          <w:spacing w:val="-7"/>
        </w:rPr>
        <w:t> </w:t>
      </w:r>
      <w:r>
        <w:rPr/>
        <w:t>potential</w:t>
      </w:r>
      <w:r>
        <w:rPr>
          <w:spacing w:val="-7"/>
        </w:rPr>
        <w:t> </w:t>
      </w:r>
      <w:r>
        <w:rPr/>
        <w:t>for</w:t>
      </w:r>
      <w:r>
        <w:rPr>
          <w:spacing w:val="-7"/>
        </w:rPr>
        <w:t> </w:t>
      </w:r>
      <w:r>
        <w:rPr/>
        <w:t>aquatic invasive species transference into non-infested water bodies.</w:t>
      </w:r>
    </w:p>
    <w:p>
      <w:pPr>
        <w:spacing w:before="223"/>
        <w:ind w:left="1151" w:right="0" w:firstLine="0"/>
        <w:jc w:val="left"/>
        <w:rPr>
          <w:rFonts w:ascii="Arial" w:hAnsi="Arial"/>
          <w:i/>
          <w:sz w:val="22"/>
        </w:rPr>
      </w:pPr>
      <w:bookmarkStart w:name="FW-STD-WR-03. Aquatic Invasive Species (" w:id="241"/>
      <w:bookmarkEnd w:id="241"/>
      <w:r>
        <w:rPr/>
      </w:r>
      <w:r>
        <w:rPr>
          <w:rFonts w:ascii="Arial" w:hAnsi="Arial"/>
          <w:i/>
          <w:sz w:val="22"/>
        </w:rPr>
        <w:t>FW-STD-WR-03.</w:t>
      </w:r>
      <w:r>
        <w:rPr>
          <w:rFonts w:ascii="Arial" w:hAnsi="Arial"/>
          <w:i/>
          <w:spacing w:val="-8"/>
          <w:sz w:val="22"/>
        </w:rPr>
        <w:t> </w:t>
      </w:r>
      <w:r>
        <w:rPr>
          <w:rFonts w:ascii="Arial" w:hAnsi="Arial"/>
          <w:i/>
          <w:sz w:val="22"/>
        </w:rPr>
        <w:t>Aquatic</w:t>
      </w:r>
      <w:r>
        <w:rPr>
          <w:rFonts w:ascii="Arial" w:hAnsi="Arial"/>
          <w:i/>
          <w:spacing w:val="-6"/>
          <w:sz w:val="22"/>
        </w:rPr>
        <w:t> </w:t>
      </w:r>
      <w:r>
        <w:rPr>
          <w:rFonts w:ascii="Arial" w:hAnsi="Arial"/>
          <w:i/>
          <w:sz w:val="22"/>
        </w:rPr>
        <w:t>Invasive</w:t>
      </w:r>
      <w:r>
        <w:rPr>
          <w:rFonts w:ascii="Arial" w:hAnsi="Arial"/>
          <w:i/>
          <w:spacing w:val="-6"/>
          <w:sz w:val="22"/>
        </w:rPr>
        <w:t> </w:t>
      </w:r>
      <w:r>
        <w:rPr>
          <w:rFonts w:ascii="Arial" w:hAnsi="Arial"/>
          <w:i/>
          <w:sz w:val="22"/>
        </w:rPr>
        <w:t>Species</w:t>
      </w:r>
      <w:r>
        <w:rPr>
          <w:rFonts w:ascii="Arial" w:hAnsi="Arial"/>
          <w:i/>
          <w:spacing w:val="-8"/>
          <w:sz w:val="22"/>
        </w:rPr>
        <w:t> </w:t>
      </w:r>
      <w:r>
        <w:rPr>
          <w:rFonts w:ascii="Symbol" w:hAnsi="Symbol"/>
          <w:i/>
          <w:sz w:val="23"/>
        </w:rPr>
        <w:t></w:t>
      </w:r>
      <w:r>
        <w:rPr>
          <w:rFonts w:ascii="Times New Roman" w:hAnsi="Times New Roman"/>
          <w:spacing w:val="-3"/>
          <w:sz w:val="23"/>
        </w:rPr>
        <w:t> </w:t>
      </w:r>
      <w:r>
        <w:rPr>
          <w:rFonts w:ascii="Arial" w:hAnsi="Arial"/>
          <w:i/>
          <w:sz w:val="22"/>
        </w:rPr>
        <w:t>Aquatic</w:t>
      </w:r>
      <w:r>
        <w:rPr>
          <w:rFonts w:ascii="Arial" w:hAnsi="Arial"/>
          <w:i/>
          <w:spacing w:val="-6"/>
          <w:sz w:val="22"/>
        </w:rPr>
        <w:t> </w:t>
      </w:r>
      <w:r>
        <w:rPr>
          <w:rFonts w:ascii="Arial" w:hAnsi="Arial"/>
          <w:i/>
          <w:sz w:val="22"/>
        </w:rPr>
        <w:t>Resource</w:t>
      </w:r>
      <w:r>
        <w:rPr>
          <w:rFonts w:ascii="Arial" w:hAnsi="Arial"/>
          <w:i/>
          <w:spacing w:val="-7"/>
          <w:sz w:val="22"/>
        </w:rPr>
        <w:t> </w:t>
      </w:r>
      <w:r>
        <w:rPr>
          <w:rFonts w:ascii="Arial" w:hAnsi="Arial"/>
          <w:i/>
          <w:spacing w:val="-2"/>
          <w:sz w:val="22"/>
        </w:rPr>
        <w:t>Sampling</w:t>
      </w:r>
    </w:p>
    <w:p>
      <w:pPr>
        <w:pStyle w:val="BodyText"/>
        <w:spacing w:before="57"/>
        <w:ind w:left="1151"/>
      </w:pPr>
      <w:r>
        <w:rPr/>
        <w:t>Aquatic</w:t>
      </w:r>
      <w:r>
        <w:rPr>
          <w:spacing w:val="-8"/>
        </w:rPr>
        <w:t> </w:t>
      </w:r>
      <w:r>
        <w:rPr/>
        <w:t>sampling</w:t>
      </w:r>
      <w:r>
        <w:rPr>
          <w:spacing w:val="-7"/>
        </w:rPr>
        <w:t> </w:t>
      </w:r>
      <w:r>
        <w:rPr/>
        <w:t>equipment</w:t>
      </w:r>
      <w:r>
        <w:rPr>
          <w:spacing w:val="-5"/>
        </w:rPr>
        <w:t> </w:t>
      </w:r>
      <w:r>
        <w:rPr/>
        <w:t>must</w:t>
      </w:r>
      <w:r>
        <w:rPr>
          <w:spacing w:val="-7"/>
        </w:rPr>
        <w:t> </w:t>
      </w:r>
      <w:r>
        <w:rPr/>
        <w:t>be</w:t>
      </w:r>
      <w:r>
        <w:rPr>
          <w:spacing w:val="-5"/>
        </w:rPr>
        <w:t> </w:t>
      </w:r>
      <w:r>
        <w:rPr/>
        <w:t>disinfected</w:t>
      </w:r>
      <w:r>
        <w:rPr>
          <w:spacing w:val="-7"/>
        </w:rPr>
        <w:t> </w:t>
      </w:r>
      <w:r>
        <w:rPr/>
        <w:t>prior</w:t>
      </w:r>
      <w:r>
        <w:rPr>
          <w:spacing w:val="-6"/>
        </w:rPr>
        <w:t> </w:t>
      </w:r>
      <w:r>
        <w:rPr/>
        <w:t>to</w:t>
      </w:r>
      <w:r>
        <w:rPr>
          <w:spacing w:val="-5"/>
        </w:rPr>
        <w:t> </w:t>
      </w:r>
      <w:r>
        <w:rPr/>
        <w:t>use</w:t>
      </w:r>
      <w:r>
        <w:rPr>
          <w:spacing w:val="-5"/>
        </w:rPr>
        <w:t> </w:t>
      </w:r>
      <w:r>
        <w:rPr/>
        <w:t>in</w:t>
      </w:r>
      <w:r>
        <w:rPr>
          <w:spacing w:val="-7"/>
        </w:rPr>
        <w:t> </w:t>
      </w:r>
      <w:r>
        <w:rPr/>
        <w:t>new</w:t>
      </w:r>
      <w:r>
        <w:rPr>
          <w:spacing w:val="-8"/>
        </w:rPr>
        <w:t> </w:t>
      </w:r>
      <w:r>
        <w:rPr/>
        <w:t>stream</w:t>
      </w:r>
      <w:r>
        <w:rPr>
          <w:spacing w:val="-5"/>
        </w:rPr>
        <w:t> </w:t>
      </w:r>
      <w:r>
        <w:rPr/>
        <w:t>or</w:t>
      </w:r>
      <w:r>
        <w:rPr>
          <w:spacing w:val="-7"/>
        </w:rPr>
        <w:t> </w:t>
      </w:r>
      <w:r>
        <w:rPr/>
        <w:t>lake</w:t>
      </w:r>
      <w:r>
        <w:rPr>
          <w:spacing w:val="-5"/>
        </w:rPr>
        <w:t> </w:t>
      </w:r>
      <w:r>
        <w:rPr>
          <w:spacing w:val="-2"/>
        </w:rPr>
        <w:t>locations.</w:t>
      </w:r>
    </w:p>
    <w:p>
      <w:pPr>
        <w:spacing w:before="234"/>
        <w:ind w:left="1151" w:right="0" w:firstLine="0"/>
        <w:jc w:val="left"/>
        <w:rPr>
          <w:rFonts w:ascii="Arial"/>
          <w:i/>
          <w:sz w:val="22"/>
        </w:rPr>
      </w:pPr>
      <w:bookmarkStart w:name="FW-STD-WR-04. Construction of New Roads," w:id="242"/>
      <w:bookmarkEnd w:id="242"/>
      <w:r>
        <w:rPr/>
      </w:r>
      <w:r>
        <w:rPr>
          <w:rFonts w:ascii="Arial"/>
          <w:i/>
          <w:sz w:val="22"/>
        </w:rPr>
        <w:t>FW-STD-WR-04.</w:t>
      </w:r>
      <w:r>
        <w:rPr>
          <w:rFonts w:ascii="Arial"/>
          <w:i/>
          <w:spacing w:val="-11"/>
          <w:sz w:val="22"/>
        </w:rPr>
        <w:t> </w:t>
      </w:r>
      <w:r>
        <w:rPr>
          <w:rFonts w:ascii="Arial"/>
          <w:i/>
          <w:sz w:val="22"/>
        </w:rPr>
        <w:t>Construction</w:t>
      </w:r>
      <w:r>
        <w:rPr>
          <w:rFonts w:ascii="Arial"/>
          <w:i/>
          <w:spacing w:val="-7"/>
          <w:sz w:val="22"/>
        </w:rPr>
        <w:t> </w:t>
      </w:r>
      <w:r>
        <w:rPr>
          <w:rFonts w:ascii="Arial"/>
          <w:i/>
          <w:sz w:val="22"/>
        </w:rPr>
        <w:t>of</w:t>
      </w:r>
      <w:r>
        <w:rPr>
          <w:rFonts w:ascii="Arial"/>
          <w:i/>
          <w:spacing w:val="-7"/>
          <w:sz w:val="22"/>
        </w:rPr>
        <w:t> </w:t>
      </w:r>
      <w:r>
        <w:rPr>
          <w:rFonts w:ascii="Arial"/>
          <w:i/>
          <w:sz w:val="22"/>
        </w:rPr>
        <w:t>New</w:t>
      </w:r>
      <w:r>
        <w:rPr>
          <w:rFonts w:ascii="Arial"/>
          <w:i/>
          <w:spacing w:val="-6"/>
          <w:sz w:val="22"/>
        </w:rPr>
        <w:t> </w:t>
      </w:r>
      <w:r>
        <w:rPr>
          <w:rFonts w:ascii="Arial"/>
          <w:i/>
          <w:sz w:val="22"/>
        </w:rPr>
        <w:t>Roads,</w:t>
      </w:r>
      <w:r>
        <w:rPr>
          <w:rFonts w:ascii="Arial"/>
          <w:i/>
          <w:spacing w:val="-5"/>
          <w:sz w:val="22"/>
        </w:rPr>
        <w:t> </w:t>
      </w:r>
      <w:r>
        <w:rPr>
          <w:rFonts w:ascii="Arial"/>
          <w:i/>
          <w:sz w:val="22"/>
        </w:rPr>
        <w:t>Trails</w:t>
      </w:r>
      <w:r>
        <w:rPr>
          <w:rFonts w:ascii="Arial"/>
          <w:i/>
          <w:spacing w:val="-7"/>
          <w:sz w:val="22"/>
        </w:rPr>
        <w:t> </w:t>
      </w:r>
      <w:r>
        <w:rPr>
          <w:rFonts w:ascii="Arial"/>
          <w:i/>
          <w:sz w:val="22"/>
        </w:rPr>
        <w:t>and</w:t>
      </w:r>
      <w:r>
        <w:rPr>
          <w:rFonts w:ascii="Arial"/>
          <w:i/>
          <w:spacing w:val="-7"/>
          <w:sz w:val="22"/>
        </w:rPr>
        <w:t> </w:t>
      </w:r>
      <w:r>
        <w:rPr>
          <w:rFonts w:ascii="Arial"/>
          <w:i/>
          <w:sz w:val="22"/>
        </w:rPr>
        <w:t>Developed</w:t>
      </w:r>
      <w:r>
        <w:rPr>
          <w:rFonts w:ascii="Arial"/>
          <w:i/>
          <w:spacing w:val="-7"/>
          <w:sz w:val="22"/>
        </w:rPr>
        <w:t> </w:t>
      </w:r>
      <w:r>
        <w:rPr>
          <w:rFonts w:ascii="Arial"/>
          <w:i/>
          <w:sz w:val="22"/>
        </w:rPr>
        <w:t>Recreation</w:t>
      </w:r>
      <w:r>
        <w:rPr>
          <w:rFonts w:ascii="Arial"/>
          <w:i/>
          <w:spacing w:val="-7"/>
          <w:sz w:val="22"/>
        </w:rPr>
        <w:t> </w:t>
      </w:r>
      <w:r>
        <w:rPr>
          <w:rFonts w:ascii="Arial"/>
          <w:i/>
          <w:spacing w:val="-2"/>
          <w:sz w:val="22"/>
        </w:rPr>
        <w:t>Sites</w:t>
      </w:r>
    </w:p>
    <w:p>
      <w:pPr>
        <w:pStyle w:val="BodyText"/>
        <w:spacing w:line="232" w:lineRule="auto" w:before="65"/>
        <w:ind w:left="1151" w:right="742"/>
      </w:pPr>
      <w:r>
        <w:rPr/>
        <w:t>New</w:t>
      </w:r>
      <w:r>
        <w:rPr>
          <w:spacing w:val="-2"/>
        </w:rPr>
        <w:t> </w:t>
      </w:r>
      <w:r>
        <w:rPr/>
        <w:t>roads and</w:t>
      </w:r>
      <w:r>
        <w:rPr>
          <w:spacing w:val="-1"/>
        </w:rPr>
        <w:t> </w:t>
      </w:r>
      <w:r>
        <w:rPr/>
        <w:t>trails</w:t>
      </w:r>
      <w:r>
        <w:rPr>
          <w:spacing w:val="-2"/>
        </w:rPr>
        <w:t> </w:t>
      </w:r>
      <w:r>
        <w:rPr/>
        <w:t>will be designed</w:t>
      </w:r>
      <w:r>
        <w:rPr>
          <w:spacing w:val="-1"/>
        </w:rPr>
        <w:t> </w:t>
      </w:r>
      <w:r>
        <w:rPr/>
        <w:t>to</w:t>
      </w:r>
      <w:r>
        <w:rPr>
          <w:spacing w:val="-1"/>
        </w:rPr>
        <w:t> </w:t>
      </w:r>
      <w:r>
        <w:rPr/>
        <w:t>minimize disruption</w:t>
      </w:r>
      <w:r>
        <w:rPr>
          <w:spacing w:val="-3"/>
        </w:rPr>
        <w:t> </w:t>
      </w:r>
      <w:r>
        <w:rPr/>
        <w:t>of natural hydrologic processes at perennial</w:t>
      </w:r>
      <w:r>
        <w:rPr>
          <w:spacing w:val="-3"/>
        </w:rPr>
        <w:t> </w:t>
      </w:r>
      <w:r>
        <w:rPr/>
        <w:t>and</w:t>
      </w:r>
      <w:r>
        <w:rPr>
          <w:spacing w:val="-4"/>
        </w:rPr>
        <w:t> </w:t>
      </w:r>
      <w:r>
        <w:rPr/>
        <w:t>intermittent</w:t>
      </w:r>
      <w:r>
        <w:rPr>
          <w:spacing w:val="-5"/>
        </w:rPr>
        <w:t> </w:t>
      </w:r>
      <w:r>
        <w:rPr/>
        <w:t>stream</w:t>
      </w:r>
      <w:r>
        <w:rPr>
          <w:spacing w:val="-2"/>
        </w:rPr>
        <w:t> </w:t>
      </w:r>
      <w:r>
        <w:rPr/>
        <w:t>crossings,</w:t>
      </w:r>
      <w:r>
        <w:rPr>
          <w:spacing w:val="-5"/>
        </w:rPr>
        <w:t> </w:t>
      </w:r>
      <w:r>
        <w:rPr/>
        <w:t>valley</w:t>
      </w:r>
      <w:r>
        <w:rPr>
          <w:spacing w:val="-2"/>
        </w:rPr>
        <w:t> </w:t>
      </w:r>
      <w:r>
        <w:rPr/>
        <w:t>bottoms,</w:t>
      </w:r>
      <w:r>
        <w:rPr>
          <w:spacing w:val="-5"/>
        </w:rPr>
        <w:t> </w:t>
      </w:r>
      <w:r>
        <w:rPr/>
        <w:t>valley</w:t>
      </w:r>
      <w:r>
        <w:rPr>
          <w:spacing w:val="-2"/>
        </w:rPr>
        <w:t> </w:t>
      </w:r>
      <w:r>
        <w:rPr/>
        <w:t>approaches</w:t>
      </w:r>
      <w:r>
        <w:rPr>
          <w:spacing w:val="-5"/>
        </w:rPr>
        <w:t> </w:t>
      </w:r>
      <w:r>
        <w:rPr/>
        <w:t>and</w:t>
      </w:r>
      <w:r>
        <w:rPr>
          <w:spacing w:val="-4"/>
        </w:rPr>
        <w:t> </w:t>
      </w:r>
      <w:r>
        <w:rPr/>
        <w:t>other</w:t>
      </w:r>
      <w:r>
        <w:rPr>
          <w:spacing w:val="-8"/>
        </w:rPr>
        <w:t> </w:t>
      </w:r>
      <w:r>
        <w:rPr/>
        <w:t>over- land</w:t>
      </w:r>
      <w:r>
        <w:rPr>
          <w:spacing w:val="-9"/>
        </w:rPr>
        <w:t> </w:t>
      </w:r>
      <w:r>
        <w:rPr/>
        <w:t>drainage</w:t>
      </w:r>
      <w:r>
        <w:rPr>
          <w:spacing w:val="-7"/>
        </w:rPr>
        <w:t> </w:t>
      </w:r>
      <w:r>
        <w:rPr/>
        <w:t>features.</w:t>
      </w:r>
      <w:r>
        <w:rPr>
          <w:spacing w:val="-8"/>
        </w:rPr>
        <w:t> </w:t>
      </w:r>
      <w:r>
        <w:rPr/>
        <w:t>New</w:t>
      </w:r>
      <w:r>
        <w:rPr>
          <w:spacing w:val="-7"/>
        </w:rPr>
        <w:t> </w:t>
      </w:r>
      <w:r>
        <w:rPr/>
        <w:t>roads,</w:t>
      </w:r>
      <w:r>
        <w:rPr>
          <w:spacing w:val="-10"/>
        </w:rPr>
        <w:t> </w:t>
      </w:r>
      <w:r>
        <w:rPr/>
        <w:t>trails,</w:t>
      </w:r>
      <w:r>
        <w:rPr>
          <w:spacing w:val="-8"/>
        </w:rPr>
        <w:t> </w:t>
      </w:r>
      <w:r>
        <w:rPr/>
        <w:t>and</w:t>
      </w:r>
      <w:r>
        <w:rPr>
          <w:spacing w:val="-9"/>
        </w:rPr>
        <w:t> </w:t>
      </w:r>
      <w:r>
        <w:rPr/>
        <w:t>developed</w:t>
      </w:r>
      <w:r>
        <w:rPr>
          <w:spacing w:val="-9"/>
        </w:rPr>
        <w:t> </w:t>
      </w:r>
      <w:r>
        <w:rPr/>
        <w:t>recreation</w:t>
      </w:r>
      <w:r>
        <w:rPr>
          <w:spacing w:val="-9"/>
        </w:rPr>
        <w:t> </w:t>
      </w:r>
      <w:r>
        <w:rPr/>
        <w:t>sites</w:t>
      </w:r>
      <w:r>
        <w:rPr>
          <w:spacing w:val="-10"/>
        </w:rPr>
        <w:t> </w:t>
      </w:r>
      <w:r>
        <w:rPr/>
        <w:t>will</w:t>
      </w:r>
      <w:r>
        <w:rPr>
          <w:spacing w:val="-8"/>
        </w:rPr>
        <w:t> </w:t>
      </w:r>
      <w:r>
        <w:rPr/>
        <w:t>integrate</w:t>
      </w:r>
      <w:r>
        <w:rPr>
          <w:spacing w:val="-7"/>
        </w:rPr>
        <w:t> </w:t>
      </w:r>
      <w:r>
        <w:rPr/>
        <w:t>features, such</w:t>
      </w:r>
      <w:r>
        <w:rPr>
          <w:spacing w:val="-4"/>
        </w:rPr>
        <w:t> </w:t>
      </w:r>
      <w:r>
        <w:rPr/>
        <w:t>as,</w:t>
      </w:r>
      <w:r>
        <w:rPr>
          <w:spacing w:val="-3"/>
        </w:rPr>
        <w:t> </w:t>
      </w:r>
      <w:r>
        <w:rPr/>
        <w:t>but</w:t>
      </w:r>
      <w:r>
        <w:rPr>
          <w:spacing w:val="-2"/>
        </w:rPr>
        <w:t> </w:t>
      </w:r>
      <w:r>
        <w:rPr/>
        <w:t>not</w:t>
      </w:r>
      <w:r>
        <w:rPr>
          <w:spacing w:val="-2"/>
        </w:rPr>
        <w:t> </w:t>
      </w:r>
      <w:r>
        <w:rPr/>
        <w:t>limited</w:t>
      </w:r>
      <w:r>
        <w:rPr>
          <w:spacing w:val="-4"/>
        </w:rPr>
        <w:t> </w:t>
      </w:r>
      <w:r>
        <w:rPr/>
        <w:t>to,</w:t>
      </w:r>
      <w:r>
        <w:rPr>
          <w:spacing w:val="-7"/>
        </w:rPr>
        <w:t> </w:t>
      </w:r>
      <w:r>
        <w:rPr/>
        <w:t>rocked</w:t>
      </w:r>
      <w:r>
        <w:rPr>
          <w:spacing w:val="-4"/>
        </w:rPr>
        <w:t> </w:t>
      </w:r>
      <w:r>
        <w:rPr/>
        <w:t>stream</w:t>
      </w:r>
      <w:r>
        <w:rPr>
          <w:spacing w:val="-4"/>
        </w:rPr>
        <w:t> </w:t>
      </w:r>
      <w:r>
        <w:rPr/>
        <w:t>crossings,</w:t>
      </w:r>
      <w:r>
        <w:rPr>
          <w:spacing w:val="-3"/>
        </w:rPr>
        <w:t> </w:t>
      </w:r>
      <w:r>
        <w:rPr/>
        <w:t>drain</w:t>
      </w:r>
      <w:r>
        <w:rPr>
          <w:spacing w:val="-4"/>
        </w:rPr>
        <w:t> </w:t>
      </w:r>
      <w:r>
        <w:rPr/>
        <w:t>dips,</w:t>
      </w:r>
      <w:r>
        <w:rPr>
          <w:spacing w:val="-3"/>
        </w:rPr>
        <w:t> </w:t>
      </w:r>
      <w:r>
        <w:rPr/>
        <w:t>sediment</w:t>
      </w:r>
      <w:r>
        <w:rPr>
          <w:spacing w:val="-5"/>
        </w:rPr>
        <w:t> </w:t>
      </w:r>
      <w:r>
        <w:rPr/>
        <w:t>filtration,</w:t>
      </w:r>
      <w:r>
        <w:rPr>
          <w:spacing w:val="-3"/>
        </w:rPr>
        <w:t> </w:t>
      </w:r>
      <w:r>
        <w:rPr/>
        <w:t>cross</w:t>
      </w:r>
      <w:r>
        <w:rPr>
          <w:spacing w:val="-3"/>
        </w:rPr>
        <w:t> </w:t>
      </w:r>
      <w:r>
        <w:rPr/>
        <w:t>drains and crossings that minimize unnatural stream constriction, bank erosion, channel incision, sedimentation, or disruption of surface and subsurface flow paths.</w:t>
      </w:r>
    </w:p>
    <w:p>
      <w:pPr>
        <w:spacing w:before="231"/>
        <w:ind w:left="1151" w:right="0" w:firstLine="0"/>
        <w:jc w:val="left"/>
        <w:rPr>
          <w:rFonts w:ascii="Arial"/>
          <w:i/>
          <w:sz w:val="22"/>
        </w:rPr>
      </w:pPr>
      <w:bookmarkStart w:name="FW-STD-WR-05. Road Construction and Hydr" w:id="243"/>
      <w:bookmarkEnd w:id="243"/>
      <w:r>
        <w:rPr/>
      </w:r>
      <w:r>
        <w:rPr>
          <w:rFonts w:ascii="Arial"/>
          <w:i/>
          <w:sz w:val="22"/>
        </w:rPr>
        <w:t>FW-STD-WR-05.</w:t>
      </w:r>
      <w:r>
        <w:rPr>
          <w:rFonts w:ascii="Arial"/>
          <w:i/>
          <w:spacing w:val="-10"/>
          <w:sz w:val="22"/>
        </w:rPr>
        <w:t> </w:t>
      </w:r>
      <w:r>
        <w:rPr>
          <w:rFonts w:ascii="Arial"/>
          <w:i/>
          <w:sz w:val="22"/>
        </w:rPr>
        <w:t>Road</w:t>
      </w:r>
      <w:r>
        <w:rPr>
          <w:rFonts w:ascii="Arial"/>
          <w:i/>
          <w:spacing w:val="-8"/>
          <w:sz w:val="22"/>
        </w:rPr>
        <w:t> </w:t>
      </w:r>
      <w:r>
        <w:rPr>
          <w:rFonts w:ascii="Arial"/>
          <w:i/>
          <w:sz w:val="22"/>
        </w:rPr>
        <w:t>Construction</w:t>
      </w:r>
      <w:r>
        <w:rPr>
          <w:rFonts w:ascii="Arial"/>
          <w:i/>
          <w:spacing w:val="-6"/>
          <w:sz w:val="22"/>
        </w:rPr>
        <w:t> </w:t>
      </w:r>
      <w:r>
        <w:rPr>
          <w:rFonts w:ascii="Arial"/>
          <w:i/>
          <w:sz w:val="22"/>
        </w:rPr>
        <w:t>and</w:t>
      </w:r>
      <w:r>
        <w:rPr>
          <w:rFonts w:ascii="Arial"/>
          <w:i/>
          <w:spacing w:val="-6"/>
          <w:sz w:val="22"/>
        </w:rPr>
        <w:t> </w:t>
      </w:r>
      <w:r>
        <w:rPr>
          <w:rFonts w:ascii="Arial"/>
          <w:i/>
          <w:sz w:val="22"/>
        </w:rPr>
        <w:t>Hydrologic</w:t>
      </w:r>
      <w:r>
        <w:rPr>
          <w:rFonts w:ascii="Arial"/>
          <w:i/>
          <w:spacing w:val="-5"/>
          <w:sz w:val="22"/>
        </w:rPr>
        <w:t> </w:t>
      </w:r>
      <w:r>
        <w:rPr>
          <w:rFonts w:ascii="Arial"/>
          <w:i/>
          <w:sz w:val="22"/>
        </w:rPr>
        <w:t>Risk</w:t>
      </w:r>
      <w:r>
        <w:rPr>
          <w:rFonts w:ascii="Arial"/>
          <w:i/>
          <w:spacing w:val="-5"/>
          <w:sz w:val="22"/>
        </w:rPr>
        <w:t> </w:t>
      </w:r>
      <w:r>
        <w:rPr>
          <w:rFonts w:ascii="Arial"/>
          <w:i/>
          <w:sz w:val="22"/>
        </w:rPr>
        <w:t>Reduction</w:t>
      </w:r>
      <w:r>
        <w:rPr>
          <w:rFonts w:ascii="Arial"/>
          <w:i/>
          <w:spacing w:val="-7"/>
          <w:sz w:val="22"/>
        </w:rPr>
        <w:t> </w:t>
      </w:r>
      <w:r>
        <w:rPr>
          <w:rFonts w:ascii="Arial"/>
          <w:i/>
          <w:sz w:val="22"/>
        </w:rPr>
        <w:t>in</w:t>
      </w:r>
      <w:r>
        <w:rPr>
          <w:rFonts w:ascii="Arial"/>
          <w:i/>
          <w:spacing w:val="-8"/>
          <w:sz w:val="22"/>
        </w:rPr>
        <w:t> </w:t>
      </w:r>
      <w:r>
        <w:rPr>
          <w:rFonts w:ascii="Arial"/>
          <w:i/>
          <w:sz w:val="22"/>
        </w:rPr>
        <w:t>Key</w:t>
      </w:r>
      <w:r>
        <w:rPr>
          <w:rFonts w:ascii="Arial"/>
          <w:i/>
          <w:spacing w:val="-7"/>
          <w:sz w:val="22"/>
        </w:rPr>
        <w:t> </w:t>
      </w:r>
      <w:r>
        <w:rPr>
          <w:rFonts w:ascii="Arial"/>
          <w:i/>
          <w:spacing w:val="-2"/>
          <w:sz w:val="22"/>
        </w:rPr>
        <w:t>Watersheds</w:t>
      </w:r>
    </w:p>
    <w:p>
      <w:pPr>
        <w:pStyle w:val="BodyText"/>
        <w:spacing w:line="232" w:lineRule="auto" w:before="67"/>
        <w:ind w:left="1151" w:right="811"/>
      </w:pPr>
      <w:r>
        <w:rPr/>
        <w:t>In Key Watersheds and in subwatersheds with ESA critical habitat for aquatic species that are functioning properly with respect to roads, there will be no net increase (at least one mile of road-related</w:t>
      </w:r>
      <w:r>
        <w:rPr>
          <w:spacing w:val="-4"/>
        </w:rPr>
        <w:t> </w:t>
      </w:r>
      <w:r>
        <w:rPr/>
        <w:t>risk</w:t>
      </w:r>
      <w:r>
        <w:rPr>
          <w:spacing w:val="-2"/>
        </w:rPr>
        <w:t> </w:t>
      </w:r>
      <w:r>
        <w:rPr/>
        <w:t>reduction</w:t>
      </w:r>
      <w:r>
        <w:rPr>
          <w:spacing w:val="-6"/>
        </w:rPr>
        <w:t> </w:t>
      </w:r>
      <w:r>
        <w:rPr/>
        <w:t>for</w:t>
      </w:r>
      <w:r>
        <w:rPr>
          <w:spacing w:val="-5"/>
        </w:rPr>
        <w:t> </w:t>
      </w:r>
      <w:r>
        <w:rPr/>
        <w:t>every</w:t>
      </w:r>
      <w:r>
        <w:rPr>
          <w:spacing w:val="-2"/>
        </w:rPr>
        <w:t> </w:t>
      </w:r>
      <w:r>
        <w:rPr/>
        <w:t>new</w:t>
      </w:r>
      <w:r>
        <w:rPr>
          <w:spacing w:val="-5"/>
        </w:rPr>
        <w:t> </w:t>
      </w:r>
      <w:r>
        <w:rPr/>
        <w:t>mile</w:t>
      </w:r>
      <w:r>
        <w:rPr>
          <w:spacing w:val="-5"/>
        </w:rPr>
        <w:t> </w:t>
      </w:r>
      <w:r>
        <w:rPr/>
        <w:t>of</w:t>
      </w:r>
      <w:r>
        <w:rPr>
          <w:spacing w:val="-5"/>
        </w:rPr>
        <w:t> </w:t>
      </w:r>
      <w:r>
        <w:rPr/>
        <w:t>road</w:t>
      </w:r>
      <w:r>
        <w:rPr>
          <w:spacing w:val="-6"/>
        </w:rPr>
        <w:t> </w:t>
      </w:r>
      <w:r>
        <w:rPr/>
        <w:t>construction)</w:t>
      </w:r>
      <w:r>
        <w:rPr>
          <w:spacing w:val="-3"/>
        </w:rPr>
        <w:t> </w:t>
      </w:r>
      <w:r>
        <w:rPr/>
        <w:t>in</w:t>
      </w:r>
      <w:r>
        <w:rPr>
          <w:spacing w:val="-4"/>
        </w:rPr>
        <w:t> </w:t>
      </w:r>
      <w:r>
        <w:rPr/>
        <w:t>system</w:t>
      </w:r>
      <w:r>
        <w:rPr>
          <w:spacing w:val="-4"/>
        </w:rPr>
        <w:t> </w:t>
      </w:r>
      <w:r>
        <w:rPr/>
        <w:t>roads</w:t>
      </w:r>
      <w:r>
        <w:rPr>
          <w:spacing w:val="-3"/>
        </w:rPr>
        <w:t> </w:t>
      </w:r>
      <w:r>
        <w:rPr/>
        <w:t>that</w:t>
      </w:r>
      <w:r>
        <w:rPr>
          <w:spacing w:val="-2"/>
        </w:rPr>
        <w:t> </w:t>
      </w:r>
      <w:r>
        <w:rPr/>
        <w:t>affect hydrologic function. In Key Watersheds and in subwatersheds with ESA critical habitat for aquatic species that are functioning-at-risk or have impaired function with respect to roads, there will be a net decrease (for every mile of road construction there would be greater than one</w:t>
      </w:r>
      <w:r>
        <w:rPr>
          <w:spacing w:val="-8"/>
        </w:rPr>
        <w:t> </w:t>
      </w:r>
      <w:r>
        <w:rPr/>
        <w:t>mile</w:t>
      </w:r>
      <w:r>
        <w:rPr>
          <w:spacing w:val="-8"/>
        </w:rPr>
        <w:t> </w:t>
      </w:r>
      <w:r>
        <w:rPr/>
        <w:t>of</w:t>
      </w:r>
      <w:r>
        <w:rPr>
          <w:spacing w:val="-9"/>
        </w:rPr>
        <w:t> </w:t>
      </w:r>
      <w:r>
        <w:rPr/>
        <w:t>road-related</w:t>
      </w:r>
      <w:r>
        <w:rPr>
          <w:spacing w:val="-7"/>
        </w:rPr>
        <w:t> </w:t>
      </w:r>
      <w:r>
        <w:rPr/>
        <w:t>risk</w:t>
      </w:r>
      <w:r>
        <w:rPr>
          <w:spacing w:val="-6"/>
        </w:rPr>
        <w:t> </w:t>
      </w:r>
      <w:r>
        <w:rPr/>
        <w:t>reduction)</w:t>
      </w:r>
      <w:r>
        <w:rPr>
          <w:spacing w:val="-6"/>
        </w:rPr>
        <w:t> </w:t>
      </w:r>
      <w:r>
        <w:rPr/>
        <w:t>in</w:t>
      </w:r>
      <w:r>
        <w:rPr>
          <w:spacing w:val="-7"/>
        </w:rPr>
        <w:t> </w:t>
      </w:r>
      <w:r>
        <w:rPr/>
        <w:t>system</w:t>
      </w:r>
      <w:r>
        <w:rPr>
          <w:spacing w:val="-7"/>
        </w:rPr>
        <w:t> </w:t>
      </w:r>
      <w:r>
        <w:rPr/>
        <w:t>roads</w:t>
      </w:r>
      <w:r>
        <w:rPr>
          <w:spacing w:val="-6"/>
        </w:rPr>
        <w:t> </w:t>
      </w:r>
      <w:r>
        <w:rPr/>
        <w:t>that</w:t>
      </w:r>
      <w:r>
        <w:rPr>
          <w:spacing w:val="-6"/>
        </w:rPr>
        <w:t> </w:t>
      </w:r>
      <w:r>
        <w:rPr/>
        <w:t>affect</w:t>
      </w:r>
      <w:r>
        <w:rPr>
          <w:spacing w:val="-6"/>
        </w:rPr>
        <w:t> </w:t>
      </w:r>
      <w:r>
        <w:rPr/>
        <w:t>hydrologic</w:t>
      </w:r>
      <w:r>
        <w:rPr>
          <w:spacing w:val="-6"/>
        </w:rPr>
        <w:t> </w:t>
      </w:r>
      <w:r>
        <w:rPr/>
        <w:t>function</w:t>
      </w:r>
      <w:r>
        <w:rPr>
          <w:spacing w:val="-7"/>
        </w:rPr>
        <w:t> </w:t>
      </w:r>
      <w:r>
        <w:rPr/>
        <w:t>to</w:t>
      </w:r>
      <w:r>
        <w:rPr>
          <w:spacing w:val="-7"/>
        </w:rPr>
        <w:t> </w:t>
      </w:r>
      <w:r>
        <w:rPr/>
        <w:t>move toward proper function. Treatment priority shall be given to roads that pose the greatest relative ecological risks to riparian and aquatic ecosystems. Road-related risk reduction will occur</w:t>
      </w:r>
      <w:r>
        <w:rPr>
          <w:spacing w:val="-4"/>
        </w:rPr>
        <w:t> </w:t>
      </w:r>
      <w:r>
        <w:rPr/>
        <w:t>prior</w:t>
      </w:r>
      <w:r>
        <w:rPr>
          <w:spacing w:val="-4"/>
        </w:rPr>
        <w:t> </w:t>
      </w:r>
      <w:r>
        <w:rPr/>
        <w:t>to</w:t>
      </w:r>
      <w:r>
        <w:rPr>
          <w:spacing w:val="-3"/>
        </w:rPr>
        <w:t> </w:t>
      </w:r>
      <w:r>
        <w:rPr/>
        <w:t>new</w:t>
      </w:r>
      <w:r>
        <w:rPr>
          <w:spacing w:val="-6"/>
        </w:rPr>
        <w:t> </w:t>
      </w:r>
      <w:r>
        <w:rPr/>
        <w:t>road</w:t>
      </w:r>
      <w:r>
        <w:rPr>
          <w:spacing w:val="-5"/>
        </w:rPr>
        <w:t> </w:t>
      </w:r>
      <w:r>
        <w:rPr/>
        <w:t>construction</w:t>
      </w:r>
      <w:r>
        <w:rPr>
          <w:spacing w:val="-5"/>
        </w:rPr>
        <w:t> </w:t>
      </w:r>
      <w:r>
        <w:rPr/>
        <w:t>unless</w:t>
      </w:r>
      <w:r>
        <w:rPr>
          <w:spacing w:val="-4"/>
        </w:rPr>
        <w:t> </w:t>
      </w:r>
      <w:r>
        <w:rPr/>
        <w:t>logistical</w:t>
      </w:r>
      <w:r>
        <w:rPr>
          <w:spacing w:val="-7"/>
        </w:rPr>
        <w:t> </w:t>
      </w:r>
      <w:r>
        <w:rPr/>
        <w:t>restrictions</w:t>
      </w:r>
      <w:r>
        <w:rPr>
          <w:spacing w:val="-6"/>
        </w:rPr>
        <w:t> </w:t>
      </w:r>
      <w:r>
        <w:rPr/>
        <w:t>require</w:t>
      </w:r>
      <w:r>
        <w:rPr>
          <w:spacing w:val="-6"/>
        </w:rPr>
        <w:t> </w:t>
      </w:r>
      <w:r>
        <w:rPr/>
        <w:t>post-construction</w:t>
      </w:r>
      <w:r>
        <w:rPr>
          <w:spacing w:val="-5"/>
        </w:rPr>
        <w:t> </w:t>
      </w:r>
      <w:r>
        <w:rPr/>
        <w:t>risk </w:t>
      </w:r>
      <w:r>
        <w:rPr>
          <w:spacing w:val="-2"/>
        </w:rPr>
        <w:t>reduction.</w:t>
      </w:r>
    </w:p>
    <w:p>
      <w:pPr>
        <w:spacing w:before="230"/>
        <w:ind w:left="1151" w:right="1073" w:firstLine="0"/>
        <w:jc w:val="left"/>
        <w:rPr>
          <w:rFonts w:ascii="Arial"/>
          <w:i/>
          <w:sz w:val="22"/>
        </w:rPr>
      </w:pPr>
      <w:bookmarkStart w:name="FW-STD-WR-06. Hydroelectric and Other Wa" w:id="244"/>
      <w:bookmarkEnd w:id="244"/>
      <w:r>
        <w:rPr/>
      </w:r>
      <w:r>
        <w:rPr>
          <w:rFonts w:ascii="Arial"/>
          <w:i/>
          <w:sz w:val="22"/>
        </w:rPr>
        <w:t>FW-STD-WR-06.</w:t>
      </w:r>
      <w:r>
        <w:rPr>
          <w:rFonts w:ascii="Arial"/>
          <w:i/>
          <w:spacing w:val="-5"/>
          <w:sz w:val="22"/>
        </w:rPr>
        <w:t> </w:t>
      </w:r>
      <w:r>
        <w:rPr>
          <w:rFonts w:ascii="Arial"/>
          <w:i/>
          <w:sz w:val="22"/>
        </w:rPr>
        <w:t>Hydroelectric</w:t>
      </w:r>
      <w:r>
        <w:rPr>
          <w:rFonts w:ascii="Arial"/>
          <w:i/>
          <w:spacing w:val="-3"/>
          <w:sz w:val="22"/>
        </w:rPr>
        <w:t> </w:t>
      </w:r>
      <w:r>
        <w:rPr>
          <w:rFonts w:ascii="Arial"/>
          <w:i/>
          <w:sz w:val="22"/>
        </w:rPr>
        <w:t>and</w:t>
      </w:r>
      <w:r>
        <w:rPr>
          <w:rFonts w:ascii="Arial"/>
          <w:i/>
          <w:spacing w:val="-6"/>
          <w:sz w:val="22"/>
        </w:rPr>
        <w:t> </w:t>
      </w:r>
      <w:r>
        <w:rPr>
          <w:rFonts w:ascii="Arial"/>
          <w:i/>
          <w:sz w:val="22"/>
        </w:rPr>
        <w:t>Other</w:t>
      </w:r>
      <w:r>
        <w:rPr>
          <w:rFonts w:ascii="Arial"/>
          <w:i/>
          <w:spacing w:val="-7"/>
          <w:sz w:val="22"/>
        </w:rPr>
        <w:t> </w:t>
      </w:r>
      <w:r>
        <w:rPr>
          <w:rFonts w:ascii="Arial"/>
          <w:i/>
          <w:sz w:val="22"/>
        </w:rPr>
        <w:t>Water</w:t>
      </w:r>
      <w:r>
        <w:rPr>
          <w:rFonts w:ascii="Arial"/>
          <w:i/>
          <w:spacing w:val="-7"/>
          <w:sz w:val="22"/>
        </w:rPr>
        <w:t> </w:t>
      </w:r>
      <w:r>
        <w:rPr>
          <w:rFonts w:ascii="Arial"/>
          <w:i/>
          <w:sz w:val="22"/>
        </w:rPr>
        <w:t>Development</w:t>
      </w:r>
      <w:r>
        <w:rPr>
          <w:rFonts w:ascii="Arial"/>
          <w:i/>
          <w:spacing w:val="-2"/>
          <w:sz w:val="22"/>
        </w:rPr>
        <w:t> </w:t>
      </w:r>
      <w:r>
        <w:rPr>
          <w:rFonts w:ascii="Arial"/>
          <w:i/>
          <w:sz w:val="22"/>
        </w:rPr>
        <w:t>Authorizations</w:t>
      </w:r>
      <w:r>
        <w:rPr>
          <w:rFonts w:ascii="Arial"/>
          <w:i/>
          <w:spacing w:val="-3"/>
          <w:sz w:val="22"/>
        </w:rPr>
        <w:t> </w:t>
      </w:r>
      <w:r>
        <w:rPr>
          <w:rFonts w:ascii="Arial"/>
          <w:i/>
          <w:sz w:val="22"/>
        </w:rPr>
        <w:t>in</w:t>
      </w:r>
      <w:r>
        <w:rPr>
          <w:rFonts w:ascii="Arial"/>
          <w:i/>
          <w:spacing w:val="-4"/>
          <w:sz w:val="22"/>
        </w:rPr>
        <w:t> </w:t>
      </w:r>
      <w:r>
        <w:rPr>
          <w:rFonts w:ascii="Arial"/>
          <w:i/>
          <w:sz w:val="22"/>
        </w:rPr>
        <w:t>Key</w:t>
      </w:r>
      <w:r>
        <w:rPr>
          <w:rFonts w:ascii="Arial"/>
          <w:i/>
          <w:sz w:val="22"/>
        </w:rPr>
        <w:t> </w:t>
      </w:r>
      <w:r>
        <w:rPr>
          <w:rFonts w:ascii="Arial"/>
          <w:i/>
          <w:spacing w:val="-2"/>
          <w:sz w:val="22"/>
        </w:rPr>
        <w:t>Watersheds</w:t>
      </w:r>
    </w:p>
    <w:p>
      <w:pPr>
        <w:pStyle w:val="BodyText"/>
        <w:spacing w:line="232" w:lineRule="auto" w:before="64"/>
        <w:ind w:left="1150" w:right="801"/>
      </w:pPr>
      <w:r>
        <w:rPr/>
        <w:t>Hydroelectric and other water development authorizations shall include requirements for instream flows and habitat conditions that maintain or restore native fish and other desired aquatic</w:t>
      </w:r>
      <w:r>
        <w:rPr>
          <w:spacing w:val="-8"/>
        </w:rPr>
        <w:t> </w:t>
      </w:r>
      <w:r>
        <w:rPr/>
        <w:t>species</w:t>
      </w:r>
      <w:r>
        <w:rPr>
          <w:spacing w:val="-8"/>
        </w:rPr>
        <w:t> </w:t>
      </w:r>
      <w:r>
        <w:rPr/>
        <w:t>populations,</w:t>
      </w:r>
      <w:r>
        <w:rPr>
          <w:spacing w:val="-8"/>
        </w:rPr>
        <w:t> </w:t>
      </w:r>
      <w:r>
        <w:rPr/>
        <w:t>riparian-dependent</w:t>
      </w:r>
      <w:r>
        <w:rPr>
          <w:spacing w:val="-7"/>
        </w:rPr>
        <w:t> </w:t>
      </w:r>
      <w:r>
        <w:rPr/>
        <w:t>resources,</w:t>
      </w:r>
      <w:r>
        <w:rPr>
          <w:spacing w:val="-8"/>
        </w:rPr>
        <w:t> </w:t>
      </w:r>
      <w:r>
        <w:rPr/>
        <w:t>favorable</w:t>
      </w:r>
      <w:r>
        <w:rPr>
          <w:spacing w:val="-10"/>
        </w:rPr>
        <w:t> </w:t>
      </w:r>
      <w:r>
        <w:rPr/>
        <w:t>channel</w:t>
      </w:r>
      <w:r>
        <w:rPr>
          <w:spacing w:val="-8"/>
        </w:rPr>
        <w:t> </w:t>
      </w:r>
      <w:r>
        <w:rPr/>
        <w:t>conditions,</w:t>
      </w:r>
      <w:r>
        <w:rPr>
          <w:spacing w:val="-8"/>
        </w:rPr>
        <w:t> </w:t>
      </w:r>
      <w:r>
        <w:rPr/>
        <w:t>and aquatic connectivity.</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FW-STD-WR-07. New Hydroelectric Faciliti" w:id="245"/>
      <w:bookmarkEnd w:id="245"/>
      <w:r>
        <w:rPr/>
      </w:r>
      <w:r>
        <w:rPr>
          <w:rFonts w:ascii="Arial"/>
          <w:i/>
          <w:sz w:val="22"/>
        </w:rPr>
        <w:t>FW-STD-WR-07.</w:t>
      </w:r>
      <w:r>
        <w:rPr>
          <w:rFonts w:ascii="Arial"/>
          <w:i/>
          <w:spacing w:val="-10"/>
          <w:sz w:val="22"/>
        </w:rPr>
        <w:t> </w:t>
      </w:r>
      <w:r>
        <w:rPr>
          <w:rFonts w:ascii="Arial"/>
          <w:i/>
          <w:sz w:val="22"/>
        </w:rPr>
        <w:t>New</w:t>
      </w:r>
      <w:r>
        <w:rPr>
          <w:rFonts w:ascii="Arial"/>
          <w:i/>
          <w:spacing w:val="-6"/>
          <w:sz w:val="22"/>
        </w:rPr>
        <w:t> </w:t>
      </w:r>
      <w:r>
        <w:rPr>
          <w:rFonts w:ascii="Arial"/>
          <w:i/>
          <w:sz w:val="22"/>
        </w:rPr>
        <w:t>Hydroelectric</w:t>
      </w:r>
      <w:r>
        <w:rPr>
          <w:rFonts w:ascii="Arial"/>
          <w:i/>
          <w:spacing w:val="-9"/>
          <w:sz w:val="22"/>
        </w:rPr>
        <w:t> </w:t>
      </w:r>
      <w:r>
        <w:rPr>
          <w:rFonts w:ascii="Arial"/>
          <w:i/>
          <w:sz w:val="22"/>
        </w:rPr>
        <w:t>Facilities</w:t>
      </w:r>
      <w:r>
        <w:rPr>
          <w:rFonts w:ascii="Arial"/>
          <w:i/>
          <w:spacing w:val="-6"/>
          <w:sz w:val="22"/>
        </w:rPr>
        <w:t> </w:t>
      </w:r>
      <w:r>
        <w:rPr>
          <w:rFonts w:ascii="Arial"/>
          <w:i/>
          <w:sz w:val="22"/>
        </w:rPr>
        <w:t>and</w:t>
      </w:r>
      <w:r>
        <w:rPr>
          <w:rFonts w:ascii="Arial"/>
          <w:i/>
          <w:spacing w:val="-9"/>
          <w:sz w:val="22"/>
        </w:rPr>
        <w:t> </w:t>
      </w:r>
      <w:r>
        <w:rPr>
          <w:rFonts w:ascii="Arial"/>
          <w:i/>
          <w:sz w:val="22"/>
        </w:rPr>
        <w:t>Water</w:t>
      </w:r>
      <w:r>
        <w:rPr>
          <w:rFonts w:ascii="Arial"/>
          <w:i/>
          <w:spacing w:val="-7"/>
          <w:sz w:val="22"/>
        </w:rPr>
        <w:t> </w:t>
      </w:r>
      <w:r>
        <w:rPr>
          <w:rFonts w:ascii="Arial"/>
          <w:i/>
          <w:spacing w:val="-2"/>
          <w:sz w:val="22"/>
        </w:rPr>
        <w:t>Developments</w:t>
      </w:r>
    </w:p>
    <w:p>
      <w:pPr>
        <w:pStyle w:val="BodyText"/>
        <w:spacing w:line="232" w:lineRule="auto" w:before="65"/>
        <w:ind w:left="360" w:right="1886"/>
        <w:jc w:val="both"/>
      </w:pPr>
      <w:r>
        <w:rPr/>
        <w:t>New</w:t>
      </w:r>
      <w:r>
        <w:rPr>
          <w:spacing w:val="-5"/>
        </w:rPr>
        <w:t> </w:t>
      </w:r>
      <w:r>
        <w:rPr/>
        <w:t>hydroelectric</w:t>
      </w:r>
      <w:r>
        <w:rPr>
          <w:spacing w:val="-6"/>
        </w:rPr>
        <w:t> </w:t>
      </w:r>
      <w:r>
        <w:rPr/>
        <w:t>facilities</w:t>
      </w:r>
      <w:r>
        <w:rPr>
          <w:spacing w:val="-8"/>
        </w:rPr>
        <w:t> </w:t>
      </w:r>
      <w:r>
        <w:rPr/>
        <w:t>and</w:t>
      </w:r>
      <w:r>
        <w:rPr>
          <w:spacing w:val="-7"/>
        </w:rPr>
        <w:t> </w:t>
      </w:r>
      <w:r>
        <w:rPr/>
        <w:t>water</w:t>
      </w:r>
      <w:r>
        <w:rPr>
          <w:spacing w:val="-9"/>
        </w:rPr>
        <w:t> </w:t>
      </w:r>
      <w:r>
        <w:rPr/>
        <w:t>developments</w:t>
      </w:r>
      <w:r>
        <w:rPr>
          <w:spacing w:val="-6"/>
        </w:rPr>
        <w:t> </w:t>
      </w:r>
      <w:r>
        <w:rPr/>
        <w:t>shall</w:t>
      </w:r>
      <w:r>
        <w:rPr>
          <w:spacing w:val="-6"/>
        </w:rPr>
        <w:t> </w:t>
      </w:r>
      <w:r>
        <w:rPr/>
        <w:t>not</w:t>
      </w:r>
      <w:r>
        <w:rPr>
          <w:spacing w:val="-5"/>
        </w:rPr>
        <w:t> </w:t>
      </w:r>
      <w:r>
        <w:rPr/>
        <w:t>be</w:t>
      </w:r>
      <w:r>
        <w:rPr>
          <w:spacing w:val="-8"/>
        </w:rPr>
        <w:t> </w:t>
      </w:r>
      <w:r>
        <w:rPr/>
        <w:t>located</w:t>
      </w:r>
      <w:r>
        <w:rPr>
          <w:spacing w:val="-7"/>
        </w:rPr>
        <w:t> </w:t>
      </w:r>
      <w:r>
        <w:rPr/>
        <w:t>in</w:t>
      </w:r>
      <w:r>
        <w:rPr>
          <w:spacing w:val="-7"/>
        </w:rPr>
        <w:t> </w:t>
      </w:r>
      <w:r>
        <w:rPr/>
        <w:t>a</w:t>
      </w:r>
      <w:r>
        <w:rPr>
          <w:spacing w:val="-8"/>
        </w:rPr>
        <w:t> </w:t>
      </w:r>
      <w:r>
        <w:rPr/>
        <w:t>key</w:t>
      </w:r>
      <w:r>
        <w:rPr>
          <w:spacing w:val="-7"/>
        </w:rPr>
        <w:t> </w:t>
      </w:r>
      <w:r>
        <w:rPr/>
        <w:t>watershed unless</w:t>
      </w:r>
      <w:r>
        <w:rPr>
          <w:spacing w:val="-3"/>
        </w:rPr>
        <w:t> </w:t>
      </w:r>
      <w:r>
        <w:rPr/>
        <w:t>it</w:t>
      </w:r>
      <w:r>
        <w:rPr>
          <w:spacing w:val="-2"/>
        </w:rPr>
        <w:t> </w:t>
      </w:r>
      <w:r>
        <w:rPr/>
        <w:t>can</w:t>
      </w:r>
      <w:r>
        <w:rPr>
          <w:spacing w:val="-4"/>
        </w:rPr>
        <w:t> </w:t>
      </w:r>
      <w:r>
        <w:rPr/>
        <w:t>be</w:t>
      </w:r>
      <w:r>
        <w:rPr>
          <w:spacing w:val="-2"/>
        </w:rPr>
        <w:t> </w:t>
      </w:r>
      <w:r>
        <w:rPr/>
        <w:t>demonstrated</w:t>
      </w:r>
      <w:r>
        <w:rPr>
          <w:spacing w:val="-4"/>
        </w:rPr>
        <w:t> </w:t>
      </w:r>
      <w:r>
        <w:rPr/>
        <w:t>they</w:t>
      </w:r>
      <w:r>
        <w:rPr>
          <w:spacing w:val="-5"/>
        </w:rPr>
        <w:t> </w:t>
      </w:r>
      <w:r>
        <w:rPr/>
        <w:t>have</w:t>
      </w:r>
      <w:r>
        <w:rPr>
          <w:spacing w:val="-5"/>
        </w:rPr>
        <w:t> </w:t>
      </w:r>
      <w:r>
        <w:rPr/>
        <w:t>minimal</w:t>
      </w:r>
      <w:r>
        <w:rPr>
          <w:spacing w:val="-3"/>
        </w:rPr>
        <w:t> </w:t>
      </w:r>
      <w:r>
        <w:rPr/>
        <w:t>risks</w:t>
      </w:r>
      <w:r>
        <w:rPr>
          <w:spacing w:val="-5"/>
        </w:rPr>
        <w:t> </w:t>
      </w:r>
      <w:r>
        <w:rPr/>
        <w:t>and/or</w:t>
      </w:r>
      <w:r>
        <w:rPr>
          <w:spacing w:val="-3"/>
        </w:rPr>
        <w:t> </w:t>
      </w:r>
      <w:r>
        <w:rPr/>
        <w:t>no</w:t>
      </w:r>
      <w:r>
        <w:rPr>
          <w:spacing w:val="-2"/>
        </w:rPr>
        <w:t> </w:t>
      </w:r>
      <w:r>
        <w:rPr/>
        <w:t>adverse</w:t>
      </w:r>
      <w:r>
        <w:rPr>
          <w:spacing w:val="-2"/>
        </w:rPr>
        <w:t> </w:t>
      </w:r>
      <w:r>
        <w:rPr/>
        <w:t>effects</w:t>
      </w:r>
      <w:r>
        <w:rPr>
          <w:spacing w:val="-3"/>
        </w:rPr>
        <w:t> </w:t>
      </w:r>
      <w:r>
        <w:rPr/>
        <w:t>to</w:t>
      </w:r>
      <w:r>
        <w:rPr>
          <w:spacing w:val="-2"/>
        </w:rPr>
        <w:t> </w:t>
      </w:r>
      <w:r>
        <w:rPr/>
        <w:t>fish</w:t>
      </w:r>
      <w:r>
        <w:rPr>
          <w:spacing w:val="-4"/>
        </w:rPr>
        <w:t> </w:t>
      </w:r>
      <w:r>
        <w:rPr/>
        <w:t>and water resources for which the key watershed was established.</w:t>
      </w:r>
    </w:p>
    <w:p>
      <w:pPr>
        <w:pStyle w:val="Heading4"/>
        <w:spacing w:before="236"/>
      </w:pPr>
      <w:bookmarkStart w:name="Guidelines" w:id="246"/>
      <w:bookmarkEnd w:id="246"/>
      <w:r>
        <w:rPr/>
      </w:r>
      <w:bookmarkStart w:name="_bookmark97" w:id="247"/>
      <w:bookmarkEnd w:id="247"/>
      <w:r>
        <w:rPr/>
      </w:r>
      <w:r>
        <w:rPr>
          <w:spacing w:val="-2"/>
        </w:rPr>
        <w:t>Guidelines</w:t>
      </w:r>
    </w:p>
    <w:p>
      <w:pPr>
        <w:spacing w:before="237"/>
        <w:ind w:left="360" w:right="0" w:firstLine="0"/>
        <w:jc w:val="left"/>
        <w:rPr>
          <w:rFonts w:ascii="Arial"/>
          <w:i/>
          <w:sz w:val="22"/>
        </w:rPr>
      </w:pPr>
      <w:bookmarkStart w:name="FW-GDL-WR-01. Properly Functioning Water" w:id="248"/>
      <w:bookmarkEnd w:id="248"/>
      <w:r>
        <w:rPr/>
      </w:r>
      <w:r>
        <w:rPr>
          <w:rFonts w:ascii="Arial"/>
          <w:i/>
          <w:sz w:val="22"/>
        </w:rPr>
        <w:t>FW-GDL-WR-01.</w:t>
      </w:r>
      <w:r>
        <w:rPr>
          <w:rFonts w:ascii="Arial"/>
          <w:i/>
          <w:spacing w:val="-12"/>
          <w:sz w:val="22"/>
        </w:rPr>
        <w:t> </w:t>
      </w:r>
      <w:r>
        <w:rPr>
          <w:rFonts w:ascii="Arial"/>
          <w:i/>
          <w:sz w:val="22"/>
        </w:rPr>
        <w:t>Properly</w:t>
      </w:r>
      <w:r>
        <w:rPr>
          <w:rFonts w:ascii="Arial"/>
          <w:i/>
          <w:spacing w:val="-9"/>
          <w:sz w:val="22"/>
        </w:rPr>
        <w:t> </w:t>
      </w:r>
      <w:r>
        <w:rPr>
          <w:rFonts w:ascii="Arial"/>
          <w:i/>
          <w:sz w:val="22"/>
        </w:rPr>
        <w:t>Functioning</w:t>
      </w:r>
      <w:r>
        <w:rPr>
          <w:rFonts w:ascii="Arial"/>
          <w:i/>
          <w:spacing w:val="-12"/>
          <w:sz w:val="22"/>
        </w:rPr>
        <w:t> </w:t>
      </w:r>
      <w:r>
        <w:rPr>
          <w:rFonts w:ascii="Arial"/>
          <w:i/>
          <w:spacing w:val="-2"/>
          <w:sz w:val="22"/>
        </w:rPr>
        <w:t>Watersheds</w:t>
      </w:r>
    </w:p>
    <w:p>
      <w:pPr>
        <w:pStyle w:val="BodyText"/>
        <w:spacing w:line="232" w:lineRule="auto" w:before="67"/>
        <w:ind w:left="359" w:right="1675"/>
      </w:pPr>
      <w:r>
        <w:rPr/>
        <w:t>When aquatic and riparian desired conditions are being achieved and watersheds are functioning</w:t>
      </w:r>
      <w:r>
        <w:rPr>
          <w:spacing w:val="-8"/>
        </w:rPr>
        <w:t> </w:t>
      </w:r>
      <w:r>
        <w:rPr/>
        <w:t>properly,</w:t>
      </w:r>
      <w:hyperlink w:history="true" w:anchor="_bookmark98">
        <w:r>
          <w:rPr>
            <w:vertAlign w:val="superscript"/>
          </w:rPr>
          <w:t>11</w:t>
        </w:r>
      </w:hyperlink>
      <w:r>
        <w:rPr>
          <w:spacing w:val="-8"/>
          <w:vertAlign w:val="baseline"/>
        </w:rPr>
        <w:t> </w:t>
      </w:r>
      <w:r>
        <w:rPr>
          <w:vertAlign w:val="baseline"/>
        </w:rPr>
        <w:t>projects</w:t>
      </w:r>
      <w:r>
        <w:rPr>
          <w:spacing w:val="-8"/>
          <w:vertAlign w:val="baseline"/>
        </w:rPr>
        <w:t> </w:t>
      </w:r>
      <w:r>
        <w:rPr>
          <w:vertAlign w:val="baseline"/>
        </w:rPr>
        <w:t>should</w:t>
      </w:r>
      <w:r>
        <w:rPr>
          <w:spacing w:val="-8"/>
          <w:vertAlign w:val="baseline"/>
        </w:rPr>
        <w:t> </w:t>
      </w:r>
      <w:r>
        <w:rPr>
          <w:vertAlign w:val="baseline"/>
        </w:rPr>
        <w:t>maintain</w:t>
      </w:r>
      <w:hyperlink w:history="true" w:anchor="_bookmark99">
        <w:r>
          <w:rPr>
            <w:vertAlign w:val="superscript"/>
          </w:rPr>
          <w:t>12</w:t>
        </w:r>
      </w:hyperlink>
      <w:r>
        <w:rPr>
          <w:spacing w:val="-8"/>
          <w:vertAlign w:val="baseline"/>
        </w:rPr>
        <w:t> </w:t>
      </w:r>
      <w:r>
        <w:rPr>
          <w:vertAlign w:val="baseline"/>
        </w:rPr>
        <w:t>those</w:t>
      </w:r>
      <w:r>
        <w:rPr>
          <w:spacing w:val="-7"/>
          <w:vertAlign w:val="baseline"/>
        </w:rPr>
        <w:t> </w:t>
      </w:r>
      <w:r>
        <w:rPr>
          <w:vertAlign w:val="baseline"/>
        </w:rPr>
        <w:t>conditions.</w:t>
      </w:r>
      <w:r>
        <w:rPr>
          <w:spacing w:val="-10"/>
          <w:vertAlign w:val="baseline"/>
        </w:rPr>
        <w:t> </w:t>
      </w:r>
      <w:r>
        <w:rPr>
          <w:vertAlign w:val="baseline"/>
        </w:rPr>
        <w:t>When</w:t>
      </w:r>
      <w:r>
        <w:rPr>
          <w:spacing w:val="-8"/>
          <w:vertAlign w:val="baseline"/>
        </w:rPr>
        <w:t> </w:t>
      </w:r>
      <w:r>
        <w:rPr>
          <w:vertAlign w:val="baseline"/>
        </w:rPr>
        <w:t>aquatic</w:t>
      </w:r>
      <w:r>
        <w:rPr>
          <w:spacing w:val="-9"/>
          <w:vertAlign w:val="baseline"/>
        </w:rPr>
        <w:t> </w:t>
      </w:r>
      <w:r>
        <w:rPr>
          <w:vertAlign w:val="baseline"/>
        </w:rPr>
        <w:t>and</w:t>
      </w:r>
      <w:r>
        <w:rPr>
          <w:spacing w:val="-8"/>
          <w:vertAlign w:val="baseline"/>
        </w:rPr>
        <w:t> </w:t>
      </w:r>
      <w:r>
        <w:rPr>
          <w:vertAlign w:val="baseline"/>
        </w:rPr>
        <w:t>riparian desired conditions are not yet achieved or watersheds have impaired function</w:t>
      </w:r>
      <w:r>
        <w:rPr>
          <w:vertAlign w:val="superscript"/>
        </w:rPr>
        <w:t>11</w:t>
      </w:r>
      <w:r>
        <w:rPr>
          <w:vertAlign w:val="baseline"/>
        </w:rPr>
        <w:t> or are functioning-at-risk</w:t>
      </w:r>
      <w:r>
        <w:rPr>
          <w:vertAlign w:val="superscript"/>
        </w:rPr>
        <w:t>11</w:t>
      </w:r>
      <w:r>
        <w:rPr>
          <w:vertAlign w:val="baseline"/>
        </w:rPr>
        <w:t> and to the degree that project activities would contribute to those conditions,</w:t>
      </w:r>
      <w:r>
        <w:rPr>
          <w:spacing w:val="-13"/>
          <w:vertAlign w:val="baseline"/>
        </w:rPr>
        <w:t> </w:t>
      </w:r>
      <w:r>
        <w:rPr>
          <w:vertAlign w:val="baseline"/>
        </w:rPr>
        <w:t>projects</w:t>
      </w:r>
      <w:r>
        <w:rPr>
          <w:spacing w:val="-12"/>
          <w:vertAlign w:val="baseline"/>
        </w:rPr>
        <w:t> </w:t>
      </w:r>
      <w:r>
        <w:rPr>
          <w:vertAlign w:val="baseline"/>
        </w:rPr>
        <w:t>should</w:t>
      </w:r>
      <w:r>
        <w:rPr>
          <w:spacing w:val="-13"/>
          <w:vertAlign w:val="baseline"/>
        </w:rPr>
        <w:t> </w:t>
      </w:r>
      <w:r>
        <w:rPr>
          <w:vertAlign w:val="baseline"/>
        </w:rPr>
        <w:t>restore</w:t>
      </w:r>
      <w:r>
        <w:rPr>
          <w:spacing w:val="-12"/>
          <w:vertAlign w:val="baseline"/>
        </w:rPr>
        <w:t> </w:t>
      </w:r>
      <w:r>
        <w:rPr>
          <w:vertAlign w:val="baseline"/>
        </w:rPr>
        <w:t>or</w:t>
      </w:r>
      <w:r>
        <w:rPr>
          <w:spacing w:val="-13"/>
          <w:vertAlign w:val="baseline"/>
        </w:rPr>
        <w:t> </w:t>
      </w:r>
      <w:r>
        <w:rPr>
          <w:vertAlign w:val="baseline"/>
        </w:rPr>
        <w:t>not</w:t>
      </w:r>
      <w:r>
        <w:rPr>
          <w:spacing w:val="-12"/>
          <w:vertAlign w:val="baseline"/>
        </w:rPr>
        <w:t> </w:t>
      </w:r>
      <w:r>
        <w:rPr>
          <w:vertAlign w:val="baseline"/>
        </w:rPr>
        <w:t>retard</w:t>
      </w:r>
      <w:r>
        <w:rPr>
          <w:spacing w:val="-13"/>
          <w:vertAlign w:val="baseline"/>
        </w:rPr>
        <w:t> </w:t>
      </w:r>
      <w:r>
        <w:rPr>
          <w:vertAlign w:val="baseline"/>
        </w:rPr>
        <w:t>attainment</w:t>
      </w:r>
      <w:r>
        <w:rPr>
          <w:spacing w:val="-20"/>
          <w:vertAlign w:val="baseline"/>
        </w:rPr>
        <w:t> </w:t>
      </w:r>
      <w:r>
        <w:rPr>
          <w:vertAlign w:val="baseline"/>
        </w:rPr>
        <w:t>of</w:t>
      </w:r>
      <w:r>
        <w:rPr>
          <w:spacing w:val="-12"/>
          <w:vertAlign w:val="baseline"/>
        </w:rPr>
        <w:t> </w:t>
      </w:r>
      <w:r>
        <w:rPr>
          <w:vertAlign w:val="baseline"/>
        </w:rPr>
        <w:t>desired</w:t>
      </w:r>
      <w:r>
        <w:rPr>
          <w:spacing w:val="-12"/>
          <w:vertAlign w:val="baseline"/>
        </w:rPr>
        <w:t> </w:t>
      </w:r>
      <w:r>
        <w:rPr>
          <w:vertAlign w:val="baseline"/>
        </w:rPr>
        <w:t>conditions.</w:t>
      </w:r>
      <w:r>
        <w:rPr>
          <w:vertAlign w:val="superscript"/>
        </w:rPr>
        <w:t>12</w:t>
      </w:r>
      <w:r>
        <w:rPr>
          <w:spacing w:val="-13"/>
          <w:vertAlign w:val="baseline"/>
        </w:rPr>
        <w:t> </w:t>
      </w:r>
      <w:r>
        <w:rPr>
          <w:vertAlign w:val="baseline"/>
        </w:rPr>
        <w:t>Short-term adverse effects from project activities may be acceptable when they support long-term recovery of aquatic and riparian desired conditions. Exceptions to this guideline include situations where Forest Service authorities are limited. In those cases, project effects toward attainment of desired conditions should be minimized and not retard attainment of desired conditions to the extent possible within Forest Service authorities.</w:t>
      </w:r>
    </w:p>
    <w:p>
      <w:pPr>
        <w:spacing w:before="218"/>
        <w:ind w:left="359" w:right="0" w:firstLine="0"/>
        <w:jc w:val="left"/>
        <w:rPr>
          <w:rFonts w:ascii="Arial" w:hAnsi="Arial"/>
          <w:i/>
          <w:sz w:val="22"/>
        </w:rPr>
      </w:pPr>
      <w:bookmarkStart w:name="FW-GDL-WR-02. Aquatic Invasive Species (" w:id="249"/>
      <w:bookmarkEnd w:id="249"/>
      <w:r>
        <w:rPr/>
      </w:r>
      <w:r>
        <w:rPr>
          <w:rFonts w:ascii="Arial" w:hAnsi="Arial"/>
          <w:i/>
          <w:sz w:val="22"/>
        </w:rPr>
        <w:t>FW-GDL-WR-02.</w:t>
      </w:r>
      <w:r>
        <w:rPr>
          <w:rFonts w:ascii="Arial" w:hAnsi="Arial"/>
          <w:i/>
          <w:spacing w:val="-14"/>
          <w:sz w:val="22"/>
        </w:rPr>
        <w:t> </w:t>
      </w:r>
      <w:r>
        <w:rPr>
          <w:rFonts w:ascii="Arial" w:hAnsi="Arial"/>
          <w:i/>
          <w:sz w:val="22"/>
        </w:rPr>
        <w:t>Aquatic</w:t>
      </w:r>
      <w:r>
        <w:rPr>
          <w:rFonts w:ascii="Arial" w:hAnsi="Arial"/>
          <w:i/>
          <w:spacing w:val="-7"/>
          <w:sz w:val="22"/>
        </w:rPr>
        <w:t> </w:t>
      </w:r>
      <w:r>
        <w:rPr>
          <w:rFonts w:ascii="Arial" w:hAnsi="Arial"/>
          <w:i/>
          <w:sz w:val="22"/>
        </w:rPr>
        <w:t>Invasive</w:t>
      </w:r>
      <w:r>
        <w:rPr>
          <w:rFonts w:ascii="Arial" w:hAnsi="Arial"/>
          <w:i/>
          <w:spacing w:val="-7"/>
          <w:sz w:val="22"/>
        </w:rPr>
        <w:t> </w:t>
      </w:r>
      <w:r>
        <w:rPr>
          <w:rFonts w:ascii="Arial" w:hAnsi="Arial"/>
          <w:i/>
          <w:sz w:val="22"/>
        </w:rPr>
        <w:t>Species</w:t>
      </w:r>
      <w:r>
        <w:rPr>
          <w:rFonts w:ascii="Arial" w:hAnsi="Arial"/>
          <w:i/>
          <w:spacing w:val="-17"/>
          <w:sz w:val="22"/>
        </w:rPr>
        <w:t> </w:t>
      </w:r>
      <w:r>
        <w:rPr>
          <w:rFonts w:ascii="Symbol" w:hAnsi="Symbol"/>
          <w:i/>
          <w:sz w:val="23"/>
        </w:rPr>
        <w:t></w:t>
      </w:r>
      <w:r>
        <w:rPr>
          <w:rFonts w:ascii="Times New Roman" w:hAnsi="Times New Roman"/>
          <w:spacing w:val="8"/>
          <w:sz w:val="23"/>
        </w:rPr>
        <w:t> </w:t>
      </w:r>
      <w:r>
        <w:rPr>
          <w:rFonts w:ascii="Arial" w:hAnsi="Arial"/>
          <w:i/>
          <w:sz w:val="22"/>
        </w:rPr>
        <w:t>Wildfire</w:t>
      </w:r>
      <w:r>
        <w:rPr>
          <w:rFonts w:ascii="Arial" w:hAnsi="Arial"/>
          <w:i/>
          <w:spacing w:val="-8"/>
          <w:sz w:val="22"/>
        </w:rPr>
        <w:t> </w:t>
      </w:r>
      <w:r>
        <w:rPr>
          <w:rFonts w:ascii="Arial" w:hAnsi="Arial"/>
          <w:i/>
          <w:sz w:val="22"/>
        </w:rPr>
        <w:t>Suppression</w:t>
      </w:r>
      <w:r>
        <w:rPr>
          <w:rFonts w:ascii="Arial" w:hAnsi="Arial"/>
          <w:i/>
          <w:spacing w:val="-8"/>
          <w:sz w:val="22"/>
        </w:rPr>
        <w:t> </w:t>
      </w:r>
      <w:r>
        <w:rPr>
          <w:rFonts w:ascii="Arial" w:hAnsi="Arial"/>
          <w:i/>
          <w:spacing w:val="-2"/>
          <w:sz w:val="22"/>
        </w:rPr>
        <w:t>Equipment</w:t>
      </w:r>
    </w:p>
    <w:p>
      <w:pPr>
        <w:pStyle w:val="BodyText"/>
        <w:spacing w:line="232" w:lineRule="auto" w:before="63"/>
        <w:ind w:left="360" w:right="1621"/>
      </w:pPr>
      <w:r>
        <w:rPr/>
        <w:t>During wildfire suppression, cross contamination between streams and lakes from pumps, suction,</w:t>
      </w:r>
      <w:r>
        <w:rPr>
          <w:spacing w:val="-3"/>
        </w:rPr>
        <w:t> </w:t>
      </w:r>
      <w:r>
        <w:rPr/>
        <w:t>and</w:t>
      </w:r>
      <w:r>
        <w:rPr>
          <w:spacing w:val="-4"/>
        </w:rPr>
        <w:t> </w:t>
      </w:r>
      <w:r>
        <w:rPr/>
        <w:t>dipping</w:t>
      </w:r>
      <w:r>
        <w:rPr>
          <w:spacing w:val="-4"/>
        </w:rPr>
        <w:t> </w:t>
      </w:r>
      <w:r>
        <w:rPr/>
        <w:t>devices</w:t>
      </w:r>
      <w:r>
        <w:rPr>
          <w:spacing w:val="-3"/>
        </w:rPr>
        <w:t> </w:t>
      </w:r>
      <w:r>
        <w:rPr/>
        <w:t>should</w:t>
      </w:r>
      <w:r>
        <w:rPr>
          <w:spacing w:val="-4"/>
        </w:rPr>
        <w:t> </w:t>
      </w:r>
      <w:r>
        <w:rPr/>
        <w:t>be</w:t>
      </w:r>
      <w:r>
        <w:rPr>
          <w:spacing w:val="-2"/>
        </w:rPr>
        <w:t> </w:t>
      </w:r>
      <w:r>
        <w:rPr/>
        <w:t>avoided.</w:t>
      </w:r>
      <w:r>
        <w:rPr>
          <w:spacing w:val="-6"/>
        </w:rPr>
        <w:t> </w:t>
      </w:r>
      <w:r>
        <w:rPr/>
        <w:t>Dumping</w:t>
      </w:r>
      <w:r>
        <w:rPr>
          <w:spacing w:val="-4"/>
        </w:rPr>
        <w:t> </w:t>
      </w:r>
      <w:r>
        <w:rPr/>
        <w:t>water</w:t>
      </w:r>
      <w:r>
        <w:rPr>
          <w:spacing w:val="-3"/>
        </w:rPr>
        <w:t> </w:t>
      </w:r>
      <w:r>
        <w:rPr/>
        <w:t>directly</w:t>
      </w:r>
      <w:r>
        <w:rPr>
          <w:spacing w:val="-2"/>
        </w:rPr>
        <w:t> </w:t>
      </w:r>
      <w:r>
        <w:rPr/>
        <w:t>from</w:t>
      </w:r>
      <w:r>
        <w:rPr>
          <w:spacing w:val="-4"/>
        </w:rPr>
        <w:t> </w:t>
      </w:r>
      <w:r>
        <w:rPr/>
        <w:t>one</w:t>
      </w:r>
      <w:r>
        <w:rPr>
          <w:spacing w:val="-5"/>
        </w:rPr>
        <w:t> </w:t>
      </w:r>
      <w:r>
        <w:rPr/>
        <w:t>stream</w:t>
      </w:r>
      <w:r>
        <w:rPr>
          <w:spacing w:val="-4"/>
        </w:rPr>
        <w:t> </w:t>
      </w:r>
      <w:r>
        <w:rPr/>
        <w:t>or lake into another should be avoided. Water storage and conveyance components of water tenders,</w:t>
      </w:r>
      <w:r>
        <w:rPr>
          <w:spacing w:val="-5"/>
        </w:rPr>
        <w:t> </w:t>
      </w:r>
      <w:r>
        <w:rPr/>
        <w:t>engines,</w:t>
      </w:r>
      <w:r>
        <w:rPr>
          <w:spacing w:val="-7"/>
        </w:rPr>
        <w:t> </w:t>
      </w:r>
      <w:r>
        <w:rPr/>
        <w:t>and</w:t>
      </w:r>
      <w:r>
        <w:rPr>
          <w:spacing w:val="-6"/>
        </w:rPr>
        <w:t> </w:t>
      </w:r>
      <w:r>
        <w:rPr/>
        <w:t>aircraft</w:t>
      </w:r>
      <w:r>
        <w:rPr>
          <w:spacing w:val="-4"/>
        </w:rPr>
        <w:t> </w:t>
      </w:r>
      <w:r>
        <w:rPr/>
        <w:t>should</w:t>
      </w:r>
      <w:r>
        <w:rPr>
          <w:spacing w:val="-6"/>
        </w:rPr>
        <w:t> </w:t>
      </w:r>
      <w:r>
        <w:rPr/>
        <w:t>be</w:t>
      </w:r>
      <w:r>
        <w:rPr>
          <w:spacing w:val="-4"/>
        </w:rPr>
        <w:t> </w:t>
      </w:r>
      <w:r>
        <w:rPr/>
        <w:t>disinfected</w:t>
      </w:r>
      <w:r>
        <w:rPr>
          <w:spacing w:val="-6"/>
        </w:rPr>
        <w:t> </w:t>
      </w:r>
      <w:r>
        <w:rPr/>
        <w:t>prior</w:t>
      </w:r>
      <w:r>
        <w:rPr>
          <w:spacing w:val="-5"/>
        </w:rPr>
        <w:t> </w:t>
      </w:r>
      <w:r>
        <w:rPr/>
        <w:t>to</w:t>
      </w:r>
      <w:r>
        <w:rPr>
          <w:spacing w:val="-4"/>
        </w:rPr>
        <w:t> </w:t>
      </w:r>
      <w:r>
        <w:rPr/>
        <w:t>use</w:t>
      </w:r>
      <w:r>
        <w:rPr>
          <w:spacing w:val="-7"/>
        </w:rPr>
        <w:t> </w:t>
      </w:r>
      <w:r>
        <w:rPr/>
        <w:t>on</w:t>
      </w:r>
      <w:r>
        <w:rPr>
          <w:spacing w:val="-8"/>
        </w:rPr>
        <w:t> </w:t>
      </w:r>
      <w:r>
        <w:rPr/>
        <w:t>a</w:t>
      </w:r>
      <w:r>
        <w:rPr>
          <w:spacing w:val="-5"/>
        </w:rPr>
        <w:t> </w:t>
      </w:r>
      <w:r>
        <w:rPr/>
        <w:t>new</w:t>
      </w:r>
      <w:r>
        <w:rPr>
          <w:spacing w:val="-7"/>
        </w:rPr>
        <w:t> </w:t>
      </w:r>
      <w:r>
        <w:rPr/>
        <w:t>on-forest</w:t>
      </w:r>
      <w:r>
        <w:rPr>
          <w:spacing w:val="-4"/>
        </w:rPr>
        <w:t> </w:t>
      </w:r>
      <w:r>
        <w:rPr/>
        <w:t>incident.</w:t>
      </w:r>
    </w:p>
    <w:p>
      <w:pPr>
        <w:spacing w:before="224"/>
        <w:ind w:left="360" w:right="0" w:firstLine="0"/>
        <w:jc w:val="left"/>
        <w:rPr>
          <w:rFonts w:ascii="Arial" w:hAnsi="Arial"/>
          <w:i/>
          <w:sz w:val="22"/>
        </w:rPr>
      </w:pPr>
      <w:bookmarkStart w:name="FW-GDL-WR-03. Aquatic Invasive Species (" w:id="250"/>
      <w:bookmarkEnd w:id="250"/>
      <w:r>
        <w:rPr/>
      </w:r>
      <w:r>
        <w:rPr>
          <w:rFonts w:ascii="Arial" w:hAnsi="Arial"/>
          <w:i/>
          <w:sz w:val="22"/>
        </w:rPr>
        <w:t>FW-GDL-WR-03.</w:t>
      </w:r>
      <w:r>
        <w:rPr>
          <w:rFonts w:ascii="Arial" w:hAnsi="Arial"/>
          <w:i/>
          <w:spacing w:val="-13"/>
          <w:sz w:val="22"/>
        </w:rPr>
        <w:t> </w:t>
      </w:r>
      <w:r>
        <w:rPr>
          <w:rFonts w:ascii="Arial" w:hAnsi="Arial"/>
          <w:i/>
          <w:sz w:val="22"/>
        </w:rPr>
        <w:t>Aquatic</w:t>
      </w:r>
      <w:r>
        <w:rPr>
          <w:rFonts w:ascii="Arial" w:hAnsi="Arial"/>
          <w:i/>
          <w:spacing w:val="-5"/>
          <w:sz w:val="22"/>
        </w:rPr>
        <w:t> </w:t>
      </w:r>
      <w:r>
        <w:rPr>
          <w:rFonts w:ascii="Arial" w:hAnsi="Arial"/>
          <w:i/>
          <w:sz w:val="22"/>
        </w:rPr>
        <w:t>Invasive</w:t>
      </w:r>
      <w:r>
        <w:rPr>
          <w:rFonts w:ascii="Arial" w:hAnsi="Arial"/>
          <w:i/>
          <w:spacing w:val="-6"/>
          <w:sz w:val="22"/>
        </w:rPr>
        <w:t> </w:t>
      </w:r>
      <w:r>
        <w:rPr>
          <w:rFonts w:ascii="Arial" w:hAnsi="Arial"/>
          <w:i/>
          <w:sz w:val="22"/>
        </w:rPr>
        <w:t>Species</w:t>
      </w:r>
      <w:r>
        <w:rPr>
          <w:rFonts w:ascii="Arial" w:hAnsi="Arial"/>
          <w:i/>
          <w:spacing w:val="-17"/>
          <w:sz w:val="22"/>
        </w:rPr>
        <w:t> </w:t>
      </w:r>
      <w:r>
        <w:rPr>
          <w:rFonts w:ascii="Symbol" w:hAnsi="Symbol"/>
          <w:i/>
          <w:sz w:val="23"/>
        </w:rPr>
        <w:t></w:t>
      </w:r>
      <w:r>
        <w:rPr>
          <w:rFonts w:ascii="Times New Roman" w:hAnsi="Times New Roman"/>
          <w:spacing w:val="11"/>
          <w:sz w:val="23"/>
        </w:rPr>
        <w:t> </w:t>
      </w:r>
      <w:r>
        <w:rPr>
          <w:rFonts w:ascii="Arial" w:hAnsi="Arial"/>
          <w:i/>
          <w:sz w:val="22"/>
        </w:rPr>
        <w:t>Early</w:t>
      </w:r>
      <w:r>
        <w:rPr>
          <w:rFonts w:ascii="Arial" w:hAnsi="Arial"/>
          <w:i/>
          <w:spacing w:val="-6"/>
          <w:sz w:val="22"/>
        </w:rPr>
        <w:t> </w:t>
      </w:r>
      <w:r>
        <w:rPr>
          <w:rFonts w:ascii="Arial" w:hAnsi="Arial"/>
          <w:i/>
          <w:sz w:val="22"/>
        </w:rPr>
        <w:t>Detection</w:t>
      </w:r>
      <w:r>
        <w:rPr>
          <w:rFonts w:ascii="Arial" w:hAnsi="Arial"/>
          <w:i/>
          <w:spacing w:val="-7"/>
          <w:sz w:val="22"/>
        </w:rPr>
        <w:t> </w:t>
      </w:r>
      <w:r>
        <w:rPr>
          <w:rFonts w:ascii="Arial" w:hAnsi="Arial"/>
          <w:i/>
          <w:sz w:val="22"/>
        </w:rPr>
        <w:t>and</w:t>
      </w:r>
      <w:r>
        <w:rPr>
          <w:rFonts w:ascii="Arial" w:hAnsi="Arial"/>
          <w:i/>
          <w:spacing w:val="-8"/>
          <w:sz w:val="22"/>
        </w:rPr>
        <w:t> </w:t>
      </w:r>
      <w:r>
        <w:rPr>
          <w:rFonts w:ascii="Arial" w:hAnsi="Arial"/>
          <w:i/>
          <w:sz w:val="22"/>
        </w:rPr>
        <w:t>Rapid</w:t>
      </w:r>
      <w:r>
        <w:rPr>
          <w:rFonts w:ascii="Arial" w:hAnsi="Arial"/>
          <w:i/>
          <w:spacing w:val="-7"/>
          <w:sz w:val="22"/>
        </w:rPr>
        <w:t> </w:t>
      </w:r>
      <w:r>
        <w:rPr>
          <w:rFonts w:ascii="Arial" w:hAnsi="Arial"/>
          <w:i/>
          <w:spacing w:val="-2"/>
          <w:sz w:val="22"/>
        </w:rPr>
        <w:t>Response</w:t>
      </w:r>
    </w:p>
    <w:p>
      <w:pPr>
        <w:pStyle w:val="BodyText"/>
        <w:spacing w:line="232" w:lineRule="auto" w:before="63"/>
        <w:ind w:left="360" w:right="1567"/>
      </w:pPr>
      <w:r>
        <w:rPr/>
        <w:t>Principles and processes of early detection and rapid response to find, identify and quantify new aquatic invasive species occurrences should be used. Early detection and rapid response should</w:t>
      </w:r>
      <w:r>
        <w:rPr>
          <w:spacing w:val="-5"/>
        </w:rPr>
        <w:t> </w:t>
      </w:r>
      <w:r>
        <w:rPr/>
        <w:t>be</w:t>
      </w:r>
      <w:r>
        <w:rPr>
          <w:spacing w:val="-3"/>
        </w:rPr>
        <w:t> </w:t>
      </w:r>
      <w:r>
        <w:rPr/>
        <w:t>coupled</w:t>
      </w:r>
      <w:r>
        <w:rPr>
          <w:spacing w:val="-5"/>
        </w:rPr>
        <w:t> </w:t>
      </w:r>
      <w:r>
        <w:rPr/>
        <w:t>with</w:t>
      </w:r>
      <w:r>
        <w:rPr>
          <w:spacing w:val="-5"/>
        </w:rPr>
        <w:t> </w:t>
      </w:r>
      <w:r>
        <w:rPr/>
        <w:t>other</w:t>
      </w:r>
      <w:r>
        <w:rPr>
          <w:spacing w:val="-4"/>
        </w:rPr>
        <w:t> </w:t>
      </w:r>
      <w:r>
        <w:rPr/>
        <w:t>integrated</w:t>
      </w:r>
      <w:r>
        <w:rPr>
          <w:spacing w:val="-7"/>
        </w:rPr>
        <w:t> </w:t>
      </w:r>
      <w:r>
        <w:rPr/>
        <w:t>activities</w:t>
      </w:r>
      <w:r>
        <w:rPr>
          <w:spacing w:val="-6"/>
        </w:rPr>
        <w:t> </w:t>
      </w:r>
      <w:r>
        <w:rPr/>
        <w:t>to</w:t>
      </w:r>
      <w:r>
        <w:rPr>
          <w:spacing w:val="-3"/>
        </w:rPr>
        <w:t> </w:t>
      </w:r>
      <w:r>
        <w:rPr/>
        <w:t>rapidly</w:t>
      </w:r>
      <w:r>
        <w:rPr>
          <w:spacing w:val="-3"/>
        </w:rPr>
        <w:t> </w:t>
      </w:r>
      <w:r>
        <w:rPr/>
        <w:t>assess</w:t>
      </w:r>
      <w:r>
        <w:rPr>
          <w:spacing w:val="-4"/>
        </w:rPr>
        <w:t> </w:t>
      </w:r>
      <w:r>
        <w:rPr/>
        <w:t>and</w:t>
      </w:r>
      <w:r>
        <w:rPr>
          <w:spacing w:val="-5"/>
        </w:rPr>
        <w:t> </w:t>
      </w:r>
      <w:r>
        <w:rPr/>
        <w:t>respond</w:t>
      </w:r>
      <w:r>
        <w:rPr>
          <w:spacing w:val="-7"/>
        </w:rPr>
        <w:t> </w:t>
      </w:r>
      <w:r>
        <w:rPr/>
        <w:t>with</w:t>
      </w:r>
      <w:r>
        <w:rPr>
          <w:spacing w:val="-5"/>
        </w:rPr>
        <w:t> </w:t>
      </w:r>
      <w:r>
        <w:rPr/>
        <w:t>quick</w:t>
      </w:r>
      <w:r>
        <w:rPr>
          <w:spacing w:val="-3"/>
        </w:rPr>
        <w:t> </w:t>
      </w:r>
      <w:r>
        <w:rPr/>
        <w:t>and immediate actions to eradicate, control, or contain aquatic invasive species.</w:t>
      </w:r>
    </w:p>
    <w:p>
      <w:pPr>
        <w:spacing w:before="234"/>
        <w:ind w:left="360" w:right="0" w:firstLine="0"/>
        <w:jc w:val="left"/>
        <w:rPr>
          <w:rFonts w:ascii="Arial"/>
          <w:i/>
          <w:sz w:val="22"/>
        </w:rPr>
      </w:pPr>
      <w:bookmarkStart w:name="FW-GDL-WR-04. Watershed Restoration" w:id="251"/>
      <w:bookmarkEnd w:id="251"/>
      <w:r>
        <w:rPr/>
      </w:r>
      <w:r>
        <w:rPr>
          <w:rFonts w:ascii="Arial"/>
          <w:i/>
          <w:sz w:val="22"/>
        </w:rPr>
        <w:t>FW-GDL-WR-04.</w:t>
      </w:r>
      <w:r>
        <w:rPr>
          <w:rFonts w:ascii="Arial"/>
          <w:i/>
          <w:spacing w:val="-12"/>
          <w:sz w:val="22"/>
        </w:rPr>
        <w:t> </w:t>
      </w:r>
      <w:r>
        <w:rPr>
          <w:rFonts w:ascii="Arial"/>
          <w:i/>
          <w:sz w:val="22"/>
        </w:rPr>
        <w:t>Watershed</w:t>
      </w:r>
      <w:r>
        <w:rPr>
          <w:rFonts w:ascii="Arial"/>
          <w:i/>
          <w:spacing w:val="-9"/>
          <w:sz w:val="22"/>
        </w:rPr>
        <w:t> </w:t>
      </w:r>
      <w:r>
        <w:rPr>
          <w:rFonts w:ascii="Arial"/>
          <w:i/>
          <w:spacing w:val="-2"/>
          <w:sz w:val="22"/>
        </w:rPr>
        <w:t>Restoration</w:t>
      </w:r>
    </w:p>
    <w:p>
      <w:pPr>
        <w:pStyle w:val="BodyText"/>
        <w:spacing w:line="232" w:lineRule="auto" w:before="65"/>
        <w:ind w:left="359" w:right="1621"/>
      </w:pPr>
      <w:r>
        <w:rPr/>
        <w:t>Use</w:t>
      </w:r>
      <w:r>
        <w:rPr>
          <w:spacing w:val="-5"/>
        </w:rPr>
        <w:t> </w:t>
      </w:r>
      <w:r>
        <w:rPr/>
        <w:t>the</w:t>
      </w:r>
      <w:r>
        <w:rPr>
          <w:spacing w:val="-5"/>
        </w:rPr>
        <w:t> </w:t>
      </w:r>
      <w:r>
        <w:rPr/>
        <w:t>restoration</w:t>
      </w:r>
      <w:r>
        <w:rPr>
          <w:spacing w:val="-8"/>
        </w:rPr>
        <w:t> </w:t>
      </w:r>
      <w:r>
        <w:rPr/>
        <w:t>methods</w:t>
      </w:r>
      <w:r>
        <w:rPr>
          <w:spacing w:val="-6"/>
        </w:rPr>
        <w:t> </w:t>
      </w:r>
      <w:r>
        <w:rPr/>
        <w:t>that</w:t>
      </w:r>
      <w:r>
        <w:rPr>
          <w:spacing w:val="-8"/>
        </w:rPr>
        <w:t> </w:t>
      </w:r>
      <w:r>
        <w:rPr/>
        <w:t>maximize</w:t>
      </w:r>
      <w:r>
        <w:rPr>
          <w:spacing w:val="-5"/>
        </w:rPr>
        <w:t> </w:t>
      </w:r>
      <w:r>
        <w:rPr/>
        <w:t>the</w:t>
      </w:r>
      <w:r>
        <w:rPr>
          <w:spacing w:val="-5"/>
        </w:rPr>
        <w:t> </w:t>
      </w:r>
      <w:r>
        <w:rPr/>
        <w:t>use</w:t>
      </w:r>
      <w:r>
        <w:rPr>
          <w:spacing w:val="-8"/>
        </w:rPr>
        <w:t> </w:t>
      </w:r>
      <w:r>
        <w:rPr/>
        <w:t>of</w:t>
      </w:r>
      <w:r>
        <w:rPr>
          <w:spacing w:val="-8"/>
        </w:rPr>
        <w:t> </w:t>
      </w:r>
      <w:r>
        <w:rPr/>
        <w:t>natural</w:t>
      </w:r>
      <w:r>
        <w:rPr>
          <w:spacing w:val="-6"/>
        </w:rPr>
        <w:t> </w:t>
      </w:r>
      <w:r>
        <w:rPr/>
        <w:t>ecological</w:t>
      </w:r>
      <w:r>
        <w:rPr>
          <w:spacing w:val="-6"/>
        </w:rPr>
        <w:t> </w:t>
      </w:r>
      <w:r>
        <w:rPr/>
        <w:t>processes</w:t>
      </w:r>
      <w:r>
        <w:rPr>
          <w:spacing w:val="-6"/>
        </w:rPr>
        <w:t> </w:t>
      </w:r>
      <w:r>
        <w:rPr/>
        <w:t>for</w:t>
      </w:r>
      <w:r>
        <w:rPr>
          <w:spacing w:val="-8"/>
        </w:rPr>
        <w:t> </w:t>
      </w:r>
      <w:r>
        <w:rPr/>
        <w:t>long- term sustainability and minimize the need for long-term maintenance.</w:t>
      </w:r>
    </w:p>
    <w:p>
      <w:pPr>
        <w:spacing w:before="234"/>
        <w:ind w:left="359" w:right="2017" w:firstLine="0"/>
        <w:jc w:val="left"/>
        <w:rPr>
          <w:rFonts w:ascii="Arial"/>
          <w:i/>
          <w:sz w:val="22"/>
        </w:rPr>
      </w:pPr>
      <w:bookmarkStart w:name="FW-GDL-WR-05. Hydrologic Function of Roa" w:id="252"/>
      <w:bookmarkEnd w:id="252"/>
      <w:r>
        <w:rPr/>
      </w:r>
      <w:r>
        <w:rPr>
          <w:rFonts w:ascii="Arial"/>
          <w:i/>
          <w:sz w:val="22"/>
        </w:rPr>
        <w:t>FW-GDL-WR-05.</w:t>
      </w:r>
      <w:r>
        <w:rPr>
          <w:rFonts w:ascii="Arial"/>
          <w:i/>
          <w:spacing w:val="-6"/>
          <w:sz w:val="22"/>
        </w:rPr>
        <w:t> </w:t>
      </w:r>
      <w:r>
        <w:rPr>
          <w:rFonts w:ascii="Arial"/>
          <w:i/>
          <w:sz w:val="22"/>
        </w:rPr>
        <w:t>Hydrologic</w:t>
      </w:r>
      <w:r>
        <w:rPr>
          <w:rFonts w:ascii="Arial"/>
          <w:i/>
          <w:spacing w:val="-4"/>
          <w:sz w:val="22"/>
        </w:rPr>
        <w:t> </w:t>
      </w:r>
      <w:r>
        <w:rPr>
          <w:rFonts w:ascii="Arial"/>
          <w:i/>
          <w:sz w:val="22"/>
        </w:rPr>
        <w:t>Function</w:t>
      </w:r>
      <w:r>
        <w:rPr>
          <w:rFonts w:ascii="Arial"/>
          <w:i/>
          <w:spacing w:val="-5"/>
          <w:sz w:val="22"/>
        </w:rPr>
        <w:t> </w:t>
      </w:r>
      <w:r>
        <w:rPr>
          <w:rFonts w:ascii="Arial"/>
          <w:i/>
          <w:sz w:val="22"/>
        </w:rPr>
        <w:t>of</w:t>
      </w:r>
      <w:r>
        <w:rPr>
          <w:rFonts w:ascii="Arial"/>
          <w:i/>
          <w:spacing w:val="-3"/>
          <w:sz w:val="22"/>
        </w:rPr>
        <w:t> </w:t>
      </w:r>
      <w:r>
        <w:rPr>
          <w:rFonts w:ascii="Arial"/>
          <w:i/>
          <w:sz w:val="22"/>
        </w:rPr>
        <w:t>Roads,</w:t>
      </w:r>
      <w:r>
        <w:rPr>
          <w:rFonts w:ascii="Arial"/>
          <w:i/>
          <w:spacing w:val="-6"/>
          <w:sz w:val="22"/>
        </w:rPr>
        <w:t> </w:t>
      </w:r>
      <w:r>
        <w:rPr>
          <w:rFonts w:ascii="Arial"/>
          <w:i/>
          <w:sz w:val="22"/>
        </w:rPr>
        <w:t>Trails,</w:t>
      </w:r>
      <w:r>
        <w:rPr>
          <w:rFonts w:ascii="Arial"/>
          <w:i/>
          <w:spacing w:val="-3"/>
          <w:sz w:val="22"/>
        </w:rPr>
        <w:t> </w:t>
      </w:r>
      <w:r>
        <w:rPr>
          <w:rFonts w:ascii="Arial"/>
          <w:i/>
          <w:sz w:val="22"/>
        </w:rPr>
        <w:t>and</w:t>
      </w:r>
      <w:r>
        <w:rPr>
          <w:rFonts w:ascii="Arial"/>
          <w:i/>
          <w:spacing w:val="-7"/>
          <w:sz w:val="22"/>
        </w:rPr>
        <w:t> </w:t>
      </w:r>
      <w:r>
        <w:rPr>
          <w:rFonts w:ascii="Arial"/>
          <w:i/>
          <w:sz w:val="22"/>
        </w:rPr>
        <w:t>Developed</w:t>
      </w:r>
      <w:r>
        <w:rPr>
          <w:rFonts w:ascii="Arial"/>
          <w:i/>
          <w:spacing w:val="-5"/>
          <w:sz w:val="22"/>
        </w:rPr>
        <w:t> </w:t>
      </w:r>
      <w:r>
        <w:rPr>
          <w:rFonts w:ascii="Arial"/>
          <w:i/>
          <w:sz w:val="22"/>
        </w:rPr>
        <w:t>Recreation</w:t>
      </w:r>
      <w:r>
        <w:rPr>
          <w:rFonts w:ascii="Arial"/>
          <w:i/>
          <w:sz w:val="22"/>
        </w:rPr>
        <w:t> </w:t>
      </w:r>
      <w:r>
        <w:rPr>
          <w:rFonts w:ascii="Arial"/>
          <w:i/>
          <w:spacing w:val="-2"/>
          <w:sz w:val="22"/>
        </w:rPr>
        <w:t>Sites</w:t>
      </w:r>
    </w:p>
    <w:p>
      <w:pPr>
        <w:pStyle w:val="BodyText"/>
        <w:spacing w:line="232" w:lineRule="auto" w:before="64"/>
        <w:ind w:left="359" w:right="1073"/>
      </w:pPr>
      <w:r>
        <w:rPr/>
        <w:t>Roads</w:t>
      </w:r>
      <w:r>
        <w:rPr>
          <w:spacing w:val="-6"/>
        </w:rPr>
        <w:t> </w:t>
      </w:r>
      <w:r>
        <w:rPr/>
        <w:t>and</w:t>
      </w:r>
      <w:r>
        <w:rPr>
          <w:spacing w:val="-7"/>
        </w:rPr>
        <w:t> </w:t>
      </w:r>
      <w:r>
        <w:rPr/>
        <w:t>trails</w:t>
      </w:r>
      <w:r>
        <w:rPr>
          <w:spacing w:val="-6"/>
        </w:rPr>
        <w:t> </w:t>
      </w:r>
      <w:r>
        <w:rPr/>
        <w:t>should</w:t>
      </w:r>
      <w:r>
        <w:rPr>
          <w:spacing w:val="-7"/>
        </w:rPr>
        <w:t> </w:t>
      </w:r>
      <w:r>
        <w:rPr/>
        <w:t>be</w:t>
      </w:r>
      <w:r>
        <w:rPr>
          <w:spacing w:val="-8"/>
        </w:rPr>
        <w:t> </w:t>
      </w:r>
      <w:r>
        <w:rPr/>
        <w:t>maintained</w:t>
      </w:r>
      <w:r>
        <w:rPr>
          <w:spacing w:val="-7"/>
        </w:rPr>
        <w:t> </w:t>
      </w:r>
      <w:r>
        <w:rPr/>
        <w:t>to</w:t>
      </w:r>
      <w:r>
        <w:rPr>
          <w:spacing w:val="-7"/>
        </w:rPr>
        <w:t> </w:t>
      </w:r>
      <w:r>
        <w:rPr/>
        <w:t>minimize</w:t>
      </w:r>
      <w:r>
        <w:rPr>
          <w:spacing w:val="-5"/>
        </w:rPr>
        <w:t> </w:t>
      </w:r>
      <w:r>
        <w:rPr/>
        <w:t>disruption</w:t>
      </w:r>
      <w:r>
        <w:rPr>
          <w:spacing w:val="-8"/>
        </w:rPr>
        <w:t> </w:t>
      </w:r>
      <w:r>
        <w:rPr/>
        <w:t>of</w:t>
      </w:r>
      <w:r>
        <w:rPr>
          <w:spacing w:val="-6"/>
        </w:rPr>
        <w:t> </w:t>
      </w:r>
      <w:r>
        <w:rPr/>
        <w:t>natural</w:t>
      </w:r>
      <w:r>
        <w:rPr>
          <w:spacing w:val="-6"/>
        </w:rPr>
        <w:t> </w:t>
      </w:r>
      <w:r>
        <w:rPr/>
        <w:t>hydrologic</w:t>
      </w:r>
      <w:r>
        <w:rPr>
          <w:spacing w:val="-6"/>
        </w:rPr>
        <w:t> </w:t>
      </w:r>
      <w:r>
        <w:rPr/>
        <w:t>processes</w:t>
      </w:r>
      <w:r>
        <w:rPr>
          <w:spacing w:val="-6"/>
        </w:rPr>
        <w:t> </w:t>
      </w:r>
      <w:r>
        <w:rPr/>
        <w:t>at perennial and intermittent stream crossings, valley bottoms, valley approaches and other</w:t>
      </w:r>
    </w:p>
    <w:p>
      <w:pPr>
        <w:pStyle w:val="BodyText"/>
        <w:spacing w:line="232" w:lineRule="auto"/>
        <w:ind w:left="359" w:right="1445"/>
      </w:pPr>
      <w:r>
        <w:rPr/>
        <w:t>over-land</w:t>
      </w:r>
      <w:r>
        <w:rPr>
          <w:spacing w:val="-8"/>
        </w:rPr>
        <w:t> </w:t>
      </w:r>
      <w:r>
        <w:rPr/>
        <w:t>drainage</w:t>
      </w:r>
      <w:r>
        <w:rPr>
          <w:spacing w:val="-7"/>
        </w:rPr>
        <w:t> </w:t>
      </w:r>
      <w:r>
        <w:rPr/>
        <w:t>features.</w:t>
      </w:r>
      <w:r>
        <w:rPr>
          <w:spacing w:val="-7"/>
        </w:rPr>
        <w:t> </w:t>
      </w:r>
      <w:r>
        <w:rPr/>
        <w:t>Roads</w:t>
      </w:r>
      <w:r>
        <w:rPr>
          <w:spacing w:val="-7"/>
        </w:rPr>
        <w:t> </w:t>
      </w:r>
      <w:r>
        <w:rPr/>
        <w:t>and</w:t>
      </w:r>
      <w:r>
        <w:rPr>
          <w:spacing w:val="-10"/>
        </w:rPr>
        <w:t> </w:t>
      </w:r>
      <w:r>
        <w:rPr/>
        <w:t>trails</w:t>
      </w:r>
      <w:r>
        <w:rPr>
          <w:spacing w:val="-7"/>
        </w:rPr>
        <w:t> </w:t>
      </w:r>
      <w:r>
        <w:rPr/>
        <w:t>should</w:t>
      </w:r>
      <w:r>
        <w:rPr>
          <w:spacing w:val="-8"/>
        </w:rPr>
        <w:t> </w:t>
      </w:r>
      <w:r>
        <w:rPr/>
        <w:t>integrate</w:t>
      </w:r>
      <w:r>
        <w:rPr>
          <w:spacing w:val="-7"/>
        </w:rPr>
        <w:t> </w:t>
      </w:r>
      <w:r>
        <w:rPr/>
        <w:t>features,</w:t>
      </w:r>
      <w:r>
        <w:rPr>
          <w:spacing w:val="-7"/>
        </w:rPr>
        <w:t> </w:t>
      </w:r>
      <w:r>
        <w:rPr/>
        <w:t>such</w:t>
      </w:r>
      <w:r>
        <w:rPr>
          <w:spacing w:val="-8"/>
        </w:rPr>
        <w:t> </w:t>
      </w:r>
      <w:r>
        <w:rPr/>
        <w:t>as,</w:t>
      </w:r>
      <w:r>
        <w:rPr>
          <w:spacing w:val="-7"/>
        </w:rPr>
        <w:t> </w:t>
      </w:r>
      <w:r>
        <w:rPr/>
        <w:t>but</w:t>
      </w:r>
      <w:r>
        <w:rPr>
          <w:spacing w:val="-7"/>
        </w:rPr>
        <w:t> </w:t>
      </w:r>
      <w:r>
        <w:rPr/>
        <w:t>not</w:t>
      </w:r>
      <w:r>
        <w:rPr>
          <w:spacing w:val="-9"/>
        </w:rPr>
        <w:t> </w:t>
      </w:r>
      <w:r>
        <w:rPr/>
        <w:t>limited to, rocked stream crossings, drain dips, sediment filtration, cross drains and crossings that minimize unnatural stream constriction, bank erosion, channel incision, sedimentation, or disruption of surface and subsurface flow paths.</w:t>
      </w:r>
    </w:p>
    <w:p>
      <w:pPr>
        <w:pStyle w:val="BodyText"/>
        <w:rPr>
          <w:sz w:val="20"/>
        </w:rPr>
      </w:pPr>
    </w:p>
    <w:p>
      <w:pPr>
        <w:pStyle w:val="BodyText"/>
        <w:spacing w:before="33"/>
        <w:rPr>
          <w:sz w:val="20"/>
        </w:rPr>
      </w:pPr>
      <w:r>
        <w:rPr>
          <w:sz w:val="20"/>
        </w:rPr>
        <mc:AlternateContent>
          <mc:Choice Requires="wps">
            <w:drawing>
              <wp:anchor distT="0" distB="0" distL="0" distR="0" allowOverlap="1" layoutInCell="1" locked="0" behindDoc="1" simplePos="0" relativeHeight="487606784">
                <wp:simplePos x="0" y="0"/>
                <wp:positionH relativeFrom="page">
                  <wp:posOffset>914400</wp:posOffset>
                </wp:positionH>
                <wp:positionV relativeFrom="paragraph">
                  <wp:posOffset>191292</wp:posOffset>
                </wp:positionV>
                <wp:extent cx="1828800" cy="7620"/>
                <wp:effectExtent l="0" t="0" r="0" b="0"/>
                <wp:wrapTopAndBottom/>
                <wp:docPr id="165" name="Graphic 165"/>
                <wp:cNvGraphicFramePr>
                  <a:graphicFrameLocks/>
                </wp:cNvGraphicFramePr>
                <a:graphic>
                  <a:graphicData uri="http://schemas.microsoft.com/office/word/2010/wordprocessingShape">
                    <wps:wsp>
                      <wps:cNvPr id="165" name="Graphic 165"/>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5.062364pt;width:144pt;height:.6pt;mso-position-horizontal-relative:page;mso-position-vertical-relative:paragraph;z-index:-15709696;mso-wrap-distance-left:0;mso-wrap-distance-right:0" id="docshape154" filled="true" fillcolor="#000000" stroked="false">
                <v:fill type="solid"/>
                <w10:wrap type="topAndBottom"/>
              </v:rect>
            </w:pict>
          </mc:Fallback>
        </mc:AlternateContent>
      </w:r>
    </w:p>
    <w:p>
      <w:pPr>
        <w:spacing w:before="95"/>
        <w:ind w:left="359" w:right="1445" w:firstLine="0"/>
        <w:jc w:val="left"/>
        <w:rPr>
          <w:sz w:val="18"/>
        </w:rPr>
      </w:pPr>
      <w:bookmarkStart w:name="_bookmark98" w:id="253"/>
      <w:bookmarkEnd w:id="253"/>
      <w:r>
        <w:rPr/>
      </w:r>
      <w:r>
        <w:rPr>
          <w:position w:val="5"/>
          <w:sz w:val="12"/>
        </w:rPr>
        <w:t>11</w:t>
      </w:r>
      <w:r>
        <w:rPr>
          <w:spacing w:val="21"/>
          <w:position w:val="5"/>
          <w:sz w:val="12"/>
        </w:rPr>
        <w:t> </w:t>
      </w:r>
      <w:r>
        <w:rPr>
          <w:sz w:val="18"/>
        </w:rPr>
        <w:t>Per Watershed Condition Framework Technical Guide, USDA Forest Service (Potyondy &amp; Geier 2010) and/or subsequent</w:t>
      </w:r>
      <w:r>
        <w:rPr>
          <w:spacing w:val="-4"/>
          <w:sz w:val="18"/>
        </w:rPr>
        <w:t> </w:t>
      </w:r>
      <w:r>
        <w:rPr>
          <w:sz w:val="18"/>
        </w:rPr>
        <w:t>versions</w:t>
      </w:r>
      <w:r>
        <w:rPr>
          <w:spacing w:val="-4"/>
          <w:sz w:val="18"/>
        </w:rPr>
        <w:t> </w:t>
      </w:r>
      <w:r>
        <w:rPr>
          <w:sz w:val="18"/>
        </w:rPr>
        <w:t>and/or</w:t>
      </w:r>
      <w:r>
        <w:rPr>
          <w:spacing w:val="-4"/>
          <w:sz w:val="18"/>
        </w:rPr>
        <w:t> </w:t>
      </w:r>
      <w:r>
        <w:rPr>
          <w:sz w:val="18"/>
        </w:rPr>
        <w:t>comparable</w:t>
      </w:r>
      <w:r>
        <w:rPr>
          <w:spacing w:val="-4"/>
          <w:sz w:val="18"/>
        </w:rPr>
        <w:t> </w:t>
      </w:r>
      <w:r>
        <w:rPr>
          <w:sz w:val="18"/>
        </w:rPr>
        <w:t>methods.</w:t>
      </w:r>
      <w:r>
        <w:rPr>
          <w:spacing w:val="-3"/>
          <w:sz w:val="18"/>
        </w:rPr>
        <w:t> </w:t>
      </w:r>
      <w:r>
        <w:rPr>
          <w:sz w:val="18"/>
        </w:rPr>
        <w:t>Other</w:t>
      </w:r>
      <w:r>
        <w:rPr>
          <w:spacing w:val="-4"/>
          <w:sz w:val="18"/>
        </w:rPr>
        <w:t> </w:t>
      </w:r>
      <w:r>
        <w:rPr>
          <w:sz w:val="18"/>
        </w:rPr>
        <w:t>broad-scale</w:t>
      </w:r>
      <w:r>
        <w:rPr>
          <w:spacing w:val="-4"/>
          <w:sz w:val="18"/>
        </w:rPr>
        <w:t> </w:t>
      </w:r>
      <w:r>
        <w:rPr>
          <w:sz w:val="18"/>
        </w:rPr>
        <w:t>or</w:t>
      </w:r>
      <w:r>
        <w:rPr>
          <w:spacing w:val="-4"/>
          <w:sz w:val="18"/>
        </w:rPr>
        <w:t> </w:t>
      </w:r>
      <w:r>
        <w:rPr>
          <w:sz w:val="18"/>
        </w:rPr>
        <w:t>local</w:t>
      </w:r>
      <w:r>
        <w:rPr>
          <w:spacing w:val="-4"/>
          <w:sz w:val="18"/>
        </w:rPr>
        <w:t> </w:t>
      </w:r>
      <w:r>
        <w:rPr>
          <w:sz w:val="18"/>
        </w:rPr>
        <w:t>inventory,</w:t>
      </w:r>
      <w:r>
        <w:rPr>
          <w:spacing w:val="-3"/>
          <w:sz w:val="18"/>
        </w:rPr>
        <w:t> </w:t>
      </w:r>
      <w:r>
        <w:rPr>
          <w:sz w:val="18"/>
        </w:rPr>
        <w:t>assessment</w:t>
      </w:r>
      <w:r>
        <w:rPr>
          <w:spacing w:val="-4"/>
          <w:sz w:val="18"/>
        </w:rPr>
        <w:t> </w:t>
      </w:r>
      <w:r>
        <w:rPr>
          <w:sz w:val="18"/>
        </w:rPr>
        <w:t>and</w:t>
      </w:r>
      <w:r>
        <w:rPr>
          <w:spacing w:val="-4"/>
          <w:sz w:val="18"/>
        </w:rPr>
        <w:t> </w:t>
      </w:r>
      <w:r>
        <w:rPr>
          <w:sz w:val="18"/>
        </w:rPr>
        <w:t>monitoring data and analysis can be used to refine initial classifications made per WCF.</w:t>
      </w:r>
    </w:p>
    <w:p>
      <w:pPr>
        <w:spacing w:before="1"/>
        <w:ind w:left="360" w:right="0" w:firstLine="0"/>
        <w:jc w:val="left"/>
        <w:rPr>
          <w:sz w:val="18"/>
        </w:rPr>
      </w:pPr>
      <w:bookmarkStart w:name="_bookmark99" w:id="254"/>
      <w:bookmarkEnd w:id="254"/>
      <w:r>
        <w:rPr/>
      </w:r>
      <w:r>
        <w:rPr>
          <w:position w:val="5"/>
          <w:sz w:val="12"/>
        </w:rPr>
        <w:t>12</w:t>
      </w:r>
      <w:r>
        <w:rPr>
          <w:spacing w:val="8"/>
          <w:position w:val="5"/>
          <w:sz w:val="12"/>
        </w:rPr>
        <w:t> </w:t>
      </w:r>
      <w:r>
        <w:rPr>
          <w:sz w:val="18"/>
        </w:rPr>
        <w:t>See</w:t>
      </w:r>
      <w:r>
        <w:rPr>
          <w:spacing w:val="-3"/>
          <w:sz w:val="18"/>
        </w:rPr>
        <w:t> </w:t>
      </w:r>
      <w:r>
        <w:rPr>
          <w:sz w:val="18"/>
        </w:rPr>
        <w:t>glossary</w:t>
      </w:r>
      <w:r>
        <w:rPr>
          <w:spacing w:val="-1"/>
          <w:sz w:val="18"/>
        </w:rPr>
        <w:t> </w:t>
      </w:r>
      <w:r>
        <w:rPr>
          <w:sz w:val="18"/>
        </w:rPr>
        <w:t>for</w:t>
      </w:r>
      <w:r>
        <w:rPr>
          <w:spacing w:val="-3"/>
          <w:sz w:val="18"/>
        </w:rPr>
        <w:t> </w:t>
      </w:r>
      <w:r>
        <w:rPr>
          <w:sz w:val="18"/>
        </w:rPr>
        <w:t>definitions</w:t>
      </w:r>
      <w:r>
        <w:rPr>
          <w:spacing w:val="-3"/>
          <w:sz w:val="18"/>
        </w:rPr>
        <w:t> </w:t>
      </w:r>
      <w:r>
        <w:rPr>
          <w:sz w:val="18"/>
        </w:rPr>
        <w:t>of</w:t>
      </w:r>
      <w:r>
        <w:rPr>
          <w:spacing w:val="-1"/>
          <w:sz w:val="18"/>
        </w:rPr>
        <w:t> </w:t>
      </w:r>
      <w:r>
        <w:rPr>
          <w:sz w:val="18"/>
        </w:rPr>
        <w:t>the</w:t>
      </w:r>
      <w:r>
        <w:rPr>
          <w:spacing w:val="-3"/>
          <w:sz w:val="18"/>
        </w:rPr>
        <w:t> </w:t>
      </w:r>
      <w:r>
        <w:rPr>
          <w:sz w:val="18"/>
        </w:rPr>
        <w:t>terms</w:t>
      </w:r>
      <w:r>
        <w:rPr>
          <w:spacing w:val="-2"/>
          <w:sz w:val="18"/>
        </w:rPr>
        <w:t> </w:t>
      </w:r>
      <w:r>
        <w:rPr>
          <w:sz w:val="18"/>
        </w:rPr>
        <w:t>“maintain,”</w:t>
      </w:r>
      <w:r>
        <w:rPr>
          <w:spacing w:val="-3"/>
          <w:sz w:val="18"/>
        </w:rPr>
        <w:t> </w:t>
      </w:r>
      <w:r>
        <w:rPr>
          <w:sz w:val="18"/>
        </w:rPr>
        <w:t>“restore,”</w:t>
      </w:r>
      <w:r>
        <w:rPr>
          <w:spacing w:val="-3"/>
          <w:sz w:val="18"/>
        </w:rPr>
        <w:t> </w:t>
      </w:r>
      <w:r>
        <w:rPr>
          <w:sz w:val="18"/>
        </w:rPr>
        <w:t>“degrade,”</w:t>
      </w:r>
      <w:r>
        <w:rPr>
          <w:spacing w:val="-2"/>
          <w:sz w:val="18"/>
        </w:rPr>
        <w:t> </w:t>
      </w:r>
      <w:r>
        <w:rPr>
          <w:sz w:val="18"/>
        </w:rPr>
        <w:t>and</w:t>
      </w:r>
      <w:r>
        <w:rPr>
          <w:spacing w:val="-1"/>
          <w:sz w:val="18"/>
        </w:rPr>
        <w:t> </w:t>
      </w:r>
      <w:r>
        <w:rPr>
          <w:sz w:val="18"/>
        </w:rPr>
        <w:t>“retard</w:t>
      </w:r>
      <w:r>
        <w:rPr>
          <w:spacing w:val="-2"/>
          <w:sz w:val="18"/>
        </w:rPr>
        <w:t> attainment.”</w:t>
      </w:r>
    </w:p>
    <w:p>
      <w:pPr>
        <w:spacing w:after="0"/>
        <w:jc w:val="left"/>
        <w:rPr>
          <w:sz w:val="18"/>
        </w:rPr>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GDL-WR-06. Chemical Fire Suppression" w:id="255"/>
      <w:bookmarkEnd w:id="255"/>
      <w:r>
        <w:rPr/>
      </w:r>
      <w:r>
        <w:rPr>
          <w:rFonts w:ascii="Arial"/>
          <w:i/>
          <w:sz w:val="22"/>
        </w:rPr>
        <w:t>FW-GDL-WR-06.</w:t>
      </w:r>
      <w:r>
        <w:rPr>
          <w:rFonts w:ascii="Arial"/>
          <w:i/>
          <w:spacing w:val="-9"/>
          <w:sz w:val="22"/>
        </w:rPr>
        <w:t> </w:t>
      </w:r>
      <w:r>
        <w:rPr>
          <w:rFonts w:ascii="Arial"/>
          <w:i/>
          <w:sz w:val="22"/>
        </w:rPr>
        <w:t>Chemical</w:t>
      </w:r>
      <w:r>
        <w:rPr>
          <w:rFonts w:ascii="Arial"/>
          <w:i/>
          <w:spacing w:val="-8"/>
          <w:sz w:val="22"/>
        </w:rPr>
        <w:t> </w:t>
      </w:r>
      <w:r>
        <w:rPr>
          <w:rFonts w:ascii="Arial"/>
          <w:i/>
          <w:sz w:val="22"/>
        </w:rPr>
        <w:t>Fire</w:t>
      </w:r>
      <w:r>
        <w:rPr>
          <w:rFonts w:ascii="Arial"/>
          <w:i/>
          <w:spacing w:val="-6"/>
          <w:sz w:val="22"/>
        </w:rPr>
        <w:t> </w:t>
      </w:r>
      <w:r>
        <w:rPr>
          <w:rFonts w:ascii="Arial"/>
          <w:i/>
          <w:spacing w:val="-2"/>
          <w:sz w:val="22"/>
        </w:rPr>
        <w:t>Suppression</w:t>
      </w:r>
    </w:p>
    <w:p>
      <w:pPr>
        <w:pStyle w:val="BodyText"/>
        <w:spacing w:line="232" w:lineRule="auto" w:before="65"/>
        <w:ind w:left="1151" w:right="801"/>
      </w:pPr>
      <w:r>
        <w:rPr/>
        <w:t>Whenever practical, as determined by the fire incident commander, use water or other less toxic</w:t>
      </w:r>
      <w:r>
        <w:rPr>
          <w:spacing w:val="-9"/>
        </w:rPr>
        <w:t> </w:t>
      </w:r>
      <w:r>
        <w:rPr/>
        <w:t>wildland</w:t>
      </w:r>
      <w:r>
        <w:rPr>
          <w:spacing w:val="-8"/>
        </w:rPr>
        <w:t> </w:t>
      </w:r>
      <w:r>
        <w:rPr/>
        <w:t>fire</w:t>
      </w:r>
      <w:r>
        <w:rPr>
          <w:spacing w:val="-9"/>
        </w:rPr>
        <w:t> </w:t>
      </w:r>
      <w:r>
        <w:rPr/>
        <w:t>chemical</w:t>
      </w:r>
      <w:r>
        <w:rPr>
          <w:spacing w:val="-10"/>
        </w:rPr>
        <w:t> </w:t>
      </w:r>
      <w:r>
        <w:rPr/>
        <w:t>suppressants</w:t>
      </w:r>
      <w:r>
        <w:rPr>
          <w:spacing w:val="-7"/>
        </w:rPr>
        <w:t> </w:t>
      </w:r>
      <w:r>
        <w:rPr/>
        <w:t>for</w:t>
      </w:r>
      <w:r>
        <w:rPr>
          <w:spacing w:val="-7"/>
        </w:rPr>
        <w:t> </w:t>
      </w:r>
      <w:r>
        <w:rPr/>
        <w:t>direct</w:t>
      </w:r>
      <w:r>
        <w:rPr>
          <w:spacing w:val="-6"/>
        </w:rPr>
        <w:t> </w:t>
      </w:r>
      <w:r>
        <w:rPr/>
        <w:t>attack</w:t>
      </w:r>
      <w:r>
        <w:rPr>
          <w:spacing w:val="-9"/>
        </w:rPr>
        <w:t> </w:t>
      </w:r>
      <w:r>
        <w:rPr/>
        <w:t>or</w:t>
      </w:r>
      <w:r>
        <w:rPr>
          <w:spacing w:val="-7"/>
        </w:rPr>
        <w:t> </w:t>
      </w:r>
      <w:r>
        <w:rPr/>
        <w:t>less</w:t>
      </w:r>
      <w:r>
        <w:rPr>
          <w:spacing w:val="-7"/>
        </w:rPr>
        <w:t> </w:t>
      </w:r>
      <w:r>
        <w:rPr/>
        <w:t>toxic</w:t>
      </w:r>
      <w:r>
        <w:rPr>
          <w:spacing w:val="-7"/>
        </w:rPr>
        <w:t> </w:t>
      </w:r>
      <w:r>
        <w:rPr/>
        <w:t>approved</w:t>
      </w:r>
      <w:r>
        <w:rPr>
          <w:spacing w:val="-10"/>
        </w:rPr>
        <w:t> </w:t>
      </w:r>
      <w:r>
        <w:rPr/>
        <w:t>fire</w:t>
      </w:r>
      <w:r>
        <w:rPr>
          <w:spacing w:val="-6"/>
        </w:rPr>
        <w:t> </w:t>
      </w:r>
      <w:r>
        <w:rPr/>
        <w:t>retardants in areas occupied by riparian and aquatic-dependent threatened, endangered, proposed, candidate, or sensitive species, or their habitats.</w:t>
      </w:r>
    </w:p>
    <w:p>
      <w:pPr>
        <w:pStyle w:val="Heading3"/>
        <w:spacing w:before="235"/>
      </w:pPr>
      <w:bookmarkStart w:name="Wildlife Habitats (WL)" w:id="256"/>
      <w:bookmarkEnd w:id="256"/>
      <w:r>
        <w:rPr>
          <w:b w:val="0"/>
        </w:rPr>
      </w:r>
      <w:bookmarkStart w:name="_bookmark100" w:id="257"/>
      <w:bookmarkEnd w:id="257"/>
      <w:r>
        <w:rPr>
          <w:b w:val="0"/>
        </w:rPr>
      </w:r>
      <w:r>
        <w:rPr>
          <w:smallCaps/>
          <w:color w:val="475824"/>
        </w:rPr>
        <w:t>Wildlife</w:t>
      </w:r>
      <w:r>
        <w:rPr>
          <w:smallCaps/>
          <w:color w:val="475824"/>
          <w:spacing w:val="-11"/>
        </w:rPr>
        <w:t> </w:t>
      </w:r>
      <w:r>
        <w:rPr>
          <w:smallCaps/>
          <w:color w:val="475824"/>
        </w:rPr>
        <w:t>Habitats</w:t>
      </w:r>
      <w:r>
        <w:rPr>
          <w:smallCaps/>
          <w:color w:val="475824"/>
          <w:spacing w:val="-7"/>
        </w:rPr>
        <w:t> </w:t>
      </w:r>
      <w:r>
        <w:rPr>
          <w:smallCaps/>
          <w:color w:val="475824"/>
          <w:spacing w:val="-4"/>
        </w:rPr>
        <w:t>(WL)</w:t>
      </w:r>
    </w:p>
    <w:p>
      <w:pPr>
        <w:pStyle w:val="BodyText"/>
        <w:spacing w:before="117"/>
        <w:ind w:left="1512" w:right="801"/>
      </w:pPr>
      <w:r>
        <w:rPr/>
        <mc:AlternateContent>
          <mc:Choice Requires="wps">
            <w:drawing>
              <wp:anchor distT="0" distB="0" distL="0" distR="0" allowOverlap="1" layoutInCell="1" locked="0" behindDoc="1" simplePos="0" relativeHeight="474264064">
                <wp:simplePos x="0" y="0"/>
                <wp:positionH relativeFrom="page">
                  <wp:posOffset>1627632</wp:posOffset>
                </wp:positionH>
                <wp:positionV relativeFrom="paragraph">
                  <wp:posOffset>75184</wp:posOffset>
                </wp:positionV>
                <wp:extent cx="5248910" cy="6937375"/>
                <wp:effectExtent l="0" t="0" r="0" b="0"/>
                <wp:wrapNone/>
                <wp:docPr id="166" name="Graphic 166"/>
                <wp:cNvGraphicFramePr>
                  <a:graphicFrameLocks/>
                </wp:cNvGraphicFramePr>
                <a:graphic>
                  <a:graphicData uri="http://schemas.microsoft.com/office/word/2010/wordprocessingShape">
                    <wps:wsp>
                      <wps:cNvPr id="166" name="Graphic 166"/>
                      <wps:cNvSpPr/>
                      <wps:spPr>
                        <a:xfrm>
                          <a:off x="0" y="0"/>
                          <a:ext cx="5248910" cy="6937375"/>
                        </a:xfrm>
                        <a:custGeom>
                          <a:avLst/>
                          <a:gdLst/>
                          <a:ahLst/>
                          <a:cxnLst/>
                          <a:rect l="l" t="t" r="r" b="b"/>
                          <a:pathLst>
                            <a:path w="5248910" h="6937375">
                              <a:moveTo>
                                <a:pt x="5248643" y="6766573"/>
                              </a:moveTo>
                              <a:lnTo>
                                <a:pt x="0" y="6766573"/>
                              </a:lnTo>
                              <a:lnTo>
                                <a:pt x="0" y="6937248"/>
                              </a:lnTo>
                              <a:lnTo>
                                <a:pt x="5248643" y="6937248"/>
                              </a:lnTo>
                              <a:lnTo>
                                <a:pt x="5248643" y="6766573"/>
                              </a:lnTo>
                              <a:close/>
                            </a:path>
                            <a:path w="5248910" h="6937375">
                              <a:moveTo>
                                <a:pt x="5248643" y="3544836"/>
                              </a:moveTo>
                              <a:lnTo>
                                <a:pt x="0" y="3544836"/>
                              </a:lnTo>
                              <a:lnTo>
                                <a:pt x="0" y="3715512"/>
                              </a:lnTo>
                              <a:lnTo>
                                <a:pt x="0" y="3886200"/>
                              </a:lnTo>
                              <a:lnTo>
                                <a:pt x="0" y="6766560"/>
                              </a:lnTo>
                              <a:lnTo>
                                <a:pt x="5248643" y="6766560"/>
                              </a:lnTo>
                              <a:lnTo>
                                <a:pt x="5248643" y="3715512"/>
                              </a:lnTo>
                              <a:lnTo>
                                <a:pt x="5248643" y="3544836"/>
                              </a:lnTo>
                              <a:close/>
                            </a:path>
                            <a:path w="5248910" h="6937375">
                              <a:moveTo>
                                <a:pt x="5248643" y="0"/>
                              </a:moveTo>
                              <a:lnTo>
                                <a:pt x="0" y="0"/>
                              </a:lnTo>
                              <a:lnTo>
                                <a:pt x="0" y="170688"/>
                              </a:lnTo>
                              <a:lnTo>
                                <a:pt x="0" y="341376"/>
                              </a:lnTo>
                              <a:lnTo>
                                <a:pt x="0" y="3544824"/>
                              </a:lnTo>
                              <a:lnTo>
                                <a:pt x="5248643" y="3544824"/>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92002pt;width:413.3pt;height:546.25pt;mso-position-horizontal-relative:page;mso-position-vertical-relative:paragraph;z-index:-29052416" id="docshape155" coordorigin="2563,118" coordsize="8266,10925" path="m10829,10774l2563,10774,2563,11043,10829,11043,10829,10774xm10829,5701l2563,5701,2563,5970,2563,6238,2563,6507,2563,6776,2563,7045,2563,7314,2563,7580,2563,7969,2563,8238,2563,8506,2563,8775,2563,9044,2563,9313,2563,9582,2563,9850,2563,10119,2563,10506,2563,10774,10829,10774,10829,10506,10829,10119,10829,9850,10829,9582,10829,9313,10829,9044,10829,8775,10829,8506,10829,8238,10829,7969,10829,7580,10829,7314,10829,7045,10829,6776,10829,6507,10829,6238,10829,5970,10829,5701xm10829,118l2563,118,2563,387,2563,656,2563,925,2563,1194,2563,1582,2563,1849,2563,2118,2563,2386,2563,2655,2563,3044,2563,3313,2563,3582,2563,3850,2563,4119,2563,4508,2563,4894,2563,5163,2563,5432,2563,5701,10829,5701,10829,5432,10829,5163,10829,4894,10829,4508,10829,4119,10829,3850,10829,3582,10829,3313,10829,3044,10829,2655,10829,2386,10829,2118,10829,1849,10829,1582,10829,1194,10829,925,10829,656,10829,387,10829,118xe" filled="true" fillcolor="#dfdfdf" stroked="false">
                <v:path arrowok="t"/>
                <v:fill type="solid"/>
                <w10:wrap type="none"/>
              </v:shape>
            </w:pict>
          </mc:Fallback>
        </mc:AlternateContent>
      </w:r>
      <w:r>
        <w:rPr/>
        <w:t>The Forest Plan focuses on four groups of terrestrial wildlife species: threatened, endangered, and proposed (TEP), surrogate species (SS), management indicator / focal species</w:t>
      </w:r>
      <w:r>
        <w:rPr>
          <w:spacing w:val="-5"/>
        </w:rPr>
        <w:t> </w:t>
      </w:r>
      <w:r>
        <w:rPr/>
        <w:t>(MIS/FS),</w:t>
      </w:r>
      <w:r>
        <w:rPr>
          <w:spacing w:val="-3"/>
        </w:rPr>
        <w:t> </w:t>
      </w:r>
      <w:r>
        <w:rPr/>
        <w:t>and</w:t>
      </w:r>
      <w:r>
        <w:rPr>
          <w:spacing w:val="-4"/>
        </w:rPr>
        <w:t> </w:t>
      </w:r>
      <w:r>
        <w:rPr/>
        <w:t>species</w:t>
      </w:r>
      <w:r>
        <w:rPr>
          <w:spacing w:val="-3"/>
        </w:rPr>
        <w:t> </w:t>
      </w:r>
      <w:r>
        <w:rPr/>
        <w:t>of</w:t>
      </w:r>
      <w:r>
        <w:rPr>
          <w:spacing w:val="-8"/>
        </w:rPr>
        <w:t> </w:t>
      </w:r>
      <w:r>
        <w:rPr/>
        <w:t>management</w:t>
      </w:r>
      <w:r>
        <w:rPr>
          <w:spacing w:val="-2"/>
        </w:rPr>
        <w:t> </w:t>
      </w:r>
      <w:r>
        <w:rPr/>
        <w:t>interest.</w:t>
      </w:r>
      <w:r>
        <w:rPr>
          <w:spacing w:val="-3"/>
        </w:rPr>
        <w:t> </w:t>
      </w:r>
      <w:r>
        <w:rPr/>
        <w:t>These</w:t>
      </w:r>
      <w:r>
        <w:rPr>
          <w:spacing w:val="-2"/>
        </w:rPr>
        <w:t> </w:t>
      </w:r>
      <w:r>
        <w:rPr/>
        <w:t>groups</w:t>
      </w:r>
      <w:r>
        <w:rPr>
          <w:spacing w:val="-3"/>
        </w:rPr>
        <w:t> </w:t>
      </w:r>
      <w:r>
        <w:rPr/>
        <w:t>are</w:t>
      </w:r>
      <w:r>
        <w:rPr>
          <w:spacing w:val="-2"/>
        </w:rPr>
        <w:t> </w:t>
      </w:r>
      <w:r>
        <w:rPr/>
        <w:t>further</w:t>
      </w:r>
      <w:r>
        <w:rPr>
          <w:spacing w:val="-8"/>
        </w:rPr>
        <w:t> </w:t>
      </w:r>
      <w:r>
        <w:rPr/>
        <w:t>described in appendix C. In addition, some plan components address general wildlife habitat issues and enhance viability of all species.</w:t>
      </w:r>
    </w:p>
    <w:p>
      <w:pPr>
        <w:pStyle w:val="BodyText"/>
        <w:spacing w:before="119"/>
        <w:ind w:left="1512" w:right="730"/>
      </w:pPr>
      <w:r>
        <w:rPr/>
        <w:t>Threatened and endangered species are those formally listed under the Federal Endangered Species Act of 1973. Surrogate species represent other species that share similar habitat and risk factors and include Region 6 sensitive species, state-listed species, or</w:t>
      </w:r>
      <w:r>
        <w:rPr>
          <w:spacing w:val="-4"/>
        </w:rPr>
        <w:t> </w:t>
      </w:r>
      <w:r>
        <w:rPr/>
        <w:t>other</w:t>
      </w:r>
      <w:r>
        <w:rPr>
          <w:spacing w:val="-4"/>
        </w:rPr>
        <w:t> </w:t>
      </w:r>
      <w:r>
        <w:rPr/>
        <w:t>species</w:t>
      </w:r>
      <w:r>
        <w:rPr>
          <w:spacing w:val="-2"/>
        </w:rPr>
        <w:t> </w:t>
      </w:r>
      <w:r>
        <w:rPr/>
        <w:t>for</w:t>
      </w:r>
      <w:r>
        <w:rPr>
          <w:spacing w:val="-2"/>
        </w:rPr>
        <w:t> </w:t>
      </w:r>
      <w:r>
        <w:rPr/>
        <w:t>which</w:t>
      </w:r>
      <w:r>
        <w:rPr>
          <w:spacing w:val="-5"/>
        </w:rPr>
        <w:t> </w:t>
      </w:r>
      <w:r>
        <w:rPr/>
        <w:t>the</w:t>
      </w:r>
      <w:r>
        <w:rPr>
          <w:spacing w:val="-1"/>
        </w:rPr>
        <w:t> </w:t>
      </w:r>
      <w:r>
        <w:rPr/>
        <w:t>published</w:t>
      </w:r>
      <w:r>
        <w:rPr>
          <w:spacing w:val="-3"/>
        </w:rPr>
        <w:t> </w:t>
      </w:r>
      <w:r>
        <w:rPr/>
        <w:t>literature</w:t>
      </w:r>
      <w:r>
        <w:rPr>
          <w:spacing w:val="-1"/>
        </w:rPr>
        <w:t> </w:t>
      </w:r>
      <w:r>
        <w:rPr/>
        <w:t>has</w:t>
      </w:r>
      <w:r>
        <w:rPr>
          <w:spacing w:val="-4"/>
        </w:rPr>
        <w:t> </w:t>
      </w:r>
      <w:r>
        <w:rPr/>
        <w:t>identified</w:t>
      </w:r>
      <w:r>
        <w:rPr>
          <w:spacing w:val="-3"/>
        </w:rPr>
        <w:t> </w:t>
      </w:r>
      <w:r>
        <w:rPr/>
        <w:t>concerns</w:t>
      </w:r>
      <w:r>
        <w:rPr>
          <w:spacing w:val="-2"/>
        </w:rPr>
        <w:t> </w:t>
      </w:r>
      <w:r>
        <w:rPr/>
        <w:t>for</w:t>
      </w:r>
      <w:r>
        <w:rPr>
          <w:spacing w:val="-4"/>
        </w:rPr>
        <w:t> </w:t>
      </w:r>
      <w:r>
        <w:rPr/>
        <w:t>their</w:t>
      </w:r>
      <w:r>
        <w:rPr>
          <w:spacing w:val="-2"/>
        </w:rPr>
        <w:t> </w:t>
      </w:r>
      <w:r>
        <w:rPr/>
        <w:t>viability. Focal species are a subset of the surrogate species that will be used for monitoring.</w:t>
      </w:r>
    </w:p>
    <w:p>
      <w:pPr>
        <w:pStyle w:val="BodyText"/>
        <w:spacing w:before="121"/>
        <w:ind w:left="1512" w:right="742"/>
      </w:pPr>
      <w:r>
        <w:rPr/>
        <w:t>Species of management interest include big-game species that are of high interest to the public.</w:t>
      </w:r>
      <w:r>
        <w:rPr>
          <w:spacing w:val="-1"/>
        </w:rPr>
        <w:t> </w:t>
      </w:r>
      <w:r>
        <w:rPr/>
        <w:t>Several</w:t>
      </w:r>
      <w:r>
        <w:rPr>
          <w:spacing w:val="-1"/>
        </w:rPr>
        <w:t> </w:t>
      </w:r>
      <w:r>
        <w:rPr/>
        <w:t>desired</w:t>
      </w:r>
      <w:r>
        <w:rPr>
          <w:spacing w:val="-4"/>
        </w:rPr>
        <w:t> </w:t>
      </w:r>
      <w:r>
        <w:rPr/>
        <w:t>condition</w:t>
      </w:r>
      <w:r>
        <w:rPr>
          <w:spacing w:val="-2"/>
        </w:rPr>
        <w:t> </w:t>
      </w:r>
      <w:r>
        <w:rPr/>
        <w:t>statements</w:t>
      </w:r>
      <w:r>
        <w:rPr>
          <w:spacing w:val="-3"/>
        </w:rPr>
        <w:t> </w:t>
      </w:r>
      <w:r>
        <w:rPr/>
        <w:t>within</w:t>
      </w:r>
      <w:r>
        <w:rPr>
          <w:spacing w:val="-4"/>
        </w:rPr>
        <w:t> </w:t>
      </w:r>
      <w:r>
        <w:rPr/>
        <w:t>this</w:t>
      </w:r>
      <w:r>
        <w:rPr>
          <w:spacing w:val="-1"/>
        </w:rPr>
        <w:t> </w:t>
      </w:r>
      <w:r>
        <w:rPr/>
        <w:t>Plan</w:t>
      </w:r>
      <w:r>
        <w:rPr>
          <w:spacing w:val="-2"/>
        </w:rPr>
        <w:t> </w:t>
      </w:r>
      <w:r>
        <w:rPr/>
        <w:t>refer</w:t>
      </w:r>
      <w:r>
        <w:rPr>
          <w:spacing w:val="-3"/>
        </w:rPr>
        <w:t> </w:t>
      </w:r>
      <w:r>
        <w:rPr/>
        <w:t>to</w:t>
      </w:r>
      <w:r>
        <w:rPr>
          <w:spacing w:val="-2"/>
        </w:rPr>
        <w:t> </w:t>
      </w:r>
      <w:r>
        <w:rPr/>
        <w:t>‘habitat</w:t>
      </w:r>
      <w:r>
        <w:rPr>
          <w:spacing w:val="-3"/>
        </w:rPr>
        <w:t> </w:t>
      </w:r>
      <w:r>
        <w:rPr/>
        <w:t>effectiveness’ or ‘zone of influence.’ Methods to address habitat effectiveness and zone of influence can be</w:t>
      </w:r>
      <w:r>
        <w:rPr>
          <w:spacing w:val="-1"/>
        </w:rPr>
        <w:t> </w:t>
      </w:r>
      <w:r>
        <w:rPr/>
        <w:t>found</w:t>
      </w:r>
      <w:r>
        <w:rPr>
          <w:spacing w:val="-3"/>
        </w:rPr>
        <w:t> </w:t>
      </w:r>
      <w:r>
        <w:rPr/>
        <w:t>in</w:t>
      </w:r>
      <w:r>
        <w:rPr>
          <w:spacing w:val="-3"/>
        </w:rPr>
        <w:t> </w:t>
      </w:r>
      <w:r>
        <w:rPr/>
        <w:t>Gaines</w:t>
      </w:r>
      <w:r>
        <w:rPr>
          <w:spacing w:val="-2"/>
        </w:rPr>
        <w:t> </w:t>
      </w:r>
      <w:r>
        <w:rPr/>
        <w:t>et</w:t>
      </w:r>
      <w:r>
        <w:rPr>
          <w:spacing w:val="-1"/>
        </w:rPr>
        <w:t> </w:t>
      </w:r>
      <w:r>
        <w:rPr/>
        <w:t>al.</w:t>
      </w:r>
      <w:r>
        <w:rPr>
          <w:spacing w:val="-2"/>
        </w:rPr>
        <w:t> </w:t>
      </w:r>
      <w:r>
        <w:rPr/>
        <w:t>(2003);</w:t>
      </w:r>
      <w:r>
        <w:rPr>
          <w:spacing w:val="-3"/>
        </w:rPr>
        <w:t> </w:t>
      </w:r>
      <w:r>
        <w:rPr/>
        <w:t>however,</w:t>
      </w:r>
      <w:r>
        <w:rPr>
          <w:spacing w:val="-2"/>
        </w:rPr>
        <w:t> </w:t>
      </w:r>
      <w:r>
        <w:rPr/>
        <w:t>during</w:t>
      </w:r>
      <w:r>
        <w:rPr>
          <w:spacing w:val="-3"/>
        </w:rPr>
        <w:t> </w:t>
      </w:r>
      <w:r>
        <w:rPr/>
        <w:t>the</w:t>
      </w:r>
      <w:r>
        <w:rPr>
          <w:spacing w:val="-4"/>
        </w:rPr>
        <w:t> </w:t>
      </w:r>
      <w:r>
        <w:rPr/>
        <w:t>life</w:t>
      </w:r>
      <w:r>
        <w:rPr>
          <w:spacing w:val="-1"/>
        </w:rPr>
        <w:t> </w:t>
      </w:r>
      <w:r>
        <w:rPr/>
        <w:t>of</w:t>
      </w:r>
      <w:r>
        <w:rPr>
          <w:spacing w:val="-4"/>
        </w:rPr>
        <w:t> </w:t>
      </w:r>
      <w:r>
        <w:rPr/>
        <w:t>the</w:t>
      </w:r>
      <w:r>
        <w:rPr>
          <w:spacing w:val="-3"/>
        </w:rPr>
        <w:t> </w:t>
      </w:r>
      <w:r>
        <w:rPr/>
        <w:t>Plan</w:t>
      </w:r>
      <w:r>
        <w:rPr>
          <w:spacing w:val="-3"/>
        </w:rPr>
        <w:t> </w:t>
      </w:r>
      <w:r>
        <w:rPr/>
        <w:t>these</w:t>
      </w:r>
      <w:r>
        <w:rPr>
          <w:spacing w:val="-4"/>
        </w:rPr>
        <w:t> </w:t>
      </w:r>
      <w:r>
        <w:rPr/>
        <w:t>methods</w:t>
      </w:r>
      <w:r>
        <w:rPr>
          <w:spacing w:val="-2"/>
        </w:rPr>
        <w:t> </w:t>
      </w:r>
      <w:r>
        <w:rPr/>
        <w:t>may</w:t>
      </w:r>
      <w:r>
        <w:rPr>
          <w:spacing w:val="-1"/>
        </w:rPr>
        <w:t> </w:t>
      </w:r>
      <w:r>
        <w:rPr/>
        <w:t>be replaced by new scientific/research developments.</w:t>
      </w:r>
    </w:p>
    <w:p>
      <w:pPr>
        <w:pStyle w:val="BodyText"/>
        <w:spacing w:before="122"/>
        <w:ind w:left="1512"/>
      </w:pPr>
      <w:r>
        <w:rPr/>
        <w:t>THREATENED</w:t>
      </w:r>
      <w:r>
        <w:rPr>
          <w:spacing w:val="-6"/>
        </w:rPr>
        <w:t> </w:t>
      </w:r>
      <w:r>
        <w:rPr/>
        <w:t>AND</w:t>
      </w:r>
      <w:r>
        <w:rPr>
          <w:spacing w:val="-5"/>
        </w:rPr>
        <w:t> </w:t>
      </w:r>
      <w:r>
        <w:rPr/>
        <w:t>ENDANGERED</w:t>
      </w:r>
      <w:r>
        <w:rPr>
          <w:spacing w:val="-6"/>
        </w:rPr>
        <w:t> </w:t>
      </w:r>
      <w:r>
        <w:rPr>
          <w:spacing w:val="-2"/>
        </w:rPr>
        <w:t>SPECIES</w:t>
      </w:r>
    </w:p>
    <w:p>
      <w:pPr>
        <w:pStyle w:val="BodyText"/>
        <w:spacing w:before="118"/>
        <w:ind w:left="1512" w:right="801"/>
      </w:pPr>
      <w:r>
        <w:rPr/>
        <w:t>Plan direction is consistent with existing recovery plans for federally listed species and applies</w:t>
      </w:r>
      <w:r>
        <w:rPr>
          <w:spacing w:val="-2"/>
        </w:rPr>
        <w:t> </w:t>
      </w:r>
      <w:r>
        <w:rPr/>
        <w:t>in</w:t>
      </w:r>
      <w:r>
        <w:rPr>
          <w:spacing w:val="-3"/>
        </w:rPr>
        <w:t> </w:t>
      </w:r>
      <w:r>
        <w:rPr/>
        <w:t>those</w:t>
      </w:r>
      <w:r>
        <w:rPr>
          <w:spacing w:val="-1"/>
        </w:rPr>
        <w:t> </w:t>
      </w:r>
      <w:r>
        <w:rPr/>
        <w:t>areas</w:t>
      </w:r>
      <w:r>
        <w:rPr>
          <w:spacing w:val="-2"/>
        </w:rPr>
        <w:t> </w:t>
      </w:r>
      <w:r>
        <w:rPr/>
        <w:t>identified</w:t>
      </w:r>
      <w:r>
        <w:rPr>
          <w:spacing w:val="-3"/>
        </w:rPr>
        <w:t> </w:t>
      </w:r>
      <w:r>
        <w:rPr/>
        <w:t>by</w:t>
      </w:r>
      <w:r>
        <w:rPr>
          <w:spacing w:val="-1"/>
        </w:rPr>
        <w:t> </w:t>
      </w:r>
      <w:r>
        <w:rPr/>
        <w:t>the</w:t>
      </w:r>
      <w:r>
        <w:rPr>
          <w:spacing w:val="-1"/>
        </w:rPr>
        <w:t> </w:t>
      </w:r>
      <w:r>
        <w:rPr/>
        <w:t>USDI</w:t>
      </w:r>
      <w:r>
        <w:rPr>
          <w:spacing w:val="-2"/>
        </w:rPr>
        <w:t> </w:t>
      </w:r>
      <w:r>
        <w:rPr/>
        <w:t>Fish</w:t>
      </w:r>
      <w:r>
        <w:rPr>
          <w:spacing w:val="-3"/>
        </w:rPr>
        <w:t> </w:t>
      </w:r>
      <w:r>
        <w:rPr/>
        <w:t>and</w:t>
      </w:r>
      <w:r>
        <w:rPr>
          <w:spacing w:val="-5"/>
        </w:rPr>
        <w:t> </w:t>
      </w:r>
      <w:r>
        <w:rPr/>
        <w:t>Wildlife</w:t>
      </w:r>
      <w:r>
        <w:rPr>
          <w:spacing w:val="-1"/>
        </w:rPr>
        <w:t> </w:t>
      </w:r>
      <w:r>
        <w:rPr/>
        <w:t>Service</w:t>
      </w:r>
      <w:r>
        <w:rPr>
          <w:spacing w:val="-4"/>
        </w:rPr>
        <w:t> </w:t>
      </w:r>
      <w:r>
        <w:rPr/>
        <w:t>as</w:t>
      </w:r>
      <w:r>
        <w:rPr>
          <w:spacing w:val="-2"/>
        </w:rPr>
        <w:t> </w:t>
      </w:r>
      <w:r>
        <w:rPr/>
        <w:t>recovery</w:t>
      </w:r>
      <w:r>
        <w:rPr>
          <w:spacing w:val="-3"/>
        </w:rPr>
        <w:t> </w:t>
      </w:r>
      <w:r>
        <w:rPr/>
        <w:t>areas</w:t>
      </w:r>
      <w:r>
        <w:rPr>
          <w:spacing w:val="-2"/>
        </w:rPr>
        <w:t> </w:t>
      </w:r>
      <w:r>
        <w:rPr/>
        <w:t>for each listed species. Four federally listed wildlife species are found on or near the Forest.</w:t>
      </w:r>
    </w:p>
    <w:p>
      <w:pPr>
        <w:pStyle w:val="BodyText"/>
        <w:ind w:left="1512" w:right="720"/>
      </w:pPr>
      <w:r>
        <w:rPr/>
        <w:t>These include grizzly bear (threatened), woodland caribou (endangered), Canada lynx (threatened), and yellow-billed cuckoo (threatened). In addition, critical habitat for the woodland caribou has been officially designated on a portion of the Colville National</w:t>
      </w:r>
      <w:r>
        <w:rPr>
          <w:spacing w:val="80"/>
        </w:rPr>
        <w:t> </w:t>
      </w:r>
      <w:r>
        <w:rPr/>
        <w:t>Forest. While the Forest manages for threatened and endangered species within recovery zones and designated critical habitat, the listed species may also occur on the Forest but outside of the recovery zones. In those instances, the Forest will still consider effects to the listed</w:t>
      </w:r>
      <w:r>
        <w:rPr>
          <w:spacing w:val="-4"/>
        </w:rPr>
        <w:t> </w:t>
      </w:r>
      <w:r>
        <w:rPr/>
        <w:t>species</w:t>
      </w:r>
      <w:r>
        <w:rPr>
          <w:spacing w:val="-2"/>
        </w:rPr>
        <w:t> </w:t>
      </w:r>
      <w:r>
        <w:rPr/>
        <w:t>and</w:t>
      </w:r>
      <w:r>
        <w:rPr>
          <w:spacing w:val="-4"/>
        </w:rPr>
        <w:t> </w:t>
      </w:r>
      <w:r>
        <w:rPr/>
        <w:t>designated</w:t>
      </w:r>
      <w:r>
        <w:rPr>
          <w:spacing w:val="-4"/>
        </w:rPr>
        <w:t> </w:t>
      </w:r>
      <w:r>
        <w:rPr/>
        <w:t>critical</w:t>
      </w:r>
      <w:r>
        <w:rPr>
          <w:spacing w:val="-6"/>
        </w:rPr>
        <w:t> </w:t>
      </w:r>
      <w:r>
        <w:rPr/>
        <w:t>habitat</w:t>
      </w:r>
      <w:r>
        <w:rPr>
          <w:spacing w:val="-2"/>
        </w:rPr>
        <w:t> </w:t>
      </w:r>
      <w:r>
        <w:rPr/>
        <w:t>in</w:t>
      </w:r>
      <w:r>
        <w:rPr>
          <w:spacing w:val="-4"/>
        </w:rPr>
        <w:t> </w:t>
      </w:r>
      <w:r>
        <w:rPr/>
        <w:t>accordance</w:t>
      </w:r>
      <w:r>
        <w:rPr>
          <w:spacing w:val="-2"/>
        </w:rPr>
        <w:t> </w:t>
      </w:r>
      <w:r>
        <w:rPr/>
        <w:t>with</w:t>
      </w:r>
      <w:r>
        <w:rPr>
          <w:spacing w:val="-4"/>
        </w:rPr>
        <w:t> </w:t>
      </w:r>
      <w:r>
        <w:rPr/>
        <w:t>the</w:t>
      </w:r>
      <w:r>
        <w:rPr>
          <w:spacing w:val="-5"/>
        </w:rPr>
        <w:t> </w:t>
      </w:r>
      <w:r>
        <w:rPr/>
        <w:t>Endangered</w:t>
      </w:r>
      <w:r>
        <w:rPr>
          <w:spacing w:val="-6"/>
        </w:rPr>
        <w:t> </w:t>
      </w:r>
      <w:r>
        <w:rPr/>
        <w:t>Species</w:t>
      </w:r>
      <w:r>
        <w:rPr>
          <w:spacing w:val="-3"/>
        </w:rPr>
        <w:t> </w:t>
      </w:r>
      <w:r>
        <w:rPr/>
        <w:t>Act and in consultation with the USDI Fish and Wildlife Service.</w:t>
      </w:r>
    </w:p>
    <w:p>
      <w:pPr>
        <w:pStyle w:val="BodyText"/>
        <w:spacing w:before="120"/>
        <w:ind w:left="1512" w:right="792"/>
      </w:pPr>
      <w:r>
        <w:rPr>
          <w:b/>
        </w:rPr>
        <w:t>Canada lynx: </w:t>
      </w:r>
      <w:r>
        <w:rPr/>
        <w:t>The Canada Lynx Conservation Assessment and Strategy (2013 version) was used to develop management direction. The Colville National Forest includes the Kettle- Wedge core area that is important for the recovery of Canada lynx in Washington. The Forest does not have any designated critical habitat for Canada lynx. Habitat conditions (e.g., current habitat compared to desired conditions) are appropriately assessed at the lynx</w:t>
      </w:r>
      <w:r>
        <w:rPr>
          <w:spacing w:val="-3"/>
        </w:rPr>
        <w:t> </w:t>
      </w:r>
      <w:r>
        <w:rPr/>
        <w:t>analysis</w:t>
      </w:r>
      <w:r>
        <w:rPr>
          <w:spacing w:val="-3"/>
        </w:rPr>
        <w:t> </w:t>
      </w:r>
      <w:r>
        <w:rPr/>
        <w:t>unit</w:t>
      </w:r>
      <w:r>
        <w:rPr>
          <w:spacing w:val="-2"/>
        </w:rPr>
        <w:t> </w:t>
      </w:r>
      <w:r>
        <w:rPr/>
        <w:t>scale.</w:t>
      </w:r>
      <w:r>
        <w:rPr>
          <w:spacing w:val="-3"/>
        </w:rPr>
        <w:t> </w:t>
      </w:r>
      <w:r>
        <w:rPr/>
        <w:t>There</w:t>
      </w:r>
      <w:r>
        <w:rPr>
          <w:spacing w:val="-2"/>
        </w:rPr>
        <w:t> </w:t>
      </w:r>
      <w:r>
        <w:rPr/>
        <w:t>are</w:t>
      </w:r>
      <w:r>
        <w:rPr>
          <w:spacing w:val="-5"/>
        </w:rPr>
        <w:t> </w:t>
      </w:r>
      <w:r>
        <w:rPr/>
        <w:t>13</w:t>
      </w:r>
      <w:r>
        <w:rPr>
          <w:spacing w:val="-2"/>
        </w:rPr>
        <w:t> </w:t>
      </w:r>
      <w:r>
        <w:rPr/>
        <w:t>lynx</w:t>
      </w:r>
      <w:r>
        <w:rPr>
          <w:spacing w:val="-5"/>
        </w:rPr>
        <w:t> </w:t>
      </w:r>
      <w:r>
        <w:rPr/>
        <w:t>analysis</w:t>
      </w:r>
      <w:r>
        <w:rPr>
          <w:spacing w:val="-5"/>
        </w:rPr>
        <w:t> </w:t>
      </w:r>
      <w:r>
        <w:rPr/>
        <w:t>units</w:t>
      </w:r>
      <w:r>
        <w:rPr>
          <w:spacing w:val="-5"/>
        </w:rPr>
        <w:t> </w:t>
      </w:r>
      <w:r>
        <w:rPr/>
        <w:t>within</w:t>
      </w:r>
      <w:r>
        <w:rPr>
          <w:spacing w:val="-4"/>
        </w:rPr>
        <w:t> </w:t>
      </w:r>
      <w:r>
        <w:rPr/>
        <w:t>the</w:t>
      </w:r>
      <w:r>
        <w:rPr>
          <w:spacing w:val="-5"/>
        </w:rPr>
        <w:t> </w:t>
      </w:r>
      <w:r>
        <w:rPr/>
        <w:t>Kettle-Wedge</w:t>
      </w:r>
      <w:r>
        <w:rPr>
          <w:spacing w:val="-5"/>
        </w:rPr>
        <w:t> </w:t>
      </w:r>
      <w:r>
        <w:rPr/>
        <w:t>Core</w:t>
      </w:r>
      <w:r>
        <w:rPr>
          <w:spacing w:val="-2"/>
        </w:rPr>
        <w:t> </w:t>
      </w:r>
      <w:r>
        <w:rPr/>
        <w:t>Area. Core areas are defined by the USDI Fish and Wildlife Service as areas with the strongest long-term evidence of the</w:t>
      </w:r>
      <w:r>
        <w:rPr>
          <w:spacing w:val="-1"/>
        </w:rPr>
        <w:t> </w:t>
      </w:r>
      <w:r>
        <w:rPr/>
        <w:t>persistence of lynx populations over time within the contiguous United States.</w:t>
      </w:r>
    </w:p>
    <w:p>
      <w:pPr>
        <w:pStyle w:val="BodyText"/>
        <w:spacing w:before="120"/>
        <w:ind w:left="1512" w:right="801"/>
      </w:pPr>
      <w:r>
        <w:rPr>
          <w:b/>
        </w:rPr>
        <w:t>Grizzly bear: </w:t>
      </w:r>
      <w:r>
        <w:rPr/>
        <w:t>The Selkirk Mountains Grizzly Bear Recovery Area includes a portion of the Colville</w:t>
      </w:r>
      <w:r>
        <w:rPr>
          <w:spacing w:val="-2"/>
        </w:rPr>
        <w:t> </w:t>
      </w:r>
      <w:r>
        <w:rPr/>
        <w:t>National</w:t>
      </w:r>
      <w:r>
        <w:rPr>
          <w:spacing w:val="-3"/>
        </w:rPr>
        <w:t> </w:t>
      </w:r>
      <w:r>
        <w:rPr/>
        <w:t>Forest</w:t>
      </w:r>
      <w:r>
        <w:rPr>
          <w:spacing w:val="-5"/>
        </w:rPr>
        <w:t> </w:t>
      </w:r>
      <w:r>
        <w:rPr/>
        <w:t>located</w:t>
      </w:r>
      <w:r>
        <w:rPr>
          <w:spacing w:val="-4"/>
        </w:rPr>
        <w:t> </w:t>
      </w:r>
      <w:r>
        <w:rPr/>
        <w:t>east</w:t>
      </w:r>
      <w:r>
        <w:rPr>
          <w:spacing w:val="-5"/>
        </w:rPr>
        <w:t> </w:t>
      </w:r>
      <w:r>
        <w:rPr/>
        <w:t>of</w:t>
      </w:r>
      <w:r>
        <w:rPr>
          <w:spacing w:val="-3"/>
        </w:rPr>
        <w:t> </w:t>
      </w:r>
      <w:r>
        <w:rPr/>
        <w:t>the</w:t>
      </w:r>
      <w:r>
        <w:rPr>
          <w:spacing w:val="-2"/>
        </w:rPr>
        <w:t> </w:t>
      </w:r>
      <w:r>
        <w:rPr/>
        <w:t>Pend</w:t>
      </w:r>
      <w:r>
        <w:rPr>
          <w:spacing w:val="-4"/>
        </w:rPr>
        <w:t> </w:t>
      </w:r>
      <w:r>
        <w:rPr/>
        <w:t>Oreille</w:t>
      </w:r>
      <w:r>
        <w:rPr>
          <w:spacing w:val="-2"/>
        </w:rPr>
        <w:t> </w:t>
      </w:r>
      <w:r>
        <w:rPr/>
        <w:t>River.</w:t>
      </w:r>
      <w:r>
        <w:rPr>
          <w:spacing w:val="-3"/>
        </w:rPr>
        <w:t> </w:t>
      </w:r>
      <w:r>
        <w:rPr/>
        <w:t>The</w:t>
      </w:r>
      <w:r>
        <w:rPr>
          <w:spacing w:val="-2"/>
        </w:rPr>
        <w:t> </w:t>
      </w:r>
      <w:r>
        <w:rPr/>
        <w:t>recovery</w:t>
      </w:r>
      <w:r>
        <w:rPr>
          <w:spacing w:val="-2"/>
        </w:rPr>
        <w:t> </w:t>
      </w:r>
      <w:r>
        <w:rPr/>
        <w:t>area</w:t>
      </w:r>
      <w:r>
        <w:rPr>
          <w:spacing w:val="-3"/>
        </w:rPr>
        <w:t> </w:t>
      </w:r>
      <w:r>
        <w:rPr/>
        <w:t>is</w:t>
      </w:r>
      <w:r>
        <w:rPr>
          <w:spacing w:val="-3"/>
        </w:rPr>
        <w:t> </w:t>
      </w:r>
      <w:r>
        <w:rPr/>
        <w:t>divided</w:t>
      </w:r>
    </w:p>
    <w:p>
      <w:pPr>
        <w:pStyle w:val="BodyText"/>
        <w:spacing w:after="0"/>
        <w:sectPr>
          <w:pgSz w:w="12240" w:h="15840"/>
          <w:pgMar w:header="725" w:footer="891" w:top="960" w:bottom="1080" w:left="1080" w:right="720"/>
        </w:sectPr>
      </w:pPr>
    </w:p>
    <w:p>
      <w:pPr>
        <w:pStyle w:val="BodyText"/>
        <w:spacing w:before="205"/>
      </w:pPr>
    </w:p>
    <w:p>
      <w:pPr>
        <w:pStyle w:val="BodyText"/>
        <w:spacing w:before="1"/>
        <w:ind w:left="720" w:right="1621"/>
      </w:pPr>
      <w:r>
        <w:rPr/>
        <mc:AlternateContent>
          <mc:Choice Requires="wps">
            <w:drawing>
              <wp:anchor distT="0" distB="0" distL="0" distR="0" allowOverlap="1" layoutInCell="1" locked="0" behindDoc="1" simplePos="0" relativeHeight="474265088">
                <wp:simplePos x="0" y="0"/>
                <wp:positionH relativeFrom="page">
                  <wp:posOffset>1124712</wp:posOffset>
                </wp:positionH>
                <wp:positionV relativeFrom="paragraph">
                  <wp:posOffset>1044</wp:posOffset>
                </wp:positionV>
                <wp:extent cx="5248910" cy="674878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5248910" cy="6748780"/>
                        </a:xfrm>
                        <a:custGeom>
                          <a:avLst/>
                          <a:gdLst/>
                          <a:ahLst/>
                          <a:cxnLst/>
                          <a:rect l="l" t="t" r="r" b="b"/>
                          <a:pathLst>
                            <a:path w="5248910" h="6748780">
                              <a:moveTo>
                                <a:pt x="5248656" y="6577597"/>
                              </a:moveTo>
                              <a:lnTo>
                                <a:pt x="0" y="6577597"/>
                              </a:lnTo>
                              <a:lnTo>
                                <a:pt x="0" y="6748272"/>
                              </a:lnTo>
                              <a:lnTo>
                                <a:pt x="5248656" y="6748272"/>
                              </a:lnTo>
                              <a:lnTo>
                                <a:pt x="5248656" y="6577597"/>
                              </a:lnTo>
                              <a:close/>
                            </a:path>
                            <a:path w="5248910" h="6748780">
                              <a:moveTo>
                                <a:pt x="5248656" y="0"/>
                              </a:moveTo>
                              <a:lnTo>
                                <a:pt x="0" y="0"/>
                              </a:lnTo>
                              <a:lnTo>
                                <a:pt x="0" y="170688"/>
                              </a:lnTo>
                              <a:lnTo>
                                <a:pt x="0" y="341376"/>
                              </a:lnTo>
                              <a:lnTo>
                                <a:pt x="0" y="6577584"/>
                              </a:lnTo>
                              <a:lnTo>
                                <a:pt x="5248656" y="6577584"/>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082231pt;width:413.3pt;height:531.4pt;mso-position-horizontal-relative:page;mso-position-vertical-relative:paragraph;z-index:-29051392" id="docshape156" coordorigin="1771,2" coordsize="8266,10628" path="m10037,10360l1771,10360,1771,10629,10037,10629,10037,10360xm10037,2l1771,2,1771,270,1771,539,1771,808,1771,1077,1771,1463,1771,1732,1771,2001,1771,2270,1771,2538,1771,2927,1771,3196,1771,3465,1771,3734,1771,4122,1771,4389,1771,4658,1771,4926,1771,5195,1771,5464,1771,5853,1771,6122,1771,6390,1771,6659,1771,6928,1771,7194,1771,7583,1771,7972,1771,8241,1771,8510,1771,8778,1771,9167,1771,9556,1771,9825,1771,10094,1771,10360,10037,10360,10037,10094,10037,9825,10037,9556,10037,9167,10037,8778,10037,8510,10037,8241,10037,7972,10037,7583,10037,7194,10037,6928,10037,6659,10037,6390,10037,6122,10037,5853,10037,5464,10037,5195,10037,4926,10037,4658,10037,4389,10037,4122,10037,3734,10037,3465,10037,3196,10037,2927,10037,2538,10037,2270,10037,2001,10037,1732,10037,1463,10037,1077,10037,808,10037,539,10037,270,10037,2xe" filled="true" fillcolor="#dfdfdf" stroked="false">
                <v:path arrowok="t"/>
                <v:fill type="solid"/>
                <w10:wrap type="none"/>
              </v:shape>
            </w:pict>
          </mc:Fallback>
        </mc:AlternateContent>
      </w:r>
      <w:r>
        <w:rPr/>
        <w:t>into grizzly bear</w:t>
      </w:r>
      <w:r>
        <w:rPr>
          <w:spacing w:val="-1"/>
        </w:rPr>
        <w:t> </w:t>
      </w:r>
      <w:r>
        <w:rPr/>
        <w:t>management units,</w:t>
      </w:r>
      <w:r>
        <w:rPr>
          <w:spacing w:val="-1"/>
        </w:rPr>
        <w:t> </w:t>
      </w:r>
      <w:r>
        <w:rPr/>
        <w:t>three</w:t>
      </w:r>
      <w:r>
        <w:rPr>
          <w:spacing w:val="-1"/>
        </w:rPr>
        <w:t> </w:t>
      </w:r>
      <w:r>
        <w:rPr/>
        <w:t>of</w:t>
      </w:r>
      <w:r>
        <w:rPr>
          <w:spacing w:val="-1"/>
        </w:rPr>
        <w:t> </w:t>
      </w:r>
      <w:r>
        <w:rPr/>
        <w:t>which are shared between the Colville and Idaho Panhandle National Forests. These analysis units are large enough to allow the assessment</w:t>
      </w:r>
      <w:r>
        <w:rPr>
          <w:spacing w:val="-4"/>
        </w:rPr>
        <w:t> </w:t>
      </w:r>
      <w:r>
        <w:rPr/>
        <w:t>of</w:t>
      </w:r>
      <w:r>
        <w:rPr>
          <w:spacing w:val="-4"/>
        </w:rPr>
        <w:t> </w:t>
      </w:r>
      <w:r>
        <w:rPr/>
        <w:t>seasonal</w:t>
      </w:r>
      <w:r>
        <w:rPr>
          <w:spacing w:val="-3"/>
        </w:rPr>
        <w:t> </w:t>
      </w:r>
      <w:r>
        <w:rPr/>
        <w:t>habitats</w:t>
      </w:r>
      <w:r>
        <w:rPr>
          <w:spacing w:val="-3"/>
        </w:rPr>
        <w:t> </w:t>
      </w:r>
      <w:r>
        <w:rPr/>
        <w:t>and</w:t>
      </w:r>
      <w:r>
        <w:rPr>
          <w:spacing w:val="-3"/>
        </w:rPr>
        <w:t> </w:t>
      </w:r>
      <w:r>
        <w:rPr/>
        <w:t>the</w:t>
      </w:r>
      <w:r>
        <w:rPr>
          <w:spacing w:val="-4"/>
        </w:rPr>
        <w:t> </w:t>
      </w:r>
      <w:r>
        <w:rPr/>
        <w:t>cumulative</w:t>
      </w:r>
      <w:r>
        <w:rPr>
          <w:spacing w:val="-2"/>
        </w:rPr>
        <w:t> </w:t>
      </w:r>
      <w:r>
        <w:rPr/>
        <w:t>effects</w:t>
      </w:r>
      <w:r>
        <w:rPr>
          <w:spacing w:val="-4"/>
        </w:rPr>
        <w:t> </w:t>
      </w:r>
      <w:r>
        <w:rPr/>
        <w:t>of</w:t>
      </w:r>
      <w:r>
        <w:rPr>
          <w:spacing w:val="-3"/>
        </w:rPr>
        <w:t> </w:t>
      </w:r>
      <w:r>
        <w:rPr/>
        <w:t>human</w:t>
      </w:r>
      <w:r>
        <w:rPr>
          <w:spacing w:val="-3"/>
        </w:rPr>
        <w:t> </w:t>
      </w:r>
      <w:r>
        <w:rPr/>
        <w:t>activities</w:t>
      </w:r>
      <w:r>
        <w:rPr>
          <w:spacing w:val="-4"/>
        </w:rPr>
        <w:t> </w:t>
      </w:r>
      <w:r>
        <w:rPr/>
        <w:t>on</w:t>
      </w:r>
      <w:r>
        <w:rPr>
          <w:spacing w:val="-3"/>
        </w:rPr>
        <w:t> </w:t>
      </w:r>
      <w:r>
        <w:rPr/>
        <w:t>these habitats. Within bear management units, management is designed to ensure that important seasonal habitats are available to bears within core areas.</w:t>
      </w:r>
    </w:p>
    <w:p>
      <w:pPr>
        <w:pStyle w:val="BodyText"/>
        <w:spacing w:before="118"/>
        <w:ind w:left="720" w:right="1572"/>
      </w:pPr>
      <w:r>
        <w:rPr/>
        <w:t>Core areas are identified as areas that are more than 500 meters from an open road, restricted-use road, motorized trail, or high-use hiking trail (more than 20 parties per week). Any roads within core areas must be physically un-drivable (e.g., bermed, brushed- in). Evaluation of the potential effects of proposed actions on grizzly bear recovery follows the</w:t>
      </w:r>
      <w:r>
        <w:rPr>
          <w:spacing w:val="-3"/>
        </w:rPr>
        <w:t> </w:t>
      </w:r>
      <w:r>
        <w:rPr/>
        <w:t>assessment</w:t>
      </w:r>
      <w:r>
        <w:rPr>
          <w:spacing w:val="-3"/>
        </w:rPr>
        <w:t> </w:t>
      </w:r>
      <w:r>
        <w:rPr/>
        <w:t>process</w:t>
      </w:r>
      <w:r>
        <w:rPr>
          <w:spacing w:val="-3"/>
        </w:rPr>
        <w:t> </w:t>
      </w:r>
      <w:r>
        <w:rPr/>
        <w:t>developed</w:t>
      </w:r>
      <w:r>
        <w:rPr>
          <w:spacing w:val="-4"/>
        </w:rPr>
        <w:t> </w:t>
      </w:r>
      <w:r>
        <w:rPr/>
        <w:t>by</w:t>
      </w:r>
      <w:r>
        <w:rPr>
          <w:spacing w:val="-4"/>
        </w:rPr>
        <w:t> </w:t>
      </w:r>
      <w:r>
        <w:rPr/>
        <w:t>the</w:t>
      </w:r>
      <w:r>
        <w:rPr>
          <w:spacing w:val="-3"/>
        </w:rPr>
        <w:t> </w:t>
      </w:r>
      <w:r>
        <w:rPr/>
        <w:t>Interagency</w:t>
      </w:r>
      <w:r>
        <w:rPr>
          <w:spacing w:val="-4"/>
        </w:rPr>
        <w:t> </w:t>
      </w:r>
      <w:r>
        <w:rPr/>
        <w:t>Grizzly</w:t>
      </w:r>
      <w:r>
        <w:rPr>
          <w:spacing w:val="-3"/>
        </w:rPr>
        <w:t> </w:t>
      </w:r>
      <w:r>
        <w:rPr/>
        <w:t>Bear</w:t>
      </w:r>
      <w:r>
        <w:rPr>
          <w:spacing w:val="-5"/>
        </w:rPr>
        <w:t> </w:t>
      </w:r>
      <w:r>
        <w:rPr/>
        <w:t>Committee</w:t>
      </w:r>
      <w:r>
        <w:rPr>
          <w:spacing w:val="-5"/>
        </w:rPr>
        <w:t> </w:t>
      </w:r>
      <w:r>
        <w:rPr/>
        <w:t>(IGBC</w:t>
      </w:r>
      <w:r>
        <w:rPr>
          <w:spacing w:val="-3"/>
        </w:rPr>
        <w:t> </w:t>
      </w:r>
      <w:r>
        <w:rPr/>
        <w:t>1998).</w:t>
      </w:r>
    </w:p>
    <w:p>
      <w:pPr>
        <w:pStyle w:val="BodyText"/>
        <w:spacing w:before="122"/>
        <w:ind w:left="720" w:right="1445"/>
      </w:pPr>
      <w:r>
        <w:rPr>
          <w:b/>
        </w:rPr>
        <w:t>Woodland caribou: </w:t>
      </w:r>
      <w:r>
        <w:rPr/>
        <w:t>A small population of woodland caribou occurs on the northeastern portion of the Colville National Forest within the Selkirk Mountain Woodland Caribou Recovery</w:t>
      </w:r>
      <w:r>
        <w:rPr>
          <w:spacing w:val="-2"/>
        </w:rPr>
        <w:t> </w:t>
      </w:r>
      <w:r>
        <w:rPr/>
        <w:t>Area.</w:t>
      </w:r>
      <w:r>
        <w:rPr>
          <w:spacing w:val="-3"/>
        </w:rPr>
        <w:t> </w:t>
      </w:r>
      <w:r>
        <w:rPr/>
        <w:t>The</w:t>
      </w:r>
      <w:r>
        <w:rPr>
          <w:spacing w:val="-5"/>
        </w:rPr>
        <w:t> </w:t>
      </w:r>
      <w:r>
        <w:rPr/>
        <w:t>caribou</w:t>
      </w:r>
      <w:r>
        <w:rPr>
          <w:spacing w:val="-4"/>
        </w:rPr>
        <w:t> </w:t>
      </w:r>
      <w:r>
        <w:rPr/>
        <w:t>recovery</w:t>
      </w:r>
      <w:r>
        <w:rPr>
          <w:spacing w:val="-2"/>
        </w:rPr>
        <w:t> </w:t>
      </w:r>
      <w:r>
        <w:rPr/>
        <w:t>area</w:t>
      </w:r>
      <w:r>
        <w:rPr>
          <w:spacing w:val="-3"/>
        </w:rPr>
        <w:t> </w:t>
      </w:r>
      <w:r>
        <w:rPr/>
        <w:t>has</w:t>
      </w:r>
      <w:r>
        <w:rPr>
          <w:spacing w:val="-5"/>
        </w:rPr>
        <w:t> </w:t>
      </w:r>
      <w:r>
        <w:rPr/>
        <w:t>been</w:t>
      </w:r>
      <w:r>
        <w:rPr>
          <w:spacing w:val="-4"/>
        </w:rPr>
        <w:t> </w:t>
      </w:r>
      <w:r>
        <w:rPr/>
        <w:t>divided</w:t>
      </w:r>
      <w:r>
        <w:rPr>
          <w:spacing w:val="-4"/>
        </w:rPr>
        <w:t> </w:t>
      </w:r>
      <w:r>
        <w:rPr/>
        <w:t>into</w:t>
      </w:r>
      <w:r>
        <w:rPr>
          <w:spacing w:val="-4"/>
        </w:rPr>
        <w:t> </w:t>
      </w:r>
      <w:r>
        <w:rPr/>
        <w:t>17</w:t>
      </w:r>
      <w:r>
        <w:rPr>
          <w:spacing w:val="-4"/>
        </w:rPr>
        <w:t> </w:t>
      </w:r>
      <w:r>
        <w:rPr/>
        <w:t>caribou</w:t>
      </w:r>
      <w:r>
        <w:rPr>
          <w:spacing w:val="-6"/>
        </w:rPr>
        <w:t> </w:t>
      </w:r>
      <w:r>
        <w:rPr/>
        <w:t>management units, of which 4 occur on the Colville National Forest.</w:t>
      </w:r>
    </w:p>
    <w:p>
      <w:pPr>
        <w:spacing w:before="118"/>
        <w:ind w:left="720" w:right="2220" w:firstLine="0"/>
        <w:jc w:val="left"/>
        <w:rPr>
          <w:sz w:val="22"/>
        </w:rPr>
      </w:pPr>
      <w:r>
        <w:rPr>
          <w:b/>
          <w:sz w:val="22"/>
        </w:rPr>
        <w:t>Woodland caribou critical</w:t>
      </w:r>
      <w:r>
        <w:rPr>
          <w:b/>
          <w:spacing w:val="-2"/>
          <w:sz w:val="22"/>
        </w:rPr>
        <w:t> </w:t>
      </w:r>
      <w:r>
        <w:rPr>
          <w:b/>
          <w:sz w:val="22"/>
        </w:rPr>
        <w:t>habitat: </w:t>
      </w:r>
      <w:r>
        <w:rPr>
          <w:sz w:val="22"/>
        </w:rPr>
        <w:t>The USDI</w:t>
      </w:r>
      <w:r>
        <w:rPr>
          <w:spacing w:val="-1"/>
          <w:sz w:val="22"/>
        </w:rPr>
        <w:t> </w:t>
      </w:r>
      <w:r>
        <w:rPr>
          <w:sz w:val="22"/>
        </w:rPr>
        <w:t>Fish and</w:t>
      </w:r>
      <w:r>
        <w:rPr>
          <w:spacing w:val="-1"/>
          <w:sz w:val="22"/>
        </w:rPr>
        <w:t> </w:t>
      </w:r>
      <w:r>
        <w:rPr>
          <w:sz w:val="22"/>
        </w:rPr>
        <w:t>Wildlife Service designated 30,010</w:t>
      </w:r>
      <w:r>
        <w:rPr>
          <w:spacing w:val="-2"/>
          <w:sz w:val="22"/>
        </w:rPr>
        <w:t> </w:t>
      </w:r>
      <w:r>
        <w:rPr>
          <w:sz w:val="22"/>
        </w:rPr>
        <w:t>acres</w:t>
      </w:r>
      <w:r>
        <w:rPr>
          <w:spacing w:val="-5"/>
          <w:sz w:val="22"/>
        </w:rPr>
        <w:t> </w:t>
      </w:r>
      <w:r>
        <w:rPr>
          <w:sz w:val="22"/>
        </w:rPr>
        <w:t>of</w:t>
      </w:r>
      <w:r>
        <w:rPr>
          <w:spacing w:val="-3"/>
          <w:sz w:val="22"/>
        </w:rPr>
        <w:t> </w:t>
      </w:r>
      <w:r>
        <w:rPr>
          <w:sz w:val="22"/>
        </w:rPr>
        <w:t>Federal</w:t>
      </w:r>
      <w:r>
        <w:rPr>
          <w:spacing w:val="-3"/>
          <w:sz w:val="22"/>
        </w:rPr>
        <w:t> </w:t>
      </w:r>
      <w:r>
        <w:rPr>
          <w:sz w:val="22"/>
        </w:rPr>
        <w:t>land</w:t>
      </w:r>
      <w:r>
        <w:rPr>
          <w:spacing w:val="-4"/>
          <w:sz w:val="22"/>
        </w:rPr>
        <w:t> </w:t>
      </w:r>
      <w:r>
        <w:rPr>
          <w:sz w:val="22"/>
        </w:rPr>
        <w:t>in</w:t>
      </w:r>
      <w:r>
        <w:rPr>
          <w:spacing w:val="-4"/>
          <w:sz w:val="22"/>
        </w:rPr>
        <w:t> </w:t>
      </w:r>
      <w:r>
        <w:rPr>
          <w:sz w:val="22"/>
        </w:rPr>
        <w:t>Boundary</w:t>
      </w:r>
      <w:r>
        <w:rPr>
          <w:spacing w:val="-4"/>
          <w:sz w:val="22"/>
        </w:rPr>
        <w:t> </w:t>
      </w:r>
      <w:r>
        <w:rPr>
          <w:sz w:val="22"/>
        </w:rPr>
        <w:t>County,</w:t>
      </w:r>
      <w:r>
        <w:rPr>
          <w:spacing w:val="-3"/>
          <w:sz w:val="22"/>
        </w:rPr>
        <w:t> </w:t>
      </w:r>
      <w:r>
        <w:rPr>
          <w:sz w:val="22"/>
        </w:rPr>
        <w:t>Idaho,</w:t>
      </w:r>
      <w:r>
        <w:rPr>
          <w:spacing w:val="-3"/>
          <w:sz w:val="22"/>
        </w:rPr>
        <w:t> </w:t>
      </w:r>
      <w:r>
        <w:rPr>
          <w:sz w:val="22"/>
        </w:rPr>
        <w:t>and</w:t>
      </w:r>
      <w:r>
        <w:rPr>
          <w:spacing w:val="-6"/>
          <w:sz w:val="22"/>
        </w:rPr>
        <w:t> </w:t>
      </w:r>
      <w:r>
        <w:rPr>
          <w:sz w:val="22"/>
        </w:rPr>
        <w:t>Pend</w:t>
      </w:r>
      <w:r>
        <w:rPr>
          <w:spacing w:val="-4"/>
          <w:sz w:val="22"/>
        </w:rPr>
        <w:t> </w:t>
      </w:r>
      <w:r>
        <w:rPr>
          <w:sz w:val="22"/>
        </w:rPr>
        <w:t>Oreille</w:t>
      </w:r>
      <w:r>
        <w:rPr>
          <w:spacing w:val="-2"/>
          <w:sz w:val="22"/>
        </w:rPr>
        <w:t> </w:t>
      </w:r>
      <w:r>
        <w:rPr>
          <w:sz w:val="22"/>
        </w:rPr>
        <w:t>County,</w:t>
      </w:r>
    </w:p>
    <w:p>
      <w:pPr>
        <w:pStyle w:val="BodyText"/>
        <w:spacing w:before="1"/>
        <w:ind w:left="720" w:right="1445"/>
      </w:pPr>
      <w:r>
        <w:rPr/>
        <w:t>Washington,</w:t>
      </w:r>
      <w:r>
        <w:rPr>
          <w:spacing w:val="-3"/>
        </w:rPr>
        <w:t> </w:t>
      </w:r>
      <w:r>
        <w:rPr/>
        <w:t>as</w:t>
      </w:r>
      <w:r>
        <w:rPr>
          <w:spacing w:val="-3"/>
        </w:rPr>
        <w:t> </w:t>
      </w:r>
      <w:r>
        <w:rPr/>
        <w:t>critical</w:t>
      </w:r>
      <w:r>
        <w:rPr>
          <w:spacing w:val="-3"/>
        </w:rPr>
        <w:t> </w:t>
      </w:r>
      <w:r>
        <w:rPr/>
        <w:t>habitat</w:t>
      </w:r>
      <w:r>
        <w:rPr>
          <w:spacing w:val="-2"/>
        </w:rPr>
        <w:t> </w:t>
      </w:r>
      <w:r>
        <w:rPr/>
        <w:t>for</w:t>
      </w:r>
      <w:r>
        <w:rPr>
          <w:spacing w:val="-3"/>
        </w:rPr>
        <w:t> </w:t>
      </w:r>
      <w:r>
        <w:rPr/>
        <w:t>the</w:t>
      </w:r>
      <w:r>
        <w:rPr>
          <w:spacing w:val="-5"/>
        </w:rPr>
        <w:t> </w:t>
      </w:r>
      <w:r>
        <w:rPr/>
        <w:t>southern</w:t>
      </w:r>
      <w:r>
        <w:rPr>
          <w:spacing w:val="-4"/>
        </w:rPr>
        <w:t> </w:t>
      </w:r>
      <w:r>
        <w:rPr/>
        <w:t>Selkirk</w:t>
      </w:r>
      <w:r>
        <w:rPr>
          <w:spacing w:val="-5"/>
        </w:rPr>
        <w:t> </w:t>
      </w:r>
      <w:r>
        <w:rPr/>
        <w:t>Mountains</w:t>
      </w:r>
      <w:r>
        <w:rPr>
          <w:spacing w:val="-3"/>
        </w:rPr>
        <w:t> </w:t>
      </w:r>
      <w:r>
        <w:rPr/>
        <w:t>caribou</w:t>
      </w:r>
      <w:r>
        <w:rPr>
          <w:spacing w:val="-4"/>
        </w:rPr>
        <w:t> </w:t>
      </w:r>
      <w:r>
        <w:rPr/>
        <w:t>population.</w:t>
      </w:r>
      <w:r>
        <w:rPr>
          <w:spacing w:val="-3"/>
        </w:rPr>
        <w:t> </w:t>
      </w:r>
      <w:r>
        <w:rPr/>
        <w:t>The portion</w:t>
      </w:r>
      <w:r>
        <w:rPr>
          <w:spacing w:val="-1"/>
        </w:rPr>
        <w:t> </w:t>
      </w:r>
      <w:r>
        <w:rPr/>
        <w:t>of the critical habitat that occurs in Washington is located</w:t>
      </w:r>
      <w:r>
        <w:rPr>
          <w:spacing w:val="-1"/>
        </w:rPr>
        <w:t> </w:t>
      </w:r>
      <w:r>
        <w:rPr/>
        <w:t>on the Colville</w:t>
      </w:r>
      <w:r>
        <w:rPr>
          <w:spacing w:val="-2"/>
        </w:rPr>
        <w:t> </w:t>
      </w:r>
      <w:r>
        <w:rPr/>
        <w:t>National Forest (see </w:t>
      </w:r>
      <w:hyperlink r:id="rId55">
        <w:r>
          <w:rPr>
            <w:color w:val="0000FF"/>
            <w:u w:val="single" w:color="0000FF"/>
          </w:rPr>
          <w:t>https://www.fws.gov/idaho/articles.cfm?id=149489582</w:t>
        </w:r>
      </w:hyperlink>
      <w:r>
        <w:rPr>
          <w:color w:val="0000FF"/>
          <w:u w:val="none"/>
        </w:rPr>
        <w:t> </w:t>
      </w:r>
      <w:r>
        <w:rPr>
          <w:u w:val="none"/>
        </w:rPr>
        <w:t>for map of critical </w:t>
      </w:r>
      <w:r>
        <w:rPr>
          <w:spacing w:val="-2"/>
          <w:u w:val="none"/>
        </w:rPr>
        <w:t>habitat).</w:t>
      </w:r>
    </w:p>
    <w:p>
      <w:pPr>
        <w:pStyle w:val="BodyText"/>
        <w:spacing w:before="121"/>
        <w:ind w:left="720" w:right="1567"/>
      </w:pPr>
      <w:r>
        <w:rPr>
          <w:b/>
        </w:rPr>
        <w:t>Yellow-billed</w:t>
      </w:r>
      <w:r>
        <w:rPr>
          <w:b/>
          <w:spacing w:val="-4"/>
        </w:rPr>
        <w:t> </w:t>
      </w:r>
      <w:r>
        <w:rPr>
          <w:b/>
        </w:rPr>
        <w:t>cuckoo:</w:t>
      </w:r>
      <w:r>
        <w:rPr>
          <w:b/>
          <w:spacing w:val="-4"/>
        </w:rPr>
        <w:t> </w:t>
      </w:r>
      <w:r>
        <w:rPr/>
        <w:t>The</w:t>
      </w:r>
      <w:r>
        <w:rPr>
          <w:spacing w:val="-5"/>
        </w:rPr>
        <w:t> </w:t>
      </w:r>
      <w:r>
        <w:rPr/>
        <w:t>yellow-billed</w:t>
      </w:r>
      <w:r>
        <w:rPr>
          <w:spacing w:val="-4"/>
        </w:rPr>
        <w:t> </w:t>
      </w:r>
      <w:r>
        <w:rPr/>
        <w:t>cuckoo</w:t>
      </w:r>
      <w:r>
        <w:rPr>
          <w:spacing w:val="-2"/>
        </w:rPr>
        <w:t> </w:t>
      </w:r>
      <w:r>
        <w:rPr/>
        <w:t>is</w:t>
      </w:r>
      <w:r>
        <w:rPr>
          <w:spacing w:val="-5"/>
        </w:rPr>
        <w:t> </w:t>
      </w:r>
      <w:r>
        <w:rPr/>
        <w:t>a</w:t>
      </w:r>
      <w:r>
        <w:rPr>
          <w:spacing w:val="-3"/>
        </w:rPr>
        <w:t> </w:t>
      </w:r>
      <w:r>
        <w:rPr/>
        <w:t>threatened</w:t>
      </w:r>
      <w:r>
        <w:rPr>
          <w:spacing w:val="-6"/>
        </w:rPr>
        <w:t> </w:t>
      </w:r>
      <w:r>
        <w:rPr/>
        <w:t>species</w:t>
      </w:r>
      <w:r>
        <w:rPr>
          <w:spacing w:val="-3"/>
        </w:rPr>
        <w:t> </w:t>
      </w:r>
      <w:r>
        <w:rPr/>
        <w:t>throughout</w:t>
      </w:r>
      <w:r>
        <w:rPr>
          <w:spacing w:val="-2"/>
        </w:rPr>
        <w:t> </w:t>
      </w:r>
      <w:r>
        <w:rPr/>
        <w:t>much</w:t>
      </w:r>
      <w:r>
        <w:rPr>
          <w:spacing w:val="-6"/>
        </w:rPr>
        <w:t> </w:t>
      </w:r>
      <w:r>
        <w:rPr/>
        <w:t>of the western United States, and the western United States was designated as a distinct population segment. It is unknown if the yellow-billed cuckoo occurs on the Colville National Forest; however, there may be some potential habitat. Cuckoos nest almost exclusively in riparian woodlands 50 acres or larger in size, over 300 feet wide, and dominated by cottonwoods and willows.</w:t>
      </w:r>
    </w:p>
    <w:p>
      <w:pPr>
        <w:pStyle w:val="BodyText"/>
        <w:spacing w:before="119"/>
        <w:ind w:left="720"/>
      </w:pPr>
      <w:r>
        <w:rPr/>
        <w:t>SURROGATE</w:t>
      </w:r>
      <w:r>
        <w:rPr>
          <w:spacing w:val="-6"/>
        </w:rPr>
        <w:t> </w:t>
      </w:r>
      <w:r>
        <w:rPr>
          <w:spacing w:val="-2"/>
        </w:rPr>
        <w:t>SPECIES</w:t>
      </w:r>
    </w:p>
    <w:p>
      <w:pPr>
        <w:pStyle w:val="BodyText"/>
        <w:spacing w:before="120"/>
        <w:ind w:left="720" w:right="1445"/>
      </w:pPr>
      <w:r>
        <w:rPr/>
        <w:t>Selected surrogate species represent specific habitats and risk factors across the planning area</w:t>
      </w:r>
      <w:r>
        <w:rPr>
          <w:spacing w:val="-3"/>
        </w:rPr>
        <w:t> </w:t>
      </w:r>
      <w:r>
        <w:rPr/>
        <w:t>(see</w:t>
      </w:r>
      <w:r>
        <w:rPr>
          <w:spacing w:val="-2"/>
        </w:rPr>
        <w:t> </w:t>
      </w:r>
      <w:r>
        <w:rPr/>
        <w:t>appendix</w:t>
      </w:r>
      <w:r>
        <w:rPr>
          <w:spacing w:val="-4"/>
        </w:rPr>
        <w:t> </w:t>
      </w:r>
      <w:r>
        <w:rPr/>
        <w:t>C).</w:t>
      </w:r>
      <w:r>
        <w:rPr>
          <w:spacing w:val="-3"/>
        </w:rPr>
        <w:t> </w:t>
      </w:r>
      <w:r>
        <w:rPr/>
        <w:t>The</w:t>
      </w:r>
      <w:r>
        <w:rPr>
          <w:spacing w:val="-4"/>
        </w:rPr>
        <w:t> </w:t>
      </w:r>
      <w:r>
        <w:rPr/>
        <w:t>viability</w:t>
      </w:r>
      <w:r>
        <w:rPr>
          <w:spacing w:val="-4"/>
        </w:rPr>
        <w:t> </w:t>
      </w:r>
      <w:r>
        <w:rPr/>
        <w:t>of</w:t>
      </w:r>
      <w:r>
        <w:rPr>
          <w:spacing w:val="-5"/>
        </w:rPr>
        <w:t> </w:t>
      </w:r>
      <w:r>
        <w:rPr/>
        <w:t>surrogate</w:t>
      </w:r>
      <w:r>
        <w:rPr>
          <w:spacing w:val="-2"/>
        </w:rPr>
        <w:t> </w:t>
      </w:r>
      <w:r>
        <w:rPr/>
        <w:t>species</w:t>
      </w:r>
      <w:r>
        <w:rPr>
          <w:spacing w:val="-3"/>
        </w:rPr>
        <w:t> </w:t>
      </w:r>
      <w:r>
        <w:rPr/>
        <w:t>is</w:t>
      </w:r>
      <w:r>
        <w:rPr>
          <w:spacing w:val="-3"/>
        </w:rPr>
        <w:t> </w:t>
      </w:r>
      <w:r>
        <w:rPr/>
        <w:t>enhanced</w:t>
      </w:r>
      <w:r>
        <w:rPr>
          <w:spacing w:val="-5"/>
        </w:rPr>
        <w:t> </w:t>
      </w:r>
      <w:r>
        <w:rPr/>
        <w:t>by</w:t>
      </w:r>
      <w:r>
        <w:rPr>
          <w:spacing w:val="-2"/>
        </w:rPr>
        <w:t> </w:t>
      </w:r>
      <w:r>
        <w:rPr/>
        <w:t>providing</w:t>
      </w:r>
      <w:r>
        <w:rPr>
          <w:spacing w:val="-5"/>
        </w:rPr>
        <w:t> </w:t>
      </w:r>
      <w:r>
        <w:rPr/>
        <w:t>favorable habitat conditions (appropriate mix of cover types and structure stages) and reducing risk </w:t>
      </w:r>
      <w:r>
        <w:rPr>
          <w:spacing w:val="-2"/>
        </w:rPr>
        <w:t>factors.</w:t>
      </w:r>
    </w:p>
    <w:p>
      <w:pPr>
        <w:pStyle w:val="BodyText"/>
        <w:spacing w:before="121"/>
        <w:ind w:left="720"/>
      </w:pPr>
      <w:r>
        <w:rPr/>
        <w:t>MANAGEMENT</w:t>
      </w:r>
      <w:r>
        <w:rPr>
          <w:spacing w:val="-4"/>
        </w:rPr>
        <w:t> </w:t>
      </w:r>
      <w:r>
        <w:rPr/>
        <w:t>INDICATOR</w:t>
      </w:r>
      <w:r>
        <w:rPr>
          <w:spacing w:val="-7"/>
        </w:rPr>
        <w:t> </w:t>
      </w:r>
      <w:r>
        <w:rPr/>
        <w:t>/</w:t>
      </w:r>
      <w:r>
        <w:rPr>
          <w:spacing w:val="-4"/>
        </w:rPr>
        <w:t> </w:t>
      </w:r>
      <w:r>
        <w:rPr/>
        <w:t>FOCAL</w:t>
      </w:r>
      <w:r>
        <w:rPr>
          <w:spacing w:val="-3"/>
        </w:rPr>
        <w:t> </w:t>
      </w:r>
      <w:r>
        <w:rPr>
          <w:spacing w:val="-2"/>
        </w:rPr>
        <w:t>SPECIES</w:t>
      </w:r>
    </w:p>
    <w:p>
      <w:pPr>
        <w:pStyle w:val="BodyText"/>
        <w:spacing w:before="120"/>
        <w:ind w:left="720" w:right="1516"/>
      </w:pPr>
      <w:r>
        <w:rPr/>
        <w:t>Management indicator / Focal species were selected to monitor the potential effects of major forest management activities. These major activities include: grazing, forest vegetation</w:t>
      </w:r>
      <w:r>
        <w:rPr>
          <w:spacing w:val="-4"/>
        </w:rPr>
        <w:t> </w:t>
      </w:r>
      <w:r>
        <w:rPr/>
        <w:t>restoration</w:t>
      </w:r>
      <w:r>
        <w:rPr>
          <w:spacing w:val="-4"/>
        </w:rPr>
        <w:t> </w:t>
      </w:r>
      <w:r>
        <w:rPr/>
        <w:t>(such</w:t>
      </w:r>
      <w:r>
        <w:rPr>
          <w:spacing w:val="-4"/>
        </w:rPr>
        <w:t> </w:t>
      </w:r>
      <w:r>
        <w:rPr/>
        <w:t>as</w:t>
      </w:r>
      <w:r>
        <w:rPr>
          <w:spacing w:val="-3"/>
        </w:rPr>
        <w:t> </w:t>
      </w:r>
      <w:r>
        <w:rPr/>
        <w:t>thinning</w:t>
      </w:r>
      <w:r>
        <w:rPr>
          <w:spacing w:val="-4"/>
        </w:rPr>
        <w:t> </w:t>
      </w:r>
      <w:r>
        <w:rPr/>
        <w:t>and</w:t>
      </w:r>
      <w:r>
        <w:rPr>
          <w:spacing w:val="-4"/>
        </w:rPr>
        <w:t> </w:t>
      </w:r>
      <w:r>
        <w:rPr/>
        <w:t>prescribed</w:t>
      </w:r>
      <w:r>
        <w:rPr>
          <w:spacing w:val="-4"/>
        </w:rPr>
        <w:t> </w:t>
      </w:r>
      <w:r>
        <w:rPr/>
        <w:t>fire),</w:t>
      </w:r>
      <w:r>
        <w:rPr>
          <w:spacing w:val="-3"/>
        </w:rPr>
        <w:t> </w:t>
      </w:r>
      <w:r>
        <w:rPr/>
        <w:t>and</w:t>
      </w:r>
      <w:r>
        <w:rPr>
          <w:spacing w:val="-4"/>
        </w:rPr>
        <w:t> </w:t>
      </w:r>
      <w:r>
        <w:rPr/>
        <w:t>post-fire</w:t>
      </w:r>
      <w:r>
        <w:rPr>
          <w:spacing w:val="-5"/>
        </w:rPr>
        <w:t> </w:t>
      </w:r>
      <w:r>
        <w:rPr/>
        <w:t>salvage</w:t>
      </w:r>
      <w:r>
        <w:rPr>
          <w:spacing w:val="-2"/>
        </w:rPr>
        <w:t> </w:t>
      </w:r>
      <w:r>
        <w:rPr/>
        <w:t>harvest. The species in </w:t>
      </w:r>
      <w:hyperlink w:history="true" w:anchor="_bookmark101">
        <w:r>
          <w:rPr/>
          <w:t>table 11</w:t>
        </w:r>
      </w:hyperlink>
      <w:r>
        <w:rPr/>
        <w:t> were selected to represent these management activities.</w:t>
      </w:r>
    </w:p>
    <w:p>
      <w:pPr>
        <w:pStyle w:val="BodyText"/>
        <w:spacing w:before="10"/>
        <w:rPr>
          <w:sz w:val="7"/>
        </w:rPr>
      </w:pPr>
      <w:r>
        <w:rPr>
          <w:sz w:val="7"/>
        </w:rPr>
        <mc:AlternateContent>
          <mc:Choice Requires="wps">
            <w:drawing>
              <wp:anchor distT="0" distB="0" distL="0" distR="0" allowOverlap="1" layoutInCell="1" locked="0" behindDoc="1" simplePos="0" relativeHeight="487607808">
                <wp:simplePos x="0" y="0"/>
                <wp:positionH relativeFrom="page">
                  <wp:posOffset>1124711</wp:posOffset>
                </wp:positionH>
                <wp:positionV relativeFrom="paragraph">
                  <wp:posOffset>75850</wp:posOffset>
                </wp:positionV>
                <wp:extent cx="5248910" cy="170815"/>
                <wp:effectExtent l="0" t="0" r="0" b="0"/>
                <wp:wrapTopAndBottom/>
                <wp:docPr id="168" name="Graphic 168"/>
                <wp:cNvGraphicFramePr>
                  <a:graphicFrameLocks/>
                </wp:cNvGraphicFramePr>
                <a:graphic>
                  <a:graphicData uri="http://schemas.microsoft.com/office/word/2010/wordprocessingShape">
                    <wps:wsp>
                      <wps:cNvPr id="168" name="Graphic 168"/>
                      <wps:cNvSpPr/>
                      <wps:spPr>
                        <a:xfrm>
                          <a:off x="0" y="0"/>
                          <a:ext cx="5248910" cy="170815"/>
                        </a:xfrm>
                        <a:custGeom>
                          <a:avLst/>
                          <a:gdLst/>
                          <a:ahLst/>
                          <a:cxnLst/>
                          <a:rect l="l" t="t" r="r" b="b"/>
                          <a:pathLst>
                            <a:path w="5248910" h="170815">
                              <a:moveTo>
                                <a:pt x="5248656" y="0"/>
                              </a:moveTo>
                              <a:lnTo>
                                <a:pt x="0" y="0"/>
                              </a:lnTo>
                              <a:lnTo>
                                <a:pt x="0" y="170687"/>
                              </a:lnTo>
                              <a:lnTo>
                                <a:pt x="5248656" y="170687"/>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rect style="position:absolute;margin-left:88.559998pt;margin-top:5.972461pt;width:413.28pt;height:13.44pt;mso-position-horizontal-relative:page;mso-position-vertical-relative:paragraph;z-index:-15708672;mso-wrap-distance-left:0;mso-wrap-distance-right:0" id="docshape157" filled="true" fillcolor="#dfdfdf" stroked="false">
                <v:fill type="solid"/>
                <w10:wrap type="topAndBottom"/>
              </v:rect>
            </w:pict>
          </mc:Fallback>
        </mc:AlternateContent>
      </w:r>
    </w:p>
    <w:p>
      <w:pPr>
        <w:pStyle w:val="BodyText"/>
        <w:spacing w:after="0"/>
        <w:rPr>
          <w:sz w:val="7"/>
        </w:rPr>
        <w:sectPr>
          <w:pgSz w:w="12240" w:h="15840"/>
          <w:pgMar w:header="725" w:footer="891" w:top="960" w:bottom="1080" w:left="1080" w:right="720"/>
        </w:sectPr>
      </w:pPr>
    </w:p>
    <w:p>
      <w:pPr>
        <w:pStyle w:val="BodyText"/>
        <w:rPr>
          <w:sz w:val="18"/>
        </w:rPr>
      </w:pPr>
    </w:p>
    <w:p>
      <w:pPr>
        <w:pStyle w:val="BodyText"/>
        <w:spacing w:before="34"/>
        <w:rPr>
          <w:sz w:val="18"/>
        </w:rPr>
      </w:pPr>
    </w:p>
    <w:p>
      <w:pPr>
        <w:spacing w:before="1" w:after="40"/>
        <w:ind w:left="1151" w:right="1073" w:firstLine="0"/>
        <w:jc w:val="left"/>
        <w:rPr>
          <w:rFonts w:ascii="Arial"/>
          <w:b/>
          <w:sz w:val="18"/>
        </w:rPr>
      </w:pPr>
      <w:bookmarkStart w:name="_bookmark101" w:id="258"/>
      <w:bookmarkEnd w:id="258"/>
      <w:r>
        <w:rPr/>
      </w:r>
      <w:r>
        <w:rPr>
          <w:rFonts w:ascii="Arial"/>
          <w:b/>
          <w:sz w:val="18"/>
        </w:rPr>
        <w:t>Table</w:t>
      </w:r>
      <w:r>
        <w:rPr>
          <w:rFonts w:ascii="Arial"/>
          <w:b/>
          <w:spacing w:val="-4"/>
          <w:sz w:val="18"/>
        </w:rPr>
        <w:t> </w:t>
      </w:r>
      <w:r>
        <w:rPr>
          <w:rFonts w:ascii="Arial"/>
          <w:b/>
          <w:sz w:val="18"/>
        </w:rPr>
        <w:t>11.</w:t>
      </w:r>
      <w:r>
        <w:rPr>
          <w:rFonts w:ascii="Arial"/>
          <w:b/>
          <w:spacing w:val="-2"/>
          <w:sz w:val="18"/>
        </w:rPr>
        <w:t> </w:t>
      </w:r>
      <w:r>
        <w:rPr>
          <w:rFonts w:ascii="Arial"/>
          <w:b/>
          <w:sz w:val="18"/>
        </w:rPr>
        <w:t>Focal</w:t>
      </w:r>
      <w:r>
        <w:rPr>
          <w:rFonts w:ascii="Arial"/>
          <w:b/>
          <w:spacing w:val="-2"/>
          <w:sz w:val="18"/>
        </w:rPr>
        <w:t> </w:t>
      </w:r>
      <w:r>
        <w:rPr>
          <w:rFonts w:ascii="Arial"/>
          <w:b/>
          <w:sz w:val="18"/>
        </w:rPr>
        <w:t>Species</w:t>
      </w:r>
      <w:r>
        <w:rPr>
          <w:rFonts w:ascii="Arial"/>
          <w:b/>
          <w:spacing w:val="-1"/>
          <w:sz w:val="18"/>
        </w:rPr>
        <w:t> </w:t>
      </w:r>
      <w:r>
        <w:rPr>
          <w:rFonts w:ascii="Arial"/>
          <w:b/>
          <w:sz w:val="18"/>
        </w:rPr>
        <w:t>to</w:t>
      </w:r>
      <w:r>
        <w:rPr>
          <w:rFonts w:ascii="Arial"/>
          <w:b/>
          <w:spacing w:val="-4"/>
          <w:sz w:val="18"/>
        </w:rPr>
        <w:t> </w:t>
      </w:r>
      <w:r>
        <w:rPr>
          <w:rFonts w:ascii="Arial"/>
          <w:b/>
          <w:sz w:val="18"/>
        </w:rPr>
        <w:t>be</w:t>
      </w:r>
      <w:r>
        <w:rPr>
          <w:rFonts w:ascii="Arial"/>
          <w:b/>
          <w:spacing w:val="-1"/>
          <w:sz w:val="18"/>
        </w:rPr>
        <w:t> </w:t>
      </w:r>
      <w:r>
        <w:rPr>
          <w:rFonts w:ascii="Arial"/>
          <w:b/>
          <w:sz w:val="18"/>
        </w:rPr>
        <w:t>used</w:t>
      </w:r>
      <w:r>
        <w:rPr>
          <w:rFonts w:ascii="Arial"/>
          <w:b/>
          <w:spacing w:val="-4"/>
          <w:sz w:val="18"/>
        </w:rPr>
        <w:t> </w:t>
      </w:r>
      <w:r>
        <w:rPr>
          <w:rFonts w:ascii="Arial"/>
          <w:b/>
          <w:sz w:val="18"/>
        </w:rPr>
        <w:t>for</w:t>
      </w:r>
      <w:r>
        <w:rPr>
          <w:rFonts w:ascii="Arial"/>
          <w:b/>
          <w:spacing w:val="-3"/>
          <w:sz w:val="18"/>
        </w:rPr>
        <w:t> </w:t>
      </w:r>
      <w:r>
        <w:rPr>
          <w:rFonts w:ascii="Arial"/>
          <w:b/>
          <w:sz w:val="18"/>
        </w:rPr>
        <w:t>monitoring</w:t>
      </w:r>
      <w:r>
        <w:rPr>
          <w:rFonts w:ascii="Arial"/>
          <w:b/>
          <w:spacing w:val="-4"/>
          <w:sz w:val="18"/>
        </w:rPr>
        <w:t> </w:t>
      </w:r>
      <w:r>
        <w:rPr>
          <w:rFonts w:ascii="Arial"/>
          <w:b/>
          <w:sz w:val="18"/>
        </w:rPr>
        <w:t>and</w:t>
      </w:r>
      <w:r>
        <w:rPr>
          <w:rFonts w:ascii="Arial"/>
          <w:b/>
          <w:spacing w:val="-4"/>
          <w:sz w:val="18"/>
        </w:rPr>
        <w:t> </w:t>
      </w:r>
      <w:r>
        <w:rPr>
          <w:rFonts w:ascii="Arial"/>
          <w:b/>
          <w:sz w:val="18"/>
        </w:rPr>
        <w:t>Management</w:t>
      </w:r>
      <w:r>
        <w:rPr>
          <w:rFonts w:ascii="Arial"/>
          <w:b/>
          <w:spacing w:val="-2"/>
          <w:sz w:val="18"/>
        </w:rPr>
        <w:t> </w:t>
      </w:r>
      <w:r>
        <w:rPr>
          <w:rFonts w:ascii="Arial"/>
          <w:b/>
          <w:sz w:val="18"/>
        </w:rPr>
        <w:t>Indicator</w:t>
      </w:r>
      <w:r>
        <w:rPr>
          <w:rFonts w:ascii="Arial"/>
          <w:b/>
          <w:spacing w:val="-3"/>
          <w:sz w:val="18"/>
        </w:rPr>
        <w:t> </w:t>
      </w:r>
      <w:r>
        <w:rPr>
          <w:rFonts w:ascii="Arial"/>
          <w:b/>
          <w:sz w:val="18"/>
        </w:rPr>
        <w:t>Species</w:t>
      </w:r>
      <w:r>
        <w:rPr>
          <w:rFonts w:ascii="Arial"/>
          <w:b/>
          <w:spacing w:val="-1"/>
          <w:sz w:val="18"/>
        </w:rPr>
        <w:t> </w:t>
      </w:r>
      <w:r>
        <w:rPr>
          <w:rFonts w:ascii="Arial"/>
          <w:b/>
          <w:sz w:val="18"/>
        </w:rPr>
        <w:t>used</w:t>
      </w:r>
      <w:r>
        <w:rPr>
          <w:rFonts w:ascii="Arial"/>
          <w:b/>
          <w:spacing w:val="-4"/>
          <w:sz w:val="18"/>
        </w:rPr>
        <w:t> </w:t>
      </w:r>
      <w:r>
        <w:rPr>
          <w:rFonts w:ascii="Arial"/>
          <w:b/>
          <w:sz w:val="18"/>
        </w:rPr>
        <w:t>to assess management activities</w:t>
      </w:r>
    </w:p>
    <w:tbl>
      <w:tblPr>
        <w:tblW w:w="0" w:type="auto"/>
        <w:jc w:val="left"/>
        <w:tblInd w:w="1522"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787"/>
        <w:gridCol w:w="3053"/>
      </w:tblGrid>
      <w:tr>
        <w:trPr>
          <w:trHeight w:val="385" w:hRule="atLeast"/>
        </w:trPr>
        <w:tc>
          <w:tcPr>
            <w:tcW w:w="3787" w:type="dxa"/>
            <w:shd w:val="clear" w:color="auto" w:fill="D5E2BB"/>
          </w:tcPr>
          <w:p>
            <w:pPr>
              <w:pStyle w:val="TableParagraph"/>
              <w:spacing w:before="30"/>
              <w:ind w:left="107"/>
              <w:rPr>
                <w:b/>
                <w:sz w:val="18"/>
              </w:rPr>
            </w:pPr>
            <w:r>
              <w:rPr>
                <w:b/>
                <w:sz w:val="18"/>
              </w:rPr>
              <w:t>Focal</w:t>
            </w:r>
            <w:r>
              <w:rPr>
                <w:b/>
                <w:spacing w:val="-3"/>
                <w:sz w:val="18"/>
              </w:rPr>
              <w:t> </w:t>
            </w:r>
            <w:r>
              <w:rPr>
                <w:b/>
                <w:sz w:val="18"/>
              </w:rPr>
              <w:t>/</w:t>
            </w:r>
            <w:r>
              <w:rPr>
                <w:b/>
                <w:spacing w:val="-5"/>
                <w:sz w:val="18"/>
              </w:rPr>
              <w:t> </w:t>
            </w:r>
            <w:r>
              <w:rPr>
                <w:b/>
                <w:sz w:val="18"/>
              </w:rPr>
              <w:t>Management</w:t>
            </w:r>
            <w:r>
              <w:rPr>
                <w:b/>
                <w:spacing w:val="-3"/>
                <w:sz w:val="18"/>
              </w:rPr>
              <w:t> </w:t>
            </w:r>
            <w:r>
              <w:rPr>
                <w:b/>
                <w:sz w:val="18"/>
              </w:rPr>
              <w:t>Indicator</w:t>
            </w:r>
            <w:r>
              <w:rPr>
                <w:b/>
                <w:spacing w:val="-3"/>
                <w:sz w:val="18"/>
              </w:rPr>
              <w:t> </w:t>
            </w:r>
            <w:r>
              <w:rPr>
                <w:b/>
                <w:spacing w:val="-2"/>
                <w:sz w:val="18"/>
              </w:rPr>
              <w:t>species</w:t>
            </w:r>
          </w:p>
        </w:tc>
        <w:tc>
          <w:tcPr>
            <w:tcW w:w="3053" w:type="dxa"/>
            <w:shd w:val="clear" w:color="auto" w:fill="D5E2BB"/>
          </w:tcPr>
          <w:p>
            <w:pPr>
              <w:pStyle w:val="TableParagraph"/>
              <w:spacing w:before="30"/>
              <w:ind w:left="107"/>
              <w:rPr>
                <w:b/>
                <w:sz w:val="18"/>
              </w:rPr>
            </w:pPr>
            <w:r>
              <w:rPr>
                <w:b/>
                <w:spacing w:val="-2"/>
                <w:sz w:val="18"/>
              </w:rPr>
              <w:t>Management</w:t>
            </w:r>
            <w:r>
              <w:rPr>
                <w:b/>
                <w:spacing w:val="5"/>
                <w:sz w:val="18"/>
              </w:rPr>
              <w:t> </w:t>
            </w:r>
            <w:r>
              <w:rPr>
                <w:b/>
                <w:spacing w:val="-2"/>
                <w:sz w:val="18"/>
              </w:rPr>
              <w:t>activity</w:t>
            </w:r>
          </w:p>
        </w:tc>
      </w:tr>
      <w:tr>
        <w:trPr>
          <w:trHeight w:val="380" w:hRule="atLeast"/>
        </w:trPr>
        <w:tc>
          <w:tcPr>
            <w:tcW w:w="3787" w:type="dxa"/>
          </w:tcPr>
          <w:p>
            <w:pPr>
              <w:pStyle w:val="TableParagraph"/>
              <w:ind w:left="107"/>
              <w:rPr>
                <w:b/>
                <w:sz w:val="18"/>
              </w:rPr>
            </w:pPr>
            <w:r>
              <w:rPr>
                <w:b/>
                <w:sz w:val="18"/>
              </w:rPr>
              <w:t>MacGillivray’s</w:t>
            </w:r>
            <w:r>
              <w:rPr>
                <w:b/>
                <w:spacing w:val="-10"/>
                <w:sz w:val="18"/>
              </w:rPr>
              <w:t> </w:t>
            </w:r>
            <w:r>
              <w:rPr>
                <w:b/>
                <w:spacing w:val="-2"/>
                <w:sz w:val="18"/>
              </w:rPr>
              <w:t>warbler</w:t>
            </w:r>
          </w:p>
        </w:tc>
        <w:tc>
          <w:tcPr>
            <w:tcW w:w="3053" w:type="dxa"/>
          </w:tcPr>
          <w:p>
            <w:pPr>
              <w:pStyle w:val="TableParagraph"/>
              <w:ind w:left="107"/>
              <w:rPr>
                <w:sz w:val="18"/>
              </w:rPr>
            </w:pPr>
            <w:r>
              <w:rPr>
                <w:sz w:val="18"/>
              </w:rPr>
              <w:t>Grazing,</w:t>
            </w:r>
            <w:r>
              <w:rPr>
                <w:spacing w:val="-4"/>
                <w:sz w:val="18"/>
              </w:rPr>
              <w:t> </w:t>
            </w:r>
            <w:r>
              <w:rPr>
                <w:sz w:val="18"/>
              </w:rPr>
              <w:t>understory</w:t>
            </w:r>
            <w:r>
              <w:rPr>
                <w:spacing w:val="-4"/>
                <w:sz w:val="18"/>
              </w:rPr>
              <w:t> </w:t>
            </w:r>
            <w:r>
              <w:rPr>
                <w:spacing w:val="-2"/>
                <w:sz w:val="18"/>
              </w:rPr>
              <w:t>effects</w:t>
            </w:r>
          </w:p>
        </w:tc>
      </w:tr>
      <w:tr>
        <w:trPr>
          <w:trHeight w:val="378" w:hRule="atLeast"/>
        </w:trPr>
        <w:tc>
          <w:tcPr>
            <w:tcW w:w="3787" w:type="dxa"/>
          </w:tcPr>
          <w:p>
            <w:pPr>
              <w:pStyle w:val="TableParagraph"/>
              <w:ind w:left="107"/>
              <w:rPr>
                <w:b/>
                <w:sz w:val="18"/>
              </w:rPr>
            </w:pPr>
            <w:r>
              <w:rPr>
                <w:b/>
                <w:sz w:val="18"/>
              </w:rPr>
              <w:t>Black-backed</w:t>
            </w:r>
            <w:r>
              <w:rPr>
                <w:b/>
                <w:spacing w:val="-9"/>
                <w:sz w:val="18"/>
              </w:rPr>
              <w:t> </w:t>
            </w:r>
            <w:r>
              <w:rPr>
                <w:b/>
                <w:spacing w:val="-2"/>
                <w:sz w:val="18"/>
              </w:rPr>
              <w:t>woodpecker</w:t>
            </w:r>
          </w:p>
        </w:tc>
        <w:tc>
          <w:tcPr>
            <w:tcW w:w="3053" w:type="dxa"/>
          </w:tcPr>
          <w:p>
            <w:pPr>
              <w:pStyle w:val="TableParagraph"/>
              <w:ind w:left="107"/>
              <w:rPr>
                <w:sz w:val="18"/>
              </w:rPr>
            </w:pPr>
            <w:r>
              <w:rPr>
                <w:sz w:val="18"/>
              </w:rPr>
              <w:t>Post-fire</w:t>
            </w:r>
            <w:r>
              <w:rPr>
                <w:spacing w:val="-3"/>
                <w:sz w:val="18"/>
              </w:rPr>
              <w:t> </w:t>
            </w:r>
            <w:r>
              <w:rPr>
                <w:sz w:val="18"/>
              </w:rPr>
              <w:t>salvage</w:t>
            </w:r>
            <w:r>
              <w:rPr>
                <w:spacing w:val="-5"/>
                <w:sz w:val="18"/>
              </w:rPr>
              <w:t> </w:t>
            </w:r>
            <w:r>
              <w:rPr>
                <w:spacing w:val="-2"/>
                <w:sz w:val="18"/>
              </w:rPr>
              <w:t>harvest</w:t>
            </w:r>
          </w:p>
        </w:tc>
      </w:tr>
      <w:tr>
        <w:trPr>
          <w:trHeight w:val="380" w:hRule="atLeast"/>
        </w:trPr>
        <w:tc>
          <w:tcPr>
            <w:tcW w:w="3787" w:type="dxa"/>
          </w:tcPr>
          <w:p>
            <w:pPr>
              <w:pStyle w:val="TableParagraph"/>
              <w:spacing w:before="42"/>
              <w:ind w:left="107"/>
              <w:rPr>
                <w:b/>
                <w:sz w:val="18"/>
              </w:rPr>
            </w:pPr>
            <w:r>
              <w:rPr>
                <w:b/>
                <w:sz w:val="18"/>
              </w:rPr>
              <w:t>Northern</w:t>
            </w:r>
            <w:r>
              <w:rPr>
                <w:b/>
                <w:spacing w:val="-5"/>
                <w:sz w:val="18"/>
              </w:rPr>
              <w:t> </w:t>
            </w:r>
            <w:r>
              <w:rPr>
                <w:b/>
                <w:spacing w:val="-2"/>
                <w:sz w:val="18"/>
              </w:rPr>
              <w:t>goshawk</w:t>
            </w:r>
          </w:p>
        </w:tc>
        <w:tc>
          <w:tcPr>
            <w:tcW w:w="3053" w:type="dxa"/>
          </w:tcPr>
          <w:p>
            <w:pPr>
              <w:pStyle w:val="TableParagraph"/>
              <w:spacing w:before="42"/>
              <w:ind w:left="107"/>
              <w:rPr>
                <w:sz w:val="18"/>
              </w:rPr>
            </w:pPr>
            <w:r>
              <w:rPr>
                <w:sz w:val="18"/>
              </w:rPr>
              <w:t>Forest</w:t>
            </w:r>
            <w:r>
              <w:rPr>
                <w:spacing w:val="-4"/>
                <w:sz w:val="18"/>
              </w:rPr>
              <w:t> </w:t>
            </w:r>
            <w:r>
              <w:rPr>
                <w:sz w:val="18"/>
              </w:rPr>
              <w:t>vegetation</w:t>
            </w:r>
            <w:r>
              <w:rPr>
                <w:spacing w:val="-3"/>
                <w:sz w:val="18"/>
              </w:rPr>
              <w:t> </w:t>
            </w:r>
            <w:r>
              <w:rPr>
                <w:spacing w:val="-2"/>
                <w:sz w:val="18"/>
              </w:rPr>
              <w:t>management</w:t>
            </w:r>
          </w:p>
        </w:tc>
      </w:tr>
      <w:tr>
        <w:trPr>
          <w:trHeight w:val="380" w:hRule="atLeast"/>
        </w:trPr>
        <w:tc>
          <w:tcPr>
            <w:tcW w:w="3787" w:type="dxa"/>
          </w:tcPr>
          <w:p>
            <w:pPr>
              <w:pStyle w:val="TableParagraph"/>
              <w:ind w:left="107"/>
              <w:rPr>
                <w:b/>
                <w:sz w:val="18"/>
              </w:rPr>
            </w:pPr>
            <w:r>
              <w:rPr>
                <w:b/>
                <w:sz w:val="18"/>
              </w:rPr>
              <w:t>White-headed</w:t>
            </w:r>
            <w:r>
              <w:rPr>
                <w:b/>
                <w:spacing w:val="-12"/>
                <w:sz w:val="18"/>
              </w:rPr>
              <w:t> </w:t>
            </w:r>
            <w:r>
              <w:rPr>
                <w:b/>
                <w:spacing w:val="-2"/>
                <w:sz w:val="18"/>
              </w:rPr>
              <w:t>woodpecker</w:t>
            </w:r>
          </w:p>
        </w:tc>
        <w:tc>
          <w:tcPr>
            <w:tcW w:w="3053" w:type="dxa"/>
          </w:tcPr>
          <w:p>
            <w:pPr>
              <w:pStyle w:val="TableParagraph"/>
              <w:ind w:left="107"/>
              <w:rPr>
                <w:sz w:val="18"/>
              </w:rPr>
            </w:pPr>
            <w:r>
              <w:rPr>
                <w:sz w:val="18"/>
              </w:rPr>
              <w:t>Forest</w:t>
            </w:r>
            <w:r>
              <w:rPr>
                <w:spacing w:val="-4"/>
                <w:sz w:val="18"/>
              </w:rPr>
              <w:t> </w:t>
            </w:r>
            <w:r>
              <w:rPr>
                <w:sz w:val="18"/>
              </w:rPr>
              <w:t>vegetation</w:t>
            </w:r>
            <w:r>
              <w:rPr>
                <w:spacing w:val="-3"/>
                <w:sz w:val="18"/>
              </w:rPr>
              <w:t> </w:t>
            </w:r>
            <w:r>
              <w:rPr>
                <w:spacing w:val="-2"/>
                <w:sz w:val="18"/>
              </w:rPr>
              <w:t>management</w:t>
            </w:r>
          </w:p>
        </w:tc>
      </w:tr>
    </w:tbl>
    <w:p>
      <w:pPr>
        <w:pStyle w:val="BodyText"/>
        <w:spacing w:before="228"/>
        <w:rPr>
          <w:rFonts w:ascii="Arial"/>
          <w:b/>
          <w:sz w:val="20"/>
        </w:rPr>
      </w:pPr>
      <w:r>
        <w:rPr>
          <w:rFonts w:ascii="Arial"/>
          <w:b/>
          <w:sz w:val="20"/>
        </w:rPr>
        <mc:AlternateContent>
          <mc:Choice Requires="wps">
            <w:drawing>
              <wp:anchor distT="0" distB="0" distL="0" distR="0" allowOverlap="1" layoutInCell="1" locked="0" behindDoc="1" simplePos="0" relativeHeight="487608832">
                <wp:simplePos x="0" y="0"/>
                <wp:positionH relativeFrom="page">
                  <wp:posOffset>1627632</wp:posOffset>
                </wp:positionH>
                <wp:positionV relativeFrom="paragraph">
                  <wp:posOffset>306450</wp:posOffset>
                </wp:positionV>
                <wp:extent cx="5248910" cy="1004569"/>
                <wp:effectExtent l="0" t="0" r="0" b="0"/>
                <wp:wrapTopAndBottom/>
                <wp:docPr id="169" name="Textbox 169"/>
                <wp:cNvGraphicFramePr>
                  <a:graphicFrameLocks/>
                </wp:cNvGraphicFramePr>
                <a:graphic>
                  <a:graphicData uri="http://schemas.microsoft.com/office/word/2010/wordprocessingShape">
                    <wps:wsp>
                      <wps:cNvPr id="169" name="Textbox 169"/>
                      <wps:cNvSpPr txBox="1"/>
                      <wps:spPr>
                        <a:xfrm>
                          <a:off x="0" y="0"/>
                          <a:ext cx="5248910" cy="1004569"/>
                        </a:xfrm>
                        <a:prstGeom prst="rect">
                          <a:avLst/>
                        </a:prstGeom>
                        <a:solidFill>
                          <a:srgbClr val="DFDFDF"/>
                        </a:solidFill>
                      </wps:spPr>
                      <wps:txbx>
                        <w:txbxContent>
                          <w:p>
                            <w:pPr>
                              <w:pStyle w:val="BodyText"/>
                              <w:spacing w:line="268" w:lineRule="exact"/>
                              <w:ind w:left="28"/>
                              <w:rPr>
                                <w:color w:val="000000"/>
                              </w:rPr>
                            </w:pPr>
                            <w:r>
                              <w:rPr>
                                <w:color w:val="000000"/>
                              </w:rPr>
                              <w:t>SPECIES</w:t>
                            </w:r>
                            <w:r>
                              <w:rPr>
                                <w:color w:val="000000"/>
                                <w:spacing w:val="-5"/>
                              </w:rPr>
                              <w:t> </w:t>
                            </w:r>
                            <w:r>
                              <w:rPr>
                                <w:color w:val="000000"/>
                              </w:rPr>
                              <w:t>OF</w:t>
                            </w:r>
                            <w:r>
                              <w:rPr>
                                <w:color w:val="000000"/>
                                <w:spacing w:val="-6"/>
                              </w:rPr>
                              <w:t> </w:t>
                            </w:r>
                            <w:r>
                              <w:rPr>
                                <w:color w:val="000000"/>
                              </w:rPr>
                              <w:t>MANAGEMENT</w:t>
                            </w:r>
                            <w:r>
                              <w:rPr>
                                <w:color w:val="000000"/>
                                <w:spacing w:val="-5"/>
                              </w:rPr>
                              <w:t> </w:t>
                            </w:r>
                            <w:r>
                              <w:rPr>
                                <w:color w:val="000000"/>
                                <w:spacing w:val="-2"/>
                              </w:rPr>
                              <w:t>INTEREST</w:t>
                            </w:r>
                          </w:p>
                          <w:p>
                            <w:pPr>
                              <w:pStyle w:val="BodyText"/>
                              <w:spacing w:before="120"/>
                              <w:ind w:left="28"/>
                              <w:rPr>
                                <w:color w:val="000000"/>
                              </w:rPr>
                            </w:pPr>
                            <w:r>
                              <w:rPr>
                                <w:b/>
                                <w:color w:val="000000"/>
                              </w:rPr>
                              <w:t>Deer</w:t>
                            </w:r>
                            <w:r>
                              <w:rPr>
                                <w:color w:val="000000"/>
                              </w:rPr>
                              <w:t>:</w:t>
                            </w:r>
                            <w:r>
                              <w:rPr>
                                <w:color w:val="000000"/>
                                <w:spacing w:val="-7"/>
                              </w:rPr>
                              <w:t> </w:t>
                            </w:r>
                            <w:r>
                              <w:rPr>
                                <w:color w:val="000000"/>
                              </w:rPr>
                              <w:t>Mule</w:t>
                            </w:r>
                            <w:r>
                              <w:rPr>
                                <w:color w:val="000000"/>
                                <w:spacing w:val="-2"/>
                              </w:rPr>
                              <w:t> </w:t>
                            </w:r>
                            <w:r>
                              <w:rPr>
                                <w:color w:val="000000"/>
                              </w:rPr>
                              <w:t>deer</w:t>
                            </w:r>
                            <w:r>
                              <w:rPr>
                                <w:color w:val="000000"/>
                                <w:spacing w:val="-4"/>
                              </w:rPr>
                              <w:t> </w:t>
                            </w:r>
                            <w:r>
                              <w:rPr>
                                <w:color w:val="000000"/>
                              </w:rPr>
                              <w:t>and</w:t>
                            </w:r>
                            <w:r>
                              <w:rPr>
                                <w:color w:val="000000"/>
                                <w:spacing w:val="-6"/>
                              </w:rPr>
                              <w:t> </w:t>
                            </w:r>
                            <w:r>
                              <w:rPr>
                                <w:color w:val="000000"/>
                              </w:rPr>
                              <w:t>white-tailed</w:t>
                            </w:r>
                            <w:r>
                              <w:rPr>
                                <w:color w:val="000000"/>
                                <w:spacing w:val="-4"/>
                              </w:rPr>
                              <w:t> </w:t>
                            </w:r>
                            <w:r>
                              <w:rPr>
                                <w:color w:val="000000"/>
                              </w:rPr>
                              <w:t>deer</w:t>
                            </w:r>
                            <w:r>
                              <w:rPr>
                                <w:color w:val="000000"/>
                                <w:spacing w:val="-5"/>
                              </w:rPr>
                              <w:t> </w:t>
                            </w:r>
                            <w:r>
                              <w:rPr>
                                <w:color w:val="000000"/>
                              </w:rPr>
                              <w:t>occur</w:t>
                            </w:r>
                            <w:r>
                              <w:rPr>
                                <w:color w:val="000000"/>
                                <w:spacing w:val="-4"/>
                              </w:rPr>
                              <w:t> </w:t>
                            </w:r>
                            <w:r>
                              <w:rPr>
                                <w:color w:val="000000"/>
                              </w:rPr>
                              <w:t>widely</w:t>
                            </w:r>
                            <w:r>
                              <w:rPr>
                                <w:color w:val="000000"/>
                                <w:spacing w:val="-2"/>
                              </w:rPr>
                              <w:t> </w:t>
                            </w:r>
                            <w:r>
                              <w:rPr>
                                <w:color w:val="000000"/>
                              </w:rPr>
                              <w:t>across</w:t>
                            </w:r>
                            <w:r>
                              <w:rPr>
                                <w:color w:val="000000"/>
                                <w:spacing w:val="-6"/>
                              </w:rPr>
                              <w:t> </w:t>
                            </w:r>
                            <w:r>
                              <w:rPr>
                                <w:color w:val="000000"/>
                              </w:rPr>
                              <w:t>the</w:t>
                            </w:r>
                            <w:r>
                              <w:rPr>
                                <w:color w:val="000000"/>
                                <w:spacing w:val="-2"/>
                              </w:rPr>
                              <w:t> </w:t>
                            </w:r>
                            <w:r>
                              <w:rPr>
                                <w:color w:val="000000"/>
                              </w:rPr>
                              <w:t>national</w:t>
                            </w:r>
                            <w:r>
                              <w:rPr>
                                <w:color w:val="000000"/>
                                <w:spacing w:val="-3"/>
                              </w:rPr>
                              <w:t> </w:t>
                            </w:r>
                            <w:r>
                              <w:rPr>
                                <w:color w:val="000000"/>
                                <w:spacing w:val="-2"/>
                              </w:rPr>
                              <w:t>forest.</w:t>
                            </w:r>
                          </w:p>
                          <w:p>
                            <w:pPr>
                              <w:pStyle w:val="BodyText"/>
                              <w:spacing w:line="237" w:lineRule="auto" w:before="122"/>
                              <w:ind w:left="28" w:right="120"/>
                              <w:rPr>
                                <w:color w:val="000000"/>
                              </w:rPr>
                            </w:pPr>
                            <w:r>
                              <w:rPr>
                                <w:b/>
                                <w:color w:val="000000"/>
                              </w:rPr>
                              <w:t>Elk:</w:t>
                            </w:r>
                            <w:r>
                              <w:rPr>
                                <w:b/>
                                <w:color w:val="000000"/>
                                <w:spacing w:val="-3"/>
                              </w:rPr>
                              <w:t> </w:t>
                            </w:r>
                            <w:r>
                              <w:rPr>
                                <w:color w:val="000000"/>
                              </w:rPr>
                              <w:t>Rocky</w:t>
                            </w:r>
                            <w:r>
                              <w:rPr>
                                <w:color w:val="000000"/>
                                <w:spacing w:val="-3"/>
                              </w:rPr>
                              <w:t> </w:t>
                            </w:r>
                            <w:r>
                              <w:rPr>
                                <w:color w:val="000000"/>
                              </w:rPr>
                              <w:t>Mountain</w:t>
                            </w:r>
                            <w:r>
                              <w:rPr>
                                <w:color w:val="000000"/>
                                <w:spacing w:val="-5"/>
                              </w:rPr>
                              <w:t> </w:t>
                            </w:r>
                            <w:r>
                              <w:rPr>
                                <w:color w:val="000000"/>
                              </w:rPr>
                              <w:t>elk</w:t>
                            </w:r>
                            <w:r>
                              <w:rPr>
                                <w:color w:val="000000"/>
                                <w:spacing w:val="-1"/>
                              </w:rPr>
                              <w:t> </w:t>
                            </w:r>
                            <w:r>
                              <w:rPr>
                                <w:color w:val="000000"/>
                              </w:rPr>
                              <w:t>are</w:t>
                            </w:r>
                            <w:r>
                              <w:rPr>
                                <w:color w:val="000000"/>
                                <w:spacing w:val="-1"/>
                              </w:rPr>
                              <w:t> </w:t>
                            </w:r>
                            <w:r>
                              <w:rPr>
                                <w:color w:val="000000"/>
                              </w:rPr>
                              <w:t>less</w:t>
                            </w:r>
                            <w:r>
                              <w:rPr>
                                <w:color w:val="000000"/>
                                <w:spacing w:val="-4"/>
                              </w:rPr>
                              <w:t> </w:t>
                            </w:r>
                            <w:r>
                              <w:rPr>
                                <w:color w:val="000000"/>
                              </w:rPr>
                              <w:t>broadly</w:t>
                            </w:r>
                            <w:r>
                              <w:rPr>
                                <w:color w:val="000000"/>
                                <w:spacing w:val="-3"/>
                              </w:rPr>
                              <w:t> </w:t>
                            </w:r>
                            <w:r>
                              <w:rPr>
                                <w:color w:val="000000"/>
                              </w:rPr>
                              <w:t>distributed</w:t>
                            </w:r>
                            <w:r>
                              <w:rPr>
                                <w:color w:val="000000"/>
                                <w:spacing w:val="-5"/>
                              </w:rPr>
                              <w:t> </w:t>
                            </w:r>
                            <w:r>
                              <w:rPr>
                                <w:color w:val="000000"/>
                              </w:rPr>
                              <w:t>across</w:t>
                            </w:r>
                            <w:r>
                              <w:rPr>
                                <w:color w:val="000000"/>
                                <w:spacing w:val="-4"/>
                              </w:rPr>
                              <w:t> </w:t>
                            </w:r>
                            <w:r>
                              <w:rPr>
                                <w:color w:val="000000"/>
                              </w:rPr>
                              <w:t>the</w:t>
                            </w:r>
                            <w:r>
                              <w:rPr>
                                <w:color w:val="000000"/>
                                <w:spacing w:val="-1"/>
                              </w:rPr>
                              <w:t> </w:t>
                            </w:r>
                            <w:r>
                              <w:rPr>
                                <w:color w:val="000000"/>
                              </w:rPr>
                              <w:t>Forest.</w:t>
                            </w:r>
                            <w:r>
                              <w:rPr>
                                <w:color w:val="000000"/>
                                <w:spacing w:val="-2"/>
                              </w:rPr>
                              <w:t> </w:t>
                            </w:r>
                            <w:r>
                              <w:rPr>
                                <w:color w:val="000000"/>
                              </w:rPr>
                              <w:t>The</w:t>
                            </w:r>
                            <w:r>
                              <w:rPr>
                                <w:color w:val="000000"/>
                                <w:spacing w:val="-4"/>
                              </w:rPr>
                              <w:t> </w:t>
                            </w:r>
                            <w:r>
                              <w:rPr>
                                <w:color w:val="000000"/>
                              </w:rPr>
                              <w:t>larger</w:t>
                            </w:r>
                            <w:r>
                              <w:rPr>
                                <w:color w:val="000000"/>
                                <w:spacing w:val="-4"/>
                              </w:rPr>
                              <w:t> </w:t>
                            </w:r>
                            <w:r>
                              <w:rPr>
                                <w:color w:val="000000"/>
                              </w:rPr>
                              <w:t>elk populations occur on the eastern half of the Colville National Forest.</w:t>
                            </w:r>
                          </w:p>
                        </w:txbxContent>
                      </wps:txbx>
                      <wps:bodyPr wrap="square" lIns="0" tIns="0" rIns="0" bIns="0" rtlCol="0">
                        <a:noAutofit/>
                      </wps:bodyPr>
                    </wps:wsp>
                  </a:graphicData>
                </a:graphic>
              </wp:anchor>
            </w:drawing>
          </mc:Choice>
          <mc:Fallback>
            <w:pict>
              <v:shape style="position:absolute;margin-left:128.160004pt;margin-top:24.129999pt;width:413.3pt;height:79.1pt;mso-position-horizontal-relative:page;mso-position-vertical-relative:paragraph;z-index:-15707648;mso-wrap-distance-left:0;mso-wrap-distance-right:0" type="#_x0000_t202" id="docshape158" filled="true" fillcolor="#dfdfdf" stroked="false">
                <v:textbox inset="0,0,0,0">
                  <w:txbxContent>
                    <w:p>
                      <w:pPr>
                        <w:pStyle w:val="BodyText"/>
                        <w:spacing w:line="268" w:lineRule="exact"/>
                        <w:ind w:left="28"/>
                        <w:rPr>
                          <w:color w:val="000000"/>
                        </w:rPr>
                      </w:pPr>
                      <w:r>
                        <w:rPr>
                          <w:color w:val="000000"/>
                        </w:rPr>
                        <w:t>SPECIES</w:t>
                      </w:r>
                      <w:r>
                        <w:rPr>
                          <w:color w:val="000000"/>
                          <w:spacing w:val="-5"/>
                        </w:rPr>
                        <w:t> </w:t>
                      </w:r>
                      <w:r>
                        <w:rPr>
                          <w:color w:val="000000"/>
                        </w:rPr>
                        <w:t>OF</w:t>
                      </w:r>
                      <w:r>
                        <w:rPr>
                          <w:color w:val="000000"/>
                          <w:spacing w:val="-6"/>
                        </w:rPr>
                        <w:t> </w:t>
                      </w:r>
                      <w:r>
                        <w:rPr>
                          <w:color w:val="000000"/>
                        </w:rPr>
                        <w:t>MANAGEMENT</w:t>
                      </w:r>
                      <w:r>
                        <w:rPr>
                          <w:color w:val="000000"/>
                          <w:spacing w:val="-5"/>
                        </w:rPr>
                        <w:t> </w:t>
                      </w:r>
                      <w:r>
                        <w:rPr>
                          <w:color w:val="000000"/>
                          <w:spacing w:val="-2"/>
                        </w:rPr>
                        <w:t>INTEREST</w:t>
                      </w:r>
                    </w:p>
                    <w:p>
                      <w:pPr>
                        <w:pStyle w:val="BodyText"/>
                        <w:spacing w:before="120"/>
                        <w:ind w:left="28"/>
                        <w:rPr>
                          <w:color w:val="000000"/>
                        </w:rPr>
                      </w:pPr>
                      <w:r>
                        <w:rPr>
                          <w:b/>
                          <w:color w:val="000000"/>
                        </w:rPr>
                        <w:t>Deer</w:t>
                      </w:r>
                      <w:r>
                        <w:rPr>
                          <w:color w:val="000000"/>
                        </w:rPr>
                        <w:t>:</w:t>
                      </w:r>
                      <w:r>
                        <w:rPr>
                          <w:color w:val="000000"/>
                          <w:spacing w:val="-7"/>
                        </w:rPr>
                        <w:t> </w:t>
                      </w:r>
                      <w:r>
                        <w:rPr>
                          <w:color w:val="000000"/>
                        </w:rPr>
                        <w:t>Mule</w:t>
                      </w:r>
                      <w:r>
                        <w:rPr>
                          <w:color w:val="000000"/>
                          <w:spacing w:val="-2"/>
                        </w:rPr>
                        <w:t> </w:t>
                      </w:r>
                      <w:r>
                        <w:rPr>
                          <w:color w:val="000000"/>
                        </w:rPr>
                        <w:t>deer</w:t>
                      </w:r>
                      <w:r>
                        <w:rPr>
                          <w:color w:val="000000"/>
                          <w:spacing w:val="-4"/>
                        </w:rPr>
                        <w:t> </w:t>
                      </w:r>
                      <w:r>
                        <w:rPr>
                          <w:color w:val="000000"/>
                        </w:rPr>
                        <w:t>and</w:t>
                      </w:r>
                      <w:r>
                        <w:rPr>
                          <w:color w:val="000000"/>
                          <w:spacing w:val="-6"/>
                        </w:rPr>
                        <w:t> </w:t>
                      </w:r>
                      <w:r>
                        <w:rPr>
                          <w:color w:val="000000"/>
                        </w:rPr>
                        <w:t>white-tailed</w:t>
                      </w:r>
                      <w:r>
                        <w:rPr>
                          <w:color w:val="000000"/>
                          <w:spacing w:val="-4"/>
                        </w:rPr>
                        <w:t> </w:t>
                      </w:r>
                      <w:r>
                        <w:rPr>
                          <w:color w:val="000000"/>
                        </w:rPr>
                        <w:t>deer</w:t>
                      </w:r>
                      <w:r>
                        <w:rPr>
                          <w:color w:val="000000"/>
                          <w:spacing w:val="-5"/>
                        </w:rPr>
                        <w:t> </w:t>
                      </w:r>
                      <w:r>
                        <w:rPr>
                          <w:color w:val="000000"/>
                        </w:rPr>
                        <w:t>occur</w:t>
                      </w:r>
                      <w:r>
                        <w:rPr>
                          <w:color w:val="000000"/>
                          <w:spacing w:val="-4"/>
                        </w:rPr>
                        <w:t> </w:t>
                      </w:r>
                      <w:r>
                        <w:rPr>
                          <w:color w:val="000000"/>
                        </w:rPr>
                        <w:t>widely</w:t>
                      </w:r>
                      <w:r>
                        <w:rPr>
                          <w:color w:val="000000"/>
                          <w:spacing w:val="-2"/>
                        </w:rPr>
                        <w:t> </w:t>
                      </w:r>
                      <w:r>
                        <w:rPr>
                          <w:color w:val="000000"/>
                        </w:rPr>
                        <w:t>across</w:t>
                      </w:r>
                      <w:r>
                        <w:rPr>
                          <w:color w:val="000000"/>
                          <w:spacing w:val="-6"/>
                        </w:rPr>
                        <w:t> </w:t>
                      </w:r>
                      <w:r>
                        <w:rPr>
                          <w:color w:val="000000"/>
                        </w:rPr>
                        <w:t>the</w:t>
                      </w:r>
                      <w:r>
                        <w:rPr>
                          <w:color w:val="000000"/>
                          <w:spacing w:val="-2"/>
                        </w:rPr>
                        <w:t> </w:t>
                      </w:r>
                      <w:r>
                        <w:rPr>
                          <w:color w:val="000000"/>
                        </w:rPr>
                        <w:t>national</w:t>
                      </w:r>
                      <w:r>
                        <w:rPr>
                          <w:color w:val="000000"/>
                          <w:spacing w:val="-3"/>
                        </w:rPr>
                        <w:t> </w:t>
                      </w:r>
                      <w:r>
                        <w:rPr>
                          <w:color w:val="000000"/>
                          <w:spacing w:val="-2"/>
                        </w:rPr>
                        <w:t>forest.</w:t>
                      </w:r>
                    </w:p>
                    <w:p>
                      <w:pPr>
                        <w:pStyle w:val="BodyText"/>
                        <w:spacing w:line="237" w:lineRule="auto" w:before="122"/>
                        <w:ind w:left="28" w:right="120"/>
                        <w:rPr>
                          <w:color w:val="000000"/>
                        </w:rPr>
                      </w:pPr>
                      <w:r>
                        <w:rPr>
                          <w:b/>
                          <w:color w:val="000000"/>
                        </w:rPr>
                        <w:t>Elk:</w:t>
                      </w:r>
                      <w:r>
                        <w:rPr>
                          <w:b/>
                          <w:color w:val="000000"/>
                          <w:spacing w:val="-3"/>
                        </w:rPr>
                        <w:t> </w:t>
                      </w:r>
                      <w:r>
                        <w:rPr>
                          <w:color w:val="000000"/>
                        </w:rPr>
                        <w:t>Rocky</w:t>
                      </w:r>
                      <w:r>
                        <w:rPr>
                          <w:color w:val="000000"/>
                          <w:spacing w:val="-3"/>
                        </w:rPr>
                        <w:t> </w:t>
                      </w:r>
                      <w:r>
                        <w:rPr>
                          <w:color w:val="000000"/>
                        </w:rPr>
                        <w:t>Mountain</w:t>
                      </w:r>
                      <w:r>
                        <w:rPr>
                          <w:color w:val="000000"/>
                          <w:spacing w:val="-5"/>
                        </w:rPr>
                        <w:t> </w:t>
                      </w:r>
                      <w:r>
                        <w:rPr>
                          <w:color w:val="000000"/>
                        </w:rPr>
                        <w:t>elk</w:t>
                      </w:r>
                      <w:r>
                        <w:rPr>
                          <w:color w:val="000000"/>
                          <w:spacing w:val="-1"/>
                        </w:rPr>
                        <w:t> </w:t>
                      </w:r>
                      <w:r>
                        <w:rPr>
                          <w:color w:val="000000"/>
                        </w:rPr>
                        <w:t>are</w:t>
                      </w:r>
                      <w:r>
                        <w:rPr>
                          <w:color w:val="000000"/>
                          <w:spacing w:val="-1"/>
                        </w:rPr>
                        <w:t> </w:t>
                      </w:r>
                      <w:r>
                        <w:rPr>
                          <w:color w:val="000000"/>
                        </w:rPr>
                        <w:t>less</w:t>
                      </w:r>
                      <w:r>
                        <w:rPr>
                          <w:color w:val="000000"/>
                          <w:spacing w:val="-4"/>
                        </w:rPr>
                        <w:t> </w:t>
                      </w:r>
                      <w:r>
                        <w:rPr>
                          <w:color w:val="000000"/>
                        </w:rPr>
                        <w:t>broadly</w:t>
                      </w:r>
                      <w:r>
                        <w:rPr>
                          <w:color w:val="000000"/>
                          <w:spacing w:val="-3"/>
                        </w:rPr>
                        <w:t> </w:t>
                      </w:r>
                      <w:r>
                        <w:rPr>
                          <w:color w:val="000000"/>
                        </w:rPr>
                        <w:t>distributed</w:t>
                      </w:r>
                      <w:r>
                        <w:rPr>
                          <w:color w:val="000000"/>
                          <w:spacing w:val="-5"/>
                        </w:rPr>
                        <w:t> </w:t>
                      </w:r>
                      <w:r>
                        <w:rPr>
                          <w:color w:val="000000"/>
                        </w:rPr>
                        <w:t>across</w:t>
                      </w:r>
                      <w:r>
                        <w:rPr>
                          <w:color w:val="000000"/>
                          <w:spacing w:val="-4"/>
                        </w:rPr>
                        <w:t> </w:t>
                      </w:r>
                      <w:r>
                        <w:rPr>
                          <w:color w:val="000000"/>
                        </w:rPr>
                        <w:t>the</w:t>
                      </w:r>
                      <w:r>
                        <w:rPr>
                          <w:color w:val="000000"/>
                          <w:spacing w:val="-1"/>
                        </w:rPr>
                        <w:t> </w:t>
                      </w:r>
                      <w:r>
                        <w:rPr>
                          <w:color w:val="000000"/>
                        </w:rPr>
                        <w:t>Forest.</w:t>
                      </w:r>
                      <w:r>
                        <w:rPr>
                          <w:color w:val="000000"/>
                          <w:spacing w:val="-2"/>
                        </w:rPr>
                        <w:t> </w:t>
                      </w:r>
                      <w:r>
                        <w:rPr>
                          <w:color w:val="000000"/>
                        </w:rPr>
                        <w:t>The</w:t>
                      </w:r>
                      <w:r>
                        <w:rPr>
                          <w:color w:val="000000"/>
                          <w:spacing w:val="-4"/>
                        </w:rPr>
                        <w:t> </w:t>
                      </w:r>
                      <w:r>
                        <w:rPr>
                          <w:color w:val="000000"/>
                        </w:rPr>
                        <w:t>larger</w:t>
                      </w:r>
                      <w:r>
                        <w:rPr>
                          <w:color w:val="000000"/>
                          <w:spacing w:val="-4"/>
                        </w:rPr>
                        <w:t> </w:t>
                      </w:r>
                      <w:r>
                        <w:rPr>
                          <w:color w:val="000000"/>
                        </w:rPr>
                        <w:t>elk populations occur on the eastern half of the Colville National Forest.</w:t>
                      </w:r>
                    </w:p>
                  </w:txbxContent>
                </v:textbox>
                <v:fill type="solid"/>
                <w10:wrap type="topAndBottom"/>
              </v:shape>
            </w:pict>
          </mc:Fallback>
        </mc:AlternateContent>
      </w:r>
    </w:p>
    <w:p>
      <w:pPr>
        <w:pStyle w:val="BodyText"/>
        <w:spacing w:before="33"/>
        <w:rPr>
          <w:rFonts w:ascii="Arial"/>
          <w:b/>
          <w:sz w:val="18"/>
        </w:rPr>
      </w:pPr>
    </w:p>
    <w:p>
      <w:pPr>
        <w:pStyle w:val="Heading4"/>
        <w:ind w:left="1151"/>
      </w:pPr>
      <w:bookmarkStart w:name="Desired Conditions" w:id="259"/>
      <w:bookmarkEnd w:id="259"/>
      <w:r>
        <w:rPr/>
      </w:r>
      <w:bookmarkStart w:name="_bookmark102" w:id="260"/>
      <w:bookmarkEnd w:id="260"/>
      <w:r>
        <w:rPr/>
      </w:r>
      <w:r>
        <w:rPr/>
        <w:t>Desired</w:t>
      </w:r>
      <w:r>
        <w:rPr>
          <w:spacing w:val="-4"/>
        </w:rPr>
        <w:t> </w:t>
      </w:r>
      <w:r>
        <w:rPr>
          <w:spacing w:val="-2"/>
        </w:rPr>
        <w:t>Conditions</w:t>
      </w:r>
    </w:p>
    <w:p>
      <w:pPr>
        <w:spacing w:before="240"/>
        <w:ind w:left="1152" w:right="1073" w:firstLine="0"/>
        <w:jc w:val="left"/>
        <w:rPr>
          <w:rFonts w:ascii="Arial"/>
          <w:i/>
          <w:sz w:val="22"/>
        </w:rPr>
      </w:pPr>
      <w:bookmarkStart w:name="FW-DC-WL-01. Proper Storage of Human Foo" w:id="261"/>
      <w:bookmarkEnd w:id="261"/>
      <w:r>
        <w:rPr/>
      </w:r>
      <w:r>
        <w:rPr>
          <w:rFonts w:ascii="Arial"/>
          <w:i/>
          <w:sz w:val="22"/>
        </w:rPr>
        <w:t>FW-DC-WL-01.</w:t>
      </w:r>
      <w:r>
        <w:rPr>
          <w:rFonts w:ascii="Arial"/>
          <w:i/>
          <w:spacing w:val="-2"/>
          <w:sz w:val="22"/>
        </w:rPr>
        <w:t> </w:t>
      </w:r>
      <w:r>
        <w:rPr>
          <w:rFonts w:ascii="Arial"/>
          <w:i/>
          <w:sz w:val="22"/>
        </w:rPr>
        <w:t>Proper</w:t>
      </w:r>
      <w:r>
        <w:rPr>
          <w:rFonts w:ascii="Arial"/>
          <w:i/>
          <w:spacing w:val="-2"/>
          <w:sz w:val="22"/>
        </w:rPr>
        <w:t> </w:t>
      </w:r>
      <w:r>
        <w:rPr>
          <w:rFonts w:ascii="Arial"/>
          <w:i/>
          <w:sz w:val="22"/>
        </w:rPr>
        <w:t>Storage</w:t>
      </w:r>
      <w:r>
        <w:rPr>
          <w:rFonts w:ascii="Arial"/>
          <w:i/>
          <w:spacing w:val="-6"/>
          <w:sz w:val="22"/>
        </w:rPr>
        <w:t> </w:t>
      </w:r>
      <w:r>
        <w:rPr>
          <w:rFonts w:ascii="Arial"/>
          <w:i/>
          <w:sz w:val="22"/>
        </w:rPr>
        <w:t>of</w:t>
      </w:r>
      <w:r>
        <w:rPr>
          <w:rFonts w:ascii="Arial"/>
          <w:i/>
          <w:spacing w:val="-4"/>
          <w:sz w:val="22"/>
        </w:rPr>
        <w:t> </w:t>
      </w:r>
      <w:r>
        <w:rPr>
          <w:rFonts w:ascii="Arial"/>
          <w:i/>
          <w:sz w:val="22"/>
        </w:rPr>
        <w:t>Human</w:t>
      </w:r>
      <w:r>
        <w:rPr>
          <w:rFonts w:ascii="Arial"/>
          <w:i/>
          <w:spacing w:val="-6"/>
          <w:sz w:val="22"/>
        </w:rPr>
        <w:t> </w:t>
      </w:r>
      <w:r>
        <w:rPr>
          <w:rFonts w:ascii="Arial"/>
          <w:i/>
          <w:sz w:val="22"/>
        </w:rPr>
        <w:t>Food,</w:t>
      </w:r>
      <w:r>
        <w:rPr>
          <w:rFonts w:ascii="Arial"/>
          <w:i/>
          <w:spacing w:val="-7"/>
          <w:sz w:val="22"/>
        </w:rPr>
        <w:t> </w:t>
      </w:r>
      <w:r>
        <w:rPr>
          <w:rFonts w:ascii="Arial"/>
          <w:i/>
          <w:sz w:val="22"/>
        </w:rPr>
        <w:t>Garbage,</w:t>
      </w:r>
      <w:r>
        <w:rPr>
          <w:rFonts w:ascii="Arial"/>
          <w:i/>
          <w:spacing w:val="-2"/>
          <w:sz w:val="22"/>
        </w:rPr>
        <w:t> </w:t>
      </w:r>
      <w:r>
        <w:rPr>
          <w:rFonts w:ascii="Arial"/>
          <w:i/>
          <w:sz w:val="22"/>
        </w:rPr>
        <w:t>and</w:t>
      </w:r>
      <w:r>
        <w:rPr>
          <w:rFonts w:ascii="Arial"/>
          <w:i/>
          <w:spacing w:val="-8"/>
          <w:sz w:val="22"/>
        </w:rPr>
        <w:t> </w:t>
      </w:r>
      <w:r>
        <w:rPr>
          <w:rFonts w:ascii="Arial"/>
          <w:i/>
          <w:sz w:val="22"/>
        </w:rPr>
        <w:t>Other</w:t>
      </w:r>
      <w:r>
        <w:rPr>
          <w:rFonts w:ascii="Arial"/>
          <w:i/>
          <w:spacing w:val="-5"/>
          <w:sz w:val="22"/>
        </w:rPr>
        <w:t> </w:t>
      </w:r>
      <w:r>
        <w:rPr>
          <w:rFonts w:ascii="Arial"/>
          <w:i/>
          <w:sz w:val="22"/>
        </w:rPr>
        <w:t>Wildlife</w:t>
      </w:r>
      <w:r>
        <w:rPr>
          <w:rFonts w:ascii="Arial"/>
          <w:i/>
          <w:sz w:val="22"/>
        </w:rPr>
        <w:t> </w:t>
      </w:r>
      <w:r>
        <w:rPr>
          <w:rFonts w:ascii="Arial"/>
          <w:i/>
          <w:spacing w:val="-2"/>
          <w:sz w:val="22"/>
        </w:rPr>
        <w:t>Attractants</w:t>
      </w:r>
    </w:p>
    <w:p>
      <w:pPr>
        <w:pStyle w:val="BodyText"/>
        <w:spacing w:line="232" w:lineRule="auto" w:before="66"/>
        <w:ind w:left="1152" w:right="1073"/>
      </w:pPr>
      <w:r>
        <w:rPr/>
        <w:t>All administrative sites, developed recreation sites, and dispersed recreation sites where garbage</w:t>
      </w:r>
      <w:r>
        <w:rPr>
          <w:spacing w:val="-5"/>
        </w:rPr>
        <w:t> </w:t>
      </w:r>
      <w:r>
        <w:rPr/>
        <w:t>disposal</w:t>
      </w:r>
      <w:r>
        <w:rPr>
          <w:spacing w:val="-6"/>
        </w:rPr>
        <w:t> </w:t>
      </w:r>
      <w:r>
        <w:rPr/>
        <w:t>services</w:t>
      </w:r>
      <w:r>
        <w:rPr>
          <w:spacing w:val="-6"/>
        </w:rPr>
        <w:t> </w:t>
      </w:r>
      <w:r>
        <w:rPr/>
        <w:t>are</w:t>
      </w:r>
      <w:r>
        <w:rPr>
          <w:spacing w:val="-5"/>
        </w:rPr>
        <w:t> </w:t>
      </w:r>
      <w:r>
        <w:rPr/>
        <w:t>provided,</w:t>
      </w:r>
      <w:r>
        <w:rPr>
          <w:spacing w:val="-6"/>
        </w:rPr>
        <w:t> </w:t>
      </w:r>
      <w:r>
        <w:rPr/>
        <w:t>are</w:t>
      </w:r>
      <w:r>
        <w:rPr>
          <w:spacing w:val="-8"/>
        </w:rPr>
        <w:t> </w:t>
      </w:r>
      <w:r>
        <w:rPr/>
        <w:t>equipped</w:t>
      </w:r>
      <w:r>
        <w:rPr>
          <w:spacing w:val="-9"/>
        </w:rPr>
        <w:t> </w:t>
      </w:r>
      <w:r>
        <w:rPr/>
        <w:t>with</w:t>
      </w:r>
      <w:r>
        <w:rPr>
          <w:spacing w:val="-7"/>
        </w:rPr>
        <w:t> </w:t>
      </w:r>
      <w:r>
        <w:rPr/>
        <w:t>animal-resistant</w:t>
      </w:r>
      <w:r>
        <w:rPr>
          <w:spacing w:val="-5"/>
        </w:rPr>
        <w:t> </w:t>
      </w:r>
      <w:r>
        <w:rPr/>
        <w:t>food</w:t>
      </w:r>
      <w:r>
        <w:rPr>
          <w:spacing w:val="-12"/>
        </w:rPr>
        <w:t> </w:t>
      </w:r>
      <w:r>
        <w:rPr/>
        <w:t>and</w:t>
      </w:r>
      <w:r>
        <w:rPr>
          <w:spacing w:val="-6"/>
        </w:rPr>
        <w:t> </w:t>
      </w:r>
      <w:r>
        <w:rPr/>
        <w:t>waste storage devices so that food, garbage, and other attractants can be made inaccessible to </w:t>
      </w:r>
      <w:r>
        <w:rPr>
          <w:spacing w:val="-2"/>
        </w:rPr>
        <w:t>wildlife.</w:t>
      </w:r>
    </w:p>
    <w:p>
      <w:pPr>
        <w:pStyle w:val="BodyText"/>
        <w:spacing w:line="232" w:lineRule="auto" w:before="199"/>
        <w:ind w:left="1151" w:right="801"/>
      </w:pPr>
      <w:r>
        <w:rPr/>
        <w:t>Forest</w:t>
      </w:r>
      <w:r>
        <w:rPr>
          <w:spacing w:val="-8"/>
        </w:rPr>
        <w:t> </w:t>
      </w:r>
      <w:r>
        <w:rPr/>
        <w:t>visitors</w:t>
      </w:r>
      <w:r>
        <w:rPr>
          <w:spacing w:val="-6"/>
        </w:rPr>
        <w:t> </w:t>
      </w:r>
      <w:r>
        <w:rPr/>
        <w:t>are</w:t>
      </w:r>
      <w:r>
        <w:rPr>
          <w:spacing w:val="-8"/>
        </w:rPr>
        <w:t> </w:t>
      </w:r>
      <w:r>
        <w:rPr/>
        <w:t>aware</w:t>
      </w:r>
      <w:r>
        <w:rPr>
          <w:spacing w:val="-8"/>
        </w:rPr>
        <w:t> </w:t>
      </w:r>
      <w:r>
        <w:rPr/>
        <w:t>of</w:t>
      </w:r>
      <w:r>
        <w:rPr>
          <w:spacing w:val="-8"/>
        </w:rPr>
        <w:t> </w:t>
      </w:r>
      <w:r>
        <w:rPr/>
        <w:t>the</w:t>
      </w:r>
      <w:r>
        <w:rPr>
          <w:spacing w:val="-5"/>
        </w:rPr>
        <w:t> </w:t>
      </w:r>
      <w:r>
        <w:rPr/>
        <w:t>need</w:t>
      </w:r>
      <w:r>
        <w:rPr>
          <w:spacing w:val="-9"/>
        </w:rPr>
        <w:t> </w:t>
      </w:r>
      <w:r>
        <w:rPr/>
        <w:t>to</w:t>
      </w:r>
      <w:r>
        <w:rPr>
          <w:spacing w:val="-7"/>
        </w:rPr>
        <w:t> </w:t>
      </w:r>
      <w:r>
        <w:rPr/>
        <w:t>properly</w:t>
      </w:r>
      <w:r>
        <w:rPr>
          <w:spacing w:val="-7"/>
        </w:rPr>
        <w:t> </w:t>
      </w:r>
      <w:r>
        <w:rPr/>
        <w:t>store</w:t>
      </w:r>
      <w:r>
        <w:rPr>
          <w:spacing w:val="-10"/>
        </w:rPr>
        <w:t> </w:t>
      </w:r>
      <w:r>
        <w:rPr/>
        <w:t>all</w:t>
      </w:r>
      <w:r>
        <w:rPr>
          <w:spacing w:val="-6"/>
        </w:rPr>
        <w:t> </w:t>
      </w:r>
      <w:r>
        <w:rPr/>
        <w:t>wildlife</w:t>
      </w:r>
      <w:r>
        <w:rPr>
          <w:spacing w:val="-5"/>
        </w:rPr>
        <w:t> </w:t>
      </w:r>
      <w:r>
        <w:rPr/>
        <w:t>attractants</w:t>
      </w:r>
      <w:r>
        <w:rPr>
          <w:spacing w:val="-8"/>
        </w:rPr>
        <w:t> </w:t>
      </w:r>
      <w:r>
        <w:rPr/>
        <w:t>through</w:t>
      </w:r>
      <w:r>
        <w:rPr>
          <w:spacing w:val="-7"/>
        </w:rPr>
        <w:t> </w:t>
      </w:r>
      <w:r>
        <w:rPr/>
        <w:t>one-on- one contacts with campground hosts and agency employees, signage, and the media.</w:t>
      </w:r>
    </w:p>
    <w:p>
      <w:pPr>
        <w:pStyle w:val="BodyText"/>
        <w:spacing w:line="262" w:lineRule="exact"/>
        <w:ind w:left="1151"/>
      </w:pPr>
      <w:r>
        <w:rPr/>
        <w:t>Compliance</w:t>
      </w:r>
      <w:r>
        <w:rPr>
          <w:spacing w:val="-9"/>
        </w:rPr>
        <w:t> </w:t>
      </w:r>
      <w:r>
        <w:rPr/>
        <w:t>with</w:t>
      </w:r>
      <w:r>
        <w:rPr>
          <w:spacing w:val="-7"/>
        </w:rPr>
        <w:t> </w:t>
      </w:r>
      <w:r>
        <w:rPr/>
        <w:t>the</w:t>
      </w:r>
      <w:r>
        <w:rPr>
          <w:spacing w:val="-8"/>
        </w:rPr>
        <w:t> </w:t>
      </w:r>
      <w:r>
        <w:rPr/>
        <w:t>Forest’s</w:t>
      </w:r>
      <w:r>
        <w:rPr>
          <w:spacing w:val="-7"/>
        </w:rPr>
        <w:t> </w:t>
      </w:r>
      <w:r>
        <w:rPr/>
        <w:t>food</w:t>
      </w:r>
      <w:r>
        <w:rPr>
          <w:spacing w:val="-7"/>
        </w:rPr>
        <w:t> </w:t>
      </w:r>
      <w:r>
        <w:rPr/>
        <w:t>storage</w:t>
      </w:r>
      <w:r>
        <w:rPr>
          <w:spacing w:val="-9"/>
        </w:rPr>
        <w:t> </w:t>
      </w:r>
      <w:r>
        <w:rPr/>
        <w:t>order</w:t>
      </w:r>
      <w:r>
        <w:rPr>
          <w:spacing w:val="-8"/>
        </w:rPr>
        <w:t> </w:t>
      </w:r>
      <w:r>
        <w:rPr/>
        <w:t>is</w:t>
      </w:r>
      <w:r>
        <w:rPr>
          <w:spacing w:val="-6"/>
        </w:rPr>
        <w:t> </w:t>
      </w:r>
      <w:r>
        <w:rPr>
          <w:spacing w:val="-2"/>
        </w:rPr>
        <w:t>increasing.</w:t>
      </w:r>
    </w:p>
    <w:p>
      <w:pPr>
        <w:spacing w:before="231"/>
        <w:ind w:left="1151" w:right="0" w:firstLine="0"/>
        <w:jc w:val="left"/>
        <w:rPr>
          <w:rFonts w:ascii="Arial"/>
          <w:i/>
          <w:sz w:val="22"/>
        </w:rPr>
      </w:pPr>
      <w:bookmarkStart w:name="FW-DC-WL-02. Habitat Conditions for Thre" w:id="262"/>
      <w:bookmarkEnd w:id="262"/>
      <w:r>
        <w:rPr/>
      </w:r>
      <w:r>
        <w:rPr>
          <w:rFonts w:ascii="Arial"/>
          <w:i/>
          <w:sz w:val="22"/>
        </w:rPr>
        <w:t>FW-DC-WL-02.</w:t>
      </w:r>
      <w:r>
        <w:rPr>
          <w:rFonts w:ascii="Arial"/>
          <w:i/>
          <w:spacing w:val="-6"/>
          <w:sz w:val="22"/>
        </w:rPr>
        <w:t> </w:t>
      </w:r>
      <w:r>
        <w:rPr>
          <w:rFonts w:ascii="Arial"/>
          <w:i/>
          <w:sz w:val="22"/>
        </w:rPr>
        <w:t>Habitat</w:t>
      </w:r>
      <w:r>
        <w:rPr>
          <w:rFonts w:ascii="Arial"/>
          <w:i/>
          <w:spacing w:val="-8"/>
          <w:sz w:val="22"/>
        </w:rPr>
        <w:t> </w:t>
      </w:r>
      <w:r>
        <w:rPr>
          <w:rFonts w:ascii="Arial"/>
          <w:i/>
          <w:sz w:val="22"/>
        </w:rPr>
        <w:t>Conditions</w:t>
      </w:r>
      <w:r>
        <w:rPr>
          <w:rFonts w:ascii="Arial"/>
          <w:i/>
          <w:spacing w:val="-7"/>
          <w:sz w:val="22"/>
        </w:rPr>
        <w:t> </w:t>
      </w:r>
      <w:r>
        <w:rPr>
          <w:rFonts w:ascii="Arial"/>
          <w:i/>
          <w:sz w:val="22"/>
        </w:rPr>
        <w:t>for</w:t>
      </w:r>
      <w:r>
        <w:rPr>
          <w:rFonts w:ascii="Arial"/>
          <w:i/>
          <w:spacing w:val="-8"/>
          <w:sz w:val="22"/>
        </w:rPr>
        <w:t> </w:t>
      </w:r>
      <w:r>
        <w:rPr>
          <w:rFonts w:ascii="Arial"/>
          <w:i/>
          <w:sz w:val="22"/>
        </w:rPr>
        <w:t>Threatened</w:t>
      </w:r>
      <w:r>
        <w:rPr>
          <w:rFonts w:ascii="Arial"/>
          <w:i/>
          <w:spacing w:val="-8"/>
          <w:sz w:val="22"/>
        </w:rPr>
        <w:t> </w:t>
      </w:r>
      <w:r>
        <w:rPr>
          <w:rFonts w:ascii="Arial"/>
          <w:i/>
          <w:sz w:val="22"/>
        </w:rPr>
        <w:t>and</w:t>
      </w:r>
      <w:r>
        <w:rPr>
          <w:rFonts w:ascii="Arial"/>
          <w:i/>
          <w:spacing w:val="-7"/>
          <w:sz w:val="22"/>
        </w:rPr>
        <w:t> </w:t>
      </w:r>
      <w:r>
        <w:rPr>
          <w:rFonts w:ascii="Arial"/>
          <w:i/>
          <w:sz w:val="22"/>
        </w:rPr>
        <w:t>Endangered</w:t>
      </w:r>
      <w:r>
        <w:rPr>
          <w:rFonts w:ascii="Arial"/>
          <w:i/>
          <w:spacing w:val="-7"/>
          <w:sz w:val="22"/>
        </w:rPr>
        <w:t> </w:t>
      </w:r>
      <w:r>
        <w:rPr>
          <w:rFonts w:ascii="Arial"/>
          <w:i/>
          <w:spacing w:val="-2"/>
          <w:sz w:val="22"/>
        </w:rPr>
        <w:t>Species</w:t>
      </w:r>
    </w:p>
    <w:p>
      <w:pPr>
        <w:pStyle w:val="BodyText"/>
        <w:spacing w:line="232" w:lineRule="auto" w:before="65"/>
        <w:ind w:left="1151" w:right="801"/>
      </w:pPr>
      <w:r>
        <w:rPr/>
        <w:t>Habitat conditions (amount, distribution, and connectivity of habitat) are consistent with the historical</w:t>
      </w:r>
      <w:r>
        <w:rPr>
          <w:spacing w:val="-6"/>
        </w:rPr>
        <w:t> </w:t>
      </w:r>
      <w:r>
        <w:rPr/>
        <w:t>range</w:t>
      </w:r>
      <w:r>
        <w:rPr>
          <w:spacing w:val="-7"/>
        </w:rPr>
        <w:t> </w:t>
      </w:r>
      <w:r>
        <w:rPr/>
        <w:t>of</w:t>
      </w:r>
      <w:r>
        <w:rPr>
          <w:spacing w:val="-7"/>
        </w:rPr>
        <w:t> </w:t>
      </w:r>
      <w:r>
        <w:rPr/>
        <w:t>variability</w:t>
      </w:r>
      <w:r>
        <w:rPr>
          <w:spacing w:val="-5"/>
        </w:rPr>
        <w:t> </w:t>
      </w:r>
      <w:r>
        <w:rPr/>
        <w:t>(see</w:t>
      </w:r>
      <w:r>
        <w:rPr>
          <w:spacing w:val="-5"/>
        </w:rPr>
        <w:t> </w:t>
      </w:r>
      <w:r>
        <w:rPr/>
        <w:t>also</w:t>
      </w:r>
      <w:r>
        <w:rPr>
          <w:spacing w:val="-5"/>
        </w:rPr>
        <w:t> </w:t>
      </w:r>
      <w:r>
        <w:rPr/>
        <w:t>FW-DC-VEG-04</w:t>
      </w:r>
      <w:r>
        <w:rPr>
          <w:spacing w:val="-7"/>
        </w:rPr>
        <w:t> </w:t>
      </w:r>
      <w:r>
        <w:rPr/>
        <w:t>and</w:t>
      </w:r>
      <w:r>
        <w:rPr>
          <w:spacing w:val="-7"/>
        </w:rPr>
        <w:t> </w:t>
      </w:r>
      <w:r>
        <w:rPr/>
        <w:t>05)</w:t>
      </w:r>
      <w:r>
        <w:rPr>
          <w:spacing w:val="-7"/>
        </w:rPr>
        <w:t> </w:t>
      </w:r>
      <w:r>
        <w:rPr/>
        <w:t>and</w:t>
      </w:r>
      <w:r>
        <w:rPr>
          <w:spacing w:val="-7"/>
        </w:rPr>
        <w:t> </w:t>
      </w:r>
      <w:r>
        <w:rPr/>
        <w:t>contribute</w:t>
      </w:r>
      <w:r>
        <w:rPr>
          <w:spacing w:val="-5"/>
        </w:rPr>
        <w:t> </w:t>
      </w:r>
      <w:r>
        <w:rPr/>
        <w:t>to</w:t>
      </w:r>
      <w:r>
        <w:rPr>
          <w:spacing w:val="-5"/>
        </w:rPr>
        <w:t> </w:t>
      </w:r>
      <w:r>
        <w:rPr/>
        <w:t>the</w:t>
      </w:r>
      <w:r>
        <w:rPr>
          <w:spacing w:val="-5"/>
        </w:rPr>
        <w:t> </w:t>
      </w:r>
      <w:r>
        <w:rPr/>
        <w:t>recovery</w:t>
      </w:r>
      <w:r>
        <w:rPr>
          <w:spacing w:val="-7"/>
        </w:rPr>
        <w:t> </w:t>
      </w:r>
      <w:r>
        <w:rPr/>
        <w:t>of federally listed threatened and endangered species.</w:t>
      </w:r>
    </w:p>
    <w:p>
      <w:pPr>
        <w:spacing w:before="235"/>
        <w:ind w:left="1151" w:right="0" w:firstLine="0"/>
        <w:jc w:val="left"/>
        <w:rPr>
          <w:rFonts w:ascii="Arial"/>
          <w:i/>
          <w:sz w:val="22"/>
        </w:rPr>
      </w:pPr>
      <w:bookmarkStart w:name="FW-DC-WL-03. Habitat Conditions for all " w:id="263"/>
      <w:bookmarkEnd w:id="263"/>
      <w:r>
        <w:rPr/>
      </w:r>
      <w:r>
        <w:rPr>
          <w:rFonts w:ascii="Arial"/>
          <w:i/>
          <w:sz w:val="22"/>
        </w:rPr>
        <w:t>FW-DC-WL-03.</w:t>
      </w:r>
      <w:r>
        <w:rPr>
          <w:rFonts w:ascii="Arial"/>
          <w:i/>
          <w:spacing w:val="-8"/>
          <w:sz w:val="22"/>
        </w:rPr>
        <w:t> </w:t>
      </w:r>
      <w:r>
        <w:rPr>
          <w:rFonts w:ascii="Arial"/>
          <w:i/>
          <w:sz w:val="22"/>
        </w:rPr>
        <w:t>Habitat</w:t>
      </w:r>
      <w:r>
        <w:rPr>
          <w:rFonts w:ascii="Arial"/>
          <w:i/>
          <w:spacing w:val="-7"/>
          <w:sz w:val="22"/>
        </w:rPr>
        <w:t> </w:t>
      </w:r>
      <w:r>
        <w:rPr>
          <w:rFonts w:ascii="Arial"/>
          <w:i/>
          <w:sz w:val="22"/>
        </w:rPr>
        <w:t>Conditions</w:t>
      </w:r>
      <w:r>
        <w:rPr>
          <w:rFonts w:ascii="Arial"/>
          <w:i/>
          <w:spacing w:val="-6"/>
          <w:sz w:val="22"/>
        </w:rPr>
        <w:t> </w:t>
      </w:r>
      <w:r>
        <w:rPr>
          <w:rFonts w:ascii="Arial"/>
          <w:i/>
          <w:sz w:val="22"/>
        </w:rPr>
        <w:t>for</w:t>
      </w:r>
      <w:r>
        <w:rPr>
          <w:rFonts w:ascii="Arial"/>
          <w:i/>
          <w:spacing w:val="-8"/>
          <w:sz w:val="22"/>
        </w:rPr>
        <w:t> </w:t>
      </w:r>
      <w:r>
        <w:rPr>
          <w:rFonts w:ascii="Arial"/>
          <w:i/>
          <w:sz w:val="22"/>
        </w:rPr>
        <w:t>all</w:t>
      </w:r>
      <w:r>
        <w:rPr>
          <w:rFonts w:ascii="Arial"/>
          <w:i/>
          <w:spacing w:val="-7"/>
          <w:sz w:val="22"/>
        </w:rPr>
        <w:t> </w:t>
      </w:r>
      <w:r>
        <w:rPr>
          <w:rFonts w:ascii="Arial"/>
          <w:i/>
          <w:sz w:val="22"/>
        </w:rPr>
        <w:t>Surrogate</w:t>
      </w:r>
      <w:r>
        <w:rPr>
          <w:rFonts w:ascii="Arial"/>
          <w:i/>
          <w:spacing w:val="-6"/>
          <w:sz w:val="22"/>
        </w:rPr>
        <w:t> </w:t>
      </w:r>
      <w:r>
        <w:rPr>
          <w:rFonts w:ascii="Arial"/>
          <w:i/>
          <w:spacing w:val="-2"/>
          <w:sz w:val="22"/>
        </w:rPr>
        <w:t>Species</w:t>
      </w:r>
    </w:p>
    <w:p>
      <w:pPr>
        <w:pStyle w:val="BodyText"/>
        <w:spacing w:line="232" w:lineRule="auto" w:before="65"/>
        <w:ind w:left="1150" w:right="801"/>
      </w:pPr>
      <w:r>
        <w:rPr/>
        <w:t>Habitat</w:t>
      </w:r>
      <w:r>
        <w:rPr>
          <w:spacing w:val="-5"/>
        </w:rPr>
        <w:t> </w:t>
      </w:r>
      <w:r>
        <w:rPr/>
        <w:t>conditions</w:t>
      </w:r>
      <w:r>
        <w:rPr>
          <w:spacing w:val="-6"/>
        </w:rPr>
        <w:t> </w:t>
      </w:r>
      <w:r>
        <w:rPr/>
        <w:t>(amount,</w:t>
      </w:r>
      <w:r>
        <w:rPr>
          <w:spacing w:val="-6"/>
        </w:rPr>
        <w:t> </w:t>
      </w:r>
      <w:r>
        <w:rPr/>
        <w:t>distribution,</w:t>
      </w:r>
      <w:r>
        <w:rPr>
          <w:spacing w:val="-8"/>
        </w:rPr>
        <w:t> </w:t>
      </w:r>
      <w:r>
        <w:rPr/>
        <w:t>and</w:t>
      </w:r>
      <w:r>
        <w:rPr>
          <w:spacing w:val="-7"/>
        </w:rPr>
        <w:t> </w:t>
      </w:r>
      <w:r>
        <w:rPr/>
        <w:t>connectivity</w:t>
      </w:r>
      <w:r>
        <w:rPr>
          <w:spacing w:val="-7"/>
        </w:rPr>
        <w:t> </w:t>
      </w:r>
      <w:r>
        <w:rPr/>
        <w:t>of</w:t>
      </w:r>
      <w:r>
        <w:rPr>
          <w:spacing w:val="-8"/>
        </w:rPr>
        <w:t> </w:t>
      </w:r>
      <w:r>
        <w:rPr/>
        <w:t>habitat)</w:t>
      </w:r>
      <w:r>
        <w:rPr>
          <w:spacing w:val="-8"/>
        </w:rPr>
        <w:t> </w:t>
      </w:r>
      <w:r>
        <w:rPr/>
        <w:t>are</w:t>
      </w:r>
      <w:r>
        <w:rPr>
          <w:spacing w:val="-5"/>
        </w:rPr>
        <w:t> </w:t>
      </w:r>
      <w:r>
        <w:rPr/>
        <w:t>consistent</w:t>
      </w:r>
      <w:r>
        <w:rPr>
          <w:spacing w:val="-5"/>
        </w:rPr>
        <w:t> </w:t>
      </w:r>
      <w:r>
        <w:rPr/>
        <w:t>with</w:t>
      </w:r>
      <w:r>
        <w:rPr>
          <w:spacing w:val="-7"/>
        </w:rPr>
        <w:t> </w:t>
      </w:r>
      <w:r>
        <w:rPr/>
        <w:t>the historical range of variability (per FW-DC-VEG-03 and 04) and contribute to the viability of surrogate species and associated species.</w:t>
      </w:r>
    </w:p>
    <w:p>
      <w:pPr>
        <w:spacing w:before="233"/>
        <w:ind w:left="1150" w:right="0" w:firstLine="0"/>
        <w:jc w:val="left"/>
        <w:rPr>
          <w:rFonts w:ascii="Arial"/>
          <w:i/>
          <w:sz w:val="22"/>
        </w:rPr>
      </w:pPr>
      <w:bookmarkStart w:name="FW-DC-WL-04. Habitat Components for Cana" w:id="264"/>
      <w:bookmarkEnd w:id="264"/>
      <w:r>
        <w:rPr/>
      </w:r>
      <w:r>
        <w:rPr>
          <w:rFonts w:ascii="Arial"/>
          <w:i/>
          <w:sz w:val="22"/>
        </w:rPr>
        <w:t>FW-DC-WL-04.</w:t>
      </w:r>
      <w:r>
        <w:rPr>
          <w:rFonts w:ascii="Arial"/>
          <w:i/>
          <w:spacing w:val="-6"/>
          <w:sz w:val="22"/>
        </w:rPr>
        <w:t> </w:t>
      </w:r>
      <w:r>
        <w:rPr>
          <w:rFonts w:ascii="Arial"/>
          <w:i/>
          <w:sz w:val="22"/>
        </w:rPr>
        <w:t>Habitat</w:t>
      </w:r>
      <w:r>
        <w:rPr>
          <w:rFonts w:ascii="Arial"/>
          <w:i/>
          <w:spacing w:val="-8"/>
          <w:sz w:val="22"/>
        </w:rPr>
        <w:t> </w:t>
      </w:r>
      <w:r>
        <w:rPr>
          <w:rFonts w:ascii="Arial"/>
          <w:i/>
          <w:sz w:val="22"/>
        </w:rPr>
        <w:t>Components</w:t>
      </w:r>
      <w:r>
        <w:rPr>
          <w:rFonts w:ascii="Arial"/>
          <w:i/>
          <w:spacing w:val="-8"/>
          <w:sz w:val="22"/>
        </w:rPr>
        <w:t> </w:t>
      </w:r>
      <w:r>
        <w:rPr>
          <w:rFonts w:ascii="Arial"/>
          <w:i/>
          <w:sz w:val="22"/>
        </w:rPr>
        <w:t>for</w:t>
      </w:r>
      <w:r>
        <w:rPr>
          <w:rFonts w:ascii="Arial"/>
          <w:i/>
          <w:spacing w:val="-6"/>
          <w:sz w:val="22"/>
        </w:rPr>
        <w:t> </w:t>
      </w:r>
      <w:r>
        <w:rPr>
          <w:rFonts w:ascii="Arial"/>
          <w:i/>
          <w:sz w:val="22"/>
        </w:rPr>
        <w:t>Canada</w:t>
      </w:r>
      <w:r>
        <w:rPr>
          <w:rFonts w:ascii="Arial"/>
          <w:i/>
          <w:spacing w:val="-8"/>
          <w:sz w:val="22"/>
        </w:rPr>
        <w:t> </w:t>
      </w:r>
      <w:r>
        <w:rPr>
          <w:rFonts w:ascii="Arial"/>
          <w:i/>
          <w:spacing w:val="-4"/>
          <w:sz w:val="22"/>
        </w:rPr>
        <w:t>Lynx</w:t>
      </w:r>
    </w:p>
    <w:p>
      <w:pPr>
        <w:pStyle w:val="BodyText"/>
        <w:spacing w:line="232" w:lineRule="auto" w:before="64"/>
        <w:ind w:left="1150" w:right="801"/>
      </w:pPr>
      <w:r>
        <w:rPr/>
        <w:t>Forest</w:t>
      </w:r>
      <w:r>
        <w:rPr>
          <w:spacing w:val="-4"/>
        </w:rPr>
        <w:t> </w:t>
      </w:r>
      <w:r>
        <w:rPr/>
        <w:t>successional</w:t>
      </w:r>
      <w:r>
        <w:rPr>
          <w:spacing w:val="-5"/>
        </w:rPr>
        <w:t> </w:t>
      </w:r>
      <w:r>
        <w:rPr/>
        <w:t>stages</w:t>
      </w:r>
      <w:r>
        <w:rPr>
          <w:spacing w:val="-7"/>
        </w:rPr>
        <w:t> </w:t>
      </w:r>
      <w:r>
        <w:rPr/>
        <w:t>within</w:t>
      </w:r>
      <w:r>
        <w:rPr>
          <w:spacing w:val="-6"/>
        </w:rPr>
        <w:t> </w:t>
      </w:r>
      <w:r>
        <w:rPr/>
        <w:t>lynx</w:t>
      </w:r>
      <w:r>
        <w:rPr>
          <w:spacing w:val="-5"/>
        </w:rPr>
        <w:t> </w:t>
      </w:r>
      <w:r>
        <w:rPr/>
        <w:t>analysis</w:t>
      </w:r>
      <w:r>
        <w:rPr>
          <w:spacing w:val="-5"/>
        </w:rPr>
        <w:t> </w:t>
      </w:r>
      <w:r>
        <w:rPr/>
        <w:t>units</w:t>
      </w:r>
      <w:r>
        <w:rPr>
          <w:spacing w:val="-7"/>
        </w:rPr>
        <w:t> </w:t>
      </w:r>
      <w:r>
        <w:rPr/>
        <w:t>provide</w:t>
      </w:r>
      <w:r>
        <w:rPr>
          <w:spacing w:val="-4"/>
        </w:rPr>
        <w:t> </w:t>
      </w:r>
      <w:r>
        <w:rPr/>
        <w:t>a</w:t>
      </w:r>
      <w:r>
        <w:rPr>
          <w:spacing w:val="-7"/>
        </w:rPr>
        <w:t> </w:t>
      </w:r>
      <w:r>
        <w:rPr/>
        <w:t>mosaic</w:t>
      </w:r>
      <w:r>
        <w:rPr>
          <w:spacing w:val="-7"/>
        </w:rPr>
        <w:t> </w:t>
      </w:r>
      <w:r>
        <w:rPr/>
        <w:t>of</w:t>
      </w:r>
      <w:r>
        <w:rPr>
          <w:spacing w:val="-7"/>
        </w:rPr>
        <w:t> </w:t>
      </w:r>
      <w:r>
        <w:rPr/>
        <w:t>lynx</w:t>
      </w:r>
      <w:r>
        <w:rPr>
          <w:spacing w:val="-5"/>
        </w:rPr>
        <w:t> </w:t>
      </w:r>
      <w:r>
        <w:rPr/>
        <w:t>habitat</w:t>
      </w:r>
      <w:r>
        <w:rPr>
          <w:spacing w:val="-4"/>
        </w:rPr>
        <w:t> </w:t>
      </w:r>
      <w:r>
        <w:rPr/>
        <w:t>(including foraging, travel and denning components) with landscape pattern that is consistent with the historical range of variability (per FW-DC-VEG-03 and </w:t>
      </w:r>
      <w:hyperlink w:history="true" w:anchor="_bookmark78">
        <w:r>
          <w:rPr/>
          <w:t>table 5</w:t>
        </w:r>
      </w:hyperlink>
      <w:r>
        <w:rPr/>
        <w:t>)</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hanging="1"/>
        <w:jc w:val="left"/>
        <w:rPr>
          <w:rFonts w:ascii="Arial" w:hAnsi="Arial"/>
          <w:i/>
          <w:sz w:val="22"/>
        </w:rPr>
      </w:pPr>
      <w:bookmarkStart w:name="FW-DC-WL-05. Grizzly Bear Recovery Area " w:id="265"/>
      <w:bookmarkEnd w:id="265"/>
      <w:r>
        <w:rPr/>
      </w:r>
      <w:r>
        <w:rPr>
          <w:rFonts w:ascii="Arial" w:hAnsi="Arial"/>
          <w:i/>
          <w:sz w:val="22"/>
        </w:rPr>
        <w:t>FW-DC-WL-05.</w:t>
      </w:r>
      <w:r>
        <w:rPr>
          <w:rFonts w:ascii="Arial" w:hAnsi="Arial"/>
          <w:i/>
          <w:spacing w:val="-7"/>
          <w:sz w:val="22"/>
        </w:rPr>
        <w:t> </w:t>
      </w:r>
      <w:r>
        <w:rPr>
          <w:rFonts w:ascii="Arial" w:hAnsi="Arial"/>
          <w:i/>
          <w:sz w:val="22"/>
        </w:rPr>
        <w:t>Grizzly</w:t>
      </w:r>
      <w:r>
        <w:rPr>
          <w:rFonts w:ascii="Arial" w:hAnsi="Arial"/>
          <w:i/>
          <w:spacing w:val="-5"/>
          <w:sz w:val="22"/>
        </w:rPr>
        <w:t> </w:t>
      </w:r>
      <w:r>
        <w:rPr>
          <w:rFonts w:ascii="Arial" w:hAnsi="Arial"/>
          <w:i/>
          <w:sz w:val="22"/>
        </w:rPr>
        <w:t>Bear</w:t>
      </w:r>
      <w:r>
        <w:rPr>
          <w:rFonts w:ascii="Arial" w:hAnsi="Arial"/>
          <w:i/>
          <w:spacing w:val="-5"/>
          <w:sz w:val="22"/>
        </w:rPr>
        <w:t> </w:t>
      </w:r>
      <w:r>
        <w:rPr>
          <w:rFonts w:ascii="Arial" w:hAnsi="Arial"/>
          <w:i/>
          <w:sz w:val="22"/>
        </w:rPr>
        <w:t>Recovery</w:t>
      </w:r>
      <w:r>
        <w:rPr>
          <w:rFonts w:ascii="Arial" w:hAnsi="Arial"/>
          <w:i/>
          <w:spacing w:val="-5"/>
          <w:sz w:val="22"/>
        </w:rPr>
        <w:t> </w:t>
      </w:r>
      <w:r>
        <w:rPr>
          <w:rFonts w:ascii="Arial" w:hAnsi="Arial"/>
          <w:i/>
          <w:sz w:val="22"/>
        </w:rPr>
        <w:t>Area</w:t>
      </w:r>
      <w:r>
        <w:rPr>
          <w:rFonts w:ascii="Arial" w:hAnsi="Arial"/>
          <w:i/>
          <w:spacing w:val="-6"/>
          <w:sz w:val="22"/>
        </w:rPr>
        <w:t> </w:t>
      </w:r>
      <w:r>
        <w:rPr>
          <w:rFonts w:ascii="Arial" w:hAnsi="Arial"/>
          <w:i/>
          <w:sz w:val="22"/>
        </w:rPr>
        <w:t>–</w:t>
      </w:r>
      <w:r>
        <w:rPr>
          <w:rFonts w:ascii="Arial" w:hAnsi="Arial"/>
          <w:i/>
          <w:spacing w:val="-8"/>
          <w:sz w:val="22"/>
        </w:rPr>
        <w:t> </w:t>
      </w:r>
      <w:r>
        <w:rPr>
          <w:rFonts w:ascii="Arial" w:hAnsi="Arial"/>
          <w:i/>
          <w:sz w:val="22"/>
        </w:rPr>
        <w:t>Key</w:t>
      </w:r>
      <w:r>
        <w:rPr>
          <w:rFonts w:ascii="Arial" w:hAnsi="Arial"/>
          <w:i/>
          <w:spacing w:val="-5"/>
          <w:sz w:val="22"/>
        </w:rPr>
        <w:t> </w:t>
      </w:r>
      <w:r>
        <w:rPr>
          <w:rFonts w:ascii="Arial" w:hAnsi="Arial"/>
          <w:i/>
          <w:sz w:val="22"/>
        </w:rPr>
        <w:t>Habitat</w:t>
      </w:r>
      <w:r>
        <w:rPr>
          <w:rFonts w:ascii="Arial" w:hAnsi="Arial"/>
          <w:i/>
          <w:spacing w:val="-6"/>
          <w:sz w:val="22"/>
        </w:rPr>
        <w:t> </w:t>
      </w:r>
      <w:r>
        <w:rPr>
          <w:rFonts w:ascii="Arial" w:hAnsi="Arial"/>
          <w:i/>
          <w:sz w:val="22"/>
        </w:rPr>
        <w:t>Components</w:t>
      </w:r>
      <w:r>
        <w:rPr>
          <w:rFonts w:ascii="Arial" w:hAnsi="Arial"/>
          <w:i/>
          <w:spacing w:val="-7"/>
          <w:sz w:val="22"/>
        </w:rPr>
        <w:t> </w:t>
      </w:r>
      <w:r>
        <w:rPr>
          <w:rFonts w:ascii="Arial" w:hAnsi="Arial"/>
          <w:i/>
          <w:sz w:val="22"/>
        </w:rPr>
        <w:t>for</w:t>
      </w:r>
      <w:r>
        <w:rPr>
          <w:rFonts w:ascii="Arial" w:hAnsi="Arial"/>
          <w:i/>
          <w:spacing w:val="-7"/>
          <w:sz w:val="22"/>
        </w:rPr>
        <w:t> </w:t>
      </w:r>
      <w:r>
        <w:rPr>
          <w:rFonts w:ascii="Arial" w:hAnsi="Arial"/>
          <w:i/>
          <w:sz w:val="22"/>
        </w:rPr>
        <w:t>Grizzly</w:t>
      </w:r>
      <w:r>
        <w:rPr>
          <w:rFonts w:ascii="Arial" w:hAnsi="Arial"/>
          <w:i/>
          <w:spacing w:val="-5"/>
          <w:sz w:val="22"/>
        </w:rPr>
        <w:t> </w:t>
      </w:r>
      <w:r>
        <w:rPr>
          <w:rFonts w:ascii="Arial" w:hAnsi="Arial"/>
          <w:i/>
          <w:spacing w:val="-4"/>
          <w:sz w:val="22"/>
        </w:rPr>
        <w:t>Bear</w:t>
      </w:r>
    </w:p>
    <w:p>
      <w:pPr>
        <w:pStyle w:val="BodyText"/>
        <w:spacing w:line="232" w:lineRule="auto" w:before="65"/>
        <w:ind w:left="360" w:right="1518"/>
        <w:jc w:val="both"/>
      </w:pPr>
      <w:r>
        <w:rPr/>
        <w:t>Key grizzly bear</w:t>
      </w:r>
      <w:r>
        <w:rPr>
          <w:spacing w:val="-3"/>
        </w:rPr>
        <w:t> </w:t>
      </w:r>
      <w:r>
        <w:rPr/>
        <w:t>habitat components</w:t>
      </w:r>
      <w:r>
        <w:rPr>
          <w:spacing w:val="-1"/>
        </w:rPr>
        <w:t> </w:t>
      </w:r>
      <w:r>
        <w:rPr/>
        <w:t>(such</w:t>
      </w:r>
      <w:r>
        <w:rPr>
          <w:spacing w:val="-2"/>
        </w:rPr>
        <w:t> </w:t>
      </w:r>
      <w:r>
        <w:rPr/>
        <w:t>as</w:t>
      </w:r>
      <w:r>
        <w:rPr>
          <w:spacing w:val="-1"/>
        </w:rPr>
        <w:t> </w:t>
      </w:r>
      <w:r>
        <w:rPr/>
        <w:t>whitebark pine,</w:t>
      </w:r>
      <w:r>
        <w:rPr>
          <w:spacing w:val="-1"/>
        </w:rPr>
        <w:t> </w:t>
      </w:r>
      <w:r>
        <w:rPr/>
        <w:t>riparian</w:t>
      </w:r>
      <w:r>
        <w:rPr>
          <w:spacing w:val="-2"/>
        </w:rPr>
        <w:t> </w:t>
      </w:r>
      <w:r>
        <w:rPr/>
        <w:t>habitats,</w:t>
      </w:r>
      <w:r>
        <w:rPr>
          <w:spacing w:val="-1"/>
        </w:rPr>
        <w:t> </w:t>
      </w:r>
      <w:r>
        <w:rPr/>
        <w:t>berry-producing shrubfields,</w:t>
      </w:r>
      <w:r>
        <w:rPr>
          <w:spacing w:val="-7"/>
        </w:rPr>
        <w:t> </w:t>
      </w:r>
      <w:r>
        <w:rPr/>
        <w:t>natural</w:t>
      </w:r>
      <w:r>
        <w:rPr>
          <w:spacing w:val="-7"/>
        </w:rPr>
        <w:t> </w:t>
      </w:r>
      <w:r>
        <w:rPr/>
        <w:t>meadows,</w:t>
      </w:r>
      <w:r>
        <w:rPr>
          <w:spacing w:val="-7"/>
        </w:rPr>
        <w:t> </w:t>
      </w:r>
      <w:r>
        <w:rPr/>
        <w:t>and</w:t>
      </w:r>
      <w:r>
        <w:rPr>
          <w:spacing w:val="-7"/>
        </w:rPr>
        <w:t> </w:t>
      </w:r>
      <w:r>
        <w:rPr/>
        <w:t>forest</w:t>
      </w:r>
      <w:r>
        <w:rPr>
          <w:spacing w:val="-6"/>
        </w:rPr>
        <w:t> </w:t>
      </w:r>
      <w:r>
        <w:rPr/>
        <w:t>cover)</w:t>
      </w:r>
      <w:r>
        <w:rPr>
          <w:spacing w:val="-7"/>
        </w:rPr>
        <w:t> </w:t>
      </w:r>
      <w:r>
        <w:rPr/>
        <w:t>are</w:t>
      </w:r>
      <w:r>
        <w:rPr>
          <w:spacing w:val="-6"/>
        </w:rPr>
        <w:t> </w:t>
      </w:r>
      <w:r>
        <w:rPr/>
        <w:t>available</w:t>
      </w:r>
      <w:r>
        <w:rPr>
          <w:spacing w:val="-6"/>
        </w:rPr>
        <w:t> </w:t>
      </w:r>
      <w:r>
        <w:rPr/>
        <w:t>within</w:t>
      </w:r>
      <w:r>
        <w:rPr>
          <w:spacing w:val="-7"/>
        </w:rPr>
        <w:t> </w:t>
      </w:r>
      <w:r>
        <w:rPr/>
        <w:t>core</w:t>
      </w:r>
      <w:r>
        <w:rPr>
          <w:spacing w:val="-8"/>
        </w:rPr>
        <w:t> </w:t>
      </w:r>
      <w:r>
        <w:rPr/>
        <w:t>areas</w:t>
      </w:r>
      <w:r>
        <w:rPr>
          <w:spacing w:val="-7"/>
        </w:rPr>
        <w:t> </w:t>
      </w:r>
      <w:r>
        <w:rPr/>
        <w:t>and</w:t>
      </w:r>
      <w:r>
        <w:rPr>
          <w:spacing w:val="-7"/>
        </w:rPr>
        <w:t> </w:t>
      </w:r>
      <w:r>
        <w:rPr/>
        <w:t>in</w:t>
      </w:r>
      <w:r>
        <w:rPr>
          <w:spacing w:val="-7"/>
        </w:rPr>
        <w:t> </w:t>
      </w:r>
      <w:r>
        <w:rPr/>
        <w:t>quantities that contribute toward a recovered bear population.</w:t>
      </w:r>
    </w:p>
    <w:p>
      <w:pPr>
        <w:spacing w:before="235"/>
        <w:ind w:left="360" w:right="0" w:firstLine="0"/>
        <w:jc w:val="left"/>
        <w:rPr>
          <w:rFonts w:ascii="Arial" w:hAnsi="Arial"/>
          <w:i/>
          <w:sz w:val="22"/>
        </w:rPr>
      </w:pPr>
      <w:bookmarkStart w:name="FW-DC-WL-06. Grizzly Bear Recovery Area " w:id="266"/>
      <w:bookmarkEnd w:id="266"/>
      <w:r>
        <w:rPr/>
      </w:r>
      <w:r>
        <w:rPr>
          <w:rFonts w:ascii="Arial" w:hAnsi="Arial"/>
          <w:i/>
          <w:sz w:val="22"/>
        </w:rPr>
        <w:t>FW-DC-WL-06.</w:t>
      </w:r>
      <w:r>
        <w:rPr>
          <w:rFonts w:ascii="Arial" w:hAnsi="Arial"/>
          <w:i/>
          <w:spacing w:val="-9"/>
          <w:sz w:val="22"/>
        </w:rPr>
        <w:t> </w:t>
      </w:r>
      <w:r>
        <w:rPr>
          <w:rFonts w:ascii="Arial" w:hAnsi="Arial"/>
          <w:i/>
          <w:sz w:val="22"/>
        </w:rPr>
        <w:t>Grizzly</w:t>
      </w:r>
      <w:r>
        <w:rPr>
          <w:rFonts w:ascii="Arial" w:hAnsi="Arial"/>
          <w:i/>
          <w:spacing w:val="-4"/>
          <w:sz w:val="22"/>
        </w:rPr>
        <w:t> </w:t>
      </w:r>
      <w:r>
        <w:rPr>
          <w:rFonts w:ascii="Arial" w:hAnsi="Arial"/>
          <w:i/>
          <w:sz w:val="22"/>
        </w:rPr>
        <w:t>Bear</w:t>
      </w:r>
      <w:r>
        <w:rPr>
          <w:rFonts w:ascii="Arial" w:hAnsi="Arial"/>
          <w:i/>
          <w:spacing w:val="-4"/>
          <w:sz w:val="22"/>
        </w:rPr>
        <w:t> </w:t>
      </w:r>
      <w:r>
        <w:rPr>
          <w:rFonts w:ascii="Arial" w:hAnsi="Arial"/>
          <w:i/>
          <w:sz w:val="22"/>
        </w:rPr>
        <w:t>Recovery</w:t>
      </w:r>
      <w:r>
        <w:rPr>
          <w:rFonts w:ascii="Arial" w:hAnsi="Arial"/>
          <w:i/>
          <w:spacing w:val="-4"/>
          <w:sz w:val="22"/>
        </w:rPr>
        <w:t> </w:t>
      </w:r>
      <w:r>
        <w:rPr>
          <w:rFonts w:ascii="Arial" w:hAnsi="Arial"/>
          <w:i/>
          <w:sz w:val="22"/>
        </w:rPr>
        <w:t>Area</w:t>
      </w:r>
      <w:r>
        <w:rPr>
          <w:rFonts w:ascii="Arial" w:hAnsi="Arial"/>
          <w:i/>
          <w:spacing w:val="-6"/>
          <w:sz w:val="22"/>
        </w:rPr>
        <w:t> </w:t>
      </w:r>
      <w:r>
        <w:rPr>
          <w:rFonts w:ascii="Arial" w:hAnsi="Arial"/>
          <w:i/>
          <w:sz w:val="22"/>
        </w:rPr>
        <w:t>–</w:t>
      </w:r>
      <w:r>
        <w:rPr>
          <w:rFonts w:ascii="Arial" w:hAnsi="Arial"/>
          <w:i/>
          <w:spacing w:val="-7"/>
          <w:sz w:val="22"/>
        </w:rPr>
        <w:t> </w:t>
      </w:r>
      <w:r>
        <w:rPr>
          <w:rFonts w:ascii="Arial" w:hAnsi="Arial"/>
          <w:i/>
          <w:sz w:val="22"/>
        </w:rPr>
        <w:t>Core</w:t>
      </w:r>
      <w:r>
        <w:rPr>
          <w:rFonts w:ascii="Arial" w:hAnsi="Arial"/>
          <w:i/>
          <w:spacing w:val="-5"/>
          <w:sz w:val="22"/>
        </w:rPr>
        <w:t> </w:t>
      </w:r>
      <w:r>
        <w:rPr>
          <w:rFonts w:ascii="Arial" w:hAnsi="Arial"/>
          <w:i/>
          <w:spacing w:val="-2"/>
          <w:sz w:val="22"/>
        </w:rPr>
        <w:t>Areas</w:t>
      </w:r>
    </w:p>
    <w:p>
      <w:pPr>
        <w:pStyle w:val="BodyText"/>
        <w:spacing w:line="232" w:lineRule="auto" w:before="65"/>
        <w:ind w:left="359" w:right="1741"/>
        <w:jc w:val="both"/>
      </w:pPr>
      <w:r>
        <w:rPr/>
        <w:t>The amount</w:t>
      </w:r>
      <w:r>
        <w:rPr>
          <w:spacing w:val="-3"/>
        </w:rPr>
        <w:t> </w:t>
      </w:r>
      <w:r>
        <w:rPr/>
        <w:t>of</w:t>
      </w:r>
      <w:r>
        <w:rPr>
          <w:spacing w:val="-1"/>
        </w:rPr>
        <w:t> </w:t>
      </w:r>
      <w:r>
        <w:rPr/>
        <w:t>core areas</w:t>
      </w:r>
      <w:r>
        <w:rPr>
          <w:spacing w:val="-1"/>
        </w:rPr>
        <w:t> </w:t>
      </w:r>
      <w:r>
        <w:rPr/>
        <w:t>available</w:t>
      </w:r>
      <w:r>
        <w:rPr>
          <w:spacing w:val="-3"/>
        </w:rPr>
        <w:t> </w:t>
      </w:r>
      <w:r>
        <w:rPr/>
        <w:t>to</w:t>
      </w:r>
      <w:r>
        <w:rPr>
          <w:spacing w:val="-2"/>
        </w:rPr>
        <w:t> </w:t>
      </w:r>
      <w:r>
        <w:rPr/>
        <w:t>grizzly bears</w:t>
      </w:r>
      <w:r>
        <w:rPr>
          <w:spacing w:val="-3"/>
        </w:rPr>
        <w:t> </w:t>
      </w:r>
      <w:r>
        <w:rPr/>
        <w:t>within</w:t>
      </w:r>
      <w:r>
        <w:rPr>
          <w:spacing w:val="-2"/>
        </w:rPr>
        <w:t> </w:t>
      </w:r>
      <w:r>
        <w:rPr/>
        <w:t>each</w:t>
      </w:r>
      <w:r>
        <w:rPr>
          <w:spacing w:val="-2"/>
        </w:rPr>
        <w:t> </w:t>
      </w:r>
      <w:r>
        <w:rPr/>
        <w:t>grizzly bear</w:t>
      </w:r>
      <w:r>
        <w:rPr>
          <w:spacing w:val="-3"/>
        </w:rPr>
        <w:t> </w:t>
      </w:r>
      <w:r>
        <w:rPr/>
        <w:t>management unit meets</w:t>
      </w:r>
      <w:r>
        <w:rPr>
          <w:spacing w:val="-7"/>
        </w:rPr>
        <w:t> </w:t>
      </w:r>
      <w:r>
        <w:rPr/>
        <w:t>the</w:t>
      </w:r>
      <w:r>
        <w:rPr>
          <w:spacing w:val="-7"/>
        </w:rPr>
        <w:t> </w:t>
      </w:r>
      <w:r>
        <w:rPr/>
        <w:t>standards</w:t>
      </w:r>
      <w:r>
        <w:rPr>
          <w:spacing w:val="-7"/>
        </w:rPr>
        <w:t> </w:t>
      </w:r>
      <w:r>
        <w:rPr/>
        <w:t>in</w:t>
      </w:r>
      <w:r>
        <w:rPr>
          <w:spacing w:val="-6"/>
        </w:rPr>
        <w:t> </w:t>
      </w:r>
      <w:hyperlink w:history="true" w:anchor="_bookmark108">
        <w:r>
          <w:rPr/>
          <w:t>table</w:t>
        </w:r>
        <w:r>
          <w:rPr>
            <w:spacing w:val="-4"/>
          </w:rPr>
          <w:t> </w:t>
        </w:r>
        <w:r>
          <w:rPr/>
          <w:t>15.</w:t>
        </w:r>
      </w:hyperlink>
      <w:r>
        <w:rPr>
          <w:spacing w:val="-5"/>
        </w:rPr>
        <w:t> </w:t>
      </w:r>
      <w:r>
        <w:rPr/>
        <w:t>Core</w:t>
      </w:r>
      <w:r>
        <w:rPr>
          <w:spacing w:val="-7"/>
        </w:rPr>
        <w:t> </w:t>
      </w:r>
      <w:r>
        <w:rPr/>
        <w:t>areas</w:t>
      </w:r>
      <w:r>
        <w:rPr>
          <w:spacing w:val="-5"/>
        </w:rPr>
        <w:t> </w:t>
      </w:r>
      <w:r>
        <w:rPr/>
        <w:t>are</w:t>
      </w:r>
      <w:r>
        <w:rPr>
          <w:spacing w:val="-7"/>
        </w:rPr>
        <w:t> </w:t>
      </w:r>
      <w:r>
        <w:rPr/>
        <w:t>expanded</w:t>
      </w:r>
      <w:r>
        <w:rPr>
          <w:spacing w:val="-6"/>
        </w:rPr>
        <w:t> </w:t>
      </w:r>
      <w:r>
        <w:rPr/>
        <w:t>where</w:t>
      </w:r>
      <w:r>
        <w:rPr>
          <w:spacing w:val="-7"/>
        </w:rPr>
        <w:t> </w:t>
      </w:r>
      <w:r>
        <w:rPr/>
        <w:t>other</w:t>
      </w:r>
      <w:r>
        <w:rPr>
          <w:spacing w:val="-5"/>
        </w:rPr>
        <w:t> </w:t>
      </w:r>
      <w:r>
        <w:rPr/>
        <w:t>forest</w:t>
      </w:r>
      <w:r>
        <w:rPr>
          <w:spacing w:val="-4"/>
        </w:rPr>
        <w:t> </w:t>
      </w:r>
      <w:r>
        <w:rPr/>
        <w:t>access</w:t>
      </w:r>
      <w:r>
        <w:rPr>
          <w:spacing w:val="-5"/>
        </w:rPr>
        <w:t> </w:t>
      </w:r>
      <w:r>
        <w:rPr/>
        <w:t>priorities or obligations can also be met.</w:t>
      </w:r>
    </w:p>
    <w:p>
      <w:pPr>
        <w:spacing w:before="233"/>
        <w:ind w:left="359" w:right="0" w:firstLine="0"/>
        <w:jc w:val="left"/>
        <w:rPr>
          <w:rFonts w:ascii="Arial"/>
          <w:i/>
          <w:sz w:val="22"/>
        </w:rPr>
      </w:pPr>
      <w:bookmarkStart w:name="FW-DC-WL-07. Woodland Caribou Seasonal H" w:id="267"/>
      <w:bookmarkEnd w:id="267"/>
      <w:r>
        <w:rPr/>
      </w:r>
      <w:r>
        <w:rPr>
          <w:rFonts w:ascii="Arial"/>
          <w:i/>
          <w:sz w:val="22"/>
        </w:rPr>
        <w:t>FW-DC-WL-07.</w:t>
      </w:r>
      <w:r>
        <w:rPr>
          <w:rFonts w:ascii="Arial"/>
          <w:i/>
          <w:spacing w:val="-11"/>
          <w:sz w:val="22"/>
        </w:rPr>
        <w:t> </w:t>
      </w:r>
      <w:r>
        <w:rPr>
          <w:rFonts w:ascii="Arial"/>
          <w:i/>
          <w:sz w:val="22"/>
        </w:rPr>
        <w:t>Woodland</w:t>
      </w:r>
      <w:r>
        <w:rPr>
          <w:rFonts w:ascii="Arial"/>
          <w:i/>
          <w:spacing w:val="-8"/>
          <w:sz w:val="22"/>
        </w:rPr>
        <w:t> </w:t>
      </w:r>
      <w:r>
        <w:rPr>
          <w:rFonts w:ascii="Arial"/>
          <w:i/>
          <w:sz w:val="22"/>
        </w:rPr>
        <w:t>Caribou</w:t>
      </w:r>
      <w:r>
        <w:rPr>
          <w:rFonts w:ascii="Arial"/>
          <w:i/>
          <w:spacing w:val="-8"/>
          <w:sz w:val="22"/>
        </w:rPr>
        <w:t> </w:t>
      </w:r>
      <w:r>
        <w:rPr>
          <w:rFonts w:ascii="Arial"/>
          <w:i/>
          <w:sz w:val="22"/>
        </w:rPr>
        <w:t>Seasonal</w:t>
      </w:r>
      <w:r>
        <w:rPr>
          <w:rFonts w:ascii="Arial"/>
          <w:i/>
          <w:spacing w:val="-8"/>
          <w:sz w:val="22"/>
        </w:rPr>
        <w:t> </w:t>
      </w:r>
      <w:r>
        <w:rPr>
          <w:rFonts w:ascii="Arial"/>
          <w:i/>
          <w:sz w:val="22"/>
        </w:rPr>
        <w:t>Habitat</w:t>
      </w:r>
      <w:r>
        <w:rPr>
          <w:rFonts w:ascii="Arial"/>
          <w:i/>
          <w:spacing w:val="-8"/>
          <w:sz w:val="22"/>
        </w:rPr>
        <w:t> </w:t>
      </w:r>
      <w:r>
        <w:rPr>
          <w:rFonts w:ascii="Arial"/>
          <w:i/>
          <w:spacing w:val="-2"/>
          <w:sz w:val="22"/>
        </w:rPr>
        <w:t>Components</w:t>
      </w:r>
    </w:p>
    <w:p>
      <w:pPr>
        <w:pStyle w:val="BodyText"/>
        <w:spacing w:line="232" w:lineRule="auto" w:before="65"/>
        <w:ind w:left="359" w:right="1445"/>
      </w:pPr>
      <w:r>
        <w:rPr/>
        <w:t>Manage</w:t>
      </w:r>
      <w:r>
        <w:rPr>
          <w:spacing w:val="-6"/>
        </w:rPr>
        <w:t> </w:t>
      </w:r>
      <w:r>
        <w:rPr/>
        <w:t>toward</w:t>
      </w:r>
      <w:r>
        <w:rPr>
          <w:spacing w:val="-7"/>
        </w:rPr>
        <w:t> </w:t>
      </w:r>
      <w:r>
        <w:rPr/>
        <w:t>the</w:t>
      </w:r>
      <w:r>
        <w:rPr>
          <w:spacing w:val="-6"/>
        </w:rPr>
        <w:t> </w:t>
      </w:r>
      <w:r>
        <w:rPr/>
        <w:t>upper</w:t>
      </w:r>
      <w:r>
        <w:rPr>
          <w:spacing w:val="-8"/>
        </w:rPr>
        <w:t> </w:t>
      </w:r>
      <w:r>
        <w:rPr/>
        <w:t>10</w:t>
      </w:r>
      <w:r>
        <w:rPr>
          <w:spacing w:val="-6"/>
        </w:rPr>
        <w:t> </w:t>
      </w:r>
      <w:r>
        <w:rPr/>
        <w:t>percent</w:t>
      </w:r>
      <w:r>
        <w:rPr>
          <w:spacing w:val="-6"/>
        </w:rPr>
        <w:t> </w:t>
      </w:r>
      <w:r>
        <w:rPr/>
        <w:t>of</w:t>
      </w:r>
      <w:r>
        <w:rPr>
          <w:spacing w:val="-6"/>
        </w:rPr>
        <w:t> </w:t>
      </w:r>
      <w:r>
        <w:rPr/>
        <w:t>the</w:t>
      </w:r>
      <w:r>
        <w:rPr>
          <w:spacing w:val="-8"/>
        </w:rPr>
        <w:t> </w:t>
      </w:r>
      <w:r>
        <w:rPr/>
        <w:t>desired</w:t>
      </w:r>
      <w:r>
        <w:rPr>
          <w:spacing w:val="-7"/>
        </w:rPr>
        <w:t> </w:t>
      </w:r>
      <w:r>
        <w:rPr/>
        <w:t>conditions</w:t>
      </w:r>
      <w:r>
        <w:rPr>
          <w:spacing w:val="-6"/>
        </w:rPr>
        <w:t> </w:t>
      </w:r>
      <w:r>
        <w:rPr/>
        <w:t>for</w:t>
      </w:r>
      <w:r>
        <w:rPr>
          <w:spacing w:val="-8"/>
        </w:rPr>
        <w:t> </w:t>
      </w:r>
      <w:r>
        <w:rPr/>
        <w:t>vegetation</w:t>
      </w:r>
      <w:r>
        <w:rPr>
          <w:spacing w:val="-7"/>
        </w:rPr>
        <w:t> </w:t>
      </w:r>
      <w:r>
        <w:rPr/>
        <w:t>(see</w:t>
      </w:r>
      <w:r>
        <w:rPr>
          <w:spacing w:val="-6"/>
        </w:rPr>
        <w:t> </w:t>
      </w:r>
      <w:r>
        <w:rPr/>
        <w:t>FW-DC-VEG- 03, </w:t>
      </w:r>
      <w:hyperlink w:history="true" w:anchor="_bookmark78">
        <w:r>
          <w:rPr/>
          <w:t>table 5</w:t>
        </w:r>
      </w:hyperlink>
      <w:r>
        <w:rPr/>
        <w:t>) in late-successional-closed forest within western hemlock/red cedar and spruce/subalpine fir, measured at the caribou management unit scale.</w:t>
      </w:r>
    </w:p>
    <w:p>
      <w:pPr>
        <w:spacing w:before="235"/>
        <w:ind w:left="359" w:right="0" w:firstLine="0"/>
        <w:jc w:val="left"/>
        <w:rPr>
          <w:rFonts w:ascii="Arial" w:hAnsi="Arial"/>
          <w:i/>
          <w:sz w:val="22"/>
        </w:rPr>
      </w:pPr>
      <w:bookmarkStart w:name="FW-DC-WL-08. Woodland Caribou Habitat – " w:id="268"/>
      <w:bookmarkEnd w:id="268"/>
      <w:r>
        <w:rPr/>
      </w:r>
      <w:r>
        <w:rPr>
          <w:rFonts w:ascii="Arial" w:hAnsi="Arial"/>
          <w:i/>
          <w:sz w:val="22"/>
        </w:rPr>
        <w:t>FW-DC-WL-08.</w:t>
      </w:r>
      <w:r>
        <w:rPr>
          <w:rFonts w:ascii="Arial" w:hAnsi="Arial"/>
          <w:i/>
          <w:spacing w:val="-10"/>
          <w:sz w:val="22"/>
        </w:rPr>
        <w:t> </w:t>
      </w:r>
      <w:r>
        <w:rPr>
          <w:rFonts w:ascii="Arial" w:hAnsi="Arial"/>
          <w:i/>
          <w:sz w:val="22"/>
        </w:rPr>
        <w:t>Woodland</w:t>
      </w:r>
      <w:r>
        <w:rPr>
          <w:rFonts w:ascii="Arial" w:hAnsi="Arial"/>
          <w:i/>
          <w:spacing w:val="-7"/>
          <w:sz w:val="22"/>
        </w:rPr>
        <w:t> </w:t>
      </w:r>
      <w:r>
        <w:rPr>
          <w:rFonts w:ascii="Arial" w:hAnsi="Arial"/>
          <w:i/>
          <w:sz w:val="22"/>
        </w:rPr>
        <w:t>Caribou</w:t>
      </w:r>
      <w:r>
        <w:rPr>
          <w:rFonts w:ascii="Arial" w:hAnsi="Arial"/>
          <w:i/>
          <w:spacing w:val="-6"/>
          <w:sz w:val="22"/>
        </w:rPr>
        <w:t> </w:t>
      </w:r>
      <w:r>
        <w:rPr>
          <w:rFonts w:ascii="Arial" w:hAnsi="Arial"/>
          <w:i/>
          <w:sz w:val="22"/>
        </w:rPr>
        <w:t>Habitat</w:t>
      </w:r>
      <w:r>
        <w:rPr>
          <w:rFonts w:ascii="Arial" w:hAnsi="Arial"/>
          <w:i/>
          <w:spacing w:val="-4"/>
          <w:sz w:val="22"/>
        </w:rPr>
        <w:t> </w:t>
      </w:r>
      <w:r>
        <w:rPr>
          <w:rFonts w:ascii="Arial" w:hAnsi="Arial"/>
          <w:i/>
          <w:sz w:val="22"/>
        </w:rPr>
        <w:t>–</w:t>
      </w:r>
      <w:r>
        <w:rPr>
          <w:rFonts w:ascii="Arial" w:hAnsi="Arial"/>
          <w:i/>
          <w:spacing w:val="-9"/>
          <w:sz w:val="22"/>
        </w:rPr>
        <w:t> </w:t>
      </w:r>
      <w:r>
        <w:rPr>
          <w:rFonts w:ascii="Arial" w:hAnsi="Arial"/>
          <w:i/>
          <w:sz w:val="22"/>
        </w:rPr>
        <w:t>Forage</w:t>
      </w:r>
      <w:r>
        <w:rPr>
          <w:rFonts w:ascii="Arial" w:hAnsi="Arial"/>
          <w:i/>
          <w:spacing w:val="-6"/>
          <w:sz w:val="22"/>
        </w:rPr>
        <w:t> </w:t>
      </w:r>
      <w:r>
        <w:rPr>
          <w:rFonts w:ascii="Arial" w:hAnsi="Arial"/>
          <w:i/>
          <w:spacing w:val="-2"/>
          <w:sz w:val="22"/>
        </w:rPr>
        <w:t>Availability</w:t>
      </w:r>
    </w:p>
    <w:p>
      <w:pPr>
        <w:pStyle w:val="BodyText"/>
        <w:spacing w:line="232" w:lineRule="auto" w:before="65"/>
        <w:ind w:left="359" w:right="1621"/>
      </w:pPr>
      <w:r>
        <w:rPr/>
        <w:t>Preferred</w:t>
      </w:r>
      <w:r>
        <w:rPr>
          <w:spacing w:val="-9"/>
        </w:rPr>
        <w:t> </w:t>
      </w:r>
      <w:r>
        <w:rPr/>
        <w:t>lichens</w:t>
      </w:r>
      <w:r>
        <w:rPr>
          <w:spacing w:val="-6"/>
        </w:rPr>
        <w:t> </w:t>
      </w:r>
      <w:r>
        <w:rPr/>
        <w:t>(</w:t>
      </w:r>
      <w:r>
        <w:rPr>
          <w:i/>
        </w:rPr>
        <w:t>Bryoria</w:t>
      </w:r>
      <w:r>
        <w:rPr>
          <w:i/>
          <w:spacing w:val="-7"/>
        </w:rPr>
        <w:t> </w:t>
      </w:r>
      <w:r>
        <w:rPr/>
        <w:t>and</w:t>
      </w:r>
      <w:r>
        <w:rPr>
          <w:spacing w:val="-7"/>
        </w:rPr>
        <w:t> </w:t>
      </w:r>
      <w:r>
        <w:rPr>
          <w:i/>
        </w:rPr>
        <w:t>Alectoria</w:t>
      </w:r>
      <w:r>
        <w:rPr/>
        <w:t>)</w:t>
      </w:r>
      <w:r>
        <w:rPr>
          <w:spacing w:val="-6"/>
        </w:rPr>
        <w:t> </w:t>
      </w:r>
      <w:r>
        <w:rPr/>
        <w:t>are</w:t>
      </w:r>
      <w:r>
        <w:rPr>
          <w:spacing w:val="-5"/>
        </w:rPr>
        <w:t> </w:t>
      </w:r>
      <w:r>
        <w:rPr/>
        <w:t>present</w:t>
      </w:r>
      <w:r>
        <w:rPr>
          <w:spacing w:val="-5"/>
        </w:rPr>
        <w:t> </w:t>
      </w:r>
      <w:r>
        <w:rPr/>
        <w:t>in</w:t>
      </w:r>
      <w:r>
        <w:rPr>
          <w:spacing w:val="-9"/>
        </w:rPr>
        <w:t> </w:t>
      </w:r>
      <w:r>
        <w:rPr/>
        <w:t>sufficient</w:t>
      </w:r>
      <w:r>
        <w:rPr>
          <w:spacing w:val="-5"/>
        </w:rPr>
        <w:t> </w:t>
      </w:r>
      <w:r>
        <w:rPr/>
        <w:t>quantities</w:t>
      </w:r>
      <w:r>
        <w:rPr>
          <w:spacing w:val="-8"/>
        </w:rPr>
        <w:t> </w:t>
      </w:r>
      <w:r>
        <w:rPr/>
        <w:t>for</w:t>
      </w:r>
      <w:r>
        <w:rPr>
          <w:spacing w:val="-8"/>
        </w:rPr>
        <w:t> </w:t>
      </w:r>
      <w:r>
        <w:rPr/>
        <w:t>woodland caribou to forage.</w:t>
      </w:r>
    </w:p>
    <w:p>
      <w:pPr>
        <w:spacing w:before="234"/>
        <w:ind w:left="359" w:right="0" w:firstLine="0"/>
        <w:jc w:val="left"/>
        <w:rPr>
          <w:rFonts w:ascii="Arial" w:hAnsi="Arial"/>
          <w:i/>
          <w:sz w:val="22"/>
        </w:rPr>
      </w:pPr>
      <w:bookmarkStart w:name="FW-DC-WL-09. Woodland Caribou Habitat – " w:id="269"/>
      <w:bookmarkEnd w:id="269"/>
      <w:r>
        <w:rPr/>
      </w:r>
      <w:r>
        <w:rPr>
          <w:rFonts w:ascii="Arial" w:hAnsi="Arial"/>
          <w:i/>
          <w:sz w:val="22"/>
        </w:rPr>
        <w:t>FW-DC-WL-09.</w:t>
      </w:r>
      <w:r>
        <w:rPr>
          <w:rFonts w:ascii="Arial" w:hAnsi="Arial"/>
          <w:i/>
          <w:spacing w:val="-10"/>
          <w:sz w:val="22"/>
        </w:rPr>
        <w:t> </w:t>
      </w:r>
      <w:r>
        <w:rPr>
          <w:rFonts w:ascii="Arial" w:hAnsi="Arial"/>
          <w:i/>
          <w:sz w:val="22"/>
        </w:rPr>
        <w:t>Woodland</w:t>
      </w:r>
      <w:r>
        <w:rPr>
          <w:rFonts w:ascii="Arial" w:hAnsi="Arial"/>
          <w:i/>
          <w:spacing w:val="-6"/>
          <w:sz w:val="22"/>
        </w:rPr>
        <w:t> </w:t>
      </w:r>
      <w:r>
        <w:rPr>
          <w:rFonts w:ascii="Arial" w:hAnsi="Arial"/>
          <w:i/>
          <w:sz w:val="22"/>
        </w:rPr>
        <w:t>Caribou</w:t>
      </w:r>
      <w:r>
        <w:rPr>
          <w:rFonts w:ascii="Arial" w:hAnsi="Arial"/>
          <w:i/>
          <w:spacing w:val="-6"/>
          <w:sz w:val="22"/>
        </w:rPr>
        <w:t> </w:t>
      </w:r>
      <w:r>
        <w:rPr>
          <w:rFonts w:ascii="Arial" w:hAnsi="Arial"/>
          <w:i/>
          <w:sz w:val="22"/>
        </w:rPr>
        <w:t>Habitat</w:t>
      </w:r>
      <w:r>
        <w:rPr>
          <w:rFonts w:ascii="Arial" w:hAnsi="Arial"/>
          <w:i/>
          <w:spacing w:val="-4"/>
          <w:sz w:val="22"/>
        </w:rPr>
        <w:t> </w:t>
      </w:r>
      <w:r>
        <w:rPr>
          <w:rFonts w:ascii="Arial" w:hAnsi="Arial"/>
          <w:i/>
          <w:sz w:val="22"/>
        </w:rPr>
        <w:t>–</w:t>
      </w:r>
      <w:r>
        <w:rPr>
          <w:rFonts w:ascii="Arial" w:hAnsi="Arial"/>
          <w:i/>
          <w:spacing w:val="-10"/>
          <w:sz w:val="22"/>
        </w:rPr>
        <w:t> </w:t>
      </w:r>
      <w:r>
        <w:rPr>
          <w:rFonts w:ascii="Arial" w:hAnsi="Arial"/>
          <w:i/>
          <w:sz w:val="22"/>
        </w:rPr>
        <w:t>Winter</w:t>
      </w:r>
      <w:r>
        <w:rPr>
          <w:rFonts w:ascii="Arial" w:hAnsi="Arial"/>
          <w:i/>
          <w:spacing w:val="-4"/>
          <w:sz w:val="22"/>
        </w:rPr>
        <w:t> </w:t>
      </w:r>
      <w:r>
        <w:rPr>
          <w:rFonts w:ascii="Arial" w:hAnsi="Arial"/>
          <w:i/>
          <w:spacing w:val="-2"/>
          <w:sz w:val="22"/>
        </w:rPr>
        <w:t>Recreation</w:t>
      </w:r>
    </w:p>
    <w:p>
      <w:pPr>
        <w:pStyle w:val="BodyText"/>
        <w:spacing w:line="232" w:lineRule="auto" w:before="65"/>
        <w:ind w:left="359" w:right="1445"/>
      </w:pPr>
      <w:r>
        <w:rPr/>
        <w:t>Winter</w:t>
      </w:r>
      <w:r>
        <w:rPr>
          <w:spacing w:val="-5"/>
        </w:rPr>
        <w:t> </w:t>
      </w:r>
      <w:r>
        <w:rPr/>
        <w:t>recreation</w:t>
      </w:r>
      <w:r>
        <w:rPr>
          <w:spacing w:val="-8"/>
        </w:rPr>
        <w:t> </w:t>
      </w:r>
      <w:r>
        <w:rPr/>
        <w:t>is</w:t>
      </w:r>
      <w:r>
        <w:rPr>
          <w:spacing w:val="-7"/>
        </w:rPr>
        <w:t> </w:t>
      </w:r>
      <w:r>
        <w:rPr/>
        <w:t>managed</w:t>
      </w:r>
      <w:r>
        <w:rPr>
          <w:spacing w:val="-6"/>
        </w:rPr>
        <w:t> </w:t>
      </w:r>
      <w:r>
        <w:rPr/>
        <w:t>so</w:t>
      </w:r>
      <w:r>
        <w:rPr>
          <w:spacing w:val="-6"/>
        </w:rPr>
        <w:t> </w:t>
      </w:r>
      <w:r>
        <w:rPr/>
        <w:t>that</w:t>
      </w:r>
      <w:r>
        <w:rPr>
          <w:spacing w:val="-7"/>
        </w:rPr>
        <w:t> </w:t>
      </w:r>
      <w:r>
        <w:rPr/>
        <w:t>woodland</w:t>
      </w:r>
      <w:r>
        <w:rPr>
          <w:spacing w:val="-6"/>
        </w:rPr>
        <w:t> </w:t>
      </w:r>
      <w:r>
        <w:rPr/>
        <w:t>caribou</w:t>
      </w:r>
      <w:r>
        <w:rPr>
          <w:spacing w:val="-6"/>
        </w:rPr>
        <w:t> </w:t>
      </w:r>
      <w:r>
        <w:rPr/>
        <w:t>are</w:t>
      </w:r>
      <w:r>
        <w:rPr>
          <w:spacing w:val="-4"/>
        </w:rPr>
        <w:t> </w:t>
      </w:r>
      <w:r>
        <w:rPr/>
        <w:t>not</w:t>
      </w:r>
      <w:r>
        <w:rPr>
          <w:spacing w:val="-4"/>
        </w:rPr>
        <w:t> </w:t>
      </w:r>
      <w:r>
        <w:rPr/>
        <w:t>displaced</w:t>
      </w:r>
      <w:r>
        <w:rPr>
          <w:spacing w:val="-6"/>
        </w:rPr>
        <w:t> </w:t>
      </w:r>
      <w:r>
        <w:rPr/>
        <w:t>from</w:t>
      </w:r>
      <w:r>
        <w:rPr>
          <w:spacing w:val="-4"/>
        </w:rPr>
        <w:t> </w:t>
      </w:r>
      <w:r>
        <w:rPr/>
        <w:t>suitable</w:t>
      </w:r>
      <w:r>
        <w:rPr>
          <w:spacing w:val="-4"/>
        </w:rPr>
        <w:t> </w:t>
      </w:r>
      <w:r>
        <w:rPr/>
        <w:t>habitat and the caribou can make full use of existing habitat in the recovery area.</w:t>
      </w:r>
    </w:p>
    <w:p>
      <w:pPr>
        <w:spacing w:before="234"/>
        <w:ind w:left="359" w:right="0" w:firstLine="0"/>
        <w:jc w:val="left"/>
        <w:rPr>
          <w:rFonts w:ascii="Arial"/>
          <w:i/>
          <w:sz w:val="22"/>
        </w:rPr>
      </w:pPr>
      <w:bookmarkStart w:name="FW-DC-WL-10. Risk Factors for all Surrog" w:id="270"/>
      <w:bookmarkEnd w:id="270"/>
      <w:r>
        <w:rPr/>
      </w:r>
      <w:r>
        <w:rPr>
          <w:rFonts w:ascii="Arial"/>
          <w:i/>
          <w:sz w:val="22"/>
        </w:rPr>
        <w:t>FW-DC-WL-10.</w:t>
      </w:r>
      <w:r>
        <w:rPr>
          <w:rFonts w:ascii="Arial"/>
          <w:i/>
          <w:spacing w:val="-4"/>
          <w:sz w:val="22"/>
        </w:rPr>
        <w:t> </w:t>
      </w:r>
      <w:r>
        <w:rPr>
          <w:rFonts w:ascii="Arial"/>
          <w:i/>
          <w:sz w:val="22"/>
        </w:rPr>
        <w:t>Risk</w:t>
      </w:r>
      <w:r>
        <w:rPr>
          <w:rFonts w:ascii="Arial"/>
          <w:i/>
          <w:spacing w:val="-5"/>
          <w:sz w:val="22"/>
        </w:rPr>
        <w:t> </w:t>
      </w:r>
      <w:r>
        <w:rPr>
          <w:rFonts w:ascii="Arial"/>
          <w:i/>
          <w:sz w:val="22"/>
        </w:rPr>
        <w:t>Factors</w:t>
      </w:r>
      <w:r>
        <w:rPr>
          <w:rFonts w:ascii="Arial"/>
          <w:i/>
          <w:spacing w:val="-8"/>
          <w:sz w:val="22"/>
        </w:rPr>
        <w:t> </w:t>
      </w:r>
      <w:r>
        <w:rPr>
          <w:rFonts w:ascii="Arial"/>
          <w:i/>
          <w:sz w:val="22"/>
        </w:rPr>
        <w:t>for</w:t>
      </w:r>
      <w:r>
        <w:rPr>
          <w:rFonts w:ascii="Arial"/>
          <w:i/>
          <w:spacing w:val="-3"/>
          <w:sz w:val="22"/>
        </w:rPr>
        <w:t> </w:t>
      </w:r>
      <w:r>
        <w:rPr>
          <w:rFonts w:ascii="Arial"/>
          <w:i/>
          <w:sz w:val="22"/>
        </w:rPr>
        <w:t>all</w:t>
      </w:r>
      <w:r>
        <w:rPr>
          <w:rFonts w:ascii="Arial"/>
          <w:i/>
          <w:spacing w:val="-6"/>
          <w:sz w:val="22"/>
        </w:rPr>
        <w:t> </w:t>
      </w:r>
      <w:r>
        <w:rPr>
          <w:rFonts w:ascii="Arial"/>
          <w:i/>
          <w:sz w:val="22"/>
        </w:rPr>
        <w:t>Surrogate</w:t>
      </w:r>
      <w:r>
        <w:rPr>
          <w:rFonts w:ascii="Arial"/>
          <w:i/>
          <w:spacing w:val="-7"/>
          <w:sz w:val="22"/>
        </w:rPr>
        <w:t> </w:t>
      </w:r>
      <w:r>
        <w:rPr>
          <w:rFonts w:ascii="Arial"/>
          <w:i/>
          <w:spacing w:val="-2"/>
          <w:sz w:val="22"/>
        </w:rPr>
        <w:t>Species</w:t>
      </w:r>
    </w:p>
    <w:p>
      <w:pPr>
        <w:pStyle w:val="BodyText"/>
        <w:spacing w:line="232" w:lineRule="auto" w:before="64"/>
        <w:ind w:left="359" w:right="1621"/>
      </w:pPr>
      <w:r>
        <w:rPr/>
        <w:t>Risk factors (such as roads, uncharacteristic wildfire, unregulated livestock use, introduced species,</w:t>
      </w:r>
      <w:r>
        <w:rPr>
          <w:spacing w:val="-6"/>
        </w:rPr>
        <w:t> </w:t>
      </w:r>
      <w:r>
        <w:rPr/>
        <w:t>invasive</w:t>
      </w:r>
      <w:r>
        <w:rPr>
          <w:spacing w:val="-5"/>
        </w:rPr>
        <w:t> </w:t>
      </w:r>
      <w:r>
        <w:rPr/>
        <w:t>species,</w:t>
      </w:r>
      <w:r>
        <w:rPr>
          <w:spacing w:val="-7"/>
        </w:rPr>
        <w:t> </w:t>
      </w:r>
      <w:r>
        <w:rPr/>
        <w:t>and</w:t>
      </w:r>
      <w:r>
        <w:rPr>
          <w:spacing w:val="-7"/>
        </w:rPr>
        <w:t> </w:t>
      </w:r>
      <w:r>
        <w:rPr/>
        <w:t>disturbance</w:t>
      </w:r>
      <w:r>
        <w:rPr>
          <w:spacing w:val="-5"/>
        </w:rPr>
        <w:t> </w:t>
      </w:r>
      <w:r>
        <w:rPr/>
        <w:t>during</w:t>
      </w:r>
      <w:r>
        <w:rPr>
          <w:spacing w:val="-7"/>
        </w:rPr>
        <w:t> </w:t>
      </w:r>
      <w:r>
        <w:rPr/>
        <w:t>critical</w:t>
      </w:r>
      <w:r>
        <w:rPr>
          <w:spacing w:val="-6"/>
        </w:rPr>
        <w:t> </w:t>
      </w:r>
      <w:r>
        <w:rPr/>
        <w:t>time</w:t>
      </w:r>
      <w:r>
        <w:rPr>
          <w:spacing w:val="-5"/>
        </w:rPr>
        <w:t> </w:t>
      </w:r>
      <w:r>
        <w:rPr/>
        <w:t>periods)</w:t>
      </w:r>
      <w:r>
        <w:rPr>
          <w:spacing w:val="-6"/>
        </w:rPr>
        <w:t> </w:t>
      </w:r>
      <w:r>
        <w:rPr/>
        <w:t>for</w:t>
      </w:r>
      <w:r>
        <w:rPr>
          <w:spacing w:val="-6"/>
        </w:rPr>
        <w:t> </w:t>
      </w:r>
      <w:r>
        <w:rPr/>
        <w:t>all</w:t>
      </w:r>
      <w:r>
        <w:rPr>
          <w:spacing w:val="-8"/>
        </w:rPr>
        <w:t> </w:t>
      </w:r>
      <w:r>
        <w:rPr/>
        <w:t>surrogate</w:t>
      </w:r>
      <w:r>
        <w:rPr>
          <w:spacing w:val="-5"/>
        </w:rPr>
        <w:t> </w:t>
      </w:r>
      <w:r>
        <w:rPr/>
        <w:t>species are reduced to contribute to the viability of surrogate species and associated species.</w:t>
      </w:r>
    </w:p>
    <w:p>
      <w:pPr>
        <w:spacing w:before="233"/>
        <w:ind w:left="359" w:right="0" w:firstLine="0"/>
        <w:jc w:val="left"/>
        <w:rPr>
          <w:rFonts w:ascii="Arial"/>
          <w:i/>
          <w:sz w:val="22"/>
        </w:rPr>
      </w:pPr>
      <w:bookmarkStart w:name="FW-DC-WL-11. Human Activities in Bald Ea" w:id="271"/>
      <w:bookmarkEnd w:id="271"/>
      <w:r>
        <w:rPr/>
      </w:r>
      <w:r>
        <w:rPr>
          <w:rFonts w:ascii="Arial"/>
          <w:i/>
          <w:sz w:val="22"/>
        </w:rPr>
        <w:t>FW-DC-WL-11.</w:t>
      </w:r>
      <w:r>
        <w:rPr>
          <w:rFonts w:ascii="Arial"/>
          <w:i/>
          <w:spacing w:val="-5"/>
          <w:sz w:val="22"/>
        </w:rPr>
        <w:t> </w:t>
      </w:r>
      <w:r>
        <w:rPr>
          <w:rFonts w:ascii="Arial"/>
          <w:i/>
          <w:sz w:val="22"/>
        </w:rPr>
        <w:t>Human</w:t>
      </w:r>
      <w:r>
        <w:rPr>
          <w:rFonts w:ascii="Arial"/>
          <w:i/>
          <w:spacing w:val="-7"/>
          <w:sz w:val="22"/>
        </w:rPr>
        <w:t> </w:t>
      </w:r>
      <w:r>
        <w:rPr>
          <w:rFonts w:ascii="Arial"/>
          <w:i/>
          <w:sz w:val="22"/>
        </w:rPr>
        <w:t>Activities</w:t>
      </w:r>
      <w:r>
        <w:rPr>
          <w:rFonts w:ascii="Arial"/>
          <w:i/>
          <w:spacing w:val="-6"/>
          <w:sz w:val="22"/>
        </w:rPr>
        <w:t> </w:t>
      </w:r>
      <w:r>
        <w:rPr>
          <w:rFonts w:ascii="Arial"/>
          <w:i/>
          <w:sz w:val="22"/>
        </w:rPr>
        <w:t>in</w:t>
      </w:r>
      <w:r>
        <w:rPr>
          <w:rFonts w:ascii="Arial"/>
          <w:i/>
          <w:spacing w:val="-6"/>
          <w:sz w:val="22"/>
        </w:rPr>
        <w:t> </w:t>
      </w:r>
      <w:r>
        <w:rPr>
          <w:rFonts w:ascii="Arial"/>
          <w:i/>
          <w:sz w:val="22"/>
        </w:rPr>
        <w:t>Bald</w:t>
      </w:r>
      <w:r>
        <w:rPr>
          <w:rFonts w:ascii="Arial"/>
          <w:i/>
          <w:spacing w:val="-6"/>
          <w:sz w:val="22"/>
        </w:rPr>
        <w:t> </w:t>
      </w:r>
      <w:r>
        <w:rPr>
          <w:rFonts w:ascii="Arial"/>
          <w:i/>
          <w:sz w:val="22"/>
        </w:rPr>
        <w:t>Eagle</w:t>
      </w:r>
      <w:r>
        <w:rPr>
          <w:rFonts w:ascii="Arial"/>
          <w:i/>
          <w:spacing w:val="-6"/>
          <w:sz w:val="22"/>
        </w:rPr>
        <w:t> </w:t>
      </w:r>
      <w:r>
        <w:rPr>
          <w:rFonts w:ascii="Arial"/>
          <w:i/>
          <w:sz w:val="22"/>
        </w:rPr>
        <w:t>Nesting</w:t>
      </w:r>
      <w:r>
        <w:rPr>
          <w:rFonts w:ascii="Arial"/>
          <w:i/>
          <w:spacing w:val="-5"/>
          <w:sz w:val="22"/>
        </w:rPr>
        <w:t> </w:t>
      </w:r>
      <w:r>
        <w:rPr>
          <w:rFonts w:ascii="Arial"/>
          <w:i/>
          <w:spacing w:val="-2"/>
          <w:sz w:val="22"/>
        </w:rPr>
        <w:t>Areas</w:t>
      </w:r>
    </w:p>
    <w:p>
      <w:pPr>
        <w:pStyle w:val="BodyText"/>
        <w:spacing w:before="59"/>
        <w:ind w:left="359"/>
      </w:pPr>
      <w:r>
        <w:rPr/>
        <w:t>Occupied</w:t>
      </w:r>
      <w:r>
        <w:rPr>
          <w:spacing w:val="-9"/>
        </w:rPr>
        <w:t> </w:t>
      </w:r>
      <w:r>
        <w:rPr/>
        <w:t>bald</w:t>
      </w:r>
      <w:r>
        <w:rPr>
          <w:spacing w:val="-7"/>
        </w:rPr>
        <w:t> </w:t>
      </w:r>
      <w:r>
        <w:rPr/>
        <w:t>eagle</w:t>
      </w:r>
      <w:r>
        <w:rPr>
          <w:spacing w:val="-5"/>
        </w:rPr>
        <w:t> </w:t>
      </w:r>
      <w:r>
        <w:rPr/>
        <w:t>nesting</w:t>
      </w:r>
      <w:r>
        <w:rPr>
          <w:spacing w:val="-7"/>
        </w:rPr>
        <w:t> </w:t>
      </w:r>
      <w:r>
        <w:rPr/>
        <w:t>areas</w:t>
      </w:r>
      <w:r>
        <w:rPr>
          <w:spacing w:val="-6"/>
        </w:rPr>
        <w:t> </w:t>
      </w:r>
      <w:r>
        <w:rPr/>
        <w:t>are</w:t>
      </w:r>
      <w:r>
        <w:rPr>
          <w:spacing w:val="-5"/>
        </w:rPr>
        <w:t> </w:t>
      </w:r>
      <w:r>
        <w:rPr/>
        <w:t>not</w:t>
      </w:r>
      <w:r>
        <w:rPr>
          <w:spacing w:val="-5"/>
        </w:rPr>
        <w:t> </w:t>
      </w:r>
      <w:r>
        <w:rPr/>
        <w:t>disrupted</w:t>
      </w:r>
      <w:r>
        <w:rPr>
          <w:spacing w:val="-9"/>
        </w:rPr>
        <w:t> </w:t>
      </w:r>
      <w:r>
        <w:rPr/>
        <w:t>by</w:t>
      </w:r>
      <w:r>
        <w:rPr>
          <w:spacing w:val="-6"/>
        </w:rPr>
        <w:t> </w:t>
      </w:r>
      <w:r>
        <w:rPr/>
        <w:t>management</w:t>
      </w:r>
      <w:r>
        <w:rPr>
          <w:spacing w:val="-5"/>
        </w:rPr>
        <w:t> </w:t>
      </w:r>
      <w:r>
        <w:rPr>
          <w:spacing w:val="-2"/>
        </w:rPr>
        <w:t>activities.</w:t>
      </w:r>
    </w:p>
    <w:p>
      <w:pPr>
        <w:spacing w:before="234"/>
        <w:ind w:left="359" w:right="0" w:firstLine="0"/>
        <w:jc w:val="left"/>
        <w:rPr>
          <w:rFonts w:ascii="Arial"/>
          <w:i/>
          <w:sz w:val="22"/>
        </w:rPr>
      </w:pPr>
      <w:bookmarkStart w:name="FW-DC-WL-12. Bald Eagle Habitat in Ripar" w:id="272"/>
      <w:bookmarkEnd w:id="272"/>
      <w:r>
        <w:rPr/>
      </w:r>
      <w:r>
        <w:rPr>
          <w:rFonts w:ascii="Arial"/>
          <w:i/>
          <w:sz w:val="22"/>
        </w:rPr>
        <w:t>FW-DC-WL-12.</w:t>
      </w:r>
      <w:r>
        <w:rPr>
          <w:rFonts w:ascii="Arial"/>
          <w:i/>
          <w:spacing w:val="-8"/>
          <w:sz w:val="22"/>
        </w:rPr>
        <w:t> </w:t>
      </w:r>
      <w:r>
        <w:rPr>
          <w:rFonts w:ascii="Arial"/>
          <w:i/>
          <w:sz w:val="22"/>
        </w:rPr>
        <w:t>Bald</w:t>
      </w:r>
      <w:r>
        <w:rPr>
          <w:rFonts w:ascii="Arial"/>
          <w:i/>
          <w:spacing w:val="-7"/>
          <w:sz w:val="22"/>
        </w:rPr>
        <w:t> </w:t>
      </w:r>
      <w:r>
        <w:rPr>
          <w:rFonts w:ascii="Arial"/>
          <w:i/>
          <w:sz w:val="22"/>
        </w:rPr>
        <w:t>Eagle</w:t>
      </w:r>
      <w:r>
        <w:rPr>
          <w:rFonts w:ascii="Arial"/>
          <w:i/>
          <w:spacing w:val="-7"/>
          <w:sz w:val="22"/>
        </w:rPr>
        <w:t> </w:t>
      </w:r>
      <w:r>
        <w:rPr>
          <w:rFonts w:ascii="Arial"/>
          <w:i/>
          <w:sz w:val="22"/>
        </w:rPr>
        <w:t>Habitat</w:t>
      </w:r>
      <w:r>
        <w:rPr>
          <w:rFonts w:ascii="Arial"/>
          <w:i/>
          <w:spacing w:val="-5"/>
          <w:sz w:val="22"/>
        </w:rPr>
        <w:t> </w:t>
      </w:r>
      <w:r>
        <w:rPr>
          <w:rFonts w:ascii="Arial"/>
          <w:i/>
          <w:sz w:val="22"/>
        </w:rPr>
        <w:t>in</w:t>
      </w:r>
      <w:r>
        <w:rPr>
          <w:rFonts w:ascii="Arial"/>
          <w:i/>
          <w:spacing w:val="-7"/>
          <w:sz w:val="22"/>
        </w:rPr>
        <w:t> </w:t>
      </w:r>
      <w:r>
        <w:rPr>
          <w:rFonts w:ascii="Arial"/>
          <w:i/>
          <w:sz w:val="22"/>
        </w:rPr>
        <w:t>Riparian</w:t>
      </w:r>
      <w:r>
        <w:rPr>
          <w:rFonts w:ascii="Arial"/>
          <w:i/>
          <w:spacing w:val="-9"/>
          <w:sz w:val="22"/>
        </w:rPr>
        <w:t> </w:t>
      </w:r>
      <w:r>
        <w:rPr>
          <w:rFonts w:ascii="Arial"/>
          <w:i/>
          <w:sz w:val="22"/>
        </w:rPr>
        <w:t>Management</w:t>
      </w:r>
      <w:r>
        <w:rPr>
          <w:rFonts w:ascii="Arial"/>
          <w:i/>
          <w:spacing w:val="-6"/>
          <w:sz w:val="22"/>
        </w:rPr>
        <w:t> </w:t>
      </w:r>
      <w:r>
        <w:rPr>
          <w:rFonts w:ascii="Arial"/>
          <w:i/>
          <w:spacing w:val="-2"/>
          <w:sz w:val="22"/>
        </w:rPr>
        <w:t>Areas</w:t>
      </w:r>
    </w:p>
    <w:p>
      <w:pPr>
        <w:pStyle w:val="BodyText"/>
        <w:spacing w:line="232" w:lineRule="auto" w:before="64"/>
        <w:ind w:left="359" w:right="1621"/>
      </w:pPr>
      <w:r>
        <w:rPr/>
        <w:t>Riparian management areas along mainstem rivers that provide bald eagle habitat are composed</w:t>
      </w:r>
      <w:r>
        <w:rPr>
          <w:spacing w:val="-8"/>
        </w:rPr>
        <w:t> </w:t>
      </w:r>
      <w:r>
        <w:rPr/>
        <w:t>of</w:t>
      </w:r>
      <w:r>
        <w:rPr>
          <w:spacing w:val="-7"/>
        </w:rPr>
        <w:t> </w:t>
      </w:r>
      <w:r>
        <w:rPr/>
        <w:t>more</w:t>
      </w:r>
      <w:r>
        <w:rPr>
          <w:spacing w:val="-4"/>
        </w:rPr>
        <w:t> </w:t>
      </w:r>
      <w:r>
        <w:rPr/>
        <w:t>than</w:t>
      </w:r>
      <w:r>
        <w:rPr>
          <w:spacing w:val="-8"/>
        </w:rPr>
        <w:t> </w:t>
      </w:r>
      <w:r>
        <w:rPr/>
        <w:t>20</w:t>
      </w:r>
      <w:r>
        <w:rPr>
          <w:spacing w:val="-6"/>
        </w:rPr>
        <w:t> </w:t>
      </w:r>
      <w:r>
        <w:rPr/>
        <w:t>percent</w:t>
      </w:r>
      <w:r>
        <w:rPr>
          <w:spacing w:val="-4"/>
        </w:rPr>
        <w:t> </w:t>
      </w:r>
      <w:r>
        <w:rPr/>
        <w:t>late-successional</w:t>
      </w:r>
      <w:r>
        <w:rPr>
          <w:spacing w:val="-5"/>
        </w:rPr>
        <w:t> </w:t>
      </w:r>
      <w:r>
        <w:rPr/>
        <w:t>forest.</w:t>
      </w:r>
      <w:r>
        <w:rPr>
          <w:spacing w:val="-5"/>
        </w:rPr>
        <w:t> </w:t>
      </w:r>
      <w:r>
        <w:rPr/>
        <w:t>Applicable</w:t>
      </w:r>
      <w:r>
        <w:rPr>
          <w:spacing w:val="-4"/>
        </w:rPr>
        <w:t> </w:t>
      </w:r>
      <w:r>
        <w:rPr/>
        <w:t>scale</w:t>
      </w:r>
      <w:r>
        <w:rPr>
          <w:spacing w:val="-4"/>
        </w:rPr>
        <w:t> </w:t>
      </w:r>
      <w:r>
        <w:rPr/>
        <w:t>is</w:t>
      </w:r>
      <w:r>
        <w:rPr>
          <w:spacing w:val="-5"/>
        </w:rPr>
        <w:t> </w:t>
      </w:r>
      <w:r>
        <w:rPr/>
        <w:t>a</w:t>
      </w:r>
      <w:r>
        <w:rPr>
          <w:spacing w:val="-10"/>
        </w:rPr>
        <w:t> </w:t>
      </w:r>
      <w:r>
        <w:rPr/>
        <w:t>stream</w:t>
      </w:r>
      <w:r>
        <w:rPr>
          <w:spacing w:val="-4"/>
        </w:rPr>
        <w:t> </w:t>
      </w:r>
      <w:r>
        <w:rPr/>
        <w:t>reach.</w:t>
      </w:r>
    </w:p>
    <w:p>
      <w:pPr>
        <w:spacing w:before="234"/>
        <w:ind w:left="359" w:right="0" w:firstLine="0"/>
        <w:jc w:val="left"/>
        <w:rPr>
          <w:rFonts w:ascii="Arial" w:hAnsi="Arial"/>
          <w:i/>
          <w:sz w:val="22"/>
        </w:rPr>
      </w:pPr>
      <w:bookmarkStart w:name="FW-DC-WL-13. Deer and Elk Habitat – Summ" w:id="273"/>
      <w:bookmarkEnd w:id="273"/>
      <w:r>
        <w:rPr/>
      </w:r>
      <w:r>
        <w:rPr>
          <w:rFonts w:ascii="Arial" w:hAnsi="Arial"/>
          <w:i/>
          <w:sz w:val="22"/>
        </w:rPr>
        <w:t>FW-DC-WL-13.</w:t>
      </w:r>
      <w:r>
        <w:rPr>
          <w:rFonts w:ascii="Arial" w:hAnsi="Arial"/>
          <w:i/>
          <w:spacing w:val="-5"/>
          <w:sz w:val="22"/>
        </w:rPr>
        <w:t> </w:t>
      </w:r>
      <w:r>
        <w:rPr>
          <w:rFonts w:ascii="Arial" w:hAnsi="Arial"/>
          <w:i/>
          <w:sz w:val="22"/>
        </w:rPr>
        <w:t>Deer</w:t>
      </w:r>
      <w:r>
        <w:rPr>
          <w:rFonts w:ascii="Arial" w:hAnsi="Arial"/>
          <w:i/>
          <w:spacing w:val="-5"/>
          <w:sz w:val="22"/>
        </w:rPr>
        <w:t> </w:t>
      </w:r>
      <w:r>
        <w:rPr>
          <w:rFonts w:ascii="Arial" w:hAnsi="Arial"/>
          <w:i/>
          <w:sz w:val="22"/>
        </w:rPr>
        <w:t>and</w:t>
      </w:r>
      <w:r>
        <w:rPr>
          <w:rFonts w:ascii="Arial" w:hAnsi="Arial"/>
          <w:i/>
          <w:spacing w:val="-5"/>
          <w:sz w:val="22"/>
        </w:rPr>
        <w:t> </w:t>
      </w:r>
      <w:r>
        <w:rPr>
          <w:rFonts w:ascii="Arial" w:hAnsi="Arial"/>
          <w:i/>
          <w:sz w:val="22"/>
        </w:rPr>
        <w:t>Elk</w:t>
      </w:r>
      <w:r>
        <w:rPr>
          <w:rFonts w:ascii="Arial" w:hAnsi="Arial"/>
          <w:i/>
          <w:spacing w:val="-3"/>
          <w:sz w:val="22"/>
        </w:rPr>
        <w:t> </w:t>
      </w:r>
      <w:r>
        <w:rPr>
          <w:rFonts w:ascii="Arial" w:hAnsi="Arial"/>
          <w:i/>
          <w:sz w:val="22"/>
        </w:rPr>
        <w:t>Habitat</w:t>
      </w:r>
      <w:r>
        <w:rPr>
          <w:rFonts w:ascii="Arial" w:hAnsi="Arial"/>
          <w:i/>
          <w:spacing w:val="-4"/>
          <w:sz w:val="22"/>
        </w:rPr>
        <w:t> </w:t>
      </w:r>
      <w:r>
        <w:rPr>
          <w:rFonts w:ascii="Arial" w:hAnsi="Arial"/>
          <w:i/>
          <w:sz w:val="22"/>
        </w:rPr>
        <w:t>–</w:t>
      </w:r>
      <w:r>
        <w:rPr>
          <w:rFonts w:ascii="Arial" w:hAnsi="Arial"/>
          <w:i/>
          <w:spacing w:val="-5"/>
          <w:sz w:val="22"/>
        </w:rPr>
        <w:t> </w:t>
      </w:r>
      <w:r>
        <w:rPr>
          <w:rFonts w:ascii="Arial" w:hAnsi="Arial"/>
          <w:i/>
          <w:sz w:val="22"/>
        </w:rPr>
        <w:t>Summer</w:t>
      </w:r>
      <w:r>
        <w:rPr>
          <w:rFonts w:ascii="Arial" w:hAnsi="Arial"/>
          <w:i/>
          <w:spacing w:val="-5"/>
          <w:sz w:val="22"/>
        </w:rPr>
        <w:t> </w:t>
      </w:r>
      <w:r>
        <w:rPr>
          <w:rFonts w:ascii="Arial" w:hAnsi="Arial"/>
          <w:i/>
          <w:sz w:val="22"/>
        </w:rPr>
        <w:t>and</w:t>
      </w:r>
      <w:r>
        <w:rPr>
          <w:rFonts w:ascii="Arial" w:hAnsi="Arial"/>
          <w:i/>
          <w:spacing w:val="-6"/>
          <w:sz w:val="22"/>
        </w:rPr>
        <w:t> </w:t>
      </w:r>
      <w:r>
        <w:rPr>
          <w:rFonts w:ascii="Arial" w:hAnsi="Arial"/>
          <w:i/>
          <w:sz w:val="22"/>
        </w:rPr>
        <w:t>Winter</w:t>
      </w:r>
      <w:r>
        <w:rPr>
          <w:rFonts w:ascii="Arial" w:hAnsi="Arial"/>
          <w:i/>
          <w:spacing w:val="-3"/>
          <w:sz w:val="22"/>
        </w:rPr>
        <w:t> </w:t>
      </w:r>
      <w:r>
        <w:rPr>
          <w:rFonts w:ascii="Arial" w:hAnsi="Arial"/>
          <w:i/>
          <w:sz w:val="22"/>
        </w:rPr>
        <w:t>Range</w:t>
      </w:r>
      <w:r>
        <w:rPr>
          <w:rFonts w:ascii="Arial" w:hAnsi="Arial"/>
          <w:i/>
          <w:spacing w:val="-6"/>
          <w:sz w:val="22"/>
        </w:rPr>
        <w:t> </w:t>
      </w:r>
      <w:r>
        <w:rPr>
          <w:rFonts w:ascii="Arial" w:hAnsi="Arial"/>
          <w:i/>
          <w:sz w:val="22"/>
        </w:rPr>
        <w:t>Cover</w:t>
      </w:r>
      <w:r>
        <w:rPr>
          <w:rFonts w:ascii="Arial" w:hAnsi="Arial"/>
          <w:i/>
          <w:spacing w:val="-5"/>
          <w:sz w:val="22"/>
        </w:rPr>
        <w:t> </w:t>
      </w:r>
      <w:r>
        <w:rPr>
          <w:rFonts w:ascii="Arial" w:hAnsi="Arial"/>
          <w:i/>
          <w:sz w:val="22"/>
        </w:rPr>
        <w:t>and</w:t>
      </w:r>
      <w:r>
        <w:rPr>
          <w:rFonts w:ascii="Arial" w:hAnsi="Arial"/>
          <w:i/>
          <w:spacing w:val="-4"/>
          <w:sz w:val="22"/>
        </w:rPr>
        <w:t> </w:t>
      </w:r>
      <w:r>
        <w:rPr>
          <w:rFonts w:ascii="Arial" w:hAnsi="Arial"/>
          <w:i/>
          <w:spacing w:val="-2"/>
          <w:sz w:val="22"/>
        </w:rPr>
        <w:t>Forage</w:t>
      </w:r>
    </w:p>
    <w:p>
      <w:pPr>
        <w:pStyle w:val="BodyText"/>
        <w:spacing w:line="232" w:lineRule="auto" w:before="65"/>
        <w:ind w:left="359" w:right="1445" w:hanging="1"/>
      </w:pPr>
      <w:r>
        <w:rPr/>
        <w:t>Cover</w:t>
      </w:r>
      <w:r>
        <w:rPr>
          <w:spacing w:val="-5"/>
        </w:rPr>
        <w:t> </w:t>
      </w:r>
      <w:r>
        <w:rPr/>
        <w:t>and</w:t>
      </w:r>
      <w:r>
        <w:rPr>
          <w:spacing w:val="-6"/>
        </w:rPr>
        <w:t> </w:t>
      </w:r>
      <w:r>
        <w:rPr/>
        <w:t>forage</w:t>
      </w:r>
      <w:r>
        <w:rPr>
          <w:spacing w:val="-4"/>
        </w:rPr>
        <w:t> </w:t>
      </w:r>
      <w:r>
        <w:rPr/>
        <w:t>for</w:t>
      </w:r>
      <w:r>
        <w:rPr>
          <w:spacing w:val="-5"/>
        </w:rPr>
        <w:t> </w:t>
      </w:r>
      <w:r>
        <w:rPr/>
        <w:t>deer</w:t>
      </w:r>
      <w:r>
        <w:rPr>
          <w:spacing w:val="-5"/>
        </w:rPr>
        <w:t> </w:t>
      </w:r>
      <w:r>
        <w:rPr/>
        <w:t>and</w:t>
      </w:r>
      <w:r>
        <w:rPr>
          <w:spacing w:val="-6"/>
        </w:rPr>
        <w:t> </w:t>
      </w:r>
      <w:r>
        <w:rPr/>
        <w:t>elk</w:t>
      </w:r>
      <w:r>
        <w:rPr>
          <w:spacing w:val="-4"/>
        </w:rPr>
        <w:t> </w:t>
      </w:r>
      <w:r>
        <w:rPr/>
        <w:t>summer</w:t>
      </w:r>
      <w:r>
        <w:rPr>
          <w:spacing w:val="-5"/>
        </w:rPr>
        <w:t> </w:t>
      </w:r>
      <w:r>
        <w:rPr/>
        <w:t>and</w:t>
      </w:r>
      <w:r>
        <w:rPr>
          <w:spacing w:val="-8"/>
        </w:rPr>
        <w:t> </w:t>
      </w:r>
      <w:r>
        <w:rPr/>
        <w:t>winter</w:t>
      </w:r>
      <w:r>
        <w:rPr>
          <w:spacing w:val="-7"/>
        </w:rPr>
        <w:t> </w:t>
      </w:r>
      <w:r>
        <w:rPr/>
        <w:t>range</w:t>
      </w:r>
      <w:r>
        <w:rPr>
          <w:spacing w:val="-4"/>
        </w:rPr>
        <w:t> </w:t>
      </w:r>
      <w:r>
        <w:rPr/>
        <w:t>are</w:t>
      </w:r>
      <w:r>
        <w:rPr>
          <w:spacing w:val="-7"/>
        </w:rPr>
        <w:t> </w:t>
      </w:r>
      <w:r>
        <w:rPr/>
        <w:t>within</w:t>
      </w:r>
      <w:r>
        <w:rPr>
          <w:spacing w:val="-6"/>
        </w:rPr>
        <w:t> </w:t>
      </w:r>
      <w:r>
        <w:rPr/>
        <w:t>historical</w:t>
      </w:r>
      <w:r>
        <w:rPr>
          <w:spacing w:val="-5"/>
        </w:rPr>
        <w:t> </w:t>
      </w:r>
      <w:r>
        <w:rPr/>
        <w:t>range</w:t>
      </w:r>
      <w:r>
        <w:rPr>
          <w:spacing w:val="-4"/>
        </w:rPr>
        <w:t> </w:t>
      </w:r>
      <w:r>
        <w:rPr/>
        <w:t>of variability for vegetation (per FW-DC-VEG-03 and </w:t>
      </w:r>
      <w:hyperlink w:history="true" w:anchor="_bookmark78">
        <w:r>
          <w:rPr/>
          <w:t>table 5</w:t>
        </w:r>
      </w:hyperlink>
      <w:r>
        <w:rPr/>
        <w:t>).</w:t>
      </w:r>
    </w:p>
    <w:p>
      <w:pPr>
        <w:spacing w:before="234"/>
        <w:ind w:left="359" w:right="0" w:firstLine="0"/>
        <w:jc w:val="left"/>
        <w:rPr>
          <w:rFonts w:ascii="Arial" w:hAnsi="Arial"/>
          <w:i/>
          <w:sz w:val="22"/>
        </w:rPr>
      </w:pPr>
      <w:bookmarkStart w:name="FW-DC-WL-14. Deer and Elk Habitat – Huma" w:id="274"/>
      <w:bookmarkEnd w:id="274"/>
      <w:r>
        <w:rPr/>
      </w:r>
      <w:r>
        <w:rPr>
          <w:rFonts w:ascii="Arial" w:hAnsi="Arial"/>
          <w:i/>
          <w:sz w:val="22"/>
        </w:rPr>
        <w:t>FW-DC-WL-14.</w:t>
      </w:r>
      <w:r>
        <w:rPr>
          <w:rFonts w:ascii="Arial" w:hAnsi="Arial"/>
          <w:i/>
          <w:spacing w:val="-4"/>
          <w:sz w:val="22"/>
        </w:rPr>
        <w:t> </w:t>
      </w:r>
      <w:r>
        <w:rPr>
          <w:rFonts w:ascii="Arial" w:hAnsi="Arial"/>
          <w:i/>
          <w:sz w:val="22"/>
        </w:rPr>
        <w:t>Deer</w:t>
      </w:r>
      <w:r>
        <w:rPr>
          <w:rFonts w:ascii="Arial" w:hAnsi="Arial"/>
          <w:i/>
          <w:spacing w:val="-6"/>
          <w:sz w:val="22"/>
        </w:rPr>
        <w:t> </w:t>
      </w:r>
      <w:r>
        <w:rPr>
          <w:rFonts w:ascii="Arial" w:hAnsi="Arial"/>
          <w:i/>
          <w:sz w:val="22"/>
        </w:rPr>
        <w:t>and</w:t>
      </w:r>
      <w:r>
        <w:rPr>
          <w:rFonts w:ascii="Arial" w:hAnsi="Arial"/>
          <w:i/>
          <w:spacing w:val="-5"/>
          <w:sz w:val="22"/>
        </w:rPr>
        <w:t> </w:t>
      </w:r>
      <w:r>
        <w:rPr>
          <w:rFonts w:ascii="Arial" w:hAnsi="Arial"/>
          <w:i/>
          <w:sz w:val="22"/>
        </w:rPr>
        <w:t>Elk</w:t>
      </w:r>
      <w:r>
        <w:rPr>
          <w:rFonts w:ascii="Arial" w:hAnsi="Arial"/>
          <w:i/>
          <w:spacing w:val="-4"/>
          <w:sz w:val="22"/>
        </w:rPr>
        <w:t> </w:t>
      </w:r>
      <w:r>
        <w:rPr>
          <w:rFonts w:ascii="Arial" w:hAnsi="Arial"/>
          <w:i/>
          <w:sz w:val="22"/>
        </w:rPr>
        <w:t>Habitat</w:t>
      </w:r>
      <w:r>
        <w:rPr>
          <w:rFonts w:ascii="Arial" w:hAnsi="Arial"/>
          <w:i/>
          <w:spacing w:val="-5"/>
          <w:sz w:val="22"/>
        </w:rPr>
        <w:t> </w:t>
      </w:r>
      <w:r>
        <w:rPr>
          <w:rFonts w:ascii="Arial" w:hAnsi="Arial"/>
          <w:i/>
          <w:sz w:val="22"/>
        </w:rPr>
        <w:t>–</w:t>
      </w:r>
      <w:r>
        <w:rPr>
          <w:rFonts w:ascii="Arial" w:hAnsi="Arial"/>
          <w:i/>
          <w:spacing w:val="-5"/>
          <w:sz w:val="22"/>
        </w:rPr>
        <w:t> </w:t>
      </w:r>
      <w:r>
        <w:rPr>
          <w:rFonts w:ascii="Arial" w:hAnsi="Arial"/>
          <w:i/>
          <w:sz w:val="22"/>
        </w:rPr>
        <w:t>Human</w:t>
      </w:r>
      <w:r>
        <w:rPr>
          <w:rFonts w:ascii="Arial" w:hAnsi="Arial"/>
          <w:i/>
          <w:spacing w:val="-4"/>
          <w:sz w:val="22"/>
        </w:rPr>
        <w:t> </w:t>
      </w:r>
      <w:r>
        <w:rPr>
          <w:rFonts w:ascii="Arial" w:hAnsi="Arial"/>
          <w:i/>
          <w:spacing w:val="-2"/>
          <w:sz w:val="22"/>
        </w:rPr>
        <w:t>Activities</w:t>
      </w:r>
    </w:p>
    <w:p>
      <w:pPr>
        <w:pStyle w:val="BodyText"/>
        <w:spacing w:line="232" w:lineRule="auto" w:before="65"/>
        <w:ind w:left="359" w:right="1696"/>
      </w:pPr>
      <w:r>
        <w:rPr/>
        <w:t>Winter</w:t>
      </w:r>
      <w:r>
        <w:rPr>
          <w:spacing w:val="-5"/>
        </w:rPr>
        <w:t> </w:t>
      </w:r>
      <w:r>
        <w:rPr/>
        <w:t>ranges</w:t>
      </w:r>
      <w:r>
        <w:rPr>
          <w:spacing w:val="-5"/>
        </w:rPr>
        <w:t> </w:t>
      </w:r>
      <w:r>
        <w:rPr/>
        <w:t>for</w:t>
      </w:r>
      <w:r>
        <w:rPr>
          <w:spacing w:val="-5"/>
        </w:rPr>
        <w:t> </w:t>
      </w:r>
      <w:r>
        <w:rPr/>
        <w:t>deer</w:t>
      </w:r>
      <w:r>
        <w:rPr>
          <w:spacing w:val="-5"/>
        </w:rPr>
        <w:t> </w:t>
      </w:r>
      <w:r>
        <w:rPr/>
        <w:t>and</w:t>
      </w:r>
      <w:r>
        <w:rPr>
          <w:spacing w:val="-7"/>
        </w:rPr>
        <w:t> </w:t>
      </w:r>
      <w:r>
        <w:rPr/>
        <w:t>elk</w:t>
      </w:r>
      <w:r>
        <w:rPr>
          <w:spacing w:val="-4"/>
        </w:rPr>
        <w:t> </w:t>
      </w:r>
      <w:r>
        <w:rPr/>
        <w:t>provide</w:t>
      </w:r>
      <w:r>
        <w:rPr>
          <w:spacing w:val="-6"/>
        </w:rPr>
        <w:t> </w:t>
      </w:r>
      <w:r>
        <w:rPr/>
        <w:t>a</w:t>
      </w:r>
      <w:r>
        <w:rPr>
          <w:spacing w:val="-5"/>
        </w:rPr>
        <w:t> </w:t>
      </w:r>
      <w:r>
        <w:rPr/>
        <w:t>high</w:t>
      </w:r>
      <w:r>
        <w:rPr>
          <w:spacing w:val="-5"/>
        </w:rPr>
        <w:t> </w:t>
      </w:r>
      <w:r>
        <w:rPr/>
        <w:t>level</w:t>
      </w:r>
      <w:r>
        <w:rPr>
          <w:spacing w:val="-7"/>
        </w:rPr>
        <w:t> </w:t>
      </w:r>
      <w:r>
        <w:rPr/>
        <w:t>of</w:t>
      </w:r>
      <w:r>
        <w:rPr>
          <w:spacing w:val="-9"/>
        </w:rPr>
        <w:t> </w:t>
      </w:r>
      <w:r>
        <w:rPr/>
        <w:t>habitat</w:t>
      </w:r>
      <w:r>
        <w:rPr>
          <w:spacing w:val="-4"/>
        </w:rPr>
        <w:t> </w:t>
      </w:r>
      <w:r>
        <w:rPr/>
        <w:t>effectiveness</w:t>
      </w:r>
      <w:r>
        <w:rPr>
          <w:spacing w:val="-6"/>
        </w:rPr>
        <w:t> </w:t>
      </w:r>
      <w:r>
        <w:rPr/>
        <w:t>by</w:t>
      </w:r>
      <w:r>
        <w:rPr>
          <w:spacing w:val="-5"/>
        </w:rPr>
        <w:t> </w:t>
      </w:r>
      <w:r>
        <w:rPr/>
        <w:t>having</w:t>
      </w:r>
      <w:r>
        <w:rPr>
          <w:spacing w:val="-5"/>
        </w:rPr>
        <w:t> </w:t>
      </w:r>
      <w:r>
        <w:rPr/>
        <w:t>less</w:t>
      </w:r>
      <w:r>
        <w:rPr>
          <w:spacing w:val="-6"/>
        </w:rPr>
        <w:t> </w:t>
      </w:r>
      <w:r>
        <w:rPr/>
        <w:t>than 30 percent of the</w:t>
      </w:r>
      <w:r>
        <w:rPr>
          <w:spacing w:val="-2"/>
        </w:rPr>
        <w:t> </w:t>
      </w:r>
      <w:r>
        <w:rPr/>
        <w:t>winter</w:t>
      </w:r>
      <w:r>
        <w:rPr>
          <w:spacing w:val="-2"/>
        </w:rPr>
        <w:t> </w:t>
      </w:r>
      <w:r>
        <w:rPr/>
        <w:t>range within</w:t>
      </w:r>
      <w:r>
        <w:rPr>
          <w:spacing w:val="-1"/>
        </w:rPr>
        <w:t> </w:t>
      </w:r>
      <w:r>
        <w:rPr/>
        <w:t>a zone</w:t>
      </w:r>
      <w:r>
        <w:rPr>
          <w:spacing w:val="-2"/>
        </w:rPr>
        <w:t> </w:t>
      </w:r>
      <w:r>
        <w:rPr/>
        <w:t>of influence of</w:t>
      </w:r>
      <w:r>
        <w:rPr>
          <w:spacing w:val="-2"/>
        </w:rPr>
        <w:t> </w:t>
      </w:r>
      <w:r>
        <w:rPr/>
        <w:t>an</w:t>
      </w:r>
      <w:r>
        <w:rPr>
          <w:spacing w:val="-3"/>
        </w:rPr>
        <w:t> </w:t>
      </w:r>
      <w:r>
        <w:rPr/>
        <w:t>open</w:t>
      </w:r>
      <w:r>
        <w:rPr>
          <w:spacing w:val="-1"/>
        </w:rPr>
        <w:t> </w:t>
      </w:r>
      <w:r>
        <w:rPr/>
        <w:t>road</w:t>
      </w:r>
      <w:r>
        <w:rPr>
          <w:spacing w:val="-3"/>
        </w:rPr>
        <w:t> </w:t>
      </w:r>
      <w:r>
        <w:rPr/>
        <w:t>or</w:t>
      </w:r>
      <w:r>
        <w:rPr>
          <w:spacing w:val="-2"/>
        </w:rPr>
        <w:t> </w:t>
      </w:r>
      <w:r>
        <w:rPr/>
        <w:t>motorized</w:t>
      </w:r>
      <w:r>
        <w:rPr>
          <w:spacing w:val="-1"/>
        </w:rPr>
        <w:t> </w:t>
      </w:r>
      <w:r>
        <w:rPr/>
        <w:t>travel route. Summer ranges provide a moderate level of habitat effectiveness by having less than</w:t>
      </w:r>
      <w:r>
        <w:rPr/>
        <w:t> 50</w:t>
      </w:r>
      <w:r>
        <w:rPr>
          <w:spacing w:val="-2"/>
        </w:rPr>
        <w:t> </w:t>
      </w:r>
      <w:r>
        <w:rPr/>
        <w:t>percent</w:t>
      </w:r>
      <w:r>
        <w:rPr>
          <w:spacing w:val="-2"/>
        </w:rPr>
        <w:t> </w:t>
      </w:r>
      <w:r>
        <w:rPr/>
        <w:t>of</w:t>
      </w:r>
      <w:r>
        <w:rPr>
          <w:spacing w:val="-3"/>
        </w:rPr>
        <w:t> </w:t>
      </w:r>
      <w:r>
        <w:rPr/>
        <w:t>the</w:t>
      </w:r>
      <w:r>
        <w:rPr>
          <w:spacing w:val="-5"/>
        </w:rPr>
        <w:t> </w:t>
      </w:r>
      <w:r>
        <w:rPr/>
        <w:t>summer</w:t>
      </w:r>
      <w:r>
        <w:rPr>
          <w:spacing w:val="-3"/>
        </w:rPr>
        <w:t> </w:t>
      </w:r>
      <w:r>
        <w:rPr/>
        <w:t>range</w:t>
      </w:r>
      <w:r>
        <w:rPr>
          <w:spacing w:val="-2"/>
        </w:rPr>
        <w:t> </w:t>
      </w:r>
      <w:r>
        <w:rPr/>
        <w:t>within</w:t>
      </w:r>
      <w:r>
        <w:rPr>
          <w:spacing w:val="-4"/>
        </w:rPr>
        <w:t> </w:t>
      </w:r>
      <w:r>
        <w:rPr/>
        <w:t>a</w:t>
      </w:r>
      <w:r>
        <w:rPr>
          <w:spacing w:val="-3"/>
        </w:rPr>
        <w:t> </w:t>
      </w:r>
      <w:r>
        <w:rPr/>
        <w:t>zone</w:t>
      </w:r>
      <w:r>
        <w:rPr>
          <w:spacing w:val="-5"/>
        </w:rPr>
        <w:t> </w:t>
      </w:r>
      <w:r>
        <w:rPr/>
        <w:t>of</w:t>
      </w:r>
      <w:r>
        <w:rPr>
          <w:spacing w:val="-3"/>
        </w:rPr>
        <w:t> </w:t>
      </w:r>
      <w:r>
        <w:rPr/>
        <w:t>influence</w:t>
      </w:r>
      <w:r>
        <w:rPr>
          <w:spacing w:val="-5"/>
        </w:rPr>
        <w:t> </w:t>
      </w:r>
      <w:r>
        <w:rPr/>
        <w:t>of</w:t>
      </w:r>
      <w:r>
        <w:rPr>
          <w:spacing w:val="-3"/>
        </w:rPr>
        <w:t> </w:t>
      </w:r>
      <w:r>
        <w:rPr/>
        <w:t>an</w:t>
      </w:r>
      <w:r>
        <w:rPr>
          <w:spacing w:val="-6"/>
        </w:rPr>
        <w:t> </w:t>
      </w:r>
      <w:r>
        <w:rPr/>
        <w:t>open</w:t>
      </w:r>
      <w:r>
        <w:rPr>
          <w:spacing w:val="-6"/>
        </w:rPr>
        <w:t> </w:t>
      </w:r>
      <w:r>
        <w:rPr/>
        <w:t>road</w:t>
      </w:r>
      <w:r>
        <w:rPr>
          <w:spacing w:val="-4"/>
        </w:rPr>
        <w:t> </w:t>
      </w:r>
      <w:r>
        <w:rPr/>
        <w:t>or</w:t>
      </w:r>
      <w:r>
        <w:rPr>
          <w:spacing w:val="-5"/>
        </w:rPr>
        <w:t> </w:t>
      </w:r>
      <w:r>
        <w:rPr/>
        <w:t>motorized</w:t>
      </w:r>
      <w:r>
        <w:rPr>
          <w:spacing w:val="-4"/>
        </w:rPr>
        <w:t> </w:t>
      </w:r>
      <w:r>
        <w:rPr/>
        <w:t>trail.</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Objectives" w:id="275"/>
      <w:bookmarkEnd w:id="275"/>
      <w:r>
        <w:rPr/>
      </w:r>
      <w:bookmarkStart w:name="_bookmark103" w:id="276"/>
      <w:bookmarkEnd w:id="276"/>
      <w:r>
        <w:rPr/>
      </w:r>
      <w:r>
        <w:rPr>
          <w:spacing w:val="-2"/>
        </w:rPr>
        <w:t>Objectives</w:t>
      </w:r>
    </w:p>
    <w:p>
      <w:pPr>
        <w:spacing w:before="240"/>
        <w:ind w:left="1151" w:right="1073" w:firstLine="0"/>
        <w:jc w:val="left"/>
        <w:rPr>
          <w:rFonts w:ascii="Arial" w:hAnsi="Arial"/>
          <w:i/>
          <w:sz w:val="22"/>
        </w:rPr>
      </w:pPr>
      <w:bookmarkStart w:name="FW-OBJ-WL-01. Wildlife Habitats – Proper" w:id="277"/>
      <w:bookmarkEnd w:id="277"/>
      <w:r>
        <w:rPr/>
      </w:r>
      <w:r>
        <w:rPr>
          <w:rFonts w:ascii="Arial" w:hAnsi="Arial"/>
          <w:i/>
          <w:sz w:val="22"/>
        </w:rPr>
        <w:t>FW-OBJ-WL-01.</w:t>
      </w:r>
      <w:r>
        <w:rPr>
          <w:rFonts w:ascii="Arial" w:hAnsi="Arial"/>
          <w:i/>
          <w:spacing w:val="-4"/>
          <w:sz w:val="22"/>
        </w:rPr>
        <w:t> </w:t>
      </w:r>
      <w:r>
        <w:rPr>
          <w:rFonts w:ascii="Arial" w:hAnsi="Arial"/>
          <w:i/>
          <w:sz w:val="22"/>
        </w:rPr>
        <w:t>Wildlife</w:t>
      </w:r>
      <w:r>
        <w:rPr>
          <w:rFonts w:ascii="Arial" w:hAnsi="Arial"/>
          <w:i/>
          <w:spacing w:val="-5"/>
          <w:sz w:val="22"/>
        </w:rPr>
        <w:t> </w:t>
      </w:r>
      <w:r>
        <w:rPr>
          <w:rFonts w:ascii="Arial" w:hAnsi="Arial"/>
          <w:i/>
          <w:sz w:val="22"/>
        </w:rPr>
        <w:t>Habitats</w:t>
      </w:r>
      <w:r>
        <w:rPr>
          <w:rFonts w:ascii="Arial" w:hAnsi="Arial"/>
          <w:i/>
          <w:spacing w:val="-4"/>
          <w:sz w:val="22"/>
        </w:rPr>
        <w:t> </w:t>
      </w:r>
      <w:r>
        <w:rPr>
          <w:rFonts w:ascii="Arial" w:hAnsi="Arial"/>
          <w:i/>
          <w:sz w:val="22"/>
        </w:rPr>
        <w:t>–</w:t>
      </w:r>
      <w:r>
        <w:rPr>
          <w:rFonts w:ascii="Arial" w:hAnsi="Arial"/>
          <w:i/>
          <w:spacing w:val="-3"/>
          <w:sz w:val="22"/>
        </w:rPr>
        <w:t> </w:t>
      </w:r>
      <w:r>
        <w:rPr>
          <w:rFonts w:ascii="Arial" w:hAnsi="Arial"/>
          <w:i/>
          <w:sz w:val="22"/>
        </w:rPr>
        <w:t>Proper</w:t>
      </w:r>
      <w:r>
        <w:rPr>
          <w:rFonts w:ascii="Arial" w:hAnsi="Arial"/>
          <w:i/>
          <w:spacing w:val="-4"/>
          <w:sz w:val="22"/>
        </w:rPr>
        <w:t> </w:t>
      </w:r>
      <w:r>
        <w:rPr>
          <w:rFonts w:ascii="Arial" w:hAnsi="Arial"/>
          <w:i/>
          <w:sz w:val="22"/>
        </w:rPr>
        <w:t>Storage</w:t>
      </w:r>
      <w:r>
        <w:rPr>
          <w:rFonts w:ascii="Arial" w:hAnsi="Arial"/>
          <w:i/>
          <w:spacing w:val="-3"/>
          <w:sz w:val="22"/>
        </w:rPr>
        <w:t> </w:t>
      </w:r>
      <w:r>
        <w:rPr>
          <w:rFonts w:ascii="Arial" w:hAnsi="Arial"/>
          <w:i/>
          <w:sz w:val="22"/>
        </w:rPr>
        <w:t>of</w:t>
      </w:r>
      <w:r>
        <w:rPr>
          <w:rFonts w:ascii="Arial" w:hAnsi="Arial"/>
          <w:i/>
          <w:spacing w:val="-3"/>
          <w:sz w:val="22"/>
        </w:rPr>
        <w:t> </w:t>
      </w:r>
      <w:r>
        <w:rPr>
          <w:rFonts w:ascii="Arial" w:hAnsi="Arial"/>
          <w:i/>
          <w:sz w:val="22"/>
        </w:rPr>
        <w:t>Human</w:t>
      </w:r>
      <w:r>
        <w:rPr>
          <w:rFonts w:ascii="Arial" w:hAnsi="Arial"/>
          <w:i/>
          <w:spacing w:val="-5"/>
          <w:sz w:val="22"/>
        </w:rPr>
        <w:t> </w:t>
      </w:r>
      <w:r>
        <w:rPr>
          <w:rFonts w:ascii="Arial" w:hAnsi="Arial"/>
          <w:i/>
          <w:sz w:val="22"/>
        </w:rPr>
        <w:t>Food,</w:t>
      </w:r>
      <w:r>
        <w:rPr>
          <w:rFonts w:ascii="Arial" w:hAnsi="Arial"/>
          <w:i/>
          <w:spacing w:val="-4"/>
          <w:sz w:val="22"/>
        </w:rPr>
        <w:t> </w:t>
      </w:r>
      <w:r>
        <w:rPr>
          <w:rFonts w:ascii="Arial" w:hAnsi="Arial"/>
          <w:i/>
          <w:sz w:val="22"/>
        </w:rPr>
        <w:t>Garbage</w:t>
      </w:r>
      <w:r>
        <w:rPr>
          <w:rFonts w:ascii="Arial" w:hAnsi="Arial"/>
          <w:i/>
          <w:spacing w:val="-3"/>
          <w:sz w:val="22"/>
        </w:rPr>
        <w:t> </w:t>
      </w:r>
      <w:r>
        <w:rPr>
          <w:rFonts w:ascii="Arial" w:hAnsi="Arial"/>
          <w:i/>
          <w:sz w:val="22"/>
        </w:rPr>
        <w:t>and</w:t>
      </w:r>
      <w:r>
        <w:rPr>
          <w:rFonts w:ascii="Arial" w:hAnsi="Arial"/>
          <w:i/>
          <w:sz w:val="22"/>
        </w:rPr>
        <w:t> Other Wildlife Attractants</w:t>
      </w:r>
    </w:p>
    <w:p>
      <w:pPr>
        <w:pStyle w:val="BodyText"/>
        <w:spacing w:line="232" w:lineRule="auto" w:before="66"/>
        <w:ind w:left="1151" w:right="1073"/>
      </w:pPr>
      <w:r>
        <w:rPr/>
        <w:t>Address</w:t>
      </w:r>
      <w:r>
        <w:rPr>
          <w:spacing w:val="-2"/>
        </w:rPr>
        <w:t> </w:t>
      </w:r>
      <w:r>
        <w:rPr/>
        <w:t>any</w:t>
      </w:r>
      <w:r>
        <w:rPr>
          <w:spacing w:val="-1"/>
        </w:rPr>
        <w:t> </w:t>
      </w:r>
      <w:r>
        <w:rPr/>
        <w:t>food</w:t>
      </w:r>
      <w:r>
        <w:rPr>
          <w:spacing w:val="-5"/>
        </w:rPr>
        <w:t> </w:t>
      </w:r>
      <w:r>
        <w:rPr/>
        <w:t>or</w:t>
      </w:r>
      <w:r>
        <w:rPr>
          <w:spacing w:val="-4"/>
        </w:rPr>
        <w:t> </w:t>
      </w:r>
      <w:r>
        <w:rPr/>
        <w:t>garbage</w:t>
      </w:r>
      <w:r>
        <w:rPr>
          <w:spacing w:val="-1"/>
        </w:rPr>
        <w:t> </w:t>
      </w:r>
      <w:r>
        <w:rPr/>
        <w:t>storage</w:t>
      </w:r>
      <w:r>
        <w:rPr>
          <w:spacing w:val="-1"/>
        </w:rPr>
        <w:t> </w:t>
      </w:r>
      <w:r>
        <w:rPr/>
        <w:t>problem</w:t>
      </w:r>
      <w:r>
        <w:rPr>
          <w:spacing w:val="-1"/>
        </w:rPr>
        <w:t> </w:t>
      </w:r>
      <w:r>
        <w:rPr/>
        <w:t>areas</w:t>
      </w:r>
      <w:r>
        <w:rPr>
          <w:spacing w:val="-2"/>
        </w:rPr>
        <w:t> </w:t>
      </w:r>
      <w:r>
        <w:rPr/>
        <w:t>promptly</w:t>
      </w:r>
      <w:r>
        <w:rPr>
          <w:spacing w:val="-3"/>
        </w:rPr>
        <w:t> </w:t>
      </w:r>
      <w:r>
        <w:rPr/>
        <w:t>to</w:t>
      </w:r>
      <w:r>
        <w:rPr>
          <w:spacing w:val="-1"/>
        </w:rPr>
        <w:t> </w:t>
      </w:r>
      <w:r>
        <w:rPr/>
        <w:t>avoid</w:t>
      </w:r>
      <w:r>
        <w:rPr>
          <w:spacing w:val="-3"/>
        </w:rPr>
        <w:t> </w:t>
      </w:r>
      <w:r>
        <w:rPr/>
        <w:t>habituation</w:t>
      </w:r>
      <w:r>
        <w:rPr>
          <w:spacing w:val="-3"/>
        </w:rPr>
        <w:t> </w:t>
      </w:r>
      <w:r>
        <w:rPr/>
        <w:t>of</w:t>
      </w:r>
      <w:r>
        <w:rPr>
          <w:spacing w:val="-2"/>
        </w:rPr>
        <w:t> </w:t>
      </w:r>
      <w:r>
        <w:rPr/>
        <w:t>grizzly bears</w:t>
      </w:r>
      <w:r>
        <w:rPr>
          <w:spacing w:val="-7"/>
        </w:rPr>
        <w:t> </w:t>
      </w:r>
      <w:r>
        <w:rPr/>
        <w:t>or</w:t>
      </w:r>
      <w:r>
        <w:rPr>
          <w:spacing w:val="-9"/>
        </w:rPr>
        <w:t> </w:t>
      </w:r>
      <w:r>
        <w:rPr/>
        <w:t>other</w:t>
      </w:r>
      <w:r>
        <w:rPr>
          <w:spacing w:val="-7"/>
        </w:rPr>
        <w:t> </w:t>
      </w:r>
      <w:r>
        <w:rPr/>
        <w:t>wildlife.</w:t>
      </w:r>
      <w:r>
        <w:rPr>
          <w:spacing w:val="-7"/>
        </w:rPr>
        <w:t> </w:t>
      </w:r>
      <w:r>
        <w:rPr/>
        <w:t>Maintain</w:t>
      </w:r>
      <w:r>
        <w:rPr>
          <w:spacing w:val="-8"/>
        </w:rPr>
        <w:t> </w:t>
      </w:r>
      <w:r>
        <w:rPr/>
        <w:t>the</w:t>
      </w:r>
      <w:r>
        <w:rPr>
          <w:spacing w:val="-9"/>
        </w:rPr>
        <w:t> </w:t>
      </w:r>
      <w:r>
        <w:rPr/>
        <w:t>wildlife-resistant</w:t>
      </w:r>
      <w:r>
        <w:rPr>
          <w:spacing w:val="-9"/>
        </w:rPr>
        <w:t> </w:t>
      </w:r>
      <w:r>
        <w:rPr/>
        <w:t>garbage</w:t>
      </w:r>
      <w:r>
        <w:rPr>
          <w:spacing w:val="-6"/>
        </w:rPr>
        <w:t> </w:t>
      </w:r>
      <w:r>
        <w:rPr/>
        <w:t>storage</w:t>
      </w:r>
      <w:r>
        <w:rPr>
          <w:spacing w:val="-6"/>
        </w:rPr>
        <w:t> </w:t>
      </w:r>
      <w:r>
        <w:rPr/>
        <w:t>devices</w:t>
      </w:r>
      <w:r>
        <w:rPr>
          <w:spacing w:val="-7"/>
        </w:rPr>
        <w:t> </w:t>
      </w:r>
      <w:r>
        <w:rPr/>
        <w:t>installed</w:t>
      </w:r>
      <w:r>
        <w:rPr>
          <w:spacing w:val="-8"/>
        </w:rPr>
        <w:t> </w:t>
      </w:r>
      <w:r>
        <w:rPr/>
        <w:t>in</w:t>
      </w:r>
      <w:r>
        <w:rPr>
          <w:spacing w:val="-8"/>
        </w:rPr>
        <w:t> </w:t>
      </w:r>
      <w:r>
        <w:rPr/>
        <w:t>all developed campgrounds on the Colville National</w:t>
      </w:r>
      <w:r>
        <w:rPr>
          <w:spacing w:val="-1"/>
        </w:rPr>
        <w:t> </w:t>
      </w:r>
      <w:r>
        <w:rPr/>
        <w:t>Forest, as needed. Within 15 years of plan implementation, install at least 15 wildlife-resistant food storage lockers at developed campgrounds or heavily used dispersed campsites. Priority will be given to sites within or adjacent</w:t>
      </w:r>
      <w:r>
        <w:rPr>
          <w:spacing w:val="-2"/>
        </w:rPr>
        <w:t> </w:t>
      </w:r>
      <w:r>
        <w:rPr/>
        <w:t>to</w:t>
      </w:r>
      <w:r>
        <w:rPr>
          <w:spacing w:val="-2"/>
        </w:rPr>
        <w:t> </w:t>
      </w:r>
      <w:r>
        <w:rPr/>
        <w:t>the</w:t>
      </w:r>
      <w:r>
        <w:rPr>
          <w:spacing w:val="-2"/>
        </w:rPr>
        <w:t> </w:t>
      </w:r>
      <w:r>
        <w:rPr/>
        <w:t>grizzly</w:t>
      </w:r>
      <w:r>
        <w:rPr>
          <w:spacing w:val="-2"/>
        </w:rPr>
        <w:t> </w:t>
      </w:r>
      <w:r>
        <w:rPr/>
        <w:t>bear</w:t>
      </w:r>
      <w:r>
        <w:rPr>
          <w:spacing w:val="-4"/>
        </w:rPr>
        <w:t> </w:t>
      </w:r>
      <w:r>
        <w:rPr/>
        <w:t>recovery</w:t>
      </w:r>
      <w:r>
        <w:rPr>
          <w:spacing w:val="-2"/>
        </w:rPr>
        <w:t> </w:t>
      </w:r>
      <w:r>
        <w:rPr/>
        <w:t>area,</w:t>
      </w:r>
      <w:r>
        <w:rPr>
          <w:spacing w:val="-4"/>
        </w:rPr>
        <w:t> </w:t>
      </w:r>
      <w:r>
        <w:rPr/>
        <w:t>or</w:t>
      </w:r>
      <w:r>
        <w:rPr>
          <w:spacing w:val="-4"/>
        </w:rPr>
        <w:t> </w:t>
      </w:r>
      <w:r>
        <w:rPr/>
        <w:t>to</w:t>
      </w:r>
      <w:r>
        <w:rPr>
          <w:spacing w:val="-3"/>
        </w:rPr>
        <w:t> </w:t>
      </w:r>
      <w:r>
        <w:rPr/>
        <w:t>areas</w:t>
      </w:r>
      <w:r>
        <w:rPr>
          <w:spacing w:val="-7"/>
        </w:rPr>
        <w:t> </w:t>
      </w:r>
      <w:r>
        <w:rPr/>
        <w:t>with</w:t>
      </w:r>
      <w:r>
        <w:rPr>
          <w:spacing w:val="-3"/>
        </w:rPr>
        <w:t> </w:t>
      </w:r>
      <w:r>
        <w:rPr/>
        <w:t>documented</w:t>
      </w:r>
      <w:r>
        <w:rPr>
          <w:spacing w:val="-3"/>
        </w:rPr>
        <w:t> </w:t>
      </w:r>
      <w:r>
        <w:rPr/>
        <w:t>black</w:t>
      </w:r>
      <w:r>
        <w:rPr>
          <w:spacing w:val="-4"/>
        </w:rPr>
        <w:t> </w:t>
      </w:r>
      <w:r>
        <w:rPr/>
        <w:t>bear</w:t>
      </w:r>
      <w:r>
        <w:rPr>
          <w:spacing w:val="-2"/>
        </w:rPr>
        <w:t> </w:t>
      </w:r>
      <w:r>
        <w:rPr/>
        <w:t>or</w:t>
      </w:r>
      <w:r>
        <w:rPr>
          <w:spacing w:val="-2"/>
        </w:rPr>
        <w:t> </w:t>
      </w:r>
      <w:r>
        <w:rPr/>
        <w:t>grizzly bear food or human interactions.</w:t>
      </w:r>
    </w:p>
    <w:p>
      <w:pPr>
        <w:spacing w:before="230"/>
        <w:ind w:left="1151" w:right="0" w:firstLine="0"/>
        <w:jc w:val="left"/>
        <w:rPr>
          <w:rFonts w:ascii="Arial"/>
          <w:i/>
          <w:sz w:val="22"/>
        </w:rPr>
      </w:pPr>
      <w:bookmarkStart w:name="FW-OBJ-WL-02. Canada Lynx Habitat Restor" w:id="278"/>
      <w:bookmarkEnd w:id="278"/>
      <w:r>
        <w:rPr/>
      </w:r>
      <w:r>
        <w:rPr>
          <w:rFonts w:ascii="Arial"/>
          <w:i/>
          <w:sz w:val="22"/>
        </w:rPr>
        <w:t>FW-OBJ-WL-02.</w:t>
      </w:r>
      <w:r>
        <w:rPr>
          <w:rFonts w:ascii="Arial"/>
          <w:i/>
          <w:spacing w:val="-6"/>
          <w:sz w:val="22"/>
        </w:rPr>
        <w:t> </w:t>
      </w:r>
      <w:r>
        <w:rPr>
          <w:rFonts w:ascii="Arial"/>
          <w:i/>
          <w:sz w:val="22"/>
        </w:rPr>
        <w:t>Canada</w:t>
      </w:r>
      <w:r>
        <w:rPr>
          <w:rFonts w:ascii="Arial"/>
          <w:i/>
          <w:spacing w:val="-6"/>
          <w:sz w:val="22"/>
        </w:rPr>
        <w:t> </w:t>
      </w:r>
      <w:r>
        <w:rPr>
          <w:rFonts w:ascii="Arial"/>
          <w:i/>
          <w:sz w:val="22"/>
        </w:rPr>
        <w:t>Lynx</w:t>
      </w:r>
      <w:r>
        <w:rPr>
          <w:rFonts w:ascii="Arial"/>
          <w:i/>
          <w:spacing w:val="-6"/>
          <w:sz w:val="22"/>
        </w:rPr>
        <w:t> </w:t>
      </w:r>
      <w:r>
        <w:rPr>
          <w:rFonts w:ascii="Arial"/>
          <w:i/>
          <w:sz w:val="22"/>
        </w:rPr>
        <w:t>Habitat</w:t>
      </w:r>
      <w:r>
        <w:rPr>
          <w:rFonts w:ascii="Arial"/>
          <w:i/>
          <w:spacing w:val="-5"/>
          <w:sz w:val="22"/>
        </w:rPr>
        <w:t> </w:t>
      </w:r>
      <w:r>
        <w:rPr>
          <w:rFonts w:ascii="Arial"/>
          <w:i/>
          <w:spacing w:val="-2"/>
          <w:sz w:val="22"/>
        </w:rPr>
        <w:t>Restoration</w:t>
      </w:r>
    </w:p>
    <w:p>
      <w:pPr>
        <w:pStyle w:val="BodyText"/>
        <w:spacing w:line="232" w:lineRule="auto" w:before="67"/>
        <w:ind w:left="1150" w:right="801"/>
        <w:jc w:val="both"/>
      </w:pPr>
      <w:r>
        <w:rPr/>
        <w:t>During</w:t>
      </w:r>
      <w:r>
        <w:rPr>
          <w:spacing w:val="-3"/>
        </w:rPr>
        <w:t> </w:t>
      </w:r>
      <w:r>
        <w:rPr/>
        <w:t>the</w:t>
      </w:r>
      <w:r>
        <w:rPr>
          <w:spacing w:val="-4"/>
        </w:rPr>
        <w:t> </w:t>
      </w:r>
      <w:r>
        <w:rPr/>
        <w:t>expected</w:t>
      </w:r>
      <w:r>
        <w:rPr>
          <w:spacing w:val="-5"/>
        </w:rPr>
        <w:t> </w:t>
      </w:r>
      <w:r>
        <w:rPr/>
        <w:t>15</w:t>
      </w:r>
      <w:r>
        <w:rPr>
          <w:spacing w:val="-1"/>
        </w:rPr>
        <w:t> </w:t>
      </w:r>
      <w:r>
        <w:rPr/>
        <w:t>years</w:t>
      </w:r>
      <w:r>
        <w:rPr>
          <w:spacing w:val="-2"/>
        </w:rPr>
        <w:t> </w:t>
      </w:r>
      <w:r>
        <w:rPr/>
        <w:t>of</w:t>
      </w:r>
      <w:r>
        <w:rPr>
          <w:spacing w:val="-2"/>
        </w:rPr>
        <w:t> </w:t>
      </w:r>
      <w:r>
        <w:rPr/>
        <w:t>plan</w:t>
      </w:r>
      <w:r>
        <w:rPr>
          <w:spacing w:val="-3"/>
        </w:rPr>
        <w:t> </w:t>
      </w:r>
      <w:r>
        <w:rPr/>
        <w:t>implementation,</w:t>
      </w:r>
      <w:r>
        <w:rPr>
          <w:spacing w:val="-4"/>
        </w:rPr>
        <w:t> </w:t>
      </w:r>
      <w:r>
        <w:rPr/>
        <w:t>restore</w:t>
      </w:r>
      <w:r>
        <w:rPr>
          <w:spacing w:val="-4"/>
        </w:rPr>
        <w:t> </w:t>
      </w:r>
      <w:r>
        <w:rPr/>
        <w:t>an</w:t>
      </w:r>
      <w:r>
        <w:rPr>
          <w:spacing w:val="-3"/>
        </w:rPr>
        <w:t> </w:t>
      </w:r>
      <w:r>
        <w:rPr/>
        <w:t>average</w:t>
      </w:r>
      <w:r>
        <w:rPr>
          <w:spacing w:val="-4"/>
        </w:rPr>
        <w:t> </w:t>
      </w:r>
      <w:r>
        <w:rPr/>
        <w:t>of</w:t>
      </w:r>
      <w:r>
        <w:rPr>
          <w:spacing w:val="-4"/>
        </w:rPr>
        <w:t> </w:t>
      </w:r>
      <w:r>
        <w:rPr/>
        <w:t>100</w:t>
      </w:r>
      <w:r>
        <w:rPr>
          <w:spacing w:val="-1"/>
        </w:rPr>
        <w:t> </w:t>
      </w:r>
      <w:r>
        <w:rPr/>
        <w:t>acres</w:t>
      </w:r>
      <w:r>
        <w:rPr>
          <w:spacing w:val="-1"/>
        </w:rPr>
        <w:t> </w:t>
      </w:r>
      <w:r>
        <w:rPr/>
        <w:t>per</w:t>
      </w:r>
      <w:r>
        <w:rPr>
          <w:spacing w:val="-2"/>
        </w:rPr>
        <w:t> </w:t>
      </w:r>
      <w:r>
        <w:rPr/>
        <w:t>year of</w:t>
      </w:r>
      <w:r>
        <w:rPr>
          <w:spacing w:val="-6"/>
        </w:rPr>
        <w:t> </w:t>
      </w:r>
      <w:r>
        <w:rPr/>
        <w:t>snowshoe</w:t>
      </w:r>
      <w:r>
        <w:rPr>
          <w:spacing w:val="-8"/>
        </w:rPr>
        <w:t> </w:t>
      </w:r>
      <w:r>
        <w:rPr/>
        <w:t>hare</w:t>
      </w:r>
      <w:r>
        <w:rPr>
          <w:spacing w:val="-5"/>
        </w:rPr>
        <w:t> </w:t>
      </w:r>
      <w:r>
        <w:rPr/>
        <w:t>and/or</w:t>
      </w:r>
      <w:r>
        <w:rPr>
          <w:spacing w:val="-6"/>
        </w:rPr>
        <w:t> </w:t>
      </w:r>
      <w:r>
        <w:rPr/>
        <w:t>lynx</w:t>
      </w:r>
      <w:r>
        <w:rPr>
          <w:spacing w:val="-5"/>
        </w:rPr>
        <w:t> </w:t>
      </w:r>
      <w:r>
        <w:rPr/>
        <w:t>habitat</w:t>
      </w:r>
      <w:r>
        <w:rPr>
          <w:spacing w:val="-5"/>
        </w:rPr>
        <w:t> </w:t>
      </w:r>
      <w:r>
        <w:rPr/>
        <w:t>within</w:t>
      </w:r>
      <w:r>
        <w:rPr>
          <w:spacing w:val="-7"/>
        </w:rPr>
        <w:t> </w:t>
      </w:r>
      <w:r>
        <w:rPr/>
        <w:t>the</w:t>
      </w:r>
      <w:r>
        <w:rPr>
          <w:spacing w:val="-5"/>
        </w:rPr>
        <w:t> </w:t>
      </w:r>
      <w:r>
        <w:rPr/>
        <w:t>lynx</w:t>
      </w:r>
      <w:r>
        <w:rPr>
          <w:spacing w:val="-5"/>
        </w:rPr>
        <w:t> </w:t>
      </w:r>
      <w:r>
        <w:rPr/>
        <w:t>analysis</w:t>
      </w:r>
      <w:r>
        <w:rPr>
          <w:spacing w:val="-6"/>
        </w:rPr>
        <w:t> </w:t>
      </w:r>
      <w:r>
        <w:rPr/>
        <w:t>units</w:t>
      </w:r>
      <w:r>
        <w:rPr>
          <w:spacing w:val="-6"/>
        </w:rPr>
        <w:t> </w:t>
      </w:r>
      <w:r>
        <w:rPr/>
        <w:t>located</w:t>
      </w:r>
      <w:r>
        <w:rPr>
          <w:spacing w:val="-7"/>
        </w:rPr>
        <w:t> </w:t>
      </w:r>
      <w:r>
        <w:rPr/>
        <w:t>in</w:t>
      </w:r>
      <w:r>
        <w:rPr>
          <w:spacing w:val="-9"/>
        </w:rPr>
        <w:t> </w:t>
      </w:r>
      <w:r>
        <w:rPr/>
        <w:t>the</w:t>
      </w:r>
      <w:r>
        <w:rPr>
          <w:spacing w:val="-8"/>
        </w:rPr>
        <w:t> </w:t>
      </w:r>
      <w:r>
        <w:rPr/>
        <w:t>Kettle-Wedge core area.</w:t>
      </w:r>
    </w:p>
    <w:p>
      <w:pPr>
        <w:spacing w:before="233"/>
        <w:ind w:left="1150" w:right="0" w:firstLine="0"/>
        <w:jc w:val="left"/>
        <w:rPr>
          <w:rFonts w:ascii="Arial" w:hAnsi="Arial"/>
          <w:i/>
          <w:sz w:val="22"/>
        </w:rPr>
      </w:pPr>
      <w:bookmarkStart w:name="FW-OBJ-WL-03. Grizzly Bear Recovery Area" w:id="279"/>
      <w:bookmarkEnd w:id="279"/>
      <w:r>
        <w:rPr/>
      </w:r>
      <w:r>
        <w:rPr>
          <w:rFonts w:ascii="Arial" w:hAnsi="Arial"/>
          <w:i/>
          <w:sz w:val="22"/>
        </w:rPr>
        <w:t>FW-OBJ-WL-03.</w:t>
      </w:r>
      <w:r>
        <w:rPr>
          <w:rFonts w:ascii="Arial" w:hAnsi="Arial"/>
          <w:i/>
          <w:spacing w:val="-9"/>
          <w:sz w:val="22"/>
        </w:rPr>
        <w:t> </w:t>
      </w:r>
      <w:r>
        <w:rPr>
          <w:rFonts w:ascii="Arial" w:hAnsi="Arial"/>
          <w:i/>
          <w:sz w:val="22"/>
        </w:rPr>
        <w:t>Grizzly</w:t>
      </w:r>
      <w:r>
        <w:rPr>
          <w:rFonts w:ascii="Arial" w:hAnsi="Arial"/>
          <w:i/>
          <w:spacing w:val="-5"/>
          <w:sz w:val="22"/>
        </w:rPr>
        <w:t> </w:t>
      </w:r>
      <w:r>
        <w:rPr>
          <w:rFonts w:ascii="Arial" w:hAnsi="Arial"/>
          <w:i/>
          <w:sz w:val="22"/>
        </w:rPr>
        <w:t>Bear</w:t>
      </w:r>
      <w:r>
        <w:rPr>
          <w:rFonts w:ascii="Arial" w:hAnsi="Arial"/>
          <w:i/>
          <w:spacing w:val="-4"/>
          <w:sz w:val="22"/>
        </w:rPr>
        <w:t> </w:t>
      </w:r>
      <w:r>
        <w:rPr>
          <w:rFonts w:ascii="Arial" w:hAnsi="Arial"/>
          <w:i/>
          <w:sz w:val="22"/>
        </w:rPr>
        <w:t>Recovery</w:t>
      </w:r>
      <w:r>
        <w:rPr>
          <w:rFonts w:ascii="Arial" w:hAnsi="Arial"/>
          <w:i/>
          <w:spacing w:val="-4"/>
          <w:sz w:val="22"/>
        </w:rPr>
        <w:t> </w:t>
      </w:r>
      <w:r>
        <w:rPr>
          <w:rFonts w:ascii="Arial" w:hAnsi="Arial"/>
          <w:i/>
          <w:sz w:val="22"/>
        </w:rPr>
        <w:t>Area</w:t>
      </w:r>
      <w:r>
        <w:rPr>
          <w:rFonts w:ascii="Arial" w:hAnsi="Arial"/>
          <w:i/>
          <w:spacing w:val="-5"/>
          <w:sz w:val="22"/>
        </w:rPr>
        <w:t> </w:t>
      </w:r>
      <w:r>
        <w:rPr>
          <w:rFonts w:ascii="Arial" w:hAnsi="Arial"/>
          <w:i/>
          <w:sz w:val="22"/>
        </w:rPr>
        <w:t>–</w:t>
      </w:r>
      <w:r>
        <w:rPr>
          <w:rFonts w:ascii="Arial" w:hAnsi="Arial"/>
          <w:i/>
          <w:spacing w:val="-8"/>
          <w:sz w:val="22"/>
        </w:rPr>
        <w:t> </w:t>
      </w:r>
      <w:r>
        <w:rPr>
          <w:rFonts w:ascii="Arial" w:hAnsi="Arial"/>
          <w:i/>
          <w:sz w:val="22"/>
        </w:rPr>
        <w:t>Habitat</w:t>
      </w:r>
      <w:r>
        <w:rPr>
          <w:rFonts w:ascii="Arial" w:hAnsi="Arial"/>
          <w:i/>
          <w:spacing w:val="-3"/>
          <w:sz w:val="22"/>
        </w:rPr>
        <w:t> </w:t>
      </w:r>
      <w:r>
        <w:rPr>
          <w:rFonts w:ascii="Arial" w:hAnsi="Arial"/>
          <w:i/>
          <w:spacing w:val="-2"/>
          <w:sz w:val="22"/>
        </w:rPr>
        <w:t>Restoration</w:t>
      </w:r>
    </w:p>
    <w:p>
      <w:pPr>
        <w:pStyle w:val="BodyText"/>
        <w:spacing w:line="232" w:lineRule="auto" w:before="65"/>
        <w:ind w:left="1150" w:right="823"/>
        <w:jc w:val="both"/>
      </w:pPr>
      <w:r>
        <w:rPr/>
        <w:t>During</w:t>
      </w:r>
      <w:r>
        <w:rPr>
          <w:spacing w:val="-6"/>
        </w:rPr>
        <w:t> </w:t>
      </w:r>
      <w:r>
        <w:rPr/>
        <w:t>the</w:t>
      </w:r>
      <w:r>
        <w:rPr>
          <w:spacing w:val="-7"/>
        </w:rPr>
        <w:t> </w:t>
      </w:r>
      <w:r>
        <w:rPr/>
        <w:t>expected</w:t>
      </w:r>
      <w:r>
        <w:rPr>
          <w:spacing w:val="-8"/>
        </w:rPr>
        <w:t> </w:t>
      </w:r>
      <w:r>
        <w:rPr/>
        <w:t>15</w:t>
      </w:r>
      <w:r>
        <w:rPr>
          <w:spacing w:val="-4"/>
        </w:rPr>
        <w:t> </w:t>
      </w:r>
      <w:r>
        <w:rPr/>
        <w:t>years</w:t>
      </w:r>
      <w:r>
        <w:rPr>
          <w:spacing w:val="-5"/>
        </w:rPr>
        <w:t> </w:t>
      </w:r>
      <w:r>
        <w:rPr/>
        <w:t>of</w:t>
      </w:r>
      <w:r>
        <w:rPr>
          <w:spacing w:val="-5"/>
        </w:rPr>
        <w:t> </w:t>
      </w:r>
      <w:r>
        <w:rPr/>
        <w:t>plan</w:t>
      </w:r>
      <w:r>
        <w:rPr>
          <w:spacing w:val="-6"/>
        </w:rPr>
        <w:t> </w:t>
      </w:r>
      <w:r>
        <w:rPr/>
        <w:t>implementation,</w:t>
      </w:r>
      <w:r>
        <w:rPr>
          <w:spacing w:val="-7"/>
        </w:rPr>
        <w:t> </w:t>
      </w:r>
      <w:r>
        <w:rPr/>
        <w:t>maintain</w:t>
      </w:r>
      <w:r>
        <w:rPr>
          <w:spacing w:val="-8"/>
        </w:rPr>
        <w:t> </w:t>
      </w:r>
      <w:r>
        <w:rPr/>
        <w:t>or</w:t>
      </w:r>
      <w:r>
        <w:rPr>
          <w:spacing w:val="-5"/>
        </w:rPr>
        <w:t> </w:t>
      </w:r>
      <w:r>
        <w:rPr/>
        <w:t>restore</w:t>
      </w:r>
      <w:r>
        <w:rPr>
          <w:spacing w:val="-7"/>
        </w:rPr>
        <w:t> </w:t>
      </w:r>
      <w:r>
        <w:rPr/>
        <w:t>grizzly</w:t>
      </w:r>
      <w:r>
        <w:rPr>
          <w:spacing w:val="-6"/>
        </w:rPr>
        <w:t> </w:t>
      </w:r>
      <w:r>
        <w:rPr/>
        <w:t>bear</w:t>
      </w:r>
      <w:r>
        <w:rPr>
          <w:spacing w:val="-5"/>
        </w:rPr>
        <w:t> </w:t>
      </w:r>
      <w:r>
        <w:rPr/>
        <w:t>seasonal habitats on 900 acres in the following bear management units (</w:t>
      </w:r>
      <w:hyperlink w:history="true" w:anchor="_bookmark104">
        <w:r>
          <w:rPr/>
          <w:t>table 12</w:t>
        </w:r>
      </w:hyperlink>
      <w:r>
        <w:rPr/>
        <w:t>).</w:t>
      </w:r>
    </w:p>
    <w:p>
      <w:pPr>
        <w:pStyle w:val="BodyText"/>
        <w:spacing w:before="84"/>
      </w:pPr>
    </w:p>
    <w:p>
      <w:pPr>
        <w:spacing w:before="0" w:after="42"/>
        <w:ind w:left="1151" w:right="0" w:firstLine="0"/>
        <w:jc w:val="both"/>
        <w:rPr>
          <w:rFonts w:ascii="Arial"/>
          <w:b/>
          <w:sz w:val="18"/>
        </w:rPr>
      </w:pPr>
      <w:bookmarkStart w:name="_bookmark104" w:id="280"/>
      <w:bookmarkEnd w:id="280"/>
      <w:r>
        <w:rPr/>
      </w:r>
      <w:r>
        <w:rPr>
          <w:rFonts w:ascii="Arial"/>
          <w:b/>
          <w:sz w:val="18"/>
        </w:rPr>
        <w:t>Table</w:t>
      </w:r>
      <w:r>
        <w:rPr>
          <w:rFonts w:ascii="Arial"/>
          <w:b/>
          <w:spacing w:val="-6"/>
          <w:sz w:val="18"/>
        </w:rPr>
        <w:t> </w:t>
      </w:r>
      <w:r>
        <w:rPr>
          <w:rFonts w:ascii="Arial"/>
          <w:b/>
          <w:sz w:val="18"/>
        </w:rPr>
        <w:t>12.</w:t>
      </w:r>
      <w:r>
        <w:rPr>
          <w:rFonts w:ascii="Arial"/>
          <w:b/>
          <w:spacing w:val="-1"/>
          <w:sz w:val="18"/>
        </w:rPr>
        <w:t> </w:t>
      </w:r>
      <w:r>
        <w:rPr>
          <w:rFonts w:ascii="Arial"/>
          <w:b/>
          <w:sz w:val="18"/>
        </w:rPr>
        <w:t>Grizzly</w:t>
      </w:r>
      <w:r>
        <w:rPr>
          <w:rFonts w:ascii="Arial"/>
          <w:b/>
          <w:spacing w:val="-8"/>
          <w:sz w:val="18"/>
        </w:rPr>
        <w:t> </w:t>
      </w:r>
      <w:r>
        <w:rPr>
          <w:rFonts w:ascii="Arial"/>
          <w:b/>
          <w:sz w:val="18"/>
        </w:rPr>
        <w:t>bear</w:t>
      </w:r>
      <w:r>
        <w:rPr>
          <w:rFonts w:ascii="Arial"/>
          <w:b/>
          <w:spacing w:val="-2"/>
          <w:sz w:val="18"/>
        </w:rPr>
        <w:t> </w:t>
      </w:r>
      <w:r>
        <w:rPr>
          <w:rFonts w:ascii="Arial"/>
          <w:b/>
          <w:sz w:val="18"/>
        </w:rPr>
        <w:t>seasonal</w:t>
      </w:r>
      <w:r>
        <w:rPr>
          <w:rFonts w:ascii="Arial"/>
          <w:b/>
          <w:spacing w:val="-1"/>
          <w:sz w:val="18"/>
        </w:rPr>
        <w:t> </w:t>
      </w:r>
      <w:r>
        <w:rPr>
          <w:rFonts w:ascii="Arial"/>
          <w:b/>
          <w:sz w:val="18"/>
        </w:rPr>
        <w:t>habitats</w:t>
      </w:r>
      <w:r>
        <w:rPr>
          <w:rFonts w:ascii="Arial"/>
          <w:b/>
          <w:spacing w:val="-3"/>
          <w:sz w:val="18"/>
        </w:rPr>
        <w:t> </w:t>
      </w:r>
      <w:r>
        <w:rPr>
          <w:rFonts w:ascii="Arial"/>
          <w:b/>
          <w:spacing w:val="-2"/>
          <w:sz w:val="18"/>
        </w:rPr>
        <w:t>objective</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216"/>
        <w:gridCol w:w="4334"/>
      </w:tblGrid>
      <w:tr>
        <w:trPr>
          <w:trHeight w:val="284" w:hRule="atLeast"/>
        </w:trPr>
        <w:tc>
          <w:tcPr>
            <w:tcW w:w="4216" w:type="dxa"/>
            <w:tcBorders>
              <w:right w:val="nil"/>
            </w:tcBorders>
            <w:shd w:val="clear" w:color="auto" w:fill="D5E2BB"/>
          </w:tcPr>
          <w:p>
            <w:pPr>
              <w:pStyle w:val="TableParagraph"/>
              <w:ind w:left="75" w:right="1"/>
              <w:jc w:val="center"/>
              <w:rPr>
                <w:b/>
                <w:sz w:val="18"/>
              </w:rPr>
            </w:pPr>
            <w:r>
              <w:rPr>
                <w:b/>
                <w:sz w:val="18"/>
              </w:rPr>
              <w:t>Bear</w:t>
            </w:r>
            <w:r>
              <w:rPr>
                <w:b/>
                <w:spacing w:val="-5"/>
                <w:sz w:val="18"/>
              </w:rPr>
              <w:t> </w:t>
            </w:r>
            <w:r>
              <w:rPr>
                <w:b/>
                <w:sz w:val="18"/>
              </w:rPr>
              <w:t>management</w:t>
            </w:r>
            <w:r>
              <w:rPr>
                <w:b/>
                <w:spacing w:val="-3"/>
                <w:sz w:val="18"/>
              </w:rPr>
              <w:t> </w:t>
            </w:r>
            <w:r>
              <w:rPr>
                <w:b/>
                <w:spacing w:val="-4"/>
                <w:sz w:val="18"/>
              </w:rPr>
              <w:t>unit</w:t>
            </w:r>
          </w:p>
        </w:tc>
        <w:tc>
          <w:tcPr>
            <w:tcW w:w="4334" w:type="dxa"/>
            <w:tcBorders>
              <w:left w:val="nil"/>
            </w:tcBorders>
            <w:shd w:val="clear" w:color="auto" w:fill="D5E2BB"/>
          </w:tcPr>
          <w:p>
            <w:pPr>
              <w:pStyle w:val="TableParagraph"/>
              <w:ind w:left="93"/>
              <w:jc w:val="center"/>
              <w:rPr>
                <w:b/>
                <w:sz w:val="18"/>
              </w:rPr>
            </w:pPr>
            <w:r>
              <w:rPr>
                <w:b/>
                <w:sz w:val="18"/>
              </w:rPr>
              <w:t>Number</w:t>
            </w:r>
            <w:r>
              <w:rPr>
                <w:b/>
                <w:spacing w:val="-3"/>
                <w:sz w:val="18"/>
              </w:rPr>
              <w:t> </w:t>
            </w:r>
            <w:r>
              <w:rPr>
                <w:b/>
                <w:sz w:val="18"/>
              </w:rPr>
              <w:t>of</w:t>
            </w:r>
            <w:r>
              <w:rPr>
                <w:b/>
                <w:spacing w:val="-2"/>
                <w:sz w:val="18"/>
              </w:rPr>
              <w:t> </w:t>
            </w:r>
            <w:r>
              <w:rPr>
                <w:b/>
                <w:sz w:val="18"/>
              </w:rPr>
              <w:t>acres</w:t>
            </w:r>
            <w:r>
              <w:rPr>
                <w:b/>
                <w:spacing w:val="-1"/>
                <w:sz w:val="18"/>
              </w:rPr>
              <w:t> </w:t>
            </w:r>
            <w:r>
              <w:rPr>
                <w:b/>
                <w:spacing w:val="-2"/>
                <w:sz w:val="18"/>
              </w:rPr>
              <w:t>restored</w:t>
            </w:r>
          </w:p>
        </w:tc>
      </w:tr>
      <w:tr>
        <w:trPr>
          <w:trHeight w:val="287" w:hRule="atLeast"/>
        </w:trPr>
        <w:tc>
          <w:tcPr>
            <w:tcW w:w="4216" w:type="dxa"/>
            <w:tcBorders>
              <w:right w:val="nil"/>
            </w:tcBorders>
          </w:tcPr>
          <w:p>
            <w:pPr>
              <w:pStyle w:val="TableParagraph"/>
              <w:spacing w:before="42"/>
              <w:ind w:left="75" w:right="2"/>
              <w:jc w:val="center"/>
              <w:rPr>
                <w:b/>
                <w:sz w:val="18"/>
              </w:rPr>
            </w:pPr>
            <w:r>
              <w:rPr>
                <w:b/>
                <w:spacing w:val="-2"/>
                <w:sz w:val="18"/>
              </w:rPr>
              <w:t>LeClerc</w:t>
            </w:r>
          </w:p>
        </w:tc>
        <w:tc>
          <w:tcPr>
            <w:tcW w:w="4334" w:type="dxa"/>
            <w:tcBorders>
              <w:left w:val="nil"/>
            </w:tcBorders>
          </w:tcPr>
          <w:p>
            <w:pPr>
              <w:pStyle w:val="TableParagraph"/>
              <w:spacing w:before="42"/>
              <w:ind w:left="93"/>
              <w:jc w:val="center"/>
              <w:rPr>
                <w:sz w:val="18"/>
              </w:rPr>
            </w:pPr>
            <w:r>
              <w:rPr>
                <w:spacing w:val="-5"/>
                <w:sz w:val="18"/>
              </w:rPr>
              <w:t>300</w:t>
            </w:r>
          </w:p>
        </w:tc>
      </w:tr>
      <w:tr>
        <w:trPr>
          <w:trHeight w:val="287" w:hRule="atLeast"/>
        </w:trPr>
        <w:tc>
          <w:tcPr>
            <w:tcW w:w="4216" w:type="dxa"/>
            <w:tcBorders>
              <w:right w:val="nil"/>
            </w:tcBorders>
          </w:tcPr>
          <w:p>
            <w:pPr>
              <w:pStyle w:val="TableParagraph"/>
              <w:spacing w:before="42"/>
              <w:ind w:left="75"/>
              <w:jc w:val="center"/>
              <w:rPr>
                <w:b/>
                <w:sz w:val="18"/>
              </w:rPr>
            </w:pPr>
            <w:r>
              <w:rPr>
                <w:b/>
                <w:spacing w:val="-2"/>
                <w:sz w:val="18"/>
              </w:rPr>
              <w:t>Salmo-Priest</w:t>
            </w:r>
          </w:p>
        </w:tc>
        <w:tc>
          <w:tcPr>
            <w:tcW w:w="4334" w:type="dxa"/>
            <w:tcBorders>
              <w:left w:val="nil"/>
            </w:tcBorders>
          </w:tcPr>
          <w:p>
            <w:pPr>
              <w:pStyle w:val="TableParagraph"/>
              <w:spacing w:before="42"/>
              <w:ind w:left="93"/>
              <w:jc w:val="center"/>
              <w:rPr>
                <w:sz w:val="18"/>
              </w:rPr>
            </w:pPr>
            <w:r>
              <w:rPr>
                <w:spacing w:val="-5"/>
                <w:sz w:val="18"/>
              </w:rPr>
              <w:t>300</w:t>
            </w:r>
          </w:p>
        </w:tc>
      </w:tr>
      <w:tr>
        <w:trPr>
          <w:trHeight w:val="289" w:hRule="atLeast"/>
        </w:trPr>
        <w:tc>
          <w:tcPr>
            <w:tcW w:w="4216" w:type="dxa"/>
            <w:tcBorders>
              <w:right w:val="nil"/>
            </w:tcBorders>
          </w:tcPr>
          <w:p>
            <w:pPr>
              <w:pStyle w:val="TableParagraph"/>
              <w:spacing w:before="42"/>
              <w:ind w:left="75" w:right="1"/>
              <w:jc w:val="center"/>
              <w:rPr>
                <w:b/>
                <w:sz w:val="18"/>
              </w:rPr>
            </w:pPr>
            <w:r>
              <w:rPr>
                <w:b/>
                <w:sz w:val="18"/>
              </w:rPr>
              <w:t>Sullivan</w:t>
            </w:r>
            <w:r>
              <w:rPr>
                <w:b/>
                <w:spacing w:val="-3"/>
                <w:sz w:val="18"/>
              </w:rPr>
              <w:t> </w:t>
            </w:r>
            <w:r>
              <w:rPr>
                <w:b/>
                <w:spacing w:val="-2"/>
                <w:sz w:val="18"/>
              </w:rPr>
              <w:t>Hughes</w:t>
            </w:r>
          </w:p>
        </w:tc>
        <w:tc>
          <w:tcPr>
            <w:tcW w:w="4334" w:type="dxa"/>
            <w:tcBorders>
              <w:left w:val="nil"/>
            </w:tcBorders>
          </w:tcPr>
          <w:p>
            <w:pPr>
              <w:pStyle w:val="TableParagraph"/>
              <w:spacing w:before="42"/>
              <w:ind w:left="93"/>
              <w:jc w:val="center"/>
              <w:rPr>
                <w:sz w:val="18"/>
              </w:rPr>
            </w:pPr>
            <w:r>
              <w:rPr>
                <w:spacing w:val="-5"/>
                <w:sz w:val="18"/>
              </w:rPr>
              <w:t>300</w:t>
            </w:r>
          </w:p>
        </w:tc>
      </w:tr>
    </w:tbl>
    <w:p>
      <w:pPr>
        <w:pStyle w:val="BodyText"/>
        <w:spacing w:before="154"/>
        <w:rPr>
          <w:rFonts w:ascii="Arial"/>
          <w:b/>
          <w:sz w:val="18"/>
        </w:rPr>
      </w:pPr>
    </w:p>
    <w:p>
      <w:pPr>
        <w:spacing w:before="0"/>
        <w:ind w:left="1152" w:right="1073" w:firstLine="0"/>
        <w:jc w:val="left"/>
        <w:rPr>
          <w:rFonts w:ascii="Arial"/>
          <w:i/>
          <w:sz w:val="22"/>
        </w:rPr>
      </w:pPr>
      <w:bookmarkStart w:name="FW-OBJ-WL-04. Restoration of Late-Succes" w:id="281"/>
      <w:bookmarkEnd w:id="281"/>
      <w:r>
        <w:rPr/>
      </w:r>
      <w:r>
        <w:rPr>
          <w:rFonts w:ascii="Arial"/>
          <w:i/>
          <w:sz w:val="22"/>
        </w:rPr>
        <w:t>FW-OBJ-WL-04.</w:t>
      </w:r>
      <w:r>
        <w:rPr>
          <w:rFonts w:ascii="Arial"/>
          <w:i/>
          <w:spacing w:val="-4"/>
          <w:sz w:val="22"/>
        </w:rPr>
        <w:t> </w:t>
      </w:r>
      <w:r>
        <w:rPr>
          <w:rFonts w:ascii="Arial"/>
          <w:i/>
          <w:sz w:val="22"/>
        </w:rPr>
        <w:t>Restoration</w:t>
      </w:r>
      <w:r>
        <w:rPr>
          <w:rFonts w:ascii="Arial"/>
          <w:i/>
          <w:spacing w:val="-6"/>
          <w:sz w:val="22"/>
        </w:rPr>
        <w:t> </w:t>
      </w:r>
      <w:r>
        <w:rPr>
          <w:rFonts w:ascii="Arial"/>
          <w:i/>
          <w:sz w:val="22"/>
        </w:rPr>
        <w:t>of</w:t>
      </w:r>
      <w:r>
        <w:rPr>
          <w:rFonts w:ascii="Arial"/>
          <w:i/>
          <w:spacing w:val="-6"/>
          <w:sz w:val="22"/>
        </w:rPr>
        <w:t> </w:t>
      </w:r>
      <w:r>
        <w:rPr>
          <w:rFonts w:ascii="Arial"/>
          <w:i/>
          <w:sz w:val="22"/>
        </w:rPr>
        <w:t>Late-Successional</w:t>
      </w:r>
      <w:r>
        <w:rPr>
          <w:rFonts w:ascii="Arial"/>
          <w:i/>
          <w:spacing w:val="-6"/>
          <w:sz w:val="22"/>
        </w:rPr>
        <w:t> </w:t>
      </w:r>
      <w:r>
        <w:rPr>
          <w:rFonts w:ascii="Arial"/>
          <w:i/>
          <w:sz w:val="22"/>
        </w:rPr>
        <w:t>Forest</w:t>
      </w:r>
      <w:r>
        <w:rPr>
          <w:rFonts w:ascii="Arial"/>
          <w:i/>
          <w:spacing w:val="-6"/>
          <w:sz w:val="22"/>
        </w:rPr>
        <w:t> </w:t>
      </w:r>
      <w:r>
        <w:rPr>
          <w:rFonts w:ascii="Arial"/>
          <w:i/>
          <w:sz w:val="22"/>
        </w:rPr>
        <w:t>Habitat</w:t>
      </w:r>
      <w:r>
        <w:rPr>
          <w:rFonts w:ascii="Arial"/>
          <w:i/>
          <w:spacing w:val="-6"/>
          <w:sz w:val="22"/>
        </w:rPr>
        <w:t> </w:t>
      </w:r>
      <w:r>
        <w:rPr>
          <w:rFonts w:ascii="Arial"/>
          <w:i/>
          <w:sz w:val="22"/>
        </w:rPr>
        <w:t>and</w:t>
      </w:r>
      <w:r>
        <w:rPr>
          <w:rFonts w:ascii="Arial"/>
          <w:i/>
          <w:spacing w:val="-8"/>
          <w:sz w:val="22"/>
        </w:rPr>
        <w:t> </w:t>
      </w:r>
      <w:r>
        <w:rPr>
          <w:rFonts w:ascii="Arial"/>
          <w:i/>
          <w:sz w:val="22"/>
        </w:rPr>
        <w:t>Associated</w:t>
      </w:r>
      <w:r>
        <w:rPr>
          <w:rFonts w:ascii="Arial"/>
          <w:i/>
          <w:sz w:val="22"/>
        </w:rPr>
        <w:t> Surrogate Species</w:t>
      </w:r>
    </w:p>
    <w:p>
      <w:pPr>
        <w:pStyle w:val="BodyText"/>
        <w:spacing w:line="232" w:lineRule="auto" w:before="63"/>
        <w:ind w:left="1151" w:right="742"/>
      </w:pPr>
      <w:r>
        <w:rPr/>
        <w:t>During the expected 15 years of plan implementation, restore western hemlock/western red cedar</w:t>
      </w:r>
      <w:r>
        <w:rPr>
          <w:spacing w:val="-1"/>
        </w:rPr>
        <w:t> </w:t>
      </w:r>
      <w:r>
        <w:rPr/>
        <w:t>vegetation</w:t>
      </w:r>
      <w:r>
        <w:rPr>
          <w:spacing w:val="-4"/>
        </w:rPr>
        <w:t> </w:t>
      </w:r>
      <w:r>
        <w:rPr/>
        <w:t>types</w:t>
      </w:r>
      <w:r>
        <w:rPr>
          <w:spacing w:val="-3"/>
        </w:rPr>
        <w:t> </w:t>
      </w:r>
      <w:r>
        <w:rPr/>
        <w:t>within</w:t>
      </w:r>
      <w:r>
        <w:rPr>
          <w:spacing w:val="-2"/>
        </w:rPr>
        <w:t> </w:t>
      </w:r>
      <w:r>
        <w:rPr/>
        <w:t>late-successional</w:t>
      </w:r>
      <w:r>
        <w:rPr>
          <w:spacing w:val="-1"/>
        </w:rPr>
        <w:t> </w:t>
      </w:r>
      <w:r>
        <w:rPr/>
        <w:t>forest</w:t>
      </w:r>
      <w:r>
        <w:rPr>
          <w:spacing w:val="-3"/>
        </w:rPr>
        <w:t> </w:t>
      </w:r>
      <w:r>
        <w:rPr/>
        <w:t>habitats</w:t>
      </w:r>
      <w:r>
        <w:rPr>
          <w:spacing w:val="-1"/>
        </w:rPr>
        <w:t> </w:t>
      </w:r>
      <w:r>
        <w:rPr/>
        <w:t>for</w:t>
      </w:r>
      <w:r>
        <w:rPr>
          <w:spacing w:val="-1"/>
        </w:rPr>
        <w:t> </w:t>
      </w:r>
      <w:r>
        <w:rPr/>
        <w:t>surrogate</w:t>
      </w:r>
      <w:r>
        <w:rPr>
          <w:spacing w:val="-3"/>
        </w:rPr>
        <w:t> </w:t>
      </w:r>
      <w:r>
        <w:rPr/>
        <w:t>wildlife species</w:t>
      </w:r>
      <w:r>
        <w:rPr>
          <w:spacing w:val="-3"/>
        </w:rPr>
        <w:t> </w:t>
      </w:r>
      <w:r>
        <w:rPr/>
        <w:t>on 1,400 acres within the following watersheds (</w:t>
      </w:r>
      <w:hyperlink w:history="true" w:anchor="_bookmark105">
        <w:r>
          <w:rPr/>
          <w:t>table 13</w:t>
        </w:r>
      </w:hyperlink>
      <w:r>
        <w:rPr/>
        <w:t>). Generally focus activity in previously treated</w:t>
      </w:r>
      <w:r>
        <w:rPr>
          <w:spacing w:val="-7"/>
        </w:rPr>
        <w:t> </w:t>
      </w:r>
      <w:r>
        <w:rPr/>
        <w:t>areas</w:t>
      </w:r>
      <w:r>
        <w:rPr>
          <w:spacing w:val="-6"/>
        </w:rPr>
        <w:t> </w:t>
      </w:r>
      <w:r>
        <w:rPr/>
        <w:t>that</w:t>
      </w:r>
      <w:r>
        <w:rPr>
          <w:spacing w:val="-8"/>
        </w:rPr>
        <w:t> </w:t>
      </w:r>
      <w:r>
        <w:rPr/>
        <w:t>are</w:t>
      </w:r>
      <w:r>
        <w:rPr>
          <w:spacing w:val="-8"/>
        </w:rPr>
        <w:t> </w:t>
      </w:r>
      <w:r>
        <w:rPr/>
        <w:t>now</w:t>
      </w:r>
      <w:r>
        <w:rPr>
          <w:spacing w:val="-8"/>
        </w:rPr>
        <w:t> </w:t>
      </w:r>
      <w:r>
        <w:rPr/>
        <w:t>early</w:t>
      </w:r>
      <w:r>
        <w:rPr>
          <w:spacing w:val="-5"/>
        </w:rPr>
        <w:t> </w:t>
      </w:r>
      <w:r>
        <w:rPr/>
        <w:t>to</w:t>
      </w:r>
      <w:r>
        <w:rPr>
          <w:spacing w:val="-7"/>
        </w:rPr>
        <w:t> </w:t>
      </w:r>
      <w:r>
        <w:rPr/>
        <w:t>mid-successional</w:t>
      </w:r>
      <w:r>
        <w:rPr>
          <w:spacing w:val="-6"/>
        </w:rPr>
        <w:t> </w:t>
      </w:r>
      <w:r>
        <w:rPr/>
        <w:t>forest</w:t>
      </w:r>
      <w:r>
        <w:rPr>
          <w:spacing w:val="-5"/>
        </w:rPr>
        <w:t> </w:t>
      </w:r>
      <w:r>
        <w:rPr/>
        <w:t>to</w:t>
      </w:r>
      <w:r>
        <w:rPr>
          <w:spacing w:val="-7"/>
        </w:rPr>
        <w:t> </w:t>
      </w:r>
      <w:r>
        <w:rPr/>
        <w:t>enhance</w:t>
      </w:r>
      <w:r>
        <w:rPr>
          <w:spacing w:val="-5"/>
        </w:rPr>
        <w:t> </w:t>
      </w:r>
      <w:r>
        <w:rPr/>
        <w:t>large</w:t>
      </w:r>
      <w:r>
        <w:rPr>
          <w:spacing w:val="-8"/>
        </w:rPr>
        <w:t> </w:t>
      </w:r>
      <w:r>
        <w:rPr/>
        <w:t>tree</w:t>
      </w:r>
      <w:r>
        <w:rPr>
          <w:spacing w:val="-8"/>
        </w:rPr>
        <w:t> </w:t>
      </w:r>
      <w:r>
        <w:rPr/>
        <w:t>development.</w:t>
      </w:r>
    </w:p>
    <w:p>
      <w:pPr>
        <w:pStyle w:val="BodyText"/>
        <w:spacing w:before="85"/>
      </w:pPr>
    </w:p>
    <w:p>
      <w:pPr>
        <w:spacing w:before="0" w:after="41"/>
        <w:ind w:left="1151" w:right="0" w:firstLine="0"/>
        <w:jc w:val="both"/>
        <w:rPr>
          <w:rFonts w:ascii="Arial" w:hAnsi="Arial"/>
          <w:b/>
          <w:sz w:val="18"/>
        </w:rPr>
      </w:pPr>
      <w:bookmarkStart w:name="_bookmark105" w:id="282"/>
      <w:bookmarkEnd w:id="282"/>
      <w:r>
        <w:rPr/>
      </w:r>
      <w:r>
        <w:rPr>
          <w:rFonts w:ascii="Arial" w:hAnsi="Arial"/>
          <w:b/>
          <w:sz w:val="18"/>
        </w:rPr>
        <w:t>Table</w:t>
      </w:r>
      <w:r>
        <w:rPr>
          <w:rFonts w:ascii="Arial" w:hAnsi="Arial"/>
          <w:b/>
          <w:spacing w:val="-6"/>
          <w:sz w:val="18"/>
        </w:rPr>
        <w:t> </w:t>
      </w:r>
      <w:r>
        <w:rPr>
          <w:rFonts w:ascii="Arial" w:hAnsi="Arial"/>
          <w:b/>
          <w:sz w:val="18"/>
        </w:rPr>
        <w:t>13.</w:t>
      </w:r>
      <w:r>
        <w:rPr>
          <w:rFonts w:ascii="Arial" w:hAnsi="Arial"/>
          <w:b/>
          <w:spacing w:val="-2"/>
          <w:sz w:val="18"/>
        </w:rPr>
        <w:t> </w:t>
      </w:r>
      <w:r>
        <w:rPr>
          <w:rFonts w:ascii="Arial" w:hAnsi="Arial"/>
          <w:b/>
          <w:sz w:val="18"/>
        </w:rPr>
        <w:t>Surrogate</w:t>
      </w:r>
      <w:r>
        <w:rPr>
          <w:rFonts w:ascii="Arial" w:hAnsi="Arial"/>
          <w:b/>
          <w:spacing w:val="-1"/>
          <w:sz w:val="18"/>
        </w:rPr>
        <w:t> </w:t>
      </w:r>
      <w:r>
        <w:rPr>
          <w:rFonts w:ascii="Arial" w:hAnsi="Arial"/>
          <w:b/>
          <w:sz w:val="18"/>
        </w:rPr>
        <w:t>species</w:t>
      </w:r>
      <w:r>
        <w:rPr>
          <w:rFonts w:ascii="Arial" w:hAnsi="Arial"/>
          <w:b/>
          <w:spacing w:val="-4"/>
          <w:sz w:val="18"/>
        </w:rPr>
        <w:t> </w:t>
      </w:r>
      <w:r>
        <w:rPr>
          <w:rFonts w:ascii="Arial" w:hAnsi="Arial"/>
          <w:b/>
          <w:sz w:val="18"/>
        </w:rPr>
        <w:t>habitat</w:t>
      </w:r>
      <w:r>
        <w:rPr>
          <w:rFonts w:ascii="Arial" w:hAnsi="Arial"/>
          <w:b/>
          <w:spacing w:val="-3"/>
          <w:sz w:val="18"/>
        </w:rPr>
        <w:t> </w:t>
      </w:r>
      <w:r>
        <w:rPr>
          <w:rFonts w:ascii="Arial" w:hAnsi="Arial"/>
          <w:b/>
          <w:sz w:val="18"/>
        </w:rPr>
        <w:t>–</w:t>
      </w:r>
      <w:r>
        <w:rPr>
          <w:rFonts w:ascii="Arial" w:hAnsi="Arial"/>
          <w:b/>
          <w:spacing w:val="-4"/>
          <w:sz w:val="18"/>
        </w:rPr>
        <w:t> </w:t>
      </w:r>
      <w:r>
        <w:rPr>
          <w:rFonts w:ascii="Arial" w:hAnsi="Arial"/>
          <w:b/>
          <w:sz w:val="18"/>
        </w:rPr>
        <w:t>watersheds</w:t>
      </w:r>
      <w:r>
        <w:rPr>
          <w:rFonts w:ascii="Arial" w:hAnsi="Arial"/>
          <w:b/>
          <w:spacing w:val="-1"/>
          <w:sz w:val="18"/>
        </w:rPr>
        <w:t> </w:t>
      </w:r>
      <w:r>
        <w:rPr>
          <w:rFonts w:ascii="Arial" w:hAnsi="Arial"/>
          <w:b/>
          <w:sz w:val="18"/>
        </w:rPr>
        <w:t>for</w:t>
      </w:r>
      <w:r>
        <w:rPr>
          <w:rFonts w:ascii="Arial" w:hAnsi="Arial"/>
          <w:b/>
          <w:spacing w:val="-2"/>
          <w:sz w:val="18"/>
        </w:rPr>
        <w:t> treatment</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62"/>
        <w:gridCol w:w="4086"/>
      </w:tblGrid>
      <w:tr>
        <w:trPr>
          <w:trHeight w:val="284" w:hRule="atLeast"/>
        </w:trPr>
        <w:tc>
          <w:tcPr>
            <w:tcW w:w="4462" w:type="dxa"/>
            <w:tcBorders>
              <w:right w:val="nil"/>
            </w:tcBorders>
            <w:shd w:val="clear" w:color="auto" w:fill="D5E2BB"/>
          </w:tcPr>
          <w:p>
            <w:pPr>
              <w:pStyle w:val="TableParagraph"/>
              <w:ind w:left="1" w:right="170"/>
              <w:jc w:val="center"/>
              <w:rPr>
                <w:b/>
                <w:sz w:val="18"/>
              </w:rPr>
            </w:pPr>
            <w:r>
              <w:rPr>
                <w:b/>
                <w:spacing w:val="-2"/>
                <w:sz w:val="18"/>
              </w:rPr>
              <w:t>Watershed</w:t>
            </w:r>
          </w:p>
        </w:tc>
        <w:tc>
          <w:tcPr>
            <w:tcW w:w="4086" w:type="dxa"/>
            <w:tcBorders>
              <w:left w:val="nil"/>
            </w:tcBorders>
            <w:shd w:val="clear" w:color="auto" w:fill="D5E2BB"/>
          </w:tcPr>
          <w:p>
            <w:pPr>
              <w:pStyle w:val="TableParagraph"/>
              <w:ind w:right="153"/>
              <w:jc w:val="center"/>
              <w:rPr>
                <w:b/>
                <w:sz w:val="18"/>
              </w:rPr>
            </w:pPr>
            <w:r>
              <w:rPr>
                <w:b/>
                <w:spacing w:val="-2"/>
                <w:sz w:val="18"/>
              </w:rPr>
              <w:t>Acres</w:t>
            </w:r>
          </w:p>
        </w:tc>
      </w:tr>
      <w:tr>
        <w:trPr>
          <w:trHeight w:val="287" w:hRule="atLeast"/>
        </w:trPr>
        <w:tc>
          <w:tcPr>
            <w:tcW w:w="4462" w:type="dxa"/>
            <w:tcBorders>
              <w:right w:val="nil"/>
            </w:tcBorders>
          </w:tcPr>
          <w:p>
            <w:pPr>
              <w:pStyle w:val="TableParagraph"/>
              <w:spacing w:before="42"/>
              <w:ind w:right="170"/>
              <w:jc w:val="center"/>
              <w:rPr>
                <w:b/>
                <w:sz w:val="18"/>
              </w:rPr>
            </w:pPr>
            <w:r>
              <w:rPr>
                <w:b/>
                <w:sz w:val="18"/>
              </w:rPr>
              <w:t>Sullivan</w:t>
            </w:r>
            <w:r>
              <w:rPr>
                <w:b/>
                <w:spacing w:val="-3"/>
                <w:sz w:val="18"/>
              </w:rPr>
              <w:t> </w:t>
            </w:r>
            <w:r>
              <w:rPr>
                <w:b/>
                <w:spacing w:val="-2"/>
                <w:sz w:val="18"/>
              </w:rPr>
              <w:t>Creek</w:t>
            </w:r>
          </w:p>
        </w:tc>
        <w:tc>
          <w:tcPr>
            <w:tcW w:w="4086" w:type="dxa"/>
            <w:tcBorders>
              <w:left w:val="nil"/>
            </w:tcBorders>
          </w:tcPr>
          <w:p>
            <w:pPr>
              <w:pStyle w:val="TableParagraph"/>
              <w:spacing w:before="42"/>
              <w:ind w:left="5" w:right="153"/>
              <w:jc w:val="center"/>
              <w:rPr>
                <w:sz w:val="18"/>
              </w:rPr>
            </w:pPr>
            <w:r>
              <w:rPr>
                <w:spacing w:val="-5"/>
                <w:sz w:val="18"/>
              </w:rPr>
              <w:t>800</w:t>
            </w:r>
          </w:p>
        </w:tc>
      </w:tr>
      <w:tr>
        <w:trPr>
          <w:trHeight w:val="289" w:hRule="atLeast"/>
        </w:trPr>
        <w:tc>
          <w:tcPr>
            <w:tcW w:w="4462" w:type="dxa"/>
            <w:tcBorders>
              <w:right w:val="nil"/>
            </w:tcBorders>
          </w:tcPr>
          <w:p>
            <w:pPr>
              <w:pStyle w:val="TableParagraph"/>
              <w:spacing w:before="42"/>
              <w:ind w:right="170"/>
              <w:jc w:val="center"/>
              <w:rPr>
                <w:b/>
                <w:sz w:val="18"/>
              </w:rPr>
            </w:pPr>
            <w:r>
              <w:rPr>
                <w:b/>
                <w:spacing w:val="-2"/>
                <w:sz w:val="18"/>
              </w:rPr>
              <w:t>LeClerc</w:t>
            </w:r>
          </w:p>
        </w:tc>
        <w:tc>
          <w:tcPr>
            <w:tcW w:w="4086" w:type="dxa"/>
            <w:tcBorders>
              <w:left w:val="nil"/>
            </w:tcBorders>
          </w:tcPr>
          <w:p>
            <w:pPr>
              <w:pStyle w:val="TableParagraph"/>
              <w:spacing w:before="42"/>
              <w:ind w:left="5" w:right="153"/>
              <w:jc w:val="center"/>
              <w:rPr>
                <w:sz w:val="18"/>
              </w:rPr>
            </w:pPr>
            <w:r>
              <w:rPr>
                <w:spacing w:val="-5"/>
                <w:sz w:val="18"/>
              </w:rPr>
              <w:t>600</w:t>
            </w:r>
          </w:p>
        </w:tc>
      </w:tr>
    </w:tbl>
    <w:p>
      <w:pPr>
        <w:pStyle w:val="BodyText"/>
        <w:spacing w:before="153"/>
        <w:rPr>
          <w:rFonts w:ascii="Arial"/>
          <w:b/>
          <w:sz w:val="18"/>
        </w:rPr>
      </w:pPr>
    </w:p>
    <w:p>
      <w:pPr>
        <w:spacing w:before="1"/>
        <w:ind w:left="1151" w:right="1073" w:firstLine="0"/>
        <w:jc w:val="left"/>
        <w:rPr>
          <w:rFonts w:ascii="Arial" w:hAnsi="Arial"/>
          <w:i/>
          <w:sz w:val="22"/>
        </w:rPr>
      </w:pPr>
      <w:bookmarkStart w:name="FW-OBJ-WL-05. White-Headed Woodpecker an" w:id="283"/>
      <w:bookmarkEnd w:id="283"/>
      <w:r>
        <w:rPr/>
      </w:r>
      <w:r>
        <w:rPr>
          <w:rFonts w:ascii="Arial" w:hAnsi="Arial"/>
          <w:i/>
          <w:sz w:val="22"/>
        </w:rPr>
        <w:t>FW-OBJ-WL-05.</w:t>
      </w:r>
      <w:r>
        <w:rPr>
          <w:rFonts w:ascii="Arial" w:hAnsi="Arial"/>
          <w:i/>
          <w:spacing w:val="-6"/>
          <w:sz w:val="22"/>
        </w:rPr>
        <w:t> </w:t>
      </w:r>
      <w:r>
        <w:rPr>
          <w:rFonts w:ascii="Arial" w:hAnsi="Arial"/>
          <w:i/>
          <w:sz w:val="22"/>
        </w:rPr>
        <w:t>White-Headed</w:t>
      </w:r>
      <w:r>
        <w:rPr>
          <w:rFonts w:ascii="Arial" w:hAnsi="Arial"/>
          <w:i/>
          <w:spacing w:val="-7"/>
          <w:sz w:val="22"/>
        </w:rPr>
        <w:t> </w:t>
      </w:r>
      <w:r>
        <w:rPr>
          <w:rFonts w:ascii="Arial" w:hAnsi="Arial"/>
          <w:i/>
          <w:sz w:val="22"/>
        </w:rPr>
        <w:t>Woodpecker</w:t>
      </w:r>
      <w:r>
        <w:rPr>
          <w:rFonts w:ascii="Arial" w:hAnsi="Arial"/>
          <w:i/>
          <w:spacing w:val="-4"/>
          <w:sz w:val="22"/>
        </w:rPr>
        <w:t> </w:t>
      </w:r>
      <w:r>
        <w:rPr>
          <w:rFonts w:ascii="Arial" w:hAnsi="Arial"/>
          <w:i/>
          <w:sz w:val="22"/>
        </w:rPr>
        <w:t>and</w:t>
      </w:r>
      <w:r>
        <w:rPr>
          <w:rFonts w:ascii="Arial" w:hAnsi="Arial"/>
          <w:i/>
          <w:spacing w:val="-5"/>
          <w:sz w:val="22"/>
        </w:rPr>
        <w:t> </w:t>
      </w:r>
      <w:r>
        <w:rPr>
          <w:rFonts w:ascii="Arial" w:hAnsi="Arial"/>
          <w:i/>
          <w:sz w:val="22"/>
        </w:rPr>
        <w:t>Associated</w:t>
      </w:r>
      <w:r>
        <w:rPr>
          <w:rFonts w:ascii="Arial" w:hAnsi="Arial"/>
          <w:i/>
          <w:spacing w:val="-7"/>
          <w:sz w:val="22"/>
        </w:rPr>
        <w:t> </w:t>
      </w:r>
      <w:r>
        <w:rPr>
          <w:rFonts w:ascii="Arial" w:hAnsi="Arial"/>
          <w:i/>
          <w:sz w:val="22"/>
        </w:rPr>
        <w:t>Species</w:t>
      </w:r>
      <w:r>
        <w:rPr>
          <w:rFonts w:ascii="Arial" w:hAnsi="Arial"/>
          <w:i/>
          <w:spacing w:val="-4"/>
          <w:sz w:val="22"/>
        </w:rPr>
        <w:t> </w:t>
      </w:r>
      <w:r>
        <w:rPr>
          <w:rFonts w:ascii="Arial" w:hAnsi="Arial"/>
          <w:i/>
          <w:sz w:val="22"/>
        </w:rPr>
        <w:t>Habitat</w:t>
      </w:r>
      <w:r>
        <w:rPr>
          <w:rFonts w:ascii="Arial" w:hAnsi="Arial"/>
          <w:i/>
          <w:spacing w:val="-3"/>
          <w:sz w:val="22"/>
        </w:rPr>
        <w:t> </w:t>
      </w:r>
      <w:r>
        <w:rPr>
          <w:rFonts w:ascii="Arial" w:hAnsi="Arial"/>
          <w:i/>
          <w:sz w:val="22"/>
        </w:rPr>
        <w:t>–</w:t>
      </w:r>
      <w:r>
        <w:rPr>
          <w:rFonts w:ascii="Arial" w:hAnsi="Arial"/>
          <w:i/>
          <w:sz w:val="22"/>
        </w:rPr>
        <w:t> Ponderosa Pine Forest</w:t>
      </w:r>
    </w:p>
    <w:p>
      <w:pPr>
        <w:pStyle w:val="BodyText"/>
        <w:spacing w:line="232" w:lineRule="auto" w:before="63"/>
        <w:ind w:left="1151" w:right="801"/>
      </w:pPr>
      <w:r>
        <w:rPr/>
        <w:t>During</w:t>
      </w:r>
      <w:r>
        <w:rPr>
          <w:spacing w:val="-7"/>
        </w:rPr>
        <w:t> </w:t>
      </w:r>
      <w:r>
        <w:rPr/>
        <w:t>the</w:t>
      </w:r>
      <w:r>
        <w:rPr>
          <w:spacing w:val="-8"/>
        </w:rPr>
        <w:t> </w:t>
      </w:r>
      <w:r>
        <w:rPr/>
        <w:t>expected</w:t>
      </w:r>
      <w:r>
        <w:rPr>
          <w:spacing w:val="-9"/>
        </w:rPr>
        <w:t> </w:t>
      </w:r>
      <w:r>
        <w:rPr/>
        <w:t>15</w:t>
      </w:r>
      <w:r>
        <w:rPr>
          <w:spacing w:val="-5"/>
        </w:rPr>
        <w:t> </w:t>
      </w:r>
      <w:r>
        <w:rPr/>
        <w:t>years</w:t>
      </w:r>
      <w:r>
        <w:rPr>
          <w:spacing w:val="-6"/>
        </w:rPr>
        <w:t> </w:t>
      </w:r>
      <w:r>
        <w:rPr/>
        <w:t>of</w:t>
      </w:r>
      <w:r>
        <w:rPr>
          <w:spacing w:val="-6"/>
        </w:rPr>
        <w:t> </w:t>
      </w:r>
      <w:r>
        <w:rPr/>
        <w:t>plan</w:t>
      </w:r>
      <w:r>
        <w:rPr>
          <w:spacing w:val="-6"/>
        </w:rPr>
        <w:t> </w:t>
      </w:r>
      <w:r>
        <w:rPr/>
        <w:t>implementation,</w:t>
      </w:r>
      <w:r>
        <w:rPr>
          <w:spacing w:val="-8"/>
        </w:rPr>
        <w:t> </w:t>
      </w:r>
      <w:r>
        <w:rPr/>
        <w:t>restore</w:t>
      </w:r>
      <w:r>
        <w:rPr>
          <w:spacing w:val="-8"/>
        </w:rPr>
        <w:t> </w:t>
      </w:r>
      <w:r>
        <w:rPr/>
        <w:t>or</w:t>
      </w:r>
      <w:r>
        <w:rPr>
          <w:spacing w:val="-8"/>
        </w:rPr>
        <w:t> </w:t>
      </w:r>
      <w:r>
        <w:rPr/>
        <w:t>move</w:t>
      </w:r>
      <w:r>
        <w:rPr>
          <w:spacing w:val="-8"/>
        </w:rPr>
        <w:t> </w:t>
      </w:r>
      <w:r>
        <w:rPr/>
        <w:t>toward</w:t>
      </w:r>
      <w:r>
        <w:rPr>
          <w:spacing w:val="-7"/>
        </w:rPr>
        <w:t> </w:t>
      </w:r>
      <w:r>
        <w:rPr/>
        <w:t>restoration</w:t>
      </w:r>
      <w:r>
        <w:rPr>
          <w:spacing w:val="-7"/>
        </w:rPr>
        <w:t> </w:t>
      </w:r>
      <w:r>
        <w:rPr/>
        <w:t>of late structure ponderosa pine forest habitat on 500 acres per year. Restoration projects are emphasized in the following watersheds: Sanpoil, Sherman.</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FW-OBJ-WL-06. Deer and Elk Habitat Resto" w:id="284"/>
      <w:bookmarkEnd w:id="284"/>
      <w:r>
        <w:rPr/>
      </w:r>
      <w:r>
        <w:rPr>
          <w:rFonts w:ascii="Arial"/>
          <w:i/>
          <w:sz w:val="22"/>
        </w:rPr>
        <w:t>FW-OBJ-WL-06.</w:t>
      </w:r>
      <w:r>
        <w:rPr>
          <w:rFonts w:ascii="Arial"/>
          <w:i/>
          <w:spacing w:val="-4"/>
          <w:sz w:val="22"/>
        </w:rPr>
        <w:t> </w:t>
      </w:r>
      <w:r>
        <w:rPr>
          <w:rFonts w:ascii="Arial"/>
          <w:i/>
          <w:sz w:val="22"/>
        </w:rPr>
        <w:t>Deer</w:t>
      </w:r>
      <w:r>
        <w:rPr>
          <w:rFonts w:ascii="Arial"/>
          <w:i/>
          <w:spacing w:val="-6"/>
          <w:sz w:val="22"/>
        </w:rPr>
        <w:t> </w:t>
      </w:r>
      <w:r>
        <w:rPr>
          <w:rFonts w:ascii="Arial"/>
          <w:i/>
          <w:sz w:val="22"/>
        </w:rPr>
        <w:t>and</w:t>
      </w:r>
      <w:r>
        <w:rPr>
          <w:rFonts w:ascii="Arial"/>
          <w:i/>
          <w:spacing w:val="-6"/>
          <w:sz w:val="22"/>
        </w:rPr>
        <w:t> </w:t>
      </w:r>
      <w:r>
        <w:rPr>
          <w:rFonts w:ascii="Arial"/>
          <w:i/>
          <w:sz w:val="22"/>
        </w:rPr>
        <w:t>Elk</w:t>
      </w:r>
      <w:r>
        <w:rPr>
          <w:rFonts w:ascii="Arial"/>
          <w:i/>
          <w:spacing w:val="-4"/>
          <w:sz w:val="22"/>
        </w:rPr>
        <w:t> </w:t>
      </w:r>
      <w:r>
        <w:rPr>
          <w:rFonts w:ascii="Arial"/>
          <w:i/>
          <w:sz w:val="22"/>
        </w:rPr>
        <w:t>Habitat</w:t>
      </w:r>
      <w:r>
        <w:rPr>
          <w:rFonts w:ascii="Arial"/>
          <w:i/>
          <w:spacing w:val="-5"/>
          <w:sz w:val="22"/>
        </w:rPr>
        <w:t> </w:t>
      </w:r>
      <w:r>
        <w:rPr>
          <w:rFonts w:ascii="Arial"/>
          <w:i/>
          <w:spacing w:val="-2"/>
          <w:sz w:val="22"/>
        </w:rPr>
        <w:t>Restoration</w:t>
      </w:r>
    </w:p>
    <w:p>
      <w:pPr>
        <w:pStyle w:val="BodyText"/>
        <w:spacing w:line="232" w:lineRule="auto" w:before="65"/>
        <w:ind w:left="359" w:right="1621"/>
      </w:pPr>
      <w:r>
        <w:rPr/>
        <w:t>During</w:t>
      </w:r>
      <w:r>
        <w:rPr>
          <w:spacing w:val="-6"/>
        </w:rPr>
        <w:t> </w:t>
      </w:r>
      <w:r>
        <w:rPr/>
        <w:t>the</w:t>
      </w:r>
      <w:r>
        <w:rPr>
          <w:spacing w:val="-7"/>
        </w:rPr>
        <w:t> </w:t>
      </w:r>
      <w:r>
        <w:rPr/>
        <w:t>expected</w:t>
      </w:r>
      <w:r>
        <w:rPr>
          <w:spacing w:val="-8"/>
        </w:rPr>
        <w:t> </w:t>
      </w:r>
      <w:r>
        <w:rPr/>
        <w:t>15</w:t>
      </w:r>
      <w:r>
        <w:rPr>
          <w:spacing w:val="-4"/>
        </w:rPr>
        <w:t> </w:t>
      </w:r>
      <w:r>
        <w:rPr/>
        <w:t>years</w:t>
      </w:r>
      <w:r>
        <w:rPr>
          <w:spacing w:val="-5"/>
        </w:rPr>
        <w:t> </w:t>
      </w:r>
      <w:r>
        <w:rPr/>
        <w:t>of</w:t>
      </w:r>
      <w:r>
        <w:rPr>
          <w:spacing w:val="-5"/>
        </w:rPr>
        <w:t> </w:t>
      </w:r>
      <w:r>
        <w:rPr/>
        <w:t>plan</w:t>
      </w:r>
      <w:r>
        <w:rPr>
          <w:spacing w:val="-6"/>
        </w:rPr>
        <w:t> </w:t>
      </w:r>
      <w:r>
        <w:rPr/>
        <w:t>implementation,</w:t>
      </w:r>
      <w:r>
        <w:rPr>
          <w:spacing w:val="-7"/>
        </w:rPr>
        <w:t> </w:t>
      </w:r>
      <w:r>
        <w:rPr/>
        <w:t>restore</w:t>
      </w:r>
      <w:r>
        <w:rPr>
          <w:spacing w:val="-7"/>
        </w:rPr>
        <w:t> </w:t>
      </w:r>
      <w:r>
        <w:rPr/>
        <w:t>(i.e.,</w:t>
      </w:r>
      <w:r>
        <w:rPr>
          <w:spacing w:val="-5"/>
        </w:rPr>
        <w:t> </w:t>
      </w:r>
      <w:r>
        <w:rPr/>
        <w:t>application</w:t>
      </w:r>
      <w:r>
        <w:rPr>
          <w:spacing w:val="-8"/>
        </w:rPr>
        <w:t> </w:t>
      </w:r>
      <w:r>
        <w:rPr/>
        <w:t>of</w:t>
      </w:r>
      <w:r>
        <w:rPr>
          <w:spacing w:val="-7"/>
        </w:rPr>
        <w:t> </w:t>
      </w:r>
      <w:r>
        <w:rPr/>
        <w:t>prescribed fire, invasive plant management, etc.) habitat on 1,000 acres of deer and elk winter range.</w:t>
      </w:r>
    </w:p>
    <w:p>
      <w:pPr>
        <w:pStyle w:val="Heading4"/>
        <w:spacing w:before="235"/>
      </w:pPr>
      <w:bookmarkStart w:name="Standards" w:id="285"/>
      <w:bookmarkEnd w:id="285"/>
      <w:r>
        <w:rPr/>
      </w:r>
      <w:bookmarkStart w:name="_bookmark106" w:id="286"/>
      <w:bookmarkEnd w:id="286"/>
      <w:r>
        <w:rPr/>
      </w:r>
      <w:r>
        <w:rPr>
          <w:spacing w:val="-2"/>
        </w:rPr>
        <w:t>Standards</w:t>
      </w:r>
    </w:p>
    <w:p>
      <w:pPr>
        <w:spacing w:before="239"/>
        <w:ind w:left="360" w:right="0" w:firstLine="0"/>
        <w:jc w:val="left"/>
        <w:rPr>
          <w:rFonts w:ascii="Arial"/>
          <w:i/>
          <w:sz w:val="22"/>
        </w:rPr>
      </w:pPr>
      <w:bookmarkStart w:name="FW-STD-WL-01. Nest Sites" w:id="287"/>
      <w:bookmarkEnd w:id="287"/>
      <w:r>
        <w:rPr/>
      </w:r>
      <w:r>
        <w:rPr>
          <w:rFonts w:ascii="Arial"/>
          <w:i/>
          <w:sz w:val="22"/>
        </w:rPr>
        <w:t>FW-STD-WL-01.</w:t>
      </w:r>
      <w:r>
        <w:rPr>
          <w:rFonts w:ascii="Arial"/>
          <w:i/>
          <w:spacing w:val="-9"/>
          <w:sz w:val="22"/>
        </w:rPr>
        <w:t> </w:t>
      </w:r>
      <w:r>
        <w:rPr>
          <w:rFonts w:ascii="Arial"/>
          <w:i/>
          <w:sz w:val="22"/>
        </w:rPr>
        <w:t>Nest</w:t>
      </w:r>
      <w:r>
        <w:rPr>
          <w:rFonts w:ascii="Arial"/>
          <w:i/>
          <w:spacing w:val="-7"/>
          <w:sz w:val="22"/>
        </w:rPr>
        <w:t> </w:t>
      </w:r>
      <w:r>
        <w:rPr>
          <w:rFonts w:ascii="Arial"/>
          <w:i/>
          <w:spacing w:val="-4"/>
          <w:sz w:val="22"/>
        </w:rPr>
        <w:t>Sites</w:t>
      </w:r>
    </w:p>
    <w:p>
      <w:pPr>
        <w:pStyle w:val="BodyText"/>
        <w:spacing w:line="232" w:lineRule="auto" w:before="65"/>
        <w:ind w:left="359" w:right="1073"/>
      </w:pPr>
      <w:r>
        <w:rPr/>
        <w:t>For</w:t>
      </w:r>
      <w:r>
        <w:rPr>
          <w:spacing w:val="-5"/>
        </w:rPr>
        <w:t> </w:t>
      </w:r>
      <w:r>
        <w:rPr/>
        <w:t>forest</w:t>
      </w:r>
      <w:r>
        <w:rPr>
          <w:spacing w:val="-4"/>
        </w:rPr>
        <w:t> </w:t>
      </w:r>
      <w:r>
        <w:rPr/>
        <w:t>species</w:t>
      </w:r>
      <w:r>
        <w:rPr>
          <w:spacing w:val="-5"/>
        </w:rPr>
        <w:t> </w:t>
      </w:r>
      <w:r>
        <w:rPr/>
        <w:t>listed</w:t>
      </w:r>
      <w:r>
        <w:rPr>
          <w:spacing w:val="-6"/>
        </w:rPr>
        <w:t> </w:t>
      </w:r>
      <w:r>
        <w:rPr/>
        <w:t>in</w:t>
      </w:r>
      <w:r>
        <w:rPr>
          <w:spacing w:val="-8"/>
        </w:rPr>
        <w:t> </w:t>
      </w:r>
      <w:hyperlink w:history="true" w:anchor="_bookmark107">
        <w:r>
          <w:rPr/>
          <w:t>table</w:t>
        </w:r>
        <w:r>
          <w:rPr>
            <w:spacing w:val="-4"/>
          </w:rPr>
          <w:t> </w:t>
        </w:r>
        <w:r>
          <w:rPr/>
          <w:t>14,</w:t>
        </w:r>
      </w:hyperlink>
      <w:r>
        <w:rPr>
          <w:spacing w:val="-5"/>
        </w:rPr>
        <w:t> </w:t>
      </w:r>
      <w:r>
        <w:rPr/>
        <w:t>protect</w:t>
      </w:r>
      <w:r>
        <w:rPr>
          <w:spacing w:val="-7"/>
        </w:rPr>
        <w:t> </w:t>
      </w:r>
      <w:r>
        <w:rPr/>
        <w:t>all</w:t>
      </w:r>
      <w:r>
        <w:rPr>
          <w:spacing w:val="-5"/>
        </w:rPr>
        <w:t> </w:t>
      </w:r>
      <w:r>
        <w:rPr/>
        <w:t>known</w:t>
      </w:r>
      <w:r>
        <w:rPr>
          <w:spacing w:val="-10"/>
        </w:rPr>
        <w:t> </w:t>
      </w:r>
      <w:r>
        <w:rPr/>
        <w:t>active</w:t>
      </w:r>
      <w:r>
        <w:rPr>
          <w:spacing w:val="-7"/>
        </w:rPr>
        <w:t> </w:t>
      </w:r>
      <w:r>
        <w:rPr/>
        <w:t>nest</w:t>
      </w:r>
      <w:r>
        <w:rPr>
          <w:spacing w:val="-7"/>
        </w:rPr>
        <w:t> </w:t>
      </w:r>
      <w:r>
        <w:rPr/>
        <w:t>sites</w:t>
      </w:r>
      <w:r>
        <w:rPr>
          <w:spacing w:val="-5"/>
        </w:rPr>
        <w:t> </w:t>
      </w:r>
      <w:r>
        <w:rPr/>
        <w:t>from</w:t>
      </w:r>
      <w:r>
        <w:rPr>
          <w:spacing w:val="-4"/>
        </w:rPr>
        <w:t> </w:t>
      </w:r>
      <w:r>
        <w:rPr/>
        <w:t>human</w:t>
      </w:r>
      <w:r>
        <w:rPr>
          <w:spacing w:val="-6"/>
        </w:rPr>
        <w:t> </w:t>
      </w:r>
      <w:r>
        <w:rPr/>
        <w:t>disturbance caused by management activities during the following periods to reduce the risk of nest abandonment or decline in productivity.</w:t>
      </w:r>
    </w:p>
    <w:p>
      <w:pPr>
        <w:pStyle w:val="BodyText"/>
        <w:spacing w:before="86"/>
      </w:pPr>
    </w:p>
    <w:p>
      <w:pPr>
        <w:spacing w:before="0" w:after="39"/>
        <w:ind w:left="360" w:right="0" w:firstLine="0"/>
        <w:jc w:val="left"/>
        <w:rPr>
          <w:rFonts w:ascii="Arial"/>
          <w:b/>
          <w:sz w:val="18"/>
        </w:rPr>
      </w:pPr>
      <w:bookmarkStart w:name="_bookmark107" w:id="288"/>
      <w:bookmarkEnd w:id="288"/>
      <w:r>
        <w:rPr/>
      </w:r>
      <w:r>
        <w:rPr>
          <w:rFonts w:ascii="Arial"/>
          <w:b/>
          <w:sz w:val="18"/>
        </w:rPr>
        <w:t>Table</w:t>
      </w:r>
      <w:r>
        <w:rPr>
          <w:rFonts w:ascii="Arial"/>
          <w:b/>
          <w:spacing w:val="-6"/>
          <w:sz w:val="18"/>
        </w:rPr>
        <w:t> </w:t>
      </w:r>
      <w:r>
        <w:rPr>
          <w:rFonts w:ascii="Arial"/>
          <w:b/>
          <w:sz w:val="18"/>
        </w:rPr>
        <w:t>14.</w:t>
      </w:r>
      <w:r>
        <w:rPr>
          <w:rFonts w:ascii="Arial"/>
          <w:b/>
          <w:spacing w:val="-2"/>
          <w:sz w:val="18"/>
        </w:rPr>
        <w:t> </w:t>
      </w:r>
      <w:r>
        <w:rPr>
          <w:rFonts w:ascii="Arial"/>
          <w:b/>
          <w:sz w:val="18"/>
        </w:rPr>
        <w:t>Timing</w:t>
      </w:r>
      <w:r>
        <w:rPr>
          <w:rFonts w:ascii="Arial"/>
          <w:b/>
          <w:spacing w:val="-3"/>
          <w:sz w:val="18"/>
        </w:rPr>
        <w:t> </w:t>
      </w:r>
      <w:r>
        <w:rPr>
          <w:rFonts w:ascii="Arial"/>
          <w:b/>
          <w:sz w:val="18"/>
        </w:rPr>
        <w:t>standards</w:t>
      </w:r>
      <w:r>
        <w:rPr>
          <w:rFonts w:ascii="Arial"/>
          <w:b/>
          <w:spacing w:val="-1"/>
          <w:sz w:val="18"/>
        </w:rPr>
        <w:t> </w:t>
      </w:r>
      <w:r>
        <w:rPr>
          <w:rFonts w:ascii="Arial"/>
          <w:b/>
          <w:sz w:val="18"/>
        </w:rPr>
        <w:t>for</w:t>
      </w:r>
      <w:r>
        <w:rPr>
          <w:rFonts w:ascii="Arial"/>
          <w:b/>
          <w:spacing w:val="-2"/>
          <w:sz w:val="18"/>
        </w:rPr>
        <w:t> </w:t>
      </w:r>
      <w:r>
        <w:rPr>
          <w:rFonts w:ascii="Arial"/>
          <w:b/>
          <w:sz w:val="18"/>
        </w:rPr>
        <w:t>protection</w:t>
      </w:r>
      <w:r>
        <w:rPr>
          <w:rFonts w:ascii="Arial"/>
          <w:b/>
          <w:spacing w:val="-4"/>
          <w:sz w:val="18"/>
        </w:rPr>
        <w:t> </w:t>
      </w:r>
      <w:r>
        <w:rPr>
          <w:rFonts w:ascii="Arial"/>
          <w:b/>
          <w:sz w:val="18"/>
        </w:rPr>
        <w:t>of</w:t>
      </w:r>
      <w:r>
        <w:rPr>
          <w:rFonts w:ascii="Arial"/>
          <w:b/>
          <w:spacing w:val="-1"/>
          <w:sz w:val="18"/>
        </w:rPr>
        <w:t> </w:t>
      </w:r>
      <w:r>
        <w:rPr>
          <w:rFonts w:ascii="Arial"/>
          <w:b/>
          <w:sz w:val="18"/>
        </w:rPr>
        <w:t>land</w:t>
      </w:r>
      <w:r>
        <w:rPr>
          <w:rFonts w:ascii="Arial"/>
          <w:b/>
          <w:spacing w:val="-2"/>
          <w:sz w:val="18"/>
        </w:rPr>
        <w:t> </w:t>
      </w:r>
      <w:r>
        <w:rPr>
          <w:rFonts w:ascii="Arial"/>
          <w:b/>
          <w:sz w:val="18"/>
        </w:rPr>
        <w:t>bird</w:t>
      </w:r>
      <w:r>
        <w:rPr>
          <w:rFonts w:ascii="Arial"/>
          <w:b/>
          <w:spacing w:val="-3"/>
          <w:sz w:val="18"/>
        </w:rPr>
        <w:t> </w:t>
      </w:r>
      <w:r>
        <w:rPr>
          <w:rFonts w:ascii="Arial"/>
          <w:b/>
          <w:sz w:val="18"/>
        </w:rPr>
        <w:t>species</w:t>
      </w:r>
      <w:r>
        <w:rPr>
          <w:rFonts w:ascii="Arial"/>
          <w:b/>
          <w:spacing w:val="-4"/>
          <w:sz w:val="18"/>
        </w:rPr>
        <w:t> </w:t>
      </w:r>
      <w:r>
        <w:rPr>
          <w:rFonts w:ascii="Arial"/>
          <w:b/>
          <w:sz w:val="18"/>
        </w:rPr>
        <w:t>nest</w:t>
      </w:r>
      <w:r>
        <w:rPr>
          <w:rFonts w:ascii="Arial"/>
          <w:b/>
          <w:spacing w:val="-3"/>
          <w:sz w:val="18"/>
        </w:rPr>
        <w:t> </w:t>
      </w:r>
      <w:r>
        <w:rPr>
          <w:rFonts w:ascii="Arial"/>
          <w:b/>
          <w:spacing w:val="-2"/>
          <w:sz w:val="18"/>
        </w:rPr>
        <w:t>sites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359"/>
        <w:gridCol w:w="3237"/>
        <w:gridCol w:w="2827"/>
      </w:tblGrid>
      <w:tr>
        <w:trPr>
          <w:trHeight w:val="287" w:hRule="atLeast"/>
        </w:trPr>
        <w:tc>
          <w:tcPr>
            <w:tcW w:w="2359" w:type="dxa"/>
            <w:shd w:val="clear" w:color="auto" w:fill="D5E2BB"/>
          </w:tcPr>
          <w:p>
            <w:pPr>
              <w:pStyle w:val="TableParagraph"/>
              <w:spacing w:before="42"/>
              <w:ind w:left="19"/>
              <w:jc w:val="center"/>
              <w:rPr>
                <w:b/>
                <w:sz w:val="18"/>
              </w:rPr>
            </w:pPr>
            <w:r>
              <w:rPr>
                <w:b/>
                <w:spacing w:val="-2"/>
                <w:sz w:val="18"/>
              </w:rPr>
              <w:t>Species</w:t>
            </w:r>
          </w:p>
        </w:tc>
        <w:tc>
          <w:tcPr>
            <w:tcW w:w="3237" w:type="dxa"/>
            <w:shd w:val="clear" w:color="auto" w:fill="D5E2BB"/>
          </w:tcPr>
          <w:p>
            <w:pPr>
              <w:pStyle w:val="TableParagraph"/>
              <w:spacing w:before="42"/>
              <w:ind w:left="24" w:right="3"/>
              <w:jc w:val="center"/>
              <w:rPr>
                <w:b/>
                <w:sz w:val="18"/>
              </w:rPr>
            </w:pPr>
            <w:r>
              <w:rPr>
                <w:b/>
                <w:sz w:val="18"/>
              </w:rPr>
              <w:t>Species</w:t>
            </w:r>
            <w:r>
              <w:rPr>
                <w:b/>
                <w:spacing w:val="-5"/>
                <w:sz w:val="18"/>
              </w:rPr>
              <w:t> </w:t>
            </w:r>
            <w:r>
              <w:rPr>
                <w:b/>
                <w:spacing w:val="-2"/>
                <w:sz w:val="18"/>
              </w:rPr>
              <w:t>status</w:t>
            </w:r>
          </w:p>
        </w:tc>
        <w:tc>
          <w:tcPr>
            <w:tcW w:w="2827" w:type="dxa"/>
            <w:shd w:val="clear" w:color="auto" w:fill="D5E2BB"/>
          </w:tcPr>
          <w:p>
            <w:pPr>
              <w:pStyle w:val="TableParagraph"/>
              <w:spacing w:before="42"/>
              <w:ind w:left="23"/>
              <w:jc w:val="center"/>
              <w:rPr>
                <w:b/>
                <w:sz w:val="18"/>
              </w:rPr>
            </w:pPr>
            <w:r>
              <w:rPr>
                <w:b/>
                <w:spacing w:val="-2"/>
                <w:sz w:val="18"/>
              </w:rPr>
              <w:t>Timing</w:t>
            </w:r>
          </w:p>
        </w:tc>
      </w:tr>
      <w:tr>
        <w:trPr>
          <w:trHeight w:val="287" w:hRule="atLeast"/>
        </w:trPr>
        <w:tc>
          <w:tcPr>
            <w:tcW w:w="2359" w:type="dxa"/>
          </w:tcPr>
          <w:p>
            <w:pPr>
              <w:pStyle w:val="TableParagraph"/>
              <w:spacing w:before="42"/>
              <w:ind w:left="107"/>
              <w:rPr>
                <w:b/>
                <w:sz w:val="18"/>
              </w:rPr>
            </w:pPr>
            <w:r>
              <w:rPr>
                <w:b/>
                <w:sz w:val="18"/>
              </w:rPr>
              <w:t>Bald</w:t>
            </w:r>
            <w:r>
              <w:rPr>
                <w:b/>
                <w:spacing w:val="-3"/>
                <w:sz w:val="18"/>
              </w:rPr>
              <w:t> </w:t>
            </w:r>
            <w:r>
              <w:rPr>
                <w:b/>
                <w:spacing w:val="-2"/>
                <w:sz w:val="18"/>
              </w:rPr>
              <w:t>eagle</w:t>
            </w:r>
          </w:p>
        </w:tc>
        <w:tc>
          <w:tcPr>
            <w:tcW w:w="3237" w:type="dxa"/>
          </w:tcPr>
          <w:p>
            <w:pPr>
              <w:pStyle w:val="TableParagraph"/>
              <w:spacing w:before="42"/>
              <w:ind w:left="24" w:right="3"/>
              <w:jc w:val="center"/>
              <w:rPr>
                <w:sz w:val="18"/>
              </w:rPr>
            </w:pPr>
            <w:r>
              <w:rPr>
                <w:sz w:val="18"/>
              </w:rPr>
              <w:t>Surrogate</w:t>
            </w:r>
            <w:r>
              <w:rPr>
                <w:spacing w:val="-4"/>
                <w:sz w:val="18"/>
              </w:rPr>
              <w:t> </w:t>
            </w:r>
            <w:r>
              <w:rPr>
                <w:sz w:val="18"/>
              </w:rPr>
              <w:t>–</w:t>
            </w:r>
            <w:r>
              <w:rPr>
                <w:spacing w:val="-2"/>
                <w:sz w:val="18"/>
              </w:rPr>
              <w:t> </w:t>
            </w:r>
            <w:r>
              <w:rPr>
                <w:sz w:val="18"/>
              </w:rPr>
              <w:t>R6</w:t>
            </w:r>
            <w:r>
              <w:rPr>
                <w:spacing w:val="-2"/>
                <w:sz w:val="18"/>
              </w:rPr>
              <w:t> </w:t>
            </w:r>
            <w:r>
              <w:rPr>
                <w:sz w:val="18"/>
              </w:rPr>
              <w:t>Sensitive</w:t>
            </w:r>
            <w:r>
              <w:rPr>
                <w:spacing w:val="-3"/>
                <w:sz w:val="18"/>
              </w:rPr>
              <w:t> </w:t>
            </w:r>
            <w:r>
              <w:rPr>
                <w:spacing w:val="-2"/>
                <w:sz w:val="18"/>
              </w:rPr>
              <w:t>Species</w:t>
            </w:r>
          </w:p>
        </w:tc>
        <w:tc>
          <w:tcPr>
            <w:tcW w:w="2827" w:type="dxa"/>
          </w:tcPr>
          <w:p>
            <w:pPr>
              <w:pStyle w:val="TableParagraph"/>
              <w:spacing w:before="42"/>
              <w:ind w:left="23" w:right="2"/>
              <w:jc w:val="center"/>
              <w:rPr>
                <w:sz w:val="18"/>
              </w:rPr>
            </w:pPr>
            <w:r>
              <w:rPr>
                <w:sz w:val="18"/>
              </w:rPr>
              <w:t>January</w:t>
            </w:r>
            <w:r>
              <w:rPr>
                <w:spacing w:val="-6"/>
                <w:sz w:val="18"/>
              </w:rPr>
              <w:t> </w:t>
            </w:r>
            <w:r>
              <w:rPr>
                <w:sz w:val="18"/>
              </w:rPr>
              <w:t>1–August</w:t>
            </w:r>
            <w:r>
              <w:rPr>
                <w:spacing w:val="-4"/>
                <w:sz w:val="18"/>
              </w:rPr>
              <w:t> </w:t>
            </w:r>
            <w:r>
              <w:rPr>
                <w:spacing w:val="-5"/>
                <w:sz w:val="18"/>
              </w:rPr>
              <w:t>15</w:t>
            </w:r>
          </w:p>
        </w:tc>
      </w:tr>
      <w:tr>
        <w:trPr>
          <w:trHeight w:val="301" w:hRule="atLeast"/>
        </w:trPr>
        <w:tc>
          <w:tcPr>
            <w:tcW w:w="2359" w:type="dxa"/>
          </w:tcPr>
          <w:p>
            <w:pPr>
              <w:pStyle w:val="TableParagraph"/>
              <w:spacing w:before="42"/>
              <w:ind w:left="107"/>
              <w:rPr>
                <w:b/>
                <w:sz w:val="18"/>
              </w:rPr>
            </w:pPr>
            <w:r>
              <w:rPr>
                <w:b/>
                <w:sz w:val="18"/>
              </w:rPr>
              <w:t>Peregrine</w:t>
            </w:r>
            <w:r>
              <w:rPr>
                <w:b/>
                <w:spacing w:val="-2"/>
                <w:sz w:val="18"/>
              </w:rPr>
              <w:t> falcon</w:t>
            </w:r>
          </w:p>
        </w:tc>
        <w:tc>
          <w:tcPr>
            <w:tcW w:w="3237" w:type="dxa"/>
          </w:tcPr>
          <w:p>
            <w:pPr>
              <w:pStyle w:val="TableParagraph"/>
              <w:spacing w:before="42"/>
              <w:ind w:left="24"/>
              <w:jc w:val="center"/>
              <w:rPr>
                <w:sz w:val="18"/>
              </w:rPr>
            </w:pPr>
            <w:r>
              <w:rPr>
                <w:sz w:val="18"/>
              </w:rPr>
              <w:t>Surrogate-</w:t>
            </w:r>
            <w:r>
              <w:rPr>
                <w:spacing w:val="-5"/>
                <w:sz w:val="18"/>
              </w:rPr>
              <w:t> </w:t>
            </w:r>
            <w:r>
              <w:rPr>
                <w:sz w:val="18"/>
              </w:rPr>
              <w:t>R6</w:t>
            </w:r>
            <w:r>
              <w:rPr>
                <w:spacing w:val="-3"/>
                <w:sz w:val="18"/>
              </w:rPr>
              <w:t> </w:t>
            </w:r>
            <w:r>
              <w:rPr>
                <w:sz w:val="18"/>
              </w:rPr>
              <w:t>Sensitive</w:t>
            </w:r>
            <w:r>
              <w:rPr>
                <w:spacing w:val="-3"/>
                <w:sz w:val="18"/>
              </w:rPr>
              <w:t> </w:t>
            </w:r>
            <w:r>
              <w:rPr>
                <w:spacing w:val="-2"/>
                <w:sz w:val="18"/>
              </w:rPr>
              <w:t>Species</w:t>
            </w:r>
          </w:p>
        </w:tc>
        <w:tc>
          <w:tcPr>
            <w:tcW w:w="2827" w:type="dxa"/>
          </w:tcPr>
          <w:p>
            <w:pPr>
              <w:pStyle w:val="TableParagraph"/>
              <w:spacing w:before="42"/>
              <w:ind w:left="23"/>
              <w:jc w:val="center"/>
              <w:rPr>
                <w:sz w:val="18"/>
              </w:rPr>
            </w:pPr>
            <w:r>
              <w:rPr>
                <w:sz w:val="18"/>
              </w:rPr>
              <w:t>March</w:t>
            </w:r>
            <w:r>
              <w:rPr>
                <w:spacing w:val="-5"/>
                <w:sz w:val="18"/>
              </w:rPr>
              <w:t> </w:t>
            </w:r>
            <w:r>
              <w:rPr>
                <w:sz w:val="18"/>
              </w:rPr>
              <w:t>1</w:t>
            </w:r>
            <w:r>
              <w:rPr>
                <w:rFonts w:ascii="Symbol" w:hAnsi="Symbol"/>
                <w:sz w:val="18"/>
              </w:rPr>
              <w:t></w:t>
            </w:r>
            <w:r>
              <w:rPr>
                <w:sz w:val="18"/>
              </w:rPr>
              <w:t>July</w:t>
            </w:r>
            <w:r>
              <w:rPr>
                <w:spacing w:val="-5"/>
                <w:sz w:val="18"/>
              </w:rPr>
              <w:t> 31</w:t>
            </w:r>
          </w:p>
        </w:tc>
      </w:tr>
      <w:tr>
        <w:trPr>
          <w:trHeight w:val="287" w:hRule="atLeast"/>
        </w:trPr>
        <w:tc>
          <w:tcPr>
            <w:tcW w:w="2359" w:type="dxa"/>
          </w:tcPr>
          <w:p>
            <w:pPr>
              <w:pStyle w:val="TableParagraph"/>
              <w:ind w:left="107"/>
              <w:rPr>
                <w:b/>
                <w:sz w:val="18"/>
              </w:rPr>
            </w:pPr>
            <w:r>
              <w:rPr>
                <w:b/>
                <w:sz w:val="18"/>
              </w:rPr>
              <w:t>Northern</w:t>
            </w:r>
            <w:r>
              <w:rPr>
                <w:b/>
                <w:spacing w:val="-5"/>
                <w:sz w:val="18"/>
              </w:rPr>
              <w:t> </w:t>
            </w:r>
            <w:r>
              <w:rPr>
                <w:b/>
                <w:spacing w:val="-2"/>
                <w:sz w:val="18"/>
              </w:rPr>
              <w:t>goshawk</w:t>
            </w:r>
          </w:p>
        </w:tc>
        <w:tc>
          <w:tcPr>
            <w:tcW w:w="3237" w:type="dxa"/>
          </w:tcPr>
          <w:p>
            <w:pPr>
              <w:pStyle w:val="TableParagraph"/>
              <w:ind w:left="24" w:right="3"/>
              <w:jc w:val="center"/>
              <w:rPr>
                <w:sz w:val="18"/>
              </w:rPr>
            </w:pPr>
            <w:r>
              <w:rPr>
                <w:spacing w:val="-2"/>
                <w:sz w:val="18"/>
              </w:rPr>
              <w:t>Surrogate</w:t>
            </w:r>
          </w:p>
        </w:tc>
        <w:tc>
          <w:tcPr>
            <w:tcW w:w="2827" w:type="dxa"/>
          </w:tcPr>
          <w:p>
            <w:pPr>
              <w:pStyle w:val="TableParagraph"/>
              <w:ind w:left="23" w:right="2"/>
              <w:jc w:val="center"/>
              <w:rPr>
                <w:sz w:val="18"/>
              </w:rPr>
            </w:pPr>
            <w:r>
              <w:rPr>
                <w:sz w:val="18"/>
              </w:rPr>
              <w:t>March</w:t>
            </w:r>
            <w:r>
              <w:rPr>
                <w:spacing w:val="-6"/>
                <w:sz w:val="18"/>
              </w:rPr>
              <w:t> </w:t>
            </w:r>
            <w:r>
              <w:rPr>
                <w:sz w:val="18"/>
              </w:rPr>
              <w:t>1–August</w:t>
            </w:r>
            <w:r>
              <w:rPr>
                <w:spacing w:val="-6"/>
                <w:sz w:val="18"/>
              </w:rPr>
              <w:t> </w:t>
            </w:r>
            <w:r>
              <w:rPr>
                <w:spacing w:val="-5"/>
                <w:sz w:val="18"/>
              </w:rPr>
              <w:t>31</w:t>
            </w:r>
          </w:p>
        </w:tc>
      </w:tr>
      <w:tr>
        <w:trPr>
          <w:trHeight w:val="301" w:hRule="atLeast"/>
        </w:trPr>
        <w:tc>
          <w:tcPr>
            <w:tcW w:w="2359" w:type="dxa"/>
          </w:tcPr>
          <w:p>
            <w:pPr>
              <w:pStyle w:val="TableParagraph"/>
              <w:ind w:left="107"/>
              <w:rPr>
                <w:b/>
                <w:sz w:val="18"/>
              </w:rPr>
            </w:pPr>
            <w:r>
              <w:rPr>
                <w:b/>
                <w:sz w:val="18"/>
              </w:rPr>
              <w:t>Golden</w:t>
            </w:r>
            <w:r>
              <w:rPr>
                <w:b/>
                <w:spacing w:val="-1"/>
                <w:sz w:val="18"/>
              </w:rPr>
              <w:t> </w:t>
            </w:r>
            <w:r>
              <w:rPr>
                <w:b/>
                <w:spacing w:val="-2"/>
                <w:sz w:val="18"/>
              </w:rPr>
              <w:t>eagle</w:t>
            </w:r>
          </w:p>
        </w:tc>
        <w:tc>
          <w:tcPr>
            <w:tcW w:w="3237" w:type="dxa"/>
          </w:tcPr>
          <w:p>
            <w:pPr>
              <w:pStyle w:val="TableParagraph"/>
              <w:ind w:left="24" w:right="2"/>
              <w:jc w:val="center"/>
              <w:rPr>
                <w:sz w:val="18"/>
              </w:rPr>
            </w:pPr>
            <w:r>
              <w:rPr>
                <w:spacing w:val="-2"/>
                <w:sz w:val="18"/>
              </w:rPr>
              <w:t>Surrogate</w:t>
            </w:r>
          </w:p>
        </w:tc>
        <w:tc>
          <w:tcPr>
            <w:tcW w:w="2827" w:type="dxa"/>
          </w:tcPr>
          <w:p>
            <w:pPr>
              <w:pStyle w:val="TableParagraph"/>
              <w:ind w:left="23" w:right="4"/>
              <w:jc w:val="center"/>
              <w:rPr>
                <w:sz w:val="18"/>
              </w:rPr>
            </w:pPr>
            <w:r>
              <w:rPr>
                <w:sz w:val="18"/>
              </w:rPr>
              <w:t>February</w:t>
            </w:r>
            <w:r>
              <w:rPr>
                <w:spacing w:val="-7"/>
                <w:sz w:val="18"/>
              </w:rPr>
              <w:t> </w:t>
            </w:r>
            <w:r>
              <w:rPr>
                <w:sz w:val="18"/>
              </w:rPr>
              <w:t>15</w:t>
            </w:r>
            <w:r>
              <w:rPr>
                <w:rFonts w:ascii="Symbol" w:hAnsi="Symbol"/>
                <w:sz w:val="18"/>
              </w:rPr>
              <w:t></w:t>
            </w:r>
            <w:r>
              <w:rPr>
                <w:sz w:val="18"/>
              </w:rPr>
              <w:t>August</w:t>
            </w:r>
            <w:r>
              <w:rPr>
                <w:spacing w:val="-3"/>
                <w:sz w:val="18"/>
              </w:rPr>
              <w:t> </w:t>
            </w:r>
            <w:r>
              <w:rPr>
                <w:spacing w:val="-5"/>
                <w:sz w:val="18"/>
              </w:rPr>
              <w:t>31</w:t>
            </w:r>
          </w:p>
        </w:tc>
      </w:tr>
    </w:tbl>
    <w:p>
      <w:pPr>
        <w:pStyle w:val="BodyText"/>
        <w:rPr>
          <w:rFonts w:ascii="Arial"/>
          <w:b/>
          <w:sz w:val="18"/>
        </w:rPr>
      </w:pPr>
    </w:p>
    <w:p>
      <w:pPr>
        <w:pStyle w:val="BodyText"/>
        <w:spacing w:before="67"/>
        <w:rPr>
          <w:rFonts w:ascii="Arial"/>
          <w:b/>
          <w:sz w:val="18"/>
        </w:rPr>
      </w:pPr>
    </w:p>
    <w:p>
      <w:pPr>
        <w:spacing w:before="0"/>
        <w:ind w:left="360" w:right="1148" w:hanging="1"/>
        <w:jc w:val="left"/>
        <w:rPr>
          <w:rFonts w:ascii="Arial" w:hAnsi="Arial"/>
          <w:i/>
          <w:sz w:val="22"/>
        </w:rPr>
      </w:pPr>
      <w:bookmarkStart w:name="FW-STD-WL-02. Canada Lynx – Vegetation M" w:id="289"/>
      <w:bookmarkEnd w:id="289"/>
      <w:r>
        <w:rPr/>
      </w:r>
      <w:r>
        <w:rPr>
          <w:rFonts w:ascii="Arial" w:hAnsi="Arial"/>
          <w:i/>
          <w:sz w:val="22"/>
        </w:rPr>
        <w:t>FW-STD-WL-02.</w:t>
      </w:r>
      <w:r>
        <w:rPr>
          <w:rFonts w:ascii="Arial" w:hAnsi="Arial"/>
          <w:i/>
          <w:spacing w:val="-2"/>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6"/>
          <w:sz w:val="22"/>
        </w:rPr>
        <w:t> </w:t>
      </w:r>
      <w:r>
        <w:rPr>
          <w:rFonts w:ascii="Arial" w:hAnsi="Arial"/>
          <w:i/>
          <w:sz w:val="22"/>
        </w:rPr>
        <w:t>Vegetation</w:t>
      </w:r>
      <w:r>
        <w:rPr>
          <w:rFonts w:ascii="Arial" w:hAnsi="Arial"/>
          <w:i/>
          <w:spacing w:val="-4"/>
          <w:sz w:val="22"/>
        </w:rPr>
        <w:t> </w:t>
      </w:r>
      <w:r>
        <w:rPr>
          <w:rFonts w:ascii="Arial" w:hAnsi="Arial"/>
          <w:i/>
          <w:sz w:val="22"/>
        </w:rPr>
        <w:t>Management</w:t>
      </w:r>
      <w:r>
        <w:rPr>
          <w:rFonts w:ascii="Arial" w:hAnsi="Arial"/>
          <w:i/>
          <w:spacing w:val="-7"/>
          <w:sz w:val="22"/>
        </w:rPr>
        <w:t> </w:t>
      </w:r>
      <w:r>
        <w:rPr>
          <w:rFonts w:ascii="Arial" w:hAnsi="Arial"/>
          <w:i/>
          <w:sz w:val="22"/>
        </w:rPr>
        <w:t>within</w:t>
      </w:r>
      <w:r>
        <w:rPr>
          <w:rFonts w:ascii="Arial" w:hAnsi="Arial"/>
          <w:i/>
          <w:spacing w:val="-3"/>
          <w:sz w:val="22"/>
        </w:rPr>
        <w:t> </w:t>
      </w:r>
      <w:r>
        <w:rPr>
          <w:rFonts w:ascii="Arial" w:hAnsi="Arial"/>
          <w:i/>
          <w:sz w:val="22"/>
        </w:rPr>
        <w:t>the</w:t>
      </w:r>
      <w:r>
        <w:rPr>
          <w:rFonts w:ascii="Arial" w:hAnsi="Arial"/>
          <w:i/>
          <w:spacing w:val="-6"/>
          <w:sz w:val="22"/>
        </w:rPr>
        <w:t> </w:t>
      </w:r>
      <w:r>
        <w:rPr>
          <w:rFonts w:ascii="Arial" w:hAnsi="Arial"/>
          <w:i/>
          <w:sz w:val="22"/>
        </w:rPr>
        <w:t>Kettle-Wedge</w:t>
      </w:r>
      <w:r>
        <w:rPr>
          <w:rFonts w:ascii="Arial" w:hAnsi="Arial"/>
          <w:i/>
          <w:spacing w:val="-6"/>
          <w:sz w:val="22"/>
        </w:rPr>
        <w:t> </w:t>
      </w:r>
      <w:r>
        <w:rPr>
          <w:rFonts w:ascii="Arial" w:hAnsi="Arial"/>
          <w:i/>
          <w:sz w:val="22"/>
        </w:rPr>
        <w:t>Lynx</w:t>
      </w:r>
      <w:r>
        <w:rPr>
          <w:rFonts w:ascii="Arial" w:hAnsi="Arial"/>
          <w:i/>
          <w:sz w:val="22"/>
        </w:rPr>
        <w:t> Core Area</w:t>
      </w:r>
    </w:p>
    <w:p>
      <w:pPr>
        <w:pStyle w:val="BodyText"/>
        <w:spacing w:line="232" w:lineRule="auto" w:before="63"/>
        <w:ind w:left="360" w:right="1516"/>
      </w:pPr>
      <w:r>
        <w:rPr/>
        <w:t>Management projects shall not reduce horizontal cover (snowshoe hare habitat) in late-closed structure subalpine fir/lodgepole or spruce/subalpine fir vegetation types unless: (1) the subalpine</w:t>
      </w:r>
      <w:r>
        <w:rPr>
          <w:spacing w:val="-5"/>
        </w:rPr>
        <w:t> </w:t>
      </w:r>
      <w:r>
        <w:rPr/>
        <w:t>fir/lodgepole</w:t>
      </w:r>
      <w:r>
        <w:rPr>
          <w:spacing w:val="-5"/>
        </w:rPr>
        <w:t> </w:t>
      </w:r>
      <w:r>
        <w:rPr/>
        <w:t>pine</w:t>
      </w:r>
      <w:r>
        <w:rPr>
          <w:spacing w:val="-5"/>
        </w:rPr>
        <w:t> </w:t>
      </w:r>
      <w:r>
        <w:rPr/>
        <w:t>or</w:t>
      </w:r>
      <w:r>
        <w:rPr>
          <w:spacing w:val="-7"/>
        </w:rPr>
        <w:t> </w:t>
      </w:r>
      <w:r>
        <w:rPr/>
        <w:t>spruce/</w:t>
      </w:r>
      <w:r>
        <w:rPr>
          <w:spacing w:val="-5"/>
        </w:rPr>
        <w:t> </w:t>
      </w:r>
      <w:r>
        <w:rPr/>
        <w:t>subalpine</w:t>
      </w:r>
      <w:r>
        <w:rPr>
          <w:spacing w:val="-5"/>
        </w:rPr>
        <w:t> </w:t>
      </w:r>
      <w:r>
        <w:rPr/>
        <w:t>fir</w:t>
      </w:r>
      <w:r>
        <w:rPr>
          <w:spacing w:val="-7"/>
        </w:rPr>
        <w:t> </w:t>
      </w:r>
      <w:r>
        <w:rPr/>
        <w:t>vegetation</w:t>
      </w:r>
      <w:r>
        <w:rPr>
          <w:spacing w:val="-8"/>
        </w:rPr>
        <w:t> </w:t>
      </w:r>
      <w:r>
        <w:rPr/>
        <w:t>types</w:t>
      </w:r>
      <w:r>
        <w:rPr>
          <w:spacing w:val="-7"/>
        </w:rPr>
        <w:t> </w:t>
      </w:r>
      <w:r>
        <w:rPr/>
        <w:t>exceed</w:t>
      </w:r>
      <w:r>
        <w:rPr>
          <w:spacing w:val="-6"/>
        </w:rPr>
        <w:t> </w:t>
      </w:r>
      <w:r>
        <w:rPr/>
        <w:t>desired</w:t>
      </w:r>
      <w:r>
        <w:rPr>
          <w:spacing w:val="-5"/>
        </w:rPr>
        <w:t> </w:t>
      </w:r>
      <w:r>
        <w:rPr/>
        <w:t>conditions (historical range of variability) for late-closed structure, (2) the projects are within 200 feet of administrative sites, dwellings, out buildings, recreation sites and special use permit areas, including infrastructure within permitted ski area boundaries; or (3) for research studies or genetic tree test evaluating genetically improved reforestation stock. Lynx analysis units are used to measure changes to lynx habitat.</w:t>
      </w:r>
    </w:p>
    <w:p>
      <w:pPr>
        <w:spacing w:before="232"/>
        <w:ind w:left="360" w:right="1621" w:hanging="1"/>
        <w:jc w:val="left"/>
        <w:rPr>
          <w:rFonts w:ascii="Arial" w:hAnsi="Arial"/>
          <w:i/>
          <w:sz w:val="22"/>
        </w:rPr>
      </w:pPr>
      <w:bookmarkStart w:name="FW-STD-WL-03. Canada Lynx – Rate of Chan" w:id="290"/>
      <w:bookmarkEnd w:id="290"/>
      <w:r>
        <w:rPr/>
      </w:r>
      <w:r>
        <w:rPr>
          <w:rFonts w:ascii="Arial" w:hAnsi="Arial"/>
          <w:i/>
          <w:sz w:val="22"/>
        </w:rPr>
        <w:t>FW-STD-WL-03.</w:t>
      </w:r>
      <w:r>
        <w:rPr>
          <w:rFonts w:ascii="Arial" w:hAnsi="Arial"/>
          <w:i/>
          <w:spacing w:val="-1"/>
          <w:sz w:val="22"/>
        </w:rPr>
        <w:t> </w:t>
      </w:r>
      <w:r>
        <w:rPr>
          <w:rFonts w:ascii="Arial" w:hAnsi="Arial"/>
          <w:i/>
          <w:sz w:val="22"/>
        </w:rPr>
        <w:t>Canada</w:t>
      </w:r>
      <w:r>
        <w:rPr>
          <w:rFonts w:ascii="Arial" w:hAnsi="Arial"/>
          <w:i/>
          <w:spacing w:val="-3"/>
          <w:sz w:val="22"/>
        </w:rPr>
        <w:t> </w:t>
      </w:r>
      <w:r>
        <w:rPr>
          <w:rFonts w:ascii="Arial" w:hAnsi="Arial"/>
          <w:i/>
          <w:sz w:val="22"/>
        </w:rPr>
        <w:t>Lynx</w:t>
      </w:r>
      <w:r>
        <w:rPr>
          <w:rFonts w:ascii="Arial" w:hAnsi="Arial"/>
          <w:i/>
          <w:spacing w:val="-2"/>
          <w:sz w:val="22"/>
        </w:rPr>
        <w:t> </w:t>
      </w:r>
      <w:r>
        <w:rPr>
          <w:rFonts w:ascii="Arial" w:hAnsi="Arial"/>
          <w:i/>
          <w:sz w:val="22"/>
        </w:rPr>
        <w:t>–</w:t>
      </w:r>
      <w:r>
        <w:rPr>
          <w:rFonts w:ascii="Arial" w:hAnsi="Arial"/>
          <w:i/>
          <w:spacing w:val="-5"/>
          <w:sz w:val="22"/>
        </w:rPr>
        <w:t> </w:t>
      </w:r>
      <w:r>
        <w:rPr>
          <w:rFonts w:ascii="Arial" w:hAnsi="Arial"/>
          <w:i/>
          <w:sz w:val="22"/>
        </w:rPr>
        <w:t>Rate</w:t>
      </w:r>
      <w:r>
        <w:rPr>
          <w:rFonts w:ascii="Arial" w:hAnsi="Arial"/>
          <w:i/>
          <w:spacing w:val="-5"/>
          <w:sz w:val="22"/>
        </w:rPr>
        <w:t> </w:t>
      </w:r>
      <w:r>
        <w:rPr>
          <w:rFonts w:ascii="Arial" w:hAnsi="Arial"/>
          <w:i/>
          <w:sz w:val="22"/>
        </w:rPr>
        <w:t>of</w:t>
      </w:r>
      <w:r>
        <w:rPr>
          <w:rFonts w:ascii="Arial" w:hAnsi="Arial"/>
          <w:i/>
          <w:spacing w:val="-3"/>
          <w:sz w:val="22"/>
        </w:rPr>
        <w:t> </w:t>
      </w:r>
      <w:r>
        <w:rPr>
          <w:rFonts w:ascii="Arial" w:hAnsi="Arial"/>
          <w:i/>
          <w:sz w:val="22"/>
        </w:rPr>
        <w:t>Change</w:t>
      </w:r>
      <w:r>
        <w:rPr>
          <w:rFonts w:ascii="Arial" w:hAnsi="Arial"/>
          <w:i/>
          <w:spacing w:val="-5"/>
          <w:sz w:val="22"/>
        </w:rPr>
        <w:t> </w:t>
      </w:r>
      <w:r>
        <w:rPr>
          <w:rFonts w:ascii="Arial" w:hAnsi="Arial"/>
          <w:i/>
          <w:sz w:val="22"/>
        </w:rPr>
        <w:t>within</w:t>
      </w:r>
      <w:r>
        <w:rPr>
          <w:rFonts w:ascii="Arial" w:hAnsi="Arial"/>
          <w:i/>
          <w:spacing w:val="-3"/>
          <w:sz w:val="22"/>
        </w:rPr>
        <w:t> </w:t>
      </w:r>
      <w:r>
        <w:rPr>
          <w:rFonts w:ascii="Arial" w:hAnsi="Arial"/>
          <w:i/>
          <w:sz w:val="22"/>
        </w:rPr>
        <w:t>the</w:t>
      </w:r>
      <w:r>
        <w:rPr>
          <w:rFonts w:ascii="Arial" w:hAnsi="Arial"/>
          <w:i/>
          <w:spacing w:val="-5"/>
          <w:sz w:val="22"/>
        </w:rPr>
        <w:t> </w:t>
      </w:r>
      <w:r>
        <w:rPr>
          <w:rFonts w:ascii="Arial" w:hAnsi="Arial"/>
          <w:i/>
          <w:sz w:val="22"/>
        </w:rPr>
        <w:t>Kettle-Wedge</w:t>
      </w:r>
      <w:r>
        <w:rPr>
          <w:rFonts w:ascii="Arial" w:hAnsi="Arial"/>
          <w:i/>
          <w:spacing w:val="-7"/>
          <w:sz w:val="22"/>
        </w:rPr>
        <w:t> </w:t>
      </w:r>
      <w:r>
        <w:rPr>
          <w:rFonts w:ascii="Arial" w:hAnsi="Arial"/>
          <w:i/>
          <w:sz w:val="22"/>
        </w:rPr>
        <w:t>Lynx</w:t>
      </w:r>
      <w:r>
        <w:rPr>
          <w:rFonts w:ascii="Arial" w:hAnsi="Arial"/>
          <w:i/>
          <w:spacing w:val="-2"/>
          <w:sz w:val="22"/>
        </w:rPr>
        <w:t> </w:t>
      </w:r>
      <w:r>
        <w:rPr>
          <w:rFonts w:ascii="Arial" w:hAnsi="Arial"/>
          <w:i/>
          <w:sz w:val="22"/>
        </w:rPr>
        <w:t>Core</w:t>
      </w:r>
      <w:r>
        <w:rPr>
          <w:rFonts w:ascii="Arial" w:hAnsi="Arial"/>
          <w:i/>
          <w:sz w:val="22"/>
        </w:rPr>
        <w:t> </w:t>
      </w:r>
      <w:r>
        <w:rPr>
          <w:rFonts w:ascii="Arial" w:hAnsi="Arial"/>
          <w:i/>
          <w:spacing w:val="-4"/>
          <w:sz w:val="22"/>
        </w:rPr>
        <w:t>Area</w:t>
      </w:r>
    </w:p>
    <w:p>
      <w:pPr>
        <w:pStyle w:val="BodyText"/>
        <w:spacing w:line="232" w:lineRule="auto" w:before="66"/>
        <w:ind w:left="360" w:right="1445"/>
      </w:pPr>
      <w:r>
        <w:rPr/>
        <w:t>Change</w:t>
      </w:r>
      <w:r>
        <w:rPr>
          <w:spacing w:val="-3"/>
        </w:rPr>
        <w:t> </w:t>
      </w:r>
      <w:r>
        <w:rPr/>
        <w:t>no</w:t>
      </w:r>
      <w:r>
        <w:rPr>
          <w:spacing w:val="-5"/>
        </w:rPr>
        <w:t> </w:t>
      </w:r>
      <w:r>
        <w:rPr/>
        <w:t>more</w:t>
      </w:r>
      <w:r>
        <w:rPr>
          <w:spacing w:val="-6"/>
        </w:rPr>
        <w:t> </w:t>
      </w:r>
      <w:r>
        <w:rPr/>
        <w:t>than</w:t>
      </w:r>
      <w:r>
        <w:rPr>
          <w:spacing w:val="-5"/>
        </w:rPr>
        <w:t> </w:t>
      </w:r>
      <w:r>
        <w:rPr/>
        <w:t>15</w:t>
      </w:r>
      <w:r>
        <w:rPr>
          <w:spacing w:val="-3"/>
        </w:rPr>
        <w:t> </w:t>
      </w:r>
      <w:r>
        <w:rPr/>
        <w:t>percent</w:t>
      </w:r>
      <w:r>
        <w:rPr>
          <w:spacing w:val="-6"/>
        </w:rPr>
        <w:t> </w:t>
      </w:r>
      <w:r>
        <w:rPr/>
        <w:t>of</w:t>
      </w:r>
      <w:r>
        <w:rPr>
          <w:spacing w:val="-6"/>
        </w:rPr>
        <w:t> </w:t>
      </w:r>
      <w:r>
        <w:rPr/>
        <w:t>lynx</w:t>
      </w:r>
      <w:r>
        <w:rPr>
          <w:spacing w:val="-4"/>
        </w:rPr>
        <w:t> </w:t>
      </w:r>
      <w:r>
        <w:rPr/>
        <w:t>habitat</w:t>
      </w:r>
      <w:r>
        <w:rPr>
          <w:spacing w:val="-3"/>
        </w:rPr>
        <w:t> </w:t>
      </w:r>
      <w:r>
        <w:rPr/>
        <w:t>within</w:t>
      </w:r>
      <w:r>
        <w:rPr>
          <w:spacing w:val="-5"/>
        </w:rPr>
        <w:t> </w:t>
      </w:r>
      <w:r>
        <w:rPr/>
        <w:t>any</w:t>
      </w:r>
      <w:r>
        <w:rPr>
          <w:spacing w:val="-3"/>
        </w:rPr>
        <w:t> </w:t>
      </w:r>
      <w:r>
        <w:rPr/>
        <w:t>single</w:t>
      </w:r>
      <w:r>
        <w:rPr>
          <w:spacing w:val="-3"/>
        </w:rPr>
        <w:t> </w:t>
      </w:r>
      <w:r>
        <w:rPr/>
        <w:t>lynx</w:t>
      </w:r>
      <w:r>
        <w:rPr>
          <w:spacing w:val="-6"/>
        </w:rPr>
        <w:t> </w:t>
      </w:r>
      <w:r>
        <w:rPr/>
        <w:t>analysis</w:t>
      </w:r>
      <w:r>
        <w:rPr>
          <w:spacing w:val="-6"/>
        </w:rPr>
        <w:t> </w:t>
      </w:r>
      <w:r>
        <w:rPr/>
        <w:t>unit</w:t>
      </w:r>
      <w:r>
        <w:rPr>
          <w:spacing w:val="-3"/>
        </w:rPr>
        <w:t> </w:t>
      </w:r>
      <w:r>
        <w:rPr/>
        <w:t>to</w:t>
      </w:r>
      <w:r>
        <w:rPr>
          <w:spacing w:val="-5"/>
        </w:rPr>
        <w:t> </w:t>
      </w:r>
      <w:r>
        <w:rPr/>
        <w:t>an unsuitable condition in any 10-year period.</w:t>
      </w:r>
    </w:p>
    <w:p>
      <w:pPr>
        <w:spacing w:before="234"/>
        <w:ind w:left="360" w:right="1868" w:firstLine="0"/>
        <w:jc w:val="left"/>
        <w:rPr>
          <w:rFonts w:ascii="Arial" w:hAnsi="Arial"/>
          <w:i/>
          <w:sz w:val="22"/>
        </w:rPr>
      </w:pPr>
      <w:bookmarkStart w:name="FW-STD-WL-04. Canada Lynx – Groomed and " w:id="291"/>
      <w:bookmarkEnd w:id="291"/>
      <w:r>
        <w:rPr/>
      </w:r>
      <w:r>
        <w:rPr>
          <w:rFonts w:ascii="Arial" w:hAnsi="Arial"/>
          <w:i/>
          <w:sz w:val="22"/>
        </w:rPr>
        <w:t>FW-STD-WL-04.</w:t>
      </w:r>
      <w:r>
        <w:rPr>
          <w:rFonts w:ascii="Arial" w:hAnsi="Arial"/>
          <w:i/>
          <w:spacing w:val="-1"/>
          <w:sz w:val="22"/>
        </w:rPr>
        <w:t> </w:t>
      </w:r>
      <w:r>
        <w:rPr>
          <w:rFonts w:ascii="Arial" w:hAnsi="Arial"/>
          <w:i/>
          <w:sz w:val="22"/>
        </w:rPr>
        <w:t>Canada</w:t>
      </w:r>
      <w:r>
        <w:rPr>
          <w:rFonts w:ascii="Arial" w:hAnsi="Arial"/>
          <w:i/>
          <w:spacing w:val="-3"/>
          <w:sz w:val="22"/>
        </w:rPr>
        <w:t> </w:t>
      </w:r>
      <w:r>
        <w:rPr>
          <w:rFonts w:ascii="Arial" w:hAnsi="Arial"/>
          <w:i/>
          <w:sz w:val="22"/>
        </w:rPr>
        <w:t>Lynx</w:t>
      </w:r>
      <w:r>
        <w:rPr>
          <w:rFonts w:ascii="Arial" w:hAnsi="Arial"/>
          <w:i/>
          <w:spacing w:val="-2"/>
          <w:sz w:val="22"/>
        </w:rPr>
        <w:t> </w:t>
      </w:r>
      <w:r>
        <w:rPr>
          <w:rFonts w:ascii="Arial" w:hAnsi="Arial"/>
          <w:i/>
          <w:sz w:val="22"/>
        </w:rPr>
        <w:t>–</w:t>
      </w:r>
      <w:r>
        <w:rPr>
          <w:rFonts w:ascii="Arial" w:hAnsi="Arial"/>
          <w:i/>
          <w:spacing w:val="-7"/>
          <w:sz w:val="22"/>
        </w:rPr>
        <w:t> </w:t>
      </w:r>
      <w:r>
        <w:rPr>
          <w:rFonts w:ascii="Arial" w:hAnsi="Arial"/>
          <w:i/>
          <w:sz w:val="22"/>
        </w:rPr>
        <w:t>Groomed</w:t>
      </w:r>
      <w:r>
        <w:rPr>
          <w:rFonts w:ascii="Arial" w:hAnsi="Arial"/>
          <w:i/>
          <w:spacing w:val="-3"/>
          <w:sz w:val="22"/>
        </w:rPr>
        <w:t> </w:t>
      </w:r>
      <w:r>
        <w:rPr>
          <w:rFonts w:ascii="Arial" w:hAnsi="Arial"/>
          <w:i/>
          <w:sz w:val="22"/>
        </w:rPr>
        <w:t>and</w:t>
      </w:r>
      <w:r>
        <w:rPr>
          <w:rFonts w:ascii="Arial" w:hAnsi="Arial"/>
          <w:i/>
          <w:spacing w:val="-7"/>
          <w:sz w:val="22"/>
        </w:rPr>
        <w:t> </w:t>
      </w:r>
      <w:r>
        <w:rPr>
          <w:rFonts w:ascii="Arial" w:hAnsi="Arial"/>
          <w:i/>
          <w:sz w:val="22"/>
        </w:rPr>
        <w:t>Designated</w:t>
      </w:r>
      <w:r>
        <w:rPr>
          <w:rFonts w:ascii="Arial" w:hAnsi="Arial"/>
          <w:i/>
          <w:spacing w:val="-5"/>
          <w:sz w:val="22"/>
        </w:rPr>
        <w:t> </w:t>
      </w:r>
      <w:r>
        <w:rPr>
          <w:rFonts w:ascii="Arial" w:hAnsi="Arial"/>
          <w:i/>
          <w:sz w:val="22"/>
        </w:rPr>
        <w:t>Winter</w:t>
      </w:r>
      <w:r>
        <w:rPr>
          <w:rFonts w:ascii="Arial" w:hAnsi="Arial"/>
          <w:i/>
          <w:spacing w:val="-1"/>
          <w:sz w:val="22"/>
        </w:rPr>
        <w:t> </w:t>
      </w:r>
      <w:r>
        <w:rPr>
          <w:rFonts w:ascii="Arial" w:hAnsi="Arial"/>
          <w:i/>
          <w:sz w:val="22"/>
        </w:rPr>
        <w:t>Routes</w:t>
      </w:r>
      <w:r>
        <w:rPr>
          <w:rFonts w:ascii="Arial" w:hAnsi="Arial"/>
          <w:i/>
          <w:spacing w:val="-5"/>
          <w:sz w:val="22"/>
        </w:rPr>
        <w:t> </w:t>
      </w:r>
      <w:r>
        <w:rPr>
          <w:rFonts w:ascii="Arial" w:hAnsi="Arial"/>
          <w:i/>
          <w:sz w:val="22"/>
        </w:rPr>
        <w:t>within</w:t>
      </w:r>
      <w:r>
        <w:rPr>
          <w:rFonts w:ascii="Arial" w:hAnsi="Arial"/>
          <w:i/>
          <w:spacing w:val="-2"/>
          <w:sz w:val="22"/>
        </w:rPr>
        <w:t> </w:t>
      </w:r>
      <w:r>
        <w:rPr>
          <w:rFonts w:ascii="Arial" w:hAnsi="Arial"/>
          <w:i/>
          <w:sz w:val="22"/>
        </w:rPr>
        <w:t>the</w:t>
      </w:r>
      <w:r>
        <w:rPr>
          <w:rFonts w:ascii="Arial" w:hAnsi="Arial"/>
          <w:i/>
          <w:sz w:val="22"/>
        </w:rPr>
        <w:t> Kettle-Wedge Lynx Core Area</w:t>
      </w:r>
    </w:p>
    <w:p>
      <w:pPr>
        <w:pStyle w:val="BodyText"/>
        <w:spacing w:line="232" w:lineRule="auto" w:before="64"/>
        <w:ind w:left="360" w:right="1445"/>
      </w:pPr>
      <w:r>
        <w:rPr/>
        <w:t>Allow no net increase in groomed or designated over-the-snow routes into lynx habitat at the lynx analysis</w:t>
      </w:r>
      <w:r>
        <w:rPr>
          <w:spacing w:val="-1"/>
        </w:rPr>
        <w:t> </w:t>
      </w:r>
      <w:r>
        <w:rPr/>
        <w:t>unit scale. Access to non-recreation uses,</w:t>
      </w:r>
      <w:r>
        <w:rPr>
          <w:spacing w:val="-4"/>
        </w:rPr>
        <w:t> </w:t>
      </w:r>
      <w:r>
        <w:rPr/>
        <w:t>such as</w:t>
      </w:r>
      <w:r>
        <w:rPr>
          <w:spacing w:val="-1"/>
        </w:rPr>
        <w:t> </w:t>
      </w:r>
      <w:r>
        <w:rPr/>
        <w:t>mineral and energy exploration and development sites, will be comprised of designated routes or designated over-the-snow routes.</w:t>
      </w:r>
      <w:r>
        <w:rPr>
          <w:spacing w:val="-4"/>
        </w:rPr>
        <w:t> </w:t>
      </w:r>
      <w:r>
        <w:rPr/>
        <w:t>This</w:t>
      </w:r>
      <w:r>
        <w:rPr>
          <w:spacing w:val="-4"/>
        </w:rPr>
        <w:t> </w:t>
      </w:r>
      <w:r>
        <w:rPr/>
        <w:t>does</w:t>
      </w:r>
      <w:r>
        <w:rPr>
          <w:spacing w:val="-4"/>
        </w:rPr>
        <w:t> </w:t>
      </w:r>
      <w:r>
        <w:rPr/>
        <w:t>not</w:t>
      </w:r>
      <w:r>
        <w:rPr>
          <w:spacing w:val="-3"/>
        </w:rPr>
        <w:t> </w:t>
      </w:r>
      <w:r>
        <w:rPr/>
        <w:t>apply</w:t>
      </w:r>
      <w:r>
        <w:rPr>
          <w:spacing w:val="-5"/>
        </w:rPr>
        <w:t> </w:t>
      </w:r>
      <w:r>
        <w:rPr/>
        <w:t>to</w:t>
      </w:r>
      <w:r>
        <w:rPr>
          <w:spacing w:val="-3"/>
        </w:rPr>
        <w:t> </w:t>
      </w:r>
      <w:r>
        <w:rPr/>
        <w:t>areas</w:t>
      </w:r>
      <w:r>
        <w:rPr>
          <w:spacing w:val="-6"/>
        </w:rPr>
        <w:t> </w:t>
      </w:r>
      <w:r>
        <w:rPr/>
        <w:t>within</w:t>
      </w:r>
      <w:r>
        <w:rPr>
          <w:spacing w:val="-5"/>
        </w:rPr>
        <w:t> </w:t>
      </w:r>
      <w:r>
        <w:rPr/>
        <w:t>permitted</w:t>
      </w:r>
      <w:r>
        <w:rPr>
          <w:spacing w:val="-5"/>
        </w:rPr>
        <w:t> </w:t>
      </w:r>
      <w:r>
        <w:rPr/>
        <w:t>ski</w:t>
      </w:r>
      <w:r>
        <w:rPr>
          <w:spacing w:val="-4"/>
        </w:rPr>
        <w:t> </w:t>
      </w:r>
      <w:r>
        <w:rPr/>
        <w:t>area</w:t>
      </w:r>
      <w:r>
        <w:rPr>
          <w:spacing w:val="-6"/>
        </w:rPr>
        <w:t> </w:t>
      </w:r>
      <w:r>
        <w:rPr/>
        <w:t>boundaries,</w:t>
      </w:r>
      <w:r>
        <w:rPr>
          <w:spacing w:val="-6"/>
        </w:rPr>
        <w:t> </w:t>
      </w:r>
      <w:r>
        <w:rPr/>
        <w:t>winter</w:t>
      </w:r>
      <w:r>
        <w:rPr>
          <w:spacing w:val="-6"/>
        </w:rPr>
        <w:t> </w:t>
      </w:r>
      <w:r>
        <w:rPr/>
        <w:t>logging,</w:t>
      </w:r>
      <w:r>
        <w:rPr>
          <w:spacing w:val="-4"/>
        </w:rPr>
        <w:t> </w:t>
      </w:r>
      <w:r>
        <w:rPr/>
        <w:t>trails that are rerouted for public safety, or to accessing private in-holdings.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2" w:right="742" w:hanging="1"/>
        <w:jc w:val="left"/>
        <w:rPr>
          <w:rFonts w:ascii="Arial" w:hAnsi="Arial"/>
          <w:i/>
          <w:sz w:val="22"/>
        </w:rPr>
      </w:pPr>
      <w:bookmarkStart w:name="FW-STD-WL-05. Canada Lynx – Vegetation M" w:id="292"/>
      <w:bookmarkEnd w:id="292"/>
      <w:r>
        <w:rPr/>
      </w:r>
      <w:r>
        <w:rPr>
          <w:rFonts w:ascii="Arial" w:hAnsi="Arial"/>
          <w:i/>
          <w:sz w:val="22"/>
        </w:rPr>
        <w:t>FW-STD-WL-05.</w:t>
      </w:r>
      <w:r>
        <w:rPr>
          <w:rFonts w:ascii="Arial" w:hAnsi="Arial"/>
          <w:i/>
          <w:spacing w:val="-2"/>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6"/>
          <w:sz w:val="22"/>
        </w:rPr>
        <w:t> </w:t>
      </w:r>
      <w:r>
        <w:rPr>
          <w:rFonts w:ascii="Arial" w:hAnsi="Arial"/>
          <w:i/>
          <w:sz w:val="22"/>
        </w:rPr>
        <w:t>Vegetation</w:t>
      </w:r>
      <w:r>
        <w:rPr>
          <w:rFonts w:ascii="Arial" w:hAnsi="Arial"/>
          <w:i/>
          <w:spacing w:val="-4"/>
          <w:sz w:val="22"/>
        </w:rPr>
        <w:t> </w:t>
      </w:r>
      <w:r>
        <w:rPr>
          <w:rFonts w:ascii="Arial" w:hAnsi="Arial"/>
          <w:i/>
          <w:sz w:val="22"/>
        </w:rPr>
        <w:t>Management</w:t>
      </w:r>
      <w:r>
        <w:rPr>
          <w:rFonts w:ascii="Arial" w:hAnsi="Arial"/>
          <w:i/>
          <w:spacing w:val="-7"/>
          <w:sz w:val="22"/>
        </w:rPr>
        <w:t> </w:t>
      </w:r>
      <w:r>
        <w:rPr>
          <w:rFonts w:ascii="Arial" w:hAnsi="Arial"/>
          <w:i/>
          <w:sz w:val="22"/>
        </w:rPr>
        <w:t>within</w:t>
      </w:r>
      <w:r>
        <w:rPr>
          <w:rFonts w:ascii="Arial" w:hAnsi="Arial"/>
          <w:i/>
          <w:spacing w:val="-3"/>
          <w:sz w:val="22"/>
        </w:rPr>
        <w:t> </w:t>
      </w:r>
      <w:r>
        <w:rPr>
          <w:rFonts w:ascii="Arial" w:hAnsi="Arial"/>
          <w:i/>
          <w:sz w:val="22"/>
        </w:rPr>
        <w:t>the</w:t>
      </w:r>
      <w:r>
        <w:rPr>
          <w:rFonts w:ascii="Arial" w:hAnsi="Arial"/>
          <w:i/>
          <w:spacing w:val="-6"/>
          <w:sz w:val="22"/>
        </w:rPr>
        <w:t> </w:t>
      </w:r>
      <w:r>
        <w:rPr>
          <w:rFonts w:ascii="Arial" w:hAnsi="Arial"/>
          <w:i/>
          <w:sz w:val="22"/>
        </w:rPr>
        <w:t>Kettle-Wedge</w:t>
      </w:r>
      <w:r>
        <w:rPr>
          <w:rFonts w:ascii="Arial" w:hAnsi="Arial"/>
          <w:i/>
          <w:spacing w:val="-6"/>
          <w:sz w:val="22"/>
        </w:rPr>
        <w:t> </w:t>
      </w:r>
      <w:r>
        <w:rPr>
          <w:rFonts w:ascii="Arial" w:hAnsi="Arial"/>
          <w:i/>
          <w:sz w:val="22"/>
        </w:rPr>
        <w:t>Lynx</w:t>
      </w:r>
      <w:r>
        <w:rPr>
          <w:rFonts w:ascii="Arial" w:hAnsi="Arial"/>
          <w:i/>
          <w:sz w:val="22"/>
        </w:rPr>
        <w:t> Core Area</w:t>
      </w:r>
    </w:p>
    <w:p>
      <w:pPr>
        <w:pStyle w:val="BodyText"/>
        <w:spacing w:line="232" w:lineRule="auto" w:before="66"/>
        <w:ind w:left="1152" w:right="742"/>
      </w:pPr>
      <w:r>
        <w:rPr/>
        <w:t>When conducting vegetation management of coniferous vegetation, do not reduce the suitability</w:t>
      </w:r>
      <w:r>
        <w:rPr>
          <w:spacing w:val="-5"/>
        </w:rPr>
        <w:t> </w:t>
      </w:r>
      <w:r>
        <w:rPr/>
        <w:t>of</w:t>
      </w:r>
      <w:r>
        <w:rPr>
          <w:spacing w:val="-4"/>
        </w:rPr>
        <w:t> </w:t>
      </w:r>
      <w:r>
        <w:rPr/>
        <w:t>lynx</w:t>
      </w:r>
      <w:r>
        <w:rPr>
          <w:spacing w:val="-4"/>
        </w:rPr>
        <w:t> </w:t>
      </w:r>
      <w:r>
        <w:rPr/>
        <w:t>habitat</w:t>
      </w:r>
      <w:r>
        <w:rPr>
          <w:spacing w:val="-6"/>
        </w:rPr>
        <w:t> </w:t>
      </w:r>
      <w:r>
        <w:rPr/>
        <w:t>within</w:t>
      </w:r>
      <w:r>
        <w:rPr>
          <w:spacing w:val="-5"/>
        </w:rPr>
        <w:t> </w:t>
      </w:r>
      <w:r>
        <w:rPr/>
        <w:t>a</w:t>
      </w:r>
      <w:r>
        <w:rPr>
          <w:spacing w:val="-4"/>
        </w:rPr>
        <w:t> </w:t>
      </w:r>
      <w:r>
        <w:rPr/>
        <w:t>lynx</w:t>
      </w:r>
      <w:r>
        <w:rPr>
          <w:spacing w:val="-4"/>
        </w:rPr>
        <w:t> </w:t>
      </w:r>
      <w:r>
        <w:rPr/>
        <w:t>analysis</w:t>
      </w:r>
      <w:r>
        <w:rPr>
          <w:spacing w:val="-4"/>
        </w:rPr>
        <w:t> </w:t>
      </w:r>
      <w:r>
        <w:rPr/>
        <w:t>unit</w:t>
      </w:r>
      <w:r>
        <w:rPr>
          <w:spacing w:val="-3"/>
        </w:rPr>
        <w:t> </w:t>
      </w:r>
      <w:r>
        <w:rPr/>
        <w:t>below</w:t>
      </w:r>
      <w:r>
        <w:rPr>
          <w:spacing w:val="-6"/>
        </w:rPr>
        <w:t> </w:t>
      </w:r>
      <w:r>
        <w:rPr/>
        <w:t>70</w:t>
      </w:r>
      <w:r>
        <w:rPr>
          <w:spacing w:val="-3"/>
        </w:rPr>
        <w:t> </w:t>
      </w:r>
      <w:r>
        <w:rPr/>
        <w:t>percent</w:t>
      </w:r>
      <w:r>
        <w:rPr>
          <w:spacing w:val="-6"/>
        </w:rPr>
        <w:t> </w:t>
      </w:r>
      <w:r>
        <w:rPr/>
        <w:t>of</w:t>
      </w:r>
      <w:r>
        <w:rPr>
          <w:spacing w:val="-6"/>
        </w:rPr>
        <w:t> </w:t>
      </w:r>
      <w:r>
        <w:rPr/>
        <w:t>the</w:t>
      </w:r>
      <w:r>
        <w:rPr>
          <w:spacing w:val="-3"/>
        </w:rPr>
        <w:t> </w:t>
      </w:r>
      <w:r>
        <w:rPr/>
        <w:t>area</w:t>
      </w:r>
      <w:r>
        <w:rPr>
          <w:spacing w:val="-6"/>
        </w:rPr>
        <w:t> </w:t>
      </w:r>
      <w:r>
        <w:rPr/>
        <w:t>that</w:t>
      </w:r>
      <w:r>
        <w:rPr>
          <w:spacing w:val="-3"/>
        </w:rPr>
        <w:t> </w:t>
      </w:r>
      <w:r>
        <w:rPr/>
        <w:t>is</w:t>
      </w:r>
      <w:r>
        <w:rPr>
          <w:spacing w:val="-4"/>
        </w:rPr>
        <w:t> </w:t>
      </w:r>
      <w:r>
        <w:rPr/>
        <w:t>capable of providing suitable lynx habitat (subalpine fir-associated forest types).</w:t>
      </w:r>
    </w:p>
    <w:p>
      <w:pPr>
        <w:spacing w:before="233"/>
        <w:ind w:left="1152" w:right="801" w:firstLine="0"/>
        <w:jc w:val="left"/>
        <w:rPr>
          <w:rFonts w:ascii="Arial" w:hAnsi="Arial"/>
          <w:i/>
          <w:sz w:val="22"/>
        </w:rPr>
      </w:pPr>
      <w:bookmarkStart w:name="FW-STD-WL-06. Canada Lynx – Tree Stem De" w:id="293"/>
      <w:bookmarkEnd w:id="293"/>
      <w:r>
        <w:rPr/>
      </w:r>
      <w:r>
        <w:rPr>
          <w:rFonts w:ascii="Arial" w:hAnsi="Arial"/>
          <w:i/>
          <w:sz w:val="22"/>
        </w:rPr>
        <w:t>FW-STD-WL-06.</w:t>
      </w:r>
      <w:r>
        <w:rPr>
          <w:rFonts w:ascii="Arial" w:hAnsi="Arial"/>
          <w:i/>
          <w:spacing w:val="-2"/>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5"/>
          <w:sz w:val="22"/>
        </w:rPr>
        <w:t> </w:t>
      </w:r>
      <w:r>
        <w:rPr>
          <w:rFonts w:ascii="Arial" w:hAnsi="Arial"/>
          <w:i/>
          <w:sz w:val="22"/>
        </w:rPr>
        <w:t>Tree</w:t>
      </w:r>
      <w:r>
        <w:rPr>
          <w:rFonts w:ascii="Arial" w:hAnsi="Arial"/>
          <w:i/>
          <w:spacing w:val="-5"/>
          <w:sz w:val="22"/>
        </w:rPr>
        <w:t> </w:t>
      </w:r>
      <w:r>
        <w:rPr>
          <w:rFonts w:ascii="Arial" w:hAnsi="Arial"/>
          <w:i/>
          <w:sz w:val="22"/>
        </w:rPr>
        <w:t>Stem</w:t>
      </w:r>
      <w:r>
        <w:rPr>
          <w:rFonts w:ascii="Arial" w:hAnsi="Arial"/>
          <w:i/>
          <w:spacing w:val="-4"/>
          <w:sz w:val="22"/>
        </w:rPr>
        <w:t> </w:t>
      </w:r>
      <w:r>
        <w:rPr>
          <w:rFonts w:ascii="Arial" w:hAnsi="Arial"/>
          <w:i/>
          <w:sz w:val="22"/>
        </w:rPr>
        <w:t>Densities</w:t>
      </w:r>
      <w:r>
        <w:rPr>
          <w:rFonts w:ascii="Arial" w:hAnsi="Arial"/>
          <w:i/>
          <w:spacing w:val="-3"/>
          <w:sz w:val="22"/>
        </w:rPr>
        <w:t> </w:t>
      </w:r>
      <w:r>
        <w:rPr>
          <w:rFonts w:ascii="Arial" w:hAnsi="Arial"/>
          <w:i/>
          <w:sz w:val="22"/>
        </w:rPr>
        <w:t>in</w:t>
      </w:r>
      <w:r>
        <w:rPr>
          <w:rFonts w:ascii="Arial" w:hAnsi="Arial"/>
          <w:i/>
          <w:spacing w:val="-4"/>
          <w:sz w:val="22"/>
        </w:rPr>
        <w:t> </w:t>
      </w:r>
      <w:r>
        <w:rPr>
          <w:rFonts w:ascii="Arial" w:hAnsi="Arial"/>
          <w:i/>
          <w:sz w:val="22"/>
        </w:rPr>
        <w:t>the</w:t>
      </w:r>
      <w:r>
        <w:rPr>
          <w:rFonts w:ascii="Arial" w:hAnsi="Arial"/>
          <w:i/>
          <w:spacing w:val="-5"/>
          <w:sz w:val="22"/>
        </w:rPr>
        <w:t> </w:t>
      </w:r>
      <w:r>
        <w:rPr>
          <w:rFonts w:ascii="Arial" w:hAnsi="Arial"/>
          <w:i/>
          <w:sz w:val="22"/>
        </w:rPr>
        <w:t>Kettle-Wedge</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Core</w:t>
      </w:r>
      <w:r>
        <w:rPr>
          <w:rFonts w:ascii="Arial" w:hAnsi="Arial"/>
          <w:i/>
          <w:sz w:val="22"/>
        </w:rPr>
        <w:t> </w:t>
      </w:r>
      <w:r>
        <w:rPr>
          <w:rFonts w:ascii="Arial" w:hAnsi="Arial"/>
          <w:i/>
          <w:spacing w:val="-4"/>
          <w:sz w:val="22"/>
        </w:rPr>
        <w:t>Area</w:t>
      </w:r>
    </w:p>
    <w:p>
      <w:pPr>
        <w:pStyle w:val="BodyText"/>
        <w:spacing w:line="232" w:lineRule="auto" w:before="66"/>
        <w:ind w:left="1152" w:right="742"/>
      </w:pPr>
      <w:r>
        <w:rPr/>
        <w:t>Retain</w:t>
      </w:r>
      <w:r>
        <w:rPr>
          <w:spacing w:val="-1"/>
        </w:rPr>
        <w:t> </w:t>
      </w:r>
      <w:r>
        <w:rPr/>
        <w:t>a</w:t>
      </w:r>
      <w:r>
        <w:rPr>
          <w:spacing w:val="-2"/>
        </w:rPr>
        <w:t> </w:t>
      </w:r>
      <w:r>
        <w:rPr/>
        <w:t>minimum of 20 percent in</w:t>
      </w:r>
      <w:r>
        <w:rPr>
          <w:spacing w:val="-1"/>
        </w:rPr>
        <w:t> </w:t>
      </w:r>
      <w:r>
        <w:rPr/>
        <w:t>untreated</w:t>
      </w:r>
      <w:r>
        <w:rPr>
          <w:spacing w:val="-1"/>
        </w:rPr>
        <w:t> </w:t>
      </w:r>
      <w:r>
        <w:rPr/>
        <w:t>patches</w:t>
      </w:r>
      <w:r>
        <w:rPr>
          <w:spacing w:val="-5"/>
        </w:rPr>
        <w:t> </w:t>
      </w:r>
      <w:r>
        <w:rPr/>
        <w:t>and</w:t>
      </w:r>
      <w:r>
        <w:rPr>
          <w:spacing w:val="-1"/>
        </w:rPr>
        <w:t> </w:t>
      </w:r>
      <w:r>
        <w:rPr/>
        <w:t>do not reduce tree</w:t>
      </w:r>
      <w:r>
        <w:rPr>
          <w:spacing w:val="-2"/>
        </w:rPr>
        <w:t> </w:t>
      </w:r>
      <w:r>
        <w:rPr/>
        <w:t>stem densities to less than</w:t>
      </w:r>
      <w:r>
        <w:rPr>
          <w:spacing w:val="-1"/>
        </w:rPr>
        <w:t> </w:t>
      </w:r>
      <w:r>
        <w:rPr/>
        <w:t>500 trees per acre in early structure subalpine fir/lodgepole pine or spruce/subalpine fir vegetation types within a lynx analysis unit through mechanical tree removal or prescribed burning,</w:t>
      </w:r>
      <w:r>
        <w:rPr>
          <w:spacing w:val="-5"/>
        </w:rPr>
        <w:t> </w:t>
      </w:r>
      <w:r>
        <w:rPr/>
        <w:t>except</w:t>
      </w:r>
      <w:r>
        <w:rPr>
          <w:spacing w:val="-7"/>
        </w:rPr>
        <w:t> </w:t>
      </w:r>
      <w:r>
        <w:rPr/>
        <w:t>within</w:t>
      </w:r>
      <w:r>
        <w:rPr>
          <w:spacing w:val="-6"/>
        </w:rPr>
        <w:t> </w:t>
      </w:r>
      <w:r>
        <w:rPr/>
        <w:t>500</w:t>
      </w:r>
      <w:r>
        <w:rPr>
          <w:spacing w:val="-9"/>
        </w:rPr>
        <w:t> </w:t>
      </w:r>
      <w:r>
        <w:rPr/>
        <w:t>feet</w:t>
      </w:r>
      <w:r>
        <w:rPr>
          <w:spacing w:val="-7"/>
        </w:rPr>
        <w:t> </w:t>
      </w:r>
      <w:r>
        <w:rPr/>
        <w:t>of</w:t>
      </w:r>
      <w:r>
        <w:rPr>
          <w:spacing w:val="-5"/>
        </w:rPr>
        <w:t> </w:t>
      </w:r>
      <w:r>
        <w:rPr/>
        <w:t>structures</w:t>
      </w:r>
      <w:r>
        <w:rPr>
          <w:spacing w:val="-5"/>
        </w:rPr>
        <w:t> </w:t>
      </w:r>
      <w:r>
        <w:rPr/>
        <w:t>(i.e.,</w:t>
      </w:r>
      <w:r>
        <w:rPr>
          <w:spacing w:val="-7"/>
        </w:rPr>
        <w:t> </w:t>
      </w:r>
      <w:r>
        <w:rPr/>
        <w:t>administrative</w:t>
      </w:r>
      <w:r>
        <w:rPr>
          <w:spacing w:val="-7"/>
        </w:rPr>
        <w:t> </w:t>
      </w:r>
      <w:r>
        <w:rPr/>
        <w:t>sites,</w:t>
      </w:r>
      <w:r>
        <w:rPr>
          <w:spacing w:val="-5"/>
        </w:rPr>
        <w:t> </w:t>
      </w:r>
      <w:r>
        <w:rPr/>
        <w:t>dwellings,</w:t>
      </w:r>
      <w:r>
        <w:rPr>
          <w:spacing w:val="-7"/>
        </w:rPr>
        <w:t> </w:t>
      </w:r>
      <w:r>
        <w:rPr/>
        <w:t>out</w:t>
      </w:r>
      <w:r>
        <w:rPr>
          <w:spacing w:val="-4"/>
        </w:rPr>
        <w:t> </w:t>
      </w:r>
      <w:r>
        <w:rPr/>
        <w:t>buildings), developed recreation sites and special use permit areas (including infrastructure within permitted ski area boundaries), and along major highways and powerline corridors.</w:t>
      </w:r>
    </w:p>
    <w:p>
      <w:pPr>
        <w:spacing w:before="232"/>
        <w:ind w:left="1152" w:right="0" w:firstLine="0"/>
        <w:jc w:val="left"/>
        <w:rPr>
          <w:rFonts w:ascii="Arial"/>
          <w:i/>
          <w:sz w:val="22"/>
        </w:rPr>
      </w:pPr>
      <w:bookmarkStart w:name="FW-STD-WL-07. Grizzly Bear Recovery Area" w:id="294"/>
      <w:bookmarkEnd w:id="294"/>
      <w:r>
        <w:rPr/>
      </w:r>
      <w:r>
        <w:rPr>
          <w:rFonts w:ascii="Arial"/>
          <w:i/>
          <w:sz w:val="22"/>
        </w:rPr>
        <w:t>FW-STD-WL-07.</w:t>
      </w:r>
      <w:r>
        <w:rPr>
          <w:rFonts w:ascii="Arial"/>
          <w:i/>
          <w:spacing w:val="-8"/>
          <w:sz w:val="22"/>
        </w:rPr>
        <w:t> </w:t>
      </w:r>
      <w:r>
        <w:rPr>
          <w:rFonts w:ascii="Arial"/>
          <w:i/>
          <w:sz w:val="22"/>
        </w:rPr>
        <w:t>Grizzly</w:t>
      </w:r>
      <w:r>
        <w:rPr>
          <w:rFonts w:ascii="Arial"/>
          <w:i/>
          <w:spacing w:val="-5"/>
          <w:sz w:val="22"/>
        </w:rPr>
        <w:t> </w:t>
      </w:r>
      <w:r>
        <w:rPr>
          <w:rFonts w:ascii="Arial"/>
          <w:i/>
          <w:sz w:val="22"/>
        </w:rPr>
        <w:t>Bear</w:t>
      </w:r>
      <w:r>
        <w:rPr>
          <w:rFonts w:ascii="Arial"/>
          <w:i/>
          <w:spacing w:val="-5"/>
          <w:sz w:val="22"/>
        </w:rPr>
        <w:t> </w:t>
      </w:r>
      <w:r>
        <w:rPr>
          <w:rFonts w:ascii="Arial"/>
          <w:i/>
          <w:sz w:val="22"/>
        </w:rPr>
        <w:t>Recovery</w:t>
      </w:r>
      <w:r>
        <w:rPr>
          <w:rFonts w:ascii="Arial"/>
          <w:i/>
          <w:spacing w:val="-6"/>
          <w:sz w:val="22"/>
        </w:rPr>
        <w:t> </w:t>
      </w:r>
      <w:r>
        <w:rPr>
          <w:rFonts w:ascii="Arial"/>
          <w:i/>
          <w:sz w:val="22"/>
        </w:rPr>
        <w:t>Area</w:t>
      </w:r>
      <w:r>
        <w:rPr>
          <w:rFonts w:ascii="Arial"/>
          <w:i/>
          <w:spacing w:val="-8"/>
          <w:sz w:val="22"/>
        </w:rPr>
        <w:t> </w:t>
      </w:r>
      <w:r>
        <w:rPr>
          <w:rFonts w:ascii="Arial"/>
          <w:i/>
          <w:sz w:val="22"/>
        </w:rPr>
        <w:t>-Road</w:t>
      </w:r>
      <w:r>
        <w:rPr>
          <w:rFonts w:ascii="Arial"/>
          <w:i/>
          <w:spacing w:val="-6"/>
          <w:sz w:val="22"/>
        </w:rPr>
        <w:t> </w:t>
      </w:r>
      <w:r>
        <w:rPr>
          <w:rFonts w:ascii="Arial"/>
          <w:i/>
          <w:spacing w:val="-2"/>
          <w:sz w:val="22"/>
        </w:rPr>
        <w:t>Densities</w:t>
      </w:r>
    </w:p>
    <w:p>
      <w:pPr>
        <w:pStyle w:val="BodyText"/>
        <w:spacing w:line="232" w:lineRule="auto" w:before="65"/>
        <w:ind w:left="1152" w:right="801"/>
      </w:pPr>
      <w:r>
        <w:rPr/>
        <w:t>Within</w:t>
      </w:r>
      <w:r>
        <w:rPr>
          <w:spacing w:val="-4"/>
        </w:rPr>
        <w:t> </w:t>
      </w:r>
      <w:r>
        <w:rPr/>
        <w:t>the</w:t>
      </w:r>
      <w:r>
        <w:rPr>
          <w:spacing w:val="-2"/>
        </w:rPr>
        <w:t> </w:t>
      </w:r>
      <w:r>
        <w:rPr/>
        <w:t>grizzly</w:t>
      </w:r>
      <w:r>
        <w:rPr>
          <w:spacing w:val="-4"/>
        </w:rPr>
        <w:t> </w:t>
      </w:r>
      <w:r>
        <w:rPr/>
        <w:t>bear</w:t>
      </w:r>
      <w:r>
        <w:rPr>
          <w:spacing w:val="-3"/>
        </w:rPr>
        <w:t> </w:t>
      </w:r>
      <w:r>
        <w:rPr/>
        <w:t>recovery</w:t>
      </w:r>
      <w:r>
        <w:rPr>
          <w:spacing w:val="-2"/>
        </w:rPr>
        <w:t> </w:t>
      </w:r>
      <w:r>
        <w:rPr/>
        <w:t>area,</w:t>
      </w:r>
      <w:r>
        <w:rPr>
          <w:spacing w:val="-5"/>
        </w:rPr>
        <w:t> </w:t>
      </w:r>
      <w:r>
        <w:rPr/>
        <w:t>Federal</w:t>
      </w:r>
      <w:r>
        <w:rPr>
          <w:spacing w:val="-5"/>
        </w:rPr>
        <w:t> </w:t>
      </w:r>
      <w:r>
        <w:rPr/>
        <w:t>actions</w:t>
      </w:r>
      <w:r>
        <w:rPr>
          <w:spacing w:val="-3"/>
        </w:rPr>
        <w:t> </w:t>
      </w:r>
      <w:r>
        <w:rPr/>
        <w:t>shall</w:t>
      </w:r>
      <w:r>
        <w:rPr>
          <w:spacing w:val="-3"/>
        </w:rPr>
        <w:t> </w:t>
      </w:r>
      <w:r>
        <w:rPr/>
        <w:t>not</w:t>
      </w:r>
      <w:r>
        <w:rPr>
          <w:spacing w:val="-2"/>
        </w:rPr>
        <w:t> </w:t>
      </w:r>
      <w:r>
        <w:rPr/>
        <w:t>result</w:t>
      </w:r>
      <w:r>
        <w:rPr>
          <w:spacing w:val="-2"/>
        </w:rPr>
        <w:t> </w:t>
      </w:r>
      <w:r>
        <w:rPr/>
        <w:t>in</w:t>
      </w:r>
      <w:r>
        <w:rPr>
          <w:spacing w:val="-4"/>
        </w:rPr>
        <w:t> </w:t>
      </w:r>
      <w:r>
        <w:rPr/>
        <w:t>a</w:t>
      </w:r>
      <w:r>
        <w:rPr>
          <w:spacing w:val="-5"/>
        </w:rPr>
        <w:t> </w:t>
      </w:r>
      <w:r>
        <w:rPr/>
        <w:t>net</w:t>
      </w:r>
      <w:r>
        <w:rPr>
          <w:spacing w:val="-2"/>
        </w:rPr>
        <w:t> </w:t>
      </w:r>
      <w:r>
        <w:rPr/>
        <w:t>reduction</w:t>
      </w:r>
      <w:r>
        <w:rPr>
          <w:spacing w:val="-5"/>
        </w:rPr>
        <w:t> </w:t>
      </w:r>
      <w:r>
        <w:rPr/>
        <w:t>of</w:t>
      </w:r>
      <w:r>
        <w:rPr>
          <w:spacing w:val="-3"/>
        </w:rPr>
        <w:t> </w:t>
      </w:r>
      <w:r>
        <w:rPr/>
        <w:t>core habitat below the levels in the following table. Discrete core areas shall remain in place for a minimum</w:t>
      </w:r>
      <w:r>
        <w:rPr>
          <w:spacing w:val="-2"/>
        </w:rPr>
        <w:t> </w:t>
      </w:r>
      <w:r>
        <w:rPr/>
        <w:t>of</w:t>
      </w:r>
      <w:r>
        <w:rPr>
          <w:spacing w:val="-3"/>
        </w:rPr>
        <w:t> </w:t>
      </w:r>
      <w:r>
        <w:rPr/>
        <w:t>10</w:t>
      </w:r>
      <w:r>
        <w:rPr>
          <w:spacing w:val="-2"/>
        </w:rPr>
        <w:t> </w:t>
      </w:r>
      <w:r>
        <w:rPr/>
        <w:t>years</w:t>
      </w:r>
      <w:r>
        <w:rPr>
          <w:spacing w:val="-1"/>
        </w:rPr>
        <w:t> </w:t>
      </w:r>
      <w:r>
        <w:rPr/>
        <w:t>for</w:t>
      </w:r>
      <w:r>
        <w:rPr>
          <w:spacing w:val="-3"/>
        </w:rPr>
        <w:t> </w:t>
      </w:r>
      <w:r>
        <w:rPr/>
        <w:t>bears</w:t>
      </w:r>
      <w:r>
        <w:rPr>
          <w:spacing w:val="-1"/>
        </w:rPr>
        <w:t> </w:t>
      </w:r>
      <w:r>
        <w:rPr/>
        <w:t>to</w:t>
      </w:r>
      <w:r>
        <w:rPr>
          <w:spacing w:val="-2"/>
        </w:rPr>
        <w:t> </w:t>
      </w:r>
      <w:r>
        <w:rPr/>
        <w:t>find</w:t>
      </w:r>
      <w:r>
        <w:rPr>
          <w:spacing w:val="-2"/>
        </w:rPr>
        <w:t> </w:t>
      </w:r>
      <w:r>
        <w:rPr/>
        <w:t>and</w:t>
      </w:r>
      <w:r>
        <w:rPr>
          <w:spacing w:val="-2"/>
        </w:rPr>
        <w:t> </w:t>
      </w:r>
      <w:r>
        <w:rPr/>
        <w:t>use</w:t>
      </w:r>
      <w:r>
        <w:rPr>
          <w:spacing w:val="-3"/>
        </w:rPr>
        <w:t> </w:t>
      </w:r>
      <w:r>
        <w:rPr/>
        <w:t>these</w:t>
      </w:r>
      <w:r>
        <w:rPr>
          <w:spacing w:val="-3"/>
        </w:rPr>
        <w:t> </w:t>
      </w:r>
      <w:r>
        <w:rPr/>
        <w:t>areas.</w:t>
      </w:r>
      <w:r>
        <w:rPr>
          <w:spacing w:val="-1"/>
        </w:rPr>
        <w:t> </w:t>
      </w:r>
      <w:r>
        <w:rPr/>
        <w:t>Federal</w:t>
      </w:r>
      <w:r>
        <w:rPr>
          <w:spacing w:val="-1"/>
        </w:rPr>
        <w:t> </w:t>
      </w:r>
      <w:r>
        <w:rPr/>
        <w:t>actions</w:t>
      </w:r>
      <w:r>
        <w:rPr>
          <w:spacing w:val="-3"/>
        </w:rPr>
        <w:t> </w:t>
      </w:r>
      <w:r>
        <w:rPr/>
        <w:t>shall</w:t>
      </w:r>
      <w:r>
        <w:rPr>
          <w:spacing w:val="-1"/>
        </w:rPr>
        <w:t> </w:t>
      </w:r>
      <w:r>
        <w:rPr/>
        <w:t>not result in</w:t>
      </w:r>
      <w:r>
        <w:rPr>
          <w:spacing w:val="-4"/>
        </w:rPr>
        <w:t> </w:t>
      </w:r>
      <w:r>
        <w:rPr/>
        <w:t>a net</w:t>
      </w:r>
      <w:r>
        <w:rPr>
          <w:spacing w:val="-4"/>
        </w:rPr>
        <w:t> </w:t>
      </w:r>
      <w:r>
        <w:rPr/>
        <w:t>increase</w:t>
      </w:r>
      <w:r>
        <w:rPr>
          <w:spacing w:val="-4"/>
        </w:rPr>
        <w:t> </w:t>
      </w:r>
      <w:r>
        <w:rPr/>
        <w:t>in</w:t>
      </w:r>
      <w:r>
        <w:rPr>
          <w:spacing w:val="-7"/>
        </w:rPr>
        <w:t> </w:t>
      </w:r>
      <w:r>
        <w:rPr/>
        <w:t>open</w:t>
      </w:r>
      <w:r>
        <w:rPr>
          <w:spacing w:val="-7"/>
        </w:rPr>
        <w:t> </w:t>
      </w:r>
      <w:r>
        <w:rPr/>
        <w:t>or</w:t>
      </w:r>
      <w:r>
        <w:rPr>
          <w:spacing w:val="-4"/>
        </w:rPr>
        <w:t> </w:t>
      </w:r>
      <w:r>
        <w:rPr/>
        <w:t>total</w:t>
      </w:r>
      <w:r>
        <w:rPr>
          <w:spacing w:val="-4"/>
        </w:rPr>
        <w:t> </w:t>
      </w:r>
      <w:r>
        <w:rPr/>
        <w:t>road</w:t>
      </w:r>
      <w:r>
        <w:rPr>
          <w:spacing w:val="-5"/>
        </w:rPr>
        <w:t> </w:t>
      </w:r>
      <w:r>
        <w:rPr/>
        <w:t>densities</w:t>
      </w:r>
      <w:r>
        <w:rPr>
          <w:spacing w:val="-4"/>
        </w:rPr>
        <w:t> </w:t>
      </w:r>
      <w:r>
        <w:rPr/>
        <w:t>above</w:t>
      </w:r>
      <w:r>
        <w:rPr>
          <w:spacing w:val="-4"/>
        </w:rPr>
        <w:t> </w:t>
      </w:r>
      <w:r>
        <w:rPr/>
        <w:t>the</w:t>
      </w:r>
      <w:r>
        <w:rPr>
          <w:spacing w:val="-6"/>
        </w:rPr>
        <w:t> </w:t>
      </w:r>
      <w:r>
        <w:rPr/>
        <w:t>levels</w:t>
      </w:r>
      <w:r>
        <w:rPr>
          <w:spacing w:val="-4"/>
        </w:rPr>
        <w:t> </w:t>
      </w:r>
      <w:r>
        <w:rPr/>
        <w:t>in</w:t>
      </w:r>
      <w:r>
        <w:rPr>
          <w:spacing w:val="-6"/>
        </w:rPr>
        <w:t> </w:t>
      </w:r>
      <w:hyperlink w:history="true" w:anchor="_bookmark108">
        <w:r>
          <w:rPr/>
          <w:t>table</w:t>
        </w:r>
        <w:r>
          <w:rPr>
            <w:spacing w:val="-6"/>
          </w:rPr>
          <w:t> </w:t>
        </w:r>
        <w:r>
          <w:rPr/>
          <w:t>15</w:t>
        </w:r>
      </w:hyperlink>
      <w:r>
        <w:rPr/>
        <w:t>.</w:t>
      </w:r>
      <w:r>
        <w:rPr>
          <w:spacing w:val="-7"/>
        </w:rPr>
        <w:t> </w:t>
      </w:r>
      <w:r>
        <w:rPr/>
        <w:t>Total</w:t>
      </w:r>
      <w:r>
        <w:rPr>
          <w:spacing w:val="-7"/>
        </w:rPr>
        <w:t> </w:t>
      </w:r>
      <w:r>
        <w:rPr/>
        <w:t>road</w:t>
      </w:r>
      <w:r>
        <w:rPr>
          <w:spacing w:val="-5"/>
        </w:rPr>
        <w:t> </w:t>
      </w:r>
      <w:r>
        <w:rPr/>
        <w:t>densities</w:t>
      </w:r>
      <w:r>
        <w:rPr>
          <w:spacing w:val="-4"/>
        </w:rPr>
        <w:t> </w:t>
      </w:r>
      <w:r>
        <w:rPr/>
        <w:t>do not include physically undrivable roads (e.g., bermed, brushed-in).</w:t>
      </w:r>
    </w:p>
    <w:p>
      <w:pPr>
        <w:pStyle w:val="BodyText"/>
        <w:spacing w:before="82"/>
      </w:pPr>
    </w:p>
    <w:p>
      <w:pPr>
        <w:spacing w:before="1" w:after="40"/>
        <w:ind w:left="1151" w:right="801" w:firstLine="0"/>
        <w:jc w:val="left"/>
        <w:rPr>
          <w:rFonts w:ascii="Arial"/>
          <w:b/>
          <w:sz w:val="18"/>
        </w:rPr>
      </w:pPr>
      <w:bookmarkStart w:name="_bookmark108" w:id="295"/>
      <w:bookmarkEnd w:id="295"/>
      <w:r>
        <w:rPr/>
      </w:r>
      <w:r>
        <w:rPr>
          <w:rFonts w:ascii="Arial"/>
          <w:b/>
          <w:sz w:val="18"/>
        </w:rPr>
        <w:t>Table</w:t>
      </w:r>
      <w:r>
        <w:rPr>
          <w:rFonts w:ascii="Arial"/>
          <w:b/>
          <w:spacing w:val="-4"/>
          <w:sz w:val="18"/>
        </w:rPr>
        <w:t> </w:t>
      </w:r>
      <w:r>
        <w:rPr>
          <w:rFonts w:ascii="Arial"/>
          <w:b/>
          <w:sz w:val="18"/>
        </w:rPr>
        <w:t>15.</w:t>
      </w:r>
      <w:r>
        <w:rPr>
          <w:rFonts w:ascii="Arial"/>
          <w:b/>
          <w:spacing w:val="-2"/>
          <w:sz w:val="18"/>
        </w:rPr>
        <w:t> </w:t>
      </w:r>
      <w:r>
        <w:rPr>
          <w:rFonts w:ascii="Arial"/>
          <w:b/>
          <w:sz w:val="18"/>
        </w:rPr>
        <w:t>Grizzly</w:t>
      </w:r>
      <w:r>
        <w:rPr>
          <w:rFonts w:ascii="Arial"/>
          <w:b/>
          <w:spacing w:val="-9"/>
          <w:sz w:val="18"/>
        </w:rPr>
        <w:t> </w:t>
      </w:r>
      <w:r>
        <w:rPr>
          <w:rFonts w:ascii="Arial"/>
          <w:b/>
          <w:sz w:val="18"/>
        </w:rPr>
        <w:t>bear</w:t>
      </w:r>
      <w:r>
        <w:rPr>
          <w:rFonts w:ascii="Arial"/>
          <w:b/>
          <w:spacing w:val="-3"/>
          <w:sz w:val="18"/>
        </w:rPr>
        <w:t> </w:t>
      </w:r>
      <w:r>
        <w:rPr>
          <w:rFonts w:ascii="Arial"/>
          <w:b/>
          <w:sz w:val="18"/>
        </w:rPr>
        <w:t>habitat</w:t>
      </w:r>
      <w:r>
        <w:rPr>
          <w:rFonts w:ascii="Arial"/>
          <w:b/>
          <w:spacing w:val="-2"/>
          <w:sz w:val="18"/>
        </w:rPr>
        <w:t> </w:t>
      </w:r>
      <w:r>
        <w:rPr>
          <w:rFonts w:ascii="Arial"/>
          <w:b/>
          <w:sz w:val="18"/>
        </w:rPr>
        <w:t>standards</w:t>
      </w:r>
      <w:r>
        <w:rPr>
          <w:rFonts w:ascii="Arial"/>
          <w:b/>
          <w:spacing w:val="-1"/>
          <w:sz w:val="18"/>
        </w:rPr>
        <w:t> </w:t>
      </w:r>
      <w:r>
        <w:rPr>
          <w:rFonts w:ascii="Arial"/>
          <w:b/>
          <w:sz w:val="18"/>
        </w:rPr>
        <w:t>for</w:t>
      </w:r>
      <w:r>
        <w:rPr>
          <w:rFonts w:ascii="Arial"/>
          <w:b/>
          <w:spacing w:val="-3"/>
          <w:sz w:val="18"/>
        </w:rPr>
        <w:t> </w:t>
      </w:r>
      <w:r>
        <w:rPr>
          <w:rFonts w:ascii="Arial"/>
          <w:b/>
          <w:sz w:val="18"/>
        </w:rPr>
        <w:t>the</w:t>
      </w:r>
      <w:r>
        <w:rPr>
          <w:rFonts w:ascii="Arial"/>
          <w:b/>
          <w:spacing w:val="-1"/>
          <w:sz w:val="18"/>
        </w:rPr>
        <w:t> </w:t>
      </w:r>
      <w:r>
        <w:rPr>
          <w:rFonts w:ascii="Arial"/>
          <w:b/>
          <w:sz w:val="18"/>
        </w:rPr>
        <w:t>shared</w:t>
      </w:r>
      <w:r>
        <w:rPr>
          <w:rFonts w:ascii="Arial"/>
          <w:b/>
          <w:spacing w:val="-2"/>
          <w:sz w:val="18"/>
        </w:rPr>
        <w:t> </w:t>
      </w:r>
      <w:r>
        <w:rPr>
          <w:rFonts w:ascii="Arial"/>
          <w:b/>
          <w:sz w:val="18"/>
        </w:rPr>
        <w:t>bear</w:t>
      </w:r>
      <w:r>
        <w:rPr>
          <w:rFonts w:ascii="Arial"/>
          <w:b/>
          <w:spacing w:val="-3"/>
          <w:sz w:val="18"/>
        </w:rPr>
        <w:t> </w:t>
      </w:r>
      <w:r>
        <w:rPr>
          <w:rFonts w:ascii="Arial"/>
          <w:b/>
          <w:sz w:val="18"/>
        </w:rPr>
        <w:t>management</w:t>
      </w:r>
      <w:r>
        <w:rPr>
          <w:rFonts w:ascii="Arial"/>
          <w:b/>
          <w:spacing w:val="-2"/>
          <w:sz w:val="18"/>
        </w:rPr>
        <w:t> </w:t>
      </w:r>
      <w:r>
        <w:rPr>
          <w:rFonts w:ascii="Arial"/>
          <w:b/>
          <w:sz w:val="18"/>
        </w:rPr>
        <w:t>units</w:t>
      </w:r>
      <w:r>
        <w:rPr>
          <w:rFonts w:ascii="Arial"/>
          <w:b/>
          <w:spacing w:val="-1"/>
          <w:sz w:val="18"/>
        </w:rPr>
        <w:t> </w:t>
      </w:r>
      <w:r>
        <w:rPr>
          <w:rFonts w:ascii="Arial"/>
          <w:b/>
          <w:sz w:val="18"/>
        </w:rPr>
        <w:t>of</w:t>
      </w:r>
      <w:r>
        <w:rPr>
          <w:rFonts w:ascii="Arial"/>
          <w:b/>
          <w:spacing w:val="-2"/>
          <w:sz w:val="18"/>
        </w:rPr>
        <w:t> </w:t>
      </w:r>
      <w:r>
        <w:rPr>
          <w:rFonts w:ascii="Arial"/>
          <w:b/>
          <w:sz w:val="18"/>
        </w:rPr>
        <w:t>the</w:t>
      </w:r>
      <w:r>
        <w:rPr>
          <w:rFonts w:ascii="Arial"/>
          <w:b/>
          <w:spacing w:val="-4"/>
          <w:sz w:val="18"/>
        </w:rPr>
        <w:t> </w:t>
      </w:r>
      <w:r>
        <w:rPr>
          <w:rFonts w:ascii="Arial"/>
          <w:b/>
          <w:sz w:val="18"/>
        </w:rPr>
        <w:t>Colville</w:t>
      </w:r>
      <w:r>
        <w:rPr>
          <w:rFonts w:ascii="Arial"/>
          <w:b/>
          <w:spacing w:val="-1"/>
          <w:sz w:val="18"/>
        </w:rPr>
        <w:t> </w:t>
      </w:r>
      <w:r>
        <w:rPr>
          <w:rFonts w:ascii="Arial"/>
          <w:b/>
          <w:sz w:val="18"/>
        </w:rPr>
        <w:t>and Idaho Panhandle National Forests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054"/>
        <w:gridCol w:w="2419"/>
        <w:gridCol w:w="2241"/>
        <w:gridCol w:w="1833"/>
      </w:tblGrid>
      <w:tr>
        <w:trPr>
          <w:trHeight w:val="601" w:hRule="atLeast"/>
        </w:trPr>
        <w:tc>
          <w:tcPr>
            <w:tcW w:w="2054" w:type="dxa"/>
            <w:shd w:val="clear" w:color="auto" w:fill="D5E2BB"/>
          </w:tcPr>
          <w:p>
            <w:pPr>
              <w:pStyle w:val="TableParagraph"/>
              <w:spacing w:before="92"/>
              <w:ind w:left="861" w:right="222" w:hanging="617"/>
              <w:rPr>
                <w:b/>
                <w:sz w:val="18"/>
              </w:rPr>
            </w:pPr>
            <w:r>
              <w:rPr>
                <w:b/>
                <w:sz w:val="18"/>
              </w:rPr>
              <w:t>Bear</w:t>
            </w:r>
            <w:r>
              <w:rPr>
                <w:b/>
                <w:spacing w:val="-13"/>
                <w:sz w:val="18"/>
              </w:rPr>
              <w:t> </w:t>
            </w:r>
            <w:r>
              <w:rPr>
                <w:b/>
                <w:sz w:val="18"/>
              </w:rPr>
              <w:t>management </w:t>
            </w:r>
            <w:r>
              <w:rPr>
                <w:b/>
                <w:spacing w:val="-4"/>
                <w:sz w:val="18"/>
              </w:rPr>
              <w:t>unit</w:t>
            </w:r>
          </w:p>
        </w:tc>
        <w:tc>
          <w:tcPr>
            <w:tcW w:w="2419" w:type="dxa"/>
            <w:shd w:val="clear" w:color="auto" w:fill="D5E2BB"/>
          </w:tcPr>
          <w:p>
            <w:pPr>
              <w:pStyle w:val="TableParagraph"/>
              <w:spacing w:line="207" w:lineRule="exact" w:before="92"/>
              <w:ind w:left="22" w:right="3"/>
              <w:jc w:val="center"/>
              <w:rPr>
                <w:b/>
                <w:sz w:val="18"/>
              </w:rPr>
            </w:pPr>
            <w:r>
              <w:rPr>
                <w:b/>
                <w:sz w:val="18"/>
              </w:rPr>
              <w:t>Maximum</w:t>
            </w:r>
            <w:r>
              <w:rPr>
                <w:b/>
                <w:spacing w:val="-8"/>
                <w:sz w:val="18"/>
              </w:rPr>
              <w:t> </w:t>
            </w:r>
            <w:r>
              <w:rPr>
                <w:b/>
                <w:sz w:val="18"/>
              </w:rPr>
              <w:t>open</w:t>
            </w:r>
            <w:r>
              <w:rPr>
                <w:b/>
                <w:spacing w:val="-8"/>
                <w:sz w:val="18"/>
              </w:rPr>
              <w:t> </w:t>
            </w:r>
            <w:r>
              <w:rPr>
                <w:b/>
                <w:spacing w:val="-4"/>
                <w:sz w:val="18"/>
              </w:rPr>
              <w:t>roads</w:t>
            </w:r>
          </w:p>
          <w:p>
            <w:pPr>
              <w:pStyle w:val="TableParagraph"/>
              <w:spacing w:line="207" w:lineRule="exact" w:before="0"/>
              <w:ind w:left="22"/>
              <w:jc w:val="center"/>
              <w:rPr>
                <w:b/>
                <w:sz w:val="18"/>
              </w:rPr>
            </w:pPr>
            <w:r>
              <w:rPr>
                <w:b/>
                <w:sz w:val="18"/>
              </w:rPr>
              <w:t>&gt;1</w:t>
            </w:r>
            <w:r>
              <w:rPr>
                <w:b/>
                <w:spacing w:val="-2"/>
                <w:sz w:val="18"/>
              </w:rPr>
              <w:t> </w:t>
            </w:r>
            <w:r>
              <w:rPr>
                <w:b/>
                <w:sz w:val="18"/>
              </w:rPr>
              <w:t>mi/sq.</w:t>
            </w:r>
            <w:r>
              <w:rPr>
                <w:b/>
                <w:spacing w:val="-3"/>
                <w:sz w:val="18"/>
              </w:rPr>
              <w:t> </w:t>
            </w:r>
            <w:r>
              <w:rPr>
                <w:b/>
                <w:spacing w:val="-5"/>
                <w:sz w:val="18"/>
              </w:rPr>
              <w:t>mi.</w:t>
            </w:r>
          </w:p>
        </w:tc>
        <w:tc>
          <w:tcPr>
            <w:tcW w:w="2241" w:type="dxa"/>
            <w:shd w:val="clear" w:color="auto" w:fill="D5E2BB"/>
          </w:tcPr>
          <w:p>
            <w:pPr>
              <w:pStyle w:val="TableParagraph"/>
              <w:spacing w:line="207" w:lineRule="exact" w:before="92"/>
              <w:ind w:left="22"/>
              <w:jc w:val="center"/>
              <w:rPr>
                <w:b/>
                <w:sz w:val="18"/>
              </w:rPr>
            </w:pPr>
            <w:r>
              <w:rPr>
                <w:b/>
                <w:sz w:val="18"/>
              </w:rPr>
              <w:t>Maximum</w:t>
            </w:r>
            <w:r>
              <w:rPr>
                <w:b/>
                <w:spacing w:val="-8"/>
                <w:sz w:val="18"/>
              </w:rPr>
              <w:t> </w:t>
            </w:r>
            <w:r>
              <w:rPr>
                <w:b/>
                <w:sz w:val="18"/>
              </w:rPr>
              <w:t>total</w:t>
            </w:r>
            <w:r>
              <w:rPr>
                <w:b/>
                <w:spacing w:val="-9"/>
                <w:sz w:val="18"/>
              </w:rPr>
              <w:t> </w:t>
            </w:r>
            <w:r>
              <w:rPr>
                <w:b/>
                <w:spacing w:val="-4"/>
                <w:sz w:val="18"/>
              </w:rPr>
              <w:t>roads</w:t>
            </w:r>
          </w:p>
          <w:p>
            <w:pPr>
              <w:pStyle w:val="TableParagraph"/>
              <w:spacing w:line="207" w:lineRule="exact" w:before="0"/>
              <w:ind w:left="22" w:right="2"/>
              <w:jc w:val="center"/>
              <w:rPr>
                <w:b/>
                <w:sz w:val="18"/>
              </w:rPr>
            </w:pPr>
            <w:r>
              <w:rPr>
                <w:b/>
                <w:sz w:val="18"/>
              </w:rPr>
              <w:t>&gt;2</w:t>
            </w:r>
            <w:r>
              <w:rPr>
                <w:b/>
                <w:spacing w:val="-4"/>
                <w:sz w:val="18"/>
              </w:rPr>
              <w:t> </w:t>
            </w:r>
            <w:r>
              <w:rPr>
                <w:b/>
                <w:sz w:val="18"/>
              </w:rPr>
              <w:t>mi/sq.</w:t>
            </w:r>
            <w:r>
              <w:rPr>
                <w:b/>
                <w:spacing w:val="-1"/>
                <w:sz w:val="18"/>
              </w:rPr>
              <w:t> </w:t>
            </w:r>
            <w:r>
              <w:rPr>
                <w:b/>
                <w:spacing w:val="-5"/>
                <w:sz w:val="18"/>
              </w:rPr>
              <w:t>mi</w:t>
            </w:r>
          </w:p>
        </w:tc>
        <w:tc>
          <w:tcPr>
            <w:tcW w:w="1833" w:type="dxa"/>
            <w:shd w:val="clear" w:color="auto" w:fill="D5E2BB"/>
          </w:tcPr>
          <w:p>
            <w:pPr>
              <w:pStyle w:val="TableParagraph"/>
              <w:spacing w:before="92"/>
              <w:ind w:left="406" w:right="145" w:hanging="236"/>
              <w:rPr>
                <w:b/>
                <w:sz w:val="18"/>
              </w:rPr>
            </w:pPr>
            <w:r>
              <w:rPr>
                <w:b/>
                <w:sz w:val="18"/>
              </w:rPr>
              <w:t>Minimum</w:t>
            </w:r>
            <w:r>
              <w:rPr>
                <w:b/>
                <w:spacing w:val="-13"/>
                <w:sz w:val="18"/>
              </w:rPr>
              <w:t> </w:t>
            </w:r>
            <w:r>
              <w:rPr>
                <w:b/>
                <w:sz w:val="18"/>
              </w:rPr>
              <w:t>percent core habitat</w:t>
            </w:r>
          </w:p>
        </w:tc>
      </w:tr>
      <w:tr>
        <w:trPr>
          <w:trHeight w:val="520" w:hRule="atLeast"/>
        </w:trPr>
        <w:tc>
          <w:tcPr>
            <w:tcW w:w="2054" w:type="dxa"/>
          </w:tcPr>
          <w:p>
            <w:pPr>
              <w:pStyle w:val="TableParagraph"/>
              <w:ind w:left="107" w:right="520"/>
              <w:rPr>
                <w:sz w:val="18"/>
              </w:rPr>
            </w:pPr>
            <w:r>
              <w:rPr>
                <w:spacing w:val="-2"/>
                <w:sz w:val="18"/>
              </w:rPr>
              <w:t>Salmo-Priest </w:t>
            </w:r>
            <w:r>
              <w:rPr>
                <w:sz w:val="18"/>
              </w:rPr>
              <w:t>(99%</w:t>
            </w:r>
            <w:r>
              <w:rPr>
                <w:spacing w:val="-15"/>
                <w:sz w:val="18"/>
              </w:rPr>
              <w:t> </w:t>
            </w:r>
            <w:r>
              <w:rPr>
                <w:sz w:val="18"/>
              </w:rPr>
              <w:t>NFS</w:t>
            </w:r>
            <w:r>
              <w:rPr>
                <w:spacing w:val="-12"/>
                <w:sz w:val="18"/>
              </w:rPr>
              <w:t> </w:t>
            </w:r>
            <w:r>
              <w:rPr>
                <w:sz w:val="18"/>
              </w:rPr>
              <w:t>land)</w:t>
            </w:r>
          </w:p>
        </w:tc>
        <w:tc>
          <w:tcPr>
            <w:tcW w:w="2419" w:type="dxa"/>
          </w:tcPr>
          <w:p>
            <w:pPr>
              <w:pStyle w:val="TableParagraph"/>
              <w:ind w:left="22" w:right="1"/>
              <w:jc w:val="center"/>
              <w:rPr>
                <w:sz w:val="18"/>
              </w:rPr>
            </w:pPr>
            <w:r>
              <w:rPr>
                <w:spacing w:val="-5"/>
                <w:sz w:val="18"/>
              </w:rPr>
              <w:t>33%</w:t>
            </w:r>
          </w:p>
        </w:tc>
        <w:tc>
          <w:tcPr>
            <w:tcW w:w="2241" w:type="dxa"/>
          </w:tcPr>
          <w:p>
            <w:pPr>
              <w:pStyle w:val="TableParagraph"/>
              <w:ind w:left="22"/>
              <w:jc w:val="center"/>
              <w:rPr>
                <w:sz w:val="18"/>
              </w:rPr>
            </w:pPr>
            <w:r>
              <w:rPr>
                <w:spacing w:val="-5"/>
                <w:sz w:val="18"/>
              </w:rPr>
              <w:t>26%</w:t>
            </w:r>
          </w:p>
        </w:tc>
        <w:tc>
          <w:tcPr>
            <w:tcW w:w="1833" w:type="dxa"/>
          </w:tcPr>
          <w:p>
            <w:pPr>
              <w:pStyle w:val="TableParagraph"/>
              <w:ind w:left="24" w:right="1"/>
              <w:jc w:val="center"/>
              <w:rPr>
                <w:sz w:val="18"/>
              </w:rPr>
            </w:pPr>
            <w:r>
              <w:rPr>
                <w:spacing w:val="-5"/>
                <w:sz w:val="18"/>
              </w:rPr>
              <w:t>64%</w:t>
            </w:r>
          </w:p>
        </w:tc>
      </w:tr>
      <w:tr>
        <w:trPr>
          <w:trHeight w:val="493" w:hRule="atLeast"/>
        </w:trPr>
        <w:tc>
          <w:tcPr>
            <w:tcW w:w="2054" w:type="dxa"/>
          </w:tcPr>
          <w:p>
            <w:pPr>
              <w:pStyle w:val="TableParagraph"/>
              <w:ind w:left="107" w:right="520"/>
              <w:rPr>
                <w:sz w:val="18"/>
              </w:rPr>
            </w:pPr>
            <w:r>
              <w:rPr>
                <w:spacing w:val="-2"/>
                <w:sz w:val="18"/>
              </w:rPr>
              <w:t>Sullivan-Hughes </w:t>
            </w:r>
            <w:r>
              <w:rPr>
                <w:sz w:val="18"/>
              </w:rPr>
              <w:t>(99%</w:t>
            </w:r>
            <w:r>
              <w:rPr>
                <w:spacing w:val="-3"/>
                <w:sz w:val="18"/>
              </w:rPr>
              <w:t> </w:t>
            </w:r>
            <w:r>
              <w:rPr>
                <w:sz w:val="18"/>
              </w:rPr>
              <w:t>NFS</w:t>
            </w:r>
            <w:r>
              <w:rPr>
                <w:spacing w:val="-4"/>
                <w:sz w:val="18"/>
              </w:rPr>
              <w:t> </w:t>
            </w:r>
            <w:r>
              <w:rPr>
                <w:spacing w:val="-2"/>
                <w:sz w:val="18"/>
              </w:rPr>
              <w:t>land)</w:t>
            </w:r>
          </w:p>
        </w:tc>
        <w:tc>
          <w:tcPr>
            <w:tcW w:w="2419" w:type="dxa"/>
          </w:tcPr>
          <w:p>
            <w:pPr>
              <w:pStyle w:val="TableParagraph"/>
              <w:ind w:left="22" w:right="1"/>
              <w:jc w:val="center"/>
              <w:rPr>
                <w:sz w:val="18"/>
              </w:rPr>
            </w:pPr>
            <w:r>
              <w:rPr>
                <w:spacing w:val="-5"/>
                <w:sz w:val="18"/>
              </w:rPr>
              <w:t>24%</w:t>
            </w:r>
          </w:p>
        </w:tc>
        <w:tc>
          <w:tcPr>
            <w:tcW w:w="2241" w:type="dxa"/>
          </w:tcPr>
          <w:p>
            <w:pPr>
              <w:pStyle w:val="TableParagraph"/>
              <w:ind w:left="22"/>
              <w:jc w:val="center"/>
              <w:rPr>
                <w:sz w:val="18"/>
              </w:rPr>
            </w:pPr>
            <w:r>
              <w:rPr>
                <w:spacing w:val="-5"/>
                <w:sz w:val="18"/>
              </w:rPr>
              <w:t>19%</w:t>
            </w:r>
          </w:p>
        </w:tc>
        <w:tc>
          <w:tcPr>
            <w:tcW w:w="1833" w:type="dxa"/>
          </w:tcPr>
          <w:p>
            <w:pPr>
              <w:pStyle w:val="TableParagraph"/>
              <w:ind w:left="24" w:right="1"/>
              <w:jc w:val="center"/>
              <w:rPr>
                <w:sz w:val="18"/>
              </w:rPr>
            </w:pPr>
            <w:r>
              <w:rPr>
                <w:spacing w:val="-5"/>
                <w:sz w:val="18"/>
              </w:rPr>
              <w:t>61%</w:t>
            </w:r>
          </w:p>
        </w:tc>
      </w:tr>
      <w:tr>
        <w:trPr>
          <w:trHeight w:val="493" w:hRule="atLeast"/>
        </w:trPr>
        <w:tc>
          <w:tcPr>
            <w:tcW w:w="2054" w:type="dxa"/>
          </w:tcPr>
          <w:p>
            <w:pPr>
              <w:pStyle w:val="TableParagraph"/>
              <w:spacing w:line="207" w:lineRule="exact"/>
              <w:ind w:left="107"/>
              <w:rPr>
                <w:sz w:val="18"/>
              </w:rPr>
            </w:pPr>
            <w:r>
              <w:rPr>
                <w:spacing w:val="-2"/>
                <w:sz w:val="18"/>
              </w:rPr>
              <w:t>LeClerc</w:t>
            </w:r>
          </w:p>
          <w:p>
            <w:pPr>
              <w:pStyle w:val="TableParagraph"/>
              <w:spacing w:line="207" w:lineRule="exact" w:before="0"/>
              <w:ind w:left="107"/>
              <w:rPr>
                <w:sz w:val="18"/>
              </w:rPr>
            </w:pPr>
            <w:r>
              <w:rPr>
                <w:sz w:val="18"/>
              </w:rPr>
              <w:t>(64%</w:t>
            </w:r>
            <w:r>
              <w:rPr>
                <w:spacing w:val="-3"/>
                <w:sz w:val="18"/>
              </w:rPr>
              <w:t> </w:t>
            </w:r>
            <w:r>
              <w:rPr>
                <w:sz w:val="18"/>
              </w:rPr>
              <w:t>NFS</w:t>
            </w:r>
            <w:r>
              <w:rPr>
                <w:spacing w:val="-5"/>
                <w:sz w:val="18"/>
              </w:rPr>
              <w:t> </w:t>
            </w:r>
            <w:r>
              <w:rPr>
                <w:spacing w:val="-2"/>
                <w:sz w:val="18"/>
              </w:rPr>
              <w:t>land)</w:t>
            </w:r>
          </w:p>
        </w:tc>
        <w:tc>
          <w:tcPr>
            <w:tcW w:w="2419" w:type="dxa"/>
          </w:tcPr>
          <w:p>
            <w:pPr>
              <w:pStyle w:val="TableParagraph"/>
              <w:ind w:left="22" w:right="1"/>
              <w:jc w:val="center"/>
              <w:rPr>
                <w:sz w:val="18"/>
              </w:rPr>
            </w:pPr>
            <w:r>
              <w:rPr>
                <w:spacing w:val="-5"/>
                <w:sz w:val="18"/>
              </w:rPr>
              <w:t>48%</w:t>
            </w:r>
          </w:p>
        </w:tc>
        <w:tc>
          <w:tcPr>
            <w:tcW w:w="2241" w:type="dxa"/>
          </w:tcPr>
          <w:p>
            <w:pPr>
              <w:pStyle w:val="TableParagraph"/>
              <w:ind w:left="22"/>
              <w:jc w:val="center"/>
              <w:rPr>
                <w:sz w:val="18"/>
              </w:rPr>
            </w:pPr>
            <w:r>
              <w:rPr>
                <w:spacing w:val="-5"/>
                <w:sz w:val="18"/>
              </w:rPr>
              <w:t>60%</w:t>
            </w:r>
          </w:p>
        </w:tc>
        <w:tc>
          <w:tcPr>
            <w:tcW w:w="1833" w:type="dxa"/>
          </w:tcPr>
          <w:p>
            <w:pPr>
              <w:pStyle w:val="TableParagraph"/>
              <w:ind w:left="24"/>
              <w:jc w:val="center"/>
              <w:rPr>
                <w:sz w:val="18"/>
              </w:rPr>
            </w:pPr>
            <w:r>
              <w:rPr>
                <w:spacing w:val="-5"/>
                <w:sz w:val="18"/>
              </w:rPr>
              <w:t>27%</w:t>
            </w:r>
          </w:p>
        </w:tc>
      </w:tr>
    </w:tbl>
    <w:p>
      <w:pPr>
        <w:pStyle w:val="BodyText"/>
        <w:rPr>
          <w:rFonts w:ascii="Arial"/>
          <w:b/>
          <w:sz w:val="18"/>
        </w:rPr>
      </w:pPr>
    </w:p>
    <w:p>
      <w:pPr>
        <w:pStyle w:val="BodyText"/>
        <w:spacing w:before="67"/>
        <w:rPr>
          <w:rFonts w:ascii="Arial"/>
          <w:b/>
          <w:sz w:val="18"/>
        </w:rPr>
      </w:pPr>
    </w:p>
    <w:p>
      <w:pPr>
        <w:spacing w:before="0"/>
        <w:ind w:left="1152" w:right="1073" w:hanging="1"/>
        <w:jc w:val="left"/>
        <w:rPr>
          <w:rFonts w:ascii="Arial"/>
          <w:i/>
          <w:sz w:val="22"/>
        </w:rPr>
      </w:pPr>
      <w:bookmarkStart w:name="FW-STD-WL-08. Proper Storage of Human Fo" w:id="296"/>
      <w:bookmarkEnd w:id="296"/>
      <w:r>
        <w:rPr/>
      </w:r>
      <w:r>
        <w:rPr>
          <w:rFonts w:ascii="Arial"/>
          <w:i/>
          <w:sz w:val="22"/>
        </w:rPr>
        <w:t>FW-STD-WL-08.</w:t>
      </w:r>
      <w:r>
        <w:rPr>
          <w:rFonts w:ascii="Arial"/>
          <w:i/>
          <w:spacing w:val="-2"/>
          <w:sz w:val="22"/>
        </w:rPr>
        <w:t> </w:t>
      </w:r>
      <w:r>
        <w:rPr>
          <w:rFonts w:ascii="Arial"/>
          <w:i/>
          <w:sz w:val="22"/>
        </w:rPr>
        <w:t>Proper</w:t>
      </w:r>
      <w:r>
        <w:rPr>
          <w:rFonts w:ascii="Arial"/>
          <w:i/>
          <w:spacing w:val="-5"/>
          <w:sz w:val="22"/>
        </w:rPr>
        <w:t> </w:t>
      </w:r>
      <w:r>
        <w:rPr>
          <w:rFonts w:ascii="Arial"/>
          <w:i/>
          <w:sz w:val="22"/>
        </w:rPr>
        <w:t>Storage</w:t>
      </w:r>
      <w:r>
        <w:rPr>
          <w:rFonts w:ascii="Arial"/>
          <w:i/>
          <w:spacing w:val="-4"/>
          <w:sz w:val="22"/>
        </w:rPr>
        <w:t> </w:t>
      </w:r>
      <w:r>
        <w:rPr>
          <w:rFonts w:ascii="Arial"/>
          <w:i/>
          <w:sz w:val="22"/>
        </w:rPr>
        <w:t>of</w:t>
      </w:r>
      <w:r>
        <w:rPr>
          <w:rFonts w:ascii="Arial"/>
          <w:i/>
          <w:spacing w:val="-4"/>
          <w:sz w:val="22"/>
        </w:rPr>
        <w:t> </w:t>
      </w:r>
      <w:r>
        <w:rPr>
          <w:rFonts w:ascii="Arial"/>
          <w:i/>
          <w:sz w:val="22"/>
        </w:rPr>
        <w:t>Human</w:t>
      </w:r>
      <w:r>
        <w:rPr>
          <w:rFonts w:ascii="Arial"/>
          <w:i/>
          <w:spacing w:val="-5"/>
          <w:sz w:val="22"/>
        </w:rPr>
        <w:t> </w:t>
      </w:r>
      <w:r>
        <w:rPr>
          <w:rFonts w:ascii="Arial"/>
          <w:i/>
          <w:sz w:val="22"/>
        </w:rPr>
        <w:t>Food,</w:t>
      </w:r>
      <w:r>
        <w:rPr>
          <w:rFonts w:ascii="Arial"/>
          <w:i/>
          <w:spacing w:val="-4"/>
          <w:sz w:val="22"/>
        </w:rPr>
        <w:t> </w:t>
      </w:r>
      <w:r>
        <w:rPr>
          <w:rFonts w:ascii="Arial"/>
          <w:i/>
          <w:sz w:val="22"/>
        </w:rPr>
        <w:t>Garbage,</w:t>
      </w:r>
      <w:r>
        <w:rPr>
          <w:rFonts w:ascii="Arial"/>
          <w:i/>
          <w:spacing w:val="-4"/>
          <w:sz w:val="22"/>
        </w:rPr>
        <w:t> </w:t>
      </w:r>
      <w:r>
        <w:rPr>
          <w:rFonts w:ascii="Arial"/>
          <w:i/>
          <w:sz w:val="22"/>
        </w:rPr>
        <w:t>and</w:t>
      </w:r>
      <w:r>
        <w:rPr>
          <w:rFonts w:ascii="Arial"/>
          <w:i/>
          <w:spacing w:val="-5"/>
          <w:sz w:val="22"/>
        </w:rPr>
        <w:t> </w:t>
      </w:r>
      <w:r>
        <w:rPr>
          <w:rFonts w:ascii="Arial"/>
          <w:i/>
          <w:sz w:val="22"/>
        </w:rPr>
        <w:t>Other</w:t>
      </w:r>
      <w:r>
        <w:rPr>
          <w:rFonts w:ascii="Arial"/>
          <w:i/>
          <w:spacing w:val="-6"/>
          <w:sz w:val="22"/>
        </w:rPr>
        <w:t> </w:t>
      </w:r>
      <w:r>
        <w:rPr>
          <w:rFonts w:ascii="Arial"/>
          <w:i/>
          <w:sz w:val="22"/>
        </w:rPr>
        <w:t>Wildlife</w:t>
      </w:r>
      <w:r>
        <w:rPr>
          <w:rFonts w:ascii="Arial"/>
          <w:i/>
          <w:sz w:val="22"/>
        </w:rPr>
        <w:t> </w:t>
      </w:r>
      <w:r>
        <w:rPr>
          <w:rFonts w:ascii="Arial"/>
          <w:i/>
          <w:spacing w:val="-2"/>
          <w:sz w:val="22"/>
        </w:rPr>
        <w:t>Attractants</w:t>
      </w:r>
    </w:p>
    <w:p>
      <w:pPr>
        <w:pStyle w:val="BodyText"/>
        <w:spacing w:line="232" w:lineRule="auto" w:before="66"/>
        <w:ind w:left="1152" w:right="801"/>
      </w:pPr>
      <w:r>
        <w:rPr/>
        <w:t>Forest Service contracts, permits, and agreements that include camping on NFS lands shall incorporate</w:t>
      </w:r>
      <w:r>
        <w:rPr>
          <w:spacing w:val="-5"/>
        </w:rPr>
        <w:t> </w:t>
      </w:r>
      <w:r>
        <w:rPr/>
        <w:t>the</w:t>
      </w:r>
      <w:r>
        <w:rPr>
          <w:spacing w:val="-8"/>
        </w:rPr>
        <w:t> </w:t>
      </w:r>
      <w:r>
        <w:rPr/>
        <w:t>requirement</w:t>
      </w:r>
      <w:r>
        <w:rPr>
          <w:spacing w:val="-5"/>
        </w:rPr>
        <w:t> </w:t>
      </w:r>
      <w:r>
        <w:rPr/>
        <w:t>to</w:t>
      </w:r>
      <w:r>
        <w:rPr>
          <w:spacing w:val="-5"/>
        </w:rPr>
        <w:t> </w:t>
      </w:r>
      <w:r>
        <w:rPr/>
        <w:t>follow</w:t>
      </w:r>
      <w:r>
        <w:rPr>
          <w:spacing w:val="-8"/>
        </w:rPr>
        <w:t> </w:t>
      </w:r>
      <w:r>
        <w:rPr/>
        <w:t>the</w:t>
      </w:r>
      <w:r>
        <w:rPr>
          <w:spacing w:val="-8"/>
        </w:rPr>
        <w:t> </w:t>
      </w:r>
      <w:r>
        <w:rPr/>
        <w:t>current</w:t>
      </w:r>
      <w:r>
        <w:rPr>
          <w:spacing w:val="-8"/>
        </w:rPr>
        <w:t> </w:t>
      </w:r>
      <w:r>
        <w:rPr/>
        <w:t>Food</w:t>
      </w:r>
      <w:r>
        <w:rPr>
          <w:spacing w:val="-7"/>
        </w:rPr>
        <w:t> </w:t>
      </w:r>
      <w:r>
        <w:rPr/>
        <w:t>Storage</w:t>
      </w:r>
      <w:r>
        <w:rPr>
          <w:spacing w:val="-8"/>
        </w:rPr>
        <w:t> </w:t>
      </w:r>
      <w:r>
        <w:rPr/>
        <w:t>Order</w:t>
      </w:r>
      <w:r>
        <w:rPr>
          <w:spacing w:val="-6"/>
        </w:rPr>
        <w:t> </w:t>
      </w:r>
      <w:r>
        <w:rPr/>
        <w:t>for</w:t>
      </w:r>
      <w:r>
        <w:rPr>
          <w:spacing w:val="-6"/>
        </w:rPr>
        <w:t> </w:t>
      </w:r>
      <w:r>
        <w:rPr/>
        <w:t>the</w:t>
      </w:r>
      <w:r>
        <w:rPr>
          <w:spacing w:val="-8"/>
        </w:rPr>
        <w:t> </w:t>
      </w:r>
      <w:r>
        <w:rPr/>
        <w:t>Colville</w:t>
      </w:r>
      <w:r>
        <w:rPr>
          <w:spacing w:val="-8"/>
        </w:rPr>
        <w:t> </w:t>
      </w:r>
      <w:r>
        <w:rPr/>
        <w:t>National </w:t>
      </w:r>
      <w:r>
        <w:rPr>
          <w:spacing w:val="-2"/>
        </w:rPr>
        <w:t>Forest.</w:t>
      </w:r>
    </w:p>
    <w:p>
      <w:pPr>
        <w:pStyle w:val="BodyText"/>
        <w:spacing w:before="191"/>
        <w:ind w:left="1152"/>
      </w:pPr>
      <w:r>
        <w:rPr/>
        <w:t>Apiaries</w:t>
      </w:r>
      <w:r>
        <w:rPr>
          <w:spacing w:val="-8"/>
        </w:rPr>
        <w:t> </w:t>
      </w:r>
      <w:r>
        <w:rPr/>
        <w:t>shall</w:t>
      </w:r>
      <w:r>
        <w:rPr>
          <w:spacing w:val="-6"/>
        </w:rPr>
        <w:t> </w:t>
      </w:r>
      <w:r>
        <w:rPr/>
        <w:t>not</w:t>
      </w:r>
      <w:r>
        <w:rPr>
          <w:spacing w:val="-4"/>
        </w:rPr>
        <w:t> </w:t>
      </w:r>
      <w:r>
        <w:rPr/>
        <w:t>be</w:t>
      </w:r>
      <w:r>
        <w:rPr>
          <w:spacing w:val="-5"/>
        </w:rPr>
        <w:t> </w:t>
      </w:r>
      <w:r>
        <w:rPr/>
        <w:t>placed</w:t>
      </w:r>
      <w:r>
        <w:rPr>
          <w:spacing w:val="-8"/>
        </w:rPr>
        <w:t> </w:t>
      </w:r>
      <w:r>
        <w:rPr/>
        <w:t>where</w:t>
      </w:r>
      <w:r>
        <w:rPr>
          <w:spacing w:val="-5"/>
        </w:rPr>
        <w:t> </w:t>
      </w:r>
      <w:r>
        <w:rPr/>
        <w:t>they</w:t>
      </w:r>
      <w:r>
        <w:rPr>
          <w:spacing w:val="-7"/>
        </w:rPr>
        <w:t> </w:t>
      </w:r>
      <w:r>
        <w:rPr/>
        <w:t>would</w:t>
      </w:r>
      <w:r>
        <w:rPr>
          <w:spacing w:val="-6"/>
        </w:rPr>
        <w:t> </w:t>
      </w:r>
      <w:r>
        <w:rPr/>
        <w:t>increase</w:t>
      </w:r>
      <w:r>
        <w:rPr>
          <w:spacing w:val="-5"/>
        </w:rPr>
        <w:t> </w:t>
      </w:r>
      <w:r>
        <w:rPr/>
        <w:t>the</w:t>
      </w:r>
      <w:r>
        <w:rPr>
          <w:spacing w:val="-5"/>
        </w:rPr>
        <w:t> </w:t>
      </w:r>
      <w:r>
        <w:rPr/>
        <w:t>potential</w:t>
      </w:r>
      <w:r>
        <w:rPr>
          <w:spacing w:val="-5"/>
        </w:rPr>
        <w:t> </w:t>
      </w:r>
      <w:r>
        <w:rPr/>
        <w:t>for</w:t>
      </w:r>
      <w:r>
        <w:rPr>
          <w:spacing w:val="-6"/>
        </w:rPr>
        <w:t> </w:t>
      </w:r>
      <w:r>
        <w:rPr/>
        <w:t>human-bear</w:t>
      </w:r>
      <w:r>
        <w:rPr>
          <w:spacing w:val="-5"/>
        </w:rPr>
        <w:t> </w:t>
      </w:r>
      <w:r>
        <w:rPr>
          <w:spacing w:val="-2"/>
        </w:rPr>
        <w:t>conflicts.</w:t>
      </w:r>
    </w:p>
    <w:p>
      <w:pPr>
        <w:spacing w:before="234"/>
        <w:ind w:left="1151" w:right="0" w:firstLine="0"/>
        <w:jc w:val="left"/>
        <w:rPr>
          <w:rFonts w:ascii="Arial" w:hAnsi="Arial"/>
          <w:i/>
          <w:sz w:val="22"/>
        </w:rPr>
      </w:pPr>
      <w:bookmarkStart w:name="FW-STD-WL-09. Woodland Caribou Recovery " w:id="297"/>
      <w:bookmarkEnd w:id="297"/>
      <w:r>
        <w:rPr/>
      </w:r>
      <w:r>
        <w:rPr>
          <w:rFonts w:ascii="Arial" w:hAnsi="Arial"/>
          <w:i/>
          <w:sz w:val="22"/>
        </w:rPr>
        <w:t>FW-STD-WL-09.</w:t>
      </w:r>
      <w:r>
        <w:rPr>
          <w:rFonts w:ascii="Arial" w:hAnsi="Arial"/>
          <w:i/>
          <w:spacing w:val="-11"/>
          <w:sz w:val="22"/>
        </w:rPr>
        <w:t> </w:t>
      </w:r>
      <w:r>
        <w:rPr>
          <w:rFonts w:ascii="Arial" w:hAnsi="Arial"/>
          <w:i/>
          <w:sz w:val="22"/>
        </w:rPr>
        <w:t>Woodland</w:t>
      </w:r>
      <w:r>
        <w:rPr>
          <w:rFonts w:ascii="Arial" w:hAnsi="Arial"/>
          <w:i/>
          <w:spacing w:val="-7"/>
          <w:sz w:val="22"/>
        </w:rPr>
        <w:t> </w:t>
      </w:r>
      <w:r>
        <w:rPr>
          <w:rFonts w:ascii="Arial" w:hAnsi="Arial"/>
          <w:i/>
          <w:sz w:val="22"/>
        </w:rPr>
        <w:t>Caribou</w:t>
      </w:r>
      <w:r>
        <w:rPr>
          <w:rFonts w:ascii="Arial" w:hAnsi="Arial"/>
          <w:i/>
          <w:spacing w:val="-7"/>
          <w:sz w:val="22"/>
        </w:rPr>
        <w:t> </w:t>
      </w:r>
      <w:r>
        <w:rPr>
          <w:rFonts w:ascii="Arial" w:hAnsi="Arial"/>
          <w:i/>
          <w:sz w:val="22"/>
        </w:rPr>
        <w:t>Recovery</w:t>
      </w:r>
      <w:r>
        <w:rPr>
          <w:rFonts w:ascii="Arial" w:hAnsi="Arial"/>
          <w:i/>
          <w:spacing w:val="-6"/>
          <w:sz w:val="22"/>
        </w:rPr>
        <w:t> </w:t>
      </w:r>
      <w:r>
        <w:rPr>
          <w:rFonts w:ascii="Arial" w:hAnsi="Arial"/>
          <w:i/>
          <w:sz w:val="22"/>
        </w:rPr>
        <w:t>Areas</w:t>
      </w:r>
      <w:r>
        <w:rPr>
          <w:rFonts w:ascii="Arial" w:hAnsi="Arial"/>
          <w:i/>
          <w:spacing w:val="-7"/>
          <w:sz w:val="22"/>
        </w:rPr>
        <w:t> </w:t>
      </w:r>
      <w:r>
        <w:rPr>
          <w:rFonts w:ascii="Arial" w:hAnsi="Arial"/>
          <w:i/>
          <w:sz w:val="22"/>
        </w:rPr>
        <w:t>–</w:t>
      </w:r>
      <w:r>
        <w:rPr>
          <w:rFonts w:ascii="Arial" w:hAnsi="Arial"/>
          <w:i/>
          <w:spacing w:val="-7"/>
          <w:sz w:val="22"/>
        </w:rPr>
        <w:t> </w:t>
      </w:r>
      <w:r>
        <w:rPr>
          <w:rFonts w:ascii="Arial" w:hAnsi="Arial"/>
          <w:i/>
          <w:sz w:val="22"/>
        </w:rPr>
        <w:t>Management</w:t>
      </w:r>
      <w:r>
        <w:rPr>
          <w:rFonts w:ascii="Arial" w:hAnsi="Arial"/>
          <w:i/>
          <w:spacing w:val="-7"/>
          <w:sz w:val="22"/>
        </w:rPr>
        <w:t> </w:t>
      </w:r>
      <w:r>
        <w:rPr>
          <w:rFonts w:ascii="Arial" w:hAnsi="Arial"/>
          <w:i/>
          <w:spacing w:val="-2"/>
          <w:sz w:val="22"/>
        </w:rPr>
        <w:t>Activities</w:t>
      </w:r>
    </w:p>
    <w:p>
      <w:pPr>
        <w:pStyle w:val="BodyText"/>
        <w:spacing w:line="232" w:lineRule="auto" w:before="65"/>
        <w:ind w:left="1152" w:right="720"/>
      </w:pPr>
      <w:r>
        <w:rPr/>
        <w:t>Management</w:t>
      </w:r>
      <w:r>
        <w:rPr>
          <w:spacing w:val="-2"/>
        </w:rPr>
        <w:t> </w:t>
      </w:r>
      <w:r>
        <w:rPr/>
        <w:t>activities</w:t>
      </w:r>
      <w:r>
        <w:rPr>
          <w:spacing w:val="-5"/>
        </w:rPr>
        <w:t> </w:t>
      </w:r>
      <w:r>
        <w:rPr/>
        <w:t>within</w:t>
      </w:r>
      <w:r>
        <w:rPr>
          <w:spacing w:val="-4"/>
        </w:rPr>
        <w:t> </w:t>
      </w:r>
      <w:r>
        <w:rPr/>
        <w:t>lands</w:t>
      </w:r>
      <w:r>
        <w:rPr>
          <w:spacing w:val="-3"/>
        </w:rPr>
        <w:t> </w:t>
      </w:r>
      <w:r>
        <w:rPr/>
        <w:t>identified</w:t>
      </w:r>
      <w:r>
        <w:rPr>
          <w:spacing w:val="-4"/>
        </w:rPr>
        <w:t> </w:t>
      </w:r>
      <w:r>
        <w:rPr/>
        <w:t>as</w:t>
      </w:r>
      <w:r>
        <w:rPr>
          <w:spacing w:val="-3"/>
        </w:rPr>
        <w:t> </w:t>
      </w:r>
      <w:r>
        <w:rPr/>
        <w:t>capable</w:t>
      </w:r>
      <w:r>
        <w:rPr>
          <w:spacing w:val="-2"/>
        </w:rPr>
        <w:t> </w:t>
      </w:r>
      <w:r>
        <w:rPr/>
        <w:t>habitat</w:t>
      </w:r>
      <w:r>
        <w:rPr>
          <w:spacing w:val="-2"/>
        </w:rPr>
        <w:t> </w:t>
      </w:r>
      <w:r>
        <w:rPr/>
        <w:t>for</w:t>
      </w:r>
      <w:r>
        <w:rPr>
          <w:spacing w:val="-3"/>
        </w:rPr>
        <w:t> </w:t>
      </w:r>
      <w:r>
        <w:rPr/>
        <w:t>woodland</w:t>
      </w:r>
      <w:r>
        <w:rPr>
          <w:spacing w:val="-4"/>
        </w:rPr>
        <w:t> </w:t>
      </w:r>
      <w:r>
        <w:rPr/>
        <w:t>caribou</w:t>
      </w:r>
      <w:r>
        <w:rPr>
          <w:spacing w:val="-4"/>
        </w:rPr>
        <w:t> </w:t>
      </w:r>
      <w:r>
        <w:rPr/>
        <w:t>enhance or</w:t>
      </w:r>
      <w:r>
        <w:rPr>
          <w:spacing w:val="-6"/>
        </w:rPr>
        <w:t> </w:t>
      </w:r>
      <w:r>
        <w:rPr/>
        <w:t>facilitate</w:t>
      </w:r>
      <w:r>
        <w:rPr>
          <w:spacing w:val="-8"/>
        </w:rPr>
        <w:t> </w:t>
      </w:r>
      <w:r>
        <w:rPr/>
        <w:t>the</w:t>
      </w:r>
      <w:r>
        <w:rPr>
          <w:spacing w:val="-5"/>
        </w:rPr>
        <w:t> </w:t>
      </w:r>
      <w:r>
        <w:rPr/>
        <w:t>development</w:t>
      </w:r>
      <w:r>
        <w:rPr>
          <w:spacing w:val="-5"/>
        </w:rPr>
        <w:t> </w:t>
      </w:r>
      <w:r>
        <w:rPr/>
        <w:t>of</w:t>
      </w:r>
      <w:r>
        <w:rPr>
          <w:spacing w:val="-6"/>
        </w:rPr>
        <w:t> </w:t>
      </w:r>
      <w:r>
        <w:rPr/>
        <w:t>suitable</w:t>
      </w:r>
      <w:r>
        <w:rPr>
          <w:spacing w:val="-5"/>
        </w:rPr>
        <w:t> </w:t>
      </w:r>
      <w:r>
        <w:rPr/>
        <w:t>habitat.</w:t>
      </w:r>
      <w:r>
        <w:rPr>
          <w:spacing w:val="-9"/>
        </w:rPr>
        <w:t> </w:t>
      </w:r>
      <w:r>
        <w:rPr/>
        <w:t>Management</w:t>
      </w:r>
      <w:r>
        <w:rPr>
          <w:spacing w:val="-8"/>
        </w:rPr>
        <w:t> </w:t>
      </w:r>
      <w:r>
        <w:rPr/>
        <w:t>activities</w:t>
      </w:r>
      <w:r>
        <w:rPr>
          <w:spacing w:val="-8"/>
        </w:rPr>
        <w:t> </w:t>
      </w:r>
      <w:r>
        <w:rPr/>
        <w:t>within</w:t>
      </w:r>
      <w:r>
        <w:rPr>
          <w:spacing w:val="-7"/>
        </w:rPr>
        <w:t> </w:t>
      </w:r>
      <w:r>
        <w:rPr/>
        <w:t>stands</w:t>
      </w:r>
      <w:r>
        <w:rPr>
          <w:spacing w:val="-6"/>
        </w:rPr>
        <w:t> </w:t>
      </w:r>
      <w:r>
        <w:rPr/>
        <w:t>identified as suitable habitat are avoided, except when</w:t>
      </w:r>
      <w:r>
        <w:rPr>
          <w:spacing w:val="-1"/>
        </w:rPr>
        <w:t> </w:t>
      </w:r>
      <w:r>
        <w:rPr/>
        <w:t>a clear benefit</w:t>
      </w:r>
      <w:r>
        <w:rPr>
          <w:spacing w:val="-2"/>
        </w:rPr>
        <w:t> </w:t>
      </w:r>
      <w:r>
        <w:rPr/>
        <w:t>of the</w:t>
      </w:r>
      <w:r>
        <w:rPr>
          <w:spacing w:val="-2"/>
        </w:rPr>
        <w:t> </w:t>
      </w:r>
      <w:r>
        <w:rPr/>
        <w:t>activity to habitat conditions can be demonstrated.</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2220" w:firstLine="0"/>
        <w:jc w:val="left"/>
        <w:rPr>
          <w:rFonts w:ascii="Arial" w:hAnsi="Arial"/>
          <w:i/>
          <w:sz w:val="22"/>
        </w:rPr>
      </w:pPr>
      <w:bookmarkStart w:name="FW-STD-WL-10. Woodland Caribou Recovery " w:id="298"/>
      <w:bookmarkEnd w:id="298"/>
      <w:r>
        <w:rPr/>
      </w:r>
      <w:r>
        <w:rPr>
          <w:rFonts w:ascii="Arial" w:hAnsi="Arial"/>
          <w:i/>
          <w:sz w:val="22"/>
        </w:rPr>
        <w:t>FW-STD-WL-10.</w:t>
      </w:r>
      <w:r>
        <w:rPr>
          <w:rFonts w:ascii="Arial" w:hAnsi="Arial"/>
          <w:i/>
          <w:spacing w:val="-6"/>
          <w:sz w:val="22"/>
        </w:rPr>
        <w:t> </w:t>
      </w:r>
      <w:r>
        <w:rPr>
          <w:rFonts w:ascii="Arial" w:hAnsi="Arial"/>
          <w:i/>
          <w:sz w:val="22"/>
        </w:rPr>
        <w:t>Woodland</w:t>
      </w:r>
      <w:r>
        <w:rPr>
          <w:rFonts w:ascii="Arial" w:hAnsi="Arial"/>
          <w:i/>
          <w:spacing w:val="-5"/>
          <w:sz w:val="22"/>
        </w:rPr>
        <w:t> </w:t>
      </w:r>
      <w:r>
        <w:rPr>
          <w:rFonts w:ascii="Arial" w:hAnsi="Arial"/>
          <w:i/>
          <w:sz w:val="22"/>
        </w:rPr>
        <w:t>Caribou</w:t>
      </w:r>
      <w:r>
        <w:rPr>
          <w:rFonts w:ascii="Arial" w:hAnsi="Arial"/>
          <w:i/>
          <w:spacing w:val="-5"/>
          <w:sz w:val="22"/>
        </w:rPr>
        <w:t> </w:t>
      </w:r>
      <w:r>
        <w:rPr>
          <w:rFonts w:ascii="Arial" w:hAnsi="Arial"/>
          <w:i/>
          <w:sz w:val="22"/>
        </w:rPr>
        <w:t>Recovery</w:t>
      </w:r>
      <w:r>
        <w:rPr>
          <w:rFonts w:ascii="Arial" w:hAnsi="Arial"/>
          <w:i/>
          <w:spacing w:val="-4"/>
          <w:sz w:val="22"/>
        </w:rPr>
        <w:t> </w:t>
      </w:r>
      <w:r>
        <w:rPr>
          <w:rFonts w:ascii="Arial" w:hAnsi="Arial"/>
          <w:i/>
          <w:sz w:val="22"/>
        </w:rPr>
        <w:t>Area</w:t>
      </w:r>
      <w:r>
        <w:rPr>
          <w:rFonts w:ascii="Arial" w:hAnsi="Arial"/>
          <w:i/>
          <w:spacing w:val="-4"/>
          <w:sz w:val="22"/>
        </w:rPr>
        <w:t> </w:t>
      </w:r>
      <w:r>
        <w:rPr>
          <w:rFonts w:ascii="Arial" w:hAnsi="Arial"/>
          <w:i/>
          <w:sz w:val="22"/>
        </w:rPr>
        <w:t>–</w:t>
      </w:r>
      <w:r>
        <w:rPr>
          <w:rFonts w:ascii="Arial" w:hAnsi="Arial"/>
          <w:i/>
          <w:spacing w:val="-5"/>
          <w:sz w:val="22"/>
        </w:rPr>
        <w:t> </w:t>
      </w:r>
      <w:r>
        <w:rPr>
          <w:rFonts w:ascii="Arial" w:hAnsi="Arial"/>
          <w:i/>
          <w:sz w:val="22"/>
        </w:rPr>
        <w:t>Management</w:t>
      </w:r>
      <w:r>
        <w:rPr>
          <w:rFonts w:ascii="Arial" w:hAnsi="Arial"/>
          <w:i/>
          <w:spacing w:val="-5"/>
          <w:sz w:val="22"/>
        </w:rPr>
        <w:t> </w:t>
      </w:r>
      <w:r>
        <w:rPr>
          <w:rFonts w:ascii="Arial" w:hAnsi="Arial"/>
          <w:i/>
          <w:sz w:val="22"/>
        </w:rPr>
        <w:t>and</w:t>
      </w:r>
      <w:r>
        <w:rPr>
          <w:rFonts w:ascii="Arial" w:hAnsi="Arial"/>
          <w:i/>
          <w:spacing w:val="-5"/>
          <w:sz w:val="22"/>
        </w:rPr>
        <w:t> </w:t>
      </w:r>
      <w:r>
        <w:rPr>
          <w:rFonts w:ascii="Arial" w:hAnsi="Arial"/>
          <w:i/>
          <w:sz w:val="22"/>
        </w:rPr>
        <w:t>Caribou</w:t>
      </w:r>
      <w:r>
        <w:rPr>
          <w:rFonts w:ascii="Arial" w:hAnsi="Arial"/>
          <w:i/>
          <w:sz w:val="22"/>
        </w:rPr>
        <w:t> </w:t>
      </w:r>
      <w:r>
        <w:rPr>
          <w:rFonts w:ascii="Arial" w:hAnsi="Arial"/>
          <w:i/>
          <w:spacing w:val="-2"/>
          <w:sz w:val="22"/>
        </w:rPr>
        <w:t>Calving</w:t>
      </w:r>
    </w:p>
    <w:p>
      <w:pPr>
        <w:pStyle w:val="BodyText"/>
        <w:spacing w:line="232" w:lineRule="auto" w:before="66"/>
        <w:ind w:left="360" w:right="1445"/>
      </w:pPr>
      <w:r>
        <w:rPr/>
        <w:t>Management</w:t>
      </w:r>
      <w:r>
        <w:rPr>
          <w:spacing w:val="-4"/>
        </w:rPr>
        <w:t> </w:t>
      </w:r>
      <w:r>
        <w:rPr/>
        <w:t>activities</w:t>
      </w:r>
      <w:r>
        <w:rPr>
          <w:spacing w:val="-7"/>
        </w:rPr>
        <w:t> </w:t>
      </w:r>
      <w:r>
        <w:rPr/>
        <w:t>that</w:t>
      </w:r>
      <w:r>
        <w:rPr>
          <w:spacing w:val="-7"/>
        </w:rPr>
        <w:t> </w:t>
      </w:r>
      <w:r>
        <w:rPr/>
        <w:t>cause</w:t>
      </w:r>
      <w:r>
        <w:rPr>
          <w:spacing w:val="-4"/>
        </w:rPr>
        <w:t> </w:t>
      </w:r>
      <w:r>
        <w:rPr/>
        <w:t>disturbance</w:t>
      </w:r>
      <w:r>
        <w:rPr>
          <w:spacing w:val="-4"/>
        </w:rPr>
        <w:t> </w:t>
      </w:r>
      <w:r>
        <w:rPr/>
        <w:t>shall</w:t>
      </w:r>
      <w:r>
        <w:rPr>
          <w:spacing w:val="-5"/>
        </w:rPr>
        <w:t> </w:t>
      </w:r>
      <w:r>
        <w:rPr/>
        <w:t>be</w:t>
      </w:r>
      <w:r>
        <w:rPr>
          <w:spacing w:val="-9"/>
        </w:rPr>
        <w:t> </w:t>
      </w:r>
      <w:r>
        <w:rPr/>
        <w:t>avoided</w:t>
      </w:r>
      <w:r>
        <w:rPr>
          <w:spacing w:val="-6"/>
        </w:rPr>
        <w:t> </w:t>
      </w:r>
      <w:r>
        <w:rPr/>
        <w:t>in</w:t>
      </w:r>
      <w:r>
        <w:rPr>
          <w:spacing w:val="-6"/>
        </w:rPr>
        <w:t> </w:t>
      </w:r>
      <w:r>
        <w:rPr/>
        <w:t>known</w:t>
      </w:r>
      <w:r>
        <w:rPr>
          <w:spacing w:val="-6"/>
        </w:rPr>
        <w:t> </w:t>
      </w:r>
      <w:r>
        <w:rPr/>
        <w:t>caribou</w:t>
      </w:r>
      <w:r>
        <w:rPr>
          <w:spacing w:val="-8"/>
        </w:rPr>
        <w:t> </w:t>
      </w:r>
      <w:r>
        <w:rPr/>
        <w:t>calving</w:t>
      </w:r>
      <w:r>
        <w:rPr>
          <w:spacing w:val="-6"/>
        </w:rPr>
        <w:t> </w:t>
      </w:r>
      <w:r>
        <w:rPr/>
        <w:t>habitat from June 1 to July 15.</w:t>
      </w:r>
    </w:p>
    <w:p>
      <w:pPr>
        <w:spacing w:before="235"/>
        <w:ind w:left="360" w:right="0" w:firstLine="0"/>
        <w:jc w:val="left"/>
        <w:rPr>
          <w:rFonts w:ascii="Arial"/>
          <w:i/>
          <w:sz w:val="22"/>
        </w:rPr>
      </w:pPr>
      <w:bookmarkStart w:name="FW-STD-WL-11. Woodland Caribou and Snowm" w:id="299"/>
      <w:bookmarkEnd w:id="299"/>
      <w:r>
        <w:rPr/>
      </w:r>
      <w:r>
        <w:rPr>
          <w:rFonts w:ascii="Arial"/>
          <w:i/>
          <w:sz w:val="22"/>
        </w:rPr>
        <w:t>FW-STD-WL-11.</w:t>
      </w:r>
      <w:r>
        <w:rPr>
          <w:rFonts w:ascii="Arial"/>
          <w:i/>
          <w:spacing w:val="-8"/>
          <w:sz w:val="22"/>
        </w:rPr>
        <w:t> </w:t>
      </w:r>
      <w:r>
        <w:rPr>
          <w:rFonts w:ascii="Arial"/>
          <w:i/>
          <w:sz w:val="22"/>
        </w:rPr>
        <w:t>Woodland</w:t>
      </w:r>
      <w:r>
        <w:rPr>
          <w:rFonts w:ascii="Arial"/>
          <w:i/>
          <w:spacing w:val="-8"/>
          <w:sz w:val="22"/>
        </w:rPr>
        <w:t> </w:t>
      </w:r>
      <w:r>
        <w:rPr>
          <w:rFonts w:ascii="Arial"/>
          <w:i/>
          <w:sz w:val="22"/>
        </w:rPr>
        <w:t>Caribou</w:t>
      </w:r>
      <w:r>
        <w:rPr>
          <w:rFonts w:ascii="Arial"/>
          <w:i/>
          <w:spacing w:val="-7"/>
          <w:sz w:val="22"/>
        </w:rPr>
        <w:t> </w:t>
      </w:r>
      <w:r>
        <w:rPr>
          <w:rFonts w:ascii="Arial"/>
          <w:i/>
          <w:sz w:val="22"/>
        </w:rPr>
        <w:t>and</w:t>
      </w:r>
      <w:r>
        <w:rPr>
          <w:rFonts w:ascii="Arial"/>
          <w:i/>
          <w:spacing w:val="-8"/>
          <w:sz w:val="22"/>
        </w:rPr>
        <w:t> </w:t>
      </w:r>
      <w:r>
        <w:rPr>
          <w:rFonts w:ascii="Arial"/>
          <w:i/>
          <w:spacing w:val="-2"/>
          <w:sz w:val="22"/>
        </w:rPr>
        <w:t>Snowmobiles</w:t>
      </w:r>
    </w:p>
    <w:p>
      <w:pPr>
        <w:pStyle w:val="BodyText"/>
        <w:spacing w:line="232" w:lineRule="auto" w:before="64"/>
        <w:ind w:left="359" w:right="1073"/>
      </w:pPr>
      <w:r>
        <w:rPr/>
        <w:t>Restrict</w:t>
      </w:r>
      <w:r>
        <w:rPr>
          <w:spacing w:val="-9"/>
        </w:rPr>
        <w:t> </w:t>
      </w:r>
      <w:r>
        <w:rPr/>
        <w:t>over-the-snow</w:t>
      </w:r>
      <w:r>
        <w:rPr>
          <w:spacing w:val="-9"/>
        </w:rPr>
        <w:t> </w:t>
      </w:r>
      <w:r>
        <w:rPr/>
        <w:t>vehicle</w:t>
      </w:r>
      <w:r>
        <w:rPr>
          <w:spacing w:val="-6"/>
        </w:rPr>
        <w:t> </w:t>
      </w:r>
      <w:r>
        <w:rPr/>
        <w:t>use</w:t>
      </w:r>
      <w:r>
        <w:rPr>
          <w:spacing w:val="-9"/>
        </w:rPr>
        <w:t> </w:t>
      </w:r>
      <w:r>
        <w:rPr/>
        <w:t>to</w:t>
      </w:r>
      <w:r>
        <w:rPr>
          <w:spacing w:val="-8"/>
        </w:rPr>
        <w:t> </w:t>
      </w:r>
      <w:r>
        <w:rPr/>
        <w:t>designated</w:t>
      </w:r>
      <w:r>
        <w:rPr>
          <w:spacing w:val="-9"/>
        </w:rPr>
        <w:t> </w:t>
      </w:r>
      <w:r>
        <w:rPr/>
        <w:t>routes</w:t>
      </w:r>
      <w:r>
        <w:rPr>
          <w:spacing w:val="-7"/>
        </w:rPr>
        <w:t> </w:t>
      </w:r>
      <w:r>
        <w:rPr/>
        <w:t>within</w:t>
      </w:r>
      <w:r>
        <w:rPr>
          <w:spacing w:val="-8"/>
        </w:rPr>
        <w:t> </w:t>
      </w:r>
      <w:r>
        <w:rPr/>
        <w:t>the</w:t>
      </w:r>
      <w:r>
        <w:rPr>
          <w:spacing w:val="-6"/>
        </w:rPr>
        <w:t> </w:t>
      </w:r>
      <w:r>
        <w:rPr/>
        <w:t>Selkirk</w:t>
      </w:r>
      <w:r>
        <w:rPr>
          <w:spacing w:val="-9"/>
        </w:rPr>
        <w:t> </w:t>
      </w:r>
      <w:r>
        <w:rPr/>
        <w:t>Mountain</w:t>
      </w:r>
      <w:r>
        <w:rPr>
          <w:spacing w:val="-8"/>
        </w:rPr>
        <w:t> </w:t>
      </w:r>
      <w:r>
        <w:rPr/>
        <w:t>Woodland caribou recovery area.</w:t>
      </w:r>
    </w:p>
    <w:p>
      <w:pPr>
        <w:spacing w:before="235"/>
        <w:ind w:left="359" w:right="0" w:firstLine="0"/>
        <w:jc w:val="left"/>
        <w:rPr>
          <w:rFonts w:ascii="Arial"/>
          <w:i/>
          <w:sz w:val="22"/>
        </w:rPr>
      </w:pPr>
      <w:bookmarkStart w:name="FW-STD-WL-12. Large Snag Habitat" w:id="300"/>
      <w:bookmarkEnd w:id="300"/>
      <w:r>
        <w:rPr/>
      </w:r>
      <w:r>
        <w:rPr>
          <w:rFonts w:ascii="Arial"/>
          <w:i/>
          <w:sz w:val="22"/>
        </w:rPr>
        <w:t>FW-STD-WL-12.</w:t>
      </w:r>
      <w:r>
        <w:rPr>
          <w:rFonts w:ascii="Arial"/>
          <w:i/>
          <w:spacing w:val="-5"/>
          <w:sz w:val="22"/>
        </w:rPr>
        <w:t> </w:t>
      </w:r>
      <w:r>
        <w:rPr>
          <w:rFonts w:ascii="Arial"/>
          <w:i/>
          <w:sz w:val="22"/>
        </w:rPr>
        <w:t>Large</w:t>
      </w:r>
      <w:r>
        <w:rPr>
          <w:rFonts w:ascii="Arial"/>
          <w:i/>
          <w:spacing w:val="-9"/>
          <w:sz w:val="22"/>
        </w:rPr>
        <w:t> </w:t>
      </w:r>
      <w:r>
        <w:rPr>
          <w:rFonts w:ascii="Arial"/>
          <w:i/>
          <w:sz w:val="22"/>
        </w:rPr>
        <w:t>Snag</w:t>
      </w:r>
      <w:r>
        <w:rPr>
          <w:rFonts w:ascii="Arial"/>
          <w:i/>
          <w:spacing w:val="-6"/>
          <w:sz w:val="22"/>
        </w:rPr>
        <w:t> </w:t>
      </w:r>
      <w:r>
        <w:rPr>
          <w:rFonts w:ascii="Arial"/>
          <w:i/>
          <w:spacing w:val="-2"/>
          <w:sz w:val="22"/>
        </w:rPr>
        <w:t>Habitat</w:t>
      </w:r>
    </w:p>
    <w:p>
      <w:pPr>
        <w:pStyle w:val="BodyText"/>
        <w:spacing w:line="232" w:lineRule="auto" w:before="64"/>
        <w:ind w:left="359" w:right="1445"/>
      </w:pPr>
      <w:r>
        <w:rPr/>
        <w:t>Because snags larger than 20 inches diameter at breast height are currently below the desired conditions,</w:t>
      </w:r>
      <w:r>
        <w:rPr>
          <w:spacing w:val="-7"/>
        </w:rPr>
        <w:t> </w:t>
      </w:r>
      <w:r>
        <w:rPr/>
        <w:t>they</w:t>
      </w:r>
      <w:r>
        <w:rPr>
          <w:spacing w:val="-6"/>
        </w:rPr>
        <w:t> </w:t>
      </w:r>
      <w:r>
        <w:rPr/>
        <w:t>shall</w:t>
      </w:r>
      <w:r>
        <w:rPr>
          <w:spacing w:val="-5"/>
        </w:rPr>
        <w:t> </w:t>
      </w:r>
      <w:r>
        <w:rPr/>
        <w:t>be</w:t>
      </w:r>
      <w:r>
        <w:rPr>
          <w:spacing w:val="-4"/>
        </w:rPr>
        <w:t> </w:t>
      </w:r>
      <w:r>
        <w:rPr/>
        <w:t>retained</w:t>
      </w:r>
      <w:r>
        <w:rPr>
          <w:spacing w:val="-6"/>
        </w:rPr>
        <w:t> </w:t>
      </w:r>
      <w:r>
        <w:rPr/>
        <w:t>unless</w:t>
      </w:r>
      <w:r>
        <w:rPr>
          <w:spacing w:val="-7"/>
        </w:rPr>
        <w:t> </w:t>
      </w:r>
      <w:r>
        <w:rPr/>
        <w:t>they</w:t>
      </w:r>
      <w:r>
        <w:rPr>
          <w:spacing w:val="-4"/>
        </w:rPr>
        <w:t> </w:t>
      </w:r>
      <w:r>
        <w:rPr/>
        <w:t>pose</w:t>
      </w:r>
      <w:r>
        <w:rPr>
          <w:spacing w:val="-7"/>
        </w:rPr>
        <w:t> </w:t>
      </w:r>
      <w:r>
        <w:rPr/>
        <w:t>a</w:t>
      </w:r>
      <w:r>
        <w:rPr>
          <w:spacing w:val="-5"/>
        </w:rPr>
        <w:t> </w:t>
      </w:r>
      <w:r>
        <w:rPr/>
        <w:t>safety</w:t>
      </w:r>
      <w:r>
        <w:rPr>
          <w:spacing w:val="-4"/>
        </w:rPr>
        <w:t> </w:t>
      </w:r>
      <w:r>
        <w:rPr/>
        <w:t>hazard.</w:t>
      </w:r>
      <w:r>
        <w:rPr>
          <w:spacing w:val="-5"/>
        </w:rPr>
        <w:t> </w:t>
      </w:r>
      <w:r>
        <w:rPr/>
        <w:t>This</w:t>
      </w:r>
      <w:r>
        <w:rPr>
          <w:spacing w:val="-5"/>
        </w:rPr>
        <w:t> </w:t>
      </w:r>
      <w:r>
        <w:rPr/>
        <w:t>standard</w:t>
      </w:r>
      <w:r>
        <w:rPr>
          <w:spacing w:val="-7"/>
        </w:rPr>
        <w:t> </w:t>
      </w:r>
      <w:r>
        <w:rPr/>
        <w:t>does</w:t>
      </w:r>
      <w:r>
        <w:rPr>
          <w:spacing w:val="-5"/>
        </w:rPr>
        <w:t> </w:t>
      </w:r>
      <w:r>
        <w:rPr/>
        <w:t>not</w:t>
      </w:r>
      <w:r>
        <w:rPr>
          <w:spacing w:val="-4"/>
        </w:rPr>
        <w:t> </w:t>
      </w:r>
      <w:r>
        <w:rPr/>
        <w:t>apply in developed recreation sites, around recreation residences, in administrative sites, and within 200 feet of an open road designated for firewood harvest. An additional exception to this standard can occur in areas that have been identified as candidates for tree faller training sites through consultation with local biologists.</w:t>
      </w:r>
    </w:p>
    <w:p>
      <w:pPr>
        <w:spacing w:before="232"/>
        <w:ind w:left="359" w:right="0" w:firstLine="0"/>
        <w:jc w:val="left"/>
        <w:rPr>
          <w:rFonts w:ascii="Arial"/>
          <w:i/>
          <w:sz w:val="22"/>
        </w:rPr>
      </w:pPr>
      <w:bookmarkStart w:name="FW-STD-WL-13. Bighorn Sheep and Disease " w:id="301"/>
      <w:bookmarkEnd w:id="301"/>
      <w:r>
        <w:rPr/>
      </w:r>
      <w:r>
        <w:rPr>
          <w:rFonts w:ascii="Arial"/>
          <w:i/>
          <w:sz w:val="22"/>
        </w:rPr>
        <w:t>FW-STD-WL-13.</w:t>
      </w:r>
      <w:r>
        <w:rPr>
          <w:rFonts w:ascii="Arial"/>
          <w:i/>
          <w:spacing w:val="-5"/>
          <w:sz w:val="22"/>
        </w:rPr>
        <w:t> </w:t>
      </w:r>
      <w:r>
        <w:rPr>
          <w:rFonts w:ascii="Arial"/>
          <w:i/>
          <w:sz w:val="22"/>
        </w:rPr>
        <w:t>Bighorn</w:t>
      </w:r>
      <w:r>
        <w:rPr>
          <w:rFonts w:ascii="Arial"/>
          <w:i/>
          <w:spacing w:val="-6"/>
          <w:sz w:val="22"/>
        </w:rPr>
        <w:t> </w:t>
      </w:r>
      <w:r>
        <w:rPr>
          <w:rFonts w:ascii="Arial"/>
          <w:i/>
          <w:sz w:val="22"/>
        </w:rPr>
        <w:t>Sheep</w:t>
      </w:r>
      <w:r>
        <w:rPr>
          <w:rFonts w:ascii="Arial"/>
          <w:i/>
          <w:spacing w:val="-7"/>
          <w:sz w:val="22"/>
        </w:rPr>
        <w:t> </w:t>
      </w:r>
      <w:r>
        <w:rPr>
          <w:rFonts w:ascii="Arial"/>
          <w:i/>
          <w:sz w:val="22"/>
        </w:rPr>
        <w:t>and</w:t>
      </w:r>
      <w:r>
        <w:rPr>
          <w:rFonts w:ascii="Arial"/>
          <w:i/>
          <w:spacing w:val="-8"/>
          <w:sz w:val="22"/>
        </w:rPr>
        <w:t> </w:t>
      </w:r>
      <w:r>
        <w:rPr>
          <w:rFonts w:ascii="Arial"/>
          <w:i/>
          <w:sz w:val="22"/>
        </w:rPr>
        <w:t>Disease</w:t>
      </w:r>
      <w:r>
        <w:rPr>
          <w:rFonts w:ascii="Arial"/>
          <w:i/>
          <w:spacing w:val="-6"/>
          <w:sz w:val="22"/>
        </w:rPr>
        <w:t> </w:t>
      </w:r>
      <w:r>
        <w:rPr>
          <w:rFonts w:ascii="Arial"/>
          <w:i/>
          <w:spacing w:val="-2"/>
          <w:sz w:val="22"/>
        </w:rPr>
        <w:t>Transmission</w:t>
      </w:r>
    </w:p>
    <w:p>
      <w:pPr>
        <w:pStyle w:val="BodyText"/>
        <w:spacing w:line="232" w:lineRule="auto" w:before="64"/>
        <w:ind w:left="359" w:right="1445"/>
      </w:pPr>
      <w:r>
        <w:rPr/>
        <w:t>Protect</w:t>
      </w:r>
      <w:r>
        <w:rPr>
          <w:spacing w:val="-5"/>
        </w:rPr>
        <w:t> </w:t>
      </w:r>
      <w:r>
        <w:rPr/>
        <w:t>bighorn</w:t>
      </w:r>
      <w:r>
        <w:rPr>
          <w:spacing w:val="-8"/>
        </w:rPr>
        <w:t> </w:t>
      </w:r>
      <w:r>
        <w:rPr/>
        <w:t>sheep</w:t>
      </w:r>
      <w:r>
        <w:rPr>
          <w:spacing w:val="-7"/>
        </w:rPr>
        <w:t> </w:t>
      </w:r>
      <w:r>
        <w:rPr/>
        <w:t>populations</w:t>
      </w:r>
      <w:r>
        <w:rPr>
          <w:spacing w:val="-6"/>
        </w:rPr>
        <w:t> </w:t>
      </w:r>
      <w:r>
        <w:rPr/>
        <w:t>from</w:t>
      </w:r>
      <w:r>
        <w:rPr>
          <w:spacing w:val="-5"/>
        </w:rPr>
        <w:t> </w:t>
      </w:r>
      <w:r>
        <w:rPr/>
        <w:t>potential</w:t>
      </w:r>
      <w:r>
        <w:rPr>
          <w:spacing w:val="-8"/>
        </w:rPr>
        <w:t> </w:t>
      </w:r>
      <w:r>
        <w:rPr/>
        <w:t>disease</w:t>
      </w:r>
      <w:r>
        <w:rPr>
          <w:spacing w:val="-7"/>
        </w:rPr>
        <w:t> </w:t>
      </w:r>
      <w:r>
        <w:rPr/>
        <w:t>transmission:</w:t>
      </w:r>
      <w:r>
        <w:rPr>
          <w:spacing w:val="-5"/>
        </w:rPr>
        <w:t> </w:t>
      </w:r>
      <w:r>
        <w:rPr/>
        <w:t>(1)</w:t>
      </w:r>
      <w:r>
        <w:rPr>
          <w:spacing w:val="-6"/>
        </w:rPr>
        <w:t> </w:t>
      </w:r>
      <w:r>
        <w:rPr/>
        <w:t>Use</w:t>
      </w:r>
      <w:r>
        <w:rPr>
          <w:spacing w:val="-7"/>
        </w:rPr>
        <w:t> </w:t>
      </w:r>
      <w:r>
        <w:rPr/>
        <w:t>of</w:t>
      </w:r>
      <w:r>
        <w:rPr>
          <w:spacing w:val="-6"/>
        </w:rPr>
        <w:t> </w:t>
      </w:r>
      <w:r>
        <w:rPr/>
        <w:t>recreational pack goats shall not be authorized within or adjacent to source habitat for bighorn sheep to reduce the risk of disease spread, and (2) Grazing of domestic sheep shall not be authorized within or adjacent to bighorn sheep source habitats.</w:t>
      </w:r>
    </w:p>
    <w:p>
      <w:pPr>
        <w:pStyle w:val="Heading4"/>
        <w:spacing w:before="235"/>
      </w:pPr>
      <w:bookmarkStart w:name="Guidelines" w:id="302"/>
      <w:bookmarkEnd w:id="302"/>
      <w:r>
        <w:rPr/>
      </w:r>
      <w:bookmarkStart w:name="_bookmark109" w:id="303"/>
      <w:bookmarkEnd w:id="303"/>
      <w:r>
        <w:rPr/>
      </w:r>
      <w:r>
        <w:rPr>
          <w:spacing w:val="-2"/>
        </w:rPr>
        <w:t>Guidelines</w:t>
      </w:r>
    </w:p>
    <w:p>
      <w:pPr>
        <w:spacing w:before="239"/>
        <w:ind w:left="360" w:right="0" w:firstLine="0"/>
        <w:jc w:val="left"/>
        <w:rPr>
          <w:rFonts w:ascii="Arial"/>
          <w:i/>
          <w:sz w:val="22"/>
        </w:rPr>
      </w:pPr>
      <w:bookmarkStart w:name="FW-GDL-WL-01. Hiding Cover for Wildlife" w:id="304"/>
      <w:bookmarkEnd w:id="304"/>
      <w:r>
        <w:rPr/>
      </w:r>
      <w:r>
        <w:rPr>
          <w:rFonts w:ascii="Arial"/>
          <w:i/>
          <w:sz w:val="22"/>
        </w:rPr>
        <w:t>FW-GDL-WL-01.</w:t>
      </w:r>
      <w:r>
        <w:rPr>
          <w:rFonts w:ascii="Arial"/>
          <w:i/>
          <w:spacing w:val="-6"/>
          <w:sz w:val="22"/>
        </w:rPr>
        <w:t> </w:t>
      </w:r>
      <w:r>
        <w:rPr>
          <w:rFonts w:ascii="Arial"/>
          <w:i/>
          <w:sz w:val="22"/>
        </w:rPr>
        <w:t>Hiding</w:t>
      </w:r>
      <w:r>
        <w:rPr>
          <w:rFonts w:ascii="Arial"/>
          <w:i/>
          <w:spacing w:val="-8"/>
          <w:sz w:val="22"/>
        </w:rPr>
        <w:t> </w:t>
      </w:r>
      <w:r>
        <w:rPr>
          <w:rFonts w:ascii="Arial"/>
          <w:i/>
          <w:sz w:val="22"/>
        </w:rPr>
        <w:t>Cover</w:t>
      </w:r>
      <w:r>
        <w:rPr>
          <w:rFonts w:ascii="Arial"/>
          <w:i/>
          <w:spacing w:val="-6"/>
          <w:sz w:val="22"/>
        </w:rPr>
        <w:t> </w:t>
      </w:r>
      <w:r>
        <w:rPr>
          <w:rFonts w:ascii="Arial"/>
          <w:i/>
          <w:sz w:val="22"/>
        </w:rPr>
        <w:t>for</w:t>
      </w:r>
      <w:r>
        <w:rPr>
          <w:rFonts w:ascii="Arial"/>
          <w:i/>
          <w:spacing w:val="-8"/>
          <w:sz w:val="22"/>
        </w:rPr>
        <w:t> </w:t>
      </w:r>
      <w:r>
        <w:rPr>
          <w:rFonts w:ascii="Arial"/>
          <w:i/>
          <w:spacing w:val="-2"/>
          <w:sz w:val="22"/>
        </w:rPr>
        <w:t>Wildlife</w:t>
      </w:r>
    </w:p>
    <w:p>
      <w:pPr>
        <w:pStyle w:val="BodyText"/>
        <w:spacing w:line="232" w:lineRule="auto" w:before="65"/>
        <w:ind w:left="359" w:right="1788"/>
        <w:jc w:val="both"/>
      </w:pPr>
      <w:r>
        <w:rPr/>
        <w:t>Where</w:t>
      </w:r>
      <w:r>
        <w:rPr>
          <w:spacing w:val="-4"/>
        </w:rPr>
        <w:t> </w:t>
      </w:r>
      <w:r>
        <w:rPr/>
        <w:t>the</w:t>
      </w:r>
      <w:r>
        <w:rPr>
          <w:spacing w:val="-4"/>
        </w:rPr>
        <w:t> </w:t>
      </w:r>
      <w:r>
        <w:rPr/>
        <w:t>opportunity</w:t>
      </w:r>
      <w:r>
        <w:rPr>
          <w:spacing w:val="-3"/>
        </w:rPr>
        <w:t> </w:t>
      </w:r>
      <w:r>
        <w:rPr/>
        <w:t>exists,</w:t>
      </w:r>
      <w:r>
        <w:rPr>
          <w:spacing w:val="-2"/>
        </w:rPr>
        <w:t> </w:t>
      </w:r>
      <w:r>
        <w:rPr/>
        <w:t>retain</w:t>
      </w:r>
      <w:r>
        <w:rPr>
          <w:spacing w:val="-4"/>
        </w:rPr>
        <w:t> </w:t>
      </w:r>
      <w:r>
        <w:rPr/>
        <w:t>clumps</w:t>
      </w:r>
      <w:r>
        <w:rPr>
          <w:spacing w:val="-4"/>
        </w:rPr>
        <w:t> </w:t>
      </w:r>
      <w:r>
        <w:rPr/>
        <w:t>or</w:t>
      </w:r>
      <w:r>
        <w:rPr>
          <w:spacing w:val="-2"/>
        </w:rPr>
        <w:t> </w:t>
      </w:r>
      <w:r>
        <w:rPr/>
        <w:t>patches</w:t>
      </w:r>
      <w:r>
        <w:rPr>
          <w:spacing w:val="-2"/>
        </w:rPr>
        <w:t> </w:t>
      </w:r>
      <w:r>
        <w:rPr/>
        <w:t>of</w:t>
      </w:r>
      <w:r>
        <w:rPr>
          <w:spacing w:val="-4"/>
        </w:rPr>
        <w:t> </w:t>
      </w:r>
      <w:r>
        <w:rPr/>
        <w:t>shrubs</w:t>
      </w:r>
      <w:r>
        <w:rPr>
          <w:spacing w:val="-2"/>
        </w:rPr>
        <w:t> </w:t>
      </w:r>
      <w:r>
        <w:rPr/>
        <w:t>and</w:t>
      </w:r>
      <w:r>
        <w:rPr>
          <w:spacing w:val="-3"/>
        </w:rPr>
        <w:t> </w:t>
      </w:r>
      <w:r>
        <w:rPr/>
        <w:t>trees</w:t>
      </w:r>
      <w:r>
        <w:rPr>
          <w:spacing w:val="-4"/>
        </w:rPr>
        <w:t> </w:t>
      </w:r>
      <w:r>
        <w:rPr/>
        <w:t>to</w:t>
      </w:r>
      <w:r>
        <w:rPr>
          <w:spacing w:val="-1"/>
        </w:rPr>
        <w:t> </w:t>
      </w:r>
      <w:r>
        <w:rPr/>
        <w:t>provide</w:t>
      </w:r>
      <w:r>
        <w:rPr>
          <w:spacing w:val="-1"/>
        </w:rPr>
        <w:t> </w:t>
      </w:r>
      <w:r>
        <w:rPr/>
        <w:t>hiding cover</w:t>
      </w:r>
      <w:r>
        <w:rPr>
          <w:spacing w:val="-6"/>
        </w:rPr>
        <w:t> </w:t>
      </w:r>
      <w:r>
        <w:rPr/>
        <w:t>(minimize</w:t>
      </w:r>
      <w:r>
        <w:rPr>
          <w:spacing w:val="-5"/>
        </w:rPr>
        <w:t> </w:t>
      </w:r>
      <w:r>
        <w:rPr/>
        <w:t>sight</w:t>
      </w:r>
      <w:r>
        <w:rPr>
          <w:spacing w:val="-5"/>
        </w:rPr>
        <w:t> </w:t>
      </w:r>
      <w:r>
        <w:rPr/>
        <w:t>distance)</w:t>
      </w:r>
      <w:r>
        <w:rPr>
          <w:spacing w:val="-6"/>
        </w:rPr>
        <w:t> </w:t>
      </w:r>
      <w:r>
        <w:rPr/>
        <w:t>along</w:t>
      </w:r>
      <w:r>
        <w:rPr>
          <w:spacing w:val="-7"/>
        </w:rPr>
        <w:t> </w:t>
      </w:r>
      <w:r>
        <w:rPr/>
        <w:t>open</w:t>
      </w:r>
      <w:r>
        <w:rPr>
          <w:spacing w:val="-8"/>
        </w:rPr>
        <w:t> </w:t>
      </w:r>
      <w:r>
        <w:rPr/>
        <w:t>roads</w:t>
      </w:r>
      <w:r>
        <w:rPr>
          <w:spacing w:val="-6"/>
        </w:rPr>
        <w:t> </w:t>
      </w:r>
      <w:r>
        <w:rPr/>
        <w:t>adjacent</w:t>
      </w:r>
      <w:r>
        <w:rPr>
          <w:spacing w:val="-5"/>
        </w:rPr>
        <w:t> </w:t>
      </w:r>
      <w:r>
        <w:rPr/>
        <w:t>to</w:t>
      </w:r>
      <w:r>
        <w:rPr>
          <w:spacing w:val="-5"/>
        </w:rPr>
        <w:t> </w:t>
      </w:r>
      <w:r>
        <w:rPr/>
        <w:t>created</w:t>
      </w:r>
      <w:r>
        <w:rPr>
          <w:spacing w:val="-8"/>
        </w:rPr>
        <w:t> </w:t>
      </w:r>
      <w:r>
        <w:rPr/>
        <w:t>openings.</w:t>
      </w:r>
      <w:r>
        <w:rPr>
          <w:spacing w:val="-8"/>
        </w:rPr>
        <w:t> </w:t>
      </w:r>
      <w:r>
        <w:rPr/>
        <w:t>To</w:t>
      </w:r>
      <w:r>
        <w:rPr>
          <w:spacing w:val="-5"/>
        </w:rPr>
        <w:t> </w:t>
      </w:r>
      <w:r>
        <w:rPr/>
        <w:t>the</w:t>
      </w:r>
      <w:r>
        <w:rPr>
          <w:spacing w:val="-8"/>
        </w:rPr>
        <w:t> </w:t>
      </w:r>
      <w:r>
        <w:rPr/>
        <w:t>extent feasible,</w:t>
      </w:r>
      <w:r>
        <w:rPr>
          <w:spacing w:val="-7"/>
        </w:rPr>
        <w:t> </w:t>
      </w:r>
      <w:r>
        <w:rPr/>
        <w:t>maintain</w:t>
      </w:r>
      <w:r>
        <w:rPr>
          <w:spacing w:val="-8"/>
        </w:rPr>
        <w:t> </w:t>
      </w:r>
      <w:r>
        <w:rPr/>
        <w:t>the</w:t>
      </w:r>
      <w:r>
        <w:rPr>
          <w:spacing w:val="-5"/>
        </w:rPr>
        <w:t> </w:t>
      </w:r>
      <w:r>
        <w:rPr/>
        <w:t>hiding</w:t>
      </w:r>
      <w:r>
        <w:rPr>
          <w:spacing w:val="-5"/>
        </w:rPr>
        <w:t> </w:t>
      </w:r>
      <w:r>
        <w:rPr/>
        <w:t>cover</w:t>
      </w:r>
      <w:r>
        <w:rPr>
          <w:spacing w:val="-7"/>
        </w:rPr>
        <w:t> </w:t>
      </w:r>
      <w:r>
        <w:rPr/>
        <w:t>value</w:t>
      </w:r>
      <w:r>
        <w:rPr>
          <w:spacing w:val="-7"/>
        </w:rPr>
        <w:t> </w:t>
      </w:r>
      <w:r>
        <w:rPr/>
        <w:t>of</w:t>
      </w:r>
      <w:r>
        <w:rPr>
          <w:spacing w:val="-5"/>
        </w:rPr>
        <w:t> </w:t>
      </w:r>
      <w:r>
        <w:rPr/>
        <w:t>these</w:t>
      </w:r>
      <w:r>
        <w:rPr>
          <w:spacing w:val="-7"/>
        </w:rPr>
        <w:t> </w:t>
      </w:r>
      <w:r>
        <w:rPr/>
        <w:t>vegetative</w:t>
      </w:r>
      <w:r>
        <w:rPr>
          <w:spacing w:val="-7"/>
        </w:rPr>
        <w:t> </w:t>
      </w:r>
      <w:r>
        <w:rPr/>
        <w:t>clumps</w:t>
      </w:r>
      <w:r>
        <w:rPr>
          <w:spacing w:val="-5"/>
        </w:rPr>
        <w:t> </w:t>
      </w:r>
      <w:r>
        <w:rPr/>
        <w:t>and</w:t>
      </w:r>
      <w:r>
        <w:rPr>
          <w:spacing w:val="-6"/>
        </w:rPr>
        <w:t> </w:t>
      </w:r>
      <w:r>
        <w:rPr/>
        <w:t>patches</w:t>
      </w:r>
      <w:r>
        <w:rPr>
          <w:spacing w:val="-7"/>
        </w:rPr>
        <w:t> </w:t>
      </w:r>
      <w:r>
        <w:rPr/>
        <w:t>during</w:t>
      </w:r>
      <w:r>
        <w:rPr>
          <w:spacing w:val="-6"/>
        </w:rPr>
        <w:t> </w:t>
      </w:r>
      <w:r>
        <w:rPr/>
        <w:t>post- harvest site preparation and fuels treatments.</w:t>
      </w:r>
    </w:p>
    <w:p>
      <w:pPr>
        <w:spacing w:before="234"/>
        <w:ind w:left="359" w:right="2220" w:firstLine="0"/>
        <w:jc w:val="left"/>
        <w:rPr>
          <w:rFonts w:ascii="Arial"/>
          <w:i/>
          <w:sz w:val="22"/>
        </w:rPr>
      </w:pPr>
      <w:bookmarkStart w:name="FW-GDL-WL-02. Proper Storage of Human Fo" w:id="305"/>
      <w:bookmarkEnd w:id="305"/>
      <w:r>
        <w:rPr/>
      </w:r>
      <w:r>
        <w:rPr>
          <w:rFonts w:ascii="Arial"/>
          <w:i/>
          <w:sz w:val="22"/>
        </w:rPr>
        <w:t>FW-GDL-WL-02.</w:t>
      </w:r>
      <w:r>
        <w:rPr>
          <w:rFonts w:ascii="Arial"/>
          <w:i/>
          <w:spacing w:val="-4"/>
          <w:sz w:val="22"/>
        </w:rPr>
        <w:t> </w:t>
      </w:r>
      <w:r>
        <w:rPr>
          <w:rFonts w:ascii="Arial"/>
          <w:i/>
          <w:sz w:val="22"/>
        </w:rPr>
        <w:t>Proper</w:t>
      </w:r>
      <w:r>
        <w:rPr>
          <w:rFonts w:ascii="Arial"/>
          <w:i/>
          <w:spacing w:val="-4"/>
          <w:sz w:val="22"/>
        </w:rPr>
        <w:t> </w:t>
      </w:r>
      <w:r>
        <w:rPr>
          <w:rFonts w:ascii="Arial"/>
          <w:i/>
          <w:sz w:val="22"/>
        </w:rPr>
        <w:t>Storage</w:t>
      </w:r>
      <w:r>
        <w:rPr>
          <w:rFonts w:ascii="Arial"/>
          <w:i/>
          <w:spacing w:val="-4"/>
          <w:sz w:val="22"/>
        </w:rPr>
        <w:t> </w:t>
      </w:r>
      <w:r>
        <w:rPr>
          <w:rFonts w:ascii="Arial"/>
          <w:i/>
          <w:sz w:val="22"/>
        </w:rPr>
        <w:t>of</w:t>
      </w:r>
      <w:r>
        <w:rPr>
          <w:rFonts w:ascii="Arial"/>
          <w:i/>
          <w:spacing w:val="-4"/>
          <w:sz w:val="22"/>
        </w:rPr>
        <w:t> </w:t>
      </w:r>
      <w:r>
        <w:rPr>
          <w:rFonts w:ascii="Arial"/>
          <w:i/>
          <w:sz w:val="22"/>
        </w:rPr>
        <w:t>Human</w:t>
      </w:r>
      <w:r>
        <w:rPr>
          <w:rFonts w:ascii="Arial"/>
          <w:i/>
          <w:spacing w:val="-5"/>
          <w:sz w:val="22"/>
        </w:rPr>
        <w:t> </w:t>
      </w:r>
      <w:r>
        <w:rPr>
          <w:rFonts w:ascii="Arial"/>
          <w:i/>
          <w:sz w:val="22"/>
        </w:rPr>
        <w:t>Food,</w:t>
      </w:r>
      <w:r>
        <w:rPr>
          <w:rFonts w:ascii="Arial"/>
          <w:i/>
          <w:spacing w:val="-4"/>
          <w:sz w:val="22"/>
        </w:rPr>
        <w:t> </w:t>
      </w:r>
      <w:r>
        <w:rPr>
          <w:rFonts w:ascii="Arial"/>
          <w:i/>
          <w:sz w:val="22"/>
        </w:rPr>
        <w:t>Garbage,</w:t>
      </w:r>
      <w:r>
        <w:rPr>
          <w:rFonts w:ascii="Arial"/>
          <w:i/>
          <w:spacing w:val="-4"/>
          <w:sz w:val="22"/>
        </w:rPr>
        <w:t> </w:t>
      </w:r>
      <w:r>
        <w:rPr>
          <w:rFonts w:ascii="Arial"/>
          <w:i/>
          <w:sz w:val="22"/>
        </w:rPr>
        <w:t>and</w:t>
      </w:r>
      <w:r>
        <w:rPr>
          <w:rFonts w:ascii="Arial"/>
          <w:i/>
          <w:spacing w:val="-5"/>
          <w:sz w:val="22"/>
        </w:rPr>
        <w:t> </w:t>
      </w:r>
      <w:r>
        <w:rPr>
          <w:rFonts w:ascii="Arial"/>
          <w:i/>
          <w:sz w:val="22"/>
        </w:rPr>
        <w:t>Other</w:t>
      </w:r>
      <w:r>
        <w:rPr>
          <w:rFonts w:ascii="Arial"/>
          <w:i/>
          <w:spacing w:val="-6"/>
          <w:sz w:val="22"/>
        </w:rPr>
        <w:t> </w:t>
      </w:r>
      <w:r>
        <w:rPr>
          <w:rFonts w:ascii="Arial"/>
          <w:i/>
          <w:sz w:val="22"/>
        </w:rPr>
        <w:t>Wildlife</w:t>
      </w:r>
      <w:r>
        <w:rPr>
          <w:rFonts w:ascii="Arial"/>
          <w:i/>
          <w:sz w:val="22"/>
        </w:rPr>
        <w:t> </w:t>
      </w:r>
      <w:r>
        <w:rPr>
          <w:rFonts w:ascii="Arial"/>
          <w:i/>
          <w:spacing w:val="-2"/>
          <w:sz w:val="22"/>
        </w:rPr>
        <w:t>Attractants</w:t>
      </w:r>
    </w:p>
    <w:p>
      <w:pPr>
        <w:pStyle w:val="BodyText"/>
        <w:spacing w:line="232" w:lineRule="auto" w:before="63"/>
        <w:ind w:left="359" w:right="1858"/>
        <w:jc w:val="both"/>
      </w:pPr>
      <w:r>
        <w:rPr/>
        <w:t>Agency</w:t>
      </w:r>
      <w:r>
        <w:rPr>
          <w:spacing w:val="-3"/>
        </w:rPr>
        <w:t> </w:t>
      </w:r>
      <w:r>
        <w:rPr/>
        <w:t>employees</w:t>
      </w:r>
      <w:r>
        <w:rPr>
          <w:spacing w:val="-6"/>
        </w:rPr>
        <w:t> </w:t>
      </w:r>
      <w:r>
        <w:rPr/>
        <w:t>and</w:t>
      </w:r>
      <w:r>
        <w:rPr>
          <w:spacing w:val="-5"/>
        </w:rPr>
        <w:t> </w:t>
      </w:r>
      <w:r>
        <w:rPr/>
        <w:t>the</w:t>
      </w:r>
      <w:r>
        <w:rPr>
          <w:spacing w:val="-8"/>
        </w:rPr>
        <w:t> </w:t>
      </w:r>
      <w:r>
        <w:rPr/>
        <w:t>public</w:t>
      </w:r>
      <w:r>
        <w:rPr>
          <w:spacing w:val="-4"/>
        </w:rPr>
        <w:t> </w:t>
      </w:r>
      <w:r>
        <w:rPr/>
        <w:t>should</w:t>
      </w:r>
      <w:r>
        <w:rPr>
          <w:spacing w:val="-5"/>
        </w:rPr>
        <w:t> </w:t>
      </w:r>
      <w:r>
        <w:rPr/>
        <w:t>be</w:t>
      </w:r>
      <w:r>
        <w:rPr>
          <w:spacing w:val="-3"/>
        </w:rPr>
        <w:t> </w:t>
      </w:r>
      <w:r>
        <w:rPr/>
        <w:t>informed</w:t>
      </w:r>
      <w:r>
        <w:rPr>
          <w:spacing w:val="-7"/>
        </w:rPr>
        <w:t> </w:t>
      </w:r>
      <w:r>
        <w:rPr/>
        <w:t>about</w:t>
      </w:r>
      <w:r>
        <w:rPr>
          <w:spacing w:val="-3"/>
        </w:rPr>
        <w:t> </w:t>
      </w:r>
      <w:r>
        <w:rPr/>
        <w:t>the</w:t>
      </w:r>
      <w:r>
        <w:rPr>
          <w:spacing w:val="-6"/>
        </w:rPr>
        <w:t> </w:t>
      </w:r>
      <w:r>
        <w:rPr/>
        <w:t>need</w:t>
      </w:r>
      <w:r>
        <w:rPr>
          <w:spacing w:val="-7"/>
        </w:rPr>
        <w:t> </w:t>
      </w:r>
      <w:r>
        <w:rPr/>
        <w:t>to</w:t>
      </w:r>
      <w:r>
        <w:rPr>
          <w:spacing w:val="-5"/>
        </w:rPr>
        <w:t> </w:t>
      </w:r>
      <w:r>
        <w:rPr/>
        <w:t>properly</w:t>
      </w:r>
      <w:r>
        <w:rPr>
          <w:spacing w:val="-5"/>
        </w:rPr>
        <w:t> </w:t>
      </w:r>
      <w:r>
        <w:rPr/>
        <w:t>store</w:t>
      </w:r>
      <w:r>
        <w:rPr>
          <w:spacing w:val="-3"/>
        </w:rPr>
        <w:t> </w:t>
      </w:r>
      <w:r>
        <w:rPr/>
        <w:t>food and other wildlife attractants.</w:t>
      </w:r>
    </w:p>
    <w:p>
      <w:pPr>
        <w:spacing w:before="235"/>
        <w:ind w:left="359" w:right="0" w:firstLine="0"/>
        <w:jc w:val="left"/>
        <w:rPr>
          <w:rFonts w:ascii="Arial"/>
          <w:i/>
          <w:sz w:val="22"/>
        </w:rPr>
      </w:pPr>
      <w:bookmarkStart w:name="FW-GDL-WL-03. Unique Habitats" w:id="306"/>
      <w:bookmarkEnd w:id="306"/>
      <w:r>
        <w:rPr/>
      </w:r>
      <w:r>
        <w:rPr>
          <w:rFonts w:ascii="Arial"/>
          <w:i/>
          <w:sz w:val="22"/>
        </w:rPr>
        <w:t>FW-GDL-WL-03.</w:t>
      </w:r>
      <w:r>
        <w:rPr>
          <w:rFonts w:ascii="Arial"/>
          <w:i/>
          <w:spacing w:val="-10"/>
          <w:sz w:val="22"/>
        </w:rPr>
        <w:t> </w:t>
      </w:r>
      <w:r>
        <w:rPr>
          <w:rFonts w:ascii="Arial"/>
          <w:i/>
          <w:sz w:val="22"/>
        </w:rPr>
        <w:t>Unique</w:t>
      </w:r>
      <w:r>
        <w:rPr>
          <w:rFonts w:ascii="Arial"/>
          <w:i/>
          <w:spacing w:val="-8"/>
          <w:sz w:val="22"/>
        </w:rPr>
        <w:t> </w:t>
      </w:r>
      <w:r>
        <w:rPr>
          <w:rFonts w:ascii="Arial"/>
          <w:i/>
          <w:spacing w:val="-2"/>
          <w:sz w:val="22"/>
        </w:rPr>
        <w:t>Habitats</w:t>
      </w:r>
    </w:p>
    <w:p>
      <w:pPr>
        <w:pStyle w:val="BodyText"/>
        <w:spacing w:line="232" w:lineRule="auto" w:before="64"/>
        <w:ind w:left="358" w:right="1445"/>
      </w:pPr>
      <w:r>
        <w:rPr/>
        <w:t>Unique habitats, such as cliffs (greater than 25 feet in height below 5,000 feet in elevation), caves (including mines), talus, ponds, marshes, wetlands, deciduous forest (including aspen stands</w:t>
      </w:r>
      <w:r>
        <w:rPr>
          <w:spacing w:val="-4"/>
        </w:rPr>
        <w:t> </w:t>
      </w:r>
      <w:r>
        <w:rPr/>
        <w:t>greater</w:t>
      </w:r>
      <w:r>
        <w:rPr>
          <w:spacing w:val="-4"/>
        </w:rPr>
        <w:t> </w:t>
      </w:r>
      <w:r>
        <w:rPr/>
        <w:t>than</w:t>
      </w:r>
      <w:r>
        <w:rPr>
          <w:spacing w:val="-7"/>
        </w:rPr>
        <w:t> </w:t>
      </w:r>
      <w:r>
        <w:rPr/>
        <w:t>1</w:t>
      </w:r>
      <w:r>
        <w:rPr>
          <w:spacing w:val="-3"/>
        </w:rPr>
        <w:t> </w:t>
      </w:r>
      <w:r>
        <w:rPr/>
        <w:t>acre</w:t>
      </w:r>
      <w:r>
        <w:rPr>
          <w:spacing w:val="-6"/>
        </w:rPr>
        <w:t> </w:t>
      </w:r>
      <w:r>
        <w:rPr/>
        <w:t>in</w:t>
      </w:r>
      <w:r>
        <w:rPr>
          <w:spacing w:val="-5"/>
        </w:rPr>
        <w:t> </w:t>
      </w:r>
      <w:r>
        <w:rPr/>
        <w:t>size),</w:t>
      </w:r>
      <w:r>
        <w:rPr>
          <w:spacing w:val="-4"/>
        </w:rPr>
        <w:t> </w:t>
      </w:r>
      <w:r>
        <w:rPr/>
        <w:t>natural</w:t>
      </w:r>
      <w:r>
        <w:rPr>
          <w:spacing w:val="-7"/>
        </w:rPr>
        <w:t> </w:t>
      </w:r>
      <w:r>
        <w:rPr/>
        <w:t>meadows</w:t>
      </w:r>
      <w:r>
        <w:rPr>
          <w:spacing w:val="-4"/>
        </w:rPr>
        <w:t> </w:t>
      </w:r>
      <w:r>
        <w:rPr/>
        <w:t>and</w:t>
      </w:r>
      <w:r>
        <w:rPr>
          <w:spacing w:val="-5"/>
        </w:rPr>
        <w:t> </w:t>
      </w:r>
      <w:r>
        <w:rPr/>
        <w:t>areas</w:t>
      </w:r>
      <w:r>
        <w:rPr>
          <w:spacing w:val="-6"/>
        </w:rPr>
        <w:t> </w:t>
      </w:r>
      <w:r>
        <w:rPr/>
        <w:t>of</w:t>
      </w:r>
      <w:r>
        <w:rPr>
          <w:spacing w:val="-4"/>
        </w:rPr>
        <w:t> </w:t>
      </w:r>
      <w:r>
        <w:rPr/>
        <w:t>colony</w:t>
      </w:r>
      <w:r>
        <w:rPr>
          <w:spacing w:val="-5"/>
        </w:rPr>
        <w:t> </w:t>
      </w:r>
      <w:r>
        <w:rPr/>
        <w:t>nesting</w:t>
      </w:r>
      <w:r>
        <w:rPr>
          <w:spacing w:val="-7"/>
        </w:rPr>
        <w:t> </w:t>
      </w:r>
      <w:r>
        <w:rPr/>
        <w:t>species</w:t>
      </w:r>
      <w:r>
        <w:rPr>
          <w:spacing w:val="-6"/>
        </w:rPr>
        <w:t> </w:t>
      </w:r>
      <w:r>
        <w:rPr/>
        <w:t>should be maintained or protected from activities that result in habitat loss or disturbance.</w:t>
      </w:r>
    </w:p>
    <w:p>
      <w:pPr>
        <w:spacing w:before="235"/>
        <w:ind w:left="358" w:right="0" w:firstLine="0"/>
        <w:jc w:val="left"/>
        <w:rPr>
          <w:rFonts w:ascii="Arial"/>
          <w:i/>
          <w:sz w:val="22"/>
        </w:rPr>
      </w:pPr>
      <w:bookmarkStart w:name="FW-GDL-WL-04. Federally Listed Species" w:id="307"/>
      <w:bookmarkEnd w:id="307"/>
      <w:r>
        <w:rPr/>
      </w:r>
      <w:r>
        <w:rPr>
          <w:rFonts w:ascii="Arial"/>
          <w:i/>
          <w:sz w:val="22"/>
        </w:rPr>
        <w:t>FW-GDL-WL-04.</w:t>
      </w:r>
      <w:r>
        <w:rPr>
          <w:rFonts w:ascii="Arial"/>
          <w:i/>
          <w:spacing w:val="-10"/>
          <w:sz w:val="22"/>
        </w:rPr>
        <w:t> </w:t>
      </w:r>
      <w:r>
        <w:rPr>
          <w:rFonts w:ascii="Arial"/>
          <w:i/>
          <w:sz w:val="22"/>
        </w:rPr>
        <w:t>Federally</w:t>
      </w:r>
      <w:r>
        <w:rPr>
          <w:rFonts w:ascii="Arial"/>
          <w:i/>
          <w:spacing w:val="-8"/>
          <w:sz w:val="22"/>
        </w:rPr>
        <w:t> </w:t>
      </w:r>
      <w:r>
        <w:rPr>
          <w:rFonts w:ascii="Arial"/>
          <w:i/>
          <w:sz w:val="22"/>
        </w:rPr>
        <w:t>Listed</w:t>
      </w:r>
      <w:r>
        <w:rPr>
          <w:rFonts w:ascii="Arial"/>
          <w:i/>
          <w:spacing w:val="-8"/>
          <w:sz w:val="22"/>
        </w:rPr>
        <w:t> </w:t>
      </w:r>
      <w:r>
        <w:rPr>
          <w:rFonts w:ascii="Arial"/>
          <w:i/>
          <w:spacing w:val="-2"/>
          <w:sz w:val="22"/>
        </w:rPr>
        <w:t>Species</w:t>
      </w:r>
    </w:p>
    <w:p>
      <w:pPr>
        <w:pStyle w:val="BodyText"/>
        <w:spacing w:line="232" w:lineRule="auto" w:before="64"/>
        <w:ind w:left="358" w:right="1445"/>
      </w:pPr>
      <w:r>
        <w:rPr/>
        <w:t>Habitat for federally listed wildlife species within designated recovery areas that occur on National</w:t>
      </w:r>
      <w:r>
        <w:rPr>
          <w:spacing w:val="-5"/>
        </w:rPr>
        <w:t> </w:t>
      </w:r>
      <w:r>
        <w:rPr/>
        <w:t>Forest</w:t>
      </w:r>
      <w:r>
        <w:rPr>
          <w:spacing w:val="-5"/>
        </w:rPr>
        <w:t> </w:t>
      </w:r>
      <w:r>
        <w:rPr/>
        <w:t>System</w:t>
      </w:r>
      <w:r>
        <w:rPr>
          <w:spacing w:val="-5"/>
        </w:rPr>
        <w:t> </w:t>
      </w:r>
      <w:r>
        <w:rPr/>
        <w:t>lands</w:t>
      </w:r>
      <w:r>
        <w:rPr>
          <w:spacing w:val="-5"/>
        </w:rPr>
        <w:t> </w:t>
      </w:r>
      <w:r>
        <w:rPr/>
        <w:t>should</w:t>
      </w:r>
      <w:r>
        <w:rPr>
          <w:spacing w:val="-6"/>
        </w:rPr>
        <w:t> </w:t>
      </w:r>
      <w:r>
        <w:rPr/>
        <w:t>be</w:t>
      </w:r>
      <w:r>
        <w:rPr>
          <w:spacing w:val="-7"/>
        </w:rPr>
        <w:t> </w:t>
      </w:r>
      <w:r>
        <w:rPr/>
        <w:t>retained</w:t>
      </w:r>
      <w:r>
        <w:rPr>
          <w:spacing w:val="-6"/>
        </w:rPr>
        <w:t> </w:t>
      </w:r>
      <w:r>
        <w:rPr/>
        <w:t>in</w:t>
      </w:r>
      <w:r>
        <w:rPr>
          <w:spacing w:val="-6"/>
        </w:rPr>
        <w:t> </w:t>
      </w:r>
      <w:r>
        <w:rPr/>
        <w:t>public</w:t>
      </w:r>
      <w:r>
        <w:rPr>
          <w:spacing w:val="-5"/>
        </w:rPr>
        <w:t> </w:t>
      </w:r>
      <w:r>
        <w:rPr/>
        <w:t>ownership</w:t>
      </w:r>
      <w:r>
        <w:rPr>
          <w:spacing w:val="-6"/>
        </w:rPr>
        <w:t> </w:t>
      </w:r>
      <w:r>
        <w:rPr/>
        <w:t>and</w:t>
      </w:r>
      <w:r>
        <w:rPr>
          <w:spacing w:val="-6"/>
        </w:rPr>
        <w:t> </w:t>
      </w:r>
      <w:r>
        <w:rPr/>
        <w:t>managed</w:t>
      </w:r>
      <w:r>
        <w:rPr>
          <w:spacing w:val="-6"/>
        </w:rPr>
        <w:t> </w:t>
      </w:r>
      <w:r>
        <w:rPr/>
        <w:t>to</w:t>
      </w:r>
      <w:r>
        <w:rPr>
          <w:spacing w:val="-5"/>
        </w:rPr>
        <w:t> </w:t>
      </w:r>
      <w:r>
        <w:rPr/>
        <w:t>support </w:t>
      </w:r>
      <w:r>
        <w:rPr>
          <w:spacing w:val="-2"/>
        </w:rPr>
        <w:t>recovery.</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1073" w:firstLine="0"/>
        <w:jc w:val="left"/>
        <w:rPr>
          <w:rFonts w:ascii="Arial" w:hAnsi="Arial"/>
          <w:i/>
          <w:sz w:val="22"/>
        </w:rPr>
      </w:pPr>
      <w:bookmarkStart w:name="FW-GDL-WL-05. Canada Lynx – Vegetation M" w:id="308"/>
      <w:bookmarkEnd w:id="308"/>
      <w:r>
        <w:rPr/>
      </w:r>
      <w:r>
        <w:rPr>
          <w:rFonts w:ascii="Arial" w:hAnsi="Arial"/>
          <w:i/>
          <w:sz w:val="22"/>
        </w:rPr>
        <w:t>FW-GDL-WL-05.</w:t>
      </w:r>
      <w:r>
        <w:rPr>
          <w:rFonts w:ascii="Arial" w:hAnsi="Arial"/>
          <w:i/>
          <w:spacing w:val="-5"/>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6"/>
          <w:sz w:val="22"/>
        </w:rPr>
        <w:t> </w:t>
      </w:r>
      <w:r>
        <w:rPr>
          <w:rFonts w:ascii="Arial" w:hAnsi="Arial"/>
          <w:i/>
          <w:sz w:val="22"/>
        </w:rPr>
        <w:t>Vegetation</w:t>
      </w:r>
      <w:r>
        <w:rPr>
          <w:rFonts w:ascii="Arial" w:hAnsi="Arial"/>
          <w:i/>
          <w:spacing w:val="-4"/>
          <w:sz w:val="22"/>
        </w:rPr>
        <w:t> </w:t>
      </w:r>
      <w:r>
        <w:rPr>
          <w:rFonts w:ascii="Arial" w:hAnsi="Arial"/>
          <w:i/>
          <w:sz w:val="22"/>
        </w:rPr>
        <w:t>Management</w:t>
      </w:r>
      <w:r>
        <w:rPr>
          <w:rFonts w:ascii="Arial" w:hAnsi="Arial"/>
          <w:i/>
          <w:spacing w:val="-7"/>
          <w:sz w:val="22"/>
        </w:rPr>
        <w:t> </w:t>
      </w:r>
      <w:r>
        <w:rPr>
          <w:rFonts w:ascii="Arial" w:hAnsi="Arial"/>
          <w:i/>
          <w:sz w:val="22"/>
        </w:rPr>
        <w:t>within</w:t>
      </w:r>
      <w:r>
        <w:rPr>
          <w:rFonts w:ascii="Arial" w:hAnsi="Arial"/>
          <w:i/>
          <w:spacing w:val="-4"/>
          <w:sz w:val="22"/>
        </w:rPr>
        <w:t> </w:t>
      </w:r>
      <w:r>
        <w:rPr>
          <w:rFonts w:ascii="Arial" w:hAnsi="Arial"/>
          <w:i/>
          <w:sz w:val="22"/>
        </w:rPr>
        <w:t>the</w:t>
      </w:r>
      <w:r>
        <w:rPr>
          <w:rFonts w:ascii="Arial" w:hAnsi="Arial"/>
          <w:i/>
          <w:spacing w:val="-6"/>
          <w:sz w:val="22"/>
        </w:rPr>
        <w:t> </w:t>
      </w:r>
      <w:r>
        <w:rPr>
          <w:rFonts w:ascii="Arial" w:hAnsi="Arial"/>
          <w:i/>
          <w:sz w:val="22"/>
        </w:rPr>
        <w:t>Kettle-Wedge</w:t>
      </w:r>
      <w:r>
        <w:rPr>
          <w:rFonts w:ascii="Arial" w:hAnsi="Arial"/>
          <w:i/>
          <w:sz w:val="22"/>
        </w:rPr>
        <w:t> Core Area</w:t>
      </w:r>
    </w:p>
    <w:p>
      <w:pPr>
        <w:pStyle w:val="BodyText"/>
        <w:spacing w:line="232" w:lineRule="auto" w:before="66"/>
        <w:ind w:left="1151" w:right="1073"/>
      </w:pPr>
      <w:r>
        <w:rPr/>
        <w:t>Vegetation management activities in lynx analysis units should be focused in areas of poor snowshoe</w:t>
      </w:r>
      <w:r>
        <w:rPr>
          <w:spacing w:val="-9"/>
        </w:rPr>
        <w:t> </w:t>
      </w:r>
      <w:r>
        <w:rPr/>
        <w:t>hare</w:t>
      </w:r>
      <w:r>
        <w:rPr>
          <w:spacing w:val="-6"/>
        </w:rPr>
        <w:t> </w:t>
      </w:r>
      <w:r>
        <w:rPr/>
        <w:t>habitat</w:t>
      </w:r>
      <w:r>
        <w:rPr>
          <w:spacing w:val="-6"/>
        </w:rPr>
        <w:t> </w:t>
      </w:r>
      <w:r>
        <w:rPr/>
        <w:t>(poorly</w:t>
      </w:r>
      <w:r>
        <w:rPr>
          <w:spacing w:val="-6"/>
        </w:rPr>
        <w:t> </w:t>
      </w:r>
      <w:r>
        <w:rPr/>
        <w:t>developed</w:t>
      </w:r>
      <w:r>
        <w:rPr>
          <w:spacing w:val="-8"/>
        </w:rPr>
        <w:t> </w:t>
      </w:r>
      <w:r>
        <w:rPr/>
        <w:t>understories</w:t>
      </w:r>
      <w:r>
        <w:rPr>
          <w:spacing w:val="-7"/>
        </w:rPr>
        <w:t> </w:t>
      </w:r>
      <w:r>
        <w:rPr/>
        <w:t>that</w:t>
      </w:r>
      <w:r>
        <w:rPr>
          <w:spacing w:val="-6"/>
        </w:rPr>
        <w:t> </w:t>
      </w:r>
      <w:r>
        <w:rPr/>
        <w:t>lack</w:t>
      </w:r>
      <w:r>
        <w:rPr>
          <w:spacing w:val="-6"/>
        </w:rPr>
        <w:t> </w:t>
      </w:r>
      <w:r>
        <w:rPr/>
        <w:t>horizontal</w:t>
      </w:r>
      <w:r>
        <w:rPr>
          <w:spacing w:val="-7"/>
        </w:rPr>
        <w:t> </w:t>
      </w:r>
      <w:r>
        <w:rPr/>
        <w:t>cover</w:t>
      </w:r>
      <w:r>
        <w:rPr>
          <w:spacing w:val="-12"/>
        </w:rPr>
        <w:t> </w:t>
      </w:r>
      <w:r>
        <w:rPr/>
        <w:t>between</w:t>
      </w:r>
      <w:r>
        <w:rPr>
          <w:spacing w:val="-9"/>
        </w:rPr>
        <w:t> </w:t>
      </w:r>
      <w:r>
        <w:rPr/>
        <w:t>3 and 10 feet from the ground) to recruit understories that support dense, horizontal cover.</w:t>
      </w:r>
    </w:p>
    <w:p>
      <w:pPr>
        <w:spacing w:before="233"/>
        <w:ind w:left="1151" w:right="0" w:firstLine="0"/>
        <w:jc w:val="left"/>
        <w:rPr>
          <w:rFonts w:ascii="Arial" w:hAnsi="Arial"/>
          <w:i/>
          <w:sz w:val="22"/>
        </w:rPr>
      </w:pPr>
      <w:bookmarkStart w:name="FW-GDL-WL-06. Canada Lynx – Alternative " w:id="309"/>
      <w:bookmarkEnd w:id="309"/>
      <w:r>
        <w:rPr/>
      </w:r>
      <w:r>
        <w:rPr>
          <w:rFonts w:ascii="Arial" w:hAnsi="Arial"/>
          <w:i/>
          <w:sz w:val="22"/>
        </w:rPr>
        <w:t>FW-GDL-WL-06.</w:t>
      </w:r>
      <w:r>
        <w:rPr>
          <w:rFonts w:ascii="Arial" w:hAnsi="Arial"/>
          <w:i/>
          <w:spacing w:val="-7"/>
          <w:sz w:val="22"/>
        </w:rPr>
        <w:t> </w:t>
      </w:r>
      <w:r>
        <w:rPr>
          <w:rFonts w:ascii="Arial" w:hAnsi="Arial"/>
          <w:i/>
          <w:sz w:val="22"/>
        </w:rPr>
        <w:t>Canada</w:t>
      </w:r>
      <w:r>
        <w:rPr>
          <w:rFonts w:ascii="Arial" w:hAnsi="Arial"/>
          <w:i/>
          <w:spacing w:val="-5"/>
          <w:sz w:val="22"/>
        </w:rPr>
        <w:t> </w:t>
      </w:r>
      <w:r>
        <w:rPr>
          <w:rFonts w:ascii="Arial" w:hAnsi="Arial"/>
          <w:i/>
          <w:sz w:val="22"/>
        </w:rPr>
        <w:t>Lynx</w:t>
      </w:r>
      <w:r>
        <w:rPr>
          <w:rFonts w:ascii="Arial" w:hAnsi="Arial"/>
          <w:i/>
          <w:spacing w:val="-4"/>
          <w:sz w:val="22"/>
        </w:rPr>
        <w:t> </w:t>
      </w:r>
      <w:r>
        <w:rPr>
          <w:rFonts w:ascii="Arial" w:hAnsi="Arial"/>
          <w:i/>
          <w:sz w:val="22"/>
        </w:rPr>
        <w:t>–</w:t>
      </w:r>
      <w:r>
        <w:rPr>
          <w:rFonts w:ascii="Arial" w:hAnsi="Arial"/>
          <w:i/>
          <w:spacing w:val="-7"/>
          <w:sz w:val="22"/>
        </w:rPr>
        <w:t> </w:t>
      </w:r>
      <w:r>
        <w:rPr>
          <w:rFonts w:ascii="Arial" w:hAnsi="Arial"/>
          <w:i/>
          <w:sz w:val="22"/>
        </w:rPr>
        <w:t>Alternative</w:t>
      </w:r>
      <w:r>
        <w:rPr>
          <w:rFonts w:ascii="Arial" w:hAnsi="Arial"/>
          <w:i/>
          <w:spacing w:val="-5"/>
          <w:sz w:val="22"/>
        </w:rPr>
        <w:t> </w:t>
      </w:r>
      <w:r>
        <w:rPr>
          <w:rFonts w:ascii="Arial" w:hAnsi="Arial"/>
          <w:i/>
          <w:sz w:val="22"/>
        </w:rPr>
        <w:t>Prey</w:t>
      </w:r>
      <w:r>
        <w:rPr>
          <w:rFonts w:ascii="Arial" w:hAnsi="Arial"/>
          <w:i/>
          <w:spacing w:val="-7"/>
          <w:sz w:val="22"/>
        </w:rPr>
        <w:t> </w:t>
      </w:r>
      <w:r>
        <w:rPr>
          <w:rFonts w:ascii="Arial" w:hAnsi="Arial"/>
          <w:i/>
          <w:sz w:val="22"/>
        </w:rPr>
        <w:t>within</w:t>
      </w:r>
      <w:r>
        <w:rPr>
          <w:rFonts w:ascii="Arial" w:hAnsi="Arial"/>
          <w:i/>
          <w:spacing w:val="-5"/>
          <w:sz w:val="22"/>
        </w:rPr>
        <w:t> </w:t>
      </w:r>
      <w:r>
        <w:rPr>
          <w:rFonts w:ascii="Arial" w:hAnsi="Arial"/>
          <w:i/>
          <w:sz w:val="22"/>
        </w:rPr>
        <w:t>the</w:t>
      </w:r>
      <w:r>
        <w:rPr>
          <w:rFonts w:ascii="Arial" w:hAnsi="Arial"/>
          <w:i/>
          <w:spacing w:val="-7"/>
          <w:sz w:val="22"/>
        </w:rPr>
        <w:t> </w:t>
      </w:r>
      <w:r>
        <w:rPr>
          <w:rFonts w:ascii="Arial" w:hAnsi="Arial"/>
          <w:i/>
          <w:sz w:val="22"/>
        </w:rPr>
        <w:t>Kettle-Wedge</w:t>
      </w:r>
      <w:r>
        <w:rPr>
          <w:rFonts w:ascii="Arial" w:hAnsi="Arial"/>
          <w:i/>
          <w:spacing w:val="-9"/>
          <w:sz w:val="22"/>
        </w:rPr>
        <w:t> </w:t>
      </w:r>
      <w:r>
        <w:rPr>
          <w:rFonts w:ascii="Arial" w:hAnsi="Arial"/>
          <w:i/>
          <w:sz w:val="22"/>
        </w:rPr>
        <w:t>Core</w:t>
      </w:r>
      <w:r>
        <w:rPr>
          <w:rFonts w:ascii="Arial" w:hAnsi="Arial"/>
          <w:i/>
          <w:spacing w:val="-5"/>
          <w:sz w:val="22"/>
        </w:rPr>
        <w:t> </w:t>
      </w:r>
      <w:r>
        <w:rPr>
          <w:rFonts w:ascii="Arial" w:hAnsi="Arial"/>
          <w:i/>
          <w:spacing w:val="-4"/>
          <w:sz w:val="22"/>
        </w:rPr>
        <w:t>Area</w:t>
      </w:r>
    </w:p>
    <w:p>
      <w:pPr>
        <w:pStyle w:val="BodyText"/>
        <w:spacing w:line="232" w:lineRule="auto" w:before="65"/>
        <w:ind w:left="1151" w:right="742"/>
      </w:pPr>
      <w:r>
        <w:rPr/>
        <w:t>Habitat for alternate prey species, primarily red squirrel, should be available in each lynx analysis</w:t>
      </w:r>
      <w:r>
        <w:rPr>
          <w:spacing w:val="-4"/>
        </w:rPr>
        <w:t> </w:t>
      </w:r>
      <w:r>
        <w:rPr/>
        <w:t>unit</w:t>
      </w:r>
      <w:r>
        <w:rPr>
          <w:spacing w:val="-3"/>
        </w:rPr>
        <w:t> </w:t>
      </w:r>
      <w:r>
        <w:rPr/>
        <w:t>by</w:t>
      </w:r>
      <w:r>
        <w:rPr>
          <w:spacing w:val="-3"/>
        </w:rPr>
        <w:t> </w:t>
      </w:r>
      <w:r>
        <w:rPr/>
        <w:t>providing</w:t>
      </w:r>
      <w:r>
        <w:rPr>
          <w:spacing w:val="-5"/>
        </w:rPr>
        <w:t> </w:t>
      </w:r>
      <w:r>
        <w:rPr/>
        <w:t>cone-bearing</w:t>
      </w:r>
      <w:r>
        <w:rPr>
          <w:spacing w:val="-5"/>
        </w:rPr>
        <w:t> </w:t>
      </w:r>
      <w:r>
        <w:rPr/>
        <w:t>late,</w:t>
      </w:r>
      <w:r>
        <w:rPr>
          <w:spacing w:val="-4"/>
        </w:rPr>
        <w:t> </w:t>
      </w:r>
      <w:r>
        <w:rPr/>
        <w:t>closed</w:t>
      </w:r>
      <w:r>
        <w:rPr>
          <w:spacing w:val="-6"/>
        </w:rPr>
        <w:t> </w:t>
      </w:r>
      <w:r>
        <w:rPr/>
        <w:t>structure</w:t>
      </w:r>
      <w:r>
        <w:rPr>
          <w:spacing w:val="-3"/>
        </w:rPr>
        <w:t> </w:t>
      </w:r>
      <w:r>
        <w:rPr/>
        <w:t>conifer</w:t>
      </w:r>
      <w:r>
        <w:rPr>
          <w:spacing w:val="-6"/>
        </w:rPr>
        <w:t> </w:t>
      </w:r>
      <w:r>
        <w:rPr/>
        <w:t>forests</w:t>
      </w:r>
      <w:r>
        <w:rPr>
          <w:spacing w:val="-6"/>
        </w:rPr>
        <w:t> </w:t>
      </w:r>
      <w:r>
        <w:rPr/>
        <w:t>with</w:t>
      </w:r>
      <w:r>
        <w:rPr>
          <w:spacing w:val="-8"/>
        </w:rPr>
        <w:t> </w:t>
      </w:r>
      <w:r>
        <w:rPr/>
        <w:t>coarse</w:t>
      </w:r>
      <w:r>
        <w:rPr>
          <w:spacing w:val="-3"/>
        </w:rPr>
        <w:t> </w:t>
      </w:r>
      <w:r>
        <w:rPr/>
        <w:t>woody debris</w:t>
      </w:r>
      <w:r>
        <w:rPr>
          <w:spacing w:val="-6"/>
        </w:rPr>
        <w:t> </w:t>
      </w:r>
      <w:r>
        <w:rPr/>
        <w:t>consistent</w:t>
      </w:r>
      <w:r>
        <w:rPr>
          <w:spacing w:val="-8"/>
        </w:rPr>
        <w:t> </w:t>
      </w:r>
      <w:r>
        <w:rPr/>
        <w:t>with</w:t>
      </w:r>
      <w:r>
        <w:rPr>
          <w:spacing w:val="-6"/>
        </w:rPr>
        <w:t> </w:t>
      </w:r>
      <w:r>
        <w:rPr/>
        <w:t>desired</w:t>
      </w:r>
      <w:r>
        <w:rPr>
          <w:spacing w:val="-6"/>
        </w:rPr>
        <w:t> </w:t>
      </w:r>
      <w:r>
        <w:rPr/>
        <w:t>conditions</w:t>
      </w:r>
      <w:r>
        <w:rPr>
          <w:spacing w:val="-6"/>
        </w:rPr>
        <w:t> </w:t>
      </w:r>
      <w:r>
        <w:rPr/>
        <w:t>for</w:t>
      </w:r>
      <w:r>
        <w:rPr>
          <w:spacing w:val="-6"/>
        </w:rPr>
        <w:t> </w:t>
      </w:r>
      <w:r>
        <w:rPr/>
        <w:t>structure</w:t>
      </w:r>
      <w:r>
        <w:rPr>
          <w:spacing w:val="-8"/>
        </w:rPr>
        <w:t> </w:t>
      </w:r>
      <w:r>
        <w:rPr/>
        <w:t>(FW-DC-VEG-03),</w:t>
      </w:r>
      <w:r>
        <w:rPr>
          <w:spacing w:val="-6"/>
        </w:rPr>
        <w:t> </w:t>
      </w:r>
      <w:r>
        <w:rPr/>
        <w:t>and</w:t>
      </w:r>
      <w:r>
        <w:rPr>
          <w:spacing w:val="-7"/>
        </w:rPr>
        <w:t> </w:t>
      </w:r>
      <w:r>
        <w:rPr/>
        <w:t>snags</w:t>
      </w:r>
      <w:r>
        <w:rPr>
          <w:spacing w:val="-8"/>
        </w:rPr>
        <w:t> </w:t>
      </w:r>
      <w:r>
        <w:rPr/>
        <w:t>and</w:t>
      </w:r>
      <w:r>
        <w:rPr>
          <w:spacing w:val="-7"/>
        </w:rPr>
        <w:t> </w:t>
      </w:r>
      <w:r>
        <w:rPr/>
        <w:t>downed wood (FW-DC-VEG-04).</w:t>
      </w:r>
    </w:p>
    <w:p>
      <w:pPr>
        <w:spacing w:before="234"/>
        <w:ind w:left="1150" w:right="1192" w:firstLine="0"/>
        <w:jc w:val="left"/>
        <w:rPr>
          <w:rFonts w:ascii="Arial" w:hAnsi="Arial"/>
          <w:i/>
          <w:sz w:val="22"/>
        </w:rPr>
      </w:pPr>
      <w:bookmarkStart w:name="FW-GDL-WL-07. Canada Lynx – Recreation a" w:id="310"/>
      <w:bookmarkEnd w:id="310"/>
      <w:r>
        <w:rPr/>
      </w:r>
      <w:r>
        <w:rPr>
          <w:rFonts w:ascii="Arial" w:hAnsi="Arial"/>
          <w:i/>
          <w:sz w:val="22"/>
        </w:rPr>
        <w:t>FW-GDL-WL-07.</w:t>
      </w:r>
      <w:r>
        <w:rPr>
          <w:rFonts w:ascii="Arial" w:hAnsi="Arial"/>
          <w:i/>
          <w:spacing w:val="-4"/>
          <w:sz w:val="22"/>
        </w:rPr>
        <w:t> </w:t>
      </w:r>
      <w:r>
        <w:rPr>
          <w:rFonts w:ascii="Arial" w:hAnsi="Arial"/>
          <w:i/>
          <w:sz w:val="22"/>
        </w:rPr>
        <w:t>Canada</w:t>
      </w:r>
      <w:r>
        <w:rPr>
          <w:rFonts w:ascii="Arial" w:hAnsi="Arial"/>
          <w:i/>
          <w:spacing w:val="-3"/>
          <w:sz w:val="22"/>
        </w:rPr>
        <w:t> </w:t>
      </w:r>
      <w:r>
        <w:rPr>
          <w:rFonts w:ascii="Arial" w:hAnsi="Arial"/>
          <w:i/>
          <w:sz w:val="22"/>
        </w:rPr>
        <w:t>Lynx</w:t>
      </w:r>
      <w:r>
        <w:rPr>
          <w:rFonts w:ascii="Arial" w:hAnsi="Arial"/>
          <w:i/>
          <w:spacing w:val="-2"/>
          <w:sz w:val="22"/>
        </w:rPr>
        <w:t> </w:t>
      </w:r>
      <w:r>
        <w:rPr>
          <w:rFonts w:ascii="Arial" w:hAnsi="Arial"/>
          <w:i/>
          <w:sz w:val="22"/>
        </w:rPr>
        <w:t>–</w:t>
      </w:r>
      <w:r>
        <w:rPr>
          <w:rFonts w:ascii="Arial" w:hAnsi="Arial"/>
          <w:i/>
          <w:spacing w:val="-5"/>
          <w:sz w:val="22"/>
        </w:rPr>
        <w:t> </w:t>
      </w:r>
      <w:r>
        <w:rPr>
          <w:rFonts w:ascii="Arial" w:hAnsi="Arial"/>
          <w:i/>
          <w:sz w:val="22"/>
        </w:rPr>
        <w:t>Recreation</w:t>
      </w:r>
      <w:r>
        <w:rPr>
          <w:rFonts w:ascii="Arial" w:hAnsi="Arial"/>
          <w:i/>
          <w:spacing w:val="-3"/>
          <w:sz w:val="22"/>
        </w:rPr>
        <w:t> </w:t>
      </w:r>
      <w:r>
        <w:rPr>
          <w:rFonts w:ascii="Arial" w:hAnsi="Arial"/>
          <w:i/>
          <w:sz w:val="22"/>
        </w:rPr>
        <w:t>and</w:t>
      </w:r>
      <w:r>
        <w:rPr>
          <w:rFonts w:ascii="Arial" w:hAnsi="Arial"/>
          <w:i/>
          <w:spacing w:val="-7"/>
          <w:sz w:val="22"/>
        </w:rPr>
        <w:t> </w:t>
      </w:r>
      <w:r>
        <w:rPr>
          <w:rFonts w:ascii="Arial" w:hAnsi="Arial"/>
          <w:i/>
          <w:sz w:val="22"/>
        </w:rPr>
        <w:t>Administrative</w:t>
      </w:r>
      <w:r>
        <w:rPr>
          <w:rFonts w:ascii="Arial" w:hAnsi="Arial"/>
          <w:i/>
          <w:spacing w:val="-5"/>
          <w:sz w:val="22"/>
        </w:rPr>
        <w:t> </w:t>
      </w:r>
      <w:r>
        <w:rPr>
          <w:rFonts w:ascii="Arial" w:hAnsi="Arial"/>
          <w:i/>
          <w:sz w:val="22"/>
        </w:rPr>
        <w:t>Facilities</w:t>
      </w:r>
      <w:r>
        <w:rPr>
          <w:rFonts w:ascii="Arial" w:hAnsi="Arial"/>
          <w:i/>
          <w:spacing w:val="-5"/>
          <w:sz w:val="22"/>
        </w:rPr>
        <w:t> </w:t>
      </w:r>
      <w:r>
        <w:rPr>
          <w:rFonts w:ascii="Arial" w:hAnsi="Arial"/>
          <w:i/>
          <w:sz w:val="22"/>
        </w:rPr>
        <w:t>within</w:t>
      </w:r>
      <w:r>
        <w:rPr>
          <w:rFonts w:ascii="Arial" w:hAnsi="Arial"/>
          <w:i/>
          <w:spacing w:val="-5"/>
          <w:sz w:val="22"/>
        </w:rPr>
        <w:t> </w:t>
      </w:r>
      <w:r>
        <w:rPr>
          <w:rFonts w:ascii="Arial" w:hAnsi="Arial"/>
          <w:i/>
          <w:sz w:val="22"/>
        </w:rPr>
        <w:t>the</w:t>
      </w:r>
      <w:r>
        <w:rPr>
          <w:rFonts w:ascii="Arial" w:hAnsi="Arial"/>
          <w:i/>
          <w:sz w:val="22"/>
        </w:rPr>
        <w:t> Kettle-Wedge Core Area</w:t>
      </w:r>
    </w:p>
    <w:p>
      <w:pPr>
        <w:pStyle w:val="BodyText"/>
        <w:spacing w:line="232" w:lineRule="auto" w:before="64"/>
        <w:ind w:left="1150" w:right="742"/>
      </w:pPr>
      <w:r>
        <w:rPr/>
        <w:t>Expansion or new construction of recreation and administrative facilities within a lynx analysis unit</w:t>
      </w:r>
      <w:r>
        <w:rPr>
          <w:spacing w:val="-4"/>
        </w:rPr>
        <w:t> </w:t>
      </w:r>
      <w:r>
        <w:rPr/>
        <w:t>should</w:t>
      </w:r>
      <w:r>
        <w:rPr>
          <w:spacing w:val="-6"/>
        </w:rPr>
        <w:t> </w:t>
      </w:r>
      <w:r>
        <w:rPr/>
        <w:t>be</w:t>
      </w:r>
      <w:r>
        <w:rPr>
          <w:spacing w:val="-4"/>
        </w:rPr>
        <w:t> </w:t>
      </w:r>
      <w:r>
        <w:rPr/>
        <w:t>located</w:t>
      </w:r>
      <w:r>
        <w:rPr>
          <w:spacing w:val="-7"/>
        </w:rPr>
        <w:t> </w:t>
      </w:r>
      <w:r>
        <w:rPr/>
        <w:t>in</w:t>
      </w:r>
      <w:r>
        <w:rPr>
          <w:spacing w:val="-6"/>
        </w:rPr>
        <w:t> </w:t>
      </w:r>
      <w:r>
        <w:rPr/>
        <w:t>or</w:t>
      </w:r>
      <w:r>
        <w:rPr>
          <w:spacing w:val="-6"/>
        </w:rPr>
        <w:t> </w:t>
      </w:r>
      <w:r>
        <w:rPr/>
        <w:t>adjacent</w:t>
      </w:r>
      <w:r>
        <w:rPr>
          <w:spacing w:val="-4"/>
        </w:rPr>
        <w:t> </w:t>
      </w:r>
      <w:r>
        <w:rPr/>
        <w:t>to</w:t>
      </w:r>
      <w:r>
        <w:rPr>
          <w:spacing w:val="-6"/>
        </w:rPr>
        <w:t> </w:t>
      </w:r>
      <w:r>
        <w:rPr/>
        <w:t>existing</w:t>
      </w:r>
      <w:r>
        <w:rPr>
          <w:spacing w:val="-6"/>
        </w:rPr>
        <w:t> </w:t>
      </w:r>
      <w:r>
        <w:rPr/>
        <w:t>areas</w:t>
      </w:r>
      <w:r>
        <w:rPr>
          <w:spacing w:val="-6"/>
        </w:rPr>
        <w:t> </w:t>
      </w:r>
      <w:r>
        <w:rPr/>
        <w:t>of</w:t>
      </w:r>
      <w:r>
        <w:rPr>
          <w:spacing w:val="-5"/>
        </w:rPr>
        <w:t> </w:t>
      </w:r>
      <w:r>
        <w:rPr/>
        <w:t>development,</w:t>
      </w:r>
      <w:r>
        <w:rPr>
          <w:spacing w:val="-5"/>
        </w:rPr>
        <w:t> </w:t>
      </w:r>
      <w:r>
        <w:rPr/>
        <w:t>rather</w:t>
      </w:r>
      <w:r>
        <w:rPr>
          <w:spacing w:val="-5"/>
        </w:rPr>
        <w:t> </w:t>
      </w:r>
      <w:r>
        <w:rPr/>
        <w:t>than</w:t>
      </w:r>
      <w:r>
        <w:rPr>
          <w:spacing w:val="-6"/>
        </w:rPr>
        <w:t> </w:t>
      </w:r>
      <w:r>
        <w:rPr/>
        <w:t>creating</w:t>
      </w:r>
      <w:r>
        <w:rPr>
          <w:spacing w:val="-6"/>
        </w:rPr>
        <w:t> </w:t>
      </w:r>
      <w:r>
        <w:rPr/>
        <w:t>new developed recreation or administrative sites. Recreation developments and operations should be managed so as not to interfere with lynx movement and maintain the effectiveness of lynx </w:t>
      </w:r>
      <w:r>
        <w:rPr>
          <w:spacing w:val="-2"/>
        </w:rPr>
        <w:t>habitat.</w:t>
      </w:r>
    </w:p>
    <w:p>
      <w:pPr>
        <w:spacing w:before="233"/>
        <w:ind w:left="1150" w:right="801" w:firstLine="0"/>
        <w:jc w:val="left"/>
        <w:rPr>
          <w:rFonts w:ascii="Arial" w:hAnsi="Arial"/>
          <w:i/>
          <w:sz w:val="22"/>
        </w:rPr>
      </w:pPr>
      <w:bookmarkStart w:name="FW-GDL-WL-08. Canada Lynx – Transportati" w:id="311"/>
      <w:bookmarkEnd w:id="311"/>
      <w:r>
        <w:rPr/>
      </w:r>
      <w:r>
        <w:rPr>
          <w:rFonts w:ascii="Arial" w:hAnsi="Arial"/>
          <w:i/>
          <w:sz w:val="22"/>
        </w:rPr>
        <w:t>FW-GDL-WL-08.</w:t>
      </w:r>
      <w:r>
        <w:rPr>
          <w:rFonts w:ascii="Arial" w:hAnsi="Arial"/>
          <w:i/>
          <w:spacing w:val="-4"/>
          <w:sz w:val="22"/>
        </w:rPr>
        <w:t> </w:t>
      </w:r>
      <w:r>
        <w:rPr>
          <w:rFonts w:ascii="Arial" w:hAnsi="Arial"/>
          <w:i/>
          <w:sz w:val="22"/>
        </w:rPr>
        <w:t>Canada</w:t>
      </w:r>
      <w:r>
        <w:rPr>
          <w:rFonts w:ascii="Arial" w:hAnsi="Arial"/>
          <w:i/>
          <w:spacing w:val="-3"/>
          <w:sz w:val="22"/>
        </w:rPr>
        <w:t> </w:t>
      </w:r>
      <w:r>
        <w:rPr>
          <w:rFonts w:ascii="Arial" w:hAnsi="Arial"/>
          <w:i/>
          <w:sz w:val="22"/>
        </w:rPr>
        <w:t>Lynx</w:t>
      </w:r>
      <w:r>
        <w:rPr>
          <w:rFonts w:ascii="Arial" w:hAnsi="Arial"/>
          <w:i/>
          <w:spacing w:val="-2"/>
          <w:sz w:val="22"/>
        </w:rPr>
        <w:t> </w:t>
      </w:r>
      <w:r>
        <w:rPr>
          <w:rFonts w:ascii="Arial" w:hAnsi="Arial"/>
          <w:i/>
          <w:sz w:val="22"/>
        </w:rPr>
        <w:t>–</w:t>
      </w:r>
      <w:r>
        <w:rPr>
          <w:rFonts w:ascii="Arial" w:hAnsi="Arial"/>
          <w:i/>
          <w:spacing w:val="-5"/>
          <w:sz w:val="22"/>
        </w:rPr>
        <w:t> </w:t>
      </w:r>
      <w:r>
        <w:rPr>
          <w:rFonts w:ascii="Arial" w:hAnsi="Arial"/>
          <w:i/>
          <w:sz w:val="22"/>
        </w:rPr>
        <w:t>Transportation</w:t>
      </w:r>
      <w:r>
        <w:rPr>
          <w:rFonts w:ascii="Arial" w:hAnsi="Arial"/>
          <w:i/>
          <w:spacing w:val="-5"/>
          <w:sz w:val="22"/>
        </w:rPr>
        <w:t> </w:t>
      </w:r>
      <w:r>
        <w:rPr>
          <w:rFonts w:ascii="Arial" w:hAnsi="Arial"/>
          <w:i/>
          <w:sz w:val="22"/>
        </w:rPr>
        <w:t>System</w:t>
      </w:r>
      <w:r>
        <w:rPr>
          <w:rFonts w:ascii="Arial" w:hAnsi="Arial"/>
          <w:i/>
          <w:spacing w:val="-6"/>
          <w:sz w:val="22"/>
        </w:rPr>
        <w:t> </w:t>
      </w:r>
      <w:r>
        <w:rPr>
          <w:rFonts w:ascii="Arial" w:hAnsi="Arial"/>
          <w:i/>
          <w:sz w:val="22"/>
        </w:rPr>
        <w:t>within</w:t>
      </w:r>
      <w:r>
        <w:rPr>
          <w:rFonts w:ascii="Arial" w:hAnsi="Arial"/>
          <w:i/>
          <w:spacing w:val="-5"/>
          <w:sz w:val="22"/>
        </w:rPr>
        <w:t> </w:t>
      </w:r>
      <w:r>
        <w:rPr>
          <w:rFonts w:ascii="Arial" w:hAnsi="Arial"/>
          <w:i/>
          <w:sz w:val="22"/>
        </w:rPr>
        <w:t>the</w:t>
      </w:r>
      <w:r>
        <w:rPr>
          <w:rFonts w:ascii="Arial" w:hAnsi="Arial"/>
          <w:i/>
          <w:spacing w:val="-3"/>
          <w:sz w:val="22"/>
        </w:rPr>
        <w:t> </w:t>
      </w:r>
      <w:r>
        <w:rPr>
          <w:rFonts w:ascii="Arial" w:hAnsi="Arial"/>
          <w:i/>
          <w:sz w:val="22"/>
        </w:rPr>
        <w:t>Kettle-Wedge</w:t>
      </w:r>
      <w:r>
        <w:rPr>
          <w:rFonts w:ascii="Arial" w:hAnsi="Arial"/>
          <w:i/>
          <w:spacing w:val="-3"/>
          <w:sz w:val="22"/>
        </w:rPr>
        <w:t> </w:t>
      </w:r>
      <w:r>
        <w:rPr>
          <w:rFonts w:ascii="Arial" w:hAnsi="Arial"/>
          <w:i/>
          <w:sz w:val="22"/>
        </w:rPr>
        <w:t>Core</w:t>
      </w:r>
      <w:r>
        <w:rPr>
          <w:rFonts w:ascii="Arial" w:hAnsi="Arial"/>
          <w:i/>
          <w:sz w:val="22"/>
        </w:rPr>
        <w:t> </w:t>
      </w:r>
      <w:r>
        <w:rPr>
          <w:rFonts w:ascii="Arial" w:hAnsi="Arial"/>
          <w:i/>
          <w:spacing w:val="-4"/>
          <w:sz w:val="22"/>
        </w:rPr>
        <w:t>Area</w:t>
      </w:r>
    </w:p>
    <w:p>
      <w:pPr>
        <w:pStyle w:val="BodyText"/>
        <w:spacing w:line="232" w:lineRule="auto" w:before="66"/>
        <w:ind w:left="1150" w:right="736"/>
        <w:jc w:val="both"/>
      </w:pPr>
      <w:r>
        <w:rPr/>
        <w:t>Road</w:t>
      </w:r>
      <w:r>
        <w:rPr>
          <w:spacing w:val="-6"/>
        </w:rPr>
        <w:t> </w:t>
      </w:r>
      <w:r>
        <w:rPr/>
        <w:t>reconstruction</w:t>
      </w:r>
      <w:r>
        <w:rPr>
          <w:spacing w:val="-6"/>
        </w:rPr>
        <w:t> </w:t>
      </w:r>
      <w:r>
        <w:rPr/>
        <w:t>that</w:t>
      </w:r>
      <w:r>
        <w:rPr>
          <w:spacing w:val="-7"/>
        </w:rPr>
        <w:t> </w:t>
      </w:r>
      <w:r>
        <w:rPr/>
        <w:t>results</w:t>
      </w:r>
      <w:r>
        <w:rPr>
          <w:spacing w:val="-5"/>
        </w:rPr>
        <w:t> </w:t>
      </w:r>
      <w:r>
        <w:rPr/>
        <w:t>in</w:t>
      </w:r>
      <w:r>
        <w:rPr>
          <w:spacing w:val="-6"/>
        </w:rPr>
        <w:t> </w:t>
      </w:r>
      <w:r>
        <w:rPr/>
        <w:t>increased</w:t>
      </w:r>
      <w:r>
        <w:rPr>
          <w:spacing w:val="-6"/>
        </w:rPr>
        <w:t> </w:t>
      </w:r>
      <w:r>
        <w:rPr/>
        <w:t>traffic</w:t>
      </w:r>
      <w:r>
        <w:rPr>
          <w:spacing w:val="-7"/>
        </w:rPr>
        <w:t> </w:t>
      </w:r>
      <w:r>
        <w:rPr/>
        <w:t>speed</w:t>
      </w:r>
      <w:r>
        <w:rPr>
          <w:spacing w:val="-6"/>
        </w:rPr>
        <w:t> </w:t>
      </w:r>
      <w:r>
        <w:rPr/>
        <w:t>and</w:t>
      </w:r>
      <w:r>
        <w:rPr>
          <w:spacing w:val="-6"/>
        </w:rPr>
        <w:t> </w:t>
      </w:r>
      <w:r>
        <w:rPr/>
        <w:t>volume</w:t>
      </w:r>
      <w:r>
        <w:rPr>
          <w:spacing w:val="-4"/>
        </w:rPr>
        <w:t> </w:t>
      </w:r>
      <w:r>
        <w:rPr/>
        <w:t>should</w:t>
      </w:r>
      <w:r>
        <w:rPr>
          <w:spacing w:val="-6"/>
        </w:rPr>
        <w:t> </w:t>
      </w:r>
      <w:r>
        <w:rPr/>
        <w:t>be</w:t>
      </w:r>
      <w:r>
        <w:rPr>
          <w:spacing w:val="-7"/>
        </w:rPr>
        <w:t> </w:t>
      </w:r>
      <w:r>
        <w:rPr/>
        <w:t>avoided</w:t>
      </w:r>
      <w:r>
        <w:rPr>
          <w:spacing w:val="-5"/>
        </w:rPr>
        <w:t> </w:t>
      </w:r>
      <w:r>
        <w:rPr/>
        <w:t>within lynx</w:t>
      </w:r>
      <w:r>
        <w:rPr>
          <w:spacing w:val="-5"/>
        </w:rPr>
        <w:t> </w:t>
      </w:r>
      <w:r>
        <w:rPr/>
        <w:t>analysis</w:t>
      </w:r>
      <w:r>
        <w:rPr>
          <w:spacing w:val="-7"/>
        </w:rPr>
        <w:t> </w:t>
      </w:r>
      <w:r>
        <w:rPr/>
        <w:t>units.</w:t>
      </w:r>
      <w:r>
        <w:rPr>
          <w:spacing w:val="-5"/>
        </w:rPr>
        <w:t> </w:t>
      </w:r>
      <w:r>
        <w:rPr/>
        <w:t>New</w:t>
      </w:r>
      <w:r>
        <w:rPr>
          <w:spacing w:val="-4"/>
        </w:rPr>
        <w:t> </w:t>
      </w:r>
      <w:r>
        <w:rPr/>
        <w:t>permanent</w:t>
      </w:r>
      <w:r>
        <w:rPr>
          <w:spacing w:val="-7"/>
        </w:rPr>
        <w:t> </w:t>
      </w:r>
      <w:r>
        <w:rPr/>
        <w:t>roads</w:t>
      </w:r>
      <w:r>
        <w:rPr>
          <w:spacing w:val="-5"/>
        </w:rPr>
        <w:t> </w:t>
      </w:r>
      <w:r>
        <w:rPr/>
        <w:t>should</w:t>
      </w:r>
      <w:r>
        <w:rPr>
          <w:spacing w:val="-6"/>
        </w:rPr>
        <w:t> </w:t>
      </w:r>
      <w:r>
        <w:rPr/>
        <w:t>not</w:t>
      </w:r>
      <w:r>
        <w:rPr>
          <w:spacing w:val="-7"/>
        </w:rPr>
        <w:t> </w:t>
      </w:r>
      <w:r>
        <w:rPr/>
        <w:t>be</w:t>
      </w:r>
      <w:r>
        <w:rPr>
          <w:spacing w:val="-4"/>
        </w:rPr>
        <w:t> </w:t>
      </w:r>
      <w:r>
        <w:rPr/>
        <w:t>located</w:t>
      </w:r>
      <w:r>
        <w:rPr>
          <w:spacing w:val="-6"/>
        </w:rPr>
        <w:t> </w:t>
      </w:r>
      <w:r>
        <w:rPr/>
        <w:t>on</w:t>
      </w:r>
      <w:r>
        <w:rPr>
          <w:spacing w:val="-8"/>
        </w:rPr>
        <w:t> </w:t>
      </w:r>
      <w:r>
        <w:rPr/>
        <w:t>forested</w:t>
      </w:r>
      <w:r>
        <w:rPr>
          <w:spacing w:val="-6"/>
        </w:rPr>
        <w:t> </w:t>
      </w:r>
      <w:r>
        <w:rPr/>
        <w:t>ridge-tops,</w:t>
      </w:r>
      <w:r>
        <w:rPr>
          <w:spacing w:val="-5"/>
        </w:rPr>
        <w:t> </w:t>
      </w:r>
      <w:r>
        <w:rPr/>
        <w:t>saddles, close to forest stringers, or in other areas important for habitat connectivity.</w:t>
      </w:r>
    </w:p>
    <w:p>
      <w:pPr>
        <w:spacing w:before="233"/>
        <w:ind w:left="1150" w:right="1073" w:firstLine="0"/>
        <w:jc w:val="left"/>
        <w:rPr>
          <w:rFonts w:ascii="Arial" w:hAnsi="Arial"/>
          <w:i/>
          <w:sz w:val="22"/>
        </w:rPr>
      </w:pPr>
      <w:bookmarkStart w:name="FW-GDL-WL-09. Canada Lynx – Habitat Conn" w:id="312"/>
      <w:bookmarkEnd w:id="312"/>
      <w:r>
        <w:rPr/>
      </w:r>
      <w:r>
        <w:rPr>
          <w:rFonts w:ascii="Arial" w:hAnsi="Arial"/>
          <w:i/>
          <w:sz w:val="22"/>
        </w:rPr>
        <w:t>FW-GDL-WL-09.</w:t>
      </w:r>
      <w:r>
        <w:rPr>
          <w:rFonts w:ascii="Arial" w:hAnsi="Arial"/>
          <w:i/>
          <w:spacing w:val="-5"/>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6"/>
          <w:sz w:val="22"/>
        </w:rPr>
        <w:t> </w:t>
      </w:r>
      <w:r>
        <w:rPr>
          <w:rFonts w:ascii="Arial" w:hAnsi="Arial"/>
          <w:i/>
          <w:sz w:val="22"/>
        </w:rPr>
        <w:t>Habitat</w:t>
      </w:r>
      <w:r>
        <w:rPr>
          <w:rFonts w:ascii="Arial" w:hAnsi="Arial"/>
          <w:i/>
          <w:spacing w:val="-2"/>
          <w:sz w:val="22"/>
        </w:rPr>
        <w:t> </w:t>
      </w:r>
      <w:r>
        <w:rPr>
          <w:rFonts w:ascii="Arial" w:hAnsi="Arial"/>
          <w:i/>
          <w:sz w:val="22"/>
        </w:rPr>
        <w:t>Connectivity</w:t>
      </w:r>
      <w:r>
        <w:rPr>
          <w:rFonts w:ascii="Arial" w:hAnsi="Arial"/>
          <w:i/>
          <w:spacing w:val="-6"/>
          <w:sz w:val="22"/>
        </w:rPr>
        <w:t> </w:t>
      </w:r>
      <w:r>
        <w:rPr>
          <w:rFonts w:ascii="Arial" w:hAnsi="Arial"/>
          <w:i/>
          <w:sz w:val="22"/>
        </w:rPr>
        <w:t>within</w:t>
      </w:r>
      <w:r>
        <w:rPr>
          <w:rFonts w:ascii="Arial" w:hAnsi="Arial"/>
          <w:i/>
          <w:spacing w:val="-6"/>
          <w:sz w:val="22"/>
        </w:rPr>
        <w:t> </w:t>
      </w:r>
      <w:r>
        <w:rPr>
          <w:rFonts w:ascii="Arial" w:hAnsi="Arial"/>
          <w:i/>
          <w:sz w:val="22"/>
        </w:rPr>
        <w:t>the</w:t>
      </w:r>
      <w:r>
        <w:rPr>
          <w:rFonts w:ascii="Arial" w:hAnsi="Arial"/>
          <w:i/>
          <w:spacing w:val="-4"/>
          <w:sz w:val="22"/>
        </w:rPr>
        <w:t> </w:t>
      </w:r>
      <w:r>
        <w:rPr>
          <w:rFonts w:ascii="Arial" w:hAnsi="Arial"/>
          <w:i/>
          <w:sz w:val="22"/>
        </w:rPr>
        <w:t>Kettle-Wedge</w:t>
      </w:r>
      <w:r>
        <w:rPr>
          <w:rFonts w:ascii="Arial" w:hAnsi="Arial"/>
          <w:i/>
          <w:spacing w:val="-4"/>
          <w:sz w:val="22"/>
        </w:rPr>
        <w:t> </w:t>
      </w:r>
      <w:r>
        <w:rPr>
          <w:rFonts w:ascii="Arial" w:hAnsi="Arial"/>
          <w:i/>
          <w:sz w:val="22"/>
        </w:rPr>
        <w:t>Core</w:t>
      </w:r>
      <w:r>
        <w:rPr>
          <w:rFonts w:ascii="Arial" w:hAnsi="Arial"/>
          <w:i/>
          <w:sz w:val="22"/>
        </w:rPr>
        <w:t> </w:t>
      </w:r>
      <w:r>
        <w:rPr>
          <w:rFonts w:ascii="Arial" w:hAnsi="Arial"/>
          <w:i/>
          <w:spacing w:val="-4"/>
          <w:sz w:val="22"/>
        </w:rPr>
        <w:t>Area</w:t>
      </w:r>
    </w:p>
    <w:p>
      <w:pPr>
        <w:pStyle w:val="BodyText"/>
        <w:spacing w:line="232" w:lineRule="auto" w:before="66"/>
        <w:ind w:left="1150" w:right="801"/>
      </w:pPr>
      <w:r>
        <w:rPr/>
        <w:t>Large, permanent openings (generally greater than 300 feet wide with less than 10 percent overstory canopy) should not be created in prey habitat within lynx analysis units. When temporary openings (resulting from vegetation management treatments) are proposed, adequate</w:t>
      </w:r>
      <w:r>
        <w:rPr>
          <w:spacing w:val="-5"/>
        </w:rPr>
        <w:t> </w:t>
      </w:r>
      <w:r>
        <w:rPr/>
        <w:t>forested</w:t>
      </w:r>
      <w:r>
        <w:rPr>
          <w:spacing w:val="-7"/>
        </w:rPr>
        <w:t> </w:t>
      </w:r>
      <w:r>
        <w:rPr/>
        <w:t>habitat</w:t>
      </w:r>
      <w:r>
        <w:rPr>
          <w:spacing w:val="-10"/>
        </w:rPr>
        <w:t> </w:t>
      </w:r>
      <w:r>
        <w:rPr/>
        <w:t>should</w:t>
      </w:r>
      <w:r>
        <w:rPr>
          <w:spacing w:val="-7"/>
        </w:rPr>
        <w:t> </w:t>
      </w:r>
      <w:r>
        <w:rPr/>
        <w:t>be</w:t>
      </w:r>
      <w:r>
        <w:rPr>
          <w:spacing w:val="-5"/>
        </w:rPr>
        <w:t> </w:t>
      </w:r>
      <w:r>
        <w:rPr/>
        <w:t>retained</w:t>
      </w:r>
      <w:r>
        <w:rPr>
          <w:spacing w:val="-7"/>
        </w:rPr>
        <w:t> </w:t>
      </w:r>
      <w:r>
        <w:rPr/>
        <w:t>between</w:t>
      </w:r>
      <w:r>
        <w:rPr>
          <w:spacing w:val="-7"/>
        </w:rPr>
        <w:t> </w:t>
      </w:r>
      <w:r>
        <w:rPr/>
        <w:t>these</w:t>
      </w:r>
      <w:r>
        <w:rPr>
          <w:spacing w:val="-8"/>
        </w:rPr>
        <w:t> </w:t>
      </w:r>
      <w:r>
        <w:rPr/>
        <w:t>openings</w:t>
      </w:r>
      <w:r>
        <w:rPr>
          <w:spacing w:val="-6"/>
        </w:rPr>
        <w:t> </w:t>
      </w:r>
      <w:r>
        <w:rPr/>
        <w:t>and</w:t>
      </w:r>
      <w:r>
        <w:rPr>
          <w:spacing w:val="-7"/>
        </w:rPr>
        <w:t> </w:t>
      </w:r>
      <w:r>
        <w:rPr/>
        <w:t>natural</w:t>
      </w:r>
      <w:r>
        <w:rPr>
          <w:spacing w:val="-6"/>
        </w:rPr>
        <w:t> </w:t>
      </w:r>
      <w:r>
        <w:rPr/>
        <w:t>openings</w:t>
      </w:r>
      <w:r>
        <w:rPr>
          <w:spacing w:val="-6"/>
        </w:rPr>
        <w:t> </w:t>
      </w:r>
      <w:r>
        <w:rPr/>
        <w:t>to contribute to habitat connectivity.</w:t>
      </w:r>
    </w:p>
    <w:p>
      <w:pPr>
        <w:spacing w:before="232"/>
        <w:ind w:left="1150" w:right="1073" w:firstLine="0"/>
        <w:jc w:val="left"/>
        <w:rPr>
          <w:rFonts w:ascii="Arial" w:hAnsi="Arial"/>
          <w:i/>
          <w:sz w:val="22"/>
        </w:rPr>
      </w:pPr>
      <w:bookmarkStart w:name="FW-GDL-WL-10. Canada Lynx – Kettle-Wedge" w:id="313"/>
      <w:bookmarkEnd w:id="313"/>
      <w:r>
        <w:rPr/>
      </w:r>
      <w:r>
        <w:rPr>
          <w:rFonts w:ascii="Arial" w:hAnsi="Arial"/>
          <w:i/>
          <w:sz w:val="22"/>
        </w:rPr>
        <w:t>FW-GDL-WL-10.</w:t>
      </w:r>
      <w:r>
        <w:rPr>
          <w:rFonts w:ascii="Arial" w:hAnsi="Arial"/>
          <w:i/>
          <w:spacing w:val="-5"/>
          <w:sz w:val="22"/>
        </w:rPr>
        <w:t> </w:t>
      </w:r>
      <w:r>
        <w:rPr>
          <w:rFonts w:ascii="Arial" w:hAnsi="Arial"/>
          <w:i/>
          <w:sz w:val="22"/>
        </w:rPr>
        <w:t>Canada</w:t>
      </w:r>
      <w:r>
        <w:rPr>
          <w:rFonts w:ascii="Arial" w:hAnsi="Arial"/>
          <w:i/>
          <w:spacing w:val="-4"/>
          <w:sz w:val="22"/>
        </w:rPr>
        <w:t> </w:t>
      </w:r>
      <w:r>
        <w:rPr>
          <w:rFonts w:ascii="Arial" w:hAnsi="Arial"/>
          <w:i/>
          <w:sz w:val="22"/>
        </w:rPr>
        <w:t>Lynx</w:t>
      </w:r>
      <w:r>
        <w:rPr>
          <w:rFonts w:ascii="Arial" w:hAnsi="Arial"/>
          <w:i/>
          <w:spacing w:val="-3"/>
          <w:sz w:val="22"/>
        </w:rPr>
        <w:t> </w:t>
      </w:r>
      <w:r>
        <w:rPr>
          <w:rFonts w:ascii="Arial" w:hAnsi="Arial"/>
          <w:i/>
          <w:sz w:val="22"/>
        </w:rPr>
        <w:t>–</w:t>
      </w:r>
      <w:r>
        <w:rPr>
          <w:rFonts w:ascii="Arial" w:hAnsi="Arial"/>
          <w:i/>
          <w:spacing w:val="-6"/>
          <w:sz w:val="22"/>
        </w:rPr>
        <w:t> </w:t>
      </w:r>
      <w:r>
        <w:rPr>
          <w:rFonts w:ascii="Arial" w:hAnsi="Arial"/>
          <w:i/>
          <w:sz w:val="22"/>
        </w:rPr>
        <w:t>Kettle-Wedge</w:t>
      </w:r>
      <w:r>
        <w:rPr>
          <w:rFonts w:ascii="Arial" w:hAnsi="Arial"/>
          <w:i/>
          <w:spacing w:val="-4"/>
          <w:sz w:val="22"/>
        </w:rPr>
        <w:t> </w:t>
      </w:r>
      <w:r>
        <w:rPr>
          <w:rFonts w:ascii="Arial" w:hAnsi="Arial"/>
          <w:i/>
          <w:sz w:val="22"/>
        </w:rPr>
        <w:t>Core</w:t>
      </w:r>
      <w:r>
        <w:rPr>
          <w:rFonts w:ascii="Arial" w:hAnsi="Arial"/>
          <w:i/>
          <w:spacing w:val="-4"/>
          <w:sz w:val="22"/>
        </w:rPr>
        <w:t> </w:t>
      </w:r>
      <w:r>
        <w:rPr>
          <w:rFonts w:ascii="Arial" w:hAnsi="Arial"/>
          <w:i/>
          <w:sz w:val="22"/>
        </w:rPr>
        <w:t>Area</w:t>
      </w:r>
      <w:r>
        <w:rPr>
          <w:rFonts w:ascii="Arial" w:hAnsi="Arial"/>
          <w:i/>
          <w:spacing w:val="-6"/>
          <w:sz w:val="22"/>
        </w:rPr>
        <w:t> </w:t>
      </w:r>
      <w:r>
        <w:rPr>
          <w:rFonts w:ascii="Arial" w:hAnsi="Arial"/>
          <w:i/>
          <w:sz w:val="22"/>
        </w:rPr>
        <w:t>-</w:t>
      </w:r>
      <w:r>
        <w:rPr>
          <w:rFonts w:ascii="Arial" w:hAnsi="Arial"/>
          <w:i/>
          <w:spacing w:val="-5"/>
          <w:sz w:val="22"/>
        </w:rPr>
        <w:t> </w:t>
      </w:r>
      <w:r>
        <w:rPr>
          <w:rFonts w:ascii="Arial" w:hAnsi="Arial"/>
          <w:i/>
          <w:sz w:val="22"/>
        </w:rPr>
        <w:t>Lynx</w:t>
      </w:r>
      <w:r>
        <w:rPr>
          <w:rFonts w:ascii="Arial" w:hAnsi="Arial"/>
          <w:i/>
          <w:spacing w:val="-6"/>
          <w:sz w:val="22"/>
        </w:rPr>
        <w:t> </w:t>
      </w:r>
      <w:r>
        <w:rPr>
          <w:rFonts w:ascii="Arial" w:hAnsi="Arial"/>
          <w:i/>
          <w:sz w:val="22"/>
        </w:rPr>
        <w:t>Analysis</w:t>
      </w:r>
      <w:r>
        <w:rPr>
          <w:rFonts w:ascii="Arial" w:hAnsi="Arial"/>
          <w:i/>
          <w:spacing w:val="-6"/>
          <w:sz w:val="22"/>
        </w:rPr>
        <w:t> </w:t>
      </w:r>
      <w:r>
        <w:rPr>
          <w:rFonts w:ascii="Arial" w:hAnsi="Arial"/>
          <w:i/>
          <w:sz w:val="22"/>
        </w:rPr>
        <w:t>Unit</w:t>
      </w:r>
      <w:r>
        <w:rPr>
          <w:rFonts w:ascii="Arial" w:hAnsi="Arial"/>
          <w:i/>
          <w:sz w:val="22"/>
        </w:rPr>
        <w:t> </w:t>
      </w:r>
      <w:r>
        <w:rPr>
          <w:rFonts w:ascii="Arial" w:hAnsi="Arial"/>
          <w:i/>
          <w:spacing w:val="-2"/>
          <w:sz w:val="22"/>
        </w:rPr>
        <w:t>Adjustment</w:t>
      </w:r>
    </w:p>
    <w:p>
      <w:pPr>
        <w:pStyle w:val="BodyText"/>
        <w:spacing w:line="232" w:lineRule="auto" w:before="64"/>
        <w:ind w:left="1150" w:right="786"/>
        <w:jc w:val="both"/>
      </w:pPr>
      <w:r>
        <w:rPr/>
        <w:t>Lynx</w:t>
      </w:r>
      <w:r>
        <w:rPr>
          <w:spacing w:val="-6"/>
        </w:rPr>
        <w:t> </w:t>
      </w:r>
      <w:r>
        <w:rPr/>
        <w:t>analysis</w:t>
      </w:r>
      <w:r>
        <w:rPr>
          <w:spacing w:val="-8"/>
        </w:rPr>
        <w:t> </w:t>
      </w:r>
      <w:r>
        <w:rPr/>
        <w:t>unit</w:t>
      </w:r>
      <w:r>
        <w:rPr>
          <w:spacing w:val="-5"/>
        </w:rPr>
        <w:t> </w:t>
      </w:r>
      <w:r>
        <w:rPr/>
        <w:t>boundaries</w:t>
      </w:r>
      <w:r>
        <w:rPr>
          <w:spacing w:val="-6"/>
        </w:rPr>
        <w:t> </w:t>
      </w:r>
      <w:r>
        <w:rPr/>
        <w:t>should</w:t>
      </w:r>
      <w:r>
        <w:rPr>
          <w:spacing w:val="-7"/>
        </w:rPr>
        <w:t> </w:t>
      </w:r>
      <w:r>
        <w:rPr/>
        <w:t>be</w:t>
      </w:r>
      <w:r>
        <w:rPr>
          <w:spacing w:val="-5"/>
        </w:rPr>
        <w:t> </w:t>
      </w:r>
      <w:r>
        <w:rPr/>
        <w:t>adjusted</w:t>
      </w:r>
      <w:r>
        <w:rPr>
          <w:spacing w:val="-7"/>
        </w:rPr>
        <w:t> </w:t>
      </w:r>
      <w:r>
        <w:rPr/>
        <w:t>based</w:t>
      </w:r>
      <w:r>
        <w:rPr>
          <w:spacing w:val="-7"/>
        </w:rPr>
        <w:t> </w:t>
      </w:r>
      <w:r>
        <w:rPr/>
        <w:t>on</w:t>
      </w:r>
      <w:r>
        <w:rPr>
          <w:spacing w:val="-7"/>
        </w:rPr>
        <w:t> </w:t>
      </w:r>
      <w:r>
        <w:rPr/>
        <w:t>scientific</w:t>
      </w:r>
      <w:r>
        <w:rPr>
          <w:spacing w:val="-6"/>
        </w:rPr>
        <w:t> </w:t>
      </w:r>
      <w:r>
        <w:rPr/>
        <w:t>literature</w:t>
      </w:r>
      <w:r>
        <w:rPr>
          <w:spacing w:val="-8"/>
        </w:rPr>
        <w:t> </w:t>
      </w:r>
      <w:r>
        <w:rPr/>
        <w:t>and</w:t>
      </w:r>
      <w:r>
        <w:rPr>
          <w:spacing w:val="-7"/>
        </w:rPr>
        <w:t> </w:t>
      </w:r>
      <w:r>
        <w:rPr/>
        <w:t>coordination with the USDI Fish and Wildlife Service.</w:t>
      </w:r>
      <w:hyperlink w:history="true" w:anchor="_bookmark110">
        <w:r>
          <w:rPr>
            <w:vertAlign w:val="superscript"/>
          </w:rPr>
          <w:t>13</w:t>
        </w:r>
      </w:hyperlink>
    </w:p>
    <w:p>
      <w:pPr>
        <w:spacing w:before="234"/>
        <w:ind w:left="1152" w:right="0" w:firstLine="0"/>
        <w:jc w:val="left"/>
        <w:rPr>
          <w:rFonts w:ascii="Arial" w:hAnsi="Arial"/>
          <w:i/>
          <w:sz w:val="22"/>
        </w:rPr>
      </w:pPr>
      <w:bookmarkStart w:name="FW-GDL-WL-11. Grizzly Bear Recovery Area" w:id="314"/>
      <w:bookmarkEnd w:id="314"/>
      <w:r>
        <w:rPr/>
      </w:r>
      <w:r>
        <w:rPr>
          <w:rFonts w:ascii="Arial" w:hAnsi="Arial"/>
          <w:i/>
          <w:sz w:val="22"/>
        </w:rPr>
        <w:t>FW-GDL-WL-11.</w:t>
      </w:r>
      <w:r>
        <w:rPr>
          <w:rFonts w:ascii="Arial" w:hAnsi="Arial"/>
          <w:i/>
          <w:spacing w:val="-11"/>
          <w:sz w:val="22"/>
        </w:rPr>
        <w:t> </w:t>
      </w:r>
      <w:r>
        <w:rPr>
          <w:rFonts w:ascii="Arial" w:hAnsi="Arial"/>
          <w:i/>
          <w:sz w:val="22"/>
        </w:rPr>
        <w:t>Grizzly</w:t>
      </w:r>
      <w:r>
        <w:rPr>
          <w:rFonts w:ascii="Arial" w:hAnsi="Arial"/>
          <w:i/>
          <w:spacing w:val="-4"/>
          <w:sz w:val="22"/>
        </w:rPr>
        <w:t> </w:t>
      </w:r>
      <w:r>
        <w:rPr>
          <w:rFonts w:ascii="Arial" w:hAnsi="Arial"/>
          <w:i/>
          <w:sz w:val="22"/>
        </w:rPr>
        <w:t>Bear</w:t>
      </w:r>
      <w:r>
        <w:rPr>
          <w:rFonts w:ascii="Arial" w:hAnsi="Arial"/>
          <w:i/>
          <w:spacing w:val="-4"/>
          <w:sz w:val="22"/>
        </w:rPr>
        <w:t> </w:t>
      </w:r>
      <w:r>
        <w:rPr>
          <w:rFonts w:ascii="Arial" w:hAnsi="Arial"/>
          <w:i/>
          <w:sz w:val="22"/>
        </w:rPr>
        <w:t>Recovery</w:t>
      </w:r>
      <w:r>
        <w:rPr>
          <w:rFonts w:ascii="Arial" w:hAnsi="Arial"/>
          <w:i/>
          <w:spacing w:val="-5"/>
          <w:sz w:val="22"/>
        </w:rPr>
        <w:t> </w:t>
      </w:r>
      <w:r>
        <w:rPr>
          <w:rFonts w:ascii="Arial" w:hAnsi="Arial"/>
          <w:i/>
          <w:sz w:val="22"/>
        </w:rPr>
        <w:t>Area</w:t>
      </w:r>
      <w:r>
        <w:rPr>
          <w:rFonts w:ascii="Arial" w:hAnsi="Arial"/>
          <w:i/>
          <w:spacing w:val="-5"/>
          <w:sz w:val="22"/>
        </w:rPr>
        <w:t> </w:t>
      </w:r>
      <w:r>
        <w:rPr>
          <w:rFonts w:ascii="Arial" w:hAnsi="Arial"/>
          <w:i/>
          <w:sz w:val="22"/>
        </w:rPr>
        <w:t>–</w:t>
      </w:r>
      <w:r>
        <w:rPr>
          <w:rFonts w:ascii="Arial" w:hAnsi="Arial"/>
          <w:i/>
          <w:spacing w:val="-8"/>
          <w:sz w:val="22"/>
        </w:rPr>
        <w:t> </w:t>
      </w:r>
      <w:r>
        <w:rPr>
          <w:rFonts w:ascii="Arial" w:hAnsi="Arial"/>
          <w:i/>
          <w:sz w:val="22"/>
        </w:rPr>
        <w:t>Forest</w:t>
      </w:r>
      <w:r>
        <w:rPr>
          <w:rFonts w:ascii="Arial" w:hAnsi="Arial"/>
          <w:i/>
          <w:spacing w:val="-6"/>
          <w:sz w:val="22"/>
        </w:rPr>
        <w:t> </w:t>
      </w:r>
      <w:r>
        <w:rPr>
          <w:rFonts w:ascii="Arial" w:hAnsi="Arial"/>
          <w:i/>
          <w:sz w:val="22"/>
        </w:rPr>
        <w:t>Management</w:t>
      </w:r>
      <w:r>
        <w:rPr>
          <w:rFonts w:ascii="Arial" w:hAnsi="Arial"/>
          <w:i/>
          <w:spacing w:val="-4"/>
          <w:sz w:val="22"/>
        </w:rPr>
        <w:t> </w:t>
      </w:r>
      <w:r>
        <w:rPr>
          <w:rFonts w:ascii="Arial" w:hAnsi="Arial"/>
          <w:i/>
          <w:spacing w:val="-2"/>
          <w:sz w:val="22"/>
        </w:rPr>
        <w:t>Activities</w:t>
      </w:r>
    </w:p>
    <w:p>
      <w:pPr>
        <w:pStyle w:val="BodyText"/>
        <w:spacing w:line="232" w:lineRule="auto" w:before="65"/>
        <w:ind w:left="1151" w:right="801"/>
      </w:pPr>
      <w:r>
        <w:rPr/>
        <w:t>Management</w:t>
      </w:r>
      <w:r>
        <w:rPr>
          <w:spacing w:val="-3"/>
        </w:rPr>
        <w:t> </w:t>
      </w:r>
      <w:r>
        <w:rPr/>
        <w:t>activities</w:t>
      </w:r>
      <w:r>
        <w:rPr>
          <w:spacing w:val="-4"/>
        </w:rPr>
        <w:t> </w:t>
      </w:r>
      <w:r>
        <w:rPr/>
        <w:t>(such</w:t>
      </w:r>
      <w:r>
        <w:rPr>
          <w:spacing w:val="-5"/>
        </w:rPr>
        <w:t> </w:t>
      </w:r>
      <w:r>
        <w:rPr/>
        <w:t>as</w:t>
      </w:r>
      <w:r>
        <w:rPr>
          <w:spacing w:val="-4"/>
        </w:rPr>
        <w:t> </w:t>
      </w:r>
      <w:r>
        <w:rPr/>
        <w:t>timber</w:t>
      </w:r>
      <w:r>
        <w:rPr>
          <w:spacing w:val="-4"/>
        </w:rPr>
        <w:t> </w:t>
      </w:r>
      <w:r>
        <w:rPr/>
        <w:t>harvest,</w:t>
      </w:r>
      <w:r>
        <w:rPr>
          <w:spacing w:val="-6"/>
        </w:rPr>
        <w:t> </w:t>
      </w:r>
      <w:r>
        <w:rPr/>
        <w:t>road</w:t>
      </w:r>
      <w:r>
        <w:rPr>
          <w:spacing w:val="-5"/>
        </w:rPr>
        <w:t> </w:t>
      </w:r>
      <w:r>
        <w:rPr/>
        <w:t>building,</w:t>
      </w:r>
      <w:r>
        <w:rPr>
          <w:spacing w:val="-4"/>
        </w:rPr>
        <w:t> </w:t>
      </w:r>
      <w:r>
        <w:rPr/>
        <w:t>blasting,</w:t>
      </w:r>
      <w:r>
        <w:rPr>
          <w:spacing w:val="-4"/>
        </w:rPr>
        <w:t> </w:t>
      </w:r>
      <w:r>
        <w:rPr/>
        <w:t>etc.)</w:t>
      </w:r>
      <w:r>
        <w:rPr>
          <w:spacing w:val="-3"/>
        </w:rPr>
        <w:t> </w:t>
      </w:r>
      <w:r>
        <w:rPr/>
        <w:t>and</w:t>
      </w:r>
      <w:r>
        <w:rPr>
          <w:spacing w:val="-7"/>
        </w:rPr>
        <w:t> </w:t>
      </w:r>
      <w:r>
        <w:rPr/>
        <w:t>helicopter</w:t>
      </w:r>
      <w:r>
        <w:rPr>
          <w:spacing w:val="-4"/>
        </w:rPr>
        <w:t> </w:t>
      </w:r>
      <w:r>
        <w:rPr/>
        <w:t>use that may displace grizzly bears should be scheduled to occur outside of the critical period of den emergence.</w:t>
      </w:r>
    </w:p>
    <w:p>
      <w:pPr>
        <w:pStyle w:val="BodyText"/>
        <w:rPr>
          <w:sz w:val="20"/>
        </w:rPr>
      </w:pPr>
    </w:p>
    <w:p>
      <w:pPr>
        <w:pStyle w:val="BodyText"/>
        <w:rPr>
          <w:sz w:val="20"/>
        </w:rPr>
      </w:pPr>
    </w:p>
    <w:p>
      <w:pPr>
        <w:pStyle w:val="BodyText"/>
        <w:rPr>
          <w:sz w:val="20"/>
        </w:rPr>
      </w:pPr>
    </w:p>
    <w:p>
      <w:pPr>
        <w:pStyle w:val="BodyText"/>
        <w:spacing w:before="9"/>
        <w:rPr>
          <w:sz w:val="20"/>
        </w:rPr>
      </w:pPr>
      <w:r>
        <w:rPr>
          <w:sz w:val="20"/>
        </w:rPr>
        <mc:AlternateContent>
          <mc:Choice Requires="wps">
            <w:drawing>
              <wp:anchor distT="0" distB="0" distL="0" distR="0" allowOverlap="1" layoutInCell="1" locked="0" behindDoc="1" simplePos="0" relativeHeight="487609344">
                <wp:simplePos x="0" y="0"/>
                <wp:positionH relativeFrom="page">
                  <wp:posOffset>1417319</wp:posOffset>
                </wp:positionH>
                <wp:positionV relativeFrom="paragraph">
                  <wp:posOffset>176422</wp:posOffset>
                </wp:positionV>
                <wp:extent cx="1828800" cy="7620"/>
                <wp:effectExtent l="0" t="0" r="0" b="0"/>
                <wp:wrapTopAndBottom/>
                <wp:docPr id="170" name="Graphic 170"/>
                <wp:cNvGraphicFramePr>
                  <a:graphicFrameLocks/>
                </wp:cNvGraphicFramePr>
                <a:graphic>
                  <a:graphicData uri="http://schemas.microsoft.com/office/word/2010/wordprocessingShape">
                    <wps:wsp>
                      <wps:cNvPr id="170" name="Graphic 170"/>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3.891504pt;width:144pt;height:.6pt;mso-position-horizontal-relative:page;mso-position-vertical-relative:paragraph;z-index:-15707136;mso-wrap-distance-left:0;mso-wrap-distance-right:0" id="docshape159" filled="true" fillcolor="#000000" stroked="false">
                <v:fill type="solid"/>
                <w10:wrap type="topAndBottom"/>
              </v:rect>
            </w:pict>
          </mc:Fallback>
        </mc:AlternateContent>
      </w:r>
    </w:p>
    <w:p>
      <w:pPr>
        <w:spacing w:before="95"/>
        <w:ind w:left="1152" w:right="801" w:hanging="1"/>
        <w:jc w:val="left"/>
        <w:rPr>
          <w:sz w:val="18"/>
        </w:rPr>
      </w:pPr>
      <w:bookmarkStart w:name="_bookmark110" w:id="315"/>
      <w:bookmarkEnd w:id="315"/>
      <w:r>
        <w:rPr/>
      </w:r>
      <w:r>
        <w:rPr>
          <w:position w:val="5"/>
          <w:sz w:val="12"/>
        </w:rPr>
        <w:t>13</w:t>
      </w:r>
      <w:r>
        <w:rPr>
          <w:spacing w:val="10"/>
          <w:position w:val="5"/>
          <w:sz w:val="12"/>
        </w:rPr>
        <w:t> </w:t>
      </w:r>
      <w:r>
        <w:rPr>
          <w:sz w:val="18"/>
        </w:rPr>
        <w:t>As</w:t>
      </w:r>
      <w:r>
        <w:rPr>
          <w:spacing w:val="-3"/>
          <w:sz w:val="18"/>
        </w:rPr>
        <w:t> </w:t>
      </w:r>
      <w:r>
        <w:rPr>
          <w:sz w:val="18"/>
        </w:rPr>
        <w:t>of</w:t>
      </w:r>
      <w:r>
        <w:rPr>
          <w:spacing w:val="-2"/>
          <w:sz w:val="18"/>
        </w:rPr>
        <w:t> </w:t>
      </w:r>
      <w:r>
        <w:rPr>
          <w:sz w:val="18"/>
        </w:rPr>
        <w:t>this</w:t>
      </w:r>
      <w:r>
        <w:rPr>
          <w:spacing w:val="-3"/>
          <w:sz w:val="18"/>
        </w:rPr>
        <w:t> </w:t>
      </w:r>
      <w:r>
        <w:rPr>
          <w:sz w:val="18"/>
        </w:rPr>
        <w:t>revised</w:t>
      </w:r>
      <w:r>
        <w:rPr>
          <w:spacing w:val="-3"/>
          <w:sz w:val="18"/>
        </w:rPr>
        <w:t> </w:t>
      </w:r>
      <w:r>
        <w:rPr>
          <w:sz w:val="18"/>
        </w:rPr>
        <w:t>plan,</w:t>
      </w:r>
      <w:r>
        <w:rPr>
          <w:spacing w:val="-2"/>
          <w:sz w:val="18"/>
        </w:rPr>
        <w:t> </w:t>
      </w:r>
      <w:r>
        <w:rPr>
          <w:sz w:val="18"/>
        </w:rPr>
        <w:t>the</w:t>
      </w:r>
      <w:r>
        <w:rPr>
          <w:spacing w:val="-3"/>
          <w:sz w:val="18"/>
        </w:rPr>
        <w:t> </w:t>
      </w:r>
      <w:r>
        <w:rPr>
          <w:sz w:val="18"/>
        </w:rPr>
        <w:t>Canada</w:t>
      </w:r>
      <w:r>
        <w:rPr>
          <w:spacing w:val="-2"/>
          <w:sz w:val="18"/>
        </w:rPr>
        <w:t> </w:t>
      </w:r>
      <w:r>
        <w:rPr>
          <w:sz w:val="18"/>
        </w:rPr>
        <w:t>Lynx</w:t>
      </w:r>
      <w:r>
        <w:rPr>
          <w:spacing w:val="-3"/>
          <w:sz w:val="18"/>
        </w:rPr>
        <w:t> </w:t>
      </w:r>
      <w:r>
        <w:rPr>
          <w:sz w:val="18"/>
        </w:rPr>
        <w:t>Conservation</w:t>
      </w:r>
      <w:r>
        <w:rPr>
          <w:spacing w:val="-3"/>
          <w:sz w:val="18"/>
        </w:rPr>
        <w:t> </w:t>
      </w:r>
      <w:r>
        <w:rPr>
          <w:sz w:val="18"/>
        </w:rPr>
        <w:t>Assessment</w:t>
      </w:r>
      <w:r>
        <w:rPr>
          <w:spacing w:val="-3"/>
          <w:sz w:val="18"/>
        </w:rPr>
        <w:t> </w:t>
      </w:r>
      <w:r>
        <w:rPr>
          <w:sz w:val="18"/>
        </w:rPr>
        <w:t>and</w:t>
      </w:r>
      <w:r>
        <w:rPr>
          <w:spacing w:val="-3"/>
          <w:sz w:val="18"/>
        </w:rPr>
        <w:t> </w:t>
      </w:r>
      <w:r>
        <w:rPr>
          <w:sz w:val="18"/>
        </w:rPr>
        <w:t>Strategy</w:t>
      </w:r>
      <w:r>
        <w:rPr>
          <w:spacing w:val="-2"/>
          <w:sz w:val="18"/>
        </w:rPr>
        <w:t> </w:t>
      </w:r>
      <w:r>
        <w:rPr>
          <w:sz w:val="18"/>
        </w:rPr>
        <w:t>(ILBT</w:t>
      </w:r>
      <w:r>
        <w:rPr>
          <w:spacing w:val="-1"/>
          <w:sz w:val="18"/>
        </w:rPr>
        <w:t> </w:t>
      </w:r>
      <w:r>
        <w:rPr>
          <w:sz w:val="18"/>
        </w:rPr>
        <w:t>2013)</w:t>
      </w:r>
      <w:r>
        <w:rPr>
          <w:spacing w:val="-2"/>
          <w:sz w:val="18"/>
        </w:rPr>
        <w:t> </w:t>
      </w:r>
      <w:r>
        <w:rPr>
          <w:sz w:val="18"/>
        </w:rPr>
        <w:t>provides</w:t>
      </w:r>
      <w:r>
        <w:rPr>
          <w:spacing w:val="-3"/>
          <w:sz w:val="18"/>
        </w:rPr>
        <w:t> </w:t>
      </w:r>
      <w:r>
        <w:rPr>
          <w:sz w:val="18"/>
        </w:rPr>
        <w:t>guidance</w:t>
      </w:r>
      <w:r>
        <w:rPr>
          <w:spacing w:val="-3"/>
          <w:sz w:val="18"/>
        </w:rPr>
        <w:t> </w:t>
      </w:r>
      <w:r>
        <w:rPr>
          <w:sz w:val="18"/>
        </w:rPr>
        <w:t>for Canada Lynx analysis unit management.</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359" w:right="1445"/>
      </w:pPr>
      <w:r>
        <w:rPr/>
        <w:t>Administrative,</w:t>
      </w:r>
      <w:r>
        <w:rPr>
          <w:spacing w:val="-8"/>
        </w:rPr>
        <w:t> </w:t>
      </w:r>
      <w:r>
        <w:rPr/>
        <w:t>motorized</w:t>
      </w:r>
      <w:r>
        <w:rPr>
          <w:spacing w:val="-9"/>
        </w:rPr>
        <w:t> </w:t>
      </w:r>
      <w:r>
        <w:rPr/>
        <w:t>vehicle</w:t>
      </w:r>
      <w:r>
        <w:rPr>
          <w:spacing w:val="-8"/>
        </w:rPr>
        <w:t> </w:t>
      </w:r>
      <w:r>
        <w:rPr/>
        <w:t>entries</w:t>
      </w:r>
      <w:r>
        <w:rPr>
          <w:spacing w:val="-8"/>
        </w:rPr>
        <w:t> </w:t>
      </w:r>
      <w:r>
        <w:rPr/>
        <w:t>on</w:t>
      </w:r>
      <w:r>
        <w:rPr>
          <w:spacing w:val="-9"/>
        </w:rPr>
        <w:t> </w:t>
      </w:r>
      <w:r>
        <w:rPr/>
        <w:t>restricted-use</w:t>
      </w:r>
      <w:r>
        <w:rPr>
          <w:spacing w:val="-5"/>
        </w:rPr>
        <w:t> </w:t>
      </w:r>
      <w:r>
        <w:rPr/>
        <w:t>roads</w:t>
      </w:r>
      <w:r>
        <w:rPr>
          <w:spacing w:val="-6"/>
        </w:rPr>
        <w:t> </w:t>
      </w:r>
      <w:r>
        <w:rPr/>
        <w:t>should</w:t>
      </w:r>
      <w:r>
        <w:rPr>
          <w:spacing w:val="-7"/>
        </w:rPr>
        <w:t> </w:t>
      </w:r>
      <w:r>
        <w:rPr/>
        <w:t>be</w:t>
      </w:r>
      <w:r>
        <w:rPr>
          <w:spacing w:val="-8"/>
        </w:rPr>
        <w:t> </w:t>
      </w:r>
      <w:r>
        <w:rPr/>
        <w:t>managed</w:t>
      </w:r>
      <w:r>
        <w:rPr>
          <w:spacing w:val="-7"/>
        </w:rPr>
        <w:t> </w:t>
      </w:r>
      <w:r>
        <w:rPr/>
        <w:t>to</w:t>
      </w:r>
      <w:r>
        <w:rPr>
          <w:spacing w:val="-5"/>
        </w:rPr>
        <w:t> </w:t>
      </w:r>
      <w:r>
        <w:rPr/>
        <w:t>not exceed the levels prescribed by the Interagency Grizzly Bear Committee.</w:t>
      </w:r>
    </w:p>
    <w:p>
      <w:pPr>
        <w:spacing w:before="234"/>
        <w:ind w:left="359" w:right="0" w:firstLine="0"/>
        <w:jc w:val="left"/>
        <w:rPr>
          <w:rFonts w:ascii="Arial" w:hAnsi="Arial"/>
          <w:i/>
          <w:sz w:val="22"/>
        </w:rPr>
      </w:pPr>
      <w:bookmarkStart w:name="FW-GDL-WL-12. Grizzly Bear Recovery Area" w:id="316"/>
      <w:bookmarkEnd w:id="316"/>
      <w:r>
        <w:rPr/>
      </w:r>
      <w:r>
        <w:rPr>
          <w:rFonts w:ascii="Arial" w:hAnsi="Arial"/>
          <w:i/>
          <w:sz w:val="22"/>
        </w:rPr>
        <w:t>FW-GDL-WL-12.</w:t>
      </w:r>
      <w:r>
        <w:rPr>
          <w:rFonts w:ascii="Arial" w:hAnsi="Arial"/>
          <w:i/>
          <w:spacing w:val="-9"/>
          <w:sz w:val="22"/>
        </w:rPr>
        <w:t> </w:t>
      </w:r>
      <w:r>
        <w:rPr>
          <w:rFonts w:ascii="Arial" w:hAnsi="Arial"/>
          <w:i/>
          <w:sz w:val="22"/>
        </w:rPr>
        <w:t>Grizzly</w:t>
      </w:r>
      <w:r>
        <w:rPr>
          <w:rFonts w:ascii="Arial" w:hAnsi="Arial"/>
          <w:i/>
          <w:spacing w:val="-3"/>
          <w:sz w:val="22"/>
        </w:rPr>
        <w:t> </w:t>
      </w:r>
      <w:r>
        <w:rPr>
          <w:rFonts w:ascii="Arial" w:hAnsi="Arial"/>
          <w:i/>
          <w:sz w:val="22"/>
        </w:rPr>
        <w:t>Bear</w:t>
      </w:r>
      <w:r>
        <w:rPr>
          <w:rFonts w:ascii="Arial" w:hAnsi="Arial"/>
          <w:i/>
          <w:spacing w:val="-4"/>
          <w:sz w:val="22"/>
        </w:rPr>
        <w:t> </w:t>
      </w:r>
      <w:r>
        <w:rPr>
          <w:rFonts w:ascii="Arial" w:hAnsi="Arial"/>
          <w:i/>
          <w:sz w:val="22"/>
        </w:rPr>
        <w:t>Recovery</w:t>
      </w:r>
      <w:r>
        <w:rPr>
          <w:rFonts w:ascii="Arial" w:hAnsi="Arial"/>
          <w:i/>
          <w:spacing w:val="-5"/>
          <w:sz w:val="22"/>
        </w:rPr>
        <w:t> </w:t>
      </w:r>
      <w:r>
        <w:rPr>
          <w:rFonts w:ascii="Arial" w:hAnsi="Arial"/>
          <w:i/>
          <w:sz w:val="22"/>
        </w:rPr>
        <w:t>Area</w:t>
      </w:r>
      <w:r>
        <w:rPr>
          <w:rFonts w:ascii="Arial" w:hAnsi="Arial"/>
          <w:i/>
          <w:spacing w:val="-5"/>
          <w:sz w:val="22"/>
        </w:rPr>
        <w:t> </w:t>
      </w:r>
      <w:r>
        <w:rPr>
          <w:rFonts w:ascii="Arial" w:hAnsi="Arial"/>
          <w:i/>
          <w:sz w:val="22"/>
        </w:rPr>
        <w:t>–</w:t>
      </w:r>
      <w:r>
        <w:rPr>
          <w:rFonts w:ascii="Arial" w:hAnsi="Arial"/>
          <w:i/>
          <w:spacing w:val="-8"/>
          <w:sz w:val="22"/>
        </w:rPr>
        <w:t> </w:t>
      </w:r>
      <w:r>
        <w:rPr>
          <w:rFonts w:ascii="Arial" w:hAnsi="Arial"/>
          <w:i/>
          <w:sz w:val="22"/>
        </w:rPr>
        <w:t>Hiding</w:t>
      </w:r>
      <w:r>
        <w:rPr>
          <w:rFonts w:ascii="Arial" w:hAnsi="Arial"/>
          <w:i/>
          <w:spacing w:val="-5"/>
          <w:sz w:val="22"/>
        </w:rPr>
        <w:t> </w:t>
      </w:r>
      <w:r>
        <w:rPr>
          <w:rFonts w:ascii="Arial" w:hAnsi="Arial"/>
          <w:i/>
          <w:spacing w:val="-2"/>
          <w:sz w:val="22"/>
        </w:rPr>
        <w:t>Cover</w:t>
      </w:r>
    </w:p>
    <w:p>
      <w:pPr>
        <w:pStyle w:val="BodyText"/>
        <w:spacing w:line="264" w:lineRule="exact" w:before="59"/>
        <w:ind w:left="359"/>
      </w:pPr>
      <w:r>
        <w:rPr/>
        <w:t>Hiding</w:t>
      </w:r>
      <w:r>
        <w:rPr>
          <w:spacing w:val="-10"/>
        </w:rPr>
        <w:t> </w:t>
      </w:r>
      <w:r>
        <w:rPr/>
        <w:t>cover</w:t>
      </w:r>
      <w:r>
        <w:rPr>
          <w:spacing w:val="-6"/>
        </w:rPr>
        <w:t> </w:t>
      </w:r>
      <w:r>
        <w:rPr/>
        <w:t>for</w:t>
      </w:r>
      <w:r>
        <w:rPr>
          <w:spacing w:val="-8"/>
        </w:rPr>
        <w:t> </w:t>
      </w:r>
      <w:r>
        <w:rPr/>
        <w:t>grizzly</w:t>
      </w:r>
      <w:r>
        <w:rPr>
          <w:spacing w:val="-6"/>
        </w:rPr>
        <w:t> </w:t>
      </w:r>
      <w:r>
        <w:rPr/>
        <w:t>bears</w:t>
      </w:r>
      <w:r>
        <w:rPr>
          <w:spacing w:val="-6"/>
        </w:rPr>
        <w:t> </w:t>
      </w:r>
      <w:r>
        <w:rPr/>
        <w:t>is</w:t>
      </w:r>
      <w:r>
        <w:rPr>
          <w:spacing w:val="-6"/>
        </w:rPr>
        <w:t> </w:t>
      </w:r>
      <w:r>
        <w:rPr/>
        <w:t>defined</w:t>
      </w:r>
      <w:r>
        <w:rPr>
          <w:spacing w:val="-8"/>
        </w:rPr>
        <w:t> </w:t>
      </w:r>
      <w:r>
        <w:rPr/>
        <w:t>as</w:t>
      </w:r>
      <w:r>
        <w:rPr>
          <w:spacing w:val="-6"/>
        </w:rPr>
        <w:t> </w:t>
      </w:r>
      <w:r>
        <w:rPr/>
        <w:t>topography</w:t>
      </w:r>
      <w:r>
        <w:rPr>
          <w:spacing w:val="-7"/>
        </w:rPr>
        <w:t> </w:t>
      </w:r>
      <w:r>
        <w:rPr/>
        <w:t>or</w:t>
      </w:r>
      <w:r>
        <w:rPr>
          <w:spacing w:val="-7"/>
        </w:rPr>
        <w:t> </w:t>
      </w:r>
      <w:r>
        <w:rPr/>
        <w:t>vegetation</w:t>
      </w:r>
      <w:r>
        <w:rPr>
          <w:spacing w:val="-7"/>
        </w:rPr>
        <w:t> </w:t>
      </w:r>
      <w:r>
        <w:rPr/>
        <w:t>capable</w:t>
      </w:r>
      <w:r>
        <w:rPr>
          <w:spacing w:val="-8"/>
        </w:rPr>
        <w:t> </w:t>
      </w:r>
      <w:r>
        <w:rPr/>
        <w:t>of</w:t>
      </w:r>
      <w:r>
        <w:rPr>
          <w:spacing w:val="-6"/>
        </w:rPr>
        <w:t> </w:t>
      </w:r>
      <w:r>
        <w:rPr>
          <w:spacing w:val="-2"/>
        </w:rPr>
        <w:t>screening</w:t>
      </w:r>
    </w:p>
    <w:p>
      <w:pPr>
        <w:pStyle w:val="BodyText"/>
        <w:spacing w:line="232" w:lineRule="auto" w:before="1"/>
        <w:ind w:left="359" w:right="1546"/>
      </w:pPr>
      <w:r>
        <w:rPr/>
        <w:t>90 percent of a bear</w:t>
      </w:r>
      <w:r>
        <w:rPr>
          <w:spacing w:val="-2"/>
        </w:rPr>
        <w:t> </w:t>
      </w:r>
      <w:r>
        <w:rPr/>
        <w:t>at a</w:t>
      </w:r>
      <w:r>
        <w:rPr>
          <w:spacing w:val="-2"/>
        </w:rPr>
        <w:t> </w:t>
      </w:r>
      <w:r>
        <w:rPr/>
        <w:t>distance</w:t>
      </w:r>
      <w:r>
        <w:rPr>
          <w:spacing w:val="-2"/>
        </w:rPr>
        <w:t> </w:t>
      </w:r>
      <w:r>
        <w:rPr/>
        <w:t>of</w:t>
      </w:r>
      <w:r>
        <w:rPr>
          <w:spacing w:val="-2"/>
        </w:rPr>
        <w:t> </w:t>
      </w:r>
      <w:r>
        <w:rPr/>
        <w:t>200</w:t>
      </w:r>
      <w:r>
        <w:rPr>
          <w:spacing w:val="-1"/>
        </w:rPr>
        <w:t> </w:t>
      </w:r>
      <w:r>
        <w:rPr/>
        <w:t>feet.</w:t>
      </w:r>
      <w:r>
        <w:rPr>
          <w:spacing w:val="-2"/>
        </w:rPr>
        <w:t> </w:t>
      </w:r>
      <w:r>
        <w:rPr/>
        <w:t>Within</w:t>
      </w:r>
      <w:r>
        <w:rPr>
          <w:spacing w:val="-1"/>
        </w:rPr>
        <w:t> </w:t>
      </w:r>
      <w:r>
        <w:rPr/>
        <w:t>the grizzly bear</w:t>
      </w:r>
      <w:r>
        <w:rPr>
          <w:spacing w:val="-2"/>
        </w:rPr>
        <w:t> </w:t>
      </w:r>
      <w:r>
        <w:rPr/>
        <w:t>recovery area, no point in a</w:t>
      </w:r>
      <w:r>
        <w:rPr>
          <w:spacing w:val="-7"/>
        </w:rPr>
        <w:t> </w:t>
      </w:r>
      <w:r>
        <w:rPr/>
        <w:t>created</w:t>
      </w:r>
      <w:r>
        <w:rPr>
          <w:spacing w:val="-10"/>
        </w:rPr>
        <w:t> </w:t>
      </w:r>
      <w:r>
        <w:rPr/>
        <w:t>opening</w:t>
      </w:r>
      <w:r>
        <w:rPr>
          <w:spacing w:val="-8"/>
        </w:rPr>
        <w:t> </w:t>
      </w:r>
      <w:r>
        <w:rPr/>
        <w:t>should</w:t>
      </w:r>
      <w:r>
        <w:rPr>
          <w:spacing w:val="-8"/>
        </w:rPr>
        <w:t> </w:t>
      </w:r>
      <w:r>
        <w:rPr/>
        <w:t>be</w:t>
      </w:r>
      <w:r>
        <w:rPr>
          <w:spacing w:val="-6"/>
        </w:rPr>
        <w:t> </w:t>
      </w:r>
      <w:r>
        <w:rPr/>
        <w:t>farther</w:t>
      </w:r>
      <w:r>
        <w:rPr>
          <w:spacing w:val="-9"/>
        </w:rPr>
        <w:t> </w:t>
      </w:r>
      <w:r>
        <w:rPr/>
        <w:t>than</w:t>
      </w:r>
      <w:r>
        <w:rPr>
          <w:spacing w:val="-8"/>
        </w:rPr>
        <w:t> </w:t>
      </w:r>
      <w:r>
        <w:rPr/>
        <w:t>600</w:t>
      </w:r>
      <w:r>
        <w:rPr>
          <w:spacing w:val="-8"/>
        </w:rPr>
        <w:t> </w:t>
      </w:r>
      <w:r>
        <w:rPr/>
        <w:t>feet</w:t>
      </w:r>
      <w:r>
        <w:rPr>
          <w:spacing w:val="-6"/>
        </w:rPr>
        <w:t> </w:t>
      </w:r>
      <w:r>
        <w:rPr/>
        <w:t>from</w:t>
      </w:r>
      <w:r>
        <w:rPr>
          <w:spacing w:val="-6"/>
        </w:rPr>
        <w:t> </w:t>
      </w:r>
      <w:r>
        <w:rPr/>
        <w:t>forested</w:t>
      </w:r>
      <w:r>
        <w:rPr>
          <w:spacing w:val="-8"/>
        </w:rPr>
        <w:t> </w:t>
      </w:r>
      <w:r>
        <w:rPr/>
        <w:t>hiding</w:t>
      </w:r>
      <w:r>
        <w:rPr>
          <w:spacing w:val="-8"/>
        </w:rPr>
        <w:t> </w:t>
      </w:r>
      <w:r>
        <w:rPr/>
        <w:t>cover.</w:t>
      </w:r>
      <w:r>
        <w:rPr>
          <w:spacing w:val="-7"/>
        </w:rPr>
        <w:t> </w:t>
      </w:r>
      <w:r>
        <w:rPr/>
        <w:t>Blocks</w:t>
      </w:r>
      <w:r>
        <w:rPr>
          <w:spacing w:val="-9"/>
        </w:rPr>
        <w:t> </w:t>
      </w:r>
      <w:r>
        <w:rPr/>
        <w:t>of</w:t>
      </w:r>
      <w:r>
        <w:rPr>
          <w:spacing w:val="-7"/>
        </w:rPr>
        <w:t> </w:t>
      </w:r>
      <w:r>
        <w:rPr/>
        <w:t>forested cover retained within harvest units specifically for grizzly bears should be at least 600 feet </w:t>
      </w:r>
      <w:r>
        <w:rPr>
          <w:spacing w:val="-2"/>
        </w:rPr>
        <w:t>across.</w:t>
      </w:r>
    </w:p>
    <w:p>
      <w:pPr>
        <w:pStyle w:val="BodyText"/>
        <w:spacing w:line="232" w:lineRule="auto" w:before="199"/>
        <w:ind w:left="358" w:right="1445"/>
      </w:pPr>
      <w:r>
        <w:rPr/>
        <w:t>Hiding cover should be maintained where it exists along open roads. Roadside cover can be provided</w:t>
      </w:r>
      <w:r>
        <w:rPr>
          <w:spacing w:val="-8"/>
        </w:rPr>
        <w:t> </w:t>
      </w:r>
      <w:r>
        <w:rPr/>
        <w:t>by</w:t>
      </w:r>
      <w:r>
        <w:rPr>
          <w:spacing w:val="-6"/>
        </w:rPr>
        <w:t> </w:t>
      </w:r>
      <w:r>
        <w:rPr/>
        <w:t>topography,</w:t>
      </w:r>
      <w:r>
        <w:rPr>
          <w:spacing w:val="-5"/>
        </w:rPr>
        <w:t> </w:t>
      </w:r>
      <w:r>
        <w:rPr/>
        <w:t>or</w:t>
      </w:r>
      <w:r>
        <w:rPr>
          <w:spacing w:val="-7"/>
        </w:rPr>
        <w:t> </w:t>
      </w:r>
      <w:r>
        <w:rPr/>
        <w:t>by</w:t>
      </w:r>
      <w:r>
        <w:rPr>
          <w:spacing w:val="-6"/>
        </w:rPr>
        <w:t> </w:t>
      </w:r>
      <w:r>
        <w:rPr/>
        <w:t>strips</w:t>
      </w:r>
      <w:r>
        <w:rPr>
          <w:spacing w:val="-7"/>
        </w:rPr>
        <w:t> </w:t>
      </w:r>
      <w:r>
        <w:rPr/>
        <w:t>/</w:t>
      </w:r>
      <w:r>
        <w:rPr>
          <w:spacing w:val="-4"/>
        </w:rPr>
        <w:t> </w:t>
      </w:r>
      <w:r>
        <w:rPr/>
        <w:t>patches</w:t>
      </w:r>
      <w:r>
        <w:rPr>
          <w:spacing w:val="-7"/>
        </w:rPr>
        <w:t> </w:t>
      </w:r>
      <w:r>
        <w:rPr/>
        <w:t>of</w:t>
      </w:r>
      <w:r>
        <w:rPr>
          <w:spacing w:val="-7"/>
        </w:rPr>
        <w:t> </w:t>
      </w:r>
      <w:r>
        <w:rPr/>
        <w:t>shrubs</w:t>
      </w:r>
      <w:r>
        <w:rPr>
          <w:spacing w:val="-5"/>
        </w:rPr>
        <w:t> </w:t>
      </w:r>
      <w:r>
        <w:rPr/>
        <w:t>/</w:t>
      </w:r>
      <w:r>
        <w:rPr>
          <w:spacing w:val="-6"/>
        </w:rPr>
        <w:t> </w:t>
      </w:r>
      <w:r>
        <w:rPr/>
        <w:t>trees</w:t>
      </w:r>
      <w:r>
        <w:rPr>
          <w:spacing w:val="-7"/>
        </w:rPr>
        <w:t> </w:t>
      </w:r>
      <w:r>
        <w:rPr/>
        <w:t>retained</w:t>
      </w:r>
      <w:r>
        <w:rPr>
          <w:spacing w:val="-8"/>
        </w:rPr>
        <w:t> </w:t>
      </w:r>
      <w:r>
        <w:rPr/>
        <w:t>within</w:t>
      </w:r>
      <w:r>
        <w:rPr>
          <w:spacing w:val="-6"/>
        </w:rPr>
        <w:t> </w:t>
      </w:r>
      <w:r>
        <w:rPr/>
        <w:t>harvest</w:t>
      </w:r>
      <w:r>
        <w:rPr>
          <w:spacing w:val="-4"/>
        </w:rPr>
        <w:t> </w:t>
      </w:r>
      <w:r>
        <w:rPr/>
        <w:t>units.</w:t>
      </w:r>
    </w:p>
    <w:p>
      <w:pPr>
        <w:spacing w:before="234"/>
        <w:ind w:left="358" w:right="0" w:firstLine="0"/>
        <w:jc w:val="left"/>
        <w:rPr>
          <w:rFonts w:ascii="Arial" w:hAnsi="Arial"/>
          <w:i/>
          <w:sz w:val="22"/>
        </w:rPr>
      </w:pPr>
      <w:bookmarkStart w:name="FW-GDL-WL-13. Mule Deer, White-tailed De" w:id="317"/>
      <w:bookmarkEnd w:id="317"/>
      <w:r>
        <w:rPr/>
      </w:r>
      <w:r>
        <w:rPr>
          <w:rFonts w:ascii="Arial" w:hAnsi="Arial"/>
          <w:i/>
          <w:sz w:val="22"/>
        </w:rPr>
        <w:t>FW-GDL-WL-13.</w:t>
      </w:r>
      <w:r>
        <w:rPr>
          <w:rFonts w:ascii="Arial" w:hAnsi="Arial"/>
          <w:i/>
          <w:spacing w:val="-9"/>
          <w:sz w:val="22"/>
        </w:rPr>
        <w:t> </w:t>
      </w:r>
      <w:r>
        <w:rPr>
          <w:rFonts w:ascii="Arial" w:hAnsi="Arial"/>
          <w:i/>
          <w:sz w:val="22"/>
        </w:rPr>
        <w:t>Mule</w:t>
      </w:r>
      <w:r>
        <w:rPr>
          <w:rFonts w:ascii="Arial" w:hAnsi="Arial"/>
          <w:i/>
          <w:spacing w:val="-5"/>
          <w:sz w:val="22"/>
        </w:rPr>
        <w:t> </w:t>
      </w:r>
      <w:r>
        <w:rPr>
          <w:rFonts w:ascii="Arial" w:hAnsi="Arial"/>
          <w:i/>
          <w:sz w:val="22"/>
        </w:rPr>
        <w:t>Deer,</w:t>
      </w:r>
      <w:r>
        <w:rPr>
          <w:rFonts w:ascii="Arial" w:hAnsi="Arial"/>
          <w:i/>
          <w:spacing w:val="-8"/>
          <w:sz w:val="22"/>
        </w:rPr>
        <w:t> </w:t>
      </w:r>
      <w:r>
        <w:rPr>
          <w:rFonts w:ascii="Arial" w:hAnsi="Arial"/>
          <w:i/>
          <w:sz w:val="22"/>
        </w:rPr>
        <w:t>White-tailed</w:t>
      </w:r>
      <w:r>
        <w:rPr>
          <w:rFonts w:ascii="Arial" w:hAnsi="Arial"/>
          <w:i/>
          <w:spacing w:val="-6"/>
          <w:sz w:val="22"/>
        </w:rPr>
        <w:t> </w:t>
      </w:r>
      <w:r>
        <w:rPr>
          <w:rFonts w:ascii="Arial" w:hAnsi="Arial"/>
          <w:i/>
          <w:sz w:val="22"/>
        </w:rPr>
        <w:t>Deer,</w:t>
      </w:r>
      <w:r>
        <w:rPr>
          <w:rFonts w:ascii="Arial" w:hAnsi="Arial"/>
          <w:i/>
          <w:spacing w:val="-3"/>
          <w:sz w:val="22"/>
        </w:rPr>
        <w:t> </w:t>
      </w:r>
      <w:r>
        <w:rPr>
          <w:rFonts w:ascii="Arial" w:hAnsi="Arial"/>
          <w:i/>
          <w:sz w:val="22"/>
        </w:rPr>
        <w:t>and</w:t>
      </w:r>
      <w:r>
        <w:rPr>
          <w:rFonts w:ascii="Arial" w:hAnsi="Arial"/>
          <w:i/>
          <w:spacing w:val="-6"/>
          <w:sz w:val="22"/>
        </w:rPr>
        <w:t> </w:t>
      </w:r>
      <w:r>
        <w:rPr>
          <w:rFonts w:ascii="Arial" w:hAnsi="Arial"/>
          <w:i/>
          <w:sz w:val="22"/>
        </w:rPr>
        <w:t>Elk</w:t>
      </w:r>
      <w:r>
        <w:rPr>
          <w:rFonts w:ascii="Arial" w:hAnsi="Arial"/>
          <w:i/>
          <w:spacing w:val="-4"/>
          <w:sz w:val="22"/>
        </w:rPr>
        <w:t> </w:t>
      </w:r>
      <w:r>
        <w:rPr>
          <w:rFonts w:ascii="Arial" w:hAnsi="Arial"/>
          <w:i/>
          <w:sz w:val="22"/>
        </w:rPr>
        <w:t>Habitat</w:t>
      </w:r>
      <w:r>
        <w:rPr>
          <w:rFonts w:ascii="Arial" w:hAnsi="Arial"/>
          <w:i/>
          <w:spacing w:val="-6"/>
          <w:sz w:val="22"/>
        </w:rPr>
        <w:t> </w:t>
      </w:r>
      <w:r>
        <w:rPr>
          <w:rFonts w:ascii="Arial" w:hAnsi="Arial"/>
          <w:i/>
          <w:sz w:val="22"/>
        </w:rPr>
        <w:t>–</w:t>
      </w:r>
      <w:r>
        <w:rPr>
          <w:rFonts w:ascii="Arial" w:hAnsi="Arial"/>
          <w:i/>
          <w:spacing w:val="-5"/>
          <w:sz w:val="22"/>
        </w:rPr>
        <w:t> </w:t>
      </w:r>
      <w:r>
        <w:rPr>
          <w:rFonts w:ascii="Arial" w:hAnsi="Arial"/>
          <w:i/>
          <w:sz w:val="22"/>
        </w:rPr>
        <w:t>Human</w:t>
      </w:r>
      <w:r>
        <w:rPr>
          <w:rFonts w:ascii="Arial" w:hAnsi="Arial"/>
          <w:i/>
          <w:spacing w:val="-7"/>
          <w:sz w:val="22"/>
        </w:rPr>
        <w:t> </w:t>
      </w:r>
      <w:r>
        <w:rPr>
          <w:rFonts w:ascii="Arial" w:hAnsi="Arial"/>
          <w:i/>
          <w:spacing w:val="-2"/>
          <w:sz w:val="22"/>
        </w:rPr>
        <w:t>Activities</w:t>
      </w:r>
    </w:p>
    <w:p>
      <w:pPr>
        <w:pStyle w:val="BodyText"/>
        <w:spacing w:line="232" w:lineRule="auto" w:before="65"/>
        <w:ind w:left="358" w:right="1621"/>
      </w:pPr>
      <w:r>
        <w:rPr/>
        <w:t>Human activities should be restricted to designated routes during the winter period of December 1 to March 31 in winter range. When human activities must occur (i.e., winter logging),</w:t>
      </w:r>
      <w:r>
        <w:rPr>
          <w:spacing w:val="-4"/>
        </w:rPr>
        <w:t> </w:t>
      </w:r>
      <w:r>
        <w:rPr/>
        <w:t>adequate</w:t>
      </w:r>
      <w:r>
        <w:rPr>
          <w:spacing w:val="-6"/>
        </w:rPr>
        <w:t> </w:t>
      </w:r>
      <w:r>
        <w:rPr/>
        <w:t>displacement</w:t>
      </w:r>
      <w:r>
        <w:rPr>
          <w:spacing w:val="-3"/>
        </w:rPr>
        <w:t> </w:t>
      </w:r>
      <w:r>
        <w:rPr/>
        <w:t>areas</w:t>
      </w:r>
      <w:r>
        <w:rPr>
          <w:spacing w:val="-6"/>
        </w:rPr>
        <w:t> </w:t>
      </w:r>
      <w:r>
        <w:rPr/>
        <w:t>should</w:t>
      </w:r>
      <w:r>
        <w:rPr>
          <w:spacing w:val="-5"/>
        </w:rPr>
        <w:t> </w:t>
      </w:r>
      <w:r>
        <w:rPr/>
        <w:t>be</w:t>
      </w:r>
      <w:r>
        <w:rPr>
          <w:spacing w:val="-6"/>
        </w:rPr>
        <w:t> </w:t>
      </w:r>
      <w:r>
        <w:rPr/>
        <w:t>provided</w:t>
      </w:r>
      <w:r>
        <w:rPr>
          <w:spacing w:val="-5"/>
        </w:rPr>
        <w:t> </w:t>
      </w:r>
      <w:r>
        <w:rPr/>
        <w:t>for</w:t>
      </w:r>
      <w:r>
        <w:rPr>
          <w:spacing w:val="-4"/>
        </w:rPr>
        <w:t> </w:t>
      </w:r>
      <w:r>
        <w:rPr/>
        <w:t>deer</w:t>
      </w:r>
      <w:r>
        <w:rPr>
          <w:spacing w:val="-4"/>
        </w:rPr>
        <w:t> </w:t>
      </w:r>
      <w:r>
        <w:rPr/>
        <w:t>and</w:t>
      </w:r>
      <w:r>
        <w:rPr>
          <w:spacing w:val="-7"/>
        </w:rPr>
        <w:t> </w:t>
      </w:r>
      <w:r>
        <w:rPr/>
        <w:t>elk</w:t>
      </w:r>
      <w:r>
        <w:rPr>
          <w:spacing w:val="-3"/>
        </w:rPr>
        <w:t> </w:t>
      </w:r>
      <w:r>
        <w:rPr/>
        <w:t>to</w:t>
      </w:r>
      <w:r>
        <w:rPr>
          <w:spacing w:val="-5"/>
        </w:rPr>
        <w:t> </w:t>
      </w:r>
      <w:r>
        <w:rPr/>
        <w:t>maintain</w:t>
      </w:r>
      <w:r>
        <w:rPr>
          <w:spacing w:val="-5"/>
        </w:rPr>
        <w:t> </w:t>
      </w:r>
      <w:r>
        <w:rPr/>
        <w:t>the effectiveness of the wintering area.</w:t>
      </w:r>
    </w:p>
    <w:p>
      <w:pPr>
        <w:spacing w:before="234"/>
        <w:ind w:left="358" w:right="0" w:firstLine="0"/>
        <w:jc w:val="left"/>
        <w:rPr>
          <w:rFonts w:ascii="Arial"/>
          <w:i/>
          <w:sz w:val="22"/>
        </w:rPr>
      </w:pPr>
      <w:bookmarkStart w:name="FW-GDL-WL-14. Mule Deer, White-tailed De" w:id="318"/>
      <w:bookmarkEnd w:id="318"/>
      <w:r>
        <w:rPr/>
      </w:r>
      <w:r>
        <w:rPr>
          <w:rFonts w:ascii="Arial"/>
          <w:i/>
          <w:sz w:val="22"/>
        </w:rPr>
        <w:t>FW-GDL-WL-14.</w:t>
      </w:r>
      <w:r>
        <w:rPr>
          <w:rFonts w:ascii="Arial"/>
          <w:i/>
          <w:spacing w:val="-8"/>
          <w:sz w:val="22"/>
        </w:rPr>
        <w:t> </w:t>
      </w:r>
      <w:r>
        <w:rPr>
          <w:rFonts w:ascii="Arial"/>
          <w:i/>
          <w:sz w:val="22"/>
        </w:rPr>
        <w:t>Mule</w:t>
      </w:r>
      <w:r>
        <w:rPr>
          <w:rFonts w:ascii="Arial"/>
          <w:i/>
          <w:spacing w:val="-6"/>
          <w:sz w:val="22"/>
        </w:rPr>
        <w:t> </w:t>
      </w:r>
      <w:r>
        <w:rPr>
          <w:rFonts w:ascii="Arial"/>
          <w:i/>
          <w:sz w:val="22"/>
        </w:rPr>
        <w:t>Deer,</w:t>
      </w:r>
      <w:r>
        <w:rPr>
          <w:rFonts w:ascii="Arial"/>
          <w:i/>
          <w:spacing w:val="-9"/>
          <w:sz w:val="22"/>
        </w:rPr>
        <w:t> </w:t>
      </w:r>
      <w:r>
        <w:rPr>
          <w:rFonts w:ascii="Arial"/>
          <w:i/>
          <w:sz w:val="22"/>
        </w:rPr>
        <w:t>White-tailed</w:t>
      </w:r>
      <w:r>
        <w:rPr>
          <w:rFonts w:ascii="Arial"/>
          <w:i/>
          <w:spacing w:val="-6"/>
          <w:sz w:val="22"/>
        </w:rPr>
        <w:t> </w:t>
      </w:r>
      <w:r>
        <w:rPr>
          <w:rFonts w:ascii="Arial"/>
          <w:i/>
          <w:sz w:val="22"/>
        </w:rPr>
        <w:t>Deer,</w:t>
      </w:r>
      <w:r>
        <w:rPr>
          <w:rFonts w:ascii="Arial"/>
          <w:i/>
          <w:spacing w:val="-4"/>
          <w:sz w:val="22"/>
        </w:rPr>
        <w:t> </w:t>
      </w:r>
      <w:r>
        <w:rPr>
          <w:rFonts w:ascii="Arial"/>
          <w:i/>
          <w:sz w:val="22"/>
        </w:rPr>
        <w:t>and</w:t>
      </w:r>
      <w:r>
        <w:rPr>
          <w:rFonts w:ascii="Arial"/>
          <w:i/>
          <w:spacing w:val="-5"/>
          <w:sz w:val="22"/>
        </w:rPr>
        <w:t> </w:t>
      </w:r>
      <w:r>
        <w:rPr>
          <w:rFonts w:ascii="Arial"/>
          <w:i/>
          <w:sz w:val="22"/>
        </w:rPr>
        <w:t>Elk</w:t>
      </w:r>
      <w:r>
        <w:rPr>
          <w:rFonts w:ascii="Arial"/>
          <w:i/>
          <w:spacing w:val="-5"/>
          <w:sz w:val="22"/>
        </w:rPr>
        <w:t> </w:t>
      </w:r>
      <w:r>
        <w:rPr>
          <w:rFonts w:ascii="Arial"/>
          <w:i/>
          <w:spacing w:val="-2"/>
          <w:sz w:val="22"/>
        </w:rPr>
        <w:t>Forage</w:t>
      </w:r>
    </w:p>
    <w:p>
      <w:pPr>
        <w:pStyle w:val="BodyText"/>
        <w:spacing w:line="232" w:lineRule="auto" w:before="65"/>
        <w:ind w:left="358" w:right="1536"/>
      </w:pPr>
      <w:r>
        <w:rPr/>
        <w:t>Production of browse and other forage should be stimulated within deer winter range.</w:t>
      </w:r>
      <w:r>
        <w:rPr/>
        <w:t> Minimize</w:t>
      </w:r>
      <w:r>
        <w:rPr>
          <w:spacing w:val="-11"/>
        </w:rPr>
        <w:t> </w:t>
      </w:r>
      <w:r>
        <w:rPr/>
        <w:t>tree</w:t>
      </w:r>
      <w:r>
        <w:rPr>
          <w:spacing w:val="-8"/>
        </w:rPr>
        <w:t> </w:t>
      </w:r>
      <w:r>
        <w:rPr/>
        <w:t>invasion</w:t>
      </w:r>
      <w:r>
        <w:rPr>
          <w:spacing w:val="-10"/>
        </w:rPr>
        <w:t> </w:t>
      </w:r>
      <w:r>
        <w:rPr/>
        <w:t>into</w:t>
      </w:r>
      <w:r>
        <w:rPr>
          <w:spacing w:val="-10"/>
        </w:rPr>
        <w:t> </w:t>
      </w:r>
      <w:r>
        <w:rPr/>
        <w:t>non-forested,</w:t>
      </w:r>
      <w:r>
        <w:rPr>
          <w:spacing w:val="-11"/>
        </w:rPr>
        <w:t> </w:t>
      </w:r>
      <w:r>
        <w:rPr/>
        <w:t>brush-dominated</w:t>
      </w:r>
      <w:r>
        <w:rPr>
          <w:spacing w:val="-10"/>
        </w:rPr>
        <w:t> </w:t>
      </w:r>
      <w:r>
        <w:rPr/>
        <w:t>areas</w:t>
      </w:r>
      <w:r>
        <w:rPr>
          <w:spacing w:val="-9"/>
        </w:rPr>
        <w:t> </w:t>
      </w:r>
      <w:r>
        <w:rPr/>
        <w:t>to</w:t>
      </w:r>
      <w:r>
        <w:rPr>
          <w:spacing w:val="-10"/>
        </w:rPr>
        <w:t> </w:t>
      </w:r>
      <w:r>
        <w:rPr/>
        <w:t>maintain</w:t>
      </w:r>
      <w:r>
        <w:rPr>
          <w:spacing w:val="-10"/>
        </w:rPr>
        <w:t> </w:t>
      </w:r>
      <w:r>
        <w:rPr/>
        <w:t>browse</w:t>
      </w:r>
      <w:r>
        <w:rPr>
          <w:spacing w:val="-8"/>
        </w:rPr>
        <w:t> </w:t>
      </w:r>
      <w:r>
        <w:rPr/>
        <w:t>condition. Consider treatment when browse species are out of reach or in need of rejuvenation or re- </w:t>
      </w:r>
      <w:r>
        <w:rPr>
          <w:spacing w:val="-2"/>
        </w:rPr>
        <w:t>introduction.</w:t>
      </w:r>
    </w:p>
    <w:p>
      <w:pPr>
        <w:spacing w:before="234"/>
        <w:ind w:left="358" w:right="0" w:firstLine="0"/>
        <w:jc w:val="left"/>
        <w:rPr>
          <w:rFonts w:ascii="Arial"/>
          <w:i/>
          <w:sz w:val="22"/>
        </w:rPr>
      </w:pPr>
      <w:bookmarkStart w:name="FW-GDL-WL-15. Fire-dependent Surrogate W" w:id="319"/>
      <w:bookmarkEnd w:id="319"/>
      <w:r>
        <w:rPr/>
      </w:r>
      <w:r>
        <w:rPr>
          <w:rFonts w:ascii="Arial"/>
          <w:i/>
          <w:sz w:val="22"/>
        </w:rPr>
        <w:t>FW-GDL-WL-15.</w:t>
      </w:r>
      <w:r>
        <w:rPr>
          <w:rFonts w:ascii="Arial"/>
          <w:i/>
          <w:spacing w:val="-11"/>
          <w:sz w:val="22"/>
        </w:rPr>
        <w:t> </w:t>
      </w:r>
      <w:r>
        <w:rPr>
          <w:rFonts w:ascii="Arial"/>
          <w:i/>
          <w:sz w:val="22"/>
        </w:rPr>
        <w:t>Fire-dependent</w:t>
      </w:r>
      <w:r>
        <w:rPr>
          <w:rFonts w:ascii="Arial"/>
          <w:i/>
          <w:spacing w:val="-9"/>
          <w:sz w:val="22"/>
        </w:rPr>
        <w:t> </w:t>
      </w:r>
      <w:r>
        <w:rPr>
          <w:rFonts w:ascii="Arial"/>
          <w:i/>
          <w:sz w:val="22"/>
        </w:rPr>
        <w:t>Surrogate</w:t>
      </w:r>
      <w:r>
        <w:rPr>
          <w:rFonts w:ascii="Arial"/>
          <w:i/>
          <w:spacing w:val="-11"/>
          <w:sz w:val="22"/>
        </w:rPr>
        <w:t> </w:t>
      </w:r>
      <w:r>
        <w:rPr>
          <w:rFonts w:ascii="Arial"/>
          <w:i/>
          <w:sz w:val="22"/>
        </w:rPr>
        <w:t>Wildlife</w:t>
      </w:r>
      <w:r>
        <w:rPr>
          <w:rFonts w:ascii="Arial"/>
          <w:i/>
          <w:spacing w:val="-10"/>
          <w:sz w:val="22"/>
        </w:rPr>
        <w:t> </w:t>
      </w:r>
      <w:r>
        <w:rPr>
          <w:rFonts w:ascii="Arial"/>
          <w:i/>
          <w:spacing w:val="-2"/>
          <w:sz w:val="22"/>
        </w:rPr>
        <w:t>Species</w:t>
      </w:r>
    </w:p>
    <w:p>
      <w:pPr>
        <w:pStyle w:val="BodyText"/>
        <w:spacing w:line="232" w:lineRule="auto" w:before="65"/>
        <w:ind w:left="357" w:right="1621"/>
      </w:pPr>
      <w:r>
        <w:rPr/>
        <w:t>To provide habitat for fire-dependent surrogate species (e.g., black-backed woodpecker) and associated species, post-fire timber harvest should only be used when the availability of suitable</w:t>
      </w:r>
      <w:r>
        <w:rPr>
          <w:spacing w:val="-8"/>
        </w:rPr>
        <w:t> </w:t>
      </w:r>
      <w:r>
        <w:rPr/>
        <w:t>post-fire</w:t>
      </w:r>
      <w:r>
        <w:rPr>
          <w:spacing w:val="-8"/>
        </w:rPr>
        <w:t> </w:t>
      </w:r>
      <w:r>
        <w:rPr/>
        <w:t>habitats</w:t>
      </w:r>
      <w:r>
        <w:rPr>
          <w:spacing w:val="-9"/>
        </w:rPr>
        <w:t> </w:t>
      </w:r>
      <w:r>
        <w:rPr/>
        <w:t>(refer</w:t>
      </w:r>
      <w:r>
        <w:rPr>
          <w:spacing w:val="-11"/>
        </w:rPr>
        <w:t> </w:t>
      </w:r>
      <w:r>
        <w:rPr/>
        <w:t>to</w:t>
      </w:r>
      <w:r>
        <w:rPr>
          <w:spacing w:val="-10"/>
        </w:rPr>
        <w:t> </w:t>
      </w:r>
      <w:r>
        <w:rPr/>
        <w:t>Vegetation</w:t>
      </w:r>
      <w:r>
        <w:rPr>
          <w:spacing w:val="-12"/>
        </w:rPr>
        <w:t> </w:t>
      </w:r>
      <w:r>
        <w:rPr/>
        <w:t>Desired</w:t>
      </w:r>
      <w:r>
        <w:rPr>
          <w:spacing w:val="-12"/>
        </w:rPr>
        <w:t> </w:t>
      </w:r>
      <w:r>
        <w:rPr/>
        <w:t>Conditions</w:t>
      </w:r>
      <w:r>
        <w:rPr>
          <w:spacing w:val="-9"/>
        </w:rPr>
        <w:t> </w:t>
      </w:r>
      <w:r>
        <w:rPr/>
        <w:t>FW-DC-VEG-03</w:t>
      </w:r>
      <w:r>
        <w:rPr>
          <w:spacing w:val="-10"/>
        </w:rPr>
        <w:t> </w:t>
      </w:r>
      <w:r>
        <w:rPr/>
        <w:t>and</w:t>
      </w:r>
      <w:r>
        <w:rPr>
          <w:spacing w:val="-10"/>
        </w:rPr>
        <w:t> </w:t>
      </w:r>
      <w:r>
        <w:rPr/>
        <w:t>04</w:t>
      </w:r>
      <w:r>
        <w:rPr>
          <w:spacing w:val="-10"/>
        </w:rPr>
        <w:t> </w:t>
      </w:r>
      <w:r>
        <w:rPr/>
        <w:t>(</w:t>
      </w:r>
      <w:hyperlink w:history="true" w:anchor="_bookmark78">
        <w:r>
          <w:rPr/>
          <w:t>table</w:t>
        </w:r>
      </w:hyperlink>
      <w:r>
        <w:rPr/>
        <w:t> </w:t>
      </w:r>
      <w:hyperlink w:history="true" w:anchor="_bookmark78">
        <w:r>
          <w:rPr/>
          <w:t>5</w:t>
        </w:r>
      </w:hyperlink>
      <w:r>
        <w:rPr/>
        <w:t>) for early structure) are above the desired condition measured at the sub-basin scale.</w:t>
      </w:r>
    </w:p>
    <w:p>
      <w:pPr>
        <w:spacing w:before="231"/>
        <w:ind w:left="357" w:right="0" w:firstLine="0"/>
        <w:jc w:val="left"/>
        <w:rPr>
          <w:rFonts w:ascii="Arial"/>
          <w:i/>
          <w:sz w:val="22"/>
        </w:rPr>
      </w:pPr>
      <w:bookmarkStart w:name="FW-GDL-WL-16. Bat Habitat Protection" w:id="320"/>
      <w:bookmarkEnd w:id="320"/>
      <w:r>
        <w:rPr/>
      </w:r>
      <w:r>
        <w:rPr>
          <w:rFonts w:ascii="Arial"/>
          <w:i/>
          <w:sz w:val="22"/>
        </w:rPr>
        <w:t>FW-GDL-WL-16.</w:t>
      </w:r>
      <w:r>
        <w:rPr>
          <w:rFonts w:ascii="Arial"/>
          <w:i/>
          <w:spacing w:val="-8"/>
          <w:sz w:val="22"/>
        </w:rPr>
        <w:t> </w:t>
      </w:r>
      <w:r>
        <w:rPr>
          <w:rFonts w:ascii="Arial"/>
          <w:i/>
          <w:sz w:val="22"/>
        </w:rPr>
        <w:t>Bat</w:t>
      </w:r>
      <w:r>
        <w:rPr>
          <w:rFonts w:ascii="Arial"/>
          <w:i/>
          <w:spacing w:val="-7"/>
          <w:sz w:val="22"/>
        </w:rPr>
        <w:t> </w:t>
      </w:r>
      <w:r>
        <w:rPr>
          <w:rFonts w:ascii="Arial"/>
          <w:i/>
          <w:sz w:val="22"/>
        </w:rPr>
        <w:t>Habitat</w:t>
      </w:r>
      <w:r>
        <w:rPr>
          <w:rFonts w:ascii="Arial"/>
          <w:i/>
          <w:spacing w:val="-4"/>
          <w:sz w:val="22"/>
        </w:rPr>
        <w:t> </w:t>
      </w:r>
      <w:r>
        <w:rPr>
          <w:rFonts w:ascii="Arial"/>
          <w:i/>
          <w:spacing w:val="-2"/>
          <w:sz w:val="22"/>
        </w:rPr>
        <w:t>Protection</w:t>
      </w:r>
    </w:p>
    <w:p>
      <w:pPr>
        <w:pStyle w:val="BodyText"/>
        <w:spacing w:line="232" w:lineRule="auto" w:before="65"/>
        <w:ind w:left="357" w:right="1445"/>
      </w:pPr>
      <w:r>
        <w:rPr/>
        <w:t>Human</w:t>
      </w:r>
      <w:r>
        <w:rPr>
          <w:spacing w:val="-6"/>
        </w:rPr>
        <w:t> </w:t>
      </w:r>
      <w:r>
        <w:rPr/>
        <w:t>activities</w:t>
      </w:r>
      <w:r>
        <w:rPr>
          <w:spacing w:val="-5"/>
        </w:rPr>
        <w:t> </w:t>
      </w:r>
      <w:r>
        <w:rPr/>
        <w:t>should</w:t>
      </w:r>
      <w:r>
        <w:rPr>
          <w:spacing w:val="-6"/>
        </w:rPr>
        <w:t> </w:t>
      </w:r>
      <w:r>
        <w:rPr/>
        <w:t>be</w:t>
      </w:r>
      <w:r>
        <w:rPr>
          <w:spacing w:val="-7"/>
        </w:rPr>
        <w:t> </w:t>
      </w:r>
      <w:r>
        <w:rPr/>
        <w:t>managed</w:t>
      </w:r>
      <w:r>
        <w:rPr>
          <w:spacing w:val="-6"/>
        </w:rPr>
        <w:t> </w:t>
      </w:r>
      <w:r>
        <w:rPr/>
        <w:t>to</w:t>
      </w:r>
      <w:r>
        <w:rPr>
          <w:spacing w:val="-4"/>
        </w:rPr>
        <w:t> </w:t>
      </w:r>
      <w:r>
        <w:rPr/>
        <w:t>protect</w:t>
      </w:r>
      <w:r>
        <w:rPr>
          <w:spacing w:val="-7"/>
        </w:rPr>
        <w:t> </w:t>
      </w:r>
      <w:r>
        <w:rPr/>
        <w:t>bat</w:t>
      </w:r>
      <w:r>
        <w:rPr>
          <w:spacing w:val="-4"/>
        </w:rPr>
        <w:t> </w:t>
      </w:r>
      <w:r>
        <w:rPr/>
        <w:t>hibernacula</w:t>
      </w:r>
      <w:r>
        <w:rPr>
          <w:spacing w:val="-5"/>
        </w:rPr>
        <w:t> </w:t>
      </w:r>
      <w:r>
        <w:rPr/>
        <w:t>from</w:t>
      </w:r>
      <w:r>
        <w:rPr>
          <w:spacing w:val="-4"/>
        </w:rPr>
        <w:t> </w:t>
      </w:r>
      <w:r>
        <w:rPr/>
        <w:t>disturbance</w:t>
      </w:r>
      <w:r>
        <w:rPr>
          <w:spacing w:val="-4"/>
        </w:rPr>
        <w:t> </w:t>
      </w:r>
      <w:r>
        <w:rPr/>
        <w:t>and</w:t>
      </w:r>
      <w:r>
        <w:rPr>
          <w:spacing w:val="-6"/>
        </w:rPr>
        <w:t> </w:t>
      </w:r>
      <w:r>
        <w:rPr/>
        <w:t>exposure of bats to white-nose syndrome.</w:t>
      </w:r>
    </w:p>
    <w:p>
      <w:pPr>
        <w:spacing w:before="234"/>
        <w:ind w:left="357" w:right="0" w:firstLine="0"/>
        <w:jc w:val="left"/>
        <w:rPr>
          <w:rFonts w:ascii="Arial"/>
          <w:i/>
          <w:sz w:val="22"/>
        </w:rPr>
      </w:pPr>
      <w:bookmarkStart w:name="FW-GDL-WL-17. Nesting Habitat for Common" w:id="321"/>
      <w:bookmarkEnd w:id="321"/>
      <w:r>
        <w:rPr/>
      </w:r>
      <w:r>
        <w:rPr>
          <w:rFonts w:ascii="Arial"/>
          <w:i/>
          <w:sz w:val="22"/>
        </w:rPr>
        <w:t>FW-GDL-WL-17.</w:t>
      </w:r>
      <w:r>
        <w:rPr>
          <w:rFonts w:ascii="Arial"/>
          <w:i/>
          <w:spacing w:val="-8"/>
          <w:sz w:val="22"/>
        </w:rPr>
        <w:t> </w:t>
      </w:r>
      <w:r>
        <w:rPr>
          <w:rFonts w:ascii="Arial"/>
          <w:i/>
          <w:sz w:val="22"/>
        </w:rPr>
        <w:t>Nesting</w:t>
      </w:r>
      <w:r>
        <w:rPr>
          <w:rFonts w:ascii="Arial"/>
          <w:i/>
          <w:spacing w:val="-6"/>
          <w:sz w:val="22"/>
        </w:rPr>
        <w:t> </w:t>
      </w:r>
      <w:r>
        <w:rPr>
          <w:rFonts w:ascii="Arial"/>
          <w:i/>
          <w:sz w:val="22"/>
        </w:rPr>
        <w:t>Habitat</w:t>
      </w:r>
      <w:r>
        <w:rPr>
          <w:rFonts w:ascii="Arial"/>
          <w:i/>
          <w:spacing w:val="-6"/>
          <w:sz w:val="22"/>
        </w:rPr>
        <w:t> </w:t>
      </w:r>
      <w:r>
        <w:rPr>
          <w:rFonts w:ascii="Arial"/>
          <w:i/>
          <w:sz w:val="22"/>
        </w:rPr>
        <w:t>for</w:t>
      </w:r>
      <w:r>
        <w:rPr>
          <w:rFonts w:ascii="Arial"/>
          <w:i/>
          <w:spacing w:val="-4"/>
          <w:sz w:val="22"/>
        </w:rPr>
        <w:t> </w:t>
      </w:r>
      <w:r>
        <w:rPr>
          <w:rFonts w:ascii="Arial"/>
          <w:i/>
          <w:sz w:val="22"/>
        </w:rPr>
        <w:t>Common</w:t>
      </w:r>
      <w:r>
        <w:rPr>
          <w:rFonts w:ascii="Arial"/>
          <w:i/>
          <w:spacing w:val="-8"/>
          <w:sz w:val="22"/>
        </w:rPr>
        <w:t> </w:t>
      </w:r>
      <w:r>
        <w:rPr>
          <w:rFonts w:ascii="Arial"/>
          <w:i/>
          <w:spacing w:val="-4"/>
          <w:sz w:val="22"/>
        </w:rPr>
        <w:t>Loon</w:t>
      </w:r>
    </w:p>
    <w:p>
      <w:pPr>
        <w:pStyle w:val="BodyText"/>
        <w:spacing w:line="232" w:lineRule="auto" w:before="65"/>
        <w:ind w:left="357" w:right="1445"/>
      </w:pPr>
      <w:r>
        <w:rPr/>
        <w:t>Human</w:t>
      </w:r>
      <w:r>
        <w:rPr>
          <w:spacing w:val="-6"/>
        </w:rPr>
        <w:t> </w:t>
      </w:r>
      <w:r>
        <w:rPr/>
        <w:t>activities</w:t>
      </w:r>
      <w:r>
        <w:rPr>
          <w:spacing w:val="-5"/>
        </w:rPr>
        <w:t> </w:t>
      </w:r>
      <w:r>
        <w:rPr/>
        <w:t>should</w:t>
      </w:r>
      <w:r>
        <w:rPr>
          <w:spacing w:val="-6"/>
        </w:rPr>
        <w:t> </w:t>
      </w:r>
      <w:r>
        <w:rPr/>
        <w:t>be</w:t>
      </w:r>
      <w:r>
        <w:rPr>
          <w:spacing w:val="-7"/>
        </w:rPr>
        <w:t> </w:t>
      </w:r>
      <w:r>
        <w:rPr/>
        <w:t>managed</w:t>
      </w:r>
      <w:r>
        <w:rPr>
          <w:spacing w:val="-6"/>
        </w:rPr>
        <w:t> </w:t>
      </w:r>
      <w:r>
        <w:rPr/>
        <w:t>to</w:t>
      </w:r>
      <w:r>
        <w:rPr>
          <w:spacing w:val="-4"/>
        </w:rPr>
        <w:t> </w:t>
      </w:r>
      <w:r>
        <w:rPr/>
        <w:t>protect</w:t>
      </w:r>
      <w:r>
        <w:rPr>
          <w:spacing w:val="-7"/>
        </w:rPr>
        <w:t> </w:t>
      </w:r>
      <w:r>
        <w:rPr/>
        <w:t>known</w:t>
      </w:r>
      <w:r>
        <w:rPr>
          <w:spacing w:val="-6"/>
        </w:rPr>
        <w:t> </w:t>
      </w:r>
      <w:r>
        <w:rPr/>
        <w:t>common</w:t>
      </w:r>
      <w:r>
        <w:rPr>
          <w:spacing w:val="-6"/>
        </w:rPr>
        <w:t> </w:t>
      </w:r>
      <w:r>
        <w:rPr/>
        <w:t>loon</w:t>
      </w:r>
      <w:r>
        <w:rPr>
          <w:spacing w:val="-5"/>
        </w:rPr>
        <w:t> </w:t>
      </w:r>
      <w:r>
        <w:rPr/>
        <w:t>brood-rearing</w:t>
      </w:r>
      <w:r>
        <w:rPr>
          <w:spacing w:val="-6"/>
        </w:rPr>
        <w:t> </w:t>
      </w:r>
      <w:r>
        <w:rPr/>
        <w:t>areas between June 1 and September 1.</w:t>
      </w:r>
    </w:p>
    <w:p>
      <w:pPr>
        <w:spacing w:before="234"/>
        <w:ind w:left="357" w:right="0" w:firstLine="0"/>
        <w:jc w:val="left"/>
        <w:rPr>
          <w:rFonts w:ascii="Arial"/>
          <w:i/>
          <w:sz w:val="22"/>
        </w:rPr>
      </w:pPr>
      <w:bookmarkStart w:name="FW-GDL-WL-18. Nest Sites" w:id="322"/>
      <w:bookmarkEnd w:id="322"/>
      <w:r>
        <w:rPr/>
      </w:r>
      <w:r>
        <w:rPr>
          <w:rFonts w:ascii="Arial"/>
          <w:i/>
          <w:sz w:val="22"/>
        </w:rPr>
        <w:t>FW-GDL-WL-18.</w:t>
      </w:r>
      <w:r>
        <w:rPr>
          <w:rFonts w:ascii="Arial"/>
          <w:i/>
          <w:spacing w:val="-8"/>
          <w:sz w:val="22"/>
        </w:rPr>
        <w:t> </w:t>
      </w:r>
      <w:r>
        <w:rPr>
          <w:rFonts w:ascii="Arial"/>
          <w:i/>
          <w:sz w:val="22"/>
        </w:rPr>
        <w:t>Nest</w:t>
      </w:r>
      <w:r>
        <w:rPr>
          <w:rFonts w:ascii="Arial"/>
          <w:i/>
          <w:spacing w:val="-6"/>
          <w:sz w:val="22"/>
        </w:rPr>
        <w:t> </w:t>
      </w:r>
      <w:r>
        <w:rPr>
          <w:rFonts w:ascii="Arial"/>
          <w:i/>
          <w:spacing w:val="-4"/>
          <w:sz w:val="22"/>
        </w:rPr>
        <w:t>Sites</w:t>
      </w:r>
    </w:p>
    <w:p>
      <w:pPr>
        <w:pStyle w:val="BodyText"/>
        <w:spacing w:line="232" w:lineRule="auto" w:before="67"/>
        <w:ind w:left="357" w:right="1562"/>
        <w:jc w:val="both"/>
      </w:pPr>
      <w:r>
        <w:rPr/>
        <w:t>For</w:t>
      </w:r>
      <w:r>
        <w:rPr>
          <w:spacing w:val="-5"/>
        </w:rPr>
        <w:t> </w:t>
      </w:r>
      <w:r>
        <w:rPr/>
        <w:t>forest</w:t>
      </w:r>
      <w:r>
        <w:rPr>
          <w:spacing w:val="-4"/>
        </w:rPr>
        <w:t> </w:t>
      </w:r>
      <w:r>
        <w:rPr/>
        <w:t>species</w:t>
      </w:r>
      <w:r>
        <w:rPr>
          <w:spacing w:val="-5"/>
        </w:rPr>
        <w:t> </w:t>
      </w:r>
      <w:r>
        <w:rPr/>
        <w:t>listed</w:t>
      </w:r>
      <w:r>
        <w:rPr>
          <w:spacing w:val="-6"/>
        </w:rPr>
        <w:t> </w:t>
      </w:r>
      <w:r>
        <w:rPr/>
        <w:t>in</w:t>
      </w:r>
      <w:r>
        <w:rPr>
          <w:spacing w:val="-8"/>
        </w:rPr>
        <w:t> </w:t>
      </w:r>
      <w:hyperlink w:history="true" w:anchor="_bookmark111">
        <w:r>
          <w:rPr/>
          <w:t>table</w:t>
        </w:r>
        <w:r>
          <w:rPr>
            <w:spacing w:val="-4"/>
          </w:rPr>
          <w:t> </w:t>
        </w:r>
        <w:r>
          <w:rPr/>
          <w:t>16,</w:t>
        </w:r>
      </w:hyperlink>
      <w:r>
        <w:rPr>
          <w:spacing w:val="-5"/>
        </w:rPr>
        <w:t> </w:t>
      </w:r>
      <w:r>
        <w:rPr/>
        <w:t>all</w:t>
      </w:r>
      <w:r>
        <w:rPr>
          <w:spacing w:val="-8"/>
        </w:rPr>
        <w:t> </w:t>
      </w:r>
      <w:r>
        <w:rPr/>
        <w:t>known</w:t>
      </w:r>
      <w:r>
        <w:rPr>
          <w:spacing w:val="-6"/>
        </w:rPr>
        <w:t> </w:t>
      </w:r>
      <w:r>
        <w:rPr/>
        <w:t>active</w:t>
      </w:r>
      <w:r>
        <w:rPr>
          <w:spacing w:val="-4"/>
        </w:rPr>
        <w:t> </w:t>
      </w:r>
      <w:r>
        <w:rPr/>
        <w:t>nest</w:t>
      </w:r>
      <w:r>
        <w:rPr>
          <w:spacing w:val="-4"/>
        </w:rPr>
        <w:t> </w:t>
      </w:r>
      <w:r>
        <w:rPr/>
        <w:t>sites</w:t>
      </w:r>
      <w:r>
        <w:rPr>
          <w:spacing w:val="-5"/>
        </w:rPr>
        <w:t> </w:t>
      </w:r>
      <w:r>
        <w:rPr/>
        <w:t>should</w:t>
      </w:r>
      <w:r>
        <w:rPr>
          <w:spacing w:val="-6"/>
        </w:rPr>
        <w:t> </w:t>
      </w:r>
      <w:r>
        <w:rPr/>
        <w:t>be</w:t>
      </w:r>
      <w:r>
        <w:rPr>
          <w:spacing w:val="-4"/>
        </w:rPr>
        <w:t> </w:t>
      </w:r>
      <w:r>
        <w:rPr/>
        <w:t>protected</w:t>
      </w:r>
      <w:r>
        <w:rPr>
          <w:spacing w:val="-6"/>
        </w:rPr>
        <w:t> </w:t>
      </w:r>
      <w:r>
        <w:rPr/>
        <w:t>from</w:t>
      </w:r>
      <w:r>
        <w:rPr>
          <w:spacing w:val="-4"/>
        </w:rPr>
        <w:t> </w:t>
      </w:r>
      <w:r>
        <w:rPr/>
        <w:t>human disturbance caused</w:t>
      </w:r>
      <w:r>
        <w:rPr>
          <w:spacing w:val="-4"/>
        </w:rPr>
        <w:t> </w:t>
      </w:r>
      <w:r>
        <w:rPr/>
        <w:t>by</w:t>
      </w:r>
      <w:r>
        <w:rPr>
          <w:spacing w:val="-2"/>
        </w:rPr>
        <w:t> </w:t>
      </w:r>
      <w:r>
        <w:rPr/>
        <w:t>management</w:t>
      </w:r>
      <w:r>
        <w:rPr>
          <w:spacing w:val="-3"/>
        </w:rPr>
        <w:t> </w:t>
      </w:r>
      <w:r>
        <w:rPr/>
        <w:t>activities</w:t>
      </w:r>
      <w:r>
        <w:rPr>
          <w:spacing w:val="-3"/>
        </w:rPr>
        <w:t> </w:t>
      </w:r>
      <w:r>
        <w:rPr/>
        <w:t>during</w:t>
      </w:r>
      <w:r>
        <w:rPr>
          <w:spacing w:val="-2"/>
        </w:rPr>
        <w:t> </w:t>
      </w:r>
      <w:r>
        <w:rPr/>
        <w:t>the following</w:t>
      </w:r>
      <w:r>
        <w:rPr>
          <w:spacing w:val="-2"/>
        </w:rPr>
        <w:t> </w:t>
      </w:r>
      <w:r>
        <w:rPr/>
        <w:t>periods</w:t>
      </w:r>
      <w:r>
        <w:rPr>
          <w:spacing w:val="-3"/>
        </w:rPr>
        <w:t> </w:t>
      </w:r>
      <w:r>
        <w:rPr/>
        <w:t>to</w:t>
      </w:r>
      <w:r>
        <w:rPr>
          <w:spacing w:val="-2"/>
        </w:rPr>
        <w:t> </w:t>
      </w:r>
      <w:r>
        <w:rPr/>
        <w:t>reduce the</w:t>
      </w:r>
      <w:r>
        <w:rPr>
          <w:spacing w:val="-3"/>
        </w:rPr>
        <w:t> </w:t>
      </w:r>
      <w:r>
        <w:rPr/>
        <w:t>risk</w:t>
      </w:r>
      <w:r>
        <w:rPr>
          <w:spacing w:val="-3"/>
        </w:rPr>
        <w:t> </w:t>
      </w:r>
      <w:r>
        <w:rPr/>
        <w:t>of nest abandonment or decline in productivity.</w:t>
      </w:r>
    </w:p>
    <w:p>
      <w:pPr>
        <w:pStyle w:val="BodyText"/>
        <w:spacing w:before="83"/>
      </w:pPr>
    </w:p>
    <w:p>
      <w:pPr>
        <w:spacing w:before="0" w:after="39"/>
        <w:ind w:left="360" w:right="0" w:firstLine="0"/>
        <w:jc w:val="both"/>
        <w:rPr>
          <w:rFonts w:ascii="Arial"/>
          <w:b/>
          <w:sz w:val="18"/>
        </w:rPr>
      </w:pPr>
      <w:bookmarkStart w:name="_bookmark111" w:id="323"/>
      <w:bookmarkEnd w:id="323"/>
      <w:r>
        <w:rPr/>
      </w:r>
      <w:r>
        <w:rPr>
          <w:rFonts w:ascii="Arial"/>
          <w:b/>
          <w:sz w:val="18"/>
        </w:rPr>
        <w:t>Table</w:t>
      </w:r>
      <w:r>
        <w:rPr>
          <w:rFonts w:ascii="Arial"/>
          <w:b/>
          <w:spacing w:val="-6"/>
          <w:sz w:val="18"/>
        </w:rPr>
        <w:t> </w:t>
      </w:r>
      <w:r>
        <w:rPr>
          <w:rFonts w:ascii="Arial"/>
          <w:b/>
          <w:sz w:val="18"/>
        </w:rPr>
        <w:t>16.</w:t>
      </w:r>
      <w:r>
        <w:rPr>
          <w:rFonts w:ascii="Arial"/>
          <w:b/>
          <w:spacing w:val="-1"/>
          <w:sz w:val="18"/>
        </w:rPr>
        <w:t> </w:t>
      </w:r>
      <w:r>
        <w:rPr>
          <w:rFonts w:ascii="Arial"/>
          <w:b/>
          <w:sz w:val="18"/>
        </w:rPr>
        <w:t>Timing</w:t>
      </w:r>
      <w:r>
        <w:rPr>
          <w:rFonts w:ascii="Arial"/>
          <w:b/>
          <w:spacing w:val="-3"/>
          <w:sz w:val="18"/>
        </w:rPr>
        <w:t> </w:t>
      </w:r>
      <w:r>
        <w:rPr>
          <w:rFonts w:ascii="Arial"/>
          <w:b/>
          <w:sz w:val="18"/>
        </w:rPr>
        <w:t>guidelines</w:t>
      </w:r>
      <w:r>
        <w:rPr>
          <w:rFonts w:ascii="Arial"/>
          <w:b/>
          <w:spacing w:val="-3"/>
          <w:sz w:val="18"/>
        </w:rPr>
        <w:t> </w:t>
      </w:r>
      <w:r>
        <w:rPr>
          <w:rFonts w:ascii="Arial"/>
          <w:b/>
          <w:sz w:val="18"/>
        </w:rPr>
        <w:t>for</w:t>
      </w:r>
      <w:r>
        <w:rPr>
          <w:rFonts w:ascii="Arial"/>
          <w:b/>
          <w:spacing w:val="-2"/>
          <w:sz w:val="18"/>
        </w:rPr>
        <w:t> </w:t>
      </w:r>
      <w:r>
        <w:rPr>
          <w:rFonts w:ascii="Arial"/>
          <w:b/>
          <w:sz w:val="18"/>
        </w:rPr>
        <w:t>protection</w:t>
      </w:r>
      <w:r>
        <w:rPr>
          <w:rFonts w:ascii="Arial"/>
          <w:b/>
          <w:spacing w:val="-3"/>
          <w:sz w:val="18"/>
        </w:rPr>
        <w:t> </w:t>
      </w:r>
      <w:r>
        <w:rPr>
          <w:rFonts w:ascii="Arial"/>
          <w:b/>
          <w:sz w:val="18"/>
        </w:rPr>
        <w:t>of</w:t>
      </w:r>
      <w:r>
        <w:rPr>
          <w:rFonts w:ascii="Arial"/>
          <w:b/>
          <w:spacing w:val="-1"/>
          <w:sz w:val="18"/>
        </w:rPr>
        <w:t> </w:t>
      </w:r>
      <w:r>
        <w:rPr>
          <w:rFonts w:ascii="Arial"/>
          <w:b/>
          <w:sz w:val="18"/>
        </w:rPr>
        <w:t>bird</w:t>
      </w:r>
      <w:r>
        <w:rPr>
          <w:rFonts w:ascii="Arial"/>
          <w:b/>
          <w:spacing w:val="-3"/>
          <w:sz w:val="18"/>
        </w:rPr>
        <w:t> </w:t>
      </w:r>
      <w:r>
        <w:rPr>
          <w:rFonts w:ascii="Arial"/>
          <w:b/>
          <w:sz w:val="18"/>
        </w:rPr>
        <w:t>nest</w:t>
      </w:r>
      <w:r>
        <w:rPr>
          <w:rFonts w:ascii="Arial"/>
          <w:b/>
          <w:spacing w:val="-3"/>
          <w:sz w:val="18"/>
        </w:rPr>
        <w:t> </w:t>
      </w:r>
      <w:r>
        <w:rPr>
          <w:rFonts w:ascii="Arial"/>
          <w:b/>
          <w:spacing w:val="-2"/>
          <w:sz w:val="18"/>
        </w:rPr>
        <w:t>sites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253"/>
        <w:gridCol w:w="4296"/>
      </w:tblGrid>
      <w:tr>
        <w:trPr>
          <w:trHeight w:val="287" w:hRule="atLeast"/>
        </w:trPr>
        <w:tc>
          <w:tcPr>
            <w:tcW w:w="4253" w:type="dxa"/>
            <w:shd w:val="clear" w:color="auto" w:fill="D5E2BB"/>
          </w:tcPr>
          <w:p>
            <w:pPr>
              <w:pStyle w:val="TableParagraph"/>
              <w:spacing w:before="42"/>
              <w:ind w:left="21"/>
              <w:jc w:val="center"/>
              <w:rPr>
                <w:b/>
                <w:sz w:val="18"/>
              </w:rPr>
            </w:pPr>
            <w:r>
              <w:rPr>
                <w:b/>
                <w:spacing w:val="-2"/>
                <w:sz w:val="18"/>
              </w:rPr>
              <w:t>Species</w:t>
            </w:r>
          </w:p>
        </w:tc>
        <w:tc>
          <w:tcPr>
            <w:tcW w:w="4296" w:type="dxa"/>
            <w:shd w:val="clear" w:color="auto" w:fill="D5E2BB"/>
          </w:tcPr>
          <w:p>
            <w:pPr>
              <w:pStyle w:val="TableParagraph"/>
              <w:spacing w:before="42"/>
              <w:ind w:left="18"/>
              <w:jc w:val="center"/>
              <w:rPr>
                <w:b/>
                <w:sz w:val="18"/>
              </w:rPr>
            </w:pPr>
            <w:r>
              <w:rPr>
                <w:b/>
                <w:spacing w:val="-2"/>
                <w:sz w:val="18"/>
              </w:rPr>
              <w:t>Timing*</w:t>
            </w:r>
          </w:p>
        </w:tc>
      </w:tr>
      <w:tr>
        <w:trPr>
          <w:trHeight w:val="301" w:hRule="atLeast"/>
        </w:trPr>
        <w:tc>
          <w:tcPr>
            <w:tcW w:w="4253" w:type="dxa"/>
          </w:tcPr>
          <w:p>
            <w:pPr>
              <w:pStyle w:val="TableParagraph"/>
              <w:spacing w:before="42"/>
              <w:ind w:left="1250"/>
              <w:rPr>
                <w:b/>
                <w:sz w:val="18"/>
              </w:rPr>
            </w:pPr>
            <w:r>
              <w:rPr>
                <w:b/>
                <w:sz w:val="18"/>
              </w:rPr>
              <w:t>Common</w:t>
            </w:r>
            <w:r>
              <w:rPr>
                <w:b/>
                <w:spacing w:val="-3"/>
                <w:sz w:val="18"/>
              </w:rPr>
              <w:t> </w:t>
            </w:r>
            <w:r>
              <w:rPr>
                <w:b/>
                <w:spacing w:val="-4"/>
                <w:sz w:val="18"/>
              </w:rPr>
              <w:t>loon</w:t>
            </w:r>
          </w:p>
        </w:tc>
        <w:tc>
          <w:tcPr>
            <w:tcW w:w="4296" w:type="dxa"/>
          </w:tcPr>
          <w:p>
            <w:pPr>
              <w:pStyle w:val="TableParagraph"/>
              <w:spacing w:before="42"/>
              <w:ind w:left="1408"/>
              <w:rPr>
                <w:sz w:val="18"/>
              </w:rPr>
            </w:pPr>
            <w:r>
              <w:rPr>
                <w:sz w:val="18"/>
              </w:rPr>
              <w:t>April</w:t>
            </w:r>
            <w:r>
              <w:rPr>
                <w:spacing w:val="-5"/>
                <w:sz w:val="18"/>
              </w:rPr>
              <w:t> </w:t>
            </w:r>
            <w:r>
              <w:rPr>
                <w:sz w:val="18"/>
              </w:rPr>
              <w:t>1</w:t>
            </w:r>
            <w:r>
              <w:rPr>
                <w:rFonts w:ascii="Symbol" w:hAnsi="Symbol"/>
                <w:sz w:val="18"/>
              </w:rPr>
              <w:t></w:t>
            </w:r>
            <w:r>
              <w:rPr>
                <w:sz w:val="18"/>
              </w:rPr>
              <w:t>June</w:t>
            </w:r>
            <w:r>
              <w:rPr>
                <w:spacing w:val="-2"/>
                <w:sz w:val="18"/>
              </w:rPr>
              <w:t> </w:t>
            </w:r>
            <w:r>
              <w:rPr>
                <w:spacing w:val="-5"/>
                <w:sz w:val="18"/>
              </w:rPr>
              <w:t>15</w:t>
            </w:r>
          </w:p>
        </w:tc>
      </w:tr>
      <w:tr>
        <w:trPr>
          <w:trHeight w:val="301" w:hRule="atLeast"/>
        </w:trPr>
        <w:tc>
          <w:tcPr>
            <w:tcW w:w="4253" w:type="dxa"/>
          </w:tcPr>
          <w:p>
            <w:pPr>
              <w:pStyle w:val="TableParagraph"/>
              <w:ind w:left="1250"/>
              <w:rPr>
                <w:b/>
                <w:sz w:val="18"/>
              </w:rPr>
            </w:pPr>
            <w:r>
              <w:rPr>
                <w:b/>
                <w:sz w:val="18"/>
              </w:rPr>
              <w:t>Cooper’s</w:t>
            </w:r>
            <w:r>
              <w:rPr>
                <w:b/>
                <w:spacing w:val="-3"/>
                <w:sz w:val="18"/>
              </w:rPr>
              <w:t> </w:t>
            </w:r>
            <w:r>
              <w:rPr>
                <w:b/>
                <w:spacing w:val="-4"/>
                <w:sz w:val="18"/>
              </w:rPr>
              <w:t>hawk</w:t>
            </w:r>
          </w:p>
        </w:tc>
        <w:tc>
          <w:tcPr>
            <w:tcW w:w="4296" w:type="dxa"/>
          </w:tcPr>
          <w:p>
            <w:pPr>
              <w:pStyle w:val="TableParagraph"/>
              <w:ind w:left="1408"/>
              <w:rPr>
                <w:sz w:val="18"/>
              </w:rPr>
            </w:pPr>
            <w:r>
              <w:rPr>
                <w:sz w:val="18"/>
              </w:rPr>
              <w:t>April</w:t>
            </w:r>
            <w:r>
              <w:rPr>
                <w:spacing w:val="-6"/>
                <w:sz w:val="18"/>
              </w:rPr>
              <w:t> </w:t>
            </w:r>
            <w:r>
              <w:rPr>
                <w:sz w:val="18"/>
              </w:rPr>
              <w:t>1</w:t>
            </w:r>
            <w:r>
              <w:rPr>
                <w:rFonts w:ascii="Symbol" w:hAnsi="Symbol"/>
                <w:sz w:val="18"/>
              </w:rPr>
              <w:t></w:t>
            </w:r>
            <w:r>
              <w:rPr>
                <w:sz w:val="18"/>
              </w:rPr>
              <w:t>August</w:t>
            </w:r>
            <w:r>
              <w:rPr>
                <w:spacing w:val="-3"/>
                <w:sz w:val="18"/>
              </w:rPr>
              <w:t> </w:t>
            </w:r>
            <w:r>
              <w:rPr>
                <w:spacing w:val="-5"/>
                <w:sz w:val="18"/>
              </w:rPr>
              <w:t>31</w:t>
            </w:r>
          </w:p>
        </w:tc>
      </w:tr>
    </w:tbl>
    <w:p>
      <w:pPr>
        <w:pStyle w:val="TableParagraph"/>
        <w:spacing w:after="0"/>
        <w:rPr>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253"/>
        <w:gridCol w:w="4296"/>
      </w:tblGrid>
      <w:tr>
        <w:trPr>
          <w:trHeight w:val="287" w:hRule="atLeast"/>
        </w:trPr>
        <w:tc>
          <w:tcPr>
            <w:tcW w:w="4253" w:type="dxa"/>
            <w:shd w:val="clear" w:color="auto" w:fill="D5E2BB"/>
          </w:tcPr>
          <w:p>
            <w:pPr>
              <w:pStyle w:val="TableParagraph"/>
              <w:ind w:left="21"/>
              <w:jc w:val="center"/>
              <w:rPr>
                <w:b/>
                <w:sz w:val="18"/>
              </w:rPr>
            </w:pPr>
            <w:r>
              <w:rPr>
                <w:b/>
                <w:spacing w:val="-2"/>
                <w:sz w:val="18"/>
              </w:rPr>
              <w:t>Species</w:t>
            </w:r>
          </w:p>
        </w:tc>
        <w:tc>
          <w:tcPr>
            <w:tcW w:w="4296" w:type="dxa"/>
            <w:shd w:val="clear" w:color="auto" w:fill="D5E2BB"/>
          </w:tcPr>
          <w:p>
            <w:pPr>
              <w:pStyle w:val="TableParagraph"/>
              <w:ind w:left="18"/>
              <w:jc w:val="center"/>
              <w:rPr>
                <w:b/>
                <w:sz w:val="18"/>
              </w:rPr>
            </w:pPr>
            <w:r>
              <w:rPr>
                <w:b/>
                <w:spacing w:val="-2"/>
                <w:sz w:val="18"/>
              </w:rPr>
              <w:t>Timing*</w:t>
            </w:r>
          </w:p>
        </w:tc>
      </w:tr>
      <w:tr>
        <w:trPr>
          <w:trHeight w:val="299" w:hRule="atLeast"/>
        </w:trPr>
        <w:tc>
          <w:tcPr>
            <w:tcW w:w="4253" w:type="dxa"/>
          </w:tcPr>
          <w:p>
            <w:pPr>
              <w:pStyle w:val="TableParagraph"/>
              <w:ind w:left="1250"/>
              <w:rPr>
                <w:b/>
                <w:sz w:val="18"/>
              </w:rPr>
            </w:pPr>
            <w:r>
              <w:rPr>
                <w:b/>
                <w:sz w:val="18"/>
              </w:rPr>
              <w:t>Sharp-shinned</w:t>
            </w:r>
            <w:r>
              <w:rPr>
                <w:b/>
                <w:spacing w:val="-6"/>
                <w:sz w:val="18"/>
              </w:rPr>
              <w:t> </w:t>
            </w:r>
            <w:r>
              <w:rPr>
                <w:b/>
                <w:spacing w:val="-4"/>
                <w:sz w:val="18"/>
              </w:rPr>
              <w:t>hawk</w:t>
            </w:r>
          </w:p>
        </w:tc>
        <w:tc>
          <w:tcPr>
            <w:tcW w:w="4296" w:type="dxa"/>
          </w:tcPr>
          <w:p>
            <w:pPr>
              <w:pStyle w:val="TableParagraph"/>
              <w:ind w:left="1408"/>
              <w:rPr>
                <w:sz w:val="18"/>
              </w:rPr>
            </w:pPr>
            <w:r>
              <w:rPr>
                <w:sz w:val="18"/>
              </w:rPr>
              <w:t>April</w:t>
            </w:r>
            <w:r>
              <w:rPr>
                <w:spacing w:val="-6"/>
                <w:sz w:val="18"/>
              </w:rPr>
              <w:t> </w:t>
            </w:r>
            <w:r>
              <w:rPr>
                <w:sz w:val="18"/>
              </w:rPr>
              <w:t>1</w:t>
            </w:r>
            <w:r>
              <w:rPr>
                <w:rFonts w:ascii="Symbol" w:hAnsi="Symbol"/>
                <w:sz w:val="18"/>
              </w:rPr>
              <w:t></w:t>
            </w:r>
            <w:r>
              <w:rPr>
                <w:sz w:val="18"/>
              </w:rPr>
              <w:t>August</w:t>
            </w:r>
            <w:r>
              <w:rPr>
                <w:spacing w:val="-3"/>
                <w:sz w:val="18"/>
              </w:rPr>
              <w:t> </w:t>
            </w:r>
            <w:r>
              <w:rPr>
                <w:spacing w:val="-5"/>
                <w:sz w:val="18"/>
              </w:rPr>
              <w:t>31</w:t>
            </w:r>
          </w:p>
        </w:tc>
      </w:tr>
      <w:tr>
        <w:trPr>
          <w:trHeight w:val="301" w:hRule="atLeast"/>
        </w:trPr>
        <w:tc>
          <w:tcPr>
            <w:tcW w:w="4253" w:type="dxa"/>
          </w:tcPr>
          <w:p>
            <w:pPr>
              <w:pStyle w:val="TableParagraph"/>
              <w:spacing w:before="42"/>
              <w:ind w:left="1250"/>
              <w:rPr>
                <w:b/>
                <w:sz w:val="18"/>
              </w:rPr>
            </w:pPr>
            <w:r>
              <w:rPr>
                <w:b/>
                <w:sz w:val="18"/>
              </w:rPr>
              <w:t>Red-tailed</w:t>
            </w:r>
            <w:r>
              <w:rPr>
                <w:b/>
                <w:spacing w:val="-6"/>
                <w:sz w:val="18"/>
              </w:rPr>
              <w:t> </w:t>
            </w:r>
            <w:r>
              <w:rPr>
                <w:b/>
                <w:spacing w:val="-4"/>
                <w:sz w:val="18"/>
              </w:rPr>
              <w:t>hawk</w:t>
            </w:r>
          </w:p>
        </w:tc>
        <w:tc>
          <w:tcPr>
            <w:tcW w:w="4296" w:type="dxa"/>
          </w:tcPr>
          <w:p>
            <w:pPr>
              <w:pStyle w:val="TableParagraph"/>
              <w:spacing w:before="42"/>
              <w:ind w:left="1408"/>
              <w:rPr>
                <w:sz w:val="18"/>
              </w:rPr>
            </w:pPr>
            <w:r>
              <w:rPr>
                <w:sz w:val="18"/>
              </w:rPr>
              <w:t>March</w:t>
            </w:r>
            <w:r>
              <w:rPr>
                <w:spacing w:val="-5"/>
                <w:sz w:val="18"/>
              </w:rPr>
              <w:t> </w:t>
            </w:r>
            <w:r>
              <w:rPr>
                <w:sz w:val="18"/>
              </w:rPr>
              <w:t>1</w:t>
            </w:r>
            <w:r>
              <w:rPr>
                <w:rFonts w:ascii="Symbol" w:hAnsi="Symbol"/>
                <w:sz w:val="18"/>
              </w:rPr>
              <w:t></w:t>
            </w:r>
            <w:r>
              <w:rPr>
                <w:sz w:val="18"/>
              </w:rPr>
              <w:t>July</w:t>
            </w:r>
            <w:r>
              <w:rPr>
                <w:spacing w:val="-5"/>
                <w:sz w:val="18"/>
              </w:rPr>
              <w:t> 31</w:t>
            </w:r>
          </w:p>
        </w:tc>
      </w:tr>
      <w:tr>
        <w:trPr>
          <w:trHeight w:val="301" w:hRule="atLeast"/>
        </w:trPr>
        <w:tc>
          <w:tcPr>
            <w:tcW w:w="4253" w:type="dxa"/>
          </w:tcPr>
          <w:p>
            <w:pPr>
              <w:pStyle w:val="TableParagraph"/>
              <w:ind w:left="1250"/>
              <w:rPr>
                <w:b/>
                <w:sz w:val="18"/>
              </w:rPr>
            </w:pPr>
            <w:r>
              <w:rPr>
                <w:b/>
                <w:spacing w:val="-2"/>
                <w:sz w:val="18"/>
              </w:rPr>
              <w:t>Osprey</w:t>
            </w:r>
          </w:p>
        </w:tc>
        <w:tc>
          <w:tcPr>
            <w:tcW w:w="4296" w:type="dxa"/>
          </w:tcPr>
          <w:p>
            <w:pPr>
              <w:pStyle w:val="TableParagraph"/>
              <w:ind w:left="1408"/>
              <w:rPr>
                <w:sz w:val="18"/>
              </w:rPr>
            </w:pPr>
            <w:r>
              <w:rPr>
                <w:sz w:val="18"/>
              </w:rPr>
              <w:t>April</w:t>
            </w:r>
            <w:r>
              <w:rPr>
                <w:spacing w:val="-6"/>
                <w:sz w:val="18"/>
              </w:rPr>
              <w:t> </w:t>
            </w:r>
            <w:r>
              <w:rPr>
                <w:sz w:val="18"/>
              </w:rPr>
              <w:t>1</w:t>
            </w:r>
            <w:r>
              <w:rPr>
                <w:rFonts w:ascii="Symbol" w:hAnsi="Symbol"/>
                <w:sz w:val="18"/>
              </w:rPr>
              <w:t></w:t>
            </w:r>
            <w:r>
              <w:rPr>
                <w:sz w:val="18"/>
              </w:rPr>
              <w:t>August</w:t>
            </w:r>
            <w:r>
              <w:rPr>
                <w:spacing w:val="-3"/>
                <w:sz w:val="18"/>
              </w:rPr>
              <w:t> </w:t>
            </w:r>
            <w:r>
              <w:rPr>
                <w:spacing w:val="-5"/>
                <w:sz w:val="18"/>
              </w:rPr>
              <w:t>31</w:t>
            </w:r>
          </w:p>
        </w:tc>
      </w:tr>
      <w:tr>
        <w:trPr>
          <w:trHeight w:val="299" w:hRule="atLeast"/>
        </w:trPr>
        <w:tc>
          <w:tcPr>
            <w:tcW w:w="4253" w:type="dxa"/>
          </w:tcPr>
          <w:p>
            <w:pPr>
              <w:pStyle w:val="TableParagraph"/>
              <w:ind w:left="1250"/>
              <w:rPr>
                <w:b/>
                <w:sz w:val="18"/>
              </w:rPr>
            </w:pPr>
            <w:r>
              <w:rPr>
                <w:b/>
                <w:sz w:val="18"/>
              </w:rPr>
              <w:t>Flammulated</w:t>
            </w:r>
            <w:r>
              <w:rPr>
                <w:b/>
                <w:spacing w:val="-4"/>
                <w:sz w:val="18"/>
              </w:rPr>
              <w:t> </w:t>
            </w:r>
            <w:r>
              <w:rPr>
                <w:b/>
                <w:spacing w:val="-5"/>
                <w:sz w:val="18"/>
              </w:rPr>
              <w:t>owl</w:t>
            </w:r>
          </w:p>
        </w:tc>
        <w:tc>
          <w:tcPr>
            <w:tcW w:w="4296" w:type="dxa"/>
          </w:tcPr>
          <w:p>
            <w:pPr>
              <w:pStyle w:val="TableParagraph"/>
              <w:ind w:left="1408"/>
              <w:rPr>
                <w:sz w:val="18"/>
              </w:rPr>
            </w:pPr>
            <w:r>
              <w:rPr>
                <w:sz w:val="18"/>
              </w:rPr>
              <w:t>April</w:t>
            </w:r>
            <w:r>
              <w:rPr>
                <w:spacing w:val="-1"/>
                <w:sz w:val="18"/>
              </w:rPr>
              <w:t> </w:t>
            </w:r>
            <w:r>
              <w:rPr>
                <w:spacing w:val="-2"/>
                <w:sz w:val="18"/>
              </w:rPr>
              <w:t>1</w:t>
            </w:r>
            <w:r>
              <w:rPr>
                <w:rFonts w:ascii="Symbol" w:hAnsi="Symbol"/>
                <w:spacing w:val="-2"/>
                <w:sz w:val="18"/>
              </w:rPr>
              <w:t></w:t>
            </w:r>
            <w:r>
              <w:rPr>
                <w:spacing w:val="-2"/>
                <w:sz w:val="18"/>
              </w:rPr>
              <w:t>July15</w:t>
            </w:r>
          </w:p>
        </w:tc>
      </w:tr>
      <w:tr>
        <w:trPr>
          <w:trHeight w:val="301" w:hRule="atLeast"/>
        </w:trPr>
        <w:tc>
          <w:tcPr>
            <w:tcW w:w="4253" w:type="dxa"/>
          </w:tcPr>
          <w:p>
            <w:pPr>
              <w:pStyle w:val="TableParagraph"/>
              <w:ind w:left="1250"/>
              <w:rPr>
                <w:b/>
                <w:sz w:val="18"/>
              </w:rPr>
            </w:pPr>
            <w:r>
              <w:rPr>
                <w:b/>
                <w:sz w:val="18"/>
              </w:rPr>
              <w:t>Great gray</w:t>
            </w:r>
            <w:r>
              <w:rPr>
                <w:b/>
                <w:spacing w:val="-7"/>
                <w:sz w:val="18"/>
              </w:rPr>
              <w:t> </w:t>
            </w:r>
            <w:r>
              <w:rPr>
                <w:b/>
                <w:spacing w:val="-5"/>
                <w:sz w:val="18"/>
              </w:rPr>
              <w:t>owl</w:t>
            </w:r>
          </w:p>
        </w:tc>
        <w:tc>
          <w:tcPr>
            <w:tcW w:w="4296" w:type="dxa"/>
          </w:tcPr>
          <w:p>
            <w:pPr>
              <w:pStyle w:val="TableParagraph"/>
              <w:ind w:left="1408"/>
              <w:rPr>
                <w:sz w:val="18"/>
              </w:rPr>
            </w:pPr>
            <w:r>
              <w:rPr>
                <w:sz w:val="18"/>
              </w:rPr>
              <w:t>March</w:t>
            </w:r>
            <w:r>
              <w:rPr>
                <w:spacing w:val="-5"/>
                <w:sz w:val="18"/>
              </w:rPr>
              <w:t> </w:t>
            </w:r>
            <w:r>
              <w:rPr>
                <w:sz w:val="18"/>
              </w:rPr>
              <w:t>1</w:t>
            </w:r>
            <w:r>
              <w:rPr>
                <w:rFonts w:ascii="Symbol" w:hAnsi="Symbol"/>
                <w:sz w:val="18"/>
              </w:rPr>
              <w:t></w:t>
            </w:r>
            <w:r>
              <w:rPr>
                <w:sz w:val="18"/>
              </w:rPr>
              <w:t>July</w:t>
            </w:r>
            <w:r>
              <w:rPr>
                <w:spacing w:val="-5"/>
                <w:sz w:val="18"/>
              </w:rPr>
              <w:t> 31</w:t>
            </w:r>
          </w:p>
        </w:tc>
      </w:tr>
    </w:tbl>
    <w:p>
      <w:pPr>
        <w:spacing w:before="41"/>
        <w:ind w:left="1151" w:right="0" w:firstLine="0"/>
        <w:jc w:val="left"/>
        <w:rPr>
          <w:rFonts w:ascii="Arial"/>
          <w:sz w:val="16"/>
        </w:rPr>
      </w:pPr>
      <w:r>
        <w:rPr>
          <w:rFonts w:ascii="Arial"/>
          <w:sz w:val="16"/>
        </w:rPr>
        <w:t>*Timing</w:t>
      </w:r>
      <w:r>
        <w:rPr>
          <w:rFonts w:ascii="Arial"/>
          <w:spacing w:val="-5"/>
          <w:sz w:val="16"/>
        </w:rPr>
        <w:t> </w:t>
      </w:r>
      <w:r>
        <w:rPr>
          <w:rFonts w:ascii="Arial"/>
          <w:sz w:val="16"/>
        </w:rPr>
        <w:t>guidelines</w:t>
      </w:r>
      <w:r>
        <w:rPr>
          <w:rFonts w:ascii="Arial"/>
          <w:spacing w:val="-7"/>
          <w:sz w:val="16"/>
        </w:rPr>
        <w:t> </w:t>
      </w:r>
      <w:r>
        <w:rPr>
          <w:rFonts w:ascii="Arial"/>
          <w:sz w:val="16"/>
        </w:rPr>
        <w:t>may</w:t>
      </w:r>
      <w:r>
        <w:rPr>
          <w:rFonts w:ascii="Arial"/>
          <w:spacing w:val="-4"/>
          <w:sz w:val="16"/>
        </w:rPr>
        <w:t> </w:t>
      </w:r>
      <w:r>
        <w:rPr>
          <w:rFonts w:ascii="Arial"/>
          <w:sz w:val="16"/>
        </w:rPr>
        <w:t>be</w:t>
      </w:r>
      <w:r>
        <w:rPr>
          <w:rFonts w:ascii="Arial"/>
          <w:spacing w:val="-6"/>
          <w:sz w:val="16"/>
        </w:rPr>
        <w:t> </w:t>
      </w:r>
      <w:r>
        <w:rPr>
          <w:rFonts w:ascii="Arial"/>
          <w:sz w:val="16"/>
        </w:rPr>
        <w:t>adjusted</w:t>
      </w:r>
      <w:r>
        <w:rPr>
          <w:rFonts w:ascii="Arial"/>
          <w:spacing w:val="-4"/>
          <w:sz w:val="16"/>
        </w:rPr>
        <w:t> </w:t>
      </w:r>
      <w:r>
        <w:rPr>
          <w:rFonts w:ascii="Arial"/>
          <w:sz w:val="16"/>
        </w:rPr>
        <w:t>based</w:t>
      </w:r>
      <w:r>
        <w:rPr>
          <w:rFonts w:ascii="Arial"/>
          <w:spacing w:val="-4"/>
          <w:sz w:val="16"/>
        </w:rPr>
        <w:t> </w:t>
      </w:r>
      <w:r>
        <w:rPr>
          <w:rFonts w:ascii="Arial"/>
          <w:sz w:val="16"/>
        </w:rPr>
        <w:t>on</w:t>
      </w:r>
      <w:r>
        <w:rPr>
          <w:rFonts w:ascii="Arial"/>
          <w:spacing w:val="-6"/>
          <w:sz w:val="16"/>
        </w:rPr>
        <w:t> </w:t>
      </w:r>
      <w:r>
        <w:rPr>
          <w:rFonts w:ascii="Arial"/>
          <w:sz w:val="16"/>
        </w:rPr>
        <w:t>site-specific</w:t>
      </w:r>
      <w:r>
        <w:rPr>
          <w:rFonts w:ascii="Arial"/>
          <w:spacing w:val="-4"/>
          <w:sz w:val="16"/>
        </w:rPr>
        <w:t> </w:t>
      </w:r>
      <w:r>
        <w:rPr>
          <w:rFonts w:ascii="Arial"/>
          <w:spacing w:val="-2"/>
          <w:sz w:val="16"/>
        </w:rPr>
        <w:t>conditions.</w:t>
      </w:r>
    </w:p>
    <w:p>
      <w:pPr>
        <w:pStyle w:val="BodyText"/>
        <w:rPr>
          <w:rFonts w:ascii="Arial"/>
          <w:sz w:val="16"/>
        </w:rPr>
      </w:pPr>
    </w:p>
    <w:p>
      <w:pPr>
        <w:pStyle w:val="BodyText"/>
        <w:spacing w:before="111"/>
        <w:rPr>
          <w:rFonts w:ascii="Arial"/>
          <w:sz w:val="16"/>
        </w:rPr>
      </w:pPr>
    </w:p>
    <w:p>
      <w:pPr>
        <w:spacing w:before="1"/>
        <w:ind w:left="1151" w:right="0" w:firstLine="0"/>
        <w:jc w:val="left"/>
        <w:rPr>
          <w:rFonts w:ascii="Arial"/>
          <w:i/>
          <w:sz w:val="22"/>
        </w:rPr>
      </w:pPr>
      <w:bookmarkStart w:name="FW-GDL-WL-19. Northern Goshawk Nesting S" w:id="324"/>
      <w:bookmarkEnd w:id="324"/>
      <w:r>
        <w:rPr/>
      </w:r>
      <w:r>
        <w:rPr>
          <w:rFonts w:ascii="Arial"/>
          <w:i/>
          <w:sz w:val="22"/>
        </w:rPr>
        <w:t>FW-GDL-WL-19.</w:t>
      </w:r>
      <w:r>
        <w:rPr>
          <w:rFonts w:ascii="Arial"/>
          <w:i/>
          <w:spacing w:val="-8"/>
          <w:sz w:val="22"/>
        </w:rPr>
        <w:t> </w:t>
      </w:r>
      <w:r>
        <w:rPr>
          <w:rFonts w:ascii="Arial"/>
          <w:i/>
          <w:sz w:val="22"/>
        </w:rPr>
        <w:t>Northern</w:t>
      </w:r>
      <w:r>
        <w:rPr>
          <w:rFonts w:ascii="Arial"/>
          <w:i/>
          <w:spacing w:val="-7"/>
          <w:sz w:val="22"/>
        </w:rPr>
        <w:t> </w:t>
      </w:r>
      <w:r>
        <w:rPr>
          <w:rFonts w:ascii="Arial"/>
          <w:i/>
          <w:sz w:val="22"/>
        </w:rPr>
        <w:t>Goshawk</w:t>
      </w:r>
      <w:r>
        <w:rPr>
          <w:rFonts w:ascii="Arial"/>
          <w:i/>
          <w:spacing w:val="-9"/>
          <w:sz w:val="22"/>
        </w:rPr>
        <w:t> </w:t>
      </w:r>
      <w:r>
        <w:rPr>
          <w:rFonts w:ascii="Arial"/>
          <w:i/>
          <w:sz w:val="22"/>
        </w:rPr>
        <w:t>Nesting</w:t>
      </w:r>
      <w:r>
        <w:rPr>
          <w:rFonts w:ascii="Arial"/>
          <w:i/>
          <w:spacing w:val="-8"/>
          <w:sz w:val="22"/>
        </w:rPr>
        <w:t> </w:t>
      </w:r>
      <w:r>
        <w:rPr>
          <w:rFonts w:ascii="Arial"/>
          <w:i/>
          <w:spacing w:val="-4"/>
          <w:sz w:val="22"/>
        </w:rPr>
        <w:t>Sites</w:t>
      </w:r>
    </w:p>
    <w:p>
      <w:pPr>
        <w:pStyle w:val="BodyText"/>
        <w:spacing w:before="60"/>
        <w:ind w:left="1151"/>
      </w:pPr>
      <w:r>
        <w:rPr/>
        <w:t>Goshawk</w:t>
      </w:r>
      <w:r>
        <w:rPr>
          <w:spacing w:val="-10"/>
        </w:rPr>
        <w:t> </w:t>
      </w:r>
      <w:r>
        <w:rPr/>
        <w:t>territories</w:t>
      </w:r>
      <w:r>
        <w:rPr>
          <w:spacing w:val="-7"/>
        </w:rPr>
        <w:t> </w:t>
      </w:r>
      <w:r>
        <w:rPr/>
        <w:t>should</w:t>
      </w:r>
      <w:r>
        <w:rPr>
          <w:spacing w:val="-8"/>
        </w:rPr>
        <w:t> </w:t>
      </w:r>
      <w:r>
        <w:rPr/>
        <w:t>have</w:t>
      </w:r>
      <w:r>
        <w:rPr>
          <w:spacing w:val="-7"/>
        </w:rPr>
        <w:t> </w:t>
      </w:r>
      <w:r>
        <w:rPr/>
        <w:t>the</w:t>
      </w:r>
      <w:r>
        <w:rPr>
          <w:spacing w:val="-9"/>
        </w:rPr>
        <w:t> </w:t>
      </w:r>
      <w:r>
        <w:rPr/>
        <w:t>following</w:t>
      </w:r>
      <w:r>
        <w:rPr>
          <w:spacing w:val="-8"/>
        </w:rPr>
        <w:t> </w:t>
      </w:r>
      <w:r>
        <w:rPr>
          <w:spacing w:val="-2"/>
        </w:rPr>
        <w:t>components:</w:t>
      </w:r>
    </w:p>
    <w:p>
      <w:pPr>
        <w:pStyle w:val="ListParagraph"/>
        <w:numPr>
          <w:ilvl w:val="0"/>
          <w:numId w:val="12"/>
        </w:numPr>
        <w:tabs>
          <w:tab w:pos="1868" w:val="left" w:leader="none"/>
          <w:tab w:pos="1871" w:val="left" w:leader="none"/>
        </w:tabs>
        <w:spacing w:line="232" w:lineRule="auto" w:before="196" w:after="0"/>
        <w:ind w:left="1871" w:right="763" w:hanging="361"/>
        <w:jc w:val="left"/>
        <w:rPr>
          <w:sz w:val="22"/>
        </w:rPr>
      </w:pPr>
      <w:r>
        <w:rPr>
          <w:sz w:val="22"/>
        </w:rPr>
        <w:t>A 30-acre nest site (active within the last five years) where no adverse management activities</w:t>
      </w:r>
      <w:r>
        <w:rPr>
          <w:spacing w:val="-3"/>
          <w:sz w:val="22"/>
        </w:rPr>
        <w:t> </w:t>
      </w:r>
      <w:r>
        <w:rPr>
          <w:sz w:val="22"/>
        </w:rPr>
        <w:t>should</w:t>
      </w:r>
      <w:r>
        <w:rPr>
          <w:spacing w:val="-4"/>
          <w:sz w:val="22"/>
        </w:rPr>
        <w:t> </w:t>
      </w:r>
      <w:r>
        <w:rPr>
          <w:sz w:val="22"/>
        </w:rPr>
        <w:t>occur</w:t>
      </w:r>
      <w:r>
        <w:rPr>
          <w:spacing w:val="-3"/>
          <w:sz w:val="22"/>
        </w:rPr>
        <w:t> </w:t>
      </w:r>
      <w:r>
        <w:rPr>
          <w:sz w:val="22"/>
        </w:rPr>
        <w:t>as</w:t>
      </w:r>
      <w:r>
        <w:rPr>
          <w:spacing w:val="-5"/>
          <w:sz w:val="22"/>
        </w:rPr>
        <w:t> </w:t>
      </w:r>
      <w:r>
        <w:rPr>
          <w:sz w:val="22"/>
        </w:rPr>
        <w:t>long</w:t>
      </w:r>
      <w:r>
        <w:rPr>
          <w:spacing w:val="-4"/>
          <w:sz w:val="22"/>
        </w:rPr>
        <w:t> </w:t>
      </w:r>
      <w:r>
        <w:rPr>
          <w:sz w:val="22"/>
        </w:rPr>
        <w:t>as</w:t>
      </w:r>
      <w:r>
        <w:rPr>
          <w:spacing w:val="-3"/>
          <w:sz w:val="22"/>
        </w:rPr>
        <w:t> </w:t>
      </w:r>
      <w:r>
        <w:rPr>
          <w:sz w:val="22"/>
        </w:rPr>
        <w:t>the</w:t>
      </w:r>
      <w:r>
        <w:rPr>
          <w:spacing w:val="-2"/>
          <w:sz w:val="22"/>
        </w:rPr>
        <w:t> </w:t>
      </w:r>
      <w:r>
        <w:rPr>
          <w:sz w:val="22"/>
        </w:rPr>
        <w:t>nest</w:t>
      </w:r>
      <w:r>
        <w:rPr>
          <w:spacing w:val="-2"/>
          <w:sz w:val="22"/>
        </w:rPr>
        <w:t> </w:t>
      </w:r>
      <w:r>
        <w:rPr>
          <w:sz w:val="22"/>
        </w:rPr>
        <w:t>site</w:t>
      </w:r>
      <w:r>
        <w:rPr>
          <w:spacing w:val="-2"/>
          <w:sz w:val="22"/>
        </w:rPr>
        <w:t> </w:t>
      </w:r>
      <w:r>
        <w:rPr>
          <w:sz w:val="22"/>
        </w:rPr>
        <w:t>is</w:t>
      </w:r>
      <w:r>
        <w:rPr>
          <w:spacing w:val="-5"/>
          <w:sz w:val="22"/>
        </w:rPr>
        <w:t> </w:t>
      </w:r>
      <w:r>
        <w:rPr>
          <w:sz w:val="22"/>
        </w:rPr>
        <w:t>active.</w:t>
      </w:r>
      <w:r>
        <w:rPr>
          <w:spacing w:val="-5"/>
          <w:sz w:val="22"/>
        </w:rPr>
        <w:t> </w:t>
      </w:r>
      <w:r>
        <w:rPr>
          <w:sz w:val="22"/>
        </w:rPr>
        <w:t>Dominant</w:t>
      </w:r>
      <w:r>
        <w:rPr>
          <w:spacing w:val="-5"/>
          <w:sz w:val="22"/>
        </w:rPr>
        <w:t> </w:t>
      </w:r>
      <w:r>
        <w:rPr>
          <w:sz w:val="22"/>
        </w:rPr>
        <w:t>trees</w:t>
      </w:r>
      <w:r>
        <w:rPr>
          <w:spacing w:val="-3"/>
          <w:sz w:val="22"/>
        </w:rPr>
        <w:t> </w:t>
      </w:r>
      <w:r>
        <w:rPr>
          <w:sz w:val="22"/>
        </w:rPr>
        <w:t>should</w:t>
      </w:r>
      <w:r>
        <w:rPr>
          <w:spacing w:val="-4"/>
          <w:sz w:val="22"/>
        </w:rPr>
        <w:t> </w:t>
      </w:r>
      <w:r>
        <w:rPr>
          <w:sz w:val="22"/>
        </w:rPr>
        <w:t>be</w:t>
      </w:r>
      <w:r>
        <w:rPr>
          <w:spacing w:val="-4"/>
          <w:sz w:val="22"/>
        </w:rPr>
        <w:t> </w:t>
      </w:r>
      <w:r>
        <w:rPr>
          <w:sz w:val="22"/>
        </w:rPr>
        <w:t>larger than 15 inches d.b.h.</w:t>
      </w:r>
    </w:p>
    <w:p>
      <w:pPr>
        <w:pStyle w:val="ListParagraph"/>
        <w:numPr>
          <w:ilvl w:val="0"/>
          <w:numId w:val="12"/>
        </w:numPr>
        <w:tabs>
          <w:tab w:pos="1869" w:val="left" w:leader="none"/>
          <w:tab w:pos="1871" w:val="left" w:leader="none"/>
        </w:tabs>
        <w:spacing w:line="232" w:lineRule="auto" w:before="119" w:after="0"/>
        <w:ind w:left="1871" w:right="1048" w:hanging="360"/>
        <w:jc w:val="left"/>
        <w:rPr>
          <w:sz w:val="22"/>
        </w:rPr>
      </w:pPr>
      <w:r>
        <w:rPr>
          <w:sz w:val="22"/>
        </w:rPr>
        <w:t>Post-fledging</w:t>
      </w:r>
      <w:r>
        <w:rPr>
          <w:spacing w:val="-5"/>
          <w:sz w:val="22"/>
        </w:rPr>
        <w:t> </w:t>
      </w:r>
      <w:r>
        <w:rPr>
          <w:sz w:val="22"/>
        </w:rPr>
        <w:t>area</w:t>
      </w:r>
      <w:r>
        <w:rPr>
          <w:spacing w:val="-5"/>
          <w:sz w:val="22"/>
        </w:rPr>
        <w:t> </w:t>
      </w:r>
      <w:r>
        <w:rPr>
          <w:sz w:val="22"/>
        </w:rPr>
        <w:t>(420</w:t>
      </w:r>
      <w:r>
        <w:rPr>
          <w:spacing w:val="-4"/>
          <w:sz w:val="22"/>
        </w:rPr>
        <w:t> </w:t>
      </w:r>
      <w:r>
        <w:rPr>
          <w:sz w:val="22"/>
        </w:rPr>
        <w:t>acres</w:t>
      </w:r>
      <w:r>
        <w:rPr>
          <w:spacing w:val="-5"/>
          <w:sz w:val="22"/>
        </w:rPr>
        <w:t> </w:t>
      </w:r>
      <w:r>
        <w:rPr>
          <w:sz w:val="22"/>
        </w:rPr>
        <w:t>total),</w:t>
      </w:r>
      <w:r>
        <w:rPr>
          <w:spacing w:val="-7"/>
          <w:sz w:val="22"/>
        </w:rPr>
        <w:t> </w:t>
      </w:r>
      <w:r>
        <w:rPr>
          <w:sz w:val="22"/>
        </w:rPr>
        <w:t>including</w:t>
      </w:r>
      <w:r>
        <w:rPr>
          <w:spacing w:val="-6"/>
          <w:sz w:val="22"/>
        </w:rPr>
        <w:t> </w:t>
      </w:r>
      <w:r>
        <w:rPr>
          <w:sz w:val="22"/>
        </w:rPr>
        <w:t>six</w:t>
      </w:r>
      <w:r>
        <w:rPr>
          <w:spacing w:val="-5"/>
          <w:sz w:val="22"/>
        </w:rPr>
        <w:t> </w:t>
      </w:r>
      <w:r>
        <w:rPr>
          <w:sz w:val="22"/>
        </w:rPr>
        <w:t>nest</w:t>
      </w:r>
      <w:r>
        <w:rPr>
          <w:spacing w:val="-7"/>
          <w:sz w:val="22"/>
        </w:rPr>
        <w:t> </w:t>
      </w:r>
      <w:r>
        <w:rPr>
          <w:sz w:val="22"/>
        </w:rPr>
        <w:t>areas,</w:t>
      </w:r>
      <w:r>
        <w:rPr>
          <w:spacing w:val="-7"/>
          <w:sz w:val="22"/>
        </w:rPr>
        <w:t> </w:t>
      </w:r>
      <w:r>
        <w:rPr>
          <w:sz w:val="22"/>
        </w:rPr>
        <w:t>each</w:t>
      </w:r>
      <w:r>
        <w:rPr>
          <w:spacing w:val="-8"/>
          <w:sz w:val="22"/>
        </w:rPr>
        <w:t> </w:t>
      </w:r>
      <w:r>
        <w:rPr>
          <w:sz w:val="22"/>
        </w:rPr>
        <w:t>30</w:t>
      </w:r>
      <w:r>
        <w:rPr>
          <w:spacing w:val="-6"/>
          <w:sz w:val="22"/>
        </w:rPr>
        <w:t> </w:t>
      </w:r>
      <w:r>
        <w:rPr>
          <w:sz w:val="22"/>
        </w:rPr>
        <w:t>acres</w:t>
      </w:r>
      <w:r>
        <w:rPr>
          <w:spacing w:val="-5"/>
          <w:sz w:val="22"/>
        </w:rPr>
        <w:t> </w:t>
      </w:r>
      <w:r>
        <w:rPr>
          <w:sz w:val="22"/>
        </w:rPr>
        <w:t>in</w:t>
      </w:r>
      <w:r>
        <w:rPr>
          <w:spacing w:val="-6"/>
          <w:sz w:val="22"/>
        </w:rPr>
        <w:t> </w:t>
      </w:r>
      <w:r>
        <w:rPr>
          <w:sz w:val="22"/>
        </w:rPr>
        <w:t>size</w:t>
      </w:r>
      <w:r>
        <w:rPr>
          <w:spacing w:val="-9"/>
          <w:sz w:val="22"/>
        </w:rPr>
        <w:t> </w:t>
      </w:r>
      <w:r>
        <w:rPr>
          <w:sz w:val="22"/>
        </w:rPr>
        <w:t>(six nest sites – three nests are suitable and three are replacements).</w:t>
      </w:r>
    </w:p>
    <w:p>
      <w:pPr>
        <w:pStyle w:val="ListParagraph"/>
        <w:numPr>
          <w:ilvl w:val="0"/>
          <w:numId w:val="12"/>
        </w:numPr>
        <w:tabs>
          <w:tab w:pos="1869" w:val="left" w:leader="none"/>
        </w:tabs>
        <w:spacing w:line="240" w:lineRule="auto" w:before="113" w:after="0"/>
        <w:ind w:left="1869" w:right="0" w:hanging="358"/>
        <w:jc w:val="left"/>
        <w:rPr>
          <w:sz w:val="22"/>
        </w:rPr>
      </w:pPr>
      <w:r>
        <w:rPr>
          <w:sz w:val="22"/>
        </w:rPr>
        <w:t>Foraging</w:t>
      </w:r>
      <w:r>
        <w:rPr>
          <w:spacing w:val="-10"/>
          <w:sz w:val="22"/>
        </w:rPr>
        <w:t> </w:t>
      </w:r>
      <w:r>
        <w:rPr>
          <w:sz w:val="22"/>
        </w:rPr>
        <w:t>area</w:t>
      </w:r>
      <w:r>
        <w:rPr>
          <w:spacing w:val="-11"/>
          <w:sz w:val="22"/>
        </w:rPr>
        <w:t> </w:t>
      </w:r>
      <w:r>
        <w:rPr>
          <w:sz w:val="22"/>
        </w:rPr>
        <w:t>surrounding</w:t>
      </w:r>
      <w:r>
        <w:rPr>
          <w:spacing w:val="-10"/>
          <w:sz w:val="22"/>
        </w:rPr>
        <w:t> </w:t>
      </w:r>
      <w:r>
        <w:rPr>
          <w:sz w:val="22"/>
        </w:rPr>
        <w:t>the</w:t>
      </w:r>
      <w:r>
        <w:rPr>
          <w:spacing w:val="-9"/>
          <w:sz w:val="22"/>
        </w:rPr>
        <w:t> </w:t>
      </w:r>
      <w:r>
        <w:rPr>
          <w:sz w:val="22"/>
        </w:rPr>
        <w:t>post-fledging</w:t>
      </w:r>
      <w:r>
        <w:rPr>
          <w:spacing w:val="-10"/>
          <w:sz w:val="22"/>
        </w:rPr>
        <w:t> </w:t>
      </w:r>
      <w:r>
        <w:rPr>
          <w:sz w:val="22"/>
        </w:rPr>
        <w:t>area,</w:t>
      </w:r>
      <w:r>
        <w:rPr>
          <w:spacing w:val="-10"/>
          <w:sz w:val="22"/>
        </w:rPr>
        <w:t> </w:t>
      </w:r>
      <w:r>
        <w:rPr>
          <w:spacing w:val="-5"/>
          <w:sz w:val="22"/>
        </w:rPr>
        <w:t>and</w:t>
      </w:r>
    </w:p>
    <w:p>
      <w:pPr>
        <w:pStyle w:val="ListParagraph"/>
        <w:numPr>
          <w:ilvl w:val="0"/>
          <w:numId w:val="12"/>
        </w:numPr>
        <w:tabs>
          <w:tab w:pos="1869" w:val="left" w:leader="none"/>
        </w:tabs>
        <w:spacing w:line="240" w:lineRule="auto" w:before="111" w:after="0"/>
        <w:ind w:left="1869" w:right="0" w:hanging="358"/>
        <w:jc w:val="left"/>
        <w:rPr>
          <w:sz w:val="22"/>
        </w:rPr>
      </w:pPr>
      <w:r>
        <w:rPr>
          <w:sz w:val="22"/>
        </w:rPr>
        <w:t>Total</w:t>
      </w:r>
      <w:r>
        <w:rPr>
          <w:spacing w:val="-9"/>
          <w:sz w:val="22"/>
        </w:rPr>
        <w:t> </w:t>
      </w:r>
      <w:r>
        <w:rPr>
          <w:sz w:val="22"/>
        </w:rPr>
        <w:t>home</w:t>
      </w:r>
      <w:r>
        <w:rPr>
          <w:spacing w:val="-7"/>
          <w:sz w:val="22"/>
        </w:rPr>
        <w:t> </w:t>
      </w:r>
      <w:r>
        <w:rPr>
          <w:sz w:val="22"/>
        </w:rPr>
        <w:t>range</w:t>
      </w:r>
      <w:r>
        <w:rPr>
          <w:spacing w:val="-7"/>
          <w:sz w:val="22"/>
        </w:rPr>
        <w:t> </w:t>
      </w:r>
      <w:r>
        <w:rPr>
          <w:sz w:val="22"/>
        </w:rPr>
        <w:t>size</w:t>
      </w:r>
      <w:r>
        <w:rPr>
          <w:spacing w:val="-10"/>
          <w:sz w:val="22"/>
        </w:rPr>
        <w:t> </w:t>
      </w:r>
      <w:r>
        <w:rPr>
          <w:sz w:val="22"/>
        </w:rPr>
        <w:t>=</w:t>
      </w:r>
      <w:r>
        <w:rPr>
          <w:spacing w:val="-10"/>
          <w:sz w:val="22"/>
        </w:rPr>
        <w:t> </w:t>
      </w:r>
      <w:r>
        <w:rPr>
          <w:sz w:val="22"/>
        </w:rPr>
        <w:t>6,000</w:t>
      </w:r>
      <w:r>
        <w:rPr>
          <w:spacing w:val="-7"/>
          <w:sz w:val="22"/>
        </w:rPr>
        <w:t> </w:t>
      </w:r>
      <w:r>
        <w:rPr>
          <w:spacing w:val="-2"/>
          <w:sz w:val="22"/>
        </w:rPr>
        <w:t>acres.</w:t>
      </w:r>
    </w:p>
    <w:p>
      <w:pPr>
        <w:pStyle w:val="BodyText"/>
        <w:spacing w:line="232" w:lineRule="auto" w:before="119"/>
        <w:ind w:left="1151" w:right="801"/>
      </w:pPr>
      <w:r>
        <w:rPr/>
        <w:t>All</w:t>
      </w:r>
      <w:r>
        <w:rPr>
          <w:spacing w:val="-4"/>
        </w:rPr>
        <w:t> </w:t>
      </w:r>
      <w:r>
        <w:rPr/>
        <w:t>active</w:t>
      </w:r>
      <w:r>
        <w:rPr>
          <w:spacing w:val="-3"/>
        </w:rPr>
        <w:t> </w:t>
      </w:r>
      <w:r>
        <w:rPr/>
        <w:t>(within</w:t>
      </w:r>
      <w:r>
        <w:rPr>
          <w:spacing w:val="-5"/>
        </w:rPr>
        <w:t> </w:t>
      </w:r>
      <w:r>
        <w:rPr/>
        <w:t>the</w:t>
      </w:r>
      <w:r>
        <w:rPr>
          <w:spacing w:val="-6"/>
        </w:rPr>
        <w:t> </w:t>
      </w:r>
      <w:r>
        <w:rPr/>
        <w:t>last</w:t>
      </w:r>
      <w:r>
        <w:rPr>
          <w:spacing w:val="-5"/>
        </w:rPr>
        <w:t> </w:t>
      </w:r>
      <w:r>
        <w:rPr/>
        <w:t>5</w:t>
      </w:r>
      <w:r>
        <w:rPr>
          <w:spacing w:val="-5"/>
        </w:rPr>
        <w:t> </w:t>
      </w:r>
      <w:r>
        <w:rPr/>
        <w:t>years)</w:t>
      </w:r>
      <w:r>
        <w:rPr>
          <w:spacing w:val="-6"/>
        </w:rPr>
        <w:t> </w:t>
      </w:r>
      <w:r>
        <w:rPr/>
        <w:t>or</w:t>
      </w:r>
      <w:r>
        <w:rPr>
          <w:spacing w:val="-6"/>
        </w:rPr>
        <w:t> </w:t>
      </w:r>
      <w:r>
        <w:rPr/>
        <w:t>replacement</w:t>
      </w:r>
      <w:r>
        <w:rPr>
          <w:spacing w:val="-3"/>
        </w:rPr>
        <w:t> </w:t>
      </w:r>
      <w:r>
        <w:rPr/>
        <w:t>nest</w:t>
      </w:r>
      <w:r>
        <w:rPr>
          <w:spacing w:val="-6"/>
        </w:rPr>
        <w:t> </w:t>
      </w:r>
      <w:r>
        <w:rPr/>
        <w:t>sites</w:t>
      </w:r>
      <w:r>
        <w:rPr>
          <w:spacing w:val="-4"/>
        </w:rPr>
        <w:t> </w:t>
      </w:r>
      <w:r>
        <w:rPr/>
        <w:t>for</w:t>
      </w:r>
      <w:r>
        <w:rPr>
          <w:spacing w:val="-4"/>
        </w:rPr>
        <w:t> </w:t>
      </w:r>
      <w:r>
        <w:rPr/>
        <w:t>the</w:t>
      </w:r>
      <w:r>
        <w:rPr>
          <w:spacing w:val="-3"/>
        </w:rPr>
        <w:t> </w:t>
      </w:r>
      <w:r>
        <w:rPr/>
        <w:t>northern</w:t>
      </w:r>
      <w:r>
        <w:rPr>
          <w:spacing w:val="-5"/>
        </w:rPr>
        <w:t> </w:t>
      </w:r>
      <w:r>
        <w:rPr/>
        <w:t>goshawk</w:t>
      </w:r>
      <w:r>
        <w:rPr>
          <w:spacing w:val="-3"/>
        </w:rPr>
        <w:t> </w:t>
      </w:r>
      <w:r>
        <w:rPr/>
        <w:t>should provide suitable nesting habitat with more than 50 percent canopy closure. Foraging area habitat can be a combination of late-and mid-seral stages.</w:t>
      </w:r>
    </w:p>
    <w:p>
      <w:pPr>
        <w:spacing w:before="233"/>
        <w:ind w:left="1151" w:right="0" w:firstLine="0"/>
        <w:jc w:val="left"/>
        <w:rPr>
          <w:rFonts w:ascii="Arial"/>
          <w:i/>
          <w:sz w:val="22"/>
        </w:rPr>
      </w:pPr>
      <w:bookmarkStart w:name="FW-GDL-WL-20. Placement of Apiaries" w:id="325"/>
      <w:bookmarkEnd w:id="325"/>
      <w:r>
        <w:rPr/>
      </w:r>
      <w:r>
        <w:rPr>
          <w:rFonts w:ascii="Arial"/>
          <w:i/>
          <w:sz w:val="22"/>
        </w:rPr>
        <w:t>FW-GDL-WL-20.</w:t>
      </w:r>
      <w:r>
        <w:rPr>
          <w:rFonts w:ascii="Arial"/>
          <w:i/>
          <w:spacing w:val="-9"/>
          <w:sz w:val="22"/>
        </w:rPr>
        <w:t> </w:t>
      </w:r>
      <w:r>
        <w:rPr>
          <w:rFonts w:ascii="Arial"/>
          <w:i/>
          <w:sz w:val="22"/>
        </w:rPr>
        <w:t>Placement</w:t>
      </w:r>
      <w:r>
        <w:rPr>
          <w:rFonts w:ascii="Arial"/>
          <w:i/>
          <w:spacing w:val="-5"/>
          <w:sz w:val="22"/>
        </w:rPr>
        <w:t> </w:t>
      </w:r>
      <w:r>
        <w:rPr>
          <w:rFonts w:ascii="Arial"/>
          <w:i/>
          <w:sz w:val="22"/>
        </w:rPr>
        <w:t>of</w:t>
      </w:r>
      <w:r>
        <w:rPr>
          <w:rFonts w:ascii="Arial"/>
          <w:i/>
          <w:spacing w:val="-5"/>
          <w:sz w:val="22"/>
        </w:rPr>
        <w:t> </w:t>
      </w:r>
      <w:r>
        <w:rPr>
          <w:rFonts w:ascii="Arial"/>
          <w:i/>
          <w:spacing w:val="-2"/>
          <w:sz w:val="22"/>
        </w:rPr>
        <w:t>Apiaries</w:t>
      </w:r>
    </w:p>
    <w:p>
      <w:pPr>
        <w:pStyle w:val="BodyText"/>
        <w:spacing w:line="232" w:lineRule="auto" w:before="65"/>
        <w:ind w:left="1150" w:right="1073"/>
      </w:pPr>
      <w:r>
        <w:rPr/>
        <w:t>Proposed apiaries should not be placed where they pose a risk to rare species of bees, butterflies</w:t>
      </w:r>
      <w:r>
        <w:rPr>
          <w:spacing w:val="-10"/>
        </w:rPr>
        <w:t> </w:t>
      </w:r>
      <w:r>
        <w:rPr/>
        <w:t>and/or</w:t>
      </w:r>
      <w:r>
        <w:rPr>
          <w:spacing w:val="-9"/>
        </w:rPr>
        <w:t> </w:t>
      </w:r>
      <w:r>
        <w:rPr/>
        <w:t>other</w:t>
      </w:r>
      <w:r>
        <w:rPr>
          <w:spacing w:val="-7"/>
        </w:rPr>
        <w:t> </w:t>
      </w:r>
      <w:r>
        <w:rPr/>
        <w:t>native</w:t>
      </w:r>
      <w:r>
        <w:rPr>
          <w:spacing w:val="-6"/>
        </w:rPr>
        <w:t> </w:t>
      </w:r>
      <w:r>
        <w:rPr/>
        <w:t>pollinators,</w:t>
      </w:r>
      <w:r>
        <w:rPr>
          <w:spacing w:val="-9"/>
        </w:rPr>
        <w:t> </w:t>
      </w:r>
      <w:r>
        <w:rPr/>
        <w:t>including</w:t>
      </w:r>
      <w:r>
        <w:rPr>
          <w:spacing w:val="-8"/>
        </w:rPr>
        <w:t> </w:t>
      </w:r>
      <w:r>
        <w:rPr/>
        <w:t>threatened,</w:t>
      </w:r>
      <w:r>
        <w:rPr>
          <w:spacing w:val="-9"/>
        </w:rPr>
        <w:t> </w:t>
      </w:r>
      <w:r>
        <w:rPr/>
        <w:t>endangered,</w:t>
      </w:r>
      <w:r>
        <w:rPr>
          <w:spacing w:val="-9"/>
        </w:rPr>
        <w:t> </w:t>
      </w:r>
      <w:r>
        <w:rPr/>
        <w:t>or</w:t>
      </w:r>
      <w:r>
        <w:rPr>
          <w:spacing w:val="-9"/>
        </w:rPr>
        <w:t> </w:t>
      </w:r>
      <w:r>
        <w:rPr/>
        <w:t>sensitive pollinator species known to exist within 2 to 5 miles of the proposed site.</w:t>
      </w:r>
    </w:p>
    <w:p>
      <w:pPr>
        <w:pStyle w:val="Heading3"/>
        <w:spacing w:before="234"/>
      </w:pPr>
      <w:bookmarkStart w:name="Invasive Species (IS)" w:id="326"/>
      <w:bookmarkEnd w:id="326"/>
      <w:r>
        <w:rPr>
          <w:b w:val="0"/>
        </w:rPr>
      </w:r>
      <w:bookmarkStart w:name="_bookmark112" w:id="327"/>
      <w:bookmarkEnd w:id="327"/>
      <w:r>
        <w:rPr>
          <w:b w:val="0"/>
        </w:rPr>
      </w:r>
      <w:r>
        <w:rPr>
          <w:smallCaps/>
          <w:color w:val="475824"/>
        </w:rPr>
        <w:t>Invasive</w:t>
      </w:r>
      <w:r>
        <w:rPr>
          <w:smallCaps/>
          <w:color w:val="475824"/>
          <w:spacing w:val="-8"/>
        </w:rPr>
        <w:t> </w:t>
      </w:r>
      <w:r>
        <w:rPr>
          <w:smallCaps/>
          <w:color w:val="475824"/>
        </w:rPr>
        <w:t>Species</w:t>
      </w:r>
      <w:r>
        <w:rPr>
          <w:smallCaps/>
          <w:color w:val="475824"/>
          <w:spacing w:val="-6"/>
        </w:rPr>
        <w:t> </w:t>
      </w:r>
      <w:r>
        <w:rPr>
          <w:smallCaps/>
          <w:color w:val="475824"/>
          <w:spacing w:val="-4"/>
        </w:rPr>
        <w:t>(IS)</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09856">
                <wp:simplePos x="0" y="0"/>
                <wp:positionH relativeFrom="page">
                  <wp:posOffset>1627632</wp:posOffset>
                </wp:positionH>
                <wp:positionV relativeFrom="paragraph">
                  <wp:posOffset>75103</wp:posOffset>
                </wp:positionV>
                <wp:extent cx="5248910" cy="2369820"/>
                <wp:effectExtent l="0" t="0" r="0" b="0"/>
                <wp:wrapTopAndBottom/>
                <wp:docPr id="171" name="Textbox 171"/>
                <wp:cNvGraphicFramePr>
                  <a:graphicFrameLocks/>
                </wp:cNvGraphicFramePr>
                <a:graphic>
                  <a:graphicData uri="http://schemas.microsoft.com/office/word/2010/wordprocessingShape">
                    <wps:wsp>
                      <wps:cNvPr id="171" name="Textbox 171"/>
                      <wps:cNvSpPr txBox="1"/>
                      <wps:spPr>
                        <a:xfrm>
                          <a:off x="0" y="0"/>
                          <a:ext cx="5248910" cy="2369820"/>
                        </a:xfrm>
                        <a:prstGeom prst="rect">
                          <a:avLst/>
                        </a:prstGeom>
                        <a:solidFill>
                          <a:srgbClr val="DFDFDF"/>
                        </a:solidFill>
                      </wps:spPr>
                      <wps:txbx>
                        <w:txbxContent>
                          <w:p>
                            <w:pPr>
                              <w:pStyle w:val="BodyText"/>
                              <w:ind w:left="28" w:right="120"/>
                              <w:rPr>
                                <w:color w:val="000000"/>
                              </w:rPr>
                            </w:pPr>
                            <w:r>
                              <w:rPr>
                                <w:color w:val="000000"/>
                              </w:rPr>
                              <w:t>This section discusses forestwide management direction for all invasive taxa including terrestrial</w:t>
                            </w:r>
                            <w:r>
                              <w:rPr>
                                <w:color w:val="000000"/>
                                <w:spacing w:val="-3"/>
                              </w:rPr>
                              <w:t> </w:t>
                            </w:r>
                            <w:r>
                              <w:rPr>
                                <w:color w:val="000000"/>
                              </w:rPr>
                              <w:t>and</w:t>
                            </w:r>
                            <w:r>
                              <w:rPr>
                                <w:color w:val="000000"/>
                                <w:spacing w:val="-4"/>
                              </w:rPr>
                              <w:t> </w:t>
                            </w:r>
                            <w:r>
                              <w:rPr>
                                <w:color w:val="000000"/>
                              </w:rPr>
                              <w:t>aquatic</w:t>
                            </w:r>
                            <w:r>
                              <w:rPr>
                                <w:color w:val="000000"/>
                                <w:spacing w:val="-5"/>
                              </w:rPr>
                              <w:t> </w:t>
                            </w:r>
                            <w:r>
                              <w:rPr>
                                <w:color w:val="000000"/>
                              </w:rPr>
                              <w:t>plants,</w:t>
                            </w:r>
                            <w:r>
                              <w:rPr>
                                <w:color w:val="000000"/>
                                <w:spacing w:val="-3"/>
                              </w:rPr>
                              <w:t> </w:t>
                            </w:r>
                            <w:r>
                              <w:rPr>
                                <w:color w:val="000000"/>
                              </w:rPr>
                              <w:t>vertebrate</w:t>
                            </w:r>
                            <w:r>
                              <w:rPr>
                                <w:color w:val="000000"/>
                                <w:spacing w:val="-5"/>
                              </w:rPr>
                              <w:t> </w:t>
                            </w:r>
                            <w:r>
                              <w:rPr>
                                <w:color w:val="000000"/>
                              </w:rPr>
                              <w:t>and</w:t>
                            </w:r>
                            <w:r>
                              <w:rPr>
                                <w:color w:val="000000"/>
                                <w:spacing w:val="-4"/>
                              </w:rPr>
                              <w:t> </w:t>
                            </w:r>
                            <w:r>
                              <w:rPr>
                                <w:color w:val="000000"/>
                              </w:rPr>
                              <w:t>invertebrate</w:t>
                            </w:r>
                            <w:r>
                              <w:rPr>
                                <w:color w:val="000000"/>
                                <w:spacing w:val="-2"/>
                              </w:rPr>
                              <w:t> </w:t>
                            </w:r>
                            <w:r>
                              <w:rPr>
                                <w:color w:val="000000"/>
                              </w:rPr>
                              <w:t>animals,</w:t>
                            </w:r>
                            <w:r>
                              <w:rPr>
                                <w:color w:val="000000"/>
                                <w:spacing w:val="-3"/>
                              </w:rPr>
                              <w:t> </w:t>
                            </w:r>
                            <w:r>
                              <w:rPr>
                                <w:color w:val="000000"/>
                              </w:rPr>
                              <w:t>and</w:t>
                            </w:r>
                            <w:r>
                              <w:rPr>
                                <w:color w:val="000000"/>
                                <w:spacing w:val="-4"/>
                              </w:rPr>
                              <w:t> </w:t>
                            </w:r>
                            <w:r>
                              <w:rPr>
                                <w:color w:val="000000"/>
                              </w:rPr>
                              <w:t>insect</w:t>
                            </w:r>
                            <w:r>
                              <w:rPr>
                                <w:color w:val="000000"/>
                                <w:spacing w:val="-5"/>
                              </w:rPr>
                              <w:t> </w:t>
                            </w:r>
                            <w:r>
                              <w:rPr>
                                <w:color w:val="000000"/>
                              </w:rPr>
                              <w:t>and</w:t>
                            </w:r>
                            <w:r>
                              <w:rPr>
                                <w:color w:val="000000"/>
                                <w:spacing w:val="-4"/>
                              </w:rPr>
                              <w:t> </w:t>
                            </w:r>
                            <w:r>
                              <w:rPr>
                                <w:color w:val="000000"/>
                              </w:rPr>
                              <w:t>disease pathogens. This management direction is based on Forest Service policy codified in FSM 2900 and is intended to provide context for proper invasive species management on the ground. This section includes management for all invasive taxa including fish and wildlife diseases such as white-nose syndrome, viral hemorrhagic septicemia, chytrid fungus, or Batrachochytrium salamandrivorans that are not native to the Pacific Northwest.</w:t>
                            </w:r>
                          </w:p>
                          <w:p>
                            <w:pPr>
                              <w:pStyle w:val="BodyText"/>
                              <w:spacing w:before="121"/>
                              <w:ind w:left="28" w:right="120"/>
                              <w:rPr>
                                <w:color w:val="000000"/>
                              </w:rPr>
                            </w:pPr>
                            <w:r>
                              <w:rPr>
                                <w:color w:val="000000"/>
                              </w:rPr>
                              <w:t>Management direction for invasive plant management from the 2005 Record of Decision for</w:t>
                            </w:r>
                            <w:r>
                              <w:rPr>
                                <w:color w:val="000000"/>
                                <w:spacing w:val="-3"/>
                              </w:rPr>
                              <w:t> </w:t>
                            </w:r>
                            <w:r>
                              <w:rPr>
                                <w:color w:val="000000"/>
                              </w:rPr>
                              <w:t>the</w:t>
                            </w:r>
                            <w:r>
                              <w:rPr>
                                <w:color w:val="000000"/>
                                <w:spacing w:val="-2"/>
                              </w:rPr>
                              <w:t> </w:t>
                            </w:r>
                            <w:r>
                              <w:rPr>
                                <w:color w:val="000000"/>
                              </w:rPr>
                              <w:t>Pacific</w:t>
                            </w:r>
                            <w:r>
                              <w:rPr>
                                <w:color w:val="000000"/>
                                <w:spacing w:val="-3"/>
                              </w:rPr>
                              <w:t> </w:t>
                            </w:r>
                            <w:r>
                              <w:rPr>
                                <w:color w:val="000000"/>
                              </w:rPr>
                              <w:t>Northwest</w:t>
                            </w:r>
                            <w:r>
                              <w:rPr>
                                <w:color w:val="000000"/>
                                <w:spacing w:val="-5"/>
                              </w:rPr>
                              <w:t> </w:t>
                            </w:r>
                            <w:r>
                              <w:rPr>
                                <w:color w:val="000000"/>
                              </w:rPr>
                              <w:t>Region</w:t>
                            </w:r>
                            <w:r>
                              <w:rPr>
                                <w:color w:val="000000"/>
                                <w:spacing w:val="-4"/>
                              </w:rPr>
                              <w:t> </w:t>
                            </w:r>
                            <w:r>
                              <w:rPr>
                                <w:color w:val="000000"/>
                              </w:rPr>
                              <w:t>Invasive</w:t>
                            </w:r>
                            <w:r>
                              <w:rPr>
                                <w:color w:val="000000"/>
                                <w:spacing w:val="-5"/>
                              </w:rPr>
                              <w:t> </w:t>
                            </w:r>
                            <w:r>
                              <w:rPr>
                                <w:color w:val="000000"/>
                              </w:rPr>
                              <w:t>Plant</w:t>
                            </w:r>
                            <w:r>
                              <w:rPr>
                                <w:color w:val="000000"/>
                                <w:spacing w:val="-2"/>
                              </w:rPr>
                              <w:t> </w:t>
                            </w:r>
                            <w:r>
                              <w:rPr>
                                <w:color w:val="000000"/>
                              </w:rPr>
                              <w:t>Program</w:t>
                            </w:r>
                            <w:r>
                              <w:rPr>
                                <w:color w:val="000000"/>
                                <w:spacing w:val="-4"/>
                              </w:rPr>
                              <w:t> </w:t>
                            </w:r>
                            <w:r>
                              <w:rPr>
                                <w:color w:val="000000"/>
                              </w:rPr>
                              <w:t>Preventing</w:t>
                            </w:r>
                            <w:r>
                              <w:rPr>
                                <w:color w:val="000000"/>
                                <w:spacing w:val="-4"/>
                              </w:rPr>
                              <w:t> </w:t>
                            </w:r>
                            <w:r>
                              <w:rPr>
                                <w:color w:val="000000"/>
                              </w:rPr>
                              <w:t>and</w:t>
                            </w:r>
                            <w:r>
                              <w:rPr>
                                <w:color w:val="000000"/>
                                <w:spacing w:val="-6"/>
                              </w:rPr>
                              <w:t> </w:t>
                            </w:r>
                            <w:r>
                              <w:rPr>
                                <w:color w:val="000000"/>
                              </w:rPr>
                              <w:t>Managing</w:t>
                            </w:r>
                            <w:r>
                              <w:rPr>
                                <w:color w:val="000000"/>
                                <w:spacing w:val="-4"/>
                              </w:rPr>
                              <w:t> </w:t>
                            </w:r>
                            <w:r>
                              <w:rPr>
                                <w:color w:val="000000"/>
                              </w:rPr>
                              <w:t>Invasive Plants</w:t>
                            </w:r>
                            <w:r>
                              <w:rPr>
                                <w:color w:val="000000"/>
                                <w:spacing w:val="40"/>
                              </w:rPr>
                              <w:t> </w:t>
                            </w:r>
                            <w:r>
                              <w:rPr>
                                <w:color w:val="000000"/>
                              </w:rPr>
                              <w:t>EIS</w:t>
                            </w:r>
                            <w:hyperlink w:history="true" w:anchor="_bookmark113">
                              <w:r>
                                <w:rPr>
                                  <w:color w:val="000000"/>
                                  <w:vertAlign w:val="superscript"/>
                                </w:rPr>
                                <w:t>14</w:t>
                              </w:r>
                            </w:hyperlink>
                            <w:r>
                              <w:rPr>
                                <w:color w:val="000000"/>
                                <w:vertAlign w:val="baseline"/>
                              </w:rPr>
                              <w:t> has been brought forward and updated to increase consistency and reduce redundancy with national policy.</w:t>
                            </w:r>
                          </w:p>
                          <w:p>
                            <w:pPr>
                              <w:pStyle w:val="BodyText"/>
                              <w:spacing w:before="118"/>
                              <w:ind w:left="28" w:right="120"/>
                              <w:rPr>
                                <w:color w:val="000000"/>
                              </w:rPr>
                            </w:pPr>
                            <w:r>
                              <w:rPr>
                                <w:color w:val="000000"/>
                              </w:rPr>
                              <w:t>Invasive species management direction applies forestwide; however, more specific management</w:t>
                            </w:r>
                            <w:r>
                              <w:rPr>
                                <w:color w:val="000000"/>
                                <w:spacing w:val="-5"/>
                              </w:rPr>
                              <w:t> </w:t>
                            </w:r>
                            <w:r>
                              <w:rPr>
                                <w:color w:val="000000"/>
                              </w:rPr>
                              <w:t>direction</w:t>
                            </w:r>
                            <w:r>
                              <w:rPr>
                                <w:color w:val="000000"/>
                                <w:spacing w:val="-4"/>
                              </w:rPr>
                              <w:t> </w:t>
                            </w:r>
                            <w:r>
                              <w:rPr>
                                <w:color w:val="000000"/>
                              </w:rPr>
                              <w:t>for</w:t>
                            </w:r>
                            <w:r>
                              <w:rPr>
                                <w:color w:val="000000"/>
                                <w:spacing w:val="-3"/>
                              </w:rPr>
                              <w:t> </w:t>
                            </w:r>
                            <w:r>
                              <w:rPr>
                                <w:color w:val="000000"/>
                              </w:rPr>
                              <w:t>invasive</w:t>
                            </w:r>
                            <w:r>
                              <w:rPr>
                                <w:color w:val="000000"/>
                                <w:spacing w:val="-2"/>
                              </w:rPr>
                              <w:t> </w:t>
                            </w:r>
                            <w:r>
                              <w:rPr>
                                <w:color w:val="000000"/>
                              </w:rPr>
                              <w:t>species</w:t>
                            </w:r>
                            <w:r>
                              <w:rPr>
                                <w:color w:val="000000"/>
                                <w:spacing w:val="-3"/>
                              </w:rPr>
                              <w:t> </w:t>
                            </w:r>
                            <w:r>
                              <w:rPr>
                                <w:color w:val="000000"/>
                              </w:rPr>
                              <w:t>can</w:t>
                            </w:r>
                            <w:r>
                              <w:rPr>
                                <w:color w:val="000000"/>
                                <w:spacing w:val="-4"/>
                              </w:rPr>
                              <w:t> </w:t>
                            </w:r>
                            <w:r>
                              <w:rPr>
                                <w:color w:val="000000"/>
                              </w:rPr>
                              <w:t>be</w:t>
                            </w:r>
                            <w:r>
                              <w:rPr>
                                <w:color w:val="000000"/>
                                <w:spacing w:val="-2"/>
                              </w:rPr>
                              <w:t> </w:t>
                            </w:r>
                            <w:r>
                              <w:rPr>
                                <w:color w:val="000000"/>
                              </w:rPr>
                              <w:t>found</w:t>
                            </w:r>
                            <w:r>
                              <w:rPr>
                                <w:color w:val="000000"/>
                                <w:spacing w:val="-4"/>
                              </w:rPr>
                              <w:t> </w:t>
                            </w:r>
                            <w:r>
                              <w:rPr>
                                <w:color w:val="000000"/>
                              </w:rPr>
                              <w:t>in</w:t>
                            </w:r>
                            <w:r>
                              <w:rPr>
                                <w:color w:val="000000"/>
                                <w:spacing w:val="-4"/>
                              </w:rPr>
                              <w:t> </w:t>
                            </w:r>
                            <w:r>
                              <w:rPr>
                                <w:color w:val="000000"/>
                              </w:rPr>
                              <w:t>the</w:t>
                            </w:r>
                            <w:r>
                              <w:rPr>
                                <w:color w:val="000000"/>
                                <w:spacing w:val="-2"/>
                              </w:rPr>
                              <w:t> </w:t>
                            </w:r>
                            <w:r>
                              <w:rPr>
                                <w:color w:val="000000"/>
                              </w:rPr>
                              <w:t>Riparian</w:t>
                            </w:r>
                            <w:r>
                              <w:rPr>
                                <w:color w:val="000000"/>
                                <w:spacing w:val="-6"/>
                              </w:rPr>
                              <w:t> </w:t>
                            </w:r>
                            <w:r>
                              <w:rPr>
                                <w:color w:val="000000"/>
                              </w:rPr>
                              <w:t>Management</w:t>
                            </w:r>
                          </w:p>
                        </w:txbxContent>
                      </wps:txbx>
                      <wps:bodyPr wrap="square" lIns="0" tIns="0" rIns="0" bIns="0" rtlCol="0">
                        <a:noAutofit/>
                      </wps:bodyPr>
                    </wps:wsp>
                  </a:graphicData>
                </a:graphic>
              </wp:anchor>
            </w:drawing>
          </mc:Choice>
          <mc:Fallback>
            <w:pict>
              <v:shape style="position:absolute;margin-left:128.160004pt;margin-top:5.913682pt;width:413.3pt;height:186.6pt;mso-position-horizontal-relative:page;mso-position-vertical-relative:paragraph;z-index:-15706624;mso-wrap-distance-left:0;mso-wrap-distance-right:0" type="#_x0000_t202" id="docshape160" filled="true" fillcolor="#dfdfdf" stroked="false">
                <v:textbox inset="0,0,0,0">
                  <w:txbxContent>
                    <w:p>
                      <w:pPr>
                        <w:pStyle w:val="BodyText"/>
                        <w:ind w:left="28" w:right="120"/>
                        <w:rPr>
                          <w:color w:val="000000"/>
                        </w:rPr>
                      </w:pPr>
                      <w:r>
                        <w:rPr>
                          <w:color w:val="000000"/>
                        </w:rPr>
                        <w:t>This section discusses forestwide management direction for all invasive taxa including terrestrial</w:t>
                      </w:r>
                      <w:r>
                        <w:rPr>
                          <w:color w:val="000000"/>
                          <w:spacing w:val="-3"/>
                        </w:rPr>
                        <w:t> </w:t>
                      </w:r>
                      <w:r>
                        <w:rPr>
                          <w:color w:val="000000"/>
                        </w:rPr>
                        <w:t>and</w:t>
                      </w:r>
                      <w:r>
                        <w:rPr>
                          <w:color w:val="000000"/>
                          <w:spacing w:val="-4"/>
                        </w:rPr>
                        <w:t> </w:t>
                      </w:r>
                      <w:r>
                        <w:rPr>
                          <w:color w:val="000000"/>
                        </w:rPr>
                        <w:t>aquatic</w:t>
                      </w:r>
                      <w:r>
                        <w:rPr>
                          <w:color w:val="000000"/>
                          <w:spacing w:val="-5"/>
                        </w:rPr>
                        <w:t> </w:t>
                      </w:r>
                      <w:r>
                        <w:rPr>
                          <w:color w:val="000000"/>
                        </w:rPr>
                        <w:t>plants,</w:t>
                      </w:r>
                      <w:r>
                        <w:rPr>
                          <w:color w:val="000000"/>
                          <w:spacing w:val="-3"/>
                        </w:rPr>
                        <w:t> </w:t>
                      </w:r>
                      <w:r>
                        <w:rPr>
                          <w:color w:val="000000"/>
                        </w:rPr>
                        <w:t>vertebrate</w:t>
                      </w:r>
                      <w:r>
                        <w:rPr>
                          <w:color w:val="000000"/>
                          <w:spacing w:val="-5"/>
                        </w:rPr>
                        <w:t> </w:t>
                      </w:r>
                      <w:r>
                        <w:rPr>
                          <w:color w:val="000000"/>
                        </w:rPr>
                        <w:t>and</w:t>
                      </w:r>
                      <w:r>
                        <w:rPr>
                          <w:color w:val="000000"/>
                          <w:spacing w:val="-4"/>
                        </w:rPr>
                        <w:t> </w:t>
                      </w:r>
                      <w:r>
                        <w:rPr>
                          <w:color w:val="000000"/>
                        </w:rPr>
                        <w:t>invertebrate</w:t>
                      </w:r>
                      <w:r>
                        <w:rPr>
                          <w:color w:val="000000"/>
                          <w:spacing w:val="-2"/>
                        </w:rPr>
                        <w:t> </w:t>
                      </w:r>
                      <w:r>
                        <w:rPr>
                          <w:color w:val="000000"/>
                        </w:rPr>
                        <w:t>animals,</w:t>
                      </w:r>
                      <w:r>
                        <w:rPr>
                          <w:color w:val="000000"/>
                          <w:spacing w:val="-3"/>
                        </w:rPr>
                        <w:t> </w:t>
                      </w:r>
                      <w:r>
                        <w:rPr>
                          <w:color w:val="000000"/>
                        </w:rPr>
                        <w:t>and</w:t>
                      </w:r>
                      <w:r>
                        <w:rPr>
                          <w:color w:val="000000"/>
                          <w:spacing w:val="-4"/>
                        </w:rPr>
                        <w:t> </w:t>
                      </w:r>
                      <w:r>
                        <w:rPr>
                          <w:color w:val="000000"/>
                        </w:rPr>
                        <w:t>insect</w:t>
                      </w:r>
                      <w:r>
                        <w:rPr>
                          <w:color w:val="000000"/>
                          <w:spacing w:val="-5"/>
                        </w:rPr>
                        <w:t> </w:t>
                      </w:r>
                      <w:r>
                        <w:rPr>
                          <w:color w:val="000000"/>
                        </w:rPr>
                        <w:t>and</w:t>
                      </w:r>
                      <w:r>
                        <w:rPr>
                          <w:color w:val="000000"/>
                          <w:spacing w:val="-4"/>
                        </w:rPr>
                        <w:t> </w:t>
                      </w:r>
                      <w:r>
                        <w:rPr>
                          <w:color w:val="000000"/>
                        </w:rPr>
                        <w:t>disease pathogens. This management direction is based on Forest Service policy codified in FSM 2900 and is intended to provide context for proper invasive species management on the ground. This section includes management for all invasive taxa including fish and wildlife diseases such as white-nose syndrome, viral hemorrhagic septicemia, chytrid fungus, or Batrachochytrium salamandrivorans that are not native to the Pacific Northwest.</w:t>
                      </w:r>
                    </w:p>
                    <w:p>
                      <w:pPr>
                        <w:pStyle w:val="BodyText"/>
                        <w:spacing w:before="121"/>
                        <w:ind w:left="28" w:right="120"/>
                        <w:rPr>
                          <w:color w:val="000000"/>
                        </w:rPr>
                      </w:pPr>
                      <w:r>
                        <w:rPr>
                          <w:color w:val="000000"/>
                        </w:rPr>
                        <w:t>Management direction for invasive plant management from the 2005 Record of Decision for</w:t>
                      </w:r>
                      <w:r>
                        <w:rPr>
                          <w:color w:val="000000"/>
                          <w:spacing w:val="-3"/>
                        </w:rPr>
                        <w:t> </w:t>
                      </w:r>
                      <w:r>
                        <w:rPr>
                          <w:color w:val="000000"/>
                        </w:rPr>
                        <w:t>the</w:t>
                      </w:r>
                      <w:r>
                        <w:rPr>
                          <w:color w:val="000000"/>
                          <w:spacing w:val="-2"/>
                        </w:rPr>
                        <w:t> </w:t>
                      </w:r>
                      <w:r>
                        <w:rPr>
                          <w:color w:val="000000"/>
                        </w:rPr>
                        <w:t>Pacific</w:t>
                      </w:r>
                      <w:r>
                        <w:rPr>
                          <w:color w:val="000000"/>
                          <w:spacing w:val="-3"/>
                        </w:rPr>
                        <w:t> </w:t>
                      </w:r>
                      <w:r>
                        <w:rPr>
                          <w:color w:val="000000"/>
                        </w:rPr>
                        <w:t>Northwest</w:t>
                      </w:r>
                      <w:r>
                        <w:rPr>
                          <w:color w:val="000000"/>
                          <w:spacing w:val="-5"/>
                        </w:rPr>
                        <w:t> </w:t>
                      </w:r>
                      <w:r>
                        <w:rPr>
                          <w:color w:val="000000"/>
                        </w:rPr>
                        <w:t>Region</w:t>
                      </w:r>
                      <w:r>
                        <w:rPr>
                          <w:color w:val="000000"/>
                          <w:spacing w:val="-4"/>
                        </w:rPr>
                        <w:t> </w:t>
                      </w:r>
                      <w:r>
                        <w:rPr>
                          <w:color w:val="000000"/>
                        </w:rPr>
                        <w:t>Invasive</w:t>
                      </w:r>
                      <w:r>
                        <w:rPr>
                          <w:color w:val="000000"/>
                          <w:spacing w:val="-5"/>
                        </w:rPr>
                        <w:t> </w:t>
                      </w:r>
                      <w:r>
                        <w:rPr>
                          <w:color w:val="000000"/>
                        </w:rPr>
                        <w:t>Plant</w:t>
                      </w:r>
                      <w:r>
                        <w:rPr>
                          <w:color w:val="000000"/>
                          <w:spacing w:val="-2"/>
                        </w:rPr>
                        <w:t> </w:t>
                      </w:r>
                      <w:r>
                        <w:rPr>
                          <w:color w:val="000000"/>
                        </w:rPr>
                        <w:t>Program</w:t>
                      </w:r>
                      <w:r>
                        <w:rPr>
                          <w:color w:val="000000"/>
                          <w:spacing w:val="-4"/>
                        </w:rPr>
                        <w:t> </w:t>
                      </w:r>
                      <w:r>
                        <w:rPr>
                          <w:color w:val="000000"/>
                        </w:rPr>
                        <w:t>Preventing</w:t>
                      </w:r>
                      <w:r>
                        <w:rPr>
                          <w:color w:val="000000"/>
                          <w:spacing w:val="-4"/>
                        </w:rPr>
                        <w:t> </w:t>
                      </w:r>
                      <w:r>
                        <w:rPr>
                          <w:color w:val="000000"/>
                        </w:rPr>
                        <w:t>and</w:t>
                      </w:r>
                      <w:r>
                        <w:rPr>
                          <w:color w:val="000000"/>
                          <w:spacing w:val="-6"/>
                        </w:rPr>
                        <w:t> </w:t>
                      </w:r>
                      <w:r>
                        <w:rPr>
                          <w:color w:val="000000"/>
                        </w:rPr>
                        <w:t>Managing</w:t>
                      </w:r>
                      <w:r>
                        <w:rPr>
                          <w:color w:val="000000"/>
                          <w:spacing w:val="-4"/>
                        </w:rPr>
                        <w:t> </w:t>
                      </w:r>
                      <w:r>
                        <w:rPr>
                          <w:color w:val="000000"/>
                        </w:rPr>
                        <w:t>Invasive Plants</w:t>
                      </w:r>
                      <w:r>
                        <w:rPr>
                          <w:color w:val="000000"/>
                          <w:spacing w:val="40"/>
                        </w:rPr>
                        <w:t> </w:t>
                      </w:r>
                      <w:r>
                        <w:rPr>
                          <w:color w:val="000000"/>
                        </w:rPr>
                        <w:t>EIS</w:t>
                      </w:r>
                      <w:hyperlink w:history="true" w:anchor="_bookmark113">
                        <w:r>
                          <w:rPr>
                            <w:color w:val="000000"/>
                            <w:vertAlign w:val="superscript"/>
                          </w:rPr>
                          <w:t>14</w:t>
                        </w:r>
                      </w:hyperlink>
                      <w:r>
                        <w:rPr>
                          <w:color w:val="000000"/>
                          <w:vertAlign w:val="baseline"/>
                        </w:rPr>
                        <w:t> has been brought forward and updated to increase consistency and reduce redundancy with national policy.</w:t>
                      </w:r>
                    </w:p>
                    <w:p>
                      <w:pPr>
                        <w:pStyle w:val="BodyText"/>
                        <w:spacing w:before="118"/>
                        <w:ind w:left="28" w:right="120"/>
                        <w:rPr>
                          <w:color w:val="000000"/>
                        </w:rPr>
                      </w:pPr>
                      <w:r>
                        <w:rPr>
                          <w:color w:val="000000"/>
                        </w:rPr>
                        <w:t>Invasive species management direction applies forestwide; however, more specific management</w:t>
                      </w:r>
                      <w:r>
                        <w:rPr>
                          <w:color w:val="000000"/>
                          <w:spacing w:val="-5"/>
                        </w:rPr>
                        <w:t> </w:t>
                      </w:r>
                      <w:r>
                        <w:rPr>
                          <w:color w:val="000000"/>
                        </w:rPr>
                        <w:t>direction</w:t>
                      </w:r>
                      <w:r>
                        <w:rPr>
                          <w:color w:val="000000"/>
                          <w:spacing w:val="-4"/>
                        </w:rPr>
                        <w:t> </w:t>
                      </w:r>
                      <w:r>
                        <w:rPr>
                          <w:color w:val="000000"/>
                        </w:rPr>
                        <w:t>for</w:t>
                      </w:r>
                      <w:r>
                        <w:rPr>
                          <w:color w:val="000000"/>
                          <w:spacing w:val="-3"/>
                        </w:rPr>
                        <w:t> </w:t>
                      </w:r>
                      <w:r>
                        <w:rPr>
                          <w:color w:val="000000"/>
                        </w:rPr>
                        <w:t>invasive</w:t>
                      </w:r>
                      <w:r>
                        <w:rPr>
                          <w:color w:val="000000"/>
                          <w:spacing w:val="-2"/>
                        </w:rPr>
                        <w:t> </w:t>
                      </w:r>
                      <w:r>
                        <w:rPr>
                          <w:color w:val="000000"/>
                        </w:rPr>
                        <w:t>species</w:t>
                      </w:r>
                      <w:r>
                        <w:rPr>
                          <w:color w:val="000000"/>
                          <w:spacing w:val="-3"/>
                        </w:rPr>
                        <w:t> </w:t>
                      </w:r>
                      <w:r>
                        <w:rPr>
                          <w:color w:val="000000"/>
                        </w:rPr>
                        <w:t>can</w:t>
                      </w:r>
                      <w:r>
                        <w:rPr>
                          <w:color w:val="000000"/>
                          <w:spacing w:val="-4"/>
                        </w:rPr>
                        <w:t> </w:t>
                      </w:r>
                      <w:r>
                        <w:rPr>
                          <w:color w:val="000000"/>
                        </w:rPr>
                        <w:t>be</w:t>
                      </w:r>
                      <w:r>
                        <w:rPr>
                          <w:color w:val="000000"/>
                          <w:spacing w:val="-2"/>
                        </w:rPr>
                        <w:t> </w:t>
                      </w:r>
                      <w:r>
                        <w:rPr>
                          <w:color w:val="000000"/>
                        </w:rPr>
                        <w:t>found</w:t>
                      </w:r>
                      <w:r>
                        <w:rPr>
                          <w:color w:val="000000"/>
                          <w:spacing w:val="-4"/>
                        </w:rPr>
                        <w:t> </w:t>
                      </w:r>
                      <w:r>
                        <w:rPr>
                          <w:color w:val="000000"/>
                        </w:rPr>
                        <w:t>in</w:t>
                      </w:r>
                      <w:r>
                        <w:rPr>
                          <w:color w:val="000000"/>
                          <w:spacing w:val="-4"/>
                        </w:rPr>
                        <w:t> </w:t>
                      </w:r>
                      <w:r>
                        <w:rPr>
                          <w:color w:val="000000"/>
                        </w:rPr>
                        <w:t>the</w:t>
                      </w:r>
                      <w:r>
                        <w:rPr>
                          <w:color w:val="000000"/>
                          <w:spacing w:val="-2"/>
                        </w:rPr>
                        <w:t> </w:t>
                      </w:r>
                      <w:r>
                        <w:rPr>
                          <w:color w:val="000000"/>
                        </w:rPr>
                        <w:t>Riparian</w:t>
                      </w:r>
                      <w:r>
                        <w:rPr>
                          <w:color w:val="000000"/>
                          <w:spacing w:val="-6"/>
                        </w:rPr>
                        <w:t> </w:t>
                      </w:r>
                      <w:r>
                        <w:rPr>
                          <w:color w:val="000000"/>
                        </w:rPr>
                        <w:t>Management</w:t>
                      </w:r>
                    </w:p>
                  </w:txbxContent>
                </v:textbox>
                <v:fill type="solid"/>
                <w10:wrap type="topAndBottom"/>
              </v:shape>
            </w:pict>
          </mc:Fallback>
        </mc:AlternateContent>
      </w:r>
      <w:r>
        <w:rPr>
          <w:rFonts w:ascii="Arial"/>
          <w:b/>
          <w:sz w:val="8"/>
        </w:rPr>
        <mc:AlternateContent>
          <mc:Choice Requires="wps">
            <w:drawing>
              <wp:anchor distT="0" distB="0" distL="0" distR="0" allowOverlap="1" layoutInCell="1" locked="0" behindDoc="1" simplePos="0" relativeHeight="487610368">
                <wp:simplePos x="0" y="0"/>
                <wp:positionH relativeFrom="page">
                  <wp:posOffset>1417319</wp:posOffset>
                </wp:positionH>
                <wp:positionV relativeFrom="paragraph">
                  <wp:posOffset>2566843</wp:posOffset>
                </wp:positionV>
                <wp:extent cx="1828800" cy="7620"/>
                <wp:effectExtent l="0" t="0" r="0" b="0"/>
                <wp:wrapTopAndBottom/>
                <wp:docPr id="172" name="Graphic 172"/>
                <wp:cNvGraphicFramePr>
                  <a:graphicFrameLocks/>
                </wp:cNvGraphicFramePr>
                <a:graphic>
                  <a:graphicData uri="http://schemas.microsoft.com/office/word/2010/wordprocessingShape">
                    <wps:wsp>
                      <wps:cNvPr id="172" name="Graphic 172"/>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02.113678pt;width:144pt;height:.6pt;mso-position-horizontal-relative:page;mso-position-vertical-relative:paragraph;z-index:-15706112;mso-wrap-distance-left:0;mso-wrap-distance-right:0" id="docshape161" filled="true" fillcolor="#000000" stroked="false">
                <v:fill type="solid"/>
                <w10:wrap type="topAndBottom"/>
              </v:rect>
            </w:pict>
          </mc:Fallback>
        </mc:AlternateContent>
      </w:r>
    </w:p>
    <w:p>
      <w:pPr>
        <w:pStyle w:val="BodyText"/>
        <w:spacing w:before="7"/>
        <w:rPr>
          <w:rFonts w:ascii="Arial"/>
          <w:b/>
          <w:sz w:val="14"/>
        </w:rPr>
      </w:pPr>
    </w:p>
    <w:p>
      <w:pPr>
        <w:spacing w:before="95"/>
        <w:ind w:left="1152" w:right="801" w:hanging="1"/>
        <w:jc w:val="left"/>
        <w:rPr>
          <w:sz w:val="18"/>
        </w:rPr>
      </w:pPr>
      <w:bookmarkStart w:name="_bookmark113" w:id="328"/>
      <w:bookmarkEnd w:id="328"/>
      <w:r>
        <w:rPr/>
      </w:r>
      <w:r>
        <w:rPr>
          <w:position w:val="5"/>
          <w:sz w:val="12"/>
        </w:rPr>
        <w:t>14</w:t>
      </w:r>
      <w:r>
        <w:rPr>
          <w:spacing w:val="10"/>
          <w:position w:val="5"/>
          <w:sz w:val="12"/>
        </w:rPr>
        <w:t> </w:t>
      </w:r>
      <w:r>
        <w:rPr>
          <w:sz w:val="18"/>
        </w:rPr>
        <w:t>USDA</w:t>
      </w:r>
      <w:r>
        <w:rPr>
          <w:spacing w:val="-2"/>
          <w:sz w:val="18"/>
        </w:rPr>
        <w:t> </w:t>
      </w:r>
      <w:r>
        <w:rPr>
          <w:sz w:val="18"/>
        </w:rPr>
        <w:t>Forest</w:t>
      </w:r>
      <w:r>
        <w:rPr>
          <w:spacing w:val="-3"/>
          <w:sz w:val="18"/>
        </w:rPr>
        <w:t> </w:t>
      </w:r>
      <w:r>
        <w:rPr>
          <w:sz w:val="18"/>
        </w:rPr>
        <w:t>Service,</w:t>
      </w:r>
      <w:r>
        <w:rPr>
          <w:spacing w:val="-3"/>
          <w:sz w:val="18"/>
        </w:rPr>
        <w:t> </w:t>
      </w:r>
      <w:r>
        <w:rPr>
          <w:sz w:val="18"/>
        </w:rPr>
        <w:t>2005.</w:t>
      </w:r>
      <w:r>
        <w:rPr>
          <w:spacing w:val="36"/>
          <w:sz w:val="18"/>
        </w:rPr>
        <w:t> </w:t>
      </w:r>
      <w:r>
        <w:rPr>
          <w:sz w:val="18"/>
        </w:rPr>
        <w:t>Pacific</w:t>
      </w:r>
      <w:r>
        <w:rPr>
          <w:spacing w:val="-3"/>
          <w:sz w:val="18"/>
        </w:rPr>
        <w:t> </w:t>
      </w:r>
      <w:r>
        <w:rPr>
          <w:sz w:val="18"/>
        </w:rPr>
        <w:t>Northwest</w:t>
      </w:r>
      <w:r>
        <w:rPr>
          <w:spacing w:val="-3"/>
          <w:sz w:val="18"/>
        </w:rPr>
        <w:t> </w:t>
      </w:r>
      <w:r>
        <w:rPr>
          <w:sz w:val="18"/>
        </w:rPr>
        <w:t>Region</w:t>
      </w:r>
      <w:r>
        <w:rPr>
          <w:spacing w:val="-3"/>
          <w:sz w:val="18"/>
        </w:rPr>
        <w:t> </w:t>
      </w:r>
      <w:r>
        <w:rPr>
          <w:sz w:val="18"/>
        </w:rPr>
        <w:t>Invasive</w:t>
      </w:r>
      <w:r>
        <w:rPr>
          <w:spacing w:val="-3"/>
          <w:sz w:val="18"/>
        </w:rPr>
        <w:t> </w:t>
      </w:r>
      <w:r>
        <w:rPr>
          <w:sz w:val="18"/>
        </w:rPr>
        <w:t>Plant</w:t>
      </w:r>
      <w:r>
        <w:rPr>
          <w:spacing w:val="-3"/>
          <w:sz w:val="18"/>
        </w:rPr>
        <w:t> </w:t>
      </w:r>
      <w:r>
        <w:rPr>
          <w:sz w:val="18"/>
        </w:rPr>
        <w:t>Program</w:t>
      </w:r>
      <w:r>
        <w:rPr>
          <w:spacing w:val="-3"/>
          <w:sz w:val="18"/>
        </w:rPr>
        <w:t> </w:t>
      </w:r>
      <w:r>
        <w:rPr>
          <w:sz w:val="18"/>
        </w:rPr>
        <w:t>Preventing</w:t>
      </w:r>
      <w:r>
        <w:rPr>
          <w:spacing w:val="-3"/>
          <w:sz w:val="18"/>
        </w:rPr>
        <w:t> </w:t>
      </w:r>
      <w:r>
        <w:rPr>
          <w:sz w:val="18"/>
        </w:rPr>
        <w:t>and</w:t>
      </w:r>
      <w:r>
        <w:rPr>
          <w:spacing w:val="-3"/>
          <w:sz w:val="18"/>
        </w:rPr>
        <w:t> </w:t>
      </w:r>
      <w:r>
        <w:rPr>
          <w:sz w:val="18"/>
        </w:rPr>
        <w:t>Managing</w:t>
      </w:r>
      <w:r>
        <w:rPr>
          <w:spacing w:val="-3"/>
          <w:sz w:val="18"/>
        </w:rPr>
        <w:t> </w:t>
      </w:r>
      <w:r>
        <w:rPr>
          <w:sz w:val="18"/>
        </w:rPr>
        <w:t>Invasive Plants and accompanying Record of Decision, US Forest Service, Pacific Northwest Region, Portland, OR.</w:t>
      </w:r>
    </w:p>
    <w:p>
      <w:pPr>
        <w:spacing w:after="0"/>
        <w:jc w:val="left"/>
        <w:rPr>
          <w:sz w:val="18"/>
        </w:rPr>
        <w:sectPr>
          <w:pgSz w:w="12240" w:h="15840"/>
          <w:pgMar w:header="725" w:footer="891" w:top="960" w:bottom="1080" w:left="1080" w:right="720"/>
        </w:sectPr>
      </w:pPr>
    </w:p>
    <w:p>
      <w:pPr>
        <w:pStyle w:val="BodyText"/>
        <w:spacing w:before="231"/>
        <w:rPr>
          <w:sz w:val="20"/>
        </w:rPr>
      </w:pPr>
    </w:p>
    <w:p>
      <w:pPr>
        <w:pStyle w:val="BodyText"/>
        <w:ind w:left="691"/>
        <w:rPr>
          <w:sz w:val="20"/>
        </w:rPr>
      </w:pPr>
      <w:r>
        <w:rPr>
          <w:sz w:val="20"/>
        </w:rPr>
        <mc:AlternateContent>
          <mc:Choice Requires="wps">
            <w:drawing>
              <wp:inline distT="0" distB="0" distL="0" distR="0">
                <wp:extent cx="5248910" cy="341630"/>
                <wp:effectExtent l="0" t="0" r="0" b="0"/>
                <wp:docPr id="173" name="Textbox 173"/>
                <wp:cNvGraphicFramePr>
                  <a:graphicFrameLocks/>
                </wp:cNvGraphicFramePr>
                <a:graphic>
                  <a:graphicData uri="http://schemas.microsoft.com/office/word/2010/wordprocessingShape">
                    <wps:wsp>
                      <wps:cNvPr id="173" name="Textbox 173"/>
                      <wps:cNvSpPr txBox="1"/>
                      <wps:spPr>
                        <a:xfrm>
                          <a:off x="0" y="0"/>
                          <a:ext cx="5248910" cy="341630"/>
                        </a:xfrm>
                        <a:prstGeom prst="rect">
                          <a:avLst/>
                        </a:prstGeom>
                        <a:solidFill>
                          <a:srgbClr val="DFDFDF"/>
                        </a:solidFill>
                      </wps:spPr>
                      <wps:txbx>
                        <w:txbxContent>
                          <w:p>
                            <w:pPr>
                              <w:pStyle w:val="BodyText"/>
                              <w:ind w:left="28"/>
                              <w:rPr>
                                <w:color w:val="000000"/>
                              </w:rPr>
                            </w:pPr>
                            <w:r>
                              <w:rPr>
                                <w:color w:val="000000"/>
                              </w:rPr>
                              <w:t>Areas,</w:t>
                            </w:r>
                            <w:r>
                              <w:rPr>
                                <w:color w:val="000000"/>
                                <w:spacing w:val="-3"/>
                              </w:rPr>
                              <w:t> </w:t>
                            </w:r>
                            <w:r>
                              <w:rPr>
                                <w:color w:val="000000"/>
                              </w:rPr>
                              <w:t>Research</w:t>
                            </w:r>
                            <w:r>
                              <w:rPr>
                                <w:color w:val="000000"/>
                                <w:spacing w:val="-4"/>
                              </w:rPr>
                              <w:t> </w:t>
                            </w:r>
                            <w:r>
                              <w:rPr>
                                <w:color w:val="000000"/>
                              </w:rPr>
                              <w:t>Natural</w:t>
                            </w:r>
                            <w:r>
                              <w:rPr>
                                <w:color w:val="000000"/>
                                <w:spacing w:val="-3"/>
                              </w:rPr>
                              <w:t> </w:t>
                            </w:r>
                            <w:r>
                              <w:rPr>
                                <w:color w:val="000000"/>
                              </w:rPr>
                              <w:t>Areas,</w:t>
                            </w:r>
                            <w:r>
                              <w:rPr>
                                <w:color w:val="000000"/>
                                <w:spacing w:val="-3"/>
                              </w:rPr>
                              <w:t> </w:t>
                            </w:r>
                            <w:r>
                              <w:rPr>
                                <w:color w:val="000000"/>
                              </w:rPr>
                              <w:t>Wilderness,</w:t>
                            </w:r>
                            <w:r>
                              <w:rPr>
                                <w:color w:val="000000"/>
                                <w:spacing w:val="-5"/>
                              </w:rPr>
                              <w:t> </w:t>
                            </w:r>
                            <w:r>
                              <w:rPr>
                                <w:color w:val="000000"/>
                              </w:rPr>
                              <w:t>and</w:t>
                            </w:r>
                            <w:r>
                              <w:rPr>
                                <w:color w:val="000000"/>
                                <w:spacing w:val="-4"/>
                              </w:rPr>
                              <w:t> </w:t>
                            </w:r>
                            <w:r>
                              <w:rPr>
                                <w:color w:val="000000"/>
                              </w:rPr>
                              <w:t>the</w:t>
                            </w:r>
                            <w:r>
                              <w:rPr>
                                <w:color w:val="000000"/>
                                <w:spacing w:val="-5"/>
                              </w:rPr>
                              <w:t> </w:t>
                            </w:r>
                            <w:r>
                              <w:rPr>
                                <w:color w:val="000000"/>
                              </w:rPr>
                              <w:t>Kettle</w:t>
                            </w:r>
                            <w:r>
                              <w:rPr>
                                <w:color w:val="000000"/>
                                <w:spacing w:val="-4"/>
                              </w:rPr>
                              <w:t> </w:t>
                            </w:r>
                            <w:r>
                              <w:rPr>
                                <w:color w:val="000000"/>
                              </w:rPr>
                              <w:t>Crest</w:t>
                            </w:r>
                            <w:r>
                              <w:rPr>
                                <w:color w:val="000000"/>
                                <w:spacing w:val="-2"/>
                              </w:rPr>
                              <w:t> </w:t>
                            </w:r>
                            <w:r>
                              <w:rPr>
                                <w:color w:val="000000"/>
                              </w:rPr>
                              <w:t>Recreation</w:t>
                            </w:r>
                            <w:r>
                              <w:rPr>
                                <w:color w:val="000000"/>
                                <w:spacing w:val="-4"/>
                              </w:rPr>
                              <w:t> </w:t>
                            </w:r>
                            <w:r>
                              <w:rPr>
                                <w:color w:val="000000"/>
                              </w:rPr>
                              <w:t>Area</w:t>
                            </w:r>
                            <w:r>
                              <w:rPr>
                                <w:color w:val="000000"/>
                                <w:spacing w:val="-5"/>
                              </w:rPr>
                              <w:t> </w:t>
                            </w:r>
                            <w:r>
                              <w:rPr>
                                <w:color w:val="000000"/>
                              </w:rPr>
                              <w:t>sections</w:t>
                            </w:r>
                            <w:r>
                              <w:rPr>
                                <w:color w:val="000000"/>
                                <w:spacing w:val="-3"/>
                              </w:rPr>
                              <w:t> </w:t>
                            </w:r>
                            <w:r>
                              <w:rPr>
                                <w:color w:val="000000"/>
                              </w:rPr>
                              <w:t>in chapter 3.</w:t>
                            </w:r>
                          </w:p>
                        </w:txbxContent>
                      </wps:txbx>
                      <wps:bodyPr wrap="square" lIns="0" tIns="0" rIns="0" bIns="0" rtlCol="0">
                        <a:noAutofit/>
                      </wps:bodyPr>
                    </wps:wsp>
                  </a:graphicData>
                </a:graphic>
              </wp:inline>
            </w:drawing>
          </mc:Choice>
          <mc:Fallback>
            <w:pict>
              <v:shape style="width:413.3pt;height:26.9pt;mso-position-horizontal-relative:char;mso-position-vertical-relative:line" type="#_x0000_t202" id="docshape162" filled="true" fillcolor="#dfdfdf" stroked="false">
                <w10:anchorlock/>
                <v:textbox inset="0,0,0,0">
                  <w:txbxContent>
                    <w:p>
                      <w:pPr>
                        <w:pStyle w:val="BodyText"/>
                        <w:ind w:left="28"/>
                        <w:rPr>
                          <w:color w:val="000000"/>
                        </w:rPr>
                      </w:pPr>
                      <w:r>
                        <w:rPr>
                          <w:color w:val="000000"/>
                        </w:rPr>
                        <w:t>Areas,</w:t>
                      </w:r>
                      <w:r>
                        <w:rPr>
                          <w:color w:val="000000"/>
                          <w:spacing w:val="-3"/>
                        </w:rPr>
                        <w:t> </w:t>
                      </w:r>
                      <w:r>
                        <w:rPr>
                          <w:color w:val="000000"/>
                        </w:rPr>
                        <w:t>Research</w:t>
                      </w:r>
                      <w:r>
                        <w:rPr>
                          <w:color w:val="000000"/>
                          <w:spacing w:val="-4"/>
                        </w:rPr>
                        <w:t> </w:t>
                      </w:r>
                      <w:r>
                        <w:rPr>
                          <w:color w:val="000000"/>
                        </w:rPr>
                        <w:t>Natural</w:t>
                      </w:r>
                      <w:r>
                        <w:rPr>
                          <w:color w:val="000000"/>
                          <w:spacing w:val="-3"/>
                        </w:rPr>
                        <w:t> </w:t>
                      </w:r>
                      <w:r>
                        <w:rPr>
                          <w:color w:val="000000"/>
                        </w:rPr>
                        <w:t>Areas,</w:t>
                      </w:r>
                      <w:r>
                        <w:rPr>
                          <w:color w:val="000000"/>
                          <w:spacing w:val="-3"/>
                        </w:rPr>
                        <w:t> </w:t>
                      </w:r>
                      <w:r>
                        <w:rPr>
                          <w:color w:val="000000"/>
                        </w:rPr>
                        <w:t>Wilderness,</w:t>
                      </w:r>
                      <w:r>
                        <w:rPr>
                          <w:color w:val="000000"/>
                          <w:spacing w:val="-5"/>
                        </w:rPr>
                        <w:t> </w:t>
                      </w:r>
                      <w:r>
                        <w:rPr>
                          <w:color w:val="000000"/>
                        </w:rPr>
                        <w:t>and</w:t>
                      </w:r>
                      <w:r>
                        <w:rPr>
                          <w:color w:val="000000"/>
                          <w:spacing w:val="-4"/>
                        </w:rPr>
                        <w:t> </w:t>
                      </w:r>
                      <w:r>
                        <w:rPr>
                          <w:color w:val="000000"/>
                        </w:rPr>
                        <w:t>the</w:t>
                      </w:r>
                      <w:r>
                        <w:rPr>
                          <w:color w:val="000000"/>
                          <w:spacing w:val="-5"/>
                        </w:rPr>
                        <w:t> </w:t>
                      </w:r>
                      <w:r>
                        <w:rPr>
                          <w:color w:val="000000"/>
                        </w:rPr>
                        <w:t>Kettle</w:t>
                      </w:r>
                      <w:r>
                        <w:rPr>
                          <w:color w:val="000000"/>
                          <w:spacing w:val="-4"/>
                        </w:rPr>
                        <w:t> </w:t>
                      </w:r>
                      <w:r>
                        <w:rPr>
                          <w:color w:val="000000"/>
                        </w:rPr>
                        <w:t>Crest</w:t>
                      </w:r>
                      <w:r>
                        <w:rPr>
                          <w:color w:val="000000"/>
                          <w:spacing w:val="-2"/>
                        </w:rPr>
                        <w:t> </w:t>
                      </w:r>
                      <w:r>
                        <w:rPr>
                          <w:color w:val="000000"/>
                        </w:rPr>
                        <w:t>Recreation</w:t>
                      </w:r>
                      <w:r>
                        <w:rPr>
                          <w:color w:val="000000"/>
                          <w:spacing w:val="-4"/>
                        </w:rPr>
                        <w:t> </w:t>
                      </w:r>
                      <w:r>
                        <w:rPr>
                          <w:color w:val="000000"/>
                        </w:rPr>
                        <w:t>Area</w:t>
                      </w:r>
                      <w:r>
                        <w:rPr>
                          <w:color w:val="000000"/>
                          <w:spacing w:val="-5"/>
                        </w:rPr>
                        <w:t> </w:t>
                      </w:r>
                      <w:r>
                        <w:rPr>
                          <w:color w:val="000000"/>
                        </w:rPr>
                        <w:t>sections</w:t>
                      </w:r>
                      <w:r>
                        <w:rPr>
                          <w:color w:val="000000"/>
                          <w:spacing w:val="-3"/>
                        </w:rPr>
                        <w:t> </w:t>
                      </w:r>
                      <w:r>
                        <w:rPr>
                          <w:color w:val="000000"/>
                        </w:rPr>
                        <w:t>in chapter 3.</w:t>
                      </w:r>
                    </w:p>
                  </w:txbxContent>
                </v:textbox>
                <v:fill type="solid"/>
              </v:shape>
            </w:pict>
          </mc:Fallback>
        </mc:AlternateContent>
      </w:r>
      <w:r>
        <w:rPr>
          <w:sz w:val="20"/>
        </w:rPr>
      </w:r>
    </w:p>
    <w:p>
      <w:pPr>
        <w:pStyle w:val="Heading4"/>
        <w:spacing w:before="223"/>
      </w:pPr>
      <w:bookmarkStart w:name="Desired Condition" w:id="329"/>
      <w:bookmarkEnd w:id="329"/>
      <w:r>
        <w:rPr/>
      </w:r>
      <w:bookmarkStart w:name="_bookmark114" w:id="330"/>
      <w:bookmarkEnd w:id="330"/>
      <w:r>
        <w:rPr/>
      </w:r>
      <w:r>
        <w:rPr/>
        <w:t>Desired</w:t>
      </w:r>
      <w:r>
        <w:rPr>
          <w:spacing w:val="-4"/>
        </w:rPr>
        <w:t> </w:t>
      </w:r>
      <w:r>
        <w:rPr>
          <w:spacing w:val="-2"/>
        </w:rPr>
        <w:t>Condition</w:t>
      </w:r>
    </w:p>
    <w:p>
      <w:pPr>
        <w:spacing w:before="239"/>
        <w:ind w:left="360" w:right="0" w:firstLine="0"/>
        <w:jc w:val="left"/>
        <w:rPr>
          <w:rFonts w:ascii="Arial"/>
          <w:i/>
          <w:sz w:val="22"/>
        </w:rPr>
      </w:pPr>
      <w:bookmarkStart w:name="FW-DC-IS-01. Integrated Management for I" w:id="331"/>
      <w:bookmarkEnd w:id="331"/>
      <w:r>
        <w:rPr/>
      </w:r>
      <w:r>
        <w:rPr>
          <w:rFonts w:ascii="Arial"/>
          <w:i/>
          <w:sz w:val="22"/>
        </w:rPr>
        <w:t>FW-DC-IS-01.</w:t>
      </w:r>
      <w:r>
        <w:rPr>
          <w:rFonts w:ascii="Arial"/>
          <w:i/>
          <w:spacing w:val="-8"/>
          <w:sz w:val="22"/>
        </w:rPr>
        <w:t> </w:t>
      </w:r>
      <w:r>
        <w:rPr>
          <w:rFonts w:ascii="Arial"/>
          <w:i/>
          <w:sz w:val="22"/>
        </w:rPr>
        <w:t>Integrated</w:t>
      </w:r>
      <w:r>
        <w:rPr>
          <w:rFonts w:ascii="Arial"/>
          <w:i/>
          <w:spacing w:val="-9"/>
          <w:sz w:val="22"/>
        </w:rPr>
        <w:t> </w:t>
      </w:r>
      <w:r>
        <w:rPr>
          <w:rFonts w:ascii="Arial"/>
          <w:i/>
          <w:sz w:val="22"/>
        </w:rPr>
        <w:t>Management</w:t>
      </w:r>
      <w:r>
        <w:rPr>
          <w:rFonts w:ascii="Arial"/>
          <w:i/>
          <w:spacing w:val="-7"/>
          <w:sz w:val="22"/>
        </w:rPr>
        <w:t> </w:t>
      </w:r>
      <w:r>
        <w:rPr>
          <w:rFonts w:ascii="Arial"/>
          <w:i/>
          <w:sz w:val="22"/>
        </w:rPr>
        <w:t>for</w:t>
      </w:r>
      <w:r>
        <w:rPr>
          <w:rFonts w:ascii="Arial"/>
          <w:i/>
          <w:spacing w:val="-8"/>
          <w:sz w:val="22"/>
        </w:rPr>
        <w:t> </w:t>
      </w:r>
      <w:r>
        <w:rPr>
          <w:rFonts w:ascii="Arial"/>
          <w:i/>
          <w:sz w:val="22"/>
        </w:rPr>
        <w:t>Invasive</w:t>
      </w:r>
      <w:r>
        <w:rPr>
          <w:rFonts w:ascii="Arial"/>
          <w:i/>
          <w:spacing w:val="-6"/>
          <w:sz w:val="22"/>
        </w:rPr>
        <w:t> </w:t>
      </w:r>
      <w:r>
        <w:rPr>
          <w:rFonts w:ascii="Arial"/>
          <w:i/>
          <w:spacing w:val="-2"/>
          <w:sz w:val="22"/>
        </w:rPr>
        <w:t>Species</w:t>
      </w:r>
    </w:p>
    <w:p>
      <w:pPr>
        <w:pStyle w:val="BodyText"/>
        <w:spacing w:line="232" w:lineRule="auto" w:before="65"/>
        <w:ind w:left="359" w:right="1445"/>
      </w:pPr>
      <w:r>
        <w:rPr/>
        <w:t>Invasive species (including non-native plants, animals, insects, and pathogens in aquatic and terrestrial habitats) do not threaten the capability of the Forest to provide for the desired conditions</w:t>
      </w:r>
      <w:r>
        <w:rPr>
          <w:spacing w:val="-5"/>
        </w:rPr>
        <w:t> </w:t>
      </w:r>
      <w:r>
        <w:rPr/>
        <w:t>described</w:t>
      </w:r>
      <w:r>
        <w:rPr>
          <w:spacing w:val="-7"/>
        </w:rPr>
        <w:t> </w:t>
      </w:r>
      <w:r>
        <w:rPr/>
        <w:t>throughout</w:t>
      </w:r>
      <w:r>
        <w:rPr>
          <w:spacing w:val="-4"/>
        </w:rPr>
        <w:t> </w:t>
      </w:r>
      <w:r>
        <w:rPr/>
        <w:t>the</w:t>
      </w:r>
      <w:r>
        <w:rPr>
          <w:spacing w:val="-6"/>
        </w:rPr>
        <w:t> </w:t>
      </w:r>
      <w:r>
        <w:rPr/>
        <w:t>Plan.</w:t>
      </w:r>
      <w:r>
        <w:rPr>
          <w:spacing w:val="-5"/>
        </w:rPr>
        <w:t> </w:t>
      </w:r>
      <w:r>
        <w:rPr/>
        <w:t>Impacts</w:t>
      </w:r>
      <w:r>
        <w:rPr>
          <w:spacing w:val="-7"/>
        </w:rPr>
        <w:t> </w:t>
      </w:r>
      <w:r>
        <w:rPr/>
        <w:t>of</w:t>
      </w:r>
      <w:r>
        <w:rPr>
          <w:spacing w:val="-7"/>
        </w:rPr>
        <w:t> </w:t>
      </w:r>
      <w:r>
        <w:rPr/>
        <w:t>invasive</w:t>
      </w:r>
      <w:r>
        <w:rPr>
          <w:spacing w:val="-7"/>
        </w:rPr>
        <w:t> </w:t>
      </w:r>
      <w:r>
        <w:rPr/>
        <w:t>species</w:t>
      </w:r>
      <w:r>
        <w:rPr>
          <w:spacing w:val="-5"/>
        </w:rPr>
        <w:t> </w:t>
      </w:r>
      <w:r>
        <w:rPr/>
        <w:t>are</w:t>
      </w:r>
      <w:r>
        <w:rPr>
          <w:spacing w:val="-7"/>
        </w:rPr>
        <w:t> </w:t>
      </w:r>
      <w:r>
        <w:rPr/>
        <w:t>minimized</w:t>
      </w:r>
      <w:r>
        <w:rPr>
          <w:spacing w:val="-6"/>
        </w:rPr>
        <w:t> </w:t>
      </w:r>
      <w:r>
        <w:rPr/>
        <w:t>through</w:t>
      </w:r>
      <w:r>
        <w:rPr>
          <w:spacing w:val="-6"/>
        </w:rPr>
        <w:t> </w:t>
      </w:r>
      <w:r>
        <w:rPr/>
        <w:t>an integrated approach that emphasizes prevention, early detection, and timely treatment and includes cooperative management with neighbors within affected watersheds. In cooperation with partners, proactive invasive response plans are prepared or existing plans reviewed to facilitate rapid response to new invasions.</w:t>
      </w:r>
    </w:p>
    <w:p>
      <w:pPr>
        <w:pStyle w:val="Heading4"/>
        <w:spacing w:before="233"/>
      </w:pPr>
      <w:bookmarkStart w:name="Objectives" w:id="332"/>
      <w:bookmarkEnd w:id="332"/>
      <w:r>
        <w:rPr/>
      </w:r>
      <w:bookmarkStart w:name="_bookmark115" w:id="333"/>
      <w:bookmarkEnd w:id="333"/>
      <w:r>
        <w:rPr/>
      </w:r>
      <w:r>
        <w:rPr>
          <w:spacing w:val="-2"/>
        </w:rPr>
        <w:t>Objectives</w:t>
      </w:r>
    </w:p>
    <w:p>
      <w:pPr>
        <w:spacing w:before="240"/>
        <w:ind w:left="360" w:right="0" w:firstLine="0"/>
        <w:jc w:val="left"/>
        <w:rPr>
          <w:rFonts w:ascii="Arial"/>
          <w:i/>
          <w:sz w:val="22"/>
        </w:rPr>
      </w:pPr>
      <w:bookmarkStart w:name="FW-OBJ-IS-01. Invasive Plants" w:id="334"/>
      <w:bookmarkEnd w:id="334"/>
      <w:r>
        <w:rPr/>
      </w:r>
      <w:r>
        <w:rPr>
          <w:rFonts w:ascii="Arial"/>
          <w:i/>
          <w:sz w:val="22"/>
        </w:rPr>
        <w:t>FW-OBJ-IS-01.</w:t>
      </w:r>
      <w:r>
        <w:rPr>
          <w:rFonts w:ascii="Arial"/>
          <w:i/>
          <w:spacing w:val="-7"/>
          <w:sz w:val="22"/>
        </w:rPr>
        <w:t> </w:t>
      </w:r>
      <w:r>
        <w:rPr>
          <w:rFonts w:ascii="Arial"/>
          <w:i/>
          <w:sz w:val="22"/>
        </w:rPr>
        <w:t>Invasive</w:t>
      </w:r>
      <w:r>
        <w:rPr>
          <w:rFonts w:ascii="Arial"/>
          <w:i/>
          <w:spacing w:val="-7"/>
          <w:sz w:val="22"/>
        </w:rPr>
        <w:t> </w:t>
      </w:r>
      <w:r>
        <w:rPr>
          <w:rFonts w:ascii="Arial"/>
          <w:i/>
          <w:spacing w:val="-2"/>
          <w:sz w:val="22"/>
        </w:rPr>
        <w:t>Plants</w:t>
      </w:r>
    </w:p>
    <w:p>
      <w:pPr>
        <w:pStyle w:val="BodyText"/>
        <w:spacing w:line="232" w:lineRule="auto" w:before="64"/>
        <w:ind w:left="360" w:right="1445"/>
      </w:pPr>
      <w:r>
        <w:rPr/>
        <w:t>During</w:t>
      </w:r>
      <w:r>
        <w:rPr>
          <w:spacing w:val="-6"/>
        </w:rPr>
        <w:t> </w:t>
      </w:r>
      <w:r>
        <w:rPr/>
        <w:t>the</w:t>
      </w:r>
      <w:r>
        <w:rPr>
          <w:spacing w:val="-7"/>
        </w:rPr>
        <w:t> </w:t>
      </w:r>
      <w:r>
        <w:rPr/>
        <w:t>expected</w:t>
      </w:r>
      <w:r>
        <w:rPr>
          <w:spacing w:val="-8"/>
        </w:rPr>
        <w:t> </w:t>
      </w:r>
      <w:r>
        <w:rPr/>
        <w:t>15</w:t>
      </w:r>
      <w:r>
        <w:rPr>
          <w:spacing w:val="-4"/>
        </w:rPr>
        <w:t> </w:t>
      </w:r>
      <w:r>
        <w:rPr/>
        <w:t>years</w:t>
      </w:r>
      <w:r>
        <w:rPr>
          <w:spacing w:val="-5"/>
        </w:rPr>
        <w:t> </w:t>
      </w:r>
      <w:r>
        <w:rPr/>
        <w:t>of</w:t>
      </w:r>
      <w:r>
        <w:rPr>
          <w:spacing w:val="-5"/>
        </w:rPr>
        <w:t> </w:t>
      </w:r>
      <w:r>
        <w:rPr/>
        <w:t>plan</w:t>
      </w:r>
      <w:r>
        <w:rPr>
          <w:spacing w:val="-6"/>
        </w:rPr>
        <w:t> </w:t>
      </w:r>
      <w:r>
        <w:rPr/>
        <w:t>implementation,</w:t>
      </w:r>
      <w:r>
        <w:rPr>
          <w:spacing w:val="-7"/>
        </w:rPr>
        <w:t> </w:t>
      </w:r>
      <w:r>
        <w:rPr/>
        <w:t>reduce</w:t>
      </w:r>
      <w:r>
        <w:rPr>
          <w:spacing w:val="-4"/>
        </w:rPr>
        <w:t> </w:t>
      </w:r>
      <w:r>
        <w:rPr/>
        <w:t>the</w:t>
      </w:r>
      <w:r>
        <w:rPr>
          <w:spacing w:val="-4"/>
        </w:rPr>
        <w:t> </w:t>
      </w:r>
      <w:r>
        <w:rPr/>
        <w:t>density</w:t>
      </w:r>
      <w:r>
        <w:rPr>
          <w:spacing w:val="-6"/>
        </w:rPr>
        <w:t> </w:t>
      </w:r>
      <w:r>
        <w:rPr/>
        <w:t>or</w:t>
      </w:r>
      <w:r>
        <w:rPr>
          <w:spacing w:val="-7"/>
        </w:rPr>
        <w:t> </w:t>
      </w:r>
      <w:r>
        <w:rPr/>
        <w:t>extent</w:t>
      </w:r>
      <w:r>
        <w:rPr>
          <w:spacing w:val="-4"/>
        </w:rPr>
        <w:t> </w:t>
      </w:r>
      <w:r>
        <w:rPr/>
        <w:t>of</w:t>
      </w:r>
      <w:r>
        <w:rPr>
          <w:spacing w:val="-7"/>
        </w:rPr>
        <w:t> </w:t>
      </w:r>
      <w:r>
        <w:rPr/>
        <w:t>invasive plants by treating an average of 2,000 acres per year. Actively restore an annual average of</w:t>
      </w:r>
    </w:p>
    <w:p>
      <w:pPr>
        <w:pStyle w:val="BodyText"/>
        <w:spacing w:line="232" w:lineRule="auto"/>
        <w:ind w:left="360" w:right="1621"/>
      </w:pPr>
      <w:r>
        <w:rPr/>
        <w:t>50 acres of native vegetation by mulching, seeding, or planting to promote revegetation of native</w:t>
      </w:r>
      <w:r>
        <w:rPr>
          <w:spacing w:val="-5"/>
        </w:rPr>
        <w:t> </w:t>
      </w:r>
      <w:r>
        <w:rPr/>
        <w:t>plants</w:t>
      </w:r>
      <w:r>
        <w:rPr>
          <w:spacing w:val="-8"/>
        </w:rPr>
        <w:t> </w:t>
      </w:r>
      <w:r>
        <w:rPr/>
        <w:t>to</w:t>
      </w:r>
      <w:r>
        <w:rPr>
          <w:spacing w:val="-7"/>
        </w:rPr>
        <w:t> </w:t>
      </w:r>
      <w:r>
        <w:rPr/>
        <w:t>help</w:t>
      </w:r>
      <w:r>
        <w:rPr>
          <w:spacing w:val="-7"/>
        </w:rPr>
        <w:t> </w:t>
      </w:r>
      <w:r>
        <w:rPr/>
        <w:t>resist</w:t>
      </w:r>
      <w:r>
        <w:rPr>
          <w:spacing w:val="-5"/>
        </w:rPr>
        <w:t> </w:t>
      </w:r>
      <w:r>
        <w:rPr/>
        <w:t>introduction,</w:t>
      </w:r>
      <w:r>
        <w:rPr>
          <w:spacing w:val="-8"/>
        </w:rPr>
        <w:t> </w:t>
      </w:r>
      <w:r>
        <w:rPr/>
        <w:t>establishment,</w:t>
      </w:r>
      <w:r>
        <w:rPr>
          <w:spacing w:val="-6"/>
        </w:rPr>
        <w:t> </w:t>
      </w:r>
      <w:r>
        <w:rPr/>
        <w:t>and</w:t>
      </w:r>
      <w:r>
        <w:rPr>
          <w:spacing w:val="-7"/>
        </w:rPr>
        <w:t> </w:t>
      </w:r>
      <w:r>
        <w:rPr/>
        <w:t>spread</w:t>
      </w:r>
      <w:r>
        <w:rPr>
          <w:spacing w:val="-9"/>
        </w:rPr>
        <w:t> </w:t>
      </w:r>
      <w:r>
        <w:rPr/>
        <w:t>of</w:t>
      </w:r>
      <w:r>
        <w:rPr>
          <w:spacing w:val="-6"/>
        </w:rPr>
        <w:t> </w:t>
      </w:r>
      <w:r>
        <w:rPr/>
        <w:t>invasive</w:t>
      </w:r>
      <w:r>
        <w:rPr>
          <w:spacing w:val="-5"/>
        </w:rPr>
        <w:t> </w:t>
      </w:r>
      <w:r>
        <w:rPr/>
        <w:t>plant</w:t>
      </w:r>
      <w:r>
        <w:rPr>
          <w:spacing w:val="-5"/>
        </w:rPr>
        <w:t> </w:t>
      </w:r>
      <w:r>
        <w:rPr/>
        <w:t>species.</w:t>
      </w:r>
    </w:p>
    <w:p>
      <w:pPr>
        <w:spacing w:before="234"/>
        <w:ind w:left="360" w:right="0" w:firstLine="0"/>
        <w:jc w:val="left"/>
        <w:rPr>
          <w:rFonts w:ascii="Arial"/>
          <w:i/>
          <w:sz w:val="22"/>
        </w:rPr>
      </w:pPr>
      <w:bookmarkStart w:name="FW-OBJ-IS-02. Invasive Terrestrial Verte" w:id="335"/>
      <w:bookmarkEnd w:id="335"/>
      <w:r>
        <w:rPr/>
      </w:r>
      <w:r>
        <w:rPr>
          <w:rFonts w:ascii="Arial"/>
          <w:i/>
          <w:sz w:val="22"/>
        </w:rPr>
        <w:t>FW-OBJ-IS-02.</w:t>
      </w:r>
      <w:r>
        <w:rPr>
          <w:rFonts w:ascii="Arial"/>
          <w:i/>
          <w:spacing w:val="-7"/>
          <w:sz w:val="22"/>
        </w:rPr>
        <w:t> </w:t>
      </w:r>
      <w:r>
        <w:rPr>
          <w:rFonts w:ascii="Arial"/>
          <w:i/>
          <w:sz w:val="22"/>
        </w:rPr>
        <w:t>Invasive</w:t>
      </w:r>
      <w:r>
        <w:rPr>
          <w:rFonts w:ascii="Arial"/>
          <w:i/>
          <w:spacing w:val="-9"/>
          <w:sz w:val="22"/>
        </w:rPr>
        <w:t> </w:t>
      </w:r>
      <w:r>
        <w:rPr>
          <w:rFonts w:ascii="Arial"/>
          <w:i/>
          <w:sz w:val="22"/>
        </w:rPr>
        <w:t>Terrestrial</w:t>
      </w:r>
      <w:r>
        <w:rPr>
          <w:rFonts w:ascii="Arial"/>
          <w:i/>
          <w:spacing w:val="-7"/>
          <w:sz w:val="22"/>
        </w:rPr>
        <w:t> </w:t>
      </w:r>
      <w:r>
        <w:rPr>
          <w:rFonts w:ascii="Arial"/>
          <w:i/>
          <w:sz w:val="22"/>
        </w:rPr>
        <w:t>Vertebrate</w:t>
      </w:r>
      <w:r>
        <w:rPr>
          <w:rFonts w:ascii="Arial"/>
          <w:i/>
          <w:spacing w:val="-6"/>
          <w:sz w:val="22"/>
        </w:rPr>
        <w:t> </w:t>
      </w:r>
      <w:r>
        <w:rPr>
          <w:rFonts w:ascii="Arial"/>
          <w:i/>
          <w:spacing w:val="-2"/>
          <w:sz w:val="22"/>
        </w:rPr>
        <w:t>Species</w:t>
      </w:r>
    </w:p>
    <w:p>
      <w:pPr>
        <w:pStyle w:val="BodyText"/>
        <w:spacing w:line="232" w:lineRule="auto" w:before="65"/>
        <w:ind w:left="360" w:right="1445"/>
      </w:pPr>
      <w:r>
        <w:rPr/>
        <w:t>Address</w:t>
      </w:r>
      <w:r>
        <w:rPr>
          <w:spacing w:val="-6"/>
        </w:rPr>
        <w:t> </w:t>
      </w:r>
      <w:r>
        <w:rPr/>
        <w:t>treatment</w:t>
      </w:r>
      <w:r>
        <w:rPr>
          <w:spacing w:val="-8"/>
        </w:rPr>
        <w:t> </w:t>
      </w:r>
      <w:r>
        <w:rPr/>
        <w:t>of</w:t>
      </w:r>
      <w:r>
        <w:rPr>
          <w:spacing w:val="-6"/>
        </w:rPr>
        <w:t> </w:t>
      </w:r>
      <w:r>
        <w:rPr/>
        <w:t>priority</w:t>
      </w:r>
      <w:r>
        <w:rPr>
          <w:spacing w:val="-5"/>
        </w:rPr>
        <w:t> </w:t>
      </w:r>
      <w:r>
        <w:rPr/>
        <w:t>non-native,</w:t>
      </w:r>
      <w:r>
        <w:rPr>
          <w:spacing w:val="-8"/>
        </w:rPr>
        <w:t> </w:t>
      </w:r>
      <w:r>
        <w:rPr/>
        <w:t>invasive</w:t>
      </w:r>
      <w:r>
        <w:rPr>
          <w:spacing w:val="-8"/>
        </w:rPr>
        <w:t> </w:t>
      </w:r>
      <w:r>
        <w:rPr/>
        <w:t>vertebrate</w:t>
      </w:r>
      <w:r>
        <w:rPr>
          <w:spacing w:val="-5"/>
        </w:rPr>
        <w:t> </w:t>
      </w:r>
      <w:r>
        <w:rPr/>
        <w:t>species</w:t>
      </w:r>
      <w:r>
        <w:rPr>
          <w:spacing w:val="-6"/>
        </w:rPr>
        <w:t> </w:t>
      </w:r>
      <w:r>
        <w:rPr/>
        <w:t>and</w:t>
      </w:r>
      <w:r>
        <w:rPr>
          <w:spacing w:val="-9"/>
        </w:rPr>
        <w:t> </w:t>
      </w:r>
      <w:r>
        <w:rPr/>
        <w:t>their</w:t>
      </w:r>
      <w:r>
        <w:rPr>
          <w:spacing w:val="-6"/>
        </w:rPr>
        <w:t> </w:t>
      </w:r>
      <w:r>
        <w:rPr/>
        <w:t>impacts</w:t>
      </w:r>
      <w:r>
        <w:rPr>
          <w:spacing w:val="-6"/>
        </w:rPr>
        <w:t> </w:t>
      </w:r>
      <w:r>
        <w:rPr/>
        <w:t>in terrestrial habitats within one year of detection.</w:t>
      </w:r>
    </w:p>
    <w:p>
      <w:pPr>
        <w:spacing w:before="234"/>
        <w:ind w:left="360" w:right="0" w:firstLine="0"/>
        <w:jc w:val="left"/>
        <w:rPr>
          <w:rFonts w:ascii="Arial"/>
          <w:i/>
          <w:sz w:val="22"/>
        </w:rPr>
      </w:pPr>
      <w:bookmarkStart w:name="FW-OBJ-IS-03. Invasive Insect and Vegeta" w:id="336"/>
      <w:bookmarkEnd w:id="336"/>
      <w:r>
        <w:rPr/>
      </w:r>
      <w:r>
        <w:rPr>
          <w:rFonts w:ascii="Arial"/>
          <w:i/>
          <w:sz w:val="22"/>
        </w:rPr>
        <w:t>FW-OBJ-IS-03.</w:t>
      </w:r>
      <w:r>
        <w:rPr>
          <w:rFonts w:ascii="Arial"/>
          <w:i/>
          <w:spacing w:val="-5"/>
          <w:sz w:val="22"/>
        </w:rPr>
        <w:t> </w:t>
      </w:r>
      <w:r>
        <w:rPr>
          <w:rFonts w:ascii="Arial"/>
          <w:i/>
          <w:sz w:val="22"/>
        </w:rPr>
        <w:t>Invasive</w:t>
      </w:r>
      <w:r>
        <w:rPr>
          <w:rFonts w:ascii="Arial"/>
          <w:i/>
          <w:spacing w:val="-6"/>
          <w:sz w:val="22"/>
        </w:rPr>
        <w:t> </w:t>
      </w:r>
      <w:r>
        <w:rPr>
          <w:rFonts w:ascii="Arial"/>
          <w:i/>
          <w:sz w:val="22"/>
        </w:rPr>
        <w:t>Insect</w:t>
      </w:r>
      <w:r>
        <w:rPr>
          <w:rFonts w:ascii="Arial"/>
          <w:i/>
          <w:spacing w:val="-5"/>
          <w:sz w:val="22"/>
        </w:rPr>
        <w:t> </w:t>
      </w:r>
      <w:r>
        <w:rPr>
          <w:rFonts w:ascii="Arial"/>
          <w:i/>
          <w:sz w:val="22"/>
        </w:rPr>
        <w:t>and</w:t>
      </w:r>
      <w:r>
        <w:rPr>
          <w:rFonts w:ascii="Arial"/>
          <w:i/>
          <w:spacing w:val="-6"/>
          <w:sz w:val="22"/>
        </w:rPr>
        <w:t> </w:t>
      </w:r>
      <w:r>
        <w:rPr>
          <w:rFonts w:ascii="Arial"/>
          <w:i/>
          <w:sz w:val="22"/>
        </w:rPr>
        <w:t>Vegetation</w:t>
      </w:r>
      <w:r>
        <w:rPr>
          <w:rFonts w:ascii="Arial"/>
          <w:i/>
          <w:spacing w:val="-7"/>
          <w:sz w:val="22"/>
        </w:rPr>
        <w:t> </w:t>
      </w:r>
      <w:r>
        <w:rPr>
          <w:rFonts w:ascii="Arial"/>
          <w:i/>
          <w:sz w:val="22"/>
        </w:rPr>
        <w:t>Disease</w:t>
      </w:r>
      <w:r>
        <w:rPr>
          <w:rFonts w:ascii="Arial"/>
          <w:i/>
          <w:spacing w:val="-4"/>
          <w:sz w:val="22"/>
        </w:rPr>
        <w:t> </w:t>
      </w:r>
      <w:r>
        <w:rPr>
          <w:rFonts w:ascii="Arial"/>
          <w:i/>
          <w:spacing w:val="-2"/>
          <w:sz w:val="22"/>
        </w:rPr>
        <w:t>Pathogens</w:t>
      </w:r>
    </w:p>
    <w:p>
      <w:pPr>
        <w:pStyle w:val="BodyText"/>
        <w:spacing w:line="232" w:lineRule="auto" w:before="65"/>
        <w:ind w:left="360" w:right="1621"/>
      </w:pPr>
      <w:r>
        <w:rPr/>
        <w:t>Address</w:t>
      </w:r>
      <w:r>
        <w:rPr>
          <w:spacing w:val="-6"/>
        </w:rPr>
        <w:t> </w:t>
      </w:r>
      <w:r>
        <w:rPr/>
        <w:t>treatment</w:t>
      </w:r>
      <w:r>
        <w:rPr>
          <w:spacing w:val="-8"/>
        </w:rPr>
        <w:t> </w:t>
      </w:r>
      <w:r>
        <w:rPr/>
        <w:t>of</w:t>
      </w:r>
      <w:r>
        <w:rPr>
          <w:spacing w:val="-6"/>
        </w:rPr>
        <w:t> </w:t>
      </w:r>
      <w:r>
        <w:rPr/>
        <w:t>priority</w:t>
      </w:r>
      <w:r>
        <w:rPr>
          <w:spacing w:val="-5"/>
        </w:rPr>
        <w:t> </w:t>
      </w:r>
      <w:r>
        <w:rPr/>
        <w:t>non-native,</w:t>
      </w:r>
      <w:r>
        <w:rPr>
          <w:spacing w:val="-8"/>
        </w:rPr>
        <w:t> </w:t>
      </w:r>
      <w:r>
        <w:rPr/>
        <w:t>invasive</w:t>
      </w:r>
      <w:r>
        <w:rPr>
          <w:spacing w:val="-5"/>
        </w:rPr>
        <w:t> </w:t>
      </w:r>
      <w:r>
        <w:rPr/>
        <w:t>insect</w:t>
      </w:r>
      <w:r>
        <w:rPr>
          <w:spacing w:val="-5"/>
        </w:rPr>
        <w:t> </w:t>
      </w:r>
      <w:r>
        <w:rPr/>
        <w:t>and</w:t>
      </w:r>
      <w:r>
        <w:rPr>
          <w:spacing w:val="-7"/>
        </w:rPr>
        <w:t> </w:t>
      </w:r>
      <w:r>
        <w:rPr/>
        <w:t>disease</w:t>
      </w:r>
      <w:r>
        <w:rPr>
          <w:spacing w:val="-5"/>
        </w:rPr>
        <w:t> </w:t>
      </w:r>
      <w:r>
        <w:rPr/>
        <w:t>pathogens</w:t>
      </w:r>
      <w:r>
        <w:rPr>
          <w:spacing w:val="-6"/>
        </w:rPr>
        <w:t> </w:t>
      </w:r>
      <w:r>
        <w:rPr/>
        <w:t>and</w:t>
      </w:r>
      <w:r>
        <w:rPr>
          <w:spacing w:val="-7"/>
        </w:rPr>
        <w:t> </w:t>
      </w:r>
      <w:r>
        <w:rPr/>
        <w:t>their impacts within one year of detection.</w:t>
      </w:r>
    </w:p>
    <w:p>
      <w:pPr>
        <w:pStyle w:val="Heading4"/>
        <w:spacing w:before="234"/>
      </w:pPr>
      <w:bookmarkStart w:name="Standard" w:id="337"/>
      <w:bookmarkEnd w:id="337"/>
      <w:r>
        <w:rPr/>
      </w:r>
      <w:bookmarkStart w:name="_bookmark116" w:id="338"/>
      <w:bookmarkEnd w:id="338"/>
      <w:r>
        <w:rPr/>
      </w:r>
      <w:r>
        <w:rPr>
          <w:spacing w:val="-2"/>
        </w:rPr>
        <w:t>Standard</w:t>
      </w:r>
    </w:p>
    <w:p>
      <w:pPr>
        <w:spacing w:before="237"/>
        <w:ind w:left="360" w:right="0" w:firstLine="0"/>
        <w:jc w:val="left"/>
        <w:rPr>
          <w:rFonts w:ascii="Arial"/>
          <w:i/>
          <w:sz w:val="22"/>
        </w:rPr>
      </w:pPr>
      <w:bookmarkStart w:name="FW-STD-IS-01. Invasive Plant Prevention" w:id="339"/>
      <w:bookmarkEnd w:id="339"/>
      <w:r>
        <w:rPr/>
      </w:r>
      <w:r>
        <w:rPr>
          <w:rFonts w:ascii="Arial"/>
          <w:i/>
          <w:sz w:val="22"/>
        </w:rPr>
        <w:t>FW-STD-IS-01.</w:t>
      </w:r>
      <w:r>
        <w:rPr>
          <w:rFonts w:ascii="Arial"/>
          <w:i/>
          <w:spacing w:val="-9"/>
          <w:sz w:val="22"/>
        </w:rPr>
        <w:t> </w:t>
      </w:r>
      <w:r>
        <w:rPr>
          <w:rFonts w:ascii="Arial"/>
          <w:i/>
          <w:sz w:val="22"/>
        </w:rPr>
        <w:t>Invasive</w:t>
      </w:r>
      <w:r>
        <w:rPr>
          <w:rFonts w:ascii="Arial"/>
          <w:i/>
          <w:spacing w:val="-8"/>
          <w:sz w:val="22"/>
        </w:rPr>
        <w:t> </w:t>
      </w:r>
      <w:r>
        <w:rPr>
          <w:rFonts w:ascii="Arial"/>
          <w:i/>
          <w:sz w:val="22"/>
        </w:rPr>
        <w:t>Plant</w:t>
      </w:r>
      <w:r>
        <w:rPr>
          <w:rFonts w:ascii="Arial"/>
          <w:i/>
          <w:spacing w:val="-3"/>
          <w:sz w:val="22"/>
        </w:rPr>
        <w:t> </w:t>
      </w:r>
      <w:r>
        <w:rPr>
          <w:rFonts w:ascii="Arial"/>
          <w:i/>
          <w:spacing w:val="-2"/>
          <w:sz w:val="22"/>
        </w:rPr>
        <w:t>Prevention</w:t>
      </w:r>
    </w:p>
    <w:p>
      <w:pPr>
        <w:pStyle w:val="BodyText"/>
        <w:spacing w:line="232" w:lineRule="auto" w:before="67"/>
        <w:ind w:left="360" w:right="2264" w:hanging="1"/>
        <w:jc w:val="both"/>
      </w:pPr>
      <w:r>
        <w:rPr/>
        <w:t>Inspect</w:t>
      </w:r>
      <w:r>
        <w:rPr>
          <w:spacing w:val="-5"/>
        </w:rPr>
        <w:t> </w:t>
      </w:r>
      <w:r>
        <w:rPr/>
        <w:t>gravel,</w:t>
      </w:r>
      <w:r>
        <w:rPr>
          <w:spacing w:val="-8"/>
        </w:rPr>
        <w:t> </w:t>
      </w:r>
      <w:r>
        <w:rPr/>
        <w:t>fill,</w:t>
      </w:r>
      <w:r>
        <w:rPr>
          <w:spacing w:val="-6"/>
        </w:rPr>
        <w:t> </w:t>
      </w:r>
      <w:r>
        <w:rPr/>
        <w:t>sand,</w:t>
      </w:r>
      <w:r>
        <w:rPr>
          <w:spacing w:val="-6"/>
        </w:rPr>
        <w:t> </w:t>
      </w:r>
      <w:r>
        <w:rPr/>
        <w:t>and</w:t>
      </w:r>
      <w:r>
        <w:rPr>
          <w:spacing w:val="-7"/>
        </w:rPr>
        <w:t> </w:t>
      </w:r>
      <w:r>
        <w:rPr/>
        <w:t>rock</w:t>
      </w:r>
      <w:r>
        <w:rPr>
          <w:spacing w:val="-8"/>
        </w:rPr>
        <w:t> </w:t>
      </w:r>
      <w:r>
        <w:rPr/>
        <w:t>materials</w:t>
      </w:r>
      <w:r>
        <w:rPr>
          <w:spacing w:val="-6"/>
        </w:rPr>
        <w:t> </w:t>
      </w:r>
      <w:r>
        <w:rPr/>
        <w:t>from</w:t>
      </w:r>
      <w:r>
        <w:rPr>
          <w:spacing w:val="-4"/>
        </w:rPr>
        <w:t> </w:t>
      </w:r>
      <w:r>
        <w:rPr/>
        <w:t>National</w:t>
      </w:r>
      <w:r>
        <w:rPr>
          <w:spacing w:val="-6"/>
        </w:rPr>
        <w:t> </w:t>
      </w:r>
      <w:r>
        <w:rPr/>
        <w:t>Forest</w:t>
      </w:r>
      <w:r>
        <w:rPr>
          <w:spacing w:val="-5"/>
        </w:rPr>
        <w:t> </w:t>
      </w:r>
      <w:r>
        <w:rPr/>
        <w:t>System</w:t>
      </w:r>
      <w:r>
        <w:rPr>
          <w:spacing w:val="-7"/>
        </w:rPr>
        <w:t> </w:t>
      </w:r>
      <w:r>
        <w:rPr/>
        <w:t>lands</w:t>
      </w:r>
      <w:r>
        <w:rPr>
          <w:spacing w:val="-6"/>
        </w:rPr>
        <w:t> </w:t>
      </w:r>
      <w:r>
        <w:rPr/>
        <w:t>and</w:t>
      </w:r>
      <w:r>
        <w:rPr>
          <w:spacing w:val="-7"/>
        </w:rPr>
        <w:t> </w:t>
      </w:r>
      <w:r>
        <w:rPr/>
        <w:t>from external</w:t>
      </w:r>
      <w:r>
        <w:rPr>
          <w:spacing w:val="-2"/>
        </w:rPr>
        <w:t> </w:t>
      </w:r>
      <w:r>
        <w:rPr/>
        <w:t>sources</w:t>
      </w:r>
      <w:r>
        <w:rPr>
          <w:spacing w:val="-4"/>
        </w:rPr>
        <w:t> </w:t>
      </w:r>
      <w:r>
        <w:rPr/>
        <w:t>to</w:t>
      </w:r>
      <w:r>
        <w:rPr>
          <w:spacing w:val="-1"/>
        </w:rPr>
        <w:t> </w:t>
      </w:r>
      <w:r>
        <w:rPr/>
        <w:t>ensure</w:t>
      </w:r>
      <w:r>
        <w:rPr>
          <w:spacing w:val="-4"/>
        </w:rPr>
        <w:t> </w:t>
      </w:r>
      <w:r>
        <w:rPr/>
        <w:t>it</w:t>
      </w:r>
      <w:r>
        <w:rPr>
          <w:spacing w:val="-1"/>
        </w:rPr>
        <w:t> </w:t>
      </w:r>
      <w:r>
        <w:rPr/>
        <w:t>is</w:t>
      </w:r>
      <w:r>
        <w:rPr>
          <w:spacing w:val="-2"/>
        </w:rPr>
        <w:t> </w:t>
      </w:r>
      <w:r>
        <w:rPr/>
        <w:t>weed</w:t>
      </w:r>
      <w:r>
        <w:rPr>
          <w:spacing w:val="-3"/>
        </w:rPr>
        <w:t> </w:t>
      </w:r>
      <w:r>
        <w:rPr/>
        <w:t>free</w:t>
      </w:r>
      <w:r>
        <w:rPr>
          <w:spacing w:val="-1"/>
        </w:rPr>
        <w:t> </w:t>
      </w:r>
      <w:r>
        <w:rPr/>
        <w:t>before</w:t>
      </w:r>
      <w:r>
        <w:rPr>
          <w:spacing w:val="-1"/>
        </w:rPr>
        <w:t> </w:t>
      </w:r>
      <w:r>
        <w:rPr/>
        <w:t>using</w:t>
      </w:r>
      <w:r>
        <w:rPr>
          <w:spacing w:val="-5"/>
        </w:rPr>
        <w:t> </w:t>
      </w:r>
      <w:r>
        <w:rPr/>
        <w:t>on</w:t>
      </w:r>
      <w:r>
        <w:rPr>
          <w:spacing w:val="-3"/>
        </w:rPr>
        <w:t> </w:t>
      </w:r>
      <w:r>
        <w:rPr/>
        <w:t>the national</w:t>
      </w:r>
      <w:r>
        <w:rPr>
          <w:spacing w:val="-2"/>
        </w:rPr>
        <w:t> </w:t>
      </w:r>
      <w:r>
        <w:rPr/>
        <w:t>forest.</w:t>
      </w:r>
      <w:r>
        <w:rPr>
          <w:spacing w:val="-5"/>
        </w:rPr>
        <w:t> </w:t>
      </w:r>
      <w:r>
        <w:rPr/>
        <w:t>Treat</w:t>
      </w:r>
      <w:r>
        <w:rPr>
          <w:spacing w:val="-1"/>
        </w:rPr>
        <w:t> </w:t>
      </w:r>
      <w:r>
        <w:rPr/>
        <w:t>and quarantine</w:t>
      </w:r>
      <w:r>
        <w:rPr>
          <w:spacing w:val="-6"/>
        </w:rPr>
        <w:t> </w:t>
      </w:r>
      <w:r>
        <w:rPr/>
        <w:t>materials</w:t>
      </w:r>
      <w:r>
        <w:rPr>
          <w:spacing w:val="-7"/>
        </w:rPr>
        <w:t> </w:t>
      </w:r>
      <w:r>
        <w:rPr/>
        <w:t>from</w:t>
      </w:r>
      <w:r>
        <w:rPr>
          <w:spacing w:val="-6"/>
        </w:rPr>
        <w:t> </w:t>
      </w:r>
      <w:r>
        <w:rPr/>
        <w:t>infested</w:t>
      </w:r>
      <w:r>
        <w:rPr>
          <w:spacing w:val="-8"/>
        </w:rPr>
        <w:t> </w:t>
      </w:r>
      <w:r>
        <w:rPr/>
        <w:t>sources</w:t>
      </w:r>
      <w:r>
        <w:rPr>
          <w:spacing w:val="-7"/>
        </w:rPr>
        <w:t> </w:t>
      </w:r>
      <w:r>
        <w:rPr/>
        <w:t>for</w:t>
      </w:r>
      <w:r>
        <w:rPr>
          <w:spacing w:val="-7"/>
        </w:rPr>
        <w:t> </w:t>
      </w:r>
      <w:r>
        <w:rPr/>
        <w:t>a</w:t>
      </w:r>
      <w:r>
        <w:rPr>
          <w:spacing w:val="-7"/>
        </w:rPr>
        <w:t> </w:t>
      </w:r>
      <w:r>
        <w:rPr/>
        <w:t>period</w:t>
      </w:r>
      <w:r>
        <w:rPr>
          <w:spacing w:val="-8"/>
        </w:rPr>
        <w:t> </w:t>
      </w:r>
      <w:r>
        <w:rPr/>
        <w:t>sufficient</w:t>
      </w:r>
      <w:r>
        <w:rPr>
          <w:spacing w:val="-6"/>
        </w:rPr>
        <w:t> </w:t>
      </w:r>
      <w:r>
        <w:rPr/>
        <w:t>to</w:t>
      </w:r>
      <w:r>
        <w:rPr>
          <w:spacing w:val="-8"/>
        </w:rPr>
        <w:t> </w:t>
      </w:r>
      <w:r>
        <w:rPr/>
        <w:t>observe</w:t>
      </w:r>
      <w:r>
        <w:rPr>
          <w:spacing w:val="-8"/>
        </w:rPr>
        <w:t> </w:t>
      </w:r>
      <w:r>
        <w:rPr/>
        <w:t>weed</w:t>
      </w:r>
      <w:r>
        <w:rPr>
          <w:spacing w:val="-7"/>
        </w:rPr>
        <w:t> </w:t>
      </w:r>
      <w:r>
        <w:rPr/>
        <w:t>seed germination before use.</w:t>
      </w:r>
    </w:p>
    <w:p>
      <w:pPr>
        <w:pStyle w:val="BodyText"/>
        <w:spacing w:line="232" w:lineRule="auto" w:before="197"/>
        <w:ind w:left="360" w:right="1445"/>
      </w:pPr>
      <w:r>
        <w:rPr/>
        <w:t>Use</w:t>
      </w:r>
      <w:r>
        <w:rPr>
          <w:spacing w:val="-6"/>
        </w:rPr>
        <w:t> </w:t>
      </w:r>
      <w:r>
        <w:rPr/>
        <w:t>only</w:t>
      </w:r>
      <w:r>
        <w:rPr>
          <w:spacing w:val="-3"/>
        </w:rPr>
        <w:t> </w:t>
      </w:r>
      <w:r>
        <w:rPr/>
        <w:t>pelletized</w:t>
      </w:r>
      <w:r>
        <w:rPr>
          <w:spacing w:val="-7"/>
        </w:rPr>
        <w:t> </w:t>
      </w:r>
      <w:r>
        <w:rPr/>
        <w:t>or</w:t>
      </w:r>
      <w:r>
        <w:rPr>
          <w:spacing w:val="-4"/>
        </w:rPr>
        <w:t> </w:t>
      </w:r>
      <w:r>
        <w:rPr/>
        <w:t>certified</w:t>
      </w:r>
      <w:r>
        <w:rPr>
          <w:spacing w:val="-5"/>
        </w:rPr>
        <w:t> </w:t>
      </w:r>
      <w:r>
        <w:rPr/>
        <w:t>weed-free</w:t>
      </w:r>
      <w:r>
        <w:rPr>
          <w:spacing w:val="-6"/>
        </w:rPr>
        <w:t> </w:t>
      </w:r>
      <w:r>
        <w:rPr/>
        <w:t>feed</w:t>
      </w:r>
      <w:r>
        <w:rPr>
          <w:spacing w:val="-7"/>
        </w:rPr>
        <w:t> </w:t>
      </w:r>
      <w:r>
        <w:rPr/>
        <w:t>for</w:t>
      </w:r>
      <w:r>
        <w:rPr>
          <w:spacing w:val="-6"/>
        </w:rPr>
        <w:t> </w:t>
      </w:r>
      <w:r>
        <w:rPr/>
        <w:t>pack,</w:t>
      </w:r>
      <w:r>
        <w:rPr>
          <w:spacing w:val="-4"/>
        </w:rPr>
        <w:t> </w:t>
      </w:r>
      <w:r>
        <w:rPr/>
        <w:t>saddle</w:t>
      </w:r>
      <w:r>
        <w:rPr>
          <w:spacing w:val="-3"/>
        </w:rPr>
        <w:t> </w:t>
      </w:r>
      <w:r>
        <w:rPr/>
        <w:t>and</w:t>
      </w:r>
      <w:r>
        <w:rPr>
          <w:spacing w:val="-5"/>
        </w:rPr>
        <w:t> </w:t>
      </w:r>
      <w:r>
        <w:rPr/>
        <w:t>livestock</w:t>
      </w:r>
      <w:r>
        <w:rPr>
          <w:spacing w:val="-6"/>
        </w:rPr>
        <w:t> </w:t>
      </w:r>
      <w:r>
        <w:rPr/>
        <w:t>on</w:t>
      </w:r>
      <w:r>
        <w:rPr>
          <w:spacing w:val="-5"/>
        </w:rPr>
        <w:t> </w:t>
      </w:r>
      <w:r>
        <w:rPr/>
        <w:t>all</w:t>
      </w:r>
      <w:r>
        <w:rPr>
          <w:spacing w:val="-7"/>
        </w:rPr>
        <w:t> </w:t>
      </w:r>
      <w:r>
        <w:rPr/>
        <w:t>National Forest System lands.</w:t>
      </w:r>
    </w:p>
    <w:p>
      <w:pPr>
        <w:pStyle w:val="BodyText"/>
        <w:spacing w:line="232" w:lineRule="auto" w:before="199"/>
        <w:ind w:left="360" w:right="1621"/>
      </w:pPr>
      <w:r>
        <w:rPr/>
        <w:t>Use</w:t>
      </w:r>
      <w:r>
        <w:rPr>
          <w:spacing w:val="-4"/>
        </w:rPr>
        <w:t> </w:t>
      </w:r>
      <w:r>
        <w:rPr/>
        <w:t>weed-free</w:t>
      </w:r>
      <w:r>
        <w:rPr>
          <w:spacing w:val="-4"/>
        </w:rPr>
        <w:t> </w:t>
      </w:r>
      <w:r>
        <w:rPr/>
        <w:t>straw</w:t>
      </w:r>
      <w:r>
        <w:rPr>
          <w:spacing w:val="-4"/>
        </w:rPr>
        <w:t> </w:t>
      </w:r>
      <w:r>
        <w:rPr/>
        <w:t>and</w:t>
      </w:r>
      <w:r>
        <w:rPr>
          <w:spacing w:val="-8"/>
        </w:rPr>
        <w:t> </w:t>
      </w:r>
      <w:r>
        <w:rPr/>
        <w:t>mulch</w:t>
      </w:r>
      <w:r>
        <w:rPr>
          <w:spacing w:val="-6"/>
        </w:rPr>
        <w:t> </w:t>
      </w:r>
      <w:r>
        <w:rPr/>
        <w:t>for</w:t>
      </w:r>
      <w:r>
        <w:rPr>
          <w:spacing w:val="-5"/>
        </w:rPr>
        <w:t> </w:t>
      </w:r>
      <w:r>
        <w:rPr/>
        <w:t>all</w:t>
      </w:r>
      <w:r>
        <w:rPr>
          <w:spacing w:val="-5"/>
        </w:rPr>
        <w:t> </w:t>
      </w:r>
      <w:r>
        <w:rPr/>
        <w:t>projects</w:t>
      </w:r>
      <w:r>
        <w:rPr>
          <w:spacing w:val="-7"/>
        </w:rPr>
        <w:t> </w:t>
      </w:r>
      <w:r>
        <w:rPr/>
        <w:t>conducted</w:t>
      </w:r>
      <w:r>
        <w:rPr>
          <w:spacing w:val="-6"/>
        </w:rPr>
        <w:t> </w:t>
      </w:r>
      <w:r>
        <w:rPr/>
        <w:t>or</w:t>
      </w:r>
      <w:r>
        <w:rPr>
          <w:spacing w:val="-7"/>
        </w:rPr>
        <w:t> </w:t>
      </w:r>
      <w:r>
        <w:rPr/>
        <w:t>authorized</w:t>
      </w:r>
      <w:r>
        <w:rPr>
          <w:spacing w:val="-6"/>
        </w:rPr>
        <w:t> </w:t>
      </w:r>
      <w:r>
        <w:rPr/>
        <w:t>by</w:t>
      </w:r>
      <w:r>
        <w:rPr>
          <w:spacing w:val="-4"/>
        </w:rPr>
        <w:t> </w:t>
      </w:r>
      <w:r>
        <w:rPr/>
        <w:t>the</w:t>
      </w:r>
      <w:r>
        <w:rPr>
          <w:spacing w:val="-7"/>
        </w:rPr>
        <w:t> </w:t>
      </w:r>
      <w:r>
        <w:rPr/>
        <w:t>Forest</w:t>
      </w:r>
      <w:r>
        <w:rPr>
          <w:spacing w:val="-4"/>
        </w:rPr>
        <w:t> </w:t>
      </w:r>
      <w:r>
        <w:rPr/>
        <w:t>Service, on National Forest System Lands.</w:t>
      </w:r>
    </w:p>
    <w:p>
      <w:pPr>
        <w:pStyle w:val="BodyText"/>
        <w:spacing w:line="232" w:lineRule="auto" w:before="199"/>
        <w:ind w:left="359" w:right="1516"/>
      </w:pPr>
      <w:r>
        <w:rPr/>
        <w:t>Clean all heavy equipment, such as bulldozers, skidders, excavators, graders, backhoes, dump trucks</w:t>
      </w:r>
      <w:r>
        <w:rPr>
          <w:spacing w:val="-1"/>
        </w:rPr>
        <w:t> </w:t>
      </w:r>
      <w:r>
        <w:rPr/>
        <w:t>and</w:t>
      </w:r>
      <w:r>
        <w:rPr>
          <w:spacing w:val="-2"/>
        </w:rPr>
        <w:t> </w:t>
      </w:r>
      <w:r>
        <w:rPr/>
        <w:t>logging</w:t>
      </w:r>
      <w:r>
        <w:rPr>
          <w:spacing w:val="-2"/>
        </w:rPr>
        <w:t> </w:t>
      </w:r>
      <w:r>
        <w:rPr/>
        <w:t>equipment that</w:t>
      </w:r>
      <w:r>
        <w:rPr>
          <w:spacing w:val="-3"/>
        </w:rPr>
        <w:t> </w:t>
      </w:r>
      <w:r>
        <w:rPr/>
        <w:t>will</w:t>
      </w:r>
      <w:r>
        <w:rPr>
          <w:spacing w:val="-4"/>
        </w:rPr>
        <w:t> </w:t>
      </w:r>
      <w:r>
        <w:rPr/>
        <w:t>operate</w:t>
      </w:r>
      <w:r>
        <w:rPr>
          <w:spacing w:val="-3"/>
        </w:rPr>
        <w:t> </w:t>
      </w:r>
      <w:r>
        <w:rPr/>
        <w:t>outside the</w:t>
      </w:r>
      <w:r>
        <w:rPr>
          <w:spacing w:val="-3"/>
        </w:rPr>
        <w:t> </w:t>
      </w:r>
      <w:r>
        <w:rPr/>
        <w:t>road</w:t>
      </w:r>
      <w:r>
        <w:rPr>
          <w:spacing w:val="-2"/>
        </w:rPr>
        <w:t> </w:t>
      </w:r>
      <w:r>
        <w:rPr/>
        <w:t>prism before</w:t>
      </w:r>
      <w:r>
        <w:rPr>
          <w:spacing w:val="-2"/>
        </w:rPr>
        <w:t> </w:t>
      </w:r>
      <w:r>
        <w:rPr/>
        <w:t>entering</w:t>
      </w:r>
      <w:r>
        <w:rPr>
          <w:spacing w:val="-2"/>
        </w:rPr>
        <w:t> </w:t>
      </w:r>
      <w:r>
        <w:rPr/>
        <w:t>National Forest System lands to remove invasive plant seeds and material. Clean all vehicles authorized by</w:t>
      </w:r>
      <w:r>
        <w:rPr>
          <w:spacing w:val="-5"/>
        </w:rPr>
        <w:t> </w:t>
      </w:r>
      <w:r>
        <w:rPr/>
        <w:t>written</w:t>
      </w:r>
      <w:r>
        <w:rPr>
          <w:spacing w:val="-5"/>
        </w:rPr>
        <w:t> </w:t>
      </w:r>
      <w:r>
        <w:rPr/>
        <w:t>contract</w:t>
      </w:r>
      <w:r>
        <w:rPr>
          <w:spacing w:val="-6"/>
        </w:rPr>
        <w:t> </w:t>
      </w:r>
      <w:r>
        <w:rPr/>
        <w:t>that</w:t>
      </w:r>
      <w:r>
        <w:rPr>
          <w:spacing w:val="-6"/>
        </w:rPr>
        <w:t> </w:t>
      </w:r>
      <w:r>
        <w:rPr/>
        <w:t>operate</w:t>
      </w:r>
      <w:r>
        <w:rPr>
          <w:spacing w:val="-6"/>
        </w:rPr>
        <w:t> </w:t>
      </w:r>
      <w:r>
        <w:rPr/>
        <w:t>outside</w:t>
      </w:r>
      <w:r>
        <w:rPr>
          <w:spacing w:val="-6"/>
        </w:rPr>
        <w:t> </w:t>
      </w:r>
      <w:r>
        <w:rPr/>
        <w:t>of</w:t>
      </w:r>
      <w:r>
        <w:rPr>
          <w:spacing w:val="-6"/>
        </w:rPr>
        <w:t> </w:t>
      </w:r>
      <w:r>
        <w:rPr/>
        <w:t>open</w:t>
      </w:r>
      <w:r>
        <w:rPr>
          <w:spacing w:val="-7"/>
        </w:rPr>
        <w:t> </w:t>
      </w:r>
      <w:r>
        <w:rPr/>
        <w:t>road</w:t>
      </w:r>
      <w:r>
        <w:rPr>
          <w:spacing w:val="-7"/>
        </w:rPr>
        <w:t> </w:t>
      </w:r>
      <w:r>
        <w:rPr/>
        <w:t>(level</w:t>
      </w:r>
      <w:r>
        <w:rPr>
          <w:spacing w:val="-7"/>
        </w:rPr>
        <w:t> </w:t>
      </w:r>
      <w:r>
        <w:rPr/>
        <w:t>2</w:t>
      </w:r>
      <w:r>
        <w:rPr>
          <w:spacing w:val="-4"/>
        </w:rPr>
        <w:t> </w:t>
      </w:r>
      <w:r>
        <w:rPr/>
        <w:t>through</w:t>
      </w:r>
      <w:r>
        <w:rPr>
          <w:spacing w:val="-7"/>
        </w:rPr>
        <w:t> </w:t>
      </w:r>
      <w:r>
        <w:rPr/>
        <w:t>5)</w:t>
      </w:r>
      <w:r>
        <w:rPr>
          <w:spacing w:val="-5"/>
        </w:rPr>
        <w:t> </w:t>
      </w:r>
      <w:r>
        <w:rPr/>
        <w:t>prisms</w:t>
      </w:r>
      <w:r>
        <w:rPr>
          <w:spacing w:val="-3"/>
        </w:rPr>
        <w:t> </w:t>
      </w:r>
      <w:r>
        <w:rPr/>
        <w:t>before</w:t>
      </w:r>
      <w:r>
        <w:rPr>
          <w:spacing w:val="-6"/>
        </w:rPr>
        <w:t> </w:t>
      </w:r>
      <w:r>
        <w:rPr/>
        <w:t>entering National Forest System lands.</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801"/>
      </w:pPr>
      <w:r>
        <w:rPr/>
        <w:t>All</w:t>
      </w:r>
      <w:r>
        <w:rPr>
          <w:spacing w:val="-5"/>
        </w:rPr>
        <w:t> </w:t>
      </w:r>
      <w:r>
        <w:rPr/>
        <w:t>agreements,</w:t>
      </w:r>
      <w:r>
        <w:rPr>
          <w:spacing w:val="-5"/>
        </w:rPr>
        <w:t> </w:t>
      </w:r>
      <w:r>
        <w:rPr/>
        <w:t>contracts,</w:t>
      </w:r>
      <w:r>
        <w:rPr>
          <w:spacing w:val="-10"/>
        </w:rPr>
        <w:t> </w:t>
      </w:r>
      <w:r>
        <w:rPr/>
        <w:t>or</w:t>
      </w:r>
      <w:r>
        <w:rPr>
          <w:spacing w:val="-5"/>
        </w:rPr>
        <w:t> </w:t>
      </w:r>
      <w:r>
        <w:rPr/>
        <w:t>special-use</w:t>
      </w:r>
      <w:r>
        <w:rPr>
          <w:spacing w:val="-4"/>
        </w:rPr>
        <w:t> </w:t>
      </w:r>
      <w:r>
        <w:rPr/>
        <w:t>permits</w:t>
      </w:r>
      <w:r>
        <w:rPr>
          <w:spacing w:val="-5"/>
        </w:rPr>
        <w:t> </w:t>
      </w:r>
      <w:r>
        <w:rPr/>
        <w:t>that</w:t>
      </w:r>
      <w:r>
        <w:rPr>
          <w:spacing w:val="-9"/>
        </w:rPr>
        <w:t> </w:t>
      </w:r>
      <w:r>
        <w:rPr/>
        <w:t>allow</w:t>
      </w:r>
      <w:r>
        <w:rPr>
          <w:spacing w:val="-7"/>
        </w:rPr>
        <w:t> </w:t>
      </w:r>
      <w:r>
        <w:rPr/>
        <w:t>vehicles</w:t>
      </w:r>
      <w:r>
        <w:rPr>
          <w:spacing w:val="-7"/>
        </w:rPr>
        <w:t> </w:t>
      </w:r>
      <w:r>
        <w:rPr/>
        <w:t>and</w:t>
      </w:r>
      <w:r>
        <w:rPr>
          <w:spacing w:val="-6"/>
        </w:rPr>
        <w:t> </w:t>
      </w:r>
      <w:r>
        <w:rPr/>
        <w:t>equipment</w:t>
      </w:r>
      <w:r>
        <w:rPr>
          <w:spacing w:val="-4"/>
        </w:rPr>
        <w:t> </w:t>
      </w:r>
      <w:r>
        <w:rPr/>
        <w:t>to</w:t>
      </w:r>
      <w:r>
        <w:rPr>
          <w:spacing w:val="-6"/>
        </w:rPr>
        <w:t> </w:t>
      </w:r>
      <w:r>
        <w:rPr/>
        <w:t>operate outside the road prism on National Forest System lands will contain clauses or language that require all vehicles and equipment to be cleaned prior to its use on National Forest System lands to prevent introduction, establishment, and spread of invasive species.</w:t>
      </w:r>
    </w:p>
    <w:p>
      <w:pPr>
        <w:pStyle w:val="Heading4"/>
        <w:spacing w:before="234"/>
        <w:ind w:left="1151"/>
      </w:pPr>
      <w:bookmarkStart w:name="Guidelines" w:id="340"/>
      <w:bookmarkEnd w:id="340"/>
      <w:r>
        <w:rPr/>
      </w:r>
      <w:bookmarkStart w:name="_bookmark117" w:id="341"/>
      <w:bookmarkEnd w:id="341"/>
      <w:r>
        <w:rPr/>
      </w:r>
      <w:r>
        <w:rPr>
          <w:spacing w:val="-2"/>
        </w:rPr>
        <w:t>Guidelines</w:t>
      </w:r>
    </w:p>
    <w:p>
      <w:pPr>
        <w:spacing w:before="238"/>
        <w:ind w:left="1151" w:right="0" w:firstLine="0"/>
        <w:jc w:val="left"/>
        <w:rPr>
          <w:rFonts w:ascii="Arial"/>
          <w:i/>
          <w:sz w:val="22"/>
        </w:rPr>
      </w:pPr>
      <w:bookmarkStart w:name="FW-GDL-IS-01. Invasive Species Preventio" w:id="342"/>
      <w:bookmarkEnd w:id="342"/>
      <w:r>
        <w:rPr/>
      </w:r>
      <w:r>
        <w:rPr>
          <w:rFonts w:ascii="Arial"/>
          <w:i/>
          <w:sz w:val="22"/>
        </w:rPr>
        <w:t>FW-GDL-IS-01.</w:t>
      </w:r>
      <w:r>
        <w:rPr>
          <w:rFonts w:ascii="Arial"/>
          <w:i/>
          <w:spacing w:val="-8"/>
          <w:sz w:val="22"/>
        </w:rPr>
        <w:t> </w:t>
      </w:r>
      <w:r>
        <w:rPr>
          <w:rFonts w:ascii="Arial"/>
          <w:i/>
          <w:sz w:val="22"/>
        </w:rPr>
        <w:t>Invasive</w:t>
      </w:r>
      <w:r>
        <w:rPr>
          <w:rFonts w:ascii="Arial"/>
          <w:i/>
          <w:spacing w:val="-8"/>
          <w:sz w:val="22"/>
        </w:rPr>
        <w:t> </w:t>
      </w:r>
      <w:r>
        <w:rPr>
          <w:rFonts w:ascii="Arial"/>
          <w:i/>
          <w:sz w:val="22"/>
        </w:rPr>
        <w:t>Species</w:t>
      </w:r>
      <w:r>
        <w:rPr>
          <w:rFonts w:ascii="Arial"/>
          <w:i/>
          <w:spacing w:val="-6"/>
          <w:sz w:val="22"/>
        </w:rPr>
        <w:t> </w:t>
      </w:r>
      <w:r>
        <w:rPr>
          <w:rFonts w:ascii="Arial"/>
          <w:i/>
          <w:spacing w:val="-2"/>
          <w:sz w:val="22"/>
        </w:rPr>
        <w:t>Prevention</w:t>
      </w:r>
    </w:p>
    <w:p>
      <w:pPr>
        <w:pStyle w:val="BodyText"/>
        <w:spacing w:line="232" w:lineRule="auto" w:before="67"/>
        <w:ind w:left="1151" w:right="801"/>
      </w:pPr>
      <w:r>
        <w:rPr/>
        <w:t>The</w:t>
      </w:r>
      <w:r>
        <w:rPr>
          <w:spacing w:val="-5"/>
        </w:rPr>
        <w:t> </w:t>
      </w:r>
      <w:r>
        <w:rPr/>
        <w:t>method,</w:t>
      </w:r>
      <w:r>
        <w:rPr>
          <w:spacing w:val="-5"/>
        </w:rPr>
        <w:t> </w:t>
      </w:r>
      <w:r>
        <w:rPr/>
        <w:t>timing,</w:t>
      </w:r>
      <w:r>
        <w:rPr>
          <w:spacing w:val="-4"/>
        </w:rPr>
        <w:t> </w:t>
      </w:r>
      <w:r>
        <w:rPr/>
        <w:t>and</w:t>
      </w:r>
      <w:r>
        <w:rPr>
          <w:spacing w:val="-5"/>
        </w:rPr>
        <w:t> </w:t>
      </w:r>
      <w:r>
        <w:rPr/>
        <w:t>intensity</w:t>
      </w:r>
      <w:r>
        <w:rPr>
          <w:spacing w:val="-5"/>
        </w:rPr>
        <w:t> </w:t>
      </w:r>
      <w:r>
        <w:rPr/>
        <w:t>of</w:t>
      </w:r>
      <w:r>
        <w:rPr>
          <w:spacing w:val="-5"/>
        </w:rPr>
        <w:t> </w:t>
      </w:r>
      <w:r>
        <w:rPr/>
        <w:t>land</w:t>
      </w:r>
      <w:r>
        <w:rPr>
          <w:spacing w:val="-5"/>
        </w:rPr>
        <w:t> </w:t>
      </w:r>
      <w:r>
        <w:rPr/>
        <w:t>use</w:t>
      </w:r>
      <w:r>
        <w:rPr>
          <w:spacing w:val="-3"/>
        </w:rPr>
        <w:t> </w:t>
      </w:r>
      <w:r>
        <w:rPr/>
        <w:t>activities</w:t>
      </w:r>
      <w:r>
        <w:rPr>
          <w:spacing w:val="-4"/>
        </w:rPr>
        <w:t> </w:t>
      </w:r>
      <w:r>
        <w:rPr/>
        <w:t>should</w:t>
      </w:r>
      <w:r>
        <w:rPr>
          <w:spacing w:val="-5"/>
        </w:rPr>
        <w:t> </w:t>
      </w:r>
      <w:r>
        <w:rPr/>
        <w:t>not</w:t>
      </w:r>
      <w:r>
        <w:rPr>
          <w:spacing w:val="-3"/>
        </w:rPr>
        <w:t> </w:t>
      </w:r>
      <w:r>
        <w:rPr/>
        <w:t>promote</w:t>
      </w:r>
      <w:r>
        <w:rPr>
          <w:spacing w:val="-5"/>
        </w:rPr>
        <w:t> </w:t>
      </w:r>
      <w:r>
        <w:rPr/>
        <w:t>the</w:t>
      </w:r>
      <w:r>
        <w:rPr>
          <w:spacing w:val="-3"/>
        </w:rPr>
        <w:t> </w:t>
      </w:r>
      <w:r>
        <w:rPr/>
        <w:t>introduction, establishment, or spread of invasive species. Instruments such as grazing annual operating instructions, special use operating plans, contract clauses, and other specifications, should address site-specific invasive species prevention measures such as vehicle and equipment cleaning, sequencing of activities, and treatment requirements.</w:t>
      </w:r>
    </w:p>
    <w:p>
      <w:pPr>
        <w:spacing w:before="233"/>
        <w:ind w:left="1151" w:right="0" w:firstLine="0"/>
        <w:jc w:val="left"/>
        <w:rPr>
          <w:rFonts w:ascii="Arial" w:hAnsi="Arial"/>
          <w:i/>
          <w:sz w:val="22"/>
        </w:rPr>
      </w:pPr>
      <w:bookmarkStart w:name="FW-GDL-IS-02. Invasive Species – Early D" w:id="343"/>
      <w:bookmarkEnd w:id="343"/>
      <w:r>
        <w:rPr/>
      </w:r>
      <w:r>
        <w:rPr>
          <w:rFonts w:ascii="Arial" w:hAnsi="Arial"/>
          <w:i/>
          <w:sz w:val="22"/>
        </w:rPr>
        <w:t>FW-GDL-IS-02.</w:t>
      </w:r>
      <w:r>
        <w:rPr>
          <w:rFonts w:ascii="Arial" w:hAnsi="Arial"/>
          <w:i/>
          <w:spacing w:val="-9"/>
          <w:sz w:val="22"/>
        </w:rPr>
        <w:t> </w:t>
      </w:r>
      <w:r>
        <w:rPr>
          <w:rFonts w:ascii="Arial" w:hAnsi="Arial"/>
          <w:i/>
          <w:sz w:val="22"/>
        </w:rPr>
        <w:t>Invasive</w:t>
      </w:r>
      <w:r>
        <w:rPr>
          <w:rFonts w:ascii="Arial" w:hAnsi="Arial"/>
          <w:i/>
          <w:spacing w:val="-7"/>
          <w:sz w:val="22"/>
        </w:rPr>
        <w:t> </w:t>
      </w:r>
      <w:r>
        <w:rPr>
          <w:rFonts w:ascii="Arial" w:hAnsi="Arial"/>
          <w:i/>
          <w:sz w:val="22"/>
        </w:rPr>
        <w:t>Species</w:t>
      </w:r>
      <w:r>
        <w:rPr>
          <w:rFonts w:ascii="Arial" w:hAnsi="Arial"/>
          <w:i/>
          <w:spacing w:val="-5"/>
          <w:sz w:val="22"/>
        </w:rPr>
        <w:t> </w:t>
      </w:r>
      <w:r>
        <w:rPr>
          <w:rFonts w:ascii="Arial" w:hAnsi="Arial"/>
          <w:i/>
          <w:sz w:val="22"/>
        </w:rPr>
        <w:t>–</w:t>
      </w:r>
      <w:r>
        <w:rPr>
          <w:rFonts w:ascii="Arial" w:hAnsi="Arial"/>
          <w:i/>
          <w:spacing w:val="-6"/>
          <w:sz w:val="22"/>
        </w:rPr>
        <w:t> </w:t>
      </w:r>
      <w:r>
        <w:rPr>
          <w:rFonts w:ascii="Arial" w:hAnsi="Arial"/>
          <w:i/>
          <w:sz w:val="22"/>
        </w:rPr>
        <w:t>Early</w:t>
      </w:r>
      <w:r>
        <w:rPr>
          <w:rFonts w:ascii="Arial" w:hAnsi="Arial"/>
          <w:i/>
          <w:spacing w:val="-5"/>
          <w:sz w:val="22"/>
        </w:rPr>
        <w:t> </w:t>
      </w:r>
      <w:r>
        <w:rPr>
          <w:rFonts w:ascii="Arial" w:hAnsi="Arial"/>
          <w:i/>
          <w:sz w:val="22"/>
        </w:rPr>
        <w:t>Detection</w:t>
      </w:r>
      <w:r>
        <w:rPr>
          <w:rFonts w:ascii="Arial" w:hAnsi="Arial"/>
          <w:i/>
          <w:spacing w:val="-5"/>
          <w:sz w:val="22"/>
        </w:rPr>
        <w:t> </w:t>
      </w:r>
      <w:r>
        <w:rPr>
          <w:rFonts w:ascii="Arial" w:hAnsi="Arial"/>
          <w:i/>
          <w:sz w:val="22"/>
        </w:rPr>
        <w:t>and</w:t>
      </w:r>
      <w:r>
        <w:rPr>
          <w:rFonts w:ascii="Arial" w:hAnsi="Arial"/>
          <w:i/>
          <w:spacing w:val="-6"/>
          <w:sz w:val="22"/>
        </w:rPr>
        <w:t> </w:t>
      </w:r>
      <w:r>
        <w:rPr>
          <w:rFonts w:ascii="Arial" w:hAnsi="Arial"/>
          <w:i/>
          <w:sz w:val="22"/>
        </w:rPr>
        <w:t>Rapid</w:t>
      </w:r>
      <w:r>
        <w:rPr>
          <w:rFonts w:ascii="Arial" w:hAnsi="Arial"/>
          <w:i/>
          <w:spacing w:val="-5"/>
          <w:sz w:val="22"/>
        </w:rPr>
        <w:t> </w:t>
      </w:r>
      <w:r>
        <w:rPr>
          <w:rFonts w:ascii="Arial" w:hAnsi="Arial"/>
          <w:i/>
          <w:spacing w:val="-2"/>
          <w:sz w:val="22"/>
        </w:rPr>
        <w:t>Response</w:t>
      </w:r>
    </w:p>
    <w:p>
      <w:pPr>
        <w:pStyle w:val="BodyText"/>
        <w:spacing w:line="232" w:lineRule="auto" w:before="64"/>
        <w:ind w:left="1150" w:right="801"/>
      </w:pPr>
      <w:r>
        <w:rPr/>
        <w:t>Conduct</w:t>
      </w:r>
      <w:r>
        <w:rPr>
          <w:spacing w:val="-5"/>
        </w:rPr>
        <w:t> </w:t>
      </w:r>
      <w:r>
        <w:rPr/>
        <w:t>surveillance</w:t>
      </w:r>
      <w:r>
        <w:rPr>
          <w:spacing w:val="-5"/>
        </w:rPr>
        <w:t> </w:t>
      </w:r>
      <w:r>
        <w:rPr/>
        <w:t>to</w:t>
      </w:r>
      <w:r>
        <w:rPr>
          <w:spacing w:val="-5"/>
        </w:rPr>
        <w:t> </w:t>
      </w:r>
      <w:r>
        <w:rPr/>
        <w:t>detect</w:t>
      </w:r>
      <w:r>
        <w:rPr>
          <w:spacing w:val="-5"/>
        </w:rPr>
        <w:t> </w:t>
      </w:r>
      <w:r>
        <w:rPr/>
        <w:t>and</w:t>
      </w:r>
      <w:r>
        <w:rPr>
          <w:spacing w:val="-7"/>
        </w:rPr>
        <w:t> </w:t>
      </w:r>
      <w:r>
        <w:rPr/>
        <w:t>respond</w:t>
      </w:r>
      <w:r>
        <w:rPr>
          <w:spacing w:val="-8"/>
        </w:rPr>
        <w:t> </w:t>
      </w:r>
      <w:r>
        <w:rPr/>
        <w:t>to</w:t>
      </w:r>
      <w:r>
        <w:rPr>
          <w:spacing w:val="-7"/>
        </w:rPr>
        <w:t> </w:t>
      </w:r>
      <w:r>
        <w:rPr/>
        <w:t>invasive</w:t>
      </w:r>
      <w:r>
        <w:rPr>
          <w:spacing w:val="-8"/>
        </w:rPr>
        <w:t> </w:t>
      </w:r>
      <w:r>
        <w:rPr/>
        <w:t>species</w:t>
      </w:r>
      <w:r>
        <w:rPr>
          <w:spacing w:val="-8"/>
        </w:rPr>
        <w:t> </w:t>
      </w:r>
      <w:r>
        <w:rPr/>
        <w:t>in</w:t>
      </w:r>
      <w:r>
        <w:rPr>
          <w:spacing w:val="-7"/>
        </w:rPr>
        <w:t> </w:t>
      </w:r>
      <w:r>
        <w:rPr/>
        <w:t>a</w:t>
      </w:r>
      <w:r>
        <w:rPr>
          <w:spacing w:val="-6"/>
        </w:rPr>
        <w:t> </w:t>
      </w:r>
      <w:r>
        <w:rPr/>
        <w:t>timely</w:t>
      </w:r>
      <w:r>
        <w:rPr>
          <w:spacing w:val="-7"/>
        </w:rPr>
        <w:t> </w:t>
      </w:r>
      <w:r>
        <w:rPr/>
        <w:t>manner.</w:t>
      </w:r>
      <w:r>
        <w:rPr>
          <w:spacing w:val="-6"/>
        </w:rPr>
        <w:t> </w:t>
      </w:r>
      <w:r>
        <w:rPr/>
        <w:t>Principles and processes of early detection and rapid response should be used to find, identify, and quantify new invasive species occurrences. Early detection and rapid response should be integrated with all land management activities to eradicate, control, contain or suppress invasive species including plants; vertebrate and invertebrate animals; and fish, wildlife and vegetation disease pathogens.</w:t>
      </w:r>
    </w:p>
    <w:p>
      <w:pPr>
        <w:spacing w:before="232"/>
        <w:ind w:left="1150" w:right="0" w:firstLine="0"/>
        <w:jc w:val="left"/>
        <w:rPr>
          <w:rFonts w:ascii="Arial"/>
          <w:i/>
          <w:sz w:val="22"/>
        </w:rPr>
      </w:pPr>
      <w:bookmarkStart w:name="FW-GDL-IS-03. Invasive Species Treatment" w:id="344"/>
      <w:bookmarkEnd w:id="344"/>
      <w:r>
        <w:rPr/>
      </w:r>
      <w:r>
        <w:rPr>
          <w:rFonts w:ascii="Arial"/>
          <w:i/>
          <w:sz w:val="22"/>
        </w:rPr>
        <w:t>FW-GDL-IS-03.</w:t>
      </w:r>
      <w:r>
        <w:rPr>
          <w:rFonts w:ascii="Arial"/>
          <w:i/>
          <w:spacing w:val="-10"/>
          <w:sz w:val="22"/>
        </w:rPr>
        <w:t> </w:t>
      </w:r>
      <w:r>
        <w:rPr>
          <w:rFonts w:ascii="Arial"/>
          <w:i/>
          <w:sz w:val="22"/>
        </w:rPr>
        <w:t>Invasive</w:t>
      </w:r>
      <w:r>
        <w:rPr>
          <w:rFonts w:ascii="Arial"/>
          <w:i/>
          <w:spacing w:val="-8"/>
          <w:sz w:val="22"/>
        </w:rPr>
        <w:t> </w:t>
      </w:r>
      <w:r>
        <w:rPr>
          <w:rFonts w:ascii="Arial"/>
          <w:i/>
          <w:sz w:val="22"/>
        </w:rPr>
        <w:t>Species</w:t>
      </w:r>
      <w:r>
        <w:rPr>
          <w:rFonts w:ascii="Arial"/>
          <w:i/>
          <w:spacing w:val="-6"/>
          <w:sz w:val="22"/>
        </w:rPr>
        <w:t> </w:t>
      </w:r>
      <w:r>
        <w:rPr>
          <w:rFonts w:ascii="Arial"/>
          <w:i/>
          <w:sz w:val="22"/>
        </w:rPr>
        <w:t>Treatment</w:t>
      </w:r>
      <w:r>
        <w:rPr>
          <w:rFonts w:ascii="Arial"/>
          <w:i/>
          <w:spacing w:val="-6"/>
          <w:sz w:val="22"/>
        </w:rPr>
        <w:t> </w:t>
      </w:r>
      <w:r>
        <w:rPr>
          <w:rFonts w:ascii="Arial"/>
          <w:i/>
          <w:sz w:val="22"/>
        </w:rPr>
        <w:t>and</w:t>
      </w:r>
      <w:r>
        <w:rPr>
          <w:rFonts w:ascii="Arial"/>
          <w:i/>
          <w:spacing w:val="-8"/>
          <w:sz w:val="22"/>
        </w:rPr>
        <w:t> </w:t>
      </w:r>
      <w:r>
        <w:rPr>
          <w:rFonts w:ascii="Arial"/>
          <w:i/>
          <w:spacing w:val="-2"/>
          <w:sz w:val="22"/>
        </w:rPr>
        <w:t>Restoration</w:t>
      </w:r>
    </w:p>
    <w:p>
      <w:pPr>
        <w:pStyle w:val="BodyText"/>
        <w:spacing w:line="232" w:lineRule="auto" w:before="64"/>
        <w:ind w:left="1150" w:right="797"/>
      </w:pPr>
      <w:r>
        <w:rPr/>
        <w:t>Invasive species should be prioritized for treatment at the landscape, watershed, or larger multiple forest/multiple owner scale. Response plans should be prepared or reviewed in coordination</w:t>
      </w:r>
      <w:r>
        <w:rPr>
          <w:spacing w:val="-4"/>
        </w:rPr>
        <w:t> </w:t>
      </w:r>
      <w:r>
        <w:rPr/>
        <w:t>with</w:t>
      </w:r>
      <w:r>
        <w:rPr>
          <w:spacing w:val="-4"/>
        </w:rPr>
        <w:t> </w:t>
      </w:r>
      <w:r>
        <w:rPr/>
        <w:t>other</w:t>
      </w:r>
      <w:r>
        <w:rPr>
          <w:spacing w:val="-3"/>
        </w:rPr>
        <w:t> </w:t>
      </w:r>
      <w:r>
        <w:rPr/>
        <w:t>agencies</w:t>
      </w:r>
      <w:r>
        <w:rPr>
          <w:spacing w:val="-1"/>
        </w:rPr>
        <w:t> </w:t>
      </w:r>
      <w:r>
        <w:rPr/>
        <w:t>and</w:t>
      </w:r>
      <w:r>
        <w:rPr>
          <w:spacing w:val="-2"/>
        </w:rPr>
        <w:t> </w:t>
      </w:r>
      <w:r>
        <w:rPr/>
        <w:t>landowners.</w:t>
      </w:r>
      <w:r>
        <w:rPr>
          <w:spacing w:val="-1"/>
        </w:rPr>
        <w:t> </w:t>
      </w:r>
      <w:r>
        <w:rPr/>
        <w:t>Restoration</w:t>
      </w:r>
      <w:r>
        <w:rPr>
          <w:spacing w:val="-4"/>
        </w:rPr>
        <w:t> </w:t>
      </w:r>
      <w:r>
        <w:rPr/>
        <w:t>of</w:t>
      </w:r>
      <w:r>
        <w:rPr>
          <w:spacing w:val="-1"/>
        </w:rPr>
        <w:t> </w:t>
      </w:r>
      <w:r>
        <w:rPr/>
        <w:t>ecosystem elements</w:t>
      </w:r>
      <w:r>
        <w:rPr>
          <w:spacing w:val="-3"/>
        </w:rPr>
        <w:t> </w:t>
      </w:r>
      <w:r>
        <w:rPr/>
        <w:t>to</w:t>
      </w:r>
      <w:r>
        <w:rPr>
          <w:spacing w:val="-2"/>
        </w:rPr>
        <w:t> </w:t>
      </w:r>
      <w:r>
        <w:rPr/>
        <w:t>resist re-infestation should be considered as part of treatment prescriptions. Appropriate seeding, planting, or mulching methods should be used to rehabilitate degraded sites resulting from invasive</w:t>
      </w:r>
      <w:r>
        <w:rPr>
          <w:spacing w:val="-8"/>
        </w:rPr>
        <w:t> </w:t>
      </w:r>
      <w:r>
        <w:rPr/>
        <w:t>plants,</w:t>
      </w:r>
      <w:r>
        <w:rPr>
          <w:spacing w:val="-6"/>
        </w:rPr>
        <w:t> </w:t>
      </w:r>
      <w:r>
        <w:rPr/>
        <w:t>forest</w:t>
      </w:r>
      <w:r>
        <w:rPr>
          <w:spacing w:val="-8"/>
        </w:rPr>
        <w:t> </w:t>
      </w:r>
      <w:r>
        <w:rPr/>
        <w:t>management</w:t>
      </w:r>
      <w:r>
        <w:rPr>
          <w:spacing w:val="-8"/>
        </w:rPr>
        <w:t> </w:t>
      </w:r>
      <w:r>
        <w:rPr/>
        <w:t>activities,</w:t>
      </w:r>
      <w:r>
        <w:rPr>
          <w:spacing w:val="-6"/>
        </w:rPr>
        <w:t> </w:t>
      </w:r>
      <w:r>
        <w:rPr/>
        <w:t>or</w:t>
      </w:r>
      <w:r>
        <w:rPr>
          <w:spacing w:val="-6"/>
        </w:rPr>
        <w:t> </w:t>
      </w:r>
      <w:r>
        <w:rPr/>
        <w:t>other</w:t>
      </w:r>
      <w:r>
        <w:rPr>
          <w:spacing w:val="-6"/>
        </w:rPr>
        <w:t> </w:t>
      </w:r>
      <w:r>
        <w:rPr/>
        <w:t>disturbances</w:t>
      </w:r>
      <w:r>
        <w:rPr>
          <w:spacing w:val="-8"/>
        </w:rPr>
        <w:t> </w:t>
      </w:r>
      <w:r>
        <w:rPr/>
        <w:t>when</w:t>
      </w:r>
      <w:r>
        <w:rPr>
          <w:spacing w:val="-7"/>
        </w:rPr>
        <w:t> </w:t>
      </w:r>
      <w:r>
        <w:rPr/>
        <w:t>necessary</w:t>
      </w:r>
      <w:r>
        <w:rPr>
          <w:spacing w:val="-6"/>
        </w:rPr>
        <w:t> </w:t>
      </w:r>
      <w:r>
        <w:rPr/>
        <w:t>to</w:t>
      </w:r>
      <w:r>
        <w:rPr>
          <w:spacing w:val="-7"/>
        </w:rPr>
        <w:t> </w:t>
      </w:r>
      <w:r>
        <w:rPr/>
        <w:t>prevent reinvasion and promote ecosystem resiliency.</w:t>
      </w:r>
    </w:p>
    <w:p>
      <w:pPr>
        <w:pStyle w:val="BodyText"/>
        <w:spacing w:after="0" w:line="232" w:lineRule="auto"/>
        <w:sectPr>
          <w:pgSz w:w="12240" w:h="15840"/>
          <w:pgMar w:header="725" w:footer="891" w:top="960" w:bottom="1080" w:left="1080" w:right="720"/>
        </w:sectPr>
      </w:pPr>
    </w:p>
    <w:p>
      <w:pPr>
        <w:pStyle w:val="BodyText"/>
        <w:spacing w:before="198"/>
        <w:rPr>
          <w:sz w:val="26"/>
        </w:rPr>
      </w:pPr>
    </w:p>
    <w:p>
      <w:pPr>
        <w:pStyle w:val="Heading2"/>
      </w:pPr>
      <w:bookmarkStart w:name="Forestwide Direction – Social Systems" w:id="345"/>
      <w:bookmarkEnd w:id="345"/>
      <w:r>
        <w:rPr/>
      </w:r>
      <w:bookmarkStart w:name="_bookmark118" w:id="346"/>
      <w:bookmarkEnd w:id="346"/>
      <w:r>
        <w:rPr/>
      </w:r>
      <w:r>
        <w:rPr>
          <w:smallCaps/>
          <w:color w:val="475824"/>
        </w:rPr>
        <w:t>Forestwide</w:t>
      </w:r>
      <w:r>
        <w:rPr>
          <w:smallCaps/>
          <w:color w:val="475824"/>
          <w:spacing w:val="-17"/>
        </w:rPr>
        <w:t> </w:t>
      </w:r>
      <w:r>
        <w:rPr>
          <w:smallCaps/>
          <w:color w:val="475824"/>
        </w:rPr>
        <w:t>Direction</w:t>
      </w:r>
      <w:r>
        <w:rPr>
          <w:smallCaps/>
          <w:color w:val="475824"/>
          <w:spacing w:val="-11"/>
        </w:rPr>
        <w:t> </w:t>
      </w:r>
      <w:r>
        <w:rPr>
          <w:smallCaps/>
          <w:color w:val="475824"/>
        </w:rPr>
        <w:t>–</w:t>
      </w:r>
      <w:r>
        <w:rPr>
          <w:smallCaps/>
          <w:color w:val="475824"/>
          <w:spacing w:val="-18"/>
        </w:rPr>
        <w:t> </w:t>
      </w:r>
      <w:r>
        <w:rPr>
          <w:smallCaps/>
          <w:color w:val="475824"/>
        </w:rPr>
        <w:t>Social</w:t>
      </w:r>
      <w:r>
        <w:rPr>
          <w:smallCaps/>
          <w:color w:val="475824"/>
          <w:spacing w:val="-17"/>
        </w:rPr>
        <w:t> </w:t>
      </w:r>
      <w:r>
        <w:rPr>
          <w:smallCaps/>
          <w:color w:val="475824"/>
          <w:spacing w:val="-2"/>
        </w:rPr>
        <w:t>Systems</w:t>
      </w:r>
    </w:p>
    <w:p>
      <w:pPr>
        <w:pStyle w:val="BodyText"/>
        <w:spacing w:line="232" w:lineRule="auto" w:before="65"/>
        <w:ind w:left="360" w:right="1445"/>
      </w:pPr>
      <w:r>
        <w:rPr/>
        <w:t>This</w:t>
      </w:r>
      <w:r>
        <w:rPr>
          <w:spacing w:val="-6"/>
        </w:rPr>
        <w:t> </w:t>
      </w:r>
      <w:r>
        <w:rPr/>
        <w:t>section</w:t>
      </w:r>
      <w:r>
        <w:rPr>
          <w:spacing w:val="-7"/>
        </w:rPr>
        <w:t> </w:t>
      </w:r>
      <w:r>
        <w:rPr/>
        <w:t>contains</w:t>
      </w:r>
      <w:r>
        <w:rPr>
          <w:spacing w:val="-6"/>
        </w:rPr>
        <w:t> </w:t>
      </w:r>
      <w:r>
        <w:rPr/>
        <w:t>desired</w:t>
      </w:r>
      <w:r>
        <w:rPr>
          <w:spacing w:val="-7"/>
        </w:rPr>
        <w:t> </w:t>
      </w:r>
      <w:r>
        <w:rPr/>
        <w:t>conditions,</w:t>
      </w:r>
      <w:r>
        <w:rPr>
          <w:spacing w:val="-8"/>
        </w:rPr>
        <w:t> </w:t>
      </w:r>
      <w:r>
        <w:rPr/>
        <w:t>objectives,</w:t>
      </w:r>
      <w:r>
        <w:rPr>
          <w:spacing w:val="-8"/>
        </w:rPr>
        <w:t> </w:t>
      </w:r>
      <w:r>
        <w:rPr/>
        <w:t>standards,</w:t>
      </w:r>
      <w:r>
        <w:rPr>
          <w:spacing w:val="-6"/>
        </w:rPr>
        <w:t> </w:t>
      </w:r>
      <w:r>
        <w:rPr/>
        <w:t>and</w:t>
      </w:r>
      <w:r>
        <w:rPr>
          <w:spacing w:val="-7"/>
        </w:rPr>
        <w:t> </w:t>
      </w:r>
      <w:r>
        <w:rPr/>
        <w:t>guidelines</w:t>
      </w:r>
      <w:r>
        <w:rPr>
          <w:spacing w:val="-6"/>
        </w:rPr>
        <w:t> </w:t>
      </w:r>
      <w:r>
        <w:rPr/>
        <w:t>for</w:t>
      </w:r>
      <w:r>
        <w:rPr>
          <w:spacing w:val="-8"/>
        </w:rPr>
        <w:t> </w:t>
      </w:r>
      <w:r>
        <w:rPr/>
        <w:t>social</w:t>
      </w:r>
      <w:r>
        <w:rPr>
          <w:spacing w:val="-9"/>
        </w:rPr>
        <w:t> </w:t>
      </w:r>
      <w:r>
        <w:rPr/>
        <w:t>systems including: access, lands and special uses, livestock grazing, minerals, public awareness, recreation, renewable forest products, and scenery.</w:t>
      </w:r>
    </w:p>
    <w:p>
      <w:pPr>
        <w:pStyle w:val="BodyText"/>
        <w:spacing w:before="10"/>
        <w:rPr>
          <w:sz w:val="13"/>
        </w:rPr>
      </w:pPr>
      <w:r>
        <w:rPr>
          <w:sz w:val="13"/>
        </w:rPr>
        <w:drawing>
          <wp:anchor distT="0" distB="0" distL="0" distR="0" allowOverlap="1" layoutInCell="1" locked="0" behindDoc="1" simplePos="0" relativeHeight="487611392">
            <wp:simplePos x="0" y="0"/>
            <wp:positionH relativeFrom="page">
              <wp:posOffset>914400</wp:posOffset>
            </wp:positionH>
            <wp:positionV relativeFrom="paragraph">
              <wp:posOffset>122767</wp:posOffset>
            </wp:positionV>
            <wp:extent cx="4928381" cy="7141464"/>
            <wp:effectExtent l="0" t="0" r="0" b="0"/>
            <wp:wrapTopAndBottom/>
            <wp:docPr id="174" name="Image 174" descr="Collage showing ways in which people access and use national forest resources"/>
            <wp:cNvGraphicFramePr>
              <a:graphicFrameLocks/>
            </wp:cNvGraphicFramePr>
            <a:graphic>
              <a:graphicData uri="http://schemas.openxmlformats.org/drawingml/2006/picture">
                <pic:pic>
                  <pic:nvPicPr>
                    <pic:cNvPr id="174" name="Image 174" descr="Collage showing ways in which people access and use national forest resources"/>
                    <pic:cNvPicPr/>
                  </pic:nvPicPr>
                  <pic:blipFill>
                    <a:blip r:embed="rId56" cstate="print"/>
                    <a:stretch>
                      <a:fillRect/>
                    </a:stretch>
                  </pic:blipFill>
                  <pic:spPr>
                    <a:xfrm>
                      <a:off x="0" y="0"/>
                      <a:ext cx="4928381" cy="7141464"/>
                    </a:xfrm>
                    <a:prstGeom prst="rect">
                      <a:avLst/>
                    </a:prstGeom>
                  </pic:spPr>
                </pic:pic>
              </a:graphicData>
            </a:graphic>
          </wp:anchor>
        </w:drawing>
      </w:r>
    </w:p>
    <w:p>
      <w:pPr>
        <w:pStyle w:val="BodyText"/>
        <w:spacing w:after="0"/>
        <w:rPr>
          <w:sz w:val="13"/>
        </w:rPr>
        <w:sectPr>
          <w:pgSz w:w="12240" w:h="15840"/>
          <w:pgMar w:header="725" w:footer="891" w:top="960" w:bottom="1080" w:left="1080" w:right="720"/>
        </w:sectPr>
      </w:pPr>
    </w:p>
    <w:p>
      <w:pPr>
        <w:pStyle w:val="BodyText"/>
        <w:spacing w:before="207"/>
      </w:pPr>
    </w:p>
    <w:p>
      <w:pPr>
        <w:pStyle w:val="Heading3"/>
      </w:pPr>
      <w:bookmarkStart w:name="Forest Transportation System - Access Sy" w:id="347"/>
      <w:bookmarkEnd w:id="347"/>
      <w:r>
        <w:rPr>
          <w:b w:val="0"/>
        </w:rPr>
      </w:r>
      <w:bookmarkStart w:name="_bookmark119" w:id="348"/>
      <w:bookmarkEnd w:id="348"/>
      <w:r>
        <w:rPr>
          <w:b w:val="0"/>
        </w:rPr>
      </w:r>
      <w:r>
        <w:rPr>
          <w:smallCaps/>
          <w:color w:val="475824"/>
        </w:rPr>
        <w:t>Forest</w:t>
      </w:r>
      <w:r>
        <w:rPr>
          <w:smallCaps/>
          <w:color w:val="475824"/>
          <w:spacing w:val="-10"/>
        </w:rPr>
        <w:t> </w:t>
      </w:r>
      <w:r>
        <w:rPr>
          <w:smallCaps/>
          <w:color w:val="475824"/>
        </w:rPr>
        <w:t>Transportation</w:t>
      </w:r>
      <w:r>
        <w:rPr>
          <w:smallCaps/>
          <w:color w:val="475824"/>
          <w:spacing w:val="-6"/>
        </w:rPr>
        <w:t> </w:t>
      </w:r>
      <w:r>
        <w:rPr>
          <w:smallCaps/>
          <w:color w:val="475824"/>
        </w:rPr>
        <w:t>System</w:t>
      </w:r>
      <w:r>
        <w:rPr>
          <w:smallCaps/>
          <w:color w:val="475824"/>
          <w:spacing w:val="-5"/>
        </w:rPr>
        <w:t> </w:t>
      </w:r>
      <w:r>
        <w:rPr>
          <w:smallCaps/>
          <w:color w:val="475824"/>
        </w:rPr>
        <w:t>-</w:t>
      </w:r>
      <w:r>
        <w:rPr>
          <w:smallCaps/>
          <w:color w:val="475824"/>
          <w:spacing w:val="-16"/>
        </w:rPr>
        <w:t> </w:t>
      </w:r>
      <w:r>
        <w:rPr>
          <w:smallCaps/>
          <w:color w:val="475824"/>
        </w:rPr>
        <w:t>Access</w:t>
      </w:r>
      <w:r>
        <w:rPr>
          <w:smallCaps/>
          <w:color w:val="475824"/>
          <w:spacing w:val="-6"/>
        </w:rPr>
        <w:t> </w:t>
      </w:r>
      <w:r>
        <w:rPr>
          <w:smallCaps/>
          <w:color w:val="475824"/>
        </w:rPr>
        <w:t>System</w:t>
      </w:r>
      <w:r>
        <w:rPr>
          <w:smallCaps/>
          <w:color w:val="475824"/>
          <w:spacing w:val="-5"/>
        </w:rPr>
        <w:t> </w:t>
      </w:r>
      <w:r>
        <w:rPr>
          <w:smallCaps/>
          <w:color w:val="475824"/>
          <w:spacing w:val="-4"/>
        </w:rPr>
        <w:t>(AS)</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1904">
                <wp:simplePos x="0" y="0"/>
                <wp:positionH relativeFrom="page">
                  <wp:posOffset>1627632</wp:posOffset>
                </wp:positionH>
                <wp:positionV relativeFrom="paragraph">
                  <wp:posOffset>75420</wp:posOffset>
                </wp:positionV>
                <wp:extent cx="5248910" cy="341630"/>
                <wp:effectExtent l="0" t="0" r="0" b="0"/>
                <wp:wrapTopAndBottom/>
                <wp:docPr id="175" name="Textbox 175"/>
                <wp:cNvGraphicFramePr>
                  <a:graphicFrameLocks/>
                </wp:cNvGraphicFramePr>
                <a:graphic>
                  <a:graphicData uri="http://schemas.microsoft.com/office/word/2010/wordprocessingShape">
                    <wps:wsp>
                      <wps:cNvPr id="175" name="Textbox 175"/>
                      <wps:cNvSpPr txBox="1"/>
                      <wps:spPr>
                        <a:xfrm>
                          <a:off x="0" y="0"/>
                          <a:ext cx="5248910" cy="341630"/>
                        </a:xfrm>
                        <a:prstGeom prst="rect">
                          <a:avLst/>
                        </a:prstGeom>
                        <a:solidFill>
                          <a:srgbClr val="DFDFDF"/>
                        </a:solidFill>
                      </wps:spPr>
                      <wps:txbx>
                        <w:txbxContent>
                          <w:p>
                            <w:pPr>
                              <w:pStyle w:val="BodyText"/>
                              <w:ind w:left="28" w:right="120"/>
                              <w:rPr>
                                <w:color w:val="000000"/>
                              </w:rPr>
                            </w:pPr>
                            <w:r>
                              <w:rPr>
                                <w:color w:val="000000"/>
                              </w:rPr>
                              <w:t>All</w:t>
                            </w:r>
                            <w:r>
                              <w:rPr>
                                <w:color w:val="000000"/>
                                <w:spacing w:val="-2"/>
                              </w:rPr>
                              <w:t> </w:t>
                            </w:r>
                            <w:r>
                              <w:rPr>
                                <w:color w:val="000000"/>
                              </w:rPr>
                              <w:t>roads,</w:t>
                            </w:r>
                            <w:r>
                              <w:rPr>
                                <w:color w:val="000000"/>
                                <w:spacing w:val="-4"/>
                              </w:rPr>
                              <w:t> </w:t>
                            </w:r>
                            <w:r>
                              <w:rPr>
                                <w:color w:val="000000"/>
                              </w:rPr>
                              <w:t>trails,</w:t>
                            </w:r>
                            <w:r>
                              <w:rPr>
                                <w:color w:val="000000"/>
                                <w:spacing w:val="-2"/>
                              </w:rPr>
                              <w:t> </w:t>
                            </w:r>
                            <w:r>
                              <w:rPr>
                                <w:color w:val="000000"/>
                              </w:rPr>
                              <w:t>bridges</w:t>
                            </w:r>
                            <w:r>
                              <w:rPr>
                                <w:color w:val="000000"/>
                                <w:spacing w:val="-4"/>
                              </w:rPr>
                              <w:t> </w:t>
                            </w:r>
                            <w:r>
                              <w:rPr>
                                <w:color w:val="000000"/>
                              </w:rPr>
                              <w:t>and</w:t>
                            </w:r>
                            <w:r>
                              <w:rPr>
                                <w:color w:val="000000"/>
                                <w:spacing w:val="-3"/>
                              </w:rPr>
                              <w:t> </w:t>
                            </w:r>
                            <w:r>
                              <w:rPr>
                                <w:color w:val="000000"/>
                              </w:rPr>
                              <w:t>docks</w:t>
                            </w:r>
                            <w:r>
                              <w:rPr>
                                <w:color w:val="000000"/>
                                <w:spacing w:val="-4"/>
                              </w:rPr>
                              <w:t> </w:t>
                            </w:r>
                            <w:r>
                              <w:rPr>
                                <w:color w:val="000000"/>
                              </w:rPr>
                              <w:t>that</w:t>
                            </w:r>
                            <w:r>
                              <w:rPr>
                                <w:color w:val="000000"/>
                                <w:spacing w:val="-1"/>
                              </w:rPr>
                              <w:t> </w:t>
                            </w:r>
                            <w:r>
                              <w:rPr>
                                <w:color w:val="000000"/>
                              </w:rPr>
                              <w:t>are</w:t>
                            </w:r>
                            <w:r>
                              <w:rPr>
                                <w:color w:val="000000"/>
                                <w:spacing w:val="-4"/>
                              </w:rPr>
                              <w:t> </w:t>
                            </w:r>
                            <w:r>
                              <w:rPr>
                                <w:color w:val="000000"/>
                              </w:rPr>
                              <w:t>managed</w:t>
                            </w:r>
                            <w:r>
                              <w:rPr>
                                <w:color w:val="000000"/>
                                <w:spacing w:val="-5"/>
                              </w:rPr>
                              <w:t> </w:t>
                            </w:r>
                            <w:r>
                              <w:rPr>
                                <w:color w:val="000000"/>
                              </w:rPr>
                              <w:t>by</w:t>
                            </w:r>
                            <w:r>
                              <w:rPr>
                                <w:color w:val="000000"/>
                                <w:spacing w:val="-1"/>
                              </w:rPr>
                              <w:t> </w:t>
                            </w:r>
                            <w:r>
                              <w:rPr>
                                <w:color w:val="000000"/>
                              </w:rPr>
                              <w:t>the</w:t>
                            </w:r>
                            <w:r>
                              <w:rPr>
                                <w:color w:val="000000"/>
                                <w:spacing w:val="-1"/>
                              </w:rPr>
                              <w:t> </w:t>
                            </w:r>
                            <w:r>
                              <w:rPr>
                                <w:color w:val="000000"/>
                              </w:rPr>
                              <w:t>Forest</w:t>
                            </w:r>
                            <w:r>
                              <w:rPr>
                                <w:color w:val="000000"/>
                                <w:spacing w:val="-1"/>
                              </w:rPr>
                              <w:t> </w:t>
                            </w:r>
                            <w:r>
                              <w:rPr>
                                <w:color w:val="000000"/>
                              </w:rPr>
                              <w:t>to</w:t>
                            </w:r>
                            <w:r>
                              <w:rPr>
                                <w:color w:val="000000"/>
                                <w:spacing w:val="-1"/>
                              </w:rPr>
                              <w:t> </w:t>
                            </w:r>
                            <w:r>
                              <w:rPr>
                                <w:color w:val="000000"/>
                              </w:rPr>
                              <w:t>provide</w:t>
                            </w:r>
                            <w:r>
                              <w:rPr>
                                <w:color w:val="000000"/>
                                <w:spacing w:val="-1"/>
                              </w:rPr>
                              <w:t> </w:t>
                            </w:r>
                            <w:r>
                              <w:rPr>
                                <w:color w:val="000000"/>
                              </w:rPr>
                              <w:t>access</w:t>
                            </w:r>
                            <w:r>
                              <w:rPr>
                                <w:color w:val="000000"/>
                                <w:spacing w:val="-4"/>
                              </w:rPr>
                              <w:t> </w:t>
                            </w:r>
                            <w:r>
                              <w:rPr>
                                <w:color w:val="000000"/>
                              </w:rPr>
                              <w:t>on National Forest System lands are referred to in this document as the access system.</w:t>
                            </w:r>
                          </w:p>
                        </w:txbxContent>
                      </wps:txbx>
                      <wps:bodyPr wrap="square" lIns="0" tIns="0" rIns="0" bIns="0" rtlCol="0">
                        <a:noAutofit/>
                      </wps:bodyPr>
                    </wps:wsp>
                  </a:graphicData>
                </a:graphic>
              </wp:anchor>
            </w:drawing>
          </mc:Choice>
          <mc:Fallback>
            <w:pict>
              <v:shape style="position:absolute;margin-left:128.160004pt;margin-top:5.938584pt;width:413.3pt;height:26.9pt;mso-position-horizontal-relative:page;mso-position-vertical-relative:paragraph;z-index:-15704576;mso-wrap-distance-left:0;mso-wrap-distance-right:0" type="#_x0000_t202" id="docshape163" filled="true" fillcolor="#dfdfdf" stroked="false">
                <v:textbox inset="0,0,0,0">
                  <w:txbxContent>
                    <w:p>
                      <w:pPr>
                        <w:pStyle w:val="BodyText"/>
                        <w:ind w:left="28" w:right="120"/>
                        <w:rPr>
                          <w:color w:val="000000"/>
                        </w:rPr>
                      </w:pPr>
                      <w:r>
                        <w:rPr>
                          <w:color w:val="000000"/>
                        </w:rPr>
                        <w:t>All</w:t>
                      </w:r>
                      <w:r>
                        <w:rPr>
                          <w:color w:val="000000"/>
                          <w:spacing w:val="-2"/>
                        </w:rPr>
                        <w:t> </w:t>
                      </w:r>
                      <w:r>
                        <w:rPr>
                          <w:color w:val="000000"/>
                        </w:rPr>
                        <w:t>roads,</w:t>
                      </w:r>
                      <w:r>
                        <w:rPr>
                          <w:color w:val="000000"/>
                          <w:spacing w:val="-4"/>
                        </w:rPr>
                        <w:t> </w:t>
                      </w:r>
                      <w:r>
                        <w:rPr>
                          <w:color w:val="000000"/>
                        </w:rPr>
                        <w:t>trails,</w:t>
                      </w:r>
                      <w:r>
                        <w:rPr>
                          <w:color w:val="000000"/>
                          <w:spacing w:val="-2"/>
                        </w:rPr>
                        <w:t> </w:t>
                      </w:r>
                      <w:r>
                        <w:rPr>
                          <w:color w:val="000000"/>
                        </w:rPr>
                        <w:t>bridges</w:t>
                      </w:r>
                      <w:r>
                        <w:rPr>
                          <w:color w:val="000000"/>
                          <w:spacing w:val="-4"/>
                        </w:rPr>
                        <w:t> </w:t>
                      </w:r>
                      <w:r>
                        <w:rPr>
                          <w:color w:val="000000"/>
                        </w:rPr>
                        <w:t>and</w:t>
                      </w:r>
                      <w:r>
                        <w:rPr>
                          <w:color w:val="000000"/>
                          <w:spacing w:val="-3"/>
                        </w:rPr>
                        <w:t> </w:t>
                      </w:r>
                      <w:r>
                        <w:rPr>
                          <w:color w:val="000000"/>
                        </w:rPr>
                        <w:t>docks</w:t>
                      </w:r>
                      <w:r>
                        <w:rPr>
                          <w:color w:val="000000"/>
                          <w:spacing w:val="-4"/>
                        </w:rPr>
                        <w:t> </w:t>
                      </w:r>
                      <w:r>
                        <w:rPr>
                          <w:color w:val="000000"/>
                        </w:rPr>
                        <w:t>that</w:t>
                      </w:r>
                      <w:r>
                        <w:rPr>
                          <w:color w:val="000000"/>
                          <w:spacing w:val="-1"/>
                        </w:rPr>
                        <w:t> </w:t>
                      </w:r>
                      <w:r>
                        <w:rPr>
                          <w:color w:val="000000"/>
                        </w:rPr>
                        <w:t>are</w:t>
                      </w:r>
                      <w:r>
                        <w:rPr>
                          <w:color w:val="000000"/>
                          <w:spacing w:val="-4"/>
                        </w:rPr>
                        <w:t> </w:t>
                      </w:r>
                      <w:r>
                        <w:rPr>
                          <w:color w:val="000000"/>
                        </w:rPr>
                        <w:t>managed</w:t>
                      </w:r>
                      <w:r>
                        <w:rPr>
                          <w:color w:val="000000"/>
                          <w:spacing w:val="-5"/>
                        </w:rPr>
                        <w:t> </w:t>
                      </w:r>
                      <w:r>
                        <w:rPr>
                          <w:color w:val="000000"/>
                        </w:rPr>
                        <w:t>by</w:t>
                      </w:r>
                      <w:r>
                        <w:rPr>
                          <w:color w:val="000000"/>
                          <w:spacing w:val="-1"/>
                        </w:rPr>
                        <w:t> </w:t>
                      </w:r>
                      <w:r>
                        <w:rPr>
                          <w:color w:val="000000"/>
                        </w:rPr>
                        <w:t>the</w:t>
                      </w:r>
                      <w:r>
                        <w:rPr>
                          <w:color w:val="000000"/>
                          <w:spacing w:val="-1"/>
                        </w:rPr>
                        <w:t> </w:t>
                      </w:r>
                      <w:r>
                        <w:rPr>
                          <w:color w:val="000000"/>
                        </w:rPr>
                        <w:t>Forest</w:t>
                      </w:r>
                      <w:r>
                        <w:rPr>
                          <w:color w:val="000000"/>
                          <w:spacing w:val="-1"/>
                        </w:rPr>
                        <w:t> </w:t>
                      </w:r>
                      <w:r>
                        <w:rPr>
                          <w:color w:val="000000"/>
                        </w:rPr>
                        <w:t>to</w:t>
                      </w:r>
                      <w:r>
                        <w:rPr>
                          <w:color w:val="000000"/>
                          <w:spacing w:val="-1"/>
                        </w:rPr>
                        <w:t> </w:t>
                      </w:r>
                      <w:r>
                        <w:rPr>
                          <w:color w:val="000000"/>
                        </w:rPr>
                        <w:t>provide</w:t>
                      </w:r>
                      <w:r>
                        <w:rPr>
                          <w:color w:val="000000"/>
                          <w:spacing w:val="-1"/>
                        </w:rPr>
                        <w:t> </w:t>
                      </w:r>
                      <w:r>
                        <w:rPr>
                          <w:color w:val="000000"/>
                        </w:rPr>
                        <w:t>access</w:t>
                      </w:r>
                      <w:r>
                        <w:rPr>
                          <w:color w:val="000000"/>
                          <w:spacing w:val="-4"/>
                        </w:rPr>
                        <w:t> </w:t>
                      </w:r>
                      <w:r>
                        <w:rPr>
                          <w:color w:val="000000"/>
                        </w:rPr>
                        <w:t>on National Forest System lands are referred to in this document as the access system.</w:t>
                      </w:r>
                    </w:p>
                  </w:txbxContent>
                </v:textbox>
                <v:fill type="solid"/>
                <w10:wrap type="topAndBottom"/>
              </v:shape>
            </w:pict>
          </mc:Fallback>
        </mc:AlternateContent>
      </w:r>
    </w:p>
    <w:p>
      <w:pPr>
        <w:pStyle w:val="Heading4"/>
        <w:spacing w:before="240"/>
        <w:ind w:left="1151"/>
      </w:pPr>
      <w:bookmarkStart w:name="Desired Conditions" w:id="349"/>
      <w:bookmarkEnd w:id="349"/>
      <w:r>
        <w:rPr/>
      </w:r>
      <w:bookmarkStart w:name="_bookmark120" w:id="350"/>
      <w:bookmarkEnd w:id="350"/>
      <w:r>
        <w:rPr/>
      </w:r>
      <w:r>
        <w:rPr/>
        <w:t>Desired</w:t>
      </w:r>
      <w:r>
        <w:rPr>
          <w:spacing w:val="-4"/>
        </w:rPr>
        <w:t> </w:t>
      </w:r>
      <w:r>
        <w:rPr>
          <w:spacing w:val="-2"/>
        </w:rPr>
        <w:t>Conditions</w:t>
      </w:r>
    </w:p>
    <w:p>
      <w:pPr>
        <w:spacing w:before="240"/>
        <w:ind w:left="1151" w:right="0" w:firstLine="0"/>
        <w:jc w:val="left"/>
        <w:rPr>
          <w:rFonts w:ascii="Arial"/>
          <w:i/>
          <w:sz w:val="22"/>
        </w:rPr>
      </w:pPr>
      <w:bookmarkStart w:name="FW-DC-AS-01. Access System" w:id="351"/>
      <w:bookmarkEnd w:id="351"/>
      <w:r>
        <w:rPr/>
      </w:r>
      <w:r>
        <w:rPr>
          <w:rFonts w:ascii="Arial"/>
          <w:i/>
          <w:sz w:val="22"/>
        </w:rPr>
        <w:t>FW-DC-AS-01.</w:t>
      </w:r>
      <w:r>
        <w:rPr>
          <w:rFonts w:ascii="Arial"/>
          <w:i/>
          <w:spacing w:val="-7"/>
          <w:sz w:val="22"/>
        </w:rPr>
        <w:t> </w:t>
      </w:r>
      <w:r>
        <w:rPr>
          <w:rFonts w:ascii="Arial"/>
          <w:i/>
          <w:sz w:val="22"/>
        </w:rPr>
        <w:t>Access</w:t>
      </w:r>
      <w:r>
        <w:rPr>
          <w:rFonts w:ascii="Arial"/>
          <w:i/>
          <w:spacing w:val="-9"/>
          <w:sz w:val="22"/>
        </w:rPr>
        <w:t> </w:t>
      </w:r>
      <w:r>
        <w:rPr>
          <w:rFonts w:ascii="Arial"/>
          <w:i/>
          <w:spacing w:val="-2"/>
          <w:sz w:val="22"/>
        </w:rPr>
        <w:t>System</w:t>
      </w:r>
    </w:p>
    <w:p>
      <w:pPr>
        <w:pStyle w:val="BodyText"/>
        <w:spacing w:line="232" w:lineRule="auto" w:before="67"/>
        <w:ind w:left="1152" w:right="742"/>
      </w:pPr>
      <w:r>
        <w:rPr/>
        <w:t>The access system of authorized roads, bridges, trails, and docks is safe and sustainable; responds to administrative and public needs to the extent practicable; meets obligations to public</w:t>
      </w:r>
      <w:r>
        <w:rPr>
          <w:spacing w:val="-5"/>
        </w:rPr>
        <w:t> </w:t>
      </w:r>
      <w:r>
        <w:rPr/>
        <w:t>and</w:t>
      </w:r>
      <w:r>
        <w:rPr>
          <w:spacing w:val="-6"/>
        </w:rPr>
        <w:t> </w:t>
      </w:r>
      <w:r>
        <w:rPr/>
        <w:t>private</w:t>
      </w:r>
      <w:r>
        <w:rPr>
          <w:spacing w:val="-7"/>
        </w:rPr>
        <w:t> </w:t>
      </w:r>
      <w:r>
        <w:rPr/>
        <w:t>cooperators;</w:t>
      </w:r>
      <w:r>
        <w:rPr>
          <w:spacing w:val="-4"/>
        </w:rPr>
        <w:t> </w:t>
      </w:r>
      <w:r>
        <w:rPr/>
        <w:t>and</w:t>
      </w:r>
      <w:r>
        <w:rPr>
          <w:spacing w:val="-6"/>
        </w:rPr>
        <w:t> </w:t>
      </w:r>
      <w:r>
        <w:rPr/>
        <w:t>is</w:t>
      </w:r>
      <w:r>
        <w:rPr>
          <w:spacing w:val="-7"/>
        </w:rPr>
        <w:t> </w:t>
      </w:r>
      <w:r>
        <w:rPr/>
        <w:t>actively</w:t>
      </w:r>
      <w:r>
        <w:rPr>
          <w:spacing w:val="-9"/>
        </w:rPr>
        <w:t> </w:t>
      </w:r>
      <w:r>
        <w:rPr/>
        <w:t>managed</w:t>
      </w:r>
      <w:r>
        <w:rPr>
          <w:spacing w:val="-6"/>
        </w:rPr>
        <w:t> </w:t>
      </w:r>
      <w:r>
        <w:rPr/>
        <w:t>and</w:t>
      </w:r>
      <w:r>
        <w:rPr>
          <w:spacing w:val="-6"/>
        </w:rPr>
        <w:t> </w:t>
      </w:r>
      <w:r>
        <w:rPr/>
        <w:t>adjusted</w:t>
      </w:r>
      <w:r>
        <w:rPr>
          <w:spacing w:val="-6"/>
        </w:rPr>
        <w:t> </w:t>
      </w:r>
      <w:r>
        <w:rPr/>
        <w:t>to</w:t>
      </w:r>
      <w:r>
        <w:rPr>
          <w:spacing w:val="-4"/>
        </w:rPr>
        <w:t> </w:t>
      </w:r>
      <w:r>
        <w:rPr/>
        <w:t>respond</w:t>
      </w:r>
      <w:r>
        <w:rPr>
          <w:spacing w:val="-8"/>
        </w:rPr>
        <w:t> </w:t>
      </w:r>
      <w:r>
        <w:rPr/>
        <w:t>to</w:t>
      </w:r>
      <w:r>
        <w:rPr>
          <w:spacing w:val="-4"/>
        </w:rPr>
        <w:t> </w:t>
      </w:r>
      <w:r>
        <w:rPr/>
        <w:t>and</w:t>
      </w:r>
      <w:r>
        <w:rPr>
          <w:spacing w:val="-6"/>
        </w:rPr>
        <w:t> </w:t>
      </w:r>
      <w:r>
        <w:rPr/>
        <w:t>balance changing social, ecological, and economic conditions.</w:t>
      </w:r>
    </w:p>
    <w:p>
      <w:pPr>
        <w:pStyle w:val="BodyText"/>
        <w:spacing w:line="232" w:lineRule="auto" w:before="196"/>
        <w:ind w:left="1151" w:right="742"/>
      </w:pPr>
      <w:r>
        <w:rPr/>
        <w:t>The system provides public and administrative access where suitable and supports forest management objectives. Road and trail rights-of-way to access National Forest System lands address</w:t>
      </w:r>
      <w:r>
        <w:rPr>
          <w:spacing w:val="-7"/>
        </w:rPr>
        <w:t> </w:t>
      </w:r>
      <w:r>
        <w:rPr/>
        <w:t>public</w:t>
      </w:r>
      <w:r>
        <w:rPr>
          <w:spacing w:val="-7"/>
        </w:rPr>
        <w:t> </w:t>
      </w:r>
      <w:r>
        <w:rPr/>
        <w:t>needs</w:t>
      </w:r>
      <w:r>
        <w:rPr>
          <w:spacing w:val="-7"/>
        </w:rPr>
        <w:t> </w:t>
      </w:r>
      <w:r>
        <w:rPr/>
        <w:t>and</w:t>
      </w:r>
      <w:r>
        <w:rPr>
          <w:spacing w:val="-8"/>
        </w:rPr>
        <w:t> </w:t>
      </w:r>
      <w:r>
        <w:rPr/>
        <w:t>facilitate</w:t>
      </w:r>
      <w:r>
        <w:rPr>
          <w:spacing w:val="-6"/>
        </w:rPr>
        <w:t> </w:t>
      </w:r>
      <w:r>
        <w:rPr/>
        <w:t>planned</w:t>
      </w:r>
      <w:r>
        <w:rPr>
          <w:spacing w:val="-9"/>
        </w:rPr>
        <w:t> </w:t>
      </w:r>
      <w:r>
        <w:rPr/>
        <w:t>resource</w:t>
      </w:r>
      <w:r>
        <w:rPr>
          <w:spacing w:val="-8"/>
        </w:rPr>
        <w:t> </w:t>
      </w:r>
      <w:r>
        <w:rPr/>
        <w:t>activities.</w:t>
      </w:r>
      <w:r>
        <w:rPr>
          <w:spacing w:val="-7"/>
        </w:rPr>
        <w:t> </w:t>
      </w:r>
      <w:r>
        <w:rPr/>
        <w:t>All</w:t>
      </w:r>
      <w:r>
        <w:rPr>
          <w:spacing w:val="-7"/>
        </w:rPr>
        <w:t> </w:t>
      </w:r>
      <w:r>
        <w:rPr/>
        <w:t>National</w:t>
      </w:r>
      <w:r>
        <w:rPr>
          <w:spacing w:val="-7"/>
        </w:rPr>
        <w:t> </w:t>
      </w:r>
      <w:r>
        <w:rPr/>
        <w:t>Forest</w:t>
      </w:r>
      <w:r>
        <w:rPr>
          <w:spacing w:val="-6"/>
        </w:rPr>
        <w:t> </w:t>
      </w:r>
      <w:r>
        <w:rPr/>
        <w:t>System</w:t>
      </w:r>
      <w:r>
        <w:rPr>
          <w:spacing w:val="-6"/>
        </w:rPr>
        <w:t> </w:t>
      </w:r>
      <w:r>
        <w:rPr/>
        <w:t>roads and trails have legal access for crossing non-National Forest System lands.</w:t>
      </w:r>
    </w:p>
    <w:p>
      <w:pPr>
        <w:pStyle w:val="BodyText"/>
        <w:spacing w:line="232" w:lineRule="auto" w:before="199"/>
        <w:ind w:left="1151" w:right="824"/>
      </w:pPr>
      <w:r>
        <w:rPr/>
        <w:t>The system is maintained commensurate with maintenance levels, levels of use,</w:t>
      </w:r>
      <w:r>
        <w:rPr>
          <w:spacing w:val="-1"/>
        </w:rPr>
        <w:t> </w:t>
      </w:r>
      <w:r>
        <w:rPr/>
        <w:t>and available funding.</w:t>
      </w:r>
      <w:r>
        <w:rPr>
          <w:spacing w:val="-5"/>
        </w:rPr>
        <w:t> </w:t>
      </w:r>
      <w:r>
        <w:rPr/>
        <w:t>Roads,</w:t>
      </w:r>
      <w:r>
        <w:rPr>
          <w:spacing w:val="-5"/>
        </w:rPr>
        <w:t> </w:t>
      </w:r>
      <w:r>
        <w:rPr/>
        <w:t>trails,</w:t>
      </w:r>
      <w:r>
        <w:rPr>
          <w:spacing w:val="-5"/>
        </w:rPr>
        <w:t> </w:t>
      </w:r>
      <w:r>
        <w:rPr/>
        <w:t>and</w:t>
      </w:r>
      <w:r>
        <w:rPr>
          <w:spacing w:val="-7"/>
        </w:rPr>
        <w:t> </w:t>
      </w:r>
      <w:r>
        <w:rPr/>
        <w:t>areas</w:t>
      </w:r>
      <w:r>
        <w:rPr>
          <w:spacing w:val="-6"/>
        </w:rPr>
        <w:t> </w:t>
      </w:r>
      <w:r>
        <w:rPr/>
        <w:t>that</w:t>
      </w:r>
      <w:r>
        <w:rPr>
          <w:spacing w:val="-4"/>
        </w:rPr>
        <w:t> </w:t>
      </w:r>
      <w:r>
        <w:rPr/>
        <w:t>are</w:t>
      </w:r>
      <w:r>
        <w:rPr>
          <w:spacing w:val="-6"/>
        </w:rPr>
        <w:t> </w:t>
      </w:r>
      <w:r>
        <w:rPr/>
        <w:t>open</w:t>
      </w:r>
      <w:r>
        <w:rPr>
          <w:spacing w:val="-5"/>
        </w:rPr>
        <w:t> </w:t>
      </w:r>
      <w:r>
        <w:rPr/>
        <w:t>to</w:t>
      </w:r>
      <w:r>
        <w:rPr>
          <w:spacing w:val="-5"/>
        </w:rPr>
        <w:t> </w:t>
      </w:r>
      <w:r>
        <w:rPr/>
        <w:t>motor</w:t>
      </w:r>
      <w:r>
        <w:rPr>
          <w:spacing w:val="-5"/>
        </w:rPr>
        <w:t> </w:t>
      </w:r>
      <w:r>
        <w:rPr/>
        <w:t>vehicle</w:t>
      </w:r>
      <w:r>
        <w:rPr>
          <w:spacing w:val="-6"/>
        </w:rPr>
        <w:t> </w:t>
      </w:r>
      <w:r>
        <w:rPr/>
        <w:t>use</w:t>
      </w:r>
      <w:r>
        <w:rPr>
          <w:spacing w:val="-4"/>
        </w:rPr>
        <w:t> </w:t>
      </w:r>
      <w:r>
        <w:rPr/>
        <w:t>are</w:t>
      </w:r>
      <w:r>
        <w:rPr>
          <w:spacing w:val="-4"/>
        </w:rPr>
        <w:t> </w:t>
      </w:r>
      <w:r>
        <w:rPr/>
        <w:t>designated</w:t>
      </w:r>
      <w:r>
        <w:rPr>
          <w:spacing w:val="-5"/>
        </w:rPr>
        <w:t> </w:t>
      </w:r>
      <w:r>
        <w:rPr/>
        <w:t>through</w:t>
      </w:r>
      <w:r>
        <w:rPr>
          <w:spacing w:val="-5"/>
        </w:rPr>
        <w:t> </w:t>
      </w:r>
      <w:r>
        <w:rPr/>
        <w:t>the motor vehicle use</w:t>
      </w:r>
      <w:r>
        <w:rPr>
          <w:spacing w:val="-2"/>
        </w:rPr>
        <w:t> </w:t>
      </w:r>
      <w:r>
        <w:rPr/>
        <w:t>map. The access system (including</w:t>
      </w:r>
      <w:r>
        <w:rPr>
          <w:spacing w:val="-1"/>
        </w:rPr>
        <w:t> </w:t>
      </w:r>
      <w:r>
        <w:rPr/>
        <w:t>non-system and unauthorized roads) are assessed</w:t>
      </w:r>
      <w:r>
        <w:rPr>
          <w:spacing w:val="-5"/>
        </w:rPr>
        <w:t> </w:t>
      </w:r>
      <w:r>
        <w:rPr/>
        <w:t>at</w:t>
      </w:r>
      <w:r>
        <w:rPr>
          <w:spacing w:val="-1"/>
        </w:rPr>
        <w:t> </w:t>
      </w:r>
      <w:r>
        <w:rPr/>
        <w:t>the</w:t>
      </w:r>
      <w:r>
        <w:rPr>
          <w:spacing w:val="-1"/>
        </w:rPr>
        <w:t> </w:t>
      </w:r>
      <w:r>
        <w:rPr/>
        <w:t>sub-watershed</w:t>
      </w:r>
      <w:r>
        <w:rPr>
          <w:spacing w:val="-3"/>
        </w:rPr>
        <w:t> </w:t>
      </w:r>
      <w:r>
        <w:rPr/>
        <w:t>scale.</w:t>
      </w:r>
      <w:r>
        <w:rPr>
          <w:spacing w:val="-5"/>
        </w:rPr>
        <w:t> </w:t>
      </w:r>
      <w:r>
        <w:rPr/>
        <w:t>Determinations</w:t>
      </w:r>
      <w:r>
        <w:rPr>
          <w:spacing w:val="-2"/>
        </w:rPr>
        <w:t> </w:t>
      </w:r>
      <w:r>
        <w:rPr/>
        <w:t>regarding</w:t>
      </w:r>
      <w:r>
        <w:rPr>
          <w:spacing w:val="-3"/>
        </w:rPr>
        <w:t> </w:t>
      </w:r>
      <w:r>
        <w:rPr/>
        <w:t>excess</w:t>
      </w:r>
      <w:r>
        <w:rPr>
          <w:spacing w:val="-2"/>
        </w:rPr>
        <w:t> </w:t>
      </w:r>
      <w:r>
        <w:rPr/>
        <w:t>National</w:t>
      </w:r>
      <w:r>
        <w:rPr>
          <w:spacing w:val="-2"/>
        </w:rPr>
        <w:t> </w:t>
      </w:r>
      <w:r>
        <w:rPr/>
        <w:t>Forest</w:t>
      </w:r>
      <w:r>
        <w:rPr>
          <w:spacing w:val="-1"/>
        </w:rPr>
        <w:t> </w:t>
      </w:r>
      <w:r>
        <w:rPr/>
        <w:t>System, non-system, and unauthorized roads are made at the project level.</w:t>
      </w:r>
    </w:p>
    <w:p>
      <w:pPr>
        <w:pStyle w:val="BodyText"/>
        <w:spacing w:line="232" w:lineRule="auto" w:before="198"/>
        <w:ind w:left="1151" w:right="742"/>
      </w:pPr>
      <w:r>
        <w:rPr/>
        <w:t>The size of the access system is such that each road and trail can be maintained to its assigned maintenance level and each bridge meets structural standards. Maintenance standards are set considering access needs, use, environmental impacts, and the ability to fund long-term maintenance</w:t>
      </w:r>
      <w:r>
        <w:rPr>
          <w:spacing w:val="-5"/>
        </w:rPr>
        <w:t> </w:t>
      </w:r>
      <w:r>
        <w:rPr/>
        <w:t>needs.</w:t>
      </w:r>
      <w:r>
        <w:rPr>
          <w:spacing w:val="-9"/>
        </w:rPr>
        <w:t> </w:t>
      </w:r>
      <w:r>
        <w:rPr/>
        <w:t>All</w:t>
      </w:r>
      <w:r>
        <w:rPr>
          <w:spacing w:val="-6"/>
        </w:rPr>
        <w:t> </w:t>
      </w:r>
      <w:r>
        <w:rPr/>
        <w:t>commercial</w:t>
      </w:r>
      <w:r>
        <w:rPr>
          <w:spacing w:val="-6"/>
        </w:rPr>
        <w:t> </w:t>
      </w:r>
      <w:r>
        <w:rPr/>
        <w:t>users</w:t>
      </w:r>
      <w:r>
        <w:rPr>
          <w:spacing w:val="-6"/>
        </w:rPr>
        <w:t> </w:t>
      </w:r>
      <w:r>
        <w:rPr/>
        <w:t>and</w:t>
      </w:r>
      <w:r>
        <w:rPr>
          <w:spacing w:val="-9"/>
        </w:rPr>
        <w:t> </w:t>
      </w:r>
      <w:r>
        <w:rPr/>
        <w:t>other</w:t>
      </w:r>
      <w:r>
        <w:rPr>
          <w:spacing w:val="-8"/>
        </w:rPr>
        <w:t> </w:t>
      </w:r>
      <w:r>
        <w:rPr/>
        <w:t>authorization</w:t>
      </w:r>
      <w:r>
        <w:rPr>
          <w:spacing w:val="-7"/>
        </w:rPr>
        <w:t> </w:t>
      </w:r>
      <w:r>
        <w:rPr/>
        <w:t>holders</w:t>
      </w:r>
      <w:r>
        <w:rPr>
          <w:spacing w:val="-6"/>
        </w:rPr>
        <w:t> </w:t>
      </w:r>
      <w:r>
        <w:rPr/>
        <w:t>using</w:t>
      </w:r>
      <w:r>
        <w:rPr>
          <w:spacing w:val="-7"/>
        </w:rPr>
        <w:t> </w:t>
      </w:r>
      <w:r>
        <w:rPr/>
        <w:t>National</w:t>
      </w:r>
      <w:r>
        <w:rPr>
          <w:spacing w:val="-6"/>
        </w:rPr>
        <w:t> </w:t>
      </w:r>
      <w:r>
        <w:rPr/>
        <w:t>Forest System roads share in the costs of maintaining the roads they use.</w:t>
      </w:r>
    </w:p>
    <w:p>
      <w:pPr>
        <w:spacing w:before="222"/>
        <w:ind w:left="1150" w:right="0" w:firstLine="0"/>
        <w:jc w:val="left"/>
        <w:rPr>
          <w:rFonts w:ascii="Arial" w:hAnsi="Arial"/>
          <w:i/>
          <w:sz w:val="22"/>
        </w:rPr>
      </w:pPr>
      <w:bookmarkStart w:name="FW-DC-AS-02. Trail System ( Motorized an" w:id="352"/>
      <w:bookmarkEnd w:id="352"/>
      <w:r>
        <w:rPr/>
      </w:r>
      <w:r>
        <w:rPr>
          <w:rFonts w:ascii="Arial" w:hAnsi="Arial"/>
          <w:i/>
          <w:sz w:val="22"/>
        </w:rPr>
        <w:t>FW-DC-AS-02.</w:t>
      </w:r>
      <w:r>
        <w:rPr>
          <w:rFonts w:ascii="Arial" w:hAnsi="Arial"/>
          <w:i/>
          <w:spacing w:val="-5"/>
          <w:sz w:val="22"/>
        </w:rPr>
        <w:t> </w:t>
      </w:r>
      <w:r>
        <w:rPr>
          <w:rFonts w:ascii="Arial" w:hAnsi="Arial"/>
          <w:i/>
          <w:sz w:val="22"/>
        </w:rPr>
        <w:t>Trail</w:t>
      </w:r>
      <w:r>
        <w:rPr>
          <w:rFonts w:ascii="Arial" w:hAnsi="Arial"/>
          <w:i/>
          <w:spacing w:val="-7"/>
          <w:sz w:val="22"/>
        </w:rPr>
        <w:t> </w:t>
      </w:r>
      <w:r>
        <w:rPr>
          <w:rFonts w:ascii="Arial" w:hAnsi="Arial"/>
          <w:i/>
          <w:sz w:val="22"/>
        </w:rPr>
        <w:t>System</w:t>
      </w:r>
      <w:r>
        <w:rPr>
          <w:rFonts w:ascii="Arial" w:hAnsi="Arial"/>
          <w:i/>
          <w:spacing w:val="-7"/>
          <w:sz w:val="22"/>
        </w:rPr>
        <w:t> </w:t>
      </w:r>
      <w:r>
        <w:rPr>
          <w:rFonts w:ascii="Symbol" w:hAnsi="Symbol"/>
          <w:i/>
          <w:sz w:val="23"/>
        </w:rPr>
        <w:t></w:t>
      </w:r>
      <w:r>
        <w:rPr>
          <w:rFonts w:ascii="Times New Roman" w:hAnsi="Times New Roman"/>
          <w:spacing w:val="-3"/>
          <w:sz w:val="23"/>
        </w:rPr>
        <w:t> </w:t>
      </w:r>
      <w:r>
        <w:rPr>
          <w:rFonts w:ascii="Arial" w:hAnsi="Arial"/>
          <w:i/>
          <w:sz w:val="22"/>
        </w:rPr>
        <w:t>Motorized</w:t>
      </w:r>
      <w:r>
        <w:rPr>
          <w:rFonts w:ascii="Arial" w:hAnsi="Arial"/>
          <w:i/>
          <w:spacing w:val="-7"/>
          <w:sz w:val="22"/>
        </w:rPr>
        <w:t> </w:t>
      </w:r>
      <w:r>
        <w:rPr>
          <w:rFonts w:ascii="Arial" w:hAnsi="Arial"/>
          <w:i/>
          <w:sz w:val="22"/>
        </w:rPr>
        <w:t>and</w:t>
      </w:r>
      <w:r>
        <w:rPr>
          <w:rFonts w:ascii="Arial" w:hAnsi="Arial"/>
          <w:i/>
          <w:spacing w:val="-7"/>
          <w:sz w:val="22"/>
        </w:rPr>
        <w:t> </w:t>
      </w:r>
      <w:r>
        <w:rPr>
          <w:rFonts w:ascii="Arial" w:hAnsi="Arial"/>
          <w:i/>
          <w:sz w:val="22"/>
        </w:rPr>
        <w:t>Non-</w:t>
      </w:r>
      <w:r>
        <w:rPr>
          <w:rFonts w:ascii="Arial" w:hAnsi="Arial"/>
          <w:i/>
          <w:spacing w:val="-2"/>
          <w:sz w:val="22"/>
        </w:rPr>
        <w:t>Motorized</w:t>
      </w:r>
    </w:p>
    <w:p>
      <w:pPr>
        <w:pStyle w:val="BodyText"/>
        <w:spacing w:line="232" w:lineRule="auto" w:before="63"/>
        <w:ind w:left="1152" w:right="801"/>
      </w:pPr>
      <w:r>
        <w:rPr/>
        <w:t>A variety of summer and winter system trails provide a range of difficulty and seclusion levels for</w:t>
      </w:r>
      <w:r>
        <w:rPr>
          <w:spacing w:val="-4"/>
        </w:rPr>
        <w:t> </w:t>
      </w:r>
      <w:r>
        <w:rPr/>
        <w:t>the</w:t>
      </w:r>
      <w:r>
        <w:rPr>
          <w:spacing w:val="-8"/>
        </w:rPr>
        <w:t> </w:t>
      </w:r>
      <w:r>
        <w:rPr/>
        <w:t>various</w:t>
      </w:r>
      <w:r>
        <w:rPr>
          <w:spacing w:val="-6"/>
        </w:rPr>
        <w:t> </w:t>
      </w:r>
      <w:r>
        <w:rPr/>
        <w:t>user</w:t>
      </w:r>
      <w:r>
        <w:rPr>
          <w:spacing w:val="-6"/>
        </w:rPr>
        <w:t> </w:t>
      </w:r>
      <w:r>
        <w:rPr/>
        <w:t>types;</w:t>
      </w:r>
      <w:r>
        <w:rPr>
          <w:spacing w:val="-5"/>
        </w:rPr>
        <w:t> </w:t>
      </w:r>
      <w:r>
        <w:rPr/>
        <w:t>are</w:t>
      </w:r>
      <w:r>
        <w:rPr>
          <w:spacing w:val="-3"/>
        </w:rPr>
        <w:t> </w:t>
      </w:r>
      <w:r>
        <w:rPr/>
        <w:t>located</w:t>
      </w:r>
      <w:r>
        <w:rPr>
          <w:spacing w:val="-5"/>
        </w:rPr>
        <w:t> </w:t>
      </w:r>
      <w:r>
        <w:rPr/>
        <w:t>in</w:t>
      </w:r>
      <w:r>
        <w:rPr>
          <w:spacing w:val="-5"/>
        </w:rPr>
        <w:t> </w:t>
      </w:r>
      <w:r>
        <w:rPr/>
        <w:t>diverse</w:t>
      </w:r>
      <w:r>
        <w:rPr>
          <w:spacing w:val="-6"/>
        </w:rPr>
        <w:t> </w:t>
      </w:r>
      <w:r>
        <w:rPr/>
        <w:t>ecological,</w:t>
      </w:r>
      <w:r>
        <w:rPr>
          <w:spacing w:val="-4"/>
        </w:rPr>
        <w:t> </w:t>
      </w:r>
      <w:r>
        <w:rPr/>
        <w:t>geological,</w:t>
      </w:r>
      <w:r>
        <w:rPr>
          <w:spacing w:val="-4"/>
        </w:rPr>
        <w:t> </w:t>
      </w:r>
      <w:r>
        <w:rPr/>
        <w:t>and</w:t>
      </w:r>
      <w:r>
        <w:rPr>
          <w:spacing w:val="-5"/>
        </w:rPr>
        <w:t> </w:t>
      </w:r>
      <w:r>
        <w:rPr/>
        <w:t>scenic</w:t>
      </w:r>
      <w:r>
        <w:rPr>
          <w:spacing w:val="-6"/>
        </w:rPr>
        <w:t> </w:t>
      </w:r>
      <w:r>
        <w:rPr/>
        <w:t>settings;</w:t>
      </w:r>
      <w:r>
        <w:rPr>
          <w:spacing w:val="-5"/>
        </w:rPr>
        <w:t> </w:t>
      </w:r>
      <w:r>
        <w:rPr/>
        <w:t>and minimize user conflicts and impacts to natural and cultural resources. Destination and loop opportunities of various lengths are available for a variety of uses.</w:t>
      </w:r>
    </w:p>
    <w:p>
      <w:pPr>
        <w:pStyle w:val="BodyText"/>
        <w:spacing w:before="192"/>
        <w:ind w:left="1152"/>
      </w:pPr>
      <w:r>
        <w:rPr/>
        <w:t>Trails</w:t>
      </w:r>
      <w:r>
        <w:rPr>
          <w:spacing w:val="-7"/>
        </w:rPr>
        <w:t> </w:t>
      </w:r>
      <w:r>
        <w:rPr/>
        <w:t>are</w:t>
      </w:r>
      <w:r>
        <w:rPr>
          <w:spacing w:val="-7"/>
        </w:rPr>
        <w:t> </w:t>
      </w:r>
      <w:r>
        <w:rPr/>
        <w:t>defined,</w:t>
      </w:r>
      <w:r>
        <w:rPr>
          <w:spacing w:val="-8"/>
        </w:rPr>
        <w:t> </w:t>
      </w:r>
      <w:r>
        <w:rPr/>
        <w:t>marked,</w:t>
      </w:r>
      <w:r>
        <w:rPr>
          <w:spacing w:val="-12"/>
        </w:rPr>
        <w:t> </w:t>
      </w:r>
      <w:r>
        <w:rPr/>
        <w:t>and</w:t>
      </w:r>
      <w:r>
        <w:rPr>
          <w:spacing w:val="-7"/>
        </w:rPr>
        <w:t> </w:t>
      </w:r>
      <w:r>
        <w:rPr/>
        <w:t>easily</w:t>
      </w:r>
      <w:r>
        <w:rPr>
          <w:spacing w:val="-6"/>
        </w:rPr>
        <w:t> </w:t>
      </w:r>
      <w:r>
        <w:rPr/>
        <w:t>identified</w:t>
      </w:r>
      <w:r>
        <w:rPr>
          <w:spacing w:val="-10"/>
        </w:rPr>
        <w:t> </w:t>
      </w:r>
      <w:r>
        <w:rPr/>
        <w:t>on</w:t>
      </w:r>
      <w:r>
        <w:rPr>
          <w:spacing w:val="-8"/>
        </w:rPr>
        <w:t> </w:t>
      </w:r>
      <w:r>
        <w:rPr/>
        <w:t>the</w:t>
      </w:r>
      <w:r>
        <w:rPr>
          <w:spacing w:val="-8"/>
        </w:rPr>
        <w:t> </w:t>
      </w:r>
      <w:r>
        <w:rPr>
          <w:spacing w:val="-2"/>
        </w:rPr>
        <w:t>ground.</w:t>
      </w:r>
    </w:p>
    <w:p>
      <w:pPr>
        <w:pStyle w:val="BodyText"/>
        <w:spacing w:line="232" w:lineRule="auto" w:before="197"/>
        <w:ind w:left="1152" w:right="801"/>
      </w:pPr>
      <w:r>
        <w:rPr/>
        <w:t>A</w:t>
      </w:r>
      <w:r>
        <w:rPr>
          <w:spacing w:val="-6"/>
        </w:rPr>
        <w:t> </w:t>
      </w:r>
      <w:r>
        <w:rPr/>
        <w:t>maintained</w:t>
      </w:r>
      <w:r>
        <w:rPr>
          <w:spacing w:val="-9"/>
        </w:rPr>
        <w:t> </w:t>
      </w:r>
      <w:r>
        <w:rPr/>
        <w:t>and</w:t>
      </w:r>
      <w:r>
        <w:rPr>
          <w:spacing w:val="-7"/>
        </w:rPr>
        <w:t> </w:t>
      </w:r>
      <w:r>
        <w:rPr/>
        <w:t>environmentally</w:t>
      </w:r>
      <w:r>
        <w:rPr>
          <w:spacing w:val="-5"/>
        </w:rPr>
        <w:t> </w:t>
      </w:r>
      <w:r>
        <w:rPr/>
        <w:t>sound</w:t>
      </w:r>
      <w:r>
        <w:rPr>
          <w:spacing w:val="-7"/>
        </w:rPr>
        <w:t> </w:t>
      </w:r>
      <w:r>
        <w:rPr/>
        <w:t>trail</w:t>
      </w:r>
      <w:r>
        <w:rPr>
          <w:spacing w:val="-6"/>
        </w:rPr>
        <w:t> </w:t>
      </w:r>
      <w:r>
        <w:rPr/>
        <w:t>system</w:t>
      </w:r>
      <w:r>
        <w:rPr>
          <w:spacing w:val="-7"/>
        </w:rPr>
        <w:t> </w:t>
      </w:r>
      <w:r>
        <w:rPr/>
        <w:t>is</w:t>
      </w:r>
      <w:r>
        <w:rPr>
          <w:spacing w:val="-6"/>
        </w:rPr>
        <w:t> </w:t>
      </w:r>
      <w:r>
        <w:rPr/>
        <w:t>in</w:t>
      </w:r>
      <w:r>
        <w:rPr>
          <w:spacing w:val="-7"/>
        </w:rPr>
        <w:t> </w:t>
      </w:r>
      <w:r>
        <w:rPr/>
        <w:t>place,</w:t>
      </w:r>
      <w:r>
        <w:rPr>
          <w:spacing w:val="-8"/>
        </w:rPr>
        <w:t> </w:t>
      </w:r>
      <w:r>
        <w:rPr/>
        <w:t>providing</w:t>
      </w:r>
      <w:r>
        <w:rPr>
          <w:spacing w:val="-7"/>
        </w:rPr>
        <w:t> </w:t>
      </w:r>
      <w:r>
        <w:rPr/>
        <w:t>for</w:t>
      </w:r>
      <w:r>
        <w:rPr>
          <w:spacing w:val="-6"/>
        </w:rPr>
        <w:t> </w:t>
      </w:r>
      <w:r>
        <w:rPr/>
        <w:t>user</w:t>
      </w:r>
      <w:r>
        <w:rPr>
          <w:spacing w:val="-6"/>
        </w:rPr>
        <w:t> </w:t>
      </w:r>
      <w:r>
        <w:rPr/>
        <w:t>safety</w:t>
      </w:r>
      <w:r>
        <w:rPr>
          <w:spacing w:val="-7"/>
        </w:rPr>
        <w:t> </w:t>
      </w:r>
      <w:r>
        <w:rPr/>
        <w:t>and access</w:t>
      </w:r>
      <w:r>
        <w:rPr>
          <w:spacing w:val="-5"/>
        </w:rPr>
        <w:t> </w:t>
      </w:r>
      <w:r>
        <w:rPr/>
        <w:t>to</w:t>
      </w:r>
      <w:r>
        <w:rPr>
          <w:spacing w:val="-4"/>
        </w:rPr>
        <w:t> </w:t>
      </w:r>
      <w:r>
        <w:rPr/>
        <w:t>locations</w:t>
      </w:r>
      <w:r>
        <w:rPr>
          <w:spacing w:val="-5"/>
        </w:rPr>
        <w:t> </w:t>
      </w:r>
      <w:r>
        <w:rPr/>
        <w:t>of</w:t>
      </w:r>
      <w:r>
        <w:rPr>
          <w:spacing w:val="-4"/>
        </w:rPr>
        <w:t> </w:t>
      </w:r>
      <w:r>
        <w:rPr/>
        <w:t>interest</w:t>
      </w:r>
      <w:r>
        <w:rPr>
          <w:spacing w:val="-3"/>
        </w:rPr>
        <w:t> </w:t>
      </w:r>
      <w:r>
        <w:rPr/>
        <w:t>and</w:t>
      </w:r>
      <w:r>
        <w:rPr>
          <w:spacing w:val="-4"/>
        </w:rPr>
        <w:t> </w:t>
      </w:r>
      <w:r>
        <w:rPr/>
        <w:t>the</w:t>
      </w:r>
      <w:r>
        <w:rPr>
          <w:spacing w:val="-3"/>
        </w:rPr>
        <w:t> </w:t>
      </w:r>
      <w:r>
        <w:rPr/>
        <w:t>use</w:t>
      </w:r>
      <w:r>
        <w:rPr>
          <w:spacing w:val="-5"/>
        </w:rPr>
        <w:t> </w:t>
      </w:r>
      <w:r>
        <w:rPr/>
        <w:t>of</w:t>
      </w:r>
      <w:r>
        <w:rPr>
          <w:spacing w:val="-5"/>
        </w:rPr>
        <w:t> </w:t>
      </w:r>
      <w:r>
        <w:rPr/>
        <w:t>the</w:t>
      </w:r>
      <w:r>
        <w:rPr>
          <w:spacing w:val="-3"/>
        </w:rPr>
        <w:t> </w:t>
      </w:r>
      <w:r>
        <w:rPr/>
        <w:t>Forest</w:t>
      </w:r>
      <w:r>
        <w:rPr>
          <w:spacing w:val="-3"/>
        </w:rPr>
        <w:t> </w:t>
      </w:r>
      <w:r>
        <w:rPr/>
        <w:t>(e.g.,</w:t>
      </w:r>
      <w:r>
        <w:rPr>
          <w:spacing w:val="-5"/>
        </w:rPr>
        <w:t> </w:t>
      </w:r>
      <w:r>
        <w:rPr/>
        <w:t>recreation,</w:t>
      </w:r>
      <w:r>
        <w:rPr>
          <w:spacing w:val="-5"/>
        </w:rPr>
        <w:t> </w:t>
      </w:r>
      <w:r>
        <w:rPr/>
        <w:t>minerals,</w:t>
      </w:r>
      <w:r>
        <w:rPr>
          <w:spacing w:val="-4"/>
        </w:rPr>
        <w:t> </w:t>
      </w:r>
      <w:r>
        <w:rPr/>
        <w:t>vegetation treatment, and fire protection) while protecting the natural and cultural resources through which the trail system passes.</w:t>
      </w:r>
    </w:p>
    <w:p>
      <w:pPr>
        <w:pStyle w:val="BodyText"/>
        <w:spacing w:line="232" w:lineRule="auto" w:before="199"/>
        <w:ind w:left="1151" w:right="742"/>
      </w:pPr>
      <w:r>
        <w:rPr/>
        <w:t>Motorized access and travel occurs on a well-designed system of designated National Forest System</w:t>
      </w:r>
      <w:r>
        <w:rPr>
          <w:spacing w:val="-8"/>
        </w:rPr>
        <w:t> </w:t>
      </w:r>
      <w:r>
        <w:rPr/>
        <w:t>roads</w:t>
      </w:r>
      <w:r>
        <w:rPr>
          <w:spacing w:val="-9"/>
        </w:rPr>
        <w:t> </w:t>
      </w:r>
      <w:r>
        <w:rPr/>
        <w:t>and</w:t>
      </w:r>
      <w:r>
        <w:rPr>
          <w:spacing w:val="-10"/>
        </w:rPr>
        <w:t> </w:t>
      </w:r>
      <w:r>
        <w:rPr/>
        <w:t>motorized</w:t>
      </w:r>
      <w:r>
        <w:rPr>
          <w:spacing w:val="-8"/>
        </w:rPr>
        <w:t> </w:t>
      </w:r>
      <w:r>
        <w:rPr/>
        <w:t>trails</w:t>
      </w:r>
      <w:r>
        <w:rPr>
          <w:spacing w:val="-8"/>
        </w:rPr>
        <w:t> </w:t>
      </w:r>
      <w:r>
        <w:rPr/>
        <w:t>that</w:t>
      </w:r>
      <w:r>
        <w:rPr>
          <w:spacing w:val="-7"/>
        </w:rPr>
        <w:t> </w:t>
      </w:r>
      <w:r>
        <w:rPr/>
        <w:t>provide</w:t>
      </w:r>
      <w:r>
        <w:rPr>
          <w:spacing w:val="-7"/>
        </w:rPr>
        <w:t> </w:t>
      </w:r>
      <w:r>
        <w:rPr/>
        <w:t>loop-riding</w:t>
      </w:r>
      <w:r>
        <w:rPr>
          <w:spacing w:val="-8"/>
        </w:rPr>
        <w:t> </w:t>
      </w:r>
      <w:r>
        <w:rPr/>
        <w:t>opportunities,</w:t>
      </w:r>
      <w:r>
        <w:rPr>
          <w:spacing w:val="-8"/>
        </w:rPr>
        <w:t> </w:t>
      </w:r>
      <w:r>
        <w:rPr/>
        <w:t>connect</w:t>
      </w:r>
      <w:r>
        <w:rPr>
          <w:spacing w:val="-7"/>
        </w:rPr>
        <w:t> </w:t>
      </w:r>
      <w:r>
        <w:rPr/>
        <w:t>trail</w:t>
      </w:r>
      <w:r>
        <w:rPr>
          <w:spacing w:val="-8"/>
        </w:rPr>
        <w:t> </w:t>
      </w:r>
      <w:r>
        <w:rPr/>
        <w:t>systems, access communities, and link with popular dispersed camping areas.</w:t>
      </w:r>
    </w:p>
    <w:p>
      <w:pPr>
        <w:pStyle w:val="BodyText"/>
        <w:spacing w:line="232" w:lineRule="auto" w:before="197"/>
        <w:ind w:left="1151" w:right="720"/>
      </w:pPr>
      <w:r>
        <w:rPr/>
        <w:t>Trails</w:t>
      </w:r>
      <w:r>
        <w:rPr>
          <w:spacing w:val="-7"/>
        </w:rPr>
        <w:t> </w:t>
      </w:r>
      <w:r>
        <w:rPr/>
        <w:t>accessible</w:t>
      </w:r>
      <w:r>
        <w:rPr>
          <w:spacing w:val="-6"/>
        </w:rPr>
        <w:t> </w:t>
      </w:r>
      <w:r>
        <w:rPr/>
        <w:t>from</w:t>
      </w:r>
      <w:r>
        <w:rPr>
          <w:spacing w:val="-6"/>
        </w:rPr>
        <w:t> </w:t>
      </w:r>
      <w:r>
        <w:rPr/>
        <w:t>populated</w:t>
      </w:r>
      <w:r>
        <w:rPr>
          <w:spacing w:val="-8"/>
        </w:rPr>
        <w:t> </w:t>
      </w:r>
      <w:r>
        <w:rPr/>
        <w:t>areas</w:t>
      </w:r>
      <w:r>
        <w:rPr>
          <w:spacing w:val="-7"/>
        </w:rPr>
        <w:t> </w:t>
      </w:r>
      <w:r>
        <w:rPr/>
        <w:t>are</w:t>
      </w:r>
      <w:r>
        <w:rPr>
          <w:spacing w:val="-6"/>
        </w:rPr>
        <w:t> </w:t>
      </w:r>
      <w:r>
        <w:rPr/>
        <w:t>available</w:t>
      </w:r>
      <w:r>
        <w:rPr>
          <w:spacing w:val="-6"/>
        </w:rPr>
        <w:t> </w:t>
      </w:r>
      <w:r>
        <w:rPr/>
        <w:t>for</w:t>
      </w:r>
      <w:r>
        <w:rPr>
          <w:spacing w:val="-9"/>
        </w:rPr>
        <w:t> </w:t>
      </w:r>
      <w:r>
        <w:rPr/>
        <w:t>non-motorized</w:t>
      </w:r>
      <w:r>
        <w:rPr>
          <w:spacing w:val="-10"/>
        </w:rPr>
        <w:t> </w:t>
      </w:r>
      <w:r>
        <w:rPr/>
        <w:t>opportunities</w:t>
      </w:r>
      <w:r>
        <w:rPr>
          <w:spacing w:val="-7"/>
        </w:rPr>
        <w:t> </w:t>
      </w:r>
      <w:r>
        <w:rPr/>
        <w:t>in</w:t>
      </w:r>
      <w:r>
        <w:rPr>
          <w:spacing w:val="-8"/>
        </w:rPr>
        <w:t> </w:t>
      </w:r>
      <w:r>
        <w:rPr/>
        <w:t>blocks</w:t>
      </w:r>
      <w:r>
        <w:rPr>
          <w:spacing w:val="-9"/>
        </w:rPr>
        <w:t> </w:t>
      </w:r>
      <w:r>
        <w:rPr/>
        <w:t>of forest that are free from the sights and sounds of motorized recreation.</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60" w:right="1445"/>
      </w:pPr>
      <w:r>
        <w:rPr/>
        <w:t>The</w:t>
      </w:r>
      <w:r>
        <w:rPr>
          <w:spacing w:val="-6"/>
        </w:rPr>
        <w:t> </w:t>
      </w:r>
      <w:r>
        <w:rPr/>
        <w:t>trail</w:t>
      </w:r>
      <w:r>
        <w:rPr>
          <w:spacing w:val="-7"/>
        </w:rPr>
        <w:t> </w:t>
      </w:r>
      <w:r>
        <w:rPr/>
        <w:t>system</w:t>
      </w:r>
      <w:r>
        <w:rPr>
          <w:spacing w:val="-6"/>
        </w:rPr>
        <w:t> </w:t>
      </w:r>
      <w:r>
        <w:rPr/>
        <w:t>is</w:t>
      </w:r>
      <w:r>
        <w:rPr>
          <w:spacing w:val="-9"/>
        </w:rPr>
        <w:t> </w:t>
      </w:r>
      <w:r>
        <w:rPr/>
        <w:t>accessible</w:t>
      </w:r>
      <w:r>
        <w:rPr>
          <w:spacing w:val="-6"/>
        </w:rPr>
        <w:t> </w:t>
      </w:r>
      <w:r>
        <w:rPr/>
        <w:t>from</w:t>
      </w:r>
      <w:r>
        <w:rPr>
          <w:spacing w:val="-6"/>
        </w:rPr>
        <w:t> </w:t>
      </w:r>
      <w:r>
        <w:rPr/>
        <w:t>local</w:t>
      </w:r>
      <w:r>
        <w:rPr>
          <w:spacing w:val="-7"/>
        </w:rPr>
        <w:t> </w:t>
      </w:r>
      <w:r>
        <w:rPr/>
        <w:t>communities,</w:t>
      </w:r>
      <w:r>
        <w:rPr>
          <w:spacing w:val="-9"/>
        </w:rPr>
        <w:t> </w:t>
      </w:r>
      <w:r>
        <w:rPr/>
        <w:t>State,</w:t>
      </w:r>
      <w:r>
        <w:rPr>
          <w:spacing w:val="-7"/>
        </w:rPr>
        <w:t> </w:t>
      </w:r>
      <w:r>
        <w:rPr/>
        <w:t>county,</w:t>
      </w:r>
      <w:r>
        <w:rPr>
          <w:spacing w:val="-7"/>
        </w:rPr>
        <w:t> </w:t>
      </w:r>
      <w:r>
        <w:rPr/>
        <w:t>and</w:t>
      </w:r>
      <w:r>
        <w:rPr>
          <w:spacing w:val="-8"/>
        </w:rPr>
        <w:t> </w:t>
      </w:r>
      <w:r>
        <w:rPr/>
        <w:t>local</w:t>
      </w:r>
      <w:r>
        <w:rPr>
          <w:spacing w:val="-7"/>
        </w:rPr>
        <w:t> </w:t>
      </w:r>
      <w:r>
        <w:rPr/>
        <w:t>public</w:t>
      </w:r>
      <w:r>
        <w:rPr>
          <w:spacing w:val="-7"/>
        </w:rPr>
        <w:t> </w:t>
      </w:r>
      <w:r>
        <w:rPr/>
        <w:t>roads</w:t>
      </w:r>
      <w:r>
        <w:rPr>
          <w:spacing w:val="-7"/>
        </w:rPr>
        <w:t> </w:t>
      </w:r>
      <w:r>
        <w:rPr/>
        <w:t>and </w:t>
      </w:r>
      <w:r>
        <w:rPr>
          <w:spacing w:val="-2"/>
        </w:rPr>
        <w:t>trails.</w:t>
      </w:r>
    </w:p>
    <w:p>
      <w:pPr>
        <w:spacing w:before="234"/>
        <w:ind w:left="360" w:right="0" w:firstLine="0"/>
        <w:jc w:val="left"/>
        <w:rPr>
          <w:rFonts w:ascii="Arial" w:hAnsi="Arial"/>
          <w:i/>
          <w:sz w:val="22"/>
        </w:rPr>
      </w:pPr>
      <w:bookmarkStart w:name="FW-DC-AS-03. Trail System – Motorized an" w:id="353"/>
      <w:bookmarkEnd w:id="353"/>
      <w:r>
        <w:rPr/>
      </w:r>
      <w:r>
        <w:rPr>
          <w:rFonts w:ascii="Arial" w:hAnsi="Arial"/>
          <w:i/>
          <w:sz w:val="22"/>
        </w:rPr>
        <w:t>FW-DC-AS-03.</w:t>
      </w:r>
      <w:r>
        <w:rPr>
          <w:rFonts w:ascii="Arial" w:hAnsi="Arial"/>
          <w:i/>
          <w:spacing w:val="-7"/>
          <w:sz w:val="22"/>
        </w:rPr>
        <w:t> </w:t>
      </w:r>
      <w:r>
        <w:rPr>
          <w:rFonts w:ascii="Arial" w:hAnsi="Arial"/>
          <w:i/>
          <w:sz w:val="22"/>
        </w:rPr>
        <w:t>Trail</w:t>
      </w:r>
      <w:r>
        <w:rPr>
          <w:rFonts w:ascii="Arial" w:hAnsi="Arial"/>
          <w:i/>
          <w:spacing w:val="-6"/>
          <w:sz w:val="22"/>
        </w:rPr>
        <w:t> </w:t>
      </w:r>
      <w:r>
        <w:rPr>
          <w:rFonts w:ascii="Arial" w:hAnsi="Arial"/>
          <w:i/>
          <w:sz w:val="22"/>
        </w:rPr>
        <w:t>System</w:t>
      </w:r>
      <w:r>
        <w:rPr>
          <w:rFonts w:ascii="Arial" w:hAnsi="Arial"/>
          <w:i/>
          <w:spacing w:val="-8"/>
          <w:sz w:val="22"/>
        </w:rPr>
        <w:t> </w:t>
      </w:r>
      <w:r>
        <w:rPr>
          <w:rFonts w:ascii="Arial" w:hAnsi="Arial"/>
          <w:i/>
          <w:sz w:val="22"/>
        </w:rPr>
        <w:t>–</w:t>
      </w:r>
      <w:r>
        <w:rPr>
          <w:rFonts w:ascii="Arial" w:hAnsi="Arial"/>
          <w:i/>
          <w:spacing w:val="-6"/>
          <w:sz w:val="22"/>
        </w:rPr>
        <w:t> </w:t>
      </w:r>
      <w:r>
        <w:rPr>
          <w:rFonts w:ascii="Arial" w:hAnsi="Arial"/>
          <w:i/>
          <w:sz w:val="22"/>
        </w:rPr>
        <w:t>Motorized</w:t>
      </w:r>
      <w:r>
        <w:rPr>
          <w:rFonts w:ascii="Arial" w:hAnsi="Arial"/>
          <w:i/>
          <w:spacing w:val="-6"/>
          <w:sz w:val="22"/>
        </w:rPr>
        <w:t> </w:t>
      </w:r>
      <w:r>
        <w:rPr>
          <w:rFonts w:ascii="Arial" w:hAnsi="Arial"/>
          <w:i/>
          <w:sz w:val="22"/>
        </w:rPr>
        <w:t>and</w:t>
      </w:r>
      <w:r>
        <w:rPr>
          <w:rFonts w:ascii="Arial" w:hAnsi="Arial"/>
          <w:i/>
          <w:spacing w:val="-6"/>
          <w:sz w:val="22"/>
        </w:rPr>
        <w:t> </w:t>
      </w:r>
      <w:r>
        <w:rPr>
          <w:rFonts w:ascii="Arial" w:hAnsi="Arial"/>
          <w:i/>
          <w:sz w:val="22"/>
        </w:rPr>
        <w:t>Non-</w:t>
      </w:r>
      <w:r>
        <w:rPr>
          <w:rFonts w:ascii="Arial" w:hAnsi="Arial"/>
          <w:i/>
          <w:spacing w:val="-2"/>
          <w:sz w:val="22"/>
        </w:rPr>
        <w:t>Motorized</w:t>
      </w:r>
    </w:p>
    <w:p>
      <w:pPr>
        <w:pStyle w:val="BodyText"/>
        <w:spacing w:line="232" w:lineRule="auto" w:before="65"/>
        <w:ind w:left="360" w:right="1621"/>
      </w:pPr>
      <w:r>
        <w:rPr/>
        <w:t>All</w:t>
      </w:r>
      <w:r>
        <w:rPr>
          <w:spacing w:val="-5"/>
        </w:rPr>
        <w:t> </w:t>
      </w:r>
      <w:r>
        <w:rPr/>
        <w:t>system</w:t>
      </w:r>
      <w:r>
        <w:rPr>
          <w:spacing w:val="-4"/>
        </w:rPr>
        <w:t> </w:t>
      </w:r>
      <w:r>
        <w:rPr/>
        <w:t>trails,</w:t>
      </w:r>
      <w:r>
        <w:rPr>
          <w:spacing w:val="-7"/>
        </w:rPr>
        <w:t> </w:t>
      </w:r>
      <w:r>
        <w:rPr/>
        <w:t>motorized</w:t>
      </w:r>
      <w:r>
        <w:rPr>
          <w:spacing w:val="-11"/>
        </w:rPr>
        <w:t> </w:t>
      </w:r>
      <w:r>
        <w:rPr/>
        <w:t>and</w:t>
      </w:r>
      <w:r>
        <w:rPr>
          <w:spacing w:val="-6"/>
        </w:rPr>
        <w:t> </w:t>
      </w:r>
      <w:r>
        <w:rPr/>
        <w:t>non-motorized,</w:t>
      </w:r>
      <w:r>
        <w:rPr>
          <w:spacing w:val="-7"/>
        </w:rPr>
        <w:t> </w:t>
      </w:r>
      <w:r>
        <w:rPr/>
        <w:t>will</w:t>
      </w:r>
      <w:r>
        <w:rPr>
          <w:spacing w:val="-5"/>
        </w:rPr>
        <w:t> </w:t>
      </w:r>
      <w:r>
        <w:rPr/>
        <w:t>be</w:t>
      </w:r>
      <w:r>
        <w:rPr>
          <w:spacing w:val="-7"/>
        </w:rPr>
        <w:t> </w:t>
      </w:r>
      <w:r>
        <w:rPr/>
        <w:t>managed</w:t>
      </w:r>
      <w:r>
        <w:rPr>
          <w:spacing w:val="-6"/>
        </w:rPr>
        <w:t> </w:t>
      </w:r>
      <w:r>
        <w:rPr/>
        <w:t>for</w:t>
      </w:r>
      <w:r>
        <w:rPr>
          <w:spacing w:val="-5"/>
        </w:rPr>
        <w:t> </w:t>
      </w:r>
      <w:r>
        <w:rPr/>
        <w:t>high</w:t>
      </w:r>
      <w:r>
        <w:rPr>
          <w:spacing w:val="-5"/>
        </w:rPr>
        <w:t> </w:t>
      </w:r>
      <w:r>
        <w:rPr/>
        <w:t>SIO</w:t>
      </w:r>
      <w:r>
        <w:rPr>
          <w:spacing w:val="-5"/>
        </w:rPr>
        <w:t> </w:t>
      </w:r>
      <w:r>
        <w:rPr/>
        <w:t>in</w:t>
      </w:r>
      <w:r>
        <w:rPr>
          <w:spacing w:val="-6"/>
        </w:rPr>
        <w:t> </w:t>
      </w:r>
      <w:r>
        <w:rPr/>
        <w:t>the</w:t>
      </w:r>
      <w:r>
        <w:rPr>
          <w:spacing w:val="-4"/>
        </w:rPr>
        <w:t> </w:t>
      </w:r>
      <w:r>
        <w:rPr/>
        <w:t>immediate foreground distance zone (up to 300 feet unless no alternatives exist) and would assume the SIO for the management areas for middleground SIO.</w:t>
      </w:r>
    </w:p>
    <w:p>
      <w:pPr>
        <w:spacing w:before="233"/>
        <w:ind w:left="359" w:right="0" w:firstLine="0"/>
        <w:jc w:val="left"/>
        <w:rPr>
          <w:rFonts w:ascii="Arial"/>
          <w:i/>
          <w:sz w:val="22"/>
        </w:rPr>
      </w:pPr>
      <w:bookmarkStart w:name="FW-DC-AS-04. Connections" w:id="354"/>
      <w:bookmarkEnd w:id="354"/>
      <w:r>
        <w:rPr/>
      </w:r>
      <w:r>
        <w:rPr>
          <w:rFonts w:ascii="Arial"/>
          <w:i/>
          <w:sz w:val="22"/>
        </w:rPr>
        <w:t>FW-DC-AS-04.</w:t>
      </w:r>
      <w:r>
        <w:rPr>
          <w:rFonts w:ascii="Arial"/>
          <w:i/>
          <w:spacing w:val="-8"/>
          <w:sz w:val="22"/>
        </w:rPr>
        <w:t> </w:t>
      </w:r>
      <w:r>
        <w:rPr>
          <w:rFonts w:ascii="Arial"/>
          <w:i/>
          <w:spacing w:val="-2"/>
          <w:sz w:val="22"/>
        </w:rPr>
        <w:t>Connections</w:t>
      </w:r>
    </w:p>
    <w:p>
      <w:pPr>
        <w:pStyle w:val="BodyText"/>
        <w:spacing w:line="232" w:lineRule="auto" w:before="64"/>
        <w:ind w:left="359" w:right="1621"/>
      </w:pPr>
      <w:r>
        <w:rPr/>
        <w:t>Where feasible, Forest Service recreation sites are connected to each other and to adjacent communities</w:t>
      </w:r>
      <w:r>
        <w:rPr>
          <w:spacing w:val="-9"/>
        </w:rPr>
        <w:t> </w:t>
      </w:r>
      <w:r>
        <w:rPr/>
        <w:t>through</w:t>
      </w:r>
      <w:r>
        <w:rPr>
          <w:spacing w:val="-10"/>
        </w:rPr>
        <w:t> </w:t>
      </w:r>
      <w:r>
        <w:rPr/>
        <w:t>pathways,</w:t>
      </w:r>
      <w:r>
        <w:rPr>
          <w:spacing w:val="-9"/>
        </w:rPr>
        <w:t> </w:t>
      </w:r>
      <w:r>
        <w:rPr/>
        <w:t>trails,</w:t>
      </w:r>
      <w:r>
        <w:rPr>
          <w:spacing w:val="-9"/>
        </w:rPr>
        <w:t> </w:t>
      </w:r>
      <w:r>
        <w:rPr/>
        <w:t>bike</w:t>
      </w:r>
      <w:r>
        <w:rPr>
          <w:spacing w:val="-10"/>
        </w:rPr>
        <w:t> </w:t>
      </w:r>
      <w:r>
        <w:rPr/>
        <w:t>lanes,</w:t>
      </w:r>
      <w:r>
        <w:rPr>
          <w:spacing w:val="-10"/>
        </w:rPr>
        <w:t> </w:t>
      </w:r>
      <w:r>
        <w:rPr/>
        <w:t>and</w:t>
      </w:r>
      <w:r>
        <w:rPr>
          <w:spacing w:val="-10"/>
        </w:rPr>
        <w:t> </w:t>
      </w:r>
      <w:r>
        <w:rPr/>
        <w:t>waterways</w:t>
      </w:r>
      <w:r>
        <w:rPr>
          <w:spacing w:val="-9"/>
        </w:rPr>
        <w:t> </w:t>
      </w:r>
      <w:r>
        <w:rPr/>
        <w:t>providing</w:t>
      </w:r>
      <w:r>
        <w:rPr>
          <w:spacing w:val="-10"/>
        </w:rPr>
        <w:t> </w:t>
      </w:r>
      <w:r>
        <w:rPr/>
        <w:t>opportunities</w:t>
      </w:r>
      <w:r>
        <w:rPr>
          <w:spacing w:val="-9"/>
        </w:rPr>
        <w:t> </w:t>
      </w:r>
      <w:r>
        <w:rPr/>
        <w:t>for both motorized and/or non-motorized modes of travel.</w:t>
      </w:r>
    </w:p>
    <w:p>
      <w:pPr>
        <w:spacing w:before="236"/>
        <w:ind w:left="359" w:right="0" w:firstLine="0"/>
        <w:jc w:val="left"/>
        <w:rPr>
          <w:rFonts w:ascii="Arial"/>
          <w:i/>
          <w:sz w:val="22"/>
        </w:rPr>
      </w:pPr>
      <w:bookmarkStart w:name="FW-DC-AS-05. Wilderness Trails" w:id="355"/>
      <w:bookmarkEnd w:id="355"/>
      <w:r>
        <w:rPr/>
      </w:r>
      <w:r>
        <w:rPr>
          <w:rFonts w:ascii="Arial"/>
          <w:i/>
          <w:sz w:val="22"/>
        </w:rPr>
        <w:t>FW-DC-AS-05.</w:t>
      </w:r>
      <w:r>
        <w:rPr>
          <w:rFonts w:ascii="Arial"/>
          <w:i/>
          <w:spacing w:val="-11"/>
          <w:sz w:val="22"/>
        </w:rPr>
        <w:t> </w:t>
      </w:r>
      <w:r>
        <w:rPr>
          <w:rFonts w:ascii="Arial"/>
          <w:i/>
          <w:sz w:val="22"/>
        </w:rPr>
        <w:t>Wilderness</w:t>
      </w:r>
      <w:r>
        <w:rPr>
          <w:rFonts w:ascii="Arial"/>
          <w:i/>
          <w:spacing w:val="-9"/>
          <w:sz w:val="22"/>
        </w:rPr>
        <w:t> </w:t>
      </w:r>
      <w:r>
        <w:rPr>
          <w:rFonts w:ascii="Arial"/>
          <w:i/>
          <w:spacing w:val="-2"/>
          <w:sz w:val="22"/>
        </w:rPr>
        <w:t>Trails</w:t>
      </w:r>
    </w:p>
    <w:p>
      <w:pPr>
        <w:pStyle w:val="BodyText"/>
        <w:spacing w:line="232" w:lineRule="auto" w:before="65"/>
        <w:ind w:left="359" w:right="1445"/>
      </w:pPr>
      <w:r>
        <w:rPr/>
        <w:t>Wilderness trails provide for administrative and public use. They provide for the enjoyment of wilderness in a variety of settings and with varying degrees of challenge and opportunities for solitude. Trails</w:t>
      </w:r>
      <w:r>
        <w:rPr>
          <w:spacing w:val="-2"/>
        </w:rPr>
        <w:t> </w:t>
      </w:r>
      <w:r>
        <w:rPr/>
        <w:t>that function</w:t>
      </w:r>
      <w:r>
        <w:rPr>
          <w:spacing w:val="-1"/>
        </w:rPr>
        <w:t> </w:t>
      </w:r>
      <w:r>
        <w:rPr/>
        <w:t>as the</w:t>
      </w:r>
      <w:r>
        <w:rPr>
          <w:spacing w:val="-2"/>
        </w:rPr>
        <w:t> </w:t>
      </w:r>
      <w:r>
        <w:rPr/>
        <w:t>main</w:t>
      </w:r>
      <w:r>
        <w:rPr>
          <w:spacing w:val="-1"/>
        </w:rPr>
        <w:t> </w:t>
      </w:r>
      <w:r>
        <w:rPr/>
        <w:t>arterials</w:t>
      </w:r>
      <w:r>
        <w:rPr>
          <w:spacing w:val="-2"/>
        </w:rPr>
        <w:t> </w:t>
      </w:r>
      <w:r>
        <w:rPr/>
        <w:t>to</w:t>
      </w:r>
      <w:r>
        <w:rPr>
          <w:spacing w:val="-1"/>
        </w:rPr>
        <w:t> </w:t>
      </w:r>
      <w:r>
        <w:rPr/>
        <w:t>distribute use</w:t>
      </w:r>
      <w:r>
        <w:rPr>
          <w:spacing w:val="-2"/>
        </w:rPr>
        <w:t> </w:t>
      </w:r>
      <w:r>
        <w:rPr/>
        <w:t>across the</w:t>
      </w:r>
      <w:r>
        <w:rPr>
          <w:spacing w:val="-2"/>
        </w:rPr>
        <w:t> </w:t>
      </w:r>
      <w:r>
        <w:rPr/>
        <w:t>trailed</w:t>
      </w:r>
      <w:r>
        <w:rPr>
          <w:spacing w:val="-1"/>
        </w:rPr>
        <w:t> </w:t>
      </w:r>
      <w:r>
        <w:rPr/>
        <w:t>portions</w:t>
      </w:r>
      <w:r>
        <w:rPr>
          <w:spacing w:val="-2"/>
        </w:rPr>
        <w:t> </w:t>
      </w:r>
      <w:r>
        <w:rPr/>
        <w:t>of the</w:t>
      </w:r>
      <w:r>
        <w:rPr>
          <w:spacing w:val="-5"/>
        </w:rPr>
        <w:t> </w:t>
      </w:r>
      <w:r>
        <w:rPr/>
        <w:t>wilderness</w:t>
      </w:r>
      <w:r>
        <w:rPr>
          <w:spacing w:val="-8"/>
        </w:rPr>
        <w:t> </w:t>
      </w:r>
      <w:r>
        <w:rPr/>
        <w:t>or</w:t>
      </w:r>
      <w:r>
        <w:rPr>
          <w:spacing w:val="-6"/>
        </w:rPr>
        <w:t> </w:t>
      </w:r>
      <w:r>
        <w:rPr/>
        <w:t>access</w:t>
      </w:r>
      <w:r>
        <w:rPr>
          <w:spacing w:val="-8"/>
        </w:rPr>
        <w:t> </w:t>
      </w:r>
      <w:r>
        <w:rPr/>
        <w:t>high-use</w:t>
      </w:r>
      <w:r>
        <w:rPr>
          <w:spacing w:val="-5"/>
        </w:rPr>
        <w:t> </w:t>
      </w:r>
      <w:r>
        <w:rPr/>
        <w:t>destinations</w:t>
      </w:r>
      <w:r>
        <w:rPr>
          <w:spacing w:val="-6"/>
        </w:rPr>
        <w:t> </w:t>
      </w:r>
      <w:r>
        <w:rPr/>
        <w:t>generally</w:t>
      </w:r>
      <w:r>
        <w:rPr>
          <w:spacing w:val="-5"/>
        </w:rPr>
        <w:t> </w:t>
      </w:r>
      <w:r>
        <w:rPr/>
        <w:t>receive</w:t>
      </w:r>
      <w:r>
        <w:rPr>
          <w:spacing w:val="-5"/>
        </w:rPr>
        <w:t> </w:t>
      </w:r>
      <w:r>
        <w:rPr/>
        <w:t>regular</w:t>
      </w:r>
      <w:r>
        <w:rPr>
          <w:spacing w:val="-8"/>
        </w:rPr>
        <w:t> </w:t>
      </w:r>
      <w:r>
        <w:rPr/>
        <w:t>maintenance.</w:t>
      </w:r>
      <w:r>
        <w:rPr>
          <w:spacing w:val="-6"/>
        </w:rPr>
        <w:t> </w:t>
      </w:r>
      <w:r>
        <w:rPr/>
        <w:t>Side</w:t>
      </w:r>
      <w:r>
        <w:rPr>
          <w:spacing w:val="-5"/>
        </w:rPr>
        <w:t> </w:t>
      </w:r>
      <w:r>
        <w:rPr/>
        <w:t>trails are typically more primitive and may be maintained less frequently. Loop opportunities of various lengths are available.</w:t>
      </w:r>
    </w:p>
    <w:p>
      <w:pPr>
        <w:spacing w:before="231"/>
        <w:ind w:left="359" w:right="0" w:firstLine="0"/>
        <w:jc w:val="left"/>
        <w:rPr>
          <w:rFonts w:ascii="Arial"/>
          <w:i/>
          <w:sz w:val="22"/>
        </w:rPr>
      </w:pPr>
      <w:bookmarkStart w:name="FW-DC-AS-06. Developed Recreation Sites" w:id="356"/>
      <w:bookmarkEnd w:id="356"/>
      <w:r>
        <w:rPr/>
      </w:r>
      <w:r>
        <w:rPr>
          <w:rFonts w:ascii="Arial"/>
          <w:i/>
          <w:sz w:val="22"/>
        </w:rPr>
        <w:t>FW-DC-AS-06.</w:t>
      </w:r>
      <w:r>
        <w:rPr>
          <w:rFonts w:ascii="Arial"/>
          <w:i/>
          <w:spacing w:val="-9"/>
          <w:sz w:val="22"/>
        </w:rPr>
        <w:t> </w:t>
      </w:r>
      <w:r>
        <w:rPr>
          <w:rFonts w:ascii="Arial"/>
          <w:i/>
          <w:sz w:val="22"/>
        </w:rPr>
        <w:t>Developed</w:t>
      </w:r>
      <w:r>
        <w:rPr>
          <w:rFonts w:ascii="Arial"/>
          <w:i/>
          <w:spacing w:val="-10"/>
          <w:sz w:val="22"/>
        </w:rPr>
        <w:t> </w:t>
      </w:r>
      <w:r>
        <w:rPr>
          <w:rFonts w:ascii="Arial"/>
          <w:i/>
          <w:sz w:val="22"/>
        </w:rPr>
        <w:t>Recreation</w:t>
      </w:r>
      <w:r>
        <w:rPr>
          <w:rFonts w:ascii="Arial"/>
          <w:i/>
          <w:spacing w:val="-9"/>
          <w:sz w:val="22"/>
        </w:rPr>
        <w:t> </w:t>
      </w:r>
      <w:r>
        <w:rPr>
          <w:rFonts w:ascii="Arial"/>
          <w:i/>
          <w:spacing w:val="-4"/>
          <w:sz w:val="22"/>
        </w:rPr>
        <w:t>Sites</w:t>
      </w:r>
    </w:p>
    <w:p>
      <w:pPr>
        <w:pStyle w:val="BodyText"/>
        <w:spacing w:line="232" w:lineRule="auto" w:before="65"/>
        <w:ind w:left="359" w:right="1445"/>
      </w:pPr>
      <w:r>
        <w:rPr/>
        <w:t>Roads</w:t>
      </w:r>
      <w:r>
        <w:rPr>
          <w:spacing w:val="-5"/>
        </w:rPr>
        <w:t> </w:t>
      </w:r>
      <w:r>
        <w:rPr/>
        <w:t>accessing</w:t>
      </w:r>
      <w:r>
        <w:rPr>
          <w:spacing w:val="-6"/>
        </w:rPr>
        <w:t> </w:t>
      </w:r>
      <w:r>
        <w:rPr/>
        <w:t>developed</w:t>
      </w:r>
      <w:r>
        <w:rPr>
          <w:spacing w:val="-6"/>
        </w:rPr>
        <w:t> </w:t>
      </w:r>
      <w:r>
        <w:rPr/>
        <w:t>recreation</w:t>
      </w:r>
      <w:r>
        <w:rPr>
          <w:spacing w:val="-6"/>
        </w:rPr>
        <w:t> </w:t>
      </w:r>
      <w:r>
        <w:rPr/>
        <w:t>sites</w:t>
      </w:r>
      <w:r>
        <w:rPr>
          <w:spacing w:val="-5"/>
        </w:rPr>
        <w:t> </w:t>
      </w:r>
      <w:r>
        <w:rPr/>
        <w:t>(such</w:t>
      </w:r>
      <w:r>
        <w:rPr>
          <w:spacing w:val="-8"/>
        </w:rPr>
        <w:t> </w:t>
      </w:r>
      <w:r>
        <w:rPr/>
        <w:t>as</w:t>
      </w:r>
      <w:r>
        <w:rPr>
          <w:spacing w:val="-5"/>
        </w:rPr>
        <w:t> </w:t>
      </w:r>
      <w:r>
        <w:rPr/>
        <w:t>campgrounds,</w:t>
      </w:r>
      <w:r>
        <w:rPr>
          <w:spacing w:val="-5"/>
        </w:rPr>
        <w:t> </w:t>
      </w:r>
      <w:r>
        <w:rPr/>
        <w:t>day</w:t>
      </w:r>
      <w:r>
        <w:rPr>
          <w:spacing w:val="-5"/>
        </w:rPr>
        <w:t> </w:t>
      </w:r>
      <w:r>
        <w:rPr/>
        <w:t>use</w:t>
      </w:r>
      <w:r>
        <w:rPr>
          <w:spacing w:val="-7"/>
        </w:rPr>
        <w:t> </w:t>
      </w:r>
      <w:r>
        <w:rPr/>
        <w:t>sites,</w:t>
      </w:r>
      <w:r>
        <w:rPr>
          <w:spacing w:val="-7"/>
        </w:rPr>
        <w:t> </w:t>
      </w:r>
      <w:r>
        <w:rPr/>
        <w:t>and</w:t>
      </w:r>
      <w:r>
        <w:rPr>
          <w:spacing w:val="-6"/>
        </w:rPr>
        <w:t> </w:t>
      </w:r>
      <w:r>
        <w:rPr/>
        <w:t>trailheads) are maintained at a level generally accessible by passenger vehicle.</w:t>
      </w:r>
    </w:p>
    <w:p>
      <w:pPr>
        <w:spacing w:before="234"/>
        <w:ind w:left="359" w:right="0" w:firstLine="0"/>
        <w:jc w:val="left"/>
        <w:rPr>
          <w:rFonts w:ascii="Arial"/>
          <w:i/>
          <w:sz w:val="22"/>
        </w:rPr>
      </w:pPr>
      <w:bookmarkStart w:name="FW-DC-AS-07. Managing User Conflicts on " w:id="357"/>
      <w:bookmarkEnd w:id="357"/>
      <w:r>
        <w:rPr/>
      </w:r>
      <w:r>
        <w:rPr>
          <w:rFonts w:ascii="Arial"/>
          <w:i/>
          <w:sz w:val="22"/>
        </w:rPr>
        <w:t>FW-DC-AS-07.</w:t>
      </w:r>
      <w:r>
        <w:rPr>
          <w:rFonts w:ascii="Arial"/>
          <w:i/>
          <w:spacing w:val="-8"/>
          <w:sz w:val="22"/>
        </w:rPr>
        <w:t> </w:t>
      </w:r>
      <w:r>
        <w:rPr>
          <w:rFonts w:ascii="Arial"/>
          <w:i/>
          <w:sz w:val="22"/>
        </w:rPr>
        <w:t>Managing</w:t>
      </w:r>
      <w:r>
        <w:rPr>
          <w:rFonts w:ascii="Arial"/>
          <w:i/>
          <w:spacing w:val="-7"/>
          <w:sz w:val="22"/>
        </w:rPr>
        <w:t> </w:t>
      </w:r>
      <w:r>
        <w:rPr>
          <w:rFonts w:ascii="Arial"/>
          <w:i/>
          <w:sz w:val="22"/>
        </w:rPr>
        <w:t>User</w:t>
      </w:r>
      <w:r>
        <w:rPr>
          <w:rFonts w:ascii="Arial"/>
          <w:i/>
          <w:spacing w:val="-9"/>
          <w:sz w:val="22"/>
        </w:rPr>
        <w:t> </w:t>
      </w:r>
      <w:r>
        <w:rPr>
          <w:rFonts w:ascii="Arial"/>
          <w:i/>
          <w:sz w:val="22"/>
        </w:rPr>
        <w:t>Conflicts</w:t>
      </w:r>
      <w:r>
        <w:rPr>
          <w:rFonts w:ascii="Arial"/>
          <w:i/>
          <w:spacing w:val="-9"/>
          <w:sz w:val="22"/>
        </w:rPr>
        <w:t> </w:t>
      </w:r>
      <w:r>
        <w:rPr>
          <w:rFonts w:ascii="Arial"/>
          <w:i/>
          <w:sz w:val="22"/>
        </w:rPr>
        <w:t>on</w:t>
      </w:r>
      <w:r>
        <w:rPr>
          <w:rFonts w:ascii="Arial"/>
          <w:i/>
          <w:spacing w:val="-7"/>
          <w:sz w:val="22"/>
        </w:rPr>
        <w:t> </w:t>
      </w:r>
      <w:r>
        <w:rPr>
          <w:rFonts w:ascii="Arial"/>
          <w:i/>
          <w:sz w:val="22"/>
        </w:rPr>
        <w:t>Multiple-Use</w:t>
      </w:r>
      <w:r>
        <w:rPr>
          <w:rFonts w:ascii="Arial"/>
          <w:i/>
          <w:spacing w:val="-7"/>
          <w:sz w:val="22"/>
        </w:rPr>
        <w:t> </w:t>
      </w:r>
      <w:r>
        <w:rPr>
          <w:rFonts w:ascii="Arial"/>
          <w:i/>
          <w:spacing w:val="-2"/>
          <w:sz w:val="22"/>
        </w:rPr>
        <w:t>Trails</w:t>
      </w:r>
    </w:p>
    <w:p>
      <w:pPr>
        <w:pStyle w:val="BodyText"/>
        <w:spacing w:line="232" w:lineRule="auto" w:before="65"/>
        <w:ind w:left="359" w:right="1445"/>
      </w:pPr>
      <w:r>
        <w:rPr/>
        <w:t>Trail managers should be proactive in identifying potential user conflicts on multiple-use trails, encourage</w:t>
      </w:r>
      <w:r>
        <w:rPr>
          <w:spacing w:val="-4"/>
        </w:rPr>
        <w:t> </w:t>
      </w:r>
      <w:r>
        <w:rPr/>
        <w:t>user</w:t>
      </w:r>
      <w:r>
        <w:rPr>
          <w:spacing w:val="-7"/>
        </w:rPr>
        <w:t> </w:t>
      </w:r>
      <w:r>
        <w:rPr/>
        <w:t>participation</w:t>
      </w:r>
      <w:r>
        <w:rPr>
          <w:spacing w:val="-6"/>
        </w:rPr>
        <w:t> </w:t>
      </w:r>
      <w:r>
        <w:rPr/>
        <w:t>in</w:t>
      </w:r>
      <w:r>
        <w:rPr>
          <w:spacing w:val="-6"/>
        </w:rPr>
        <w:t> </w:t>
      </w:r>
      <w:r>
        <w:rPr/>
        <w:t>developing</w:t>
      </w:r>
      <w:r>
        <w:rPr>
          <w:spacing w:val="-6"/>
        </w:rPr>
        <w:t> </w:t>
      </w:r>
      <w:r>
        <w:rPr/>
        <w:t>solutions</w:t>
      </w:r>
      <w:r>
        <w:rPr>
          <w:spacing w:val="-5"/>
        </w:rPr>
        <w:t> </w:t>
      </w:r>
      <w:r>
        <w:rPr/>
        <w:t>to</w:t>
      </w:r>
      <w:r>
        <w:rPr>
          <w:spacing w:val="-4"/>
        </w:rPr>
        <w:t> </w:t>
      </w:r>
      <w:r>
        <w:rPr/>
        <w:t>new</w:t>
      </w:r>
      <w:r>
        <w:rPr>
          <w:spacing w:val="-4"/>
        </w:rPr>
        <w:t> </w:t>
      </w:r>
      <w:r>
        <w:rPr/>
        <w:t>and</w:t>
      </w:r>
      <w:r>
        <w:rPr>
          <w:spacing w:val="-8"/>
        </w:rPr>
        <w:t> </w:t>
      </w:r>
      <w:r>
        <w:rPr/>
        <w:t>existing</w:t>
      </w:r>
      <w:r>
        <w:rPr>
          <w:spacing w:val="-6"/>
        </w:rPr>
        <w:t> </w:t>
      </w:r>
      <w:r>
        <w:rPr/>
        <w:t>sources</w:t>
      </w:r>
      <w:r>
        <w:rPr>
          <w:spacing w:val="-7"/>
        </w:rPr>
        <w:t> </w:t>
      </w:r>
      <w:r>
        <w:rPr/>
        <w:t>of</w:t>
      </w:r>
      <w:r>
        <w:rPr>
          <w:spacing w:val="-5"/>
        </w:rPr>
        <w:t> </w:t>
      </w:r>
      <w:r>
        <w:rPr/>
        <w:t>conflict,</w:t>
      </w:r>
      <w:r>
        <w:rPr>
          <w:spacing w:val="-5"/>
        </w:rPr>
        <w:t> </w:t>
      </w:r>
      <w:r>
        <w:rPr/>
        <w:t>and use the best management practices identified through research to minimize user conflict.</w:t>
      </w:r>
    </w:p>
    <w:p>
      <w:pPr>
        <w:pStyle w:val="Heading4"/>
        <w:spacing w:before="235"/>
      </w:pPr>
      <w:bookmarkStart w:name="Objectives" w:id="358"/>
      <w:bookmarkEnd w:id="358"/>
      <w:r>
        <w:rPr/>
      </w:r>
      <w:bookmarkStart w:name="_bookmark121" w:id="359"/>
      <w:bookmarkEnd w:id="359"/>
      <w:r>
        <w:rPr/>
      </w:r>
      <w:r>
        <w:rPr>
          <w:spacing w:val="-2"/>
        </w:rPr>
        <w:t>Objectives</w:t>
      </w:r>
    </w:p>
    <w:p>
      <w:pPr>
        <w:spacing w:before="237"/>
        <w:ind w:left="360" w:right="0" w:firstLine="0"/>
        <w:jc w:val="left"/>
        <w:rPr>
          <w:rFonts w:ascii="Arial"/>
          <w:i/>
          <w:sz w:val="22"/>
        </w:rPr>
      </w:pPr>
      <w:bookmarkStart w:name="FW-OBJ-AS-01. Designated Routes for Off-" w:id="360"/>
      <w:bookmarkEnd w:id="360"/>
      <w:r>
        <w:rPr/>
      </w:r>
      <w:r>
        <w:rPr>
          <w:rFonts w:ascii="Arial"/>
          <w:i/>
          <w:sz w:val="22"/>
        </w:rPr>
        <w:t>FW-OBJ-AS-01.</w:t>
      </w:r>
      <w:r>
        <w:rPr>
          <w:rFonts w:ascii="Arial"/>
          <w:i/>
          <w:spacing w:val="-6"/>
          <w:sz w:val="22"/>
        </w:rPr>
        <w:t> </w:t>
      </w:r>
      <w:r>
        <w:rPr>
          <w:rFonts w:ascii="Arial"/>
          <w:i/>
          <w:sz w:val="22"/>
        </w:rPr>
        <w:t>Designated</w:t>
      </w:r>
      <w:r>
        <w:rPr>
          <w:rFonts w:ascii="Arial"/>
          <w:i/>
          <w:spacing w:val="-6"/>
          <w:sz w:val="22"/>
        </w:rPr>
        <w:t> </w:t>
      </w:r>
      <w:r>
        <w:rPr>
          <w:rFonts w:ascii="Arial"/>
          <w:i/>
          <w:sz w:val="22"/>
        </w:rPr>
        <w:t>Routes</w:t>
      </w:r>
      <w:r>
        <w:rPr>
          <w:rFonts w:ascii="Arial"/>
          <w:i/>
          <w:spacing w:val="-9"/>
          <w:sz w:val="22"/>
        </w:rPr>
        <w:t> </w:t>
      </w:r>
      <w:r>
        <w:rPr>
          <w:rFonts w:ascii="Arial"/>
          <w:i/>
          <w:sz w:val="22"/>
        </w:rPr>
        <w:t>for</w:t>
      </w:r>
      <w:r>
        <w:rPr>
          <w:rFonts w:ascii="Arial"/>
          <w:i/>
          <w:spacing w:val="-8"/>
          <w:sz w:val="22"/>
        </w:rPr>
        <w:t> </w:t>
      </w:r>
      <w:r>
        <w:rPr>
          <w:rFonts w:ascii="Arial"/>
          <w:i/>
          <w:sz w:val="22"/>
        </w:rPr>
        <w:t>Off-Highway</w:t>
      </w:r>
      <w:r>
        <w:rPr>
          <w:rFonts w:ascii="Arial"/>
          <w:i/>
          <w:spacing w:val="-9"/>
          <w:sz w:val="22"/>
        </w:rPr>
        <w:t> </w:t>
      </w:r>
      <w:r>
        <w:rPr>
          <w:rFonts w:ascii="Arial"/>
          <w:i/>
          <w:sz w:val="22"/>
        </w:rPr>
        <w:t>Vehicle</w:t>
      </w:r>
      <w:r>
        <w:rPr>
          <w:rFonts w:ascii="Arial"/>
          <w:i/>
          <w:spacing w:val="-6"/>
          <w:sz w:val="22"/>
        </w:rPr>
        <w:t> </w:t>
      </w:r>
      <w:r>
        <w:rPr>
          <w:rFonts w:ascii="Arial"/>
          <w:i/>
          <w:spacing w:val="-5"/>
          <w:sz w:val="22"/>
        </w:rPr>
        <w:t>Use</w:t>
      </w:r>
    </w:p>
    <w:p>
      <w:pPr>
        <w:pStyle w:val="BodyText"/>
        <w:spacing w:line="232" w:lineRule="auto" w:before="67"/>
        <w:ind w:left="359" w:right="1664"/>
      </w:pPr>
      <w:r>
        <w:rPr/>
        <w:t>Motorized mixed-use road designations are reviewed and an average of one new off-highway vehicle</w:t>
      </w:r>
      <w:r>
        <w:rPr>
          <w:spacing w:val="-4"/>
        </w:rPr>
        <w:t> </w:t>
      </w:r>
      <w:r>
        <w:rPr/>
        <w:t>route</w:t>
      </w:r>
      <w:r>
        <w:rPr>
          <w:spacing w:val="-1"/>
        </w:rPr>
        <w:t> </w:t>
      </w:r>
      <w:r>
        <w:rPr/>
        <w:t>is</w:t>
      </w:r>
      <w:r>
        <w:rPr>
          <w:spacing w:val="-2"/>
        </w:rPr>
        <w:t> </w:t>
      </w:r>
      <w:r>
        <w:rPr/>
        <w:t>designated</w:t>
      </w:r>
      <w:r>
        <w:rPr>
          <w:spacing w:val="-7"/>
        </w:rPr>
        <w:t> </w:t>
      </w:r>
      <w:r>
        <w:rPr/>
        <w:t>annually</w:t>
      </w:r>
      <w:r>
        <w:rPr>
          <w:spacing w:val="-1"/>
        </w:rPr>
        <w:t> </w:t>
      </w:r>
      <w:r>
        <w:rPr/>
        <w:t>to</w:t>
      </w:r>
      <w:r>
        <w:rPr>
          <w:spacing w:val="-3"/>
        </w:rPr>
        <w:t> </w:t>
      </w:r>
      <w:r>
        <w:rPr/>
        <w:t>achieve</w:t>
      </w:r>
      <w:r>
        <w:rPr>
          <w:spacing w:val="-4"/>
        </w:rPr>
        <w:t> </w:t>
      </w:r>
      <w:r>
        <w:rPr/>
        <w:t>one</w:t>
      </w:r>
      <w:r>
        <w:rPr>
          <w:spacing w:val="-4"/>
        </w:rPr>
        <w:t> </w:t>
      </w:r>
      <w:r>
        <w:rPr/>
        <w:t>or</w:t>
      </w:r>
      <w:r>
        <w:rPr>
          <w:spacing w:val="-7"/>
        </w:rPr>
        <w:t> </w:t>
      </w:r>
      <w:r>
        <w:rPr/>
        <w:t>more</w:t>
      </w:r>
      <w:r>
        <w:rPr>
          <w:spacing w:val="-4"/>
        </w:rPr>
        <w:t> </w:t>
      </w:r>
      <w:r>
        <w:rPr/>
        <w:t>of</w:t>
      </w:r>
      <w:r>
        <w:rPr>
          <w:spacing w:val="-4"/>
        </w:rPr>
        <w:t> </w:t>
      </w:r>
      <w:r>
        <w:rPr/>
        <w:t>the</w:t>
      </w:r>
      <w:r>
        <w:rPr>
          <w:spacing w:val="-1"/>
        </w:rPr>
        <w:t> </w:t>
      </w:r>
      <w:r>
        <w:rPr/>
        <w:t>following</w:t>
      </w:r>
      <w:r>
        <w:rPr>
          <w:spacing w:val="-5"/>
        </w:rPr>
        <w:t> </w:t>
      </w:r>
      <w:r>
        <w:rPr/>
        <w:t>objectives:</w:t>
      </w:r>
      <w:r>
        <w:rPr>
          <w:spacing w:val="-1"/>
        </w:rPr>
        <w:t> </w:t>
      </w:r>
      <w:r>
        <w:rPr/>
        <w:t>create loop-riding opportunities, connect camping areas, access destination overlooks, move routes away from ecologically or culturally sensitive areas, and connect communities through and to the forest. Coordinate designations with a community collaborative that could include local motorized</w:t>
      </w:r>
      <w:r>
        <w:rPr>
          <w:spacing w:val="-8"/>
        </w:rPr>
        <w:t> </w:t>
      </w:r>
      <w:r>
        <w:rPr/>
        <w:t>recreation</w:t>
      </w:r>
      <w:r>
        <w:rPr>
          <w:spacing w:val="-8"/>
        </w:rPr>
        <w:t> </w:t>
      </w:r>
      <w:r>
        <w:rPr/>
        <w:t>groups,</w:t>
      </w:r>
      <w:r>
        <w:rPr>
          <w:spacing w:val="-8"/>
        </w:rPr>
        <w:t> </w:t>
      </w:r>
      <w:r>
        <w:rPr/>
        <w:t>counties</w:t>
      </w:r>
      <w:r>
        <w:rPr>
          <w:spacing w:val="-8"/>
        </w:rPr>
        <w:t> </w:t>
      </w:r>
      <w:r>
        <w:rPr/>
        <w:t>and</w:t>
      </w:r>
      <w:r>
        <w:rPr>
          <w:spacing w:val="-8"/>
        </w:rPr>
        <w:t> </w:t>
      </w:r>
      <w:r>
        <w:rPr/>
        <w:t>conservation</w:t>
      </w:r>
      <w:r>
        <w:rPr>
          <w:spacing w:val="-8"/>
        </w:rPr>
        <w:t> </w:t>
      </w:r>
      <w:r>
        <w:rPr/>
        <w:t>groups</w:t>
      </w:r>
      <w:r>
        <w:rPr>
          <w:spacing w:val="-9"/>
        </w:rPr>
        <w:t> </w:t>
      </w:r>
      <w:r>
        <w:rPr/>
        <w:t>to</w:t>
      </w:r>
      <w:r>
        <w:rPr>
          <w:spacing w:val="-7"/>
        </w:rPr>
        <w:t> </w:t>
      </w:r>
      <w:r>
        <w:rPr/>
        <w:t>determine</w:t>
      </w:r>
      <w:r>
        <w:rPr>
          <w:spacing w:val="-7"/>
        </w:rPr>
        <w:t> </w:t>
      </w:r>
      <w:r>
        <w:rPr/>
        <w:t>priority</w:t>
      </w:r>
      <w:r>
        <w:rPr>
          <w:spacing w:val="-7"/>
        </w:rPr>
        <w:t> </w:t>
      </w:r>
      <w:r>
        <w:rPr/>
        <w:t>areas</w:t>
      </w:r>
      <w:r>
        <w:rPr>
          <w:spacing w:val="-8"/>
        </w:rPr>
        <w:t> </w:t>
      </w:r>
      <w:r>
        <w:rPr/>
        <w:t>for selection, designation and monitoring.</w:t>
      </w:r>
    </w:p>
    <w:p>
      <w:pPr>
        <w:spacing w:before="230"/>
        <w:ind w:left="359" w:right="0" w:firstLine="0"/>
        <w:jc w:val="left"/>
        <w:rPr>
          <w:rFonts w:ascii="Arial"/>
          <w:i/>
          <w:sz w:val="22"/>
        </w:rPr>
      </w:pPr>
      <w:bookmarkStart w:name="FW-OBJ-AS-02. Trail Management" w:id="361"/>
      <w:bookmarkEnd w:id="361"/>
      <w:r>
        <w:rPr/>
      </w:r>
      <w:r>
        <w:rPr>
          <w:rFonts w:ascii="Arial"/>
          <w:i/>
          <w:sz w:val="22"/>
        </w:rPr>
        <w:t>FW-OBJ-AS-02.</w:t>
      </w:r>
      <w:r>
        <w:rPr>
          <w:rFonts w:ascii="Arial"/>
          <w:i/>
          <w:spacing w:val="-8"/>
          <w:sz w:val="22"/>
        </w:rPr>
        <w:t> </w:t>
      </w:r>
      <w:r>
        <w:rPr>
          <w:rFonts w:ascii="Arial"/>
          <w:i/>
          <w:sz w:val="22"/>
        </w:rPr>
        <w:t>Trail</w:t>
      </w:r>
      <w:r>
        <w:rPr>
          <w:rFonts w:ascii="Arial"/>
          <w:i/>
          <w:spacing w:val="-7"/>
          <w:sz w:val="22"/>
        </w:rPr>
        <w:t> </w:t>
      </w:r>
      <w:r>
        <w:rPr>
          <w:rFonts w:ascii="Arial"/>
          <w:i/>
          <w:spacing w:val="-2"/>
          <w:sz w:val="22"/>
        </w:rPr>
        <w:t>Management</w:t>
      </w:r>
    </w:p>
    <w:p>
      <w:pPr>
        <w:pStyle w:val="BodyText"/>
        <w:spacing w:line="232" w:lineRule="auto" w:before="67"/>
        <w:ind w:left="359" w:right="1516"/>
      </w:pPr>
      <w:r>
        <w:rPr/>
        <w:t>During the expected 15 years of plan implementation, improve drainage, water crossing and trail</w:t>
      </w:r>
      <w:r>
        <w:rPr>
          <w:spacing w:val="-6"/>
        </w:rPr>
        <w:t> </w:t>
      </w:r>
      <w:r>
        <w:rPr/>
        <w:t>layout</w:t>
      </w:r>
      <w:r>
        <w:rPr>
          <w:spacing w:val="-8"/>
        </w:rPr>
        <w:t> </w:t>
      </w:r>
      <w:r>
        <w:rPr/>
        <w:t>on</w:t>
      </w:r>
      <w:r>
        <w:rPr>
          <w:spacing w:val="-7"/>
        </w:rPr>
        <w:t> </w:t>
      </w:r>
      <w:r>
        <w:rPr/>
        <w:t>5</w:t>
      </w:r>
      <w:r>
        <w:rPr>
          <w:spacing w:val="-5"/>
        </w:rPr>
        <w:t> </w:t>
      </w:r>
      <w:r>
        <w:rPr/>
        <w:t>percent</w:t>
      </w:r>
      <w:r>
        <w:rPr>
          <w:spacing w:val="-8"/>
        </w:rPr>
        <w:t> </w:t>
      </w:r>
      <w:r>
        <w:rPr/>
        <w:t>of</w:t>
      </w:r>
      <w:r>
        <w:rPr>
          <w:spacing w:val="-9"/>
        </w:rPr>
        <w:t> </w:t>
      </w:r>
      <w:r>
        <w:rPr/>
        <w:t>the</w:t>
      </w:r>
      <w:r>
        <w:rPr>
          <w:spacing w:val="-5"/>
        </w:rPr>
        <w:t> </w:t>
      </w:r>
      <w:r>
        <w:rPr/>
        <w:t>Forest’s</w:t>
      </w:r>
      <w:r>
        <w:rPr>
          <w:spacing w:val="-8"/>
        </w:rPr>
        <w:t> </w:t>
      </w:r>
      <w:r>
        <w:rPr/>
        <w:t>trail</w:t>
      </w:r>
      <w:r>
        <w:rPr>
          <w:spacing w:val="-6"/>
        </w:rPr>
        <w:t> </w:t>
      </w:r>
      <w:r>
        <w:rPr/>
        <w:t>system</w:t>
      </w:r>
      <w:r>
        <w:rPr>
          <w:spacing w:val="-7"/>
        </w:rPr>
        <w:t> </w:t>
      </w:r>
      <w:r>
        <w:rPr/>
        <w:t>designed</w:t>
      </w:r>
      <w:r>
        <w:rPr>
          <w:spacing w:val="-7"/>
        </w:rPr>
        <w:t> </w:t>
      </w:r>
      <w:r>
        <w:rPr/>
        <w:t>for</w:t>
      </w:r>
      <w:r>
        <w:rPr>
          <w:spacing w:val="-8"/>
        </w:rPr>
        <w:t> </w:t>
      </w:r>
      <w:r>
        <w:rPr/>
        <w:t>mountain</w:t>
      </w:r>
      <w:r>
        <w:rPr>
          <w:spacing w:val="-7"/>
        </w:rPr>
        <w:t> </w:t>
      </w:r>
      <w:r>
        <w:rPr/>
        <w:t>bikes,</w:t>
      </w:r>
      <w:r>
        <w:rPr>
          <w:spacing w:val="-10"/>
        </w:rPr>
        <w:t> </w:t>
      </w:r>
      <w:r>
        <w:rPr/>
        <w:t>motorized</w:t>
      </w:r>
      <w:r>
        <w:rPr>
          <w:spacing w:val="-7"/>
        </w:rPr>
        <w:t> </w:t>
      </w:r>
      <w:r>
        <w:rPr/>
        <w:t>use, and pack stock.</w:t>
      </w:r>
    </w:p>
    <w:p>
      <w:pPr>
        <w:spacing w:before="233"/>
        <w:ind w:left="359" w:right="0" w:firstLine="0"/>
        <w:jc w:val="left"/>
        <w:rPr>
          <w:rFonts w:ascii="Arial"/>
          <w:i/>
          <w:sz w:val="22"/>
        </w:rPr>
      </w:pPr>
      <w:bookmarkStart w:name="FW-OBJ-AS-03. Trail Maintenance" w:id="362"/>
      <w:bookmarkEnd w:id="362"/>
      <w:r>
        <w:rPr/>
      </w:r>
      <w:r>
        <w:rPr>
          <w:rFonts w:ascii="Arial"/>
          <w:i/>
          <w:sz w:val="22"/>
        </w:rPr>
        <w:t>FW-OBJ-AS-03.</w:t>
      </w:r>
      <w:r>
        <w:rPr>
          <w:rFonts w:ascii="Arial"/>
          <w:i/>
          <w:spacing w:val="-6"/>
          <w:sz w:val="22"/>
        </w:rPr>
        <w:t> </w:t>
      </w:r>
      <w:r>
        <w:rPr>
          <w:rFonts w:ascii="Arial"/>
          <w:i/>
          <w:sz w:val="22"/>
        </w:rPr>
        <w:t>Trail</w:t>
      </w:r>
      <w:r>
        <w:rPr>
          <w:rFonts w:ascii="Arial"/>
          <w:i/>
          <w:spacing w:val="-7"/>
          <w:sz w:val="22"/>
        </w:rPr>
        <w:t> </w:t>
      </w:r>
      <w:r>
        <w:rPr>
          <w:rFonts w:ascii="Arial"/>
          <w:i/>
          <w:spacing w:val="-2"/>
          <w:sz w:val="22"/>
        </w:rPr>
        <w:t>Maintenance</w:t>
      </w:r>
    </w:p>
    <w:p>
      <w:pPr>
        <w:pStyle w:val="BodyText"/>
        <w:spacing w:before="59"/>
        <w:ind w:left="359"/>
      </w:pPr>
      <w:r>
        <w:rPr/>
        <w:t>Annually,</w:t>
      </w:r>
      <w:r>
        <w:rPr>
          <w:spacing w:val="-11"/>
        </w:rPr>
        <w:t> </w:t>
      </w:r>
      <w:r>
        <w:rPr/>
        <w:t>maintain</w:t>
      </w:r>
      <w:r>
        <w:rPr>
          <w:spacing w:val="-10"/>
        </w:rPr>
        <w:t> </w:t>
      </w:r>
      <w:r>
        <w:rPr/>
        <w:t>at</w:t>
      </w:r>
      <w:r>
        <w:rPr>
          <w:spacing w:val="-8"/>
        </w:rPr>
        <w:t> </w:t>
      </w:r>
      <w:r>
        <w:rPr/>
        <w:t>least</w:t>
      </w:r>
      <w:r>
        <w:rPr>
          <w:spacing w:val="-12"/>
        </w:rPr>
        <w:t> </w:t>
      </w:r>
      <w:r>
        <w:rPr/>
        <w:t>20</w:t>
      </w:r>
      <w:r>
        <w:rPr>
          <w:spacing w:val="-8"/>
        </w:rPr>
        <w:t> </w:t>
      </w:r>
      <w:r>
        <w:rPr/>
        <w:t>percent</w:t>
      </w:r>
      <w:r>
        <w:rPr>
          <w:spacing w:val="-8"/>
        </w:rPr>
        <w:t> </w:t>
      </w:r>
      <w:r>
        <w:rPr/>
        <w:t>of</w:t>
      </w:r>
      <w:r>
        <w:rPr>
          <w:spacing w:val="-8"/>
        </w:rPr>
        <w:t> </w:t>
      </w:r>
      <w:r>
        <w:rPr/>
        <w:t>the</w:t>
      </w:r>
      <w:r>
        <w:rPr>
          <w:spacing w:val="-11"/>
        </w:rPr>
        <w:t> </w:t>
      </w:r>
      <w:r>
        <w:rPr/>
        <w:t>Forest’s</w:t>
      </w:r>
      <w:r>
        <w:rPr>
          <w:spacing w:val="-10"/>
        </w:rPr>
        <w:t> </w:t>
      </w:r>
      <w:r>
        <w:rPr/>
        <w:t>motorized</w:t>
      </w:r>
      <w:r>
        <w:rPr>
          <w:spacing w:val="-10"/>
        </w:rPr>
        <w:t> </w:t>
      </w:r>
      <w:r>
        <w:rPr/>
        <w:t>and</w:t>
      </w:r>
      <w:r>
        <w:rPr>
          <w:spacing w:val="-9"/>
        </w:rPr>
        <w:t> </w:t>
      </w:r>
      <w:r>
        <w:rPr/>
        <w:t>non-motorized</w:t>
      </w:r>
      <w:r>
        <w:rPr>
          <w:spacing w:val="-10"/>
        </w:rPr>
        <w:t> </w:t>
      </w:r>
      <w:r>
        <w:rPr/>
        <w:t>trail</w:t>
      </w:r>
      <w:r>
        <w:rPr>
          <w:spacing w:val="-8"/>
        </w:rPr>
        <w:t> </w:t>
      </w:r>
      <w:r>
        <w:rPr>
          <w:spacing w:val="-2"/>
        </w:rPr>
        <w:t>system.</w:t>
      </w:r>
    </w:p>
    <w:p>
      <w:pPr>
        <w:pStyle w:val="BodyText"/>
        <w:spacing w:after="0"/>
        <w:sectPr>
          <w:pgSz w:w="12240" w:h="15840"/>
          <w:pgMar w:header="725" w:footer="891" w:top="960" w:bottom="1080" w:left="1080" w:right="720"/>
        </w:sectPr>
      </w:pPr>
    </w:p>
    <w:p>
      <w:pPr>
        <w:pStyle w:val="BodyText"/>
        <w:spacing w:before="182"/>
        <w:rPr>
          <w:sz w:val="24"/>
        </w:rPr>
      </w:pPr>
    </w:p>
    <w:p>
      <w:pPr>
        <w:pStyle w:val="Heading4"/>
        <w:ind w:left="1151"/>
      </w:pPr>
      <w:bookmarkStart w:name="Standard" w:id="363"/>
      <w:bookmarkEnd w:id="363"/>
      <w:r>
        <w:rPr/>
      </w:r>
      <w:bookmarkStart w:name="_bookmark122" w:id="364"/>
      <w:bookmarkEnd w:id="364"/>
      <w:r>
        <w:rPr/>
      </w:r>
      <w:r>
        <w:rPr>
          <w:spacing w:val="-2"/>
        </w:rPr>
        <w:t>Standard</w:t>
      </w:r>
    </w:p>
    <w:p>
      <w:pPr>
        <w:spacing w:before="240"/>
        <w:ind w:left="1151" w:right="0" w:firstLine="0"/>
        <w:jc w:val="left"/>
        <w:rPr>
          <w:rFonts w:ascii="Arial"/>
          <w:i/>
          <w:sz w:val="22"/>
        </w:rPr>
      </w:pPr>
      <w:bookmarkStart w:name="FW-STD-AS-01. Cross-country Over-snow Ve" w:id="365"/>
      <w:bookmarkEnd w:id="365"/>
      <w:r>
        <w:rPr/>
      </w:r>
      <w:r>
        <w:rPr>
          <w:rFonts w:ascii="Arial"/>
          <w:i/>
          <w:sz w:val="22"/>
        </w:rPr>
        <w:t>FW-STD-AS-01.</w:t>
      </w:r>
      <w:r>
        <w:rPr>
          <w:rFonts w:ascii="Arial"/>
          <w:i/>
          <w:spacing w:val="-11"/>
          <w:sz w:val="22"/>
        </w:rPr>
        <w:t> </w:t>
      </w:r>
      <w:r>
        <w:rPr>
          <w:rFonts w:ascii="Arial"/>
          <w:i/>
          <w:sz w:val="22"/>
        </w:rPr>
        <w:t>Cross-country</w:t>
      </w:r>
      <w:r>
        <w:rPr>
          <w:rFonts w:ascii="Arial"/>
          <w:i/>
          <w:spacing w:val="-10"/>
          <w:sz w:val="22"/>
        </w:rPr>
        <w:t> </w:t>
      </w:r>
      <w:r>
        <w:rPr>
          <w:rFonts w:ascii="Arial"/>
          <w:i/>
          <w:sz w:val="22"/>
        </w:rPr>
        <w:t>Over-snow</w:t>
      </w:r>
      <w:r>
        <w:rPr>
          <w:rFonts w:ascii="Arial"/>
          <w:i/>
          <w:spacing w:val="-9"/>
          <w:sz w:val="22"/>
        </w:rPr>
        <w:t> </w:t>
      </w:r>
      <w:r>
        <w:rPr>
          <w:rFonts w:ascii="Arial"/>
          <w:i/>
          <w:sz w:val="22"/>
        </w:rPr>
        <w:t>Vehicle</w:t>
      </w:r>
      <w:r>
        <w:rPr>
          <w:rFonts w:ascii="Arial"/>
          <w:i/>
          <w:spacing w:val="-9"/>
          <w:sz w:val="22"/>
        </w:rPr>
        <w:t> </w:t>
      </w:r>
      <w:r>
        <w:rPr>
          <w:rFonts w:ascii="Arial"/>
          <w:i/>
          <w:spacing w:val="-5"/>
          <w:sz w:val="22"/>
        </w:rPr>
        <w:t>Use</w:t>
      </w:r>
    </w:p>
    <w:p>
      <w:pPr>
        <w:pStyle w:val="BodyText"/>
        <w:spacing w:line="232" w:lineRule="auto" w:before="65"/>
        <w:ind w:left="1151" w:right="801"/>
      </w:pPr>
      <w:r>
        <w:rPr/>
        <w:t>Cross-country</w:t>
      </w:r>
      <w:r>
        <w:rPr>
          <w:spacing w:val="-6"/>
        </w:rPr>
        <w:t> </w:t>
      </w:r>
      <w:r>
        <w:rPr/>
        <w:t>over-snow</w:t>
      </w:r>
      <w:r>
        <w:rPr>
          <w:spacing w:val="-7"/>
        </w:rPr>
        <w:t> </w:t>
      </w:r>
      <w:r>
        <w:rPr/>
        <w:t>vehicle</w:t>
      </w:r>
      <w:r>
        <w:rPr>
          <w:spacing w:val="-4"/>
        </w:rPr>
        <w:t> </w:t>
      </w:r>
      <w:r>
        <w:rPr/>
        <w:t>use</w:t>
      </w:r>
      <w:r>
        <w:rPr>
          <w:spacing w:val="-7"/>
        </w:rPr>
        <w:t> </w:t>
      </w:r>
      <w:r>
        <w:rPr/>
        <w:t>will</w:t>
      </w:r>
      <w:r>
        <w:rPr>
          <w:spacing w:val="-5"/>
        </w:rPr>
        <w:t> </w:t>
      </w:r>
      <w:r>
        <w:rPr/>
        <w:t>be</w:t>
      </w:r>
      <w:r>
        <w:rPr>
          <w:spacing w:val="-4"/>
        </w:rPr>
        <w:t> </w:t>
      </w:r>
      <w:r>
        <w:rPr/>
        <w:t>discontinued</w:t>
      </w:r>
      <w:r>
        <w:rPr>
          <w:spacing w:val="-6"/>
        </w:rPr>
        <w:t> </w:t>
      </w:r>
      <w:r>
        <w:rPr/>
        <w:t>for</w:t>
      </w:r>
      <w:r>
        <w:rPr>
          <w:spacing w:val="-7"/>
        </w:rPr>
        <w:t> </w:t>
      </w:r>
      <w:r>
        <w:rPr/>
        <w:t>the</w:t>
      </w:r>
      <w:r>
        <w:rPr>
          <w:spacing w:val="-4"/>
        </w:rPr>
        <w:t> </w:t>
      </w:r>
      <w:r>
        <w:rPr/>
        <w:t>season</w:t>
      </w:r>
      <w:r>
        <w:rPr>
          <w:spacing w:val="-7"/>
        </w:rPr>
        <w:t> </w:t>
      </w:r>
      <w:r>
        <w:rPr/>
        <w:t>when</w:t>
      </w:r>
      <w:r>
        <w:rPr>
          <w:spacing w:val="-6"/>
        </w:rPr>
        <w:t> </w:t>
      </w:r>
      <w:r>
        <w:rPr/>
        <w:t>areas</w:t>
      </w:r>
      <w:r>
        <w:rPr>
          <w:spacing w:val="-5"/>
        </w:rPr>
        <w:t> </w:t>
      </w:r>
      <w:r>
        <w:rPr/>
        <w:t>no</w:t>
      </w:r>
      <w:r>
        <w:rPr>
          <w:spacing w:val="-6"/>
        </w:rPr>
        <w:t> </w:t>
      </w:r>
      <w:r>
        <w:rPr/>
        <w:t>longer allow for continuous over-the-snow travel to protect other resources such as soil and </w:t>
      </w:r>
      <w:r>
        <w:rPr>
          <w:spacing w:val="-2"/>
        </w:rPr>
        <w:t>vegetation.</w:t>
      </w:r>
    </w:p>
    <w:p>
      <w:pPr>
        <w:pStyle w:val="Heading4"/>
        <w:spacing w:before="235"/>
        <w:ind w:left="1219"/>
      </w:pPr>
      <w:bookmarkStart w:name="Guidelines" w:id="366"/>
      <w:bookmarkEnd w:id="366"/>
      <w:r>
        <w:rPr/>
      </w:r>
      <w:bookmarkStart w:name="_bookmark123" w:id="367"/>
      <w:bookmarkEnd w:id="367"/>
      <w:r>
        <w:rPr/>
      </w:r>
      <w:r>
        <w:rPr>
          <w:spacing w:val="-2"/>
        </w:rPr>
        <w:t>Guidelines</w:t>
      </w:r>
    </w:p>
    <w:p>
      <w:pPr>
        <w:spacing w:before="238"/>
        <w:ind w:left="1151" w:right="0" w:firstLine="0"/>
        <w:jc w:val="left"/>
        <w:rPr>
          <w:rFonts w:ascii="Arial"/>
          <w:i/>
          <w:sz w:val="22"/>
        </w:rPr>
      </w:pPr>
      <w:bookmarkStart w:name="FW-GDL-AS-01. Winter Use of Roads" w:id="368"/>
      <w:bookmarkEnd w:id="368"/>
      <w:r>
        <w:rPr/>
      </w:r>
      <w:r>
        <w:rPr>
          <w:rFonts w:ascii="Arial"/>
          <w:i/>
          <w:sz w:val="22"/>
        </w:rPr>
        <w:t>FW-GDL-AS-01.</w:t>
      </w:r>
      <w:r>
        <w:rPr>
          <w:rFonts w:ascii="Arial"/>
          <w:i/>
          <w:spacing w:val="-8"/>
          <w:sz w:val="22"/>
        </w:rPr>
        <w:t> </w:t>
      </w:r>
      <w:r>
        <w:rPr>
          <w:rFonts w:ascii="Arial"/>
          <w:i/>
          <w:sz w:val="22"/>
        </w:rPr>
        <w:t>Winter</w:t>
      </w:r>
      <w:r>
        <w:rPr>
          <w:rFonts w:ascii="Arial"/>
          <w:i/>
          <w:spacing w:val="-7"/>
          <w:sz w:val="22"/>
        </w:rPr>
        <w:t> </w:t>
      </w:r>
      <w:r>
        <w:rPr>
          <w:rFonts w:ascii="Arial"/>
          <w:i/>
          <w:sz w:val="22"/>
        </w:rPr>
        <w:t>Use</w:t>
      </w:r>
      <w:r>
        <w:rPr>
          <w:rFonts w:ascii="Arial"/>
          <w:i/>
          <w:spacing w:val="-4"/>
          <w:sz w:val="22"/>
        </w:rPr>
        <w:t> </w:t>
      </w:r>
      <w:r>
        <w:rPr>
          <w:rFonts w:ascii="Arial"/>
          <w:i/>
          <w:sz w:val="22"/>
        </w:rPr>
        <w:t>of</w:t>
      </w:r>
      <w:r>
        <w:rPr>
          <w:rFonts w:ascii="Arial"/>
          <w:i/>
          <w:spacing w:val="-5"/>
          <w:sz w:val="22"/>
        </w:rPr>
        <w:t> </w:t>
      </w:r>
      <w:r>
        <w:rPr>
          <w:rFonts w:ascii="Arial"/>
          <w:i/>
          <w:spacing w:val="-2"/>
          <w:sz w:val="22"/>
        </w:rPr>
        <w:t>Roads</w:t>
      </w:r>
    </w:p>
    <w:p>
      <w:pPr>
        <w:pStyle w:val="BodyText"/>
        <w:spacing w:line="232" w:lineRule="auto" w:before="67"/>
        <w:ind w:left="1151" w:right="898"/>
        <w:jc w:val="both"/>
      </w:pPr>
      <w:r>
        <w:rPr/>
        <w:t>In</w:t>
      </w:r>
      <w:r>
        <w:rPr>
          <w:spacing w:val="-3"/>
        </w:rPr>
        <w:t> </w:t>
      </w:r>
      <w:r>
        <w:rPr/>
        <w:t>the</w:t>
      </w:r>
      <w:r>
        <w:rPr>
          <w:spacing w:val="-2"/>
        </w:rPr>
        <w:t> </w:t>
      </w:r>
      <w:r>
        <w:rPr/>
        <w:t>winter,</w:t>
      </w:r>
      <w:r>
        <w:rPr>
          <w:spacing w:val="-2"/>
        </w:rPr>
        <w:t> </w:t>
      </w:r>
      <w:r>
        <w:rPr/>
        <w:t>when</w:t>
      </w:r>
      <w:r>
        <w:rPr>
          <w:spacing w:val="-3"/>
        </w:rPr>
        <w:t> </w:t>
      </w:r>
      <w:r>
        <w:rPr/>
        <w:t>and</w:t>
      </w:r>
      <w:r>
        <w:rPr>
          <w:spacing w:val="-3"/>
        </w:rPr>
        <w:t> </w:t>
      </w:r>
      <w:r>
        <w:rPr/>
        <w:t>where</w:t>
      </w:r>
      <w:r>
        <w:rPr>
          <w:spacing w:val="-2"/>
        </w:rPr>
        <w:t> </w:t>
      </w:r>
      <w:r>
        <w:rPr/>
        <w:t>specified,</w:t>
      </w:r>
      <w:r>
        <w:rPr>
          <w:spacing w:val="-4"/>
        </w:rPr>
        <w:t> </w:t>
      </w:r>
      <w:r>
        <w:rPr/>
        <w:t>over-the-snow</w:t>
      </w:r>
      <w:r>
        <w:rPr>
          <w:spacing w:val="-2"/>
        </w:rPr>
        <w:t> </w:t>
      </w:r>
      <w:r>
        <w:rPr/>
        <w:t>recreational</w:t>
      </w:r>
      <w:r>
        <w:rPr>
          <w:spacing w:val="-2"/>
        </w:rPr>
        <w:t> </w:t>
      </w:r>
      <w:r>
        <w:rPr/>
        <w:t>use</w:t>
      </w:r>
      <w:r>
        <w:rPr>
          <w:spacing w:val="-2"/>
        </w:rPr>
        <w:t> </w:t>
      </w:r>
      <w:r>
        <w:rPr/>
        <w:t>(either</w:t>
      </w:r>
      <w:r>
        <w:rPr>
          <w:spacing w:val="-4"/>
        </w:rPr>
        <w:t> </w:t>
      </w:r>
      <w:r>
        <w:rPr/>
        <w:t>motorized</w:t>
      </w:r>
      <w:r>
        <w:rPr>
          <w:spacing w:val="-3"/>
        </w:rPr>
        <w:t> </w:t>
      </w:r>
      <w:r>
        <w:rPr/>
        <w:t>or non-motorized)</w:t>
      </w:r>
      <w:r>
        <w:rPr>
          <w:spacing w:val="-9"/>
        </w:rPr>
        <w:t> </w:t>
      </w:r>
      <w:r>
        <w:rPr/>
        <w:t>may</w:t>
      </w:r>
      <w:r>
        <w:rPr>
          <w:spacing w:val="-7"/>
        </w:rPr>
        <w:t> </w:t>
      </w:r>
      <w:r>
        <w:rPr/>
        <w:t>be</w:t>
      </w:r>
      <w:r>
        <w:rPr>
          <w:spacing w:val="-7"/>
        </w:rPr>
        <w:t> </w:t>
      </w:r>
      <w:r>
        <w:rPr/>
        <w:t>accommodated.</w:t>
      </w:r>
      <w:r>
        <w:rPr>
          <w:spacing w:val="-7"/>
        </w:rPr>
        <w:t> </w:t>
      </w:r>
      <w:r>
        <w:rPr/>
        <w:t>Roads</w:t>
      </w:r>
      <w:r>
        <w:rPr>
          <w:spacing w:val="-9"/>
        </w:rPr>
        <w:t> </w:t>
      </w:r>
      <w:r>
        <w:rPr/>
        <w:t>may</w:t>
      </w:r>
      <w:r>
        <w:rPr>
          <w:spacing w:val="-8"/>
        </w:rPr>
        <w:t> </w:t>
      </w:r>
      <w:r>
        <w:rPr/>
        <w:t>be</w:t>
      </w:r>
      <w:r>
        <w:rPr>
          <w:spacing w:val="-9"/>
        </w:rPr>
        <w:t> </w:t>
      </w:r>
      <w:r>
        <w:rPr/>
        <w:t>plowed</w:t>
      </w:r>
      <w:r>
        <w:rPr>
          <w:spacing w:val="-8"/>
        </w:rPr>
        <w:t> </w:t>
      </w:r>
      <w:r>
        <w:rPr/>
        <w:t>to</w:t>
      </w:r>
      <w:r>
        <w:rPr>
          <w:spacing w:val="-7"/>
        </w:rPr>
        <w:t> </w:t>
      </w:r>
      <w:r>
        <w:rPr/>
        <w:t>accommodate</w:t>
      </w:r>
      <w:r>
        <w:rPr>
          <w:spacing w:val="-9"/>
        </w:rPr>
        <w:t> </w:t>
      </w:r>
      <w:r>
        <w:rPr/>
        <w:t>management activities such as winter logging or access to winter recreation sites such as Sno-Parks.</w:t>
      </w:r>
    </w:p>
    <w:p>
      <w:pPr>
        <w:spacing w:before="233"/>
        <w:ind w:left="1151" w:right="0" w:firstLine="0"/>
        <w:jc w:val="left"/>
        <w:rPr>
          <w:rFonts w:ascii="Arial"/>
          <w:i/>
          <w:sz w:val="22"/>
        </w:rPr>
      </w:pPr>
      <w:bookmarkStart w:name="FW-GDL-AS-02. Wilderness Trail Structure" w:id="369"/>
      <w:bookmarkEnd w:id="369"/>
      <w:r>
        <w:rPr/>
      </w:r>
      <w:r>
        <w:rPr>
          <w:rFonts w:ascii="Arial"/>
          <w:i/>
          <w:sz w:val="22"/>
        </w:rPr>
        <w:t>FW-GDL-AS-02.</w:t>
      </w:r>
      <w:r>
        <w:rPr>
          <w:rFonts w:ascii="Arial"/>
          <w:i/>
          <w:spacing w:val="-10"/>
          <w:sz w:val="22"/>
        </w:rPr>
        <w:t> </w:t>
      </w:r>
      <w:r>
        <w:rPr>
          <w:rFonts w:ascii="Arial"/>
          <w:i/>
          <w:sz w:val="22"/>
        </w:rPr>
        <w:t>Wilderness</w:t>
      </w:r>
      <w:r>
        <w:rPr>
          <w:rFonts w:ascii="Arial"/>
          <w:i/>
          <w:spacing w:val="-7"/>
          <w:sz w:val="22"/>
        </w:rPr>
        <w:t> </w:t>
      </w:r>
      <w:r>
        <w:rPr>
          <w:rFonts w:ascii="Arial"/>
          <w:i/>
          <w:sz w:val="22"/>
        </w:rPr>
        <w:t>Trail</w:t>
      </w:r>
      <w:r>
        <w:rPr>
          <w:rFonts w:ascii="Arial"/>
          <w:i/>
          <w:spacing w:val="-8"/>
          <w:sz w:val="22"/>
        </w:rPr>
        <w:t> </w:t>
      </w:r>
      <w:r>
        <w:rPr>
          <w:rFonts w:ascii="Arial"/>
          <w:i/>
          <w:spacing w:val="-2"/>
          <w:sz w:val="22"/>
        </w:rPr>
        <w:t>Structures</w:t>
      </w:r>
    </w:p>
    <w:p>
      <w:pPr>
        <w:pStyle w:val="BodyText"/>
        <w:spacing w:line="232" w:lineRule="auto" w:before="64"/>
        <w:ind w:left="1151" w:right="830"/>
        <w:jc w:val="both"/>
      </w:pPr>
      <w:r>
        <w:rPr/>
        <w:t>Wilderness</w:t>
      </w:r>
      <w:r>
        <w:rPr>
          <w:spacing w:val="-6"/>
        </w:rPr>
        <w:t> </w:t>
      </w:r>
      <w:r>
        <w:rPr/>
        <w:t>trail</w:t>
      </w:r>
      <w:r>
        <w:rPr>
          <w:spacing w:val="-4"/>
        </w:rPr>
        <w:t> </w:t>
      </w:r>
      <w:r>
        <w:rPr/>
        <w:t>structures</w:t>
      </w:r>
      <w:r>
        <w:rPr>
          <w:spacing w:val="-9"/>
        </w:rPr>
        <w:t> </w:t>
      </w:r>
      <w:r>
        <w:rPr/>
        <w:t>should</w:t>
      </w:r>
      <w:r>
        <w:rPr>
          <w:spacing w:val="-5"/>
        </w:rPr>
        <w:t> </w:t>
      </w:r>
      <w:r>
        <w:rPr/>
        <w:t>be</w:t>
      </w:r>
      <w:r>
        <w:rPr>
          <w:spacing w:val="-3"/>
        </w:rPr>
        <w:t> </w:t>
      </w:r>
      <w:r>
        <w:rPr/>
        <w:t>constructed</w:t>
      </w:r>
      <w:r>
        <w:rPr>
          <w:spacing w:val="-7"/>
        </w:rPr>
        <w:t> </w:t>
      </w:r>
      <w:r>
        <w:rPr/>
        <w:t>of</w:t>
      </w:r>
      <w:r>
        <w:rPr>
          <w:spacing w:val="-4"/>
        </w:rPr>
        <w:t> </w:t>
      </w:r>
      <w:r>
        <w:rPr/>
        <w:t>native</w:t>
      </w:r>
      <w:r>
        <w:rPr>
          <w:spacing w:val="-6"/>
        </w:rPr>
        <w:t> </w:t>
      </w:r>
      <w:r>
        <w:rPr/>
        <w:t>materials</w:t>
      </w:r>
      <w:r>
        <w:rPr>
          <w:spacing w:val="-6"/>
        </w:rPr>
        <w:t> </w:t>
      </w:r>
      <w:r>
        <w:rPr/>
        <w:t>when</w:t>
      </w:r>
      <w:r>
        <w:rPr>
          <w:spacing w:val="-5"/>
        </w:rPr>
        <w:t> </w:t>
      </w:r>
      <w:r>
        <w:rPr/>
        <w:t>possible.</w:t>
      </w:r>
      <w:r>
        <w:rPr>
          <w:spacing w:val="-4"/>
        </w:rPr>
        <w:t> </w:t>
      </w:r>
      <w:r>
        <w:rPr/>
        <w:t>The</w:t>
      </w:r>
      <w:r>
        <w:rPr>
          <w:spacing w:val="-3"/>
        </w:rPr>
        <w:t> </w:t>
      </w:r>
      <w:r>
        <w:rPr/>
        <w:t>use</w:t>
      </w:r>
      <w:r>
        <w:rPr>
          <w:spacing w:val="-3"/>
        </w:rPr>
        <w:t> </w:t>
      </w:r>
      <w:r>
        <w:rPr/>
        <w:t>of non-native fasteners is an acceptable practice.</w:t>
      </w:r>
    </w:p>
    <w:p>
      <w:pPr>
        <w:spacing w:before="234"/>
        <w:ind w:left="1151" w:right="0" w:firstLine="0"/>
        <w:jc w:val="left"/>
        <w:rPr>
          <w:rFonts w:ascii="Arial"/>
          <w:i/>
          <w:sz w:val="22"/>
        </w:rPr>
      </w:pPr>
      <w:bookmarkStart w:name="FW-GDL-AS-03. Over-snow Vehicle Use on R" w:id="370"/>
      <w:bookmarkEnd w:id="370"/>
      <w:r>
        <w:rPr/>
      </w:r>
      <w:r>
        <w:rPr>
          <w:rFonts w:ascii="Arial"/>
          <w:i/>
          <w:sz w:val="22"/>
        </w:rPr>
        <w:t>FW-GDL-AS-03.</w:t>
      </w:r>
      <w:r>
        <w:rPr>
          <w:rFonts w:ascii="Arial"/>
          <w:i/>
          <w:spacing w:val="-8"/>
          <w:sz w:val="22"/>
        </w:rPr>
        <w:t> </w:t>
      </w:r>
      <w:r>
        <w:rPr>
          <w:rFonts w:ascii="Arial"/>
          <w:i/>
          <w:sz w:val="22"/>
        </w:rPr>
        <w:t>Over-snow</w:t>
      </w:r>
      <w:r>
        <w:rPr>
          <w:rFonts w:ascii="Arial"/>
          <w:i/>
          <w:spacing w:val="-4"/>
          <w:sz w:val="22"/>
        </w:rPr>
        <w:t> </w:t>
      </w:r>
      <w:r>
        <w:rPr>
          <w:rFonts w:ascii="Arial"/>
          <w:i/>
          <w:sz w:val="22"/>
        </w:rPr>
        <w:t>Vehicle</w:t>
      </w:r>
      <w:r>
        <w:rPr>
          <w:rFonts w:ascii="Arial"/>
          <w:i/>
          <w:spacing w:val="-6"/>
          <w:sz w:val="22"/>
        </w:rPr>
        <w:t> </w:t>
      </w:r>
      <w:r>
        <w:rPr>
          <w:rFonts w:ascii="Arial"/>
          <w:i/>
          <w:sz w:val="22"/>
        </w:rPr>
        <w:t>Use</w:t>
      </w:r>
      <w:r>
        <w:rPr>
          <w:rFonts w:ascii="Arial"/>
          <w:i/>
          <w:spacing w:val="-7"/>
          <w:sz w:val="22"/>
        </w:rPr>
        <w:t> </w:t>
      </w:r>
      <w:r>
        <w:rPr>
          <w:rFonts w:ascii="Arial"/>
          <w:i/>
          <w:sz w:val="22"/>
        </w:rPr>
        <w:t>on</w:t>
      </w:r>
      <w:r>
        <w:rPr>
          <w:rFonts w:ascii="Arial"/>
          <w:i/>
          <w:spacing w:val="-5"/>
          <w:sz w:val="22"/>
        </w:rPr>
        <w:t> </w:t>
      </w:r>
      <w:r>
        <w:rPr>
          <w:rFonts w:ascii="Arial"/>
          <w:i/>
          <w:spacing w:val="-2"/>
          <w:sz w:val="22"/>
        </w:rPr>
        <w:t>Roads</w:t>
      </w:r>
    </w:p>
    <w:p>
      <w:pPr>
        <w:pStyle w:val="BodyText"/>
        <w:spacing w:line="232" w:lineRule="auto" w:before="65"/>
        <w:ind w:left="1151" w:right="801"/>
      </w:pPr>
      <w:r>
        <w:rPr/>
        <w:t>Over-snow</w:t>
      </w:r>
      <w:r>
        <w:rPr>
          <w:spacing w:val="-6"/>
        </w:rPr>
        <w:t> </w:t>
      </w:r>
      <w:r>
        <w:rPr/>
        <w:t>vehicle</w:t>
      </w:r>
      <w:r>
        <w:rPr>
          <w:spacing w:val="-4"/>
        </w:rPr>
        <w:t> </w:t>
      </w:r>
      <w:r>
        <w:rPr/>
        <w:t>use</w:t>
      </w:r>
      <w:r>
        <w:rPr>
          <w:spacing w:val="-6"/>
        </w:rPr>
        <w:t> </w:t>
      </w:r>
      <w:r>
        <w:rPr/>
        <w:t>should</w:t>
      </w:r>
      <w:r>
        <w:rPr>
          <w:spacing w:val="-5"/>
        </w:rPr>
        <w:t> </w:t>
      </w:r>
      <w:r>
        <w:rPr/>
        <w:t>be</w:t>
      </w:r>
      <w:r>
        <w:rPr>
          <w:spacing w:val="-4"/>
        </w:rPr>
        <w:t> </w:t>
      </w:r>
      <w:r>
        <w:rPr/>
        <w:t>discontinued</w:t>
      </w:r>
      <w:r>
        <w:rPr>
          <w:spacing w:val="-5"/>
        </w:rPr>
        <w:t> </w:t>
      </w:r>
      <w:r>
        <w:rPr/>
        <w:t>for</w:t>
      </w:r>
      <w:r>
        <w:rPr>
          <w:spacing w:val="-5"/>
        </w:rPr>
        <w:t> </w:t>
      </w:r>
      <w:r>
        <w:rPr/>
        <w:t>the</w:t>
      </w:r>
      <w:r>
        <w:rPr>
          <w:spacing w:val="-6"/>
        </w:rPr>
        <w:t> </w:t>
      </w:r>
      <w:r>
        <w:rPr/>
        <w:t>season</w:t>
      </w:r>
      <w:r>
        <w:rPr>
          <w:spacing w:val="-5"/>
        </w:rPr>
        <w:t> </w:t>
      </w:r>
      <w:r>
        <w:rPr/>
        <w:t>when</w:t>
      </w:r>
      <w:r>
        <w:rPr>
          <w:spacing w:val="-7"/>
        </w:rPr>
        <w:t> </w:t>
      </w:r>
      <w:r>
        <w:rPr/>
        <w:t>roads</w:t>
      </w:r>
      <w:r>
        <w:rPr>
          <w:spacing w:val="-5"/>
        </w:rPr>
        <w:t> </w:t>
      </w:r>
      <w:r>
        <w:rPr/>
        <w:t>no</w:t>
      </w:r>
      <w:r>
        <w:rPr>
          <w:spacing w:val="-4"/>
        </w:rPr>
        <w:t> </w:t>
      </w:r>
      <w:r>
        <w:rPr/>
        <w:t>longer</w:t>
      </w:r>
      <w:r>
        <w:rPr>
          <w:spacing w:val="-5"/>
        </w:rPr>
        <w:t> </w:t>
      </w:r>
      <w:r>
        <w:rPr/>
        <w:t>allow</w:t>
      </w:r>
      <w:r>
        <w:rPr>
          <w:spacing w:val="-4"/>
        </w:rPr>
        <w:t> </w:t>
      </w:r>
      <w:r>
        <w:rPr/>
        <w:t>for continuous over-the-snow travel to protect the road base.</w:t>
      </w:r>
    </w:p>
    <w:p>
      <w:pPr>
        <w:spacing w:before="234"/>
        <w:ind w:left="1151" w:right="0" w:firstLine="0"/>
        <w:jc w:val="left"/>
        <w:rPr>
          <w:rFonts w:ascii="Arial"/>
          <w:i/>
          <w:sz w:val="22"/>
        </w:rPr>
      </w:pPr>
      <w:bookmarkStart w:name="FW-GDL-AS-04. Temporary or Limited Acces" w:id="371"/>
      <w:bookmarkEnd w:id="371"/>
      <w:r>
        <w:rPr/>
      </w:r>
      <w:r>
        <w:rPr>
          <w:rFonts w:ascii="Arial"/>
          <w:i/>
          <w:sz w:val="22"/>
        </w:rPr>
        <w:t>FW-GDL-AS-04.</w:t>
      </w:r>
      <w:r>
        <w:rPr>
          <w:rFonts w:ascii="Arial"/>
          <w:i/>
          <w:spacing w:val="-6"/>
          <w:sz w:val="22"/>
        </w:rPr>
        <w:t> </w:t>
      </w:r>
      <w:r>
        <w:rPr>
          <w:rFonts w:ascii="Arial"/>
          <w:i/>
          <w:sz w:val="22"/>
        </w:rPr>
        <w:t>Temporary</w:t>
      </w:r>
      <w:r>
        <w:rPr>
          <w:rFonts w:ascii="Arial"/>
          <w:i/>
          <w:spacing w:val="-7"/>
          <w:sz w:val="22"/>
        </w:rPr>
        <w:t> </w:t>
      </w:r>
      <w:r>
        <w:rPr>
          <w:rFonts w:ascii="Arial"/>
          <w:i/>
          <w:sz w:val="22"/>
        </w:rPr>
        <w:t>or</w:t>
      </w:r>
      <w:r>
        <w:rPr>
          <w:rFonts w:ascii="Arial"/>
          <w:i/>
          <w:spacing w:val="-5"/>
          <w:sz w:val="22"/>
        </w:rPr>
        <w:t> </w:t>
      </w:r>
      <w:r>
        <w:rPr>
          <w:rFonts w:ascii="Arial"/>
          <w:i/>
          <w:sz w:val="22"/>
        </w:rPr>
        <w:t>Limited</w:t>
      </w:r>
      <w:r>
        <w:rPr>
          <w:rFonts w:ascii="Arial"/>
          <w:i/>
          <w:spacing w:val="-7"/>
          <w:sz w:val="22"/>
        </w:rPr>
        <w:t> </w:t>
      </w:r>
      <w:r>
        <w:rPr>
          <w:rFonts w:ascii="Arial"/>
          <w:i/>
          <w:spacing w:val="-2"/>
          <w:sz w:val="22"/>
        </w:rPr>
        <w:t>Access</w:t>
      </w:r>
    </w:p>
    <w:p>
      <w:pPr>
        <w:pStyle w:val="BodyText"/>
        <w:spacing w:line="232" w:lineRule="auto" w:before="65"/>
        <w:ind w:left="1150" w:right="730"/>
      </w:pPr>
      <w:r>
        <w:rPr/>
        <w:t>Acquire rights-of-way across non-National Forest System lands as needed to meet resource management objectives. Rights-of-way are acquired from landowners using easements, term easements,</w:t>
      </w:r>
      <w:r>
        <w:rPr>
          <w:spacing w:val="-8"/>
        </w:rPr>
        <w:t> </w:t>
      </w:r>
      <w:r>
        <w:rPr/>
        <w:t>limited</w:t>
      </w:r>
      <w:r>
        <w:rPr>
          <w:spacing w:val="-9"/>
        </w:rPr>
        <w:t> </w:t>
      </w:r>
      <w:r>
        <w:rPr/>
        <w:t>easements,</w:t>
      </w:r>
      <w:r>
        <w:rPr>
          <w:spacing w:val="-6"/>
        </w:rPr>
        <w:t> </w:t>
      </w:r>
      <w:r>
        <w:rPr/>
        <w:t>or</w:t>
      </w:r>
      <w:r>
        <w:rPr>
          <w:spacing w:val="-6"/>
        </w:rPr>
        <w:t> </w:t>
      </w:r>
      <w:r>
        <w:rPr/>
        <w:t>permits</w:t>
      </w:r>
      <w:r>
        <w:rPr>
          <w:spacing w:val="-6"/>
        </w:rPr>
        <w:t> </w:t>
      </w:r>
      <w:r>
        <w:rPr/>
        <w:t>for</w:t>
      </w:r>
      <w:r>
        <w:rPr>
          <w:spacing w:val="-8"/>
        </w:rPr>
        <w:t> </w:t>
      </w:r>
      <w:r>
        <w:rPr/>
        <w:t>roads</w:t>
      </w:r>
      <w:r>
        <w:rPr>
          <w:spacing w:val="-8"/>
        </w:rPr>
        <w:t> </w:t>
      </w:r>
      <w:r>
        <w:rPr/>
        <w:t>crossing</w:t>
      </w:r>
      <w:r>
        <w:rPr>
          <w:spacing w:val="-7"/>
        </w:rPr>
        <w:t> </w:t>
      </w:r>
      <w:r>
        <w:rPr/>
        <w:t>private</w:t>
      </w:r>
      <w:r>
        <w:rPr>
          <w:spacing w:val="-8"/>
        </w:rPr>
        <w:t> </w:t>
      </w:r>
      <w:r>
        <w:rPr/>
        <w:t>lands.</w:t>
      </w:r>
      <w:r>
        <w:rPr>
          <w:spacing w:val="-6"/>
        </w:rPr>
        <w:t> </w:t>
      </w:r>
      <w:r>
        <w:rPr/>
        <w:t>Temporary</w:t>
      </w:r>
      <w:r>
        <w:rPr>
          <w:spacing w:val="-7"/>
        </w:rPr>
        <w:t> </w:t>
      </w:r>
      <w:r>
        <w:rPr/>
        <w:t>or</w:t>
      </w:r>
      <w:r>
        <w:rPr>
          <w:spacing w:val="-6"/>
        </w:rPr>
        <w:t> </w:t>
      </w:r>
      <w:r>
        <w:rPr/>
        <w:t>limited rights-of-way may be acquired when landowners are unwilling or unable to grant full public access, or when permanent access is not in the public interest or necessary to address long- term resource management objectives.</w:t>
      </w:r>
    </w:p>
    <w:p>
      <w:pPr>
        <w:spacing w:before="234"/>
        <w:ind w:left="1150" w:right="0" w:firstLine="0"/>
        <w:jc w:val="left"/>
        <w:rPr>
          <w:rFonts w:ascii="Arial"/>
          <w:i/>
          <w:sz w:val="22"/>
        </w:rPr>
      </w:pPr>
      <w:bookmarkStart w:name="FW-GDL-AS-05. Motorized and Non-motorize" w:id="372"/>
      <w:bookmarkEnd w:id="372"/>
      <w:r>
        <w:rPr/>
      </w:r>
      <w:r>
        <w:rPr>
          <w:rFonts w:ascii="Arial"/>
          <w:i/>
          <w:sz w:val="22"/>
        </w:rPr>
        <w:t>FW-GDL-AS-05.</w:t>
      </w:r>
      <w:r>
        <w:rPr>
          <w:rFonts w:ascii="Arial"/>
          <w:i/>
          <w:spacing w:val="-8"/>
          <w:sz w:val="22"/>
        </w:rPr>
        <w:t> </w:t>
      </w:r>
      <w:r>
        <w:rPr>
          <w:rFonts w:ascii="Arial"/>
          <w:i/>
          <w:sz w:val="22"/>
        </w:rPr>
        <w:t>Motorized</w:t>
      </w:r>
      <w:r>
        <w:rPr>
          <w:rFonts w:ascii="Arial"/>
          <w:i/>
          <w:spacing w:val="-10"/>
          <w:sz w:val="22"/>
        </w:rPr>
        <w:t> </w:t>
      </w:r>
      <w:r>
        <w:rPr>
          <w:rFonts w:ascii="Arial"/>
          <w:i/>
          <w:sz w:val="22"/>
        </w:rPr>
        <w:t>and</w:t>
      </w:r>
      <w:r>
        <w:rPr>
          <w:rFonts w:ascii="Arial"/>
          <w:i/>
          <w:spacing w:val="-10"/>
          <w:sz w:val="22"/>
        </w:rPr>
        <w:t> </w:t>
      </w:r>
      <w:r>
        <w:rPr>
          <w:rFonts w:ascii="Arial"/>
          <w:i/>
          <w:sz w:val="22"/>
        </w:rPr>
        <w:t>Non-motorized</w:t>
      </w:r>
      <w:r>
        <w:rPr>
          <w:rFonts w:ascii="Arial"/>
          <w:i/>
          <w:spacing w:val="-9"/>
          <w:sz w:val="22"/>
        </w:rPr>
        <w:t> </w:t>
      </w:r>
      <w:r>
        <w:rPr>
          <w:rFonts w:ascii="Arial"/>
          <w:i/>
          <w:spacing w:val="-2"/>
          <w:sz w:val="22"/>
        </w:rPr>
        <w:t>Trails</w:t>
      </w:r>
    </w:p>
    <w:p>
      <w:pPr>
        <w:pStyle w:val="BodyText"/>
        <w:spacing w:line="232" w:lineRule="auto" w:before="65"/>
        <w:ind w:left="1149" w:right="801"/>
      </w:pPr>
      <w:r>
        <w:rPr/>
        <w:t>New</w:t>
      </w:r>
      <w:r>
        <w:rPr>
          <w:spacing w:val="-6"/>
        </w:rPr>
        <w:t> </w:t>
      </w:r>
      <w:r>
        <w:rPr/>
        <w:t>trails</w:t>
      </w:r>
      <w:r>
        <w:rPr>
          <w:spacing w:val="-6"/>
        </w:rPr>
        <w:t> </w:t>
      </w:r>
      <w:r>
        <w:rPr/>
        <w:t>or</w:t>
      </w:r>
      <w:r>
        <w:rPr>
          <w:spacing w:val="-4"/>
        </w:rPr>
        <w:t> </w:t>
      </w:r>
      <w:r>
        <w:rPr/>
        <w:t>additions</w:t>
      </w:r>
      <w:r>
        <w:rPr>
          <w:spacing w:val="-4"/>
        </w:rPr>
        <w:t> </w:t>
      </w:r>
      <w:r>
        <w:rPr/>
        <w:t>to</w:t>
      </w:r>
      <w:r>
        <w:rPr>
          <w:spacing w:val="-5"/>
        </w:rPr>
        <w:t> </w:t>
      </w:r>
      <w:r>
        <w:rPr/>
        <w:t>existing</w:t>
      </w:r>
      <w:r>
        <w:rPr>
          <w:spacing w:val="-5"/>
        </w:rPr>
        <w:t> </w:t>
      </w:r>
      <w:r>
        <w:rPr/>
        <w:t>trails</w:t>
      </w:r>
      <w:r>
        <w:rPr>
          <w:spacing w:val="-4"/>
        </w:rPr>
        <w:t> </w:t>
      </w:r>
      <w:r>
        <w:rPr/>
        <w:t>should</w:t>
      </w:r>
      <w:r>
        <w:rPr>
          <w:spacing w:val="-5"/>
        </w:rPr>
        <w:t> </w:t>
      </w:r>
      <w:r>
        <w:rPr/>
        <w:t>include</w:t>
      </w:r>
      <w:r>
        <w:rPr>
          <w:spacing w:val="-6"/>
        </w:rPr>
        <w:t> </w:t>
      </w:r>
      <w:r>
        <w:rPr/>
        <w:t>destinations</w:t>
      </w:r>
      <w:r>
        <w:rPr>
          <w:spacing w:val="-4"/>
        </w:rPr>
        <w:t> </w:t>
      </w:r>
      <w:r>
        <w:rPr/>
        <w:t>and</w:t>
      </w:r>
      <w:r>
        <w:rPr>
          <w:spacing w:val="-5"/>
        </w:rPr>
        <w:t> </w:t>
      </w:r>
      <w:r>
        <w:rPr/>
        <w:t>loops</w:t>
      </w:r>
      <w:r>
        <w:rPr>
          <w:spacing w:val="-4"/>
        </w:rPr>
        <w:t> </w:t>
      </w:r>
      <w:r>
        <w:rPr/>
        <w:t>to</w:t>
      </w:r>
      <w:r>
        <w:rPr>
          <w:spacing w:val="-5"/>
        </w:rPr>
        <w:t> </w:t>
      </w:r>
      <w:r>
        <w:rPr/>
        <w:t>provide</w:t>
      </w:r>
      <w:r>
        <w:rPr>
          <w:spacing w:val="-3"/>
        </w:rPr>
        <w:t> </w:t>
      </w:r>
      <w:r>
        <w:rPr/>
        <w:t>for</w:t>
      </w:r>
      <w:r>
        <w:rPr>
          <w:spacing w:val="-4"/>
        </w:rPr>
        <w:t> </w:t>
      </w:r>
      <w:r>
        <w:rPr/>
        <w:t>a variety of opportunities.</w:t>
      </w:r>
    </w:p>
    <w:p>
      <w:pPr>
        <w:pStyle w:val="BodyText"/>
        <w:spacing w:line="232" w:lineRule="auto" w:before="199"/>
        <w:ind w:left="1149" w:right="801"/>
      </w:pPr>
      <w:r>
        <w:rPr/>
        <w:t>New trails should be located to avoid meadows, wetlands, riparian areas, stream bottoms, sacred</w:t>
      </w:r>
      <w:r>
        <w:rPr>
          <w:spacing w:val="-6"/>
        </w:rPr>
        <w:t> </w:t>
      </w:r>
      <w:r>
        <w:rPr/>
        <w:t>sites,</w:t>
      </w:r>
      <w:r>
        <w:rPr>
          <w:spacing w:val="-7"/>
        </w:rPr>
        <w:t> </w:t>
      </w:r>
      <w:r>
        <w:rPr/>
        <w:t>and</w:t>
      </w:r>
      <w:r>
        <w:rPr>
          <w:spacing w:val="-6"/>
        </w:rPr>
        <w:t> </w:t>
      </w:r>
      <w:r>
        <w:rPr/>
        <w:t>areas</w:t>
      </w:r>
      <w:r>
        <w:rPr>
          <w:spacing w:val="-5"/>
        </w:rPr>
        <w:t> </w:t>
      </w:r>
      <w:r>
        <w:rPr/>
        <w:t>with</w:t>
      </w:r>
      <w:r>
        <w:rPr>
          <w:spacing w:val="-6"/>
        </w:rPr>
        <w:t> </w:t>
      </w:r>
      <w:r>
        <w:rPr/>
        <w:t>high</w:t>
      </w:r>
      <w:r>
        <w:rPr>
          <w:spacing w:val="-6"/>
        </w:rPr>
        <w:t> </w:t>
      </w:r>
      <w:r>
        <w:rPr/>
        <w:t>concentrations</w:t>
      </w:r>
      <w:r>
        <w:rPr>
          <w:spacing w:val="-7"/>
        </w:rPr>
        <w:t> </w:t>
      </w:r>
      <w:r>
        <w:rPr/>
        <w:t>of</w:t>
      </w:r>
      <w:r>
        <w:rPr>
          <w:spacing w:val="-5"/>
        </w:rPr>
        <w:t> </w:t>
      </w:r>
      <w:r>
        <w:rPr/>
        <w:t>significant</w:t>
      </w:r>
      <w:r>
        <w:rPr>
          <w:spacing w:val="-4"/>
        </w:rPr>
        <w:t> </w:t>
      </w:r>
      <w:r>
        <w:rPr/>
        <w:t>archaeological</w:t>
      </w:r>
      <w:r>
        <w:rPr>
          <w:spacing w:val="-5"/>
        </w:rPr>
        <w:t> </w:t>
      </w:r>
      <w:r>
        <w:rPr/>
        <w:t>sites.</w:t>
      </w:r>
      <w:r>
        <w:rPr>
          <w:spacing w:val="-6"/>
        </w:rPr>
        <w:t> </w:t>
      </w:r>
      <w:r>
        <w:rPr/>
        <w:t>The</w:t>
      </w:r>
      <w:r>
        <w:rPr>
          <w:spacing w:val="-4"/>
        </w:rPr>
        <w:t> </w:t>
      </w:r>
      <w:r>
        <w:rPr/>
        <w:t>number of stream crossings should be minimized or mitigated to reduce impacts to aquatic species.</w:t>
      </w:r>
    </w:p>
    <w:p>
      <w:pPr>
        <w:pStyle w:val="BodyText"/>
        <w:spacing w:line="261" w:lineRule="exact"/>
        <w:ind w:left="1149"/>
      </w:pPr>
      <w:r>
        <w:rPr/>
        <w:t>Meadow</w:t>
      </w:r>
      <w:r>
        <w:rPr>
          <w:spacing w:val="-10"/>
        </w:rPr>
        <w:t> </w:t>
      </w:r>
      <w:r>
        <w:rPr/>
        <w:t>crossings</w:t>
      </w:r>
      <w:r>
        <w:rPr>
          <w:spacing w:val="-8"/>
        </w:rPr>
        <w:t> </w:t>
      </w:r>
      <w:r>
        <w:rPr/>
        <w:t>should</w:t>
      </w:r>
      <w:r>
        <w:rPr>
          <w:spacing w:val="-9"/>
        </w:rPr>
        <w:t> </w:t>
      </w:r>
      <w:r>
        <w:rPr/>
        <w:t>be</w:t>
      </w:r>
      <w:r>
        <w:rPr>
          <w:spacing w:val="-5"/>
        </w:rPr>
        <w:t> </w:t>
      </w:r>
      <w:r>
        <w:rPr/>
        <w:t>designed</w:t>
      </w:r>
      <w:r>
        <w:rPr>
          <w:spacing w:val="-9"/>
        </w:rPr>
        <w:t> </w:t>
      </w:r>
      <w:r>
        <w:rPr/>
        <w:t>or</w:t>
      </w:r>
      <w:r>
        <w:rPr>
          <w:spacing w:val="-6"/>
        </w:rPr>
        <w:t> </w:t>
      </w:r>
      <w:r>
        <w:rPr/>
        <w:t>redesigned</w:t>
      </w:r>
      <w:r>
        <w:rPr>
          <w:spacing w:val="-8"/>
        </w:rPr>
        <w:t> </w:t>
      </w:r>
      <w:r>
        <w:rPr/>
        <w:t>to</w:t>
      </w:r>
      <w:r>
        <w:rPr>
          <w:spacing w:val="-7"/>
        </w:rPr>
        <w:t> </w:t>
      </w:r>
      <w:r>
        <w:rPr/>
        <w:t>maintain</w:t>
      </w:r>
      <w:r>
        <w:rPr>
          <w:spacing w:val="-9"/>
        </w:rPr>
        <w:t> </w:t>
      </w:r>
      <w:r>
        <w:rPr/>
        <w:t>or</w:t>
      </w:r>
      <w:r>
        <w:rPr>
          <w:spacing w:val="-6"/>
        </w:rPr>
        <w:t> </w:t>
      </w:r>
      <w:r>
        <w:rPr/>
        <w:t>restore</w:t>
      </w:r>
      <w:r>
        <w:rPr>
          <w:spacing w:val="-8"/>
        </w:rPr>
        <w:t> </w:t>
      </w:r>
      <w:r>
        <w:rPr/>
        <w:t>hydrologic</w:t>
      </w:r>
      <w:r>
        <w:rPr>
          <w:spacing w:val="-7"/>
        </w:rPr>
        <w:t> </w:t>
      </w:r>
      <w:r>
        <w:rPr>
          <w:spacing w:val="-2"/>
        </w:rPr>
        <w:t>function.</w:t>
      </w:r>
    </w:p>
    <w:p>
      <w:pPr>
        <w:pStyle w:val="BodyText"/>
        <w:spacing w:line="232" w:lineRule="auto" w:before="196"/>
        <w:ind w:left="1149" w:right="1073"/>
      </w:pPr>
      <w:r>
        <w:rPr/>
        <w:t>Trail</w:t>
      </w:r>
      <w:r>
        <w:rPr>
          <w:spacing w:val="-5"/>
        </w:rPr>
        <w:t> </w:t>
      </w:r>
      <w:r>
        <w:rPr/>
        <w:t>markings</w:t>
      </w:r>
      <w:r>
        <w:rPr>
          <w:spacing w:val="-7"/>
        </w:rPr>
        <w:t> </w:t>
      </w:r>
      <w:r>
        <w:rPr/>
        <w:t>(e.g.,</w:t>
      </w:r>
      <w:r>
        <w:rPr>
          <w:spacing w:val="-5"/>
        </w:rPr>
        <w:t> </w:t>
      </w:r>
      <w:r>
        <w:rPr/>
        <w:t>signs,</w:t>
      </w:r>
      <w:r>
        <w:rPr>
          <w:spacing w:val="-5"/>
        </w:rPr>
        <w:t> </w:t>
      </w:r>
      <w:r>
        <w:rPr/>
        <w:t>blazes)</w:t>
      </w:r>
      <w:r>
        <w:rPr>
          <w:spacing w:val="-5"/>
        </w:rPr>
        <w:t> </w:t>
      </w:r>
      <w:r>
        <w:rPr/>
        <w:t>should</w:t>
      </w:r>
      <w:r>
        <w:rPr>
          <w:spacing w:val="-6"/>
        </w:rPr>
        <w:t> </w:t>
      </w:r>
      <w:r>
        <w:rPr/>
        <w:t>be</w:t>
      </w:r>
      <w:r>
        <w:rPr>
          <w:spacing w:val="-4"/>
        </w:rPr>
        <w:t> </w:t>
      </w:r>
      <w:r>
        <w:rPr/>
        <w:t>designed</w:t>
      </w:r>
      <w:r>
        <w:rPr>
          <w:spacing w:val="-8"/>
        </w:rPr>
        <w:t> </w:t>
      </w:r>
      <w:r>
        <w:rPr/>
        <w:t>to</w:t>
      </w:r>
      <w:r>
        <w:rPr>
          <w:spacing w:val="-4"/>
        </w:rPr>
        <w:t> </w:t>
      </w:r>
      <w:r>
        <w:rPr/>
        <w:t>complement</w:t>
      </w:r>
      <w:r>
        <w:rPr>
          <w:spacing w:val="-4"/>
        </w:rPr>
        <w:t> </w:t>
      </w:r>
      <w:r>
        <w:rPr/>
        <w:t>the</w:t>
      </w:r>
      <w:r>
        <w:rPr>
          <w:spacing w:val="-7"/>
        </w:rPr>
        <w:t> </w:t>
      </w:r>
      <w:r>
        <w:rPr/>
        <w:t>character</w:t>
      </w:r>
      <w:r>
        <w:rPr>
          <w:spacing w:val="-5"/>
        </w:rPr>
        <w:t> </w:t>
      </w:r>
      <w:r>
        <w:rPr/>
        <w:t>of</w:t>
      </w:r>
      <w:r>
        <w:rPr>
          <w:spacing w:val="-7"/>
        </w:rPr>
        <w:t> </w:t>
      </w:r>
      <w:r>
        <w:rPr/>
        <w:t>the surrounding lands.</w:t>
      </w:r>
    </w:p>
    <w:p>
      <w:pPr>
        <w:spacing w:before="234"/>
        <w:ind w:left="1149" w:right="801" w:firstLine="0"/>
        <w:jc w:val="left"/>
        <w:rPr>
          <w:rFonts w:ascii="Arial"/>
          <w:i/>
          <w:sz w:val="22"/>
        </w:rPr>
      </w:pPr>
      <w:bookmarkStart w:name="FW-GDL-AS-06. Prohibition on Road Constr" w:id="373"/>
      <w:bookmarkEnd w:id="373"/>
      <w:r>
        <w:rPr/>
      </w:r>
      <w:r>
        <w:rPr>
          <w:rFonts w:ascii="Arial"/>
          <w:i/>
          <w:sz w:val="22"/>
        </w:rPr>
        <w:t>FW-GDL-AS-06.</w:t>
      </w:r>
      <w:r>
        <w:rPr>
          <w:rFonts w:ascii="Arial"/>
          <w:i/>
          <w:spacing w:val="-3"/>
          <w:sz w:val="22"/>
        </w:rPr>
        <w:t> </w:t>
      </w:r>
      <w:r>
        <w:rPr>
          <w:rFonts w:ascii="Arial"/>
          <w:i/>
          <w:sz w:val="22"/>
        </w:rPr>
        <w:t>Prohibition</w:t>
      </w:r>
      <w:r>
        <w:rPr>
          <w:rFonts w:ascii="Arial"/>
          <w:i/>
          <w:spacing w:val="-5"/>
          <w:sz w:val="22"/>
        </w:rPr>
        <w:t> </w:t>
      </w:r>
      <w:r>
        <w:rPr>
          <w:rFonts w:ascii="Arial"/>
          <w:i/>
          <w:sz w:val="22"/>
        </w:rPr>
        <w:t>on</w:t>
      </w:r>
      <w:r>
        <w:rPr>
          <w:rFonts w:ascii="Arial"/>
          <w:i/>
          <w:spacing w:val="-5"/>
          <w:sz w:val="22"/>
        </w:rPr>
        <w:t> </w:t>
      </w:r>
      <w:r>
        <w:rPr>
          <w:rFonts w:ascii="Arial"/>
          <w:i/>
          <w:sz w:val="22"/>
        </w:rPr>
        <w:t>Road</w:t>
      </w:r>
      <w:r>
        <w:rPr>
          <w:rFonts w:ascii="Arial"/>
          <w:i/>
          <w:spacing w:val="-5"/>
          <w:sz w:val="22"/>
        </w:rPr>
        <w:t> </w:t>
      </w:r>
      <w:r>
        <w:rPr>
          <w:rFonts w:ascii="Arial"/>
          <w:i/>
          <w:sz w:val="22"/>
        </w:rPr>
        <w:t>Construction</w:t>
      </w:r>
      <w:r>
        <w:rPr>
          <w:rFonts w:ascii="Arial"/>
          <w:i/>
          <w:spacing w:val="-5"/>
          <w:sz w:val="22"/>
        </w:rPr>
        <w:t> </w:t>
      </w:r>
      <w:r>
        <w:rPr>
          <w:rFonts w:ascii="Arial"/>
          <w:i/>
          <w:sz w:val="22"/>
        </w:rPr>
        <w:t>and</w:t>
      </w:r>
      <w:r>
        <w:rPr>
          <w:rFonts w:ascii="Arial"/>
          <w:i/>
          <w:spacing w:val="-5"/>
          <w:sz w:val="22"/>
        </w:rPr>
        <w:t> </w:t>
      </w:r>
      <w:r>
        <w:rPr>
          <w:rFonts w:ascii="Arial"/>
          <w:i/>
          <w:sz w:val="22"/>
        </w:rPr>
        <w:t>Reconstruction</w:t>
      </w:r>
      <w:r>
        <w:rPr>
          <w:rFonts w:ascii="Arial"/>
          <w:i/>
          <w:spacing w:val="-5"/>
          <w:sz w:val="22"/>
        </w:rPr>
        <w:t> </w:t>
      </w:r>
      <w:r>
        <w:rPr>
          <w:rFonts w:ascii="Arial"/>
          <w:i/>
          <w:sz w:val="22"/>
        </w:rPr>
        <w:t>in</w:t>
      </w:r>
      <w:r>
        <w:rPr>
          <w:rFonts w:ascii="Arial"/>
          <w:i/>
          <w:spacing w:val="-6"/>
          <w:sz w:val="22"/>
        </w:rPr>
        <w:t> </w:t>
      </w:r>
      <w:r>
        <w:rPr>
          <w:rFonts w:ascii="Arial"/>
          <w:i/>
          <w:sz w:val="22"/>
        </w:rPr>
        <w:t>Inventoried</w:t>
      </w:r>
      <w:r>
        <w:rPr>
          <w:rFonts w:ascii="Arial"/>
          <w:i/>
          <w:sz w:val="22"/>
        </w:rPr>
        <w:t> Roadless Areas</w:t>
      </w:r>
    </w:p>
    <w:p>
      <w:pPr>
        <w:pStyle w:val="BodyText"/>
        <w:spacing w:line="232" w:lineRule="auto" w:before="66"/>
        <w:ind w:left="1149" w:right="801"/>
      </w:pPr>
      <w:r>
        <w:rPr/>
        <w:t>Road</w:t>
      </w:r>
      <w:r>
        <w:rPr>
          <w:spacing w:val="-2"/>
        </w:rPr>
        <w:t> </w:t>
      </w:r>
      <w:r>
        <w:rPr/>
        <w:t>construction</w:t>
      </w:r>
      <w:r>
        <w:rPr>
          <w:spacing w:val="-2"/>
        </w:rPr>
        <w:t> </w:t>
      </w:r>
      <w:r>
        <w:rPr/>
        <w:t>and</w:t>
      </w:r>
      <w:r>
        <w:rPr>
          <w:spacing w:val="-2"/>
        </w:rPr>
        <w:t> </w:t>
      </w:r>
      <w:r>
        <w:rPr/>
        <w:t>reconstruction</w:t>
      </w:r>
      <w:r>
        <w:rPr>
          <w:spacing w:val="-4"/>
        </w:rPr>
        <w:t> </w:t>
      </w:r>
      <w:r>
        <w:rPr/>
        <w:t>activities</w:t>
      </w:r>
      <w:r>
        <w:rPr>
          <w:spacing w:val="-2"/>
        </w:rPr>
        <w:t> </w:t>
      </w:r>
      <w:r>
        <w:rPr/>
        <w:t>will</w:t>
      </w:r>
      <w:r>
        <w:rPr>
          <w:spacing w:val="-1"/>
        </w:rPr>
        <w:t> </w:t>
      </w:r>
      <w:r>
        <w:rPr/>
        <w:t>comply</w:t>
      </w:r>
      <w:r>
        <w:rPr>
          <w:spacing w:val="-2"/>
        </w:rPr>
        <w:t> </w:t>
      </w:r>
      <w:r>
        <w:rPr/>
        <w:t>with</w:t>
      </w:r>
      <w:r>
        <w:rPr>
          <w:spacing w:val="-2"/>
        </w:rPr>
        <w:t> </w:t>
      </w:r>
      <w:r>
        <w:rPr/>
        <w:t>requirements</w:t>
      </w:r>
      <w:r>
        <w:rPr>
          <w:spacing w:val="-3"/>
        </w:rPr>
        <w:t> </w:t>
      </w:r>
      <w:r>
        <w:rPr/>
        <w:t>of</w:t>
      </w:r>
      <w:r>
        <w:rPr>
          <w:spacing w:val="-6"/>
        </w:rPr>
        <w:t> </w:t>
      </w:r>
      <w:r>
        <w:rPr/>
        <w:t>the Roadless Area Rule in effect at the time project-level decisions are made. As of the implementation of this forest plan, the Roadless Area Rule in effect is the 2001 Roadless Area Conservation Rule. In this Rule, direction on road construction and reconstruction activities can be found in Subpart B of 36 CFR 294.12 (b).</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60" w:right="1621"/>
      </w:pPr>
      <w:r>
        <w:rPr/>
        <w:t>Maintenance</w:t>
      </w:r>
      <w:r>
        <w:rPr>
          <w:spacing w:val="-6"/>
        </w:rPr>
        <w:t> </w:t>
      </w:r>
      <w:r>
        <w:rPr/>
        <w:t>of</w:t>
      </w:r>
      <w:r>
        <w:rPr>
          <w:spacing w:val="-6"/>
        </w:rPr>
        <w:t> </w:t>
      </w:r>
      <w:r>
        <w:rPr/>
        <w:t>classified</w:t>
      </w:r>
      <w:r>
        <w:rPr>
          <w:spacing w:val="-5"/>
        </w:rPr>
        <w:t> </w:t>
      </w:r>
      <w:r>
        <w:rPr/>
        <w:t>roads</w:t>
      </w:r>
      <w:r>
        <w:rPr>
          <w:spacing w:val="-4"/>
        </w:rPr>
        <w:t> </w:t>
      </w:r>
      <w:r>
        <w:rPr/>
        <w:t>is</w:t>
      </w:r>
      <w:r>
        <w:rPr>
          <w:spacing w:val="-4"/>
        </w:rPr>
        <w:t> </w:t>
      </w:r>
      <w:r>
        <w:rPr/>
        <w:t>permissible</w:t>
      </w:r>
      <w:r>
        <w:rPr>
          <w:spacing w:val="-3"/>
        </w:rPr>
        <w:t> </w:t>
      </w:r>
      <w:r>
        <w:rPr/>
        <w:t>in</w:t>
      </w:r>
      <w:r>
        <w:rPr>
          <w:spacing w:val="-5"/>
        </w:rPr>
        <w:t> </w:t>
      </w:r>
      <w:r>
        <w:rPr/>
        <w:t>inventoried</w:t>
      </w:r>
      <w:r>
        <w:rPr>
          <w:spacing w:val="-7"/>
        </w:rPr>
        <w:t> </w:t>
      </w:r>
      <w:r>
        <w:rPr/>
        <w:t>roadless</w:t>
      </w:r>
      <w:r>
        <w:rPr>
          <w:spacing w:val="-4"/>
        </w:rPr>
        <w:t> </w:t>
      </w:r>
      <w:r>
        <w:rPr/>
        <w:t>areas</w:t>
      </w:r>
      <w:r>
        <w:rPr>
          <w:spacing w:val="-6"/>
        </w:rPr>
        <w:t> </w:t>
      </w:r>
      <w:r>
        <w:rPr/>
        <w:t>per</w:t>
      </w:r>
      <w:r>
        <w:rPr>
          <w:spacing w:val="-6"/>
        </w:rPr>
        <w:t> </w:t>
      </w:r>
      <w:r>
        <w:rPr/>
        <w:t>36</w:t>
      </w:r>
      <w:r>
        <w:rPr>
          <w:spacing w:val="-3"/>
        </w:rPr>
        <w:t> </w:t>
      </w:r>
      <w:r>
        <w:rPr/>
        <w:t>CFR</w:t>
      </w:r>
      <w:r>
        <w:rPr>
          <w:spacing w:val="-6"/>
        </w:rPr>
        <w:t> </w:t>
      </w:r>
      <w:r>
        <w:rPr/>
        <w:t>294.12 </w:t>
      </w:r>
      <w:r>
        <w:rPr>
          <w:spacing w:val="-4"/>
        </w:rPr>
        <w:t>(c).</w:t>
      </w:r>
    </w:p>
    <w:p>
      <w:pPr>
        <w:pStyle w:val="BodyText"/>
        <w:spacing w:before="193"/>
        <w:ind w:left="360"/>
      </w:pPr>
      <w:r>
        <w:rPr/>
        <w:t>See</w:t>
      </w:r>
      <w:r>
        <w:rPr>
          <w:spacing w:val="-5"/>
        </w:rPr>
        <w:t> </w:t>
      </w:r>
      <w:r>
        <w:rPr/>
        <w:t>FEIS</w:t>
      </w:r>
      <w:r>
        <w:rPr>
          <w:spacing w:val="-6"/>
        </w:rPr>
        <w:t> </w:t>
      </w:r>
      <w:r>
        <w:rPr/>
        <w:t>Appendix</w:t>
      </w:r>
      <w:r>
        <w:rPr>
          <w:spacing w:val="-5"/>
        </w:rPr>
        <w:t> </w:t>
      </w:r>
      <w:r>
        <w:rPr/>
        <w:t>F</w:t>
      </w:r>
      <w:r>
        <w:rPr>
          <w:spacing w:val="-5"/>
        </w:rPr>
        <w:t> </w:t>
      </w:r>
      <w:r>
        <w:rPr/>
        <w:t>for</w:t>
      </w:r>
      <w:r>
        <w:rPr>
          <w:spacing w:val="-7"/>
        </w:rPr>
        <w:t> </w:t>
      </w:r>
      <w:r>
        <w:rPr/>
        <w:t>maps</w:t>
      </w:r>
      <w:r>
        <w:rPr>
          <w:spacing w:val="-5"/>
        </w:rPr>
        <w:t> </w:t>
      </w:r>
      <w:r>
        <w:rPr/>
        <w:t>of</w:t>
      </w:r>
      <w:r>
        <w:rPr>
          <w:spacing w:val="-7"/>
        </w:rPr>
        <w:t> </w:t>
      </w:r>
      <w:r>
        <w:rPr/>
        <w:t>inventoried</w:t>
      </w:r>
      <w:r>
        <w:rPr>
          <w:spacing w:val="-6"/>
        </w:rPr>
        <w:t> </w:t>
      </w:r>
      <w:r>
        <w:rPr/>
        <w:t>roadless</w:t>
      </w:r>
      <w:r>
        <w:rPr>
          <w:spacing w:val="-5"/>
        </w:rPr>
        <w:t> </w:t>
      </w:r>
      <w:r>
        <w:rPr>
          <w:spacing w:val="-2"/>
        </w:rPr>
        <w:t>areas.</w:t>
      </w:r>
    </w:p>
    <w:p>
      <w:pPr>
        <w:pStyle w:val="Heading3"/>
        <w:spacing w:before="235"/>
        <w:ind w:left="360"/>
      </w:pPr>
      <w:bookmarkStart w:name="Heritage Resources (HR)" w:id="374"/>
      <w:bookmarkEnd w:id="374"/>
      <w:r>
        <w:rPr>
          <w:b w:val="0"/>
        </w:rPr>
      </w:r>
      <w:bookmarkStart w:name="_bookmark124" w:id="375"/>
      <w:bookmarkEnd w:id="375"/>
      <w:r>
        <w:rPr>
          <w:b w:val="0"/>
        </w:rPr>
      </w:r>
      <w:r>
        <w:rPr>
          <w:smallCaps/>
          <w:color w:val="475824"/>
        </w:rPr>
        <w:t>Heritage</w:t>
      </w:r>
      <w:r>
        <w:rPr>
          <w:smallCaps/>
          <w:color w:val="475824"/>
          <w:spacing w:val="-7"/>
        </w:rPr>
        <w:t> </w:t>
      </w:r>
      <w:r>
        <w:rPr>
          <w:smallCaps/>
          <w:color w:val="475824"/>
        </w:rPr>
        <w:t>Resources</w:t>
      </w:r>
      <w:r>
        <w:rPr>
          <w:smallCaps/>
          <w:color w:val="475824"/>
          <w:spacing w:val="-7"/>
        </w:rPr>
        <w:t> </w:t>
      </w:r>
      <w:r>
        <w:rPr>
          <w:smallCaps/>
          <w:color w:val="475824"/>
          <w:spacing w:val="-4"/>
        </w:rPr>
        <w:t>(HR)</w:t>
      </w:r>
    </w:p>
    <w:p>
      <w:pPr>
        <w:pStyle w:val="BodyText"/>
        <w:spacing w:before="117"/>
        <w:ind w:left="720" w:right="1621"/>
      </w:pPr>
      <w:r>
        <w:rPr/>
        <mc:AlternateContent>
          <mc:Choice Requires="wps">
            <w:drawing>
              <wp:anchor distT="0" distB="0" distL="0" distR="0" allowOverlap="1" layoutInCell="1" locked="0" behindDoc="1" simplePos="0" relativeHeight="474269184">
                <wp:simplePos x="0" y="0"/>
                <wp:positionH relativeFrom="page">
                  <wp:posOffset>1124712</wp:posOffset>
                </wp:positionH>
                <wp:positionV relativeFrom="paragraph">
                  <wp:posOffset>74815</wp:posOffset>
                </wp:positionV>
                <wp:extent cx="5248910" cy="7089775"/>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5248910" cy="7089775"/>
                        </a:xfrm>
                        <a:custGeom>
                          <a:avLst/>
                          <a:gdLst/>
                          <a:ahLst/>
                          <a:cxnLst/>
                          <a:rect l="l" t="t" r="r" b="b"/>
                          <a:pathLst>
                            <a:path w="5248910" h="7089775">
                              <a:moveTo>
                                <a:pt x="5248656" y="1952256"/>
                              </a:moveTo>
                              <a:lnTo>
                                <a:pt x="0" y="1952256"/>
                              </a:lnTo>
                              <a:lnTo>
                                <a:pt x="0" y="2197608"/>
                              </a:lnTo>
                              <a:lnTo>
                                <a:pt x="0" y="2444496"/>
                              </a:lnTo>
                              <a:lnTo>
                                <a:pt x="0" y="7089648"/>
                              </a:lnTo>
                              <a:lnTo>
                                <a:pt x="5248656" y="7089648"/>
                              </a:lnTo>
                              <a:lnTo>
                                <a:pt x="5248656" y="2197608"/>
                              </a:lnTo>
                              <a:lnTo>
                                <a:pt x="5248656" y="1952256"/>
                              </a:lnTo>
                              <a:close/>
                            </a:path>
                            <a:path w="5248910" h="7089775">
                              <a:moveTo>
                                <a:pt x="5248656" y="0"/>
                              </a:moveTo>
                              <a:lnTo>
                                <a:pt x="0" y="0"/>
                              </a:lnTo>
                              <a:lnTo>
                                <a:pt x="0" y="170688"/>
                              </a:lnTo>
                              <a:lnTo>
                                <a:pt x="0" y="339852"/>
                              </a:lnTo>
                              <a:lnTo>
                                <a:pt x="0" y="1952244"/>
                              </a:lnTo>
                              <a:lnTo>
                                <a:pt x="5248656" y="1952244"/>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5.891015pt;width:413.3pt;height:558.25pt;mso-position-horizontal-relative:page;mso-position-vertical-relative:paragraph;z-index:-29047296" id="docshape164" coordorigin="1771,118" coordsize="8266,11165" path="m10037,3192l1771,3192,1771,3579,1771,3967,1771,4236,1771,4505,1771,4774,1771,5043,1771,5431,1771,5700,1771,5969,1771,6238,1771,6504,1771,6773,1771,7162,1771,7431,1771,7699,1771,8088,1771,8357,1771,8626,1771,9015,1771,9283,1771,9550,1771,9939,1771,10207,1771,10476,1771,10745,1771,11014,1771,11283,10037,11283,10037,11014,10037,10745,10037,10476,10037,10207,10037,9939,10037,9550,10037,9283,10037,9015,10037,8626,10037,8357,10037,8088,10037,7699,10037,7431,10037,7162,10037,6773,10037,6504,10037,6238,10037,5969,10037,5700,10037,5431,10037,5043,10037,4774,10037,4505,10037,4236,10037,3967,10037,3579,10037,3192xm10037,118l1771,118,1771,387,1771,653,1771,922,1771,1191,1771,1459,1771,1848,1771,2117,1771,2386,1771,2386,1771,2655,1771,2923,1771,3192,10037,3192,10037,2923,10037,2655,10037,2386,10037,2386,10037,2117,10037,1848,10037,1459,10037,1191,10037,922,10037,653,10037,387,10037,118xe" filled="true" fillcolor="#dfdfdf" stroked="false">
                <v:path arrowok="t"/>
                <v:fill type="solid"/>
                <w10:wrap type="none"/>
              </v:shape>
            </w:pict>
          </mc:Fallback>
        </mc:AlternateContent>
      </w:r>
      <w:r>
        <w:rPr/>
        <w:t>Remnants</w:t>
      </w:r>
      <w:r>
        <w:rPr>
          <w:spacing w:val="-5"/>
        </w:rPr>
        <w:t> </w:t>
      </w:r>
      <w:r>
        <w:rPr/>
        <w:t>of</w:t>
      </w:r>
      <w:r>
        <w:rPr>
          <w:spacing w:val="-3"/>
        </w:rPr>
        <w:t> </w:t>
      </w:r>
      <w:r>
        <w:rPr/>
        <w:t>past</w:t>
      </w:r>
      <w:r>
        <w:rPr>
          <w:spacing w:val="-5"/>
        </w:rPr>
        <w:t> </w:t>
      </w:r>
      <w:r>
        <w:rPr/>
        <w:t>and</w:t>
      </w:r>
      <w:r>
        <w:rPr>
          <w:spacing w:val="-4"/>
        </w:rPr>
        <w:t> </w:t>
      </w:r>
      <w:r>
        <w:rPr/>
        <w:t>current</w:t>
      </w:r>
      <w:r>
        <w:rPr>
          <w:spacing w:val="-2"/>
        </w:rPr>
        <w:t> </w:t>
      </w:r>
      <w:r>
        <w:rPr/>
        <w:t>human</w:t>
      </w:r>
      <w:r>
        <w:rPr>
          <w:spacing w:val="-5"/>
        </w:rPr>
        <w:t> </w:t>
      </w:r>
      <w:r>
        <w:rPr/>
        <w:t>activities</w:t>
      </w:r>
      <w:r>
        <w:rPr>
          <w:spacing w:val="-5"/>
        </w:rPr>
        <w:t> </w:t>
      </w:r>
      <w:r>
        <w:rPr/>
        <w:t>and</w:t>
      </w:r>
      <w:r>
        <w:rPr>
          <w:spacing w:val="-4"/>
        </w:rPr>
        <w:t> </w:t>
      </w:r>
      <w:r>
        <w:rPr/>
        <w:t>events</w:t>
      </w:r>
      <w:r>
        <w:rPr>
          <w:spacing w:val="-5"/>
        </w:rPr>
        <w:t> </w:t>
      </w:r>
      <w:r>
        <w:rPr/>
        <w:t>that</w:t>
      </w:r>
      <w:r>
        <w:rPr>
          <w:spacing w:val="-2"/>
        </w:rPr>
        <w:t> </w:t>
      </w:r>
      <w:r>
        <w:rPr/>
        <w:t>reflect</w:t>
      </w:r>
      <w:r>
        <w:rPr>
          <w:spacing w:val="-2"/>
        </w:rPr>
        <w:t> </w:t>
      </w:r>
      <w:r>
        <w:rPr/>
        <w:t>continuous</w:t>
      </w:r>
      <w:r>
        <w:rPr>
          <w:spacing w:val="-3"/>
        </w:rPr>
        <w:t> </w:t>
      </w:r>
      <w:r>
        <w:rPr/>
        <w:t>use</w:t>
      </w:r>
      <w:r>
        <w:rPr>
          <w:spacing w:val="-2"/>
        </w:rPr>
        <w:t> </w:t>
      </w:r>
      <w:r>
        <w:rPr/>
        <w:t>by Native peoples and the exploration, settlement, and management by Euro-American cultures can be found throughout the Forest. Cultural resources are nonrenewable with few exceptions. Once the resource has been disturbed, damaged, altered, or removed, nothing can recover the information that could have been gained through analysis or replace the opportunity for individuals to understand and experience the site.</w:t>
      </w:r>
    </w:p>
    <w:p>
      <w:pPr>
        <w:pStyle w:val="BodyText"/>
        <w:spacing w:before="119"/>
        <w:ind w:left="720" w:right="1621"/>
      </w:pPr>
      <w:r>
        <w:rPr/>
        <w:t>All resources on a national forest are managed in accordance with applicable laws, regulations,</w:t>
      </w:r>
      <w:r>
        <w:rPr>
          <w:spacing w:val="-5"/>
        </w:rPr>
        <w:t> </w:t>
      </w:r>
      <w:r>
        <w:rPr/>
        <w:t>executive</w:t>
      </w:r>
      <w:r>
        <w:rPr>
          <w:spacing w:val="-5"/>
        </w:rPr>
        <w:t> </w:t>
      </w:r>
      <w:r>
        <w:rPr/>
        <w:t>orders,</w:t>
      </w:r>
      <w:r>
        <w:rPr>
          <w:spacing w:val="-3"/>
        </w:rPr>
        <w:t> </w:t>
      </w:r>
      <w:r>
        <w:rPr/>
        <w:t>and</w:t>
      </w:r>
      <w:r>
        <w:rPr>
          <w:spacing w:val="-4"/>
        </w:rPr>
        <w:t> </w:t>
      </w:r>
      <w:r>
        <w:rPr/>
        <w:t>agency</w:t>
      </w:r>
      <w:r>
        <w:rPr>
          <w:spacing w:val="-2"/>
        </w:rPr>
        <w:t> </w:t>
      </w:r>
      <w:r>
        <w:rPr/>
        <w:t>directives.</w:t>
      </w:r>
      <w:r>
        <w:rPr>
          <w:spacing w:val="-6"/>
        </w:rPr>
        <w:t> </w:t>
      </w:r>
      <w:r>
        <w:rPr/>
        <w:t>Management</w:t>
      </w:r>
      <w:r>
        <w:rPr>
          <w:spacing w:val="-5"/>
        </w:rPr>
        <w:t> </w:t>
      </w:r>
      <w:r>
        <w:rPr/>
        <w:t>of</w:t>
      </w:r>
      <w:r>
        <w:rPr>
          <w:spacing w:val="-3"/>
        </w:rPr>
        <w:t> </w:t>
      </w:r>
      <w:r>
        <w:rPr/>
        <w:t>heritage</w:t>
      </w:r>
      <w:r>
        <w:rPr>
          <w:spacing w:val="-5"/>
        </w:rPr>
        <w:t> </w:t>
      </w:r>
      <w:r>
        <w:rPr/>
        <w:t>resources</w:t>
      </w:r>
      <w:r>
        <w:rPr>
          <w:spacing w:val="-3"/>
        </w:rPr>
        <w:t> </w:t>
      </w:r>
      <w:r>
        <w:rPr/>
        <w:t>is unique in that management is addressed primarily through law, regulation, executive orders</w:t>
      </w:r>
      <w:r>
        <w:rPr>
          <w:spacing w:val="-2"/>
        </w:rPr>
        <w:t> </w:t>
      </w:r>
      <w:r>
        <w:rPr/>
        <w:t>and</w:t>
      </w:r>
      <w:r>
        <w:rPr>
          <w:spacing w:val="-3"/>
        </w:rPr>
        <w:t> </w:t>
      </w:r>
      <w:r>
        <w:rPr/>
        <w:t>Forest</w:t>
      </w:r>
      <w:r>
        <w:rPr>
          <w:spacing w:val="-1"/>
        </w:rPr>
        <w:t> </w:t>
      </w:r>
      <w:r>
        <w:rPr/>
        <w:t>Service</w:t>
      </w:r>
      <w:r>
        <w:rPr>
          <w:spacing w:val="-4"/>
        </w:rPr>
        <w:t> </w:t>
      </w:r>
      <w:r>
        <w:rPr/>
        <w:t>Manual</w:t>
      </w:r>
      <w:r>
        <w:rPr>
          <w:spacing w:val="-2"/>
        </w:rPr>
        <w:t> </w:t>
      </w:r>
      <w:r>
        <w:rPr/>
        <w:t>and</w:t>
      </w:r>
      <w:r>
        <w:rPr>
          <w:spacing w:val="-3"/>
        </w:rPr>
        <w:t> </w:t>
      </w:r>
      <w:r>
        <w:rPr/>
        <w:t>Forest</w:t>
      </w:r>
      <w:r>
        <w:rPr>
          <w:spacing w:val="-1"/>
        </w:rPr>
        <w:t> </w:t>
      </w:r>
      <w:r>
        <w:rPr/>
        <w:t>Service</w:t>
      </w:r>
      <w:r>
        <w:rPr>
          <w:spacing w:val="-4"/>
        </w:rPr>
        <w:t> </w:t>
      </w:r>
      <w:r>
        <w:rPr/>
        <w:t>Handbook</w:t>
      </w:r>
      <w:r>
        <w:rPr>
          <w:spacing w:val="-1"/>
        </w:rPr>
        <w:t> </w:t>
      </w:r>
      <w:r>
        <w:rPr/>
        <w:t>direction</w:t>
      </w:r>
      <w:r>
        <w:rPr>
          <w:spacing w:val="-3"/>
        </w:rPr>
        <w:t> </w:t>
      </w:r>
      <w:r>
        <w:rPr/>
        <w:t>with</w:t>
      </w:r>
      <w:r>
        <w:rPr>
          <w:spacing w:val="-3"/>
        </w:rPr>
        <w:t> </w:t>
      </w:r>
      <w:r>
        <w:rPr/>
        <w:t>no</w:t>
      </w:r>
      <w:r>
        <w:rPr>
          <w:spacing w:val="-1"/>
        </w:rPr>
        <w:t> </w:t>
      </w:r>
      <w:r>
        <w:rPr/>
        <w:t>need</w:t>
      </w:r>
      <w:r>
        <w:rPr>
          <w:spacing w:val="-3"/>
        </w:rPr>
        <w:t> </w:t>
      </w:r>
      <w:r>
        <w:rPr/>
        <w:t>for additional forest plan direction. These include, but are not limited to the following, and, over the life of the plan, there may be changes to these.</w:t>
      </w:r>
    </w:p>
    <w:p>
      <w:pPr>
        <w:pStyle w:val="BodyText"/>
        <w:spacing w:before="119"/>
        <w:ind w:left="720"/>
      </w:pPr>
      <w:r>
        <w:rPr/>
        <w:t>LAWS</w:t>
      </w:r>
      <w:r>
        <w:rPr>
          <w:spacing w:val="-5"/>
        </w:rPr>
        <w:t> </w:t>
      </w:r>
      <w:r>
        <w:rPr/>
        <w:t>AND</w:t>
      </w:r>
      <w:r>
        <w:rPr>
          <w:spacing w:val="-4"/>
        </w:rPr>
        <w:t> </w:t>
      </w:r>
      <w:r>
        <w:rPr/>
        <w:t>EXECUTIVE</w:t>
      </w:r>
      <w:r>
        <w:rPr>
          <w:spacing w:val="-4"/>
        </w:rPr>
        <w:t> </w:t>
      </w:r>
      <w:r>
        <w:rPr>
          <w:spacing w:val="-2"/>
        </w:rPr>
        <w:t>ORDERS</w:t>
      </w:r>
    </w:p>
    <w:p>
      <w:pPr>
        <w:pStyle w:val="BodyText"/>
        <w:spacing w:before="120"/>
        <w:ind w:left="720" w:right="1445"/>
      </w:pPr>
      <w:r>
        <w:rPr/>
        <w:t>Antiquities Act of 1906 – Provides for the protection of historic and prehistoric remains or any</w:t>
      </w:r>
      <w:r>
        <w:rPr>
          <w:spacing w:val="-2"/>
        </w:rPr>
        <w:t> </w:t>
      </w:r>
      <w:r>
        <w:rPr/>
        <w:t>object</w:t>
      </w:r>
      <w:r>
        <w:rPr>
          <w:spacing w:val="-5"/>
        </w:rPr>
        <w:t> </w:t>
      </w:r>
      <w:r>
        <w:rPr/>
        <w:t>of</w:t>
      </w:r>
      <w:r>
        <w:rPr>
          <w:spacing w:val="-3"/>
        </w:rPr>
        <w:t> </w:t>
      </w:r>
      <w:r>
        <w:rPr/>
        <w:t>antiquity</w:t>
      </w:r>
      <w:r>
        <w:rPr>
          <w:spacing w:val="-4"/>
        </w:rPr>
        <w:t> </w:t>
      </w:r>
      <w:r>
        <w:rPr/>
        <w:t>on</w:t>
      </w:r>
      <w:r>
        <w:rPr>
          <w:spacing w:val="-4"/>
        </w:rPr>
        <w:t> </w:t>
      </w:r>
      <w:r>
        <w:rPr/>
        <w:t>Federal</w:t>
      </w:r>
      <w:r>
        <w:rPr>
          <w:spacing w:val="-3"/>
        </w:rPr>
        <w:t> </w:t>
      </w:r>
      <w:r>
        <w:rPr/>
        <w:t>lands;</w:t>
      </w:r>
      <w:r>
        <w:rPr>
          <w:spacing w:val="-4"/>
        </w:rPr>
        <w:t> </w:t>
      </w:r>
      <w:r>
        <w:rPr/>
        <w:t>establishes</w:t>
      </w:r>
      <w:r>
        <w:rPr>
          <w:spacing w:val="-3"/>
        </w:rPr>
        <w:t> </w:t>
      </w:r>
      <w:r>
        <w:rPr/>
        <w:t>sanctions</w:t>
      </w:r>
      <w:r>
        <w:rPr>
          <w:spacing w:val="-3"/>
        </w:rPr>
        <w:t> </w:t>
      </w:r>
      <w:r>
        <w:rPr/>
        <w:t>for</w:t>
      </w:r>
      <w:r>
        <w:rPr>
          <w:spacing w:val="-3"/>
        </w:rPr>
        <w:t> </w:t>
      </w:r>
      <w:r>
        <w:rPr/>
        <w:t>unauthorized</w:t>
      </w:r>
      <w:r>
        <w:rPr>
          <w:spacing w:val="-4"/>
        </w:rPr>
        <w:t> </w:t>
      </w:r>
      <w:r>
        <w:rPr/>
        <w:t>destruction or appropriation of antiquities: and authorizes scientific investigation of antiquities on Federal lands, subject to permit and regulations. Paleontological resources fall under the authority of this Act.</w:t>
      </w:r>
    </w:p>
    <w:p>
      <w:pPr>
        <w:pStyle w:val="BodyText"/>
        <w:spacing w:before="121"/>
        <w:ind w:left="720" w:right="1516"/>
      </w:pPr>
      <w:r>
        <w:rPr/>
        <w:t>The National Historic Preservation Act of 1966, as amended 2004 – Establishes a program for the preservation of prehistoric and historic properties throughout the Nation. It makes historic preservation national policy. Section 106 of the Act directs that Federal agencies shall</w:t>
      </w:r>
      <w:r>
        <w:rPr>
          <w:spacing w:val="-2"/>
        </w:rPr>
        <w:t> </w:t>
      </w:r>
      <w:r>
        <w:rPr/>
        <w:t>take</w:t>
      </w:r>
      <w:r>
        <w:rPr>
          <w:spacing w:val="-4"/>
        </w:rPr>
        <w:t> </w:t>
      </w:r>
      <w:r>
        <w:rPr/>
        <w:t>into</w:t>
      </w:r>
      <w:r>
        <w:rPr>
          <w:spacing w:val="-3"/>
        </w:rPr>
        <w:t> </w:t>
      </w:r>
      <w:r>
        <w:rPr/>
        <w:t>account</w:t>
      </w:r>
      <w:r>
        <w:rPr>
          <w:spacing w:val="-1"/>
        </w:rPr>
        <w:t> </w:t>
      </w:r>
      <w:r>
        <w:rPr/>
        <w:t>the</w:t>
      </w:r>
      <w:r>
        <w:rPr>
          <w:spacing w:val="-4"/>
        </w:rPr>
        <w:t> </w:t>
      </w:r>
      <w:r>
        <w:rPr/>
        <w:t>effects</w:t>
      </w:r>
      <w:r>
        <w:rPr>
          <w:spacing w:val="-4"/>
        </w:rPr>
        <w:t> </w:t>
      </w:r>
      <w:r>
        <w:rPr/>
        <w:t>of</w:t>
      </w:r>
      <w:r>
        <w:rPr>
          <w:spacing w:val="-4"/>
        </w:rPr>
        <w:t> </w:t>
      </w:r>
      <w:r>
        <w:rPr/>
        <w:t>their</w:t>
      </w:r>
      <w:r>
        <w:rPr>
          <w:spacing w:val="-4"/>
        </w:rPr>
        <w:t> </w:t>
      </w:r>
      <w:r>
        <w:rPr/>
        <w:t>actions</w:t>
      </w:r>
      <w:r>
        <w:rPr>
          <w:spacing w:val="-4"/>
        </w:rPr>
        <w:t> </w:t>
      </w:r>
      <w:r>
        <w:rPr/>
        <w:t>on</w:t>
      </w:r>
      <w:r>
        <w:rPr>
          <w:spacing w:val="-3"/>
        </w:rPr>
        <w:t> </w:t>
      </w:r>
      <w:r>
        <w:rPr/>
        <w:t>heritage</w:t>
      </w:r>
      <w:r>
        <w:rPr>
          <w:spacing w:val="-1"/>
        </w:rPr>
        <w:t> </w:t>
      </w:r>
      <w:r>
        <w:rPr/>
        <w:t>resources.</w:t>
      </w:r>
      <w:r>
        <w:rPr>
          <w:spacing w:val="-2"/>
        </w:rPr>
        <w:t> </w:t>
      </w:r>
      <w:r>
        <w:rPr/>
        <w:t>Section</w:t>
      </w:r>
      <w:r>
        <w:rPr>
          <w:spacing w:val="-5"/>
        </w:rPr>
        <w:t> </w:t>
      </w:r>
      <w:r>
        <w:rPr/>
        <w:t>110</w:t>
      </w:r>
      <w:r>
        <w:rPr>
          <w:spacing w:val="-3"/>
        </w:rPr>
        <w:t> </w:t>
      </w:r>
      <w:r>
        <w:rPr/>
        <w:t>of</w:t>
      </w:r>
      <w:r>
        <w:rPr>
          <w:spacing w:val="-2"/>
        </w:rPr>
        <w:t> </w:t>
      </w:r>
      <w:r>
        <w:rPr/>
        <w:t>the Act directs</w:t>
      </w:r>
      <w:r>
        <w:rPr>
          <w:spacing w:val="-1"/>
        </w:rPr>
        <w:t> </w:t>
      </w:r>
      <w:r>
        <w:rPr/>
        <w:t>Federal</w:t>
      </w:r>
      <w:r>
        <w:rPr>
          <w:spacing w:val="-1"/>
        </w:rPr>
        <w:t> </w:t>
      </w:r>
      <w:r>
        <w:rPr/>
        <w:t>agencies</w:t>
      </w:r>
      <w:r>
        <w:rPr>
          <w:spacing w:val="-1"/>
        </w:rPr>
        <w:t> </w:t>
      </w:r>
      <w:r>
        <w:rPr/>
        <w:t>to</w:t>
      </w:r>
      <w:r>
        <w:rPr>
          <w:spacing w:val="-2"/>
        </w:rPr>
        <w:t> </w:t>
      </w:r>
      <w:r>
        <w:rPr/>
        <w:t>take responsibility for</w:t>
      </w:r>
      <w:r>
        <w:rPr>
          <w:spacing w:val="-1"/>
        </w:rPr>
        <w:t> </w:t>
      </w:r>
      <w:r>
        <w:rPr/>
        <w:t>the preservation</w:t>
      </w:r>
      <w:r>
        <w:rPr>
          <w:spacing w:val="-2"/>
        </w:rPr>
        <w:t> </w:t>
      </w:r>
      <w:r>
        <w:rPr/>
        <w:t>and</w:t>
      </w:r>
      <w:r>
        <w:rPr>
          <w:spacing w:val="-4"/>
        </w:rPr>
        <w:t> </w:t>
      </w:r>
      <w:r>
        <w:rPr/>
        <w:t>management</w:t>
      </w:r>
      <w:r>
        <w:rPr>
          <w:spacing w:val="-3"/>
        </w:rPr>
        <w:t> </w:t>
      </w:r>
      <w:r>
        <w:rPr/>
        <w:t>of heritage resources that are owned or controlled by the agency.</w:t>
      </w:r>
    </w:p>
    <w:p>
      <w:pPr>
        <w:pStyle w:val="BodyText"/>
        <w:spacing w:before="120"/>
        <w:ind w:left="720" w:right="1621"/>
      </w:pPr>
      <w:r>
        <w:rPr/>
        <w:t>The Archaeological Resources Protection Act of 1979 – Establishes various legal penalties for</w:t>
      </w:r>
      <w:r>
        <w:rPr>
          <w:spacing w:val="-3"/>
        </w:rPr>
        <w:t> </w:t>
      </w:r>
      <w:r>
        <w:rPr/>
        <w:t>the</w:t>
      </w:r>
      <w:r>
        <w:rPr>
          <w:spacing w:val="-2"/>
        </w:rPr>
        <w:t> </w:t>
      </w:r>
      <w:r>
        <w:rPr/>
        <w:t>unauthorized</w:t>
      </w:r>
      <w:r>
        <w:rPr>
          <w:spacing w:val="-4"/>
        </w:rPr>
        <w:t> </w:t>
      </w:r>
      <w:r>
        <w:rPr/>
        <w:t>removal</w:t>
      </w:r>
      <w:r>
        <w:rPr>
          <w:spacing w:val="-5"/>
        </w:rPr>
        <w:t> </w:t>
      </w:r>
      <w:r>
        <w:rPr/>
        <w:t>of</w:t>
      </w:r>
      <w:r>
        <w:rPr>
          <w:spacing w:val="-3"/>
        </w:rPr>
        <w:t> </w:t>
      </w:r>
      <w:r>
        <w:rPr/>
        <w:t>antiquities</w:t>
      </w:r>
      <w:r>
        <w:rPr>
          <w:spacing w:val="-5"/>
        </w:rPr>
        <w:t> </w:t>
      </w:r>
      <w:r>
        <w:rPr/>
        <w:t>or</w:t>
      </w:r>
      <w:r>
        <w:rPr>
          <w:spacing w:val="-5"/>
        </w:rPr>
        <w:t> </w:t>
      </w:r>
      <w:r>
        <w:rPr/>
        <w:t>artifacts</w:t>
      </w:r>
      <w:r>
        <w:rPr>
          <w:spacing w:val="-3"/>
        </w:rPr>
        <w:t> </w:t>
      </w:r>
      <w:r>
        <w:rPr/>
        <w:t>from</w:t>
      </w:r>
      <w:r>
        <w:rPr>
          <w:spacing w:val="-2"/>
        </w:rPr>
        <w:t> </w:t>
      </w:r>
      <w:r>
        <w:rPr/>
        <w:t>Federal</w:t>
      </w:r>
      <w:r>
        <w:rPr>
          <w:spacing w:val="-3"/>
        </w:rPr>
        <w:t> </w:t>
      </w:r>
      <w:r>
        <w:rPr/>
        <w:t>property,</w:t>
      </w:r>
      <w:r>
        <w:rPr>
          <w:spacing w:val="-3"/>
        </w:rPr>
        <w:t> </w:t>
      </w:r>
      <w:r>
        <w:rPr/>
        <w:t>and</w:t>
      </w:r>
      <w:r>
        <w:rPr>
          <w:spacing w:val="-4"/>
        </w:rPr>
        <w:t> </w:t>
      </w:r>
      <w:r>
        <w:rPr/>
        <w:t>/or</w:t>
      </w:r>
      <w:r>
        <w:rPr>
          <w:spacing w:val="-5"/>
        </w:rPr>
        <w:t> </w:t>
      </w:r>
      <w:r>
        <w:rPr/>
        <w:t>the damage or destruction of heritage properties on Federal lands.</w:t>
      </w:r>
    </w:p>
    <w:p>
      <w:pPr>
        <w:pStyle w:val="BodyText"/>
        <w:spacing w:before="120"/>
        <w:ind w:left="720" w:right="1445"/>
      </w:pPr>
      <w:r>
        <w:rPr/>
        <w:t>The</w:t>
      </w:r>
      <w:r>
        <w:rPr>
          <w:spacing w:val="-2"/>
        </w:rPr>
        <w:t> </w:t>
      </w:r>
      <w:r>
        <w:rPr/>
        <w:t>Native</w:t>
      </w:r>
      <w:r>
        <w:rPr>
          <w:spacing w:val="-2"/>
        </w:rPr>
        <w:t> </w:t>
      </w:r>
      <w:r>
        <w:rPr/>
        <w:t>American</w:t>
      </w:r>
      <w:r>
        <w:rPr>
          <w:spacing w:val="-3"/>
        </w:rPr>
        <w:t> </w:t>
      </w:r>
      <w:r>
        <w:rPr/>
        <w:t>Graves</w:t>
      </w:r>
      <w:r>
        <w:rPr>
          <w:spacing w:val="-2"/>
        </w:rPr>
        <w:t> </w:t>
      </w:r>
      <w:r>
        <w:rPr/>
        <w:t>Protection</w:t>
      </w:r>
      <w:r>
        <w:rPr>
          <w:spacing w:val="-3"/>
        </w:rPr>
        <w:t> </w:t>
      </w:r>
      <w:r>
        <w:rPr/>
        <w:t>and</w:t>
      </w:r>
      <w:r>
        <w:rPr>
          <w:spacing w:val="-3"/>
        </w:rPr>
        <w:t> </w:t>
      </w:r>
      <w:r>
        <w:rPr/>
        <w:t>Repatriation</w:t>
      </w:r>
      <w:r>
        <w:rPr>
          <w:spacing w:val="-3"/>
        </w:rPr>
        <w:t> </w:t>
      </w:r>
      <w:r>
        <w:rPr/>
        <w:t>Act</w:t>
      </w:r>
      <w:r>
        <w:rPr>
          <w:spacing w:val="-4"/>
        </w:rPr>
        <w:t> </w:t>
      </w:r>
      <w:r>
        <w:rPr/>
        <w:t>of</w:t>
      </w:r>
      <w:r>
        <w:rPr>
          <w:spacing w:val="-4"/>
        </w:rPr>
        <w:t> </w:t>
      </w:r>
      <w:r>
        <w:rPr/>
        <w:t>1990</w:t>
      </w:r>
      <w:r>
        <w:rPr>
          <w:spacing w:val="-1"/>
        </w:rPr>
        <w:t> </w:t>
      </w:r>
      <w:r>
        <w:rPr/>
        <w:t>–</w:t>
      </w:r>
      <w:r>
        <w:rPr>
          <w:spacing w:val="-4"/>
        </w:rPr>
        <w:t> </w:t>
      </w:r>
      <w:r>
        <w:rPr/>
        <w:t>Defines</w:t>
      </w:r>
      <w:r>
        <w:rPr>
          <w:spacing w:val="-2"/>
        </w:rPr>
        <w:t> </w:t>
      </w:r>
      <w:r>
        <w:rPr/>
        <w:t>the</w:t>
      </w:r>
      <w:r>
        <w:rPr>
          <w:spacing w:val="-2"/>
        </w:rPr>
        <w:t> </w:t>
      </w:r>
      <w:r>
        <w:rPr/>
        <w:t>rights</w:t>
      </w:r>
      <w:r>
        <w:rPr>
          <w:spacing w:val="-4"/>
        </w:rPr>
        <w:t> </w:t>
      </w:r>
      <w:r>
        <w:rPr/>
        <w:t>of lineal descendants and Indian tribes to Indian skeletal remains and items or artifacts of cultural patrimony that may be held by Federal agencies or institutions.</w:t>
      </w:r>
    </w:p>
    <w:p>
      <w:pPr>
        <w:pStyle w:val="BodyText"/>
        <w:spacing w:before="121"/>
        <w:ind w:left="720" w:right="1445"/>
      </w:pPr>
      <w:r>
        <w:rPr/>
        <w:t>National</w:t>
      </w:r>
      <w:r>
        <w:rPr>
          <w:spacing w:val="-3"/>
        </w:rPr>
        <w:t> </w:t>
      </w:r>
      <w:r>
        <w:rPr/>
        <w:t>Environmental</w:t>
      </w:r>
      <w:r>
        <w:rPr>
          <w:spacing w:val="-3"/>
        </w:rPr>
        <w:t> </w:t>
      </w:r>
      <w:r>
        <w:rPr/>
        <w:t>Policy</w:t>
      </w:r>
      <w:r>
        <w:rPr>
          <w:spacing w:val="-2"/>
        </w:rPr>
        <w:t> </w:t>
      </w:r>
      <w:r>
        <w:rPr/>
        <w:t>Act</w:t>
      </w:r>
      <w:r>
        <w:rPr>
          <w:spacing w:val="-5"/>
        </w:rPr>
        <w:t> </w:t>
      </w:r>
      <w:r>
        <w:rPr/>
        <w:t>of</w:t>
      </w:r>
      <w:r>
        <w:rPr>
          <w:spacing w:val="-5"/>
        </w:rPr>
        <w:t> </w:t>
      </w:r>
      <w:r>
        <w:rPr/>
        <w:t>1969</w:t>
      </w:r>
      <w:r>
        <w:rPr>
          <w:spacing w:val="-2"/>
        </w:rPr>
        <w:t> </w:t>
      </w:r>
      <w:r>
        <w:rPr/>
        <w:t>and</w:t>
      </w:r>
      <w:r>
        <w:rPr>
          <w:spacing w:val="-4"/>
        </w:rPr>
        <w:t> </w:t>
      </w:r>
      <w:r>
        <w:rPr/>
        <w:t>National</w:t>
      </w:r>
      <w:r>
        <w:rPr>
          <w:spacing w:val="-3"/>
        </w:rPr>
        <w:t> </w:t>
      </w:r>
      <w:r>
        <w:rPr/>
        <w:t>Forest</w:t>
      </w:r>
      <w:r>
        <w:rPr>
          <w:spacing w:val="-5"/>
        </w:rPr>
        <w:t> </w:t>
      </w:r>
      <w:r>
        <w:rPr/>
        <w:t>Management</w:t>
      </w:r>
      <w:r>
        <w:rPr>
          <w:spacing w:val="-2"/>
        </w:rPr>
        <w:t> </w:t>
      </w:r>
      <w:r>
        <w:rPr/>
        <w:t>Act</w:t>
      </w:r>
      <w:r>
        <w:rPr>
          <w:spacing w:val="-5"/>
        </w:rPr>
        <w:t> </w:t>
      </w:r>
      <w:r>
        <w:rPr/>
        <w:t>of</w:t>
      </w:r>
      <w:r>
        <w:rPr>
          <w:spacing w:val="-3"/>
        </w:rPr>
        <w:t> </w:t>
      </w:r>
      <w:r>
        <w:rPr/>
        <w:t>1976</w:t>
      </w:r>
      <w:r>
        <w:rPr>
          <w:spacing w:val="-4"/>
        </w:rPr>
        <w:t> </w:t>
      </w:r>
      <w:r>
        <w:rPr/>
        <w:t>– Require Federal agencies to preserve important prehistoric, historic, cultural and natural aspects of national heritage.</w:t>
      </w:r>
    </w:p>
    <w:p>
      <w:pPr>
        <w:pStyle w:val="BodyText"/>
        <w:spacing w:before="118"/>
        <w:ind w:left="720" w:right="1621"/>
      </w:pPr>
      <w:r>
        <w:rPr/>
        <w:t>Executive Order 11593, Protection and Enhancement of the Cultural Environment – Declares that the Federal Government shall take the lead in preserving, restoring, and maintaining the historic and cultural environment of the Nation; directs the Federal Government</w:t>
      </w:r>
      <w:r>
        <w:rPr>
          <w:spacing w:val="-5"/>
        </w:rPr>
        <w:t> </w:t>
      </w:r>
      <w:r>
        <w:rPr/>
        <w:t>to</w:t>
      </w:r>
      <w:r>
        <w:rPr>
          <w:spacing w:val="-4"/>
        </w:rPr>
        <w:t> </w:t>
      </w:r>
      <w:r>
        <w:rPr/>
        <w:t>contribute</w:t>
      </w:r>
      <w:r>
        <w:rPr>
          <w:spacing w:val="-5"/>
        </w:rPr>
        <w:t> </w:t>
      </w:r>
      <w:r>
        <w:rPr/>
        <w:t>to</w:t>
      </w:r>
      <w:r>
        <w:rPr>
          <w:spacing w:val="-4"/>
        </w:rPr>
        <w:t> </w:t>
      </w:r>
      <w:r>
        <w:rPr/>
        <w:t>the</w:t>
      </w:r>
      <w:r>
        <w:rPr>
          <w:spacing w:val="-2"/>
        </w:rPr>
        <w:t> </w:t>
      </w:r>
      <w:r>
        <w:rPr/>
        <w:t>preservation</w:t>
      </w:r>
      <w:r>
        <w:rPr>
          <w:spacing w:val="-6"/>
        </w:rPr>
        <w:t> </w:t>
      </w:r>
      <w:r>
        <w:rPr/>
        <w:t>and</w:t>
      </w:r>
      <w:r>
        <w:rPr>
          <w:spacing w:val="-4"/>
        </w:rPr>
        <w:t> </w:t>
      </w:r>
      <w:r>
        <w:rPr/>
        <w:t>enhancement</w:t>
      </w:r>
      <w:r>
        <w:rPr>
          <w:spacing w:val="-5"/>
        </w:rPr>
        <w:t> </w:t>
      </w:r>
      <w:r>
        <w:rPr/>
        <w:t>of</w:t>
      </w:r>
      <w:r>
        <w:rPr>
          <w:spacing w:val="-3"/>
        </w:rPr>
        <w:t> </w:t>
      </w:r>
      <w:r>
        <w:rPr/>
        <w:t>non-federally</w:t>
      </w:r>
      <w:r>
        <w:rPr>
          <w:spacing w:val="-2"/>
        </w:rPr>
        <w:t> </w:t>
      </w:r>
      <w:r>
        <w:rPr/>
        <w:t>owned sites; directs Federal agencies to locate, inventory and nominate sites to the National</w:t>
      </w:r>
    </w:p>
    <w:p>
      <w:pPr>
        <w:pStyle w:val="BodyText"/>
        <w:spacing w:after="0"/>
        <w:sectPr>
          <w:pgSz w:w="12240" w:h="15840"/>
          <w:pgMar w:header="725" w:footer="891" w:top="960" w:bottom="1080" w:left="1080" w:right="720"/>
        </w:sectPr>
      </w:pPr>
    </w:p>
    <w:p>
      <w:pPr>
        <w:pStyle w:val="BodyText"/>
        <w:spacing w:before="231"/>
        <w:rPr>
          <w:sz w:val="20"/>
        </w:rPr>
      </w:pPr>
    </w:p>
    <w:p>
      <w:pPr>
        <w:pStyle w:val="BodyText"/>
        <w:ind w:left="1483"/>
        <w:rPr>
          <w:sz w:val="20"/>
        </w:rPr>
      </w:pPr>
      <w:r>
        <w:rPr>
          <w:sz w:val="20"/>
        </w:rPr>
        <mc:AlternateContent>
          <mc:Choice Requires="wps">
            <w:drawing>
              <wp:inline distT="0" distB="0" distL="0" distR="0">
                <wp:extent cx="5248910" cy="1610995"/>
                <wp:effectExtent l="0" t="0" r="0" b="0"/>
                <wp:docPr id="177" name="Textbox 177"/>
                <wp:cNvGraphicFramePr>
                  <a:graphicFrameLocks/>
                </wp:cNvGraphicFramePr>
                <a:graphic>
                  <a:graphicData uri="http://schemas.microsoft.com/office/word/2010/wordprocessingShape">
                    <wps:wsp>
                      <wps:cNvPr id="177" name="Textbox 177"/>
                      <wps:cNvSpPr txBox="1"/>
                      <wps:spPr>
                        <a:xfrm>
                          <a:off x="0" y="0"/>
                          <a:ext cx="5248910" cy="1610995"/>
                        </a:xfrm>
                        <a:prstGeom prst="rect">
                          <a:avLst/>
                        </a:prstGeom>
                        <a:solidFill>
                          <a:srgbClr val="DFDFDF"/>
                        </a:solidFill>
                      </wps:spPr>
                      <wps:txbx>
                        <w:txbxContent>
                          <w:p>
                            <w:pPr>
                              <w:pStyle w:val="BodyText"/>
                              <w:ind w:left="28" w:right="120"/>
                              <w:rPr>
                                <w:color w:val="000000"/>
                              </w:rPr>
                            </w:pPr>
                            <w:r>
                              <w:rPr>
                                <w:color w:val="000000"/>
                              </w:rPr>
                              <w:t>Register of Historic Places; directs Federal agencies to ensure that cultural resources are not</w:t>
                            </w:r>
                            <w:r>
                              <w:rPr>
                                <w:color w:val="000000"/>
                                <w:spacing w:val="-2"/>
                              </w:rPr>
                              <w:t> </w:t>
                            </w:r>
                            <w:r>
                              <w:rPr>
                                <w:color w:val="000000"/>
                              </w:rPr>
                              <w:t>inadvertently</w:t>
                            </w:r>
                            <w:r>
                              <w:rPr>
                                <w:color w:val="000000"/>
                                <w:spacing w:val="-2"/>
                              </w:rPr>
                              <w:t> </w:t>
                            </w:r>
                            <w:r>
                              <w:rPr>
                                <w:color w:val="000000"/>
                              </w:rPr>
                              <w:t>damaged,</w:t>
                            </w:r>
                            <w:r>
                              <w:rPr>
                                <w:color w:val="000000"/>
                                <w:spacing w:val="-3"/>
                              </w:rPr>
                              <w:t> </w:t>
                            </w:r>
                            <w:r>
                              <w:rPr>
                                <w:color w:val="000000"/>
                              </w:rPr>
                              <w:t>destroyed,</w:t>
                            </w:r>
                            <w:r>
                              <w:rPr>
                                <w:color w:val="000000"/>
                                <w:spacing w:val="-5"/>
                              </w:rPr>
                              <w:t> </w:t>
                            </w:r>
                            <w:r>
                              <w:rPr>
                                <w:color w:val="000000"/>
                              </w:rPr>
                              <w:t>or</w:t>
                            </w:r>
                            <w:r>
                              <w:rPr>
                                <w:color w:val="000000"/>
                                <w:spacing w:val="-3"/>
                              </w:rPr>
                              <w:t> </w:t>
                            </w:r>
                            <w:r>
                              <w:rPr>
                                <w:color w:val="000000"/>
                              </w:rPr>
                              <w:t>transferred</w:t>
                            </w:r>
                            <w:r>
                              <w:rPr>
                                <w:color w:val="000000"/>
                                <w:spacing w:val="-6"/>
                              </w:rPr>
                              <w:t> </w:t>
                            </w:r>
                            <w:r>
                              <w:rPr>
                                <w:color w:val="000000"/>
                              </w:rPr>
                              <w:t>from</w:t>
                            </w:r>
                            <w:r>
                              <w:rPr>
                                <w:color w:val="000000"/>
                                <w:spacing w:val="-3"/>
                              </w:rPr>
                              <w:t> </w:t>
                            </w:r>
                            <w:r>
                              <w:rPr>
                                <w:color w:val="000000"/>
                              </w:rPr>
                              <w:t>Federal</w:t>
                            </w:r>
                            <w:r>
                              <w:rPr>
                                <w:color w:val="000000"/>
                                <w:spacing w:val="-6"/>
                              </w:rPr>
                              <w:t> </w:t>
                            </w:r>
                            <w:r>
                              <w:rPr>
                                <w:color w:val="000000"/>
                              </w:rPr>
                              <w:t>ownership</w:t>
                            </w:r>
                            <w:r>
                              <w:rPr>
                                <w:color w:val="000000"/>
                                <w:spacing w:val="-4"/>
                              </w:rPr>
                              <w:t> </w:t>
                            </w:r>
                            <w:r>
                              <w:rPr>
                                <w:color w:val="000000"/>
                              </w:rPr>
                              <w:t>before</w:t>
                            </w:r>
                            <w:r>
                              <w:rPr>
                                <w:color w:val="000000"/>
                                <w:spacing w:val="-5"/>
                              </w:rPr>
                              <w:t> </w:t>
                            </w:r>
                            <w:r>
                              <w:rPr>
                                <w:color w:val="000000"/>
                              </w:rPr>
                              <w:t>the completion</w:t>
                            </w:r>
                            <w:r>
                              <w:rPr>
                                <w:color w:val="000000"/>
                                <w:spacing w:val="-5"/>
                              </w:rPr>
                              <w:t> </w:t>
                            </w:r>
                            <w:r>
                              <w:rPr>
                                <w:color w:val="000000"/>
                              </w:rPr>
                              <w:t>of</w:t>
                            </w:r>
                            <w:r>
                              <w:rPr>
                                <w:color w:val="000000"/>
                                <w:spacing w:val="-1"/>
                              </w:rPr>
                              <w:t> </w:t>
                            </w:r>
                            <w:r>
                              <w:rPr>
                                <w:color w:val="000000"/>
                              </w:rPr>
                              <w:t>inventories</w:t>
                            </w:r>
                            <w:r>
                              <w:rPr>
                                <w:color w:val="000000"/>
                                <w:spacing w:val="-1"/>
                              </w:rPr>
                              <w:t> </w:t>
                            </w:r>
                            <w:r>
                              <w:rPr>
                                <w:color w:val="000000"/>
                              </w:rPr>
                              <w:t>and</w:t>
                            </w:r>
                            <w:r>
                              <w:rPr>
                                <w:color w:val="000000"/>
                                <w:spacing w:val="-1"/>
                              </w:rPr>
                              <w:t> </w:t>
                            </w:r>
                            <w:r>
                              <w:rPr>
                                <w:color w:val="000000"/>
                              </w:rPr>
                              <w:t>evaluation</w:t>
                            </w:r>
                            <w:r>
                              <w:rPr>
                                <w:color w:val="000000"/>
                                <w:spacing w:val="-3"/>
                              </w:rPr>
                              <w:t> </w:t>
                            </w:r>
                            <w:r>
                              <w:rPr>
                                <w:color w:val="000000"/>
                              </w:rPr>
                              <w:t>of sites</w:t>
                            </w:r>
                            <w:r>
                              <w:rPr>
                                <w:color w:val="000000"/>
                                <w:spacing w:val="-2"/>
                              </w:rPr>
                              <w:t> </w:t>
                            </w:r>
                            <w:r>
                              <w:rPr>
                                <w:color w:val="000000"/>
                              </w:rPr>
                              <w:t>worthy</w:t>
                            </w:r>
                            <w:r>
                              <w:rPr>
                                <w:color w:val="000000"/>
                                <w:spacing w:val="-1"/>
                              </w:rPr>
                              <w:t> </w:t>
                            </w:r>
                            <w:r>
                              <w:rPr>
                                <w:color w:val="000000"/>
                              </w:rPr>
                              <w:t>of National Register nomination</w:t>
                            </w:r>
                          </w:p>
                          <w:p>
                            <w:pPr>
                              <w:pStyle w:val="BodyText"/>
                              <w:spacing w:before="120"/>
                              <w:ind w:left="28" w:right="120"/>
                              <w:rPr>
                                <w:color w:val="000000"/>
                              </w:rPr>
                            </w:pPr>
                            <w:r>
                              <w:rPr>
                                <w:color w:val="000000"/>
                              </w:rPr>
                              <w:t>Executive</w:t>
                            </w:r>
                            <w:r>
                              <w:rPr>
                                <w:color w:val="000000"/>
                                <w:spacing w:val="-5"/>
                              </w:rPr>
                              <w:t> </w:t>
                            </w:r>
                            <w:r>
                              <w:rPr>
                                <w:color w:val="000000"/>
                              </w:rPr>
                              <w:t>Order</w:t>
                            </w:r>
                            <w:r>
                              <w:rPr>
                                <w:color w:val="000000"/>
                                <w:spacing w:val="-5"/>
                              </w:rPr>
                              <w:t> </w:t>
                            </w:r>
                            <w:r>
                              <w:rPr>
                                <w:color w:val="000000"/>
                              </w:rPr>
                              <w:t>13287,</w:t>
                            </w:r>
                            <w:r>
                              <w:rPr>
                                <w:color w:val="000000"/>
                                <w:spacing w:val="-5"/>
                              </w:rPr>
                              <w:t> </w:t>
                            </w:r>
                            <w:r>
                              <w:rPr>
                                <w:color w:val="000000"/>
                              </w:rPr>
                              <w:t>Preserve</w:t>
                            </w:r>
                            <w:r>
                              <w:rPr>
                                <w:color w:val="000000"/>
                                <w:spacing w:val="-2"/>
                              </w:rPr>
                              <w:t> </w:t>
                            </w:r>
                            <w:r>
                              <w:rPr>
                                <w:color w:val="000000"/>
                              </w:rPr>
                              <w:t>America</w:t>
                            </w:r>
                            <w:r>
                              <w:rPr>
                                <w:color w:val="000000"/>
                                <w:spacing w:val="-5"/>
                              </w:rPr>
                              <w:t> </w:t>
                            </w:r>
                            <w:r>
                              <w:rPr>
                                <w:color w:val="000000"/>
                              </w:rPr>
                              <w:t>–</w:t>
                            </w:r>
                            <w:r>
                              <w:rPr>
                                <w:color w:val="000000"/>
                                <w:spacing w:val="-5"/>
                              </w:rPr>
                              <w:t> </w:t>
                            </w:r>
                            <w:r>
                              <w:rPr>
                                <w:color w:val="000000"/>
                              </w:rPr>
                              <w:t>Directs</w:t>
                            </w:r>
                            <w:r>
                              <w:rPr>
                                <w:color w:val="000000"/>
                                <w:spacing w:val="-3"/>
                              </w:rPr>
                              <w:t> </w:t>
                            </w:r>
                            <w:r>
                              <w:rPr>
                                <w:color w:val="000000"/>
                              </w:rPr>
                              <w:t>Federal</w:t>
                            </w:r>
                            <w:r>
                              <w:rPr>
                                <w:color w:val="000000"/>
                                <w:spacing w:val="-3"/>
                              </w:rPr>
                              <w:t> </w:t>
                            </w:r>
                            <w:r>
                              <w:rPr>
                                <w:color w:val="000000"/>
                              </w:rPr>
                              <w:t>agencies</w:t>
                            </w:r>
                            <w:r>
                              <w:rPr>
                                <w:color w:val="000000"/>
                                <w:spacing w:val="-5"/>
                              </w:rPr>
                              <w:t> </w:t>
                            </w:r>
                            <w:r>
                              <w:rPr>
                                <w:color w:val="000000"/>
                              </w:rPr>
                              <w:t>to</w:t>
                            </w:r>
                            <w:r>
                              <w:rPr>
                                <w:color w:val="000000"/>
                                <w:spacing w:val="-2"/>
                              </w:rPr>
                              <w:t> </w:t>
                            </w:r>
                            <w:r>
                              <w:rPr>
                                <w:color w:val="000000"/>
                              </w:rPr>
                              <w:t>build</w:t>
                            </w:r>
                            <w:r>
                              <w:rPr>
                                <w:color w:val="000000"/>
                                <w:spacing w:val="-4"/>
                              </w:rPr>
                              <w:t> </w:t>
                            </w:r>
                            <w:r>
                              <w:rPr>
                                <w:color w:val="000000"/>
                              </w:rPr>
                              <w:t>partnerships with local governments, Indian tribes, and the private sector to preserve heritage properties, and promote heritage tourism. Agencies are to improve planning and accountability for heritage properties, assess the current status of heritage properties, track progress in managing heritage properties, and improve the stewardship of heritage </w:t>
                            </w:r>
                            <w:r>
                              <w:rPr>
                                <w:color w:val="000000"/>
                                <w:spacing w:val="-2"/>
                              </w:rPr>
                              <w:t>properties.</w:t>
                            </w:r>
                          </w:p>
                        </w:txbxContent>
                      </wps:txbx>
                      <wps:bodyPr wrap="square" lIns="0" tIns="0" rIns="0" bIns="0" rtlCol="0">
                        <a:noAutofit/>
                      </wps:bodyPr>
                    </wps:wsp>
                  </a:graphicData>
                </a:graphic>
              </wp:inline>
            </w:drawing>
          </mc:Choice>
          <mc:Fallback>
            <w:pict>
              <v:shape style="width:413.3pt;height:126.85pt;mso-position-horizontal-relative:char;mso-position-vertical-relative:line" type="#_x0000_t202" id="docshape165" filled="true" fillcolor="#dfdfdf" stroked="false">
                <w10:anchorlock/>
                <v:textbox inset="0,0,0,0">
                  <w:txbxContent>
                    <w:p>
                      <w:pPr>
                        <w:pStyle w:val="BodyText"/>
                        <w:ind w:left="28" w:right="120"/>
                        <w:rPr>
                          <w:color w:val="000000"/>
                        </w:rPr>
                      </w:pPr>
                      <w:r>
                        <w:rPr>
                          <w:color w:val="000000"/>
                        </w:rPr>
                        <w:t>Register of Historic Places; directs Federal agencies to ensure that cultural resources are not</w:t>
                      </w:r>
                      <w:r>
                        <w:rPr>
                          <w:color w:val="000000"/>
                          <w:spacing w:val="-2"/>
                        </w:rPr>
                        <w:t> </w:t>
                      </w:r>
                      <w:r>
                        <w:rPr>
                          <w:color w:val="000000"/>
                        </w:rPr>
                        <w:t>inadvertently</w:t>
                      </w:r>
                      <w:r>
                        <w:rPr>
                          <w:color w:val="000000"/>
                          <w:spacing w:val="-2"/>
                        </w:rPr>
                        <w:t> </w:t>
                      </w:r>
                      <w:r>
                        <w:rPr>
                          <w:color w:val="000000"/>
                        </w:rPr>
                        <w:t>damaged,</w:t>
                      </w:r>
                      <w:r>
                        <w:rPr>
                          <w:color w:val="000000"/>
                          <w:spacing w:val="-3"/>
                        </w:rPr>
                        <w:t> </w:t>
                      </w:r>
                      <w:r>
                        <w:rPr>
                          <w:color w:val="000000"/>
                        </w:rPr>
                        <w:t>destroyed,</w:t>
                      </w:r>
                      <w:r>
                        <w:rPr>
                          <w:color w:val="000000"/>
                          <w:spacing w:val="-5"/>
                        </w:rPr>
                        <w:t> </w:t>
                      </w:r>
                      <w:r>
                        <w:rPr>
                          <w:color w:val="000000"/>
                        </w:rPr>
                        <w:t>or</w:t>
                      </w:r>
                      <w:r>
                        <w:rPr>
                          <w:color w:val="000000"/>
                          <w:spacing w:val="-3"/>
                        </w:rPr>
                        <w:t> </w:t>
                      </w:r>
                      <w:r>
                        <w:rPr>
                          <w:color w:val="000000"/>
                        </w:rPr>
                        <w:t>transferred</w:t>
                      </w:r>
                      <w:r>
                        <w:rPr>
                          <w:color w:val="000000"/>
                          <w:spacing w:val="-6"/>
                        </w:rPr>
                        <w:t> </w:t>
                      </w:r>
                      <w:r>
                        <w:rPr>
                          <w:color w:val="000000"/>
                        </w:rPr>
                        <w:t>from</w:t>
                      </w:r>
                      <w:r>
                        <w:rPr>
                          <w:color w:val="000000"/>
                          <w:spacing w:val="-3"/>
                        </w:rPr>
                        <w:t> </w:t>
                      </w:r>
                      <w:r>
                        <w:rPr>
                          <w:color w:val="000000"/>
                        </w:rPr>
                        <w:t>Federal</w:t>
                      </w:r>
                      <w:r>
                        <w:rPr>
                          <w:color w:val="000000"/>
                          <w:spacing w:val="-6"/>
                        </w:rPr>
                        <w:t> </w:t>
                      </w:r>
                      <w:r>
                        <w:rPr>
                          <w:color w:val="000000"/>
                        </w:rPr>
                        <w:t>ownership</w:t>
                      </w:r>
                      <w:r>
                        <w:rPr>
                          <w:color w:val="000000"/>
                          <w:spacing w:val="-4"/>
                        </w:rPr>
                        <w:t> </w:t>
                      </w:r>
                      <w:r>
                        <w:rPr>
                          <w:color w:val="000000"/>
                        </w:rPr>
                        <w:t>before</w:t>
                      </w:r>
                      <w:r>
                        <w:rPr>
                          <w:color w:val="000000"/>
                          <w:spacing w:val="-5"/>
                        </w:rPr>
                        <w:t> </w:t>
                      </w:r>
                      <w:r>
                        <w:rPr>
                          <w:color w:val="000000"/>
                        </w:rPr>
                        <w:t>the completion</w:t>
                      </w:r>
                      <w:r>
                        <w:rPr>
                          <w:color w:val="000000"/>
                          <w:spacing w:val="-5"/>
                        </w:rPr>
                        <w:t> </w:t>
                      </w:r>
                      <w:r>
                        <w:rPr>
                          <w:color w:val="000000"/>
                        </w:rPr>
                        <w:t>of</w:t>
                      </w:r>
                      <w:r>
                        <w:rPr>
                          <w:color w:val="000000"/>
                          <w:spacing w:val="-1"/>
                        </w:rPr>
                        <w:t> </w:t>
                      </w:r>
                      <w:r>
                        <w:rPr>
                          <w:color w:val="000000"/>
                        </w:rPr>
                        <w:t>inventories</w:t>
                      </w:r>
                      <w:r>
                        <w:rPr>
                          <w:color w:val="000000"/>
                          <w:spacing w:val="-1"/>
                        </w:rPr>
                        <w:t> </w:t>
                      </w:r>
                      <w:r>
                        <w:rPr>
                          <w:color w:val="000000"/>
                        </w:rPr>
                        <w:t>and</w:t>
                      </w:r>
                      <w:r>
                        <w:rPr>
                          <w:color w:val="000000"/>
                          <w:spacing w:val="-1"/>
                        </w:rPr>
                        <w:t> </w:t>
                      </w:r>
                      <w:r>
                        <w:rPr>
                          <w:color w:val="000000"/>
                        </w:rPr>
                        <w:t>evaluation</w:t>
                      </w:r>
                      <w:r>
                        <w:rPr>
                          <w:color w:val="000000"/>
                          <w:spacing w:val="-3"/>
                        </w:rPr>
                        <w:t> </w:t>
                      </w:r>
                      <w:r>
                        <w:rPr>
                          <w:color w:val="000000"/>
                        </w:rPr>
                        <w:t>of sites</w:t>
                      </w:r>
                      <w:r>
                        <w:rPr>
                          <w:color w:val="000000"/>
                          <w:spacing w:val="-2"/>
                        </w:rPr>
                        <w:t> </w:t>
                      </w:r>
                      <w:r>
                        <w:rPr>
                          <w:color w:val="000000"/>
                        </w:rPr>
                        <w:t>worthy</w:t>
                      </w:r>
                      <w:r>
                        <w:rPr>
                          <w:color w:val="000000"/>
                          <w:spacing w:val="-1"/>
                        </w:rPr>
                        <w:t> </w:t>
                      </w:r>
                      <w:r>
                        <w:rPr>
                          <w:color w:val="000000"/>
                        </w:rPr>
                        <w:t>of National Register nomination</w:t>
                      </w:r>
                    </w:p>
                    <w:p>
                      <w:pPr>
                        <w:pStyle w:val="BodyText"/>
                        <w:spacing w:before="120"/>
                        <w:ind w:left="28" w:right="120"/>
                        <w:rPr>
                          <w:color w:val="000000"/>
                        </w:rPr>
                      </w:pPr>
                      <w:r>
                        <w:rPr>
                          <w:color w:val="000000"/>
                        </w:rPr>
                        <w:t>Executive</w:t>
                      </w:r>
                      <w:r>
                        <w:rPr>
                          <w:color w:val="000000"/>
                          <w:spacing w:val="-5"/>
                        </w:rPr>
                        <w:t> </w:t>
                      </w:r>
                      <w:r>
                        <w:rPr>
                          <w:color w:val="000000"/>
                        </w:rPr>
                        <w:t>Order</w:t>
                      </w:r>
                      <w:r>
                        <w:rPr>
                          <w:color w:val="000000"/>
                          <w:spacing w:val="-5"/>
                        </w:rPr>
                        <w:t> </w:t>
                      </w:r>
                      <w:r>
                        <w:rPr>
                          <w:color w:val="000000"/>
                        </w:rPr>
                        <w:t>13287,</w:t>
                      </w:r>
                      <w:r>
                        <w:rPr>
                          <w:color w:val="000000"/>
                          <w:spacing w:val="-5"/>
                        </w:rPr>
                        <w:t> </w:t>
                      </w:r>
                      <w:r>
                        <w:rPr>
                          <w:color w:val="000000"/>
                        </w:rPr>
                        <w:t>Preserve</w:t>
                      </w:r>
                      <w:r>
                        <w:rPr>
                          <w:color w:val="000000"/>
                          <w:spacing w:val="-2"/>
                        </w:rPr>
                        <w:t> </w:t>
                      </w:r>
                      <w:r>
                        <w:rPr>
                          <w:color w:val="000000"/>
                        </w:rPr>
                        <w:t>America</w:t>
                      </w:r>
                      <w:r>
                        <w:rPr>
                          <w:color w:val="000000"/>
                          <w:spacing w:val="-5"/>
                        </w:rPr>
                        <w:t> </w:t>
                      </w:r>
                      <w:r>
                        <w:rPr>
                          <w:color w:val="000000"/>
                        </w:rPr>
                        <w:t>–</w:t>
                      </w:r>
                      <w:r>
                        <w:rPr>
                          <w:color w:val="000000"/>
                          <w:spacing w:val="-5"/>
                        </w:rPr>
                        <w:t> </w:t>
                      </w:r>
                      <w:r>
                        <w:rPr>
                          <w:color w:val="000000"/>
                        </w:rPr>
                        <w:t>Directs</w:t>
                      </w:r>
                      <w:r>
                        <w:rPr>
                          <w:color w:val="000000"/>
                          <w:spacing w:val="-3"/>
                        </w:rPr>
                        <w:t> </w:t>
                      </w:r>
                      <w:r>
                        <w:rPr>
                          <w:color w:val="000000"/>
                        </w:rPr>
                        <w:t>Federal</w:t>
                      </w:r>
                      <w:r>
                        <w:rPr>
                          <w:color w:val="000000"/>
                          <w:spacing w:val="-3"/>
                        </w:rPr>
                        <w:t> </w:t>
                      </w:r>
                      <w:r>
                        <w:rPr>
                          <w:color w:val="000000"/>
                        </w:rPr>
                        <w:t>agencies</w:t>
                      </w:r>
                      <w:r>
                        <w:rPr>
                          <w:color w:val="000000"/>
                          <w:spacing w:val="-5"/>
                        </w:rPr>
                        <w:t> </w:t>
                      </w:r>
                      <w:r>
                        <w:rPr>
                          <w:color w:val="000000"/>
                        </w:rPr>
                        <w:t>to</w:t>
                      </w:r>
                      <w:r>
                        <w:rPr>
                          <w:color w:val="000000"/>
                          <w:spacing w:val="-2"/>
                        </w:rPr>
                        <w:t> </w:t>
                      </w:r>
                      <w:r>
                        <w:rPr>
                          <w:color w:val="000000"/>
                        </w:rPr>
                        <w:t>build</w:t>
                      </w:r>
                      <w:r>
                        <w:rPr>
                          <w:color w:val="000000"/>
                          <w:spacing w:val="-4"/>
                        </w:rPr>
                        <w:t> </w:t>
                      </w:r>
                      <w:r>
                        <w:rPr>
                          <w:color w:val="000000"/>
                        </w:rPr>
                        <w:t>partnerships with local governments, Indian tribes, and the private sector to preserve heritage properties, and promote heritage tourism. Agencies are to improve planning and accountability for heritage properties, assess the current status of heritage properties, track progress in managing heritage properties, and improve the stewardship of heritage </w:t>
                      </w:r>
                      <w:r>
                        <w:rPr>
                          <w:color w:val="000000"/>
                          <w:spacing w:val="-2"/>
                        </w:rPr>
                        <w:t>properties.</w:t>
                      </w:r>
                    </w:p>
                  </w:txbxContent>
                </v:textbox>
                <v:fill type="solid"/>
              </v:shape>
            </w:pict>
          </mc:Fallback>
        </mc:AlternateContent>
      </w:r>
      <w:r>
        <w:rPr>
          <w:sz w:val="20"/>
        </w:rPr>
      </w:r>
    </w:p>
    <w:p>
      <w:pPr>
        <w:pStyle w:val="Heading4"/>
        <w:spacing w:before="212"/>
        <w:ind w:left="1151"/>
      </w:pPr>
      <w:bookmarkStart w:name="Desired Condition" w:id="376"/>
      <w:bookmarkEnd w:id="376"/>
      <w:r>
        <w:rPr/>
      </w:r>
      <w:bookmarkStart w:name="_bookmark125" w:id="377"/>
      <w:bookmarkEnd w:id="377"/>
      <w:r>
        <w:rPr/>
      </w:r>
      <w:r>
        <w:rPr/>
        <w:t>Desired</w:t>
      </w:r>
      <w:r>
        <w:rPr>
          <w:spacing w:val="-6"/>
        </w:rPr>
        <w:t> </w:t>
      </w:r>
      <w:r>
        <w:rPr>
          <w:spacing w:val="-2"/>
        </w:rPr>
        <w:t>Condition</w:t>
      </w:r>
    </w:p>
    <w:p>
      <w:pPr>
        <w:spacing w:before="240"/>
        <w:ind w:left="1152" w:right="0" w:hanging="1"/>
        <w:jc w:val="left"/>
        <w:rPr>
          <w:rFonts w:ascii="Arial"/>
          <w:i/>
          <w:sz w:val="22"/>
        </w:rPr>
      </w:pPr>
      <w:bookmarkStart w:name="FW-DC-HR-01. Consistency with Law, Regul" w:id="378"/>
      <w:bookmarkEnd w:id="378"/>
      <w:r>
        <w:rPr/>
      </w:r>
      <w:r>
        <w:rPr>
          <w:rFonts w:ascii="Arial"/>
          <w:i/>
          <w:sz w:val="22"/>
        </w:rPr>
        <w:t>FW-DC-HR-01.</w:t>
      </w:r>
      <w:r>
        <w:rPr>
          <w:rFonts w:ascii="Arial"/>
          <w:i/>
          <w:spacing w:val="-7"/>
          <w:sz w:val="22"/>
        </w:rPr>
        <w:t> </w:t>
      </w:r>
      <w:r>
        <w:rPr>
          <w:rFonts w:ascii="Arial"/>
          <w:i/>
          <w:sz w:val="22"/>
        </w:rPr>
        <w:t>Consistency</w:t>
      </w:r>
      <w:r>
        <w:rPr>
          <w:rFonts w:ascii="Arial"/>
          <w:i/>
          <w:spacing w:val="-8"/>
          <w:sz w:val="22"/>
        </w:rPr>
        <w:t> </w:t>
      </w:r>
      <w:r>
        <w:rPr>
          <w:rFonts w:ascii="Arial"/>
          <w:i/>
          <w:sz w:val="22"/>
        </w:rPr>
        <w:t>with</w:t>
      </w:r>
      <w:r>
        <w:rPr>
          <w:rFonts w:ascii="Arial"/>
          <w:i/>
          <w:spacing w:val="-7"/>
          <w:sz w:val="22"/>
        </w:rPr>
        <w:t> </w:t>
      </w:r>
      <w:r>
        <w:rPr>
          <w:rFonts w:ascii="Arial"/>
          <w:i/>
          <w:sz w:val="22"/>
        </w:rPr>
        <w:t>Law,</w:t>
      </w:r>
      <w:r>
        <w:rPr>
          <w:rFonts w:ascii="Arial"/>
          <w:i/>
          <w:spacing w:val="-5"/>
          <w:sz w:val="22"/>
        </w:rPr>
        <w:t> </w:t>
      </w:r>
      <w:r>
        <w:rPr>
          <w:rFonts w:ascii="Arial"/>
          <w:i/>
          <w:sz w:val="22"/>
        </w:rPr>
        <w:t>Regulation,</w:t>
      </w:r>
      <w:r>
        <w:rPr>
          <w:rFonts w:ascii="Arial"/>
          <w:i/>
          <w:spacing w:val="-4"/>
          <w:sz w:val="22"/>
        </w:rPr>
        <w:t> </w:t>
      </w:r>
      <w:r>
        <w:rPr>
          <w:rFonts w:ascii="Arial"/>
          <w:i/>
          <w:sz w:val="22"/>
        </w:rPr>
        <w:t>Executive</w:t>
      </w:r>
      <w:r>
        <w:rPr>
          <w:rFonts w:ascii="Arial"/>
          <w:i/>
          <w:spacing w:val="-9"/>
          <w:sz w:val="22"/>
        </w:rPr>
        <w:t> </w:t>
      </w:r>
      <w:r>
        <w:rPr>
          <w:rFonts w:ascii="Arial"/>
          <w:i/>
          <w:sz w:val="22"/>
        </w:rPr>
        <w:t>Orders,</w:t>
      </w:r>
      <w:r>
        <w:rPr>
          <w:rFonts w:ascii="Arial"/>
          <w:i/>
          <w:spacing w:val="-4"/>
          <w:sz w:val="22"/>
        </w:rPr>
        <w:t> </w:t>
      </w:r>
      <w:r>
        <w:rPr>
          <w:rFonts w:ascii="Arial"/>
          <w:i/>
          <w:sz w:val="22"/>
        </w:rPr>
        <w:t>and</w:t>
      </w:r>
      <w:r>
        <w:rPr>
          <w:rFonts w:ascii="Arial"/>
          <w:i/>
          <w:spacing w:val="-10"/>
          <w:sz w:val="22"/>
        </w:rPr>
        <w:t> </w:t>
      </w:r>
      <w:r>
        <w:rPr>
          <w:rFonts w:ascii="Arial"/>
          <w:i/>
          <w:spacing w:val="-2"/>
          <w:sz w:val="22"/>
        </w:rPr>
        <w:t>Directives</w:t>
      </w:r>
    </w:p>
    <w:p>
      <w:pPr>
        <w:pStyle w:val="BodyText"/>
        <w:spacing w:line="232" w:lineRule="auto" w:before="64"/>
        <w:ind w:left="1152" w:right="742"/>
      </w:pPr>
      <w:r>
        <w:rPr/>
        <w:t>Heritage resources on the national forest, including known Native American sacred sites and traditional cultural properties, are preserved, protected, and/or restored per applicable law, regulation, executive order, and directives. As appropriate, eligible and historically significant heritage properties are listed on the National Register of Historic Places. The Forest’s priority heritage</w:t>
      </w:r>
      <w:r>
        <w:rPr>
          <w:spacing w:val="-9"/>
        </w:rPr>
        <w:t> </w:t>
      </w:r>
      <w:r>
        <w:rPr/>
        <w:t>assets</w:t>
      </w:r>
      <w:r>
        <w:rPr>
          <w:spacing w:val="-10"/>
        </w:rPr>
        <w:t> </w:t>
      </w:r>
      <w:r>
        <w:rPr/>
        <w:t>are</w:t>
      </w:r>
      <w:r>
        <w:rPr>
          <w:spacing w:val="-9"/>
        </w:rPr>
        <w:t> </w:t>
      </w:r>
      <w:r>
        <w:rPr/>
        <w:t>protected</w:t>
      </w:r>
      <w:r>
        <w:rPr>
          <w:spacing w:val="-11"/>
        </w:rPr>
        <w:t> </w:t>
      </w:r>
      <w:r>
        <w:rPr/>
        <w:t>and</w:t>
      </w:r>
      <w:r>
        <w:rPr>
          <w:spacing w:val="-11"/>
        </w:rPr>
        <w:t> </w:t>
      </w:r>
      <w:r>
        <w:rPr/>
        <w:t>preserved</w:t>
      </w:r>
      <w:r>
        <w:rPr>
          <w:spacing w:val="-11"/>
        </w:rPr>
        <w:t> </w:t>
      </w:r>
      <w:r>
        <w:rPr/>
        <w:t>per</w:t>
      </w:r>
      <w:r>
        <w:rPr>
          <w:spacing w:val="-10"/>
        </w:rPr>
        <w:t> </w:t>
      </w:r>
      <w:r>
        <w:rPr/>
        <w:t>applicable</w:t>
      </w:r>
      <w:r>
        <w:rPr>
          <w:spacing w:val="-9"/>
        </w:rPr>
        <w:t> </w:t>
      </w:r>
      <w:r>
        <w:rPr/>
        <w:t>law,</w:t>
      </w:r>
      <w:r>
        <w:rPr>
          <w:spacing w:val="-10"/>
        </w:rPr>
        <w:t> </w:t>
      </w:r>
      <w:r>
        <w:rPr/>
        <w:t>regulation,</w:t>
      </w:r>
      <w:r>
        <w:rPr>
          <w:spacing w:val="-11"/>
        </w:rPr>
        <w:t> </w:t>
      </w:r>
      <w:r>
        <w:rPr/>
        <w:t>executive</w:t>
      </w:r>
      <w:r>
        <w:rPr>
          <w:spacing w:val="-11"/>
        </w:rPr>
        <w:t> </w:t>
      </w:r>
      <w:r>
        <w:rPr/>
        <w:t>order,</w:t>
      </w:r>
      <w:r>
        <w:rPr>
          <w:spacing w:val="-10"/>
        </w:rPr>
        <w:t> </w:t>
      </w:r>
      <w:r>
        <w:rPr/>
        <w:t>and directives. Opportunities to connect people with the heritage of the land are provided.</w:t>
      </w:r>
    </w:p>
    <w:p>
      <w:pPr>
        <w:pStyle w:val="BodyText"/>
        <w:spacing w:line="232" w:lineRule="auto" w:before="199"/>
        <w:ind w:left="1152" w:right="720"/>
      </w:pPr>
      <w:r>
        <w:rPr/>
        <w:t>Forest facilities that are eligible for the National Register of Historic Places are available for continued</w:t>
      </w:r>
      <w:r>
        <w:rPr>
          <w:spacing w:val="-10"/>
        </w:rPr>
        <w:t> </w:t>
      </w:r>
      <w:r>
        <w:rPr/>
        <w:t>use,</w:t>
      </w:r>
      <w:r>
        <w:rPr>
          <w:spacing w:val="-11"/>
        </w:rPr>
        <w:t> </w:t>
      </w:r>
      <w:r>
        <w:rPr/>
        <w:t>for</w:t>
      </w:r>
      <w:r>
        <w:rPr>
          <w:spacing w:val="-11"/>
        </w:rPr>
        <w:t> </w:t>
      </w:r>
      <w:r>
        <w:rPr/>
        <w:t>Forest</w:t>
      </w:r>
      <w:r>
        <w:rPr>
          <w:spacing w:val="-11"/>
        </w:rPr>
        <w:t> </w:t>
      </w:r>
      <w:r>
        <w:rPr/>
        <w:t>administration,</w:t>
      </w:r>
      <w:r>
        <w:rPr>
          <w:spacing w:val="-9"/>
        </w:rPr>
        <w:t> </w:t>
      </w:r>
      <w:r>
        <w:rPr/>
        <w:t>public</w:t>
      </w:r>
      <w:r>
        <w:rPr>
          <w:spacing w:val="-9"/>
        </w:rPr>
        <w:t> </w:t>
      </w:r>
      <w:r>
        <w:rPr/>
        <w:t>recreation</w:t>
      </w:r>
      <w:r>
        <w:rPr>
          <w:spacing w:val="-10"/>
        </w:rPr>
        <w:t> </w:t>
      </w:r>
      <w:r>
        <w:rPr/>
        <w:t>and</w:t>
      </w:r>
      <w:r>
        <w:rPr>
          <w:spacing w:val="-10"/>
        </w:rPr>
        <w:t> </w:t>
      </w:r>
      <w:r>
        <w:rPr/>
        <w:t>interpretation,</w:t>
      </w:r>
      <w:r>
        <w:rPr>
          <w:spacing w:val="-9"/>
        </w:rPr>
        <w:t> </w:t>
      </w:r>
      <w:r>
        <w:rPr/>
        <w:t>and</w:t>
      </w:r>
      <w:r>
        <w:rPr>
          <w:spacing w:val="-10"/>
        </w:rPr>
        <w:t> </w:t>
      </w:r>
      <w:r>
        <w:rPr/>
        <w:t>Tribal</w:t>
      </w:r>
      <w:r>
        <w:rPr>
          <w:spacing w:val="-8"/>
        </w:rPr>
        <w:t> </w:t>
      </w:r>
      <w:r>
        <w:rPr/>
        <w:t>events, as appropriate. Important archaeological artifacts and sites are protected per applicable law, regulation, executive order, and directives.</w:t>
      </w:r>
    </w:p>
    <w:p>
      <w:pPr>
        <w:pStyle w:val="Heading4"/>
        <w:spacing w:before="232"/>
        <w:ind w:left="1151"/>
      </w:pPr>
      <w:bookmarkStart w:name="Standard" w:id="379"/>
      <w:bookmarkEnd w:id="379"/>
      <w:r>
        <w:rPr/>
      </w:r>
      <w:bookmarkStart w:name="_bookmark126" w:id="380"/>
      <w:bookmarkEnd w:id="380"/>
      <w:r>
        <w:rPr/>
      </w:r>
      <w:r>
        <w:rPr>
          <w:spacing w:val="-2"/>
        </w:rPr>
        <w:t>Standard</w:t>
      </w:r>
    </w:p>
    <w:p>
      <w:pPr>
        <w:spacing w:before="239"/>
        <w:ind w:left="1151" w:right="0" w:firstLine="0"/>
        <w:jc w:val="left"/>
        <w:rPr>
          <w:rFonts w:ascii="Arial"/>
          <w:i/>
          <w:sz w:val="22"/>
        </w:rPr>
      </w:pPr>
      <w:bookmarkStart w:name="FW-STD-HR-01. Heritage Program Managed t" w:id="381"/>
      <w:bookmarkEnd w:id="381"/>
      <w:r>
        <w:rPr/>
      </w:r>
      <w:r>
        <w:rPr>
          <w:rFonts w:ascii="Arial"/>
          <w:i/>
          <w:sz w:val="22"/>
        </w:rPr>
        <w:t>FW-STD-HR-01.</w:t>
      </w:r>
      <w:r>
        <w:rPr>
          <w:rFonts w:ascii="Arial"/>
          <w:i/>
          <w:spacing w:val="-6"/>
          <w:sz w:val="22"/>
        </w:rPr>
        <w:t> </w:t>
      </w:r>
      <w:r>
        <w:rPr>
          <w:rFonts w:ascii="Arial"/>
          <w:i/>
          <w:sz w:val="22"/>
        </w:rPr>
        <w:t>Heritage</w:t>
      </w:r>
      <w:r>
        <w:rPr>
          <w:rFonts w:ascii="Arial"/>
          <w:i/>
          <w:spacing w:val="-7"/>
          <w:sz w:val="22"/>
        </w:rPr>
        <w:t> </w:t>
      </w:r>
      <w:r>
        <w:rPr>
          <w:rFonts w:ascii="Arial"/>
          <w:i/>
          <w:sz w:val="22"/>
        </w:rPr>
        <w:t>Program</w:t>
      </w:r>
      <w:r>
        <w:rPr>
          <w:rFonts w:ascii="Arial"/>
          <w:i/>
          <w:spacing w:val="-8"/>
          <w:sz w:val="22"/>
        </w:rPr>
        <w:t> </w:t>
      </w:r>
      <w:r>
        <w:rPr>
          <w:rFonts w:ascii="Arial"/>
          <w:i/>
          <w:sz w:val="22"/>
        </w:rPr>
        <w:t>Managed</w:t>
      </w:r>
      <w:r>
        <w:rPr>
          <w:rFonts w:ascii="Arial"/>
          <w:i/>
          <w:spacing w:val="-7"/>
          <w:sz w:val="22"/>
        </w:rPr>
        <w:t> </w:t>
      </w:r>
      <w:r>
        <w:rPr>
          <w:rFonts w:ascii="Arial"/>
          <w:i/>
          <w:sz w:val="22"/>
        </w:rPr>
        <w:t>to</w:t>
      </w:r>
      <w:r>
        <w:rPr>
          <w:rFonts w:ascii="Arial"/>
          <w:i/>
          <w:spacing w:val="-10"/>
          <w:sz w:val="22"/>
        </w:rPr>
        <w:t> </w:t>
      </w:r>
      <w:r>
        <w:rPr>
          <w:rFonts w:ascii="Arial"/>
          <w:i/>
          <w:spacing w:val="-2"/>
          <w:sz w:val="22"/>
        </w:rPr>
        <w:t>Standard</w:t>
      </w:r>
    </w:p>
    <w:p>
      <w:pPr>
        <w:pStyle w:val="BodyText"/>
        <w:spacing w:before="59"/>
        <w:ind w:left="1151" w:right="801"/>
      </w:pPr>
      <w:r>
        <w:rPr/>
        <w:t>Continue</w:t>
      </w:r>
      <w:r>
        <w:rPr>
          <w:spacing w:val="-2"/>
        </w:rPr>
        <w:t> </w:t>
      </w:r>
      <w:r>
        <w:rPr/>
        <w:t>to</w:t>
      </w:r>
      <w:r>
        <w:rPr>
          <w:spacing w:val="-2"/>
        </w:rPr>
        <w:t> </w:t>
      </w:r>
      <w:r>
        <w:rPr/>
        <w:t>follow</w:t>
      </w:r>
      <w:r>
        <w:rPr>
          <w:spacing w:val="-2"/>
        </w:rPr>
        <w:t> </w:t>
      </w:r>
      <w:r>
        <w:rPr/>
        <w:t>Forest</w:t>
      </w:r>
      <w:r>
        <w:rPr>
          <w:spacing w:val="-2"/>
        </w:rPr>
        <w:t> </w:t>
      </w:r>
      <w:r>
        <w:rPr/>
        <w:t>Service</w:t>
      </w:r>
      <w:r>
        <w:rPr>
          <w:spacing w:val="-5"/>
        </w:rPr>
        <w:t> </w:t>
      </w:r>
      <w:r>
        <w:rPr/>
        <w:t>Manual</w:t>
      </w:r>
      <w:r>
        <w:rPr>
          <w:spacing w:val="-3"/>
        </w:rPr>
        <w:t> </w:t>
      </w:r>
      <w:r>
        <w:rPr/>
        <w:t>(FSM)</w:t>
      </w:r>
      <w:r>
        <w:rPr>
          <w:spacing w:val="-5"/>
        </w:rPr>
        <w:t> </w:t>
      </w:r>
      <w:r>
        <w:rPr/>
        <w:t>2360</w:t>
      </w:r>
      <w:r>
        <w:rPr>
          <w:spacing w:val="-2"/>
        </w:rPr>
        <w:t> </w:t>
      </w:r>
      <w:r>
        <w:rPr/>
        <w:t>-</w:t>
      </w:r>
      <w:r>
        <w:rPr>
          <w:spacing w:val="-5"/>
        </w:rPr>
        <w:t> </w:t>
      </w:r>
      <w:r>
        <w:rPr/>
        <w:t>Heritage</w:t>
      </w:r>
      <w:r>
        <w:rPr>
          <w:spacing w:val="-5"/>
        </w:rPr>
        <w:t> </w:t>
      </w:r>
      <w:r>
        <w:rPr/>
        <w:t>Program</w:t>
      </w:r>
      <w:r>
        <w:rPr>
          <w:spacing w:val="-2"/>
        </w:rPr>
        <w:t> </w:t>
      </w:r>
      <w:r>
        <w:rPr/>
        <w:t>Management.</w:t>
      </w:r>
      <w:r>
        <w:rPr>
          <w:spacing w:val="-3"/>
        </w:rPr>
        <w:t> </w:t>
      </w:r>
      <w:r>
        <w:rPr/>
        <w:t>FSM 2360 provides direction on heritage program management.</w:t>
      </w:r>
    </w:p>
    <w:p>
      <w:pPr>
        <w:pStyle w:val="Heading3"/>
        <w:spacing w:before="242"/>
      </w:pPr>
      <w:bookmarkStart w:name="American Indian Rights and Interest (AI)" w:id="382"/>
      <w:bookmarkEnd w:id="382"/>
      <w:r>
        <w:rPr>
          <w:b w:val="0"/>
        </w:rPr>
      </w:r>
      <w:bookmarkStart w:name="_bookmark127" w:id="383"/>
      <w:bookmarkEnd w:id="383"/>
      <w:r>
        <w:rPr>
          <w:b w:val="0"/>
        </w:rPr>
      </w:r>
      <w:r>
        <w:rPr>
          <w:smallCaps/>
          <w:color w:val="475824"/>
        </w:rPr>
        <w:t>American</w:t>
      </w:r>
      <w:r>
        <w:rPr>
          <w:smallCaps/>
          <w:color w:val="475824"/>
          <w:spacing w:val="-7"/>
        </w:rPr>
        <w:t> </w:t>
      </w:r>
      <w:r>
        <w:rPr>
          <w:smallCaps/>
          <w:color w:val="475824"/>
        </w:rPr>
        <w:t>Indian</w:t>
      </w:r>
      <w:r>
        <w:rPr>
          <w:smallCaps/>
          <w:color w:val="475824"/>
          <w:spacing w:val="-6"/>
        </w:rPr>
        <w:t> </w:t>
      </w:r>
      <w:r>
        <w:rPr>
          <w:smallCaps/>
          <w:color w:val="475824"/>
        </w:rPr>
        <w:t>Rights</w:t>
      </w:r>
      <w:r>
        <w:rPr>
          <w:smallCaps/>
          <w:color w:val="475824"/>
          <w:spacing w:val="-4"/>
        </w:rPr>
        <w:t> </w:t>
      </w:r>
      <w:r>
        <w:rPr>
          <w:smallCaps/>
          <w:color w:val="475824"/>
        </w:rPr>
        <w:t>and</w:t>
      </w:r>
      <w:r>
        <w:rPr>
          <w:smallCaps/>
          <w:color w:val="475824"/>
          <w:spacing w:val="-6"/>
        </w:rPr>
        <w:t> </w:t>
      </w:r>
      <w:r>
        <w:rPr>
          <w:smallCaps/>
          <w:color w:val="475824"/>
        </w:rPr>
        <w:t>Interest</w:t>
      </w:r>
      <w:r>
        <w:rPr>
          <w:smallCaps/>
          <w:color w:val="475824"/>
          <w:spacing w:val="-6"/>
        </w:rPr>
        <w:t> </w:t>
      </w:r>
      <w:r>
        <w:rPr>
          <w:smallCaps/>
          <w:color w:val="475824"/>
          <w:spacing w:val="-4"/>
        </w:rPr>
        <w:t>(AI)</w:t>
      </w:r>
    </w:p>
    <w:p>
      <w:pPr>
        <w:pStyle w:val="BodyText"/>
        <w:spacing w:before="4"/>
        <w:rPr>
          <w:rFonts w:ascii="Arial"/>
          <w:b/>
          <w:sz w:val="8"/>
        </w:rPr>
      </w:pPr>
      <w:r>
        <w:rPr>
          <w:rFonts w:ascii="Arial"/>
          <w:b/>
          <w:sz w:val="8"/>
        </w:rPr>
        <mc:AlternateContent>
          <mc:Choice Requires="wps">
            <w:drawing>
              <wp:anchor distT="0" distB="0" distL="0" distR="0" allowOverlap="1" layoutInCell="1" locked="0" behindDoc="1" simplePos="0" relativeHeight="487613440">
                <wp:simplePos x="0" y="0"/>
                <wp:positionH relativeFrom="page">
                  <wp:posOffset>1627632</wp:posOffset>
                </wp:positionH>
                <wp:positionV relativeFrom="paragraph">
                  <wp:posOffset>76195</wp:posOffset>
                </wp:positionV>
                <wp:extent cx="5248910" cy="2444750"/>
                <wp:effectExtent l="0" t="0" r="0" b="0"/>
                <wp:wrapTopAndBottom/>
                <wp:docPr id="178" name="Textbox 178"/>
                <wp:cNvGraphicFramePr>
                  <a:graphicFrameLocks/>
                </wp:cNvGraphicFramePr>
                <a:graphic>
                  <a:graphicData uri="http://schemas.microsoft.com/office/word/2010/wordprocessingShape">
                    <wps:wsp>
                      <wps:cNvPr id="178" name="Textbox 178"/>
                      <wps:cNvSpPr txBox="1"/>
                      <wps:spPr>
                        <a:xfrm>
                          <a:off x="0" y="0"/>
                          <a:ext cx="5248910" cy="2444750"/>
                        </a:xfrm>
                        <a:prstGeom prst="rect">
                          <a:avLst/>
                        </a:prstGeom>
                        <a:solidFill>
                          <a:srgbClr val="DFDFDF"/>
                        </a:solidFill>
                      </wps:spPr>
                      <wps:txbx>
                        <w:txbxContent>
                          <w:p>
                            <w:pPr>
                              <w:pStyle w:val="BodyText"/>
                              <w:ind w:left="28" w:right="74"/>
                              <w:rPr>
                                <w:color w:val="000000"/>
                              </w:rPr>
                            </w:pPr>
                            <w:r>
                              <w:rPr>
                                <w:color w:val="000000"/>
                              </w:rPr>
                              <w:t>American</w:t>
                            </w:r>
                            <w:r>
                              <w:rPr>
                                <w:color w:val="000000"/>
                                <w:spacing w:val="-6"/>
                              </w:rPr>
                              <w:t> </w:t>
                            </w:r>
                            <w:r>
                              <w:rPr>
                                <w:color w:val="000000"/>
                              </w:rPr>
                              <w:t>Indian</w:t>
                            </w:r>
                            <w:r>
                              <w:rPr>
                                <w:color w:val="000000"/>
                                <w:spacing w:val="-4"/>
                              </w:rPr>
                              <w:t> </w:t>
                            </w:r>
                            <w:r>
                              <w:rPr>
                                <w:color w:val="000000"/>
                              </w:rPr>
                              <w:t>tribes</w:t>
                            </w:r>
                            <w:r>
                              <w:rPr>
                                <w:color w:val="000000"/>
                                <w:spacing w:val="-3"/>
                              </w:rPr>
                              <w:t> </w:t>
                            </w:r>
                            <w:r>
                              <w:rPr>
                                <w:color w:val="000000"/>
                              </w:rPr>
                              <w:t>are</w:t>
                            </w:r>
                            <w:r>
                              <w:rPr>
                                <w:color w:val="000000"/>
                                <w:spacing w:val="-5"/>
                              </w:rPr>
                              <w:t> </w:t>
                            </w:r>
                            <w:r>
                              <w:rPr>
                                <w:color w:val="000000"/>
                              </w:rPr>
                              <w:t>sovereign</w:t>
                            </w:r>
                            <w:r>
                              <w:rPr>
                                <w:color w:val="000000"/>
                                <w:spacing w:val="-4"/>
                              </w:rPr>
                              <w:t> </w:t>
                            </w:r>
                            <w:r>
                              <w:rPr>
                                <w:color w:val="000000"/>
                              </w:rPr>
                              <w:t>nations.</w:t>
                            </w:r>
                            <w:r>
                              <w:rPr>
                                <w:color w:val="000000"/>
                                <w:spacing w:val="-3"/>
                              </w:rPr>
                              <w:t> </w:t>
                            </w:r>
                            <w:r>
                              <w:rPr>
                                <w:color w:val="000000"/>
                              </w:rPr>
                              <w:t>The</w:t>
                            </w:r>
                            <w:r>
                              <w:rPr>
                                <w:color w:val="000000"/>
                                <w:spacing w:val="-2"/>
                              </w:rPr>
                              <w:t> </w:t>
                            </w:r>
                            <w:r>
                              <w:rPr>
                                <w:color w:val="000000"/>
                              </w:rPr>
                              <w:t>United</w:t>
                            </w:r>
                            <w:r>
                              <w:rPr>
                                <w:color w:val="000000"/>
                                <w:spacing w:val="-4"/>
                              </w:rPr>
                              <w:t> </w:t>
                            </w:r>
                            <w:r>
                              <w:rPr>
                                <w:color w:val="000000"/>
                              </w:rPr>
                              <w:t>States</w:t>
                            </w:r>
                            <w:r>
                              <w:rPr>
                                <w:color w:val="000000"/>
                                <w:spacing w:val="-3"/>
                              </w:rPr>
                              <w:t> </w:t>
                            </w:r>
                            <w:r>
                              <w:rPr>
                                <w:color w:val="000000"/>
                              </w:rPr>
                              <w:t>has</w:t>
                            </w:r>
                            <w:r>
                              <w:rPr>
                                <w:color w:val="000000"/>
                                <w:spacing w:val="-3"/>
                              </w:rPr>
                              <w:t> </w:t>
                            </w:r>
                            <w:r>
                              <w:rPr>
                                <w:color w:val="000000"/>
                              </w:rPr>
                              <w:t>a</w:t>
                            </w:r>
                            <w:r>
                              <w:rPr>
                                <w:color w:val="000000"/>
                                <w:spacing w:val="-5"/>
                              </w:rPr>
                              <w:t> </w:t>
                            </w:r>
                            <w:r>
                              <w:rPr>
                                <w:color w:val="000000"/>
                              </w:rPr>
                              <w:t>fiduciary</w:t>
                            </w:r>
                            <w:r>
                              <w:rPr>
                                <w:color w:val="000000"/>
                                <w:spacing w:val="-2"/>
                              </w:rPr>
                              <w:t> </w:t>
                            </w:r>
                            <w:r>
                              <w:rPr>
                                <w:color w:val="000000"/>
                              </w:rPr>
                              <w:t>relationship with Tribal governments as set forth in the United States Constitution, statutes, executive orders, court decisions, and agreements. This relationship is also known as the Federal Trust</w:t>
                            </w:r>
                            <w:r>
                              <w:rPr>
                                <w:color w:val="000000"/>
                                <w:spacing w:val="-4"/>
                              </w:rPr>
                              <w:t> </w:t>
                            </w:r>
                            <w:r>
                              <w:rPr>
                                <w:color w:val="000000"/>
                              </w:rPr>
                              <w:t>Duty</w:t>
                            </w:r>
                            <w:r>
                              <w:rPr>
                                <w:color w:val="000000"/>
                                <w:spacing w:val="-3"/>
                              </w:rPr>
                              <w:t> </w:t>
                            </w:r>
                            <w:r>
                              <w:rPr>
                                <w:color w:val="000000"/>
                              </w:rPr>
                              <w:t>to</w:t>
                            </w:r>
                            <w:r>
                              <w:rPr>
                                <w:color w:val="000000"/>
                                <w:spacing w:val="-3"/>
                              </w:rPr>
                              <w:t> </w:t>
                            </w:r>
                            <w:r>
                              <w:rPr>
                                <w:color w:val="000000"/>
                              </w:rPr>
                              <w:t>American</w:t>
                            </w:r>
                            <w:r>
                              <w:rPr>
                                <w:color w:val="000000"/>
                                <w:spacing w:val="-3"/>
                              </w:rPr>
                              <w:t> </w:t>
                            </w:r>
                            <w:r>
                              <w:rPr>
                                <w:color w:val="000000"/>
                              </w:rPr>
                              <w:t>Indians.</w:t>
                            </w:r>
                            <w:r>
                              <w:rPr>
                                <w:color w:val="000000"/>
                                <w:spacing w:val="-2"/>
                              </w:rPr>
                              <w:t> </w:t>
                            </w:r>
                            <w:r>
                              <w:rPr>
                                <w:color w:val="000000"/>
                              </w:rPr>
                              <w:t>Therefore,</w:t>
                            </w:r>
                            <w:r>
                              <w:rPr>
                                <w:color w:val="000000"/>
                                <w:spacing w:val="-4"/>
                              </w:rPr>
                              <w:t> </w:t>
                            </w:r>
                            <w:r>
                              <w:rPr>
                                <w:color w:val="000000"/>
                              </w:rPr>
                              <w:t>the</w:t>
                            </w:r>
                            <w:r>
                              <w:rPr>
                                <w:color w:val="000000"/>
                                <w:spacing w:val="-1"/>
                              </w:rPr>
                              <w:t> </w:t>
                            </w:r>
                            <w:r>
                              <w:rPr>
                                <w:color w:val="000000"/>
                              </w:rPr>
                              <w:t>Forest</w:t>
                            </w:r>
                            <w:r>
                              <w:rPr>
                                <w:color w:val="000000"/>
                                <w:spacing w:val="-4"/>
                              </w:rPr>
                              <w:t> </w:t>
                            </w:r>
                            <w:r>
                              <w:rPr>
                                <w:color w:val="000000"/>
                              </w:rPr>
                              <w:t>Service</w:t>
                            </w:r>
                            <w:r>
                              <w:rPr>
                                <w:color w:val="000000"/>
                                <w:spacing w:val="-4"/>
                              </w:rPr>
                              <w:t> </w:t>
                            </w:r>
                            <w:r>
                              <w:rPr>
                                <w:color w:val="000000"/>
                              </w:rPr>
                              <w:t>has</w:t>
                            </w:r>
                            <w:r>
                              <w:rPr>
                                <w:color w:val="000000"/>
                                <w:spacing w:val="-2"/>
                              </w:rPr>
                              <w:t> </w:t>
                            </w:r>
                            <w:r>
                              <w:rPr>
                                <w:color w:val="000000"/>
                              </w:rPr>
                              <w:t>certain</w:t>
                            </w:r>
                            <w:r>
                              <w:rPr>
                                <w:color w:val="000000"/>
                                <w:spacing w:val="-3"/>
                              </w:rPr>
                              <w:t> </w:t>
                            </w:r>
                            <w:r>
                              <w:rPr>
                                <w:color w:val="000000"/>
                              </w:rPr>
                              <w:t>responsibilities</w:t>
                            </w:r>
                            <w:r>
                              <w:rPr>
                                <w:color w:val="000000"/>
                                <w:spacing w:val="-2"/>
                              </w:rPr>
                              <w:t> </w:t>
                            </w:r>
                            <w:r>
                              <w:rPr>
                                <w:color w:val="000000"/>
                              </w:rPr>
                              <w:t>to American Indian tribes to fulfill the government’s Federal Trust Duty. In meeting these responsibilities, the Forest Service must administer their programs in a manner that does not interfere with Tribal rights and resources.</w:t>
                            </w:r>
                          </w:p>
                          <w:p>
                            <w:pPr>
                              <w:pStyle w:val="BodyText"/>
                              <w:spacing w:before="118"/>
                              <w:ind w:left="28" w:right="120"/>
                              <w:rPr>
                                <w:color w:val="000000"/>
                              </w:rPr>
                            </w:pPr>
                            <w:r>
                              <w:rPr>
                                <w:color w:val="000000"/>
                              </w:rPr>
                              <w:t>Direction</w:t>
                            </w:r>
                            <w:r>
                              <w:rPr>
                                <w:color w:val="000000"/>
                                <w:spacing w:val="-3"/>
                              </w:rPr>
                              <w:t> </w:t>
                            </w:r>
                            <w:r>
                              <w:rPr>
                                <w:color w:val="000000"/>
                              </w:rPr>
                              <w:t>includes,</w:t>
                            </w:r>
                            <w:r>
                              <w:rPr>
                                <w:color w:val="000000"/>
                                <w:spacing w:val="-2"/>
                              </w:rPr>
                              <w:t> </w:t>
                            </w:r>
                            <w:r>
                              <w:rPr>
                                <w:color w:val="000000"/>
                              </w:rPr>
                              <w:t>but</w:t>
                            </w:r>
                            <w:r>
                              <w:rPr>
                                <w:color w:val="000000"/>
                                <w:spacing w:val="-1"/>
                              </w:rPr>
                              <w:t> </w:t>
                            </w:r>
                            <w:r>
                              <w:rPr>
                                <w:color w:val="000000"/>
                              </w:rPr>
                              <w:t>is</w:t>
                            </w:r>
                            <w:r>
                              <w:rPr>
                                <w:color w:val="000000"/>
                                <w:spacing w:val="-2"/>
                              </w:rPr>
                              <w:t> </w:t>
                            </w:r>
                            <w:r>
                              <w:rPr>
                                <w:color w:val="000000"/>
                              </w:rPr>
                              <w:t>not</w:t>
                            </w:r>
                            <w:r>
                              <w:rPr>
                                <w:color w:val="000000"/>
                                <w:spacing w:val="-1"/>
                              </w:rPr>
                              <w:t> </w:t>
                            </w:r>
                            <w:r>
                              <w:rPr>
                                <w:color w:val="000000"/>
                              </w:rPr>
                              <w:t>limited</w:t>
                            </w:r>
                            <w:r>
                              <w:rPr>
                                <w:color w:val="000000"/>
                                <w:spacing w:val="-3"/>
                              </w:rPr>
                              <w:t> </w:t>
                            </w:r>
                            <w:r>
                              <w:rPr>
                                <w:color w:val="000000"/>
                              </w:rPr>
                              <w:t>to</w:t>
                            </w:r>
                            <w:r>
                              <w:rPr>
                                <w:color w:val="000000"/>
                                <w:spacing w:val="-1"/>
                              </w:rPr>
                              <w:t> </w:t>
                            </w:r>
                            <w:r>
                              <w:rPr>
                                <w:color w:val="000000"/>
                              </w:rPr>
                              <w:t>the</w:t>
                            </w:r>
                            <w:r>
                              <w:rPr>
                                <w:color w:val="000000"/>
                                <w:spacing w:val="-4"/>
                              </w:rPr>
                              <w:t> </w:t>
                            </w:r>
                            <w:r>
                              <w:rPr>
                                <w:color w:val="000000"/>
                              </w:rPr>
                              <w:t>following,</w:t>
                            </w:r>
                            <w:r>
                              <w:rPr>
                                <w:color w:val="000000"/>
                                <w:spacing w:val="-4"/>
                              </w:rPr>
                              <w:t> </w:t>
                            </w:r>
                            <w:r>
                              <w:rPr>
                                <w:color w:val="000000"/>
                              </w:rPr>
                              <w:t>and,</w:t>
                            </w:r>
                            <w:r>
                              <w:rPr>
                                <w:color w:val="000000"/>
                                <w:spacing w:val="-2"/>
                              </w:rPr>
                              <w:t> </w:t>
                            </w:r>
                            <w:r>
                              <w:rPr>
                                <w:color w:val="000000"/>
                              </w:rPr>
                              <w:t>over</w:t>
                            </w:r>
                            <w:r>
                              <w:rPr>
                                <w:color w:val="000000"/>
                                <w:spacing w:val="-2"/>
                              </w:rPr>
                              <w:t> </w:t>
                            </w:r>
                            <w:r>
                              <w:rPr>
                                <w:color w:val="000000"/>
                              </w:rPr>
                              <w:t>the</w:t>
                            </w:r>
                            <w:r>
                              <w:rPr>
                                <w:color w:val="000000"/>
                                <w:spacing w:val="-1"/>
                              </w:rPr>
                              <w:t> </w:t>
                            </w:r>
                            <w:r>
                              <w:rPr>
                                <w:color w:val="000000"/>
                              </w:rPr>
                              <w:t>life</w:t>
                            </w:r>
                            <w:r>
                              <w:rPr>
                                <w:color w:val="000000"/>
                                <w:spacing w:val="-4"/>
                              </w:rPr>
                              <w:t> </w:t>
                            </w:r>
                            <w:r>
                              <w:rPr>
                                <w:color w:val="000000"/>
                              </w:rPr>
                              <w:t>of</w:t>
                            </w:r>
                            <w:r>
                              <w:rPr>
                                <w:color w:val="000000"/>
                                <w:spacing w:val="-4"/>
                              </w:rPr>
                              <w:t> </w:t>
                            </w:r>
                            <w:r>
                              <w:rPr>
                                <w:color w:val="000000"/>
                              </w:rPr>
                              <w:t>the</w:t>
                            </w:r>
                            <w:r>
                              <w:rPr>
                                <w:color w:val="000000"/>
                                <w:spacing w:val="-1"/>
                              </w:rPr>
                              <w:t> </w:t>
                            </w:r>
                            <w:r>
                              <w:rPr>
                                <w:color w:val="000000"/>
                              </w:rPr>
                              <w:t>plan,</w:t>
                            </w:r>
                            <w:r>
                              <w:rPr>
                                <w:color w:val="000000"/>
                                <w:spacing w:val="-2"/>
                              </w:rPr>
                              <w:t> </w:t>
                            </w:r>
                            <w:r>
                              <w:rPr>
                                <w:color w:val="000000"/>
                              </w:rPr>
                              <w:t>there may be changes to these.</w:t>
                            </w:r>
                          </w:p>
                          <w:p>
                            <w:pPr>
                              <w:pStyle w:val="BodyText"/>
                              <w:spacing w:before="121"/>
                              <w:ind w:left="28"/>
                              <w:rPr>
                                <w:color w:val="000000"/>
                              </w:rPr>
                            </w:pPr>
                            <w:r>
                              <w:rPr>
                                <w:color w:val="000000"/>
                              </w:rPr>
                              <w:t>LAWS</w:t>
                            </w:r>
                            <w:r>
                              <w:rPr>
                                <w:color w:val="000000"/>
                                <w:spacing w:val="-5"/>
                              </w:rPr>
                              <w:t> </w:t>
                            </w:r>
                            <w:r>
                              <w:rPr>
                                <w:color w:val="000000"/>
                              </w:rPr>
                              <w:t>AND</w:t>
                            </w:r>
                            <w:r>
                              <w:rPr>
                                <w:color w:val="000000"/>
                                <w:spacing w:val="-4"/>
                              </w:rPr>
                              <w:t> </w:t>
                            </w:r>
                            <w:r>
                              <w:rPr>
                                <w:color w:val="000000"/>
                              </w:rPr>
                              <w:t>EXECUTIVE</w:t>
                            </w:r>
                            <w:r>
                              <w:rPr>
                                <w:color w:val="000000"/>
                                <w:spacing w:val="-4"/>
                              </w:rPr>
                              <w:t> </w:t>
                            </w:r>
                            <w:r>
                              <w:rPr>
                                <w:color w:val="000000"/>
                                <w:spacing w:val="-2"/>
                              </w:rPr>
                              <w:t>ORDERS</w:t>
                            </w:r>
                          </w:p>
                          <w:p>
                            <w:pPr>
                              <w:pStyle w:val="BodyText"/>
                              <w:spacing w:before="119"/>
                              <w:ind w:left="28" w:right="120"/>
                              <w:rPr>
                                <w:color w:val="000000"/>
                              </w:rPr>
                            </w:pPr>
                            <w:r>
                              <w:rPr>
                                <w:color w:val="000000"/>
                              </w:rPr>
                              <w:t>The</w:t>
                            </w:r>
                            <w:r>
                              <w:rPr>
                                <w:color w:val="000000"/>
                                <w:spacing w:val="-1"/>
                              </w:rPr>
                              <w:t> </w:t>
                            </w:r>
                            <w:r>
                              <w:rPr>
                                <w:color w:val="000000"/>
                              </w:rPr>
                              <w:t>American</w:t>
                            </w:r>
                            <w:r>
                              <w:rPr>
                                <w:color w:val="000000"/>
                                <w:spacing w:val="-3"/>
                              </w:rPr>
                              <w:t> </w:t>
                            </w:r>
                            <w:r>
                              <w:rPr>
                                <w:color w:val="000000"/>
                              </w:rPr>
                              <w:t>Indian</w:t>
                            </w:r>
                            <w:r>
                              <w:rPr>
                                <w:color w:val="000000"/>
                                <w:spacing w:val="-3"/>
                              </w:rPr>
                              <w:t> </w:t>
                            </w:r>
                            <w:r>
                              <w:rPr>
                                <w:color w:val="000000"/>
                              </w:rPr>
                              <w:t>Religious</w:t>
                            </w:r>
                            <w:r>
                              <w:rPr>
                                <w:color w:val="000000"/>
                                <w:spacing w:val="-2"/>
                              </w:rPr>
                              <w:t> </w:t>
                            </w:r>
                            <w:r>
                              <w:rPr>
                                <w:color w:val="000000"/>
                              </w:rPr>
                              <w:t>Freedom</w:t>
                            </w:r>
                            <w:r>
                              <w:rPr>
                                <w:color w:val="000000"/>
                                <w:spacing w:val="-1"/>
                              </w:rPr>
                              <w:t> </w:t>
                            </w:r>
                            <w:r>
                              <w:rPr>
                                <w:color w:val="000000"/>
                              </w:rPr>
                              <w:t>Act</w:t>
                            </w:r>
                            <w:r>
                              <w:rPr>
                                <w:color w:val="000000"/>
                                <w:spacing w:val="-4"/>
                              </w:rPr>
                              <w:t> </w:t>
                            </w:r>
                            <w:r>
                              <w:rPr>
                                <w:color w:val="000000"/>
                              </w:rPr>
                              <w:t>of</w:t>
                            </w:r>
                            <w:r>
                              <w:rPr>
                                <w:color w:val="000000"/>
                                <w:spacing w:val="-2"/>
                              </w:rPr>
                              <w:t> </w:t>
                            </w:r>
                            <w:r>
                              <w:rPr>
                                <w:color w:val="000000"/>
                              </w:rPr>
                              <w:t>1978,</w:t>
                            </w:r>
                            <w:r>
                              <w:rPr>
                                <w:color w:val="000000"/>
                                <w:spacing w:val="-2"/>
                              </w:rPr>
                              <w:t> </w:t>
                            </w:r>
                            <w:r>
                              <w:rPr>
                                <w:color w:val="000000"/>
                              </w:rPr>
                              <w:t>as</w:t>
                            </w:r>
                            <w:r>
                              <w:rPr>
                                <w:color w:val="000000"/>
                                <w:spacing w:val="-2"/>
                              </w:rPr>
                              <w:t> </w:t>
                            </w:r>
                            <w:r>
                              <w:rPr>
                                <w:color w:val="000000"/>
                              </w:rPr>
                              <w:t>amended</w:t>
                            </w:r>
                            <w:r>
                              <w:rPr>
                                <w:color w:val="000000"/>
                                <w:spacing w:val="-2"/>
                              </w:rPr>
                              <w:t> </w:t>
                            </w:r>
                            <w:r>
                              <w:rPr>
                                <w:color w:val="000000"/>
                              </w:rPr>
                              <w:t>–</w:t>
                            </w:r>
                            <w:r>
                              <w:rPr>
                                <w:color w:val="000000"/>
                                <w:spacing w:val="-4"/>
                              </w:rPr>
                              <w:t> </w:t>
                            </w:r>
                            <w:r>
                              <w:rPr>
                                <w:color w:val="000000"/>
                              </w:rPr>
                              <w:t>Legislation</w:t>
                            </w:r>
                            <w:r>
                              <w:rPr>
                                <w:color w:val="000000"/>
                                <w:spacing w:val="-3"/>
                              </w:rPr>
                              <w:t> </w:t>
                            </w:r>
                            <w:r>
                              <w:rPr>
                                <w:color w:val="000000"/>
                              </w:rPr>
                              <w:t>passed</w:t>
                            </w:r>
                            <w:r>
                              <w:rPr>
                                <w:color w:val="000000"/>
                                <w:spacing w:val="-3"/>
                              </w:rPr>
                              <w:t> </w:t>
                            </w:r>
                            <w:r>
                              <w:rPr>
                                <w:color w:val="000000"/>
                              </w:rPr>
                              <w:t>by Congress intended to protect and preserve the traditional religious rights of American Indians, Eskimos, Aleuts, and Native Hawaiians. The Act requires Federal agencies to</w:t>
                            </w:r>
                          </w:p>
                        </w:txbxContent>
                      </wps:txbx>
                      <wps:bodyPr wrap="square" lIns="0" tIns="0" rIns="0" bIns="0" rtlCol="0">
                        <a:noAutofit/>
                      </wps:bodyPr>
                    </wps:wsp>
                  </a:graphicData>
                </a:graphic>
              </wp:anchor>
            </w:drawing>
          </mc:Choice>
          <mc:Fallback>
            <w:pict>
              <v:shape style="position:absolute;margin-left:128.160004pt;margin-top:5.999609pt;width:413.3pt;height:192.5pt;mso-position-horizontal-relative:page;mso-position-vertical-relative:paragraph;z-index:-15703040;mso-wrap-distance-left:0;mso-wrap-distance-right:0" type="#_x0000_t202" id="docshape166" filled="true" fillcolor="#dfdfdf" stroked="false">
                <v:textbox inset="0,0,0,0">
                  <w:txbxContent>
                    <w:p>
                      <w:pPr>
                        <w:pStyle w:val="BodyText"/>
                        <w:ind w:left="28" w:right="74"/>
                        <w:rPr>
                          <w:color w:val="000000"/>
                        </w:rPr>
                      </w:pPr>
                      <w:r>
                        <w:rPr>
                          <w:color w:val="000000"/>
                        </w:rPr>
                        <w:t>American</w:t>
                      </w:r>
                      <w:r>
                        <w:rPr>
                          <w:color w:val="000000"/>
                          <w:spacing w:val="-6"/>
                        </w:rPr>
                        <w:t> </w:t>
                      </w:r>
                      <w:r>
                        <w:rPr>
                          <w:color w:val="000000"/>
                        </w:rPr>
                        <w:t>Indian</w:t>
                      </w:r>
                      <w:r>
                        <w:rPr>
                          <w:color w:val="000000"/>
                          <w:spacing w:val="-4"/>
                        </w:rPr>
                        <w:t> </w:t>
                      </w:r>
                      <w:r>
                        <w:rPr>
                          <w:color w:val="000000"/>
                        </w:rPr>
                        <w:t>tribes</w:t>
                      </w:r>
                      <w:r>
                        <w:rPr>
                          <w:color w:val="000000"/>
                          <w:spacing w:val="-3"/>
                        </w:rPr>
                        <w:t> </w:t>
                      </w:r>
                      <w:r>
                        <w:rPr>
                          <w:color w:val="000000"/>
                        </w:rPr>
                        <w:t>are</w:t>
                      </w:r>
                      <w:r>
                        <w:rPr>
                          <w:color w:val="000000"/>
                          <w:spacing w:val="-5"/>
                        </w:rPr>
                        <w:t> </w:t>
                      </w:r>
                      <w:r>
                        <w:rPr>
                          <w:color w:val="000000"/>
                        </w:rPr>
                        <w:t>sovereign</w:t>
                      </w:r>
                      <w:r>
                        <w:rPr>
                          <w:color w:val="000000"/>
                          <w:spacing w:val="-4"/>
                        </w:rPr>
                        <w:t> </w:t>
                      </w:r>
                      <w:r>
                        <w:rPr>
                          <w:color w:val="000000"/>
                        </w:rPr>
                        <w:t>nations.</w:t>
                      </w:r>
                      <w:r>
                        <w:rPr>
                          <w:color w:val="000000"/>
                          <w:spacing w:val="-3"/>
                        </w:rPr>
                        <w:t> </w:t>
                      </w:r>
                      <w:r>
                        <w:rPr>
                          <w:color w:val="000000"/>
                        </w:rPr>
                        <w:t>The</w:t>
                      </w:r>
                      <w:r>
                        <w:rPr>
                          <w:color w:val="000000"/>
                          <w:spacing w:val="-2"/>
                        </w:rPr>
                        <w:t> </w:t>
                      </w:r>
                      <w:r>
                        <w:rPr>
                          <w:color w:val="000000"/>
                        </w:rPr>
                        <w:t>United</w:t>
                      </w:r>
                      <w:r>
                        <w:rPr>
                          <w:color w:val="000000"/>
                          <w:spacing w:val="-4"/>
                        </w:rPr>
                        <w:t> </w:t>
                      </w:r>
                      <w:r>
                        <w:rPr>
                          <w:color w:val="000000"/>
                        </w:rPr>
                        <w:t>States</w:t>
                      </w:r>
                      <w:r>
                        <w:rPr>
                          <w:color w:val="000000"/>
                          <w:spacing w:val="-3"/>
                        </w:rPr>
                        <w:t> </w:t>
                      </w:r>
                      <w:r>
                        <w:rPr>
                          <w:color w:val="000000"/>
                        </w:rPr>
                        <w:t>has</w:t>
                      </w:r>
                      <w:r>
                        <w:rPr>
                          <w:color w:val="000000"/>
                          <w:spacing w:val="-3"/>
                        </w:rPr>
                        <w:t> </w:t>
                      </w:r>
                      <w:r>
                        <w:rPr>
                          <w:color w:val="000000"/>
                        </w:rPr>
                        <w:t>a</w:t>
                      </w:r>
                      <w:r>
                        <w:rPr>
                          <w:color w:val="000000"/>
                          <w:spacing w:val="-5"/>
                        </w:rPr>
                        <w:t> </w:t>
                      </w:r>
                      <w:r>
                        <w:rPr>
                          <w:color w:val="000000"/>
                        </w:rPr>
                        <w:t>fiduciary</w:t>
                      </w:r>
                      <w:r>
                        <w:rPr>
                          <w:color w:val="000000"/>
                          <w:spacing w:val="-2"/>
                        </w:rPr>
                        <w:t> </w:t>
                      </w:r>
                      <w:r>
                        <w:rPr>
                          <w:color w:val="000000"/>
                        </w:rPr>
                        <w:t>relationship with Tribal governments as set forth in the United States Constitution, statutes, executive orders, court decisions, and agreements. This relationship is also known as the Federal Trust</w:t>
                      </w:r>
                      <w:r>
                        <w:rPr>
                          <w:color w:val="000000"/>
                          <w:spacing w:val="-4"/>
                        </w:rPr>
                        <w:t> </w:t>
                      </w:r>
                      <w:r>
                        <w:rPr>
                          <w:color w:val="000000"/>
                        </w:rPr>
                        <w:t>Duty</w:t>
                      </w:r>
                      <w:r>
                        <w:rPr>
                          <w:color w:val="000000"/>
                          <w:spacing w:val="-3"/>
                        </w:rPr>
                        <w:t> </w:t>
                      </w:r>
                      <w:r>
                        <w:rPr>
                          <w:color w:val="000000"/>
                        </w:rPr>
                        <w:t>to</w:t>
                      </w:r>
                      <w:r>
                        <w:rPr>
                          <w:color w:val="000000"/>
                          <w:spacing w:val="-3"/>
                        </w:rPr>
                        <w:t> </w:t>
                      </w:r>
                      <w:r>
                        <w:rPr>
                          <w:color w:val="000000"/>
                        </w:rPr>
                        <w:t>American</w:t>
                      </w:r>
                      <w:r>
                        <w:rPr>
                          <w:color w:val="000000"/>
                          <w:spacing w:val="-3"/>
                        </w:rPr>
                        <w:t> </w:t>
                      </w:r>
                      <w:r>
                        <w:rPr>
                          <w:color w:val="000000"/>
                        </w:rPr>
                        <w:t>Indians.</w:t>
                      </w:r>
                      <w:r>
                        <w:rPr>
                          <w:color w:val="000000"/>
                          <w:spacing w:val="-2"/>
                        </w:rPr>
                        <w:t> </w:t>
                      </w:r>
                      <w:r>
                        <w:rPr>
                          <w:color w:val="000000"/>
                        </w:rPr>
                        <w:t>Therefore,</w:t>
                      </w:r>
                      <w:r>
                        <w:rPr>
                          <w:color w:val="000000"/>
                          <w:spacing w:val="-4"/>
                        </w:rPr>
                        <w:t> </w:t>
                      </w:r>
                      <w:r>
                        <w:rPr>
                          <w:color w:val="000000"/>
                        </w:rPr>
                        <w:t>the</w:t>
                      </w:r>
                      <w:r>
                        <w:rPr>
                          <w:color w:val="000000"/>
                          <w:spacing w:val="-1"/>
                        </w:rPr>
                        <w:t> </w:t>
                      </w:r>
                      <w:r>
                        <w:rPr>
                          <w:color w:val="000000"/>
                        </w:rPr>
                        <w:t>Forest</w:t>
                      </w:r>
                      <w:r>
                        <w:rPr>
                          <w:color w:val="000000"/>
                          <w:spacing w:val="-4"/>
                        </w:rPr>
                        <w:t> </w:t>
                      </w:r>
                      <w:r>
                        <w:rPr>
                          <w:color w:val="000000"/>
                        </w:rPr>
                        <w:t>Service</w:t>
                      </w:r>
                      <w:r>
                        <w:rPr>
                          <w:color w:val="000000"/>
                          <w:spacing w:val="-4"/>
                        </w:rPr>
                        <w:t> </w:t>
                      </w:r>
                      <w:r>
                        <w:rPr>
                          <w:color w:val="000000"/>
                        </w:rPr>
                        <w:t>has</w:t>
                      </w:r>
                      <w:r>
                        <w:rPr>
                          <w:color w:val="000000"/>
                          <w:spacing w:val="-2"/>
                        </w:rPr>
                        <w:t> </w:t>
                      </w:r>
                      <w:r>
                        <w:rPr>
                          <w:color w:val="000000"/>
                        </w:rPr>
                        <w:t>certain</w:t>
                      </w:r>
                      <w:r>
                        <w:rPr>
                          <w:color w:val="000000"/>
                          <w:spacing w:val="-3"/>
                        </w:rPr>
                        <w:t> </w:t>
                      </w:r>
                      <w:r>
                        <w:rPr>
                          <w:color w:val="000000"/>
                        </w:rPr>
                        <w:t>responsibilities</w:t>
                      </w:r>
                      <w:r>
                        <w:rPr>
                          <w:color w:val="000000"/>
                          <w:spacing w:val="-2"/>
                        </w:rPr>
                        <w:t> </w:t>
                      </w:r>
                      <w:r>
                        <w:rPr>
                          <w:color w:val="000000"/>
                        </w:rPr>
                        <w:t>to American Indian tribes to fulfill the government’s Federal Trust Duty. In meeting these responsibilities, the Forest Service must administer their programs in a manner that does not interfere with Tribal rights and resources.</w:t>
                      </w:r>
                    </w:p>
                    <w:p>
                      <w:pPr>
                        <w:pStyle w:val="BodyText"/>
                        <w:spacing w:before="118"/>
                        <w:ind w:left="28" w:right="120"/>
                        <w:rPr>
                          <w:color w:val="000000"/>
                        </w:rPr>
                      </w:pPr>
                      <w:r>
                        <w:rPr>
                          <w:color w:val="000000"/>
                        </w:rPr>
                        <w:t>Direction</w:t>
                      </w:r>
                      <w:r>
                        <w:rPr>
                          <w:color w:val="000000"/>
                          <w:spacing w:val="-3"/>
                        </w:rPr>
                        <w:t> </w:t>
                      </w:r>
                      <w:r>
                        <w:rPr>
                          <w:color w:val="000000"/>
                        </w:rPr>
                        <w:t>includes,</w:t>
                      </w:r>
                      <w:r>
                        <w:rPr>
                          <w:color w:val="000000"/>
                          <w:spacing w:val="-2"/>
                        </w:rPr>
                        <w:t> </w:t>
                      </w:r>
                      <w:r>
                        <w:rPr>
                          <w:color w:val="000000"/>
                        </w:rPr>
                        <w:t>but</w:t>
                      </w:r>
                      <w:r>
                        <w:rPr>
                          <w:color w:val="000000"/>
                          <w:spacing w:val="-1"/>
                        </w:rPr>
                        <w:t> </w:t>
                      </w:r>
                      <w:r>
                        <w:rPr>
                          <w:color w:val="000000"/>
                        </w:rPr>
                        <w:t>is</w:t>
                      </w:r>
                      <w:r>
                        <w:rPr>
                          <w:color w:val="000000"/>
                          <w:spacing w:val="-2"/>
                        </w:rPr>
                        <w:t> </w:t>
                      </w:r>
                      <w:r>
                        <w:rPr>
                          <w:color w:val="000000"/>
                        </w:rPr>
                        <w:t>not</w:t>
                      </w:r>
                      <w:r>
                        <w:rPr>
                          <w:color w:val="000000"/>
                          <w:spacing w:val="-1"/>
                        </w:rPr>
                        <w:t> </w:t>
                      </w:r>
                      <w:r>
                        <w:rPr>
                          <w:color w:val="000000"/>
                        </w:rPr>
                        <w:t>limited</w:t>
                      </w:r>
                      <w:r>
                        <w:rPr>
                          <w:color w:val="000000"/>
                          <w:spacing w:val="-3"/>
                        </w:rPr>
                        <w:t> </w:t>
                      </w:r>
                      <w:r>
                        <w:rPr>
                          <w:color w:val="000000"/>
                        </w:rPr>
                        <w:t>to</w:t>
                      </w:r>
                      <w:r>
                        <w:rPr>
                          <w:color w:val="000000"/>
                          <w:spacing w:val="-1"/>
                        </w:rPr>
                        <w:t> </w:t>
                      </w:r>
                      <w:r>
                        <w:rPr>
                          <w:color w:val="000000"/>
                        </w:rPr>
                        <w:t>the</w:t>
                      </w:r>
                      <w:r>
                        <w:rPr>
                          <w:color w:val="000000"/>
                          <w:spacing w:val="-4"/>
                        </w:rPr>
                        <w:t> </w:t>
                      </w:r>
                      <w:r>
                        <w:rPr>
                          <w:color w:val="000000"/>
                        </w:rPr>
                        <w:t>following,</w:t>
                      </w:r>
                      <w:r>
                        <w:rPr>
                          <w:color w:val="000000"/>
                          <w:spacing w:val="-4"/>
                        </w:rPr>
                        <w:t> </w:t>
                      </w:r>
                      <w:r>
                        <w:rPr>
                          <w:color w:val="000000"/>
                        </w:rPr>
                        <w:t>and,</w:t>
                      </w:r>
                      <w:r>
                        <w:rPr>
                          <w:color w:val="000000"/>
                          <w:spacing w:val="-2"/>
                        </w:rPr>
                        <w:t> </w:t>
                      </w:r>
                      <w:r>
                        <w:rPr>
                          <w:color w:val="000000"/>
                        </w:rPr>
                        <w:t>over</w:t>
                      </w:r>
                      <w:r>
                        <w:rPr>
                          <w:color w:val="000000"/>
                          <w:spacing w:val="-2"/>
                        </w:rPr>
                        <w:t> </w:t>
                      </w:r>
                      <w:r>
                        <w:rPr>
                          <w:color w:val="000000"/>
                        </w:rPr>
                        <w:t>the</w:t>
                      </w:r>
                      <w:r>
                        <w:rPr>
                          <w:color w:val="000000"/>
                          <w:spacing w:val="-1"/>
                        </w:rPr>
                        <w:t> </w:t>
                      </w:r>
                      <w:r>
                        <w:rPr>
                          <w:color w:val="000000"/>
                        </w:rPr>
                        <w:t>life</w:t>
                      </w:r>
                      <w:r>
                        <w:rPr>
                          <w:color w:val="000000"/>
                          <w:spacing w:val="-4"/>
                        </w:rPr>
                        <w:t> </w:t>
                      </w:r>
                      <w:r>
                        <w:rPr>
                          <w:color w:val="000000"/>
                        </w:rPr>
                        <w:t>of</w:t>
                      </w:r>
                      <w:r>
                        <w:rPr>
                          <w:color w:val="000000"/>
                          <w:spacing w:val="-4"/>
                        </w:rPr>
                        <w:t> </w:t>
                      </w:r>
                      <w:r>
                        <w:rPr>
                          <w:color w:val="000000"/>
                        </w:rPr>
                        <w:t>the</w:t>
                      </w:r>
                      <w:r>
                        <w:rPr>
                          <w:color w:val="000000"/>
                          <w:spacing w:val="-1"/>
                        </w:rPr>
                        <w:t> </w:t>
                      </w:r>
                      <w:r>
                        <w:rPr>
                          <w:color w:val="000000"/>
                        </w:rPr>
                        <w:t>plan,</w:t>
                      </w:r>
                      <w:r>
                        <w:rPr>
                          <w:color w:val="000000"/>
                          <w:spacing w:val="-2"/>
                        </w:rPr>
                        <w:t> </w:t>
                      </w:r>
                      <w:r>
                        <w:rPr>
                          <w:color w:val="000000"/>
                        </w:rPr>
                        <w:t>there may be changes to these.</w:t>
                      </w:r>
                    </w:p>
                    <w:p>
                      <w:pPr>
                        <w:pStyle w:val="BodyText"/>
                        <w:spacing w:before="121"/>
                        <w:ind w:left="28"/>
                        <w:rPr>
                          <w:color w:val="000000"/>
                        </w:rPr>
                      </w:pPr>
                      <w:r>
                        <w:rPr>
                          <w:color w:val="000000"/>
                        </w:rPr>
                        <w:t>LAWS</w:t>
                      </w:r>
                      <w:r>
                        <w:rPr>
                          <w:color w:val="000000"/>
                          <w:spacing w:val="-5"/>
                        </w:rPr>
                        <w:t> </w:t>
                      </w:r>
                      <w:r>
                        <w:rPr>
                          <w:color w:val="000000"/>
                        </w:rPr>
                        <w:t>AND</w:t>
                      </w:r>
                      <w:r>
                        <w:rPr>
                          <w:color w:val="000000"/>
                          <w:spacing w:val="-4"/>
                        </w:rPr>
                        <w:t> </w:t>
                      </w:r>
                      <w:r>
                        <w:rPr>
                          <w:color w:val="000000"/>
                        </w:rPr>
                        <w:t>EXECUTIVE</w:t>
                      </w:r>
                      <w:r>
                        <w:rPr>
                          <w:color w:val="000000"/>
                          <w:spacing w:val="-4"/>
                        </w:rPr>
                        <w:t> </w:t>
                      </w:r>
                      <w:r>
                        <w:rPr>
                          <w:color w:val="000000"/>
                          <w:spacing w:val="-2"/>
                        </w:rPr>
                        <w:t>ORDERS</w:t>
                      </w:r>
                    </w:p>
                    <w:p>
                      <w:pPr>
                        <w:pStyle w:val="BodyText"/>
                        <w:spacing w:before="119"/>
                        <w:ind w:left="28" w:right="120"/>
                        <w:rPr>
                          <w:color w:val="000000"/>
                        </w:rPr>
                      </w:pPr>
                      <w:r>
                        <w:rPr>
                          <w:color w:val="000000"/>
                        </w:rPr>
                        <w:t>The</w:t>
                      </w:r>
                      <w:r>
                        <w:rPr>
                          <w:color w:val="000000"/>
                          <w:spacing w:val="-1"/>
                        </w:rPr>
                        <w:t> </w:t>
                      </w:r>
                      <w:r>
                        <w:rPr>
                          <w:color w:val="000000"/>
                        </w:rPr>
                        <w:t>American</w:t>
                      </w:r>
                      <w:r>
                        <w:rPr>
                          <w:color w:val="000000"/>
                          <w:spacing w:val="-3"/>
                        </w:rPr>
                        <w:t> </w:t>
                      </w:r>
                      <w:r>
                        <w:rPr>
                          <w:color w:val="000000"/>
                        </w:rPr>
                        <w:t>Indian</w:t>
                      </w:r>
                      <w:r>
                        <w:rPr>
                          <w:color w:val="000000"/>
                          <w:spacing w:val="-3"/>
                        </w:rPr>
                        <w:t> </w:t>
                      </w:r>
                      <w:r>
                        <w:rPr>
                          <w:color w:val="000000"/>
                        </w:rPr>
                        <w:t>Religious</w:t>
                      </w:r>
                      <w:r>
                        <w:rPr>
                          <w:color w:val="000000"/>
                          <w:spacing w:val="-2"/>
                        </w:rPr>
                        <w:t> </w:t>
                      </w:r>
                      <w:r>
                        <w:rPr>
                          <w:color w:val="000000"/>
                        </w:rPr>
                        <w:t>Freedom</w:t>
                      </w:r>
                      <w:r>
                        <w:rPr>
                          <w:color w:val="000000"/>
                          <w:spacing w:val="-1"/>
                        </w:rPr>
                        <w:t> </w:t>
                      </w:r>
                      <w:r>
                        <w:rPr>
                          <w:color w:val="000000"/>
                        </w:rPr>
                        <w:t>Act</w:t>
                      </w:r>
                      <w:r>
                        <w:rPr>
                          <w:color w:val="000000"/>
                          <w:spacing w:val="-4"/>
                        </w:rPr>
                        <w:t> </w:t>
                      </w:r>
                      <w:r>
                        <w:rPr>
                          <w:color w:val="000000"/>
                        </w:rPr>
                        <w:t>of</w:t>
                      </w:r>
                      <w:r>
                        <w:rPr>
                          <w:color w:val="000000"/>
                          <w:spacing w:val="-2"/>
                        </w:rPr>
                        <w:t> </w:t>
                      </w:r>
                      <w:r>
                        <w:rPr>
                          <w:color w:val="000000"/>
                        </w:rPr>
                        <w:t>1978,</w:t>
                      </w:r>
                      <w:r>
                        <w:rPr>
                          <w:color w:val="000000"/>
                          <w:spacing w:val="-2"/>
                        </w:rPr>
                        <w:t> </w:t>
                      </w:r>
                      <w:r>
                        <w:rPr>
                          <w:color w:val="000000"/>
                        </w:rPr>
                        <w:t>as</w:t>
                      </w:r>
                      <w:r>
                        <w:rPr>
                          <w:color w:val="000000"/>
                          <w:spacing w:val="-2"/>
                        </w:rPr>
                        <w:t> </w:t>
                      </w:r>
                      <w:r>
                        <w:rPr>
                          <w:color w:val="000000"/>
                        </w:rPr>
                        <w:t>amended</w:t>
                      </w:r>
                      <w:r>
                        <w:rPr>
                          <w:color w:val="000000"/>
                          <w:spacing w:val="-2"/>
                        </w:rPr>
                        <w:t> </w:t>
                      </w:r>
                      <w:r>
                        <w:rPr>
                          <w:color w:val="000000"/>
                        </w:rPr>
                        <w:t>–</w:t>
                      </w:r>
                      <w:r>
                        <w:rPr>
                          <w:color w:val="000000"/>
                          <w:spacing w:val="-4"/>
                        </w:rPr>
                        <w:t> </w:t>
                      </w:r>
                      <w:r>
                        <w:rPr>
                          <w:color w:val="000000"/>
                        </w:rPr>
                        <w:t>Legislation</w:t>
                      </w:r>
                      <w:r>
                        <w:rPr>
                          <w:color w:val="000000"/>
                          <w:spacing w:val="-3"/>
                        </w:rPr>
                        <w:t> </w:t>
                      </w:r>
                      <w:r>
                        <w:rPr>
                          <w:color w:val="000000"/>
                        </w:rPr>
                        <w:t>passed</w:t>
                      </w:r>
                      <w:r>
                        <w:rPr>
                          <w:color w:val="000000"/>
                          <w:spacing w:val="-3"/>
                        </w:rPr>
                        <w:t> </w:t>
                      </w:r>
                      <w:r>
                        <w:rPr>
                          <w:color w:val="000000"/>
                        </w:rPr>
                        <w:t>by Congress intended to protect and preserve the traditional religious rights of American Indians, Eskimos, Aleuts, and Native Hawaiians. The Act requires Federal agencies to</w:t>
                      </w:r>
                    </w:p>
                  </w:txbxContent>
                </v:textbox>
                <v:fill type="solid"/>
                <w10:wrap type="topAndBottom"/>
              </v:shape>
            </w:pict>
          </mc:Fallback>
        </mc:AlternateContent>
      </w:r>
    </w:p>
    <w:p>
      <w:pPr>
        <w:pStyle w:val="BodyText"/>
        <w:spacing w:after="0"/>
        <w:rPr>
          <w:rFonts w:ascii="Arial"/>
          <w:b/>
          <w:sz w:val="8"/>
        </w:rPr>
        <w:sectPr>
          <w:pgSz w:w="12240" w:h="15840"/>
          <w:pgMar w:header="725" w:footer="891" w:top="960" w:bottom="1080" w:left="1080" w:right="720"/>
        </w:sectPr>
      </w:pPr>
    </w:p>
    <w:p>
      <w:pPr>
        <w:pStyle w:val="BodyText"/>
        <w:spacing w:before="221"/>
        <w:rPr>
          <w:rFonts w:ascii="Arial"/>
          <w:b/>
        </w:rPr>
      </w:pPr>
    </w:p>
    <w:p>
      <w:pPr>
        <w:pStyle w:val="BodyText"/>
        <w:ind w:left="720" w:right="1073"/>
      </w:pPr>
      <w:r>
        <w:rPr/>
        <mc:AlternateContent>
          <mc:Choice Requires="wps">
            <w:drawing>
              <wp:anchor distT="0" distB="0" distL="0" distR="0" allowOverlap="1" layoutInCell="1" locked="0" behindDoc="1" simplePos="0" relativeHeight="474270720">
                <wp:simplePos x="0" y="0"/>
                <wp:positionH relativeFrom="page">
                  <wp:posOffset>1124712</wp:posOffset>
                </wp:positionH>
                <wp:positionV relativeFrom="paragraph">
                  <wp:posOffset>775</wp:posOffset>
                </wp:positionV>
                <wp:extent cx="5248910" cy="5838825"/>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5248910" cy="5838825"/>
                        </a:xfrm>
                        <a:custGeom>
                          <a:avLst/>
                          <a:gdLst/>
                          <a:ahLst/>
                          <a:cxnLst/>
                          <a:rect l="l" t="t" r="r" b="b"/>
                          <a:pathLst>
                            <a:path w="5248910" h="5838825">
                              <a:moveTo>
                                <a:pt x="5248656" y="5667768"/>
                              </a:moveTo>
                              <a:lnTo>
                                <a:pt x="0" y="5667768"/>
                              </a:lnTo>
                              <a:lnTo>
                                <a:pt x="0" y="5838456"/>
                              </a:lnTo>
                              <a:lnTo>
                                <a:pt x="5248656" y="5838456"/>
                              </a:lnTo>
                              <a:lnTo>
                                <a:pt x="5248656" y="5667768"/>
                              </a:lnTo>
                              <a:close/>
                            </a:path>
                            <a:path w="5248910" h="5838825">
                              <a:moveTo>
                                <a:pt x="5248656" y="0"/>
                              </a:moveTo>
                              <a:lnTo>
                                <a:pt x="0" y="0"/>
                              </a:lnTo>
                              <a:lnTo>
                                <a:pt x="0" y="170688"/>
                              </a:lnTo>
                              <a:lnTo>
                                <a:pt x="0" y="417576"/>
                              </a:lnTo>
                              <a:lnTo>
                                <a:pt x="0" y="5667756"/>
                              </a:lnTo>
                              <a:lnTo>
                                <a:pt x="5248656" y="5667756"/>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06104pt;width:413.3pt;height:459.75pt;mso-position-horizontal-relative:page;mso-position-vertical-relative:paragraph;z-index:-29045760" id="docshape167" coordorigin="1771,1" coordsize="8266,9195" path="m10037,8927l1771,8927,1771,9196,10037,9196,10037,8927xm10037,1l1771,1,1771,270,1771,659,1771,928,1771,1196,1771,1583,1771,1852,1771,2120,1771,2389,1771,2658,1771,2927,1771,3196,1771,3464,1771,3733,1771,4002,1771,4268,1771,4537,1771,4806,1771,5075,1771,5344,1771,5612,1771,6001,1771,6270,1771,6539,1771,6928,1771,7194,1771,7463,1771,7852,1771,8120,1771,8389,1771,8658,1771,8927,10037,8927,10037,8658,10037,8389,10037,8120,10037,7852,10037,7463,10037,7194,10037,6928,10037,6539,10037,6270,10037,6001,10037,5612,10037,5344,10037,5075,10037,4806,10037,4537,10037,4268,10037,4002,10037,3733,10037,3464,10037,3196,10037,2927,10037,2658,10037,2389,10037,2120,10037,1852,10037,1583,10037,1196,10037,928,10037,659,10037,270,10037,1xe" filled="true" fillcolor="#dfdfdf" stroked="false">
                <v:path arrowok="t"/>
                <v:fill type="solid"/>
                <w10:wrap type="none"/>
              </v:shape>
            </w:pict>
          </mc:Fallback>
        </mc:AlternateContent>
      </w:r>
      <w:r>
        <w:rPr/>
        <w:t>consider</w:t>
      </w:r>
      <w:r>
        <w:rPr>
          <w:spacing w:val="-4"/>
        </w:rPr>
        <w:t> </w:t>
      </w:r>
      <w:r>
        <w:rPr/>
        <w:t>the</w:t>
      </w:r>
      <w:r>
        <w:rPr>
          <w:spacing w:val="-4"/>
        </w:rPr>
        <w:t> </w:t>
      </w:r>
      <w:r>
        <w:rPr/>
        <w:t>effects</w:t>
      </w:r>
      <w:r>
        <w:rPr>
          <w:spacing w:val="-4"/>
        </w:rPr>
        <w:t> </w:t>
      </w:r>
      <w:r>
        <w:rPr/>
        <w:t>of</w:t>
      </w:r>
      <w:r>
        <w:rPr>
          <w:spacing w:val="-2"/>
        </w:rPr>
        <w:t> </w:t>
      </w:r>
      <w:r>
        <w:rPr/>
        <w:t>their</w:t>
      </w:r>
      <w:r>
        <w:rPr>
          <w:spacing w:val="-2"/>
        </w:rPr>
        <w:t> </w:t>
      </w:r>
      <w:r>
        <w:rPr/>
        <w:t>programs</w:t>
      </w:r>
      <w:r>
        <w:rPr>
          <w:spacing w:val="-4"/>
        </w:rPr>
        <w:t> </w:t>
      </w:r>
      <w:r>
        <w:rPr/>
        <w:t>on</w:t>
      </w:r>
      <w:r>
        <w:rPr>
          <w:spacing w:val="-3"/>
        </w:rPr>
        <w:t> </w:t>
      </w:r>
      <w:r>
        <w:rPr/>
        <w:t>places</w:t>
      </w:r>
      <w:r>
        <w:rPr>
          <w:spacing w:val="-4"/>
        </w:rPr>
        <w:t> </w:t>
      </w:r>
      <w:r>
        <w:rPr/>
        <w:t>and</w:t>
      </w:r>
      <w:r>
        <w:rPr>
          <w:spacing w:val="-3"/>
        </w:rPr>
        <w:t> </w:t>
      </w:r>
      <w:r>
        <w:rPr/>
        <w:t>practices</w:t>
      </w:r>
      <w:r>
        <w:rPr>
          <w:spacing w:val="-4"/>
        </w:rPr>
        <w:t> </w:t>
      </w:r>
      <w:r>
        <w:rPr/>
        <w:t>of</w:t>
      </w:r>
      <w:r>
        <w:rPr>
          <w:spacing w:val="-4"/>
        </w:rPr>
        <w:t> </w:t>
      </w:r>
      <w:r>
        <w:rPr/>
        <w:t>religious</w:t>
      </w:r>
      <w:r>
        <w:rPr>
          <w:spacing w:val="-4"/>
        </w:rPr>
        <w:t> </w:t>
      </w:r>
      <w:r>
        <w:rPr/>
        <w:t>importance</w:t>
      </w:r>
      <w:r>
        <w:rPr>
          <w:spacing w:val="-1"/>
        </w:rPr>
        <w:t> </w:t>
      </w:r>
      <w:r>
        <w:rPr/>
        <w:t>to American Indians, Eskimos, and Native Hawaiians.</w:t>
      </w:r>
    </w:p>
    <w:p>
      <w:pPr>
        <w:pStyle w:val="BodyText"/>
        <w:spacing w:before="121"/>
        <w:ind w:left="720" w:right="1445"/>
      </w:pPr>
      <w:r>
        <w:rPr/>
        <w:t>The</w:t>
      </w:r>
      <w:r>
        <w:rPr>
          <w:spacing w:val="-2"/>
        </w:rPr>
        <w:t> </w:t>
      </w:r>
      <w:r>
        <w:rPr/>
        <w:t>Native</w:t>
      </w:r>
      <w:r>
        <w:rPr>
          <w:spacing w:val="-2"/>
        </w:rPr>
        <w:t> </w:t>
      </w:r>
      <w:r>
        <w:rPr/>
        <w:t>American</w:t>
      </w:r>
      <w:r>
        <w:rPr>
          <w:spacing w:val="-3"/>
        </w:rPr>
        <w:t> </w:t>
      </w:r>
      <w:r>
        <w:rPr/>
        <w:t>Graves</w:t>
      </w:r>
      <w:r>
        <w:rPr>
          <w:spacing w:val="-2"/>
        </w:rPr>
        <w:t> </w:t>
      </w:r>
      <w:r>
        <w:rPr/>
        <w:t>Protection</w:t>
      </w:r>
      <w:r>
        <w:rPr>
          <w:spacing w:val="-3"/>
        </w:rPr>
        <w:t> </w:t>
      </w:r>
      <w:r>
        <w:rPr/>
        <w:t>and</w:t>
      </w:r>
      <w:r>
        <w:rPr>
          <w:spacing w:val="-3"/>
        </w:rPr>
        <w:t> </w:t>
      </w:r>
      <w:r>
        <w:rPr/>
        <w:t>Repatriation</w:t>
      </w:r>
      <w:r>
        <w:rPr>
          <w:spacing w:val="-3"/>
        </w:rPr>
        <w:t> </w:t>
      </w:r>
      <w:r>
        <w:rPr/>
        <w:t>Act</w:t>
      </w:r>
      <w:r>
        <w:rPr>
          <w:spacing w:val="-4"/>
        </w:rPr>
        <w:t> </w:t>
      </w:r>
      <w:r>
        <w:rPr/>
        <w:t>of</w:t>
      </w:r>
      <w:r>
        <w:rPr>
          <w:spacing w:val="-4"/>
        </w:rPr>
        <w:t> </w:t>
      </w:r>
      <w:r>
        <w:rPr/>
        <w:t>1990</w:t>
      </w:r>
      <w:r>
        <w:rPr>
          <w:spacing w:val="-2"/>
        </w:rPr>
        <w:t> </w:t>
      </w:r>
      <w:r>
        <w:rPr/>
        <w:t>–</w:t>
      </w:r>
      <w:r>
        <w:rPr>
          <w:spacing w:val="-3"/>
        </w:rPr>
        <w:t> </w:t>
      </w:r>
      <w:r>
        <w:rPr/>
        <w:t>Defines</w:t>
      </w:r>
      <w:r>
        <w:rPr>
          <w:spacing w:val="-2"/>
        </w:rPr>
        <w:t> </w:t>
      </w:r>
      <w:r>
        <w:rPr/>
        <w:t>the</w:t>
      </w:r>
      <w:r>
        <w:rPr>
          <w:spacing w:val="-2"/>
        </w:rPr>
        <w:t> </w:t>
      </w:r>
      <w:r>
        <w:rPr/>
        <w:t>rights</w:t>
      </w:r>
      <w:r>
        <w:rPr>
          <w:spacing w:val="-4"/>
        </w:rPr>
        <w:t> </w:t>
      </w:r>
      <w:r>
        <w:rPr/>
        <w:t>of lineal descendants and Indian tribes to Indian skeletal remains and items or artifacts of cultural patrimony that may be held by Federal agencies or institutions.</w:t>
      </w:r>
    </w:p>
    <w:p>
      <w:pPr>
        <w:pStyle w:val="BodyText"/>
        <w:spacing w:before="118"/>
        <w:ind w:left="720" w:right="1531"/>
      </w:pPr>
      <w:r>
        <w:rPr/>
        <w:t>Food, Conservation and Energy Act of 2008 (2008 Farm Bill) (Public Law 110-246, 122 Stat.1651) Title VIII – Forestry, Subtitle B – Cultural and Heritage Cooperation Authority. Authorizes the Secretary of Agriculture to provide forest products to Indian tribes for traditional and cultural purposes; to protect the confidentiality of certain information, including information that is culturally sensitive to Indian tribes; to utilize National Forest System</w:t>
      </w:r>
      <w:r>
        <w:rPr>
          <w:spacing w:val="-2"/>
        </w:rPr>
        <w:t> </w:t>
      </w:r>
      <w:r>
        <w:rPr/>
        <w:t>land</w:t>
      </w:r>
      <w:r>
        <w:rPr>
          <w:spacing w:val="-4"/>
        </w:rPr>
        <w:t> </w:t>
      </w:r>
      <w:r>
        <w:rPr/>
        <w:t>for</w:t>
      </w:r>
      <w:r>
        <w:rPr>
          <w:spacing w:val="-5"/>
        </w:rPr>
        <w:t> </w:t>
      </w:r>
      <w:r>
        <w:rPr/>
        <w:t>the</w:t>
      </w:r>
      <w:r>
        <w:rPr>
          <w:spacing w:val="-2"/>
        </w:rPr>
        <w:t> </w:t>
      </w:r>
      <w:r>
        <w:rPr/>
        <w:t>reburial</w:t>
      </w:r>
      <w:r>
        <w:rPr>
          <w:spacing w:val="-3"/>
        </w:rPr>
        <w:t> </w:t>
      </w:r>
      <w:r>
        <w:rPr/>
        <w:t>of</w:t>
      </w:r>
      <w:r>
        <w:rPr>
          <w:spacing w:val="-3"/>
        </w:rPr>
        <w:t> </w:t>
      </w:r>
      <w:r>
        <w:rPr/>
        <w:t>human</w:t>
      </w:r>
      <w:r>
        <w:rPr>
          <w:spacing w:val="-4"/>
        </w:rPr>
        <w:t> </w:t>
      </w:r>
      <w:r>
        <w:rPr/>
        <w:t>remains</w:t>
      </w:r>
      <w:r>
        <w:rPr>
          <w:spacing w:val="-3"/>
        </w:rPr>
        <w:t> </w:t>
      </w:r>
      <w:r>
        <w:rPr/>
        <w:t>and</w:t>
      </w:r>
      <w:r>
        <w:rPr>
          <w:spacing w:val="-6"/>
        </w:rPr>
        <w:t> </w:t>
      </w:r>
      <w:r>
        <w:rPr/>
        <w:t>cultural</w:t>
      </w:r>
      <w:r>
        <w:rPr>
          <w:spacing w:val="-3"/>
        </w:rPr>
        <w:t> </w:t>
      </w:r>
      <w:r>
        <w:rPr/>
        <w:t>items,</w:t>
      </w:r>
      <w:r>
        <w:rPr>
          <w:spacing w:val="-3"/>
        </w:rPr>
        <w:t> </w:t>
      </w:r>
      <w:r>
        <w:rPr/>
        <w:t>including</w:t>
      </w:r>
      <w:r>
        <w:rPr>
          <w:spacing w:val="-4"/>
        </w:rPr>
        <w:t> </w:t>
      </w:r>
      <w:r>
        <w:rPr/>
        <w:t>human</w:t>
      </w:r>
      <w:r>
        <w:rPr>
          <w:spacing w:val="-4"/>
        </w:rPr>
        <w:t> </w:t>
      </w:r>
      <w:r>
        <w:rPr/>
        <w:t>remains and cultural items repatriated under the Native American Graves Protection and Repatriation Act; prevent the unauthorized disclosure of information regarding human remains or cultural items reburied on National Forest System land; to ensure access to National Forest System land, to the maximum extent practicable, by Indians and Indian tribes for traditional and cultural purposes; to increase the availability of Forest Service programs and resources to Indian tribes in support of the policy of the United States to promote Tribal sovereignty and self-determination; and to strengthen support for the</w:t>
      </w:r>
      <w:r>
        <w:rPr>
          <w:spacing w:val="40"/>
        </w:rPr>
        <w:t> </w:t>
      </w:r>
      <w:r>
        <w:rPr/>
        <w:t>policy of the United States of protecting and preserving the traditional, cultural, and ceremonial rites and practices of Indian tribes, in accordance with the American Indian Religious Freedom Act (42 United States Code 1996).</w:t>
      </w:r>
    </w:p>
    <w:p>
      <w:pPr>
        <w:pStyle w:val="BodyText"/>
        <w:spacing w:before="122"/>
        <w:ind w:left="720" w:right="1445"/>
      </w:pPr>
      <w:r>
        <w:rPr/>
        <w:t>Tribal Forest Protection Act of 2004 (Public Law 108-278) – Authorizes the Secretary of Agriculture</w:t>
      </w:r>
      <w:r>
        <w:rPr>
          <w:spacing w:val="-2"/>
        </w:rPr>
        <w:t> </w:t>
      </w:r>
      <w:r>
        <w:rPr/>
        <w:t>and</w:t>
      </w:r>
      <w:r>
        <w:rPr>
          <w:spacing w:val="-4"/>
        </w:rPr>
        <w:t> </w:t>
      </w:r>
      <w:r>
        <w:rPr/>
        <w:t>the</w:t>
      </w:r>
      <w:r>
        <w:rPr>
          <w:spacing w:val="-2"/>
        </w:rPr>
        <w:t> </w:t>
      </w:r>
      <w:r>
        <w:rPr/>
        <w:t>Secretary</w:t>
      </w:r>
      <w:r>
        <w:rPr>
          <w:spacing w:val="-2"/>
        </w:rPr>
        <w:t> </w:t>
      </w:r>
      <w:r>
        <w:rPr/>
        <w:t>of</w:t>
      </w:r>
      <w:r>
        <w:rPr>
          <w:spacing w:val="-5"/>
        </w:rPr>
        <w:t> </w:t>
      </w:r>
      <w:r>
        <w:rPr/>
        <w:t>the</w:t>
      </w:r>
      <w:r>
        <w:rPr>
          <w:spacing w:val="-5"/>
        </w:rPr>
        <w:t> </w:t>
      </w:r>
      <w:r>
        <w:rPr/>
        <w:t>Interior</w:t>
      </w:r>
      <w:r>
        <w:rPr>
          <w:spacing w:val="-3"/>
        </w:rPr>
        <w:t> </w:t>
      </w:r>
      <w:r>
        <w:rPr/>
        <w:t>to</w:t>
      </w:r>
      <w:r>
        <w:rPr>
          <w:spacing w:val="-4"/>
        </w:rPr>
        <w:t> </w:t>
      </w:r>
      <w:r>
        <w:rPr/>
        <w:t>enter</w:t>
      </w:r>
      <w:r>
        <w:rPr>
          <w:spacing w:val="-3"/>
        </w:rPr>
        <w:t> </w:t>
      </w:r>
      <w:r>
        <w:rPr/>
        <w:t>into</w:t>
      </w:r>
      <w:r>
        <w:rPr>
          <w:spacing w:val="-2"/>
        </w:rPr>
        <w:t> </w:t>
      </w:r>
      <w:r>
        <w:rPr/>
        <w:t>an</w:t>
      </w:r>
      <w:r>
        <w:rPr>
          <w:spacing w:val="-4"/>
        </w:rPr>
        <w:t> </w:t>
      </w:r>
      <w:r>
        <w:rPr/>
        <w:t>agreement</w:t>
      </w:r>
      <w:r>
        <w:rPr>
          <w:spacing w:val="-5"/>
        </w:rPr>
        <w:t> </w:t>
      </w:r>
      <w:r>
        <w:rPr/>
        <w:t>or</w:t>
      </w:r>
      <w:r>
        <w:rPr>
          <w:spacing w:val="-5"/>
        </w:rPr>
        <w:t> </w:t>
      </w:r>
      <w:r>
        <w:rPr/>
        <w:t>contract</w:t>
      </w:r>
      <w:r>
        <w:rPr>
          <w:spacing w:val="-2"/>
        </w:rPr>
        <w:t> </w:t>
      </w:r>
      <w:r>
        <w:rPr/>
        <w:t>with Indian tribes meeting certain criteria to carry out projects to protect Indian forest land.</w:t>
      </w:r>
    </w:p>
    <w:p>
      <w:pPr>
        <w:pStyle w:val="BodyText"/>
        <w:spacing w:before="118"/>
        <w:ind w:left="720" w:right="1445"/>
      </w:pPr>
      <w:r>
        <w:rPr/>
        <w:t>Executive Order 13175, Consultation and Coordination with Indian Tribal Governments – Directs</w:t>
      </w:r>
      <w:r>
        <w:rPr>
          <w:spacing w:val="-4"/>
        </w:rPr>
        <w:t> </w:t>
      </w:r>
      <w:r>
        <w:rPr/>
        <w:t>Federal</w:t>
      </w:r>
      <w:r>
        <w:rPr>
          <w:spacing w:val="-4"/>
        </w:rPr>
        <w:t> </w:t>
      </w:r>
      <w:r>
        <w:rPr/>
        <w:t>agencies</w:t>
      </w:r>
      <w:r>
        <w:rPr>
          <w:spacing w:val="-4"/>
        </w:rPr>
        <w:t> </w:t>
      </w:r>
      <w:r>
        <w:rPr/>
        <w:t>to</w:t>
      </w:r>
      <w:r>
        <w:rPr>
          <w:spacing w:val="-5"/>
        </w:rPr>
        <w:t> </w:t>
      </w:r>
      <w:r>
        <w:rPr/>
        <w:t>establish</w:t>
      </w:r>
      <w:r>
        <w:rPr>
          <w:spacing w:val="-5"/>
        </w:rPr>
        <w:t> </w:t>
      </w:r>
      <w:r>
        <w:rPr/>
        <w:t>regular</w:t>
      </w:r>
      <w:r>
        <w:rPr>
          <w:spacing w:val="-4"/>
        </w:rPr>
        <w:t> </w:t>
      </w:r>
      <w:r>
        <w:rPr/>
        <w:t>and</w:t>
      </w:r>
      <w:r>
        <w:rPr>
          <w:spacing w:val="-6"/>
        </w:rPr>
        <w:t> </w:t>
      </w:r>
      <w:r>
        <w:rPr/>
        <w:t>meaningful</w:t>
      </w:r>
      <w:r>
        <w:rPr>
          <w:spacing w:val="-4"/>
        </w:rPr>
        <w:t> </w:t>
      </w:r>
      <w:r>
        <w:rPr/>
        <w:t>consultation</w:t>
      </w:r>
      <w:r>
        <w:rPr>
          <w:spacing w:val="-5"/>
        </w:rPr>
        <w:t> </w:t>
      </w:r>
      <w:r>
        <w:rPr/>
        <w:t>and</w:t>
      </w:r>
      <w:r>
        <w:rPr>
          <w:spacing w:val="-5"/>
        </w:rPr>
        <w:t> </w:t>
      </w:r>
      <w:r>
        <w:rPr/>
        <w:t>collaboration with Tribal governments prior to taking actions that would affect tribes.</w:t>
      </w:r>
    </w:p>
    <w:p>
      <w:pPr>
        <w:pStyle w:val="BodyText"/>
        <w:spacing w:before="121"/>
        <w:ind w:left="720" w:right="1621"/>
      </w:pPr>
      <w:r>
        <w:rPr/>
        <w:t>Executive Order 13007, Indian Sacred Sites – Directs Federal agencies to protect sacred sites identified by federally recognized tribes and accommodate access to and ceremonial use</w:t>
      </w:r>
      <w:r>
        <w:rPr>
          <w:spacing w:val="-2"/>
        </w:rPr>
        <w:t> </w:t>
      </w:r>
      <w:r>
        <w:rPr/>
        <w:t>of</w:t>
      </w:r>
      <w:r>
        <w:rPr>
          <w:spacing w:val="-5"/>
        </w:rPr>
        <w:t> </w:t>
      </w:r>
      <w:r>
        <w:rPr/>
        <w:t>Indian</w:t>
      </w:r>
      <w:r>
        <w:rPr>
          <w:spacing w:val="-4"/>
        </w:rPr>
        <w:t> </w:t>
      </w:r>
      <w:r>
        <w:rPr/>
        <w:t>sacred</w:t>
      </w:r>
      <w:r>
        <w:rPr>
          <w:spacing w:val="-4"/>
        </w:rPr>
        <w:t> </w:t>
      </w:r>
      <w:r>
        <w:rPr/>
        <w:t>sites</w:t>
      </w:r>
      <w:r>
        <w:rPr>
          <w:spacing w:val="-5"/>
        </w:rPr>
        <w:t> </w:t>
      </w:r>
      <w:r>
        <w:rPr/>
        <w:t>where</w:t>
      </w:r>
      <w:r>
        <w:rPr>
          <w:spacing w:val="-2"/>
        </w:rPr>
        <w:t> </w:t>
      </w:r>
      <w:r>
        <w:rPr/>
        <w:t>feasible,</w:t>
      </w:r>
      <w:r>
        <w:rPr>
          <w:spacing w:val="-3"/>
        </w:rPr>
        <w:t> </w:t>
      </w:r>
      <w:r>
        <w:rPr/>
        <w:t>avoid</w:t>
      </w:r>
      <w:r>
        <w:rPr>
          <w:spacing w:val="-5"/>
        </w:rPr>
        <w:t> </w:t>
      </w:r>
      <w:r>
        <w:rPr/>
        <w:t>adversely</w:t>
      </w:r>
      <w:r>
        <w:rPr>
          <w:spacing w:val="-2"/>
        </w:rPr>
        <w:t> </w:t>
      </w:r>
      <w:r>
        <w:rPr/>
        <w:t>affecting</w:t>
      </w:r>
      <w:r>
        <w:rPr>
          <w:spacing w:val="-4"/>
        </w:rPr>
        <w:t> </w:t>
      </w:r>
      <w:r>
        <w:rPr/>
        <w:t>the</w:t>
      </w:r>
      <w:r>
        <w:rPr>
          <w:spacing w:val="-2"/>
        </w:rPr>
        <w:t> </w:t>
      </w:r>
      <w:r>
        <w:rPr/>
        <w:t>physical</w:t>
      </w:r>
      <w:r>
        <w:rPr>
          <w:spacing w:val="-5"/>
        </w:rPr>
        <w:t> </w:t>
      </w:r>
      <w:r>
        <w:rPr/>
        <w:t>integrity</w:t>
      </w:r>
      <w:r>
        <w:rPr>
          <w:spacing w:val="-4"/>
        </w:rPr>
        <w:t> </w:t>
      </w:r>
      <w:r>
        <w:rPr/>
        <w:t>of such sacred sites and requires consultation with tribes to learn Tribal concerns for sacred sites on public lands.</w:t>
      </w:r>
    </w:p>
    <w:p>
      <w:pPr>
        <w:pStyle w:val="Heading4"/>
        <w:spacing w:before="242"/>
      </w:pPr>
      <w:bookmarkStart w:name="Desired Conditions" w:id="384"/>
      <w:bookmarkEnd w:id="384"/>
      <w:r>
        <w:rPr/>
      </w:r>
      <w:bookmarkStart w:name="_bookmark128" w:id="385"/>
      <w:bookmarkEnd w:id="385"/>
      <w:r>
        <w:rPr/>
      </w:r>
      <w:r>
        <w:rPr/>
        <w:t>Desired</w:t>
      </w:r>
      <w:r>
        <w:rPr>
          <w:spacing w:val="-4"/>
        </w:rPr>
        <w:t> </w:t>
      </w:r>
      <w:r>
        <w:rPr>
          <w:spacing w:val="-2"/>
        </w:rPr>
        <w:t>Conditions</w:t>
      </w:r>
    </w:p>
    <w:p>
      <w:pPr>
        <w:spacing w:before="240"/>
        <w:ind w:left="360" w:right="0" w:firstLine="0"/>
        <w:jc w:val="left"/>
        <w:rPr>
          <w:rFonts w:ascii="Arial"/>
          <w:i/>
          <w:sz w:val="22"/>
        </w:rPr>
      </w:pPr>
      <w:bookmarkStart w:name="FW-DC-AI-01. Traditional and Cultural Us" w:id="386"/>
      <w:bookmarkEnd w:id="386"/>
      <w:r>
        <w:rPr/>
      </w:r>
      <w:r>
        <w:rPr>
          <w:rFonts w:ascii="Arial"/>
          <w:i/>
          <w:sz w:val="22"/>
        </w:rPr>
        <w:t>FW-DC-AI-01.</w:t>
      </w:r>
      <w:r>
        <w:rPr>
          <w:rFonts w:ascii="Arial"/>
          <w:i/>
          <w:spacing w:val="-7"/>
          <w:sz w:val="22"/>
        </w:rPr>
        <w:t> </w:t>
      </w:r>
      <w:r>
        <w:rPr>
          <w:rFonts w:ascii="Arial"/>
          <w:i/>
          <w:sz w:val="22"/>
        </w:rPr>
        <w:t>Traditional</w:t>
      </w:r>
      <w:r>
        <w:rPr>
          <w:rFonts w:ascii="Arial"/>
          <w:i/>
          <w:spacing w:val="-7"/>
          <w:sz w:val="22"/>
        </w:rPr>
        <w:t> </w:t>
      </w:r>
      <w:r>
        <w:rPr>
          <w:rFonts w:ascii="Arial"/>
          <w:i/>
          <w:sz w:val="22"/>
        </w:rPr>
        <w:t>and</w:t>
      </w:r>
      <w:r>
        <w:rPr>
          <w:rFonts w:ascii="Arial"/>
          <w:i/>
          <w:spacing w:val="-7"/>
          <w:sz w:val="22"/>
        </w:rPr>
        <w:t> </w:t>
      </w:r>
      <w:r>
        <w:rPr>
          <w:rFonts w:ascii="Arial"/>
          <w:i/>
          <w:sz w:val="22"/>
        </w:rPr>
        <w:t>Cultural</w:t>
      </w:r>
      <w:r>
        <w:rPr>
          <w:rFonts w:ascii="Arial"/>
          <w:i/>
          <w:spacing w:val="-7"/>
          <w:sz w:val="22"/>
        </w:rPr>
        <w:t> </w:t>
      </w:r>
      <w:r>
        <w:rPr>
          <w:rFonts w:ascii="Arial"/>
          <w:i/>
          <w:spacing w:val="-4"/>
          <w:sz w:val="22"/>
        </w:rPr>
        <w:t>Uses</w:t>
      </w:r>
    </w:p>
    <w:p>
      <w:pPr>
        <w:pStyle w:val="BodyText"/>
        <w:spacing w:line="232" w:lineRule="auto" w:before="64"/>
        <w:ind w:left="359" w:right="1621"/>
      </w:pPr>
      <w:r>
        <w:rPr/>
        <w:t>Traditional</w:t>
      </w:r>
      <w:r>
        <w:rPr>
          <w:spacing w:val="-6"/>
        </w:rPr>
        <w:t> </w:t>
      </w:r>
      <w:r>
        <w:rPr/>
        <w:t>and</w:t>
      </w:r>
      <w:r>
        <w:rPr>
          <w:spacing w:val="-7"/>
        </w:rPr>
        <w:t> </w:t>
      </w:r>
      <w:r>
        <w:rPr/>
        <w:t>cultural</w:t>
      </w:r>
      <w:r>
        <w:rPr>
          <w:spacing w:val="-6"/>
        </w:rPr>
        <w:t> </w:t>
      </w:r>
      <w:r>
        <w:rPr/>
        <w:t>use</w:t>
      </w:r>
      <w:r>
        <w:rPr>
          <w:spacing w:val="-8"/>
        </w:rPr>
        <w:t> </w:t>
      </w:r>
      <w:r>
        <w:rPr/>
        <w:t>information,</w:t>
      </w:r>
      <w:r>
        <w:rPr>
          <w:spacing w:val="-6"/>
        </w:rPr>
        <w:t> </w:t>
      </w:r>
      <w:r>
        <w:rPr/>
        <w:t>as</w:t>
      </w:r>
      <w:r>
        <w:rPr>
          <w:spacing w:val="-8"/>
        </w:rPr>
        <w:t> </w:t>
      </w:r>
      <w:r>
        <w:rPr/>
        <w:t>provided</w:t>
      </w:r>
      <w:r>
        <w:rPr>
          <w:spacing w:val="-7"/>
        </w:rPr>
        <w:t> </w:t>
      </w:r>
      <w:r>
        <w:rPr/>
        <w:t>by</w:t>
      </w:r>
      <w:r>
        <w:rPr>
          <w:spacing w:val="-5"/>
        </w:rPr>
        <w:t> </w:t>
      </w:r>
      <w:r>
        <w:rPr/>
        <w:t>federally</w:t>
      </w:r>
      <w:r>
        <w:rPr>
          <w:spacing w:val="-7"/>
        </w:rPr>
        <w:t> </w:t>
      </w:r>
      <w:r>
        <w:rPr/>
        <w:t>recognized</w:t>
      </w:r>
      <w:r>
        <w:rPr>
          <w:spacing w:val="-7"/>
        </w:rPr>
        <w:t> </w:t>
      </w:r>
      <w:r>
        <w:rPr/>
        <w:t>tribes,</w:t>
      </w:r>
      <w:r>
        <w:rPr>
          <w:spacing w:val="-6"/>
        </w:rPr>
        <w:t> </w:t>
      </w:r>
      <w:r>
        <w:rPr/>
        <w:t>is</w:t>
      </w:r>
      <w:r>
        <w:rPr>
          <w:spacing w:val="-6"/>
        </w:rPr>
        <w:t> </w:t>
      </w:r>
      <w:r>
        <w:rPr/>
        <w:t>treated with respect and integrated into natural resource management planning efforts with appropriate sensitivity to the tribe’s views regarding information sharing. American Indian values are fully considered in planning proposed actions on the Colville National Forest. The Forest maintains sustainable products, uses, values, and services that contribute to the American</w:t>
      </w:r>
      <w:r>
        <w:rPr>
          <w:spacing w:val="-8"/>
        </w:rPr>
        <w:t> </w:t>
      </w:r>
      <w:r>
        <w:rPr/>
        <w:t>Indians’</w:t>
      </w:r>
      <w:r>
        <w:rPr>
          <w:spacing w:val="-9"/>
        </w:rPr>
        <w:t> </w:t>
      </w:r>
      <w:r>
        <w:rPr/>
        <w:t>way</w:t>
      </w:r>
      <w:r>
        <w:rPr>
          <w:spacing w:val="-8"/>
        </w:rPr>
        <w:t> </w:t>
      </w:r>
      <w:r>
        <w:rPr/>
        <w:t>of</w:t>
      </w:r>
      <w:r>
        <w:rPr>
          <w:spacing w:val="-7"/>
        </w:rPr>
        <w:t> </w:t>
      </w:r>
      <w:r>
        <w:rPr/>
        <w:t>life</w:t>
      </w:r>
      <w:r>
        <w:rPr>
          <w:spacing w:val="-6"/>
        </w:rPr>
        <w:t> </w:t>
      </w:r>
      <w:r>
        <w:rPr/>
        <w:t>and</w:t>
      </w:r>
      <w:r>
        <w:rPr>
          <w:spacing w:val="-8"/>
        </w:rPr>
        <w:t> </w:t>
      </w:r>
      <w:r>
        <w:rPr/>
        <w:t>cultural</w:t>
      </w:r>
      <w:r>
        <w:rPr>
          <w:spacing w:val="-7"/>
        </w:rPr>
        <w:t> </w:t>
      </w:r>
      <w:r>
        <w:rPr/>
        <w:t>integrity.</w:t>
      </w:r>
      <w:r>
        <w:rPr>
          <w:spacing w:val="-7"/>
        </w:rPr>
        <w:t> </w:t>
      </w:r>
      <w:r>
        <w:rPr/>
        <w:t>Access</w:t>
      </w:r>
      <w:r>
        <w:rPr>
          <w:spacing w:val="-7"/>
        </w:rPr>
        <w:t> </w:t>
      </w:r>
      <w:r>
        <w:rPr/>
        <w:t>to</w:t>
      </w:r>
      <w:r>
        <w:rPr>
          <w:spacing w:val="-6"/>
        </w:rPr>
        <w:t> </w:t>
      </w:r>
      <w:r>
        <w:rPr/>
        <w:t>traditional</w:t>
      </w:r>
      <w:r>
        <w:rPr>
          <w:spacing w:val="-7"/>
        </w:rPr>
        <w:t> </w:t>
      </w:r>
      <w:r>
        <w:rPr/>
        <w:t>resources</w:t>
      </w:r>
      <w:r>
        <w:rPr>
          <w:spacing w:val="-9"/>
        </w:rPr>
        <w:t> </w:t>
      </w:r>
      <w:r>
        <w:rPr/>
        <w:t>and</w:t>
      </w:r>
      <w:r>
        <w:rPr>
          <w:spacing w:val="-8"/>
        </w:rPr>
        <w:t> </w:t>
      </w:r>
      <w:r>
        <w:rPr/>
        <w:t>sacred places is considered in all planning efforts.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DC-AI-02. Tribal Forest Products" w:id="387"/>
      <w:bookmarkEnd w:id="387"/>
      <w:r>
        <w:rPr/>
      </w:r>
      <w:r>
        <w:rPr>
          <w:rFonts w:ascii="Arial"/>
          <w:i/>
          <w:sz w:val="22"/>
        </w:rPr>
        <w:t>FW-DC-AI-02.</w:t>
      </w:r>
      <w:r>
        <w:rPr>
          <w:rFonts w:ascii="Arial"/>
          <w:i/>
          <w:spacing w:val="-7"/>
          <w:sz w:val="22"/>
        </w:rPr>
        <w:t> </w:t>
      </w:r>
      <w:r>
        <w:rPr>
          <w:rFonts w:ascii="Arial"/>
          <w:i/>
          <w:sz w:val="22"/>
        </w:rPr>
        <w:t>Tribal</w:t>
      </w:r>
      <w:r>
        <w:rPr>
          <w:rFonts w:ascii="Arial"/>
          <w:i/>
          <w:spacing w:val="-7"/>
          <w:sz w:val="22"/>
        </w:rPr>
        <w:t> </w:t>
      </w:r>
      <w:r>
        <w:rPr>
          <w:rFonts w:ascii="Arial"/>
          <w:i/>
          <w:sz w:val="22"/>
        </w:rPr>
        <w:t>Forest</w:t>
      </w:r>
      <w:r>
        <w:rPr>
          <w:rFonts w:ascii="Arial"/>
          <w:i/>
          <w:spacing w:val="-5"/>
          <w:sz w:val="22"/>
        </w:rPr>
        <w:t> </w:t>
      </w:r>
      <w:r>
        <w:rPr>
          <w:rFonts w:ascii="Arial"/>
          <w:i/>
          <w:spacing w:val="-2"/>
          <w:sz w:val="22"/>
        </w:rPr>
        <w:t>Products</w:t>
      </w:r>
    </w:p>
    <w:p>
      <w:pPr>
        <w:pStyle w:val="BodyText"/>
        <w:spacing w:line="232" w:lineRule="auto" w:before="65"/>
        <w:ind w:left="1151" w:right="720"/>
      </w:pPr>
      <w:r>
        <w:rPr/>
        <w:t>The Colville National Forest recognizes and maintains culturally significant species and the habitat</w:t>
      </w:r>
      <w:r>
        <w:rPr>
          <w:spacing w:val="-7"/>
        </w:rPr>
        <w:t> </w:t>
      </w:r>
      <w:r>
        <w:rPr/>
        <w:t>necessary</w:t>
      </w:r>
      <w:r>
        <w:rPr>
          <w:spacing w:val="-7"/>
        </w:rPr>
        <w:t> </w:t>
      </w:r>
      <w:r>
        <w:rPr/>
        <w:t>to</w:t>
      </w:r>
      <w:r>
        <w:rPr>
          <w:spacing w:val="-7"/>
        </w:rPr>
        <w:t> </w:t>
      </w:r>
      <w:r>
        <w:rPr/>
        <w:t>support</w:t>
      </w:r>
      <w:r>
        <w:rPr>
          <w:spacing w:val="-7"/>
        </w:rPr>
        <w:t> </w:t>
      </w:r>
      <w:r>
        <w:rPr/>
        <w:t>healthy,</w:t>
      </w:r>
      <w:r>
        <w:rPr>
          <w:spacing w:val="-7"/>
        </w:rPr>
        <w:t> </w:t>
      </w:r>
      <w:r>
        <w:rPr/>
        <w:t>sustainable,</w:t>
      </w:r>
      <w:r>
        <w:rPr>
          <w:spacing w:val="-7"/>
        </w:rPr>
        <w:t> </w:t>
      </w:r>
      <w:r>
        <w:rPr/>
        <w:t>and</w:t>
      </w:r>
      <w:r>
        <w:rPr>
          <w:spacing w:val="-10"/>
        </w:rPr>
        <w:t> </w:t>
      </w:r>
      <w:r>
        <w:rPr/>
        <w:t>harvestable</w:t>
      </w:r>
      <w:r>
        <w:rPr>
          <w:spacing w:val="-7"/>
        </w:rPr>
        <w:t> </w:t>
      </w:r>
      <w:r>
        <w:rPr/>
        <w:t>plant</w:t>
      </w:r>
      <w:r>
        <w:rPr>
          <w:spacing w:val="-7"/>
        </w:rPr>
        <w:t> </w:t>
      </w:r>
      <w:r>
        <w:rPr/>
        <w:t>and</w:t>
      </w:r>
      <w:r>
        <w:rPr>
          <w:spacing w:val="-8"/>
        </w:rPr>
        <w:t> </w:t>
      </w:r>
      <w:r>
        <w:rPr/>
        <w:t>animal</w:t>
      </w:r>
      <w:r>
        <w:rPr>
          <w:spacing w:val="-7"/>
        </w:rPr>
        <w:t> </w:t>
      </w:r>
      <w:r>
        <w:rPr/>
        <w:t>populations to ensure that rights reserved by Tribes in treaties are protected or enhanced. The Colville National Forest recognizes, ensures, and accommodates Tribal access to the Forest for the exercise of reserved treaty rights and cultural uses.</w:t>
      </w:r>
    </w:p>
    <w:p>
      <w:pPr>
        <w:pStyle w:val="Heading4"/>
        <w:spacing w:before="233"/>
        <w:ind w:left="1151"/>
      </w:pPr>
      <w:bookmarkStart w:name="Objectives" w:id="388"/>
      <w:bookmarkEnd w:id="388"/>
      <w:r>
        <w:rPr/>
      </w:r>
      <w:bookmarkStart w:name="_bookmark129" w:id="389"/>
      <w:bookmarkEnd w:id="389"/>
      <w:r>
        <w:rPr/>
      </w:r>
      <w:r>
        <w:rPr>
          <w:spacing w:val="-2"/>
        </w:rPr>
        <w:t>Objectives</w:t>
      </w:r>
    </w:p>
    <w:p>
      <w:pPr>
        <w:spacing w:before="240"/>
        <w:ind w:left="1151" w:right="0" w:firstLine="0"/>
        <w:jc w:val="left"/>
        <w:rPr>
          <w:rFonts w:ascii="Arial"/>
          <w:i/>
          <w:sz w:val="22"/>
        </w:rPr>
      </w:pPr>
      <w:bookmarkStart w:name="FW-OBJ-AI-01. Communication Plan" w:id="390"/>
      <w:bookmarkEnd w:id="390"/>
      <w:r>
        <w:rPr/>
      </w:r>
      <w:r>
        <w:rPr>
          <w:rFonts w:ascii="Arial"/>
          <w:i/>
          <w:sz w:val="22"/>
        </w:rPr>
        <w:t>FW-OBJ-AI-01.</w:t>
      </w:r>
      <w:r>
        <w:rPr>
          <w:rFonts w:ascii="Arial"/>
          <w:i/>
          <w:spacing w:val="-11"/>
          <w:sz w:val="22"/>
        </w:rPr>
        <w:t> </w:t>
      </w:r>
      <w:r>
        <w:rPr>
          <w:rFonts w:ascii="Arial"/>
          <w:i/>
          <w:sz w:val="22"/>
        </w:rPr>
        <w:t>Communication</w:t>
      </w:r>
      <w:r>
        <w:rPr>
          <w:rFonts w:ascii="Arial"/>
          <w:i/>
          <w:spacing w:val="-11"/>
          <w:sz w:val="22"/>
        </w:rPr>
        <w:t> </w:t>
      </w:r>
      <w:r>
        <w:rPr>
          <w:rFonts w:ascii="Arial"/>
          <w:i/>
          <w:spacing w:val="-4"/>
          <w:sz w:val="22"/>
        </w:rPr>
        <w:t>Plan</w:t>
      </w:r>
    </w:p>
    <w:p>
      <w:pPr>
        <w:pStyle w:val="BodyText"/>
        <w:spacing w:line="232" w:lineRule="auto" w:before="64"/>
        <w:ind w:left="1151" w:right="801"/>
      </w:pPr>
      <w:r>
        <w:rPr/>
        <w:t>Over the life of the forest plan, a cooperatively developed communication plan establishes coordination</w:t>
      </w:r>
      <w:r>
        <w:rPr>
          <w:spacing w:val="-10"/>
        </w:rPr>
        <w:t> </w:t>
      </w:r>
      <w:r>
        <w:rPr/>
        <w:t>with</w:t>
      </w:r>
      <w:r>
        <w:rPr>
          <w:spacing w:val="-8"/>
        </w:rPr>
        <w:t> </w:t>
      </w:r>
      <w:r>
        <w:rPr/>
        <w:t>each</w:t>
      </w:r>
      <w:r>
        <w:rPr>
          <w:spacing w:val="-8"/>
        </w:rPr>
        <w:t> </w:t>
      </w:r>
      <w:r>
        <w:rPr/>
        <w:t>federally</w:t>
      </w:r>
      <w:r>
        <w:rPr>
          <w:spacing w:val="-7"/>
        </w:rPr>
        <w:t> </w:t>
      </w:r>
      <w:r>
        <w:rPr/>
        <w:t>recognized</w:t>
      </w:r>
      <w:r>
        <w:rPr>
          <w:spacing w:val="-8"/>
        </w:rPr>
        <w:t> </w:t>
      </w:r>
      <w:r>
        <w:rPr/>
        <w:t>Tribe</w:t>
      </w:r>
      <w:r>
        <w:rPr>
          <w:spacing w:val="-7"/>
        </w:rPr>
        <w:t> </w:t>
      </w:r>
      <w:r>
        <w:rPr/>
        <w:t>with</w:t>
      </w:r>
      <w:r>
        <w:rPr>
          <w:spacing w:val="-8"/>
        </w:rPr>
        <w:t> </w:t>
      </w:r>
      <w:r>
        <w:rPr/>
        <w:t>historical</w:t>
      </w:r>
      <w:r>
        <w:rPr>
          <w:spacing w:val="-10"/>
        </w:rPr>
        <w:t> </w:t>
      </w:r>
      <w:r>
        <w:rPr/>
        <w:t>or</w:t>
      </w:r>
      <w:r>
        <w:rPr>
          <w:spacing w:val="-9"/>
        </w:rPr>
        <w:t> </w:t>
      </w:r>
      <w:r>
        <w:rPr/>
        <w:t>treaty</w:t>
      </w:r>
      <w:r>
        <w:rPr>
          <w:spacing w:val="-7"/>
        </w:rPr>
        <w:t> </w:t>
      </w:r>
      <w:r>
        <w:rPr/>
        <w:t>interests</w:t>
      </w:r>
      <w:r>
        <w:rPr>
          <w:spacing w:val="-8"/>
        </w:rPr>
        <w:t> </w:t>
      </w:r>
      <w:r>
        <w:rPr/>
        <w:t>in</w:t>
      </w:r>
      <w:r>
        <w:rPr>
          <w:spacing w:val="-8"/>
        </w:rPr>
        <w:t> </w:t>
      </w:r>
      <w:r>
        <w:rPr/>
        <w:t>Colville National Forest lands.</w:t>
      </w:r>
    </w:p>
    <w:p>
      <w:pPr>
        <w:spacing w:before="236"/>
        <w:ind w:left="1151" w:right="0" w:firstLine="0"/>
        <w:jc w:val="left"/>
        <w:rPr>
          <w:rFonts w:ascii="Arial"/>
          <w:i/>
          <w:sz w:val="22"/>
        </w:rPr>
      </w:pPr>
      <w:bookmarkStart w:name="FW-OBJ-AI-02. Tribal Consultation" w:id="391"/>
      <w:bookmarkEnd w:id="391"/>
      <w:r>
        <w:rPr/>
      </w:r>
      <w:r>
        <w:rPr>
          <w:rFonts w:ascii="Arial"/>
          <w:i/>
          <w:sz w:val="22"/>
        </w:rPr>
        <w:t>FW-OBJ-AI-02.</w:t>
      </w:r>
      <w:r>
        <w:rPr>
          <w:rFonts w:ascii="Arial"/>
          <w:i/>
          <w:spacing w:val="-7"/>
          <w:sz w:val="22"/>
        </w:rPr>
        <w:t> </w:t>
      </w:r>
      <w:r>
        <w:rPr>
          <w:rFonts w:ascii="Arial"/>
          <w:i/>
          <w:sz w:val="22"/>
        </w:rPr>
        <w:t>Tribal</w:t>
      </w:r>
      <w:r>
        <w:rPr>
          <w:rFonts w:ascii="Arial"/>
          <w:i/>
          <w:spacing w:val="-8"/>
          <w:sz w:val="22"/>
        </w:rPr>
        <w:t> </w:t>
      </w:r>
      <w:r>
        <w:rPr>
          <w:rFonts w:ascii="Arial"/>
          <w:i/>
          <w:spacing w:val="-2"/>
          <w:sz w:val="22"/>
        </w:rPr>
        <w:t>Consultation</w:t>
      </w:r>
    </w:p>
    <w:p>
      <w:pPr>
        <w:pStyle w:val="BodyText"/>
        <w:spacing w:line="232" w:lineRule="auto" w:before="64"/>
        <w:ind w:left="1151" w:right="742"/>
      </w:pPr>
      <w:r>
        <w:rPr/>
        <w:t>Consult</w:t>
      </w:r>
      <w:r>
        <w:rPr>
          <w:spacing w:val="-8"/>
        </w:rPr>
        <w:t> </w:t>
      </w:r>
      <w:r>
        <w:rPr/>
        <w:t>with</w:t>
      </w:r>
      <w:r>
        <w:rPr>
          <w:spacing w:val="-7"/>
        </w:rPr>
        <w:t> </w:t>
      </w:r>
      <w:r>
        <w:rPr/>
        <w:t>Tribes</w:t>
      </w:r>
      <w:r>
        <w:rPr>
          <w:spacing w:val="-8"/>
        </w:rPr>
        <w:t> </w:t>
      </w:r>
      <w:r>
        <w:rPr/>
        <w:t>when</w:t>
      </w:r>
      <w:r>
        <w:rPr>
          <w:spacing w:val="-7"/>
        </w:rPr>
        <w:t> </w:t>
      </w:r>
      <w:r>
        <w:rPr/>
        <w:t>forest</w:t>
      </w:r>
      <w:r>
        <w:rPr>
          <w:spacing w:val="-8"/>
        </w:rPr>
        <w:t> </w:t>
      </w:r>
      <w:r>
        <w:rPr/>
        <w:t>management</w:t>
      </w:r>
      <w:r>
        <w:rPr>
          <w:spacing w:val="-5"/>
        </w:rPr>
        <w:t> </w:t>
      </w:r>
      <w:r>
        <w:rPr/>
        <w:t>activities</w:t>
      </w:r>
      <w:r>
        <w:rPr>
          <w:spacing w:val="-6"/>
        </w:rPr>
        <w:t> </w:t>
      </w:r>
      <w:r>
        <w:rPr/>
        <w:t>may</w:t>
      </w:r>
      <w:r>
        <w:rPr>
          <w:spacing w:val="-7"/>
        </w:rPr>
        <w:t> </w:t>
      </w:r>
      <w:r>
        <w:rPr/>
        <w:t>impact</w:t>
      </w:r>
      <w:r>
        <w:rPr>
          <w:spacing w:val="-8"/>
        </w:rPr>
        <w:t> </w:t>
      </w:r>
      <w:r>
        <w:rPr/>
        <w:t>treaty</w:t>
      </w:r>
      <w:r>
        <w:rPr>
          <w:spacing w:val="-5"/>
        </w:rPr>
        <w:t> </w:t>
      </w:r>
      <w:r>
        <w:rPr/>
        <w:t>rights</w:t>
      </w:r>
      <w:r>
        <w:rPr>
          <w:spacing w:val="-8"/>
        </w:rPr>
        <w:t> </w:t>
      </w:r>
      <w:r>
        <w:rPr/>
        <w:t>and/or</w:t>
      </w:r>
      <w:r>
        <w:rPr>
          <w:spacing w:val="-6"/>
        </w:rPr>
        <w:t> </w:t>
      </w:r>
      <w:r>
        <w:rPr/>
        <w:t>cultural sites and cultural use, according to individual Tribal communication plans, consultation protocols, or policies.</w:t>
      </w:r>
    </w:p>
    <w:p>
      <w:pPr>
        <w:pStyle w:val="Heading3"/>
        <w:spacing w:before="234"/>
      </w:pPr>
      <w:bookmarkStart w:name="Lands and Special Uses (LSU)" w:id="392"/>
      <w:bookmarkEnd w:id="392"/>
      <w:r>
        <w:rPr>
          <w:b w:val="0"/>
        </w:rPr>
      </w:r>
      <w:bookmarkStart w:name="_bookmark130" w:id="393"/>
      <w:bookmarkEnd w:id="393"/>
      <w:r>
        <w:rPr>
          <w:b w:val="0"/>
        </w:rPr>
      </w:r>
      <w:r>
        <w:rPr>
          <w:smallCaps/>
          <w:color w:val="475824"/>
        </w:rPr>
        <w:t>Lands</w:t>
      </w:r>
      <w:r>
        <w:rPr>
          <w:smallCaps/>
          <w:color w:val="475824"/>
          <w:spacing w:val="-1"/>
        </w:rPr>
        <w:t> </w:t>
      </w:r>
      <w:r>
        <w:rPr>
          <w:smallCaps/>
          <w:color w:val="475824"/>
        </w:rPr>
        <w:t>and</w:t>
      </w:r>
      <w:r>
        <w:rPr>
          <w:smallCaps/>
          <w:color w:val="475824"/>
          <w:spacing w:val="-6"/>
        </w:rPr>
        <w:t> </w:t>
      </w:r>
      <w:r>
        <w:rPr>
          <w:smallCaps/>
          <w:color w:val="475824"/>
        </w:rPr>
        <w:t>Special</w:t>
      </w:r>
      <w:r>
        <w:rPr>
          <w:smallCaps/>
          <w:color w:val="475824"/>
          <w:spacing w:val="-2"/>
        </w:rPr>
        <w:t> </w:t>
      </w:r>
      <w:r>
        <w:rPr>
          <w:smallCaps/>
          <w:color w:val="475824"/>
        </w:rPr>
        <w:t>Uses</w:t>
      </w:r>
      <w:r>
        <w:rPr>
          <w:smallCaps/>
          <w:color w:val="475824"/>
          <w:spacing w:val="-5"/>
        </w:rPr>
        <w:t> </w:t>
      </w:r>
      <w:r>
        <w:rPr>
          <w:smallCaps/>
          <w:color w:val="475824"/>
          <w:spacing w:val="-4"/>
        </w:rPr>
        <w:t>(LSU)</w:t>
      </w:r>
    </w:p>
    <w:p>
      <w:pPr>
        <w:pStyle w:val="BodyText"/>
        <w:spacing w:before="118"/>
        <w:ind w:left="1512" w:right="738"/>
      </w:pPr>
      <w:r>
        <w:rPr/>
        <mc:AlternateContent>
          <mc:Choice Requires="wps">
            <w:drawing>
              <wp:anchor distT="0" distB="0" distL="0" distR="0" allowOverlap="1" layoutInCell="1" locked="0" behindDoc="1" simplePos="0" relativeHeight="474271232">
                <wp:simplePos x="0" y="0"/>
                <wp:positionH relativeFrom="page">
                  <wp:posOffset>1627632</wp:posOffset>
                </wp:positionH>
                <wp:positionV relativeFrom="paragraph">
                  <wp:posOffset>75298</wp:posOffset>
                </wp:positionV>
                <wp:extent cx="5248910" cy="468503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5248910" cy="4685030"/>
                        </a:xfrm>
                        <a:custGeom>
                          <a:avLst/>
                          <a:gdLst/>
                          <a:ahLst/>
                          <a:cxnLst/>
                          <a:rect l="l" t="t" r="r" b="b"/>
                          <a:pathLst>
                            <a:path w="5248910" h="4685030">
                              <a:moveTo>
                                <a:pt x="5248643" y="4343412"/>
                              </a:moveTo>
                              <a:lnTo>
                                <a:pt x="0" y="4343412"/>
                              </a:lnTo>
                              <a:lnTo>
                                <a:pt x="0" y="4514088"/>
                              </a:lnTo>
                              <a:lnTo>
                                <a:pt x="0" y="4684776"/>
                              </a:lnTo>
                              <a:lnTo>
                                <a:pt x="5248643" y="4684776"/>
                              </a:lnTo>
                              <a:lnTo>
                                <a:pt x="5248643" y="4514088"/>
                              </a:lnTo>
                              <a:lnTo>
                                <a:pt x="5248643" y="4343412"/>
                              </a:lnTo>
                              <a:close/>
                            </a:path>
                            <a:path w="5248910" h="4685030">
                              <a:moveTo>
                                <a:pt x="5248643" y="3678948"/>
                              </a:moveTo>
                              <a:lnTo>
                                <a:pt x="0" y="3678948"/>
                              </a:lnTo>
                              <a:lnTo>
                                <a:pt x="0" y="3925824"/>
                              </a:lnTo>
                              <a:lnTo>
                                <a:pt x="0" y="4172712"/>
                              </a:lnTo>
                              <a:lnTo>
                                <a:pt x="0" y="4343400"/>
                              </a:lnTo>
                              <a:lnTo>
                                <a:pt x="5248643" y="4343400"/>
                              </a:lnTo>
                              <a:lnTo>
                                <a:pt x="5248643" y="4172712"/>
                              </a:lnTo>
                              <a:lnTo>
                                <a:pt x="5248643" y="3925824"/>
                              </a:lnTo>
                              <a:lnTo>
                                <a:pt x="5248643" y="3678948"/>
                              </a:lnTo>
                              <a:close/>
                            </a:path>
                            <a:path w="5248910" h="4685030">
                              <a:moveTo>
                                <a:pt x="5248643" y="0"/>
                              </a:moveTo>
                              <a:lnTo>
                                <a:pt x="0" y="0"/>
                              </a:lnTo>
                              <a:lnTo>
                                <a:pt x="0" y="170688"/>
                              </a:lnTo>
                              <a:lnTo>
                                <a:pt x="0" y="341376"/>
                              </a:lnTo>
                              <a:lnTo>
                                <a:pt x="0" y="3678936"/>
                              </a:lnTo>
                              <a:lnTo>
                                <a:pt x="5248643" y="3678936"/>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929031pt;width:413.3pt;height:368.9pt;mso-position-horizontal-relative:page;mso-position-vertical-relative:paragraph;z-index:-29045248" id="docshape168" coordorigin="2563,119" coordsize="8266,7378" path="m10829,6959l2563,6959,2563,7227,2563,7496,10829,7496,10829,7227,10829,6959xm10829,5912l2563,5912,2563,6301,2563,6690,2563,6959,10829,6959,10829,6690,10829,6301,10829,5912xm10829,119l2563,119,2563,387,2563,656,2563,925,2563,1194,2563,1463,2563,1731,2563,2000,2563,2267,2563,2655,2563,3044,2563,3313,2563,3582,2563,3971,2563,4359,2563,4748,2563,5137,2563,5526,2563,5912,10829,5912,10829,5526,10829,5137,10829,4748,10829,4359,10829,3971,10829,3582,10829,3313,10829,3044,10829,2655,10829,2267,10829,2000,10829,1731,10829,1463,10829,1194,10829,925,10829,656,10829,387,10829,119xe" filled="true" fillcolor="#dfdfdf" stroked="false">
                <v:path arrowok="t"/>
                <v:fill type="solid"/>
                <w10:wrap type="none"/>
              </v:shape>
            </w:pict>
          </mc:Fallback>
        </mc:AlternateContent>
      </w:r>
      <w:r>
        <w:rPr/>
        <w:t>The Forest “Lands” program includes activities such as Landownership Adjustment, Boundary and Title Management (including land exchanges and acquisitions, granting or accepting</w:t>
      </w:r>
      <w:r>
        <w:rPr>
          <w:spacing w:val="-5"/>
        </w:rPr>
        <w:t> </w:t>
      </w:r>
      <w:r>
        <w:rPr/>
        <w:t>of</w:t>
      </w:r>
      <w:r>
        <w:rPr>
          <w:spacing w:val="-2"/>
        </w:rPr>
        <w:t> </w:t>
      </w:r>
      <w:r>
        <w:rPr/>
        <w:t>easements),</w:t>
      </w:r>
      <w:r>
        <w:rPr>
          <w:spacing w:val="-2"/>
        </w:rPr>
        <w:t> </w:t>
      </w:r>
      <w:r>
        <w:rPr/>
        <w:t>and</w:t>
      </w:r>
      <w:r>
        <w:rPr>
          <w:spacing w:val="-3"/>
        </w:rPr>
        <w:t> </w:t>
      </w:r>
      <w:r>
        <w:rPr/>
        <w:t>other</w:t>
      </w:r>
      <w:r>
        <w:rPr>
          <w:spacing w:val="-4"/>
        </w:rPr>
        <w:t> </w:t>
      </w:r>
      <w:r>
        <w:rPr/>
        <w:t>activities</w:t>
      </w:r>
      <w:r>
        <w:rPr>
          <w:spacing w:val="-4"/>
        </w:rPr>
        <w:t> </w:t>
      </w:r>
      <w:r>
        <w:rPr/>
        <w:t>that</w:t>
      </w:r>
      <w:r>
        <w:rPr>
          <w:spacing w:val="-1"/>
        </w:rPr>
        <w:t> </w:t>
      </w:r>
      <w:r>
        <w:rPr/>
        <w:t>are</w:t>
      </w:r>
      <w:r>
        <w:rPr>
          <w:spacing w:val="-4"/>
        </w:rPr>
        <w:t> </w:t>
      </w:r>
      <w:r>
        <w:rPr/>
        <w:t>primarily</w:t>
      </w:r>
      <w:r>
        <w:rPr>
          <w:spacing w:val="-1"/>
        </w:rPr>
        <w:t> </w:t>
      </w:r>
      <w:r>
        <w:rPr/>
        <w:t>real</w:t>
      </w:r>
      <w:r>
        <w:rPr>
          <w:spacing w:val="-5"/>
        </w:rPr>
        <w:t> </w:t>
      </w:r>
      <w:r>
        <w:rPr/>
        <w:t>estate-type</w:t>
      </w:r>
      <w:r>
        <w:rPr>
          <w:spacing w:val="-1"/>
        </w:rPr>
        <w:t> </w:t>
      </w:r>
      <w:r>
        <w:rPr/>
        <w:t>actions.</w:t>
      </w:r>
      <w:r>
        <w:rPr>
          <w:spacing w:val="-5"/>
        </w:rPr>
        <w:t> </w:t>
      </w:r>
      <w:r>
        <w:rPr/>
        <w:t>The goals of this program include: (1) consolidating landownership patterns to meet the objectives of forest land and resource management plans and to improve land</w:t>
      </w:r>
      <w:r>
        <w:rPr>
          <w:spacing w:val="40"/>
        </w:rPr>
        <w:t> </w:t>
      </w:r>
      <w:r>
        <w:rPr/>
        <w:t>management efficiencies; (2) securing and protecting the rights, title, land, and resources</w:t>
      </w:r>
      <w:r>
        <w:rPr>
          <w:spacing w:val="80"/>
        </w:rPr>
        <w:t> </w:t>
      </w:r>
      <w:r>
        <w:rPr/>
        <w:t>of public land from unauthorized use and occupancy; (3) providing legally defensible boundaries</w:t>
      </w:r>
      <w:r>
        <w:rPr>
          <w:spacing w:val="-2"/>
        </w:rPr>
        <w:t> </w:t>
      </w:r>
      <w:r>
        <w:rPr/>
        <w:t>and</w:t>
      </w:r>
      <w:r>
        <w:rPr>
          <w:spacing w:val="-3"/>
        </w:rPr>
        <w:t> </w:t>
      </w:r>
      <w:r>
        <w:rPr/>
        <w:t>accurate,</w:t>
      </w:r>
      <w:r>
        <w:rPr>
          <w:spacing w:val="-4"/>
        </w:rPr>
        <w:t> </w:t>
      </w:r>
      <w:r>
        <w:rPr/>
        <w:t>complete</w:t>
      </w:r>
      <w:r>
        <w:rPr>
          <w:spacing w:val="-4"/>
        </w:rPr>
        <w:t> </w:t>
      </w:r>
      <w:r>
        <w:rPr/>
        <w:t>landownership</w:t>
      </w:r>
      <w:r>
        <w:rPr>
          <w:spacing w:val="-3"/>
        </w:rPr>
        <w:t> </w:t>
      </w:r>
      <w:r>
        <w:rPr/>
        <w:t>records</w:t>
      </w:r>
      <w:r>
        <w:rPr>
          <w:spacing w:val="-4"/>
        </w:rPr>
        <w:t> </w:t>
      </w:r>
      <w:r>
        <w:rPr/>
        <w:t>of</w:t>
      </w:r>
      <w:r>
        <w:rPr>
          <w:spacing w:val="-2"/>
        </w:rPr>
        <w:t> </w:t>
      </w:r>
      <w:r>
        <w:rPr/>
        <w:t>National</w:t>
      </w:r>
      <w:r>
        <w:rPr>
          <w:spacing w:val="-2"/>
        </w:rPr>
        <w:t> </w:t>
      </w:r>
      <w:r>
        <w:rPr/>
        <w:t>Forest</w:t>
      </w:r>
      <w:r>
        <w:rPr>
          <w:spacing w:val="-1"/>
        </w:rPr>
        <w:t> </w:t>
      </w:r>
      <w:r>
        <w:rPr/>
        <w:t>System lands. These program activities will continue and do not change across the action alternatives.</w:t>
      </w:r>
    </w:p>
    <w:p>
      <w:pPr>
        <w:pStyle w:val="BodyText"/>
        <w:spacing w:before="119"/>
        <w:ind w:left="1512"/>
      </w:pPr>
      <w:r>
        <w:rPr/>
        <w:t>Land</w:t>
      </w:r>
      <w:r>
        <w:rPr>
          <w:spacing w:val="-6"/>
        </w:rPr>
        <w:t> </w:t>
      </w:r>
      <w:r>
        <w:rPr/>
        <w:t>acquisition</w:t>
      </w:r>
      <w:r>
        <w:rPr>
          <w:spacing w:val="-6"/>
        </w:rPr>
        <w:t> </w:t>
      </w:r>
      <w:r>
        <w:rPr/>
        <w:t>and</w:t>
      </w:r>
      <w:r>
        <w:rPr>
          <w:spacing w:val="-5"/>
        </w:rPr>
        <w:t> </w:t>
      </w:r>
      <w:r>
        <w:rPr/>
        <w:t>conveyance</w:t>
      </w:r>
      <w:r>
        <w:rPr>
          <w:spacing w:val="-6"/>
        </w:rPr>
        <w:t> </w:t>
      </w:r>
      <w:r>
        <w:rPr/>
        <w:t>contribute</w:t>
      </w:r>
      <w:r>
        <w:rPr>
          <w:spacing w:val="-3"/>
        </w:rPr>
        <w:t> </w:t>
      </w:r>
      <w:r>
        <w:rPr>
          <w:spacing w:val="-5"/>
        </w:rPr>
        <w:t>to:</w:t>
      </w:r>
    </w:p>
    <w:p>
      <w:pPr>
        <w:pStyle w:val="ListParagraph"/>
        <w:numPr>
          <w:ilvl w:val="0"/>
          <w:numId w:val="13"/>
        </w:numPr>
        <w:tabs>
          <w:tab w:pos="1870" w:val="left" w:leader="none"/>
          <w:tab w:pos="1872" w:val="left" w:leader="none"/>
        </w:tabs>
        <w:spacing w:line="240" w:lineRule="auto" w:before="121" w:after="0"/>
        <w:ind w:left="1872" w:right="787" w:hanging="360"/>
        <w:jc w:val="left"/>
        <w:rPr>
          <w:sz w:val="22"/>
        </w:rPr>
      </w:pPr>
      <w:r>
        <w:rPr>
          <w:sz w:val="22"/>
        </w:rPr>
        <w:t>The</w:t>
      </w:r>
      <w:r>
        <w:rPr>
          <w:spacing w:val="-5"/>
          <w:sz w:val="22"/>
        </w:rPr>
        <w:t> </w:t>
      </w:r>
      <w:r>
        <w:rPr>
          <w:sz w:val="22"/>
        </w:rPr>
        <w:t>maintenance,</w:t>
      </w:r>
      <w:r>
        <w:rPr>
          <w:spacing w:val="-3"/>
          <w:sz w:val="22"/>
        </w:rPr>
        <w:t> </w:t>
      </w:r>
      <w:r>
        <w:rPr>
          <w:sz w:val="22"/>
        </w:rPr>
        <w:t>restoration,</w:t>
      </w:r>
      <w:r>
        <w:rPr>
          <w:spacing w:val="-3"/>
          <w:sz w:val="22"/>
        </w:rPr>
        <w:t> </w:t>
      </w:r>
      <w:r>
        <w:rPr>
          <w:sz w:val="22"/>
        </w:rPr>
        <w:t>and</w:t>
      </w:r>
      <w:r>
        <w:rPr>
          <w:spacing w:val="-4"/>
          <w:sz w:val="22"/>
        </w:rPr>
        <w:t> </w:t>
      </w:r>
      <w:r>
        <w:rPr>
          <w:sz w:val="22"/>
        </w:rPr>
        <w:t>enhancement</w:t>
      </w:r>
      <w:r>
        <w:rPr>
          <w:spacing w:val="-5"/>
          <w:sz w:val="22"/>
        </w:rPr>
        <w:t> </w:t>
      </w:r>
      <w:r>
        <w:rPr>
          <w:sz w:val="22"/>
        </w:rPr>
        <w:t>of</w:t>
      </w:r>
      <w:r>
        <w:rPr>
          <w:spacing w:val="-3"/>
          <w:sz w:val="22"/>
        </w:rPr>
        <w:t> </w:t>
      </w:r>
      <w:r>
        <w:rPr>
          <w:sz w:val="22"/>
        </w:rPr>
        <w:t>plant,</w:t>
      </w:r>
      <w:r>
        <w:rPr>
          <w:spacing w:val="-3"/>
          <w:sz w:val="22"/>
        </w:rPr>
        <w:t> </w:t>
      </w:r>
      <w:r>
        <w:rPr>
          <w:sz w:val="22"/>
        </w:rPr>
        <w:t>wildlife,</w:t>
      </w:r>
      <w:r>
        <w:rPr>
          <w:spacing w:val="-5"/>
          <w:sz w:val="22"/>
        </w:rPr>
        <w:t> </w:t>
      </w:r>
      <w:r>
        <w:rPr>
          <w:sz w:val="22"/>
        </w:rPr>
        <w:t>and</w:t>
      </w:r>
      <w:r>
        <w:rPr>
          <w:spacing w:val="-4"/>
          <w:sz w:val="22"/>
        </w:rPr>
        <w:t> </w:t>
      </w:r>
      <w:r>
        <w:rPr>
          <w:sz w:val="22"/>
        </w:rPr>
        <w:t>riparian</w:t>
      </w:r>
      <w:r>
        <w:rPr>
          <w:spacing w:val="-4"/>
          <w:sz w:val="22"/>
        </w:rPr>
        <w:t> </w:t>
      </w:r>
      <w:r>
        <w:rPr>
          <w:sz w:val="22"/>
        </w:rPr>
        <w:t>aquatic and riparian-dependent resources and habitat including aspects of connectivity, foraging and reproduction for threatened and endangered and species of concern.</w:t>
      </w:r>
    </w:p>
    <w:p>
      <w:pPr>
        <w:pStyle w:val="ListParagraph"/>
        <w:numPr>
          <w:ilvl w:val="0"/>
          <w:numId w:val="13"/>
        </w:numPr>
        <w:tabs>
          <w:tab w:pos="1871" w:val="left" w:leader="none"/>
        </w:tabs>
        <w:spacing w:line="240" w:lineRule="auto" w:before="120" w:after="0"/>
        <w:ind w:left="1871" w:right="0" w:hanging="359"/>
        <w:jc w:val="left"/>
        <w:rPr>
          <w:sz w:val="22"/>
        </w:rPr>
      </w:pPr>
      <w:r>
        <w:rPr>
          <w:sz w:val="22"/>
        </w:rPr>
        <w:t>The</w:t>
      </w:r>
      <w:r>
        <w:rPr>
          <w:spacing w:val="-4"/>
          <w:sz w:val="22"/>
        </w:rPr>
        <w:t> </w:t>
      </w:r>
      <w:r>
        <w:rPr>
          <w:sz w:val="22"/>
        </w:rPr>
        <w:t>protection</w:t>
      </w:r>
      <w:r>
        <w:rPr>
          <w:spacing w:val="-6"/>
          <w:sz w:val="22"/>
        </w:rPr>
        <w:t> </w:t>
      </w:r>
      <w:r>
        <w:rPr>
          <w:sz w:val="22"/>
        </w:rPr>
        <w:t>of</w:t>
      </w:r>
      <w:r>
        <w:rPr>
          <w:spacing w:val="-5"/>
          <w:sz w:val="22"/>
        </w:rPr>
        <w:t> </w:t>
      </w:r>
      <w:r>
        <w:rPr>
          <w:sz w:val="22"/>
        </w:rPr>
        <w:t>significant</w:t>
      </w:r>
      <w:r>
        <w:rPr>
          <w:spacing w:val="-3"/>
          <w:sz w:val="22"/>
        </w:rPr>
        <w:t> </w:t>
      </w:r>
      <w:r>
        <w:rPr>
          <w:sz w:val="22"/>
        </w:rPr>
        <w:t>historical</w:t>
      </w:r>
      <w:r>
        <w:rPr>
          <w:spacing w:val="-7"/>
          <w:sz w:val="22"/>
        </w:rPr>
        <w:t> </w:t>
      </w:r>
      <w:r>
        <w:rPr>
          <w:sz w:val="22"/>
        </w:rPr>
        <w:t>or</w:t>
      </w:r>
      <w:r>
        <w:rPr>
          <w:spacing w:val="-4"/>
          <w:sz w:val="22"/>
        </w:rPr>
        <w:t> </w:t>
      </w:r>
      <w:r>
        <w:rPr>
          <w:sz w:val="22"/>
        </w:rPr>
        <w:t>cultural</w:t>
      </w:r>
      <w:r>
        <w:rPr>
          <w:spacing w:val="-6"/>
          <w:sz w:val="22"/>
        </w:rPr>
        <w:t> </w:t>
      </w:r>
      <w:r>
        <w:rPr>
          <w:spacing w:val="-2"/>
          <w:sz w:val="22"/>
        </w:rPr>
        <w:t>resources.</w:t>
      </w:r>
    </w:p>
    <w:p>
      <w:pPr>
        <w:pStyle w:val="ListParagraph"/>
        <w:numPr>
          <w:ilvl w:val="0"/>
          <w:numId w:val="13"/>
        </w:numPr>
        <w:tabs>
          <w:tab w:pos="1872" w:val="left" w:leader="none"/>
        </w:tabs>
        <w:spacing w:line="240" w:lineRule="auto" w:before="121" w:after="0"/>
        <w:ind w:left="1872" w:right="0" w:hanging="360"/>
        <w:jc w:val="left"/>
        <w:rPr>
          <w:sz w:val="22"/>
        </w:rPr>
      </w:pPr>
      <w:r>
        <w:rPr>
          <w:sz w:val="22"/>
        </w:rPr>
        <w:t>The</w:t>
      </w:r>
      <w:r>
        <w:rPr>
          <w:spacing w:val="-5"/>
          <w:sz w:val="22"/>
        </w:rPr>
        <w:t> </w:t>
      </w:r>
      <w:r>
        <w:rPr>
          <w:sz w:val="22"/>
        </w:rPr>
        <w:t>enhancement</w:t>
      </w:r>
      <w:r>
        <w:rPr>
          <w:spacing w:val="-5"/>
          <w:sz w:val="22"/>
        </w:rPr>
        <w:t> </w:t>
      </w:r>
      <w:r>
        <w:rPr>
          <w:sz w:val="22"/>
        </w:rPr>
        <w:t>of</w:t>
      </w:r>
      <w:r>
        <w:rPr>
          <w:spacing w:val="-4"/>
          <w:sz w:val="22"/>
        </w:rPr>
        <w:t> </w:t>
      </w:r>
      <w:r>
        <w:rPr>
          <w:sz w:val="22"/>
        </w:rPr>
        <w:t>recreation</w:t>
      </w:r>
      <w:r>
        <w:rPr>
          <w:spacing w:val="-6"/>
          <w:sz w:val="22"/>
        </w:rPr>
        <w:t> </w:t>
      </w:r>
      <w:r>
        <w:rPr>
          <w:sz w:val="22"/>
        </w:rPr>
        <w:t>opportunities</w:t>
      </w:r>
      <w:r>
        <w:rPr>
          <w:spacing w:val="-4"/>
          <w:sz w:val="22"/>
        </w:rPr>
        <w:t> </w:t>
      </w:r>
      <w:r>
        <w:rPr>
          <w:sz w:val="22"/>
        </w:rPr>
        <w:t>and</w:t>
      </w:r>
      <w:r>
        <w:rPr>
          <w:spacing w:val="-4"/>
          <w:sz w:val="22"/>
        </w:rPr>
        <w:t> </w:t>
      </w:r>
      <w:r>
        <w:rPr>
          <w:sz w:val="22"/>
        </w:rPr>
        <w:t>protection</w:t>
      </w:r>
      <w:r>
        <w:rPr>
          <w:spacing w:val="-7"/>
          <w:sz w:val="22"/>
        </w:rPr>
        <w:t> </w:t>
      </w:r>
      <w:r>
        <w:rPr>
          <w:sz w:val="22"/>
        </w:rPr>
        <w:t>of</w:t>
      </w:r>
      <w:r>
        <w:rPr>
          <w:spacing w:val="-5"/>
          <w:sz w:val="22"/>
        </w:rPr>
        <w:t> </w:t>
      </w:r>
      <w:r>
        <w:rPr>
          <w:sz w:val="22"/>
        </w:rPr>
        <w:t>scenic</w:t>
      </w:r>
      <w:r>
        <w:rPr>
          <w:spacing w:val="-5"/>
          <w:sz w:val="22"/>
        </w:rPr>
        <w:t> </w:t>
      </w:r>
      <w:r>
        <w:rPr>
          <w:spacing w:val="-2"/>
          <w:sz w:val="22"/>
        </w:rPr>
        <w:t>values.</w:t>
      </w:r>
    </w:p>
    <w:p>
      <w:pPr>
        <w:pStyle w:val="ListParagraph"/>
        <w:numPr>
          <w:ilvl w:val="0"/>
          <w:numId w:val="13"/>
        </w:numPr>
        <w:tabs>
          <w:tab w:pos="1871" w:val="left" w:leader="none"/>
        </w:tabs>
        <w:spacing w:line="240" w:lineRule="auto" w:before="120" w:after="0"/>
        <w:ind w:left="1871" w:right="0" w:hanging="359"/>
        <w:jc w:val="left"/>
        <w:rPr>
          <w:sz w:val="22"/>
        </w:rPr>
      </w:pPr>
      <w:r>
        <w:rPr>
          <w:sz w:val="22"/>
        </w:rPr>
        <w:t>The</w:t>
      </w:r>
      <w:r>
        <w:rPr>
          <w:spacing w:val="-7"/>
          <w:sz w:val="22"/>
        </w:rPr>
        <w:t> </w:t>
      </w:r>
      <w:r>
        <w:rPr>
          <w:sz w:val="22"/>
        </w:rPr>
        <w:t>protection</w:t>
      </w:r>
      <w:r>
        <w:rPr>
          <w:spacing w:val="-7"/>
          <w:sz w:val="22"/>
        </w:rPr>
        <w:t> </w:t>
      </w:r>
      <w:r>
        <w:rPr>
          <w:sz w:val="22"/>
        </w:rPr>
        <w:t>of</w:t>
      </w:r>
      <w:r>
        <w:rPr>
          <w:spacing w:val="-5"/>
          <w:sz w:val="22"/>
        </w:rPr>
        <w:t> </w:t>
      </w:r>
      <w:r>
        <w:rPr>
          <w:sz w:val="22"/>
        </w:rPr>
        <w:t>congressionally</w:t>
      </w:r>
      <w:r>
        <w:rPr>
          <w:spacing w:val="-4"/>
          <w:sz w:val="22"/>
        </w:rPr>
        <w:t> </w:t>
      </w:r>
      <w:r>
        <w:rPr>
          <w:sz w:val="22"/>
        </w:rPr>
        <w:t>designated</w:t>
      </w:r>
      <w:r>
        <w:rPr>
          <w:spacing w:val="-6"/>
          <w:sz w:val="22"/>
        </w:rPr>
        <w:t> </w:t>
      </w:r>
      <w:r>
        <w:rPr>
          <w:sz w:val="22"/>
        </w:rPr>
        <w:t>areas</w:t>
      </w:r>
      <w:r>
        <w:rPr>
          <w:spacing w:val="-5"/>
          <w:sz w:val="22"/>
        </w:rPr>
        <w:t> </w:t>
      </w:r>
      <w:r>
        <w:rPr>
          <w:sz w:val="22"/>
        </w:rPr>
        <w:t>such</w:t>
      </w:r>
      <w:r>
        <w:rPr>
          <w:spacing w:val="-6"/>
          <w:sz w:val="22"/>
        </w:rPr>
        <w:t> </w:t>
      </w:r>
      <w:r>
        <w:rPr>
          <w:sz w:val="22"/>
        </w:rPr>
        <w:t>as</w:t>
      </w:r>
      <w:r>
        <w:rPr>
          <w:spacing w:val="-4"/>
          <w:sz w:val="22"/>
        </w:rPr>
        <w:t> </w:t>
      </w:r>
      <w:r>
        <w:rPr>
          <w:spacing w:val="-2"/>
          <w:sz w:val="22"/>
        </w:rPr>
        <w:t>wilderness.</w:t>
      </w:r>
    </w:p>
    <w:p>
      <w:pPr>
        <w:pStyle w:val="ListParagraph"/>
        <w:numPr>
          <w:ilvl w:val="0"/>
          <w:numId w:val="13"/>
        </w:numPr>
        <w:tabs>
          <w:tab w:pos="1871" w:val="left" w:leader="none"/>
        </w:tabs>
        <w:spacing w:line="240" w:lineRule="auto" w:before="120" w:after="0"/>
        <w:ind w:left="1871" w:right="0" w:hanging="359"/>
        <w:jc w:val="left"/>
        <w:rPr>
          <w:sz w:val="22"/>
        </w:rPr>
      </w:pPr>
      <w:r>
        <w:rPr>
          <w:sz w:val="22"/>
        </w:rPr>
        <w:t>Obtaining</w:t>
      </w:r>
      <w:r>
        <w:rPr>
          <w:spacing w:val="-5"/>
          <w:sz w:val="22"/>
        </w:rPr>
        <w:t> </w:t>
      </w:r>
      <w:r>
        <w:rPr>
          <w:sz w:val="22"/>
        </w:rPr>
        <w:t>access</w:t>
      </w:r>
      <w:r>
        <w:rPr>
          <w:spacing w:val="-5"/>
          <w:sz w:val="22"/>
        </w:rPr>
        <w:t> </w:t>
      </w:r>
      <w:r>
        <w:rPr>
          <w:sz w:val="22"/>
        </w:rPr>
        <w:t>to</w:t>
      </w:r>
      <w:r>
        <w:rPr>
          <w:spacing w:val="-3"/>
          <w:sz w:val="22"/>
        </w:rPr>
        <w:t> </w:t>
      </w:r>
      <w:r>
        <w:rPr>
          <w:sz w:val="22"/>
        </w:rPr>
        <w:t>public</w:t>
      </w:r>
      <w:r>
        <w:rPr>
          <w:spacing w:val="-3"/>
          <w:sz w:val="22"/>
        </w:rPr>
        <w:t> </w:t>
      </w:r>
      <w:r>
        <w:rPr>
          <w:spacing w:val="-4"/>
          <w:sz w:val="22"/>
        </w:rPr>
        <w:t>land.</w:t>
      </w:r>
    </w:p>
    <w:p>
      <w:pPr>
        <w:pStyle w:val="ListParagraph"/>
        <w:numPr>
          <w:ilvl w:val="0"/>
          <w:numId w:val="13"/>
        </w:numPr>
        <w:tabs>
          <w:tab w:pos="1871" w:val="left" w:leader="none"/>
        </w:tabs>
        <w:spacing w:line="240" w:lineRule="auto" w:before="120" w:after="0"/>
        <w:ind w:left="1871" w:right="0" w:hanging="359"/>
        <w:jc w:val="left"/>
        <w:rPr>
          <w:sz w:val="22"/>
        </w:rPr>
      </w:pPr>
      <w:r>
        <w:rPr>
          <w:sz w:val="22"/>
        </w:rPr>
        <w:t>A</w:t>
      </w:r>
      <w:r>
        <w:rPr>
          <w:spacing w:val="-3"/>
          <w:sz w:val="22"/>
        </w:rPr>
        <w:t> </w:t>
      </w:r>
      <w:r>
        <w:rPr>
          <w:sz w:val="22"/>
        </w:rPr>
        <w:t>reduction</w:t>
      </w:r>
      <w:r>
        <w:rPr>
          <w:spacing w:val="-6"/>
          <w:sz w:val="22"/>
        </w:rPr>
        <w:t> </w:t>
      </w:r>
      <w:r>
        <w:rPr>
          <w:sz w:val="22"/>
        </w:rPr>
        <w:t>in</w:t>
      </w:r>
      <w:r>
        <w:rPr>
          <w:spacing w:val="-3"/>
          <w:sz w:val="22"/>
        </w:rPr>
        <w:t> </w:t>
      </w:r>
      <w:r>
        <w:rPr>
          <w:sz w:val="22"/>
        </w:rPr>
        <w:t>unauthorized</w:t>
      </w:r>
      <w:r>
        <w:rPr>
          <w:spacing w:val="-4"/>
          <w:sz w:val="22"/>
        </w:rPr>
        <w:t> </w:t>
      </w:r>
      <w:r>
        <w:rPr>
          <w:sz w:val="22"/>
        </w:rPr>
        <w:t>use</w:t>
      </w:r>
      <w:r>
        <w:rPr>
          <w:spacing w:val="-2"/>
          <w:sz w:val="22"/>
        </w:rPr>
        <w:t> </w:t>
      </w:r>
      <w:r>
        <w:rPr>
          <w:sz w:val="22"/>
        </w:rPr>
        <w:t>and</w:t>
      </w:r>
      <w:r>
        <w:rPr>
          <w:spacing w:val="-3"/>
          <w:sz w:val="22"/>
        </w:rPr>
        <w:t> </w:t>
      </w:r>
      <w:r>
        <w:rPr>
          <w:spacing w:val="-2"/>
          <w:sz w:val="22"/>
        </w:rPr>
        <w:t>occupancy.</w:t>
      </w:r>
    </w:p>
    <w:p>
      <w:pPr>
        <w:pStyle w:val="ListParagraph"/>
        <w:numPr>
          <w:ilvl w:val="0"/>
          <w:numId w:val="13"/>
        </w:numPr>
        <w:tabs>
          <w:tab w:pos="1871" w:val="left" w:leader="none"/>
        </w:tabs>
        <w:spacing w:line="240" w:lineRule="auto" w:before="118" w:after="0"/>
        <w:ind w:left="1871" w:right="0" w:hanging="359"/>
        <w:jc w:val="left"/>
        <w:rPr>
          <w:sz w:val="22"/>
        </w:rPr>
      </w:pPr>
      <w:r>
        <w:rPr>
          <w:sz w:val="22"/>
        </w:rPr>
        <w:t>A</w:t>
      </w:r>
      <w:r>
        <w:rPr>
          <w:spacing w:val="-3"/>
          <w:sz w:val="22"/>
        </w:rPr>
        <w:t> </w:t>
      </w:r>
      <w:r>
        <w:rPr>
          <w:sz w:val="22"/>
        </w:rPr>
        <w:t>reduction</w:t>
      </w:r>
      <w:r>
        <w:rPr>
          <w:spacing w:val="-4"/>
          <w:sz w:val="22"/>
        </w:rPr>
        <w:t> </w:t>
      </w:r>
      <w:r>
        <w:rPr>
          <w:sz w:val="22"/>
        </w:rPr>
        <w:t>in</w:t>
      </w:r>
      <w:r>
        <w:rPr>
          <w:spacing w:val="-3"/>
          <w:sz w:val="22"/>
        </w:rPr>
        <w:t> </w:t>
      </w:r>
      <w:r>
        <w:rPr>
          <w:sz w:val="22"/>
        </w:rPr>
        <w:t>isolated</w:t>
      </w:r>
      <w:r>
        <w:rPr>
          <w:spacing w:val="-3"/>
          <w:sz w:val="22"/>
        </w:rPr>
        <w:t> </w:t>
      </w:r>
      <w:r>
        <w:rPr>
          <w:spacing w:val="-2"/>
          <w:sz w:val="22"/>
        </w:rPr>
        <w:t>properties.</w:t>
      </w:r>
    </w:p>
    <w:p>
      <w:pPr>
        <w:pStyle w:val="ListParagraph"/>
        <w:numPr>
          <w:ilvl w:val="0"/>
          <w:numId w:val="13"/>
        </w:numPr>
        <w:tabs>
          <w:tab w:pos="1871" w:val="left" w:leader="none"/>
        </w:tabs>
        <w:spacing w:line="240" w:lineRule="auto" w:before="120" w:after="0"/>
        <w:ind w:left="1871" w:right="0" w:hanging="359"/>
        <w:jc w:val="left"/>
        <w:rPr>
          <w:sz w:val="22"/>
        </w:rPr>
      </w:pPr>
      <w:r>
        <w:rPr>
          <w:sz w:val="22"/>
        </w:rPr>
        <w:t>Increased</w:t>
      </w:r>
      <w:r>
        <w:rPr>
          <w:spacing w:val="-8"/>
          <w:sz w:val="22"/>
        </w:rPr>
        <w:t> </w:t>
      </w:r>
      <w:r>
        <w:rPr>
          <w:sz w:val="22"/>
        </w:rPr>
        <w:t>management</w:t>
      </w:r>
      <w:r>
        <w:rPr>
          <w:spacing w:val="-6"/>
          <w:sz w:val="22"/>
        </w:rPr>
        <w:t> </w:t>
      </w:r>
      <w:r>
        <w:rPr>
          <w:spacing w:val="-2"/>
          <w:sz w:val="22"/>
        </w:rPr>
        <w:t>efficiencies.</w:t>
      </w:r>
    </w:p>
    <w:p>
      <w:pPr>
        <w:pStyle w:val="BodyText"/>
        <w:spacing w:before="121"/>
        <w:ind w:left="1512" w:right="801"/>
      </w:pPr>
      <w:r>
        <w:rPr/>
        <w:t>All uses of National Forest System lands, improvements, and resources, except those provided</w:t>
      </w:r>
      <w:r>
        <w:rPr>
          <w:spacing w:val="-4"/>
        </w:rPr>
        <w:t> </w:t>
      </w:r>
      <w:r>
        <w:rPr/>
        <w:t>for</w:t>
      </w:r>
      <w:r>
        <w:rPr>
          <w:spacing w:val="-3"/>
        </w:rPr>
        <w:t> </w:t>
      </w:r>
      <w:r>
        <w:rPr/>
        <w:t>in</w:t>
      </w:r>
      <w:r>
        <w:rPr>
          <w:spacing w:val="-6"/>
        </w:rPr>
        <w:t> </w:t>
      </w:r>
      <w:r>
        <w:rPr/>
        <w:t>the</w:t>
      </w:r>
      <w:r>
        <w:rPr>
          <w:spacing w:val="-2"/>
        </w:rPr>
        <w:t> </w:t>
      </w:r>
      <w:r>
        <w:rPr/>
        <w:t>regulations</w:t>
      </w:r>
      <w:r>
        <w:rPr>
          <w:spacing w:val="-3"/>
        </w:rPr>
        <w:t> </w:t>
      </w:r>
      <w:r>
        <w:rPr/>
        <w:t>governing</w:t>
      </w:r>
      <w:r>
        <w:rPr>
          <w:spacing w:val="-4"/>
        </w:rPr>
        <w:t> </w:t>
      </w:r>
      <w:r>
        <w:rPr/>
        <w:t>the</w:t>
      </w:r>
      <w:r>
        <w:rPr>
          <w:spacing w:val="-2"/>
        </w:rPr>
        <w:t> </w:t>
      </w:r>
      <w:r>
        <w:rPr/>
        <w:t>disposal</w:t>
      </w:r>
      <w:r>
        <w:rPr>
          <w:spacing w:val="-6"/>
        </w:rPr>
        <w:t> </w:t>
      </w:r>
      <w:r>
        <w:rPr/>
        <w:t>of</w:t>
      </w:r>
      <w:r>
        <w:rPr>
          <w:spacing w:val="-3"/>
        </w:rPr>
        <w:t> </w:t>
      </w:r>
      <w:r>
        <w:rPr/>
        <w:t>timber,</w:t>
      </w:r>
      <w:r>
        <w:rPr>
          <w:spacing w:val="-5"/>
        </w:rPr>
        <w:t> </w:t>
      </w:r>
      <w:r>
        <w:rPr/>
        <w:t>minerals,</w:t>
      </w:r>
      <w:r>
        <w:rPr>
          <w:spacing w:val="-3"/>
        </w:rPr>
        <w:t> </w:t>
      </w:r>
      <w:r>
        <w:rPr/>
        <w:t>and</w:t>
      </w:r>
      <w:r>
        <w:rPr>
          <w:spacing w:val="-6"/>
        </w:rPr>
        <w:t> </w:t>
      </w:r>
      <w:r>
        <w:rPr/>
        <w:t>the</w:t>
      </w:r>
      <w:r>
        <w:rPr>
          <w:spacing w:val="-2"/>
        </w:rPr>
        <w:t> </w:t>
      </w:r>
      <w:r>
        <w:rPr/>
        <w:t>grazing of livestock, are designated “special uses.” The Forest</w:t>
      </w:r>
      <w:r>
        <w:rPr>
          <w:spacing w:val="-1"/>
        </w:rPr>
        <w:t> </w:t>
      </w:r>
      <w:r>
        <w:rPr/>
        <w:t>administers a variety of uses under</w:t>
      </w:r>
    </w:p>
    <w:p>
      <w:pPr>
        <w:pStyle w:val="BodyText"/>
        <w:spacing w:after="0"/>
        <w:sectPr>
          <w:pgSz w:w="12240" w:h="15840"/>
          <w:pgMar w:header="725" w:footer="891" w:top="960" w:bottom="1080" w:left="1080" w:right="720"/>
        </w:sectPr>
      </w:pPr>
    </w:p>
    <w:p>
      <w:pPr>
        <w:pStyle w:val="BodyText"/>
        <w:spacing w:before="231"/>
        <w:rPr>
          <w:sz w:val="20"/>
        </w:rPr>
      </w:pPr>
    </w:p>
    <w:p>
      <w:pPr>
        <w:pStyle w:val="BodyText"/>
        <w:ind w:left="691"/>
        <w:rPr>
          <w:sz w:val="20"/>
        </w:rPr>
      </w:pPr>
      <w:r>
        <w:rPr>
          <w:sz w:val="20"/>
        </w:rPr>
        <mc:AlternateContent>
          <mc:Choice Requires="wps">
            <w:drawing>
              <wp:inline distT="0" distB="0" distL="0" distR="0">
                <wp:extent cx="5248910" cy="1952625"/>
                <wp:effectExtent l="0" t="0" r="0" b="0"/>
                <wp:docPr id="181" name="Textbox 181"/>
                <wp:cNvGraphicFramePr>
                  <a:graphicFrameLocks/>
                </wp:cNvGraphicFramePr>
                <a:graphic>
                  <a:graphicData uri="http://schemas.microsoft.com/office/word/2010/wordprocessingShape">
                    <wps:wsp>
                      <wps:cNvPr id="181" name="Textbox 181"/>
                      <wps:cNvSpPr txBox="1"/>
                      <wps:spPr>
                        <a:xfrm>
                          <a:off x="0" y="0"/>
                          <a:ext cx="5248910" cy="1952625"/>
                        </a:xfrm>
                        <a:prstGeom prst="rect">
                          <a:avLst/>
                        </a:prstGeom>
                        <a:solidFill>
                          <a:srgbClr val="DFDFDF"/>
                        </a:solidFill>
                      </wps:spPr>
                      <wps:txbx>
                        <w:txbxContent>
                          <w:p>
                            <w:pPr>
                              <w:pStyle w:val="BodyText"/>
                              <w:ind w:left="28"/>
                              <w:rPr>
                                <w:color w:val="000000"/>
                              </w:rPr>
                            </w:pPr>
                            <w:r>
                              <w:rPr>
                                <w:color w:val="000000"/>
                              </w:rPr>
                              <w:t>special-use permits, leases, or easements. Management area direction applies to the location</w:t>
                            </w:r>
                            <w:r>
                              <w:rPr>
                                <w:color w:val="000000"/>
                                <w:spacing w:val="-4"/>
                              </w:rPr>
                              <w:t> </w:t>
                            </w:r>
                            <w:r>
                              <w:rPr>
                                <w:color w:val="000000"/>
                              </w:rPr>
                              <w:t>where</w:t>
                            </w:r>
                            <w:r>
                              <w:rPr>
                                <w:color w:val="000000"/>
                                <w:spacing w:val="-2"/>
                              </w:rPr>
                              <w:t> </w:t>
                            </w:r>
                            <w:r>
                              <w:rPr>
                                <w:color w:val="000000"/>
                              </w:rPr>
                              <w:t>improvements</w:t>
                            </w:r>
                            <w:r>
                              <w:rPr>
                                <w:color w:val="000000"/>
                                <w:spacing w:val="-3"/>
                              </w:rPr>
                              <w:t> </w:t>
                            </w:r>
                            <w:r>
                              <w:rPr>
                                <w:color w:val="000000"/>
                              </w:rPr>
                              <w:t>are</w:t>
                            </w:r>
                            <w:r>
                              <w:rPr>
                                <w:color w:val="000000"/>
                                <w:spacing w:val="-2"/>
                              </w:rPr>
                              <w:t> </w:t>
                            </w:r>
                            <w:r>
                              <w:rPr>
                                <w:color w:val="000000"/>
                              </w:rPr>
                              <w:t>authorized</w:t>
                            </w:r>
                            <w:r>
                              <w:rPr>
                                <w:color w:val="000000"/>
                                <w:spacing w:val="-4"/>
                              </w:rPr>
                              <w:t> </w:t>
                            </w:r>
                            <w:r>
                              <w:rPr>
                                <w:color w:val="000000"/>
                              </w:rPr>
                              <w:t>by</w:t>
                            </w:r>
                            <w:r>
                              <w:rPr>
                                <w:color w:val="000000"/>
                                <w:spacing w:val="-2"/>
                              </w:rPr>
                              <w:t> </w:t>
                            </w:r>
                            <w:r>
                              <w:rPr>
                                <w:color w:val="000000"/>
                              </w:rPr>
                              <w:t>the</w:t>
                            </w:r>
                            <w:r>
                              <w:rPr>
                                <w:color w:val="000000"/>
                                <w:spacing w:val="-5"/>
                              </w:rPr>
                              <w:t> </w:t>
                            </w:r>
                            <w:r>
                              <w:rPr>
                                <w:color w:val="000000"/>
                              </w:rPr>
                              <w:t>special-use</w:t>
                            </w:r>
                            <w:r>
                              <w:rPr>
                                <w:color w:val="000000"/>
                                <w:spacing w:val="-2"/>
                              </w:rPr>
                              <w:t> </w:t>
                            </w:r>
                            <w:r>
                              <w:rPr>
                                <w:color w:val="000000"/>
                              </w:rPr>
                              <w:t>permit,</w:t>
                            </w:r>
                            <w:r>
                              <w:rPr>
                                <w:color w:val="000000"/>
                                <w:spacing w:val="-5"/>
                              </w:rPr>
                              <w:t> </w:t>
                            </w:r>
                            <w:r>
                              <w:rPr>
                                <w:color w:val="000000"/>
                              </w:rPr>
                              <w:t>lease,</w:t>
                            </w:r>
                            <w:r>
                              <w:rPr>
                                <w:color w:val="000000"/>
                                <w:spacing w:val="-5"/>
                              </w:rPr>
                              <w:t> </w:t>
                            </w:r>
                            <w:r>
                              <w:rPr>
                                <w:color w:val="000000"/>
                              </w:rPr>
                              <w:t>or</w:t>
                            </w:r>
                            <w:r>
                              <w:rPr>
                                <w:color w:val="000000"/>
                                <w:spacing w:val="-5"/>
                              </w:rPr>
                              <w:t> </w:t>
                            </w:r>
                            <w:r>
                              <w:rPr>
                                <w:color w:val="000000"/>
                              </w:rPr>
                              <w:t>easement.</w:t>
                            </w:r>
                          </w:p>
                          <w:p>
                            <w:pPr>
                              <w:pStyle w:val="BodyText"/>
                              <w:spacing w:before="120"/>
                              <w:ind w:left="28" w:right="120"/>
                              <w:rPr>
                                <w:color w:val="000000"/>
                              </w:rPr>
                            </w:pPr>
                            <w:r>
                              <w:rPr>
                                <w:color w:val="000000"/>
                              </w:rPr>
                              <w:t>Many administrative sites, recreation areas, seed orchards and other areas with high capital investments or resource values have been withdrawn from some or all of the general</w:t>
                            </w:r>
                            <w:r>
                              <w:rPr>
                                <w:color w:val="000000"/>
                                <w:spacing w:val="-3"/>
                              </w:rPr>
                              <w:t> </w:t>
                            </w:r>
                            <w:r>
                              <w:rPr>
                                <w:color w:val="000000"/>
                              </w:rPr>
                              <w:t>land</w:t>
                            </w:r>
                            <w:r>
                              <w:rPr>
                                <w:color w:val="000000"/>
                                <w:spacing w:val="-3"/>
                              </w:rPr>
                              <w:t> </w:t>
                            </w:r>
                            <w:r>
                              <w:rPr>
                                <w:color w:val="000000"/>
                              </w:rPr>
                              <w:t>and</w:t>
                            </w:r>
                            <w:r>
                              <w:rPr>
                                <w:color w:val="000000"/>
                                <w:spacing w:val="-5"/>
                              </w:rPr>
                              <w:t> </w:t>
                            </w:r>
                            <w:r>
                              <w:rPr>
                                <w:color w:val="000000"/>
                              </w:rPr>
                              <w:t>mining</w:t>
                            </w:r>
                            <w:r>
                              <w:rPr>
                                <w:color w:val="000000"/>
                                <w:spacing w:val="-3"/>
                              </w:rPr>
                              <w:t> </w:t>
                            </w:r>
                            <w:r>
                              <w:rPr>
                                <w:color w:val="000000"/>
                              </w:rPr>
                              <w:t>laws.</w:t>
                            </w:r>
                            <w:r>
                              <w:rPr>
                                <w:color w:val="000000"/>
                                <w:spacing w:val="-3"/>
                              </w:rPr>
                              <w:t> </w:t>
                            </w:r>
                            <w:r>
                              <w:rPr>
                                <w:color w:val="000000"/>
                              </w:rPr>
                              <w:t>Older</w:t>
                            </w:r>
                            <w:r>
                              <w:rPr>
                                <w:color w:val="000000"/>
                                <w:spacing w:val="-4"/>
                              </w:rPr>
                              <w:t> </w:t>
                            </w:r>
                            <w:r>
                              <w:rPr>
                                <w:color w:val="000000"/>
                              </w:rPr>
                              <w:t>withdrawals</w:t>
                            </w:r>
                            <w:r>
                              <w:rPr>
                                <w:color w:val="000000"/>
                                <w:spacing w:val="-3"/>
                              </w:rPr>
                              <w:t> </w:t>
                            </w:r>
                            <w:r>
                              <w:rPr>
                                <w:color w:val="000000"/>
                              </w:rPr>
                              <w:t>usually</w:t>
                            </w:r>
                            <w:r>
                              <w:rPr>
                                <w:color w:val="000000"/>
                                <w:spacing w:val="-2"/>
                              </w:rPr>
                              <w:t> </w:t>
                            </w:r>
                            <w:r>
                              <w:rPr>
                                <w:color w:val="000000"/>
                              </w:rPr>
                              <w:t>have</w:t>
                            </w:r>
                            <w:r>
                              <w:rPr>
                                <w:color w:val="000000"/>
                                <w:spacing w:val="-2"/>
                              </w:rPr>
                              <w:t> </w:t>
                            </w:r>
                            <w:r>
                              <w:rPr>
                                <w:color w:val="000000"/>
                              </w:rPr>
                              <w:t>no</w:t>
                            </w:r>
                            <w:r>
                              <w:rPr>
                                <w:color w:val="000000"/>
                                <w:spacing w:val="-3"/>
                              </w:rPr>
                              <w:t> </w:t>
                            </w:r>
                            <w:r>
                              <w:rPr>
                                <w:color w:val="000000"/>
                              </w:rPr>
                              <w:t>expiration</w:t>
                            </w:r>
                            <w:r>
                              <w:rPr>
                                <w:color w:val="000000"/>
                                <w:spacing w:val="-5"/>
                              </w:rPr>
                              <w:t> </w:t>
                            </w:r>
                            <w:r>
                              <w:rPr>
                                <w:color w:val="000000"/>
                              </w:rPr>
                              <w:t>or</w:t>
                            </w:r>
                            <w:r>
                              <w:rPr>
                                <w:color w:val="000000"/>
                                <w:spacing w:val="-4"/>
                              </w:rPr>
                              <w:t> </w:t>
                            </w:r>
                            <w:r>
                              <w:rPr>
                                <w:color w:val="000000"/>
                              </w:rPr>
                              <w:t>termination date. Withdrawals are now subject to Section</w:t>
                            </w:r>
                            <w:r>
                              <w:rPr>
                                <w:color w:val="000000"/>
                                <w:spacing w:val="-1"/>
                              </w:rPr>
                              <w:t> </w:t>
                            </w:r>
                            <w:r>
                              <w:rPr>
                                <w:color w:val="000000"/>
                              </w:rPr>
                              <w:t>204 of the Federal</w:t>
                            </w:r>
                            <w:r>
                              <w:rPr>
                                <w:color w:val="000000"/>
                                <w:spacing w:val="-1"/>
                              </w:rPr>
                              <w:t> </w:t>
                            </w:r>
                            <w:r>
                              <w:rPr>
                                <w:color w:val="000000"/>
                              </w:rPr>
                              <w:t>Land Management Policy Act of 1976, have a maximum term of 20 years, and are subject to renewal. The Forest periodically submits applications for withdrawal</w:t>
                            </w:r>
                            <w:r>
                              <w:rPr>
                                <w:color w:val="000000"/>
                                <w:spacing w:val="-2"/>
                              </w:rPr>
                              <w:t> </w:t>
                            </w:r>
                            <w:r>
                              <w:rPr>
                                <w:color w:val="000000"/>
                              </w:rPr>
                              <w:t>renewals, for new areas to be withdrawn, or requests</w:t>
                            </w:r>
                            <w:r>
                              <w:rPr>
                                <w:color w:val="000000"/>
                                <w:spacing w:val="-1"/>
                              </w:rPr>
                              <w:t> </w:t>
                            </w:r>
                            <w:r>
                              <w:rPr>
                                <w:color w:val="000000"/>
                              </w:rPr>
                              <w:t>the revocation</w:t>
                            </w:r>
                            <w:r>
                              <w:rPr>
                                <w:color w:val="000000"/>
                                <w:spacing w:val="-2"/>
                              </w:rPr>
                              <w:t> </w:t>
                            </w:r>
                            <w:r>
                              <w:rPr>
                                <w:color w:val="000000"/>
                              </w:rPr>
                              <w:t>of a</w:t>
                            </w:r>
                            <w:r>
                              <w:rPr>
                                <w:color w:val="000000"/>
                                <w:spacing w:val="-1"/>
                              </w:rPr>
                              <w:t> </w:t>
                            </w:r>
                            <w:r>
                              <w:rPr>
                                <w:color w:val="000000"/>
                              </w:rPr>
                              <w:t>withdrawn</w:t>
                            </w:r>
                            <w:r>
                              <w:rPr>
                                <w:color w:val="000000"/>
                                <w:spacing w:val="-2"/>
                              </w:rPr>
                              <w:t> </w:t>
                            </w:r>
                            <w:r>
                              <w:rPr>
                                <w:color w:val="000000"/>
                              </w:rPr>
                              <w:t>area</w:t>
                            </w:r>
                            <w:r>
                              <w:rPr>
                                <w:color w:val="000000"/>
                                <w:spacing w:val="-1"/>
                              </w:rPr>
                              <w:t> </w:t>
                            </w:r>
                            <w:r>
                              <w:rPr>
                                <w:color w:val="000000"/>
                              </w:rPr>
                              <w:t>when it is no longer</w:t>
                            </w:r>
                            <w:r>
                              <w:rPr>
                                <w:color w:val="000000"/>
                                <w:spacing w:val="-1"/>
                              </w:rPr>
                              <w:t> </w:t>
                            </w:r>
                            <w:r>
                              <w:rPr>
                                <w:color w:val="000000"/>
                              </w:rPr>
                              <w:t>needed or</w:t>
                            </w:r>
                            <w:r>
                              <w:rPr>
                                <w:color w:val="000000"/>
                                <w:spacing w:val="-1"/>
                              </w:rPr>
                              <w:t> </w:t>
                            </w:r>
                            <w:r>
                              <w:rPr>
                                <w:color w:val="000000"/>
                              </w:rPr>
                              <w:t>suitable for the reasons withdrawn. The Secretary of the Interior has the authority to grant or revoke </w:t>
                            </w:r>
                            <w:r>
                              <w:rPr>
                                <w:color w:val="000000"/>
                                <w:spacing w:val="-2"/>
                              </w:rPr>
                              <w:t>withdrawals.</w:t>
                            </w:r>
                          </w:p>
                        </w:txbxContent>
                      </wps:txbx>
                      <wps:bodyPr wrap="square" lIns="0" tIns="0" rIns="0" bIns="0" rtlCol="0">
                        <a:noAutofit/>
                      </wps:bodyPr>
                    </wps:wsp>
                  </a:graphicData>
                </a:graphic>
              </wp:inline>
            </w:drawing>
          </mc:Choice>
          <mc:Fallback>
            <w:pict>
              <v:shape style="width:413.3pt;height:153.75pt;mso-position-horizontal-relative:char;mso-position-vertical-relative:line" type="#_x0000_t202" id="docshape169" filled="true" fillcolor="#dfdfdf" stroked="false">
                <w10:anchorlock/>
                <v:textbox inset="0,0,0,0">
                  <w:txbxContent>
                    <w:p>
                      <w:pPr>
                        <w:pStyle w:val="BodyText"/>
                        <w:ind w:left="28"/>
                        <w:rPr>
                          <w:color w:val="000000"/>
                        </w:rPr>
                      </w:pPr>
                      <w:r>
                        <w:rPr>
                          <w:color w:val="000000"/>
                        </w:rPr>
                        <w:t>special-use permits, leases, or easements. Management area direction applies to the location</w:t>
                      </w:r>
                      <w:r>
                        <w:rPr>
                          <w:color w:val="000000"/>
                          <w:spacing w:val="-4"/>
                        </w:rPr>
                        <w:t> </w:t>
                      </w:r>
                      <w:r>
                        <w:rPr>
                          <w:color w:val="000000"/>
                        </w:rPr>
                        <w:t>where</w:t>
                      </w:r>
                      <w:r>
                        <w:rPr>
                          <w:color w:val="000000"/>
                          <w:spacing w:val="-2"/>
                        </w:rPr>
                        <w:t> </w:t>
                      </w:r>
                      <w:r>
                        <w:rPr>
                          <w:color w:val="000000"/>
                        </w:rPr>
                        <w:t>improvements</w:t>
                      </w:r>
                      <w:r>
                        <w:rPr>
                          <w:color w:val="000000"/>
                          <w:spacing w:val="-3"/>
                        </w:rPr>
                        <w:t> </w:t>
                      </w:r>
                      <w:r>
                        <w:rPr>
                          <w:color w:val="000000"/>
                        </w:rPr>
                        <w:t>are</w:t>
                      </w:r>
                      <w:r>
                        <w:rPr>
                          <w:color w:val="000000"/>
                          <w:spacing w:val="-2"/>
                        </w:rPr>
                        <w:t> </w:t>
                      </w:r>
                      <w:r>
                        <w:rPr>
                          <w:color w:val="000000"/>
                        </w:rPr>
                        <w:t>authorized</w:t>
                      </w:r>
                      <w:r>
                        <w:rPr>
                          <w:color w:val="000000"/>
                          <w:spacing w:val="-4"/>
                        </w:rPr>
                        <w:t> </w:t>
                      </w:r>
                      <w:r>
                        <w:rPr>
                          <w:color w:val="000000"/>
                        </w:rPr>
                        <w:t>by</w:t>
                      </w:r>
                      <w:r>
                        <w:rPr>
                          <w:color w:val="000000"/>
                          <w:spacing w:val="-2"/>
                        </w:rPr>
                        <w:t> </w:t>
                      </w:r>
                      <w:r>
                        <w:rPr>
                          <w:color w:val="000000"/>
                        </w:rPr>
                        <w:t>the</w:t>
                      </w:r>
                      <w:r>
                        <w:rPr>
                          <w:color w:val="000000"/>
                          <w:spacing w:val="-5"/>
                        </w:rPr>
                        <w:t> </w:t>
                      </w:r>
                      <w:r>
                        <w:rPr>
                          <w:color w:val="000000"/>
                        </w:rPr>
                        <w:t>special-use</w:t>
                      </w:r>
                      <w:r>
                        <w:rPr>
                          <w:color w:val="000000"/>
                          <w:spacing w:val="-2"/>
                        </w:rPr>
                        <w:t> </w:t>
                      </w:r>
                      <w:r>
                        <w:rPr>
                          <w:color w:val="000000"/>
                        </w:rPr>
                        <w:t>permit,</w:t>
                      </w:r>
                      <w:r>
                        <w:rPr>
                          <w:color w:val="000000"/>
                          <w:spacing w:val="-5"/>
                        </w:rPr>
                        <w:t> </w:t>
                      </w:r>
                      <w:r>
                        <w:rPr>
                          <w:color w:val="000000"/>
                        </w:rPr>
                        <w:t>lease,</w:t>
                      </w:r>
                      <w:r>
                        <w:rPr>
                          <w:color w:val="000000"/>
                          <w:spacing w:val="-5"/>
                        </w:rPr>
                        <w:t> </w:t>
                      </w:r>
                      <w:r>
                        <w:rPr>
                          <w:color w:val="000000"/>
                        </w:rPr>
                        <w:t>or</w:t>
                      </w:r>
                      <w:r>
                        <w:rPr>
                          <w:color w:val="000000"/>
                          <w:spacing w:val="-5"/>
                        </w:rPr>
                        <w:t> </w:t>
                      </w:r>
                      <w:r>
                        <w:rPr>
                          <w:color w:val="000000"/>
                        </w:rPr>
                        <w:t>easement.</w:t>
                      </w:r>
                    </w:p>
                    <w:p>
                      <w:pPr>
                        <w:pStyle w:val="BodyText"/>
                        <w:spacing w:before="120"/>
                        <w:ind w:left="28" w:right="120"/>
                        <w:rPr>
                          <w:color w:val="000000"/>
                        </w:rPr>
                      </w:pPr>
                      <w:r>
                        <w:rPr>
                          <w:color w:val="000000"/>
                        </w:rPr>
                        <w:t>Many administrative sites, recreation areas, seed orchards and other areas with high capital investments or resource values have been withdrawn from some or all of the general</w:t>
                      </w:r>
                      <w:r>
                        <w:rPr>
                          <w:color w:val="000000"/>
                          <w:spacing w:val="-3"/>
                        </w:rPr>
                        <w:t> </w:t>
                      </w:r>
                      <w:r>
                        <w:rPr>
                          <w:color w:val="000000"/>
                        </w:rPr>
                        <w:t>land</w:t>
                      </w:r>
                      <w:r>
                        <w:rPr>
                          <w:color w:val="000000"/>
                          <w:spacing w:val="-3"/>
                        </w:rPr>
                        <w:t> </w:t>
                      </w:r>
                      <w:r>
                        <w:rPr>
                          <w:color w:val="000000"/>
                        </w:rPr>
                        <w:t>and</w:t>
                      </w:r>
                      <w:r>
                        <w:rPr>
                          <w:color w:val="000000"/>
                          <w:spacing w:val="-5"/>
                        </w:rPr>
                        <w:t> </w:t>
                      </w:r>
                      <w:r>
                        <w:rPr>
                          <w:color w:val="000000"/>
                        </w:rPr>
                        <w:t>mining</w:t>
                      </w:r>
                      <w:r>
                        <w:rPr>
                          <w:color w:val="000000"/>
                          <w:spacing w:val="-3"/>
                        </w:rPr>
                        <w:t> </w:t>
                      </w:r>
                      <w:r>
                        <w:rPr>
                          <w:color w:val="000000"/>
                        </w:rPr>
                        <w:t>laws.</w:t>
                      </w:r>
                      <w:r>
                        <w:rPr>
                          <w:color w:val="000000"/>
                          <w:spacing w:val="-3"/>
                        </w:rPr>
                        <w:t> </w:t>
                      </w:r>
                      <w:r>
                        <w:rPr>
                          <w:color w:val="000000"/>
                        </w:rPr>
                        <w:t>Older</w:t>
                      </w:r>
                      <w:r>
                        <w:rPr>
                          <w:color w:val="000000"/>
                          <w:spacing w:val="-4"/>
                        </w:rPr>
                        <w:t> </w:t>
                      </w:r>
                      <w:r>
                        <w:rPr>
                          <w:color w:val="000000"/>
                        </w:rPr>
                        <w:t>withdrawals</w:t>
                      </w:r>
                      <w:r>
                        <w:rPr>
                          <w:color w:val="000000"/>
                          <w:spacing w:val="-3"/>
                        </w:rPr>
                        <w:t> </w:t>
                      </w:r>
                      <w:r>
                        <w:rPr>
                          <w:color w:val="000000"/>
                        </w:rPr>
                        <w:t>usually</w:t>
                      </w:r>
                      <w:r>
                        <w:rPr>
                          <w:color w:val="000000"/>
                          <w:spacing w:val="-2"/>
                        </w:rPr>
                        <w:t> </w:t>
                      </w:r>
                      <w:r>
                        <w:rPr>
                          <w:color w:val="000000"/>
                        </w:rPr>
                        <w:t>have</w:t>
                      </w:r>
                      <w:r>
                        <w:rPr>
                          <w:color w:val="000000"/>
                          <w:spacing w:val="-2"/>
                        </w:rPr>
                        <w:t> </w:t>
                      </w:r>
                      <w:r>
                        <w:rPr>
                          <w:color w:val="000000"/>
                        </w:rPr>
                        <w:t>no</w:t>
                      </w:r>
                      <w:r>
                        <w:rPr>
                          <w:color w:val="000000"/>
                          <w:spacing w:val="-3"/>
                        </w:rPr>
                        <w:t> </w:t>
                      </w:r>
                      <w:r>
                        <w:rPr>
                          <w:color w:val="000000"/>
                        </w:rPr>
                        <w:t>expiration</w:t>
                      </w:r>
                      <w:r>
                        <w:rPr>
                          <w:color w:val="000000"/>
                          <w:spacing w:val="-5"/>
                        </w:rPr>
                        <w:t> </w:t>
                      </w:r>
                      <w:r>
                        <w:rPr>
                          <w:color w:val="000000"/>
                        </w:rPr>
                        <w:t>or</w:t>
                      </w:r>
                      <w:r>
                        <w:rPr>
                          <w:color w:val="000000"/>
                          <w:spacing w:val="-4"/>
                        </w:rPr>
                        <w:t> </w:t>
                      </w:r>
                      <w:r>
                        <w:rPr>
                          <w:color w:val="000000"/>
                        </w:rPr>
                        <w:t>termination date. Withdrawals are now subject to Section</w:t>
                      </w:r>
                      <w:r>
                        <w:rPr>
                          <w:color w:val="000000"/>
                          <w:spacing w:val="-1"/>
                        </w:rPr>
                        <w:t> </w:t>
                      </w:r>
                      <w:r>
                        <w:rPr>
                          <w:color w:val="000000"/>
                        </w:rPr>
                        <w:t>204 of the Federal</w:t>
                      </w:r>
                      <w:r>
                        <w:rPr>
                          <w:color w:val="000000"/>
                          <w:spacing w:val="-1"/>
                        </w:rPr>
                        <w:t> </w:t>
                      </w:r>
                      <w:r>
                        <w:rPr>
                          <w:color w:val="000000"/>
                        </w:rPr>
                        <w:t>Land Management Policy Act of 1976, have a maximum term of 20 years, and are subject to renewal. The Forest periodically submits applications for withdrawal</w:t>
                      </w:r>
                      <w:r>
                        <w:rPr>
                          <w:color w:val="000000"/>
                          <w:spacing w:val="-2"/>
                        </w:rPr>
                        <w:t> </w:t>
                      </w:r>
                      <w:r>
                        <w:rPr>
                          <w:color w:val="000000"/>
                        </w:rPr>
                        <w:t>renewals, for new areas to be withdrawn, or requests</w:t>
                      </w:r>
                      <w:r>
                        <w:rPr>
                          <w:color w:val="000000"/>
                          <w:spacing w:val="-1"/>
                        </w:rPr>
                        <w:t> </w:t>
                      </w:r>
                      <w:r>
                        <w:rPr>
                          <w:color w:val="000000"/>
                        </w:rPr>
                        <w:t>the revocation</w:t>
                      </w:r>
                      <w:r>
                        <w:rPr>
                          <w:color w:val="000000"/>
                          <w:spacing w:val="-2"/>
                        </w:rPr>
                        <w:t> </w:t>
                      </w:r>
                      <w:r>
                        <w:rPr>
                          <w:color w:val="000000"/>
                        </w:rPr>
                        <w:t>of a</w:t>
                      </w:r>
                      <w:r>
                        <w:rPr>
                          <w:color w:val="000000"/>
                          <w:spacing w:val="-1"/>
                        </w:rPr>
                        <w:t> </w:t>
                      </w:r>
                      <w:r>
                        <w:rPr>
                          <w:color w:val="000000"/>
                        </w:rPr>
                        <w:t>withdrawn</w:t>
                      </w:r>
                      <w:r>
                        <w:rPr>
                          <w:color w:val="000000"/>
                          <w:spacing w:val="-2"/>
                        </w:rPr>
                        <w:t> </w:t>
                      </w:r>
                      <w:r>
                        <w:rPr>
                          <w:color w:val="000000"/>
                        </w:rPr>
                        <w:t>area</w:t>
                      </w:r>
                      <w:r>
                        <w:rPr>
                          <w:color w:val="000000"/>
                          <w:spacing w:val="-1"/>
                        </w:rPr>
                        <w:t> </w:t>
                      </w:r>
                      <w:r>
                        <w:rPr>
                          <w:color w:val="000000"/>
                        </w:rPr>
                        <w:t>when it is no longer</w:t>
                      </w:r>
                      <w:r>
                        <w:rPr>
                          <w:color w:val="000000"/>
                          <w:spacing w:val="-1"/>
                        </w:rPr>
                        <w:t> </w:t>
                      </w:r>
                      <w:r>
                        <w:rPr>
                          <w:color w:val="000000"/>
                        </w:rPr>
                        <w:t>needed or</w:t>
                      </w:r>
                      <w:r>
                        <w:rPr>
                          <w:color w:val="000000"/>
                          <w:spacing w:val="-1"/>
                        </w:rPr>
                        <w:t> </w:t>
                      </w:r>
                      <w:r>
                        <w:rPr>
                          <w:color w:val="000000"/>
                        </w:rPr>
                        <w:t>suitable for the reasons withdrawn. The Secretary of the Interior has the authority to grant or revoke </w:t>
                      </w:r>
                      <w:r>
                        <w:rPr>
                          <w:color w:val="000000"/>
                          <w:spacing w:val="-2"/>
                        </w:rPr>
                        <w:t>withdrawals.</w:t>
                      </w:r>
                    </w:p>
                  </w:txbxContent>
                </v:textbox>
                <v:fill type="solid"/>
              </v:shape>
            </w:pict>
          </mc:Fallback>
        </mc:AlternateContent>
      </w:r>
      <w:r>
        <w:rPr>
          <w:sz w:val="20"/>
        </w:rPr>
      </w:r>
    </w:p>
    <w:p>
      <w:pPr>
        <w:pStyle w:val="Heading4"/>
        <w:spacing w:before="225"/>
      </w:pPr>
      <w:bookmarkStart w:name="Desired Conditions" w:id="394"/>
      <w:bookmarkEnd w:id="394"/>
      <w:r>
        <w:rPr/>
      </w:r>
      <w:bookmarkStart w:name="_bookmark131" w:id="395"/>
      <w:bookmarkEnd w:id="395"/>
      <w:r>
        <w:rPr/>
      </w:r>
      <w:r>
        <w:rPr/>
        <w:t>Desired</w:t>
      </w:r>
      <w:r>
        <w:rPr>
          <w:spacing w:val="-4"/>
        </w:rPr>
        <w:t> </w:t>
      </w:r>
      <w:r>
        <w:rPr>
          <w:spacing w:val="-2"/>
        </w:rPr>
        <w:t>Conditions</w:t>
      </w:r>
    </w:p>
    <w:p>
      <w:pPr>
        <w:spacing w:before="239"/>
        <w:ind w:left="360" w:right="0" w:firstLine="0"/>
        <w:jc w:val="left"/>
        <w:rPr>
          <w:rFonts w:ascii="Arial"/>
          <w:i/>
          <w:sz w:val="22"/>
        </w:rPr>
      </w:pPr>
      <w:bookmarkStart w:name="FW-DC-LSU-01. Lands and Special Uses" w:id="396"/>
      <w:bookmarkEnd w:id="396"/>
      <w:r>
        <w:rPr/>
      </w:r>
      <w:r>
        <w:rPr>
          <w:rFonts w:ascii="Arial"/>
          <w:i/>
          <w:sz w:val="22"/>
        </w:rPr>
        <w:t>FW-DC-LSU-01.</w:t>
      </w:r>
      <w:r>
        <w:rPr>
          <w:rFonts w:ascii="Arial"/>
          <w:i/>
          <w:spacing w:val="-4"/>
          <w:sz w:val="22"/>
        </w:rPr>
        <w:t> </w:t>
      </w:r>
      <w:r>
        <w:rPr>
          <w:rFonts w:ascii="Arial"/>
          <w:i/>
          <w:sz w:val="22"/>
        </w:rPr>
        <w:t>Lands</w:t>
      </w:r>
      <w:r>
        <w:rPr>
          <w:rFonts w:ascii="Arial"/>
          <w:i/>
          <w:spacing w:val="-10"/>
          <w:sz w:val="22"/>
        </w:rPr>
        <w:t> </w:t>
      </w:r>
      <w:r>
        <w:rPr>
          <w:rFonts w:ascii="Arial"/>
          <w:i/>
          <w:sz w:val="22"/>
        </w:rPr>
        <w:t>and</w:t>
      </w:r>
      <w:r>
        <w:rPr>
          <w:rFonts w:ascii="Arial"/>
          <w:i/>
          <w:spacing w:val="-6"/>
          <w:sz w:val="22"/>
        </w:rPr>
        <w:t> </w:t>
      </w:r>
      <w:r>
        <w:rPr>
          <w:rFonts w:ascii="Arial"/>
          <w:i/>
          <w:sz w:val="22"/>
        </w:rPr>
        <w:t>Special</w:t>
      </w:r>
      <w:r>
        <w:rPr>
          <w:rFonts w:ascii="Arial"/>
          <w:i/>
          <w:spacing w:val="-5"/>
          <w:sz w:val="22"/>
        </w:rPr>
        <w:t> </w:t>
      </w:r>
      <w:r>
        <w:rPr>
          <w:rFonts w:ascii="Arial"/>
          <w:i/>
          <w:spacing w:val="-4"/>
          <w:sz w:val="22"/>
        </w:rPr>
        <w:t>Uses</w:t>
      </w:r>
    </w:p>
    <w:p>
      <w:pPr>
        <w:pStyle w:val="BodyText"/>
        <w:spacing w:line="232" w:lineRule="auto" w:before="65"/>
        <w:ind w:left="359" w:right="1445"/>
      </w:pPr>
      <w:r>
        <w:rPr/>
        <w:t>Achieve a land ownership pattern and right-of-way acquisition pattern that improves resource management</w:t>
      </w:r>
      <w:r>
        <w:rPr>
          <w:spacing w:val="-4"/>
        </w:rPr>
        <w:t> </w:t>
      </w:r>
      <w:r>
        <w:rPr/>
        <w:t>and</w:t>
      </w:r>
      <w:r>
        <w:rPr>
          <w:spacing w:val="-6"/>
        </w:rPr>
        <w:t> </w:t>
      </w:r>
      <w:r>
        <w:rPr/>
        <w:t>administration,</w:t>
      </w:r>
      <w:r>
        <w:rPr>
          <w:spacing w:val="-5"/>
        </w:rPr>
        <w:t> </w:t>
      </w:r>
      <w:r>
        <w:rPr/>
        <w:t>and</w:t>
      </w:r>
      <w:r>
        <w:rPr>
          <w:spacing w:val="-6"/>
        </w:rPr>
        <w:t> </w:t>
      </w:r>
      <w:r>
        <w:rPr/>
        <w:t>provide</w:t>
      </w:r>
      <w:r>
        <w:rPr>
          <w:spacing w:val="-7"/>
        </w:rPr>
        <w:t> </w:t>
      </w:r>
      <w:r>
        <w:rPr/>
        <w:t>for</w:t>
      </w:r>
      <w:r>
        <w:rPr>
          <w:spacing w:val="-5"/>
        </w:rPr>
        <w:t> </w:t>
      </w:r>
      <w:r>
        <w:rPr/>
        <w:t>uses</w:t>
      </w:r>
      <w:r>
        <w:rPr>
          <w:spacing w:val="-7"/>
        </w:rPr>
        <w:t> </w:t>
      </w:r>
      <w:r>
        <w:rPr/>
        <w:t>that</w:t>
      </w:r>
      <w:r>
        <w:rPr>
          <w:spacing w:val="-4"/>
        </w:rPr>
        <w:t> </w:t>
      </w:r>
      <w:r>
        <w:rPr/>
        <w:t>are</w:t>
      </w:r>
      <w:r>
        <w:rPr>
          <w:spacing w:val="-4"/>
        </w:rPr>
        <w:t> </w:t>
      </w:r>
      <w:r>
        <w:rPr/>
        <w:t>in</w:t>
      </w:r>
      <w:r>
        <w:rPr>
          <w:spacing w:val="-6"/>
        </w:rPr>
        <w:t> </w:t>
      </w:r>
      <w:r>
        <w:rPr/>
        <w:t>the</w:t>
      </w:r>
      <w:r>
        <w:rPr>
          <w:spacing w:val="-7"/>
        </w:rPr>
        <w:t> </w:t>
      </w:r>
      <w:r>
        <w:rPr/>
        <w:t>public</w:t>
      </w:r>
      <w:r>
        <w:rPr>
          <w:spacing w:val="-5"/>
        </w:rPr>
        <w:t> </w:t>
      </w:r>
      <w:r>
        <w:rPr/>
        <w:t>interest</w:t>
      </w:r>
      <w:r>
        <w:rPr>
          <w:spacing w:val="-4"/>
        </w:rPr>
        <w:t> </w:t>
      </w:r>
      <w:r>
        <w:rPr/>
        <w:t>and</w:t>
      </w:r>
      <w:r>
        <w:rPr>
          <w:spacing w:val="-6"/>
        </w:rPr>
        <w:t> </w:t>
      </w:r>
      <w:r>
        <w:rPr/>
        <w:t>cannot be provided on private land.</w:t>
      </w:r>
    </w:p>
    <w:p>
      <w:pPr>
        <w:spacing w:before="235"/>
        <w:ind w:left="359" w:right="0" w:firstLine="0"/>
        <w:jc w:val="left"/>
        <w:rPr>
          <w:rFonts w:ascii="Arial"/>
          <w:i/>
          <w:sz w:val="22"/>
        </w:rPr>
      </w:pPr>
      <w:bookmarkStart w:name="FW-DC-LSU-02. Authorization" w:id="397"/>
      <w:bookmarkEnd w:id="397"/>
      <w:r>
        <w:rPr/>
      </w:r>
      <w:r>
        <w:rPr>
          <w:rFonts w:ascii="Arial"/>
          <w:i/>
          <w:sz w:val="22"/>
        </w:rPr>
        <w:t>FW-DC-LSU-02.</w:t>
      </w:r>
      <w:r>
        <w:rPr>
          <w:rFonts w:ascii="Arial"/>
          <w:i/>
          <w:spacing w:val="-9"/>
          <w:sz w:val="22"/>
        </w:rPr>
        <w:t> </w:t>
      </w:r>
      <w:r>
        <w:rPr>
          <w:rFonts w:ascii="Arial"/>
          <w:i/>
          <w:spacing w:val="-2"/>
          <w:sz w:val="22"/>
        </w:rPr>
        <w:t>Authorization</w:t>
      </w:r>
    </w:p>
    <w:p>
      <w:pPr>
        <w:pStyle w:val="BodyText"/>
        <w:spacing w:before="59"/>
        <w:ind w:left="359"/>
      </w:pPr>
      <w:r>
        <w:rPr/>
        <w:t>All</w:t>
      </w:r>
      <w:r>
        <w:rPr>
          <w:spacing w:val="-8"/>
        </w:rPr>
        <w:t> </w:t>
      </w:r>
      <w:r>
        <w:rPr/>
        <w:t>occupancy</w:t>
      </w:r>
      <w:r>
        <w:rPr>
          <w:spacing w:val="-4"/>
        </w:rPr>
        <w:t> </w:t>
      </w:r>
      <w:r>
        <w:rPr/>
        <w:t>and</w:t>
      </w:r>
      <w:r>
        <w:rPr>
          <w:spacing w:val="-6"/>
        </w:rPr>
        <w:t> </w:t>
      </w:r>
      <w:r>
        <w:rPr/>
        <w:t>use</w:t>
      </w:r>
      <w:r>
        <w:rPr>
          <w:spacing w:val="-7"/>
        </w:rPr>
        <w:t> </w:t>
      </w:r>
      <w:r>
        <w:rPr/>
        <w:t>of</w:t>
      </w:r>
      <w:r>
        <w:rPr>
          <w:spacing w:val="-7"/>
        </w:rPr>
        <w:t> </w:t>
      </w:r>
      <w:r>
        <w:rPr/>
        <w:t>National</w:t>
      </w:r>
      <w:r>
        <w:rPr>
          <w:spacing w:val="-5"/>
        </w:rPr>
        <w:t> </w:t>
      </w:r>
      <w:r>
        <w:rPr/>
        <w:t>Forest</w:t>
      </w:r>
      <w:r>
        <w:rPr>
          <w:spacing w:val="-5"/>
        </w:rPr>
        <w:t> </w:t>
      </w:r>
      <w:r>
        <w:rPr/>
        <w:t>System</w:t>
      </w:r>
      <w:r>
        <w:rPr>
          <w:spacing w:val="-4"/>
        </w:rPr>
        <w:t> </w:t>
      </w:r>
      <w:r>
        <w:rPr/>
        <w:t>lands</w:t>
      </w:r>
      <w:r>
        <w:rPr>
          <w:spacing w:val="-7"/>
        </w:rPr>
        <w:t> </w:t>
      </w:r>
      <w:r>
        <w:rPr/>
        <w:t>is</w:t>
      </w:r>
      <w:r>
        <w:rPr>
          <w:spacing w:val="-5"/>
        </w:rPr>
        <w:t> </w:t>
      </w:r>
      <w:r>
        <w:rPr/>
        <w:t>properly</w:t>
      </w:r>
      <w:r>
        <w:rPr>
          <w:spacing w:val="-6"/>
        </w:rPr>
        <w:t> </w:t>
      </w:r>
      <w:r>
        <w:rPr>
          <w:spacing w:val="-2"/>
        </w:rPr>
        <w:t>authorized.</w:t>
      </w:r>
    </w:p>
    <w:p>
      <w:pPr>
        <w:spacing w:before="231"/>
        <w:ind w:left="359" w:right="0" w:firstLine="0"/>
        <w:jc w:val="left"/>
        <w:rPr>
          <w:rFonts w:ascii="Arial"/>
          <w:i/>
          <w:sz w:val="22"/>
        </w:rPr>
      </w:pPr>
      <w:bookmarkStart w:name="FW-DC-LSU-03. Utility Corridors and Comm" w:id="398"/>
      <w:bookmarkEnd w:id="398"/>
      <w:r>
        <w:rPr/>
      </w:r>
      <w:r>
        <w:rPr>
          <w:rFonts w:ascii="Arial"/>
          <w:i/>
          <w:sz w:val="22"/>
        </w:rPr>
        <w:t>FW-DC-LSU-03.</w:t>
      </w:r>
      <w:r>
        <w:rPr>
          <w:rFonts w:ascii="Arial"/>
          <w:i/>
          <w:spacing w:val="-9"/>
          <w:sz w:val="22"/>
        </w:rPr>
        <w:t> </w:t>
      </w:r>
      <w:r>
        <w:rPr>
          <w:rFonts w:ascii="Arial"/>
          <w:i/>
          <w:sz w:val="22"/>
        </w:rPr>
        <w:t>Utility</w:t>
      </w:r>
      <w:r>
        <w:rPr>
          <w:rFonts w:ascii="Arial"/>
          <w:i/>
          <w:spacing w:val="-8"/>
          <w:sz w:val="22"/>
        </w:rPr>
        <w:t> </w:t>
      </w:r>
      <w:r>
        <w:rPr>
          <w:rFonts w:ascii="Arial"/>
          <w:i/>
          <w:sz w:val="22"/>
        </w:rPr>
        <w:t>Corridors</w:t>
      </w:r>
      <w:r>
        <w:rPr>
          <w:rFonts w:ascii="Arial"/>
          <w:i/>
          <w:spacing w:val="-10"/>
          <w:sz w:val="22"/>
        </w:rPr>
        <w:t> </w:t>
      </w:r>
      <w:r>
        <w:rPr>
          <w:rFonts w:ascii="Arial"/>
          <w:i/>
          <w:sz w:val="22"/>
        </w:rPr>
        <w:t>and</w:t>
      </w:r>
      <w:r>
        <w:rPr>
          <w:rFonts w:ascii="Arial"/>
          <w:i/>
          <w:spacing w:val="-8"/>
          <w:sz w:val="22"/>
        </w:rPr>
        <w:t> </w:t>
      </w:r>
      <w:r>
        <w:rPr>
          <w:rFonts w:ascii="Arial"/>
          <w:i/>
          <w:sz w:val="22"/>
        </w:rPr>
        <w:t>Communication</w:t>
      </w:r>
      <w:r>
        <w:rPr>
          <w:rFonts w:ascii="Arial"/>
          <w:i/>
          <w:spacing w:val="-8"/>
          <w:sz w:val="22"/>
        </w:rPr>
        <w:t> </w:t>
      </w:r>
      <w:r>
        <w:rPr>
          <w:rFonts w:ascii="Arial"/>
          <w:i/>
          <w:spacing w:val="-2"/>
          <w:sz w:val="22"/>
        </w:rPr>
        <w:t>Sites</w:t>
      </w:r>
    </w:p>
    <w:p>
      <w:pPr>
        <w:pStyle w:val="BodyText"/>
        <w:spacing w:line="232" w:lineRule="auto" w:before="65"/>
        <w:ind w:left="359" w:right="1675"/>
      </w:pPr>
      <w:r>
        <w:rPr/>
        <w:t>Utility</w:t>
      </w:r>
      <w:r>
        <w:rPr>
          <w:spacing w:val="-4"/>
        </w:rPr>
        <w:t> </w:t>
      </w:r>
      <w:r>
        <w:rPr/>
        <w:t>corridors</w:t>
      </w:r>
      <w:r>
        <w:rPr>
          <w:spacing w:val="-5"/>
        </w:rPr>
        <w:t> </w:t>
      </w:r>
      <w:r>
        <w:rPr/>
        <w:t>and</w:t>
      </w:r>
      <w:r>
        <w:rPr>
          <w:spacing w:val="-6"/>
        </w:rPr>
        <w:t> </w:t>
      </w:r>
      <w:r>
        <w:rPr/>
        <w:t>communication</w:t>
      </w:r>
      <w:r>
        <w:rPr>
          <w:spacing w:val="-6"/>
        </w:rPr>
        <w:t> </w:t>
      </w:r>
      <w:r>
        <w:rPr/>
        <w:t>sites</w:t>
      </w:r>
      <w:r>
        <w:rPr>
          <w:spacing w:val="-5"/>
        </w:rPr>
        <w:t> </w:t>
      </w:r>
      <w:r>
        <w:rPr/>
        <w:t>are</w:t>
      </w:r>
      <w:r>
        <w:rPr>
          <w:spacing w:val="-4"/>
        </w:rPr>
        <w:t> </w:t>
      </w:r>
      <w:r>
        <w:rPr/>
        <w:t>used</w:t>
      </w:r>
      <w:r>
        <w:rPr>
          <w:spacing w:val="-6"/>
        </w:rPr>
        <w:t> </w:t>
      </w:r>
      <w:r>
        <w:rPr/>
        <w:t>and</w:t>
      </w:r>
      <w:r>
        <w:rPr>
          <w:spacing w:val="-6"/>
        </w:rPr>
        <w:t> </w:t>
      </w:r>
      <w:r>
        <w:rPr/>
        <w:t>maintained</w:t>
      </w:r>
      <w:r>
        <w:rPr>
          <w:spacing w:val="-5"/>
        </w:rPr>
        <w:t> </w:t>
      </w:r>
      <w:r>
        <w:rPr/>
        <w:t>for</w:t>
      </w:r>
      <w:r>
        <w:rPr>
          <w:spacing w:val="-8"/>
        </w:rPr>
        <w:t> </w:t>
      </w:r>
      <w:r>
        <w:rPr/>
        <w:t>operating</w:t>
      </w:r>
      <w:r>
        <w:rPr>
          <w:spacing w:val="-8"/>
        </w:rPr>
        <w:t> </w:t>
      </w:r>
      <w:r>
        <w:rPr/>
        <w:t>specialized infrastructure.</w:t>
      </w:r>
      <w:r>
        <w:rPr>
          <w:spacing w:val="-8"/>
        </w:rPr>
        <w:t> </w:t>
      </w:r>
      <w:r>
        <w:rPr/>
        <w:t>Utility</w:t>
      </w:r>
      <w:r>
        <w:rPr>
          <w:spacing w:val="-8"/>
        </w:rPr>
        <w:t> </w:t>
      </w:r>
      <w:r>
        <w:rPr/>
        <w:t>corridors</w:t>
      </w:r>
      <w:r>
        <w:rPr>
          <w:spacing w:val="-8"/>
        </w:rPr>
        <w:t> </w:t>
      </w:r>
      <w:r>
        <w:rPr/>
        <w:t>and</w:t>
      </w:r>
      <w:r>
        <w:rPr>
          <w:spacing w:val="-9"/>
        </w:rPr>
        <w:t> </w:t>
      </w:r>
      <w:r>
        <w:rPr/>
        <w:t>communication</w:t>
      </w:r>
      <w:r>
        <w:rPr>
          <w:spacing w:val="-11"/>
        </w:rPr>
        <w:t> </w:t>
      </w:r>
      <w:r>
        <w:rPr/>
        <w:t>sites</w:t>
      </w:r>
      <w:r>
        <w:rPr>
          <w:spacing w:val="-8"/>
        </w:rPr>
        <w:t> </w:t>
      </w:r>
      <w:r>
        <w:rPr/>
        <w:t>provide</w:t>
      </w:r>
      <w:r>
        <w:rPr>
          <w:spacing w:val="-8"/>
        </w:rPr>
        <w:t> </w:t>
      </w:r>
      <w:r>
        <w:rPr/>
        <w:t>for</w:t>
      </w:r>
      <w:r>
        <w:rPr>
          <w:spacing w:val="-8"/>
        </w:rPr>
        <w:t> </w:t>
      </w:r>
      <w:r>
        <w:rPr/>
        <w:t>the</w:t>
      </w:r>
      <w:r>
        <w:rPr>
          <w:spacing w:val="-8"/>
        </w:rPr>
        <w:t> </w:t>
      </w:r>
      <w:r>
        <w:rPr/>
        <w:t>efficient</w:t>
      </w:r>
      <w:r>
        <w:rPr>
          <w:spacing w:val="-10"/>
        </w:rPr>
        <w:t> </w:t>
      </w:r>
      <w:r>
        <w:rPr/>
        <w:t>movement and distribution of electricity, petroleum products, water, other lineal special uses, and communication signals across National Forest System lands. Communication sites are designated for</w:t>
      </w:r>
      <w:r>
        <w:rPr>
          <w:spacing w:val="-1"/>
        </w:rPr>
        <w:t> </w:t>
      </w:r>
      <w:r>
        <w:rPr/>
        <w:t>private,</w:t>
      </w:r>
      <w:r>
        <w:rPr>
          <w:spacing w:val="-1"/>
        </w:rPr>
        <w:t> </w:t>
      </w:r>
      <w:r>
        <w:rPr/>
        <w:t>administrative, and commercial use. Commercial</w:t>
      </w:r>
      <w:r>
        <w:rPr>
          <w:spacing w:val="-2"/>
        </w:rPr>
        <w:t> </w:t>
      </w:r>
      <w:r>
        <w:rPr/>
        <w:t>sites</w:t>
      </w:r>
      <w:r>
        <w:rPr>
          <w:spacing w:val="-1"/>
        </w:rPr>
        <w:t> </w:t>
      </w:r>
      <w:r>
        <w:rPr/>
        <w:t>are provided, within</w:t>
      </w:r>
      <w:r>
        <w:rPr>
          <w:spacing w:val="-7"/>
        </w:rPr>
        <w:t> </w:t>
      </w:r>
      <w:r>
        <w:rPr/>
        <w:t>the</w:t>
      </w:r>
      <w:r>
        <w:rPr>
          <w:spacing w:val="-8"/>
        </w:rPr>
        <w:t> </w:t>
      </w:r>
      <w:r>
        <w:rPr/>
        <w:t>ecosystem’s</w:t>
      </w:r>
      <w:r>
        <w:rPr>
          <w:spacing w:val="-8"/>
        </w:rPr>
        <w:t> </w:t>
      </w:r>
      <w:r>
        <w:rPr/>
        <w:t>capability,</w:t>
      </w:r>
      <w:r>
        <w:rPr>
          <w:spacing w:val="-6"/>
        </w:rPr>
        <w:t> </w:t>
      </w:r>
      <w:r>
        <w:rPr/>
        <w:t>where</w:t>
      </w:r>
      <w:r>
        <w:rPr>
          <w:spacing w:val="-8"/>
        </w:rPr>
        <w:t> </w:t>
      </w:r>
      <w:r>
        <w:rPr/>
        <w:t>essential</w:t>
      </w:r>
      <w:r>
        <w:rPr>
          <w:spacing w:val="-9"/>
        </w:rPr>
        <w:t> </w:t>
      </w:r>
      <w:r>
        <w:rPr/>
        <w:t>to</w:t>
      </w:r>
      <w:r>
        <w:rPr>
          <w:spacing w:val="-9"/>
        </w:rPr>
        <w:t> </w:t>
      </w:r>
      <w:r>
        <w:rPr/>
        <w:t>meet</w:t>
      </w:r>
      <w:r>
        <w:rPr>
          <w:spacing w:val="-8"/>
        </w:rPr>
        <w:t> </w:t>
      </w:r>
      <w:r>
        <w:rPr/>
        <w:t>a</w:t>
      </w:r>
      <w:r>
        <w:rPr>
          <w:spacing w:val="-6"/>
        </w:rPr>
        <w:t> </w:t>
      </w:r>
      <w:r>
        <w:rPr/>
        <w:t>demonstrated</w:t>
      </w:r>
      <w:r>
        <w:rPr>
          <w:spacing w:val="-9"/>
        </w:rPr>
        <w:t> </w:t>
      </w:r>
      <w:r>
        <w:rPr/>
        <w:t>public</w:t>
      </w:r>
      <w:r>
        <w:rPr>
          <w:spacing w:val="-6"/>
        </w:rPr>
        <w:t> </w:t>
      </w:r>
      <w:r>
        <w:rPr/>
        <w:t>need.</w:t>
      </w:r>
      <w:r>
        <w:rPr>
          <w:spacing w:val="-6"/>
        </w:rPr>
        <w:t> </w:t>
      </w:r>
      <w:r>
        <w:rPr/>
        <w:t>The Forest telecommunications system adequately supports Forest resource management.</w:t>
      </w:r>
    </w:p>
    <w:p>
      <w:pPr>
        <w:pStyle w:val="BodyText"/>
        <w:spacing w:line="232" w:lineRule="auto"/>
        <w:ind w:left="359" w:right="1073"/>
      </w:pPr>
      <w:r>
        <w:rPr/>
        <w:t>Designated</w:t>
      </w:r>
      <w:r>
        <w:rPr>
          <w:spacing w:val="-7"/>
        </w:rPr>
        <w:t> </w:t>
      </w:r>
      <w:r>
        <w:rPr/>
        <w:t>utility</w:t>
      </w:r>
      <w:r>
        <w:rPr>
          <w:spacing w:val="-7"/>
        </w:rPr>
        <w:t> </w:t>
      </w:r>
      <w:r>
        <w:rPr/>
        <w:t>corridors</w:t>
      </w:r>
      <w:r>
        <w:rPr>
          <w:spacing w:val="-8"/>
        </w:rPr>
        <w:t> </w:t>
      </w:r>
      <w:r>
        <w:rPr/>
        <w:t>and</w:t>
      </w:r>
      <w:r>
        <w:rPr>
          <w:spacing w:val="-7"/>
        </w:rPr>
        <w:t> </w:t>
      </w:r>
      <w:r>
        <w:rPr/>
        <w:t>communication</w:t>
      </w:r>
      <w:r>
        <w:rPr>
          <w:spacing w:val="-7"/>
        </w:rPr>
        <w:t> </w:t>
      </w:r>
      <w:r>
        <w:rPr/>
        <w:t>sites</w:t>
      </w:r>
      <w:r>
        <w:rPr>
          <w:spacing w:val="-8"/>
        </w:rPr>
        <w:t> </w:t>
      </w:r>
      <w:r>
        <w:rPr/>
        <w:t>would</w:t>
      </w:r>
      <w:r>
        <w:rPr>
          <w:spacing w:val="-7"/>
        </w:rPr>
        <w:t> </w:t>
      </w:r>
      <w:r>
        <w:rPr/>
        <w:t>be</w:t>
      </w:r>
      <w:r>
        <w:rPr>
          <w:spacing w:val="-5"/>
        </w:rPr>
        <w:t> </w:t>
      </w:r>
      <w:r>
        <w:rPr/>
        <w:t>developed</w:t>
      </w:r>
      <w:r>
        <w:rPr>
          <w:spacing w:val="-7"/>
        </w:rPr>
        <w:t> </w:t>
      </w:r>
      <w:r>
        <w:rPr/>
        <w:t>to</w:t>
      </w:r>
      <w:r>
        <w:rPr>
          <w:spacing w:val="-7"/>
        </w:rPr>
        <w:t> </w:t>
      </w:r>
      <w:r>
        <w:rPr/>
        <w:t>maximum</w:t>
      </w:r>
      <w:r>
        <w:rPr>
          <w:spacing w:val="-5"/>
        </w:rPr>
        <w:t> </w:t>
      </w:r>
      <w:r>
        <w:rPr/>
        <w:t>capacity before new corridors and communication sites are considered for development.</w:t>
      </w:r>
    </w:p>
    <w:p>
      <w:pPr>
        <w:pStyle w:val="BodyText"/>
        <w:spacing w:line="232" w:lineRule="auto" w:before="197"/>
        <w:ind w:left="359" w:right="1567"/>
      </w:pPr>
      <w:r>
        <w:rPr/>
        <w:t>Infrastructure</w:t>
      </w:r>
      <w:r>
        <w:rPr>
          <w:spacing w:val="-6"/>
        </w:rPr>
        <w:t> </w:t>
      </w:r>
      <w:r>
        <w:rPr/>
        <w:t>and</w:t>
      </w:r>
      <w:r>
        <w:rPr>
          <w:spacing w:val="-8"/>
        </w:rPr>
        <w:t> </w:t>
      </w:r>
      <w:r>
        <w:rPr/>
        <w:t>vegetation</w:t>
      </w:r>
      <w:r>
        <w:rPr>
          <w:spacing w:val="-8"/>
        </w:rPr>
        <w:t> </w:t>
      </w:r>
      <w:r>
        <w:rPr/>
        <w:t>within</w:t>
      </w:r>
      <w:r>
        <w:rPr>
          <w:spacing w:val="-10"/>
        </w:rPr>
        <w:t> </w:t>
      </w:r>
      <w:r>
        <w:rPr/>
        <w:t>energy</w:t>
      </w:r>
      <w:r>
        <w:rPr>
          <w:spacing w:val="-6"/>
        </w:rPr>
        <w:t> </w:t>
      </w:r>
      <w:r>
        <w:rPr/>
        <w:t>corridors</w:t>
      </w:r>
      <w:r>
        <w:rPr>
          <w:spacing w:val="-9"/>
        </w:rPr>
        <w:t> </w:t>
      </w:r>
      <w:r>
        <w:rPr/>
        <w:t>and</w:t>
      </w:r>
      <w:r>
        <w:rPr>
          <w:spacing w:val="-8"/>
        </w:rPr>
        <w:t> </w:t>
      </w:r>
      <w:r>
        <w:rPr/>
        <w:t>communication</w:t>
      </w:r>
      <w:r>
        <w:rPr>
          <w:spacing w:val="-8"/>
        </w:rPr>
        <w:t> </w:t>
      </w:r>
      <w:r>
        <w:rPr/>
        <w:t>sites</w:t>
      </w:r>
      <w:r>
        <w:rPr>
          <w:spacing w:val="-7"/>
        </w:rPr>
        <w:t> </w:t>
      </w:r>
      <w:r>
        <w:rPr/>
        <w:t>are</w:t>
      </w:r>
      <w:r>
        <w:rPr>
          <w:spacing w:val="-9"/>
        </w:rPr>
        <w:t> </w:t>
      </w:r>
      <w:r>
        <w:rPr/>
        <w:t>managed</w:t>
      </w:r>
      <w:r>
        <w:rPr>
          <w:spacing w:val="-8"/>
        </w:rPr>
        <w:t> </w:t>
      </w:r>
      <w:r>
        <w:rPr/>
        <w:t>to ensure operation of permitted uses blend with the surrounding desired vegetative pattern where possible to meet other resource objectives. Infrastructure and vegetation would be managed</w:t>
      </w:r>
      <w:r>
        <w:rPr>
          <w:spacing w:val="-7"/>
        </w:rPr>
        <w:t> </w:t>
      </w:r>
      <w:r>
        <w:rPr/>
        <w:t>to</w:t>
      </w:r>
      <w:r>
        <w:rPr>
          <w:spacing w:val="-5"/>
        </w:rPr>
        <w:t> </w:t>
      </w:r>
      <w:r>
        <w:rPr/>
        <w:t>improve</w:t>
      </w:r>
      <w:r>
        <w:rPr>
          <w:spacing w:val="-5"/>
        </w:rPr>
        <w:t> </w:t>
      </w:r>
      <w:r>
        <w:rPr/>
        <w:t>safety</w:t>
      </w:r>
      <w:r>
        <w:rPr>
          <w:spacing w:val="-7"/>
        </w:rPr>
        <w:t> </w:t>
      </w:r>
      <w:r>
        <w:rPr/>
        <w:t>and</w:t>
      </w:r>
      <w:r>
        <w:rPr>
          <w:spacing w:val="-7"/>
        </w:rPr>
        <w:t> </w:t>
      </w:r>
      <w:r>
        <w:rPr/>
        <w:t>resilience</w:t>
      </w:r>
      <w:r>
        <w:rPr>
          <w:spacing w:val="-5"/>
        </w:rPr>
        <w:t> </w:t>
      </w:r>
      <w:r>
        <w:rPr/>
        <w:t>to</w:t>
      </w:r>
      <w:r>
        <w:rPr>
          <w:spacing w:val="-7"/>
        </w:rPr>
        <w:t> </w:t>
      </w:r>
      <w:r>
        <w:rPr/>
        <w:t>wildland</w:t>
      </w:r>
      <w:r>
        <w:rPr>
          <w:spacing w:val="-7"/>
        </w:rPr>
        <w:t> </w:t>
      </w:r>
      <w:r>
        <w:rPr/>
        <w:t>fire,</w:t>
      </w:r>
      <w:r>
        <w:rPr>
          <w:spacing w:val="-6"/>
        </w:rPr>
        <w:t> </w:t>
      </w:r>
      <w:r>
        <w:rPr/>
        <w:t>provide</w:t>
      </w:r>
      <w:r>
        <w:rPr>
          <w:spacing w:val="-8"/>
        </w:rPr>
        <w:t> </w:t>
      </w:r>
      <w:r>
        <w:rPr/>
        <w:t>screening,</w:t>
      </w:r>
      <w:r>
        <w:rPr>
          <w:spacing w:val="-6"/>
        </w:rPr>
        <w:t> </w:t>
      </w:r>
      <w:r>
        <w:rPr/>
        <w:t>and</w:t>
      </w:r>
      <w:r>
        <w:rPr>
          <w:spacing w:val="-9"/>
        </w:rPr>
        <w:t> </w:t>
      </w:r>
      <w:r>
        <w:rPr/>
        <w:t>contribute</w:t>
      </w:r>
      <w:r>
        <w:rPr>
          <w:spacing w:val="-5"/>
        </w:rPr>
        <w:t> </w:t>
      </w:r>
      <w:r>
        <w:rPr/>
        <w:t>to a natural-appearing landscape character setting appropriate to the surrounding SIO. A map of these sites is included in appendix G.</w:t>
      </w:r>
    </w:p>
    <w:p>
      <w:pPr>
        <w:spacing w:before="231"/>
        <w:ind w:left="359" w:right="0" w:firstLine="0"/>
        <w:jc w:val="left"/>
        <w:rPr>
          <w:rFonts w:ascii="Arial"/>
          <w:i/>
          <w:sz w:val="22"/>
        </w:rPr>
      </w:pPr>
      <w:bookmarkStart w:name="FW-DC-LSU-04. Water Collection and Deliv" w:id="399"/>
      <w:bookmarkEnd w:id="399"/>
      <w:r>
        <w:rPr/>
      </w:r>
      <w:r>
        <w:rPr>
          <w:rFonts w:ascii="Arial"/>
          <w:i/>
          <w:sz w:val="22"/>
        </w:rPr>
        <w:t>FW-DC-LSU-04.</w:t>
      </w:r>
      <w:r>
        <w:rPr>
          <w:rFonts w:ascii="Arial"/>
          <w:i/>
          <w:spacing w:val="-8"/>
          <w:sz w:val="22"/>
        </w:rPr>
        <w:t> </w:t>
      </w:r>
      <w:r>
        <w:rPr>
          <w:rFonts w:ascii="Arial"/>
          <w:i/>
          <w:sz w:val="22"/>
        </w:rPr>
        <w:t>Water</w:t>
      </w:r>
      <w:r>
        <w:rPr>
          <w:rFonts w:ascii="Arial"/>
          <w:i/>
          <w:spacing w:val="-8"/>
          <w:sz w:val="22"/>
        </w:rPr>
        <w:t> </w:t>
      </w:r>
      <w:r>
        <w:rPr>
          <w:rFonts w:ascii="Arial"/>
          <w:i/>
          <w:sz w:val="22"/>
        </w:rPr>
        <w:t>Collection</w:t>
      </w:r>
      <w:r>
        <w:rPr>
          <w:rFonts w:ascii="Arial"/>
          <w:i/>
          <w:spacing w:val="-7"/>
          <w:sz w:val="22"/>
        </w:rPr>
        <w:t> </w:t>
      </w:r>
      <w:r>
        <w:rPr>
          <w:rFonts w:ascii="Arial"/>
          <w:i/>
          <w:sz w:val="22"/>
        </w:rPr>
        <w:t>and</w:t>
      </w:r>
      <w:r>
        <w:rPr>
          <w:rFonts w:ascii="Arial"/>
          <w:i/>
          <w:spacing w:val="-7"/>
          <w:sz w:val="22"/>
        </w:rPr>
        <w:t> </w:t>
      </w:r>
      <w:r>
        <w:rPr>
          <w:rFonts w:ascii="Arial"/>
          <w:i/>
          <w:sz w:val="22"/>
        </w:rPr>
        <w:t>Delivery</w:t>
      </w:r>
      <w:r>
        <w:rPr>
          <w:rFonts w:ascii="Arial"/>
          <w:i/>
          <w:spacing w:val="-8"/>
          <w:sz w:val="22"/>
        </w:rPr>
        <w:t> </w:t>
      </w:r>
      <w:r>
        <w:rPr>
          <w:rFonts w:ascii="Arial"/>
          <w:i/>
          <w:spacing w:val="-2"/>
          <w:sz w:val="22"/>
        </w:rPr>
        <w:t>Systems</w:t>
      </w:r>
    </w:p>
    <w:p>
      <w:pPr>
        <w:pStyle w:val="BodyText"/>
        <w:spacing w:line="232" w:lineRule="auto" w:before="65"/>
        <w:ind w:left="359" w:right="1445"/>
      </w:pPr>
      <w:r>
        <w:rPr/>
        <w:t>Existing</w:t>
      </w:r>
      <w:r>
        <w:rPr>
          <w:spacing w:val="-7"/>
        </w:rPr>
        <w:t> </w:t>
      </w:r>
      <w:r>
        <w:rPr/>
        <w:t>water</w:t>
      </w:r>
      <w:r>
        <w:rPr>
          <w:spacing w:val="-6"/>
        </w:rPr>
        <w:t> </w:t>
      </w:r>
      <w:r>
        <w:rPr/>
        <w:t>diversions</w:t>
      </w:r>
      <w:r>
        <w:rPr>
          <w:spacing w:val="-8"/>
        </w:rPr>
        <w:t> </w:t>
      </w:r>
      <w:r>
        <w:rPr/>
        <w:t>or</w:t>
      </w:r>
      <w:r>
        <w:rPr>
          <w:spacing w:val="-8"/>
        </w:rPr>
        <w:t> </w:t>
      </w:r>
      <w:r>
        <w:rPr/>
        <w:t>developments</w:t>
      </w:r>
      <w:r>
        <w:rPr>
          <w:spacing w:val="-6"/>
        </w:rPr>
        <w:t> </w:t>
      </w:r>
      <w:r>
        <w:rPr/>
        <w:t>do</w:t>
      </w:r>
      <w:r>
        <w:rPr>
          <w:spacing w:val="-7"/>
        </w:rPr>
        <w:t> </w:t>
      </w:r>
      <w:r>
        <w:rPr/>
        <w:t>not</w:t>
      </w:r>
      <w:r>
        <w:rPr>
          <w:spacing w:val="-8"/>
        </w:rPr>
        <w:t> </w:t>
      </w:r>
      <w:r>
        <w:rPr/>
        <w:t>measurably</w:t>
      </w:r>
      <w:r>
        <w:rPr>
          <w:spacing w:val="-5"/>
        </w:rPr>
        <w:t> </w:t>
      </w:r>
      <w:r>
        <w:rPr/>
        <w:t>alter</w:t>
      </w:r>
      <w:r>
        <w:rPr>
          <w:spacing w:val="-8"/>
        </w:rPr>
        <w:t> </w:t>
      </w:r>
      <w:r>
        <w:rPr/>
        <w:t>natural</w:t>
      </w:r>
      <w:r>
        <w:rPr>
          <w:spacing w:val="-6"/>
        </w:rPr>
        <w:t> </w:t>
      </w:r>
      <w:r>
        <w:rPr/>
        <w:t>processes</w:t>
      </w:r>
      <w:r>
        <w:rPr>
          <w:spacing w:val="-8"/>
        </w:rPr>
        <w:t> </w:t>
      </w:r>
      <w:r>
        <w:rPr/>
        <w:t>of</w:t>
      </w:r>
      <w:r>
        <w:rPr>
          <w:spacing w:val="-6"/>
        </w:rPr>
        <w:t> </w:t>
      </w:r>
      <w:r>
        <w:rPr/>
        <w:t>aquatic ecosystems. Effects to other resources are minimized by incorporation of best management practices and other resource protection measures. New water developments, diversions, or allowance for occupancy to divert water from National Forest System lands generally do not occur in wetlands and their water source areas, and are discouraged in habitats where endangered, threatened, or species of concern reside.</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DC-LSU-05. Recreation Special Uses" w:id="400"/>
      <w:bookmarkEnd w:id="400"/>
      <w:r>
        <w:rPr/>
      </w:r>
      <w:r>
        <w:rPr>
          <w:rFonts w:ascii="Arial"/>
          <w:i/>
          <w:sz w:val="22"/>
        </w:rPr>
        <w:t>FW-DC-LSU-05.</w:t>
      </w:r>
      <w:r>
        <w:rPr>
          <w:rFonts w:ascii="Arial"/>
          <w:i/>
          <w:spacing w:val="-9"/>
          <w:sz w:val="22"/>
        </w:rPr>
        <w:t> </w:t>
      </w:r>
      <w:r>
        <w:rPr>
          <w:rFonts w:ascii="Arial"/>
          <w:i/>
          <w:sz w:val="22"/>
        </w:rPr>
        <w:t>Recreation</w:t>
      </w:r>
      <w:r>
        <w:rPr>
          <w:rFonts w:ascii="Arial"/>
          <w:i/>
          <w:spacing w:val="-10"/>
          <w:sz w:val="22"/>
        </w:rPr>
        <w:t> </w:t>
      </w:r>
      <w:r>
        <w:rPr>
          <w:rFonts w:ascii="Arial"/>
          <w:i/>
          <w:sz w:val="22"/>
        </w:rPr>
        <w:t>Special</w:t>
      </w:r>
      <w:r>
        <w:rPr>
          <w:rFonts w:ascii="Arial"/>
          <w:i/>
          <w:spacing w:val="-9"/>
          <w:sz w:val="22"/>
        </w:rPr>
        <w:t> </w:t>
      </w:r>
      <w:r>
        <w:rPr>
          <w:rFonts w:ascii="Arial"/>
          <w:i/>
          <w:spacing w:val="-4"/>
          <w:sz w:val="22"/>
        </w:rPr>
        <w:t>Uses</w:t>
      </w:r>
    </w:p>
    <w:p>
      <w:pPr>
        <w:pStyle w:val="BodyText"/>
        <w:spacing w:line="232" w:lineRule="auto" w:before="65"/>
        <w:ind w:left="1151" w:right="801"/>
      </w:pPr>
      <w:r>
        <w:rPr/>
        <w:t>Approved recreation special use authorizations support activities that enhance or expand the variety of recreational opportunities available on the Forest, are compliant with the Forest’s recreation</w:t>
      </w:r>
      <w:r>
        <w:rPr>
          <w:spacing w:val="-7"/>
        </w:rPr>
        <w:t> </w:t>
      </w:r>
      <w:r>
        <w:rPr/>
        <w:t>strategy,</w:t>
      </w:r>
      <w:r>
        <w:rPr>
          <w:spacing w:val="-7"/>
        </w:rPr>
        <w:t> </w:t>
      </w:r>
      <w:r>
        <w:rPr/>
        <w:t>and</w:t>
      </w:r>
      <w:r>
        <w:rPr>
          <w:spacing w:val="-6"/>
        </w:rPr>
        <w:t> </w:t>
      </w:r>
      <w:r>
        <w:rPr/>
        <w:t>are</w:t>
      </w:r>
      <w:r>
        <w:rPr>
          <w:spacing w:val="-7"/>
        </w:rPr>
        <w:t> </w:t>
      </w:r>
      <w:r>
        <w:rPr/>
        <w:t>dependent</w:t>
      </w:r>
      <w:r>
        <w:rPr>
          <w:spacing w:val="-7"/>
        </w:rPr>
        <w:t> </w:t>
      </w:r>
      <w:r>
        <w:rPr/>
        <w:t>on</w:t>
      </w:r>
      <w:r>
        <w:rPr>
          <w:spacing w:val="-6"/>
        </w:rPr>
        <w:t> </w:t>
      </w:r>
      <w:r>
        <w:rPr/>
        <w:t>the</w:t>
      </w:r>
      <w:r>
        <w:rPr>
          <w:spacing w:val="-7"/>
        </w:rPr>
        <w:t> </w:t>
      </w:r>
      <w:r>
        <w:rPr/>
        <w:t>resources</w:t>
      </w:r>
      <w:r>
        <w:rPr>
          <w:spacing w:val="-5"/>
        </w:rPr>
        <w:t> </w:t>
      </w:r>
      <w:r>
        <w:rPr/>
        <w:t>and</w:t>
      </w:r>
      <w:r>
        <w:rPr>
          <w:spacing w:val="-6"/>
        </w:rPr>
        <w:t> </w:t>
      </w:r>
      <w:r>
        <w:rPr/>
        <w:t>settings</w:t>
      </w:r>
      <w:r>
        <w:rPr>
          <w:spacing w:val="-5"/>
        </w:rPr>
        <w:t> </w:t>
      </w:r>
      <w:r>
        <w:rPr/>
        <w:t>found</w:t>
      </w:r>
      <w:r>
        <w:rPr>
          <w:spacing w:val="-7"/>
        </w:rPr>
        <w:t> </w:t>
      </w:r>
      <w:r>
        <w:rPr/>
        <w:t>within</w:t>
      </w:r>
      <w:r>
        <w:rPr>
          <w:spacing w:val="-6"/>
        </w:rPr>
        <w:t> </w:t>
      </w:r>
      <w:r>
        <w:rPr/>
        <w:t>the</w:t>
      </w:r>
      <w:r>
        <w:rPr>
          <w:spacing w:val="-4"/>
        </w:rPr>
        <w:t> </w:t>
      </w:r>
      <w:r>
        <w:rPr/>
        <w:t>Forest’s boundary.</w:t>
      </w:r>
      <w:r>
        <w:rPr>
          <w:spacing w:val="-6"/>
        </w:rPr>
        <w:t> </w:t>
      </w:r>
      <w:r>
        <w:rPr/>
        <w:t>National</w:t>
      </w:r>
      <w:r>
        <w:rPr>
          <w:spacing w:val="-6"/>
        </w:rPr>
        <w:t> </w:t>
      </w:r>
      <w:r>
        <w:rPr/>
        <w:t>Forest</w:t>
      </w:r>
      <w:r>
        <w:rPr>
          <w:spacing w:val="-5"/>
        </w:rPr>
        <w:t> </w:t>
      </w:r>
      <w:r>
        <w:rPr/>
        <w:t>lands</w:t>
      </w:r>
      <w:r>
        <w:rPr>
          <w:spacing w:val="-5"/>
        </w:rPr>
        <w:t> </w:t>
      </w:r>
      <w:r>
        <w:rPr/>
        <w:t>where</w:t>
      </w:r>
      <w:r>
        <w:rPr>
          <w:spacing w:val="-5"/>
        </w:rPr>
        <w:t> </w:t>
      </w:r>
      <w:r>
        <w:rPr/>
        <w:t>special</w:t>
      </w:r>
      <w:r>
        <w:rPr>
          <w:spacing w:val="-9"/>
        </w:rPr>
        <w:t> </w:t>
      </w:r>
      <w:r>
        <w:rPr/>
        <w:t>use</w:t>
      </w:r>
      <w:r>
        <w:rPr>
          <w:spacing w:val="-5"/>
        </w:rPr>
        <w:t> </w:t>
      </w:r>
      <w:r>
        <w:rPr/>
        <w:t>activities</w:t>
      </w:r>
      <w:r>
        <w:rPr>
          <w:spacing w:val="-8"/>
        </w:rPr>
        <w:t> </w:t>
      </w:r>
      <w:r>
        <w:rPr/>
        <w:t>have</w:t>
      </w:r>
      <w:r>
        <w:rPr>
          <w:spacing w:val="-8"/>
        </w:rPr>
        <w:t> </w:t>
      </w:r>
      <w:r>
        <w:rPr/>
        <w:t>occurred</w:t>
      </w:r>
      <w:r>
        <w:rPr>
          <w:spacing w:val="-7"/>
        </w:rPr>
        <w:t> </w:t>
      </w:r>
      <w:r>
        <w:rPr/>
        <w:t>show</w:t>
      </w:r>
      <w:r>
        <w:rPr>
          <w:spacing w:val="-8"/>
        </w:rPr>
        <w:t> </w:t>
      </w:r>
      <w:r>
        <w:rPr/>
        <w:t>little</w:t>
      </w:r>
      <w:r>
        <w:rPr>
          <w:spacing w:val="-8"/>
        </w:rPr>
        <w:t> </w:t>
      </w:r>
      <w:r>
        <w:rPr/>
        <w:t>evidence of impacts.</w:t>
      </w:r>
    </w:p>
    <w:p>
      <w:pPr>
        <w:spacing w:before="233"/>
        <w:ind w:left="1151" w:right="0" w:firstLine="0"/>
        <w:jc w:val="left"/>
        <w:rPr>
          <w:rFonts w:ascii="Arial"/>
          <w:i/>
          <w:sz w:val="22"/>
        </w:rPr>
      </w:pPr>
      <w:bookmarkStart w:name="FW-DC-LSU-06. Withdrawals" w:id="401"/>
      <w:bookmarkEnd w:id="401"/>
      <w:r>
        <w:rPr/>
      </w:r>
      <w:r>
        <w:rPr>
          <w:rFonts w:ascii="Arial"/>
          <w:i/>
          <w:sz w:val="22"/>
        </w:rPr>
        <w:t>FW-DC-LSU-06.</w:t>
      </w:r>
      <w:r>
        <w:rPr>
          <w:rFonts w:ascii="Arial"/>
          <w:i/>
          <w:spacing w:val="-11"/>
          <w:sz w:val="22"/>
        </w:rPr>
        <w:t> </w:t>
      </w:r>
      <w:r>
        <w:rPr>
          <w:rFonts w:ascii="Arial"/>
          <w:i/>
          <w:spacing w:val="-2"/>
          <w:sz w:val="22"/>
        </w:rPr>
        <w:t>Withdrawals</w:t>
      </w:r>
    </w:p>
    <w:p>
      <w:pPr>
        <w:pStyle w:val="BodyText"/>
        <w:spacing w:line="232" w:lineRule="auto" w:before="64"/>
        <w:ind w:left="1151" w:right="801"/>
      </w:pPr>
      <w:r>
        <w:rPr/>
        <w:t>The Forest submits applications for withdrawals from the mining laws, after appropriate level NEPA decisions have been made, and where the Forest determines mineral potential is high enough</w:t>
      </w:r>
      <w:r>
        <w:rPr>
          <w:spacing w:val="-7"/>
        </w:rPr>
        <w:t> </w:t>
      </w:r>
      <w:r>
        <w:rPr/>
        <w:t>that</w:t>
      </w:r>
      <w:r>
        <w:rPr>
          <w:spacing w:val="-8"/>
        </w:rPr>
        <w:t> </w:t>
      </w:r>
      <w:r>
        <w:rPr/>
        <w:t>withdrawal</w:t>
      </w:r>
      <w:r>
        <w:rPr>
          <w:spacing w:val="-6"/>
        </w:rPr>
        <w:t> </w:t>
      </w:r>
      <w:r>
        <w:rPr/>
        <w:t>is</w:t>
      </w:r>
      <w:r>
        <w:rPr>
          <w:spacing w:val="-10"/>
        </w:rPr>
        <w:t> </w:t>
      </w:r>
      <w:r>
        <w:rPr/>
        <w:t>appropriate</w:t>
      </w:r>
      <w:r>
        <w:rPr>
          <w:spacing w:val="-8"/>
        </w:rPr>
        <w:t> </w:t>
      </w:r>
      <w:r>
        <w:rPr/>
        <w:t>and</w:t>
      </w:r>
      <w:r>
        <w:rPr>
          <w:spacing w:val="-7"/>
        </w:rPr>
        <w:t> </w:t>
      </w:r>
      <w:r>
        <w:rPr/>
        <w:t>necessary</w:t>
      </w:r>
      <w:r>
        <w:rPr>
          <w:spacing w:val="-7"/>
        </w:rPr>
        <w:t> </w:t>
      </w:r>
      <w:r>
        <w:rPr/>
        <w:t>to</w:t>
      </w:r>
      <w:r>
        <w:rPr>
          <w:spacing w:val="-5"/>
        </w:rPr>
        <w:t> </w:t>
      </w:r>
      <w:r>
        <w:rPr/>
        <w:t>protect</w:t>
      </w:r>
      <w:r>
        <w:rPr>
          <w:spacing w:val="-8"/>
        </w:rPr>
        <w:t> </w:t>
      </w:r>
      <w:r>
        <w:rPr/>
        <w:t>capital</w:t>
      </w:r>
      <w:r>
        <w:rPr>
          <w:spacing w:val="-6"/>
        </w:rPr>
        <w:t> </w:t>
      </w:r>
      <w:r>
        <w:rPr/>
        <w:t>investment</w:t>
      </w:r>
      <w:r>
        <w:rPr>
          <w:spacing w:val="-5"/>
        </w:rPr>
        <w:t> </w:t>
      </w:r>
      <w:r>
        <w:rPr/>
        <w:t>or</w:t>
      </w:r>
      <w:r>
        <w:rPr>
          <w:spacing w:val="-6"/>
        </w:rPr>
        <w:t> </w:t>
      </w:r>
      <w:r>
        <w:rPr/>
        <w:t>sensitive resource values. The Forest requests revocation of withdrawals when the lands are no longer needed for the purpose or programs intended for by the original withdrawal.</w:t>
      </w:r>
    </w:p>
    <w:p>
      <w:pPr>
        <w:pStyle w:val="Heading4"/>
        <w:spacing w:before="233"/>
        <w:ind w:left="1151"/>
      </w:pPr>
      <w:bookmarkStart w:name="Standards" w:id="402"/>
      <w:bookmarkEnd w:id="402"/>
      <w:r>
        <w:rPr/>
      </w:r>
      <w:bookmarkStart w:name="_bookmark132" w:id="403"/>
      <w:bookmarkEnd w:id="403"/>
      <w:r>
        <w:rPr/>
      </w:r>
      <w:r>
        <w:rPr>
          <w:spacing w:val="-2"/>
        </w:rPr>
        <w:t>Standards</w:t>
      </w:r>
    </w:p>
    <w:p>
      <w:pPr>
        <w:spacing w:before="240"/>
        <w:ind w:left="1151" w:right="0" w:firstLine="0"/>
        <w:jc w:val="left"/>
        <w:rPr>
          <w:rFonts w:ascii="Arial"/>
          <w:i/>
          <w:sz w:val="22"/>
        </w:rPr>
      </w:pPr>
      <w:bookmarkStart w:name="FW-STD-LSU-01. Land Acquisition, Conveya" w:id="404"/>
      <w:bookmarkEnd w:id="404"/>
      <w:r>
        <w:rPr/>
      </w:r>
      <w:r>
        <w:rPr>
          <w:rFonts w:ascii="Arial"/>
          <w:i/>
          <w:sz w:val="22"/>
        </w:rPr>
        <w:t>FW-STD-LSU-01.</w:t>
      </w:r>
      <w:r>
        <w:rPr>
          <w:rFonts w:ascii="Arial"/>
          <w:i/>
          <w:spacing w:val="-8"/>
          <w:sz w:val="22"/>
        </w:rPr>
        <w:t> </w:t>
      </w:r>
      <w:r>
        <w:rPr>
          <w:rFonts w:ascii="Arial"/>
          <w:i/>
          <w:sz w:val="22"/>
        </w:rPr>
        <w:t>Land</w:t>
      </w:r>
      <w:r>
        <w:rPr>
          <w:rFonts w:ascii="Arial"/>
          <w:i/>
          <w:spacing w:val="-11"/>
          <w:sz w:val="22"/>
        </w:rPr>
        <w:t> </w:t>
      </w:r>
      <w:r>
        <w:rPr>
          <w:rFonts w:ascii="Arial"/>
          <w:i/>
          <w:sz w:val="22"/>
        </w:rPr>
        <w:t>Acquisition,</w:t>
      </w:r>
      <w:r>
        <w:rPr>
          <w:rFonts w:ascii="Arial"/>
          <w:i/>
          <w:spacing w:val="-6"/>
          <w:sz w:val="22"/>
        </w:rPr>
        <w:t> </w:t>
      </w:r>
      <w:r>
        <w:rPr>
          <w:rFonts w:ascii="Arial"/>
          <w:i/>
          <w:sz w:val="22"/>
        </w:rPr>
        <w:t>Conveyance,</w:t>
      </w:r>
      <w:r>
        <w:rPr>
          <w:rFonts w:ascii="Arial"/>
          <w:i/>
          <w:spacing w:val="-5"/>
          <w:sz w:val="22"/>
        </w:rPr>
        <w:t> </w:t>
      </w:r>
      <w:r>
        <w:rPr>
          <w:rFonts w:ascii="Arial"/>
          <w:i/>
          <w:sz w:val="22"/>
        </w:rPr>
        <w:t>and</w:t>
      </w:r>
      <w:r>
        <w:rPr>
          <w:rFonts w:ascii="Arial"/>
          <w:i/>
          <w:spacing w:val="-9"/>
          <w:sz w:val="22"/>
        </w:rPr>
        <w:t> </w:t>
      </w:r>
      <w:r>
        <w:rPr>
          <w:rFonts w:ascii="Arial"/>
          <w:i/>
          <w:spacing w:val="-2"/>
          <w:sz w:val="22"/>
        </w:rPr>
        <w:t>Exchange</w:t>
      </w:r>
    </w:p>
    <w:p>
      <w:pPr>
        <w:pStyle w:val="BodyText"/>
        <w:spacing w:line="232" w:lineRule="auto" w:before="67"/>
        <w:ind w:left="1152" w:right="846"/>
      </w:pPr>
      <w:r>
        <w:rPr/>
        <w:t>The</w:t>
      </w:r>
      <w:r>
        <w:rPr>
          <w:spacing w:val="-6"/>
        </w:rPr>
        <w:t> </w:t>
      </w:r>
      <w:r>
        <w:rPr/>
        <w:t>Forest</w:t>
      </w:r>
      <w:r>
        <w:rPr>
          <w:spacing w:val="-6"/>
        </w:rPr>
        <w:t> </w:t>
      </w:r>
      <w:r>
        <w:rPr/>
        <w:t>has</w:t>
      </w:r>
      <w:r>
        <w:rPr>
          <w:spacing w:val="-7"/>
        </w:rPr>
        <w:t> </w:t>
      </w:r>
      <w:r>
        <w:rPr/>
        <w:t>a</w:t>
      </w:r>
      <w:r>
        <w:rPr>
          <w:spacing w:val="-9"/>
        </w:rPr>
        <w:t> </w:t>
      </w:r>
      <w:r>
        <w:rPr/>
        <w:t>consolidated</w:t>
      </w:r>
      <w:r>
        <w:rPr>
          <w:spacing w:val="-8"/>
        </w:rPr>
        <w:t> </w:t>
      </w:r>
      <w:r>
        <w:rPr/>
        <w:t>land</w:t>
      </w:r>
      <w:r>
        <w:rPr>
          <w:spacing w:val="-10"/>
        </w:rPr>
        <w:t> </w:t>
      </w:r>
      <w:r>
        <w:rPr/>
        <w:t>ownership</w:t>
      </w:r>
      <w:r>
        <w:rPr>
          <w:spacing w:val="-8"/>
        </w:rPr>
        <w:t> </w:t>
      </w:r>
      <w:r>
        <w:rPr/>
        <w:t>pattern</w:t>
      </w:r>
      <w:r>
        <w:rPr>
          <w:spacing w:val="-10"/>
        </w:rPr>
        <w:t> </w:t>
      </w:r>
      <w:r>
        <w:rPr/>
        <w:t>that</w:t>
      </w:r>
      <w:r>
        <w:rPr>
          <w:spacing w:val="-6"/>
        </w:rPr>
        <w:t> </w:t>
      </w:r>
      <w:r>
        <w:rPr/>
        <w:t>contributes</w:t>
      </w:r>
      <w:r>
        <w:rPr>
          <w:spacing w:val="-7"/>
        </w:rPr>
        <w:t> </w:t>
      </w:r>
      <w:r>
        <w:rPr/>
        <w:t>to</w:t>
      </w:r>
      <w:r>
        <w:rPr>
          <w:spacing w:val="-8"/>
        </w:rPr>
        <w:t> </w:t>
      </w:r>
      <w:r>
        <w:rPr/>
        <w:t>ecosystem</w:t>
      </w:r>
      <w:r>
        <w:rPr>
          <w:spacing w:val="-8"/>
        </w:rPr>
        <w:t> </w:t>
      </w:r>
      <w:r>
        <w:rPr/>
        <w:t>resilience, allows reasonable public and/or Forest Service administrative access where suitable, and improves</w:t>
      </w:r>
      <w:r>
        <w:rPr>
          <w:spacing w:val="-3"/>
        </w:rPr>
        <w:t> </w:t>
      </w:r>
      <w:r>
        <w:rPr/>
        <w:t>land</w:t>
      </w:r>
      <w:r>
        <w:rPr>
          <w:spacing w:val="-6"/>
        </w:rPr>
        <w:t> </w:t>
      </w:r>
      <w:r>
        <w:rPr/>
        <w:t>management</w:t>
      </w:r>
      <w:r>
        <w:rPr>
          <w:spacing w:val="-2"/>
        </w:rPr>
        <w:t> </w:t>
      </w:r>
      <w:r>
        <w:rPr/>
        <w:t>efficiencies.</w:t>
      </w:r>
      <w:r>
        <w:rPr>
          <w:spacing w:val="-3"/>
        </w:rPr>
        <w:t> </w:t>
      </w:r>
      <w:r>
        <w:rPr/>
        <w:t>There</w:t>
      </w:r>
      <w:r>
        <w:rPr>
          <w:spacing w:val="-2"/>
        </w:rPr>
        <w:t> </w:t>
      </w:r>
      <w:r>
        <w:rPr/>
        <w:t>is</w:t>
      </w:r>
      <w:r>
        <w:rPr>
          <w:spacing w:val="-3"/>
        </w:rPr>
        <w:t> </w:t>
      </w:r>
      <w:r>
        <w:rPr/>
        <w:t>a</w:t>
      </w:r>
      <w:r>
        <w:rPr>
          <w:spacing w:val="-3"/>
        </w:rPr>
        <w:t> </w:t>
      </w:r>
      <w:r>
        <w:rPr/>
        <w:t>downward</w:t>
      </w:r>
      <w:r>
        <w:rPr>
          <w:spacing w:val="-4"/>
        </w:rPr>
        <w:t> </w:t>
      </w:r>
      <w:r>
        <w:rPr/>
        <w:t>trend</w:t>
      </w:r>
      <w:r>
        <w:rPr>
          <w:spacing w:val="-4"/>
        </w:rPr>
        <w:t> </w:t>
      </w:r>
      <w:r>
        <w:rPr/>
        <w:t>in</w:t>
      </w:r>
      <w:r>
        <w:rPr>
          <w:spacing w:val="-4"/>
        </w:rPr>
        <w:t> </w:t>
      </w:r>
      <w:r>
        <w:rPr/>
        <w:t>the</w:t>
      </w:r>
      <w:r>
        <w:rPr>
          <w:spacing w:val="-5"/>
        </w:rPr>
        <w:t> </w:t>
      </w:r>
      <w:r>
        <w:rPr/>
        <w:t>number</w:t>
      </w:r>
      <w:r>
        <w:rPr>
          <w:spacing w:val="-3"/>
        </w:rPr>
        <w:t> </w:t>
      </w:r>
      <w:r>
        <w:rPr/>
        <w:t>of</w:t>
      </w:r>
      <w:r>
        <w:rPr>
          <w:spacing w:val="-5"/>
        </w:rPr>
        <w:t> </w:t>
      </w:r>
      <w:r>
        <w:rPr/>
        <w:t>isolated, non-Federal inholdings that occur within the proclaimed Forest boundaries. Congressionally designated areas lack private inholdings.</w:t>
      </w:r>
    </w:p>
    <w:p>
      <w:pPr>
        <w:spacing w:before="233"/>
        <w:ind w:left="1152" w:right="0" w:firstLine="0"/>
        <w:jc w:val="left"/>
        <w:rPr>
          <w:rFonts w:ascii="Arial"/>
          <w:i/>
          <w:sz w:val="22"/>
        </w:rPr>
      </w:pPr>
      <w:bookmarkStart w:name="FW-STD-LSU-02. Boundary Management" w:id="405"/>
      <w:bookmarkEnd w:id="405"/>
      <w:r>
        <w:rPr/>
      </w:r>
      <w:r>
        <w:rPr>
          <w:rFonts w:ascii="Arial"/>
          <w:i/>
          <w:sz w:val="22"/>
        </w:rPr>
        <w:t>FW-STD-LSU-02.</w:t>
      </w:r>
      <w:r>
        <w:rPr>
          <w:rFonts w:ascii="Arial"/>
          <w:i/>
          <w:spacing w:val="-9"/>
          <w:sz w:val="22"/>
        </w:rPr>
        <w:t> </w:t>
      </w:r>
      <w:r>
        <w:rPr>
          <w:rFonts w:ascii="Arial"/>
          <w:i/>
          <w:sz w:val="22"/>
        </w:rPr>
        <w:t>Boundary</w:t>
      </w:r>
      <w:r>
        <w:rPr>
          <w:rFonts w:ascii="Arial"/>
          <w:i/>
          <w:spacing w:val="-8"/>
          <w:sz w:val="22"/>
        </w:rPr>
        <w:t> </w:t>
      </w:r>
      <w:r>
        <w:rPr>
          <w:rFonts w:ascii="Arial"/>
          <w:i/>
          <w:spacing w:val="-2"/>
          <w:sz w:val="22"/>
        </w:rPr>
        <w:t>Management</w:t>
      </w:r>
    </w:p>
    <w:p>
      <w:pPr>
        <w:pStyle w:val="BodyText"/>
        <w:spacing w:line="232" w:lineRule="auto" w:before="65"/>
        <w:ind w:left="1152" w:right="1073"/>
      </w:pPr>
      <w:r>
        <w:rPr/>
        <w:t>Boundaries are surveyed, posted, and maintained for visibility in support of all resource management</w:t>
      </w:r>
      <w:r>
        <w:rPr>
          <w:spacing w:val="-8"/>
        </w:rPr>
        <w:t> </w:t>
      </w:r>
      <w:r>
        <w:rPr/>
        <w:t>activities.</w:t>
      </w:r>
      <w:r>
        <w:rPr>
          <w:spacing w:val="-9"/>
        </w:rPr>
        <w:t> </w:t>
      </w:r>
      <w:r>
        <w:rPr/>
        <w:t>Identifiable</w:t>
      </w:r>
      <w:r>
        <w:rPr>
          <w:spacing w:val="-8"/>
        </w:rPr>
        <w:t> </w:t>
      </w:r>
      <w:r>
        <w:rPr/>
        <w:t>boundaries</w:t>
      </w:r>
      <w:r>
        <w:rPr>
          <w:spacing w:val="-9"/>
        </w:rPr>
        <w:t> </w:t>
      </w:r>
      <w:r>
        <w:rPr/>
        <w:t>and</w:t>
      </w:r>
      <w:r>
        <w:rPr>
          <w:spacing w:val="-10"/>
        </w:rPr>
        <w:t> </w:t>
      </w:r>
      <w:r>
        <w:rPr/>
        <w:t>accurate</w:t>
      </w:r>
      <w:r>
        <w:rPr>
          <w:spacing w:val="-8"/>
        </w:rPr>
        <w:t> </w:t>
      </w:r>
      <w:r>
        <w:rPr/>
        <w:t>landownership</w:t>
      </w:r>
      <w:r>
        <w:rPr>
          <w:spacing w:val="-10"/>
        </w:rPr>
        <w:t> </w:t>
      </w:r>
      <w:r>
        <w:rPr/>
        <w:t>records</w:t>
      </w:r>
      <w:r>
        <w:rPr>
          <w:spacing w:val="-9"/>
        </w:rPr>
        <w:t> </w:t>
      </w:r>
      <w:r>
        <w:rPr/>
        <w:t>protect National Forest System lands and reduce unauthorized use and occupancy.</w:t>
      </w:r>
    </w:p>
    <w:p>
      <w:pPr>
        <w:spacing w:before="233"/>
        <w:ind w:left="1151" w:right="0" w:firstLine="0"/>
        <w:jc w:val="left"/>
        <w:rPr>
          <w:rFonts w:ascii="Arial"/>
          <w:i/>
          <w:sz w:val="22"/>
        </w:rPr>
      </w:pPr>
      <w:bookmarkStart w:name="FW-STD-LSU-03. Administration of Authori" w:id="406"/>
      <w:bookmarkEnd w:id="406"/>
      <w:r>
        <w:rPr/>
      </w:r>
      <w:r>
        <w:rPr>
          <w:rFonts w:ascii="Arial"/>
          <w:i/>
          <w:sz w:val="22"/>
        </w:rPr>
        <w:t>FW-STD-LSU-03.</w:t>
      </w:r>
      <w:r>
        <w:rPr>
          <w:rFonts w:ascii="Arial"/>
          <w:i/>
          <w:spacing w:val="-8"/>
          <w:sz w:val="22"/>
        </w:rPr>
        <w:t> </w:t>
      </w:r>
      <w:r>
        <w:rPr>
          <w:rFonts w:ascii="Arial"/>
          <w:i/>
          <w:sz w:val="22"/>
        </w:rPr>
        <w:t>Administration</w:t>
      </w:r>
      <w:r>
        <w:rPr>
          <w:rFonts w:ascii="Arial"/>
          <w:i/>
          <w:spacing w:val="-9"/>
          <w:sz w:val="22"/>
        </w:rPr>
        <w:t> </w:t>
      </w:r>
      <w:r>
        <w:rPr>
          <w:rFonts w:ascii="Arial"/>
          <w:i/>
          <w:sz w:val="22"/>
        </w:rPr>
        <w:t>of</w:t>
      </w:r>
      <w:r>
        <w:rPr>
          <w:rFonts w:ascii="Arial"/>
          <w:i/>
          <w:spacing w:val="-8"/>
          <w:sz w:val="22"/>
        </w:rPr>
        <w:t> </w:t>
      </w:r>
      <w:r>
        <w:rPr>
          <w:rFonts w:ascii="Arial"/>
          <w:i/>
          <w:sz w:val="22"/>
        </w:rPr>
        <w:t>Authorizations,</w:t>
      </w:r>
      <w:r>
        <w:rPr>
          <w:rFonts w:ascii="Arial"/>
          <w:i/>
          <w:spacing w:val="-6"/>
          <w:sz w:val="22"/>
        </w:rPr>
        <w:t> </w:t>
      </w:r>
      <w:r>
        <w:rPr>
          <w:rFonts w:ascii="Arial"/>
          <w:i/>
          <w:sz w:val="22"/>
        </w:rPr>
        <w:t>Trespass</w:t>
      </w:r>
      <w:r>
        <w:rPr>
          <w:rFonts w:ascii="Arial"/>
          <w:i/>
          <w:spacing w:val="-9"/>
          <w:sz w:val="22"/>
        </w:rPr>
        <w:t> </w:t>
      </w:r>
      <w:r>
        <w:rPr>
          <w:rFonts w:ascii="Arial"/>
          <w:i/>
          <w:sz w:val="22"/>
        </w:rPr>
        <w:t>and</w:t>
      </w:r>
      <w:r>
        <w:rPr>
          <w:rFonts w:ascii="Arial"/>
          <w:i/>
          <w:spacing w:val="-7"/>
          <w:sz w:val="22"/>
        </w:rPr>
        <w:t> </w:t>
      </w:r>
      <w:r>
        <w:rPr>
          <w:rFonts w:ascii="Arial"/>
          <w:i/>
          <w:spacing w:val="-2"/>
          <w:sz w:val="22"/>
        </w:rPr>
        <w:t>Encroachments</w:t>
      </w:r>
    </w:p>
    <w:p>
      <w:pPr>
        <w:pStyle w:val="BodyText"/>
        <w:spacing w:line="232" w:lineRule="auto" w:before="64"/>
        <w:ind w:left="1151" w:right="742"/>
      </w:pPr>
      <w:r>
        <w:rPr/>
        <w:t>Authorizations</w:t>
      </w:r>
      <w:r>
        <w:rPr>
          <w:spacing w:val="-10"/>
        </w:rPr>
        <w:t> </w:t>
      </w:r>
      <w:r>
        <w:rPr/>
        <w:t>are</w:t>
      </w:r>
      <w:r>
        <w:rPr>
          <w:spacing w:val="-9"/>
        </w:rPr>
        <w:t> </w:t>
      </w:r>
      <w:r>
        <w:rPr/>
        <w:t>administered</w:t>
      </w:r>
      <w:r>
        <w:rPr>
          <w:spacing w:val="-12"/>
        </w:rPr>
        <w:t> </w:t>
      </w:r>
      <w:r>
        <w:rPr/>
        <w:t>to</w:t>
      </w:r>
      <w:r>
        <w:rPr>
          <w:spacing w:val="-11"/>
        </w:rPr>
        <w:t> </w:t>
      </w:r>
      <w:r>
        <w:rPr/>
        <w:t>standard.</w:t>
      </w:r>
      <w:r>
        <w:rPr>
          <w:spacing w:val="-10"/>
        </w:rPr>
        <w:t> </w:t>
      </w:r>
      <w:r>
        <w:rPr/>
        <w:t>Trespass</w:t>
      </w:r>
      <w:r>
        <w:rPr>
          <w:spacing w:val="-11"/>
        </w:rPr>
        <w:t> </w:t>
      </w:r>
      <w:r>
        <w:rPr/>
        <w:t>and</w:t>
      </w:r>
      <w:r>
        <w:rPr>
          <w:spacing w:val="-11"/>
        </w:rPr>
        <w:t> </w:t>
      </w:r>
      <w:r>
        <w:rPr/>
        <w:t>encroachments</w:t>
      </w:r>
      <w:r>
        <w:rPr>
          <w:spacing w:val="-11"/>
        </w:rPr>
        <w:t> </w:t>
      </w:r>
      <w:r>
        <w:rPr/>
        <w:t>onto</w:t>
      </w:r>
      <w:r>
        <w:rPr>
          <w:spacing w:val="-11"/>
        </w:rPr>
        <w:t> </w:t>
      </w:r>
      <w:r>
        <w:rPr/>
        <w:t>National</w:t>
      </w:r>
      <w:r>
        <w:rPr>
          <w:spacing w:val="-10"/>
        </w:rPr>
        <w:t> </w:t>
      </w:r>
      <w:r>
        <w:rPr/>
        <w:t>Forest System lands are identified and prioritized for removal.</w:t>
      </w:r>
    </w:p>
    <w:p>
      <w:pPr>
        <w:spacing w:before="234"/>
        <w:ind w:left="1151" w:right="0" w:firstLine="0"/>
        <w:jc w:val="left"/>
        <w:rPr>
          <w:rFonts w:ascii="Arial"/>
          <w:i/>
          <w:sz w:val="22"/>
        </w:rPr>
      </w:pPr>
      <w:bookmarkStart w:name="FW-STD-LSU-04. Communication Site Plans" w:id="407"/>
      <w:bookmarkEnd w:id="407"/>
      <w:r>
        <w:rPr/>
      </w:r>
      <w:r>
        <w:rPr>
          <w:rFonts w:ascii="Arial"/>
          <w:i/>
          <w:sz w:val="22"/>
        </w:rPr>
        <w:t>FW-STD-LSU-04.</w:t>
      </w:r>
      <w:r>
        <w:rPr>
          <w:rFonts w:ascii="Arial"/>
          <w:i/>
          <w:spacing w:val="-8"/>
          <w:sz w:val="22"/>
        </w:rPr>
        <w:t> </w:t>
      </w:r>
      <w:r>
        <w:rPr>
          <w:rFonts w:ascii="Arial"/>
          <w:i/>
          <w:sz w:val="22"/>
        </w:rPr>
        <w:t>Communication</w:t>
      </w:r>
      <w:r>
        <w:rPr>
          <w:rFonts w:ascii="Arial"/>
          <w:i/>
          <w:spacing w:val="-9"/>
          <w:sz w:val="22"/>
        </w:rPr>
        <w:t> </w:t>
      </w:r>
      <w:r>
        <w:rPr>
          <w:rFonts w:ascii="Arial"/>
          <w:i/>
          <w:sz w:val="22"/>
        </w:rPr>
        <w:t>Site</w:t>
      </w:r>
      <w:r>
        <w:rPr>
          <w:rFonts w:ascii="Arial"/>
          <w:i/>
          <w:spacing w:val="-9"/>
          <w:sz w:val="22"/>
        </w:rPr>
        <w:t> </w:t>
      </w:r>
      <w:r>
        <w:rPr>
          <w:rFonts w:ascii="Arial"/>
          <w:i/>
          <w:spacing w:val="-2"/>
          <w:sz w:val="22"/>
        </w:rPr>
        <w:t>Plans</w:t>
      </w:r>
    </w:p>
    <w:p>
      <w:pPr>
        <w:pStyle w:val="BodyText"/>
        <w:spacing w:line="232" w:lineRule="auto" w:before="65"/>
        <w:ind w:left="1150" w:right="1073"/>
      </w:pPr>
      <w:r>
        <w:rPr/>
        <w:t>Each</w:t>
      </w:r>
      <w:r>
        <w:rPr>
          <w:spacing w:val="-7"/>
        </w:rPr>
        <w:t> </w:t>
      </w:r>
      <w:r>
        <w:rPr/>
        <w:t>commercial</w:t>
      </w:r>
      <w:r>
        <w:rPr>
          <w:spacing w:val="-9"/>
        </w:rPr>
        <w:t> </w:t>
      </w:r>
      <w:r>
        <w:rPr/>
        <w:t>communication</w:t>
      </w:r>
      <w:r>
        <w:rPr>
          <w:spacing w:val="-7"/>
        </w:rPr>
        <w:t> </w:t>
      </w:r>
      <w:r>
        <w:rPr/>
        <w:t>site</w:t>
      </w:r>
      <w:r>
        <w:rPr>
          <w:spacing w:val="-5"/>
        </w:rPr>
        <w:t> </w:t>
      </w:r>
      <w:r>
        <w:rPr/>
        <w:t>is</w:t>
      </w:r>
      <w:r>
        <w:rPr>
          <w:spacing w:val="-8"/>
        </w:rPr>
        <w:t> </w:t>
      </w:r>
      <w:r>
        <w:rPr/>
        <w:t>operated</w:t>
      </w:r>
      <w:r>
        <w:rPr>
          <w:spacing w:val="-7"/>
        </w:rPr>
        <w:t> </w:t>
      </w:r>
      <w:r>
        <w:rPr/>
        <w:t>and</w:t>
      </w:r>
      <w:r>
        <w:rPr>
          <w:spacing w:val="-9"/>
        </w:rPr>
        <w:t> </w:t>
      </w:r>
      <w:r>
        <w:rPr/>
        <w:t>maintained</w:t>
      </w:r>
      <w:r>
        <w:rPr>
          <w:spacing w:val="-6"/>
        </w:rPr>
        <w:t> </w:t>
      </w:r>
      <w:r>
        <w:rPr/>
        <w:t>under</w:t>
      </w:r>
      <w:r>
        <w:rPr>
          <w:spacing w:val="-8"/>
        </w:rPr>
        <w:t> </w:t>
      </w:r>
      <w:r>
        <w:rPr/>
        <w:t>an</w:t>
      </w:r>
      <w:r>
        <w:rPr>
          <w:spacing w:val="-7"/>
        </w:rPr>
        <w:t> </w:t>
      </w:r>
      <w:r>
        <w:rPr/>
        <w:t>approved Communication Site Plan, and designated low-power, non-broadcast.</w:t>
      </w:r>
    </w:p>
    <w:p>
      <w:pPr>
        <w:spacing w:before="234"/>
        <w:ind w:left="1150" w:right="0" w:firstLine="0"/>
        <w:jc w:val="left"/>
        <w:rPr>
          <w:rFonts w:ascii="Arial"/>
          <w:i/>
          <w:sz w:val="22"/>
        </w:rPr>
      </w:pPr>
      <w:bookmarkStart w:name="FW-STD-LSU-05. Utility and Communication" w:id="408"/>
      <w:bookmarkEnd w:id="408"/>
      <w:r>
        <w:rPr/>
      </w:r>
      <w:r>
        <w:rPr>
          <w:rFonts w:ascii="Arial"/>
          <w:i/>
          <w:sz w:val="22"/>
        </w:rPr>
        <w:t>FW-STD-LSU-05.</w:t>
      </w:r>
      <w:r>
        <w:rPr>
          <w:rFonts w:ascii="Arial"/>
          <w:i/>
          <w:spacing w:val="-7"/>
          <w:sz w:val="22"/>
        </w:rPr>
        <w:t> </w:t>
      </w:r>
      <w:r>
        <w:rPr>
          <w:rFonts w:ascii="Arial"/>
          <w:i/>
          <w:sz w:val="22"/>
        </w:rPr>
        <w:t>Utility</w:t>
      </w:r>
      <w:r>
        <w:rPr>
          <w:rFonts w:ascii="Arial"/>
          <w:i/>
          <w:spacing w:val="-10"/>
          <w:sz w:val="22"/>
        </w:rPr>
        <w:t> </w:t>
      </w:r>
      <w:r>
        <w:rPr>
          <w:rFonts w:ascii="Arial"/>
          <w:i/>
          <w:sz w:val="22"/>
        </w:rPr>
        <w:t>and</w:t>
      </w:r>
      <w:r>
        <w:rPr>
          <w:rFonts w:ascii="Arial"/>
          <w:i/>
          <w:spacing w:val="-9"/>
          <w:sz w:val="22"/>
        </w:rPr>
        <w:t> </w:t>
      </w:r>
      <w:r>
        <w:rPr>
          <w:rFonts w:ascii="Arial"/>
          <w:i/>
          <w:sz w:val="22"/>
        </w:rPr>
        <w:t>Communications</w:t>
      </w:r>
      <w:r>
        <w:rPr>
          <w:rFonts w:ascii="Arial"/>
          <w:i/>
          <w:spacing w:val="-7"/>
          <w:sz w:val="22"/>
        </w:rPr>
        <w:t> </w:t>
      </w:r>
      <w:r>
        <w:rPr>
          <w:rFonts w:ascii="Arial"/>
          <w:i/>
          <w:spacing w:val="-2"/>
          <w:sz w:val="22"/>
        </w:rPr>
        <w:t>Structures</w:t>
      </w:r>
    </w:p>
    <w:p>
      <w:pPr>
        <w:pStyle w:val="BodyText"/>
        <w:spacing w:line="232" w:lineRule="auto" w:before="65"/>
        <w:ind w:left="1150" w:right="801"/>
      </w:pPr>
      <w:r>
        <w:rPr/>
        <w:t>New</w:t>
      </w:r>
      <w:r>
        <w:rPr>
          <w:spacing w:val="-7"/>
        </w:rPr>
        <w:t> </w:t>
      </w:r>
      <w:r>
        <w:rPr/>
        <w:t>structures</w:t>
      </w:r>
      <w:r>
        <w:rPr>
          <w:spacing w:val="-7"/>
        </w:rPr>
        <w:t> </w:t>
      </w:r>
      <w:r>
        <w:rPr/>
        <w:t>will</w:t>
      </w:r>
      <w:r>
        <w:rPr>
          <w:spacing w:val="-5"/>
        </w:rPr>
        <w:t> </w:t>
      </w:r>
      <w:r>
        <w:rPr/>
        <w:t>be</w:t>
      </w:r>
      <w:r>
        <w:rPr>
          <w:spacing w:val="-4"/>
        </w:rPr>
        <w:t> </w:t>
      </w:r>
      <w:r>
        <w:rPr/>
        <w:t>designed</w:t>
      </w:r>
      <w:r>
        <w:rPr>
          <w:spacing w:val="-6"/>
        </w:rPr>
        <w:t> </w:t>
      </w:r>
      <w:r>
        <w:rPr/>
        <w:t>to</w:t>
      </w:r>
      <w:r>
        <w:rPr>
          <w:spacing w:val="-6"/>
        </w:rPr>
        <w:t> </w:t>
      </w:r>
      <w:r>
        <w:rPr/>
        <w:t>meet</w:t>
      </w:r>
      <w:r>
        <w:rPr>
          <w:spacing w:val="-4"/>
        </w:rPr>
        <w:t> </w:t>
      </w:r>
      <w:r>
        <w:rPr/>
        <w:t>prescribed</w:t>
      </w:r>
      <w:r>
        <w:rPr>
          <w:spacing w:val="-6"/>
        </w:rPr>
        <w:t> </w:t>
      </w:r>
      <w:r>
        <w:rPr/>
        <w:t>SIOs.</w:t>
      </w:r>
      <w:r>
        <w:rPr>
          <w:spacing w:val="-5"/>
        </w:rPr>
        <w:t> </w:t>
      </w:r>
      <w:r>
        <w:rPr/>
        <w:t>Efforts</w:t>
      </w:r>
      <w:r>
        <w:rPr>
          <w:spacing w:val="-5"/>
        </w:rPr>
        <w:t> </w:t>
      </w:r>
      <w:r>
        <w:rPr/>
        <w:t>will</w:t>
      </w:r>
      <w:r>
        <w:rPr>
          <w:spacing w:val="-8"/>
        </w:rPr>
        <w:t> </w:t>
      </w:r>
      <w:r>
        <w:rPr/>
        <w:t>be</w:t>
      </w:r>
      <w:r>
        <w:rPr>
          <w:spacing w:val="-7"/>
        </w:rPr>
        <w:t> </w:t>
      </w:r>
      <w:r>
        <w:rPr/>
        <w:t>made</w:t>
      </w:r>
      <w:r>
        <w:rPr>
          <w:spacing w:val="-7"/>
        </w:rPr>
        <w:t> </w:t>
      </w:r>
      <w:r>
        <w:rPr/>
        <w:t>to</w:t>
      </w:r>
      <w:r>
        <w:rPr>
          <w:spacing w:val="-8"/>
        </w:rPr>
        <w:t> </w:t>
      </w:r>
      <w:r>
        <w:rPr/>
        <w:t>rehabilitate existing structures that do not currently meet SIOs.</w:t>
      </w:r>
    </w:p>
    <w:p>
      <w:pPr>
        <w:spacing w:before="234"/>
        <w:ind w:left="1150" w:right="0" w:firstLine="0"/>
        <w:jc w:val="left"/>
        <w:rPr>
          <w:rFonts w:ascii="Arial"/>
          <w:i/>
          <w:sz w:val="22"/>
        </w:rPr>
      </w:pPr>
      <w:bookmarkStart w:name="FW-STD-LSU-06. Commercial Services in Wi" w:id="409"/>
      <w:bookmarkEnd w:id="409"/>
      <w:r>
        <w:rPr/>
      </w:r>
      <w:r>
        <w:rPr>
          <w:rFonts w:ascii="Arial"/>
          <w:i/>
          <w:sz w:val="22"/>
        </w:rPr>
        <w:t>FW-STD-LSU-06.</w:t>
      </w:r>
      <w:r>
        <w:rPr>
          <w:rFonts w:ascii="Arial"/>
          <w:i/>
          <w:spacing w:val="-6"/>
          <w:sz w:val="22"/>
        </w:rPr>
        <w:t> </w:t>
      </w:r>
      <w:r>
        <w:rPr>
          <w:rFonts w:ascii="Arial"/>
          <w:i/>
          <w:sz w:val="22"/>
        </w:rPr>
        <w:t>Commercial</w:t>
      </w:r>
      <w:r>
        <w:rPr>
          <w:rFonts w:ascii="Arial"/>
          <w:i/>
          <w:spacing w:val="-8"/>
          <w:sz w:val="22"/>
        </w:rPr>
        <w:t> </w:t>
      </w:r>
      <w:r>
        <w:rPr>
          <w:rFonts w:ascii="Arial"/>
          <w:i/>
          <w:sz w:val="22"/>
        </w:rPr>
        <w:t>Services</w:t>
      </w:r>
      <w:r>
        <w:rPr>
          <w:rFonts w:ascii="Arial"/>
          <w:i/>
          <w:spacing w:val="-6"/>
          <w:sz w:val="22"/>
        </w:rPr>
        <w:t> </w:t>
      </w:r>
      <w:r>
        <w:rPr>
          <w:rFonts w:ascii="Arial"/>
          <w:i/>
          <w:sz w:val="22"/>
        </w:rPr>
        <w:t>in</w:t>
      </w:r>
      <w:r>
        <w:rPr>
          <w:rFonts w:ascii="Arial"/>
          <w:i/>
          <w:spacing w:val="-11"/>
          <w:sz w:val="22"/>
        </w:rPr>
        <w:t> </w:t>
      </w:r>
      <w:r>
        <w:rPr>
          <w:rFonts w:ascii="Arial"/>
          <w:i/>
          <w:spacing w:val="-2"/>
          <w:sz w:val="22"/>
        </w:rPr>
        <w:t>Wilderness</w:t>
      </w:r>
    </w:p>
    <w:p>
      <w:pPr>
        <w:pStyle w:val="BodyText"/>
        <w:spacing w:line="232" w:lineRule="auto" w:before="65"/>
        <w:ind w:left="1150" w:right="1073"/>
      </w:pPr>
      <w:r>
        <w:rPr/>
        <w:t>When</w:t>
      </w:r>
      <w:r>
        <w:rPr>
          <w:spacing w:val="-6"/>
        </w:rPr>
        <w:t> </w:t>
      </w:r>
      <w:r>
        <w:rPr/>
        <w:t>authorizing</w:t>
      </w:r>
      <w:r>
        <w:rPr>
          <w:spacing w:val="-6"/>
        </w:rPr>
        <w:t> </w:t>
      </w:r>
      <w:r>
        <w:rPr/>
        <w:t>services</w:t>
      </w:r>
      <w:r>
        <w:rPr>
          <w:spacing w:val="-9"/>
        </w:rPr>
        <w:t> </w:t>
      </w:r>
      <w:r>
        <w:rPr/>
        <w:t>that</w:t>
      </w:r>
      <w:r>
        <w:rPr>
          <w:spacing w:val="-4"/>
        </w:rPr>
        <w:t> </w:t>
      </w:r>
      <w:r>
        <w:rPr/>
        <w:t>have</w:t>
      </w:r>
      <w:r>
        <w:rPr>
          <w:spacing w:val="-4"/>
        </w:rPr>
        <w:t> </w:t>
      </w:r>
      <w:r>
        <w:rPr/>
        <w:t>been</w:t>
      </w:r>
      <w:r>
        <w:rPr>
          <w:spacing w:val="-6"/>
        </w:rPr>
        <w:t> </w:t>
      </w:r>
      <w:r>
        <w:rPr/>
        <w:t>determined</w:t>
      </w:r>
      <w:r>
        <w:rPr>
          <w:spacing w:val="-7"/>
        </w:rPr>
        <w:t> </w:t>
      </w:r>
      <w:r>
        <w:rPr/>
        <w:t>necessary</w:t>
      </w:r>
      <w:r>
        <w:rPr>
          <w:spacing w:val="-4"/>
        </w:rPr>
        <w:t> </w:t>
      </w:r>
      <w:r>
        <w:rPr/>
        <w:t>for</w:t>
      </w:r>
      <w:r>
        <w:rPr>
          <w:spacing w:val="-5"/>
        </w:rPr>
        <w:t> </w:t>
      </w:r>
      <w:r>
        <w:rPr/>
        <w:t>wilderness</w:t>
      </w:r>
      <w:r>
        <w:rPr>
          <w:spacing w:val="-5"/>
        </w:rPr>
        <w:t> </w:t>
      </w:r>
      <w:r>
        <w:rPr/>
        <w:t>purposes ensure that:</w:t>
      </w:r>
    </w:p>
    <w:p>
      <w:pPr>
        <w:pStyle w:val="ListParagraph"/>
        <w:numPr>
          <w:ilvl w:val="0"/>
          <w:numId w:val="14"/>
        </w:numPr>
        <w:tabs>
          <w:tab w:pos="1692" w:val="left" w:leader="none"/>
        </w:tabs>
        <w:spacing w:line="232" w:lineRule="auto" w:before="198" w:after="0"/>
        <w:ind w:left="1692" w:right="1205" w:hanging="360"/>
        <w:jc w:val="left"/>
        <w:rPr>
          <w:sz w:val="22"/>
        </w:rPr>
      </w:pPr>
      <w:r>
        <w:rPr>
          <w:sz w:val="22"/>
        </w:rPr>
        <w:t>the</w:t>
      </w:r>
      <w:r>
        <w:rPr>
          <w:spacing w:val="-4"/>
          <w:sz w:val="22"/>
        </w:rPr>
        <w:t> </w:t>
      </w:r>
      <w:r>
        <w:rPr>
          <w:sz w:val="22"/>
        </w:rPr>
        <w:t>service</w:t>
      </w:r>
      <w:r>
        <w:rPr>
          <w:spacing w:val="-4"/>
          <w:sz w:val="22"/>
        </w:rPr>
        <w:t> </w:t>
      </w:r>
      <w:r>
        <w:rPr>
          <w:sz w:val="22"/>
        </w:rPr>
        <w:t>provides</w:t>
      </w:r>
      <w:r>
        <w:rPr>
          <w:spacing w:val="-7"/>
          <w:sz w:val="22"/>
        </w:rPr>
        <w:t> </w:t>
      </w:r>
      <w:r>
        <w:rPr>
          <w:sz w:val="22"/>
        </w:rPr>
        <w:t>appropriate</w:t>
      </w:r>
      <w:r>
        <w:rPr>
          <w:spacing w:val="-4"/>
          <w:sz w:val="22"/>
        </w:rPr>
        <w:t> </w:t>
      </w:r>
      <w:r>
        <w:rPr>
          <w:sz w:val="22"/>
        </w:rPr>
        <w:t>wilderness</w:t>
      </w:r>
      <w:r>
        <w:rPr>
          <w:spacing w:val="-5"/>
          <w:sz w:val="22"/>
        </w:rPr>
        <w:t> </w:t>
      </w:r>
      <w:r>
        <w:rPr>
          <w:sz w:val="22"/>
        </w:rPr>
        <w:t>activities</w:t>
      </w:r>
      <w:r>
        <w:rPr>
          <w:spacing w:val="-7"/>
          <w:sz w:val="22"/>
        </w:rPr>
        <w:t> </w:t>
      </w:r>
      <w:r>
        <w:rPr>
          <w:sz w:val="22"/>
        </w:rPr>
        <w:t>such</w:t>
      </w:r>
      <w:r>
        <w:rPr>
          <w:spacing w:val="-6"/>
          <w:sz w:val="22"/>
        </w:rPr>
        <w:t> </w:t>
      </w:r>
      <w:r>
        <w:rPr>
          <w:sz w:val="22"/>
        </w:rPr>
        <w:t>as</w:t>
      </w:r>
      <w:r>
        <w:rPr>
          <w:spacing w:val="-5"/>
          <w:sz w:val="22"/>
        </w:rPr>
        <w:t> </w:t>
      </w:r>
      <w:r>
        <w:rPr>
          <w:sz w:val="22"/>
        </w:rPr>
        <w:t>stock</w:t>
      </w:r>
      <w:r>
        <w:rPr>
          <w:spacing w:val="-7"/>
          <w:sz w:val="22"/>
        </w:rPr>
        <w:t> </w:t>
      </w:r>
      <w:r>
        <w:rPr>
          <w:sz w:val="22"/>
        </w:rPr>
        <w:t>packing,</w:t>
      </w:r>
      <w:r>
        <w:rPr>
          <w:spacing w:val="-5"/>
          <w:sz w:val="22"/>
        </w:rPr>
        <w:t> </w:t>
      </w:r>
      <w:r>
        <w:rPr>
          <w:sz w:val="22"/>
        </w:rPr>
        <w:t>hunting, backpacking, or support of other authorized activities such as research.</w:t>
      </w:r>
    </w:p>
    <w:p>
      <w:pPr>
        <w:pStyle w:val="ListParagraph"/>
        <w:numPr>
          <w:ilvl w:val="0"/>
          <w:numId w:val="14"/>
        </w:numPr>
        <w:tabs>
          <w:tab w:pos="1692" w:val="left" w:leader="none"/>
        </w:tabs>
        <w:spacing w:line="232" w:lineRule="auto" w:before="120" w:after="0"/>
        <w:ind w:left="1692" w:right="1058" w:hanging="360"/>
        <w:jc w:val="left"/>
        <w:rPr>
          <w:sz w:val="22"/>
        </w:rPr>
      </w:pPr>
      <w:r>
        <w:rPr>
          <w:sz w:val="22"/>
        </w:rPr>
        <w:t>the</w:t>
      </w:r>
      <w:r>
        <w:rPr>
          <w:spacing w:val="-3"/>
          <w:sz w:val="22"/>
        </w:rPr>
        <w:t> </w:t>
      </w:r>
      <w:r>
        <w:rPr>
          <w:sz w:val="22"/>
        </w:rPr>
        <w:t>service</w:t>
      </w:r>
      <w:r>
        <w:rPr>
          <w:spacing w:val="-3"/>
          <w:sz w:val="22"/>
        </w:rPr>
        <w:t> </w:t>
      </w:r>
      <w:r>
        <w:rPr>
          <w:sz w:val="22"/>
        </w:rPr>
        <w:t>can</w:t>
      </w:r>
      <w:r>
        <w:rPr>
          <w:spacing w:val="-5"/>
          <w:sz w:val="22"/>
        </w:rPr>
        <w:t> </w:t>
      </w:r>
      <w:r>
        <w:rPr>
          <w:sz w:val="22"/>
        </w:rPr>
        <w:t>be</w:t>
      </w:r>
      <w:r>
        <w:rPr>
          <w:spacing w:val="-6"/>
          <w:sz w:val="22"/>
        </w:rPr>
        <w:t> </w:t>
      </w:r>
      <w:r>
        <w:rPr>
          <w:sz w:val="22"/>
        </w:rPr>
        <w:t>authorized</w:t>
      </w:r>
      <w:r>
        <w:rPr>
          <w:spacing w:val="-5"/>
          <w:sz w:val="22"/>
        </w:rPr>
        <w:t> </w:t>
      </w:r>
      <w:r>
        <w:rPr>
          <w:sz w:val="22"/>
        </w:rPr>
        <w:t>in</w:t>
      </w:r>
      <w:r>
        <w:rPr>
          <w:spacing w:val="-5"/>
          <w:sz w:val="22"/>
        </w:rPr>
        <w:t> </w:t>
      </w:r>
      <w:r>
        <w:rPr>
          <w:sz w:val="22"/>
        </w:rPr>
        <w:t>locations</w:t>
      </w:r>
      <w:r>
        <w:rPr>
          <w:spacing w:val="-4"/>
          <w:sz w:val="22"/>
        </w:rPr>
        <w:t> </w:t>
      </w:r>
      <w:r>
        <w:rPr>
          <w:sz w:val="22"/>
        </w:rPr>
        <w:t>and</w:t>
      </w:r>
      <w:r>
        <w:rPr>
          <w:spacing w:val="-7"/>
          <w:sz w:val="22"/>
        </w:rPr>
        <w:t> </w:t>
      </w:r>
      <w:r>
        <w:rPr>
          <w:sz w:val="22"/>
        </w:rPr>
        <w:t>times</w:t>
      </w:r>
      <w:r>
        <w:rPr>
          <w:spacing w:val="-4"/>
          <w:sz w:val="22"/>
        </w:rPr>
        <w:t> </w:t>
      </w:r>
      <w:r>
        <w:rPr>
          <w:sz w:val="22"/>
        </w:rPr>
        <w:t>that</w:t>
      </w:r>
      <w:r>
        <w:rPr>
          <w:spacing w:val="-3"/>
          <w:sz w:val="22"/>
        </w:rPr>
        <w:t> </w:t>
      </w:r>
      <w:r>
        <w:rPr>
          <w:sz w:val="22"/>
        </w:rPr>
        <w:t>would</w:t>
      </w:r>
      <w:r>
        <w:rPr>
          <w:spacing w:val="-5"/>
          <w:sz w:val="22"/>
        </w:rPr>
        <w:t> </w:t>
      </w:r>
      <w:r>
        <w:rPr>
          <w:sz w:val="22"/>
        </w:rPr>
        <w:t>not</w:t>
      </w:r>
      <w:r>
        <w:rPr>
          <w:spacing w:val="-3"/>
          <w:sz w:val="22"/>
        </w:rPr>
        <w:t> </w:t>
      </w:r>
      <w:r>
        <w:rPr>
          <w:sz w:val="22"/>
        </w:rPr>
        <w:t>constrain</w:t>
      </w:r>
      <w:r>
        <w:rPr>
          <w:spacing w:val="-7"/>
          <w:sz w:val="22"/>
        </w:rPr>
        <w:t> </w:t>
      </w:r>
      <w:r>
        <w:rPr>
          <w:sz w:val="22"/>
        </w:rPr>
        <w:t>the</w:t>
      </w:r>
      <w:r>
        <w:rPr>
          <w:spacing w:val="-3"/>
          <w:sz w:val="22"/>
        </w:rPr>
        <w:t> </w:t>
      </w:r>
      <w:r>
        <w:rPr>
          <w:sz w:val="22"/>
        </w:rPr>
        <w:t>non- outfitted public.</w:t>
      </w:r>
    </w:p>
    <w:p>
      <w:pPr>
        <w:pStyle w:val="ListParagraph"/>
        <w:spacing w:after="0" w:line="232" w:lineRule="auto"/>
        <w:jc w:val="left"/>
        <w:rPr>
          <w:sz w:val="22"/>
        </w:rPr>
        <w:sectPr>
          <w:pgSz w:w="12240" w:h="15840"/>
          <w:pgMar w:header="725" w:footer="891" w:top="960" w:bottom="1080" w:left="1080" w:right="720"/>
        </w:sectPr>
      </w:pPr>
    </w:p>
    <w:p>
      <w:pPr>
        <w:pStyle w:val="BodyText"/>
        <w:spacing w:before="212"/>
      </w:pPr>
    </w:p>
    <w:p>
      <w:pPr>
        <w:pStyle w:val="ListParagraph"/>
        <w:numPr>
          <w:ilvl w:val="0"/>
          <w:numId w:val="14"/>
        </w:numPr>
        <w:tabs>
          <w:tab w:pos="900" w:val="left" w:leader="none"/>
        </w:tabs>
        <w:spacing w:line="232" w:lineRule="auto" w:before="0" w:after="0"/>
        <w:ind w:left="900" w:right="2077" w:hanging="360"/>
        <w:jc w:val="left"/>
        <w:rPr>
          <w:sz w:val="22"/>
        </w:rPr>
      </w:pPr>
      <w:r>
        <w:rPr>
          <w:sz w:val="22"/>
        </w:rPr>
        <w:t>activities</w:t>
      </w:r>
      <w:r>
        <w:rPr>
          <w:spacing w:val="-5"/>
          <w:sz w:val="22"/>
        </w:rPr>
        <w:t> </w:t>
      </w:r>
      <w:r>
        <w:rPr>
          <w:sz w:val="22"/>
        </w:rPr>
        <w:t>are</w:t>
      </w:r>
      <w:r>
        <w:rPr>
          <w:spacing w:val="-4"/>
          <w:sz w:val="22"/>
        </w:rPr>
        <w:t> </w:t>
      </w:r>
      <w:r>
        <w:rPr>
          <w:sz w:val="22"/>
        </w:rPr>
        <w:t>consistent</w:t>
      </w:r>
      <w:r>
        <w:rPr>
          <w:spacing w:val="-4"/>
          <w:sz w:val="22"/>
        </w:rPr>
        <w:t> </w:t>
      </w:r>
      <w:r>
        <w:rPr>
          <w:sz w:val="22"/>
        </w:rPr>
        <w:t>with</w:t>
      </w:r>
      <w:r>
        <w:rPr>
          <w:spacing w:val="-6"/>
          <w:sz w:val="22"/>
        </w:rPr>
        <w:t> </w:t>
      </w:r>
      <w:r>
        <w:rPr>
          <w:sz w:val="22"/>
        </w:rPr>
        <w:t>the</w:t>
      </w:r>
      <w:r>
        <w:rPr>
          <w:spacing w:val="-4"/>
          <w:sz w:val="22"/>
        </w:rPr>
        <w:t> </w:t>
      </w:r>
      <w:r>
        <w:rPr>
          <w:sz w:val="22"/>
        </w:rPr>
        <w:t>desired</w:t>
      </w:r>
      <w:r>
        <w:rPr>
          <w:spacing w:val="-6"/>
          <w:sz w:val="22"/>
        </w:rPr>
        <w:t> </w:t>
      </w:r>
      <w:r>
        <w:rPr>
          <w:sz w:val="22"/>
        </w:rPr>
        <w:t>condition</w:t>
      </w:r>
      <w:r>
        <w:rPr>
          <w:spacing w:val="-6"/>
          <w:sz w:val="22"/>
        </w:rPr>
        <w:t> </w:t>
      </w:r>
      <w:r>
        <w:rPr>
          <w:sz w:val="22"/>
        </w:rPr>
        <w:t>and</w:t>
      </w:r>
      <w:r>
        <w:rPr>
          <w:spacing w:val="-8"/>
          <w:sz w:val="22"/>
        </w:rPr>
        <w:t> </w:t>
      </w:r>
      <w:r>
        <w:rPr>
          <w:sz w:val="22"/>
        </w:rPr>
        <w:t>guidelines</w:t>
      </w:r>
      <w:r>
        <w:rPr>
          <w:spacing w:val="-5"/>
          <w:sz w:val="22"/>
        </w:rPr>
        <w:t> </w:t>
      </w:r>
      <w:r>
        <w:rPr>
          <w:sz w:val="22"/>
        </w:rPr>
        <w:t>of</w:t>
      </w:r>
      <w:r>
        <w:rPr>
          <w:spacing w:val="-7"/>
          <w:sz w:val="22"/>
        </w:rPr>
        <w:t> </w:t>
      </w:r>
      <w:r>
        <w:rPr>
          <w:sz w:val="22"/>
        </w:rPr>
        <w:t>the</w:t>
      </w:r>
      <w:r>
        <w:rPr>
          <w:spacing w:val="-7"/>
          <w:sz w:val="22"/>
        </w:rPr>
        <w:t> </w:t>
      </w:r>
      <w:r>
        <w:rPr>
          <w:sz w:val="22"/>
        </w:rPr>
        <w:t>Wilderness Resource Spectrum zone where the service will be provided. Services should be authorized only where the provider can meet the requirements to operate in this Wilderness Resource Spectrum zone.</w:t>
      </w:r>
    </w:p>
    <w:p>
      <w:pPr>
        <w:pStyle w:val="ListParagraph"/>
        <w:numPr>
          <w:ilvl w:val="0"/>
          <w:numId w:val="14"/>
        </w:numPr>
        <w:tabs>
          <w:tab w:pos="899" w:val="left" w:leader="none"/>
        </w:tabs>
        <w:spacing w:line="240" w:lineRule="auto" w:before="111" w:after="0"/>
        <w:ind w:left="899" w:right="0" w:hanging="359"/>
        <w:jc w:val="left"/>
        <w:rPr>
          <w:sz w:val="22"/>
        </w:rPr>
      </w:pPr>
      <w:r>
        <w:rPr>
          <w:sz w:val="22"/>
        </w:rPr>
        <w:t>services</w:t>
      </w:r>
      <w:r>
        <w:rPr>
          <w:spacing w:val="-6"/>
          <w:sz w:val="22"/>
        </w:rPr>
        <w:t> </w:t>
      </w:r>
      <w:r>
        <w:rPr>
          <w:sz w:val="22"/>
        </w:rPr>
        <w:t>adhere</w:t>
      </w:r>
      <w:r>
        <w:rPr>
          <w:spacing w:val="-7"/>
          <w:sz w:val="22"/>
        </w:rPr>
        <w:t> </w:t>
      </w:r>
      <w:r>
        <w:rPr>
          <w:sz w:val="22"/>
        </w:rPr>
        <w:t>to</w:t>
      </w:r>
      <w:r>
        <w:rPr>
          <w:spacing w:val="-7"/>
          <w:sz w:val="22"/>
        </w:rPr>
        <w:t> </w:t>
      </w:r>
      <w:r>
        <w:rPr>
          <w:sz w:val="22"/>
        </w:rPr>
        <w:t>established</w:t>
      </w:r>
      <w:r>
        <w:rPr>
          <w:spacing w:val="-6"/>
          <w:sz w:val="22"/>
        </w:rPr>
        <w:t> </w:t>
      </w:r>
      <w:r>
        <w:rPr>
          <w:sz w:val="22"/>
        </w:rPr>
        <w:t>party</w:t>
      </w:r>
      <w:r>
        <w:rPr>
          <w:spacing w:val="-7"/>
          <w:sz w:val="22"/>
        </w:rPr>
        <w:t> </w:t>
      </w:r>
      <w:r>
        <w:rPr>
          <w:sz w:val="22"/>
        </w:rPr>
        <w:t>size</w:t>
      </w:r>
      <w:r>
        <w:rPr>
          <w:spacing w:val="-4"/>
          <w:sz w:val="22"/>
        </w:rPr>
        <w:t> </w:t>
      </w:r>
      <w:r>
        <w:rPr>
          <w:spacing w:val="-2"/>
          <w:sz w:val="22"/>
        </w:rPr>
        <w:t>limitations.</w:t>
      </w:r>
    </w:p>
    <w:p>
      <w:pPr>
        <w:pStyle w:val="Heading4"/>
        <w:spacing w:before="234"/>
      </w:pPr>
      <w:bookmarkStart w:name="Guidelines" w:id="410"/>
      <w:bookmarkEnd w:id="410"/>
      <w:r>
        <w:rPr/>
      </w:r>
      <w:bookmarkStart w:name="_bookmark133" w:id="411"/>
      <w:bookmarkEnd w:id="411"/>
      <w:r>
        <w:rPr/>
      </w:r>
      <w:r>
        <w:rPr>
          <w:spacing w:val="-2"/>
        </w:rPr>
        <w:t>Guidelines</w:t>
      </w:r>
    </w:p>
    <w:p>
      <w:pPr>
        <w:spacing w:before="240"/>
        <w:ind w:left="360" w:right="0" w:firstLine="0"/>
        <w:jc w:val="left"/>
        <w:rPr>
          <w:rFonts w:ascii="Arial"/>
          <w:i/>
          <w:sz w:val="22"/>
        </w:rPr>
      </w:pPr>
      <w:bookmarkStart w:name="FW-GDL-LSU-01. Boundary Marking in advan" w:id="412"/>
      <w:bookmarkEnd w:id="412"/>
      <w:r>
        <w:rPr/>
      </w:r>
      <w:r>
        <w:rPr>
          <w:rFonts w:ascii="Arial"/>
          <w:i/>
          <w:sz w:val="22"/>
        </w:rPr>
        <w:t>FW-GDL-LSU-01.</w:t>
      </w:r>
      <w:r>
        <w:rPr>
          <w:rFonts w:ascii="Arial"/>
          <w:i/>
          <w:spacing w:val="-6"/>
          <w:sz w:val="22"/>
        </w:rPr>
        <w:t> </w:t>
      </w:r>
      <w:r>
        <w:rPr>
          <w:rFonts w:ascii="Arial"/>
          <w:i/>
          <w:sz w:val="22"/>
        </w:rPr>
        <w:t>Boundary</w:t>
      </w:r>
      <w:r>
        <w:rPr>
          <w:rFonts w:ascii="Arial"/>
          <w:i/>
          <w:spacing w:val="-5"/>
          <w:sz w:val="22"/>
        </w:rPr>
        <w:t> </w:t>
      </w:r>
      <w:r>
        <w:rPr>
          <w:rFonts w:ascii="Arial"/>
          <w:i/>
          <w:sz w:val="22"/>
        </w:rPr>
        <w:t>Marking</w:t>
      </w:r>
      <w:r>
        <w:rPr>
          <w:rFonts w:ascii="Arial"/>
          <w:i/>
          <w:spacing w:val="-7"/>
          <w:sz w:val="22"/>
        </w:rPr>
        <w:t> </w:t>
      </w:r>
      <w:r>
        <w:rPr>
          <w:rFonts w:ascii="Arial"/>
          <w:i/>
          <w:sz w:val="22"/>
        </w:rPr>
        <w:t>in</w:t>
      </w:r>
      <w:r>
        <w:rPr>
          <w:rFonts w:ascii="Arial"/>
          <w:i/>
          <w:spacing w:val="-6"/>
          <w:sz w:val="22"/>
        </w:rPr>
        <w:t> </w:t>
      </w:r>
      <w:r>
        <w:rPr>
          <w:rFonts w:ascii="Arial"/>
          <w:i/>
          <w:sz w:val="22"/>
        </w:rPr>
        <w:t>advance</w:t>
      </w:r>
      <w:r>
        <w:rPr>
          <w:rFonts w:ascii="Arial"/>
          <w:i/>
          <w:spacing w:val="-9"/>
          <w:sz w:val="22"/>
        </w:rPr>
        <w:t> </w:t>
      </w:r>
      <w:r>
        <w:rPr>
          <w:rFonts w:ascii="Arial"/>
          <w:i/>
          <w:sz w:val="22"/>
        </w:rPr>
        <w:t>of</w:t>
      </w:r>
      <w:r>
        <w:rPr>
          <w:rFonts w:ascii="Arial"/>
          <w:i/>
          <w:spacing w:val="-3"/>
          <w:sz w:val="22"/>
        </w:rPr>
        <w:t> </w:t>
      </w:r>
      <w:r>
        <w:rPr>
          <w:rFonts w:ascii="Arial"/>
          <w:i/>
          <w:spacing w:val="-2"/>
          <w:sz w:val="22"/>
        </w:rPr>
        <w:t>Projects</w:t>
      </w:r>
    </w:p>
    <w:p>
      <w:pPr>
        <w:pStyle w:val="BodyText"/>
        <w:spacing w:line="232" w:lineRule="auto" w:before="64"/>
        <w:ind w:left="359" w:right="1445"/>
      </w:pPr>
      <w:r>
        <w:rPr/>
        <w:t>The</w:t>
      </w:r>
      <w:r>
        <w:rPr>
          <w:spacing w:val="-3"/>
        </w:rPr>
        <w:t> </w:t>
      </w:r>
      <w:r>
        <w:rPr/>
        <w:t>need</w:t>
      </w:r>
      <w:r>
        <w:rPr>
          <w:spacing w:val="-7"/>
        </w:rPr>
        <w:t> </w:t>
      </w:r>
      <w:r>
        <w:rPr/>
        <w:t>for</w:t>
      </w:r>
      <w:r>
        <w:rPr>
          <w:spacing w:val="-4"/>
        </w:rPr>
        <w:t> </w:t>
      </w:r>
      <w:r>
        <w:rPr/>
        <w:t>landline</w:t>
      </w:r>
      <w:r>
        <w:rPr>
          <w:spacing w:val="-3"/>
        </w:rPr>
        <w:t> </w:t>
      </w:r>
      <w:r>
        <w:rPr/>
        <w:t>boundary</w:t>
      </w:r>
      <w:r>
        <w:rPr>
          <w:spacing w:val="-3"/>
        </w:rPr>
        <w:t> </w:t>
      </w:r>
      <w:r>
        <w:rPr/>
        <w:t>marking</w:t>
      </w:r>
      <w:r>
        <w:rPr>
          <w:spacing w:val="-5"/>
        </w:rPr>
        <w:t> </w:t>
      </w:r>
      <w:r>
        <w:rPr/>
        <w:t>is</w:t>
      </w:r>
      <w:r>
        <w:rPr>
          <w:spacing w:val="-4"/>
        </w:rPr>
        <w:t> </w:t>
      </w:r>
      <w:r>
        <w:rPr/>
        <w:t>identified</w:t>
      </w:r>
      <w:r>
        <w:rPr>
          <w:spacing w:val="-5"/>
        </w:rPr>
        <w:t> </w:t>
      </w:r>
      <w:r>
        <w:rPr/>
        <w:t>during</w:t>
      </w:r>
      <w:r>
        <w:rPr>
          <w:spacing w:val="-5"/>
        </w:rPr>
        <w:t> </w:t>
      </w:r>
      <w:r>
        <w:rPr/>
        <w:t>project</w:t>
      </w:r>
      <w:r>
        <w:rPr>
          <w:spacing w:val="-3"/>
        </w:rPr>
        <w:t> </w:t>
      </w:r>
      <w:r>
        <w:rPr/>
        <w:t>planning.</w:t>
      </w:r>
      <w:r>
        <w:rPr>
          <w:spacing w:val="-4"/>
        </w:rPr>
        <w:t> </w:t>
      </w:r>
      <w:r>
        <w:rPr/>
        <w:t>Marking</w:t>
      </w:r>
      <w:r>
        <w:rPr>
          <w:spacing w:val="-5"/>
        </w:rPr>
        <w:t> </w:t>
      </w:r>
      <w:r>
        <w:rPr/>
        <w:t>and posting of Forest Service boundary lines would occur prior to project implementation.</w:t>
      </w:r>
    </w:p>
    <w:p>
      <w:pPr>
        <w:spacing w:before="235"/>
        <w:ind w:left="359" w:right="0" w:firstLine="0"/>
        <w:jc w:val="left"/>
        <w:rPr>
          <w:rFonts w:ascii="Arial"/>
          <w:i/>
          <w:sz w:val="22"/>
        </w:rPr>
      </w:pPr>
      <w:bookmarkStart w:name="FW-GDL-LSU-02. Authorized Improvements" w:id="413"/>
      <w:bookmarkEnd w:id="413"/>
      <w:r>
        <w:rPr/>
      </w:r>
      <w:r>
        <w:rPr>
          <w:rFonts w:ascii="Arial"/>
          <w:i/>
          <w:sz w:val="22"/>
        </w:rPr>
        <w:t>FW-GDL-LSU-02.</w:t>
      </w:r>
      <w:r>
        <w:rPr>
          <w:rFonts w:ascii="Arial"/>
          <w:i/>
          <w:spacing w:val="-11"/>
          <w:sz w:val="22"/>
        </w:rPr>
        <w:t> </w:t>
      </w:r>
      <w:r>
        <w:rPr>
          <w:rFonts w:ascii="Arial"/>
          <w:i/>
          <w:sz w:val="22"/>
        </w:rPr>
        <w:t>Authorized</w:t>
      </w:r>
      <w:r>
        <w:rPr>
          <w:rFonts w:ascii="Arial"/>
          <w:i/>
          <w:spacing w:val="-11"/>
          <w:sz w:val="22"/>
        </w:rPr>
        <w:t> </w:t>
      </w:r>
      <w:r>
        <w:rPr>
          <w:rFonts w:ascii="Arial"/>
          <w:i/>
          <w:spacing w:val="-2"/>
          <w:sz w:val="22"/>
        </w:rPr>
        <w:t>Improvements</w:t>
      </w:r>
    </w:p>
    <w:p>
      <w:pPr>
        <w:pStyle w:val="BodyText"/>
        <w:spacing w:line="232" w:lineRule="auto" w:before="64"/>
        <w:ind w:left="359" w:right="1516"/>
      </w:pPr>
      <w:r>
        <w:rPr/>
        <w:t>Private or publicly owned facilities and improvements are authorized through an appropriate special</w:t>
      </w:r>
      <w:r>
        <w:rPr>
          <w:spacing w:val="-5"/>
        </w:rPr>
        <w:t> </w:t>
      </w:r>
      <w:r>
        <w:rPr/>
        <w:t>use</w:t>
      </w:r>
      <w:r>
        <w:rPr>
          <w:spacing w:val="-7"/>
        </w:rPr>
        <w:t> </w:t>
      </w:r>
      <w:r>
        <w:rPr/>
        <w:t>authorization</w:t>
      </w:r>
      <w:r>
        <w:rPr>
          <w:spacing w:val="-8"/>
        </w:rPr>
        <w:t> </w:t>
      </w:r>
      <w:r>
        <w:rPr/>
        <w:t>when</w:t>
      </w:r>
      <w:r>
        <w:rPr>
          <w:spacing w:val="-6"/>
        </w:rPr>
        <w:t> </w:t>
      </w:r>
      <w:r>
        <w:rPr/>
        <w:t>they</w:t>
      </w:r>
      <w:r>
        <w:rPr>
          <w:spacing w:val="-6"/>
        </w:rPr>
        <w:t> </w:t>
      </w:r>
      <w:r>
        <w:rPr/>
        <w:t>meet</w:t>
      </w:r>
      <w:r>
        <w:rPr>
          <w:spacing w:val="-4"/>
        </w:rPr>
        <w:t> </w:t>
      </w:r>
      <w:r>
        <w:rPr/>
        <w:t>forest</w:t>
      </w:r>
      <w:r>
        <w:rPr>
          <w:spacing w:val="-4"/>
        </w:rPr>
        <w:t> </w:t>
      </w:r>
      <w:r>
        <w:rPr/>
        <w:t>plan</w:t>
      </w:r>
      <w:r>
        <w:rPr>
          <w:spacing w:val="-8"/>
        </w:rPr>
        <w:t> </w:t>
      </w:r>
      <w:r>
        <w:rPr/>
        <w:t>direction</w:t>
      </w:r>
      <w:r>
        <w:rPr>
          <w:spacing w:val="-6"/>
        </w:rPr>
        <w:t> </w:t>
      </w:r>
      <w:r>
        <w:rPr/>
        <w:t>and</w:t>
      </w:r>
      <w:r>
        <w:rPr>
          <w:spacing w:val="-6"/>
        </w:rPr>
        <w:t> </w:t>
      </w:r>
      <w:r>
        <w:rPr/>
        <w:t>are</w:t>
      </w:r>
      <w:r>
        <w:rPr>
          <w:spacing w:val="-7"/>
        </w:rPr>
        <w:t> </w:t>
      </w:r>
      <w:r>
        <w:rPr/>
        <w:t>feasible</w:t>
      </w:r>
      <w:r>
        <w:rPr>
          <w:spacing w:val="-7"/>
        </w:rPr>
        <w:t> </w:t>
      </w:r>
      <w:r>
        <w:rPr/>
        <w:t>within</w:t>
      </w:r>
      <w:r>
        <w:rPr>
          <w:spacing w:val="-6"/>
        </w:rPr>
        <w:t> </w:t>
      </w:r>
      <w:r>
        <w:rPr/>
        <w:t>resource constraints (examples include roads, utility lines, or communication sites). Site improvements will be removed when they are no longer needed or the authorization terminates.</w:t>
      </w:r>
    </w:p>
    <w:p>
      <w:pPr>
        <w:spacing w:before="234"/>
        <w:ind w:left="359" w:right="0" w:firstLine="0"/>
        <w:jc w:val="left"/>
        <w:rPr>
          <w:rFonts w:ascii="Arial"/>
          <w:i/>
          <w:sz w:val="22"/>
        </w:rPr>
      </w:pPr>
      <w:bookmarkStart w:name="FW-GDL-LSU-03. Trespass and Encroachment" w:id="414"/>
      <w:bookmarkEnd w:id="414"/>
      <w:r>
        <w:rPr/>
      </w:r>
      <w:r>
        <w:rPr>
          <w:rFonts w:ascii="Arial"/>
          <w:i/>
          <w:sz w:val="22"/>
        </w:rPr>
        <w:t>FW-GDL-LSU-03.</w:t>
      </w:r>
      <w:r>
        <w:rPr>
          <w:rFonts w:ascii="Arial"/>
          <w:i/>
          <w:spacing w:val="-7"/>
          <w:sz w:val="22"/>
        </w:rPr>
        <w:t> </w:t>
      </w:r>
      <w:r>
        <w:rPr>
          <w:rFonts w:ascii="Arial"/>
          <w:i/>
          <w:sz w:val="22"/>
        </w:rPr>
        <w:t>Trespass</w:t>
      </w:r>
      <w:r>
        <w:rPr>
          <w:rFonts w:ascii="Arial"/>
          <w:i/>
          <w:spacing w:val="-8"/>
          <w:sz w:val="22"/>
        </w:rPr>
        <w:t> </w:t>
      </w:r>
      <w:r>
        <w:rPr>
          <w:rFonts w:ascii="Arial"/>
          <w:i/>
          <w:sz w:val="22"/>
        </w:rPr>
        <w:t>and</w:t>
      </w:r>
      <w:r>
        <w:rPr>
          <w:rFonts w:ascii="Arial"/>
          <w:i/>
          <w:spacing w:val="-8"/>
          <w:sz w:val="22"/>
        </w:rPr>
        <w:t> </w:t>
      </w:r>
      <w:r>
        <w:rPr>
          <w:rFonts w:ascii="Arial"/>
          <w:i/>
          <w:sz w:val="22"/>
        </w:rPr>
        <w:t>Encroachment</w:t>
      </w:r>
      <w:r>
        <w:rPr>
          <w:rFonts w:ascii="Arial"/>
          <w:i/>
          <w:spacing w:val="-11"/>
          <w:sz w:val="22"/>
        </w:rPr>
        <w:t> </w:t>
      </w:r>
      <w:r>
        <w:rPr>
          <w:rFonts w:ascii="Arial"/>
          <w:i/>
          <w:spacing w:val="-2"/>
          <w:sz w:val="22"/>
        </w:rPr>
        <w:t>Resolution</w:t>
      </w:r>
    </w:p>
    <w:p>
      <w:pPr>
        <w:pStyle w:val="BodyText"/>
        <w:spacing w:line="232" w:lineRule="auto" w:before="65"/>
        <w:ind w:left="359" w:right="1445"/>
      </w:pPr>
      <w:r>
        <w:rPr/>
        <w:t>Trespass</w:t>
      </w:r>
      <w:r>
        <w:rPr>
          <w:spacing w:val="-6"/>
        </w:rPr>
        <w:t> </w:t>
      </w:r>
      <w:r>
        <w:rPr/>
        <w:t>and</w:t>
      </w:r>
      <w:r>
        <w:rPr>
          <w:spacing w:val="-9"/>
        </w:rPr>
        <w:t> </w:t>
      </w:r>
      <w:r>
        <w:rPr/>
        <w:t>encroachment</w:t>
      </w:r>
      <w:r>
        <w:rPr>
          <w:spacing w:val="-5"/>
        </w:rPr>
        <w:t> </w:t>
      </w:r>
      <w:r>
        <w:rPr/>
        <w:t>cases</w:t>
      </w:r>
      <w:r>
        <w:rPr>
          <w:spacing w:val="-8"/>
        </w:rPr>
        <w:t> </w:t>
      </w:r>
      <w:r>
        <w:rPr/>
        <w:t>are</w:t>
      </w:r>
      <w:r>
        <w:rPr>
          <w:spacing w:val="-8"/>
        </w:rPr>
        <w:t> </w:t>
      </w:r>
      <w:r>
        <w:rPr/>
        <w:t>resolved</w:t>
      </w:r>
      <w:r>
        <w:rPr>
          <w:spacing w:val="-7"/>
        </w:rPr>
        <w:t> </w:t>
      </w:r>
      <w:r>
        <w:rPr/>
        <w:t>at</w:t>
      </w:r>
      <w:r>
        <w:rPr>
          <w:spacing w:val="-8"/>
        </w:rPr>
        <w:t> </w:t>
      </w:r>
      <w:r>
        <w:rPr/>
        <w:t>the</w:t>
      </w:r>
      <w:r>
        <w:rPr>
          <w:spacing w:val="-8"/>
        </w:rPr>
        <w:t> </w:t>
      </w:r>
      <w:r>
        <w:rPr/>
        <w:t>earliest</w:t>
      </w:r>
      <w:r>
        <w:rPr>
          <w:spacing w:val="-8"/>
        </w:rPr>
        <w:t> </w:t>
      </w:r>
      <w:r>
        <w:rPr/>
        <w:t>time</w:t>
      </w:r>
      <w:r>
        <w:rPr>
          <w:spacing w:val="-5"/>
        </w:rPr>
        <w:t> </w:t>
      </w:r>
      <w:r>
        <w:rPr/>
        <w:t>possible.</w:t>
      </w:r>
      <w:r>
        <w:rPr>
          <w:spacing w:val="-6"/>
        </w:rPr>
        <w:t> </w:t>
      </w:r>
      <w:r>
        <w:rPr/>
        <w:t>Authorizations</w:t>
      </w:r>
      <w:r>
        <w:rPr>
          <w:spacing w:val="-8"/>
        </w:rPr>
        <w:t> </w:t>
      </w:r>
      <w:r>
        <w:rPr/>
        <w:t>may be issued for short periods to allow the owner of the improvements time to plan, budget and implement the removal of the trespass or encroachment.</w:t>
      </w:r>
    </w:p>
    <w:p>
      <w:pPr>
        <w:spacing w:before="233"/>
        <w:ind w:left="359" w:right="0" w:firstLine="0"/>
        <w:jc w:val="left"/>
        <w:rPr>
          <w:rFonts w:ascii="Arial"/>
          <w:i/>
          <w:sz w:val="22"/>
        </w:rPr>
      </w:pPr>
      <w:bookmarkStart w:name="FW-GDL-LSU-04. Energy Corridors and Comm" w:id="415"/>
      <w:bookmarkEnd w:id="415"/>
      <w:r>
        <w:rPr/>
      </w:r>
      <w:r>
        <w:rPr>
          <w:rFonts w:ascii="Arial"/>
          <w:i/>
          <w:sz w:val="22"/>
        </w:rPr>
        <w:t>FW-GDL-LSU-04.</w:t>
      </w:r>
      <w:r>
        <w:rPr>
          <w:rFonts w:ascii="Arial"/>
          <w:i/>
          <w:spacing w:val="-10"/>
          <w:sz w:val="22"/>
        </w:rPr>
        <w:t> </w:t>
      </w:r>
      <w:r>
        <w:rPr>
          <w:rFonts w:ascii="Arial"/>
          <w:i/>
          <w:sz w:val="22"/>
        </w:rPr>
        <w:t>Energy</w:t>
      </w:r>
      <w:r>
        <w:rPr>
          <w:rFonts w:ascii="Arial"/>
          <w:i/>
          <w:spacing w:val="-8"/>
          <w:sz w:val="22"/>
        </w:rPr>
        <w:t> </w:t>
      </w:r>
      <w:r>
        <w:rPr>
          <w:rFonts w:ascii="Arial"/>
          <w:i/>
          <w:sz w:val="22"/>
        </w:rPr>
        <w:t>Corridors</w:t>
      </w:r>
      <w:r>
        <w:rPr>
          <w:rFonts w:ascii="Arial"/>
          <w:i/>
          <w:spacing w:val="-8"/>
          <w:sz w:val="22"/>
        </w:rPr>
        <w:t> </w:t>
      </w:r>
      <w:r>
        <w:rPr>
          <w:rFonts w:ascii="Arial"/>
          <w:i/>
          <w:sz w:val="22"/>
        </w:rPr>
        <w:t>and</w:t>
      </w:r>
      <w:r>
        <w:rPr>
          <w:rFonts w:ascii="Arial"/>
          <w:i/>
          <w:spacing w:val="-11"/>
          <w:sz w:val="22"/>
        </w:rPr>
        <w:t> </w:t>
      </w:r>
      <w:r>
        <w:rPr>
          <w:rFonts w:ascii="Arial"/>
          <w:i/>
          <w:sz w:val="22"/>
        </w:rPr>
        <w:t>Communication</w:t>
      </w:r>
      <w:r>
        <w:rPr>
          <w:rFonts w:ascii="Arial"/>
          <w:i/>
          <w:spacing w:val="-8"/>
          <w:sz w:val="22"/>
        </w:rPr>
        <w:t> </w:t>
      </w:r>
      <w:r>
        <w:rPr>
          <w:rFonts w:ascii="Arial"/>
          <w:i/>
          <w:spacing w:val="-2"/>
          <w:sz w:val="22"/>
        </w:rPr>
        <w:t>Sites</w:t>
      </w:r>
    </w:p>
    <w:p>
      <w:pPr>
        <w:pStyle w:val="BodyText"/>
        <w:spacing w:line="232" w:lineRule="auto" w:before="65"/>
        <w:ind w:left="358" w:right="1621"/>
      </w:pPr>
      <w:r>
        <w:rPr/>
        <w:t>Designated energy corridors and communication sites are used to maximum capacity, where feasible, before additional corridors and sites are considered to minimize the number of acres encumbered</w:t>
      </w:r>
      <w:r>
        <w:rPr>
          <w:spacing w:val="-8"/>
        </w:rPr>
        <w:t> </w:t>
      </w:r>
      <w:r>
        <w:rPr/>
        <w:t>by</w:t>
      </w:r>
      <w:r>
        <w:rPr>
          <w:spacing w:val="-6"/>
        </w:rPr>
        <w:t> </w:t>
      </w:r>
      <w:r>
        <w:rPr/>
        <w:t>rights-of-way,</w:t>
      </w:r>
      <w:r>
        <w:rPr>
          <w:spacing w:val="-7"/>
        </w:rPr>
        <w:t> </w:t>
      </w:r>
      <w:r>
        <w:rPr/>
        <w:t>leases,</w:t>
      </w:r>
      <w:r>
        <w:rPr>
          <w:spacing w:val="-9"/>
        </w:rPr>
        <w:t> </w:t>
      </w:r>
      <w:r>
        <w:rPr/>
        <w:t>permits,</w:t>
      </w:r>
      <w:r>
        <w:rPr>
          <w:spacing w:val="-9"/>
        </w:rPr>
        <w:t> </w:t>
      </w:r>
      <w:r>
        <w:rPr/>
        <w:t>or</w:t>
      </w:r>
      <w:r>
        <w:rPr>
          <w:spacing w:val="-9"/>
        </w:rPr>
        <w:t> </w:t>
      </w:r>
      <w:r>
        <w:rPr/>
        <w:t>easements.</w:t>
      </w:r>
      <w:r>
        <w:rPr>
          <w:spacing w:val="-7"/>
        </w:rPr>
        <w:t> </w:t>
      </w:r>
      <w:r>
        <w:rPr/>
        <w:t>New</w:t>
      </w:r>
      <w:r>
        <w:rPr>
          <w:spacing w:val="-6"/>
        </w:rPr>
        <w:t> </w:t>
      </w:r>
      <w:r>
        <w:rPr/>
        <w:t>corridors</w:t>
      </w:r>
      <w:r>
        <w:rPr>
          <w:spacing w:val="-7"/>
        </w:rPr>
        <w:t> </w:t>
      </w:r>
      <w:r>
        <w:rPr/>
        <w:t>and</w:t>
      </w:r>
      <w:r>
        <w:rPr>
          <w:spacing w:val="-8"/>
        </w:rPr>
        <w:t> </w:t>
      </w:r>
      <w:r>
        <w:rPr/>
        <w:t>sites</w:t>
      </w:r>
      <w:r>
        <w:rPr>
          <w:spacing w:val="-7"/>
        </w:rPr>
        <w:t> </w:t>
      </w:r>
      <w:r>
        <w:rPr/>
        <w:t>would</w:t>
      </w:r>
      <w:r>
        <w:rPr>
          <w:spacing w:val="-8"/>
        </w:rPr>
        <w:t> </w:t>
      </w:r>
      <w:r>
        <w:rPr/>
        <w:t>be located in a way that minimizes effects to forest resources and values. Forest corridor designations are consistent with such designations on adjacent federal lands. See appendix G for a map of these locations.</w:t>
      </w:r>
    </w:p>
    <w:p>
      <w:pPr>
        <w:spacing w:before="234"/>
        <w:ind w:left="358" w:right="0" w:firstLine="0"/>
        <w:jc w:val="left"/>
        <w:rPr>
          <w:rFonts w:ascii="Arial"/>
          <w:i/>
          <w:sz w:val="22"/>
        </w:rPr>
      </w:pPr>
      <w:bookmarkStart w:name="FW-GDL-LSU-05. Scenic Integrity: New and" w:id="416"/>
      <w:bookmarkEnd w:id="416"/>
      <w:r>
        <w:rPr/>
      </w:r>
      <w:r>
        <w:rPr>
          <w:rFonts w:ascii="Arial"/>
          <w:i/>
          <w:sz w:val="22"/>
        </w:rPr>
        <w:t>FW-GDL-LSU-05.</w:t>
      </w:r>
      <w:r>
        <w:rPr>
          <w:rFonts w:ascii="Arial"/>
          <w:i/>
          <w:spacing w:val="-7"/>
          <w:sz w:val="22"/>
        </w:rPr>
        <w:t> </w:t>
      </w:r>
      <w:r>
        <w:rPr>
          <w:rFonts w:ascii="Arial"/>
          <w:i/>
          <w:sz w:val="22"/>
        </w:rPr>
        <w:t>Scenic</w:t>
      </w:r>
      <w:r>
        <w:rPr>
          <w:rFonts w:ascii="Arial"/>
          <w:i/>
          <w:spacing w:val="-6"/>
          <w:sz w:val="22"/>
        </w:rPr>
        <w:t> </w:t>
      </w:r>
      <w:r>
        <w:rPr>
          <w:rFonts w:ascii="Arial"/>
          <w:i/>
          <w:sz w:val="22"/>
        </w:rPr>
        <w:t>Integrity:</w:t>
      </w:r>
      <w:r>
        <w:rPr>
          <w:rFonts w:ascii="Arial"/>
          <w:i/>
          <w:spacing w:val="-7"/>
          <w:sz w:val="22"/>
        </w:rPr>
        <w:t> </w:t>
      </w:r>
      <w:r>
        <w:rPr>
          <w:rFonts w:ascii="Arial"/>
          <w:i/>
          <w:sz w:val="22"/>
        </w:rPr>
        <w:t>New</w:t>
      </w:r>
      <w:r>
        <w:rPr>
          <w:rFonts w:ascii="Arial"/>
          <w:i/>
          <w:spacing w:val="-6"/>
          <w:sz w:val="22"/>
        </w:rPr>
        <w:t> </w:t>
      </w:r>
      <w:r>
        <w:rPr>
          <w:rFonts w:ascii="Arial"/>
          <w:i/>
          <w:sz w:val="22"/>
        </w:rPr>
        <w:t>and</w:t>
      </w:r>
      <w:r>
        <w:rPr>
          <w:rFonts w:ascii="Arial"/>
          <w:i/>
          <w:spacing w:val="-7"/>
          <w:sz w:val="22"/>
        </w:rPr>
        <w:t> </w:t>
      </w:r>
      <w:r>
        <w:rPr>
          <w:rFonts w:ascii="Arial"/>
          <w:i/>
          <w:sz w:val="22"/>
        </w:rPr>
        <w:t>Upgraded</w:t>
      </w:r>
      <w:r>
        <w:rPr>
          <w:rFonts w:ascii="Arial"/>
          <w:i/>
          <w:spacing w:val="-6"/>
          <w:sz w:val="22"/>
        </w:rPr>
        <w:t> </w:t>
      </w:r>
      <w:r>
        <w:rPr>
          <w:rFonts w:ascii="Arial"/>
          <w:i/>
          <w:spacing w:val="-2"/>
          <w:sz w:val="22"/>
        </w:rPr>
        <w:t>Facilities</w:t>
      </w:r>
    </w:p>
    <w:p>
      <w:pPr>
        <w:pStyle w:val="BodyText"/>
        <w:spacing w:line="232" w:lineRule="auto" w:before="64"/>
        <w:ind w:left="358" w:right="1445"/>
      </w:pPr>
      <w:r>
        <w:rPr/>
        <w:t>When</w:t>
      </w:r>
      <w:r>
        <w:rPr>
          <w:spacing w:val="-6"/>
        </w:rPr>
        <w:t> </w:t>
      </w:r>
      <w:r>
        <w:rPr/>
        <w:t>new</w:t>
      </w:r>
      <w:r>
        <w:rPr>
          <w:spacing w:val="-5"/>
        </w:rPr>
        <w:t> </w:t>
      </w:r>
      <w:r>
        <w:rPr/>
        <w:t>facilities</w:t>
      </w:r>
      <w:r>
        <w:rPr>
          <w:spacing w:val="-7"/>
        </w:rPr>
        <w:t> </w:t>
      </w:r>
      <w:r>
        <w:rPr/>
        <w:t>or</w:t>
      </w:r>
      <w:r>
        <w:rPr>
          <w:spacing w:val="-5"/>
        </w:rPr>
        <w:t> </w:t>
      </w:r>
      <w:r>
        <w:rPr/>
        <w:t>upgrades</w:t>
      </w:r>
      <w:r>
        <w:rPr>
          <w:spacing w:val="-5"/>
        </w:rPr>
        <w:t> </w:t>
      </w:r>
      <w:r>
        <w:rPr/>
        <w:t>to</w:t>
      </w:r>
      <w:r>
        <w:rPr>
          <w:spacing w:val="-6"/>
        </w:rPr>
        <w:t> </w:t>
      </w:r>
      <w:r>
        <w:rPr/>
        <w:t>existing</w:t>
      </w:r>
      <w:r>
        <w:rPr>
          <w:spacing w:val="-6"/>
        </w:rPr>
        <w:t> </w:t>
      </w:r>
      <w:r>
        <w:rPr/>
        <w:t>facilities</w:t>
      </w:r>
      <w:r>
        <w:rPr>
          <w:spacing w:val="-5"/>
        </w:rPr>
        <w:t> </w:t>
      </w:r>
      <w:r>
        <w:rPr/>
        <w:t>are</w:t>
      </w:r>
      <w:r>
        <w:rPr>
          <w:spacing w:val="-5"/>
        </w:rPr>
        <w:t> </w:t>
      </w:r>
      <w:r>
        <w:rPr/>
        <w:t>proposed,</w:t>
      </w:r>
      <w:r>
        <w:rPr>
          <w:spacing w:val="-5"/>
        </w:rPr>
        <w:t> </w:t>
      </w:r>
      <w:r>
        <w:rPr/>
        <w:t>permit</w:t>
      </w:r>
      <w:r>
        <w:rPr>
          <w:spacing w:val="-7"/>
        </w:rPr>
        <w:t> </w:t>
      </w:r>
      <w:r>
        <w:rPr/>
        <w:t>and</w:t>
      </w:r>
      <w:r>
        <w:rPr>
          <w:spacing w:val="-5"/>
        </w:rPr>
        <w:t> </w:t>
      </w:r>
      <w:r>
        <w:rPr/>
        <w:t>lease</w:t>
      </w:r>
      <w:r>
        <w:rPr>
          <w:spacing w:val="-5"/>
        </w:rPr>
        <w:t> </w:t>
      </w:r>
      <w:r>
        <w:rPr/>
        <w:t>holders would meet the intent of the site’s surrounding SIO by using Forest Service approved site designs, building materials, and colors that meet that objective. See SIO map and scenic viewshed tables in appendix D.</w:t>
      </w:r>
    </w:p>
    <w:p>
      <w:pPr>
        <w:spacing w:before="232"/>
        <w:ind w:left="358" w:right="0" w:firstLine="0"/>
        <w:jc w:val="left"/>
        <w:rPr>
          <w:rFonts w:ascii="Arial"/>
          <w:i/>
          <w:sz w:val="22"/>
        </w:rPr>
      </w:pPr>
      <w:bookmarkStart w:name="FW-GDL-LSU-06. Withdrawal Requests and R" w:id="417"/>
      <w:bookmarkEnd w:id="417"/>
      <w:r>
        <w:rPr/>
      </w:r>
      <w:r>
        <w:rPr>
          <w:rFonts w:ascii="Arial"/>
          <w:i/>
          <w:sz w:val="22"/>
        </w:rPr>
        <w:t>FW-GDL-LSU-06.</w:t>
      </w:r>
      <w:r>
        <w:rPr>
          <w:rFonts w:ascii="Arial"/>
          <w:i/>
          <w:spacing w:val="-8"/>
          <w:sz w:val="22"/>
        </w:rPr>
        <w:t> </w:t>
      </w:r>
      <w:r>
        <w:rPr>
          <w:rFonts w:ascii="Arial"/>
          <w:i/>
          <w:sz w:val="22"/>
        </w:rPr>
        <w:t>Withdrawal</w:t>
      </w:r>
      <w:r>
        <w:rPr>
          <w:rFonts w:ascii="Arial"/>
          <w:i/>
          <w:spacing w:val="-7"/>
          <w:sz w:val="22"/>
        </w:rPr>
        <w:t> </w:t>
      </w:r>
      <w:r>
        <w:rPr>
          <w:rFonts w:ascii="Arial"/>
          <w:i/>
          <w:sz w:val="22"/>
        </w:rPr>
        <w:t>Requests</w:t>
      </w:r>
      <w:r>
        <w:rPr>
          <w:rFonts w:ascii="Arial"/>
          <w:i/>
          <w:spacing w:val="-7"/>
          <w:sz w:val="22"/>
        </w:rPr>
        <w:t> </w:t>
      </w:r>
      <w:r>
        <w:rPr>
          <w:rFonts w:ascii="Arial"/>
          <w:i/>
          <w:sz w:val="22"/>
        </w:rPr>
        <w:t>and</w:t>
      </w:r>
      <w:r>
        <w:rPr>
          <w:rFonts w:ascii="Arial"/>
          <w:i/>
          <w:spacing w:val="-8"/>
          <w:sz w:val="22"/>
        </w:rPr>
        <w:t> </w:t>
      </w:r>
      <w:r>
        <w:rPr>
          <w:rFonts w:ascii="Arial"/>
          <w:i/>
          <w:spacing w:val="-2"/>
          <w:sz w:val="22"/>
        </w:rPr>
        <w:t>Revocations</w:t>
      </w:r>
    </w:p>
    <w:p>
      <w:pPr>
        <w:pStyle w:val="BodyText"/>
        <w:spacing w:line="232" w:lineRule="auto" w:before="65"/>
        <w:ind w:left="358" w:right="1621"/>
      </w:pPr>
      <w:r>
        <w:rPr/>
        <w:t>Recommend</w:t>
      </w:r>
      <w:r>
        <w:rPr>
          <w:spacing w:val="-7"/>
        </w:rPr>
        <w:t> </w:t>
      </w:r>
      <w:r>
        <w:rPr/>
        <w:t>withdrawals</w:t>
      </w:r>
      <w:r>
        <w:rPr>
          <w:spacing w:val="-9"/>
        </w:rPr>
        <w:t> </w:t>
      </w:r>
      <w:r>
        <w:rPr/>
        <w:t>for</w:t>
      </w:r>
      <w:r>
        <w:rPr>
          <w:spacing w:val="-7"/>
        </w:rPr>
        <w:t> </w:t>
      </w:r>
      <w:r>
        <w:rPr/>
        <w:t>research</w:t>
      </w:r>
      <w:r>
        <w:rPr>
          <w:spacing w:val="-7"/>
        </w:rPr>
        <w:t> </w:t>
      </w:r>
      <w:r>
        <w:rPr/>
        <w:t>natural</w:t>
      </w:r>
      <w:r>
        <w:rPr>
          <w:spacing w:val="-7"/>
        </w:rPr>
        <w:t> </w:t>
      </w:r>
      <w:r>
        <w:rPr/>
        <w:t>areas,</w:t>
      </w:r>
      <w:r>
        <w:rPr>
          <w:spacing w:val="-7"/>
        </w:rPr>
        <w:t> </w:t>
      </w:r>
      <w:r>
        <w:rPr/>
        <w:t>portions</w:t>
      </w:r>
      <w:r>
        <w:rPr>
          <w:spacing w:val="-9"/>
        </w:rPr>
        <w:t> </w:t>
      </w:r>
      <w:r>
        <w:rPr/>
        <w:t>of</w:t>
      </w:r>
      <w:r>
        <w:rPr>
          <w:spacing w:val="-7"/>
        </w:rPr>
        <w:t> </w:t>
      </w:r>
      <w:r>
        <w:rPr/>
        <w:t>the</w:t>
      </w:r>
      <w:r>
        <w:rPr>
          <w:spacing w:val="-9"/>
        </w:rPr>
        <w:t> </w:t>
      </w:r>
      <w:r>
        <w:rPr/>
        <w:t>Pacific</w:t>
      </w:r>
      <w:r>
        <w:rPr>
          <w:spacing w:val="-7"/>
        </w:rPr>
        <w:t> </w:t>
      </w:r>
      <w:r>
        <w:rPr/>
        <w:t>Northwest</w:t>
      </w:r>
      <w:r>
        <w:rPr>
          <w:spacing w:val="-7"/>
        </w:rPr>
        <w:t> </w:t>
      </w:r>
      <w:r>
        <w:rPr/>
        <w:t>National Scenic Trail and other areas where the Forest determines mineral potential is high and mining activity could</w:t>
      </w:r>
      <w:r>
        <w:rPr>
          <w:spacing w:val="-3"/>
        </w:rPr>
        <w:t> </w:t>
      </w:r>
      <w:r>
        <w:rPr/>
        <w:t>materially affect those areas. Request revocation</w:t>
      </w:r>
      <w:r>
        <w:rPr>
          <w:spacing w:val="-3"/>
        </w:rPr>
        <w:t> </w:t>
      </w:r>
      <w:r>
        <w:rPr/>
        <w:t>of withdrawals where they are no longer needed, such as the former location of the Chewelah Ski area.</w:t>
      </w:r>
    </w:p>
    <w:p>
      <w:pPr>
        <w:spacing w:before="234"/>
        <w:ind w:left="357" w:right="1445" w:firstLine="0"/>
        <w:jc w:val="left"/>
        <w:rPr>
          <w:rFonts w:ascii="Arial"/>
          <w:i/>
          <w:sz w:val="22"/>
        </w:rPr>
      </w:pPr>
      <w:bookmarkStart w:name="FW-GDL-LSU-07. Non-commercial Group Use," w:id="418"/>
      <w:bookmarkEnd w:id="418"/>
      <w:r>
        <w:rPr/>
      </w:r>
      <w:r>
        <w:rPr>
          <w:rFonts w:ascii="Arial"/>
          <w:i/>
          <w:sz w:val="22"/>
        </w:rPr>
        <w:t>FW-GDL-LSU-07.</w:t>
      </w:r>
      <w:r>
        <w:rPr>
          <w:rFonts w:ascii="Arial"/>
          <w:i/>
          <w:spacing w:val="-3"/>
          <w:sz w:val="22"/>
        </w:rPr>
        <w:t> </w:t>
      </w:r>
      <w:r>
        <w:rPr>
          <w:rFonts w:ascii="Arial"/>
          <w:i/>
          <w:sz w:val="22"/>
        </w:rPr>
        <w:t>Non-commercial</w:t>
      </w:r>
      <w:r>
        <w:rPr>
          <w:rFonts w:ascii="Arial"/>
          <w:i/>
          <w:spacing w:val="-5"/>
          <w:sz w:val="22"/>
        </w:rPr>
        <w:t> </w:t>
      </w:r>
      <w:r>
        <w:rPr>
          <w:rFonts w:ascii="Arial"/>
          <w:i/>
          <w:sz w:val="22"/>
        </w:rPr>
        <w:t>Group</w:t>
      </w:r>
      <w:r>
        <w:rPr>
          <w:rFonts w:ascii="Arial"/>
          <w:i/>
          <w:spacing w:val="-5"/>
          <w:sz w:val="22"/>
        </w:rPr>
        <w:t> </w:t>
      </w:r>
      <w:r>
        <w:rPr>
          <w:rFonts w:ascii="Arial"/>
          <w:i/>
          <w:sz w:val="22"/>
        </w:rPr>
        <w:t>Use,</w:t>
      </w:r>
      <w:r>
        <w:rPr>
          <w:rFonts w:ascii="Arial"/>
          <w:i/>
          <w:spacing w:val="-5"/>
          <w:sz w:val="22"/>
        </w:rPr>
        <w:t> </w:t>
      </w:r>
      <w:r>
        <w:rPr>
          <w:rFonts w:ascii="Arial"/>
          <w:i/>
          <w:sz w:val="22"/>
        </w:rPr>
        <w:t>Recreation</w:t>
      </w:r>
      <w:r>
        <w:rPr>
          <w:rFonts w:ascii="Arial"/>
          <w:i/>
          <w:spacing w:val="-5"/>
          <w:sz w:val="22"/>
        </w:rPr>
        <w:t> </w:t>
      </w:r>
      <w:r>
        <w:rPr>
          <w:rFonts w:ascii="Arial"/>
          <w:i/>
          <w:sz w:val="22"/>
        </w:rPr>
        <w:t>Events,</w:t>
      </w:r>
      <w:r>
        <w:rPr>
          <w:rFonts w:ascii="Arial"/>
          <w:i/>
          <w:spacing w:val="-3"/>
          <w:sz w:val="22"/>
        </w:rPr>
        <w:t> </w:t>
      </w:r>
      <w:r>
        <w:rPr>
          <w:rFonts w:ascii="Arial"/>
          <w:i/>
          <w:sz w:val="22"/>
        </w:rPr>
        <w:t>and</w:t>
      </w:r>
      <w:r>
        <w:rPr>
          <w:rFonts w:ascii="Arial"/>
          <w:i/>
          <w:spacing w:val="-7"/>
          <w:sz w:val="22"/>
        </w:rPr>
        <w:t> </w:t>
      </w:r>
      <w:r>
        <w:rPr>
          <w:rFonts w:ascii="Arial"/>
          <w:i/>
          <w:sz w:val="22"/>
        </w:rPr>
        <w:t>Outfitter</w:t>
      </w:r>
      <w:r>
        <w:rPr>
          <w:rFonts w:ascii="Arial"/>
          <w:i/>
          <w:spacing w:val="-6"/>
          <w:sz w:val="22"/>
        </w:rPr>
        <w:t> </w:t>
      </w:r>
      <w:r>
        <w:rPr>
          <w:rFonts w:ascii="Arial"/>
          <w:i/>
          <w:sz w:val="22"/>
        </w:rPr>
        <w:t>and</w:t>
      </w:r>
      <w:r>
        <w:rPr>
          <w:rFonts w:ascii="Arial"/>
          <w:i/>
          <w:sz w:val="22"/>
        </w:rPr>
        <w:t> Guide Permits</w:t>
      </w:r>
    </w:p>
    <w:p>
      <w:pPr>
        <w:pStyle w:val="BodyText"/>
        <w:spacing w:line="232" w:lineRule="auto" w:before="66"/>
        <w:ind w:left="357" w:right="1073"/>
      </w:pPr>
      <w:r>
        <w:rPr/>
        <w:t>Use</w:t>
      </w:r>
      <w:r>
        <w:rPr>
          <w:spacing w:val="-4"/>
        </w:rPr>
        <w:t> </w:t>
      </w:r>
      <w:r>
        <w:rPr/>
        <w:t>should</w:t>
      </w:r>
      <w:r>
        <w:rPr>
          <w:spacing w:val="-6"/>
        </w:rPr>
        <w:t> </w:t>
      </w:r>
      <w:r>
        <w:rPr/>
        <w:t>be</w:t>
      </w:r>
      <w:r>
        <w:rPr>
          <w:spacing w:val="-4"/>
        </w:rPr>
        <w:t> </w:t>
      </w:r>
      <w:r>
        <w:rPr/>
        <w:t>authorized</w:t>
      </w:r>
      <w:r>
        <w:rPr>
          <w:spacing w:val="-7"/>
        </w:rPr>
        <w:t> </w:t>
      </w:r>
      <w:r>
        <w:rPr/>
        <w:t>on</w:t>
      </w:r>
      <w:r>
        <w:rPr>
          <w:spacing w:val="-6"/>
        </w:rPr>
        <w:t> </w:t>
      </w:r>
      <w:r>
        <w:rPr/>
        <w:t>lands</w:t>
      </w:r>
      <w:r>
        <w:rPr>
          <w:spacing w:val="-5"/>
        </w:rPr>
        <w:t> </w:t>
      </w:r>
      <w:r>
        <w:rPr/>
        <w:t>where</w:t>
      </w:r>
      <w:r>
        <w:rPr>
          <w:spacing w:val="-4"/>
        </w:rPr>
        <w:t> </w:t>
      </w:r>
      <w:r>
        <w:rPr/>
        <w:t>vegetation</w:t>
      </w:r>
      <w:r>
        <w:rPr>
          <w:spacing w:val="-7"/>
        </w:rPr>
        <w:t> </w:t>
      </w:r>
      <w:r>
        <w:rPr/>
        <w:t>or</w:t>
      </w:r>
      <w:r>
        <w:rPr>
          <w:spacing w:val="-5"/>
        </w:rPr>
        <w:t> </w:t>
      </w:r>
      <w:r>
        <w:rPr/>
        <w:t>species</w:t>
      </w:r>
      <w:r>
        <w:rPr>
          <w:spacing w:val="-7"/>
        </w:rPr>
        <w:t> </w:t>
      </w:r>
      <w:r>
        <w:rPr/>
        <w:t>habitat</w:t>
      </w:r>
      <w:r>
        <w:rPr>
          <w:spacing w:val="-4"/>
        </w:rPr>
        <w:t> </w:t>
      </w:r>
      <w:r>
        <w:rPr/>
        <w:t>conditions</w:t>
      </w:r>
      <w:r>
        <w:rPr>
          <w:spacing w:val="-7"/>
        </w:rPr>
        <w:t> </w:t>
      </w:r>
      <w:r>
        <w:rPr/>
        <w:t>are</w:t>
      </w:r>
      <w:r>
        <w:rPr>
          <w:spacing w:val="-4"/>
        </w:rPr>
        <w:t> </w:t>
      </w:r>
      <w:r>
        <w:rPr/>
        <w:t>stable</w:t>
      </w:r>
      <w:r>
        <w:rPr>
          <w:spacing w:val="-7"/>
        </w:rPr>
        <w:t> </w:t>
      </w:r>
      <w:r>
        <w:rPr/>
        <w:t>or resilient to potential impacts of the authorized use.</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801"/>
      </w:pPr>
      <w:r>
        <w:rPr/>
        <w:t>Authorizing</w:t>
      </w:r>
      <w:r>
        <w:rPr>
          <w:spacing w:val="-5"/>
        </w:rPr>
        <w:t> </w:t>
      </w:r>
      <w:r>
        <w:rPr/>
        <w:t>use</w:t>
      </w:r>
      <w:r>
        <w:rPr>
          <w:spacing w:val="-3"/>
        </w:rPr>
        <w:t> </w:t>
      </w:r>
      <w:r>
        <w:rPr/>
        <w:t>in</w:t>
      </w:r>
      <w:r>
        <w:rPr>
          <w:spacing w:val="-5"/>
        </w:rPr>
        <w:t> </w:t>
      </w:r>
      <w:r>
        <w:rPr/>
        <w:t>locations</w:t>
      </w:r>
      <w:r>
        <w:rPr>
          <w:spacing w:val="-4"/>
        </w:rPr>
        <w:t> </w:t>
      </w:r>
      <w:r>
        <w:rPr/>
        <w:t>or</w:t>
      </w:r>
      <w:r>
        <w:rPr>
          <w:spacing w:val="-6"/>
        </w:rPr>
        <w:t> </w:t>
      </w:r>
      <w:r>
        <w:rPr/>
        <w:t>times</w:t>
      </w:r>
      <w:r>
        <w:rPr>
          <w:spacing w:val="-6"/>
        </w:rPr>
        <w:t> </w:t>
      </w:r>
      <w:r>
        <w:rPr/>
        <w:t>that</w:t>
      </w:r>
      <w:r>
        <w:rPr>
          <w:spacing w:val="-3"/>
        </w:rPr>
        <w:t> </w:t>
      </w:r>
      <w:r>
        <w:rPr/>
        <w:t>would</w:t>
      </w:r>
      <w:r>
        <w:rPr>
          <w:spacing w:val="-5"/>
        </w:rPr>
        <w:t> </w:t>
      </w:r>
      <w:r>
        <w:rPr/>
        <w:t>adversely</w:t>
      </w:r>
      <w:r>
        <w:rPr>
          <w:spacing w:val="-3"/>
        </w:rPr>
        <w:t> </w:t>
      </w:r>
      <w:r>
        <w:rPr/>
        <w:t>displace</w:t>
      </w:r>
      <w:r>
        <w:rPr>
          <w:spacing w:val="-6"/>
        </w:rPr>
        <w:t> </w:t>
      </w:r>
      <w:r>
        <w:rPr/>
        <w:t>or</w:t>
      </w:r>
      <w:r>
        <w:rPr>
          <w:spacing w:val="-4"/>
        </w:rPr>
        <w:t> </w:t>
      </w:r>
      <w:r>
        <w:rPr/>
        <w:t>disrupt</w:t>
      </w:r>
      <w:r>
        <w:rPr>
          <w:spacing w:val="-6"/>
        </w:rPr>
        <w:t> </w:t>
      </w:r>
      <w:r>
        <w:rPr/>
        <w:t>other</w:t>
      </w:r>
      <w:r>
        <w:rPr>
          <w:spacing w:val="-4"/>
        </w:rPr>
        <w:t> </w:t>
      </w:r>
      <w:r>
        <w:rPr/>
        <w:t>recreating public should be avoided.</w:t>
      </w:r>
    </w:p>
    <w:p>
      <w:pPr>
        <w:pStyle w:val="BodyText"/>
        <w:spacing w:line="232" w:lineRule="auto" w:before="199"/>
        <w:ind w:left="1151" w:right="801"/>
      </w:pPr>
      <w:r>
        <w:rPr/>
        <w:t>Commercial</w:t>
      </w:r>
      <w:r>
        <w:rPr>
          <w:spacing w:val="-8"/>
        </w:rPr>
        <w:t> </w:t>
      </w:r>
      <w:r>
        <w:rPr/>
        <w:t>outfitters</w:t>
      </w:r>
      <w:r>
        <w:rPr>
          <w:spacing w:val="-5"/>
        </w:rPr>
        <w:t> </w:t>
      </w:r>
      <w:r>
        <w:rPr/>
        <w:t>and</w:t>
      </w:r>
      <w:r>
        <w:rPr>
          <w:spacing w:val="-8"/>
        </w:rPr>
        <w:t> </w:t>
      </w:r>
      <w:r>
        <w:rPr/>
        <w:t>guides</w:t>
      </w:r>
      <w:r>
        <w:rPr>
          <w:spacing w:val="-5"/>
        </w:rPr>
        <w:t> </w:t>
      </w:r>
      <w:r>
        <w:rPr/>
        <w:t>should</w:t>
      </w:r>
      <w:r>
        <w:rPr>
          <w:spacing w:val="-6"/>
        </w:rPr>
        <w:t> </w:t>
      </w:r>
      <w:r>
        <w:rPr/>
        <w:t>not</w:t>
      </w:r>
      <w:r>
        <w:rPr>
          <w:spacing w:val="-4"/>
        </w:rPr>
        <w:t> </w:t>
      </w:r>
      <w:r>
        <w:rPr/>
        <w:t>be</w:t>
      </w:r>
      <w:r>
        <w:rPr>
          <w:spacing w:val="-4"/>
        </w:rPr>
        <w:t> </w:t>
      </w:r>
      <w:r>
        <w:rPr/>
        <w:t>authorized</w:t>
      </w:r>
      <w:r>
        <w:rPr>
          <w:spacing w:val="-6"/>
        </w:rPr>
        <w:t> </w:t>
      </w:r>
      <w:r>
        <w:rPr/>
        <w:t>to</w:t>
      </w:r>
      <w:r>
        <w:rPr>
          <w:spacing w:val="-4"/>
        </w:rPr>
        <w:t> </w:t>
      </w:r>
      <w:r>
        <w:rPr/>
        <w:t>use</w:t>
      </w:r>
      <w:r>
        <w:rPr>
          <w:spacing w:val="-4"/>
        </w:rPr>
        <w:t> </w:t>
      </w:r>
      <w:r>
        <w:rPr/>
        <w:t>developed</w:t>
      </w:r>
      <w:r>
        <w:rPr>
          <w:spacing w:val="-8"/>
        </w:rPr>
        <w:t> </w:t>
      </w:r>
      <w:r>
        <w:rPr/>
        <w:t>campgrounds</w:t>
      </w:r>
      <w:r>
        <w:rPr>
          <w:spacing w:val="-5"/>
        </w:rPr>
        <w:t> </w:t>
      </w:r>
      <w:r>
        <w:rPr/>
        <w:t>so those sites remain available to non-commercial forest visitors.</w:t>
      </w:r>
    </w:p>
    <w:p>
      <w:pPr>
        <w:pStyle w:val="BodyText"/>
        <w:spacing w:line="232" w:lineRule="auto" w:before="199"/>
        <w:ind w:left="1151" w:right="801"/>
      </w:pPr>
      <w:r>
        <w:rPr/>
        <w:t>Commercial</w:t>
      </w:r>
      <w:r>
        <w:rPr>
          <w:spacing w:val="-8"/>
        </w:rPr>
        <w:t> </w:t>
      </w:r>
      <w:r>
        <w:rPr/>
        <w:t>outfitters</w:t>
      </w:r>
      <w:r>
        <w:rPr>
          <w:spacing w:val="-5"/>
        </w:rPr>
        <w:t> </w:t>
      </w:r>
      <w:r>
        <w:rPr/>
        <w:t>and</w:t>
      </w:r>
      <w:r>
        <w:rPr>
          <w:spacing w:val="-8"/>
        </w:rPr>
        <w:t> </w:t>
      </w:r>
      <w:r>
        <w:rPr/>
        <w:t>guides</w:t>
      </w:r>
      <w:r>
        <w:rPr>
          <w:spacing w:val="-5"/>
        </w:rPr>
        <w:t> </w:t>
      </w:r>
      <w:r>
        <w:rPr/>
        <w:t>may</w:t>
      </w:r>
      <w:r>
        <w:rPr>
          <w:spacing w:val="-6"/>
        </w:rPr>
        <w:t> </w:t>
      </w:r>
      <w:r>
        <w:rPr/>
        <w:t>be</w:t>
      </w:r>
      <w:r>
        <w:rPr>
          <w:spacing w:val="-4"/>
        </w:rPr>
        <w:t> </w:t>
      </w:r>
      <w:r>
        <w:rPr/>
        <w:t>authorized</w:t>
      </w:r>
      <w:r>
        <w:rPr>
          <w:spacing w:val="-8"/>
        </w:rPr>
        <w:t> </w:t>
      </w:r>
      <w:r>
        <w:rPr/>
        <w:t>use</w:t>
      </w:r>
      <w:r>
        <w:rPr>
          <w:spacing w:val="-4"/>
        </w:rPr>
        <w:t> </w:t>
      </w:r>
      <w:r>
        <w:rPr/>
        <w:t>of</w:t>
      </w:r>
      <w:r>
        <w:rPr>
          <w:spacing w:val="-7"/>
        </w:rPr>
        <w:t> </w:t>
      </w:r>
      <w:r>
        <w:rPr/>
        <w:t>range</w:t>
      </w:r>
      <w:r>
        <w:rPr>
          <w:spacing w:val="-4"/>
        </w:rPr>
        <w:t> </w:t>
      </w:r>
      <w:r>
        <w:rPr/>
        <w:t>developments</w:t>
      </w:r>
      <w:r>
        <w:rPr>
          <w:spacing w:val="-7"/>
        </w:rPr>
        <w:t> </w:t>
      </w:r>
      <w:r>
        <w:rPr/>
        <w:t>when</w:t>
      </w:r>
      <w:r>
        <w:rPr>
          <w:spacing w:val="-6"/>
        </w:rPr>
        <w:t> </w:t>
      </w:r>
      <w:r>
        <w:rPr/>
        <w:t>there</w:t>
      </w:r>
      <w:r>
        <w:rPr>
          <w:spacing w:val="-7"/>
        </w:rPr>
        <w:t> </w:t>
      </w:r>
      <w:r>
        <w:rPr/>
        <w:t>is no conflict with allotment management.</w:t>
      </w:r>
    </w:p>
    <w:p>
      <w:pPr>
        <w:pStyle w:val="BodyText"/>
        <w:spacing w:line="232" w:lineRule="auto" w:before="199"/>
        <w:ind w:left="1151" w:right="961"/>
      </w:pPr>
      <w:r>
        <w:rPr/>
        <w:t>Large group and recreation event special uses should not be authorized within wilderness, recommended</w:t>
      </w:r>
      <w:r>
        <w:rPr>
          <w:spacing w:val="-9"/>
        </w:rPr>
        <w:t> </w:t>
      </w:r>
      <w:r>
        <w:rPr/>
        <w:t>wilderness,</w:t>
      </w:r>
      <w:r>
        <w:rPr>
          <w:spacing w:val="-8"/>
        </w:rPr>
        <w:t> </w:t>
      </w:r>
      <w:r>
        <w:rPr/>
        <w:t>eligible</w:t>
      </w:r>
      <w:r>
        <w:rPr>
          <w:spacing w:val="-6"/>
        </w:rPr>
        <w:t> </w:t>
      </w:r>
      <w:r>
        <w:rPr/>
        <w:t>“wild”</w:t>
      </w:r>
      <w:r>
        <w:rPr>
          <w:spacing w:val="-6"/>
        </w:rPr>
        <w:t> </w:t>
      </w:r>
      <w:r>
        <w:rPr/>
        <w:t>river</w:t>
      </w:r>
      <w:r>
        <w:rPr>
          <w:spacing w:val="-8"/>
        </w:rPr>
        <w:t> </w:t>
      </w:r>
      <w:r>
        <w:rPr/>
        <w:t>corridors,</w:t>
      </w:r>
      <w:r>
        <w:rPr>
          <w:spacing w:val="-7"/>
        </w:rPr>
        <w:t> </w:t>
      </w:r>
      <w:r>
        <w:rPr/>
        <w:t>or</w:t>
      </w:r>
      <w:r>
        <w:rPr>
          <w:spacing w:val="-7"/>
        </w:rPr>
        <w:t> </w:t>
      </w:r>
      <w:r>
        <w:rPr/>
        <w:t>research</w:t>
      </w:r>
      <w:r>
        <w:rPr>
          <w:spacing w:val="-7"/>
        </w:rPr>
        <w:t> </w:t>
      </w:r>
      <w:r>
        <w:rPr/>
        <w:t>natural</w:t>
      </w:r>
      <w:r>
        <w:rPr>
          <w:spacing w:val="-7"/>
        </w:rPr>
        <w:t> </w:t>
      </w:r>
      <w:r>
        <w:rPr/>
        <w:t>areas</w:t>
      </w:r>
      <w:r>
        <w:rPr>
          <w:spacing w:val="-7"/>
        </w:rPr>
        <w:t> </w:t>
      </w:r>
      <w:r>
        <w:rPr/>
        <w:t>to</w:t>
      </w:r>
      <w:r>
        <w:rPr>
          <w:spacing w:val="-7"/>
        </w:rPr>
        <w:t> </w:t>
      </w:r>
      <w:r>
        <w:rPr/>
        <w:t>protect the unique character of these areas.</w:t>
      </w:r>
    </w:p>
    <w:p>
      <w:pPr>
        <w:pStyle w:val="BodyText"/>
        <w:spacing w:before="192"/>
        <w:ind w:left="1151"/>
      </w:pPr>
      <w:r>
        <w:rPr/>
        <w:t>Constructed</w:t>
      </w:r>
      <w:r>
        <w:rPr>
          <w:spacing w:val="-9"/>
        </w:rPr>
        <w:t> </w:t>
      </w:r>
      <w:r>
        <w:rPr/>
        <w:t>features</w:t>
      </w:r>
      <w:r>
        <w:rPr>
          <w:spacing w:val="-8"/>
        </w:rPr>
        <w:t> </w:t>
      </w:r>
      <w:r>
        <w:rPr/>
        <w:t>should</w:t>
      </w:r>
      <w:r>
        <w:rPr>
          <w:spacing w:val="-8"/>
        </w:rPr>
        <w:t> </w:t>
      </w:r>
      <w:r>
        <w:rPr/>
        <w:t>be</w:t>
      </w:r>
      <w:r>
        <w:rPr>
          <w:spacing w:val="-7"/>
        </w:rPr>
        <w:t> </w:t>
      </w:r>
      <w:r>
        <w:rPr/>
        <w:t>maintained</w:t>
      </w:r>
      <w:r>
        <w:rPr>
          <w:spacing w:val="-8"/>
        </w:rPr>
        <w:t> </w:t>
      </w:r>
      <w:r>
        <w:rPr/>
        <w:t>to</w:t>
      </w:r>
      <w:r>
        <w:rPr>
          <w:spacing w:val="-7"/>
        </w:rPr>
        <w:t> </w:t>
      </w:r>
      <w:r>
        <w:rPr/>
        <w:t>standard</w:t>
      </w:r>
      <w:r>
        <w:rPr>
          <w:spacing w:val="-9"/>
        </w:rPr>
        <w:t> </w:t>
      </w:r>
      <w:r>
        <w:rPr/>
        <w:t>or</w:t>
      </w:r>
      <w:r>
        <w:rPr>
          <w:spacing w:val="-7"/>
        </w:rPr>
        <w:t> </w:t>
      </w:r>
      <w:r>
        <w:rPr/>
        <w:t>removed</w:t>
      </w:r>
      <w:r>
        <w:rPr>
          <w:spacing w:val="-11"/>
        </w:rPr>
        <w:t> </w:t>
      </w:r>
      <w:r>
        <w:rPr/>
        <w:t>when</w:t>
      </w:r>
      <w:r>
        <w:rPr>
          <w:spacing w:val="-8"/>
        </w:rPr>
        <w:t> </w:t>
      </w:r>
      <w:r>
        <w:rPr/>
        <w:t>no</w:t>
      </w:r>
      <w:r>
        <w:rPr>
          <w:spacing w:val="-7"/>
        </w:rPr>
        <w:t> </w:t>
      </w:r>
      <w:r>
        <w:rPr/>
        <w:t>longer</w:t>
      </w:r>
      <w:r>
        <w:rPr>
          <w:spacing w:val="-7"/>
        </w:rPr>
        <w:t> </w:t>
      </w:r>
      <w:r>
        <w:rPr>
          <w:spacing w:val="-2"/>
        </w:rPr>
        <w:t>needed.</w:t>
      </w:r>
    </w:p>
    <w:p>
      <w:pPr>
        <w:pStyle w:val="Heading3"/>
        <w:spacing w:before="234"/>
      </w:pPr>
      <w:bookmarkStart w:name="Livestock Grazing (LG)" w:id="419"/>
      <w:bookmarkEnd w:id="419"/>
      <w:r>
        <w:rPr>
          <w:b w:val="0"/>
        </w:rPr>
      </w:r>
      <w:bookmarkStart w:name="_bookmark134" w:id="420"/>
      <w:bookmarkEnd w:id="420"/>
      <w:r>
        <w:rPr>
          <w:b w:val="0"/>
        </w:rPr>
      </w:r>
      <w:r>
        <w:rPr>
          <w:smallCaps/>
          <w:color w:val="475824"/>
        </w:rPr>
        <w:t>Livestock</w:t>
      </w:r>
      <w:r>
        <w:rPr>
          <w:smallCaps/>
          <w:color w:val="475824"/>
          <w:spacing w:val="-7"/>
        </w:rPr>
        <w:t> </w:t>
      </w:r>
      <w:r>
        <w:rPr>
          <w:smallCaps/>
          <w:color w:val="475824"/>
        </w:rPr>
        <w:t>Grazing</w:t>
      </w:r>
      <w:r>
        <w:rPr>
          <w:smallCaps/>
          <w:color w:val="475824"/>
          <w:spacing w:val="-5"/>
        </w:rPr>
        <w:t> </w:t>
      </w:r>
      <w:r>
        <w:rPr>
          <w:smallCaps/>
          <w:color w:val="475824"/>
          <w:spacing w:val="-4"/>
        </w:rPr>
        <w:t>(LG)</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5488">
                <wp:simplePos x="0" y="0"/>
                <wp:positionH relativeFrom="page">
                  <wp:posOffset>1627632</wp:posOffset>
                </wp:positionH>
                <wp:positionV relativeFrom="paragraph">
                  <wp:posOffset>75269</wp:posOffset>
                </wp:positionV>
                <wp:extent cx="5248910" cy="1440180"/>
                <wp:effectExtent l="0" t="0" r="0" b="0"/>
                <wp:wrapTopAndBottom/>
                <wp:docPr id="182" name="Textbox 182"/>
                <wp:cNvGraphicFramePr>
                  <a:graphicFrameLocks/>
                </wp:cNvGraphicFramePr>
                <a:graphic>
                  <a:graphicData uri="http://schemas.microsoft.com/office/word/2010/wordprocessingShape">
                    <wps:wsp>
                      <wps:cNvPr id="182" name="Textbox 182"/>
                      <wps:cNvSpPr txBox="1"/>
                      <wps:spPr>
                        <a:xfrm>
                          <a:off x="0" y="0"/>
                          <a:ext cx="5248910" cy="1440180"/>
                        </a:xfrm>
                        <a:prstGeom prst="rect">
                          <a:avLst/>
                        </a:prstGeom>
                        <a:solidFill>
                          <a:srgbClr val="DFDFDF"/>
                        </a:solidFill>
                      </wps:spPr>
                      <wps:txbx>
                        <w:txbxContent>
                          <w:p>
                            <w:pPr>
                              <w:pStyle w:val="BodyText"/>
                              <w:spacing w:line="268" w:lineRule="exact"/>
                              <w:ind w:left="28"/>
                              <w:rPr>
                                <w:color w:val="000000"/>
                              </w:rPr>
                            </w:pPr>
                            <w:r>
                              <w:rPr>
                                <w:color w:val="000000"/>
                              </w:rPr>
                              <w:t>COMMERCIAL</w:t>
                            </w:r>
                            <w:r>
                              <w:rPr>
                                <w:color w:val="000000"/>
                                <w:spacing w:val="-5"/>
                              </w:rPr>
                              <w:t> </w:t>
                            </w:r>
                            <w:r>
                              <w:rPr>
                                <w:color w:val="000000"/>
                              </w:rPr>
                              <w:t>AND</w:t>
                            </w:r>
                            <w:r>
                              <w:rPr>
                                <w:color w:val="000000"/>
                                <w:spacing w:val="-5"/>
                              </w:rPr>
                              <w:t> </w:t>
                            </w:r>
                            <w:r>
                              <w:rPr>
                                <w:color w:val="000000"/>
                                <w:spacing w:val="-2"/>
                              </w:rPr>
                              <w:t>RECREATIONAL</w:t>
                            </w:r>
                          </w:p>
                          <w:p>
                            <w:pPr>
                              <w:pStyle w:val="BodyText"/>
                              <w:spacing w:before="120"/>
                              <w:ind w:left="28"/>
                              <w:rPr>
                                <w:color w:val="000000"/>
                              </w:rPr>
                            </w:pPr>
                            <w:r>
                              <w:rPr>
                                <w:color w:val="000000"/>
                              </w:rPr>
                              <w:t>Permitted livestock grazing on National Forest System lands is managed through a permit system that identifies allotments and specific conditions for use of the allotments. The Forest Plan provides overall guidance for grazing, with allotment management plans providing</w:t>
                            </w:r>
                            <w:r>
                              <w:rPr>
                                <w:color w:val="000000"/>
                                <w:spacing w:val="-3"/>
                              </w:rPr>
                              <w:t> </w:t>
                            </w:r>
                            <w:r>
                              <w:rPr>
                                <w:color w:val="000000"/>
                              </w:rPr>
                              <w:t>specific</w:t>
                            </w:r>
                            <w:r>
                              <w:rPr>
                                <w:color w:val="000000"/>
                                <w:spacing w:val="-3"/>
                              </w:rPr>
                              <w:t> </w:t>
                            </w:r>
                            <w:r>
                              <w:rPr>
                                <w:color w:val="000000"/>
                              </w:rPr>
                              <w:t>guidance</w:t>
                            </w:r>
                            <w:r>
                              <w:rPr>
                                <w:color w:val="000000"/>
                                <w:spacing w:val="-4"/>
                              </w:rPr>
                              <w:t> </w:t>
                            </w:r>
                            <w:r>
                              <w:rPr>
                                <w:color w:val="000000"/>
                              </w:rPr>
                              <w:t>for</w:t>
                            </w:r>
                            <w:r>
                              <w:rPr>
                                <w:color w:val="000000"/>
                                <w:spacing w:val="-4"/>
                              </w:rPr>
                              <w:t> </w:t>
                            </w:r>
                            <w:r>
                              <w:rPr>
                                <w:color w:val="000000"/>
                              </w:rPr>
                              <w:t>each</w:t>
                            </w:r>
                            <w:r>
                              <w:rPr>
                                <w:color w:val="000000"/>
                                <w:spacing w:val="-3"/>
                              </w:rPr>
                              <w:t> </w:t>
                            </w:r>
                            <w:r>
                              <w:rPr>
                                <w:color w:val="000000"/>
                              </w:rPr>
                              <w:t>allotment.</w:t>
                            </w:r>
                            <w:r>
                              <w:rPr>
                                <w:color w:val="000000"/>
                                <w:spacing w:val="-5"/>
                              </w:rPr>
                              <w:t> </w:t>
                            </w:r>
                            <w:r>
                              <w:rPr>
                                <w:color w:val="000000"/>
                              </w:rPr>
                              <w:t>Recreational</w:t>
                            </w:r>
                            <w:r>
                              <w:rPr>
                                <w:color w:val="000000"/>
                                <w:spacing w:val="-3"/>
                              </w:rPr>
                              <w:t> </w:t>
                            </w:r>
                            <w:r>
                              <w:rPr>
                                <w:color w:val="000000"/>
                              </w:rPr>
                              <w:t>grazing</w:t>
                            </w:r>
                            <w:r>
                              <w:rPr>
                                <w:color w:val="000000"/>
                                <w:spacing w:val="-3"/>
                              </w:rPr>
                              <w:t> </w:t>
                            </w:r>
                            <w:r>
                              <w:rPr>
                                <w:color w:val="000000"/>
                              </w:rPr>
                              <w:t>is</w:t>
                            </w:r>
                            <w:r>
                              <w:rPr>
                                <w:color w:val="000000"/>
                                <w:spacing w:val="-3"/>
                              </w:rPr>
                              <w:t> </w:t>
                            </w:r>
                            <w:r>
                              <w:rPr>
                                <w:color w:val="000000"/>
                              </w:rPr>
                              <w:t>an</w:t>
                            </w:r>
                            <w:r>
                              <w:rPr>
                                <w:color w:val="000000"/>
                                <w:spacing w:val="-3"/>
                              </w:rPr>
                              <w:t> </w:t>
                            </w:r>
                            <w:r>
                              <w:rPr>
                                <w:color w:val="000000"/>
                              </w:rPr>
                              <w:t>activity</w:t>
                            </w:r>
                            <w:r>
                              <w:rPr>
                                <w:color w:val="000000"/>
                                <w:spacing w:val="-6"/>
                              </w:rPr>
                              <w:t> </w:t>
                            </w:r>
                            <w:r>
                              <w:rPr>
                                <w:color w:val="000000"/>
                              </w:rPr>
                              <w:t>associated with</w:t>
                            </w:r>
                            <w:r>
                              <w:rPr>
                                <w:color w:val="000000"/>
                                <w:spacing w:val="-1"/>
                              </w:rPr>
                              <w:t> </w:t>
                            </w:r>
                            <w:r>
                              <w:rPr>
                                <w:color w:val="000000"/>
                              </w:rPr>
                              <w:t>the</w:t>
                            </w:r>
                            <w:r>
                              <w:rPr>
                                <w:color w:val="000000"/>
                                <w:spacing w:val="-2"/>
                              </w:rPr>
                              <w:t> </w:t>
                            </w:r>
                            <w:r>
                              <w:rPr>
                                <w:color w:val="000000"/>
                              </w:rPr>
                              <w:t>recreational use</w:t>
                            </w:r>
                            <w:r>
                              <w:rPr>
                                <w:color w:val="000000"/>
                                <w:spacing w:val="-2"/>
                              </w:rPr>
                              <w:t> </w:t>
                            </w:r>
                            <w:r>
                              <w:rPr>
                                <w:color w:val="000000"/>
                              </w:rPr>
                              <w:t>of pack and</w:t>
                            </w:r>
                            <w:r>
                              <w:rPr>
                                <w:color w:val="000000"/>
                                <w:spacing w:val="-1"/>
                              </w:rPr>
                              <w:t> </w:t>
                            </w:r>
                            <w:r>
                              <w:rPr>
                                <w:color w:val="000000"/>
                              </w:rPr>
                              <w:t>saddle</w:t>
                            </w:r>
                            <w:r>
                              <w:rPr>
                                <w:color w:val="000000"/>
                                <w:spacing w:val="-2"/>
                              </w:rPr>
                              <w:t> </w:t>
                            </w:r>
                            <w:r>
                              <w:rPr>
                                <w:color w:val="000000"/>
                              </w:rPr>
                              <w:t>stock</w:t>
                            </w:r>
                            <w:r>
                              <w:rPr>
                                <w:color w:val="000000"/>
                                <w:spacing w:val="-2"/>
                              </w:rPr>
                              <w:t> </w:t>
                            </w:r>
                            <w:r>
                              <w:rPr>
                                <w:color w:val="000000"/>
                              </w:rPr>
                              <w:t>such</w:t>
                            </w:r>
                            <w:r>
                              <w:rPr>
                                <w:color w:val="000000"/>
                                <w:spacing w:val="-1"/>
                              </w:rPr>
                              <w:t> </w:t>
                            </w:r>
                            <w:r>
                              <w:rPr>
                                <w:color w:val="000000"/>
                              </w:rPr>
                              <w:t>as horses,</w:t>
                            </w:r>
                            <w:r>
                              <w:rPr>
                                <w:color w:val="000000"/>
                                <w:spacing w:val="-2"/>
                              </w:rPr>
                              <w:t> </w:t>
                            </w:r>
                            <w:r>
                              <w:rPr>
                                <w:color w:val="000000"/>
                              </w:rPr>
                              <w:t>mules,</w:t>
                            </w:r>
                            <w:r>
                              <w:rPr>
                                <w:color w:val="000000"/>
                                <w:spacing w:val="-2"/>
                              </w:rPr>
                              <w:t> </w:t>
                            </w:r>
                            <w:r>
                              <w:rPr>
                                <w:color w:val="000000"/>
                              </w:rPr>
                              <w:t>llamas,</w:t>
                            </w:r>
                            <w:r>
                              <w:rPr>
                                <w:color w:val="000000"/>
                                <w:spacing w:val="-2"/>
                              </w:rPr>
                              <w:t> </w:t>
                            </w:r>
                            <w:r>
                              <w:rPr>
                                <w:color w:val="000000"/>
                              </w:rPr>
                              <w:t>and</w:t>
                            </w:r>
                            <w:r>
                              <w:rPr>
                                <w:color w:val="000000"/>
                                <w:spacing w:val="-1"/>
                              </w:rPr>
                              <w:t> </w:t>
                            </w:r>
                            <w:r>
                              <w:rPr>
                                <w:color w:val="000000"/>
                              </w:rPr>
                              <w:t>goats. Plan components apply to both commercial and recreational grazing unless specifically stated otherwise.</w:t>
                            </w:r>
                          </w:p>
                        </w:txbxContent>
                      </wps:txbx>
                      <wps:bodyPr wrap="square" lIns="0" tIns="0" rIns="0" bIns="0" rtlCol="0">
                        <a:noAutofit/>
                      </wps:bodyPr>
                    </wps:wsp>
                  </a:graphicData>
                </a:graphic>
              </wp:anchor>
            </w:drawing>
          </mc:Choice>
          <mc:Fallback>
            <w:pict>
              <v:shape style="position:absolute;margin-left:128.160004pt;margin-top:5.926729pt;width:413.3pt;height:113.4pt;mso-position-horizontal-relative:page;mso-position-vertical-relative:paragraph;z-index:-15700992;mso-wrap-distance-left:0;mso-wrap-distance-right:0" type="#_x0000_t202" id="docshape170" filled="true" fillcolor="#dfdfdf" stroked="false">
                <v:textbox inset="0,0,0,0">
                  <w:txbxContent>
                    <w:p>
                      <w:pPr>
                        <w:pStyle w:val="BodyText"/>
                        <w:spacing w:line="268" w:lineRule="exact"/>
                        <w:ind w:left="28"/>
                        <w:rPr>
                          <w:color w:val="000000"/>
                        </w:rPr>
                      </w:pPr>
                      <w:r>
                        <w:rPr>
                          <w:color w:val="000000"/>
                        </w:rPr>
                        <w:t>COMMERCIAL</w:t>
                      </w:r>
                      <w:r>
                        <w:rPr>
                          <w:color w:val="000000"/>
                          <w:spacing w:val="-5"/>
                        </w:rPr>
                        <w:t> </w:t>
                      </w:r>
                      <w:r>
                        <w:rPr>
                          <w:color w:val="000000"/>
                        </w:rPr>
                        <w:t>AND</w:t>
                      </w:r>
                      <w:r>
                        <w:rPr>
                          <w:color w:val="000000"/>
                          <w:spacing w:val="-5"/>
                        </w:rPr>
                        <w:t> </w:t>
                      </w:r>
                      <w:r>
                        <w:rPr>
                          <w:color w:val="000000"/>
                          <w:spacing w:val="-2"/>
                        </w:rPr>
                        <w:t>RECREATIONAL</w:t>
                      </w:r>
                    </w:p>
                    <w:p>
                      <w:pPr>
                        <w:pStyle w:val="BodyText"/>
                        <w:spacing w:before="120"/>
                        <w:ind w:left="28"/>
                        <w:rPr>
                          <w:color w:val="000000"/>
                        </w:rPr>
                      </w:pPr>
                      <w:r>
                        <w:rPr>
                          <w:color w:val="000000"/>
                        </w:rPr>
                        <w:t>Permitted livestock grazing on National Forest System lands is managed through a permit system that identifies allotments and specific conditions for use of the allotments. The Forest Plan provides overall guidance for grazing, with allotment management plans providing</w:t>
                      </w:r>
                      <w:r>
                        <w:rPr>
                          <w:color w:val="000000"/>
                          <w:spacing w:val="-3"/>
                        </w:rPr>
                        <w:t> </w:t>
                      </w:r>
                      <w:r>
                        <w:rPr>
                          <w:color w:val="000000"/>
                        </w:rPr>
                        <w:t>specific</w:t>
                      </w:r>
                      <w:r>
                        <w:rPr>
                          <w:color w:val="000000"/>
                          <w:spacing w:val="-3"/>
                        </w:rPr>
                        <w:t> </w:t>
                      </w:r>
                      <w:r>
                        <w:rPr>
                          <w:color w:val="000000"/>
                        </w:rPr>
                        <w:t>guidance</w:t>
                      </w:r>
                      <w:r>
                        <w:rPr>
                          <w:color w:val="000000"/>
                          <w:spacing w:val="-4"/>
                        </w:rPr>
                        <w:t> </w:t>
                      </w:r>
                      <w:r>
                        <w:rPr>
                          <w:color w:val="000000"/>
                        </w:rPr>
                        <w:t>for</w:t>
                      </w:r>
                      <w:r>
                        <w:rPr>
                          <w:color w:val="000000"/>
                          <w:spacing w:val="-4"/>
                        </w:rPr>
                        <w:t> </w:t>
                      </w:r>
                      <w:r>
                        <w:rPr>
                          <w:color w:val="000000"/>
                        </w:rPr>
                        <w:t>each</w:t>
                      </w:r>
                      <w:r>
                        <w:rPr>
                          <w:color w:val="000000"/>
                          <w:spacing w:val="-3"/>
                        </w:rPr>
                        <w:t> </w:t>
                      </w:r>
                      <w:r>
                        <w:rPr>
                          <w:color w:val="000000"/>
                        </w:rPr>
                        <w:t>allotment.</w:t>
                      </w:r>
                      <w:r>
                        <w:rPr>
                          <w:color w:val="000000"/>
                          <w:spacing w:val="-5"/>
                        </w:rPr>
                        <w:t> </w:t>
                      </w:r>
                      <w:r>
                        <w:rPr>
                          <w:color w:val="000000"/>
                        </w:rPr>
                        <w:t>Recreational</w:t>
                      </w:r>
                      <w:r>
                        <w:rPr>
                          <w:color w:val="000000"/>
                          <w:spacing w:val="-3"/>
                        </w:rPr>
                        <w:t> </w:t>
                      </w:r>
                      <w:r>
                        <w:rPr>
                          <w:color w:val="000000"/>
                        </w:rPr>
                        <w:t>grazing</w:t>
                      </w:r>
                      <w:r>
                        <w:rPr>
                          <w:color w:val="000000"/>
                          <w:spacing w:val="-3"/>
                        </w:rPr>
                        <w:t> </w:t>
                      </w:r>
                      <w:r>
                        <w:rPr>
                          <w:color w:val="000000"/>
                        </w:rPr>
                        <w:t>is</w:t>
                      </w:r>
                      <w:r>
                        <w:rPr>
                          <w:color w:val="000000"/>
                          <w:spacing w:val="-3"/>
                        </w:rPr>
                        <w:t> </w:t>
                      </w:r>
                      <w:r>
                        <w:rPr>
                          <w:color w:val="000000"/>
                        </w:rPr>
                        <w:t>an</w:t>
                      </w:r>
                      <w:r>
                        <w:rPr>
                          <w:color w:val="000000"/>
                          <w:spacing w:val="-3"/>
                        </w:rPr>
                        <w:t> </w:t>
                      </w:r>
                      <w:r>
                        <w:rPr>
                          <w:color w:val="000000"/>
                        </w:rPr>
                        <w:t>activity</w:t>
                      </w:r>
                      <w:r>
                        <w:rPr>
                          <w:color w:val="000000"/>
                          <w:spacing w:val="-6"/>
                        </w:rPr>
                        <w:t> </w:t>
                      </w:r>
                      <w:r>
                        <w:rPr>
                          <w:color w:val="000000"/>
                        </w:rPr>
                        <w:t>associated with</w:t>
                      </w:r>
                      <w:r>
                        <w:rPr>
                          <w:color w:val="000000"/>
                          <w:spacing w:val="-1"/>
                        </w:rPr>
                        <w:t> </w:t>
                      </w:r>
                      <w:r>
                        <w:rPr>
                          <w:color w:val="000000"/>
                        </w:rPr>
                        <w:t>the</w:t>
                      </w:r>
                      <w:r>
                        <w:rPr>
                          <w:color w:val="000000"/>
                          <w:spacing w:val="-2"/>
                        </w:rPr>
                        <w:t> </w:t>
                      </w:r>
                      <w:r>
                        <w:rPr>
                          <w:color w:val="000000"/>
                        </w:rPr>
                        <w:t>recreational use</w:t>
                      </w:r>
                      <w:r>
                        <w:rPr>
                          <w:color w:val="000000"/>
                          <w:spacing w:val="-2"/>
                        </w:rPr>
                        <w:t> </w:t>
                      </w:r>
                      <w:r>
                        <w:rPr>
                          <w:color w:val="000000"/>
                        </w:rPr>
                        <w:t>of pack and</w:t>
                      </w:r>
                      <w:r>
                        <w:rPr>
                          <w:color w:val="000000"/>
                          <w:spacing w:val="-1"/>
                        </w:rPr>
                        <w:t> </w:t>
                      </w:r>
                      <w:r>
                        <w:rPr>
                          <w:color w:val="000000"/>
                        </w:rPr>
                        <w:t>saddle</w:t>
                      </w:r>
                      <w:r>
                        <w:rPr>
                          <w:color w:val="000000"/>
                          <w:spacing w:val="-2"/>
                        </w:rPr>
                        <w:t> </w:t>
                      </w:r>
                      <w:r>
                        <w:rPr>
                          <w:color w:val="000000"/>
                        </w:rPr>
                        <w:t>stock</w:t>
                      </w:r>
                      <w:r>
                        <w:rPr>
                          <w:color w:val="000000"/>
                          <w:spacing w:val="-2"/>
                        </w:rPr>
                        <w:t> </w:t>
                      </w:r>
                      <w:r>
                        <w:rPr>
                          <w:color w:val="000000"/>
                        </w:rPr>
                        <w:t>such</w:t>
                      </w:r>
                      <w:r>
                        <w:rPr>
                          <w:color w:val="000000"/>
                          <w:spacing w:val="-1"/>
                        </w:rPr>
                        <w:t> </w:t>
                      </w:r>
                      <w:r>
                        <w:rPr>
                          <w:color w:val="000000"/>
                        </w:rPr>
                        <w:t>as horses,</w:t>
                      </w:r>
                      <w:r>
                        <w:rPr>
                          <w:color w:val="000000"/>
                          <w:spacing w:val="-2"/>
                        </w:rPr>
                        <w:t> </w:t>
                      </w:r>
                      <w:r>
                        <w:rPr>
                          <w:color w:val="000000"/>
                        </w:rPr>
                        <w:t>mules,</w:t>
                      </w:r>
                      <w:r>
                        <w:rPr>
                          <w:color w:val="000000"/>
                          <w:spacing w:val="-2"/>
                        </w:rPr>
                        <w:t> </w:t>
                      </w:r>
                      <w:r>
                        <w:rPr>
                          <w:color w:val="000000"/>
                        </w:rPr>
                        <w:t>llamas,</w:t>
                      </w:r>
                      <w:r>
                        <w:rPr>
                          <w:color w:val="000000"/>
                          <w:spacing w:val="-2"/>
                        </w:rPr>
                        <w:t> </w:t>
                      </w:r>
                      <w:r>
                        <w:rPr>
                          <w:color w:val="000000"/>
                        </w:rPr>
                        <w:t>and</w:t>
                      </w:r>
                      <w:r>
                        <w:rPr>
                          <w:color w:val="000000"/>
                          <w:spacing w:val="-1"/>
                        </w:rPr>
                        <w:t> </w:t>
                      </w:r>
                      <w:r>
                        <w:rPr>
                          <w:color w:val="000000"/>
                        </w:rPr>
                        <w:t>goats. Plan components apply to both commercial and recreational grazing unless specifically stated otherwise.</w:t>
                      </w:r>
                    </w:p>
                  </w:txbxContent>
                </v:textbox>
                <v:fill type="solid"/>
                <w10:wrap type="topAndBottom"/>
              </v:shape>
            </w:pict>
          </mc:Fallback>
        </mc:AlternateContent>
      </w:r>
    </w:p>
    <w:p>
      <w:pPr>
        <w:pStyle w:val="Heading4"/>
        <w:spacing w:before="240"/>
        <w:ind w:left="1151"/>
      </w:pPr>
      <w:bookmarkStart w:name="Desired Conditions" w:id="421"/>
      <w:bookmarkEnd w:id="421"/>
      <w:r>
        <w:rPr/>
      </w:r>
      <w:bookmarkStart w:name="_bookmark135" w:id="422"/>
      <w:bookmarkEnd w:id="422"/>
      <w:r>
        <w:rPr/>
      </w:r>
      <w:r>
        <w:rPr/>
        <w:t>Desired</w:t>
      </w:r>
      <w:r>
        <w:rPr>
          <w:spacing w:val="-4"/>
        </w:rPr>
        <w:t> </w:t>
      </w:r>
      <w:r>
        <w:rPr>
          <w:spacing w:val="-2"/>
        </w:rPr>
        <w:t>Conditions</w:t>
      </w:r>
    </w:p>
    <w:p>
      <w:pPr>
        <w:spacing w:before="240"/>
        <w:ind w:left="1151" w:right="0" w:firstLine="0"/>
        <w:jc w:val="left"/>
        <w:rPr>
          <w:rFonts w:ascii="Arial"/>
          <w:i/>
          <w:sz w:val="22"/>
        </w:rPr>
      </w:pPr>
      <w:bookmarkStart w:name="FW-DC-LG-01. Plant Community Structure a" w:id="423"/>
      <w:bookmarkEnd w:id="423"/>
      <w:r>
        <w:rPr/>
      </w:r>
      <w:r>
        <w:rPr>
          <w:rFonts w:ascii="Arial"/>
          <w:i/>
          <w:sz w:val="22"/>
        </w:rPr>
        <w:t>FW-DC-LG-01.</w:t>
      </w:r>
      <w:r>
        <w:rPr>
          <w:rFonts w:ascii="Arial"/>
          <w:i/>
          <w:spacing w:val="-6"/>
          <w:sz w:val="22"/>
        </w:rPr>
        <w:t> </w:t>
      </w:r>
      <w:r>
        <w:rPr>
          <w:rFonts w:ascii="Arial"/>
          <w:i/>
          <w:sz w:val="22"/>
        </w:rPr>
        <w:t>Plant</w:t>
      </w:r>
      <w:r>
        <w:rPr>
          <w:rFonts w:ascii="Arial"/>
          <w:i/>
          <w:spacing w:val="-7"/>
          <w:sz w:val="22"/>
        </w:rPr>
        <w:t> </w:t>
      </w:r>
      <w:r>
        <w:rPr>
          <w:rFonts w:ascii="Arial"/>
          <w:i/>
          <w:sz w:val="22"/>
        </w:rPr>
        <w:t>Community</w:t>
      </w:r>
      <w:r>
        <w:rPr>
          <w:rFonts w:ascii="Arial"/>
          <w:i/>
          <w:spacing w:val="-6"/>
          <w:sz w:val="22"/>
        </w:rPr>
        <w:t> </w:t>
      </w:r>
      <w:r>
        <w:rPr>
          <w:rFonts w:ascii="Arial"/>
          <w:i/>
          <w:sz w:val="22"/>
        </w:rPr>
        <w:t>Structure</w:t>
      </w:r>
      <w:r>
        <w:rPr>
          <w:rFonts w:ascii="Arial"/>
          <w:i/>
          <w:spacing w:val="-9"/>
          <w:sz w:val="22"/>
        </w:rPr>
        <w:t> </w:t>
      </w:r>
      <w:r>
        <w:rPr>
          <w:rFonts w:ascii="Arial"/>
          <w:i/>
          <w:sz w:val="22"/>
        </w:rPr>
        <w:t>and</w:t>
      </w:r>
      <w:r>
        <w:rPr>
          <w:rFonts w:ascii="Arial"/>
          <w:i/>
          <w:spacing w:val="-6"/>
          <w:sz w:val="22"/>
        </w:rPr>
        <w:t> </w:t>
      </w:r>
      <w:r>
        <w:rPr>
          <w:rFonts w:ascii="Arial"/>
          <w:i/>
          <w:spacing w:val="-2"/>
          <w:sz w:val="22"/>
        </w:rPr>
        <w:t>Diversity</w:t>
      </w:r>
    </w:p>
    <w:p>
      <w:pPr>
        <w:pStyle w:val="BodyText"/>
        <w:spacing w:line="232" w:lineRule="auto" w:before="67"/>
        <w:ind w:left="1151" w:right="742"/>
      </w:pPr>
      <w:r>
        <w:rPr/>
        <w:t>The desired structure and diversity of native herbaceous plant communities (including highly palatable forage species) are maintained or enhanced through proper livestock management principles.</w:t>
      </w:r>
      <w:r>
        <w:rPr>
          <w:spacing w:val="-4"/>
        </w:rPr>
        <w:t> </w:t>
      </w:r>
      <w:r>
        <w:rPr/>
        <w:t>Rangelands</w:t>
      </w:r>
      <w:r>
        <w:rPr>
          <w:spacing w:val="-4"/>
        </w:rPr>
        <w:t> </w:t>
      </w:r>
      <w:r>
        <w:rPr/>
        <w:t>consisting</w:t>
      </w:r>
      <w:r>
        <w:rPr>
          <w:spacing w:val="-5"/>
        </w:rPr>
        <w:t> </w:t>
      </w:r>
      <w:r>
        <w:rPr/>
        <w:t>of</w:t>
      </w:r>
      <w:r>
        <w:rPr>
          <w:spacing w:val="-4"/>
        </w:rPr>
        <w:t> </w:t>
      </w:r>
      <w:r>
        <w:rPr/>
        <w:t>native</w:t>
      </w:r>
      <w:r>
        <w:rPr>
          <w:spacing w:val="-3"/>
        </w:rPr>
        <w:t> </w:t>
      </w:r>
      <w:r>
        <w:rPr/>
        <w:t>plant</w:t>
      </w:r>
      <w:r>
        <w:rPr>
          <w:spacing w:val="-6"/>
        </w:rPr>
        <w:t> </w:t>
      </w:r>
      <w:r>
        <w:rPr/>
        <w:t>communities</w:t>
      </w:r>
      <w:r>
        <w:rPr>
          <w:spacing w:val="-4"/>
        </w:rPr>
        <w:t> </w:t>
      </w:r>
      <w:r>
        <w:rPr/>
        <w:t>such</w:t>
      </w:r>
      <w:r>
        <w:rPr>
          <w:spacing w:val="-5"/>
        </w:rPr>
        <w:t> </w:t>
      </w:r>
      <w:r>
        <w:rPr/>
        <w:t>as</w:t>
      </w:r>
      <w:r>
        <w:rPr>
          <w:spacing w:val="-6"/>
        </w:rPr>
        <w:t> </w:t>
      </w:r>
      <w:r>
        <w:rPr/>
        <w:t>open</w:t>
      </w:r>
      <w:r>
        <w:rPr>
          <w:spacing w:val="-6"/>
        </w:rPr>
        <w:t> </w:t>
      </w:r>
      <w:r>
        <w:rPr/>
        <w:t>conifer</w:t>
      </w:r>
      <w:r>
        <w:rPr>
          <w:spacing w:val="-4"/>
        </w:rPr>
        <w:t> </w:t>
      </w:r>
      <w:r>
        <w:rPr/>
        <w:t>forests,</w:t>
      </w:r>
      <w:r>
        <w:rPr>
          <w:spacing w:val="-6"/>
        </w:rPr>
        <w:t> </w:t>
      </w:r>
      <w:r>
        <w:rPr/>
        <w:t>low- elevation</w:t>
      </w:r>
      <w:r>
        <w:rPr>
          <w:spacing w:val="-9"/>
        </w:rPr>
        <w:t> </w:t>
      </w:r>
      <w:r>
        <w:rPr/>
        <w:t>grasslands,</w:t>
      </w:r>
      <w:r>
        <w:rPr>
          <w:spacing w:val="-10"/>
        </w:rPr>
        <w:t> </w:t>
      </w:r>
      <w:r>
        <w:rPr/>
        <w:t>shrub-steppe</w:t>
      </w:r>
      <w:r>
        <w:rPr>
          <w:spacing w:val="-7"/>
        </w:rPr>
        <w:t> </w:t>
      </w:r>
      <w:r>
        <w:rPr/>
        <w:t>plant</w:t>
      </w:r>
      <w:r>
        <w:rPr>
          <w:spacing w:val="-7"/>
        </w:rPr>
        <w:t> </w:t>
      </w:r>
      <w:r>
        <w:rPr/>
        <w:t>communities,</w:t>
      </w:r>
      <w:r>
        <w:rPr>
          <w:spacing w:val="-10"/>
        </w:rPr>
        <w:t> </w:t>
      </w:r>
      <w:r>
        <w:rPr/>
        <w:t>and</w:t>
      </w:r>
      <w:r>
        <w:rPr>
          <w:spacing w:val="-9"/>
        </w:rPr>
        <w:t> </w:t>
      </w:r>
      <w:r>
        <w:rPr/>
        <w:t>meadows</w:t>
      </w:r>
      <w:r>
        <w:rPr>
          <w:spacing w:val="-8"/>
        </w:rPr>
        <w:t> </w:t>
      </w:r>
      <w:r>
        <w:rPr/>
        <w:t>are</w:t>
      </w:r>
      <w:r>
        <w:rPr>
          <w:spacing w:val="-7"/>
        </w:rPr>
        <w:t> </w:t>
      </w:r>
      <w:r>
        <w:rPr/>
        <w:t>not</w:t>
      </w:r>
      <w:r>
        <w:rPr>
          <w:spacing w:val="-7"/>
        </w:rPr>
        <w:t> </w:t>
      </w:r>
      <w:r>
        <w:rPr/>
        <w:t>adversely</w:t>
      </w:r>
      <w:r>
        <w:rPr>
          <w:spacing w:val="-7"/>
        </w:rPr>
        <w:t> </w:t>
      </w:r>
      <w:r>
        <w:rPr/>
        <w:t>affected by invasive plant species due to the low coverage present, have stable or improving ecological conditions,</w:t>
      </w:r>
      <w:r>
        <w:rPr>
          <w:spacing w:val="-6"/>
        </w:rPr>
        <w:t> </w:t>
      </w:r>
      <w:r>
        <w:rPr/>
        <w:t>and</w:t>
      </w:r>
      <w:r>
        <w:rPr>
          <w:spacing w:val="-5"/>
        </w:rPr>
        <w:t> </w:t>
      </w:r>
      <w:r>
        <w:rPr/>
        <w:t>are</w:t>
      </w:r>
      <w:r>
        <w:rPr>
          <w:spacing w:val="-6"/>
        </w:rPr>
        <w:t> </w:t>
      </w:r>
      <w:r>
        <w:rPr/>
        <w:t>resilient</w:t>
      </w:r>
      <w:r>
        <w:rPr>
          <w:spacing w:val="-3"/>
        </w:rPr>
        <w:t> </w:t>
      </w:r>
      <w:r>
        <w:rPr/>
        <w:t>to</w:t>
      </w:r>
      <w:r>
        <w:rPr>
          <w:spacing w:val="-5"/>
        </w:rPr>
        <w:t> </w:t>
      </w:r>
      <w:r>
        <w:rPr/>
        <w:t>disturbance</w:t>
      </w:r>
      <w:r>
        <w:rPr>
          <w:spacing w:val="-6"/>
        </w:rPr>
        <w:t> </w:t>
      </w:r>
      <w:r>
        <w:rPr/>
        <w:t>events.</w:t>
      </w:r>
      <w:r>
        <w:rPr>
          <w:spacing w:val="-7"/>
        </w:rPr>
        <w:t> </w:t>
      </w:r>
      <w:r>
        <w:rPr/>
        <w:t>Rangelands</w:t>
      </w:r>
      <w:r>
        <w:rPr>
          <w:spacing w:val="-4"/>
        </w:rPr>
        <w:t> </w:t>
      </w:r>
      <w:r>
        <w:rPr/>
        <w:t>with</w:t>
      </w:r>
      <w:r>
        <w:rPr>
          <w:spacing w:val="-5"/>
        </w:rPr>
        <w:t> </w:t>
      </w:r>
      <w:r>
        <w:rPr/>
        <w:t>significant</w:t>
      </w:r>
      <w:r>
        <w:rPr>
          <w:spacing w:val="-3"/>
        </w:rPr>
        <w:t> </w:t>
      </w:r>
      <w:r>
        <w:rPr/>
        <w:t>non-native</w:t>
      </w:r>
      <w:r>
        <w:rPr>
          <w:spacing w:val="-6"/>
        </w:rPr>
        <w:t> </w:t>
      </w:r>
      <w:r>
        <w:rPr/>
        <w:t>plant components have stable or improving soil stability.</w:t>
      </w:r>
    </w:p>
    <w:p>
      <w:pPr>
        <w:spacing w:before="230"/>
        <w:ind w:left="1151" w:right="0" w:firstLine="0"/>
        <w:jc w:val="left"/>
        <w:rPr>
          <w:rFonts w:ascii="Arial"/>
          <w:i/>
          <w:sz w:val="22"/>
        </w:rPr>
      </w:pPr>
      <w:bookmarkStart w:name="FW-DC-LG-02. Economic and Social Contrib" w:id="424"/>
      <w:bookmarkEnd w:id="424"/>
      <w:r>
        <w:rPr/>
      </w:r>
      <w:r>
        <w:rPr>
          <w:rFonts w:ascii="Arial"/>
          <w:i/>
          <w:sz w:val="22"/>
        </w:rPr>
        <w:t>FW-DC-LG-02.</w:t>
      </w:r>
      <w:r>
        <w:rPr>
          <w:rFonts w:ascii="Arial"/>
          <w:i/>
          <w:spacing w:val="-5"/>
          <w:sz w:val="22"/>
        </w:rPr>
        <w:t> </w:t>
      </w:r>
      <w:r>
        <w:rPr>
          <w:rFonts w:ascii="Arial"/>
          <w:i/>
          <w:sz w:val="22"/>
        </w:rPr>
        <w:t>Economic</w:t>
      </w:r>
      <w:r>
        <w:rPr>
          <w:rFonts w:ascii="Arial"/>
          <w:i/>
          <w:spacing w:val="-6"/>
          <w:sz w:val="22"/>
        </w:rPr>
        <w:t> </w:t>
      </w:r>
      <w:r>
        <w:rPr>
          <w:rFonts w:ascii="Arial"/>
          <w:i/>
          <w:sz w:val="22"/>
        </w:rPr>
        <w:t>and</w:t>
      </w:r>
      <w:r>
        <w:rPr>
          <w:rFonts w:ascii="Arial"/>
          <w:i/>
          <w:spacing w:val="-7"/>
          <w:sz w:val="22"/>
        </w:rPr>
        <w:t> </w:t>
      </w:r>
      <w:r>
        <w:rPr>
          <w:rFonts w:ascii="Arial"/>
          <w:i/>
          <w:sz w:val="22"/>
        </w:rPr>
        <w:t>Social</w:t>
      </w:r>
      <w:r>
        <w:rPr>
          <w:rFonts w:ascii="Arial"/>
          <w:i/>
          <w:spacing w:val="-6"/>
          <w:sz w:val="22"/>
        </w:rPr>
        <w:t> </w:t>
      </w:r>
      <w:r>
        <w:rPr>
          <w:rFonts w:ascii="Arial"/>
          <w:i/>
          <w:spacing w:val="-2"/>
          <w:sz w:val="22"/>
        </w:rPr>
        <w:t>Contributions</w:t>
      </w:r>
    </w:p>
    <w:p>
      <w:pPr>
        <w:pStyle w:val="BodyText"/>
        <w:spacing w:line="232" w:lineRule="auto" w:before="65"/>
        <w:ind w:left="1151" w:right="742"/>
      </w:pPr>
      <w:r>
        <w:rPr/>
        <w:t>Rangelands and forestlands provide forage for use by both livestock and wildlife. Grazing continues</w:t>
      </w:r>
      <w:r>
        <w:rPr>
          <w:spacing w:val="-4"/>
        </w:rPr>
        <w:t> </w:t>
      </w:r>
      <w:r>
        <w:rPr/>
        <w:t>to</w:t>
      </w:r>
      <w:r>
        <w:rPr>
          <w:spacing w:val="-3"/>
        </w:rPr>
        <w:t> </w:t>
      </w:r>
      <w:r>
        <w:rPr/>
        <w:t>be</w:t>
      </w:r>
      <w:r>
        <w:rPr>
          <w:spacing w:val="-6"/>
        </w:rPr>
        <w:t> </w:t>
      </w:r>
      <w:r>
        <w:rPr/>
        <w:t>a</w:t>
      </w:r>
      <w:r>
        <w:rPr>
          <w:spacing w:val="-6"/>
        </w:rPr>
        <w:t> </w:t>
      </w:r>
      <w:r>
        <w:rPr/>
        <w:t>viable</w:t>
      </w:r>
      <w:r>
        <w:rPr>
          <w:spacing w:val="-3"/>
        </w:rPr>
        <w:t> </w:t>
      </w:r>
      <w:r>
        <w:rPr/>
        <w:t>use</w:t>
      </w:r>
      <w:r>
        <w:rPr>
          <w:spacing w:val="-3"/>
        </w:rPr>
        <w:t> </w:t>
      </w:r>
      <w:r>
        <w:rPr/>
        <w:t>of</w:t>
      </w:r>
      <w:r>
        <w:rPr>
          <w:spacing w:val="-6"/>
        </w:rPr>
        <w:t> </w:t>
      </w:r>
      <w:r>
        <w:rPr/>
        <w:t>vegetation</w:t>
      </w:r>
      <w:r>
        <w:rPr>
          <w:spacing w:val="-7"/>
        </w:rPr>
        <w:t> </w:t>
      </w:r>
      <w:r>
        <w:rPr/>
        <w:t>on</w:t>
      </w:r>
      <w:r>
        <w:rPr>
          <w:spacing w:val="-5"/>
        </w:rPr>
        <w:t> </w:t>
      </w:r>
      <w:r>
        <w:rPr/>
        <w:t>the</w:t>
      </w:r>
      <w:r>
        <w:rPr>
          <w:spacing w:val="-3"/>
        </w:rPr>
        <w:t> </w:t>
      </w:r>
      <w:r>
        <w:rPr/>
        <w:t>Forest.</w:t>
      </w:r>
      <w:r>
        <w:rPr>
          <w:spacing w:val="-4"/>
        </w:rPr>
        <w:t> </w:t>
      </w:r>
      <w:r>
        <w:rPr/>
        <w:t>Availability</w:t>
      </w:r>
      <w:r>
        <w:rPr>
          <w:spacing w:val="-5"/>
        </w:rPr>
        <w:t> </w:t>
      </w:r>
      <w:r>
        <w:rPr/>
        <w:t>of</w:t>
      </w:r>
      <w:r>
        <w:rPr>
          <w:spacing w:val="-4"/>
        </w:rPr>
        <w:t> </w:t>
      </w:r>
      <w:r>
        <w:rPr/>
        <w:t>lands</w:t>
      </w:r>
      <w:r>
        <w:rPr>
          <w:spacing w:val="-4"/>
        </w:rPr>
        <w:t> </w:t>
      </w:r>
      <w:r>
        <w:rPr/>
        <w:t>identified</w:t>
      </w:r>
      <w:r>
        <w:rPr>
          <w:spacing w:val="-5"/>
        </w:rPr>
        <w:t> </w:t>
      </w:r>
      <w:r>
        <w:rPr/>
        <w:t>as</w:t>
      </w:r>
      <w:r>
        <w:rPr>
          <w:spacing w:val="-4"/>
        </w:rPr>
        <w:t> </w:t>
      </w:r>
      <w:r>
        <w:rPr/>
        <w:t>suited for this use contributes to providing animal products, economic diversity, open space, and promotes</w:t>
      </w:r>
      <w:r>
        <w:rPr>
          <w:spacing w:val="-3"/>
        </w:rPr>
        <w:t> </w:t>
      </w:r>
      <w:r>
        <w:rPr/>
        <w:t>cultural</w:t>
      </w:r>
      <w:r>
        <w:rPr>
          <w:spacing w:val="-4"/>
        </w:rPr>
        <w:t> </w:t>
      </w:r>
      <w:r>
        <w:rPr/>
        <w:t>values</w:t>
      </w:r>
      <w:r>
        <w:rPr>
          <w:spacing w:val="-3"/>
        </w:rPr>
        <w:t> </w:t>
      </w:r>
      <w:r>
        <w:rPr/>
        <w:t>and</w:t>
      </w:r>
      <w:r>
        <w:rPr>
          <w:spacing w:val="-2"/>
        </w:rPr>
        <w:t> </w:t>
      </w:r>
      <w:r>
        <w:rPr/>
        <w:t>a</w:t>
      </w:r>
      <w:r>
        <w:rPr>
          <w:spacing w:val="-1"/>
        </w:rPr>
        <w:t> </w:t>
      </w:r>
      <w:r>
        <w:rPr/>
        <w:t>traditional</w:t>
      </w:r>
      <w:r>
        <w:rPr>
          <w:spacing w:val="-1"/>
        </w:rPr>
        <w:t> </w:t>
      </w:r>
      <w:r>
        <w:rPr/>
        <w:t>local</w:t>
      </w:r>
      <w:r>
        <w:rPr>
          <w:spacing w:val="-1"/>
        </w:rPr>
        <w:t> </w:t>
      </w:r>
      <w:r>
        <w:rPr/>
        <w:t>life style.</w:t>
      </w:r>
      <w:r>
        <w:rPr>
          <w:spacing w:val="-1"/>
        </w:rPr>
        <w:t> </w:t>
      </w:r>
      <w:r>
        <w:rPr/>
        <w:t>Allotments</w:t>
      </w:r>
      <w:r>
        <w:rPr>
          <w:spacing w:val="-1"/>
        </w:rPr>
        <w:t> </w:t>
      </w:r>
      <w:r>
        <w:rPr/>
        <w:t>are generally grazed</w:t>
      </w:r>
      <w:r>
        <w:rPr>
          <w:spacing w:val="-4"/>
        </w:rPr>
        <w:t> </w:t>
      </w:r>
      <w:r>
        <w:rPr/>
        <w:t>on</w:t>
      </w:r>
      <w:r>
        <w:rPr>
          <w:spacing w:val="-2"/>
        </w:rPr>
        <w:t> </w:t>
      </w:r>
      <w:r>
        <w:rPr/>
        <w:t>an annual basis.</w:t>
      </w:r>
    </w:p>
    <w:p>
      <w:pPr>
        <w:pStyle w:val="BodyText"/>
        <w:spacing w:line="232" w:lineRule="auto" w:before="197"/>
        <w:ind w:left="1151" w:right="742"/>
      </w:pPr>
      <w:r>
        <w:rPr/>
        <w:t>Consistent</w:t>
      </w:r>
      <w:r>
        <w:rPr>
          <w:spacing w:val="-5"/>
        </w:rPr>
        <w:t> </w:t>
      </w:r>
      <w:r>
        <w:rPr/>
        <w:t>with</w:t>
      </w:r>
      <w:r>
        <w:rPr>
          <w:spacing w:val="-7"/>
        </w:rPr>
        <w:t> </w:t>
      </w:r>
      <w:r>
        <w:rPr/>
        <w:t>sustaining</w:t>
      </w:r>
      <w:r>
        <w:rPr>
          <w:spacing w:val="-9"/>
        </w:rPr>
        <w:t> </w:t>
      </w:r>
      <w:r>
        <w:rPr/>
        <w:t>other</w:t>
      </w:r>
      <w:r>
        <w:rPr>
          <w:spacing w:val="-8"/>
        </w:rPr>
        <w:t> </w:t>
      </w:r>
      <w:r>
        <w:rPr/>
        <w:t>resource</w:t>
      </w:r>
      <w:r>
        <w:rPr>
          <w:spacing w:val="-5"/>
        </w:rPr>
        <w:t> </w:t>
      </w:r>
      <w:r>
        <w:rPr/>
        <w:t>desired</w:t>
      </w:r>
      <w:r>
        <w:rPr>
          <w:spacing w:val="-7"/>
        </w:rPr>
        <w:t> </w:t>
      </w:r>
      <w:r>
        <w:rPr/>
        <w:t>conditions,</w:t>
      </w:r>
      <w:r>
        <w:rPr>
          <w:spacing w:val="-6"/>
        </w:rPr>
        <w:t> </w:t>
      </w:r>
      <w:r>
        <w:rPr/>
        <w:t>a</w:t>
      </w:r>
      <w:r>
        <w:rPr>
          <w:spacing w:val="-8"/>
        </w:rPr>
        <w:t> </w:t>
      </w:r>
      <w:r>
        <w:rPr/>
        <w:t>viable</w:t>
      </w:r>
      <w:r>
        <w:rPr>
          <w:spacing w:val="-8"/>
        </w:rPr>
        <w:t> </w:t>
      </w:r>
      <w:r>
        <w:rPr/>
        <w:t>level</w:t>
      </w:r>
      <w:r>
        <w:rPr>
          <w:spacing w:val="-9"/>
        </w:rPr>
        <w:t> </w:t>
      </w:r>
      <w:r>
        <w:rPr/>
        <w:t>of</w:t>
      </w:r>
      <w:r>
        <w:rPr>
          <w:spacing w:val="-6"/>
        </w:rPr>
        <w:t> </w:t>
      </w:r>
      <w:r>
        <w:rPr/>
        <w:t>forage</w:t>
      </w:r>
      <w:r>
        <w:rPr>
          <w:spacing w:val="-5"/>
        </w:rPr>
        <w:t> </w:t>
      </w:r>
      <w:r>
        <w:rPr/>
        <w:t>is</w:t>
      </w:r>
      <w:r>
        <w:rPr>
          <w:spacing w:val="-6"/>
        </w:rPr>
        <w:t> </w:t>
      </w:r>
      <w:r>
        <w:rPr/>
        <w:t>available for use under a grazing permit system where use typically occurs on an annual basis, generally between June and October. Riparian and upland areas within allotments reflect ecological conditions</w:t>
      </w:r>
      <w:r>
        <w:rPr>
          <w:spacing w:val="-1"/>
        </w:rPr>
        <w:t> </w:t>
      </w:r>
      <w:r>
        <w:rPr/>
        <w:t>supporting the</w:t>
      </w:r>
      <w:r>
        <w:rPr>
          <w:spacing w:val="-1"/>
        </w:rPr>
        <w:t> </w:t>
      </w:r>
      <w:r>
        <w:rPr/>
        <w:t>desired conditions,</w:t>
      </w:r>
      <w:r>
        <w:rPr>
          <w:spacing w:val="-1"/>
        </w:rPr>
        <w:t> </w:t>
      </w:r>
      <w:r>
        <w:rPr/>
        <w:t>including those</w:t>
      </w:r>
      <w:r>
        <w:rPr>
          <w:spacing w:val="-1"/>
        </w:rPr>
        <w:t> </w:t>
      </w:r>
      <w:r>
        <w:rPr/>
        <w:t>described in the</w:t>
      </w:r>
      <w:r>
        <w:rPr>
          <w:spacing w:val="-1"/>
        </w:rPr>
        <w:t> </w:t>
      </w:r>
      <w:r>
        <w:rPr/>
        <w:t>Wildlife, Aquatic and Riparian, Soil, and Vegetation Desired Conditions sections in this Forest Plan.</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FW-DC-LG-03. Deer and Elk Forage on Graz" w:id="425"/>
      <w:bookmarkEnd w:id="425"/>
      <w:r>
        <w:rPr/>
      </w:r>
      <w:r>
        <w:rPr>
          <w:rFonts w:ascii="Arial"/>
          <w:i/>
          <w:sz w:val="22"/>
        </w:rPr>
        <w:t>FW-DC-LG-03.</w:t>
      </w:r>
      <w:r>
        <w:rPr>
          <w:rFonts w:ascii="Arial"/>
          <w:i/>
          <w:spacing w:val="-4"/>
          <w:sz w:val="22"/>
        </w:rPr>
        <w:t> </w:t>
      </w:r>
      <w:r>
        <w:rPr>
          <w:rFonts w:ascii="Arial"/>
          <w:i/>
          <w:sz w:val="22"/>
        </w:rPr>
        <w:t>Deer</w:t>
      </w:r>
      <w:r>
        <w:rPr>
          <w:rFonts w:ascii="Arial"/>
          <w:i/>
          <w:spacing w:val="-3"/>
          <w:sz w:val="22"/>
        </w:rPr>
        <w:t> </w:t>
      </w:r>
      <w:r>
        <w:rPr>
          <w:rFonts w:ascii="Arial"/>
          <w:i/>
          <w:sz w:val="22"/>
        </w:rPr>
        <w:t>and</w:t>
      </w:r>
      <w:r>
        <w:rPr>
          <w:rFonts w:ascii="Arial"/>
          <w:i/>
          <w:spacing w:val="-6"/>
          <w:sz w:val="22"/>
        </w:rPr>
        <w:t> </w:t>
      </w:r>
      <w:r>
        <w:rPr>
          <w:rFonts w:ascii="Arial"/>
          <w:i/>
          <w:sz w:val="22"/>
        </w:rPr>
        <w:t>Elk</w:t>
      </w:r>
      <w:r>
        <w:rPr>
          <w:rFonts w:ascii="Arial"/>
          <w:i/>
          <w:spacing w:val="-4"/>
          <w:sz w:val="22"/>
        </w:rPr>
        <w:t> </w:t>
      </w:r>
      <w:r>
        <w:rPr>
          <w:rFonts w:ascii="Arial"/>
          <w:i/>
          <w:sz w:val="22"/>
        </w:rPr>
        <w:t>Forage</w:t>
      </w:r>
      <w:r>
        <w:rPr>
          <w:rFonts w:ascii="Arial"/>
          <w:i/>
          <w:spacing w:val="-7"/>
          <w:sz w:val="22"/>
        </w:rPr>
        <w:t> </w:t>
      </w:r>
      <w:r>
        <w:rPr>
          <w:rFonts w:ascii="Arial"/>
          <w:i/>
          <w:sz w:val="22"/>
        </w:rPr>
        <w:t>on</w:t>
      </w:r>
      <w:r>
        <w:rPr>
          <w:rFonts w:ascii="Arial"/>
          <w:i/>
          <w:spacing w:val="-7"/>
          <w:sz w:val="22"/>
        </w:rPr>
        <w:t> </w:t>
      </w:r>
      <w:r>
        <w:rPr>
          <w:rFonts w:ascii="Arial"/>
          <w:i/>
          <w:sz w:val="22"/>
        </w:rPr>
        <w:t>Grazing</w:t>
      </w:r>
      <w:r>
        <w:rPr>
          <w:rFonts w:ascii="Arial"/>
          <w:i/>
          <w:spacing w:val="-4"/>
          <w:sz w:val="22"/>
        </w:rPr>
        <w:t> </w:t>
      </w:r>
      <w:r>
        <w:rPr>
          <w:rFonts w:ascii="Arial"/>
          <w:i/>
          <w:spacing w:val="-2"/>
          <w:sz w:val="22"/>
        </w:rPr>
        <w:t>Allotments</w:t>
      </w:r>
    </w:p>
    <w:p>
      <w:pPr>
        <w:pStyle w:val="BodyText"/>
        <w:spacing w:line="232" w:lineRule="auto" w:before="65"/>
        <w:ind w:left="360" w:right="1445"/>
      </w:pPr>
      <w:r>
        <w:rPr/>
        <w:t>Adequate browse and forage occurs on deer and elk summer and winter ranges within commercial</w:t>
      </w:r>
      <w:r>
        <w:rPr>
          <w:spacing w:val="-4"/>
        </w:rPr>
        <w:t> </w:t>
      </w:r>
      <w:r>
        <w:rPr/>
        <w:t>grazing</w:t>
      </w:r>
      <w:r>
        <w:rPr>
          <w:spacing w:val="-5"/>
        </w:rPr>
        <w:t> </w:t>
      </w:r>
      <w:r>
        <w:rPr/>
        <w:t>allotments</w:t>
      </w:r>
      <w:r>
        <w:rPr>
          <w:spacing w:val="-4"/>
        </w:rPr>
        <w:t> </w:t>
      </w:r>
      <w:r>
        <w:rPr/>
        <w:t>during</w:t>
      </w:r>
      <w:r>
        <w:rPr>
          <w:spacing w:val="-5"/>
        </w:rPr>
        <w:t> </w:t>
      </w:r>
      <w:r>
        <w:rPr/>
        <w:t>the</w:t>
      </w:r>
      <w:r>
        <w:rPr>
          <w:spacing w:val="-3"/>
        </w:rPr>
        <w:t> </w:t>
      </w:r>
      <w:r>
        <w:rPr/>
        <w:t>critical</w:t>
      </w:r>
      <w:r>
        <w:rPr>
          <w:spacing w:val="-4"/>
        </w:rPr>
        <w:t> </w:t>
      </w:r>
      <w:r>
        <w:rPr/>
        <w:t>winter</w:t>
      </w:r>
      <w:r>
        <w:rPr>
          <w:spacing w:val="-4"/>
        </w:rPr>
        <w:t> </w:t>
      </w:r>
      <w:r>
        <w:rPr/>
        <w:t>period</w:t>
      </w:r>
      <w:r>
        <w:rPr>
          <w:spacing w:val="-5"/>
        </w:rPr>
        <w:t> </w:t>
      </w:r>
      <w:r>
        <w:rPr/>
        <w:t>of</w:t>
      </w:r>
      <w:r>
        <w:rPr>
          <w:spacing w:val="-6"/>
        </w:rPr>
        <w:t> </w:t>
      </w:r>
      <w:r>
        <w:rPr/>
        <w:t>December</w:t>
      </w:r>
      <w:r>
        <w:rPr>
          <w:spacing w:val="-6"/>
        </w:rPr>
        <w:t> </w:t>
      </w:r>
      <w:r>
        <w:rPr/>
        <w:t>15</w:t>
      </w:r>
      <w:r>
        <w:rPr>
          <w:spacing w:val="-2"/>
        </w:rPr>
        <w:t> </w:t>
      </w:r>
      <w:r>
        <w:rPr/>
        <w:t>to</w:t>
      </w:r>
      <w:r>
        <w:rPr>
          <w:spacing w:val="-3"/>
        </w:rPr>
        <w:t> </w:t>
      </w:r>
      <w:r>
        <w:rPr/>
        <w:t>April</w:t>
      </w:r>
      <w:r>
        <w:rPr>
          <w:spacing w:val="-4"/>
        </w:rPr>
        <w:t> </w:t>
      </w:r>
      <w:r>
        <w:rPr/>
        <w:t>1.</w:t>
      </w:r>
    </w:p>
    <w:p>
      <w:pPr>
        <w:spacing w:before="234"/>
        <w:ind w:left="360" w:right="0" w:firstLine="0"/>
        <w:jc w:val="left"/>
        <w:rPr>
          <w:rFonts w:ascii="Arial"/>
          <w:i/>
          <w:sz w:val="22"/>
        </w:rPr>
      </w:pPr>
      <w:bookmarkStart w:name="FW-DC-LG-04. Recreation and Livestock Co" w:id="426"/>
      <w:bookmarkEnd w:id="426"/>
      <w:r>
        <w:rPr/>
      </w:r>
      <w:r>
        <w:rPr>
          <w:rFonts w:ascii="Arial"/>
          <w:i/>
          <w:sz w:val="22"/>
        </w:rPr>
        <w:t>FW-DC-LG-04.</w:t>
      </w:r>
      <w:r>
        <w:rPr>
          <w:rFonts w:ascii="Arial"/>
          <w:i/>
          <w:spacing w:val="-6"/>
          <w:sz w:val="22"/>
        </w:rPr>
        <w:t> </w:t>
      </w:r>
      <w:r>
        <w:rPr>
          <w:rFonts w:ascii="Arial"/>
          <w:i/>
          <w:sz w:val="22"/>
        </w:rPr>
        <w:t>Recreation</w:t>
      </w:r>
      <w:r>
        <w:rPr>
          <w:rFonts w:ascii="Arial"/>
          <w:i/>
          <w:spacing w:val="-8"/>
          <w:sz w:val="22"/>
        </w:rPr>
        <w:t> </w:t>
      </w:r>
      <w:r>
        <w:rPr>
          <w:rFonts w:ascii="Arial"/>
          <w:i/>
          <w:sz w:val="22"/>
        </w:rPr>
        <w:t>and</w:t>
      </w:r>
      <w:r>
        <w:rPr>
          <w:rFonts w:ascii="Arial"/>
          <w:i/>
          <w:spacing w:val="-8"/>
          <w:sz w:val="22"/>
        </w:rPr>
        <w:t> </w:t>
      </w:r>
      <w:r>
        <w:rPr>
          <w:rFonts w:ascii="Arial"/>
          <w:i/>
          <w:sz w:val="22"/>
        </w:rPr>
        <w:t>Livestock</w:t>
      </w:r>
      <w:r>
        <w:rPr>
          <w:rFonts w:ascii="Arial"/>
          <w:i/>
          <w:spacing w:val="-9"/>
          <w:sz w:val="22"/>
        </w:rPr>
        <w:t> </w:t>
      </w:r>
      <w:r>
        <w:rPr>
          <w:rFonts w:ascii="Arial"/>
          <w:i/>
          <w:spacing w:val="-2"/>
          <w:sz w:val="22"/>
        </w:rPr>
        <w:t>Conflicts</w:t>
      </w:r>
    </w:p>
    <w:p>
      <w:pPr>
        <w:pStyle w:val="BodyText"/>
        <w:spacing w:line="232" w:lineRule="auto" w:before="65"/>
        <w:ind w:left="360" w:right="1621"/>
      </w:pPr>
      <w:r>
        <w:rPr/>
        <w:t>Conflicts between the recreating public and livestock are limited.</w:t>
      </w:r>
      <w:r>
        <w:rPr>
          <w:spacing w:val="40"/>
        </w:rPr>
        <w:t> </w:t>
      </w:r>
      <w:r>
        <w:rPr/>
        <w:t>Management actions are implemented</w:t>
      </w:r>
      <w:r>
        <w:rPr>
          <w:spacing w:val="-8"/>
        </w:rPr>
        <w:t> </w:t>
      </w:r>
      <w:r>
        <w:rPr/>
        <w:t>that</w:t>
      </w:r>
      <w:r>
        <w:rPr>
          <w:spacing w:val="-5"/>
        </w:rPr>
        <w:t> </w:t>
      </w:r>
      <w:r>
        <w:rPr/>
        <w:t>strive</w:t>
      </w:r>
      <w:r>
        <w:rPr>
          <w:spacing w:val="-5"/>
        </w:rPr>
        <w:t> </w:t>
      </w:r>
      <w:r>
        <w:rPr/>
        <w:t>to</w:t>
      </w:r>
      <w:r>
        <w:rPr>
          <w:spacing w:val="-6"/>
        </w:rPr>
        <w:t> </w:t>
      </w:r>
      <w:r>
        <w:rPr/>
        <w:t>minimize</w:t>
      </w:r>
      <w:r>
        <w:rPr>
          <w:spacing w:val="-7"/>
        </w:rPr>
        <w:t> </w:t>
      </w:r>
      <w:r>
        <w:rPr/>
        <w:t>identified</w:t>
      </w:r>
      <w:r>
        <w:rPr>
          <w:spacing w:val="-6"/>
        </w:rPr>
        <w:t> </w:t>
      </w:r>
      <w:r>
        <w:rPr/>
        <w:t>areas</w:t>
      </w:r>
      <w:r>
        <w:rPr>
          <w:spacing w:val="-7"/>
        </w:rPr>
        <w:t> </w:t>
      </w:r>
      <w:r>
        <w:rPr/>
        <w:t>of</w:t>
      </w:r>
      <w:r>
        <w:rPr>
          <w:spacing w:val="-5"/>
        </w:rPr>
        <w:t> </w:t>
      </w:r>
      <w:r>
        <w:rPr/>
        <w:t>conflict</w:t>
      </w:r>
      <w:r>
        <w:rPr>
          <w:spacing w:val="-7"/>
        </w:rPr>
        <w:t> </w:t>
      </w:r>
      <w:r>
        <w:rPr/>
        <w:t>while</w:t>
      </w:r>
      <w:r>
        <w:rPr>
          <w:spacing w:val="-7"/>
        </w:rPr>
        <w:t> </w:t>
      </w:r>
      <w:r>
        <w:rPr/>
        <w:t>maintaining</w:t>
      </w:r>
      <w:r>
        <w:rPr>
          <w:spacing w:val="-6"/>
        </w:rPr>
        <w:t> </w:t>
      </w:r>
      <w:r>
        <w:rPr/>
        <w:t>financially and operationally viable allotment management systems.</w:t>
      </w:r>
    </w:p>
    <w:p>
      <w:pPr>
        <w:pStyle w:val="Heading4"/>
        <w:spacing w:before="236"/>
      </w:pPr>
      <w:bookmarkStart w:name="Objectives" w:id="427"/>
      <w:bookmarkEnd w:id="427"/>
      <w:r>
        <w:rPr/>
      </w:r>
      <w:bookmarkStart w:name="_bookmark136" w:id="428"/>
      <w:bookmarkEnd w:id="428"/>
      <w:r>
        <w:rPr/>
      </w:r>
      <w:r>
        <w:rPr>
          <w:spacing w:val="-2"/>
        </w:rPr>
        <w:t>Objectives</w:t>
      </w:r>
    </w:p>
    <w:p>
      <w:pPr>
        <w:spacing w:before="237"/>
        <w:ind w:left="360" w:right="0" w:firstLine="0"/>
        <w:jc w:val="left"/>
        <w:rPr>
          <w:rFonts w:ascii="Arial"/>
          <w:i/>
          <w:sz w:val="22"/>
        </w:rPr>
      </w:pPr>
      <w:bookmarkStart w:name="FW-OBJ-LG-01. Range Improvement Projects" w:id="429"/>
      <w:bookmarkEnd w:id="429"/>
      <w:r>
        <w:rPr/>
      </w:r>
      <w:r>
        <w:rPr>
          <w:rFonts w:ascii="Arial"/>
          <w:i/>
          <w:sz w:val="22"/>
        </w:rPr>
        <w:t>FW-OBJ-LG-01.</w:t>
      </w:r>
      <w:r>
        <w:rPr>
          <w:rFonts w:ascii="Arial"/>
          <w:i/>
          <w:spacing w:val="-7"/>
          <w:sz w:val="22"/>
        </w:rPr>
        <w:t> </w:t>
      </w:r>
      <w:r>
        <w:rPr>
          <w:rFonts w:ascii="Arial"/>
          <w:i/>
          <w:sz w:val="22"/>
        </w:rPr>
        <w:t>Range</w:t>
      </w:r>
      <w:r>
        <w:rPr>
          <w:rFonts w:ascii="Arial"/>
          <w:i/>
          <w:spacing w:val="-10"/>
          <w:sz w:val="22"/>
        </w:rPr>
        <w:t> </w:t>
      </w:r>
      <w:r>
        <w:rPr>
          <w:rFonts w:ascii="Arial"/>
          <w:i/>
          <w:sz w:val="22"/>
        </w:rPr>
        <w:t>Improvement</w:t>
      </w:r>
      <w:r>
        <w:rPr>
          <w:rFonts w:ascii="Arial"/>
          <w:i/>
          <w:spacing w:val="-6"/>
          <w:sz w:val="22"/>
        </w:rPr>
        <w:t> </w:t>
      </w:r>
      <w:r>
        <w:rPr>
          <w:rFonts w:ascii="Arial"/>
          <w:i/>
          <w:spacing w:val="-2"/>
          <w:sz w:val="22"/>
        </w:rPr>
        <w:t>Projects</w:t>
      </w:r>
    </w:p>
    <w:p>
      <w:pPr>
        <w:pStyle w:val="BodyText"/>
        <w:spacing w:line="232" w:lineRule="auto" w:before="67"/>
        <w:ind w:left="359" w:right="1621"/>
      </w:pPr>
      <w:r>
        <w:rPr/>
        <w:t>During</w:t>
      </w:r>
      <w:r>
        <w:rPr>
          <w:spacing w:val="-6"/>
        </w:rPr>
        <w:t> </w:t>
      </w:r>
      <w:r>
        <w:rPr/>
        <w:t>the</w:t>
      </w:r>
      <w:r>
        <w:rPr>
          <w:spacing w:val="-7"/>
        </w:rPr>
        <w:t> </w:t>
      </w:r>
      <w:r>
        <w:rPr/>
        <w:t>expected</w:t>
      </w:r>
      <w:r>
        <w:rPr>
          <w:spacing w:val="-8"/>
        </w:rPr>
        <w:t> </w:t>
      </w:r>
      <w:r>
        <w:rPr/>
        <w:t>15</w:t>
      </w:r>
      <w:r>
        <w:rPr>
          <w:spacing w:val="-5"/>
        </w:rPr>
        <w:t> </w:t>
      </w:r>
      <w:r>
        <w:rPr/>
        <w:t>years</w:t>
      </w:r>
      <w:r>
        <w:rPr>
          <w:spacing w:val="-5"/>
        </w:rPr>
        <w:t> </w:t>
      </w:r>
      <w:r>
        <w:rPr/>
        <w:t>of</w:t>
      </w:r>
      <w:r>
        <w:rPr>
          <w:spacing w:val="-5"/>
        </w:rPr>
        <w:t> </w:t>
      </w:r>
      <w:r>
        <w:rPr/>
        <w:t>plan</w:t>
      </w:r>
      <w:r>
        <w:rPr>
          <w:spacing w:val="-6"/>
        </w:rPr>
        <w:t> </w:t>
      </w:r>
      <w:r>
        <w:rPr/>
        <w:t>implementation,</w:t>
      </w:r>
      <w:r>
        <w:rPr>
          <w:spacing w:val="-7"/>
        </w:rPr>
        <w:t> </w:t>
      </w:r>
      <w:r>
        <w:rPr/>
        <w:t>recondition</w:t>
      </w:r>
      <w:r>
        <w:rPr>
          <w:spacing w:val="-8"/>
        </w:rPr>
        <w:t> </w:t>
      </w:r>
      <w:r>
        <w:rPr/>
        <w:t>or</w:t>
      </w:r>
      <w:r>
        <w:rPr>
          <w:spacing w:val="-5"/>
        </w:rPr>
        <w:t> </w:t>
      </w:r>
      <w:r>
        <w:rPr/>
        <w:t>reconstruct</w:t>
      </w:r>
      <w:r>
        <w:rPr>
          <w:spacing w:val="-7"/>
        </w:rPr>
        <w:t> </w:t>
      </w:r>
      <w:r>
        <w:rPr/>
        <w:t>an</w:t>
      </w:r>
      <w:r>
        <w:rPr>
          <w:spacing w:val="-6"/>
        </w:rPr>
        <w:t> </w:t>
      </w:r>
      <w:r>
        <w:rPr/>
        <w:t>average</w:t>
      </w:r>
      <w:r>
        <w:rPr>
          <w:spacing w:val="-7"/>
        </w:rPr>
        <w:t> </w:t>
      </w:r>
      <w:r>
        <w:rPr/>
        <w:t>of 1 to 4 percent of the existing range infrastructure on National Forest System lands annually.</w:t>
      </w:r>
    </w:p>
    <w:p>
      <w:pPr>
        <w:pStyle w:val="BodyText"/>
        <w:spacing w:line="232" w:lineRule="auto"/>
        <w:ind w:left="359" w:right="2220"/>
      </w:pPr>
      <w:r>
        <w:rPr/>
        <w:t>Such</w:t>
      </w:r>
      <w:r>
        <w:rPr>
          <w:spacing w:val="-10"/>
        </w:rPr>
        <w:t> </w:t>
      </w:r>
      <w:r>
        <w:rPr/>
        <w:t>range</w:t>
      </w:r>
      <w:r>
        <w:rPr>
          <w:spacing w:val="-8"/>
        </w:rPr>
        <w:t> </w:t>
      </w:r>
      <w:r>
        <w:rPr/>
        <w:t>infrastructure</w:t>
      </w:r>
      <w:r>
        <w:rPr>
          <w:spacing w:val="-11"/>
        </w:rPr>
        <w:t> </w:t>
      </w:r>
      <w:r>
        <w:rPr/>
        <w:t>would</w:t>
      </w:r>
      <w:r>
        <w:rPr>
          <w:spacing w:val="-10"/>
        </w:rPr>
        <w:t> </w:t>
      </w:r>
      <w:r>
        <w:rPr/>
        <w:t>include</w:t>
      </w:r>
      <w:r>
        <w:rPr>
          <w:spacing w:val="-11"/>
        </w:rPr>
        <w:t> </w:t>
      </w:r>
      <w:r>
        <w:rPr/>
        <w:t>water</w:t>
      </w:r>
      <w:r>
        <w:rPr>
          <w:spacing w:val="-11"/>
        </w:rPr>
        <w:t> </w:t>
      </w:r>
      <w:r>
        <w:rPr/>
        <w:t>developments,</w:t>
      </w:r>
      <w:r>
        <w:rPr>
          <w:spacing w:val="-9"/>
        </w:rPr>
        <w:t> </w:t>
      </w:r>
      <w:r>
        <w:rPr/>
        <w:t>hardened</w:t>
      </w:r>
      <w:r>
        <w:rPr>
          <w:spacing w:val="-10"/>
        </w:rPr>
        <w:t> </w:t>
      </w:r>
      <w:r>
        <w:rPr/>
        <w:t>fords,</w:t>
      </w:r>
      <w:r>
        <w:rPr>
          <w:spacing w:val="-9"/>
        </w:rPr>
        <w:t> </w:t>
      </w:r>
      <w:r>
        <w:rPr/>
        <w:t>livestock handling facilities, and fences.</w:t>
      </w:r>
    </w:p>
    <w:p>
      <w:pPr>
        <w:pStyle w:val="BodyText"/>
        <w:spacing w:line="232" w:lineRule="auto" w:before="199"/>
        <w:ind w:left="359" w:right="1516"/>
      </w:pPr>
      <w:r>
        <w:rPr/>
        <w:t>Within</w:t>
      </w:r>
      <w:r>
        <w:rPr>
          <w:spacing w:val="-5"/>
        </w:rPr>
        <w:t> </w:t>
      </w:r>
      <w:r>
        <w:rPr/>
        <w:t>5</w:t>
      </w:r>
      <w:r>
        <w:rPr>
          <w:spacing w:val="-5"/>
        </w:rPr>
        <w:t> </w:t>
      </w:r>
      <w:r>
        <w:rPr/>
        <w:t>years</w:t>
      </w:r>
      <w:r>
        <w:rPr>
          <w:spacing w:val="-4"/>
        </w:rPr>
        <w:t> </w:t>
      </w:r>
      <w:r>
        <w:rPr/>
        <w:t>of</w:t>
      </w:r>
      <w:r>
        <w:rPr>
          <w:spacing w:val="-6"/>
        </w:rPr>
        <w:t> </w:t>
      </w:r>
      <w:r>
        <w:rPr/>
        <w:t>a</w:t>
      </w:r>
      <w:r>
        <w:rPr>
          <w:spacing w:val="-4"/>
        </w:rPr>
        <w:t> </w:t>
      </w:r>
      <w:r>
        <w:rPr/>
        <w:t>decision</w:t>
      </w:r>
      <w:r>
        <w:rPr>
          <w:spacing w:val="-5"/>
        </w:rPr>
        <w:t> </w:t>
      </w:r>
      <w:r>
        <w:rPr/>
        <w:t>being</w:t>
      </w:r>
      <w:r>
        <w:rPr>
          <w:spacing w:val="-5"/>
        </w:rPr>
        <w:t> </w:t>
      </w:r>
      <w:r>
        <w:rPr/>
        <w:t>made</w:t>
      </w:r>
      <w:r>
        <w:rPr>
          <w:spacing w:val="-6"/>
        </w:rPr>
        <w:t> </w:t>
      </w:r>
      <w:r>
        <w:rPr/>
        <w:t>to</w:t>
      </w:r>
      <w:r>
        <w:rPr>
          <w:spacing w:val="-5"/>
        </w:rPr>
        <w:t> </w:t>
      </w:r>
      <w:r>
        <w:rPr/>
        <w:t>implement</w:t>
      </w:r>
      <w:r>
        <w:rPr>
          <w:spacing w:val="-3"/>
        </w:rPr>
        <w:t> </w:t>
      </w:r>
      <w:r>
        <w:rPr/>
        <w:t>an</w:t>
      </w:r>
      <w:r>
        <w:rPr>
          <w:spacing w:val="-5"/>
        </w:rPr>
        <w:t> </w:t>
      </w:r>
      <w:r>
        <w:rPr/>
        <w:t>Allotment</w:t>
      </w:r>
      <w:r>
        <w:rPr>
          <w:spacing w:val="-6"/>
        </w:rPr>
        <w:t> </w:t>
      </w:r>
      <w:r>
        <w:rPr/>
        <w:t>Management</w:t>
      </w:r>
      <w:r>
        <w:rPr>
          <w:spacing w:val="-3"/>
        </w:rPr>
        <w:t> </w:t>
      </w:r>
      <w:r>
        <w:rPr/>
        <w:t>Plan,</w:t>
      </w:r>
      <w:r>
        <w:rPr>
          <w:spacing w:val="-4"/>
        </w:rPr>
        <w:t> </w:t>
      </w:r>
      <w:r>
        <w:rPr/>
        <w:t>relocate or reconstruct, at least 75 percent of the identified range infrastructure (for example, water developments, fences, loading chutes, and holding structures) that has become non-functional or in need of replacement.</w:t>
      </w:r>
    </w:p>
    <w:p>
      <w:pPr>
        <w:spacing w:before="231"/>
        <w:ind w:left="359" w:right="0" w:firstLine="0"/>
        <w:jc w:val="left"/>
        <w:rPr>
          <w:rFonts w:ascii="Arial"/>
          <w:i/>
          <w:sz w:val="22"/>
        </w:rPr>
      </w:pPr>
      <w:bookmarkStart w:name="FW-OBJ-LG-02. Braided Trails" w:id="430"/>
      <w:bookmarkEnd w:id="430"/>
      <w:r>
        <w:rPr/>
      </w:r>
      <w:r>
        <w:rPr>
          <w:rFonts w:ascii="Arial"/>
          <w:i/>
          <w:sz w:val="22"/>
        </w:rPr>
        <w:t>FW-OBJ-LG-02.</w:t>
      </w:r>
      <w:r>
        <w:rPr>
          <w:rFonts w:ascii="Arial"/>
          <w:i/>
          <w:spacing w:val="-8"/>
          <w:sz w:val="22"/>
        </w:rPr>
        <w:t> </w:t>
      </w:r>
      <w:r>
        <w:rPr>
          <w:rFonts w:ascii="Arial"/>
          <w:i/>
          <w:sz w:val="22"/>
        </w:rPr>
        <w:t>Braided</w:t>
      </w:r>
      <w:r>
        <w:rPr>
          <w:rFonts w:ascii="Arial"/>
          <w:i/>
          <w:spacing w:val="-8"/>
          <w:sz w:val="22"/>
        </w:rPr>
        <w:t> </w:t>
      </w:r>
      <w:r>
        <w:rPr>
          <w:rFonts w:ascii="Arial"/>
          <w:i/>
          <w:spacing w:val="-2"/>
          <w:sz w:val="22"/>
        </w:rPr>
        <w:t>Trails</w:t>
      </w:r>
    </w:p>
    <w:p>
      <w:pPr>
        <w:pStyle w:val="BodyText"/>
        <w:spacing w:line="232" w:lineRule="auto" w:before="65"/>
        <w:ind w:left="359" w:right="1621"/>
      </w:pPr>
      <w:r>
        <w:rPr/>
        <w:t>During the expected 15 years of plan implementation, 75 percent of trails that are difficult to follow</w:t>
      </w:r>
      <w:r>
        <w:rPr>
          <w:spacing w:val="-5"/>
        </w:rPr>
        <w:t> </w:t>
      </w:r>
      <w:r>
        <w:rPr/>
        <w:t>as</w:t>
      </w:r>
      <w:r>
        <w:rPr>
          <w:spacing w:val="-6"/>
        </w:rPr>
        <w:t> </w:t>
      </w:r>
      <w:r>
        <w:rPr/>
        <w:t>a</w:t>
      </w:r>
      <w:r>
        <w:rPr>
          <w:spacing w:val="-6"/>
        </w:rPr>
        <w:t> </w:t>
      </w:r>
      <w:r>
        <w:rPr/>
        <w:t>result</w:t>
      </w:r>
      <w:r>
        <w:rPr>
          <w:spacing w:val="-8"/>
        </w:rPr>
        <w:t> </w:t>
      </w:r>
      <w:r>
        <w:rPr/>
        <w:t>of</w:t>
      </w:r>
      <w:r>
        <w:rPr>
          <w:spacing w:val="-6"/>
        </w:rPr>
        <w:t> </w:t>
      </w:r>
      <w:r>
        <w:rPr/>
        <w:t>braiding</w:t>
      </w:r>
      <w:r>
        <w:rPr>
          <w:spacing w:val="-7"/>
        </w:rPr>
        <w:t> </w:t>
      </w:r>
      <w:r>
        <w:rPr/>
        <w:t>caused</w:t>
      </w:r>
      <w:r>
        <w:rPr>
          <w:spacing w:val="-7"/>
        </w:rPr>
        <w:t> </w:t>
      </w:r>
      <w:r>
        <w:rPr/>
        <w:t>by</w:t>
      </w:r>
      <w:r>
        <w:rPr>
          <w:spacing w:val="-7"/>
        </w:rPr>
        <w:t> </w:t>
      </w:r>
      <w:r>
        <w:rPr/>
        <w:t>trailing</w:t>
      </w:r>
      <w:r>
        <w:rPr>
          <w:spacing w:val="-7"/>
        </w:rPr>
        <w:t> </w:t>
      </w:r>
      <w:r>
        <w:rPr/>
        <w:t>cattle</w:t>
      </w:r>
      <w:r>
        <w:rPr>
          <w:spacing w:val="-8"/>
        </w:rPr>
        <w:t> </w:t>
      </w:r>
      <w:r>
        <w:rPr/>
        <w:t>will</w:t>
      </w:r>
      <w:r>
        <w:rPr>
          <w:spacing w:val="-6"/>
        </w:rPr>
        <w:t> </w:t>
      </w:r>
      <w:r>
        <w:rPr/>
        <w:t>have</w:t>
      </w:r>
      <w:r>
        <w:rPr>
          <w:spacing w:val="-5"/>
        </w:rPr>
        <w:t> </w:t>
      </w:r>
      <w:r>
        <w:rPr/>
        <w:t>reassurance</w:t>
      </w:r>
      <w:r>
        <w:rPr>
          <w:spacing w:val="-8"/>
        </w:rPr>
        <w:t> </w:t>
      </w:r>
      <w:r>
        <w:rPr/>
        <w:t>markers</w:t>
      </w:r>
      <w:r>
        <w:rPr>
          <w:spacing w:val="-6"/>
        </w:rPr>
        <w:t> </w:t>
      </w:r>
      <w:r>
        <w:rPr/>
        <w:t>installed</w:t>
      </w:r>
      <w:r>
        <w:rPr>
          <w:spacing w:val="-7"/>
        </w:rPr>
        <w:t> </w:t>
      </w:r>
      <w:r>
        <w:rPr/>
        <w:t>to ensure trail</w:t>
      </w:r>
      <w:r>
        <w:rPr>
          <w:spacing w:val="-3"/>
        </w:rPr>
        <w:t> </w:t>
      </w:r>
      <w:r>
        <w:rPr/>
        <w:t>users are able</w:t>
      </w:r>
      <w:r>
        <w:rPr>
          <w:spacing w:val="-2"/>
        </w:rPr>
        <w:t> </w:t>
      </w:r>
      <w:r>
        <w:rPr/>
        <w:t>to follow</w:t>
      </w:r>
      <w:r>
        <w:rPr>
          <w:spacing w:val="-1"/>
        </w:rPr>
        <w:t> </w:t>
      </w:r>
      <w:r>
        <w:rPr/>
        <w:t>the established</w:t>
      </w:r>
      <w:r>
        <w:rPr>
          <w:spacing w:val="-3"/>
        </w:rPr>
        <w:t> </w:t>
      </w:r>
      <w:r>
        <w:rPr/>
        <w:t>trail tread</w:t>
      </w:r>
      <w:r>
        <w:rPr>
          <w:spacing w:val="-1"/>
        </w:rPr>
        <w:t> </w:t>
      </w:r>
      <w:r>
        <w:rPr/>
        <w:t>and</w:t>
      </w:r>
      <w:r>
        <w:rPr>
          <w:spacing w:val="-1"/>
        </w:rPr>
        <w:t> </w:t>
      </w:r>
      <w:r>
        <w:rPr/>
        <w:t>decrease an</w:t>
      </w:r>
      <w:r>
        <w:rPr>
          <w:spacing w:val="-3"/>
        </w:rPr>
        <w:t> </w:t>
      </w:r>
      <w:r>
        <w:rPr/>
        <w:t>existing</w:t>
      </w:r>
      <w:r>
        <w:rPr>
          <w:spacing w:val="-1"/>
        </w:rPr>
        <w:t> </w:t>
      </w:r>
      <w:r>
        <w:rPr/>
        <w:t>source of conflict between recreationists and livestock.</w:t>
      </w:r>
    </w:p>
    <w:p>
      <w:pPr>
        <w:pStyle w:val="Heading4"/>
        <w:spacing w:before="234"/>
      </w:pPr>
      <w:bookmarkStart w:name="Standard" w:id="431"/>
      <w:bookmarkEnd w:id="431"/>
      <w:r>
        <w:rPr/>
      </w:r>
      <w:bookmarkStart w:name="_bookmark137" w:id="432"/>
      <w:bookmarkEnd w:id="432"/>
      <w:r>
        <w:rPr/>
      </w:r>
      <w:r>
        <w:rPr>
          <w:spacing w:val="-2"/>
        </w:rPr>
        <w:t>Standard</w:t>
      </w:r>
    </w:p>
    <w:p>
      <w:pPr>
        <w:spacing w:before="240"/>
        <w:ind w:left="360" w:right="0" w:firstLine="0"/>
        <w:jc w:val="left"/>
        <w:rPr>
          <w:rFonts w:ascii="Arial"/>
          <w:i/>
          <w:sz w:val="22"/>
        </w:rPr>
      </w:pPr>
      <w:bookmarkStart w:name="FW-STD-LG-01. Stock Driveways" w:id="433"/>
      <w:bookmarkEnd w:id="433"/>
      <w:r>
        <w:rPr/>
      </w:r>
      <w:r>
        <w:rPr>
          <w:rFonts w:ascii="Arial"/>
          <w:i/>
          <w:sz w:val="22"/>
        </w:rPr>
        <w:t>FW-STD-LG-01.</w:t>
      </w:r>
      <w:r>
        <w:rPr>
          <w:rFonts w:ascii="Arial"/>
          <w:i/>
          <w:spacing w:val="-6"/>
          <w:sz w:val="22"/>
        </w:rPr>
        <w:t> </w:t>
      </w:r>
      <w:r>
        <w:rPr>
          <w:rFonts w:ascii="Arial"/>
          <w:i/>
          <w:sz w:val="22"/>
        </w:rPr>
        <w:t>Stock</w:t>
      </w:r>
      <w:r>
        <w:rPr>
          <w:rFonts w:ascii="Arial"/>
          <w:i/>
          <w:spacing w:val="-9"/>
          <w:sz w:val="22"/>
        </w:rPr>
        <w:t> </w:t>
      </w:r>
      <w:r>
        <w:rPr>
          <w:rFonts w:ascii="Arial"/>
          <w:i/>
          <w:spacing w:val="-2"/>
          <w:sz w:val="22"/>
        </w:rPr>
        <w:t>Driveways</w:t>
      </w:r>
    </w:p>
    <w:p>
      <w:pPr>
        <w:pStyle w:val="BodyText"/>
        <w:spacing w:before="58"/>
        <w:ind w:left="359"/>
      </w:pPr>
      <w:r>
        <w:rPr/>
        <w:t>Do</w:t>
      </w:r>
      <w:r>
        <w:rPr>
          <w:spacing w:val="-8"/>
        </w:rPr>
        <w:t> </w:t>
      </w:r>
      <w:r>
        <w:rPr/>
        <w:t>not</w:t>
      </w:r>
      <w:r>
        <w:rPr>
          <w:spacing w:val="-9"/>
        </w:rPr>
        <w:t> </w:t>
      </w:r>
      <w:r>
        <w:rPr/>
        <w:t>authorize</w:t>
      </w:r>
      <w:r>
        <w:rPr>
          <w:spacing w:val="-7"/>
        </w:rPr>
        <w:t> </w:t>
      </w:r>
      <w:r>
        <w:rPr/>
        <w:t>stock</w:t>
      </w:r>
      <w:r>
        <w:rPr>
          <w:spacing w:val="-8"/>
        </w:rPr>
        <w:t> </w:t>
      </w:r>
      <w:r>
        <w:rPr/>
        <w:t>driveways</w:t>
      </w:r>
      <w:hyperlink w:history="true" w:anchor="_bookmark139">
        <w:r>
          <w:rPr>
            <w:vertAlign w:val="superscript"/>
          </w:rPr>
          <w:t>15</w:t>
        </w:r>
      </w:hyperlink>
      <w:r>
        <w:rPr>
          <w:spacing w:val="-8"/>
          <w:vertAlign w:val="baseline"/>
        </w:rPr>
        <w:t> </w:t>
      </w:r>
      <w:r>
        <w:rPr>
          <w:vertAlign w:val="baseline"/>
        </w:rPr>
        <w:t>along</w:t>
      </w:r>
      <w:r>
        <w:rPr>
          <w:spacing w:val="-8"/>
          <w:vertAlign w:val="baseline"/>
        </w:rPr>
        <w:t> </w:t>
      </w:r>
      <w:r>
        <w:rPr>
          <w:vertAlign w:val="baseline"/>
        </w:rPr>
        <w:t>nationally</w:t>
      </w:r>
      <w:r>
        <w:rPr>
          <w:spacing w:val="-8"/>
          <w:vertAlign w:val="baseline"/>
        </w:rPr>
        <w:t> </w:t>
      </w:r>
      <w:r>
        <w:rPr>
          <w:vertAlign w:val="baseline"/>
        </w:rPr>
        <w:t>designated</w:t>
      </w:r>
      <w:r>
        <w:rPr>
          <w:spacing w:val="-8"/>
          <w:vertAlign w:val="baseline"/>
        </w:rPr>
        <w:t> </w:t>
      </w:r>
      <w:r>
        <w:rPr>
          <w:vertAlign w:val="baseline"/>
        </w:rPr>
        <w:t>(Recreation</w:t>
      </w:r>
      <w:r>
        <w:rPr>
          <w:spacing w:val="-8"/>
          <w:vertAlign w:val="baseline"/>
        </w:rPr>
        <w:t> </w:t>
      </w:r>
      <w:r>
        <w:rPr>
          <w:vertAlign w:val="baseline"/>
        </w:rPr>
        <w:t>and</w:t>
      </w:r>
      <w:r>
        <w:rPr>
          <w:spacing w:val="-8"/>
          <w:vertAlign w:val="baseline"/>
        </w:rPr>
        <w:t> </w:t>
      </w:r>
      <w:r>
        <w:rPr>
          <w:vertAlign w:val="baseline"/>
        </w:rPr>
        <w:t>Scenic)</w:t>
      </w:r>
      <w:r>
        <w:rPr>
          <w:spacing w:val="-7"/>
          <w:vertAlign w:val="baseline"/>
        </w:rPr>
        <w:t> </w:t>
      </w:r>
      <w:r>
        <w:rPr>
          <w:spacing w:val="-2"/>
          <w:vertAlign w:val="baseline"/>
        </w:rPr>
        <w:t>trails.</w:t>
      </w:r>
    </w:p>
    <w:p>
      <w:pPr>
        <w:pStyle w:val="Heading4"/>
        <w:spacing w:before="234"/>
      </w:pPr>
      <w:bookmarkStart w:name="Guidelines" w:id="434"/>
      <w:bookmarkEnd w:id="434"/>
      <w:r>
        <w:rPr/>
      </w:r>
      <w:bookmarkStart w:name="_bookmark138" w:id="435"/>
      <w:bookmarkEnd w:id="435"/>
      <w:r>
        <w:rPr/>
      </w:r>
      <w:r>
        <w:rPr>
          <w:spacing w:val="-2"/>
        </w:rPr>
        <w:t>Guidelines</w:t>
      </w:r>
    </w:p>
    <w:p>
      <w:pPr>
        <w:spacing w:before="238"/>
        <w:ind w:left="359" w:right="1445" w:firstLine="0"/>
        <w:jc w:val="left"/>
        <w:rPr>
          <w:rFonts w:ascii="Arial"/>
          <w:i/>
          <w:sz w:val="22"/>
        </w:rPr>
      </w:pPr>
      <w:bookmarkStart w:name="FW-GDL-LG-01. Threatened and Endangered " w:id="436"/>
      <w:bookmarkEnd w:id="436"/>
      <w:r>
        <w:rPr/>
      </w:r>
      <w:r>
        <w:rPr>
          <w:rFonts w:ascii="Arial"/>
          <w:i/>
          <w:sz w:val="22"/>
        </w:rPr>
        <w:t>FW-GDL-LG-01.</w:t>
      </w:r>
      <w:r>
        <w:rPr>
          <w:rFonts w:ascii="Arial"/>
          <w:i/>
          <w:spacing w:val="-3"/>
          <w:sz w:val="22"/>
        </w:rPr>
        <w:t> </w:t>
      </w:r>
      <w:r>
        <w:rPr>
          <w:rFonts w:ascii="Arial"/>
          <w:i/>
          <w:sz w:val="22"/>
        </w:rPr>
        <w:t>Threatened</w:t>
      </w:r>
      <w:r>
        <w:rPr>
          <w:rFonts w:ascii="Arial"/>
          <w:i/>
          <w:spacing w:val="-5"/>
          <w:sz w:val="22"/>
        </w:rPr>
        <w:t> </w:t>
      </w:r>
      <w:r>
        <w:rPr>
          <w:rFonts w:ascii="Arial"/>
          <w:i/>
          <w:sz w:val="22"/>
        </w:rPr>
        <w:t>and</w:t>
      </w:r>
      <w:r>
        <w:rPr>
          <w:rFonts w:ascii="Arial"/>
          <w:i/>
          <w:spacing w:val="-5"/>
          <w:sz w:val="22"/>
        </w:rPr>
        <w:t> </w:t>
      </w:r>
      <w:r>
        <w:rPr>
          <w:rFonts w:ascii="Arial"/>
          <w:i/>
          <w:sz w:val="22"/>
        </w:rPr>
        <w:t>Endangered</w:t>
      </w:r>
      <w:r>
        <w:rPr>
          <w:rFonts w:ascii="Arial"/>
          <w:i/>
          <w:spacing w:val="-5"/>
          <w:sz w:val="22"/>
        </w:rPr>
        <w:t> </w:t>
      </w:r>
      <w:r>
        <w:rPr>
          <w:rFonts w:ascii="Arial"/>
          <w:i/>
          <w:sz w:val="22"/>
        </w:rPr>
        <w:t>Species</w:t>
      </w:r>
      <w:r>
        <w:rPr>
          <w:rFonts w:ascii="Arial"/>
          <w:i/>
          <w:spacing w:val="-4"/>
          <w:sz w:val="22"/>
        </w:rPr>
        <w:t> </w:t>
      </w:r>
      <w:r>
        <w:rPr>
          <w:rFonts w:ascii="Arial"/>
          <w:i/>
          <w:sz w:val="22"/>
        </w:rPr>
        <w:t>Habitat</w:t>
      </w:r>
      <w:r>
        <w:rPr>
          <w:rFonts w:ascii="Arial"/>
          <w:i/>
          <w:spacing w:val="-5"/>
          <w:sz w:val="22"/>
        </w:rPr>
        <w:t> </w:t>
      </w:r>
      <w:r>
        <w:rPr>
          <w:rFonts w:ascii="Arial"/>
          <w:i/>
          <w:sz w:val="22"/>
        </w:rPr>
        <w:t>in</w:t>
      </w:r>
      <w:r>
        <w:rPr>
          <w:rFonts w:ascii="Arial"/>
          <w:i/>
          <w:spacing w:val="-5"/>
          <w:sz w:val="22"/>
        </w:rPr>
        <w:t> </w:t>
      </w:r>
      <w:r>
        <w:rPr>
          <w:rFonts w:ascii="Arial"/>
          <w:i/>
          <w:sz w:val="22"/>
        </w:rPr>
        <w:t>Riparian</w:t>
      </w:r>
      <w:r>
        <w:rPr>
          <w:rFonts w:ascii="Arial"/>
          <w:i/>
          <w:spacing w:val="-6"/>
          <w:sz w:val="22"/>
        </w:rPr>
        <w:t> </w:t>
      </w:r>
      <w:r>
        <w:rPr>
          <w:rFonts w:ascii="Arial"/>
          <w:i/>
          <w:sz w:val="22"/>
        </w:rPr>
        <w:t>Areas</w:t>
      </w:r>
      <w:r>
        <w:rPr>
          <w:rFonts w:ascii="Arial"/>
          <w:i/>
          <w:spacing w:val="-4"/>
          <w:sz w:val="22"/>
        </w:rPr>
        <w:t> </w:t>
      </w:r>
      <w:r>
        <w:rPr>
          <w:rFonts w:ascii="Arial"/>
          <w:i/>
          <w:sz w:val="22"/>
        </w:rPr>
        <w:t>in</w:t>
      </w:r>
      <w:r>
        <w:rPr>
          <w:rFonts w:ascii="Arial"/>
          <w:i/>
          <w:sz w:val="22"/>
        </w:rPr>
        <w:t> Grazing Allotments.</w:t>
      </w:r>
    </w:p>
    <w:p>
      <w:pPr>
        <w:pStyle w:val="BodyText"/>
        <w:spacing w:line="232" w:lineRule="auto" w:before="66"/>
        <w:ind w:left="359" w:right="1073"/>
      </w:pPr>
      <w:r>
        <w:rPr/>
        <w:t>If</w:t>
      </w:r>
      <w:r>
        <w:rPr>
          <w:spacing w:val="-5"/>
        </w:rPr>
        <w:t> </w:t>
      </w:r>
      <w:r>
        <w:rPr/>
        <w:t>livestock</w:t>
      </w:r>
      <w:r>
        <w:rPr>
          <w:spacing w:val="-4"/>
        </w:rPr>
        <w:t> </w:t>
      </w:r>
      <w:r>
        <w:rPr/>
        <w:t>grazing</w:t>
      </w:r>
      <w:r>
        <w:rPr>
          <w:spacing w:val="-6"/>
        </w:rPr>
        <w:t> </w:t>
      </w:r>
      <w:r>
        <w:rPr/>
        <w:t>occurs</w:t>
      </w:r>
      <w:r>
        <w:rPr>
          <w:spacing w:val="-5"/>
        </w:rPr>
        <w:t> </w:t>
      </w:r>
      <w:r>
        <w:rPr/>
        <w:t>within</w:t>
      </w:r>
      <w:r>
        <w:rPr>
          <w:spacing w:val="-6"/>
        </w:rPr>
        <w:t> </w:t>
      </w:r>
      <w:r>
        <w:rPr/>
        <w:t>areas</w:t>
      </w:r>
      <w:r>
        <w:rPr>
          <w:spacing w:val="-5"/>
        </w:rPr>
        <w:t> </w:t>
      </w:r>
      <w:r>
        <w:rPr/>
        <w:t>used</w:t>
      </w:r>
      <w:r>
        <w:rPr>
          <w:spacing w:val="-8"/>
        </w:rPr>
        <w:t> </w:t>
      </w:r>
      <w:r>
        <w:rPr/>
        <w:t>by</w:t>
      </w:r>
      <w:r>
        <w:rPr>
          <w:spacing w:val="-6"/>
        </w:rPr>
        <w:t> </w:t>
      </w:r>
      <w:r>
        <w:rPr/>
        <w:t>threatened</w:t>
      </w:r>
      <w:r>
        <w:rPr>
          <w:spacing w:val="-6"/>
        </w:rPr>
        <w:t> </w:t>
      </w:r>
      <w:r>
        <w:rPr/>
        <w:t>and</w:t>
      </w:r>
      <w:r>
        <w:rPr>
          <w:spacing w:val="-6"/>
        </w:rPr>
        <w:t> </w:t>
      </w:r>
      <w:r>
        <w:rPr/>
        <w:t>endangered</w:t>
      </w:r>
      <w:r>
        <w:rPr>
          <w:spacing w:val="-8"/>
        </w:rPr>
        <w:t> </w:t>
      </w:r>
      <w:r>
        <w:rPr/>
        <w:t>species,</w:t>
      </w:r>
      <w:r>
        <w:rPr>
          <w:spacing w:val="-7"/>
        </w:rPr>
        <w:t> </w:t>
      </w:r>
      <w:r>
        <w:rPr/>
        <w:t>manage</w:t>
      </w:r>
      <w:r>
        <w:rPr>
          <w:spacing w:val="-4"/>
        </w:rPr>
        <w:t> </w:t>
      </w:r>
      <w:r>
        <w:rPr/>
        <w:t>for conditions for the species or its prey.</w:t>
      </w:r>
    </w:p>
    <w:p>
      <w:pPr>
        <w:spacing w:before="234"/>
        <w:ind w:left="359" w:right="1073" w:firstLine="0"/>
        <w:jc w:val="left"/>
        <w:rPr>
          <w:rFonts w:ascii="Arial"/>
          <w:i/>
          <w:sz w:val="22"/>
        </w:rPr>
      </w:pPr>
      <w:bookmarkStart w:name="FW-GDL-LG-02. Permitted and Recreational" w:id="437"/>
      <w:bookmarkEnd w:id="437"/>
      <w:r>
        <w:rPr/>
      </w:r>
      <w:r>
        <w:rPr>
          <w:rFonts w:ascii="Arial"/>
          <w:i/>
          <w:sz w:val="22"/>
        </w:rPr>
        <w:t>FW-GDL-LG-02.</w:t>
      </w:r>
      <w:r>
        <w:rPr>
          <w:rFonts w:ascii="Arial"/>
          <w:i/>
          <w:spacing w:val="-4"/>
          <w:sz w:val="22"/>
        </w:rPr>
        <w:t> </w:t>
      </w:r>
      <w:r>
        <w:rPr>
          <w:rFonts w:ascii="Arial"/>
          <w:i/>
          <w:sz w:val="22"/>
        </w:rPr>
        <w:t>Permitted</w:t>
      </w:r>
      <w:r>
        <w:rPr>
          <w:rFonts w:ascii="Arial"/>
          <w:i/>
          <w:spacing w:val="-6"/>
          <w:sz w:val="22"/>
        </w:rPr>
        <w:t> </w:t>
      </w:r>
      <w:r>
        <w:rPr>
          <w:rFonts w:ascii="Arial"/>
          <w:i/>
          <w:sz w:val="22"/>
        </w:rPr>
        <w:t>and</w:t>
      </w:r>
      <w:r>
        <w:rPr>
          <w:rFonts w:ascii="Arial"/>
          <w:i/>
          <w:spacing w:val="-6"/>
          <w:sz w:val="22"/>
        </w:rPr>
        <w:t> </w:t>
      </w:r>
      <w:r>
        <w:rPr>
          <w:rFonts w:ascii="Arial"/>
          <w:i/>
          <w:sz w:val="22"/>
        </w:rPr>
        <w:t>Recreational</w:t>
      </w:r>
      <w:r>
        <w:rPr>
          <w:rFonts w:ascii="Arial"/>
          <w:i/>
          <w:spacing w:val="-9"/>
          <w:sz w:val="22"/>
        </w:rPr>
        <w:t> </w:t>
      </w:r>
      <w:r>
        <w:rPr>
          <w:rFonts w:ascii="Arial"/>
          <w:i/>
          <w:sz w:val="22"/>
        </w:rPr>
        <w:t>Grazing</w:t>
      </w:r>
      <w:r>
        <w:rPr>
          <w:rFonts w:ascii="Arial"/>
          <w:i/>
          <w:spacing w:val="-6"/>
          <w:sz w:val="22"/>
        </w:rPr>
        <w:t> </w:t>
      </w:r>
      <w:r>
        <w:rPr>
          <w:rFonts w:ascii="Arial"/>
          <w:i/>
          <w:sz w:val="22"/>
        </w:rPr>
        <w:t>in</w:t>
      </w:r>
      <w:r>
        <w:rPr>
          <w:rFonts w:ascii="Arial"/>
          <w:i/>
          <w:spacing w:val="-6"/>
          <w:sz w:val="22"/>
        </w:rPr>
        <w:t> </w:t>
      </w:r>
      <w:r>
        <w:rPr>
          <w:rFonts w:ascii="Arial"/>
          <w:i/>
          <w:sz w:val="22"/>
        </w:rPr>
        <w:t>Congressionally</w:t>
      </w:r>
      <w:r>
        <w:rPr>
          <w:rFonts w:ascii="Arial"/>
          <w:i/>
          <w:spacing w:val="-5"/>
          <w:sz w:val="22"/>
        </w:rPr>
        <w:t> </w:t>
      </w:r>
      <w:r>
        <w:rPr>
          <w:rFonts w:ascii="Arial"/>
          <w:i/>
          <w:sz w:val="22"/>
        </w:rPr>
        <w:t>Designated</w:t>
      </w:r>
      <w:r>
        <w:rPr>
          <w:rFonts w:ascii="Arial"/>
          <w:i/>
          <w:sz w:val="22"/>
        </w:rPr>
        <w:t> </w:t>
      </w:r>
      <w:r>
        <w:rPr>
          <w:rFonts w:ascii="Arial"/>
          <w:i/>
          <w:spacing w:val="-2"/>
          <w:sz w:val="22"/>
        </w:rPr>
        <w:t>Wilderness</w:t>
      </w:r>
    </w:p>
    <w:p>
      <w:pPr>
        <w:pStyle w:val="BodyText"/>
        <w:spacing w:line="232" w:lineRule="auto" w:before="66"/>
        <w:ind w:left="359" w:right="1445"/>
      </w:pPr>
      <w:r>
        <w:rPr/>
        <w:t>Stock</w:t>
      </w:r>
      <w:r>
        <w:rPr>
          <w:spacing w:val="-8"/>
        </w:rPr>
        <w:t> </w:t>
      </w:r>
      <w:r>
        <w:rPr/>
        <w:t>should</w:t>
      </w:r>
      <w:r>
        <w:rPr>
          <w:spacing w:val="-7"/>
        </w:rPr>
        <w:t> </w:t>
      </w:r>
      <w:r>
        <w:rPr/>
        <w:t>be</w:t>
      </w:r>
      <w:r>
        <w:rPr>
          <w:spacing w:val="-8"/>
        </w:rPr>
        <w:t> </w:t>
      </w:r>
      <w:r>
        <w:rPr/>
        <w:t>managed</w:t>
      </w:r>
      <w:r>
        <w:rPr>
          <w:spacing w:val="-9"/>
        </w:rPr>
        <w:t> </w:t>
      </w:r>
      <w:r>
        <w:rPr/>
        <w:t>to</w:t>
      </w:r>
      <w:r>
        <w:rPr>
          <w:spacing w:val="-5"/>
        </w:rPr>
        <w:t> </w:t>
      </w:r>
      <w:r>
        <w:rPr/>
        <w:t>discourage</w:t>
      </w:r>
      <w:r>
        <w:rPr>
          <w:spacing w:val="-5"/>
        </w:rPr>
        <w:t> </w:t>
      </w:r>
      <w:r>
        <w:rPr/>
        <w:t>congregating</w:t>
      </w:r>
      <w:r>
        <w:rPr>
          <w:spacing w:val="-7"/>
        </w:rPr>
        <w:t> </w:t>
      </w:r>
      <w:r>
        <w:rPr/>
        <w:t>on</w:t>
      </w:r>
      <w:r>
        <w:rPr>
          <w:spacing w:val="-7"/>
        </w:rPr>
        <w:t> </w:t>
      </w:r>
      <w:r>
        <w:rPr/>
        <w:t>trails,</w:t>
      </w:r>
      <w:r>
        <w:rPr>
          <w:spacing w:val="-8"/>
        </w:rPr>
        <w:t> </w:t>
      </w:r>
      <w:r>
        <w:rPr/>
        <w:t>destination</w:t>
      </w:r>
      <w:r>
        <w:rPr>
          <w:spacing w:val="-7"/>
        </w:rPr>
        <w:t> </w:t>
      </w:r>
      <w:r>
        <w:rPr/>
        <w:t>areas,</w:t>
      </w:r>
      <w:r>
        <w:rPr>
          <w:spacing w:val="-8"/>
        </w:rPr>
        <w:t> </w:t>
      </w:r>
      <w:r>
        <w:rPr/>
        <w:t>cultural</w:t>
      </w:r>
      <w:r>
        <w:rPr>
          <w:spacing w:val="-6"/>
        </w:rPr>
        <w:t> </w:t>
      </w:r>
      <w:r>
        <w:rPr/>
        <w:t>sites, and fragile plant communities.</w:t>
      </w:r>
    </w:p>
    <w:p>
      <w:pPr>
        <w:pStyle w:val="BodyText"/>
        <w:rPr>
          <w:sz w:val="20"/>
        </w:rPr>
      </w:pPr>
    </w:p>
    <w:p>
      <w:pPr>
        <w:pStyle w:val="BodyText"/>
        <w:spacing w:before="70"/>
        <w:rPr>
          <w:sz w:val="20"/>
        </w:rPr>
      </w:pPr>
      <w:r>
        <w:rPr>
          <w:sz w:val="20"/>
        </w:rPr>
        <mc:AlternateContent>
          <mc:Choice Requires="wps">
            <w:drawing>
              <wp:anchor distT="0" distB="0" distL="0" distR="0" allowOverlap="1" layoutInCell="1" locked="0" behindDoc="1" simplePos="0" relativeHeight="487616000">
                <wp:simplePos x="0" y="0"/>
                <wp:positionH relativeFrom="page">
                  <wp:posOffset>914400</wp:posOffset>
                </wp:positionH>
                <wp:positionV relativeFrom="paragraph">
                  <wp:posOffset>214740</wp:posOffset>
                </wp:positionV>
                <wp:extent cx="1828800" cy="7620"/>
                <wp:effectExtent l="0" t="0" r="0" b="0"/>
                <wp:wrapTopAndBottom/>
                <wp:docPr id="183" name="Graphic 183"/>
                <wp:cNvGraphicFramePr>
                  <a:graphicFrameLocks/>
                </wp:cNvGraphicFramePr>
                <a:graphic>
                  <a:graphicData uri="http://schemas.microsoft.com/office/word/2010/wordprocessingShape">
                    <wps:wsp>
                      <wps:cNvPr id="183" name="Graphic 183"/>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6.908735pt;width:144pt;height:.599pt;mso-position-horizontal-relative:page;mso-position-vertical-relative:paragraph;z-index:-15700480;mso-wrap-distance-left:0;mso-wrap-distance-right:0" id="docshape171" filled="true" fillcolor="#000000" stroked="false">
                <v:fill type="solid"/>
                <w10:wrap type="topAndBottom"/>
              </v:rect>
            </w:pict>
          </mc:Fallback>
        </mc:AlternateContent>
      </w:r>
    </w:p>
    <w:p>
      <w:pPr>
        <w:spacing w:before="95"/>
        <w:ind w:left="359" w:right="1521" w:firstLine="0"/>
        <w:jc w:val="both"/>
        <w:rPr>
          <w:sz w:val="18"/>
        </w:rPr>
      </w:pPr>
      <w:bookmarkStart w:name="_bookmark139" w:id="438"/>
      <w:bookmarkEnd w:id="438"/>
      <w:r>
        <w:rPr/>
      </w:r>
      <w:r>
        <w:rPr>
          <w:position w:val="5"/>
          <w:sz w:val="12"/>
        </w:rPr>
        <w:t>15</w:t>
      </w:r>
      <w:r>
        <w:rPr>
          <w:spacing w:val="12"/>
          <w:position w:val="5"/>
          <w:sz w:val="12"/>
        </w:rPr>
        <w:t> </w:t>
      </w:r>
      <w:r>
        <w:rPr>
          <w:sz w:val="18"/>
        </w:rPr>
        <w:t>A</w:t>
      </w:r>
      <w:r>
        <w:rPr>
          <w:spacing w:val="-1"/>
          <w:sz w:val="18"/>
        </w:rPr>
        <w:t> </w:t>
      </w:r>
      <w:r>
        <w:rPr>
          <w:sz w:val="18"/>
        </w:rPr>
        <w:t>stock</w:t>
      </w:r>
      <w:r>
        <w:rPr>
          <w:spacing w:val="-1"/>
          <w:sz w:val="18"/>
        </w:rPr>
        <w:t> </w:t>
      </w:r>
      <w:r>
        <w:rPr>
          <w:sz w:val="18"/>
        </w:rPr>
        <w:t>driveway is</w:t>
      </w:r>
      <w:r>
        <w:rPr>
          <w:spacing w:val="-1"/>
          <w:sz w:val="18"/>
        </w:rPr>
        <w:t> </w:t>
      </w:r>
      <w:r>
        <w:rPr>
          <w:sz w:val="18"/>
        </w:rPr>
        <w:t>a term that</w:t>
      </w:r>
      <w:r>
        <w:rPr>
          <w:spacing w:val="-1"/>
          <w:sz w:val="18"/>
        </w:rPr>
        <w:t> </w:t>
      </w:r>
      <w:r>
        <w:rPr>
          <w:sz w:val="18"/>
        </w:rPr>
        <w:t>is used specifically for</w:t>
      </w:r>
      <w:r>
        <w:rPr>
          <w:spacing w:val="-1"/>
          <w:sz w:val="18"/>
        </w:rPr>
        <w:t> </w:t>
      </w:r>
      <w:r>
        <w:rPr>
          <w:sz w:val="18"/>
        </w:rPr>
        <w:t>designating a route</w:t>
      </w:r>
      <w:r>
        <w:rPr>
          <w:spacing w:val="-1"/>
          <w:sz w:val="18"/>
        </w:rPr>
        <w:t> </w:t>
      </w:r>
      <w:r>
        <w:rPr>
          <w:sz w:val="18"/>
        </w:rPr>
        <w:t>for</w:t>
      </w:r>
      <w:r>
        <w:rPr>
          <w:spacing w:val="-1"/>
          <w:sz w:val="18"/>
        </w:rPr>
        <w:t> </w:t>
      </w:r>
      <w:r>
        <w:rPr>
          <w:sz w:val="18"/>
        </w:rPr>
        <w:t>“Livestock</w:t>
      </w:r>
      <w:r>
        <w:rPr>
          <w:spacing w:val="-1"/>
          <w:sz w:val="18"/>
        </w:rPr>
        <w:t> </w:t>
      </w:r>
      <w:r>
        <w:rPr>
          <w:sz w:val="18"/>
        </w:rPr>
        <w:t>trailed</w:t>
      </w:r>
      <w:r>
        <w:rPr>
          <w:spacing w:val="-1"/>
          <w:sz w:val="18"/>
        </w:rPr>
        <w:t> </w:t>
      </w:r>
      <w:r>
        <w:rPr>
          <w:sz w:val="18"/>
        </w:rPr>
        <w:t>over an</w:t>
      </w:r>
      <w:r>
        <w:rPr>
          <w:spacing w:val="-1"/>
          <w:sz w:val="18"/>
        </w:rPr>
        <w:t> </w:t>
      </w:r>
      <w:r>
        <w:rPr>
          <w:sz w:val="18"/>
        </w:rPr>
        <w:t>established driveway</w:t>
      </w:r>
      <w:r>
        <w:rPr>
          <w:spacing w:val="-3"/>
          <w:sz w:val="18"/>
        </w:rPr>
        <w:t> </w:t>
      </w:r>
      <w:r>
        <w:rPr>
          <w:sz w:val="18"/>
        </w:rPr>
        <w:t>where</w:t>
      </w:r>
      <w:r>
        <w:rPr>
          <w:spacing w:val="-4"/>
          <w:sz w:val="18"/>
        </w:rPr>
        <w:t> </w:t>
      </w:r>
      <w:r>
        <w:rPr>
          <w:sz w:val="18"/>
        </w:rPr>
        <w:t>there</w:t>
      </w:r>
      <w:r>
        <w:rPr>
          <w:spacing w:val="-4"/>
          <w:sz w:val="18"/>
        </w:rPr>
        <w:t> </w:t>
      </w:r>
      <w:r>
        <w:rPr>
          <w:sz w:val="18"/>
        </w:rPr>
        <w:t>will</w:t>
      </w:r>
      <w:r>
        <w:rPr>
          <w:spacing w:val="-4"/>
          <w:sz w:val="18"/>
        </w:rPr>
        <w:t> </w:t>
      </w:r>
      <w:r>
        <w:rPr>
          <w:sz w:val="18"/>
        </w:rPr>
        <w:t>be</w:t>
      </w:r>
      <w:r>
        <w:rPr>
          <w:spacing w:val="-2"/>
          <w:sz w:val="18"/>
        </w:rPr>
        <w:t> </w:t>
      </w:r>
      <w:r>
        <w:rPr>
          <w:sz w:val="18"/>
        </w:rPr>
        <w:t>no</w:t>
      </w:r>
      <w:r>
        <w:rPr>
          <w:spacing w:val="-2"/>
          <w:sz w:val="18"/>
        </w:rPr>
        <w:t> </w:t>
      </w:r>
      <w:r>
        <w:rPr>
          <w:sz w:val="18"/>
        </w:rPr>
        <w:t>overnight</w:t>
      </w:r>
      <w:r>
        <w:rPr>
          <w:spacing w:val="-1"/>
          <w:sz w:val="18"/>
        </w:rPr>
        <w:t> </w:t>
      </w:r>
      <w:r>
        <w:rPr>
          <w:sz w:val="18"/>
        </w:rPr>
        <w:t>stops</w:t>
      </w:r>
      <w:r>
        <w:rPr>
          <w:spacing w:val="-4"/>
          <w:sz w:val="18"/>
        </w:rPr>
        <w:t> </w:t>
      </w:r>
      <w:r>
        <w:rPr>
          <w:sz w:val="18"/>
        </w:rPr>
        <w:t>on</w:t>
      </w:r>
      <w:r>
        <w:rPr>
          <w:spacing w:val="-4"/>
          <w:sz w:val="18"/>
        </w:rPr>
        <w:t> </w:t>
      </w:r>
      <w:r>
        <w:rPr>
          <w:sz w:val="18"/>
        </w:rPr>
        <w:t>land</w:t>
      </w:r>
      <w:r>
        <w:rPr>
          <w:spacing w:val="-4"/>
          <w:sz w:val="18"/>
        </w:rPr>
        <w:t> </w:t>
      </w:r>
      <w:r>
        <w:rPr>
          <w:sz w:val="18"/>
        </w:rPr>
        <w:t>administered</w:t>
      </w:r>
      <w:r>
        <w:rPr>
          <w:spacing w:val="-2"/>
          <w:sz w:val="18"/>
        </w:rPr>
        <w:t> </w:t>
      </w:r>
      <w:r>
        <w:rPr>
          <w:sz w:val="18"/>
        </w:rPr>
        <w:t>by</w:t>
      </w:r>
      <w:r>
        <w:rPr>
          <w:spacing w:val="-3"/>
          <w:sz w:val="18"/>
        </w:rPr>
        <w:t> </w:t>
      </w:r>
      <w:r>
        <w:rPr>
          <w:sz w:val="18"/>
        </w:rPr>
        <w:t>the</w:t>
      </w:r>
      <w:r>
        <w:rPr>
          <w:spacing w:val="-2"/>
          <w:sz w:val="18"/>
        </w:rPr>
        <w:t> </w:t>
      </w:r>
      <w:r>
        <w:rPr>
          <w:sz w:val="18"/>
        </w:rPr>
        <w:t>Forest</w:t>
      </w:r>
      <w:r>
        <w:rPr>
          <w:spacing w:val="-1"/>
          <w:sz w:val="18"/>
        </w:rPr>
        <w:t> </w:t>
      </w:r>
      <w:r>
        <w:rPr>
          <w:sz w:val="18"/>
        </w:rPr>
        <w:t>Service.”</w:t>
      </w:r>
      <w:r>
        <w:rPr>
          <w:spacing w:val="-4"/>
          <w:sz w:val="18"/>
        </w:rPr>
        <w:t> </w:t>
      </w:r>
      <w:r>
        <w:rPr>
          <w:sz w:val="18"/>
        </w:rPr>
        <w:t>Further</w:t>
      </w:r>
      <w:r>
        <w:rPr>
          <w:spacing w:val="-4"/>
          <w:sz w:val="18"/>
        </w:rPr>
        <w:t> </w:t>
      </w:r>
      <w:r>
        <w:rPr>
          <w:sz w:val="18"/>
        </w:rPr>
        <w:t>clarification</w:t>
      </w:r>
      <w:r>
        <w:rPr>
          <w:spacing w:val="-4"/>
          <w:sz w:val="18"/>
        </w:rPr>
        <w:t> </w:t>
      </w:r>
      <w:r>
        <w:rPr>
          <w:sz w:val="18"/>
        </w:rPr>
        <w:t>for designation of a stock driveway is found in Forest Service Manual 2200 Chapter 2230.</w:t>
      </w:r>
    </w:p>
    <w:p>
      <w:pPr>
        <w:spacing w:after="0"/>
        <w:jc w:val="both"/>
        <w:rPr>
          <w:sz w:val="18"/>
        </w:rPr>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GDL-LG-03.  Recreation Conflicts" w:id="439"/>
      <w:bookmarkEnd w:id="439"/>
      <w:r>
        <w:rPr/>
      </w:r>
      <w:r>
        <w:rPr>
          <w:rFonts w:ascii="Arial"/>
          <w:i/>
          <w:sz w:val="22"/>
        </w:rPr>
        <w:t>FW-GDL-LG-03.</w:t>
      </w:r>
      <w:r>
        <w:rPr>
          <w:rFonts w:ascii="Arial"/>
          <w:i/>
          <w:spacing w:val="48"/>
          <w:sz w:val="22"/>
        </w:rPr>
        <w:t> </w:t>
      </w:r>
      <w:r>
        <w:rPr>
          <w:rFonts w:ascii="Arial"/>
          <w:i/>
          <w:sz w:val="22"/>
        </w:rPr>
        <w:t>Recreation</w:t>
      </w:r>
      <w:r>
        <w:rPr>
          <w:rFonts w:ascii="Arial"/>
          <w:i/>
          <w:spacing w:val="-6"/>
          <w:sz w:val="22"/>
        </w:rPr>
        <w:t> </w:t>
      </w:r>
      <w:r>
        <w:rPr>
          <w:rFonts w:ascii="Arial"/>
          <w:i/>
          <w:spacing w:val="-2"/>
          <w:sz w:val="22"/>
        </w:rPr>
        <w:t>Conflicts</w:t>
      </w:r>
    </w:p>
    <w:p>
      <w:pPr>
        <w:pStyle w:val="BodyText"/>
        <w:spacing w:line="232" w:lineRule="auto" w:before="65"/>
        <w:ind w:left="1151" w:right="742"/>
      </w:pPr>
      <w:r>
        <w:rPr/>
        <w:t>Braided trails resulting from grazing should have reassurance markers installed at intersections or the non-system trail, where practical, should be restored or blocked if doing so would successfully reduce livestock use and trail braiding over the long term.</w:t>
      </w:r>
      <w:r>
        <w:rPr>
          <w:spacing w:val="40"/>
        </w:rPr>
        <w:t> </w:t>
      </w:r>
      <w:r>
        <w:rPr/>
        <w:t>Salting, water development</w:t>
      </w:r>
      <w:r>
        <w:rPr>
          <w:spacing w:val="-5"/>
        </w:rPr>
        <w:t> </w:t>
      </w:r>
      <w:r>
        <w:rPr/>
        <w:t>design,</w:t>
      </w:r>
      <w:r>
        <w:rPr>
          <w:spacing w:val="-6"/>
        </w:rPr>
        <w:t> </w:t>
      </w:r>
      <w:r>
        <w:rPr/>
        <w:t>and</w:t>
      </w:r>
      <w:r>
        <w:rPr>
          <w:spacing w:val="-7"/>
        </w:rPr>
        <w:t> </w:t>
      </w:r>
      <w:r>
        <w:rPr/>
        <w:t>turn-out/gathering</w:t>
      </w:r>
      <w:r>
        <w:rPr>
          <w:spacing w:val="-7"/>
        </w:rPr>
        <w:t> </w:t>
      </w:r>
      <w:r>
        <w:rPr/>
        <w:t>locations</w:t>
      </w:r>
      <w:r>
        <w:rPr>
          <w:spacing w:val="-6"/>
        </w:rPr>
        <w:t> </w:t>
      </w:r>
      <w:r>
        <w:rPr/>
        <w:t>should</w:t>
      </w:r>
      <w:r>
        <w:rPr>
          <w:spacing w:val="-7"/>
        </w:rPr>
        <w:t> </w:t>
      </w:r>
      <w:r>
        <w:rPr/>
        <w:t>be</w:t>
      </w:r>
      <w:r>
        <w:rPr>
          <w:spacing w:val="-8"/>
        </w:rPr>
        <w:t> </w:t>
      </w:r>
      <w:r>
        <w:rPr/>
        <w:t>addressed</w:t>
      </w:r>
      <w:r>
        <w:rPr>
          <w:spacing w:val="-7"/>
        </w:rPr>
        <w:t> </w:t>
      </w:r>
      <w:r>
        <w:rPr/>
        <w:t>in</w:t>
      </w:r>
      <w:r>
        <w:rPr>
          <w:spacing w:val="-7"/>
        </w:rPr>
        <w:t> </w:t>
      </w:r>
      <w:r>
        <w:rPr/>
        <w:t>the</w:t>
      </w:r>
      <w:r>
        <w:rPr>
          <w:spacing w:val="-5"/>
        </w:rPr>
        <w:t> </w:t>
      </w:r>
      <w:r>
        <w:rPr/>
        <w:t>development of annual grazing plans to avoid livestock impacts to system trails, recreation areas, scenic vistas, etc.</w:t>
      </w:r>
    </w:p>
    <w:p>
      <w:pPr>
        <w:pStyle w:val="Heading3"/>
        <w:spacing w:before="235"/>
      </w:pPr>
      <w:bookmarkStart w:name="Minerals (MIN)" w:id="440"/>
      <w:bookmarkEnd w:id="440"/>
      <w:r>
        <w:rPr>
          <w:b w:val="0"/>
        </w:rPr>
      </w:r>
      <w:bookmarkStart w:name="_bookmark140" w:id="441"/>
      <w:bookmarkEnd w:id="441"/>
      <w:r>
        <w:rPr>
          <w:b w:val="0"/>
        </w:rPr>
      </w:r>
      <w:r>
        <w:rPr>
          <w:smallCaps/>
          <w:color w:val="475824"/>
        </w:rPr>
        <w:t>Minerals</w:t>
      </w:r>
      <w:r>
        <w:rPr>
          <w:smallCaps/>
          <w:color w:val="475824"/>
          <w:spacing w:val="-11"/>
        </w:rPr>
        <w:t> </w:t>
      </w:r>
      <w:r>
        <w:rPr>
          <w:smallCaps/>
          <w:color w:val="475824"/>
          <w:spacing w:val="-4"/>
        </w:rPr>
        <w:t>(MIN)</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6512">
                <wp:simplePos x="0" y="0"/>
                <wp:positionH relativeFrom="page">
                  <wp:posOffset>1627632</wp:posOffset>
                </wp:positionH>
                <wp:positionV relativeFrom="paragraph">
                  <wp:posOffset>75060</wp:posOffset>
                </wp:positionV>
                <wp:extent cx="5248910" cy="2804160"/>
                <wp:effectExtent l="0" t="0" r="0" b="0"/>
                <wp:wrapTopAndBottom/>
                <wp:docPr id="184" name="Textbox 184"/>
                <wp:cNvGraphicFramePr>
                  <a:graphicFrameLocks/>
                </wp:cNvGraphicFramePr>
                <a:graphic>
                  <a:graphicData uri="http://schemas.microsoft.com/office/word/2010/wordprocessingShape">
                    <wps:wsp>
                      <wps:cNvPr id="184" name="Textbox 184"/>
                      <wps:cNvSpPr txBox="1"/>
                      <wps:spPr>
                        <a:xfrm>
                          <a:off x="0" y="0"/>
                          <a:ext cx="5248910" cy="2804160"/>
                        </a:xfrm>
                        <a:prstGeom prst="rect">
                          <a:avLst/>
                        </a:prstGeom>
                        <a:solidFill>
                          <a:srgbClr val="DFDFDF"/>
                        </a:solidFill>
                      </wps:spPr>
                      <wps:txbx>
                        <w:txbxContent>
                          <w:p>
                            <w:pPr>
                              <w:pStyle w:val="BodyText"/>
                              <w:ind w:left="28" w:right="29"/>
                              <w:rPr>
                                <w:color w:val="000000"/>
                              </w:rPr>
                            </w:pPr>
                            <w:r>
                              <w:rPr>
                                <w:color w:val="000000"/>
                              </w:rPr>
                              <w:t>These plan components cover mineral and geological activities that take place within National</w:t>
                            </w:r>
                            <w:r>
                              <w:rPr>
                                <w:color w:val="000000"/>
                                <w:spacing w:val="-2"/>
                              </w:rPr>
                              <w:t> </w:t>
                            </w:r>
                            <w:r>
                              <w:rPr>
                                <w:color w:val="000000"/>
                              </w:rPr>
                              <w:t>Forest</w:t>
                            </w:r>
                            <w:r>
                              <w:rPr>
                                <w:color w:val="000000"/>
                                <w:spacing w:val="-4"/>
                              </w:rPr>
                              <w:t> </w:t>
                            </w:r>
                            <w:r>
                              <w:rPr>
                                <w:color w:val="000000"/>
                              </w:rPr>
                              <w:t>System</w:t>
                            </w:r>
                            <w:r>
                              <w:rPr>
                                <w:color w:val="000000"/>
                                <w:spacing w:val="-1"/>
                              </w:rPr>
                              <w:t> </w:t>
                            </w:r>
                            <w:r>
                              <w:rPr>
                                <w:color w:val="000000"/>
                              </w:rPr>
                              <w:t>lands.</w:t>
                            </w:r>
                            <w:r>
                              <w:rPr>
                                <w:color w:val="000000"/>
                                <w:spacing w:val="-2"/>
                              </w:rPr>
                              <w:t> </w:t>
                            </w:r>
                            <w:r>
                              <w:rPr>
                                <w:color w:val="000000"/>
                              </w:rPr>
                              <w:t>The</w:t>
                            </w:r>
                            <w:r>
                              <w:rPr>
                                <w:color w:val="000000"/>
                                <w:spacing w:val="-1"/>
                              </w:rPr>
                              <w:t> </w:t>
                            </w:r>
                            <w:r>
                              <w:rPr>
                                <w:color w:val="000000"/>
                              </w:rPr>
                              <w:t>Forest</w:t>
                            </w:r>
                            <w:r>
                              <w:rPr>
                                <w:color w:val="000000"/>
                                <w:spacing w:val="-4"/>
                              </w:rPr>
                              <w:t> </w:t>
                            </w:r>
                            <w:r>
                              <w:rPr>
                                <w:color w:val="000000"/>
                              </w:rPr>
                              <w:t>has</w:t>
                            </w:r>
                            <w:r>
                              <w:rPr>
                                <w:color w:val="000000"/>
                                <w:spacing w:val="-2"/>
                              </w:rPr>
                              <w:t> </w:t>
                            </w:r>
                            <w:r>
                              <w:rPr>
                                <w:color w:val="000000"/>
                              </w:rPr>
                              <w:t>low</w:t>
                            </w:r>
                            <w:r>
                              <w:rPr>
                                <w:color w:val="000000"/>
                                <w:spacing w:val="-1"/>
                              </w:rPr>
                              <w:t> </w:t>
                            </w:r>
                            <w:r>
                              <w:rPr>
                                <w:color w:val="000000"/>
                              </w:rPr>
                              <w:t>potential</w:t>
                            </w:r>
                            <w:r>
                              <w:rPr>
                                <w:color w:val="000000"/>
                                <w:spacing w:val="-2"/>
                              </w:rPr>
                              <w:t> </w:t>
                            </w:r>
                            <w:r>
                              <w:rPr>
                                <w:color w:val="000000"/>
                              </w:rPr>
                              <w:t>for</w:t>
                            </w:r>
                            <w:r>
                              <w:rPr>
                                <w:color w:val="000000"/>
                                <w:spacing w:val="-3"/>
                              </w:rPr>
                              <w:t> </w:t>
                            </w:r>
                            <w:r>
                              <w:rPr>
                                <w:color w:val="000000"/>
                              </w:rPr>
                              <w:t>coal,</w:t>
                            </w:r>
                            <w:r>
                              <w:rPr>
                                <w:color w:val="000000"/>
                                <w:spacing w:val="-4"/>
                              </w:rPr>
                              <w:t> </w:t>
                            </w:r>
                            <w:r>
                              <w:rPr>
                                <w:color w:val="000000"/>
                              </w:rPr>
                              <w:t>oil,</w:t>
                            </w:r>
                            <w:r>
                              <w:rPr>
                                <w:color w:val="000000"/>
                                <w:spacing w:val="-4"/>
                              </w:rPr>
                              <w:t> </w:t>
                            </w:r>
                            <w:r>
                              <w:rPr>
                                <w:color w:val="000000"/>
                              </w:rPr>
                              <w:t>gas,</w:t>
                            </w:r>
                            <w:r>
                              <w:rPr>
                                <w:color w:val="000000"/>
                                <w:spacing w:val="-2"/>
                              </w:rPr>
                              <w:t> </w:t>
                            </w:r>
                            <w:r>
                              <w:rPr>
                                <w:color w:val="000000"/>
                              </w:rPr>
                              <w:t>and</w:t>
                            </w:r>
                            <w:r>
                              <w:rPr>
                                <w:color w:val="000000"/>
                                <w:spacing w:val="-3"/>
                              </w:rPr>
                              <w:t> </w:t>
                            </w:r>
                            <w:r>
                              <w:rPr>
                                <w:color w:val="000000"/>
                              </w:rPr>
                              <w:t>geothermal resource development,</w:t>
                            </w:r>
                            <w:r>
                              <w:rPr>
                                <w:color w:val="000000"/>
                                <w:spacing w:val="-1"/>
                              </w:rPr>
                              <w:t> </w:t>
                            </w:r>
                            <w:r>
                              <w:rPr>
                                <w:color w:val="000000"/>
                              </w:rPr>
                              <w:t>and</w:t>
                            </w:r>
                            <w:r>
                              <w:rPr>
                                <w:color w:val="000000"/>
                                <w:spacing w:val="-2"/>
                              </w:rPr>
                              <w:t> </w:t>
                            </w:r>
                            <w:r>
                              <w:rPr>
                                <w:color w:val="000000"/>
                              </w:rPr>
                              <w:t>few paleontological</w:t>
                            </w:r>
                            <w:r>
                              <w:rPr>
                                <w:color w:val="000000"/>
                                <w:spacing w:val="-1"/>
                              </w:rPr>
                              <w:t> </w:t>
                            </w:r>
                            <w:r>
                              <w:rPr>
                                <w:color w:val="000000"/>
                              </w:rPr>
                              <w:t>resources.</w:t>
                            </w:r>
                            <w:r>
                              <w:rPr>
                                <w:color w:val="000000"/>
                                <w:spacing w:val="-1"/>
                              </w:rPr>
                              <w:t> </w:t>
                            </w:r>
                            <w:r>
                              <w:rPr>
                                <w:color w:val="000000"/>
                              </w:rPr>
                              <w:t>The</w:t>
                            </w:r>
                            <w:r>
                              <w:rPr>
                                <w:color w:val="000000"/>
                                <w:spacing w:val="-3"/>
                              </w:rPr>
                              <w:t> </w:t>
                            </w:r>
                            <w:r>
                              <w:rPr>
                                <w:color w:val="000000"/>
                              </w:rPr>
                              <w:t>Forest is</w:t>
                            </w:r>
                            <w:r>
                              <w:rPr>
                                <w:color w:val="000000"/>
                                <w:spacing w:val="-3"/>
                              </w:rPr>
                              <w:t> </w:t>
                            </w:r>
                            <w:r>
                              <w:rPr>
                                <w:color w:val="000000"/>
                              </w:rPr>
                              <w:t>actively</w:t>
                            </w:r>
                            <w:r>
                              <w:rPr>
                                <w:color w:val="000000"/>
                                <w:spacing w:val="-2"/>
                              </w:rPr>
                              <w:t> </w:t>
                            </w:r>
                            <w:r>
                              <w:rPr>
                                <w:color w:val="000000"/>
                              </w:rPr>
                              <w:t>involved</w:t>
                            </w:r>
                            <w:r>
                              <w:rPr>
                                <w:color w:val="000000"/>
                                <w:spacing w:val="-2"/>
                              </w:rPr>
                              <w:t> </w:t>
                            </w:r>
                            <w:r>
                              <w:rPr>
                                <w:color w:val="000000"/>
                              </w:rPr>
                              <w:t>in the surface resource management and administration of locatable mineral exploration and development. The Forest Service consents to the development of leasable minerals on National Forest</w:t>
                            </w:r>
                            <w:r>
                              <w:rPr>
                                <w:color w:val="000000"/>
                                <w:spacing w:val="-2"/>
                              </w:rPr>
                              <w:t> </w:t>
                            </w:r>
                            <w:r>
                              <w:rPr>
                                <w:color w:val="000000"/>
                              </w:rPr>
                              <w:t>System lands and</w:t>
                            </w:r>
                            <w:r>
                              <w:rPr>
                                <w:color w:val="000000"/>
                                <w:spacing w:val="-1"/>
                              </w:rPr>
                              <w:t> </w:t>
                            </w:r>
                            <w:r>
                              <w:rPr>
                                <w:color w:val="000000"/>
                              </w:rPr>
                              <w:t>cooperates</w:t>
                            </w:r>
                            <w:r>
                              <w:rPr>
                                <w:color w:val="000000"/>
                                <w:spacing w:val="-2"/>
                              </w:rPr>
                              <w:t> </w:t>
                            </w:r>
                            <w:r>
                              <w:rPr>
                                <w:color w:val="000000"/>
                              </w:rPr>
                              <w:t>with</w:t>
                            </w:r>
                            <w:r>
                              <w:rPr>
                                <w:color w:val="000000"/>
                                <w:spacing w:val="-1"/>
                              </w:rPr>
                              <w:t> </w:t>
                            </w:r>
                            <w:r>
                              <w:rPr>
                                <w:color w:val="000000"/>
                              </w:rPr>
                              <w:t>the United</w:t>
                            </w:r>
                            <w:r>
                              <w:rPr>
                                <w:color w:val="000000"/>
                                <w:spacing w:val="-1"/>
                              </w:rPr>
                              <w:t> </w:t>
                            </w:r>
                            <w:r>
                              <w:rPr>
                                <w:color w:val="000000"/>
                              </w:rPr>
                              <w:t>States</w:t>
                            </w:r>
                            <w:r>
                              <w:rPr>
                                <w:color w:val="000000"/>
                                <w:spacing w:val="-2"/>
                              </w:rPr>
                              <w:t> </w:t>
                            </w:r>
                            <w:r>
                              <w:rPr>
                                <w:color w:val="000000"/>
                              </w:rPr>
                              <w:t>Department</w:t>
                            </w:r>
                            <w:r>
                              <w:rPr>
                                <w:color w:val="000000"/>
                                <w:spacing w:val="-2"/>
                              </w:rPr>
                              <w:t> </w:t>
                            </w:r>
                            <w:r>
                              <w:rPr>
                                <w:color w:val="000000"/>
                              </w:rPr>
                              <w:t>of Interior to administer the lawful exploration and development of leasable minerals beneath the national forest. The Forest manages the discretionary disposal of salable minerals from National Forest System lands, which includes the sale or free use of common variety</w:t>
                            </w:r>
                            <w:r>
                              <w:rPr>
                                <w:color w:val="000000"/>
                                <w:spacing w:val="40"/>
                              </w:rPr>
                              <w:t> </w:t>
                            </w:r>
                            <w:r>
                              <w:rPr>
                                <w:color w:val="000000"/>
                              </w:rPr>
                              <w:t>mineral materials such as sand, gravel, and stone, and similar materials.</w:t>
                            </w:r>
                          </w:p>
                          <w:p>
                            <w:pPr>
                              <w:pStyle w:val="BodyText"/>
                              <w:spacing w:before="119"/>
                              <w:ind w:left="28"/>
                              <w:rPr>
                                <w:color w:val="000000"/>
                              </w:rPr>
                            </w:pPr>
                            <w:r>
                              <w:rPr>
                                <w:color w:val="000000"/>
                              </w:rPr>
                              <w:t>Abandoned mine sites resulting from historical mining activities are administered by the Forest to provide for public safety, and manage the release or threatened release of hazardous substances. Desired conditions, standards, and guidelines for groundwater are located in the Watershed Analysis section in this Plan. Additional desired conditions, standards</w:t>
                            </w:r>
                            <w:r>
                              <w:rPr>
                                <w:color w:val="000000"/>
                                <w:spacing w:val="-2"/>
                              </w:rPr>
                              <w:t> </w:t>
                            </w:r>
                            <w:r>
                              <w:rPr>
                                <w:color w:val="000000"/>
                              </w:rPr>
                              <w:t>and</w:t>
                            </w:r>
                            <w:r>
                              <w:rPr>
                                <w:color w:val="000000"/>
                                <w:spacing w:val="-3"/>
                              </w:rPr>
                              <w:t> </w:t>
                            </w:r>
                            <w:r>
                              <w:rPr>
                                <w:color w:val="000000"/>
                              </w:rPr>
                              <w:t>guidelines</w:t>
                            </w:r>
                            <w:r>
                              <w:rPr>
                                <w:color w:val="000000"/>
                                <w:spacing w:val="-2"/>
                              </w:rPr>
                              <w:t> </w:t>
                            </w:r>
                            <w:r>
                              <w:rPr>
                                <w:color w:val="000000"/>
                              </w:rPr>
                              <w:t>for</w:t>
                            </w:r>
                            <w:r>
                              <w:rPr>
                                <w:color w:val="000000"/>
                                <w:spacing w:val="-2"/>
                              </w:rPr>
                              <w:t> </w:t>
                            </w:r>
                            <w:r>
                              <w:rPr>
                                <w:color w:val="000000"/>
                              </w:rPr>
                              <w:t>mineral</w:t>
                            </w:r>
                            <w:r>
                              <w:rPr>
                                <w:color w:val="000000"/>
                                <w:spacing w:val="-5"/>
                              </w:rPr>
                              <w:t> </w:t>
                            </w:r>
                            <w:r>
                              <w:rPr>
                                <w:color w:val="000000"/>
                              </w:rPr>
                              <w:t>resources</w:t>
                            </w:r>
                            <w:r>
                              <w:rPr>
                                <w:color w:val="000000"/>
                                <w:spacing w:val="-2"/>
                              </w:rPr>
                              <w:t> </w:t>
                            </w:r>
                            <w:r>
                              <w:rPr>
                                <w:color w:val="000000"/>
                              </w:rPr>
                              <w:t>are</w:t>
                            </w:r>
                            <w:r>
                              <w:rPr>
                                <w:color w:val="000000"/>
                                <w:spacing w:val="-4"/>
                              </w:rPr>
                              <w:t> </w:t>
                            </w:r>
                            <w:r>
                              <w:rPr>
                                <w:color w:val="000000"/>
                              </w:rPr>
                              <w:t>found</w:t>
                            </w:r>
                            <w:r>
                              <w:rPr>
                                <w:color w:val="000000"/>
                                <w:spacing w:val="-3"/>
                              </w:rPr>
                              <w:t> </w:t>
                            </w:r>
                            <w:r>
                              <w:rPr>
                                <w:color w:val="000000"/>
                              </w:rPr>
                              <w:t>in</w:t>
                            </w:r>
                            <w:r>
                              <w:rPr>
                                <w:color w:val="000000"/>
                                <w:spacing w:val="-3"/>
                              </w:rPr>
                              <w:t> </w:t>
                            </w:r>
                            <w:r>
                              <w:rPr>
                                <w:color w:val="000000"/>
                              </w:rPr>
                              <w:t>the</w:t>
                            </w:r>
                            <w:r>
                              <w:rPr>
                                <w:color w:val="000000"/>
                                <w:spacing w:val="-1"/>
                              </w:rPr>
                              <w:t> </w:t>
                            </w:r>
                            <w:r>
                              <w:rPr>
                                <w:color w:val="000000"/>
                              </w:rPr>
                              <w:t>Riparian</w:t>
                            </w:r>
                            <w:r>
                              <w:rPr>
                                <w:color w:val="000000"/>
                                <w:spacing w:val="-5"/>
                              </w:rPr>
                              <w:t> </w:t>
                            </w:r>
                            <w:r>
                              <w:rPr>
                                <w:color w:val="000000"/>
                              </w:rPr>
                              <w:t>Management</w:t>
                            </w:r>
                            <w:r>
                              <w:rPr>
                                <w:color w:val="000000"/>
                                <w:spacing w:val="-4"/>
                              </w:rPr>
                              <w:t> </w:t>
                            </w:r>
                            <w:r>
                              <w:rPr>
                                <w:color w:val="000000"/>
                              </w:rPr>
                              <w:t>Area and Recommended Wilderness Area sections in this Plan.</w:t>
                            </w:r>
                          </w:p>
                        </w:txbxContent>
                      </wps:txbx>
                      <wps:bodyPr wrap="square" lIns="0" tIns="0" rIns="0" bIns="0" rtlCol="0">
                        <a:noAutofit/>
                      </wps:bodyPr>
                    </wps:wsp>
                  </a:graphicData>
                </a:graphic>
              </wp:anchor>
            </w:drawing>
          </mc:Choice>
          <mc:Fallback>
            <w:pict>
              <v:shape style="position:absolute;margin-left:128.160004pt;margin-top:5.910244pt;width:413.3pt;height:220.8pt;mso-position-horizontal-relative:page;mso-position-vertical-relative:paragraph;z-index:-15699968;mso-wrap-distance-left:0;mso-wrap-distance-right:0" type="#_x0000_t202" id="docshape172" filled="true" fillcolor="#dfdfdf" stroked="false">
                <v:textbox inset="0,0,0,0">
                  <w:txbxContent>
                    <w:p>
                      <w:pPr>
                        <w:pStyle w:val="BodyText"/>
                        <w:ind w:left="28" w:right="29"/>
                        <w:rPr>
                          <w:color w:val="000000"/>
                        </w:rPr>
                      </w:pPr>
                      <w:r>
                        <w:rPr>
                          <w:color w:val="000000"/>
                        </w:rPr>
                        <w:t>These plan components cover mineral and geological activities that take place within National</w:t>
                      </w:r>
                      <w:r>
                        <w:rPr>
                          <w:color w:val="000000"/>
                          <w:spacing w:val="-2"/>
                        </w:rPr>
                        <w:t> </w:t>
                      </w:r>
                      <w:r>
                        <w:rPr>
                          <w:color w:val="000000"/>
                        </w:rPr>
                        <w:t>Forest</w:t>
                      </w:r>
                      <w:r>
                        <w:rPr>
                          <w:color w:val="000000"/>
                          <w:spacing w:val="-4"/>
                        </w:rPr>
                        <w:t> </w:t>
                      </w:r>
                      <w:r>
                        <w:rPr>
                          <w:color w:val="000000"/>
                        </w:rPr>
                        <w:t>System</w:t>
                      </w:r>
                      <w:r>
                        <w:rPr>
                          <w:color w:val="000000"/>
                          <w:spacing w:val="-1"/>
                        </w:rPr>
                        <w:t> </w:t>
                      </w:r>
                      <w:r>
                        <w:rPr>
                          <w:color w:val="000000"/>
                        </w:rPr>
                        <w:t>lands.</w:t>
                      </w:r>
                      <w:r>
                        <w:rPr>
                          <w:color w:val="000000"/>
                          <w:spacing w:val="-2"/>
                        </w:rPr>
                        <w:t> </w:t>
                      </w:r>
                      <w:r>
                        <w:rPr>
                          <w:color w:val="000000"/>
                        </w:rPr>
                        <w:t>The</w:t>
                      </w:r>
                      <w:r>
                        <w:rPr>
                          <w:color w:val="000000"/>
                          <w:spacing w:val="-1"/>
                        </w:rPr>
                        <w:t> </w:t>
                      </w:r>
                      <w:r>
                        <w:rPr>
                          <w:color w:val="000000"/>
                        </w:rPr>
                        <w:t>Forest</w:t>
                      </w:r>
                      <w:r>
                        <w:rPr>
                          <w:color w:val="000000"/>
                          <w:spacing w:val="-4"/>
                        </w:rPr>
                        <w:t> </w:t>
                      </w:r>
                      <w:r>
                        <w:rPr>
                          <w:color w:val="000000"/>
                        </w:rPr>
                        <w:t>has</w:t>
                      </w:r>
                      <w:r>
                        <w:rPr>
                          <w:color w:val="000000"/>
                          <w:spacing w:val="-2"/>
                        </w:rPr>
                        <w:t> </w:t>
                      </w:r>
                      <w:r>
                        <w:rPr>
                          <w:color w:val="000000"/>
                        </w:rPr>
                        <w:t>low</w:t>
                      </w:r>
                      <w:r>
                        <w:rPr>
                          <w:color w:val="000000"/>
                          <w:spacing w:val="-1"/>
                        </w:rPr>
                        <w:t> </w:t>
                      </w:r>
                      <w:r>
                        <w:rPr>
                          <w:color w:val="000000"/>
                        </w:rPr>
                        <w:t>potential</w:t>
                      </w:r>
                      <w:r>
                        <w:rPr>
                          <w:color w:val="000000"/>
                          <w:spacing w:val="-2"/>
                        </w:rPr>
                        <w:t> </w:t>
                      </w:r>
                      <w:r>
                        <w:rPr>
                          <w:color w:val="000000"/>
                        </w:rPr>
                        <w:t>for</w:t>
                      </w:r>
                      <w:r>
                        <w:rPr>
                          <w:color w:val="000000"/>
                          <w:spacing w:val="-3"/>
                        </w:rPr>
                        <w:t> </w:t>
                      </w:r>
                      <w:r>
                        <w:rPr>
                          <w:color w:val="000000"/>
                        </w:rPr>
                        <w:t>coal,</w:t>
                      </w:r>
                      <w:r>
                        <w:rPr>
                          <w:color w:val="000000"/>
                          <w:spacing w:val="-4"/>
                        </w:rPr>
                        <w:t> </w:t>
                      </w:r>
                      <w:r>
                        <w:rPr>
                          <w:color w:val="000000"/>
                        </w:rPr>
                        <w:t>oil,</w:t>
                      </w:r>
                      <w:r>
                        <w:rPr>
                          <w:color w:val="000000"/>
                          <w:spacing w:val="-4"/>
                        </w:rPr>
                        <w:t> </w:t>
                      </w:r>
                      <w:r>
                        <w:rPr>
                          <w:color w:val="000000"/>
                        </w:rPr>
                        <w:t>gas,</w:t>
                      </w:r>
                      <w:r>
                        <w:rPr>
                          <w:color w:val="000000"/>
                          <w:spacing w:val="-2"/>
                        </w:rPr>
                        <w:t> </w:t>
                      </w:r>
                      <w:r>
                        <w:rPr>
                          <w:color w:val="000000"/>
                        </w:rPr>
                        <w:t>and</w:t>
                      </w:r>
                      <w:r>
                        <w:rPr>
                          <w:color w:val="000000"/>
                          <w:spacing w:val="-3"/>
                        </w:rPr>
                        <w:t> </w:t>
                      </w:r>
                      <w:r>
                        <w:rPr>
                          <w:color w:val="000000"/>
                        </w:rPr>
                        <w:t>geothermal resource development,</w:t>
                      </w:r>
                      <w:r>
                        <w:rPr>
                          <w:color w:val="000000"/>
                          <w:spacing w:val="-1"/>
                        </w:rPr>
                        <w:t> </w:t>
                      </w:r>
                      <w:r>
                        <w:rPr>
                          <w:color w:val="000000"/>
                        </w:rPr>
                        <w:t>and</w:t>
                      </w:r>
                      <w:r>
                        <w:rPr>
                          <w:color w:val="000000"/>
                          <w:spacing w:val="-2"/>
                        </w:rPr>
                        <w:t> </w:t>
                      </w:r>
                      <w:r>
                        <w:rPr>
                          <w:color w:val="000000"/>
                        </w:rPr>
                        <w:t>few paleontological</w:t>
                      </w:r>
                      <w:r>
                        <w:rPr>
                          <w:color w:val="000000"/>
                          <w:spacing w:val="-1"/>
                        </w:rPr>
                        <w:t> </w:t>
                      </w:r>
                      <w:r>
                        <w:rPr>
                          <w:color w:val="000000"/>
                        </w:rPr>
                        <w:t>resources.</w:t>
                      </w:r>
                      <w:r>
                        <w:rPr>
                          <w:color w:val="000000"/>
                          <w:spacing w:val="-1"/>
                        </w:rPr>
                        <w:t> </w:t>
                      </w:r>
                      <w:r>
                        <w:rPr>
                          <w:color w:val="000000"/>
                        </w:rPr>
                        <w:t>The</w:t>
                      </w:r>
                      <w:r>
                        <w:rPr>
                          <w:color w:val="000000"/>
                          <w:spacing w:val="-3"/>
                        </w:rPr>
                        <w:t> </w:t>
                      </w:r>
                      <w:r>
                        <w:rPr>
                          <w:color w:val="000000"/>
                        </w:rPr>
                        <w:t>Forest is</w:t>
                      </w:r>
                      <w:r>
                        <w:rPr>
                          <w:color w:val="000000"/>
                          <w:spacing w:val="-3"/>
                        </w:rPr>
                        <w:t> </w:t>
                      </w:r>
                      <w:r>
                        <w:rPr>
                          <w:color w:val="000000"/>
                        </w:rPr>
                        <w:t>actively</w:t>
                      </w:r>
                      <w:r>
                        <w:rPr>
                          <w:color w:val="000000"/>
                          <w:spacing w:val="-2"/>
                        </w:rPr>
                        <w:t> </w:t>
                      </w:r>
                      <w:r>
                        <w:rPr>
                          <w:color w:val="000000"/>
                        </w:rPr>
                        <w:t>involved</w:t>
                      </w:r>
                      <w:r>
                        <w:rPr>
                          <w:color w:val="000000"/>
                          <w:spacing w:val="-2"/>
                        </w:rPr>
                        <w:t> </w:t>
                      </w:r>
                      <w:r>
                        <w:rPr>
                          <w:color w:val="000000"/>
                        </w:rPr>
                        <w:t>in the surface resource management and administration of locatable mineral exploration and development. The Forest Service consents to the development of leasable minerals on National Forest</w:t>
                      </w:r>
                      <w:r>
                        <w:rPr>
                          <w:color w:val="000000"/>
                          <w:spacing w:val="-2"/>
                        </w:rPr>
                        <w:t> </w:t>
                      </w:r>
                      <w:r>
                        <w:rPr>
                          <w:color w:val="000000"/>
                        </w:rPr>
                        <w:t>System lands and</w:t>
                      </w:r>
                      <w:r>
                        <w:rPr>
                          <w:color w:val="000000"/>
                          <w:spacing w:val="-1"/>
                        </w:rPr>
                        <w:t> </w:t>
                      </w:r>
                      <w:r>
                        <w:rPr>
                          <w:color w:val="000000"/>
                        </w:rPr>
                        <w:t>cooperates</w:t>
                      </w:r>
                      <w:r>
                        <w:rPr>
                          <w:color w:val="000000"/>
                          <w:spacing w:val="-2"/>
                        </w:rPr>
                        <w:t> </w:t>
                      </w:r>
                      <w:r>
                        <w:rPr>
                          <w:color w:val="000000"/>
                        </w:rPr>
                        <w:t>with</w:t>
                      </w:r>
                      <w:r>
                        <w:rPr>
                          <w:color w:val="000000"/>
                          <w:spacing w:val="-1"/>
                        </w:rPr>
                        <w:t> </w:t>
                      </w:r>
                      <w:r>
                        <w:rPr>
                          <w:color w:val="000000"/>
                        </w:rPr>
                        <w:t>the United</w:t>
                      </w:r>
                      <w:r>
                        <w:rPr>
                          <w:color w:val="000000"/>
                          <w:spacing w:val="-1"/>
                        </w:rPr>
                        <w:t> </w:t>
                      </w:r>
                      <w:r>
                        <w:rPr>
                          <w:color w:val="000000"/>
                        </w:rPr>
                        <w:t>States</w:t>
                      </w:r>
                      <w:r>
                        <w:rPr>
                          <w:color w:val="000000"/>
                          <w:spacing w:val="-2"/>
                        </w:rPr>
                        <w:t> </w:t>
                      </w:r>
                      <w:r>
                        <w:rPr>
                          <w:color w:val="000000"/>
                        </w:rPr>
                        <w:t>Department</w:t>
                      </w:r>
                      <w:r>
                        <w:rPr>
                          <w:color w:val="000000"/>
                          <w:spacing w:val="-2"/>
                        </w:rPr>
                        <w:t> </w:t>
                      </w:r>
                      <w:r>
                        <w:rPr>
                          <w:color w:val="000000"/>
                        </w:rPr>
                        <w:t>of Interior to administer the lawful exploration and development of leasable minerals beneath the national forest. The Forest manages the discretionary disposal of salable minerals from National Forest System lands, which includes the sale or free use of common variety</w:t>
                      </w:r>
                      <w:r>
                        <w:rPr>
                          <w:color w:val="000000"/>
                          <w:spacing w:val="40"/>
                        </w:rPr>
                        <w:t> </w:t>
                      </w:r>
                      <w:r>
                        <w:rPr>
                          <w:color w:val="000000"/>
                        </w:rPr>
                        <w:t>mineral materials such as sand, gravel, and stone, and similar materials.</w:t>
                      </w:r>
                    </w:p>
                    <w:p>
                      <w:pPr>
                        <w:pStyle w:val="BodyText"/>
                        <w:spacing w:before="119"/>
                        <w:ind w:left="28"/>
                        <w:rPr>
                          <w:color w:val="000000"/>
                        </w:rPr>
                      </w:pPr>
                      <w:r>
                        <w:rPr>
                          <w:color w:val="000000"/>
                        </w:rPr>
                        <w:t>Abandoned mine sites resulting from historical mining activities are administered by the Forest to provide for public safety, and manage the release or threatened release of hazardous substances. Desired conditions, standards, and guidelines for groundwater are located in the Watershed Analysis section in this Plan. Additional desired conditions, standards</w:t>
                      </w:r>
                      <w:r>
                        <w:rPr>
                          <w:color w:val="000000"/>
                          <w:spacing w:val="-2"/>
                        </w:rPr>
                        <w:t> </w:t>
                      </w:r>
                      <w:r>
                        <w:rPr>
                          <w:color w:val="000000"/>
                        </w:rPr>
                        <w:t>and</w:t>
                      </w:r>
                      <w:r>
                        <w:rPr>
                          <w:color w:val="000000"/>
                          <w:spacing w:val="-3"/>
                        </w:rPr>
                        <w:t> </w:t>
                      </w:r>
                      <w:r>
                        <w:rPr>
                          <w:color w:val="000000"/>
                        </w:rPr>
                        <w:t>guidelines</w:t>
                      </w:r>
                      <w:r>
                        <w:rPr>
                          <w:color w:val="000000"/>
                          <w:spacing w:val="-2"/>
                        </w:rPr>
                        <w:t> </w:t>
                      </w:r>
                      <w:r>
                        <w:rPr>
                          <w:color w:val="000000"/>
                        </w:rPr>
                        <w:t>for</w:t>
                      </w:r>
                      <w:r>
                        <w:rPr>
                          <w:color w:val="000000"/>
                          <w:spacing w:val="-2"/>
                        </w:rPr>
                        <w:t> </w:t>
                      </w:r>
                      <w:r>
                        <w:rPr>
                          <w:color w:val="000000"/>
                        </w:rPr>
                        <w:t>mineral</w:t>
                      </w:r>
                      <w:r>
                        <w:rPr>
                          <w:color w:val="000000"/>
                          <w:spacing w:val="-5"/>
                        </w:rPr>
                        <w:t> </w:t>
                      </w:r>
                      <w:r>
                        <w:rPr>
                          <w:color w:val="000000"/>
                        </w:rPr>
                        <w:t>resources</w:t>
                      </w:r>
                      <w:r>
                        <w:rPr>
                          <w:color w:val="000000"/>
                          <w:spacing w:val="-2"/>
                        </w:rPr>
                        <w:t> </w:t>
                      </w:r>
                      <w:r>
                        <w:rPr>
                          <w:color w:val="000000"/>
                        </w:rPr>
                        <w:t>are</w:t>
                      </w:r>
                      <w:r>
                        <w:rPr>
                          <w:color w:val="000000"/>
                          <w:spacing w:val="-4"/>
                        </w:rPr>
                        <w:t> </w:t>
                      </w:r>
                      <w:r>
                        <w:rPr>
                          <w:color w:val="000000"/>
                        </w:rPr>
                        <w:t>found</w:t>
                      </w:r>
                      <w:r>
                        <w:rPr>
                          <w:color w:val="000000"/>
                          <w:spacing w:val="-3"/>
                        </w:rPr>
                        <w:t> </w:t>
                      </w:r>
                      <w:r>
                        <w:rPr>
                          <w:color w:val="000000"/>
                        </w:rPr>
                        <w:t>in</w:t>
                      </w:r>
                      <w:r>
                        <w:rPr>
                          <w:color w:val="000000"/>
                          <w:spacing w:val="-3"/>
                        </w:rPr>
                        <w:t> </w:t>
                      </w:r>
                      <w:r>
                        <w:rPr>
                          <w:color w:val="000000"/>
                        </w:rPr>
                        <w:t>the</w:t>
                      </w:r>
                      <w:r>
                        <w:rPr>
                          <w:color w:val="000000"/>
                          <w:spacing w:val="-1"/>
                        </w:rPr>
                        <w:t> </w:t>
                      </w:r>
                      <w:r>
                        <w:rPr>
                          <w:color w:val="000000"/>
                        </w:rPr>
                        <w:t>Riparian</w:t>
                      </w:r>
                      <w:r>
                        <w:rPr>
                          <w:color w:val="000000"/>
                          <w:spacing w:val="-5"/>
                        </w:rPr>
                        <w:t> </w:t>
                      </w:r>
                      <w:r>
                        <w:rPr>
                          <w:color w:val="000000"/>
                        </w:rPr>
                        <w:t>Management</w:t>
                      </w:r>
                      <w:r>
                        <w:rPr>
                          <w:color w:val="000000"/>
                          <w:spacing w:val="-4"/>
                        </w:rPr>
                        <w:t> </w:t>
                      </w:r>
                      <w:r>
                        <w:rPr>
                          <w:color w:val="000000"/>
                        </w:rPr>
                        <w:t>Area and Recommended Wilderness Area sections in this Plan.</w:t>
                      </w:r>
                    </w:p>
                  </w:txbxContent>
                </v:textbox>
                <v:fill type="solid"/>
                <w10:wrap type="topAndBottom"/>
              </v:shape>
            </w:pict>
          </mc:Fallback>
        </mc:AlternateContent>
      </w:r>
    </w:p>
    <w:p>
      <w:pPr>
        <w:pStyle w:val="Heading4"/>
        <w:spacing w:before="240"/>
        <w:ind w:left="1151"/>
      </w:pPr>
      <w:bookmarkStart w:name="Desired Conditions" w:id="442"/>
      <w:bookmarkEnd w:id="442"/>
      <w:r>
        <w:rPr/>
      </w:r>
      <w:bookmarkStart w:name="_bookmark141" w:id="443"/>
      <w:bookmarkEnd w:id="443"/>
      <w:r>
        <w:rPr/>
      </w:r>
      <w:r>
        <w:rPr/>
        <w:t>Desired</w:t>
      </w:r>
      <w:r>
        <w:rPr>
          <w:spacing w:val="-4"/>
        </w:rPr>
        <w:t> </w:t>
      </w:r>
      <w:r>
        <w:rPr>
          <w:spacing w:val="-2"/>
        </w:rPr>
        <w:t>Conditions</w:t>
      </w:r>
    </w:p>
    <w:p>
      <w:pPr>
        <w:spacing w:before="240"/>
        <w:ind w:left="1151" w:right="0" w:firstLine="0"/>
        <w:jc w:val="left"/>
        <w:rPr>
          <w:rFonts w:ascii="Arial"/>
          <w:i/>
          <w:sz w:val="22"/>
        </w:rPr>
      </w:pPr>
      <w:bookmarkStart w:name="FW-DC-MIN-01. Mineral Materials Availabi" w:id="444"/>
      <w:bookmarkEnd w:id="444"/>
      <w:r>
        <w:rPr/>
      </w:r>
      <w:r>
        <w:rPr>
          <w:rFonts w:ascii="Arial"/>
          <w:i/>
          <w:sz w:val="22"/>
        </w:rPr>
        <w:t>FW-DC-MIN-01.</w:t>
      </w:r>
      <w:r>
        <w:rPr>
          <w:rFonts w:ascii="Arial"/>
          <w:i/>
          <w:spacing w:val="-9"/>
          <w:sz w:val="22"/>
        </w:rPr>
        <w:t> </w:t>
      </w:r>
      <w:r>
        <w:rPr>
          <w:rFonts w:ascii="Arial"/>
          <w:i/>
          <w:sz w:val="22"/>
        </w:rPr>
        <w:t>Mineral</w:t>
      </w:r>
      <w:r>
        <w:rPr>
          <w:rFonts w:ascii="Arial"/>
          <w:i/>
          <w:spacing w:val="-9"/>
          <w:sz w:val="22"/>
        </w:rPr>
        <w:t> </w:t>
      </w:r>
      <w:r>
        <w:rPr>
          <w:rFonts w:ascii="Arial"/>
          <w:i/>
          <w:sz w:val="22"/>
        </w:rPr>
        <w:t>Materials</w:t>
      </w:r>
      <w:r>
        <w:rPr>
          <w:rFonts w:ascii="Arial"/>
          <w:i/>
          <w:spacing w:val="-7"/>
          <w:sz w:val="22"/>
        </w:rPr>
        <w:t> </w:t>
      </w:r>
      <w:r>
        <w:rPr>
          <w:rFonts w:ascii="Arial"/>
          <w:i/>
          <w:spacing w:val="-2"/>
          <w:sz w:val="22"/>
        </w:rPr>
        <w:t>Availability</w:t>
      </w:r>
    </w:p>
    <w:p>
      <w:pPr>
        <w:pStyle w:val="BodyText"/>
        <w:spacing w:line="232" w:lineRule="auto" w:before="67"/>
        <w:ind w:left="1151" w:right="801"/>
      </w:pPr>
      <w:r>
        <w:rPr/>
        <w:t>Salable</w:t>
      </w:r>
      <w:r>
        <w:rPr>
          <w:spacing w:val="-6"/>
        </w:rPr>
        <w:t> </w:t>
      </w:r>
      <w:r>
        <w:rPr/>
        <w:t>mineral</w:t>
      </w:r>
      <w:r>
        <w:rPr>
          <w:spacing w:val="-9"/>
        </w:rPr>
        <w:t> </w:t>
      </w:r>
      <w:r>
        <w:rPr/>
        <w:t>materials</w:t>
      </w:r>
      <w:r>
        <w:rPr>
          <w:spacing w:val="-8"/>
        </w:rPr>
        <w:t> </w:t>
      </w:r>
      <w:r>
        <w:rPr/>
        <w:t>are</w:t>
      </w:r>
      <w:r>
        <w:rPr>
          <w:spacing w:val="-6"/>
        </w:rPr>
        <w:t> </w:t>
      </w:r>
      <w:r>
        <w:rPr/>
        <w:t>available</w:t>
      </w:r>
      <w:r>
        <w:rPr>
          <w:spacing w:val="-6"/>
        </w:rPr>
        <w:t> </w:t>
      </w:r>
      <w:r>
        <w:rPr/>
        <w:t>to</w:t>
      </w:r>
      <w:r>
        <w:rPr>
          <w:spacing w:val="-6"/>
        </w:rPr>
        <w:t> </w:t>
      </w:r>
      <w:r>
        <w:rPr/>
        <w:t>Federal,</w:t>
      </w:r>
      <w:r>
        <w:rPr>
          <w:spacing w:val="-7"/>
        </w:rPr>
        <w:t> </w:t>
      </w:r>
      <w:r>
        <w:rPr/>
        <w:t>State</w:t>
      </w:r>
      <w:r>
        <w:rPr>
          <w:spacing w:val="-6"/>
        </w:rPr>
        <w:t> </w:t>
      </w:r>
      <w:r>
        <w:rPr/>
        <w:t>or</w:t>
      </w:r>
      <w:r>
        <w:rPr>
          <w:spacing w:val="-8"/>
        </w:rPr>
        <w:t> </w:t>
      </w:r>
      <w:r>
        <w:rPr/>
        <w:t>local</w:t>
      </w:r>
      <w:r>
        <w:rPr>
          <w:spacing w:val="-9"/>
        </w:rPr>
        <w:t> </w:t>
      </w:r>
      <w:r>
        <w:rPr/>
        <w:t>governments</w:t>
      </w:r>
      <w:r>
        <w:rPr>
          <w:spacing w:val="-7"/>
        </w:rPr>
        <w:t> </w:t>
      </w:r>
      <w:r>
        <w:rPr/>
        <w:t>for</w:t>
      </w:r>
      <w:r>
        <w:rPr>
          <w:spacing w:val="-8"/>
        </w:rPr>
        <w:t> </w:t>
      </w:r>
      <w:r>
        <w:rPr/>
        <w:t>public</w:t>
      </w:r>
      <w:r>
        <w:rPr>
          <w:spacing w:val="-7"/>
        </w:rPr>
        <w:t> </w:t>
      </w:r>
      <w:r>
        <w:rPr/>
        <w:t>works, and to the public at the discretion of the authorized officer based upon agency needs, public interest and community needs, material availability, resource protection and capability.</w:t>
      </w:r>
    </w:p>
    <w:p>
      <w:pPr>
        <w:pStyle w:val="BodyText"/>
        <w:spacing w:line="232" w:lineRule="auto"/>
        <w:ind w:left="1151" w:right="801"/>
      </w:pPr>
      <w:r>
        <w:rPr/>
        <w:t>Production</w:t>
      </w:r>
      <w:r>
        <w:rPr>
          <w:spacing w:val="-6"/>
        </w:rPr>
        <w:t> </w:t>
      </w:r>
      <w:r>
        <w:rPr/>
        <w:t>and</w:t>
      </w:r>
      <w:r>
        <w:rPr>
          <w:spacing w:val="-6"/>
        </w:rPr>
        <w:t> </w:t>
      </w:r>
      <w:r>
        <w:rPr/>
        <w:t>administration</w:t>
      </w:r>
      <w:r>
        <w:rPr>
          <w:spacing w:val="-6"/>
        </w:rPr>
        <w:t> </w:t>
      </w:r>
      <w:r>
        <w:rPr/>
        <w:t>of</w:t>
      </w:r>
      <w:r>
        <w:rPr>
          <w:spacing w:val="-7"/>
        </w:rPr>
        <w:t> </w:t>
      </w:r>
      <w:r>
        <w:rPr/>
        <w:t>mineral</w:t>
      </w:r>
      <w:r>
        <w:rPr>
          <w:spacing w:val="-8"/>
        </w:rPr>
        <w:t> </w:t>
      </w:r>
      <w:r>
        <w:rPr/>
        <w:t>material</w:t>
      </w:r>
      <w:r>
        <w:rPr>
          <w:spacing w:val="-8"/>
        </w:rPr>
        <w:t> </w:t>
      </w:r>
      <w:r>
        <w:rPr/>
        <w:t>would</w:t>
      </w:r>
      <w:r>
        <w:rPr>
          <w:spacing w:val="-6"/>
        </w:rPr>
        <w:t> </w:t>
      </w:r>
      <w:r>
        <w:rPr/>
        <w:t>meet</w:t>
      </w:r>
      <w:r>
        <w:rPr>
          <w:spacing w:val="-7"/>
        </w:rPr>
        <w:t> </w:t>
      </w:r>
      <w:r>
        <w:rPr/>
        <w:t>the</w:t>
      </w:r>
      <w:r>
        <w:rPr>
          <w:spacing w:val="-4"/>
        </w:rPr>
        <w:t> </w:t>
      </w:r>
      <w:r>
        <w:rPr/>
        <w:t>demand</w:t>
      </w:r>
      <w:r>
        <w:rPr>
          <w:spacing w:val="-6"/>
        </w:rPr>
        <w:t> </w:t>
      </w:r>
      <w:r>
        <w:rPr/>
        <w:t>consistent</w:t>
      </w:r>
      <w:r>
        <w:rPr>
          <w:spacing w:val="-7"/>
        </w:rPr>
        <w:t> </w:t>
      </w:r>
      <w:r>
        <w:rPr/>
        <w:t>with</w:t>
      </w:r>
      <w:r>
        <w:rPr>
          <w:spacing w:val="-6"/>
        </w:rPr>
        <w:t> </w:t>
      </w:r>
      <w:r>
        <w:rPr/>
        <w:t>the management of other surface resources as long as the benefits derived exceed the cost and impacts of resource disturbance.</w:t>
      </w:r>
    </w:p>
    <w:p>
      <w:pPr>
        <w:spacing w:before="231"/>
        <w:ind w:left="1151" w:right="0" w:firstLine="0"/>
        <w:jc w:val="left"/>
        <w:rPr>
          <w:rFonts w:ascii="Arial"/>
          <w:i/>
          <w:sz w:val="22"/>
        </w:rPr>
      </w:pPr>
      <w:bookmarkStart w:name="FW-DC-MIN-02. Reclamation and Extraction" w:id="445"/>
      <w:bookmarkEnd w:id="445"/>
      <w:r>
        <w:rPr/>
      </w:r>
      <w:r>
        <w:rPr>
          <w:rFonts w:ascii="Arial"/>
          <w:i/>
          <w:sz w:val="22"/>
        </w:rPr>
        <w:t>FW-DC-MIN-02.</w:t>
      </w:r>
      <w:r>
        <w:rPr>
          <w:rFonts w:ascii="Arial"/>
          <w:i/>
          <w:spacing w:val="-8"/>
          <w:sz w:val="22"/>
        </w:rPr>
        <w:t> </w:t>
      </w:r>
      <w:r>
        <w:rPr>
          <w:rFonts w:ascii="Arial"/>
          <w:i/>
          <w:sz w:val="22"/>
        </w:rPr>
        <w:t>Reclamation</w:t>
      </w:r>
      <w:r>
        <w:rPr>
          <w:rFonts w:ascii="Arial"/>
          <w:i/>
          <w:spacing w:val="-8"/>
          <w:sz w:val="22"/>
        </w:rPr>
        <w:t> </w:t>
      </w:r>
      <w:r>
        <w:rPr>
          <w:rFonts w:ascii="Arial"/>
          <w:i/>
          <w:sz w:val="22"/>
        </w:rPr>
        <w:t>and</w:t>
      </w:r>
      <w:r>
        <w:rPr>
          <w:rFonts w:ascii="Arial"/>
          <w:i/>
          <w:spacing w:val="-8"/>
          <w:sz w:val="22"/>
        </w:rPr>
        <w:t> </w:t>
      </w:r>
      <w:r>
        <w:rPr>
          <w:rFonts w:ascii="Arial"/>
          <w:i/>
          <w:spacing w:val="-2"/>
          <w:sz w:val="22"/>
        </w:rPr>
        <w:t>Extraction</w:t>
      </w:r>
    </w:p>
    <w:p>
      <w:pPr>
        <w:pStyle w:val="BodyText"/>
        <w:spacing w:line="232" w:lineRule="auto" w:before="65"/>
        <w:ind w:left="1151" w:right="801"/>
      </w:pPr>
      <w:r>
        <w:rPr/>
        <w:t>Approved mining operations include concurrent, interim and post-operation reclamation measures</w:t>
      </w:r>
      <w:r>
        <w:rPr>
          <w:spacing w:val="-4"/>
        </w:rPr>
        <w:t> </w:t>
      </w:r>
      <w:r>
        <w:rPr/>
        <w:t>to</w:t>
      </w:r>
      <w:r>
        <w:rPr>
          <w:spacing w:val="-5"/>
        </w:rPr>
        <w:t> </w:t>
      </w:r>
      <w:r>
        <w:rPr/>
        <w:t>ensure</w:t>
      </w:r>
      <w:r>
        <w:rPr>
          <w:spacing w:val="-6"/>
        </w:rPr>
        <w:t> </w:t>
      </w:r>
      <w:r>
        <w:rPr/>
        <w:t>the</w:t>
      </w:r>
      <w:r>
        <w:rPr>
          <w:spacing w:val="-3"/>
        </w:rPr>
        <w:t> </w:t>
      </w:r>
      <w:r>
        <w:rPr/>
        <w:t>long-term</w:t>
      </w:r>
      <w:r>
        <w:rPr>
          <w:spacing w:val="-5"/>
        </w:rPr>
        <w:t> </w:t>
      </w:r>
      <w:r>
        <w:rPr/>
        <w:t>function</w:t>
      </w:r>
      <w:r>
        <w:rPr>
          <w:spacing w:val="-7"/>
        </w:rPr>
        <w:t> </w:t>
      </w:r>
      <w:r>
        <w:rPr/>
        <w:t>and</w:t>
      </w:r>
      <w:r>
        <w:rPr>
          <w:spacing w:val="-5"/>
        </w:rPr>
        <w:t> </w:t>
      </w:r>
      <w:r>
        <w:rPr/>
        <w:t>stability</w:t>
      </w:r>
      <w:r>
        <w:rPr>
          <w:spacing w:val="-3"/>
        </w:rPr>
        <w:t> </w:t>
      </w:r>
      <w:r>
        <w:rPr/>
        <w:t>of</w:t>
      </w:r>
      <w:r>
        <w:rPr>
          <w:spacing w:val="-6"/>
        </w:rPr>
        <w:t> </w:t>
      </w:r>
      <w:r>
        <w:rPr/>
        <w:t>resources</w:t>
      </w:r>
      <w:r>
        <w:rPr>
          <w:spacing w:val="-4"/>
        </w:rPr>
        <w:t> </w:t>
      </w:r>
      <w:r>
        <w:rPr/>
        <w:t>including,</w:t>
      </w:r>
      <w:r>
        <w:rPr>
          <w:spacing w:val="-4"/>
        </w:rPr>
        <w:t> </w:t>
      </w:r>
      <w:r>
        <w:rPr/>
        <w:t>but</w:t>
      </w:r>
      <w:r>
        <w:rPr>
          <w:spacing w:val="-3"/>
        </w:rPr>
        <w:t> </w:t>
      </w:r>
      <w:r>
        <w:rPr/>
        <w:t>not</w:t>
      </w:r>
      <w:r>
        <w:rPr>
          <w:spacing w:val="-6"/>
        </w:rPr>
        <w:t> </w:t>
      </w:r>
      <w:r>
        <w:rPr/>
        <w:t>limited to, soil; vegetation; water quality; aquatic, riparian and upland habitats; and scenic integrity </w:t>
      </w:r>
      <w:r>
        <w:rPr>
          <w:spacing w:val="-2"/>
        </w:rPr>
        <w:t>objectives.</w:t>
      </w:r>
    </w:p>
    <w:p>
      <w:pPr>
        <w:spacing w:before="234"/>
        <w:ind w:left="1151" w:right="0" w:firstLine="0"/>
        <w:jc w:val="left"/>
        <w:rPr>
          <w:rFonts w:ascii="Arial"/>
          <w:i/>
          <w:sz w:val="22"/>
        </w:rPr>
      </w:pPr>
      <w:bookmarkStart w:name="FW-DC-MIN-03. Abandoned Mine Sites" w:id="446"/>
      <w:bookmarkEnd w:id="446"/>
      <w:r>
        <w:rPr/>
      </w:r>
      <w:r>
        <w:rPr>
          <w:rFonts w:ascii="Arial"/>
          <w:i/>
          <w:sz w:val="22"/>
        </w:rPr>
        <w:t>FW-DC-MIN-03.</w:t>
      </w:r>
      <w:r>
        <w:rPr>
          <w:rFonts w:ascii="Arial"/>
          <w:i/>
          <w:spacing w:val="-8"/>
          <w:sz w:val="22"/>
        </w:rPr>
        <w:t> </w:t>
      </w:r>
      <w:r>
        <w:rPr>
          <w:rFonts w:ascii="Arial"/>
          <w:i/>
          <w:sz w:val="22"/>
        </w:rPr>
        <w:t>Abandoned</w:t>
      </w:r>
      <w:r>
        <w:rPr>
          <w:rFonts w:ascii="Arial"/>
          <w:i/>
          <w:spacing w:val="-8"/>
          <w:sz w:val="22"/>
        </w:rPr>
        <w:t> </w:t>
      </w:r>
      <w:r>
        <w:rPr>
          <w:rFonts w:ascii="Arial"/>
          <w:i/>
          <w:sz w:val="22"/>
        </w:rPr>
        <w:t>Mine</w:t>
      </w:r>
      <w:r>
        <w:rPr>
          <w:rFonts w:ascii="Arial"/>
          <w:i/>
          <w:spacing w:val="-8"/>
          <w:sz w:val="22"/>
        </w:rPr>
        <w:t> </w:t>
      </w:r>
      <w:r>
        <w:rPr>
          <w:rFonts w:ascii="Arial"/>
          <w:i/>
          <w:spacing w:val="-4"/>
          <w:sz w:val="22"/>
        </w:rPr>
        <w:t>Sites</w:t>
      </w:r>
    </w:p>
    <w:p>
      <w:pPr>
        <w:pStyle w:val="BodyText"/>
        <w:spacing w:line="232" w:lineRule="auto" w:before="65"/>
        <w:ind w:left="1151" w:right="801"/>
      </w:pPr>
      <w:r>
        <w:rPr/>
        <w:t>Abandoned mine land (AML) site inventories will be updated periodically. AML sites are prioritized</w:t>
      </w:r>
      <w:r>
        <w:rPr>
          <w:spacing w:val="-6"/>
        </w:rPr>
        <w:t> </w:t>
      </w:r>
      <w:r>
        <w:rPr/>
        <w:t>to</w:t>
      </w:r>
      <w:r>
        <w:rPr>
          <w:spacing w:val="-4"/>
        </w:rPr>
        <w:t> </w:t>
      </w:r>
      <w:r>
        <w:rPr/>
        <w:t>implement</w:t>
      </w:r>
      <w:r>
        <w:rPr>
          <w:spacing w:val="-7"/>
        </w:rPr>
        <w:t> </w:t>
      </w:r>
      <w:r>
        <w:rPr/>
        <w:t>closures</w:t>
      </w:r>
      <w:r>
        <w:rPr>
          <w:spacing w:val="-7"/>
        </w:rPr>
        <w:t> </w:t>
      </w:r>
      <w:r>
        <w:rPr/>
        <w:t>and</w:t>
      </w:r>
      <w:r>
        <w:rPr>
          <w:spacing w:val="-6"/>
        </w:rPr>
        <w:t> </w:t>
      </w:r>
      <w:r>
        <w:rPr/>
        <w:t>clean-up</w:t>
      </w:r>
      <w:r>
        <w:rPr>
          <w:spacing w:val="-6"/>
        </w:rPr>
        <w:t> </w:t>
      </w:r>
      <w:r>
        <w:rPr/>
        <w:t>based</w:t>
      </w:r>
      <w:r>
        <w:rPr>
          <w:spacing w:val="-8"/>
        </w:rPr>
        <w:t> </w:t>
      </w:r>
      <w:r>
        <w:rPr/>
        <w:t>on</w:t>
      </w:r>
      <w:r>
        <w:rPr>
          <w:spacing w:val="-6"/>
        </w:rPr>
        <w:t> </w:t>
      </w:r>
      <w:r>
        <w:rPr/>
        <w:t>public</w:t>
      </w:r>
      <w:r>
        <w:rPr>
          <w:spacing w:val="-5"/>
        </w:rPr>
        <w:t> </w:t>
      </w:r>
      <w:r>
        <w:rPr/>
        <w:t>safety</w:t>
      </w:r>
      <w:r>
        <w:rPr>
          <w:spacing w:val="-6"/>
        </w:rPr>
        <w:t> </w:t>
      </w:r>
      <w:r>
        <w:rPr/>
        <w:t>and</w:t>
      </w:r>
      <w:r>
        <w:rPr>
          <w:spacing w:val="-6"/>
        </w:rPr>
        <w:t> </w:t>
      </w:r>
      <w:r>
        <w:rPr/>
        <w:t>environmental</w:t>
      </w:r>
      <w:r>
        <w:rPr>
          <w:spacing w:val="-5"/>
        </w:rPr>
        <w:t> </w:t>
      </w:r>
      <w:r>
        <w:rPr/>
        <w:t>risks. Allocated</w:t>
      </w:r>
      <w:r>
        <w:rPr>
          <w:spacing w:val="-3"/>
        </w:rPr>
        <w:t> </w:t>
      </w:r>
      <w:r>
        <w:rPr/>
        <w:t>minerals</w:t>
      </w:r>
      <w:r>
        <w:rPr>
          <w:spacing w:val="-2"/>
        </w:rPr>
        <w:t> </w:t>
      </w:r>
      <w:r>
        <w:rPr/>
        <w:t>funding</w:t>
      </w:r>
      <w:r>
        <w:rPr>
          <w:spacing w:val="-1"/>
        </w:rPr>
        <w:t> </w:t>
      </w:r>
      <w:r>
        <w:rPr/>
        <w:t>will be leveraged</w:t>
      </w:r>
      <w:r>
        <w:rPr>
          <w:spacing w:val="-1"/>
        </w:rPr>
        <w:t> </w:t>
      </w:r>
      <w:r>
        <w:rPr/>
        <w:t>with</w:t>
      </w:r>
      <w:r>
        <w:rPr>
          <w:spacing w:val="-1"/>
        </w:rPr>
        <w:t> </w:t>
      </w:r>
      <w:r>
        <w:rPr/>
        <w:t>other funding</w:t>
      </w:r>
      <w:r>
        <w:rPr>
          <w:spacing w:val="-1"/>
        </w:rPr>
        <w:t> </w:t>
      </w:r>
      <w:r>
        <w:rPr/>
        <w:t>opportunities</w:t>
      </w:r>
      <w:r>
        <w:rPr>
          <w:spacing w:val="-2"/>
        </w:rPr>
        <w:t> </w:t>
      </w:r>
      <w:r>
        <w:rPr/>
        <w:t>to conduct AML </w:t>
      </w:r>
      <w:r>
        <w:rPr>
          <w:spacing w:val="-2"/>
        </w:rPr>
        <w:t>work.</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tandards" w:id="447"/>
      <w:bookmarkEnd w:id="447"/>
      <w:r>
        <w:rPr/>
      </w:r>
      <w:bookmarkStart w:name="_bookmark142" w:id="448"/>
      <w:bookmarkEnd w:id="448"/>
      <w:r>
        <w:rPr/>
      </w:r>
      <w:r>
        <w:rPr>
          <w:spacing w:val="-2"/>
        </w:rPr>
        <w:t>Standards</w:t>
      </w:r>
    </w:p>
    <w:p>
      <w:pPr>
        <w:spacing w:before="240"/>
        <w:ind w:left="360" w:right="0" w:firstLine="0"/>
        <w:jc w:val="left"/>
        <w:rPr>
          <w:rFonts w:ascii="Arial"/>
          <w:i/>
          <w:sz w:val="22"/>
        </w:rPr>
      </w:pPr>
      <w:bookmarkStart w:name="FW-STD-MIN-01. Mineral Leasing" w:id="449"/>
      <w:bookmarkEnd w:id="449"/>
      <w:r>
        <w:rPr/>
      </w:r>
      <w:r>
        <w:rPr>
          <w:rFonts w:ascii="Arial"/>
          <w:i/>
          <w:sz w:val="22"/>
        </w:rPr>
        <w:t>FW-STD-MIN-01.</w:t>
      </w:r>
      <w:r>
        <w:rPr>
          <w:rFonts w:ascii="Arial"/>
          <w:i/>
          <w:spacing w:val="-11"/>
          <w:sz w:val="22"/>
        </w:rPr>
        <w:t> </w:t>
      </w:r>
      <w:r>
        <w:rPr>
          <w:rFonts w:ascii="Arial"/>
          <w:i/>
          <w:sz w:val="22"/>
        </w:rPr>
        <w:t>Mineral</w:t>
      </w:r>
      <w:r>
        <w:rPr>
          <w:rFonts w:ascii="Arial"/>
          <w:i/>
          <w:spacing w:val="-9"/>
          <w:sz w:val="22"/>
        </w:rPr>
        <w:t> </w:t>
      </w:r>
      <w:r>
        <w:rPr>
          <w:rFonts w:ascii="Arial"/>
          <w:i/>
          <w:spacing w:val="-2"/>
          <w:sz w:val="22"/>
        </w:rPr>
        <w:t>Leasing</w:t>
      </w:r>
    </w:p>
    <w:p>
      <w:pPr>
        <w:pStyle w:val="BodyText"/>
        <w:spacing w:line="232" w:lineRule="auto" w:before="65"/>
        <w:ind w:left="359" w:right="1516"/>
      </w:pPr>
      <w:r>
        <w:rPr/>
        <w:t>Consent decisions to allow mineral leasing will provide Bureau of Land Management (BLM) stipulations</w:t>
      </w:r>
      <w:r>
        <w:rPr>
          <w:spacing w:val="-5"/>
        </w:rPr>
        <w:t> </w:t>
      </w:r>
      <w:r>
        <w:rPr/>
        <w:t>for</w:t>
      </w:r>
      <w:r>
        <w:rPr>
          <w:spacing w:val="-5"/>
        </w:rPr>
        <w:t> </w:t>
      </w:r>
      <w:r>
        <w:rPr/>
        <w:t>lease</w:t>
      </w:r>
      <w:r>
        <w:rPr>
          <w:spacing w:val="-7"/>
        </w:rPr>
        <w:t> </w:t>
      </w:r>
      <w:r>
        <w:rPr/>
        <w:t>management.</w:t>
      </w:r>
      <w:r>
        <w:rPr>
          <w:spacing w:val="38"/>
        </w:rPr>
        <w:t> </w:t>
      </w:r>
      <w:r>
        <w:rPr/>
        <w:t>Once</w:t>
      </w:r>
      <w:r>
        <w:rPr>
          <w:spacing w:val="-7"/>
        </w:rPr>
        <w:t> </w:t>
      </w:r>
      <w:r>
        <w:rPr/>
        <w:t>leased,</w:t>
      </w:r>
      <w:r>
        <w:rPr>
          <w:spacing w:val="-5"/>
        </w:rPr>
        <w:t> </w:t>
      </w:r>
      <w:r>
        <w:rPr/>
        <w:t>the</w:t>
      </w:r>
      <w:r>
        <w:rPr>
          <w:spacing w:val="-9"/>
        </w:rPr>
        <w:t> </w:t>
      </w:r>
      <w:r>
        <w:rPr/>
        <w:t>Forest</w:t>
      </w:r>
      <w:r>
        <w:rPr>
          <w:spacing w:val="-7"/>
        </w:rPr>
        <w:t> </w:t>
      </w:r>
      <w:r>
        <w:rPr/>
        <w:t>will</w:t>
      </w:r>
      <w:r>
        <w:rPr>
          <w:spacing w:val="-5"/>
        </w:rPr>
        <w:t> </w:t>
      </w:r>
      <w:r>
        <w:rPr/>
        <w:t>actively</w:t>
      </w:r>
      <w:r>
        <w:rPr>
          <w:spacing w:val="-4"/>
        </w:rPr>
        <w:t> </w:t>
      </w:r>
      <w:r>
        <w:rPr/>
        <w:t>coordinate</w:t>
      </w:r>
      <w:r>
        <w:rPr>
          <w:spacing w:val="-4"/>
        </w:rPr>
        <w:t> </w:t>
      </w:r>
      <w:r>
        <w:rPr/>
        <w:t>and</w:t>
      </w:r>
      <w:r>
        <w:rPr>
          <w:spacing w:val="-6"/>
        </w:rPr>
        <w:t> </w:t>
      </w:r>
      <w:r>
        <w:rPr/>
        <w:t>consult with</w:t>
      </w:r>
      <w:r>
        <w:rPr>
          <w:spacing w:val="-5"/>
        </w:rPr>
        <w:t> </w:t>
      </w:r>
      <w:r>
        <w:rPr/>
        <w:t>BLM</w:t>
      </w:r>
      <w:r>
        <w:rPr>
          <w:spacing w:val="-5"/>
        </w:rPr>
        <w:t> </w:t>
      </w:r>
      <w:r>
        <w:rPr/>
        <w:t>regarding</w:t>
      </w:r>
      <w:r>
        <w:rPr>
          <w:spacing w:val="-5"/>
        </w:rPr>
        <w:t> </w:t>
      </w:r>
      <w:r>
        <w:rPr/>
        <w:t>lease</w:t>
      </w:r>
      <w:r>
        <w:rPr>
          <w:spacing w:val="-6"/>
        </w:rPr>
        <w:t> </w:t>
      </w:r>
      <w:r>
        <w:rPr/>
        <w:t>exploration</w:t>
      </w:r>
      <w:r>
        <w:rPr>
          <w:spacing w:val="-5"/>
        </w:rPr>
        <w:t> </w:t>
      </w:r>
      <w:r>
        <w:rPr/>
        <w:t>and</w:t>
      </w:r>
      <w:r>
        <w:rPr>
          <w:spacing w:val="-5"/>
        </w:rPr>
        <w:t> </w:t>
      </w:r>
      <w:r>
        <w:rPr/>
        <w:t>development</w:t>
      </w:r>
      <w:r>
        <w:rPr>
          <w:spacing w:val="-3"/>
        </w:rPr>
        <w:t> </w:t>
      </w:r>
      <w:r>
        <w:rPr/>
        <w:t>activities.</w:t>
      </w:r>
      <w:r>
        <w:rPr>
          <w:spacing w:val="-7"/>
        </w:rPr>
        <w:t> </w:t>
      </w:r>
      <w:r>
        <w:rPr/>
        <w:t>In</w:t>
      </w:r>
      <w:r>
        <w:rPr>
          <w:spacing w:val="-5"/>
        </w:rPr>
        <w:t> </w:t>
      </w:r>
      <w:r>
        <w:rPr/>
        <w:t>consultation</w:t>
      </w:r>
      <w:r>
        <w:rPr>
          <w:spacing w:val="-7"/>
        </w:rPr>
        <w:t> </w:t>
      </w:r>
      <w:r>
        <w:rPr/>
        <w:t>with</w:t>
      </w:r>
      <w:r>
        <w:rPr>
          <w:spacing w:val="-5"/>
        </w:rPr>
        <w:t> </w:t>
      </w:r>
      <w:r>
        <w:rPr/>
        <w:t>the</w:t>
      </w:r>
      <w:r>
        <w:rPr>
          <w:spacing w:val="-6"/>
        </w:rPr>
        <w:t> </w:t>
      </w:r>
      <w:r>
        <w:rPr/>
        <w:t>BLM, the Forest will recommend BMPs and mitigation as Conditions of Approval to support attainment and maintenance of management area desired conditions.</w:t>
      </w:r>
    </w:p>
    <w:p>
      <w:pPr>
        <w:spacing w:before="232"/>
        <w:ind w:left="359" w:right="0" w:firstLine="0"/>
        <w:jc w:val="left"/>
        <w:rPr>
          <w:rFonts w:ascii="Arial"/>
          <w:i/>
          <w:sz w:val="22"/>
        </w:rPr>
      </w:pPr>
      <w:bookmarkStart w:name="FW-STD-MIN-02. Mining Operations in Wild" w:id="450"/>
      <w:bookmarkEnd w:id="450"/>
      <w:r>
        <w:rPr/>
      </w:r>
      <w:r>
        <w:rPr>
          <w:rFonts w:ascii="Arial"/>
          <w:i/>
          <w:sz w:val="22"/>
        </w:rPr>
        <w:t>FW-STD-MIN-02.</w:t>
      </w:r>
      <w:r>
        <w:rPr>
          <w:rFonts w:ascii="Arial"/>
          <w:i/>
          <w:spacing w:val="-9"/>
          <w:sz w:val="22"/>
        </w:rPr>
        <w:t> </w:t>
      </w:r>
      <w:r>
        <w:rPr>
          <w:rFonts w:ascii="Arial"/>
          <w:i/>
          <w:sz w:val="22"/>
        </w:rPr>
        <w:t>Mining</w:t>
      </w:r>
      <w:r>
        <w:rPr>
          <w:rFonts w:ascii="Arial"/>
          <w:i/>
          <w:spacing w:val="-8"/>
          <w:sz w:val="22"/>
        </w:rPr>
        <w:t> </w:t>
      </w:r>
      <w:r>
        <w:rPr>
          <w:rFonts w:ascii="Arial"/>
          <w:i/>
          <w:sz w:val="22"/>
        </w:rPr>
        <w:t>Operations</w:t>
      </w:r>
      <w:r>
        <w:rPr>
          <w:rFonts w:ascii="Arial"/>
          <w:i/>
          <w:spacing w:val="-9"/>
          <w:sz w:val="22"/>
        </w:rPr>
        <w:t> </w:t>
      </w:r>
      <w:r>
        <w:rPr>
          <w:rFonts w:ascii="Arial"/>
          <w:i/>
          <w:sz w:val="22"/>
        </w:rPr>
        <w:t>in</w:t>
      </w:r>
      <w:r>
        <w:rPr>
          <w:rFonts w:ascii="Arial"/>
          <w:i/>
          <w:spacing w:val="-10"/>
          <w:sz w:val="22"/>
        </w:rPr>
        <w:t> </w:t>
      </w:r>
      <w:r>
        <w:rPr>
          <w:rFonts w:ascii="Arial"/>
          <w:i/>
          <w:sz w:val="22"/>
        </w:rPr>
        <w:t>Wilderness</w:t>
      </w:r>
      <w:r>
        <w:rPr>
          <w:rFonts w:ascii="Arial"/>
          <w:i/>
          <w:spacing w:val="-6"/>
          <w:sz w:val="22"/>
        </w:rPr>
        <w:t> </w:t>
      </w:r>
      <w:r>
        <w:rPr>
          <w:rFonts w:ascii="Arial"/>
          <w:i/>
          <w:spacing w:val="-2"/>
          <w:sz w:val="22"/>
        </w:rPr>
        <w:t>Areas</w:t>
      </w:r>
    </w:p>
    <w:p>
      <w:pPr>
        <w:pStyle w:val="BodyText"/>
        <w:spacing w:line="232" w:lineRule="auto" w:before="65"/>
        <w:ind w:left="359" w:right="1621"/>
      </w:pPr>
      <w:r>
        <w:rPr/>
        <w:t>All</w:t>
      </w:r>
      <w:r>
        <w:rPr>
          <w:spacing w:val="-6"/>
        </w:rPr>
        <w:t> </w:t>
      </w:r>
      <w:r>
        <w:rPr/>
        <w:t>Plans</w:t>
      </w:r>
      <w:r>
        <w:rPr>
          <w:spacing w:val="-8"/>
        </w:rPr>
        <w:t> </w:t>
      </w:r>
      <w:r>
        <w:rPr/>
        <w:t>of</w:t>
      </w:r>
      <w:r>
        <w:rPr>
          <w:spacing w:val="-6"/>
        </w:rPr>
        <w:t> </w:t>
      </w:r>
      <w:r>
        <w:rPr/>
        <w:t>Operations</w:t>
      </w:r>
      <w:r>
        <w:rPr>
          <w:spacing w:val="-8"/>
        </w:rPr>
        <w:t> </w:t>
      </w:r>
      <w:r>
        <w:rPr/>
        <w:t>submitted</w:t>
      </w:r>
      <w:r>
        <w:rPr>
          <w:spacing w:val="-7"/>
        </w:rPr>
        <w:t> </w:t>
      </w:r>
      <w:r>
        <w:rPr/>
        <w:t>by</w:t>
      </w:r>
      <w:r>
        <w:rPr>
          <w:spacing w:val="-5"/>
        </w:rPr>
        <w:t> </w:t>
      </w:r>
      <w:r>
        <w:rPr/>
        <w:t>an</w:t>
      </w:r>
      <w:r>
        <w:rPr>
          <w:spacing w:val="-8"/>
        </w:rPr>
        <w:t> </w:t>
      </w:r>
      <w:r>
        <w:rPr/>
        <w:t>operator</w:t>
      </w:r>
      <w:r>
        <w:rPr>
          <w:spacing w:val="-8"/>
        </w:rPr>
        <w:t> </w:t>
      </w:r>
      <w:r>
        <w:rPr/>
        <w:t>which</w:t>
      </w:r>
      <w:r>
        <w:rPr>
          <w:spacing w:val="-7"/>
        </w:rPr>
        <w:t> </w:t>
      </w:r>
      <w:r>
        <w:rPr/>
        <w:t>propose</w:t>
      </w:r>
      <w:r>
        <w:rPr>
          <w:spacing w:val="-8"/>
        </w:rPr>
        <w:t> </w:t>
      </w:r>
      <w:r>
        <w:rPr/>
        <w:t>significant</w:t>
      </w:r>
      <w:r>
        <w:rPr>
          <w:spacing w:val="-5"/>
        </w:rPr>
        <w:t> </w:t>
      </w:r>
      <w:r>
        <w:rPr/>
        <w:t>surface</w:t>
      </w:r>
      <w:r>
        <w:rPr>
          <w:spacing w:val="-5"/>
        </w:rPr>
        <w:t> </w:t>
      </w:r>
      <w:r>
        <w:rPr/>
        <w:t>disturbing activities in designated Wilderness Areas will require an appropriate examination of validity prior to approval.</w:t>
      </w:r>
    </w:p>
    <w:p>
      <w:pPr>
        <w:pStyle w:val="Heading4"/>
        <w:spacing w:before="236"/>
      </w:pPr>
      <w:bookmarkStart w:name="Guidelines" w:id="451"/>
      <w:bookmarkEnd w:id="451"/>
      <w:r>
        <w:rPr/>
      </w:r>
      <w:bookmarkStart w:name="_bookmark143" w:id="452"/>
      <w:bookmarkEnd w:id="452"/>
      <w:r>
        <w:rPr/>
      </w:r>
      <w:r>
        <w:rPr>
          <w:spacing w:val="-2"/>
        </w:rPr>
        <w:t>Guidelines</w:t>
      </w:r>
    </w:p>
    <w:p>
      <w:pPr>
        <w:spacing w:before="237"/>
        <w:ind w:left="360" w:right="0" w:firstLine="0"/>
        <w:jc w:val="left"/>
        <w:rPr>
          <w:rFonts w:ascii="Arial"/>
          <w:i/>
          <w:sz w:val="22"/>
        </w:rPr>
      </w:pPr>
      <w:bookmarkStart w:name="FW-GDL-MIN-01. Bat Habitat Surveys or As" w:id="453"/>
      <w:bookmarkEnd w:id="453"/>
      <w:r>
        <w:rPr/>
      </w:r>
      <w:r>
        <w:rPr>
          <w:rFonts w:ascii="Arial"/>
          <w:i/>
          <w:sz w:val="22"/>
        </w:rPr>
        <w:t>FW-GDL-MIN-01.</w:t>
      </w:r>
      <w:r>
        <w:rPr>
          <w:rFonts w:ascii="Arial"/>
          <w:i/>
          <w:spacing w:val="-5"/>
          <w:sz w:val="22"/>
        </w:rPr>
        <w:t> </w:t>
      </w:r>
      <w:r>
        <w:rPr>
          <w:rFonts w:ascii="Arial"/>
          <w:i/>
          <w:sz w:val="22"/>
        </w:rPr>
        <w:t>Bat</w:t>
      </w:r>
      <w:r>
        <w:rPr>
          <w:rFonts w:ascii="Arial"/>
          <w:i/>
          <w:spacing w:val="-4"/>
          <w:sz w:val="22"/>
        </w:rPr>
        <w:t> </w:t>
      </w:r>
      <w:r>
        <w:rPr>
          <w:rFonts w:ascii="Arial"/>
          <w:i/>
          <w:sz w:val="22"/>
        </w:rPr>
        <w:t>Habitat</w:t>
      </w:r>
      <w:r>
        <w:rPr>
          <w:rFonts w:ascii="Arial"/>
          <w:i/>
          <w:spacing w:val="-4"/>
          <w:sz w:val="22"/>
        </w:rPr>
        <w:t> </w:t>
      </w:r>
      <w:r>
        <w:rPr>
          <w:rFonts w:ascii="Arial"/>
          <w:i/>
          <w:sz w:val="22"/>
        </w:rPr>
        <w:t>Surveys</w:t>
      </w:r>
      <w:r>
        <w:rPr>
          <w:rFonts w:ascii="Arial"/>
          <w:i/>
          <w:spacing w:val="-8"/>
          <w:sz w:val="22"/>
        </w:rPr>
        <w:t> </w:t>
      </w:r>
      <w:r>
        <w:rPr>
          <w:rFonts w:ascii="Arial"/>
          <w:i/>
          <w:sz w:val="22"/>
        </w:rPr>
        <w:t>or</w:t>
      </w:r>
      <w:r>
        <w:rPr>
          <w:rFonts w:ascii="Arial"/>
          <w:i/>
          <w:spacing w:val="-6"/>
          <w:sz w:val="22"/>
        </w:rPr>
        <w:t> </w:t>
      </w:r>
      <w:r>
        <w:rPr>
          <w:rFonts w:ascii="Arial"/>
          <w:i/>
          <w:spacing w:val="-2"/>
          <w:sz w:val="22"/>
        </w:rPr>
        <w:t>Assessment</w:t>
      </w:r>
    </w:p>
    <w:p>
      <w:pPr>
        <w:pStyle w:val="BodyText"/>
        <w:spacing w:line="232" w:lineRule="auto" w:before="67"/>
        <w:ind w:left="359" w:right="1621"/>
      </w:pPr>
      <w:r>
        <w:rPr/>
        <w:t>Prior</w:t>
      </w:r>
      <w:r>
        <w:rPr>
          <w:spacing w:val="-3"/>
        </w:rPr>
        <w:t> </w:t>
      </w:r>
      <w:r>
        <w:rPr/>
        <w:t>to</w:t>
      </w:r>
      <w:r>
        <w:rPr>
          <w:spacing w:val="-2"/>
        </w:rPr>
        <w:t> </w:t>
      </w:r>
      <w:r>
        <w:rPr/>
        <w:t>closing</w:t>
      </w:r>
      <w:r>
        <w:rPr>
          <w:spacing w:val="-1"/>
        </w:rPr>
        <w:t> </w:t>
      </w:r>
      <w:r>
        <w:rPr/>
        <w:t>abandoned</w:t>
      </w:r>
      <w:r>
        <w:rPr>
          <w:spacing w:val="-4"/>
        </w:rPr>
        <w:t> </w:t>
      </w:r>
      <w:r>
        <w:rPr/>
        <w:t>mine land</w:t>
      </w:r>
      <w:r>
        <w:rPr>
          <w:spacing w:val="-4"/>
        </w:rPr>
        <w:t> </w:t>
      </w:r>
      <w:r>
        <w:rPr/>
        <w:t>features,</w:t>
      </w:r>
      <w:r>
        <w:rPr>
          <w:spacing w:val="-1"/>
        </w:rPr>
        <w:t> </w:t>
      </w:r>
      <w:r>
        <w:rPr/>
        <w:t>bat</w:t>
      </w:r>
      <w:r>
        <w:rPr>
          <w:spacing w:val="-3"/>
        </w:rPr>
        <w:t> </w:t>
      </w:r>
      <w:r>
        <w:rPr/>
        <w:t>occupancy surveys</w:t>
      </w:r>
      <w:r>
        <w:rPr>
          <w:spacing w:val="-3"/>
        </w:rPr>
        <w:t> </w:t>
      </w:r>
      <w:r>
        <w:rPr/>
        <w:t>or</w:t>
      </w:r>
      <w:r>
        <w:rPr>
          <w:spacing w:val="-1"/>
        </w:rPr>
        <w:t> </w:t>
      </w:r>
      <w:r>
        <w:rPr/>
        <w:t>habitat</w:t>
      </w:r>
      <w:r>
        <w:rPr>
          <w:spacing w:val="-3"/>
        </w:rPr>
        <w:t> </w:t>
      </w:r>
      <w:r>
        <w:rPr/>
        <w:t>assessments would</w:t>
      </w:r>
      <w:r>
        <w:rPr>
          <w:spacing w:val="-5"/>
        </w:rPr>
        <w:t> </w:t>
      </w:r>
      <w:r>
        <w:rPr/>
        <w:t>be</w:t>
      </w:r>
      <w:r>
        <w:rPr>
          <w:spacing w:val="-3"/>
        </w:rPr>
        <w:t> </w:t>
      </w:r>
      <w:r>
        <w:rPr/>
        <w:t>conducted</w:t>
      </w:r>
      <w:r>
        <w:rPr>
          <w:spacing w:val="-7"/>
        </w:rPr>
        <w:t> </w:t>
      </w:r>
      <w:r>
        <w:rPr/>
        <w:t>to</w:t>
      </w:r>
      <w:r>
        <w:rPr>
          <w:spacing w:val="-5"/>
        </w:rPr>
        <w:t> </w:t>
      </w:r>
      <w:r>
        <w:rPr/>
        <w:t>assess</w:t>
      </w:r>
      <w:r>
        <w:rPr>
          <w:spacing w:val="-4"/>
        </w:rPr>
        <w:t> </w:t>
      </w:r>
      <w:r>
        <w:rPr/>
        <w:t>whether</w:t>
      </w:r>
      <w:r>
        <w:rPr>
          <w:spacing w:val="-4"/>
        </w:rPr>
        <w:t> </w:t>
      </w:r>
      <w:r>
        <w:rPr/>
        <w:t>the</w:t>
      </w:r>
      <w:r>
        <w:rPr>
          <w:spacing w:val="-6"/>
        </w:rPr>
        <w:t> </w:t>
      </w:r>
      <w:r>
        <w:rPr/>
        <w:t>feature</w:t>
      </w:r>
      <w:r>
        <w:rPr>
          <w:spacing w:val="-3"/>
        </w:rPr>
        <w:t> </w:t>
      </w:r>
      <w:r>
        <w:rPr/>
        <w:t>is</w:t>
      </w:r>
      <w:r>
        <w:rPr>
          <w:spacing w:val="-6"/>
        </w:rPr>
        <w:t> </w:t>
      </w:r>
      <w:r>
        <w:rPr/>
        <w:t>or</w:t>
      </w:r>
      <w:r>
        <w:rPr>
          <w:spacing w:val="-4"/>
        </w:rPr>
        <w:t> </w:t>
      </w:r>
      <w:r>
        <w:rPr/>
        <w:t>has</w:t>
      </w:r>
      <w:r>
        <w:rPr>
          <w:spacing w:val="-4"/>
        </w:rPr>
        <w:t> </w:t>
      </w:r>
      <w:r>
        <w:rPr/>
        <w:t>been</w:t>
      </w:r>
      <w:r>
        <w:rPr>
          <w:spacing w:val="-7"/>
        </w:rPr>
        <w:t> </w:t>
      </w:r>
      <w:r>
        <w:rPr/>
        <w:t>occupied,</w:t>
      </w:r>
      <w:r>
        <w:rPr>
          <w:spacing w:val="-6"/>
        </w:rPr>
        <w:t> </w:t>
      </w:r>
      <w:r>
        <w:rPr/>
        <w:t>or</w:t>
      </w:r>
      <w:r>
        <w:rPr>
          <w:spacing w:val="-2"/>
        </w:rPr>
        <w:t> </w:t>
      </w:r>
      <w:r>
        <w:rPr/>
        <w:t>provides</w:t>
      </w:r>
      <w:r>
        <w:rPr>
          <w:spacing w:val="-4"/>
        </w:rPr>
        <w:t> </w:t>
      </w:r>
      <w:r>
        <w:rPr/>
        <w:t>actual or potential habitat. The abandoned mine land closure type would be determined after bat occupancy or habitat potential is determined.</w:t>
      </w:r>
    </w:p>
    <w:p>
      <w:pPr>
        <w:spacing w:before="234"/>
        <w:ind w:left="359" w:right="0" w:firstLine="0"/>
        <w:jc w:val="left"/>
        <w:rPr>
          <w:rFonts w:ascii="Arial"/>
          <w:i/>
          <w:sz w:val="22"/>
        </w:rPr>
      </w:pPr>
      <w:bookmarkStart w:name="FW-GDL-MIN-02. Mining Claim Corners" w:id="454"/>
      <w:bookmarkEnd w:id="454"/>
      <w:r>
        <w:rPr/>
      </w:r>
      <w:r>
        <w:rPr>
          <w:rFonts w:ascii="Arial"/>
          <w:i/>
          <w:sz w:val="22"/>
        </w:rPr>
        <w:t>FW-GDL-MIN-02.</w:t>
      </w:r>
      <w:r>
        <w:rPr>
          <w:rFonts w:ascii="Arial"/>
          <w:i/>
          <w:spacing w:val="-8"/>
          <w:sz w:val="22"/>
        </w:rPr>
        <w:t> </w:t>
      </w:r>
      <w:r>
        <w:rPr>
          <w:rFonts w:ascii="Arial"/>
          <w:i/>
          <w:sz w:val="22"/>
        </w:rPr>
        <w:t>Mining</w:t>
      </w:r>
      <w:r>
        <w:rPr>
          <w:rFonts w:ascii="Arial"/>
          <w:i/>
          <w:spacing w:val="-8"/>
          <w:sz w:val="22"/>
        </w:rPr>
        <w:t> </w:t>
      </w:r>
      <w:r>
        <w:rPr>
          <w:rFonts w:ascii="Arial"/>
          <w:i/>
          <w:sz w:val="22"/>
        </w:rPr>
        <w:t>Claim</w:t>
      </w:r>
      <w:r>
        <w:rPr>
          <w:rFonts w:ascii="Arial"/>
          <w:i/>
          <w:spacing w:val="-7"/>
          <w:sz w:val="22"/>
        </w:rPr>
        <w:t> </w:t>
      </w:r>
      <w:r>
        <w:rPr>
          <w:rFonts w:ascii="Arial"/>
          <w:i/>
          <w:spacing w:val="-2"/>
          <w:sz w:val="22"/>
        </w:rPr>
        <w:t>Corners</w:t>
      </w:r>
    </w:p>
    <w:p>
      <w:pPr>
        <w:pStyle w:val="BodyText"/>
        <w:spacing w:before="58"/>
        <w:ind w:left="359"/>
      </w:pPr>
      <w:r>
        <w:rPr/>
        <w:t>Mining</w:t>
      </w:r>
      <w:r>
        <w:rPr>
          <w:spacing w:val="-11"/>
        </w:rPr>
        <w:t> </w:t>
      </w:r>
      <w:r>
        <w:rPr/>
        <w:t>claim</w:t>
      </w:r>
      <w:r>
        <w:rPr>
          <w:spacing w:val="-8"/>
        </w:rPr>
        <w:t> </w:t>
      </w:r>
      <w:r>
        <w:rPr/>
        <w:t>corners</w:t>
      </w:r>
      <w:r>
        <w:rPr>
          <w:spacing w:val="-8"/>
        </w:rPr>
        <w:t> </w:t>
      </w:r>
      <w:r>
        <w:rPr/>
        <w:t>and</w:t>
      </w:r>
      <w:r>
        <w:rPr>
          <w:spacing w:val="-8"/>
        </w:rPr>
        <w:t> </w:t>
      </w:r>
      <w:r>
        <w:rPr/>
        <w:t>improvements</w:t>
      </w:r>
      <w:r>
        <w:rPr>
          <w:spacing w:val="-10"/>
        </w:rPr>
        <w:t> </w:t>
      </w:r>
      <w:r>
        <w:rPr/>
        <w:t>will</w:t>
      </w:r>
      <w:r>
        <w:rPr>
          <w:spacing w:val="-7"/>
        </w:rPr>
        <w:t> </w:t>
      </w:r>
      <w:r>
        <w:rPr/>
        <w:t>be</w:t>
      </w:r>
      <w:r>
        <w:rPr>
          <w:spacing w:val="-10"/>
        </w:rPr>
        <w:t> </w:t>
      </w:r>
      <w:r>
        <w:rPr/>
        <w:t>protected</w:t>
      </w:r>
      <w:r>
        <w:rPr>
          <w:spacing w:val="-8"/>
        </w:rPr>
        <w:t> </w:t>
      </w:r>
      <w:r>
        <w:rPr/>
        <w:t>during</w:t>
      </w:r>
      <w:r>
        <w:rPr>
          <w:spacing w:val="-8"/>
        </w:rPr>
        <w:t> </w:t>
      </w:r>
      <w:r>
        <w:rPr/>
        <w:t>Forest</w:t>
      </w:r>
      <w:r>
        <w:rPr>
          <w:spacing w:val="-10"/>
        </w:rPr>
        <w:t> </w:t>
      </w:r>
      <w:r>
        <w:rPr/>
        <w:t>management</w:t>
      </w:r>
      <w:r>
        <w:rPr>
          <w:spacing w:val="-6"/>
        </w:rPr>
        <w:t> </w:t>
      </w:r>
      <w:r>
        <w:rPr>
          <w:spacing w:val="-2"/>
        </w:rPr>
        <w:t>activities.</w:t>
      </w:r>
    </w:p>
    <w:p>
      <w:pPr>
        <w:spacing w:before="232"/>
        <w:ind w:left="359" w:right="0" w:firstLine="0"/>
        <w:jc w:val="left"/>
        <w:rPr>
          <w:rFonts w:ascii="Arial"/>
          <w:i/>
          <w:sz w:val="22"/>
        </w:rPr>
      </w:pPr>
      <w:bookmarkStart w:name="FW-GDL-MIN-03. Mineral Withdrawals" w:id="455"/>
      <w:bookmarkEnd w:id="455"/>
      <w:r>
        <w:rPr/>
      </w:r>
      <w:r>
        <w:rPr>
          <w:rFonts w:ascii="Arial"/>
          <w:i/>
          <w:sz w:val="22"/>
        </w:rPr>
        <w:t>FW-GDL-MIN-03.</w:t>
      </w:r>
      <w:r>
        <w:rPr>
          <w:rFonts w:ascii="Arial"/>
          <w:i/>
          <w:spacing w:val="-9"/>
          <w:sz w:val="22"/>
        </w:rPr>
        <w:t> </w:t>
      </w:r>
      <w:r>
        <w:rPr>
          <w:rFonts w:ascii="Arial"/>
          <w:i/>
          <w:sz w:val="22"/>
        </w:rPr>
        <w:t>Mineral</w:t>
      </w:r>
      <w:r>
        <w:rPr>
          <w:rFonts w:ascii="Arial"/>
          <w:i/>
          <w:spacing w:val="-13"/>
          <w:sz w:val="22"/>
        </w:rPr>
        <w:t> </w:t>
      </w:r>
      <w:r>
        <w:rPr>
          <w:rFonts w:ascii="Arial"/>
          <w:i/>
          <w:spacing w:val="-2"/>
          <w:sz w:val="22"/>
        </w:rPr>
        <w:t>Withdrawals</w:t>
      </w:r>
    </w:p>
    <w:p>
      <w:pPr>
        <w:pStyle w:val="BodyText"/>
        <w:spacing w:line="232" w:lineRule="auto" w:before="64"/>
        <w:ind w:left="359" w:right="1073"/>
      </w:pPr>
      <w:r>
        <w:rPr/>
        <w:t>Minimize</w:t>
      </w:r>
      <w:r>
        <w:rPr>
          <w:spacing w:val="-6"/>
        </w:rPr>
        <w:t> </w:t>
      </w:r>
      <w:r>
        <w:rPr/>
        <w:t>the</w:t>
      </w:r>
      <w:r>
        <w:rPr>
          <w:spacing w:val="-3"/>
        </w:rPr>
        <w:t> </w:t>
      </w:r>
      <w:r>
        <w:rPr/>
        <w:t>national</w:t>
      </w:r>
      <w:r>
        <w:rPr>
          <w:spacing w:val="-4"/>
        </w:rPr>
        <w:t> </w:t>
      </w:r>
      <w:r>
        <w:rPr/>
        <w:t>forest</w:t>
      </w:r>
      <w:r>
        <w:rPr>
          <w:spacing w:val="-3"/>
        </w:rPr>
        <w:t> </w:t>
      </w:r>
      <w:r>
        <w:rPr/>
        <w:t>acreage</w:t>
      </w:r>
      <w:r>
        <w:rPr>
          <w:spacing w:val="-3"/>
        </w:rPr>
        <w:t> </w:t>
      </w:r>
      <w:r>
        <w:rPr/>
        <w:t>to</w:t>
      </w:r>
      <w:r>
        <w:rPr>
          <w:spacing w:val="-3"/>
        </w:rPr>
        <w:t> </w:t>
      </w:r>
      <w:r>
        <w:rPr/>
        <w:t>be</w:t>
      </w:r>
      <w:r>
        <w:rPr>
          <w:spacing w:val="-6"/>
        </w:rPr>
        <w:t> </w:t>
      </w:r>
      <w:r>
        <w:rPr/>
        <w:t>withdrawn</w:t>
      </w:r>
      <w:r>
        <w:rPr>
          <w:spacing w:val="-6"/>
        </w:rPr>
        <w:t> </w:t>
      </w:r>
      <w:r>
        <w:rPr/>
        <w:t>from</w:t>
      </w:r>
      <w:r>
        <w:rPr>
          <w:spacing w:val="-5"/>
        </w:rPr>
        <w:t> </w:t>
      </w:r>
      <w:r>
        <w:rPr/>
        <w:t>mineral</w:t>
      </w:r>
      <w:r>
        <w:rPr>
          <w:spacing w:val="-6"/>
        </w:rPr>
        <w:t> </w:t>
      </w:r>
      <w:r>
        <w:rPr/>
        <w:t>entry</w:t>
      </w:r>
      <w:r>
        <w:rPr>
          <w:spacing w:val="-3"/>
        </w:rPr>
        <w:t> </w:t>
      </w:r>
      <w:r>
        <w:rPr/>
        <w:t>to</w:t>
      </w:r>
      <w:r>
        <w:rPr>
          <w:spacing w:val="-5"/>
        </w:rPr>
        <w:t> </w:t>
      </w:r>
      <w:r>
        <w:rPr/>
        <w:t>that</w:t>
      </w:r>
      <w:r>
        <w:rPr>
          <w:spacing w:val="-6"/>
        </w:rPr>
        <w:t> </w:t>
      </w:r>
      <w:r>
        <w:rPr/>
        <w:t>necessary</w:t>
      </w:r>
      <w:r>
        <w:rPr>
          <w:spacing w:val="-5"/>
        </w:rPr>
        <w:t> </w:t>
      </w:r>
      <w:r>
        <w:rPr/>
        <w:t>for protecting</w:t>
      </w:r>
      <w:r>
        <w:rPr>
          <w:spacing w:val="-8"/>
        </w:rPr>
        <w:t> </w:t>
      </w:r>
      <w:r>
        <w:rPr/>
        <w:t>dedicated</w:t>
      </w:r>
      <w:r>
        <w:rPr>
          <w:spacing w:val="-8"/>
        </w:rPr>
        <w:t> </w:t>
      </w:r>
      <w:r>
        <w:rPr/>
        <w:t>areas</w:t>
      </w:r>
      <w:r>
        <w:rPr>
          <w:spacing w:val="-9"/>
        </w:rPr>
        <w:t> </w:t>
      </w:r>
      <w:r>
        <w:rPr/>
        <w:t>such</w:t>
      </w:r>
      <w:r>
        <w:rPr>
          <w:spacing w:val="-8"/>
        </w:rPr>
        <w:t> </w:t>
      </w:r>
      <w:r>
        <w:rPr/>
        <w:t>as</w:t>
      </w:r>
      <w:r>
        <w:rPr>
          <w:spacing w:val="-8"/>
        </w:rPr>
        <w:t> </w:t>
      </w:r>
      <w:r>
        <w:rPr/>
        <w:t>administrative</w:t>
      </w:r>
      <w:r>
        <w:rPr>
          <w:spacing w:val="-7"/>
        </w:rPr>
        <w:t> </w:t>
      </w:r>
      <w:r>
        <w:rPr/>
        <w:t>sites,</w:t>
      </w:r>
      <w:r>
        <w:rPr>
          <w:spacing w:val="-8"/>
        </w:rPr>
        <w:t> </w:t>
      </w:r>
      <w:r>
        <w:rPr/>
        <w:t>developed</w:t>
      </w:r>
      <w:r>
        <w:rPr>
          <w:spacing w:val="-8"/>
        </w:rPr>
        <w:t> </w:t>
      </w:r>
      <w:r>
        <w:rPr/>
        <w:t>recreation</w:t>
      </w:r>
      <w:r>
        <w:rPr>
          <w:spacing w:val="-10"/>
        </w:rPr>
        <w:t> </w:t>
      </w:r>
      <w:r>
        <w:rPr/>
        <w:t>sites,</w:t>
      </w:r>
      <w:r>
        <w:rPr>
          <w:spacing w:val="-8"/>
        </w:rPr>
        <w:t> </w:t>
      </w:r>
      <w:r>
        <w:rPr/>
        <w:t>wilderness, research natural areas, seed orchards, wild and scenic rivers, and other areas where capital investment or resource values conflict with potential mineral exploration and development.</w:t>
      </w:r>
    </w:p>
    <w:p>
      <w:pPr>
        <w:pStyle w:val="Heading3"/>
        <w:spacing w:before="235"/>
        <w:ind w:left="360"/>
      </w:pPr>
      <w:bookmarkStart w:name="Public Awareness (PA)" w:id="456"/>
      <w:bookmarkEnd w:id="456"/>
      <w:r>
        <w:rPr>
          <w:b w:val="0"/>
        </w:rPr>
      </w:r>
      <w:bookmarkStart w:name="_bookmark144" w:id="457"/>
      <w:bookmarkEnd w:id="457"/>
      <w:r>
        <w:rPr>
          <w:b w:val="0"/>
        </w:rPr>
      </w:r>
      <w:r>
        <w:rPr>
          <w:smallCaps/>
          <w:color w:val="475824"/>
        </w:rPr>
        <w:t>Public</w:t>
      </w:r>
      <w:r>
        <w:rPr>
          <w:smallCaps/>
          <w:color w:val="475824"/>
          <w:spacing w:val="-5"/>
        </w:rPr>
        <w:t> </w:t>
      </w:r>
      <w:r>
        <w:rPr>
          <w:smallCaps/>
          <w:color w:val="475824"/>
        </w:rPr>
        <w:t>Awareness</w:t>
      </w:r>
      <w:r>
        <w:rPr>
          <w:smallCaps/>
          <w:color w:val="475824"/>
          <w:spacing w:val="-9"/>
        </w:rPr>
        <w:t> </w:t>
      </w:r>
      <w:r>
        <w:rPr>
          <w:smallCaps/>
          <w:color w:val="475824"/>
          <w:spacing w:val="-4"/>
        </w:rPr>
        <w:t>(PA)</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7024">
                <wp:simplePos x="0" y="0"/>
                <wp:positionH relativeFrom="page">
                  <wp:posOffset>1124711</wp:posOffset>
                </wp:positionH>
                <wp:positionV relativeFrom="paragraph">
                  <wp:posOffset>75303</wp:posOffset>
                </wp:positionV>
                <wp:extent cx="5248910" cy="683260"/>
                <wp:effectExtent l="0" t="0" r="0" b="0"/>
                <wp:wrapTopAndBottom/>
                <wp:docPr id="185" name="Textbox 185"/>
                <wp:cNvGraphicFramePr>
                  <a:graphicFrameLocks/>
                </wp:cNvGraphicFramePr>
                <a:graphic>
                  <a:graphicData uri="http://schemas.microsoft.com/office/word/2010/wordprocessingShape">
                    <wps:wsp>
                      <wps:cNvPr id="185" name="Textbox 185"/>
                      <wps:cNvSpPr txBox="1"/>
                      <wps:spPr>
                        <a:xfrm>
                          <a:off x="0" y="0"/>
                          <a:ext cx="5248910" cy="683260"/>
                        </a:xfrm>
                        <a:prstGeom prst="rect">
                          <a:avLst/>
                        </a:prstGeom>
                        <a:solidFill>
                          <a:srgbClr val="DFDFDF"/>
                        </a:solidFill>
                      </wps:spPr>
                      <wps:txbx>
                        <w:txbxContent>
                          <w:p>
                            <w:pPr>
                              <w:pStyle w:val="BodyText"/>
                              <w:ind w:left="28" w:right="39"/>
                              <w:rPr>
                                <w:color w:val="000000"/>
                              </w:rPr>
                            </w:pPr>
                            <w:r>
                              <w:rPr>
                                <w:color w:val="000000"/>
                              </w:rPr>
                              <w:t>This</w:t>
                            </w:r>
                            <w:r>
                              <w:rPr>
                                <w:color w:val="000000"/>
                                <w:spacing w:val="-4"/>
                              </w:rPr>
                              <w:t> </w:t>
                            </w:r>
                            <w:r>
                              <w:rPr>
                                <w:color w:val="000000"/>
                              </w:rPr>
                              <w:t>guidance</w:t>
                            </w:r>
                            <w:r>
                              <w:rPr>
                                <w:color w:val="000000"/>
                                <w:spacing w:val="-3"/>
                              </w:rPr>
                              <w:t> </w:t>
                            </w:r>
                            <w:r>
                              <w:rPr>
                                <w:color w:val="000000"/>
                              </w:rPr>
                              <w:t>covers</w:t>
                            </w:r>
                            <w:r>
                              <w:rPr>
                                <w:color w:val="000000"/>
                                <w:spacing w:val="-4"/>
                              </w:rPr>
                              <w:t> </w:t>
                            </w:r>
                            <w:r>
                              <w:rPr>
                                <w:color w:val="000000"/>
                              </w:rPr>
                              <w:t>the</w:t>
                            </w:r>
                            <w:r>
                              <w:rPr>
                                <w:color w:val="000000"/>
                                <w:spacing w:val="-3"/>
                              </w:rPr>
                              <w:t> </w:t>
                            </w:r>
                            <w:r>
                              <w:rPr>
                                <w:color w:val="000000"/>
                              </w:rPr>
                              <w:t>information,</w:t>
                            </w:r>
                            <w:r>
                              <w:rPr>
                                <w:color w:val="000000"/>
                                <w:spacing w:val="-6"/>
                              </w:rPr>
                              <w:t> </w:t>
                            </w:r>
                            <w:r>
                              <w:rPr>
                                <w:color w:val="000000"/>
                              </w:rPr>
                              <w:t>education,</w:t>
                            </w:r>
                            <w:r>
                              <w:rPr>
                                <w:color w:val="000000"/>
                                <w:spacing w:val="-4"/>
                              </w:rPr>
                              <w:t> </w:t>
                            </w:r>
                            <w:r>
                              <w:rPr>
                                <w:color w:val="000000"/>
                              </w:rPr>
                              <w:t>collaboration,</w:t>
                            </w:r>
                            <w:r>
                              <w:rPr>
                                <w:color w:val="000000"/>
                                <w:spacing w:val="-4"/>
                              </w:rPr>
                              <w:t> </w:t>
                            </w:r>
                            <w:r>
                              <w:rPr>
                                <w:color w:val="000000"/>
                              </w:rPr>
                              <w:t>and</w:t>
                            </w:r>
                            <w:r>
                              <w:rPr>
                                <w:color w:val="000000"/>
                                <w:spacing w:val="-5"/>
                              </w:rPr>
                              <w:t> </w:t>
                            </w:r>
                            <w:r>
                              <w:rPr>
                                <w:color w:val="000000"/>
                              </w:rPr>
                              <w:t>interpretation</w:t>
                            </w:r>
                            <w:r>
                              <w:rPr>
                                <w:color w:val="000000"/>
                                <w:spacing w:val="-5"/>
                              </w:rPr>
                              <w:t> </w:t>
                            </w:r>
                            <w:r>
                              <w:rPr>
                                <w:color w:val="000000"/>
                              </w:rPr>
                              <w:t>activities the Forest engages in. Specific methods and materials used to accomplish the desired condition are under the discretion of the Forest and are guided by various rules, regulations, and policies.</w:t>
                            </w:r>
                          </w:p>
                        </w:txbxContent>
                      </wps:txbx>
                      <wps:bodyPr wrap="square" lIns="0" tIns="0" rIns="0" bIns="0" rtlCol="0">
                        <a:noAutofit/>
                      </wps:bodyPr>
                    </wps:wsp>
                  </a:graphicData>
                </a:graphic>
              </wp:anchor>
            </w:drawing>
          </mc:Choice>
          <mc:Fallback>
            <w:pict>
              <v:shape style="position:absolute;margin-left:88.559998pt;margin-top:5.929424pt;width:413.3pt;height:53.8pt;mso-position-horizontal-relative:page;mso-position-vertical-relative:paragraph;z-index:-15699456;mso-wrap-distance-left:0;mso-wrap-distance-right:0" type="#_x0000_t202" id="docshape173" filled="true" fillcolor="#dfdfdf" stroked="false">
                <v:textbox inset="0,0,0,0">
                  <w:txbxContent>
                    <w:p>
                      <w:pPr>
                        <w:pStyle w:val="BodyText"/>
                        <w:ind w:left="28" w:right="39"/>
                        <w:rPr>
                          <w:color w:val="000000"/>
                        </w:rPr>
                      </w:pPr>
                      <w:r>
                        <w:rPr>
                          <w:color w:val="000000"/>
                        </w:rPr>
                        <w:t>This</w:t>
                      </w:r>
                      <w:r>
                        <w:rPr>
                          <w:color w:val="000000"/>
                          <w:spacing w:val="-4"/>
                        </w:rPr>
                        <w:t> </w:t>
                      </w:r>
                      <w:r>
                        <w:rPr>
                          <w:color w:val="000000"/>
                        </w:rPr>
                        <w:t>guidance</w:t>
                      </w:r>
                      <w:r>
                        <w:rPr>
                          <w:color w:val="000000"/>
                          <w:spacing w:val="-3"/>
                        </w:rPr>
                        <w:t> </w:t>
                      </w:r>
                      <w:r>
                        <w:rPr>
                          <w:color w:val="000000"/>
                        </w:rPr>
                        <w:t>covers</w:t>
                      </w:r>
                      <w:r>
                        <w:rPr>
                          <w:color w:val="000000"/>
                          <w:spacing w:val="-4"/>
                        </w:rPr>
                        <w:t> </w:t>
                      </w:r>
                      <w:r>
                        <w:rPr>
                          <w:color w:val="000000"/>
                        </w:rPr>
                        <w:t>the</w:t>
                      </w:r>
                      <w:r>
                        <w:rPr>
                          <w:color w:val="000000"/>
                          <w:spacing w:val="-3"/>
                        </w:rPr>
                        <w:t> </w:t>
                      </w:r>
                      <w:r>
                        <w:rPr>
                          <w:color w:val="000000"/>
                        </w:rPr>
                        <w:t>information,</w:t>
                      </w:r>
                      <w:r>
                        <w:rPr>
                          <w:color w:val="000000"/>
                          <w:spacing w:val="-6"/>
                        </w:rPr>
                        <w:t> </w:t>
                      </w:r>
                      <w:r>
                        <w:rPr>
                          <w:color w:val="000000"/>
                        </w:rPr>
                        <w:t>education,</w:t>
                      </w:r>
                      <w:r>
                        <w:rPr>
                          <w:color w:val="000000"/>
                          <w:spacing w:val="-4"/>
                        </w:rPr>
                        <w:t> </w:t>
                      </w:r>
                      <w:r>
                        <w:rPr>
                          <w:color w:val="000000"/>
                        </w:rPr>
                        <w:t>collaboration,</w:t>
                      </w:r>
                      <w:r>
                        <w:rPr>
                          <w:color w:val="000000"/>
                          <w:spacing w:val="-4"/>
                        </w:rPr>
                        <w:t> </w:t>
                      </w:r>
                      <w:r>
                        <w:rPr>
                          <w:color w:val="000000"/>
                        </w:rPr>
                        <w:t>and</w:t>
                      </w:r>
                      <w:r>
                        <w:rPr>
                          <w:color w:val="000000"/>
                          <w:spacing w:val="-5"/>
                        </w:rPr>
                        <w:t> </w:t>
                      </w:r>
                      <w:r>
                        <w:rPr>
                          <w:color w:val="000000"/>
                        </w:rPr>
                        <w:t>interpretation</w:t>
                      </w:r>
                      <w:r>
                        <w:rPr>
                          <w:color w:val="000000"/>
                          <w:spacing w:val="-5"/>
                        </w:rPr>
                        <w:t> </w:t>
                      </w:r>
                      <w:r>
                        <w:rPr>
                          <w:color w:val="000000"/>
                        </w:rPr>
                        <w:t>activities the Forest engages in. Specific methods and materials used to accomplish the desired condition are under the discretion of the Forest and are guided by various rules, regulations, and policies.</w:t>
                      </w:r>
                    </w:p>
                  </w:txbxContent>
                </v:textbox>
                <v:fill type="solid"/>
                <w10:wrap type="topAndBottom"/>
              </v:shape>
            </w:pict>
          </mc:Fallback>
        </mc:AlternateContent>
      </w:r>
    </w:p>
    <w:p>
      <w:pPr>
        <w:pStyle w:val="Heading4"/>
        <w:spacing w:before="240"/>
      </w:pPr>
      <w:bookmarkStart w:name="Desired Conditions" w:id="458"/>
      <w:bookmarkEnd w:id="458"/>
      <w:r>
        <w:rPr/>
      </w:r>
      <w:bookmarkStart w:name="_bookmark145" w:id="459"/>
      <w:bookmarkEnd w:id="459"/>
      <w:r>
        <w:rPr/>
      </w:r>
      <w:r>
        <w:rPr/>
        <w:t>Desired</w:t>
      </w:r>
      <w:r>
        <w:rPr>
          <w:spacing w:val="-4"/>
        </w:rPr>
        <w:t> </w:t>
      </w:r>
      <w:r>
        <w:rPr>
          <w:spacing w:val="-2"/>
        </w:rPr>
        <w:t>Conditions</w:t>
      </w:r>
    </w:p>
    <w:p>
      <w:pPr>
        <w:spacing w:before="240"/>
        <w:ind w:left="360" w:right="0" w:firstLine="0"/>
        <w:jc w:val="left"/>
        <w:rPr>
          <w:rFonts w:ascii="Arial"/>
          <w:i/>
          <w:sz w:val="22"/>
        </w:rPr>
      </w:pPr>
      <w:bookmarkStart w:name="FW-DC-PA-01. Information, Education, and" w:id="460"/>
      <w:bookmarkEnd w:id="460"/>
      <w:r>
        <w:rPr/>
      </w:r>
      <w:r>
        <w:rPr>
          <w:rFonts w:ascii="Arial"/>
          <w:i/>
          <w:sz w:val="22"/>
        </w:rPr>
        <w:t>FW-DC-PA-01.</w:t>
      </w:r>
      <w:r>
        <w:rPr>
          <w:rFonts w:ascii="Arial"/>
          <w:i/>
          <w:spacing w:val="-8"/>
          <w:sz w:val="22"/>
        </w:rPr>
        <w:t> </w:t>
      </w:r>
      <w:r>
        <w:rPr>
          <w:rFonts w:ascii="Arial"/>
          <w:i/>
          <w:sz w:val="22"/>
        </w:rPr>
        <w:t>Information,</w:t>
      </w:r>
      <w:r>
        <w:rPr>
          <w:rFonts w:ascii="Arial"/>
          <w:i/>
          <w:spacing w:val="-7"/>
          <w:sz w:val="22"/>
        </w:rPr>
        <w:t> </w:t>
      </w:r>
      <w:r>
        <w:rPr>
          <w:rFonts w:ascii="Arial"/>
          <w:i/>
          <w:sz w:val="22"/>
        </w:rPr>
        <w:t>Education,</w:t>
      </w:r>
      <w:r>
        <w:rPr>
          <w:rFonts w:ascii="Arial"/>
          <w:i/>
          <w:spacing w:val="-6"/>
          <w:sz w:val="22"/>
        </w:rPr>
        <w:t> </w:t>
      </w:r>
      <w:r>
        <w:rPr>
          <w:rFonts w:ascii="Arial"/>
          <w:i/>
          <w:sz w:val="22"/>
        </w:rPr>
        <w:t>and</w:t>
      </w:r>
      <w:r>
        <w:rPr>
          <w:rFonts w:ascii="Arial"/>
          <w:i/>
          <w:spacing w:val="-9"/>
          <w:sz w:val="22"/>
        </w:rPr>
        <w:t> </w:t>
      </w:r>
      <w:r>
        <w:rPr>
          <w:rFonts w:ascii="Arial"/>
          <w:i/>
          <w:spacing w:val="-2"/>
          <w:sz w:val="22"/>
        </w:rPr>
        <w:t>Participation</w:t>
      </w:r>
    </w:p>
    <w:p>
      <w:pPr>
        <w:pStyle w:val="BodyText"/>
        <w:spacing w:line="232" w:lineRule="auto" w:before="64"/>
        <w:ind w:left="359" w:right="1445"/>
      </w:pPr>
      <w:r>
        <w:rPr/>
        <w:t>A broad range of people in rural, urban, and underserved populations understand the complexities of managing natural resources for the full range of benefits associated with the multiple</w:t>
      </w:r>
      <w:r>
        <w:rPr>
          <w:spacing w:val="-3"/>
        </w:rPr>
        <w:t> </w:t>
      </w:r>
      <w:r>
        <w:rPr/>
        <w:t>use</w:t>
      </w:r>
      <w:r>
        <w:rPr>
          <w:spacing w:val="-6"/>
        </w:rPr>
        <w:t> </w:t>
      </w:r>
      <w:r>
        <w:rPr/>
        <w:t>mission</w:t>
      </w:r>
      <w:r>
        <w:rPr>
          <w:spacing w:val="-5"/>
        </w:rPr>
        <w:t> </w:t>
      </w:r>
      <w:r>
        <w:rPr/>
        <w:t>of</w:t>
      </w:r>
      <w:r>
        <w:rPr>
          <w:spacing w:val="-6"/>
        </w:rPr>
        <w:t> </w:t>
      </w:r>
      <w:r>
        <w:rPr/>
        <w:t>the</w:t>
      </w:r>
      <w:r>
        <w:rPr>
          <w:spacing w:val="-6"/>
        </w:rPr>
        <w:t> </w:t>
      </w:r>
      <w:r>
        <w:rPr/>
        <w:t>Forest</w:t>
      </w:r>
      <w:r>
        <w:rPr>
          <w:spacing w:val="-3"/>
        </w:rPr>
        <w:t> </w:t>
      </w:r>
      <w:r>
        <w:rPr/>
        <w:t>Service.</w:t>
      </w:r>
      <w:r>
        <w:rPr>
          <w:spacing w:val="-4"/>
        </w:rPr>
        <w:t> </w:t>
      </w:r>
      <w:r>
        <w:rPr/>
        <w:t>A</w:t>
      </w:r>
      <w:r>
        <w:rPr>
          <w:spacing w:val="-7"/>
        </w:rPr>
        <w:t> </w:t>
      </w:r>
      <w:r>
        <w:rPr/>
        <w:t>multi-faceted</w:t>
      </w:r>
      <w:r>
        <w:rPr>
          <w:spacing w:val="-5"/>
        </w:rPr>
        <w:t> </w:t>
      </w:r>
      <w:r>
        <w:rPr/>
        <w:t>outreach</w:t>
      </w:r>
      <w:r>
        <w:rPr>
          <w:spacing w:val="-7"/>
        </w:rPr>
        <w:t> </w:t>
      </w:r>
      <w:r>
        <w:rPr/>
        <w:t>strategy</w:t>
      </w:r>
      <w:r>
        <w:rPr>
          <w:spacing w:val="-3"/>
        </w:rPr>
        <w:t> </w:t>
      </w:r>
      <w:r>
        <w:rPr/>
        <w:t>aims</w:t>
      </w:r>
      <w:r>
        <w:rPr>
          <w:spacing w:val="-4"/>
        </w:rPr>
        <w:t> </w:t>
      </w:r>
      <w:r>
        <w:rPr/>
        <w:t>to</w:t>
      </w:r>
      <w:r>
        <w:rPr>
          <w:spacing w:val="-5"/>
        </w:rPr>
        <w:t> </w:t>
      </w:r>
      <w:r>
        <w:rPr/>
        <w:t>help</w:t>
      </w:r>
      <w:r>
        <w:rPr>
          <w:spacing w:val="-5"/>
        </w:rPr>
        <w:t> </w:t>
      </w:r>
      <w:r>
        <w:rPr/>
        <w:t>the public understand:</w:t>
      </w:r>
    </w:p>
    <w:p>
      <w:pPr>
        <w:pStyle w:val="ListParagraph"/>
        <w:numPr>
          <w:ilvl w:val="0"/>
          <w:numId w:val="15"/>
        </w:numPr>
        <w:tabs>
          <w:tab w:pos="1077" w:val="left" w:leader="none"/>
        </w:tabs>
        <w:spacing w:line="240" w:lineRule="auto" w:before="193" w:after="0"/>
        <w:ind w:left="1077" w:right="0" w:hanging="358"/>
        <w:jc w:val="left"/>
        <w:rPr>
          <w:sz w:val="22"/>
        </w:rPr>
      </w:pPr>
      <w:r>
        <w:rPr>
          <w:sz w:val="22"/>
        </w:rPr>
        <w:t>the</w:t>
      </w:r>
      <w:r>
        <w:rPr>
          <w:spacing w:val="-5"/>
          <w:sz w:val="22"/>
        </w:rPr>
        <w:t> </w:t>
      </w:r>
      <w:r>
        <w:rPr>
          <w:sz w:val="22"/>
        </w:rPr>
        <w:t>natural</w:t>
      </w:r>
      <w:r>
        <w:rPr>
          <w:spacing w:val="-5"/>
          <w:sz w:val="22"/>
        </w:rPr>
        <w:t> </w:t>
      </w:r>
      <w:r>
        <w:rPr>
          <w:sz w:val="22"/>
        </w:rPr>
        <w:t>and</w:t>
      </w:r>
      <w:r>
        <w:rPr>
          <w:spacing w:val="-7"/>
          <w:sz w:val="22"/>
        </w:rPr>
        <w:t> </w:t>
      </w:r>
      <w:r>
        <w:rPr>
          <w:sz w:val="22"/>
        </w:rPr>
        <w:t>cultural</w:t>
      </w:r>
      <w:r>
        <w:rPr>
          <w:spacing w:val="-5"/>
          <w:sz w:val="22"/>
        </w:rPr>
        <w:t> </w:t>
      </w:r>
      <w:r>
        <w:rPr>
          <w:sz w:val="22"/>
        </w:rPr>
        <w:t>history</w:t>
      </w:r>
      <w:r>
        <w:rPr>
          <w:spacing w:val="-6"/>
          <w:sz w:val="22"/>
        </w:rPr>
        <w:t> </w:t>
      </w:r>
      <w:r>
        <w:rPr>
          <w:sz w:val="22"/>
        </w:rPr>
        <w:t>of</w:t>
      </w:r>
      <w:r>
        <w:rPr>
          <w:spacing w:val="-6"/>
          <w:sz w:val="22"/>
        </w:rPr>
        <w:t> </w:t>
      </w:r>
      <w:r>
        <w:rPr>
          <w:sz w:val="22"/>
        </w:rPr>
        <w:t>the</w:t>
      </w:r>
      <w:r>
        <w:rPr>
          <w:spacing w:val="-4"/>
          <w:sz w:val="22"/>
        </w:rPr>
        <w:t> </w:t>
      </w:r>
      <w:r>
        <w:rPr>
          <w:sz w:val="22"/>
        </w:rPr>
        <w:t>national</w:t>
      </w:r>
      <w:r>
        <w:rPr>
          <w:spacing w:val="-5"/>
          <w:sz w:val="22"/>
        </w:rPr>
        <w:t> </w:t>
      </w:r>
      <w:r>
        <w:rPr>
          <w:spacing w:val="-2"/>
          <w:sz w:val="22"/>
        </w:rPr>
        <w:t>forest.</w:t>
      </w:r>
    </w:p>
    <w:p>
      <w:pPr>
        <w:pStyle w:val="ListParagraph"/>
        <w:numPr>
          <w:ilvl w:val="0"/>
          <w:numId w:val="15"/>
        </w:numPr>
        <w:tabs>
          <w:tab w:pos="1077" w:val="left" w:leader="none"/>
          <w:tab w:pos="1079" w:val="left" w:leader="none"/>
        </w:tabs>
        <w:spacing w:line="232" w:lineRule="auto" w:before="117" w:after="0"/>
        <w:ind w:left="1079" w:right="1965" w:hanging="360"/>
        <w:jc w:val="left"/>
        <w:rPr>
          <w:sz w:val="22"/>
        </w:rPr>
      </w:pPr>
      <w:r>
        <w:rPr>
          <w:sz w:val="22"/>
        </w:rPr>
        <w:t>important</w:t>
      </w:r>
      <w:r>
        <w:rPr>
          <w:spacing w:val="-5"/>
          <w:sz w:val="22"/>
        </w:rPr>
        <w:t> </w:t>
      </w:r>
      <w:r>
        <w:rPr>
          <w:sz w:val="22"/>
        </w:rPr>
        <w:t>themes</w:t>
      </w:r>
      <w:r>
        <w:rPr>
          <w:spacing w:val="-8"/>
          <w:sz w:val="22"/>
        </w:rPr>
        <w:t> </w:t>
      </w:r>
      <w:r>
        <w:rPr>
          <w:sz w:val="22"/>
        </w:rPr>
        <w:t>of</w:t>
      </w:r>
      <w:r>
        <w:rPr>
          <w:spacing w:val="-6"/>
          <w:sz w:val="22"/>
        </w:rPr>
        <w:t> </w:t>
      </w:r>
      <w:r>
        <w:rPr>
          <w:sz w:val="22"/>
        </w:rPr>
        <w:t>ecological</w:t>
      </w:r>
      <w:r>
        <w:rPr>
          <w:spacing w:val="-6"/>
          <w:sz w:val="22"/>
        </w:rPr>
        <w:t> </w:t>
      </w:r>
      <w:r>
        <w:rPr>
          <w:sz w:val="22"/>
        </w:rPr>
        <w:t>processes,</w:t>
      </w:r>
      <w:r>
        <w:rPr>
          <w:spacing w:val="-6"/>
          <w:sz w:val="22"/>
        </w:rPr>
        <w:t> </w:t>
      </w:r>
      <w:r>
        <w:rPr>
          <w:sz w:val="22"/>
        </w:rPr>
        <w:t>including</w:t>
      </w:r>
      <w:r>
        <w:rPr>
          <w:spacing w:val="-7"/>
          <w:sz w:val="22"/>
        </w:rPr>
        <w:t> </w:t>
      </w:r>
      <w:r>
        <w:rPr>
          <w:sz w:val="22"/>
        </w:rPr>
        <w:t>fish,</w:t>
      </w:r>
      <w:r>
        <w:rPr>
          <w:spacing w:val="-6"/>
          <w:sz w:val="22"/>
        </w:rPr>
        <w:t> </w:t>
      </w:r>
      <w:r>
        <w:rPr>
          <w:sz w:val="22"/>
        </w:rPr>
        <w:t>plant,</w:t>
      </w:r>
      <w:r>
        <w:rPr>
          <w:spacing w:val="-6"/>
          <w:sz w:val="22"/>
        </w:rPr>
        <w:t> </w:t>
      </w:r>
      <w:r>
        <w:rPr>
          <w:sz w:val="22"/>
        </w:rPr>
        <w:t>and</w:t>
      </w:r>
      <w:r>
        <w:rPr>
          <w:spacing w:val="-7"/>
          <w:sz w:val="22"/>
        </w:rPr>
        <w:t> </w:t>
      </w:r>
      <w:r>
        <w:rPr>
          <w:sz w:val="22"/>
        </w:rPr>
        <w:t>wildlife</w:t>
      </w:r>
      <w:r>
        <w:rPr>
          <w:spacing w:val="-5"/>
          <w:sz w:val="22"/>
        </w:rPr>
        <w:t> </w:t>
      </w:r>
      <w:r>
        <w:rPr>
          <w:sz w:val="22"/>
        </w:rPr>
        <w:t>species habitat needs and the importance of disturbance processes.</w:t>
      </w:r>
    </w:p>
    <w:p>
      <w:pPr>
        <w:pStyle w:val="ListParagraph"/>
        <w:spacing w:after="0" w:line="232" w:lineRule="auto"/>
        <w:jc w:val="left"/>
        <w:rPr>
          <w:sz w:val="22"/>
        </w:rPr>
        <w:sectPr>
          <w:pgSz w:w="12240" w:h="15840"/>
          <w:pgMar w:header="725" w:footer="891" w:top="960" w:bottom="1080" w:left="1080" w:right="720"/>
        </w:sectPr>
      </w:pPr>
    </w:p>
    <w:p>
      <w:pPr>
        <w:pStyle w:val="BodyText"/>
        <w:spacing w:before="212"/>
      </w:pPr>
    </w:p>
    <w:p>
      <w:pPr>
        <w:pStyle w:val="ListParagraph"/>
        <w:numPr>
          <w:ilvl w:val="0"/>
          <w:numId w:val="15"/>
        </w:numPr>
        <w:tabs>
          <w:tab w:pos="1871" w:val="left" w:leader="none"/>
        </w:tabs>
        <w:spacing w:line="232" w:lineRule="auto" w:before="0" w:after="0"/>
        <w:ind w:left="1871" w:right="1706" w:hanging="360"/>
        <w:jc w:val="left"/>
        <w:rPr>
          <w:sz w:val="22"/>
        </w:rPr>
      </w:pPr>
      <w:r>
        <w:rPr>
          <w:sz w:val="22"/>
        </w:rPr>
        <w:t>the</w:t>
      </w:r>
      <w:r>
        <w:rPr>
          <w:spacing w:val="-5"/>
          <w:sz w:val="22"/>
        </w:rPr>
        <w:t> </w:t>
      </w:r>
      <w:r>
        <w:rPr>
          <w:sz w:val="22"/>
        </w:rPr>
        <w:t>human</w:t>
      </w:r>
      <w:r>
        <w:rPr>
          <w:spacing w:val="-7"/>
          <w:sz w:val="22"/>
        </w:rPr>
        <w:t> </w:t>
      </w:r>
      <w:r>
        <w:rPr>
          <w:sz w:val="22"/>
        </w:rPr>
        <w:t>benefits</w:t>
      </w:r>
      <w:r>
        <w:rPr>
          <w:spacing w:val="-8"/>
          <w:sz w:val="22"/>
        </w:rPr>
        <w:t> </w:t>
      </w:r>
      <w:r>
        <w:rPr>
          <w:sz w:val="22"/>
        </w:rPr>
        <w:t>of</w:t>
      </w:r>
      <w:r>
        <w:rPr>
          <w:spacing w:val="-8"/>
          <w:sz w:val="22"/>
        </w:rPr>
        <w:t> </w:t>
      </w:r>
      <w:r>
        <w:rPr>
          <w:sz w:val="22"/>
        </w:rPr>
        <w:t>the</w:t>
      </w:r>
      <w:r>
        <w:rPr>
          <w:spacing w:val="-8"/>
          <w:sz w:val="22"/>
        </w:rPr>
        <w:t> </w:t>
      </w:r>
      <w:r>
        <w:rPr>
          <w:sz w:val="22"/>
        </w:rPr>
        <w:t>National</w:t>
      </w:r>
      <w:r>
        <w:rPr>
          <w:spacing w:val="-6"/>
          <w:sz w:val="22"/>
        </w:rPr>
        <w:t> </w:t>
      </w:r>
      <w:r>
        <w:rPr>
          <w:sz w:val="22"/>
        </w:rPr>
        <w:t>Forest</w:t>
      </w:r>
      <w:r>
        <w:rPr>
          <w:spacing w:val="-5"/>
          <w:sz w:val="22"/>
        </w:rPr>
        <w:t> </w:t>
      </w:r>
      <w:r>
        <w:rPr>
          <w:sz w:val="22"/>
        </w:rPr>
        <w:t>System,</w:t>
      </w:r>
      <w:r>
        <w:rPr>
          <w:spacing w:val="-6"/>
          <w:sz w:val="22"/>
        </w:rPr>
        <w:t> </w:t>
      </w:r>
      <w:r>
        <w:rPr>
          <w:sz w:val="22"/>
        </w:rPr>
        <w:t>including</w:t>
      </w:r>
      <w:r>
        <w:rPr>
          <w:spacing w:val="-7"/>
          <w:sz w:val="22"/>
        </w:rPr>
        <w:t> </w:t>
      </w:r>
      <w:r>
        <w:rPr>
          <w:sz w:val="22"/>
        </w:rPr>
        <w:t>recreational</w:t>
      </w:r>
      <w:r>
        <w:rPr>
          <w:spacing w:val="-6"/>
          <w:sz w:val="22"/>
        </w:rPr>
        <w:t> </w:t>
      </w:r>
      <w:r>
        <w:rPr>
          <w:sz w:val="22"/>
        </w:rPr>
        <w:t>and commodity values.</w:t>
      </w:r>
    </w:p>
    <w:p>
      <w:pPr>
        <w:pStyle w:val="ListParagraph"/>
        <w:numPr>
          <w:ilvl w:val="0"/>
          <w:numId w:val="15"/>
        </w:numPr>
        <w:tabs>
          <w:tab w:pos="1869" w:val="left" w:leader="none"/>
        </w:tabs>
        <w:spacing w:line="240" w:lineRule="auto" w:before="113" w:after="0"/>
        <w:ind w:left="1869" w:right="0" w:hanging="358"/>
        <w:jc w:val="left"/>
        <w:rPr>
          <w:sz w:val="22"/>
        </w:rPr>
      </w:pPr>
      <w:r>
        <w:rPr>
          <w:sz w:val="22"/>
        </w:rPr>
        <w:t>forest</w:t>
      </w:r>
      <w:r>
        <w:rPr>
          <w:spacing w:val="-10"/>
          <w:sz w:val="22"/>
        </w:rPr>
        <w:t> </w:t>
      </w:r>
      <w:r>
        <w:rPr>
          <w:sz w:val="22"/>
        </w:rPr>
        <w:t>regulations</w:t>
      </w:r>
      <w:r>
        <w:rPr>
          <w:spacing w:val="-10"/>
          <w:sz w:val="22"/>
        </w:rPr>
        <w:t> </w:t>
      </w:r>
      <w:r>
        <w:rPr>
          <w:sz w:val="22"/>
        </w:rPr>
        <w:t>and</w:t>
      </w:r>
      <w:r>
        <w:rPr>
          <w:spacing w:val="-12"/>
          <w:sz w:val="22"/>
        </w:rPr>
        <w:t> </w:t>
      </w:r>
      <w:r>
        <w:rPr>
          <w:sz w:val="22"/>
        </w:rPr>
        <w:t>resource</w:t>
      </w:r>
      <w:r>
        <w:rPr>
          <w:spacing w:val="-10"/>
          <w:sz w:val="22"/>
        </w:rPr>
        <w:t> </w:t>
      </w:r>
      <w:r>
        <w:rPr>
          <w:sz w:val="22"/>
        </w:rPr>
        <w:t>protection</w:t>
      </w:r>
      <w:r>
        <w:rPr>
          <w:spacing w:val="-10"/>
          <w:sz w:val="22"/>
        </w:rPr>
        <w:t> </w:t>
      </w:r>
      <w:r>
        <w:rPr>
          <w:spacing w:val="-2"/>
          <w:sz w:val="22"/>
        </w:rPr>
        <w:t>practices.</w:t>
      </w:r>
    </w:p>
    <w:p>
      <w:pPr>
        <w:pStyle w:val="ListParagraph"/>
        <w:numPr>
          <w:ilvl w:val="0"/>
          <w:numId w:val="15"/>
        </w:numPr>
        <w:tabs>
          <w:tab w:pos="1869" w:val="left" w:leader="none"/>
        </w:tabs>
        <w:spacing w:line="240" w:lineRule="auto" w:before="111" w:after="0"/>
        <w:ind w:left="1869" w:right="0" w:hanging="358"/>
        <w:jc w:val="left"/>
        <w:rPr>
          <w:sz w:val="22"/>
        </w:rPr>
      </w:pPr>
      <w:r>
        <w:rPr>
          <w:sz w:val="22"/>
        </w:rPr>
        <w:t>safety</w:t>
      </w:r>
      <w:r>
        <w:rPr>
          <w:spacing w:val="-9"/>
          <w:sz w:val="22"/>
        </w:rPr>
        <w:t> </w:t>
      </w:r>
      <w:r>
        <w:rPr>
          <w:spacing w:val="-2"/>
          <w:sz w:val="22"/>
        </w:rPr>
        <w:t>practices.</w:t>
      </w:r>
    </w:p>
    <w:p>
      <w:pPr>
        <w:pStyle w:val="ListParagraph"/>
        <w:numPr>
          <w:ilvl w:val="0"/>
          <w:numId w:val="15"/>
        </w:numPr>
        <w:tabs>
          <w:tab w:pos="1871" w:val="left" w:leader="none"/>
        </w:tabs>
        <w:spacing w:line="232" w:lineRule="auto" w:before="117" w:after="0"/>
        <w:ind w:left="1871" w:right="895" w:hanging="361"/>
        <w:jc w:val="left"/>
        <w:rPr>
          <w:sz w:val="22"/>
        </w:rPr>
      </w:pPr>
      <w:r>
        <w:rPr>
          <w:sz w:val="22"/>
        </w:rPr>
        <w:t>potential</w:t>
      </w:r>
      <w:r>
        <w:rPr>
          <w:spacing w:val="-6"/>
          <w:sz w:val="22"/>
        </w:rPr>
        <w:t> </w:t>
      </w:r>
      <w:r>
        <w:rPr>
          <w:sz w:val="22"/>
        </w:rPr>
        <w:t>impacts</w:t>
      </w:r>
      <w:r>
        <w:rPr>
          <w:spacing w:val="-7"/>
          <w:sz w:val="22"/>
        </w:rPr>
        <w:t> </w:t>
      </w:r>
      <w:r>
        <w:rPr>
          <w:sz w:val="22"/>
        </w:rPr>
        <w:t>of</w:t>
      </w:r>
      <w:r>
        <w:rPr>
          <w:spacing w:val="-6"/>
          <w:sz w:val="22"/>
        </w:rPr>
        <w:t> </w:t>
      </w:r>
      <w:r>
        <w:rPr>
          <w:sz w:val="22"/>
        </w:rPr>
        <w:t>human</w:t>
      </w:r>
      <w:r>
        <w:rPr>
          <w:spacing w:val="-7"/>
          <w:sz w:val="22"/>
        </w:rPr>
        <w:t> </w:t>
      </w:r>
      <w:r>
        <w:rPr>
          <w:sz w:val="22"/>
        </w:rPr>
        <w:t>activity</w:t>
      </w:r>
      <w:r>
        <w:rPr>
          <w:spacing w:val="-7"/>
          <w:sz w:val="22"/>
        </w:rPr>
        <w:t> </w:t>
      </w:r>
      <w:r>
        <w:rPr>
          <w:sz w:val="22"/>
        </w:rPr>
        <w:t>on</w:t>
      </w:r>
      <w:r>
        <w:rPr>
          <w:spacing w:val="-7"/>
          <w:sz w:val="22"/>
        </w:rPr>
        <w:t> </w:t>
      </w:r>
      <w:r>
        <w:rPr>
          <w:sz w:val="22"/>
        </w:rPr>
        <w:t>resources,</w:t>
      </w:r>
      <w:r>
        <w:rPr>
          <w:spacing w:val="-6"/>
          <w:sz w:val="22"/>
        </w:rPr>
        <w:t> </w:t>
      </w:r>
      <w:r>
        <w:rPr>
          <w:sz w:val="22"/>
        </w:rPr>
        <w:t>and</w:t>
      </w:r>
      <w:r>
        <w:rPr>
          <w:spacing w:val="-8"/>
          <w:sz w:val="22"/>
        </w:rPr>
        <w:t> </w:t>
      </w:r>
      <w:r>
        <w:rPr>
          <w:sz w:val="22"/>
        </w:rPr>
        <w:t>how</w:t>
      </w:r>
      <w:r>
        <w:rPr>
          <w:spacing w:val="-5"/>
          <w:sz w:val="22"/>
        </w:rPr>
        <w:t> </w:t>
      </w:r>
      <w:r>
        <w:rPr>
          <w:sz w:val="22"/>
        </w:rPr>
        <w:t>to</w:t>
      </w:r>
      <w:r>
        <w:rPr>
          <w:spacing w:val="-5"/>
          <w:sz w:val="22"/>
        </w:rPr>
        <w:t> </w:t>
      </w:r>
      <w:r>
        <w:rPr>
          <w:sz w:val="22"/>
        </w:rPr>
        <w:t>participate</w:t>
      </w:r>
      <w:r>
        <w:rPr>
          <w:spacing w:val="-5"/>
          <w:sz w:val="22"/>
        </w:rPr>
        <w:t> </w:t>
      </w:r>
      <w:r>
        <w:rPr>
          <w:sz w:val="22"/>
        </w:rPr>
        <w:t>effectively</w:t>
      </w:r>
      <w:r>
        <w:rPr>
          <w:spacing w:val="-5"/>
          <w:sz w:val="22"/>
        </w:rPr>
        <w:t> </w:t>
      </w:r>
      <w:r>
        <w:rPr>
          <w:sz w:val="22"/>
        </w:rPr>
        <w:t>in national forest decision-making activities.</w:t>
      </w:r>
    </w:p>
    <w:p>
      <w:pPr>
        <w:pStyle w:val="BodyText"/>
        <w:spacing w:line="232" w:lineRule="auto" w:before="120"/>
        <w:ind w:left="1151" w:right="801"/>
      </w:pPr>
      <w:r>
        <w:rPr/>
        <w:t>Youth are introduced to the natural world and resource management careers. Outstanding features of the Forest, such as recreation areas, national trails, and scenic byways are interpreted</w:t>
      </w:r>
      <w:r>
        <w:rPr>
          <w:spacing w:val="-7"/>
        </w:rPr>
        <w:t> </w:t>
      </w:r>
      <w:r>
        <w:rPr/>
        <w:t>for</w:t>
      </w:r>
      <w:r>
        <w:rPr>
          <w:spacing w:val="-6"/>
        </w:rPr>
        <w:t> </w:t>
      </w:r>
      <w:r>
        <w:rPr/>
        <w:t>the</w:t>
      </w:r>
      <w:r>
        <w:rPr>
          <w:spacing w:val="-5"/>
        </w:rPr>
        <w:t> </w:t>
      </w:r>
      <w:r>
        <w:rPr/>
        <w:t>public</w:t>
      </w:r>
      <w:r>
        <w:rPr>
          <w:spacing w:val="-8"/>
        </w:rPr>
        <w:t> </w:t>
      </w:r>
      <w:r>
        <w:rPr/>
        <w:t>where</w:t>
      </w:r>
      <w:r>
        <w:rPr>
          <w:spacing w:val="-8"/>
        </w:rPr>
        <w:t> </w:t>
      </w:r>
      <w:r>
        <w:rPr/>
        <w:t>appropriate.</w:t>
      </w:r>
      <w:r>
        <w:rPr>
          <w:spacing w:val="-6"/>
        </w:rPr>
        <w:t> </w:t>
      </w:r>
      <w:r>
        <w:rPr/>
        <w:t>Opportunities</w:t>
      </w:r>
      <w:r>
        <w:rPr>
          <w:spacing w:val="-6"/>
        </w:rPr>
        <w:t> </w:t>
      </w:r>
      <w:r>
        <w:rPr/>
        <w:t>for</w:t>
      </w:r>
      <w:r>
        <w:rPr>
          <w:spacing w:val="-8"/>
        </w:rPr>
        <w:t> </w:t>
      </w:r>
      <w:r>
        <w:rPr/>
        <w:t>viewing</w:t>
      </w:r>
      <w:r>
        <w:rPr>
          <w:spacing w:val="-9"/>
        </w:rPr>
        <w:t> </w:t>
      </w:r>
      <w:r>
        <w:rPr/>
        <w:t>wildlife</w:t>
      </w:r>
      <w:r>
        <w:rPr>
          <w:spacing w:val="-10"/>
        </w:rPr>
        <w:t> </w:t>
      </w:r>
      <w:r>
        <w:rPr/>
        <w:t>and</w:t>
      </w:r>
      <w:r>
        <w:rPr>
          <w:spacing w:val="-7"/>
        </w:rPr>
        <w:t> </w:t>
      </w:r>
      <w:r>
        <w:rPr/>
        <w:t>plants</w:t>
      </w:r>
      <w:r>
        <w:rPr>
          <w:spacing w:val="-6"/>
        </w:rPr>
        <w:t> </w:t>
      </w:r>
      <w:r>
        <w:rPr/>
        <w:t>are present and the public is aware of the opportunities.</w:t>
      </w:r>
    </w:p>
    <w:p>
      <w:pPr>
        <w:spacing w:before="234"/>
        <w:ind w:left="1151" w:right="0" w:firstLine="0"/>
        <w:jc w:val="left"/>
        <w:rPr>
          <w:rFonts w:ascii="Arial"/>
          <w:i/>
          <w:sz w:val="22"/>
        </w:rPr>
      </w:pPr>
      <w:bookmarkStart w:name="FW-DC-PA-02. Cooperation and Community I" w:id="461"/>
      <w:bookmarkEnd w:id="461"/>
      <w:r>
        <w:rPr/>
      </w:r>
      <w:r>
        <w:rPr>
          <w:rFonts w:ascii="Arial"/>
          <w:i/>
          <w:sz w:val="22"/>
        </w:rPr>
        <w:t>FW-DC-PA-02.</w:t>
      </w:r>
      <w:r>
        <w:rPr>
          <w:rFonts w:ascii="Arial"/>
          <w:i/>
          <w:spacing w:val="-7"/>
          <w:sz w:val="22"/>
        </w:rPr>
        <w:t> </w:t>
      </w:r>
      <w:r>
        <w:rPr>
          <w:rFonts w:ascii="Arial"/>
          <w:i/>
          <w:sz w:val="22"/>
        </w:rPr>
        <w:t>Cooperation</w:t>
      </w:r>
      <w:r>
        <w:rPr>
          <w:rFonts w:ascii="Arial"/>
          <w:i/>
          <w:spacing w:val="-9"/>
          <w:sz w:val="22"/>
        </w:rPr>
        <w:t> </w:t>
      </w:r>
      <w:r>
        <w:rPr>
          <w:rFonts w:ascii="Arial"/>
          <w:i/>
          <w:sz w:val="22"/>
        </w:rPr>
        <w:t>and</w:t>
      </w:r>
      <w:r>
        <w:rPr>
          <w:rFonts w:ascii="Arial"/>
          <w:i/>
          <w:spacing w:val="-8"/>
          <w:sz w:val="22"/>
        </w:rPr>
        <w:t> </w:t>
      </w:r>
      <w:r>
        <w:rPr>
          <w:rFonts w:ascii="Arial"/>
          <w:i/>
          <w:sz w:val="22"/>
        </w:rPr>
        <w:t>Community</w:t>
      </w:r>
      <w:r>
        <w:rPr>
          <w:rFonts w:ascii="Arial"/>
          <w:i/>
          <w:spacing w:val="-10"/>
          <w:sz w:val="22"/>
        </w:rPr>
        <w:t> </w:t>
      </w:r>
      <w:r>
        <w:rPr>
          <w:rFonts w:ascii="Arial"/>
          <w:i/>
          <w:spacing w:val="-2"/>
          <w:sz w:val="22"/>
        </w:rPr>
        <w:t>Involvement</w:t>
      </w:r>
    </w:p>
    <w:p>
      <w:pPr>
        <w:pStyle w:val="BodyText"/>
        <w:spacing w:line="232" w:lineRule="auto" w:before="64"/>
        <w:ind w:left="1151" w:right="829"/>
        <w:jc w:val="both"/>
      </w:pPr>
      <w:r>
        <w:rPr/>
        <w:t>Cooperative</w:t>
      </w:r>
      <w:r>
        <w:rPr>
          <w:spacing w:val="-7"/>
        </w:rPr>
        <w:t> </w:t>
      </w:r>
      <w:r>
        <w:rPr/>
        <w:t>programs,</w:t>
      </w:r>
      <w:r>
        <w:rPr>
          <w:spacing w:val="-8"/>
        </w:rPr>
        <w:t> </w:t>
      </w:r>
      <w:r>
        <w:rPr/>
        <w:t>such</w:t>
      </w:r>
      <w:r>
        <w:rPr>
          <w:spacing w:val="-9"/>
        </w:rPr>
        <w:t> </w:t>
      </w:r>
      <w:r>
        <w:rPr/>
        <w:t>as</w:t>
      </w:r>
      <w:r>
        <w:rPr>
          <w:spacing w:val="-8"/>
        </w:rPr>
        <w:t> </w:t>
      </w:r>
      <w:r>
        <w:rPr/>
        <w:t>agreements,</w:t>
      </w:r>
      <w:r>
        <w:rPr>
          <w:spacing w:val="-8"/>
        </w:rPr>
        <w:t> </w:t>
      </w:r>
      <w:r>
        <w:rPr/>
        <w:t>activities,</w:t>
      </w:r>
      <w:r>
        <w:rPr>
          <w:spacing w:val="-10"/>
        </w:rPr>
        <w:t> </w:t>
      </w:r>
      <w:r>
        <w:rPr/>
        <w:t>grants,</w:t>
      </w:r>
      <w:r>
        <w:rPr>
          <w:spacing w:val="-8"/>
        </w:rPr>
        <w:t> </w:t>
      </w:r>
      <w:r>
        <w:rPr/>
        <w:t>volunteers,</w:t>
      </w:r>
      <w:r>
        <w:rPr>
          <w:spacing w:val="-10"/>
        </w:rPr>
        <w:t> </w:t>
      </w:r>
      <w:r>
        <w:rPr/>
        <w:t>and</w:t>
      </w:r>
      <w:r>
        <w:rPr>
          <w:spacing w:val="-9"/>
        </w:rPr>
        <w:t> </w:t>
      </w:r>
      <w:r>
        <w:rPr/>
        <w:t>partnerships,</w:t>
      </w:r>
      <w:r>
        <w:rPr>
          <w:spacing w:val="-8"/>
        </w:rPr>
        <w:t> </w:t>
      </w:r>
      <w:r>
        <w:rPr/>
        <w:t>are occurring</w:t>
      </w:r>
      <w:r>
        <w:rPr>
          <w:spacing w:val="-4"/>
        </w:rPr>
        <w:t> </w:t>
      </w:r>
      <w:r>
        <w:rPr/>
        <w:t>with</w:t>
      </w:r>
      <w:r>
        <w:rPr>
          <w:spacing w:val="-4"/>
        </w:rPr>
        <w:t> </w:t>
      </w:r>
      <w:r>
        <w:rPr/>
        <w:t>Federal,</w:t>
      </w:r>
      <w:r>
        <w:rPr>
          <w:spacing w:val="-3"/>
        </w:rPr>
        <w:t> </w:t>
      </w:r>
      <w:r>
        <w:rPr/>
        <w:t>State,</w:t>
      </w:r>
      <w:r>
        <w:rPr>
          <w:spacing w:val="-3"/>
        </w:rPr>
        <w:t> </w:t>
      </w:r>
      <w:r>
        <w:rPr/>
        <w:t>and</w:t>
      </w:r>
      <w:r>
        <w:rPr>
          <w:spacing w:val="-4"/>
        </w:rPr>
        <w:t> </w:t>
      </w:r>
      <w:r>
        <w:rPr/>
        <w:t>county</w:t>
      </w:r>
      <w:r>
        <w:rPr>
          <w:spacing w:val="-2"/>
        </w:rPr>
        <w:t> </w:t>
      </w:r>
      <w:r>
        <w:rPr/>
        <w:t>agencies;</w:t>
      </w:r>
      <w:r>
        <w:rPr>
          <w:spacing w:val="-4"/>
        </w:rPr>
        <w:t> </w:t>
      </w:r>
      <w:r>
        <w:rPr/>
        <w:t>other</w:t>
      </w:r>
      <w:r>
        <w:rPr>
          <w:spacing w:val="-3"/>
        </w:rPr>
        <w:t> </w:t>
      </w:r>
      <w:r>
        <w:rPr/>
        <w:t>nongovernmental</w:t>
      </w:r>
      <w:r>
        <w:rPr>
          <w:spacing w:val="-5"/>
        </w:rPr>
        <w:t> </w:t>
      </w:r>
      <w:r>
        <w:rPr/>
        <w:t>organizations;</w:t>
      </w:r>
      <w:r>
        <w:rPr>
          <w:spacing w:val="-2"/>
        </w:rPr>
        <w:t> </w:t>
      </w:r>
      <w:r>
        <w:rPr/>
        <w:t>and individuals to help achieve Forest goals and improve overall resource management.</w:t>
      </w:r>
    </w:p>
    <w:p>
      <w:pPr>
        <w:pStyle w:val="BodyText"/>
        <w:spacing w:line="232" w:lineRule="auto"/>
        <w:ind w:left="1151" w:right="1513"/>
        <w:jc w:val="both"/>
      </w:pPr>
      <w:r>
        <w:rPr/>
        <w:t>Information,</w:t>
      </w:r>
      <w:r>
        <w:rPr>
          <w:spacing w:val="-13"/>
        </w:rPr>
        <w:t> </w:t>
      </w:r>
      <w:r>
        <w:rPr/>
        <w:t>interpretation,</w:t>
      </w:r>
      <w:r>
        <w:rPr>
          <w:spacing w:val="-11"/>
        </w:rPr>
        <w:t> </w:t>
      </w:r>
      <w:r>
        <w:rPr/>
        <w:t>and</w:t>
      </w:r>
      <w:r>
        <w:rPr>
          <w:spacing w:val="-13"/>
        </w:rPr>
        <w:t> </w:t>
      </w:r>
      <w:r>
        <w:rPr/>
        <w:t>education</w:t>
      </w:r>
      <w:r>
        <w:rPr>
          <w:spacing w:val="-12"/>
        </w:rPr>
        <w:t> </w:t>
      </w:r>
      <w:r>
        <w:rPr/>
        <w:t>programs</w:t>
      </w:r>
      <w:r>
        <w:rPr>
          <w:spacing w:val="-13"/>
        </w:rPr>
        <w:t> </w:t>
      </w:r>
      <w:r>
        <w:rPr/>
        <w:t>that</w:t>
      </w:r>
      <w:r>
        <w:rPr>
          <w:spacing w:val="-11"/>
        </w:rPr>
        <w:t> </w:t>
      </w:r>
      <w:r>
        <w:rPr/>
        <w:t>communicate</w:t>
      </w:r>
      <w:r>
        <w:rPr>
          <w:spacing w:val="-11"/>
        </w:rPr>
        <w:t> </w:t>
      </w:r>
      <w:r>
        <w:rPr/>
        <w:t>forest</w:t>
      </w:r>
      <w:r>
        <w:rPr>
          <w:spacing w:val="-11"/>
        </w:rPr>
        <w:t> </w:t>
      </w:r>
      <w:r>
        <w:rPr/>
        <w:t>resource conditions and opportunities are provided.</w:t>
      </w:r>
    </w:p>
    <w:p>
      <w:pPr>
        <w:pStyle w:val="BodyText"/>
        <w:spacing w:before="86"/>
      </w:pPr>
    </w:p>
    <w:p>
      <w:pPr>
        <w:pStyle w:val="Heading3"/>
        <w:jc w:val="both"/>
      </w:pPr>
      <w:bookmarkStart w:name="Recreation (REC)" w:id="462"/>
      <w:bookmarkEnd w:id="462"/>
      <w:r>
        <w:rPr>
          <w:b w:val="0"/>
        </w:rPr>
      </w:r>
      <w:bookmarkStart w:name="_bookmark146" w:id="463"/>
      <w:bookmarkEnd w:id="463"/>
      <w:r>
        <w:rPr>
          <w:b w:val="0"/>
        </w:rPr>
      </w:r>
      <w:r>
        <w:rPr>
          <w:smallCaps/>
          <w:color w:val="475824"/>
        </w:rPr>
        <w:t>Recreation</w:t>
      </w:r>
      <w:r>
        <w:rPr>
          <w:smallCaps/>
          <w:color w:val="475824"/>
          <w:spacing w:val="-10"/>
        </w:rPr>
        <w:t> </w:t>
      </w:r>
      <w:r>
        <w:rPr>
          <w:smallCaps/>
          <w:color w:val="475824"/>
          <w:spacing w:val="-4"/>
        </w:rPr>
        <w:t>(REC)</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7536">
                <wp:simplePos x="0" y="0"/>
                <wp:positionH relativeFrom="page">
                  <wp:posOffset>1627632</wp:posOffset>
                </wp:positionH>
                <wp:positionV relativeFrom="paragraph">
                  <wp:posOffset>74964</wp:posOffset>
                </wp:positionV>
                <wp:extent cx="5248910" cy="852169"/>
                <wp:effectExtent l="0" t="0" r="0" b="0"/>
                <wp:wrapTopAndBottom/>
                <wp:docPr id="186" name="Textbox 186"/>
                <wp:cNvGraphicFramePr>
                  <a:graphicFrameLocks/>
                </wp:cNvGraphicFramePr>
                <a:graphic>
                  <a:graphicData uri="http://schemas.microsoft.com/office/word/2010/wordprocessingShape">
                    <wps:wsp>
                      <wps:cNvPr id="186" name="Textbox 186"/>
                      <wps:cNvSpPr txBox="1"/>
                      <wps:spPr>
                        <a:xfrm>
                          <a:off x="0" y="0"/>
                          <a:ext cx="5248910" cy="852169"/>
                        </a:xfrm>
                        <a:prstGeom prst="rect">
                          <a:avLst/>
                        </a:prstGeom>
                        <a:solidFill>
                          <a:srgbClr val="DFDFDF"/>
                        </a:solidFill>
                      </wps:spPr>
                      <wps:txbx>
                        <w:txbxContent>
                          <w:p>
                            <w:pPr>
                              <w:pStyle w:val="BodyText"/>
                              <w:ind w:left="28" w:right="120"/>
                              <w:rPr>
                                <w:color w:val="000000"/>
                              </w:rPr>
                            </w:pPr>
                            <w:r>
                              <w:rPr>
                                <w:color w:val="000000"/>
                              </w:rPr>
                              <w:t>This guidance applies to recreational settings and natural resource-based recreational activities</w:t>
                            </w:r>
                            <w:r>
                              <w:rPr>
                                <w:color w:val="000000"/>
                                <w:spacing w:val="-4"/>
                              </w:rPr>
                              <w:t> </w:t>
                            </w:r>
                            <w:r>
                              <w:rPr>
                                <w:color w:val="000000"/>
                              </w:rPr>
                              <w:t>offered</w:t>
                            </w:r>
                            <w:r>
                              <w:rPr>
                                <w:color w:val="000000"/>
                                <w:spacing w:val="-3"/>
                              </w:rPr>
                              <w:t> </w:t>
                            </w:r>
                            <w:r>
                              <w:rPr>
                                <w:color w:val="000000"/>
                              </w:rPr>
                              <w:t>on</w:t>
                            </w:r>
                            <w:r>
                              <w:rPr>
                                <w:color w:val="000000"/>
                                <w:spacing w:val="-5"/>
                              </w:rPr>
                              <w:t> </w:t>
                            </w:r>
                            <w:r>
                              <w:rPr>
                                <w:color w:val="000000"/>
                              </w:rPr>
                              <w:t>the</w:t>
                            </w:r>
                            <w:r>
                              <w:rPr>
                                <w:color w:val="000000"/>
                                <w:spacing w:val="-2"/>
                              </w:rPr>
                              <w:t> </w:t>
                            </w:r>
                            <w:r>
                              <w:rPr>
                                <w:color w:val="000000"/>
                              </w:rPr>
                              <w:t>Forest,</w:t>
                            </w:r>
                            <w:r>
                              <w:rPr>
                                <w:color w:val="000000"/>
                                <w:spacing w:val="-2"/>
                              </w:rPr>
                              <w:t> </w:t>
                            </w:r>
                            <w:r>
                              <w:rPr>
                                <w:color w:val="000000"/>
                              </w:rPr>
                              <w:t>from</w:t>
                            </w:r>
                            <w:r>
                              <w:rPr>
                                <w:color w:val="000000"/>
                                <w:spacing w:val="-2"/>
                              </w:rPr>
                              <w:t> </w:t>
                            </w:r>
                            <w:r>
                              <w:rPr>
                                <w:color w:val="000000"/>
                              </w:rPr>
                              <w:t>developed</w:t>
                            </w:r>
                            <w:r>
                              <w:rPr>
                                <w:color w:val="000000"/>
                                <w:spacing w:val="-5"/>
                              </w:rPr>
                              <w:t> </w:t>
                            </w:r>
                            <w:r>
                              <w:rPr>
                                <w:color w:val="000000"/>
                              </w:rPr>
                              <w:t>opportunities</w:t>
                            </w:r>
                            <w:r>
                              <w:rPr>
                                <w:color w:val="000000"/>
                                <w:spacing w:val="-2"/>
                              </w:rPr>
                              <w:t> </w:t>
                            </w:r>
                            <w:r>
                              <w:rPr>
                                <w:color w:val="000000"/>
                              </w:rPr>
                              <w:t>to</w:t>
                            </w:r>
                            <w:r>
                              <w:rPr>
                                <w:color w:val="000000"/>
                                <w:spacing w:val="-3"/>
                              </w:rPr>
                              <w:t> </w:t>
                            </w:r>
                            <w:r>
                              <w:rPr>
                                <w:color w:val="000000"/>
                              </w:rPr>
                              <w:t>those</w:t>
                            </w:r>
                            <w:r>
                              <w:rPr>
                                <w:color w:val="000000"/>
                                <w:spacing w:val="-2"/>
                              </w:rPr>
                              <w:t> </w:t>
                            </w:r>
                            <w:r>
                              <w:rPr>
                                <w:color w:val="000000"/>
                              </w:rPr>
                              <w:t>that</w:t>
                            </w:r>
                            <w:r>
                              <w:rPr>
                                <w:color w:val="000000"/>
                                <w:spacing w:val="-4"/>
                              </w:rPr>
                              <w:t> </w:t>
                            </w:r>
                            <w:r>
                              <w:rPr>
                                <w:color w:val="000000"/>
                              </w:rPr>
                              <w:t>are</w:t>
                            </w:r>
                            <w:r>
                              <w:rPr>
                                <w:color w:val="000000"/>
                                <w:spacing w:val="-4"/>
                              </w:rPr>
                              <w:t> </w:t>
                            </w:r>
                            <w:r>
                              <w:rPr>
                                <w:color w:val="000000"/>
                              </w:rPr>
                              <w:t>primitive. Recreational settings and natural resource-based recreational activities are managed to meet the recreation opportunity spectrum (ROS) classifications in which they occur as identified on the ROS map in appendix F.</w:t>
                            </w:r>
                          </w:p>
                        </w:txbxContent>
                      </wps:txbx>
                      <wps:bodyPr wrap="square" lIns="0" tIns="0" rIns="0" bIns="0" rtlCol="0">
                        <a:noAutofit/>
                      </wps:bodyPr>
                    </wps:wsp>
                  </a:graphicData>
                </a:graphic>
              </wp:anchor>
            </w:drawing>
          </mc:Choice>
          <mc:Fallback>
            <w:pict>
              <v:shape style="position:absolute;margin-left:128.160004pt;margin-top:5.902725pt;width:413.3pt;height:67.1pt;mso-position-horizontal-relative:page;mso-position-vertical-relative:paragraph;z-index:-15698944;mso-wrap-distance-left:0;mso-wrap-distance-right:0" type="#_x0000_t202" id="docshape174" filled="true" fillcolor="#dfdfdf" stroked="false">
                <v:textbox inset="0,0,0,0">
                  <w:txbxContent>
                    <w:p>
                      <w:pPr>
                        <w:pStyle w:val="BodyText"/>
                        <w:ind w:left="28" w:right="120"/>
                        <w:rPr>
                          <w:color w:val="000000"/>
                        </w:rPr>
                      </w:pPr>
                      <w:r>
                        <w:rPr>
                          <w:color w:val="000000"/>
                        </w:rPr>
                        <w:t>This guidance applies to recreational settings and natural resource-based recreational activities</w:t>
                      </w:r>
                      <w:r>
                        <w:rPr>
                          <w:color w:val="000000"/>
                          <w:spacing w:val="-4"/>
                        </w:rPr>
                        <w:t> </w:t>
                      </w:r>
                      <w:r>
                        <w:rPr>
                          <w:color w:val="000000"/>
                        </w:rPr>
                        <w:t>offered</w:t>
                      </w:r>
                      <w:r>
                        <w:rPr>
                          <w:color w:val="000000"/>
                          <w:spacing w:val="-3"/>
                        </w:rPr>
                        <w:t> </w:t>
                      </w:r>
                      <w:r>
                        <w:rPr>
                          <w:color w:val="000000"/>
                        </w:rPr>
                        <w:t>on</w:t>
                      </w:r>
                      <w:r>
                        <w:rPr>
                          <w:color w:val="000000"/>
                          <w:spacing w:val="-5"/>
                        </w:rPr>
                        <w:t> </w:t>
                      </w:r>
                      <w:r>
                        <w:rPr>
                          <w:color w:val="000000"/>
                        </w:rPr>
                        <w:t>the</w:t>
                      </w:r>
                      <w:r>
                        <w:rPr>
                          <w:color w:val="000000"/>
                          <w:spacing w:val="-2"/>
                        </w:rPr>
                        <w:t> </w:t>
                      </w:r>
                      <w:r>
                        <w:rPr>
                          <w:color w:val="000000"/>
                        </w:rPr>
                        <w:t>Forest,</w:t>
                      </w:r>
                      <w:r>
                        <w:rPr>
                          <w:color w:val="000000"/>
                          <w:spacing w:val="-2"/>
                        </w:rPr>
                        <w:t> </w:t>
                      </w:r>
                      <w:r>
                        <w:rPr>
                          <w:color w:val="000000"/>
                        </w:rPr>
                        <w:t>from</w:t>
                      </w:r>
                      <w:r>
                        <w:rPr>
                          <w:color w:val="000000"/>
                          <w:spacing w:val="-2"/>
                        </w:rPr>
                        <w:t> </w:t>
                      </w:r>
                      <w:r>
                        <w:rPr>
                          <w:color w:val="000000"/>
                        </w:rPr>
                        <w:t>developed</w:t>
                      </w:r>
                      <w:r>
                        <w:rPr>
                          <w:color w:val="000000"/>
                          <w:spacing w:val="-5"/>
                        </w:rPr>
                        <w:t> </w:t>
                      </w:r>
                      <w:r>
                        <w:rPr>
                          <w:color w:val="000000"/>
                        </w:rPr>
                        <w:t>opportunities</w:t>
                      </w:r>
                      <w:r>
                        <w:rPr>
                          <w:color w:val="000000"/>
                          <w:spacing w:val="-2"/>
                        </w:rPr>
                        <w:t> </w:t>
                      </w:r>
                      <w:r>
                        <w:rPr>
                          <w:color w:val="000000"/>
                        </w:rPr>
                        <w:t>to</w:t>
                      </w:r>
                      <w:r>
                        <w:rPr>
                          <w:color w:val="000000"/>
                          <w:spacing w:val="-3"/>
                        </w:rPr>
                        <w:t> </w:t>
                      </w:r>
                      <w:r>
                        <w:rPr>
                          <w:color w:val="000000"/>
                        </w:rPr>
                        <w:t>those</w:t>
                      </w:r>
                      <w:r>
                        <w:rPr>
                          <w:color w:val="000000"/>
                          <w:spacing w:val="-2"/>
                        </w:rPr>
                        <w:t> </w:t>
                      </w:r>
                      <w:r>
                        <w:rPr>
                          <w:color w:val="000000"/>
                        </w:rPr>
                        <w:t>that</w:t>
                      </w:r>
                      <w:r>
                        <w:rPr>
                          <w:color w:val="000000"/>
                          <w:spacing w:val="-4"/>
                        </w:rPr>
                        <w:t> </w:t>
                      </w:r>
                      <w:r>
                        <w:rPr>
                          <w:color w:val="000000"/>
                        </w:rPr>
                        <w:t>are</w:t>
                      </w:r>
                      <w:r>
                        <w:rPr>
                          <w:color w:val="000000"/>
                          <w:spacing w:val="-4"/>
                        </w:rPr>
                        <w:t> </w:t>
                      </w:r>
                      <w:r>
                        <w:rPr>
                          <w:color w:val="000000"/>
                        </w:rPr>
                        <w:t>primitive. Recreational settings and natural resource-based recreational activities are managed to meet the recreation opportunity spectrum (ROS) classifications in which they occur as identified on the ROS map in appendix F.</w:t>
                      </w:r>
                    </w:p>
                  </w:txbxContent>
                </v:textbox>
                <v:fill type="solid"/>
                <w10:wrap type="topAndBottom"/>
              </v:shape>
            </w:pict>
          </mc:Fallback>
        </mc:AlternateContent>
      </w:r>
    </w:p>
    <w:p>
      <w:pPr>
        <w:pStyle w:val="Heading4"/>
        <w:spacing w:before="240"/>
        <w:ind w:left="1151"/>
      </w:pPr>
      <w:bookmarkStart w:name="Desired Conditions" w:id="464"/>
      <w:bookmarkEnd w:id="464"/>
      <w:r>
        <w:rPr/>
      </w:r>
      <w:bookmarkStart w:name="_bookmark147" w:id="465"/>
      <w:bookmarkEnd w:id="465"/>
      <w:r>
        <w:rPr/>
      </w:r>
      <w:r>
        <w:rPr/>
        <w:t>Desired</w:t>
      </w:r>
      <w:r>
        <w:rPr>
          <w:spacing w:val="-4"/>
        </w:rPr>
        <w:t> </w:t>
      </w:r>
      <w:r>
        <w:rPr>
          <w:spacing w:val="-2"/>
        </w:rPr>
        <w:t>Conditions</w:t>
      </w:r>
    </w:p>
    <w:p>
      <w:pPr>
        <w:spacing w:before="240"/>
        <w:ind w:left="1151" w:right="0" w:firstLine="0"/>
        <w:jc w:val="left"/>
        <w:rPr>
          <w:rFonts w:ascii="Arial"/>
          <w:i/>
          <w:sz w:val="22"/>
        </w:rPr>
      </w:pPr>
      <w:bookmarkStart w:name="FW-DC-REC-01. Recreation Settings and Ex" w:id="466"/>
      <w:bookmarkEnd w:id="466"/>
      <w:r>
        <w:rPr/>
      </w:r>
      <w:r>
        <w:rPr>
          <w:rFonts w:ascii="Arial"/>
          <w:i/>
          <w:sz w:val="22"/>
        </w:rPr>
        <w:t>FW-DC-REC-01.</w:t>
      </w:r>
      <w:r>
        <w:rPr>
          <w:rFonts w:ascii="Arial"/>
          <w:i/>
          <w:spacing w:val="-8"/>
          <w:sz w:val="22"/>
        </w:rPr>
        <w:t> </w:t>
      </w:r>
      <w:r>
        <w:rPr>
          <w:rFonts w:ascii="Arial"/>
          <w:i/>
          <w:sz w:val="22"/>
        </w:rPr>
        <w:t>Recreation</w:t>
      </w:r>
      <w:r>
        <w:rPr>
          <w:rFonts w:ascii="Arial"/>
          <w:i/>
          <w:spacing w:val="-7"/>
          <w:sz w:val="22"/>
        </w:rPr>
        <w:t> </w:t>
      </w:r>
      <w:r>
        <w:rPr>
          <w:rFonts w:ascii="Arial"/>
          <w:i/>
          <w:sz w:val="22"/>
        </w:rPr>
        <w:t>Settings</w:t>
      </w:r>
      <w:r>
        <w:rPr>
          <w:rFonts w:ascii="Arial"/>
          <w:i/>
          <w:spacing w:val="-7"/>
          <w:sz w:val="22"/>
        </w:rPr>
        <w:t> </w:t>
      </w:r>
      <w:r>
        <w:rPr>
          <w:rFonts w:ascii="Arial"/>
          <w:i/>
          <w:sz w:val="22"/>
        </w:rPr>
        <w:t>and</w:t>
      </w:r>
      <w:r>
        <w:rPr>
          <w:rFonts w:ascii="Arial"/>
          <w:i/>
          <w:spacing w:val="-8"/>
          <w:sz w:val="22"/>
        </w:rPr>
        <w:t> </w:t>
      </w:r>
      <w:r>
        <w:rPr>
          <w:rFonts w:ascii="Arial"/>
          <w:i/>
          <w:spacing w:val="-2"/>
          <w:sz w:val="22"/>
        </w:rPr>
        <w:t>Experiences</w:t>
      </w:r>
    </w:p>
    <w:p>
      <w:pPr>
        <w:pStyle w:val="BodyText"/>
        <w:spacing w:line="232" w:lineRule="auto" w:before="67"/>
        <w:ind w:left="1151" w:right="801"/>
      </w:pPr>
      <w:r>
        <w:rPr/>
        <w:t>The</w:t>
      </w:r>
      <w:r>
        <w:rPr>
          <w:spacing w:val="-6"/>
        </w:rPr>
        <w:t> </w:t>
      </w:r>
      <w:r>
        <w:rPr/>
        <w:t>Forest</w:t>
      </w:r>
      <w:r>
        <w:rPr>
          <w:spacing w:val="-6"/>
        </w:rPr>
        <w:t> </w:t>
      </w:r>
      <w:r>
        <w:rPr/>
        <w:t>provides</w:t>
      </w:r>
      <w:r>
        <w:rPr>
          <w:spacing w:val="-9"/>
        </w:rPr>
        <w:t> </w:t>
      </w:r>
      <w:r>
        <w:rPr/>
        <w:t>a</w:t>
      </w:r>
      <w:r>
        <w:rPr>
          <w:spacing w:val="-7"/>
        </w:rPr>
        <w:t> </w:t>
      </w:r>
      <w:r>
        <w:rPr/>
        <w:t>spectrum</w:t>
      </w:r>
      <w:r>
        <w:rPr>
          <w:spacing w:val="-8"/>
        </w:rPr>
        <w:t> </w:t>
      </w:r>
      <w:r>
        <w:rPr/>
        <w:t>of</w:t>
      </w:r>
      <w:r>
        <w:rPr>
          <w:spacing w:val="-7"/>
        </w:rPr>
        <w:t> </w:t>
      </w:r>
      <w:r>
        <w:rPr/>
        <w:t>high</w:t>
      </w:r>
      <w:r>
        <w:rPr>
          <w:spacing w:val="-8"/>
        </w:rPr>
        <w:t> </w:t>
      </w:r>
      <w:r>
        <w:rPr/>
        <w:t>quality,</w:t>
      </w:r>
      <w:r>
        <w:rPr>
          <w:spacing w:val="-7"/>
        </w:rPr>
        <w:t> </w:t>
      </w:r>
      <w:r>
        <w:rPr/>
        <w:t>nature-based</w:t>
      </w:r>
      <w:r>
        <w:rPr>
          <w:spacing w:val="-8"/>
        </w:rPr>
        <w:t> </w:t>
      </w:r>
      <w:r>
        <w:rPr/>
        <w:t>outdoor</w:t>
      </w:r>
      <w:r>
        <w:rPr>
          <w:spacing w:val="-7"/>
        </w:rPr>
        <w:t> </w:t>
      </w:r>
      <w:r>
        <w:rPr/>
        <w:t>recreational</w:t>
      </w:r>
      <w:r>
        <w:rPr>
          <w:spacing w:val="-10"/>
        </w:rPr>
        <w:t> </w:t>
      </w:r>
      <w:r>
        <w:rPr/>
        <w:t>settings</w:t>
      </w:r>
      <w:r>
        <w:rPr>
          <w:spacing w:val="-7"/>
        </w:rPr>
        <w:t> </w:t>
      </w:r>
      <w:r>
        <w:rPr/>
        <w:t>and opportunities varying from primitive to urban and dispersed to developed where visitors can experience the biological, geological, scenic, and cultural resources of the Forest, with an emphasis on the natural-appearing character of the forest.</w:t>
      </w:r>
    </w:p>
    <w:p>
      <w:pPr>
        <w:pStyle w:val="BodyText"/>
        <w:spacing w:line="232" w:lineRule="auto" w:before="196"/>
        <w:ind w:left="1151" w:right="801"/>
      </w:pPr>
      <w:r>
        <w:rPr/>
        <w:t>Dispersed</w:t>
      </w:r>
      <w:r>
        <w:rPr>
          <w:spacing w:val="-7"/>
        </w:rPr>
        <w:t> </w:t>
      </w:r>
      <w:r>
        <w:rPr/>
        <w:t>recreation</w:t>
      </w:r>
      <w:r>
        <w:rPr>
          <w:spacing w:val="-7"/>
        </w:rPr>
        <w:t> </w:t>
      </w:r>
      <w:r>
        <w:rPr/>
        <w:t>opportunities</w:t>
      </w:r>
      <w:r>
        <w:rPr>
          <w:spacing w:val="-7"/>
        </w:rPr>
        <w:t> </w:t>
      </w:r>
      <w:r>
        <w:rPr/>
        <w:t>are</w:t>
      </w:r>
      <w:r>
        <w:rPr>
          <w:spacing w:val="-6"/>
        </w:rPr>
        <w:t> </w:t>
      </w:r>
      <w:r>
        <w:rPr/>
        <w:t>available</w:t>
      </w:r>
      <w:r>
        <w:rPr>
          <w:spacing w:val="-6"/>
        </w:rPr>
        <w:t> </w:t>
      </w:r>
      <w:r>
        <w:rPr/>
        <w:t>(such</w:t>
      </w:r>
      <w:r>
        <w:rPr>
          <w:spacing w:val="-9"/>
        </w:rPr>
        <w:t> </w:t>
      </w:r>
      <w:r>
        <w:rPr/>
        <w:t>as</w:t>
      </w:r>
      <w:r>
        <w:rPr>
          <w:spacing w:val="-7"/>
        </w:rPr>
        <w:t> </w:t>
      </w:r>
      <w:r>
        <w:rPr/>
        <w:t>camping,</w:t>
      </w:r>
      <w:r>
        <w:rPr>
          <w:spacing w:val="-7"/>
        </w:rPr>
        <w:t> </w:t>
      </w:r>
      <w:r>
        <w:rPr/>
        <w:t>backcountry</w:t>
      </w:r>
      <w:r>
        <w:rPr>
          <w:spacing w:val="-6"/>
        </w:rPr>
        <w:t> </w:t>
      </w:r>
      <w:r>
        <w:rPr/>
        <w:t>skiing,</w:t>
      </w:r>
      <w:r>
        <w:rPr>
          <w:spacing w:val="-7"/>
        </w:rPr>
        <w:t> </w:t>
      </w:r>
      <w:r>
        <w:rPr/>
        <w:t>boating, mushroom and berry picking, hunting, and fishing) and dispersed recreation sites (such as campsites, vistas, and parking areas) occur in a variety of ROS classes throughout the Forest.</w:t>
      </w:r>
    </w:p>
    <w:p>
      <w:pPr>
        <w:pStyle w:val="BodyText"/>
        <w:spacing w:line="232" w:lineRule="auto" w:before="200"/>
        <w:ind w:left="1151" w:right="742"/>
      </w:pPr>
      <w:r>
        <w:rPr/>
        <w:t>Facilities</w:t>
      </w:r>
      <w:r>
        <w:rPr>
          <w:spacing w:val="-7"/>
        </w:rPr>
        <w:t> </w:t>
      </w:r>
      <w:r>
        <w:rPr/>
        <w:t>for</w:t>
      </w:r>
      <w:r>
        <w:rPr>
          <w:spacing w:val="-7"/>
        </w:rPr>
        <w:t> </w:t>
      </w:r>
      <w:r>
        <w:rPr/>
        <w:t>developed</w:t>
      </w:r>
      <w:r>
        <w:rPr>
          <w:spacing w:val="-5"/>
        </w:rPr>
        <w:t> </w:t>
      </w:r>
      <w:r>
        <w:rPr/>
        <w:t>and</w:t>
      </w:r>
      <w:r>
        <w:rPr>
          <w:spacing w:val="-8"/>
        </w:rPr>
        <w:t> </w:t>
      </w:r>
      <w:r>
        <w:rPr/>
        <w:t>dispersed</w:t>
      </w:r>
      <w:r>
        <w:rPr>
          <w:spacing w:val="-6"/>
        </w:rPr>
        <w:t> </w:t>
      </w:r>
      <w:r>
        <w:rPr/>
        <w:t>recreation</w:t>
      </w:r>
      <w:r>
        <w:rPr>
          <w:spacing w:val="-6"/>
        </w:rPr>
        <w:t> </w:t>
      </w:r>
      <w:r>
        <w:rPr/>
        <w:t>activities</w:t>
      </w:r>
      <w:r>
        <w:rPr>
          <w:spacing w:val="-5"/>
        </w:rPr>
        <w:t> </w:t>
      </w:r>
      <w:r>
        <w:rPr/>
        <w:t>are</w:t>
      </w:r>
      <w:r>
        <w:rPr>
          <w:spacing w:val="-5"/>
        </w:rPr>
        <w:t> </w:t>
      </w:r>
      <w:r>
        <w:rPr/>
        <w:t>appropriate</w:t>
      </w:r>
      <w:r>
        <w:rPr>
          <w:spacing w:val="-7"/>
        </w:rPr>
        <w:t> </w:t>
      </w:r>
      <w:r>
        <w:rPr/>
        <w:t>for</w:t>
      </w:r>
      <w:r>
        <w:rPr>
          <w:spacing w:val="-7"/>
        </w:rPr>
        <w:t> </w:t>
      </w:r>
      <w:r>
        <w:rPr/>
        <w:t>the</w:t>
      </w:r>
      <w:r>
        <w:rPr>
          <w:spacing w:val="-7"/>
        </w:rPr>
        <w:t> </w:t>
      </w:r>
      <w:r>
        <w:rPr/>
        <w:t>ROS</w:t>
      </w:r>
      <w:r>
        <w:rPr>
          <w:spacing w:val="-5"/>
        </w:rPr>
        <w:t> </w:t>
      </w:r>
      <w:r>
        <w:rPr/>
        <w:t>class</w:t>
      </w:r>
      <w:r>
        <w:rPr>
          <w:spacing w:val="-7"/>
        </w:rPr>
        <w:t> </w:t>
      </w:r>
      <w:r>
        <w:rPr/>
        <w:t>and scenic integrity objective of the location and are designed to protect natural and cultural </w:t>
      </w:r>
      <w:r>
        <w:rPr>
          <w:spacing w:val="-2"/>
        </w:rPr>
        <w:t>resources.</w:t>
      </w:r>
    </w:p>
    <w:p>
      <w:pPr>
        <w:pStyle w:val="BodyText"/>
        <w:spacing w:line="232" w:lineRule="auto" w:before="198"/>
        <w:ind w:left="1151"/>
      </w:pPr>
      <w:r>
        <w:rPr/>
        <w:t>Access,</w:t>
      </w:r>
      <w:r>
        <w:rPr>
          <w:spacing w:val="-8"/>
        </w:rPr>
        <w:t> </w:t>
      </w:r>
      <w:r>
        <w:rPr/>
        <w:t>parking,</w:t>
      </w:r>
      <w:r>
        <w:rPr>
          <w:spacing w:val="-6"/>
        </w:rPr>
        <w:t> </w:t>
      </w:r>
      <w:r>
        <w:rPr/>
        <w:t>regulations,</w:t>
      </w:r>
      <w:r>
        <w:rPr>
          <w:spacing w:val="-6"/>
        </w:rPr>
        <w:t> </w:t>
      </w:r>
      <w:r>
        <w:rPr/>
        <w:t>orientation,</w:t>
      </w:r>
      <w:r>
        <w:rPr>
          <w:spacing w:val="-6"/>
        </w:rPr>
        <w:t> </w:t>
      </w:r>
      <w:r>
        <w:rPr/>
        <w:t>and</w:t>
      </w:r>
      <w:r>
        <w:rPr>
          <w:spacing w:val="-7"/>
        </w:rPr>
        <w:t> </w:t>
      </w:r>
      <w:r>
        <w:rPr/>
        <w:t>safety</w:t>
      </w:r>
      <w:r>
        <w:rPr>
          <w:spacing w:val="-6"/>
        </w:rPr>
        <w:t> </w:t>
      </w:r>
      <w:r>
        <w:rPr/>
        <w:t>information</w:t>
      </w:r>
      <w:r>
        <w:rPr>
          <w:spacing w:val="-7"/>
        </w:rPr>
        <w:t> </w:t>
      </w:r>
      <w:r>
        <w:rPr/>
        <w:t>are</w:t>
      </w:r>
      <w:r>
        <w:rPr>
          <w:spacing w:val="-6"/>
        </w:rPr>
        <w:t> </w:t>
      </w:r>
      <w:r>
        <w:rPr/>
        <w:t>in</w:t>
      </w:r>
      <w:r>
        <w:rPr>
          <w:spacing w:val="-7"/>
        </w:rPr>
        <w:t> </w:t>
      </w:r>
      <w:r>
        <w:rPr/>
        <w:t>place</w:t>
      </w:r>
      <w:r>
        <w:rPr>
          <w:spacing w:val="-6"/>
        </w:rPr>
        <w:t> </w:t>
      </w:r>
      <w:r>
        <w:rPr/>
        <w:t>to</w:t>
      </w:r>
      <w:r>
        <w:rPr>
          <w:spacing w:val="-6"/>
        </w:rPr>
        <w:t> </w:t>
      </w:r>
      <w:r>
        <w:rPr/>
        <w:t>provide</w:t>
      </w:r>
      <w:r>
        <w:rPr>
          <w:spacing w:val="-6"/>
        </w:rPr>
        <w:t> </w:t>
      </w:r>
      <w:r>
        <w:rPr/>
        <w:t>safe</w:t>
      </w:r>
      <w:r>
        <w:rPr>
          <w:spacing w:val="-6"/>
        </w:rPr>
        <w:t> </w:t>
      </w:r>
      <w:r>
        <w:rPr/>
        <w:t>and enjoyable developed and dispersed recreation experiences.</w:t>
      </w:r>
    </w:p>
    <w:p>
      <w:pPr>
        <w:pStyle w:val="BodyText"/>
        <w:spacing w:line="232" w:lineRule="auto" w:before="199"/>
        <w:ind w:left="1151" w:right="1073"/>
      </w:pPr>
      <w:r>
        <w:rPr/>
        <w:t>Inventoried</w:t>
      </w:r>
      <w:r>
        <w:rPr>
          <w:spacing w:val="-8"/>
        </w:rPr>
        <w:t> </w:t>
      </w:r>
      <w:r>
        <w:rPr/>
        <w:t>roadless</w:t>
      </w:r>
      <w:r>
        <w:rPr>
          <w:spacing w:val="-6"/>
        </w:rPr>
        <w:t> </w:t>
      </w:r>
      <w:r>
        <w:rPr/>
        <w:t>areas</w:t>
      </w:r>
      <w:r>
        <w:rPr>
          <w:spacing w:val="-7"/>
        </w:rPr>
        <w:t> </w:t>
      </w:r>
      <w:r>
        <w:rPr/>
        <w:t>maintain</w:t>
      </w:r>
      <w:r>
        <w:rPr>
          <w:spacing w:val="-7"/>
        </w:rPr>
        <w:t> </w:t>
      </w:r>
      <w:r>
        <w:rPr/>
        <w:t>their</w:t>
      </w:r>
      <w:r>
        <w:rPr>
          <w:spacing w:val="-7"/>
        </w:rPr>
        <w:t> </w:t>
      </w:r>
      <w:r>
        <w:rPr/>
        <w:t>overall</w:t>
      </w:r>
      <w:r>
        <w:rPr>
          <w:spacing w:val="-8"/>
        </w:rPr>
        <w:t> </w:t>
      </w:r>
      <w:r>
        <w:rPr/>
        <w:t>roadless</w:t>
      </w:r>
      <w:r>
        <w:rPr>
          <w:spacing w:val="-6"/>
        </w:rPr>
        <w:t> </w:t>
      </w:r>
      <w:r>
        <w:rPr/>
        <w:t>character</w:t>
      </w:r>
      <w:r>
        <w:rPr>
          <w:spacing w:val="-7"/>
        </w:rPr>
        <w:t> </w:t>
      </w:r>
      <w:r>
        <w:rPr/>
        <w:t>(see</w:t>
      </w:r>
      <w:r>
        <w:rPr>
          <w:spacing w:val="-7"/>
        </w:rPr>
        <w:t> </w:t>
      </w:r>
      <w:r>
        <w:rPr/>
        <w:t>FEIS</w:t>
      </w:r>
      <w:r>
        <w:rPr>
          <w:spacing w:val="-7"/>
        </w:rPr>
        <w:t> </w:t>
      </w:r>
      <w:r>
        <w:rPr/>
        <w:t>appendix</w:t>
      </w:r>
      <w:r>
        <w:rPr>
          <w:spacing w:val="-6"/>
        </w:rPr>
        <w:t> </w:t>
      </w:r>
      <w:r>
        <w:rPr/>
        <w:t>F</w:t>
      </w:r>
      <w:r>
        <w:rPr>
          <w:spacing w:val="-7"/>
        </w:rPr>
        <w:t> </w:t>
      </w:r>
      <w:r>
        <w:rPr/>
        <w:t>for maps of roadless areas).</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360" w:right="1073"/>
      </w:pPr>
      <w:r>
        <w:rPr/>
        <w:t>Recreation</w:t>
      </w:r>
      <w:r>
        <w:rPr>
          <w:spacing w:val="-3"/>
        </w:rPr>
        <w:t> </w:t>
      </w:r>
      <w:r>
        <w:rPr/>
        <w:t>activities</w:t>
      </w:r>
      <w:r>
        <w:rPr>
          <w:spacing w:val="-4"/>
        </w:rPr>
        <w:t> </w:t>
      </w:r>
      <w:r>
        <w:rPr/>
        <w:t>occur</w:t>
      </w:r>
      <w:r>
        <w:rPr>
          <w:spacing w:val="-7"/>
        </w:rPr>
        <w:t> </w:t>
      </w:r>
      <w:r>
        <w:rPr/>
        <w:t>within</w:t>
      </w:r>
      <w:r>
        <w:rPr>
          <w:spacing w:val="-3"/>
        </w:rPr>
        <w:t> </w:t>
      </w:r>
      <w:r>
        <w:rPr/>
        <w:t>the</w:t>
      </w:r>
      <w:r>
        <w:rPr>
          <w:spacing w:val="-4"/>
        </w:rPr>
        <w:t> </w:t>
      </w:r>
      <w:r>
        <w:rPr/>
        <w:t>ability</w:t>
      </w:r>
      <w:r>
        <w:rPr>
          <w:spacing w:val="-3"/>
        </w:rPr>
        <w:t> </w:t>
      </w:r>
      <w:r>
        <w:rPr/>
        <w:t>of</w:t>
      </w:r>
      <w:r>
        <w:rPr>
          <w:spacing w:val="-5"/>
        </w:rPr>
        <w:t> </w:t>
      </w:r>
      <w:r>
        <w:rPr/>
        <w:t>the</w:t>
      </w:r>
      <w:r>
        <w:rPr>
          <w:spacing w:val="-1"/>
        </w:rPr>
        <w:t> </w:t>
      </w:r>
      <w:r>
        <w:rPr/>
        <w:t>land</w:t>
      </w:r>
      <w:r>
        <w:rPr>
          <w:spacing w:val="-2"/>
        </w:rPr>
        <w:t> </w:t>
      </w:r>
      <w:r>
        <w:rPr/>
        <w:t>to</w:t>
      </w:r>
      <w:r>
        <w:rPr>
          <w:spacing w:val="-1"/>
        </w:rPr>
        <w:t> </w:t>
      </w:r>
      <w:r>
        <w:rPr/>
        <w:t>support</w:t>
      </w:r>
      <w:r>
        <w:rPr>
          <w:spacing w:val="-1"/>
        </w:rPr>
        <w:t> </w:t>
      </w:r>
      <w:r>
        <w:rPr/>
        <w:t>them</w:t>
      </w:r>
      <w:r>
        <w:rPr>
          <w:spacing w:val="-3"/>
        </w:rPr>
        <w:t> </w:t>
      </w:r>
      <w:r>
        <w:rPr/>
        <w:t>and</w:t>
      </w:r>
      <w:r>
        <w:rPr>
          <w:spacing w:val="-3"/>
        </w:rPr>
        <w:t> </w:t>
      </w:r>
      <w:r>
        <w:rPr/>
        <w:t>with</w:t>
      </w:r>
      <w:r>
        <w:rPr>
          <w:spacing w:val="-3"/>
        </w:rPr>
        <w:t> </w:t>
      </w:r>
      <w:r>
        <w:rPr/>
        <w:t>minimal</w:t>
      </w:r>
      <w:r>
        <w:rPr>
          <w:spacing w:val="-5"/>
        </w:rPr>
        <w:t> </w:t>
      </w:r>
      <w:r>
        <w:rPr/>
        <w:t>user </w:t>
      </w:r>
      <w:r>
        <w:rPr>
          <w:spacing w:val="-2"/>
        </w:rPr>
        <w:t>conflicts.</w:t>
      </w:r>
    </w:p>
    <w:p>
      <w:pPr>
        <w:pStyle w:val="BodyText"/>
        <w:spacing w:line="232" w:lineRule="auto" w:before="199"/>
        <w:ind w:left="360" w:right="1621"/>
      </w:pPr>
      <w:r>
        <w:rPr/>
        <w:t>Recreation enhances the quality of life for local residents (such as social interaction, physical activity,</w:t>
      </w:r>
      <w:r>
        <w:rPr>
          <w:spacing w:val="-8"/>
        </w:rPr>
        <w:t> </w:t>
      </w:r>
      <w:r>
        <w:rPr/>
        <w:t>and</w:t>
      </w:r>
      <w:r>
        <w:rPr>
          <w:spacing w:val="-9"/>
        </w:rPr>
        <w:t> </w:t>
      </w:r>
      <w:r>
        <w:rPr/>
        <w:t>connection</w:t>
      </w:r>
      <w:r>
        <w:rPr>
          <w:spacing w:val="-9"/>
        </w:rPr>
        <w:t> </w:t>
      </w:r>
      <w:r>
        <w:rPr/>
        <w:t>with</w:t>
      </w:r>
      <w:r>
        <w:rPr>
          <w:spacing w:val="-9"/>
        </w:rPr>
        <w:t> </w:t>
      </w:r>
      <w:r>
        <w:rPr/>
        <w:t>nature),</w:t>
      </w:r>
      <w:r>
        <w:rPr>
          <w:spacing w:val="-8"/>
        </w:rPr>
        <w:t> </w:t>
      </w:r>
      <w:r>
        <w:rPr/>
        <w:t>provides</w:t>
      </w:r>
      <w:r>
        <w:rPr>
          <w:spacing w:val="-8"/>
        </w:rPr>
        <w:t> </w:t>
      </w:r>
      <w:r>
        <w:rPr/>
        <w:t>tourist</w:t>
      </w:r>
      <w:r>
        <w:rPr>
          <w:spacing w:val="-10"/>
        </w:rPr>
        <w:t> </w:t>
      </w:r>
      <w:r>
        <w:rPr/>
        <w:t>destinations,</w:t>
      </w:r>
      <w:r>
        <w:rPr>
          <w:spacing w:val="-10"/>
        </w:rPr>
        <w:t> </w:t>
      </w:r>
      <w:r>
        <w:rPr/>
        <w:t>and</w:t>
      </w:r>
      <w:r>
        <w:rPr>
          <w:spacing w:val="-9"/>
        </w:rPr>
        <w:t> </w:t>
      </w:r>
      <w:r>
        <w:rPr/>
        <w:t>contributes</w:t>
      </w:r>
      <w:r>
        <w:rPr>
          <w:spacing w:val="-10"/>
        </w:rPr>
        <w:t> </w:t>
      </w:r>
      <w:r>
        <w:rPr/>
        <w:t>monetarily to local economies.</w:t>
      </w:r>
    </w:p>
    <w:p>
      <w:pPr>
        <w:pStyle w:val="BodyText"/>
        <w:spacing w:line="232" w:lineRule="auto" w:before="198"/>
        <w:ind w:left="360" w:right="1621"/>
      </w:pPr>
      <w:r>
        <w:rPr/>
        <w:t>Recreation</w:t>
      </w:r>
      <w:r>
        <w:rPr>
          <w:spacing w:val="-7"/>
        </w:rPr>
        <w:t> </w:t>
      </w:r>
      <w:r>
        <w:rPr/>
        <w:t>opportunities</w:t>
      </w:r>
      <w:r>
        <w:rPr>
          <w:spacing w:val="-5"/>
        </w:rPr>
        <w:t> </w:t>
      </w:r>
      <w:r>
        <w:rPr/>
        <w:t>provide</w:t>
      </w:r>
      <w:r>
        <w:rPr>
          <w:spacing w:val="-7"/>
        </w:rPr>
        <w:t> </w:t>
      </w:r>
      <w:r>
        <w:rPr/>
        <w:t>for</w:t>
      </w:r>
      <w:r>
        <w:rPr>
          <w:spacing w:val="-7"/>
        </w:rPr>
        <w:t> </w:t>
      </w:r>
      <w:r>
        <w:rPr/>
        <w:t>a</w:t>
      </w:r>
      <w:r>
        <w:rPr>
          <w:spacing w:val="-7"/>
        </w:rPr>
        <w:t> </w:t>
      </w:r>
      <w:r>
        <w:rPr/>
        <w:t>variety</w:t>
      </w:r>
      <w:r>
        <w:rPr>
          <w:spacing w:val="-6"/>
        </w:rPr>
        <w:t> </w:t>
      </w:r>
      <w:r>
        <w:rPr/>
        <w:t>of</w:t>
      </w:r>
      <w:r>
        <w:rPr>
          <w:spacing w:val="-5"/>
        </w:rPr>
        <w:t> </w:t>
      </w:r>
      <w:r>
        <w:rPr/>
        <w:t>skill</w:t>
      </w:r>
      <w:r>
        <w:rPr>
          <w:spacing w:val="-5"/>
        </w:rPr>
        <w:t> </w:t>
      </w:r>
      <w:r>
        <w:rPr/>
        <w:t>levels,</w:t>
      </w:r>
      <w:r>
        <w:rPr>
          <w:spacing w:val="-5"/>
        </w:rPr>
        <w:t> </w:t>
      </w:r>
      <w:r>
        <w:rPr/>
        <w:t>needs,</w:t>
      </w:r>
      <w:r>
        <w:rPr>
          <w:spacing w:val="-5"/>
        </w:rPr>
        <w:t> </w:t>
      </w:r>
      <w:r>
        <w:rPr/>
        <w:t>and</w:t>
      </w:r>
      <w:r>
        <w:rPr>
          <w:spacing w:val="-6"/>
        </w:rPr>
        <w:t> </w:t>
      </w:r>
      <w:r>
        <w:rPr/>
        <w:t>desires</w:t>
      </w:r>
      <w:r>
        <w:rPr>
          <w:spacing w:val="-7"/>
        </w:rPr>
        <w:t> </w:t>
      </w:r>
      <w:r>
        <w:rPr/>
        <w:t>in</w:t>
      </w:r>
      <w:r>
        <w:rPr>
          <w:spacing w:val="-6"/>
        </w:rPr>
        <w:t> </w:t>
      </w:r>
      <w:r>
        <w:rPr/>
        <w:t>partnership with recreation permit holders, private entities, volunteer groups, community groups, and State, Federal, and Tribal governments.</w:t>
      </w:r>
    </w:p>
    <w:p>
      <w:pPr>
        <w:pStyle w:val="BodyText"/>
        <w:spacing w:line="232" w:lineRule="auto" w:before="200"/>
        <w:ind w:left="360" w:right="1073"/>
      </w:pPr>
      <w:r>
        <w:rPr/>
        <w:t>Visitors</w:t>
      </w:r>
      <w:r>
        <w:rPr>
          <w:spacing w:val="-5"/>
        </w:rPr>
        <w:t> </w:t>
      </w:r>
      <w:r>
        <w:rPr/>
        <w:t>can</w:t>
      </w:r>
      <w:r>
        <w:rPr>
          <w:spacing w:val="-7"/>
        </w:rPr>
        <w:t> </w:t>
      </w:r>
      <w:r>
        <w:rPr/>
        <w:t>easily</w:t>
      </w:r>
      <w:r>
        <w:rPr>
          <w:spacing w:val="-5"/>
        </w:rPr>
        <w:t> </w:t>
      </w:r>
      <w:r>
        <w:rPr/>
        <w:t>access</w:t>
      </w:r>
      <w:r>
        <w:rPr>
          <w:spacing w:val="-5"/>
        </w:rPr>
        <w:t> </w:t>
      </w:r>
      <w:r>
        <w:rPr/>
        <w:t>information</w:t>
      </w:r>
      <w:r>
        <w:rPr>
          <w:spacing w:val="-5"/>
        </w:rPr>
        <w:t> </w:t>
      </w:r>
      <w:r>
        <w:rPr/>
        <w:t>about</w:t>
      </w:r>
      <w:r>
        <w:rPr>
          <w:spacing w:val="-6"/>
        </w:rPr>
        <w:t> </w:t>
      </w:r>
      <w:r>
        <w:rPr/>
        <w:t>recreation</w:t>
      </w:r>
      <w:r>
        <w:rPr>
          <w:spacing w:val="-7"/>
        </w:rPr>
        <w:t> </w:t>
      </w:r>
      <w:r>
        <w:rPr/>
        <w:t>activities</w:t>
      </w:r>
      <w:r>
        <w:rPr>
          <w:spacing w:val="-6"/>
        </w:rPr>
        <w:t> </w:t>
      </w:r>
      <w:r>
        <w:rPr/>
        <w:t>and</w:t>
      </w:r>
      <w:r>
        <w:rPr>
          <w:spacing w:val="-5"/>
        </w:rPr>
        <w:t> </w:t>
      </w:r>
      <w:r>
        <w:rPr/>
        <w:t>safe</w:t>
      </w:r>
      <w:r>
        <w:rPr>
          <w:spacing w:val="-4"/>
        </w:rPr>
        <w:t> </w:t>
      </w:r>
      <w:r>
        <w:rPr/>
        <w:t>and</w:t>
      </w:r>
      <w:r>
        <w:rPr>
          <w:spacing w:val="-5"/>
        </w:rPr>
        <w:t> </w:t>
      </w:r>
      <w:r>
        <w:rPr/>
        <w:t>proper</w:t>
      </w:r>
      <w:r>
        <w:rPr>
          <w:spacing w:val="-5"/>
        </w:rPr>
        <w:t> </w:t>
      </w:r>
      <w:r>
        <w:rPr/>
        <w:t>use</w:t>
      </w:r>
      <w:r>
        <w:rPr>
          <w:spacing w:val="-6"/>
        </w:rPr>
        <w:t> </w:t>
      </w:r>
      <w:r>
        <w:rPr/>
        <w:t>of</w:t>
      </w:r>
      <w:r>
        <w:rPr>
          <w:spacing w:val="-5"/>
        </w:rPr>
        <w:t> </w:t>
      </w:r>
      <w:r>
        <w:rPr/>
        <w:t>the Colville National Forest.</w:t>
      </w:r>
    </w:p>
    <w:p>
      <w:pPr>
        <w:pStyle w:val="BodyText"/>
        <w:spacing w:line="232" w:lineRule="auto" w:before="199"/>
        <w:ind w:left="360" w:right="1073"/>
      </w:pPr>
      <w:r>
        <w:rPr/>
        <w:t>Recreation</w:t>
      </w:r>
      <w:r>
        <w:rPr>
          <w:spacing w:val="-9"/>
        </w:rPr>
        <w:t> </w:t>
      </w:r>
      <w:r>
        <w:rPr/>
        <w:t>use</w:t>
      </w:r>
      <w:r>
        <w:rPr>
          <w:spacing w:val="-10"/>
        </w:rPr>
        <w:t> </w:t>
      </w:r>
      <w:r>
        <w:rPr/>
        <w:t>does</w:t>
      </w:r>
      <w:r>
        <w:rPr>
          <w:spacing w:val="-8"/>
        </w:rPr>
        <w:t> </w:t>
      </w:r>
      <w:r>
        <w:rPr/>
        <w:t>not</w:t>
      </w:r>
      <w:r>
        <w:rPr>
          <w:spacing w:val="-8"/>
        </w:rPr>
        <w:t> </w:t>
      </w:r>
      <w:r>
        <w:rPr/>
        <w:t>negatively</w:t>
      </w:r>
      <w:r>
        <w:rPr>
          <w:spacing w:val="-8"/>
        </w:rPr>
        <w:t> </w:t>
      </w:r>
      <w:r>
        <w:rPr/>
        <w:t>affect</w:t>
      </w:r>
      <w:r>
        <w:rPr>
          <w:spacing w:val="-10"/>
        </w:rPr>
        <w:t> </w:t>
      </w:r>
      <w:r>
        <w:rPr/>
        <w:t>wildlife</w:t>
      </w:r>
      <w:r>
        <w:rPr>
          <w:spacing w:val="-10"/>
        </w:rPr>
        <w:t> </w:t>
      </w:r>
      <w:r>
        <w:rPr/>
        <w:t>habitat</w:t>
      </w:r>
      <w:r>
        <w:rPr>
          <w:spacing w:val="-8"/>
        </w:rPr>
        <w:t> </w:t>
      </w:r>
      <w:r>
        <w:rPr/>
        <w:t>and</w:t>
      </w:r>
      <w:r>
        <w:rPr>
          <w:spacing w:val="-9"/>
        </w:rPr>
        <w:t> </w:t>
      </w:r>
      <w:r>
        <w:rPr/>
        <w:t>populations.</w:t>
      </w:r>
      <w:r>
        <w:rPr>
          <w:spacing w:val="-8"/>
        </w:rPr>
        <w:t> </w:t>
      </w:r>
      <w:r>
        <w:rPr/>
        <w:t>Negative</w:t>
      </w:r>
      <w:r>
        <w:rPr>
          <w:spacing w:val="-8"/>
        </w:rPr>
        <w:t> </w:t>
      </w:r>
      <w:r>
        <w:rPr/>
        <w:t>interactions between people and wildlife are minimized.</w:t>
      </w:r>
    </w:p>
    <w:p>
      <w:pPr>
        <w:pStyle w:val="BodyText"/>
        <w:spacing w:line="410" w:lineRule="auto" w:before="193"/>
        <w:ind w:left="360" w:right="4012"/>
      </w:pPr>
      <w:r>
        <w:rPr/>
        <w:t>The</w:t>
      </w:r>
      <w:r>
        <w:rPr>
          <w:spacing w:val="-5"/>
        </w:rPr>
        <w:t> </w:t>
      </w:r>
      <w:r>
        <w:rPr/>
        <w:t>Colville</w:t>
      </w:r>
      <w:r>
        <w:rPr>
          <w:spacing w:val="-8"/>
        </w:rPr>
        <w:t> </w:t>
      </w:r>
      <w:r>
        <w:rPr/>
        <w:t>National</w:t>
      </w:r>
      <w:r>
        <w:rPr>
          <w:spacing w:val="-9"/>
        </w:rPr>
        <w:t> </w:t>
      </w:r>
      <w:r>
        <w:rPr/>
        <w:t>Forest</w:t>
      </w:r>
      <w:r>
        <w:rPr>
          <w:spacing w:val="-8"/>
        </w:rPr>
        <w:t> </w:t>
      </w:r>
      <w:r>
        <w:rPr/>
        <w:t>is</w:t>
      </w:r>
      <w:r>
        <w:rPr>
          <w:spacing w:val="-6"/>
        </w:rPr>
        <w:t> </w:t>
      </w:r>
      <w:r>
        <w:rPr/>
        <w:t>free</w:t>
      </w:r>
      <w:r>
        <w:rPr>
          <w:spacing w:val="-5"/>
        </w:rPr>
        <w:t> </w:t>
      </w:r>
      <w:r>
        <w:rPr/>
        <w:t>from</w:t>
      </w:r>
      <w:r>
        <w:rPr>
          <w:spacing w:val="-7"/>
        </w:rPr>
        <w:t> </w:t>
      </w:r>
      <w:r>
        <w:rPr/>
        <w:t>vandalism</w:t>
      </w:r>
      <w:r>
        <w:rPr>
          <w:spacing w:val="-5"/>
        </w:rPr>
        <w:t> </w:t>
      </w:r>
      <w:r>
        <w:rPr/>
        <w:t>and</w:t>
      </w:r>
      <w:r>
        <w:rPr>
          <w:spacing w:val="-9"/>
        </w:rPr>
        <w:t> </w:t>
      </w:r>
      <w:r>
        <w:rPr/>
        <w:t>refuse. “Leave No Trace” principles are practiced.</w:t>
      </w:r>
    </w:p>
    <w:p>
      <w:pPr>
        <w:spacing w:before="42"/>
        <w:ind w:left="360" w:right="0" w:firstLine="0"/>
        <w:jc w:val="left"/>
        <w:rPr>
          <w:rFonts w:ascii="Arial"/>
          <w:i/>
          <w:sz w:val="22"/>
        </w:rPr>
      </w:pPr>
      <w:bookmarkStart w:name="FW-DC-REC-02. Built Environment - Struct" w:id="467"/>
      <w:bookmarkEnd w:id="467"/>
      <w:r>
        <w:rPr/>
      </w:r>
      <w:r>
        <w:rPr>
          <w:rFonts w:ascii="Arial"/>
          <w:i/>
          <w:sz w:val="22"/>
        </w:rPr>
        <w:t>FW-DC-REC-02.</w:t>
      </w:r>
      <w:r>
        <w:rPr>
          <w:rFonts w:ascii="Arial"/>
          <w:i/>
          <w:spacing w:val="-8"/>
          <w:sz w:val="22"/>
        </w:rPr>
        <w:t> </w:t>
      </w:r>
      <w:r>
        <w:rPr>
          <w:rFonts w:ascii="Arial"/>
          <w:i/>
          <w:sz w:val="22"/>
        </w:rPr>
        <w:t>Built</w:t>
      </w:r>
      <w:r>
        <w:rPr>
          <w:rFonts w:ascii="Arial"/>
          <w:i/>
          <w:spacing w:val="-5"/>
          <w:sz w:val="22"/>
        </w:rPr>
        <w:t> </w:t>
      </w:r>
      <w:r>
        <w:rPr>
          <w:rFonts w:ascii="Arial"/>
          <w:i/>
          <w:sz w:val="22"/>
        </w:rPr>
        <w:t>Environment</w:t>
      </w:r>
      <w:r>
        <w:rPr>
          <w:rFonts w:ascii="Arial"/>
          <w:i/>
          <w:spacing w:val="-7"/>
          <w:sz w:val="22"/>
        </w:rPr>
        <w:t> </w:t>
      </w:r>
      <w:r>
        <w:rPr>
          <w:rFonts w:ascii="Arial"/>
          <w:i/>
          <w:sz w:val="22"/>
        </w:rPr>
        <w:t>-</w:t>
      </w:r>
      <w:r>
        <w:rPr>
          <w:rFonts w:ascii="Arial"/>
          <w:i/>
          <w:spacing w:val="-5"/>
          <w:sz w:val="22"/>
        </w:rPr>
        <w:t> </w:t>
      </w:r>
      <w:r>
        <w:rPr>
          <w:rFonts w:ascii="Arial"/>
          <w:i/>
          <w:spacing w:val="-2"/>
          <w:sz w:val="22"/>
        </w:rPr>
        <w:t>Structures</w:t>
      </w:r>
    </w:p>
    <w:p>
      <w:pPr>
        <w:pStyle w:val="BodyText"/>
        <w:spacing w:line="232" w:lineRule="auto" w:before="65"/>
        <w:ind w:left="360" w:right="1073"/>
      </w:pPr>
      <w:r>
        <w:rPr/>
        <w:t>The</w:t>
      </w:r>
      <w:r>
        <w:rPr>
          <w:spacing w:val="-4"/>
        </w:rPr>
        <w:t> </w:t>
      </w:r>
      <w:r>
        <w:rPr/>
        <w:t>structures</w:t>
      </w:r>
      <w:r>
        <w:rPr>
          <w:spacing w:val="-7"/>
        </w:rPr>
        <w:t> </w:t>
      </w:r>
      <w:r>
        <w:rPr/>
        <w:t>associated</w:t>
      </w:r>
      <w:r>
        <w:rPr>
          <w:spacing w:val="-10"/>
        </w:rPr>
        <w:t> </w:t>
      </w:r>
      <w:r>
        <w:rPr/>
        <w:t>with</w:t>
      </w:r>
      <w:r>
        <w:rPr>
          <w:spacing w:val="-6"/>
        </w:rPr>
        <w:t> </w:t>
      </w:r>
      <w:r>
        <w:rPr/>
        <w:t>the</w:t>
      </w:r>
      <w:r>
        <w:rPr>
          <w:spacing w:val="-7"/>
        </w:rPr>
        <w:t> </w:t>
      </w:r>
      <w:r>
        <w:rPr/>
        <w:t>built</w:t>
      </w:r>
      <w:r>
        <w:rPr>
          <w:spacing w:val="-4"/>
        </w:rPr>
        <w:t> </w:t>
      </w:r>
      <w:r>
        <w:rPr/>
        <w:t>environment</w:t>
      </w:r>
      <w:r>
        <w:rPr>
          <w:spacing w:val="-9"/>
        </w:rPr>
        <w:t> </w:t>
      </w:r>
      <w:r>
        <w:rPr/>
        <w:t>that</w:t>
      </w:r>
      <w:r>
        <w:rPr>
          <w:spacing w:val="-4"/>
        </w:rPr>
        <w:t> </w:t>
      </w:r>
      <w:r>
        <w:rPr/>
        <w:t>supports</w:t>
      </w:r>
      <w:r>
        <w:rPr>
          <w:spacing w:val="-7"/>
        </w:rPr>
        <w:t> </w:t>
      </w:r>
      <w:r>
        <w:rPr/>
        <w:t>dispersed</w:t>
      </w:r>
      <w:r>
        <w:rPr>
          <w:spacing w:val="-6"/>
        </w:rPr>
        <w:t> </w:t>
      </w:r>
      <w:r>
        <w:rPr/>
        <w:t>and</w:t>
      </w:r>
      <w:r>
        <w:rPr>
          <w:spacing w:val="-6"/>
        </w:rPr>
        <w:t> </w:t>
      </w:r>
      <w:r>
        <w:rPr/>
        <w:t>developed recreation are planned, designed, constructed, and maintained to meet requirements for accessibility and blend into the surrounding landscape.</w:t>
      </w:r>
    </w:p>
    <w:p>
      <w:pPr>
        <w:spacing w:before="233"/>
        <w:ind w:left="360" w:right="0" w:firstLine="0"/>
        <w:jc w:val="left"/>
        <w:rPr>
          <w:rFonts w:ascii="Arial"/>
          <w:i/>
          <w:sz w:val="22"/>
        </w:rPr>
      </w:pPr>
      <w:bookmarkStart w:name="FW-DC-REC-03. Sustainable Recreation" w:id="468"/>
      <w:bookmarkEnd w:id="468"/>
      <w:r>
        <w:rPr/>
      </w:r>
      <w:r>
        <w:rPr>
          <w:rFonts w:ascii="Arial"/>
          <w:i/>
          <w:sz w:val="22"/>
        </w:rPr>
        <w:t>FW-DC-REC-03.</w:t>
      </w:r>
      <w:r>
        <w:rPr>
          <w:rFonts w:ascii="Arial"/>
          <w:i/>
          <w:spacing w:val="-12"/>
          <w:sz w:val="22"/>
        </w:rPr>
        <w:t> </w:t>
      </w:r>
      <w:r>
        <w:rPr>
          <w:rFonts w:ascii="Arial"/>
          <w:i/>
          <w:sz w:val="22"/>
        </w:rPr>
        <w:t>Sustainable</w:t>
      </w:r>
      <w:r>
        <w:rPr>
          <w:rFonts w:ascii="Arial"/>
          <w:i/>
          <w:spacing w:val="-11"/>
          <w:sz w:val="22"/>
        </w:rPr>
        <w:t> </w:t>
      </w:r>
      <w:r>
        <w:rPr>
          <w:rFonts w:ascii="Arial"/>
          <w:i/>
          <w:spacing w:val="-2"/>
          <w:sz w:val="22"/>
        </w:rPr>
        <w:t>Recreation</w:t>
      </w:r>
    </w:p>
    <w:p>
      <w:pPr>
        <w:pStyle w:val="BodyText"/>
        <w:spacing w:line="232" w:lineRule="auto" w:before="64"/>
        <w:ind w:left="360" w:right="1621"/>
      </w:pPr>
      <w:r>
        <w:rPr/>
        <w:t>The</w:t>
      </w:r>
      <w:r>
        <w:rPr>
          <w:spacing w:val="-5"/>
        </w:rPr>
        <w:t> </w:t>
      </w:r>
      <w:r>
        <w:rPr/>
        <w:t>recreation</w:t>
      </w:r>
      <w:r>
        <w:rPr>
          <w:spacing w:val="-6"/>
        </w:rPr>
        <w:t> </w:t>
      </w:r>
      <w:r>
        <w:rPr/>
        <w:t>program</w:t>
      </w:r>
      <w:r>
        <w:rPr>
          <w:spacing w:val="-5"/>
        </w:rPr>
        <w:t> </w:t>
      </w:r>
      <w:r>
        <w:rPr/>
        <w:t>is</w:t>
      </w:r>
      <w:r>
        <w:rPr>
          <w:spacing w:val="-10"/>
        </w:rPr>
        <w:t> </w:t>
      </w:r>
      <w:r>
        <w:rPr/>
        <w:t>enhanced</w:t>
      </w:r>
      <w:r>
        <w:rPr>
          <w:spacing w:val="-6"/>
        </w:rPr>
        <w:t> </w:t>
      </w:r>
      <w:r>
        <w:rPr/>
        <w:t>by</w:t>
      </w:r>
      <w:r>
        <w:rPr>
          <w:spacing w:val="-5"/>
        </w:rPr>
        <w:t> </w:t>
      </w:r>
      <w:r>
        <w:rPr/>
        <w:t>working</w:t>
      </w:r>
      <w:r>
        <w:rPr>
          <w:spacing w:val="-8"/>
        </w:rPr>
        <w:t> </w:t>
      </w:r>
      <w:r>
        <w:rPr/>
        <w:t>with</w:t>
      </w:r>
      <w:r>
        <w:rPr>
          <w:spacing w:val="-8"/>
        </w:rPr>
        <w:t> </w:t>
      </w:r>
      <w:r>
        <w:rPr/>
        <w:t>multiple</w:t>
      </w:r>
      <w:r>
        <w:rPr>
          <w:spacing w:val="-5"/>
        </w:rPr>
        <w:t> </w:t>
      </w:r>
      <w:r>
        <w:rPr/>
        <w:t>interests</w:t>
      </w:r>
      <w:r>
        <w:rPr>
          <w:spacing w:val="-5"/>
        </w:rPr>
        <w:t> </w:t>
      </w:r>
      <w:r>
        <w:rPr/>
        <w:t>and</w:t>
      </w:r>
      <w:r>
        <w:rPr>
          <w:spacing w:val="-6"/>
        </w:rPr>
        <w:t> </w:t>
      </w:r>
      <w:r>
        <w:rPr/>
        <w:t>partners</w:t>
      </w:r>
      <w:r>
        <w:rPr>
          <w:spacing w:val="-5"/>
        </w:rPr>
        <w:t> </w:t>
      </w:r>
      <w:r>
        <w:rPr/>
        <w:t>who provide funding, expertise and labor to enhance, restore, and maintain recreational opportunities that are aligned with community goals.</w:t>
      </w:r>
    </w:p>
    <w:p>
      <w:pPr>
        <w:pStyle w:val="Heading4"/>
        <w:spacing w:before="236"/>
      </w:pPr>
      <w:bookmarkStart w:name="Standard" w:id="469"/>
      <w:bookmarkEnd w:id="469"/>
      <w:r>
        <w:rPr/>
      </w:r>
      <w:bookmarkStart w:name="_bookmark148" w:id="470"/>
      <w:bookmarkEnd w:id="470"/>
      <w:r>
        <w:rPr/>
      </w:r>
      <w:r>
        <w:rPr>
          <w:spacing w:val="-2"/>
        </w:rPr>
        <w:t>Standard</w:t>
      </w:r>
    </w:p>
    <w:p>
      <w:pPr>
        <w:spacing w:before="237"/>
        <w:ind w:left="360" w:right="0" w:firstLine="0"/>
        <w:jc w:val="left"/>
        <w:rPr>
          <w:rFonts w:ascii="Arial"/>
          <w:i/>
          <w:sz w:val="22"/>
        </w:rPr>
      </w:pPr>
      <w:bookmarkStart w:name="FW-STD-REC-01. Built Environment - Struc" w:id="471"/>
      <w:bookmarkEnd w:id="471"/>
      <w:r>
        <w:rPr/>
      </w:r>
      <w:r>
        <w:rPr>
          <w:rFonts w:ascii="Arial"/>
          <w:i/>
          <w:sz w:val="22"/>
        </w:rPr>
        <w:t>FW-STD-REC-01.</w:t>
      </w:r>
      <w:r>
        <w:rPr>
          <w:rFonts w:ascii="Arial"/>
          <w:i/>
          <w:spacing w:val="-5"/>
          <w:sz w:val="22"/>
        </w:rPr>
        <w:t> </w:t>
      </w:r>
      <w:r>
        <w:rPr>
          <w:rFonts w:ascii="Arial"/>
          <w:i/>
          <w:sz w:val="22"/>
        </w:rPr>
        <w:t>Built</w:t>
      </w:r>
      <w:r>
        <w:rPr>
          <w:rFonts w:ascii="Arial"/>
          <w:i/>
          <w:spacing w:val="-8"/>
          <w:sz w:val="22"/>
        </w:rPr>
        <w:t> </w:t>
      </w:r>
      <w:r>
        <w:rPr>
          <w:rFonts w:ascii="Arial"/>
          <w:i/>
          <w:sz w:val="22"/>
        </w:rPr>
        <w:t>Environment</w:t>
      </w:r>
      <w:r>
        <w:rPr>
          <w:rFonts w:ascii="Arial"/>
          <w:i/>
          <w:spacing w:val="-7"/>
          <w:sz w:val="22"/>
        </w:rPr>
        <w:t> </w:t>
      </w:r>
      <w:r>
        <w:rPr>
          <w:rFonts w:ascii="Arial"/>
          <w:i/>
          <w:sz w:val="22"/>
        </w:rPr>
        <w:t>-</w:t>
      </w:r>
      <w:r>
        <w:rPr>
          <w:rFonts w:ascii="Arial"/>
          <w:i/>
          <w:spacing w:val="-7"/>
          <w:sz w:val="22"/>
        </w:rPr>
        <w:t> </w:t>
      </w:r>
      <w:r>
        <w:rPr>
          <w:rFonts w:ascii="Arial"/>
          <w:i/>
          <w:spacing w:val="-2"/>
          <w:sz w:val="22"/>
        </w:rPr>
        <w:t>Structures</w:t>
      </w:r>
    </w:p>
    <w:p>
      <w:pPr>
        <w:pStyle w:val="BodyText"/>
        <w:spacing w:line="232" w:lineRule="auto" w:before="67"/>
        <w:ind w:left="360" w:right="1567"/>
      </w:pPr>
      <w:r>
        <w:rPr/>
        <w:t>All</w:t>
      </w:r>
      <w:r>
        <w:rPr>
          <w:spacing w:val="-5"/>
        </w:rPr>
        <w:t> </w:t>
      </w:r>
      <w:r>
        <w:rPr/>
        <w:t>new</w:t>
      </w:r>
      <w:r>
        <w:rPr>
          <w:spacing w:val="-7"/>
        </w:rPr>
        <w:t> </w:t>
      </w:r>
      <w:r>
        <w:rPr/>
        <w:t>structures</w:t>
      </w:r>
      <w:r>
        <w:rPr>
          <w:spacing w:val="-5"/>
        </w:rPr>
        <w:t> </w:t>
      </w:r>
      <w:r>
        <w:rPr/>
        <w:t>associated</w:t>
      </w:r>
      <w:r>
        <w:rPr>
          <w:spacing w:val="-6"/>
        </w:rPr>
        <w:t> </w:t>
      </w:r>
      <w:r>
        <w:rPr/>
        <w:t>with</w:t>
      </w:r>
      <w:r>
        <w:rPr>
          <w:spacing w:val="-7"/>
        </w:rPr>
        <w:t> </w:t>
      </w:r>
      <w:r>
        <w:rPr/>
        <w:t>the</w:t>
      </w:r>
      <w:r>
        <w:rPr>
          <w:spacing w:val="-4"/>
        </w:rPr>
        <w:t> </w:t>
      </w:r>
      <w:r>
        <w:rPr/>
        <w:t>built</w:t>
      </w:r>
      <w:r>
        <w:rPr>
          <w:spacing w:val="-7"/>
        </w:rPr>
        <w:t> </w:t>
      </w:r>
      <w:r>
        <w:rPr/>
        <w:t>environment</w:t>
      </w:r>
      <w:r>
        <w:rPr>
          <w:spacing w:val="-3"/>
        </w:rPr>
        <w:t> </w:t>
      </w:r>
      <w:r>
        <w:rPr/>
        <w:t>blend</w:t>
      </w:r>
      <w:r>
        <w:rPr>
          <w:spacing w:val="-6"/>
        </w:rPr>
        <w:t> </w:t>
      </w:r>
      <w:r>
        <w:rPr/>
        <w:t>with</w:t>
      </w:r>
      <w:r>
        <w:rPr>
          <w:spacing w:val="-7"/>
        </w:rPr>
        <w:t> </w:t>
      </w:r>
      <w:r>
        <w:rPr/>
        <w:t>the</w:t>
      </w:r>
      <w:r>
        <w:rPr>
          <w:spacing w:val="-7"/>
        </w:rPr>
        <w:t> </w:t>
      </w:r>
      <w:r>
        <w:rPr/>
        <w:t>surrounding</w:t>
      </w:r>
      <w:r>
        <w:rPr>
          <w:spacing w:val="-6"/>
        </w:rPr>
        <w:t> </w:t>
      </w:r>
      <w:r>
        <w:rPr/>
        <w:t>landscape and meet the ROS class and SIO design elements associated with the natural setting in which they are located. All new</w:t>
      </w:r>
      <w:r>
        <w:rPr>
          <w:spacing w:val="-1"/>
        </w:rPr>
        <w:t> </w:t>
      </w:r>
      <w:r>
        <w:rPr/>
        <w:t>structures</w:t>
      </w:r>
      <w:r>
        <w:rPr>
          <w:spacing w:val="-1"/>
        </w:rPr>
        <w:t> </w:t>
      </w:r>
      <w:r>
        <w:rPr/>
        <w:t>meet the appropriate regulations for accessibility. Existing facilities are reconstructed or maintained to meet the ROS and SIO design standards for the area in which they are located and to meet requirements for accessibility.</w:t>
      </w:r>
    </w:p>
    <w:p>
      <w:pPr>
        <w:pStyle w:val="Heading4"/>
        <w:spacing w:before="233"/>
      </w:pPr>
      <w:bookmarkStart w:name="Guidelines" w:id="472"/>
      <w:bookmarkEnd w:id="472"/>
      <w:r>
        <w:rPr/>
      </w:r>
      <w:bookmarkStart w:name="_bookmark149" w:id="473"/>
      <w:bookmarkEnd w:id="473"/>
      <w:r>
        <w:rPr/>
      </w:r>
      <w:r>
        <w:rPr>
          <w:spacing w:val="-2"/>
        </w:rPr>
        <w:t>Guidelines</w:t>
      </w:r>
    </w:p>
    <w:p>
      <w:pPr>
        <w:spacing w:before="240"/>
        <w:ind w:left="360" w:right="0" w:firstLine="0"/>
        <w:jc w:val="left"/>
        <w:rPr>
          <w:rFonts w:ascii="Arial"/>
          <w:i/>
          <w:sz w:val="22"/>
        </w:rPr>
      </w:pPr>
      <w:bookmarkStart w:name="FW-GDL-REC-01. Recreation Opportunities" w:id="474"/>
      <w:bookmarkEnd w:id="474"/>
      <w:r>
        <w:rPr/>
      </w:r>
      <w:r>
        <w:rPr>
          <w:rFonts w:ascii="Arial"/>
          <w:i/>
          <w:sz w:val="22"/>
        </w:rPr>
        <w:t>FW-GDL-REC-01.</w:t>
      </w:r>
      <w:r>
        <w:rPr>
          <w:rFonts w:ascii="Arial"/>
          <w:i/>
          <w:spacing w:val="-11"/>
          <w:sz w:val="22"/>
        </w:rPr>
        <w:t> </w:t>
      </w:r>
      <w:r>
        <w:rPr>
          <w:rFonts w:ascii="Arial"/>
          <w:i/>
          <w:sz w:val="22"/>
        </w:rPr>
        <w:t>Recreation</w:t>
      </w:r>
      <w:r>
        <w:rPr>
          <w:rFonts w:ascii="Arial"/>
          <w:i/>
          <w:spacing w:val="-10"/>
          <w:sz w:val="22"/>
        </w:rPr>
        <w:t> </w:t>
      </w:r>
      <w:r>
        <w:rPr>
          <w:rFonts w:ascii="Arial"/>
          <w:i/>
          <w:spacing w:val="-2"/>
          <w:sz w:val="22"/>
        </w:rPr>
        <w:t>Opportunities</w:t>
      </w:r>
    </w:p>
    <w:p>
      <w:pPr>
        <w:pStyle w:val="BodyText"/>
        <w:spacing w:line="232" w:lineRule="auto" w:before="64"/>
        <w:ind w:left="360" w:right="1766"/>
        <w:jc w:val="both"/>
      </w:pPr>
      <w:r>
        <w:rPr/>
        <w:t>Recreation-related</w:t>
      </w:r>
      <w:r>
        <w:rPr>
          <w:spacing w:val="-8"/>
        </w:rPr>
        <w:t> </w:t>
      </w:r>
      <w:r>
        <w:rPr/>
        <w:t>project-level</w:t>
      </w:r>
      <w:r>
        <w:rPr>
          <w:spacing w:val="-7"/>
        </w:rPr>
        <w:t> </w:t>
      </w:r>
      <w:r>
        <w:rPr/>
        <w:t>decisions</w:t>
      </w:r>
      <w:r>
        <w:rPr>
          <w:spacing w:val="-7"/>
        </w:rPr>
        <w:t> </w:t>
      </w:r>
      <w:r>
        <w:rPr/>
        <w:t>and</w:t>
      </w:r>
      <w:r>
        <w:rPr>
          <w:spacing w:val="-8"/>
        </w:rPr>
        <w:t> </w:t>
      </w:r>
      <w:r>
        <w:rPr/>
        <w:t>implementation</w:t>
      </w:r>
      <w:r>
        <w:rPr>
          <w:spacing w:val="-10"/>
        </w:rPr>
        <w:t> </w:t>
      </w:r>
      <w:r>
        <w:rPr/>
        <w:t>activities</w:t>
      </w:r>
      <w:r>
        <w:rPr>
          <w:spacing w:val="-9"/>
        </w:rPr>
        <w:t> </w:t>
      </w:r>
      <w:r>
        <w:rPr/>
        <w:t>should</w:t>
      </w:r>
      <w:r>
        <w:rPr>
          <w:spacing w:val="-8"/>
        </w:rPr>
        <w:t> </w:t>
      </w:r>
      <w:r>
        <w:rPr/>
        <w:t>be</w:t>
      </w:r>
      <w:r>
        <w:rPr>
          <w:spacing w:val="-6"/>
        </w:rPr>
        <w:t> </w:t>
      </w:r>
      <w:r>
        <w:rPr/>
        <w:t>consistent with</w:t>
      </w:r>
      <w:r>
        <w:rPr>
          <w:spacing w:val="-6"/>
        </w:rPr>
        <w:t> </w:t>
      </w:r>
      <w:r>
        <w:rPr/>
        <w:t>mapped</w:t>
      </w:r>
      <w:r>
        <w:rPr>
          <w:spacing w:val="-5"/>
        </w:rPr>
        <w:t> </w:t>
      </w:r>
      <w:r>
        <w:rPr/>
        <w:t>classes</w:t>
      </w:r>
      <w:r>
        <w:rPr>
          <w:spacing w:val="-4"/>
        </w:rPr>
        <w:t> </w:t>
      </w:r>
      <w:r>
        <w:rPr/>
        <w:t>and</w:t>
      </w:r>
      <w:r>
        <w:rPr>
          <w:spacing w:val="-5"/>
        </w:rPr>
        <w:t> </w:t>
      </w:r>
      <w:r>
        <w:rPr/>
        <w:t>setting</w:t>
      </w:r>
      <w:r>
        <w:rPr>
          <w:spacing w:val="-5"/>
        </w:rPr>
        <w:t> </w:t>
      </w:r>
      <w:r>
        <w:rPr/>
        <w:t>descriptions</w:t>
      </w:r>
      <w:r>
        <w:rPr>
          <w:spacing w:val="-6"/>
        </w:rPr>
        <w:t> </w:t>
      </w:r>
      <w:r>
        <w:rPr/>
        <w:t>in</w:t>
      </w:r>
      <w:r>
        <w:rPr>
          <w:spacing w:val="-5"/>
        </w:rPr>
        <w:t> </w:t>
      </w:r>
      <w:r>
        <w:rPr/>
        <w:t>the</w:t>
      </w:r>
      <w:r>
        <w:rPr>
          <w:spacing w:val="-6"/>
        </w:rPr>
        <w:t> </w:t>
      </w:r>
      <w:r>
        <w:rPr/>
        <w:t>ROS</w:t>
      </w:r>
      <w:r>
        <w:rPr>
          <w:spacing w:val="-4"/>
        </w:rPr>
        <w:t> </w:t>
      </w:r>
      <w:r>
        <w:rPr/>
        <w:t>and</w:t>
      </w:r>
      <w:r>
        <w:rPr>
          <w:spacing w:val="-5"/>
        </w:rPr>
        <w:t> </w:t>
      </w:r>
      <w:r>
        <w:rPr/>
        <w:t>meet</w:t>
      </w:r>
      <w:r>
        <w:rPr>
          <w:spacing w:val="-3"/>
        </w:rPr>
        <w:t> </w:t>
      </w:r>
      <w:r>
        <w:rPr/>
        <w:t>appropriate</w:t>
      </w:r>
      <w:r>
        <w:rPr>
          <w:spacing w:val="-6"/>
        </w:rPr>
        <w:t> </w:t>
      </w:r>
      <w:r>
        <w:rPr/>
        <w:t>screening</w:t>
      </w:r>
      <w:r>
        <w:rPr>
          <w:spacing w:val="-5"/>
        </w:rPr>
        <w:t> </w:t>
      </w:r>
      <w:r>
        <w:rPr/>
        <w:t>and </w:t>
      </w:r>
      <w:r>
        <w:rPr>
          <w:spacing w:val="-2"/>
        </w:rPr>
        <w:t>SIOs.</w:t>
      </w:r>
    </w:p>
    <w:p>
      <w:pPr>
        <w:pStyle w:val="BodyText"/>
        <w:spacing w:line="232" w:lineRule="auto" w:before="198"/>
        <w:ind w:left="360" w:right="1621"/>
      </w:pPr>
      <w:r>
        <w:rPr/>
        <w:t>Food</w:t>
      </w:r>
      <w:r>
        <w:rPr>
          <w:spacing w:val="-7"/>
        </w:rPr>
        <w:t> </w:t>
      </w:r>
      <w:r>
        <w:rPr/>
        <w:t>and</w:t>
      </w:r>
      <w:r>
        <w:rPr>
          <w:spacing w:val="-5"/>
        </w:rPr>
        <w:t> </w:t>
      </w:r>
      <w:r>
        <w:rPr/>
        <w:t>other</w:t>
      </w:r>
      <w:r>
        <w:rPr>
          <w:spacing w:val="-4"/>
        </w:rPr>
        <w:t> </w:t>
      </w:r>
      <w:r>
        <w:rPr/>
        <w:t>items</w:t>
      </w:r>
      <w:r>
        <w:rPr>
          <w:spacing w:val="-4"/>
        </w:rPr>
        <w:t> </w:t>
      </w:r>
      <w:r>
        <w:rPr/>
        <w:t>that</w:t>
      </w:r>
      <w:r>
        <w:rPr>
          <w:spacing w:val="-8"/>
        </w:rPr>
        <w:t> </w:t>
      </w:r>
      <w:r>
        <w:rPr/>
        <w:t>attract</w:t>
      </w:r>
      <w:r>
        <w:rPr>
          <w:spacing w:val="-6"/>
        </w:rPr>
        <w:t> </w:t>
      </w:r>
      <w:r>
        <w:rPr/>
        <w:t>wildlife</w:t>
      </w:r>
      <w:r>
        <w:rPr>
          <w:spacing w:val="-6"/>
        </w:rPr>
        <w:t> </w:t>
      </w:r>
      <w:r>
        <w:rPr/>
        <w:t>should</w:t>
      </w:r>
      <w:r>
        <w:rPr>
          <w:spacing w:val="-5"/>
        </w:rPr>
        <w:t> </w:t>
      </w:r>
      <w:r>
        <w:rPr/>
        <w:t>be</w:t>
      </w:r>
      <w:r>
        <w:rPr>
          <w:spacing w:val="-6"/>
        </w:rPr>
        <w:t> </w:t>
      </w:r>
      <w:r>
        <w:rPr/>
        <w:t>managed</w:t>
      </w:r>
      <w:r>
        <w:rPr>
          <w:spacing w:val="-5"/>
        </w:rPr>
        <w:t> </w:t>
      </w:r>
      <w:r>
        <w:rPr/>
        <w:t>to</w:t>
      </w:r>
      <w:r>
        <w:rPr>
          <w:spacing w:val="-4"/>
        </w:rPr>
        <w:t> </w:t>
      </w:r>
      <w:r>
        <w:rPr/>
        <w:t>prevent</w:t>
      </w:r>
      <w:r>
        <w:rPr>
          <w:spacing w:val="-6"/>
        </w:rPr>
        <w:t> </w:t>
      </w:r>
      <w:r>
        <w:rPr/>
        <w:t>reliance</w:t>
      </w:r>
      <w:r>
        <w:rPr>
          <w:spacing w:val="-8"/>
        </w:rPr>
        <w:t> </w:t>
      </w:r>
      <w:r>
        <w:rPr/>
        <w:t>on</w:t>
      </w:r>
      <w:r>
        <w:rPr>
          <w:spacing w:val="-5"/>
        </w:rPr>
        <w:t> </w:t>
      </w:r>
      <w:r>
        <w:rPr/>
        <w:t>humans and to reduce human-wildlife conflicts.</w:t>
      </w:r>
    </w:p>
    <w:p>
      <w:pPr>
        <w:pStyle w:val="BodyText"/>
        <w:spacing w:before="193"/>
        <w:ind w:left="360"/>
      </w:pPr>
      <w:r>
        <w:rPr/>
        <w:t>Constructed</w:t>
      </w:r>
      <w:r>
        <w:rPr>
          <w:spacing w:val="-9"/>
        </w:rPr>
        <w:t> </w:t>
      </w:r>
      <w:r>
        <w:rPr/>
        <w:t>features</w:t>
      </w:r>
      <w:r>
        <w:rPr>
          <w:spacing w:val="-8"/>
        </w:rPr>
        <w:t> </w:t>
      </w:r>
      <w:r>
        <w:rPr/>
        <w:t>should</w:t>
      </w:r>
      <w:r>
        <w:rPr>
          <w:spacing w:val="-8"/>
        </w:rPr>
        <w:t> </w:t>
      </w:r>
      <w:r>
        <w:rPr/>
        <w:t>be</w:t>
      </w:r>
      <w:r>
        <w:rPr>
          <w:spacing w:val="-7"/>
        </w:rPr>
        <w:t> </w:t>
      </w:r>
      <w:r>
        <w:rPr/>
        <w:t>maintained</w:t>
      </w:r>
      <w:r>
        <w:rPr>
          <w:spacing w:val="-8"/>
        </w:rPr>
        <w:t> </w:t>
      </w:r>
      <w:r>
        <w:rPr/>
        <w:t>to</w:t>
      </w:r>
      <w:r>
        <w:rPr>
          <w:spacing w:val="-7"/>
        </w:rPr>
        <w:t> </w:t>
      </w:r>
      <w:r>
        <w:rPr/>
        <w:t>standard</w:t>
      </w:r>
      <w:r>
        <w:rPr>
          <w:spacing w:val="-9"/>
        </w:rPr>
        <w:t> </w:t>
      </w:r>
      <w:r>
        <w:rPr/>
        <w:t>or</w:t>
      </w:r>
      <w:r>
        <w:rPr>
          <w:spacing w:val="-7"/>
        </w:rPr>
        <w:t> </w:t>
      </w:r>
      <w:r>
        <w:rPr/>
        <w:t>removed</w:t>
      </w:r>
      <w:r>
        <w:rPr>
          <w:spacing w:val="-11"/>
        </w:rPr>
        <w:t> </w:t>
      </w:r>
      <w:r>
        <w:rPr/>
        <w:t>when</w:t>
      </w:r>
      <w:r>
        <w:rPr>
          <w:spacing w:val="-8"/>
        </w:rPr>
        <w:t> </w:t>
      </w:r>
      <w:r>
        <w:rPr/>
        <w:t>no</w:t>
      </w:r>
      <w:r>
        <w:rPr>
          <w:spacing w:val="-7"/>
        </w:rPr>
        <w:t> </w:t>
      </w:r>
      <w:r>
        <w:rPr/>
        <w:t>longer</w:t>
      </w:r>
      <w:r>
        <w:rPr>
          <w:spacing w:val="-7"/>
        </w:rPr>
        <w:t> </w:t>
      </w:r>
      <w:r>
        <w:rPr>
          <w:spacing w:val="-2"/>
        </w:rPr>
        <w:t>needed.</w:t>
      </w:r>
    </w:p>
    <w:p>
      <w:pPr>
        <w:pStyle w:val="BodyText"/>
        <w:spacing w:after="0"/>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FW-GDL-REC-02. Dispersed Recreation" w:id="475"/>
      <w:bookmarkEnd w:id="475"/>
      <w:r>
        <w:rPr/>
      </w:r>
      <w:r>
        <w:rPr>
          <w:rFonts w:ascii="Arial"/>
          <w:i/>
          <w:sz w:val="22"/>
        </w:rPr>
        <w:t>FW-GDL-REC-02.</w:t>
      </w:r>
      <w:r>
        <w:rPr>
          <w:rFonts w:ascii="Arial"/>
          <w:i/>
          <w:spacing w:val="-11"/>
          <w:sz w:val="22"/>
        </w:rPr>
        <w:t> </w:t>
      </w:r>
      <w:r>
        <w:rPr>
          <w:rFonts w:ascii="Arial"/>
          <w:i/>
          <w:sz w:val="22"/>
        </w:rPr>
        <w:t>Dispersed</w:t>
      </w:r>
      <w:r>
        <w:rPr>
          <w:rFonts w:ascii="Arial"/>
          <w:i/>
          <w:spacing w:val="-10"/>
          <w:sz w:val="22"/>
        </w:rPr>
        <w:t> </w:t>
      </w:r>
      <w:r>
        <w:rPr>
          <w:rFonts w:ascii="Arial"/>
          <w:i/>
          <w:spacing w:val="-2"/>
          <w:sz w:val="22"/>
        </w:rPr>
        <w:t>Recreation</w:t>
      </w:r>
    </w:p>
    <w:p>
      <w:pPr>
        <w:pStyle w:val="BodyText"/>
        <w:spacing w:line="232" w:lineRule="auto" w:before="65"/>
        <w:ind w:left="1151" w:right="1073"/>
      </w:pPr>
      <w:r>
        <w:rPr/>
        <w:t>In</w:t>
      </w:r>
      <w:r>
        <w:rPr>
          <w:spacing w:val="-5"/>
        </w:rPr>
        <w:t> </w:t>
      </w:r>
      <w:r>
        <w:rPr/>
        <w:t>dispersed</w:t>
      </w:r>
      <w:r>
        <w:rPr>
          <w:spacing w:val="-5"/>
        </w:rPr>
        <w:t> </w:t>
      </w:r>
      <w:r>
        <w:rPr/>
        <w:t>areas,</w:t>
      </w:r>
      <w:r>
        <w:rPr>
          <w:spacing w:val="-4"/>
        </w:rPr>
        <w:t> </w:t>
      </w:r>
      <w:r>
        <w:rPr/>
        <w:t>the</w:t>
      </w:r>
      <w:r>
        <w:rPr>
          <w:spacing w:val="-5"/>
        </w:rPr>
        <w:t> </w:t>
      </w:r>
      <w:r>
        <w:rPr/>
        <w:t>priority</w:t>
      </w:r>
      <w:r>
        <w:rPr>
          <w:spacing w:val="-3"/>
        </w:rPr>
        <w:t> </w:t>
      </w:r>
      <w:r>
        <w:rPr/>
        <w:t>for</w:t>
      </w:r>
      <w:r>
        <w:rPr>
          <w:spacing w:val="-4"/>
        </w:rPr>
        <w:t> </w:t>
      </w:r>
      <w:r>
        <w:rPr/>
        <w:t>facilities</w:t>
      </w:r>
      <w:r>
        <w:rPr>
          <w:spacing w:val="-5"/>
        </w:rPr>
        <w:t> </w:t>
      </w:r>
      <w:r>
        <w:rPr/>
        <w:t>or</w:t>
      </w:r>
      <w:r>
        <w:rPr>
          <w:spacing w:val="-5"/>
        </w:rPr>
        <w:t> </w:t>
      </w:r>
      <w:r>
        <w:rPr/>
        <w:t>minor</w:t>
      </w:r>
      <w:r>
        <w:rPr>
          <w:spacing w:val="-5"/>
        </w:rPr>
        <w:t> </w:t>
      </w:r>
      <w:r>
        <w:rPr/>
        <w:t>developments</w:t>
      </w:r>
      <w:r>
        <w:rPr>
          <w:spacing w:val="-6"/>
        </w:rPr>
        <w:t> </w:t>
      </w:r>
      <w:r>
        <w:rPr/>
        <w:t>should</w:t>
      </w:r>
      <w:r>
        <w:rPr>
          <w:spacing w:val="-5"/>
        </w:rPr>
        <w:t> </w:t>
      </w:r>
      <w:r>
        <w:rPr/>
        <w:t>be</w:t>
      </w:r>
      <w:r>
        <w:rPr>
          <w:spacing w:val="-5"/>
        </w:rPr>
        <w:t> </w:t>
      </w:r>
      <w:r>
        <w:rPr/>
        <w:t>access</w:t>
      </w:r>
      <w:r>
        <w:rPr>
          <w:spacing w:val="-4"/>
        </w:rPr>
        <w:t> </w:t>
      </w:r>
      <w:r>
        <w:rPr/>
        <w:t>and protection of the environment, rather than the comfort or convenience of the visitors.</w:t>
      </w:r>
    </w:p>
    <w:p>
      <w:pPr>
        <w:spacing w:before="234"/>
        <w:ind w:left="1151" w:right="0" w:firstLine="0"/>
        <w:jc w:val="left"/>
        <w:rPr>
          <w:rFonts w:ascii="Arial"/>
          <w:i/>
          <w:sz w:val="22"/>
        </w:rPr>
      </w:pPr>
      <w:bookmarkStart w:name="FW-GDL-REC-03. Site Design" w:id="476"/>
      <w:bookmarkEnd w:id="476"/>
      <w:r>
        <w:rPr/>
      </w:r>
      <w:r>
        <w:rPr>
          <w:rFonts w:ascii="Arial"/>
          <w:i/>
          <w:sz w:val="22"/>
        </w:rPr>
        <w:t>FW-GDL-REC-03.</w:t>
      </w:r>
      <w:r>
        <w:rPr>
          <w:rFonts w:ascii="Arial"/>
          <w:i/>
          <w:spacing w:val="-8"/>
          <w:sz w:val="22"/>
        </w:rPr>
        <w:t> </w:t>
      </w:r>
      <w:r>
        <w:rPr>
          <w:rFonts w:ascii="Arial"/>
          <w:i/>
          <w:sz w:val="22"/>
        </w:rPr>
        <w:t>Site</w:t>
      </w:r>
      <w:r>
        <w:rPr>
          <w:rFonts w:ascii="Arial"/>
          <w:i/>
          <w:spacing w:val="-6"/>
          <w:sz w:val="22"/>
        </w:rPr>
        <w:t> </w:t>
      </w:r>
      <w:r>
        <w:rPr>
          <w:rFonts w:ascii="Arial"/>
          <w:i/>
          <w:spacing w:val="-2"/>
          <w:sz w:val="22"/>
        </w:rPr>
        <w:t>Design</w:t>
      </w:r>
    </w:p>
    <w:p>
      <w:pPr>
        <w:pStyle w:val="BodyText"/>
        <w:spacing w:line="232" w:lineRule="auto" w:before="65"/>
        <w:ind w:left="1151" w:right="801"/>
      </w:pPr>
      <w:r>
        <w:rPr/>
        <w:t>The Rocky Mountain Province architectural style should be incorporated in the design of recreation</w:t>
      </w:r>
      <w:r>
        <w:rPr>
          <w:spacing w:val="-7"/>
        </w:rPr>
        <w:t> </w:t>
      </w:r>
      <w:r>
        <w:rPr/>
        <w:t>facilities</w:t>
      </w:r>
      <w:r>
        <w:rPr>
          <w:spacing w:val="-8"/>
        </w:rPr>
        <w:t> </w:t>
      </w:r>
      <w:r>
        <w:rPr/>
        <w:t>to</w:t>
      </w:r>
      <w:r>
        <w:rPr>
          <w:spacing w:val="-7"/>
        </w:rPr>
        <w:t> </w:t>
      </w:r>
      <w:r>
        <w:rPr/>
        <w:t>remain</w:t>
      </w:r>
      <w:r>
        <w:rPr>
          <w:spacing w:val="-7"/>
        </w:rPr>
        <w:t> </w:t>
      </w:r>
      <w:r>
        <w:rPr/>
        <w:t>consistent</w:t>
      </w:r>
      <w:r>
        <w:rPr>
          <w:spacing w:val="-5"/>
        </w:rPr>
        <w:t> </w:t>
      </w:r>
      <w:r>
        <w:rPr/>
        <w:t>with</w:t>
      </w:r>
      <w:r>
        <w:rPr>
          <w:spacing w:val="-9"/>
        </w:rPr>
        <w:t> </w:t>
      </w:r>
      <w:r>
        <w:rPr/>
        <w:t>the</w:t>
      </w:r>
      <w:r>
        <w:rPr>
          <w:spacing w:val="-8"/>
        </w:rPr>
        <w:t> </w:t>
      </w:r>
      <w:r>
        <w:rPr/>
        <w:t>Forest’s</w:t>
      </w:r>
      <w:r>
        <w:rPr>
          <w:spacing w:val="-8"/>
        </w:rPr>
        <w:t> </w:t>
      </w:r>
      <w:r>
        <w:rPr/>
        <w:t>existing</w:t>
      </w:r>
      <w:r>
        <w:rPr>
          <w:spacing w:val="-7"/>
        </w:rPr>
        <w:t> </w:t>
      </w:r>
      <w:r>
        <w:rPr/>
        <w:t>structures</w:t>
      </w:r>
      <w:r>
        <w:rPr>
          <w:spacing w:val="-6"/>
        </w:rPr>
        <w:t> </w:t>
      </w:r>
      <w:r>
        <w:rPr/>
        <w:t>and</w:t>
      </w:r>
      <w:r>
        <w:rPr>
          <w:spacing w:val="-7"/>
        </w:rPr>
        <w:t> </w:t>
      </w:r>
      <w:r>
        <w:rPr/>
        <w:t>the</w:t>
      </w:r>
      <w:r>
        <w:rPr>
          <w:spacing w:val="-5"/>
        </w:rPr>
        <w:t> </w:t>
      </w:r>
      <w:r>
        <w:rPr/>
        <w:t>direction contained in the Built Environment Image Guide.</w:t>
      </w:r>
    </w:p>
    <w:p>
      <w:pPr>
        <w:pStyle w:val="Heading3"/>
        <w:spacing w:before="236"/>
      </w:pPr>
      <w:bookmarkStart w:name="Renewable Forest Products (RFP)" w:id="477"/>
      <w:bookmarkEnd w:id="477"/>
      <w:r>
        <w:rPr>
          <w:b w:val="0"/>
        </w:rPr>
      </w:r>
      <w:bookmarkStart w:name="_bookmark150" w:id="478"/>
      <w:bookmarkEnd w:id="478"/>
      <w:r>
        <w:rPr>
          <w:b w:val="0"/>
        </w:rPr>
      </w:r>
      <w:r>
        <w:rPr>
          <w:smallCaps/>
          <w:color w:val="475824"/>
        </w:rPr>
        <w:t>Renewable</w:t>
      </w:r>
      <w:r>
        <w:rPr>
          <w:smallCaps/>
          <w:color w:val="475824"/>
          <w:spacing w:val="-9"/>
        </w:rPr>
        <w:t> </w:t>
      </w:r>
      <w:r>
        <w:rPr>
          <w:smallCaps/>
          <w:color w:val="475824"/>
        </w:rPr>
        <w:t>Forest</w:t>
      </w:r>
      <w:r>
        <w:rPr>
          <w:smallCaps/>
          <w:color w:val="475824"/>
          <w:spacing w:val="-8"/>
        </w:rPr>
        <w:t> </w:t>
      </w:r>
      <w:r>
        <w:rPr>
          <w:smallCaps/>
          <w:color w:val="475824"/>
        </w:rPr>
        <w:t>Products</w:t>
      </w:r>
      <w:r>
        <w:rPr>
          <w:smallCaps/>
          <w:color w:val="475824"/>
          <w:spacing w:val="-8"/>
        </w:rPr>
        <w:t> </w:t>
      </w:r>
      <w:r>
        <w:rPr>
          <w:smallCaps/>
          <w:color w:val="475824"/>
          <w:spacing w:val="-4"/>
        </w:rPr>
        <w:t>(RFP)</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8048">
                <wp:simplePos x="0" y="0"/>
                <wp:positionH relativeFrom="page">
                  <wp:posOffset>1627632</wp:posOffset>
                </wp:positionH>
                <wp:positionV relativeFrom="paragraph">
                  <wp:posOffset>75263</wp:posOffset>
                </wp:positionV>
                <wp:extent cx="5248910" cy="2028825"/>
                <wp:effectExtent l="0" t="0" r="0" b="0"/>
                <wp:wrapTopAndBottom/>
                <wp:docPr id="187" name="Textbox 187"/>
                <wp:cNvGraphicFramePr>
                  <a:graphicFrameLocks/>
                </wp:cNvGraphicFramePr>
                <a:graphic>
                  <a:graphicData uri="http://schemas.microsoft.com/office/word/2010/wordprocessingShape">
                    <wps:wsp>
                      <wps:cNvPr id="187" name="Textbox 187"/>
                      <wps:cNvSpPr txBox="1"/>
                      <wps:spPr>
                        <a:xfrm>
                          <a:off x="0" y="0"/>
                          <a:ext cx="5248910" cy="2028825"/>
                        </a:xfrm>
                        <a:prstGeom prst="rect">
                          <a:avLst/>
                        </a:prstGeom>
                        <a:solidFill>
                          <a:srgbClr val="DFDFDF"/>
                        </a:solidFill>
                      </wps:spPr>
                      <wps:txbx>
                        <w:txbxContent>
                          <w:p>
                            <w:pPr>
                              <w:pStyle w:val="BodyText"/>
                              <w:ind w:left="28" w:right="239"/>
                              <w:jc w:val="both"/>
                              <w:rPr>
                                <w:color w:val="000000"/>
                              </w:rPr>
                            </w:pPr>
                            <w:r>
                              <w:rPr>
                                <w:color w:val="000000"/>
                              </w:rPr>
                              <w:t>Forest</w:t>
                            </w:r>
                            <w:r>
                              <w:rPr>
                                <w:color w:val="000000"/>
                                <w:spacing w:val="-4"/>
                              </w:rPr>
                              <w:t> </w:t>
                            </w:r>
                            <w:r>
                              <w:rPr>
                                <w:color w:val="000000"/>
                              </w:rPr>
                              <w:t>products</w:t>
                            </w:r>
                            <w:r>
                              <w:rPr>
                                <w:color w:val="000000"/>
                                <w:spacing w:val="-2"/>
                              </w:rPr>
                              <w:t> </w:t>
                            </w:r>
                            <w:r>
                              <w:rPr>
                                <w:color w:val="000000"/>
                              </w:rPr>
                              <w:t>are</w:t>
                            </w:r>
                            <w:r>
                              <w:rPr>
                                <w:color w:val="000000"/>
                                <w:spacing w:val="-4"/>
                              </w:rPr>
                              <w:t> </w:t>
                            </w:r>
                            <w:r>
                              <w:rPr>
                                <w:color w:val="000000"/>
                              </w:rPr>
                              <w:t>products</w:t>
                            </w:r>
                            <w:r>
                              <w:rPr>
                                <w:color w:val="000000"/>
                                <w:spacing w:val="-2"/>
                              </w:rPr>
                              <w:t> </w:t>
                            </w:r>
                            <w:r>
                              <w:rPr>
                                <w:color w:val="000000"/>
                              </w:rPr>
                              <w:t>collected</w:t>
                            </w:r>
                            <w:r>
                              <w:rPr>
                                <w:color w:val="000000"/>
                                <w:spacing w:val="-3"/>
                              </w:rPr>
                              <w:t> </w:t>
                            </w:r>
                            <w:r>
                              <w:rPr>
                                <w:color w:val="000000"/>
                              </w:rPr>
                              <w:t>from</w:t>
                            </w:r>
                            <w:r>
                              <w:rPr>
                                <w:color w:val="000000"/>
                                <w:spacing w:val="-3"/>
                              </w:rPr>
                              <w:t> </w:t>
                            </w:r>
                            <w:r>
                              <w:rPr>
                                <w:color w:val="000000"/>
                              </w:rPr>
                              <w:t>the</w:t>
                            </w:r>
                            <w:r>
                              <w:rPr>
                                <w:color w:val="000000"/>
                                <w:spacing w:val="-1"/>
                              </w:rPr>
                              <w:t> </w:t>
                            </w:r>
                            <w:r>
                              <w:rPr>
                                <w:color w:val="000000"/>
                              </w:rPr>
                              <w:t>national</w:t>
                            </w:r>
                            <w:r>
                              <w:rPr>
                                <w:color w:val="000000"/>
                                <w:spacing w:val="-2"/>
                              </w:rPr>
                              <w:t> </w:t>
                            </w:r>
                            <w:r>
                              <w:rPr>
                                <w:color w:val="000000"/>
                              </w:rPr>
                              <w:t>forest</w:t>
                            </w:r>
                            <w:r>
                              <w:rPr>
                                <w:color w:val="000000"/>
                                <w:spacing w:val="-1"/>
                              </w:rPr>
                              <w:t> </w:t>
                            </w:r>
                            <w:r>
                              <w:rPr>
                                <w:color w:val="000000"/>
                              </w:rPr>
                              <w:t>for</w:t>
                            </w:r>
                            <w:r>
                              <w:rPr>
                                <w:color w:val="000000"/>
                                <w:spacing w:val="-2"/>
                              </w:rPr>
                              <w:t> </w:t>
                            </w:r>
                            <w:r>
                              <w:rPr>
                                <w:color w:val="000000"/>
                              </w:rPr>
                              <w:t>commercial,</w:t>
                            </w:r>
                            <w:r>
                              <w:rPr>
                                <w:color w:val="000000"/>
                                <w:spacing w:val="-4"/>
                              </w:rPr>
                              <w:t> </w:t>
                            </w:r>
                            <w:r>
                              <w:rPr>
                                <w:color w:val="000000"/>
                              </w:rPr>
                              <w:t>personal, Native</w:t>
                            </w:r>
                            <w:r>
                              <w:rPr>
                                <w:color w:val="000000"/>
                                <w:spacing w:val="-2"/>
                              </w:rPr>
                              <w:t> </w:t>
                            </w:r>
                            <w:r>
                              <w:rPr>
                                <w:color w:val="000000"/>
                              </w:rPr>
                              <w:t>American</w:t>
                            </w:r>
                            <w:r>
                              <w:rPr>
                                <w:color w:val="000000"/>
                                <w:spacing w:val="-4"/>
                              </w:rPr>
                              <w:t> </w:t>
                            </w:r>
                            <w:r>
                              <w:rPr>
                                <w:color w:val="000000"/>
                              </w:rPr>
                              <w:t>Tribal,</w:t>
                            </w:r>
                            <w:r>
                              <w:rPr>
                                <w:color w:val="000000"/>
                                <w:spacing w:val="-5"/>
                              </w:rPr>
                              <w:t> </w:t>
                            </w:r>
                            <w:r>
                              <w:rPr>
                                <w:color w:val="000000"/>
                              </w:rPr>
                              <w:t>educational,</w:t>
                            </w:r>
                            <w:r>
                              <w:rPr>
                                <w:color w:val="000000"/>
                                <w:spacing w:val="-3"/>
                              </w:rPr>
                              <w:t> </w:t>
                            </w:r>
                            <w:r>
                              <w:rPr>
                                <w:color w:val="000000"/>
                              </w:rPr>
                              <w:t>and/or</w:t>
                            </w:r>
                            <w:r>
                              <w:rPr>
                                <w:color w:val="000000"/>
                                <w:spacing w:val="-5"/>
                              </w:rPr>
                              <w:t> </w:t>
                            </w:r>
                            <w:r>
                              <w:rPr>
                                <w:color w:val="000000"/>
                              </w:rPr>
                              <w:t>scientific</w:t>
                            </w:r>
                            <w:r>
                              <w:rPr>
                                <w:color w:val="000000"/>
                                <w:spacing w:val="-5"/>
                              </w:rPr>
                              <w:t> </w:t>
                            </w:r>
                            <w:r>
                              <w:rPr>
                                <w:color w:val="000000"/>
                              </w:rPr>
                              <w:t>purposes.</w:t>
                            </w:r>
                            <w:r>
                              <w:rPr>
                                <w:color w:val="000000"/>
                                <w:spacing w:val="-3"/>
                              </w:rPr>
                              <w:t> </w:t>
                            </w:r>
                            <w:r>
                              <w:rPr>
                                <w:color w:val="000000"/>
                              </w:rPr>
                              <w:t>This</w:t>
                            </w:r>
                            <w:r>
                              <w:rPr>
                                <w:color w:val="000000"/>
                                <w:spacing w:val="-5"/>
                              </w:rPr>
                              <w:t> </w:t>
                            </w:r>
                            <w:r>
                              <w:rPr>
                                <w:color w:val="000000"/>
                              </w:rPr>
                              <w:t>section</w:t>
                            </w:r>
                            <w:r>
                              <w:rPr>
                                <w:color w:val="000000"/>
                                <w:spacing w:val="-4"/>
                              </w:rPr>
                              <w:t> </w:t>
                            </w:r>
                            <w:r>
                              <w:rPr>
                                <w:color w:val="000000"/>
                              </w:rPr>
                              <w:t>refers</w:t>
                            </w:r>
                            <w:r>
                              <w:rPr>
                                <w:color w:val="000000"/>
                                <w:spacing w:val="-3"/>
                              </w:rPr>
                              <w:t> </w:t>
                            </w:r>
                            <w:r>
                              <w:rPr>
                                <w:color w:val="000000"/>
                              </w:rPr>
                              <w:t>to</w:t>
                            </w:r>
                            <w:r>
                              <w:rPr>
                                <w:color w:val="000000"/>
                                <w:spacing w:val="-4"/>
                              </w:rPr>
                              <w:t> </w:t>
                            </w:r>
                            <w:r>
                              <w:rPr>
                                <w:color w:val="000000"/>
                              </w:rPr>
                              <w:t>two categories</w:t>
                            </w:r>
                            <w:r>
                              <w:rPr>
                                <w:color w:val="000000"/>
                                <w:spacing w:val="-2"/>
                              </w:rPr>
                              <w:t> </w:t>
                            </w:r>
                            <w:r>
                              <w:rPr>
                                <w:color w:val="000000"/>
                              </w:rPr>
                              <w:t>of forest products: those</w:t>
                            </w:r>
                            <w:r>
                              <w:rPr>
                                <w:color w:val="000000"/>
                                <w:spacing w:val="-2"/>
                              </w:rPr>
                              <w:t> </w:t>
                            </w:r>
                            <w:r>
                              <w:rPr>
                                <w:color w:val="000000"/>
                              </w:rPr>
                              <w:t>referred</w:t>
                            </w:r>
                            <w:r>
                              <w:rPr>
                                <w:color w:val="000000"/>
                                <w:spacing w:val="-1"/>
                              </w:rPr>
                              <w:t> </w:t>
                            </w:r>
                            <w:r>
                              <w:rPr>
                                <w:color w:val="000000"/>
                              </w:rPr>
                              <w:t>to as</w:t>
                            </w:r>
                            <w:r>
                              <w:rPr>
                                <w:color w:val="000000"/>
                                <w:spacing w:val="-2"/>
                              </w:rPr>
                              <w:t> </w:t>
                            </w:r>
                            <w:r>
                              <w:rPr>
                                <w:color w:val="000000"/>
                              </w:rPr>
                              <w:t>“special forest</w:t>
                            </w:r>
                            <w:r>
                              <w:rPr>
                                <w:color w:val="000000"/>
                                <w:spacing w:val="-2"/>
                              </w:rPr>
                              <w:t> </w:t>
                            </w:r>
                            <w:r>
                              <w:rPr>
                                <w:color w:val="000000"/>
                              </w:rPr>
                              <w:t>products”</w:t>
                            </w:r>
                            <w:r>
                              <w:rPr>
                                <w:color w:val="000000"/>
                                <w:spacing w:val="-1"/>
                              </w:rPr>
                              <w:t> </w:t>
                            </w:r>
                            <w:r>
                              <w:rPr>
                                <w:color w:val="000000"/>
                              </w:rPr>
                              <w:t>as defined</w:t>
                            </w:r>
                            <w:r>
                              <w:rPr>
                                <w:color w:val="000000"/>
                                <w:spacing w:val="-1"/>
                              </w:rPr>
                              <w:t> </w:t>
                            </w:r>
                            <w:r>
                              <w:rPr>
                                <w:color w:val="000000"/>
                              </w:rPr>
                              <w:t>by FSH 2409.18-80, 2008, and those considered merchantable wood products.</w:t>
                            </w:r>
                          </w:p>
                          <w:p>
                            <w:pPr>
                              <w:pStyle w:val="BodyText"/>
                              <w:spacing w:before="118"/>
                              <w:ind w:left="28"/>
                              <w:rPr>
                                <w:color w:val="000000"/>
                              </w:rPr>
                            </w:pPr>
                            <w:r>
                              <w:rPr>
                                <w:color w:val="000000"/>
                              </w:rPr>
                              <w:t>Examples</w:t>
                            </w:r>
                            <w:r>
                              <w:rPr>
                                <w:color w:val="000000"/>
                                <w:spacing w:val="-4"/>
                              </w:rPr>
                              <w:t> </w:t>
                            </w:r>
                            <w:r>
                              <w:rPr>
                                <w:color w:val="000000"/>
                              </w:rPr>
                              <w:t>of</w:t>
                            </w:r>
                            <w:r>
                              <w:rPr>
                                <w:color w:val="000000"/>
                                <w:spacing w:val="-2"/>
                              </w:rPr>
                              <w:t> </w:t>
                            </w:r>
                            <w:r>
                              <w:rPr>
                                <w:color w:val="000000"/>
                              </w:rPr>
                              <w:t>special</w:t>
                            </w:r>
                            <w:r>
                              <w:rPr>
                                <w:color w:val="000000"/>
                                <w:spacing w:val="-2"/>
                              </w:rPr>
                              <w:t> </w:t>
                            </w:r>
                            <w:r>
                              <w:rPr>
                                <w:color w:val="000000"/>
                              </w:rPr>
                              <w:t>forest</w:t>
                            </w:r>
                            <w:r>
                              <w:rPr>
                                <w:color w:val="000000"/>
                                <w:spacing w:val="-6"/>
                              </w:rPr>
                              <w:t> </w:t>
                            </w:r>
                            <w:r>
                              <w:rPr>
                                <w:color w:val="000000"/>
                              </w:rPr>
                              <w:t>products</w:t>
                            </w:r>
                            <w:r>
                              <w:rPr>
                                <w:color w:val="000000"/>
                                <w:spacing w:val="-2"/>
                              </w:rPr>
                              <w:t> </w:t>
                            </w:r>
                            <w:r>
                              <w:rPr>
                                <w:color w:val="000000"/>
                              </w:rPr>
                              <w:t>can</w:t>
                            </w:r>
                            <w:r>
                              <w:rPr>
                                <w:color w:val="000000"/>
                                <w:spacing w:val="-5"/>
                              </w:rPr>
                              <w:t> </w:t>
                            </w:r>
                            <w:r>
                              <w:rPr>
                                <w:color w:val="000000"/>
                              </w:rPr>
                              <w:t>include</w:t>
                            </w:r>
                            <w:r>
                              <w:rPr>
                                <w:color w:val="000000"/>
                                <w:spacing w:val="-1"/>
                              </w:rPr>
                              <w:t> </w:t>
                            </w:r>
                            <w:r>
                              <w:rPr>
                                <w:color w:val="000000"/>
                              </w:rPr>
                              <w:t>but</w:t>
                            </w:r>
                            <w:r>
                              <w:rPr>
                                <w:color w:val="000000"/>
                                <w:spacing w:val="-1"/>
                              </w:rPr>
                              <w:t> </w:t>
                            </w:r>
                            <w:r>
                              <w:rPr>
                                <w:color w:val="000000"/>
                              </w:rPr>
                              <w:t>are</w:t>
                            </w:r>
                            <w:r>
                              <w:rPr>
                                <w:color w:val="000000"/>
                                <w:spacing w:val="-1"/>
                              </w:rPr>
                              <w:t> </w:t>
                            </w:r>
                            <w:r>
                              <w:rPr>
                                <w:color w:val="000000"/>
                              </w:rPr>
                              <w:t>not</w:t>
                            </w:r>
                            <w:r>
                              <w:rPr>
                                <w:color w:val="000000"/>
                                <w:spacing w:val="-4"/>
                              </w:rPr>
                              <w:t> </w:t>
                            </w:r>
                            <w:r>
                              <w:rPr>
                                <w:color w:val="000000"/>
                              </w:rPr>
                              <w:t>limited</w:t>
                            </w:r>
                            <w:r>
                              <w:rPr>
                                <w:color w:val="000000"/>
                                <w:spacing w:val="-3"/>
                              </w:rPr>
                              <w:t> </w:t>
                            </w:r>
                            <w:r>
                              <w:rPr>
                                <w:color w:val="000000"/>
                              </w:rPr>
                              <w:t>to</w:t>
                            </w:r>
                            <w:r>
                              <w:rPr>
                                <w:color w:val="000000"/>
                                <w:spacing w:val="-1"/>
                              </w:rPr>
                              <w:t> </w:t>
                            </w:r>
                            <w:r>
                              <w:rPr>
                                <w:color w:val="000000"/>
                              </w:rPr>
                              <w:t>bark,</w:t>
                            </w:r>
                            <w:r>
                              <w:rPr>
                                <w:color w:val="000000"/>
                                <w:spacing w:val="-2"/>
                              </w:rPr>
                              <w:t> </w:t>
                            </w:r>
                            <w:r>
                              <w:rPr>
                                <w:color w:val="000000"/>
                              </w:rPr>
                              <w:t>berries,</w:t>
                            </w:r>
                            <w:r>
                              <w:rPr>
                                <w:color w:val="000000"/>
                                <w:spacing w:val="-2"/>
                              </w:rPr>
                              <w:t> </w:t>
                            </w:r>
                            <w:r>
                              <w:rPr>
                                <w:color w:val="000000"/>
                              </w:rPr>
                              <w:t>boughs, bulbs, burls, Christmas trees, cones, ferns, firewood, forbs, mushrooms, grasses, mosses, nuts, pine straw, roots, sedges, seeds, transplants, tree sap, wildflowers, fence material, posts and poles, shingle and shake bolts, and rails.</w:t>
                            </w:r>
                          </w:p>
                          <w:p>
                            <w:pPr>
                              <w:pStyle w:val="BodyText"/>
                              <w:spacing w:before="121"/>
                              <w:ind w:left="28" w:right="120"/>
                              <w:rPr>
                                <w:color w:val="000000"/>
                              </w:rPr>
                            </w:pPr>
                            <w:r>
                              <w:rPr>
                                <w:color w:val="000000"/>
                              </w:rPr>
                              <w:t>Examples</w:t>
                            </w:r>
                            <w:r>
                              <w:rPr>
                                <w:color w:val="000000"/>
                                <w:spacing w:val="-4"/>
                              </w:rPr>
                              <w:t> </w:t>
                            </w:r>
                            <w:r>
                              <w:rPr>
                                <w:color w:val="000000"/>
                              </w:rPr>
                              <w:t>of</w:t>
                            </w:r>
                            <w:r>
                              <w:rPr>
                                <w:color w:val="000000"/>
                                <w:spacing w:val="-4"/>
                              </w:rPr>
                              <w:t> </w:t>
                            </w:r>
                            <w:r>
                              <w:rPr>
                                <w:color w:val="000000"/>
                              </w:rPr>
                              <w:t>merchantable</w:t>
                            </w:r>
                            <w:r>
                              <w:rPr>
                                <w:color w:val="000000"/>
                                <w:spacing w:val="-4"/>
                              </w:rPr>
                              <w:t> </w:t>
                            </w:r>
                            <w:r>
                              <w:rPr>
                                <w:color w:val="000000"/>
                              </w:rPr>
                              <w:t>timber</w:t>
                            </w:r>
                            <w:r>
                              <w:rPr>
                                <w:color w:val="000000"/>
                                <w:spacing w:val="-4"/>
                              </w:rPr>
                              <w:t> </w:t>
                            </w:r>
                            <w:r>
                              <w:rPr>
                                <w:color w:val="000000"/>
                              </w:rPr>
                              <w:t>products</w:t>
                            </w:r>
                            <w:r>
                              <w:rPr>
                                <w:color w:val="000000"/>
                                <w:spacing w:val="-4"/>
                              </w:rPr>
                              <w:t> </w:t>
                            </w:r>
                            <w:r>
                              <w:rPr>
                                <w:color w:val="000000"/>
                              </w:rPr>
                              <w:t>can</w:t>
                            </w:r>
                            <w:r>
                              <w:rPr>
                                <w:color w:val="000000"/>
                                <w:spacing w:val="-4"/>
                              </w:rPr>
                              <w:t> </w:t>
                            </w:r>
                            <w:r>
                              <w:rPr>
                                <w:color w:val="000000"/>
                              </w:rPr>
                              <w:t>include,</w:t>
                            </w:r>
                            <w:r>
                              <w:rPr>
                                <w:color w:val="000000"/>
                                <w:spacing w:val="-3"/>
                              </w:rPr>
                              <w:t> </w:t>
                            </w:r>
                            <w:r>
                              <w:rPr>
                                <w:color w:val="000000"/>
                              </w:rPr>
                              <w:t>but</w:t>
                            </w:r>
                            <w:r>
                              <w:rPr>
                                <w:color w:val="000000"/>
                                <w:spacing w:val="-2"/>
                              </w:rPr>
                              <w:t> </w:t>
                            </w:r>
                            <w:r>
                              <w:rPr>
                                <w:color w:val="000000"/>
                              </w:rPr>
                              <w:t>are</w:t>
                            </w:r>
                            <w:r>
                              <w:rPr>
                                <w:color w:val="000000"/>
                                <w:spacing w:val="-2"/>
                              </w:rPr>
                              <w:t> </w:t>
                            </w:r>
                            <w:r>
                              <w:rPr>
                                <w:color w:val="000000"/>
                              </w:rPr>
                              <w:t>not</w:t>
                            </w:r>
                            <w:r>
                              <w:rPr>
                                <w:color w:val="000000"/>
                                <w:spacing w:val="-2"/>
                              </w:rPr>
                              <w:t> </w:t>
                            </w:r>
                            <w:r>
                              <w:rPr>
                                <w:color w:val="000000"/>
                              </w:rPr>
                              <w:t>limited</w:t>
                            </w:r>
                            <w:r>
                              <w:rPr>
                                <w:color w:val="000000"/>
                                <w:spacing w:val="-5"/>
                              </w:rPr>
                              <w:t> </w:t>
                            </w:r>
                            <w:r>
                              <w:rPr>
                                <w:color w:val="000000"/>
                              </w:rPr>
                              <w:t>to</w:t>
                            </w:r>
                            <w:r>
                              <w:rPr>
                                <w:color w:val="000000"/>
                                <w:spacing w:val="-4"/>
                              </w:rPr>
                              <w:t> </w:t>
                            </w:r>
                            <w:r>
                              <w:rPr>
                                <w:color w:val="000000"/>
                              </w:rPr>
                              <w:t>sawtimber, pulpwood, non-sawlog material removed in log form, biomass and other wood fiber </w:t>
                            </w:r>
                            <w:r>
                              <w:rPr>
                                <w:color w:val="000000"/>
                                <w:spacing w:val="-2"/>
                              </w:rPr>
                              <w:t>products.</w:t>
                            </w:r>
                          </w:p>
                        </w:txbxContent>
                      </wps:txbx>
                      <wps:bodyPr wrap="square" lIns="0" tIns="0" rIns="0" bIns="0" rtlCol="0">
                        <a:noAutofit/>
                      </wps:bodyPr>
                    </wps:wsp>
                  </a:graphicData>
                </a:graphic>
              </wp:anchor>
            </w:drawing>
          </mc:Choice>
          <mc:Fallback>
            <w:pict>
              <v:shape style="position:absolute;margin-left:128.160004pt;margin-top:5.926221pt;width:413.3pt;height:159.75pt;mso-position-horizontal-relative:page;mso-position-vertical-relative:paragraph;z-index:-15698432;mso-wrap-distance-left:0;mso-wrap-distance-right:0" type="#_x0000_t202" id="docshape175" filled="true" fillcolor="#dfdfdf" stroked="false">
                <v:textbox inset="0,0,0,0">
                  <w:txbxContent>
                    <w:p>
                      <w:pPr>
                        <w:pStyle w:val="BodyText"/>
                        <w:ind w:left="28" w:right="239"/>
                        <w:jc w:val="both"/>
                        <w:rPr>
                          <w:color w:val="000000"/>
                        </w:rPr>
                      </w:pPr>
                      <w:r>
                        <w:rPr>
                          <w:color w:val="000000"/>
                        </w:rPr>
                        <w:t>Forest</w:t>
                      </w:r>
                      <w:r>
                        <w:rPr>
                          <w:color w:val="000000"/>
                          <w:spacing w:val="-4"/>
                        </w:rPr>
                        <w:t> </w:t>
                      </w:r>
                      <w:r>
                        <w:rPr>
                          <w:color w:val="000000"/>
                        </w:rPr>
                        <w:t>products</w:t>
                      </w:r>
                      <w:r>
                        <w:rPr>
                          <w:color w:val="000000"/>
                          <w:spacing w:val="-2"/>
                        </w:rPr>
                        <w:t> </w:t>
                      </w:r>
                      <w:r>
                        <w:rPr>
                          <w:color w:val="000000"/>
                        </w:rPr>
                        <w:t>are</w:t>
                      </w:r>
                      <w:r>
                        <w:rPr>
                          <w:color w:val="000000"/>
                          <w:spacing w:val="-4"/>
                        </w:rPr>
                        <w:t> </w:t>
                      </w:r>
                      <w:r>
                        <w:rPr>
                          <w:color w:val="000000"/>
                        </w:rPr>
                        <w:t>products</w:t>
                      </w:r>
                      <w:r>
                        <w:rPr>
                          <w:color w:val="000000"/>
                          <w:spacing w:val="-2"/>
                        </w:rPr>
                        <w:t> </w:t>
                      </w:r>
                      <w:r>
                        <w:rPr>
                          <w:color w:val="000000"/>
                        </w:rPr>
                        <w:t>collected</w:t>
                      </w:r>
                      <w:r>
                        <w:rPr>
                          <w:color w:val="000000"/>
                          <w:spacing w:val="-3"/>
                        </w:rPr>
                        <w:t> </w:t>
                      </w:r>
                      <w:r>
                        <w:rPr>
                          <w:color w:val="000000"/>
                        </w:rPr>
                        <w:t>from</w:t>
                      </w:r>
                      <w:r>
                        <w:rPr>
                          <w:color w:val="000000"/>
                          <w:spacing w:val="-3"/>
                        </w:rPr>
                        <w:t> </w:t>
                      </w:r>
                      <w:r>
                        <w:rPr>
                          <w:color w:val="000000"/>
                        </w:rPr>
                        <w:t>the</w:t>
                      </w:r>
                      <w:r>
                        <w:rPr>
                          <w:color w:val="000000"/>
                          <w:spacing w:val="-1"/>
                        </w:rPr>
                        <w:t> </w:t>
                      </w:r>
                      <w:r>
                        <w:rPr>
                          <w:color w:val="000000"/>
                        </w:rPr>
                        <w:t>national</w:t>
                      </w:r>
                      <w:r>
                        <w:rPr>
                          <w:color w:val="000000"/>
                          <w:spacing w:val="-2"/>
                        </w:rPr>
                        <w:t> </w:t>
                      </w:r>
                      <w:r>
                        <w:rPr>
                          <w:color w:val="000000"/>
                        </w:rPr>
                        <w:t>forest</w:t>
                      </w:r>
                      <w:r>
                        <w:rPr>
                          <w:color w:val="000000"/>
                          <w:spacing w:val="-1"/>
                        </w:rPr>
                        <w:t> </w:t>
                      </w:r>
                      <w:r>
                        <w:rPr>
                          <w:color w:val="000000"/>
                        </w:rPr>
                        <w:t>for</w:t>
                      </w:r>
                      <w:r>
                        <w:rPr>
                          <w:color w:val="000000"/>
                          <w:spacing w:val="-2"/>
                        </w:rPr>
                        <w:t> </w:t>
                      </w:r>
                      <w:r>
                        <w:rPr>
                          <w:color w:val="000000"/>
                        </w:rPr>
                        <w:t>commercial,</w:t>
                      </w:r>
                      <w:r>
                        <w:rPr>
                          <w:color w:val="000000"/>
                          <w:spacing w:val="-4"/>
                        </w:rPr>
                        <w:t> </w:t>
                      </w:r>
                      <w:r>
                        <w:rPr>
                          <w:color w:val="000000"/>
                        </w:rPr>
                        <w:t>personal, Native</w:t>
                      </w:r>
                      <w:r>
                        <w:rPr>
                          <w:color w:val="000000"/>
                          <w:spacing w:val="-2"/>
                        </w:rPr>
                        <w:t> </w:t>
                      </w:r>
                      <w:r>
                        <w:rPr>
                          <w:color w:val="000000"/>
                        </w:rPr>
                        <w:t>American</w:t>
                      </w:r>
                      <w:r>
                        <w:rPr>
                          <w:color w:val="000000"/>
                          <w:spacing w:val="-4"/>
                        </w:rPr>
                        <w:t> </w:t>
                      </w:r>
                      <w:r>
                        <w:rPr>
                          <w:color w:val="000000"/>
                        </w:rPr>
                        <w:t>Tribal,</w:t>
                      </w:r>
                      <w:r>
                        <w:rPr>
                          <w:color w:val="000000"/>
                          <w:spacing w:val="-5"/>
                        </w:rPr>
                        <w:t> </w:t>
                      </w:r>
                      <w:r>
                        <w:rPr>
                          <w:color w:val="000000"/>
                        </w:rPr>
                        <w:t>educational,</w:t>
                      </w:r>
                      <w:r>
                        <w:rPr>
                          <w:color w:val="000000"/>
                          <w:spacing w:val="-3"/>
                        </w:rPr>
                        <w:t> </w:t>
                      </w:r>
                      <w:r>
                        <w:rPr>
                          <w:color w:val="000000"/>
                        </w:rPr>
                        <w:t>and/or</w:t>
                      </w:r>
                      <w:r>
                        <w:rPr>
                          <w:color w:val="000000"/>
                          <w:spacing w:val="-5"/>
                        </w:rPr>
                        <w:t> </w:t>
                      </w:r>
                      <w:r>
                        <w:rPr>
                          <w:color w:val="000000"/>
                        </w:rPr>
                        <w:t>scientific</w:t>
                      </w:r>
                      <w:r>
                        <w:rPr>
                          <w:color w:val="000000"/>
                          <w:spacing w:val="-5"/>
                        </w:rPr>
                        <w:t> </w:t>
                      </w:r>
                      <w:r>
                        <w:rPr>
                          <w:color w:val="000000"/>
                        </w:rPr>
                        <w:t>purposes.</w:t>
                      </w:r>
                      <w:r>
                        <w:rPr>
                          <w:color w:val="000000"/>
                          <w:spacing w:val="-3"/>
                        </w:rPr>
                        <w:t> </w:t>
                      </w:r>
                      <w:r>
                        <w:rPr>
                          <w:color w:val="000000"/>
                        </w:rPr>
                        <w:t>This</w:t>
                      </w:r>
                      <w:r>
                        <w:rPr>
                          <w:color w:val="000000"/>
                          <w:spacing w:val="-5"/>
                        </w:rPr>
                        <w:t> </w:t>
                      </w:r>
                      <w:r>
                        <w:rPr>
                          <w:color w:val="000000"/>
                        </w:rPr>
                        <w:t>section</w:t>
                      </w:r>
                      <w:r>
                        <w:rPr>
                          <w:color w:val="000000"/>
                          <w:spacing w:val="-4"/>
                        </w:rPr>
                        <w:t> </w:t>
                      </w:r>
                      <w:r>
                        <w:rPr>
                          <w:color w:val="000000"/>
                        </w:rPr>
                        <w:t>refers</w:t>
                      </w:r>
                      <w:r>
                        <w:rPr>
                          <w:color w:val="000000"/>
                          <w:spacing w:val="-3"/>
                        </w:rPr>
                        <w:t> </w:t>
                      </w:r>
                      <w:r>
                        <w:rPr>
                          <w:color w:val="000000"/>
                        </w:rPr>
                        <w:t>to</w:t>
                      </w:r>
                      <w:r>
                        <w:rPr>
                          <w:color w:val="000000"/>
                          <w:spacing w:val="-4"/>
                        </w:rPr>
                        <w:t> </w:t>
                      </w:r>
                      <w:r>
                        <w:rPr>
                          <w:color w:val="000000"/>
                        </w:rPr>
                        <w:t>two categories</w:t>
                      </w:r>
                      <w:r>
                        <w:rPr>
                          <w:color w:val="000000"/>
                          <w:spacing w:val="-2"/>
                        </w:rPr>
                        <w:t> </w:t>
                      </w:r>
                      <w:r>
                        <w:rPr>
                          <w:color w:val="000000"/>
                        </w:rPr>
                        <w:t>of forest products: those</w:t>
                      </w:r>
                      <w:r>
                        <w:rPr>
                          <w:color w:val="000000"/>
                          <w:spacing w:val="-2"/>
                        </w:rPr>
                        <w:t> </w:t>
                      </w:r>
                      <w:r>
                        <w:rPr>
                          <w:color w:val="000000"/>
                        </w:rPr>
                        <w:t>referred</w:t>
                      </w:r>
                      <w:r>
                        <w:rPr>
                          <w:color w:val="000000"/>
                          <w:spacing w:val="-1"/>
                        </w:rPr>
                        <w:t> </w:t>
                      </w:r>
                      <w:r>
                        <w:rPr>
                          <w:color w:val="000000"/>
                        </w:rPr>
                        <w:t>to as</w:t>
                      </w:r>
                      <w:r>
                        <w:rPr>
                          <w:color w:val="000000"/>
                          <w:spacing w:val="-2"/>
                        </w:rPr>
                        <w:t> </w:t>
                      </w:r>
                      <w:r>
                        <w:rPr>
                          <w:color w:val="000000"/>
                        </w:rPr>
                        <w:t>“special forest</w:t>
                      </w:r>
                      <w:r>
                        <w:rPr>
                          <w:color w:val="000000"/>
                          <w:spacing w:val="-2"/>
                        </w:rPr>
                        <w:t> </w:t>
                      </w:r>
                      <w:r>
                        <w:rPr>
                          <w:color w:val="000000"/>
                        </w:rPr>
                        <w:t>products”</w:t>
                      </w:r>
                      <w:r>
                        <w:rPr>
                          <w:color w:val="000000"/>
                          <w:spacing w:val="-1"/>
                        </w:rPr>
                        <w:t> </w:t>
                      </w:r>
                      <w:r>
                        <w:rPr>
                          <w:color w:val="000000"/>
                        </w:rPr>
                        <w:t>as defined</w:t>
                      </w:r>
                      <w:r>
                        <w:rPr>
                          <w:color w:val="000000"/>
                          <w:spacing w:val="-1"/>
                        </w:rPr>
                        <w:t> </w:t>
                      </w:r>
                      <w:r>
                        <w:rPr>
                          <w:color w:val="000000"/>
                        </w:rPr>
                        <w:t>by FSH 2409.18-80, 2008, and those considered merchantable wood products.</w:t>
                      </w:r>
                    </w:p>
                    <w:p>
                      <w:pPr>
                        <w:pStyle w:val="BodyText"/>
                        <w:spacing w:before="118"/>
                        <w:ind w:left="28"/>
                        <w:rPr>
                          <w:color w:val="000000"/>
                        </w:rPr>
                      </w:pPr>
                      <w:r>
                        <w:rPr>
                          <w:color w:val="000000"/>
                        </w:rPr>
                        <w:t>Examples</w:t>
                      </w:r>
                      <w:r>
                        <w:rPr>
                          <w:color w:val="000000"/>
                          <w:spacing w:val="-4"/>
                        </w:rPr>
                        <w:t> </w:t>
                      </w:r>
                      <w:r>
                        <w:rPr>
                          <w:color w:val="000000"/>
                        </w:rPr>
                        <w:t>of</w:t>
                      </w:r>
                      <w:r>
                        <w:rPr>
                          <w:color w:val="000000"/>
                          <w:spacing w:val="-2"/>
                        </w:rPr>
                        <w:t> </w:t>
                      </w:r>
                      <w:r>
                        <w:rPr>
                          <w:color w:val="000000"/>
                        </w:rPr>
                        <w:t>special</w:t>
                      </w:r>
                      <w:r>
                        <w:rPr>
                          <w:color w:val="000000"/>
                          <w:spacing w:val="-2"/>
                        </w:rPr>
                        <w:t> </w:t>
                      </w:r>
                      <w:r>
                        <w:rPr>
                          <w:color w:val="000000"/>
                        </w:rPr>
                        <w:t>forest</w:t>
                      </w:r>
                      <w:r>
                        <w:rPr>
                          <w:color w:val="000000"/>
                          <w:spacing w:val="-6"/>
                        </w:rPr>
                        <w:t> </w:t>
                      </w:r>
                      <w:r>
                        <w:rPr>
                          <w:color w:val="000000"/>
                        </w:rPr>
                        <w:t>products</w:t>
                      </w:r>
                      <w:r>
                        <w:rPr>
                          <w:color w:val="000000"/>
                          <w:spacing w:val="-2"/>
                        </w:rPr>
                        <w:t> </w:t>
                      </w:r>
                      <w:r>
                        <w:rPr>
                          <w:color w:val="000000"/>
                        </w:rPr>
                        <w:t>can</w:t>
                      </w:r>
                      <w:r>
                        <w:rPr>
                          <w:color w:val="000000"/>
                          <w:spacing w:val="-5"/>
                        </w:rPr>
                        <w:t> </w:t>
                      </w:r>
                      <w:r>
                        <w:rPr>
                          <w:color w:val="000000"/>
                        </w:rPr>
                        <w:t>include</w:t>
                      </w:r>
                      <w:r>
                        <w:rPr>
                          <w:color w:val="000000"/>
                          <w:spacing w:val="-1"/>
                        </w:rPr>
                        <w:t> </w:t>
                      </w:r>
                      <w:r>
                        <w:rPr>
                          <w:color w:val="000000"/>
                        </w:rPr>
                        <w:t>but</w:t>
                      </w:r>
                      <w:r>
                        <w:rPr>
                          <w:color w:val="000000"/>
                          <w:spacing w:val="-1"/>
                        </w:rPr>
                        <w:t> </w:t>
                      </w:r>
                      <w:r>
                        <w:rPr>
                          <w:color w:val="000000"/>
                        </w:rPr>
                        <w:t>are</w:t>
                      </w:r>
                      <w:r>
                        <w:rPr>
                          <w:color w:val="000000"/>
                          <w:spacing w:val="-1"/>
                        </w:rPr>
                        <w:t> </w:t>
                      </w:r>
                      <w:r>
                        <w:rPr>
                          <w:color w:val="000000"/>
                        </w:rPr>
                        <w:t>not</w:t>
                      </w:r>
                      <w:r>
                        <w:rPr>
                          <w:color w:val="000000"/>
                          <w:spacing w:val="-4"/>
                        </w:rPr>
                        <w:t> </w:t>
                      </w:r>
                      <w:r>
                        <w:rPr>
                          <w:color w:val="000000"/>
                        </w:rPr>
                        <w:t>limited</w:t>
                      </w:r>
                      <w:r>
                        <w:rPr>
                          <w:color w:val="000000"/>
                          <w:spacing w:val="-3"/>
                        </w:rPr>
                        <w:t> </w:t>
                      </w:r>
                      <w:r>
                        <w:rPr>
                          <w:color w:val="000000"/>
                        </w:rPr>
                        <w:t>to</w:t>
                      </w:r>
                      <w:r>
                        <w:rPr>
                          <w:color w:val="000000"/>
                          <w:spacing w:val="-1"/>
                        </w:rPr>
                        <w:t> </w:t>
                      </w:r>
                      <w:r>
                        <w:rPr>
                          <w:color w:val="000000"/>
                        </w:rPr>
                        <w:t>bark,</w:t>
                      </w:r>
                      <w:r>
                        <w:rPr>
                          <w:color w:val="000000"/>
                          <w:spacing w:val="-2"/>
                        </w:rPr>
                        <w:t> </w:t>
                      </w:r>
                      <w:r>
                        <w:rPr>
                          <w:color w:val="000000"/>
                        </w:rPr>
                        <w:t>berries,</w:t>
                      </w:r>
                      <w:r>
                        <w:rPr>
                          <w:color w:val="000000"/>
                          <w:spacing w:val="-2"/>
                        </w:rPr>
                        <w:t> </w:t>
                      </w:r>
                      <w:r>
                        <w:rPr>
                          <w:color w:val="000000"/>
                        </w:rPr>
                        <w:t>boughs, bulbs, burls, Christmas trees, cones, ferns, firewood, forbs, mushrooms, grasses, mosses, nuts, pine straw, roots, sedges, seeds, transplants, tree sap, wildflowers, fence material, posts and poles, shingle and shake bolts, and rails.</w:t>
                      </w:r>
                    </w:p>
                    <w:p>
                      <w:pPr>
                        <w:pStyle w:val="BodyText"/>
                        <w:spacing w:before="121"/>
                        <w:ind w:left="28" w:right="120"/>
                        <w:rPr>
                          <w:color w:val="000000"/>
                        </w:rPr>
                      </w:pPr>
                      <w:r>
                        <w:rPr>
                          <w:color w:val="000000"/>
                        </w:rPr>
                        <w:t>Examples</w:t>
                      </w:r>
                      <w:r>
                        <w:rPr>
                          <w:color w:val="000000"/>
                          <w:spacing w:val="-4"/>
                        </w:rPr>
                        <w:t> </w:t>
                      </w:r>
                      <w:r>
                        <w:rPr>
                          <w:color w:val="000000"/>
                        </w:rPr>
                        <w:t>of</w:t>
                      </w:r>
                      <w:r>
                        <w:rPr>
                          <w:color w:val="000000"/>
                          <w:spacing w:val="-4"/>
                        </w:rPr>
                        <w:t> </w:t>
                      </w:r>
                      <w:r>
                        <w:rPr>
                          <w:color w:val="000000"/>
                        </w:rPr>
                        <w:t>merchantable</w:t>
                      </w:r>
                      <w:r>
                        <w:rPr>
                          <w:color w:val="000000"/>
                          <w:spacing w:val="-4"/>
                        </w:rPr>
                        <w:t> </w:t>
                      </w:r>
                      <w:r>
                        <w:rPr>
                          <w:color w:val="000000"/>
                        </w:rPr>
                        <w:t>timber</w:t>
                      </w:r>
                      <w:r>
                        <w:rPr>
                          <w:color w:val="000000"/>
                          <w:spacing w:val="-4"/>
                        </w:rPr>
                        <w:t> </w:t>
                      </w:r>
                      <w:r>
                        <w:rPr>
                          <w:color w:val="000000"/>
                        </w:rPr>
                        <w:t>products</w:t>
                      </w:r>
                      <w:r>
                        <w:rPr>
                          <w:color w:val="000000"/>
                          <w:spacing w:val="-4"/>
                        </w:rPr>
                        <w:t> </w:t>
                      </w:r>
                      <w:r>
                        <w:rPr>
                          <w:color w:val="000000"/>
                        </w:rPr>
                        <w:t>can</w:t>
                      </w:r>
                      <w:r>
                        <w:rPr>
                          <w:color w:val="000000"/>
                          <w:spacing w:val="-4"/>
                        </w:rPr>
                        <w:t> </w:t>
                      </w:r>
                      <w:r>
                        <w:rPr>
                          <w:color w:val="000000"/>
                        </w:rPr>
                        <w:t>include,</w:t>
                      </w:r>
                      <w:r>
                        <w:rPr>
                          <w:color w:val="000000"/>
                          <w:spacing w:val="-3"/>
                        </w:rPr>
                        <w:t> </w:t>
                      </w:r>
                      <w:r>
                        <w:rPr>
                          <w:color w:val="000000"/>
                        </w:rPr>
                        <w:t>but</w:t>
                      </w:r>
                      <w:r>
                        <w:rPr>
                          <w:color w:val="000000"/>
                          <w:spacing w:val="-2"/>
                        </w:rPr>
                        <w:t> </w:t>
                      </w:r>
                      <w:r>
                        <w:rPr>
                          <w:color w:val="000000"/>
                        </w:rPr>
                        <w:t>are</w:t>
                      </w:r>
                      <w:r>
                        <w:rPr>
                          <w:color w:val="000000"/>
                          <w:spacing w:val="-2"/>
                        </w:rPr>
                        <w:t> </w:t>
                      </w:r>
                      <w:r>
                        <w:rPr>
                          <w:color w:val="000000"/>
                        </w:rPr>
                        <w:t>not</w:t>
                      </w:r>
                      <w:r>
                        <w:rPr>
                          <w:color w:val="000000"/>
                          <w:spacing w:val="-2"/>
                        </w:rPr>
                        <w:t> </w:t>
                      </w:r>
                      <w:r>
                        <w:rPr>
                          <w:color w:val="000000"/>
                        </w:rPr>
                        <w:t>limited</w:t>
                      </w:r>
                      <w:r>
                        <w:rPr>
                          <w:color w:val="000000"/>
                          <w:spacing w:val="-5"/>
                        </w:rPr>
                        <w:t> </w:t>
                      </w:r>
                      <w:r>
                        <w:rPr>
                          <w:color w:val="000000"/>
                        </w:rPr>
                        <w:t>to</w:t>
                      </w:r>
                      <w:r>
                        <w:rPr>
                          <w:color w:val="000000"/>
                          <w:spacing w:val="-4"/>
                        </w:rPr>
                        <w:t> </w:t>
                      </w:r>
                      <w:r>
                        <w:rPr>
                          <w:color w:val="000000"/>
                        </w:rPr>
                        <w:t>sawtimber, pulpwood, non-sawlog material removed in log form, biomass and other wood fiber </w:t>
                      </w:r>
                      <w:r>
                        <w:rPr>
                          <w:color w:val="000000"/>
                          <w:spacing w:val="-2"/>
                        </w:rPr>
                        <w:t>products.</w:t>
                      </w:r>
                    </w:p>
                  </w:txbxContent>
                </v:textbox>
                <v:fill type="solid"/>
                <w10:wrap type="topAndBottom"/>
              </v:shape>
            </w:pict>
          </mc:Fallback>
        </mc:AlternateContent>
      </w:r>
    </w:p>
    <w:p>
      <w:pPr>
        <w:pStyle w:val="Heading4"/>
        <w:spacing w:before="240"/>
        <w:ind w:left="1151"/>
      </w:pPr>
      <w:bookmarkStart w:name="Desired Conditions" w:id="479"/>
      <w:bookmarkEnd w:id="479"/>
      <w:r>
        <w:rPr/>
      </w:r>
      <w:bookmarkStart w:name="_bookmark151" w:id="480"/>
      <w:bookmarkEnd w:id="480"/>
      <w:r>
        <w:rPr/>
      </w:r>
      <w:r>
        <w:rPr/>
        <w:t>Desired</w:t>
      </w:r>
      <w:r>
        <w:rPr>
          <w:spacing w:val="-4"/>
        </w:rPr>
        <w:t> </w:t>
      </w:r>
      <w:r>
        <w:rPr>
          <w:spacing w:val="-2"/>
        </w:rPr>
        <w:t>Conditions</w:t>
      </w:r>
    </w:p>
    <w:p>
      <w:pPr>
        <w:spacing w:before="240"/>
        <w:ind w:left="1151" w:right="0" w:firstLine="0"/>
        <w:jc w:val="left"/>
        <w:rPr>
          <w:rFonts w:ascii="Arial"/>
          <w:i/>
          <w:sz w:val="22"/>
        </w:rPr>
      </w:pPr>
      <w:bookmarkStart w:name="FW-DC-RFP-01. Commercial Products" w:id="481"/>
      <w:bookmarkEnd w:id="481"/>
      <w:r>
        <w:rPr/>
      </w:r>
      <w:r>
        <w:rPr>
          <w:rFonts w:ascii="Arial"/>
          <w:i/>
          <w:sz w:val="22"/>
        </w:rPr>
        <w:t>FW-DC-RFP-01.</w:t>
      </w:r>
      <w:r>
        <w:rPr>
          <w:rFonts w:ascii="Arial"/>
          <w:i/>
          <w:spacing w:val="-10"/>
          <w:sz w:val="22"/>
        </w:rPr>
        <w:t> </w:t>
      </w:r>
      <w:r>
        <w:rPr>
          <w:rFonts w:ascii="Arial"/>
          <w:i/>
          <w:sz w:val="22"/>
        </w:rPr>
        <w:t>Commercial</w:t>
      </w:r>
      <w:r>
        <w:rPr>
          <w:rFonts w:ascii="Arial"/>
          <w:i/>
          <w:spacing w:val="-11"/>
          <w:sz w:val="22"/>
        </w:rPr>
        <w:t> </w:t>
      </w:r>
      <w:r>
        <w:rPr>
          <w:rFonts w:ascii="Arial"/>
          <w:i/>
          <w:spacing w:val="-2"/>
          <w:sz w:val="22"/>
        </w:rPr>
        <w:t>Products</w:t>
      </w:r>
    </w:p>
    <w:p>
      <w:pPr>
        <w:pStyle w:val="BodyText"/>
        <w:spacing w:line="232" w:lineRule="auto" w:before="64"/>
        <w:ind w:left="1152" w:right="742"/>
      </w:pPr>
      <w:r>
        <w:rPr/>
        <w:t>Provide</w:t>
      </w:r>
      <w:r>
        <w:rPr>
          <w:spacing w:val="-4"/>
        </w:rPr>
        <w:t> </w:t>
      </w:r>
      <w:r>
        <w:rPr/>
        <w:t>a</w:t>
      </w:r>
      <w:r>
        <w:rPr>
          <w:spacing w:val="-7"/>
        </w:rPr>
        <w:t> </w:t>
      </w:r>
      <w:r>
        <w:rPr/>
        <w:t>sustainable</w:t>
      </w:r>
      <w:r>
        <w:rPr>
          <w:spacing w:val="-7"/>
        </w:rPr>
        <w:t> </w:t>
      </w:r>
      <w:r>
        <w:rPr/>
        <w:t>level</w:t>
      </w:r>
      <w:r>
        <w:rPr>
          <w:spacing w:val="-10"/>
        </w:rPr>
        <w:t> </w:t>
      </w:r>
      <w:r>
        <w:rPr/>
        <w:t>of</w:t>
      </w:r>
      <w:r>
        <w:rPr>
          <w:spacing w:val="-5"/>
        </w:rPr>
        <w:t> </w:t>
      </w:r>
      <w:r>
        <w:rPr/>
        <w:t>timber</w:t>
      </w:r>
      <w:r>
        <w:rPr>
          <w:spacing w:val="-7"/>
        </w:rPr>
        <w:t> </w:t>
      </w:r>
      <w:r>
        <w:rPr/>
        <w:t>products</w:t>
      </w:r>
      <w:r>
        <w:rPr>
          <w:spacing w:val="-5"/>
        </w:rPr>
        <w:t> </w:t>
      </w:r>
      <w:r>
        <w:rPr/>
        <w:t>for</w:t>
      </w:r>
      <w:r>
        <w:rPr>
          <w:spacing w:val="-5"/>
        </w:rPr>
        <w:t> </w:t>
      </w:r>
      <w:r>
        <w:rPr/>
        <w:t>current</w:t>
      </w:r>
      <w:r>
        <w:rPr>
          <w:spacing w:val="-4"/>
        </w:rPr>
        <w:t> </w:t>
      </w:r>
      <w:r>
        <w:rPr/>
        <w:t>and</w:t>
      </w:r>
      <w:r>
        <w:rPr>
          <w:spacing w:val="-6"/>
        </w:rPr>
        <w:t> </w:t>
      </w:r>
      <w:r>
        <w:rPr/>
        <w:t>future</w:t>
      </w:r>
      <w:r>
        <w:rPr>
          <w:spacing w:val="-7"/>
        </w:rPr>
        <w:t> </w:t>
      </w:r>
      <w:r>
        <w:rPr/>
        <w:t>generations.</w:t>
      </w:r>
      <w:r>
        <w:rPr>
          <w:spacing w:val="-5"/>
        </w:rPr>
        <w:t> </w:t>
      </w:r>
      <w:r>
        <w:rPr/>
        <w:t>Production</w:t>
      </w:r>
      <w:r>
        <w:rPr>
          <w:spacing w:val="-8"/>
        </w:rPr>
        <w:t> </w:t>
      </w:r>
      <w:r>
        <w:rPr/>
        <w:t>of timber</w:t>
      </w:r>
      <w:r>
        <w:rPr>
          <w:spacing w:val="-8"/>
        </w:rPr>
        <w:t> </w:t>
      </w:r>
      <w:r>
        <w:rPr/>
        <w:t>from</w:t>
      </w:r>
      <w:r>
        <w:rPr>
          <w:spacing w:val="-5"/>
        </w:rPr>
        <w:t> </w:t>
      </w:r>
      <w:r>
        <w:rPr/>
        <w:t>National</w:t>
      </w:r>
      <w:r>
        <w:rPr>
          <w:spacing w:val="-8"/>
        </w:rPr>
        <w:t> </w:t>
      </w:r>
      <w:r>
        <w:rPr/>
        <w:t>Forest</w:t>
      </w:r>
      <w:r>
        <w:rPr>
          <w:spacing w:val="-5"/>
        </w:rPr>
        <w:t> </w:t>
      </w:r>
      <w:r>
        <w:rPr/>
        <w:t>System</w:t>
      </w:r>
      <w:r>
        <w:rPr>
          <w:spacing w:val="-5"/>
        </w:rPr>
        <w:t> </w:t>
      </w:r>
      <w:r>
        <w:rPr/>
        <w:t>lands</w:t>
      </w:r>
      <w:r>
        <w:rPr>
          <w:spacing w:val="-6"/>
        </w:rPr>
        <w:t> </w:t>
      </w:r>
      <w:r>
        <w:rPr/>
        <w:t>contributes</w:t>
      </w:r>
      <w:r>
        <w:rPr>
          <w:spacing w:val="-8"/>
        </w:rPr>
        <w:t> </w:t>
      </w:r>
      <w:r>
        <w:rPr/>
        <w:t>to</w:t>
      </w:r>
      <w:r>
        <w:rPr>
          <w:spacing w:val="-5"/>
        </w:rPr>
        <w:t> </w:t>
      </w:r>
      <w:r>
        <w:rPr/>
        <w:t>an</w:t>
      </w:r>
      <w:r>
        <w:rPr>
          <w:spacing w:val="-9"/>
        </w:rPr>
        <w:t> </w:t>
      </w:r>
      <w:r>
        <w:rPr/>
        <w:t>economically</w:t>
      </w:r>
      <w:r>
        <w:rPr>
          <w:spacing w:val="-7"/>
        </w:rPr>
        <w:t> </w:t>
      </w:r>
      <w:r>
        <w:rPr/>
        <w:t>viable</w:t>
      </w:r>
      <w:r>
        <w:rPr>
          <w:spacing w:val="-5"/>
        </w:rPr>
        <w:t> </w:t>
      </w:r>
      <w:r>
        <w:rPr/>
        <w:t>forest</w:t>
      </w:r>
      <w:r>
        <w:rPr>
          <w:spacing w:val="-5"/>
        </w:rPr>
        <w:t> </w:t>
      </w:r>
      <w:r>
        <w:rPr/>
        <w:t>products industry and regularly meets the average decadal allowable sale quantity. The Allowable Sale Quantity (ASQ) is 67 MMBF and the Long Term Sustained Yield (LTSY) is 97.4 MMBF</w:t>
      </w:r>
      <w:hyperlink w:history="true" w:anchor="_bookmark153">
        <w:r>
          <w:rPr>
            <w:vertAlign w:val="superscript"/>
          </w:rPr>
          <w:t>16</w:t>
        </w:r>
      </w:hyperlink>
      <w:r>
        <w:rPr>
          <w:vertAlign w:val="baseline"/>
        </w:rPr>
        <w:t>.</w:t>
      </w:r>
    </w:p>
    <w:p>
      <w:pPr>
        <w:spacing w:before="234"/>
        <w:ind w:left="1151" w:right="0" w:firstLine="0"/>
        <w:jc w:val="left"/>
        <w:rPr>
          <w:rFonts w:ascii="Arial"/>
          <w:i/>
          <w:sz w:val="22"/>
        </w:rPr>
      </w:pPr>
      <w:bookmarkStart w:name="FW-DC-RFP-02. Products Available" w:id="482"/>
      <w:bookmarkEnd w:id="482"/>
      <w:r>
        <w:rPr/>
      </w:r>
      <w:r>
        <w:rPr>
          <w:rFonts w:ascii="Arial"/>
          <w:i/>
          <w:sz w:val="22"/>
        </w:rPr>
        <w:t>FW-DC-RFP-02.</w:t>
      </w:r>
      <w:r>
        <w:rPr>
          <w:rFonts w:ascii="Arial"/>
          <w:i/>
          <w:spacing w:val="-9"/>
          <w:sz w:val="22"/>
        </w:rPr>
        <w:t> </w:t>
      </w:r>
      <w:r>
        <w:rPr>
          <w:rFonts w:ascii="Arial"/>
          <w:i/>
          <w:sz w:val="22"/>
        </w:rPr>
        <w:t>Products</w:t>
      </w:r>
      <w:r>
        <w:rPr>
          <w:rFonts w:ascii="Arial"/>
          <w:i/>
          <w:spacing w:val="-9"/>
          <w:sz w:val="22"/>
        </w:rPr>
        <w:t> </w:t>
      </w:r>
      <w:r>
        <w:rPr>
          <w:rFonts w:ascii="Arial"/>
          <w:i/>
          <w:spacing w:val="-2"/>
          <w:sz w:val="22"/>
        </w:rPr>
        <w:t>Available</w:t>
      </w:r>
    </w:p>
    <w:p>
      <w:pPr>
        <w:pStyle w:val="BodyText"/>
        <w:spacing w:line="232" w:lineRule="auto" w:before="65"/>
        <w:ind w:left="1151" w:right="801"/>
      </w:pPr>
      <w:r>
        <w:rPr/>
        <w:t>A variety of renewable forest products of social, spiritual, and economic value are reasonably available to the public. Special forest products and merchantable timber products are ecosystem</w:t>
      </w:r>
      <w:r>
        <w:rPr>
          <w:spacing w:val="-7"/>
        </w:rPr>
        <w:t> </w:t>
      </w:r>
      <w:r>
        <w:rPr/>
        <w:t>services</w:t>
      </w:r>
      <w:r>
        <w:rPr>
          <w:spacing w:val="-8"/>
        </w:rPr>
        <w:t> </w:t>
      </w:r>
      <w:r>
        <w:rPr/>
        <w:t>provided</w:t>
      </w:r>
      <w:r>
        <w:rPr>
          <w:spacing w:val="-9"/>
        </w:rPr>
        <w:t> </w:t>
      </w:r>
      <w:r>
        <w:rPr/>
        <w:t>to</w:t>
      </w:r>
      <w:r>
        <w:rPr>
          <w:spacing w:val="-7"/>
        </w:rPr>
        <w:t> </w:t>
      </w:r>
      <w:r>
        <w:rPr/>
        <w:t>contribute</w:t>
      </w:r>
      <w:r>
        <w:rPr>
          <w:spacing w:val="-10"/>
        </w:rPr>
        <w:t> </w:t>
      </w:r>
      <w:r>
        <w:rPr/>
        <w:t>to</w:t>
      </w:r>
      <w:r>
        <w:rPr>
          <w:spacing w:val="-9"/>
        </w:rPr>
        <w:t> </w:t>
      </w:r>
      <w:r>
        <w:rPr/>
        <w:t>economic</w:t>
      </w:r>
      <w:r>
        <w:rPr>
          <w:spacing w:val="-8"/>
        </w:rPr>
        <w:t> </w:t>
      </w:r>
      <w:r>
        <w:rPr/>
        <w:t>sustainability,</w:t>
      </w:r>
      <w:r>
        <w:rPr>
          <w:spacing w:val="-10"/>
        </w:rPr>
        <w:t> </w:t>
      </w:r>
      <w:r>
        <w:rPr/>
        <w:t>social</w:t>
      </w:r>
      <w:r>
        <w:rPr>
          <w:spacing w:val="-8"/>
        </w:rPr>
        <w:t> </w:t>
      </w:r>
      <w:r>
        <w:rPr/>
        <w:t>desires,</w:t>
      </w:r>
      <w:r>
        <w:rPr>
          <w:spacing w:val="-10"/>
        </w:rPr>
        <w:t> </w:t>
      </w:r>
      <w:r>
        <w:rPr/>
        <w:t>or</w:t>
      </w:r>
      <w:r>
        <w:rPr>
          <w:spacing w:val="-8"/>
        </w:rPr>
        <w:t> </w:t>
      </w:r>
      <w:r>
        <w:rPr/>
        <w:t>cultural </w:t>
      </w:r>
      <w:r>
        <w:rPr>
          <w:spacing w:val="-2"/>
        </w:rPr>
        <w:t>needs.</w:t>
      </w:r>
    </w:p>
    <w:p>
      <w:pPr>
        <w:pStyle w:val="Heading4"/>
        <w:spacing w:before="234"/>
        <w:ind w:left="1151"/>
      </w:pPr>
      <w:bookmarkStart w:name="Guideline" w:id="483"/>
      <w:bookmarkEnd w:id="483"/>
      <w:r>
        <w:rPr/>
      </w:r>
      <w:bookmarkStart w:name="_bookmark152" w:id="484"/>
      <w:bookmarkEnd w:id="484"/>
      <w:r>
        <w:rPr/>
      </w:r>
      <w:r>
        <w:rPr>
          <w:spacing w:val="-2"/>
        </w:rPr>
        <w:t>Guideline</w:t>
      </w:r>
    </w:p>
    <w:p>
      <w:pPr>
        <w:spacing w:before="238"/>
        <w:ind w:left="1151" w:right="0" w:firstLine="0"/>
        <w:jc w:val="left"/>
        <w:rPr>
          <w:rFonts w:ascii="Arial"/>
          <w:i/>
          <w:sz w:val="22"/>
        </w:rPr>
      </w:pPr>
      <w:bookmarkStart w:name="FW-GDL-RFP-01. Special Permits" w:id="485"/>
      <w:bookmarkEnd w:id="485"/>
      <w:r>
        <w:rPr/>
      </w:r>
      <w:r>
        <w:rPr>
          <w:rFonts w:ascii="Arial"/>
          <w:i/>
          <w:sz w:val="22"/>
        </w:rPr>
        <w:t>FW-GDL-RFP-01.</w:t>
      </w:r>
      <w:r>
        <w:rPr>
          <w:rFonts w:ascii="Arial"/>
          <w:i/>
          <w:spacing w:val="-9"/>
          <w:sz w:val="22"/>
        </w:rPr>
        <w:t> </w:t>
      </w:r>
      <w:r>
        <w:rPr>
          <w:rFonts w:ascii="Arial"/>
          <w:i/>
          <w:sz w:val="22"/>
        </w:rPr>
        <w:t>Special</w:t>
      </w:r>
      <w:r>
        <w:rPr>
          <w:rFonts w:ascii="Arial"/>
          <w:i/>
          <w:spacing w:val="-10"/>
          <w:sz w:val="22"/>
        </w:rPr>
        <w:t> </w:t>
      </w:r>
      <w:r>
        <w:rPr>
          <w:rFonts w:ascii="Arial"/>
          <w:i/>
          <w:spacing w:val="-2"/>
          <w:sz w:val="22"/>
        </w:rPr>
        <w:t>Permits</w:t>
      </w:r>
    </w:p>
    <w:p>
      <w:pPr>
        <w:pStyle w:val="BodyText"/>
        <w:spacing w:line="232" w:lineRule="auto" w:before="67"/>
        <w:ind w:left="1151" w:right="801"/>
      </w:pPr>
      <w:r>
        <w:rPr/>
        <w:t>Harvest</w:t>
      </w:r>
      <w:r>
        <w:rPr>
          <w:spacing w:val="-5"/>
        </w:rPr>
        <w:t> </w:t>
      </w:r>
      <w:r>
        <w:rPr/>
        <w:t>of</w:t>
      </w:r>
      <w:r>
        <w:rPr>
          <w:spacing w:val="-8"/>
        </w:rPr>
        <w:t> </w:t>
      </w:r>
      <w:r>
        <w:rPr/>
        <w:t>special</w:t>
      </w:r>
      <w:r>
        <w:rPr>
          <w:spacing w:val="-9"/>
        </w:rPr>
        <w:t> </w:t>
      </w:r>
      <w:r>
        <w:rPr/>
        <w:t>forest</w:t>
      </w:r>
      <w:r>
        <w:rPr>
          <w:spacing w:val="-8"/>
        </w:rPr>
        <w:t> </w:t>
      </w:r>
      <w:r>
        <w:rPr/>
        <w:t>and</w:t>
      </w:r>
      <w:r>
        <w:rPr>
          <w:spacing w:val="-7"/>
        </w:rPr>
        <w:t> </w:t>
      </w:r>
      <w:r>
        <w:rPr/>
        <w:t>botanical</w:t>
      </w:r>
      <w:r>
        <w:rPr>
          <w:spacing w:val="-6"/>
        </w:rPr>
        <w:t> </w:t>
      </w:r>
      <w:r>
        <w:rPr/>
        <w:t>products</w:t>
      </w:r>
      <w:r>
        <w:rPr>
          <w:spacing w:val="-6"/>
        </w:rPr>
        <w:t> </w:t>
      </w:r>
      <w:r>
        <w:rPr/>
        <w:t>is</w:t>
      </w:r>
      <w:r>
        <w:rPr>
          <w:spacing w:val="-6"/>
        </w:rPr>
        <w:t> </w:t>
      </w:r>
      <w:r>
        <w:rPr/>
        <w:t>approved</w:t>
      </w:r>
      <w:r>
        <w:rPr>
          <w:spacing w:val="-9"/>
        </w:rPr>
        <w:t> </w:t>
      </w:r>
      <w:r>
        <w:rPr/>
        <w:t>through</w:t>
      </w:r>
      <w:r>
        <w:rPr>
          <w:spacing w:val="-7"/>
        </w:rPr>
        <w:t> </w:t>
      </w:r>
      <w:r>
        <w:rPr/>
        <w:t>an</w:t>
      </w:r>
      <w:r>
        <w:rPr>
          <w:spacing w:val="-7"/>
        </w:rPr>
        <w:t> </w:t>
      </w:r>
      <w:r>
        <w:rPr/>
        <w:t>appropriate</w:t>
      </w:r>
      <w:r>
        <w:rPr>
          <w:spacing w:val="-5"/>
        </w:rPr>
        <w:t> </w:t>
      </w:r>
      <w:r>
        <w:rPr/>
        <w:t>permitting system when such harvest is done in a sustainable manner, while protecting resources and continuing to provide products for current and future generations.</w:t>
      </w:r>
    </w:p>
    <w:p>
      <w:pPr>
        <w:pStyle w:val="BodyText"/>
        <w:rPr>
          <w:sz w:val="20"/>
        </w:rPr>
      </w:pPr>
    </w:p>
    <w:p>
      <w:pPr>
        <w:pStyle w:val="BodyText"/>
        <w:spacing w:before="92"/>
        <w:rPr>
          <w:sz w:val="20"/>
        </w:rPr>
      </w:pPr>
      <w:r>
        <w:rPr>
          <w:sz w:val="20"/>
        </w:rPr>
        <mc:AlternateContent>
          <mc:Choice Requires="wps">
            <w:drawing>
              <wp:anchor distT="0" distB="0" distL="0" distR="0" allowOverlap="1" layoutInCell="1" locked="0" behindDoc="1" simplePos="0" relativeHeight="487618560">
                <wp:simplePos x="0" y="0"/>
                <wp:positionH relativeFrom="page">
                  <wp:posOffset>1417319</wp:posOffset>
                </wp:positionH>
                <wp:positionV relativeFrom="paragraph">
                  <wp:posOffset>229052</wp:posOffset>
                </wp:positionV>
                <wp:extent cx="1828800" cy="7620"/>
                <wp:effectExtent l="0" t="0" r="0" b="0"/>
                <wp:wrapTopAndBottom/>
                <wp:docPr id="188" name="Graphic 188"/>
                <wp:cNvGraphicFramePr>
                  <a:graphicFrameLocks/>
                </wp:cNvGraphicFramePr>
                <a:graphic>
                  <a:graphicData uri="http://schemas.microsoft.com/office/word/2010/wordprocessingShape">
                    <wps:wsp>
                      <wps:cNvPr id="188" name="Graphic 188"/>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8.035610pt;width:144pt;height:.599pt;mso-position-horizontal-relative:page;mso-position-vertical-relative:paragraph;z-index:-15697920;mso-wrap-distance-left:0;mso-wrap-distance-right:0" id="docshape176" filled="true" fillcolor="#000000" stroked="false">
                <v:fill type="solid"/>
                <w10:wrap type="topAndBottom"/>
              </v:rect>
            </w:pict>
          </mc:Fallback>
        </mc:AlternateContent>
      </w:r>
    </w:p>
    <w:p>
      <w:pPr>
        <w:spacing w:before="95"/>
        <w:ind w:left="1152" w:right="801" w:hanging="1"/>
        <w:jc w:val="left"/>
        <w:rPr>
          <w:sz w:val="18"/>
        </w:rPr>
      </w:pPr>
      <w:bookmarkStart w:name="_bookmark153" w:id="486"/>
      <w:bookmarkEnd w:id="486"/>
      <w:r>
        <w:rPr/>
      </w:r>
      <w:r>
        <w:rPr>
          <w:position w:val="5"/>
          <w:sz w:val="12"/>
        </w:rPr>
        <w:t>16</w:t>
      </w:r>
      <w:r>
        <w:rPr>
          <w:spacing w:val="10"/>
          <w:position w:val="5"/>
          <w:sz w:val="12"/>
        </w:rPr>
        <w:t> </w:t>
      </w:r>
      <w:r>
        <w:rPr>
          <w:sz w:val="18"/>
        </w:rPr>
        <w:t>The</w:t>
      </w:r>
      <w:r>
        <w:rPr>
          <w:spacing w:val="-3"/>
          <w:sz w:val="18"/>
        </w:rPr>
        <w:t> </w:t>
      </w:r>
      <w:r>
        <w:rPr>
          <w:sz w:val="18"/>
        </w:rPr>
        <w:t>ASQ</w:t>
      </w:r>
      <w:r>
        <w:rPr>
          <w:spacing w:val="-3"/>
          <w:sz w:val="18"/>
        </w:rPr>
        <w:t> </w:t>
      </w:r>
      <w:r>
        <w:rPr>
          <w:sz w:val="18"/>
        </w:rPr>
        <w:t>reflects</w:t>
      </w:r>
      <w:r>
        <w:rPr>
          <w:spacing w:val="-3"/>
          <w:sz w:val="18"/>
        </w:rPr>
        <w:t> </w:t>
      </w:r>
      <w:r>
        <w:rPr>
          <w:sz w:val="18"/>
        </w:rPr>
        <w:t>the</w:t>
      </w:r>
      <w:r>
        <w:rPr>
          <w:spacing w:val="-1"/>
          <w:sz w:val="18"/>
        </w:rPr>
        <w:t> </w:t>
      </w:r>
      <w:r>
        <w:rPr>
          <w:sz w:val="18"/>
        </w:rPr>
        <w:t>quantity</w:t>
      </w:r>
      <w:r>
        <w:rPr>
          <w:spacing w:val="-2"/>
          <w:sz w:val="18"/>
        </w:rPr>
        <w:t> </w:t>
      </w:r>
      <w:r>
        <w:rPr>
          <w:sz w:val="18"/>
        </w:rPr>
        <w:t>of</w:t>
      </w:r>
      <w:r>
        <w:rPr>
          <w:spacing w:val="-2"/>
          <w:sz w:val="18"/>
        </w:rPr>
        <w:t> </w:t>
      </w:r>
      <w:r>
        <w:rPr>
          <w:sz w:val="18"/>
        </w:rPr>
        <w:t>timber</w:t>
      </w:r>
      <w:r>
        <w:rPr>
          <w:spacing w:val="-3"/>
          <w:sz w:val="18"/>
        </w:rPr>
        <w:t> </w:t>
      </w:r>
      <w:r>
        <w:rPr>
          <w:sz w:val="18"/>
        </w:rPr>
        <w:t>that</w:t>
      </w:r>
      <w:r>
        <w:rPr>
          <w:spacing w:val="-3"/>
          <w:sz w:val="18"/>
        </w:rPr>
        <w:t> </w:t>
      </w:r>
      <w:r>
        <w:rPr>
          <w:sz w:val="18"/>
        </w:rPr>
        <w:t>may</w:t>
      </w:r>
      <w:r>
        <w:rPr>
          <w:spacing w:val="-2"/>
          <w:sz w:val="18"/>
        </w:rPr>
        <w:t> </w:t>
      </w:r>
      <w:r>
        <w:rPr>
          <w:sz w:val="18"/>
        </w:rPr>
        <w:t>be</w:t>
      </w:r>
      <w:r>
        <w:rPr>
          <w:spacing w:val="-3"/>
          <w:sz w:val="18"/>
        </w:rPr>
        <w:t> </w:t>
      </w:r>
      <w:r>
        <w:rPr>
          <w:sz w:val="18"/>
        </w:rPr>
        <w:t>sold</w:t>
      </w:r>
      <w:r>
        <w:rPr>
          <w:spacing w:val="-3"/>
          <w:sz w:val="18"/>
        </w:rPr>
        <w:t> </w:t>
      </w:r>
      <w:r>
        <w:rPr>
          <w:sz w:val="18"/>
        </w:rPr>
        <w:t>from</w:t>
      </w:r>
      <w:r>
        <w:rPr>
          <w:spacing w:val="-2"/>
          <w:sz w:val="18"/>
        </w:rPr>
        <w:t> </w:t>
      </w:r>
      <w:r>
        <w:rPr>
          <w:sz w:val="18"/>
        </w:rPr>
        <w:t>lands</w:t>
      </w:r>
      <w:r>
        <w:rPr>
          <w:spacing w:val="-3"/>
          <w:sz w:val="18"/>
        </w:rPr>
        <w:t> </w:t>
      </w:r>
      <w:r>
        <w:rPr>
          <w:sz w:val="18"/>
        </w:rPr>
        <w:t>suitable</w:t>
      </w:r>
      <w:r>
        <w:rPr>
          <w:spacing w:val="-3"/>
          <w:sz w:val="18"/>
        </w:rPr>
        <w:t> </w:t>
      </w:r>
      <w:r>
        <w:rPr>
          <w:sz w:val="18"/>
        </w:rPr>
        <w:t>for</w:t>
      </w:r>
      <w:r>
        <w:rPr>
          <w:spacing w:val="-3"/>
          <w:sz w:val="18"/>
        </w:rPr>
        <w:t> </w:t>
      </w:r>
      <w:r>
        <w:rPr>
          <w:sz w:val="18"/>
        </w:rPr>
        <w:t>timber production,</w:t>
      </w:r>
      <w:r>
        <w:rPr>
          <w:spacing w:val="-2"/>
          <w:sz w:val="18"/>
        </w:rPr>
        <w:t> </w:t>
      </w:r>
      <w:r>
        <w:rPr>
          <w:sz w:val="18"/>
        </w:rPr>
        <w:t>within</w:t>
      </w:r>
      <w:r>
        <w:rPr>
          <w:spacing w:val="-3"/>
          <w:sz w:val="18"/>
        </w:rPr>
        <w:t> </w:t>
      </w:r>
      <w:r>
        <w:rPr>
          <w:sz w:val="18"/>
        </w:rPr>
        <w:t>tree utilization standards, for the first decade of the plan, given an unlimited budget. The LTSY is the highest uniform wood yield that may be sustained given multiple-use objectives on lands managed for timber production.</w:t>
      </w:r>
    </w:p>
    <w:p>
      <w:pPr>
        <w:spacing w:after="0"/>
        <w:jc w:val="left"/>
        <w:rPr>
          <w:sz w:val="18"/>
        </w:rPr>
        <w:sectPr>
          <w:pgSz w:w="12240" w:h="15840"/>
          <w:pgMar w:header="725" w:footer="891" w:top="960" w:bottom="1080" w:left="1080" w:right="720"/>
        </w:sectPr>
      </w:pPr>
    </w:p>
    <w:p>
      <w:pPr>
        <w:pStyle w:val="BodyText"/>
        <w:spacing w:before="207"/>
      </w:pPr>
    </w:p>
    <w:p>
      <w:pPr>
        <w:pStyle w:val="Heading3"/>
        <w:ind w:left="360"/>
      </w:pPr>
      <w:bookmarkStart w:name="Scenery (SCE)" w:id="487"/>
      <w:bookmarkEnd w:id="487"/>
      <w:r>
        <w:rPr>
          <w:b w:val="0"/>
        </w:rPr>
      </w:r>
      <w:bookmarkStart w:name="_bookmark154" w:id="488"/>
      <w:bookmarkEnd w:id="488"/>
      <w:r>
        <w:rPr>
          <w:b w:val="0"/>
        </w:rPr>
      </w:r>
      <w:r>
        <w:rPr>
          <w:smallCaps/>
          <w:color w:val="475824"/>
        </w:rPr>
        <w:t>Scenery</w:t>
      </w:r>
      <w:r>
        <w:rPr>
          <w:smallCaps/>
          <w:color w:val="475824"/>
          <w:spacing w:val="-9"/>
        </w:rPr>
        <w:t> </w:t>
      </w:r>
      <w:r>
        <w:rPr>
          <w:smallCaps/>
          <w:color w:val="475824"/>
          <w:spacing w:val="-2"/>
        </w:rPr>
        <w:t>(SCE)</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19072">
                <wp:simplePos x="0" y="0"/>
                <wp:positionH relativeFrom="page">
                  <wp:posOffset>1124711</wp:posOffset>
                </wp:positionH>
                <wp:positionV relativeFrom="paragraph">
                  <wp:posOffset>75420</wp:posOffset>
                </wp:positionV>
                <wp:extent cx="5248910" cy="2540635"/>
                <wp:effectExtent l="0" t="0" r="0" b="0"/>
                <wp:wrapTopAndBottom/>
                <wp:docPr id="189" name="Textbox 189"/>
                <wp:cNvGraphicFramePr>
                  <a:graphicFrameLocks/>
                </wp:cNvGraphicFramePr>
                <a:graphic>
                  <a:graphicData uri="http://schemas.microsoft.com/office/word/2010/wordprocessingShape">
                    <wps:wsp>
                      <wps:cNvPr id="189" name="Textbox 189"/>
                      <wps:cNvSpPr txBox="1"/>
                      <wps:spPr>
                        <a:xfrm>
                          <a:off x="0" y="0"/>
                          <a:ext cx="5248910" cy="2540635"/>
                        </a:xfrm>
                        <a:prstGeom prst="rect">
                          <a:avLst/>
                        </a:prstGeom>
                        <a:solidFill>
                          <a:srgbClr val="DFDFDF"/>
                        </a:solidFill>
                      </wps:spPr>
                      <wps:txbx>
                        <w:txbxContent>
                          <w:p>
                            <w:pPr>
                              <w:pStyle w:val="BodyText"/>
                              <w:ind w:left="28" w:right="120"/>
                              <w:rPr>
                                <w:color w:val="000000"/>
                              </w:rPr>
                            </w:pPr>
                            <w:r>
                              <w:rPr>
                                <w:color w:val="000000"/>
                              </w:rPr>
                              <w:t>Scenery</w:t>
                            </w:r>
                            <w:r>
                              <w:rPr>
                                <w:color w:val="000000"/>
                                <w:spacing w:val="-4"/>
                              </w:rPr>
                              <w:t> </w:t>
                            </w:r>
                            <w:r>
                              <w:rPr>
                                <w:color w:val="000000"/>
                              </w:rPr>
                              <w:t>is</w:t>
                            </w:r>
                            <w:r>
                              <w:rPr>
                                <w:color w:val="000000"/>
                                <w:spacing w:val="-5"/>
                              </w:rPr>
                              <w:t> </w:t>
                            </w:r>
                            <w:r>
                              <w:rPr>
                                <w:color w:val="000000"/>
                              </w:rPr>
                              <w:t>managed</w:t>
                            </w:r>
                            <w:r>
                              <w:rPr>
                                <w:color w:val="000000"/>
                                <w:spacing w:val="-4"/>
                              </w:rPr>
                              <w:t> </w:t>
                            </w:r>
                            <w:r>
                              <w:rPr>
                                <w:color w:val="000000"/>
                              </w:rPr>
                              <w:t>through</w:t>
                            </w:r>
                            <w:r>
                              <w:rPr>
                                <w:color w:val="000000"/>
                                <w:spacing w:val="-4"/>
                              </w:rPr>
                              <w:t> </w:t>
                            </w:r>
                            <w:r>
                              <w:rPr>
                                <w:color w:val="000000"/>
                              </w:rPr>
                              <w:t>the</w:t>
                            </w:r>
                            <w:r>
                              <w:rPr>
                                <w:color w:val="000000"/>
                                <w:spacing w:val="-2"/>
                              </w:rPr>
                              <w:t> </w:t>
                            </w:r>
                            <w:r>
                              <w:rPr>
                                <w:color w:val="000000"/>
                              </w:rPr>
                              <w:t>scenery</w:t>
                            </w:r>
                            <w:r>
                              <w:rPr>
                                <w:color w:val="000000"/>
                                <w:spacing w:val="-4"/>
                              </w:rPr>
                              <w:t> </w:t>
                            </w:r>
                            <w:r>
                              <w:rPr>
                                <w:color w:val="000000"/>
                              </w:rPr>
                              <w:t>management</w:t>
                            </w:r>
                            <w:r>
                              <w:rPr>
                                <w:color w:val="000000"/>
                                <w:spacing w:val="-5"/>
                              </w:rPr>
                              <w:t> </w:t>
                            </w:r>
                            <w:r>
                              <w:rPr>
                                <w:color w:val="000000"/>
                              </w:rPr>
                              <w:t>system.</w:t>
                            </w:r>
                            <w:r>
                              <w:rPr>
                                <w:color w:val="000000"/>
                                <w:spacing w:val="-3"/>
                              </w:rPr>
                              <w:t> </w:t>
                            </w:r>
                            <w:r>
                              <w:rPr>
                                <w:color w:val="000000"/>
                              </w:rPr>
                              <w:t>The</w:t>
                            </w:r>
                            <w:r>
                              <w:rPr>
                                <w:color w:val="000000"/>
                                <w:spacing w:val="-2"/>
                              </w:rPr>
                              <w:t> </w:t>
                            </w:r>
                            <w:r>
                              <w:rPr>
                                <w:color w:val="000000"/>
                              </w:rPr>
                              <w:t>desired</w:t>
                            </w:r>
                            <w:r>
                              <w:rPr>
                                <w:color w:val="000000"/>
                                <w:spacing w:val="-6"/>
                              </w:rPr>
                              <w:t> </w:t>
                            </w:r>
                            <w:r>
                              <w:rPr>
                                <w:color w:val="000000"/>
                              </w:rPr>
                              <w:t>conditions</w:t>
                            </w:r>
                            <w:r>
                              <w:rPr>
                                <w:color w:val="000000"/>
                                <w:spacing w:val="-3"/>
                              </w:rPr>
                              <w:t> </w:t>
                            </w:r>
                            <w:r>
                              <w:rPr>
                                <w:color w:val="000000"/>
                              </w:rPr>
                              <w:t>for scenery are presented in the plan components below, and in the valued landscape character</w:t>
                            </w:r>
                            <w:r>
                              <w:rPr>
                                <w:color w:val="000000"/>
                                <w:spacing w:val="-4"/>
                              </w:rPr>
                              <w:t> </w:t>
                            </w:r>
                            <w:r>
                              <w:rPr>
                                <w:color w:val="000000"/>
                              </w:rPr>
                              <w:t>descriptions,</w:t>
                            </w:r>
                            <w:r>
                              <w:rPr>
                                <w:color w:val="000000"/>
                                <w:spacing w:val="-3"/>
                              </w:rPr>
                              <w:t> </w:t>
                            </w:r>
                            <w:r>
                              <w:rPr>
                                <w:color w:val="000000"/>
                              </w:rPr>
                              <w:t>scenic</w:t>
                            </w:r>
                            <w:r>
                              <w:rPr>
                                <w:color w:val="000000"/>
                                <w:spacing w:val="-3"/>
                              </w:rPr>
                              <w:t> </w:t>
                            </w:r>
                            <w:r>
                              <w:rPr>
                                <w:color w:val="000000"/>
                              </w:rPr>
                              <w:t>viewshed</w:t>
                            </w:r>
                            <w:r>
                              <w:rPr>
                                <w:color w:val="000000"/>
                                <w:spacing w:val="-3"/>
                              </w:rPr>
                              <w:t> </w:t>
                            </w:r>
                            <w:r>
                              <w:rPr>
                                <w:color w:val="000000"/>
                              </w:rPr>
                              <w:t>tables,</w:t>
                            </w:r>
                            <w:r>
                              <w:rPr>
                                <w:color w:val="000000"/>
                                <w:spacing w:val="-3"/>
                              </w:rPr>
                              <w:t> </w:t>
                            </w:r>
                            <w:r>
                              <w:rPr>
                                <w:color w:val="000000"/>
                              </w:rPr>
                              <w:t>and</w:t>
                            </w:r>
                            <w:r>
                              <w:rPr>
                                <w:color w:val="000000"/>
                                <w:spacing w:val="-3"/>
                              </w:rPr>
                              <w:t> </w:t>
                            </w:r>
                            <w:r>
                              <w:rPr>
                                <w:color w:val="000000"/>
                              </w:rPr>
                              <w:t>scenic</w:t>
                            </w:r>
                            <w:r>
                              <w:rPr>
                                <w:color w:val="000000"/>
                                <w:spacing w:val="-3"/>
                              </w:rPr>
                              <w:t> </w:t>
                            </w:r>
                            <w:r>
                              <w:rPr>
                                <w:color w:val="000000"/>
                              </w:rPr>
                              <w:t>integrity</w:t>
                            </w:r>
                            <w:r>
                              <w:rPr>
                                <w:color w:val="000000"/>
                                <w:spacing w:val="-3"/>
                              </w:rPr>
                              <w:t> </w:t>
                            </w:r>
                            <w:r>
                              <w:rPr>
                                <w:color w:val="000000"/>
                              </w:rPr>
                              <w:t>objective</w:t>
                            </w:r>
                            <w:r>
                              <w:rPr>
                                <w:color w:val="000000"/>
                                <w:spacing w:val="-2"/>
                              </w:rPr>
                              <w:t> </w:t>
                            </w:r>
                            <w:r>
                              <w:rPr>
                                <w:color w:val="000000"/>
                              </w:rPr>
                              <w:t>(SIO)</w:t>
                            </w:r>
                            <w:r>
                              <w:rPr>
                                <w:color w:val="000000"/>
                                <w:spacing w:val="-4"/>
                              </w:rPr>
                              <w:t> </w:t>
                            </w:r>
                            <w:r>
                              <w:rPr>
                                <w:color w:val="000000"/>
                              </w:rPr>
                              <w:t>map</w:t>
                            </w:r>
                            <w:r>
                              <w:rPr>
                                <w:color w:val="000000"/>
                                <w:spacing w:val="-3"/>
                              </w:rPr>
                              <w:t> </w:t>
                            </w:r>
                            <w:r>
                              <w:rPr>
                                <w:color w:val="000000"/>
                              </w:rPr>
                              <w:t>in appendix D. The map prescribes the range of SIOs for all landscape areas (acres).</w:t>
                            </w:r>
                          </w:p>
                          <w:p>
                            <w:pPr>
                              <w:pStyle w:val="BodyText"/>
                              <w:spacing w:before="120"/>
                              <w:ind w:left="28" w:right="39"/>
                              <w:rPr>
                                <w:color w:val="000000"/>
                              </w:rPr>
                            </w:pPr>
                            <w:r>
                              <w:rPr>
                                <w:color w:val="000000"/>
                              </w:rPr>
                              <w:t>The valued landscape character descriptions do not replace other desired conditions, such as</w:t>
                            </w:r>
                            <w:r>
                              <w:rPr>
                                <w:color w:val="000000"/>
                                <w:spacing w:val="-2"/>
                              </w:rPr>
                              <w:t> </w:t>
                            </w:r>
                            <w:r>
                              <w:rPr>
                                <w:color w:val="000000"/>
                              </w:rPr>
                              <w:t>vegetation.</w:t>
                            </w:r>
                            <w:r>
                              <w:rPr>
                                <w:color w:val="000000"/>
                                <w:spacing w:val="-2"/>
                              </w:rPr>
                              <w:t> </w:t>
                            </w:r>
                            <w:r>
                              <w:rPr>
                                <w:color w:val="000000"/>
                              </w:rPr>
                              <w:t>Rather,</w:t>
                            </w:r>
                            <w:r>
                              <w:rPr>
                                <w:color w:val="000000"/>
                                <w:spacing w:val="-4"/>
                              </w:rPr>
                              <w:t> </w:t>
                            </w:r>
                            <w:r>
                              <w:rPr>
                                <w:color w:val="000000"/>
                              </w:rPr>
                              <w:t>the</w:t>
                            </w:r>
                            <w:r>
                              <w:rPr>
                                <w:color w:val="000000"/>
                                <w:spacing w:val="-4"/>
                              </w:rPr>
                              <w:t> </w:t>
                            </w:r>
                            <w:r>
                              <w:rPr>
                                <w:color w:val="000000"/>
                              </w:rPr>
                              <w:t>vegetation</w:t>
                            </w:r>
                            <w:r>
                              <w:rPr>
                                <w:color w:val="000000"/>
                                <w:spacing w:val="-3"/>
                              </w:rPr>
                              <w:t> </w:t>
                            </w:r>
                            <w:r>
                              <w:rPr>
                                <w:color w:val="000000"/>
                              </w:rPr>
                              <w:t>desired</w:t>
                            </w:r>
                            <w:r>
                              <w:rPr>
                                <w:color w:val="000000"/>
                                <w:spacing w:val="-3"/>
                              </w:rPr>
                              <w:t> </w:t>
                            </w:r>
                            <w:r>
                              <w:rPr>
                                <w:color w:val="000000"/>
                              </w:rPr>
                              <w:t>conditions</w:t>
                            </w:r>
                            <w:r>
                              <w:rPr>
                                <w:color w:val="000000"/>
                                <w:spacing w:val="-2"/>
                              </w:rPr>
                              <w:t> </w:t>
                            </w:r>
                            <w:r>
                              <w:rPr>
                                <w:color w:val="000000"/>
                              </w:rPr>
                              <w:t>are</w:t>
                            </w:r>
                            <w:r>
                              <w:rPr>
                                <w:color w:val="000000"/>
                                <w:spacing w:val="-1"/>
                              </w:rPr>
                              <w:t> </w:t>
                            </w:r>
                            <w:r>
                              <w:rPr>
                                <w:color w:val="000000"/>
                              </w:rPr>
                              <w:t>a</w:t>
                            </w:r>
                            <w:r>
                              <w:rPr>
                                <w:color w:val="000000"/>
                                <w:spacing w:val="-4"/>
                              </w:rPr>
                              <w:t> </w:t>
                            </w:r>
                            <w:r>
                              <w:rPr>
                                <w:color w:val="000000"/>
                              </w:rPr>
                              <w:t>key</w:t>
                            </w:r>
                            <w:r>
                              <w:rPr>
                                <w:color w:val="000000"/>
                                <w:spacing w:val="-1"/>
                              </w:rPr>
                              <w:t> </w:t>
                            </w:r>
                            <w:r>
                              <w:rPr>
                                <w:color w:val="000000"/>
                              </w:rPr>
                              <w:t>component</w:t>
                            </w:r>
                            <w:r>
                              <w:rPr>
                                <w:color w:val="000000"/>
                                <w:spacing w:val="-4"/>
                              </w:rPr>
                              <w:t> </w:t>
                            </w:r>
                            <w:r>
                              <w:rPr>
                                <w:color w:val="000000"/>
                              </w:rPr>
                              <w:t>of</w:t>
                            </w:r>
                            <w:r>
                              <w:rPr>
                                <w:color w:val="000000"/>
                                <w:spacing w:val="-7"/>
                              </w:rPr>
                              <w:t> </w:t>
                            </w:r>
                            <w:r>
                              <w:rPr>
                                <w:color w:val="000000"/>
                              </w:rPr>
                              <w:t>the</w:t>
                            </w:r>
                            <w:r>
                              <w:rPr>
                                <w:color w:val="000000"/>
                                <w:spacing w:val="-1"/>
                              </w:rPr>
                              <w:t> </w:t>
                            </w:r>
                            <w:r>
                              <w:rPr>
                                <w:color w:val="000000"/>
                              </w:rPr>
                              <w:t>valued landscape character.</w:t>
                            </w:r>
                          </w:p>
                          <w:p>
                            <w:pPr>
                              <w:pStyle w:val="BodyText"/>
                              <w:spacing w:before="121"/>
                              <w:ind w:left="28" w:right="50"/>
                              <w:rPr>
                                <w:color w:val="000000"/>
                              </w:rPr>
                            </w:pPr>
                            <w:r>
                              <w:rPr>
                                <w:color w:val="000000"/>
                              </w:rPr>
                              <w:t>SIO</w:t>
                            </w:r>
                            <w:r>
                              <w:rPr>
                                <w:color w:val="000000"/>
                                <w:spacing w:val="-3"/>
                              </w:rPr>
                              <w:t> </w:t>
                            </w:r>
                            <w:r>
                              <w:rPr>
                                <w:color w:val="000000"/>
                              </w:rPr>
                              <w:t>zones</w:t>
                            </w:r>
                            <w:r>
                              <w:rPr>
                                <w:color w:val="000000"/>
                                <w:spacing w:val="-5"/>
                              </w:rPr>
                              <w:t> </w:t>
                            </w:r>
                            <w:r>
                              <w:rPr>
                                <w:color w:val="000000"/>
                              </w:rPr>
                              <w:t>overlay</w:t>
                            </w:r>
                            <w:r>
                              <w:rPr>
                                <w:color w:val="000000"/>
                                <w:spacing w:val="-2"/>
                              </w:rPr>
                              <w:t> </w:t>
                            </w:r>
                            <w:r>
                              <w:rPr>
                                <w:color w:val="000000"/>
                              </w:rPr>
                              <w:t>the</w:t>
                            </w:r>
                            <w:r>
                              <w:rPr>
                                <w:color w:val="000000"/>
                                <w:spacing w:val="-7"/>
                              </w:rPr>
                              <w:t> </w:t>
                            </w:r>
                            <w:r>
                              <w:rPr>
                                <w:color w:val="000000"/>
                              </w:rPr>
                              <w:t>management</w:t>
                            </w:r>
                            <w:r>
                              <w:rPr>
                                <w:color w:val="000000"/>
                                <w:spacing w:val="-2"/>
                              </w:rPr>
                              <w:t> </w:t>
                            </w:r>
                            <w:r>
                              <w:rPr>
                                <w:color w:val="000000"/>
                              </w:rPr>
                              <w:t>areas.</w:t>
                            </w:r>
                            <w:r>
                              <w:rPr>
                                <w:color w:val="000000"/>
                                <w:spacing w:val="-3"/>
                              </w:rPr>
                              <w:t> </w:t>
                            </w:r>
                            <w:r>
                              <w:rPr>
                                <w:color w:val="000000"/>
                              </w:rPr>
                              <w:t>The</w:t>
                            </w:r>
                            <w:r>
                              <w:rPr>
                                <w:color w:val="000000"/>
                                <w:spacing w:val="-5"/>
                              </w:rPr>
                              <w:t> </w:t>
                            </w:r>
                            <w:r>
                              <w:rPr>
                                <w:color w:val="000000"/>
                              </w:rPr>
                              <w:t>direction</w:t>
                            </w:r>
                            <w:r>
                              <w:rPr>
                                <w:color w:val="000000"/>
                                <w:spacing w:val="-4"/>
                              </w:rPr>
                              <w:t> </w:t>
                            </w:r>
                            <w:r>
                              <w:rPr>
                                <w:color w:val="000000"/>
                              </w:rPr>
                              <w:t>for</w:t>
                            </w:r>
                            <w:r>
                              <w:rPr>
                                <w:color w:val="000000"/>
                                <w:spacing w:val="-5"/>
                              </w:rPr>
                              <w:t> </w:t>
                            </w:r>
                            <w:r>
                              <w:rPr>
                                <w:color w:val="000000"/>
                              </w:rPr>
                              <w:t>scenery</w:t>
                            </w:r>
                            <w:r>
                              <w:rPr>
                                <w:color w:val="000000"/>
                                <w:spacing w:val="-4"/>
                              </w:rPr>
                              <w:t> </w:t>
                            </w:r>
                            <w:r>
                              <w:rPr>
                                <w:color w:val="000000"/>
                              </w:rPr>
                              <w:t>management</w:t>
                            </w:r>
                            <w:r>
                              <w:rPr>
                                <w:color w:val="000000"/>
                                <w:spacing w:val="-2"/>
                              </w:rPr>
                              <w:t> </w:t>
                            </w:r>
                            <w:r>
                              <w:rPr>
                                <w:color w:val="000000"/>
                              </w:rPr>
                              <w:t>applies</w:t>
                            </w:r>
                            <w:r>
                              <w:rPr>
                                <w:color w:val="000000"/>
                                <w:spacing w:val="-3"/>
                              </w:rPr>
                              <w:t> </w:t>
                            </w:r>
                            <w:r>
                              <w:rPr>
                                <w:color w:val="000000"/>
                              </w:rPr>
                              <w:t>to all management areas. Applicability of plan direction is guided by the principle that where there is an overlap of scenery management direction with other plan components, the</w:t>
                            </w:r>
                            <w:r>
                              <w:rPr>
                                <w:color w:val="000000"/>
                                <w:spacing w:val="40"/>
                              </w:rPr>
                              <w:t> </w:t>
                            </w:r>
                            <w:r>
                              <w:rPr>
                                <w:color w:val="000000"/>
                              </w:rPr>
                              <w:t>most restrictive plan direction applies. For example, a scenic byway can overlay a Wild and Scenic River and Riparian Management Area, where all sets of forest plan components might appear to apply. However, in this case, the direction for the management area with the most restrictive SIO would apply.</w:t>
                            </w:r>
                          </w:p>
                        </w:txbxContent>
                      </wps:txbx>
                      <wps:bodyPr wrap="square" lIns="0" tIns="0" rIns="0" bIns="0" rtlCol="0">
                        <a:noAutofit/>
                      </wps:bodyPr>
                    </wps:wsp>
                  </a:graphicData>
                </a:graphic>
              </wp:anchor>
            </w:drawing>
          </mc:Choice>
          <mc:Fallback>
            <w:pict>
              <v:shape style="position:absolute;margin-left:88.559998pt;margin-top:5.938584pt;width:413.3pt;height:200.05pt;mso-position-horizontal-relative:page;mso-position-vertical-relative:paragraph;z-index:-15697408;mso-wrap-distance-left:0;mso-wrap-distance-right:0" type="#_x0000_t202" id="docshape177" filled="true" fillcolor="#dfdfdf" stroked="false">
                <v:textbox inset="0,0,0,0">
                  <w:txbxContent>
                    <w:p>
                      <w:pPr>
                        <w:pStyle w:val="BodyText"/>
                        <w:ind w:left="28" w:right="120"/>
                        <w:rPr>
                          <w:color w:val="000000"/>
                        </w:rPr>
                      </w:pPr>
                      <w:r>
                        <w:rPr>
                          <w:color w:val="000000"/>
                        </w:rPr>
                        <w:t>Scenery</w:t>
                      </w:r>
                      <w:r>
                        <w:rPr>
                          <w:color w:val="000000"/>
                          <w:spacing w:val="-4"/>
                        </w:rPr>
                        <w:t> </w:t>
                      </w:r>
                      <w:r>
                        <w:rPr>
                          <w:color w:val="000000"/>
                        </w:rPr>
                        <w:t>is</w:t>
                      </w:r>
                      <w:r>
                        <w:rPr>
                          <w:color w:val="000000"/>
                          <w:spacing w:val="-5"/>
                        </w:rPr>
                        <w:t> </w:t>
                      </w:r>
                      <w:r>
                        <w:rPr>
                          <w:color w:val="000000"/>
                        </w:rPr>
                        <w:t>managed</w:t>
                      </w:r>
                      <w:r>
                        <w:rPr>
                          <w:color w:val="000000"/>
                          <w:spacing w:val="-4"/>
                        </w:rPr>
                        <w:t> </w:t>
                      </w:r>
                      <w:r>
                        <w:rPr>
                          <w:color w:val="000000"/>
                        </w:rPr>
                        <w:t>through</w:t>
                      </w:r>
                      <w:r>
                        <w:rPr>
                          <w:color w:val="000000"/>
                          <w:spacing w:val="-4"/>
                        </w:rPr>
                        <w:t> </w:t>
                      </w:r>
                      <w:r>
                        <w:rPr>
                          <w:color w:val="000000"/>
                        </w:rPr>
                        <w:t>the</w:t>
                      </w:r>
                      <w:r>
                        <w:rPr>
                          <w:color w:val="000000"/>
                          <w:spacing w:val="-2"/>
                        </w:rPr>
                        <w:t> </w:t>
                      </w:r>
                      <w:r>
                        <w:rPr>
                          <w:color w:val="000000"/>
                        </w:rPr>
                        <w:t>scenery</w:t>
                      </w:r>
                      <w:r>
                        <w:rPr>
                          <w:color w:val="000000"/>
                          <w:spacing w:val="-4"/>
                        </w:rPr>
                        <w:t> </w:t>
                      </w:r>
                      <w:r>
                        <w:rPr>
                          <w:color w:val="000000"/>
                        </w:rPr>
                        <w:t>management</w:t>
                      </w:r>
                      <w:r>
                        <w:rPr>
                          <w:color w:val="000000"/>
                          <w:spacing w:val="-5"/>
                        </w:rPr>
                        <w:t> </w:t>
                      </w:r>
                      <w:r>
                        <w:rPr>
                          <w:color w:val="000000"/>
                        </w:rPr>
                        <w:t>system.</w:t>
                      </w:r>
                      <w:r>
                        <w:rPr>
                          <w:color w:val="000000"/>
                          <w:spacing w:val="-3"/>
                        </w:rPr>
                        <w:t> </w:t>
                      </w:r>
                      <w:r>
                        <w:rPr>
                          <w:color w:val="000000"/>
                        </w:rPr>
                        <w:t>The</w:t>
                      </w:r>
                      <w:r>
                        <w:rPr>
                          <w:color w:val="000000"/>
                          <w:spacing w:val="-2"/>
                        </w:rPr>
                        <w:t> </w:t>
                      </w:r>
                      <w:r>
                        <w:rPr>
                          <w:color w:val="000000"/>
                        </w:rPr>
                        <w:t>desired</w:t>
                      </w:r>
                      <w:r>
                        <w:rPr>
                          <w:color w:val="000000"/>
                          <w:spacing w:val="-6"/>
                        </w:rPr>
                        <w:t> </w:t>
                      </w:r>
                      <w:r>
                        <w:rPr>
                          <w:color w:val="000000"/>
                        </w:rPr>
                        <w:t>conditions</w:t>
                      </w:r>
                      <w:r>
                        <w:rPr>
                          <w:color w:val="000000"/>
                          <w:spacing w:val="-3"/>
                        </w:rPr>
                        <w:t> </w:t>
                      </w:r>
                      <w:r>
                        <w:rPr>
                          <w:color w:val="000000"/>
                        </w:rPr>
                        <w:t>for scenery are presented in the plan components below, and in the valued landscape character</w:t>
                      </w:r>
                      <w:r>
                        <w:rPr>
                          <w:color w:val="000000"/>
                          <w:spacing w:val="-4"/>
                        </w:rPr>
                        <w:t> </w:t>
                      </w:r>
                      <w:r>
                        <w:rPr>
                          <w:color w:val="000000"/>
                        </w:rPr>
                        <w:t>descriptions,</w:t>
                      </w:r>
                      <w:r>
                        <w:rPr>
                          <w:color w:val="000000"/>
                          <w:spacing w:val="-3"/>
                        </w:rPr>
                        <w:t> </w:t>
                      </w:r>
                      <w:r>
                        <w:rPr>
                          <w:color w:val="000000"/>
                        </w:rPr>
                        <w:t>scenic</w:t>
                      </w:r>
                      <w:r>
                        <w:rPr>
                          <w:color w:val="000000"/>
                          <w:spacing w:val="-3"/>
                        </w:rPr>
                        <w:t> </w:t>
                      </w:r>
                      <w:r>
                        <w:rPr>
                          <w:color w:val="000000"/>
                        </w:rPr>
                        <w:t>viewshed</w:t>
                      </w:r>
                      <w:r>
                        <w:rPr>
                          <w:color w:val="000000"/>
                          <w:spacing w:val="-3"/>
                        </w:rPr>
                        <w:t> </w:t>
                      </w:r>
                      <w:r>
                        <w:rPr>
                          <w:color w:val="000000"/>
                        </w:rPr>
                        <w:t>tables,</w:t>
                      </w:r>
                      <w:r>
                        <w:rPr>
                          <w:color w:val="000000"/>
                          <w:spacing w:val="-3"/>
                        </w:rPr>
                        <w:t> </w:t>
                      </w:r>
                      <w:r>
                        <w:rPr>
                          <w:color w:val="000000"/>
                        </w:rPr>
                        <w:t>and</w:t>
                      </w:r>
                      <w:r>
                        <w:rPr>
                          <w:color w:val="000000"/>
                          <w:spacing w:val="-3"/>
                        </w:rPr>
                        <w:t> </w:t>
                      </w:r>
                      <w:r>
                        <w:rPr>
                          <w:color w:val="000000"/>
                        </w:rPr>
                        <w:t>scenic</w:t>
                      </w:r>
                      <w:r>
                        <w:rPr>
                          <w:color w:val="000000"/>
                          <w:spacing w:val="-3"/>
                        </w:rPr>
                        <w:t> </w:t>
                      </w:r>
                      <w:r>
                        <w:rPr>
                          <w:color w:val="000000"/>
                        </w:rPr>
                        <w:t>integrity</w:t>
                      </w:r>
                      <w:r>
                        <w:rPr>
                          <w:color w:val="000000"/>
                          <w:spacing w:val="-3"/>
                        </w:rPr>
                        <w:t> </w:t>
                      </w:r>
                      <w:r>
                        <w:rPr>
                          <w:color w:val="000000"/>
                        </w:rPr>
                        <w:t>objective</w:t>
                      </w:r>
                      <w:r>
                        <w:rPr>
                          <w:color w:val="000000"/>
                          <w:spacing w:val="-2"/>
                        </w:rPr>
                        <w:t> </w:t>
                      </w:r>
                      <w:r>
                        <w:rPr>
                          <w:color w:val="000000"/>
                        </w:rPr>
                        <w:t>(SIO)</w:t>
                      </w:r>
                      <w:r>
                        <w:rPr>
                          <w:color w:val="000000"/>
                          <w:spacing w:val="-4"/>
                        </w:rPr>
                        <w:t> </w:t>
                      </w:r>
                      <w:r>
                        <w:rPr>
                          <w:color w:val="000000"/>
                        </w:rPr>
                        <w:t>map</w:t>
                      </w:r>
                      <w:r>
                        <w:rPr>
                          <w:color w:val="000000"/>
                          <w:spacing w:val="-3"/>
                        </w:rPr>
                        <w:t> </w:t>
                      </w:r>
                      <w:r>
                        <w:rPr>
                          <w:color w:val="000000"/>
                        </w:rPr>
                        <w:t>in appendix D. The map prescribes the range of SIOs for all landscape areas (acres).</w:t>
                      </w:r>
                    </w:p>
                    <w:p>
                      <w:pPr>
                        <w:pStyle w:val="BodyText"/>
                        <w:spacing w:before="120"/>
                        <w:ind w:left="28" w:right="39"/>
                        <w:rPr>
                          <w:color w:val="000000"/>
                        </w:rPr>
                      </w:pPr>
                      <w:r>
                        <w:rPr>
                          <w:color w:val="000000"/>
                        </w:rPr>
                        <w:t>The valued landscape character descriptions do not replace other desired conditions, such as</w:t>
                      </w:r>
                      <w:r>
                        <w:rPr>
                          <w:color w:val="000000"/>
                          <w:spacing w:val="-2"/>
                        </w:rPr>
                        <w:t> </w:t>
                      </w:r>
                      <w:r>
                        <w:rPr>
                          <w:color w:val="000000"/>
                        </w:rPr>
                        <w:t>vegetation.</w:t>
                      </w:r>
                      <w:r>
                        <w:rPr>
                          <w:color w:val="000000"/>
                          <w:spacing w:val="-2"/>
                        </w:rPr>
                        <w:t> </w:t>
                      </w:r>
                      <w:r>
                        <w:rPr>
                          <w:color w:val="000000"/>
                        </w:rPr>
                        <w:t>Rather,</w:t>
                      </w:r>
                      <w:r>
                        <w:rPr>
                          <w:color w:val="000000"/>
                          <w:spacing w:val="-4"/>
                        </w:rPr>
                        <w:t> </w:t>
                      </w:r>
                      <w:r>
                        <w:rPr>
                          <w:color w:val="000000"/>
                        </w:rPr>
                        <w:t>the</w:t>
                      </w:r>
                      <w:r>
                        <w:rPr>
                          <w:color w:val="000000"/>
                          <w:spacing w:val="-4"/>
                        </w:rPr>
                        <w:t> </w:t>
                      </w:r>
                      <w:r>
                        <w:rPr>
                          <w:color w:val="000000"/>
                        </w:rPr>
                        <w:t>vegetation</w:t>
                      </w:r>
                      <w:r>
                        <w:rPr>
                          <w:color w:val="000000"/>
                          <w:spacing w:val="-3"/>
                        </w:rPr>
                        <w:t> </w:t>
                      </w:r>
                      <w:r>
                        <w:rPr>
                          <w:color w:val="000000"/>
                        </w:rPr>
                        <w:t>desired</w:t>
                      </w:r>
                      <w:r>
                        <w:rPr>
                          <w:color w:val="000000"/>
                          <w:spacing w:val="-3"/>
                        </w:rPr>
                        <w:t> </w:t>
                      </w:r>
                      <w:r>
                        <w:rPr>
                          <w:color w:val="000000"/>
                        </w:rPr>
                        <w:t>conditions</w:t>
                      </w:r>
                      <w:r>
                        <w:rPr>
                          <w:color w:val="000000"/>
                          <w:spacing w:val="-2"/>
                        </w:rPr>
                        <w:t> </w:t>
                      </w:r>
                      <w:r>
                        <w:rPr>
                          <w:color w:val="000000"/>
                        </w:rPr>
                        <w:t>are</w:t>
                      </w:r>
                      <w:r>
                        <w:rPr>
                          <w:color w:val="000000"/>
                          <w:spacing w:val="-1"/>
                        </w:rPr>
                        <w:t> </w:t>
                      </w:r>
                      <w:r>
                        <w:rPr>
                          <w:color w:val="000000"/>
                        </w:rPr>
                        <w:t>a</w:t>
                      </w:r>
                      <w:r>
                        <w:rPr>
                          <w:color w:val="000000"/>
                          <w:spacing w:val="-4"/>
                        </w:rPr>
                        <w:t> </w:t>
                      </w:r>
                      <w:r>
                        <w:rPr>
                          <w:color w:val="000000"/>
                        </w:rPr>
                        <w:t>key</w:t>
                      </w:r>
                      <w:r>
                        <w:rPr>
                          <w:color w:val="000000"/>
                          <w:spacing w:val="-1"/>
                        </w:rPr>
                        <w:t> </w:t>
                      </w:r>
                      <w:r>
                        <w:rPr>
                          <w:color w:val="000000"/>
                        </w:rPr>
                        <w:t>component</w:t>
                      </w:r>
                      <w:r>
                        <w:rPr>
                          <w:color w:val="000000"/>
                          <w:spacing w:val="-4"/>
                        </w:rPr>
                        <w:t> </w:t>
                      </w:r>
                      <w:r>
                        <w:rPr>
                          <w:color w:val="000000"/>
                        </w:rPr>
                        <w:t>of</w:t>
                      </w:r>
                      <w:r>
                        <w:rPr>
                          <w:color w:val="000000"/>
                          <w:spacing w:val="-7"/>
                        </w:rPr>
                        <w:t> </w:t>
                      </w:r>
                      <w:r>
                        <w:rPr>
                          <w:color w:val="000000"/>
                        </w:rPr>
                        <w:t>the</w:t>
                      </w:r>
                      <w:r>
                        <w:rPr>
                          <w:color w:val="000000"/>
                          <w:spacing w:val="-1"/>
                        </w:rPr>
                        <w:t> </w:t>
                      </w:r>
                      <w:r>
                        <w:rPr>
                          <w:color w:val="000000"/>
                        </w:rPr>
                        <w:t>valued landscape character.</w:t>
                      </w:r>
                    </w:p>
                    <w:p>
                      <w:pPr>
                        <w:pStyle w:val="BodyText"/>
                        <w:spacing w:before="121"/>
                        <w:ind w:left="28" w:right="50"/>
                        <w:rPr>
                          <w:color w:val="000000"/>
                        </w:rPr>
                      </w:pPr>
                      <w:r>
                        <w:rPr>
                          <w:color w:val="000000"/>
                        </w:rPr>
                        <w:t>SIO</w:t>
                      </w:r>
                      <w:r>
                        <w:rPr>
                          <w:color w:val="000000"/>
                          <w:spacing w:val="-3"/>
                        </w:rPr>
                        <w:t> </w:t>
                      </w:r>
                      <w:r>
                        <w:rPr>
                          <w:color w:val="000000"/>
                        </w:rPr>
                        <w:t>zones</w:t>
                      </w:r>
                      <w:r>
                        <w:rPr>
                          <w:color w:val="000000"/>
                          <w:spacing w:val="-5"/>
                        </w:rPr>
                        <w:t> </w:t>
                      </w:r>
                      <w:r>
                        <w:rPr>
                          <w:color w:val="000000"/>
                        </w:rPr>
                        <w:t>overlay</w:t>
                      </w:r>
                      <w:r>
                        <w:rPr>
                          <w:color w:val="000000"/>
                          <w:spacing w:val="-2"/>
                        </w:rPr>
                        <w:t> </w:t>
                      </w:r>
                      <w:r>
                        <w:rPr>
                          <w:color w:val="000000"/>
                        </w:rPr>
                        <w:t>the</w:t>
                      </w:r>
                      <w:r>
                        <w:rPr>
                          <w:color w:val="000000"/>
                          <w:spacing w:val="-7"/>
                        </w:rPr>
                        <w:t> </w:t>
                      </w:r>
                      <w:r>
                        <w:rPr>
                          <w:color w:val="000000"/>
                        </w:rPr>
                        <w:t>management</w:t>
                      </w:r>
                      <w:r>
                        <w:rPr>
                          <w:color w:val="000000"/>
                          <w:spacing w:val="-2"/>
                        </w:rPr>
                        <w:t> </w:t>
                      </w:r>
                      <w:r>
                        <w:rPr>
                          <w:color w:val="000000"/>
                        </w:rPr>
                        <w:t>areas.</w:t>
                      </w:r>
                      <w:r>
                        <w:rPr>
                          <w:color w:val="000000"/>
                          <w:spacing w:val="-3"/>
                        </w:rPr>
                        <w:t> </w:t>
                      </w:r>
                      <w:r>
                        <w:rPr>
                          <w:color w:val="000000"/>
                        </w:rPr>
                        <w:t>The</w:t>
                      </w:r>
                      <w:r>
                        <w:rPr>
                          <w:color w:val="000000"/>
                          <w:spacing w:val="-5"/>
                        </w:rPr>
                        <w:t> </w:t>
                      </w:r>
                      <w:r>
                        <w:rPr>
                          <w:color w:val="000000"/>
                        </w:rPr>
                        <w:t>direction</w:t>
                      </w:r>
                      <w:r>
                        <w:rPr>
                          <w:color w:val="000000"/>
                          <w:spacing w:val="-4"/>
                        </w:rPr>
                        <w:t> </w:t>
                      </w:r>
                      <w:r>
                        <w:rPr>
                          <w:color w:val="000000"/>
                        </w:rPr>
                        <w:t>for</w:t>
                      </w:r>
                      <w:r>
                        <w:rPr>
                          <w:color w:val="000000"/>
                          <w:spacing w:val="-5"/>
                        </w:rPr>
                        <w:t> </w:t>
                      </w:r>
                      <w:r>
                        <w:rPr>
                          <w:color w:val="000000"/>
                        </w:rPr>
                        <w:t>scenery</w:t>
                      </w:r>
                      <w:r>
                        <w:rPr>
                          <w:color w:val="000000"/>
                          <w:spacing w:val="-4"/>
                        </w:rPr>
                        <w:t> </w:t>
                      </w:r>
                      <w:r>
                        <w:rPr>
                          <w:color w:val="000000"/>
                        </w:rPr>
                        <w:t>management</w:t>
                      </w:r>
                      <w:r>
                        <w:rPr>
                          <w:color w:val="000000"/>
                          <w:spacing w:val="-2"/>
                        </w:rPr>
                        <w:t> </w:t>
                      </w:r>
                      <w:r>
                        <w:rPr>
                          <w:color w:val="000000"/>
                        </w:rPr>
                        <w:t>applies</w:t>
                      </w:r>
                      <w:r>
                        <w:rPr>
                          <w:color w:val="000000"/>
                          <w:spacing w:val="-3"/>
                        </w:rPr>
                        <w:t> </w:t>
                      </w:r>
                      <w:r>
                        <w:rPr>
                          <w:color w:val="000000"/>
                        </w:rPr>
                        <w:t>to all management areas. Applicability of plan direction is guided by the principle that where there is an overlap of scenery management direction with other plan components, the</w:t>
                      </w:r>
                      <w:r>
                        <w:rPr>
                          <w:color w:val="000000"/>
                          <w:spacing w:val="40"/>
                        </w:rPr>
                        <w:t> </w:t>
                      </w:r>
                      <w:r>
                        <w:rPr>
                          <w:color w:val="000000"/>
                        </w:rPr>
                        <w:t>most restrictive plan direction applies. For example, a scenic byway can overlay a Wild and Scenic River and Riparian Management Area, where all sets of forest plan components might appear to apply. However, in this case, the direction for the management area with the most restrictive SIO would apply.</w:t>
                      </w:r>
                    </w:p>
                  </w:txbxContent>
                </v:textbox>
                <v:fill type="solid"/>
                <w10:wrap type="topAndBottom"/>
              </v:shape>
            </w:pict>
          </mc:Fallback>
        </mc:AlternateContent>
      </w:r>
    </w:p>
    <w:p>
      <w:pPr>
        <w:pStyle w:val="Heading4"/>
        <w:spacing w:before="240"/>
      </w:pPr>
      <w:bookmarkStart w:name="Desired Condition" w:id="489"/>
      <w:bookmarkEnd w:id="489"/>
      <w:r>
        <w:rPr/>
      </w:r>
      <w:bookmarkStart w:name="_bookmark155" w:id="490"/>
      <w:bookmarkEnd w:id="490"/>
      <w:r>
        <w:rPr/>
      </w:r>
      <w:r>
        <w:rPr/>
        <w:t>Desired</w:t>
      </w:r>
      <w:r>
        <w:rPr>
          <w:spacing w:val="-4"/>
        </w:rPr>
        <w:t> </w:t>
      </w:r>
      <w:r>
        <w:rPr>
          <w:spacing w:val="-2"/>
        </w:rPr>
        <w:t>Condition</w:t>
      </w:r>
    </w:p>
    <w:p>
      <w:pPr>
        <w:spacing w:before="240"/>
        <w:ind w:left="360" w:right="0" w:firstLine="0"/>
        <w:jc w:val="left"/>
        <w:rPr>
          <w:rFonts w:ascii="Arial"/>
          <w:i/>
          <w:sz w:val="22"/>
        </w:rPr>
      </w:pPr>
      <w:bookmarkStart w:name="FW-DC-SCE-01. Maintain and Enhance Scene" w:id="491"/>
      <w:bookmarkEnd w:id="491"/>
      <w:r>
        <w:rPr/>
      </w:r>
      <w:r>
        <w:rPr>
          <w:rFonts w:ascii="Arial"/>
          <w:i/>
          <w:sz w:val="22"/>
        </w:rPr>
        <w:t>FW-DC-SCE-01.</w:t>
      </w:r>
      <w:r>
        <w:rPr>
          <w:rFonts w:ascii="Arial"/>
          <w:i/>
          <w:spacing w:val="-6"/>
          <w:sz w:val="22"/>
        </w:rPr>
        <w:t> </w:t>
      </w:r>
      <w:r>
        <w:rPr>
          <w:rFonts w:ascii="Arial"/>
          <w:i/>
          <w:sz w:val="22"/>
        </w:rPr>
        <w:t>Maintain</w:t>
      </w:r>
      <w:r>
        <w:rPr>
          <w:rFonts w:ascii="Arial"/>
          <w:i/>
          <w:spacing w:val="-7"/>
          <w:sz w:val="22"/>
        </w:rPr>
        <w:t> </w:t>
      </w:r>
      <w:r>
        <w:rPr>
          <w:rFonts w:ascii="Arial"/>
          <w:i/>
          <w:sz w:val="22"/>
        </w:rPr>
        <w:t>and</w:t>
      </w:r>
      <w:r>
        <w:rPr>
          <w:rFonts w:ascii="Arial"/>
          <w:i/>
          <w:spacing w:val="-7"/>
          <w:sz w:val="22"/>
        </w:rPr>
        <w:t> </w:t>
      </w:r>
      <w:r>
        <w:rPr>
          <w:rFonts w:ascii="Arial"/>
          <w:i/>
          <w:sz w:val="22"/>
        </w:rPr>
        <w:t>Enhance</w:t>
      </w:r>
      <w:r>
        <w:rPr>
          <w:rFonts w:ascii="Arial"/>
          <w:i/>
          <w:spacing w:val="-9"/>
          <w:sz w:val="22"/>
        </w:rPr>
        <w:t> </w:t>
      </w:r>
      <w:r>
        <w:rPr>
          <w:rFonts w:ascii="Arial"/>
          <w:i/>
          <w:spacing w:val="-2"/>
          <w:sz w:val="22"/>
        </w:rPr>
        <w:t>Scenery</w:t>
      </w:r>
    </w:p>
    <w:p>
      <w:pPr>
        <w:pStyle w:val="BodyText"/>
        <w:spacing w:line="232" w:lineRule="auto" w:before="64"/>
        <w:ind w:left="359" w:right="1621"/>
      </w:pPr>
      <w:r>
        <w:rPr/>
        <w:t>The</w:t>
      </w:r>
      <w:r>
        <w:rPr>
          <w:spacing w:val="-3"/>
        </w:rPr>
        <w:t> </w:t>
      </w:r>
      <w:r>
        <w:rPr/>
        <w:t>scenery</w:t>
      </w:r>
      <w:r>
        <w:rPr>
          <w:spacing w:val="-5"/>
        </w:rPr>
        <w:t> </w:t>
      </w:r>
      <w:r>
        <w:rPr/>
        <w:t>of</w:t>
      </w:r>
      <w:r>
        <w:rPr>
          <w:spacing w:val="-4"/>
        </w:rPr>
        <w:t> </w:t>
      </w:r>
      <w:r>
        <w:rPr/>
        <w:t>the</w:t>
      </w:r>
      <w:r>
        <w:rPr>
          <w:spacing w:val="-3"/>
        </w:rPr>
        <w:t> </w:t>
      </w:r>
      <w:r>
        <w:rPr/>
        <w:t>Forest</w:t>
      </w:r>
      <w:r>
        <w:rPr>
          <w:spacing w:val="-3"/>
        </w:rPr>
        <w:t> </w:t>
      </w:r>
      <w:r>
        <w:rPr/>
        <w:t>enhances</w:t>
      </w:r>
      <w:r>
        <w:rPr>
          <w:spacing w:val="-4"/>
        </w:rPr>
        <w:t> </w:t>
      </w:r>
      <w:r>
        <w:rPr/>
        <w:t>the</w:t>
      </w:r>
      <w:r>
        <w:rPr>
          <w:spacing w:val="-6"/>
        </w:rPr>
        <w:t> </w:t>
      </w:r>
      <w:r>
        <w:rPr/>
        <w:t>experience</w:t>
      </w:r>
      <w:r>
        <w:rPr>
          <w:spacing w:val="-3"/>
        </w:rPr>
        <w:t> </w:t>
      </w:r>
      <w:r>
        <w:rPr/>
        <w:t>of</w:t>
      </w:r>
      <w:r>
        <w:rPr>
          <w:spacing w:val="-6"/>
        </w:rPr>
        <w:t> </w:t>
      </w:r>
      <w:r>
        <w:rPr/>
        <w:t>visitors</w:t>
      </w:r>
      <w:r>
        <w:rPr>
          <w:spacing w:val="-4"/>
        </w:rPr>
        <w:t> </w:t>
      </w:r>
      <w:r>
        <w:rPr/>
        <w:t>and</w:t>
      </w:r>
      <w:r>
        <w:rPr>
          <w:spacing w:val="-5"/>
        </w:rPr>
        <w:t> </w:t>
      </w:r>
      <w:r>
        <w:rPr/>
        <w:t>contributes</w:t>
      </w:r>
      <w:r>
        <w:rPr>
          <w:spacing w:val="-4"/>
        </w:rPr>
        <w:t> </w:t>
      </w:r>
      <w:r>
        <w:rPr/>
        <w:t>to</w:t>
      </w:r>
      <w:r>
        <w:rPr>
          <w:spacing w:val="-3"/>
        </w:rPr>
        <w:t> </w:t>
      </w:r>
      <w:r>
        <w:rPr/>
        <w:t>the</w:t>
      </w:r>
      <w:r>
        <w:rPr>
          <w:spacing w:val="-3"/>
        </w:rPr>
        <w:t> </w:t>
      </w:r>
      <w:r>
        <w:rPr/>
        <w:t>quality</w:t>
      </w:r>
      <w:r>
        <w:rPr>
          <w:spacing w:val="-5"/>
        </w:rPr>
        <w:t> </w:t>
      </w:r>
      <w:r>
        <w:rPr/>
        <w:t>of life of communities whose backdrop is National Forest System lands. The valued landscape character is maintained and enhanced and SIOs are met.</w:t>
      </w:r>
    </w:p>
    <w:p>
      <w:pPr>
        <w:pStyle w:val="BodyText"/>
        <w:spacing w:line="232" w:lineRule="auto" w:before="201"/>
        <w:ind w:left="359" w:right="1529"/>
      </w:pPr>
      <w:r>
        <w:rPr/>
        <w:t>Opportunities</w:t>
      </w:r>
      <w:r>
        <w:rPr>
          <w:spacing w:val="-8"/>
        </w:rPr>
        <w:t> </w:t>
      </w:r>
      <w:r>
        <w:rPr/>
        <w:t>exist</w:t>
      </w:r>
      <w:r>
        <w:rPr>
          <w:spacing w:val="-8"/>
        </w:rPr>
        <w:t> </w:t>
      </w:r>
      <w:r>
        <w:rPr/>
        <w:t>to</w:t>
      </w:r>
      <w:r>
        <w:rPr>
          <w:spacing w:val="-7"/>
        </w:rPr>
        <w:t> </w:t>
      </w:r>
      <w:r>
        <w:rPr/>
        <w:t>view</w:t>
      </w:r>
      <w:r>
        <w:rPr>
          <w:spacing w:val="-10"/>
        </w:rPr>
        <w:t> </w:t>
      </w:r>
      <w:r>
        <w:rPr/>
        <w:t>high-quality</w:t>
      </w:r>
      <w:r>
        <w:rPr>
          <w:spacing w:val="-5"/>
        </w:rPr>
        <w:t> </w:t>
      </w:r>
      <w:r>
        <w:rPr/>
        <w:t>scenery</w:t>
      </w:r>
      <w:r>
        <w:rPr>
          <w:spacing w:val="-7"/>
        </w:rPr>
        <w:t> </w:t>
      </w:r>
      <w:r>
        <w:rPr/>
        <w:t>that</w:t>
      </w:r>
      <w:r>
        <w:rPr>
          <w:spacing w:val="-5"/>
        </w:rPr>
        <w:t> </w:t>
      </w:r>
      <w:r>
        <w:rPr/>
        <w:t>represents</w:t>
      </w:r>
      <w:r>
        <w:rPr>
          <w:spacing w:val="-8"/>
        </w:rPr>
        <w:t> </w:t>
      </w:r>
      <w:r>
        <w:rPr/>
        <w:t>the</w:t>
      </w:r>
      <w:r>
        <w:rPr>
          <w:spacing w:val="-5"/>
        </w:rPr>
        <w:t> </w:t>
      </w:r>
      <w:r>
        <w:rPr/>
        <w:t>natural</w:t>
      </w:r>
      <w:r>
        <w:rPr>
          <w:spacing w:val="-6"/>
        </w:rPr>
        <w:t> </w:t>
      </w:r>
      <w:r>
        <w:rPr/>
        <w:t>landscape</w:t>
      </w:r>
      <w:r>
        <w:rPr>
          <w:spacing w:val="-5"/>
        </w:rPr>
        <w:t> </w:t>
      </w:r>
      <w:r>
        <w:rPr/>
        <w:t>character of the region and / or a landscape with unusual features. Views from key viewing locations</w:t>
      </w:r>
      <w:r>
        <w:rPr/>
        <w:t> (such as vista points, scenic pullouts, and interpretive sites) are not blocked by vegetation and are not affected by new structures and utilities. Vegetation management contributes to seasonal</w:t>
      </w:r>
      <w:r>
        <w:rPr>
          <w:spacing w:val="-1"/>
        </w:rPr>
        <w:t> </w:t>
      </w:r>
      <w:r>
        <w:rPr/>
        <w:t>color and texture, age classes, and a variety of plant communities and</w:t>
      </w:r>
      <w:r>
        <w:rPr>
          <w:spacing w:val="-1"/>
        </w:rPr>
        <w:t> </w:t>
      </w:r>
      <w:r>
        <w:rPr/>
        <w:t>maintains long- term vigor and health of the vegetation. Enhancement opportunities exist to increase positive scenic attributes where few currently exist, such as highlighting large tree boles or opening views to geologic features and distant viewpoints along viewsheds.</w:t>
      </w:r>
    </w:p>
    <w:p>
      <w:pPr>
        <w:pStyle w:val="Heading4"/>
        <w:spacing w:before="231"/>
      </w:pPr>
      <w:bookmarkStart w:name="Objectives" w:id="492"/>
      <w:bookmarkEnd w:id="492"/>
      <w:r>
        <w:rPr/>
      </w:r>
      <w:bookmarkStart w:name="_bookmark156" w:id="493"/>
      <w:bookmarkEnd w:id="493"/>
      <w:r>
        <w:rPr/>
      </w:r>
      <w:r>
        <w:rPr>
          <w:spacing w:val="-2"/>
        </w:rPr>
        <w:t>Objectives</w:t>
      </w:r>
    </w:p>
    <w:p>
      <w:pPr>
        <w:spacing w:before="237"/>
        <w:ind w:left="360" w:right="0" w:firstLine="0"/>
        <w:jc w:val="left"/>
        <w:rPr>
          <w:rFonts w:ascii="Arial"/>
          <w:i/>
          <w:sz w:val="22"/>
        </w:rPr>
      </w:pPr>
      <w:bookmarkStart w:name="FW-OBJ-SCE-01. Scenic Integrity Objectiv" w:id="494"/>
      <w:bookmarkEnd w:id="494"/>
      <w:r>
        <w:rPr/>
      </w:r>
      <w:r>
        <w:rPr>
          <w:rFonts w:ascii="Arial"/>
          <w:i/>
          <w:sz w:val="22"/>
        </w:rPr>
        <w:t>FW-OBJ-SCE-01.</w:t>
      </w:r>
      <w:r>
        <w:rPr>
          <w:rFonts w:ascii="Arial"/>
          <w:i/>
          <w:spacing w:val="-7"/>
          <w:sz w:val="22"/>
        </w:rPr>
        <w:t> </w:t>
      </w:r>
      <w:r>
        <w:rPr>
          <w:rFonts w:ascii="Arial"/>
          <w:i/>
          <w:sz w:val="22"/>
        </w:rPr>
        <w:t>Scenic</w:t>
      </w:r>
      <w:r>
        <w:rPr>
          <w:rFonts w:ascii="Arial"/>
          <w:i/>
          <w:spacing w:val="-7"/>
          <w:sz w:val="22"/>
        </w:rPr>
        <w:t> </w:t>
      </w:r>
      <w:r>
        <w:rPr>
          <w:rFonts w:ascii="Arial"/>
          <w:i/>
          <w:sz w:val="22"/>
        </w:rPr>
        <w:t>Integrity</w:t>
      </w:r>
      <w:r>
        <w:rPr>
          <w:rFonts w:ascii="Arial"/>
          <w:i/>
          <w:spacing w:val="-10"/>
          <w:sz w:val="22"/>
        </w:rPr>
        <w:t> </w:t>
      </w:r>
      <w:r>
        <w:rPr>
          <w:rFonts w:ascii="Arial"/>
          <w:i/>
          <w:spacing w:val="-2"/>
          <w:sz w:val="22"/>
        </w:rPr>
        <w:t>Objectives</w:t>
      </w:r>
    </w:p>
    <w:p>
      <w:pPr>
        <w:pStyle w:val="BodyText"/>
        <w:spacing w:line="232" w:lineRule="auto" w:before="67"/>
        <w:ind w:left="359" w:right="1445"/>
      </w:pPr>
      <w:r>
        <w:rPr/>
        <w:t>Within 5 years of plan approval, and every 5 years after, evaluate scenery management monitoring</w:t>
      </w:r>
      <w:r>
        <w:rPr>
          <w:spacing w:val="-7"/>
        </w:rPr>
        <w:t> </w:t>
      </w:r>
      <w:r>
        <w:rPr/>
        <w:t>results</w:t>
      </w:r>
      <w:r>
        <w:rPr>
          <w:spacing w:val="-6"/>
        </w:rPr>
        <w:t> </w:t>
      </w:r>
      <w:r>
        <w:rPr/>
        <w:t>and</w:t>
      </w:r>
      <w:r>
        <w:rPr>
          <w:spacing w:val="-7"/>
        </w:rPr>
        <w:t> </w:t>
      </w:r>
      <w:r>
        <w:rPr/>
        <w:t>implement</w:t>
      </w:r>
      <w:r>
        <w:rPr>
          <w:spacing w:val="-5"/>
        </w:rPr>
        <w:t> </w:t>
      </w:r>
      <w:r>
        <w:rPr/>
        <w:t>appropriate</w:t>
      </w:r>
      <w:r>
        <w:rPr>
          <w:spacing w:val="-8"/>
        </w:rPr>
        <w:t> </w:t>
      </w:r>
      <w:r>
        <w:rPr/>
        <w:t>management</w:t>
      </w:r>
      <w:r>
        <w:rPr>
          <w:spacing w:val="-5"/>
        </w:rPr>
        <w:t> </w:t>
      </w:r>
      <w:r>
        <w:rPr/>
        <w:t>adjustments</w:t>
      </w:r>
      <w:r>
        <w:rPr>
          <w:spacing w:val="-8"/>
        </w:rPr>
        <w:t> </w:t>
      </w:r>
      <w:r>
        <w:rPr/>
        <w:t>with</w:t>
      </w:r>
      <w:r>
        <w:rPr>
          <w:spacing w:val="-8"/>
        </w:rPr>
        <w:t> </w:t>
      </w:r>
      <w:r>
        <w:rPr/>
        <w:t>the</w:t>
      </w:r>
      <w:r>
        <w:rPr>
          <w:spacing w:val="-5"/>
        </w:rPr>
        <w:t> </w:t>
      </w:r>
      <w:r>
        <w:rPr/>
        <w:t>emphasis</w:t>
      </w:r>
      <w:r>
        <w:rPr>
          <w:spacing w:val="-8"/>
        </w:rPr>
        <w:t> </w:t>
      </w:r>
      <w:r>
        <w:rPr/>
        <w:t>on improving the sustainability of desired landscape character in landscape areas of highest expectations for scenic integrity levels in concern level 1 and concern level</w:t>
      </w:r>
      <w:r>
        <w:rPr>
          <w:spacing w:val="-1"/>
        </w:rPr>
        <w:t> </w:t>
      </w:r>
      <w:r>
        <w:rPr/>
        <w:t>2 scenic viewsheds.</w:t>
      </w:r>
    </w:p>
    <w:p>
      <w:pPr>
        <w:spacing w:before="232"/>
        <w:ind w:left="359" w:right="0" w:firstLine="0"/>
        <w:jc w:val="left"/>
        <w:rPr>
          <w:rFonts w:ascii="Arial"/>
          <w:i/>
          <w:sz w:val="22"/>
        </w:rPr>
      </w:pPr>
      <w:bookmarkStart w:name="FW-OBJ-SCE-02. Desired Landscape Charact" w:id="495"/>
      <w:bookmarkEnd w:id="495"/>
      <w:r>
        <w:rPr/>
      </w:r>
      <w:r>
        <w:rPr>
          <w:rFonts w:ascii="Arial"/>
          <w:i/>
          <w:sz w:val="22"/>
        </w:rPr>
        <w:t>FW-OBJ-SCE-02.</w:t>
      </w:r>
      <w:r>
        <w:rPr>
          <w:rFonts w:ascii="Arial"/>
          <w:i/>
          <w:spacing w:val="-7"/>
          <w:sz w:val="22"/>
        </w:rPr>
        <w:t> </w:t>
      </w:r>
      <w:r>
        <w:rPr>
          <w:rFonts w:ascii="Arial"/>
          <w:i/>
          <w:sz w:val="22"/>
        </w:rPr>
        <w:t>Desired</w:t>
      </w:r>
      <w:r>
        <w:rPr>
          <w:rFonts w:ascii="Arial"/>
          <w:i/>
          <w:spacing w:val="-8"/>
          <w:sz w:val="22"/>
        </w:rPr>
        <w:t> </w:t>
      </w:r>
      <w:r>
        <w:rPr>
          <w:rFonts w:ascii="Arial"/>
          <w:i/>
          <w:sz w:val="22"/>
        </w:rPr>
        <w:t>Landscape</w:t>
      </w:r>
      <w:r>
        <w:rPr>
          <w:rFonts w:ascii="Arial"/>
          <w:i/>
          <w:spacing w:val="-10"/>
          <w:sz w:val="22"/>
        </w:rPr>
        <w:t> </w:t>
      </w:r>
      <w:r>
        <w:rPr>
          <w:rFonts w:ascii="Arial"/>
          <w:i/>
          <w:spacing w:val="-2"/>
          <w:sz w:val="22"/>
        </w:rPr>
        <w:t>Character</w:t>
      </w:r>
    </w:p>
    <w:p>
      <w:pPr>
        <w:pStyle w:val="BodyText"/>
        <w:spacing w:line="232" w:lineRule="auto" w:before="65"/>
        <w:ind w:left="359" w:right="1445"/>
      </w:pPr>
      <w:r>
        <w:rPr/>
        <w:t>During</w:t>
      </w:r>
      <w:r>
        <w:rPr>
          <w:spacing w:val="-6"/>
        </w:rPr>
        <w:t> </w:t>
      </w:r>
      <w:r>
        <w:rPr/>
        <w:t>the</w:t>
      </w:r>
      <w:r>
        <w:rPr>
          <w:spacing w:val="-7"/>
        </w:rPr>
        <w:t> </w:t>
      </w:r>
      <w:r>
        <w:rPr/>
        <w:t>expected</w:t>
      </w:r>
      <w:r>
        <w:rPr>
          <w:spacing w:val="-8"/>
        </w:rPr>
        <w:t> </w:t>
      </w:r>
      <w:r>
        <w:rPr/>
        <w:t>15</w:t>
      </w:r>
      <w:r>
        <w:rPr>
          <w:spacing w:val="-4"/>
        </w:rPr>
        <w:t> </w:t>
      </w:r>
      <w:r>
        <w:rPr/>
        <w:t>years</w:t>
      </w:r>
      <w:r>
        <w:rPr>
          <w:spacing w:val="-5"/>
        </w:rPr>
        <w:t> </w:t>
      </w:r>
      <w:r>
        <w:rPr/>
        <w:t>of</w:t>
      </w:r>
      <w:r>
        <w:rPr>
          <w:spacing w:val="-5"/>
        </w:rPr>
        <w:t> </w:t>
      </w:r>
      <w:r>
        <w:rPr/>
        <w:t>plan</w:t>
      </w:r>
      <w:r>
        <w:rPr>
          <w:spacing w:val="-6"/>
        </w:rPr>
        <w:t> </w:t>
      </w:r>
      <w:r>
        <w:rPr/>
        <w:t>implementation,</w:t>
      </w:r>
      <w:r>
        <w:rPr>
          <w:spacing w:val="-7"/>
        </w:rPr>
        <w:t> </w:t>
      </w:r>
      <w:r>
        <w:rPr/>
        <w:t>move</w:t>
      </w:r>
      <w:r>
        <w:rPr>
          <w:spacing w:val="-7"/>
        </w:rPr>
        <w:t> </w:t>
      </w:r>
      <w:r>
        <w:rPr/>
        <w:t>10</w:t>
      </w:r>
      <w:r>
        <w:rPr>
          <w:spacing w:val="-4"/>
        </w:rPr>
        <w:t> </w:t>
      </w:r>
      <w:r>
        <w:rPr/>
        <w:t>percent</w:t>
      </w:r>
      <w:r>
        <w:rPr>
          <w:spacing w:val="-5"/>
        </w:rPr>
        <w:t> </w:t>
      </w:r>
      <w:r>
        <w:rPr/>
        <w:t>of</w:t>
      </w:r>
      <w:r>
        <w:rPr>
          <w:spacing w:val="-7"/>
        </w:rPr>
        <w:t> </w:t>
      </w:r>
      <w:r>
        <w:rPr/>
        <w:t>travel</w:t>
      </w:r>
      <w:r>
        <w:rPr>
          <w:spacing w:val="-7"/>
        </w:rPr>
        <w:t> </w:t>
      </w:r>
      <w:r>
        <w:rPr/>
        <w:t>route</w:t>
      </w:r>
      <w:r>
        <w:rPr>
          <w:spacing w:val="-7"/>
        </w:rPr>
        <w:t> </w:t>
      </w:r>
      <w:r>
        <w:rPr/>
        <w:t>scenic viewsheds foreground and middleground areas of concern level 1 or concern level 2 toward meeting SIOs.</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Standard" w:id="496"/>
      <w:bookmarkEnd w:id="496"/>
      <w:r>
        <w:rPr/>
      </w:r>
      <w:bookmarkStart w:name="_bookmark157" w:id="497"/>
      <w:bookmarkEnd w:id="497"/>
      <w:r>
        <w:rPr/>
      </w:r>
      <w:r>
        <w:rPr>
          <w:spacing w:val="-2"/>
        </w:rPr>
        <w:t>Standard</w:t>
      </w:r>
    </w:p>
    <w:p>
      <w:pPr>
        <w:spacing w:before="240"/>
        <w:ind w:left="1151" w:right="0" w:firstLine="0"/>
        <w:jc w:val="left"/>
        <w:rPr>
          <w:rFonts w:ascii="Arial"/>
          <w:i/>
          <w:sz w:val="22"/>
        </w:rPr>
      </w:pPr>
      <w:bookmarkStart w:name="FW-STD-SCE-01. Maintain and Enhance Scen" w:id="498"/>
      <w:bookmarkEnd w:id="498"/>
      <w:r>
        <w:rPr/>
      </w:r>
      <w:r>
        <w:rPr>
          <w:rFonts w:ascii="Arial"/>
          <w:i/>
          <w:sz w:val="22"/>
        </w:rPr>
        <w:t>FW-STD-SCE-01.</w:t>
      </w:r>
      <w:r>
        <w:rPr>
          <w:rFonts w:ascii="Arial"/>
          <w:i/>
          <w:spacing w:val="-6"/>
          <w:sz w:val="22"/>
        </w:rPr>
        <w:t> </w:t>
      </w:r>
      <w:r>
        <w:rPr>
          <w:rFonts w:ascii="Arial"/>
          <w:i/>
          <w:sz w:val="22"/>
        </w:rPr>
        <w:t>Maintain</w:t>
      </w:r>
      <w:r>
        <w:rPr>
          <w:rFonts w:ascii="Arial"/>
          <w:i/>
          <w:spacing w:val="-8"/>
          <w:sz w:val="22"/>
        </w:rPr>
        <w:t> </w:t>
      </w:r>
      <w:r>
        <w:rPr>
          <w:rFonts w:ascii="Arial"/>
          <w:i/>
          <w:sz w:val="22"/>
        </w:rPr>
        <w:t>and</w:t>
      </w:r>
      <w:r>
        <w:rPr>
          <w:rFonts w:ascii="Arial"/>
          <w:i/>
          <w:spacing w:val="-8"/>
          <w:sz w:val="22"/>
        </w:rPr>
        <w:t> </w:t>
      </w:r>
      <w:r>
        <w:rPr>
          <w:rFonts w:ascii="Arial"/>
          <w:i/>
          <w:sz w:val="22"/>
        </w:rPr>
        <w:t>Enhance</w:t>
      </w:r>
      <w:r>
        <w:rPr>
          <w:rFonts w:ascii="Arial"/>
          <w:i/>
          <w:spacing w:val="-7"/>
          <w:sz w:val="22"/>
        </w:rPr>
        <w:t> </w:t>
      </w:r>
      <w:r>
        <w:rPr>
          <w:rFonts w:ascii="Arial"/>
          <w:i/>
          <w:spacing w:val="-2"/>
          <w:sz w:val="22"/>
        </w:rPr>
        <w:t>Scenery</w:t>
      </w:r>
    </w:p>
    <w:p>
      <w:pPr>
        <w:pStyle w:val="BodyText"/>
        <w:spacing w:line="232" w:lineRule="auto" w:before="65"/>
        <w:ind w:left="1151" w:right="801"/>
      </w:pPr>
      <w:r>
        <w:rPr/>
        <w:t>New</w:t>
      </w:r>
      <w:r>
        <w:rPr>
          <w:spacing w:val="-7"/>
        </w:rPr>
        <w:t> </w:t>
      </w:r>
      <w:r>
        <w:rPr/>
        <w:t>structures</w:t>
      </w:r>
      <w:r>
        <w:rPr>
          <w:spacing w:val="-7"/>
        </w:rPr>
        <w:t> </w:t>
      </w:r>
      <w:r>
        <w:rPr/>
        <w:t>will</w:t>
      </w:r>
      <w:r>
        <w:rPr>
          <w:spacing w:val="-5"/>
        </w:rPr>
        <w:t> </w:t>
      </w:r>
      <w:r>
        <w:rPr/>
        <w:t>be</w:t>
      </w:r>
      <w:r>
        <w:rPr>
          <w:spacing w:val="-4"/>
        </w:rPr>
        <w:t> </w:t>
      </w:r>
      <w:r>
        <w:rPr/>
        <w:t>designed</w:t>
      </w:r>
      <w:r>
        <w:rPr>
          <w:spacing w:val="-6"/>
        </w:rPr>
        <w:t> </w:t>
      </w:r>
      <w:r>
        <w:rPr/>
        <w:t>to</w:t>
      </w:r>
      <w:r>
        <w:rPr>
          <w:spacing w:val="-6"/>
        </w:rPr>
        <w:t> </w:t>
      </w:r>
      <w:r>
        <w:rPr/>
        <w:t>meet</w:t>
      </w:r>
      <w:r>
        <w:rPr>
          <w:spacing w:val="-4"/>
        </w:rPr>
        <w:t> </w:t>
      </w:r>
      <w:r>
        <w:rPr/>
        <w:t>prescribed</w:t>
      </w:r>
      <w:r>
        <w:rPr>
          <w:spacing w:val="-6"/>
        </w:rPr>
        <w:t> </w:t>
      </w:r>
      <w:r>
        <w:rPr/>
        <w:t>SIOs.</w:t>
      </w:r>
      <w:r>
        <w:rPr>
          <w:spacing w:val="-5"/>
        </w:rPr>
        <w:t> </w:t>
      </w:r>
      <w:r>
        <w:rPr/>
        <w:t>Efforts</w:t>
      </w:r>
      <w:r>
        <w:rPr>
          <w:spacing w:val="-5"/>
        </w:rPr>
        <w:t> </w:t>
      </w:r>
      <w:r>
        <w:rPr/>
        <w:t>will</w:t>
      </w:r>
      <w:r>
        <w:rPr>
          <w:spacing w:val="-8"/>
        </w:rPr>
        <w:t> </w:t>
      </w:r>
      <w:r>
        <w:rPr/>
        <w:t>be</w:t>
      </w:r>
      <w:r>
        <w:rPr>
          <w:spacing w:val="-7"/>
        </w:rPr>
        <w:t> </w:t>
      </w:r>
      <w:r>
        <w:rPr/>
        <w:t>made</w:t>
      </w:r>
      <w:r>
        <w:rPr>
          <w:spacing w:val="-7"/>
        </w:rPr>
        <w:t> </w:t>
      </w:r>
      <w:r>
        <w:rPr/>
        <w:t>to</w:t>
      </w:r>
      <w:r>
        <w:rPr>
          <w:spacing w:val="-8"/>
        </w:rPr>
        <w:t> </w:t>
      </w:r>
      <w:r>
        <w:rPr/>
        <w:t>rehabilitate existing structures that do not currently meet SIOs.</w:t>
      </w:r>
    </w:p>
    <w:p>
      <w:pPr>
        <w:pStyle w:val="Heading4"/>
        <w:spacing w:before="234"/>
        <w:ind w:left="1151"/>
      </w:pPr>
      <w:bookmarkStart w:name="Guidelines" w:id="499"/>
      <w:bookmarkEnd w:id="499"/>
      <w:r>
        <w:rPr/>
      </w:r>
      <w:bookmarkStart w:name="_bookmark158" w:id="500"/>
      <w:bookmarkEnd w:id="500"/>
      <w:r>
        <w:rPr/>
      </w:r>
      <w:r>
        <w:rPr>
          <w:spacing w:val="-2"/>
        </w:rPr>
        <w:t>Guidelines</w:t>
      </w:r>
    </w:p>
    <w:p>
      <w:pPr>
        <w:spacing w:before="240"/>
        <w:ind w:left="1151" w:right="0" w:firstLine="0"/>
        <w:jc w:val="left"/>
        <w:rPr>
          <w:rFonts w:ascii="Arial"/>
          <w:i/>
          <w:sz w:val="22"/>
        </w:rPr>
      </w:pPr>
      <w:bookmarkStart w:name="FW-GDL-SCE-01. Scenic Integrity Levels" w:id="501"/>
      <w:bookmarkEnd w:id="501"/>
      <w:r>
        <w:rPr/>
      </w:r>
      <w:r>
        <w:rPr>
          <w:rFonts w:ascii="Arial"/>
          <w:i/>
          <w:sz w:val="22"/>
        </w:rPr>
        <w:t>FW-GDL-SCE-01.</w:t>
      </w:r>
      <w:r>
        <w:rPr>
          <w:rFonts w:ascii="Arial"/>
          <w:i/>
          <w:spacing w:val="-10"/>
          <w:sz w:val="22"/>
        </w:rPr>
        <w:t> </w:t>
      </w:r>
      <w:r>
        <w:rPr>
          <w:rFonts w:ascii="Arial"/>
          <w:i/>
          <w:sz w:val="22"/>
        </w:rPr>
        <w:t>Scenic</w:t>
      </w:r>
      <w:r>
        <w:rPr>
          <w:rFonts w:ascii="Arial"/>
          <w:i/>
          <w:spacing w:val="-7"/>
          <w:sz w:val="22"/>
        </w:rPr>
        <w:t> </w:t>
      </w:r>
      <w:r>
        <w:rPr>
          <w:rFonts w:ascii="Arial"/>
          <w:i/>
          <w:sz w:val="22"/>
        </w:rPr>
        <w:t>Integrity</w:t>
      </w:r>
      <w:r>
        <w:rPr>
          <w:rFonts w:ascii="Arial"/>
          <w:i/>
          <w:spacing w:val="-7"/>
          <w:sz w:val="22"/>
        </w:rPr>
        <w:t> </w:t>
      </w:r>
      <w:r>
        <w:rPr>
          <w:rFonts w:ascii="Arial"/>
          <w:i/>
          <w:spacing w:val="-2"/>
          <w:sz w:val="22"/>
        </w:rPr>
        <w:t>Levels</w:t>
      </w:r>
    </w:p>
    <w:p>
      <w:pPr>
        <w:pStyle w:val="BodyText"/>
        <w:spacing w:line="232" w:lineRule="auto" w:before="64"/>
        <w:ind w:left="1151" w:right="1073"/>
      </w:pPr>
      <w:r>
        <w:rPr/>
        <w:t>Project-level</w:t>
      </w:r>
      <w:r>
        <w:rPr>
          <w:spacing w:val="-7"/>
        </w:rPr>
        <w:t> </w:t>
      </w:r>
      <w:r>
        <w:rPr/>
        <w:t>activities</w:t>
      </w:r>
      <w:r>
        <w:rPr>
          <w:spacing w:val="-6"/>
        </w:rPr>
        <w:t> </w:t>
      </w:r>
      <w:r>
        <w:rPr/>
        <w:t>should</w:t>
      </w:r>
      <w:r>
        <w:rPr>
          <w:spacing w:val="-5"/>
        </w:rPr>
        <w:t> </w:t>
      </w:r>
      <w:r>
        <w:rPr/>
        <w:t>be</w:t>
      </w:r>
      <w:r>
        <w:rPr>
          <w:spacing w:val="-3"/>
        </w:rPr>
        <w:t> </w:t>
      </w:r>
      <w:r>
        <w:rPr/>
        <w:t>planned</w:t>
      </w:r>
      <w:r>
        <w:rPr>
          <w:spacing w:val="-5"/>
        </w:rPr>
        <w:t> </w:t>
      </w:r>
      <w:r>
        <w:rPr/>
        <w:t>and</w:t>
      </w:r>
      <w:r>
        <w:rPr>
          <w:spacing w:val="-5"/>
        </w:rPr>
        <w:t> </w:t>
      </w:r>
      <w:r>
        <w:rPr/>
        <w:t>designed</w:t>
      </w:r>
      <w:r>
        <w:rPr>
          <w:spacing w:val="-5"/>
        </w:rPr>
        <w:t> </w:t>
      </w:r>
      <w:r>
        <w:rPr/>
        <w:t>to</w:t>
      </w:r>
      <w:r>
        <w:rPr>
          <w:spacing w:val="-5"/>
        </w:rPr>
        <w:t> </w:t>
      </w:r>
      <w:r>
        <w:rPr/>
        <w:t>meet</w:t>
      </w:r>
      <w:r>
        <w:rPr>
          <w:spacing w:val="-3"/>
        </w:rPr>
        <w:t> </w:t>
      </w:r>
      <w:r>
        <w:rPr/>
        <w:t>the</w:t>
      </w:r>
      <w:r>
        <w:rPr>
          <w:spacing w:val="-6"/>
        </w:rPr>
        <w:t> </w:t>
      </w:r>
      <w:r>
        <w:rPr/>
        <w:t>established</w:t>
      </w:r>
      <w:r>
        <w:rPr>
          <w:spacing w:val="-5"/>
        </w:rPr>
        <w:t> </w:t>
      </w:r>
      <w:r>
        <w:rPr/>
        <w:t>desired</w:t>
      </w:r>
      <w:r>
        <w:rPr>
          <w:spacing w:val="-5"/>
        </w:rPr>
        <w:t> </w:t>
      </w:r>
      <w:r>
        <w:rPr/>
        <w:t>SIOs assigned to the management area (see appendix D).</w:t>
      </w:r>
    </w:p>
    <w:p>
      <w:pPr>
        <w:pStyle w:val="BodyText"/>
        <w:spacing w:line="232" w:lineRule="auto" w:before="199"/>
        <w:ind w:left="1151" w:right="801"/>
      </w:pPr>
      <w:r>
        <w:rPr/>
        <w:t>Short-term</w:t>
      </w:r>
      <w:r>
        <w:rPr>
          <w:spacing w:val="-3"/>
        </w:rPr>
        <w:t> </w:t>
      </w:r>
      <w:r>
        <w:rPr/>
        <w:t>deviations</w:t>
      </w:r>
      <w:r>
        <w:rPr>
          <w:spacing w:val="-6"/>
        </w:rPr>
        <w:t> </w:t>
      </w:r>
      <w:r>
        <w:rPr/>
        <w:t>(3</w:t>
      </w:r>
      <w:r>
        <w:rPr>
          <w:spacing w:val="-5"/>
        </w:rPr>
        <w:t> </w:t>
      </w:r>
      <w:r>
        <w:rPr/>
        <w:t>to</w:t>
      </w:r>
      <w:r>
        <w:rPr>
          <w:spacing w:val="-5"/>
        </w:rPr>
        <w:t> </w:t>
      </w:r>
      <w:r>
        <w:rPr/>
        <w:t>6</w:t>
      </w:r>
      <w:r>
        <w:rPr>
          <w:spacing w:val="-5"/>
        </w:rPr>
        <w:t> </w:t>
      </w:r>
      <w:r>
        <w:rPr/>
        <w:t>years)</w:t>
      </w:r>
      <w:r>
        <w:rPr>
          <w:spacing w:val="-6"/>
        </w:rPr>
        <w:t> </w:t>
      </w:r>
      <w:r>
        <w:rPr/>
        <w:t>to</w:t>
      </w:r>
      <w:r>
        <w:rPr>
          <w:spacing w:val="-5"/>
        </w:rPr>
        <w:t> </w:t>
      </w:r>
      <w:r>
        <w:rPr/>
        <w:t>the</w:t>
      </w:r>
      <w:r>
        <w:rPr>
          <w:spacing w:val="-5"/>
        </w:rPr>
        <w:t> </w:t>
      </w:r>
      <w:r>
        <w:rPr/>
        <w:t>existing</w:t>
      </w:r>
      <w:r>
        <w:rPr>
          <w:spacing w:val="-4"/>
        </w:rPr>
        <w:t> </w:t>
      </w:r>
      <w:r>
        <w:rPr/>
        <w:t>scenic</w:t>
      </w:r>
      <w:r>
        <w:rPr>
          <w:spacing w:val="-4"/>
        </w:rPr>
        <w:t> </w:t>
      </w:r>
      <w:r>
        <w:rPr/>
        <w:t>integrity</w:t>
      </w:r>
      <w:r>
        <w:rPr>
          <w:spacing w:val="-5"/>
        </w:rPr>
        <w:t> </w:t>
      </w:r>
      <w:r>
        <w:rPr/>
        <w:t>of</w:t>
      </w:r>
      <w:r>
        <w:rPr>
          <w:spacing w:val="-7"/>
        </w:rPr>
        <w:t> </w:t>
      </w:r>
      <w:r>
        <w:rPr/>
        <w:t>an</w:t>
      </w:r>
      <w:r>
        <w:rPr>
          <w:spacing w:val="-5"/>
        </w:rPr>
        <w:t> </w:t>
      </w:r>
      <w:r>
        <w:rPr/>
        <w:t>area</w:t>
      </w:r>
      <w:r>
        <w:rPr>
          <w:spacing w:val="-4"/>
        </w:rPr>
        <w:t> </w:t>
      </w:r>
      <w:r>
        <w:rPr/>
        <w:t>should</w:t>
      </w:r>
      <w:r>
        <w:rPr>
          <w:spacing w:val="-5"/>
        </w:rPr>
        <w:t> </w:t>
      </w:r>
      <w:r>
        <w:rPr/>
        <w:t>be</w:t>
      </w:r>
      <w:r>
        <w:rPr>
          <w:spacing w:val="-3"/>
        </w:rPr>
        <w:t> </w:t>
      </w:r>
      <w:r>
        <w:rPr/>
        <w:t>limited to the immediate surroundings of the stand, recreation attraction, or feature of concern.</w:t>
      </w:r>
    </w:p>
    <w:p>
      <w:pPr>
        <w:pStyle w:val="BodyText"/>
        <w:spacing w:line="232" w:lineRule="auto"/>
        <w:ind w:left="1151" w:right="742"/>
      </w:pPr>
      <w:r>
        <w:rPr/>
        <w:t>Rehabilitation actions may be taken when scenic integrity is compromised by atypical disturbances, such as uncharacteristic wildfires, insect or disease outbreaks, or floods. Treatments</w:t>
      </w:r>
      <w:r>
        <w:rPr>
          <w:spacing w:val="-8"/>
        </w:rPr>
        <w:t> </w:t>
      </w:r>
      <w:r>
        <w:rPr/>
        <w:t>should</w:t>
      </w:r>
      <w:r>
        <w:rPr>
          <w:spacing w:val="-7"/>
        </w:rPr>
        <w:t> </w:t>
      </w:r>
      <w:r>
        <w:rPr/>
        <w:t>not</w:t>
      </w:r>
      <w:r>
        <w:rPr>
          <w:spacing w:val="-5"/>
        </w:rPr>
        <w:t> </w:t>
      </w:r>
      <w:r>
        <w:rPr/>
        <w:t>diminish</w:t>
      </w:r>
      <w:r>
        <w:rPr>
          <w:spacing w:val="-7"/>
        </w:rPr>
        <w:t> </w:t>
      </w:r>
      <w:r>
        <w:rPr/>
        <w:t>the</w:t>
      </w:r>
      <w:r>
        <w:rPr>
          <w:spacing w:val="-5"/>
        </w:rPr>
        <w:t> </w:t>
      </w:r>
      <w:r>
        <w:rPr/>
        <w:t>scenic</w:t>
      </w:r>
      <w:r>
        <w:rPr>
          <w:spacing w:val="-6"/>
        </w:rPr>
        <w:t> </w:t>
      </w:r>
      <w:r>
        <w:rPr/>
        <w:t>quality</w:t>
      </w:r>
      <w:r>
        <w:rPr>
          <w:spacing w:val="-7"/>
        </w:rPr>
        <w:t> </w:t>
      </w:r>
      <w:r>
        <w:rPr/>
        <w:t>more</w:t>
      </w:r>
      <w:r>
        <w:rPr>
          <w:spacing w:val="-5"/>
        </w:rPr>
        <w:t> </w:t>
      </w:r>
      <w:r>
        <w:rPr/>
        <w:t>than</w:t>
      </w:r>
      <w:r>
        <w:rPr>
          <w:spacing w:val="-7"/>
        </w:rPr>
        <w:t> </w:t>
      </w:r>
      <w:r>
        <w:rPr/>
        <w:t>the</w:t>
      </w:r>
      <w:r>
        <w:rPr>
          <w:spacing w:val="-5"/>
        </w:rPr>
        <w:t> </w:t>
      </w:r>
      <w:r>
        <w:rPr/>
        <w:t>anticipated</w:t>
      </w:r>
      <w:r>
        <w:rPr>
          <w:spacing w:val="-9"/>
        </w:rPr>
        <w:t> </w:t>
      </w:r>
      <w:r>
        <w:rPr/>
        <w:t>disturbance</w:t>
      </w:r>
      <w:r>
        <w:rPr>
          <w:spacing w:val="-5"/>
        </w:rPr>
        <w:t> </w:t>
      </w:r>
      <w:r>
        <w:rPr/>
        <w:t>would have.</w:t>
      </w:r>
      <w:r>
        <w:rPr>
          <w:spacing w:val="-5"/>
        </w:rPr>
        <w:t> </w:t>
      </w:r>
      <w:r>
        <w:rPr/>
        <w:t>Enhancement</w:t>
      </w:r>
      <w:r>
        <w:rPr>
          <w:spacing w:val="-4"/>
        </w:rPr>
        <w:t> </w:t>
      </w:r>
      <w:r>
        <w:rPr/>
        <w:t>actions</w:t>
      </w:r>
      <w:r>
        <w:rPr>
          <w:spacing w:val="-6"/>
        </w:rPr>
        <w:t> </w:t>
      </w:r>
      <w:r>
        <w:rPr/>
        <w:t>may</w:t>
      </w:r>
      <w:r>
        <w:rPr>
          <w:spacing w:val="-5"/>
        </w:rPr>
        <w:t> </w:t>
      </w:r>
      <w:r>
        <w:rPr/>
        <w:t>be</w:t>
      </w:r>
      <w:r>
        <w:rPr>
          <w:spacing w:val="-6"/>
        </w:rPr>
        <w:t> </w:t>
      </w:r>
      <w:r>
        <w:rPr/>
        <w:t>taken</w:t>
      </w:r>
      <w:r>
        <w:rPr>
          <w:spacing w:val="-7"/>
        </w:rPr>
        <w:t> </w:t>
      </w:r>
      <w:r>
        <w:rPr/>
        <w:t>to</w:t>
      </w:r>
      <w:r>
        <w:rPr>
          <w:spacing w:val="-5"/>
        </w:rPr>
        <w:t> </w:t>
      </w:r>
      <w:r>
        <w:rPr/>
        <w:t>increase</w:t>
      </w:r>
      <w:r>
        <w:rPr>
          <w:spacing w:val="-4"/>
        </w:rPr>
        <w:t> </w:t>
      </w:r>
      <w:r>
        <w:rPr/>
        <w:t>positive</w:t>
      </w:r>
      <w:r>
        <w:rPr>
          <w:spacing w:val="-4"/>
        </w:rPr>
        <w:t> </w:t>
      </w:r>
      <w:r>
        <w:rPr/>
        <w:t>scenic</w:t>
      </w:r>
      <w:r>
        <w:rPr>
          <w:spacing w:val="-5"/>
        </w:rPr>
        <w:t> </w:t>
      </w:r>
      <w:r>
        <w:rPr/>
        <w:t>attributes</w:t>
      </w:r>
      <w:r>
        <w:rPr>
          <w:spacing w:val="-5"/>
        </w:rPr>
        <w:t> </w:t>
      </w:r>
      <w:r>
        <w:rPr/>
        <w:t>in</w:t>
      </w:r>
      <w:r>
        <w:rPr>
          <w:spacing w:val="-5"/>
        </w:rPr>
        <w:t> </w:t>
      </w:r>
      <w:r>
        <w:rPr/>
        <w:t>the</w:t>
      </w:r>
      <w:r>
        <w:rPr>
          <w:spacing w:val="-4"/>
        </w:rPr>
        <w:t> </w:t>
      </w:r>
      <w:r>
        <w:rPr/>
        <w:t>viewshed, such as exposing large tree boles or geologic features for viewing.</w:t>
      </w:r>
    </w:p>
    <w:p>
      <w:pPr>
        <w:pStyle w:val="BodyText"/>
        <w:spacing w:line="232" w:lineRule="auto" w:before="198"/>
        <w:ind w:left="1151" w:right="801"/>
      </w:pPr>
      <w:r>
        <w:rPr/>
        <w:t>In landscape areas where an ecosystem is out of the historical range of variability, the forest setting may exist at a lower scenic integrity during treatment activity and recovery to restore and sustain the landscape character to the assigned SIO. No more than one-third of project landscape area would be lowered by one scenic integrity level in sensitive scenic viewsheds where</w:t>
      </w:r>
      <w:r>
        <w:rPr>
          <w:spacing w:val="-6"/>
        </w:rPr>
        <w:t> </w:t>
      </w:r>
      <w:r>
        <w:rPr/>
        <w:t>the</w:t>
      </w:r>
      <w:r>
        <w:rPr>
          <w:spacing w:val="-3"/>
        </w:rPr>
        <w:t> </w:t>
      </w:r>
      <w:r>
        <w:rPr/>
        <w:t>SIO</w:t>
      </w:r>
      <w:r>
        <w:rPr>
          <w:spacing w:val="-6"/>
        </w:rPr>
        <w:t> </w:t>
      </w:r>
      <w:r>
        <w:rPr/>
        <w:t>is</w:t>
      </w:r>
      <w:r>
        <w:rPr>
          <w:spacing w:val="-4"/>
        </w:rPr>
        <w:t> </w:t>
      </w:r>
      <w:r>
        <w:rPr/>
        <w:t>high</w:t>
      </w:r>
      <w:r>
        <w:rPr>
          <w:spacing w:val="-6"/>
        </w:rPr>
        <w:t> </w:t>
      </w:r>
      <w:r>
        <w:rPr/>
        <w:t>or</w:t>
      </w:r>
      <w:r>
        <w:rPr>
          <w:spacing w:val="-6"/>
        </w:rPr>
        <w:t> </w:t>
      </w:r>
      <w:r>
        <w:rPr/>
        <w:t>moderate</w:t>
      </w:r>
      <w:r>
        <w:rPr>
          <w:spacing w:val="-6"/>
        </w:rPr>
        <w:t> </w:t>
      </w:r>
      <w:r>
        <w:rPr/>
        <w:t>to</w:t>
      </w:r>
      <w:r>
        <w:rPr>
          <w:spacing w:val="-3"/>
        </w:rPr>
        <w:t> </w:t>
      </w:r>
      <w:r>
        <w:rPr/>
        <w:t>avoid</w:t>
      </w:r>
      <w:r>
        <w:rPr>
          <w:spacing w:val="-5"/>
        </w:rPr>
        <w:t> </w:t>
      </w:r>
      <w:r>
        <w:rPr/>
        <w:t>having</w:t>
      </w:r>
      <w:r>
        <w:rPr>
          <w:spacing w:val="-5"/>
        </w:rPr>
        <w:t> </w:t>
      </w:r>
      <w:r>
        <w:rPr/>
        <w:t>too</w:t>
      </w:r>
      <w:r>
        <w:rPr>
          <w:spacing w:val="-5"/>
        </w:rPr>
        <w:t> </w:t>
      </w:r>
      <w:r>
        <w:rPr/>
        <w:t>much</w:t>
      </w:r>
      <w:r>
        <w:rPr>
          <w:spacing w:val="-5"/>
        </w:rPr>
        <w:t> </w:t>
      </w:r>
      <w:r>
        <w:rPr/>
        <w:t>landscape</w:t>
      </w:r>
      <w:r>
        <w:rPr>
          <w:spacing w:val="-6"/>
        </w:rPr>
        <w:t> </w:t>
      </w:r>
      <w:r>
        <w:rPr/>
        <w:t>being</w:t>
      </w:r>
      <w:r>
        <w:rPr>
          <w:spacing w:val="-5"/>
        </w:rPr>
        <w:t> </w:t>
      </w:r>
      <w:r>
        <w:rPr/>
        <w:t>altered</w:t>
      </w:r>
      <w:r>
        <w:rPr>
          <w:spacing w:val="-5"/>
        </w:rPr>
        <w:t> </w:t>
      </w:r>
      <w:r>
        <w:rPr/>
        <w:t>in</w:t>
      </w:r>
      <w:r>
        <w:rPr>
          <w:spacing w:val="-5"/>
        </w:rPr>
        <w:t> </w:t>
      </w:r>
      <w:r>
        <w:rPr/>
        <w:t>a</w:t>
      </w:r>
      <w:r>
        <w:rPr>
          <w:spacing w:val="-4"/>
        </w:rPr>
        <w:t> </w:t>
      </w:r>
      <w:r>
        <w:rPr/>
        <w:t>short time</w:t>
      </w:r>
      <w:r>
        <w:rPr>
          <w:spacing w:val="-6"/>
        </w:rPr>
        <w:t> </w:t>
      </w:r>
      <w:r>
        <w:rPr/>
        <w:t>frame</w:t>
      </w:r>
      <w:r>
        <w:rPr>
          <w:spacing w:val="-4"/>
        </w:rPr>
        <w:t> </w:t>
      </w:r>
      <w:r>
        <w:rPr/>
        <w:t>and</w:t>
      </w:r>
      <w:r>
        <w:rPr>
          <w:spacing w:val="-5"/>
        </w:rPr>
        <w:t> </w:t>
      </w:r>
      <w:r>
        <w:rPr/>
        <w:t>to</w:t>
      </w:r>
      <w:r>
        <w:rPr>
          <w:spacing w:val="-5"/>
        </w:rPr>
        <w:t> </w:t>
      </w:r>
      <w:r>
        <w:rPr/>
        <w:t>minimize</w:t>
      </w:r>
      <w:r>
        <w:rPr>
          <w:spacing w:val="-4"/>
        </w:rPr>
        <w:t> </w:t>
      </w:r>
      <w:r>
        <w:rPr/>
        <w:t>visual</w:t>
      </w:r>
      <w:r>
        <w:rPr>
          <w:spacing w:val="-7"/>
        </w:rPr>
        <w:t> </w:t>
      </w:r>
      <w:r>
        <w:rPr/>
        <w:t>effects.</w:t>
      </w:r>
      <w:r>
        <w:rPr>
          <w:spacing w:val="-4"/>
        </w:rPr>
        <w:t> </w:t>
      </w:r>
      <w:r>
        <w:rPr/>
        <w:t>Treatments</w:t>
      </w:r>
      <w:r>
        <w:rPr>
          <w:spacing w:val="-6"/>
        </w:rPr>
        <w:t> </w:t>
      </w:r>
      <w:r>
        <w:rPr/>
        <w:t>would</w:t>
      </w:r>
      <w:r>
        <w:rPr>
          <w:spacing w:val="-5"/>
        </w:rPr>
        <w:t> </w:t>
      </w:r>
      <w:r>
        <w:rPr/>
        <w:t>be</w:t>
      </w:r>
      <w:r>
        <w:rPr>
          <w:spacing w:val="-6"/>
        </w:rPr>
        <w:t> </w:t>
      </w:r>
      <w:r>
        <w:rPr/>
        <w:t>implemented</w:t>
      </w:r>
      <w:r>
        <w:rPr>
          <w:spacing w:val="-5"/>
        </w:rPr>
        <w:t> </w:t>
      </w:r>
      <w:r>
        <w:rPr/>
        <w:t>in</w:t>
      </w:r>
      <w:r>
        <w:rPr>
          <w:spacing w:val="-7"/>
        </w:rPr>
        <w:t> </w:t>
      </w:r>
      <w:r>
        <w:rPr/>
        <w:t>phases</w:t>
      </w:r>
      <w:r>
        <w:rPr>
          <w:spacing w:val="-6"/>
        </w:rPr>
        <w:t> </w:t>
      </w:r>
      <w:r>
        <w:rPr/>
        <w:t>over</w:t>
      </w:r>
      <w:r>
        <w:rPr>
          <w:spacing w:val="-4"/>
        </w:rPr>
        <w:t> </w:t>
      </w:r>
      <w:r>
        <w:rPr/>
        <w:t>a longer (5 to 15 years or longer) time period if multiple treatments are needed to achieve the desired</w:t>
      </w:r>
      <w:r>
        <w:rPr>
          <w:spacing w:val="-4"/>
        </w:rPr>
        <w:t> </w:t>
      </w:r>
      <w:r>
        <w:rPr/>
        <w:t>results.</w:t>
      </w:r>
      <w:r>
        <w:rPr>
          <w:spacing w:val="-3"/>
        </w:rPr>
        <w:t> </w:t>
      </w:r>
      <w:r>
        <w:rPr/>
        <w:t>Up</w:t>
      </w:r>
      <w:r>
        <w:rPr>
          <w:spacing w:val="-5"/>
        </w:rPr>
        <w:t> </w:t>
      </w:r>
      <w:r>
        <w:rPr/>
        <w:t>to</w:t>
      </w:r>
      <w:r>
        <w:rPr>
          <w:spacing w:val="-4"/>
        </w:rPr>
        <w:t> </w:t>
      </w:r>
      <w:r>
        <w:rPr/>
        <w:t>30</w:t>
      </w:r>
      <w:r>
        <w:rPr>
          <w:spacing w:val="-1"/>
        </w:rPr>
        <w:t> </w:t>
      </w:r>
      <w:r>
        <w:rPr/>
        <w:t>percent</w:t>
      </w:r>
      <w:r>
        <w:rPr>
          <w:spacing w:val="-5"/>
        </w:rPr>
        <w:t> </w:t>
      </w:r>
      <w:r>
        <w:rPr/>
        <w:t>of</w:t>
      </w:r>
      <w:r>
        <w:rPr>
          <w:spacing w:val="-3"/>
        </w:rPr>
        <w:t> </w:t>
      </w:r>
      <w:r>
        <w:rPr/>
        <w:t>a</w:t>
      </w:r>
      <w:r>
        <w:rPr>
          <w:spacing w:val="-5"/>
        </w:rPr>
        <w:t> </w:t>
      </w:r>
      <w:r>
        <w:rPr/>
        <w:t>project</w:t>
      </w:r>
      <w:r>
        <w:rPr>
          <w:spacing w:val="-2"/>
        </w:rPr>
        <w:t> </w:t>
      </w:r>
      <w:r>
        <w:rPr/>
        <w:t>area</w:t>
      </w:r>
      <w:r>
        <w:rPr>
          <w:spacing w:val="-5"/>
        </w:rPr>
        <w:t> </w:t>
      </w:r>
      <w:r>
        <w:rPr/>
        <w:t>may</w:t>
      </w:r>
      <w:r>
        <w:rPr>
          <w:spacing w:val="-4"/>
        </w:rPr>
        <w:t> </w:t>
      </w:r>
      <w:r>
        <w:rPr/>
        <w:t>be</w:t>
      </w:r>
      <w:r>
        <w:rPr>
          <w:spacing w:val="-2"/>
        </w:rPr>
        <w:t> </w:t>
      </w:r>
      <w:r>
        <w:rPr/>
        <w:t>lowered</w:t>
      </w:r>
      <w:r>
        <w:rPr>
          <w:spacing w:val="-4"/>
        </w:rPr>
        <w:t> </w:t>
      </w:r>
      <w:r>
        <w:rPr/>
        <w:t>from</w:t>
      </w:r>
      <w:r>
        <w:rPr>
          <w:spacing w:val="-2"/>
        </w:rPr>
        <w:t> </w:t>
      </w:r>
      <w:r>
        <w:rPr/>
        <w:t>prescribed</w:t>
      </w:r>
      <w:r>
        <w:rPr>
          <w:spacing w:val="-4"/>
        </w:rPr>
        <w:t> </w:t>
      </w:r>
      <w:r>
        <w:rPr/>
        <w:t>SIO</w:t>
      </w:r>
      <w:r>
        <w:rPr>
          <w:spacing w:val="-3"/>
        </w:rPr>
        <w:t> </w:t>
      </w:r>
      <w:r>
        <w:rPr/>
        <w:t>by</w:t>
      </w:r>
      <w:r>
        <w:rPr>
          <w:spacing w:val="-4"/>
        </w:rPr>
        <w:t> </w:t>
      </w:r>
      <w:r>
        <w:rPr/>
        <w:t>one level in a staged time frame (first treatment in 5 years, second treatment 5 to 10 years, third treatment 10 to 15 years, life of plan) depending on scenic concern sensitivity level, viewshed seen area, and scope of project.</w:t>
      </w:r>
    </w:p>
    <w:p>
      <w:pPr>
        <w:spacing w:before="230"/>
        <w:ind w:left="1151" w:right="0" w:firstLine="0"/>
        <w:jc w:val="left"/>
        <w:rPr>
          <w:rFonts w:ascii="Arial"/>
          <w:i/>
          <w:sz w:val="22"/>
        </w:rPr>
      </w:pPr>
      <w:bookmarkStart w:name="FW-GDL-SCE-02. Rustic Architectural Styl" w:id="502"/>
      <w:bookmarkEnd w:id="502"/>
      <w:r>
        <w:rPr/>
      </w:r>
      <w:r>
        <w:rPr>
          <w:rFonts w:ascii="Arial"/>
          <w:i/>
          <w:sz w:val="22"/>
        </w:rPr>
        <w:t>FW-GDL-SCE-02.</w:t>
      </w:r>
      <w:r>
        <w:rPr>
          <w:rFonts w:ascii="Arial"/>
          <w:i/>
          <w:spacing w:val="-9"/>
          <w:sz w:val="22"/>
        </w:rPr>
        <w:t> </w:t>
      </w:r>
      <w:r>
        <w:rPr>
          <w:rFonts w:ascii="Arial"/>
          <w:i/>
          <w:sz w:val="22"/>
        </w:rPr>
        <w:t>Rustic</w:t>
      </w:r>
      <w:r>
        <w:rPr>
          <w:rFonts w:ascii="Arial"/>
          <w:i/>
          <w:spacing w:val="-10"/>
          <w:sz w:val="22"/>
        </w:rPr>
        <w:t> </w:t>
      </w:r>
      <w:r>
        <w:rPr>
          <w:rFonts w:ascii="Arial"/>
          <w:i/>
          <w:sz w:val="22"/>
        </w:rPr>
        <w:t>Architectural</w:t>
      </w:r>
      <w:r>
        <w:rPr>
          <w:rFonts w:ascii="Arial"/>
          <w:i/>
          <w:spacing w:val="-10"/>
          <w:sz w:val="22"/>
        </w:rPr>
        <w:t> </w:t>
      </w:r>
      <w:r>
        <w:rPr>
          <w:rFonts w:ascii="Arial"/>
          <w:i/>
          <w:spacing w:val="-4"/>
          <w:sz w:val="22"/>
        </w:rPr>
        <w:t>Style</w:t>
      </w:r>
    </w:p>
    <w:p>
      <w:pPr>
        <w:pStyle w:val="BodyText"/>
        <w:spacing w:line="232" w:lineRule="auto" w:before="65"/>
        <w:ind w:left="1150" w:right="742"/>
      </w:pPr>
      <w:r>
        <w:rPr/>
        <w:t>Rustic</w:t>
      </w:r>
      <w:r>
        <w:rPr>
          <w:spacing w:val="-4"/>
        </w:rPr>
        <w:t> </w:t>
      </w:r>
      <w:r>
        <w:rPr/>
        <w:t>architecture</w:t>
      </w:r>
      <w:r>
        <w:rPr>
          <w:spacing w:val="-6"/>
        </w:rPr>
        <w:t> </w:t>
      </w:r>
      <w:r>
        <w:rPr/>
        <w:t>of</w:t>
      </w:r>
      <w:r>
        <w:rPr>
          <w:spacing w:val="-6"/>
        </w:rPr>
        <w:t> </w:t>
      </w:r>
      <w:r>
        <w:rPr/>
        <w:t>the</w:t>
      </w:r>
      <w:r>
        <w:rPr>
          <w:spacing w:val="-4"/>
        </w:rPr>
        <w:t> </w:t>
      </w:r>
      <w:r>
        <w:rPr/>
        <w:t>Rocky</w:t>
      </w:r>
      <w:r>
        <w:rPr>
          <w:spacing w:val="-5"/>
        </w:rPr>
        <w:t> </w:t>
      </w:r>
      <w:r>
        <w:rPr/>
        <w:t>Mountain</w:t>
      </w:r>
      <w:r>
        <w:rPr>
          <w:spacing w:val="-7"/>
        </w:rPr>
        <w:t> </w:t>
      </w:r>
      <w:r>
        <w:rPr/>
        <w:t>Province</w:t>
      </w:r>
      <w:r>
        <w:rPr>
          <w:spacing w:val="-4"/>
        </w:rPr>
        <w:t> </w:t>
      </w:r>
      <w:r>
        <w:rPr/>
        <w:t>should</w:t>
      </w:r>
      <w:r>
        <w:rPr>
          <w:spacing w:val="-5"/>
        </w:rPr>
        <w:t> </w:t>
      </w:r>
      <w:r>
        <w:rPr/>
        <w:t>be</w:t>
      </w:r>
      <w:r>
        <w:rPr>
          <w:spacing w:val="-4"/>
        </w:rPr>
        <w:t> </w:t>
      </w:r>
      <w:r>
        <w:rPr/>
        <w:t>used</w:t>
      </w:r>
      <w:r>
        <w:rPr>
          <w:spacing w:val="-7"/>
        </w:rPr>
        <w:t> </w:t>
      </w:r>
      <w:r>
        <w:rPr/>
        <w:t>when</w:t>
      </w:r>
      <w:r>
        <w:rPr>
          <w:spacing w:val="-5"/>
        </w:rPr>
        <w:t> </w:t>
      </w:r>
      <w:r>
        <w:rPr/>
        <w:t>building</w:t>
      </w:r>
      <w:r>
        <w:rPr>
          <w:spacing w:val="-5"/>
        </w:rPr>
        <w:t> </w:t>
      </w:r>
      <w:r>
        <w:rPr/>
        <w:t>new</w:t>
      </w:r>
      <w:r>
        <w:rPr>
          <w:spacing w:val="-6"/>
        </w:rPr>
        <w:t> </w:t>
      </w:r>
      <w:r>
        <w:rPr/>
        <w:t>facilities at</w:t>
      </w:r>
      <w:r>
        <w:rPr>
          <w:spacing w:val="-4"/>
        </w:rPr>
        <w:t> </w:t>
      </w:r>
      <w:r>
        <w:rPr/>
        <w:t>recreation</w:t>
      </w:r>
      <w:r>
        <w:rPr>
          <w:spacing w:val="-6"/>
        </w:rPr>
        <w:t> </w:t>
      </w:r>
      <w:r>
        <w:rPr/>
        <w:t>sites</w:t>
      </w:r>
      <w:r>
        <w:rPr>
          <w:spacing w:val="-5"/>
        </w:rPr>
        <w:t> </w:t>
      </w:r>
      <w:r>
        <w:rPr/>
        <w:t>and</w:t>
      </w:r>
      <w:r>
        <w:rPr>
          <w:spacing w:val="-6"/>
        </w:rPr>
        <w:t> </w:t>
      </w:r>
      <w:r>
        <w:rPr/>
        <w:t>administrative</w:t>
      </w:r>
      <w:r>
        <w:rPr>
          <w:spacing w:val="-4"/>
        </w:rPr>
        <w:t> </w:t>
      </w:r>
      <w:r>
        <w:rPr/>
        <w:t>compounds.</w:t>
      </w:r>
      <w:r>
        <w:rPr>
          <w:spacing w:val="-8"/>
        </w:rPr>
        <w:t> </w:t>
      </w:r>
      <w:r>
        <w:rPr/>
        <w:t>Developments</w:t>
      </w:r>
      <w:r>
        <w:rPr>
          <w:spacing w:val="-7"/>
        </w:rPr>
        <w:t> </w:t>
      </w:r>
      <w:r>
        <w:rPr/>
        <w:t>should</w:t>
      </w:r>
      <w:r>
        <w:rPr>
          <w:spacing w:val="-6"/>
        </w:rPr>
        <w:t> </w:t>
      </w:r>
      <w:r>
        <w:rPr/>
        <w:t>be</w:t>
      </w:r>
      <w:r>
        <w:rPr>
          <w:spacing w:val="-4"/>
        </w:rPr>
        <w:t> </w:t>
      </w:r>
      <w:r>
        <w:rPr/>
        <w:t>consistent</w:t>
      </w:r>
      <w:r>
        <w:rPr>
          <w:spacing w:val="-7"/>
        </w:rPr>
        <w:t> </w:t>
      </w:r>
      <w:r>
        <w:rPr/>
        <w:t>with</w:t>
      </w:r>
      <w:r>
        <w:rPr>
          <w:spacing w:val="-6"/>
        </w:rPr>
        <w:t> </w:t>
      </w:r>
      <w:r>
        <w:rPr/>
        <w:t>the history and landscape character of the site. Choose facility and structure design, color of materials, location, and orientation to meet the scenic integrity objective for the management </w:t>
      </w:r>
      <w:r>
        <w:rPr>
          <w:spacing w:val="-2"/>
        </w:rPr>
        <w:t>area.</w:t>
      </w:r>
    </w:p>
    <w:p>
      <w:pPr>
        <w:spacing w:before="233"/>
        <w:ind w:left="1150" w:right="0" w:firstLine="0"/>
        <w:jc w:val="left"/>
        <w:rPr>
          <w:rFonts w:ascii="Arial"/>
          <w:i/>
          <w:sz w:val="22"/>
        </w:rPr>
      </w:pPr>
      <w:bookmarkStart w:name="FW-GDL-SCE-03. Management Activities in " w:id="503"/>
      <w:bookmarkEnd w:id="503"/>
      <w:r>
        <w:rPr/>
      </w:r>
      <w:r>
        <w:rPr>
          <w:rFonts w:ascii="Arial"/>
          <w:i/>
          <w:sz w:val="22"/>
        </w:rPr>
        <w:t>FW-GDL-SCE-03.</w:t>
      </w:r>
      <w:r>
        <w:rPr>
          <w:rFonts w:ascii="Arial"/>
          <w:i/>
          <w:spacing w:val="-11"/>
          <w:sz w:val="22"/>
        </w:rPr>
        <w:t> </w:t>
      </w:r>
      <w:r>
        <w:rPr>
          <w:rFonts w:ascii="Arial"/>
          <w:i/>
          <w:sz w:val="22"/>
        </w:rPr>
        <w:t>Management</w:t>
      </w:r>
      <w:r>
        <w:rPr>
          <w:rFonts w:ascii="Arial"/>
          <w:i/>
          <w:spacing w:val="-7"/>
          <w:sz w:val="22"/>
        </w:rPr>
        <w:t> </w:t>
      </w:r>
      <w:r>
        <w:rPr>
          <w:rFonts w:ascii="Arial"/>
          <w:i/>
          <w:sz w:val="22"/>
        </w:rPr>
        <w:t>Activities</w:t>
      </w:r>
      <w:r>
        <w:rPr>
          <w:rFonts w:ascii="Arial"/>
          <w:i/>
          <w:spacing w:val="-9"/>
          <w:sz w:val="22"/>
        </w:rPr>
        <w:t> </w:t>
      </w:r>
      <w:r>
        <w:rPr>
          <w:rFonts w:ascii="Arial"/>
          <w:i/>
          <w:sz w:val="22"/>
        </w:rPr>
        <w:t>in</w:t>
      </w:r>
      <w:r>
        <w:rPr>
          <w:rFonts w:ascii="Arial"/>
          <w:i/>
          <w:spacing w:val="-8"/>
          <w:sz w:val="22"/>
        </w:rPr>
        <w:t> </w:t>
      </w:r>
      <w:r>
        <w:rPr>
          <w:rFonts w:ascii="Arial"/>
          <w:i/>
          <w:sz w:val="22"/>
        </w:rPr>
        <w:t>Scenic</w:t>
      </w:r>
      <w:r>
        <w:rPr>
          <w:rFonts w:ascii="Arial"/>
          <w:i/>
          <w:spacing w:val="-6"/>
          <w:sz w:val="22"/>
        </w:rPr>
        <w:t> </w:t>
      </w:r>
      <w:r>
        <w:rPr>
          <w:rFonts w:ascii="Arial"/>
          <w:i/>
          <w:spacing w:val="-2"/>
          <w:sz w:val="22"/>
        </w:rPr>
        <w:t>Viewsheds</w:t>
      </w:r>
    </w:p>
    <w:p>
      <w:pPr>
        <w:pStyle w:val="BodyText"/>
        <w:spacing w:line="232" w:lineRule="auto" w:before="64"/>
        <w:ind w:left="1150" w:right="801"/>
      </w:pPr>
      <w:r>
        <w:rPr/>
        <w:t>Management</w:t>
      </w:r>
      <w:r>
        <w:rPr>
          <w:spacing w:val="-4"/>
        </w:rPr>
        <w:t> </w:t>
      </w:r>
      <w:r>
        <w:rPr/>
        <w:t>activities</w:t>
      </w:r>
      <w:r>
        <w:rPr>
          <w:spacing w:val="-6"/>
        </w:rPr>
        <w:t> </w:t>
      </w:r>
      <w:r>
        <w:rPr/>
        <w:t>will</w:t>
      </w:r>
      <w:r>
        <w:rPr>
          <w:spacing w:val="-6"/>
        </w:rPr>
        <w:t> </w:t>
      </w:r>
      <w:r>
        <w:rPr/>
        <w:t>be</w:t>
      </w:r>
      <w:r>
        <w:rPr>
          <w:spacing w:val="-4"/>
        </w:rPr>
        <w:t> </w:t>
      </w:r>
      <w:r>
        <w:rPr/>
        <w:t>designed</w:t>
      </w:r>
      <w:r>
        <w:rPr>
          <w:spacing w:val="-5"/>
        </w:rPr>
        <w:t> </w:t>
      </w:r>
      <w:r>
        <w:rPr/>
        <w:t>and</w:t>
      </w:r>
      <w:r>
        <w:rPr>
          <w:spacing w:val="-5"/>
        </w:rPr>
        <w:t> </w:t>
      </w:r>
      <w:r>
        <w:rPr/>
        <w:t>implemented</w:t>
      </w:r>
      <w:r>
        <w:rPr>
          <w:spacing w:val="-5"/>
        </w:rPr>
        <w:t> </w:t>
      </w:r>
      <w:r>
        <w:rPr/>
        <w:t>to</w:t>
      </w:r>
      <w:r>
        <w:rPr>
          <w:spacing w:val="-4"/>
        </w:rPr>
        <w:t> </w:t>
      </w:r>
      <w:r>
        <w:rPr/>
        <w:t>achieve,</w:t>
      </w:r>
      <w:r>
        <w:rPr>
          <w:spacing w:val="-4"/>
        </w:rPr>
        <w:t> </w:t>
      </w:r>
      <w:r>
        <w:rPr/>
        <w:t>at</w:t>
      </w:r>
      <w:r>
        <w:rPr>
          <w:spacing w:val="-6"/>
        </w:rPr>
        <w:t> </w:t>
      </w:r>
      <w:r>
        <w:rPr/>
        <w:t>minimum,</w:t>
      </w:r>
      <w:r>
        <w:rPr>
          <w:spacing w:val="-4"/>
        </w:rPr>
        <w:t> </w:t>
      </w:r>
      <w:r>
        <w:rPr/>
        <w:t>the</w:t>
      </w:r>
      <w:r>
        <w:rPr>
          <w:spacing w:val="-4"/>
        </w:rPr>
        <w:t> </w:t>
      </w:r>
      <w:r>
        <w:rPr/>
        <w:t>level</w:t>
      </w:r>
      <w:r>
        <w:rPr>
          <w:spacing w:val="-6"/>
        </w:rPr>
        <w:t> </w:t>
      </w:r>
      <w:r>
        <w:rPr/>
        <w:t>of scenic integrity assigned to the landscape area. (See appendix D for SIO map and Scenic Viewshed Table.)</w:t>
      </w:r>
    </w:p>
    <w:p>
      <w:pPr>
        <w:spacing w:before="236"/>
        <w:ind w:left="1149" w:right="0" w:firstLine="0"/>
        <w:jc w:val="left"/>
        <w:rPr>
          <w:rFonts w:ascii="Arial"/>
          <w:i/>
          <w:sz w:val="22"/>
        </w:rPr>
      </w:pPr>
      <w:bookmarkStart w:name="FW-GDL-SCE-04. Rehabilitation of Scenic " w:id="504"/>
      <w:bookmarkEnd w:id="504"/>
      <w:r>
        <w:rPr/>
      </w:r>
      <w:r>
        <w:rPr>
          <w:rFonts w:ascii="Arial"/>
          <w:i/>
          <w:sz w:val="22"/>
        </w:rPr>
        <w:t>FW-GDL-SCE-04.</w:t>
      </w:r>
      <w:r>
        <w:rPr>
          <w:rFonts w:ascii="Arial"/>
          <w:i/>
          <w:spacing w:val="-9"/>
          <w:sz w:val="22"/>
        </w:rPr>
        <w:t> </w:t>
      </w:r>
      <w:r>
        <w:rPr>
          <w:rFonts w:ascii="Arial"/>
          <w:i/>
          <w:sz w:val="22"/>
        </w:rPr>
        <w:t>Rehabilitation</w:t>
      </w:r>
      <w:r>
        <w:rPr>
          <w:rFonts w:ascii="Arial"/>
          <w:i/>
          <w:spacing w:val="-8"/>
          <w:sz w:val="22"/>
        </w:rPr>
        <w:t> </w:t>
      </w:r>
      <w:r>
        <w:rPr>
          <w:rFonts w:ascii="Arial"/>
          <w:i/>
          <w:sz w:val="22"/>
        </w:rPr>
        <w:t>of</w:t>
      </w:r>
      <w:r>
        <w:rPr>
          <w:rFonts w:ascii="Arial"/>
          <w:i/>
          <w:spacing w:val="-7"/>
          <w:sz w:val="22"/>
        </w:rPr>
        <w:t> </w:t>
      </w:r>
      <w:r>
        <w:rPr>
          <w:rFonts w:ascii="Arial"/>
          <w:i/>
          <w:sz w:val="22"/>
        </w:rPr>
        <w:t>Scenic</w:t>
      </w:r>
      <w:r>
        <w:rPr>
          <w:rFonts w:ascii="Arial"/>
          <w:i/>
          <w:spacing w:val="-9"/>
          <w:sz w:val="22"/>
        </w:rPr>
        <w:t> </w:t>
      </w:r>
      <w:r>
        <w:rPr>
          <w:rFonts w:ascii="Arial"/>
          <w:i/>
          <w:spacing w:val="-2"/>
          <w:sz w:val="22"/>
        </w:rPr>
        <w:t>Viewsheds</w:t>
      </w:r>
    </w:p>
    <w:p>
      <w:pPr>
        <w:pStyle w:val="BodyText"/>
        <w:spacing w:line="232" w:lineRule="auto" w:before="64"/>
        <w:ind w:left="1149" w:right="801"/>
      </w:pPr>
      <w:r>
        <w:rPr/>
        <w:t>Rehabilitate</w:t>
      </w:r>
      <w:r>
        <w:rPr>
          <w:spacing w:val="-7"/>
        </w:rPr>
        <w:t> </w:t>
      </w:r>
      <w:r>
        <w:rPr/>
        <w:t>existing</w:t>
      </w:r>
      <w:r>
        <w:rPr>
          <w:spacing w:val="-7"/>
        </w:rPr>
        <w:t> </w:t>
      </w:r>
      <w:r>
        <w:rPr/>
        <w:t>project</w:t>
      </w:r>
      <w:r>
        <w:rPr>
          <w:spacing w:val="-5"/>
        </w:rPr>
        <w:t> </w:t>
      </w:r>
      <w:r>
        <w:rPr/>
        <w:t>areas</w:t>
      </w:r>
      <w:r>
        <w:rPr>
          <w:spacing w:val="-6"/>
        </w:rPr>
        <w:t> </w:t>
      </w:r>
      <w:r>
        <w:rPr/>
        <w:t>and</w:t>
      </w:r>
      <w:r>
        <w:rPr>
          <w:spacing w:val="-7"/>
        </w:rPr>
        <w:t> </w:t>
      </w:r>
      <w:r>
        <w:rPr/>
        <w:t>other</w:t>
      </w:r>
      <w:r>
        <w:rPr>
          <w:spacing w:val="-6"/>
        </w:rPr>
        <w:t> </w:t>
      </w:r>
      <w:r>
        <w:rPr/>
        <w:t>areas</w:t>
      </w:r>
      <w:r>
        <w:rPr>
          <w:spacing w:val="-7"/>
        </w:rPr>
        <w:t> </w:t>
      </w:r>
      <w:r>
        <w:rPr/>
        <w:t>that</w:t>
      </w:r>
      <w:r>
        <w:rPr>
          <w:spacing w:val="-5"/>
        </w:rPr>
        <w:t> </w:t>
      </w:r>
      <w:r>
        <w:rPr/>
        <w:t>do</w:t>
      </w:r>
      <w:r>
        <w:rPr>
          <w:spacing w:val="-5"/>
        </w:rPr>
        <w:t> </w:t>
      </w:r>
      <w:r>
        <w:rPr/>
        <w:t>not</w:t>
      </w:r>
      <w:r>
        <w:rPr>
          <w:spacing w:val="-7"/>
        </w:rPr>
        <w:t> </w:t>
      </w:r>
      <w:r>
        <w:rPr/>
        <w:t>meet</w:t>
      </w:r>
      <w:r>
        <w:rPr>
          <w:spacing w:val="-5"/>
        </w:rPr>
        <w:t> </w:t>
      </w:r>
      <w:r>
        <w:rPr/>
        <w:t>scenic</w:t>
      </w:r>
      <w:r>
        <w:rPr>
          <w:spacing w:val="-6"/>
        </w:rPr>
        <w:t> </w:t>
      </w:r>
      <w:r>
        <w:rPr/>
        <w:t>integrity</w:t>
      </w:r>
      <w:r>
        <w:rPr>
          <w:spacing w:val="-7"/>
        </w:rPr>
        <w:t> </w:t>
      </w:r>
      <w:r>
        <w:rPr/>
        <w:t>objectives. See appendix D for definitions of scenic integrity objectives/levels. Set priorities for rehabilitation considering the following:</w:t>
      </w:r>
    </w:p>
    <w:p>
      <w:pPr>
        <w:pStyle w:val="BodyText"/>
        <w:spacing w:after="0" w:line="232" w:lineRule="auto"/>
        <w:sectPr>
          <w:pgSz w:w="12240" w:h="15840"/>
          <w:pgMar w:header="725" w:footer="891" w:top="960" w:bottom="1080" w:left="1080" w:right="720"/>
        </w:sectPr>
      </w:pPr>
    </w:p>
    <w:p>
      <w:pPr>
        <w:pStyle w:val="BodyText"/>
        <w:spacing w:before="212"/>
      </w:pPr>
    </w:p>
    <w:p>
      <w:pPr>
        <w:pStyle w:val="ListParagraph"/>
        <w:numPr>
          <w:ilvl w:val="0"/>
          <w:numId w:val="16"/>
        </w:numPr>
        <w:tabs>
          <w:tab w:pos="900" w:val="left" w:leader="none"/>
        </w:tabs>
        <w:spacing w:line="232" w:lineRule="auto" w:before="0" w:after="0"/>
        <w:ind w:left="900" w:right="2245" w:hanging="360"/>
        <w:jc w:val="left"/>
        <w:rPr>
          <w:sz w:val="22"/>
        </w:rPr>
      </w:pPr>
      <w:r>
        <w:rPr>
          <w:sz w:val="22"/>
        </w:rPr>
        <w:t>Relative</w:t>
      </w:r>
      <w:r>
        <w:rPr>
          <w:spacing w:val="-7"/>
          <w:sz w:val="22"/>
        </w:rPr>
        <w:t> </w:t>
      </w:r>
      <w:r>
        <w:rPr>
          <w:sz w:val="22"/>
        </w:rPr>
        <w:t>importance</w:t>
      </w:r>
      <w:r>
        <w:rPr>
          <w:spacing w:val="-7"/>
          <w:sz w:val="22"/>
        </w:rPr>
        <w:t> </w:t>
      </w:r>
      <w:r>
        <w:rPr>
          <w:sz w:val="22"/>
        </w:rPr>
        <w:t>of</w:t>
      </w:r>
      <w:r>
        <w:rPr>
          <w:spacing w:val="-5"/>
          <w:sz w:val="22"/>
        </w:rPr>
        <w:t> </w:t>
      </w:r>
      <w:r>
        <w:rPr>
          <w:sz w:val="22"/>
        </w:rPr>
        <w:t>the</w:t>
      </w:r>
      <w:r>
        <w:rPr>
          <w:spacing w:val="-9"/>
          <w:sz w:val="22"/>
        </w:rPr>
        <w:t> </w:t>
      </w:r>
      <w:r>
        <w:rPr>
          <w:sz w:val="22"/>
        </w:rPr>
        <w:t>area</w:t>
      </w:r>
      <w:r>
        <w:rPr>
          <w:spacing w:val="-5"/>
          <w:sz w:val="22"/>
        </w:rPr>
        <w:t> </w:t>
      </w:r>
      <w:r>
        <w:rPr>
          <w:sz w:val="22"/>
        </w:rPr>
        <w:t>and</w:t>
      </w:r>
      <w:r>
        <w:rPr>
          <w:spacing w:val="-6"/>
          <w:sz w:val="22"/>
        </w:rPr>
        <w:t> </w:t>
      </w:r>
      <w:r>
        <w:rPr>
          <w:sz w:val="22"/>
        </w:rPr>
        <w:t>amount</w:t>
      </w:r>
      <w:r>
        <w:rPr>
          <w:spacing w:val="-4"/>
          <w:sz w:val="22"/>
        </w:rPr>
        <w:t> </w:t>
      </w:r>
      <w:r>
        <w:rPr>
          <w:sz w:val="22"/>
        </w:rPr>
        <w:t>of</w:t>
      </w:r>
      <w:r>
        <w:rPr>
          <w:spacing w:val="-7"/>
          <w:sz w:val="22"/>
        </w:rPr>
        <w:t> </w:t>
      </w:r>
      <w:r>
        <w:rPr>
          <w:sz w:val="22"/>
        </w:rPr>
        <w:t>deviation</w:t>
      </w:r>
      <w:r>
        <w:rPr>
          <w:spacing w:val="-6"/>
          <w:sz w:val="22"/>
        </w:rPr>
        <w:t> </w:t>
      </w:r>
      <w:r>
        <w:rPr>
          <w:sz w:val="22"/>
        </w:rPr>
        <w:t>from</w:t>
      </w:r>
      <w:r>
        <w:rPr>
          <w:spacing w:val="-4"/>
          <w:sz w:val="22"/>
        </w:rPr>
        <w:t> </w:t>
      </w:r>
      <w:r>
        <w:rPr>
          <w:sz w:val="22"/>
        </w:rPr>
        <w:t>the</w:t>
      </w:r>
      <w:r>
        <w:rPr>
          <w:spacing w:val="-4"/>
          <w:sz w:val="22"/>
        </w:rPr>
        <w:t> </w:t>
      </w:r>
      <w:r>
        <w:rPr>
          <w:sz w:val="22"/>
        </w:rPr>
        <w:t>scenic</w:t>
      </w:r>
      <w:r>
        <w:rPr>
          <w:spacing w:val="-5"/>
          <w:sz w:val="22"/>
        </w:rPr>
        <w:t> </w:t>
      </w:r>
      <w:r>
        <w:rPr>
          <w:sz w:val="22"/>
        </w:rPr>
        <w:t>integrity </w:t>
      </w:r>
      <w:r>
        <w:rPr>
          <w:spacing w:val="-2"/>
          <w:sz w:val="22"/>
        </w:rPr>
        <w:t>objectives.</w:t>
      </w:r>
    </w:p>
    <w:p>
      <w:pPr>
        <w:pStyle w:val="ListParagraph"/>
        <w:numPr>
          <w:ilvl w:val="0"/>
          <w:numId w:val="16"/>
        </w:numPr>
        <w:tabs>
          <w:tab w:pos="899" w:val="left" w:leader="none"/>
        </w:tabs>
        <w:spacing w:line="240" w:lineRule="auto" w:before="113" w:after="0"/>
        <w:ind w:left="899" w:right="0" w:hanging="359"/>
        <w:jc w:val="left"/>
        <w:rPr>
          <w:sz w:val="22"/>
        </w:rPr>
      </w:pPr>
      <w:r>
        <w:rPr>
          <w:sz w:val="22"/>
        </w:rPr>
        <w:t>Foreground</w:t>
      </w:r>
      <w:r>
        <w:rPr>
          <w:spacing w:val="-8"/>
          <w:sz w:val="22"/>
        </w:rPr>
        <w:t> </w:t>
      </w:r>
      <w:r>
        <w:rPr>
          <w:sz w:val="22"/>
        </w:rPr>
        <w:t>of</w:t>
      </w:r>
      <w:r>
        <w:rPr>
          <w:spacing w:val="-5"/>
          <w:sz w:val="22"/>
        </w:rPr>
        <w:t> </w:t>
      </w:r>
      <w:r>
        <w:rPr>
          <w:sz w:val="22"/>
        </w:rPr>
        <w:t>high</w:t>
      </w:r>
      <w:r>
        <w:rPr>
          <w:spacing w:val="-6"/>
          <w:sz w:val="22"/>
        </w:rPr>
        <w:t> </w:t>
      </w:r>
      <w:r>
        <w:rPr>
          <w:sz w:val="22"/>
        </w:rPr>
        <w:t>public</w:t>
      </w:r>
      <w:r>
        <w:rPr>
          <w:spacing w:val="-7"/>
          <w:sz w:val="22"/>
        </w:rPr>
        <w:t> </w:t>
      </w:r>
      <w:r>
        <w:rPr>
          <w:sz w:val="22"/>
        </w:rPr>
        <w:t>use</w:t>
      </w:r>
      <w:r>
        <w:rPr>
          <w:spacing w:val="-4"/>
          <w:sz w:val="22"/>
        </w:rPr>
        <w:t> </w:t>
      </w:r>
      <w:r>
        <w:rPr>
          <w:sz w:val="22"/>
        </w:rPr>
        <w:t>areas</w:t>
      </w:r>
      <w:r>
        <w:rPr>
          <w:spacing w:val="-5"/>
          <w:sz w:val="22"/>
        </w:rPr>
        <w:t> </w:t>
      </w:r>
      <w:r>
        <w:rPr>
          <w:sz w:val="22"/>
        </w:rPr>
        <w:t>has</w:t>
      </w:r>
      <w:r>
        <w:rPr>
          <w:spacing w:val="-5"/>
          <w:sz w:val="22"/>
        </w:rPr>
        <w:t> </w:t>
      </w:r>
      <w:r>
        <w:rPr>
          <w:sz w:val="22"/>
        </w:rPr>
        <w:t>highest</w:t>
      </w:r>
      <w:r>
        <w:rPr>
          <w:spacing w:val="-4"/>
          <w:sz w:val="22"/>
        </w:rPr>
        <w:t> </w:t>
      </w:r>
      <w:r>
        <w:rPr>
          <w:spacing w:val="-2"/>
          <w:sz w:val="22"/>
        </w:rPr>
        <w:t>priority.</w:t>
      </w:r>
    </w:p>
    <w:p>
      <w:pPr>
        <w:pStyle w:val="ListParagraph"/>
        <w:numPr>
          <w:ilvl w:val="0"/>
          <w:numId w:val="16"/>
        </w:numPr>
        <w:tabs>
          <w:tab w:pos="900" w:val="left" w:leader="none"/>
        </w:tabs>
        <w:spacing w:line="232" w:lineRule="auto" w:before="117" w:after="0"/>
        <w:ind w:left="900" w:right="1992" w:hanging="360"/>
        <w:jc w:val="left"/>
        <w:rPr>
          <w:sz w:val="22"/>
        </w:rPr>
      </w:pPr>
      <w:r>
        <w:rPr>
          <w:sz w:val="22"/>
        </w:rPr>
        <w:t>Length</w:t>
      </w:r>
      <w:r>
        <w:rPr>
          <w:spacing w:val="-7"/>
          <w:sz w:val="22"/>
        </w:rPr>
        <w:t> </w:t>
      </w:r>
      <w:r>
        <w:rPr>
          <w:sz w:val="22"/>
        </w:rPr>
        <w:t>of</w:t>
      </w:r>
      <w:r>
        <w:rPr>
          <w:spacing w:val="-6"/>
          <w:sz w:val="22"/>
        </w:rPr>
        <w:t> </w:t>
      </w:r>
      <w:r>
        <w:rPr>
          <w:sz w:val="22"/>
        </w:rPr>
        <w:t>time</w:t>
      </w:r>
      <w:r>
        <w:rPr>
          <w:spacing w:val="-3"/>
          <w:sz w:val="22"/>
        </w:rPr>
        <w:t> </w:t>
      </w:r>
      <w:r>
        <w:rPr>
          <w:sz w:val="22"/>
        </w:rPr>
        <w:t>it</w:t>
      </w:r>
      <w:r>
        <w:rPr>
          <w:spacing w:val="-6"/>
          <w:sz w:val="22"/>
        </w:rPr>
        <w:t> </w:t>
      </w:r>
      <w:r>
        <w:rPr>
          <w:sz w:val="22"/>
        </w:rPr>
        <w:t>will</w:t>
      </w:r>
      <w:r>
        <w:rPr>
          <w:spacing w:val="-6"/>
          <w:sz w:val="22"/>
        </w:rPr>
        <w:t> </w:t>
      </w:r>
      <w:r>
        <w:rPr>
          <w:sz w:val="22"/>
        </w:rPr>
        <w:t>take</w:t>
      </w:r>
      <w:r>
        <w:rPr>
          <w:spacing w:val="-6"/>
          <w:sz w:val="22"/>
        </w:rPr>
        <w:t> </w:t>
      </w:r>
      <w:r>
        <w:rPr>
          <w:sz w:val="22"/>
        </w:rPr>
        <w:t>natural</w:t>
      </w:r>
      <w:r>
        <w:rPr>
          <w:spacing w:val="-4"/>
          <w:sz w:val="22"/>
        </w:rPr>
        <w:t> </w:t>
      </w:r>
      <w:r>
        <w:rPr>
          <w:sz w:val="22"/>
        </w:rPr>
        <w:t>processes</w:t>
      </w:r>
      <w:r>
        <w:rPr>
          <w:spacing w:val="-4"/>
          <w:sz w:val="22"/>
        </w:rPr>
        <w:t> </w:t>
      </w:r>
      <w:r>
        <w:rPr>
          <w:sz w:val="22"/>
        </w:rPr>
        <w:t>to</w:t>
      </w:r>
      <w:r>
        <w:rPr>
          <w:spacing w:val="-3"/>
          <w:sz w:val="22"/>
        </w:rPr>
        <w:t> </w:t>
      </w:r>
      <w:r>
        <w:rPr>
          <w:sz w:val="22"/>
        </w:rPr>
        <w:t>reduce</w:t>
      </w:r>
      <w:r>
        <w:rPr>
          <w:spacing w:val="-6"/>
          <w:sz w:val="22"/>
        </w:rPr>
        <w:t> </w:t>
      </w:r>
      <w:r>
        <w:rPr>
          <w:sz w:val="22"/>
        </w:rPr>
        <w:t>the</w:t>
      </w:r>
      <w:r>
        <w:rPr>
          <w:spacing w:val="-3"/>
          <w:sz w:val="22"/>
        </w:rPr>
        <w:t> </w:t>
      </w:r>
      <w:r>
        <w:rPr>
          <w:sz w:val="22"/>
        </w:rPr>
        <w:t>visual</w:t>
      </w:r>
      <w:r>
        <w:rPr>
          <w:spacing w:val="-7"/>
          <w:sz w:val="22"/>
        </w:rPr>
        <w:t> </w:t>
      </w:r>
      <w:r>
        <w:rPr>
          <w:sz w:val="22"/>
        </w:rPr>
        <w:t>impacts</w:t>
      </w:r>
      <w:r>
        <w:rPr>
          <w:spacing w:val="-4"/>
          <w:sz w:val="22"/>
        </w:rPr>
        <w:t> </w:t>
      </w:r>
      <w:r>
        <w:rPr>
          <w:sz w:val="22"/>
        </w:rPr>
        <w:t>so</w:t>
      </w:r>
      <w:r>
        <w:rPr>
          <w:spacing w:val="-5"/>
          <w:sz w:val="22"/>
        </w:rPr>
        <w:t> </w:t>
      </w:r>
      <w:r>
        <w:rPr>
          <w:sz w:val="22"/>
        </w:rPr>
        <w:t>that</w:t>
      </w:r>
      <w:r>
        <w:rPr>
          <w:spacing w:val="-3"/>
          <w:sz w:val="22"/>
        </w:rPr>
        <w:t> </w:t>
      </w:r>
      <w:r>
        <w:rPr>
          <w:sz w:val="22"/>
        </w:rPr>
        <w:t>they meet the prescribed scenic integrity objectives.</w:t>
      </w:r>
    </w:p>
    <w:p>
      <w:pPr>
        <w:pStyle w:val="ListParagraph"/>
        <w:numPr>
          <w:ilvl w:val="0"/>
          <w:numId w:val="16"/>
        </w:numPr>
        <w:tabs>
          <w:tab w:pos="900" w:val="left" w:leader="none"/>
        </w:tabs>
        <w:spacing w:line="232" w:lineRule="auto" w:before="120" w:after="0"/>
        <w:ind w:left="900" w:right="1619" w:hanging="360"/>
        <w:jc w:val="left"/>
        <w:rPr>
          <w:sz w:val="22"/>
        </w:rPr>
      </w:pPr>
      <w:r>
        <w:rPr>
          <w:sz w:val="22"/>
        </w:rPr>
        <w:t>Length</w:t>
      </w:r>
      <w:r>
        <w:rPr>
          <w:spacing w:val="-7"/>
          <w:sz w:val="22"/>
        </w:rPr>
        <w:t> </w:t>
      </w:r>
      <w:r>
        <w:rPr>
          <w:sz w:val="22"/>
        </w:rPr>
        <w:t>of</w:t>
      </w:r>
      <w:r>
        <w:rPr>
          <w:spacing w:val="-6"/>
          <w:sz w:val="22"/>
        </w:rPr>
        <w:t> </w:t>
      </w:r>
      <w:r>
        <w:rPr>
          <w:sz w:val="22"/>
        </w:rPr>
        <w:t>time</w:t>
      </w:r>
      <w:r>
        <w:rPr>
          <w:spacing w:val="-3"/>
          <w:sz w:val="22"/>
        </w:rPr>
        <w:t> </w:t>
      </w:r>
      <w:r>
        <w:rPr>
          <w:sz w:val="22"/>
        </w:rPr>
        <w:t>it</w:t>
      </w:r>
      <w:r>
        <w:rPr>
          <w:spacing w:val="-6"/>
          <w:sz w:val="22"/>
        </w:rPr>
        <w:t> </w:t>
      </w:r>
      <w:r>
        <w:rPr>
          <w:sz w:val="22"/>
        </w:rPr>
        <w:t>will</w:t>
      </w:r>
      <w:r>
        <w:rPr>
          <w:spacing w:val="-7"/>
          <w:sz w:val="22"/>
        </w:rPr>
        <w:t> </w:t>
      </w:r>
      <w:r>
        <w:rPr>
          <w:sz w:val="22"/>
        </w:rPr>
        <w:t>take</w:t>
      </w:r>
      <w:r>
        <w:rPr>
          <w:spacing w:val="-6"/>
          <w:sz w:val="22"/>
        </w:rPr>
        <w:t> </w:t>
      </w:r>
      <w:r>
        <w:rPr>
          <w:sz w:val="22"/>
        </w:rPr>
        <w:t>rehabilitation</w:t>
      </w:r>
      <w:r>
        <w:rPr>
          <w:spacing w:val="-7"/>
          <w:sz w:val="22"/>
        </w:rPr>
        <w:t> </w:t>
      </w:r>
      <w:r>
        <w:rPr>
          <w:sz w:val="22"/>
        </w:rPr>
        <w:t>measures</w:t>
      </w:r>
      <w:r>
        <w:rPr>
          <w:spacing w:val="-6"/>
          <w:sz w:val="22"/>
        </w:rPr>
        <w:t> </w:t>
      </w:r>
      <w:r>
        <w:rPr>
          <w:sz w:val="22"/>
        </w:rPr>
        <w:t>to</w:t>
      </w:r>
      <w:r>
        <w:rPr>
          <w:spacing w:val="-5"/>
          <w:sz w:val="22"/>
        </w:rPr>
        <w:t> </w:t>
      </w:r>
      <w:r>
        <w:rPr>
          <w:sz w:val="22"/>
        </w:rPr>
        <w:t>meet</w:t>
      </w:r>
      <w:r>
        <w:rPr>
          <w:spacing w:val="-6"/>
          <w:sz w:val="22"/>
        </w:rPr>
        <w:t> </w:t>
      </w:r>
      <w:r>
        <w:rPr>
          <w:sz w:val="22"/>
        </w:rPr>
        <w:t>the</w:t>
      </w:r>
      <w:r>
        <w:rPr>
          <w:spacing w:val="-3"/>
          <w:sz w:val="22"/>
        </w:rPr>
        <w:t> </w:t>
      </w:r>
      <w:r>
        <w:rPr>
          <w:sz w:val="22"/>
        </w:rPr>
        <w:t>prescribed</w:t>
      </w:r>
      <w:r>
        <w:rPr>
          <w:spacing w:val="-7"/>
          <w:sz w:val="22"/>
        </w:rPr>
        <w:t> </w:t>
      </w:r>
      <w:r>
        <w:rPr>
          <w:sz w:val="22"/>
        </w:rPr>
        <w:t>scenic</w:t>
      </w:r>
      <w:r>
        <w:rPr>
          <w:spacing w:val="-6"/>
          <w:sz w:val="22"/>
        </w:rPr>
        <w:t> </w:t>
      </w:r>
      <w:r>
        <w:rPr>
          <w:sz w:val="22"/>
        </w:rPr>
        <w:t>integrity </w:t>
      </w:r>
      <w:r>
        <w:rPr>
          <w:spacing w:val="-2"/>
          <w:sz w:val="22"/>
        </w:rPr>
        <w:t>objectives.</w:t>
      </w:r>
    </w:p>
    <w:p>
      <w:pPr>
        <w:pStyle w:val="ListParagraph"/>
        <w:numPr>
          <w:ilvl w:val="0"/>
          <w:numId w:val="16"/>
        </w:numPr>
        <w:tabs>
          <w:tab w:pos="899" w:val="left" w:leader="none"/>
        </w:tabs>
        <w:spacing w:line="240" w:lineRule="auto" w:before="111" w:after="0"/>
        <w:ind w:left="899" w:right="0" w:hanging="359"/>
        <w:jc w:val="left"/>
        <w:rPr>
          <w:sz w:val="22"/>
        </w:rPr>
      </w:pPr>
      <w:r>
        <w:rPr>
          <w:sz w:val="22"/>
        </w:rPr>
        <w:t>Benefits</w:t>
      </w:r>
      <w:r>
        <w:rPr>
          <w:spacing w:val="-10"/>
          <w:sz w:val="22"/>
        </w:rPr>
        <w:t> </w:t>
      </w:r>
      <w:r>
        <w:rPr>
          <w:sz w:val="22"/>
        </w:rPr>
        <w:t>to</w:t>
      </w:r>
      <w:r>
        <w:rPr>
          <w:spacing w:val="-8"/>
          <w:sz w:val="22"/>
        </w:rPr>
        <w:t> </w:t>
      </w:r>
      <w:r>
        <w:rPr>
          <w:sz w:val="22"/>
        </w:rPr>
        <w:t>other</w:t>
      </w:r>
      <w:r>
        <w:rPr>
          <w:spacing w:val="-7"/>
          <w:sz w:val="22"/>
        </w:rPr>
        <w:t> </w:t>
      </w:r>
      <w:r>
        <w:rPr>
          <w:sz w:val="22"/>
        </w:rPr>
        <w:t>resource</w:t>
      </w:r>
      <w:r>
        <w:rPr>
          <w:spacing w:val="-10"/>
          <w:sz w:val="22"/>
        </w:rPr>
        <w:t> </w:t>
      </w:r>
      <w:r>
        <w:rPr>
          <w:sz w:val="22"/>
        </w:rPr>
        <w:t>management</w:t>
      </w:r>
      <w:r>
        <w:rPr>
          <w:spacing w:val="-9"/>
          <w:sz w:val="22"/>
        </w:rPr>
        <w:t> </w:t>
      </w:r>
      <w:r>
        <w:rPr>
          <w:sz w:val="22"/>
        </w:rPr>
        <w:t>objectives</w:t>
      </w:r>
      <w:r>
        <w:rPr>
          <w:spacing w:val="-7"/>
          <w:sz w:val="22"/>
        </w:rPr>
        <w:t> </w:t>
      </w:r>
      <w:r>
        <w:rPr>
          <w:sz w:val="22"/>
        </w:rPr>
        <w:t>to</w:t>
      </w:r>
      <w:r>
        <w:rPr>
          <w:spacing w:val="-8"/>
          <w:sz w:val="22"/>
        </w:rPr>
        <w:t> </w:t>
      </w:r>
      <w:r>
        <w:rPr>
          <w:sz w:val="22"/>
        </w:rPr>
        <w:t>accomplish</w:t>
      </w:r>
      <w:r>
        <w:rPr>
          <w:spacing w:val="-8"/>
          <w:sz w:val="22"/>
        </w:rPr>
        <w:t> </w:t>
      </w:r>
      <w:r>
        <w:rPr>
          <w:spacing w:val="-2"/>
          <w:sz w:val="22"/>
        </w:rPr>
        <w:t>rehabilitation.</w:t>
      </w:r>
    </w:p>
    <w:p>
      <w:pPr>
        <w:spacing w:before="234"/>
        <w:ind w:left="359" w:right="0" w:firstLine="0"/>
        <w:jc w:val="left"/>
        <w:rPr>
          <w:rFonts w:ascii="Arial"/>
          <w:i/>
          <w:sz w:val="22"/>
        </w:rPr>
      </w:pPr>
      <w:bookmarkStart w:name="FW-GDL-SCE-05. Vegetation Management" w:id="505"/>
      <w:bookmarkEnd w:id="505"/>
      <w:r>
        <w:rPr/>
      </w:r>
      <w:r>
        <w:rPr>
          <w:rFonts w:ascii="Arial"/>
          <w:i/>
          <w:sz w:val="22"/>
        </w:rPr>
        <w:t>FW-GDL-SCE-05.</w:t>
      </w:r>
      <w:r>
        <w:rPr>
          <w:rFonts w:ascii="Arial"/>
          <w:i/>
          <w:spacing w:val="-11"/>
          <w:sz w:val="22"/>
        </w:rPr>
        <w:t> </w:t>
      </w:r>
      <w:r>
        <w:rPr>
          <w:rFonts w:ascii="Arial"/>
          <w:i/>
          <w:sz w:val="22"/>
        </w:rPr>
        <w:t>Vegetation</w:t>
      </w:r>
      <w:r>
        <w:rPr>
          <w:rFonts w:ascii="Arial"/>
          <w:i/>
          <w:spacing w:val="-10"/>
          <w:sz w:val="22"/>
        </w:rPr>
        <w:t> </w:t>
      </w:r>
      <w:r>
        <w:rPr>
          <w:rFonts w:ascii="Arial"/>
          <w:i/>
          <w:spacing w:val="-2"/>
          <w:sz w:val="22"/>
        </w:rPr>
        <w:t>Management</w:t>
      </w:r>
    </w:p>
    <w:p>
      <w:pPr>
        <w:pStyle w:val="BodyText"/>
        <w:spacing w:line="232" w:lineRule="auto" w:before="65"/>
        <w:ind w:left="359" w:right="1445"/>
      </w:pPr>
      <w:r>
        <w:rPr/>
        <w:t>Plan,</w:t>
      </w:r>
      <w:r>
        <w:rPr>
          <w:spacing w:val="-3"/>
        </w:rPr>
        <w:t> </w:t>
      </w:r>
      <w:r>
        <w:rPr/>
        <w:t>design,</w:t>
      </w:r>
      <w:r>
        <w:rPr>
          <w:spacing w:val="-3"/>
        </w:rPr>
        <w:t> </w:t>
      </w:r>
      <w:r>
        <w:rPr/>
        <w:t>and</w:t>
      </w:r>
      <w:r>
        <w:rPr>
          <w:spacing w:val="-4"/>
        </w:rPr>
        <w:t> </w:t>
      </w:r>
      <w:r>
        <w:rPr/>
        <w:t>locate</w:t>
      </w:r>
      <w:r>
        <w:rPr>
          <w:spacing w:val="-2"/>
        </w:rPr>
        <w:t> </w:t>
      </w:r>
      <w:r>
        <w:rPr/>
        <w:t>vegetation</w:t>
      </w:r>
      <w:r>
        <w:rPr>
          <w:spacing w:val="-6"/>
        </w:rPr>
        <w:t> </w:t>
      </w:r>
      <w:r>
        <w:rPr/>
        <w:t>manipulation</w:t>
      </w:r>
      <w:r>
        <w:rPr>
          <w:spacing w:val="-6"/>
        </w:rPr>
        <w:t> </w:t>
      </w:r>
      <w:r>
        <w:rPr/>
        <w:t>on</w:t>
      </w:r>
      <w:r>
        <w:rPr>
          <w:spacing w:val="-4"/>
        </w:rPr>
        <w:t> </w:t>
      </w:r>
      <w:r>
        <w:rPr/>
        <w:t>a</w:t>
      </w:r>
      <w:r>
        <w:rPr>
          <w:spacing w:val="-5"/>
        </w:rPr>
        <w:t> </w:t>
      </w:r>
      <w:r>
        <w:rPr/>
        <w:t>scale</w:t>
      </w:r>
      <w:r>
        <w:rPr>
          <w:spacing w:val="-2"/>
        </w:rPr>
        <w:t> </w:t>
      </w:r>
      <w:r>
        <w:rPr/>
        <w:t>that</w:t>
      </w:r>
      <w:r>
        <w:rPr>
          <w:spacing w:val="-5"/>
        </w:rPr>
        <w:t> </w:t>
      </w:r>
      <w:r>
        <w:rPr/>
        <w:t>retains</w:t>
      </w:r>
      <w:r>
        <w:rPr>
          <w:spacing w:val="-5"/>
        </w:rPr>
        <w:t> </w:t>
      </w:r>
      <w:r>
        <w:rPr/>
        <w:t>the</w:t>
      </w:r>
      <w:r>
        <w:rPr>
          <w:spacing w:val="-2"/>
        </w:rPr>
        <w:t> </w:t>
      </w:r>
      <w:r>
        <w:rPr/>
        <w:t>color</w:t>
      </w:r>
      <w:r>
        <w:rPr>
          <w:spacing w:val="-5"/>
        </w:rPr>
        <w:t> </w:t>
      </w:r>
      <w:r>
        <w:rPr/>
        <w:t>and</w:t>
      </w:r>
      <w:r>
        <w:rPr>
          <w:spacing w:val="-4"/>
        </w:rPr>
        <w:t> </w:t>
      </w:r>
      <w:r>
        <w:rPr/>
        <w:t>texture</w:t>
      </w:r>
      <w:r>
        <w:rPr>
          <w:spacing w:val="-5"/>
        </w:rPr>
        <w:t> </w:t>
      </w:r>
      <w:r>
        <w:rPr/>
        <w:t>of the</w:t>
      </w:r>
      <w:r>
        <w:rPr>
          <w:spacing w:val="-10"/>
        </w:rPr>
        <w:t> </w:t>
      </w:r>
      <w:r>
        <w:rPr/>
        <w:t>landscape</w:t>
      </w:r>
      <w:r>
        <w:rPr>
          <w:spacing w:val="-8"/>
        </w:rPr>
        <w:t> </w:t>
      </w:r>
      <w:r>
        <w:rPr/>
        <w:t>character,</w:t>
      </w:r>
      <w:r>
        <w:rPr>
          <w:spacing w:val="-10"/>
        </w:rPr>
        <w:t> </w:t>
      </w:r>
      <w:r>
        <w:rPr/>
        <w:t>borrowing</w:t>
      </w:r>
      <w:r>
        <w:rPr>
          <w:spacing w:val="-10"/>
        </w:rPr>
        <w:t> </w:t>
      </w:r>
      <w:r>
        <w:rPr/>
        <w:t>directional</w:t>
      </w:r>
      <w:r>
        <w:rPr>
          <w:spacing w:val="-9"/>
        </w:rPr>
        <w:t> </w:t>
      </w:r>
      <w:r>
        <w:rPr/>
        <w:t>emphasis</w:t>
      </w:r>
      <w:r>
        <w:rPr>
          <w:spacing w:val="-8"/>
        </w:rPr>
        <w:t> </w:t>
      </w:r>
      <w:r>
        <w:rPr/>
        <w:t>of</w:t>
      </w:r>
      <w:r>
        <w:rPr>
          <w:spacing w:val="-9"/>
        </w:rPr>
        <w:t> </w:t>
      </w:r>
      <w:r>
        <w:rPr/>
        <w:t>form</w:t>
      </w:r>
      <w:r>
        <w:rPr>
          <w:spacing w:val="-8"/>
        </w:rPr>
        <w:t> </w:t>
      </w:r>
      <w:r>
        <w:rPr/>
        <w:t>and</w:t>
      </w:r>
      <w:r>
        <w:rPr>
          <w:spacing w:val="-9"/>
        </w:rPr>
        <w:t> </w:t>
      </w:r>
      <w:r>
        <w:rPr/>
        <w:t>line</w:t>
      </w:r>
      <w:r>
        <w:rPr>
          <w:spacing w:val="-10"/>
        </w:rPr>
        <w:t> </w:t>
      </w:r>
      <w:r>
        <w:rPr/>
        <w:t>from</w:t>
      </w:r>
      <w:r>
        <w:rPr>
          <w:spacing w:val="-10"/>
        </w:rPr>
        <w:t> </w:t>
      </w:r>
      <w:r>
        <w:rPr/>
        <w:t>natural</w:t>
      </w:r>
      <w:r>
        <w:rPr>
          <w:spacing w:val="-8"/>
        </w:rPr>
        <w:t> </w:t>
      </w:r>
      <w:r>
        <w:rPr>
          <w:spacing w:val="-2"/>
        </w:rPr>
        <w:t>features.</w:t>
      </w:r>
    </w:p>
    <w:p>
      <w:pPr>
        <w:spacing w:before="234"/>
        <w:ind w:left="359" w:right="0" w:firstLine="0"/>
        <w:jc w:val="left"/>
        <w:rPr>
          <w:rFonts w:ascii="Arial"/>
          <w:i/>
          <w:sz w:val="22"/>
        </w:rPr>
      </w:pPr>
      <w:bookmarkStart w:name="FW-GDL-SCE-06. Nationally Designated Tra" w:id="506"/>
      <w:bookmarkEnd w:id="506"/>
      <w:r>
        <w:rPr/>
      </w:r>
      <w:r>
        <w:rPr>
          <w:rFonts w:ascii="Arial"/>
          <w:i/>
          <w:sz w:val="22"/>
        </w:rPr>
        <w:t>FW-GDL-SCE-06.</w:t>
      </w:r>
      <w:r>
        <w:rPr>
          <w:rFonts w:ascii="Arial"/>
          <w:i/>
          <w:spacing w:val="-12"/>
          <w:sz w:val="22"/>
        </w:rPr>
        <w:t> </w:t>
      </w:r>
      <w:r>
        <w:rPr>
          <w:rFonts w:ascii="Arial"/>
          <w:i/>
          <w:sz w:val="22"/>
        </w:rPr>
        <w:t>Nationally</w:t>
      </w:r>
      <w:r>
        <w:rPr>
          <w:rFonts w:ascii="Arial"/>
          <w:i/>
          <w:spacing w:val="-10"/>
          <w:sz w:val="22"/>
        </w:rPr>
        <w:t> </w:t>
      </w:r>
      <w:r>
        <w:rPr>
          <w:rFonts w:ascii="Arial"/>
          <w:i/>
          <w:sz w:val="22"/>
        </w:rPr>
        <w:t>Designated</w:t>
      </w:r>
      <w:r>
        <w:rPr>
          <w:rFonts w:ascii="Arial"/>
          <w:i/>
          <w:spacing w:val="-10"/>
          <w:sz w:val="22"/>
        </w:rPr>
        <w:t> </w:t>
      </w:r>
      <w:r>
        <w:rPr>
          <w:rFonts w:ascii="Arial"/>
          <w:i/>
          <w:spacing w:val="-2"/>
          <w:sz w:val="22"/>
        </w:rPr>
        <w:t>Trails</w:t>
      </w:r>
    </w:p>
    <w:p>
      <w:pPr>
        <w:pStyle w:val="BodyText"/>
        <w:spacing w:line="232" w:lineRule="auto" w:before="65"/>
        <w:ind w:left="359" w:right="1969"/>
        <w:jc w:val="both"/>
      </w:pPr>
      <w:r>
        <w:rPr/>
        <w:t>National</w:t>
      </w:r>
      <w:r>
        <w:rPr>
          <w:spacing w:val="-7"/>
        </w:rPr>
        <w:t> </w:t>
      </w:r>
      <w:r>
        <w:rPr/>
        <w:t>recreation</w:t>
      </w:r>
      <w:r>
        <w:rPr>
          <w:spacing w:val="-9"/>
        </w:rPr>
        <w:t> </w:t>
      </w:r>
      <w:r>
        <w:rPr/>
        <w:t>trails</w:t>
      </w:r>
      <w:r>
        <w:rPr>
          <w:spacing w:val="-7"/>
        </w:rPr>
        <w:t> </w:t>
      </w:r>
      <w:r>
        <w:rPr/>
        <w:t>and</w:t>
      </w:r>
      <w:r>
        <w:rPr>
          <w:spacing w:val="-7"/>
        </w:rPr>
        <w:t> </w:t>
      </w:r>
      <w:r>
        <w:rPr/>
        <w:t>the</w:t>
      </w:r>
      <w:r>
        <w:rPr>
          <w:spacing w:val="-6"/>
        </w:rPr>
        <w:t> </w:t>
      </w:r>
      <w:r>
        <w:rPr/>
        <w:t>Pacific</w:t>
      </w:r>
      <w:r>
        <w:rPr>
          <w:spacing w:val="-7"/>
        </w:rPr>
        <w:t> </w:t>
      </w:r>
      <w:r>
        <w:rPr/>
        <w:t>Northwest</w:t>
      </w:r>
      <w:r>
        <w:rPr>
          <w:spacing w:val="-6"/>
        </w:rPr>
        <w:t> </w:t>
      </w:r>
      <w:r>
        <w:rPr/>
        <w:t>National</w:t>
      </w:r>
      <w:r>
        <w:rPr>
          <w:spacing w:val="-7"/>
        </w:rPr>
        <w:t> </w:t>
      </w:r>
      <w:r>
        <w:rPr/>
        <w:t>Scenic</w:t>
      </w:r>
      <w:r>
        <w:rPr>
          <w:spacing w:val="-7"/>
        </w:rPr>
        <w:t> </w:t>
      </w:r>
      <w:r>
        <w:rPr/>
        <w:t>Trail</w:t>
      </w:r>
      <w:r>
        <w:rPr>
          <w:spacing w:val="-9"/>
        </w:rPr>
        <w:t> </w:t>
      </w:r>
      <w:r>
        <w:rPr/>
        <w:t>on</w:t>
      </w:r>
      <w:r>
        <w:rPr>
          <w:spacing w:val="-7"/>
        </w:rPr>
        <w:t> </w:t>
      </w:r>
      <w:r>
        <w:rPr/>
        <w:t>National</w:t>
      </w:r>
      <w:r>
        <w:rPr>
          <w:spacing w:val="-7"/>
        </w:rPr>
        <w:t> </w:t>
      </w:r>
      <w:r>
        <w:rPr/>
        <w:t>Forest System</w:t>
      </w:r>
      <w:r>
        <w:rPr>
          <w:spacing w:val="-3"/>
        </w:rPr>
        <w:t> </w:t>
      </w:r>
      <w:r>
        <w:rPr/>
        <w:t>lands</w:t>
      </w:r>
      <w:r>
        <w:rPr>
          <w:spacing w:val="-6"/>
        </w:rPr>
        <w:t> </w:t>
      </w:r>
      <w:r>
        <w:rPr/>
        <w:t>will</w:t>
      </w:r>
      <w:r>
        <w:rPr>
          <w:spacing w:val="-4"/>
        </w:rPr>
        <w:t> </w:t>
      </w:r>
      <w:r>
        <w:rPr/>
        <w:t>be</w:t>
      </w:r>
      <w:r>
        <w:rPr>
          <w:spacing w:val="-6"/>
        </w:rPr>
        <w:t> </w:t>
      </w:r>
      <w:r>
        <w:rPr/>
        <w:t>managed</w:t>
      </w:r>
      <w:r>
        <w:rPr>
          <w:spacing w:val="-5"/>
        </w:rPr>
        <w:t> </w:t>
      </w:r>
      <w:r>
        <w:rPr/>
        <w:t>for</w:t>
      </w:r>
      <w:r>
        <w:rPr>
          <w:spacing w:val="-4"/>
        </w:rPr>
        <w:t> </w:t>
      </w:r>
      <w:r>
        <w:rPr/>
        <w:t>high</w:t>
      </w:r>
      <w:r>
        <w:rPr>
          <w:spacing w:val="-4"/>
        </w:rPr>
        <w:t> </w:t>
      </w:r>
      <w:r>
        <w:rPr/>
        <w:t>SIO</w:t>
      </w:r>
      <w:r>
        <w:rPr>
          <w:spacing w:val="-6"/>
        </w:rPr>
        <w:t> </w:t>
      </w:r>
      <w:r>
        <w:rPr/>
        <w:t>in</w:t>
      </w:r>
      <w:r>
        <w:rPr>
          <w:spacing w:val="-5"/>
        </w:rPr>
        <w:t> </w:t>
      </w:r>
      <w:r>
        <w:rPr/>
        <w:t>the</w:t>
      </w:r>
      <w:r>
        <w:rPr>
          <w:spacing w:val="-6"/>
        </w:rPr>
        <w:t> </w:t>
      </w:r>
      <w:r>
        <w:rPr/>
        <w:t>seen</w:t>
      </w:r>
      <w:r>
        <w:rPr>
          <w:spacing w:val="-7"/>
        </w:rPr>
        <w:t> </w:t>
      </w:r>
      <w:r>
        <w:rPr/>
        <w:t>area</w:t>
      </w:r>
      <w:r>
        <w:rPr>
          <w:spacing w:val="-4"/>
        </w:rPr>
        <w:t> </w:t>
      </w:r>
      <w:r>
        <w:rPr/>
        <w:t>from</w:t>
      </w:r>
      <w:r>
        <w:rPr>
          <w:spacing w:val="-5"/>
        </w:rPr>
        <w:t> </w:t>
      </w:r>
      <w:r>
        <w:rPr/>
        <w:t>the</w:t>
      </w:r>
      <w:r>
        <w:rPr>
          <w:spacing w:val="-3"/>
        </w:rPr>
        <w:t> </w:t>
      </w:r>
      <w:r>
        <w:rPr/>
        <w:t>foreground</w:t>
      </w:r>
      <w:r>
        <w:rPr>
          <w:spacing w:val="-7"/>
        </w:rPr>
        <w:t> </w:t>
      </w:r>
      <w:r>
        <w:rPr/>
        <w:t>of</w:t>
      </w:r>
      <w:r>
        <w:rPr>
          <w:spacing w:val="-4"/>
        </w:rPr>
        <w:t> </w:t>
      </w:r>
      <w:r>
        <w:rPr/>
        <w:t>the</w:t>
      </w:r>
      <w:r>
        <w:rPr>
          <w:spacing w:val="-3"/>
        </w:rPr>
        <w:t> </w:t>
      </w:r>
      <w:r>
        <w:rPr/>
        <w:t>trail </w:t>
      </w:r>
      <w:r>
        <w:rPr>
          <w:spacing w:val="-2"/>
        </w:rPr>
        <w:t>zone.</w:t>
      </w:r>
    </w:p>
    <w:p>
      <w:pPr>
        <w:pStyle w:val="Heading3"/>
        <w:spacing w:before="234"/>
        <w:ind w:left="360"/>
        <w:jc w:val="both"/>
      </w:pPr>
      <w:bookmarkStart w:name="Integrated Pest Management (IPM)" w:id="507"/>
      <w:bookmarkEnd w:id="507"/>
      <w:r>
        <w:rPr>
          <w:b w:val="0"/>
        </w:rPr>
      </w:r>
      <w:bookmarkStart w:name="_bookmark159" w:id="508"/>
      <w:bookmarkEnd w:id="508"/>
      <w:r>
        <w:rPr>
          <w:b w:val="0"/>
        </w:rPr>
      </w:r>
      <w:r>
        <w:rPr>
          <w:smallCaps/>
          <w:color w:val="475824"/>
        </w:rPr>
        <w:t>Integrated</w:t>
      </w:r>
      <w:r>
        <w:rPr>
          <w:smallCaps/>
          <w:color w:val="475824"/>
          <w:spacing w:val="-6"/>
        </w:rPr>
        <w:t> </w:t>
      </w:r>
      <w:r>
        <w:rPr>
          <w:smallCaps/>
          <w:color w:val="475824"/>
        </w:rPr>
        <w:t>Pest</w:t>
      </w:r>
      <w:r>
        <w:rPr>
          <w:smallCaps/>
          <w:color w:val="475824"/>
          <w:spacing w:val="-7"/>
        </w:rPr>
        <w:t> </w:t>
      </w:r>
      <w:r>
        <w:rPr>
          <w:smallCaps/>
          <w:color w:val="475824"/>
        </w:rPr>
        <w:t>Management</w:t>
      </w:r>
      <w:r>
        <w:rPr>
          <w:smallCaps/>
          <w:color w:val="475824"/>
          <w:spacing w:val="-7"/>
        </w:rPr>
        <w:t> </w:t>
      </w:r>
      <w:r>
        <w:rPr>
          <w:smallCaps/>
          <w:color w:val="475824"/>
          <w:spacing w:val="-4"/>
        </w:rPr>
        <w:t>(IPM)</w:t>
      </w:r>
    </w:p>
    <w:p>
      <w:pPr>
        <w:pStyle w:val="BodyText"/>
        <w:spacing w:before="4"/>
        <w:rPr>
          <w:rFonts w:ascii="Arial"/>
          <w:b/>
          <w:sz w:val="8"/>
        </w:rPr>
      </w:pPr>
      <w:r>
        <w:rPr>
          <w:rFonts w:ascii="Arial"/>
          <w:b/>
          <w:sz w:val="8"/>
        </w:rPr>
        <mc:AlternateContent>
          <mc:Choice Requires="wps">
            <w:drawing>
              <wp:anchor distT="0" distB="0" distL="0" distR="0" allowOverlap="1" layoutInCell="1" locked="0" behindDoc="1" simplePos="0" relativeHeight="487619584">
                <wp:simplePos x="0" y="0"/>
                <wp:positionH relativeFrom="page">
                  <wp:posOffset>1124711</wp:posOffset>
                </wp:positionH>
                <wp:positionV relativeFrom="paragraph">
                  <wp:posOffset>76343</wp:posOffset>
                </wp:positionV>
                <wp:extent cx="5248910" cy="1193800"/>
                <wp:effectExtent l="0" t="0" r="0" b="0"/>
                <wp:wrapTopAndBottom/>
                <wp:docPr id="190" name="Textbox 190"/>
                <wp:cNvGraphicFramePr>
                  <a:graphicFrameLocks/>
                </wp:cNvGraphicFramePr>
                <a:graphic>
                  <a:graphicData uri="http://schemas.microsoft.com/office/word/2010/wordprocessingShape">
                    <wps:wsp>
                      <wps:cNvPr id="190" name="Textbox 190"/>
                      <wps:cNvSpPr txBox="1"/>
                      <wps:spPr>
                        <a:xfrm>
                          <a:off x="0" y="0"/>
                          <a:ext cx="5248910" cy="1193800"/>
                        </a:xfrm>
                        <a:prstGeom prst="rect">
                          <a:avLst/>
                        </a:prstGeom>
                        <a:solidFill>
                          <a:srgbClr val="DFDFDF"/>
                        </a:solidFill>
                      </wps:spPr>
                      <wps:txbx>
                        <w:txbxContent>
                          <w:p>
                            <w:pPr>
                              <w:pStyle w:val="BodyText"/>
                              <w:ind w:left="28"/>
                              <w:rPr>
                                <w:color w:val="000000"/>
                              </w:rPr>
                            </w:pPr>
                            <w:r>
                              <w:rPr>
                                <w:color w:val="000000"/>
                              </w:rPr>
                              <w:t>Integrated pest management is needed on the Colville National Forest, often for invasive species and sometimes also for native pest species (for example bark beetles). We plan for response to damaging pests at programmatic and/or project levels to be able to rapidly respond to new outbreaks and infestations before they have the potential for widespread damage. The management direction in this section applies to all management areas forestwide,</w:t>
                            </w:r>
                            <w:r>
                              <w:rPr>
                                <w:color w:val="000000"/>
                                <w:spacing w:val="-5"/>
                              </w:rPr>
                              <w:t> </w:t>
                            </w:r>
                            <w:r>
                              <w:rPr>
                                <w:color w:val="000000"/>
                              </w:rPr>
                              <w:t>additional</w:t>
                            </w:r>
                            <w:r>
                              <w:rPr>
                                <w:color w:val="000000"/>
                                <w:spacing w:val="-5"/>
                              </w:rPr>
                              <w:t> </w:t>
                            </w:r>
                            <w:r>
                              <w:rPr>
                                <w:color w:val="000000"/>
                              </w:rPr>
                              <w:t>management</w:t>
                            </w:r>
                            <w:r>
                              <w:rPr>
                                <w:color w:val="000000"/>
                                <w:spacing w:val="-2"/>
                              </w:rPr>
                              <w:t> </w:t>
                            </w:r>
                            <w:r>
                              <w:rPr>
                                <w:color w:val="000000"/>
                              </w:rPr>
                              <w:t>area</w:t>
                            </w:r>
                            <w:r>
                              <w:rPr>
                                <w:color w:val="000000"/>
                                <w:spacing w:val="-5"/>
                              </w:rPr>
                              <w:t> </w:t>
                            </w:r>
                            <w:r>
                              <w:rPr>
                                <w:color w:val="000000"/>
                              </w:rPr>
                              <w:t>direction</w:t>
                            </w:r>
                            <w:r>
                              <w:rPr>
                                <w:color w:val="000000"/>
                                <w:spacing w:val="-6"/>
                              </w:rPr>
                              <w:t> </w:t>
                            </w:r>
                            <w:r>
                              <w:rPr>
                                <w:color w:val="000000"/>
                              </w:rPr>
                              <w:t>may</w:t>
                            </w:r>
                            <w:r>
                              <w:rPr>
                                <w:color w:val="000000"/>
                                <w:spacing w:val="-2"/>
                              </w:rPr>
                              <w:t> </w:t>
                            </w:r>
                            <w:r>
                              <w:rPr>
                                <w:color w:val="000000"/>
                              </w:rPr>
                              <w:t>be</w:t>
                            </w:r>
                            <w:r>
                              <w:rPr>
                                <w:color w:val="000000"/>
                                <w:spacing w:val="-2"/>
                              </w:rPr>
                              <w:t> </w:t>
                            </w:r>
                            <w:r>
                              <w:rPr>
                                <w:color w:val="000000"/>
                              </w:rPr>
                              <w:t>found</w:t>
                            </w:r>
                            <w:r>
                              <w:rPr>
                                <w:color w:val="000000"/>
                                <w:spacing w:val="-4"/>
                              </w:rPr>
                              <w:t> </w:t>
                            </w:r>
                            <w:r>
                              <w:rPr>
                                <w:color w:val="000000"/>
                              </w:rPr>
                              <w:t>within</w:t>
                            </w:r>
                            <w:r>
                              <w:rPr>
                                <w:color w:val="000000"/>
                                <w:spacing w:val="-6"/>
                              </w:rPr>
                              <w:t> </w:t>
                            </w:r>
                            <w:r>
                              <w:rPr>
                                <w:color w:val="000000"/>
                              </w:rPr>
                              <w:t>other</w:t>
                            </w:r>
                            <w:r>
                              <w:rPr>
                                <w:color w:val="000000"/>
                                <w:spacing w:val="-5"/>
                              </w:rPr>
                              <w:t> </w:t>
                            </w:r>
                            <w:r>
                              <w:rPr>
                                <w:color w:val="000000"/>
                              </w:rPr>
                              <w:t>management areas in chapter 3.</w:t>
                            </w:r>
                          </w:p>
                        </w:txbxContent>
                      </wps:txbx>
                      <wps:bodyPr wrap="square" lIns="0" tIns="0" rIns="0" bIns="0" rtlCol="0">
                        <a:noAutofit/>
                      </wps:bodyPr>
                    </wps:wsp>
                  </a:graphicData>
                </a:graphic>
              </wp:anchor>
            </w:drawing>
          </mc:Choice>
          <mc:Fallback>
            <w:pict>
              <v:shape style="position:absolute;margin-left:88.559998pt;margin-top:6.011338pt;width:413.3pt;height:94pt;mso-position-horizontal-relative:page;mso-position-vertical-relative:paragraph;z-index:-15696896;mso-wrap-distance-left:0;mso-wrap-distance-right:0" type="#_x0000_t202" id="docshape178" filled="true" fillcolor="#dfdfdf" stroked="false">
                <v:textbox inset="0,0,0,0">
                  <w:txbxContent>
                    <w:p>
                      <w:pPr>
                        <w:pStyle w:val="BodyText"/>
                        <w:ind w:left="28"/>
                        <w:rPr>
                          <w:color w:val="000000"/>
                        </w:rPr>
                      </w:pPr>
                      <w:r>
                        <w:rPr>
                          <w:color w:val="000000"/>
                        </w:rPr>
                        <w:t>Integrated pest management is needed on the Colville National Forest, often for invasive species and sometimes also for native pest species (for example bark beetles). We plan for response to damaging pests at programmatic and/or project levels to be able to rapidly respond to new outbreaks and infestations before they have the potential for widespread damage. The management direction in this section applies to all management areas forestwide,</w:t>
                      </w:r>
                      <w:r>
                        <w:rPr>
                          <w:color w:val="000000"/>
                          <w:spacing w:val="-5"/>
                        </w:rPr>
                        <w:t> </w:t>
                      </w:r>
                      <w:r>
                        <w:rPr>
                          <w:color w:val="000000"/>
                        </w:rPr>
                        <w:t>additional</w:t>
                      </w:r>
                      <w:r>
                        <w:rPr>
                          <w:color w:val="000000"/>
                          <w:spacing w:val="-5"/>
                        </w:rPr>
                        <w:t> </w:t>
                      </w:r>
                      <w:r>
                        <w:rPr>
                          <w:color w:val="000000"/>
                        </w:rPr>
                        <w:t>management</w:t>
                      </w:r>
                      <w:r>
                        <w:rPr>
                          <w:color w:val="000000"/>
                          <w:spacing w:val="-2"/>
                        </w:rPr>
                        <w:t> </w:t>
                      </w:r>
                      <w:r>
                        <w:rPr>
                          <w:color w:val="000000"/>
                        </w:rPr>
                        <w:t>area</w:t>
                      </w:r>
                      <w:r>
                        <w:rPr>
                          <w:color w:val="000000"/>
                          <w:spacing w:val="-5"/>
                        </w:rPr>
                        <w:t> </w:t>
                      </w:r>
                      <w:r>
                        <w:rPr>
                          <w:color w:val="000000"/>
                        </w:rPr>
                        <w:t>direction</w:t>
                      </w:r>
                      <w:r>
                        <w:rPr>
                          <w:color w:val="000000"/>
                          <w:spacing w:val="-6"/>
                        </w:rPr>
                        <w:t> </w:t>
                      </w:r>
                      <w:r>
                        <w:rPr>
                          <w:color w:val="000000"/>
                        </w:rPr>
                        <w:t>may</w:t>
                      </w:r>
                      <w:r>
                        <w:rPr>
                          <w:color w:val="000000"/>
                          <w:spacing w:val="-2"/>
                        </w:rPr>
                        <w:t> </w:t>
                      </w:r>
                      <w:r>
                        <w:rPr>
                          <w:color w:val="000000"/>
                        </w:rPr>
                        <w:t>be</w:t>
                      </w:r>
                      <w:r>
                        <w:rPr>
                          <w:color w:val="000000"/>
                          <w:spacing w:val="-2"/>
                        </w:rPr>
                        <w:t> </w:t>
                      </w:r>
                      <w:r>
                        <w:rPr>
                          <w:color w:val="000000"/>
                        </w:rPr>
                        <w:t>found</w:t>
                      </w:r>
                      <w:r>
                        <w:rPr>
                          <w:color w:val="000000"/>
                          <w:spacing w:val="-4"/>
                        </w:rPr>
                        <w:t> </w:t>
                      </w:r>
                      <w:r>
                        <w:rPr>
                          <w:color w:val="000000"/>
                        </w:rPr>
                        <w:t>within</w:t>
                      </w:r>
                      <w:r>
                        <w:rPr>
                          <w:color w:val="000000"/>
                          <w:spacing w:val="-6"/>
                        </w:rPr>
                        <w:t> </w:t>
                      </w:r>
                      <w:r>
                        <w:rPr>
                          <w:color w:val="000000"/>
                        </w:rPr>
                        <w:t>other</w:t>
                      </w:r>
                      <w:r>
                        <w:rPr>
                          <w:color w:val="000000"/>
                          <w:spacing w:val="-5"/>
                        </w:rPr>
                        <w:t> </w:t>
                      </w:r>
                      <w:r>
                        <w:rPr>
                          <w:color w:val="000000"/>
                        </w:rPr>
                        <w:t>management areas in chapter 3.</w:t>
                      </w:r>
                    </w:p>
                  </w:txbxContent>
                </v:textbox>
                <v:fill type="solid"/>
                <w10:wrap type="topAndBottom"/>
              </v:shape>
            </w:pict>
          </mc:Fallback>
        </mc:AlternateContent>
      </w:r>
    </w:p>
    <w:p>
      <w:pPr>
        <w:pStyle w:val="Heading4"/>
        <w:spacing w:before="240"/>
      </w:pPr>
      <w:bookmarkStart w:name="Desired Condition" w:id="509"/>
      <w:bookmarkEnd w:id="509"/>
      <w:r>
        <w:rPr/>
      </w:r>
      <w:bookmarkStart w:name="_bookmark160" w:id="510"/>
      <w:bookmarkEnd w:id="510"/>
      <w:r>
        <w:rPr/>
      </w:r>
      <w:r>
        <w:rPr/>
        <w:t>Desired</w:t>
      </w:r>
      <w:r>
        <w:rPr>
          <w:spacing w:val="-4"/>
        </w:rPr>
        <w:t> </w:t>
      </w:r>
      <w:r>
        <w:rPr>
          <w:spacing w:val="-2"/>
        </w:rPr>
        <w:t>Condition</w:t>
      </w:r>
    </w:p>
    <w:p>
      <w:pPr>
        <w:spacing w:before="240"/>
        <w:ind w:left="360" w:right="0" w:firstLine="0"/>
        <w:jc w:val="left"/>
        <w:rPr>
          <w:rFonts w:ascii="Arial"/>
          <w:i/>
          <w:sz w:val="22"/>
        </w:rPr>
      </w:pPr>
      <w:bookmarkStart w:name="FW-DC-IPM-01. Integrated Pest Management" w:id="511"/>
      <w:bookmarkEnd w:id="511"/>
      <w:r>
        <w:rPr/>
      </w:r>
      <w:r>
        <w:rPr>
          <w:rFonts w:ascii="Arial"/>
          <w:i/>
          <w:sz w:val="22"/>
        </w:rPr>
        <w:t>FW-DC-IPM-01.</w:t>
      </w:r>
      <w:r>
        <w:rPr>
          <w:rFonts w:ascii="Arial"/>
          <w:i/>
          <w:spacing w:val="-9"/>
          <w:sz w:val="22"/>
        </w:rPr>
        <w:t> </w:t>
      </w:r>
      <w:r>
        <w:rPr>
          <w:rFonts w:ascii="Arial"/>
          <w:i/>
          <w:sz w:val="22"/>
        </w:rPr>
        <w:t>Integrated</w:t>
      </w:r>
      <w:r>
        <w:rPr>
          <w:rFonts w:ascii="Arial"/>
          <w:i/>
          <w:spacing w:val="-7"/>
          <w:sz w:val="22"/>
        </w:rPr>
        <w:t> </w:t>
      </w:r>
      <w:r>
        <w:rPr>
          <w:rFonts w:ascii="Arial"/>
          <w:i/>
          <w:sz w:val="22"/>
        </w:rPr>
        <w:t>Pest</w:t>
      </w:r>
      <w:r>
        <w:rPr>
          <w:rFonts w:ascii="Arial"/>
          <w:i/>
          <w:spacing w:val="-7"/>
          <w:sz w:val="22"/>
        </w:rPr>
        <w:t> </w:t>
      </w:r>
      <w:r>
        <w:rPr>
          <w:rFonts w:ascii="Arial"/>
          <w:i/>
          <w:spacing w:val="-2"/>
          <w:sz w:val="22"/>
        </w:rPr>
        <w:t>Management</w:t>
      </w:r>
    </w:p>
    <w:p>
      <w:pPr>
        <w:pStyle w:val="BodyText"/>
        <w:spacing w:line="232" w:lineRule="auto" w:before="64"/>
        <w:ind w:left="360" w:right="1621"/>
      </w:pPr>
      <w:r>
        <w:rPr/>
        <w:t>Unwanted plant, animal (vertebrate and invertebrate), and pathogen species are prevented, suppressed,</w:t>
      </w:r>
      <w:r>
        <w:rPr>
          <w:spacing w:val="-1"/>
        </w:rPr>
        <w:t> </w:t>
      </w:r>
      <w:r>
        <w:rPr/>
        <w:t>contained,</w:t>
      </w:r>
      <w:r>
        <w:rPr>
          <w:spacing w:val="-1"/>
        </w:rPr>
        <w:t> </w:t>
      </w:r>
      <w:r>
        <w:rPr/>
        <w:t>controlled</w:t>
      </w:r>
      <w:r>
        <w:rPr>
          <w:spacing w:val="-4"/>
        </w:rPr>
        <w:t> </w:t>
      </w:r>
      <w:r>
        <w:rPr/>
        <w:t>or</w:t>
      </w:r>
      <w:r>
        <w:rPr>
          <w:spacing w:val="-1"/>
        </w:rPr>
        <w:t> </w:t>
      </w:r>
      <w:r>
        <w:rPr/>
        <w:t>eradicated.</w:t>
      </w:r>
      <w:r>
        <w:rPr>
          <w:spacing w:val="-1"/>
        </w:rPr>
        <w:t> </w:t>
      </w:r>
      <w:r>
        <w:rPr/>
        <w:t>Native insects</w:t>
      </w:r>
      <w:r>
        <w:rPr>
          <w:spacing w:val="-1"/>
        </w:rPr>
        <w:t> </w:t>
      </w:r>
      <w:r>
        <w:rPr/>
        <w:t>and</w:t>
      </w:r>
      <w:r>
        <w:rPr>
          <w:spacing w:val="-2"/>
        </w:rPr>
        <w:t> </w:t>
      </w:r>
      <w:r>
        <w:rPr/>
        <w:t>plant and</w:t>
      </w:r>
      <w:r>
        <w:rPr>
          <w:spacing w:val="-2"/>
        </w:rPr>
        <w:t> </w:t>
      </w:r>
      <w:r>
        <w:rPr/>
        <w:t>animal</w:t>
      </w:r>
      <w:r>
        <w:rPr>
          <w:spacing w:val="-1"/>
        </w:rPr>
        <w:t> </w:t>
      </w:r>
      <w:r>
        <w:rPr/>
        <w:t>disease pathogens</w:t>
      </w:r>
      <w:r>
        <w:rPr>
          <w:spacing w:val="-6"/>
        </w:rPr>
        <w:t> </w:t>
      </w:r>
      <w:r>
        <w:rPr/>
        <w:t>exist</w:t>
      </w:r>
      <w:r>
        <w:rPr>
          <w:spacing w:val="-6"/>
        </w:rPr>
        <w:t> </w:t>
      </w:r>
      <w:r>
        <w:rPr/>
        <w:t>at</w:t>
      </w:r>
      <w:r>
        <w:rPr>
          <w:spacing w:val="-4"/>
        </w:rPr>
        <w:t> </w:t>
      </w:r>
      <w:r>
        <w:rPr/>
        <w:t>endemic</w:t>
      </w:r>
      <w:r>
        <w:rPr>
          <w:spacing w:val="-6"/>
        </w:rPr>
        <w:t> </w:t>
      </w:r>
      <w:r>
        <w:rPr/>
        <w:t>levels.</w:t>
      </w:r>
      <w:r>
        <w:rPr>
          <w:spacing w:val="-5"/>
        </w:rPr>
        <w:t> </w:t>
      </w:r>
      <w:r>
        <w:rPr/>
        <w:t>Forests</w:t>
      </w:r>
      <w:r>
        <w:rPr>
          <w:spacing w:val="-6"/>
        </w:rPr>
        <w:t> </w:t>
      </w:r>
      <w:r>
        <w:rPr/>
        <w:t>are</w:t>
      </w:r>
      <w:r>
        <w:rPr>
          <w:spacing w:val="-6"/>
        </w:rPr>
        <w:t> </w:t>
      </w:r>
      <w:r>
        <w:rPr/>
        <w:t>managed</w:t>
      </w:r>
      <w:r>
        <w:rPr>
          <w:spacing w:val="-6"/>
        </w:rPr>
        <w:t> </w:t>
      </w:r>
      <w:r>
        <w:rPr/>
        <w:t>for</w:t>
      </w:r>
      <w:r>
        <w:rPr>
          <w:spacing w:val="-5"/>
        </w:rPr>
        <w:t> </w:t>
      </w:r>
      <w:r>
        <w:rPr/>
        <w:t>resilience</w:t>
      </w:r>
      <w:r>
        <w:rPr>
          <w:spacing w:val="-4"/>
        </w:rPr>
        <w:t> </w:t>
      </w:r>
      <w:r>
        <w:rPr/>
        <w:t>to</w:t>
      </w:r>
      <w:r>
        <w:rPr>
          <w:spacing w:val="-4"/>
        </w:rPr>
        <w:t> </w:t>
      </w:r>
      <w:r>
        <w:rPr/>
        <w:t>pests</w:t>
      </w:r>
      <w:r>
        <w:rPr>
          <w:spacing w:val="-5"/>
        </w:rPr>
        <w:t> </w:t>
      </w:r>
      <w:r>
        <w:rPr/>
        <w:t>and</w:t>
      </w:r>
      <w:r>
        <w:rPr>
          <w:spacing w:val="-6"/>
        </w:rPr>
        <w:t> </w:t>
      </w:r>
      <w:r>
        <w:rPr/>
        <w:t>pathogens and to maintain native plant communities. Proactive pest response plans are prepared, or existing</w:t>
      </w:r>
      <w:r>
        <w:rPr>
          <w:spacing w:val="-7"/>
        </w:rPr>
        <w:t> </w:t>
      </w:r>
      <w:r>
        <w:rPr/>
        <w:t>plans</w:t>
      </w:r>
      <w:r>
        <w:rPr>
          <w:spacing w:val="-8"/>
        </w:rPr>
        <w:t> </w:t>
      </w:r>
      <w:r>
        <w:rPr/>
        <w:t>reviewed,</w:t>
      </w:r>
      <w:r>
        <w:rPr>
          <w:spacing w:val="-6"/>
        </w:rPr>
        <w:t> </w:t>
      </w:r>
      <w:r>
        <w:rPr/>
        <w:t>in</w:t>
      </w:r>
      <w:r>
        <w:rPr>
          <w:spacing w:val="-9"/>
        </w:rPr>
        <w:t> </w:t>
      </w:r>
      <w:r>
        <w:rPr/>
        <w:t>cooperation</w:t>
      </w:r>
      <w:r>
        <w:rPr>
          <w:spacing w:val="-9"/>
        </w:rPr>
        <w:t> </w:t>
      </w:r>
      <w:r>
        <w:rPr/>
        <w:t>with</w:t>
      </w:r>
      <w:r>
        <w:rPr>
          <w:spacing w:val="-7"/>
        </w:rPr>
        <w:t> </w:t>
      </w:r>
      <w:r>
        <w:rPr/>
        <w:t>partners,</w:t>
      </w:r>
      <w:r>
        <w:rPr>
          <w:spacing w:val="-8"/>
        </w:rPr>
        <w:t> </w:t>
      </w:r>
      <w:r>
        <w:rPr/>
        <w:t>to</w:t>
      </w:r>
      <w:r>
        <w:rPr>
          <w:spacing w:val="-5"/>
        </w:rPr>
        <w:t> </w:t>
      </w:r>
      <w:r>
        <w:rPr/>
        <w:t>facilitate</w:t>
      </w:r>
      <w:r>
        <w:rPr>
          <w:spacing w:val="-5"/>
        </w:rPr>
        <w:t> </w:t>
      </w:r>
      <w:r>
        <w:rPr/>
        <w:t>rapid</w:t>
      </w:r>
      <w:r>
        <w:rPr>
          <w:spacing w:val="-9"/>
        </w:rPr>
        <w:t> </w:t>
      </w:r>
      <w:r>
        <w:rPr/>
        <w:t>response</w:t>
      </w:r>
      <w:r>
        <w:rPr>
          <w:spacing w:val="-8"/>
        </w:rPr>
        <w:t> </w:t>
      </w:r>
      <w:r>
        <w:rPr/>
        <w:t>to</w:t>
      </w:r>
      <w:r>
        <w:rPr>
          <w:spacing w:val="-5"/>
        </w:rPr>
        <w:t> </w:t>
      </w:r>
      <w:r>
        <w:rPr/>
        <w:t>new</w:t>
      </w:r>
      <w:r>
        <w:rPr>
          <w:spacing w:val="-8"/>
        </w:rPr>
        <w:t> </w:t>
      </w:r>
      <w:r>
        <w:rPr/>
        <w:t>pest outbreaks and infestations.</w:t>
      </w:r>
    </w:p>
    <w:p>
      <w:pPr>
        <w:pStyle w:val="Heading4"/>
        <w:spacing w:before="235"/>
      </w:pPr>
      <w:bookmarkStart w:name="Objective" w:id="512"/>
      <w:bookmarkEnd w:id="512"/>
      <w:r>
        <w:rPr/>
      </w:r>
      <w:bookmarkStart w:name="_bookmark161" w:id="513"/>
      <w:bookmarkEnd w:id="513"/>
      <w:r>
        <w:rPr/>
      </w:r>
      <w:r>
        <w:rPr>
          <w:spacing w:val="-2"/>
        </w:rPr>
        <w:t>Objective</w:t>
      </w:r>
    </w:p>
    <w:p>
      <w:pPr>
        <w:spacing w:before="237"/>
        <w:ind w:left="360" w:right="0" w:firstLine="0"/>
        <w:jc w:val="left"/>
        <w:rPr>
          <w:rFonts w:ascii="Arial"/>
          <w:i/>
          <w:sz w:val="22"/>
        </w:rPr>
      </w:pPr>
      <w:bookmarkStart w:name="FW-OBJ-IPM-01. Integrated Pest Managemen" w:id="514"/>
      <w:bookmarkEnd w:id="514"/>
      <w:r>
        <w:rPr/>
      </w:r>
      <w:r>
        <w:rPr>
          <w:rFonts w:ascii="Arial"/>
          <w:i/>
          <w:sz w:val="22"/>
        </w:rPr>
        <w:t>FW-OBJ-IPM-01.</w:t>
      </w:r>
      <w:r>
        <w:rPr>
          <w:rFonts w:ascii="Arial"/>
          <w:i/>
          <w:spacing w:val="-9"/>
          <w:sz w:val="22"/>
        </w:rPr>
        <w:t> </w:t>
      </w:r>
      <w:r>
        <w:rPr>
          <w:rFonts w:ascii="Arial"/>
          <w:i/>
          <w:sz w:val="22"/>
        </w:rPr>
        <w:t>Integrated</w:t>
      </w:r>
      <w:r>
        <w:rPr>
          <w:rFonts w:ascii="Arial"/>
          <w:i/>
          <w:spacing w:val="-7"/>
          <w:sz w:val="22"/>
        </w:rPr>
        <w:t> </w:t>
      </w:r>
      <w:r>
        <w:rPr>
          <w:rFonts w:ascii="Arial"/>
          <w:i/>
          <w:sz w:val="22"/>
        </w:rPr>
        <w:t>Pest</w:t>
      </w:r>
      <w:r>
        <w:rPr>
          <w:rFonts w:ascii="Arial"/>
          <w:i/>
          <w:spacing w:val="-4"/>
          <w:sz w:val="22"/>
        </w:rPr>
        <w:t> </w:t>
      </w:r>
      <w:r>
        <w:rPr>
          <w:rFonts w:ascii="Arial"/>
          <w:i/>
          <w:spacing w:val="-2"/>
          <w:sz w:val="22"/>
        </w:rPr>
        <w:t>Management</w:t>
      </w:r>
    </w:p>
    <w:p>
      <w:pPr>
        <w:pStyle w:val="BodyText"/>
        <w:spacing w:line="232" w:lineRule="auto" w:before="67"/>
        <w:ind w:left="359" w:right="1445"/>
      </w:pPr>
      <w:r>
        <w:rPr/>
        <w:t>Damaging plant, animal, and insect pest outbreaks are prevented, suppressed, contained, controlled,</w:t>
      </w:r>
      <w:r>
        <w:rPr>
          <w:spacing w:val="-7"/>
        </w:rPr>
        <w:t> </w:t>
      </w:r>
      <w:r>
        <w:rPr/>
        <w:t>or</w:t>
      </w:r>
      <w:r>
        <w:rPr>
          <w:spacing w:val="-7"/>
        </w:rPr>
        <w:t> </w:t>
      </w:r>
      <w:r>
        <w:rPr/>
        <w:t>eradicated</w:t>
      </w:r>
      <w:r>
        <w:rPr>
          <w:spacing w:val="-6"/>
        </w:rPr>
        <w:t> </w:t>
      </w:r>
      <w:r>
        <w:rPr/>
        <w:t>in</w:t>
      </w:r>
      <w:r>
        <w:rPr>
          <w:spacing w:val="-8"/>
        </w:rPr>
        <w:t> </w:t>
      </w:r>
      <w:r>
        <w:rPr/>
        <w:t>a</w:t>
      </w:r>
      <w:r>
        <w:rPr>
          <w:spacing w:val="-5"/>
        </w:rPr>
        <w:t> </w:t>
      </w:r>
      <w:r>
        <w:rPr/>
        <w:t>timely</w:t>
      </w:r>
      <w:r>
        <w:rPr>
          <w:spacing w:val="-6"/>
        </w:rPr>
        <w:t> </w:t>
      </w:r>
      <w:r>
        <w:rPr/>
        <w:t>manner</w:t>
      </w:r>
      <w:r>
        <w:rPr>
          <w:spacing w:val="-5"/>
        </w:rPr>
        <w:t> </w:t>
      </w:r>
      <w:r>
        <w:rPr/>
        <w:t>in</w:t>
      </w:r>
      <w:r>
        <w:rPr>
          <w:spacing w:val="-6"/>
        </w:rPr>
        <w:t> </w:t>
      </w:r>
      <w:r>
        <w:rPr/>
        <w:t>accordance</w:t>
      </w:r>
      <w:r>
        <w:rPr>
          <w:spacing w:val="-4"/>
        </w:rPr>
        <w:t> </w:t>
      </w:r>
      <w:r>
        <w:rPr/>
        <w:t>with</w:t>
      </w:r>
      <w:r>
        <w:rPr>
          <w:spacing w:val="-6"/>
        </w:rPr>
        <w:t> </w:t>
      </w:r>
      <w:r>
        <w:rPr/>
        <w:t>proactive</w:t>
      </w:r>
      <w:r>
        <w:rPr>
          <w:spacing w:val="-4"/>
        </w:rPr>
        <w:t> </w:t>
      </w:r>
      <w:r>
        <w:rPr/>
        <w:t>pest</w:t>
      </w:r>
      <w:r>
        <w:rPr>
          <w:spacing w:val="-7"/>
        </w:rPr>
        <w:t> </w:t>
      </w:r>
      <w:r>
        <w:rPr/>
        <w:t>response</w:t>
      </w:r>
      <w:r>
        <w:rPr>
          <w:spacing w:val="-4"/>
        </w:rPr>
        <w:t> </w:t>
      </w:r>
      <w:r>
        <w:rPr/>
        <w:t>plans. New outbreaks are addressed within one year of detection through the life of the plan.</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Standards" w:id="515"/>
      <w:bookmarkEnd w:id="515"/>
      <w:r>
        <w:rPr/>
      </w:r>
      <w:bookmarkStart w:name="_bookmark162" w:id="516"/>
      <w:bookmarkEnd w:id="516"/>
      <w:r>
        <w:rPr/>
      </w:r>
      <w:r>
        <w:rPr>
          <w:spacing w:val="-2"/>
        </w:rPr>
        <w:t>Standards</w:t>
      </w:r>
    </w:p>
    <w:p>
      <w:pPr>
        <w:spacing w:before="240"/>
        <w:ind w:left="1151" w:right="0" w:firstLine="0"/>
        <w:jc w:val="left"/>
        <w:rPr>
          <w:rFonts w:ascii="Arial"/>
          <w:i/>
          <w:sz w:val="22"/>
        </w:rPr>
      </w:pPr>
      <w:bookmarkStart w:name="FW-STD-IPM-01. Integrated Pest Managemen" w:id="517"/>
      <w:bookmarkEnd w:id="517"/>
      <w:r>
        <w:rPr/>
      </w:r>
      <w:r>
        <w:rPr>
          <w:rFonts w:ascii="Arial"/>
          <w:i/>
          <w:sz w:val="22"/>
        </w:rPr>
        <w:t>FW-STD-IPM-01.</w:t>
      </w:r>
      <w:r>
        <w:rPr>
          <w:rFonts w:ascii="Arial"/>
          <w:i/>
          <w:spacing w:val="-11"/>
          <w:sz w:val="22"/>
        </w:rPr>
        <w:t> </w:t>
      </w:r>
      <w:r>
        <w:rPr>
          <w:rFonts w:ascii="Arial"/>
          <w:i/>
          <w:sz w:val="22"/>
        </w:rPr>
        <w:t>Integrated</w:t>
      </w:r>
      <w:r>
        <w:rPr>
          <w:rFonts w:ascii="Arial"/>
          <w:i/>
          <w:spacing w:val="-7"/>
          <w:sz w:val="22"/>
        </w:rPr>
        <w:t> </w:t>
      </w:r>
      <w:r>
        <w:rPr>
          <w:rFonts w:ascii="Arial"/>
          <w:i/>
          <w:sz w:val="22"/>
        </w:rPr>
        <w:t>Pest</w:t>
      </w:r>
      <w:r>
        <w:rPr>
          <w:rFonts w:ascii="Arial"/>
          <w:i/>
          <w:spacing w:val="-5"/>
          <w:sz w:val="22"/>
        </w:rPr>
        <w:t> </w:t>
      </w:r>
      <w:r>
        <w:rPr>
          <w:rFonts w:ascii="Arial"/>
          <w:i/>
          <w:spacing w:val="-2"/>
          <w:sz w:val="22"/>
        </w:rPr>
        <w:t>Management</w:t>
      </w:r>
    </w:p>
    <w:p>
      <w:pPr>
        <w:pStyle w:val="BodyText"/>
        <w:spacing w:line="232" w:lineRule="auto" w:before="65"/>
        <w:ind w:left="1151" w:right="742"/>
      </w:pPr>
      <w:r>
        <w:rPr/>
        <w:t>Use</w:t>
      </w:r>
      <w:r>
        <w:rPr>
          <w:spacing w:val="-1"/>
        </w:rPr>
        <w:t> </w:t>
      </w:r>
      <w:r>
        <w:rPr/>
        <w:t>an</w:t>
      </w:r>
      <w:r>
        <w:rPr>
          <w:spacing w:val="-2"/>
        </w:rPr>
        <w:t> </w:t>
      </w:r>
      <w:r>
        <w:rPr/>
        <w:t>integrated</w:t>
      </w:r>
      <w:r>
        <w:rPr>
          <w:spacing w:val="-2"/>
        </w:rPr>
        <w:t> </w:t>
      </w:r>
      <w:r>
        <w:rPr/>
        <w:t>pest</w:t>
      </w:r>
      <w:r>
        <w:rPr>
          <w:spacing w:val="-3"/>
        </w:rPr>
        <w:t> </w:t>
      </w:r>
      <w:r>
        <w:rPr/>
        <w:t>management</w:t>
      </w:r>
      <w:r>
        <w:rPr>
          <w:spacing w:val="-3"/>
        </w:rPr>
        <w:t> </w:t>
      </w:r>
      <w:r>
        <w:rPr/>
        <w:t>approach</w:t>
      </w:r>
      <w:r>
        <w:rPr>
          <w:spacing w:val="-2"/>
        </w:rPr>
        <w:t> </w:t>
      </w:r>
      <w:r>
        <w:rPr/>
        <w:t>to</w:t>
      </w:r>
      <w:r>
        <w:rPr>
          <w:spacing w:val="-1"/>
        </w:rPr>
        <w:t> </w:t>
      </w:r>
      <w:r>
        <w:rPr/>
        <w:t>design</w:t>
      </w:r>
      <w:r>
        <w:rPr>
          <w:spacing w:val="-2"/>
        </w:rPr>
        <w:t> </w:t>
      </w:r>
      <w:r>
        <w:rPr/>
        <w:t>projects</w:t>
      </w:r>
      <w:r>
        <w:rPr>
          <w:spacing w:val="-3"/>
        </w:rPr>
        <w:t> </w:t>
      </w:r>
      <w:r>
        <w:rPr/>
        <w:t>to</w:t>
      </w:r>
      <w:r>
        <w:rPr>
          <w:spacing w:val="-2"/>
        </w:rPr>
        <w:t> </w:t>
      </w:r>
      <w:r>
        <w:rPr/>
        <w:t>minimize</w:t>
      </w:r>
      <w:r>
        <w:rPr>
          <w:spacing w:val="-3"/>
        </w:rPr>
        <w:t> </w:t>
      </w:r>
      <w:r>
        <w:rPr/>
        <w:t>or</w:t>
      </w:r>
      <w:r>
        <w:rPr>
          <w:spacing w:val="-3"/>
        </w:rPr>
        <w:t> </w:t>
      </w:r>
      <w:r>
        <w:rPr/>
        <w:t>eliminate</w:t>
      </w:r>
      <w:r>
        <w:rPr>
          <w:spacing w:val="-1"/>
        </w:rPr>
        <w:t> </w:t>
      </w:r>
      <w:r>
        <w:rPr/>
        <w:t>risks of adverse effects from treatment while effectively responding to the pest. Cooperate with other Federal, State, and county agencies and other citizens to take an all-lands approach to pest management. Intervention may occur when native and non-native pests (insects and disease</w:t>
      </w:r>
      <w:r>
        <w:rPr>
          <w:spacing w:val="-4"/>
        </w:rPr>
        <w:t> </w:t>
      </w:r>
      <w:r>
        <w:rPr/>
        <w:t>pathogens)</w:t>
      </w:r>
      <w:r>
        <w:rPr>
          <w:spacing w:val="-5"/>
        </w:rPr>
        <w:t> </w:t>
      </w:r>
      <w:r>
        <w:rPr/>
        <w:t>are</w:t>
      </w:r>
      <w:r>
        <w:rPr>
          <w:spacing w:val="-4"/>
        </w:rPr>
        <w:t> </w:t>
      </w:r>
      <w:r>
        <w:rPr/>
        <w:t>not</w:t>
      </w:r>
      <w:r>
        <w:rPr>
          <w:spacing w:val="-7"/>
        </w:rPr>
        <w:t> </w:t>
      </w:r>
      <w:r>
        <w:rPr/>
        <w:t>operating</w:t>
      </w:r>
      <w:r>
        <w:rPr>
          <w:spacing w:val="-6"/>
        </w:rPr>
        <w:t> </w:t>
      </w:r>
      <w:r>
        <w:rPr/>
        <w:t>in</w:t>
      </w:r>
      <w:r>
        <w:rPr>
          <w:spacing w:val="-8"/>
        </w:rPr>
        <w:t> </w:t>
      </w:r>
      <w:r>
        <w:rPr/>
        <w:t>their</w:t>
      </w:r>
      <w:r>
        <w:rPr>
          <w:spacing w:val="-5"/>
        </w:rPr>
        <w:t> </w:t>
      </w:r>
      <w:r>
        <w:rPr/>
        <w:t>characteristic</w:t>
      </w:r>
      <w:r>
        <w:rPr>
          <w:spacing w:val="-5"/>
        </w:rPr>
        <w:t> </w:t>
      </w:r>
      <w:r>
        <w:rPr/>
        <w:t>role</w:t>
      </w:r>
      <w:r>
        <w:rPr>
          <w:spacing w:val="-7"/>
        </w:rPr>
        <w:t> </w:t>
      </w:r>
      <w:r>
        <w:rPr/>
        <w:t>or</w:t>
      </w:r>
      <w:r>
        <w:rPr>
          <w:spacing w:val="-7"/>
        </w:rPr>
        <w:t> </w:t>
      </w:r>
      <w:r>
        <w:rPr/>
        <w:t>when</w:t>
      </w:r>
      <w:r>
        <w:rPr>
          <w:spacing w:val="-8"/>
        </w:rPr>
        <w:t> </w:t>
      </w:r>
      <w:r>
        <w:rPr/>
        <w:t>site-specific</w:t>
      </w:r>
      <w:r>
        <w:rPr>
          <w:spacing w:val="-5"/>
        </w:rPr>
        <w:t> </w:t>
      </w:r>
      <w:r>
        <w:rPr/>
        <w:t>objectives (for example, impacts to key watersheds, increased wildfire hazard, potential impacts to the recovery</w:t>
      </w:r>
      <w:r>
        <w:rPr>
          <w:spacing w:val="-4"/>
        </w:rPr>
        <w:t> </w:t>
      </w:r>
      <w:r>
        <w:rPr/>
        <w:t>of</w:t>
      </w:r>
      <w:r>
        <w:rPr>
          <w:spacing w:val="-3"/>
        </w:rPr>
        <w:t> </w:t>
      </w:r>
      <w:r>
        <w:rPr/>
        <w:t>threatened</w:t>
      </w:r>
      <w:r>
        <w:rPr>
          <w:spacing w:val="-6"/>
        </w:rPr>
        <w:t> </w:t>
      </w:r>
      <w:r>
        <w:rPr/>
        <w:t>or</w:t>
      </w:r>
      <w:r>
        <w:rPr>
          <w:spacing w:val="-5"/>
        </w:rPr>
        <w:t> </w:t>
      </w:r>
      <w:r>
        <w:rPr/>
        <w:t>endangered</w:t>
      </w:r>
      <w:r>
        <w:rPr>
          <w:spacing w:val="-4"/>
        </w:rPr>
        <w:t> </w:t>
      </w:r>
      <w:r>
        <w:rPr/>
        <w:t>species,</w:t>
      </w:r>
      <w:r>
        <w:rPr>
          <w:spacing w:val="-3"/>
        </w:rPr>
        <w:t> </w:t>
      </w:r>
      <w:r>
        <w:rPr/>
        <w:t>or</w:t>
      </w:r>
      <w:r>
        <w:rPr>
          <w:spacing w:val="-5"/>
        </w:rPr>
        <w:t> </w:t>
      </w:r>
      <w:r>
        <w:rPr/>
        <w:t>maintaining</w:t>
      </w:r>
      <w:r>
        <w:rPr>
          <w:spacing w:val="-4"/>
        </w:rPr>
        <w:t> </w:t>
      </w:r>
      <w:r>
        <w:rPr/>
        <w:t>late</w:t>
      </w:r>
      <w:r>
        <w:rPr>
          <w:spacing w:val="-2"/>
        </w:rPr>
        <w:t> </w:t>
      </w:r>
      <w:r>
        <w:rPr/>
        <w:t>and</w:t>
      </w:r>
      <w:r>
        <w:rPr>
          <w:spacing w:val="-6"/>
        </w:rPr>
        <w:t> </w:t>
      </w:r>
      <w:r>
        <w:rPr/>
        <w:t>old</w:t>
      </w:r>
      <w:r>
        <w:rPr>
          <w:spacing w:val="-4"/>
        </w:rPr>
        <w:t> </w:t>
      </w:r>
      <w:r>
        <w:rPr/>
        <w:t>forest</w:t>
      </w:r>
      <w:r>
        <w:rPr>
          <w:spacing w:val="-2"/>
        </w:rPr>
        <w:t> </w:t>
      </w:r>
      <w:r>
        <w:rPr/>
        <w:t>structure)</w:t>
      </w:r>
      <w:r>
        <w:rPr>
          <w:spacing w:val="-5"/>
        </w:rPr>
        <w:t> </w:t>
      </w:r>
      <w:r>
        <w:rPr/>
        <w:t>are at risk from native or invasive species.</w:t>
      </w:r>
    </w:p>
    <w:p>
      <w:pPr>
        <w:spacing w:before="231"/>
        <w:ind w:left="1151" w:right="0" w:firstLine="0"/>
        <w:jc w:val="left"/>
        <w:rPr>
          <w:rFonts w:ascii="Arial"/>
          <w:i/>
          <w:sz w:val="22"/>
        </w:rPr>
      </w:pPr>
      <w:bookmarkStart w:name="FW-STD-IPM-02. Pesticide Use and Risk As" w:id="518"/>
      <w:bookmarkEnd w:id="518"/>
      <w:r>
        <w:rPr/>
      </w:r>
      <w:r>
        <w:rPr>
          <w:rFonts w:ascii="Arial"/>
          <w:i/>
          <w:sz w:val="22"/>
        </w:rPr>
        <w:t>FW-STD-IPM-02.</w:t>
      </w:r>
      <w:r>
        <w:rPr>
          <w:rFonts w:ascii="Arial"/>
          <w:i/>
          <w:spacing w:val="-6"/>
          <w:sz w:val="22"/>
        </w:rPr>
        <w:t> </w:t>
      </w:r>
      <w:r>
        <w:rPr>
          <w:rFonts w:ascii="Arial"/>
          <w:i/>
          <w:sz w:val="22"/>
        </w:rPr>
        <w:t>Pesticide</w:t>
      </w:r>
      <w:r>
        <w:rPr>
          <w:rFonts w:ascii="Arial"/>
          <w:i/>
          <w:spacing w:val="-5"/>
          <w:sz w:val="22"/>
        </w:rPr>
        <w:t> </w:t>
      </w:r>
      <w:r>
        <w:rPr>
          <w:rFonts w:ascii="Arial"/>
          <w:i/>
          <w:sz w:val="22"/>
        </w:rPr>
        <w:t>Use</w:t>
      </w:r>
      <w:r>
        <w:rPr>
          <w:rFonts w:ascii="Arial"/>
          <w:i/>
          <w:spacing w:val="-6"/>
          <w:sz w:val="22"/>
        </w:rPr>
        <w:t> </w:t>
      </w:r>
      <w:r>
        <w:rPr>
          <w:rFonts w:ascii="Arial"/>
          <w:i/>
          <w:sz w:val="22"/>
        </w:rPr>
        <w:t>and</w:t>
      </w:r>
      <w:r>
        <w:rPr>
          <w:rFonts w:ascii="Arial"/>
          <w:i/>
          <w:spacing w:val="-7"/>
          <w:sz w:val="22"/>
        </w:rPr>
        <w:t> </w:t>
      </w:r>
      <w:r>
        <w:rPr>
          <w:rFonts w:ascii="Arial"/>
          <w:i/>
          <w:sz w:val="22"/>
        </w:rPr>
        <w:t>Risk</w:t>
      </w:r>
      <w:r>
        <w:rPr>
          <w:rFonts w:ascii="Arial"/>
          <w:i/>
          <w:spacing w:val="-4"/>
          <w:sz w:val="22"/>
        </w:rPr>
        <w:t> </w:t>
      </w:r>
      <w:r>
        <w:rPr>
          <w:rFonts w:ascii="Arial"/>
          <w:i/>
          <w:spacing w:val="-2"/>
          <w:sz w:val="22"/>
        </w:rPr>
        <w:t>Assessment</w:t>
      </w:r>
    </w:p>
    <w:p>
      <w:pPr>
        <w:pStyle w:val="BodyText"/>
        <w:spacing w:line="232" w:lineRule="auto" w:before="65"/>
        <w:ind w:left="1151" w:right="801"/>
      </w:pPr>
      <w:r>
        <w:rPr/>
        <w:t>Pesticides (including herbicides) may be considered, as appropriate, within all management areas, to respond to native and invasive pests as part of an integrated pest management plan. Minimize use of formulations or tank mixes involving plausible harm to human health, soil organisms, water quality, non-target plants, non-target animals (including invertebrates), amphibians,</w:t>
      </w:r>
      <w:r>
        <w:rPr>
          <w:spacing w:val="-5"/>
        </w:rPr>
        <w:t> </w:t>
      </w:r>
      <w:r>
        <w:rPr/>
        <w:t>or</w:t>
      </w:r>
      <w:r>
        <w:rPr>
          <w:spacing w:val="-7"/>
        </w:rPr>
        <w:t> </w:t>
      </w:r>
      <w:r>
        <w:rPr/>
        <w:t>fish.</w:t>
      </w:r>
      <w:r>
        <w:rPr>
          <w:spacing w:val="-5"/>
        </w:rPr>
        <w:t> </w:t>
      </w:r>
      <w:r>
        <w:rPr/>
        <w:t>Use</w:t>
      </w:r>
      <w:r>
        <w:rPr>
          <w:spacing w:val="-4"/>
        </w:rPr>
        <w:t> </w:t>
      </w:r>
      <w:r>
        <w:rPr/>
        <w:t>best</w:t>
      </w:r>
      <w:r>
        <w:rPr>
          <w:spacing w:val="-4"/>
        </w:rPr>
        <w:t> </w:t>
      </w:r>
      <w:r>
        <w:rPr/>
        <w:t>available</w:t>
      </w:r>
      <w:r>
        <w:rPr>
          <w:spacing w:val="-4"/>
        </w:rPr>
        <w:t> </w:t>
      </w:r>
      <w:r>
        <w:rPr/>
        <w:t>science</w:t>
      </w:r>
      <w:r>
        <w:rPr>
          <w:spacing w:val="-4"/>
        </w:rPr>
        <w:t> </w:t>
      </w:r>
      <w:r>
        <w:rPr/>
        <w:t>in</w:t>
      </w:r>
      <w:r>
        <w:rPr>
          <w:spacing w:val="-6"/>
        </w:rPr>
        <w:t> </w:t>
      </w:r>
      <w:r>
        <w:rPr/>
        <w:t>pesticide</w:t>
      </w:r>
      <w:r>
        <w:rPr>
          <w:spacing w:val="-4"/>
        </w:rPr>
        <w:t> </w:t>
      </w:r>
      <w:r>
        <w:rPr/>
        <w:t>risk</w:t>
      </w:r>
      <w:r>
        <w:rPr>
          <w:spacing w:val="-7"/>
        </w:rPr>
        <w:t> </w:t>
      </w:r>
      <w:r>
        <w:rPr/>
        <w:t>assessments</w:t>
      </w:r>
      <w:r>
        <w:rPr>
          <w:spacing w:val="-5"/>
        </w:rPr>
        <w:t> </w:t>
      </w:r>
      <w:r>
        <w:rPr/>
        <w:t>to</w:t>
      </w:r>
      <w:r>
        <w:rPr>
          <w:spacing w:val="-4"/>
        </w:rPr>
        <w:t> </w:t>
      </w:r>
      <w:r>
        <w:rPr/>
        <w:t>inform</w:t>
      </w:r>
      <w:r>
        <w:rPr>
          <w:spacing w:val="-6"/>
        </w:rPr>
        <w:t> </w:t>
      </w:r>
      <w:r>
        <w:rPr/>
        <w:t>decisions about pesticide use.</w:t>
      </w:r>
    </w:p>
    <w:p>
      <w:pPr>
        <w:spacing w:before="234"/>
        <w:ind w:left="1151" w:right="0" w:firstLine="0"/>
        <w:jc w:val="left"/>
        <w:rPr>
          <w:rFonts w:ascii="Arial"/>
          <w:i/>
          <w:sz w:val="22"/>
        </w:rPr>
      </w:pPr>
      <w:bookmarkStart w:name="FW-STD-IPM-03. Public Notification" w:id="519"/>
      <w:bookmarkEnd w:id="519"/>
      <w:r>
        <w:rPr/>
      </w:r>
      <w:r>
        <w:rPr>
          <w:rFonts w:ascii="Arial"/>
          <w:i/>
          <w:sz w:val="22"/>
        </w:rPr>
        <w:t>FW-STD-IPM-03.</w:t>
      </w:r>
      <w:r>
        <w:rPr>
          <w:rFonts w:ascii="Arial"/>
          <w:i/>
          <w:spacing w:val="-9"/>
          <w:sz w:val="22"/>
        </w:rPr>
        <w:t> </w:t>
      </w:r>
      <w:r>
        <w:rPr>
          <w:rFonts w:ascii="Arial"/>
          <w:i/>
          <w:sz w:val="22"/>
        </w:rPr>
        <w:t>Public</w:t>
      </w:r>
      <w:r>
        <w:rPr>
          <w:rFonts w:ascii="Arial"/>
          <w:i/>
          <w:spacing w:val="-8"/>
          <w:sz w:val="22"/>
        </w:rPr>
        <w:t> </w:t>
      </w:r>
      <w:r>
        <w:rPr>
          <w:rFonts w:ascii="Arial"/>
          <w:i/>
          <w:spacing w:val="-2"/>
          <w:sz w:val="22"/>
        </w:rPr>
        <w:t>Notification</w:t>
      </w:r>
    </w:p>
    <w:p>
      <w:pPr>
        <w:pStyle w:val="BodyText"/>
        <w:spacing w:line="232" w:lineRule="auto" w:before="64"/>
        <w:ind w:left="1151" w:right="801"/>
      </w:pPr>
      <w:r>
        <w:rPr/>
        <w:t>Notify</w:t>
      </w:r>
      <w:r>
        <w:rPr>
          <w:spacing w:val="-3"/>
        </w:rPr>
        <w:t> </w:t>
      </w:r>
      <w:r>
        <w:rPr/>
        <w:t>the</w:t>
      </w:r>
      <w:r>
        <w:rPr>
          <w:spacing w:val="-3"/>
        </w:rPr>
        <w:t> </w:t>
      </w:r>
      <w:r>
        <w:rPr/>
        <w:t>public</w:t>
      </w:r>
      <w:r>
        <w:rPr>
          <w:spacing w:val="-4"/>
        </w:rPr>
        <w:t> </w:t>
      </w:r>
      <w:r>
        <w:rPr/>
        <w:t>prior</w:t>
      </w:r>
      <w:r>
        <w:rPr>
          <w:spacing w:val="-6"/>
        </w:rPr>
        <w:t> </w:t>
      </w:r>
      <w:r>
        <w:rPr/>
        <w:t>to</w:t>
      </w:r>
      <w:r>
        <w:rPr>
          <w:spacing w:val="-5"/>
        </w:rPr>
        <w:t> </w:t>
      </w:r>
      <w:r>
        <w:rPr/>
        <w:t>using</w:t>
      </w:r>
      <w:r>
        <w:rPr>
          <w:spacing w:val="-5"/>
        </w:rPr>
        <w:t> </w:t>
      </w:r>
      <w:r>
        <w:rPr/>
        <w:t>pesticides</w:t>
      </w:r>
      <w:r>
        <w:rPr>
          <w:spacing w:val="-6"/>
        </w:rPr>
        <w:t> </w:t>
      </w:r>
      <w:r>
        <w:rPr/>
        <w:t>(including</w:t>
      </w:r>
      <w:r>
        <w:rPr>
          <w:spacing w:val="-4"/>
        </w:rPr>
        <w:t> </w:t>
      </w:r>
      <w:r>
        <w:rPr/>
        <w:t>herbicides)</w:t>
      </w:r>
      <w:r>
        <w:rPr>
          <w:spacing w:val="-6"/>
        </w:rPr>
        <w:t> </w:t>
      </w:r>
      <w:r>
        <w:rPr/>
        <w:t>within</w:t>
      </w:r>
      <w:r>
        <w:rPr>
          <w:spacing w:val="-5"/>
        </w:rPr>
        <w:t> </w:t>
      </w:r>
      <w:r>
        <w:rPr/>
        <w:t>the</w:t>
      </w:r>
      <w:r>
        <w:rPr>
          <w:spacing w:val="-6"/>
        </w:rPr>
        <w:t> </w:t>
      </w:r>
      <w:r>
        <w:rPr/>
        <w:t>national</w:t>
      </w:r>
      <w:r>
        <w:rPr>
          <w:spacing w:val="-4"/>
        </w:rPr>
        <w:t> </w:t>
      </w:r>
      <w:r>
        <w:rPr/>
        <w:t>forest.</w:t>
      </w:r>
      <w:r>
        <w:rPr>
          <w:spacing w:val="-4"/>
        </w:rPr>
        <w:t> </w:t>
      </w:r>
      <w:r>
        <w:rPr/>
        <w:t>Use media such as newspapers, websites, mailings, and/or posting on the ground.</w:t>
      </w:r>
    </w:p>
    <w:p>
      <w:pPr>
        <w:pStyle w:val="Heading4"/>
        <w:spacing w:before="235"/>
        <w:ind w:left="1151"/>
      </w:pPr>
      <w:bookmarkStart w:name="Guideline" w:id="520"/>
      <w:bookmarkEnd w:id="520"/>
      <w:r>
        <w:rPr/>
      </w:r>
      <w:bookmarkStart w:name="_bookmark163" w:id="521"/>
      <w:bookmarkEnd w:id="521"/>
      <w:r>
        <w:rPr/>
      </w:r>
      <w:r>
        <w:rPr>
          <w:spacing w:val="-2"/>
        </w:rPr>
        <w:t>Guideline</w:t>
      </w:r>
    </w:p>
    <w:p>
      <w:pPr>
        <w:spacing w:before="239"/>
        <w:ind w:left="1151" w:right="0" w:firstLine="0"/>
        <w:jc w:val="left"/>
        <w:rPr>
          <w:rFonts w:ascii="Arial"/>
          <w:i/>
          <w:sz w:val="22"/>
        </w:rPr>
      </w:pPr>
      <w:bookmarkStart w:name="FW-GDL-IPM-01. Minimize Reliance on Pest" w:id="522"/>
      <w:bookmarkEnd w:id="522"/>
      <w:r>
        <w:rPr/>
      </w:r>
      <w:r>
        <w:rPr>
          <w:rFonts w:ascii="Arial"/>
          <w:i/>
          <w:sz w:val="22"/>
        </w:rPr>
        <w:t>FW-GDL-IPM-01.</w:t>
      </w:r>
      <w:r>
        <w:rPr>
          <w:rFonts w:ascii="Arial"/>
          <w:i/>
          <w:spacing w:val="-9"/>
          <w:sz w:val="22"/>
        </w:rPr>
        <w:t> </w:t>
      </w:r>
      <w:r>
        <w:rPr>
          <w:rFonts w:ascii="Arial"/>
          <w:i/>
          <w:sz w:val="22"/>
        </w:rPr>
        <w:t>Minimize</w:t>
      </w:r>
      <w:r>
        <w:rPr>
          <w:rFonts w:ascii="Arial"/>
          <w:i/>
          <w:spacing w:val="-8"/>
          <w:sz w:val="22"/>
        </w:rPr>
        <w:t> </w:t>
      </w:r>
      <w:r>
        <w:rPr>
          <w:rFonts w:ascii="Arial"/>
          <w:i/>
          <w:sz w:val="22"/>
        </w:rPr>
        <w:t>Reliance</w:t>
      </w:r>
      <w:r>
        <w:rPr>
          <w:rFonts w:ascii="Arial"/>
          <w:i/>
          <w:spacing w:val="-8"/>
          <w:sz w:val="22"/>
        </w:rPr>
        <w:t> </w:t>
      </w:r>
      <w:r>
        <w:rPr>
          <w:rFonts w:ascii="Arial"/>
          <w:i/>
          <w:sz w:val="22"/>
        </w:rPr>
        <w:t>on</w:t>
      </w:r>
      <w:r>
        <w:rPr>
          <w:rFonts w:ascii="Arial"/>
          <w:i/>
          <w:spacing w:val="-8"/>
          <w:sz w:val="22"/>
        </w:rPr>
        <w:t> </w:t>
      </w:r>
      <w:r>
        <w:rPr>
          <w:rFonts w:ascii="Arial"/>
          <w:i/>
          <w:spacing w:val="-2"/>
          <w:sz w:val="22"/>
        </w:rPr>
        <w:t>Pesticides</w:t>
      </w:r>
    </w:p>
    <w:p>
      <w:pPr>
        <w:pStyle w:val="BodyText"/>
        <w:spacing w:line="232" w:lineRule="auto" w:before="65"/>
        <w:ind w:left="1151" w:right="742"/>
      </w:pPr>
      <w:r>
        <w:rPr/>
        <w:t>Pest</w:t>
      </w:r>
      <w:r>
        <w:rPr>
          <w:spacing w:val="-7"/>
        </w:rPr>
        <w:t> </w:t>
      </w:r>
      <w:r>
        <w:rPr/>
        <w:t>management</w:t>
      </w:r>
      <w:r>
        <w:rPr>
          <w:spacing w:val="-4"/>
        </w:rPr>
        <w:t> </w:t>
      </w:r>
      <w:r>
        <w:rPr/>
        <w:t>should</w:t>
      </w:r>
      <w:r>
        <w:rPr>
          <w:spacing w:val="-6"/>
        </w:rPr>
        <w:t> </w:t>
      </w:r>
      <w:r>
        <w:rPr/>
        <w:t>be</w:t>
      </w:r>
      <w:r>
        <w:rPr>
          <w:spacing w:val="-4"/>
        </w:rPr>
        <w:t> </w:t>
      </w:r>
      <w:r>
        <w:rPr/>
        <w:t>planned</w:t>
      </w:r>
      <w:r>
        <w:rPr>
          <w:spacing w:val="-6"/>
        </w:rPr>
        <w:t> </w:t>
      </w:r>
      <w:r>
        <w:rPr/>
        <w:t>and</w:t>
      </w:r>
      <w:r>
        <w:rPr>
          <w:spacing w:val="-6"/>
        </w:rPr>
        <w:t> </w:t>
      </w:r>
      <w:r>
        <w:rPr/>
        <w:t>conducted</w:t>
      </w:r>
      <w:r>
        <w:rPr>
          <w:spacing w:val="-6"/>
        </w:rPr>
        <w:t> </w:t>
      </w:r>
      <w:r>
        <w:rPr/>
        <w:t>to</w:t>
      </w:r>
      <w:r>
        <w:rPr>
          <w:spacing w:val="-6"/>
        </w:rPr>
        <w:t> </w:t>
      </w:r>
      <w:r>
        <w:rPr/>
        <w:t>minimize</w:t>
      </w:r>
      <w:r>
        <w:rPr>
          <w:spacing w:val="-7"/>
        </w:rPr>
        <w:t> </w:t>
      </w:r>
      <w:r>
        <w:rPr/>
        <w:t>reliance</w:t>
      </w:r>
      <w:r>
        <w:rPr>
          <w:spacing w:val="-7"/>
        </w:rPr>
        <w:t> </w:t>
      </w:r>
      <w:r>
        <w:rPr/>
        <w:t>on</w:t>
      </w:r>
      <w:r>
        <w:rPr>
          <w:spacing w:val="-6"/>
        </w:rPr>
        <w:t> </w:t>
      </w:r>
      <w:r>
        <w:rPr/>
        <w:t>pesticides</w:t>
      </w:r>
      <w:r>
        <w:rPr>
          <w:spacing w:val="-5"/>
        </w:rPr>
        <w:t> </w:t>
      </w:r>
      <w:r>
        <w:rPr/>
        <w:t>by</w:t>
      </w:r>
      <w:r>
        <w:rPr>
          <w:spacing w:val="-4"/>
        </w:rPr>
        <w:t> </w:t>
      </w:r>
      <w:r>
        <w:rPr/>
        <w:t>using a combination of effective treatment options and treating pest outbreaks in a timely manner.</w:t>
      </w:r>
    </w:p>
    <w:p>
      <w:pPr>
        <w:pStyle w:val="BodyText"/>
        <w:spacing w:after="0" w:line="232" w:lineRule="auto"/>
        <w:sectPr>
          <w:pgSz w:w="12240" w:h="15840"/>
          <w:pgMar w:header="725" w:footer="891" w:top="960" w:bottom="1080" w:left="1080" w:right="72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
      </w:pPr>
    </w:p>
    <w:p>
      <w:pPr>
        <w:pStyle w:val="BodyText"/>
        <w:ind w:left="3194"/>
      </w:pPr>
      <w:r>
        <w:rPr/>
        <w:t>This</w:t>
      </w:r>
      <w:r>
        <w:rPr>
          <w:spacing w:val="-8"/>
        </w:rPr>
        <w:t> </w:t>
      </w:r>
      <w:r>
        <w:rPr/>
        <w:t>page</w:t>
      </w:r>
      <w:r>
        <w:rPr>
          <w:spacing w:val="-7"/>
        </w:rPr>
        <w:t> </w:t>
      </w:r>
      <w:r>
        <w:rPr/>
        <w:t>intentionally</w:t>
      </w:r>
      <w:r>
        <w:rPr>
          <w:spacing w:val="-7"/>
        </w:rPr>
        <w:t> </w:t>
      </w:r>
      <w:r>
        <w:rPr/>
        <w:t>left</w:t>
      </w:r>
      <w:r>
        <w:rPr>
          <w:spacing w:val="-9"/>
        </w:rPr>
        <w:t> </w:t>
      </w:r>
      <w:r>
        <w:rPr>
          <w:spacing w:val="-2"/>
        </w:rPr>
        <w:t>blank</w:t>
      </w:r>
    </w:p>
    <w:p>
      <w:pPr>
        <w:pStyle w:val="BodyText"/>
        <w:spacing w:after="0"/>
        <w:sectPr>
          <w:pgSz w:w="12240" w:h="15840"/>
          <w:pgMar w:header="725" w:footer="891" w:top="960" w:bottom="1080" w:left="1080" w:right="720"/>
        </w:sectPr>
      </w:pPr>
    </w:p>
    <w:p>
      <w:pPr>
        <w:pStyle w:val="BodyText"/>
        <w:spacing w:before="197"/>
        <w:rPr>
          <w:sz w:val="36"/>
        </w:rPr>
      </w:pPr>
    </w:p>
    <w:p>
      <w:pPr>
        <w:pStyle w:val="Heading1"/>
        <w:tabs>
          <w:tab w:pos="9748" w:val="left" w:leader="none"/>
        </w:tabs>
        <w:ind w:left="1151"/>
      </w:pPr>
      <w:bookmarkStart w:name="Chapter 3" w:id="523"/>
      <w:bookmarkEnd w:id="523"/>
      <w:r>
        <w:rPr>
          <w:b w:val="0"/>
        </w:rPr>
      </w:r>
      <w:bookmarkStart w:name="_bookmark164" w:id="524"/>
      <w:bookmarkEnd w:id="524"/>
      <w:r>
        <w:rPr>
          <w:b w:val="0"/>
        </w:rPr>
      </w:r>
      <w:r>
        <w:rPr>
          <w:color w:val="475824"/>
          <w:shd w:fill="C2D59B" w:color="auto" w:val="clear"/>
        </w:rPr>
        <w:t>Chapter</w:t>
      </w:r>
      <w:r>
        <w:rPr>
          <w:color w:val="475824"/>
          <w:spacing w:val="-9"/>
          <w:shd w:fill="C2D59B" w:color="auto" w:val="clear"/>
        </w:rPr>
        <w:t> </w:t>
      </w:r>
      <w:r>
        <w:rPr>
          <w:color w:val="475824"/>
          <w:spacing w:val="-10"/>
          <w:shd w:fill="C2D59B" w:color="auto" w:val="clear"/>
        </w:rPr>
        <w:t>3</w:t>
      </w:r>
      <w:r>
        <w:rPr>
          <w:color w:val="475824"/>
          <w:shd w:fill="C2D59B" w:color="auto" w:val="clear"/>
        </w:rPr>
        <w:tab/>
      </w:r>
    </w:p>
    <w:p>
      <w:pPr>
        <w:pStyle w:val="Heading2"/>
        <w:spacing w:before="238"/>
        <w:ind w:left="1151"/>
      </w:pPr>
      <w:bookmarkStart w:name="Management Areas" w:id="525"/>
      <w:bookmarkEnd w:id="525"/>
      <w:r>
        <w:rPr/>
      </w:r>
      <w:bookmarkStart w:name="_bookmark165" w:id="526"/>
      <w:bookmarkEnd w:id="526"/>
      <w:r>
        <w:rPr/>
      </w:r>
      <w:r>
        <w:rPr>
          <w:smallCaps/>
          <w:color w:val="475824"/>
          <w:spacing w:val="-2"/>
        </w:rPr>
        <w:t>Management</w:t>
      </w:r>
      <w:r>
        <w:rPr>
          <w:smallCaps/>
          <w:color w:val="475824"/>
          <w:spacing w:val="-1"/>
        </w:rPr>
        <w:t> </w:t>
      </w:r>
      <w:r>
        <w:rPr>
          <w:smallCaps/>
          <w:color w:val="475824"/>
          <w:spacing w:val="-4"/>
        </w:rPr>
        <w:t>Areas</w:t>
      </w:r>
    </w:p>
    <w:p>
      <w:pPr>
        <w:pStyle w:val="BodyText"/>
        <w:spacing w:line="232" w:lineRule="auto" w:before="65"/>
        <w:ind w:left="1151" w:right="742"/>
      </w:pPr>
      <w:r>
        <w:rPr/>
        <w:t>This</w:t>
      </w:r>
      <w:r>
        <w:rPr>
          <w:spacing w:val="-5"/>
        </w:rPr>
        <w:t> </w:t>
      </w:r>
      <w:r>
        <w:rPr/>
        <w:t>section</w:t>
      </w:r>
      <w:r>
        <w:rPr>
          <w:spacing w:val="-6"/>
        </w:rPr>
        <w:t> </w:t>
      </w:r>
      <w:r>
        <w:rPr/>
        <w:t>contains</w:t>
      </w:r>
      <w:r>
        <w:rPr>
          <w:spacing w:val="-5"/>
        </w:rPr>
        <w:t> </w:t>
      </w:r>
      <w:r>
        <w:rPr/>
        <w:t>descriptions,</w:t>
      </w:r>
      <w:r>
        <w:rPr>
          <w:spacing w:val="-7"/>
        </w:rPr>
        <w:t> </w:t>
      </w:r>
      <w:r>
        <w:rPr/>
        <w:t>desired</w:t>
      </w:r>
      <w:r>
        <w:rPr>
          <w:spacing w:val="-8"/>
        </w:rPr>
        <w:t> </w:t>
      </w:r>
      <w:r>
        <w:rPr/>
        <w:t>conditions,</w:t>
      </w:r>
      <w:r>
        <w:rPr>
          <w:spacing w:val="-7"/>
        </w:rPr>
        <w:t> </w:t>
      </w:r>
      <w:r>
        <w:rPr/>
        <w:t>objectives,</w:t>
      </w:r>
      <w:r>
        <w:rPr>
          <w:spacing w:val="-5"/>
        </w:rPr>
        <w:t> </w:t>
      </w:r>
      <w:r>
        <w:rPr/>
        <w:t>standards</w:t>
      </w:r>
      <w:r>
        <w:rPr>
          <w:spacing w:val="-5"/>
        </w:rPr>
        <w:t> </w:t>
      </w:r>
      <w:r>
        <w:rPr/>
        <w:t>and</w:t>
      </w:r>
      <w:r>
        <w:rPr>
          <w:spacing w:val="-6"/>
        </w:rPr>
        <w:t> </w:t>
      </w:r>
      <w:r>
        <w:rPr/>
        <w:t>guidelines,</w:t>
      </w:r>
      <w:r>
        <w:rPr>
          <w:spacing w:val="-5"/>
        </w:rPr>
        <w:t> </w:t>
      </w:r>
      <w:r>
        <w:rPr/>
        <w:t>and suitable uses for all management areas. A map of these areas is located in appendix H of this </w:t>
      </w:r>
      <w:r>
        <w:rPr>
          <w:spacing w:val="-2"/>
        </w:rPr>
        <w:t>Plan.</w:t>
      </w:r>
    </w:p>
    <w:p>
      <w:pPr>
        <w:pStyle w:val="BodyText"/>
        <w:spacing w:before="194"/>
        <w:ind w:left="1871" w:hanging="720"/>
      </w:pPr>
      <w:r>
        <w:rPr/>
        <w:t>Colville</w:t>
      </w:r>
      <w:r>
        <w:rPr>
          <w:spacing w:val="-9"/>
        </w:rPr>
        <w:t> </w:t>
      </w:r>
      <w:r>
        <w:rPr/>
        <w:t>National</w:t>
      </w:r>
      <w:r>
        <w:rPr>
          <w:spacing w:val="-10"/>
        </w:rPr>
        <w:t> </w:t>
      </w:r>
      <w:r>
        <w:rPr/>
        <w:t>Forest</w:t>
      </w:r>
      <w:r>
        <w:rPr>
          <w:spacing w:val="-11"/>
        </w:rPr>
        <w:t> </w:t>
      </w:r>
      <w:r>
        <w:rPr/>
        <w:t>management</w:t>
      </w:r>
      <w:r>
        <w:rPr>
          <w:spacing w:val="-8"/>
        </w:rPr>
        <w:t> </w:t>
      </w:r>
      <w:r>
        <w:rPr>
          <w:spacing w:val="-2"/>
        </w:rPr>
        <w:t>areas:</w:t>
      </w:r>
    </w:p>
    <w:p>
      <w:pPr>
        <w:pStyle w:val="BodyText"/>
        <w:spacing w:line="340" w:lineRule="auto" w:before="190"/>
        <w:ind w:left="1871" w:right="4354"/>
      </w:pPr>
      <w:r>
        <w:rPr/>
        <w:t>Administrative</w:t>
      </w:r>
      <w:r>
        <w:rPr>
          <w:spacing w:val="-13"/>
        </w:rPr>
        <w:t> </w:t>
      </w:r>
      <w:r>
        <w:rPr/>
        <w:t>and</w:t>
      </w:r>
      <w:r>
        <w:rPr>
          <w:spacing w:val="-12"/>
        </w:rPr>
        <w:t> </w:t>
      </w:r>
      <w:r>
        <w:rPr/>
        <w:t>Recreation</w:t>
      </w:r>
      <w:r>
        <w:rPr>
          <w:spacing w:val="-13"/>
        </w:rPr>
        <w:t> </w:t>
      </w:r>
      <w:r>
        <w:rPr/>
        <w:t>Sites </w:t>
      </w:r>
      <w:r>
        <w:rPr>
          <w:spacing w:val="-2"/>
        </w:rPr>
        <w:t>Backcountry</w:t>
      </w:r>
    </w:p>
    <w:p>
      <w:pPr>
        <w:pStyle w:val="BodyText"/>
        <w:spacing w:line="338" w:lineRule="auto"/>
        <w:ind w:left="1871" w:right="6027"/>
      </w:pPr>
      <w:r>
        <w:rPr/>
        <w:t>Backcountry Motorized Focused Restoration General Restoration Nationally Designated Trails Research Natural Areas Riparian</w:t>
      </w:r>
      <w:r>
        <w:rPr>
          <w:spacing w:val="-13"/>
        </w:rPr>
        <w:t> </w:t>
      </w:r>
      <w:r>
        <w:rPr/>
        <w:t>Management</w:t>
      </w:r>
      <w:r>
        <w:rPr>
          <w:spacing w:val="-12"/>
        </w:rPr>
        <w:t> </w:t>
      </w:r>
      <w:r>
        <w:rPr/>
        <w:t>Areas Scenic Byways</w:t>
      </w:r>
    </w:p>
    <w:p>
      <w:pPr>
        <w:pStyle w:val="BodyText"/>
        <w:spacing w:line="340" w:lineRule="auto" w:before="6"/>
        <w:ind w:left="1871" w:right="5645"/>
      </w:pPr>
      <w:r>
        <w:rPr/>
        <w:t>Kettle Crest Recreation Area Wild</w:t>
      </w:r>
      <w:r>
        <w:rPr>
          <w:spacing w:val="-11"/>
        </w:rPr>
        <w:t> </w:t>
      </w:r>
      <w:r>
        <w:rPr/>
        <w:t>and</w:t>
      </w:r>
      <w:r>
        <w:rPr>
          <w:spacing w:val="-11"/>
        </w:rPr>
        <w:t> </w:t>
      </w:r>
      <w:r>
        <w:rPr/>
        <w:t>Scenic</w:t>
      </w:r>
      <w:r>
        <w:rPr>
          <w:spacing w:val="-12"/>
        </w:rPr>
        <w:t> </w:t>
      </w:r>
      <w:r>
        <w:rPr/>
        <w:t>Rivers</w:t>
      </w:r>
      <w:r>
        <w:rPr>
          <w:spacing w:val="-12"/>
        </w:rPr>
        <w:t> </w:t>
      </w:r>
      <w:r>
        <w:rPr/>
        <w:t>(eligible)</w:t>
      </w:r>
    </w:p>
    <w:p>
      <w:pPr>
        <w:pStyle w:val="BodyText"/>
        <w:spacing w:line="338" w:lineRule="auto"/>
        <w:ind w:left="1871" w:right="4012"/>
      </w:pPr>
      <w:r>
        <w:rPr/>
        <w:t>Wilderness</w:t>
      </w:r>
      <w:r>
        <w:rPr>
          <w:spacing w:val="-13"/>
        </w:rPr>
        <w:t> </w:t>
      </w:r>
      <w:r>
        <w:rPr/>
        <w:t>–</w:t>
      </w:r>
      <w:r>
        <w:rPr>
          <w:spacing w:val="-12"/>
        </w:rPr>
        <w:t> </w:t>
      </w:r>
      <w:r>
        <w:rPr/>
        <w:t>Congressionally</w:t>
      </w:r>
      <w:r>
        <w:rPr>
          <w:spacing w:val="-13"/>
        </w:rPr>
        <w:t> </w:t>
      </w:r>
      <w:r>
        <w:rPr/>
        <w:t>Designated Wilderness – Recommended</w:t>
      </w:r>
    </w:p>
    <w:p>
      <w:pPr>
        <w:pStyle w:val="Heading2"/>
        <w:spacing w:before="122"/>
        <w:ind w:left="1151"/>
      </w:pPr>
      <w:bookmarkStart w:name="Management Area Descriptions and Plan Di" w:id="527"/>
      <w:bookmarkEnd w:id="527"/>
      <w:r>
        <w:rPr/>
      </w:r>
      <w:bookmarkStart w:name="_bookmark166" w:id="528"/>
      <w:bookmarkEnd w:id="528"/>
      <w:r>
        <w:rPr/>
      </w:r>
      <w:r>
        <w:rPr>
          <w:smallCaps/>
          <w:color w:val="475824"/>
        </w:rPr>
        <w:t>Management</w:t>
      </w:r>
      <w:r>
        <w:rPr>
          <w:smallCaps/>
          <w:color w:val="475824"/>
          <w:spacing w:val="-19"/>
        </w:rPr>
        <w:t> </w:t>
      </w:r>
      <w:r>
        <w:rPr>
          <w:smallCaps/>
          <w:color w:val="475824"/>
        </w:rPr>
        <w:t>Area</w:t>
      </w:r>
      <w:r>
        <w:rPr>
          <w:smallCaps/>
          <w:color w:val="475824"/>
          <w:spacing w:val="-18"/>
        </w:rPr>
        <w:t> </w:t>
      </w:r>
      <w:r>
        <w:rPr>
          <w:smallCaps/>
          <w:color w:val="475824"/>
        </w:rPr>
        <w:t>Descriptions</w:t>
      </w:r>
      <w:r>
        <w:rPr>
          <w:smallCaps/>
          <w:color w:val="475824"/>
          <w:spacing w:val="-18"/>
        </w:rPr>
        <w:t> </w:t>
      </w:r>
      <w:r>
        <w:rPr>
          <w:smallCaps/>
          <w:color w:val="475824"/>
        </w:rPr>
        <w:t>and</w:t>
      </w:r>
      <w:r>
        <w:rPr>
          <w:smallCaps/>
          <w:color w:val="475824"/>
          <w:spacing w:val="-18"/>
        </w:rPr>
        <w:t> </w:t>
      </w:r>
      <w:r>
        <w:rPr>
          <w:smallCaps/>
          <w:color w:val="475824"/>
        </w:rPr>
        <w:t>Plan</w:t>
      </w:r>
      <w:r>
        <w:rPr>
          <w:smallCaps/>
          <w:color w:val="475824"/>
          <w:spacing w:val="-13"/>
        </w:rPr>
        <w:t> </w:t>
      </w:r>
      <w:r>
        <w:rPr>
          <w:smallCaps/>
          <w:color w:val="475824"/>
          <w:spacing w:val="-2"/>
        </w:rPr>
        <w:t>Direction</w:t>
      </w:r>
    </w:p>
    <w:p>
      <w:pPr>
        <w:pStyle w:val="BodyText"/>
        <w:spacing w:before="4"/>
        <w:rPr>
          <w:rFonts w:ascii="Arial"/>
          <w:sz w:val="8"/>
        </w:rPr>
      </w:pPr>
      <w:r>
        <w:rPr>
          <w:rFonts w:ascii="Arial"/>
          <w:sz w:val="8"/>
        </w:rPr>
        <mc:AlternateContent>
          <mc:Choice Requires="wps">
            <w:drawing>
              <wp:anchor distT="0" distB="0" distL="0" distR="0" allowOverlap="1" layoutInCell="1" locked="0" behindDoc="1" simplePos="0" relativeHeight="487620096">
                <wp:simplePos x="0" y="0"/>
                <wp:positionH relativeFrom="page">
                  <wp:posOffset>1627632</wp:posOffset>
                </wp:positionH>
                <wp:positionV relativeFrom="paragraph">
                  <wp:posOffset>76229</wp:posOffset>
                </wp:positionV>
                <wp:extent cx="5248910" cy="2616835"/>
                <wp:effectExtent l="0" t="0" r="0" b="0"/>
                <wp:wrapTopAndBottom/>
                <wp:docPr id="199" name="Textbox 199"/>
                <wp:cNvGraphicFramePr>
                  <a:graphicFrameLocks/>
                </wp:cNvGraphicFramePr>
                <a:graphic>
                  <a:graphicData uri="http://schemas.microsoft.com/office/word/2010/wordprocessingShape">
                    <wps:wsp>
                      <wps:cNvPr id="199" name="Textbox 199"/>
                      <wps:cNvSpPr txBox="1"/>
                      <wps:spPr>
                        <a:xfrm>
                          <a:off x="0" y="0"/>
                          <a:ext cx="5248910" cy="2616835"/>
                        </a:xfrm>
                        <a:prstGeom prst="rect">
                          <a:avLst/>
                        </a:prstGeom>
                        <a:solidFill>
                          <a:srgbClr val="DFDFDF"/>
                        </a:solidFill>
                      </wps:spPr>
                      <wps:txbx>
                        <w:txbxContent>
                          <w:p>
                            <w:pPr>
                              <w:pStyle w:val="BodyText"/>
                              <w:spacing w:line="268" w:lineRule="exact"/>
                              <w:ind w:left="28"/>
                              <w:rPr>
                                <w:color w:val="000000"/>
                              </w:rPr>
                            </w:pPr>
                            <w:r>
                              <w:rPr>
                                <w:color w:val="000000"/>
                              </w:rPr>
                              <w:t>Management</w:t>
                            </w:r>
                            <w:r>
                              <w:rPr>
                                <w:color w:val="000000"/>
                                <w:spacing w:val="-6"/>
                              </w:rPr>
                              <w:t> </w:t>
                            </w:r>
                            <w:r>
                              <w:rPr>
                                <w:color w:val="000000"/>
                              </w:rPr>
                              <w:t>area</w:t>
                            </w:r>
                            <w:r>
                              <w:rPr>
                                <w:color w:val="000000"/>
                                <w:spacing w:val="-4"/>
                              </w:rPr>
                              <w:t> </w:t>
                            </w:r>
                            <w:r>
                              <w:rPr>
                                <w:color w:val="000000"/>
                              </w:rPr>
                              <w:t>desired</w:t>
                            </w:r>
                            <w:r>
                              <w:rPr>
                                <w:color w:val="000000"/>
                                <w:spacing w:val="-7"/>
                              </w:rPr>
                              <w:t> </w:t>
                            </w:r>
                            <w:r>
                              <w:rPr>
                                <w:color w:val="000000"/>
                              </w:rPr>
                              <w:t>conditions</w:t>
                            </w:r>
                            <w:r>
                              <w:rPr>
                                <w:color w:val="000000"/>
                                <w:spacing w:val="-5"/>
                              </w:rPr>
                              <w:t> </w:t>
                            </w:r>
                            <w:r>
                              <w:rPr>
                                <w:color w:val="000000"/>
                              </w:rPr>
                              <w:t>are</w:t>
                            </w:r>
                            <w:r>
                              <w:rPr>
                                <w:color w:val="000000"/>
                                <w:spacing w:val="-6"/>
                              </w:rPr>
                              <w:t> </w:t>
                            </w:r>
                            <w:r>
                              <w:rPr>
                                <w:color w:val="000000"/>
                              </w:rPr>
                              <w:t>specific</w:t>
                            </w:r>
                            <w:r>
                              <w:rPr>
                                <w:color w:val="000000"/>
                                <w:spacing w:val="-6"/>
                              </w:rPr>
                              <w:t> </w:t>
                            </w:r>
                            <w:r>
                              <w:rPr>
                                <w:color w:val="000000"/>
                              </w:rPr>
                              <w:t>to</w:t>
                            </w:r>
                            <w:r>
                              <w:rPr>
                                <w:color w:val="000000"/>
                                <w:spacing w:val="-5"/>
                              </w:rPr>
                              <w:t> </w:t>
                            </w:r>
                            <w:r>
                              <w:rPr>
                                <w:color w:val="000000"/>
                              </w:rPr>
                              <w:t>each</w:t>
                            </w:r>
                            <w:r>
                              <w:rPr>
                                <w:color w:val="000000"/>
                                <w:spacing w:val="-5"/>
                              </w:rPr>
                              <w:t> </w:t>
                            </w:r>
                            <w:r>
                              <w:rPr>
                                <w:color w:val="000000"/>
                              </w:rPr>
                              <w:t>management</w:t>
                            </w:r>
                            <w:r>
                              <w:rPr>
                                <w:color w:val="000000"/>
                                <w:spacing w:val="-2"/>
                              </w:rPr>
                              <w:t> area.</w:t>
                            </w:r>
                          </w:p>
                          <w:p>
                            <w:pPr>
                              <w:pStyle w:val="BodyText"/>
                              <w:spacing w:before="120"/>
                              <w:ind w:left="28" w:right="120"/>
                              <w:rPr>
                                <w:color w:val="000000"/>
                              </w:rPr>
                            </w:pPr>
                            <w:r>
                              <w:rPr>
                                <w:color w:val="000000"/>
                              </w:rPr>
                              <w:t>Management areas are broadly described areas where general management intent is similar. The purpose of management areas is to provide consistent guidance for similar portions</w:t>
                            </w:r>
                            <w:r>
                              <w:rPr>
                                <w:color w:val="000000"/>
                                <w:spacing w:val="-4"/>
                              </w:rPr>
                              <w:t> </w:t>
                            </w:r>
                            <w:r>
                              <w:rPr>
                                <w:color w:val="000000"/>
                              </w:rPr>
                              <w:t>of</w:t>
                            </w:r>
                            <w:r>
                              <w:rPr>
                                <w:color w:val="000000"/>
                                <w:spacing w:val="-4"/>
                              </w:rPr>
                              <w:t> </w:t>
                            </w:r>
                            <w:r>
                              <w:rPr>
                                <w:color w:val="000000"/>
                              </w:rPr>
                              <w:t>National</w:t>
                            </w:r>
                            <w:r>
                              <w:rPr>
                                <w:color w:val="000000"/>
                                <w:spacing w:val="-5"/>
                              </w:rPr>
                              <w:t> </w:t>
                            </w:r>
                            <w:r>
                              <w:rPr>
                                <w:color w:val="000000"/>
                              </w:rPr>
                              <w:t>Forest</w:t>
                            </w:r>
                            <w:r>
                              <w:rPr>
                                <w:color w:val="000000"/>
                                <w:spacing w:val="-4"/>
                              </w:rPr>
                              <w:t> </w:t>
                            </w:r>
                            <w:r>
                              <w:rPr>
                                <w:color w:val="000000"/>
                              </w:rPr>
                              <w:t>System</w:t>
                            </w:r>
                            <w:r>
                              <w:rPr>
                                <w:color w:val="000000"/>
                                <w:spacing w:val="-2"/>
                              </w:rPr>
                              <w:t> </w:t>
                            </w:r>
                            <w:r>
                              <w:rPr>
                                <w:color w:val="000000"/>
                              </w:rPr>
                              <w:t>lands</w:t>
                            </w:r>
                            <w:r>
                              <w:rPr>
                                <w:color w:val="000000"/>
                                <w:spacing w:val="-4"/>
                              </w:rPr>
                              <w:t> </w:t>
                            </w:r>
                            <w:r>
                              <w:rPr>
                                <w:color w:val="000000"/>
                              </w:rPr>
                              <w:t>when</w:t>
                            </w:r>
                            <w:r>
                              <w:rPr>
                                <w:color w:val="000000"/>
                                <w:spacing w:val="-3"/>
                              </w:rPr>
                              <w:t> </w:t>
                            </w:r>
                            <w:r>
                              <w:rPr>
                                <w:color w:val="000000"/>
                              </w:rPr>
                              <w:t>implementing</w:t>
                            </w:r>
                            <w:r>
                              <w:rPr>
                                <w:color w:val="000000"/>
                                <w:spacing w:val="-3"/>
                              </w:rPr>
                              <w:t> </w:t>
                            </w:r>
                            <w:r>
                              <w:rPr>
                                <w:color w:val="000000"/>
                              </w:rPr>
                              <w:t>or</w:t>
                            </w:r>
                            <w:r>
                              <w:rPr>
                                <w:color w:val="000000"/>
                                <w:spacing w:val="-4"/>
                              </w:rPr>
                              <w:t> </w:t>
                            </w:r>
                            <w:r>
                              <w:rPr>
                                <w:color w:val="000000"/>
                              </w:rPr>
                              <w:t>continuing</w:t>
                            </w:r>
                            <w:r>
                              <w:rPr>
                                <w:color w:val="000000"/>
                                <w:spacing w:val="-5"/>
                              </w:rPr>
                              <w:t> </w:t>
                            </w:r>
                            <w:r>
                              <w:rPr>
                                <w:color w:val="000000"/>
                              </w:rPr>
                              <w:t>management activities. Where not superseded by management area specific direction, forestwide desired conditions,</w:t>
                            </w:r>
                            <w:r>
                              <w:rPr>
                                <w:color w:val="000000"/>
                                <w:spacing w:val="-1"/>
                              </w:rPr>
                              <w:t> </w:t>
                            </w:r>
                            <w:r>
                              <w:rPr>
                                <w:color w:val="000000"/>
                              </w:rPr>
                              <w:t>objectives,</w:t>
                            </w:r>
                            <w:r>
                              <w:rPr>
                                <w:color w:val="000000"/>
                                <w:spacing w:val="-1"/>
                              </w:rPr>
                              <w:t> </w:t>
                            </w:r>
                            <w:r>
                              <w:rPr>
                                <w:color w:val="000000"/>
                              </w:rPr>
                              <w:t>standards and guidelines apply within</w:t>
                            </w:r>
                            <w:r>
                              <w:rPr>
                                <w:color w:val="000000"/>
                                <w:spacing w:val="-2"/>
                              </w:rPr>
                              <w:t> </w:t>
                            </w:r>
                            <w:r>
                              <w:rPr>
                                <w:color w:val="000000"/>
                              </w:rPr>
                              <w:t>management areas (see forestwide direction for air, soils, vegetation, water resources, wildlife, and social systems in chapter 2).</w:t>
                            </w:r>
                          </w:p>
                          <w:p>
                            <w:pPr>
                              <w:pStyle w:val="BodyText"/>
                              <w:spacing w:before="119"/>
                              <w:ind w:left="28" w:right="52"/>
                              <w:rPr>
                                <w:color w:val="000000"/>
                              </w:rPr>
                            </w:pPr>
                            <w:r>
                              <w:rPr>
                                <w:color w:val="000000"/>
                              </w:rPr>
                              <w:t>Some management areas, such as Riparian Management Areas, naturally overlap with</w:t>
                            </w:r>
                            <w:r>
                              <w:rPr>
                                <w:color w:val="000000"/>
                                <w:spacing w:val="40"/>
                              </w:rPr>
                              <w:t> </w:t>
                            </w:r>
                            <w:r>
                              <w:rPr>
                                <w:color w:val="000000"/>
                              </w:rPr>
                              <w:t>other management areas. Combinations of activities</w:t>
                            </w:r>
                            <w:r>
                              <w:rPr>
                                <w:color w:val="000000"/>
                                <w:spacing w:val="-2"/>
                              </w:rPr>
                              <w:t> </w:t>
                            </w:r>
                            <w:r>
                              <w:rPr>
                                <w:color w:val="000000"/>
                              </w:rPr>
                              <w:t>or uses are dependent on site-specific conditions, making it unreasonable to include all combinations and the applicable plan direction within the forest plan. Therefore, applicability of plan direction is guided by the principle</w:t>
                            </w:r>
                            <w:r>
                              <w:rPr>
                                <w:color w:val="000000"/>
                                <w:spacing w:val="-2"/>
                              </w:rPr>
                              <w:t> </w:t>
                            </w:r>
                            <w:r>
                              <w:rPr>
                                <w:color w:val="000000"/>
                              </w:rPr>
                              <w:t>that,</w:t>
                            </w:r>
                            <w:r>
                              <w:rPr>
                                <w:color w:val="000000"/>
                                <w:spacing w:val="-5"/>
                              </w:rPr>
                              <w:t> </w:t>
                            </w:r>
                            <w:r>
                              <w:rPr>
                                <w:color w:val="000000"/>
                              </w:rPr>
                              <w:t>where</w:t>
                            </w:r>
                            <w:r>
                              <w:rPr>
                                <w:color w:val="000000"/>
                                <w:spacing w:val="-5"/>
                              </w:rPr>
                              <w:t> </w:t>
                            </w:r>
                            <w:r>
                              <w:rPr>
                                <w:color w:val="000000"/>
                              </w:rPr>
                              <w:t>management</w:t>
                            </w:r>
                            <w:r>
                              <w:rPr>
                                <w:color w:val="000000"/>
                                <w:spacing w:val="-2"/>
                              </w:rPr>
                              <w:t> </w:t>
                            </w:r>
                            <w:r>
                              <w:rPr>
                                <w:color w:val="000000"/>
                              </w:rPr>
                              <w:t>areas</w:t>
                            </w:r>
                            <w:r>
                              <w:rPr>
                                <w:color w:val="000000"/>
                                <w:spacing w:val="-3"/>
                              </w:rPr>
                              <w:t> </w:t>
                            </w:r>
                            <w:r>
                              <w:rPr>
                                <w:color w:val="000000"/>
                              </w:rPr>
                              <w:t>overlap,</w:t>
                            </w:r>
                            <w:r>
                              <w:rPr>
                                <w:color w:val="000000"/>
                                <w:spacing w:val="-3"/>
                              </w:rPr>
                              <w:t> </w:t>
                            </w:r>
                            <w:r>
                              <w:rPr>
                                <w:color w:val="000000"/>
                              </w:rPr>
                              <w:t>the</w:t>
                            </w:r>
                            <w:r>
                              <w:rPr>
                                <w:color w:val="000000"/>
                                <w:spacing w:val="-7"/>
                              </w:rPr>
                              <w:t> </w:t>
                            </w:r>
                            <w:r>
                              <w:rPr>
                                <w:color w:val="000000"/>
                              </w:rPr>
                              <w:t>most</w:t>
                            </w:r>
                            <w:r>
                              <w:rPr>
                                <w:color w:val="000000"/>
                                <w:spacing w:val="-2"/>
                              </w:rPr>
                              <w:t> </w:t>
                            </w:r>
                            <w:r>
                              <w:rPr>
                                <w:color w:val="000000"/>
                              </w:rPr>
                              <w:t>restrictive</w:t>
                            </w:r>
                            <w:r>
                              <w:rPr>
                                <w:color w:val="000000"/>
                                <w:spacing w:val="-5"/>
                              </w:rPr>
                              <w:t> </w:t>
                            </w:r>
                            <w:r>
                              <w:rPr>
                                <w:color w:val="000000"/>
                              </w:rPr>
                              <w:t>plan</w:t>
                            </w:r>
                            <w:r>
                              <w:rPr>
                                <w:color w:val="000000"/>
                                <w:spacing w:val="-4"/>
                              </w:rPr>
                              <w:t> </w:t>
                            </w:r>
                            <w:r>
                              <w:rPr>
                                <w:color w:val="000000"/>
                              </w:rPr>
                              <w:t>direction</w:t>
                            </w:r>
                            <w:r>
                              <w:rPr>
                                <w:color w:val="000000"/>
                                <w:spacing w:val="-4"/>
                              </w:rPr>
                              <w:t> </w:t>
                            </w:r>
                            <w:r>
                              <w:rPr>
                                <w:color w:val="000000"/>
                              </w:rPr>
                              <w:t>applies depending on site-specific conditions and the activity or use.</w:t>
                            </w:r>
                          </w:p>
                        </w:txbxContent>
                      </wps:txbx>
                      <wps:bodyPr wrap="square" lIns="0" tIns="0" rIns="0" bIns="0" rtlCol="0">
                        <a:noAutofit/>
                      </wps:bodyPr>
                    </wps:wsp>
                  </a:graphicData>
                </a:graphic>
              </wp:anchor>
            </w:drawing>
          </mc:Choice>
          <mc:Fallback>
            <w:pict>
              <v:shape style="position:absolute;margin-left:128.160004pt;margin-top:6.002305pt;width:413.3pt;height:206.05pt;mso-position-horizontal-relative:page;mso-position-vertical-relative:paragraph;z-index:-15696384;mso-wrap-distance-left:0;mso-wrap-distance-right:0" type="#_x0000_t202" id="docshape187" filled="true" fillcolor="#dfdfdf" stroked="false">
                <v:textbox inset="0,0,0,0">
                  <w:txbxContent>
                    <w:p>
                      <w:pPr>
                        <w:pStyle w:val="BodyText"/>
                        <w:spacing w:line="268" w:lineRule="exact"/>
                        <w:ind w:left="28"/>
                        <w:rPr>
                          <w:color w:val="000000"/>
                        </w:rPr>
                      </w:pPr>
                      <w:r>
                        <w:rPr>
                          <w:color w:val="000000"/>
                        </w:rPr>
                        <w:t>Management</w:t>
                      </w:r>
                      <w:r>
                        <w:rPr>
                          <w:color w:val="000000"/>
                          <w:spacing w:val="-6"/>
                        </w:rPr>
                        <w:t> </w:t>
                      </w:r>
                      <w:r>
                        <w:rPr>
                          <w:color w:val="000000"/>
                        </w:rPr>
                        <w:t>area</w:t>
                      </w:r>
                      <w:r>
                        <w:rPr>
                          <w:color w:val="000000"/>
                          <w:spacing w:val="-4"/>
                        </w:rPr>
                        <w:t> </w:t>
                      </w:r>
                      <w:r>
                        <w:rPr>
                          <w:color w:val="000000"/>
                        </w:rPr>
                        <w:t>desired</w:t>
                      </w:r>
                      <w:r>
                        <w:rPr>
                          <w:color w:val="000000"/>
                          <w:spacing w:val="-7"/>
                        </w:rPr>
                        <w:t> </w:t>
                      </w:r>
                      <w:r>
                        <w:rPr>
                          <w:color w:val="000000"/>
                        </w:rPr>
                        <w:t>conditions</w:t>
                      </w:r>
                      <w:r>
                        <w:rPr>
                          <w:color w:val="000000"/>
                          <w:spacing w:val="-5"/>
                        </w:rPr>
                        <w:t> </w:t>
                      </w:r>
                      <w:r>
                        <w:rPr>
                          <w:color w:val="000000"/>
                        </w:rPr>
                        <w:t>are</w:t>
                      </w:r>
                      <w:r>
                        <w:rPr>
                          <w:color w:val="000000"/>
                          <w:spacing w:val="-6"/>
                        </w:rPr>
                        <w:t> </w:t>
                      </w:r>
                      <w:r>
                        <w:rPr>
                          <w:color w:val="000000"/>
                        </w:rPr>
                        <w:t>specific</w:t>
                      </w:r>
                      <w:r>
                        <w:rPr>
                          <w:color w:val="000000"/>
                          <w:spacing w:val="-6"/>
                        </w:rPr>
                        <w:t> </w:t>
                      </w:r>
                      <w:r>
                        <w:rPr>
                          <w:color w:val="000000"/>
                        </w:rPr>
                        <w:t>to</w:t>
                      </w:r>
                      <w:r>
                        <w:rPr>
                          <w:color w:val="000000"/>
                          <w:spacing w:val="-5"/>
                        </w:rPr>
                        <w:t> </w:t>
                      </w:r>
                      <w:r>
                        <w:rPr>
                          <w:color w:val="000000"/>
                        </w:rPr>
                        <w:t>each</w:t>
                      </w:r>
                      <w:r>
                        <w:rPr>
                          <w:color w:val="000000"/>
                          <w:spacing w:val="-5"/>
                        </w:rPr>
                        <w:t> </w:t>
                      </w:r>
                      <w:r>
                        <w:rPr>
                          <w:color w:val="000000"/>
                        </w:rPr>
                        <w:t>management</w:t>
                      </w:r>
                      <w:r>
                        <w:rPr>
                          <w:color w:val="000000"/>
                          <w:spacing w:val="-2"/>
                        </w:rPr>
                        <w:t> area.</w:t>
                      </w:r>
                    </w:p>
                    <w:p>
                      <w:pPr>
                        <w:pStyle w:val="BodyText"/>
                        <w:spacing w:before="120"/>
                        <w:ind w:left="28" w:right="120"/>
                        <w:rPr>
                          <w:color w:val="000000"/>
                        </w:rPr>
                      </w:pPr>
                      <w:r>
                        <w:rPr>
                          <w:color w:val="000000"/>
                        </w:rPr>
                        <w:t>Management areas are broadly described areas where general management intent is similar. The purpose of management areas is to provide consistent guidance for similar portions</w:t>
                      </w:r>
                      <w:r>
                        <w:rPr>
                          <w:color w:val="000000"/>
                          <w:spacing w:val="-4"/>
                        </w:rPr>
                        <w:t> </w:t>
                      </w:r>
                      <w:r>
                        <w:rPr>
                          <w:color w:val="000000"/>
                        </w:rPr>
                        <w:t>of</w:t>
                      </w:r>
                      <w:r>
                        <w:rPr>
                          <w:color w:val="000000"/>
                          <w:spacing w:val="-4"/>
                        </w:rPr>
                        <w:t> </w:t>
                      </w:r>
                      <w:r>
                        <w:rPr>
                          <w:color w:val="000000"/>
                        </w:rPr>
                        <w:t>National</w:t>
                      </w:r>
                      <w:r>
                        <w:rPr>
                          <w:color w:val="000000"/>
                          <w:spacing w:val="-5"/>
                        </w:rPr>
                        <w:t> </w:t>
                      </w:r>
                      <w:r>
                        <w:rPr>
                          <w:color w:val="000000"/>
                        </w:rPr>
                        <w:t>Forest</w:t>
                      </w:r>
                      <w:r>
                        <w:rPr>
                          <w:color w:val="000000"/>
                          <w:spacing w:val="-4"/>
                        </w:rPr>
                        <w:t> </w:t>
                      </w:r>
                      <w:r>
                        <w:rPr>
                          <w:color w:val="000000"/>
                        </w:rPr>
                        <w:t>System</w:t>
                      </w:r>
                      <w:r>
                        <w:rPr>
                          <w:color w:val="000000"/>
                          <w:spacing w:val="-2"/>
                        </w:rPr>
                        <w:t> </w:t>
                      </w:r>
                      <w:r>
                        <w:rPr>
                          <w:color w:val="000000"/>
                        </w:rPr>
                        <w:t>lands</w:t>
                      </w:r>
                      <w:r>
                        <w:rPr>
                          <w:color w:val="000000"/>
                          <w:spacing w:val="-4"/>
                        </w:rPr>
                        <w:t> </w:t>
                      </w:r>
                      <w:r>
                        <w:rPr>
                          <w:color w:val="000000"/>
                        </w:rPr>
                        <w:t>when</w:t>
                      </w:r>
                      <w:r>
                        <w:rPr>
                          <w:color w:val="000000"/>
                          <w:spacing w:val="-3"/>
                        </w:rPr>
                        <w:t> </w:t>
                      </w:r>
                      <w:r>
                        <w:rPr>
                          <w:color w:val="000000"/>
                        </w:rPr>
                        <w:t>implementing</w:t>
                      </w:r>
                      <w:r>
                        <w:rPr>
                          <w:color w:val="000000"/>
                          <w:spacing w:val="-3"/>
                        </w:rPr>
                        <w:t> </w:t>
                      </w:r>
                      <w:r>
                        <w:rPr>
                          <w:color w:val="000000"/>
                        </w:rPr>
                        <w:t>or</w:t>
                      </w:r>
                      <w:r>
                        <w:rPr>
                          <w:color w:val="000000"/>
                          <w:spacing w:val="-4"/>
                        </w:rPr>
                        <w:t> </w:t>
                      </w:r>
                      <w:r>
                        <w:rPr>
                          <w:color w:val="000000"/>
                        </w:rPr>
                        <w:t>continuing</w:t>
                      </w:r>
                      <w:r>
                        <w:rPr>
                          <w:color w:val="000000"/>
                          <w:spacing w:val="-5"/>
                        </w:rPr>
                        <w:t> </w:t>
                      </w:r>
                      <w:r>
                        <w:rPr>
                          <w:color w:val="000000"/>
                        </w:rPr>
                        <w:t>management activities. Where not superseded by management area specific direction, forestwide desired conditions,</w:t>
                      </w:r>
                      <w:r>
                        <w:rPr>
                          <w:color w:val="000000"/>
                          <w:spacing w:val="-1"/>
                        </w:rPr>
                        <w:t> </w:t>
                      </w:r>
                      <w:r>
                        <w:rPr>
                          <w:color w:val="000000"/>
                        </w:rPr>
                        <w:t>objectives,</w:t>
                      </w:r>
                      <w:r>
                        <w:rPr>
                          <w:color w:val="000000"/>
                          <w:spacing w:val="-1"/>
                        </w:rPr>
                        <w:t> </w:t>
                      </w:r>
                      <w:r>
                        <w:rPr>
                          <w:color w:val="000000"/>
                        </w:rPr>
                        <w:t>standards and guidelines apply within</w:t>
                      </w:r>
                      <w:r>
                        <w:rPr>
                          <w:color w:val="000000"/>
                          <w:spacing w:val="-2"/>
                        </w:rPr>
                        <w:t> </w:t>
                      </w:r>
                      <w:r>
                        <w:rPr>
                          <w:color w:val="000000"/>
                        </w:rPr>
                        <w:t>management areas (see forestwide direction for air, soils, vegetation, water resources, wildlife, and social systems in chapter 2).</w:t>
                      </w:r>
                    </w:p>
                    <w:p>
                      <w:pPr>
                        <w:pStyle w:val="BodyText"/>
                        <w:spacing w:before="119"/>
                        <w:ind w:left="28" w:right="52"/>
                        <w:rPr>
                          <w:color w:val="000000"/>
                        </w:rPr>
                      </w:pPr>
                      <w:r>
                        <w:rPr>
                          <w:color w:val="000000"/>
                        </w:rPr>
                        <w:t>Some management areas, such as Riparian Management Areas, naturally overlap with</w:t>
                      </w:r>
                      <w:r>
                        <w:rPr>
                          <w:color w:val="000000"/>
                          <w:spacing w:val="40"/>
                        </w:rPr>
                        <w:t> </w:t>
                      </w:r>
                      <w:r>
                        <w:rPr>
                          <w:color w:val="000000"/>
                        </w:rPr>
                        <w:t>other management areas. Combinations of activities</w:t>
                      </w:r>
                      <w:r>
                        <w:rPr>
                          <w:color w:val="000000"/>
                          <w:spacing w:val="-2"/>
                        </w:rPr>
                        <w:t> </w:t>
                      </w:r>
                      <w:r>
                        <w:rPr>
                          <w:color w:val="000000"/>
                        </w:rPr>
                        <w:t>or uses are dependent on site-specific conditions, making it unreasonable to include all combinations and the applicable plan direction within the forest plan. Therefore, applicability of plan direction is guided by the principle</w:t>
                      </w:r>
                      <w:r>
                        <w:rPr>
                          <w:color w:val="000000"/>
                          <w:spacing w:val="-2"/>
                        </w:rPr>
                        <w:t> </w:t>
                      </w:r>
                      <w:r>
                        <w:rPr>
                          <w:color w:val="000000"/>
                        </w:rPr>
                        <w:t>that,</w:t>
                      </w:r>
                      <w:r>
                        <w:rPr>
                          <w:color w:val="000000"/>
                          <w:spacing w:val="-5"/>
                        </w:rPr>
                        <w:t> </w:t>
                      </w:r>
                      <w:r>
                        <w:rPr>
                          <w:color w:val="000000"/>
                        </w:rPr>
                        <w:t>where</w:t>
                      </w:r>
                      <w:r>
                        <w:rPr>
                          <w:color w:val="000000"/>
                          <w:spacing w:val="-5"/>
                        </w:rPr>
                        <w:t> </w:t>
                      </w:r>
                      <w:r>
                        <w:rPr>
                          <w:color w:val="000000"/>
                        </w:rPr>
                        <w:t>management</w:t>
                      </w:r>
                      <w:r>
                        <w:rPr>
                          <w:color w:val="000000"/>
                          <w:spacing w:val="-2"/>
                        </w:rPr>
                        <w:t> </w:t>
                      </w:r>
                      <w:r>
                        <w:rPr>
                          <w:color w:val="000000"/>
                        </w:rPr>
                        <w:t>areas</w:t>
                      </w:r>
                      <w:r>
                        <w:rPr>
                          <w:color w:val="000000"/>
                          <w:spacing w:val="-3"/>
                        </w:rPr>
                        <w:t> </w:t>
                      </w:r>
                      <w:r>
                        <w:rPr>
                          <w:color w:val="000000"/>
                        </w:rPr>
                        <w:t>overlap,</w:t>
                      </w:r>
                      <w:r>
                        <w:rPr>
                          <w:color w:val="000000"/>
                          <w:spacing w:val="-3"/>
                        </w:rPr>
                        <w:t> </w:t>
                      </w:r>
                      <w:r>
                        <w:rPr>
                          <w:color w:val="000000"/>
                        </w:rPr>
                        <w:t>the</w:t>
                      </w:r>
                      <w:r>
                        <w:rPr>
                          <w:color w:val="000000"/>
                          <w:spacing w:val="-7"/>
                        </w:rPr>
                        <w:t> </w:t>
                      </w:r>
                      <w:r>
                        <w:rPr>
                          <w:color w:val="000000"/>
                        </w:rPr>
                        <w:t>most</w:t>
                      </w:r>
                      <w:r>
                        <w:rPr>
                          <w:color w:val="000000"/>
                          <w:spacing w:val="-2"/>
                        </w:rPr>
                        <w:t> </w:t>
                      </w:r>
                      <w:r>
                        <w:rPr>
                          <w:color w:val="000000"/>
                        </w:rPr>
                        <w:t>restrictive</w:t>
                      </w:r>
                      <w:r>
                        <w:rPr>
                          <w:color w:val="000000"/>
                          <w:spacing w:val="-5"/>
                        </w:rPr>
                        <w:t> </w:t>
                      </w:r>
                      <w:r>
                        <w:rPr>
                          <w:color w:val="000000"/>
                        </w:rPr>
                        <w:t>plan</w:t>
                      </w:r>
                      <w:r>
                        <w:rPr>
                          <w:color w:val="000000"/>
                          <w:spacing w:val="-4"/>
                        </w:rPr>
                        <w:t> </w:t>
                      </w:r>
                      <w:r>
                        <w:rPr>
                          <w:color w:val="000000"/>
                        </w:rPr>
                        <w:t>direction</w:t>
                      </w:r>
                      <w:r>
                        <w:rPr>
                          <w:color w:val="000000"/>
                          <w:spacing w:val="-4"/>
                        </w:rPr>
                        <w:t> </w:t>
                      </w:r>
                      <w:r>
                        <w:rPr>
                          <w:color w:val="000000"/>
                        </w:rPr>
                        <w:t>applies depending on site-specific conditions and the activity or use.</w:t>
                      </w:r>
                    </w:p>
                  </w:txbxContent>
                </v:textbox>
                <v:fill type="solid"/>
                <w10:wrap type="topAndBottom"/>
              </v:shape>
            </w:pict>
          </mc:Fallback>
        </mc:AlternateContent>
      </w:r>
    </w:p>
    <w:p>
      <w:pPr>
        <w:pStyle w:val="BodyText"/>
        <w:spacing w:after="0"/>
        <w:rPr>
          <w:rFonts w:ascii="Arial"/>
          <w:sz w:val="8"/>
        </w:rPr>
        <w:sectPr>
          <w:headerReference w:type="default" r:id="rId57"/>
          <w:headerReference w:type="even" r:id="rId58"/>
          <w:footerReference w:type="default" r:id="rId59"/>
          <w:footerReference w:type="even" r:id="rId60"/>
          <w:pgSz w:w="12240" w:h="15840"/>
          <w:pgMar w:header="725" w:footer="891" w:top="960" w:bottom="1080" w:left="1080" w:right="720"/>
          <w:pgNumType w:start="93"/>
        </w:sectPr>
      </w:pPr>
    </w:p>
    <w:p>
      <w:pPr>
        <w:pStyle w:val="BodyText"/>
        <w:rPr>
          <w:rFonts w:ascii="Arial"/>
          <w:sz w:val="20"/>
        </w:rPr>
      </w:pPr>
    </w:p>
    <w:p>
      <w:pPr>
        <w:pStyle w:val="BodyText"/>
        <w:spacing w:before="15"/>
        <w:rPr>
          <w:rFonts w:ascii="Arial"/>
          <w:sz w:val="20"/>
        </w:rPr>
      </w:pPr>
    </w:p>
    <w:p>
      <w:pPr>
        <w:pStyle w:val="BodyText"/>
        <w:ind w:left="691"/>
        <w:rPr>
          <w:rFonts w:ascii="Arial"/>
          <w:sz w:val="20"/>
        </w:rPr>
      </w:pPr>
      <w:r>
        <w:rPr>
          <w:rFonts w:ascii="Arial"/>
          <w:sz w:val="20"/>
        </w:rPr>
        <mc:AlternateContent>
          <mc:Choice Requires="wps">
            <w:drawing>
              <wp:inline distT="0" distB="0" distL="0" distR="0">
                <wp:extent cx="5248910" cy="1175385"/>
                <wp:effectExtent l="0" t="0" r="0" b="0"/>
                <wp:docPr id="200" name="Textbox 200"/>
                <wp:cNvGraphicFramePr>
                  <a:graphicFrameLocks/>
                </wp:cNvGraphicFramePr>
                <a:graphic>
                  <a:graphicData uri="http://schemas.microsoft.com/office/word/2010/wordprocessingShape">
                    <wps:wsp>
                      <wps:cNvPr id="200" name="Textbox 200"/>
                      <wps:cNvSpPr txBox="1"/>
                      <wps:spPr>
                        <a:xfrm>
                          <a:off x="0" y="0"/>
                          <a:ext cx="5248910" cy="1175385"/>
                        </a:xfrm>
                        <a:prstGeom prst="rect">
                          <a:avLst/>
                        </a:prstGeom>
                        <a:solidFill>
                          <a:srgbClr val="DFDFDF"/>
                        </a:solidFill>
                      </wps:spPr>
                      <wps:txbx>
                        <w:txbxContent>
                          <w:p>
                            <w:pPr>
                              <w:pStyle w:val="BodyText"/>
                              <w:spacing w:line="268" w:lineRule="exact"/>
                              <w:ind w:left="28"/>
                              <w:rPr>
                                <w:color w:val="000000"/>
                              </w:rPr>
                            </w:pPr>
                            <w:r>
                              <w:rPr>
                                <w:color w:val="000000"/>
                              </w:rPr>
                              <w:t>AREAS</w:t>
                            </w:r>
                            <w:r>
                              <w:rPr>
                                <w:color w:val="000000"/>
                                <w:spacing w:val="-5"/>
                              </w:rPr>
                              <w:t> </w:t>
                            </w:r>
                            <w:r>
                              <w:rPr>
                                <w:color w:val="000000"/>
                              </w:rPr>
                              <w:t>WITH</w:t>
                            </w:r>
                            <w:r>
                              <w:rPr>
                                <w:color w:val="000000"/>
                                <w:spacing w:val="-5"/>
                              </w:rPr>
                              <w:t> </w:t>
                            </w:r>
                            <w:r>
                              <w:rPr>
                                <w:color w:val="000000"/>
                              </w:rPr>
                              <w:t>SPECIAL</w:t>
                            </w:r>
                            <w:r>
                              <w:rPr>
                                <w:color w:val="000000"/>
                                <w:spacing w:val="-3"/>
                              </w:rPr>
                              <w:t> </w:t>
                            </w:r>
                            <w:r>
                              <w:rPr>
                                <w:color w:val="000000"/>
                                <w:spacing w:val="-2"/>
                              </w:rPr>
                              <w:t>DESIGNATIONS</w:t>
                            </w:r>
                          </w:p>
                          <w:p>
                            <w:pPr>
                              <w:pStyle w:val="BodyText"/>
                              <w:spacing w:before="120"/>
                              <w:ind w:left="28" w:right="120"/>
                              <w:rPr>
                                <w:color w:val="000000"/>
                              </w:rPr>
                            </w:pPr>
                            <w:r>
                              <w:rPr>
                                <w:color w:val="000000"/>
                              </w:rPr>
                              <w:t>Some management areas also have special designations because of unique or special characteristics</w:t>
                            </w:r>
                            <w:r>
                              <w:rPr>
                                <w:color w:val="000000"/>
                                <w:spacing w:val="-4"/>
                              </w:rPr>
                              <w:t> </w:t>
                            </w:r>
                            <w:r>
                              <w:rPr>
                                <w:color w:val="000000"/>
                              </w:rPr>
                              <w:t>and</w:t>
                            </w:r>
                            <w:r>
                              <w:rPr>
                                <w:color w:val="000000"/>
                                <w:spacing w:val="-5"/>
                              </w:rPr>
                              <w:t> </w:t>
                            </w:r>
                            <w:r>
                              <w:rPr>
                                <w:color w:val="000000"/>
                              </w:rPr>
                              <w:t>are</w:t>
                            </w:r>
                            <w:r>
                              <w:rPr>
                                <w:color w:val="000000"/>
                                <w:spacing w:val="-3"/>
                              </w:rPr>
                              <w:t> </w:t>
                            </w:r>
                            <w:r>
                              <w:rPr>
                                <w:color w:val="000000"/>
                              </w:rPr>
                              <w:t>formally</w:t>
                            </w:r>
                            <w:r>
                              <w:rPr>
                                <w:color w:val="000000"/>
                                <w:spacing w:val="-5"/>
                              </w:rPr>
                              <w:t> </w:t>
                            </w:r>
                            <w:r>
                              <w:rPr>
                                <w:color w:val="000000"/>
                              </w:rPr>
                              <w:t>designated</w:t>
                            </w:r>
                            <w:r>
                              <w:rPr>
                                <w:color w:val="000000"/>
                                <w:spacing w:val="-5"/>
                              </w:rPr>
                              <w:t> </w:t>
                            </w:r>
                            <w:r>
                              <w:rPr>
                                <w:color w:val="000000"/>
                              </w:rPr>
                              <w:t>by</w:t>
                            </w:r>
                            <w:r>
                              <w:rPr>
                                <w:color w:val="000000"/>
                                <w:spacing w:val="-3"/>
                              </w:rPr>
                              <w:t> </w:t>
                            </w:r>
                            <w:r>
                              <w:rPr>
                                <w:color w:val="000000"/>
                              </w:rPr>
                              <w:t>statute</w:t>
                            </w:r>
                            <w:r>
                              <w:rPr>
                                <w:color w:val="000000"/>
                                <w:spacing w:val="-3"/>
                              </w:rPr>
                              <w:t> </w:t>
                            </w:r>
                            <w:r>
                              <w:rPr>
                                <w:color w:val="000000"/>
                              </w:rPr>
                              <w:t>or</w:t>
                            </w:r>
                            <w:r>
                              <w:rPr>
                                <w:color w:val="000000"/>
                                <w:spacing w:val="-6"/>
                              </w:rPr>
                              <w:t> </w:t>
                            </w:r>
                            <w:r>
                              <w:rPr>
                                <w:color w:val="000000"/>
                              </w:rPr>
                              <w:t>through</w:t>
                            </w:r>
                            <w:r>
                              <w:rPr>
                                <w:color w:val="000000"/>
                                <w:spacing w:val="-5"/>
                              </w:rPr>
                              <w:t> </w:t>
                            </w:r>
                            <w:r>
                              <w:rPr>
                                <w:color w:val="000000"/>
                              </w:rPr>
                              <w:t>administrative</w:t>
                            </w:r>
                            <w:r>
                              <w:rPr>
                                <w:color w:val="000000"/>
                                <w:spacing w:val="-6"/>
                              </w:rPr>
                              <w:t> </w:t>
                            </w:r>
                            <w:r>
                              <w:rPr>
                                <w:color w:val="000000"/>
                              </w:rPr>
                              <w:t>actions.</w:t>
                            </w:r>
                          </w:p>
                          <w:p>
                            <w:pPr>
                              <w:pStyle w:val="BodyText"/>
                              <w:spacing w:before="119"/>
                              <w:ind w:left="28" w:right="120"/>
                              <w:rPr>
                                <w:color w:val="000000"/>
                              </w:rPr>
                            </w:pPr>
                            <w:r>
                              <w:rPr>
                                <w:color w:val="000000"/>
                              </w:rPr>
                              <w:t>The</w:t>
                            </w:r>
                            <w:r>
                              <w:rPr>
                                <w:color w:val="000000"/>
                                <w:spacing w:val="-2"/>
                              </w:rPr>
                              <w:t> </w:t>
                            </w:r>
                            <w:r>
                              <w:rPr>
                                <w:color w:val="000000"/>
                              </w:rPr>
                              <w:t>table</w:t>
                            </w:r>
                            <w:r>
                              <w:rPr>
                                <w:color w:val="000000"/>
                                <w:spacing w:val="-5"/>
                              </w:rPr>
                              <w:t> </w:t>
                            </w:r>
                            <w:r>
                              <w:rPr>
                                <w:color w:val="000000"/>
                              </w:rPr>
                              <w:t>below</w:t>
                            </w:r>
                            <w:r>
                              <w:rPr>
                                <w:color w:val="000000"/>
                                <w:spacing w:val="-2"/>
                              </w:rPr>
                              <w:t> </w:t>
                            </w:r>
                            <w:r>
                              <w:rPr>
                                <w:color w:val="000000"/>
                              </w:rPr>
                              <w:t>lists</w:t>
                            </w:r>
                            <w:r>
                              <w:rPr>
                                <w:color w:val="000000"/>
                                <w:spacing w:val="-3"/>
                              </w:rPr>
                              <w:t> </w:t>
                            </w:r>
                            <w:r>
                              <w:rPr>
                                <w:color w:val="000000"/>
                              </w:rPr>
                              <w:t>areas</w:t>
                            </w:r>
                            <w:r>
                              <w:rPr>
                                <w:color w:val="000000"/>
                                <w:spacing w:val="-5"/>
                              </w:rPr>
                              <w:t> </w:t>
                            </w:r>
                            <w:r>
                              <w:rPr>
                                <w:color w:val="000000"/>
                              </w:rPr>
                              <w:t>that</w:t>
                            </w:r>
                            <w:r>
                              <w:rPr>
                                <w:color w:val="000000"/>
                                <w:spacing w:val="-2"/>
                              </w:rPr>
                              <w:t> </w:t>
                            </w:r>
                            <w:r>
                              <w:rPr>
                                <w:color w:val="000000"/>
                              </w:rPr>
                              <w:t>have</w:t>
                            </w:r>
                            <w:r>
                              <w:rPr>
                                <w:color w:val="000000"/>
                                <w:spacing w:val="-2"/>
                              </w:rPr>
                              <w:t> </w:t>
                            </w:r>
                            <w:r>
                              <w:rPr>
                                <w:color w:val="000000"/>
                              </w:rPr>
                              <w:t>existing</w:t>
                            </w:r>
                            <w:r>
                              <w:rPr>
                                <w:color w:val="000000"/>
                                <w:spacing w:val="-4"/>
                              </w:rPr>
                              <w:t> </w:t>
                            </w:r>
                            <w:r>
                              <w:rPr>
                                <w:color w:val="000000"/>
                              </w:rPr>
                              <w:t>statutory</w:t>
                            </w:r>
                            <w:r>
                              <w:rPr>
                                <w:color w:val="000000"/>
                                <w:spacing w:val="-4"/>
                              </w:rPr>
                              <w:t> </w:t>
                            </w:r>
                            <w:r>
                              <w:rPr>
                                <w:color w:val="000000"/>
                              </w:rPr>
                              <w:t>designations,</w:t>
                            </w:r>
                            <w:r>
                              <w:rPr>
                                <w:color w:val="000000"/>
                                <w:spacing w:val="-5"/>
                              </w:rPr>
                              <w:t> </w:t>
                            </w:r>
                            <w:r>
                              <w:rPr>
                                <w:color w:val="000000"/>
                              </w:rPr>
                              <w:t>recommended</w:t>
                            </w:r>
                            <w:r>
                              <w:rPr>
                                <w:color w:val="000000"/>
                                <w:spacing w:val="-4"/>
                              </w:rPr>
                              <w:t> </w:t>
                            </w:r>
                            <w:r>
                              <w:rPr>
                                <w:color w:val="000000"/>
                              </w:rPr>
                              <w:t>or eligible areas for new designation by statute, areas with existing administrative designations, as well as areas proposed for new administrative designations.</w:t>
                            </w:r>
                          </w:p>
                        </w:txbxContent>
                      </wps:txbx>
                      <wps:bodyPr wrap="square" lIns="0" tIns="0" rIns="0" bIns="0" rtlCol="0">
                        <a:noAutofit/>
                      </wps:bodyPr>
                    </wps:wsp>
                  </a:graphicData>
                </a:graphic>
              </wp:inline>
            </w:drawing>
          </mc:Choice>
          <mc:Fallback>
            <w:pict>
              <v:shape style="width:413.3pt;height:92.55pt;mso-position-horizontal-relative:char;mso-position-vertical-relative:line" type="#_x0000_t202" id="docshape188" filled="true" fillcolor="#dfdfdf" stroked="false">
                <w10:anchorlock/>
                <v:textbox inset="0,0,0,0">
                  <w:txbxContent>
                    <w:p>
                      <w:pPr>
                        <w:pStyle w:val="BodyText"/>
                        <w:spacing w:line="268" w:lineRule="exact"/>
                        <w:ind w:left="28"/>
                        <w:rPr>
                          <w:color w:val="000000"/>
                        </w:rPr>
                      </w:pPr>
                      <w:r>
                        <w:rPr>
                          <w:color w:val="000000"/>
                        </w:rPr>
                        <w:t>AREAS</w:t>
                      </w:r>
                      <w:r>
                        <w:rPr>
                          <w:color w:val="000000"/>
                          <w:spacing w:val="-5"/>
                        </w:rPr>
                        <w:t> </w:t>
                      </w:r>
                      <w:r>
                        <w:rPr>
                          <w:color w:val="000000"/>
                        </w:rPr>
                        <w:t>WITH</w:t>
                      </w:r>
                      <w:r>
                        <w:rPr>
                          <w:color w:val="000000"/>
                          <w:spacing w:val="-5"/>
                        </w:rPr>
                        <w:t> </w:t>
                      </w:r>
                      <w:r>
                        <w:rPr>
                          <w:color w:val="000000"/>
                        </w:rPr>
                        <w:t>SPECIAL</w:t>
                      </w:r>
                      <w:r>
                        <w:rPr>
                          <w:color w:val="000000"/>
                          <w:spacing w:val="-3"/>
                        </w:rPr>
                        <w:t> </w:t>
                      </w:r>
                      <w:r>
                        <w:rPr>
                          <w:color w:val="000000"/>
                          <w:spacing w:val="-2"/>
                        </w:rPr>
                        <w:t>DESIGNATIONS</w:t>
                      </w:r>
                    </w:p>
                    <w:p>
                      <w:pPr>
                        <w:pStyle w:val="BodyText"/>
                        <w:spacing w:before="120"/>
                        <w:ind w:left="28" w:right="120"/>
                        <w:rPr>
                          <w:color w:val="000000"/>
                        </w:rPr>
                      </w:pPr>
                      <w:r>
                        <w:rPr>
                          <w:color w:val="000000"/>
                        </w:rPr>
                        <w:t>Some management areas also have special designations because of unique or special characteristics</w:t>
                      </w:r>
                      <w:r>
                        <w:rPr>
                          <w:color w:val="000000"/>
                          <w:spacing w:val="-4"/>
                        </w:rPr>
                        <w:t> </w:t>
                      </w:r>
                      <w:r>
                        <w:rPr>
                          <w:color w:val="000000"/>
                        </w:rPr>
                        <w:t>and</w:t>
                      </w:r>
                      <w:r>
                        <w:rPr>
                          <w:color w:val="000000"/>
                          <w:spacing w:val="-5"/>
                        </w:rPr>
                        <w:t> </w:t>
                      </w:r>
                      <w:r>
                        <w:rPr>
                          <w:color w:val="000000"/>
                        </w:rPr>
                        <w:t>are</w:t>
                      </w:r>
                      <w:r>
                        <w:rPr>
                          <w:color w:val="000000"/>
                          <w:spacing w:val="-3"/>
                        </w:rPr>
                        <w:t> </w:t>
                      </w:r>
                      <w:r>
                        <w:rPr>
                          <w:color w:val="000000"/>
                        </w:rPr>
                        <w:t>formally</w:t>
                      </w:r>
                      <w:r>
                        <w:rPr>
                          <w:color w:val="000000"/>
                          <w:spacing w:val="-5"/>
                        </w:rPr>
                        <w:t> </w:t>
                      </w:r>
                      <w:r>
                        <w:rPr>
                          <w:color w:val="000000"/>
                        </w:rPr>
                        <w:t>designated</w:t>
                      </w:r>
                      <w:r>
                        <w:rPr>
                          <w:color w:val="000000"/>
                          <w:spacing w:val="-5"/>
                        </w:rPr>
                        <w:t> </w:t>
                      </w:r>
                      <w:r>
                        <w:rPr>
                          <w:color w:val="000000"/>
                        </w:rPr>
                        <w:t>by</w:t>
                      </w:r>
                      <w:r>
                        <w:rPr>
                          <w:color w:val="000000"/>
                          <w:spacing w:val="-3"/>
                        </w:rPr>
                        <w:t> </w:t>
                      </w:r>
                      <w:r>
                        <w:rPr>
                          <w:color w:val="000000"/>
                        </w:rPr>
                        <w:t>statute</w:t>
                      </w:r>
                      <w:r>
                        <w:rPr>
                          <w:color w:val="000000"/>
                          <w:spacing w:val="-3"/>
                        </w:rPr>
                        <w:t> </w:t>
                      </w:r>
                      <w:r>
                        <w:rPr>
                          <w:color w:val="000000"/>
                        </w:rPr>
                        <w:t>or</w:t>
                      </w:r>
                      <w:r>
                        <w:rPr>
                          <w:color w:val="000000"/>
                          <w:spacing w:val="-6"/>
                        </w:rPr>
                        <w:t> </w:t>
                      </w:r>
                      <w:r>
                        <w:rPr>
                          <w:color w:val="000000"/>
                        </w:rPr>
                        <w:t>through</w:t>
                      </w:r>
                      <w:r>
                        <w:rPr>
                          <w:color w:val="000000"/>
                          <w:spacing w:val="-5"/>
                        </w:rPr>
                        <w:t> </w:t>
                      </w:r>
                      <w:r>
                        <w:rPr>
                          <w:color w:val="000000"/>
                        </w:rPr>
                        <w:t>administrative</w:t>
                      </w:r>
                      <w:r>
                        <w:rPr>
                          <w:color w:val="000000"/>
                          <w:spacing w:val="-6"/>
                        </w:rPr>
                        <w:t> </w:t>
                      </w:r>
                      <w:r>
                        <w:rPr>
                          <w:color w:val="000000"/>
                        </w:rPr>
                        <w:t>actions.</w:t>
                      </w:r>
                    </w:p>
                    <w:p>
                      <w:pPr>
                        <w:pStyle w:val="BodyText"/>
                        <w:spacing w:before="119"/>
                        <w:ind w:left="28" w:right="120"/>
                        <w:rPr>
                          <w:color w:val="000000"/>
                        </w:rPr>
                      </w:pPr>
                      <w:r>
                        <w:rPr>
                          <w:color w:val="000000"/>
                        </w:rPr>
                        <w:t>The</w:t>
                      </w:r>
                      <w:r>
                        <w:rPr>
                          <w:color w:val="000000"/>
                          <w:spacing w:val="-2"/>
                        </w:rPr>
                        <w:t> </w:t>
                      </w:r>
                      <w:r>
                        <w:rPr>
                          <w:color w:val="000000"/>
                        </w:rPr>
                        <w:t>table</w:t>
                      </w:r>
                      <w:r>
                        <w:rPr>
                          <w:color w:val="000000"/>
                          <w:spacing w:val="-5"/>
                        </w:rPr>
                        <w:t> </w:t>
                      </w:r>
                      <w:r>
                        <w:rPr>
                          <w:color w:val="000000"/>
                        </w:rPr>
                        <w:t>below</w:t>
                      </w:r>
                      <w:r>
                        <w:rPr>
                          <w:color w:val="000000"/>
                          <w:spacing w:val="-2"/>
                        </w:rPr>
                        <w:t> </w:t>
                      </w:r>
                      <w:r>
                        <w:rPr>
                          <w:color w:val="000000"/>
                        </w:rPr>
                        <w:t>lists</w:t>
                      </w:r>
                      <w:r>
                        <w:rPr>
                          <w:color w:val="000000"/>
                          <w:spacing w:val="-3"/>
                        </w:rPr>
                        <w:t> </w:t>
                      </w:r>
                      <w:r>
                        <w:rPr>
                          <w:color w:val="000000"/>
                        </w:rPr>
                        <w:t>areas</w:t>
                      </w:r>
                      <w:r>
                        <w:rPr>
                          <w:color w:val="000000"/>
                          <w:spacing w:val="-5"/>
                        </w:rPr>
                        <w:t> </w:t>
                      </w:r>
                      <w:r>
                        <w:rPr>
                          <w:color w:val="000000"/>
                        </w:rPr>
                        <w:t>that</w:t>
                      </w:r>
                      <w:r>
                        <w:rPr>
                          <w:color w:val="000000"/>
                          <w:spacing w:val="-2"/>
                        </w:rPr>
                        <w:t> </w:t>
                      </w:r>
                      <w:r>
                        <w:rPr>
                          <w:color w:val="000000"/>
                        </w:rPr>
                        <w:t>have</w:t>
                      </w:r>
                      <w:r>
                        <w:rPr>
                          <w:color w:val="000000"/>
                          <w:spacing w:val="-2"/>
                        </w:rPr>
                        <w:t> </w:t>
                      </w:r>
                      <w:r>
                        <w:rPr>
                          <w:color w:val="000000"/>
                        </w:rPr>
                        <w:t>existing</w:t>
                      </w:r>
                      <w:r>
                        <w:rPr>
                          <w:color w:val="000000"/>
                          <w:spacing w:val="-4"/>
                        </w:rPr>
                        <w:t> </w:t>
                      </w:r>
                      <w:r>
                        <w:rPr>
                          <w:color w:val="000000"/>
                        </w:rPr>
                        <w:t>statutory</w:t>
                      </w:r>
                      <w:r>
                        <w:rPr>
                          <w:color w:val="000000"/>
                          <w:spacing w:val="-4"/>
                        </w:rPr>
                        <w:t> </w:t>
                      </w:r>
                      <w:r>
                        <w:rPr>
                          <w:color w:val="000000"/>
                        </w:rPr>
                        <w:t>designations,</w:t>
                      </w:r>
                      <w:r>
                        <w:rPr>
                          <w:color w:val="000000"/>
                          <w:spacing w:val="-5"/>
                        </w:rPr>
                        <w:t> </w:t>
                      </w:r>
                      <w:r>
                        <w:rPr>
                          <w:color w:val="000000"/>
                        </w:rPr>
                        <w:t>recommended</w:t>
                      </w:r>
                      <w:r>
                        <w:rPr>
                          <w:color w:val="000000"/>
                          <w:spacing w:val="-4"/>
                        </w:rPr>
                        <w:t> </w:t>
                      </w:r>
                      <w:r>
                        <w:rPr>
                          <w:color w:val="000000"/>
                        </w:rPr>
                        <w:t>or eligible areas for new designation by statute, areas with existing administrative designations, as well as areas proposed for new administrative designations.</w:t>
                      </w:r>
                    </w:p>
                  </w:txbxContent>
                </v:textbox>
                <v:fill type="solid"/>
              </v:shape>
            </w:pict>
          </mc:Fallback>
        </mc:AlternateContent>
      </w:r>
      <w:r>
        <w:rPr>
          <w:rFonts w:ascii="Arial"/>
          <w:sz w:val="20"/>
        </w:rPr>
      </w:r>
    </w:p>
    <w:p>
      <w:pPr>
        <w:pStyle w:val="BodyText"/>
        <w:spacing w:before="127"/>
        <w:rPr>
          <w:rFonts w:ascii="Arial"/>
          <w:sz w:val="18"/>
        </w:rPr>
      </w:pPr>
    </w:p>
    <w:p>
      <w:pPr>
        <w:spacing w:before="0" w:after="42"/>
        <w:ind w:left="720" w:right="0" w:firstLine="0"/>
        <w:jc w:val="left"/>
        <w:rPr>
          <w:rFonts w:ascii="Arial"/>
          <w:b/>
          <w:sz w:val="18"/>
        </w:rPr>
      </w:pPr>
      <w:bookmarkStart w:name="_bookmark167" w:id="529"/>
      <w:bookmarkEnd w:id="529"/>
      <w:r>
        <w:rPr/>
      </w:r>
      <w:r>
        <w:rPr>
          <w:rFonts w:ascii="Arial"/>
          <w:b/>
          <w:sz w:val="18"/>
        </w:rPr>
        <w:t>Table</w:t>
      </w:r>
      <w:r>
        <w:rPr>
          <w:rFonts w:ascii="Arial"/>
          <w:b/>
          <w:spacing w:val="-5"/>
          <w:sz w:val="18"/>
        </w:rPr>
        <w:t> </w:t>
      </w:r>
      <w:r>
        <w:rPr>
          <w:rFonts w:ascii="Arial"/>
          <w:b/>
          <w:sz w:val="18"/>
        </w:rPr>
        <w:t>17.</w:t>
      </w:r>
      <w:r>
        <w:rPr>
          <w:rFonts w:ascii="Arial"/>
          <w:b/>
          <w:spacing w:val="-3"/>
          <w:sz w:val="18"/>
        </w:rPr>
        <w:t> </w:t>
      </w:r>
      <w:r>
        <w:rPr>
          <w:rFonts w:ascii="Arial"/>
          <w:b/>
          <w:sz w:val="18"/>
        </w:rPr>
        <w:t>Colville</w:t>
      </w:r>
      <w:r>
        <w:rPr>
          <w:rFonts w:ascii="Arial"/>
          <w:b/>
          <w:spacing w:val="-4"/>
          <w:sz w:val="18"/>
        </w:rPr>
        <w:t> </w:t>
      </w:r>
      <w:r>
        <w:rPr>
          <w:rFonts w:ascii="Arial"/>
          <w:b/>
          <w:sz w:val="18"/>
        </w:rPr>
        <w:t>National</w:t>
      </w:r>
      <w:r>
        <w:rPr>
          <w:rFonts w:ascii="Arial"/>
          <w:b/>
          <w:spacing w:val="-3"/>
          <w:sz w:val="18"/>
        </w:rPr>
        <w:t> </w:t>
      </w:r>
      <w:r>
        <w:rPr>
          <w:rFonts w:ascii="Arial"/>
          <w:b/>
          <w:sz w:val="18"/>
        </w:rPr>
        <w:t>Forest</w:t>
      </w:r>
      <w:r>
        <w:rPr>
          <w:rFonts w:ascii="Arial"/>
          <w:b/>
          <w:spacing w:val="-2"/>
          <w:sz w:val="18"/>
        </w:rPr>
        <w:t> </w:t>
      </w:r>
      <w:r>
        <w:rPr>
          <w:rFonts w:ascii="Arial"/>
          <w:b/>
          <w:sz w:val="18"/>
        </w:rPr>
        <w:t>management</w:t>
      </w:r>
      <w:r>
        <w:rPr>
          <w:rFonts w:ascii="Arial"/>
          <w:b/>
          <w:spacing w:val="-5"/>
          <w:sz w:val="18"/>
        </w:rPr>
        <w:t> </w:t>
      </w:r>
      <w:r>
        <w:rPr>
          <w:rFonts w:ascii="Arial"/>
          <w:b/>
          <w:sz w:val="18"/>
        </w:rPr>
        <w:t>areas</w:t>
      </w:r>
      <w:r>
        <w:rPr>
          <w:rFonts w:ascii="Arial"/>
          <w:b/>
          <w:spacing w:val="-4"/>
          <w:sz w:val="18"/>
        </w:rPr>
        <w:t> </w:t>
      </w:r>
      <w:r>
        <w:rPr>
          <w:rFonts w:ascii="Arial"/>
          <w:b/>
          <w:sz w:val="18"/>
        </w:rPr>
        <w:t>with</w:t>
      </w:r>
      <w:r>
        <w:rPr>
          <w:rFonts w:ascii="Arial"/>
          <w:b/>
          <w:spacing w:val="-3"/>
          <w:sz w:val="18"/>
        </w:rPr>
        <w:t> </w:t>
      </w:r>
      <w:r>
        <w:rPr>
          <w:rFonts w:ascii="Arial"/>
          <w:b/>
          <w:sz w:val="18"/>
        </w:rPr>
        <w:t>special</w:t>
      </w:r>
      <w:r>
        <w:rPr>
          <w:rFonts w:ascii="Arial"/>
          <w:b/>
          <w:spacing w:val="-2"/>
          <w:sz w:val="18"/>
        </w:rPr>
        <w:t> designations</w:t>
      </w:r>
    </w:p>
    <w:tbl>
      <w:tblPr>
        <w:tblW w:w="0" w:type="auto"/>
        <w:jc w:val="left"/>
        <w:tblInd w:w="756"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791"/>
        <w:gridCol w:w="3062"/>
        <w:gridCol w:w="2337"/>
      </w:tblGrid>
      <w:tr>
        <w:trPr>
          <w:trHeight w:val="493" w:hRule="atLeast"/>
        </w:trPr>
        <w:tc>
          <w:tcPr>
            <w:tcW w:w="2791" w:type="dxa"/>
            <w:shd w:val="clear" w:color="auto" w:fill="D5E2BB"/>
          </w:tcPr>
          <w:p>
            <w:pPr>
              <w:pStyle w:val="TableParagraph"/>
              <w:spacing w:before="145"/>
              <w:ind w:left="669"/>
              <w:rPr>
                <w:b/>
                <w:sz w:val="18"/>
              </w:rPr>
            </w:pPr>
            <w:r>
              <w:rPr>
                <w:b/>
                <w:sz w:val="18"/>
              </w:rPr>
              <w:t>Designation</w:t>
            </w:r>
            <w:r>
              <w:rPr>
                <w:b/>
                <w:spacing w:val="-5"/>
                <w:sz w:val="18"/>
              </w:rPr>
              <w:t> </w:t>
            </w:r>
            <w:r>
              <w:rPr>
                <w:b/>
                <w:spacing w:val="-4"/>
                <w:sz w:val="18"/>
              </w:rPr>
              <w:t>type</w:t>
            </w:r>
          </w:p>
        </w:tc>
        <w:tc>
          <w:tcPr>
            <w:tcW w:w="3062" w:type="dxa"/>
            <w:shd w:val="clear" w:color="auto" w:fill="D5E2BB"/>
          </w:tcPr>
          <w:p>
            <w:pPr>
              <w:pStyle w:val="TableParagraph"/>
              <w:spacing w:before="145"/>
              <w:ind w:left="798"/>
              <w:rPr>
                <w:b/>
                <w:sz w:val="18"/>
              </w:rPr>
            </w:pPr>
            <w:r>
              <w:rPr>
                <w:b/>
                <w:sz w:val="18"/>
              </w:rPr>
              <w:t>Area</w:t>
            </w:r>
            <w:r>
              <w:rPr>
                <w:b/>
                <w:spacing w:val="-5"/>
                <w:sz w:val="18"/>
              </w:rPr>
              <w:t> </w:t>
            </w:r>
            <w:r>
              <w:rPr>
                <w:b/>
                <w:spacing w:val="-2"/>
                <w:sz w:val="18"/>
              </w:rPr>
              <w:t>designation</w:t>
            </w:r>
          </w:p>
        </w:tc>
        <w:tc>
          <w:tcPr>
            <w:tcW w:w="2337" w:type="dxa"/>
            <w:shd w:val="clear" w:color="auto" w:fill="D5E2BB"/>
          </w:tcPr>
          <w:p>
            <w:pPr>
              <w:pStyle w:val="TableParagraph"/>
              <w:spacing w:before="42"/>
              <w:ind w:left="504" w:right="147" w:hanging="332"/>
              <w:rPr>
                <w:b/>
                <w:sz w:val="18"/>
              </w:rPr>
            </w:pPr>
            <w:r>
              <w:rPr>
                <w:b/>
                <w:sz w:val="18"/>
              </w:rPr>
              <w:t>Administrative</w:t>
            </w:r>
            <w:r>
              <w:rPr>
                <w:b/>
                <w:spacing w:val="-13"/>
                <w:sz w:val="18"/>
              </w:rPr>
              <w:t> </w:t>
            </w:r>
            <w:r>
              <w:rPr>
                <w:b/>
                <w:sz w:val="18"/>
              </w:rPr>
              <w:t>location (ranger district)</w:t>
            </w:r>
          </w:p>
        </w:tc>
      </w:tr>
      <w:tr>
        <w:trPr>
          <w:trHeight w:val="495" w:hRule="atLeast"/>
        </w:trPr>
        <w:tc>
          <w:tcPr>
            <w:tcW w:w="2791" w:type="dxa"/>
            <w:vMerge w:val="restart"/>
          </w:tcPr>
          <w:p>
            <w:pPr>
              <w:pStyle w:val="TableParagraph"/>
              <w:spacing w:before="42"/>
              <w:ind w:left="107"/>
              <w:rPr>
                <w:sz w:val="18"/>
              </w:rPr>
            </w:pPr>
            <w:r>
              <w:rPr>
                <w:sz w:val="18"/>
              </w:rPr>
              <w:t>Nationally</w:t>
            </w:r>
            <w:r>
              <w:rPr>
                <w:spacing w:val="-7"/>
                <w:sz w:val="18"/>
              </w:rPr>
              <w:t> </w:t>
            </w:r>
            <w:r>
              <w:rPr>
                <w:sz w:val="18"/>
              </w:rPr>
              <w:t>Designated</w:t>
            </w:r>
            <w:r>
              <w:rPr>
                <w:spacing w:val="-7"/>
                <w:sz w:val="18"/>
              </w:rPr>
              <w:t> </w:t>
            </w:r>
            <w:r>
              <w:rPr>
                <w:spacing w:val="-2"/>
                <w:sz w:val="18"/>
              </w:rPr>
              <w:t>Trails</w:t>
            </w:r>
          </w:p>
        </w:tc>
        <w:tc>
          <w:tcPr>
            <w:tcW w:w="3062" w:type="dxa"/>
          </w:tcPr>
          <w:p>
            <w:pPr>
              <w:pStyle w:val="TableParagraph"/>
              <w:spacing w:before="42"/>
              <w:ind w:left="107"/>
              <w:rPr>
                <w:sz w:val="18"/>
              </w:rPr>
            </w:pPr>
            <w:r>
              <w:rPr>
                <w:sz w:val="18"/>
              </w:rPr>
              <w:t>Pacific</w:t>
            </w:r>
            <w:r>
              <w:rPr>
                <w:spacing w:val="-12"/>
                <w:sz w:val="18"/>
              </w:rPr>
              <w:t> </w:t>
            </w:r>
            <w:r>
              <w:rPr>
                <w:sz w:val="18"/>
              </w:rPr>
              <w:t>Northwest</w:t>
            </w:r>
            <w:r>
              <w:rPr>
                <w:spacing w:val="-12"/>
                <w:sz w:val="18"/>
              </w:rPr>
              <w:t> </w:t>
            </w:r>
            <w:r>
              <w:rPr>
                <w:sz w:val="18"/>
              </w:rPr>
              <w:t>National</w:t>
            </w:r>
            <w:r>
              <w:rPr>
                <w:spacing w:val="-12"/>
                <w:sz w:val="18"/>
              </w:rPr>
              <w:t> </w:t>
            </w:r>
            <w:r>
              <w:rPr>
                <w:sz w:val="18"/>
              </w:rPr>
              <w:t>Scenic </w:t>
            </w:r>
            <w:r>
              <w:rPr>
                <w:spacing w:val="-2"/>
                <w:sz w:val="18"/>
              </w:rPr>
              <w:t>Trail</w:t>
            </w:r>
          </w:p>
        </w:tc>
        <w:tc>
          <w:tcPr>
            <w:tcW w:w="2337" w:type="dxa"/>
          </w:tcPr>
          <w:p>
            <w:pPr>
              <w:pStyle w:val="TableParagraph"/>
              <w:spacing w:before="42"/>
              <w:ind w:left="108"/>
              <w:rPr>
                <w:sz w:val="18"/>
              </w:rPr>
            </w:pPr>
            <w:r>
              <w:rPr>
                <w:spacing w:val="-2"/>
                <w:sz w:val="18"/>
              </w:rPr>
              <w:t>Forestwide</w:t>
            </w:r>
          </w:p>
        </w:tc>
      </w:tr>
      <w:tr>
        <w:trPr>
          <w:trHeight w:val="493" w:hRule="atLeast"/>
        </w:trPr>
        <w:tc>
          <w:tcPr>
            <w:tcW w:w="2791" w:type="dxa"/>
            <w:vMerge/>
            <w:tcBorders>
              <w:top w:val="nil"/>
            </w:tcBorders>
          </w:tcPr>
          <w:p>
            <w:pPr>
              <w:rPr>
                <w:sz w:val="2"/>
                <w:szCs w:val="2"/>
              </w:rPr>
            </w:pPr>
          </w:p>
        </w:tc>
        <w:tc>
          <w:tcPr>
            <w:tcW w:w="3062" w:type="dxa"/>
          </w:tcPr>
          <w:p>
            <w:pPr>
              <w:pStyle w:val="TableParagraph"/>
              <w:ind w:left="107" w:right="80"/>
              <w:rPr>
                <w:sz w:val="18"/>
              </w:rPr>
            </w:pPr>
            <w:r>
              <w:rPr>
                <w:sz w:val="18"/>
              </w:rPr>
              <w:t>Kettle</w:t>
            </w:r>
            <w:r>
              <w:rPr>
                <w:spacing w:val="-12"/>
                <w:sz w:val="18"/>
              </w:rPr>
              <w:t> </w:t>
            </w:r>
            <w:r>
              <w:rPr>
                <w:sz w:val="18"/>
              </w:rPr>
              <w:t>Crest</w:t>
            </w:r>
            <w:r>
              <w:rPr>
                <w:spacing w:val="-13"/>
                <w:sz w:val="18"/>
              </w:rPr>
              <w:t> </w:t>
            </w:r>
            <w:r>
              <w:rPr>
                <w:sz w:val="18"/>
              </w:rPr>
              <w:t>National</w:t>
            </w:r>
            <w:r>
              <w:rPr>
                <w:spacing w:val="-12"/>
                <w:sz w:val="18"/>
              </w:rPr>
              <w:t> </w:t>
            </w:r>
            <w:r>
              <w:rPr>
                <w:sz w:val="18"/>
              </w:rPr>
              <w:t>Recreation </w:t>
            </w:r>
            <w:r>
              <w:rPr>
                <w:spacing w:val="-2"/>
                <w:sz w:val="18"/>
              </w:rPr>
              <w:t>Trail</w:t>
            </w:r>
          </w:p>
        </w:tc>
        <w:tc>
          <w:tcPr>
            <w:tcW w:w="2337" w:type="dxa"/>
          </w:tcPr>
          <w:p>
            <w:pPr>
              <w:pStyle w:val="TableParagraph"/>
              <w:ind w:left="108"/>
              <w:rPr>
                <w:sz w:val="18"/>
              </w:rPr>
            </w:pPr>
            <w:r>
              <w:rPr>
                <w:sz w:val="18"/>
              </w:rPr>
              <w:t>Republic/Three</w:t>
            </w:r>
            <w:r>
              <w:rPr>
                <w:spacing w:val="-8"/>
                <w:sz w:val="18"/>
              </w:rPr>
              <w:t> </w:t>
            </w:r>
            <w:r>
              <w:rPr>
                <w:spacing w:val="-2"/>
                <w:sz w:val="18"/>
              </w:rPr>
              <w:t>Rivers</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Pass</w:t>
            </w:r>
            <w:r>
              <w:rPr>
                <w:spacing w:val="-2"/>
                <w:sz w:val="18"/>
              </w:rPr>
              <w:t> </w:t>
            </w:r>
            <w:r>
              <w:rPr>
                <w:sz w:val="18"/>
              </w:rPr>
              <w:t>Creek-Grassy</w:t>
            </w:r>
            <w:r>
              <w:rPr>
                <w:spacing w:val="-4"/>
                <w:sz w:val="18"/>
              </w:rPr>
              <w:t> </w:t>
            </w:r>
            <w:r>
              <w:rPr>
                <w:spacing w:val="-5"/>
                <w:sz w:val="18"/>
              </w:rPr>
              <w:t>Top</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7"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Shedroof</w:t>
            </w:r>
            <w:r>
              <w:rPr>
                <w:spacing w:val="-3"/>
                <w:sz w:val="18"/>
              </w:rPr>
              <w:t> </w:t>
            </w:r>
            <w:r>
              <w:rPr>
                <w:spacing w:val="-2"/>
                <w:sz w:val="18"/>
              </w:rPr>
              <w:t>Divide</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spacing w:before="42"/>
              <w:ind w:left="107"/>
              <w:rPr>
                <w:sz w:val="18"/>
              </w:rPr>
            </w:pPr>
            <w:r>
              <w:rPr>
                <w:sz w:val="18"/>
              </w:rPr>
              <w:t>Lakeshore</w:t>
            </w:r>
            <w:r>
              <w:rPr>
                <w:spacing w:val="-7"/>
                <w:sz w:val="18"/>
              </w:rPr>
              <w:t> </w:t>
            </w:r>
            <w:r>
              <w:rPr>
                <w:sz w:val="18"/>
              </w:rPr>
              <w:t>(aka,</w:t>
            </w:r>
            <w:r>
              <w:rPr>
                <w:spacing w:val="-8"/>
                <w:sz w:val="18"/>
              </w:rPr>
              <w:t> </w:t>
            </w:r>
            <w:r>
              <w:rPr>
                <w:sz w:val="18"/>
              </w:rPr>
              <w:t>Sullivan</w:t>
            </w:r>
            <w:r>
              <w:rPr>
                <w:spacing w:val="-6"/>
                <w:sz w:val="18"/>
              </w:rPr>
              <w:t> </w:t>
            </w:r>
            <w:r>
              <w:rPr>
                <w:spacing w:val="-4"/>
                <w:sz w:val="18"/>
              </w:rPr>
              <w:t>Lake)</w:t>
            </w:r>
          </w:p>
        </w:tc>
        <w:tc>
          <w:tcPr>
            <w:tcW w:w="2337" w:type="dxa"/>
          </w:tcPr>
          <w:p>
            <w:pPr>
              <w:pStyle w:val="TableParagraph"/>
              <w:spacing w:before="42"/>
              <w:ind w:left="108"/>
              <w:rPr>
                <w:sz w:val="18"/>
              </w:rPr>
            </w:pPr>
            <w:r>
              <w:rPr>
                <w:sz w:val="18"/>
              </w:rPr>
              <w:t>Sullivan</w:t>
            </w:r>
            <w:r>
              <w:rPr>
                <w:spacing w:val="-7"/>
                <w:sz w:val="18"/>
              </w:rPr>
              <w:t> </w:t>
            </w:r>
            <w:r>
              <w:rPr>
                <w:spacing w:val="-4"/>
                <w:sz w:val="18"/>
              </w:rPr>
              <w:t>Lake</w:t>
            </w:r>
          </w:p>
        </w:tc>
      </w:tr>
      <w:tr>
        <w:trPr>
          <w:trHeight w:val="493" w:hRule="atLeast"/>
        </w:trPr>
        <w:tc>
          <w:tcPr>
            <w:tcW w:w="2791" w:type="dxa"/>
          </w:tcPr>
          <w:p>
            <w:pPr>
              <w:pStyle w:val="TableParagraph"/>
              <w:ind w:left="107"/>
              <w:rPr>
                <w:sz w:val="18"/>
              </w:rPr>
            </w:pPr>
            <w:r>
              <w:rPr>
                <w:spacing w:val="-2"/>
                <w:sz w:val="18"/>
              </w:rPr>
              <w:t>Wilderness-Congressionally Designated</w:t>
            </w:r>
          </w:p>
        </w:tc>
        <w:tc>
          <w:tcPr>
            <w:tcW w:w="3062" w:type="dxa"/>
          </w:tcPr>
          <w:p>
            <w:pPr>
              <w:pStyle w:val="TableParagraph"/>
              <w:ind w:left="107"/>
              <w:rPr>
                <w:sz w:val="18"/>
              </w:rPr>
            </w:pPr>
            <w:r>
              <w:rPr>
                <w:sz w:val="18"/>
              </w:rPr>
              <w:t>Salmo-Priest</w:t>
            </w:r>
            <w:r>
              <w:rPr>
                <w:spacing w:val="-9"/>
                <w:sz w:val="18"/>
              </w:rPr>
              <w:t> </w:t>
            </w:r>
            <w:r>
              <w:rPr>
                <w:spacing w:val="-2"/>
                <w:sz w:val="18"/>
              </w:rPr>
              <w:t>Wilderness</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493" w:hRule="atLeast"/>
        </w:trPr>
        <w:tc>
          <w:tcPr>
            <w:tcW w:w="2791" w:type="dxa"/>
            <w:vMerge w:val="restart"/>
          </w:tcPr>
          <w:p>
            <w:pPr>
              <w:pStyle w:val="TableParagraph"/>
              <w:ind w:left="107"/>
              <w:rPr>
                <w:sz w:val="18"/>
              </w:rPr>
            </w:pPr>
            <w:r>
              <w:rPr>
                <w:spacing w:val="-2"/>
                <w:sz w:val="18"/>
              </w:rPr>
              <w:t>Wilderness-Recommended</w:t>
            </w:r>
          </w:p>
        </w:tc>
        <w:tc>
          <w:tcPr>
            <w:tcW w:w="3062" w:type="dxa"/>
          </w:tcPr>
          <w:p>
            <w:pPr>
              <w:pStyle w:val="TableParagraph"/>
              <w:ind w:left="107"/>
              <w:rPr>
                <w:sz w:val="18"/>
              </w:rPr>
            </w:pPr>
            <w:r>
              <w:rPr>
                <w:spacing w:val="-2"/>
                <w:sz w:val="18"/>
              </w:rPr>
              <w:t>Abercrombie-Hooknose*</w:t>
            </w:r>
          </w:p>
        </w:tc>
        <w:tc>
          <w:tcPr>
            <w:tcW w:w="2337" w:type="dxa"/>
          </w:tcPr>
          <w:p>
            <w:pPr>
              <w:pStyle w:val="TableParagraph"/>
              <w:ind w:left="108" w:right="611"/>
              <w:rPr>
                <w:sz w:val="18"/>
              </w:rPr>
            </w:pPr>
            <w:r>
              <w:rPr>
                <w:sz w:val="18"/>
              </w:rPr>
              <w:t>Sullivan</w:t>
            </w:r>
            <w:r>
              <w:rPr>
                <w:spacing w:val="-13"/>
                <w:sz w:val="18"/>
              </w:rPr>
              <w:t> </w:t>
            </w:r>
            <w:r>
              <w:rPr>
                <w:sz w:val="18"/>
              </w:rPr>
              <w:t>Lake/Three </w:t>
            </w:r>
            <w:r>
              <w:rPr>
                <w:spacing w:val="-2"/>
                <w:sz w:val="18"/>
              </w:rPr>
              <w:t>Rivers</w:t>
            </w:r>
          </w:p>
        </w:tc>
      </w:tr>
      <w:tr>
        <w:trPr>
          <w:trHeight w:val="349" w:hRule="atLeast"/>
        </w:trPr>
        <w:tc>
          <w:tcPr>
            <w:tcW w:w="2791" w:type="dxa"/>
            <w:vMerge/>
            <w:tcBorders>
              <w:top w:val="nil"/>
            </w:tcBorders>
          </w:tcPr>
          <w:p>
            <w:pPr>
              <w:rPr>
                <w:sz w:val="2"/>
                <w:szCs w:val="2"/>
              </w:rPr>
            </w:pPr>
          </w:p>
        </w:tc>
        <w:tc>
          <w:tcPr>
            <w:tcW w:w="3062" w:type="dxa"/>
          </w:tcPr>
          <w:p>
            <w:pPr>
              <w:pStyle w:val="TableParagraph"/>
              <w:spacing w:before="42"/>
              <w:ind w:left="107"/>
              <w:rPr>
                <w:sz w:val="18"/>
              </w:rPr>
            </w:pPr>
            <w:r>
              <w:rPr>
                <w:sz w:val="18"/>
              </w:rPr>
              <w:t>Salmo-Priest</w:t>
            </w:r>
            <w:r>
              <w:rPr>
                <w:spacing w:val="-5"/>
                <w:sz w:val="18"/>
              </w:rPr>
              <w:t> </w:t>
            </w:r>
            <w:r>
              <w:rPr>
                <w:spacing w:val="-2"/>
                <w:sz w:val="18"/>
              </w:rPr>
              <w:t>Adjacent*</w:t>
            </w:r>
          </w:p>
        </w:tc>
        <w:tc>
          <w:tcPr>
            <w:tcW w:w="2337" w:type="dxa"/>
          </w:tcPr>
          <w:p>
            <w:pPr>
              <w:pStyle w:val="TableParagraph"/>
              <w:spacing w:before="42"/>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Bald</w:t>
            </w:r>
            <w:r>
              <w:rPr>
                <w:spacing w:val="-2"/>
                <w:sz w:val="18"/>
              </w:rPr>
              <w:t> Snow*</w:t>
            </w:r>
          </w:p>
        </w:tc>
        <w:tc>
          <w:tcPr>
            <w:tcW w:w="2337" w:type="dxa"/>
          </w:tcPr>
          <w:p>
            <w:pPr>
              <w:pStyle w:val="TableParagraph"/>
              <w:ind w:left="108"/>
              <w:rPr>
                <w:sz w:val="18"/>
              </w:rPr>
            </w:pPr>
            <w:r>
              <w:rPr>
                <w:sz w:val="18"/>
              </w:rPr>
              <w:t>Republic/Three</w:t>
            </w:r>
            <w:r>
              <w:rPr>
                <w:spacing w:val="-8"/>
                <w:sz w:val="18"/>
              </w:rPr>
              <w:t> </w:t>
            </w:r>
            <w:r>
              <w:rPr>
                <w:spacing w:val="-2"/>
                <w:sz w:val="18"/>
              </w:rPr>
              <w:t>Rivers</w:t>
            </w:r>
          </w:p>
        </w:tc>
      </w:tr>
      <w:tr>
        <w:trPr>
          <w:trHeight w:val="289" w:hRule="atLeast"/>
        </w:trPr>
        <w:tc>
          <w:tcPr>
            <w:tcW w:w="2791" w:type="dxa"/>
            <w:vMerge w:val="restart"/>
          </w:tcPr>
          <w:p>
            <w:pPr>
              <w:pStyle w:val="TableParagraph"/>
              <w:ind w:left="107"/>
              <w:rPr>
                <w:sz w:val="18"/>
              </w:rPr>
            </w:pPr>
            <w:r>
              <w:rPr>
                <w:sz w:val="18"/>
              </w:rPr>
              <w:t>Wild</w:t>
            </w:r>
            <w:r>
              <w:rPr>
                <w:spacing w:val="-4"/>
                <w:sz w:val="18"/>
              </w:rPr>
              <w:t> </w:t>
            </w:r>
            <w:r>
              <w:rPr>
                <w:sz w:val="18"/>
              </w:rPr>
              <w:t>and</w:t>
            </w:r>
            <w:r>
              <w:rPr>
                <w:spacing w:val="-2"/>
                <w:sz w:val="18"/>
              </w:rPr>
              <w:t> </w:t>
            </w:r>
            <w:r>
              <w:rPr>
                <w:sz w:val="18"/>
              </w:rPr>
              <w:t>Scenic</w:t>
            </w:r>
            <w:r>
              <w:rPr>
                <w:spacing w:val="-1"/>
                <w:sz w:val="18"/>
              </w:rPr>
              <w:t> </w:t>
            </w:r>
            <w:r>
              <w:rPr>
                <w:sz w:val="18"/>
              </w:rPr>
              <w:t>Rivers-</w:t>
            </w:r>
            <w:r>
              <w:rPr>
                <w:spacing w:val="-2"/>
                <w:sz w:val="18"/>
              </w:rPr>
              <w:t> Eligible</w:t>
            </w:r>
          </w:p>
        </w:tc>
        <w:tc>
          <w:tcPr>
            <w:tcW w:w="3062" w:type="dxa"/>
          </w:tcPr>
          <w:p>
            <w:pPr>
              <w:pStyle w:val="TableParagraph"/>
              <w:ind w:left="107"/>
              <w:rPr>
                <w:sz w:val="18"/>
              </w:rPr>
            </w:pPr>
            <w:r>
              <w:rPr>
                <w:spacing w:val="-2"/>
                <w:sz w:val="18"/>
              </w:rPr>
              <w:t>Kettle*</w:t>
            </w:r>
          </w:p>
        </w:tc>
        <w:tc>
          <w:tcPr>
            <w:tcW w:w="2337" w:type="dxa"/>
          </w:tcPr>
          <w:p>
            <w:pPr>
              <w:pStyle w:val="TableParagraph"/>
              <w:ind w:left="108"/>
              <w:rPr>
                <w:sz w:val="18"/>
              </w:rPr>
            </w:pPr>
            <w:r>
              <w:rPr>
                <w:sz w:val="18"/>
              </w:rPr>
              <w:t>Three</w:t>
            </w:r>
            <w:r>
              <w:rPr>
                <w:spacing w:val="-3"/>
                <w:sz w:val="18"/>
              </w:rPr>
              <w:t> </w:t>
            </w:r>
            <w:r>
              <w:rPr>
                <w:spacing w:val="-2"/>
                <w:sz w:val="18"/>
              </w:rPr>
              <w:t>Rivers</w:t>
            </w:r>
          </w:p>
        </w:tc>
      </w:tr>
      <w:tr>
        <w:trPr>
          <w:trHeight w:val="287"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South</w:t>
            </w:r>
            <w:r>
              <w:rPr>
                <w:spacing w:val="-1"/>
                <w:sz w:val="18"/>
              </w:rPr>
              <w:t> </w:t>
            </w:r>
            <w:r>
              <w:rPr>
                <w:sz w:val="18"/>
              </w:rPr>
              <w:t>Fork </w:t>
            </w:r>
            <w:r>
              <w:rPr>
                <w:spacing w:val="-2"/>
                <w:sz w:val="18"/>
              </w:rPr>
              <w:t>Salmo*</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9" w:hRule="atLeast"/>
        </w:trPr>
        <w:tc>
          <w:tcPr>
            <w:tcW w:w="2791" w:type="dxa"/>
            <w:vMerge w:val="restart"/>
          </w:tcPr>
          <w:p>
            <w:pPr>
              <w:pStyle w:val="TableParagraph"/>
              <w:spacing w:before="42"/>
              <w:ind w:left="107"/>
              <w:rPr>
                <w:sz w:val="18"/>
              </w:rPr>
            </w:pPr>
            <w:r>
              <w:rPr>
                <w:sz w:val="18"/>
              </w:rPr>
              <w:t>Research</w:t>
            </w:r>
            <w:r>
              <w:rPr>
                <w:spacing w:val="-4"/>
                <w:sz w:val="18"/>
              </w:rPr>
              <w:t> </w:t>
            </w:r>
            <w:r>
              <w:rPr>
                <w:sz w:val="18"/>
              </w:rPr>
              <w:t>Natural</w:t>
            </w:r>
            <w:r>
              <w:rPr>
                <w:spacing w:val="-6"/>
                <w:sz w:val="18"/>
              </w:rPr>
              <w:t> </w:t>
            </w:r>
            <w:r>
              <w:rPr>
                <w:spacing w:val="-4"/>
                <w:sz w:val="18"/>
              </w:rPr>
              <w:t>Areas</w:t>
            </w:r>
          </w:p>
        </w:tc>
        <w:tc>
          <w:tcPr>
            <w:tcW w:w="3062" w:type="dxa"/>
          </w:tcPr>
          <w:p>
            <w:pPr>
              <w:pStyle w:val="TableParagraph"/>
              <w:spacing w:before="42"/>
              <w:ind w:left="107"/>
              <w:rPr>
                <w:sz w:val="18"/>
              </w:rPr>
            </w:pPr>
            <w:r>
              <w:rPr>
                <w:sz w:val="18"/>
              </w:rPr>
              <w:t>Bunchgrass</w:t>
            </w:r>
            <w:r>
              <w:rPr>
                <w:spacing w:val="-3"/>
                <w:sz w:val="18"/>
              </w:rPr>
              <w:t> </w:t>
            </w:r>
            <w:r>
              <w:rPr>
                <w:spacing w:val="-2"/>
                <w:sz w:val="18"/>
              </w:rPr>
              <w:t>Meadows</w:t>
            </w:r>
          </w:p>
        </w:tc>
        <w:tc>
          <w:tcPr>
            <w:tcW w:w="2337" w:type="dxa"/>
          </w:tcPr>
          <w:p>
            <w:pPr>
              <w:pStyle w:val="TableParagraph"/>
              <w:spacing w:before="42"/>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Fire</w:t>
            </w:r>
            <w:r>
              <w:rPr>
                <w:spacing w:val="1"/>
                <w:sz w:val="18"/>
              </w:rPr>
              <w:t> </w:t>
            </w:r>
            <w:r>
              <w:rPr>
                <w:spacing w:val="-2"/>
                <w:sz w:val="18"/>
              </w:rPr>
              <w:t>Mountain*</w:t>
            </w:r>
          </w:p>
        </w:tc>
        <w:tc>
          <w:tcPr>
            <w:tcW w:w="2337" w:type="dxa"/>
          </w:tcPr>
          <w:p>
            <w:pPr>
              <w:pStyle w:val="TableParagraph"/>
              <w:ind w:left="108"/>
              <w:rPr>
                <w:sz w:val="18"/>
              </w:rPr>
            </w:pPr>
            <w:r>
              <w:rPr>
                <w:spacing w:val="-2"/>
                <w:sz w:val="18"/>
              </w:rPr>
              <w:t>Republic</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Hall</w:t>
            </w:r>
            <w:r>
              <w:rPr>
                <w:spacing w:val="-2"/>
                <w:sz w:val="18"/>
              </w:rPr>
              <w:t> Ponds*</w:t>
            </w:r>
          </w:p>
        </w:tc>
        <w:tc>
          <w:tcPr>
            <w:tcW w:w="2337" w:type="dxa"/>
          </w:tcPr>
          <w:p>
            <w:pPr>
              <w:pStyle w:val="TableParagraph"/>
              <w:ind w:left="108"/>
              <w:rPr>
                <w:sz w:val="18"/>
              </w:rPr>
            </w:pPr>
            <w:r>
              <w:rPr>
                <w:spacing w:val="-2"/>
                <w:sz w:val="18"/>
              </w:rPr>
              <w:t>Republic</w:t>
            </w:r>
          </w:p>
        </w:tc>
      </w:tr>
      <w:tr>
        <w:trPr>
          <w:trHeight w:val="287"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Halliday</w:t>
            </w:r>
            <w:r>
              <w:rPr>
                <w:spacing w:val="-6"/>
                <w:sz w:val="18"/>
              </w:rPr>
              <w:t> </w:t>
            </w:r>
            <w:r>
              <w:rPr>
                <w:spacing w:val="-5"/>
                <w:sz w:val="18"/>
              </w:rPr>
              <w:t>Fen</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spacing w:before="42"/>
              <w:ind w:left="107"/>
              <w:rPr>
                <w:sz w:val="18"/>
              </w:rPr>
            </w:pPr>
            <w:r>
              <w:rPr>
                <w:sz w:val="18"/>
              </w:rPr>
              <w:t>Maitlen</w:t>
            </w:r>
            <w:r>
              <w:rPr>
                <w:spacing w:val="-10"/>
                <w:sz w:val="18"/>
              </w:rPr>
              <w:t> </w:t>
            </w:r>
            <w:r>
              <w:rPr>
                <w:spacing w:val="-2"/>
                <w:sz w:val="18"/>
              </w:rPr>
              <w:t>Creek</w:t>
            </w:r>
          </w:p>
        </w:tc>
        <w:tc>
          <w:tcPr>
            <w:tcW w:w="2337" w:type="dxa"/>
          </w:tcPr>
          <w:p>
            <w:pPr>
              <w:pStyle w:val="TableParagraph"/>
              <w:spacing w:before="42"/>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Round</w:t>
            </w:r>
            <w:r>
              <w:rPr>
                <w:spacing w:val="-2"/>
                <w:sz w:val="18"/>
              </w:rPr>
              <w:t> </w:t>
            </w:r>
            <w:r>
              <w:rPr>
                <w:sz w:val="18"/>
              </w:rPr>
              <w:t>Top</w:t>
            </w:r>
            <w:r>
              <w:rPr>
                <w:spacing w:val="-1"/>
                <w:sz w:val="18"/>
              </w:rPr>
              <w:t> </w:t>
            </w:r>
            <w:r>
              <w:rPr>
                <w:spacing w:val="-2"/>
                <w:sz w:val="18"/>
              </w:rPr>
              <w:t>Mountain</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pacing w:val="-2"/>
                <w:sz w:val="18"/>
              </w:rPr>
              <w:t>Salmo</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287" w:hRule="atLeast"/>
        </w:trPr>
        <w:tc>
          <w:tcPr>
            <w:tcW w:w="2791" w:type="dxa"/>
            <w:vMerge w:val="restart"/>
          </w:tcPr>
          <w:p>
            <w:pPr>
              <w:pStyle w:val="TableParagraph"/>
              <w:ind w:left="107"/>
              <w:rPr>
                <w:sz w:val="18"/>
              </w:rPr>
            </w:pPr>
            <w:r>
              <w:rPr>
                <w:sz w:val="18"/>
              </w:rPr>
              <w:t>Scenic</w:t>
            </w:r>
            <w:r>
              <w:rPr>
                <w:spacing w:val="-1"/>
                <w:sz w:val="18"/>
              </w:rPr>
              <w:t> </w:t>
            </w:r>
            <w:r>
              <w:rPr>
                <w:spacing w:val="-2"/>
                <w:sz w:val="18"/>
              </w:rPr>
              <w:t>Byways</w:t>
            </w:r>
          </w:p>
        </w:tc>
        <w:tc>
          <w:tcPr>
            <w:tcW w:w="3062" w:type="dxa"/>
          </w:tcPr>
          <w:p>
            <w:pPr>
              <w:pStyle w:val="TableParagraph"/>
              <w:ind w:left="107"/>
              <w:rPr>
                <w:sz w:val="18"/>
              </w:rPr>
            </w:pPr>
            <w:r>
              <w:rPr>
                <w:sz w:val="18"/>
              </w:rPr>
              <w:t>Sherman</w:t>
            </w:r>
            <w:r>
              <w:rPr>
                <w:spacing w:val="-4"/>
                <w:sz w:val="18"/>
              </w:rPr>
              <w:t> </w:t>
            </w:r>
            <w:r>
              <w:rPr>
                <w:sz w:val="18"/>
              </w:rPr>
              <w:t>Pass</w:t>
            </w:r>
            <w:r>
              <w:rPr>
                <w:spacing w:val="-2"/>
                <w:sz w:val="18"/>
              </w:rPr>
              <w:t> </w:t>
            </w:r>
            <w:r>
              <w:rPr>
                <w:sz w:val="18"/>
              </w:rPr>
              <w:t>Scenic</w:t>
            </w:r>
            <w:r>
              <w:rPr>
                <w:spacing w:val="-1"/>
                <w:sz w:val="18"/>
              </w:rPr>
              <w:t> </w:t>
            </w:r>
            <w:r>
              <w:rPr>
                <w:spacing w:val="-4"/>
                <w:sz w:val="18"/>
              </w:rPr>
              <w:t>Byway</w:t>
            </w:r>
          </w:p>
        </w:tc>
        <w:tc>
          <w:tcPr>
            <w:tcW w:w="2337" w:type="dxa"/>
          </w:tcPr>
          <w:p>
            <w:pPr>
              <w:pStyle w:val="TableParagraph"/>
              <w:ind w:left="108"/>
              <w:rPr>
                <w:sz w:val="18"/>
              </w:rPr>
            </w:pPr>
            <w:r>
              <w:rPr>
                <w:sz w:val="18"/>
              </w:rPr>
              <w:t>Republic/Three</w:t>
            </w:r>
            <w:r>
              <w:rPr>
                <w:spacing w:val="-8"/>
                <w:sz w:val="18"/>
              </w:rPr>
              <w:t> </w:t>
            </w:r>
            <w:r>
              <w:rPr>
                <w:spacing w:val="-2"/>
                <w:sz w:val="18"/>
              </w:rPr>
              <w:t>Rivers</w:t>
            </w:r>
          </w:p>
        </w:tc>
      </w:tr>
      <w:tr>
        <w:trPr>
          <w:trHeight w:val="289" w:hRule="atLeast"/>
        </w:trPr>
        <w:tc>
          <w:tcPr>
            <w:tcW w:w="2791" w:type="dxa"/>
            <w:vMerge/>
            <w:tcBorders>
              <w:top w:val="nil"/>
            </w:tcBorders>
          </w:tcPr>
          <w:p>
            <w:pPr>
              <w:rPr>
                <w:sz w:val="2"/>
                <w:szCs w:val="2"/>
              </w:rPr>
            </w:pPr>
          </w:p>
        </w:tc>
        <w:tc>
          <w:tcPr>
            <w:tcW w:w="3062" w:type="dxa"/>
          </w:tcPr>
          <w:p>
            <w:pPr>
              <w:pStyle w:val="TableParagraph"/>
              <w:spacing w:before="42"/>
              <w:ind w:left="107"/>
              <w:rPr>
                <w:sz w:val="18"/>
              </w:rPr>
            </w:pPr>
            <w:r>
              <w:rPr>
                <w:sz w:val="18"/>
              </w:rPr>
              <w:t>North</w:t>
            </w:r>
            <w:r>
              <w:rPr>
                <w:spacing w:val="-3"/>
                <w:sz w:val="18"/>
              </w:rPr>
              <w:t> </w:t>
            </w:r>
            <w:r>
              <w:rPr>
                <w:sz w:val="18"/>
              </w:rPr>
              <w:t>Pend</w:t>
            </w:r>
            <w:r>
              <w:rPr>
                <w:spacing w:val="-2"/>
                <w:sz w:val="18"/>
              </w:rPr>
              <w:t> </w:t>
            </w:r>
            <w:r>
              <w:rPr>
                <w:sz w:val="18"/>
              </w:rPr>
              <w:t>Oreille</w:t>
            </w:r>
            <w:r>
              <w:rPr>
                <w:spacing w:val="-2"/>
                <w:sz w:val="18"/>
              </w:rPr>
              <w:t> </w:t>
            </w:r>
            <w:r>
              <w:rPr>
                <w:sz w:val="18"/>
              </w:rPr>
              <w:t>Scenic</w:t>
            </w:r>
            <w:r>
              <w:rPr>
                <w:spacing w:val="-2"/>
                <w:sz w:val="18"/>
              </w:rPr>
              <w:t> </w:t>
            </w:r>
            <w:r>
              <w:rPr>
                <w:spacing w:val="-4"/>
                <w:sz w:val="18"/>
              </w:rPr>
              <w:t>Byway</w:t>
            </w:r>
          </w:p>
        </w:tc>
        <w:tc>
          <w:tcPr>
            <w:tcW w:w="2337" w:type="dxa"/>
          </w:tcPr>
          <w:p>
            <w:pPr>
              <w:pStyle w:val="TableParagraph"/>
              <w:spacing w:before="42"/>
              <w:ind w:left="108"/>
              <w:rPr>
                <w:sz w:val="18"/>
              </w:rPr>
            </w:pPr>
            <w:r>
              <w:rPr>
                <w:sz w:val="18"/>
              </w:rPr>
              <w:t>Sullivan</w:t>
            </w:r>
            <w:r>
              <w:rPr>
                <w:spacing w:val="-7"/>
                <w:sz w:val="18"/>
              </w:rPr>
              <w:t> </w:t>
            </w:r>
            <w:r>
              <w:rPr>
                <w:spacing w:val="-4"/>
                <w:sz w:val="18"/>
              </w:rPr>
              <w:t>Lake</w:t>
            </w:r>
          </w:p>
        </w:tc>
      </w:tr>
      <w:tr>
        <w:trPr>
          <w:trHeight w:val="289" w:hRule="atLeast"/>
        </w:trPr>
        <w:tc>
          <w:tcPr>
            <w:tcW w:w="2791" w:type="dxa"/>
            <w:vMerge/>
            <w:tcBorders>
              <w:top w:val="nil"/>
            </w:tcBorders>
          </w:tcPr>
          <w:p>
            <w:pPr>
              <w:rPr>
                <w:sz w:val="2"/>
                <w:szCs w:val="2"/>
              </w:rPr>
            </w:pPr>
          </w:p>
        </w:tc>
        <w:tc>
          <w:tcPr>
            <w:tcW w:w="3062" w:type="dxa"/>
          </w:tcPr>
          <w:p>
            <w:pPr>
              <w:pStyle w:val="TableParagraph"/>
              <w:ind w:left="107"/>
              <w:rPr>
                <w:sz w:val="18"/>
              </w:rPr>
            </w:pPr>
            <w:r>
              <w:rPr>
                <w:sz w:val="18"/>
              </w:rPr>
              <w:t>International</w:t>
            </w:r>
            <w:r>
              <w:rPr>
                <w:spacing w:val="-6"/>
                <w:sz w:val="18"/>
              </w:rPr>
              <w:t> </w:t>
            </w:r>
            <w:r>
              <w:rPr>
                <w:sz w:val="18"/>
              </w:rPr>
              <w:t>Selkirk</w:t>
            </w:r>
            <w:r>
              <w:rPr>
                <w:spacing w:val="-5"/>
                <w:sz w:val="18"/>
              </w:rPr>
              <w:t> </w:t>
            </w:r>
            <w:r>
              <w:rPr>
                <w:spacing w:val="-4"/>
                <w:sz w:val="18"/>
              </w:rPr>
              <w:t>Loop</w:t>
            </w:r>
          </w:p>
        </w:tc>
        <w:tc>
          <w:tcPr>
            <w:tcW w:w="2337" w:type="dxa"/>
          </w:tcPr>
          <w:p>
            <w:pPr>
              <w:pStyle w:val="TableParagraph"/>
              <w:ind w:left="108"/>
              <w:rPr>
                <w:sz w:val="18"/>
              </w:rPr>
            </w:pPr>
            <w:r>
              <w:rPr>
                <w:sz w:val="18"/>
              </w:rPr>
              <w:t>Sullivan</w:t>
            </w:r>
            <w:r>
              <w:rPr>
                <w:spacing w:val="-7"/>
                <w:sz w:val="18"/>
              </w:rPr>
              <w:t> </w:t>
            </w:r>
            <w:r>
              <w:rPr>
                <w:spacing w:val="-4"/>
                <w:sz w:val="18"/>
              </w:rPr>
              <w:t>Lake</w:t>
            </w:r>
          </w:p>
        </w:tc>
      </w:tr>
      <w:tr>
        <w:trPr>
          <w:trHeight w:val="428" w:hRule="atLeast"/>
        </w:trPr>
        <w:tc>
          <w:tcPr>
            <w:tcW w:w="2791" w:type="dxa"/>
          </w:tcPr>
          <w:p>
            <w:pPr>
              <w:pStyle w:val="TableParagraph"/>
              <w:ind w:left="107"/>
              <w:rPr>
                <w:sz w:val="18"/>
              </w:rPr>
            </w:pPr>
            <w:r>
              <w:rPr>
                <w:sz w:val="18"/>
              </w:rPr>
              <w:t>Kettle</w:t>
            </w:r>
            <w:r>
              <w:rPr>
                <w:spacing w:val="-4"/>
                <w:sz w:val="18"/>
              </w:rPr>
              <w:t> </w:t>
            </w:r>
            <w:r>
              <w:rPr>
                <w:sz w:val="18"/>
              </w:rPr>
              <w:t>Crest</w:t>
            </w:r>
            <w:r>
              <w:rPr>
                <w:spacing w:val="-4"/>
                <w:sz w:val="18"/>
              </w:rPr>
              <w:t> </w:t>
            </w:r>
            <w:r>
              <w:rPr>
                <w:sz w:val="18"/>
              </w:rPr>
              <w:t>Recreation</w:t>
            </w:r>
            <w:r>
              <w:rPr>
                <w:spacing w:val="-3"/>
                <w:sz w:val="18"/>
              </w:rPr>
              <w:t> </w:t>
            </w:r>
            <w:r>
              <w:rPr>
                <w:spacing w:val="-4"/>
                <w:sz w:val="18"/>
              </w:rPr>
              <w:t>Area</w:t>
            </w:r>
          </w:p>
        </w:tc>
        <w:tc>
          <w:tcPr>
            <w:tcW w:w="3062" w:type="dxa"/>
          </w:tcPr>
          <w:p>
            <w:pPr>
              <w:pStyle w:val="TableParagraph"/>
              <w:ind w:left="107"/>
              <w:rPr>
                <w:sz w:val="18"/>
              </w:rPr>
            </w:pPr>
            <w:r>
              <w:rPr>
                <w:sz w:val="18"/>
              </w:rPr>
              <w:t>Kettle</w:t>
            </w:r>
            <w:r>
              <w:rPr>
                <w:spacing w:val="-4"/>
                <w:sz w:val="18"/>
              </w:rPr>
              <w:t> </w:t>
            </w:r>
            <w:r>
              <w:rPr>
                <w:sz w:val="18"/>
              </w:rPr>
              <w:t>Crest</w:t>
            </w:r>
            <w:r>
              <w:rPr>
                <w:spacing w:val="-4"/>
                <w:sz w:val="18"/>
              </w:rPr>
              <w:t> </w:t>
            </w:r>
            <w:r>
              <w:rPr>
                <w:sz w:val="18"/>
              </w:rPr>
              <w:t>Recreation</w:t>
            </w:r>
            <w:r>
              <w:rPr>
                <w:spacing w:val="-3"/>
                <w:sz w:val="18"/>
              </w:rPr>
              <w:t> </w:t>
            </w:r>
            <w:r>
              <w:rPr>
                <w:spacing w:val="-4"/>
                <w:sz w:val="18"/>
              </w:rPr>
              <w:t>Area*</w:t>
            </w:r>
          </w:p>
        </w:tc>
        <w:tc>
          <w:tcPr>
            <w:tcW w:w="2337" w:type="dxa"/>
          </w:tcPr>
          <w:p>
            <w:pPr>
              <w:pStyle w:val="TableParagraph"/>
              <w:ind w:left="108"/>
              <w:rPr>
                <w:sz w:val="18"/>
              </w:rPr>
            </w:pPr>
            <w:r>
              <w:rPr>
                <w:sz w:val="18"/>
              </w:rPr>
              <w:t>Republic/Three</w:t>
            </w:r>
            <w:r>
              <w:rPr>
                <w:spacing w:val="-8"/>
                <w:sz w:val="18"/>
              </w:rPr>
              <w:t> </w:t>
            </w:r>
            <w:r>
              <w:rPr>
                <w:spacing w:val="-2"/>
                <w:sz w:val="18"/>
              </w:rPr>
              <w:t>Rivers</w:t>
            </w:r>
          </w:p>
        </w:tc>
      </w:tr>
    </w:tbl>
    <w:p>
      <w:pPr>
        <w:spacing w:before="51"/>
        <w:ind w:left="811" w:right="0" w:firstLine="0"/>
        <w:jc w:val="left"/>
        <w:rPr>
          <w:rFonts w:ascii="Arial"/>
          <w:sz w:val="16"/>
        </w:rPr>
      </w:pPr>
      <w:r>
        <w:rPr>
          <w:rFonts w:ascii="Arial"/>
          <w:sz w:val="16"/>
        </w:rPr>
        <w:t>*New,</w:t>
      </w:r>
      <w:r>
        <w:rPr>
          <w:rFonts w:ascii="Arial"/>
          <w:spacing w:val="-4"/>
          <w:sz w:val="16"/>
        </w:rPr>
        <w:t> </w:t>
      </w:r>
      <w:r>
        <w:rPr>
          <w:rFonts w:ascii="Arial"/>
          <w:sz w:val="16"/>
        </w:rPr>
        <w:t>eligible,</w:t>
      </w:r>
      <w:r>
        <w:rPr>
          <w:rFonts w:ascii="Arial"/>
          <w:spacing w:val="-4"/>
          <w:sz w:val="16"/>
        </w:rPr>
        <w:t> </w:t>
      </w:r>
      <w:r>
        <w:rPr>
          <w:rFonts w:ascii="Arial"/>
          <w:sz w:val="16"/>
        </w:rPr>
        <w:t>or</w:t>
      </w:r>
      <w:r>
        <w:rPr>
          <w:rFonts w:ascii="Arial"/>
          <w:spacing w:val="-5"/>
          <w:sz w:val="16"/>
        </w:rPr>
        <w:t> </w:t>
      </w:r>
      <w:r>
        <w:rPr>
          <w:rFonts w:ascii="Arial"/>
          <w:sz w:val="16"/>
        </w:rPr>
        <w:t>recommended</w:t>
      </w:r>
      <w:r>
        <w:rPr>
          <w:rFonts w:ascii="Arial"/>
          <w:spacing w:val="-7"/>
          <w:sz w:val="16"/>
        </w:rPr>
        <w:t> </w:t>
      </w:r>
      <w:r>
        <w:rPr>
          <w:rFonts w:ascii="Arial"/>
          <w:spacing w:val="-2"/>
          <w:sz w:val="16"/>
        </w:rPr>
        <w:t>designation</w:t>
      </w:r>
    </w:p>
    <w:p>
      <w:pPr>
        <w:spacing w:after="0"/>
        <w:jc w:val="left"/>
        <w:rPr>
          <w:rFonts w:ascii="Arial"/>
          <w:sz w:val="16"/>
        </w:rPr>
        <w:sectPr>
          <w:pgSz w:w="12240" w:h="15840"/>
          <w:pgMar w:header="725" w:footer="891" w:top="960" w:bottom="1080" w:left="1080" w:right="720"/>
        </w:sectPr>
      </w:pPr>
    </w:p>
    <w:p>
      <w:pPr>
        <w:pStyle w:val="BodyText"/>
        <w:spacing w:before="223"/>
        <w:rPr>
          <w:rFonts w:ascii="Arial"/>
        </w:rPr>
      </w:pPr>
    </w:p>
    <w:p>
      <w:pPr>
        <w:pStyle w:val="Heading3"/>
      </w:pPr>
      <w:bookmarkStart w:name="Administrative and Recreation Sites (ARS" w:id="530"/>
      <w:bookmarkEnd w:id="530"/>
      <w:r>
        <w:rPr>
          <w:b w:val="0"/>
        </w:rPr>
      </w:r>
      <w:bookmarkStart w:name="_bookmark168" w:id="531"/>
      <w:bookmarkEnd w:id="531"/>
      <w:r>
        <w:rPr>
          <w:b w:val="0"/>
        </w:rPr>
      </w:r>
      <w:r>
        <w:rPr>
          <w:smallCaps/>
          <w:color w:val="475824"/>
        </w:rPr>
        <w:t>Administrative</w:t>
      </w:r>
      <w:r>
        <w:rPr>
          <w:smallCaps/>
          <w:color w:val="475824"/>
          <w:spacing w:val="-7"/>
        </w:rPr>
        <w:t> </w:t>
      </w:r>
      <w:r>
        <w:rPr>
          <w:smallCaps/>
          <w:color w:val="475824"/>
        </w:rPr>
        <w:t>and</w:t>
      </w:r>
      <w:r>
        <w:rPr>
          <w:smallCaps/>
          <w:color w:val="475824"/>
          <w:spacing w:val="-7"/>
        </w:rPr>
        <w:t> </w:t>
      </w:r>
      <w:r>
        <w:rPr>
          <w:smallCaps/>
          <w:color w:val="475824"/>
        </w:rPr>
        <w:t>Recreation</w:t>
      </w:r>
      <w:r>
        <w:rPr>
          <w:smallCaps/>
          <w:color w:val="475824"/>
          <w:spacing w:val="-9"/>
        </w:rPr>
        <w:t> </w:t>
      </w:r>
      <w:r>
        <w:rPr>
          <w:smallCaps/>
          <w:color w:val="475824"/>
        </w:rPr>
        <w:t>Sites</w:t>
      </w:r>
      <w:r>
        <w:rPr>
          <w:smallCaps/>
          <w:color w:val="475824"/>
          <w:spacing w:val="-8"/>
        </w:rPr>
        <w:t> </w:t>
      </w:r>
      <w:r>
        <w:rPr>
          <w:smallCaps/>
          <w:color w:val="475824"/>
          <w:spacing w:val="-2"/>
        </w:rPr>
        <w:t>(ARS)</w:t>
      </w:r>
    </w:p>
    <w:p>
      <w:pPr>
        <w:pStyle w:val="BodyText"/>
        <w:spacing w:before="117"/>
        <w:ind w:left="1512" w:right="742"/>
      </w:pPr>
      <w:r>
        <w:rPr/>
        <mc:AlternateContent>
          <mc:Choice Requires="wps">
            <w:drawing>
              <wp:anchor distT="0" distB="0" distL="0" distR="0" allowOverlap="1" layoutInCell="1" locked="0" behindDoc="1" simplePos="0" relativeHeight="474278400">
                <wp:simplePos x="0" y="0"/>
                <wp:positionH relativeFrom="page">
                  <wp:posOffset>1627632</wp:posOffset>
                </wp:positionH>
                <wp:positionV relativeFrom="paragraph">
                  <wp:posOffset>75150</wp:posOffset>
                </wp:positionV>
                <wp:extent cx="5248910" cy="4986655"/>
                <wp:effectExtent l="0" t="0" r="0" b="0"/>
                <wp:wrapNone/>
                <wp:docPr id="201" name="Graphic 201"/>
                <wp:cNvGraphicFramePr>
                  <a:graphicFrameLocks/>
                </wp:cNvGraphicFramePr>
                <a:graphic>
                  <a:graphicData uri="http://schemas.microsoft.com/office/word/2010/wordprocessingShape">
                    <wps:wsp>
                      <wps:cNvPr id="201" name="Graphic 201"/>
                      <wps:cNvSpPr/>
                      <wps:spPr>
                        <a:xfrm>
                          <a:off x="0" y="0"/>
                          <a:ext cx="5248910" cy="4986655"/>
                        </a:xfrm>
                        <a:custGeom>
                          <a:avLst/>
                          <a:gdLst/>
                          <a:ahLst/>
                          <a:cxnLst/>
                          <a:rect l="l" t="t" r="r" b="b"/>
                          <a:pathLst>
                            <a:path w="5248910" h="4986655">
                              <a:moveTo>
                                <a:pt x="5248643" y="3299472"/>
                              </a:moveTo>
                              <a:lnTo>
                                <a:pt x="0" y="3299472"/>
                              </a:lnTo>
                              <a:lnTo>
                                <a:pt x="0" y="3468624"/>
                              </a:lnTo>
                              <a:lnTo>
                                <a:pt x="0" y="3715512"/>
                              </a:lnTo>
                              <a:lnTo>
                                <a:pt x="0" y="4986528"/>
                              </a:lnTo>
                              <a:lnTo>
                                <a:pt x="5248643" y="4986528"/>
                              </a:lnTo>
                              <a:lnTo>
                                <a:pt x="5248643" y="3468624"/>
                              </a:lnTo>
                              <a:lnTo>
                                <a:pt x="5248643" y="3299472"/>
                              </a:lnTo>
                              <a:close/>
                            </a:path>
                            <a:path w="5248910" h="4986655">
                              <a:moveTo>
                                <a:pt x="5248643" y="0"/>
                              </a:moveTo>
                              <a:lnTo>
                                <a:pt x="0" y="0"/>
                              </a:lnTo>
                              <a:lnTo>
                                <a:pt x="0" y="170688"/>
                              </a:lnTo>
                              <a:lnTo>
                                <a:pt x="0" y="341376"/>
                              </a:lnTo>
                              <a:lnTo>
                                <a:pt x="0" y="3299460"/>
                              </a:lnTo>
                              <a:lnTo>
                                <a:pt x="5248643" y="3299460"/>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917359pt;width:413.3pt;height:392.65pt;mso-position-horizontal-relative:page;mso-position-vertical-relative:paragraph;z-index:-29038080" id="docshape189" coordorigin="2563,118" coordsize="8266,7853" path="m10829,5314l2563,5314,2563,5581,2563,5970,2563,6238,2563,6507,2563,6896,2563,7165,2563,7434,2563,7702,2563,7971,10829,7971,10829,7702,10829,7434,10829,7165,10829,6896,10829,6507,10829,6238,10829,5970,10829,5581,10829,5314xm10829,118l2563,118,2563,387,2563,656,2563,1045,2563,1314,2563,1582,2563,1851,2563,2120,2563,2389,2563,2775,2563,3044,2563,3313,2563,3582,2563,3850,2563,4239,2563,4508,2563,4777,2563,5046,2563,5314,10829,5314,10829,5046,10829,4777,10829,4508,10829,4239,10829,3850,10829,3582,10829,3313,10829,3044,10829,2775,10829,2389,10829,2120,10829,1851,10829,1582,10829,1314,10829,1045,10829,656,10829,387,10829,118xe" filled="true" fillcolor="#dfdfdf" stroked="false">
                <v:path arrowok="t"/>
                <v:fill type="solid"/>
                <w10:wrap type="none"/>
              </v:shape>
            </w:pict>
          </mc:Fallback>
        </mc:AlternateContent>
      </w:r>
      <w:r>
        <w:rPr/>
        <w:t>This management direction applies to those sites listed as administrative or developed recreation</w:t>
      </w:r>
      <w:r>
        <w:rPr>
          <w:spacing w:val="-4"/>
        </w:rPr>
        <w:t> </w:t>
      </w:r>
      <w:r>
        <w:rPr/>
        <w:t>areas</w:t>
      </w:r>
      <w:r>
        <w:rPr>
          <w:spacing w:val="-3"/>
        </w:rPr>
        <w:t> </w:t>
      </w:r>
      <w:r>
        <w:rPr/>
        <w:t>and</w:t>
      </w:r>
      <w:r>
        <w:rPr>
          <w:spacing w:val="-4"/>
        </w:rPr>
        <w:t> </w:t>
      </w:r>
      <w:r>
        <w:rPr/>
        <w:t>sites</w:t>
      </w:r>
      <w:r>
        <w:rPr>
          <w:spacing w:val="-3"/>
        </w:rPr>
        <w:t> </w:t>
      </w:r>
      <w:r>
        <w:rPr/>
        <w:t>in</w:t>
      </w:r>
      <w:r>
        <w:rPr>
          <w:spacing w:val="-4"/>
        </w:rPr>
        <w:t> </w:t>
      </w:r>
      <w:r>
        <w:rPr/>
        <w:t>the</w:t>
      </w:r>
      <w:r>
        <w:rPr>
          <w:spacing w:val="-2"/>
        </w:rPr>
        <w:t> </w:t>
      </w:r>
      <w:r>
        <w:rPr/>
        <w:t>Forest</w:t>
      </w:r>
      <w:r>
        <w:rPr>
          <w:spacing w:val="-4"/>
        </w:rPr>
        <w:t> </w:t>
      </w:r>
      <w:r>
        <w:rPr/>
        <w:t>Service</w:t>
      </w:r>
      <w:r>
        <w:rPr>
          <w:spacing w:val="-4"/>
        </w:rPr>
        <w:t> </w:t>
      </w:r>
      <w:r>
        <w:rPr/>
        <w:t>corporate</w:t>
      </w:r>
      <w:r>
        <w:rPr>
          <w:spacing w:val="-2"/>
        </w:rPr>
        <w:t> </w:t>
      </w:r>
      <w:r>
        <w:rPr/>
        <w:t>database</w:t>
      </w:r>
      <w:r>
        <w:rPr>
          <w:spacing w:val="-2"/>
        </w:rPr>
        <w:t> </w:t>
      </w:r>
      <w:r>
        <w:rPr/>
        <w:t>(INFRA</w:t>
      </w:r>
      <w:hyperlink w:history="true" w:anchor="_bookmark170">
        <w:r>
          <w:rPr>
            <w:vertAlign w:val="superscript"/>
          </w:rPr>
          <w:t>17</w:t>
        </w:r>
      </w:hyperlink>
      <w:r>
        <w:rPr>
          <w:vertAlign w:val="baseline"/>
        </w:rPr>
        <w:t>).</w:t>
      </w:r>
      <w:r>
        <w:rPr>
          <w:spacing w:val="-3"/>
          <w:vertAlign w:val="baseline"/>
        </w:rPr>
        <w:t> </w:t>
      </w:r>
      <w:r>
        <w:rPr>
          <w:vertAlign w:val="baseline"/>
        </w:rPr>
        <w:t>See</w:t>
      </w:r>
      <w:r>
        <w:rPr>
          <w:spacing w:val="-4"/>
          <w:vertAlign w:val="baseline"/>
        </w:rPr>
        <w:t> </w:t>
      </w:r>
      <w:r>
        <w:rPr>
          <w:vertAlign w:val="baseline"/>
        </w:rPr>
        <w:t>appendix </w:t>
      </w:r>
      <w:r>
        <w:rPr>
          <w:spacing w:val="-6"/>
          <w:vertAlign w:val="baseline"/>
        </w:rPr>
        <w:t>G.</w:t>
      </w:r>
    </w:p>
    <w:p>
      <w:pPr>
        <w:pStyle w:val="BodyText"/>
        <w:spacing w:before="121"/>
        <w:ind w:left="1512" w:right="801"/>
      </w:pPr>
      <w:r>
        <w:rPr/>
        <w:t>Administrative sites listed in INFRA can include, but are not limited to, district offices / compounds, remote work centers, warehouse sites, look outs, seed orchards and administrative</w:t>
      </w:r>
      <w:r>
        <w:rPr>
          <w:spacing w:val="-5"/>
        </w:rPr>
        <w:t> </w:t>
      </w:r>
      <w:r>
        <w:rPr/>
        <w:t>residence</w:t>
      </w:r>
      <w:r>
        <w:rPr>
          <w:spacing w:val="-2"/>
        </w:rPr>
        <w:t> </w:t>
      </w:r>
      <w:r>
        <w:rPr/>
        <w:t>sites.</w:t>
      </w:r>
      <w:r>
        <w:rPr>
          <w:spacing w:val="-6"/>
        </w:rPr>
        <w:t> </w:t>
      </w:r>
      <w:r>
        <w:rPr/>
        <w:t>Developed</w:t>
      </w:r>
      <w:r>
        <w:rPr>
          <w:spacing w:val="-4"/>
        </w:rPr>
        <w:t> </w:t>
      </w:r>
      <w:r>
        <w:rPr/>
        <w:t>recreation</w:t>
      </w:r>
      <w:r>
        <w:rPr>
          <w:spacing w:val="-4"/>
        </w:rPr>
        <w:t> </w:t>
      </w:r>
      <w:r>
        <w:rPr/>
        <w:t>sites</w:t>
      </w:r>
      <w:r>
        <w:rPr>
          <w:spacing w:val="-3"/>
        </w:rPr>
        <w:t> </w:t>
      </w:r>
      <w:r>
        <w:rPr/>
        <w:t>listed</w:t>
      </w:r>
      <w:r>
        <w:rPr>
          <w:spacing w:val="-4"/>
        </w:rPr>
        <w:t> </w:t>
      </w:r>
      <w:r>
        <w:rPr/>
        <w:t>in</w:t>
      </w:r>
      <w:r>
        <w:rPr>
          <w:spacing w:val="-4"/>
        </w:rPr>
        <w:t> </w:t>
      </w:r>
      <w:r>
        <w:rPr/>
        <w:t>INFRA</w:t>
      </w:r>
      <w:r>
        <w:rPr>
          <w:spacing w:val="-3"/>
        </w:rPr>
        <w:t> </w:t>
      </w:r>
      <w:r>
        <w:rPr/>
        <w:t>can</w:t>
      </w:r>
      <w:r>
        <w:rPr>
          <w:spacing w:val="-4"/>
        </w:rPr>
        <w:t> </w:t>
      </w:r>
      <w:r>
        <w:rPr/>
        <w:t>include,</w:t>
      </w:r>
      <w:r>
        <w:rPr>
          <w:spacing w:val="-3"/>
        </w:rPr>
        <w:t> </w:t>
      </w:r>
      <w:r>
        <w:rPr/>
        <w:t>but are not limited to, campgrounds, picnic areas, trailheads, Sno-Parks, alpine ski areas, recreation</w:t>
      </w:r>
      <w:r>
        <w:rPr>
          <w:spacing w:val="-1"/>
        </w:rPr>
        <w:t> </w:t>
      </w:r>
      <w:r>
        <w:rPr/>
        <w:t>residence</w:t>
      </w:r>
      <w:r>
        <w:rPr>
          <w:spacing w:val="-2"/>
        </w:rPr>
        <w:t> </w:t>
      </w:r>
      <w:r>
        <w:rPr/>
        <w:t>tracts,</w:t>
      </w:r>
      <w:r>
        <w:rPr>
          <w:spacing w:val="-2"/>
        </w:rPr>
        <w:t> </w:t>
      </w:r>
      <w:r>
        <w:rPr/>
        <w:t>interpretive</w:t>
      </w:r>
      <w:r>
        <w:rPr>
          <w:spacing w:val="-2"/>
        </w:rPr>
        <w:t> </w:t>
      </w:r>
      <w:r>
        <w:rPr/>
        <w:t>sites, and</w:t>
      </w:r>
      <w:r>
        <w:rPr>
          <w:spacing w:val="-1"/>
        </w:rPr>
        <w:t> </w:t>
      </w:r>
      <w:r>
        <w:rPr/>
        <w:t>boating</w:t>
      </w:r>
      <w:r>
        <w:rPr>
          <w:spacing w:val="-1"/>
        </w:rPr>
        <w:t> </w:t>
      </w:r>
      <w:r>
        <w:rPr/>
        <w:t>sites. Special-use permit areas can include water improvements and other utilities.</w:t>
      </w:r>
    </w:p>
    <w:p>
      <w:pPr>
        <w:pStyle w:val="BodyText"/>
        <w:spacing w:before="119"/>
        <w:ind w:left="1512" w:right="742"/>
      </w:pPr>
      <w:r>
        <w:rPr/>
        <w:t>Both administrative and developed recreation site management area boundaries are defined by the footprint of the site plus a 300-foot area extending beyond the footprint. This</w:t>
      </w:r>
      <w:r>
        <w:rPr>
          <w:spacing w:val="-3"/>
        </w:rPr>
        <w:t> </w:t>
      </w:r>
      <w:r>
        <w:rPr/>
        <w:t>accommodates</w:t>
      </w:r>
      <w:r>
        <w:rPr>
          <w:spacing w:val="-5"/>
        </w:rPr>
        <w:t> </w:t>
      </w:r>
      <w:r>
        <w:rPr/>
        <w:t>management</w:t>
      </w:r>
      <w:r>
        <w:rPr>
          <w:spacing w:val="-2"/>
        </w:rPr>
        <w:t> </w:t>
      </w:r>
      <w:r>
        <w:rPr/>
        <w:t>activities</w:t>
      </w:r>
      <w:r>
        <w:rPr>
          <w:spacing w:val="-3"/>
        </w:rPr>
        <w:t> </w:t>
      </w:r>
      <w:r>
        <w:rPr/>
        <w:t>necessary</w:t>
      </w:r>
      <w:r>
        <w:rPr>
          <w:spacing w:val="-4"/>
        </w:rPr>
        <w:t> </w:t>
      </w:r>
      <w:r>
        <w:rPr/>
        <w:t>for</w:t>
      </w:r>
      <w:r>
        <w:rPr>
          <w:spacing w:val="-3"/>
        </w:rPr>
        <w:t> </w:t>
      </w:r>
      <w:r>
        <w:rPr/>
        <w:t>the</w:t>
      </w:r>
      <w:r>
        <w:rPr>
          <w:spacing w:val="-2"/>
        </w:rPr>
        <w:t> </w:t>
      </w:r>
      <w:r>
        <w:rPr/>
        <w:t>safe</w:t>
      </w:r>
      <w:r>
        <w:rPr>
          <w:spacing w:val="-5"/>
        </w:rPr>
        <w:t> </w:t>
      </w:r>
      <w:r>
        <w:rPr/>
        <w:t>use</w:t>
      </w:r>
      <w:r>
        <w:rPr>
          <w:spacing w:val="-2"/>
        </w:rPr>
        <w:t> </w:t>
      </w:r>
      <w:r>
        <w:rPr/>
        <w:t>and</w:t>
      </w:r>
      <w:r>
        <w:rPr>
          <w:spacing w:val="-6"/>
        </w:rPr>
        <w:t> </w:t>
      </w:r>
      <w:r>
        <w:rPr/>
        <w:t>occupancy</w:t>
      </w:r>
      <w:r>
        <w:rPr>
          <w:spacing w:val="-4"/>
        </w:rPr>
        <w:t> </w:t>
      </w:r>
      <w:r>
        <w:rPr/>
        <w:t>of</w:t>
      </w:r>
      <w:r>
        <w:rPr>
          <w:spacing w:val="-3"/>
        </w:rPr>
        <w:t> </w:t>
      </w:r>
      <w:r>
        <w:rPr/>
        <w:t>the site. When a special-use authorization defines the site, the special-use permit boundary determines the boundary of the management area.</w:t>
      </w:r>
    </w:p>
    <w:p>
      <w:pPr>
        <w:pStyle w:val="BodyText"/>
        <w:spacing w:before="121"/>
        <w:ind w:left="1512" w:right="742"/>
      </w:pPr>
      <w:r>
        <w:rPr/>
        <w:t>Note that while all forestwide resource plan components do apply to these areas, certain plan</w:t>
      </w:r>
      <w:r>
        <w:rPr>
          <w:spacing w:val="-5"/>
        </w:rPr>
        <w:t> </w:t>
      </w:r>
      <w:r>
        <w:rPr/>
        <w:t>components</w:t>
      </w:r>
      <w:r>
        <w:rPr>
          <w:spacing w:val="-4"/>
        </w:rPr>
        <w:t> </w:t>
      </w:r>
      <w:r>
        <w:rPr/>
        <w:t>associated</w:t>
      </w:r>
      <w:r>
        <w:rPr>
          <w:spacing w:val="-5"/>
        </w:rPr>
        <w:t> </w:t>
      </w:r>
      <w:r>
        <w:rPr/>
        <w:t>with</w:t>
      </w:r>
      <w:r>
        <w:rPr>
          <w:spacing w:val="-7"/>
        </w:rPr>
        <w:t> </w:t>
      </w:r>
      <w:r>
        <w:rPr/>
        <w:t>vegetation,</w:t>
      </w:r>
      <w:r>
        <w:rPr>
          <w:spacing w:val="-6"/>
        </w:rPr>
        <w:t> </w:t>
      </w:r>
      <w:r>
        <w:rPr/>
        <w:t>water</w:t>
      </w:r>
      <w:r>
        <w:rPr>
          <w:spacing w:val="-4"/>
        </w:rPr>
        <w:t> </w:t>
      </w:r>
      <w:r>
        <w:rPr/>
        <w:t>resources,</w:t>
      </w:r>
      <w:r>
        <w:rPr>
          <w:spacing w:val="-4"/>
        </w:rPr>
        <w:t> </w:t>
      </w:r>
      <w:r>
        <w:rPr/>
        <w:t>riparian</w:t>
      </w:r>
      <w:r>
        <w:rPr>
          <w:spacing w:val="-7"/>
        </w:rPr>
        <w:t> </w:t>
      </w:r>
      <w:r>
        <w:rPr/>
        <w:t>management</w:t>
      </w:r>
      <w:r>
        <w:rPr>
          <w:spacing w:val="-3"/>
        </w:rPr>
        <w:t> </w:t>
      </w:r>
      <w:r>
        <w:rPr/>
        <w:t>areas, wildlife, and soils will need to be integrated into the sustainable design of administrative and recreation sites</w:t>
      </w:r>
      <w:r>
        <w:rPr>
          <w:spacing w:val="-1"/>
        </w:rPr>
        <w:t> </w:t>
      </w:r>
      <w:r>
        <w:rPr/>
        <w:t>at a</w:t>
      </w:r>
      <w:r>
        <w:rPr>
          <w:spacing w:val="-1"/>
        </w:rPr>
        <w:t> </w:t>
      </w:r>
      <w:r>
        <w:rPr/>
        <w:t>scale where the functionality of</w:t>
      </w:r>
      <w:r>
        <w:rPr>
          <w:spacing w:val="-1"/>
        </w:rPr>
        <w:t> </w:t>
      </w:r>
      <w:r>
        <w:rPr/>
        <w:t>each site regarding human health, safety, and usability are maintained while meeting the intent, where possible, of the resource plan components applicable to the area’s natural setting.</w:t>
      </w:r>
    </w:p>
    <w:p>
      <w:pPr>
        <w:pStyle w:val="BodyText"/>
        <w:spacing w:before="119"/>
        <w:ind w:left="1512" w:right="720"/>
      </w:pPr>
      <w:r>
        <w:rPr/>
        <w:t>These</w:t>
      </w:r>
      <w:r>
        <w:rPr>
          <w:spacing w:val="-3"/>
        </w:rPr>
        <w:t> </w:t>
      </w:r>
      <w:r>
        <w:rPr/>
        <w:t>management areas</w:t>
      </w:r>
      <w:r>
        <w:rPr>
          <w:spacing w:val="-1"/>
        </w:rPr>
        <w:t> </w:t>
      </w:r>
      <w:r>
        <w:rPr/>
        <w:t>are generally small</w:t>
      </w:r>
      <w:r>
        <w:rPr>
          <w:spacing w:val="-1"/>
        </w:rPr>
        <w:t> </w:t>
      </w:r>
      <w:r>
        <w:rPr/>
        <w:t>in</w:t>
      </w:r>
      <w:r>
        <w:rPr>
          <w:spacing w:val="-2"/>
        </w:rPr>
        <w:t> </w:t>
      </w:r>
      <w:r>
        <w:rPr/>
        <w:t>scale and</w:t>
      </w:r>
      <w:r>
        <w:rPr>
          <w:spacing w:val="-2"/>
        </w:rPr>
        <w:t> </w:t>
      </w:r>
      <w:r>
        <w:rPr/>
        <w:t>occur</w:t>
      </w:r>
      <w:r>
        <w:rPr>
          <w:spacing w:val="-1"/>
        </w:rPr>
        <w:t> </w:t>
      </w:r>
      <w:r>
        <w:rPr/>
        <w:t>as</w:t>
      </w:r>
      <w:r>
        <w:rPr>
          <w:spacing w:val="-3"/>
        </w:rPr>
        <w:t> </w:t>
      </w:r>
      <w:r>
        <w:rPr/>
        <w:t>a</w:t>
      </w:r>
      <w:r>
        <w:rPr>
          <w:spacing w:val="-1"/>
        </w:rPr>
        <w:t> </w:t>
      </w:r>
      <w:r>
        <w:rPr/>
        <w:t>place</w:t>
      </w:r>
      <w:r>
        <w:rPr>
          <w:spacing w:val="-3"/>
        </w:rPr>
        <w:t> </w:t>
      </w:r>
      <w:r>
        <w:rPr/>
        <w:t>or</w:t>
      </w:r>
      <w:r>
        <w:rPr>
          <w:spacing w:val="-1"/>
        </w:rPr>
        <w:t> </w:t>
      </w:r>
      <w:r>
        <w:rPr/>
        <w:t>feature on</w:t>
      </w:r>
      <w:r>
        <w:rPr>
          <w:spacing w:val="-4"/>
        </w:rPr>
        <w:t> </w:t>
      </w:r>
      <w:r>
        <w:rPr/>
        <w:t>the landscape. Exceptions may be areas such as mountain resorts and recreation residence tracts</w:t>
      </w:r>
      <w:r>
        <w:rPr>
          <w:spacing w:val="-4"/>
        </w:rPr>
        <w:t> </w:t>
      </w:r>
      <w:r>
        <w:rPr/>
        <w:t>that</w:t>
      </w:r>
      <w:r>
        <w:rPr>
          <w:spacing w:val="-2"/>
        </w:rPr>
        <w:t> </w:t>
      </w:r>
      <w:r>
        <w:rPr/>
        <w:t>can</w:t>
      </w:r>
      <w:r>
        <w:rPr>
          <w:spacing w:val="-5"/>
        </w:rPr>
        <w:t> </w:t>
      </w:r>
      <w:r>
        <w:rPr/>
        <w:t>cover</w:t>
      </w:r>
      <w:r>
        <w:rPr>
          <w:spacing w:val="-4"/>
        </w:rPr>
        <w:t> </w:t>
      </w:r>
      <w:r>
        <w:rPr/>
        <w:t>substantial</w:t>
      </w:r>
      <w:r>
        <w:rPr>
          <w:spacing w:val="-3"/>
        </w:rPr>
        <w:t> </w:t>
      </w:r>
      <w:r>
        <w:rPr/>
        <w:t>acreage</w:t>
      </w:r>
      <w:r>
        <w:rPr>
          <w:spacing w:val="-2"/>
        </w:rPr>
        <w:t> </w:t>
      </w:r>
      <w:r>
        <w:rPr/>
        <w:t>in</w:t>
      </w:r>
      <w:r>
        <w:rPr>
          <w:spacing w:val="-3"/>
        </w:rPr>
        <w:t> </w:t>
      </w:r>
      <w:r>
        <w:rPr/>
        <w:t>comparison</w:t>
      </w:r>
      <w:r>
        <w:rPr>
          <w:spacing w:val="-3"/>
        </w:rPr>
        <w:t> </w:t>
      </w:r>
      <w:r>
        <w:rPr/>
        <w:t>to</w:t>
      </w:r>
      <w:r>
        <w:rPr>
          <w:spacing w:val="-3"/>
        </w:rPr>
        <w:t> </w:t>
      </w:r>
      <w:r>
        <w:rPr/>
        <w:t>other</w:t>
      </w:r>
      <w:r>
        <w:rPr>
          <w:spacing w:val="-3"/>
        </w:rPr>
        <w:t> </w:t>
      </w:r>
      <w:r>
        <w:rPr/>
        <w:t>developed</w:t>
      </w:r>
      <w:r>
        <w:rPr>
          <w:spacing w:val="-3"/>
        </w:rPr>
        <w:t> </w:t>
      </w:r>
      <w:r>
        <w:rPr/>
        <w:t>recreation</w:t>
      </w:r>
      <w:r>
        <w:rPr>
          <w:spacing w:val="-3"/>
        </w:rPr>
        <w:t> </w:t>
      </w:r>
      <w:r>
        <w:rPr/>
        <w:t>sites.</w:t>
      </w:r>
    </w:p>
    <w:p>
      <w:pPr>
        <w:pStyle w:val="BodyText"/>
        <w:spacing w:before="121"/>
        <w:ind w:left="1512" w:right="759"/>
      </w:pPr>
      <w:r>
        <w:rPr/>
        <w:t>Most administrative sites, developed recreation areas, recreation sites and other areas have been withdrawn from location and entry under the Mining Law of 1872, as amended (see</w:t>
      </w:r>
      <w:r>
        <w:rPr>
          <w:spacing w:val="-1"/>
        </w:rPr>
        <w:t> </w:t>
      </w:r>
      <w:r>
        <w:rPr/>
        <w:t>appendix</w:t>
      </w:r>
      <w:r>
        <w:rPr>
          <w:spacing w:val="-1"/>
        </w:rPr>
        <w:t> </w:t>
      </w:r>
      <w:r>
        <w:rPr/>
        <w:t>G).</w:t>
      </w:r>
      <w:r>
        <w:rPr>
          <w:spacing w:val="-2"/>
        </w:rPr>
        <w:t> </w:t>
      </w:r>
      <w:r>
        <w:rPr/>
        <w:t>However,</w:t>
      </w:r>
      <w:r>
        <w:rPr>
          <w:spacing w:val="-2"/>
        </w:rPr>
        <w:t> </w:t>
      </w:r>
      <w:r>
        <w:rPr/>
        <w:t>sites</w:t>
      </w:r>
      <w:r>
        <w:rPr>
          <w:spacing w:val="-4"/>
        </w:rPr>
        <w:t> </w:t>
      </w:r>
      <w:r>
        <w:rPr/>
        <w:t>are</w:t>
      </w:r>
      <w:r>
        <w:rPr>
          <w:spacing w:val="-1"/>
        </w:rPr>
        <w:t> </w:t>
      </w:r>
      <w:r>
        <w:rPr/>
        <w:t>not</w:t>
      </w:r>
      <w:r>
        <w:rPr>
          <w:spacing w:val="-4"/>
        </w:rPr>
        <w:t> </w:t>
      </w:r>
      <w:r>
        <w:rPr/>
        <w:t>withdrawn</w:t>
      </w:r>
      <w:r>
        <w:rPr>
          <w:spacing w:val="-5"/>
        </w:rPr>
        <w:t> </w:t>
      </w:r>
      <w:r>
        <w:rPr/>
        <w:t>under</w:t>
      </w:r>
      <w:r>
        <w:rPr>
          <w:spacing w:val="-2"/>
        </w:rPr>
        <w:t> </w:t>
      </w:r>
      <w:r>
        <w:rPr/>
        <w:t>the</w:t>
      </w:r>
      <w:r>
        <w:rPr>
          <w:spacing w:val="-4"/>
        </w:rPr>
        <w:t> </w:t>
      </w:r>
      <w:r>
        <w:rPr/>
        <w:t>mineral</w:t>
      </w:r>
      <w:r>
        <w:rPr>
          <w:spacing w:val="-2"/>
        </w:rPr>
        <w:t> </w:t>
      </w:r>
      <w:r>
        <w:rPr/>
        <w:t>leasing</w:t>
      </w:r>
      <w:r>
        <w:rPr>
          <w:spacing w:val="-3"/>
        </w:rPr>
        <w:t> </w:t>
      </w:r>
      <w:r>
        <w:rPr/>
        <w:t>laws,</w:t>
      </w:r>
      <w:r>
        <w:rPr>
          <w:spacing w:val="-4"/>
        </w:rPr>
        <w:t> </w:t>
      </w:r>
      <w:r>
        <w:rPr/>
        <w:t>or</w:t>
      </w:r>
      <w:r>
        <w:rPr>
          <w:spacing w:val="-2"/>
        </w:rPr>
        <w:t> </w:t>
      </w:r>
      <w:r>
        <w:rPr/>
        <w:t>laws affecting the disposal of mineral materials (salable).</w:t>
      </w:r>
    </w:p>
    <w:p>
      <w:pPr>
        <w:pStyle w:val="Heading4"/>
        <w:spacing w:before="242"/>
        <w:ind w:left="1151"/>
      </w:pPr>
      <w:bookmarkStart w:name="Desired Conditions" w:id="532"/>
      <w:bookmarkEnd w:id="532"/>
      <w:r>
        <w:rPr/>
      </w:r>
      <w:bookmarkStart w:name="_bookmark169" w:id="533"/>
      <w:bookmarkEnd w:id="533"/>
      <w:r>
        <w:rPr/>
      </w:r>
      <w:r>
        <w:rPr/>
        <w:t>Desired</w:t>
      </w:r>
      <w:r>
        <w:rPr>
          <w:spacing w:val="-4"/>
        </w:rPr>
        <w:t> </w:t>
      </w:r>
      <w:r>
        <w:rPr>
          <w:spacing w:val="-2"/>
        </w:rPr>
        <w:t>Conditions</w:t>
      </w:r>
    </w:p>
    <w:p>
      <w:pPr>
        <w:spacing w:before="240"/>
        <w:ind w:left="1151" w:right="0" w:firstLine="0"/>
        <w:jc w:val="left"/>
        <w:rPr>
          <w:rFonts w:ascii="Arial"/>
          <w:i/>
          <w:sz w:val="22"/>
        </w:rPr>
      </w:pPr>
      <w:bookmarkStart w:name="MA-DC-ARS-01. Resource Conditions" w:id="534"/>
      <w:bookmarkEnd w:id="534"/>
      <w:r>
        <w:rPr/>
      </w:r>
      <w:r>
        <w:rPr>
          <w:rFonts w:ascii="Arial"/>
          <w:i/>
          <w:sz w:val="22"/>
        </w:rPr>
        <w:t>MA-DC-ARS-01.</w:t>
      </w:r>
      <w:r>
        <w:rPr>
          <w:rFonts w:ascii="Arial"/>
          <w:i/>
          <w:spacing w:val="-9"/>
          <w:sz w:val="22"/>
        </w:rPr>
        <w:t> </w:t>
      </w:r>
      <w:r>
        <w:rPr>
          <w:rFonts w:ascii="Arial"/>
          <w:i/>
          <w:sz w:val="22"/>
        </w:rPr>
        <w:t>Resource</w:t>
      </w:r>
      <w:r>
        <w:rPr>
          <w:rFonts w:ascii="Arial"/>
          <w:i/>
          <w:spacing w:val="-10"/>
          <w:sz w:val="22"/>
        </w:rPr>
        <w:t> </w:t>
      </w:r>
      <w:r>
        <w:rPr>
          <w:rFonts w:ascii="Arial"/>
          <w:i/>
          <w:spacing w:val="-2"/>
          <w:sz w:val="22"/>
        </w:rPr>
        <w:t>Conditions</w:t>
      </w:r>
    </w:p>
    <w:p>
      <w:pPr>
        <w:pStyle w:val="BodyText"/>
        <w:spacing w:line="232" w:lineRule="auto" w:before="65"/>
        <w:ind w:left="1151" w:right="801"/>
      </w:pPr>
      <w:r>
        <w:rPr/>
        <w:t>Administrative</w:t>
      </w:r>
      <w:r>
        <w:rPr>
          <w:spacing w:val="-7"/>
        </w:rPr>
        <w:t> </w:t>
      </w:r>
      <w:r>
        <w:rPr/>
        <w:t>and</w:t>
      </w:r>
      <w:r>
        <w:rPr>
          <w:spacing w:val="-9"/>
        </w:rPr>
        <w:t> </w:t>
      </w:r>
      <w:r>
        <w:rPr/>
        <w:t>recreation</w:t>
      </w:r>
      <w:r>
        <w:rPr>
          <w:spacing w:val="-9"/>
        </w:rPr>
        <w:t> </w:t>
      </w:r>
      <w:r>
        <w:rPr/>
        <w:t>sites</w:t>
      </w:r>
      <w:r>
        <w:rPr>
          <w:spacing w:val="-8"/>
        </w:rPr>
        <w:t> </w:t>
      </w:r>
      <w:r>
        <w:rPr/>
        <w:t>are</w:t>
      </w:r>
      <w:r>
        <w:rPr>
          <w:spacing w:val="-7"/>
        </w:rPr>
        <w:t> </w:t>
      </w:r>
      <w:r>
        <w:rPr/>
        <w:t>places</w:t>
      </w:r>
      <w:r>
        <w:rPr>
          <w:spacing w:val="-8"/>
        </w:rPr>
        <w:t> </w:t>
      </w:r>
      <w:r>
        <w:rPr/>
        <w:t>where</w:t>
      </w:r>
      <w:r>
        <w:rPr>
          <w:spacing w:val="-10"/>
        </w:rPr>
        <w:t> </w:t>
      </w:r>
      <w:r>
        <w:rPr/>
        <w:t>structures</w:t>
      </w:r>
      <w:r>
        <w:rPr>
          <w:spacing w:val="-8"/>
        </w:rPr>
        <w:t> </w:t>
      </w:r>
      <w:r>
        <w:rPr/>
        <w:t>and</w:t>
      </w:r>
      <w:r>
        <w:rPr>
          <w:spacing w:val="-9"/>
        </w:rPr>
        <w:t> </w:t>
      </w:r>
      <w:r>
        <w:rPr/>
        <w:t>human-caused</w:t>
      </w:r>
      <w:r>
        <w:rPr>
          <w:spacing w:val="-9"/>
        </w:rPr>
        <w:t> </w:t>
      </w:r>
      <w:r>
        <w:rPr/>
        <w:t>vegetation changes may be seen but they do not dominate the view or attract attention. The scenic integrity objectives would range from low to moderate to high with seed tree orchards potentially being in the low range and in administrative or developed recreation sites in the moderate</w:t>
      </w:r>
      <w:r>
        <w:rPr>
          <w:spacing w:val="-2"/>
        </w:rPr>
        <w:t> </w:t>
      </w:r>
      <w:r>
        <w:rPr/>
        <w:t>to</w:t>
      </w:r>
      <w:r>
        <w:rPr>
          <w:spacing w:val="-1"/>
        </w:rPr>
        <w:t> </w:t>
      </w:r>
      <w:r>
        <w:rPr/>
        <w:t>high</w:t>
      </w:r>
      <w:r>
        <w:rPr>
          <w:spacing w:val="-1"/>
        </w:rPr>
        <w:t> </w:t>
      </w:r>
      <w:r>
        <w:rPr/>
        <w:t>scenic integrity levels.</w:t>
      </w:r>
      <w:r>
        <w:rPr>
          <w:spacing w:val="-3"/>
        </w:rPr>
        <w:t> </w:t>
      </w:r>
      <w:r>
        <w:rPr/>
        <w:t>Ecological conditions (including</w:t>
      </w:r>
      <w:r>
        <w:rPr>
          <w:spacing w:val="-1"/>
        </w:rPr>
        <w:t> </w:t>
      </w:r>
      <w:r>
        <w:rPr/>
        <w:t>wildlife, aquatic, soil, and vegetation) and landscape appearances can be outside of their natural range. Human activities in the areas visible for administrative and recreation sites (foreground to middle ground, 300 feet to 4 miles) should not attract attention or stand out, and the landscapes should appear natural (moderate to high scenic integrity). Vegetation can be manipulated to accommodate occupancy and use, and to protect or enhance recreational opportunities.</w:t>
      </w:r>
    </w:p>
    <w:p>
      <w:pPr>
        <w:pStyle w:val="BodyText"/>
        <w:spacing w:before="183"/>
        <w:rPr>
          <w:sz w:val="20"/>
        </w:rPr>
      </w:pPr>
      <w:r>
        <w:rPr>
          <w:sz w:val="20"/>
        </w:rPr>
        <mc:AlternateContent>
          <mc:Choice Requires="wps">
            <w:drawing>
              <wp:anchor distT="0" distB="0" distL="0" distR="0" allowOverlap="1" layoutInCell="1" locked="0" behindDoc="1" simplePos="0" relativeHeight="487621120">
                <wp:simplePos x="0" y="0"/>
                <wp:positionH relativeFrom="page">
                  <wp:posOffset>1417319</wp:posOffset>
                </wp:positionH>
                <wp:positionV relativeFrom="paragraph">
                  <wp:posOffset>286788</wp:posOffset>
                </wp:positionV>
                <wp:extent cx="1828800" cy="7620"/>
                <wp:effectExtent l="0" t="0" r="0" b="0"/>
                <wp:wrapTopAndBottom/>
                <wp:docPr id="202" name="Graphic 202"/>
                <wp:cNvGraphicFramePr>
                  <a:graphicFrameLocks/>
                </wp:cNvGraphicFramePr>
                <a:graphic>
                  <a:graphicData uri="http://schemas.microsoft.com/office/word/2010/wordprocessingShape">
                    <wps:wsp>
                      <wps:cNvPr id="202" name="Graphic 202"/>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2.581787pt;width:144pt;height:.6pt;mso-position-horizontal-relative:page;mso-position-vertical-relative:paragraph;z-index:-15695360;mso-wrap-distance-left:0;mso-wrap-distance-right:0" id="docshape190" filled="true" fillcolor="#000000" stroked="false">
                <v:fill type="solid"/>
                <w10:wrap type="topAndBottom"/>
              </v:rect>
            </w:pict>
          </mc:Fallback>
        </mc:AlternateContent>
      </w:r>
    </w:p>
    <w:p>
      <w:pPr>
        <w:spacing w:before="95"/>
        <w:ind w:left="1152" w:right="1073" w:hanging="1"/>
        <w:jc w:val="left"/>
        <w:rPr>
          <w:sz w:val="18"/>
        </w:rPr>
      </w:pPr>
      <w:bookmarkStart w:name="_bookmark170" w:id="535"/>
      <w:bookmarkEnd w:id="535"/>
      <w:r>
        <w:rPr/>
      </w:r>
      <w:r>
        <w:rPr>
          <w:position w:val="5"/>
          <w:sz w:val="12"/>
        </w:rPr>
        <w:t>17</w:t>
      </w:r>
      <w:r>
        <w:rPr>
          <w:spacing w:val="10"/>
          <w:position w:val="5"/>
          <w:sz w:val="12"/>
        </w:rPr>
        <w:t> </w:t>
      </w:r>
      <w:r>
        <w:rPr>
          <w:sz w:val="18"/>
        </w:rPr>
        <w:t>INFRA</w:t>
      </w:r>
      <w:r>
        <w:rPr>
          <w:spacing w:val="-3"/>
          <w:sz w:val="18"/>
        </w:rPr>
        <w:t> </w:t>
      </w:r>
      <w:r>
        <w:rPr>
          <w:sz w:val="18"/>
        </w:rPr>
        <w:t>is</w:t>
      </w:r>
      <w:r>
        <w:rPr>
          <w:spacing w:val="-3"/>
          <w:sz w:val="18"/>
        </w:rPr>
        <w:t> </w:t>
      </w:r>
      <w:r>
        <w:rPr>
          <w:sz w:val="18"/>
        </w:rPr>
        <w:t>a</w:t>
      </w:r>
      <w:r>
        <w:rPr>
          <w:spacing w:val="-2"/>
          <w:sz w:val="18"/>
        </w:rPr>
        <w:t> </w:t>
      </w:r>
      <w:r>
        <w:rPr>
          <w:sz w:val="18"/>
        </w:rPr>
        <w:t>corporate</w:t>
      </w:r>
      <w:r>
        <w:rPr>
          <w:spacing w:val="-3"/>
          <w:sz w:val="18"/>
        </w:rPr>
        <w:t> </w:t>
      </w:r>
      <w:r>
        <w:rPr>
          <w:sz w:val="18"/>
        </w:rPr>
        <w:t>infrastructure</w:t>
      </w:r>
      <w:r>
        <w:rPr>
          <w:spacing w:val="-3"/>
          <w:sz w:val="18"/>
        </w:rPr>
        <w:t> </w:t>
      </w:r>
      <w:r>
        <w:rPr>
          <w:sz w:val="18"/>
        </w:rPr>
        <w:t>database</w:t>
      </w:r>
      <w:r>
        <w:rPr>
          <w:spacing w:val="-3"/>
          <w:sz w:val="18"/>
        </w:rPr>
        <w:t> </w:t>
      </w:r>
      <w:r>
        <w:rPr>
          <w:sz w:val="18"/>
        </w:rPr>
        <w:t>application</w:t>
      </w:r>
      <w:r>
        <w:rPr>
          <w:spacing w:val="-3"/>
          <w:sz w:val="18"/>
        </w:rPr>
        <w:t> </w:t>
      </w:r>
      <w:r>
        <w:rPr>
          <w:sz w:val="18"/>
        </w:rPr>
        <w:t>used</w:t>
      </w:r>
      <w:r>
        <w:rPr>
          <w:spacing w:val="-1"/>
          <w:sz w:val="18"/>
        </w:rPr>
        <w:t> </w:t>
      </w:r>
      <w:r>
        <w:rPr>
          <w:sz w:val="18"/>
        </w:rPr>
        <w:t>by</w:t>
      </w:r>
      <w:r>
        <w:rPr>
          <w:spacing w:val="-2"/>
          <w:sz w:val="18"/>
        </w:rPr>
        <w:t> </w:t>
      </w:r>
      <w:r>
        <w:rPr>
          <w:sz w:val="18"/>
        </w:rPr>
        <w:t>the</w:t>
      </w:r>
      <w:r>
        <w:rPr>
          <w:spacing w:val="-3"/>
          <w:sz w:val="18"/>
        </w:rPr>
        <w:t> </w:t>
      </w:r>
      <w:r>
        <w:rPr>
          <w:sz w:val="18"/>
        </w:rPr>
        <w:t>Forest</w:t>
      </w:r>
      <w:r>
        <w:rPr>
          <w:spacing w:val="-3"/>
          <w:sz w:val="18"/>
        </w:rPr>
        <w:t> </w:t>
      </w:r>
      <w:r>
        <w:rPr>
          <w:sz w:val="18"/>
        </w:rPr>
        <w:t>Service</w:t>
      </w:r>
      <w:r>
        <w:rPr>
          <w:spacing w:val="-3"/>
          <w:sz w:val="18"/>
        </w:rPr>
        <w:t> </w:t>
      </w:r>
      <w:r>
        <w:rPr>
          <w:sz w:val="18"/>
        </w:rPr>
        <w:t>to</w:t>
      </w:r>
      <w:r>
        <w:rPr>
          <w:spacing w:val="-1"/>
          <w:sz w:val="18"/>
        </w:rPr>
        <w:t> </w:t>
      </w:r>
      <w:r>
        <w:rPr>
          <w:sz w:val="18"/>
        </w:rPr>
        <w:t>manage</w:t>
      </w:r>
      <w:r>
        <w:rPr>
          <w:spacing w:val="-3"/>
          <w:sz w:val="18"/>
        </w:rPr>
        <w:t> </w:t>
      </w:r>
      <w:r>
        <w:rPr>
          <w:sz w:val="18"/>
        </w:rPr>
        <w:t>information</w:t>
      </w:r>
      <w:r>
        <w:rPr>
          <w:spacing w:val="-3"/>
          <w:sz w:val="18"/>
        </w:rPr>
        <w:t> </w:t>
      </w:r>
      <w:r>
        <w:rPr>
          <w:sz w:val="18"/>
        </w:rPr>
        <w:t>on national resources such as buildings, trails, roads, wilderness areas, and water systems.</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360" w:right="1073"/>
      </w:pPr>
      <w:r>
        <w:rPr/>
        <w:t>Forest</w:t>
      </w:r>
      <w:r>
        <w:rPr>
          <w:spacing w:val="-8"/>
        </w:rPr>
        <w:t> </w:t>
      </w:r>
      <w:r>
        <w:rPr/>
        <w:t>vegetation</w:t>
      </w:r>
      <w:r>
        <w:rPr>
          <w:spacing w:val="-7"/>
        </w:rPr>
        <w:t> </w:t>
      </w:r>
      <w:r>
        <w:rPr/>
        <w:t>in</w:t>
      </w:r>
      <w:r>
        <w:rPr>
          <w:spacing w:val="-7"/>
        </w:rPr>
        <w:t> </w:t>
      </w:r>
      <w:r>
        <w:rPr/>
        <w:t>administrative</w:t>
      </w:r>
      <w:r>
        <w:rPr>
          <w:spacing w:val="-8"/>
        </w:rPr>
        <w:t> </w:t>
      </w:r>
      <w:r>
        <w:rPr/>
        <w:t>and</w:t>
      </w:r>
      <w:r>
        <w:rPr>
          <w:spacing w:val="-7"/>
        </w:rPr>
        <w:t> </w:t>
      </w:r>
      <w:r>
        <w:rPr/>
        <w:t>recreation</w:t>
      </w:r>
      <w:r>
        <w:rPr>
          <w:spacing w:val="-7"/>
        </w:rPr>
        <w:t> </w:t>
      </w:r>
      <w:r>
        <w:rPr/>
        <w:t>sites</w:t>
      </w:r>
      <w:r>
        <w:rPr>
          <w:spacing w:val="-6"/>
        </w:rPr>
        <w:t> </w:t>
      </w:r>
      <w:r>
        <w:rPr/>
        <w:t>is</w:t>
      </w:r>
      <w:r>
        <w:rPr>
          <w:spacing w:val="-6"/>
        </w:rPr>
        <w:t> </w:t>
      </w:r>
      <w:r>
        <w:rPr/>
        <w:t>healthy</w:t>
      </w:r>
      <w:r>
        <w:rPr>
          <w:spacing w:val="-7"/>
        </w:rPr>
        <w:t> </w:t>
      </w:r>
      <w:r>
        <w:rPr/>
        <w:t>(species,</w:t>
      </w:r>
      <w:r>
        <w:rPr>
          <w:spacing w:val="-8"/>
        </w:rPr>
        <w:t> </w:t>
      </w:r>
      <w:r>
        <w:rPr/>
        <w:t>size,</w:t>
      </w:r>
      <w:r>
        <w:rPr>
          <w:spacing w:val="-6"/>
        </w:rPr>
        <w:t> </w:t>
      </w:r>
      <w:r>
        <w:rPr/>
        <w:t>and</w:t>
      </w:r>
      <w:r>
        <w:rPr>
          <w:spacing w:val="-7"/>
        </w:rPr>
        <w:t> </w:t>
      </w:r>
      <w:r>
        <w:rPr/>
        <w:t>age)</w:t>
      </w:r>
      <w:r>
        <w:rPr>
          <w:spacing w:val="-6"/>
        </w:rPr>
        <w:t> </w:t>
      </w:r>
      <w:r>
        <w:rPr/>
        <w:t>and complements administrative and recreational activities, scenery, and human safety.</w:t>
      </w:r>
    </w:p>
    <w:p>
      <w:pPr>
        <w:spacing w:before="234"/>
        <w:ind w:left="360" w:right="0" w:firstLine="0"/>
        <w:jc w:val="left"/>
        <w:rPr>
          <w:rFonts w:ascii="Arial"/>
          <w:i/>
          <w:sz w:val="22"/>
        </w:rPr>
      </w:pPr>
      <w:bookmarkStart w:name="MA-DC-ARS-02. Setting and Activities" w:id="536"/>
      <w:bookmarkEnd w:id="536"/>
      <w:r>
        <w:rPr/>
      </w:r>
      <w:r>
        <w:rPr>
          <w:rFonts w:ascii="Arial"/>
          <w:i/>
          <w:sz w:val="22"/>
        </w:rPr>
        <w:t>MA-DC-ARS-02.</w:t>
      </w:r>
      <w:r>
        <w:rPr>
          <w:rFonts w:ascii="Arial"/>
          <w:i/>
          <w:spacing w:val="-5"/>
          <w:sz w:val="22"/>
        </w:rPr>
        <w:t> </w:t>
      </w:r>
      <w:r>
        <w:rPr>
          <w:rFonts w:ascii="Arial"/>
          <w:i/>
          <w:sz w:val="22"/>
        </w:rPr>
        <w:t>Setting</w:t>
      </w:r>
      <w:r>
        <w:rPr>
          <w:rFonts w:ascii="Arial"/>
          <w:i/>
          <w:spacing w:val="-9"/>
          <w:sz w:val="22"/>
        </w:rPr>
        <w:t> </w:t>
      </w:r>
      <w:r>
        <w:rPr>
          <w:rFonts w:ascii="Arial"/>
          <w:i/>
          <w:sz w:val="22"/>
        </w:rPr>
        <w:t>and</w:t>
      </w:r>
      <w:r>
        <w:rPr>
          <w:rFonts w:ascii="Arial"/>
          <w:i/>
          <w:spacing w:val="-6"/>
          <w:sz w:val="22"/>
        </w:rPr>
        <w:t> </w:t>
      </w:r>
      <w:r>
        <w:rPr>
          <w:rFonts w:ascii="Arial"/>
          <w:i/>
          <w:spacing w:val="-2"/>
          <w:sz w:val="22"/>
        </w:rPr>
        <w:t>Activities</w:t>
      </w:r>
    </w:p>
    <w:p>
      <w:pPr>
        <w:pStyle w:val="BodyText"/>
        <w:spacing w:line="232" w:lineRule="auto" w:before="65"/>
        <w:ind w:left="359" w:right="1621"/>
      </w:pPr>
      <w:r>
        <w:rPr/>
        <w:t>The</w:t>
      </w:r>
      <w:r>
        <w:rPr>
          <w:spacing w:val="-4"/>
        </w:rPr>
        <w:t> </w:t>
      </w:r>
      <w:r>
        <w:rPr/>
        <w:t>setting</w:t>
      </w:r>
      <w:r>
        <w:rPr>
          <w:spacing w:val="-6"/>
        </w:rPr>
        <w:t> </w:t>
      </w:r>
      <w:r>
        <w:rPr/>
        <w:t>is</w:t>
      </w:r>
      <w:r>
        <w:rPr>
          <w:spacing w:val="-7"/>
        </w:rPr>
        <w:t> </w:t>
      </w:r>
      <w:r>
        <w:rPr/>
        <w:t>often,</w:t>
      </w:r>
      <w:r>
        <w:rPr>
          <w:spacing w:val="-7"/>
        </w:rPr>
        <w:t> </w:t>
      </w:r>
      <w:r>
        <w:rPr/>
        <w:t>but</w:t>
      </w:r>
      <w:r>
        <w:rPr>
          <w:spacing w:val="-4"/>
        </w:rPr>
        <w:t> </w:t>
      </w:r>
      <w:r>
        <w:rPr/>
        <w:t>not</w:t>
      </w:r>
      <w:r>
        <w:rPr>
          <w:spacing w:val="-4"/>
        </w:rPr>
        <w:t> </w:t>
      </w:r>
      <w:r>
        <w:rPr/>
        <w:t>always,</w:t>
      </w:r>
      <w:r>
        <w:rPr>
          <w:spacing w:val="-5"/>
        </w:rPr>
        <w:t> </w:t>
      </w:r>
      <w:r>
        <w:rPr/>
        <w:t>roaded</w:t>
      </w:r>
      <w:r>
        <w:rPr>
          <w:spacing w:val="-8"/>
        </w:rPr>
        <w:t> </w:t>
      </w:r>
      <w:r>
        <w:rPr/>
        <w:t>to</w:t>
      </w:r>
      <w:r>
        <w:rPr>
          <w:spacing w:val="-6"/>
        </w:rPr>
        <w:t> </w:t>
      </w:r>
      <w:r>
        <w:rPr/>
        <w:t>facilitate</w:t>
      </w:r>
      <w:r>
        <w:rPr>
          <w:spacing w:val="-4"/>
        </w:rPr>
        <w:t> </w:t>
      </w:r>
      <w:r>
        <w:rPr/>
        <w:t>administrative</w:t>
      </w:r>
      <w:r>
        <w:rPr>
          <w:spacing w:val="-4"/>
        </w:rPr>
        <w:t> </w:t>
      </w:r>
      <w:r>
        <w:rPr/>
        <w:t>and/or</w:t>
      </w:r>
      <w:r>
        <w:rPr>
          <w:spacing w:val="-7"/>
        </w:rPr>
        <w:t> </w:t>
      </w:r>
      <w:r>
        <w:rPr/>
        <w:t>public</w:t>
      </w:r>
      <w:r>
        <w:rPr>
          <w:spacing w:val="-5"/>
        </w:rPr>
        <w:t> </w:t>
      </w:r>
      <w:r>
        <w:rPr/>
        <w:t>use</w:t>
      </w:r>
      <w:r>
        <w:rPr>
          <w:spacing w:val="-7"/>
        </w:rPr>
        <w:t> </w:t>
      </w:r>
      <w:r>
        <w:rPr/>
        <w:t>of</w:t>
      </w:r>
      <w:r>
        <w:rPr>
          <w:spacing w:val="-5"/>
        </w:rPr>
        <w:t> </w:t>
      </w:r>
      <w:r>
        <w:rPr/>
        <w:t>the area. Administrative and recreation sites are designed and managed to meet the Roaded Natural</w:t>
      </w:r>
      <w:r>
        <w:rPr>
          <w:spacing w:val="-4"/>
        </w:rPr>
        <w:t> </w:t>
      </w:r>
      <w:r>
        <w:rPr/>
        <w:t>ROS</w:t>
      </w:r>
      <w:r>
        <w:rPr>
          <w:spacing w:val="-5"/>
        </w:rPr>
        <w:t> </w:t>
      </w:r>
      <w:r>
        <w:rPr/>
        <w:t>classification</w:t>
      </w:r>
      <w:r>
        <w:rPr>
          <w:spacing w:val="-5"/>
        </w:rPr>
        <w:t> </w:t>
      </w:r>
      <w:r>
        <w:rPr/>
        <w:t>and</w:t>
      </w:r>
      <w:r>
        <w:rPr>
          <w:spacing w:val="-5"/>
        </w:rPr>
        <w:t> </w:t>
      </w:r>
      <w:r>
        <w:rPr/>
        <w:t>the</w:t>
      </w:r>
      <w:r>
        <w:rPr>
          <w:spacing w:val="-3"/>
        </w:rPr>
        <w:t> </w:t>
      </w:r>
      <w:r>
        <w:rPr/>
        <w:t>assigned</w:t>
      </w:r>
      <w:r>
        <w:rPr>
          <w:spacing w:val="-5"/>
        </w:rPr>
        <w:t> </w:t>
      </w:r>
      <w:r>
        <w:rPr/>
        <w:t>scenic</w:t>
      </w:r>
      <w:r>
        <w:rPr>
          <w:spacing w:val="-4"/>
        </w:rPr>
        <w:t> </w:t>
      </w:r>
      <w:r>
        <w:rPr/>
        <w:t>integrity</w:t>
      </w:r>
      <w:r>
        <w:rPr>
          <w:spacing w:val="-5"/>
        </w:rPr>
        <w:t> </w:t>
      </w:r>
      <w:r>
        <w:rPr/>
        <w:t>objective</w:t>
      </w:r>
      <w:r>
        <w:rPr>
          <w:spacing w:val="-6"/>
        </w:rPr>
        <w:t> </w:t>
      </w:r>
      <w:r>
        <w:rPr/>
        <w:t>for</w:t>
      </w:r>
      <w:r>
        <w:rPr>
          <w:spacing w:val="-6"/>
        </w:rPr>
        <w:t> </w:t>
      </w:r>
      <w:r>
        <w:rPr/>
        <w:t>the</w:t>
      </w:r>
      <w:r>
        <w:rPr>
          <w:spacing w:val="-3"/>
        </w:rPr>
        <w:t> </w:t>
      </w:r>
      <w:r>
        <w:rPr/>
        <w:t>area</w:t>
      </w:r>
      <w:r>
        <w:rPr>
          <w:spacing w:val="-6"/>
        </w:rPr>
        <w:t> </w:t>
      </w:r>
      <w:r>
        <w:rPr/>
        <w:t>in</w:t>
      </w:r>
      <w:r>
        <w:rPr>
          <w:spacing w:val="-5"/>
        </w:rPr>
        <w:t> </w:t>
      </w:r>
      <w:r>
        <w:rPr/>
        <w:t>which</w:t>
      </w:r>
      <w:r>
        <w:rPr>
          <w:spacing w:val="-5"/>
        </w:rPr>
        <w:t> </w:t>
      </w:r>
      <w:r>
        <w:rPr/>
        <w:t>they are located.</w:t>
      </w:r>
    </w:p>
    <w:p>
      <w:pPr>
        <w:pStyle w:val="BodyText"/>
        <w:spacing w:line="232" w:lineRule="auto" w:before="199"/>
        <w:ind w:left="359" w:right="1445"/>
      </w:pPr>
      <w:r>
        <w:rPr/>
        <w:t>Recreation</w:t>
      </w:r>
      <w:r>
        <w:rPr>
          <w:spacing w:val="-7"/>
        </w:rPr>
        <w:t> </w:t>
      </w:r>
      <w:r>
        <w:rPr/>
        <w:t>sites</w:t>
      </w:r>
      <w:r>
        <w:rPr>
          <w:spacing w:val="-6"/>
        </w:rPr>
        <w:t> </w:t>
      </w:r>
      <w:r>
        <w:rPr/>
        <w:t>provide</w:t>
      </w:r>
      <w:r>
        <w:rPr>
          <w:spacing w:val="-8"/>
        </w:rPr>
        <w:t> </w:t>
      </w:r>
      <w:r>
        <w:rPr/>
        <w:t>opportunities</w:t>
      </w:r>
      <w:r>
        <w:rPr>
          <w:spacing w:val="-8"/>
        </w:rPr>
        <w:t> </w:t>
      </w:r>
      <w:r>
        <w:rPr/>
        <w:t>for</w:t>
      </w:r>
      <w:r>
        <w:rPr>
          <w:spacing w:val="-6"/>
        </w:rPr>
        <w:t> </w:t>
      </w:r>
      <w:r>
        <w:rPr/>
        <w:t>people</w:t>
      </w:r>
      <w:r>
        <w:rPr>
          <w:spacing w:val="-8"/>
        </w:rPr>
        <w:t> </w:t>
      </w:r>
      <w:r>
        <w:rPr/>
        <w:t>to</w:t>
      </w:r>
      <w:r>
        <w:rPr>
          <w:spacing w:val="-5"/>
        </w:rPr>
        <w:t> </w:t>
      </w:r>
      <w:r>
        <w:rPr/>
        <w:t>camp,</w:t>
      </w:r>
      <w:r>
        <w:rPr>
          <w:spacing w:val="-8"/>
        </w:rPr>
        <w:t> </w:t>
      </w:r>
      <w:r>
        <w:rPr/>
        <w:t>obtain</w:t>
      </w:r>
      <w:r>
        <w:rPr>
          <w:spacing w:val="-7"/>
        </w:rPr>
        <w:t> </w:t>
      </w:r>
      <w:r>
        <w:rPr/>
        <w:t>information,</w:t>
      </w:r>
      <w:r>
        <w:rPr>
          <w:spacing w:val="-6"/>
        </w:rPr>
        <w:t> </w:t>
      </w:r>
      <w:r>
        <w:rPr/>
        <w:t>access</w:t>
      </w:r>
      <w:r>
        <w:rPr>
          <w:spacing w:val="-6"/>
        </w:rPr>
        <w:t> </w:t>
      </w:r>
      <w:r>
        <w:rPr/>
        <w:t>trails</w:t>
      </w:r>
      <w:r>
        <w:rPr>
          <w:spacing w:val="-6"/>
        </w:rPr>
        <w:t> </w:t>
      </w:r>
      <w:r>
        <w:rPr/>
        <w:t>and water bodies, and participate in day-use activities (such as picnic areas, fishing piers, boat launches, scenic overlooks, wildlife viewing sites, interpretive/heritage sites).</w:t>
      </w:r>
    </w:p>
    <w:p>
      <w:pPr>
        <w:pStyle w:val="BodyText"/>
        <w:spacing w:line="232" w:lineRule="auto" w:before="198"/>
        <w:ind w:left="359" w:right="1621"/>
      </w:pPr>
      <w:r>
        <w:rPr/>
        <w:t>Administrative sites provide the facilities necessary to carry out the mission of the Forest Service</w:t>
      </w:r>
      <w:r>
        <w:rPr>
          <w:spacing w:val="-6"/>
        </w:rPr>
        <w:t> </w:t>
      </w:r>
      <w:r>
        <w:rPr/>
        <w:t>and</w:t>
      </w:r>
      <w:r>
        <w:rPr>
          <w:spacing w:val="-7"/>
        </w:rPr>
        <w:t> </w:t>
      </w:r>
      <w:r>
        <w:rPr/>
        <w:t>can</w:t>
      </w:r>
      <w:r>
        <w:rPr>
          <w:spacing w:val="-7"/>
        </w:rPr>
        <w:t> </w:t>
      </w:r>
      <w:r>
        <w:rPr/>
        <w:t>include</w:t>
      </w:r>
      <w:r>
        <w:rPr>
          <w:spacing w:val="-8"/>
        </w:rPr>
        <w:t> </w:t>
      </w:r>
      <w:r>
        <w:rPr/>
        <w:t>offices,</w:t>
      </w:r>
      <w:r>
        <w:rPr>
          <w:spacing w:val="-6"/>
        </w:rPr>
        <w:t> </w:t>
      </w:r>
      <w:r>
        <w:rPr/>
        <w:t>communication</w:t>
      </w:r>
      <w:r>
        <w:rPr>
          <w:spacing w:val="-7"/>
        </w:rPr>
        <w:t> </w:t>
      </w:r>
      <w:r>
        <w:rPr/>
        <w:t>sites,</w:t>
      </w:r>
      <w:r>
        <w:rPr>
          <w:spacing w:val="-6"/>
        </w:rPr>
        <w:t> </w:t>
      </w:r>
      <w:r>
        <w:rPr/>
        <w:t>storage</w:t>
      </w:r>
      <w:r>
        <w:rPr>
          <w:spacing w:val="-6"/>
        </w:rPr>
        <w:t> </w:t>
      </w:r>
      <w:r>
        <w:rPr/>
        <w:t>areas,</w:t>
      </w:r>
      <w:r>
        <w:rPr>
          <w:spacing w:val="-6"/>
        </w:rPr>
        <w:t> </w:t>
      </w:r>
      <w:r>
        <w:rPr/>
        <w:t>housing,</w:t>
      </w:r>
      <w:r>
        <w:rPr>
          <w:spacing w:val="-6"/>
        </w:rPr>
        <w:t> </w:t>
      </w:r>
      <w:r>
        <w:rPr/>
        <w:t>stock</w:t>
      </w:r>
      <w:r>
        <w:rPr>
          <w:spacing w:val="-6"/>
        </w:rPr>
        <w:t> </w:t>
      </w:r>
      <w:r>
        <w:rPr/>
        <w:t>corrals, pastures, and weather stations.</w:t>
      </w:r>
    </w:p>
    <w:p>
      <w:pPr>
        <w:spacing w:before="233"/>
        <w:ind w:left="359" w:right="0" w:firstLine="0"/>
        <w:jc w:val="left"/>
        <w:rPr>
          <w:rFonts w:ascii="Arial"/>
          <w:i/>
          <w:sz w:val="22"/>
        </w:rPr>
      </w:pPr>
      <w:bookmarkStart w:name="MA-DC-ARS-03. Developments and Improveme" w:id="537"/>
      <w:bookmarkEnd w:id="537"/>
      <w:r>
        <w:rPr/>
      </w:r>
      <w:r>
        <w:rPr>
          <w:rFonts w:ascii="Arial"/>
          <w:i/>
          <w:sz w:val="22"/>
        </w:rPr>
        <w:t>MA-DC-ARS-03.</w:t>
      </w:r>
      <w:r>
        <w:rPr>
          <w:rFonts w:ascii="Arial"/>
          <w:i/>
          <w:spacing w:val="-7"/>
          <w:sz w:val="22"/>
        </w:rPr>
        <w:t> </w:t>
      </w:r>
      <w:r>
        <w:rPr>
          <w:rFonts w:ascii="Arial"/>
          <w:i/>
          <w:sz w:val="22"/>
        </w:rPr>
        <w:t>Developments</w:t>
      </w:r>
      <w:r>
        <w:rPr>
          <w:rFonts w:ascii="Arial"/>
          <w:i/>
          <w:spacing w:val="-10"/>
          <w:sz w:val="22"/>
        </w:rPr>
        <w:t> </w:t>
      </w:r>
      <w:r>
        <w:rPr>
          <w:rFonts w:ascii="Arial"/>
          <w:i/>
          <w:sz w:val="22"/>
        </w:rPr>
        <w:t>and</w:t>
      </w:r>
      <w:r>
        <w:rPr>
          <w:rFonts w:ascii="Arial"/>
          <w:i/>
          <w:spacing w:val="-10"/>
          <w:sz w:val="22"/>
        </w:rPr>
        <w:t> </w:t>
      </w:r>
      <w:r>
        <w:rPr>
          <w:rFonts w:ascii="Arial"/>
          <w:i/>
          <w:spacing w:val="-2"/>
          <w:sz w:val="22"/>
        </w:rPr>
        <w:t>Improvements</w:t>
      </w:r>
    </w:p>
    <w:p>
      <w:pPr>
        <w:pStyle w:val="BodyText"/>
        <w:spacing w:line="232" w:lineRule="auto" w:before="64"/>
        <w:ind w:left="359" w:right="1445"/>
      </w:pPr>
      <w:r>
        <w:rPr/>
        <w:t>Facilities for administrative and recreation sites are maintained; accessible; provide for user safety,</w:t>
      </w:r>
      <w:r>
        <w:rPr>
          <w:spacing w:val="-1"/>
        </w:rPr>
        <w:t> </w:t>
      </w:r>
      <w:r>
        <w:rPr/>
        <w:t>comfort, and convenience; and complement</w:t>
      </w:r>
      <w:r>
        <w:rPr>
          <w:spacing w:val="-1"/>
        </w:rPr>
        <w:t> </w:t>
      </w:r>
      <w:r>
        <w:rPr/>
        <w:t>the Forest’s natural character. Major</w:t>
      </w:r>
      <w:r>
        <w:rPr>
          <w:spacing w:val="-1"/>
        </w:rPr>
        <w:t> </w:t>
      </w:r>
      <w:r>
        <w:rPr/>
        <w:t>site modifications</w:t>
      </w:r>
      <w:r>
        <w:rPr>
          <w:spacing w:val="-7"/>
        </w:rPr>
        <w:t> </w:t>
      </w:r>
      <w:r>
        <w:rPr/>
        <w:t>and</w:t>
      </w:r>
      <w:r>
        <w:rPr>
          <w:spacing w:val="-8"/>
        </w:rPr>
        <w:t> </w:t>
      </w:r>
      <w:r>
        <w:rPr/>
        <w:t>facility</w:t>
      </w:r>
      <w:r>
        <w:rPr>
          <w:spacing w:val="-6"/>
        </w:rPr>
        <w:t> </w:t>
      </w:r>
      <w:r>
        <w:rPr/>
        <w:t>installations</w:t>
      </w:r>
      <w:r>
        <w:rPr>
          <w:spacing w:val="-9"/>
        </w:rPr>
        <w:t> </w:t>
      </w:r>
      <w:r>
        <w:rPr/>
        <w:t>may</w:t>
      </w:r>
      <w:r>
        <w:rPr>
          <w:spacing w:val="-6"/>
        </w:rPr>
        <w:t> </w:t>
      </w:r>
      <w:r>
        <w:rPr/>
        <w:t>be</w:t>
      </w:r>
      <w:r>
        <w:rPr>
          <w:spacing w:val="-9"/>
        </w:rPr>
        <w:t> </w:t>
      </w:r>
      <w:r>
        <w:rPr/>
        <w:t>present.</w:t>
      </w:r>
      <w:r>
        <w:rPr>
          <w:spacing w:val="-9"/>
        </w:rPr>
        <w:t> </w:t>
      </w:r>
      <w:r>
        <w:rPr/>
        <w:t>Facilities</w:t>
      </w:r>
      <w:r>
        <w:rPr>
          <w:spacing w:val="-9"/>
        </w:rPr>
        <w:t> </w:t>
      </w:r>
      <w:r>
        <w:rPr/>
        <w:t>range</w:t>
      </w:r>
      <w:r>
        <w:rPr>
          <w:spacing w:val="-6"/>
        </w:rPr>
        <w:t> </w:t>
      </w:r>
      <w:r>
        <w:rPr/>
        <w:t>from</w:t>
      </w:r>
      <w:r>
        <w:rPr>
          <w:spacing w:val="-6"/>
        </w:rPr>
        <w:t> </w:t>
      </w:r>
      <w:r>
        <w:rPr/>
        <w:t>primitive</w:t>
      </w:r>
      <w:r>
        <w:rPr>
          <w:spacing w:val="-6"/>
        </w:rPr>
        <w:t> </w:t>
      </w:r>
      <w:r>
        <w:rPr/>
        <w:t>to</w:t>
      </w:r>
      <w:r>
        <w:rPr>
          <w:spacing w:val="-6"/>
        </w:rPr>
        <w:t> </w:t>
      </w:r>
      <w:r>
        <w:rPr/>
        <w:t>highly developed, with an emphasis on blending the facilities with the landscape.</w:t>
      </w:r>
    </w:p>
    <w:p>
      <w:pPr>
        <w:pStyle w:val="BodyText"/>
        <w:spacing w:line="232" w:lineRule="auto" w:before="199"/>
        <w:ind w:left="358" w:right="2220"/>
      </w:pPr>
      <w:r>
        <w:rPr/>
        <w:t>Trails</w:t>
      </w:r>
      <w:r>
        <w:rPr>
          <w:spacing w:val="-7"/>
        </w:rPr>
        <w:t> </w:t>
      </w:r>
      <w:r>
        <w:rPr/>
        <w:t>are</w:t>
      </w:r>
      <w:r>
        <w:rPr>
          <w:spacing w:val="-9"/>
        </w:rPr>
        <w:t> </w:t>
      </w:r>
      <w:r>
        <w:rPr/>
        <w:t>well</w:t>
      </w:r>
      <w:r>
        <w:rPr>
          <w:spacing w:val="-10"/>
        </w:rPr>
        <w:t> </w:t>
      </w:r>
      <w:r>
        <w:rPr/>
        <w:t>marked</w:t>
      </w:r>
      <w:r>
        <w:rPr>
          <w:spacing w:val="-8"/>
        </w:rPr>
        <w:t> </w:t>
      </w:r>
      <w:r>
        <w:rPr/>
        <w:t>and</w:t>
      </w:r>
      <w:r>
        <w:rPr>
          <w:spacing w:val="-10"/>
        </w:rPr>
        <w:t> </w:t>
      </w:r>
      <w:r>
        <w:rPr/>
        <w:t>may</w:t>
      </w:r>
      <w:r>
        <w:rPr>
          <w:spacing w:val="-6"/>
        </w:rPr>
        <w:t> </w:t>
      </w:r>
      <w:r>
        <w:rPr/>
        <w:t>include</w:t>
      </w:r>
      <w:r>
        <w:rPr>
          <w:spacing w:val="-9"/>
        </w:rPr>
        <w:t> </w:t>
      </w:r>
      <w:r>
        <w:rPr/>
        <w:t>features</w:t>
      </w:r>
      <w:r>
        <w:rPr>
          <w:spacing w:val="-9"/>
        </w:rPr>
        <w:t> </w:t>
      </w:r>
      <w:r>
        <w:rPr/>
        <w:t>such</w:t>
      </w:r>
      <w:r>
        <w:rPr>
          <w:spacing w:val="-10"/>
        </w:rPr>
        <w:t> </w:t>
      </w:r>
      <w:r>
        <w:rPr/>
        <w:t>as</w:t>
      </w:r>
      <w:r>
        <w:rPr>
          <w:spacing w:val="-7"/>
        </w:rPr>
        <w:t> </w:t>
      </w:r>
      <w:r>
        <w:rPr/>
        <w:t>loop</w:t>
      </w:r>
      <w:r>
        <w:rPr>
          <w:spacing w:val="-8"/>
        </w:rPr>
        <w:t> </w:t>
      </w:r>
      <w:r>
        <w:rPr/>
        <w:t>systems</w:t>
      </w:r>
      <w:r>
        <w:rPr>
          <w:spacing w:val="-9"/>
        </w:rPr>
        <w:t> </w:t>
      </w:r>
      <w:r>
        <w:rPr/>
        <w:t>or</w:t>
      </w:r>
      <w:r>
        <w:rPr>
          <w:spacing w:val="-7"/>
        </w:rPr>
        <w:t> </w:t>
      </w:r>
      <w:r>
        <w:rPr/>
        <w:t>interpretive </w:t>
      </w:r>
      <w:r>
        <w:rPr>
          <w:spacing w:val="-2"/>
        </w:rPr>
        <w:t>information.</w:t>
      </w:r>
    </w:p>
    <w:p>
      <w:pPr>
        <w:spacing w:before="234"/>
        <w:ind w:left="358" w:right="0" w:firstLine="0"/>
        <w:jc w:val="left"/>
        <w:rPr>
          <w:rFonts w:ascii="Arial"/>
          <w:i/>
          <w:sz w:val="22"/>
        </w:rPr>
      </w:pPr>
      <w:bookmarkStart w:name="MA-DC-ARS-04. Travelways, Roads" w:id="538"/>
      <w:bookmarkEnd w:id="538"/>
      <w:r>
        <w:rPr/>
      </w:r>
      <w:r>
        <w:rPr>
          <w:rFonts w:ascii="Arial"/>
          <w:i/>
          <w:sz w:val="22"/>
        </w:rPr>
        <w:t>MA-DC-ARS-04.</w:t>
      </w:r>
      <w:r>
        <w:rPr>
          <w:rFonts w:ascii="Arial"/>
          <w:i/>
          <w:spacing w:val="-11"/>
          <w:sz w:val="22"/>
        </w:rPr>
        <w:t> </w:t>
      </w:r>
      <w:r>
        <w:rPr>
          <w:rFonts w:ascii="Arial"/>
          <w:i/>
          <w:sz w:val="22"/>
        </w:rPr>
        <w:t>Travelways,</w:t>
      </w:r>
      <w:r>
        <w:rPr>
          <w:rFonts w:ascii="Arial"/>
          <w:i/>
          <w:spacing w:val="-9"/>
          <w:sz w:val="22"/>
        </w:rPr>
        <w:t> </w:t>
      </w:r>
      <w:r>
        <w:rPr>
          <w:rFonts w:ascii="Arial"/>
          <w:i/>
          <w:spacing w:val="-2"/>
          <w:sz w:val="22"/>
        </w:rPr>
        <w:t>Roads</w:t>
      </w:r>
    </w:p>
    <w:p>
      <w:pPr>
        <w:pStyle w:val="BodyText"/>
        <w:spacing w:line="232" w:lineRule="auto" w:before="65"/>
        <w:ind w:left="358" w:right="1621"/>
      </w:pPr>
      <w:r>
        <w:rPr/>
        <w:t>A wide spectrum of travelway types are present, ranging from maintenance level</w:t>
      </w:r>
      <w:r>
        <w:rPr>
          <w:spacing w:val="-2"/>
        </w:rPr>
        <w:t> </w:t>
      </w:r>
      <w:r>
        <w:rPr/>
        <w:t>1 through 5 roads (primitive roads to highways) to trails and waterways. Roads are gated, closed by barricade, or seasonally restricted for reasons including resource protection, recreation management,</w:t>
      </w:r>
      <w:r>
        <w:rPr>
          <w:spacing w:val="-6"/>
        </w:rPr>
        <w:t> </w:t>
      </w:r>
      <w:r>
        <w:rPr/>
        <w:t>or</w:t>
      </w:r>
      <w:r>
        <w:rPr>
          <w:spacing w:val="-5"/>
        </w:rPr>
        <w:t> </w:t>
      </w:r>
      <w:r>
        <w:rPr/>
        <w:t>use</w:t>
      </w:r>
      <w:r>
        <w:rPr>
          <w:spacing w:val="-4"/>
        </w:rPr>
        <w:t> </w:t>
      </w:r>
      <w:r>
        <w:rPr/>
        <w:t>and</w:t>
      </w:r>
      <w:r>
        <w:rPr>
          <w:spacing w:val="-7"/>
        </w:rPr>
        <w:t> </w:t>
      </w:r>
      <w:r>
        <w:rPr/>
        <w:t>occupancy</w:t>
      </w:r>
      <w:r>
        <w:rPr>
          <w:spacing w:val="-5"/>
        </w:rPr>
        <w:t> </w:t>
      </w:r>
      <w:r>
        <w:rPr/>
        <w:t>of</w:t>
      </w:r>
      <w:r>
        <w:rPr>
          <w:spacing w:val="-5"/>
        </w:rPr>
        <w:t> </w:t>
      </w:r>
      <w:r>
        <w:rPr/>
        <w:t>the</w:t>
      </w:r>
      <w:r>
        <w:rPr>
          <w:spacing w:val="-4"/>
        </w:rPr>
        <w:t> </w:t>
      </w:r>
      <w:r>
        <w:rPr/>
        <w:t>site.</w:t>
      </w:r>
      <w:r>
        <w:rPr>
          <w:spacing w:val="-5"/>
        </w:rPr>
        <w:t> </w:t>
      </w:r>
      <w:r>
        <w:rPr/>
        <w:t>The</w:t>
      </w:r>
      <w:r>
        <w:rPr>
          <w:spacing w:val="-6"/>
        </w:rPr>
        <w:t> </w:t>
      </w:r>
      <w:r>
        <w:rPr/>
        <w:t>density</w:t>
      </w:r>
      <w:r>
        <w:rPr>
          <w:spacing w:val="-5"/>
        </w:rPr>
        <w:t> </w:t>
      </w:r>
      <w:r>
        <w:rPr/>
        <w:t>of</w:t>
      </w:r>
      <w:r>
        <w:rPr>
          <w:spacing w:val="-5"/>
        </w:rPr>
        <w:t> </w:t>
      </w:r>
      <w:r>
        <w:rPr/>
        <w:t>National</w:t>
      </w:r>
      <w:r>
        <w:rPr>
          <w:spacing w:val="-5"/>
        </w:rPr>
        <w:t> </w:t>
      </w:r>
      <w:r>
        <w:rPr/>
        <w:t>Forest</w:t>
      </w:r>
      <w:r>
        <w:rPr>
          <w:spacing w:val="-4"/>
        </w:rPr>
        <w:t> </w:t>
      </w:r>
      <w:r>
        <w:rPr/>
        <w:t>System</w:t>
      </w:r>
      <w:r>
        <w:rPr>
          <w:spacing w:val="-4"/>
        </w:rPr>
        <w:t> </w:t>
      </w:r>
      <w:r>
        <w:rPr/>
        <w:t>roads</w:t>
      </w:r>
      <w:r>
        <w:rPr>
          <w:spacing w:val="-5"/>
        </w:rPr>
        <w:t> </w:t>
      </w:r>
      <w:r>
        <w:rPr/>
        <w:t>is not limited on administrative or recreation sites.</w:t>
      </w:r>
    </w:p>
    <w:p>
      <w:pPr>
        <w:spacing w:before="233"/>
        <w:ind w:left="358" w:right="0" w:firstLine="0"/>
        <w:jc w:val="left"/>
        <w:rPr>
          <w:rFonts w:ascii="Arial"/>
          <w:i/>
          <w:sz w:val="22"/>
        </w:rPr>
      </w:pPr>
      <w:bookmarkStart w:name="MA-DC-ARS-05. Winter Recreation Resorts" w:id="539"/>
      <w:bookmarkEnd w:id="539"/>
      <w:r>
        <w:rPr/>
      </w:r>
      <w:r>
        <w:rPr>
          <w:rFonts w:ascii="Arial"/>
          <w:i/>
          <w:sz w:val="22"/>
        </w:rPr>
        <w:t>MA-DC-ARS-05.</w:t>
      </w:r>
      <w:r>
        <w:rPr>
          <w:rFonts w:ascii="Arial"/>
          <w:i/>
          <w:spacing w:val="-9"/>
          <w:sz w:val="22"/>
        </w:rPr>
        <w:t> </w:t>
      </w:r>
      <w:r>
        <w:rPr>
          <w:rFonts w:ascii="Arial"/>
          <w:i/>
          <w:sz w:val="22"/>
        </w:rPr>
        <w:t>Winter</w:t>
      </w:r>
      <w:r>
        <w:rPr>
          <w:rFonts w:ascii="Arial"/>
          <w:i/>
          <w:spacing w:val="-10"/>
          <w:sz w:val="22"/>
        </w:rPr>
        <w:t> </w:t>
      </w:r>
      <w:r>
        <w:rPr>
          <w:rFonts w:ascii="Arial"/>
          <w:i/>
          <w:sz w:val="22"/>
        </w:rPr>
        <w:t>Recreation</w:t>
      </w:r>
      <w:r>
        <w:rPr>
          <w:rFonts w:ascii="Arial"/>
          <w:i/>
          <w:spacing w:val="-7"/>
          <w:sz w:val="22"/>
        </w:rPr>
        <w:t> </w:t>
      </w:r>
      <w:r>
        <w:rPr>
          <w:rFonts w:ascii="Arial"/>
          <w:i/>
          <w:spacing w:val="-2"/>
          <w:sz w:val="22"/>
        </w:rPr>
        <w:t>Resorts</w:t>
      </w:r>
    </w:p>
    <w:p>
      <w:pPr>
        <w:pStyle w:val="BodyText"/>
        <w:spacing w:line="232" w:lineRule="auto" w:before="64"/>
        <w:ind w:left="358" w:right="1073"/>
      </w:pPr>
      <w:r>
        <w:rPr/>
        <w:t>Special-use authorizations allow the private sector to develop, maintain, and operate highly developed</w:t>
      </w:r>
      <w:r>
        <w:rPr>
          <w:spacing w:val="-9"/>
        </w:rPr>
        <w:t> </w:t>
      </w:r>
      <w:r>
        <w:rPr/>
        <w:t>winter</w:t>
      </w:r>
      <w:r>
        <w:rPr>
          <w:spacing w:val="-8"/>
        </w:rPr>
        <w:t> </w:t>
      </w:r>
      <w:r>
        <w:rPr/>
        <w:t>recreation</w:t>
      </w:r>
      <w:r>
        <w:rPr>
          <w:spacing w:val="-7"/>
        </w:rPr>
        <w:t> </w:t>
      </w:r>
      <w:r>
        <w:rPr/>
        <w:t>facilities</w:t>
      </w:r>
      <w:r>
        <w:rPr>
          <w:spacing w:val="-8"/>
        </w:rPr>
        <w:t> </w:t>
      </w:r>
      <w:r>
        <w:rPr/>
        <w:t>where</w:t>
      </w:r>
      <w:r>
        <w:rPr>
          <w:spacing w:val="-6"/>
        </w:rPr>
        <w:t> </w:t>
      </w:r>
      <w:r>
        <w:rPr/>
        <w:t>appropriate.</w:t>
      </w:r>
      <w:r>
        <w:rPr>
          <w:spacing w:val="-6"/>
        </w:rPr>
        <w:t> </w:t>
      </w:r>
      <w:r>
        <w:rPr/>
        <w:t>Ski</w:t>
      </w:r>
      <w:r>
        <w:rPr>
          <w:spacing w:val="-6"/>
        </w:rPr>
        <w:t> </w:t>
      </w:r>
      <w:r>
        <w:rPr/>
        <w:t>areas</w:t>
      </w:r>
      <w:r>
        <w:rPr>
          <w:spacing w:val="-8"/>
        </w:rPr>
        <w:t> </w:t>
      </w:r>
      <w:r>
        <w:rPr/>
        <w:t>are</w:t>
      </w:r>
      <w:r>
        <w:rPr>
          <w:spacing w:val="-8"/>
        </w:rPr>
        <w:t> </w:t>
      </w:r>
      <w:r>
        <w:rPr/>
        <w:t>able</w:t>
      </w:r>
      <w:r>
        <w:rPr>
          <w:spacing w:val="-6"/>
        </w:rPr>
        <w:t> </w:t>
      </w:r>
      <w:r>
        <w:rPr/>
        <w:t>to</w:t>
      </w:r>
      <w:r>
        <w:rPr>
          <w:spacing w:val="-6"/>
        </w:rPr>
        <w:t> </w:t>
      </w:r>
      <w:r>
        <w:rPr/>
        <w:t>provide</w:t>
      </w:r>
      <w:r>
        <w:rPr>
          <w:spacing w:val="-6"/>
        </w:rPr>
        <w:t> </w:t>
      </w:r>
      <w:r>
        <w:rPr/>
        <w:t>parking, adequate room for skiers on the slopes, and facilities offering restrooms, warmth, and food.</w:t>
      </w:r>
    </w:p>
    <w:p>
      <w:pPr>
        <w:pStyle w:val="BodyText"/>
        <w:spacing w:line="232" w:lineRule="auto" w:before="201"/>
        <w:ind w:left="358" w:right="1445"/>
      </w:pPr>
      <w:r>
        <w:rPr/>
        <w:t>Other outdoor recreation activities permitted by law and compatible in this national forest setting</w:t>
      </w:r>
      <w:r>
        <w:rPr>
          <w:spacing w:val="-8"/>
        </w:rPr>
        <w:t> </w:t>
      </w:r>
      <w:r>
        <w:rPr/>
        <w:t>may</w:t>
      </w:r>
      <w:r>
        <w:rPr>
          <w:spacing w:val="-4"/>
        </w:rPr>
        <w:t> </w:t>
      </w:r>
      <w:r>
        <w:rPr/>
        <w:t>be</w:t>
      </w:r>
      <w:r>
        <w:rPr>
          <w:spacing w:val="-7"/>
        </w:rPr>
        <w:t> </w:t>
      </w:r>
      <w:r>
        <w:rPr/>
        <w:t>authorized</w:t>
      </w:r>
      <w:r>
        <w:rPr>
          <w:spacing w:val="-6"/>
        </w:rPr>
        <w:t> </w:t>
      </w:r>
      <w:r>
        <w:rPr/>
        <w:t>to</w:t>
      </w:r>
      <w:r>
        <w:rPr>
          <w:spacing w:val="-4"/>
        </w:rPr>
        <w:t> </w:t>
      </w:r>
      <w:r>
        <w:rPr/>
        <w:t>increase</w:t>
      </w:r>
      <w:r>
        <w:rPr>
          <w:spacing w:val="-7"/>
        </w:rPr>
        <w:t> </w:t>
      </w:r>
      <w:r>
        <w:rPr/>
        <w:t>the</w:t>
      </w:r>
      <w:r>
        <w:rPr>
          <w:spacing w:val="-7"/>
        </w:rPr>
        <w:t> </w:t>
      </w:r>
      <w:r>
        <w:rPr/>
        <w:t>recreational</w:t>
      </w:r>
      <w:r>
        <w:rPr>
          <w:spacing w:val="-8"/>
        </w:rPr>
        <w:t> </w:t>
      </w:r>
      <w:r>
        <w:rPr/>
        <w:t>opportunities</w:t>
      </w:r>
      <w:r>
        <w:rPr>
          <w:spacing w:val="-5"/>
        </w:rPr>
        <w:t> </w:t>
      </w:r>
      <w:r>
        <w:rPr/>
        <w:t>provided</w:t>
      </w:r>
      <w:r>
        <w:rPr>
          <w:spacing w:val="-8"/>
        </w:rPr>
        <w:t> </w:t>
      </w:r>
      <w:r>
        <w:rPr/>
        <w:t>on</w:t>
      </w:r>
      <w:r>
        <w:rPr>
          <w:spacing w:val="-8"/>
        </w:rPr>
        <w:t> </w:t>
      </w:r>
      <w:r>
        <w:rPr/>
        <w:t>the</w:t>
      </w:r>
      <w:r>
        <w:rPr>
          <w:spacing w:val="-3"/>
        </w:rPr>
        <w:t> </w:t>
      </w:r>
      <w:r>
        <w:rPr/>
        <w:t>Forest</w:t>
      </w:r>
      <w:r>
        <w:rPr>
          <w:spacing w:val="-4"/>
        </w:rPr>
        <w:t> </w:t>
      </w:r>
      <w:r>
        <w:rPr/>
        <w:t>and contribute monetarily to local economies.</w:t>
      </w:r>
    </w:p>
    <w:p>
      <w:pPr>
        <w:pStyle w:val="BodyText"/>
        <w:spacing w:line="232" w:lineRule="auto" w:before="197"/>
        <w:ind w:left="358" w:right="1621"/>
      </w:pPr>
      <w:r>
        <w:rPr/>
        <w:t>Ski areas</w:t>
      </w:r>
      <w:r>
        <w:rPr>
          <w:spacing w:val="-2"/>
        </w:rPr>
        <w:t> </w:t>
      </w:r>
      <w:r>
        <w:rPr/>
        <w:t>generally</w:t>
      </w:r>
      <w:r>
        <w:rPr>
          <w:spacing w:val="-1"/>
        </w:rPr>
        <w:t> </w:t>
      </w:r>
      <w:r>
        <w:rPr/>
        <w:t>have a</w:t>
      </w:r>
      <w:r>
        <w:rPr>
          <w:spacing w:val="-5"/>
        </w:rPr>
        <w:t> </w:t>
      </w:r>
      <w:r>
        <w:rPr/>
        <w:t>mix</w:t>
      </w:r>
      <w:r>
        <w:rPr>
          <w:spacing w:val="-2"/>
        </w:rPr>
        <w:t> </w:t>
      </w:r>
      <w:r>
        <w:rPr/>
        <w:t>of native</w:t>
      </w:r>
      <w:r>
        <w:rPr>
          <w:spacing w:val="-2"/>
        </w:rPr>
        <w:t> </w:t>
      </w:r>
      <w:r>
        <w:rPr/>
        <w:t>vegetation</w:t>
      </w:r>
      <w:r>
        <w:rPr>
          <w:spacing w:val="-1"/>
        </w:rPr>
        <w:t> </w:t>
      </w:r>
      <w:r>
        <w:rPr/>
        <w:t>and</w:t>
      </w:r>
      <w:r>
        <w:rPr>
          <w:spacing w:val="-1"/>
        </w:rPr>
        <w:t> </w:t>
      </w:r>
      <w:r>
        <w:rPr/>
        <w:t>man-made grassy</w:t>
      </w:r>
      <w:r>
        <w:rPr>
          <w:spacing w:val="-1"/>
        </w:rPr>
        <w:t> </w:t>
      </w:r>
      <w:r>
        <w:rPr/>
        <w:t>openings intermixed with forested or partially forested areas and rocky outcroppings. Forested areas may act as cover for wildlife species, or habitat for plant species, contributing to the composition, structure,</w:t>
      </w:r>
      <w:r>
        <w:rPr>
          <w:spacing w:val="-8"/>
        </w:rPr>
        <w:t> </w:t>
      </w:r>
      <w:r>
        <w:rPr/>
        <w:t>and</w:t>
      </w:r>
      <w:r>
        <w:rPr>
          <w:spacing w:val="-7"/>
        </w:rPr>
        <w:t> </w:t>
      </w:r>
      <w:r>
        <w:rPr/>
        <w:t>pattern</w:t>
      </w:r>
      <w:r>
        <w:rPr>
          <w:spacing w:val="-7"/>
        </w:rPr>
        <w:t> </w:t>
      </w:r>
      <w:r>
        <w:rPr/>
        <w:t>typical</w:t>
      </w:r>
      <w:r>
        <w:rPr>
          <w:spacing w:val="-6"/>
        </w:rPr>
        <w:t> </w:t>
      </w:r>
      <w:r>
        <w:rPr/>
        <w:t>of</w:t>
      </w:r>
      <w:r>
        <w:rPr>
          <w:spacing w:val="-8"/>
        </w:rPr>
        <w:t> </w:t>
      </w:r>
      <w:r>
        <w:rPr/>
        <w:t>the</w:t>
      </w:r>
      <w:r>
        <w:rPr>
          <w:spacing w:val="-8"/>
        </w:rPr>
        <w:t> </w:t>
      </w:r>
      <w:r>
        <w:rPr/>
        <w:t>vegetative</w:t>
      </w:r>
      <w:r>
        <w:rPr>
          <w:spacing w:val="-5"/>
        </w:rPr>
        <w:t> </w:t>
      </w:r>
      <w:r>
        <w:rPr/>
        <w:t>systems,</w:t>
      </w:r>
      <w:r>
        <w:rPr>
          <w:spacing w:val="-6"/>
        </w:rPr>
        <w:t> </w:t>
      </w:r>
      <w:r>
        <w:rPr/>
        <w:t>but</w:t>
      </w:r>
      <w:r>
        <w:rPr>
          <w:spacing w:val="-5"/>
        </w:rPr>
        <w:t> </w:t>
      </w:r>
      <w:r>
        <w:rPr/>
        <w:t>are</w:t>
      </w:r>
      <w:r>
        <w:rPr>
          <w:spacing w:val="-5"/>
        </w:rPr>
        <w:t> </w:t>
      </w:r>
      <w:r>
        <w:rPr/>
        <w:t>not</w:t>
      </w:r>
      <w:r>
        <w:rPr>
          <w:spacing w:val="-5"/>
        </w:rPr>
        <w:t> </w:t>
      </w:r>
      <w:r>
        <w:rPr/>
        <w:t>required</w:t>
      </w:r>
      <w:r>
        <w:rPr>
          <w:spacing w:val="-7"/>
        </w:rPr>
        <w:t> </w:t>
      </w:r>
      <w:r>
        <w:rPr/>
        <w:t>to</w:t>
      </w:r>
      <w:r>
        <w:rPr>
          <w:spacing w:val="-5"/>
        </w:rPr>
        <w:t> </w:t>
      </w:r>
      <w:r>
        <w:rPr/>
        <w:t>be</w:t>
      </w:r>
      <w:r>
        <w:rPr>
          <w:spacing w:val="-5"/>
        </w:rPr>
        <w:t> </w:t>
      </w:r>
      <w:r>
        <w:rPr/>
        <w:t>within</w:t>
      </w:r>
      <w:r>
        <w:rPr>
          <w:spacing w:val="-9"/>
        </w:rPr>
        <w:t> </w:t>
      </w:r>
      <w:r>
        <w:rPr/>
        <w:t>their natural range of variability or to meet forestwide habitat requirements.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MA-DC-ARS-06. Group Recreation Sites" w:id="540"/>
      <w:bookmarkEnd w:id="540"/>
      <w:r>
        <w:rPr/>
      </w:r>
      <w:r>
        <w:rPr>
          <w:rFonts w:ascii="Arial"/>
          <w:i/>
          <w:sz w:val="22"/>
        </w:rPr>
        <w:t>MA-DC-ARS-06.</w:t>
      </w:r>
      <w:r>
        <w:rPr>
          <w:rFonts w:ascii="Arial"/>
          <w:i/>
          <w:spacing w:val="-8"/>
          <w:sz w:val="22"/>
        </w:rPr>
        <w:t> </w:t>
      </w:r>
      <w:r>
        <w:rPr>
          <w:rFonts w:ascii="Arial"/>
          <w:i/>
          <w:sz w:val="22"/>
        </w:rPr>
        <w:t>Group</w:t>
      </w:r>
      <w:r>
        <w:rPr>
          <w:rFonts w:ascii="Arial"/>
          <w:i/>
          <w:spacing w:val="-11"/>
          <w:sz w:val="22"/>
        </w:rPr>
        <w:t> </w:t>
      </w:r>
      <w:r>
        <w:rPr>
          <w:rFonts w:ascii="Arial"/>
          <w:i/>
          <w:sz w:val="22"/>
        </w:rPr>
        <w:t>Recreation</w:t>
      </w:r>
      <w:r>
        <w:rPr>
          <w:rFonts w:ascii="Arial"/>
          <w:i/>
          <w:spacing w:val="-6"/>
          <w:sz w:val="22"/>
        </w:rPr>
        <w:t> </w:t>
      </w:r>
      <w:r>
        <w:rPr>
          <w:rFonts w:ascii="Arial"/>
          <w:i/>
          <w:spacing w:val="-4"/>
          <w:sz w:val="22"/>
        </w:rPr>
        <w:t>Sites</w:t>
      </w:r>
    </w:p>
    <w:p>
      <w:pPr>
        <w:pStyle w:val="BodyText"/>
        <w:spacing w:line="232" w:lineRule="auto" w:before="65"/>
        <w:ind w:left="1152" w:right="1073"/>
      </w:pPr>
      <w:r>
        <w:rPr/>
        <w:t>The</w:t>
      </w:r>
      <w:r>
        <w:rPr>
          <w:spacing w:val="-5"/>
        </w:rPr>
        <w:t> </w:t>
      </w:r>
      <w:r>
        <w:rPr/>
        <w:t>forest’s</w:t>
      </w:r>
      <w:r>
        <w:rPr>
          <w:spacing w:val="-6"/>
        </w:rPr>
        <w:t> </w:t>
      </w:r>
      <w:r>
        <w:rPr/>
        <w:t>recreation</w:t>
      </w:r>
      <w:r>
        <w:rPr>
          <w:spacing w:val="-9"/>
        </w:rPr>
        <w:t> </w:t>
      </w:r>
      <w:r>
        <w:rPr/>
        <w:t>program</w:t>
      </w:r>
      <w:r>
        <w:rPr>
          <w:spacing w:val="-7"/>
        </w:rPr>
        <w:t> </w:t>
      </w:r>
      <w:r>
        <w:rPr/>
        <w:t>meets</w:t>
      </w:r>
      <w:r>
        <w:rPr>
          <w:spacing w:val="-8"/>
        </w:rPr>
        <w:t> </w:t>
      </w:r>
      <w:r>
        <w:rPr/>
        <w:t>the</w:t>
      </w:r>
      <w:r>
        <w:rPr>
          <w:spacing w:val="-5"/>
        </w:rPr>
        <w:t> </w:t>
      </w:r>
      <w:r>
        <w:rPr/>
        <w:t>increasing</w:t>
      </w:r>
      <w:r>
        <w:rPr>
          <w:spacing w:val="-9"/>
        </w:rPr>
        <w:t> </w:t>
      </w:r>
      <w:r>
        <w:rPr/>
        <w:t>public</w:t>
      </w:r>
      <w:r>
        <w:rPr>
          <w:spacing w:val="-6"/>
        </w:rPr>
        <w:t> </w:t>
      </w:r>
      <w:r>
        <w:rPr/>
        <w:t>demand</w:t>
      </w:r>
      <w:r>
        <w:rPr>
          <w:spacing w:val="-7"/>
        </w:rPr>
        <w:t> </w:t>
      </w:r>
      <w:r>
        <w:rPr/>
        <w:t>for</w:t>
      </w:r>
      <w:r>
        <w:rPr>
          <w:spacing w:val="-6"/>
        </w:rPr>
        <w:t> </w:t>
      </w:r>
      <w:r>
        <w:rPr/>
        <w:t>large</w:t>
      </w:r>
      <w:r>
        <w:rPr>
          <w:spacing w:val="-8"/>
        </w:rPr>
        <w:t> </w:t>
      </w:r>
      <w:r>
        <w:rPr/>
        <w:t>(100+</w:t>
      </w:r>
      <w:r>
        <w:rPr>
          <w:spacing w:val="-8"/>
        </w:rPr>
        <w:t> </w:t>
      </w:r>
      <w:r>
        <w:rPr/>
        <w:t>people) group sites in developed and dispersed recreation settings.</w:t>
      </w:r>
    </w:p>
    <w:p>
      <w:pPr>
        <w:spacing w:before="234"/>
        <w:ind w:left="1152" w:right="0" w:firstLine="0"/>
        <w:jc w:val="left"/>
        <w:rPr>
          <w:rFonts w:ascii="Arial"/>
          <w:i/>
          <w:sz w:val="22"/>
        </w:rPr>
      </w:pPr>
      <w:bookmarkStart w:name="MA-DC-ARS-07. Recreation Site Improvemen" w:id="541"/>
      <w:bookmarkEnd w:id="541"/>
      <w:r>
        <w:rPr/>
      </w:r>
      <w:r>
        <w:rPr>
          <w:rFonts w:ascii="Arial"/>
          <w:i/>
          <w:sz w:val="22"/>
        </w:rPr>
        <w:t>MA-DC-ARS-07.</w:t>
      </w:r>
      <w:r>
        <w:rPr>
          <w:rFonts w:ascii="Arial"/>
          <w:i/>
          <w:spacing w:val="-7"/>
          <w:sz w:val="22"/>
        </w:rPr>
        <w:t> </w:t>
      </w:r>
      <w:r>
        <w:rPr>
          <w:rFonts w:ascii="Arial"/>
          <w:i/>
          <w:sz w:val="22"/>
        </w:rPr>
        <w:t>Recreation</w:t>
      </w:r>
      <w:r>
        <w:rPr>
          <w:rFonts w:ascii="Arial"/>
          <w:i/>
          <w:spacing w:val="-9"/>
          <w:sz w:val="22"/>
        </w:rPr>
        <w:t> </w:t>
      </w:r>
      <w:r>
        <w:rPr>
          <w:rFonts w:ascii="Arial"/>
          <w:i/>
          <w:sz w:val="22"/>
        </w:rPr>
        <w:t>Site</w:t>
      </w:r>
      <w:r>
        <w:rPr>
          <w:rFonts w:ascii="Arial"/>
          <w:i/>
          <w:spacing w:val="-10"/>
          <w:sz w:val="22"/>
        </w:rPr>
        <w:t> </w:t>
      </w:r>
      <w:r>
        <w:rPr>
          <w:rFonts w:ascii="Arial"/>
          <w:i/>
          <w:spacing w:val="-2"/>
          <w:sz w:val="22"/>
        </w:rPr>
        <w:t>Improvements</w:t>
      </w:r>
    </w:p>
    <w:p>
      <w:pPr>
        <w:pStyle w:val="BodyText"/>
        <w:spacing w:line="232" w:lineRule="auto" w:before="65"/>
        <w:ind w:left="1152" w:right="846"/>
      </w:pPr>
      <w:r>
        <w:rPr/>
        <w:t>Recreation sites meet current accessibility guidelines and site design standards for modern recreational vehicles that are appropriate for the ROS classification in which the sites are located.</w:t>
      </w:r>
      <w:r>
        <w:rPr>
          <w:spacing w:val="-8"/>
        </w:rPr>
        <w:t> </w:t>
      </w:r>
      <w:r>
        <w:rPr/>
        <w:t>Forest</w:t>
      </w:r>
      <w:r>
        <w:rPr>
          <w:spacing w:val="-10"/>
        </w:rPr>
        <w:t> </w:t>
      </w:r>
      <w:r>
        <w:rPr/>
        <w:t>recreation</w:t>
      </w:r>
      <w:r>
        <w:rPr>
          <w:spacing w:val="-9"/>
        </w:rPr>
        <w:t> </w:t>
      </w:r>
      <w:r>
        <w:rPr/>
        <w:t>staff</w:t>
      </w:r>
      <w:r>
        <w:rPr>
          <w:spacing w:val="-8"/>
        </w:rPr>
        <w:t> </w:t>
      </w:r>
      <w:r>
        <w:rPr/>
        <w:t>actively</w:t>
      </w:r>
      <w:r>
        <w:rPr>
          <w:spacing w:val="-7"/>
        </w:rPr>
        <w:t> </w:t>
      </w:r>
      <w:r>
        <w:rPr/>
        <w:t>pursue</w:t>
      </w:r>
      <w:r>
        <w:rPr>
          <w:spacing w:val="-7"/>
        </w:rPr>
        <w:t> </w:t>
      </w:r>
      <w:r>
        <w:rPr/>
        <w:t>internal</w:t>
      </w:r>
      <w:r>
        <w:rPr>
          <w:spacing w:val="-10"/>
        </w:rPr>
        <w:t> </w:t>
      </w:r>
      <w:r>
        <w:rPr/>
        <w:t>and</w:t>
      </w:r>
      <w:r>
        <w:rPr>
          <w:spacing w:val="-9"/>
        </w:rPr>
        <w:t> </w:t>
      </w:r>
      <w:r>
        <w:rPr/>
        <w:t>external</w:t>
      </w:r>
      <w:r>
        <w:rPr>
          <w:spacing w:val="-10"/>
        </w:rPr>
        <w:t> </w:t>
      </w:r>
      <w:r>
        <w:rPr/>
        <w:t>opportunities</w:t>
      </w:r>
      <w:r>
        <w:rPr>
          <w:spacing w:val="-10"/>
        </w:rPr>
        <w:t> </w:t>
      </w:r>
      <w:r>
        <w:rPr/>
        <w:t>for</w:t>
      </w:r>
      <w:r>
        <w:rPr>
          <w:spacing w:val="-8"/>
        </w:rPr>
        <w:t> </w:t>
      </w:r>
      <w:r>
        <w:rPr/>
        <w:t>funding to increase the pace of recreation site reconstruction and the updating of major and minor constructed features.</w:t>
      </w:r>
    </w:p>
    <w:p>
      <w:pPr>
        <w:pStyle w:val="Heading4"/>
        <w:spacing w:before="233"/>
        <w:ind w:left="1151"/>
      </w:pPr>
      <w:bookmarkStart w:name="Objectives" w:id="542"/>
      <w:bookmarkEnd w:id="542"/>
      <w:r>
        <w:rPr/>
      </w:r>
      <w:bookmarkStart w:name="_bookmark171" w:id="543"/>
      <w:bookmarkEnd w:id="543"/>
      <w:r>
        <w:rPr/>
      </w:r>
      <w:r>
        <w:rPr>
          <w:spacing w:val="-2"/>
        </w:rPr>
        <w:t>Objectives</w:t>
      </w:r>
    </w:p>
    <w:p>
      <w:pPr>
        <w:spacing w:before="240"/>
        <w:ind w:left="1151" w:right="0" w:firstLine="0"/>
        <w:jc w:val="left"/>
        <w:rPr>
          <w:rFonts w:ascii="Arial"/>
          <w:i/>
          <w:sz w:val="22"/>
        </w:rPr>
      </w:pPr>
      <w:bookmarkStart w:name="MA-OBJ-ARS-01. Large Group Sites" w:id="544"/>
      <w:bookmarkEnd w:id="544"/>
      <w:r>
        <w:rPr/>
      </w:r>
      <w:r>
        <w:rPr>
          <w:rFonts w:ascii="Arial"/>
          <w:i/>
          <w:sz w:val="22"/>
        </w:rPr>
        <w:t>MA-OBJ-ARS-01.</w:t>
      </w:r>
      <w:r>
        <w:rPr>
          <w:rFonts w:ascii="Arial"/>
          <w:i/>
          <w:spacing w:val="-4"/>
          <w:sz w:val="22"/>
        </w:rPr>
        <w:t> </w:t>
      </w:r>
      <w:r>
        <w:rPr>
          <w:rFonts w:ascii="Arial"/>
          <w:i/>
          <w:sz w:val="22"/>
        </w:rPr>
        <w:t>Large</w:t>
      </w:r>
      <w:r>
        <w:rPr>
          <w:rFonts w:ascii="Arial"/>
          <w:i/>
          <w:spacing w:val="-8"/>
          <w:sz w:val="22"/>
        </w:rPr>
        <w:t> </w:t>
      </w:r>
      <w:r>
        <w:rPr>
          <w:rFonts w:ascii="Arial"/>
          <w:i/>
          <w:sz w:val="22"/>
        </w:rPr>
        <w:t>Group</w:t>
      </w:r>
      <w:r>
        <w:rPr>
          <w:rFonts w:ascii="Arial"/>
          <w:i/>
          <w:spacing w:val="-7"/>
          <w:sz w:val="22"/>
        </w:rPr>
        <w:t> </w:t>
      </w:r>
      <w:r>
        <w:rPr>
          <w:rFonts w:ascii="Arial"/>
          <w:i/>
          <w:spacing w:val="-4"/>
          <w:sz w:val="22"/>
        </w:rPr>
        <w:t>Sites</w:t>
      </w:r>
    </w:p>
    <w:p>
      <w:pPr>
        <w:pStyle w:val="BodyText"/>
        <w:spacing w:line="232" w:lineRule="auto" w:before="67"/>
        <w:ind w:left="1151" w:right="801"/>
      </w:pPr>
      <w:r>
        <w:rPr/>
        <w:t>Within 15 years of plan implementation, provide a minimum of one large (100+ person capacity)</w:t>
      </w:r>
      <w:r>
        <w:rPr>
          <w:spacing w:val="-5"/>
        </w:rPr>
        <w:t> </w:t>
      </w:r>
      <w:r>
        <w:rPr/>
        <w:t>group</w:t>
      </w:r>
      <w:r>
        <w:rPr>
          <w:spacing w:val="-6"/>
        </w:rPr>
        <w:t> </w:t>
      </w:r>
      <w:r>
        <w:rPr/>
        <w:t>site</w:t>
      </w:r>
      <w:r>
        <w:rPr>
          <w:spacing w:val="-4"/>
        </w:rPr>
        <w:t> </w:t>
      </w:r>
      <w:r>
        <w:rPr/>
        <w:t>for</w:t>
      </w:r>
      <w:r>
        <w:rPr>
          <w:spacing w:val="-5"/>
        </w:rPr>
        <w:t> </w:t>
      </w:r>
      <w:r>
        <w:rPr/>
        <w:t>day</w:t>
      </w:r>
      <w:r>
        <w:rPr>
          <w:spacing w:val="-6"/>
        </w:rPr>
        <w:t> </w:t>
      </w:r>
      <w:r>
        <w:rPr/>
        <w:t>or</w:t>
      </w:r>
      <w:r>
        <w:rPr>
          <w:spacing w:val="-7"/>
        </w:rPr>
        <w:t> </w:t>
      </w:r>
      <w:r>
        <w:rPr/>
        <w:t>overnight</w:t>
      </w:r>
      <w:r>
        <w:rPr>
          <w:spacing w:val="-4"/>
        </w:rPr>
        <w:t> </w:t>
      </w:r>
      <w:r>
        <w:rPr/>
        <w:t>use</w:t>
      </w:r>
      <w:r>
        <w:rPr>
          <w:spacing w:val="-7"/>
        </w:rPr>
        <w:t> </w:t>
      </w:r>
      <w:r>
        <w:rPr/>
        <w:t>in</w:t>
      </w:r>
      <w:r>
        <w:rPr>
          <w:spacing w:val="-6"/>
        </w:rPr>
        <w:t> </w:t>
      </w:r>
      <w:r>
        <w:rPr/>
        <w:t>a</w:t>
      </w:r>
      <w:r>
        <w:rPr>
          <w:spacing w:val="-5"/>
        </w:rPr>
        <w:t> </w:t>
      </w:r>
      <w:r>
        <w:rPr/>
        <w:t>location</w:t>
      </w:r>
      <w:r>
        <w:rPr>
          <w:spacing w:val="-6"/>
        </w:rPr>
        <w:t> </w:t>
      </w:r>
      <w:r>
        <w:rPr/>
        <w:t>where</w:t>
      </w:r>
      <w:r>
        <w:rPr>
          <w:spacing w:val="-7"/>
        </w:rPr>
        <w:t> </w:t>
      </w:r>
      <w:r>
        <w:rPr/>
        <w:t>there</w:t>
      </w:r>
      <w:r>
        <w:rPr>
          <w:spacing w:val="-4"/>
        </w:rPr>
        <w:t> </w:t>
      </w:r>
      <w:r>
        <w:rPr/>
        <w:t>is</w:t>
      </w:r>
      <w:r>
        <w:rPr>
          <w:spacing w:val="-5"/>
        </w:rPr>
        <w:t> </w:t>
      </w:r>
      <w:r>
        <w:rPr/>
        <w:t>a</w:t>
      </w:r>
      <w:r>
        <w:rPr>
          <w:spacing w:val="-7"/>
        </w:rPr>
        <w:t> </w:t>
      </w:r>
      <w:r>
        <w:rPr/>
        <w:t>demonstrated</w:t>
      </w:r>
      <w:r>
        <w:rPr>
          <w:spacing w:val="-6"/>
        </w:rPr>
        <w:t> </w:t>
      </w:r>
      <w:r>
        <w:rPr/>
        <w:t>need identified through public demand.</w:t>
      </w:r>
    </w:p>
    <w:p>
      <w:pPr>
        <w:spacing w:before="233"/>
        <w:ind w:left="1151" w:right="0" w:firstLine="0"/>
        <w:jc w:val="left"/>
        <w:rPr>
          <w:rFonts w:ascii="Arial"/>
          <w:i/>
          <w:sz w:val="22"/>
        </w:rPr>
      </w:pPr>
      <w:bookmarkStart w:name="MA-OBJ-ARS-02. Parking Capacity for Sno-" w:id="545"/>
      <w:bookmarkEnd w:id="545"/>
      <w:r>
        <w:rPr/>
      </w:r>
      <w:r>
        <w:rPr>
          <w:rFonts w:ascii="Arial"/>
          <w:i/>
          <w:sz w:val="22"/>
        </w:rPr>
        <w:t>MA-OBJ-ARS-02.</w:t>
      </w:r>
      <w:r>
        <w:rPr>
          <w:rFonts w:ascii="Arial"/>
          <w:i/>
          <w:spacing w:val="-6"/>
          <w:sz w:val="22"/>
        </w:rPr>
        <w:t> </w:t>
      </w:r>
      <w:r>
        <w:rPr>
          <w:rFonts w:ascii="Arial"/>
          <w:i/>
          <w:sz w:val="22"/>
        </w:rPr>
        <w:t>Parking</w:t>
      </w:r>
      <w:r>
        <w:rPr>
          <w:rFonts w:ascii="Arial"/>
          <w:i/>
          <w:spacing w:val="-5"/>
          <w:sz w:val="22"/>
        </w:rPr>
        <w:t> </w:t>
      </w:r>
      <w:r>
        <w:rPr>
          <w:rFonts w:ascii="Arial"/>
          <w:i/>
          <w:sz w:val="22"/>
        </w:rPr>
        <w:t>Capacity</w:t>
      </w:r>
      <w:r>
        <w:rPr>
          <w:rFonts w:ascii="Arial"/>
          <w:i/>
          <w:spacing w:val="-8"/>
          <w:sz w:val="22"/>
        </w:rPr>
        <w:t> </w:t>
      </w:r>
      <w:r>
        <w:rPr>
          <w:rFonts w:ascii="Arial"/>
          <w:i/>
          <w:sz w:val="22"/>
        </w:rPr>
        <w:t>for</w:t>
      </w:r>
      <w:r>
        <w:rPr>
          <w:rFonts w:ascii="Arial"/>
          <w:i/>
          <w:spacing w:val="-6"/>
          <w:sz w:val="22"/>
        </w:rPr>
        <w:t> </w:t>
      </w:r>
      <w:r>
        <w:rPr>
          <w:rFonts w:ascii="Arial"/>
          <w:i/>
          <w:sz w:val="22"/>
        </w:rPr>
        <w:t>Sno-Parks</w:t>
      </w:r>
      <w:r>
        <w:rPr>
          <w:rFonts w:ascii="Arial"/>
          <w:i/>
          <w:spacing w:val="-7"/>
          <w:sz w:val="22"/>
        </w:rPr>
        <w:t> </w:t>
      </w:r>
      <w:r>
        <w:rPr>
          <w:rFonts w:ascii="Arial"/>
          <w:i/>
          <w:sz w:val="22"/>
        </w:rPr>
        <w:t>and</w:t>
      </w:r>
      <w:r>
        <w:rPr>
          <w:rFonts w:ascii="Arial"/>
          <w:i/>
          <w:spacing w:val="-5"/>
          <w:sz w:val="22"/>
        </w:rPr>
        <w:t> </w:t>
      </w:r>
      <w:r>
        <w:rPr>
          <w:rFonts w:ascii="Arial"/>
          <w:i/>
          <w:spacing w:val="-2"/>
          <w:sz w:val="22"/>
        </w:rPr>
        <w:t>Trailheads</w:t>
      </w:r>
    </w:p>
    <w:p>
      <w:pPr>
        <w:pStyle w:val="BodyText"/>
        <w:spacing w:line="232" w:lineRule="auto" w:before="64"/>
        <w:ind w:left="1152" w:right="1073"/>
      </w:pPr>
      <w:r>
        <w:rPr/>
        <w:t>Within</w:t>
      </w:r>
      <w:r>
        <w:rPr>
          <w:spacing w:val="-6"/>
        </w:rPr>
        <w:t> </w:t>
      </w:r>
      <w:r>
        <w:rPr/>
        <w:t>15</w:t>
      </w:r>
      <w:r>
        <w:rPr>
          <w:spacing w:val="-6"/>
        </w:rPr>
        <w:t> </w:t>
      </w:r>
      <w:r>
        <w:rPr/>
        <w:t>years</w:t>
      </w:r>
      <w:r>
        <w:rPr>
          <w:spacing w:val="-7"/>
        </w:rPr>
        <w:t> </w:t>
      </w:r>
      <w:r>
        <w:rPr/>
        <w:t>of</w:t>
      </w:r>
      <w:r>
        <w:rPr>
          <w:spacing w:val="-5"/>
        </w:rPr>
        <w:t> </w:t>
      </w:r>
      <w:r>
        <w:rPr/>
        <w:t>plan</w:t>
      </w:r>
      <w:r>
        <w:rPr>
          <w:spacing w:val="-6"/>
        </w:rPr>
        <w:t> </w:t>
      </w:r>
      <w:r>
        <w:rPr/>
        <w:t>implementation,</w:t>
      </w:r>
      <w:r>
        <w:rPr>
          <w:spacing w:val="-7"/>
        </w:rPr>
        <w:t> </w:t>
      </w:r>
      <w:r>
        <w:rPr/>
        <w:t>increase</w:t>
      </w:r>
      <w:r>
        <w:rPr>
          <w:spacing w:val="-4"/>
        </w:rPr>
        <w:t> </w:t>
      </w:r>
      <w:r>
        <w:rPr/>
        <w:t>parking</w:t>
      </w:r>
      <w:r>
        <w:rPr>
          <w:spacing w:val="-6"/>
        </w:rPr>
        <w:t> </w:t>
      </w:r>
      <w:r>
        <w:rPr/>
        <w:t>capacity</w:t>
      </w:r>
      <w:r>
        <w:rPr>
          <w:spacing w:val="-4"/>
        </w:rPr>
        <w:t> </w:t>
      </w:r>
      <w:r>
        <w:rPr/>
        <w:t>at</w:t>
      </w:r>
      <w:r>
        <w:rPr>
          <w:spacing w:val="-7"/>
        </w:rPr>
        <w:t> </w:t>
      </w:r>
      <w:r>
        <w:rPr/>
        <w:t>one</w:t>
      </w:r>
      <w:r>
        <w:rPr>
          <w:spacing w:val="-4"/>
        </w:rPr>
        <w:t> </w:t>
      </w:r>
      <w:r>
        <w:rPr/>
        <w:t>Sno-Park</w:t>
      </w:r>
      <w:r>
        <w:rPr>
          <w:spacing w:val="-4"/>
        </w:rPr>
        <w:t> </w:t>
      </w:r>
      <w:r>
        <w:rPr/>
        <w:t>and</w:t>
      </w:r>
      <w:r>
        <w:rPr>
          <w:spacing w:val="-6"/>
        </w:rPr>
        <w:t> </w:t>
      </w:r>
      <w:r>
        <w:rPr/>
        <w:t>one trailhead where use exceeds designed parking lot capacity on more than 25 percent of </w:t>
      </w:r>
      <w:r>
        <w:rPr>
          <w:spacing w:val="-2"/>
        </w:rPr>
        <w:t>weekends.</w:t>
      </w:r>
    </w:p>
    <w:p>
      <w:pPr>
        <w:pStyle w:val="Heading4"/>
        <w:spacing w:before="233"/>
        <w:ind w:left="1151"/>
      </w:pPr>
      <w:bookmarkStart w:name="Standards" w:id="546"/>
      <w:bookmarkEnd w:id="546"/>
      <w:r>
        <w:rPr/>
      </w:r>
      <w:bookmarkStart w:name="_bookmark172" w:id="547"/>
      <w:bookmarkEnd w:id="547"/>
      <w:r>
        <w:rPr/>
      </w:r>
      <w:r>
        <w:rPr>
          <w:spacing w:val="-2"/>
        </w:rPr>
        <w:t>Standards</w:t>
      </w:r>
    </w:p>
    <w:p>
      <w:pPr>
        <w:spacing w:before="240"/>
        <w:ind w:left="1151" w:right="0" w:firstLine="0"/>
        <w:jc w:val="left"/>
        <w:rPr>
          <w:rFonts w:ascii="Arial"/>
          <w:i/>
          <w:sz w:val="22"/>
        </w:rPr>
      </w:pPr>
      <w:bookmarkStart w:name="MA-STD-ARS-01. Water Drafting Sites" w:id="548"/>
      <w:bookmarkEnd w:id="548"/>
      <w:r>
        <w:rPr/>
      </w:r>
      <w:r>
        <w:rPr>
          <w:rFonts w:ascii="Arial"/>
          <w:i/>
          <w:sz w:val="22"/>
        </w:rPr>
        <w:t>MA-STD-ARS-01.</w:t>
      </w:r>
      <w:r>
        <w:rPr>
          <w:rFonts w:ascii="Arial"/>
          <w:i/>
          <w:spacing w:val="-9"/>
          <w:sz w:val="22"/>
        </w:rPr>
        <w:t> </w:t>
      </w:r>
      <w:r>
        <w:rPr>
          <w:rFonts w:ascii="Arial"/>
          <w:i/>
          <w:sz w:val="22"/>
        </w:rPr>
        <w:t>Water</w:t>
      </w:r>
      <w:r>
        <w:rPr>
          <w:rFonts w:ascii="Arial"/>
          <w:i/>
          <w:spacing w:val="-9"/>
          <w:sz w:val="22"/>
        </w:rPr>
        <w:t> </w:t>
      </w:r>
      <w:r>
        <w:rPr>
          <w:rFonts w:ascii="Arial"/>
          <w:i/>
          <w:sz w:val="22"/>
        </w:rPr>
        <w:t>Drafting</w:t>
      </w:r>
      <w:r>
        <w:rPr>
          <w:rFonts w:ascii="Arial"/>
          <w:i/>
          <w:spacing w:val="-7"/>
          <w:sz w:val="22"/>
        </w:rPr>
        <w:t> </w:t>
      </w:r>
      <w:r>
        <w:rPr>
          <w:rFonts w:ascii="Arial"/>
          <w:i/>
          <w:spacing w:val="-4"/>
          <w:sz w:val="22"/>
        </w:rPr>
        <w:t>Sites</w:t>
      </w:r>
    </w:p>
    <w:p>
      <w:pPr>
        <w:pStyle w:val="BodyText"/>
        <w:spacing w:line="232" w:lineRule="auto" w:before="65"/>
        <w:ind w:left="1151" w:right="801"/>
      </w:pPr>
      <w:r>
        <w:rPr/>
        <w:t>When water drafting sites must be located in developed recreation sites, operational hours must</w:t>
      </w:r>
      <w:r>
        <w:rPr>
          <w:spacing w:val="-4"/>
        </w:rPr>
        <w:t> </w:t>
      </w:r>
      <w:r>
        <w:rPr/>
        <w:t>be</w:t>
      </w:r>
      <w:r>
        <w:rPr>
          <w:spacing w:val="-4"/>
        </w:rPr>
        <w:t> </w:t>
      </w:r>
      <w:r>
        <w:rPr/>
        <w:t>outside</w:t>
      </w:r>
      <w:r>
        <w:rPr>
          <w:spacing w:val="-7"/>
        </w:rPr>
        <w:t> </w:t>
      </w:r>
      <w:r>
        <w:rPr/>
        <w:t>of</w:t>
      </w:r>
      <w:r>
        <w:rPr>
          <w:spacing w:val="-5"/>
        </w:rPr>
        <w:t> </w:t>
      </w:r>
      <w:r>
        <w:rPr/>
        <w:t>quiet</w:t>
      </w:r>
      <w:r>
        <w:rPr>
          <w:spacing w:val="-4"/>
        </w:rPr>
        <w:t> </w:t>
      </w:r>
      <w:r>
        <w:rPr/>
        <w:t>hour</w:t>
      </w:r>
      <w:r>
        <w:rPr>
          <w:spacing w:val="-5"/>
        </w:rPr>
        <w:t> </w:t>
      </w:r>
      <w:r>
        <w:rPr/>
        <w:t>regulations,</w:t>
      </w:r>
      <w:r>
        <w:rPr>
          <w:spacing w:val="-7"/>
        </w:rPr>
        <w:t> </w:t>
      </w:r>
      <w:r>
        <w:rPr/>
        <w:t>which</w:t>
      </w:r>
      <w:r>
        <w:rPr>
          <w:spacing w:val="-6"/>
        </w:rPr>
        <w:t> </w:t>
      </w:r>
      <w:r>
        <w:rPr/>
        <w:t>are</w:t>
      </w:r>
      <w:r>
        <w:rPr>
          <w:spacing w:val="-7"/>
        </w:rPr>
        <w:t> </w:t>
      </w:r>
      <w:r>
        <w:rPr/>
        <w:t>generally</w:t>
      </w:r>
      <w:r>
        <w:rPr>
          <w:spacing w:val="-4"/>
        </w:rPr>
        <w:t> </w:t>
      </w:r>
      <w:r>
        <w:rPr/>
        <w:t>10</w:t>
      </w:r>
      <w:r>
        <w:rPr>
          <w:spacing w:val="-4"/>
        </w:rPr>
        <w:t> </w:t>
      </w:r>
      <w:r>
        <w:rPr/>
        <w:t>pm</w:t>
      </w:r>
      <w:r>
        <w:rPr>
          <w:spacing w:val="-4"/>
        </w:rPr>
        <w:t> </w:t>
      </w:r>
      <w:r>
        <w:rPr/>
        <w:t>to</w:t>
      </w:r>
      <w:r>
        <w:rPr>
          <w:spacing w:val="-6"/>
        </w:rPr>
        <w:t> </w:t>
      </w:r>
      <w:r>
        <w:rPr/>
        <w:t>6</w:t>
      </w:r>
      <w:r>
        <w:rPr>
          <w:spacing w:val="-4"/>
        </w:rPr>
        <w:t> </w:t>
      </w:r>
      <w:r>
        <w:rPr/>
        <w:t>am.</w:t>
      </w:r>
      <w:r>
        <w:rPr>
          <w:spacing w:val="-8"/>
        </w:rPr>
        <w:t> </w:t>
      </w:r>
      <w:r>
        <w:rPr/>
        <w:t>Water</w:t>
      </w:r>
      <w:r>
        <w:rPr>
          <w:spacing w:val="-5"/>
        </w:rPr>
        <w:t> </w:t>
      </w:r>
      <w:r>
        <w:rPr/>
        <w:t>drafting may occur from 6 am to 10 pm.</w:t>
      </w:r>
    </w:p>
    <w:p>
      <w:pPr>
        <w:spacing w:before="235"/>
        <w:ind w:left="1151" w:right="0" w:firstLine="0"/>
        <w:jc w:val="left"/>
        <w:rPr>
          <w:rFonts w:ascii="Arial"/>
          <w:i/>
          <w:sz w:val="22"/>
        </w:rPr>
      </w:pPr>
      <w:bookmarkStart w:name="MA-STD-ARS-02. Vegetation Management" w:id="549"/>
      <w:bookmarkEnd w:id="549"/>
      <w:r>
        <w:rPr/>
      </w:r>
      <w:r>
        <w:rPr>
          <w:rFonts w:ascii="Arial"/>
          <w:i/>
          <w:sz w:val="22"/>
        </w:rPr>
        <w:t>MA-STD-ARS-02.</w:t>
      </w:r>
      <w:r>
        <w:rPr>
          <w:rFonts w:ascii="Arial"/>
          <w:i/>
          <w:spacing w:val="-11"/>
          <w:sz w:val="22"/>
        </w:rPr>
        <w:t> </w:t>
      </w:r>
      <w:r>
        <w:rPr>
          <w:rFonts w:ascii="Arial"/>
          <w:i/>
          <w:sz w:val="22"/>
        </w:rPr>
        <w:t>Vegetation</w:t>
      </w:r>
      <w:r>
        <w:rPr>
          <w:rFonts w:ascii="Arial"/>
          <w:i/>
          <w:spacing w:val="-11"/>
          <w:sz w:val="22"/>
        </w:rPr>
        <w:t> </w:t>
      </w:r>
      <w:r>
        <w:rPr>
          <w:rFonts w:ascii="Arial"/>
          <w:i/>
          <w:spacing w:val="-2"/>
          <w:sz w:val="22"/>
        </w:rPr>
        <w:t>Management</w:t>
      </w:r>
    </w:p>
    <w:p>
      <w:pPr>
        <w:pStyle w:val="BodyText"/>
        <w:spacing w:line="232" w:lineRule="auto" w:before="65"/>
        <w:ind w:left="1151" w:right="801"/>
      </w:pPr>
      <w:r>
        <w:rPr/>
        <w:t>Vegetation, such as hazard trees, that threatens visitor safety at the site must be felled or removed. Vegetation or excess fuels that interfere with the primary use of the site must be treated</w:t>
      </w:r>
      <w:r>
        <w:rPr>
          <w:spacing w:val="-5"/>
        </w:rPr>
        <w:t> </w:t>
      </w:r>
      <w:r>
        <w:rPr/>
        <w:t>through</w:t>
      </w:r>
      <w:r>
        <w:rPr>
          <w:spacing w:val="-7"/>
        </w:rPr>
        <w:t> </w:t>
      </w:r>
      <w:r>
        <w:rPr/>
        <w:t>methods</w:t>
      </w:r>
      <w:r>
        <w:rPr>
          <w:spacing w:val="-6"/>
        </w:rPr>
        <w:t> </w:t>
      </w:r>
      <w:r>
        <w:rPr/>
        <w:t>that</w:t>
      </w:r>
      <w:r>
        <w:rPr>
          <w:spacing w:val="-3"/>
        </w:rPr>
        <w:t> </w:t>
      </w:r>
      <w:r>
        <w:rPr/>
        <w:t>retain</w:t>
      </w:r>
      <w:r>
        <w:rPr>
          <w:spacing w:val="-5"/>
        </w:rPr>
        <w:t> </w:t>
      </w:r>
      <w:r>
        <w:rPr/>
        <w:t>the</w:t>
      </w:r>
      <w:r>
        <w:rPr>
          <w:spacing w:val="-3"/>
        </w:rPr>
        <w:t> </w:t>
      </w:r>
      <w:r>
        <w:rPr/>
        <w:t>primary</w:t>
      </w:r>
      <w:r>
        <w:rPr>
          <w:spacing w:val="-3"/>
        </w:rPr>
        <w:t> </w:t>
      </w:r>
      <w:r>
        <w:rPr/>
        <w:t>purpose</w:t>
      </w:r>
      <w:r>
        <w:rPr>
          <w:spacing w:val="-6"/>
        </w:rPr>
        <w:t> </w:t>
      </w:r>
      <w:r>
        <w:rPr/>
        <w:t>of</w:t>
      </w:r>
      <w:r>
        <w:rPr>
          <w:spacing w:val="-6"/>
        </w:rPr>
        <w:t> </w:t>
      </w:r>
      <w:r>
        <w:rPr/>
        <w:t>the</w:t>
      </w:r>
      <w:r>
        <w:rPr>
          <w:spacing w:val="-3"/>
        </w:rPr>
        <w:t> </w:t>
      </w:r>
      <w:r>
        <w:rPr/>
        <w:t>site.</w:t>
      </w:r>
      <w:r>
        <w:rPr>
          <w:spacing w:val="-4"/>
        </w:rPr>
        <w:t> </w:t>
      </w:r>
      <w:r>
        <w:rPr/>
        <w:t>This</w:t>
      </w:r>
      <w:r>
        <w:rPr>
          <w:spacing w:val="-6"/>
        </w:rPr>
        <w:t> </w:t>
      </w:r>
      <w:r>
        <w:rPr/>
        <w:t>includes,</w:t>
      </w:r>
      <w:r>
        <w:rPr>
          <w:spacing w:val="-4"/>
        </w:rPr>
        <w:t> </w:t>
      </w:r>
      <w:r>
        <w:rPr/>
        <w:t>but</w:t>
      </w:r>
      <w:r>
        <w:rPr>
          <w:spacing w:val="-3"/>
        </w:rPr>
        <w:t> </w:t>
      </w:r>
      <w:r>
        <w:rPr/>
        <w:t>is</w:t>
      </w:r>
      <w:r>
        <w:rPr>
          <w:spacing w:val="-4"/>
        </w:rPr>
        <w:t> </w:t>
      </w:r>
      <w:r>
        <w:rPr/>
        <w:t>not limited to, mechanical vegetation treatments or the use of fire.</w:t>
      </w:r>
    </w:p>
    <w:p>
      <w:pPr>
        <w:pStyle w:val="Heading4"/>
        <w:spacing w:before="232"/>
        <w:ind w:left="1151"/>
      </w:pPr>
      <w:bookmarkStart w:name="Guidelines" w:id="550"/>
      <w:bookmarkEnd w:id="550"/>
      <w:r>
        <w:rPr/>
      </w:r>
      <w:bookmarkStart w:name="_bookmark173" w:id="551"/>
      <w:bookmarkEnd w:id="551"/>
      <w:r>
        <w:rPr/>
      </w:r>
      <w:r>
        <w:rPr>
          <w:spacing w:val="-2"/>
        </w:rPr>
        <w:t>Guidelines</w:t>
      </w:r>
    </w:p>
    <w:p>
      <w:pPr>
        <w:spacing w:before="239"/>
        <w:ind w:left="1151" w:right="0" w:firstLine="0"/>
        <w:jc w:val="left"/>
        <w:rPr>
          <w:rFonts w:ascii="Arial"/>
          <w:i/>
          <w:sz w:val="22"/>
        </w:rPr>
      </w:pPr>
      <w:bookmarkStart w:name="MA-GDL-ARS-01. Site Capacity and New Con" w:id="552"/>
      <w:bookmarkEnd w:id="552"/>
      <w:r>
        <w:rPr/>
      </w:r>
      <w:r>
        <w:rPr>
          <w:rFonts w:ascii="Arial"/>
          <w:i/>
          <w:sz w:val="22"/>
        </w:rPr>
        <w:t>MA-GDL-ARS-01.</w:t>
      </w:r>
      <w:r>
        <w:rPr>
          <w:rFonts w:ascii="Arial"/>
          <w:i/>
          <w:spacing w:val="-6"/>
          <w:sz w:val="22"/>
        </w:rPr>
        <w:t> </w:t>
      </w:r>
      <w:r>
        <w:rPr>
          <w:rFonts w:ascii="Arial"/>
          <w:i/>
          <w:sz w:val="22"/>
        </w:rPr>
        <w:t>Site</w:t>
      </w:r>
      <w:r>
        <w:rPr>
          <w:rFonts w:ascii="Arial"/>
          <w:i/>
          <w:spacing w:val="-7"/>
          <w:sz w:val="22"/>
        </w:rPr>
        <w:t> </w:t>
      </w:r>
      <w:r>
        <w:rPr>
          <w:rFonts w:ascii="Arial"/>
          <w:i/>
          <w:sz w:val="22"/>
        </w:rPr>
        <w:t>Capacity</w:t>
      </w:r>
      <w:r>
        <w:rPr>
          <w:rFonts w:ascii="Arial"/>
          <w:i/>
          <w:spacing w:val="-4"/>
          <w:sz w:val="22"/>
        </w:rPr>
        <w:t> </w:t>
      </w:r>
      <w:r>
        <w:rPr>
          <w:rFonts w:ascii="Arial"/>
          <w:i/>
          <w:sz w:val="22"/>
        </w:rPr>
        <w:t>and</w:t>
      </w:r>
      <w:r>
        <w:rPr>
          <w:rFonts w:ascii="Arial"/>
          <w:i/>
          <w:spacing w:val="-7"/>
          <w:sz w:val="22"/>
        </w:rPr>
        <w:t> </w:t>
      </w:r>
      <w:r>
        <w:rPr>
          <w:rFonts w:ascii="Arial"/>
          <w:i/>
          <w:sz w:val="22"/>
        </w:rPr>
        <w:t>New</w:t>
      </w:r>
      <w:r>
        <w:rPr>
          <w:rFonts w:ascii="Arial"/>
          <w:i/>
          <w:spacing w:val="-4"/>
          <w:sz w:val="22"/>
        </w:rPr>
        <w:t> </w:t>
      </w:r>
      <w:r>
        <w:rPr>
          <w:rFonts w:ascii="Arial"/>
          <w:i/>
          <w:spacing w:val="-2"/>
          <w:sz w:val="22"/>
        </w:rPr>
        <w:t>Construction</w:t>
      </w:r>
    </w:p>
    <w:p>
      <w:pPr>
        <w:pStyle w:val="BodyText"/>
        <w:spacing w:line="232" w:lineRule="auto" w:before="65"/>
        <w:ind w:left="1151" w:right="801"/>
      </w:pPr>
      <w:r>
        <w:rPr/>
        <w:t>Recreation</w:t>
      </w:r>
      <w:r>
        <w:rPr>
          <w:spacing w:val="-7"/>
        </w:rPr>
        <w:t> </w:t>
      </w:r>
      <w:r>
        <w:rPr/>
        <w:t>facilities</w:t>
      </w:r>
      <w:r>
        <w:rPr>
          <w:spacing w:val="-8"/>
        </w:rPr>
        <w:t> </w:t>
      </w:r>
      <w:r>
        <w:rPr/>
        <w:t>may</w:t>
      </w:r>
      <w:r>
        <w:rPr>
          <w:spacing w:val="-6"/>
        </w:rPr>
        <w:t> </w:t>
      </w:r>
      <w:r>
        <w:rPr/>
        <w:t>be</w:t>
      </w:r>
      <w:r>
        <w:rPr>
          <w:spacing w:val="-8"/>
        </w:rPr>
        <w:t> </w:t>
      </w:r>
      <w:r>
        <w:rPr/>
        <w:t>managed</w:t>
      </w:r>
      <w:r>
        <w:rPr>
          <w:spacing w:val="-7"/>
        </w:rPr>
        <w:t> </w:t>
      </w:r>
      <w:r>
        <w:rPr/>
        <w:t>at</w:t>
      </w:r>
      <w:r>
        <w:rPr>
          <w:spacing w:val="-8"/>
        </w:rPr>
        <w:t> </w:t>
      </w:r>
      <w:r>
        <w:rPr/>
        <w:t>or</w:t>
      </w:r>
      <w:r>
        <w:rPr>
          <w:spacing w:val="-8"/>
        </w:rPr>
        <w:t> </w:t>
      </w:r>
      <w:r>
        <w:rPr/>
        <w:t>near</w:t>
      </w:r>
      <w:r>
        <w:rPr>
          <w:spacing w:val="-6"/>
        </w:rPr>
        <w:t> </w:t>
      </w:r>
      <w:r>
        <w:rPr/>
        <w:t>full</w:t>
      </w:r>
      <w:r>
        <w:rPr>
          <w:spacing w:val="-6"/>
        </w:rPr>
        <w:t> </w:t>
      </w:r>
      <w:r>
        <w:rPr/>
        <w:t>capacity.</w:t>
      </w:r>
      <w:r>
        <w:rPr>
          <w:spacing w:val="-6"/>
        </w:rPr>
        <w:t> </w:t>
      </w:r>
      <w:r>
        <w:rPr/>
        <w:t>Areas</w:t>
      </w:r>
      <w:r>
        <w:rPr>
          <w:spacing w:val="-8"/>
        </w:rPr>
        <w:t> </w:t>
      </w:r>
      <w:r>
        <w:rPr/>
        <w:t>where</w:t>
      </w:r>
      <w:r>
        <w:rPr>
          <w:spacing w:val="-6"/>
        </w:rPr>
        <w:t> </w:t>
      </w:r>
      <w:r>
        <w:rPr/>
        <w:t>recreation</w:t>
      </w:r>
      <w:r>
        <w:rPr>
          <w:spacing w:val="-7"/>
        </w:rPr>
        <w:t> </w:t>
      </w:r>
      <w:r>
        <w:rPr/>
        <w:t>demand exceeds capacity should be managed to increase capacity relative to anticipated recreation trends, or alternatively, to limit use or unacceptable social and resource impacts, or a combination of both.</w:t>
      </w:r>
    </w:p>
    <w:p>
      <w:pPr>
        <w:spacing w:before="234"/>
        <w:ind w:left="1151" w:right="0" w:firstLine="0"/>
        <w:jc w:val="left"/>
        <w:rPr>
          <w:rFonts w:ascii="Arial"/>
          <w:i/>
          <w:sz w:val="22"/>
        </w:rPr>
      </w:pPr>
      <w:bookmarkStart w:name="MA-GDL-ARS-02. Resource Management Appli" w:id="553"/>
      <w:bookmarkEnd w:id="553"/>
      <w:r>
        <w:rPr/>
      </w:r>
      <w:r>
        <w:rPr>
          <w:rFonts w:ascii="Arial"/>
          <w:i/>
          <w:sz w:val="22"/>
        </w:rPr>
        <w:t>MA-GDL-ARS-02.</w:t>
      </w:r>
      <w:r>
        <w:rPr>
          <w:rFonts w:ascii="Arial"/>
          <w:i/>
          <w:spacing w:val="-11"/>
          <w:sz w:val="22"/>
        </w:rPr>
        <w:t> </w:t>
      </w:r>
      <w:r>
        <w:rPr>
          <w:rFonts w:ascii="Arial"/>
          <w:i/>
          <w:sz w:val="22"/>
        </w:rPr>
        <w:t>Resource</w:t>
      </w:r>
      <w:r>
        <w:rPr>
          <w:rFonts w:ascii="Arial"/>
          <w:i/>
          <w:spacing w:val="-10"/>
          <w:sz w:val="22"/>
        </w:rPr>
        <w:t> </w:t>
      </w:r>
      <w:r>
        <w:rPr>
          <w:rFonts w:ascii="Arial"/>
          <w:i/>
          <w:sz w:val="22"/>
        </w:rPr>
        <w:t>Management</w:t>
      </w:r>
      <w:r>
        <w:rPr>
          <w:rFonts w:ascii="Arial"/>
          <w:i/>
          <w:spacing w:val="-10"/>
          <w:sz w:val="22"/>
        </w:rPr>
        <w:t> </w:t>
      </w:r>
      <w:r>
        <w:rPr>
          <w:rFonts w:ascii="Arial"/>
          <w:i/>
          <w:sz w:val="22"/>
        </w:rPr>
        <w:t>Applicable</w:t>
      </w:r>
      <w:r>
        <w:rPr>
          <w:rFonts w:ascii="Arial"/>
          <w:i/>
          <w:spacing w:val="-10"/>
          <w:sz w:val="22"/>
        </w:rPr>
        <w:t> </w:t>
      </w:r>
      <w:r>
        <w:rPr>
          <w:rFonts w:ascii="Arial"/>
          <w:i/>
          <w:spacing w:val="-2"/>
          <w:sz w:val="22"/>
        </w:rPr>
        <w:t>Guidance</w:t>
      </w:r>
    </w:p>
    <w:p>
      <w:pPr>
        <w:pStyle w:val="BodyText"/>
        <w:spacing w:line="232" w:lineRule="auto" w:before="65"/>
        <w:ind w:left="1151" w:right="1239" w:hanging="1"/>
        <w:jc w:val="both"/>
      </w:pPr>
      <w:r>
        <w:rPr/>
        <w:t>Forestwide</w:t>
      </w:r>
      <w:r>
        <w:rPr>
          <w:spacing w:val="-5"/>
        </w:rPr>
        <w:t> </w:t>
      </w:r>
      <w:r>
        <w:rPr/>
        <w:t>desired</w:t>
      </w:r>
      <w:r>
        <w:rPr>
          <w:spacing w:val="-7"/>
        </w:rPr>
        <w:t> </w:t>
      </w:r>
      <w:r>
        <w:rPr/>
        <w:t>conditions</w:t>
      </w:r>
      <w:r>
        <w:rPr>
          <w:spacing w:val="-6"/>
        </w:rPr>
        <w:t> </w:t>
      </w:r>
      <w:r>
        <w:rPr/>
        <w:t>and</w:t>
      </w:r>
      <w:r>
        <w:rPr>
          <w:spacing w:val="-7"/>
        </w:rPr>
        <w:t> </w:t>
      </w:r>
      <w:r>
        <w:rPr/>
        <w:t>design</w:t>
      </w:r>
      <w:r>
        <w:rPr>
          <w:spacing w:val="-7"/>
        </w:rPr>
        <w:t> </w:t>
      </w:r>
      <w:r>
        <w:rPr/>
        <w:t>criteria</w:t>
      </w:r>
      <w:r>
        <w:rPr>
          <w:spacing w:val="-6"/>
        </w:rPr>
        <w:t> </w:t>
      </w:r>
      <w:r>
        <w:rPr/>
        <w:t>for</w:t>
      </w:r>
      <w:r>
        <w:rPr>
          <w:spacing w:val="-7"/>
        </w:rPr>
        <w:t> </w:t>
      </w:r>
      <w:r>
        <w:rPr/>
        <w:t>vegetation</w:t>
      </w:r>
      <w:r>
        <w:rPr>
          <w:spacing w:val="-6"/>
        </w:rPr>
        <w:t> </w:t>
      </w:r>
      <w:r>
        <w:rPr/>
        <w:t>(with</w:t>
      </w:r>
      <w:r>
        <w:rPr>
          <w:spacing w:val="-7"/>
        </w:rPr>
        <w:t> </w:t>
      </w:r>
      <w:r>
        <w:rPr/>
        <w:t>the</w:t>
      </w:r>
      <w:r>
        <w:rPr>
          <w:spacing w:val="-7"/>
        </w:rPr>
        <w:t> </w:t>
      </w:r>
      <w:r>
        <w:rPr/>
        <w:t>exception</w:t>
      </w:r>
      <w:r>
        <w:rPr>
          <w:spacing w:val="-7"/>
        </w:rPr>
        <w:t> </w:t>
      </w:r>
      <w:r>
        <w:rPr/>
        <w:t>of</w:t>
      </w:r>
      <w:r>
        <w:rPr>
          <w:spacing w:val="-7"/>
        </w:rPr>
        <w:t> </w:t>
      </w:r>
      <w:r>
        <w:rPr/>
        <w:t>the Biological</w:t>
      </w:r>
      <w:r>
        <w:rPr>
          <w:spacing w:val="-7"/>
        </w:rPr>
        <w:t> </w:t>
      </w:r>
      <w:r>
        <w:rPr/>
        <w:t>Legacies</w:t>
      </w:r>
      <w:r>
        <w:rPr>
          <w:spacing w:val="-5"/>
        </w:rPr>
        <w:t> </w:t>
      </w:r>
      <w:r>
        <w:rPr/>
        <w:t>plan</w:t>
      </w:r>
      <w:r>
        <w:rPr>
          <w:spacing w:val="-6"/>
        </w:rPr>
        <w:t> </w:t>
      </w:r>
      <w:r>
        <w:rPr/>
        <w:t>components</w:t>
      </w:r>
      <w:r>
        <w:rPr>
          <w:spacing w:val="-5"/>
        </w:rPr>
        <w:t> </w:t>
      </w:r>
      <w:r>
        <w:rPr/>
        <w:t>for</w:t>
      </w:r>
      <w:r>
        <w:rPr>
          <w:spacing w:val="-5"/>
        </w:rPr>
        <w:t> </w:t>
      </w:r>
      <w:r>
        <w:rPr/>
        <w:t>snags</w:t>
      </w:r>
      <w:r>
        <w:rPr>
          <w:spacing w:val="-5"/>
        </w:rPr>
        <w:t> </w:t>
      </w:r>
      <w:r>
        <w:rPr/>
        <w:t>and</w:t>
      </w:r>
      <w:r>
        <w:rPr>
          <w:spacing w:val="-6"/>
        </w:rPr>
        <w:t> </w:t>
      </w:r>
      <w:r>
        <w:rPr/>
        <w:t>coarse</w:t>
      </w:r>
      <w:r>
        <w:rPr>
          <w:spacing w:val="-4"/>
        </w:rPr>
        <w:t> </w:t>
      </w:r>
      <w:r>
        <w:rPr/>
        <w:t>woody</w:t>
      </w:r>
      <w:r>
        <w:rPr>
          <w:spacing w:val="-6"/>
        </w:rPr>
        <w:t> </w:t>
      </w:r>
      <w:r>
        <w:rPr/>
        <w:t>debris),</w:t>
      </w:r>
      <w:r>
        <w:rPr>
          <w:spacing w:val="-7"/>
        </w:rPr>
        <w:t> </w:t>
      </w:r>
      <w:r>
        <w:rPr/>
        <w:t>water</w:t>
      </w:r>
      <w:r>
        <w:rPr>
          <w:spacing w:val="-5"/>
        </w:rPr>
        <w:t> </w:t>
      </w:r>
      <w:r>
        <w:rPr/>
        <w:t>resources, riparian management areas, wildlife and soils should be implemented when making</w:t>
      </w:r>
    </w:p>
    <w:p>
      <w:pPr>
        <w:pStyle w:val="BodyText"/>
        <w:spacing w:after="0" w:line="232" w:lineRule="auto"/>
        <w:jc w:val="both"/>
        <w:sectPr>
          <w:pgSz w:w="12240" w:h="15840"/>
          <w:pgMar w:header="725" w:footer="891" w:top="960" w:bottom="1080" w:left="1080" w:right="720"/>
        </w:sectPr>
      </w:pPr>
    </w:p>
    <w:p>
      <w:pPr>
        <w:pStyle w:val="BodyText"/>
        <w:spacing w:before="212"/>
      </w:pPr>
    </w:p>
    <w:p>
      <w:pPr>
        <w:pStyle w:val="BodyText"/>
        <w:spacing w:line="232" w:lineRule="auto"/>
        <w:ind w:left="360" w:right="1621"/>
      </w:pPr>
      <w:r>
        <w:rPr/>
        <w:t>management decisions</w:t>
      </w:r>
      <w:r>
        <w:rPr>
          <w:spacing w:val="-2"/>
        </w:rPr>
        <w:t> </w:t>
      </w:r>
      <w:r>
        <w:rPr/>
        <w:t>in</w:t>
      </w:r>
      <w:r>
        <w:rPr>
          <w:spacing w:val="-1"/>
        </w:rPr>
        <w:t> </w:t>
      </w:r>
      <w:r>
        <w:rPr/>
        <w:t>administrative and</w:t>
      </w:r>
      <w:r>
        <w:rPr>
          <w:spacing w:val="-1"/>
        </w:rPr>
        <w:t> </w:t>
      </w:r>
      <w:r>
        <w:rPr/>
        <w:t>recreation</w:t>
      </w:r>
      <w:r>
        <w:rPr>
          <w:spacing w:val="-1"/>
        </w:rPr>
        <w:t> </w:t>
      </w:r>
      <w:r>
        <w:rPr/>
        <w:t>sites. These</w:t>
      </w:r>
      <w:r>
        <w:rPr>
          <w:spacing w:val="-2"/>
        </w:rPr>
        <w:t> </w:t>
      </w:r>
      <w:r>
        <w:rPr/>
        <w:t>resource decisions should be</w:t>
      </w:r>
      <w:r>
        <w:rPr>
          <w:spacing w:val="-4"/>
        </w:rPr>
        <w:t> </w:t>
      </w:r>
      <w:r>
        <w:rPr/>
        <w:t>integrated</w:t>
      </w:r>
      <w:r>
        <w:rPr>
          <w:spacing w:val="-6"/>
        </w:rPr>
        <w:t> </w:t>
      </w:r>
      <w:r>
        <w:rPr/>
        <w:t>into</w:t>
      </w:r>
      <w:r>
        <w:rPr>
          <w:spacing w:val="-4"/>
        </w:rPr>
        <w:t> </w:t>
      </w:r>
      <w:r>
        <w:rPr/>
        <w:t>the</w:t>
      </w:r>
      <w:r>
        <w:rPr>
          <w:spacing w:val="-4"/>
        </w:rPr>
        <w:t> </w:t>
      </w:r>
      <w:r>
        <w:rPr/>
        <w:t>sustainable</w:t>
      </w:r>
      <w:r>
        <w:rPr>
          <w:spacing w:val="-4"/>
        </w:rPr>
        <w:t> </w:t>
      </w:r>
      <w:r>
        <w:rPr/>
        <w:t>design</w:t>
      </w:r>
      <w:r>
        <w:rPr>
          <w:spacing w:val="-6"/>
        </w:rPr>
        <w:t> </w:t>
      </w:r>
      <w:r>
        <w:rPr/>
        <w:t>of</w:t>
      </w:r>
      <w:r>
        <w:rPr>
          <w:spacing w:val="-7"/>
        </w:rPr>
        <w:t> </w:t>
      </w:r>
      <w:r>
        <w:rPr/>
        <w:t>the</w:t>
      </w:r>
      <w:r>
        <w:rPr>
          <w:spacing w:val="-7"/>
        </w:rPr>
        <w:t> </w:t>
      </w:r>
      <w:r>
        <w:rPr/>
        <w:t>site</w:t>
      </w:r>
      <w:r>
        <w:rPr>
          <w:spacing w:val="-7"/>
        </w:rPr>
        <w:t> </w:t>
      </w:r>
      <w:r>
        <w:rPr/>
        <w:t>and</w:t>
      </w:r>
      <w:r>
        <w:rPr>
          <w:spacing w:val="-6"/>
        </w:rPr>
        <w:t> </w:t>
      </w:r>
      <w:r>
        <w:rPr/>
        <w:t>allow</w:t>
      </w:r>
      <w:r>
        <w:rPr>
          <w:spacing w:val="-4"/>
        </w:rPr>
        <w:t> </w:t>
      </w:r>
      <w:r>
        <w:rPr/>
        <w:t>for</w:t>
      </w:r>
      <w:r>
        <w:rPr>
          <w:spacing w:val="-5"/>
        </w:rPr>
        <w:t> </w:t>
      </w:r>
      <w:r>
        <w:rPr/>
        <w:t>human</w:t>
      </w:r>
      <w:r>
        <w:rPr>
          <w:spacing w:val="-5"/>
        </w:rPr>
        <w:t> </w:t>
      </w:r>
      <w:r>
        <w:rPr/>
        <w:t>health</w:t>
      </w:r>
      <w:r>
        <w:rPr>
          <w:spacing w:val="-6"/>
        </w:rPr>
        <w:t> </w:t>
      </w:r>
      <w:r>
        <w:rPr/>
        <w:t>and</w:t>
      </w:r>
      <w:r>
        <w:rPr>
          <w:spacing w:val="-6"/>
        </w:rPr>
        <w:t> </w:t>
      </w:r>
      <w:r>
        <w:rPr/>
        <w:t>safety</w:t>
      </w:r>
      <w:r>
        <w:rPr>
          <w:spacing w:val="-4"/>
        </w:rPr>
        <w:t> </w:t>
      </w:r>
      <w:r>
        <w:rPr/>
        <w:t>and the full functionality of the site for human use and occupancy. Coarse woody debris may be retained or removed from a site when it contributes to, or interferes with, site design, delineation, or use.</w:t>
      </w:r>
    </w:p>
    <w:p>
      <w:pPr>
        <w:spacing w:before="233"/>
        <w:ind w:left="360" w:right="0" w:firstLine="0"/>
        <w:jc w:val="left"/>
        <w:rPr>
          <w:rFonts w:ascii="Arial"/>
          <w:i/>
          <w:sz w:val="22"/>
        </w:rPr>
      </w:pPr>
      <w:bookmarkStart w:name="MA-GDL-ARS-03. Winter Recreation Resorts" w:id="554"/>
      <w:bookmarkEnd w:id="554"/>
      <w:r>
        <w:rPr/>
      </w:r>
      <w:r>
        <w:rPr>
          <w:rFonts w:ascii="Arial"/>
          <w:i/>
          <w:sz w:val="22"/>
        </w:rPr>
        <w:t>MA-GDL-ARS-03.</w:t>
      </w:r>
      <w:r>
        <w:rPr>
          <w:rFonts w:ascii="Arial"/>
          <w:i/>
          <w:spacing w:val="-11"/>
          <w:sz w:val="22"/>
        </w:rPr>
        <w:t> </w:t>
      </w:r>
      <w:r>
        <w:rPr>
          <w:rFonts w:ascii="Arial"/>
          <w:i/>
          <w:sz w:val="22"/>
        </w:rPr>
        <w:t>Winter</w:t>
      </w:r>
      <w:r>
        <w:rPr>
          <w:rFonts w:ascii="Arial"/>
          <w:i/>
          <w:spacing w:val="-7"/>
          <w:sz w:val="22"/>
        </w:rPr>
        <w:t> </w:t>
      </w:r>
      <w:r>
        <w:rPr>
          <w:rFonts w:ascii="Arial"/>
          <w:i/>
          <w:sz w:val="22"/>
        </w:rPr>
        <w:t>Recreation</w:t>
      </w:r>
      <w:r>
        <w:rPr>
          <w:rFonts w:ascii="Arial"/>
          <w:i/>
          <w:spacing w:val="-8"/>
          <w:sz w:val="22"/>
        </w:rPr>
        <w:t> </w:t>
      </w:r>
      <w:r>
        <w:rPr>
          <w:rFonts w:ascii="Arial"/>
          <w:i/>
          <w:spacing w:val="-2"/>
          <w:sz w:val="22"/>
        </w:rPr>
        <w:t>Resorts</w:t>
      </w:r>
    </w:p>
    <w:p>
      <w:pPr>
        <w:pStyle w:val="BodyText"/>
        <w:spacing w:before="58"/>
        <w:ind w:left="359"/>
      </w:pPr>
      <w:r>
        <w:rPr/>
        <w:t>Dispersed</w:t>
      </w:r>
      <w:r>
        <w:rPr>
          <w:spacing w:val="-8"/>
        </w:rPr>
        <w:t> </w:t>
      </w:r>
      <w:r>
        <w:rPr/>
        <w:t>camping</w:t>
      </w:r>
      <w:r>
        <w:rPr>
          <w:spacing w:val="-7"/>
        </w:rPr>
        <w:t> </w:t>
      </w:r>
      <w:r>
        <w:rPr/>
        <w:t>is</w:t>
      </w:r>
      <w:r>
        <w:rPr>
          <w:spacing w:val="-6"/>
        </w:rPr>
        <w:t> </w:t>
      </w:r>
      <w:r>
        <w:rPr/>
        <w:t>generally</w:t>
      </w:r>
      <w:r>
        <w:rPr>
          <w:spacing w:val="-6"/>
        </w:rPr>
        <w:t> </w:t>
      </w:r>
      <w:r>
        <w:rPr/>
        <w:t>not</w:t>
      </w:r>
      <w:r>
        <w:rPr>
          <w:spacing w:val="-5"/>
        </w:rPr>
        <w:t> </w:t>
      </w:r>
      <w:r>
        <w:rPr/>
        <w:t>suitable</w:t>
      </w:r>
      <w:r>
        <w:rPr>
          <w:spacing w:val="-8"/>
        </w:rPr>
        <w:t> </w:t>
      </w:r>
      <w:r>
        <w:rPr/>
        <w:t>for</w:t>
      </w:r>
      <w:r>
        <w:rPr>
          <w:spacing w:val="-8"/>
        </w:rPr>
        <w:t> </w:t>
      </w:r>
      <w:r>
        <w:rPr/>
        <w:t>these</w:t>
      </w:r>
      <w:r>
        <w:rPr>
          <w:spacing w:val="-5"/>
        </w:rPr>
        <w:t> </w:t>
      </w:r>
      <w:r>
        <w:rPr>
          <w:spacing w:val="-2"/>
        </w:rPr>
        <w:t>areas.</w:t>
      </w:r>
    </w:p>
    <w:p>
      <w:pPr>
        <w:pStyle w:val="BodyText"/>
        <w:spacing w:line="232" w:lineRule="auto" w:before="199"/>
        <w:ind w:left="359" w:right="1445"/>
      </w:pPr>
      <w:r>
        <w:rPr/>
        <w:t>Prescribed</w:t>
      </w:r>
      <w:r>
        <w:rPr>
          <w:spacing w:val="-6"/>
        </w:rPr>
        <w:t> </w:t>
      </w:r>
      <w:r>
        <w:rPr/>
        <w:t>fire</w:t>
      </w:r>
      <w:r>
        <w:rPr>
          <w:spacing w:val="-4"/>
        </w:rPr>
        <w:t> </w:t>
      </w:r>
      <w:r>
        <w:rPr/>
        <w:t>and</w:t>
      </w:r>
      <w:r>
        <w:rPr>
          <w:spacing w:val="-6"/>
        </w:rPr>
        <w:t> </w:t>
      </w:r>
      <w:r>
        <w:rPr/>
        <w:t>wildfire</w:t>
      </w:r>
      <w:r>
        <w:rPr>
          <w:spacing w:val="-7"/>
        </w:rPr>
        <w:t> </w:t>
      </w:r>
      <w:r>
        <w:rPr/>
        <w:t>used</w:t>
      </w:r>
      <w:r>
        <w:rPr>
          <w:spacing w:val="-6"/>
        </w:rPr>
        <w:t> </w:t>
      </w:r>
      <w:r>
        <w:rPr/>
        <w:t>to</w:t>
      </w:r>
      <w:r>
        <w:rPr>
          <w:spacing w:val="-6"/>
        </w:rPr>
        <w:t> </w:t>
      </w:r>
      <w:r>
        <w:rPr/>
        <w:t>achieve</w:t>
      </w:r>
      <w:r>
        <w:rPr>
          <w:spacing w:val="-7"/>
        </w:rPr>
        <w:t> </w:t>
      </w:r>
      <w:r>
        <w:rPr/>
        <w:t>resource</w:t>
      </w:r>
      <w:r>
        <w:rPr>
          <w:spacing w:val="-7"/>
        </w:rPr>
        <w:t> </w:t>
      </w:r>
      <w:r>
        <w:rPr/>
        <w:t>objectives</w:t>
      </w:r>
      <w:r>
        <w:rPr>
          <w:spacing w:val="-7"/>
        </w:rPr>
        <w:t> </w:t>
      </w:r>
      <w:r>
        <w:rPr/>
        <w:t>may</w:t>
      </w:r>
      <w:r>
        <w:rPr>
          <w:spacing w:val="-4"/>
        </w:rPr>
        <w:t> </w:t>
      </w:r>
      <w:r>
        <w:rPr/>
        <w:t>be</w:t>
      </w:r>
      <w:r>
        <w:rPr>
          <w:spacing w:val="-4"/>
        </w:rPr>
        <w:t> </w:t>
      </w:r>
      <w:r>
        <w:rPr/>
        <w:t>suitable</w:t>
      </w:r>
      <w:r>
        <w:rPr>
          <w:spacing w:val="-4"/>
        </w:rPr>
        <w:t> </w:t>
      </w:r>
      <w:r>
        <w:rPr/>
        <w:t>for</w:t>
      </w:r>
      <w:r>
        <w:rPr>
          <w:spacing w:val="-5"/>
        </w:rPr>
        <w:t> </w:t>
      </w:r>
      <w:r>
        <w:rPr/>
        <w:t>enhancing area operations or reducing fuel accumulations.</w:t>
      </w:r>
    </w:p>
    <w:p>
      <w:pPr>
        <w:pStyle w:val="BodyText"/>
        <w:spacing w:before="192"/>
        <w:ind w:left="359"/>
      </w:pPr>
      <w:r>
        <w:rPr/>
        <w:t>Existing</w:t>
      </w:r>
      <w:r>
        <w:rPr>
          <w:spacing w:val="-9"/>
        </w:rPr>
        <w:t> </w:t>
      </w:r>
      <w:r>
        <w:rPr/>
        <w:t>resorts</w:t>
      </w:r>
      <w:r>
        <w:rPr>
          <w:spacing w:val="-5"/>
        </w:rPr>
        <w:t> </w:t>
      </w:r>
      <w:r>
        <w:rPr/>
        <w:t>should</w:t>
      </w:r>
      <w:r>
        <w:rPr>
          <w:spacing w:val="-6"/>
        </w:rPr>
        <w:t> </w:t>
      </w:r>
      <w:r>
        <w:rPr/>
        <w:t>be</w:t>
      </w:r>
      <w:r>
        <w:rPr>
          <w:spacing w:val="-4"/>
        </w:rPr>
        <w:t> </w:t>
      </w:r>
      <w:r>
        <w:rPr/>
        <w:t>retained</w:t>
      </w:r>
      <w:r>
        <w:rPr>
          <w:spacing w:val="-6"/>
        </w:rPr>
        <w:t> </w:t>
      </w:r>
      <w:r>
        <w:rPr/>
        <w:t>if</w:t>
      </w:r>
      <w:r>
        <w:rPr>
          <w:spacing w:val="-5"/>
        </w:rPr>
        <w:t> </w:t>
      </w:r>
      <w:r>
        <w:rPr/>
        <w:t>they</w:t>
      </w:r>
      <w:r>
        <w:rPr>
          <w:spacing w:val="-4"/>
        </w:rPr>
        <w:t> </w:t>
      </w:r>
      <w:r>
        <w:rPr/>
        <w:t>continue</w:t>
      </w:r>
      <w:r>
        <w:rPr>
          <w:spacing w:val="-7"/>
        </w:rPr>
        <w:t> </w:t>
      </w:r>
      <w:r>
        <w:rPr/>
        <w:t>to</w:t>
      </w:r>
      <w:r>
        <w:rPr>
          <w:spacing w:val="-6"/>
        </w:rPr>
        <w:t> </w:t>
      </w:r>
      <w:r>
        <w:rPr/>
        <w:t>serve</w:t>
      </w:r>
      <w:r>
        <w:rPr>
          <w:spacing w:val="-4"/>
        </w:rPr>
        <w:t> </w:t>
      </w:r>
      <w:r>
        <w:rPr/>
        <w:t>the</w:t>
      </w:r>
      <w:r>
        <w:rPr>
          <w:spacing w:val="-7"/>
        </w:rPr>
        <w:t> </w:t>
      </w:r>
      <w:r>
        <w:rPr/>
        <w:t>public</w:t>
      </w:r>
      <w:r>
        <w:rPr>
          <w:spacing w:val="-5"/>
        </w:rPr>
        <w:t> </w:t>
      </w:r>
      <w:r>
        <w:rPr>
          <w:spacing w:val="-2"/>
        </w:rPr>
        <w:t>interest.</w:t>
      </w:r>
    </w:p>
    <w:p>
      <w:pPr>
        <w:spacing w:before="232"/>
        <w:ind w:left="359" w:right="0" w:firstLine="0"/>
        <w:jc w:val="left"/>
        <w:rPr>
          <w:rFonts w:ascii="Arial"/>
          <w:i/>
          <w:sz w:val="22"/>
        </w:rPr>
      </w:pPr>
      <w:bookmarkStart w:name="MA-GDL-ARS-04. Built Environment - Struc" w:id="555"/>
      <w:bookmarkEnd w:id="555"/>
      <w:r>
        <w:rPr/>
      </w:r>
      <w:r>
        <w:rPr>
          <w:rFonts w:ascii="Arial"/>
          <w:i/>
          <w:sz w:val="22"/>
        </w:rPr>
        <w:t>MA-GDL-ARS-04.</w:t>
      </w:r>
      <w:r>
        <w:rPr>
          <w:rFonts w:ascii="Arial"/>
          <w:i/>
          <w:spacing w:val="-7"/>
          <w:sz w:val="22"/>
        </w:rPr>
        <w:t> </w:t>
      </w:r>
      <w:r>
        <w:rPr>
          <w:rFonts w:ascii="Arial"/>
          <w:i/>
          <w:sz w:val="22"/>
        </w:rPr>
        <w:t>Built</w:t>
      </w:r>
      <w:r>
        <w:rPr>
          <w:rFonts w:ascii="Arial"/>
          <w:i/>
          <w:spacing w:val="-7"/>
          <w:sz w:val="22"/>
        </w:rPr>
        <w:t> </w:t>
      </w:r>
      <w:r>
        <w:rPr>
          <w:rFonts w:ascii="Arial"/>
          <w:i/>
          <w:sz w:val="22"/>
        </w:rPr>
        <w:t>Environment</w:t>
      </w:r>
      <w:r>
        <w:rPr>
          <w:rFonts w:ascii="Arial"/>
          <w:i/>
          <w:spacing w:val="-6"/>
          <w:sz w:val="22"/>
        </w:rPr>
        <w:t> </w:t>
      </w:r>
      <w:r>
        <w:rPr>
          <w:rFonts w:ascii="Arial"/>
          <w:i/>
          <w:sz w:val="22"/>
        </w:rPr>
        <w:t>-</w:t>
      </w:r>
      <w:r>
        <w:rPr>
          <w:rFonts w:ascii="Arial"/>
          <w:i/>
          <w:spacing w:val="-7"/>
          <w:sz w:val="22"/>
        </w:rPr>
        <w:t> </w:t>
      </w:r>
      <w:r>
        <w:rPr>
          <w:rFonts w:ascii="Arial"/>
          <w:i/>
          <w:spacing w:val="-2"/>
          <w:sz w:val="22"/>
        </w:rPr>
        <w:t>Structures</w:t>
      </w:r>
    </w:p>
    <w:p>
      <w:pPr>
        <w:pStyle w:val="BodyText"/>
        <w:spacing w:line="232" w:lineRule="auto" w:before="64"/>
        <w:ind w:left="359" w:right="1445"/>
      </w:pPr>
      <w:r>
        <w:rPr/>
        <w:t>New</w:t>
      </w:r>
      <w:r>
        <w:rPr>
          <w:spacing w:val="-3"/>
        </w:rPr>
        <w:t> </w:t>
      </w:r>
      <w:r>
        <w:rPr/>
        <w:t>developments</w:t>
      </w:r>
      <w:r>
        <w:rPr>
          <w:spacing w:val="-4"/>
        </w:rPr>
        <w:t> </w:t>
      </w:r>
      <w:r>
        <w:rPr/>
        <w:t>should</w:t>
      </w:r>
      <w:r>
        <w:rPr>
          <w:spacing w:val="-5"/>
        </w:rPr>
        <w:t> </w:t>
      </w:r>
      <w:r>
        <w:rPr/>
        <w:t>blend</w:t>
      </w:r>
      <w:r>
        <w:rPr>
          <w:spacing w:val="-5"/>
        </w:rPr>
        <w:t> </w:t>
      </w:r>
      <w:r>
        <w:rPr/>
        <w:t>with</w:t>
      </w:r>
      <w:r>
        <w:rPr>
          <w:spacing w:val="-5"/>
        </w:rPr>
        <w:t> </w:t>
      </w:r>
      <w:r>
        <w:rPr/>
        <w:t>the</w:t>
      </w:r>
      <w:r>
        <w:rPr>
          <w:spacing w:val="-6"/>
        </w:rPr>
        <w:t> </w:t>
      </w:r>
      <w:r>
        <w:rPr/>
        <w:t>surrounding</w:t>
      </w:r>
      <w:r>
        <w:rPr>
          <w:spacing w:val="-5"/>
        </w:rPr>
        <w:t> </w:t>
      </w:r>
      <w:r>
        <w:rPr/>
        <w:t>landscape</w:t>
      </w:r>
      <w:r>
        <w:rPr>
          <w:spacing w:val="-3"/>
        </w:rPr>
        <w:t> </w:t>
      </w:r>
      <w:r>
        <w:rPr/>
        <w:t>and</w:t>
      </w:r>
      <w:r>
        <w:rPr>
          <w:spacing w:val="-5"/>
        </w:rPr>
        <w:t> </w:t>
      </w:r>
      <w:r>
        <w:rPr/>
        <w:t>should</w:t>
      </w:r>
      <w:r>
        <w:rPr>
          <w:spacing w:val="-6"/>
        </w:rPr>
        <w:t> </w:t>
      </w:r>
      <w:r>
        <w:rPr/>
        <w:t>meet</w:t>
      </w:r>
      <w:r>
        <w:rPr>
          <w:spacing w:val="-3"/>
        </w:rPr>
        <w:t> </w:t>
      </w:r>
      <w:r>
        <w:rPr/>
        <w:t>the</w:t>
      </w:r>
      <w:r>
        <w:rPr>
          <w:spacing w:val="-3"/>
        </w:rPr>
        <w:t> </w:t>
      </w:r>
      <w:r>
        <w:rPr/>
        <w:t>ROS</w:t>
      </w:r>
      <w:r>
        <w:rPr>
          <w:spacing w:val="-4"/>
        </w:rPr>
        <w:t> </w:t>
      </w:r>
      <w:r>
        <w:rPr/>
        <w:t>and SIO design elements associated with the area in which the developments are located.</w:t>
      </w:r>
    </w:p>
    <w:p>
      <w:pPr>
        <w:spacing w:before="235"/>
        <w:ind w:left="359" w:right="0" w:firstLine="0"/>
        <w:jc w:val="left"/>
        <w:rPr>
          <w:rFonts w:ascii="Arial"/>
          <w:i/>
          <w:sz w:val="22"/>
        </w:rPr>
      </w:pPr>
      <w:bookmarkStart w:name="MA-GDL-ARS-05. Water Drafting Sites" w:id="556"/>
      <w:bookmarkEnd w:id="556"/>
      <w:r>
        <w:rPr/>
      </w:r>
      <w:r>
        <w:rPr>
          <w:rFonts w:ascii="Arial"/>
          <w:i/>
          <w:sz w:val="22"/>
        </w:rPr>
        <w:t>MA-GDL-ARS-05.</w:t>
      </w:r>
      <w:r>
        <w:rPr>
          <w:rFonts w:ascii="Arial"/>
          <w:i/>
          <w:spacing w:val="-10"/>
          <w:sz w:val="22"/>
        </w:rPr>
        <w:t> </w:t>
      </w:r>
      <w:r>
        <w:rPr>
          <w:rFonts w:ascii="Arial"/>
          <w:i/>
          <w:sz w:val="22"/>
        </w:rPr>
        <w:t>Water</w:t>
      </w:r>
      <w:r>
        <w:rPr>
          <w:rFonts w:ascii="Arial"/>
          <w:i/>
          <w:spacing w:val="-8"/>
          <w:sz w:val="22"/>
        </w:rPr>
        <w:t> </w:t>
      </w:r>
      <w:r>
        <w:rPr>
          <w:rFonts w:ascii="Arial"/>
          <w:i/>
          <w:sz w:val="22"/>
        </w:rPr>
        <w:t>Drafting</w:t>
      </w:r>
      <w:r>
        <w:rPr>
          <w:rFonts w:ascii="Arial"/>
          <w:i/>
          <w:spacing w:val="-7"/>
          <w:sz w:val="22"/>
        </w:rPr>
        <w:t> </w:t>
      </w:r>
      <w:r>
        <w:rPr>
          <w:rFonts w:ascii="Arial"/>
          <w:i/>
          <w:spacing w:val="-4"/>
          <w:sz w:val="22"/>
        </w:rPr>
        <w:t>Sites</w:t>
      </w:r>
    </w:p>
    <w:p>
      <w:pPr>
        <w:pStyle w:val="BodyText"/>
        <w:spacing w:line="232" w:lineRule="auto" w:before="67"/>
        <w:ind w:left="359" w:right="1445"/>
      </w:pPr>
      <w:r>
        <w:rPr/>
        <w:t>Water drafting sites should be located outside of developed recreation sites and managed to minimize</w:t>
      </w:r>
      <w:r>
        <w:rPr>
          <w:spacing w:val="-8"/>
        </w:rPr>
        <w:t> </w:t>
      </w:r>
      <w:r>
        <w:rPr/>
        <w:t>adverse</w:t>
      </w:r>
      <w:r>
        <w:rPr>
          <w:spacing w:val="-5"/>
        </w:rPr>
        <w:t> </w:t>
      </w:r>
      <w:r>
        <w:rPr/>
        <w:t>effects</w:t>
      </w:r>
      <w:r>
        <w:rPr>
          <w:spacing w:val="-8"/>
        </w:rPr>
        <w:t> </w:t>
      </w:r>
      <w:r>
        <w:rPr/>
        <w:t>on</w:t>
      </w:r>
      <w:r>
        <w:rPr>
          <w:spacing w:val="-7"/>
        </w:rPr>
        <w:t> </w:t>
      </w:r>
      <w:r>
        <w:rPr/>
        <w:t>the</w:t>
      </w:r>
      <w:r>
        <w:rPr>
          <w:spacing w:val="-5"/>
        </w:rPr>
        <w:t> </w:t>
      </w:r>
      <w:r>
        <w:rPr/>
        <w:t>recreating</w:t>
      </w:r>
      <w:r>
        <w:rPr>
          <w:spacing w:val="-7"/>
        </w:rPr>
        <w:t> </w:t>
      </w:r>
      <w:r>
        <w:rPr/>
        <w:t>public.</w:t>
      </w:r>
      <w:r>
        <w:rPr>
          <w:spacing w:val="-6"/>
        </w:rPr>
        <w:t> </w:t>
      </w:r>
      <w:r>
        <w:rPr/>
        <w:t>Drafting</w:t>
      </w:r>
      <w:r>
        <w:rPr>
          <w:spacing w:val="-7"/>
        </w:rPr>
        <w:t> </w:t>
      </w:r>
      <w:r>
        <w:rPr/>
        <w:t>equipment</w:t>
      </w:r>
      <w:r>
        <w:rPr>
          <w:spacing w:val="-8"/>
        </w:rPr>
        <w:t> </w:t>
      </w:r>
      <w:r>
        <w:rPr/>
        <w:t>should</w:t>
      </w:r>
      <w:r>
        <w:rPr>
          <w:spacing w:val="-7"/>
        </w:rPr>
        <w:t> </w:t>
      </w:r>
      <w:r>
        <w:rPr/>
        <w:t>not</w:t>
      </w:r>
      <w:r>
        <w:rPr>
          <w:spacing w:val="-8"/>
        </w:rPr>
        <w:t> </w:t>
      </w:r>
      <w:r>
        <w:rPr/>
        <w:t>restrict</w:t>
      </w:r>
      <w:r>
        <w:rPr>
          <w:spacing w:val="-5"/>
        </w:rPr>
        <w:t> </w:t>
      </w:r>
      <w:r>
        <w:rPr/>
        <w:t>access to boat launches, docks, trails, parking areas, or campsites.</w:t>
      </w:r>
    </w:p>
    <w:p>
      <w:pPr>
        <w:pStyle w:val="Heading4"/>
        <w:spacing w:before="233"/>
      </w:pPr>
      <w:bookmarkStart w:name="Suitable Uses" w:id="557"/>
      <w:bookmarkEnd w:id="557"/>
      <w:r>
        <w:rPr/>
      </w:r>
      <w:bookmarkStart w:name="_bookmark174" w:id="558"/>
      <w:bookmarkEnd w:id="558"/>
      <w:r>
        <w:rPr/>
      </w:r>
      <w:r>
        <w:rPr/>
        <w:t>Suitable</w:t>
      </w:r>
      <w:r>
        <w:rPr>
          <w:spacing w:val="-5"/>
        </w:rPr>
        <w:t> </w:t>
      </w:r>
      <w:r>
        <w:rPr>
          <w:spacing w:val="-4"/>
        </w:rPr>
        <w:t>Uses</w:t>
      </w:r>
    </w:p>
    <w:p>
      <w:pPr>
        <w:spacing w:before="239"/>
        <w:ind w:left="360" w:right="0" w:firstLine="0"/>
        <w:jc w:val="left"/>
        <w:rPr>
          <w:rFonts w:ascii="Arial"/>
          <w:i/>
          <w:sz w:val="22"/>
        </w:rPr>
      </w:pPr>
      <w:bookmarkStart w:name="MA-SU-ARS-01. Suitable Uses" w:id="559"/>
      <w:bookmarkEnd w:id="559"/>
      <w:r>
        <w:rPr/>
      </w:r>
      <w:r>
        <w:rPr>
          <w:rFonts w:ascii="Arial"/>
          <w:i/>
          <w:sz w:val="22"/>
        </w:rPr>
        <w:t>MA-SU-ARS-01.</w:t>
      </w:r>
      <w:r>
        <w:rPr>
          <w:rFonts w:ascii="Arial"/>
          <w:i/>
          <w:spacing w:val="-9"/>
          <w:sz w:val="22"/>
        </w:rPr>
        <w:t> </w:t>
      </w:r>
      <w:r>
        <w:rPr>
          <w:rFonts w:ascii="Arial"/>
          <w:i/>
          <w:sz w:val="22"/>
        </w:rPr>
        <w:t>Suitable</w:t>
      </w:r>
      <w:r>
        <w:rPr>
          <w:rFonts w:ascii="Arial"/>
          <w:i/>
          <w:spacing w:val="-10"/>
          <w:sz w:val="22"/>
        </w:rPr>
        <w:t> </w:t>
      </w:r>
      <w:r>
        <w:rPr>
          <w:rFonts w:ascii="Arial"/>
          <w:i/>
          <w:spacing w:val="-4"/>
          <w:sz w:val="22"/>
        </w:rPr>
        <w:t>Uses</w:t>
      </w:r>
    </w:p>
    <w:p>
      <w:pPr>
        <w:pStyle w:val="BodyText"/>
        <w:spacing w:before="105"/>
        <w:rPr>
          <w:rFonts w:ascii="Arial"/>
          <w:i/>
        </w:rPr>
      </w:pPr>
    </w:p>
    <w:p>
      <w:pPr>
        <w:spacing w:before="1" w:after="41"/>
        <w:ind w:left="360" w:right="0" w:firstLine="0"/>
        <w:jc w:val="left"/>
        <w:rPr>
          <w:rFonts w:ascii="Arial"/>
          <w:b/>
          <w:sz w:val="18"/>
        </w:rPr>
      </w:pPr>
      <w:bookmarkStart w:name="_bookmark175" w:id="560"/>
      <w:bookmarkEnd w:id="560"/>
      <w:r>
        <w:rPr/>
      </w:r>
      <w:r>
        <w:rPr>
          <w:rFonts w:ascii="Arial"/>
          <w:b/>
          <w:sz w:val="18"/>
        </w:rPr>
        <w:t>Table</w:t>
      </w:r>
      <w:r>
        <w:rPr>
          <w:rFonts w:ascii="Arial"/>
          <w:b/>
          <w:spacing w:val="-5"/>
          <w:sz w:val="18"/>
        </w:rPr>
        <w:t> </w:t>
      </w:r>
      <w:r>
        <w:rPr>
          <w:rFonts w:ascii="Arial"/>
          <w:b/>
          <w:sz w:val="18"/>
        </w:rPr>
        <w:t>18.</w:t>
      </w:r>
      <w:r>
        <w:rPr>
          <w:rFonts w:ascii="Arial"/>
          <w:b/>
          <w:spacing w:val="-3"/>
          <w:sz w:val="18"/>
        </w:rPr>
        <w:t> </w:t>
      </w:r>
      <w:r>
        <w:rPr>
          <w:rFonts w:ascii="Arial"/>
          <w:b/>
          <w:sz w:val="18"/>
        </w:rPr>
        <w:t>Suitable</w:t>
      </w:r>
      <w:r>
        <w:rPr>
          <w:rFonts w:ascii="Arial"/>
          <w:b/>
          <w:spacing w:val="-5"/>
          <w:sz w:val="18"/>
        </w:rPr>
        <w:t> </w:t>
      </w:r>
      <w:r>
        <w:rPr>
          <w:rFonts w:ascii="Arial"/>
          <w:b/>
          <w:sz w:val="18"/>
        </w:rPr>
        <w:t>uses</w:t>
      </w:r>
      <w:r>
        <w:rPr>
          <w:rFonts w:ascii="Arial"/>
          <w:b/>
          <w:spacing w:val="-2"/>
          <w:sz w:val="18"/>
        </w:rPr>
        <w:t> </w:t>
      </w:r>
      <w:r>
        <w:rPr>
          <w:rFonts w:ascii="Arial"/>
          <w:b/>
          <w:sz w:val="18"/>
        </w:rPr>
        <w:t>for</w:t>
      </w:r>
      <w:r>
        <w:rPr>
          <w:rFonts w:ascii="Arial"/>
          <w:b/>
          <w:spacing w:val="-4"/>
          <w:sz w:val="18"/>
        </w:rPr>
        <w:t> </w:t>
      </w:r>
      <w:r>
        <w:rPr>
          <w:rFonts w:ascii="Arial"/>
          <w:b/>
          <w:sz w:val="18"/>
        </w:rPr>
        <w:t>Administrative</w:t>
      </w:r>
      <w:r>
        <w:rPr>
          <w:rFonts w:ascii="Arial"/>
          <w:b/>
          <w:spacing w:val="-2"/>
          <w:sz w:val="18"/>
        </w:rPr>
        <w:t> </w:t>
      </w:r>
      <w:r>
        <w:rPr>
          <w:rFonts w:ascii="Arial"/>
          <w:b/>
          <w:sz w:val="18"/>
        </w:rPr>
        <w:t>and</w:t>
      </w:r>
      <w:r>
        <w:rPr>
          <w:rFonts w:ascii="Arial"/>
          <w:b/>
          <w:spacing w:val="-3"/>
          <w:sz w:val="18"/>
        </w:rPr>
        <w:t> </w:t>
      </w:r>
      <w:r>
        <w:rPr>
          <w:rFonts w:ascii="Arial"/>
          <w:b/>
          <w:sz w:val="18"/>
        </w:rPr>
        <w:t>Recreation</w:t>
      </w:r>
      <w:r>
        <w:rPr>
          <w:rFonts w:ascii="Arial"/>
          <w:b/>
          <w:spacing w:val="-3"/>
          <w:sz w:val="18"/>
        </w:rPr>
        <w:t> </w:t>
      </w:r>
      <w:r>
        <w:rPr>
          <w:rFonts w:ascii="Arial"/>
          <w:b/>
          <w:sz w:val="18"/>
        </w:rPr>
        <w:t>Sites</w:t>
      </w:r>
      <w:r>
        <w:rPr>
          <w:rFonts w:ascii="Arial"/>
          <w:b/>
          <w:spacing w:val="-5"/>
          <w:sz w:val="18"/>
        </w:rPr>
        <w:t> </w:t>
      </w:r>
      <w:r>
        <w:rPr>
          <w:rFonts w:ascii="Arial"/>
          <w:b/>
          <w:sz w:val="18"/>
        </w:rPr>
        <w:t>Management</w:t>
      </w:r>
      <w:r>
        <w:rPr>
          <w:rFonts w:ascii="Arial"/>
          <w:b/>
          <w:spacing w:val="-3"/>
          <w:sz w:val="18"/>
        </w:rPr>
        <w:t> </w:t>
      </w:r>
      <w:r>
        <w:rPr>
          <w:rFonts w:ascii="Arial"/>
          <w:b/>
          <w:spacing w:val="-2"/>
          <w:sz w:val="18"/>
        </w:rPr>
        <w:t>Areas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751"/>
        <w:gridCol w:w="1756"/>
        <w:gridCol w:w="2041"/>
      </w:tblGrid>
      <w:tr>
        <w:trPr>
          <w:trHeight w:val="287" w:hRule="atLeast"/>
        </w:trPr>
        <w:tc>
          <w:tcPr>
            <w:tcW w:w="4751" w:type="dxa"/>
            <w:tcBorders>
              <w:right w:val="nil"/>
            </w:tcBorders>
            <w:shd w:val="clear" w:color="auto" w:fill="D5E2BB"/>
          </w:tcPr>
          <w:p>
            <w:pPr>
              <w:pStyle w:val="TableParagraph"/>
              <w:ind w:right="72"/>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756" w:type="dxa"/>
            <w:tcBorders>
              <w:left w:val="nil"/>
              <w:right w:val="nil"/>
            </w:tcBorders>
            <w:shd w:val="clear" w:color="auto" w:fill="D5E2BB"/>
          </w:tcPr>
          <w:p>
            <w:pPr>
              <w:pStyle w:val="TableParagraph"/>
              <w:ind w:left="1" w:right="4"/>
              <w:jc w:val="center"/>
              <w:rPr>
                <w:b/>
                <w:sz w:val="18"/>
              </w:rPr>
            </w:pPr>
            <w:r>
              <w:rPr>
                <w:b/>
                <w:sz w:val="18"/>
              </w:rPr>
              <w:t>May</w:t>
            </w:r>
            <w:r>
              <w:rPr>
                <w:b/>
                <w:spacing w:val="-9"/>
                <w:sz w:val="18"/>
              </w:rPr>
              <w:t> </w:t>
            </w:r>
            <w:r>
              <w:rPr>
                <w:b/>
                <w:spacing w:val="-2"/>
                <w:sz w:val="18"/>
              </w:rPr>
              <w:t>authorize</w:t>
            </w:r>
          </w:p>
        </w:tc>
        <w:tc>
          <w:tcPr>
            <w:tcW w:w="2041" w:type="dxa"/>
            <w:tcBorders>
              <w:left w:val="nil"/>
            </w:tcBorders>
            <w:shd w:val="clear" w:color="auto" w:fill="D5E2BB"/>
          </w:tcPr>
          <w:p>
            <w:pPr>
              <w:pStyle w:val="TableParagraph"/>
              <w:ind w:left="86"/>
              <w:jc w:val="center"/>
              <w:rPr>
                <w:b/>
                <w:sz w:val="18"/>
              </w:rPr>
            </w:pPr>
            <w:r>
              <w:rPr>
                <w:b/>
                <w:sz w:val="18"/>
              </w:rPr>
              <w:t>May</w:t>
            </w:r>
            <w:r>
              <w:rPr>
                <w:b/>
                <w:spacing w:val="-9"/>
                <w:sz w:val="18"/>
              </w:rPr>
              <w:t> </w:t>
            </w:r>
            <w:r>
              <w:rPr>
                <w:b/>
                <w:sz w:val="18"/>
              </w:rPr>
              <w:t>not</w:t>
            </w:r>
            <w:r>
              <w:rPr>
                <w:b/>
                <w:spacing w:val="-2"/>
                <w:sz w:val="18"/>
              </w:rPr>
              <w:t> authorize</w:t>
            </w:r>
          </w:p>
        </w:tc>
      </w:tr>
      <w:tr>
        <w:trPr>
          <w:trHeight w:val="318" w:hRule="atLeast"/>
        </w:trPr>
        <w:tc>
          <w:tcPr>
            <w:tcW w:w="4751" w:type="dxa"/>
            <w:tcBorders>
              <w:right w:val="nil"/>
            </w:tcBorders>
          </w:tcPr>
          <w:p>
            <w:pPr>
              <w:pStyle w:val="TableParagraph"/>
              <w:ind w:left="107"/>
              <w:rPr>
                <w:b/>
                <w:sz w:val="18"/>
              </w:rPr>
            </w:pPr>
            <w:r>
              <w:rPr>
                <w:b/>
                <w:sz w:val="18"/>
              </w:rPr>
              <w:t>Facilities,</w:t>
            </w:r>
            <w:r>
              <w:rPr>
                <w:b/>
                <w:spacing w:val="-5"/>
                <w:sz w:val="18"/>
              </w:rPr>
              <w:t> </w:t>
            </w:r>
            <w:r>
              <w:rPr>
                <w:b/>
                <w:spacing w:val="-2"/>
                <w:sz w:val="18"/>
              </w:rPr>
              <w:t>administrative</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5" w:hRule="atLeast"/>
        </w:trPr>
        <w:tc>
          <w:tcPr>
            <w:tcW w:w="4751"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spacing w:before="42"/>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756" w:type="dxa"/>
            <w:tcBorders>
              <w:left w:val="nil"/>
              <w:right w:val="nil"/>
            </w:tcBorders>
          </w:tcPr>
          <w:p>
            <w:pPr>
              <w:pStyle w:val="TableParagraph"/>
              <w:spacing w:before="42"/>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spacing w:before="42"/>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756" w:type="dxa"/>
            <w:tcBorders>
              <w:left w:val="nil"/>
              <w:right w:val="nil"/>
            </w:tcBorders>
          </w:tcPr>
          <w:p>
            <w:pPr>
              <w:pStyle w:val="TableParagraph"/>
              <w:spacing w:before="42"/>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556" w:hRule="atLeast"/>
        </w:trPr>
        <w:tc>
          <w:tcPr>
            <w:tcW w:w="4751" w:type="dxa"/>
            <w:tcBorders>
              <w:right w:val="nil"/>
            </w:tcBorders>
          </w:tcPr>
          <w:p>
            <w:pPr>
              <w:pStyle w:val="TableParagraph"/>
              <w:spacing w:line="276" w:lineRule="auto"/>
              <w:ind w:left="107" w:right="124"/>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1756" w:type="dxa"/>
            <w:tcBorders>
              <w:left w:val="nil"/>
              <w:right w:val="nil"/>
            </w:tcBorders>
          </w:tcPr>
          <w:p>
            <w:pPr>
              <w:pStyle w:val="TableParagraph"/>
              <w:spacing w:before="0"/>
              <w:rPr>
                <w:rFonts w:ascii="Times New Roman"/>
                <w:sz w:val="20"/>
              </w:rPr>
            </w:pPr>
          </w:p>
        </w:tc>
        <w:tc>
          <w:tcPr>
            <w:tcW w:w="2041" w:type="dxa"/>
            <w:tcBorders>
              <w:left w:val="nil"/>
            </w:tcBorders>
          </w:tcPr>
          <w:p>
            <w:pPr>
              <w:pStyle w:val="TableParagraph"/>
              <w:ind w:left="86" w:right="2"/>
              <w:jc w:val="center"/>
              <w:rPr>
                <w:sz w:val="18"/>
              </w:rPr>
            </w:pPr>
            <w:r>
              <w:rPr>
                <w:spacing w:val="-10"/>
                <w:sz w:val="18"/>
              </w:rPr>
              <w:t>X</w:t>
            </w:r>
          </w:p>
        </w:tc>
      </w:tr>
      <w:tr>
        <w:trPr>
          <w:trHeight w:val="318" w:hRule="atLeast"/>
        </w:trPr>
        <w:tc>
          <w:tcPr>
            <w:tcW w:w="4751" w:type="dxa"/>
            <w:tcBorders>
              <w:right w:val="nil"/>
            </w:tcBorders>
          </w:tcPr>
          <w:p>
            <w:pPr>
              <w:pStyle w:val="TableParagraph"/>
              <w:spacing w:before="42"/>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1756" w:type="dxa"/>
            <w:tcBorders>
              <w:left w:val="nil"/>
              <w:right w:val="nil"/>
            </w:tcBorders>
          </w:tcPr>
          <w:p>
            <w:pPr>
              <w:pStyle w:val="TableParagraph"/>
              <w:spacing w:before="42"/>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permitted</w:t>
            </w:r>
            <w:r>
              <w:rPr>
                <w:b/>
                <w:spacing w:val="-3"/>
                <w:sz w:val="18"/>
              </w:rPr>
              <w:t> </w:t>
            </w:r>
            <w:r>
              <w:rPr>
                <w:b/>
                <w:sz w:val="18"/>
              </w:rPr>
              <w:t>personal</w:t>
            </w:r>
            <w:r>
              <w:rPr>
                <w:b/>
                <w:spacing w:val="-3"/>
                <w:sz w:val="18"/>
              </w:rPr>
              <w:t> </w:t>
            </w:r>
            <w:r>
              <w:rPr>
                <w:b/>
                <w:spacing w:val="-5"/>
                <w:sz w:val="18"/>
              </w:rPr>
              <w:t>use</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556" w:hRule="atLeast"/>
        </w:trPr>
        <w:tc>
          <w:tcPr>
            <w:tcW w:w="4751"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1756" w:type="dxa"/>
            <w:tcBorders>
              <w:left w:val="nil"/>
              <w:right w:val="nil"/>
            </w:tcBorders>
          </w:tcPr>
          <w:p>
            <w:pPr>
              <w:pStyle w:val="TableParagraph"/>
              <w:spacing w:line="276" w:lineRule="auto"/>
              <w:ind w:left="658" w:hanging="401"/>
              <w:rPr>
                <w:sz w:val="18"/>
              </w:rPr>
            </w:pPr>
            <w:r>
              <w:rPr>
                <w:sz w:val="18"/>
              </w:rPr>
              <w:t>X</w:t>
            </w:r>
            <w:r>
              <w:rPr>
                <w:spacing w:val="-15"/>
                <w:sz w:val="18"/>
              </w:rPr>
              <w:t> </w:t>
            </w:r>
            <w:r>
              <w:rPr>
                <w:sz w:val="18"/>
              </w:rPr>
              <w:t>(In</w:t>
            </w:r>
            <w:r>
              <w:rPr>
                <w:spacing w:val="-12"/>
                <w:sz w:val="18"/>
              </w:rPr>
              <w:t> </w:t>
            </w:r>
            <w:r>
              <w:rPr>
                <w:sz w:val="18"/>
              </w:rPr>
              <w:t>recreation </w:t>
            </w:r>
            <w:r>
              <w:rPr>
                <w:spacing w:val="-2"/>
                <w:sz w:val="18"/>
              </w:rPr>
              <w:t>sites)</w:t>
            </w:r>
          </w:p>
        </w:tc>
        <w:tc>
          <w:tcPr>
            <w:tcW w:w="2041" w:type="dxa"/>
            <w:tcBorders>
              <w:left w:val="nil"/>
            </w:tcBorders>
          </w:tcPr>
          <w:p>
            <w:pPr>
              <w:pStyle w:val="TableParagraph"/>
              <w:spacing w:line="276" w:lineRule="auto"/>
              <w:ind w:left="841" w:hanging="557"/>
              <w:rPr>
                <w:sz w:val="18"/>
              </w:rPr>
            </w:pPr>
            <w:r>
              <w:rPr>
                <w:sz w:val="18"/>
              </w:rPr>
              <w:t>X</w:t>
            </w:r>
            <w:r>
              <w:rPr>
                <w:spacing w:val="-15"/>
                <w:sz w:val="18"/>
              </w:rPr>
              <w:t> </w:t>
            </w:r>
            <w:r>
              <w:rPr>
                <w:sz w:val="18"/>
              </w:rPr>
              <w:t>(In</w:t>
            </w:r>
            <w:r>
              <w:rPr>
                <w:spacing w:val="-12"/>
                <w:sz w:val="18"/>
              </w:rPr>
              <w:t> </w:t>
            </w:r>
            <w:r>
              <w:rPr>
                <w:sz w:val="18"/>
              </w:rPr>
              <w:t>administrative </w:t>
            </w:r>
            <w:r>
              <w:rPr>
                <w:spacing w:val="-2"/>
                <w:sz w:val="18"/>
              </w:rPr>
              <w:t>sites)</w:t>
            </w:r>
          </w:p>
        </w:tc>
      </w:tr>
      <w:tr>
        <w:trPr>
          <w:trHeight w:val="1031" w:hRule="atLeast"/>
        </w:trPr>
        <w:tc>
          <w:tcPr>
            <w:tcW w:w="4751" w:type="dxa"/>
            <w:tcBorders>
              <w:right w:val="nil"/>
            </w:tcBorders>
          </w:tcPr>
          <w:p>
            <w:pPr>
              <w:pStyle w:val="TableParagraph"/>
              <w:spacing w:line="276" w:lineRule="auto"/>
              <w:ind w:left="107" w:right="124"/>
              <w:rPr>
                <w:b/>
                <w:sz w:val="18"/>
              </w:rPr>
            </w:pPr>
            <w:r>
              <w:rPr>
                <w:b/>
                <w:sz w:val="18"/>
              </w:rPr>
              <w:t>Infrastructure, above ground infrastructure associated with special use permits, such as communication</w:t>
            </w:r>
            <w:r>
              <w:rPr>
                <w:b/>
                <w:spacing w:val="-7"/>
                <w:sz w:val="18"/>
              </w:rPr>
              <w:t> </w:t>
            </w:r>
            <w:r>
              <w:rPr>
                <w:b/>
                <w:sz w:val="18"/>
              </w:rPr>
              <w:t>sites,</w:t>
            </w:r>
            <w:r>
              <w:rPr>
                <w:b/>
                <w:spacing w:val="-9"/>
                <w:sz w:val="18"/>
              </w:rPr>
              <w:t> </w:t>
            </w:r>
            <w:r>
              <w:rPr>
                <w:b/>
                <w:sz w:val="18"/>
              </w:rPr>
              <w:t>energy</w:t>
            </w:r>
            <w:r>
              <w:rPr>
                <w:b/>
                <w:spacing w:val="-10"/>
                <w:sz w:val="18"/>
              </w:rPr>
              <w:t> </w:t>
            </w:r>
            <w:r>
              <w:rPr>
                <w:b/>
                <w:sz w:val="18"/>
              </w:rPr>
              <w:t>developments,</w:t>
            </w:r>
            <w:r>
              <w:rPr>
                <w:b/>
                <w:spacing w:val="-9"/>
                <w:sz w:val="18"/>
              </w:rPr>
              <w:t> </w:t>
            </w:r>
            <w:r>
              <w:rPr>
                <w:b/>
                <w:sz w:val="18"/>
              </w:rPr>
              <w:t>and/or utility</w:t>
            </w:r>
            <w:r>
              <w:rPr>
                <w:b/>
                <w:spacing w:val="-5"/>
                <w:sz w:val="18"/>
              </w:rPr>
              <w:t> </w:t>
            </w:r>
            <w:r>
              <w:rPr>
                <w:b/>
                <w:sz w:val="18"/>
              </w:rPr>
              <w:t>lines.</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756" w:type="dxa"/>
            <w:tcBorders>
              <w:left w:val="nil"/>
              <w:right w:val="nil"/>
            </w:tcBorders>
          </w:tcPr>
          <w:p>
            <w:pPr>
              <w:pStyle w:val="TableParagraph"/>
              <w:ind w:right="4"/>
              <w:jc w:val="center"/>
              <w:rPr>
                <w:sz w:val="18"/>
              </w:rPr>
            </w:pPr>
            <w:r>
              <w:rPr>
                <w:spacing w:val="-10"/>
                <w:sz w:val="18"/>
              </w:rPr>
              <w:t>X</w:t>
            </w:r>
          </w:p>
        </w:tc>
        <w:tc>
          <w:tcPr>
            <w:tcW w:w="2041" w:type="dxa"/>
            <w:tcBorders>
              <w:left w:val="nil"/>
            </w:tcBorders>
          </w:tcPr>
          <w:p>
            <w:pPr>
              <w:pStyle w:val="TableParagraph"/>
              <w:spacing w:before="0"/>
              <w:rPr>
                <w:rFonts w:ascii="Times New Roman"/>
                <w:sz w:val="20"/>
              </w:rPr>
            </w:pPr>
          </w:p>
        </w:tc>
      </w:tr>
      <w:tr>
        <w:trPr>
          <w:trHeight w:val="318" w:hRule="atLeast"/>
        </w:trPr>
        <w:tc>
          <w:tcPr>
            <w:tcW w:w="4751"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756" w:type="dxa"/>
            <w:tcBorders>
              <w:left w:val="nil"/>
              <w:right w:val="nil"/>
            </w:tcBorders>
          </w:tcPr>
          <w:p>
            <w:pPr>
              <w:pStyle w:val="TableParagraph"/>
              <w:ind w:right="4"/>
              <w:jc w:val="center"/>
              <w:rPr>
                <w:sz w:val="18"/>
              </w:rPr>
            </w:pPr>
            <w:r>
              <w:rPr>
                <w:spacing w:val="-5"/>
                <w:sz w:val="18"/>
              </w:rPr>
              <w:t>X*</w:t>
            </w:r>
          </w:p>
        </w:tc>
        <w:tc>
          <w:tcPr>
            <w:tcW w:w="2041" w:type="dxa"/>
            <w:tcBorders>
              <w:left w:val="nil"/>
            </w:tcBorders>
          </w:tcPr>
          <w:p>
            <w:pPr>
              <w:pStyle w:val="TableParagraph"/>
              <w:spacing w:before="0"/>
              <w:rPr>
                <w:rFonts w:ascii="Times New Roman"/>
                <w:sz w:val="20"/>
              </w:rPr>
            </w:pPr>
          </w:p>
        </w:tc>
      </w:tr>
    </w:tbl>
    <w:p>
      <w:pPr>
        <w:pStyle w:val="TableParagraph"/>
        <w:spacing w:after="0"/>
        <w:rPr>
          <w:rFonts w:ascii="Times New Roman"/>
          <w:sz w:val="20"/>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656"/>
        <w:gridCol w:w="1885"/>
        <w:gridCol w:w="2008"/>
      </w:tblGrid>
      <w:tr>
        <w:trPr>
          <w:trHeight w:val="287" w:hRule="atLeast"/>
        </w:trPr>
        <w:tc>
          <w:tcPr>
            <w:tcW w:w="4656" w:type="dxa"/>
            <w:tcBorders>
              <w:right w:val="nil"/>
            </w:tcBorders>
            <w:shd w:val="clear" w:color="auto" w:fill="D5E2BB"/>
          </w:tcPr>
          <w:p>
            <w:pPr>
              <w:pStyle w:val="TableParagraph"/>
              <w:ind w:left="20"/>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885" w:type="dxa"/>
            <w:tcBorders>
              <w:left w:val="nil"/>
              <w:right w:val="nil"/>
            </w:tcBorders>
            <w:shd w:val="clear" w:color="auto" w:fill="D5E2BB"/>
          </w:tcPr>
          <w:p>
            <w:pPr>
              <w:pStyle w:val="TableParagraph"/>
              <w:ind w:left="55"/>
              <w:jc w:val="center"/>
              <w:rPr>
                <w:b/>
                <w:sz w:val="18"/>
              </w:rPr>
            </w:pPr>
            <w:r>
              <w:rPr>
                <w:b/>
                <w:sz w:val="18"/>
              </w:rPr>
              <w:t>May</w:t>
            </w:r>
            <w:r>
              <w:rPr>
                <w:b/>
                <w:spacing w:val="-9"/>
                <w:sz w:val="18"/>
              </w:rPr>
              <w:t> </w:t>
            </w:r>
            <w:r>
              <w:rPr>
                <w:b/>
                <w:spacing w:val="-2"/>
                <w:sz w:val="18"/>
              </w:rPr>
              <w:t>authorize</w:t>
            </w:r>
          </w:p>
        </w:tc>
        <w:tc>
          <w:tcPr>
            <w:tcW w:w="2008" w:type="dxa"/>
            <w:tcBorders>
              <w:left w:val="nil"/>
            </w:tcBorders>
            <w:shd w:val="clear" w:color="auto" w:fill="D5E2BB"/>
          </w:tcPr>
          <w:p>
            <w:pPr>
              <w:pStyle w:val="TableParagraph"/>
              <w:ind w:left="51"/>
              <w:jc w:val="center"/>
              <w:rPr>
                <w:b/>
                <w:sz w:val="18"/>
              </w:rPr>
            </w:pPr>
            <w:r>
              <w:rPr>
                <w:b/>
                <w:sz w:val="18"/>
              </w:rPr>
              <w:t>May</w:t>
            </w:r>
            <w:r>
              <w:rPr>
                <w:b/>
                <w:spacing w:val="-9"/>
                <w:sz w:val="18"/>
              </w:rPr>
              <w:t> </w:t>
            </w:r>
            <w:r>
              <w:rPr>
                <w:b/>
                <w:sz w:val="18"/>
              </w:rPr>
              <w:t>not</w:t>
            </w:r>
            <w:r>
              <w:rPr>
                <w:b/>
                <w:spacing w:val="-2"/>
                <w:sz w:val="18"/>
              </w:rPr>
              <w:t> authorize</w:t>
            </w:r>
          </w:p>
        </w:tc>
      </w:tr>
      <w:tr>
        <w:trPr>
          <w:trHeight w:val="318" w:hRule="atLeast"/>
        </w:trPr>
        <w:tc>
          <w:tcPr>
            <w:tcW w:w="4656"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885" w:type="dxa"/>
            <w:tcBorders>
              <w:left w:val="nil"/>
              <w:right w:val="nil"/>
            </w:tcBorders>
          </w:tcPr>
          <w:p>
            <w:pPr>
              <w:pStyle w:val="TableParagraph"/>
              <w:ind w:left="55" w:right="4"/>
              <w:jc w:val="center"/>
              <w:rPr>
                <w:sz w:val="18"/>
              </w:rPr>
            </w:pPr>
            <w:r>
              <w:rPr>
                <w:spacing w:val="-5"/>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1031" w:hRule="atLeast"/>
        </w:trPr>
        <w:tc>
          <w:tcPr>
            <w:tcW w:w="4656" w:type="dxa"/>
            <w:tcBorders>
              <w:right w:val="nil"/>
            </w:tcBorders>
          </w:tcPr>
          <w:p>
            <w:pPr>
              <w:pStyle w:val="TableParagraph"/>
              <w:spacing w:line="276" w:lineRule="auto"/>
              <w:ind w:left="107"/>
              <w:rPr>
                <w:b/>
                <w:sz w:val="18"/>
              </w:rPr>
            </w:pPr>
            <w:r>
              <w:rPr>
                <w:b/>
                <w:sz w:val="18"/>
              </w:rPr>
              <w:t>Motorized</w:t>
            </w:r>
            <w:r>
              <w:rPr>
                <w:b/>
                <w:spacing w:val="-5"/>
                <w:sz w:val="18"/>
              </w:rPr>
              <w:t> </w:t>
            </w:r>
            <w:r>
              <w:rPr>
                <w:b/>
                <w:sz w:val="18"/>
              </w:rPr>
              <w:t>recreational</w:t>
            </w:r>
            <w:r>
              <w:rPr>
                <w:b/>
                <w:spacing w:val="-5"/>
                <w:sz w:val="18"/>
              </w:rPr>
              <w:t> </w:t>
            </w:r>
            <w:r>
              <w:rPr>
                <w:b/>
                <w:sz w:val="18"/>
              </w:rPr>
              <w:t>use,</w:t>
            </w:r>
            <w:r>
              <w:rPr>
                <w:b/>
                <w:spacing w:val="-6"/>
                <w:sz w:val="18"/>
              </w:rPr>
              <w:t> </w:t>
            </w:r>
            <w:r>
              <w:rPr>
                <w:b/>
                <w:sz w:val="18"/>
              </w:rPr>
              <w:t>summer,</w:t>
            </w:r>
            <w:r>
              <w:rPr>
                <w:b/>
                <w:spacing w:val="-6"/>
                <w:sz w:val="18"/>
              </w:rPr>
              <w:t> </w:t>
            </w:r>
            <w:r>
              <w:rPr>
                <w:b/>
                <w:sz w:val="18"/>
              </w:rPr>
              <w:t>trails</w:t>
            </w:r>
            <w:r>
              <w:rPr>
                <w:b/>
                <w:spacing w:val="-6"/>
                <w:sz w:val="18"/>
              </w:rPr>
              <w:t> </w:t>
            </w:r>
            <w:r>
              <w:rPr>
                <w:b/>
                <w:sz w:val="18"/>
              </w:rPr>
              <w:t>or</w:t>
            </w:r>
            <w:r>
              <w:rPr>
                <w:b/>
                <w:spacing w:val="-5"/>
                <w:sz w:val="18"/>
              </w:rPr>
              <w:t> </w:t>
            </w:r>
            <w:r>
              <w:rPr>
                <w:b/>
                <w:sz w:val="18"/>
              </w:rPr>
              <w:t>play </w:t>
            </w:r>
            <w:r>
              <w:rPr>
                <w:b/>
                <w:spacing w:val="-2"/>
                <w:sz w:val="18"/>
              </w:rPr>
              <w:t>areas</w:t>
            </w:r>
          </w:p>
        </w:tc>
        <w:tc>
          <w:tcPr>
            <w:tcW w:w="1885" w:type="dxa"/>
            <w:tcBorders>
              <w:left w:val="nil"/>
              <w:right w:val="nil"/>
            </w:tcBorders>
          </w:tcPr>
          <w:p>
            <w:pPr>
              <w:pStyle w:val="TableParagraph"/>
              <w:ind w:left="55" w:right="1"/>
              <w:jc w:val="center"/>
              <w:rPr>
                <w:sz w:val="18"/>
              </w:rPr>
            </w:pPr>
            <w:r>
              <w:rPr>
                <w:spacing w:val="-10"/>
                <w:sz w:val="18"/>
              </w:rPr>
              <w:t>X</w:t>
            </w:r>
          </w:p>
          <w:p>
            <w:pPr>
              <w:pStyle w:val="TableParagraph"/>
              <w:spacing w:line="276" w:lineRule="auto" w:before="31"/>
              <w:ind w:left="328" w:right="237" w:hanging="36"/>
              <w:jc w:val="both"/>
              <w:rPr>
                <w:sz w:val="18"/>
              </w:rPr>
            </w:pPr>
            <w:r>
              <w:rPr>
                <w:sz w:val="18"/>
              </w:rPr>
              <w:t>(In</w:t>
            </w:r>
            <w:r>
              <w:rPr>
                <w:spacing w:val="-13"/>
                <w:sz w:val="18"/>
              </w:rPr>
              <w:t> </w:t>
            </w:r>
            <w:r>
              <w:rPr>
                <w:sz w:val="18"/>
              </w:rPr>
              <w:t>campgrounds with designated motorized</w:t>
            </w:r>
            <w:r>
              <w:rPr>
                <w:spacing w:val="-1"/>
                <w:sz w:val="18"/>
              </w:rPr>
              <w:t> </w:t>
            </w:r>
            <w:r>
              <w:rPr>
                <w:sz w:val="18"/>
              </w:rPr>
              <w:t>trails)</w:t>
            </w:r>
          </w:p>
        </w:tc>
        <w:tc>
          <w:tcPr>
            <w:tcW w:w="2008" w:type="dxa"/>
            <w:tcBorders>
              <w:left w:val="nil"/>
            </w:tcBorders>
          </w:tcPr>
          <w:p>
            <w:pPr>
              <w:pStyle w:val="TableParagraph"/>
              <w:ind w:left="51" w:right="2"/>
              <w:jc w:val="center"/>
              <w:rPr>
                <w:sz w:val="18"/>
              </w:rPr>
            </w:pPr>
            <w:r>
              <w:rPr>
                <w:spacing w:val="-10"/>
                <w:sz w:val="18"/>
              </w:rPr>
              <w:t>X</w:t>
            </w:r>
          </w:p>
        </w:tc>
      </w:tr>
      <w:tr>
        <w:trPr>
          <w:trHeight w:val="555" w:hRule="atLeast"/>
        </w:trPr>
        <w:tc>
          <w:tcPr>
            <w:tcW w:w="4656" w:type="dxa"/>
            <w:tcBorders>
              <w:right w:val="nil"/>
            </w:tcBorders>
          </w:tcPr>
          <w:p>
            <w:pPr>
              <w:pStyle w:val="TableParagraph"/>
              <w:spacing w:line="276" w:lineRule="auto"/>
              <w:ind w:left="107"/>
              <w:rPr>
                <w:b/>
                <w:sz w:val="18"/>
              </w:rPr>
            </w:pPr>
            <w:r>
              <w:rPr>
                <w:b/>
                <w:sz w:val="18"/>
              </w:rPr>
              <w:t>Motorized</w:t>
            </w:r>
            <w:r>
              <w:rPr>
                <w:b/>
                <w:spacing w:val="-6"/>
                <w:sz w:val="18"/>
              </w:rPr>
              <w:t> </w:t>
            </w:r>
            <w:r>
              <w:rPr>
                <w:b/>
                <w:sz w:val="18"/>
              </w:rPr>
              <w:t>recreational</w:t>
            </w:r>
            <w:r>
              <w:rPr>
                <w:b/>
                <w:spacing w:val="-6"/>
                <w:sz w:val="18"/>
              </w:rPr>
              <w:t> </w:t>
            </w:r>
            <w:r>
              <w:rPr>
                <w:b/>
                <w:sz w:val="18"/>
              </w:rPr>
              <w:t>use,</w:t>
            </w:r>
            <w:r>
              <w:rPr>
                <w:b/>
                <w:spacing w:val="-7"/>
                <w:sz w:val="18"/>
              </w:rPr>
              <w:t> </w:t>
            </w:r>
            <w:r>
              <w:rPr>
                <w:b/>
                <w:sz w:val="18"/>
              </w:rPr>
              <w:t>winter,</w:t>
            </w:r>
            <w:r>
              <w:rPr>
                <w:b/>
                <w:spacing w:val="-5"/>
                <w:sz w:val="18"/>
              </w:rPr>
              <w:t> </w:t>
            </w:r>
            <w:r>
              <w:rPr>
                <w:b/>
                <w:sz w:val="18"/>
              </w:rPr>
              <w:t>trails</w:t>
            </w:r>
            <w:r>
              <w:rPr>
                <w:b/>
                <w:spacing w:val="-7"/>
                <w:sz w:val="18"/>
              </w:rPr>
              <w:t> </w:t>
            </w:r>
            <w:r>
              <w:rPr>
                <w:b/>
                <w:sz w:val="18"/>
              </w:rPr>
              <w:t>or</w:t>
            </w:r>
            <w:r>
              <w:rPr>
                <w:b/>
                <w:spacing w:val="-6"/>
                <w:sz w:val="18"/>
              </w:rPr>
              <w:t> </w:t>
            </w:r>
            <w:r>
              <w:rPr>
                <w:b/>
                <w:sz w:val="18"/>
              </w:rPr>
              <w:t>cross- </w:t>
            </w:r>
            <w:r>
              <w:rPr>
                <w:b/>
                <w:spacing w:val="-2"/>
                <w:sz w:val="18"/>
              </w:rPr>
              <w:t>country</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5" w:hRule="atLeast"/>
        </w:trPr>
        <w:tc>
          <w:tcPr>
            <w:tcW w:w="4656"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885" w:type="dxa"/>
            <w:tcBorders>
              <w:left w:val="nil"/>
              <w:right w:val="nil"/>
            </w:tcBorders>
          </w:tcPr>
          <w:p>
            <w:pPr>
              <w:pStyle w:val="TableParagraph"/>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spacing w:before="42"/>
              <w:ind w:left="107"/>
              <w:rPr>
                <w:b/>
                <w:sz w:val="18"/>
              </w:rPr>
            </w:pPr>
            <w:r>
              <w:rPr>
                <w:b/>
                <w:sz w:val="18"/>
              </w:rPr>
              <w:t>Special</w:t>
            </w:r>
            <w:r>
              <w:rPr>
                <w:b/>
                <w:spacing w:val="-3"/>
                <w:sz w:val="18"/>
              </w:rPr>
              <w:t> </w:t>
            </w:r>
            <w:r>
              <w:rPr>
                <w:b/>
                <w:sz w:val="18"/>
              </w:rPr>
              <w:t>use</w:t>
            </w:r>
            <w:r>
              <w:rPr>
                <w:b/>
                <w:spacing w:val="-2"/>
                <w:sz w:val="18"/>
              </w:rPr>
              <w:t> permits</w:t>
            </w:r>
          </w:p>
        </w:tc>
        <w:tc>
          <w:tcPr>
            <w:tcW w:w="1885" w:type="dxa"/>
            <w:tcBorders>
              <w:left w:val="nil"/>
              <w:right w:val="nil"/>
            </w:tcBorders>
          </w:tcPr>
          <w:p>
            <w:pPr>
              <w:pStyle w:val="TableParagraph"/>
              <w:spacing w:before="42"/>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right w:val="nil"/>
            </w:tcBorders>
          </w:tcPr>
          <w:p>
            <w:pPr>
              <w:pStyle w:val="TableParagraph"/>
              <w:spacing w:before="42"/>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1885" w:type="dxa"/>
            <w:tcBorders>
              <w:left w:val="nil"/>
              <w:right w:val="nil"/>
            </w:tcBorders>
          </w:tcPr>
          <w:p>
            <w:pPr>
              <w:pStyle w:val="TableParagraph"/>
              <w:spacing w:before="42"/>
              <w:ind w:left="55" w:right="1"/>
              <w:jc w:val="center"/>
              <w:rPr>
                <w:sz w:val="18"/>
              </w:rPr>
            </w:pPr>
            <w:r>
              <w:rPr>
                <w:spacing w:val="-10"/>
                <w:sz w:val="18"/>
              </w:rPr>
              <w:t>X</w:t>
            </w:r>
          </w:p>
        </w:tc>
        <w:tc>
          <w:tcPr>
            <w:tcW w:w="2008" w:type="dxa"/>
            <w:tcBorders>
              <w:left w:val="nil"/>
            </w:tcBorders>
          </w:tcPr>
          <w:p>
            <w:pPr>
              <w:pStyle w:val="TableParagraph"/>
              <w:spacing w:before="0"/>
              <w:rPr>
                <w:rFonts w:ascii="Times New Roman"/>
                <w:sz w:val="20"/>
              </w:rPr>
            </w:pPr>
          </w:p>
        </w:tc>
      </w:tr>
      <w:tr>
        <w:trPr>
          <w:trHeight w:val="318" w:hRule="atLeast"/>
        </w:trPr>
        <w:tc>
          <w:tcPr>
            <w:tcW w:w="4656" w:type="dxa"/>
            <w:tcBorders>
              <w:bottom w:val="single" w:sz="4" w:space="0" w:color="9BBA58"/>
              <w:right w:val="nil"/>
            </w:tcBorders>
          </w:tcPr>
          <w:p>
            <w:pPr>
              <w:pStyle w:val="TableParagraph"/>
              <w:ind w:left="107"/>
              <w:rPr>
                <w:b/>
                <w:sz w:val="18"/>
              </w:rPr>
            </w:pPr>
            <w:r>
              <w:rPr>
                <w:b/>
                <w:sz w:val="18"/>
              </w:rPr>
              <w:t>Timber</w:t>
            </w:r>
            <w:r>
              <w:rPr>
                <w:b/>
                <w:spacing w:val="-3"/>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1885" w:type="dxa"/>
            <w:tcBorders>
              <w:left w:val="nil"/>
              <w:bottom w:val="single" w:sz="4" w:space="0" w:color="9BBA58"/>
              <w:right w:val="nil"/>
            </w:tcBorders>
          </w:tcPr>
          <w:p>
            <w:pPr>
              <w:pStyle w:val="TableParagraph"/>
              <w:spacing w:before="0"/>
              <w:rPr>
                <w:rFonts w:ascii="Times New Roman"/>
                <w:sz w:val="20"/>
              </w:rPr>
            </w:pPr>
          </w:p>
        </w:tc>
        <w:tc>
          <w:tcPr>
            <w:tcW w:w="2008" w:type="dxa"/>
            <w:tcBorders>
              <w:left w:val="nil"/>
              <w:bottom w:val="single" w:sz="4" w:space="0" w:color="9BBA58"/>
            </w:tcBorders>
          </w:tcPr>
          <w:p>
            <w:pPr>
              <w:pStyle w:val="TableParagraph"/>
              <w:ind w:left="51" w:right="1"/>
              <w:jc w:val="center"/>
              <w:rPr>
                <w:sz w:val="18"/>
              </w:rPr>
            </w:pPr>
            <w:r>
              <w:rPr>
                <w:spacing w:val="-10"/>
                <w:sz w:val="18"/>
              </w:rPr>
              <w:t>X</w:t>
            </w:r>
          </w:p>
        </w:tc>
      </w:tr>
      <w:tr>
        <w:trPr>
          <w:trHeight w:val="318" w:hRule="atLeast"/>
        </w:trPr>
        <w:tc>
          <w:tcPr>
            <w:tcW w:w="4656" w:type="dxa"/>
            <w:tcBorders>
              <w:top w:val="single" w:sz="4" w:space="0" w:color="9BBA58"/>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1885" w:type="dxa"/>
            <w:tcBorders>
              <w:top w:val="single" w:sz="4" w:space="0" w:color="9BBA58"/>
              <w:left w:val="nil"/>
              <w:right w:val="nil"/>
            </w:tcBorders>
          </w:tcPr>
          <w:p>
            <w:pPr>
              <w:pStyle w:val="TableParagraph"/>
              <w:spacing w:before="0"/>
              <w:rPr>
                <w:rFonts w:ascii="Times New Roman"/>
                <w:sz w:val="20"/>
              </w:rPr>
            </w:pPr>
          </w:p>
        </w:tc>
        <w:tc>
          <w:tcPr>
            <w:tcW w:w="2008" w:type="dxa"/>
            <w:tcBorders>
              <w:top w:val="single" w:sz="4" w:space="0" w:color="9BBA58"/>
              <w:left w:val="nil"/>
            </w:tcBorders>
          </w:tcPr>
          <w:p>
            <w:pPr>
              <w:pStyle w:val="TableParagraph"/>
              <w:ind w:left="51" w:right="2"/>
              <w:jc w:val="center"/>
              <w:rPr>
                <w:sz w:val="18"/>
              </w:rPr>
            </w:pPr>
            <w:r>
              <w:rPr>
                <w:spacing w:val="-10"/>
                <w:sz w:val="18"/>
              </w:rPr>
              <w:t>X</w:t>
            </w:r>
          </w:p>
        </w:tc>
      </w:tr>
    </w:tbl>
    <w:p>
      <w:pPr>
        <w:spacing w:before="45"/>
        <w:ind w:left="1151" w:right="80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1151"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spacing w:before="177"/>
        <w:rPr>
          <w:rFonts w:ascii="Arial"/>
          <w:sz w:val="16"/>
        </w:rPr>
      </w:pPr>
    </w:p>
    <w:p>
      <w:pPr>
        <w:pStyle w:val="Heading3"/>
      </w:pPr>
      <w:bookmarkStart w:name="Backcountry (BC)" w:id="561"/>
      <w:bookmarkEnd w:id="561"/>
      <w:r>
        <w:rPr>
          <w:b w:val="0"/>
        </w:rPr>
      </w:r>
      <w:bookmarkStart w:name="_bookmark176" w:id="562"/>
      <w:bookmarkEnd w:id="562"/>
      <w:r>
        <w:rPr>
          <w:b w:val="0"/>
        </w:rPr>
      </w:r>
      <w:r>
        <w:rPr>
          <w:smallCaps/>
          <w:color w:val="475824"/>
        </w:rPr>
        <w:t>Backcountry</w:t>
      </w:r>
      <w:r>
        <w:rPr>
          <w:smallCaps/>
          <w:color w:val="475824"/>
          <w:spacing w:val="-14"/>
        </w:rPr>
        <w:t> </w:t>
      </w:r>
      <w:r>
        <w:rPr>
          <w:smallCaps/>
          <w:color w:val="475824"/>
          <w:spacing w:val="-4"/>
        </w:rPr>
        <w:t>(BC)</w:t>
      </w:r>
    </w:p>
    <w:p>
      <w:pPr>
        <w:pStyle w:val="BodyText"/>
        <w:spacing w:before="4"/>
        <w:rPr>
          <w:rFonts w:ascii="Arial"/>
          <w:b/>
          <w:sz w:val="8"/>
        </w:rPr>
      </w:pPr>
      <w:r>
        <w:rPr>
          <w:rFonts w:ascii="Arial"/>
          <w:b/>
          <w:sz w:val="8"/>
        </w:rPr>
        <mc:AlternateContent>
          <mc:Choice Requires="wps">
            <w:drawing>
              <wp:anchor distT="0" distB="0" distL="0" distR="0" allowOverlap="1" layoutInCell="1" locked="0" behindDoc="1" simplePos="0" relativeHeight="487622144">
                <wp:simplePos x="0" y="0"/>
                <wp:positionH relativeFrom="page">
                  <wp:posOffset>1627632</wp:posOffset>
                </wp:positionH>
                <wp:positionV relativeFrom="paragraph">
                  <wp:posOffset>76446</wp:posOffset>
                </wp:positionV>
                <wp:extent cx="5248910" cy="1610995"/>
                <wp:effectExtent l="0" t="0" r="0" b="0"/>
                <wp:wrapTopAndBottom/>
                <wp:docPr id="203" name="Textbox 203"/>
                <wp:cNvGraphicFramePr>
                  <a:graphicFrameLocks/>
                </wp:cNvGraphicFramePr>
                <a:graphic>
                  <a:graphicData uri="http://schemas.microsoft.com/office/word/2010/wordprocessingShape">
                    <wps:wsp>
                      <wps:cNvPr id="203" name="Textbox 203"/>
                      <wps:cNvSpPr txBox="1"/>
                      <wps:spPr>
                        <a:xfrm>
                          <a:off x="0" y="0"/>
                          <a:ext cx="5248910" cy="1610995"/>
                        </a:xfrm>
                        <a:prstGeom prst="rect">
                          <a:avLst/>
                        </a:prstGeom>
                        <a:solidFill>
                          <a:srgbClr val="DFDFDF"/>
                        </a:solidFill>
                      </wps:spPr>
                      <wps:txbx>
                        <w:txbxContent>
                          <w:p>
                            <w:pPr>
                              <w:pStyle w:val="BodyText"/>
                              <w:ind w:left="28"/>
                              <w:rPr>
                                <w:color w:val="000000"/>
                              </w:rPr>
                            </w:pPr>
                            <w:r>
                              <w:rPr>
                                <w:color w:val="000000"/>
                              </w:rPr>
                              <w:t>This section provides management direction for Backcountry Management Areas. Backcountry Management Areas emphasize summer and winter non-motorized recreation opportunities</w:t>
                            </w:r>
                            <w:r>
                              <w:rPr>
                                <w:color w:val="000000"/>
                                <w:spacing w:val="-2"/>
                              </w:rPr>
                              <w:t> </w:t>
                            </w:r>
                            <w:r>
                              <w:rPr>
                                <w:color w:val="000000"/>
                              </w:rPr>
                              <w:t>and</w:t>
                            </w:r>
                            <w:r>
                              <w:rPr>
                                <w:color w:val="000000"/>
                                <w:spacing w:val="-3"/>
                              </w:rPr>
                              <w:t> </w:t>
                            </w:r>
                            <w:r>
                              <w:rPr>
                                <w:color w:val="000000"/>
                              </w:rPr>
                              <w:t>can</w:t>
                            </w:r>
                            <w:r>
                              <w:rPr>
                                <w:color w:val="000000"/>
                                <w:spacing w:val="-3"/>
                              </w:rPr>
                              <w:t> </w:t>
                            </w:r>
                            <w:r>
                              <w:rPr>
                                <w:color w:val="000000"/>
                              </w:rPr>
                              <w:t>include</w:t>
                            </w:r>
                            <w:r>
                              <w:rPr>
                                <w:color w:val="000000"/>
                                <w:spacing w:val="-1"/>
                              </w:rPr>
                              <w:t> </w:t>
                            </w:r>
                            <w:r>
                              <w:rPr>
                                <w:color w:val="000000"/>
                              </w:rPr>
                              <w:t>foot,</w:t>
                            </w:r>
                            <w:r>
                              <w:rPr>
                                <w:color w:val="000000"/>
                                <w:spacing w:val="-4"/>
                              </w:rPr>
                              <w:t> </w:t>
                            </w:r>
                            <w:r>
                              <w:rPr>
                                <w:color w:val="000000"/>
                              </w:rPr>
                              <w:t>horse,</w:t>
                            </w:r>
                            <w:r>
                              <w:rPr>
                                <w:color w:val="000000"/>
                                <w:spacing w:val="-2"/>
                              </w:rPr>
                              <w:t> </w:t>
                            </w:r>
                            <w:r>
                              <w:rPr>
                                <w:color w:val="000000"/>
                              </w:rPr>
                              <w:t>and</w:t>
                            </w:r>
                            <w:r>
                              <w:rPr>
                                <w:color w:val="000000"/>
                                <w:spacing w:val="-5"/>
                              </w:rPr>
                              <w:t> </w:t>
                            </w:r>
                            <w:r>
                              <w:rPr>
                                <w:color w:val="000000"/>
                              </w:rPr>
                              <w:t>mechanized</w:t>
                            </w:r>
                            <w:r>
                              <w:rPr>
                                <w:color w:val="000000"/>
                                <w:spacing w:val="-3"/>
                              </w:rPr>
                              <w:t> </w:t>
                            </w:r>
                            <w:r>
                              <w:rPr>
                                <w:color w:val="000000"/>
                              </w:rPr>
                              <w:t>(e.g.,</w:t>
                            </w:r>
                            <w:r>
                              <w:rPr>
                                <w:color w:val="000000"/>
                                <w:spacing w:val="-2"/>
                              </w:rPr>
                              <w:t> </w:t>
                            </w:r>
                            <w:r>
                              <w:rPr>
                                <w:color w:val="000000"/>
                              </w:rPr>
                              <w:t>mountain</w:t>
                            </w:r>
                            <w:r>
                              <w:rPr>
                                <w:color w:val="000000"/>
                                <w:spacing w:val="-3"/>
                              </w:rPr>
                              <w:t> </w:t>
                            </w:r>
                            <w:r>
                              <w:rPr>
                                <w:color w:val="000000"/>
                              </w:rPr>
                              <w:t>bikes)</w:t>
                            </w:r>
                            <w:r>
                              <w:rPr>
                                <w:color w:val="000000"/>
                                <w:spacing w:val="-2"/>
                              </w:rPr>
                              <w:t> </w:t>
                            </w:r>
                            <w:r>
                              <w:rPr>
                                <w:color w:val="000000"/>
                              </w:rPr>
                              <w:t>modes</w:t>
                            </w:r>
                            <w:r>
                              <w:rPr>
                                <w:color w:val="000000"/>
                                <w:spacing w:val="-4"/>
                              </w:rPr>
                              <w:t> </w:t>
                            </w:r>
                            <w:r>
                              <w:rPr>
                                <w:color w:val="000000"/>
                              </w:rPr>
                              <w:t>of travel. Motorized recreation is not allowed in Backcountry Management Areas.</w:t>
                            </w:r>
                          </w:p>
                          <w:p>
                            <w:pPr>
                              <w:pStyle w:val="BodyText"/>
                              <w:spacing w:before="118"/>
                              <w:ind w:left="28" w:right="120"/>
                              <w:rPr>
                                <w:color w:val="000000"/>
                              </w:rPr>
                            </w:pPr>
                            <w:r>
                              <w:rPr>
                                <w:color w:val="000000"/>
                              </w:rPr>
                              <w:t>Backcountry</w:t>
                            </w:r>
                            <w:r>
                              <w:rPr>
                                <w:color w:val="000000"/>
                                <w:spacing w:val="-4"/>
                              </w:rPr>
                              <w:t> </w:t>
                            </w:r>
                            <w:r>
                              <w:rPr>
                                <w:color w:val="000000"/>
                              </w:rPr>
                              <w:t>Management</w:t>
                            </w:r>
                            <w:r>
                              <w:rPr>
                                <w:color w:val="000000"/>
                                <w:spacing w:val="-5"/>
                              </w:rPr>
                              <w:t> </w:t>
                            </w:r>
                            <w:r>
                              <w:rPr>
                                <w:color w:val="000000"/>
                              </w:rPr>
                              <w:t>Areas</w:t>
                            </w:r>
                            <w:r>
                              <w:rPr>
                                <w:color w:val="000000"/>
                                <w:spacing w:val="-3"/>
                              </w:rPr>
                              <w:t> </w:t>
                            </w:r>
                            <w:r>
                              <w:rPr>
                                <w:color w:val="000000"/>
                              </w:rPr>
                              <w:t>are</w:t>
                            </w:r>
                            <w:r>
                              <w:rPr>
                                <w:color w:val="000000"/>
                                <w:spacing w:val="-5"/>
                              </w:rPr>
                              <w:t> </w:t>
                            </w:r>
                            <w:r>
                              <w:rPr>
                                <w:color w:val="000000"/>
                              </w:rPr>
                              <w:t>spatially</w:t>
                            </w:r>
                            <w:r>
                              <w:rPr>
                                <w:color w:val="000000"/>
                                <w:spacing w:val="-2"/>
                              </w:rPr>
                              <w:t> </w:t>
                            </w:r>
                            <w:r>
                              <w:rPr>
                                <w:color w:val="000000"/>
                              </w:rPr>
                              <w:t>defined</w:t>
                            </w:r>
                            <w:r>
                              <w:rPr>
                                <w:color w:val="000000"/>
                                <w:spacing w:val="-6"/>
                              </w:rPr>
                              <w:t> </w:t>
                            </w:r>
                            <w:r>
                              <w:rPr>
                                <w:color w:val="000000"/>
                              </w:rPr>
                              <w:t>by</w:t>
                            </w:r>
                            <w:r>
                              <w:rPr>
                                <w:color w:val="000000"/>
                                <w:spacing w:val="-2"/>
                              </w:rPr>
                              <w:t> </w:t>
                            </w:r>
                            <w:r>
                              <w:rPr>
                                <w:color w:val="000000"/>
                              </w:rPr>
                              <w:t>the</w:t>
                            </w:r>
                            <w:r>
                              <w:rPr>
                                <w:color w:val="000000"/>
                                <w:spacing w:val="-2"/>
                              </w:rPr>
                              <w:t> </w:t>
                            </w:r>
                            <w:r>
                              <w:rPr>
                                <w:color w:val="000000"/>
                              </w:rPr>
                              <w:t>upper</w:t>
                            </w:r>
                            <w:r>
                              <w:rPr>
                                <w:color w:val="000000"/>
                                <w:spacing w:val="-5"/>
                              </w:rPr>
                              <w:t> </w:t>
                            </w:r>
                            <w:r>
                              <w:rPr>
                                <w:color w:val="000000"/>
                              </w:rPr>
                              <w:t>reaches</w:t>
                            </w:r>
                            <w:r>
                              <w:rPr>
                                <w:color w:val="000000"/>
                                <w:spacing w:val="-5"/>
                              </w:rPr>
                              <w:t> </w:t>
                            </w:r>
                            <w:r>
                              <w:rPr>
                                <w:color w:val="000000"/>
                              </w:rPr>
                              <w:t>of</w:t>
                            </w:r>
                            <w:r>
                              <w:rPr>
                                <w:color w:val="000000"/>
                                <w:spacing w:val="-3"/>
                              </w:rPr>
                              <w:t> </w:t>
                            </w:r>
                            <w:r>
                              <w:rPr>
                                <w:color w:val="000000"/>
                              </w:rPr>
                              <w:t>watersheds identified in the 2001 Roadless Area Conservation Rule Inventoried Roadless Areas maps, the roadless areas identified during the plan revision wilderness evaluation process, and include wildlife habitats such as grizzly bear recovery areas, deer/elk winter range, and threatened, endangered, and sensitive plant communities.</w:t>
                            </w:r>
                          </w:p>
                        </w:txbxContent>
                      </wps:txbx>
                      <wps:bodyPr wrap="square" lIns="0" tIns="0" rIns="0" bIns="0" rtlCol="0">
                        <a:noAutofit/>
                      </wps:bodyPr>
                    </wps:wsp>
                  </a:graphicData>
                </a:graphic>
              </wp:anchor>
            </w:drawing>
          </mc:Choice>
          <mc:Fallback>
            <w:pict>
              <v:shape style="position:absolute;margin-left:128.160004pt;margin-top:6.019444pt;width:413.3pt;height:126.85pt;mso-position-horizontal-relative:page;mso-position-vertical-relative:paragraph;z-index:-15694336;mso-wrap-distance-left:0;mso-wrap-distance-right:0" type="#_x0000_t202" id="docshape191" filled="true" fillcolor="#dfdfdf" stroked="false">
                <v:textbox inset="0,0,0,0">
                  <w:txbxContent>
                    <w:p>
                      <w:pPr>
                        <w:pStyle w:val="BodyText"/>
                        <w:ind w:left="28"/>
                        <w:rPr>
                          <w:color w:val="000000"/>
                        </w:rPr>
                      </w:pPr>
                      <w:r>
                        <w:rPr>
                          <w:color w:val="000000"/>
                        </w:rPr>
                        <w:t>This section provides management direction for Backcountry Management Areas. Backcountry Management Areas emphasize summer and winter non-motorized recreation opportunities</w:t>
                      </w:r>
                      <w:r>
                        <w:rPr>
                          <w:color w:val="000000"/>
                          <w:spacing w:val="-2"/>
                        </w:rPr>
                        <w:t> </w:t>
                      </w:r>
                      <w:r>
                        <w:rPr>
                          <w:color w:val="000000"/>
                        </w:rPr>
                        <w:t>and</w:t>
                      </w:r>
                      <w:r>
                        <w:rPr>
                          <w:color w:val="000000"/>
                          <w:spacing w:val="-3"/>
                        </w:rPr>
                        <w:t> </w:t>
                      </w:r>
                      <w:r>
                        <w:rPr>
                          <w:color w:val="000000"/>
                        </w:rPr>
                        <w:t>can</w:t>
                      </w:r>
                      <w:r>
                        <w:rPr>
                          <w:color w:val="000000"/>
                          <w:spacing w:val="-3"/>
                        </w:rPr>
                        <w:t> </w:t>
                      </w:r>
                      <w:r>
                        <w:rPr>
                          <w:color w:val="000000"/>
                        </w:rPr>
                        <w:t>include</w:t>
                      </w:r>
                      <w:r>
                        <w:rPr>
                          <w:color w:val="000000"/>
                          <w:spacing w:val="-1"/>
                        </w:rPr>
                        <w:t> </w:t>
                      </w:r>
                      <w:r>
                        <w:rPr>
                          <w:color w:val="000000"/>
                        </w:rPr>
                        <w:t>foot,</w:t>
                      </w:r>
                      <w:r>
                        <w:rPr>
                          <w:color w:val="000000"/>
                          <w:spacing w:val="-4"/>
                        </w:rPr>
                        <w:t> </w:t>
                      </w:r>
                      <w:r>
                        <w:rPr>
                          <w:color w:val="000000"/>
                        </w:rPr>
                        <w:t>horse,</w:t>
                      </w:r>
                      <w:r>
                        <w:rPr>
                          <w:color w:val="000000"/>
                          <w:spacing w:val="-2"/>
                        </w:rPr>
                        <w:t> </w:t>
                      </w:r>
                      <w:r>
                        <w:rPr>
                          <w:color w:val="000000"/>
                        </w:rPr>
                        <w:t>and</w:t>
                      </w:r>
                      <w:r>
                        <w:rPr>
                          <w:color w:val="000000"/>
                          <w:spacing w:val="-5"/>
                        </w:rPr>
                        <w:t> </w:t>
                      </w:r>
                      <w:r>
                        <w:rPr>
                          <w:color w:val="000000"/>
                        </w:rPr>
                        <w:t>mechanized</w:t>
                      </w:r>
                      <w:r>
                        <w:rPr>
                          <w:color w:val="000000"/>
                          <w:spacing w:val="-3"/>
                        </w:rPr>
                        <w:t> </w:t>
                      </w:r>
                      <w:r>
                        <w:rPr>
                          <w:color w:val="000000"/>
                        </w:rPr>
                        <w:t>(e.g.,</w:t>
                      </w:r>
                      <w:r>
                        <w:rPr>
                          <w:color w:val="000000"/>
                          <w:spacing w:val="-2"/>
                        </w:rPr>
                        <w:t> </w:t>
                      </w:r>
                      <w:r>
                        <w:rPr>
                          <w:color w:val="000000"/>
                        </w:rPr>
                        <w:t>mountain</w:t>
                      </w:r>
                      <w:r>
                        <w:rPr>
                          <w:color w:val="000000"/>
                          <w:spacing w:val="-3"/>
                        </w:rPr>
                        <w:t> </w:t>
                      </w:r>
                      <w:r>
                        <w:rPr>
                          <w:color w:val="000000"/>
                        </w:rPr>
                        <w:t>bikes)</w:t>
                      </w:r>
                      <w:r>
                        <w:rPr>
                          <w:color w:val="000000"/>
                          <w:spacing w:val="-2"/>
                        </w:rPr>
                        <w:t> </w:t>
                      </w:r>
                      <w:r>
                        <w:rPr>
                          <w:color w:val="000000"/>
                        </w:rPr>
                        <w:t>modes</w:t>
                      </w:r>
                      <w:r>
                        <w:rPr>
                          <w:color w:val="000000"/>
                          <w:spacing w:val="-4"/>
                        </w:rPr>
                        <w:t> </w:t>
                      </w:r>
                      <w:r>
                        <w:rPr>
                          <w:color w:val="000000"/>
                        </w:rPr>
                        <w:t>of travel. Motorized recreation is not allowed in Backcountry Management Areas.</w:t>
                      </w:r>
                    </w:p>
                    <w:p>
                      <w:pPr>
                        <w:pStyle w:val="BodyText"/>
                        <w:spacing w:before="118"/>
                        <w:ind w:left="28" w:right="120"/>
                        <w:rPr>
                          <w:color w:val="000000"/>
                        </w:rPr>
                      </w:pPr>
                      <w:r>
                        <w:rPr>
                          <w:color w:val="000000"/>
                        </w:rPr>
                        <w:t>Backcountry</w:t>
                      </w:r>
                      <w:r>
                        <w:rPr>
                          <w:color w:val="000000"/>
                          <w:spacing w:val="-4"/>
                        </w:rPr>
                        <w:t> </w:t>
                      </w:r>
                      <w:r>
                        <w:rPr>
                          <w:color w:val="000000"/>
                        </w:rPr>
                        <w:t>Management</w:t>
                      </w:r>
                      <w:r>
                        <w:rPr>
                          <w:color w:val="000000"/>
                          <w:spacing w:val="-5"/>
                        </w:rPr>
                        <w:t> </w:t>
                      </w:r>
                      <w:r>
                        <w:rPr>
                          <w:color w:val="000000"/>
                        </w:rPr>
                        <w:t>Areas</w:t>
                      </w:r>
                      <w:r>
                        <w:rPr>
                          <w:color w:val="000000"/>
                          <w:spacing w:val="-3"/>
                        </w:rPr>
                        <w:t> </w:t>
                      </w:r>
                      <w:r>
                        <w:rPr>
                          <w:color w:val="000000"/>
                        </w:rPr>
                        <w:t>are</w:t>
                      </w:r>
                      <w:r>
                        <w:rPr>
                          <w:color w:val="000000"/>
                          <w:spacing w:val="-5"/>
                        </w:rPr>
                        <w:t> </w:t>
                      </w:r>
                      <w:r>
                        <w:rPr>
                          <w:color w:val="000000"/>
                        </w:rPr>
                        <w:t>spatially</w:t>
                      </w:r>
                      <w:r>
                        <w:rPr>
                          <w:color w:val="000000"/>
                          <w:spacing w:val="-2"/>
                        </w:rPr>
                        <w:t> </w:t>
                      </w:r>
                      <w:r>
                        <w:rPr>
                          <w:color w:val="000000"/>
                        </w:rPr>
                        <w:t>defined</w:t>
                      </w:r>
                      <w:r>
                        <w:rPr>
                          <w:color w:val="000000"/>
                          <w:spacing w:val="-6"/>
                        </w:rPr>
                        <w:t> </w:t>
                      </w:r>
                      <w:r>
                        <w:rPr>
                          <w:color w:val="000000"/>
                        </w:rPr>
                        <w:t>by</w:t>
                      </w:r>
                      <w:r>
                        <w:rPr>
                          <w:color w:val="000000"/>
                          <w:spacing w:val="-2"/>
                        </w:rPr>
                        <w:t> </w:t>
                      </w:r>
                      <w:r>
                        <w:rPr>
                          <w:color w:val="000000"/>
                        </w:rPr>
                        <w:t>the</w:t>
                      </w:r>
                      <w:r>
                        <w:rPr>
                          <w:color w:val="000000"/>
                          <w:spacing w:val="-2"/>
                        </w:rPr>
                        <w:t> </w:t>
                      </w:r>
                      <w:r>
                        <w:rPr>
                          <w:color w:val="000000"/>
                        </w:rPr>
                        <w:t>upper</w:t>
                      </w:r>
                      <w:r>
                        <w:rPr>
                          <w:color w:val="000000"/>
                          <w:spacing w:val="-5"/>
                        </w:rPr>
                        <w:t> </w:t>
                      </w:r>
                      <w:r>
                        <w:rPr>
                          <w:color w:val="000000"/>
                        </w:rPr>
                        <w:t>reaches</w:t>
                      </w:r>
                      <w:r>
                        <w:rPr>
                          <w:color w:val="000000"/>
                          <w:spacing w:val="-5"/>
                        </w:rPr>
                        <w:t> </w:t>
                      </w:r>
                      <w:r>
                        <w:rPr>
                          <w:color w:val="000000"/>
                        </w:rPr>
                        <w:t>of</w:t>
                      </w:r>
                      <w:r>
                        <w:rPr>
                          <w:color w:val="000000"/>
                          <w:spacing w:val="-3"/>
                        </w:rPr>
                        <w:t> </w:t>
                      </w:r>
                      <w:r>
                        <w:rPr>
                          <w:color w:val="000000"/>
                        </w:rPr>
                        <w:t>watersheds identified in the 2001 Roadless Area Conservation Rule Inventoried Roadless Areas maps, the roadless areas identified during the plan revision wilderness evaluation process, and include wildlife habitats such as grizzly bear recovery areas, deer/elk winter range, and threatened, endangered, and sensitive plant communities.</w:t>
                      </w:r>
                    </w:p>
                  </w:txbxContent>
                </v:textbox>
                <v:fill type="solid"/>
                <w10:wrap type="topAndBottom"/>
              </v:shape>
            </w:pict>
          </mc:Fallback>
        </mc:AlternateContent>
      </w:r>
    </w:p>
    <w:p>
      <w:pPr>
        <w:pStyle w:val="Heading4"/>
        <w:spacing w:before="240"/>
        <w:ind w:left="1151"/>
      </w:pPr>
      <w:bookmarkStart w:name="Desired Conditions" w:id="563"/>
      <w:bookmarkEnd w:id="563"/>
      <w:r>
        <w:rPr/>
      </w:r>
      <w:bookmarkStart w:name="_bookmark177" w:id="564"/>
      <w:bookmarkEnd w:id="564"/>
      <w:r>
        <w:rPr/>
      </w:r>
      <w:r>
        <w:rPr/>
        <w:t>Desired</w:t>
      </w:r>
      <w:r>
        <w:rPr>
          <w:spacing w:val="-4"/>
        </w:rPr>
        <w:t> </w:t>
      </w:r>
      <w:r>
        <w:rPr>
          <w:spacing w:val="-2"/>
        </w:rPr>
        <w:t>Conditions</w:t>
      </w:r>
    </w:p>
    <w:p>
      <w:pPr>
        <w:spacing w:before="240"/>
        <w:ind w:left="1151" w:right="0" w:firstLine="0"/>
        <w:jc w:val="left"/>
        <w:rPr>
          <w:rFonts w:ascii="Arial"/>
          <w:i/>
          <w:sz w:val="22"/>
        </w:rPr>
      </w:pPr>
      <w:bookmarkStart w:name="MA-DC-BC-01. Vegetation" w:id="565"/>
      <w:bookmarkEnd w:id="565"/>
      <w:r>
        <w:rPr/>
      </w:r>
      <w:r>
        <w:rPr>
          <w:rFonts w:ascii="Arial"/>
          <w:i/>
          <w:sz w:val="22"/>
        </w:rPr>
        <w:t>MA-DC-BC-01.</w:t>
      </w:r>
      <w:r>
        <w:rPr>
          <w:rFonts w:ascii="Arial"/>
          <w:i/>
          <w:spacing w:val="-9"/>
          <w:sz w:val="22"/>
        </w:rPr>
        <w:t> </w:t>
      </w:r>
      <w:r>
        <w:rPr>
          <w:rFonts w:ascii="Arial"/>
          <w:i/>
          <w:spacing w:val="-2"/>
          <w:sz w:val="22"/>
        </w:rPr>
        <w:t>Vegetation</w:t>
      </w:r>
    </w:p>
    <w:p>
      <w:pPr>
        <w:pStyle w:val="BodyText"/>
        <w:spacing w:line="232" w:lineRule="auto" w:before="64"/>
        <w:ind w:left="1151" w:right="742"/>
      </w:pPr>
      <w:r>
        <w:rPr/>
        <w:t>The landscape is natural-appearing. It contributes to the variety of native plant communities and</w:t>
      </w:r>
      <w:r>
        <w:rPr>
          <w:spacing w:val="-1"/>
        </w:rPr>
        <w:t> </w:t>
      </w:r>
      <w:r>
        <w:rPr/>
        <w:t>the structure</w:t>
      </w:r>
      <w:r>
        <w:rPr>
          <w:spacing w:val="-2"/>
        </w:rPr>
        <w:t> </w:t>
      </w:r>
      <w:r>
        <w:rPr/>
        <w:t>as defined</w:t>
      </w:r>
      <w:r>
        <w:rPr>
          <w:spacing w:val="-1"/>
        </w:rPr>
        <w:t> </w:t>
      </w:r>
      <w:r>
        <w:rPr/>
        <w:t>in</w:t>
      </w:r>
      <w:r>
        <w:rPr>
          <w:spacing w:val="-1"/>
        </w:rPr>
        <w:t> </w:t>
      </w:r>
      <w:r>
        <w:rPr/>
        <w:t>desired</w:t>
      </w:r>
      <w:r>
        <w:rPr>
          <w:spacing w:val="-1"/>
        </w:rPr>
        <w:t> </w:t>
      </w:r>
      <w:r>
        <w:rPr/>
        <w:t>conditions</w:t>
      </w:r>
      <w:r>
        <w:rPr>
          <w:spacing w:val="-2"/>
        </w:rPr>
        <w:t> </w:t>
      </w:r>
      <w:r>
        <w:rPr/>
        <w:t>for</w:t>
      </w:r>
      <w:r>
        <w:rPr>
          <w:spacing w:val="-5"/>
        </w:rPr>
        <w:t> </w:t>
      </w:r>
      <w:r>
        <w:rPr/>
        <w:t>vegetation, aquatic,</w:t>
      </w:r>
      <w:r>
        <w:rPr>
          <w:spacing w:val="-2"/>
        </w:rPr>
        <w:t> </w:t>
      </w:r>
      <w:r>
        <w:rPr/>
        <w:t>and</w:t>
      </w:r>
      <w:r>
        <w:rPr>
          <w:spacing w:val="-1"/>
        </w:rPr>
        <w:t> </w:t>
      </w:r>
      <w:r>
        <w:rPr/>
        <w:t>wildlife habitats. The desired conditions for vegetation are achieved through a combination of ecological processes</w:t>
      </w:r>
      <w:r>
        <w:rPr>
          <w:spacing w:val="-8"/>
        </w:rPr>
        <w:t> </w:t>
      </w:r>
      <w:r>
        <w:rPr/>
        <w:t>and</w:t>
      </w:r>
      <w:r>
        <w:rPr>
          <w:spacing w:val="-8"/>
        </w:rPr>
        <w:t> </w:t>
      </w:r>
      <w:r>
        <w:rPr/>
        <w:t>management</w:t>
      </w:r>
      <w:r>
        <w:rPr>
          <w:spacing w:val="-5"/>
        </w:rPr>
        <w:t> </w:t>
      </w:r>
      <w:r>
        <w:rPr/>
        <w:t>activities.</w:t>
      </w:r>
      <w:r>
        <w:rPr>
          <w:spacing w:val="-8"/>
        </w:rPr>
        <w:t> </w:t>
      </w:r>
      <w:r>
        <w:rPr/>
        <w:t>While</w:t>
      </w:r>
      <w:r>
        <w:rPr>
          <w:spacing w:val="-8"/>
        </w:rPr>
        <w:t> </w:t>
      </w:r>
      <w:r>
        <w:rPr/>
        <w:t>the</w:t>
      </w:r>
      <w:r>
        <w:rPr>
          <w:spacing w:val="-5"/>
        </w:rPr>
        <w:t> </w:t>
      </w:r>
      <w:r>
        <w:rPr/>
        <w:t>landscape</w:t>
      </w:r>
      <w:r>
        <w:rPr>
          <w:spacing w:val="-5"/>
        </w:rPr>
        <w:t> </w:t>
      </w:r>
      <w:r>
        <w:rPr/>
        <w:t>is</w:t>
      </w:r>
      <w:r>
        <w:rPr>
          <w:spacing w:val="-6"/>
        </w:rPr>
        <w:t> </w:t>
      </w:r>
      <w:r>
        <w:rPr/>
        <w:t>predominantly</w:t>
      </w:r>
      <w:r>
        <w:rPr>
          <w:spacing w:val="-5"/>
        </w:rPr>
        <w:t> </w:t>
      </w:r>
      <w:r>
        <w:rPr/>
        <w:t>natural-appearing, a few locations have a vegetation structure that is altered to contribute to the recreational setting such as openings created and retained for scenic views. The scenic integrity objective is </w:t>
      </w:r>
      <w:r>
        <w:rPr>
          <w:spacing w:val="-2"/>
        </w:rPr>
        <w:t>high.</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DC-BC-02. Habitat" w:id="566"/>
      <w:bookmarkEnd w:id="566"/>
      <w:r>
        <w:rPr/>
      </w:r>
      <w:r>
        <w:rPr>
          <w:rFonts w:ascii="Arial"/>
          <w:i/>
          <w:sz w:val="22"/>
        </w:rPr>
        <w:t>MA-DC-BC-02.</w:t>
      </w:r>
      <w:r>
        <w:rPr>
          <w:rFonts w:ascii="Arial"/>
          <w:i/>
          <w:spacing w:val="-9"/>
          <w:sz w:val="22"/>
        </w:rPr>
        <w:t> </w:t>
      </w:r>
      <w:r>
        <w:rPr>
          <w:rFonts w:ascii="Arial"/>
          <w:i/>
          <w:spacing w:val="-2"/>
          <w:sz w:val="22"/>
        </w:rPr>
        <w:t>Habitat</w:t>
      </w:r>
    </w:p>
    <w:p>
      <w:pPr>
        <w:pStyle w:val="BodyText"/>
        <w:spacing w:line="232" w:lineRule="auto" w:before="65"/>
        <w:ind w:left="359" w:right="1621"/>
      </w:pPr>
      <w:r>
        <w:rPr/>
        <w:t>These areas contribute to preserving natural behaviors and processes that sustain wildlife populations,</w:t>
      </w:r>
      <w:r>
        <w:rPr>
          <w:spacing w:val="-7"/>
        </w:rPr>
        <w:t> </w:t>
      </w:r>
      <w:r>
        <w:rPr/>
        <w:t>provide</w:t>
      </w:r>
      <w:r>
        <w:rPr>
          <w:spacing w:val="-6"/>
        </w:rPr>
        <w:t> </w:t>
      </w:r>
      <w:r>
        <w:rPr/>
        <w:t>connectivity</w:t>
      </w:r>
      <w:r>
        <w:rPr>
          <w:spacing w:val="-6"/>
        </w:rPr>
        <w:t> </w:t>
      </w:r>
      <w:r>
        <w:rPr/>
        <w:t>and</w:t>
      </w:r>
      <w:r>
        <w:rPr>
          <w:spacing w:val="-8"/>
        </w:rPr>
        <w:t> </w:t>
      </w:r>
      <w:r>
        <w:rPr/>
        <w:t>contribute</w:t>
      </w:r>
      <w:r>
        <w:rPr>
          <w:spacing w:val="-6"/>
        </w:rPr>
        <w:t> </w:t>
      </w:r>
      <w:r>
        <w:rPr/>
        <w:t>aquatic,</w:t>
      </w:r>
      <w:r>
        <w:rPr>
          <w:spacing w:val="-7"/>
        </w:rPr>
        <w:t> </w:t>
      </w:r>
      <w:r>
        <w:rPr/>
        <w:t>plant,</w:t>
      </w:r>
      <w:r>
        <w:rPr>
          <w:spacing w:val="-7"/>
        </w:rPr>
        <w:t> </w:t>
      </w:r>
      <w:r>
        <w:rPr/>
        <w:t>and</w:t>
      </w:r>
      <w:r>
        <w:rPr>
          <w:spacing w:val="-10"/>
        </w:rPr>
        <w:t> </w:t>
      </w:r>
      <w:r>
        <w:rPr/>
        <w:t>wildlife</w:t>
      </w:r>
      <w:r>
        <w:rPr>
          <w:spacing w:val="-6"/>
        </w:rPr>
        <w:t> </w:t>
      </w:r>
      <w:r>
        <w:rPr/>
        <w:t>habitat</w:t>
      </w:r>
      <w:r>
        <w:rPr>
          <w:spacing w:val="-6"/>
        </w:rPr>
        <w:t> </w:t>
      </w:r>
      <w:r>
        <w:rPr/>
        <w:t>conditions for species that benefit from low human use (these areas provide a high level of habitat </w:t>
      </w:r>
      <w:r>
        <w:rPr>
          <w:spacing w:val="-2"/>
        </w:rPr>
        <w:t>effectiveness).</w:t>
      </w:r>
    </w:p>
    <w:p>
      <w:pPr>
        <w:spacing w:before="234"/>
        <w:ind w:left="359" w:right="0" w:firstLine="0"/>
        <w:jc w:val="left"/>
        <w:rPr>
          <w:rFonts w:ascii="Arial"/>
          <w:i/>
          <w:sz w:val="22"/>
        </w:rPr>
      </w:pPr>
      <w:bookmarkStart w:name="MA-DC-BC-03. Recreation Setting and Acti" w:id="567"/>
      <w:bookmarkEnd w:id="567"/>
      <w:r>
        <w:rPr/>
      </w:r>
      <w:r>
        <w:rPr>
          <w:rFonts w:ascii="Arial"/>
          <w:i/>
          <w:sz w:val="22"/>
        </w:rPr>
        <w:t>MA-DC-BC-03.</w:t>
      </w:r>
      <w:r>
        <w:rPr>
          <w:rFonts w:ascii="Arial"/>
          <w:i/>
          <w:spacing w:val="-6"/>
          <w:sz w:val="22"/>
        </w:rPr>
        <w:t> </w:t>
      </w:r>
      <w:r>
        <w:rPr>
          <w:rFonts w:ascii="Arial"/>
          <w:i/>
          <w:sz w:val="22"/>
        </w:rPr>
        <w:t>Recreation</w:t>
      </w:r>
      <w:r>
        <w:rPr>
          <w:rFonts w:ascii="Arial"/>
          <w:i/>
          <w:spacing w:val="-7"/>
          <w:sz w:val="22"/>
        </w:rPr>
        <w:t> </w:t>
      </w:r>
      <w:r>
        <w:rPr>
          <w:rFonts w:ascii="Arial"/>
          <w:i/>
          <w:sz w:val="22"/>
        </w:rPr>
        <w:t>Setting</w:t>
      </w:r>
      <w:r>
        <w:rPr>
          <w:rFonts w:ascii="Arial"/>
          <w:i/>
          <w:spacing w:val="-8"/>
          <w:sz w:val="22"/>
        </w:rPr>
        <w:t> </w:t>
      </w:r>
      <w:r>
        <w:rPr>
          <w:rFonts w:ascii="Arial"/>
          <w:i/>
          <w:sz w:val="22"/>
        </w:rPr>
        <w:t>and</w:t>
      </w:r>
      <w:r>
        <w:rPr>
          <w:rFonts w:ascii="Arial"/>
          <w:i/>
          <w:spacing w:val="-7"/>
          <w:sz w:val="22"/>
        </w:rPr>
        <w:t> </w:t>
      </w:r>
      <w:r>
        <w:rPr>
          <w:rFonts w:ascii="Arial"/>
          <w:i/>
          <w:spacing w:val="-2"/>
          <w:sz w:val="22"/>
        </w:rPr>
        <w:t>Activities</w:t>
      </w:r>
    </w:p>
    <w:p>
      <w:pPr>
        <w:pStyle w:val="BodyText"/>
        <w:spacing w:line="232" w:lineRule="auto" w:before="65"/>
        <w:ind w:left="359" w:right="1516"/>
      </w:pPr>
      <w:r>
        <w:rPr/>
        <w:t>These</w:t>
      </w:r>
      <w:r>
        <w:rPr>
          <w:spacing w:val="-5"/>
        </w:rPr>
        <w:t> </w:t>
      </w:r>
      <w:r>
        <w:rPr/>
        <w:t>areas</w:t>
      </w:r>
      <w:r>
        <w:rPr>
          <w:spacing w:val="-8"/>
        </w:rPr>
        <w:t> </w:t>
      </w:r>
      <w:r>
        <w:rPr/>
        <w:t>display</w:t>
      </w:r>
      <w:r>
        <w:rPr>
          <w:spacing w:val="-5"/>
        </w:rPr>
        <w:t> </w:t>
      </w:r>
      <w:r>
        <w:rPr/>
        <w:t>natural</w:t>
      </w:r>
      <w:r>
        <w:rPr>
          <w:spacing w:val="-9"/>
        </w:rPr>
        <w:t> </w:t>
      </w:r>
      <w:r>
        <w:rPr/>
        <w:t>landscapes</w:t>
      </w:r>
      <w:r>
        <w:rPr>
          <w:spacing w:val="-6"/>
        </w:rPr>
        <w:t> </w:t>
      </w:r>
      <w:r>
        <w:rPr/>
        <w:t>where</w:t>
      </w:r>
      <w:r>
        <w:rPr>
          <w:spacing w:val="-5"/>
        </w:rPr>
        <w:t> </w:t>
      </w:r>
      <w:r>
        <w:rPr/>
        <w:t>generally</w:t>
      </w:r>
      <w:r>
        <w:rPr>
          <w:spacing w:val="-5"/>
        </w:rPr>
        <w:t> </w:t>
      </w:r>
      <w:r>
        <w:rPr/>
        <w:t>only</w:t>
      </w:r>
      <w:r>
        <w:rPr>
          <w:spacing w:val="-5"/>
        </w:rPr>
        <w:t> </w:t>
      </w:r>
      <w:r>
        <w:rPr/>
        <w:t>ecological</w:t>
      </w:r>
      <w:r>
        <w:rPr>
          <w:spacing w:val="-6"/>
        </w:rPr>
        <w:t> </w:t>
      </w:r>
      <w:r>
        <w:rPr/>
        <w:t>changes</w:t>
      </w:r>
      <w:r>
        <w:rPr>
          <w:spacing w:val="-8"/>
        </w:rPr>
        <w:t> </w:t>
      </w:r>
      <w:r>
        <w:rPr/>
        <w:t>occur</w:t>
      </w:r>
      <w:r>
        <w:rPr>
          <w:spacing w:val="-6"/>
        </w:rPr>
        <w:t> </w:t>
      </w:r>
      <w:r>
        <w:rPr/>
        <w:t>(very</w:t>
      </w:r>
      <w:r>
        <w:rPr>
          <w:spacing w:val="-5"/>
        </w:rPr>
        <w:t> </w:t>
      </w:r>
      <w:r>
        <w:rPr/>
        <w:t>high scenic integrity) and provide primitive or semi-primitive non-motorized recreation opportunities. They provide an unroaded setting for a variety of summer and winter recreational opportunities. Seasonal use restrictions occur for the purpose of resource protection and recreation management. Human-caused changes from management actions related to recreation are limited in scale, generally not visibly evident, and reflect a semi- primitive non-motorized recreational opportunity setting.</w:t>
      </w:r>
    </w:p>
    <w:p>
      <w:pPr>
        <w:spacing w:before="233"/>
        <w:ind w:left="359" w:right="0" w:firstLine="0"/>
        <w:jc w:val="left"/>
        <w:rPr>
          <w:rFonts w:ascii="Arial"/>
          <w:i/>
          <w:sz w:val="22"/>
        </w:rPr>
      </w:pPr>
      <w:bookmarkStart w:name="MA-DC-BC-04. Developments and Improvemen" w:id="568"/>
      <w:bookmarkEnd w:id="568"/>
      <w:r>
        <w:rPr/>
      </w:r>
      <w:r>
        <w:rPr>
          <w:rFonts w:ascii="Arial"/>
          <w:i/>
          <w:sz w:val="22"/>
        </w:rPr>
        <w:t>MA-DC-BC-04.</w:t>
      </w:r>
      <w:r>
        <w:rPr>
          <w:rFonts w:ascii="Arial"/>
          <w:i/>
          <w:spacing w:val="-7"/>
          <w:sz w:val="22"/>
        </w:rPr>
        <w:t> </w:t>
      </w:r>
      <w:r>
        <w:rPr>
          <w:rFonts w:ascii="Arial"/>
          <w:i/>
          <w:sz w:val="22"/>
        </w:rPr>
        <w:t>Developments</w:t>
      </w:r>
      <w:r>
        <w:rPr>
          <w:rFonts w:ascii="Arial"/>
          <w:i/>
          <w:spacing w:val="-10"/>
          <w:sz w:val="22"/>
        </w:rPr>
        <w:t> </w:t>
      </w:r>
      <w:r>
        <w:rPr>
          <w:rFonts w:ascii="Arial"/>
          <w:i/>
          <w:sz w:val="22"/>
        </w:rPr>
        <w:t>and</w:t>
      </w:r>
      <w:r>
        <w:rPr>
          <w:rFonts w:ascii="Arial"/>
          <w:i/>
          <w:spacing w:val="-9"/>
          <w:sz w:val="22"/>
        </w:rPr>
        <w:t> </w:t>
      </w:r>
      <w:r>
        <w:rPr>
          <w:rFonts w:ascii="Arial"/>
          <w:i/>
          <w:spacing w:val="-2"/>
          <w:sz w:val="22"/>
        </w:rPr>
        <w:t>Improvements</w:t>
      </w:r>
    </w:p>
    <w:p>
      <w:pPr>
        <w:pStyle w:val="BodyText"/>
        <w:spacing w:line="232" w:lineRule="auto" w:before="64"/>
        <w:ind w:left="359" w:right="1516"/>
      </w:pPr>
      <w:r>
        <w:rPr/>
        <w:t>Facilities (whether Forest Service or under permit) are those necessary to protect resources, provide</w:t>
      </w:r>
      <w:r>
        <w:rPr>
          <w:spacing w:val="-7"/>
        </w:rPr>
        <w:t> </w:t>
      </w:r>
      <w:r>
        <w:rPr/>
        <w:t>for</w:t>
      </w:r>
      <w:r>
        <w:rPr>
          <w:spacing w:val="-10"/>
        </w:rPr>
        <w:t> </w:t>
      </w:r>
      <w:r>
        <w:rPr/>
        <w:t>safety,</w:t>
      </w:r>
      <w:r>
        <w:rPr>
          <w:spacing w:val="-8"/>
        </w:rPr>
        <w:t> </w:t>
      </w:r>
      <w:r>
        <w:rPr/>
        <w:t>public</w:t>
      </w:r>
      <w:r>
        <w:rPr>
          <w:spacing w:val="-8"/>
        </w:rPr>
        <w:t> </w:t>
      </w:r>
      <w:r>
        <w:rPr/>
        <w:t>benefit,</w:t>
      </w:r>
      <w:r>
        <w:rPr>
          <w:spacing w:val="-10"/>
        </w:rPr>
        <w:t> </w:t>
      </w:r>
      <w:r>
        <w:rPr/>
        <w:t>or</w:t>
      </w:r>
      <w:r>
        <w:rPr>
          <w:spacing w:val="-8"/>
        </w:rPr>
        <w:t> </w:t>
      </w:r>
      <w:r>
        <w:rPr/>
        <w:t>to</w:t>
      </w:r>
      <w:r>
        <w:rPr>
          <w:spacing w:val="-9"/>
        </w:rPr>
        <w:t> </w:t>
      </w:r>
      <w:r>
        <w:rPr/>
        <w:t>enhance</w:t>
      </w:r>
      <w:r>
        <w:rPr>
          <w:spacing w:val="-7"/>
        </w:rPr>
        <w:t> </w:t>
      </w:r>
      <w:r>
        <w:rPr/>
        <w:t>semi-primitive</w:t>
      </w:r>
      <w:r>
        <w:rPr>
          <w:spacing w:val="-7"/>
        </w:rPr>
        <w:t> </w:t>
      </w:r>
      <w:r>
        <w:rPr/>
        <w:t>recreation</w:t>
      </w:r>
      <w:r>
        <w:rPr>
          <w:spacing w:val="-11"/>
        </w:rPr>
        <w:t> </w:t>
      </w:r>
      <w:r>
        <w:rPr/>
        <w:t>experiences.</w:t>
      </w:r>
      <w:r>
        <w:rPr>
          <w:spacing w:val="-8"/>
        </w:rPr>
        <w:t> </w:t>
      </w:r>
      <w:r>
        <w:rPr/>
        <w:t>Facilities are few and include such things as fire lookouts, radio repeaters, administrative buildings, trailheads,</w:t>
      </w:r>
      <w:r>
        <w:rPr>
          <w:spacing w:val="-6"/>
        </w:rPr>
        <w:t> </w:t>
      </w:r>
      <w:r>
        <w:rPr/>
        <w:t>trails,</w:t>
      </w:r>
      <w:r>
        <w:rPr>
          <w:spacing w:val="-8"/>
        </w:rPr>
        <w:t> </w:t>
      </w:r>
      <w:r>
        <w:rPr/>
        <w:t>signs,</w:t>
      </w:r>
      <w:r>
        <w:rPr>
          <w:spacing w:val="-6"/>
        </w:rPr>
        <w:t> </w:t>
      </w:r>
      <w:r>
        <w:rPr/>
        <w:t>bridges,</w:t>
      </w:r>
      <w:r>
        <w:rPr>
          <w:spacing w:val="-6"/>
        </w:rPr>
        <w:t> </w:t>
      </w:r>
      <w:r>
        <w:rPr/>
        <w:t>and</w:t>
      </w:r>
      <w:r>
        <w:rPr>
          <w:spacing w:val="-7"/>
        </w:rPr>
        <w:t> </w:t>
      </w:r>
      <w:r>
        <w:rPr/>
        <w:t>shelters</w:t>
      </w:r>
      <w:r>
        <w:rPr>
          <w:spacing w:val="-6"/>
        </w:rPr>
        <w:t> </w:t>
      </w:r>
      <w:r>
        <w:rPr/>
        <w:t>(see</w:t>
      </w:r>
      <w:r>
        <w:rPr>
          <w:spacing w:val="-6"/>
        </w:rPr>
        <w:t> </w:t>
      </w:r>
      <w:r>
        <w:rPr/>
        <w:t>direction</w:t>
      </w:r>
      <w:r>
        <w:rPr>
          <w:spacing w:val="-7"/>
        </w:rPr>
        <w:t> </w:t>
      </w:r>
      <w:r>
        <w:rPr/>
        <w:t>under</w:t>
      </w:r>
      <w:r>
        <w:rPr>
          <w:spacing w:val="-6"/>
        </w:rPr>
        <w:t> </w:t>
      </w:r>
      <w:r>
        <w:rPr/>
        <w:t>Administrative</w:t>
      </w:r>
      <w:r>
        <w:rPr>
          <w:spacing w:val="-6"/>
        </w:rPr>
        <w:t> </w:t>
      </w:r>
      <w:r>
        <w:rPr/>
        <w:t>and</w:t>
      </w:r>
      <w:r>
        <w:rPr>
          <w:spacing w:val="-7"/>
        </w:rPr>
        <w:t> </w:t>
      </w:r>
      <w:r>
        <w:rPr/>
        <w:t>Recreation Sites Management Area) as well as facilities needed for resource protection such as toilets, stock containment systems, fences, or water developments.</w:t>
      </w:r>
    </w:p>
    <w:p>
      <w:pPr>
        <w:spacing w:before="232"/>
        <w:ind w:left="359" w:right="0" w:firstLine="0"/>
        <w:jc w:val="left"/>
        <w:rPr>
          <w:rFonts w:ascii="Arial"/>
          <w:i/>
          <w:sz w:val="22"/>
        </w:rPr>
      </w:pPr>
      <w:bookmarkStart w:name="MA-DC-BC-05. Travelways, Roads" w:id="569"/>
      <w:bookmarkEnd w:id="569"/>
      <w:r>
        <w:rPr/>
      </w:r>
      <w:r>
        <w:rPr>
          <w:rFonts w:ascii="Arial"/>
          <w:i/>
          <w:sz w:val="22"/>
        </w:rPr>
        <w:t>MA-DC-BC-05.</w:t>
      </w:r>
      <w:r>
        <w:rPr>
          <w:rFonts w:ascii="Arial"/>
          <w:i/>
          <w:spacing w:val="-8"/>
          <w:sz w:val="22"/>
        </w:rPr>
        <w:t> </w:t>
      </w:r>
      <w:r>
        <w:rPr>
          <w:rFonts w:ascii="Arial"/>
          <w:i/>
          <w:sz w:val="22"/>
        </w:rPr>
        <w:t>Travelways,</w:t>
      </w:r>
      <w:r>
        <w:rPr>
          <w:rFonts w:ascii="Arial"/>
          <w:i/>
          <w:spacing w:val="-8"/>
          <w:sz w:val="22"/>
        </w:rPr>
        <w:t> </w:t>
      </w:r>
      <w:r>
        <w:rPr>
          <w:rFonts w:ascii="Arial"/>
          <w:i/>
          <w:spacing w:val="-2"/>
          <w:sz w:val="22"/>
        </w:rPr>
        <w:t>Roads</w:t>
      </w:r>
    </w:p>
    <w:p>
      <w:pPr>
        <w:pStyle w:val="BodyText"/>
        <w:spacing w:before="58"/>
        <w:ind w:left="359"/>
      </w:pPr>
      <w:r>
        <w:rPr/>
        <w:t>There</w:t>
      </w:r>
      <w:r>
        <w:rPr>
          <w:spacing w:val="-12"/>
        </w:rPr>
        <w:t> </w:t>
      </w:r>
      <w:r>
        <w:rPr/>
        <w:t>are</w:t>
      </w:r>
      <w:r>
        <w:rPr>
          <w:spacing w:val="-6"/>
        </w:rPr>
        <w:t> </w:t>
      </w:r>
      <w:r>
        <w:rPr/>
        <w:t>no</w:t>
      </w:r>
      <w:r>
        <w:rPr>
          <w:spacing w:val="-7"/>
        </w:rPr>
        <w:t> </w:t>
      </w:r>
      <w:r>
        <w:rPr/>
        <w:t>National</w:t>
      </w:r>
      <w:r>
        <w:rPr>
          <w:spacing w:val="-7"/>
        </w:rPr>
        <w:t> </w:t>
      </w:r>
      <w:r>
        <w:rPr/>
        <w:t>Forest</w:t>
      </w:r>
      <w:r>
        <w:rPr>
          <w:spacing w:val="-7"/>
        </w:rPr>
        <w:t> </w:t>
      </w:r>
      <w:r>
        <w:rPr/>
        <w:t>System</w:t>
      </w:r>
      <w:r>
        <w:rPr>
          <w:spacing w:val="-6"/>
        </w:rPr>
        <w:t> </w:t>
      </w:r>
      <w:r>
        <w:rPr/>
        <w:t>roads.</w:t>
      </w:r>
      <w:r>
        <w:rPr>
          <w:spacing w:val="-10"/>
        </w:rPr>
        <w:t> </w:t>
      </w:r>
      <w:r>
        <w:rPr/>
        <w:t>Other</w:t>
      </w:r>
      <w:r>
        <w:rPr>
          <w:spacing w:val="-9"/>
        </w:rPr>
        <w:t> </w:t>
      </w:r>
      <w:r>
        <w:rPr/>
        <w:t>travelways,</w:t>
      </w:r>
      <w:r>
        <w:rPr>
          <w:spacing w:val="-9"/>
        </w:rPr>
        <w:t> </w:t>
      </w:r>
      <w:r>
        <w:rPr/>
        <w:t>such</w:t>
      </w:r>
      <w:r>
        <w:rPr>
          <w:spacing w:val="-8"/>
        </w:rPr>
        <w:t> </w:t>
      </w:r>
      <w:r>
        <w:rPr/>
        <w:t>as</w:t>
      </w:r>
      <w:r>
        <w:rPr>
          <w:spacing w:val="-10"/>
        </w:rPr>
        <w:t> </w:t>
      </w:r>
      <w:r>
        <w:rPr/>
        <w:t>trails,</w:t>
      </w:r>
      <w:r>
        <w:rPr>
          <w:spacing w:val="-7"/>
        </w:rPr>
        <w:t> </w:t>
      </w:r>
      <w:r>
        <w:rPr/>
        <w:t>are</w:t>
      </w:r>
      <w:r>
        <w:rPr>
          <w:spacing w:val="-6"/>
        </w:rPr>
        <w:t> </w:t>
      </w:r>
      <w:r>
        <w:rPr>
          <w:spacing w:val="-2"/>
        </w:rPr>
        <w:t>present.</w:t>
      </w:r>
    </w:p>
    <w:p>
      <w:pPr>
        <w:spacing w:before="234"/>
        <w:ind w:left="359" w:right="0" w:firstLine="0"/>
        <w:jc w:val="left"/>
        <w:rPr>
          <w:rFonts w:ascii="Arial"/>
          <w:i/>
          <w:sz w:val="22"/>
        </w:rPr>
      </w:pPr>
      <w:bookmarkStart w:name="MA-DC-BC-06. Existing and Proposed Uses" w:id="570"/>
      <w:bookmarkEnd w:id="570"/>
      <w:r>
        <w:rPr/>
      </w:r>
      <w:r>
        <w:rPr>
          <w:rFonts w:ascii="Arial"/>
          <w:i/>
          <w:sz w:val="22"/>
        </w:rPr>
        <w:t>MA-DC-BC-06.</w:t>
      </w:r>
      <w:r>
        <w:rPr>
          <w:rFonts w:ascii="Arial"/>
          <w:i/>
          <w:spacing w:val="-6"/>
          <w:sz w:val="22"/>
        </w:rPr>
        <w:t> </w:t>
      </w:r>
      <w:r>
        <w:rPr>
          <w:rFonts w:ascii="Arial"/>
          <w:i/>
          <w:sz w:val="22"/>
        </w:rPr>
        <w:t>Existing</w:t>
      </w:r>
      <w:r>
        <w:rPr>
          <w:rFonts w:ascii="Arial"/>
          <w:i/>
          <w:spacing w:val="-8"/>
          <w:sz w:val="22"/>
        </w:rPr>
        <w:t> </w:t>
      </w:r>
      <w:r>
        <w:rPr>
          <w:rFonts w:ascii="Arial"/>
          <w:i/>
          <w:sz w:val="22"/>
        </w:rPr>
        <w:t>and</w:t>
      </w:r>
      <w:r>
        <w:rPr>
          <w:rFonts w:ascii="Arial"/>
          <w:i/>
          <w:spacing w:val="-7"/>
          <w:sz w:val="22"/>
        </w:rPr>
        <w:t> </w:t>
      </w:r>
      <w:r>
        <w:rPr>
          <w:rFonts w:ascii="Arial"/>
          <w:i/>
          <w:sz w:val="22"/>
        </w:rPr>
        <w:t>Proposed</w:t>
      </w:r>
      <w:r>
        <w:rPr>
          <w:rFonts w:ascii="Arial"/>
          <w:i/>
          <w:spacing w:val="-8"/>
          <w:sz w:val="22"/>
        </w:rPr>
        <w:t> </w:t>
      </w:r>
      <w:r>
        <w:rPr>
          <w:rFonts w:ascii="Arial"/>
          <w:i/>
          <w:spacing w:val="-4"/>
          <w:sz w:val="22"/>
        </w:rPr>
        <w:t>Uses</w:t>
      </w:r>
    </w:p>
    <w:p>
      <w:pPr>
        <w:pStyle w:val="BodyText"/>
        <w:spacing w:line="232" w:lineRule="auto" w:before="64"/>
        <w:ind w:left="359" w:right="1445"/>
      </w:pPr>
      <w:r>
        <w:rPr/>
        <w:t>Existing</w:t>
      </w:r>
      <w:r>
        <w:rPr>
          <w:spacing w:val="-7"/>
        </w:rPr>
        <w:t> </w:t>
      </w:r>
      <w:r>
        <w:rPr/>
        <w:t>and</w:t>
      </w:r>
      <w:r>
        <w:rPr>
          <w:spacing w:val="-7"/>
        </w:rPr>
        <w:t> </w:t>
      </w:r>
      <w:r>
        <w:rPr/>
        <w:t>proposed</w:t>
      </w:r>
      <w:r>
        <w:rPr>
          <w:spacing w:val="-7"/>
        </w:rPr>
        <w:t> </w:t>
      </w:r>
      <w:r>
        <w:rPr/>
        <w:t>recreation</w:t>
      </w:r>
      <w:r>
        <w:rPr>
          <w:spacing w:val="-7"/>
        </w:rPr>
        <w:t> </w:t>
      </w:r>
      <w:r>
        <w:rPr/>
        <w:t>activities</w:t>
      </w:r>
      <w:r>
        <w:rPr>
          <w:spacing w:val="-7"/>
        </w:rPr>
        <w:t> </w:t>
      </w:r>
      <w:r>
        <w:rPr/>
        <w:t>enhance</w:t>
      </w:r>
      <w:r>
        <w:rPr>
          <w:spacing w:val="-7"/>
        </w:rPr>
        <w:t> </w:t>
      </w:r>
      <w:r>
        <w:rPr/>
        <w:t>or</w:t>
      </w:r>
      <w:r>
        <w:rPr>
          <w:spacing w:val="-6"/>
        </w:rPr>
        <w:t> </w:t>
      </w:r>
      <w:r>
        <w:rPr/>
        <w:t>maintain</w:t>
      </w:r>
      <w:r>
        <w:rPr>
          <w:spacing w:val="-8"/>
        </w:rPr>
        <w:t> </w:t>
      </w:r>
      <w:r>
        <w:rPr/>
        <w:t>recreation</w:t>
      </w:r>
      <w:r>
        <w:rPr>
          <w:spacing w:val="-8"/>
        </w:rPr>
        <w:t> </w:t>
      </w:r>
      <w:r>
        <w:rPr/>
        <w:t>opportunities</w:t>
      </w:r>
      <w:r>
        <w:rPr>
          <w:spacing w:val="-6"/>
        </w:rPr>
        <w:t> </w:t>
      </w:r>
      <w:r>
        <w:rPr/>
        <w:t>that trend toward the semi-primitive non-motorized/primitive end of the ROS.</w:t>
      </w:r>
    </w:p>
    <w:p>
      <w:pPr>
        <w:pStyle w:val="Heading4"/>
        <w:spacing w:before="235"/>
      </w:pPr>
      <w:bookmarkStart w:name="Standard" w:id="571"/>
      <w:bookmarkEnd w:id="571"/>
      <w:r>
        <w:rPr/>
      </w:r>
      <w:bookmarkStart w:name="_bookmark178" w:id="572"/>
      <w:bookmarkEnd w:id="572"/>
      <w:r>
        <w:rPr/>
      </w:r>
      <w:r>
        <w:rPr>
          <w:spacing w:val="-2"/>
        </w:rPr>
        <w:t>Standard</w:t>
      </w:r>
    </w:p>
    <w:p>
      <w:pPr>
        <w:spacing w:before="239"/>
        <w:ind w:left="360" w:right="0" w:firstLine="0"/>
        <w:jc w:val="left"/>
        <w:rPr>
          <w:rFonts w:ascii="Arial"/>
          <w:i/>
          <w:sz w:val="22"/>
        </w:rPr>
      </w:pPr>
      <w:bookmarkStart w:name="MA-STD-BC-01. Motor Vehicle Use" w:id="573"/>
      <w:bookmarkEnd w:id="573"/>
      <w:r>
        <w:rPr/>
      </w:r>
      <w:r>
        <w:rPr>
          <w:rFonts w:ascii="Arial"/>
          <w:i/>
          <w:sz w:val="22"/>
        </w:rPr>
        <w:t>MA-STD-BC-01.</w:t>
      </w:r>
      <w:r>
        <w:rPr>
          <w:rFonts w:ascii="Arial"/>
          <w:i/>
          <w:spacing w:val="-8"/>
          <w:sz w:val="22"/>
        </w:rPr>
        <w:t> </w:t>
      </w:r>
      <w:r>
        <w:rPr>
          <w:rFonts w:ascii="Arial"/>
          <w:i/>
          <w:sz w:val="22"/>
        </w:rPr>
        <w:t>Motor</w:t>
      </w:r>
      <w:r>
        <w:rPr>
          <w:rFonts w:ascii="Arial"/>
          <w:i/>
          <w:spacing w:val="-7"/>
          <w:sz w:val="22"/>
        </w:rPr>
        <w:t> </w:t>
      </w:r>
      <w:r>
        <w:rPr>
          <w:rFonts w:ascii="Arial"/>
          <w:i/>
          <w:sz w:val="22"/>
        </w:rPr>
        <w:t>Vehicle</w:t>
      </w:r>
      <w:r>
        <w:rPr>
          <w:rFonts w:ascii="Arial"/>
          <w:i/>
          <w:spacing w:val="-8"/>
          <w:sz w:val="22"/>
        </w:rPr>
        <w:t> </w:t>
      </w:r>
      <w:r>
        <w:rPr>
          <w:rFonts w:ascii="Arial"/>
          <w:i/>
          <w:spacing w:val="-5"/>
          <w:sz w:val="22"/>
        </w:rPr>
        <w:t>Use</w:t>
      </w:r>
    </w:p>
    <w:p>
      <w:pPr>
        <w:pStyle w:val="BodyText"/>
        <w:spacing w:line="232" w:lineRule="auto" w:before="65"/>
        <w:ind w:left="359" w:right="1445"/>
      </w:pPr>
      <w:r>
        <w:rPr/>
        <w:t>Motor</w:t>
      </w:r>
      <w:r>
        <w:rPr>
          <w:spacing w:val="-7"/>
        </w:rPr>
        <w:t> </w:t>
      </w:r>
      <w:r>
        <w:rPr/>
        <w:t>vehicle</w:t>
      </w:r>
      <w:r>
        <w:rPr>
          <w:spacing w:val="-4"/>
        </w:rPr>
        <w:t> </w:t>
      </w:r>
      <w:r>
        <w:rPr/>
        <w:t>use</w:t>
      </w:r>
      <w:r>
        <w:rPr>
          <w:spacing w:val="-7"/>
        </w:rPr>
        <w:t> </w:t>
      </w:r>
      <w:r>
        <w:rPr/>
        <w:t>is</w:t>
      </w:r>
      <w:r>
        <w:rPr>
          <w:spacing w:val="-5"/>
        </w:rPr>
        <w:t> </w:t>
      </w:r>
      <w:r>
        <w:rPr/>
        <w:t>prohibited.</w:t>
      </w:r>
      <w:r>
        <w:rPr>
          <w:spacing w:val="-5"/>
        </w:rPr>
        <w:t> </w:t>
      </w:r>
      <w:r>
        <w:rPr/>
        <w:t>The</w:t>
      </w:r>
      <w:r>
        <w:rPr>
          <w:spacing w:val="-4"/>
        </w:rPr>
        <w:t> </w:t>
      </w:r>
      <w:r>
        <w:rPr/>
        <w:t>following</w:t>
      </w:r>
      <w:r>
        <w:rPr>
          <w:spacing w:val="-7"/>
        </w:rPr>
        <w:t> </w:t>
      </w:r>
      <w:r>
        <w:rPr/>
        <w:t>vehicles</w:t>
      </w:r>
      <w:r>
        <w:rPr>
          <w:spacing w:val="-7"/>
        </w:rPr>
        <w:t> </w:t>
      </w:r>
      <w:r>
        <w:rPr/>
        <w:t>and</w:t>
      </w:r>
      <w:r>
        <w:rPr>
          <w:spacing w:val="-6"/>
        </w:rPr>
        <w:t> </w:t>
      </w:r>
      <w:r>
        <w:rPr/>
        <w:t>uses</w:t>
      </w:r>
      <w:r>
        <w:rPr>
          <w:spacing w:val="-5"/>
        </w:rPr>
        <w:t> </w:t>
      </w:r>
      <w:r>
        <w:rPr/>
        <w:t>are</w:t>
      </w:r>
      <w:r>
        <w:rPr>
          <w:spacing w:val="-7"/>
        </w:rPr>
        <w:t> </w:t>
      </w:r>
      <w:r>
        <w:rPr/>
        <w:t>exempt</w:t>
      </w:r>
      <w:r>
        <w:rPr>
          <w:spacing w:val="-7"/>
        </w:rPr>
        <w:t> </w:t>
      </w:r>
      <w:r>
        <w:rPr/>
        <w:t>from</w:t>
      </w:r>
      <w:r>
        <w:rPr>
          <w:spacing w:val="-6"/>
        </w:rPr>
        <w:t> </w:t>
      </w:r>
      <w:r>
        <w:rPr/>
        <w:t>the</w:t>
      </w:r>
      <w:r>
        <w:rPr>
          <w:spacing w:val="-7"/>
        </w:rPr>
        <w:t> </w:t>
      </w:r>
      <w:r>
        <w:rPr/>
        <w:t>motor vehicle use prohibition:</w:t>
      </w:r>
    </w:p>
    <w:p>
      <w:pPr>
        <w:pStyle w:val="ListParagraph"/>
        <w:numPr>
          <w:ilvl w:val="0"/>
          <w:numId w:val="17"/>
        </w:numPr>
        <w:tabs>
          <w:tab w:pos="899" w:val="left" w:leader="none"/>
        </w:tabs>
        <w:spacing w:line="240" w:lineRule="auto" w:before="192" w:after="0"/>
        <w:ind w:left="899" w:right="0" w:hanging="359"/>
        <w:jc w:val="left"/>
        <w:rPr>
          <w:sz w:val="22"/>
        </w:rPr>
      </w:pPr>
      <w:r>
        <w:rPr>
          <w:spacing w:val="-2"/>
          <w:sz w:val="22"/>
        </w:rPr>
        <w:t>Aircraft</w:t>
      </w:r>
    </w:p>
    <w:p>
      <w:pPr>
        <w:pStyle w:val="ListParagraph"/>
        <w:numPr>
          <w:ilvl w:val="0"/>
          <w:numId w:val="17"/>
        </w:numPr>
        <w:tabs>
          <w:tab w:pos="899" w:val="left" w:leader="none"/>
        </w:tabs>
        <w:spacing w:line="240" w:lineRule="auto" w:before="111" w:after="0"/>
        <w:ind w:left="899" w:right="0" w:hanging="359"/>
        <w:jc w:val="left"/>
        <w:rPr>
          <w:sz w:val="22"/>
        </w:rPr>
      </w:pPr>
      <w:r>
        <w:rPr>
          <w:sz w:val="22"/>
        </w:rPr>
        <w:t>Use</w:t>
      </w:r>
      <w:r>
        <w:rPr>
          <w:spacing w:val="-12"/>
          <w:sz w:val="22"/>
        </w:rPr>
        <w:t> </w:t>
      </w:r>
      <w:r>
        <w:rPr>
          <w:sz w:val="22"/>
        </w:rPr>
        <w:t>of</w:t>
      </w:r>
      <w:r>
        <w:rPr>
          <w:spacing w:val="-9"/>
          <w:sz w:val="22"/>
        </w:rPr>
        <w:t> </w:t>
      </w:r>
      <w:r>
        <w:rPr>
          <w:sz w:val="22"/>
        </w:rPr>
        <w:t>any</w:t>
      </w:r>
      <w:r>
        <w:rPr>
          <w:spacing w:val="-9"/>
          <w:sz w:val="22"/>
        </w:rPr>
        <w:t> </w:t>
      </w:r>
      <w:r>
        <w:rPr>
          <w:sz w:val="22"/>
        </w:rPr>
        <w:t>fire,</w:t>
      </w:r>
      <w:r>
        <w:rPr>
          <w:spacing w:val="-11"/>
          <w:sz w:val="22"/>
        </w:rPr>
        <w:t> </w:t>
      </w:r>
      <w:r>
        <w:rPr>
          <w:sz w:val="22"/>
        </w:rPr>
        <w:t>military,</w:t>
      </w:r>
      <w:r>
        <w:rPr>
          <w:spacing w:val="-9"/>
          <w:sz w:val="22"/>
        </w:rPr>
        <w:t> </w:t>
      </w:r>
      <w:r>
        <w:rPr>
          <w:sz w:val="22"/>
        </w:rPr>
        <w:t>emergency,</w:t>
      </w:r>
      <w:r>
        <w:rPr>
          <w:spacing w:val="-11"/>
          <w:sz w:val="22"/>
        </w:rPr>
        <w:t> </w:t>
      </w:r>
      <w:r>
        <w:rPr>
          <w:sz w:val="22"/>
        </w:rPr>
        <w:t>or</w:t>
      </w:r>
      <w:r>
        <w:rPr>
          <w:spacing w:val="-10"/>
          <w:sz w:val="22"/>
        </w:rPr>
        <w:t> </w:t>
      </w:r>
      <w:r>
        <w:rPr>
          <w:sz w:val="22"/>
        </w:rPr>
        <w:t>law</w:t>
      </w:r>
      <w:r>
        <w:rPr>
          <w:spacing w:val="-11"/>
          <w:sz w:val="22"/>
        </w:rPr>
        <w:t> </w:t>
      </w:r>
      <w:r>
        <w:rPr>
          <w:sz w:val="22"/>
        </w:rPr>
        <w:t>enforcement</w:t>
      </w:r>
      <w:r>
        <w:rPr>
          <w:spacing w:val="-8"/>
          <w:sz w:val="22"/>
        </w:rPr>
        <w:t> </w:t>
      </w:r>
      <w:r>
        <w:rPr>
          <w:sz w:val="22"/>
        </w:rPr>
        <w:t>vehicle</w:t>
      </w:r>
      <w:r>
        <w:rPr>
          <w:spacing w:val="-9"/>
          <w:sz w:val="22"/>
        </w:rPr>
        <w:t> </w:t>
      </w:r>
      <w:r>
        <w:rPr>
          <w:sz w:val="22"/>
        </w:rPr>
        <w:t>for</w:t>
      </w:r>
      <w:r>
        <w:rPr>
          <w:spacing w:val="-11"/>
          <w:sz w:val="22"/>
        </w:rPr>
        <w:t> </w:t>
      </w:r>
      <w:r>
        <w:rPr>
          <w:sz w:val="22"/>
        </w:rPr>
        <w:t>emergency</w:t>
      </w:r>
      <w:r>
        <w:rPr>
          <w:spacing w:val="-8"/>
          <w:sz w:val="22"/>
        </w:rPr>
        <w:t> </w:t>
      </w:r>
      <w:r>
        <w:rPr>
          <w:spacing w:val="-2"/>
          <w:sz w:val="22"/>
        </w:rPr>
        <w:t>purposes</w:t>
      </w:r>
    </w:p>
    <w:p>
      <w:pPr>
        <w:pStyle w:val="ListParagraph"/>
        <w:numPr>
          <w:ilvl w:val="0"/>
          <w:numId w:val="17"/>
        </w:numPr>
        <w:tabs>
          <w:tab w:pos="899" w:val="left" w:leader="none"/>
        </w:tabs>
        <w:spacing w:line="240" w:lineRule="auto" w:before="113" w:after="0"/>
        <w:ind w:left="899" w:right="0" w:hanging="359"/>
        <w:jc w:val="left"/>
        <w:rPr>
          <w:sz w:val="22"/>
        </w:rPr>
      </w:pPr>
      <w:r>
        <w:rPr>
          <w:sz w:val="22"/>
        </w:rPr>
        <w:t>Authorized</w:t>
      </w:r>
      <w:r>
        <w:rPr>
          <w:spacing w:val="-8"/>
          <w:sz w:val="22"/>
        </w:rPr>
        <w:t> </w:t>
      </w:r>
      <w:r>
        <w:rPr>
          <w:sz w:val="22"/>
        </w:rPr>
        <w:t>use</w:t>
      </w:r>
      <w:r>
        <w:rPr>
          <w:spacing w:val="-8"/>
          <w:sz w:val="22"/>
        </w:rPr>
        <w:t> </w:t>
      </w:r>
      <w:r>
        <w:rPr>
          <w:sz w:val="22"/>
        </w:rPr>
        <w:t>of</w:t>
      </w:r>
      <w:r>
        <w:rPr>
          <w:spacing w:val="-8"/>
          <w:sz w:val="22"/>
        </w:rPr>
        <w:t> </w:t>
      </w:r>
      <w:r>
        <w:rPr>
          <w:sz w:val="22"/>
        </w:rPr>
        <w:t>any</w:t>
      </w:r>
      <w:r>
        <w:rPr>
          <w:spacing w:val="-5"/>
          <w:sz w:val="22"/>
        </w:rPr>
        <w:t> </w:t>
      </w:r>
      <w:r>
        <w:rPr>
          <w:sz w:val="22"/>
        </w:rPr>
        <w:t>combat</w:t>
      </w:r>
      <w:r>
        <w:rPr>
          <w:spacing w:val="-5"/>
          <w:sz w:val="22"/>
        </w:rPr>
        <w:t> </w:t>
      </w:r>
      <w:r>
        <w:rPr>
          <w:sz w:val="22"/>
        </w:rPr>
        <w:t>or</w:t>
      </w:r>
      <w:r>
        <w:rPr>
          <w:spacing w:val="-7"/>
          <w:sz w:val="22"/>
        </w:rPr>
        <w:t> </w:t>
      </w:r>
      <w:r>
        <w:rPr>
          <w:sz w:val="22"/>
        </w:rPr>
        <w:t>combat</w:t>
      </w:r>
      <w:r>
        <w:rPr>
          <w:spacing w:val="-5"/>
          <w:sz w:val="22"/>
        </w:rPr>
        <w:t> </w:t>
      </w:r>
      <w:r>
        <w:rPr>
          <w:sz w:val="22"/>
        </w:rPr>
        <w:t>support</w:t>
      </w:r>
      <w:r>
        <w:rPr>
          <w:spacing w:val="-6"/>
          <w:sz w:val="22"/>
        </w:rPr>
        <w:t> </w:t>
      </w:r>
      <w:r>
        <w:rPr>
          <w:sz w:val="22"/>
        </w:rPr>
        <w:t>vehicle</w:t>
      </w:r>
      <w:r>
        <w:rPr>
          <w:spacing w:val="-5"/>
          <w:sz w:val="22"/>
        </w:rPr>
        <w:t> </w:t>
      </w:r>
      <w:r>
        <w:rPr>
          <w:sz w:val="22"/>
        </w:rPr>
        <w:t>for</w:t>
      </w:r>
      <w:r>
        <w:rPr>
          <w:spacing w:val="-6"/>
          <w:sz w:val="22"/>
        </w:rPr>
        <w:t> </w:t>
      </w:r>
      <w:r>
        <w:rPr>
          <w:sz w:val="22"/>
        </w:rPr>
        <w:t>national</w:t>
      </w:r>
      <w:r>
        <w:rPr>
          <w:spacing w:val="-9"/>
          <w:sz w:val="22"/>
        </w:rPr>
        <w:t> </w:t>
      </w:r>
      <w:r>
        <w:rPr>
          <w:sz w:val="22"/>
        </w:rPr>
        <w:t>defense</w:t>
      </w:r>
      <w:r>
        <w:rPr>
          <w:spacing w:val="-5"/>
          <w:sz w:val="22"/>
        </w:rPr>
        <w:t> </w:t>
      </w:r>
      <w:r>
        <w:rPr>
          <w:spacing w:val="-2"/>
          <w:sz w:val="22"/>
        </w:rPr>
        <w:t>purposes</w:t>
      </w:r>
    </w:p>
    <w:p>
      <w:pPr>
        <w:pStyle w:val="ListParagraph"/>
        <w:numPr>
          <w:ilvl w:val="0"/>
          <w:numId w:val="17"/>
        </w:numPr>
        <w:tabs>
          <w:tab w:pos="899" w:val="left" w:leader="none"/>
        </w:tabs>
        <w:spacing w:line="240" w:lineRule="auto" w:before="111" w:after="0"/>
        <w:ind w:left="899" w:right="0" w:hanging="359"/>
        <w:jc w:val="left"/>
        <w:rPr>
          <w:sz w:val="22"/>
        </w:rPr>
      </w:pPr>
      <w:r>
        <w:rPr>
          <w:sz w:val="22"/>
        </w:rPr>
        <w:t>Law</w:t>
      </w:r>
      <w:r>
        <w:rPr>
          <w:spacing w:val="-10"/>
          <w:sz w:val="22"/>
        </w:rPr>
        <w:t> </w:t>
      </w:r>
      <w:r>
        <w:rPr>
          <w:sz w:val="22"/>
        </w:rPr>
        <w:t>enforcement</w:t>
      </w:r>
      <w:r>
        <w:rPr>
          <w:spacing w:val="-11"/>
          <w:sz w:val="22"/>
        </w:rPr>
        <w:t> </w:t>
      </w:r>
      <w:r>
        <w:rPr>
          <w:sz w:val="22"/>
        </w:rPr>
        <w:t>response</w:t>
      </w:r>
      <w:r>
        <w:rPr>
          <w:spacing w:val="-10"/>
          <w:sz w:val="22"/>
        </w:rPr>
        <w:t> </w:t>
      </w:r>
      <w:r>
        <w:rPr>
          <w:sz w:val="22"/>
        </w:rPr>
        <w:t>to</w:t>
      </w:r>
      <w:r>
        <w:rPr>
          <w:spacing w:val="-10"/>
          <w:sz w:val="22"/>
        </w:rPr>
        <w:t> </w:t>
      </w:r>
      <w:r>
        <w:rPr>
          <w:sz w:val="22"/>
        </w:rPr>
        <w:t>violations</w:t>
      </w:r>
      <w:r>
        <w:rPr>
          <w:spacing w:val="-10"/>
          <w:sz w:val="22"/>
        </w:rPr>
        <w:t> </w:t>
      </w:r>
      <w:r>
        <w:rPr>
          <w:sz w:val="22"/>
        </w:rPr>
        <w:t>of</w:t>
      </w:r>
      <w:r>
        <w:rPr>
          <w:spacing w:val="-10"/>
          <w:sz w:val="22"/>
        </w:rPr>
        <w:t> </w:t>
      </w:r>
      <w:r>
        <w:rPr>
          <w:sz w:val="22"/>
        </w:rPr>
        <w:t>law,</w:t>
      </w:r>
      <w:r>
        <w:rPr>
          <w:spacing w:val="-9"/>
          <w:sz w:val="22"/>
        </w:rPr>
        <w:t> </w:t>
      </w:r>
      <w:r>
        <w:rPr>
          <w:sz w:val="22"/>
        </w:rPr>
        <w:t>including</w:t>
      </w:r>
      <w:r>
        <w:rPr>
          <w:spacing w:val="-9"/>
          <w:sz w:val="22"/>
        </w:rPr>
        <w:t> </w:t>
      </w:r>
      <w:r>
        <w:rPr>
          <w:spacing w:val="-2"/>
          <w:sz w:val="22"/>
        </w:rPr>
        <w:t>pursuit</w:t>
      </w:r>
    </w:p>
    <w:p>
      <w:pPr>
        <w:pStyle w:val="ListParagraph"/>
        <w:numPr>
          <w:ilvl w:val="0"/>
          <w:numId w:val="17"/>
        </w:numPr>
        <w:tabs>
          <w:tab w:pos="900" w:val="left" w:leader="none"/>
        </w:tabs>
        <w:spacing w:line="232" w:lineRule="auto" w:before="117" w:after="0"/>
        <w:ind w:left="900" w:right="2003" w:hanging="360"/>
        <w:jc w:val="left"/>
        <w:rPr>
          <w:sz w:val="22"/>
        </w:rPr>
      </w:pPr>
      <w:r>
        <w:rPr>
          <w:sz w:val="22"/>
        </w:rPr>
        <w:t>Motor</w:t>
      </w:r>
      <w:r>
        <w:rPr>
          <w:spacing w:val="-7"/>
          <w:sz w:val="22"/>
        </w:rPr>
        <w:t> </w:t>
      </w:r>
      <w:r>
        <w:rPr>
          <w:sz w:val="22"/>
        </w:rPr>
        <w:t>vehicle</w:t>
      </w:r>
      <w:r>
        <w:rPr>
          <w:spacing w:val="-4"/>
          <w:sz w:val="22"/>
        </w:rPr>
        <w:t> </w:t>
      </w:r>
      <w:r>
        <w:rPr>
          <w:sz w:val="22"/>
        </w:rPr>
        <w:t>use</w:t>
      </w:r>
      <w:r>
        <w:rPr>
          <w:spacing w:val="-7"/>
          <w:sz w:val="22"/>
        </w:rPr>
        <w:t> </w:t>
      </w:r>
      <w:r>
        <w:rPr>
          <w:sz w:val="22"/>
        </w:rPr>
        <w:t>that</w:t>
      </w:r>
      <w:r>
        <w:rPr>
          <w:spacing w:val="-4"/>
          <w:sz w:val="22"/>
        </w:rPr>
        <w:t> </w:t>
      </w:r>
      <w:r>
        <w:rPr>
          <w:sz w:val="22"/>
        </w:rPr>
        <w:t>is</w:t>
      </w:r>
      <w:r>
        <w:rPr>
          <w:spacing w:val="-7"/>
          <w:sz w:val="22"/>
        </w:rPr>
        <w:t> </w:t>
      </w:r>
      <w:r>
        <w:rPr>
          <w:sz w:val="22"/>
        </w:rPr>
        <w:t>specifically</w:t>
      </w:r>
      <w:r>
        <w:rPr>
          <w:spacing w:val="-4"/>
          <w:sz w:val="22"/>
        </w:rPr>
        <w:t> </w:t>
      </w:r>
      <w:r>
        <w:rPr>
          <w:sz w:val="22"/>
        </w:rPr>
        <w:t>authorized</w:t>
      </w:r>
      <w:r>
        <w:rPr>
          <w:spacing w:val="-6"/>
          <w:sz w:val="22"/>
        </w:rPr>
        <w:t> </w:t>
      </w:r>
      <w:r>
        <w:rPr>
          <w:sz w:val="22"/>
        </w:rPr>
        <w:t>under</w:t>
      </w:r>
      <w:r>
        <w:rPr>
          <w:spacing w:val="-5"/>
          <w:sz w:val="22"/>
        </w:rPr>
        <w:t> </w:t>
      </w:r>
      <w:r>
        <w:rPr>
          <w:sz w:val="22"/>
        </w:rPr>
        <w:t>a</w:t>
      </w:r>
      <w:r>
        <w:rPr>
          <w:spacing w:val="-5"/>
          <w:sz w:val="22"/>
        </w:rPr>
        <w:t> </w:t>
      </w:r>
      <w:r>
        <w:rPr>
          <w:sz w:val="22"/>
        </w:rPr>
        <w:t>written</w:t>
      </w:r>
      <w:r>
        <w:rPr>
          <w:spacing w:val="-8"/>
          <w:sz w:val="22"/>
        </w:rPr>
        <w:t> </w:t>
      </w:r>
      <w:r>
        <w:rPr>
          <w:sz w:val="22"/>
        </w:rPr>
        <w:t>authorization</w:t>
      </w:r>
      <w:r>
        <w:rPr>
          <w:spacing w:val="-6"/>
          <w:sz w:val="22"/>
        </w:rPr>
        <w:t> </w:t>
      </w:r>
      <w:r>
        <w:rPr>
          <w:sz w:val="22"/>
        </w:rPr>
        <w:t>issued under Federal law or regulations</w:t>
      </w:r>
    </w:p>
    <w:p>
      <w:pPr>
        <w:pStyle w:val="ListParagraph"/>
        <w:numPr>
          <w:ilvl w:val="0"/>
          <w:numId w:val="17"/>
        </w:numPr>
        <w:tabs>
          <w:tab w:pos="899" w:val="left" w:leader="none"/>
        </w:tabs>
        <w:spacing w:line="240" w:lineRule="auto" w:before="113" w:after="0"/>
        <w:ind w:left="899" w:right="0" w:hanging="359"/>
        <w:jc w:val="left"/>
        <w:rPr>
          <w:sz w:val="22"/>
        </w:rPr>
      </w:pPr>
      <w:r>
        <w:rPr>
          <w:sz w:val="22"/>
        </w:rPr>
        <w:t>Limited</w:t>
      </w:r>
      <w:r>
        <w:rPr>
          <w:spacing w:val="-9"/>
          <w:sz w:val="22"/>
        </w:rPr>
        <w:t> </w:t>
      </w:r>
      <w:r>
        <w:rPr>
          <w:sz w:val="22"/>
        </w:rPr>
        <w:t>administrative</w:t>
      </w:r>
      <w:r>
        <w:rPr>
          <w:spacing w:val="-8"/>
          <w:sz w:val="22"/>
        </w:rPr>
        <w:t> </w:t>
      </w:r>
      <w:r>
        <w:rPr>
          <w:sz w:val="22"/>
        </w:rPr>
        <w:t>use</w:t>
      </w:r>
      <w:r>
        <w:rPr>
          <w:spacing w:val="-11"/>
          <w:sz w:val="22"/>
        </w:rPr>
        <w:t> </w:t>
      </w:r>
      <w:r>
        <w:rPr>
          <w:sz w:val="22"/>
        </w:rPr>
        <w:t>by</w:t>
      </w:r>
      <w:r>
        <w:rPr>
          <w:spacing w:val="-7"/>
          <w:sz w:val="22"/>
        </w:rPr>
        <w:t> </w:t>
      </w:r>
      <w:r>
        <w:rPr>
          <w:sz w:val="22"/>
        </w:rPr>
        <w:t>the</w:t>
      </w:r>
      <w:r>
        <w:rPr>
          <w:spacing w:val="-7"/>
          <w:sz w:val="22"/>
        </w:rPr>
        <w:t> </w:t>
      </w:r>
      <w:r>
        <w:rPr>
          <w:sz w:val="22"/>
        </w:rPr>
        <w:t>Forest</w:t>
      </w:r>
      <w:r>
        <w:rPr>
          <w:spacing w:val="-7"/>
          <w:sz w:val="22"/>
        </w:rPr>
        <w:t> </w:t>
      </w:r>
      <w:r>
        <w:rPr>
          <w:spacing w:val="-2"/>
          <w:sz w:val="22"/>
        </w:rPr>
        <w:t>Service</w:t>
      </w:r>
    </w:p>
    <w:p>
      <w:pPr>
        <w:pStyle w:val="ListParagraph"/>
        <w:numPr>
          <w:ilvl w:val="0"/>
          <w:numId w:val="17"/>
        </w:numPr>
        <w:tabs>
          <w:tab w:pos="899" w:val="left" w:leader="none"/>
        </w:tabs>
        <w:spacing w:line="240" w:lineRule="auto" w:before="111" w:after="0"/>
        <w:ind w:left="899" w:right="0" w:hanging="359"/>
        <w:jc w:val="left"/>
        <w:rPr>
          <w:sz w:val="22"/>
        </w:rPr>
      </w:pPr>
      <w:r>
        <w:rPr>
          <w:sz w:val="22"/>
        </w:rPr>
        <w:t>With</w:t>
      </w:r>
      <w:r>
        <w:rPr>
          <w:spacing w:val="-7"/>
          <w:sz w:val="22"/>
        </w:rPr>
        <w:t> </w:t>
      </w:r>
      <w:r>
        <w:rPr>
          <w:sz w:val="22"/>
        </w:rPr>
        <w:t>written</w:t>
      </w:r>
      <w:r>
        <w:rPr>
          <w:spacing w:val="-7"/>
          <w:sz w:val="22"/>
        </w:rPr>
        <w:t> </w:t>
      </w:r>
      <w:r>
        <w:rPr>
          <w:spacing w:val="-2"/>
          <w:sz w:val="22"/>
        </w:rPr>
        <w:t>authorization</w:t>
      </w:r>
    </w:p>
    <w:p>
      <w:pPr>
        <w:pStyle w:val="ListParagraph"/>
        <w:spacing w:after="0" w:line="240" w:lineRule="auto"/>
        <w:jc w:val="left"/>
        <w:rPr>
          <w:sz w:val="22"/>
        </w:rPr>
        <w:sectPr>
          <w:pgSz w:w="12240" w:h="15840"/>
          <w:pgMar w:header="725" w:footer="891" w:top="960" w:bottom="1080" w:left="1080" w:right="720"/>
        </w:sectPr>
      </w:pPr>
    </w:p>
    <w:p>
      <w:pPr>
        <w:pStyle w:val="BodyText"/>
        <w:spacing w:before="182"/>
        <w:rPr>
          <w:sz w:val="24"/>
        </w:rPr>
      </w:pPr>
    </w:p>
    <w:p>
      <w:pPr>
        <w:pStyle w:val="Heading4"/>
        <w:ind w:left="1151"/>
      </w:pPr>
      <w:bookmarkStart w:name="Guidelines" w:id="574"/>
      <w:bookmarkEnd w:id="574"/>
      <w:r>
        <w:rPr/>
      </w:r>
      <w:bookmarkStart w:name="_bookmark179" w:id="575"/>
      <w:bookmarkEnd w:id="575"/>
      <w:r>
        <w:rPr/>
      </w:r>
      <w:r>
        <w:rPr>
          <w:spacing w:val="-2"/>
        </w:rPr>
        <w:t>Guidelines</w:t>
      </w:r>
    </w:p>
    <w:p>
      <w:pPr>
        <w:spacing w:before="240"/>
        <w:ind w:left="1151" w:right="0" w:firstLine="0"/>
        <w:jc w:val="left"/>
        <w:rPr>
          <w:rFonts w:ascii="Arial"/>
          <w:i/>
          <w:sz w:val="22"/>
        </w:rPr>
      </w:pPr>
      <w:bookmarkStart w:name="MA-GDL-BC-01. Trail Use" w:id="576"/>
      <w:bookmarkEnd w:id="576"/>
      <w:r>
        <w:rPr/>
      </w:r>
      <w:r>
        <w:rPr>
          <w:rFonts w:ascii="Arial"/>
          <w:i/>
          <w:sz w:val="22"/>
        </w:rPr>
        <w:t>MA-GDL-BC-01.</w:t>
      </w:r>
      <w:r>
        <w:rPr>
          <w:rFonts w:ascii="Arial"/>
          <w:i/>
          <w:spacing w:val="-8"/>
          <w:sz w:val="22"/>
        </w:rPr>
        <w:t> </w:t>
      </w:r>
      <w:r>
        <w:rPr>
          <w:rFonts w:ascii="Arial"/>
          <w:i/>
          <w:sz w:val="22"/>
        </w:rPr>
        <w:t>Trail</w:t>
      </w:r>
      <w:r>
        <w:rPr>
          <w:rFonts w:ascii="Arial"/>
          <w:i/>
          <w:spacing w:val="-8"/>
          <w:sz w:val="22"/>
        </w:rPr>
        <w:t> </w:t>
      </w:r>
      <w:r>
        <w:rPr>
          <w:rFonts w:ascii="Arial"/>
          <w:i/>
          <w:spacing w:val="-5"/>
          <w:sz w:val="22"/>
        </w:rPr>
        <w:t>Use</w:t>
      </w:r>
    </w:p>
    <w:p>
      <w:pPr>
        <w:pStyle w:val="BodyText"/>
        <w:spacing w:before="58"/>
        <w:ind w:left="1151"/>
      </w:pPr>
      <w:r>
        <w:rPr/>
        <w:t>Mechanized</w:t>
      </w:r>
      <w:r>
        <w:rPr>
          <w:spacing w:val="-9"/>
        </w:rPr>
        <w:t> </w:t>
      </w:r>
      <w:r>
        <w:rPr/>
        <w:t>and</w:t>
      </w:r>
      <w:r>
        <w:rPr>
          <w:spacing w:val="-8"/>
        </w:rPr>
        <w:t> </w:t>
      </w:r>
      <w:r>
        <w:rPr/>
        <w:t>non-motorized</w:t>
      </w:r>
      <w:r>
        <w:rPr>
          <w:spacing w:val="-8"/>
        </w:rPr>
        <w:t> </w:t>
      </w:r>
      <w:r>
        <w:rPr/>
        <w:t>modes</w:t>
      </w:r>
      <w:r>
        <w:rPr>
          <w:spacing w:val="-10"/>
        </w:rPr>
        <w:t> </w:t>
      </w:r>
      <w:r>
        <w:rPr/>
        <w:t>of</w:t>
      </w:r>
      <w:r>
        <w:rPr>
          <w:spacing w:val="-10"/>
        </w:rPr>
        <w:t> </w:t>
      </w:r>
      <w:r>
        <w:rPr/>
        <w:t>travel</w:t>
      </w:r>
      <w:r>
        <w:rPr>
          <w:spacing w:val="-10"/>
        </w:rPr>
        <w:t> </w:t>
      </w:r>
      <w:r>
        <w:rPr/>
        <w:t>may</w:t>
      </w:r>
      <w:r>
        <w:rPr>
          <w:spacing w:val="-10"/>
        </w:rPr>
        <w:t> </w:t>
      </w:r>
      <w:r>
        <w:rPr>
          <w:spacing w:val="-2"/>
        </w:rPr>
        <w:t>occur.</w:t>
      </w:r>
    </w:p>
    <w:p>
      <w:pPr>
        <w:spacing w:before="234"/>
        <w:ind w:left="1151" w:right="0" w:firstLine="0"/>
        <w:jc w:val="left"/>
        <w:rPr>
          <w:rFonts w:ascii="Arial"/>
          <w:i/>
          <w:sz w:val="22"/>
        </w:rPr>
      </w:pPr>
      <w:bookmarkStart w:name="MA-GDL-BC-02. Trail Maintenance" w:id="577"/>
      <w:bookmarkEnd w:id="577"/>
      <w:r>
        <w:rPr/>
      </w:r>
      <w:r>
        <w:rPr>
          <w:rFonts w:ascii="Arial"/>
          <w:i/>
          <w:sz w:val="22"/>
        </w:rPr>
        <w:t>MA-GDL-BC-02.</w:t>
      </w:r>
      <w:r>
        <w:rPr>
          <w:rFonts w:ascii="Arial"/>
          <w:i/>
          <w:spacing w:val="-8"/>
          <w:sz w:val="22"/>
        </w:rPr>
        <w:t> </w:t>
      </w:r>
      <w:r>
        <w:rPr>
          <w:rFonts w:ascii="Arial"/>
          <w:i/>
          <w:sz w:val="22"/>
        </w:rPr>
        <w:t>Trail</w:t>
      </w:r>
      <w:r>
        <w:rPr>
          <w:rFonts w:ascii="Arial"/>
          <w:i/>
          <w:spacing w:val="-8"/>
          <w:sz w:val="22"/>
        </w:rPr>
        <w:t> </w:t>
      </w:r>
      <w:r>
        <w:rPr>
          <w:rFonts w:ascii="Arial"/>
          <w:i/>
          <w:spacing w:val="-2"/>
          <w:sz w:val="22"/>
        </w:rPr>
        <w:t>Maintenance</w:t>
      </w:r>
    </w:p>
    <w:p>
      <w:pPr>
        <w:pStyle w:val="BodyText"/>
        <w:spacing w:line="232" w:lineRule="auto" w:before="65"/>
        <w:ind w:left="1151" w:right="1050"/>
      </w:pPr>
      <w:r>
        <w:rPr/>
        <w:t>Motorized</w:t>
      </w:r>
      <w:r>
        <w:rPr>
          <w:spacing w:val="-8"/>
        </w:rPr>
        <w:t> </w:t>
      </w:r>
      <w:r>
        <w:rPr/>
        <w:t>and</w:t>
      </w:r>
      <w:r>
        <w:rPr>
          <w:spacing w:val="-7"/>
        </w:rPr>
        <w:t> </w:t>
      </w:r>
      <w:r>
        <w:rPr/>
        <w:t>non-motorized</w:t>
      </w:r>
      <w:r>
        <w:rPr>
          <w:spacing w:val="-7"/>
        </w:rPr>
        <w:t> </w:t>
      </w:r>
      <w:r>
        <w:rPr/>
        <w:t>equipment</w:t>
      </w:r>
      <w:r>
        <w:rPr>
          <w:spacing w:val="-8"/>
        </w:rPr>
        <w:t> </w:t>
      </w:r>
      <w:r>
        <w:rPr/>
        <w:t>may</w:t>
      </w:r>
      <w:r>
        <w:rPr>
          <w:spacing w:val="-5"/>
        </w:rPr>
        <w:t> </w:t>
      </w:r>
      <w:r>
        <w:rPr/>
        <w:t>be</w:t>
      </w:r>
      <w:r>
        <w:rPr>
          <w:spacing w:val="-5"/>
        </w:rPr>
        <w:t> </w:t>
      </w:r>
      <w:r>
        <w:rPr/>
        <w:t>used</w:t>
      </w:r>
      <w:r>
        <w:rPr>
          <w:spacing w:val="-7"/>
        </w:rPr>
        <w:t> </w:t>
      </w:r>
      <w:r>
        <w:rPr/>
        <w:t>for</w:t>
      </w:r>
      <w:r>
        <w:rPr>
          <w:spacing w:val="-6"/>
        </w:rPr>
        <w:t> </w:t>
      </w:r>
      <w:r>
        <w:rPr/>
        <w:t>trail</w:t>
      </w:r>
      <w:r>
        <w:rPr>
          <w:spacing w:val="-8"/>
        </w:rPr>
        <w:t> </w:t>
      </w:r>
      <w:r>
        <w:rPr/>
        <w:t>maintenance</w:t>
      </w:r>
      <w:r>
        <w:rPr>
          <w:spacing w:val="-7"/>
        </w:rPr>
        <w:t> </w:t>
      </w:r>
      <w:r>
        <w:rPr/>
        <w:t>to</w:t>
      </w:r>
      <w:r>
        <w:rPr>
          <w:spacing w:val="-5"/>
        </w:rPr>
        <w:t> </w:t>
      </w:r>
      <w:r>
        <w:rPr/>
        <w:t>preserve</w:t>
      </w:r>
      <w:r>
        <w:rPr>
          <w:spacing w:val="-8"/>
        </w:rPr>
        <w:t> </w:t>
      </w:r>
      <w:r>
        <w:rPr/>
        <w:t>the semi-primitive non-motorized character.</w:t>
      </w:r>
    </w:p>
    <w:p>
      <w:pPr>
        <w:spacing w:before="234"/>
        <w:ind w:left="1151" w:right="0" w:firstLine="0"/>
        <w:jc w:val="left"/>
        <w:rPr>
          <w:rFonts w:ascii="Arial"/>
          <w:i/>
          <w:sz w:val="22"/>
        </w:rPr>
      </w:pPr>
      <w:bookmarkStart w:name="MA-GDL-BC-03. Campsite Development" w:id="578"/>
      <w:bookmarkEnd w:id="578"/>
      <w:r>
        <w:rPr/>
      </w:r>
      <w:r>
        <w:rPr>
          <w:rFonts w:ascii="Arial"/>
          <w:i/>
          <w:sz w:val="22"/>
        </w:rPr>
        <w:t>MA-GDL-BC-03.</w:t>
      </w:r>
      <w:r>
        <w:rPr>
          <w:rFonts w:ascii="Arial"/>
          <w:i/>
          <w:spacing w:val="-8"/>
          <w:sz w:val="22"/>
        </w:rPr>
        <w:t> </w:t>
      </w:r>
      <w:r>
        <w:rPr>
          <w:rFonts w:ascii="Arial"/>
          <w:i/>
          <w:sz w:val="22"/>
        </w:rPr>
        <w:t>Campsite</w:t>
      </w:r>
      <w:r>
        <w:rPr>
          <w:rFonts w:ascii="Arial"/>
          <w:i/>
          <w:spacing w:val="-9"/>
          <w:sz w:val="22"/>
        </w:rPr>
        <w:t> </w:t>
      </w:r>
      <w:r>
        <w:rPr>
          <w:rFonts w:ascii="Arial"/>
          <w:i/>
          <w:spacing w:val="-2"/>
          <w:sz w:val="22"/>
        </w:rPr>
        <w:t>Development</w:t>
      </w:r>
    </w:p>
    <w:p>
      <w:pPr>
        <w:pStyle w:val="BodyText"/>
        <w:spacing w:line="232" w:lineRule="auto" w:before="65"/>
        <w:ind w:left="1150" w:right="742"/>
      </w:pPr>
      <w:r>
        <w:rPr/>
        <w:t>Areas</w:t>
      </w:r>
      <w:r>
        <w:rPr>
          <w:spacing w:val="-5"/>
        </w:rPr>
        <w:t> </w:t>
      </w:r>
      <w:r>
        <w:rPr/>
        <w:t>appropriate</w:t>
      </w:r>
      <w:r>
        <w:rPr>
          <w:spacing w:val="-7"/>
        </w:rPr>
        <w:t> </w:t>
      </w:r>
      <w:r>
        <w:rPr/>
        <w:t>for</w:t>
      </w:r>
      <w:r>
        <w:rPr>
          <w:spacing w:val="-7"/>
        </w:rPr>
        <w:t> </w:t>
      </w:r>
      <w:r>
        <w:rPr/>
        <w:t>camping</w:t>
      </w:r>
      <w:r>
        <w:rPr>
          <w:spacing w:val="-6"/>
        </w:rPr>
        <w:t> </w:t>
      </w:r>
      <w:r>
        <w:rPr/>
        <w:t>should</w:t>
      </w:r>
      <w:r>
        <w:rPr>
          <w:spacing w:val="-6"/>
        </w:rPr>
        <w:t> </w:t>
      </w:r>
      <w:r>
        <w:rPr/>
        <w:t>only</w:t>
      </w:r>
      <w:r>
        <w:rPr>
          <w:spacing w:val="-6"/>
        </w:rPr>
        <w:t> </w:t>
      </w:r>
      <w:r>
        <w:rPr/>
        <w:t>be</w:t>
      </w:r>
      <w:r>
        <w:rPr>
          <w:spacing w:val="-4"/>
        </w:rPr>
        <w:t> </w:t>
      </w:r>
      <w:r>
        <w:rPr/>
        <w:t>designated</w:t>
      </w:r>
      <w:r>
        <w:rPr>
          <w:spacing w:val="-6"/>
        </w:rPr>
        <w:t> </w:t>
      </w:r>
      <w:r>
        <w:rPr/>
        <w:t>if</w:t>
      </w:r>
      <w:r>
        <w:rPr>
          <w:spacing w:val="-5"/>
        </w:rPr>
        <w:t> </w:t>
      </w:r>
      <w:r>
        <w:rPr/>
        <w:t>necessary</w:t>
      </w:r>
      <w:r>
        <w:rPr>
          <w:spacing w:val="-6"/>
        </w:rPr>
        <w:t> </w:t>
      </w:r>
      <w:r>
        <w:rPr/>
        <w:t>to</w:t>
      </w:r>
      <w:r>
        <w:rPr>
          <w:spacing w:val="-6"/>
        </w:rPr>
        <w:t> </w:t>
      </w:r>
      <w:r>
        <w:rPr/>
        <w:t>resolve</w:t>
      </w:r>
      <w:r>
        <w:rPr>
          <w:spacing w:val="-4"/>
        </w:rPr>
        <w:t> </w:t>
      </w:r>
      <w:r>
        <w:rPr/>
        <w:t>resource</w:t>
      </w:r>
      <w:r>
        <w:rPr>
          <w:spacing w:val="-4"/>
        </w:rPr>
        <w:t> </w:t>
      </w:r>
      <w:r>
        <w:rPr/>
        <w:t>issues and not to accommodate increasing levels of use.</w:t>
      </w:r>
      <w:r>
        <w:rPr>
          <w:spacing w:val="-1"/>
        </w:rPr>
        <w:t> </w:t>
      </w:r>
      <w:r>
        <w:rPr/>
        <w:t>Generally limit recreational site structures to one fire ring and naturally occurring rock or log seats. Authorized recreation developments (such as hitch-racks, high-lines, or site hardening) should only be installed where they would reduce or eliminate a proliferation of resource impacts and only in locations where other less intrusive tactics (i.e., education and enforcement) would not contain the impacts.</w:t>
      </w:r>
    </w:p>
    <w:p>
      <w:pPr>
        <w:pStyle w:val="BodyText"/>
        <w:spacing w:line="259" w:lineRule="exact"/>
        <w:ind w:left="1150"/>
      </w:pPr>
      <w:r>
        <w:rPr/>
        <w:t>Developments</w:t>
      </w:r>
      <w:r>
        <w:rPr>
          <w:spacing w:val="-8"/>
        </w:rPr>
        <w:t> </w:t>
      </w:r>
      <w:r>
        <w:rPr/>
        <w:t>should</w:t>
      </w:r>
      <w:r>
        <w:rPr>
          <w:spacing w:val="-6"/>
        </w:rPr>
        <w:t> </w:t>
      </w:r>
      <w:r>
        <w:rPr/>
        <w:t>be</w:t>
      </w:r>
      <w:r>
        <w:rPr>
          <w:spacing w:val="-7"/>
        </w:rPr>
        <w:t> </w:t>
      </w:r>
      <w:r>
        <w:rPr/>
        <w:t>removed</w:t>
      </w:r>
      <w:r>
        <w:rPr>
          <w:spacing w:val="-6"/>
        </w:rPr>
        <w:t> </w:t>
      </w:r>
      <w:r>
        <w:rPr/>
        <w:t>when</w:t>
      </w:r>
      <w:r>
        <w:rPr>
          <w:spacing w:val="-7"/>
        </w:rPr>
        <w:t> </w:t>
      </w:r>
      <w:r>
        <w:rPr/>
        <w:t>no</w:t>
      </w:r>
      <w:r>
        <w:rPr>
          <w:spacing w:val="-4"/>
        </w:rPr>
        <w:t> </w:t>
      </w:r>
      <w:r>
        <w:rPr/>
        <w:t>longer</w:t>
      </w:r>
      <w:r>
        <w:rPr>
          <w:spacing w:val="-5"/>
        </w:rPr>
        <w:t> </w:t>
      </w:r>
      <w:r>
        <w:rPr/>
        <w:t>serviceable</w:t>
      </w:r>
      <w:r>
        <w:rPr>
          <w:spacing w:val="-7"/>
        </w:rPr>
        <w:t> </w:t>
      </w:r>
      <w:r>
        <w:rPr/>
        <w:t>or</w:t>
      </w:r>
      <w:r>
        <w:rPr>
          <w:spacing w:val="-7"/>
        </w:rPr>
        <w:t> </w:t>
      </w:r>
      <w:r>
        <w:rPr>
          <w:spacing w:val="-2"/>
        </w:rPr>
        <w:t>needed.</w:t>
      </w:r>
    </w:p>
    <w:p>
      <w:pPr>
        <w:spacing w:before="233"/>
        <w:ind w:left="1150" w:right="0" w:firstLine="0"/>
        <w:jc w:val="left"/>
        <w:rPr>
          <w:rFonts w:ascii="Arial"/>
          <w:i/>
          <w:sz w:val="22"/>
        </w:rPr>
      </w:pPr>
      <w:bookmarkStart w:name="MA-GDL-BC-04. Pets" w:id="579"/>
      <w:bookmarkEnd w:id="579"/>
      <w:r>
        <w:rPr/>
      </w:r>
      <w:r>
        <w:rPr>
          <w:rFonts w:ascii="Arial"/>
          <w:i/>
          <w:sz w:val="22"/>
        </w:rPr>
        <w:t>MA-GDL-BC-04.</w:t>
      </w:r>
      <w:r>
        <w:rPr>
          <w:rFonts w:ascii="Arial"/>
          <w:i/>
          <w:spacing w:val="-12"/>
          <w:sz w:val="22"/>
        </w:rPr>
        <w:t> </w:t>
      </w:r>
      <w:r>
        <w:rPr>
          <w:rFonts w:ascii="Arial"/>
          <w:i/>
          <w:spacing w:val="-4"/>
          <w:sz w:val="22"/>
        </w:rPr>
        <w:t>Pets</w:t>
      </w:r>
    </w:p>
    <w:p>
      <w:pPr>
        <w:pStyle w:val="BodyText"/>
        <w:spacing w:line="232" w:lineRule="auto" w:before="65"/>
        <w:ind w:left="1150" w:right="801"/>
      </w:pPr>
      <w:r>
        <w:rPr/>
        <w:t>Pets</w:t>
      </w:r>
      <w:r>
        <w:rPr>
          <w:spacing w:val="-4"/>
        </w:rPr>
        <w:t> </w:t>
      </w:r>
      <w:r>
        <w:rPr/>
        <w:t>(such</w:t>
      </w:r>
      <w:r>
        <w:rPr>
          <w:spacing w:val="-7"/>
        </w:rPr>
        <w:t> </w:t>
      </w:r>
      <w:r>
        <w:rPr/>
        <w:t>as</w:t>
      </w:r>
      <w:r>
        <w:rPr>
          <w:spacing w:val="-4"/>
        </w:rPr>
        <w:t> </w:t>
      </w:r>
      <w:r>
        <w:rPr/>
        <w:t>dogs</w:t>
      </w:r>
      <w:r>
        <w:rPr>
          <w:spacing w:val="-6"/>
        </w:rPr>
        <w:t> </w:t>
      </w:r>
      <w:r>
        <w:rPr/>
        <w:t>or</w:t>
      </w:r>
      <w:r>
        <w:rPr>
          <w:spacing w:val="-4"/>
        </w:rPr>
        <w:t> </w:t>
      </w:r>
      <w:r>
        <w:rPr/>
        <w:t>other</w:t>
      </w:r>
      <w:r>
        <w:rPr>
          <w:spacing w:val="-6"/>
        </w:rPr>
        <w:t> </w:t>
      </w:r>
      <w:r>
        <w:rPr/>
        <w:t>domestic</w:t>
      </w:r>
      <w:r>
        <w:rPr>
          <w:spacing w:val="-6"/>
        </w:rPr>
        <w:t> </w:t>
      </w:r>
      <w:r>
        <w:rPr/>
        <w:t>animals</w:t>
      </w:r>
      <w:r>
        <w:rPr>
          <w:spacing w:val="-6"/>
        </w:rPr>
        <w:t> </w:t>
      </w:r>
      <w:r>
        <w:rPr/>
        <w:t>that</w:t>
      </w:r>
      <w:r>
        <w:rPr>
          <w:spacing w:val="-3"/>
        </w:rPr>
        <w:t> </w:t>
      </w:r>
      <w:r>
        <w:rPr/>
        <w:t>are</w:t>
      </w:r>
      <w:r>
        <w:rPr>
          <w:spacing w:val="-6"/>
        </w:rPr>
        <w:t> </w:t>
      </w:r>
      <w:r>
        <w:rPr/>
        <w:t>not</w:t>
      </w:r>
      <w:r>
        <w:rPr>
          <w:spacing w:val="-3"/>
        </w:rPr>
        <w:t> </w:t>
      </w:r>
      <w:r>
        <w:rPr/>
        <w:t>categorized</w:t>
      </w:r>
      <w:r>
        <w:rPr>
          <w:spacing w:val="-5"/>
        </w:rPr>
        <w:t> </w:t>
      </w:r>
      <w:r>
        <w:rPr/>
        <w:t>as</w:t>
      </w:r>
      <w:r>
        <w:rPr>
          <w:spacing w:val="-6"/>
        </w:rPr>
        <w:t> </w:t>
      </w:r>
      <w:r>
        <w:rPr/>
        <w:t>stock)</w:t>
      </w:r>
      <w:r>
        <w:rPr>
          <w:spacing w:val="-6"/>
        </w:rPr>
        <w:t> </w:t>
      </w:r>
      <w:r>
        <w:rPr/>
        <w:t>may</w:t>
      </w:r>
      <w:r>
        <w:rPr>
          <w:spacing w:val="-3"/>
        </w:rPr>
        <w:t> </w:t>
      </w:r>
      <w:r>
        <w:rPr/>
        <w:t>be</w:t>
      </w:r>
      <w:r>
        <w:rPr>
          <w:spacing w:val="-3"/>
        </w:rPr>
        <w:t> </w:t>
      </w:r>
      <w:r>
        <w:rPr/>
        <w:t>allowed so long as their presence does not interfere with wildlife or contribute to resource impacts or user</w:t>
      </w:r>
      <w:r>
        <w:rPr>
          <w:spacing w:val="-1"/>
        </w:rPr>
        <w:t> </w:t>
      </w:r>
      <w:r>
        <w:rPr/>
        <w:t>conflicts.</w:t>
      </w:r>
      <w:r>
        <w:rPr>
          <w:spacing w:val="-4"/>
        </w:rPr>
        <w:t> </w:t>
      </w:r>
      <w:r>
        <w:rPr/>
        <w:t>Pets</w:t>
      </w:r>
      <w:r>
        <w:rPr>
          <w:spacing w:val="-3"/>
        </w:rPr>
        <w:t> </w:t>
      </w:r>
      <w:r>
        <w:rPr/>
        <w:t>should</w:t>
      </w:r>
      <w:r>
        <w:rPr>
          <w:spacing w:val="-4"/>
        </w:rPr>
        <w:t> </w:t>
      </w:r>
      <w:r>
        <w:rPr/>
        <w:t>be fully controlled</w:t>
      </w:r>
      <w:r>
        <w:rPr>
          <w:spacing w:val="-4"/>
        </w:rPr>
        <w:t> </w:t>
      </w:r>
      <w:r>
        <w:rPr/>
        <w:t>by</w:t>
      </w:r>
      <w:r>
        <w:rPr>
          <w:spacing w:val="-2"/>
        </w:rPr>
        <w:t> </w:t>
      </w:r>
      <w:r>
        <w:rPr/>
        <w:t>their</w:t>
      </w:r>
      <w:r>
        <w:rPr>
          <w:spacing w:val="-3"/>
        </w:rPr>
        <w:t> </w:t>
      </w:r>
      <w:r>
        <w:rPr/>
        <w:t>owner</w:t>
      </w:r>
      <w:r>
        <w:rPr>
          <w:spacing w:val="-1"/>
        </w:rPr>
        <w:t> </w:t>
      </w:r>
      <w:r>
        <w:rPr/>
        <w:t>through</w:t>
      </w:r>
      <w:r>
        <w:rPr>
          <w:spacing w:val="-4"/>
        </w:rPr>
        <w:t> </w:t>
      </w:r>
      <w:r>
        <w:rPr/>
        <w:t>voice commands,</w:t>
      </w:r>
      <w:r>
        <w:rPr>
          <w:spacing w:val="-1"/>
        </w:rPr>
        <w:t> </w:t>
      </w:r>
      <w:r>
        <w:rPr/>
        <w:t>a</w:t>
      </w:r>
      <w:r>
        <w:rPr>
          <w:spacing w:val="-1"/>
        </w:rPr>
        <w:t> </w:t>
      </w:r>
      <w:r>
        <w:rPr/>
        <w:t>leash, or other restraint (such as a shock collar).</w:t>
      </w:r>
    </w:p>
    <w:p>
      <w:pPr>
        <w:spacing w:before="234"/>
        <w:ind w:left="1150" w:right="0" w:firstLine="0"/>
        <w:jc w:val="left"/>
        <w:rPr>
          <w:rFonts w:ascii="Arial"/>
          <w:i/>
          <w:sz w:val="22"/>
        </w:rPr>
      </w:pPr>
      <w:bookmarkStart w:name="MA-GDL-BC-05. Fire" w:id="580"/>
      <w:bookmarkEnd w:id="580"/>
      <w:r>
        <w:rPr/>
      </w:r>
      <w:r>
        <w:rPr>
          <w:rFonts w:ascii="Arial"/>
          <w:i/>
          <w:sz w:val="22"/>
        </w:rPr>
        <w:t>MA-GDL-BC-05.</w:t>
      </w:r>
      <w:r>
        <w:rPr>
          <w:rFonts w:ascii="Arial"/>
          <w:i/>
          <w:spacing w:val="-12"/>
          <w:sz w:val="22"/>
        </w:rPr>
        <w:t> </w:t>
      </w:r>
      <w:r>
        <w:rPr>
          <w:rFonts w:ascii="Arial"/>
          <w:i/>
          <w:spacing w:val="-4"/>
          <w:sz w:val="22"/>
        </w:rPr>
        <w:t>Fire</w:t>
      </w:r>
    </w:p>
    <w:p>
      <w:pPr>
        <w:pStyle w:val="BodyText"/>
        <w:spacing w:line="232" w:lineRule="auto" w:before="65"/>
        <w:ind w:left="1150" w:right="720"/>
      </w:pPr>
      <w:r>
        <w:rPr/>
        <w:t>Wildland</w:t>
      </w:r>
      <w:r>
        <w:rPr>
          <w:spacing w:val="-7"/>
        </w:rPr>
        <w:t> </w:t>
      </w:r>
      <w:r>
        <w:rPr/>
        <w:t>fire</w:t>
      </w:r>
      <w:r>
        <w:rPr>
          <w:spacing w:val="-5"/>
        </w:rPr>
        <w:t> </w:t>
      </w:r>
      <w:r>
        <w:rPr/>
        <w:t>should</w:t>
      </w:r>
      <w:r>
        <w:rPr>
          <w:spacing w:val="-7"/>
        </w:rPr>
        <w:t> </w:t>
      </w:r>
      <w:r>
        <w:rPr/>
        <w:t>generally</w:t>
      </w:r>
      <w:r>
        <w:rPr>
          <w:spacing w:val="-5"/>
        </w:rPr>
        <w:t> </w:t>
      </w:r>
      <w:r>
        <w:rPr/>
        <w:t>be</w:t>
      </w:r>
      <w:r>
        <w:rPr>
          <w:spacing w:val="-5"/>
        </w:rPr>
        <w:t> </w:t>
      </w:r>
      <w:r>
        <w:rPr/>
        <w:t>allowed</w:t>
      </w:r>
      <w:r>
        <w:rPr>
          <w:spacing w:val="-7"/>
        </w:rPr>
        <w:t> </w:t>
      </w:r>
      <w:r>
        <w:rPr/>
        <w:t>to</w:t>
      </w:r>
      <w:r>
        <w:rPr>
          <w:spacing w:val="-5"/>
        </w:rPr>
        <w:t> </w:t>
      </w:r>
      <w:r>
        <w:rPr/>
        <w:t>play</w:t>
      </w:r>
      <w:r>
        <w:rPr>
          <w:spacing w:val="-7"/>
        </w:rPr>
        <w:t> </w:t>
      </w:r>
      <w:r>
        <w:rPr/>
        <w:t>its</w:t>
      </w:r>
      <w:r>
        <w:rPr>
          <w:spacing w:val="-6"/>
        </w:rPr>
        <w:t> </w:t>
      </w:r>
      <w:r>
        <w:rPr/>
        <w:t>natural</w:t>
      </w:r>
      <w:r>
        <w:rPr>
          <w:spacing w:val="-6"/>
        </w:rPr>
        <w:t> </w:t>
      </w:r>
      <w:r>
        <w:rPr/>
        <w:t>role</w:t>
      </w:r>
      <w:r>
        <w:rPr>
          <w:spacing w:val="-7"/>
        </w:rPr>
        <w:t> </w:t>
      </w:r>
      <w:r>
        <w:rPr/>
        <w:t>of</w:t>
      </w:r>
      <w:r>
        <w:rPr>
          <w:spacing w:val="-6"/>
        </w:rPr>
        <w:t> </w:t>
      </w:r>
      <w:r>
        <w:rPr/>
        <w:t>influencing</w:t>
      </w:r>
      <w:r>
        <w:rPr>
          <w:spacing w:val="-7"/>
        </w:rPr>
        <w:t> </w:t>
      </w:r>
      <w:r>
        <w:rPr/>
        <w:t>natural</w:t>
      </w:r>
      <w:r>
        <w:rPr>
          <w:spacing w:val="-6"/>
        </w:rPr>
        <w:t> </w:t>
      </w:r>
      <w:r>
        <w:rPr/>
        <w:t>processes and scenic values. Trail infrastructure should be protected. Planned ignitions should be considered</w:t>
      </w:r>
      <w:r>
        <w:rPr>
          <w:spacing w:val="-3"/>
        </w:rPr>
        <w:t> </w:t>
      </w:r>
      <w:r>
        <w:rPr/>
        <w:t>to</w:t>
      </w:r>
      <w:r>
        <w:rPr>
          <w:spacing w:val="-1"/>
        </w:rPr>
        <w:t> </w:t>
      </w:r>
      <w:r>
        <w:rPr/>
        <w:t>create favorable conditions that</w:t>
      </w:r>
      <w:r>
        <w:rPr>
          <w:spacing w:val="-2"/>
        </w:rPr>
        <w:t> </w:t>
      </w:r>
      <w:r>
        <w:rPr/>
        <w:t>enable</w:t>
      </w:r>
      <w:r>
        <w:rPr>
          <w:spacing w:val="-2"/>
        </w:rPr>
        <w:t> </w:t>
      </w:r>
      <w:r>
        <w:rPr/>
        <w:t>naturally occurring</w:t>
      </w:r>
      <w:r>
        <w:rPr>
          <w:spacing w:val="-1"/>
        </w:rPr>
        <w:t> </w:t>
      </w:r>
      <w:r>
        <w:rPr/>
        <w:t>fires</w:t>
      </w:r>
      <w:r>
        <w:rPr>
          <w:spacing w:val="-2"/>
        </w:rPr>
        <w:t> </w:t>
      </w:r>
      <w:r>
        <w:rPr/>
        <w:t>to</w:t>
      </w:r>
      <w:r>
        <w:rPr>
          <w:spacing w:val="-3"/>
        </w:rPr>
        <w:t> </w:t>
      </w:r>
      <w:r>
        <w:rPr/>
        <w:t>return</w:t>
      </w:r>
      <w:r>
        <w:rPr>
          <w:spacing w:val="-3"/>
        </w:rPr>
        <w:t> </w:t>
      </w:r>
      <w:r>
        <w:rPr/>
        <w:t>to</w:t>
      </w:r>
      <w:r>
        <w:rPr>
          <w:spacing w:val="-1"/>
        </w:rPr>
        <w:t> </w:t>
      </w:r>
      <w:r>
        <w:rPr/>
        <w:t>their historic role.</w:t>
      </w:r>
    </w:p>
    <w:p>
      <w:pPr>
        <w:spacing w:before="232"/>
        <w:ind w:left="1150" w:right="0" w:firstLine="0"/>
        <w:jc w:val="left"/>
        <w:rPr>
          <w:rFonts w:ascii="Arial"/>
          <w:i/>
          <w:sz w:val="22"/>
        </w:rPr>
      </w:pPr>
      <w:bookmarkStart w:name="MA-GDL-BC-06. Use of Live Trees" w:id="581"/>
      <w:bookmarkEnd w:id="581"/>
      <w:r>
        <w:rPr/>
      </w:r>
      <w:r>
        <w:rPr>
          <w:rFonts w:ascii="Arial"/>
          <w:i/>
          <w:sz w:val="22"/>
        </w:rPr>
        <w:t>MA-GDL-BC-06.</w:t>
      </w:r>
      <w:r>
        <w:rPr>
          <w:rFonts w:ascii="Arial"/>
          <w:i/>
          <w:spacing w:val="-3"/>
          <w:sz w:val="22"/>
        </w:rPr>
        <w:t> </w:t>
      </w:r>
      <w:r>
        <w:rPr>
          <w:rFonts w:ascii="Arial"/>
          <w:i/>
          <w:sz w:val="22"/>
        </w:rPr>
        <w:t>Use</w:t>
      </w:r>
      <w:r>
        <w:rPr>
          <w:rFonts w:ascii="Arial"/>
          <w:i/>
          <w:spacing w:val="-7"/>
          <w:sz w:val="22"/>
        </w:rPr>
        <w:t> </w:t>
      </w:r>
      <w:r>
        <w:rPr>
          <w:rFonts w:ascii="Arial"/>
          <w:i/>
          <w:sz w:val="22"/>
        </w:rPr>
        <w:t>of</w:t>
      </w:r>
      <w:r>
        <w:rPr>
          <w:rFonts w:ascii="Arial"/>
          <w:i/>
          <w:spacing w:val="-7"/>
          <w:sz w:val="22"/>
        </w:rPr>
        <w:t> </w:t>
      </w:r>
      <w:r>
        <w:rPr>
          <w:rFonts w:ascii="Arial"/>
          <w:i/>
          <w:sz w:val="22"/>
        </w:rPr>
        <w:t>Live</w:t>
      </w:r>
      <w:r>
        <w:rPr>
          <w:rFonts w:ascii="Arial"/>
          <w:i/>
          <w:spacing w:val="-4"/>
          <w:sz w:val="22"/>
        </w:rPr>
        <w:t> </w:t>
      </w:r>
      <w:r>
        <w:rPr>
          <w:rFonts w:ascii="Arial"/>
          <w:i/>
          <w:spacing w:val="-2"/>
          <w:sz w:val="22"/>
        </w:rPr>
        <w:t>Trees</w:t>
      </w:r>
    </w:p>
    <w:p>
      <w:pPr>
        <w:pStyle w:val="BodyText"/>
        <w:spacing w:line="232" w:lineRule="auto" w:before="64"/>
        <w:ind w:left="1150" w:right="1065"/>
      </w:pPr>
      <w:r>
        <w:rPr/>
        <w:t>Live trees may be cut for administrative purposes such as trail bridge maintenance or construction,</w:t>
      </w:r>
      <w:r>
        <w:rPr>
          <w:spacing w:val="-5"/>
        </w:rPr>
        <w:t> </w:t>
      </w:r>
      <w:r>
        <w:rPr/>
        <w:t>in</w:t>
      </w:r>
      <w:r>
        <w:rPr>
          <w:spacing w:val="-6"/>
        </w:rPr>
        <w:t> </w:t>
      </w:r>
      <w:r>
        <w:rPr/>
        <w:t>compliance</w:t>
      </w:r>
      <w:r>
        <w:rPr>
          <w:spacing w:val="-4"/>
        </w:rPr>
        <w:t> </w:t>
      </w:r>
      <w:r>
        <w:rPr/>
        <w:t>with</w:t>
      </w:r>
      <w:r>
        <w:rPr>
          <w:spacing w:val="-8"/>
        </w:rPr>
        <w:t> </w:t>
      </w:r>
      <w:r>
        <w:rPr/>
        <w:t>the</w:t>
      </w:r>
      <w:r>
        <w:rPr>
          <w:spacing w:val="-7"/>
        </w:rPr>
        <w:t> </w:t>
      </w:r>
      <w:r>
        <w:rPr/>
        <w:t>2001</w:t>
      </w:r>
      <w:r>
        <w:rPr>
          <w:spacing w:val="-6"/>
        </w:rPr>
        <w:t> </w:t>
      </w:r>
      <w:r>
        <w:rPr/>
        <w:t>Roadless</w:t>
      </w:r>
      <w:r>
        <w:rPr>
          <w:spacing w:val="-5"/>
        </w:rPr>
        <w:t> </w:t>
      </w:r>
      <w:r>
        <w:rPr/>
        <w:t>Area</w:t>
      </w:r>
      <w:r>
        <w:rPr>
          <w:spacing w:val="-5"/>
        </w:rPr>
        <w:t> </w:t>
      </w:r>
      <w:r>
        <w:rPr/>
        <w:t>Conservation</w:t>
      </w:r>
      <w:r>
        <w:rPr>
          <w:spacing w:val="-6"/>
        </w:rPr>
        <w:t> </w:t>
      </w:r>
      <w:r>
        <w:rPr/>
        <w:t>Rule</w:t>
      </w:r>
      <w:r>
        <w:rPr>
          <w:spacing w:val="-4"/>
        </w:rPr>
        <w:t> </w:t>
      </w:r>
      <w:r>
        <w:rPr/>
        <w:t>(RACR)</w:t>
      </w:r>
      <w:r>
        <w:rPr>
          <w:spacing w:val="-5"/>
        </w:rPr>
        <w:t> </w:t>
      </w:r>
      <w:r>
        <w:rPr/>
        <w:t>(see</w:t>
      </w:r>
      <w:r>
        <w:rPr>
          <w:spacing w:val="-4"/>
        </w:rPr>
        <w:t> </w:t>
      </w:r>
      <w:r>
        <w:rPr/>
        <w:t>FW- </w:t>
      </w:r>
      <w:r>
        <w:rPr>
          <w:spacing w:val="-2"/>
        </w:rPr>
        <w:t>GDL-VEG-05).</w:t>
      </w:r>
    </w:p>
    <w:p>
      <w:pPr>
        <w:spacing w:before="236"/>
        <w:ind w:left="1149" w:right="0" w:firstLine="0"/>
        <w:jc w:val="left"/>
        <w:rPr>
          <w:rFonts w:ascii="Arial"/>
          <w:i/>
          <w:sz w:val="22"/>
        </w:rPr>
      </w:pPr>
      <w:bookmarkStart w:name="MA-GDL-BC-07. Invasive Plants" w:id="582"/>
      <w:bookmarkEnd w:id="582"/>
      <w:r>
        <w:rPr/>
      </w:r>
      <w:r>
        <w:rPr>
          <w:rFonts w:ascii="Arial"/>
          <w:i/>
          <w:sz w:val="22"/>
        </w:rPr>
        <w:t>MA-GDL-BC-07.</w:t>
      </w:r>
      <w:r>
        <w:rPr>
          <w:rFonts w:ascii="Arial"/>
          <w:i/>
          <w:spacing w:val="-10"/>
          <w:sz w:val="22"/>
        </w:rPr>
        <w:t> </w:t>
      </w:r>
      <w:r>
        <w:rPr>
          <w:rFonts w:ascii="Arial"/>
          <w:i/>
          <w:sz w:val="22"/>
        </w:rPr>
        <w:t>Invasive</w:t>
      </w:r>
      <w:r>
        <w:rPr>
          <w:rFonts w:ascii="Arial"/>
          <w:i/>
          <w:spacing w:val="-9"/>
          <w:sz w:val="22"/>
        </w:rPr>
        <w:t> </w:t>
      </w:r>
      <w:r>
        <w:rPr>
          <w:rFonts w:ascii="Arial"/>
          <w:i/>
          <w:spacing w:val="-2"/>
          <w:sz w:val="22"/>
        </w:rPr>
        <w:t>Plants</w:t>
      </w:r>
    </w:p>
    <w:p>
      <w:pPr>
        <w:pStyle w:val="BodyText"/>
        <w:spacing w:line="232" w:lineRule="auto" w:before="64"/>
        <w:ind w:left="1149" w:right="801"/>
      </w:pPr>
      <w:r>
        <w:rPr/>
        <w:t>Manual,</w:t>
      </w:r>
      <w:r>
        <w:rPr>
          <w:spacing w:val="-6"/>
        </w:rPr>
        <w:t> </w:t>
      </w:r>
      <w:r>
        <w:rPr/>
        <w:t>biological,</w:t>
      </w:r>
      <w:r>
        <w:rPr>
          <w:spacing w:val="-6"/>
        </w:rPr>
        <w:t> </w:t>
      </w:r>
      <w:r>
        <w:rPr/>
        <w:t>cultural,</w:t>
      </w:r>
      <w:r>
        <w:rPr>
          <w:spacing w:val="-6"/>
        </w:rPr>
        <w:t> </w:t>
      </w:r>
      <w:r>
        <w:rPr/>
        <w:t>or</w:t>
      </w:r>
      <w:r>
        <w:rPr>
          <w:spacing w:val="-8"/>
        </w:rPr>
        <w:t> </w:t>
      </w:r>
      <w:r>
        <w:rPr/>
        <w:t>chemical</w:t>
      </w:r>
      <w:r>
        <w:rPr>
          <w:spacing w:val="-6"/>
        </w:rPr>
        <w:t> </w:t>
      </w:r>
      <w:r>
        <w:rPr/>
        <w:t>treatments</w:t>
      </w:r>
      <w:r>
        <w:rPr>
          <w:spacing w:val="-8"/>
        </w:rPr>
        <w:t> </w:t>
      </w:r>
      <w:r>
        <w:rPr/>
        <w:t>may</w:t>
      </w:r>
      <w:r>
        <w:rPr>
          <w:spacing w:val="-5"/>
        </w:rPr>
        <w:t> </w:t>
      </w:r>
      <w:r>
        <w:rPr/>
        <w:t>be</w:t>
      </w:r>
      <w:r>
        <w:rPr>
          <w:spacing w:val="-5"/>
        </w:rPr>
        <w:t> </w:t>
      </w:r>
      <w:r>
        <w:rPr/>
        <w:t>authorized</w:t>
      </w:r>
      <w:r>
        <w:rPr>
          <w:spacing w:val="-7"/>
        </w:rPr>
        <w:t> </w:t>
      </w:r>
      <w:r>
        <w:rPr/>
        <w:t>to</w:t>
      </w:r>
      <w:r>
        <w:rPr>
          <w:spacing w:val="-7"/>
        </w:rPr>
        <w:t> </w:t>
      </w:r>
      <w:r>
        <w:rPr/>
        <w:t>eradicate,</w:t>
      </w:r>
      <w:r>
        <w:rPr>
          <w:spacing w:val="-6"/>
        </w:rPr>
        <w:t> </w:t>
      </w:r>
      <w:r>
        <w:rPr/>
        <w:t>reduce,</w:t>
      </w:r>
      <w:r>
        <w:rPr>
          <w:spacing w:val="-8"/>
        </w:rPr>
        <w:t> </w:t>
      </w:r>
      <w:r>
        <w:rPr/>
        <w:t>or control populations of invasive plants.</w:t>
      </w:r>
    </w:p>
    <w:p>
      <w:pPr>
        <w:spacing w:before="234"/>
        <w:ind w:left="1149" w:right="0" w:firstLine="0"/>
        <w:jc w:val="left"/>
        <w:rPr>
          <w:rFonts w:ascii="Arial"/>
          <w:i/>
          <w:sz w:val="22"/>
        </w:rPr>
      </w:pPr>
      <w:bookmarkStart w:name="MA-GDL-BC-08. Environmental Clean-up" w:id="583"/>
      <w:bookmarkEnd w:id="583"/>
      <w:r>
        <w:rPr/>
      </w:r>
      <w:r>
        <w:rPr>
          <w:rFonts w:ascii="Arial"/>
          <w:i/>
          <w:sz w:val="22"/>
        </w:rPr>
        <w:t>MA-GDL-BC-08.</w:t>
      </w:r>
      <w:r>
        <w:rPr>
          <w:rFonts w:ascii="Arial"/>
          <w:i/>
          <w:spacing w:val="-13"/>
          <w:sz w:val="22"/>
        </w:rPr>
        <w:t> </w:t>
      </w:r>
      <w:r>
        <w:rPr>
          <w:rFonts w:ascii="Arial"/>
          <w:i/>
          <w:sz w:val="22"/>
        </w:rPr>
        <w:t>Environmental</w:t>
      </w:r>
      <w:r>
        <w:rPr>
          <w:rFonts w:ascii="Arial"/>
          <w:i/>
          <w:spacing w:val="-13"/>
          <w:sz w:val="22"/>
        </w:rPr>
        <w:t> </w:t>
      </w:r>
      <w:r>
        <w:rPr>
          <w:rFonts w:ascii="Arial"/>
          <w:i/>
          <w:sz w:val="22"/>
        </w:rPr>
        <w:t>Clean-</w:t>
      </w:r>
      <w:r>
        <w:rPr>
          <w:rFonts w:ascii="Arial"/>
          <w:i/>
          <w:spacing w:val="-5"/>
          <w:sz w:val="22"/>
        </w:rPr>
        <w:t>up</w:t>
      </w:r>
    </w:p>
    <w:p>
      <w:pPr>
        <w:pStyle w:val="BodyText"/>
        <w:spacing w:line="232" w:lineRule="auto" w:before="65"/>
        <w:ind w:left="1149" w:right="801"/>
      </w:pPr>
      <w:r>
        <w:rPr/>
        <w:t>Environmental clean-up projects (such as mine remediation, chemical spills, aircraft recovery, building</w:t>
      </w:r>
      <w:r>
        <w:rPr>
          <w:spacing w:val="-5"/>
        </w:rPr>
        <w:t> </w:t>
      </w:r>
      <w:r>
        <w:rPr/>
        <w:t>removal)</w:t>
      </w:r>
      <w:r>
        <w:rPr>
          <w:spacing w:val="-4"/>
        </w:rPr>
        <w:t> </w:t>
      </w:r>
      <w:r>
        <w:rPr/>
        <w:t>should</w:t>
      </w:r>
      <w:r>
        <w:rPr>
          <w:spacing w:val="-5"/>
        </w:rPr>
        <w:t> </w:t>
      </w:r>
      <w:r>
        <w:rPr/>
        <w:t>occur</w:t>
      </w:r>
      <w:r>
        <w:rPr>
          <w:spacing w:val="-4"/>
        </w:rPr>
        <w:t> </w:t>
      </w:r>
      <w:r>
        <w:rPr/>
        <w:t>promptly</w:t>
      </w:r>
      <w:r>
        <w:rPr>
          <w:spacing w:val="-5"/>
        </w:rPr>
        <w:t> </w:t>
      </w:r>
      <w:r>
        <w:rPr/>
        <w:t>following</w:t>
      </w:r>
      <w:r>
        <w:rPr>
          <w:spacing w:val="-5"/>
        </w:rPr>
        <w:t> </w:t>
      </w:r>
      <w:r>
        <w:rPr/>
        <w:t>an</w:t>
      </w:r>
      <w:r>
        <w:rPr>
          <w:spacing w:val="-7"/>
        </w:rPr>
        <w:t> </w:t>
      </w:r>
      <w:r>
        <w:rPr/>
        <w:t>activity</w:t>
      </w:r>
      <w:r>
        <w:rPr>
          <w:spacing w:val="-5"/>
        </w:rPr>
        <w:t> </w:t>
      </w:r>
      <w:r>
        <w:rPr/>
        <w:t>or</w:t>
      </w:r>
      <w:r>
        <w:rPr>
          <w:spacing w:val="-4"/>
        </w:rPr>
        <w:t> </w:t>
      </w:r>
      <w:r>
        <w:rPr/>
        <w:t>incident.</w:t>
      </w:r>
      <w:r>
        <w:rPr>
          <w:spacing w:val="-7"/>
        </w:rPr>
        <w:t> </w:t>
      </w:r>
      <w:r>
        <w:rPr/>
        <w:t>Project</w:t>
      </w:r>
      <w:r>
        <w:rPr>
          <w:spacing w:val="-8"/>
        </w:rPr>
        <w:t> </w:t>
      </w:r>
      <w:r>
        <w:rPr/>
        <w:t>design</w:t>
      </w:r>
      <w:r>
        <w:rPr>
          <w:spacing w:val="-5"/>
        </w:rPr>
        <w:t> </w:t>
      </w:r>
      <w:r>
        <w:rPr/>
        <w:t>should provide a greater long-term benefit than long-term impact.</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uitable Uses" w:id="584"/>
      <w:bookmarkEnd w:id="584"/>
      <w:r>
        <w:rPr/>
      </w:r>
      <w:bookmarkStart w:name="_bookmark180" w:id="585"/>
      <w:bookmarkEnd w:id="585"/>
      <w:r>
        <w:rPr/>
      </w:r>
      <w:r>
        <w:rPr/>
        <w:t>Suitable</w:t>
      </w:r>
      <w:r>
        <w:rPr>
          <w:spacing w:val="-5"/>
        </w:rPr>
        <w:t> </w:t>
      </w:r>
      <w:r>
        <w:rPr>
          <w:spacing w:val="-4"/>
        </w:rPr>
        <w:t>Uses</w:t>
      </w:r>
    </w:p>
    <w:p>
      <w:pPr>
        <w:spacing w:before="240"/>
        <w:ind w:left="360" w:right="0" w:firstLine="0"/>
        <w:jc w:val="left"/>
        <w:rPr>
          <w:rFonts w:ascii="Arial"/>
          <w:i/>
          <w:sz w:val="22"/>
        </w:rPr>
      </w:pPr>
      <w:bookmarkStart w:name="MA-SU-BC-01. Suitable Uses" w:id="586"/>
      <w:bookmarkEnd w:id="586"/>
      <w:r>
        <w:rPr/>
      </w:r>
      <w:r>
        <w:rPr>
          <w:rFonts w:ascii="Arial"/>
          <w:i/>
          <w:sz w:val="22"/>
        </w:rPr>
        <w:t>MA-SU-BC-01.</w:t>
      </w:r>
      <w:r>
        <w:rPr>
          <w:rFonts w:ascii="Arial"/>
          <w:i/>
          <w:spacing w:val="-8"/>
          <w:sz w:val="22"/>
        </w:rPr>
        <w:t> </w:t>
      </w:r>
      <w:r>
        <w:rPr>
          <w:rFonts w:ascii="Arial"/>
          <w:i/>
          <w:sz w:val="22"/>
        </w:rPr>
        <w:t>Suitable</w:t>
      </w:r>
      <w:r>
        <w:rPr>
          <w:rFonts w:ascii="Arial"/>
          <w:i/>
          <w:spacing w:val="-12"/>
          <w:sz w:val="22"/>
        </w:rPr>
        <w:t> </w:t>
      </w:r>
      <w:r>
        <w:rPr>
          <w:rFonts w:ascii="Arial"/>
          <w:i/>
          <w:spacing w:val="-4"/>
          <w:sz w:val="22"/>
        </w:rPr>
        <w:t>Uses</w:t>
      </w:r>
    </w:p>
    <w:p>
      <w:pPr>
        <w:pStyle w:val="BodyText"/>
        <w:spacing w:before="105"/>
        <w:rPr>
          <w:rFonts w:ascii="Arial"/>
          <w:i/>
        </w:rPr>
      </w:pPr>
    </w:p>
    <w:p>
      <w:pPr>
        <w:spacing w:before="0" w:after="42"/>
        <w:ind w:left="360" w:right="0" w:firstLine="0"/>
        <w:jc w:val="left"/>
        <w:rPr>
          <w:rFonts w:ascii="Arial"/>
          <w:b/>
          <w:sz w:val="18"/>
        </w:rPr>
      </w:pPr>
      <w:bookmarkStart w:name="_bookmark181" w:id="587"/>
      <w:bookmarkEnd w:id="587"/>
      <w:r>
        <w:rPr/>
      </w:r>
      <w:r>
        <w:rPr>
          <w:rFonts w:ascii="Arial"/>
          <w:b/>
          <w:sz w:val="18"/>
        </w:rPr>
        <w:t>Table</w:t>
      </w:r>
      <w:r>
        <w:rPr>
          <w:rFonts w:ascii="Arial"/>
          <w:b/>
          <w:spacing w:val="-5"/>
          <w:sz w:val="18"/>
        </w:rPr>
        <w:t> </w:t>
      </w:r>
      <w:r>
        <w:rPr>
          <w:rFonts w:ascii="Arial"/>
          <w:b/>
          <w:sz w:val="18"/>
        </w:rPr>
        <w:t>19.</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1"/>
          <w:sz w:val="18"/>
        </w:rPr>
        <w:t> </w:t>
      </w:r>
      <w:r>
        <w:rPr>
          <w:rFonts w:ascii="Arial"/>
          <w:b/>
          <w:sz w:val="18"/>
        </w:rPr>
        <w:t>for</w:t>
      </w:r>
      <w:r>
        <w:rPr>
          <w:rFonts w:ascii="Arial"/>
          <w:b/>
          <w:spacing w:val="-3"/>
          <w:sz w:val="18"/>
        </w:rPr>
        <w:t> </w:t>
      </w:r>
      <w:r>
        <w:rPr>
          <w:rFonts w:ascii="Arial"/>
          <w:b/>
          <w:sz w:val="18"/>
        </w:rPr>
        <w:t>Backcountry</w:t>
      </w:r>
      <w:r>
        <w:rPr>
          <w:rFonts w:ascii="Arial"/>
          <w:b/>
          <w:spacing w:val="-9"/>
          <w:sz w:val="18"/>
        </w:rPr>
        <w:t> </w:t>
      </w:r>
      <w:r>
        <w:rPr>
          <w:rFonts w:ascii="Arial"/>
          <w:b/>
          <w:sz w:val="18"/>
        </w:rPr>
        <w:t>Management</w:t>
      </w:r>
      <w:r>
        <w:rPr>
          <w:rFonts w:ascii="Arial"/>
          <w:b/>
          <w:spacing w:val="-2"/>
          <w:sz w:val="18"/>
        </w:rPr>
        <w:t> </w:t>
      </w:r>
      <w:r>
        <w:rPr>
          <w:rFonts w:ascii="Arial"/>
          <w:b/>
          <w:spacing w:val="-4"/>
          <w:sz w:val="18"/>
        </w:rPr>
        <w:t>Areas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353"/>
        <w:gridCol w:w="1917"/>
        <w:gridCol w:w="2278"/>
      </w:tblGrid>
      <w:tr>
        <w:trPr>
          <w:trHeight w:val="303" w:hRule="atLeast"/>
        </w:trPr>
        <w:tc>
          <w:tcPr>
            <w:tcW w:w="4353" w:type="dxa"/>
            <w:tcBorders>
              <w:right w:val="nil"/>
            </w:tcBorders>
            <w:shd w:val="clear" w:color="auto" w:fill="D5E2BB"/>
          </w:tcPr>
          <w:p>
            <w:pPr>
              <w:pStyle w:val="TableParagraph"/>
              <w:spacing w:before="42"/>
              <w:ind w:right="183"/>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917" w:type="dxa"/>
            <w:tcBorders>
              <w:left w:val="nil"/>
              <w:right w:val="nil"/>
            </w:tcBorders>
            <w:shd w:val="clear" w:color="auto" w:fill="D5E2BB"/>
          </w:tcPr>
          <w:p>
            <w:pPr>
              <w:pStyle w:val="TableParagraph"/>
              <w:spacing w:before="42"/>
              <w:ind w:left="4" w:right="92"/>
              <w:jc w:val="center"/>
              <w:rPr>
                <w:b/>
                <w:sz w:val="18"/>
              </w:rPr>
            </w:pPr>
            <w:r>
              <w:rPr>
                <w:b/>
                <w:sz w:val="18"/>
              </w:rPr>
              <w:t>May</w:t>
            </w:r>
            <w:r>
              <w:rPr>
                <w:b/>
                <w:spacing w:val="-9"/>
                <w:sz w:val="18"/>
              </w:rPr>
              <w:t> </w:t>
            </w:r>
            <w:r>
              <w:rPr>
                <w:b/>
                <w:spacing w:val="-2"/>
                <w:sz w:val="18"/>
              </w:rPr>
              <w:t>authorize</w:t>
            </w:r>
          </w:p>
        </w:tc>
        <w:tc>
          <w:tcPr>
            <w:tcW w:w="2278" w:type="dxa"/>
            <w:tcBorders>
              <w:left w:val="nil"/>
            </w:tcBorders>
            <w:shd w:val="clear" w:color="auto" w:fill="D5E2BB"/>
          </w:tcPr>
          <w:p>
            <w:pPr>
              <w:pStyle w:val="TableParagraph"/>
              <w:spacing w:before="42"/>
              <w:ind w:left="115" w:right="3"/>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353"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1917" w:type="dxa"/>
            <w:tcBorders>
              <w:left w:val="nil"/>
              <w:right w:val="nil"/>
            </w:tcBorders>
          </w:tcPr>
          <w:p>
            <w:pPr>
              <w:pStyle w:val="TableParagraph"/>
              <w:spacing w:before="42"/>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spacing w:before="42"/>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917" w:type="dxa"/>
            <w:tcBorders>
              <w:left w:val="nil"/>
              <w:right w:val="nil"/>
            </w:tcBorders>
          </w:tcPr>
          <w:p>
            <w:pPr>
              <w:pStyle w:val="TableParagraph"/>
              <w:spacing w:before="42"/>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700" w:hRule="atLeast"/>
        </w:trPr>
        <w:tc>
          <w:tcPr>
            <w:tcW w:w="4353"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line="207" w:lineRule="exact"/>
              <w:ind w:left="115"/>
              <w:jc w:val="center"/>
              <w:rPr>
                <w:sz w:val="18"/>
              </w:rPr>
            </w:pPr>
            <w:r>
              <w:rPr>
                <w:spacing w:val="-10"/>
                <w:sz w:val="18"/>
              </w:rPr>
              <w:t>X</w:t>
            </w:r>
          </w:p>
          <w:p>
            <w:pPr>
              <w:pStyle w:val="TableParagraph"/>
              <w:spacing w:before="0"/>
              <w:ind w:left="115" w:right="3"/>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2" w:hRule="atLeast"/>
        </w:trPr>
        <w:tc>
          <w:tcPr>
            <w:tcW w:w="4353" w:type="dxa"/>
            <w:tcBorders>
              <w:right w:val="nil"/>
            </w:tcBorders>
          </w:tcPr>
          <w:p>
            <w:pPr>
              <w:pStyle w:val="TableParagraph"/>
              <w:spacing w:before="42"/>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line="207" w:lineRule="exact" w:before="42"/>
              <w:ind w:left="115" w:right="5"/>
              <w:jc w:val="center"/>
              <w:rPr>
                <w:sz w:val="18"/>
              </w:rPr>
            </w:pPr>
            <w:r>
              <w:rPr>
                <w:spacing w:val="-10"/>
                <w:sz w:val="18"/>
              </w:rPr>
              <w:t>X</w:t>
            </w:r>
          </w:p>
          <w:p>
            <w:pPr>
              <w:pStyle w:val="TableParagraph"/>
              <w:spacing w:before="0"/>
              <w:ind w:left="115" w:right="3"/>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0" w:hRule="atLeast"/>
        </w:trPr>
        <w:tc>
          <w:tcPr>
            <w:tcW w:w="4353" w:type="dxa"/>
            <w:tcBorders>
              <w:right w:val="nil"/>
            </w:tcBorders>
          </w:tcPr>
          <w:p>
            <w:pPr>
              <w:pStyle w:val="TableParagraph"/>
              <w:ind w:left="107" w:right="92"/>
              <w:rPr>
                <w:b/>
                <w:sz w:val="18"/>
              </w:rPr>
            </w:pPr>
            <w:r>
              <w:rPr>
                <w:b/>
                <w:sz w:val="18"/>
              </w:rPr>
              <w:t>Forest</w:t>
            </w:r>
            <w:r>
              <w:rPr>
                <w:b/>
                <w:spacing w:val="-9"/>
                <w:sz w:val="18"/>
              </w:rPr>
              <w:t> </w:t>
            </w:r>
            <w:r>
              <w:rPr>
                <w:b/>
                <w:sz w:val="18"/>
              </w:rPr>
              <w:t>products,</w:t>
            </w:r>
            <w:r>
              <w:rPr>
                <w:b/>
                <w:spacing w:val="-9"/>
                <w:sz w:val="18"/>
              </w:rPr>
              <w:t> </w:t>
            </w:r>
            <w:r>
              <w:rPr>
                <w:b/>
                <w:sz w:val="18"/>
              </w:rPr>
              <w:t>firewood,</w:t>
            </w:r>
            <w:r>
              <w:rPr>
                <w:b/>
                <w:spacing w:val="-9"/>
                <w:sz w:val="18"/>
              </w:rPr>
              <w:t> </w:t>
            </w:r>
            <w:r>
              <w:rPr>
                <w:b/>
                <w:sz w:val="18"/>
              </w:rPr>
              <w:t>permitted</w:t>
            </w:r>
            <w:r>
              <w:rPr>
                <w:b/>
                <w:spacing w:val="-9"/>
                <w:sz w:val="18"/>
              </w:rPr>
              <w:t> </w:t>
            </w:r>
            <w:r>
              <w:rPr>
                <w:b/>
                <w:sz w:val="18"/>
              </w:rPr>
              <w:t>personal </w:t>
            </w:r>
            <w:r>
              <w:rPr>
                <w:b/>
                <w:spacing w:val="-4"/>
                <w:sz w:val="18"/>
              </w:rPr>
              <w:t>use</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line="207" w:lineRule="exact"/>
              <w:ind w:left="115" w:right="5"/>
              <w:jc w:val="center"/>
              <w:rPr>
                <w:sz w:val="18"/>
              </w:rPr>
            </w:pPr>
            <w:r>
              <w:rPr>
                <w:spacing w:val="-10"/>
                <w:sz w:val="18"/>
              </w:rPr>
              <w:t>X</w:t>
            </w:r>
          </w:p>
          <w:p>
            <w:pPr>
              <w:pStyle w:val="TableParagraph"/>
              <w:spacing w:before="0"/>
              <w:ind w:left="115" w:right="3"/>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2" w:hRule="atLeast"/>
        </w:trPr>
        <w:tc>
          <w:tcPr>
            <w:tcW w:w="4353"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line="207" w:lineRule="exact"/>
              <w:ind w:left="115"/>
              <w:jc w:val="center"/>
              <w:rPr>
                <w:sz w:val="18"/>
              </w:rPr>
            </w:pPr>
            <w:r>
              <w:rPr>
                <w:spacing w:val="-10"/>
                <w:sz w:val="18"/>
              </w:rPr>
              <w:t>X</w:t>
            </w:r>
          </w:p>
          <w:p>
            <w:pPr>
              <w:pStyle w:val="TableParagraph"/>
              <w:spacing w:before="0"/>
              <w:ind w:left="115" w:right="3"/>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284" w:hRule="atLeast"/>
        </w:trPr>
        <w:tc>
          <w:tcPr>
            <w:tcW w:w="4353"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908" w:hRule="atLeast"/>
        </w:trPr>
        <w:tc>
          <w:tcPr>
            <w:tcW w:w="4353" w:type="dxa"/>
            <w:tcBorders>
              <w:right w:val="nil"/>
            </w:tcBorders>
          </w:tcPr>
          <w:p>
            <w:pPr>
              <w:pStyle w:val="TableParagraph"/>
              <w:spacing w:before="42"/>
              <w:ind w:left="107"/>
              <w:rPr>
                <w:b/>
                <w:sz w:val="18"/>
              </w:rPr>
            </w:pPr>
            <w:r>
              <w:rPr>
                <w:b/>
                <w:sz w:val="18"/>
              </w:rPr>
              <w:t>Infrastructure, above ground infrastructure associated</w:t>
            </w:r>
            <w:r>
              <w:rPr>
                <w:b/>
                <w:spacing w:val="-6"/>
                <w:sz w:val="18"/>
              </w:rPr>
              <w:t> </w:t>
            </w:r>
            <w:r>
              <w:rPr>
                <w:b/>
                <w:sz w:val="18"/>
              </w:rPr>
              <w:t>with</w:t>
            </w:r>
            <w:r>
              <w:rPr>
                <w:b/>
                <w:spacing w:val="-6"/>
                <w:sz w:val="18"/>
              </w:rPr>
              <w:t> </w:t>
            </w:r>
            <w:r>
              <w:rPr>
                <w:b/>
                <w:sz w:val="18"/>
              </w:rPr>
              <w:t>special</w:t>
            </w:r>
            <w:r>
              <w:rPr>
                <w:b/>
                <w:spacing w:val="-6"/>
                <w:sz w:val="18"/>
              </w:rPr>
              <w:t> </w:t>
            </w:r>
            <w:r>
              <w:rPr>
                <w:b/>
                <w:sz w:val="18"/>
              </w:rPr>
              <w:t>use</w:t>
            </w:r>
            <w:r>
              <w:rPr>
                <w:b/>
                <w:spacing w:val="-6"/>
                <w:sz w:val="18"/>
              </w:rPr>
              <w:t> </w:t>
            </w:r>
            <w:r>
              <w:rPr>
                <w:b/>
                <w:sz w:val="18"/>
              </w:rPr>
              <w:t>permits,</w:t>
            </w:r>
            <w:r>
              <w:rPr>
                <w:b/>
                <w:spacing w:val="-6"/>
                <w:sz w:val="18"/>
              </w:rPr>
              <w:t> </w:t>
            </w:r>
            <w:r>
              <w:rPr>
                <w:b/>
                <w:sz w:val="18"/>
              </w:rPr>
              <w:t>such</w:t>
            </w:r>
            <w:r>
              <w:rPr>
                <w:b/>
                <w:spacing w:val="-6"/>
                <w:sz w:val="18"/>
              </w:rPr>
              <w:t> </w:t>
            </w:r>
            <w:r>
              <w:rPr>
                <w:b/>
                <w:sz w:val="18"/>
              </w:rPr>
              <w:t>as communication sites, energy developments, and/or utility lines.</w:t>
            </w:r>
          </w:p>
        </w:tc>
        <w:tc>
          <w:tcPr>
            <w:tcW w:w="1917" w:type="dxa"/>
            <w:tcBorders>
              <w:left w:val="nil"/>
              <w:right w:val="nil"/>
            </w:tcBorders>
          </w:tcPr>
          <w:p>
            <w:pPr>
              <w:pStyle w:val="TableParagraph"/>
              <w:spacing w:before="42"/>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917" w:type="dxa"/>
            <w:tcBorders>
              <w:left w:val="nil"/>
              <w:right w:val="nil"/>
            </w:tcBorders>
          </w:tcPr>
          <w:p>
            <w:pPr>
              <w:pStyle w:val="TableParagraph"/>
              <w:ind w:left="3" w:right="92"/>
              <w:jc w:val="center"/>
              <w:rPr>
                <w:sz w:val="18"/>
              </w:rPr>
            </w:pPr>
            <w:r>
              <w:rPr>
                <w:spacing w:val="-5"/>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917" w:type="dxa"/>
            <w:tcBorders>
              <w:left w:val="nil"/>
              <w:right w:val="nil"/>
            </w:tcBorders>
          </w:tcPr>
          <w:p>
            <w:pPr>
              <w:pStyle w:val="TableParagraph"/>
              <w:ind w:right="92"/>
              <w:jc w:val="center"/>
              <w:rPr>
                <w:sz w:val="18"/>
              </w:rPr>
            </w:pPr>
            <w:r>
              <w:rPr>
                <w:spacing w:val="-5"/>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ind w:left="115" w:right="5"/>
              <w:jc w:val="center"/>
              <w:rPr>
                <w:sz w:val="18"/>
              </w:rPr>
            </w:pPr>
            <w:r>
              <w:rPr>
                <w:spacing w:val="-10"/>
                <w:sz w:val="18"/>
              </w:rPr>
              <w:t>X</w:t>
            </w:r>
          </w:p>
        </w:tc>
      </w:tr>
      <w:tr>
        <w:trPr>
          <w:trHeight w:val="493" w:hRule="atLeast"/>
        </w:trPr>
        <w:tc>
          <w:tcPr>
            <w:tcW w:w="4353" w:type="dxa"/>
            <w:tcBorders>
              <w:right w:val="nil"/>
            </w:tcBorders>
          </w:tcPr>
          <w:p>
            <w:pPr>
              <w:pStyle w:val="TableParagraph"/>
              <w:ind w:left="107" w:right="92"/>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summer,</w:t>
            </w:r>
            <w:r>
              <w:rPr>
                <w:b/>
                <w:spacing w:val="-8"/>
                <w:sz w:val="18"/>
              </w:rPr>
              <w:t> </w:t>
            </w:r>
            <w:r>
              <w:rPr>
                <w:b/>
                <w:sz w:val="18"/>
              </w:rPr>
              <w:t>trails</w:t>
            </w:r>
            <w:r>
              <w:rPr>
                <w:b/>
                <w:spacing w:val="-8"/>
                <w:sz w:val="18"/>
              </w:rPr>
              <w:t> </w:t>
            </w:r>
            <w:r>
              <w:rPr>
                <w:b/>
                <w:sz w:val="18"/>
              </w:rPr>
              <w:t>or play</w:t>
            </w:r>
            <w:r>
              <w:rPr>
                <w:b/>
                <w:spacing w:val="-5"/>
                <w:sz w:val="18"/>
              </w:rPr>
              <w:t> </w:t>
            </w:r>
            <w:r>
              <w:rPr>
                <w:b/>
                <w:sz w:val="18"/>
              </w:rPr>
              <w:t>areas</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ind w:left="115" w:right="5"/>
              <w:jc w:val="center"/>
              <w:rPr>
                <w:sz w:val="18"/>
              </w:rPr>
            </w:pPr>
            <w:r>
              <w:rPr>
                <w:spacing w:val="-10"/>
                <w:sz w:val="18"/>
              </w:rPr>
              <w:t>X</w:t>
            </w:r>
          </w:p>
        </w:tc>
      </w:tr>
      <w:tr>
        <w:trPr>
          <w:trHeight w:val="493" w:hRule="atLeast"/>
        </w:trPr>
        <w:tc>
          <w:tcPr>
            <w:tcW w:w="4353" w:type="dxa"/>
            <w:tcBorders>
              <w:right w:val="nil"/>
            </w:tcBorders>
          </w:tcPr>
          <w:p>
            <w:pPr>
              <w:pStyle w:val="TableParagraph"/>
              <w:ind w:left="107" w:right="560"/>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 </w:t>
            </w:r>
            <w:r>
              <w:rPr>
                <w:b/>
                <w:spacing w:val="-2"/>
                <w:sz w:val="18"/>
              </w:rPr>
              <w:t>cross-country</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ind w:left="115" w:right="5"/>
              <w:jc w:val="center"/>
              <w:rPr>
                <w:sz w:val="18"/>
              </w:rPr>
            </w:pPr>
            <w:r>
              <w:rPr>
                <w:spacing w:val="-10"/>
                <w:sz w:val="18"/>
              </w:rPr>
              <w:t>X</w:t>
            </w:r>
          </w:p>
        </w:tc>
      </w:tr>
      <w:tr>
        <w:trPr>
          <w:trHeight w:val="287" w:hRule="atLeast"/>
        </w:trPr>
        <w:tc>
          <w:tcPr>
            <w:tcW w:w="435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ind w:left="115" w:right="5"/>
              <w:jc w:val="center"/>
              <w:rPr>
                <w:sz w:val="18"/>
              </w:rPr>
            </w:pPr>
            <w:r>
              <w:rPr>
                <w:spacing w:val="-10"/>
                <w:sz w:val="18"/>
              </w:rPr>
              <w:t>X</w:t>
            </w:r>
          </w:p>
        </w:tc>
      </w:tr>
      <w:tr>
        <w:trPr>
          <w:trHeight w:val="287" w:hRule="atLeast"/>
        </w:trPr>
        <w:tc>
          <w:tcPr>
            <w:tcW w:w="435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ind w:left="115" w:right="5"/>
              <w:jc w:val="center"/>
              <w:rPr>
                <w:sz w:val="18"/>
              </w:rPr>
            </w:pPr>
            <w:r>
              <w:rPr>
                <w:spacing w:val="-10"/>
                <w:sz w:val="18"/>
              </w:rPr>
              <w:t>X</w:t>
            </w:r>
          </w:p>
        </w:tc>
      </w:tr>
      <w:tr>
        <w:trPr>
          <w:trHeight w:val="287" w:hRule="atLeast"/>
        </w:trPr>
        <w:tc>
          <w:tcPr>
            <w:tcW w:w="4353"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4" w:hRule="atLeast"/>
        </w:trPr>
        <w:tc>
          <w:tcPr>
            <w:tcW w:w="4353"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1917" w:type="dxa"/>
            <w:tcBorders>
              <w:left w:val="nil"/>
              <w:right w:val="nil"/>
            </w:tcBorders>
          </w:tcPr>
          <w:p>
            <w:pPr>
              <w:pStyle w:val="TableParagraph"/>
              <w:ind w:left="3" w:right="92"/>
              <w:jc w:val="center"/>
              <w:rPr>
                <w:sz w:val="18"/>
              </w:rPr>
            </w:pPr>
            <w:r>
              <w:rPr>
                <w:spacing w:val="-10"/>
                <w:sz w:val="18"/>
              </w:rPr>
              <w:t>X</w:t>
            </w:r>
          </w:p>
        </w:tc>
        <w:tc>
          <w:tcPr>
            <w:tcW w:w="2278" w:type="dxa"/>
            <w:tcBorders>
              <w:left w:val="nil"/>
            </w:tcBorders>
          </w:tcPr>
          <w:p>
            <w:pPr>
              <w:pStyle w:val="TableParagraph"/>
              <w:spacing w:before="0"/>
              <w:rPr>
                <w:rFonts w:ascii="Times New Roman"/>
                <w:sz w:val="16"/>
              </w:rPr>
            </w:pPr>
          </w:p>
        </w:tc>
      </w:tr>
      <w:tr>
        <w:trPr>
          <w:trHeight w:val="287" w:hRule="atLeast"/>
        </w:trPr>
        <w:tc>
          <w:tcPr>
            <w:tcW w:w="4353" w:type="dxa"/>
            <w:tcBorders>
              <w:right w:val="nil"/>
            </w:tcBorders>
          </w:tcPr>
          <w:p>
            <w:pPr>
              <w:pStyle w:val="TableParagraph"/>
              <w:spacing w:before="42"/>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before="42"/>
              <w:ind w:left="115" w:right="5"/>
              <w:jc w:val="center"/>
              <w:rPr>
                <w:sz w:val="18"/>
              </w:rPr>
            </w:pPr>
            <w:r>
              <w:rPr>
                <w:spacing w:val="-10"/>
                <w:sz w:val="18"/>
              </w:rPr>
              <w:t>X</w:t>
            </w:r>
          </w:p>
        </w:tc>
      </w:tr>
      <w:tr>
        <w:trPr>
          <w:trHeight w:val="496" w:hRule="atLeast"/>
        </w:trPr>
        <w:tc>
          <w:tcPr>
            <w:tcW w:w="4353" w:type="dxa"/>
            <w:tcBorders>
              <w:right w:val="nil"/>
            </w:tcBorders>
          </w:tcPr>
          <w:p>
            <w:pPr>
              <w:pStyle w:val="TableParagraph"/>
              <w:spacing w:before="42"/>
              <w:ind w:left="107"/>
              <w:rPr>
                <w:b/>
                <w:sz w:val="18"/>
              </w:rPr>
            </w:pPr>
            <w:r>
              <w:rPr>
                <w:b/>
                <w:sz w:val="18"/>
              </w:rPr>
              <w:t>Utility</w:t>
            </w:r>
            <w:r>
              <w:rPr>
                <w:b/>
                <w:spacing w:val="-8"/>
                <w:sz w:val="18"/>
              </w:rPr>
              <w:t> </w:t>
            </w:r>
            <w:r>
              <w:rPr>
                <w:b/>
                <w:spacing w:val="-2"/>
                <w:sz w:val="18"/>
              </w:rPr>
              <w:t>corridors</w:t>
            </w:r>
          </w:p>
        </w:tc>
        <w:tc>
          <w:tcPr>
            <w:tcW w:w="1917" w:type="dxa"/>
            <w:tcBorders>
              <w:left w:val="nil"/>
              <w:right w:val="nil"/>
            </w:tcBorders>
          </w:tcPr>
          <w:p>
            <w:pPr>
              <w:pStyle w:val="TableParagraph"/>
              <w:spacing w:before="0"/>
              <w:rPr>
                <w:rFonts w:ascii="Times New Roman"/>
                <w:sz w:val="16"/>
              </w:rPr>
            </w:pPr>
          </w:p>
        </w:tc>
        <w:tc>
          <w:tcPr>
            <w:tcW w:w="2278" w:type="dxa"/>
            <w:tcBorders>
              <w:left w:val="nil"/>
            </w:tcBorders>
          </w:tcPr>
          <w:p>
            <w:pPr>
              <w:pStyle w:val="TableParagraph"/>
              <w:spacing w:line="207" w:lineRule="exact" w:before="42"/>
              <w:ind w:left="115" w:right="5"/>
              <w:jc w:val="center"/>
              <w:rPr>
                <w:sz w:val="18"/>
              </w:rPr>
            </w:pPr>
            <w:r>
              <w:rPr>
                <w:spacing w:val="-10"/>
                <w:sz w:val="18"/>
              </w:rPr>
              <w:t>X</w:t>
            </w:r>
          </w:p>
          <w:p>
            <w:pPr>
              <w:pStyle w:val="TableParagraph"/>
              <w:spacing w:line="207" w:lineRule="exact" w:before="0"/>
              <w:ind w:left="115" w:right="3"/>
              <w:jc w:val="center"/>
              <w:rPr>
                <w:sz w:val="18"/>
              </w:rPr>
            </w:pPr>
            <w:r>
              <w:rPr>
                <w:sz w:val="18"/>
              </w:rPr>
              <w:t>(Recommend</w:t>
            </w:r>
            <w:r>
              <w:rPr>
                <w:spacing w:val="-4"/>
                <w:sz w:val="18"/>
              </w:rPr>
              <w:t> </w:t>
            </w:r>
            <w:r>
              <w:rPr>
                <w:spacing w:val="-2"/>
                <w:sz w:val="18"/>
              </w:rPr>
              <w:t>against)</w:t>
            </w:r>
          </w:p>
        </w:tc>
      </w:tr>
    </w:tbl>
    <w:p>
      <w:pPr>
        <w:spacing w:before="47"/>
        <w:ind w:left="359" w:right="1148"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w:t>
      </w:r>
      <w:r>
        <w:rPr>
          <w:rFonts w:ascii="Arial"/>
          <w:spacing w:val="-3"/>
          <w:sz w:val="16"/>
        </w:rPr>
        <w:t> </w:t>
      </w:r>
      <w:r>
        <w:rPr>
          <w:rFonts w:ascii="Arial"/>
          <w:sz w:val="16"/>
        </w:rPr>
        <w:t>The</w:t>
      </w:r>
      <w:r>
        <w:rPr>
          <w:rFonts w:ascii="Arial"/>
          <w:spacing w:val="-4"/>
          <w:sz w:val="16"/>
        </w:rPr>
        <w:t> </w:t>
      </w:r>
      <w:r>
        <w:rPr>
          <w:rFonts w:ascii="Arial"/>
          <w:sz w:val="16"/>
        </w:rPr>
        <w:t>Secretary</w:t>
      </w:r>
      <w:r>
        <w:rPr>
          <w:rFonts w:ascii="Arial"/>
          <w:spacing w:val="-3"/>
          <w:sz w:val="16"/>
        </w:rPr>
        <w:t> </w:t>
      </w:r>
      <w:r>
        <w:rPr>
          <w:rFonts w:ascii="Arial"/>
          <w:sz w:val="16"/>
        </w:rPr>
        <w:t>of Interior</w:t>
      </w:r>
      <w:r>
        <w:rPr>
          <w:rFonts w:ascii="Arial"/>
          <w:spacing w:val="-2"/>
          <w:sz w:val="16"/>
        </w:rPr>
        <w:t> </w:t>
      </w:r>
      <w:r>
        <w:rPr>
          <w:rFonts w:ascii="Arial"/>
          <w:sz w:val="16"/>
        </w:rPr>
        <w:t>holds authority</w:t>
      </w:r>
      <w:r>
        <w:rPr>
          <w:rFonts w:ascii="Arial"/>
          <w:spacing w:val="-2"/>
          <w:sz w:val="16"/>
        </w:rPr>
        <w:t> </w:t>
      </w:r>
      <w:r>
        <w:rPr>
          <w:rFonts w:ascii="Arial"/>
          <w:sz w:val="16"/>
        </w:rPr>
        <w:t>to</w:t>
      </w:r>
      <w:r>
        <w:rPr>
          <w:rFonts w:ascii="Arial"/>
          <w:spacing w:val="-7"/>
          <w:sz w:val="16"/>
        </w:rPr>
        <w:t> </w:t>
      </w:r>
      <w:r>
        <w:rPr>
          <w:rFonts w:ascii="Arial"/>
          <w:sz w:val="16"/>
        </w:rPr>
        <w:t>issue</w:t>
      </w:r>
      <w:r>
        <w:rPr>
          <w:rFonts w:ascii="Arial"/>
          <w:spacing w:val="-2"/>
          <w:sz w:val="16"/>
        </w:rPr>
        <w:t> </w:t>
      </w:r>
      <w:r>
        <w:rPr>
          <w:rFonts w:ascii="Arial"/>
          <w:sz w:val="16"/>
        </w:rPr>
        <w:t>permits</w:t>
      </w:r>
      <w:r>
        <w:rPr>
          <w:rFonts w:ascii="Arial"/>
          <w:spacing w:val="-2"/>
          <w:sz w:val="16"/>
        </w:rPr>
        <w:t> </w:t>
      </w:r>
      <w:r>
        <w:rPr>
          <w:rFonts w:ascii="Arial"/>
          <w:sz w:val="16"/>
        </w:rPr>
        <w:t>and </w:t>
      </w:r>
      <w:r>
        <w:rPr>
          <w:rFonts w:ascii="Arial"/>
          <w:spacing w:val="-2"/>
          <w:sz w:val="16"/>
        </w:rPr>
        <w:t>leases.</w:t>
      </w:r>
    </w:p>
    <w:p>
      <w:pPr>
        <w:spacing w:before="40"/>
        <w:ind w:left="359"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spacing w:after="0"/>
        <w:jc w:val="left"/>
        <w:rPr>
          <w:rFonts w:ascii="Arial"/>
          <w:sz w:val="16"/>
        </w:rPr>
        <w:sectPr>
          <w:pgSz w:w="12240" w:h="15840"/>
          <w:pgMar w:header="725" w:footer="891" w:top="960" w:bottom="1080" w:left="1080" w:right="720"/>
        </w:sectPr>
      </w:pPr>
    </w:p>
    <w:p>
      <w:pPr>
        <w:pStyle w:val="BodyText"/>
        <w:spacing w:before="223"/>
        <w:rPr>
          <w:rFonts w:ascii="Arial"/>
        </w:rPr>
      </w:pPr>
    </w:p>
    <w:p>
      <w:pPr>
        <w:pStyle w:val="Heading3"/>
      </w:pPr>
      <w:bookmarkStart w:name="Backcountry Motorized (BCM)" w:id="588"/>
      <w:bookmarkEnd w:id="588"/>
      <w:r>
        <w:rPr>
          <w:b w:val="0"/>
        </w:rPr>
      </w:r>
      <w:bookmarkStart w:name="_bookmark182" w:id="589"/>
      <w:bookmarkEnd w:id="589"/>
      <w:r>
        <w:rPr>
          <w:b w:val="0"/>
        </w:rPr>
      </w:r>
      <w:r>
        <w:rPr>
          <w:smallCaps/>
          <w:color w:val="475824"/>
        </w:rPr>
        <w:t>Backcountry</w:t>
      </w:r>
      <w:r>
        <w:rPr>
          <w:smallCaps/>
          <w:color w:val="475824"/>
          <w:spacing w:val="-9"/>
        </w:rPr>
        <w:t> </w:t>
      </w:r>
      <w:r>
        <w:rPr>
          <w:smallCaps/>
          <w:color w:val="475824"/>
        </w:rPr>
        <w:t>Motorized</w:t>
      </w:r>
      <w:r>
        <w:rPr>
          <w:smallCaps/>
          <w:color w:val="475824"/>
          <w:spacing w:val="-10"/>
        </w:rPr>
        <w:t> </w:t>
      </w:r>
      <w:r>
        <w:rPr>
          <w:smallCaps/>
          <w:color w:val="475824"/>
          <w:spacing w:val="-4"/>
        </w:rPr>
        <w:t>(BCM)</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22656">
                <wp:simplePos x="0" y="0"/>
                <wp:positionH relativeFrom="page">
                  <wp:posOffset>1627632</wp:posOffset>
                </wp:positionH>
                <wp:positionV relativeFrom="paragraph">
                  <wp:posOffset>75150</wp:posOffset>
                </wp:positionV>
                <wp:extent cx="5248910" cy="1781810"/>
                <wp:effectExtent l="0" t="0" r="0" b="0"/>
                <wp:wrapTopAndBottom/>
                <wp:docPr id="204" name="Textbox 204"/>
                <wp:cNvGraphicFramePr>
                  <a:graphicFrameLocks/>
                </wp:cNvGraphicFramePr>
                <a:graphic>
                  <a:graphicData uri="http://schemas.microsoft.com/office/word/2010/wordprocessingShape">
                    <wps:wsp>
                      <wps:cNvPr id="204" name="Textbox 204"/>
                      <wps:cNvSpPr txBox="1"/>
                      <wps:spPr>
                        <a:xfrm>
                          <a:off x="0" y="0"/>
                          <a:ext cx="5248910" cy="1781810"/>
                        </a:xfrm>
                        <a:prstGeom prst="rect">
                          <a:avLst/>
                        </a:prstGeom>
                        <a:solidFill>
                          <a:srgbClr val="DFDFDF"/>
                        </a:solidFill>
                      </wps:spPr>
                      <wps:txbx>
                        <w:txbxContent>
                          <w:p>
                            <w:pPr>
                              <w:pStyle w:val="BodyText"/>
                              <w:ind w:left="28" w:right="50"/>
                              <w:rPr>
                                <w:color w:val="000000"/>
                              </w:rPr>
                            </w:pPr>
                            <w:r>
                              <w:rPr>
                                <w:color w:val="000000"/>
                              </w:rPr>
                              <w:t>This</w:t>
                            </w:r>
                            <w:r>
                              <w:rPr>
                                <w:color w:val="000000"/>
                                <w:spacing w:val="-4"/>
                              </w:rPr>
                              <w:t> </w:t>
                            </w:r>
                            <w:r>
                              <w:rPr>
                                <w:color w:val="000000"/>
                              </w:rPr>
                              <w:t>section</w:t>
                            </w:r>
                            <w:r>
                              <w:rPr>
                                <w:color w:val="000000"/>
                                <w:spacing w:val="-5"/>
                              </w:rPr>
                              <w:t> </w:t>
                            </w:r>
                            <w:r>
                              <w:rPr>
                                <w:color w:val="000000"/>
                              </w:rPr>
                              <w:t>provides</w:t>
                            </w:r>
                            <w:r>
                              <w:rPr>
                                <w:color w:val="000000"/>
                                <w:spacing w:val="-6"/>
                              </w:rPr>
                              <w:t> </w:t>
                            </w:r>
                            <w:r>
                              <w:rPr>
                                <w:color w:val="000000"/>
                              </w:rPr>
                              <w:t>management</w:t>
                            </w:r>
                            <w:r>
                              <w:rPr>
                                <w:color w:val="000000"/>
                                <w:spacing w:val="-3"/>
                              </w:rPr>
                              <w:t> </w:t>
                            </w:r>
                            <w:r>
                              <w:rPr>
                                <w:color w:val="000000"/>
                              </w:rPr>
                              <w:t>direction</w:t>
                            </w:r>
                            <w:r>
                              <w:rPr>
                                <w:color w:val="000000"/>
                                <w:spacing w:val="-5"/>
                              </w:rPr>
                              <w:t> </w:t>
                            </w:r>
                            <w:r>
                              <w:rPr>
                                <w:color w:val="000000"/>
                              </w:rPr>
                              <w:t>in</w:t>
                            </w:r>
                            <w:r>
                              <w:rPr>
                                <w:color w:val="000000"/>
                                <w:spacing w:val="-4"/>
                              </w:rPr>
                              <w:t> </w:t>
                            </w:r>
                            <w:r>
                              <w:rPr>
                                <w:color w:val="000000"/>
                              </w:rPr>
                              <w:t>Backcountry</w:t>
                            </w:r>
                            <w:r>
                              <w:rPr>
                                <w:color w:val="000000"/>
                                <w:spacing w:val="-3"/>
                              </w:rPr>
                              <w:t> </w:t>
                            </w:r>
                            <w:r>
                              <w:rPr>
                                <w:color w:val="000000"/>
                              </w:rPr>
                              <w:t>Motorized</w:t>
                            </w:r>
                            <w:r>
                              <w:rPr>
                                <w:color w:val="000000"/>
                                <w:spacing w:val="-7"/>
                              </w:rPr>
                              <w:t> </w:t>
                            </w:r>
                            <w:r>
                              <w:rPr>
                                <w:color w:val="000000"/>
                              </w:rPr>
                              <w:t>Management</w:t>
                            </w:r>
                            <w:r>
                              <w:rPr>
                                <w:color w:val="000000"/>
                                <w:spacing w:val="-3"/>
                              </w:rPr>
                              <w:t> </w:t>
                            </w:r>
                            <w:r>
                              <w:rPr>
                                <w:color w:val="000000"/>
                              </w:rPr>
                              <w:t>Areas. Backcountry Motorized Management Areas emphasize summer and winter motorized recreation opportunities and can include off-highway vehicles, motorcycles, jeeps, and over-snow vehicles. Backcountry Motorized Management Areas also provide opportunities for non-motorized recreation activities.</w:t>
                            </w:r>
                          </w:p>
                          <w:p>
                            <w:pPr>
                              <w:pStyle w:val="BodyText"/>
                              <w:spacing w:before="120"/>
                              <w:ind w:left="28"/>
                              <w:rPr>
                                <w:color w:val="000000"/>
                              </w:rPr>
                            </w:pPr>
                            <w:r>
                              <w:rPr>
                                <w:color w:val="000000"/>
                              </w:rPr>
                              <w:t>Backcountry Motorized Management Areas are spatially defined by the upper reaches of watersheds</w:t>
                            </w:r>
                            <w:r>
                              <w:rPr>
                                <w:color w:val="000000"/>
                                <w:spacing w:val="-3"/>
                              </w:rPr>
                              <w:t> </w:t>
                            </w:r>
                            <w:r>
                              <w:rPr>
                                <w:color w:val="000000"/>
                              </w:rPr>
                              <w:t>in</w:t>
                            </w:r>
                            <w:r>
                              <w:rPr>
                                <w:color w:val="000000"/>
                                <w:spacing w:val="-4"/>
                              </w:rPr>
                              <w:t> </w:t>
                            </w:r>
                            <w:r>
                              <w:rPr>
                                <w:color w:val="000000"/>
                              </w:rPr>
                              <w:t>the</w:t>
                            </w:r>
                            <w:r>
                              <w:rPr>
                                <w:color w:val="000000"/>
                                <w:spacing w:val="-5"/>
                              </w:rPr>
                              <w:t> </w:t>
                            </w:r>
                            <w:r>
                              <w:rPr>
                                <w:color w:val="000000"/>
                              </w:rPr>
                              <w:t>2001</w:t>
                            </w:r>
                            <w:r>
                              <w:rPr>
                                <w:color w:val="000000"/>
                                <w:spacing w:val="-2"/>
                              </w:rPr>
                              <w:t> </w:t>
                            </w:r>
                            <w:r>
                              <w:rPr>
                                <w:color w:val="000000"/>
                              </w:rPr>
                              <w:t>Inventoried</w:t>
                            </w:r>
                            <w:r>
                              <w:rPr>
                                <w:color w:val="000000"/>
                                <w:spacing w:val="-4"/>
                              </w:rPr>
                              <w:t> </w:t>
                            </w:r>
                            <w:r>
                              <w:rPr>
                                <w:color w:val="000000"/>
                              </w:rPr>
                              <w:t>Roadless</w:t>
                            </w:r>
                            <w:r>
                              <w:rPr>
                                <w:color w:val="000000"/>
                                <w:spacing w:val="-3"/>
                              </w:rPr>
                              <w:t> </w:t>
                            </w:r>
                            <w:r>
                              <w:rPr>
                                <w:color w:val="000000"/>
                              </w:rPr>
                              <w:t>Areas,</w:t>
                            </w:r>
                            <w:r>
                              <w:rPr>
                                <w:color w:val="000000"/>
                                <w:spacing w:val="-5"/>
                              </w:rPr>
                              <w:t> </w:t>
                            </w:r>
                            <w:r>
                              <w:rPr>
                                <w:color w:val="000000"/>
                              </w:rPr>
                              <w:t>the</w:t>
                            </w:r>
                            <w:r>
                              <w:rPr>
                                <w:color w:val="000000"/>
                                <w:spacing w:val="-2"/>
                              </w:rPr>
                              <w:t> </w:t>
                            </w:r>
                            <w:r>
                              <w:rPr>
                                <w:color w:val="000000"/>
                              </w:rPr>
                              <w:t>additional</w:t>
                            </w:r>
                            <w:r>
                              <w:rPr>
                                <w:color w:val="000000"/>
                                <w:spacing w:val="-3"/>
                              </w:rPr>
                              <w:t> </w:t>
                            </w:r>
                            <w:r>
                              <w:rPr>
                                <w:color w:val="000000"/>
                              </w:rPr>
                              <w:t>roadless</w:t>
                            </w:r>
                            <w:r>
                              <w:rPr>
                                <w:color w:val="000000"/>
                                <w:spacing w:val="-3"/>
                              </w:rPr>
                              <w:t> </w:t>
                            </w:r>
                            <w:r>
                              <w:rPr>
                                <w:color w:val="000000"/>
                              </w:rPr>
                              <w:t>areas</w:t>
                            </w:r>
                            <w:r>
                              <w:rPr>
                                <w:color w:val="000000"/>
                                <w:spacing w:val="-5"/>
                              </w:rPr>
                              <w:t> </w:t>
                            </w:r>
                            <w:r>
                              <w:rPr>
                                <w:color w:val="000000"/>
                              </w:rPr>
                              <w:t>identified in the plan revision wilderness evaluation process,</w:t>
                            </w:r>
                            <w:r>
                              <w:rPr>
                                <w:color w:val="000000"/>
                                <w:spacing w:val="-1"/>
                              </w:rPr>
                              <w:t> </w:t>
                            </w:r>
                            <w:r>
                              <w:rPr>
                                <w:color w:val="000000"/>
                              </w:rPr>
                              <w:t>and</w:t>
                            </w:r>
                            <w:r>
                              <w:rPr>
                                <w:color w:val="000000"/>
                                <w:spacing w:val="-1"/>
                              </w:rPr>
                              <w:t> </w:t>
                            </w:r>
                            <w:r>
                              <w:rPr>
                                <w:color w:val="000000"/>
                              </w:rPr>
                              <w:t>wildlife habitats such as</w:t>
                            </w:r>
                            <w:r>
                              <w:rPr>
                                <w:color w:val="000000"/>
                                <w:spacing w:val="-1"/>
                              </w:rPr>
                              <w:t> </w:t>
                            </w:r>
                            <w:r>
                              <w:rPr>
                                <w:color w:val="000000"/>
                              </w:rPr>
                              <w:t>grizzly bear recovery areas, deer/elk winter range, and threatened, endangered, and sensitive plant </w:t>
                            </w:r>
                            <w:r>
                              <w:rPr>
                                <w:color w:val="000000"/>
                                <w:spacing w:val="-2"/>
                              </w:rPr>
                              <w:t>communities.</w:t>
                            </w:r>
                          </w:p>
                        </w:txbxContent>
                      </wps:txbx>
                      <wps:bodyPr wrap="square" lIns="0" tIns="0" rIns="0" bIns="0" rtlCol="0">
                        <a:noAutofit/>
                      </wps:bodyPr>
                    </wps:wsp>
                  </a:graphicData>
                </a:graphic>
              </wp:anchor>
            </w:drawing>
          </mc:Choice>
          <mc:Fallback>
            <w:pict>
              <v:shape style="position:absolute;margin-left:128.160004pt;margin-top:5.917393pt;width:413.3pt;height:140.3pt;mso-position-horizontal-relative:page;mso-position-vertical-relative:paragraph;z-index:-15693824;mso-wrap-distance-left:0;mso-wrap-distance-right:0" type="#_x0000_t202" id="docshape192" filled="true" fillcolor="#dfdfdf" stroked="false">
                <v:textbox inset="0,0,0,0">
                  <w:txbxContent>
                    <w:p>
                      <w:pPr>
                        <w:pStyle w:val="BodyText"/>
                        <w:ind w:left="28" w:right="50"/>
                        <w:rPr>
                          <w:color w:val="000000"/>
                        </w:rPr>
                      </w:pPr>
                      <w:r>
                        <w:rPr>
                          <w:color w:val="000000"/>
                        </w:rPr>
                        <w:t>This</w:t>
                      </w:r>
                      <w:r>
                        <w:rPr>
                          <w:color w:val="000000"/>
                          <w:spacing w:val="-4"/>
                        </w:rPr>
                        <w:t> </w:t>
                      </w:r>
                      <w:r>
                        <w:rPr>
                          <w:color w:val="000000"/>
                        </w:rPr>
                        <w:t>section</w:t>
                      </w:r>
                      <w:r>
                        <w:rPr>
                          <w:color w:val="000000"/>
                          <w:spacing w:val="-5"/>
                        </w:rPr>
                        <w:t> </w:t>
                      </w:r>
                      <w:r>
                        <w:rPr>
                          <w:color w:val="000000"/>
                        </w:rPr>
                        <w:t>provides</w:t>
                      </w:r>
                      <w:r>
                        <w:rPr>
                          <w:color w:val="000000"/>
                          <w:spacing w:val="-6"/>
                        </w:rPr>
                        <w:t> </w:t>
                      </w:r>
                      <w:r>
                        <w:rPr>
                          <w:color w:val="000000"/>
                        </w:rPr>
                        <w:t>management</w:t>
                      </w:r>
                      <w:r>
                        <w:rPr>
                          <w:color w:val="000000"/>
                          <w:spacing w:val="-3"/>
                        </w:rPr>
                        <w:t> </w:t>
                      </w:r>
                      <w:r>
                        <w:rPr>
                          <w:color w:val="000000"/>
                        </w:rPr>
                        <w:t>direction</w:t>
                      </w:r>
                      <w:r>
                        <w:rPr>
                          <w:color w:val="000000"/>
                          <w:spacing w:val="-5"/>
                        </w:rPr>
                        <w:t> </w:t>
                      </w:r>
                      <w:r>
                        <w:rPr>
                          <w:color w:val="000000"/>
                        </w:rPr>
                        <w:t>in</w:t>
                      </w:r>
                      <w:r>
                        <w:rPr>
                          <w:color w:val="000000"/>
                          <w:spacing w:val="-4"/>
                        </w:rPr>
                        <w:t> </w:t>
                      </w:r>
                      <w:r>
                        <w:rPr>
                          <w:color w:val="000000"/>
                        </w:rPr>
                        <w:t>Backcountry</w:t>
                      </w:r>
                      <w:r>
                        <w:rPr>
                          <w:color w:val="000000"/>
                          <w:spacing w:val="-3"/>
                        </w:rPr>
                        <w:t> </w:t>
                      </w:r>
                      <w:r>
                        <w:rPr>
                          <w:color w:val="000000"/>
                        </w:rPr>
                        <w:t>Motorized</w:t>
                      </w:r>
                      <w:r>
                        <w:rPr>
                          <w:color w:val="000000"/>
                          <w:spacing w:val="-7"/>
                        </w:rPr>
                        <w:t> </w:t>
                      </w:r>
                      <w:r>
                        <w:rPr>
                          <w:color w:val="000000"/>
                        </w:rPr>
                        <w:t>Management</w:t>
                      </w:r>
                      <w:r>
                        <w:rPr>
                          <w:color w:val="000000"/>
                          <w:spacing w:val="-3"/>
                        </w:rPr>
                        <w:t> </w:t>
                      </w:r>
                      <w:r>
                        <w:rPr>
                          <w:color w:val="000000"/>
                        </w:rPr>
                        <w:t>Areas. Backcountry Motorized Management Areas emphasize summer and winter motorized recreation opportunities and can include off-highway vehicles, motorcycles, jeeps, and over-snow vehicles. Backcountry Motorized Management Areas also provide opportunities for non-motorized recreation activities.</w:t>
                      </w:r>
                    </w:p>
                    <w:p>
                      <w:pPr>
                        <w:pStyle w:val="BodyText"/>
                        <w:spacing w:before="120"/>
                        <w:ind w:left="28"/>
                        <w:rPr>
                          <w:color w:val="000000"/>
                        </w:rPr>
                      </w:pPr>
                      <w:r>
                        <w:rPr>
                          <w:color w:val="000000"/>
                        </w:rPr>
                        <w:t>Backcountry Motorized Management Areas are spatially defined by the upper reaches of watersheds</w:t>
                      </w:r>
                      <w:r>
                        <w:rPr>
                          <w:color w:val="000000"/>
                          <w:spacing w:val="-3"/>
                        </w:rPr>
                        <w:t> </w:t>
                      </w:r>
                      <w:r>
                        <w:rPr>
                          <w:color w:val="000000"/>
                        </w:rPr>
                        <w:t>in</w:t>
                      </w:r>
                      <w:r>
                        <w:rPr>
                          <w:color w:val="000000"/>
                          <w:spacing w:val="-4"/>
                        </w:rPr>
                        <w:t> </w:t>
                      </w:r>
                      <w:r>
                        <w:rPr>
                          <w:color w:val="000000"/>
                        </w:rPr>
                        <w:t>the</w:t>
                      </w:r>
                      <w:r>
                        <w:rPr>
                          <w:color w:val="000000"/>
                          <w:spacing w:val="-5"/>
                        </w:rPr>
                        <w:t> </w:t>
                      </w:r>
                      <w:r>
                        <w:rPr>
                          <w:color w:val="000000"/>
                        </w:rPr>
                        <w:t>2001</w:t>
                      </w:r>
                      <w:r>
                        <w:rPr>
                          <w:color w:val="000000"/>
                          <w:spacing w:val="-2"/>
                        </w:rPr>
                        <w:t> </w:t>
                      </w:r>
                      <w:r>
                        <w:rPr>
                          <w:color w:val="000000"/>
                        </w:rPr>
                        <w:t>Inventoried</w:t>
                      </w:r>
                      <w:r>
                        <w:rPr>
                          <w:color w:val="000000"/>
                          <w:spacing w:val="-4"/>
                        </w:rPr>
                        <w:t> </w:t>
                      </w:r>
                      <w:r>
                        <w:rPr>
                          <w:color w:val="000000"/>
                        </w:rPr>
                        <w:t>Roadless</w:t>
                      </w:r>
                      <w:r>
                        <w:rPr>
                          <w:color w:val="000000"/>
                          <w:spacing w:val="-3"/>
                        </w:rPr>
                        <w:t> </w:t>
                      </w:r>
                      <w:r>
                        <w:rPr>
                          <w:color w:val="000000"/>
                        </w:rPr>
                        <w:t>Areas,</w:t>
                      </w:r>
                      <w:r>
                        <w:rPr>
                          <w:color w:val="000000"/>
                          <w:spacing w:val="-5"/>
                        </w:rPr>
                        <w:t> </w:t>
                      </w:r>
                      <w:r>
                        <w:rPr>
                          <w:color w:val="000000"/>
                        </w:rPr>
                        <w:t>the</w:t>
                      </w:r>
                      <w:r>
                        <w:rPr>
                          <w:color w:val="000000"/>
                          <w:spacing w:val="-2"/>
                        </w:rPr>
                        <w:t> </w:t>
                      </w:r>
                      <w:r>
                        <w:rPr>
                          <w:color w:val="000000"/>
                        </w:rPr>
                        <w:t>additional</w:t>
                      </w:r>
                      <w:r>
                        <w:rPr>
                          <w:color w:val="000000"/>
                          <w:spacing w:val="-3"/>
                        </w:rPr>
                        <w:t> </w:t>
                      </w:r>
                      <w:r>
                        <w:rPr>
                          <w:color w:val="000000"/>
                        </w:rPr>
                        <w:t>roadless</w:t>
                      </w:r>
                      <w:r>
                        <w:rPr>
                          <w:color w:val="000000"/>
                          <w:spacing w:val="-3"/>
                        </w:rPr>
                        <w:t> </w:t>
                      </w:r>
                      <w:r>
                        <w:rPr>
                          <w:color w:val="000000"/>
                        </w:rPr>
                        <w:t>areas</w:t>
                      </w:r>
                      <w:r>
                        <w:rPr>
                          <w:color w:val="000000"/>
                          <w:spacing w:val="-5"/>
                        </w:rPr>
                        <w:t> </w:t>
                      </w:r>
                      <w:r>
                        <w:rPr>
                          <w:color w:val="000000"/>
                        </w:rPr>
                        <w:t>identified in the plan revision wilderness evaluation process,</w:t>
                      </w:r>
                      <w:r>
                        <w:rPr>
                          <w:color w:val="000000"/>
                          <w:spacing w:val="-1"/>
                        </w:rPr>
                        <w:t> </w:t>
                      </w:r>
                      <w:r>
                        <w:rPr>
                          <w:color w:val="000000"/>
                        </w:rPr>
                        <w:t>and</w:t>
                      </w:r>
                      <w:r>
                        <w:rPr>
                          <w:color w:val="000000"/>
                          <w:spacing w:val="-1"/>
                        </w:rPr>
                        <w:t> </w:t>
                      </w:r>
                      <w:r>
                        <w:rPr>
                          <w:color w:val="000000"/>
                        </w:rPr>
                        <w:t>wildlife habitats such as</w:t>
                      </w:r>
                      <w:r>
                        <w:rPr>
                          <w:color w:val="000000"/>
                          <w:spacing w:val="-1"/>
                        </w:rPr>
                        <w:t> </w:t>
                      </w:r>
                      <w:r>
                        <w:rPr>
                          <w:color w:val="000000"/>
                        </w:rPr>
                        <w:t>grizzly bear recovery areas, deer/elk winter range, and threatened, endangered, and sensitive plant </w:t>
                      </w:r>
                      <w:r>
                        <w:rPr>
                          <w:color w:val="000000"/>
                          <w:spacing w:val="-2"/>
                        </w:rPr>
                        <w:t>communities.</w:t>
                      </w:r>
                    </w:p>
                  </w:txbxContent>
                </v:textbox>
                <v:fill type="solid"/>
                <w10:wrap type="topAndBottom"/>
              </v:shape>
            </w:pict>
          </mc:Fallback>
        </mc:AlternateContent>
      </w:r>
    </w:p>
    <w:p>
      <w:pPr>
        <w:pStyle w:val="Heading4"/>
        <w:spacing w:before="240"/>
        <w:ind w:left="1151"/>
      </w:pPr>
      <w:bookmarkStart w:name="Desired Conditions" w:id="590"/>
      <w:bookmarkEnd w:id="590"/>
      <w:r>
        <w:rPr/>
      </w:r>
      <w:bookmarkStart w:name="_bookmark183" w:id="591"/>
      <w:bookmarkEnd w:id="591"/>
      <w:r>
        <w:rPr/>
      </w:r>
      <w:r>
        <w:rPr/>
        <w:t>Desired</w:t>
      </w:r>
      <w:r>
        <w:rPr>
          <w:spacing w:val="-4"/>
        </w:rPr>
        <w:t> </w:t>
      </w:r>
      <w:r>
        <w:rPr>
          <w:spacing w:val="-2"/>
        </w:rPr>
        <w:t>Conditions</w:t>
      </w:r>
    </w:p>
    <w:p>
      <w:pPr>
        <w:spacing w:before="240"/>
        <w:ind w:left="1151" w:right="0" w:firstLine="0"/>
        <w:jc w:val="left"/>
        <w:rPr>
          <w:rFonts w:ascii="Arial"/>
          <w:i/>
          <w:sz w:val="22"/>
        </w:rPr>
      </w:pPr>
      <w:bookmarkStart w:name="MA-DC-BCM-01. Vegetation" w:id="592"/>
      <w:bookmarkEnd w:id="592"/>
      <w:r>
        <w:rPr/>
      </w:r>
      <w:r>
        <w:rPr>
          <w:rFonts w:ascii="Arial"/>
          <w:i/>
          <w:sz w:val="22"/>
        </w:rPr>
        <w:t>MA-DC-BCM-01.</w:t>
      </w:r>
      <w:r>
        <w:rPr>
          <w:rFonts w:ascii="Arial"/>
          <w:i/>
          <w:spacing w:val="-11"/>
          <w:sz w:val="22"/>
        </w:rPr>
        <w:t> </w:t>
      </w:r>
      <w:r>
        <w:rPr>
          <w:rFonts w:ascii="Arial"/>
          <w:i/>
          <w:spacing w:val="-2"/>
          <w:sz w:val="22"/>
        </w:rPr>
        <w:t>Vegetation</w:t>
      </w:r>
    </w:p>
    <w:p>
      <w:pPr>
        <w:pStyle w:val="BodyText"/>
        <w:spacing w:line="232" w:lineRule="auto" w:before="67"/>
        <w:ind w:left="1151" w:right="742"/>
      </w:pPr>
      <w:r>
        <w:rPr/>
        <w:t>The landscape is natural-appearing. It contributes to the variety of native plant communities and the structure</w:t>
      </w:r>
      <w:r>
        <w:rPr>
          <w:spacing w:val="-1"/>
        </w:rPr>
        <w:t> </w:t>
      </w:r>
      <w:r>
        <w:rPr/>
        <w:t>as defined in desired conditions</w:t>
      </w:r>
      <w:r>
        <w:rPr>
          <w:spacing w:val="-1"/>
        </w:rPr>
        <w:t> </w:t>
      </w:r>
      <w:r>
        <w:rPr/>
        <w:t>for</w:t>
      </w:r>
      <w:r>
        <w:rPr>
          <w:spacing w:val="-4"/>
        </w:rPr>
        <w:t> </w:t>
      </w:r>
      <w:r>
        <w:rPr/>
        <w:t>vegetation, aquatic,</w:t>
      </w:r>
      <w:r>
        <w:rPr>
          <w:spacing w:val="-1"/>
        </w:rPr>
        <w:t> </w:t>
      </w:r>
      <w:r>
        <w:rPr/>
        <w:t>and wildlife habitats. The desired conditions for vegetation are achieved through a combination of ecological processes</w:t>
      </w:r>
      <w:r>
        <w:rPr>
          <w:spacing w:val="-6"/>
        </w:rPr>
        <w:t> </w:t>
      </w:r>
      <w:r>
        <w:rPr/>
        <w:t>and</w:t>
      </w:r>
      <w:r>
        <w:rPr>
          <w:spacing w:val="-7"/>
        </w:rPr>
        <w:t> </w:t>
      </w:r>
      <w:r>
        <w:rPr/>
        <w:t>management</w:t>
      </w:r>
      <w:r>
        <w:rPr>
          <w:spacing w:val="-3"/>
        </w:rPr>
        <w:t> </w:t>
      </w:r>
      <w:r>
        <w:rPr/>
        <w:t>activities.</w:t>
      </w:r>
      <w:r>
        <w:rPr>
          <w:spacing w:val="-7"/>
        </w:rPr>
        <w:t> </w:t>
      </w:r>
      <w:r>
        <w:rPr/>
        <w:t>While</w:t>
      </w:r>
      <w:r>
        <w:rPr>
          <w:spacing w:val="-6"/>
        </w:rPr>
        <w:t> </w:t>
      </w:r>
      <w:r>
        <w:rPr/>
        <w:t>the</w:t>
      </w:r>
      <w:r>
        <w:rPr>
          <w:spacing w:val="-3"/>
        </w:rPr>
        <w:t> </w:t>
      </w:r>
      <w:r>
        <w:rPr/>
        <w:t>landscape</w:t>
      </w:r>
      <w:r>
        <w:rPr>
          <w:spacing w:val="-3"/>
        </w:rPr>
        <w:t> </w:t>
      </w:r>
      <w:r>
        <w:rPr/>
        <w:t>is</w:t>
      </w:r>
      <w:r>
        <w:rPr>
          <w:spacing w:val="-4"/>
        </w:rPr>
        <w:t> </w:t>
      </w:r>
      <w:r>
        <w:rPr/>
        <w:t>predominantly</w:t>
      </w:r>
      <w:r>
        <w:rPr>
          <w:spacing w:val="-3"/>
        </w:rPr>
        <w:t> </w:t>
      </w:r>
      <w:r>
        <w:rPr/>
        <w:t>natural-appearing, a few locations have a vegetation structure that is altered to contribute to the recreational setting</w:t>
      </w:r>
      <w:r>
        <w:rPr>
          <w:spacing w:val="-6"/>
        </w:rPr>
        <w:t> </w:t>
      </w:r>
      <w:r>
        <w:rPr/>
        <w:t>such</w:t>
      </w:r>
      <w:r>
        <w:rPr>
          <w:spacing w:val="-6"/>
        </w:rPr>
        <w:t> </w:t>
      </w:r>
      <w:r>
        <w:rPr/>
        <w:t>as</w:t>
      </w:r>
      <w:r>
        <w:rPr>
          <w:spacing w:val="-7"/>
        </w:rPr>
        <w:t> </w:t>
      </w:r>
      <w:r>
        <w:rPr/>
        <w:t>openings</w:t>
      </w:r>
      <w:r>
        <w:rPr>
          <w:spacing w:val="-5"/>
        </w:rPr>
        <w:t> </w:t>
      </w:r>
      <w:r>
        <w:rPr/>
        <w:t>created</w:t>
      </w:r>
      <w:r>
        <w:rPr>
          <w:spacing w:val="-6"/>
        </w:rPr>
        <w:t> </w:t>
      </w:r>
      <w:r>
        <w:rPr/>
        <w:t>and</w:t>
      </w:r>
      <w:r>
        <w:rPr>
          <w:spacing w:val="-6"/>
        </w:rPr>
        <w:t> </w:t>
      </w:r>
      <w:r>
        <w:rPr/>
        <w:t>retained</w:t>
      </w:r>
      <w:r>
        <w:rPr>
          <w:spacing w:val="-6"/>
        </w:rPr>
        <w:t> </w:t>
      </w:r>
      <w:r>
        <w:rPr/>
        <w:t>for</w:t>
      </w:r>
      <w:r>
        <w:rPr>
          <w:spacing w:val="-5"/>
        </w:rPr>
        <w:t> </w:t>
      </w:r>
      <w:r>
        <w:rPr/>
        <w:t>scenic</w:t>
      </w:r>
      <w:r>
        <w:rPr>
          <w:spacing w:val="-5"/>
        </w:rPr>
        <w:t> </w:t>
      </w:r>
      <w:r>
        <w:rPr/>
        <w:t>views</w:t>
      </w:r>
      <w:r>
        <w:rPr>
          <w:spacing w:val="-7"/>
        </w:rPr>
        <w:t> </w:t>
      </w:r>
      <w:r>
        <w:rPr/>
        <w:t>and</w:t>
      </w:r>
      <w:r>
        <w:rPr>
          <w:spacing w:val="-6"/>
        </w:rPr>
        <w:t> </w:t>
      </w:r>
      <w:r>
        <w:rPr/>
        <w:t>for</w:t>
      </w:r>
      <w:r>
        <w:rPr>
          <w:spacing w:val="-7"/>
        </w:rPr>
        <w:t> </w:t>
      </w:r>
      <w:r>
        <w:rPr/>
        <w:t>existing</w:t>
      </w:r>
      <w:r>
        <w:rPr>
          <w:spacing w:val="-6"/>
        </w:rPr>
        <w:t> </w:t>
      </w:r>
      <w:r>
        <w:rPr/>
        <w:t>roads.</w:t>
      </w:r>
      <w:r>
        <w:rPr>
          <w:spacing w:val="-5"/>
        </w:rPr>
        <w:t> </w:t>
      </w:r>
      <w:r>
        <w:rPr/>
        <w:t>The</w:t>
      </w:r>
      <w:r>
        <w:rPr>
          <w:spacing w:val="-4"/>
        </w:rPr>
        <w:t> </w:t>
      </w:r>
      <w:r>
        <w:rPr/>
        <w:t>scenic integrity objective is high.</w:t>
      </w:r>
    </w:p>
    <w:p>
      <w:pPr>
        <w:spacing w:before="230"/>
        <w:ind w:left="1151" w:right="0" w:firstLine="0"/>
        <w:jc w:val="left"/>
        <w:rPr>
          <w:rFonts w:ascii="Arial"/>
          <w:i/>
          <w:sz w:val="22"/>
        </w:rPr>
      </w:pPr>
      <w:bookmarkStart w:name="MA-DC-BCM-02. Habitat" w:id="593"/>
      <w:bookmarkEnd w:id="593"/>
      <w:r>
        <w:rPr/>
      </w:r>
      <w:r>
        <w:rPr>
          <w:rFonts w:ascii="Arial"/>
          <w:i/>
          <w:sz w:val="22"/>
        </w:rPr>
        <w:t>MA-DC-BCM-02.</w:t>
      </w:r>
      <w:r>
        <w:rPr>
          <w:rFonts w:ascii="Arial"/>
          <w:i/>
          <w:spacing w:val="-11"/>
          <w:sz w:val="22"/>
        </w:rPr>
        <w:t> </w:t>
      </w:r>
      <w:r>
        <w:rPr>
          <w:rFonts w:ascii="Arial"/>
          <w:i/>
          <w:spacing w:val="-2"/>
          <w:sz w:val="22"/>
        </w:rPr>
        <w:t>Habitat</w:t>
      </w:r>
    </w:p>
    <w:p>
      <w:pPr>
        <w:pStyle w:val="BodyText"/>
        <w:spacing w:line="232" w:lineRule="auto" w:before="65"/>
        <w:ind w:left="1151" w:right="801"/>
      </w:pPr>
      <w:r>
        <w:rPr/>
        <w:t>These areas contribute to preserving natural behaviors and processes that sustain wildlife populations,</w:t>
      </w:r>
      <w:r>
        <w:rPr>
          <w:spacing w:val="-7"/>
        </w:rPr>
        <w:t> </w:t>
      </w:r>
      <w:r>
        <w:rPr/>
        <w:t>provide</w:t>
      </w:r>
      <w:r>
        <w:rPr>
          <w:spacing w:val="-6"/>
        </w:rPr>
        <w:t> </w:t>
      </w:r>
      <w:r>
        <w:rPr/>
        <w:t>connectivity</w:t>
      </w:r>
      <w:r>
        <w:rPr>
          <w:spacing w:val="-6"/>
        </w:rPr>
        <w:t> </w:t>
      </w:r>
      <w:r>
        <w:rPr/>
        <w:t>and</w:t>
      </w:r>
      <w:r>
        <w:rPr>
          <w:spacing w:val="-8"/>
        </w:rPr>
        <w:t> </w:t>
      </w:r>
      <w:r>
        <w:rPr/>
        <w:t>contribute</w:t>
      </w:r>
      <w:r>
        <w:rPr>
          <w:spacing w:val="-6"/>
        </w:rPr>
        <w:t> </w:t>
      </w:r>
      <w:r>
        <w:rPr/>
        <w:t>aquatic,</w:t>
      </w:r>
      <w:r>
        <w:rPr>
          <w:spacing w:val="-7"/>
        </w:rPr>
        <w:t> </w:t>
      </w:r>
      <w:r>
        <w:rPr/>
        <w:t>plant,</w:t>
      </w:r>
      <w:r>
        <w:rPr>
          <w:spacing w:val="-7"/>
        </w:rPr>
        <w:t> </w:t>
      </w:r>
      <w:r>
        <w:rPr/>
        <w:t>and</w:t>
      </w:r>
      <w:r>
        <w:rPr>
          <w:spacing w:val="-10"/>
        </w:rPr>
        <w:t> </w:t>
      </w:r>
      <w:r>
        <w:rPr/>
        <w:t>wildlife</w:t>
      </w:r>
      <w:r>
        <w:rPr>
          <w:spacing w:val="-6"/>
        </w:rPr>
        <w:t> </w:t>
      </w:r>
      <w:r>
        <w:rPr/>
        <w:t>habitat</w:t>
      </w:r>
      <w:r>
        <w:rPr>
          <w:spacing w:val="-6"/>
        </w:rPr>
        <w:t> </w:t>
      </w:r>
      <w:r>
        <w:rPr/>
        <w:t>conditions for species that benefit from low human use (these areas provide a high level of habitat </w:t>
      </w:r>
      <w:r>
        <w:rPr>
          <w:spacing w:val="-2"/>
        </w:rPr>
        <w:t>effectiveness).</w:t>
      </w:r>
    </w:p>
    <w:p>
      <w:pPr>
        <w:spacing w:before="234"/>
        <w:ind w:left="1151" w:right="0" w:firstLine="0"/>
        <w:jc w:val="left"/>
        <w:rPr>
          <w:rFonts w:ascii="Arial"/>
          <w:i/>
          <w:sz w:val="22"/>
        </w:rPr>
      </w:pPr>
      <w:bookmarkStart w:name="MA-DC-BCM-03. Recreation Setting and Act" w:id="594"/>
      <w:bookmarkEnd w:id="594"/>
      <w:r>
        <w:rPr/>
      </w:r>
      <w:r>
        <w:rPr>
          <w:rFonts w:ascii="Arial"/>
          <w:i/>
          <w:sz w:val="22"/>
        </w:rPr>
        <w:t>MA-DC-BCM-03.</w:t>
      </w:r>
      <w:r>
        <w:rPr>
          <w:rFonts w:ascii="Arial"/>
          <w:i/>
          <w:spacing w:val="-6"/>
          <w:sz w:val="22"/>
        </w:rPr>
        <w:t> </w:t>
      </w:r>
      <w:r>
        <w:rPr>
          <w:rFonts w:ascii="Arial"/>
          <w:i/>
          <w:sz w:val="22"/>
        </w:rPr>
        <w:t>Recreation</w:t>
      </w:r>
      <w:r>
        <w:rPr>
          <w:rFonts w:ascii="Arial"/>
          <w:i/>
          <w:spacing w:val="-8"/>
          <w:sz w:val="22"/>
        </w:rPr>
        <w:t> </w:t>
      </w:r>
      <w:r>
        <w:rPr>
          <w:rFonts w:ascii="Arial"/>
          <w:i/>
          <w:sz w:val="22"/>
        </w:rPr>
        <w:t>Setting</w:t>
      </w:r>
      <w:r>
        <w:rPr>
          <w:rFonts w:ascii="Arial"/>
          <w:i/>
          <w:spacing w:val="-7"/>
          <w:sz w:val="22"/>
        </w:rPr>
        <w:t> </w:t>
      </w:r>
      <w:r>
        <w:rPr>
          <w:rFonts w:ascii="Arial"/>
          <w:i/>
          <w:sz w:val="22"/>
        </w:rPr>
        <w:t>and</w:t>
      </w:r>
      <w:r>
        <w:rPr>
          <w:rFonts w:ascii="Arial"/>
          <w:i/>
          <w:spacing w:val="-7"/>
          <w:sz w:val="22"/>
        </w:rPr>
        <w:t> </w:t>
      </w:r>
      <w:r>
        <w:rPr>
          <w:rFonts w:ascii="Arial"/>
          <w:i/>
          <w:spacing w:val="-2"/>
          <w:sz w:val="22"/>
        </w:rPr>
        <w:t>Activities</w:t>
      </w:r>
    </w:p>
    <w:p>
      <w:pPr>
        <w:pStyle w:val="BodyText"/>
        <w:spacing w:line="232" w:lineRule="auto" w:before="64"/>
        <w:ind w:left="1151" w:right="742"/>
      </w:pPr>
      <w:r>
        <w:rPr/>
        <w:t>These</w:t>
      </w:r>
      <w:r>
        <w:rPr>
          <w:spacing w:val="-5"/>
        </w:rPr>
        <w:t> </w:t>
      </w:r>
      <w:r>
        <w:rPr/>
        <w:t>areas</w:t>
      </w:r>
      <w:r>
        <w:rPr>
          <w:spacing w:val="-8"/>
        </w:rPr>
        <w:t> </w:t>
      </w:r>
      <w:r>
        <w:rPr/>
        <w:t>display</w:t>
      </w:r>
      <w:r>
        <w:rPr>
          <w:spacing w:val="-5"/>
        </w:rPr>
        <w:t> </w:t>
      </w:r>
      <w:r>
        <w:rPr/>
        <w:t>natural</w:t>
      </w:r>
      <w:r>
        <w:rPr>
          <w:spacing w:val="-9"/>
        </w:rPr>
        <w:t> </w:t>
      </w:r>
      <w:r>
        <w:rPr/>
        <w:t>landscapes</w:t>
      </w:r>
      <w:r>
        <w:rPr>
          <w:spacing w:val="-6"/>
        </w:rPr>
        <w:t> </w:t>
      </w:r>
      <w:r>
        <w:rPr/>
        <w:t>where</w:t>
      </w:r>
      <w:r>
        <w:rPr>
          <w:spacing w:val="-5"/>
        </w:rPr>
        <w:t> </w:t>
      </w:r>
      <w:r>
        <w:rPr/>
        <w:t>generally</w:t>
      </w:r>
      <w:r>
        <w:rPr>
          <w:spacing w:val="-5"/>
        </w:rPr>
        <w:t> </w:t>
      </w:r>
      <w:r>
        <w:rPr/>
        <w:t>only</w:t>
      </w:r>
      <w:r>
        <w:rPr>
          <w:spacing w:val="-5"/>
        </w:rPr>
        <w:t> </w:t>
      </w:r>
      <w:r>
        <w:rPr/>
        <w:t>ecological</w:t>
      </w:r>
      <w:r>
        <w:rPr>
          <w:spacing w:val="-6"/>
        </w:rPr>
        <w:t> </w:t>
      </w:r>
      <w:r>
        <w:rPr/>
        <w:t>changes</w:t>
      </w:r>
      <w:r>
        <w:rPr>
          <w:spacing w:val="-8"/>
        </w:rPr>
        <w:t> </w:t>
      </w:r>
      <w:r>
        <w:rPr/>
        <w:t>occur</w:t>
      </w:r>
      <w:r>
        <w:rPr>
          <w:spacing w:val="-6"/>
        </w:rPr>
        <w:t> </w:t>
      </w:r>
      <w:r>
        <w:rPr/>
        <w:t>(very</w:t>
      </w:r>
      <w:r>
        <w:rPr>
          <w:spacing w:val="-5"/>
        </w:rPr>
        <w:t> </w:t>
      </w:r>
      <w:r>
        <w:rPr/>
        <w:t>high scenic integrity) and provide primitive or semi-primitive recreation opportunities. They provide an unroaded setting for a variety of summer and winter recreational opportunities. Seasonal use restrictions occur for the purpose of resource protection and recreation management.</w:t>
      </w:r>
    </w:p>
    <w:p>
      <w:pPr>
        <w:pStyle w:val="BodyText"/>
        <w:spacing w:line="232" w:lineRule="auto"/>
        <w:ind w:left="1151" w:right="1028"/>
        <w:jc w:val="both"/>
      </w:pPr>
      <w:r>
        <w:rPr/>
        <w:t>Human-caused</w:t>
      </w:r>
      <w:r>
        <w:rPr>
          <w:spacing w:val="-1"/>
        </w:rPr>
        <w:t> </w:t>
      </w:r>
      <w:r>
        <w:rPr/>
        <w:t>changes from</w:t>
      </w:r>
      <w:r>
        <w:rPr>
          <w:spacing w:val="-1"/>
        </w:rPr>
        <w:t> </w:t>
      </w:r>
      <w:r>
        <w:rPr/>
        <w:t>management actions</w:t>
      </w:r>
      <w:r>
        <w:rPr>
          <w:spacing w:val="-2"/>
        </w:rPr>
        <w:t> </w:t>
      </w:r>
      <w:r>
        <w:rPr/>
        <w:t>related</w:t>
      </w:r>
      <w:r>
        <w:rPr>
          <w:spacing w:val="-1"/>
        </w:rPr>
        <w:t> </w:t>
      </w:r>
      <w:r>
        <w:rPr/>
        <w:t>to recreation</w:t>
      </w:r>
      <w:r>
        <w:rPr>
          <w:spacing w:val="-1"/>
        </w:rPr>
        <w:t> </w:t>
      </w:r>
      <w:r>
        <w:rPr/>
        <w:t>are limited</w:t>
      </w:r>
      <w:r>
        <w:rPr>
          <w:spacing w:val="-1"/>
        </w:rPr>
        <w:t> </w:t>
      </w:r>
      <w:r>
        <w:rPr/>
        <w:t>in</w:t>
      </w:r>
      <w:r>
        <w:rPr>
          <w:spacing w:val="-1"/>
        </w:rPr>
        <w:t> </w:t>
      </w:r>
      <w:r>
        <w:rPr/>
        <w:t>scale, generally</w:t>
      </w:r>
      <w:r>
        <w:rPr>
          <w:spacing w:val="-5"/>
        </w:rPr>
        <w:t> </w:t>
      </w:r>
      <w:r>
        <w:rPr/>
        <w:t>not</w:t>
      </w:r>
      <w:r>
        <w:rPr>
          <w:spacing w:val="-8"/>
        </w:rPr>
        <w:t> </w:t>
      </w:r>
      <w:r>
        <w:rPr/>
        <w:t>visibly</w:t>
      </w:r>
      <w:r>
        <w:rPr>
          <w:spacing w:val="-7"/>
        </w:rPr>
        <w:t> </w:t>
      </w:r>
      <w:r>
        <w:rPr/>
        <w:t>evident,</w:t>
      </w:r>
      <w:r>
        <w:rPr>
          <w:spacing w:val="-6"/>
        </w:rPr>
        <w:t> </w:t>
      </w:r>
      <w:r>
        <w:rPr/>
        <w:t>and</w:t>
      </w:r>
      <w:r>
        <w:rPr>
          <w:spacing w:val="-7"/>
        </w:rPr>
        <w:t> </w:t>
      </w:r>
      <w:r>
        <w:rPr/>
        <w:t>reflect</w:t>
      </w:r>
      <w:r>
        <w:rPr>
          <w:spacing w:val="-5"/>
        </w:rPr>
        <w:t> </w:t>
      </w:r>
      <w:r>
        <w:rPr/>
        <w:t>a</w:t>
      </w:r>
      <w:r>
        <w:rPr>
          <w:spacing w:val="-8"/>
        </w:rPr>
        <w:t> </w:t>
      </w:r>
      <w:r>
        <w:rPr/>
        <w:t>semi-primitive</w:t>
      </w:r>
      <w:r>
        <w:rPr>
          <w:spacing w:val="-8"/>
        </w:rPr>
        <w:t> </w:t>
      </w:r>
      <w:r>
        <w:rPr/>
        <w:t>motorized</w:t>
      </w:r>
      <w:r>
        <w:rPr>
          <w:spacing w:val="-7"/>
        </w:rPr>
        <w:t> </w:t>
      </w:r>
      <w:r>
        <w:rPr/>
        <w:t>recreational</w:t>
      </w:r>
      <w:r>
        <w:rPr>
          <w:spacing w:val="-9"/>
        </w:rPr>
        <w:t> </w:t>
      </w:r>
      <w:r>
        <w:rPr/>
        <w:t>opportunity </w:t>
      </w:r>
      <w:r>
        <w:rPr>
          <w:spacing w:val="-2"/>
        </w:rPr>
        <w:t>setting.</w:t>
      </w:r>
    </w:p>
    <w:p>
      <w:pPr>
        <w:spacing w:before="233"/>
        <w:ind w:left="1151" w:right="0" w:firstLine="0"/>
        <w:jc w:val="left"/>
        <w:rPr>
          <w:rFonts w:ascii="Arial"/>
          <w:i/>
          <w:sz w:val="22"/>
        </w:rPr>
      </w:pPr>
      <w:bookmarkStart w:name="MA-DC-BCM-04. Developments and Improveme" w:id="595"/>
      <w:bookmarkEnd w:id="595"/>
      <w:r>
        <w:rPr/>
      </w:r>
      <w:r>
        <w:rPr>
          <w:rFonts w:ascii="Arial"/>
          <w:i/>
          <w:sz w:val="22"/>
        </w:rPr>
        <w:t>MA-DC-BCM-04.</w:t>
      </w:r>
      <w:r>
        <w:rPr>
          <w:rFonts w:ascii="Arial"/>
          <w:i/>
          <w:spacing w:val="-8"/>
          <w:sz w:val="22"/>
        </w:rPr>
        <w:t> </w:t>
      </w:r>
      <w:r>
        <w:rPr>
          <w:rFonts w:ascii="Arial"/>
          <w:i/>
          <w:sz w:val="22"/>
        </w:rPr>
        <w:t>Developments</w:t>
      </w:r>
      <w:r>
        <w:rPr>
          <w:rFonts w:ascii="Arial"/>
          <w:i/>
          <w:spacing w:val="-10"/>
          <w:sz w:val="22"/>
        </w:rPr>
        <w:t> </w:t>
      </w:r>
      <w:r>
        <w:rPr>
          <w:rFonts w:ascii="Arial"/>
          <w:i/>
          <w:sz w:val="22"/>
        </w:rPr>
        <w:t>and</w:t>
      </w:r>
      <w:r>
        <w:rPr>
          <w:rFonts w:ascii="Arial"/>
          <w:i/>
          <w:spacing w:val="-10"/>
          <w:sz w:val="22"/>
        </w:rPr>
        <w:t> </w:t>
      </w:r>
      <w:r>
        <w:rPr>
          <w:rFonts w:ascii="Arial"/>
          <w:i/>
          <w:spacing w:val="-2"/>
          <w:sz w:val="22"/>
        </w:rPr>
        <w:t>Improvements</w:t>
      </w:r>
    </w:p>
    <w:p>
      <w:pPr>
        <w:pStyle w:val="BodyText"/>
        <w:spacing w:line="232" w:lineRule="auto" w:before="65"/>
        <w:ind w:left="1151" w:right="742"/>
      </w:pPr>
      <w:r>
        <w:rPr/>
        <w:t>Facilities (whether Forest Service or under permit) are those necessary to protect resources, provide</w:t>
      </w:r>
      <w:r>
        <w:rPr>
          <w:spacing w:val="-7"/>
        </w:rPr>
        <w:t> </w:t>
      </w:r>
      <w:r>
        <w:rPr/>
        <w:t>for</w:t>
      </w:r>
      <w:r>
        <w:rPr>
          <w:spacing w:val="-10"/>
        </w:rPr>
        <w:t> </w:t>
      </w:r>
      <w:r>
        <w:rPr/>
        <w:t>safety,</w:t>
      </w:r>
      <w:r>
        <w:rPr>
          <w:spacing w:val="-8"/>
        </w:rPr>
        <w:t> </w:t>
      </w:r>
      <w:r>
        <w:rPr/>
        <w:t>public</w:t>
      </w:r>
      <w:r>
        <w:rPr>
          <w:spacing w:val="-8"/>
        </w:rPr>
        <w:t> </w:t>
      </w:r>
      <w:r>
        <w:rPr/>
        <w:t>benefit,</w:t>
      </w:r>
      <w:r>
        <w:rPr>
          <w:spacing w:val="-10"/>
        </w:rPr>
        <w:t> </w:t>
      </w:r>
      <w:r>
        <w:rPr/>
        <w:t>or</w:t>
      </w:r>
      <w:r>
        <w:rPr>
          <w:spacing w:val="-8"/>
        </w:rPr>
        <w:t> </w:t>
      </w:r>
      <w:r>
        <w:rPr/>
        <w:t>to</w:t>
      </w:r>
      <w:r>
        <w:rPr>
          <w:spacing w:val="-9"/>
        </w:rPr>
        <w:t> </w:t>
      </w:r>
      <w:r>
        <w:rPr/>
        <w:t>enhance</w:t>
      </w:r>
      <w:r>
        <w:rPr>
          <w:spacing w:val="-7"/>
        </w:rPr>
        <w:t> </w:t>
      </w:r>
      <w:r>
        <w:rPr/>
        <w:t>semi-primitive</w:t>
      </w:r>
      <w:r>
        <w:rPr>
          <w:spacing w:val="-7"/>
        </w:rPr>
        <w:t> </w:t>
      </w:r>
      <w:r>
        <w:rPr/>
        <w:t>recreation</w:t>
      </w:r>
      <w:r>
        <w:rPr>
          <w:spacing w:val="-11"/>
        </w:rPr>
        <w:t> </w:t>
      </w:r>
      <w:r>
        <w:rPr/>
        <w:t>experiences.</w:t>
      </w:r>
      <w:r>
        <w:rPr>
          <w:spacing w:val="-8"/>
        </w:rPr>
        <w:t> </w:t>
      </w:r>
      <w:r>
        <w:rPr/>
        <w:t>Facilities are few and include such things as fire lookouts, radio repeaters, administrative buildings, trailheads, trails,</w:t>
      </w:r>
      <w:r>
        <w:rPr>
          <w:spacing w:val="-1"/>
        </w:rPr>
        <w:t> </w:t>
      </w:r>
      <w:r>
        <w:rPr/>
        <w:t>signs, bridges, and shelters as well as</w:t>
      </w:r>
      <w:r>
        <w:rPr>
          <w:spacing w:val="-1"/>
        </w:rPr>
        <w:t> </w:t>
      </w:r>
      <w:r>
        <w:rPr/>
        <w:t>facilities needed for resource protection such as toilets, stock containment systems, fences, or water developments.</w:t>
      </w:r>
    </w:p>
    <w:p>
      <w:pPr>
        <w:spacing w:before="233"/>
        <w:ind w:left="1151" w:right="0" w:firstLine="0"/>
        <w:jc w:val="left"/>
        <w:rPr>
          <w:rFonts w:ascii="Arial"/>
          <w:i/>
          <w:sz w:val="22"/>
        </w:rPr>
      </w:pPr>
      <w:bookmarkStart w:name="MA-DC-BCM-05. Travelways, Roads" w:id="596"/>
      <w:bookmarkEnd w:id="596"/>
      <w:r>
        <w:rPr/>
      </w:r>
      <w:r>
        <w:rPr>
          <w:rFonts w:ascii="Arial"/>
          <w:i/>
          <w:sz w:val="22"/>
        </w:rPr>
        <w:t>MA-DC-BCM-05.</w:t>
      </w:r>
      <w:r>
        <w:rPr>
          <w:rFonts w:ascii="Arial"/>
          <w:i/>
          <w:spacing w:val="-12"/>
          <w:sz w:val="22"/>
        </w:rPr>
        <w:t> </w:t>
      </w:r>
      <w:r>
        <w:rPr>
          <w:rFonts w:ascii="Arial"/>
          <w:i/>
          <w:sz w:val="22"/>
        </w:rPr>
        <w:t>Travelways,</w:t>
      </w:r>
      <w:r>
        <w:rPr>
          <w:rFonts w:ascii="Arial"/>
          <w:i/>
          <w:spacing w:val="-9"/>
          <w:sz w:val="22"/>
        </w:rPr>
        <w:t> </w:t>
      </w:r>
      <w:r>
        <w:rPr>
          <w:rFonts w:ascii="Arial"/>
          <w:i/>
          <w:spacing w:val="-2"/>
          <w:sz w:val="22"/>
        </w:rPr>
        <w:t>Roads</w:t>
      </w:r>
    </w:p>
    <w:p>
      <w:pPr>
        <w:pStyle w:val="BodyText"/>
        <w:spacing w:before="58"/>
        <w:ind w:left="1151"/>
        <w:jc w:val="both"/>
      </w:pPr>
      <w:r>
        <w:rPr/>
        <w:t>There</w:t>
      </w:r>
      <w:r>
        <w:rPr>
          <w:spacing w:val="-12"/>
        </w:rPr>
        <w:t> </w:t>
      </w:r>
      <w:r>
        <w:rPr/>
        <w:t>are</w:t>
      </w:r>
      <w:r>
        <w:rPr>
          <w:spacing w:val="-6"/>
        </w:rPr>
        <w:t> </w:t>
      </w:r>
      <w:r>
        <w:rPr/>
        <w:t>no</w:t>
      </w:r>
      <w:r>
        <w:rPr>
          <w:spacing w:val="-7"/>
        </w:rPr>
        <w:t> </w:t>
      </w:r>
      <w:r>
        <w:rPr/>
        <w:t>National</w:t>
      </w:r>
      <w:r>
        <w:rPr>
          <w:spacing w:val="-7"/>
        </w:rPr>
        <w:t> </w:t>
      </w:r>
      <w:r>
        <w:rPr/>
        <w:t>Forest</w:t>
      </w:r>
      <w:r>
        <w:rPr>
          <w:spacing w:val="-7"/>
        </w:rPr>
        <w:t> </w:t>
      </w:r>
      <w:r>
        <w:rPr/>
        <w:t>System</w:t>
      </w:r>
      <w:r>
        <w:rPr>
          <w:spacing w:val="-6"/>
        </w:rPr>
        <w:t> </w:t>
      </w:r>
      <w:r>
        <w:rPr/>
        <w:t>roads.</w:t>
      </w:r>
      <w:r>
        <w:rPr>
          <w:spacing w:val="-10"/>
        </w:rPr>
        <w:t> </w:t>
      </w:r>
      <w:r>
        <w:rPr/>
        <w:t>Other</w:t>
      </w:r>
      <w:r>
        <w:rPr>
          <w:spacing w:val="-9"/>
        </w:rPr>
        <w:t> </w:t>
      </w:r>
      <w:r>
        <w:rPr/>
        <w:t>travelways,</w:t>
      </w:r>
      <w:r>
        <w:rPr>
          <w:spacing w:val="-9"/>
        </w:rPr>
        <w:t> </w:t>
      </w:r>
      <w:r>
        <w:rPr/>
        <w:t>such</w:t>
      </w:r>
      <w:r>
        <w:rPr>
          <w:spacing w:val="-8"/>
        </w:rPr>
        <w:t> </w:t>
      </w:r>
      <w:r>
        <w:rPr/>
        <w:t>as</w:t>
      </w:r>
      <w:r>
        <w:rPr>
          <w:spacing w:val="-10"/>
        </w:rPr>
        <w:t> </w:t>
      </w:r>
      <w:r>
        <w:rPr/>
        <w:t>trails,</w:t>
      </w:r>
      <w:r>
        <w:rPr>
          <w:spacing w:val="-7"/>
        </w:rPr>
        <w:t> </w:t>
      </w:r>
      <w:r>
        <w:rPr/>
        <w:t>are</w:t>
      </w:r>
      <w:r>
        <w:rPr>
          <w:spacing w:val="-6"/>
        </w:rPr>
        <w:t> </w:t>
      </w:r>
      <w:r>
        <w:rPr>
          <w:spacing w:val="-2"/>
        </w:rPr>
        <w:t>present.</w:t>
      </w:r>
    </w:p>
    <w:p>
      <w:pPr>
        <w:pStyle w:val="BodyText"/>
        <w:spacing w:after="0"/>
        <w:jc w:val="both"/>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DC-BCM-06. Existing and Proposed Uses" w:id="597"/>
      <w:bookmarkEnd w:id="597"/>
      <w:r>
        <w:rPr/>
      </w:r>
      <w:r>
        <w:rPr>
          <w:rFonts w:ascii="Arial"/>
          <w:i/>
          <w:sz w:val="22"/>
        </w:rPr>
        <w:t>MA-DC-BCM-06.</w:t>
      </w:r>
      <w:r>
        <w:rPr>
          <w:rFonts w:ascii="Arial"/>
          <w:i/>
          <w:spacing w:val="-6"/>
          <w:sz w:val="22"/>
        </w:rPr>
        <w:t> </w:t>
      </w:r>
      <w:r>
        <w:rPr>
          <w:rFonts w:ascii="Arial"/>
          <w:i/>
          <w:sz w:val="22"/>
        </w:rPr>
        <w:t>Existing</w:t>
      </w:r>
      <w:r>
        <w:rPr>
          <w:rFonts w:ascii="Arial"/>
          <w:i/>
          <w:spacing w:val="-8"/>
          <w:sz w:val="22"/>
        </w:rPr>
        <w:t> </w:t>
      </w:r>
      <w:r>
        <w:rPr>
          <w:rFonts w:ascii="Arial"/>
          <w:i/>
          <w:sz w:val="22"/>
        </w:rPr>
        <w:t>and</w:t>
      </w:r>
      <w:r>
        <w:rPr>
          <w:rFonts w:ascii="Arial"/>
          <w:i/>
          <w:spacing w:val="-7"/>
          <w:sz w:val="22"/>
        </w:rPr>
        <w:t> </w:t>
      </w:r>
      <w:r>
        <w:rPr>
          <w:rFonts w:ascii="Arial"/>
          <w:i/>
          <w:sz w:val="22"/>
        </w:rPr>
        <w:t>Proposed</w:t>
      </w:r>
      <w:r>
        <w:rPr>
          <w:rFonts w:ascii="Arial"/>
          <w:i/>
          <w:spacing w:val="-7"/>
          <w:sz w:val="22"/>
        </w:rPr>
        <w:t> </w:t>
      </w:r>
      <w:r>
        <w:rPr>
          <w:rFonts w:ascii="Arial"/>
          <w:i/>
          <w:spacing w:val="-4"/>
          <w:sz w:val="22"/>
        </w:rPr>
        <w:t>Uses</w:t>
      </w:r>
    </w:p>
    <w:p>
      <w:pPr>
        <w:pStyle w:val="BodyText"/>
        <w:spacing w:line="232" w:lineRule="auto" w:before="65"/>
        <w:ind w:left="360" w:right="1445"/>
      </w:pPr>
      <w:r>
        <w:rPr/>
        <w:t>Existing</w:t>
      </w:r>
      <w:r>
        <w:rPr>
          <w:spacing w:val="-7"/>
        </w:rPr>
        <w:t> </w:t>
      </w:r>
      <w:r>
        <w:rPr/>
        <w:t>and</w:t>
      </w:r>
      <w:r>
        <w:rPr>
          <w:spacing w:val="-7"/>
        </w:rPr>
        <w:t> </w:t>
      </w:r>
      <w:r>
        <w:rPr/>
        <w:t>proposed</w:t>
      </w:r>
      <w:r>
        <w:rPr>
          <w:spacing w:val="-7"/>
        </w:rPr>
        <w:t> </w:t>
      </w:r>
      <w:r>
        <w:rPr/>
        <w:t>recreation</w:t>
      </w:r>
      <w:r>
        <w:rPr>
          <w:spacing w:val="-7"/>
        </w:rPr>
        <w:t> </w:t>
      </w:r>
      <w:r>
        <w:rPr/>
        <w:t>activities</w:t>
      </w:r>
      <w:r>
        <w:rPr>
          <w:spacing w:val="-7"/>
        </w:rPr>
        <w:t> </w:t>
      </w:r>
      <w:r>
        <w:rPr/>
        <w:t>enhance</w:t>
      </w:r>
      <w:r>
        <w:rPr>
          <w:spacing w:val="-7"/>
        </w:rPr>
        <w:t> </w:t>
      </w:r>
      <w:r>
        <w:rPr/>
        <w:t>or</w:t>
      </w:r>
      <w:r>
        <w:rPr>
          <w:spacing w:val="-6"/>
        </w:rPr>
        <w:t> </w:t>
      </w:r>
      <w:r>
        <w:rPr/>
        <w:t>maintain</w:t>
      </w:r>
      <w:r>
        <w:rPr>
          <w:spacing w:val="-8"/>
        </w:rPr>
        <w:t> </w:t>
      </w:r>
      <w:r>
        <w:rPr/>
        <w:t>recreation</w:t>
      </w:r>
      <w:r>
        <w:rPr>
          <w:spacing w:val="-8"/>
        </w:rPr>
        <w:t> </w:t>
      </w:r>
      <w:r>
        <w:rPr/>
        <w:t>opportunities</w:t>
      </w:r>
      <w:r>
        <w:rPr>
          <w:spacing w:val="-6"/>
        </w:rPr>
        <w:t> </w:t>
      </w:r>
      <w:r>
        <w:rPr/>
        <w:t>that trend toward the semi-primitive motorized classification of the ROS.</w:t>
      </w:r>
    </w:p>
    <w:p>
      <w:pPr>
        <w:pStyle w:val="Heading4"/>
        <w:spacing w:before="235"/>
      </w:pPr>
      <w:bookmarkStart w:name="Standards" w:id="598"/>
      <w:bookmarkEnd w:id="598"/>
      <w:r>
        <w:rPr/>
      </w:r>
      <w:bookmarkStart w:name="_bookmark184" w:id="599"/>
      <w:bookmarkEnd w:id="599"/>
      <w:r>
        <w:rPr/>
      </w:r>
      <w:r>
        <w:rPr>
          <w:spacing w:val="-2"/>
        </w:rPr>
        <w:t>Standards</w:t>
      </w:r>
    </w:p>
    <w:p>
      <w:pPr>
        <w:spacing w:before="239"/>
        <w:ind w:left="360" w:right="0" w:firstLine="0"/>
        <w:jc w:val="left"/>
        <w:rPr>
          <w:rFonts w:ascii="Arial"/>
          <w:i/>
          <w:sz w:val="22"/>
        </w:rPr>
      </w:pPr>
      <w:bookmarkStart w:name="MA-STD-BCM-01. Trail Use" w:id="600"/>
      <w:bookmarkEnd w:id="600"/>
      <w:r>
        <w:rPr/>
      </w:r>
      <w:r>
        <w:rPr>
          <w:rFonts w:ascii="Arial"/>
          <w:i/>
          <w:sz w:val="22"/>
        </w:rPr>
        <w:t>MA-STD-BCM-01.</w:t>
      </w:r>
      <w:r>
        <w:rPr>
          <w:rFonts w:ascii="Arial"/>
          <w:i/>
          <w:spacing w:val="-8"/>
          <w:sz w:val="22"/>
        </w:rPr>
        <w:t> </w:t>
      </w:r>
      <w:r>
        <w:rPr>
          <w:rFonts w:ascii="Arial"/>
          <w:i/>
          <w:sz w:val="22"/>
        </w:rPr>
        <w:t>Trail</w:t>
      </w:r>
      <w:r>
        <w:rPr>
          <w:rFonts w:ascii="Arial"/>
          <w:i/>
          <w:spacing w:val="-11"/>
          <w:sz w:val="22"/>
        </w:rPr>
        <w:t> </w:t>
      </w:r>
      <w:r>
        <w:rPr>
          <w:rFonts w:ascii="Arial"/>
          <w:i/>
          <w:spacing w:val="-5"/>
          <w:sz w:val="22"/>
        </w:rPr>
        <w:t>Use</w:t>
      </w:r>
    </w:p>
    <w:p>
      <w:pPr>
        <w:pStyle w:val="BodyText"/>
        <w:spacing w:line="232" w:lineRule="auto" w:before="65"/>
        <w:ind w:left="359" w:right="1445"/>
      </w:pPr>
      <w:r>
        <w:rPr/>
        <w:t>Motorized,</w:t>
      </w:r>
      <w:r>
        <w:rPr>
          <w:spacing w:val="-8"/>
        </w:rPr>
        <w:t> </w:t>
      </w:r>
      <w:r>
        <w:rPr/>
        <w:t>mechanized</w:t>
      </w:r>
      <w:r>
        <w:rPr>
          <w:spacing w:val="-7"/>
        </w:rPr>
        <w:t> </w:t>
      </w:r>
      <w:r>
        <w:rPr/>
        <w:t>and</w:t>
      </w:r>
      <w:r>
        <w:rPr>
          <w:spacing w:val="-7"/>
        </w:rPr>
        <w:t> </w:t>
      </w:r>
      <w:r>
        <w:rPr/>
        <w:t>non-motorized</w:t>
      </w:r>
      <w:r>
        <w:rPr>
          <w:spacing w:val="-9"/>
        </w:rPr>
        <w:t> </w:t>
      </w:r>
      <w:r>
        <w:rPr/>
        <w:t>modes</w:t>
      </w:r>
      <w:r>
        <w:rPr>
          <w:spacing w:val="-8"/>
        </w:rPr>
        <w:t> </w:t>
      </w:r>
      <w:r>
        <w:rPr/>
        <w:t>of</w:t>
      </w:r>
      <w:r>
        <w:rPr>
          <w:spacing w:val="-8"/>
        </w:rPr>
        <w:t> </w:t>
      </w:r>
      <w:r>
        <w:rPr/>
        <w:t>travel</w:t>
      </w:r>
      <w:r>
        <w:rPr>
          <w:spacing w:val="-7"/>
        </w:rPr>
        <w:t> </w:t>
      </w:r>
      <w:r>
        <w:rPr/>
        <w:t>are</w:t>
      </w:r>
      <w:r>
        <w:rPr>
          <w:spacing w:val="-6"/>
        </w:rPr>
        <w:t> </w:t>
      </w:r>
      <w:r>
        <w:rPr/>
        <w:t>allowed</w:t>
      </w:r>
      <w:r>
        <w:rPr>
          <w:spacing w:val="-7"/>
        </w:rPr>
        <w:t> </w:t>
      </w:r>
      <w:r>
        <w:rPr/>
        <w:t>on</w:t>
      </w:r>
      <w:r>
        <w:rPr>
          <w:spacing w:val="-7"/>
        </w:rPr>
        <w:t> </w:t>
      </w:r>
      <w:r>
        <w:rPr/>
        <w:t>system</w:t>
      </w:r>
      <w:r>
        <w:rPr>
          <w:spacing w:val="-6"/>
        </w:rPr>
        <w:t> </w:t>
      </w:r>
      <w:r>
        <w:rPr/>
        <w:t>trails.</w:t>
      </w:r>
      <w:r>
        <w:rPr>
          <w:spacing w:val="-9"/>
        </w:rPr>
        <w:t> </w:t>
      </w:r>
      <w:r>
        <w:rPr/>
        <w:t>If conflicts occur between</w:t>
      </w:r>
      <w:r>
        <w:rPr>
          <w:spacing w:val="-1"/>
        </w:rPr>
        <w:t> </w:t>
      </w:r>
      <w:r>
        <w:rPr/>
        <w:t>types of trail users, motorized use will be given priority over non- motorized modes of travel.</w:t>
      </w:r>
    </w:p>
    <w:p>
      <w:pPr>
        <w:spacing w:before="235"/>
        <w:ind w:left="360" w:right="0" w:firstLine="0"/>
        <w:jc w:val="left"/>
        <w:rPr>
          <w:rFonts w:ascii="Arial"/>
          <w:i/>
          <w:sz w:val="22"/>
        </w:rPr>
      </w:pPr>
      <w:bookmarkStart w:name="MA-STD-BCM-02. Off-Trail Use" w:id="601"/>
      <w:bookmarkEnd w:id="601"/>
      <w:r>
        <w:rPr/>
      </w:r>
      <w:r>
        <w:rPr>
          <w:rFonts w:ascii="Arial"/>
          <w:i/>
          <w:sz w:val="22"/>
        </w:rPr>
        <w:t>MA-STD-BCM-02.</w:t>
      </w:r>
      <w:r>
        <w:rPr>
          <w:rFonts w:ascii="Arial"/>
          <w:i/>
          <w:spacing w:val="-12"/>
          <w:sz w:val="22"/>
        </w:rPr>
        <w:t> </w:t>
      </w:r>
      <w:r>
        <w:rPr>
          <w:rFonts w:ascii="Arial"/>
          <w:i/>
          <w:sz w:val="22"/>
        </w:rPr>
        <w:t>Off-Trail</w:t>
      </w:r>
      <w:r>
        <w:rPr>
          <w:rFonts w:ascii="Arial"/>
          <w:i/>
          <w:spacing w:val="-11"/>
          <w:sz w:val="22"/>
        </w:rPr>
        <w:t> </w:t>
      </w:r>
      <w:r>
        <w:rPr>
          <w:rFonts w:ascii="Arial"/>
          <w:i/>
          <w:spacing w:val="-5"/>
          <w:sz w:val="22"/>
        </w:rPr>
        <w:t>Use</w:t>
      </w:r>
    </w:p>
    <w:p>
      <w:pPr>
        <w:pStyle w:val="BodyText"/>
        <w:spacing w:line="232" w:lineRule="auto" w:before="65"/>
        <w:ind w:left="359" w:right="1621"/>
      </w:pPr>
      <w:r>
        <w:rPr/>
        <w:t>Off-trail</w:t>
      </w:r>
      <w:r>
        <w:rPr>
          <w:spacing w:val="-9"/>
        </w:rPr>
        <w:t> </w:t>
      </w:r>
      <w:r>
        <w:rPr/>
        <w:t>motorized</w:t>
      </w:r>
      <w:r>
        <w:rPr>
          <w:spacing w:val="-7"/>
        </w:rPr>
        <w:t> </w:t>
      </w:r>
      <w:r>
        <w:rPr/>
        <w:t>use</w:t>
      </w:r>
      <w:r>
        <w:rPr>
          <w:spacing w:val="-6"/>
        </w:rPr>
        <w:t> </w:t>
      </w:r>
      <w:r>
        <w:rPr/>
        <w:t>is</w:t>
      </w:r>
      <w:r>
        <w:rPr>
          <w:spacing w:val="-6"/>
        </w:rPr>
        <w:t> </w:t>
      </w:r>
      <w:r>
        <w:rPr/>
        <w:t>limited</w:t>
      </w:r>
      <w:r>
        <w:rPr>
          <w:spacing w:val="-9"/>
        </w:rPr>
        <w:t> </w:t>
      </w:r>
      <w:r>
        <w:rPr/>
        <w:t>to</w:t>
      </w:r>
      <w:r>
        <w:rPr>
          <w:spacing w:val="-7"/>
        </w:rPr>
        <w:t> </w:t>
      </w:r>
      <w:r>
        <w:rPr/>
        <w:t>those</w:t>
      </w:r>
      <w:r>
        <w:rPr>
          <w:spacing w:val="-6"/>
        </w:rPr>
        <w:t> </w:t>
      </w:r>
      <w:r>
        <w:rPr/>
        <w:t>areas</w:t>
      </w:r>
      <w:r>
        <w:rPr>
          <w:spacing w:val="-8"/>
        </w:rPr>
        <w:t> </w:t>
      </w:r>
      <w:r>
        <w:rPr/>
        <w:t>shown</w:t>
      </w:r>
      <w:r>
        <w:rPr>
          <w:spacing w:val="-7"/>
        </w:rPr>
        <w:t> </w:t>
      </w:r>
      <w:r>
        <w:rPr/>
        <w:t>on</w:t>
      </w:r>
      <w:r>
        <w:rPr>
          <w:spacing w:val="-7"/>
        </w:rPr>
        <w:t> </w:t>
      </w:r>
      <w:r>
        <w:rPr/>
        <w:t>the</w:t>
      </w:r>
      <w:r>
        <w:rPr>
          <w:spacing w:val="-8"/>
        </w:rPr>
        <w:t> </w:t>
      </w:r>
      <w:r>
        <w:rPr/>
        <w:t>Forest’s</w:t>
      </w:r>
      <w:r>
        <w:rPr>
          <w:spacing w:val="-6"/>
        </w:rPr>
        <w:t> </w:t>
      </w:r>
      <w:r>
        <w:rPr/>
        <w:t>current-year</w:t>
      </w:r>
      <w:r>
        <w:rPr>
          <w:spacing w:val="-8"/>
        </w:rPr>
        <w:t> </w:t>
      </w:r>
      <w:r>
        <w:rPr/>
        <w:t>motor vehicle use map and over-snow vehicle use map.</w:t>
      </w:r>
    </w:p>
    <w:p>
      <w:pPr>
        <w:pStyle w:val="Heading4"/>
        <w:spacing w:before="234"/>
      </w:pPr>
      <w:bookmarkStart w:name="Guidelines" w:id="602"/>
      <w:bookmarkEnd w:id="602"/>
      <w:r>
        <w:rPr/>
      </w:r>
      <w:bookmarkStart w:name="_bookmark185" w:id="603"/>
      <w:bookmarkEnd w:id="603"/>
      <w:r>
        <w:rPr/>
      </w:r>
      <w:r>
        <w:rPr>
          <w:spacing w:val="-2"/>
        </w:rPr>
        <w:t>Guidelines</w:t>
      </w:r>
    </w:p>
    <w:p>
      <w:pPr>
        <w:spacing w:before="240"/>
        <w:ind w:left="360" w:right="0" w:firstLine="0"/>
        <w:jc w:val="left"/>
        <w:rPr>
          <w:rFonts w:ascii="Arial"/>
          <w:i/>
          <w:sz w:val="22"/>
        </w:rPr>
      </w:pPr>
      <w:bookmarkStart w:name="MA-GDL-BCM-01. Trail Maintenance" w:id="604"/>
      <w:bookmarkEnd w:id="604"/>
      <w:r>
        <w:rPr/>
      </w:r>
      <w:r>
        <w:rPr>
          <w:rFonts w:ascii="Arial"/>
          <w:i/>
          <w:sz w:val="22"/>
        </w:rPr>
        <w:t>MA-GDL-BCM-01.</w:t>
      </w:r>
      <w:r>
        <w:rPr>
          <w:rFonts w:ascii="Arial"/>
          <w:i/>
          <w:spacing w:val="-10"/>
          <w:sz w:val="22"/>
        </w:rPr>
        <w:t> </w:t>
      </w:r>
      <w:r>
        <w:rPr>
          <w:rFonts w:ascii="Arial"/>
          <w:i/>
          <w:sz w:val="22"/>
        </w:rPr>
        <w:t>Trail</w:t>
      </w:r>
      <w:r>
        <w:rPr>
          <w:rFonts w:ascii="Arial"/>
          <w:i/>
          <w:spacing w:val="-10"/>
          <w:sz w:val="22"/>
        </w:rPr>
        <w:t> </w:t>
      </w:r>
      <w:r>
        <w:rPr>
          <w:rFonts w:ascii="Arial"/>
          <w:i/>
          <w:spacing w:val="-2"/>
          <w:sz w:val="22"/>
        </w:rPr>
        <w:t>Maintenance</w:t>
      </w:r>
    </w:p>
    <w:p>
      <w:pPr>
        <w:pStyle w:val="BodyText"/>
        <w:spacing w:line="232" w:lineRule="auto" w:before="65"/>
        <w:ind w:left="359" w:right="1843"/>
      </w:pPr>
      <w:r>
        <w:rPr/>
        <w:t>Motorized</w:t>
      </w:r>
      <w:r>
        <w:rPr>
          <w:spacing w:val="-8"/>
        </w:rPr>
        <w:t> </w:t>
      </w:r>
      <w:r>
        <w:rPr/>
        <w:t>and</w:t>
      </w:r>
      <w:r>
        <w:rPr>
          <w:spacing w:val="-7"/>
        </w:rPr>
        <w:t> </w:t>
      </w:r>
      <w:r>
        <w:rPr/>
        <w:t>non-motorized</w:t>
      </w:r>
      <w:r>
        <w:rPr>
          <w:spacing w:val="-7"/>
        </w:rPr>
        <w:t> </w:t>
      </w:r>
      <w:r>
        <w:rPr/>
        <w:t>equipment</w:t>
      </w:r>
      <w:r>
        <w:rPr>
          <w:spacing w:val="-8"/>
        </w:rPr>
        <w:t> </w:t>
      </w:r>
      <w:r>
        <w:rPr/>
        <w:t>may</w:t>
      </w:r>
      <w:r>
        <w:rPr>
          <w:spacing w:val="-5"/>
        </w:rPr>
        <w:t> </w:t>
      </w:r>
      <w:r>
        <w:rPr/>
        <w:t>be</w:t>
      </w:r>
      <w:r>
        <w:rPr>
          <w:spacing w:val="-5"/>
        </w:rPr>
        <w:t> </w:t>
      </w:r>
      <w:r>
        <w:rPr/>
        <w:t>used</w:t>
      </w:r>
      <w:r>
        <w:rPr>
          <w:spacing w:val="-7"/>
        </w:rPr>
        <w:t> </w:t>
      </w:r>
      <w:r>
        <w:rPr/>
        <w:t>for</w:t>
      </w:r>
      <w:r>
        <w:rPr>
          <w:spacing w:val="-6"/>
        </w:rPr>
        <w:t> </w:t>
      </w:r>
      <w:r>
        <w:rPr/>
        <w:t>trail</w:t>
      </w:r>
      <w:r>
        <w:rPr>
          <w:spacing w:val="-8"/>
        </w:rPr>
        <w:t> </w:t>
      </w:r>
      <w:r>
        <w:rPr/>
        <w:t>maintenance</w:t>
      </w:r>
      <w:r>
        <w:rPr>
          <w:spacing w:val="-8"/>
        </w:rPr>
        <w:t> </w:t>
      </w:r>
      <w:r>
        <w:rPr/>
        <w:t>to</w:t>
      </w:r>
      <w:r>
        <w:rPr>
          <w:spacing w:val="-5"/>
        </w:rPr>
        <w:t> </w:t>
      </w:r>
      <w:r>
        <w:rPr/>
        <w:t>preserve</w:t>
      </w:r>
      <w:r>
        <w:rPr>
          <w:spacing w:val="-8"/>
        </w:rPr>
        <w:t> </w:t>
      </w:r>
      <w:r>
        <w:rPr/>
        <w:t>the semi-primitive motorized character.</w:t>
      </w:r>
    </w:p>
    <w:p>
      <w:pPr>
        <w:spacing w:before="234"/>
        <w:ind w:left="359" w:right="0" w:firstLine="0"/>
        <w:jc w:val="left"/>
        <w:rPr>
          <w:rFonts w:ascii="Arial"/>
          <w:i/>
          <w:sz w:val="22"/>
        </w:rPr>
      </w:pPr>
      <w:bookmarkStart w:name="MA-GDL-BCM-02. Campsite Development" w:id="605"/>
      <w:bookmarkEnd w:id="605"/>
      <w:r>
        <w:rPr/>
      </w:r>
      <w:r>
        <w:rPr>
          <w:rFonts w:ascii="Arial"/>
          <w:i/>
          <w:sz w:val="22"/>
        </w:rPr>
        <w:t>MA-GDL-BCM-02.</w:t>
      </w:r>
      <w:r>
        <w:rPr>
          <w:rFonts w:ascii="Arial"/>
          <w:i/>
          <w:spacing w:val="-11"/>
          <w:sz w:val="22"/>
        </w:rPr>
        <w:t> </w:t>
      </w:r>
      <w:r>
        <w:rPr>
          <w:rFonts w:ascii="Arial"/>
          <w:i/>
          <w:sz w:val="22"/>
        </w:rPr>
        <w:t>Campsite</w:t>
      </w:r>
      <w:r>
        <w:rPr>
          <w:rFonts w:ascii="Arial"/>
          <w:i/>
          <w:spacing w:val="-9"/>
          <w:sz w:val="22"/>
        </w:rPr>
        <w:t> </w:t>
      </w:r>
      <w:r>
        <w:rPr>
          <w:rFonts w:ascii="Arial"/>
          <w:i/>
          <w:spacing w:val="-2"/>
          <w:sz w:val="22"/>
        </w:rPr>
        <w:t>Development</w:t>
      </w:r>
    </w:p>
    <w:p>
      <w:pPr>
        <w:pStyle w:val="BodyText"/>
        <w:spacing w:line="232" w:lineRule="auto" w:before="65"/>
        <w:ind w:left="359" w:right="1516"/>
      </w:pPr>
      <w:r>
        <w:rPr/>
        <w:t>Areas</w:t>
      </w:r>
      <w:r>
        <w:rPr>
          <w:spacing w:val="-5"/>
        </w:rPr>
        <w:t> </w:t>
      </w:r>
      <w:r>
        <w:rPr/>
        <w:t>appropriate</w:t>
      </w:r>
      <w:r>
        <w:rPr>
          <w:spacing w:val="-7"/>
        </w:rPr>
        <w:t> </w:t>
      </w:r>
      <w:r>
        <w:rPr/>
        <w:t>for</w:t>
      </w:r>
      <w:r>
        <w:rPr>
          <w:spacing w:val="-7"/>
        </w:rPr>
        <w:t> </w:t>
      </w:r>
      <w:r>
        <w:rPr/>
        <w:t>camping</w:t>
      </w:r>
      <w:r>
        <w:rPr>
          <w:spacing w:val="-6"/>
        </w:rPr>
        <w:t> </w:t>
      </w:r>
      <w:r>
        <w:rPr/>
        <w:t>should</w:t>
      </w:r>
      <w:r>
        <w:rPr>
          <w:spacing w:val="-6"/>
        </w:rPr>
        <w:t> </w:t>
      </w:r>
      <w:r>
        <w:rPr/>
        <w:t>only</w:t>
      </w:r>
      <w:r>
        <w:rPr>
          <w:spacing w:val="-6"/>
        </w:rPr>
        <w:t> </w:t>
      </w:r>
      <w:r>
        <w:rPr/>
        <w:t>be</w:t>
      </w:r>
      <w:r>
        <w:rPr>
          <w:spacing w:val="-4"/>
        </w:rPr>
        <w:t> </w:t>
      </w:r>
      <w:r>
        <w:rPr/>
        <w:t>designated</w:t>
      </w:r>
      <w:r>
        <w:rPr>
          <w:spacing w:val="-6"/>
        </w:rPr>
        <w:t> </w:t>
      </w:r>
      <w:r>
        <w:rPr/>
        <w:t>if</w:t>
      </w:r>
      <w:r>
        <w:rPr>
          <w:spacing w:val="-5"/>
        </w:rPr>
        <w:t> </w:t>
      </w:r>
      <w:r>
        <w:rPr/>
        <w:t>necessary</w:t>
      </w:r>
      <w:r>
        <w:rPr>
          <w:spacing w:val="-6"/>
        </w:rPr>
        <w:t> </w:t>
      </w:r>
      <w:r>
        <w:rPr/>
        <w:t>to</w:t>
      </w:r>
      <w:r>
        <w:rPr>
          <w:spacing w:val="-6"/>
        </w:rPr>
        <w:t> </w:t>
      </w:r>
      <w:r>
        <w:rPr/>
        <w:t>resolve</w:t>
      </w:r>
      <w:r>
        <w:rPr>
          <w:spacing w:val="-4"/>
        </w:rPr>
        <w:t> </w:t>
      </w:r>
      <w:r>
        <w:rPr/>
        <w:t>resource</w:t>
      </w:r>
      <w:r>
        <w:rPr>
          <w:spacing w:val="-4"/>
        </w:rPr>
        <w:t> </w:t>
      </w:r>
      <w:r>
        <w:rPr/>
        <w:t>issues and not to accommodate increasing levels of use.</w:t>
      </w:r>
      <w:r>
        <w:rPr>
          <w:spacing w:val="-1"/>
        </w:rPr>
        <w:t> </w:t>
      </w:r>
      <w:r>
        <w:rPr/>
        <w:t>Generally limit recreational site structures to one fire ring and naturally occurring rock or log seats. Authorized recreation developments (such as hitch-racks, high-lines, or site hardening) should only be installed where they would reduce or eliminate a proliferation of resource impacts and only in locations where other less intrusive tactics (i.e., education and enforcement) would not contain the impacts.</w:t>
      </w:r>
    </w:p>
    <w:p>
      <w:pPr>
        <w:pStyle w:val="BodyText"/>
        <w:spacing w:line="232" w:lineRule="auto"/>
        <w:ind w:left="359" w:right="1073"/>
      </w:pPr>
      <w:r>
        <w:rPr/>
        <w:t>Developments</w:t>
      </w:r>
      <w:r>
        <w:rPr>
          <w:spacing w:val="-4"/>
        </w:rPr>
        <w:t> </w:t>
      </w:r>
      <w:r>
        <w:rPr/>
        <w:t>should</w:t>
      </w:r>
      <w:r>
        <w:rPr>
          <w:spacing w:val="-5"/>
        </w:rPr>
        <w:t> </w:t>
      </w:r>
      <w:r>
        <w:rPr/>
        <w:t>be</w:t>
      </w:r>
      <w:r>
        <w:rPr>
          <w:spacing w:val="-6"/>
        </w:rPr>
        <w:t> </w:t>
      </w:r>
      <w:r>
        <w:rPr/>
        <w:t>removed</w:t>
      </w:r>
      <w:r>
        <w:rPr>
          <w:spacing w:val="-5"/>
        </w:rPr>
        <w:t> </w:t>
      </w:r>
      <w:r>
        <w:rPr/>
        <w:t>when</w:t>
      </w:r>
      <w:r>
        <w:rPr>
          <w:spacing w:val="-5"/>
        </w:rPr>
        <w:t> </w:t>
      </w:r>
      <w:r>
        <w:rPr/>
        <w:t>no</w:t>
      </w:r>
      <w:r>
        <w:rPr>
          <w:spacing w:val="-3"/>
        </w:rPr>
        <w:t> </w:t>
      </w:r>
      <w:r>
        <w:rPr/>
        <w:t>longer</w:t>
      </w:r>
      <w:r>
        <w:rPr>
          <w:spacing w:val="-4"/>
        </w:rPr>
        <w:t> </w:t>
      </w:r>
      <w:r>
        <w:rPr/>
        <w:t>serviceable</w:t>
      </w:r>
      <w:r>
        <w:rPr>
          <w:spacing w:val="-6"/>
        </w:rPr>
        <w:t> </w:t>
      </w:r>
      <w:r>
        <w:rPr/>
        <w:t>or</w:t>
      </w:r>
      <w:r>
        <w:rPr>
          <w:spacing w:val="-6"/>
        </w:rPr>
        <w:t> </w:t>
      </w:r>
      <w:r>
        <w:rPr/>
        <w:t>needed</w:t>
      </w:r>
      <w:r>
        <w:rPr>
          <w:spacing w:val="-3"/>
        </w:rPr>
        <w:t> </w:t>
      </w:r>
      <w:r>
        <w:rPr/>
        <w:t>(see</w:t>
      </w:r>
      <w:r>
        <w:rPr>
          <w:spacing w:val="-3"/>
        </w:rPr>
        <w:t> </w:t>
      </w:r>
      <w:r>
        <w:rPr/>
        <w:t>direction</w:t>
      </w:r>
      <w:r>
        <w:rPr>
          <w:spacing w:val="-5"/>
        </w:rPr>
        <w:t> </w:t>
      </w:r>
      <w:r>
        <w:rPr/>
        <w:t>under Administrative and Recreation Sites Management Area).</w:t>
      </w:r>
    </w:p>
    <w:p>
      <w:pPr>
        <w:spacing w:before="231"/>
        <w:ind w:left="359" w:right="0" w:firstLine="0"/>
        <w:jc w:val="left"/>
        <w:rPr>
          <w:rFonts w:ascii="Arial"/>
          <w:i/>
          <w:sz w:val="22"/>
        </w:rPr>
      </w:pPr>
      <w:bookmarkStart w:name="MA-GDL-BCM-03. Pets" w:id="606"/>
      <w:bookmarkEnd w:id="606"/>
      <w:r>
        <w:rPr/>
      </w:r>
      <w:r>
        <w:rPr>
          <w:rFonts w:ascii="Arial"/>
          <w:i/>
          <w:sz w:val="22"/>
        </w:rPr>
        <w:t>MA-GDL-BCM-03.</w:t>
      </w:r>
      <w:r>
        <w:rPr>
          <w:rFonts w:ascii="Arial"/>
          <w:i/>
          <w:spacing w:val="-13"/>
          <w:sz w:val="22"/>
        </w:rPr>
        <w:t> </w:t>
      </w:r>
      <w:r>
        <w:rPr>
          <w:rFonts w:ascii="Arial"/>
          <w:i/>
          <w:spacing w:val="-4"/>
          <w:sz w:val="22"/>
        </w:rPr>
        <w:t>Pets</w:t>
      </w:r>
    </w:p>
    <w:p>
      <w:pPr>
        <w:pStyle w:val="BodyText"/>
        <w:spacing w:line="232" w:lineRule="auto" w:before="65"/>
        <w:ind w:left="359" w:right="1445"/>
      </w:pPr>
      <w:r>
        <w:rPr/>
        <w:t>Pets (such as dogs or other domestic animals that are not categorized as stock) may be authorized</w:t>
      </w:r>
      <w:r>
        <w:rPr>
          <w:spacing w:val="-6"/>
        </w:rPr>
        <w:t> </w:t>
      </w:r>
      <w:r>
        <w:rPr/>
        <w:t>so</w:t>
      </w:r>
      <w:r>
        <w:rPr>
          <w:spacing w:val="-4"/>
        </w:rPr>
        <w:t> </w:t>
      </w:r>
      <w:r>
        <w:rPr/>
        <w:t>long</w:t>
      </w:r>
      <w:r>
        <w:rPr>
          <w:spacing w:val="-6"/>
        </w:rPr>
        <w:t> </w:t>
      </w:r>
      <w:r>
        <w:rPr/>
        <w:t>as</w:t>
      </w:r>
      <w:r>
        <w:rPr>
          <w:spacing w:val="-7"/>
        </w:rPr>
        <w:t> </w:t>
      </w:r>
      <w:r>
        <w:rPr/>
        <w:t>their</w:t>
      </w:r>
      <w:r>
        <w:rPr>
          <w:spacing w:val="-7"/>
        </w:rPr>
        <w:t> </w:t>
      </w:r>
      <w:r>
        <w:rPr/>
        <w:t>presence</w:t>
      </w:r>
      <w:r>
        <w:rPr>
          <w:spacing w:val="-7"/>
        </w:rPr>
        <w:t> </w:t>
      </w:r>
      <w:r>
        <w:rPr/>
        <w:t>does</w:t>
      </w:r>
      <w:r>
        <w:rPr>
          <w:spacing w:val="-5"/>
        </w:rPr>
        <w:t> </w:t>
      </w:r>
      <w:r>
        <w:rPr/>
        <w:t>not</w:t>
      </w:r>
      <w:r>
        <w:rPr>
          <w:spacing w:val="-4"/>
        </w:rPr>
        <w:t> </w:t>
      </w:r>
      <w:r>
        <w:rPr/>
        <w:t>interfere</w:t>
      </w:r>
      <w:r>
        <w:rPr>
          <w:spacing w:val="-4"/>
        </w:rPr>
        <w:t> </w:t>
      </w:r>
      <w:r>
        <w:rPr/>
        <w:t>with</w:t>
      </w:r>
      <w:r>
        <w:rPr>
          <w:spacing w:val="-8"/>
        </w:rPr>
        <w:t> </w:t>
      </w:r>
      <w:r>
        <w:rPr/>
        <w:t>wildlife</w:t>
      </w:r>
      <w:r>
        <w:rPr>
          <w:spacing w:val="-7"/>
        </w:rPr>
        <w:t> </w:t>
      </w:r>
      <w:r>
        <w:rPr/>
        <w:t>or</w:t>
      </w:r>
      <w:r>
        <w:rPr>
          <w:spacing w:val="-7"/>
        </w:rPr>
        <w:t> </w:t>
      </w:r>
      <w:r>
        <w:rPr/>
        <w:t>contribute</w:t>
      </w:r>
      <w:r>
        <w:rPr>
          <w:spacing w:val="-4"/>
        </w:rPr>
        <w:t> </w:t>
      </w:r>
      <w:r>
        <w:rPr/>
        <w:t>to</w:t>
      </w:r>
      <w:r>
        <w:rPr>
          <w:spacing w:val="-4"/>
        </w:rPr>
        <w:t> </w:t>
      </w:r>
      <w:r>
        <w:rPr/>
        <w:t>resource impacts or user conflicts. Pets should be fully controlled by their owner through voice commands, a leash, or other restraint (such as a shock collar).</w:t>
      </w:r>
    </w:p>
    <w:p>
      <w:pPr>
        <w:spacing w:before="234"/>
        <w:ind w:left="359" w:right="0" w:firstLine="0"/>
        <w:jc w:val="left"/>
        <w:rPr>
          <w:rFonts w:ascii="Arial"/>
          <w:i/>
          <w:sz w:val="22"/>
        </w:rPr>
      </w:pPr>
      <w:bookmarkStart w:name="MA-GDL-BCM-04. Fire" w:id="607"/>
      <w:bookmarkEnd w:id="607"/>
      <w:r>
        <w:rPr/>
      </w:r>
      <w:r>
        <w:rPr>
          <w:rFonts w:ascii="Arial"/>
          <w:i/>
          <w:sz w:val="22"/>
        </w:rPr>
        <w:t>MA-GDL-BCM-04.</w:t>
      </w:r>
      <w:r>
        <w:rPr>
          <w:rFonts w:ascii="Arial"/>
          <w:i/>
          <w:spacing w:val="-13"/>
          <w:sz w:val="22"/>
        </w:rPr>
        <w:t> </w:t>
      </w:r>
      <w:r>
        <w:rPr>
          <w:rFonts w:ascii="Arial"/>
          <w:i/>
          <w:spacing w:val="-4"/>
          <w:sz w:val="22"/>
        </w:rPr>
        <w:t>Fire</w:t>
      </w:r>
    </w:p>
    <w:p>
      <w:pPr>
        <w:pStyle w:val="BodyText"/>
        <w:spacing w:line="232" w:lineRule="auto" w:before="64"/>
        <w:ind w:left="359" w:right="1445"/>
      </w:pPr>
      <w:r>
        <w:rPr/>
        <w:t>Wildland</w:t>
      </w:r>
      <w:r>
        <w:rPr>
          <w:spacing w:val="-6"/>
        </w:rPr>
        <w:t> </w:t>
      </w:r>
      <w:r>
        <w:rPr/>
        <w:t>fire</w:t>
      </w:r>
      <w:r>
        <w:rPr>
          <w:spacing w:val="-5"/>
        </w:rPr>
        <w:t> </w:t>
      </w:r>
      <w:r>
        <w:rPr/>
        <w:t>should</w:t>
      </w:r>
      <w:r>
        <w:rPr>
          <w:spacing w:val="-6"/>
        </w:rPr>
        <w:t> </w:t>
      </w:r>
      <w:r>
        <w:rPr/>
        <w:t>generally</w:t>
      </w:r>
      <w:r>
        <w:rPr>
          <w:spacing w:val="-5"/>
        </w:rPr>
        <w:t> </w:t>
      </w:r>
      <w:r>
        <w:rPr/>
        <w:t>be</w:t>
      </w:r>
      <w:r>
        <w:rPr>
          <w:spacing w:val="-5"/>
        </w:rPr>
        <w:t> </w:t>
      </w:r>
      <w:r>
        <w:rPr/>
        <w:t>allowed</w:t>
      </w:r>
      <w:r>
        <w:rPr>
          <w:spacing w:val="-6"/>
        </w:rPr>
        <w:t> </w:t>
      </w:r>
      <w:r>
        <w:rPr/>
        <w:t>to</w:t>
      </w:r>
      <w:r>
        <w:rPr>
          <w:spacing w:val="-5"/>
        </w:rPr>
        <w:t> </w:t>
      </w:r>
      <w:r>
        <w:rPr/>
        <w:t>play</w:t>
      </w:r>
      <w:r>
        <w:rPr>
          <w:spacing w:val="-6"/>
        </w:rPr>
        <w:t> </w:t>
      </w:r>
      <w:r>
        <w:rPr/>
        <w:t>its</w:t>
      </w:r>
      <w:r>
        <w:rPr>
          <w:spacing w:val="-6"/>
        </w:rPr>
        <w:t> </w:t>
      </w:r>
      <w:r>
        <w:rPr/>
        <w:t>natural</w:t>
      </w:r>
      <w:r>
        <w:rPr>
          <w:spacing w:val="-6"/>
        </w:rPr>
        <w:t> </w:t>
      </w:r>
      <w:r>
        <w:rPr/>
        <w:t>role</w:t>
      </w:r>
      <w:r>
        <w:rPr>
          <w:spacing w:val="-7"/>
        </w:rPr>
        <w:t> </w:t>
      </w:r>
      <w:r>
        <w:rPr/>
        <w:t>of</w:t>
      </w:r>
      <w:r>
        <w:rPr>
          <w:spacing w:val="-6"/>
        </w:rPr>
        <w:t> </w:t>
      </w:r>
      <w:r>
        <w:rPr/>
        <w:t>influencing</w:t>
      </w:r>
      <w:r>
        <w:rPr>
          <w:spacing w:val="-6"/>
        </w:rPr>
        <w:t> </w:t>
      </w:r>
      <w:r>
        <w:rPr/>
        <w:t>natural</w:t>
      </w:r>
      <w:r>
        <w:rPr>
          <w:spacing w:val="-6"/>
        </w:rPr>
        <w:t> </w:t>
      </w:r>
      <w:r>
        <w:rPr/>
        <w:t>processes and scenic values. Trail infrastructure should be protected. Planned ignitions should be considered</w:t>
      </w:r>
      <w:r>
        <w:rPr>
          <w:spacing w:val="-3"/>
        </w:rPr>
        <w:t> </w:t>
      </w:r>
      <w:r>
        <w:rPr/>
        <w:t>to</w:t>
      </w:r>
      <w:r>
        <w:rPr>
          <w:spacing w:val="-1"/>
        </w:rPr>
        <w:t> </w:t>
      </w:r>
      <w:r>
        <w:rPr/>
        <w:t>create favorable conditions that</w:t>
      </w:r>
      <w:r>
        <w:rPr>
          <w:spacing w:val="-2"/>
        </w:rPr>
        <w:t> </w:t>
      </w:r>
      <w:r>
        <w:rPr/>
        <w:t>enable</w:t>
      </w:r>
      <w:r>
        <w:rPr>
          <w:spacing w:val="-2"/>
        </w:rPr>
        <w:t> </w:t>
      </w:r>
      <w:r>
        <w:rPr/>
        <w:t>naturally occurring</w:t>
      </w:r>
      <w:r>
        <w:rPr>
          <w:spacing w:val="-1"/>
        </w:rPr>
        <w:t> </w:t>
      </w:r>
      <w:r>
        <w:rPr/>
        <w:t>fires</w:t>
      </w:r>
      <w:r>
        <w:rPr>
          <w:spacing w:val="-2"/>
        </w:rPr>
        <w:t> </w:t>
      </w:r>
      <w:r>
        <w:rPr/>
        <w:t>to</w:t>
      </w:r>
      <w:r>
        <w:rPr>
          <w:spacing w:val="-3"/>
        </w:rPr>
        <w:t> </w:t>
      </w:r>
      <w:r>
        <w:rPr/>
        <w:t>return</w:t>
      </w:r>
      <w:r>
        <w:rPr>
          <w:spacing w:val="-3"/>
        </w:rPr>
        <w:t> </w:t>
      </w:r>
      <w:r>
        <w:rPr/>
        <w:t>to</w:t>
      </w:r>
      <w:r>
        <w:rPr>
          <w:spacing w:val="-1"/>
        </w:rPr>
        <w:t> </w:t>
      </w:r>
      <w:r>
        <w:rPr/>
        <w:t>their historic role.</w:t>
      </w:r>
    </w:p>
    <w:p>
      <w:pPr>
        <w:spacing w:before="235"/>
        <w:ind w:left="359" w:right="0" w:firstLine="0"/>
        <w:jc w:val="left"/>
        <w:rPr>
          <w:rFonts w:ascii="Arial"/>
          <w:i/>
          <w:sz w:val="22"/>
        </w:rPr>
      </w:pPr>
      <w:bookmarkStart w:name="MA-GDL-BCM-05. Use of Live Trees" w:id="608"/>
      <w:bookmarkEnd w:id="608"/>
      <w:r>
        <w:rPr/>
      </w:r>
      <w:r>
        <w:rPr>
          <w:rFonts w:ascii="Arial"/>
          <w:i/>
          <w:sz w:val="22"/>
        </w:rPr>
        <w:t>MA-GDL-BCM-05.</w:t>
      </w:r>
      <w:r>
        <w:rPr>
          <w:rFonts w:ascii="Arial"/>
          <w:i/>
          <w:spacing w:val="-6"/>
          <w:sz w:val="22"/>
        </w:rPr>
        <w:t> </w:t>
      </w:r>
      <w:r>
        <w:rPr>
          <w:rFonts w:ascii="Arial"/>
          <w:i/>
          <w:sz w:val="22"/>
        </w:rPr>
        <w:t>Use</w:t>
      </w:r>
      <w:r>
        <w:rPr>
          <w:rFonts w:ascii="Arial"/>
          <w:i/>
          <w:spacing w:val="-5"/>
          <w:sz w:val="22"/>
        </w:rPr>
        <w:t> </w:t>
      </w:r>
      <w:r>
        <w:rPr>
          <w:rFonts w:ascii="Arial"/>
          <w:i/>
          <w:sz w:val="22"/>
        </w:rPr>
        <w:t>of</w:t>
      </w:r>
      <w:r>
        <w:rPr>
          <w:rFonts w:ascii="Arial"/>
          <w:i/>
          <w:spacing w:val="-4"/>
          <w:sz w:val="22"/>
        </w:rPr>
        <w:t> </w:t>
      </w:r>
      <w:r>
        <w:rPr>
          <w:rFonts w:ascii="Arial"/>
          <w:i/>
          <w:sz w:val="22"/>
        </w:rPr>
        <w:t>Live</w:t>
      </w:r>
      <w:r>
        <w:rPr>
          <w:rFonts w:ascii="Arial"/>
          <w:i/>
          <w:spacing w:val="-4"/>
          <w:sz w:val="22"/>
        </w:rPr>
        <w:t> </w:t>
      </w:r>
      <w:r>
        <w:rPr>
          <w:rFonts w:ascii="Arial"/>
          <w:i/>
          <w:spacing w:val="-2"/>
          <w:sz w:val="22"/>
        </w:rPr>
        <w:t>Trees</w:t>
      </w:r>
    </w:p>
    <w:p>
      <w:pPr>
        <w:pStyle w:val="BodyText"/>
        <w:spacing w:line="232" w:lineRule="auto" w:before="64"/>
        <w:ind w:left="358" w:right="1856"/>
      </w:pPr>
      <w:r>
        <w:rPr/>
        <w:t>Live trees may be cut for administrative purposes such as trail bridge maintenance or construction,</w:t>
      </w:r>
      <w:r>
        <w:rPr>
          <w:spacing w:val="-5"/>
        </w:rPr>
        <w:t> </w:t>
      </w:r>
      <w:r>
        <w:rPr/>
        <w:t>in</w:t>
      </w:r>
      <w:r>
        <w:rPr>
          <w:spacing w:val="-6"/>
        </w:rPr>
        <w:t> </w:t>
      </w:r>
      <w:r>
        <w:rPr/>
        <w:t>compliance</w:t>
      </w:r>
      <w:r>
        <w:rPr>
          <w:spacing w:val="-4"/>
        </w:rPr>
        <w:t> </w:t>
      </w:r>
      <w:r>
        <w:rPr/>
        <w:t>with</w:t>
      </w:r>
      <w:r>
        <w:rPr>
          <w:spacing w:val="-8"/>
        </w:rPr>
        <w:t> </w:t>
      </w:r>
      <w:r>
        <w:rPr/>
        <w:t>the</w:t>
      </w:r>
      <w:r>
        <w:rPr>
          <w:spacing w:val="-7"/>
        </w:rPr>
        <w:t> </w:t>
      </w:r>
      <w:r>
        <w:rPr/>
        <w:t>2001</w:t>
      </w:r>
      <w:r>
        <w:rPr>
          <w:spacing w:val="-6"/>
        </w:rPr>
        <w:t> </w:t>
      </w:r>
      <w:r>
        <w:rPr/>
        <w:t>Roadless</w:t>
      </w:r>
      <w:r>
        <w:rPr>
          <w:spacing w:val="-5"/>
        </w:rPr>
        <w:t> </w:t>
      </w:r>
      <w:r>
        <w:rPr/>
        <w:t>Area</w:t>
      </w:r>
      <w:r>
        <w:rPr>
          <w:spacing w:val="-5"/>
        </w:rPr>
        <w:t> </w:t>
      </w:r>
      <w:r>
        <w:rPr/>
        <w:t>Conservation</w:t>
      </w:r>
      <w:r>
        <w:rPr>
          <w:spacing w:val="-6"/>
        </w:rPr>
        <w:t> </w:t>
      </w:r>
      <w:r>
        <w:rPr/>
        <w:t>Rule</w:t>
      </w:r>
      <w:r>
        <w:rPr>
          <w:spacing w:val="-4"/>
        </w:rPr>
        <w:t> </w:t>
      </w:r>
      <w:r>
        <w:rPr/>
        <w:t>(RACR)</w:t>
      </w:r>
      <w:r>
        <w:rPr>
          <w:spacing w:val="-5"/>
        </w:rPr>
        <w:t> </w:t>
      </w:r>
      <w:r>
        <w:rPr/>
        <w:t>(see</w:t>
      </w:r>
      <w:r>
        <w:rPr>
          <w:spacing w:val="-4"/>
        </w:rPr>
        <w:t> </w:t>
      </w:r>
      <w:r>
        <w:rPr/>
        <w:t>FW- </w:t>
      </w:r>
      <w:r>
        <w:rPr>
          <w:spacing w:val="-2"/>
        </w:rPr>
        <w:t>GDL-VEG-05).</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MA-GDL-BCM-06. Invasive Plants" w:id="609"/>
      <w:bookmarkEnd w:id="609"/>
      <w:r>
        <w:rPr/>
      </w:r>
      <w:r>
        <w:rPr>
          <w:rFonts w:ascii="Arial"/>
          <w:i/>
          <w:sz w:val="22"/>
        </w:rPr>
        <w:t>MA-GDL-BCM-06.</w:t>
      </w:r>
      <w:r>
        <w:rPr>
          <w:rFonts w:ascii="Arial"/>
          <w:i/>
          <w:spacing w:val="-10"/>
          <w:sz w:val="22"/>
        </w:rPr>
        <w:t> </w:t>
      </w:r>
      <w:r>
        <w:rPr>
          <w:rFonts w:ascii="Arial"/>
          <w:i/>
          <w:sz w:val="22"/>
        </w:rPr>
        <w:t>Invasive</w:t>
      </w:r>
      <w:r>
        <w:rPr>
          <w:rFonts w:ascii="Arial"/>
          <w:i/>
          <w:spacing w:val="-9"/>
          <w:sz w:val="22"/>
        </w:rPr>
        <w:t> </w:t>
      </w:r>
      <w:r>
        <w:rPr>
          <w:rFonts w:ascii="Arial"/>
          <w:i/>
          <w:spacing w:val="-2"/>
          <w:sz w:val="22"/>
        </w:rPr>
        <w:t>Plants</w:t>
      </w:r>
    </w:p>
    <w:p>
      <w:pPr>
        <w:pStyle w:val="BodyText"/>
        <w:spacing w:line="232" w:lineRule="auto" w:before="65"/>
        <w:ind w:left="1151" w:right="801"/>
      </w:pPr>
      <w:r>
        <w:rPr/>
        <w:t>Manual,</w:t>
      </w:r>
      <w:r>
        <w:rPr>
          <w:spacing w:val="-6"/>
        </w:rPr>
        <w:t> </w:t>
      </w:r>
      <w:r>
        <w:rPr/>
        <w:t>biological,</w:t>
      </w:r>
      <w:r>
        <w:rPr>
          <w:spacing w:val="-6"/>
        </w:rPr>
        <w:t> </w:t>
      </w:r>
      <w:r>
        <w:rPr/>
        <w:t>cultural,</w:t>
      </w:r>
      <w:r>
        <w:rPr>
          <w:spacing w:val="-6"/>
        </w:rPr>
        <w:t> </w:t>
      </w:r>
      <w:r>
        <w:rPr/>
        <w:t>or</w:t>
      </w:r>
      <w:r>
        <w:rPr>
          <w:spacing w:val="-8"/>
        </w:rPr>
        <w:t> </w:t>
      </w:r>
      <w:r>
        <w:rPr/>
        <w:t>chemical</w:t>
      </w:r>
      <w:r>
        <w:rPr>
          <w:spacing w:val="-6"/>
        </w:rPr>
        <w:t> </w:t>
      </w:r>
      <w:r>
        <w:rPr/>
        <w:t>treatments</w:t>
      </w:r>
      <w:r>
        <w:rPr>
          <w:spacing w:val="-8"/>
        </w:rPr>
        <w:t> </w:t>
      </w:r>
      <w:r>
        <w:rPr/>
        <w:t>may</w:t>
      </w:r>
      <w:r>
        <w:rPr>
          <w:spacing w:val="-5"/>
        </w:rPr>
        <w:t> </w:t>
      </w:r>
      <w:r>
        <w:rPr/>
        <w:t>be</w:t>
      </w:r>
      <w:r>
        <w:rPr>
          <w:spacing w:val="-5"/>
        </w:rPr>
        <w:t> </w:t>
      </w:r>
      <w:r>
        <w:rPr/>
        <w:t>authorized</w:t>
      </w:r>
      <w:r>
        <w:rPr>
          <w:spacing w:val="-7"/>
        </w:rPr>
        <w:t> </w:t>
      </w:r>
      <w:r>
        <w:rPr/>
        <w:t>to</w:t>
      </w:r>
      <w:r>
        <w:rPr>
          <w:spacing w:val="-7"/>
        </w:rPr>
        <w:t> </w:t>
      </w:r>
      <w:r>
        <w:rPr/>
        <w:t>eradicate,</w:t>
      </w:r>
      <w:r>
        <w:rPr>
          <w:spacing w:val="-6"/>
        </w:rPr>
        <w:t> </w:t>
      </w:r>
      <w:r>
        <w:rPr/>
        <w:t>reduce,</w:t>
      </w:r>
      <w:r>
        <w:rPr>
          <w:spacing w:val="-8"/>
        </w:rPr>
        <w:t> </w:t>
      </w:r>
      <w:r>
        <w:rPr/>
        <w:t>or control populations of invasive plants.</w:t>
      </w:r>
    </w:p>
    <w:p>
      <w:pPr>
        <w:spacing w:before="234"/>
        <w:ind w:left="1151" w:right="0" w:firstLine="0"/>
        <w:jc w:val="left"/>
        <w:rPr>
          <w:rFonts w:ascii="Arial"/>
          <w:i/>
          <w:sz w:val="22"/>
        </w:rPr>
      </w:pPr>
      <w:bookmarkStart w:name="MA-GDL-BCM-07. Environmental Clean-up" w:id="610"/>
      <w:bookmarkEnd w:id="610"/>
      <w:r>
        <w:rPr/>
      </w:r>
      <w:r>
        <w:rPr>
          <w:rFonts w:ascii="Arial"/>
          <w:i/>
          <w:sz w:val="22"/>
        </w:rPr>
        <w:t>MA-GDL-BCM-07.</w:t>
      </w:r>
      <w:r>
        <w:rPr>
          <w:rFonts w:ascii="Arial"/>
          <w:i/>
          <w:spacing w:val="-15"/>
          <w:sz w:val="22"/>
        </w:rPr>
        <w:t> </w:t>
      </w:r>
      <w:r>
        <w:rPr>
          <w:rFonts w:ascii="Arial"/>
          <w:i/>
          <w:sz w:val="22"/>
        </w:rPr>
        <w:t>Environmental</w:t>
      </w:r>
      <w:r>
        <w:rPr>
          <w:rFonts w:ascii="Arial"/>
          <w:i/>
          <w:spacing w:val="-14"/>
          <w:sz w:val="22"/>
        </w:rPr>
        <w:t> </w:t>
      </w:r>
      <w:r>
        <w:rPr>
          <w:rFonts w:ascii="Arial"/>
          <w:i/>
          <w:sz w:val="22"/>
        </w:rPr>
        <w:t>Clean-</w:t>
      </w:r>
      <w:r>
        <w:rPr>
          <w:rFonts w:ascii="Arial"/>
          <w:i/>
          <w:spacing w:val="-5"/>
          <w:sz w:val="22"/>
        </w:rPr>
        <w:t>up</w:t>
      </w:r>
    </w:p>
    <w:p>
      <w:pPr>
        <w:pStyle w:val="BodyText"/>
        <w:spacing w:line="232" w:lineRule="auto" w:before="65"/>
        <w:ind w:left="1151" w:right="742"/>
      </w:pPr>
      <w:r>
        <w:rPr/>
        <w:t>Environmental clean-up projects (such as mine remediation, chemical spills, aircraft recovery, building</w:t>
      </w:r>
      <w:r>
        <w:rPr>
          <w:spacing w:val="-5"/>
        </w:rPr>
        <w:t> </w:t>
      </w:r>
      <w:r>
        <w:rPr/>
        <w:t>removal)</w:t>
      </w:r>
      <w:r>
        <w:rPr>
          <w:spacing w:val="-4"/>
        </w:rPr>
        <w:t> </w:t>
      </w:r>
      <w:r>
        <w:rPr/>
        <w:t>should</w:t>
      </w:r>
      <w:r>
        <w:rPr>
          <w:spacing w:val="-5"/>
        </w:rPr>
        <w:t> </w:t>
      </w:r>
      <w:r>
        <w:rPr/>
        <w:t>occur</w:t>
      </w:r>
      <w:r>
        <w:rPr>
          <w:spacing w:val="-4"/>
        </w:rPr>
        <w:t> </w:t>
      </w:r>
      <w:r>
        <w:rPr/>
        <w:t>promptly</w:t>
      </w:r>
      <w:r>
        <w:rPr>
          <w:spacing w:val="-5"/>
        </w:rPr>
        <w:t> </w:t>
      </w:r>
      <w:r>
        <w:rPr/>
        <w:t>following</w:t>
      </w:r>
      <w:r>
        <w:rPr>
          <w:spacing w:val="-5"/>
        </w:rPr>
        <w:t> </w:t>
      </w:r>
      <w:r>
        <w:rPr/>
        <w:t>an</w:t>
      </w:r>
      <w:r>
        <w:rPr>
          <w:spacing w:val="-7"/>
        </w:rPr>
        <w:t> </w:t>
      </w:r>
      <w:r>
        <w:rPr/>
        <w:t>activity</w:t>
      </w:r>
      <w:r>
        <w:rPr>
          <w:spacing w:val="-5"/>
        </w:rPr>
        <w:t> </w:t>
      </w:r>
      <w:r>
        <w:rPr/>
        <w:t>or</w:t>
      </w:r>
      <w:r>
        <w:rPr>
          <w:spacing w:val="-4"/>
        </w:rPr>
        <w:t> </w:t>
      </w:r>
      <w:r>
        <w:rPr/>
        <w:t>incident.</w:t>
      </w:r>
      <w:r>
        <w:rPr>
          <w:spacing w:val="-7"/>
        </w:rPr>
        <w:t> </w:t>
      </w:r>
      <w:r>
        <w:rPr/>
        <w:t>Project</w:t>
      </w:r>
      <w:r>
        <w:rPr>
          <w:spacing w:val="-8"/>
        </w:rPr>
        <w:t> </w:t>
      </w:r>
      <w:r>
        <w:rPr/>
        <w:t>design</w:t>
      </w:r>
      <w:r>
        <w:rPr>
          <w:spacing w:val="-5"/>
        </w:rPr>
        <w:t> </w:t>
      </w:r>
      <w:r>
        <w:rPr/>
        <w:t>should provide a greater long-term benefit than long-term impact.</w:t>
      </w:r>
    </w:p>
    <w:p>
      <w:pPr>
        <w:pStyle w:val="Heading4"/>
        <w:spacing w:before="236"/>
        <w:ind w:left="1151"/>
      </w:pPr>
      <w:bookmarkStart w:name="Suitable Uses" w:id="611"/>
      <w:bookmarkEnd w:id="611"/>
      <w:r>
        <w:rPr/>
      </w:r>
      <w:bookmarkStart w:name="_bookmark186" w:id="612"/>
      <w:bookmarkEnd w:id="612"/>
      <w:r>
        <w:rPr/>
      </w:r>
      <w:r>
        <w:rPr/>
        <w:t>Suitable</w:t>
      </w:r>
      <w:r>
        <w:rPr>
          <w:spacing w:val="-5"/>
        </w:rPr>
        <w:t> </w:t>
      </w:r>
      <w:r>
        <w:rPr>
          <w:spacing w:val="-4"/>
        </w:rPr>
        <w:t>Uses</w:t>
      </w:r>
    </w:p>
    <w:p>
      <w:pPr>
        <w:spacing w:before="237"/>
        <w:ind w:left="1151" w:right="0" w:firstLine="0"/>
        <w:jc w:val="left"/>
        <w:rPr>
          <w:rFonts w:ascii="Arial"/>
          <w:i/>
          <w:sz w:val="22"/>
        </w:rPr>
      </w:pPr>
      <w:bookmarkStart w:name="MA-SU-BCM-01. Suitable Uses" w:id="613"/>
      <w:bookmarkEnd w:id="613"/>
      <w:r>
        <w:rPr/>
      </w:r>
      <w:r>
        <w:rPr>
          <w:rFonts w:ascii="Arial"/>
          <w:i/>
          <w:sz w:val="22"/>
        </w:rPr>
        <w:t>MA-SU-BCM-01.</w:t>
      </w:r>
      <w:r>
        <w:rPr>
          <w:rFonts w:ascii="Arial"/>
          <w:i/>
          <w:spacing w:val="-10"/>
          <w:sz w:val="22"/>
        </w:rPr>
        <w:t> </w:t>
      </w:r>
      <w:r>
        <w:rPr>
          <w:rFonts w:ascii="Arial"/>
          <w:i/>
          <w:sz w:val="22"/>
        </w:rPr>
        <w:t>Suitable</w:t>
      </w:r>
      <w:r>
        <w:rPr>
          <w:rFonts w:ascii="Arial"/>
          <w:i/>
          <w:spacing w:val="-10"/>
          <w:sz w:val="22"/>
        </w:rPr>
        <w:t> </w:t>
      </w:r>
      <w:r>
        <w:rPr>
          <w:rFonts w:ascii="Arial"/>
          <w:i/>
          <w:spacing w:val="-4"/>
          <w:sz w:val="22"/>
        </w:rPr>
        <w:t>Uses</w:t>
      </w:r>
    </w:p>
    <w:p>
      <w:pPr>
        <w:pStyle w:val="BodyText"/>
        <w:spacing w:before="107"/>
        <w:rPr>
          <w:rFonts w:ascii="Arial"/>
          <w:i/>
        </w:rPr>
      </w:pPr>
    </w:p>
    <w:p>
      <w:pPr>
        <w:spacing w:before="0" w:after="42"/>
        <w:ind w:left="1151" w:right="0" w:firstLine="0"/>
        <w:jc w:val="left"/>
        <w:rPr>
          <w:rFonts w:ascii="Arial"/>
          <w:b/>
          <w:sz w:val="18"/>
        </w:rPr>
      </w:pPr>
      <w:bookmarkStart w:name="_bookmark187" w:id="614"/>
      <w:bookmarkEnd w:id="614"/>
      <w:r>
        <w:rPr/>
      </w:r>
      <w:r>
        <w:rPr>
          <w:rFonts w:ascii="Arial"/>
          <w:b/>
          <w:sz w:val="18"/>
        </w:rPr>
        <w:t>Table</w:t>
      </w:r>
      <w:r>
        <w:rPr>
          <w:rFonts w:ascii="Arial"/>
          <w:b/>
          <w:spacing w:val="-5"/>
          <w:sz w:val="18"/>
        </w:rPr>
        <w:t> </w:t>
      </w:r>
      <w:r>
        <w:rPr>
          <w:rFonts w:ascii="Arial"/>
          <w:b/>
          <w:sz w:val="18"/>
        </w:rPr>
        <w:t>20.</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1"/>
          <w:sz w:val="18"/>
        </w:rPr>
        <w:t> </w:t>
      </w:r>
      <w:r>
        <w:rPr>
          <w:rFonts w:ascii="Arial"/>
          <w:b/>
          <w:sz w:val="18"/>
        </w:rPr>
        <w:t>for</w:t>
      </w:r>
      <w:r>
        <w:rPr>
          <w:rFonts w:ascii="Arial"/>
          <w:b/>
          <w:spacing w:val="-3"/>
          <w:sz w:val="18"/>
        </w:rPr>
        <w:t> </w:t>
      </w:r>
      <w:r>
        <w:rPr>
          <w:rFonts w:ascii="Arial"/>
          <w:b/>
          <w:sz w:val="18"/>
        </w:rPr>
        <w:t>Backcountry</w:t>
      </w:r>
      <w:r>
        <w:rPr>
          <w:rFonts w:ascii="Arial"/>
          <w:b/>
          <w:spacing w:val="-9"/>
          <w:sz w:val="18"/>
        </w:rPr>
        <w:t> </w:t>
      </w:r>
      <w:r>
        <w:rPr>
          <w:rFonts w:ascii="Arial"/>
          <w:b/>
          <w:sz w:val="18"/>
        </w:rPr>
        <w:t>Motorized</w:t>
      </w:r>
      <w:r>
        <w:rPr>
          <w:rFonts w:ascii="Arial"/>
          <w:b/>
          <w:spacing w:val="-2"/>
          <w:sz w:val="18"/>
        </w:rPr>
        <w:t> </w:t>
      </w:r>
      <w:r>
        <w:rPr>
          <w:rFonts w:ascii="Arial"/>
          <w:b/>
          <w:sz w:val="18"/>
        </w:rPr>
        <w:t>Management</w:t>
      </w:r>
      <w:r>
        <w:rPr>
          <w:rFonts w:ascii="Arial"/>
          <w:b/>
          <w:spacing w:val="-2"/>
          <w:sz w:val="18"/>
        </w:rPr>
        <w:t> Areas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155"/>
        <w:gridCol w:w="2024"/>
        <w:gridCol w:w="2369"/>
      </w:tblGrid>
      <w:tr>
        <w:trPr>
          <w:trHeight w:val="287" w:hRule="atLeast"/>
        </w:trPr>
        <w:tc>
          <w:tcPr>
            <w:tcW w:w="4155" w:type="dxa"/>
            <w:tcBorders>
              <w:right w:val="nil"/>
            </w:tcBorders>
            <w:shd w:val="clear" w:color="auto" w:fill="D5E2BB"/>
          </w:tcPr>
          <w:p>
            <w:pPr>
              <w:pStyle w:val="TableParagraph"/>
              <w:ind w:left="1367"/>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024" w:type="dxa"/>
            <w:tcBorders>
              <w:left w:val="nil"/>
              <w:right w:val="nil"/>
            </w:tcBorders>
            <w:shd w:val="clear" w:color="auto" w:fill="D5E2BB"/>
          </w:tcPr>
          <w:p>
            <w:pPr>
              <w:pStyle w:val="TableParagraph"/>
              <w:ind w:left="4" w:right="76"/>
              <w:jc w:val="center"/>
              <w:rPr>
                <w:b/>
                <w:sz w:val="18"/>
              </w:rPr>
            </w:pPr>
            <w:r>
              <w:rPr>
                <w:b/>
                <w:sz w:val="18"/>
              </w:rPr>
              <w:t>May</w:t>
            </w:r>
            <w:r>
              <w:rPr>
                <w:b/>
                <w:spacing w:val="-9"/>
                <w:sz w:val="18"/>
              </w:rPr>
              <w:t> </w:t>
            </w:r>
            <w:r>
              <w:rPr>
                <w:b/>
                <w:spacing w:val="-2"/>
                <w:sz w:val="18"/>
              </w:rPr>
              <w:t>authorize</w:t>
            </w:r>
          </w:p>
        </w:tc>
        <w:tc>
          <w:tcPr>
            <w:tcW w:w="2369" w:type="dxa"/>
            <w:tcBorders>
              <w:left w:val="nil"/>
            </w:tcBorders>
            <w:shd w:val="clear" w:color="auto" w:fill="D5E2BB"/>
          </w:tcPr>
          <w:p>
            <w:pPr>
              <w:pStyle w:val="TableParagraph"/>
              <w:ind w:left="147" w:right="36"/>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155" w:type="dxa"/>
            <w:tcBorders>
              <w:right w:val="nil"/>
            </w:tcBorders>
          </w:tcPr>
          <w:p>
            <w:pPr>
              <w:pStyle w:val="TableParagraph"/>
              <w:ind w:left="107"/>
              <w:rPr>
                <w:b/>
                <w:sz w:val="18"/>
              </w:rPr>
            </w:pPr>
            <w:r>
              <w:rPr>
                <w:b/>
                <w:sz w:val="18"/>
              </w:rPr>
              <w:t>Facilities,</w:t>
            </w:r>
            <w:r>
              <w:rPr>
                <w:b/>
                <w:spacing w:val="-5"/>
                <w:sz w:val="18"/>
              </w:rPr>
              <w:t> </w:t>
            </w:r>
            <w:r>
              <w:rPr>
                <w:b/>
                <w:spacing w:val="-2"/>
                <w:sz w:val="18"/>
              </w:rPr>
              <w:t>administrative</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4" w:hRule="atLeast"/>
        </w:trPr>
        <w:tc>
          <w:tcPr>
            <w:tcW w:w="4155"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024" w:type="dxa"/>
            <w:tcBorders>
              <w:left w:val="nil"/>
              <w:right w:val="nil"/>
            </w:tcBorders>
          </w:tcPr>
          <w:p>
            <w:pPr>
              <w:pStyle w:val="TableParagraph"/>
              <w:spacing w:before="42"/>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702" w:hRule="atLeast"/>
        </w:trPr>
        <w:tc>
          <w:tcPr>
            <w:tcW w:w="4155" w:type="dxa"/>
            <w:tcBorders>
              <w:right w:val="nil"/>
            </w:tcBorders>
          </w:tcPr>
          <w:p>
            <w:pPr>
              <w:pStyle w:val="TableParagraph"/>
              <w:spacing w:before="42"/>
              <w:ind w:left="107" w:right="302"/>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 timber harvest)</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line="207" w:lineRule="exact" w:before="42"/>
              <w:ind w:left="147" w:right="37"/>
              <w:jc w:val="center"/>
              <w:rPr>
                <w:sz w:val="18"/>
              </w:rPr>
            </w:pPr>
            <w:r>
              <w:rPr>
                <w:spacing w:val="-10"/>
                <w:sz w:val="18"/>
              </w:rPr>
              <w:t>X</w:t>
            </w:r>
          </w:p>
          <w:p>
            <w:pPr>
              <w:pStyle w:val="TableParagraph"/>
              <w:spacing w:before="0"/>
              <w:ind w:left="147" w:right="36"/>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0" w:hRule="atLeast"/>
        </w:trPr>
        <w:tc>
          <w:tcPr>
            <w:tcW w:w="4155"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line="207" w:lineRule="exact"/>
              <w:ind w:left="147" w:right="37"/>
              <w:jc w:val="center"/>
              <w:rPr>
                <w:sz w:val="18"/>
              </w:rPr>
            </w:pPr>
            <w:r>
              <w:rPr>
                <w:spacing w:val="-10"/>
                <w:sz w:val="18"/>
              </w:rPr>
              <w:t>X</w:t>
            </w:r>
          </w:p>
          <w:p>
            <w:pPr>
              <w:pStyle w:val="TableParagraph"/>
              <w:spacing w:before="0"/>
              <w:ind w:left="147" w:right="36"/>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2" w:hRule="atLeast"/>
        </w:trPr>
        <w:tc>
          <w:tcPr>
            <w:tcW w:w="4155" w:type="dxa"/>
            <w:tcBorders>
              <w:right w:val="nil"/>
            </w:tcBorders>
          </w:tcPr>
          <w:p>
            <w:pPr>
              <w:pStyle w:val="TableParagraph"/>
              <w:ind w:left="107" w:right="302"/>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line="207" w:lineRule="exact"/>
              <w:ind w:left="147" w:right="37"/>
              <w:jc w:val="center"/>
              <w:rPr>
                <w:sz w:val="18"/>
              </w:rPr>
            </w:pPr>
            <w:r>
              <w:rPr>
                <w:spacing w:val="-10"/>
                <w:sz w:val="18"/>
              </w:rPr>
              <w:t>X</w:t>
            </w:r>
          </w:p>
          <w:p>
            <w:pPr>
              <w:pStyle w:val="TableParagraph"/>
              <w:spacing w:before="0"/>
              <w:ind w:left="147" w:right="36"/>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700" w:hRule="atLeast"/>
        </w:trPr>
        <w:tc>
          <w:tcPr>
            <w:tcW w:w="4155"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line="207" w:lineRule="exact"/>
              <w:ind w:left="147" w:right="37"/>
              <w:jc w:val="center"/>
              <w:rPr>
                <w:sz w:val="18"/>
              </w:rPr>
            </w:pPr>
            <w:r>
              <w:rPr>
                <w:spacing w:val="-10"/>
                <w:sz w:val="18"/>
              </w:rPr>
              <w:t>X</w:t>
            </w:r>
          </w:p>
          <w:p>
            <w:pPr>
              <w:pStyle w:val="TableParagraph"/>
              <w:spacing w:before="0"/>
              <w:ind w:left="147" w:right="36"/>
              <w:jc w:val="center"/>
              <w:rPr>
                <w:sz w:val="18"/>
              </w:rPr>
            </w:pPr>
            <w:r>
              <w:rPr>
                <w:sz w:val="18"/>
              </w:rPr>
              <w:t>(Unless</w:t>
            </w:r>
            <w:r>
              <w:rPr>
                <w:spacing w:val="-15"/>
                <w:sz w:val="18"/>
              </w:rPr>
              <w:t> </w:t>
            </w:r>
            <w:r>
              <w:rPr>
                <w:sz w:val="18"/>
              </w:rPr>
              <w:t>consistent</w:t>
            </w:r>
            <w:r>
              <w:rPr>
                <w:spacing w:val="-12"/>
                <w:sz w:val="18"/>
              </w:rPr>
              <w:t> </w:t>
            </w:r>
            <w:r>
              <w:rPr>
                <w:sz w:val="18"/>
              </w:rPr>
              <w:t>with 2001 RACR)</w:t>
            </w:r>
          </w:p>
        </w:tc>
      </w:tr>
      <w:tr>
        <w:trPr>
          <w:trHeight w:val="287" w:hRule="atLeast"/>
        </w:trPr>
        <w:tc>
          <w:tcPr>
            <w:tcW w:w="4155"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906" w:hRule="atLeast"/>
        </w:trPr>
        <w:tc>
          <w:tcPr>
            <w:tcW w:w="4155" w:type="dxa"/>
            <w:tcBorders>
              <w:right w:val="nil"/>
            </w:tcBorders>
          </w:tcPr>
          <w:p>
            <w:pPr>
              <w:pStyle w:val="TableParagraph"/>
              <w:ind w:left="107" w:right="302"/>
              <w:rPr>
                <w:b/>
                <w:sz w:val="18"/>
              </w:rPr>
            </w:pPr>
            <w:r>
              <w:rPr>
                <w:b/>
                <w:sz w:val="18"/>
              </w:rPr>
              <w:t>Infrastructure,</w:t>
            </w:r>
            <w:r>
              <w:rPr>
                <w:b/>
                <w:spacing w:val="-13"/>
                <w:sz w:val="18"/>
              </w:rPr>
              <w:t> </w:t>
            </w:r>
            <w:r>
              <w:rPr>
                <w:b/>
                <w:sz w:val="18"/>
              </w:rPr>
              <w:t>above</w:t>
            </w:r>
            <w:r>
              <w:rPr>
                <w:b/>
                <w:spacing w:val="-12"/>
                <w:sz w:val="18"/>
              </w:rPr>
              <w:t> </w:t>
            </w:r>
            <w:r>
              <w:rPr>
                <w:b/>
                <w:sz w:val="18"/>
              </w:rPr>
              <w:t>ground</w:t>
            </w:r>
            <w:r>
              <w:rPr>
                <w:b/>
                <w:spacing w:val="-13"/>
                <w:sz w:val="18"/>
              </w:rPr>
              <w:t> </w:t>
            </w:r>
            <w:r>
              <w:rPr>
                <w:b/>
                <w:sz w:val="18"/>
              </w:rPr>
              <w:t>infrastructure associated with special use permits, such as communication sites, energy developments, and/or utility lines.</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024" w:type="dxa"/>
            <w:tcBorders>
              <w:left w:val="nil"/>
              <w:right w:val="nil"/>
            </w:tcBorders>
          </w:tcPr>
          <w:p>
            <w:pPr>
              <w:pStyle w:val="TableParagraph"/>
              <w:spacing w:before="42"/>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2024" w:type="dxa"/>
            <w:tcBorders>
              <w:left w:val="nil"/>
              <w:right w:val="nil"/>
            </w:tcBorders>
          </w:tcPr>
          <w:p>
            <w:pPr>
              <w:pStyle w:val="TableParagraph"/>
              <w:spacing w:before="42"/>
              <w:ind w:left="2" w:right="76"/>
              <w:jc w:val="center"/>
              <w:rPr>
                <w:sz w:val="18"/>
              </w:rPr>
            </w:pPr>
            <w:r>
              <w:rPr>
                <w:spacing w:val="-5"/>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locatable</w:t>
            </w:r>
          </w:p>
        </w:tc>
        <w:tc>
          <w:tcPr>
            <w:tcW w:w="2024" w:type="dxa"/>
            <w:tcBorders>
              <w:left w:val="nil"/>
              <w:right w:val="nil"/>
            </w:tcBorders>
          </w:tcPr>
          <w:p>
            <w:pPr>
              <w:pStyle w:val="TableParagraph"/>
              <w:spacing w:before="42"/>
              <w:ind w:right="76"/>
              <w:jc w:val="center"/>
              <w:rPr>
                <w:sz w:val="18"/>
              </w:rPr>
            </w:pPr>
            <w:r>
              <w:rPr>
                <w:spacing w:val="-5"/>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salable</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before="42"/>
              <w:ind w:left="147" w:right="37"/>
              <w:jc w:val="center"/>
              <w:rPr>
                <w:sz w:val="18"/>
              </w:rPr>
            </w:pPr>
            <w:r>
              <w:rPr>
                <w:spacing w:val="-10"/>
                <w:sz w:val="18"/>
              </w:rPr>
              <w:t>X</w:t>
            </w:r>
          </w:p>
        </w:tc>
      </w:tr>
      <w:tr>
        <w:trPr>
          <w:trHeight w:val="493" w:hRule="atLeast"/>
        </w:trPr>
        <w:tc>
          <w:tcPr>
            <w:tcW w:w="4155" w:type="dxa"/>
            <w:tcBorders>
              <w:right w:val="nil"/>
            </w:tcBorders>
          </w:tcPr>
          <w:p>
            <w:pPr>
              <w:pStyle w:val="TableParagraph"/>
              <w:ind w:left="107" w:right="302"/>
              <w:rPr>
                <w:b/>
                <w:sz w:val="18"/>
              </w:rPr>
            </w:pPr>
            <w:r>
              <w:rPr>
                <w:b/>
                <w:sz w:val="18"/>
              </w:rPr>
              <w:t>Motorized</w:t>
            </w:r>
            <w:r>
              <w:rPr>
                <w:b/>
                <w:spacing w:val="-8"/>
                <w:sz w:val="18"/>
              </w:rPr>
              <w:t> </w:t>
            </w:r>
            <w:r>
              <w:rPr>
                <w:b/>
                <w:sz w:val="18"/>
              </w:rPr>
              <w:t>recreational</w:t>
            </w:r>
            <w:r>
              <w:rPr>
                <w:b/>
                <w:spacing w:val="-8"/>
                <w:sz w:val="18"/>
              </w:rPr>
              <w:t> </w:t>
            </w:r>
            <w:r>
              <w:rPr>
                <w:b/>
                <w:sz w:val="18"/>
              </w:rPr>
              <w:t>use,</w:t>
            </w:r>
            <w:r>
              <w:rPr>
                <w:b/>
                <w:spacing w:val="-10"/>
                <w:sz w:val="18"/>
              </w:rPr>
              <w:t> </w:t>
            </w:r>
            <w:r>
              <w:rPr>
                <w:b/>
                <w:sz w:val="18"/>
              </w:rPr>
              <w:t>summer,</w:t>
            </w:r>
            <w:r>
              <w:rPr>
                <w:b/>
                <w:spacing w:val="-10"/>
                <w:sz w:val="18"/>
              </w:rPr>
              <w:t> </w:t>
            </w:r>
            <w:r>
              <w:rPr>
                <w:b/>
                <w:sz w:val="18"/>
              </w:rPr>
              <w:t>trails or play areas</w:t>
            </w:r>
          </w:p>
        </w:tc>
        <w:tc>
          <w:tcPr>
            <w:tcW w:w="2024" w:type="dxa"/>
            <w:tcBorders>
              <w:left w:val="nil"/>
              <w:right w:val="nil"/>
            </w:tcBorders>
          </w:tcPr>
          <w:p>
            <w:pPr>
              <w:pStyle w:val="TableParagraph"/>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493" w:hRule="atLeast"/>
        </w:trPr>
        <w:tc>
          <w:tcPr>
            <w:tcW w:w="4155" w:type="dxa"/>
            <w:tcBorders>
              <w:right w:val="nil"/>
            </w:tcBorders>
          </w:tcPr>
          <w:p>
            <w:pPr>
              <w:pStyle w:val="TableParagraph"/>
              <w:ind w:left="107" w:right="362"/>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 </w:t>
            </w:r>
            <w:r>
              <w:rPr>
                <w:b/>
                <w:spacing w:val="-2"/>
                <w:sz w:val="18"/>
              </w:rPr>
              <w:t>cross-country</w:t>
            </w:r>
          </w:p>
        </w:tc>
        <w:tc>
          <w:tcPr>
            <w:tcW w:w="2024" w:type="dxa"/>
            <w:tcBorders>
              <w:left w:val="nil"/>
              <w:right w:val="nil"/>
            </w:tcBorders>
          </w:tcPr>
          <w:p>
            <w:pPr>
              <w:pStyle w:val="TableParagraph"/>
              <w:spacing w:before="42"/>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2024" w:type="dxa"/>
            <w:tcBorders>
              <w:left w:val="nil"/>
              <w:right w:val="nil"/>
            </w:tcBorders>
          </w:tcPr>
          <w:p>
            <w:pPr>
              <w:pStyle w:val="TableParagraph"/>
              <w:spacing w:before="42"/>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024" w:type="dxa"/>
            <w:tcBorders>
              <w:left w:val="nil"/>
              <w:right w:val="nil"/>
            </w:tcBorders>
          </w:tcPr>
          <w:p>
            <w:pPr>
              <w:pStyle w:val="TableParagraph"/>
              <w:spacing w:before="42"/>
              <w:ind w:left="2" w:right="76"/>
              <w:jc w:val="center"/>
              <w:rPr>
                <w:sz w:val="18"/>
              </w:rPr>
            </w:pPr>
            <w:r>
              <w:rPr>
                <w:spacing w:val="-10"/>
                <w:sz w:val="18"/>
              </w:rPr>
              <w:t>X</w:t>
            </w:r>
          </w:p>
        </w:tc>
        <w:tc>
          <w:tcPr>
            <w:tcW w:w="2369" w:type="dxa"/>
            <w:tcBorders>
              <w:left w:val="nil"/>
            </w:tcBorders>
          </w:tcPr>
          <w:p>
            <w:pPr>
              <w:pStyle w:val="TableParagraph"/>
              <w:spacing w:before="0"/>
              <w:rPr>
                <w:rFonts w:ascii="Times New Roman"/>
                <w:sz w:val="18"/>
              </w:rPr>
            </w:pPr>
          </w:p>
        </w:tc>
      </w:tr>
      <w:tr>
        <w:trPr>
          <w:trHeight w:val="287" w:hRule="atLeast"/>
        </w:trPr>
        <w:tc>
          <w:tcPr>
            <w:tcW w:w="4155" w:type="dxa"/>
            <w:tcBorders>
              <w:right w:val="nil"/>
            </w:tcBorders>
          </w:tcPr>
          <w:p>
            <w:pPr>
              <w:pStyle w:val="TableParagraph"/>
              <w:spacing w:before="42"/>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spacing w:before="42"/>
              <w:ind w:left="147" w:right="37"/>
              <w:jc w:val="center"/>
              <w:rPr>
                <w:sz w:val="18"/>
              </w:rPr>
            </w:pPr>
            <w:r>
              <w:rPr>
                <w:spacing w:val="-10"/>
                <w:sz w:val="18"/>
              </w:rPr>
              <w:t>X</w:t>
            </w:r>
          </w:p>
        </w:tc>
      </w:tr>
      <w:tr>
        <w:trPr>
          <w:trHeight w:val="287" w:hRule="atLeast"/>
        </w:trPr>
        <w:tc>
          <w:tcPr>
            <w:tcW w:w="4155"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024" w:type="dxa"/>
            <w:tcBorders>
              <w:left w:val="nil"/>
              <w:right w:val="nil"/>
            </w:tcBorders>
          </w:tcPr>
          <w:p>
            <w:pPr>
              <w:pStyle w:val="TableParagraph"/>
              <w:spacing w:before="0"/>
              <w:rPr>
                <w:rFonts w:ascii="Times New Roman"/>
                <w:sz w:val="18"/>
              </w:rPr>
            </w:pPr>
          </w:p>
        </w:tc>
        <w:tc>
          <w:tcPr>
            <w:tcW w:w="2369" w:type="dxa"/>
            <w:tcBorders>
              <w:left w:val="nil"/>
            </w:tcBorders>
          </w:tcPr>
          <w:p>
            <w:pPr>
              <w:pStyle w:val="TableParagraph"/>
              <w:ind w:left="147" w:right="37"/>
              <w:jc w:val="center"/>
              <w:rPr>
                <w:sz w:val="18"/>
              </w:rPr>
            </w:pPr>
            <w:r>
              <w:rPr>
                <w:spacing w:val="-10"/>
                <w:sz w:val="18"/>
              </w:rPr>
              <w:t>X</w:t>
            </w:r>
          </w:p>
        </w:tc>
      </w:tr>
    </w:tbl>
    <w:p>
      <w:pPr>
        <w:pStyle w:val="TableParagraph"/>
        <w:spacing w:after="0"/>
        <w:jc w:val="center"/>
        <w:rPr>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950"/>
        <w:gridCol w:w="2229"/>
        <w:gridCol w:w="2369"/>
      </w:tblGrid>
      <w:tr>
        <w:trPr>
          <w:trHeight w:val="287" w:hRule="atLeast"/>
        </w:trPr>
        <w:tc>
          <w:tcPr>
            <w:tcW w:w="3950" w:type="dxa"/>
            <w:tcBorders>
              <w:right w:val="nil"/>
            </w:tcBorders>
            <w:shd w:val="clear" w:color="auto" w:fill="D5E2BB"/>
          </w:tcPr>
          <w:p>
            <w:pPr>
              <w:pStyle w:val="TableParagraph"/>
              <w:ind w:left="35"/>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229" w:type="dxa"/>
            <w:tcBorders>
              <w:left w:val="nil"/>
              <w:right w:val="nil"/>
            </w:tcBorders>
            <w:shd w:val="clear" w:color="auto" w:fill="D5E2BB"/>
          </w:tcPr>
          <w:p>
            <w:pPr>
              <w:pStyle w:val="TableParagraph"/>
              <w:ind w:left="130"/>
              <w:jc w:val="center"/>
              <w:rPr>
                <w:b/>
                <w:sz w:val="18"/>
              </w:rPr>
            </w:pPr>
            <w:r>
              <w:rPr>
                <w:b/>
                <w:sz w:val="18"/>
              </w:rPr>
              <w:t>May</w:t>
            </w:r>
            <w:r>
              <w:rPr>
                <w:b/>
                <w:spacing w:val="-9"/>
                <w:sz w:val="18"/>
              </w:rPr>
              <w:t> </w:t>
            </w:r>
            <w:r>
              <w:rPr>
                <w:b/>
                <w:spacing w:val="-2"/>
                <w:sz w:val="18"/>
              </w:rPr>
              <w:t>authorize</w:t>
            </w:r>
          </w:p>
        </w:tc>
        <w:tc>
          <w:tcPr>
            <w:tcW w:w="2369" w:type="dxa"/>
            <w:tcBorders>
              <w:left w:val="nil"/>
            </w:tcBorders>
            <w:shd w:val="clear" w:color="auto" w:fill="D5E2BB"/>
          </w:tcPr>
          <w:p>
            <w:pPr>
              <w:pStyle w:val="TableParagraph"/>
              <w:ind w:left="147" w:right="36"/>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3950"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229" w:type="dxa"/>
            <w:tcBorders>
              <w:left w:val="nil"/>
              <w:right w:val="nil"/>
            </w:tcBorders>
          </w:tcPr>
          <w:p>
            <w:pPr>
              <w:pStyle w:val="TableParagraph"/>
              <w:ind w:left="130" w:right="2"/>
              <w:jc w:val="center"/>
              <w:rPr>
                <w:sz w:val="18"/>
              </w:rPr>
            </w:pPr>
            <w:r>
              <w:rPr>
                <w:spacing w:val="-10"/>
                <w:sz w:val="18"/>
              </w:rPr>
              <w:t>X</w:t>
            </w:r>
          </w:p>
        </w:tc>
        <w:tc>
          <w:tcPr>
            <w:tcW w:w="2369" w:type="dxa"/>
            <w:tcBorders>
              <w:left w:val="nil"/>
            </w:tcBorders>
          </w:tcPr>
          <w:p>
            <w:pPr>
              <w:pStyle w:val="TableParagraph"/>
              <w:spacing w:before="0"/>
              <w:rPr>
                <w:rFonts w:ascii="Times New Roman"/>
                <w:sz w:val="20"/>
              </w:rPr>
            </w:pPr>
          </w:p>
        </w:tc>
      </w:tr>
      <w:tr>
        <w:trPr>
          <w:trHeight w:val="287" w:hRule="atLeast"/>
        </w:trPr>
        <w:tc>
          <w:tcPr>
            <w:tcW w:w="3950"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1"/>
                <w:sz w:val="18"/>
              </w:rPr>
              <w:t> </w:t>
            </w:r>
            <w:r>
              <w:rPr>
                <w:b/>
                <w:sz w:val="18"/>
              </w:rPr>
              <w:t>a</w:t>
            </w:r>
            <w:r>
              <w:rPr>
                <w:b/>
                <w:spacing w:val="-3"/>
                <w:sz w:val="18"/>
              </w:rPr>
              <w:t> </w:t>
            </w:r>
            <w:r>
              <w:rPr>
                <w:b/>
                <w:sz w:val="18"/>
              </w:rPr>
              <w:t>restoration</w:t>
            </w:r>
            <w:r>
              <w:rPr>
                <w:b/>
                <w:spacing w:val="48"/>
                <w:sz w:val="18"/>
              </w:rPr>
              <w:t> </w:t>
            </w:r>
            <w:r>
              <w:rPr>
                <w:b/>
                <w:spacing w:val="-4"/>
                <w:sz w:val="18"/>
              </w:rPr>
              <w:t>tool</w:t>
            </w:r>
          </w:p>
        </w:tc>
        <w:tc>
          <w:tcPr>
            <w:tcW w:w="2229" w:type="dxa"/>
            <w:tcBorders>
              <w:left w:val="nil"/>
              <w:right w:val="nil"/>
            </w:tcBorders>
          </w:tcPr>
          <w:p>
            <w:pPr>
              <w:pStyle w:val="TableParagraph"/>
              <w:ind w:left="130" w:right="2"/>
              <w:jc w:val="center"/>
              <w:rPr>
                <w:sz w:val="18"/>
              </w:rPr>
            </w:pPr>
            <w:r>
              <w:rPr>
                <w:spacing w:val="-10"/>
                <w:sz w:val="18"/>
              </w:rPr>
              <w:t>X</w:t>
            </w:r>
          </w:p>
        </w:tc>
        <w:tc>
          <w:tcPr>
            <w:tcW w:w="2369" w:type="dxa"/>
            <w:tcBorders>
              <w:left w:val="nil"/>
            </w:tcBorders>
          </w:tcPr>
          <w:p>
            <w:pPr>
              <w:pStyle w:val="TableParagraph"/>
              <w:spacing w:before="0"/>
              <w:rPr>
                <w:rFonts w:ascii="Times New Roman"/>
                <w:sz w:val="20"/>
              </w:rPr>
            </w:pPr>
          </w:p>
        </w:tc>
      </w:tr>
      <w:tr>
        <w:trPr>
          <w:trHeight w:val="287" w:hRule="atLeast"/>
        </w:trPr>
        <w:tc>
          <w:tcPr>
            <w:tcW w:w="3950" w:type="dxa"/>
            <w:tcBorders>
              <w:bottom w:val="dotted" w:sz="4" w:space="0" w:color="000000"/>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229" w:type="dxa"/>
            <w:tcBorders>
              <w:left w:val="nil"/>
              <w:bottom w:val="dotted" w:sz="4" w:space="0" w:color="000000"/>
              <w:right w:val="nil"/>
            </w:tcBorders>
          </w:tcPr>
          <w:p>
            <w:pPr>
              <w:pStyle w:val="TableParagraph"/>
              <w:spacing w:before="0"/>
              <w:rPr>
                <w:rFonts w:ascii="Times New Roman"/>
                <w:sz w:val="20"/>
              </w:rPr>
            </w:pPr>
          </w:p>
        </w:tc>
        <w:tc>
          <w:tcPr>
            <w:tcW w:w="2369" w:type="dxa"/>
            <w:tcBorders>
              <w:left w:val="nil"/>
              <w:bottom w:val="dotted" w:sz="4" w:space="0" w:color="000000"/>
            </w:tcBorders>
          </w:tcPr>
          <w:p>
            <w:pPr>
              <w:pStyle w:val="TableParagraph"/>
              <w:ind w:left="147" w:right="37"/>
              <w:jc w:val="center"/>
              <w:rPr>
                <w:sz w:val="18"/>
              </w:rPr>
            </w:pPr>
            <w:r>
              <w:rPr>
                <w:spacing w:val="-10"/>
                <w:sz w:val="18"/>
              </w:rPr>
              <w:t>X</w:t>
            </w:r>
          </w:p>
        </w:tc>
      </w:tr>
      <w:tr>
        <w:trPr>
          <w:trHeight w:val="493" w:hRule="atLeast"/>
        </w:trPr>
        <w:tc>
          <w:tcPr>
            <w:tcW w:w="3950" w:type="dxa"/>
            <w:tcBorders>
              <w:top w:val="dotted" w:sz="4" w:space="0" w:color="000000"/>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229" w:type="dxa"/>
            <w:tcBorders>
              <w:top w:val="dotted" w:sz="4" w:space="0" w:color="000000"/>
              <w:left w:val="nil"/>
              <w:right w:val="nil"/>
            </w:tcBorders>
          </w:tcPr>
          <w:p>
            <w:pPr>
              <w:pStyle w:val="TableParagraph"/>
              <w:spacing w:before="0"/>
              <w:rPr>
                <w:rFonts w:ascii="Times New Roman"/>
                <w:sz w:val="20"/>
              </w:rPr>
            </w:pPr>
          </w:p>
        </w:tc>
        <w:tc>
          <w:tcPr>
            <w:tcW w:w="2369" w:type="dxa"/>
            <w:tcBorders>
              <w:top w:val="dotted" w:sz="4" w:space="0" w:color="000000"/>
              <w:left w:val="nil"/>
            </w:tcBorders>
          </w:tcPr>
          <w:p>
            <w:pPr>
              <w:pStyle w:val="TableParagraph"/>
              <w:spacing w:line="207" w:lineRule="exact"/>
              <w:ind w:left="147" w:right="37"/>
              <w:jc w:val="center"/>
              <w:rPr>
                <w:sz w:val="18"/>
              </w:rPr>
            </w:pPr>
            <w:r>
              <w:rPr>
                <w:spacing w:val="-10"/>
                <w:sz w:val="18"/>
              </w:rPr>
              <w:t>X</w:t>
            </w:r>
          </w:p>
          <w:p>
            <w:pPr>
              <w:pStyle w:val="TableParagraph"/>
              <w:spacing w:line="207" w:lineRule="exact" w:before="0"/>
              <w:ind w:left="148" w:right="36"/>
              <w:jc w:val="center"/>
              <w:rPr>
                <w:sz w:val="18"/>
              </w:rPr>
            </w:pPr>
            <w:r>
              <w:rPr>
                <w:sz w:val="18"/>
              </w:rPr>
              <w:t>(Recommend</w:t>
            </w:r>
            <w:r>
              <w:rPr>
                <w:spacing w:val="-4"/>
                <w:sz w:val="18"/>
              </w:rPr>
              <w:t> </w:t>
            </w:r>
            <w:r>
              <w:rPr>
                <w:spacing w:val="-2"/>
                <w:sz w:val="18"/>
              </w:rPr>
              <w:t>against)</w:t>
            </w:r>
          </w:p>
        </w:tc>
      </w:tr>
    </w:tbl>
    <w:p>
      <w:pPr>
        <w:spacing w:before="40"/>
        <w:ind w:left="360" w:right="162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360" w:right="0" w:firstLine="0"/>
        <w:jc w:val="left"/>
        <w:rPr>
          <w:rFonts w:ascii="Arial"/>
          <w:sz w:val="16"/>
        </w:rPr>
      </w:pPr>
      <w:bookmarkStart w:name="Focused Restoration (FR)" w:id="615"/>
      <w:bookmarkEnd w:id="615"/>
      <w:r>
        <w:rPr/>
      </w:r>
      <w:bookmarkStart w:name="_bookmark188" w:id="616"/>
      <w:bookmarkEnd w:id="616"/>
      <w:r>
        <w:rPr/>
      </w: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rPr>
          <w:rFonts w:ascii="Arial"/>
          <w:sz w:val="16"/>
        </w:rPr>
      </w:pPr>
    </w:p>
    <w:p>
      <w:pPr>
        <w:pStyle w:val="BodyText"/>
        <w:spacing w:before="113"/>
        <w:rPr>
          <w:rFonts w:ascii="Arial"/>
          <w:sz w:val="16"/>
        </w:rPr>
      </w:pPr>
    </w:p>
    <w:p>
      <w:pPr>
        <w:pStyle w:val="Heading3"/>
        <w:ind w:left="360"/>
      </w:pPr>
      <w:r>
        <w:rPr>
          <w:smallCaps/>
          <w:color w:val="475824"/>
        </w:rPr>
        <w:t>Focused</w:t>
      </w:r>
      <w:r>
        <w:rPr>
          <w:smallCaps/>
          <w:color w:val="475824"/>
          <w:spacing w:val="-6"/>
        </w:rPr>
        <w:t> </w:t>
      </w:r>
      <w:r>
        <w:rPr>
          <w:smallCaps/>
          <w:color w:val="475824"/>
        </w:rPr>
        <w:t>Restoration</w:t>
      </w:r>
      <w:r>
        <w:rPr>
          <w:smallCaps/>
          <w:color w:val="475824"/>
          <w:spacing w:val="-8"/>
        </w:rPr>
        <w:t> </w:t>
      </w:r>
      <w:r>
        <w:rPr>
          <w:smallCaps/>
          <w:color w:val="475824"/>
          <w:spacing w:val="-4"/>
        </w:rPr>
        <w:t>(FR)</w:t>
      </w:r>
    </w:p>
    <w:p>
      <w:pPr>
        <w:pStyle w:val="BodyText"/>
        <w:spacing w:before="4"/>
        <w:rPr>
          <w:rFonts w:ascii="Arial"/>
          <w:b/>
          <w:sz w:val="8"/>
        </w:rPr>
      </w:pPr>
      <w:r>
        <w:rPr>
          <w:rFonts w:ascii="Arial"/>
          <w:b/>
          <w:sz w:val="8"/>
        </w:rPr>
        <mc:AlternateContent>
          <mc:Choice Requires="wps">
            <w:drawing>
              <wp:anchor distT="0" distB="0" distL="0" distR="0" allowOverlap="1" layoutInCell="1" locked="0" behindDoc="1" simplePos="0" relativeHeight="487623168">
                <wp:simplePos x="0" y="0"/>
                <wp:positionH relativeFrom="page">
                  <wp:posOffset>1124711</wp:posOffset>
                </wp:positionH>
                <wp:positionV relativeFrom="paragraph">
                  <wp:posOffset>76710</wp:posOffset>
                </wp:positionV>
                <wp:extent cx="5248910" cy="1610995"/>
                <wp:effectExtent l="0" t="0" r="0" b="0"/>
                <wp:wrapTopAndBottom/>
                <wp:docPr id="205" name="Textbox 205"/>
                <wp:cNvGraphicFramePr>
                  <a:graphicFrameLocks/>
                </wp:cNvGraphicFramePr>
                <a:graphic>
                  <a:graphicData uri="http://schemas.microsoft.com/office/word/2010/wordprocessingShape">
                    <wps:wsp>
                      <wps:cNvPr id="205" name="Textbox 205"/>
                      <wps:cNvSpPr txBox="1"/>
                      <wps:spPr>
                        <a:xfrm>
                          <a:off x="0" y="0"/>
                          <a:ext cx="5248910" cy="1610995"/>
                        </a:xfrm>
                        <a:prstGeom prst="rect">
                          <a:avLst/>
                        </a:prstGeom>
                        <a:solidFill>
                          <a:srgbClr val="DFDFDF"/>
                        </a:solidFill>
                      </wps:spPr>
                      <wps:txbx>
                        <w:txbxContent>
                          <w:p>
                            <w:pPr>
                              <w:pStyle w:val="BodyText"/>
                              <w:ind w:left="28" w:right="74"/>
                              <w:rPr>
                                <w:color w:val="000000"/>
                              </w:rPr>
                            </w:pPr>
                            <w:r>
                              <w:rPr>
                                <w:color w:val="000000"/>
                              </w:rPr>
                              <w:t>The management emphasis is to restore ecological integrity and ecosystem function at the landscape</w:t>
                            </w:r>
                            <w:r>
                              <w:rPr>
                                <w:color w:val="000000"/>
                                <w:spacing w:val="-2"/>
                              </w:rPr>
                              <w:t> </w:t>
                            </w:r>
                            <w:r>
                              <w:rPr>
                                <w:color w:val="000000"/>
                              </w:rPr>
                              <w:t>scale,</w:t>
                            </w:r>
                            <w:r>
                              <w:rPr>
                                <w:color w:val="000000"/>
                                <w:spacing w:val="-3"/>
                              </w:rPr>
                              <w:t> </w:t>
                            </w:r>
                            <w:r>
                              <w:rPr>
                                <w:color w:val="000000"/>
                              </w:rPr>
                              <w:t>using</w:t>
                            </w:r>
                            <w:r>
                              <w:rPr>
                                <w:color w:val="000000"/>
                                <w:spacing w:val="-4"/>
                              </w:rPr>
                              <w:t> </w:t>
                            </w:r>
                            <w:r>
                              <w:rPr>
                                <w:color w:val="000000"/>
                              </w:rPr>
                              <w:t>both</w:t>
                            </w:r>
                            <w:r>
                              <w:rPr>
                                <w:color w:val="000000"/>
                                <w:spacing w:val="-4"/>
                              </w:rPr>
                              <w:t> </w:t>
                            </w:r>
                            <w:r>
                              <w:rPr>
                                <w:color w:val="000000"/>
                              </w:rPr>
                              <w:t>active</w:t>
                            </w:r>
                            <w:r>
                              <w:rPr>
                                <w:color w:val="000000"/>
                                <w:spacing w:val="-5"/>
                              </w:rPr>
                              <w:t> </w:t>
                            </w:r>
                            <w:r>
                              <w:rPr>
                                <w:color w:val="000000"/>
                              </w:rPr>
                              <w:t>management</w:t>
                            </w:r>
                            <w:r>
                              <w:rPr>
                                <w:color w:val="000000"/>
                                <w:spacing w:val="-5"/>
                              </w:rPr>
                              <w:t> </w:t>
                            </w:r>
                            <w:r>
                              <w:rPr>
                                <w:color w:val="000000"/>
                              </w:rPr>
                              <w:t>(mechanical</w:t>
                            </w:r>
                            <w:r>
                              <w:rPr>
                                <w:color w:val="000000"/>
                                <w:spacing w:val="-3"/>
                              </w:rPr>
                              <w:t> </w:t>
                            </w:r>
                            <w:r>
                              <w:rPr>
                                <w:color w:val="000000"/>
                              </w:rPr>
                              <w:t>treatment</w:t>
                            </w:r>
                            <w:r>
                              <w:rPr>
                                <w:color w:val="000000"/>
                                <w:spacing w:val="-2"/>
                              </w:rPr>
                              <w:t> </w:t>
                            </w:r>
                            <w:r>
                              <w:rPr>
                                <w:color w:val="000000"/>
                              </w:rPr>
                              <w:t>and</w:t>
                            </w:r>
                            <w:r>
                              <w:rPr>
                                <w:color w:val="000000"/>
                                <w:spacing w:val="-4"/>
                              </w:rPr>
                              <w:t> </w:t>
                            </w:r>
                            <w:r>
                              <w:rPr>
                                <w:color w:val="000000"/>
                              </w:rPr>
                              <w:t>prescribed</w:t>
                            </w:r>
                            <w:r>
                              <w:rPr>
                                <w:color w:val="000000"/>
                                <w:spacing w:val="-4"/>
                              </w:rPr>
                              <w:t> </w:t>
                            </w:r>
                            <w:r>
                              <w:rPr>
                                <w:color w:val="000000"/>
                              </w:rPr>
                              <w:t>fire) and passive management (natural processes including disturbances and succession) to restore management natural processes and improve resiliency, while emphasizing important fish and wildlife habitats.</w:t>
                            </w:r>
                          </w:p>
                          <w:p>
                            <w:pPr>
                              <w:pStyle w:val="BodyText"/>
                              <w:spacing w:before="118"/>
                              <w:ind w:left="28" w:right="135"/>
                              <w:rPr>
                                <w:color w:val="000000"/>
                              </w:rPr>
                            </w:pPr>
                            <w:r>
                              <w:rPr>
                                <w:color w:val="000000"/>
                              </w:rPr>
                              <w:t>Spatially, these areas are defined by the key watersheds and wildlife habitat including recovery areas or other management units for listed species that were not included in Backcountry</w:t>
                            </w:r>
                            <w:r>
                              <w:rPr>
                                <w:color w:val="000000"/>
                                <w:spacing w:val="-5"/>
                              </w:rPr>
                              <w:t> </w:t>
                            </w:r>
                            <w:r>
                              <w:rPr>
                                <w:color w:val="000000"/>
                              </w:rPr>
                              <w:t>and</w:t>
                            </w:r>
                            <w:r>
                              <w:rPr>
                                <w:color w:val="000000"/>
                                <w:spacing w:val="-5"/>
                              </w:rPr>
                              <w:t> </w:t>
                            </w:r>
                            <w:r>
                              <w:rPr>
                                <w:color w:val="000000"/>
                              </w:rPr>
                              <w:t>Backcountry</w:t>
                            </w:r>
                            <w:r>
                              <w:rPr>
                                <w:color w:val="000000"/>
                                <w:spacing w:val="-5"/>
                              </w:rPr>
                              <w:t> </w:t>
                            </w:r>
                            <w:r>
                              <w:rPr>
                                <w:color w:val="000000"/>
                              </w:rPr>
                              <w:t>Motorized</w:t>
                            </w:r>
                            <w:r>
                              <w:rPr>
                                <w:color w:val="000000"/>
                                <w:spacing w:val="-4"/>
                              </w:rPr>
                              <w:t> </w:t>
                            </w:r>
                            <w:r>
                              <w:rPr>
                                <w:color w:val="000000"/>
                              </w:rPr>
                              <w:t>Management</w:t>
                            </w:r>
                            <w:r>
                              <w:rPr>
                                <w:color w:val="000000"/>
                                <w:spacing w:val="-3"/>
                              </w:rPr>
                              <w:t> </w:t>
                            </w:r>
                            <w:r>
                              <w:rPr>
                                <w:color w:val="000000"/>
                              </w:rPr>
                              <w:t>Areas.</w:t>
                            </w:r>
                            <w:r>
                              <w:rPr>
                                <w:color w:val="000000"/>
                                <w:spacing w:val="-7"/>
                              </w:rPr>
                              <w:t> </w:t>
                            </w:r>
                            <w:r>
                              <w:rPr>
                                <w:color w:val="000000"/>
                              </w:rPr>
                              <w:t>Desired</w:t>
                            </w:r>
                            <w:r>
                              <w:rPr>
                                <w:color w:val="000000"/>
                                <w:spacing w:val="-4"/>
                              </w:rPr>
                              <w:t> </w:t>
                            </w:r>
                            <w:r>
                              <w:rPr>
                                <w:color w:val="000000"/>
                              </w:rPr>
                              <w:t>habitat</w:t>
                            </w:r>
                            <w:r>
                              <w:rPr>
                                <w:color w:val="000000"/>
                                <w:spacing w:val="-6"/>
                              </w:rPr>
                              <w:t> </w:t>
                            </w:r>
                            <w:r>
                              <w:rPr>
                                <w:color w:val="000000"/>
                              </w:rPr>
                              <w:t>conditions for aquatic, plant, and wildlife species are found in these areas.</w:t>
                            </w:r>
                          </w:p>
                        </w:txbxContent>
                      </wps:txbx>
                      <wps:bodyPr wrap="square" lIns="0" tIns="0" rIns="0" bIns="0" rtlCol="0">
                        <a:noAutofit/>
                      </wps:bodyPr>
                    </wps:wsp>
                  </a:graphicData>
                </a:graphic>
              </wp:anchor>
            </w:drawing>
          </mc:Choice>
          <mc:Fallback>
            <w:pict>
              <v:shape style="position:absolute;margin-left:88.559998pt;margin-top:6.040225pt;width:413.3pt;height:126.85pt;mso-position-horizontal-relative:page;mso-position-vertical-relative:paragraph;z-index:-15693312;mso-wrap-distance-left:0;mso-wrap-distance-right:0" type="#_x0000_t202" id="docshape193" filled="true" fillcolor="#dfdfdf" stroked="false">
                <v:textbox inset="0,0,0,0">
                  <w:txbxContent>
                    <w:p>
                      <w:pPr>
                        <w:pStyle w:val="BodyText"/>
                        <w:ind w:left="28" w:right="74"/>
                        <w:rPr>
                          <w:color w:val="000000"/>
                        </w:rPr>
                      </w:pPr>
                      <w:r>
                        <w:rPr>
                          <w:color w:val="000000"/>
                        </w:rPr>
                        <w:t>The management emphasis is to restore ecological integrity and ecosystem function at the landscape</w:t>
                      </w:r>
                      <w:r>
                        <w:rPr>
                          <w:color w:val="000000"/>
                          <w:spacing w:val="-2"/>
                        </w:rPr>
                        <w:t> </w:t>
                      </w:r>
                      <w:r>
                        <w:rPr>
                          <w:color w:val="000000"/>
                        </w:rPr>
                        <w:t>scale,</w:t>
                      </w:r>
                      <w:r>
                        <w:rPr>
                          <w:color w:val="000000"/>
                          <w:spacing w:val="-3"/>
                        </w:rPr>
                        <w:t> </w:t>
                      </w:r>
                      <w:r>
                        <w:rPr>
                          <w:color w:val="000000"/>
                        </w:rPr>
                        <w:t>using</w:t>
                      </w:r>
                      <w:r>
                        <w:rPr>
                          <w:color w:val="000000"/>
                          <w:spacing w:val="-4"/>
                        </w:rPr>
                        <w:t> </w:t>
                      </w:r>
                      <w:r>
                        <w:rPr>
                          <w:color w:val="000000"/>
                        </w:rPr>
                        <w:t>both</w:t>
                      </w:r>
                      <w:r>
                        <w:rPr>
                          <w:color w:val="000000"/>
                          <w:spacing w:val="-4"/>
                        </w:rPr>
                        <w:t> </w:t>
                      </w:r>
                      <w:r>
                        <w:rPr>
                          <w:color w:val="000000"/>
                        </w:rPr>
                        <w:t>active</w:t>
                      </w:r>
                      <w:r>
                        <w:rPr>
                          <w:color w:val="000000"/>
                          <w:spacing w:val="-5"/>
                        </w:rPr>
                        <w:t> </w:t>
                      </w:r>
                      <w:r>
                        <w:rPr>
                          <w:color w:val="000000"/>
                        </w:rPr>
                        <w:t>management</w:t>
                      </w:r>
                      <w:r>
                        <w:rPr>
                          <w:color w:val="000000"/>
                          <w:spacing w:val="-5"/>
                        </w:rPr>
                        <w:t> </w:t>
                      </w:r>
                      <w:r>
                        <w:rPr>
                          <w:color w:val="000000"/>
                        </w:rPr>
                        <w:t>(mechanical</w:t>
                      </w:r>
                      <w:r>
                        <w:rPr>
                          <w:color w:val="000000"/>
                          <w:spacing w:val="-3"/>
                        </w:rPr>
                        <w:t> </w:t>
                      </w:r>
                      <w:r>
                        <w:rPr>
                          <w:color w:val="000000"/>
                        </w:rPr>
                        <w:t>treatment</w:t>
                      </w:r>
                      <w:r>
                        <w:rPr>
                          <w:color w:val="000000"/>
                          <w:spacing w:val="-2"/>
                        </w:rPr>
                        <w:t> </w:t>
                      </w:r>
                      <w:r>
                        <w:rPr>
                          <w:color w:val="000000"/>
                        </w:rPr>
                        <w:t>and</w:t>
                      </w:r>
                      <w:r>
                        <w:rPr>
                          <w:color w:val="000000"/>
                          <w:spacing w:val="-4"/>
                        </w:rPr>
                        <w:t> </w:t>
                      </w:r>
                      <w:r>
                        <w:rPr>
                          <w:color w:val="000000"/>
                        </w:rPr>
                        <w:t>prescribed</w:t>
                      </w:r>
                      <w:r>
                        <w:rPr>
                          <w:color w:val="000000"/>
                          <w:spacing w:val="-4"/>
                        </w:rPr>
                        <w:t> </w:t>
                      </w:r>
                      <w:r>
                        <w:rPr>
                          <w:color w:val="000000"/>
                        </w:rPr>
                        <w:t>fire) and passive management (natural processes including disturbances and succession) to restore management natural processes and improve resiliency, while emphasizing important fish and wildlife habitats.</w:t>
                      </w:r>
                    </w:p>
                    <w:p>
                      <w:pPr>
                        <w:pStyle w:val="BodyText"/>
                        <w:spacing w:before="118"/>
                        <w:ind w:left="28" w:right="135"/>
                        <w:rPr>
                          <w:color w:val="000000"/>
                        </w:rPr>
                      </w:pPr>
                      <w:r>
                        <w:rPr>
                          <w:color w:val="000000"/>
                        </w:rPr>
                        <w:t>Spatially, these areas are defined by the key watersheds and wildlife habitat including recovery areas or other management units for listed species that were not included in Backcountry</w:t>
                      </w:r>
                      <w:r>
                        <w:rPr>
                          <w:color w:val="000000"/>
                          <w:spacing w:val="-5"/>
                        </w:rPr>
                        <w:t> </w:t>
                      </w:r>
                      <w:r>
                        <w:rPr>
                          <w:color w:val="000000"/>
                        </w:rPr>
                        <w:t>and</w:t>
                      </w:r>
                      <w:r>
                        <w:rPr>
                          <w:color w:val="000000"/>
                          <w:spacing w:val="-5"/>
                        </w:rPr>
                        <w:t> </w:t>
                      </w:r>
                      <w:r>
                        <w:rPr>
                          <w:color w:val="000000"/>
                        </w:rPr>
                        <w:t>Backcountry</w:t>
                      </w:r>
                      <w:r>
                        <w:rPr>
                          <w:color w:val="000000"/>
                          <w:spacing w:val="-5"/>
                        </w:rPr>
                        <w:t> </w:t>
                      </w:r>
                      <w:r>
                        <w:rPr>
                          <w:color w:val="000000"/>
                        </w:rPr>
                        <w:t>Motorized</w:t>
                      </w:r>
                      <w:r>
                        <w:rPr>
                          <w:color w:val="000000"/>
                          <w:spacing w:val="-4"/>
                        </w:rPr>
                        <w:t> </w:t>
                      </w:r>
                      <w:r>
                        <w:rPr>
                          <w:color w:val="000000"/>
                        </w:rPr>
                        <w:t>Management</w:t>
                      </w:r>
                      <w:r>
                        <w:rPr>
                          <w:color w:val="000000"/>
                          <w:spacing w:val="-3"/>
                        </w:rPr>
                        <w:t> </w:t>
                      </w:r>
                      <w:r>
                        <w:rPr>
                          <w:color w:val="000000"/>
                        </w:rPr>
                        <w:t>Areas.</w:t>
                      </w:r>
                      <w:r>
                        <w:rPr>
                          <w:color w:val="000000"/>
                          <w:spacing w:val="-7"/>
                        </w:rPr>
                        <w:t> </w:t>
                      </w:r>
                      <w:r>
                        <w:rPr>
                          <w:color w:val="000000"/>
                        </w:rPr>
                        <w:t>Desired</w:t>
                      </w:r>
                      <w:r>
                        <w:rPr>
                          <w:color w:val="000000"/>
                          <w:spacing w:val="-4"/>
                        </w:rPr>
                        <w:t> </w:t>
                      </w:r>
                      <w:r>
                        <w:rPr>
                          <w:color w:val="000000"/>
                        </w:rPr>
                        <w:t>habitat</w:t>
                      </w:r>
                      <w:r>
                        <w:rPr>
                          <w:color w:val="000000"/>
                          <w:spacing w:val="-6"/>
                        </w:rPr>
                        <w:t> </w:t>
                      </w:r>
                      <w:r>
                        <w:rPr>
                          <w:color w:val="000000"/>
                        </w:rPr>
                        <w:t>conditions for aquatic, plant, and wildlife species are found in these areas.</w:t>
                      </w:r>
                    </w:p>
                  </w:txbxContent>
                </v:textbox>
                <v:fill type="solid"/>
                <w10:wrap type="topAndBottom"/>
              </v:shape>
            </w:pict>
          </mc:Fallback>
        </mc:AlternateContent>
      </w:r>
    </w:p>
    <w:p>
      <w:pPr>
        <w:pStyle w:val="Heading4"/>
        <w:spacing w:before="240"/>
      </w:pPr>
      <w:bookmarkStart w:name="Desired Conditions" w:id="617"/>
      <w:bookmarkEnd w:id="617"/>
      <w:r>
        <w:rPr/>
      </w:r>
      <w:bookmarkStart w:name="_bookmark189" w:id="618"/>
      <w:bookmarkEnd w:id="618"/>
      <w:r>
        <w:rPr/>
      </w:r>
      <w:r>
        <w:rPr/>
        <w:t>Desired</w:t>
      </w:r>
      <w:r>
        <w:rPr>
          <w:spacing w:val="-4"/>
        </w:rPr>
        <w:t> </w:t>
      </w:r>
      <w:r>
        <w:rPr>
          <w:spacing w:val="-2"/>
        </w:rPr>
        <w:t>Conditions</w:t>
      </w:r>
    </w:p>
    <w:p>
      <w:pPr>
        <w:spacing w:before="240"/>
        <w:ind w:left="360" w:right="0" w:firstLine="0"/>
        <w:jc w:val="left"/>
        <w:rPr>
          <w:rFonts w:ascii="Arial"/>
          <w:i/>
          <w:sz w:val="22"/>
        </w:rPr>
      </w:pPr>
      <w:bookmarkStart w:name="MA-DC-FR-01. Vegetation" w:id="619"/>
      <w:bookmarkEnd w:id="619"/>
      <w:r>
        <w:rPr/>
      </w:r>
      <w:r>
        <w:rPr>
          <w:rFonts w:ascii="Arial"/>
          <w:i/>
          <w:sz w:val="22"/>
        </w:rPr>
        <w:t>MA-DC-FR-01.</w:t>
      </w:r>
      <w:r>
        <w:rPr>
          <w:rFonts w:ascii="Arial"/>
          <w:i/>
          <w:spacing w:val="-9"/>
          <w:sz w:val="22"/>
        </w:rPr>
        <w:t> </w:t>
      </w:r>
      <w:r>
        <w:rPr>
          <w:rFonts w:ascii="Arial"/>
          <w:i/>
          <w:spacing w:val="-2"/>
          <w:sz w:val="22"/>
        </w:rPr>
        <w:t>Vegetation</w:t>
      </w:r>
    </w:p>
    <w:p>
      <w:pPr>
        <w:pStyle w:val="BodyText"/>
        <w:spacing w:line="232" w:lineRule="auto" w:before="64"/>
        <w:ind w:left="359" w:right="1518"/>
      </w:pPr>
      <w:r>
        <w:rPr/>
        <w:t>The landscape contributes to the variety of native plant communities and the composition, structure, and patterns as defined in desired conditions for vegetative systems, aquatic, plant, and</w:t>
      </w:r>
      <w:r>
        <w:rPr>
          <w:spacing w:val="-3"/>
        </w:rPr>
        <w:t> </w:t>
      </w:r>
      <w:r>
        <w:rPr/>
        <w:t>wildlife</w:t>
      </w:r>
      <w:r>
        <w:rPr>
          <w:spacing w:val="-1"/>
        </w:rPr>
        <w:t> </w:t>
      </w:r>
      <w:r>
        <w:rPr/>
        <w:t>habitats.</w:t>
      </w:r>
      <w:r>
        <w:rPr>
          <w:spacing w:val="-2"/>
        </w:rPr>
        <w:t> </w:t>
      </w:r>
      <w:r>
        <w:rPr/>
        <w:t>The</w:t>
      </w:r>
      <w:r>
        <w:rPr>
          <w:spacing w:val="-4"/>
        </w:rPr>
        <w:t> </w:t>
      </w:r>
      <w:r>
        <w:rPr/>
        <w:t>desired</w:t>
      </w:r>
      <w:r>
        <w:rPr>
          <w:spacing w:val="-3"/>
        </w:rPr>
        <w:t> </w:t>
      </w:r>
      <w:r>
        <w:rPr/>
        <w:t>conditions</w:t>
      </w:r>
      <w:r>
        <w:rPr>
          <w:spacing w:val="-4"/>
        </w:rPr>
        <w:t> </w:t>
      </w:r>
      <w:r>
        <w:rPr/>
        <w:t>for</w:t>
      </w:r>
      <w:r>
        <w:rPr>
          <w:spacing w:val="-4"/>
        </w:rPr>
        <w:t> </w:t>
      </w:r>
      <w:r>
        <w:rPr/>
        <w:t>vegetation</w:t>
      </w:r>
      <w:r>
        <w:rPr>
          <w:spacing w:val="-3"/>
        </w:rPr>
        <w:t> </w:t>
      </w:r>
      <w:r>
        <w:rPr/>
        <w:t>are</w:t>
      </w:r>
      <w:r>
        <w:rPr>
          <w:spacing w:val="-1"/>
        </w:rPr>
        <w:t> </w:t>
      </w:r>
      <w:r>
        <w:rPr/>
        <w:t>achieved</w:t>
      </w:r>
      <w:r>
        <w:rPr>
          <w:spacing w:val="-3"/>
        </w:rPr>
        <w:t> </w:t>
      </w:r>
      <w:r>
        <w:rPr/>
        <w:t>through</w:t>
      </w:r>
      <w:r>
        <w:rPr>
          <w:spacing w:val="-5"/>
        </w:rPr>
        <w:t> </w:t>
      </w:r>
      <w:r>
        <w:rPr/>
        <w:t>a</w:t>
      </w:r>
      <w:r>
        <w:rPr>
          <w:spacing w:val="-2"/>
        </w:rPr>
        <w:t> </w:t>
      </w:r>
      <w:r>
        <w:rPr/>
        <w:t>combination of ecological processes and management activities. While the landscape is predominantly natural-appearing, there are some locations where the vegetation composition, structure, or pattern</w:t>
      </w:r>
      <w:r>
        <w:rPr>
          <w:spacing w:val="-7"/>
        </w:rPr>
        <w:t> </w:t>
      </w:r>
      <w:r>
        <w:rPr/>
        <w:t>is</w:t>
      </w:r>
      <w:r>
        <w:rPr>
          <w:spacing w:val="-8"/>
        </w:rPr>
        <w:t> </w:t>
      </w:r>
      <w:r>
        <w:rPr/>
        <w:t>slightly</w:t>
      </w:r>
      <w:r>
        <w:rPr>
          <w:spacing w:val="-7"/>
        </w:rPr>
        <w:t> </w:t>
      </w:r>
      <w:r>
        <w:rPr/>
        <w:t>or</w:t>
      </w:r>
      <w:r>
        <w:rPr>
          <w:spacing w:val="-8"/>
        </w:rPr>
        <w:t> </w:t>
      </w:r>
      <w:r>
        <w:rPr/>
        <w:t>moderately</w:t>
      </w:r>
      <w:r>
        <w:rPr>
          <w:spacing w:val="-5"/>
        </w:rPr>
        <w:t> </w:t>
      </w:r>
      <w:r>
        <w:rPr/>
        <w:t>altered.</w:t>
      </w:r>
      <w:r>
        <w:rPr>
          <w:spacing w:val="-6"/>
        </w:rPr>
        <w:t> </w:t>
      </w:r>
      <w:r>
        <w:rPr/>
        <w:t>The</w:t>
      </w:r>
      <w:r>
        <w:rPr>
          <w:spacing w:val="-8"/>
        </w:rPr>
        <w:t> </w:t>
      </w:r>
      <w:r>
        <w:rPr/>
        <w:t>scenic</w:t>
      </w:r>
      <w:r>
        <w:rPr>
          <w:spacing w:val="-8"/>
        </w:rPr>
        <w:t> </w:t>
      </w:r>
      <w:r>
        <w:rPr/>
        <w:t>integrity</w:t>
      </w:r>
      <w:r>
        <w:rPr>
          <w:spacing w:val="-7"/>
        </w:rPr>
        <w:t> </w:t>
      </w:r>
      <w:r>
        <w:rPr/>
        <w:t>objectives</w:t>
      </w:r>
      <w:r>
        <w:rPr>
          <w:spacing w:val="-6"/>
        </w:rPr>
        <w:t> </w:t>
      </w:r>
      <w:r>
        <w:rPr/>
        <w:t>would</w:t>
      </w:r>
      <w:r>
        <w:rPr>
          <w:spacing w:val="-7"/>
        </w:rPr>
        <w:t> </w:t>
      </w:r>
      <w:r>
        <w:rPr/>
        <w:t>range</w:t>
      </w:r>
      <w:r>
        <w:rPr>
          <w:spacing w:val="-5"/>
        </w:rPr>
        <w:t> </w:t>
      </w:r>
      <w:r>
        <w:rPr/>
        <w:t>from</w:t>
      </w:r>
      <w:r>
        <w:rPr>
          <w:spacing w:val="-7"/>
        </w:rPr>
        <w:t> </w:t>
      </w:r>
      <w:r>
        <w:rPr/>
        <w:t>low</w:t>
      </w:r>
      <w:r>
        <w:rPr>
          <w:spacing w:val="-5"/>
        </w:rPr>
        <w:t> </w:t>
      </w:r>
      <w:r>
        <w:rPr/>
        <w:t>to </w:t>
      </w:r>
      <w:r>
        <w:rPr>
          <w:spacing w:val="-2"/>
        </w:rPr>
        <w:t>high.</w:t>
      </w:r>
    </w:p>
    <w:p>
      <w:pPr>
        <w:spacing w:before="233"/>
        <w:ind w:left="359" w:right="0" w:firstLine="0"/>
        <w:jc w:val="left"/>
        <w:rPr>
          <w:rFonts w:ascii="Arial"/>
          <w:i/>
          <w:sz w:val="22"/>
        </w:rPr>
      </w:pPr>
      <w:bookmarkStart w:name="MA-DC-FR-02. Habitat" w:id="620"/>
      <w:bookmarkEnd w:id="620"/>
      <w:r>
        <w:rPr/>
      </w:r>
      <w:r>
        <w:rPr>
          <w:rFonts w:ascii="Arial"/>
          <w:i/>
          <w:sz w:val="22"/>
        </w:rPr>
        <w:t>MA-DC-FR-02.</w:t>
      </w:r>
      <w:r>
        <w:rPr>
          <w:rFonts w:ascii="Arial"/>
          <w:i/>
          <w:spacing w:val="-9"/>
          <w:sz w:val="22"/>
        </w:rPr>
        <w:t> </w:t>
      </w:r>
      <w:r>
        <w:rPr>
          <w:rFonts w:ascii="Arial"/>
          <w:i/>
          <w:spacing w:val="-2"/>
          <w:sz w:val="22"/>
        </w:rPr>
        <w:t>Habitat</w:t>
      </w:r>
    </w:p>
    <w:p>
      <w:pPr>
        <w:pStyle w:val="BodyText"/>
        <w:spacing w:line="232" w:lineRule="auto" w:before="65"/>
        <w:ind w:left="359" w:right="1445"/>
      </w:pPr>
      <w:r>
        <w:rPr/>
        <w:t>These areas</w:t>
      </w:r>
      <w:r>
        <w:rPr>
          <w:spacing w:val="-1"/>
        </w:rPr>
        <w:t> </w:t>
      </w:r>
      <w:r>
        <w:rPr/>
        <w:t>contribute important habitat for plant,</w:t>
      </w:r>
      <w:r>
        <w:rPr>
          <w:spacing w:val="-1"/>
        </w:rPr>
        <w:t> </w:t>
      </w:r>
      <w:r>
        <w:rPr/>
        <w:t>wildlife, and aquatic species</w:t>
      </w:r>
      <w:r>
        <w:rPr>
          <w:spacing w:val="-1"/>
        </w:rPr>
        <w:t> </w:t>
      </w:r>
      <w:r>
        <w:rPr/>
        <w:t>that benefit from</w:t>
      </w:r>
      <w:r>
        <w:rPr>
          <w:spacing w:val="-5"/>
        </w:rPr>
        <w:t> </w:t>
      </w:r>
      <w:r>
        <w:rPr/>
        <w:t>areas</w:t>
      </w:r>
      <w:r>
        <w:rPr>
          <w:spacing w:val="-7"/>
        </w:rPr>
        <w:t> </w:t>
      </w:r>
      <w:r>
        <w:rPr/>
        <w:t>with</w:t>
      </w:r>
      <w:r>
        <w:rPr>
          <w:spacing w:val="-8"/>
        </w:rPr>
        <w:t> </w:t>
      </w:r>
      <w:r>
        <w:rPr/>
        <w:t>relatively</w:t>
      </w:r>
      <w:r>
        <w:rPr>
          <w:spacing w:val="-6"/>
        </w:rPr>
        <w:t> </w:t>
      </w:r>
      <w:r>
        <w:rPr/>
        <w:t>low</w:t>
      </w:r>
      <w:r>
        <w:rPr>
          <w:spacing w:val="-7"/>
        </w:rPr>
        <w:t> </w:t>
      </w:r>
      <w:r>
        <w:rPr/>
        <w:t>road</w:t>
      </w:r>
      <w:r>
        <w:rPr>
          <w:spacing w:val="-6"/>
        </w:rPr>
        <w:t> </w:t>
      </w:r>
      <w:r>
        <w:rPr/>
        <w:t>density</w:t>
      </w:r>
      <w:r>
        <w:rPr>
          <w:spacing w:val="-6"/>
        </w:rPr>
        <w:t> </w:t>
      </w:r>
      <w:r>
        <w:rPr/>
        <w:t>(see</w:t>
      </w:r>
      <w:r>
        <w:rPr>
          <w:spacing w:val="-7"/>
        </w:rPr>
        <w:t> </w:t>
      </w:r>
      <w:r>
        <w:rPr/>
        <w:t>MA-DC-FR-05)</w:t>
      </w:r>
      <w:r>
        <w:rPr>
          <w:spacing w:val="-7"/>
        </w:rPr>
        <w:t> </w:t>
      </w:r>
      <w:r>
        <w:rPr/>
        <w:t>and</w:t>
      </w:r>
      <w:r>
        <w:rPr>
          <w:spacing w:val="-6"/>
        </w:rPr>
        <w:t> </w:t>
      </w:r>
      <w:r>
        <w:rPr/>
        <w:t>high</w:t>
      </w:r>
      <w:r>
        <w:rPr>
          <w:spacing w:val="-6"/>
        </w:rPr>
        <w:t> </w:t>
      </w:r>
      <w:r>
        <w:rPr/>
        <w:t>habitat</w:t>
      </w:r>
      <w:r>
        <w:rPr>
          <w:spacing w:val="-5"/>
        </w:rPr>
        <w:t> </w:t>
      </w:r>
      <w:r>
        <w:rPr/>
        <w:t>effectiveness (relatively low level of human disturbances).</w:t>
      </w:r>
    </w:p>
    <w:p>
      <w:pPr>
        <w:pStyle w:val="BodyText"/>
        <w:spacing w:line="232" w:lineRule="auto" w:before="197"/>
        <w:ind w:left="359" w:right="1445"/>
      </w:pPr>
      <w:r>
        <w:rPr/>
        <w:t>Road</w:t>
      </w:r>
      <w:r>
        <w:rPr>
          <w:spacing w:val="-5"/>
        </w:rPr>
        <w:t> </w:t>
      </w:r>
      <w:r>
        <w:rPr/>
        <w:t>interaction</w:t>
      </w:r>
      <w:r>
        <w:rPr>
          <w:spacing w:val="-7"/>
        </w:rPr>
        <w:t> </w:t>
      </w:r>
      <w:r>
        <w:rPr/>
        <w:t>with</w:t>
      </w:r>
      <w:r>
        <w:rPr>
          <w:spacing w:val="-7"/>
        </w:rPr>
        <w:t> </w:t>
      </w:r>
      <w:r>
        <w:rPr/>
        <w:t>surface</w:t>
      </w:r>
      <w:r>
        <w:rPr>
          <w:spacing w:val="-3"/>
        </w:rPr>
        <w:t> </w:t>
      </w:r>
      <w:r>
        <w:rPr/>
        <w:t>and</w:t>
      </w:r>
      <w:r>
        <w:rPr>
          <w:spacing w:val="-5"/>
        </w:rPr>
        <w:t> </w:t>
      </w:r>
      <w:r>
        <w:rPr/>
        <w:t>sub-surface</w:t>
      </w:r>
      <w:r>
        <w:rPr>
          <w:spacing w:val="-6"/>
        </w:rPr>
        <w:t> </w:t>
      </w:r>
      <w:r>
        <w:rPr/>
        <w:t>water</w:t>
      </w:r>
      <w:r>
        <w:rPr>
          <w:spacing w:val="-4"/>
        </w:rPr>
        <w:t> </w:t>
      </w:r>
      <w:r>
        <w:rPr/>
        <w:t>is</w:t>
      </w:r>
      <w:r>
        <w:rPr>
          <w:spacing w:val="-6"/>
        </w:rPr>
        <w:t> </w:t>
      </w:r>
      <w:r>
        <w:rPr/>
        <w:t>such</w:t>
      </w:r>
      <w:r>
        <w:rPr>
          <w:spacing w:val="-5"/>
        </w:rPr>
        <w:t> </w:t>
      </w:r>
      <w:r>
        <w:rPr/>
        <w:t>that</w:t>
      </w:r>
      <w:r>
        <w:rPr>
          <w:spacing w:val="-3"/>
        </w:rPr>
        <w:t> </w:t>
      </w:r>
      <w:r>
        <w:rPr/>
        <w:t>it</w:t>
      </w:r>
      <w:r>
        <w:rPr>
          <w:spacing w:val="-6"/>
        </w:rPr>
        <w:t> </w:t>
      </w:r>
      <w:r>
        <w:rPr/>
        <w:t>does</w:t>
      </w:r>
      <w:r>
        <w:rPr>
          <w:spacing w:val="-4"/>
        </w:rPr>
        <w:t> </w:t>
      </w:r>
      <w:r>
        <w:rPr/>
        <w:t>not</w:t>
      </w:r>
      <w:r>
        <w:rPr>
          <w:spacing w:val="-3"/>
        </w:rPr>
        <w:t> </w:t>
      </w:r>
      <w:r>
        <w:rPr/>
        <w:t>result</w:t>
      </w:r>
      <w:r>
        <w:rPr>
          <w:spacing w:val="-6"/>
        </w:rPr>
        <w:t> </w:t>
      </w:r>
      <w:r>
        <w:rPr/>
        <w:t>in</w:t>
      </w:r>
      <w:r>
        <w:rPr>
          <w:spacing w:val="-5"/>
        </w:rPr>
        <w:t> </w:t>
      </w:r>
      <w:r>
        <w:rPr/>
        <w:t>an</w:t>
      </w:r>
      <w:r>
        <w:rPr>
          <w:spacing w:val="-5"/>
        </w:rPr>
        <w:t> </w:t>
      </w:r>
      <w:r>
        <w:rPr/>
        <w:t>increase in drainage density and/or accelerated or abnormal hill slope failure. Roads function in a hydraulic and geomorphic manner that provides watershed-scale aquatic habitat connectivity and contributes to attainment of State water quality standards.</w:t>
      </w:r>
    </w:p>
    <w:p>
      <w:pPr>
        <w:spacing w:before="235"/>
        <w:ind w:left="359" w:right="0" w:firstLine="0"/>
        <w:jc w:val="left"/>
        <w:rPr>
          <w:rFonts w:ascii="Arial"/>
          <w:i/>
          <w:sz w:val="22"/>
        </w:rPr>
      </w:pPr>
      <w:bookmarkStart w:name="MA-DC-FR-03. Recreation Setting and Acti" w:id="621"/>
      <w:bookmarkEnd w:id="621"/>
      <w:r>
        <w:rPr/>
      </w:r>
      <w:r>
        <w:rPr>
          <w:rFonts w:ascii="Arial"/>
          <w:i/>
          <w:sz w:val="22"/>
        </w:rPr>
        <w:t>MA-DC-FR-03.</w:t>
      </w:r>
      <w:r>
        <w:rPr>
          <w:rFonts w:ascii="Arial"/>
          <w:i/>
          <w:spacing w:val="-6"/>
          <w:sz w:val="22"/>
        </w:rPr>
        <w:t> </w:t>
      </w:r>
      <w:r>
        <w:rPr>
          <w:rFonts w:ascii="Arial"/>
          <w:i/>
          <w:sz w:val="22"/>
        </w:rPr>
        <w:t>Recreation</w:t>
      </w:r>
      <w:r>
        <w:rPr>
          <w:rFonts w:ascii="Arial"/>
          <w:i/>
          <w:spacing w:val="-7"/>
          <w:sz w:val="22"/>
        </w:rPr>
        <w:t> </w:t>
      </w:r>
      <w:r>
        <w:rPr>
          <w:rFonts w:ascii="Arial"/>
          <w:i/>
          <w:sz w:val="22"/>
        </w:rPr>
        <w:t>Setting</w:t>
      </w:r>
      <w:r>
        <w:rPr>
          <w:rFonts w:ascii="Arial"/>
          <w:i/>
          <w:spacing w:val="-8"/>
          <w:sz w:val="22"/>
        </w:rPr>
        <w:t> </w:t>
      </w:r>
      <w:r>
        <w:rPr>
          <w:rFonts w:ascii="Arial"/>
          <w:i/>
          <w:sz w:val="22"/>
        </w:rPr>
        <w:t>and</w:t>
      </w:r>
      <w:r>
        <w:rPr>
          <w:rFonts w:ascii="Arial"/>
          <w:i/>
          <w:spacing w:val="-7"/>
          <w:sz w:val="22"/>
        </w:rPr>
        <w:t> </w:t>
      </w:r>
      <w:r>
        <w:rPr>
          <w:rFonts w:ascii="Arial"/>
          <w:i/>
          <w:spacing w:val="-2"/>
          <w:sz w:val="22"/>
        </w:rPr>
        <w:t>Activities</w:t>
      </w:r>
    </w:p>
    <w:p>
      <w:pPr>
        <w:pStyle w:val="BodyText"/>
        <w:spacing w:line="232" w:lineRule="auto" w:before="64"/>
        <w:ind w:left="359" w:right="1621"/>
      </w:pPr>
      <w:r>
        <w:rPr/>
        <w:t>These areas provide a setting for a variety of developed and dispersed summer and winter recreation activities and contribute to wildlife-related recreational opportunities (such as wildlife viewing, hunting, etc.). Seasonal use restrictions occur for the purpose of resource protection</w:t>
      </w:r>
      <w:r>
        <w:rPr>
          <w:spacing w:val="-9"/>
        </w:rPr>
        <w:t> </w:t>
      </w:r>
      <w:r>
        <w:rPr/>
        <w:t>and</w:t>
      </w:r>
      <w:r>
        <w:rPr>
          <w:spacing w:val="-9"/>
        </w:rPr>
        <w:t> </w:t>
      </w:r>
      <w:r>
        <w:rPr/>
        <w:t>recreation</w:t>
      </w:r>
      <w:r>
        <w:rPr>
          <w:spacing w:val="-10"/>
        </w:rPr>
        <w:t> </w:t>
      </w:r>
      <w:r>
        <w:rPr/>
        <w:t>management.</w:t>
      </w:r>
      <w:r>
        <w:rPr>
          <w:spacing w:val="-8"/>
        </w:rPr>
        <w:t> </w:t>
      </w:r>
      <w:r>
        <w:rPr/>
        <w:t>Human-caused</w:t>
      </w:r>
      <w:r>
        <w:rPr>
          <w:spacing w:val="-9"/>
        </w:rPr>
        <w:t> </w:t>
      </w:r>
      <w:r>
        <w:rPr/>
        <w:t>changes</w:t>
      </w:r>
      <w:r>
        <w:rPr>
          <w:spacing w:val="-8"/>
        </w:rPr>
        <w:t> </w:t>
      </w:r>
      <w:r>
        <w:rPr/>
        <w:t>from</w:t>
      </w:r>
      <w:r>
        <w:rPr>
          <w:spacing w:val="-9"/>
        </w:rPr>
        <w:t> </w:t>
      </w:r>
      <w:r>
        <w:rPr/>
        <w:t>management</w:t>
      </w:r>
      <w:r>
        <w:rPr>
          <w:spacing w:val="-7"/>
        </w:rPr>
        <w:t> </w:t>
      </w:r>
      <w:r>
        <w:rPr/>
        <w:t>actions</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801"/>
      </w:pPr>
      <w:r>
        <w:rPr/>
        <w:t>related to recreation are limited in scale, naturally appearing, and reflect a roaded natural recreational opportunity spectrum setting. There are some locations where the vegetation composition,</w:t>
      </w:r>
      <w:r>
        <w:rPr>
          <w:spacing w:val="-5"/>
        </w:rPr>
        <w:t> </w:t>
      </w:r>
      <w:r>
        <w:rPr/>
        <w:t>structure,</w:t>
      </w:r>
      <w:r>
        <w:rPr>
          <w:spacing w:val="-7"/>
        </w:rPr>
        <w:t> </w:t>
      </w:r>
      <w:r>
        <w:rPr/>
        <w:t>or</w:t>
      </w:r>
      <w:r>
        <w:rPr>
          <w:spacing w:val="-7"/>
        </w:rPr>
        <w:t> </w:t>
      </w:r>
      <w:r>
        <w:rPr/>
        <w:t>pattern</w:t>
      </w:r>
      <w:r>
        <w:rPr>
          <w:spacing w:val="-6"/>
        </w:rPr>
        <w:t> </w:t>
      </w:r>
      <w:r>
        <w:rPr/>
        <w:t>is</w:t>
      </w:r>
      <w:r>
        <w:rPr>
          <w:spacing w:val="-7"/>
        </w:rPr>
        <w:t> </w:t>
      </w:r>
      <w:r>
        <w:rPr/>
        <w:t>altered</w:t>
      </w:r>
      <w:r>
        <w:rPr>
          <w:spacing w:val="-6"/>
        </w:rPr>
        <w:t> </w:t>
      </w:r>
      <w:r>
        <w:rPr/>
        <w:t>to</w:t>
      </w:r>
      <w:r>
        <w:rPr>
          <w:spacing w:val="-5"/>
        </w:rPr>
        <w:t> </w:t>
      </w:r>
      <w:r>
        <w:rPr/>
        <w:t>provide</w:t>
      </w:r>
      <w:r>
        <w:rPr>
          <w:spacing w:val="-5"/>
        </w:rPr>
        <w:t> </w:t>
      </w:r>
      <w:r>
        <w:rPr/>
        <w:t>a</w:t>
      </w:r>
      <w:r>
        <w:rPr>
          <w:spacing w:val="-5"/>
        </w:rPr>
        <w:t> </w:t>
      </w:r>
      <w:r>
        <w:rPr/>
        <w:t>recreational</w:t>
      </w:r>
      <w:r>
        <w:rPr>
          <w:spacing w:val="-8"/>
        </w:rPr>
        <w:t> </w:t>
      </w:r>
      <w:r>
        <w:rPr/>
        <w:t>setting</w:t>
      </w:r>
      <w:r>
        <w:rPr>
          <w:spacing w:val="-8"/>
        </w:rPr>
        <w:t> </w:t>
      </w:r>
      <w:r>
        <w:rPr/>
        <w:t>such</w:t>
      </w:r>
      <w:r>
        <w:rPr>
          <w:spacing w:val="-6"/>
        </w:rPr>
        <w:t> </w:t>
      </w:r>
      <w:r>
        <w:rPr/>
        <w:t>as</w:t>
      </w:r>
      <w:r>
        <w:rPr>
          <w:spacing w:val="-5"/>
        </w:rPr>
        <w:t> </w:t>
      </w:r>
      <w:r>
        <w:rPr/>
        <w:t>openings for scenic views.</w:t>
      </w:r>
    </w:p>
    <w:p>
      <w:pPr>
        <w:spacing w:before="234"/>
        <w:ind w:left="1151" w:right="0" w:firstLine="0"/>
        <w:jc w:val="left"/>
        <w:rPr>
          <w:rFonts w:ascii="Arial"/>
          <w:i/>
          <w:sz w:val="22"/>
        </w:rPr>
      </w:pPr>
      <w:bookmarkStart w:name="MA-DC-FR-04. Developments and Improvemen" w:id="622"/>
      <w:bookmarkEnd w:id="622"/>
      <w:r>
        <w:rPr/>
      </w:r>
      <w:r>
        <w:rPr>
          <w:rFonts w:ascii="Arial"/>
          <w:i/>
          <w:sz w:val="22"/>
        </w:rPr>
        <w:t>MA-DC-FR-04.</w:t>
      </w:r>
      <w:r>
        <w:rPr>
          <w:rFonts w:ascii="Arial"/>
          <w:i/>
          <w:spacing w:val="-7"/>
          <w:sz w:val="22"/>
        </w:rPr>
        <w:t> </w:t>
      </w:r>
      <w:r>
        <w:rPr>
          <w:rFonts w:ascii="Arial"/>
          <w:i/>
          <w:sz w:val="22"/>
        </w:rPr>
        <w:t>Developments</w:t>
      </w:r>
      <w:r>
        <w:rPr>
          <w:rFonts w:ascii="Arial"/>
          <w:i/>
          <w:spacing w:val="-10"/>
          <w:sz w:val="22"/>
        </w:rPr>
        <w:t> </w:t>
      </w:r>
      <w:r>
        <w:rPr>
          <w:rFonts w:ascii="Arial"/>
          <w:i/>
          <w:sz w:val="22"/>
        </w:rPr>
        <w:t>and</w:t>
      </w:r>
      <w:r>
        <w:rPr>
          <w:rFonts w:ascii="Arial"/>
          <w:i/>
          <w:spacing w:val="-9"/>
          <w:sz w:val="22"/>
        </w:rPr>
        <w:t> </w:t>
      </w:r>
      <w:r>
        <w:rPr>
          <w:rFonts w:ascii="Arial"/>
          <w:i/>
          <w:spacing w:val="-2"/>
          <w:sz w:val="22"/>
        </w:rPr>
        <w:t>Improvements</w:t>
      </w:r>
    </w:p>
    <w:p>
      <w:pPr>
        <w:pStyle w:val="BodyText"/>
        <w:spacing w:line="232" w:lineRule="auto" w:before="65"/>
        <w:ind w:left="1151" w:right="742"/>
      </w:pPr>
      <w:r>
        <w:rPr/>
        <w:t>Facilities (whether operated by the Forest Service or under permit) are those necessary to protect resources, provide for safety, public benefit, or to enhance roaded natural ROS experiences. Facilities should reflect the rustic style associated with the Rocky Mountain Province</w:t>
      </w:r>
      <w:r>
        <w:rPr>
          <w:spacing w:val="-8"/>
        </w:rPr>
        <w:t> </w:t>
      </w:r>
      <w:r>
        <w:rPr/>
        <w:t>character</w:t>
      </w:r>
      <w:r>
        <w:rPr>
          <w:spacing w:val="-6"/>
        </w:rPr>
        <w:t> </w:t>
      </w:r>
      <w:r>
        <w:rPr/>
        <w:t>type</w:t>
      </w:r>
      <w:r>
        <w:rPr>
          <w:spacing w:val="-5"/>
        </w:rPr>
        <w:t> </w:t>
      </w:r>
      <w:r>
        <w:rPr/>
        <w:t>by</w:t>
      </w:r>
      <w:r>
        <w:rPr>
          <w:spacing w:val="-7"/>
        </w:rPr>
        <w:t> </w:t>
      </w:r>
      <w:r>
        <w:rPr/>
        <w:t>using</w:t>
      </w:r>
      <w:r>
        <w:rPr>
          <w:spacing w:val="-7"/>
        </w:rPr>
        <w:t> </w:t>
      </w:r>
      <w:r>
        <w:rPr/>
        <w:t>native</w:t>
      </w:r>
      <w:r>
        <w:rPr>
          <w:spacing w:val="-8"/>
        </w:rPr>
        <w:t> </w:t>
      </w:r>
      <w:r>
        <w:rPr/>
        <w:t>materials,</w:t>
      </w:r>
      <w:r>
        <w:rPr>
          <w:spacing w:val="-6"/>
        </w:rPr>
        <w:t> </w:t>
      </w:r>
      <w:r>
        <w:rPr/>
        <w:t>earth-toned</w:t>
      </w:r>
      <w:r>
        <w:rPr>
          <w:spacing w:val="-7"/>
        </w:rPr>
        <w:t> </w:t>
      </w:r>
      <w:r>
        <w:rPr/>
        <w:t>colors</w:t>
      </w:r>
      <w:r>
        <w:rPr>
          <w:spacing w:val="-6"/>
        </w:rPr>
        <w:t> </w:t>
      </w:r>
      <w:r>
        <w:rPr/>
        <w:t>and</w:t>
      </w:r>
      <w:r>
        <w:rPr>
          <w:spacing w:val="-7"/>
        </w:rPr>
        <w:t> </w:t>
      </w:r>
      <w:r>
        <w:rPr/>
        <w:t>blend</w:t>
      </w:r>
      <w:r>
        <w:rPr>
          <w:spacing w:val="-7"/>
        </w:rPr>
        <w:t> </w:t>
      </w:r>
      <w:r>
        <w:rPr/>
        <w:t>into</w:t>
      </w:r>
      <w:r>
        <w:rPr>
          <w:spacing w:val="-5"/>
        </w:rPr>
        <w:t> </w:t>
      </w:r>
      <w:r>
        <w:rPr/>
        <w:t>the</w:t>
      </w:r>
      <w:r>
        <w:rPr>
          <w:spacing w:val="-5"/>
        </w:rPr>
        <w:t> </w:t>
      </w:r>
      <w:r>
        <w:rPr/>
        <w:t>natural landscape as much as feasible. Facilities include campgrounds, boat launches, fire lookouts, radio repeaters, administrative buildings, trailheads and trails (see direction under Administrative and Recreation Sites Management Area). Improvements are evident and may include signs, bridges, fences, shelters, campsites, scenic pullouts/overlooks, interpretive displays, stock containment systems and water developments. Concentrated use by the public may occur at facilities associated with developed recreation sites.</w:t>
      </w:r>
    </w:p>
    <w:p>
      <w:pPr>
        <w:spacing w:before="229"/>
        <w:ind w:left="1151" w:right="0" w:firstLine="0"/>
        <w:jc w:val="left"/>
        <w:rPr>
          <w:rFonts w:ascii="Arial"/>
          <w:i/>
          <w:sz w:val="22"/>
        </w:rPr>
      </w:pPr>
      <w:bookmarkStart w:name="MA-DC-FR-05. Travelways, Roads" w:id="623"/>
      <w:bookmarkEnd w:id="623"/>
      <w:r>
        <w:rPr/>
      </w:r>
      <w:r>
        <w:rPr>
          <w:rFonts w:ascii="Arial"/>
          <w:i/>
          <w:sz w:val="22"/>
        </w:rPr>
        <w:t>MA-DC-FR-05.</w:t>
      </w:r>
      <w:r>
        <w:rPr>
          <w:rFonts w:ascii="Arial"/>
          <w:i/>
          <w:spacing w:val="-8"/>
          <w:sz w:val="22"/>
        </w:rPr>
        <w:t> </w:t>
      </w:r>
      <w:r>
        <w:rPr>
          <w:rFonts w:ascii="Arial"/>
          <w:i/>
          <w:sz w:val="22"/>
        </w:rPr>
        <w:t>Travelways,</w:t>
      </w:r>
      <w:r>
        <w:rPr>
          <w:rFonts w:ascii="Arial"/>
          <w:i/>
          <w:spacing w:val="-8"/>
          <w:sz w:val="22"/>
        </w:rPr>
        <w:t> </w:t>
      </w:r>
      <w:r>
        <w:rPr>
          <w:rFonts w:ascii="Arial"/>
          <w:i/>
          <w:spacing w:val="-2"/>
          <w:sz w:val="22"/>
        </w:rPr>
        <w:t>Roads</w:t>
      </w:r>
    </w:p>
    <w:p>
      <w:pPr>
        <w:pStyle w:val="BodyText"/>
        <w:spacing w:line="232" w:lineRule="auto" w:before="64"/>
        <w:ind w:left="1151" w:right="742"/>
      </w:pPr>
      <w:r>
        <w:rPr/>
        <w:t>Road densities vary across the management area; however, there are no more than 1 mile of National</w:t>
      </w:r>
      <w:r>
        <w:rPr>
          <w:spacing w:val="-4"/>
        </w:rPr>
        <w:t> </w:t>
      </w:r>
      <w:r>
        <w:rPr/>
        <w:t>Forest</w:t>
      </w:r>
      <w:r>
        <w:rPr>
          <w:spacing w:val="-3"/>
        </w:rPr>
        <w:t> </w:t>
      </w:r>
      <w:r>
        <w:rPr/>
        <w:t>System</w:t>
      </w:r>
      <w:r>
        <w:rPr>
          <w:spacing w:val="-5"/>
        </w:rPr>
        <w:t> </w:t>
      </w:r>
      <w:r>
        <w:rPr/>
        <w:t>road</w:t>
      </w:r>
      <w:r>
        <w:rPr>
          <w:spacing w:val="-4"/>
        </w:rPr>
        <w:t> </w:t>
      </w:r>
      <w:r>
        <w:rPr/>
        <w:t>per</w:t>
      </w:r>
      <w:r>
        <w:rPr>
          <w:spacing w:val="-4"/>
        </w:rPr>
        <w:t> </w:t>
      </w:r>
      <w:r>
        <w:rPr/>
        <w:t>square</w:t>
      </w:r>
      <w:r>
        <w:rPr>
          <w:spacing w:val="-6"/>
        </w:rPr>
        <w:t> </w:t>
      </w:r>
      <w:r>
        <w:rPr/>
        <w:t>mile</w:t>
      </w:r>
      <w:r>
        <w:rPr>
          <w:spacing w:val="-3"/>
        </w:rPr>
        <w:t> </w:t>
      </w:r>
      <w:r>
        <w:rPr/>
        <w:t>within</w:t>
      </w:r>
      <w:r>
        <w:rPr>
          <w:spacing w:val="-5"/>
        </w:rPr>
        <w:t> </w:t>
      </w:r>
      <w:r>
        <w:rPr/>
        <w:t>the</w:t>
      </w:r>
      <w:r>
        <w:rPr>
          <w:spacing w:val="-3"/>
        </w:rPr>
        <w:t> </w:t>
      </w:r>
      <w:r>
        <w:rPr/>
        <w:t>Focused</w:t>
      </w:r>
      <w:r>
        <w:rPr>
          <w:spacing w:val="-5"/>
        </w:rPr>
        <w:t> </w:t>
      </w:r>
      <w:r>
        <w:rPr/>
        <w:t>Restoration</w:t>
      </w:r>
      <w:r>
        <w:rPr>
          <w:spacing w:val="-7"/>
        </w:rPr>
        <w:t> </w:t>
      </w:r>
      <w:r>
        <w:rPr/>
        <w:t>Management</w:t>
      </w:r>
      <w:r>
        <w:rPr>
          <w:spacing w:val="-3"/>
        </w:rPr>
        <w:t> </w:t>
      </w:r>
      <w:r>
        <w:rPr/>
        <w:t>Area within each subwatershed. Total road density is calculated as miles of National Forest System road per square mile of National Forest System lands</w:t>
      </w:r>
      <w:hyperlink w:history="true" w:anchor="_bookmark191">
        <w:r>
          <w:rPr>
            <w:vertAlign w:val="superscript"/>
          </w:rPr>
          <w:t>18</w:t>
        </w:r>
      </w:hyperlink>
      <w:r>
        <w:rPr>
          <w:vertAlign w:val="baseline"/>
        </w:rPr>
        <w:t>. This road density calculation does not include</w:t>
      </w:r>
      <w:r>
        <w:rPr>
          <w:spacing w:val="-5"/>
          <w:vertAlign w:val="baseline"/>
        </w:rPr>
        <w:t> </w:t>
      </w:r>
      <w:r>
        <w:rPr>
          <w:vertAlign w:val="baseline"/>
        </w:rPr>
        <w:t>roads</w:t>
      </w:r>
      <w:r>
        <w:rPr>
          <w:spacing w:val="-5"/>
          <w:vertAlign w:val="baseline"/>
        </w:rPr>
        <w:t> </w:t>
      </w:r>
      <w:r>
        <w:rPr>
          <w:vertAlign w:val="baseline"/>
        </w:rPr>
        <w:t>under</w:t>
      </w:r>
      <w:r>
        <w:rPr>
          <w:spacing w:val="-5"/>
          <w:vertAlign w:val="baseline"/>
        </w:rPr>
        <w:t> </w:t>
      </w:r>
      <w:r>
        <w:rPr>
          <w:vertAlign w:val="baseline"/>
        </w:rPr>
        <w:t>another</w:t>
      </w:r>
      <w:r>
        <w:rPr>
          <w:spacing w:val="-5"/>
          <w:vertAlign w:val="baseline"/>
        </w:rPr>
        <w:t> </w:t>
      </w:r>
      <w:r>
        <w:rPr>
          <w:vertAlign w:val="baseline"/>
        </w:rPr>
        <w:t>jurisdiction,</w:t>
      </w:r>
      <w:r>
        <w:rPr>
          <w:spacing w:val="-7"/>
          <w:vertAlign w:val="baseline"/>
        </w:rPr>
        <w:t> </w:t>
      </w:r>
      <w:r>
        <w:rPr>
          <w:vertAlign w:val="baseline"/>
        </w:rPr>
        <w:t>or</w:t>
      </w:r>
      <w:r>
        <w:rPr>
          <w:spacing w:val="-5"/>
          <w:vertAlign w:val="baseline"/>
        </w:rPr>
        <w:t> </w:t>
      </w:r>
      <w:r>
        <w:rPr>
          <w:vertAlign w:val="baseline"/>
        </w:rPr>
        <w:t>roads</w:t>
      </w:r>
      <w:r>
        <w:rPr>
          <w:spacing w:val="-7"/>
          <w:vertAlign w:val="baseline"/>
        </w:rPr>
        <w:t> </w:t>
      </w:r>
      <w:r>
        <w:rPr>
          <w:vertAlign w:val="baseline"/>
        </w:rPr>
        <w:t>that</w:t>
      </w:r>
      <w:r>
        <w:rPr>
          <w:spacing w:val="-5"/>
          <w:vertAlign w:val="baseline"/>
        </w:rPr>
        <w:t> </w:t>
      </w:r>
      <w:r>
        <w:rPr>
          <w:vertAlign w:val="baseline"/>
        </w:rPr>
        <w:t>have</w:t>
      </w:r>
      <w:r>
        <w:rPr>
          <w:spacing w:val="-5"/>
          <w:vertAlign w:val="baseline"/>
        </w:rPr>
        <w:t> </w:t>
      </w:r>
      <w:r>
        <w:rPr>
          <w:vertAlign w:val="baseline"/>
        </w:rPr>
        <w:t>been</w:t>
      </w:r>
      <w:r>
        <w:rPr>
          <w:spacing w:val="-6"/>
          <w:vertAlign w:val="baseline"/>
        </w:rPr>
        <w:t> </w:t>
      </w:r>
      <w:r>
        <w:rPr>
          <w:vertAlign w:val="baseline"/>
        </w:rPr>
        <w:t>hydrologically</w:t>
      </w:r>
      <w:r>
        <w:rPr>
          <w:spacing w:val="-6"/>
          <w:vertAlign w:val="baseline"/>
        </w:rPr>
        <w:t> </w:t>
      </w:r>
      <w:r>
        <w:rPr>
          <w:vertAlign w:val="baseline"/>
        </w:rPr>
        <w:t>stabilized</w:t>
      </w:r>
      <w:hyperlink w:history="true" w:anchor="_bookmark192">
        <w:r>
          <w:rPr>
            <w:vertAlign w:val="superscript"/>
          </w:rPr>
          <w:t>19</w:t>
        </w:r>
      </w:hyperlink>
      <w:r>
        <w:rPr>
          <w:spacing w:val="-6"/>
          <w:vertAlign w:val="baseline"/>
        </w:rPr>
        <w:t> </w:t>
      </w:r>
      <w:r>
        <w:rPr>
          <w:vertAlign w:val="baseline"/>
        </w:rPr>
        <w:t>and impassable to all vehicular traffic, or decommissioned.</w:t>
      </w:r>
    </w:p>
    <w:p>
      <w:pPr>
        <w:pStyle w:val="Heading4"/>
        <w:spacing w:before="234"/>
        <w:ind w:left="1151"/>
      </w:pPr>
      <w:bookmarkStart w:name="Standard" w:id="624"/>
      <w:bookmarkEnd w:id="624"/>
      <w:r>
        <w:rPr/>
      </w:r>
      <w:bookmarkStart w:name="_bookmark190" w:id="625"/>
      <w:bookmarkEnd w:id="625"/>
      <w:r>
        <w:rPr/>
      </w:r>
      <w:r>
        <w:rPr>
          <w:spacing w:val="-2"/>
        </w:rPr>
        <w:t>Standard</w:t>
      </w:r>
    </w:p>
    <w:p>
      <w:pPr>
        <w:spacing w:before="237"/>
        <w:ind w:left="1151" w:right="0" w:firstLine="0"/>
        <w:jc w:val="left"/>
        <w:rPr>
          <w:rFonts w:ascii="Arial"/>
          <w:i/>
          <w:sz w:val="22"/>
        </w:rPr>
      </w:pPr>
      <w:bookmarkStart w:name="MA-STD-FR-01. Road Construction and Hydr" w:id="626"/>
      <w:bookmarkEnd w:id="626"/>
      <w:r>
        <w:rPr/>
      </w:r>
      <w:r>
        <w:rPr>
          <w:rFonts w:ascii="Arial"/>
          <w:i/>
          <w:sz w:val="22"/>
        </w:rPr>
        <w:t>MA-STD-FR-01.</w:t>
      </w:r>
      <w:r>
        <w:rPr>
          <w:rFonts w:ascii="Arial"/>
          <w:i/>
          <w:spacing w:val="-8"/>
          <w:sz w:val="22"/>
        </w:rPr>
        <w:t> </w:t>
      </w:r>
      <w:r>
        <w:rPr>
          <w:rFonts w:ascii="Arial"/>
          <w:i/>
          <w:sz w:val="22"/>
        </w:rPr>
        <w:t>Road</w:t>
      </w:r>
      <w:r>
        <w:rPr>
          <w:rFonts w:ascii="Arial"/>
          <w:i/>
          <w:spacing w:val="-9"/>
          <w:sz w:val="22"/>
        </w:rPr>
        <w:t> </w:t>
      </w:r>
      <w:r>
        <w:rPr>
          <w:rFonts w:ascii="Arial"/>
          <w:i/>
          <w:sz w:val="22"/>
        </w:rPr>
        <w:t>Construction</w:t>
      </w:r>
      <w:r>
        <w:rPr>
          <w:rFonts w:ascii="Arial"/>
          <w:i/>
          <w:spacing w:val="-8"/>
          <w:sz w:val="22"/>
        </w:rPr>
        <w:t> </w:t>
      </w:r>
      <w:r>
        <w:rPr>
          <w:rFonts w:ascii="Arial"/>
          <w:i/>
          <w:sz w:val="22"/>
        </w:rPr>
        <w:t>and</w:t>
      </w:r>
      <w:r>
        <w:rPr>
          <w:rFonts w:ascii="Arial"/>
          <w:i/>
          <w:spacing w:val="-9"/>
          <w:sz w:val="22"/>
        </w:rPr>
        <w:t> </w:t>
      </w:r>
      <w:r>
        <w:rPr>
          <w:rFonts w:ascii="Arial"/>
          <w:i/>
          <w:sz w:val="22"/>
        </w:rPr>
        <w:t>Hydrologic</w:t>
      </w:r>
      <w:r>
        <w:rPr>
          <w:rFonts w:ascii="Arial"/>
          <w:i/>
          <w:spacing w:val="-7"/>
          <w:sz w:val="22"/>
        </w:rPr>
        <w:t> </w:t>
      </w:r>
      <w:r>
        <w:rPr>
          <w:rFonts w:ascii="Arial"/>
          <w:i/>
          <w:sz w:val="22"/>
        </w:rPr>
        <w:t>Risk</w:t>
      </w:r>
      <w:r>
        <w:rPr>
          <w:rFonts w:ascii="Arial"/>
          <w:i/>
          <w:spacing w:val="-6"/>
          <w:sz w:val="22"/>
        </w:rPr>
        <w:t> </w:t>
      </w:r>
      <w:r>
        <w:rPr>
          <w:rFonts w:ascii="Arial"/>
          <w:i/>
          <w:spacing w:val="-2"/>
          <w:sz w:val="22"/>
        </w:rPr>
        <w:t>Reduction</w:t>
      </w:r>
    </w:p>
    <w:p>
      <w:pPr>
        <w:pStyle w:val="BodyText"/>
        <w:spacing w:line="232" w:lineRule="auto" w:before="67"/>
        <w:ind w:left="1151" w:right="801"/>
      </w:pPr>
      <w:r>
        <w:rPr/>
        <w:t>In subwatersheds that are functioning properly with respect to roads (per the Watershed Condition Framework), there will be no net increase (at least 1 mile of road-related risk reduction for every new mile of road construction) in system roads that diminish hydrologic function.</w:t>
      </w:r>
      <w:r>
        <w:rPr>
          <w:spacing w:val="-6"/>
        </w:rPr>
        <w:t> </w:t>
      </w:r>
      <w:r>
        <w:rPr/>
        <w:t>In</w:t>
      </w:r>
      <w:r>
        <w:rPr>
          <w:spacing w:val="-7"/>
        </w:rPr>
        <w:t> </w:t>
      </w:r>
      <w:r>
        <w:rPr/>
        <w:t>subwatersheds</w:t>
      </w:r>
      <w:r>
        <w:rPr>
          <w:spacing w:val="-8"/>
        </w:rPr>
        <w:t> </w:t>
      </w:r>
      <w:r>
        <w:rPr/>
        <w:t>that</w:t>
      </w:r>
      <w:r>
        <w:rPr>
          <w:spacing w:val="-6"/>
        </w:rPr>
        <w:t> </w:t>
      </w:r>
      <w:r>
        <w:rPr/>
        <w:t>are</w:t>
      </w:r>
      <w:r>
        <w:rPr>
          <w:spacing w:val="-6"/>
        </w:rPr>
        <w:t> </w:t>
      </w:r>
      <w:r>
        <w:rPr/>
        <w:t>functioning-at-risk</w:t>
      </w:r>
      <w:r>
        <w:rPr>
          <w:spacing w:val="-8"/>
        </w:rPr>
        <w:t> </w:t>
      </w:r>
      <w:r>
        <w:rPr/>
        <w:t>or</w:t>
      </w:r>
      <w:r>
        <w:rPr>
          <w:spacing w:val="-6"/>
        </w:rPr>
        <w:t> </w:t>
      </w:r>
      <w:r>
        <w:rPr/>
        <w:t>have</w:t>
      </w:r>
      <w:r>
        <w:rPr>
          <w:spacing w:val="-6"/>
        </w:rPr>
        <w:t> </w:t>
      </w:r>
      <w:r>
        <w:rPr/>
        <w:t>impaired</w:t>
      </w:r>
      <w:r>
        <w:rPr>
          <w:spacing w:val="-7"/>
        </w:rPr>
        <w:t> </w:t>
      </w:r>
      <w:r>
        <w:rPr/>
        <w:t>function</w:t>
      </w:r>
      <w:r>
        <w:rPr>
          <w:spacing w:val="-9"/>
        </w:rPr>
        <w:t> </w:t>
      </w:r>
      <w:r>
        <w:rPr/>
        <w:t>with</w:t>
      </w:r>
      <w:r>
        <w:rPr>
          <w:spacing w:val="-7"/>
        </w:rPr>
        <w:t> </w:t>
      </w:r>
      <w:r>
        <w:rPr/>
        <w:t>respect to roads, there will be a net decrease (for every mile of road construction there would be greater than 1 mile of road-related risk reduction) in system roads that affect hydrologic function</w:t>
      </w:r>
      <w:r>
        <w:rPr>
          <w:spacing w:val="-5"/>
        </w:rPr>
        <w:t> </w:t>
      </w:r>
      <w:r>
        <w:rPr/>
        <w:t>to</w:t>
      </w:r>
      <w:r>
        <w:rPr>
          <w:spacing w:val="-5"/>
        </w:rPr>
        <w:t> </w:t>
      </w:r>
      <w:r>
        <w:rPr/>
        <w:t>move</w:t>
      </w:r>
      <w:r>
        <w:rPr>
          <w:spacing w:val="-4"/>
        </w:rPr>
        <w:t> </w:t>
      </w:r>
      <w:r>
        <w:rPr/>
        <w:t>toward</w:t>
      </w:r>
      <w:r>
        <w:rPr>
          <w:spacing w:val="-5"/>
        </w:rPr>
        <w:t> </w:t>
      </w:r>
      <w:r>
        <w:rPr/>
        <w:t>proper</w:t>
      </w:r>
      <w:r>
        <w:rPr>
          <w:spacing w:val="-4"/>
        </w:rPr>
        <w:t> </w:t>
      </w:r>
      <w:r>
        <w:rPr/>
        <w:t>function.</w:t>
      </w:r>
      <w:r>
        <w:rPr>
          <w:spacing w:val="-4"/>
        </w:rPr>
        <w:t> </w:t>
      </w:r>
      <w:r>
        <w:rPr/>
        <w:t>Treatment</w:t>
      </w:r>
      <w:r>
        <w:rPr>
          <w:spacing w:val="-4"/>
        </w:rPr>
        <w:t> </w:t>
      </w:r>
      <w:r>
        <w:rPr/>
        <w:t>priority</w:t>
      </w:r>
      <w:r>
        <w:rPr>
          <w:spacing w:val="-5"/>
        </w:rPr>
        <w:t> </w:t>
      </w:r>
      <w:r>
        <w:rPr/>
        <w:t>shall</w:t>
      </w:r>
      <w:r>
        <w:rPr>
          <w:spacing w:val="-4"/>
        </w:rPr>
        <w:t> </w:t>
      </w:r>
      <w:r>
        <w:rPr/>
        <w:t>be</w:t>
      </w:r>
      <w:r>
        <w:rPr>
          <w:spacing w:val="-4"/>
        </w:rPr>
        <w:t> </w:t>
      </w:r>
      <w:r>
        <w:rPr/>
        <w:t>given</w:t>
      </w:r>
      <w:r>
        <w:rPr>
          <w:spacing w:val="-5"/>
        </w:rPr>
        <w:t> </w:t>
      </w:r>
      <w:r>
        <w:rPr/>
        <w:t>to</w:t>
      </w:r>
      <w:r>
        <w:rPr>
          <w:spacing w:val="-5"/>
        </w:rPr>
        <w:t> </w:t>
      </w:r>
      <w:r>
        <w:rPr/>
        <w:t>roads</w:t>
      </w:r>
      <w:r>
        <w:rPr>
          <w:spacing w:val="-4"/>
        </w:rPr>
        <w:t> </w:t>
      </w:r>
      <w:r>
        <w:rPr/>
        <w:t>that</w:t>
      </w:r>
      <w:r>
        <w:rPr>
          <w:spacing w:val="-4"/>
        </w:rPr>
        <w:t> </w:t>
      </w:r>
      <w:r>
        <w:rPr/>
        <w:t>pose the greatest relative ecological risks to riparian and aquatic ecosystems. Road-related risk</w:t>
      </w:r>
    </w:p>
    <w:p>
      <w:pPr>
        <w:pStyle w:val="BodyText"/>
        <w:rPr>
          <w:sz w:val="20"/>
        </w:rPr>
      </w:pPr>
    </w:p>
    <w:p>
      <w:pPr>
        <w:pStyle w:val="BodyText"/>
        <w:spacing w:before="240"/>
        <w:rPr>
          <w:sz w:val="20"/>
        </w:rPr>
      </w:pPr>
      <w:r>
        <w:rPr>
          <w:sz w:val="20"/>
        </w:rPr>
        <mc:AlternateContent>
          <mc:Choice Requires="wps">
            <w:drawing>
              <wp:anchor distT="0" distB="0" distL="0" distR="0" allowOverlap="1" layoutInCell="1" locked="0" behindDoc="1" simplePos="0" relativeHeight="487623680">
                <wp:simplePos x="0" y="0"/>
                <wp:positionH relativeFrom="page">
                  <wp:posOffset>1417319</wp:posOffset>
                </wp:positionH>
                <wp:positionV relativeFrom="paragraph">
                  <wp:posOffset>322864</wp:posOffset>
                </wp:positionV>
                <wp:extent cx="1828800" cy="7620"/>
                <wp:effectExtent l="0" t="0" r="0" b="0"/>
                <wp:wrapTopAndBottom/>
                <wp:docPr id="206" name="Graphic 206"/>
                <wp:cNvGraphicFramePr>
                  <a:graphicFrameLocks/>
                </wp:cNvGraphicFramePr>
                <a:graphic>
                  <a:graphicData uri="http://schemas.microsoft.com/office/word/2010/wordprocessingShape">
                    <wps:wsp>
                      <wps:cNvPr id="206" name="Graphic 206"/>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5.422363pt;width:144pt;height:.6pt;mso-position-horizontal-relative:page;mso-position-vertical-relative:paragraph;z-index:-15692800;mso-wrap-distance-left:0;mso-wrap-distance-right:0" id="docshape194" filled="true" fillcolor="#000000" stroked="false">
                <v:fill type="solid"/>
                <w10:wrap type="topAndBottom"/>
              </v:rect>
            </w:pict>
          </mc:Fallback>
        </mc:AlternateContent>
      </w:r>
    </w:p>
    <w:p>
      <w:pPr>
        <w:spacing w:before="95"/>
        <w:ind w:left="1151" w:right="801" w:firstLine="0"/>
        <w:jc w:val="left"/>
        <w:rPr>
          <w:sz w:val="18"/>
        </w:rPr>
      </w:pPr>
      <w:bookmarkStart w:name="_bookmark191" w:id="627"/>
      <w:bookmarkEnd w:id="627"/>
      <w:r>
        <w:rPr/>
      </w:r>
      <w:r>
        <w:rPr>
          <w:position w:val="5"/>
          <w:sz w:val="12"/>
        </w:rPr>
        <w:t>18</w:t>
      </w:r>
      <w:r>
        <w:rPr>
          <w:spacing w:val="18"/>
          <w:position w:val="5"/>
          <w:sz w:val="12"/>
        </w:rPr>
        <w:t> </w:t>
      </w:r>
      <w:r>
        <w:rPr>
          <w:sz w:val="18"/>
        </w:rPr>
        <w:t>Roads included in the calculation can be modified depending on project specifics, i.e. if the FS is working with a county</w:t>
      </w:r>
      <w:r>
        <w:rPr>
          <w:spacing w:val="-2"/>
          <w:sz w:val="18"/>
        </w:rPr>
        <w:t> </w:t>
      </w:r>
      <w:r>
        <w:rPr>
          <w:sz w:val="18"/>
        </w:rPr>
        <w:t>or</w:t>
      </w:r>
      <w:r>
        <w:rPr>
          <w:spacing w:val="-3"/>
          <w:sz w:val="18"/>
        </w:rPr>
        <w:t> </w:t>
      </w:r>
      <w:r>
        <w:rPr>
          <w:sz w:val="18"/>
        </w:rPr>
        <w:t>other</w:t>
      </w:r>
      <w:r>
        <w:rPr>
          <w:spacing w:val="-3"/>
          <w:sz w:val="18"/>
        </w:rPr>
        <w:t> </w:t>
      </w:r>
      <w:r>
        <w:rPr>
          <w:sz w:val="18"/>
        </w:rPr>
        <w:t>cooperator</w:t>
      </w:r>
      <w:r>
        <w:rPr>
          <w:spacing w:val="-3"/>
          <w:sz w:val="18"/>
        </w:rPr>
        <w:t> </w:t>
      </w:r>
      <w:r>
        <w:rPr>
          <w:sz w:val="18"/>
        </w:rPr>
        <w:t>to</w:t>
      </w:r>
      <w:r>
        <w:rPr>
          <w:spacing w:val="-1"/>
          <w:sz w:val="18"/>
        </w:rPr>
        <w:t> </w:t>
      </w:r>
      <w:r>
        <w:rPr>
          <w:sz w:val="18"/>
        </w:rPr>
        <w:t>improve</w:t>
      </w:r>
      <w:r>
        <w:rPr>
          <w:spacing w:val="-3"/>
          <w:sz w:val="18"/>
        </w:rPr>
        <w:t> </w:t>
      </w:r>
      <w:r>
        <w:rPr>
          <w:sz w:val="18"/>
        </w:rPr>
        <w:t>road</w:t>
      </w:r>
      <w:r>
        <w:rPr>
          <w:spacing w:val="-3"/>
          <w:sz w:val="18"/>
        </w:rPr>
        <w:t> </w:t>
      </w:r>
      <w:r>
        <w:rPr>
          <w:sz w:val="18"/>
        </w:rPr>
        <w:t>condition</w:t>
      </w:r>
      <w:r>
        <w:rPr>
          <w:spacing w:val="-3"/>
          <w:sz w:val="18"/>
        </w:rPr>
        <w:t> </w:t>
      </w:r>
      <w:r>
        <w:rPr>
          <w:sz w:val="18"/>
        </w:rPr>
        <w:t>on</w:t>
      </w:r>
      <w:r>
        <w:rPr>
          <w:spacing w:val="-3"/>
          <w:sz w:val="18"/>
        </w:rPr>
        <w:t> </w:t>
      </w:r>
      <w:r>
        <w:rPr>
          <w:sz w:val="18"/>
        </w:rPr>
        <w:t>a</w:t>
      </w:r>
      <w:r>
        <w:rPr>
          <w:spacing w:val="-2"/>
          <w:sz w:val="18"/>
        </w:rPr>
        <w:t> </w:t>
      </w:r>
      <w:r>
        <w:rPr>
          <w:sz w:val="18"/>
        </w:rPr>
        <w:t>road</w:t>
      </w:r>
      <w:r>
        <w:rPr>
          <w:spacing w:val="-3"/>
          <w:sz w:val="18"/>
        </w:rPr>
        <w:t> </w:t>
      </w:r>
      <w:r>
        <w:rPr>
          <w:sz w:val="18"/>
        </w:rPr>
        <w:t>not</w:t>
      </w:r>
      <w:r>
        <w:rPr>
          <w:spacing w:val="-3"/>
          <w:sz w:val="18"/>
        </w:rPr>
        <w:t> </w:t>
      </w:r>
      <w:r>
        <w:rPr>
          <w:sz w:val="18"/>
        </w:rPr>
        <w:t>under FS</w:t>
      </w:r>
      <w:r>
        <w:rPr>
          <w:spacing w:val="-3"/>
          <w:sz w:val="18"/>
        </w:rPr>
        <w:t> </w:t>
      </w:r>
      <w:r>
        <w:rPr>
          <w:sz w:val="18"/>
        </w:rPr>
        <w:t>jusrisdiction</w:t>
      </w:r>
      <w:r>
        <w:rPr>
          <w:spacing w:val="-3"/>
          <w:sz w:val="18"/>
        </w:rPr>
        <w:t> </w:t>
      </w:r>
      <w:r>
        <w:rPr>
          <w:sz w:val="18"/>
        </w:rPr>
        <w:t>on</w:t>
      </w:r>
      <w:r>
        <w:rPr>
          <w:spacing w:val="-3"/>
          <w:sz w:val="18"/>
        </w:rPr>
        <w:t> </w:t>
      </w:r>
      <w:r>
        <w:rPr>
          <w:sz w:val="18"/>
        </w:rPr>
        <w:t>NFS</w:t>
      </w:r>
      <w:r>
        <w:rPr>
          <w:spacing w:val="-1"/>
          <w:sz w:val="18"/>
        </w:rPr>
        <w:t> </w:t>
      </w:r>
      <w:r>
        <w:rPr>
          <w:sz w:val="18"/>
        </w:rPr>
        <w:t>lands</w:t>
      </w:r>
      <w:r>
        <w:rPr>
          <w:spacing w:val="-3"/>
          <w:sz w:val="18"/>
        </w:rPr>
        <w:t> </w:t>
      </w:r>
      <w:r>
        <w:rPr>
          <w:sz w:val="18"/>
        </w:rPr>
        <w:t>it</w:t>
      </w:r>
      <w:r>
        <w:rPr>
          <w:spacing w:val="-3"/>
          <w:sz w:val="18"/>
        </w:rPr>
        <w:t> </w:t>
      </w:r>
      <w:r>
        <w:rPr>
          <w:sz w:val="18"/>
        </w:rPr>
        <w:t>would</w:t>
      </w:r>
      <w:r>
        <w:rPr>
          <w:spacing w:val="-3"/>
          <w:sz w:val="18"/>
        </w:rPr>
        <w:t> </w:t>
      </w:r>
      <w:r>
        <w:rPr>
          <w:sz w:val="18"/>
        </w:rPr>
        <w:t>be included in the calculation.</w:t>
      </w:r>
    </w:p>
    <w:p>
      <w:pPr>
        <w:spacing w:before="1"/>
        <w:ind w:left="1152" w:right="801" w:hanging="1"/>
        <w:jc w:val="left"/>
        <w:rPr>
          <w:sz w:val="18"/>
        </w:rPr>
      </w:pPr>
      <w:bookmarkStart w:name="_bookmark192" w:id="628"/>
      <w:bookmarkEnd w:id="628"/>
      <w:r>
        <w:rPr/>
      </w:r>
      <w:r>
        <w:rPr>
          <w:position w:val="5"/>
          <w:sz w:val="12"/>
        </w:rPr>
        <w:t>19</w:t>
      </w:r>
      <w:r>
        <w:rPr>
          <w:spacing w:val="9"/>
          <w:position w:val="5"/>
          <w:sz w:val="12"/>
        </w:rPr>
        <w:t> </w:t>
      </w:r>
      <w:r>
        <w:rPr>
          <w:sz w:val="18"/>
        </w:rPr>
        <w:t>Road</w:t>
      </w:r>
      <w:r>
        <w:rPr>
          <w:spacing w:val="-4"/>
          <w:sz w:val="18"/>
        </w:rPr>
        <w:t> </w:t>
      </w:r>
      <w:r>
        <w:rPr>
          <w:sz w:val="18"/>
        </w:rPr>
        <w:t>storage</w:t>
      </w:r>
      <w:r>
        <w:rPr>
          <w:spacing w:val="-4"/>
          <w:sz w:val="18"/>
        </w:rPr>
        <w:t> </w:t>
      </w:r>
      <w:r>
        <w:rPr>
          <w:sz w:val="18"/>
        </w:rPr>
        <w:t>and</w:t>
      </w:r>
      <w:r>
        <w:rPr>
          <w:spacing w:val="-4"/>
          <w:sz w:val="18"/>
        </w:rPr>
        <w:t> </w:t>
      </w:r>
      <w:r>
        <w:rPr>
          <w:sz w:val="18"/>
        </w:rPr>
        <w:t>stabilization</w:t>
      </w:r>
      <w:r>
        <w:rPr>
          <w:spacing w:val="-4"/>
          <w:sz w:val="18"/>
        </w:rPr>
        <w:t> </w:t>
      </w:r>
      <w:r>
        <w:rPr>
          <w:sz w:val="18"/>
        </w:rPr>
        <w:t>treatments</w:t>
      </w:r>
      <w:r>
        <w:rPr>
          <w:spacing w:val="-2"/>
          <w:sz w:val="18"/>
        </w:rPr>
        <w:t> </w:t>
      </w:r>
      <w:r>
        <w:rPr>
          <w:sz w:val="18"/>
        </w:rPr>
        <w:t>to</w:t>
      </w:r>
      <w:r>
        <w:rPr>
          <w:spacing w:val="-2"/>
          <w:sz w:val="18"/>
        </w:rPr>
        <w:t> </w:t>
      </w:r>
      <w:r>
        <w:rPr>
          <w:sz w:val="18"/>
        </w:rPr>
        <w:t>avoid,</w:t>
      </w:r>
      <w:r>
        <w:rPr>
          <w:spacing w:val="-3"/>
          <w:sz w:val="18"/>
        </w:rPr>
        <w:t> </w:t>
      </w:r>
      <w:r>
        <w:rPr>
          <w:sz w:val="18"/>
        </w:rPr>
        <w:t>minimize,</w:t>
      </w:r>
      <w:r>
        <w:rPr>
          <w:spacing w:val="-3"/>
          <w:sz w:val="18"/>
        </w:rPr>
        <w:t> </w:t>
      </w:r>
      <w:r>
        <w:rPr>
          <w:sz w:val="18"/>
        </w:rPr>
        <w:t>or</w:t>
      </w:r>
      <w:r>
        <w:rPr>
          <w:spacing w:val="-4"/>
          <w:sz w:val="18"/>
        </w:rPr>
        <w:t> </w:t>
      </w:r>
      <w:r>
        <w:rPr>
          <w:sz w:val="18"/>
        </w:rPr>
        <w:t>mitigate</w:t>
      </w:r>
      <w:r>
        <w:rPr>
          <w:spacing w:val="-4"/>
          <w:sz w:val="18"/>
        </w:rPr>
        <w:t> </w:t>
      </w:r>
      <w:r>
        <w:rPr>
          <w:sz w:val="18"/>
        </w:rPr>
        <w:t>adverse</w:t>
      </w:r>
      <w:r>
        <w:rPr>
          <w:spacing w:val="-2"/>
          <w:sz w:val="18"/>
        </w:rPr>
        <w:t> </w:t>
      </w:r>
      <w:r>
        <w:rPr>
          <w:sz w:val="18"/>
        </w:rPr>
        <w:t>effects</w:t>
      </w:r>
      <w:r>
        <w:rPr>
          <w:spacing w:val="-4"/>
          <w:sz w:val="18"/>
        </w:rPr>
        <w:t> </w:t>
      </w:r>
      <w:r>
        <w:rPr>
          <w:sz w:val="18"/>
        </w:rPr>
        <w:t>to</w:t>
      </w:r>
      <w:r>
        <w:rPr>
          <w:spacing w:val="-2"/>
          <w:sz w:val="18"/>
        </w:rPr>
        <w:t> </w:t>
      </w:r>
      <w:r>
        <w:rPr>
          <w:sz w:val="18"/>
        </w:rPr>
        <w:t>water</w:t>
      </w:r>
      <w:r>
        <w:rPr>
          <w:spacing w:val="-1"/>
          <w:sz w:val="18"/>
        </w:rPr>
        <w:t> </w:t>
      </w:r>
      <w:r>
        <w:rPr>
          <w:sz w:val="18"/>
        </w:rPr>
        <w:t>quality,</w:t>
      </w:r>
      <w:r>
        <w:rPr>
          <w:spacing w:val="-3"/>
          <w:sz w:val="18"/>
        </w:rPr>
        <w:t> </w:t>
      </w:r>
      <w:r>
        <w:rPr>
          <w:sz w:val="18"/>
        </w:rPr>
        <w:t>aquatic habitat, and riparian resources. Hydrologically stabilized roads minimize road erosion and road hydrologic connectivity to the stream system. Practices could include, but are not limited to, removal of culverts and fill material that present an unacceptable risk of failure or flow diversion, and suitable measures to ensure the road surface will intercept, collect, and remove water from the road surface in a manner that reduces concentrated flow in ditches, culverts, and over fill slopes and road surfaces without frequent maintenance. Because hydrologically stabilized roads remain on the National Forest System road system, the integrity of the roadway is retained to the extent practicable and measures are implemented to reduce sediment delivery from the road surface and fills and reduce the risk of crossing failure and stream diversion.</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360" w:right="1073"/>
      </w:pPr>
      <w:r>
        <w:rPr/>
        <w:t>reduction</w:t>
      </w:r>
      <w:r>
        <w:rPr>
          <w:spacing w:val="-9"/>
        </w:rPr>
        <w:t> </w:t>
      </w:r>
      <w:r>
        <w:rPr/>
        <w:t>will</w:t>
      </w:r>
      <w:r>
        <w:rPr>
          <w:spacing w:val="-9"/>
        </w:rPr>
        <w:t> </w:t>
      </w:r>
      <w:r>
        <w:rPr/>
        <w:t>occur</w:t>
      </w:r>
      <w:r>
        <w:rPr>
          <w:spacing w:val="-6"/>
        </w:rPr>
        <w:t> </w:t>
      </w:r>
      <w:r>
        <w:rPr/>
        <w:t>prior</w:t>
      </w:r>
      <w:r>
        <w:rPr>
          <w:spacing w:val="-6"/>
        </w:rPr>
        <w:t> </w:t>
      </w:r>
      <w:r>
        <w:rPr/>
        <w:t>to</w:t>
      </w:r>
      <w:r>
        <w:rPr>
          <w:spacing w:val="-5"/>
        </w:rPr>
        <w:t> </w:t>
      </w:r>
      <w:r>
        <w:rPr/>
        <w:t>new</w:t>
      </w:r>
      <w:r>
        <w:rPr>
          <w:spacing w:val="-8"/>
        </w:rPr>
        <w:t> </w:t>
      </w:r>
      <w:r>
        <w:rPr/>
        <w:t>road</w:t>
      </w:r>
      <w:r>
        <w:rPr>
          <w:spacing w:val="-7"/>
        </w:rPr>
        <w:t> </w:t>
      </w:r>
      <w:r>
        <w:rPr/>
        <w:t>construction</w:t>
      </w:r>
      <w:r>
        <w:rPr>
          <w:spacing w:val="-7"/>
        </w:rPr>
        <w:t> </w:t>
      </w:r>
      <w:r>
        <w:rPr/>
        <w:t>unless</w:t>
      </w:r>
      <w:r>
        <w:rPr>
          <w:spacing w:val="-6"/>
        </w:rPr>
        <w:t> </w:t>
      </w:r>
      <w:r>
        <w:rPr/>
        <w:t>logistical</w:t>
      </w:r>
      <w:r>
        <w:rPr>
          <w:spacing w:val="-6"/>
        </w:rPr>
        <w:t> </w:t>
      </w:r>
      <w:r>
        <w:rPr/>
        <w:t>restrictions</w:t>
      </w:r>
      <w:r>
        <w:rPr>
          <w:spacing w:val="-8"/>
        </w:rPr>
        <w:t> </w:t>
      </w:r>
      <w:r>
        <w:rPr/>
        <w:t>require</w:t>
      </w:r>
      <w:r>
        <w:rPr>
          <w:spacing w:val="-5"/>
        </w:rPr>
        <w:t> </w:t>
      </w:r>
      <w:r>
        <w:rPr/>
        <w:t>post- construction risk reduction.</w:t>
      </w:r>
    </w:p>
    <w:p>
      <w:pPr>
        <w:pStyle w:val="Heading4"/>
        <w:spacing w:before="235"/>
      </w:pPr>
      <w:bookmarkStart w:name="Suitable Uses" w:id="629"/>
      <w:bookmarkEnd w:id="629"/>
      <w:r>
        <w:rPr/>
      </w:r>
      <w:bookmarkStart w:name="_bookmark193" w:id="630"/>
      <w:bookmarkEnd w:id="630"/>
      <w:r>
        <w:rPr/>
      </w:r>
      <w:r>
        <w:rPr/>
        <w:t>Suitable</w:t>
      </w:r>
      <w:r>
        <w:rPr>
          <w:spacing w:val="-5"/>
        </w:rPr>
        <w:t> </w:t>
      </w:r>
      <w:r>
        <w:rPr>
          <w:spacing w:val="-4"/>
        </w:rPr>
        <w:t>Uses</w:t>
      </w:r>
    </w:p>
    <w:p>
      <w:pPr>
        <w:spacing w:before="239"/>
        <w:ind w:left="360" w:right="0" w:firstLine="0"/>
        <w:jc w:val="left"/>
        <w:rPr>
          <w:rFonts w:ascii="Arial"/>
          <w:i/>
          <w:sz w:val="22"/>
        </w:rPr>
      </w:pPr>
      <w:bookmarkStart w:name="MA-SU-FR-01. Suitable Uses" w:id="631"/>
      <w:bookmarkEnd w:id="631"/>
      <w:r>
        <w:rPr/>
      </w:r>
      <w:r>
        <w:rPr>
          <w:rFonts w:ascii="Arial"/>
          <w:i/>
          <w:sz w:val="22"/>
        </w:rPr>
        <w:t>MA-SU-FR-01.</w:t>
      </w:r>
      <w:r>
        <w:rPr>
          <w:rFonts w:ascii="Arial"/>
          <w:i/>
          <w:spacing w:val="-9"/>
          <w:sz w:val="22"/>
        </w:rPr>
        <w:t> </w:t>
      </w:r>
      <w:r>
        <w:rPr>
          <w:rFonts w:ascii="Arial"/>
          <w:i/>
          <w:sz w:val="22"/>
        </w:rPr>
        <w:t>Suitable</w:t>
      </w:r>
      <w:r>
        <w:rPr>
          <w:rFonts w:ascii="Arial"/>
          <w:i/>
          <w:spacing w:val="-11"/>
          <w:sz w:val="22"/>
        </w:rPr>
        <w:t> </w:t>
      </w:r>
      <w:r>
        <w:rPr>
          <w:rFonts w:ascii="Arial"/>
          <w:i/>
          <w:spacing w:val="-4"/>
          <w:sz w:val="22"/>
        </w:rPr>
        <w:t>Uses</w:t>
      </w:r>
    </w:p>
    <w:p>
      <w:pPr>
        <w:pStyle w:val="BodyText"/>
        <w:spacing w:before="105"/>
        <w:rPr>
          <w:rFonts w:ascii="Arial"/>
          <w:i/>
        </w:rPr>
      </w:pPr>
    </w:p>
    <w:p>
      <w:pPr>
        <w:spacing w:before="0" w:after="42"/>
        <w:ind w:left="360" w:right="0" w:firstLine="0"/>
        <w:jc w:val="left"/>
        <w:rPr>
          <w:rFonts w:ascii="Arial"/>
          <w:b/>
          <w:sz w:val="18"/>
        </w:rPr>
      </w:pPr>
      <w:bookmarkStart w:name="_bookmark194" w:id="632"/>
      <w:bookmarkEnd w:id="632"/>
      <w:r>
        <w:rPr/>
      </w:r>
      <w:r>
        <w:rPr>
          <w:rFonts w:ascii="Arial"/>
          <w:b/>
          <w:sz w:val="18"/>
        </w:rPr>
        <w:t>Table</w:t>
      </w:r>
      <w:r>
        <w:rPr>
          <w:rFonts w:ascii="Arial"/>
          <w:b/>
          <w:spacing w:val="-5"/>
          <w:sz w:val="18"/>
        </w:rPr>
        <w:t> </w:t>
      </w:r>
      <w:r>
        <w:rPr>
          <w:rFonts w:ascii="Arial"/>
          <w:b/>
          <w:sz w:val="18"/>
        </w:rPr>
        <w:t>21.</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2"/>
          <w:sz w:val="18"/>
        </w:rPr>
        <w:t> </w:t>
      </w:r>
      <w:r>
        <w:rPr>
          <w:rFonts w:ascii="Arial"/>
          <w:b/>
          <w:sz w:val="18"/>
        </w:rPr>
        <w:t>for</w:t>
      </w:r>
      <w:r>
        <w:rPr>
          <w:rFonts w:ascii="Arial"/>
          <w:b/>
          <w:spacing w:val="-3"/>
          <w:sz w:val="18"/>
        </w:rPr>
        <w:t> </w:t>
      </w:r>
      <w:r>
        <w:rPr>
          <w:rFonts w:ascii="Arial"/>
          <w:b/>
          <w:sz w:val="18"/>
        </w:rPr>
        <w:t>Focused</w:t>
      </w:r>
      <w:r>
        <w:rPr>
          <w:rFonts w:ascii="Arial"/>
          <w:b/>
          <w:spacing w:val="-4"/>
          <w:sz w:val="18"/>
        </w:rPr>
        <w:t> </w:t>
      </w:r>
      <w:r>
        <w:rPr>
          <w:rFonts w:ascii="Arial"/>
          <w:b/>
          <w:sz w:val="18"/>
        </w:rPr>
        <w:t>Restoration</w:t>
      </w:r>
      <w:r>
        <w:rPr>
          <w:rFonts w:ascii="Arial"/>
          <w:b/>
          <w:spacing w:val="-4"/>
          <w:sz w:val="18"/>
        </w:rPr>
        <w:t> </w:t>
      </w:r>
      <w:r>
        <w:rPr>
          <w:rFonts w:ascii="Arial"/>
          <w:b/>
          <w:sz w:val="18"/>
        </w:rPr>
        <w:t>Management</w:t>
      </w:r>
      <w:r>
        <w:rPr>
          <w:rFonts w:ascii="Arial"/>
          <w:b/>
          <w:spacing w:val="-3"/>
          <w:sz w:val="18"/>
        </w:rPr>
        <w:t> </w:t>
      </w:r>
      <w:r>
        <w:rPr>
          <w:rFonts w:ascii="Arial"/>
          <w:b/>
          <w:spacing w:val="-4"/>
          <w:sz w:val="18"/>
        </w:rPr>
        <w:t>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53"/>
        <w:gridCol w:w="1951"/>
        <w:gridCol w:w="2145"/>
      </w:tblGrid>
      <w:tr>
        <w:trPr>
          <w:trHeight w:val="287" w:hRule="atLeast"/>
        </w:trPr>
        <w:tc>
          <w:tcPr>
            <w:tcW w:w="4453" w:type="dxa"/>
            <w:tcBorders>
              <w:right w:val="nil"/>
            </w:tcBorders>
            <w:shd w:val="clear" w:color="auto" w:fill="D5E2BB"/>
          </w:tcPr>
          <w:p>
            <w:pPr>
              <w:pStyle w:val="TableParagraph"/>
              <w:ind w:right="19"/>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951" w:type="dxa"/>
            <w:tcBorders>
              <w:left w:val="nil"/>
              <w:right w:val="nil"/>
            </w:tcBorders>
            <w:shd w:val="clear" w:color="auto" w:fill="D5E2BB"/>
          </w:tcPr>
          <w:p>
            <w:pPr>
              <w:pStyle w:val="TableParagraph"/>
              <w:ind w:left="74"/>
              <w:jc w:val="center"/>
              <w:rPr>
                <w:b/>
                <w:sz w:val="18"/>
              </w:rPr>
            </w:pPr>
            <w:r>
              <w:rPr>
                <w:b/>
                <w:sz w:val="18"/>
              </w:rPr>
              <w:t>May</w:t>
            </w:r>
            <w:r>
              <w:rPr>
                <w:b/>
                <w:spacing w:val="-9"/>
                <w:sz w:val="18"/>
              </w:rPr>
              <w:t> </w:t>
            </w:r>
            <w:r>
              <w:rPr>
                <w:b/>
                <w:spacing w:val="-2"/>
                <w:sz w:val="18"/>
              </w:rPr>
              <w:t>authorize</w:t>
            </w:r>
          </w:p>
        </w:tc>
        <w:tc>
          <w:tcPr>
            <w:tcW w:w="2145" w:type="dxa"/>
            <w:tcBorders>
              <w:left w:val="nil"/>
            </w:tcBorders>
            <w:shd w:val="clear" w:color="auto" w:fill="D5E2BB"/>
          </w:tcPr>
          <w:p>
            <w:pPr>
              <w:pStyle w:val="TableParagraph"/>
              <w:ind w:left="356"/>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453" w:type="dxa"/>
            <w:tcBorders>
              <w:right w:val="nil"/>
            </w:tcBorders>
          </w:tcPr>
          <w:p>
            <w:pPr>
              <w:pStyle w:val="TableParagraph"/>
              <w:ind w:left="107"/>
              <w:rPr>
                <w:b/>
                <w:sz w:val="18"/>
              </w:rPr>
            </w:pPr>
            <w:r>
              <w:rPr>
                <w:b/>
                <w:sz w:val="18"/>
              </w:rPr>
              <w:t>Facilities,</w:t>
            </w:r>
            <w:r>
              <w:rPr>
                <w:b/>
                <w:spacing w:val="-5"/>
                <w:sz w:val="18"/>
              </w:rPr>
              <w:t> </w:t>
            </w:r>
            <w:r>
              <w:rPr>
                <w:b/>
                <w:spacing w:val="-2"/>
                <w:sz w:val="18"/>
              </w:rPr>
              <w:t>administrative</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493" w:hRule="atLeast"/>
        </w:trPr>
        <w:tc>
          <w:tcPr>
            <w:tcW w:w="4453"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493" w:hRule="atLeast"/>
        </w:trPr>
        <w:tc>
          <w:tcPr>
            <w:tcW w:w="4453" w:type="dxa"/>
            <w:tcBorders>
              <w:right w:val="nil"/>
            </w:tcBorders>
          </w:tcPr>
          <w:p>
            <w:pPr>
              <w:pStyle w:val="TableParagraph"/>
              <w:ind w:left="107" w:right="192"/>
              <w:rPr>
                <w:b/>
                <w:sz w:val="18"/>
              </w:rPr>
            </w:pPr>
            <w:r>
              <w:rPr>
                <w:b/>
                <w:sz w:val="18"/>
              </w:rPr>
              <w:t>Forest</w:t>
            </w:r>
            <w:r>
              <w:rPr>
                <w:b/>
                <w:spacing w:val="-9"/>
                <w:sz w:val="18"/>
              </w:rPr>
              <w:t> </w:t>
            </w:r>
            <w:r>
              <w:rPr>
                <w:b/>
                <w:sz w:val="18"/>
              </w:rPr>
              <w:t>products,</w:t>
            </w:r>
            <w:r>
              <w:rPr>
                <w:b/>
                <w:spacing w:val="-9"/>
                <w:sz w:val="18"/>
              </w:rPr>
              <w:t> </w:t>
            </w:r>
            <w:r>
              <w:rPr>
                <w:b/>
                <w:sz w:val="18"/>
              </w:rPr>
              <w:t>firewood,</w:t>
            </w:r>
            <w:r>
              <w:rPr>
                <w:b/>
                <w:spacing w:val="-9"/>
                <w:sz w:val="18"/>
              </w:rPr>
              <w:t> </w:t>
            </w:r>
            <w:r>
              <w:rPr>
                <w:b/>
                <w:sz w:val="18"/>
              </w:rPr>
              <w:t>permitted</w:t>
            </w:r>
            <w:r>
              <w:rPr>
                <w:b/>
                <w:spacing w:val="-9"/>
                <w:sz w:val="18"/>
              </w:rPr>
              <w:t> </w:t>
            </w:r>
            <w:r>
              <w:rPr>
                <w:b/>
                <w:sz w:val="18"/>
              </w:rPr>
              <w:t>personal </w:t>
            </w:r>
            <w:r>
              <w:rPr>
                <w:b/>
                <w:spacing w:val="-4"/>
                <w:sz w:val="18"/>
              </w:rPr>
              <w:t>use</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906" w:hRule="atLeast"/>
        </w:trPr>
        <w:tc>
          <w:tcPr>
            <w:tcW w:w="4453" w:type="dxa"/>
            <w:tcBorders>
              <w:right w:val="nil"/>
            </w:tcBorders>
          </w:tcPr>
          <w:p>
            <w:pPr>
              <w:pStyle w:val="TableParagraph"/>
              <w:ind w:left="107" w:right="192"/>
              <w:rPr>
                <w:b/>
                <w:sz w:val="18"/>
              </w:rPr>
            </w:pPr>
            <w:r>
              <w:rPr>
                <w:b/>
                <w:sz w:val="18"/>
              </w:rPr>
              <w:t>Infrastructure, above ground infrastructure associated</w:t>
            </w:r>
            <w:r>
              <w:rPr>
                <w:b/>
                <w:spacing w:val="-6"/>
                <w:sz w:val="18"/>
              </w:rPr>
              <w:t> </w:t>
            </w:r>
            <w:r>
              <w:rPr>
                <w:b/>
                <w:sz w:val="18"/>
              </w:rPr>
              <w:t>with</w:t>
            </w:r>
            <w:r>
              <w:rPr>
                <w:b/>
                <w:spacing w:val="-6"/>
                <w:sz w:val="18"/>
              </w:rPr>
              <w:t> </w:t>
            </w:r>
            <w:r>
              <w:rPr>
                <w:b/>
                <w:sz w:val="18"/>
              </w:rPr>
              <w:t>special</w:t>
            </w:r>
            <w:r>
              <w:rPr>
                <w:b/>
                <w:spacing w:val="-6"/>
                <w:sz w:val="18"/>
              </w:rPr>
              <w:t> </w:t>
            </w:r>
            <w:r>
              <w:rPr>
                <w:b/>
                <w:sz w:val="18"/>
              </w:rPr>
              <w:t>use</w:t>
            </w:r>
            <w:r>
              <w:rPr>
                <w:b/>
                <w:spacing w:val="-6"/>
                <w:sz w:val="18"/>
              </w:rPr>
              <w:t> </w:t>
            </w:r>
            <w:r>
              <w:rPr>
                <w:b/>
                <w:sz w:val="18"/>
              </w:rPr>
              <w:t>permits,</w:t>
            </w:r>
            <w:r>
              <w:rPr>
                <w:b/>
                <w:spacing w:val="-6"/>
                <w:sz w:val="18"/>
              </w:rPr>
              <w:t> </w:t>
            </w:r>
            <w:r>
              <w:rPr>
                <w:b/>
                <w:sz w:val="18"/>
              </w:rPr>
              <w:t>such</w:t>
            </w:r>
            <w:r>
              <w:rPr>
                <w:b/>
                <w:spacing w:val="-6"/>
                <w:sz w:val="18"/>
              </w:rPr>
              <w:t> </w:t>
            </w:r>
            <w:r>
              <w:rPr>
                <w:b/>
                <w:sz w:val="18"/>
              </w:rPr>
              <w:t>as communication sites, energy developments, and/or utility lines.</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spacing w:before="42"/>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951" w:type="dxa"/>
            <w:tcBorders>
              <w:left w:val="nil"/>
              <w:right w:val="nil"/>
            </w:tcBorders>
          </w:tcPr>
          <w:p>
            <w:pPr>
              <w:pStyle w:val="TableParagraph"/>
              <w:spacing w:before="42"/>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951" w:type="dxa"/>
            <w:tcBorders>
              <w:left w:val="nil"/>
              <w:right w:val="nil"/>
            </w:tcBorders>
          </w:tcPr>
          <w:p>
            <w:pPr>
              <w:pStyle w:val="TableParagraph"/>
              <w:ind w:left="74" w:right="6"/>
              <w:jc w:val="center"/>
              <w:rPr>
                <w:sz w:val="18"/>
              </w:rPr>
            </w:pPr>
            <w:r>
              <w:rPr>
                <w:spacing w:val="-5"/>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951" w:type="dxa"/>
            <w:tcBorders>
              <w:left w:val="nil"/>
              <w:right w:val="nil"/>
            </w:tcBorders>
          </w:tcPr>
          <w:p>
            <w:pPr>
              <w:pStyle w:val="TableParagraph"/>
              <w:ind w:left="74" w:right="4"/>
              <w:jc w:val="center"/>
              <w:rPr>
                <w:sz w:val="18"/>
              </w:rPr>
            </w:pPr>
            <w:r>
              <w:rPr>
                <w:spacing w:val="-5"/>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493" w:hRule="atLeast"/>
        </w:trPr>
        <w:tc>
          <w:tcPr>
            <w:tcW w:w="4453" w:type="dxa"/>
            <w:tcBorders>
              <w:right w:val="nil"/>
            </w:tcBorders>
          </w:tcPr>
          <w:p>
            <w:pPr>
              <w:pStyle w:val="TableParagraph"/>
              <w:ind w:left="107" w:right="192"/>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summer,</w:t>
            </w:r>
            <w:r>
              <w:rPr>
                <w:b/>
                <w:spacing w:val="-8"/>
                <w:sz w:val="18"/>
              </w:rPr>
              <w:t> </w:t>
            </w:r>
            <w:r>
              <w:rPr>
                <w:b/>
                <w:sz w:val="18"/>
              </w:rPr>
              <w:t>trails</w:t>
            </w:r>
            <w:r>
              <w:rPr>
                <w:b/>
                <w:spacing w:val="-8"/>
                <w:sz w:val="18"/>
              </w:rPr>
              <w:t> </w:t>
            </w:r>
            <w:r>
              <w:rPr>
                <w:b/>
                <w:sz w:val="18"/>
              </w:rPr>
              <w:t>or play</w:t>
            </w:r>
            <w:r>
              <w:rPr>
                <w:b/>
                <w:spacing w:val="-5"/>
                <w:sz w:val="18"/>
              </w:rPr>
              <w:t> </w:t>
            </w:r>
            <w:r>
              <w:rPr>
                <w:b/>
                <w:sz w:val="18"/>
              </w:rPr>
              <w:t>areas</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493" w:hRule="atLeast"/>
        </w:trPr>
        <w:tc>
          <w:tcPr>
            <w:tcW w:w="4453" w:type="dxa"/>
            <w:tcBorders>
              <w:right w:val="nil"/>
            </w:tcBorders>
          </w:tcPr>
          <w:p>
            <w:pPr>
              <w:pStyle w:val="TableParagraph"/>
              <w:ind w:left="107" w:right="660"/>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 </w:t>
            </w:r>
            <w:r>
              <w:rPr>
                <w:b/>
                <w:spacing w:val="-2"/>
                <w:sz w:val="18"/>
              </w:rPr>
              <w:t>cross-country</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7" w:hRule="atLeast"/>
        </w:trPr>
        <w:tc>
          <w:tcPr>
            <w:tcW w:w="4453"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1951" w:type="dxa"/>
            <w:tcBorders>
              <w:left w:val="nil"/>
              <w:right w:val="nil"/>
            </w:tcBorders>
          </w:tcPr>
          <w:p>
            <w:pPr>
              <w:pStyle w:val="TableParagraph"/>
              <w:ind w:left="74" w:right="2"/>
              <w:jc w:val="center"/>
              <w:rPr>
                <w:sz w:val="18"/>
              </w:rPr>
            </w:pPr>
            <w:r>
              <w:rPr>
                <w:spacing w:val="-10"/>
                <w:sz w:val="18"/>
              </w:rPr>
              <w:t>X</w:t>
            </w:r>
          </w:p>
        </w:tc>
        <w:tc>
          <w:tcPr>
            <w:tcW w:w="2145" w:type="dxa"/>
            <w:tcBorders>
              <w:left w:val="nil"/>
            </w:tcBorders>
          </w:tcPr>
          <w:p>
            <w:pPr>
              <w:pStyle w:val="TableParagraph"/>
              <w:spacing w:before="0"/>
              <w:rPr>
                <w:rFonts w:ascii="Times New Roman"/>
                <w:sz w:val="18"/>
              </w:rPr>
            </w:pPr>
          </w:p>
        </w:tc>
      </w:tr>
      <w:tr>
        <w:trPr>
          <w:trHeight w:val="284" w:hRule="atLeast"/>
        </w:trPr>
        <w:tc>
          <w:tcPr>
            <w:tcW w:w="4453" w:type="dxa"/>
            <w:tcBorders>
              <w:bottom w:val="single" w:sz="4" w:space="0" w:color="9BBA58"/>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1951" w:type="dxa"/>
            <w:tcBorders>
              <w:left w:val="nil"/>
              <w:bottom w:val="single" w:sz="4" w:space="0" w:color="9BBA58"/>
              <w:right w:val="nil"/>
            </w:tcBorders>
          </w:tcPr>
          <w:p>
            <w:pPr>
              <w:pStyle w:val="TableParagraph"/>
              <w:ind w:left="74" w:right="2"/>
              <w:jc w:val="center"/>
              <w:rPr>
                <w:sz w:val="18"/>
              </w:rPr>
            </w:pPr>
            <w:r>
              <w:rPr>
                <w:spacing w:val="-10"/>
                <w:sz w:val="18"/>
              </w:rPr>
              <w:t>X</w:t>
            </w:r>
          </w:p>
        </w:tc>
        <w:tc>
          <w:tcPr>
            <w:tcW w:w="2145" w:type="dxa"/>
            <w:tcBorders>
              <w:left w:val="nil"/>
              <w:bottom w:val="single" w:sz="4" w:space="0" w:color="9BBA58"/>
            </w:tcBorders>
          </w:tcPr>
          <w:p>
            <w:pPr>
              <w:pStyle w:val="TableParagraph"/>
              <w:spacing w:before="0"/>
              <w:rPr>
                <w:rFonts w:ascii="Times New Roman"/>
                <w:sz w:val="18"/>
              </w:rPr>
            </w:pPr>
          </w:p>
        </w:tc>
      </w:tr>
      <w:tr>
        <w:trPr>
          <w:trHeight w:val="289" w:hRule="atLeast"/>
        </w:trPr>
        <w:tc>
          <w:tcPr>
            <w:tcW w:w="4453" w:type="dxa"/>
            <w:tcBorders>
              <w:top w:val="single" w:sz="4" w:space="0" w:color="9BBA58"/>
              <w:right w:val="nil"/>
            </w:tcBorders>
          </w:tcPr>
          <w:p>
            <w:pPr>
              <w:pStyle w:val="TableParagraph"/>
              <w:spacing w:before="42"/>
              <w:ind w:left="107"/>
              <w:rPr>
                <w:b/>
                <w:sz w:val="18"/>
              </w:rPr>
            </w:pPr>
            <w:r>
              <w:rPr>
                <w:b/>
                <w:sz w:val="18"/>
              </w:rPr>
              <w:t>Utility</w:t>
            </w:r>
            <w:r>
              <w:rPr>
                <w:b/>
                <w:spacing w:val="-8"/>
                <w:sz w:val="18"/>
              </w:rPr>
              <w:t> </w:t>
            </w:r>
            <w:r>
              <w:rPr>
                <w:b/>
                <w:spacing w:val="-2"/>
                <w:sz w:val="18"/>
              </w:rPr>
              <w:t>corridors</w:t>
            </w:r>
          </w:p>
        </w:tc>
        <w:tc>
          <w:tcPr>
            <w:tcW w:w="1951" w:type="dxa"/>
            <w:tcBorders>
              <w:top w:val="single" w:sz="4" w:space="0" w:color="9BBA58"/>
              <w:left w:val="nil"/>
              <w:right w:val="nil"/>
            </w:tcBorders>
          </w:tcPr>
          <w:p>
            <w:pPr>
              <w:pStyle w:val="TableParagraph"/>
              <w:spacing w:before="42"/>
              <w:ind w:left="74" w:right="2"/>
              <w:jc w:val="center"/>
              <w:rPr>
                <w:sz w:val="18"/>
              </w:rPr>
            </w:pPr>
            <w:r>
              <w:rPr>
                <w:spacing w:val="-10"/>
                <w:sz w:val="18"/>
              </w:rPr>
              <w:t>X</w:t>
            </w:r>
          </w:p>
        </w:tc>
        <w:tc>
          <w:tcPr>
            <w:tcW w:w="2145" w:type="dxa"/>
            <w:tcBorders>
              <w:top w:val="single" w:sz="4" w:space="0" w:color="9BBA58"/>
              <w:left w:val="nil"/>
            </w:tcBorders>
          </w:tcPr>
          <w:p>
            <w:pPr>
              <w:pStyle w:val="TableParagraph"/>
              <w:spacing w:before="0"/>
              <w:rPr>
                <w:rFonts w:ascii="Times New Roman"/>
                <w:sz w:val="18"/>
              </w:rPr>
            </w:pPr>
          </w:p>
        </w:tc>
      </w:tr>
    </w:tbl>
    <w:p>
      <w:pPr>
        <w:spacing w:before="47"/>
        <w:ind w:left="360" w:right="162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360"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spacing w:after="0"/>
        <w:jc w:val="left"/>
        <w:rPr>
          <w:rFonts w:ascii="Arial"/>
          <w:sz w:val="16"/>
        </w:rPr>
        <w:sectPr>
          <w:pgSz w:w="12240" w:h="15840"/>
          <w:pgMar w:header="725" w:footer="891" w:top="960" w:bottom="1080" w:left="1080" w:right="720"/>
        </w:sectPr>
      </w:pPr>
    </w:p>
    <w:p>
      <w:pPr>
        <w:pStyle w:val="BodyText"/>
        <w:spacing w:before="223"/>
        <w:rPr>
          <w:rFonts w:ascii="Arial"/>
        </w:rPr>
      </w:pPr>
    </w:p>
    <w:p>
      <w:pPr>
        <w:pStyle w:val="Heading3"/>
      </w:pPr>
      <w:bookmarkStart w:name="General Restoration (GR)" w:id="633"/>
      <w:bookmarkEnd w:id="633"/>
      <w:r>
        <w:rPr>
          <w:b w:val="0"/>
        </w:rPr>
      </w:r>
      <w:bookmarkStart w:name="_bookmark195" w:id="634"/>
      <w:bookmarkEnd w:id="634"/>
      <w:r>
        <w:rPr>
          <w:b w:val="0"/>
        </w:rPr>
      </w:r>
      <w:r>
        <w:rPr>
          <w:smallCaps/>
          <w:color w:val="475824"/>
        </w:rPr>
        <w:t>General</w:t>
      </w:r>
      <w:r>
        <w:rPr>
          <w:smallCaps/>
          <w:color w:val="475824"/>
          <w:spacing w:val="-7"/>
        </w:rPr>
        <w:t> </w:t>
      </w:r>
      <w:r>
        <w:rPr>
          <w:smallCaps/>
          <w:color w:val="475824"/>
        </w:rPr>
        <w:t>Restoration</w:t>
      </w:r>
      <w:r>
        <w:rPr>
          <w:smallCaps/>
          <w:color w:val="475824"/>
          <w:spacing w:val="-8"/>
        </w:rPr>
        <w:t> </w:t>
      </w:r>
      <w:r>
        <w:rPr>
          <w:smallCaps/>
          <w:color w:val="475824"/>
          <w:spacing w:val="-4"/>
        </w:rPr>
        <w:t>(GR)</w:t>
      </w:r>
    </w:p>
    <w:p>
      <w:pPr>
        <w:pStyle w:val="BodyText"/>
        <w:spacing w:before="57"/>
        <w:ind w:left="370"/>
        <w:jc w:val="center"/>
      </w:pPr>
      <w:r>
        <w:rPr>
          <w:color w:val="000000"/>
          <w:highlight w:val="lightGray"/>
        </w:rPr>
        <w:t>Spatially,</w:t>
      </w:r>
      <w:r>
        <w:rPr>
          <w:color w:val="000000"/>
          <w:spacing w:val="-9"/>
          <w:highlight w:val="lightGray"/>
        </w:rPr>
        <w:t> </w:t>
      </w:r>
      <w:r>
        <w:rPr>
          <w:color w:val="000000"/>
          <w:highlight w:val="lightGray"/>
        </w:rPr>
        <w:t>this</w:t>
      </w:r>
      <w:r>
        <w:rPr>
          <w:color w:val="000000"/>
          <w:spacing w:val="-6"/>
          <w:highlight w:val="lightGray"/>
        </w:rPr>
        <w:t> </w:t>
      </w:r>
      <w:r>
        <w:rPr>
          <w:color w:val="000000"/>
          <w:highlight w:val="lightGray"/>
        </w:rPr>
        <w:t>area</w:t>
      </w:r>
      <w:r>
        <w:rPr>
          <w:color w:val="000000"/>
          <w:spacing w:val="-6"/>
          <w:highlight w:val="lightGray"/>
        </w:rPr>
        <w:t> </w:t>
      </w:r>
      <w:r>
        <w:rPr>
          <w:color w:val="000000"/>
          <w:highlight w:val="lightGray"/>
        </w:rPr>
        <w:t>includes</w:t>
      </w:r>
      <w:r>
        <w:rPr>
          <w:color w:val="000000"/>
          <w:spacing w:val="-9"/>
          <w:highlight w:val="lightGray"/>
        </w:rPr>
        <w:t> </w:t>
      </w:r>
      <w:r>
        <w:rPr>
          <w:color w:val="000000"/>
          <w:highlight w:val="lightGray"/>
        </w:rPr>
        <w:t>all</w:t>
      </w:r>
      <w:r>
        <w:rPr>
          <w:color w:val="000000"/>
          <w:spacing w:val="-6"/>
          <w:highlight w:val="lightGray"/>
        </w:rPr>
        <w:t> </w:t>
      </w:r>
      <w:r>
        <w:rPr>
          <w:color w:val="000000"/>
          <w:highlight w:val="lightGray"/>
        </w:rPr>
        <w:t>areas</w:t>
      </w:r>
      <w:r>
        <w:rPr>
          <w:color w:val="000000"/>
          <w:spacing w:val="-8"/>
          <w:highlight w:val="lightGray"/>
        </w:rPr>
        <w:t> </w:t>
      </w:r>
      <w:r>
        <w:rPr>
          <w:color w:val="000000"/>
          <w:highlight w:val="lightGray"/>
        </w:rPr>
        <w:t>not</w:t>
      </w:r>
      <w:r>
        <w:rPr>
          <w:color w:val="000000"/>
          <w:spacing w:val="-8"/>
          <w:highlight w:val="lightGray"/>
        </w:rPr>
        <w:t> </w:t>
      </w:r>
      <w:r>
        <w:rPr>
          <w:color w:val="000000"/>
          <w:highlight w:val="lightGray"/>
        </w:rPr>
        <w:t>included</w:t>
      </w:r>
      <w:r>
        <w:rPr>
          <w:color w:val="000000"/>
          <w:spacing w:val="-7"/>
          <w:highlight w:val="lightGray"/>
        </w:rPr>
        <w:t> </w:t>
      </w:r>
      <w:r>
        <w:rPr>
          <w:color w:val="000000"/>
          <w:highlight w:val="lightGray"/>
        </w:rPr>
        <w:t>in</w:t>
      </w:r>
      <w:r>
        <w:rPr>
          <w:color w:val="000000"/>
          <w:spacing w:val="-7"/>
          <w:highlight w:val="lightGray"/>
        </w:rPr>
        <w:t> </w:t>
      </w:r>
      <w:r>
        <w:rPr>
          <w:color w:val="000000"/>
          <w:highlight w:val="lightGray"/>
        </w:rPr>
        <w:t>another</w:t>
      </w:r>
      <w:r>
        <w:rPr>
          <w:color w:val="000000"/>
          <w:spacing w:val="-8"/>
          <w:highlight w:val="lightGray"/>
        </w:rPr>
        <w:t> </w:t>
      </w:r>
      <w:r>
        <w:rPr>
          <w:color w:val="000000"/>
          <w:highlight w:val="lightGray"/>
        </w:rPr>
        <w:t>management</w:t>
      </w:r>
      <w:r>
        <w:rPr>
          <w:color w:val="000000"/>
          <w:spacing w:val="-8"/>
          <w:highlight w:val="lightGray"/>
        </w:rPr>
        <w:t> </w:t>
      </w:r>
      <w:r>
        <w:rPr>
          <w:color w:val="000000"/>
          <w:spacing w:val="-2"/>
          <w:highlight w:val="lightGray"/>
        </w:rPr>
        <w:t>area.</w:t>
      </w:r>
    </w:p>
    <w:p>
      <w:pPr>
        <w:pStyle w:val="Heading4"/>
        <w:spacing w:before="235"/>
        <w:ind w:left="1151"/>
      </w:pPr>
      <w:bookmarkStart w:name="Desired Conditions" w:id="635"/>
      <w:bookmarkEnd w:id="635"/>
      <w:r>
        <w:rPr/>
      </w:r>
      <w:bookmarkStart w:name="_bookmark196" w:id="636"/>
      <w:bookmarkEnd w:id="636"/>
      <w:r>
        <w:rPr/>
      </w:r>
      <w:r>
        <w:rPr/>
        <w:t>Desired</w:t>
      </w:r>
      <w:r>
        <w:rPr>
          <w:spacing w:val="-4"/>
        </w:rPr>
        <w:t> </w:t>
      </w:r>
      <w:r>
        <w:rPr>
          <w:spacing w:val="-2"/>
        </w:rPr>
        <w:t>Conditions</w:t>
      </w:r>
    </w:p>
    <w:p>
      <w:pPr>
        <w:spacing w:before="239"/>
        <w:ind w:left="1151" w:right="0" w:firstLine="0"/>
        <w:jc w:val="left"/>
        <w:rPr>
          <w:rFonts w:ascii="Arial"/>
          <w:i/>
          <w:sz w:val="22"/>
        </w:rPr>
      </w:pPr>
      <w:bookmarkStart w:name="MA-DC-GR-01. Vegetation" w:id="637"/>
      <w:bookmarkEnd w:id="637"/>
      <w:r>
        <w:rPr/>
      </w:r>
      <w:r>
        <w:rPr>
          <w:rFonts w:ascii="Arial"/>
          <w:i/>
          <w:sz w:val="22"/>
        </w:rPr>
        <w:t>MA-DC-GR-01.</w:t>
      </w:r>
      <w:r>
        <w:rPr>
          <w:rFonts w:ascii="Arial"/>
          <w:i/>
          <w:spacing w:val="-9"/>
          <w:sz w:val="22"/>
        </w:rPr>
        <w:t> </w:t>
      </w:r>
      <w:r>
        <w:rPr>
          <w:rFonts w:ascii="Arial"/>
          <w:i/>
          <w:spacing w:val="-2"/>
          <w:sz w:val="22"/>
        </w:rPr>
        <w:t>Vegetation</w:t>
      </w:r>
    </w:p>
    <w:p>
      <w:pPr>
        <w:pStyle w:val="BodyText"/>
        <w:spacing w:line="232" w:lineRule="auto" w:before="65"/>
        <w:ind w:left="1151" w:right="742"/>
      </w:pPr>
      <w:r>
        <w:rPr/>
        <w:t>The</w:t>
      </w:r>
      <w:r>
        <w:rPr>
          <w:spacing w:val="-6"/>
        </w:rPr>
        <w:t> </w:t>
      </w:r>
      <w:r>
        <w:rPr/>
        <w:t>landscape</w:t>
      </w:r>
      <w:r>
        <w:rPr>
          <w:spacing w:val="-6"/>
        </w:rPr>
        <w:t> </w:t>
      </w:r>
      <w:r>
        <w:rPr/>
        <w:t>is</w:t>
      </w:r>
      <w:r>
        <w:rPr>
          <w:spacing w:val="-9"/>
        </w:rPr>
        <w:t> </w:t>
      </w:r>
      <w:r>
        <w:rPr/>
        <w:t>predominantly</w:t>
      </w:r>
      <w:r>
        <w:rPr>
          <w:spacing w:val="-6"/>
        </w:rPr>
        <w:t> </w:t>
      </w:r>
      <w:r>
        <w:rPr/>
        <w:t>natural-appearing</w:t>
      </w:r>
      <w:r>
        <w:rPr>
          <w:spacing w:val="-7"/>
        </w:rPr>
        <w:t> </w:t>
      </w:r>
      <w:r>
        <w:rPr/>
        <w:t>to</w:t>
      </w:r>
      <w:r>
        <w:rPr>
          <w:spacing w:val="-8"/>
        </w:rPr>
        <w:t> </w:t>
      </w:r>
      <w:r>
        <w:rPr/>
        <w:t>slightly</w:t>
      </w:r>
      <w:r>
        <w:rPr>
          <w:spacing w:val="-6"/>
        </w:rPr>
        <w:t> </w:t>
      </w:r>
      <w:r>
        <w:rPr/>
        <w:t>altered</w:t>
      </w:r>
      <w:r>
        <w:rPr>
          <w:spacing w:val="-8"/>
        </w:rPr>
        <w:t> </w:t>
      </w:r>
      <w:r>
        <w:rPr/>
        <w:t>to</w:t>
      </w:r>
      <w:r>
        <w:rPr>
          <w:spacing w:val="-8"/>
        </w:rPr>
        <w:t> </w:t>
      </w:r>
      <w:r>
        <w:rPr/>
        <w:t>moderately</w:t>
      </w:r>
      <w:r>
        <w:rPr>
          <w:spacing w:val="-6"/>
        </w:rPr>
        <w:t> </w:t>
      </w:r>
      <w:r>
        <w:rPr/>
        <w:t>altered,</w:t>
      </w:r>
      <w:r>
        <w:rPr>
          <w:spacing w:val="-9"/>
        </w:rPr>
        <w:t> </w:t>
      </w:r>
      <w:r>
        <w:rPr/>
        <w:t>and contributes to the variety of native plant communities and the composition, structure, and patterns as defined in desired conditions for vegetative systems, aquatic, plant, and wildlife habitats. The desired conditions for vegetation are achieved through a combination of ecological processes and management activities. While the landscape is natural-appearing, there are locations that have a vegetation composition, structure, or pattern that is altered to provide a recreational setting such as openings maintained for scenic views; or other desired conditions, such as vegetation fuel conditions adjacent to an urban interface. The scenic integrity objectives would range from low to high.</w:t>
      </w:r>
    </w:p>
    <w:p>
      <w:pPr>
        <w:spacing w:before="230"/>
        <w:ind w:left="1151" w:right="0" w:firstLine="0"/>
        <w:jc w:val="left"/>
        <w:rPr>
          <w:rFonts w:ascii="Arial"/>
          <w:i/>
          <w:sz w:val="22"/>
        </w:rPr>
      </w:pPr>
      <w:bookmarkStart w:name="MA-DC-GR-02. Habitat" w:id="638"/>
      <w:bookmarkEnd w:id="638"/>
      <w:r>
        <w:rPr/>
      </w:r>
      <w:r>
        <w:rPr>
          <w:rFonts w:ascii="Arial"/>
          <w:i/>
          <w:sz w:val="22"/>
        </w:rPr>
        <w:t>MA-DC-GR-02.</w:t>
      </w:r>
      <w:r>
        <w:rPr>
          <w:rFonts w:ascii="Arial"/>
          <w:i/>
          <w:spacing w:val="-9"/>
          <w:sz w:val="22"/>
        </w:rPr>
        <w:t> </w:t>
      </w:r>
      <w:r>
        <w:rPr>
          <w:rFonts w:ascii="Arial"/>
          <w:i/>
          <w:spacing w:val="-2"/>
          <w:sz w:val="22"/>
        </w:rPr>
        <w:t>Habitat</w:t>
      </w:r>
    </w:p>
    <w:p>
      <w:pPr>
        <w:pStyle w:val="BodyText"/>
        <w:spacing w:line="232" w:lineRule="auto" w:before="67"/>
        <w:ind w:left="1151" w:right="720"/>
      </w:pPr>
      <w:r>
        <w:rPr/>
        <w:t>These areas contribute habitat for plant and wildlife species that are relatively tolerant of human</w:t>
      </w:r>
      <w:r>
        <w:rPr>
          <w:spacing w:val="-7"/>
        </w:rPr>
        <w:t> </w:t>
      </w:r>
      <w:r>
        <w:rPr/>
        <w:t>activities/disturbances.</w:t>
      </w:r>
      <w:r>
        <w:rPr>
          <w:spacing w:val="-6"/>
        </w:rPr>
        <w:t> </w:t>
      </w:r>
      <w:r>
        <w:rPr/>
        <w:t>Habitat</w:t>
      </w:r>
      <w:r>
        <w:rPr>
          <w:spacing w:val="-8"/>
        </w:rPr>
        <w:t> </w:t>
      </w:r>
      <w:r>
        <w:rPr/>
        <w:t>effectiveness</w:t>
      </w:r>
      <w:r>
        <w:rPr>
          <w:spacing w:val="-8"/>
        </w:rPr>
        <w:t> </w:t>
      </w:r>
      <w:r>
        <w:rPr/>
        <w:t>is</w:t>
      </w:r>
      <w:r>
        <w:rPr>
          <w:spacing w:val="-8"/>
        </w:rPr>
        <w:t> </w:t>
      </w:r>
      <w:r>
        <w:rPr/>
        <w:t>expected</w:t>
      </w:r>
      <w:r>
        <w:rPr>
          <w:spacing w:val="-9"/>
        </w:rPr>
        <w:t> </w:t>
      </w:r>
      <w:r>
        <w:rPr/>
        <w:t>to</w:t>
      </w:r>
      <w:r>
        <w:rPr>
          <w:spacing w:val="-7"/>
        </w:rPr>
        <w:t> </w:t>
      </w:r>
      <w:r>
        <w:rPr/>
        <w:t>be</w:t>
      </w:r>
      <w:r>
        <w:rPr>
          <w:spacing w:val="-5"/>
        </w:rPr>
        <w:t> </w:t>
      </w:r>
      <w:r>
        <w:rPr/>
        <w:t>lower</w:t>
      </w:r>
      <w:r>
        <w:rPr>
          <w:spacing w:val="-6"/>
        </w:rPr>
        <w:t> </w:t>
      </w:r>
      <w:r>
        <w:rPr/>
        <w:t>for</w:t>
      </w:r>
      <w:r>
        <w:rPr>
          <w:spacing w:val="-6"/>
        </w:rPr>
        <w:t> </w:t>
      </w:r>
      <w:r>
        <w:rPr/>
        <w:t>species</w:t>
      </w:r>
      <w:r>
        <w:rPr>
          <w:spacing w:val="-8"/>
        </w:rPr>
        <w:t> </w:t>
      </w:r>
      <w:r>
        <w:rPr/>
        <w:t>that</w:t>
      </w:r>
      <w:r>
        <w:rPr>
          <w:spacing w:val="-5"/>
        </w:rPr>
        <w:t> </w:t>
      </w:r>
      <w:r>
        <w:rPr/>
        <w:t>are sensitive</w:t>
      </w:r>
      <w:r>
        <w:rPr>
          <w:spacing w:val="-3"/>
        </w:rPr>
        <w:t> </w:t>
      </w:r>
      <w:r>
        <w:rPr/>
        <w:t>to</w:t>
      </w:r>
      <w:r>
        <w:rPr>
          <w:spacing w:val="-3"/>
        </w:rPr>
        <w:t> </w:t>
      </w:r>
      <w:r>
        <w:rPr/>
        <w:t>human</w:t>
      </w:r>
      <w:r>
        <w:rPr>
          <w:spacing w:val="-5"/>
        </w:rPr>
        <w:t> </w:t>
      </w:r>
      <w:r>
        <w:rPr/>
        <w:t>activities</w:t>
      </w:r>
      <w:r>
        <w:rPr>
          <w:spacing w:val="-4"/>
        </w:rPr>
        <w:t> </w:t>
      </w:r>
      <w:r>
        <w:rPr/>
        <w:t>and</w:t>
      </w:r>
      <w:r>
        <w:rPr>
          <w:spacing w:val="-5"/>
        </w:rPr>
        <w:t> </w:t>
      </w:r>
      <w:r>
        <w:rPr/>
        <w:t>disturbances.</w:t>
      </w:r>
      <w:r>
        <w:rPr>
          <w:spacing w:val="-7"/>
        </w:rPr>
        <w:t> </w:t>
      </w:r>
      <w:r>
        <w:rPr/>
        <w:t>These</w:t>
      </w:r>
      <w:r>
        <w:rPr>
          <w:spacing w:val="-6"/>
        </w:rPr>
        <w:t> </w:t>
      </w:r>
      <w:r>
        <w:rPr/>
        <w:t>areas</w:t>
      </w:r>
      <w:r>
        <w:rPr>
          <w:spacing w:val="-4"/>
        </w:rPr>
        <w:t> </w:t>
      </w:r>
      <w:r>
        <w:rPr/>
        <w:t>provide</w:t>
      </w:r>
      <w:r>
        <w:rPr>
          <w:spacing w:val="-6"/>
        </w:rPr>
        <w:t> </w:t>
      </w:r>
      <w:r>
        <w:rPr/>
        <w:t>wildlife-related</w:t>
      </w:r>
      <w:r>
        <w:rPr>
          <w:spacing w:val="-5"/>
        </w:rPr>
        <w:t> </w:t>
      </w:r>
      <w:r>
        <w:rPr/>
        <w:t>recreational opportunities (such as wildlife viewing, hunting, etc.) for species less sensitive to human activities and disturbance.</w:t>
      </w:r>
    </w:p>
    <w:p>
      <w:pPr>
        <w:pStyle w:val="BodyText"/>
        <w:spacing w:line="232" w:lineRule="auto" w:before="198"/>
        <w:ind w:left="1151" w:right="801"/>
      </w:pPr>
      <w:r>
        <w:rPr/>
        <w:t>Road interactions with surface and sub-surface water is such that there is limited potential to increase</w:t>
      </w:r>
      <w:r>
        <w:rPr>
          <w:spacing w:val="-6"/>
        </w:rPr>
        <w:t> </w:t>
      </w:r>
      <w:r>
        <w:rPr/>
        <w:t>drainage</w:t>
      </w:r>
      <w:r>
        <w:rPr>
          <w:spacing w:val="-3"/>
        </w:rPr>
        <w:t> </w:t>
      </w:r>
      <w:r>
        <w:rPr/>
        <w:t>density</w:t>
      </w:r>
      <w:r>
        <w:rPr>
          <w:spacing w:val="-3"/>
        </w:rPr>
        <w:t> </w:t>
      </w:r>
      <w:r>
        <w:rPr/>
        <w:t>and/or</w:t>
      </w:r>
      <w:r>
        <w:rPr>
          <w:spacing w:val="-4"/>
        </w:rPr>
        <w:t> </w:t>
      </w:r>
      <w:r>
        <w:rPr/>
        <w:t>accelerated</w:t>
      </w:r>
      <w:r>
        <w:rPr>
          <w:spacing w:val="-5"/>
        </w:rPr>
        <w:t> </w:t>
      </w:r>
      <w:r>
        <w:rPr/>
        <w:t>or</w:t>
      </w:r>
      <w:r>
        <w:rPr>
          <w:spacing w:val="-6"/>
        </w:rPr>
        <w:t> </w:t>
      </w:r>
      <w:r>
        <w:rPr/>
        <w:t>abnormal</w:t>
      </w:r>
      <w:r>
        <w:rPr>
          <w:spacing w:val="-4"/>
        </w:rPr>
        <w:t> </w:t>
      </w:r>
      <w:r>
        <w:rPr/>
        <w:t>hill</w:t>
      </w:r>
      <w:r>
        <w:rPr>
          <w:spacing w:val="-4"/>
        </w:rPr>
        <w:t> </w:t>
      </w:r>
      <w:r>
        <w:rPr/>
        <w:t>slope</w:t>
      </w:r>
      <w:r>
        <w:rPr>
          <w:spacing w:val="-3"/>
        </w:rPr>
        <w:t> </w:t>
      </w:r>
      <w:r>
        <w:rPr/>
        <w:t>failure.</w:t>
      </w:r>
      <w:r>
        <w:rPr>
          <w:spacing w:val="-4"/>
        </w:rPr>
        <w:t> </w:t>
      </w:r>
      <w:r>
        <w:rPr/>
        <w:t>Roads</w:t>
      </w:r>
      <w:r>
        <w:rPr>
          <w:spacing w:val="-6"/>
        </w:rPr>
        <w:t> </w:t>
      </w:r>
      <w:r>
        <w:rPr/>
        <w:t>function</w:t>
      </w:r>
      <w:r>
        <w:rPr>
          <w:spacing w:val="-5"/>
        </w:rPr>
        <w:t> </w:t>
      </w:r>
      <w:r>
        <w:rPr/>
        <w:t>in</w:t>
      </w:r>
      <w:r>
        <w:rPr>
          <w:spacing w:val="-5"/>
        </w:rPr>
        <w:t> </w:t>
      </w:r>
      <w:r>
        <w:rPr/>
        <w:t>a hydraulic</w:t>
      </w:r>
      <w:r>
        <w:rPr>
          <w:spacing w:val="-7"/>
        </w:rPr>
        <w:t> </w:t>
      </w:r>
      <w:r>
        <w:rPr/>
        <w:t>and</w:t>
      </w:r>
      <w:r>
        <w:rPr>
          <w:spacing w:val="-8"/>
        </w:rPr>
        <w:t> </w:t>
      </w:r>
      <w:r>
        <w:rPr/>
        <w:t>geomorphic</w:t>
      </w:r>
      <w:r>
        <w:rPr>
          <w:spacing w:val="-10"/>
        </w:rPr>
        <w:t> </w:t>
      </w:r>
      <w:r>
        <w:rPr/>
        <w:t>manner</w:t>
      </w:r>
      <w:r>
        <w:rPr>
          <w:spacing w:val="-8"/>
        </w:rPr>
        <w:t> </w:t>
      </w:r>
      <w:r>
        <w:rPr/>
        <w:t>that</w:t>
      </w:r>
      <w:r>
        <w:rPr>
          <w:spacing w:val="-6"/>
        </w:rPr>
        <w:t> </w:t>
      </w:r>
      <w:r>
        <w:rPr/>
        <w:t>provides</w:t>
      </w:r>
      <w:r>
        <w:rPr>
          <w:spacing w:val="-8"/>
        </w:rPr>
        <w:t> </w:t>
      </w:r>
      <w:r>
        <w:rPr/>
        <w:t>watershed</w:t>
      </w:r>
      <w:r>
        <w:rPr>
          <w:spacing w:val="-8"/>
        </w:rPr>
        <w:t> </w:t>
      </w:r>
      <w:r>
        <w:rPr/>
        <w:t>and</w:t>
      </w:r>
      <w:r>
        <w:rPr>
          <w:spacing w:val="-8"/>
        </w:rPr>
        <w:t> </w:t>
      </w:r>
      <w:r>
        <w:rPr/>
        <w:t>sub-basin</w:t>
      </w:r>
      <w:r>
        <w:rPr>
          <w:spacing w:val="-8"/>
        </w:rPr>
        <w:t> </w:t>
      </w:r>
      <w:r>
        <w:rPr/>
        <w:t>scale</w:t>
      </w:r>
      <w:r>
        <w:rPr>
          <w:spacing w:val="-6"/>
        </w:rPr>
        <w:t> </w:t>
      </w:r>
      <w:r>
        <w:rPr/>
        <w:t>aquatic</w:t>
      </w:r>
      <w:r>
        <w:rPr>
          <w:spacing w:val="-7"/>
        </w:rPr>
        <w:t> </w:t>
      </w:r>
      <w:r>
        <w:rPr/>
        <w:t>habitat connectivity and contributes to attainment of State water quality standards.</w:t>
      </w:r>
    </w:p>
    <w:p>
      <w:pPr>
        <w:spacing w:before="231"/>
        <w:ind w:left="1150" w:right="0" w:firstLine="0"/>
        <w:jc w:val="left"/>
        <w:rPr>
          <w:rFonts w:ascii="Arial"/>
          <w:i/>
          <w:sz w:val="22"/>
        </w:rPr>
      </w:pPr>
      <w:bookmarkStart w:name="MA-DC-GR-03. Recreation Settings and Act" w:id="639"/>
      <w:bookmarkEnd w:id="639"/>
      <w:r>
        <w:rPr/>
      </w:r>
      <w:r>
        <w:rPr>
          <w:rFonts w:ascii="Arial"/>
          <w:i/>
          <w:sz w:val="22"/>
        </w:rPr>
        <w:t>MA-DC-GR-03.</w:t>
      </w:r>
      <w:r>
        <w:rPr>
          <w:rFonts w:ascii="Arial"/>
          <w:i/>
          <w:spacing w:val="-6"/>
          <w:sz w:val="22"/>
        </w:rPr>
        <w:t> </w:t>
      </w:r>
      <w:r>
        <w:rPr>
          <w:rFonts w:ascii="Arial"/>
          <w:i/>
          <w:sz w:val="22"/>
        </w:rPr>
        <w:t>Recreation</w:t>
      </w:r>
      <w:r>
        <w:rPr>
          <w:rFonts w:ascii="Arial"/>
          <w:i/>
          <w:spacing w:val="-7"/>
          <w:sz w:val="22"/>
        </w:rPr>
        <w:t> </w:t>
      </w:r>
      <w:r>
        <w:rPr>
          <w:rFonts w:ascii="Arial"/>
          <w:i/>
          <w:sz w:val="22"/>
        </w:rPr>
        <w:t>Settings</w:t>
      </w:r>
      <w:r>
        <w:rPr>
          <w:rFonts w:ascii="Arial"/>
          <w:i/>
          <w:spacing w:val="-9"/>
          <w:sz w:val="22"/>
        </w:rPr>
        <w:t> </w:t>
      </w:r>
      <w:r>
        <w:rPr>
          <w:rFonts w:ascii="Arial"/>
          <w:i/>
          <w:sz w:val="22"/>
        </w:rPr>
        <w:t>and</w:t>
      </w:r>
      <w:r>
        <w:rPr>
          <w:rFonts w:ascii="Arial"/>
          <w:i/>
          <w:spacing w:val="-7"/>
          <w:sz w:val="22"/>
        </w:rPr>
        <w:t> </w:t>
      </w:r>
      <w:r>
        <w:rPr>
          <w:rFonts w:ascii="Arial"/>
          <w:i/>
          <w:spacing w:val="-2"/>
          <w:sz w:val="22"/>
        </w:rPr>
        <w:t>Activities</w:t>
      </w:r>
    </w:p>
    <w:p>
      <w:pPr>
        <w:pStyle w:val="BodyText"/>
        <w:spacing w:line="232" w:lineRule="auto" w:before="65"/>
        <w:ind w:left="1150" w:right="801"/>
      </w:pPr>
      <w:r>
        <w:rPr/>
        <w:t>These areas provide settings for a variety of developed and dispersed summer and winter recreation</w:t>
      </w:r>
      <w:r>
        <w:rPr>
          <w:spacing w:val="-7"/>
        </w:rPr>
        <w:t> </w:t>
      </w:r>
      <w:r>
        <w:rPr/>
        <w:t>activities.</w:t>
      </w:r>
      <w:r>
        <w:rPr>
          <w:spacing w:val="-7"/>
        </w:rPr>
        <w:t> </w:t>
      </w:r>
      <w:r>
        <w:rPr/>
        <w:t>Seasonal</w:t>
      </w:r>
      <w:r>
        <w:rPr>
          <w:spacing w:val="-5"/>
        </w:rPr>
        <w:t> </w:t>
      </w:r>
      <w:r>
        <w:rPr/>
        <w:t>use</w:t>
      </w:r>
      <w:r>
        <w:rPr>
          <w:spacing w:val="-4"/>
        </w:rPr>
        <w:t> </w:t>
      </w:r>
      <w:r>
        <w:rPr/>
        <w:t>restrictions</w:t>
      </w:r>
      <w:r>
        <w:rPr>
          <w:spacing w:val="-6"/>
        </w:rPr>
        <w:t> </w:t>
      </w:r>
      <w:r>
        <w:rPr/>
        <w:t>occur</w:t>
      </w:r>
      <w:r>
        <w:rPr>
          <w:spacing w:val="-6"/>
        </w:rPr>
        <w:t> </w:t>
      </w:r>
      <w:r>
        <w:rPr/>
        <w:t>for</w:t>
      </w:r>
      <w:r>
        <w:rPr>
          <w:spacing w:val="-5"/>
        </w:rPr>
        <w:t> </w:t>
      </w:r>
      <w:r>
        <w:rPr/>
        <w:t>the</w:t>
      </w:r>
      <w:r>
        <w:rPr>
          <w:spacing w:val="-6"/>
        </w:rPr>
        <w:t> </w:t>
      </w:r>
      <w:r>
        <w:rPr/>
        <w:t>purpose</w:t>
      </w:r>
      <w:r>
        <w:rPr>
          <w:spacing w:val="-6"/>
        </w:rPr>
        <w:t> </w:t>
      </w:r>
      <w:r>
        <w:rPr/>
        <w:t>of</w:t>
      </w:r>
      <w:r>
        <w:rPr>
          <w:spacing w:val="-6"/>
        </w:rPr>
        <w:t> </w:t>
      </w:r>
      <w:r>
        <w:rPr/>
        <w:t>resource</w:t>
      </w:r>
      <w:r>
        <w:rPr>
          <w:spacing w:val="-6"/>
        </w:rPr>
        <w:t> </w:t>
      </w:r>
      <w:r>
        <w:rPr/>
        <w:t>protection</w:t>
      </w:r>
      <w:r>
        <w:rPr>
          <w:spacing w:val="-5"/>
        </w:rPr>
        <w:t> </w:t>
      </w:r>
      <w:r>
        <w:rPr/>
        <w:t>and recreation management. Recreation use is generally dispersed and/or located at recreation developments, such as campgrounds. Human-caused changes from management actions related to recreation are limited in scale, generally not visually evident, and reflect a roaded natural recreational opportunity setting.</w:t>
      </w:r>
    </w:p>
    <w:p>
      <w:pPr>
        <w:spacing w:before="234"/>
        <w:ind w:left="1150" w:right="0" w:firstLine="0"/>
        <w:jc w:val="left"/>
        <w:rPr>
          <w:rFonts w:ascii="Arial"/>
          <w:i/>
          <w:sz w:val="22"/>
        </w:rPr>
      </w:pPr>
      <w:bookmarkStart w:name="MA-DC-GR-04. Developments and Improvemen" w:id="640"/>
      <w:bookmarkEnd w:id="640"/>
      <w:r>
        <w:rPr/>
      </w:r>
      <w:r>
        <w:rPr>
          <w:rFonts w:ascii="Arial"/>
          <w:i/>
          <w:sz w:val="22"/>
        </w:rPr>
        <w:t>MA-DC-GR-04.</w:t>
      </w:r>
      <w:r>
        <w:rPr>
          <w:rFonts w:ascii="Arial"/>
          <w:i/>
          <w:spacing w:val="-7"/>
          <w:sz w:val="22"/>
        </w:rPr>
        <w:t> </w:t>
      </w:r>
      <w:r>
        <w:rPr>
          <w:rFonts w:ascii="Arial"/>
          <w:i/>
          <w:sz w:val="22"/>
        </w:rPr>
        <w:t>Developments</w:t>
      </w:r>
      <w:r>
        <w:rPr>
          <w:rFonts w:ascii="Arial"/>
          <w:i/>
          <w:spacing w:val="-10"/>
          <w:sz w:val="22"/>
        </w:rPr>
        <w:t> </w:t>
      </w:r>
      <w:r>
        <w:rPr>
          <w:rFonts w:ascii="Arial"/>
          <w:i/>
          <w:sz w:val="22"/>
        </w:rPr>
        <w:t>and</w:t>
      </w:r>
      <w:r>
        <w:rPr>
          <w:rFonts w:ascii="Arial"/>
          <w:i/>
          <w:spacing w:val="-9"/>
          <w:sz w:val="22"/>
        </w:rPr>
        <w:t> </w:t>
      </w:r>
      <w:r>
        <w:rPr>
          <w:rFonts w:ascii="Arial"/>
          <w:i/>
          <w:spacing w:val="-2"/>
          <w:sz w:val="22"/>
        </w:rPr>
        <w:t>Improvements</w:t>
      </w:r>
    </w:p>
    <w:p>
      <w:pPr>
        <w:pStyle w:val="BodyText"/>
        <w:spacing w:line="232" w:lineRule="auto" w:before="65"/>
        <w:ind w:left="1150" w:right="742"/>
      </w:pPr>
      <w:r>
        <w:rPr/>
        <w:t>Facilities (whether operated by the Forest Service or under permit) are those necessary to protect resources, provide for safety, public benefit, or to enhance roaded natural recreation experiences. Facilities should reflect the rustic style associated with the Rocky Mountain Province character type by using native materials, earth-toned colors and blend into the landscape as much as feasible. Facilities include campgrounds, boat launches, fire lookouts, radio repeaters, administrative buildings, trailheads, and trails. Improvements are evident and may</w:t>
      </w:r>
      <w:r>
        <w:rPr>
          <w:spacing w:val="-7"/>
        </w:rPr>
        <w:t> </w:t>
      </w:r>
      <w:r>
        <w:rPr/>
        <w:t>include</w:t>
      </w:r>
      <w:r>
        <w:rPr>
          <w:spacing w:val="-9"/>
        </w:rPr>
        <w:t> </w:t>
      </w:r>
      <w:r>
        <w:rPr/>
        <w:t>signs,</w:t>
      </w:r>
      <w:r>
        <w:rPr>
          <w:spacing w:val="-7"/>
        </w:rPr>
        <w:t> </w:t>
      </w:r>
      <w:r>
        <w:rPr/>
        <w:t>bridges,</w:t>
      </w:r>
      <w:r>
        <w:rPr>
          <w:spacing w:val="-9"/>
        </w:rPr>
        <w:t> </w:t>
      </w:r>
      <w:r>
        <w:rPr/>
        <w:t>fences,</w:t>
      </w:r>
      <w:r>
        <w:rPr>
          <w:spacing w:val="-9"/>
        </w:rPr>
        <w:t> </w:t>
      </w:r>
      <w:r>
        <w:rPr/>
        <w:t>shelters,</w:t>
      </w:r>
      <w:r>
        <w:rPr>
          <w:spacing w:val="-7"/>
        </w:rPr>
        <w:t> </w:t>
      </w:r>
      <w:r>
        <w:rPr/>
        <w:t>campsites</w:t>
      </w:r>
      <w:r>
        <w:rPr>
          <w:spacing w:val="-9"/>
        </w:rPr>
        <w:t> </w:t>
      </w:r>
      <w:r>
        <w:rPr/>
        <w:t>or</w:t>
      </w:r>
      <w:r>
        <w:rPr>
          <w:spacing w:val="-7"/>
        </w:rPr>
        <w:t> </w:t>
      </w:r>
      <w:r>
        <w:rPr/>
        <w:t>scenic</w:t>
      </w:r>
      <w:r>
        <w:rPr>
          <w:spacing w:val="-7"/>
        </w:rPr>
        <w:t> </w:t>
      </w:r>
      <w:r>
        <w:rPr/>
        <w:t>pullouts/overlooks,</w:t>
      </w:r>
      <w:r>
        <w:rPr>
          <w:spacing w:val="-7"/>
        </w:rPr>
        <w:t> </w:t>
      </w:r>
      <w:r>
        <w:rPr/>
        <w:t>interpretive displays, stock containment systems and water developments. Concentrated use by the public may occur at facilities associated with developed recreation sites.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DC-GR-05. Travelways, Roads" w:id="641"/>
      <w:bookmarkEnd w:id="641"/>
      <w:r>
        <w:rPr/>
      </w:r>
      <w:r>
        <w:rPr>
          <w:rFonts w:ascii="Arial"/>
          <w:i/>
          <w:sz w:val="22"/>
        </w:rPr>
        <w:t>MA-DC-GR-05.</w:t>
      </w:r>
      <w:r>
        <w:rPr>
          <w:rFonts w:ascii="Arial"/>
          <w:i/>
          <w:spacing w:val="-11"/>
          <w:sz w:val="22"/>
        </w:rPr>
        <w:t> </w:t>
      </w:r>
      <w:r>
        <w:rPr>
          <w:rFonts w:ascii="Arial"/>
          <w:i/>
          <w:sz w:val="22"/>
        </w:rPr>
        <w:t>Travelways,</w:t>
      </w:r>
      <w:r>
        <w:rPr>
          <w:rFonts w:ascii="Arial"/>
          <w:i/>
          <w:spacing w:val="-8"/>
          <w:sz w:val="22"/>
        </w:rPr>
        <w:t> </w:t>
      </w:r>
      <w:r>
        <w:rPr>
          <w:rFonts w:ascii="Arial"/>
          <w:i/>
          <w:spacing w:val="-2"/>
          <w:sz w:val="22"/>
        </w:rPr>
        <w:t>Roads</w:t>
      </w:r>
    </w:p>
    <w:p>
      <w:pPr>
        <w:pStyle w:val="BodyText"/>
        <w:spacing w:line="232" w:lineRule="auto" w:before="65"/>
        <w:ind w:left="360" w:right="1445"/>
      </w:pPr>
      <w:r>
        <w:rPr/>
        <w:t>Road densities vary across</w:t>
      </w:r>
      <w:r>
        <w:rPr>
          <w:spacing w:val="-2"/>
        </w:rPr>
        <w:t> </w:t>
      </w:r>
      <w:r>
        <w:rPr/>
        <w:t>the management area; however, there are no more than 2 miles of National</w:t>
      </w:r>
      <w:r>
        <w:rPr>
          <w:spacing w:val="-7"/>
        </w:rPr>
        <w:t> </w:t>
      </w:r>
      <w:r>
        <w:rPr/>
        <w:t>Forest</w:t>
      </w:r>
      <w:r>
        <w:rPr>
          <w:spacing w:val="-7"/>
        </w:rPr>
        <w:t> </w:t>
      </w:r>
      <w:r>
        <w:rPr/>
        <w:t>System</w:t>
      </w:r>
      <w:r>
        <w:rPr>
          <w:spacing w:val="-8"/>
        </w:rPr>
        <w:t> </w:t>
      </w:r>
      <w:r>
        <w:rPr/>
        <w:t>road</w:t>
      </w:r>
      <w:r>
        <w:rPr>
          <w:spacing w:val="-7"/>
        </w:rPr>
        <w:t> </w:t>
      </w:r>
      <w:r>
        <w:rPr/>
        <w:t>per</w:t>
      </w:r>
      <w:r>
        <w:rPr>
          <w:spacing w:val="-7"/>
        </w:rPr>
        <w:t> </w:t>
      </w:r>
      <w:r>
        <w:rPr/>
        <w:t>square</w:t>
      </w:r>
      <w:r>
        <w:rPr>
          <w:spacing w:val="-9"/>
        </w:rPr>
        <w:t> </w:t>
      </w:r>
      <w:r>
        <w:rPr/>
        <w:t>mile</w:t>
      </w:r>
      <w:r>
        <w:rPr>
          <w:spacing w:val="-7"/>
        </w:rPr>
        <w:t> </w:t>
      </w:r>
      <w:r>
        <w:rPr/>
        <w:t>within</w:t>
      </w:r>
      <w:r>
        <w:rPr>
          <w:spacing w:val="-8"/>
        </w:rPr>
        <w:t> </w:t>
      </w:r>
      <w:r>
        <w:rPr/>
        <w:t>the</w:t>
      </w:r>
      <w:r>
        <w:rPr>
          <w:spacing w:val="-7"/>
        </w:rPr>
        <w:t> </w:t>
      </w:r>
      <w:r>
        <w:rPr/>
        <w:t>General</w:t>
      </w:r>
      <w:r>
        <w:rPr>
          <w:spacing w:val="-10"/>
        </w:rPr>
        <w:t> </w:t>
      </w:r>
      <w:r>
        <w:rPr/>
        <w:t>Restoration</w:t>
      </w:r>
      <w:r>
        <w:rPr>
          <w:spacing w:val="-8"/>
        </w:rPr>
        <w:t> </w:t>
      </w:r>
      <w:r>
        <w:rPr/>
        <w:t>Management</w:t>
      </w:r>
      <w:r>
        <w:rPr>
          <w:spacing w:val="-7"/>
        </w:rPr>
        <w:t> </w:t>
      </w:r>
      <w:r>
        <w:rPr/>
        <w:t>Area within each subwatershed. Total road density is calculated as miles of National Forest System road per square mile of National Forest System lands. This road density calculation does not include roads under another jurisdiction,</w:t>
      </w:r>
      <w:r>
        <w:rPr>
          <w:spacing w:val="-1"/>
        </w:rPr>
        <w:t> </w:t>
      </w:r>
      <w:r>
        <w:rPr/>
        <w:t>or roads</w:t>
      </w:r>
      <w:r>
        <w:rPr>
          <w:spacing w:val="-1"/>
        </w:rPr>
        <w:t> </w:t>
      </w:r>
      <w:r>
        <w:rPr/>
        <w:t>that have been hydrologically stabilized and impassable to all vehicular traffic, or decommissioned.</w:t>
      </w:r>
    </w:p>
    <w:p>
      <w:pPr>
        <w:pStyle w:val="Heading4"/>
        <w:spacing w:before="234"/>
      </w:pPr>
      <w:bookmarkStart w:name="Guideline" w:id="642"/>
      <w:bookmarkEnd w:id="642"/>
      <w:r>
        <w:rPr/>
      </w:r>
      <w:bookmarkStart w:name="_bookmark197" w:id="643"/>
      <w:bookmarkEnd w:id="643"/>
      <w:r>
        <w:rPr/>
      </w:r>
      <w:r>
        <w:rPr>
          <w:spacing w:val="-2"/>
        </w:rPr>
        <w:t>Guideline</w:t>
      </w:r>
    </w:p>
    <w:p>
      <w:pPr>
        <w:spacing w:before="237"/>
        <w:ind w:left="360" w:right="0" w:firstLine="0"/>
        <w:jc w:val="left"/>
        <w:rPr>
          <w:rFonts w:ascii="Arial"/>
          <w:i/>
          <w:sz w:val="22"/>
        </w:rPr>
      </w:pPr>
      <w:bookmarkStart w:name="MA-GDL-GR-01. Roads" w:id="644"/>
      <w:bookmarkEnd w:id="644"/>
      <w:r>
        <w:rPr/>
      </w:r>
      <w:r>
        <w:rPr>
          <w:rFonts w:ascii="Arial"/>
          <w:i/>
          <w:sz w:val="22"/>
        </w:rPr>
        <w:t>MA-GDL-GR-01.</w:t>
      </w:r>
      <w:r>
        <w:rPr>
          <w:rFonts w:ascii="Arial"/>
          <w:i/>
          <w:spacing w:val="-13"/>
          <w:sz w:val="22"/>
        </w:rPr>
        <w:t> </w:t>
      </w:r>
      <w:r>
        <w:rPr>
          <w:rFonts w:ascii="Arial"/>
          <w:i/>
          <w:spacing w:val="-4"/>
          <w:sz w:val="22"/>
        </w:rPr>
        <w:t>Roads</w:t>
      </w:r>
    </w:p>
    <w:p>
      <w:pPr>
        <w:pStyle w:val="BodyText"/>
        <w:spacing w:line="232" w:lineRule="auto" w:before="67"/>
        <w:ind w:left="360" w:right="1621"/>
      </w:pPr>
      <w:r>
        <w:rPr/>
        <w:t>Limit potential road interactions with surface and sub-surface water by decreasing drainage density</w:t>
      </w:r>
      <w:r>
        <w:rPr>
          <w:spacing w:val="-5"/>
        </w:rPr>
        <w:t> </w:t>
      </w:r>
      <w:r>
        <w:rPr/>
        <w:t>and/or</w:t>
      </w:r>
      <w:r>
        <w:rPr>
          <w:spacing w:val="-6"/>
        </w:rPr>
        <w:t> </w:t>
      </w:r>
      <w:r>
        <w:rPr/>
        <w:t>accelerated</w:t>
      </w:r>
      <w:r>
        <w:rPr>
          <w:spacing w:val="-8"/>
        </w:rPr>
        <w:t> </w:t>
      </w:r>
      <w:r>
        <w:rPr/>
        <w:t>or</w:t>
      </w:r>
      <w:r>
        <w:rPr>
          <w:spacing w:val="-6"/>
        </w:rPr>
        <w:t> </w:t>
      </w:r>
      <w:r>
        <w:rPr/>
        <w:t>abnormal</w:t>
      </w:r>
      <w:r>
        <w:rPr>
          <w:spacing w:val="-8"/>
        </w:rPr>
        <w:t> </w:t>
      </w:r>
      <w:r>
        <w:rPr/>
        <w:t>hill</w:t>
      </w:r>
      <w:r>
        <w:rPr>
          <w:spacing w:val="-6"/>
        </w:rPr>
        <w:t> </w:t>
      </w:r>
      <w:r>
        <w:rPr/>
        <w:t>slope</w:t>
      </w:r>
      <w:r>
        <w:rPr>
          <w:spacing w:val="-7"/>
        </w:rPr>
        <w:t> </w:t>
      </w:r>
      <w:r>
        <w:rPr/>
        <w:t>failure.</w:t>
      </w:r>
      <w:r>
        <w:rPr>
          <w:spacing w:val="-6"/>
        </w:rPr>
        <w:t> </w:t>
      </w:r>
      <w:r>
        <w:rPr/>
        <w:t>When</w:t>
      </w:r>
      <w:r>
        <w:rPr>
          <w:spacing w:val="-7"/>
        </w:rPr>
        <w:t> </w:t>
      </w:r>
      <w:r>
        <w:rPr/>
        <w:t>constructing</w:t>
      </w:r>
      <w:r>
        <w:rPr>
          <w:spacing w:val="-7"/>
        </w:rPr>
        <w:t> </w:t>
      </w:r>
      <w:r>
        <w:rPr/>
        <w:t>or</w:t>
      </w:r>
      <w:r>
        <w:rPr>
          <w:spacing w:val="-7"/>
        </w:rPr>
        <w:t> </w:t>
      </w:r>
      <w:r>
        <w:rPr/>
        <w:t>reconstructing roads, do so in a hydraulic and geomorphic manner that provides watershed and sub-basin scale aquatic habitat connectivity and contributes to attainment of State water quality </w:t>
      </w:r>
      <w:r>
        <w:rPr>
          <w:spacing w:val="-2"/>
        </w:rPr>
        <w:t>standards.</w:t>
      </w:r>
    </w:p>
    <w:p>
      <w:pPr>
        <w:pStyle w:val="Heading4"/>
        <w:spacing w:before="234"/>
      </w:pPr>
      <w:bookmarkStart w:name="Suitable Uses" w:id="645"/>
      <w:bookmarkEnd w:id="645"/>
      <w:r>
        <w:rPr/>
      </w:r>
      <w:bookmarkStart w:name="_bookmark198" w:id="646"/>
      <w:bookmarkEnd w:id="646"/>
      <w:r>
        <w:rPr/>
      </w:r>
      <w:r>
        <w:rPr/>
        <w:t>Suitable</w:t>
      </w:r>
      <w:r>
        <w:rPr>
          <w:spacing w:val="-5"/>
        </w:rPr>
        <w:t> </w:t>
      </w:r>
      <w:r>
        <w:rPr>
          <w:spacing w:val="-4"/>
        </w:rPr>
        <w:t>Uses</w:t>
      </w:r>
    </w:p>
    <w:p>
      <w:pPr>
        <w:spacing w:before="237"/>
        <w:ind w:left="360" w:right="0" w:firstLine="0"/>
        <w:jc w:val="left"/>
        <w:rPr>
          <w:rFonts w:ascii="Arial"/>
          <w:i/>
          <w:sz w:val="22"/>
        </w:rPr>
      </w:pPr>
      <w:bookmarkStart w:name="MA-SU-GR-01. Suitable Uses" w:id="647"/>
      <w:bookmarkEnd w:id="647"/>
      <w:r>
        <w:rPr/>
      </w:r>
      <w:r>
        <w:rPr>
          <w:rFonts w:ascii="Arial"/>
          <w:i/>
          <w:sz w:val="22"/>
        </w:rPr>
        <w:t>MA-SU-GR-01.</w:t>
      </w:r>
      <w:r>
        <w:rPr>
          <w:rFonts w:ascii="Arial"/>
          <w:i/>
          <w:spacing w:val="-8"/>
          <w:sz w:val="22"/>
        </w:rPr>
        <w:t> </w:t>
      </w:r>
      <w:r>
        <w:rPr>
          <w:rFonts w:ascii="Arial"/>
          <w:i/>
          <w:sz w:val="22"/>
        </w:rPr>
        <w:t>Suitable</w:t>
      </w:r>
      <w:r>
        <w:rPr>
          <w:rFonts w:ascii="Arial"/>
          <w:i/>
          <w:spacing w:val="-10"/>
          <w:sz w:val="22"/>
        </w:rPr>
        <w:t> </w:t>
      </w:r>
      <w:r>
        <w:rPr>
          <w:rFonts w:ascii="Arial"/>
          <w:i/>
          <w:spacing w:val="-4"/>
          <w:sz w:val="22"/>
        </w:rPr>
        <w:t>Uses</w:t>
      </w:r>
    </w:p>
    <w:p>
      <w:pPr>
        <w:pStyle w:val="BodyText"/>
        <w:spacing w:before="107"/>
        <w:rPr>
          <w:rFonts w:ascii="Arial"/>
          <w:i/>
        </w:rPr>
      </w:pPr>
    </w:p>
    <w:p>
      <w:pPr>
        <w:spacing w:before="0" w:after="42"/>
        <w:ind w:left="360" w:right="0" w:firstLine="0"/>
        <w:jc w:val="left"/>
        <w:rPr>
          <w:rFonts w:ascii="Arial"/>
          <w:b/>
          <w:sz w:val="18"/>
        </w:rPr>
      </w:pPr>
      <w:bookmarkStart w:name="_bookmark199" w:id="648"/>
      <w:bookmarkEnd w:id="648"/>
      <w:r>
        <w:rPr/>
      </w:r>
      <w:r>
        <w:rPr>
          <w:rFonts w:ascii="Arial"/>
          <w:b/>
          <w:sz w:val="18"/>
        </w:rPr>
        <w:t>Table</w:t>
      </w:r>
      <w:r>
        <w:rPr>
          <w:rFonts w:ascii="Arial"/>
          <w:b/>
          <w:spacing w:val="-5"/>
          <w:sz w:val="18"/>
        </w:rPr>
        <w:t> </w:t>
      </w:r>
      <w:r>
        <w:rPr>
          <w:rFonts w:ascii="Arial"/>
          <w:b/>
          <w:sz w:val="18"/>
        </w:rPr>
        <w:t>22.</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2"/>
          <w:sz w:val="18"/>
        </w:rPr>
        <w:t> </w:t>
      </w:r>
      <w:r>
        <w:rPr>
          <w:rFonts w:ascii="Arial"/>
          <w:b/>
          <w:sz w:val="18"/>
        </w:rPr>
        <w:t>for</w:t>
      </w:r>
      <w:r>
        <w:rPr>
          <w:rFonts w:ascii="Arial"/>
          <w:b/>
          <w:spacing w:val="-5"/>
          <w:sz w:val="18"/>
        </w:rPr>
        <w:t> </w:t>
      </w:r>
      <w:r>
        <w:rPr>
          <w:rFonts w:ascii="Arial"/>
          <w:b/>
          <w:sz w:val="18"/>
        </w:rPr>
        <w:t>General</w:t>
      </w:r>
      <w:r>
        <w:rPr>
          <w:rFonts w:ascii="Arial"/>
          <w:b/>
          <w:spacing w:val="-2"/>
          <w:sz w:val="18"/>
        </w:rPr>
        <w:t> </w:t>
      </w:r>
      <w:r>
        <w:rPr>
          <w:rFonts w:ascii="Arial"/>
          <w:b/>
          <w:sz w:val="18"/>
        </w:rPr>
        <w:t>Restoration</w:t>
      </w:r>
      <w:r>
        <w:rPr>
          <w:rFonts w:ascii="Arial"/>
          <w:b/>
          <w:spacing w:val="-4"/>
          <w:sz w:val="18"/>
        </w:rPr>
        <w:t> </w:t>
      </w:r>
      <w:r>
        <w:rPr>
          <w:rFonts w:ascii="Arial"/>
          <w:b/>
          <w:sz w:val="18"/>
        </w:rPr>
        <w:t>Management</w:t>
      </w:r>
      <w:r>
        <w:rPr>
          <w:rFonts w:ascii="Arial"/>
          <w:b/>
          <w:spacing w:val="-3"/>
          <w:sz w:val="18"/>
        </w:rPr>
        <w:t> </w:t>
      </w:r>
      <w:r>
        <w:rPr>
          <w:rFonts w:ascii="Arial"/>
          <w:b/>
          <w:spacing w:val="-4"/>
          <w:sz w:val="18"/>
        </w:rPr>
        <w:t>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5300"/>
        <w:gridCol w:w="1449"/>
        <w:gridCol w:w="1799"/>
      </w:tblGrid>
      <w:tr>
        <w:trPr>
          <w:trHeight w:val="287" w:hRule="atLeast"/>
        </w:trPr>
        <w:tc>
          <w:tcPr>
            <w:tcW w:w="5300" w:type="dxa"/>
            <w:tcBorders>
              <w:right w:val="nil"/>
            </w:tcBorders>
            <w:shd w:val="clear" w:color="auto" w:fill="D5E2BB"/>
          </w:tcPr>
          <w:p>
            <w:pPr>
              <w:pStyle w:val="TableParagraph"/>
              <w:ind w:left="5"/>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449" w:type="dxa"/>
            <w:tcBorders>
              <w:left w:val="nil"/>
              <w:right w:val="nil"/>
            </w:tcBorders>
            <w:shd w:val="clear" w:color="auto" w:fill="D5E2BB"/>
          </w:tcPr>
          <w:p>
            <w:pPr>
              <w:pStyle w:val="TableParagraph"/>
              <w:ind w:left="10"/>
              <w:jc w:val="center"/>
              <w:rPr>
                <w:b/>
                <w:sz w:val="18"/>
              </w:rPr>
            </w:pPr>
            <w:r>
              <w:rPr>
                <w:b/>
                <w:sz w:val="18"/>
              </w:rPr>
              <w:t>May</w:t>
            </w:r>
            <w:r>
              <w:rPr>
                <w:b/>
                <w:spacing w:val="-9"/>
                <w:sz w:val="18"/>
              </w:rPr>
              <w:t> </w:t>
            </w:r>
            <w:r>
              <w:rPr>
                <w:b/>
                <w:spacing w:val="-2"/>
                <w:sz w:val="18"/>
              </w:rPr>
              <w:t>authorize</w:t>
            </w:r>
          </w:p>
        </w:tc>
        <w:tc>
          <w:tcPr>
            <w:tcW w:w="1799" w:type="dxa"/>
            <w:tcBorders>
              <w:left w:val="nil"/>
            </w:tcBorders>
            <w:shd w:val="clear" w:color="auto" w:fill="D5E2BB"/>
          </w:tcPr>
          <w:p>
            <w:pPr>
              <w:pStyle w:val="TableParagraph"/>
              <w:ind w:left="138"/>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5300" w:type="dxa"/>
            <w:tcBorders>
              <w:right w:val="nil"/>
            </w:tcBorders>
          </w:tcPr>
          <w:p>
            <w:pPr>
              <w:pStyle w:val="TableParagraph"/>
              <w:ind w:left="107"/>
              <w:rPr>
                <w:b/>
                <w:sz w:val="18"/>
              </w:rPr>
            </w:pPr>
            <w:r>
              <w:rPr>
                <w:b/>
                <w:sz w:val="18"/>
              </w:rPr>
              <w:t>Facilities,</w:t>
            </w:r>
            <w:r>
              <w:rPr>
                <w:b/>
                <w:spacing w:val="-5"/>
                <w:sz w:val="18"/>
              </w:rPr>
              <w:t> </w:t>
            </w:r>
            <w:r>
              <w:rPr>
                <w:b/>
                <w:spacing w:val="-2"/>
                <w:sz w:val="18"/>
              </w:rPr>
              <w:t>administrative</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4" w:hRule="atLeast"/>
        </w:trPr>
        <w:tc>
          <w:tcPr>
            <w:tcW w:w="5300"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spacing w:before="42"/>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449" w:type="dxa"/>
            <w:tcBorders>
              <w:left w:val="nil"/>
              <w:right w:val="nil"/>
            </w:tcBorders>
          </w:tcPr>
          <w:p>
            <w:pPr>
              <w:pStyle w:val="TableParagraph"/>
              <w:spacing w:before="42"/>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spacing w:before="42"/>
              <w:ind w:left="107"/>
              <w:rPr>
                <w:b/>
                <w:sz w:val="18"/>
              </w:rPr>
            </w:pPr>
            <w:r>
              <w:rPr>
                <w:b/>
                <w:sz w:val="18"/>
              </w:rPr>
              <w:t>Forest</w:t>
            </w:r>
            <w:r>
              <w:rPr>
                <w:b/>
                <w:spacing w:val="-3"/>
                <w:sz w:val="18"/>
              </w:rPr>
              <w:t> </w:t>
            </w:r>
            <w:r>
              <w:rPr>
                <w:b/>
                <w:sz w:val="18"/>
              </w:rPr>
              <w:t>products,</w:t>
            </w:r>
            <w:r>
              <w:rPr>
                <w:b/>
                <w:spacing w:val="-5"/>
                <w:sz w:val="18"/>
              </w:rPr>
              <w:t> </w:t>
            </w:r>
            <w:r>
              <w:rPr>
                <w:b/>
                <w:sz w:val="18"/>
              </w:rPr>
              <w:t>commercial</w:t>
            </w:r>
            <w:r>
              <w:rPr>
                <w:b/>
                <w:spacing w:val="-2"/>
                <w:sz w:val="18"/>
              </w:rPr>
              <w:t> </w:t>
            </w:r>
            <w:r>
              <w:rPr>
                <w:b/>
                <w:sz w:val="18"/>
              </w:rPr>
              <w:t>use</w:t>
            </w:r>
            <w:r>
              <w:rPr>
                <w:b/>
                <w:spacing w:val="-3"/>
                <w:sz w:val="18"/>
              </w:rPr>
              <w:t> </w:t>
            </w:r>
            <w:r>
              <w:rPr>
                <w:b/>
                <w:sz w:val="18"/>
              </w:rPr>
              <w:t>(non-timber</w:t>
            </w:r>
            <w:r>
              <w:rPr>
                <w:b/>
                <w:spacing w:val="-3"/>
                <w:sz w:val="18"/>
              </w:rPr>
              <w:t> </w:t>
            </w:r>
            <w:r>
              <w:rPr>
                <w:b/>
                <w:spacing w:val="-2"/>
                <w:sz w:val="18"/>
              </w:rPr>
              <w:t>harvest)</w:t>
            </w:r>
          </w:p>
        </w:tc>
        <w:tc>
          <w:tcPr>
            <w:tcW w:w="1449" w:type="dxa"/>
            <w:tcBorders>
              <w:left w:val="nil"/>
              <w:right w:val="nil"/>
            </w:tcBorders>
          </w:tcPr>
          <w:p>
            <w:pPr>
              <w:pStyle w:val="TableParagraph"/>
              <w:spacing w:before="42"/>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spacing w:before="42"/>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1449" w:type="dxa"/>
            <w:tcBorders>
              <w:left w:val="nil"/>
              <w:right w:val="nil"/>
            </w:tcBorders>
          </w:tcPr>
          <w:p>
            <w:pPr>
              <w:pStyle w:val="TableParagraph"/>
              <w:spacing w:before="42"/>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permitted</w:t>
            </w:r>
            <w:r>
              <w:rPr>
                <w:b/>
                <w:spacing w:val="-3"/>
                <w:sz w:val="18"/>
              </w:rPr>
              <w:t> </w:t>
            </w:r>
            <w:r>
              <w:rPr>
                <w:b/>
                <w:sz w:val="18"/>
              </w:rPr>
              <w:t>personal</w:t>
            </w:r>
            <w:r>
              <w:rPr>
                <w:b/>
                <w:spacing w:val="-3"/>
                <w:sz w:val="18"/>
              </w:rPr>
              <w:t> </w:t>
            </w:r>
            <w:r>
              <w:rPr>
                <w:b/>
                <w:spacing w:val="-5"/>
                <w:sz w:val="18"/>
              </w:rPr>
              <w:t>use</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700" w:hRule="atLeast"/>
        </w:trPr>
        <w:tc>
          <w:tcPr>
            <w:tcW w:w="5300" w:type="dxa"/>
            <w:tcBorders>
              <w:right w:val="nil"/>
            </w:tcBorders>
          </w:tcPr>
          <w:p>
            <w:pPr>
              <w:pStyle w:val="TableParagraph"/>
              <w:ind w:left="107"/>
              <w:rPr>
                <w:b/>
                <w:sz w:val="18"/>
              </w:rPr>
            </w:pPr>
            <w:r>
              <w:rPr>
                <w:b/>
                <w:sz w:val="18"/>
              </w:rPr>
              <w:t>Infrastructure,</w:t>
            </w:r>
            <w:r>
              <w:rPr>
                <w:b/>
                <w:spacing w:val="-8"/>
                <w:sz w:val="18"/>
              </w:rPr>
              <w:t> </w:t>
            </w:r>
            <w:r>
              <w:rPr>
                <w:b/>
                <w:sz w:val="18"/>
              </w:rPr>
              <w:t>above</w:t>
            </w:r>
            <w:r>
              <w:rPr>
                <w:b/>
                <w:spacing w:val="-7"/>
                <w:sz w:val="18"/>
              </w:rPr>
              <w:t> </w:t>
            </w:r>
            <w:r>
              <w:rPr>
                <w:b/>
                <w:sz w:val="18"/>
              </w:rPr>
              <w:t>ground</w:t>
            </w:r>
            <w:r>
              <w:rPr>
                <w:b/>
                <w:spacing w:val="-8"/>
                <w:sz w:val="18"/>
              </w:rPr>
              <w:t> </w:t>
            </w:r>
            <w:r>
              <w:rPr>
                <w:b/>
                <w:sz w:val="18"/>
              </w:rPr>
              <w:t>infrastructure</w:t>
            </w:r>
            <w:r>
              <w:rPr>
                <w:b/>
                <w:spacing w:val="-7"/>
                <w:sz w:val="18"/>
              </w:rPr>
              <w:t> </w:t>
            </w:r>
            <w:r>
              <w:rPr>
                <w:b/>
                <w:sz w:val="18"/>
              </w:rPr>
              <w:t>associated</w:t>
            </w:r>
            <w:r>
              <w:rPr>
                <w:b/>
                <w:spacing w:val="-9"/>
                <w:sz w:val="18"/>
              </w:rPr>
              <w:t> </w:t>
            </w:r>
            <w:r>
              <w:rPr>
                <w:b/>
                <w:sz w:val="18"/>
              </w:rPr>
              <w:t>with special use permits, such as communication sites, energy developments, and/or utility lines.</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spacing w:before="42"/>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449" w:type="dxa"/>
            <w:tcBorders>
              <w:left w:val="nil"/>
              <w:right w:val="nil"/>
            </w:tcBorders>
          </w:tcPr>
          <w:p>
            <w:pPr>
              <w:pStyle w:val="TableParagraph"/>
              <w:spacing w:before="42"/>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spacing w:before="42"/>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449" w:type="dxa"/>
            <w:tcBorders>
              <w:left w:val="nil"/>
              <w:right w:val="nil"/>
            </w:tcBorders>
          </w:tcPr>
          <w:p>
            <w:pPr>
              <w:pStyle w:val="TableParagraph"/>
              <w:spacing w:before="42"/>
              <w:ind w:left="10" w:right="7"/>
              <w:jc w:val="center"/>
              <w:rPr>
                <w:sz w:val="18"/>
              </w:rPr>
            </w:pPr>
            <w:r>
              <w:rPr>
                <w:spacing w:val="-5"/>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449" w:type="dxa"/>
            <w:tcBorders>
              <w:left w:val="nil"/>
              <w:right w:val="nil"/>
            </w:tcBorders>
          </w:tcPr>
          <w:p>
            <w:pPr>
              <w:pStyle w:val="TableParagraph"/>
              <w:ind w:left="10" w:right="4"/>
              <w:jc w:val="center"/>
              <w:rPr>
                <w:sz w:val="18"/>
              </w:rPr>
            </w:pPr>
            <w:r>
              <w:rPr>
                <w:spacing w:val="-5"/>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Motorized</w:t>
            </w:r>
            <w:r>
              <w:rPr>
                <w:b/>
                <w:spacing w:val="-6"/>
                <w:sz w:val="18"/>
              </w:rPr>
              <w:t> </w:t>
            </w:r>
            <w:r>
              <w:rPr>
                <w:b/>
                <w:sz w:val="18"/>
              </w:rPr>
              <w:t>recreational</w:t>
            </w:r>
            <w:r>
              <w:rPr>
                <w:b/>
                <w:spacing w:val="-5"/>
                <w:sz w:val="18"/>
              </w:rPr>
              <w:t> </w:t>
            </w:r>
            <w:r>
              <w:rPr>
                <w:b/>
                <w:sz w:val="18"/>
              </w:rPr>
              <w:t>use,</w:t>
            </w:r>
            <w:r>
              <w:rPr>
                <w:b/>
                <w:spacing w:val="-6"/>
                <w:sz w:val="18"/>
              </w:rPr>
              <w:t> </w:t>
            </w:r>
            <w:r>
              <w:rPr>
                <w:b/>
                <w:sz w:val="18"/>
              </w:rPr>
              <w:t>summer</w:t>
            </w:r>
            <w:r>
              <w:rPr>
                <w:b/>
                <w:spacing w:val="-5"/>
                <w:sz w:val="18"/>
              </w:rPr>
              <w:t> </w:t>
            </w:r>
            <w:r>
              <w:rPr>
                <w:b/>
                <w:sz w:val="18"/>
              </w:rPr>
              <w:t>trails,</w:t>
            </w:r>
            <w:r>
              <w:rPr>
                <w:b/>
                <w:spacing w:val="-6"/>
                <w:sz w:val="18"/>
              </w:rPr>
              <w:t> </w:t>
            </w:r>
            <w:r>
              <w:rPr>
                <w:b/>
                <w:sz w:val="18"/>
              </w:rPr>
              <w:t>or</w:t>
            </w:r>
            <w:r>
              <w:rPr>
                <w:b/>
                <w:spacing w:val="-5"/>
                <w:sz w:val="18"/>
              </w:rPr>
              <w:t> </w:t>
            </w:r>
            <w:r>
              <w:rPr>
                <w:b/>
                <w:sz w:val="18"/>
              </w:rPr>
              <w:t>play</w:t>
            </w:r>
            <w:r>
              <w:rPr>
                <w:b/>
                <w:spacing w:val="-12"/>
                <w:sz w:val="18"/>
              </w:rPr>
              <w:t> </w:t>
            </w:r>
            <w:r>
              <w:rPr>
                <w:b/>
                <w:spacing w:val="-2"/>
                <w:sz w:val="18"/>
              </w:rPr>
              <w:t>areas</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w:t>
            </w:r>
            <w:r>
              <w:rPr>
                <w:b/>
                <w:spacing w:val="-7"/>
                <w:sz w:val="18"/>
              </w:rPr>
              <w:t> </w:t>
            </w:r>
            <w:r>
              <w:rPr>
                <w:b/>
                <w:sz w:val="18"/>
              </w:rPr>
              <w:t>cross-</w:t>
            </w:r>
            <w:r>
              <w:rPr>
                <w:b/>
                <w:spacing w:val="-2"/>
                <w:sz w:val="18"/>
              </w:rPr>
              <w:t>country</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7" w:hRule="atLeast"/>
        </w:trPr>
        <w:tc>
          <w:tcPr>
            <w:tcW w:w="530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4" w:hRule="atLeast"/>
        </w:trPr>
        <w:tc>
          <w:tcPr>
            <w:tcW w:w="5300"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449" w:type="dxa"/>
            <w:tcBorders>
              <w:left w:val="nil"/>
              <w:right w:val="nil"/>
            </w:tcBorders>
          </w:tcPr>
          <w:p>
            <w:pPr>
              <w:pStyle w:val="TableParagraph"/>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r>
        <w:trPr>
          <w:trHeight w:val="289" w:hRule="atLeast"/>
        </w:trPr>
        <w:tc>
          <w:tcPr>
            <w:tcW w:w="5300" w:type="dxa"/>
            <w:tcBorders>
              <w:right w:val="nil"/>
            </w:tcBorders>
          </w:tcPr>
          <w:p>
            <w:pPr>
              <w:pStyle w:val="TableParagraph"/>
              <w:spacing w:before="42"/>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449" w:type="dxa"/>
            <w:tcBorders>
              <w:left w:val="nil"/>
              <w:right w:val="nil"/>
            </w:tcBorders>
          </w:tcPr>
          <w:p>
            <w:pPr>
              <w:pStyle w:val="TableParagraph"/>
              <w:spacing w:before="42"/>
              <w:ind w:left="10" w:right="2"/>
              <w:jc w:val="center"/>
              <w:rPr>
                <w:sz w:val="18"/>
              </w:rPr>
            </w:pPr>
            <w:r>
              <w:rPr>
                <w:spacing w:val="-10"/>
                <w:sz w:val="18"/>
              </w:rPr>
              <w:t>X</w:t>
            </w:r>
          </w:p>
        </w:tc>
        <w:tc>
          <w:tcPr>
            <w:tcW w:w="1799" w:type="dxa"/>
            <w:tcBorders>
              <w:left w:val="nil"/>
            </w:tcBorders>
          </w:tcPr>
          <w:p>
            <w:pPr>
              <w:pStyle w:val="TableParagraph"/>
              <w:spacing w:before="0"/>
              <w:rPr>
                <w:rFonts w:ascii="Times New Roman"/>
                <w:sz w:val="18"/>
              </w:rPr>
            </w:pPr>
          </w:p>
        </w:tc>
      </w:tr>
    </w:tbl>
    <w:p>
      <w:pPr>
        <w:pStyle w:val="TableParagraph"/>
        <w:spacing w:after="0"/>
        <w:rPr>
          <w:rFonts w:ascii="Times New Roman"/>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01"/>
        <w:gridCol w:w="2349"/>
        <w:gridCol w:w="1798"/>
      </w:tblGrid>
      <w:tr>
        <w:trPr>
          <w:trHeight w:val="287" w:hRule="atLeast"/>
        </w:trPr>
        <w:tc>
          <w:tcPr>
            <w:tcW w:w="4401" w:type="dxa"/>
            <w:tcBorders>
              <w:right w:val="nil"/>
            </w:tcBorders>
            <w:shd w:val="clear" w:color="auto" w:fill="D5E2BB"/>
          </w:tcPr>
          <w:p>
            <w:pPr>
              <w:pStyle w:val="TableParagraph"/>
              <w:ind w:left="2027"/>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349" w:type="dxa"/>
            <w:tcBorders>
              <w:left w:val="nil"/>
              <w:right w:val="nil"/>
            </w:tcBorders>
            <w:shd w:val="clear" w:color="auto" w:fill="D5E2BB"/>
          </w:tcPr>
          <w:p>
            <w:pPr>
              <w:pStyle w:val="TableParagraph"/>
              <w:ind w:left="913"/>
              <w:jc w:val="center"/>
              <w:rPr>
                <w:b/>
                <w:sz w:val="18"/>
              </w:rPr>
            </w:pPr>
            <w:r>
              <w:rPr>
                <w:b/>
                <w:sz w:val="18"/>
              </w:rPr>
              <w:t>May</w:t>
            </w:r>
            <w:r>
              <w:rPr>
                <w:b/>
                <w:spacing w:val="-9"/>
                <w:sz w:val="18"/>
              </w:rPr>
              <w:t> </w:t>
            </w:r>
            <w:r>
              <w:rPr>
                <w:b/>
                <w:spacing w:val="-2"/>
                <w:sz w:val="18"/>
              </w:rPr>
              <w:t>authorize</w:t>
            </w:r>
          </w:p>
        </w:tc>
        <w:tc>
          <w:tcPr>
            <w:tcW w:w="1798" w:type="dxa"/>
            <w:tcBorders>
              <w:left w:val="nil"/>
            </w:tcBorders>
            <w:shd w:val="clear" w:color="auto" w:fill="D5E2BB"/>
          </w:tcPr>
          <w:p>
            <w:pPr>
              <w:pStyle w:val="TableParagraph"/>
              <w:ind w:left="138"/>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401"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349" w:type="dxa"/>
            <w:tcBorders>
              <w:left w:val="nil"/>
              <w:right w:val="nil"/>
            </w:tcBorders>
          </w:tcPr>
          <w:p>
            <w:pPr>
              <w:pStyle w:val="TableParagraph"/>
              <w:ind w:left="913" w:right="2"/>
              <w:jc w:val="center"/>
              <w:rPr>
                <w:sz w:val="18"/>
              </w:rPr>
            </w:pPr>
            <w:r>
              <w:rPr>
                <w:spacing w:val="-10"/>
                <w:sz w:val="18"/>
              </w:rPr>
              <w:t>X</w:t>
            </w:r>
          </w:p>
        </w:tc>
        <w:tc>
          <w:tcPr>
            <w:tcW w:w="1798" w:type="dxa"/>
            <w:tcBorders>
              <w:left w:val="nil"/>
            </w:tcBorders>
          </w:tcPr>
          <w:p>
            <w:pPr>
              <w:pStyle w:val="TableParagraph"/>
              <w:spacing w:before="0"/>
              <w:rPr>
                <w:rFonts w:ascii="Times New Roman"/>
                <w:sz w:val="20"/>
              </w:rPr>
            </w:pPr>
          </w:p>
        </w:tc>
      </w:tr>
      <w:tr>
        <w:trPr>
          <w:trHeight w:val="287" w:hRule="atLeast"/>
        </w:trPr>
        <w:tc>
          <w:tcPr>
            <w:tcW w:w="4401"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349" w:type="dxa"/>
            <w:tcBorders>
              <w:left w:val="nil"/>
              <w:right w:val="nil"/>
            </w:tcBorders>
          </w:tcPr>
          <w:p>
            <w:pPr>
              <w:pStyle w:val="TableParagraph"/>
              <w:ind w:left="913" w:right="2"/>
              <w:jc w:val="center"/>
              <w:rPr>
                <w:sz w:val="18"/>
              </w:rPr>
            </w:pPr>
            <w:r>
              <w:rPr>
                <w:spacing w:val="-10"/>
                <w:sz w:val="18"/>
              </w:rPr>
              <w:t>X</w:t>
            </w:r>
          </w:p>
        </w:tc>
        <w:tc>
          <w:tcPr>
            <w:tcW w:w="1798" w:type="dxa"/>
            <w:tcBorders>
              <w:left w:val="nil"/>
            </w:tcBorders>
          </w:tcPr>
          <w:p>
            <w:pPr>
              <w:pStyle w:val="TableParagraph"/>
              <w:spacing w:before="0"/>
              <w:rPr>
                <w:rFonts w:ascii="Times New Roman"/>
                <w:sz w:val="20"/>
              </w:rPr>
            </w:pPr>
          </w:p>
        </w:tc>
      </w:tr>
      <w:tr>
        <w:trPr>
          <w:trHeight w:val="286" w:hRule="atLeast"/>
        </w:trPr>
        <w:tc>
          <w:tcPr>
            <w:tcW w:w="4401" w:type="dxa"/>
            <w:tcBorders>
              <w:bottom w:val="double" w:sz="6" w:space="0" w:color="9BBA58"/>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349" w:type="dxa"/>
            <w:tcBorders>
              <w:left w:val="nil"/>
              <w:bottom w:val="double" w:sz="6" w:space="0" w:color="9BBA58"/>
              <w:right w:val="nil"/>
            </w:tcBorders>
          </w:tcPr>
          <w:p>
            <w:pPr>
              <w:pStyle w:val="TableParagraph"/>
              <w:ind w:left="913" w:right="2"/>
              <w:jc w:val="center"/>
              <w:rPr>
                <w:sz w:val="18"/>
              </w:rPr>
            </w:pPr>
            <w:r>
              <w:rPr>
                <w:spacing w:val="-10"/>
                <w:sz w:val="18"/>
              </w:rPr>
              <w:t>X</w:t>
            </w:r>
          </w:p>
        </w:tc>
        <w:tc>
          <w:tcPr>
            <w:tcW w:w="1798" w:type="dxa"/>
            <w:tcBorders>
              <w:left w:val="nil"/>
              <w:bottom w:val="double" w:sz="6" w:space="0" w:color="9BBA58"/>
            </w:tcBorders>
          </w:tcPr>
          <w:p>
            <w:pPr>
              <w:pStyle w:val="TableParagraph"/>
              <w:spacing w:before="0"/>
              <w:rPr>
                <w:rFonts w:ascii="Times New Roman"/>
                <w:sz w:val="20"/>
              </w:rPr>
            </w:pPr>
          </w:p>
        </w:tc>
      </w:tr>
      <w:tr>
        <w:trPr>
          <w:trHeight w:val="286" w:hRule="atLeast"/>
        </w:trPr>
        <w:tc>
          <w:tcPr>
            <w:tcW w:w="4401" w:type="dxa"/>
            <w:tcBorders>
              <w:top w:val="double" w:sz="6" w:space="0" w:color="9BBA58"/>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349" w:type="dxa"/>
            <w:tcBorders>
              <w:top w:val="double" w:sz="6" w:space="0" w:color="9BBA58"/>
              <w:left w:val="nil"/>
              <w:right w:val="nil"/>
            </w:tcBorders>
          </w:tcPr>
          <w:p>
            <w:pPr>
              <w:pStyle w:val="TableParagraph"/>
              <w:ind w:left="913" w:right="2"/>
              <w:jc w:val="center"/>
              <w:rPr>
                <w:sz w:val="18"/>
              </w:rPr>
            </w:pPr>
            <w:r>
              <w:rPr>
                <w:spacing w:val="-10"/>
                <w:sz w:val="18"/>
              </w:rPr>
              <w:t>X</w:t>
            </w:r>
          </w:p>
        </w:tc>
        <w:tc>
          <w:tcPr>
            <w:tcW w:w="1798" w:type="dxa"/>
            <w:tcBorders>
              <w:top w:val="double" w:sz="6" w:space="0" w:color="9BBA58"/>
              <w:left w:val="nil"/>
            </w:tcBorders>
          </w:tcPr>
          <w:p>
            <w:pPr>
              <w:pStyle w:val="TableParagraph"/>
              <w:spacing w:before="0"/>
              <w:rPr>
                <w:rFonts w:ascii="Times New Roman"/>
                <w:sz w:val="20"/>
              </w:rPr>
            </w:pPr>
          </w:p>
        </w:tc>
      </w:tr>
    </w:tbl>
    <w:p>
      <w:pPr>
        <w:spacing w:before="40"/>
        <w:ind w:left="1151" w:right="80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1151"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spacing w:before="60"/>
        <w:rPr>
          <w:rFonts w:ascii="Arial"/>
          <w:sz w:val="16"/>
        </w:rPr>
      </w:pPr>
    </w:p>
    <w:p>
      <w:pPr>
        <w:pStyle w:val="Heading3"/>
      </w:pPr>
      <w:bookmarkStart w:name="Nationally Designated Trails (NT)" w:id="649"/>
      <w:bookmarkEnd w:id="649"/>
      <w:r>
        <w:rPr>
          <w:b w:val="0"/>
        </w:rPr>
      </w:r>
      <w:bookmarkStart w:name="_bookmark200" w:id="650"/>
      <w:bookmarkEnd w:id="650"/>
      <w:r>
        <w:rPr>
          <w:b w:val="0"/>
        </w:rPr>
      </w:r>
      <w:r>
        <w:rPr>
          <w:smallCaps/>
          <w:color w:val="475824"/>
        </w:rPr>
        <w:t>Nationally</w:t>
      </w:r>
      <w:r>
        <w:rPr>
          <w:smallCaps/>
          <w:color w:val="475824"/>
          <w:spacing w:val="-8"/>
        </w:rPr>
        <w:t> </w:t>
      </w:r>
      <w:r>
        <w:rPr>
          <w:smallCaps/>
          <w:color w:val="475824"/>
        </w:rPr>
        <w:t>Designated</w:t>
      </w:r>
      <w:r>
        <w:rPr>
          <w:smallCaps/>
          <w:color w:val="475824"/>
          <w:spacing w:val="-7"/>
        </w:rPr>
        <w:t> </w:t>
      </w:r>
      <w:r>
        <w:rPr>
          <w:smallCaps/>
          <w:color w:val="475824"/>
        </w:rPr>
        <w:t>Trails</w:t>
      </w:r>
      <w:r>
        <w:rPr>
          <w:smallCaps/>
          <w:color w:val="475824"/>
          <w:spacing w:val="-7"/>
        </w:rPr>
        <w:t> </w:t>
      </w:r>
      <w:r>
        <w:rPr>
          <w:smallCaps/>
          <w:color w:val="475824"/>
          <w:spacing w:val="-4"/>
        </w:rPr>
        <w:t>(NT)</w:t>
      </w:r>
    </w:p>
    <w:p>
      <w:pPr>
        <w:pStyle w:val="BodyText"/>
        <w:spacing w:before="117"/>
        <w:ind w:left="1512" w:right="801"/>
      </w:pPr>
      <w:r>
        <w:rPr/>
        <mc:AlternateContent>
          <mc:Choice Requires="wps">
            <w:drawing>
              <wp:anchor distT="0" distB="0" distL="0" distR="0" allowOverlap="1" layoutInCell="1" locked="0" behindDoc="1" simplePos="0" relativeHeight="474281472">
                <wp:simplePos x="0" y="0"/>
                <wp:positionH relativeFrom="page">
                  <wp:posOffset>1627632</wp:posOffset>
                </wp:positionH>
                <wp:positionV relativeFrom="paragraph">
                  <wp:posOffset>74922</wp:posOffset>
                </wp:positionV>
                <wp:extent cx="5248910" cy="5344795"/>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5248910" cy="5344795"/>
                        </a:xfrm>
                        <a:custGeom>
                          <a:avLst/>
                          <a:gdLst/>
                          <a:ahLst/>
                          <a:cxnLst/>
                          <a:rect l="l" t="t" r="r" b="b"/>
                          <a:pathLst>
                            <a:path w="5248910" h="5344795">
                              <a:moveTo>
                                <a:pt x="5248643" y="4832616"/>
                              </a:moveTo>
                              <a:lnTo>
                                <a:pt x="0" y="4832616"/>
                              </a:lnTo>
                              <a:lnTo>
                                <a:pt x="0" y="5003292"/>
                              </a:lnTo>
                              <a:lnTo>
                                <a:pt x="0" y="5173980"/>
                              </a:lnTo>
                              <a:lnTo>
                                <a:pt x="0" y="5344668"/>
                              </a:lnTo>
                              <a:lnTo>
                                <a:pt x="5248643" y="5344668"/>
                              </a:lnTo>
                              <a:lnTo>
                                <a:pt x="5248643" y="5173980"/>
                              </a:lnTo>
                              <a:lnTo>
                                <a:pt x="5248643" y="5003292"/>
                              </a:lnTo>
                              <a:lnTo>
                                <a:pt x="5248643" y="4832616"/>
                              </a:lnTo>
                              <a:close/>
                            </a:path>
                            <a:path w="5248910" h="5344795">
                              <a:moveTo>
                                <a:pt x="5248643" y="2122944"/>
                              </a:moveTo>
                              <a:lnTo>
                                <a:pt x="0" y="2122944"/>
                              </a:lnTo>
                              <a:lnTo>
                                <a:pt x="0" y="2293620"/>
                              </a:lnTo>
                              <a:lnTo>
                                <a:pt x="0" y="2464308"/>
                              </a:lnTo>
                              <a:lnTo>
                                <a:pt x="0" y="4832604"/>
                              </a:lnTo>
                              <a:lnTo>
                                <a:pt x="5248643" y="4832604"/>
                              </a:lnTo>
                              <a:lnTo>
                                <a:pt x="5248643" y="2293620"/>
                              </a:lnTo>
                              <a:lnTo>
                                <a:pt x="5248643" y="2122944"/>
                              </a:lnTo>
                              <a:close/>
                            </a:path>
                            <a:path w="5248910" h="5344795">
                              <a:moveTo>
                                <a:pt x="5248643" y="0"/>
                              </a:moveTo>
                              <a:lnTo>
                                <a:pt x="0" y="0"/>
                              </a:lnTo>
                              <a:lnTo>
                                <a:pt x="0" y="170688"/>
                              </a:lnTo>
                              <a:lnTo>
                                <a:pt x="0" y="341376"/>
                              </a:lnTo>
                              <a:lnTo>
                                <a:pt x="0" y="2122932"/>
                              </a:lnTo>
                              <a:lnTo>
                                <a:pt x="5248643" y="2122932"/>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899416pt;width:413.3pt;height:420.85pt;mso-position-horizontal-relative:page;mso-position-vertical-relative:paragraph;z-index:-29035008" id="docshape195" coordorigin="2563,118" coordsize="8266,8417" path="m10829,7728l2563,7728,2563,7997,2563,8266,2563,8535,10829,8535,10829,8266,10829,7997,10829,7728xm10829,3461l2563,3461,2563,3730,2563,3999,2563,4265,2563,4534,2563,4803,2563,5072,2563,5340,2563,5609,2563,5878,2563,6267,2563,6656,2563,6924,2563,7191,2563,7460,2563,7728,10829,7728,10829,7460,10829,7191,10829,6924,10829,6656,10829,6267,10829,5878,10829,5609,10829,5340,10829,5072,10829,4803,10829,4534,10829,4265,10829,3999,10829,3730,10829,3461xm10829,118l2563,118,2563,387,2563,656,2563,924,2563,1193,2563,1580,2563,1848,2563,2117,2563,2386,2563,2655,2563,2924,2563,3192,2563,3461,10829,3461,10829,3192,10829,2924,10829,2655,10829,2386,10829,2117,10829,1848,10829,1580,10829,1193,10829,924,10829,656,10829,387,10829,118xe" filled="true" fillcolor="#dfdfdf" stroked="false">
                <v:path arrowok="t"/>
                <v:fill type="solid"/>
                <w10:wrap type="none"/>
              </v:shape>
            </w:pict>
          </mc:Fallback>
        </mc:AlternateContent>
      </w:r>
      <w:r>
        <w:rPr/>
        <w:t>A national trail system was established by Congress in 1968, through the National Trails System Act. The</w:t>
      </w:r>
      <w:r>
        <w:rPr>
          <w:spacing w:val="-2"/>
        </w:rPr>
        <w:t> </w:t>
      </w:r>
      <w:r>
        <w:rPr/>
        <w:t>National Trails System</w:t>
      </w:r>
      <w:r>
        <w:rPr>
          <w:spacing w:val="-1"/>
        </w:rPr>
        <w:t> </w:t>
      </w:r>
      <w:r>
        <w:rPr/>
        <w:t>is</w:t>
      </w:r>
      <w:r>
        <w:rPr>
          <w:spacing w:val="-2"/>
        </w:rPr>
        <w:t> </w:t>
      </w:r>
      <w:r>
        <w:rPr/>
        <w:t>made up</w:t>
      </w:r>
      <w:r>
        <w:rPr>
          <w:spacing w:val="-3"/>
        </w:rPr>
        <w:t> </w:t>
      </w:r>
      <w:r>
        <w:rPr/>
        <w:t>of</w:t>
      </w:r>
      <w:r>
        <w:rPr>
          <w:spacing w:val="-2"/>
        </w:rPr>
        <w:t> </w:t>
      </w:r>
      <w:r>
        <w:rPr/>
        <w:t>National Scenic Trails</w:t>
      </w:r>
      <w:r>
        <w:rPr>
          <w:spacing w:val="-2"/>
        </w:rPr>
        <w:t> </w:t>
      </w:r>
      <w:r>
        <w:rPr/>
        <w:t>(NST), National Historic</w:t>
      </w:r>
      <w:r>
        <w:rPr>
          <w:spacing w:val="-4"/>
        </w:rPr>
        <w:t> </w:t>
      </w:r>
      <w:r>
        <w:rPr/>
        <w:t>Trails</w:t>
      </w:r>
      <w:r>
        <w:rPr>
          <w:spacing w:val="-3"/>
        </w:rPr>
        <w:t> </w:t>
      </w:r>
      <w:r>
        <w:rPr/>
        <w:t>(NHT),</w:t>
      </w:r>
      <w:r>
        <w:rPr>
          <w:spacing w:val="-3"/>
        </w:rPr>
        <w:t> </w:t>
      </w:r>
      <w:r>
        <w:rPr/>
        <w:t>National</w:t>
      </w:r>
      <w:r>
        <w:rPr>
          <w:spacing w:val="-3"/>
        </w:rPr>
        <w:t> </w:t>
      </w:r>
      <w:r>
        <w:rPr/>
        <w:t>Recreation</w:t>
      </w:r>
      <w:r>
        <w:rPr>
          <w:spacing w:val="-5"/>
        </w:rPr>
        <w:t> </w:t>
      </w:r>
      <w:r>
        <w:rPr/>
        <w:t>Trails</w:t>
      </w:r>
      <w:r>
        <w:rPr>
          <w:spacing w:val="-4"/>
        </w:rPr>
        <w:t> </w:t>
      </w:r>
      <w:r>
        <w:rPr/>
        <w:t>(NRT),</w:t>
      </w:r>
      <w:r>
        <w:rPr>
          <w:spacing w:val="-4"/>
        </w:rPr>
        <w:t> </w:t>
      </w:r>
      <w:r>
        <w:rPr/>
        <w:t>and</w:t>
      </w:r>
      <w:r>
        <w:rPr>
          <w:spacing w:val="-3"/>
        </w:rPr>
        <w:t> </w:t>
      </w:r>
      <w:r>
        <w:rPr/>
        <w:t>side/connecting</w:t>
      </w:r>
      <w:r>
        <w:rPr>
          <w:spacing w:val="-3"/>
        </w:rPr>
        <w:t> </w:t>
      </w:r>
      <w:r>
        <w:rPr/>
        <w:t>trails.</w:t>
      </w:r>
      <w:r>
        <w:rPr>
          <w:spacing w:val="-5"/>
        </w:rPr>
        <w:t> </w:t>
      </w:r>
      <w:r>
        <w:rPr/>
        <w:t>NSTs</w:t>
      </w:r>
      <w:r>
        <w:rPr>
          <w:spacing w:val="-3"/>
        </w:rPr>
        <w:t> </w:t>
      </w:r>
      <w:r>
        <w:rPr/>
        <w:t>and NHTs may only be designated by Congress. The Secretary of Agriculture may establish </w:t>
      </w:r>
      <w:r>
        <w:rPr>
          <w:spacing w:val="-2"/>
        </w:rPr>
        <w:t>NRTs.</w:t>
      </w:r>
    </w:p>
    <w:p>
      <w:pPr>
        <w:pStyle w:val="BodyText"/>
        <w:spacing w:before="119"/>
        <w:ind w:left="1512" w:right="744"/>
      </w:pPr>
      <w:r>
        <w:rPr/>
        <w:t>Congress designated</w:t>
      </w:r>
      <w:r>
        <w:rPr>
          <w:spacing w:val="-2"/>
        </w:rPr>
        <w:t> </w:t>
      </w:r>
      <w:r>
        <w:rPr/>
        <w:t>the</w:t>
      </w:r>
      <w:r>
        <w:rPr>
          <w:spacing w:val="-1"/>
        </w:rPr>
        <w:t> </w:t>
      </w:r>
      <w:r>
        <w:rPr/>
        <w:t>Pacific Northwest National Scenic Trail</w:t>
      </w:r>
      <w:r>
        <w:rPr>
          <w:spacing w:val="-2"/>
        </w:rPr>
        <w:t> </w:t>
      </w:r>
      <w:r>
        <w:rPr/>
        <w:t>(PNT) in the 2009 Omnibus Public</w:t>
      </w:r>
      <w:r>
        <w:rPr>
          <w:spacing w:val="-2"/>
        </w:rPr>
        <w:t> </w:t>
      </w:r>
      <w:r>
        <w:rPr/>
        <w:t>Land</w:t>
      </w:r>
      <w:r>
        <w:rPr>
          <w:spacing w:val="-5"/>
        </w:rPr>
        <w:t> </w:t>
      </w:r>
      <w:r>
        <w:rPr/>
        <w:t>Management</w:t>
      </w:r>
      <w:r>
        <w:rPr>
          <w:spacing w:val="-4"/>
        </w:rPr>
        <w:t> </w:t>
      </w:r>
      <w:r>
        <w:rPr/>
        <w:t>Act.</w:t>
      </w:r>
      <w:r>
        <w:rPr>
          <w:spacing w:val="-2"/>
        </w:rPr>
        <w:t> </w:t>
      </w:r>
      <w:r>
        <w:rPr/>
        <w:t>Approximately</w:t>
      </w:r>
      <w:r>
        <w:rPr>
          <w:spacing w:val="-3"/>
        </w:rPr>
        <w:t> </w:t>
      </w:r>
      <w:r>
        <w:rPr/>
        <w:t>197</w:t>
      </w:r>
      <w:r>
        <w:rPr>
          <w:spacing w:val="-3"/>
        </w:rPr>
        <w:t> </w:t>
      </w:r>
      <w:r>
        <w:rPr/>
        <w:t>miles</w:t>
      </w:r>
      <w:r>
        <w:rPr>
          <w:spacing w:val="-2"/>
        </w:rPr>
        <w:t> </w:t>
      </w:r>
      <w:r>
        <w:rPr/>
        <w:t>of</w:t>
      </w:r>
      <w:r>
        <w:rPr>
          <w:spacing w:val="-5"/>
        </w:rPr>
        <w:t> </w:t>
      </w:r>
      <w:r>
        <w:rPr/>
        <w:t>the</w:t>
      </w:r>
      <w:r>
        <w:rPr>
          <w:spacing w:val="-4"/>
        </w:rPr>
        <w:t> </w:t>
      </w:r>
      <w:r>
        <w:rPr/>
        <w:t>PNT</w:t>
      </w:r>
      <w:r>
        <w:rPr>
          <w:spacing w:val="-1"/>
        </w:rPr>
        <w:t> </w:t>
      </w:r>
      <w:r>
        <w:rPr/>
        <w:t>runs</w:t>
      </w:r>
      <w:r>
        <w:rPr>
          <w:spacing w:val="-4"/>
        </w:rPr>
        <w:t> </w:t>
      </w:r>
      <w:r>
        <w:rPr/>
        <w:t>through</w:t>
      </w:r>
      <w:r>
        <w:rPr>
          <w:spacing w:val="-3"/>
        </w:rPr>
        <w:t> </w:t>
      </w:r>
      <w:r>
        <w:rPr/>
        <w:t>the</w:t>
      </w:r>
      <w:r>
        <w:rPr>
          <w:spacing w:val="-1"/>
        </w:rPr>
        <w:t> </w:t>
      </w:r>
      <w:r>
        <w:rPr/>
        <w:t>Colville National Forest and private lands from the Washington/Idaho border west to the Forest’s boundary with the Okanogan/Wenatchee National Forest. Several sections of the PNT use existing trails on the Forest, such as the Kettle Crest National Recreation Trail, the Abercrombie Mountain Trail, and the Shedroof Divide National Recreation Trail. Numerous sections of the trail are also located on State, county, and National Forest System roads. A few sections require cross-country travel. Once the legislatively required Comprehensive Plan (and associated NEPA</w:t>
      </w:r>
      <w:r>
        <w:rPr>
          <w:spacing w:val="-1"/>
        </w:rPr>
        <w:t> </w:t>
      </w:r>
      <w:r>
        <w:rPr/>
        <w:t>analysis and decision) for the PNT is complete, work</w:t>
      </w:r>
      <w:r>
        <w:rPr>
          <w:spacing w:val="-2"/>
        </w:rPr>
        <w:t> </w:t>
      </w:r>
      <w:r>
        <w:rPr/>
        <w:t>will start to identify trail routes where none exist and, once trail construction is complete, move the trail off its existing road alignments.</w:t>
      </w:r>
      <w:hyperlink w:history="true" w:anchor="_bookmark201">
        <w:r>
          <w:rPr>
            <w:vertAlign w:val="superscript"/>
          </w:rPr>
          <w:t>20</w:t>
        </w:r>
      </w:hyperlink>
      <w:r>
        <w:rPr>
          <w:vertAlign w:val="baseline"/>
        </w:rPr>
        <w:t> The PNT’s Comprehensive Plan will include direction for the acquisition, management, development, and use of the PNT, and will undergo a separate NEPA evaluation. If this management direction is different from that in the Forest Plan, direction</w:t>
      </w:r>
      <w:r>
        <w:rPr>
          <w:spacing w:val="-1"/>
          <w:vertAlign w:val="baseline"/>
        </w:rPr>
        <w:t> </w:t>
      </w:r>
      <w:r>
        <w:rPr>
          <w:vertAlign w:val="baseline"/>
        </w:rPr>
        <w:t>from the Comprehensive</w:t>
      </w:r>
      <w:r>
        <w:rPr>
          <w:spacing w:val="-2"/>
          <w:vertAlign w:val="baseline"/>
        </w:rPr>
        <w:t> </w:t>
      </w:r>
      <w:r>
        <w:rPr>
          <w:vertAlign w:val="baseline"/>
        </w:rPr>
        <w:t>Plan</w:t>
      </w:r>
      <w:r>
        <w:rPr>
          <w:spacing w:val="-3"/>
          <w:vertAlign w:val="baseline"/>
        </w:rPr>
        <w:t> </w:t>
      </w:r>
      <w:r>
        <w:rPr>
          <w:vertAlign w:val="baseline"/>
        </w:rPr>
        <w:t>will take</w:t>
      </w:r>
      <w:r>
        <w:rPr>
          <w:spacing w:val="-2"/>
          <w:vertAlign w:val="baseline"/>
        </w:rPr>
        <w:t> </w:t>
      </w:r>
      <w:r>
        <w:rPr>
          <w:vertAlign w:val="baseline"/>
        </w:rPr>
        <w:t>precedence. While</w:t>
      </w:r>
      <w:r>
        <w:rPr>
          <w:spacing w:val="-2"/>
          <w:vertAlign w:val="baseline"/>
        </w:rPr>
        <w:t> </w:t>
      </w:r>
      <w:r>
        <w:rPr>
          <w:vertAlign w:val="baseline"/>
        </w:rPr>
        <w:t>efforts</w:t>
      </w:r>
      <w:r>
        <w:rPr>
          <w:spacing w:val="-1"/>
          <w:vertAlign w:val="baseline"/>
        </w:rPr>
        <w:t> </w:t>
      </w:r>
      <w:r>
        <w:rPr>
          <w:vertAlign w:val="baseline"/>
        </w:rPr>
        <w:t>have been taken to ensure management direction in the Forest Plan is consistent with the expected management direction in the Comprehensive Plan, it may be necessary to amend the</w:t>
      </w:r>
      <w:r>
        <w:rPr>
          <w:spacing w:val="40"/>
          <w:vertAlign w:val="baseline"/>
        </w:rPr>
        <w:t> </w:t>
      </w:r>
      <w:r>
        <w:rPr>
          <w:vertAlign w:val="baseline"/>
        </w:rPr>
        <w:t>Forest Plan to include specific direction from the final Comprehensive Plan.</w:t>
      </w:r>
    </w:p>
    <w:p>
      <w:pPr>
        <w:pStyle w:val="BodyText"/>
        <w:spacing w:before="122"/>
        <w:ind w:left="1512"/>
      </w:pPr>
      <w:hyperlink w:history="true" w:anchor="_bookmark202">
        <w:r>
          <w:rPr/>
          <w:t>Table</w:t>
        </w:r>
        <w:r>
          <w:rPr>
            <w:spacing w:val="-3"/>
          </w:rPr>
          <w:t> </w:t>
        </w:r>
        <w:r>
          <w:rPr/>
          <w:t>23</w:t>
        </w:r>
      </w:hyperlink>
      <w:r>
        <w:rPr>
          <w:spacing w:val="-3"/>
        </w:rPr>
        <w:t> </w:t>
      </w:r>
      <w:r>
        <w:rPr/>
        <w:t>displays</w:t>
      </w:r>
      <w:r>
        <w:rPr>
          <w:spacing w:val="-4"/>
        </w:rPr>
        <w:t> </w:t>
      </w:r>
      <w:r>
        <w:rPr/>
        <w:t>the</w:t>
      </w:r>
      <w:r>
        <w:rPr>
          <w:spacing w:val="-6"/>
        </w:rPr>
        <w:t> </w:t>
      </w:r>
      <w:r>
        <w:rPr/>
        <w:t>trails</w:t>
      </w:r>
      <w:r>
        <w:rPr>
          <w:spacing w:val="-8"/>
        </w:rPr>
        <w:t> </w:t>
      </w:r>
      <w:r>
        <w:rPr/>
        <w:t>that</w:t>
      </w:r>
      <w:r>
        <w:rPr>
          <w:spacing w:val="-3"/>
        </w:rPr>
        <w:t> </w:t>
      </w:r>
      <w:r>
        <w:rPr/>
        <w:t>are</w:t>
      </w:r>
      <w:r>
        <w:rPr>
          <w:spacing w:val="-6"/>
        </w:rPr>
        <w:t> </w:t>
      </w:r>
      <w:r>
        <w:rPr/>
        <w:t>nationally</w:t>
      </w:r>
      <w:r>
        <w:rPr>
          <w:spacing w:val="-3"/>
        </w:rPr>
        <w:t> </w:t>
      </w:r>
      <w:r>
        <w:rPr/>
        <w:t>designated</w:t>
      </w:r>
      <w:r>
        <w:rPr>
          <w:spacing w:val="-4"/>
        </w:rPr>
        <w:t> </w:t>
      </w:r>
      <w:r>
        <w:rPr/>
        <w:t>on</w:t>
      </w:r>
      <w:r>
        <w:rPr>
          <w:spacing w:val="-7"/>
        </w:rPr>
        <w:t> </w:t>
      </w:r>
      <w:r>
        <w:rPr/>
        <w:t>the</w:t>
      </w:r>
      <w:r>
        <w:rPr>
          <w:spacing w:val="-3"/>
        </w:rPr>
        <w:t> </w:t>
      </w:r>
      <w:r>
        <w:rPr/>
        <w:t>Colville</w:t>
      </w:r>
      <w:r>
        <w:rPr>
          <w:spacing w:val="-3"/>
        </w:rPr>
        <w:t> </w:t>
      </w:r>
      <w:r>
        <w:rPr/>
        <w:t>National</w:t>
      </w:r>
      <w:r>
        <w:rPr>
          <w:spacing w:val="-6"/>
        </w:rPr>
        <w:t> </w:t>
      </w:r>
      <w:r>
        <w:rPr>
          <w:spacing w:val="-2"/>
        </w:rPr>
        <w:t>Forest.</w:t>
      </w:r>
    </w:p>
    <w:p>
      <w:pPr>
        <w:pStyle w:val="BodyText"/>
        <w:spacing w:before="120"/>
        <w:ind w:left="1512" w:right="769"/>
      </w:pPr>
      <w:r>
        <w:rPr/>
        <w:t>Management direction is for all nationally designated trails located within the administrative boundaries of National Forest System lands. The corridor where management direction applies consists of the foreground viewing area, which is generally one-half mile in width either side of the centerline of the trail, including viewpoints, water sources,</w:t>
      </w:r>
      <w:r>
        <w:rPr>
          <w:spacing w:val="-3"/>
        </w:rPr>
        <w:t> </w:t>
      </w:r>
      <w:r>
        <w:rPr/>
        <w:t>campsites,</w:t>
      </w:r>
      <w:r>
        <w:rPr>
          <w:spacing w:val="-3"/>
        </w:rPr>
        <w:t> </w:t>
      </w:r>
      <w:r>
        <w:rPr/>
        <w:t>and</w:t>
      </w:r>
      <w:r>
        <w:rPr>
          <w:spacing w:val="-4"/>
        </w:rPr>
        <w:t> </w:t>
      </w:r>
      <w:r>
        <w:rPr/>
        <w:t>spur</w:t>
      </w:r>
      <w:r>
        <w:rPr>
          <w:spacing w:val="-3"/>
        </w:rPr>
        <w:t> </w:t>
      </w:r>
      <w:r>
        <w:rPr/>
        <w:t>trails</w:t>
      </w:r>
      <w:r>
        <w:rPr>
          <w:spacing w:val="-3"/>
        </w:rPr>
        <w:t> </w:t>
      </w:r>
      <w:r>
        <w:rPr/>
        <w:t>to</w:t>
      </w:r>
      <w:r>
        <w:rPr>
          <w:spacing w:val="-2"/>
        </w:rPr>
        <w:t> </w:t>
      </w:r>
      <w:r>
        <w:rPr/>
        <w:t>these</w:t>
      </w:r>
      <w:r>
        <w:rPr>
          <w:spacing w:val="-2"/>
        </w:rPr>
        <w:t> </w:t>
      </w:r>
      <w:r>
        <w:rPr/>
        <w:t>features.</w:t>
      </w:r>
      <w:r>
        <w:rPr>
          <w:spacing w:val="-6"/>
        </w:rPr>
        <w:t> </w:t>
      </w:r>
      <w:r>
        <w:rPr/>
        <w:t>Where</w:t>
      </w:r>
      <w:r>
        <w:rPr>
          <w:spacing w:val="-5"/>
        </w:rPr>
        <w:t> </w:t>
      </w:r>
      <w:r>
        <w:rPr/>
        <w:t>the</w:t>
      </w:r>
      <w:r>
        <w:rPr>
          <w:spacing w:val="-5"/>
        </w:rPr>
        <w:t> </w:t>
      </w:r>
      <w:r>
        <w:rPr/>
        <w:t>management</w:t>
      </w:r>
      <w:r>
        <w:rPr>
          <w:spacing w:val="-5"/>
        </w:rPr>
        <w:t> </w:t>
      </w:r>
      <w:r>
        <w:rPr/>
        <w:t>area</w:t>
      </w:r>
      <w:r>
        <w:rPr>
          <w:spacing w:val="-3"/>
        </w:rPr>
        <w:t> </w:t>
      </w:r>
      <w:r>
        <w:rPr/>
        <w:t>corridor overlaps with other management areas, such as wilderness or national scenic byways, the most protective management direction applies.</w:t>
      </w:r>
    </w:p>
    <w:p>
      <w:pPr>
        <w:pStyle w:val="BodyText"/>
        <w:rPr>
          <w:sz w:val="20"/>
        </w:rPr>
      </w:pPr>
    </w:p>
    <w:p>
      <w:pPr>
        <w:pStyle w:val="BodyText"/>
        <w:rPr>
          <w:sz w:val="20"/>
        </w:rPr>
      </w:pPr>
    </w:p>
    <w:p>
      <w:pPr>
        <w:pStyle w:val="BodyText"/>
        <w:rPr>
          <w:sz w:val="20"/>
        </w:rPr>
      </w:pPr>
    </w:p>
    <w:p>
      <w:pPr>
        <w:pStyle w:val="BodyText"/>
        <w:spacing w:before="113"/>
        <w:rPr>
          <w:sz w:val="20"/>
        </w:rPr>
      </w:pPr>
      <w:r>
        <w:rPr>
          <w:sz w:val="20"/>
        </w:rPr>
        <mc:AlternateContent>
          <mc:Choice Requires="wps">
            <w:drawing>
              <wp:anchor distT="0" distB="0" distL="0" distR="0" allowOverlap="1" layoutInCell="1" locked="0" behindDoc="1" simplePos="0" relativeHeight="487624192">
                <wp:simplePos x="0" y="0"/>
                <wp:positionH relativeFrom="page">
                  <wp:posOffset>1417319</wp:posOffset>
                </wp:positionH>
                <wp:positionV relativeFrom="paragraph">
                  <wp:posOffset>242142</wp:posOffset>
                </wp:positionV>
                <wp:extent cx="1828800" cy="7620"/>
                <wp:effectExtent l="0" t="0" r="0" b="0"/>
                <wp:wrapTopAndBottom/>
                <wp:docPr id="208" name="Graphic 208"/>
                <wp:cNvGraphicFramePr>
                  <a:graphicFrameLocks/>
                </wp:cNvGraphicFramePr>
                <a:graphic>
                  <a:graphicData uri="http://schemas.microsoft.com/office/word/2010/wordprocessingShape">
                    <wps:wsp>
                      <wps:cNvPr id="208" name="Graphic 208"/>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9.066319pt;width:144pt;height:.6pt;mso-position-horizontal-relative:page;mso-position-vertical-relative:paragraph;z-index:-15692288;mso-wrap-distance-left:0;mso-wrap-distance-right:0" id="docshape196" filled="true" fillcolor="#000000" stroked="false">
                <v:fill type="solid"/>
                <w10:wrap type="topAndBottom"/>
              </v:rect>
            </w:pict>
          </mc:Fallback>
        </mc:AlternateContent>
      </w:r>
    </w:p>
    <w:p>
      <w:pPr>
        <w:spacing w:before="95"/>
        <w:ind w:left="1152" w:right="801" w:hanging="1"/>
        <w:jc w:val="left"/>
        <w:rPr>
          <w:sz w:val="18"/>
        </w:rPr>
      </w:pPr>
      <w:bookmarkStart w:name="_bookmark201" w:id="651"/>
      <w:bookmarkEnd w:id="651"/>
      <w:r>
        <w:rPr/>
      </w:r>
      <w:r>
        <w:rPr>
          <w:position w:val="5"/>
          <w:sz w:val="12"/>
        </w:rPr>
        <w:t>20</w:t>
      </w:r>
      <w:r>
        <w:rPr>
          <w:spacing w:val="10"/>
          <w:position w:val="5"/>
          <w:sz w:val="12"/>
        </w:rPr>
        <w:t> </w:t>
      </w:r>
      <w:r>
        <w:rPr>
          <w:sz w:val="18"/>
        </w:rPr>
        <w:t>This</w:t>
      </w:r>
      <w:r>
        <w:rPr>
          <w:spacing w:val="-3"/>
          <w:sz w:val="18"/>
        </w:rPr>
        <w:t> </w:t>
      </w:r>
      <w:r>
        <w:rPr>
          <w:sz w:val="18"/>
        </w:rPr>
        <w:t>plan</w:t>
      </w:r>
      <w:r>
        <w:rPr>
          <w:spacing w:val="-1"/>
          <w:sz w:val="18"/>
        </w:rPr>
        <w:t> </w:t>
      </w:r>
      <w:r>
        <w:rPr>
          <w:sz w:val="18"/>
        </w:rPr>
        <w:t>is</w:t>
      </w:r>
      <w:r>
        <w:rPr>
          <w:spacing w:val="-3"/>
          <w:sz w:val="18"/>
        </w:rPr>
        <w:t> </w:t>
      </w:r>
      <w:r>
        <w:rPr>
          <w:sz w:val="18"/>
        </w:rPr>
        <w:t>consistent</w:t>
      </w:r>
      <w:r>
        <w:rPr>
          <w:spacing w:val="-3"/>
          <w:sz w:val="18"/>
        </w:rPr>
        <w:t> </w:t>
      </w:r>
      <w:r>
        <w:rPr>
          <w:sz w:val="18"/>
        </w:rPr>
        <w:t>with</w:t>
      </w:r>
      <w:r>
        <w:rPr>
          <w:spacing w:val="-3"/>
          <w:sz w:val="18"/>
        </w:rPr>
        <w:t> </w:t>
      </w:r>
      <w:r>
        <w:rPr>
          <w:sz w:val="18"/>
        </w:rPr>
        <w:t>on-going</w:t>
      </w:r>
      <w:r>
        <w:rPr>
          <w:spacing w:val="-3"/>
          <w:sz w:val="18"/>
        </w:rPr>
        <w:t> </w:t>
      </w:r>
      <w:r>
        <w:rPr>
          <w:sz w:val="18"/>
        </w:rPr>
        <w:t>work</w:t>
      </w:r>
      <w:r>
        <w:rPr>
          <w:spacing w:val="-3"/>
          <w:sz w:val="18"/>
        </w:rPr>
        <w:t> </w:t>
      </w:r>
      <w:r>
        <w:rPr>
          <w:sz w:val="18"/>
        </w:rPr>
        <w:t>to</w:t>
      </w:r>
      <w:r>
        <w:rPr>
          <w:spacing w:val="-1"/>
          <w:sz w:val="18"/>
        </w:rPr>
        <w:t> </w:t>
      </w:r>
      <w:r>
        <w:rPr>
          <w:sz w:val="18"/>
        </w:rPr>
        <w:t>develop</w:t>
      </w:r>
      <w:r>
        <w:rPr>
          <w:spacing w:val="-3"/>
          <w:sz w:val="18"/>
        </w:rPr>
        <w:t> </w:t>
      </w:r>
      <w:r>
        <w:rPr>
          <w:sz w:val="18"/>
        </w:rPr>
        <w:t>a</w:t>
      </w:r>
      <w:r>
        <w:rPr>
          <w:spacing w:val="-2"/>
          <w:sz w:val="18"/>
        </w:rPr>
        <w:t> </w:t>
      </w:r>
      <w:r>
        <w:rPr>
          <w:sz w:val="18"/>
        </w:rPr>
        <w:t>Comprehensive</w:t>
      </w:r>
      <w:r>
        <w:rPr>
          <w:spacing w:val="-3"/>
          <w:sz w:val="18"/>
        </w:rPr>
        <w:t> </w:t>
      </w:r>
      <w:r>
        <w:rPr>
          <w:sz w:val="18"/>
        </w:rPr>
        <w:t>Plan</w:t>
      </w:r>
      <w:r>
        <w:rPr>
          <w:spacing w:val="-3"/>
          <w:sz w:val="18"/>
        </w:rPr>
        <w:t> </w:t>
      </w:r>
      <w:r>
        <w:rPr>
          <w:sz w:val="18"/>
        </w:rPr>
        <w:t>for</w:t>
      </w:r>
      <w:r>
        <w:rPr>
          <w:spacing w:val="-3"/>
          <w:sz w:val="18"/>
        </w:rPr>
        <w:t> </w:t>
      </w:r>
      <w:r>
        <w:rPr>
          <w:sz w:val="18"/>
        </w:rPr>
        <w:t>the</w:t>
      </w:r>
      <w:r>
        <w:rPr>
          <w:spacing w:val="-3"/>
          <w:sz w:val="18"/>
        </w:rPr>
        <w:t> </w:t>
      </w:r>
      <w:r>
        <w:rPr>
          <w:sz w:val="18"/>
        </w:rPr>
        <w:t>PNT.</w:t>
      </w:r>
      <w:r>
        <w:rPr>
          <w:spacing w:val="-2"/>
          <w:sz w:val="18"/>
        </w:rPr>
        <w:t> </w:t>
      </w:r>
      <w:r>
        <w:rPr>
          <w:sz w:val="18"/>
        </w:rPr>
        <w:t>If</w:t>
      </w:r>
      <w:r>
        <w:rPr>
          <w:spacing w:val="-2"/>
          <w:sz w:val="18"/>
        </w:rPr>
        <w:t> </w:t>
      </w:r>
      <w:r>
        <w:rPr>
          <w:sz w:val="18"/>
        </w:rPr>
        <w:t>necessary,</w:t>
      </w:r>
      <w:r>
        <w:rPr>
          <w:spacing w:val="-2"/>
          <w:sz w:val="18"/>
        </w:rPr>
        <w:t> </w:t>
      </w:r>
      <w:r>
        <w:rPr>
          <w:sz w:val="18"/>
        </w:rPr>
        <w:t>this</w:t>
      </w:r>
      <w:r>
        <w:rPr>
          <w:spacing w:val="-3"/>
          <w:sz w:val="18"/>
        </w:rPr>
        <w:t> </w:t>
      </w:r>
      <w:r>
        <w:rPr>
          <w:sz w:val="18"/>
        </w:rPr>
        <w:t>Forest Plan may be amended in the future to incorporate a final Comprehensive Plan for the PNT.</w:t>
      </w:r>
    </w:p>
    <w:p>
      <w:pPr>
        <w:spacing w:after="0"/>
        <w:jc w:val="left"/>
        <w:rPr>
          <w:sz w:val="18"/>
        </w:rPr>
        <w:sectPr>
          <w:pgSz w:w="12240" w:h="15840"/>
          <w:pgMar w:header="725" w:footer="891" w:top="960" w:bottom="1080" w:left="1080" w:right="720"/>
        </w:sectPr>
      </w:pPr>
    </w:p>
    <w:p>
      <w:pPr>
        <w:pStyle w:val="BodyText"/>
        <w:rPr>
          <w:sz w:val="18"/>
        </w:rPr>
      </w:pPr>
    </w:p>
    <w:p>
      <w:pPr>
        <w:pStyle w:val="BodyText"/>
        <w:spacing w:before="34"/>
        <w:rPr>
          <w:sz w:val="18"/>
        </w:rPr>
      </w:pPr>
    </w:p>
    <w:p>
      <w:pPr>
        <w:spacing w:before="1" w:after="41"/>
        <w:ind w:left="360" w:right="0" w:firstLine="0"/>
        <w:jc w:val="left"/>
        <w:rPr>
          <w:rFonts w:ascii="Arial"/>
          <w:b/>
          <w:sz w:val="18"/>
        </w:rPr>
      </w:pPr>
      <w:bookmarkStart w:name="_bookmark202" w:id="652"/>
      <w:bookmarkEnd w:id="652"/>
      <w:r>
        <w:rPr/>
      </w:r>
      <w:r>
        <w:rPr>
          <w:rFonts w:ascii="Arial"/>
          <w:b/>
          <w:sz w:val="18"/>
        </w:rPr>
        <w:t>Table</w:t>
      </w:r>
      <w:r>
        <w:rPr>
          <w:rFonts w:ascii="Arial"/>
          <w:b/>
          <w:spacing w:val="-4"/>
          <w:sz w:val="18"/>
        </w:rPr>
        <w:t> </w:t>
      </w:r>
      <w:r>
        <w:rPr>
          <w:rFonts w:ascii="Arial"/>
          <w:b/>
          <w:sz w:val="18"/>
        </w:rPr>
        <w:t>23.</w:t>
      </w:r>
      <w:r>
        <w:rPr>
          <w:rFonts w:ascii="Arial"/>
          <w:b/>
          <w:spacing w:val="-1"/>
          <w:sz w:val="18"/>
        </w:rPr>
        <w:t> </w:t>
      </w:r>
      <w:r>
        <w:rPr>
          <w:rFonts w:ascii="Arial"/>
          <w:b/>
          <w:sz w:val="18"/>
        </w:rPr>
        <w:t>Nationally</w:t>
      </w:r>
      <w:r>
        <w:rPr>
          <w:rFonts w:ascii="Arial"/>
          <w:b/>
          <w:spacing w:val="-10"/>
          <w:sz w:val="18"/>
        </w:rPr>
        <w:t> </w:t>
      </w:r>
      <w:r>
        <w:rPr>
          <w:rFonts w:ascii="Arial"/>
          <w:b/>
          <w:sz w:val="18"/>
        </w:rPr>
        <w:t>designated</w:t>
      </w:r>
      <w:r>
        <w:rPr>
          <w:rFonts w:ascii="Arial"/>
          <w:b/>
          <w:spacing w:val="-2"/>
          <w:sz w:val="18"/>
        </w:rPr>
        <w:t> trails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688"/>
        <w:gridCol w:w="2499"/>
        <w:gridCol w:w="2354"/>
      </w:tblGrid>
      <w:tr>
        <w:trPr>
          <w:trHeight w:val="493" w:hRule="atLeast"/>
        </w:trPr>
        <w:tc>
          <w:tcPr>
            <w:tcW w:w="3688" w:type="dxa"/>
            <w:tcBorders>
              <w:right w:val="nil"/>
            </w:tcBorders>
            <w:shd w:val="clear" w:color="auto" w:fill="D5E2BB"/>
          </w:tcPr>
          <w:p>
            <w:pPr>
              <w:pStyle w:val="TableParagraph"/>
              <w:spacing w:before="142"/>
              <w:ind w:right="52"/>
              <w:jc w:val="center"/>
              <w:rPr>
                <w:b/>
                <w:sz w:val="18"/>
              </w:rPr>
            </w:pPr>
            <w:r>
              <w:rPr>
                <w:b/>
                <w:sz w:val="18"/>
              </w:rPr>
              <w:t>Trail</w:t>
            </w:r>
            <w:r>
              <w:rPr>
                <w:b/>
                <w:spacing w:val="-1"/>
                <w:sz w:val="18"/>
              </w:rPr>
              <w:t> </w:t>
            </w:r>
            <w:r>
              <w:rPr>
                <w:b/>
                <w:spacing w:val="-4"/>
                <w:sz w:val="18"/>
              </w:rPr>
              <w:t>name</w:t>
            </w:r>
          </w:p>
        </w:tc>
        <w:tc>
          <w:tcPr>
            <w:tcW w:w="2499" w:type="dxa"/>
            <w:tcBorders>
              <w:left w:val="nil"/>
              <w:right w:val="nil"/>
            </w:tcBorders>
            <w:shd w:val="clear" w:color="auto" w:fill="D5E2BB"/>
          </w:tcPr>
          <w:p>
            <w:pPr>
              <w:pStyle w:val="TableParagraph"/>
              <w:ind w:left="586" w:right="247" w:hanging="332"/>
              <w:rPr>
                <w:b/>
                <w:sz w:val="18"/>
              </w:rPr>
            </w:pPr>
            <w:r>
              <w:rPr>
                <w:b/>
                <w:sz w:val="18"/>
              </w:rPr>
              <w:t>Administrative</w:t>
            </w:r>
            <w:r>
              <w:rPr>
                <w:b/>
                <w:spacing w:val="-13"/>
                <w:sz w:val="18"/>
              </w:rPr>
              <w:t> </w:t>
            </w:r>
            <w:r>
              <w:rPr>
                <w:b/>
                <w:sz w:val="18"/>
              </w:rPr>
              <w:t>location (ranger district)</w:t>
            </w:r>
          </w:p>
        </w:tc>
        <w:tc>
          <w:tcPr>
            <w:tcW w:w="2354" w:type="dxa"/>
            <w:tcBorders>
              <w:left w:val="nil"/>
            </w:tcBorders>
            <w:shd w:val="clear" w:color="auto" w:fill="D5E2BB"/>
          </w:tcPr>
          <w:p>
            <w:pPr>
              <w:pStyle w:val="TableParagraph"/>
              <w:ind w:left="768" w:right="189" w:hanging="500"/>
              <w:rPr>
                <w:b/>
                <w:sz w:val="18"/>
              </w:rPr>
            </w:pPr>
            <w:r>
              <w:rPr>
                <w:b/>
                <w:sz w:val="18"/>
              </w:rPr>
              <w:t>Approximate</w:t>
            </w:r>
            <w:r>
              <w:rPr>
                <w:b/>
                <w:spacing w:val="-15"/>
                <w:sz w:val="18"/>
              </w:rPr>
              <w:t> </w:t>
            </w:r>
            <w:r>
              <w:rPr>
                <w:b/>
                <w:sz w:val="18"/>
              </w:rPr>
              <w:t>miles</w:t>
            </w:r>
            <w:r>
              <w:rPr>
                <w:b/>
                <w:spacing w:val="-12"/>
                <w:sz w:val="18"/>
              </w:rPr>
              <w:t> </w:t>
            </w:r>
            <w:r>
              <w:rPr>
                <w:b/>
                <w:sz w:val="18"/>
              </w:rPr>
              <w:t>on NFS lands</w:t>
            </w:r>
          </w:p>
        </w:tc>
      </w:tr>
      <w:tr>
        <w:trPr>
          <w:trHeight w:val="493" w:hRule="atLeast"/>
        </w:trPr>
        <w:tc>
          <w:tcPr>
            <w:tcW w:w="3688" w:type="dxa"/>
            <w:tcBorders>
              <w:right w:val="nil"/>
            </w:tcBorders>
          </w:tcPr>
          <w:p>
            <w:pPr>
              <w:pStyle w:val="TableParagraph"/>
              <w:ind w:left="107"/>
              <w:rPr>
                <w:b/>
                <w:sz w:val="18"/>
              </w:rPr>
            </w:pPr>
            <w:r>
              <w:rPr>
                <w:b/>
                <w:sz w:val="18"/>
              </w:rPr>
              <w:t>Pacific</w:t>
            </w:r>
            <w:r>
              <w:rPr>
                <w:b/>
                <w:spacing w:val="-8"/>
                <w:sz w:val="18"/>
              </w:rPr>
              <w:t> </w:t>
            </w:r>
            <w:r>
              <w:rPr>
                <w:b/>
                <w:sz w:val="18"/>
              </w:rPr>
              <w:t>Northwest</w:t>
            </w:r>
            <w:r>
              <w:rPr>
                <w:b/>
                <w:spacing w:val="-9"/>
                <w:sz w:val="18"/>
              </w:rPr>
              <w:t> </w:t>
            </w:r>
            <w:r>
              <w:rPr>
                <w:b/>
                <w:sz w:val="18"/>
              </w:rPr>
              <w:t>National</w:t>
            </w:r>
            <w:r>
              <w:rPr>
                <w:b/>
                <w:spacing w:val="-9"/>
                <w:sz w:val="18"/>
              </w:rPr>
              <w:t> </w:t>
            </w:r>
            <w:r>
              <w:rPr>
                <w:b/>
                <w:sz w:val="18"/>
              </w:rPr>
              <w:t>Scenic</w:t>
            </w:r>
            <w:r>
              <w:rPr>
                <w:b/>
                <w:spacing w:val="-10"/>
                <w:sz w:val="18"/>
              </w:rPr>
              <w:t> </w:t>
            </w:r>
            <w:r>
              <w:rPr>
                <w:b/>
                <w:sz w:val="18"/>
              </w:rPr>
              <w:t>Trail </w:t>
            </w:r>
            <w:r>
              <w:rPr>
                <w:b/>
                <w:spacing w:val="-2"/>
                <w:sz w:val="18"/>
              </w:rPr>
              <w:t>(NST)</w:t>
            </w:r>
          </w:p>
        </w:tc>
        <w:tc>
          <w:tcPr>
            <w:tcW w:w="2499" w:type="dxa"/>
            <w:tcBorders>
              <w:left w:val="nil"/>
              <w:right w:val="nil"/>
            </w:tcBorders>
          </w:tcPr>
          <w:p>
            <w:pPr>
              <w:pStyle w:val="TableParagraph"/>
              <w:ind w:left="5" w:right="2"/>
              <w:jc w:val="center"/>
              <w:rPr>
                <w:sz w:val="18"/>
              </w:rPr>
            </w:pPr>
            <w:r>
              <w:rPr>
                <w:spacing w:val="-2"/>
                <w:sz w:val="18"/>
              </w:rPr>
              <w:t>Forestwide</w:t>
            </w:r>
          </w:p>
        </w:tc>
        <w:tc>
          <w:tcPr>
            <w:tcW w:w="2354" w:type="dxa"/>
            <w:tcBorders>
              <w:left w:val="nil"/>
            </w:tcBorders>
          </w:tcPr>
          <w:p>
            <w:pPr>
              <w:pStyle w:val="TableParagraph"/>
              <w:ind w:left="77" w:right="2"/>
              <w:jc w:val="center"/>
              <w:rPr>
                <w:sz w:val="18"/>
              </w:rPr>
            </w:pPr>
            <w:r>
              <w:rPr>
                <w:spacing w:val="-5"/>
                <w:sz w:val="18"/>
              </w:rPr>
              <w:t>140</w:t>
            </w:r>
          </w:p>
        </w:tc>
      </w:tr>
      <w:tr>
        <w:trPr>
          <w:trHeight w:val="493" w:hRule="atLeast"/>
        </w:trPr>
        <w:tc>
          <w:tcPr>
            <w:tcW w:w="3688" w:type="dxa"/>
            <w:tcBorders>
              <w:right w:val="nil"/>
            </w:tcBorders>
          </w:tcPr>
          <w:p>
            <w:pPr>
              <w:pStyle w:val="TableParagraph"/>
              <w:ind w:left="107"/>
              <w:rPr>
                <w:b/>
                <w:sz w:val="18"/>
              </w:rPr>
            </w:pPr>
            <w:r>
              <w:rPr>
                <w:b/>
                <w:sz w:val="18"/>
              </w:rPr>
              <w:t>Kettle</w:t>
            </w:r>
            <w:r>
              <w:rPr>
                <w:b/>
                <w:spacing w:val="-8"/>
                <w:sz w:val="18"/>
              </w:rPr>
              <w:t> </w:t>
            </w:r>
            <w:r>
              <w:rPr>
                <w:b/>
                <w:sz w:val="18"/>
              </w:rPr>
              <w:t>Crest</w:t>
            </w:r>
            <w:r>
              <w:rPr>
                <w:b/>
                <w:spacing w:val="-9"/>
                <w:sz w:val="18"/>
              </w:rPr>
              <w:t> </w:t>
            </w:r>
            <w:r>
              <w:rPr>
                <w:b/>
                <w:sz w:val="18"/>
              </w:rPr>
              <w:t>National</w:t>
            </w:r>
            <w:r>
              <w:rPr>
                <w:b/>
                <w:spacing w:val="-9"/>
                <w:sz w:val="18"/>
              </w:rPr>
              <w:t> </w:t>
            </w:r>
            <w:r>
              <w:rPr>
                <w:b/>
                <w:sz w:val="18"/>
              </w:rPr>
              <w:t>Recreation</w:t>
            </w:r>
            <w:r>
              <w:rPr>
                <w:b/>
                <w:spacing w:val="-9"/>
                <w:sz w:val="18"/>
              </w:rPr>
              <w:t> </w:t>
            </w:r>
            <w:r>
              <w:rPr>
                <w:b/>
                <w:sz w:val="18"/>
              </w:rPr>
              <w:t>Trail </w:t>
            </w:r>
            <w:r>
              <w:rPr>
                <w:b/>
                <w:spacing w:val="-2"/>
                <w:sz w:val="18"/>
              </w:rPr>
              <w:t>(NRT)</w:t>
            </w:r>
          </w:p>
        </w:tc>
        <w:tc>
          <w:tcPr>
            <w:tcW w:w="2499" w:type="dxa"/>
            <w:tcBorders>
              <w:left w:val="nil"/>
              <w:right w:val="nil"/>
            </w:tcBorders>
          </w:tcPr>
          <w:p>
            <w:pPr>
              <w:pStyle w:val="TableParagraph"/>
              <w:spacing w:before="42"/>
              <w:ind w:left="5" w:right="1"/>
              <w:jc w:val="center"/>
              <w:rPr>
                <w:sz w:val="18"/>
              </w:rPr>
            </w:pPr>
            <w:r>
              <w:rPr>
                <w:sz w:val="18"/>
              </w:rPr>
              <w:t>Republic/Three</w:t>
            </w:r>
            <w:r>
              <w:rPr>
                <w:spacing w:val="-8"/>
                <w:sz w:val="18"/>
              </w:rPr>
              <w:t> </w:t>
            </w:r>
            <w:r>
              <w:rPr>
                <w:spacing w:val="-2"/>
                <w:sz w:val="18"/>
              </w:rPr>
              <w:t>Rivers</w:t>
            </w:r>
          </w:p>
        </w:tc>
        <w:tc>
          <w:tcPr>
            <w:tcW w:w="2354" w:type="dxa"/>
            <w:tcBorders>
              <w:left w:val="nil"/>
            </w:tcBorders>
          </w:tcPr>
          <w:p>
            <w:pPr>
              <w:pStyle w:val="TableParagraph"/>
              <w:spacing w:before="42"/>
              <w:ind w:left="77" w:right="2"/>
              <w:jc w:val="center"/>
              <w:rPr>
                <w:sz w:val="18"/>
              </w:rPr>
            </w:pPr>
            <w:r>
              <w:rPr>
                <w:spacing w:val="-5"/>
                <w:sz w:val="18"/>
              </w:rPr>
              <w:t>44</w:t>
            </w:r>
          </w:p>
        </w:tc>
      </w:tr>
      <w:tr>
        <w:trPr>
          <w:trHeight w:val="287" w:hRule="atLeast"/>
        </w:trPr>
        <w:tc>
          <w:tcPr>
            <w:tcW w:w="3688" w:type="dxa"/>
            <w:tcBorders>
              <w:right w:val="nil"/>
            </w:tcBorders>
          </w:tcPr>
          <w:p>
            <w:pPr>
              <w:pStyle w:val="TableParagraph"/>
              <w:spacing w:before="42"/>
              <w:ind w:left="107"/>
              <w:rPr>
                <w:b/>
                <w:sz w:val="18"/>
              </w:rPr>
            </w:pPr>
            <w:r>
              <w:rPr>
                <w:b/>
                <w:sz w:val="18"/>
              </w:rPr>
              <w:t>Pass</w:t>
            </w:r>
            <w:r>
              <w:rPr>
                <w:b/>
                <w:spacing w:val="-1"/>
                <w:sz w:val="18"/>
              </w:rPr>
              <w:t> </w:t>
            </w:r>
            <w:r>
              <w:rPr>
                <w:b/>
                <w:sz w:val="18"/>
              </w:rPr>
              <w:t>Creek-Grassy</w:t>
            </w:r>
            <w:r>
              <w:rPr>
                <w:b/>
                <w:spacing w:val="-9"/>
                <w:sz w:val="18"/>
              </w:rPr>
              <w:t> </w:t>
            </w:r>
            <w:r>
              <w:rPr>
                <w:b/>
                <w:sz w:val="18"/>
              </w:rPr>
              <w:t>Top</w:t>
            </w:r>
            <w:r>
              <w:rPr>
                <w:b/>
                <w:spacing w:val="-2"/>
                <w:sz w:val="18"/>
              </w:rPr>
              <w:t> </w:t>
            </w:r>
            <w:r>
              <w:rPr>
                <w:b/>
                <w:spacing w:val="-4"/>
                <w:sz w:val="18"/>
              </w:rPr>
              <w:t>(NRT)</w:t>
            </w:r>
          </w:p>
        </w:tc>
        <w:tc>
          <w:tcPr>
            <w:tcW w:w="2499" w:type="dxa"/>
            <w:tcBorders>
              <w:left w:val="nil"/>
              <w:right w:val="nil"/>
            </w:tcBorders>
          </w:tcPr>
          <w:p>
            <w:pPr>
              <w:pStyle w:val="TableParagraph"/>
              <w:spacing w:before="42"/>
              <w:ind w:left="5"/>
              <w:jc w:val="center"/>
              <w:rPr>
                <w:sz w:val="18"/>
              </w:rPr>
            </w:pPr>
            <w:r>
              <w:rPr>
                <w:sz w:val="18"/>
              </w:rPr>
              <w:t>Sullivan</w:t>
            </w:r>
            <w:r>
              <w:rPr>
                <w:spacing w:val="-7"/>
                <w:sz w:val="18"/>
              </w:rPr>
              <w:t> </w:t>
            </w:r>
            <w:r>
              <w:rPr>
                <w:spacing w:val="-4"/>
                <w:sz w:val="18"/>
              </w:rPr>
              <w:t>Lake</w:t>
            </w:r>
          </w:p>
        </w:tc>
        <w:tc>
          <w:tcPr>
            <w:tcW w:w="2354" w:type="dxa"/>
            <w:tcBorders>
              <w:left w:val="nil"/>
            </w:tcBorders>
          </w:tcPr>
          <w:p>
            <w:pPr>
              <w:pStyle w:val="TableParagraph"/>
              <w:spacing w:before="42"/>
              <w:ind w:left="77"/>
              <w:jc w:val="center"/>
              <w:rPr>
                <w:sz w:val="18"/>
              </w:rPr>
            </w:pPr>
            <w:r>
              <w:rPr>
                <w:spacing w:val="-5"/>
                <w:sz w:val="18"/>
              </w:rPr>
              <w:t>7.8</w:t>
            </w:r>
          </w:p>
        </w:tc>
      </w:tr>
      <w:tr>
        <w:trPr>
          <w:trHeight w:val="287" w:hRule="atLeast"/>
        </w:trPr>
        <w:tc>
          <w:tcPr>
            <w:tcW w:w="3688" w:type="dxa"/>
            <w:tcBorders>
              <w:right w:val="nil"/>
            </w:tcBorders>
          </w:tcPr>
          <w:p>
            <w:pPr>
              <w:pStyle w:val="TableParagraph"/>
              <w:spacing w:before="42"/>
              <w:ind w:left="107"/>
              <w:rPr>
                <w:b/>
                <w:sz w:val="18"/>
              </w:rPr>
            </w:pPr>
            <w:r>
              <w:rPr>
                <w:b/>
                <w:sz w:val="18"/>
              </w:rPr>
              <w:t>Shedroof</w:t>
            </w:r>
            <w:r>
              <w:rPr>
                <w:b/>
                <w:spacing w:val="-4"/>
                <w:sz w:val="18"/>
              </w:rPr>
              <w:t> </w:t>
            </w:r>
            <w:r>
              <w:rPr>
                <w:b/>
                <w:sz w:val="18"/>
              </w:rPr>
              <w:t>Divide</w:t>
            </w:r>
            <w:r>
              <w:rPr>
                <w:b/>
                <w:spacing w:val="-2"/>
                <w:sz w:val="18"/>
              </w:rPr>
              <w:t> </w:t>
            </w:r>
            <w:r>
              <w:rPr>
                <w:b/>
                <w:spacing w:val="-4"/>
                <w:sz w:val="18"/>
              </w:rPr>
              <w:t>(NRT)</w:t>
            </w:r>
          </w:p>
        </w:tc>
        <w:tc>
          <w:tcPr>
            <w:tcW w:w="2499" w:type="dxa"/>
            <w:tcBorders>
              <w:left w:val="nil"/>
              <w:right w:val="nil"/>
            </w:tcBorders>
          </w:tcPr>
          <w:p>
            <w:pPr>
              <w:pStyle w:val="TableParagraph"/>
              <w:spacing w:before="42"/>
              <w:ind w:left="5"/>
              <w:jc w:val="center"/>
              <w:rPr>
                <w:sz w:val="18"/>
              </w:rPr>
            </w:pPr>
            <w:r>
              <w:rPr>
                <w:sz w:val="18"/>
              </w:rPr>
              <w:t>Sullivan</w:t>
            </w:r>
            <w:r>
              <w:rPr>
                <w:spacing w:val="-7"/>
                <w:sz w:val="18"/>
              </w:rPr>
              <w:t> </w:t>
            </w:r>
            <w:r>
              <w:rPr>
                <w:spacing w:val="-4"/>
                <w:sz w:val="18"/>
              </w:rPr>
              <w:t>Lake</w:t>
            </w:r>
          </w:p>
        </w:tc>
        <w:tc>
          <w:tcPr>
            <w:tcW w:w="2354" w:type="dxa"/>
            <w:tcBorders>
              <w:left w:val="nil"/>
            </w:tcBorders>
          </w:tcPr>
          <w:p>
            <w:pPr>
              <w:pStyle w:val="TableParagraph"/>
              <w:spacing w:before="42"/>
              <w:ind w:left="77"/>
              <w:jc w:val="center"/>
              <w:rPr>
                <w:sz w:val="18"/>
              </w:rPr>
            </w:pPr>
            <w:r>
              <w:rPr>
                <w:spacing w:val="-4"/>
                <w:sz w:val="18"/>
              </w:rPr>
              <w:t>21.8</w:t>
            </w:r>
          </w:p>
        </w:tc>
      </w:tr>
      <w:tr>
        <w:trPr>
          <w:trHeight w:val="287" w:hRule="atLeast"/>
        </w:trPr>
        <w:tc>
          <w:tcPr>
            <w:tcW w:w="3688" w:type="dxa"/>
            <w:tcBorders>
              <w:right w:val="nil"/>
            </w:tcBorders>
          </w:tcPr>
          <w:p>
            <w:pPr>
              <w:pStyle w:val="TableParagraph"/>
              <w:spacing w:before="42"/>
              <w:ind w:left="107"/>
              <w:rPr>
                <w:b/>
                <w:sz w:val="18"/>
              </w:rPr>
            </w:pPr>
            <w:r>
              <w:rPr>
                <w:b/>
                <w:sz w:val="18"/>
              </w:rPr>
              <w:t>Lakeshore</w:t>
            </w:r>
            <w:r>
              <w:rPr>
                <w:b/>
                <w:spacing w:val="-3"/>
                <w:sz w:val="18"/>
              </w:rPr>
              <w:t> </w:t>
            </w:r>
            <w:r>
              <w:rPr>
                <w:b/>
                <w:sz w:val="18"/>
              </w:rPr>
              <w:t>(aka,</w:t>
            </w:r>
            <w:r>
              <w:rPr>
                <w:b/>
                <w:spacing w:val="-3"/>
                <w:sz w:val="18"/>
              </w:rPr>
              <w:t> </w:t>
            </w:r>
            <w:r>
              <w:rPr>
                <w:b/>
                <w:sz w:val="18"/>
              </w:rPr>
              <w:t>Sullivan</w:t>
            </w:r>
            <w:r>
              <w:rPr>
                <w:b/>
                <w:spacing w:val="-3"/>
                <w:sz w:val="18"/>
              </w:rPr>
              <w:t> </w:t>
            </w:r>
            <w:r>
              <w:rPr>
                <w:b/>
                <w:sz w:val="18"/>
              </w:rPr>
              <w:t>Lake)</w:t>
            </w:r>
            <w:r>
              <w:rPr>
                <w:b/>
                <w:spacing w:val="-3"/>
                <w:sz w:val="18"/>
              </w:rPr>
              <w:t> </w:t>
            </w:r>
            <w:r>
              <w:rPr>
                <w:b/>
                <w:spacing w:val="-4"/>
                <w:sz w:val="18"/>
              </w:rPr>
              <w:t>(NRT)</w:t>
            </w:r>
          </w:p>
        </w:tc>
        <w:tc>
          <w:tcPr>
            <w:tcW w:w="2499" w:type="dxa"/>
            <w:tcBorders>
              <w:left w:val="nil"/>
              <w:right w:val="nil"/>
            </w:tcBorders>
          </w:tcPr>
          <w:p>
            <w:pPr>
              <w:pStyle w:val="TableParagraph"/>
              <w:spacing w:before="42"/>
              <w:ind w:left="5"/>
              <w:jc w:val="center"/>
              <w:rPr>
                <w:sz w:val="18"/>
              </w:rPr>
            </w:pPr>
            <w:r>
              <w:rPr>
                <w:sz w:val="18"/>
              </w:rPr>
              <w:t>Sullivan</w:t>
            </w:r>
            <w:r>
              <w:rPr>
                <w:spacing w:val="-7"/>
                <w:sz w:val="18"/>
              </w:rPr>
              <w:t> </w:t>
            </w:r>
            <w:r>
              <w:rPr>
                <w:spacing w:val="-4"/>
                <w:sz w:val="18"/>
              </w:rPr>
              <w:t>Lake</w:t>
            </w:r>
          </w:p>
        </w:tc>
        <w:tc>
          <w:tcPr>
            <w:tcW w:w="2354" w:type="dxa"/>
            <w:tcBorders>
              <w:left w:val="nil"/>
            </w:tcBorders>
          </w:tcPr>
          <w:p>
            <w:pPr>
              <w:pStyle w:val="TableParagraph"/>
              <w:spacing w:before="42"/>
              <w:ind w:left="77"/>
              <w:jc w:val="center"/>
              <w:rPr>
                <w:sz w:val="18"/>
              </w:rPr>
            </w:pPr>
            <w:r>
              <w:rPr>
                <w:spacing w:val="-5"/>
                <w:sz w:val="18"/>
              </w:rPr>
              <w:t>4.3</w:t>
            </w:r>
          </w:p>
        </w:tc>
      </w:tr>
    </w:tbl>
    <w:p>
      <w:pPr>
        <w:pStyle w:val="BodyText"/>
        <w:spacing w:before="35"/>
        <w:rPr>
          <w:rFonts w:ascii="Arial"/>
          <w:b/>
          <w:sz w:val="18"/>
        </w:rPr>
      </w:pPr>
    </w:p>
    <w:p>
      <w:pPr>
        <w:pStyle w:val="Heading4"/>
      </w:pPr>
      <w:bookmarkStart w:name="Desired Conditions" w:id="653"/>
      <w:bookmarkEnd w:id="653"/>
      <w:r>
        <w:rPr/>
      </w:r>
      <w:bookmarkStart w:name="_bookmark203" w:id="654"/>
      <w:bookmarkEnd w:id="654"/>
      <w:r>
        <w:rPr/>
      </w:r>
      <w:r>
        <w:rPr/>
        <w:t>Desired</w:t>
      </w:r>
      <w:r>
        <w:rPr>
          <w:spacing w:val="-4"/>
        </w:rPr>
        <w:t> </w:t>
      </w:r>
      <w:r>
        <w:rPr>
          <w:spacing w:val="-2"/>
        </w:rPr>
        <w:t>Conditions</w:t>
      </w:r>
    </w:p>
    <w:p>
      <w:pPr>
        <w:spacing w:before="239"/>
        <w:ind w:left="360" w:right="0" w:firstLine="0"/>
        <w:jc w:val="left"/>
        <w:rPr>
          <w:rFonts w:ascii="Arial"/>
          <w:i/>
          <w:sz w:val="22"/>
        </w:rPr>
      </w:pPr>
      <w:bookmarkStart w:name="MA-DC-NT-01. National Recreation Trails" w:id="655"/>
      <w:bookmarkEnd w:id="655"/>
      <w:r>
        <w:rPr/>
      </w:r>
      <w:r>
        <w:rPr>
          <w:rFonts w:ascii="Arial"/>
          <w:i/>
          <w:sz w:val="22"/>
        </w:rPr>
        <w:t>MA-DC-NT-01.</w:t>
      </w:r>
      <w:r>
        <w:rPr>
          <w:rFonts w:ascii="Arial"/>
          <w:i/>
          <w:spacing w:val="-8"/>
          <w:sz w:val="22"/>
        </w:rPr>
        <w:t> </w:t>
      </w:r>
      <w:r>
        <w:rPr>
          <w:rFonts w:ascii="Arial"/>
          <w:i/>
          <w:sz w:val="22"/>
        </w:rPr>
        <w:t>National</w:t>
      </w:r>
      <w:r>
        <w:rPr>
          <w:rFonts w:ascii="Arial"/>
          <w:i/>
          <w:spacing w:val="-11"/>
          <w:sz w:val="22"/>
        </w:rPr>
        <w:t> </w:t>
      </w:r>
      <w:r>
        <w:rPr>
          <w:rFonts w:ascii="Arial"/>
          <w:i/>
          <w:sz w:val="22"/>
        </w:rPr>
        <w:t>Recreation</w:t>
      </w:r>
      <w:r>
        <w:rPr>
          <w:rFonts w:ascii="Arial"/>
          <w:i/>
          <w:spacing w:val="-9"/>
          <w:sz w:val="22"/>
        </w:rPr>
        <w:t> </w:t>
      </w:r>
      <w:r>
        <w:rPr>
          <w:rFonts w:ascii="Arial"/>
          <w:i/>
          <w:spacing w:val="-2"/>
          <w:sz w:val="22"/>
        </w:rPr>
        <w:t>Trails</w:t>
      </w:r>
    </w:p>
    <w:p>
      <w:pPr>
        <w:pStyle w:val="BodyText"/>
        <w:spacing w:line="232" w:lineRule="auto" w:before="67"/>
        <w:ind w:left="359" w:right="1445"/>
      </w:pPr>
      <w:r>
        <w:rPr/>
        <w:t>National</w:t>
      </w:r>
      <w:r>
        <w:rPr>
          <w:spacing w:val="-8"/>
        </w:rPr>
        <w:t> </w:t>
      </w:r>
      <w:r>
        <w:rPr/>
        <w:t>recreation</w:t>
      </w:r>
      <w:r>
        <w:rPr>
          <w:spacing w:val="-10"/>
        </w:rPr>
        <w:t> </w:t>
      </w:r>
      <w:r>
        <w:rPr/>
        <w:t>trails</w:t>
      </w:r>
      <w:r>
        <w:rPr>
          <w:spacing w:val="-8"/>
        </w:rPr>
        <w:t> </w:t>
      </w:r>
      <w:r>
        <w:rPr/>
        <w:t>administered</w:t>
      </w:r>
      <w:r>
        <w:rPr>
          <w:spacing w:val="-9"/>
        </w:rPr>
        <w:t> </w:t>
      </w:r>
      <w:r>
        <w:rPr/>
        <w:t>by</w:t>
      </w:r>
      <w:r>
        <w:rPr>
          <w:spacing w:val="-7"/>
        </w:rPr>
        <w:t> </w:t>
      </w:r>
      <w:r>
        <w:rPr/>
        <w:t>the</w:t>
      </w:r>
      <w:r>
        <w:rPr>
          <w:spacing w:val="-7"/>
        </w:rPr>
        <w:t> </w:t>
      </w:r>
      <w:r>
        <w:rPr/>
        <w:t>Colville</w:t>
      </w:r>
      <w:r>
        <w:rPr>
          <w:spacing w:val="-11"/>
        </w:rPr>
        <w:t> </w:t>
      </w:r>
      <w:r>
        <w:rPr/>
        <w:t>National</w:t>
      </w:r>
      <w:r>
        <w:rPr>
          <w:spacing w:val="-8"/>
        </w:rPr>
        <w:t> </w:t>
      </w:r>
      <w:r>
        <w:rPr/>
        <w:t>Forest</w:t>
      </w:r>
      <w:r>
        <w:rPr>
          <w:spacing w:val="-7"/>
        </w:rPr>
        <w:t> </w:t>
      </w:r>
      <w:r>
        <w:rPr/>
        <w:t>are</w:t>
      </w:r>
      <w:r>
        <w:rPr>
          <w:spacing w:val="-7"/>
        </w:rPr>
        <w:t> </w:t>
      </w:r>
      <w:r>
        <w:rPr/>
        <w:t>predominantly</w:t>
      </w:r>
      <w:r>
        <w:rPr>
          <w:spacing w:val="-7"/>
        </w:rPr>
        <w:t> </w:t>
      </w:r>
      <w:r>
        <w:rPr/>
        <w:t>located on</w:t>
      </w:r>
      <w:r>
        <w:rPr>
          <w:spacing w:val="-5"/>
        </w:rPr>
        <w:t> </w:t>
      </w:r>
      <w:r>
        <w:rPr/>
        <w:t>National</w:t>
      </w:r>
      <w:r>
        <w:rPr>
          <w:spacing w:val="-7"/>
        </w:rPr>
        <w:t> </w:t>
      </w:r>
      <w:r>
        <w:rPr/>
        <w:t>Forest</w:t>
      </w:r>
      <w:r>
        <w:rPr>
          <w:spacing w:val="-6"/>
        </w:rPr>
        <w:t> </w:t>
      </w:r>
      <w:r>
        <w:rPr/>
        <w:t>System</w:t>
      </w:r>
      <w:r>
        <w:rPr>
          <w:spacing w:val="-3"/>
        </w:rPr>
        <w:t> </w:t>
      </w:r>
      <w:r>
        <w:rPr/>
        <w:t>lands</w:t>
      </w:r>
      <w:r>
        <w:rPr>
          <w:spacing w:val="-4"/>
        </w:rPr>
        <w:t> </w:t>
      </w:r>
      <w:r>
        <w:rPr/>
        <w:t>and</w:t>
      </w:r>
      <w:r>
        <w:rPr>
          <w:spacing w:val="-5"/>
        </w:rPr>
        <w:t> </w:t>
      </w:r>
      <w:r>
        <w:rPr/>
        <w:t>may</w:t>
      </w:r>
      <w:r>
        <w:rPr>
          <w:spacing w:val="-5"/>
        </w:rPr>
        <w:t> </w:t>
      </w:r>
      <w:r>
        <w:rPr/>
        <w:t>cross</w:t>
      </w:r>
      <w:r>
        <w:rPr>
          <w:spacing w:val="-6"/>
        </w:rPr>
        <w:t> </w:t>
      </w:r>
      <w:r>
        <w:rPr/>
        <w:t>a</w:t>
      </w:r>
      <w:r>
        <w:rPr>
          <w:spacing w:val="-4"/>
        </w:rPr>
        <w:t> </w:t>
      </w:r>
      <w:r>
        <w:rPr/>
        <w:t>number</w:t>
      </w:r>
      <w:r>
        <w:rPr>
          <w:spacing w:val="-4"/>
        </w:rPr>
        <w:t> </w:t>
      </w:r>
      <w:r>
        <w:rPr/>
        <w:t>of</w:t>
      </w:r>
      <w:r>
        <w:rPr>
          <w:spacing w:val="-6"/>
        </w:rPr>
        <w:t> </w:t>
      </w:r>
      <w:r>
        <w:rPr/>
        <w:t>jurisdictions</w:t>
      </w:r>
      <w:r>
        <w:rPr>
          <w:spacing w:val="-6"/>
        </w:rPr>
        <w:t> </w:t>
      </w:r>
      <w:r>
        <w:rPr/>
        <w:t>and</w:t>
      </w:r>
      <w:r>
        <w:rPr>
          <w:spacing w:val="-5"/>
        </w:rPr>
        <w:t> </w:t>
      </w:r>
      <w:r>
        <w:rPr/>
        <w:t>private</w:t>
      </w:r>
      <w:r>
        <w:rPr>
          <w:spacing w:val="-3"/>
        </w:rPr>
        <w:t> </w:t>
      </w:r>
      <w:r>
        <w:rPr/>
        <w:t>land</w:t>
      </w:r>
      <w:r>
        <w:rPr>
          <w:spacing w:val="-5"/>
        </w:rPr>
        <w:t> </w:t>
      </w:r>
      <w:r>
        <w:rPr/>
        <w:t>where the</w:t>
      </w:r>
      <w:r>
        <w:rPr>
          <w:spacing w:val="-1"/>
        </w:rPr>
        <w:t> </w:t>
      </w:r>
      <w:r>
        <w:rPr/>
        <w:t>Forest</w:t>
      </w:r>
      <w:r>
        <w:rPr>
          <w:spacing w:val="-1"/>
        </w:rPr>
        <w:t> </w:t>
      </w:r>
      <w:r>
        <w:rPr/>
        <w:t>Service</w:t>
      </w:r>
      <w:r>
        <w:rPr>
          <w:spacing w:val="-4"/>
        </w:rPr>
        <w:t> </w:t>
      </w:r>
      <w:r>
        <w:rPr/>
        <w:t>may</w:t>
      </w:r>
      <w:r>
        <w:rPr>
          <w:spacing w:val="-1"/>
        </w:rPr>
        <w:t> </w:t>
      </w:r>
      <w:r>
        <w:rPr/>
        <w:t>hold</w:t>
      </w:r>
      <w:r>
        <w:rPr>
          <w:spacing w:val="-3"/>
        </w:rPr>
        <w:t> </w:t>
      </w:r>
      <w:r>
        <w:rPr/>
        <w:t>legal</w:t>
      </w:r>
      <w:r>
        <w:rPr>
          <w:spacing w:val="-2"/>
        </w:rPr>
        <w:t> </w:t>
      </w:r>
      <w:r>
        <w:rPr/>
        <w:t>easements</w:t>
      </w:r>
      <w:r>
        <w:rPr>
          <w:spacing w:val="-2"/>
        </w:rPr>
        <w:t> </w:t>
      </w:r>
      <w:r>
        <w:rPr/>
        <w:t>for</w:t>
      </w:r>
      <w:r>
        <w:rPr>
          <w:spacing w:val="-2"/>
        </w:rPr>
        <w:t> </w:t>
      </w:r>
      <w:r>
        <w:rPr/>
        <w:t>access</w:t>
      </w:r>
      <w:r>
        <w:rPr>
          <w:spacing w:val="-2"/>
        </w:rPr>
        <w:t> </w:t>
      </w:r>
      <w:r>
        <w:rPr/>
        <w:t>and</w:t>
      </w:r>
      <w:r>
        <w:rPr>
          <w:spacing w:val="-3"/>
        </w:rPr>
        <w:t> </w:t>
      </w:r>
      <w:r>
        <w:rPr/>
        <w:t>trail</w:t>
      </w:r>
      <w:r>
        <w:rPr>
          <w:spacing w:val="-2"/>
        </w:rPr>
        <w:t> </w:t>
      </w:r>
      <w:r>
        <w:rPr/>
        <w:t>protection.</w:t>
      </w:r>
      <w:r>
        <w:rPr>
          <w:spacing w:val="-2"/>
        </w:rPr>
        <w:t> </w:t>
      </w:r>
      <w:r>
        <w:rPr/>
        <w:t>The</w:t>
      </w:r>
      <w:r>
        <w:rPr>
          <w:spacing w:val="-4"/>
        </w:rPr>
        <w:t> </w:t>
      </w:r>
      <w:r>
        <w:rPr/>
        <w:t>trails</w:t>
      </w:r>
      <w:r>
        <w:rPr>
          <w:spacing w:val="-2"/>
        </w:rPr>
        <w:t> </w:t>
      </w:r>
      <w:r>
        <w:rPr/>
        <w:t>outside</w:t>
      </w:r>
      <w:r>
        <w:rPr>
          <w:spacing w:val="-4"/>
        </w:rPr>
        <w:t> </w:t>
      </w:r>
      <w:r>
        <w:rPr/>
        <w:t>of wilderness</w:t>
      </w:r>
      <w:r>
        <w:rPr>
          <w:spacing w:val="-6"/>
        </w:rPr>
        <w:t> </w:t>
      </w:r>
      <w:r>
        <w:rPr/>
        <w:t>are</w:t>
      </w:r>
      <w:r>
        <w:rPr>
          <w:spacing w:val="-6"/>
        </w:rPr>
        <w:t> </w:t>
      </w:r>
      <w:r>
        <w:rPr/>
        <w:t>clearly</w:t>
      </w:r>
      <w:r>
        <w:rPr>
          <w:spacing w:val="-5"/>
        </w:rPr>
        <w:t> </w:t>
      </w:r>
      <w:r>
        <w:rPr/>
        <w:t>marked</w:t>
      </w:r>
      <w:r>
        <w:rPr>
          <w:spacing w:val="-5"/>
        </w:rPr>
        <w:t> </w:t>
      </w:r>
      <w:r>
        <w:rPr/>
        <w:t>and</w:t>
      </w:r>
      <w:r>
        <w:rPr>
          <w:spacing w:val="-5"/>
        </w:rPr>
        <w:t> </w:t>
      </w:r>
      <w:r>
        <w:rPr/>
        <w:t>identified</w:t>
      </w:r>
      <w:r>
        <w:rPr>
          <w:spacing w:val="-5"/>
        </w:rPr>
        <w:t> </w:t>
      </w:r>
      <w:r>
        <w:rPr/>
        <w:t>for</w:t>
      </w:r>
      <w:r>
        <w:rPr>
          <w:spacing w:val="-4"/>
        </w:rPr>
        <w:t> </w:t>
      </w:r>
      <w:r>
        <w:rPr/>
        <w:t>users</w:t>
      </w:r>
      <w:r>
        <w:rPr>
          <w:spacing w:val="-6"/>
        </w:rPr>
        <w:t> </w:t>
      </w:r>
      <w:r>
        <w:rPr/>
        <w:t>with</w:t>
      </w:r>
      <w:r>
        <w:rPr>
          <w:spacing w:val="-5"/>
        </w:rPr>
        <w:t> </w:t>
      </w:r>
      <w:r>
        <w:rPr/>
        <w:t>the</w:t>
      </w:r>
      <w:r>
        <w:rPr>
          <w:spacing w:val="-6"/>
        </w:rPr>
        <w:t> </w:t>
      </w:r>
      <w:r>
        <w:rPr/>
        <w:t>national</w:t>
      </w:r>
      <w:r>
        <w:rPr>
          <w:spacing w:val="-7"/>
        </w:rPr>
        <w:t> </w:t>
      </w:r>
      <w:r>
        <w:rPr/>
        <w:t>recreation</w:t>
      </w:r>
      <w:r>
        <w:rPr>
          <w:spacing w:val="-5"/>
        </w:rPr>
        <w:t> </w:t>
      </w:r>
      <w:r>
        <w:rPr/>
        <w:t>or</w:t>
      </w:r>
      <w:r>
        <w:rPr>
          <w:spacing w:val="-4"/>
        </w:rPr>
        <w:t> </w:t>
      </w:r>
      <w:r>
        <w:rPr/>
        <w:t>scenic</w:t>
      </w:r>
      <w:r>
        <w:rPr>
          <w:spacing w:val="-4"/>
        </w:rPr>
        <w:t> </w:t>
      </w:r>
      <w:r>
        <w:rPr/>
        <w:t>trail service mark, especially at junctions with side trails and each trail’s termini. Access allows for public use, interpretation, and education in a manner that does not impair the feature(s) for which the trails were established. Vistas seen from the trails in areas outside wilderness are retained through the removal of vegetation.</w:t>
      </w:r>
    </w:p>
    <w:p>
      <w:pPr>
        <w:pStyle w:val="BodyText"/>
        <w:spacing w:line="232" w:lineRule="auto" w:before="197"/>
        <w:ind w:left="360" w:right="1148"/>
      </w:pPr>
      <w:r>
        <w:rPr/>
        <w:t>National recreation trails meet the maintenance standards for the designated trail class and managed</w:t>
      </w:r>
      <w:r>
        <w:rPr>
          <w:spacing w:val="-6"/>
        </w:rPr>
        <w:t> </w:t>
      </w:r>
      <w:r>
        <w:rPr/>
        <w:t>use,</w:t>
      </w:r>
      <w:r>
        <w:rPr>
          <w:spacing w:val="-7"/>
        </w:rPr>
        <w:t> </w:t>
      </w:r>
      <w:r>
        <w:rPr/>
        <w:t>and,</w:t>
      </w:r>
      <w:r>
        <w:rPr>
          <w:spacing w:val="-5"/>
        </w:rPr>
        <w:t> </w:t>
      </w:r>
      <w:r>
        <w:rPr/>
        <w:t>where</w:t>
      </w:r>
      <w:r>
        <w:rPr>
          <w:spacing w:val="-7"/>
        </w:rPr>
        <w:t> </w:t>
      </w:r>
      <w:r>
        <w:rPr/>
        <w:t>possible,</w:t>
      </w:r>
      <w:r>
        <w:rPr>
          <w:spacing w:val="-5"/>
        </w:rPr>
        <w:t> </w:t>
      </w:r>
      <w:r>
        <w:rPr/>
        <w:t>facilitate</w:t>
      </w:r>
      <w:r>
        <w:rPr>
          <w:spacing w:val="-7"/>
        </w:rPr>
        <w:t> </w:t>
      </w:r>
      <w:r>
        <w:rPr/>
        <w:t>ease</w:t>
      </w:r>
      <w:r>
        <w:rPr>
          <w:spacing w:val="-7"/>
        </w:rPr>
        <w:t> </w:t>
      </w:r>
      <w:r>
        <w:rPr/>
        <w:t>of</w:t>
      </w:r>
      <w:r>
        <w:rPr>
          <w:spacing w:val="-5"/>
        </w:rPr>
        <w:t> </w:t>
      </w:r>
      <w:r>
        <w:rPr/>
        <w:t>travel</w:t>
      </w:r>
      <w:r>
        <w:rPr>
          <w:spacing w:val="-5"/>
        </w:rPr>
        <w:t> </w:t>
      </w:r>
      <w:r>
        <w:rPr/>
        <w:t>for</w:t>
      </w:r>
      <w:r>
        <w:rPr>
          <w:spacing w:val="-7"/>
        </w:rPr>
        <w:t> </w:t>
      </w:r>
      <w:r>
        <w:rPr/>
        <w:t>users</w:t>
      </w:r>
      <w:r>
        <w:rPr>
          <w:spacing w:val="-5"/>
        </w:rPr>
        <w:t> </w:t>
      </w:r>
      <w:r>
        <w:rPr/>
        <w:t>with</w:t>
      </w:r>
      <w:r>
        <w:rPr>
          <w:spacing w:val="-6"/>
        </w:rPr>
        <w:t> </w:t>
      </w:r>
      <w:r>
        <w:rPr/>
        <w:t>a</w:t>
      </w:r>
      <w:r>
        <w:rPr>
          <w:spacing w:val="-5"/>
        </w:rPr>
        <w:t> </w:t>
      </w:r>
      <w:r>
        <w:rPr/>
        <w:t>low</w:t>
      </w:r>
      <w:r>
        <w:rPr>
          <w:spacing w:val="-4"/>
        </w:rPr>
        <w:t> </w:t>
      </w:r>
      <w:r>
        <w:rPr/>
        <w:t>to</w:t>
      </w:r>
      <w:r>
        <w:rPr>
          <w:spacing w:val="-6"/>
        </w:rPr>
        <w:t> </w:t>
      </w:r>
      <w:r>
        <w:rPr/>
        <w:t>moderate</w:t>
      </w:r>
      <w:r>
        <w:rPr>
          <w:spacing w:val="-7"/>
        </w:rPr>
        <w:t> </w:t>
      </w:r>
      <w:r>
        <w:rPr/>
        <w:t>skill level, with some exceptions due to topography and remoteness.</w:t>
      </w:r>
    </w:p>
    <w:p>
      <w:pPr>
        <w:pStyle w:val="BodyText"/>
        <w:spacing w:line="232" w:lineRule="auto" w:before="197"/>
        <w:ind w:left="359" w:right="1621"/>
      </w:pPr>
      <w:r>
        <w:rPr/>
        <w:t>Limited</w:t>
      </w:r>
      <w:r>
        <w:rPr>
          <w:spacing w:val="-7"/>
        </w:rPr>
        <w:t> </w:t>
      </w:r>
      <w:r>
        <w:rPr/>
        <w:t>facilities,</w:t>
      </w:r>
      <w:r>
        <w:rPr>
          <w:spacing w:val="-6"/>
        </w:rPr>
        <w:t> </w:t>
      </w:r>
      <w:r>
        <w:rPr/>
        <w:t>such</w:t>
      </w:r>
      <w:r>
        <w:rPr>
          <w:spacing w:val="-8"/>
        </w:rPr>
        <w:t> </w:t>
      </w:r>
      <w:r>
        <w:rPr/>
        <w:t>as</w:t>
      </w:r>
      <w:r>
        <w:rPr>
          <w:spacing w:val="-8"/>
        </w:rPr>
        <w:t> </w:t>
      </w:r>
      <w:r>
        <w:rPr/>
        <w:t>viewing</w:t>
      </w:r>
      <w:r>
        <w:rPr>
          <w:spacing w:val="-7"/>
        </w:rPr>
        <w:t> </w:t>
      </w:r>
      <w:r>
        <w:rPr/>
        <w:t>platforms,</w:t>
      </w:r>
      <w:r>
        <w:rPr>
          <w:spacing w:val="-6"/>
        </w:rPr>
        <w:t> </w:t>
      </w:r>
      <w:r>
        <w:rPr/>
        <w:t>benches</w:t>
      </w:r>
      <w:r>
        <w:rPr>
          <w:spacing w:val="-6"/>
        </w:rPr>
        <w:t> </w:t>
      </w:r>
      <w:r>
        <w:rPr/>
        <w:t>and</w:t>
      </w:r>
      <w:r>
        <w:rPr>
          <w:spacing w:val="-7"/>
        </w:rPr>
        <w:t> </w:t>
      </w:r>
      <w:r>
        <w:rPr/>
        <w:t>interpretive</w:t>
      </w:r>
      <w:r>
        <w:rPr>
          <w:spacing w:val="-8"/>
        </w:rPr>
        <w:t> </w:t>
      </w:r>
      <w:r>
        <w:rPr/>
        <w:t>signs</w:t>
      </w:r>
      <w:r>
        <w:rPr>
          <w:spacing w:val="-8"/>
        </w:rPr>
        <w:t> </w:t>
      </w:r>
      <w:r>
        <w:rPr/>
        <w:t>may</w:t>
      </w:r>
      <w:r>
        <w:rPr>
          <w:spacing w:val="-5"/>
        </w:rPr>
        <w:t> </w:t>
      </w:r>
      <w:r>
        <w:rPr/>
        <w:t>be</w:t>
      </w:r>
      <w:r>
        <w:rPr>
          <w:spacing w:val="-5"/>
        </w:rPr>
        <w:t> </w:t>
      </w:r>
      <w:r>
        <w:rPr/>
        <w:t>present along the trail. Trailheads may offer amenities such as picnic facilities or interpretive information that enhances the experience of using the trail. These facilities support the outstanding features of the trails and are in harmony with the surrounding environment.</w:t>
      </w:r>
    </w:p>
    <w:p>
      <w:pPr>
        <w:pStyle w:val="BodyText"/>
        <w:spacing w:line="232" w:lineRule="auto" w:before="199"/>
        <w:ind w:left="359" w:right="1621"/>
      </w:pPr>
      <w:r>
        <w:rPr/>
        <w:t>Areas</w:t>
      </w:r>
      <w:r>
        <w:rPr>
          <w:spacing w:val="-7"/>
        </w:rPr>
        <w:t> </w:t>
      </w:r>
      <w:r>
        <w:rPr/>
        <w:t>of</w:t>
      </w:r>
      <w:r>
        <w:rPr>
          <w:spacing w:val="-5"/>
        </w:rPr>
        <w:t> </w:t>
      </w:r>
      <w:r>
        <w:rPr/>
        <w:t>high</w:t>
      </w:r>
      <w:r>
        <w:rPr>
          <w:spacing w:val="-7"/>
        </w:rPr>
        <w:t> </w:t>
      </w:r>
      <w:r>
        <w:rPr/>
        <w:t>value</w:t>
      </w:r>
      <w:r>
        <w:rPr>
          <w:spacing w:val="-7"/>
        </w:rPr>
        <w:t> </w:t>
      </w:r>
      <w:r>
        <w:rPr/>
        <w:t>occurring</w:t>
      </w:r>
      <w:r>
        <w:rPr>
          <w:spacing w:val="-6"/>
        </w:rPr>
        <w:t> </w:t>
      </w:r>
      <w:r>
        <w:rPr/>
        <w:t>within</w:t>
      </w:r>
      <w:r>
        <w:rPr>
          <w:spacing w:val="-6"/>
        </w:rPr>
        <w:t> </w:t>
      </w:r>
      <w:r>
        <w:rPr/>
        <w:t>the</w:t>
      </w:r>
      <w:r>
        <w:rPr>
          <w:spacing w:val="-4"/>
        </w:rPr>
        <w:t> </w:t>
      </w:r>
      <w:r>
        <w:rPr/>
        <w:t>corridor,</w:t>
      </w:r>
      <w:r>
        <w:rPr>
          <w:spacing w:val="-5"/>
        </w:rPr>
        <w:t> </w:t>
      </w:r>
      <w:r>
        <w:rPr/>
        <w:t>such</w:t>
      </w:r>
      <w:r>
        <w:rPr>
          <w:spacing w:val="-7"/>
        </w:rPr>
        <w:t> </w:t>
      </w:r>
      <w:r>
        <w:rPr/>
        <w:t>as</w:t>
      </w:r>
      <w:r>
        <w:rPr>
          <w:spacing w:val="-5"/>
        </w:rPr>
        <w:t> </w:t>
      </w:r>
      <w:r>
        <w:rPr/>
        <w:t>rare</w:t>
      </w:r>
      <w:r>
        <w:rPr>
          <w:spacing w:val="-7"/>
        </w:rPr>
        <w:t> </w:t>
      </w:r>
      <w:r>
        <w:rPr/>
        <w:t>plant</w:t>
      </w:r>
      <w:r>
        <w:rPr>
          <w:spacing w:val="-4"/>
        </w:rPr>
        <w:t> </w:t>
      </w:r>
      <w:r>
        <w:rPr/>
        <w:t>sites,</w:t>
      </w:r>
      <w:r>
        <w:rPr>
          <w:spacing w:val="-5"/>
        </w:rPr>
        <w:t> </w:t>
      </w:r>
      <w:r>
        <w:rPr/>
        <w:t>cultural</w:t>
      </w:r>
      <w:r>
        <w:rPr>
          <w:spacing w:val="-9"/>
        </w:rPr>
        <w:t> </w:t>
      </w:r>
      <w:r>
        <w:rPr/>
        <w:t>sites,</w:t>
      </w:r>
      <w:r>
        <w:rPr>
          <w:spacing w:val="-7"/>
        </w:rPr>
        <w:t> </w:t>
      </w:r>
      <w:r>
        <w:rPr/>
        <w:t>or unique geologic features, are protected.</w:t>
      </w:r>
    </w:p>
    <w:p>
      <w:pPr>
        <w:pStyle w:val="BodyText"/>
        <w:spacing w:line="232" w:lineRule="auto" w:before="199"/>
        <w:ind w:left="359" w:right="1561"/>
      </w:pPr>
      <w:r>
        <w:rPr/>
        <w:t>The</w:t>
      </w:r>
      <w:r>
        <w:rPr>
          <w:spacing w:val="-1"/>
        </w:rPr>
        <w:t> </w:t>
      </w:r>
      <w:r>
        <w:rPr/>
        <w:t>immediate</w:t>
      </w:r>
      <w:r>
        <w:rPr>
          <w:spacing w:val="-1"/>
        </w:rPr>
        <w:t> </w:t>
      </w:r>
      <w:r>
        <w:rPr/>
        <w:t>foreground</w:t>
      </w:r>
      <w:r>
        <w:rPr>
          <w:spacing w:val="-3"/>
        </w:rPr>
        <w:t> </w:t>
      </w:r>
      <w:r>
        <w:rPr/>
        <w:t>(0</w:t>
      </w:r>
      <w:r>
        <w:rPr>
          <w:spacing w:val="-1"/>
        </w:rPr>
        <w:t> </w:t>
      </w:r>
      <w:r>
        <w:rPr/>
        <w:t>to</w:t>
      </w:r>
      <w:r>
        <w:rPr>
          <w:spacing w:val="-3"/>
        </w:rPr>
        <w:t> </w:t>
      </w:r>
      <w:r>
        <w:rPr/>
        <w:t>300</w:t>
      </w:r>
      <w:r>
        <w:rPr>
          <w:spacing w:val="-1"/>
        </w:rPr>
        <w:t> </w:t>
      </w:r>
      <w:r>
        <w:rPr/>
        <w:t>feet)</w:t>
      </w:r>
      <w:r>
        <w:rPr>
          <w:spacing w:val="-4"/>
        </w:rPr>
        <w:t> </w:t>
      </w:r>
      <w:r>
        <w:rPr/>
        <w:t>views</w:t>
      </w:r>
      <w:r>
        <w:rPr>
          <w:spacing w:val="-2"/>
        </w:rPr>
        <w:t> </w:t>
      </w:r>
      <w:r>
        <w:rPr/>
        <w:t>from</w:t>
      </w:r>
      <w:r>
        <w:rPr>
          <w:spacing w:val="-3"/>
        </w:rPr>
        <w:t> </w:t>
      </w:r>
      <w:r>
        <w:rPr/>
        <w:t>the</w:t>
      </w:r>
      <w:r>
        <w:rPr>
          <w:spacing w:val="-1"/>
        </w:rPr>
        <w:t> </w:t>
      </w:r>
      <w:r>
        <w:rPr/>
        <w:t>nationally</w:t>
      </w:r>
      <w:r>
        <w:rPr>
          <w:spacing w:val="-1"/>
        </w:rPr>
        <w:t> </w:t>
      </w:r>
      <w:r>
        <w:rPr/>
        <w:t>designated</w:t>
      </w:r>
      <w:r>
        <w:rPr>
          <w:spacing w:val="-5"/>
        </w:rPr>
        <w:t> </w:t>
      </w:r>
      <w:r>
        <w:rPr/>
        <w:t>trails</w:t>
      </w:r>
      <w:r>
        <w:rPr>
          <w:spacing w:val="-2"/>
        </w:rPr>
        <w:t> </w:t>
      </w:r>
      <w:r>
        <w:rPr/>
        <w:t>vary</w:t>
      </w:r>
      <w:r>
        <w:rPr>
          <w:spacing w:val="-1"/>
        </w:rPr>
        <w:t> </w:t>
      </w:r>
      <w:r>
        <w:rPr/>
        <w:t>from natural-appearing</w:t>
      </w:r>
      <w:r>
        <w:rPr>
          <w:spacing w:val="-5"/>
        </w:rPr>
        <w:t> </w:t>
      </w:r>
      <w:r>
        <w:rPr/>
        <w:t>landscapes</w:t>
      </w:r>
      <w:r>
        <w:rPr>
          <w:spacing w:val="-4"/>
        </w:rPr>
        <w:t> </w:t>
      </w:r>
      <w:r>
        <w:rPr/>
        <w:t>where</w:t>
      </w:r>
      <w:r>
        <w:rPr>
          <w:spacing w:val="-3"/>
        </w:rPr>
        <w:t> </w:t>
      </w:r>
      <w:r>
        <w:rPr/>
        <w:t>human</w:t>
      </w:r>
      <w:r>
        <w:rPr>
          <w:spacing w:val="-5"/>
        </w:rPr>
        <w:t> </w:t>
      </w:r>
      <w:r>
        <w:rPr/>
        <w:t>activities</w:t>
      </w:r>
      <w:r>
        <w:rPr>
          <w:spacing w:val="-6"/>
        </w:rPr>
        <w:t> </w:t>
      </w:r>
      <w:r>
        <w:rPr/>
        <w:t>do</w:t>
      </w:r>
      <w:r>
        <w:rPr>
          <w:spacing w:val="-3"/>
        </w:rPr>
        <w:t> </w:t>
      </w:r>
      <w:r>
        <w:rPr/>
        <w:t>not</w:t>
      </w:r>
      <w:r>
        <w:rPr>
          <w:spacing w:val="-3"/>
        </w:rPr>
        <w:t> </w:t>
      </w:r>
      <w:r>
        <w:rPr/>
        <w:t>stand</w:t>
      </w:r>
      <w:r>
        <w:rPr>
          <w:spacing w:val="-5"/>
        </w:rPr>
        <w:t> </w:t>
      </w:r>
      <w:r>
        <w:rPr/>
        <w:t>out</w:t>
      </w:r>
      <w:r>
        <w:rPr>
          <w:spacing w:val="-6"/>
        </w:rPr>
        <w:t> </w:t>
      </w:r>
      <w:r>
        <w:rPr/>
        <w:t>(high</w:t>
      </w:r>
      <w:r>
        <w:rPr>
          <w:spacing w:val="-5"/>
        </w:rPr>
        <w:t> </w:t>
      </w:r>
      <w:r>
        <w:rPr/>
        <w:t>scenic</w:t>
      </w:r>
      <w:r>
        <w:rPr>
          <w:spacing w:val="-4"/>
        </w:rPr>
        <w:t> </w:t>
      </w:r>
      <w:r>
        <w:rPr/>
        <w:t>integrity)</w:t>
      </w:r>
      <w:r>
        <w:rPr>
          <w:spacing w:val="-4"/>
        </w:rPr>
        <w:t> </w:t>
      </w:r>
      <w:r>
        <w:rPr/>
        <w:t>to unaltered</w:t>
      </w:r>
      <w:r>
        <w:rPr>
          <w:spacing w:val="-7"/>
        </w:rPr>
        <w:t> </w:t>
      </w:r>
      <w:r>
        <w:rPr/>
        <w:t>landscapes</w:t>
      </w:r>
      <w:r>
        <w:rPr>
          <w:spacing w:val="-8"/>
        </w:rPr>
        <w:t> </w:t>
      </w:r>
      <w:r>
        <w:rPr/>
        <w:t>where</w:t>
      </w:r>
      <w:r>
        <w:rPr>
          <w:spacing w:val="-5"/>
        </w:rPr>
        <w:t> </w:t>
      </w:r>
      <w:r>
        <w:rPr/>
        <w:t>generally</w:t>
      </w:r>
      <w:r>
        <w:rPr>
          <w:spacing w:val="-7"/>
        </w:rPr>
        <w:t> </w:t>
      </w:r>
      <w:r>
        <w:rPr/>
        <w:t>only</w:t>
      </w:r>
      <w:r>
        <w:rPr>
          <w:spacing w:val="-5"/>
        </w:rPr>
        <w:t> </w:t>
      </w:r>
      <w:r>
        <w:rPr/>
        <w:t>ecological</w:t>
      </w:r>
      <w:r>
        <w:rPr>
          <w:spacing w:val="-10"/>
        </w:rPr>
        <w:t> </w:t>
      </w:r>
      <w:r>
        <w:rPr/>
        <w:t>changes</w:t>
      </w:r>
      <w:r>
        <w:rPr>
          <w:spacing w:val="-6"/>
        </w:rPr>
        <w:t> </w:t>
      </w:r>
      <w:r>
        <w:rPr/>
        <w:t>occur</w:t>
      </w:r>
      <w:r>
        <w:rPr>
          <w:spacing w:val="-6"/>
        </w:rPr>
        <w:t> </w:t>
      </w:r>
      <w:r>
        <w:rPr/>
        <w:t>(very</w:t>
      </w:r>
      <w:r>
        <w:rPr>
          <w:spacing w:val="-5"/>
        </w:rPr>
        <w:t> </w:t>
      </w:r>
      <w:r>
        <w:rPr/>
        <w:t>high</w:t>
      </w:r>
      <w:r>
        <w:rPr>
          <w:spacing w:val="-7"/>
        </w:rPr>
        <w:t> </w:t>
      </w:r>
      <w:r>
        <w:rPr/>
        <w:t>scenic</w:t>
      </w:r>
      <w:r>
        <w:rPr>
          <w:spacing w:val="-6"/>
        </w:rPr>
        <w:t> </w:t>
      </w:r>
      <w:r>
        <w:rPr/>
        <w:t>integrity). The foreground and seen area is prescribed a high scenic integrity objective (up to a half-mile distance zone or seen area, not just the immediate foreground zone).</w:t>
      </w:r>
    </w:p>
    <w:p>
      <w:pPr>
        <w:pStyle w:val="BodyText"/>
        <w:spacing w:line="232" w:lineRule="auto" w:before="198"/>
        <w:ind w:left="358" w:right="1621"/>
      </w:pPr>
      <w:r>
        <w:rPr/>
        <w:t>The</w:t>
      </w:r>
      <w:r>
        <w:rPr>
          <w:spacing w:val="-11"/>
        </w:rPr>
        <w:t> </w:t>
      </w:r>
      <w:r>
        <w:rPr/>
        <w:t>Kettle</w:t>
      </w:r>
      <w:r>
        <w:rPr>
          <w:spacing w:val="-10"/>
        </w:rPr>
        <w:t> </w:t>
      </w:r>
      <w:r>
        <w:rPr/>
        <w:t>Crest,</w:t>
      </w:r>
      <w:r>
        <w:rPr>
          <w:spacing w:val="-10"/>
        </w:rPr>
        <w:t> </w:t>
      </w:r>
      <w:r>
        <w:rPr/>
        <w:t>Lakeshore,</w:t>
      </w:r>
      <w:r>
        <w:rPr>
          <w:spacing w:val="-10"/>
        </w:rPr>
        <w:t> </w:t>
      </w:r>
      <w:r>
        <w:rPr/>
        <w:t>Pass</w:t>
      </w:r>
      <w:r>
        <w:rPr>
          <w:spacing w:val="-12"/>
        </w:rPr>
        <w:t> </w:t>
      </w:r>
      <w:r>
        <w:rPr/>
        <w:t>Creek-Grassy</w:t>
      </w:r>
      <w:r>
        <w:rPr>
          <w:spacing w:val="-11"/>
        </w:rPr>
        <w:t> </w:t>
      </w:r>
      <w:r>
        <w:rPr/>
        <w:t>Top,</w:t>
      </w:r>
      <w:r>
        <w:rPr>
          <w:spacing w:val="-10"/>
        </w:rPr>
        <w:t> </w:t>
      </w:r>
      <w:r>
        <w:rPr/>
        <w:t>and</w:t>
      </w:r>
      <w:r>
        <w:rPr>
          <w:spacing w:val="-11"/>
        </w:rPr>
        <w:t> </w:t>
      </w:r>
      <w:r>
        <w:rPr/>
        <w:t>Shedroof</w:t>
      </w:r>
      <w:r>
        <w:rPr>
          <w:spacing w:val="-13"/>
        </w:rPr>
        <w:t> </w:t>
      </w:r>
      <w:r>
        <w:rPr/>
        <w:t>Divide</w:t>
      </w:r>
      <w:r>
        <w:rPr>
          <w:spacing w:val="-9"/>
        </w:rPr>
        <w:t> </w:t>
      </w:r>
      <w:r>
        <w:rPr/>
        <w:t>National</w:t>
      </w:r>
      <w:r>
        <w:rPr>
          <w:spacing w:val="-13"/>
        </w:rPr>
        <w:t> </w:t>
      </w:r>
      <w:r>
        <w:rPr/>
        <w:t>Recreation Trails provide a non-motorized trail experience where visitors can experience the scenic qualities of the area.</w:t>
      </w:r>
    </w:p>
    <w:p>
      <w:pPr>
        <w:spacing w:before="233"/>
        <w:ind w:left="358" w:right="0" w:firstLine="0"/>
        <w:jc w:val="left"/>
        <w:rPr>
          <w:rFonts w:ascii="Arial"/>
          <w:i/>
          <w:sz w:val="22"/>
        </w:rPr>
      </w:pPr>
      <w:bookmarkStart w:name="MA-DC-NT-02. National Scenic Trails" w:id="656"/>
      <w:bookmarkEnd w:id="656"/>
      <w:r>
        <w:rPr/>
      </w:r>
      <w:r>
        <w:rPr>
          <w:rFonts w:ascii="Arial"/>
          <w:i/>
          <w:sz w:val="22"/>
        </w:rPr>
        <w:t>MA-DC-NT-02.</w:t>
      </w:r>
      <w:r>
        <w:rPr>
          <w:rFonts w:ascii="Arial"/>
          <w:i/>
          <w:spacing w:val="-7"/>
          <w:sz w:val="22"/>
        </w:rPr>
        <w:t> </w:t>
      </w:r>
      <w:r>
        <w:rPr>
          <w:rFonts w:ascii="Arial"/>
          <w:i/>
          <w:sz w:val="22"/>
        </w:rPr>
        <w:t>National</w:t>
      </w:r>
      <w:r>
        <w:rPr>
          <w:rFonts w:ascii="Arial"/>
          <w:i/>
          <w:spacing w:val="-11"/>
          <w:sz w:val="22"/>
        </w:rPr>
        <w:t> </w:t>
      </w:r>
      <w:r>
        <w:rPr>
          <w:rFonts w:ascii="Arial"/>
          <w:i/>
          <w:sz w:val="22"/>
        </w:rPr>
        <w:t>Scenic</w:t>
      </w:r>
      <w:r>
        <w:rPr>
          <w:rFonts w:ascii="Arial"/>
          <w:i/>
          <w:spacing w:val="-7"/>
          <w:sz w:val="22"/>
        </w:rPr>
        <w:t> </w:t>
      </w:r>
      <w:r>
        <w:rPr>
          <w:rFonts w:ascii="Arial"/>
          <w:i/>
          <w:spacing w:val="-2"/>
          <w:sz w:val="22"/>
        </w:rPr>
        <w:t>Trails</w:t>
      </w:r>
    </w:p>
    <w:p>
      <w:pPr>
        <w:pStyle w:val="BodyText"/>
        <w:spacing w:line="232" w:lineRule="auto" w:before="65"/>
        <w:ind w:left="358" w:right="1567"/>
      </w:pPr>
      <w:r>
        <w:rPr/>
        <w:t>National scenic trails are congressionally designated areas that pass through a variety of physical</w:t>
      </w:r>
      <w:r>
        <w:rPr>
          <w:spacing w:val="-9"/>
        </w:rPr>
        <w:t> </w:t>
      </w:r>
      <w:r>
        <w:rPr/>
        <w:t>features,</w:t>
      </w:r>
      <w:r>
        <w:rPr>
          <w:spacing w:val="-9"/>
        </w:rPr>
        <w:t> </w:t>
      </w:r>
      <w:r>
        <w:rPr/>
        <w:t>ranging</w:t>
      </w:r>
      <w:r>
        <w:rPr>
          <w:spacing w:val="-10"/>
        </w:rPr>
        <w:t> </w:t>
      </w:r>
      <w:r>
        <w:rPr/>
        <w:t>from</w:t>
      </w:r>
      <w:r>
        <w:rPr>
          <w:spacing w:val="-10"/>
        </w:rPr>
        <w:t> </w:t>
      </w:r>
      <w:r>
        <w:rPr/>
        <w:t>natural-appearing</w:t>
      </w:r>
      <w:r>
        <w:rPr>
          <w:spacing w:val="-10"/>
        </w:rPr>
        <w:t> </w:t>
      </w:r>
      <w:r>
        <w:rPr/>
        <w:t>settings</w:t>
      </w:r>
      <w:r>
        <w:rPr>
          <w:spacing w:val="-9"/>
        </w:rPr>
        <w:t> </w:t>
      </w:r>
      <w:r>
        <w:rPr/>
        <w:t>to</w:t>
      </w:r>
      <w:r>
        <w:rPr>
          <w:spacing w:val="-8"/>
        </w:rPr>
        <w:t> </w:t>
      </w:r>
      <w:r>
        <w:rPr/>
        <w:t>locations</w:t>
      </w:r>
      <w:r>
        <w:rPr>
          <w:spacing w:val="-9"/>
        </w:rPr>
        <w:t> </w:t>
      </w:r>
      <w:r>
        <w:rPr/>
        <w:t>where</w:t>
      </w:r>
      <w:r>
        <w:rPr>
          <w:spacing w:val="-11"/>
        </w:rPr>
        <w:t> </w:t>
      </w:r>
      <w:r>
        <w:rPr/>
        <w:t>developments</w:t>
      </w:r>
      <w:r>
        <w:rPr>
          <w:spacing w:val="-9"/>
        </w:rPr>
        <w:t> </w:t>
      </w:r>
      <w:r>
        <w:rPr/>
        <w:t>are noticeable or dominant. National scenic trails are accessible by non-motorized means, such as skis or snowshoes, foot, and by pack and saddle stock.</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1073"/>
      </w:pPr>
      <w:r>
        <w:rPr/>
        <w:t>National scenic trails meet pack and saddle stock “more difficult” design and maintenance standards</w:t>
      </w:r>
      <w:r>
        <w:rPr>
          <w:spacing w:val="-6"/>
        </w:rPr>
        <w:t> </w:t>
      </w:r>
      <w:r>
        <w:rPr/>
        <w:t>for</w:t>
      </w:r>
      <w:r>
        <w:rPr>
          <w:spacing w:val="-8"/>
        </w:rPr>
        <w:t> </w:t>
      </w:r>
      <w:r>
        <w:rPr/>
        <w:t>most</w:t>
      </w:r>
      <w:r>
        <w:rPr>
          <w:spacing w:val="-8"/>
        </w:rPr>
        <w:t> </w:t>
      </w:r>
      <w:r>
        <w:rPr/>
        <w:t>of</w:t>
      </w:r>
      <w:r>
        <w:rPr>
          <w:spacing w:val="-6"/>
        </w:rPr>
        <w:t> </w:t>
      </w:r>
      <w:r>
        <w:rPr/>
        <w:t>their</w:t>
      </w:r>
      <w:r>
        <w:rPr>
          <w:spacing w:val="-8"/>
        </w:rPr>
        <w:t> </w:t>
      </w:r>
      <w:r>
        <w:rPr/>
        <w:t>length.</w:t>
      </w:r>
      <w:r>
        <w:rPr>
          <w:spacing w:val="-6"/>
        </w:rPr>
        <w:t> </w:t>
      </w:r>
      <w:r>
        <w:rPr/>
        <w:t>Alternative</w:t>
      </w:r>
      <w:r>
        <w:rPr>
          <w:spacing w:val="-8"/>
        </w:rPr>
        <w:t> </w:t>
      </w:r>
      <w:r>
        <w:rPr/>
        <w:t>stock</w:t>
      </w:r>
      <w:r>
        <w:rPr>
          <w:spacing w:val="-8"/>
        </w:rPr>
        <w:t> </w:t>
      </w:r>
      <w:r>
        <w:rPr/>
        <w:t>routes</w:t>
      </w:r>
      <w:r>
        <w:rPr>
          <w:spacing w:val="-8"/>
        </w:rPr>
        <w:t> </w:t>
      </w:r>
      <w:r>
        <w:rPr/>
        <w:t>may</w:t>
      </w:r>
      <w:r>
        <w:rPr>
          <w:spacing w:val="-5"/>
        </w:rPr>
        <w:t> </w:t>
      </w:r>
      <w:r>
        <w:rPr/>
        <w:t>be</w:t>
      </w:r>
      <w:r>
        <w:rPr>
          <w:spacing w:val="-8"/>
        </w:rPr>
        <w:t> </w:t>
      </w:r>
      <w:r>
        <w:rPr/>
        <w:t>offered</w:t>
      </w:r>
      <w:r>
        <w:rPr>
          <w:spacing w:val="-7"/>
        </w:rPr>
        <w:t> </w:t>
      </w:r>
      <w:r>
        <w:rPr/>
        <w:t>in</w:t>
      </w:r>
      <w:r>
        <w:rPr>
          <w:spacing w:val="-7"/>
        </w:rPr>
        <w:t> </w:t>
      </w:r>
      <w:r>
        <w:rPr/>
        <w:t>addition</w:t>
      </w:r>
      <w:r>
        <w:rPr>
          <w:spacing w:val="-7"/>
        </w:rPr>
        <w:t> </w:t>
      </w:r>
      <w:r>
        <w:rPr/>
        <w:t>to</w:t>
      </w:r>
      <w:r>
        <w:rPr>
          <w:spacing w:val="-5"/>
        </w:rPr>
        <w:t> </w:t>
      </w:r>
      <w:r>
        <w:rPr/>
        <w:t>the designated trail in locations where hazards (such as slides) are difficult to mitigate.</w:t>
      </w:r>
    </w:p>
    <w:p>
      <w:pPr>
        <w:pStyle w:val="BodyText"/>
        <w:spacing w:line="232" w:lineRule="auto" w:before="198"/>
        <w:ind w:left="1151" w:right="750"/>
      </w:pPr>
      <w:r>
        <w:rPr/>
        <w:t>Road</w:t>
      </w:r>
      <w:r>
        <w:rPr>
          <w:spacing w:val="-1"/>
        </w:rPr>
        <w:t> </w:t>
      </w:r>
      <w:r>
        <w:rPr/>
        <w:t>crossings as</w:t>
      </w:r>
      <w:r>
        <w:rPr>
          <w:spacing w:val="-2"/>
        </w:rPr>
        <w:t> </w:t>
      </w:r>
      <w:r>
        <w:rPr/>
        <w:t>well as</w:t>
      </w:r>
      <w:r>
        <w:rPr>
          <w:spacing w:val="-2"/>
        </w:rPr>
        <w:t> </w:t>
      </w:r>
      <w:r>
        <w:rPr/>
        <w:t>motorized</w:t>
      </w:r>
      <w:r>
        <w:rPr>
          <w:spacing w:val="-1"/>
        </w:rPr>
        <w:t> </w:t>
      </w:r>
      <w:r>
        <w:rPr/>
        <w:t>trail</w:t>
      </w:r>
      <w:r>
        <w:rPr>
          <w:spacing w:val="-3"/>
        </w:rPr>
        <w:t> </w:t>
      </w:r>
      <w:r>
        <w:rPr/>
        <w:t>crossings are</w:t>
      </w:r>
      <w:r>
        <w:rPr>
          <w:spacing w:val="-2"/>
        </w:rPr>
        <w:t> </w:t>
      </w:r>
      <w:r>
        <w:rPr/>
        <w:t>the only</w:t>
      </w:r>
      <w:r>
        <w:rPr>
          <w:spacing w:val="-1"/>
        </w:rPr>
        <w:t> </w:t>
      </w:r>
      <w:r>
        <w:rPr/>
        <w:t>evidence</w:t>
      </w:r>
      <w:r>
        <w:rPr>
          <w:spacing w:val="-2"/>
        </w:rPr>
        <w:t> </w:t>
      </w:r>
      <w:r>
        <w:rPr/>
        <w:t>of</w:t>
      </w:r>
      <w:r>
        <w:rPr>
          <w:spacing w:val="-3"/>
        </w:rPr>
        <w:t> </w:t>
      </w:r>
      <w:r>
        <w:rPr/>
        <w:t>motorized</w:t>
      </w:r>
      <w:r>
        <w:rPr>
          <w:spacing w:val="-1"/>
        </w:rPr>
        <w:t> </w:t>
      </w:r>
      <w:r>
        <w:rPr/>
        <w:t>use. New road</w:t>
      </w:r>
      <w:r>
        <w:rPr>
          <w:spacing w:val="-8"/>
        </w:rPr>
        <w:t> </w:t>
      </w:r>
      <w:r>
        <w:rPr/>
        <w:t>and</w:t>
      </w:r>
      <w:r>
        <w:rPr>
          <w:spacing w:val="-9"/>
        </w:rPr>
        <w:t> </w:t>
      </w:r>
      <w:r>
        <w:rPr/>
        <w:t>motorized</w:t>
      </w:r>
      <w:r>
        <w:rPr>
          <w:spacing w:val="-8"/>
        </w:rPr>
        <w:t> </w:t>
      </w:r>
      <w:r>
        <w:rPr/>
        <w:t>trail</w:t>
      </w:r>
      <w:r>
        <w:rPr>
          <w:spacing w:val="-9"/>
        </w:rPr>
        <w:t> </w:t>
      </w:r>
      <w:r>
        <w:rPr/>
        <w:t>crossings</w:t>
      </w:r>
      <w:r>
        <w:rPr>
          <w:spacing w:val="-7"/>
        </w:rPr>
        <w:t> </w:t>
      </w:r>
      <w:r>
        <w:rPr/>
        <w:t>are</w:t>
      </w:r>
      <w:r>
        <w:rPr>
          <w:spacing w:val="-9"/>
        </w:rPr>
        <w:t> </w:t>
      </w:r>
      <w:r>
        <w:rPr/>
        <w:t>minimized</w:t>
      </w:r>
      <w:r>
        <w:rPr>
          <w:spacing w:val="-8"/>
        </w:rPr>
        <w:t> </w:t>
      </w:r>
      <w:r>
        <w:rPr/>
        <w:t>within</w:t>
      </w:r>
      <w:r>
        <w:rPr>
          <w:spacing w:val="-8"/>
        </w:rPr>
        <w:t> </w:t>
      </w:r>
      <w:r>
        <w:rPr/>
        <w:t>the</w:t>
      </w:r>
      <w:r>
        <w:rPr>
          <w:spacing w:val="-6"/>
        </w:rPr>
        <w:t> </w:t>
      </w:r>
      <w:r>
        <w:rPr/>
        <w:t>national</w:t>
      </w:r>
      <w:r>
        <w:rPr>
          <w:spacing w:val="-7"/>
        </w:rPr>
        <w:t> </w:t>
      </w:r>
      <w:r>
        <w:rPr/>
        <w:t>scenic</w:t>
      </w:r>
      <w:r>
        <w:rPr>
          <w:spacing w:val="-7"/>
        </w:rPr>
        <w:t> </w:t>
      </w:r>
      <w:r>
        <w:rPr/>
        <w:t>trail</w:t>
      </w:r>
      <w:r>
        <w:rPr>
          <w:spacing w:val="-7"/>
        </w:rPr>
        <w:t> </w:t>
      </w:r>
      <w:r>
        <w:rPr/>
        <w:t>corridor.</w:t>
      </w:r>
      <w:r>
        <w:rPr>
          <w:spacing w:val="-8"/>
        </w:rPr>
        <w:t> </w:t>
      </w:r>
      <w:r>
        <w:rPr/>
        <w:t>Where possible, trailhead parking facilities are located outside of the trail corridor and are generally not visible from the trail. Short spur trails connect the trailhead to the main trail. Outside of wilderness, the national scenic trails’ service mark is displayed at road crossings and at</w:t>
      </w:r>
      <w:r>
        <w:rPr/>
        <w:t> junctions with side trails.</w:t>
      </w:r>
    </w:p>
    <w:p>
      <w:pPr>
        <w:pStyle w:val="BodyText"/>
        <w:spacing w:line="232" w:lineRule="auto" w:before="198"/>
        <w:ind w:left="1151" w:right="801"/>
      </w:pPr>
      <w:r>
        <w:rPr/>
        <w:t>Bridges</w:t>
      </w:r>
      <w:r>
        <w:rPr>
          <w:spacing w:val="-6"/>
        </w:rPr>
        <w:t> </w:t>
      </w:r>
      <w:r>
        <w:rPr/>
        <w:t>may</w:t>
      </w:r>
      <w:r>
        <w:rPr>
          <w:spacing w:val="-7"/>
        </w:rPr>
        <w:t> </w:t>
      </w:r>
      <w:r>
        <w:rPr/>
        <w:t>be</w:t>
      </w:r>
      <w:r>
        <w:rPr>
          <w:spacing w:val="-5"/>
        </w:rPr>
        <w:t> </w:t>
      </w:r>
      <w:r>
        <w:rPr/>
        <w:t>present</w:t>
      </w:r>
      <w:r>
        <w:rPr>
          <w:spacing w:val="-8"/>
        </w:rPr>
        <w:t> </w:t>
      </w:r>
      <w:r>
        <w:rPr/>
        <w:t>where</w:t>
      </w:r>
      <w:r>
        <w:rPr>
          <w:spacing w:val="-5"/>
        </w:rPr>
        <w:t> </w:t>
      </w:r>
      <w:r>
        <w:rPr/>
        <w:t>needed</w:t>
      </w:r>
      <w:r>
        <w:rPr>
          <w:spacing w:val="-7"/>
        </w:rPr>
        <w:t> </w:t>
      </w:r>
      <w:r>
        <w:rPr/>
        <w:t>for</w:t>
      </w:r>
      <w:r>
        <w:rPr>
          <w:spacing w:val="-6"/>
        </w:rPr>
        <w:t> </w:t>
      </w:r>
      <w:r>
        <w:rPr/>
        <w:t>resource</w:t>
      </w:r>
      <w:r>
        <w:rPr>
          <w:spacing w:val="-8"/>
        </w:rPr>
        <w:t> </w:t>
      </w:r>
      <w:r>
        <w:rPr/>
        <w:t>protection</w:t>
      </w:r>
      <w:r>
        <w:rPr>
          <w:spacing w:val="-9"/>
        </w:rPr>
        <w:t> </w:t>
      </w:r>
      <w:r>
        <w:rPr/>
        <w:t>or</w:t>
      </w:r>
      <w:r>
        <w:rPr>
          <w:spacing w:val="-8"/>
        </w:rPr>
        <w:t> </w:t>
      </w:r>
      <w:r>
        <w:rPr/>
        <w:t>to</w:t>
      </w:r>
      <w:r>
        <w:rPr>
          <w:spacing w:val="-7"/>
        </w:rPr>
        <w:t> </w:t>
      </w:r>
      <w:r>
        <w:rPr/>
        <w:t>accommodate</w:t>
      </w:r>
      <w:r>
        <w:rPr>
          <w:spacing w:val="-5"/>
        </w:rPr>
        <w:t> </w:t>
      </w:r>
      <w:r>
        <w:rPr/>
        <w:t>those</w:t>
      </w:r>
      <w:r>
        <w:rPr>
          <w:spacing w:val="-5"/>
        </w:rPr>
        <w:t> </w:t>
      </w:r>
      <w:r>
        <w:rPr/>
        <w:t>users with a moderate skill level.</w:t>
      </w:r>
    </w:p>
    <w:p>
      <w:pPr>
        <w:pStyle w:val="BodyText"/>
        <w:spacing w:line="232" w:lineRule="auto" w:before="200"/>
        <w:ind w:left="1151" w:right="801"/>
      </w:pPr>
      <w:r>
        <w:rPr/>
        <w:t>Degraded destination areas are restored (vegetation is returned to the natural range of variability) to provide</w:t>
      </w:r>
      <w:r>
        <w:rPr>
          <w:spacing w:val="-2"/>
        </w:rPr>
        <w:t> </w:t>
      </w:r>
      <w:r>
        <w:rPr/>
        <w:t>for</w:t>
      </w:r>
      <w:r>
        <w:rPr>
          <w:spacing w:val="-2"/>
        </w:rPr>
        <w:t> </w:t>
      </w:r>
      <w:r>
        <w:rPr/>
        <w:t>public use while</w:t>
      </w:r>
      <w:r>
        <w:rPr>
          <w:spacing w:val="-2"/>
        </w:rPr>
        <w:t> </w:t>
      </w:r>
      <w:r>
        <w:rPr/>
        <w:t>improving</w:t>
      </w:r>
      <w:r>
        <w:rPr>
          <w:spacing w:val="-3"/>
        </w:rPr>
        <w:t> </w:t>
      </w:r>
      <w:r>
        <w:rPr/>
        <w:t>the immediate foreground</w:t>
      </w:r>
      <w:r>
        <w:rPr>
          <w:spacing w:val="-3"/>
        </w:rPr>
        <w:t> </w:t>
      </w:r>
      <w:r>
        <w:rPr/>
        <w:t>view</w:t>
      </w:r>
      <w:r>
        <w:rPr>
          <w:spacing w:val="-2"/>
        </w:rPr>
        <w:t> </w:t>
      </w:r>
      <w:r>
        <w:rPr/>
        <w:t>from the trail</w:t>
      </w:r>
      <w:r>
        <w:rPr>
          <w:spacing w:val="-5"/>
        </w:rPr>
        <w:t> </w:t>
      </w:r>
      <w:r>
        <w:rPr/>
        <w:t>and</w:t>
      </w:r>
      <w:r>
        <w:rPr>
          <w:spacing w:val="-6"/>
        </w:rPr>
        <w:t> </w:t>
      </w:r>
      <w:r>
        <w:rPr/>
        <w:t>area</w:t>
      </w:r>
      <w:r>
        <w:rPr>
          <w:spacing w:val="-7"/>
        </w:rPr>
        <w:t> </w:t>
      </w:r>
      <w:r>
        <w:rPr/>
        <w:t>focal</w:t>
      </w:r>
      <w:r>
        <w:rPr>
          <w:spacing w:val="-8"/>
        </w:rPr>
        <w:t> </w:t>
      </w:r>
      <w:r>
        <w:rPr/>
        <w:t>points</w:t>
      </w:r>
      <w:r>
        <w:rPr>
          <w:spacing w:val="-7"/>
        </w:rPr>
        <w:t> </w:t>
      </w:r>
      <w:r>
        <w:rPr/>
        <w:t>such</w:t>
      </w:r>
      <w:r>
        <w:rPr>
          <w:spacing w:val="-6"/>
        </w:rPr>
        <w:t> </w:t>
      </w:r>
      <w:r>
        <w:rPr/>
        <w:t>as</w:t>
      </w:r>
      <w:r>
        <w:rPr>
          <w:spacing w:val="-5"/>
        </w:rPr>
        <w:t> </w:t>
      </w:r>
      <w:r>
        <w:rPr/>
        <w:t>lakeshores.</w:t>
      </w:r>
      <w:r>
        <w:rPr>
          <w:spacing w:val="-5"/>
        </w:rPr>
        <w:t> </w:t>
      </w:r>
      <w:r>
        <w:rPr/>
        <w:t>Outside</w:t>
      </w:r>
      <w:r>
        <w:rPr>
          <w:spacing w:val="-7"/>
        </w:rPr>
        <w:t> </w:t>
      </w:r>
      <w:r>
        <w:rPr/>
        <w:t>of</w:t>
      </w:r>
      <w:r>
        <w:rPr>
          <w:spacing w:val="-5"/>
        </w:rPr>
        <w:t> </w:t>
      </w:r>
      <w:r>
        <w:rPr/>
        <w:t>wilderness,</w:t>
      </w:r>
      <w:r>
        <w:rPr>
          <w:spacing w:val="-7"/>
        </w:rPr>
        <w:t> </w:t>
      </w:r>
      <w:r>
        <w:rPr/>
        <w:t>recommended</w:t>
      </w:r>
      <w:r>
        <w:rPr>
          <w:spacing w:val="-6"/>
        </w:rPr>
        <w:t> </w:t>
      </w:r>
      <w:r>
        <w:rPr/>
        <w:t>wilderness and inventoried roadless areas, vistas are retained through the removal of vegetation.</w:t>
      </w:r>
    </w:p>
    <w:p>
      <w:pPr>
        <w:pStyle w:val="BodyText"/>
        <w:spacing w:line="232" w:lineRule="auto" w:before="196"/>
        <w:ind w:left="1151" w:right="801"/>
      </w:pPr>
      <w:r>
        <w:rPr/>
        <w:t>The visible foreground (generally</w:t>
      </w:r>
      <w:r>
        <w:rPr>
          <w:spacing w:val="-1"/>
        </w:rPr>
        <w:t> </w:t>
      </w:r>
      <w:r>
        <w:rPr/>
        <w:t>one-half</w:t>
      </w:r>
      <w:r>
        <w:rPr>
          <w:spacing w:val="-1"/>
        </w:rPr>
        <w:t> </w:t>
      </w:r>
      <w:r>
        <w:rPr/>
        <w:t>mile from the trail's centerline)</w:t>
      </w:r>
      <w:r>
        <w:rPr>
          <w:spacing w:val="-1"/>
        </w:rPr>
        <w:t> </w:t>
      </w:r>
      <w:r>
        <w:rPr/>
        <w:t>views from national scenic trails vary from natural-appearing landscapes where human activities do not stand out (high scenic integrity) to unaltered landscapes where generally only ecological changes occur (very high scenic integrity.) The foreground and seen area is prescribed a high scenic integrity objective</w:t>
      </w:r>
      <w:r>
        <w:rPr>
          <w:spacing w:val="-6"/>
        </w:rPr>
        <w:t> </w:t>
      </w:r>
      <w:r>
        <w:rPr/>
        <w:t>(up</w:t>
      </w:r>
      <w:r>
        <w:rPr>
          <w:spacing w:val="-6"/>
        </w:rPr>
        <w:t> </w:t>
      </w:r>
      <w:r>
        <w:rPr/>
        <w:t>to</w:t>
      </w:r>
      <w:r>
        <w:rPr>
          <w:spacing w:val="-4"/>
        </w:rPr>
        <w:t> </w:t>
      </w:r>
      <w:r>
        <w:rPr/>
        <w:t>a</w:t>
      </w:r>
      <w:r>
        <w:rPr>
          <w:spacing w:val="-5"/>
        </w:rPr>
        <w:t> </w:t>
      </w:r>
      <w:r>
        <w:rPr/>
        <w:t>half-mile</w:t>
      </w:r>
      <w:r>
        <w:rPr>
          <w:spacing w:val="-7"/>
        </w:rPr>
        <w:t> </w:t>
      </w:r>
      <w:r>
        <w:rPr/>
        <w:t>mile</w:t>
      </w:r>
      <w:r>
        <w:rPr>
          <w:spacing w:val="-4"/>
        </w:rPr>
        <w:t> </w:t>
      </w:r>
      <w:r>
        <w:rPr/>
        <w:t>distance</w:t>
      </w:r>
      <w:r>
        <w:rPr>
          <w:spacing w:val="-7"/>
        </w:rPr>
        <w:t> </w:t>
      </w:r>
      <w:r>
        <w:rPr/>
        <w:t>zone</w:t>
      </w:r>
      <w:r>
        <w:rPr>
          <w:spacing w:val="-7"/>
        </w:rPr>
        <w:t> </w:t>
      </w:r>
      <w:r>
        <w:rPr/>
        <w:t>or</w:t>
      </w:r>
      <w:r>
        <w:rPr>
          <w:spacing w:val="-7"/>
        </w:rPr>
        <w:t> </w:t>
      </w:r>
      <w:r>
        <w:rPr/>
        <w:t>seen</w:t>
      </w:r>
      <w:r>
        <w:rPr>
          <w:spacing w:val="-10"/>
        </w:rPr>
        <w:t> </w:t>
      </w:r>
      <w:r>
        <w:rPr/>
        <w:t>area,</w:t>
      </w:r>
      <w:r>
        <w:rPr>
          <w:spacing w:val="-5"/>
        </w:rPr>
        <w:t> </w:t>
      </w:r>
      <w:r>
        <w:rPr/>
        <w:t>not</w:t>
      </w:r>
      <w:r>
        <w:rPr>
          <w:spacing w:val="-4"/>
        </w:rPr>
        <w:t> </w:t>
      </w:r>
      <w:r>
        <w:rPr/>
        <w:t>just</w:t>
      </w:r>
      <w:r>
        <w:rPr>
          <w:spacing w:val="-4"/>
        </w:rPr>
        <w:t> </w:t>
      </w:r>
      <w:r>
        <w:rPr/>
        <w:t>the</w:t>
      </w:r>
      <w:r>
        <w:rPr>
          <w:spacing w:val="-7"/>
        </w:rPr>
        <w:t> </w:t>
      </w:r>
      <w:r>
        <w:rPr/>
        <w:t>immediate</w:t>
      </w:r>
      <w:r>
        <w:rPr>
          <w:spacing w:val="-4"/>
        </w:rPr>
        <w:t> </w:t>
      </w:r>
      <w:r>
        <w:rPr/>
        <w:t>foreground </w:t>
      </w:r>
      <w:r>
        <w:rPr>
          <w:spacing w:val="-2"/>
        </w:rPr>
        <w:t>zone).</w:t>
      </w:r>
    </w:p>
    <w:p>
      <w:pPr>
        <w:pStyle w:val="BodyText"/>
        <w:spacing w:line="232" w:lineRule="auto" w:before="199"/>
        <w:ind w:left="1151" w:right="1073"/>
      </w:pPr>
      <w:r>
        <w:rPr/>
        <w:t>Easements</w:t>
      </w:r>
      <w:r>
        <w:rPr>
          <w:spacing w:val="-7"/>
        </w:rPr>
        <w:t> </w:t>
      </w:r>
      <w:r>
        <w:rPr/>
        <w:t>are</w:t>
      </w:r>
      <w:r>
        <w:rPr>
          <w:spacing w:val="-6"/>
        </w:rPr>
        <w:t> </w:t>
      </w:r>
      <w:r>
        <w:rPr/>
        <w:t>in</w:t>
      </w:r>
      <w:r>
        <w:rPr>
          <w:spacing w:val="-8"/>
        </w:rPr>
        <w:t> </w:t>
      </w:r>
      <w:r>
        <w:rPr/>
        <w:t>place</w:t>
      </w:r>
      <w:r>
        <w:rPr>
          <w:spacing w:val="-6"/>
        </w:rPr>
        <w:t> </w:t>
      </w:r>
      <w:r>
        <w:rPr/>
        <w:t>for</w:t>
      </w:r>
      <w:r>
        <w:rPr>
          <w:spacing w:val="-11"/>
        </w:rPr>
        <w:t> </w:t>
      </w:r>
      <w:r>
        <w:rPr/>
        <w:t>those</w:t>
      </w:r>
      <w:r>
        <w:rPr>
          <w:spacing w:val="-8"/>
        </w:rPr>
        <w:t> </w:t>
      </w:r>
      <w:r>
        <w:rPr/>
        <w:t>trail</w:t>
      </w:r>
      <w:r>
        <w:rPr>
          <w:spacing w:val="-7"/>
        </w:rPr>
        <w:t> </w:t>
      </w:r>
      <w:r>
        <w:rPr/>
        <w:t>segments</w:t>
      </w:r>
      <w:r>
        <w:rPr>
          <w:spacing w:val="-7"/>
        </w:rPr>
        <w:t> </w:t>
      </w:r>
      <w:r>
        <w:rPr/>
        <w:t>crossing</w:t>
      </w:r>
      <w:r>
        <w:rPr>
          <w:spacing w:val="-8"/>
        </w:rPr>
        <w:t> </w:t>
      </w:r>
      <w:r>
        <w:rPr/>
        <w:t>non-National</w:t>
      </w:r>
      <w:r>
        <w:rPr>
          <w:spacing w:val="-7"/>
        </w:rPr>
        <w:t> </w:t>
      </w:r>
      <w:r>
        <w:rPr/>
        <w:t>Forest</w:t>
      </w:r>
      <w:r>
        <w:rPr>
          <w:spacing w:val="-6"/>
        </w:rPr>
        <w:t> </w:t>
      </w:r>
      <w:r>
        <w:rPr/>
        <w:t>System</w:t>
      </w:r>
      <w:r>
        <w:rPr>
          <w:spacing w:val="-6"/>
        </w:rPr>
        <w:t> </w:t>
      </w:r>
      <w:r>
        <w:rPr/>
        <w:t>lands. Management</w:t>
      </w:r>
      <w:r>
        <w:rPr>
          <w:spacing w:val="-12"/>
        </w:rPr>
        <w:t> </w:t>
      </w:r>
      <w:r>
        <w:rPr/>
        <w:t>of</w:t>
      </w:r>
      <w:r>
        <w:rPr>
          <w:spacing w:val="-7"/>
        </w:rPr>
        <w:t> </w:t>
      </w:r>
      <w:r>
        <w:rPr/>
        <w:t>national</w:t>
      </w:r>
      <w:r>
        <w:rPr>
          <w:spacing w:val="-7"/>
        </w:rPr>
        <w:t> </w:t>
      </w:r>
      <w:r>
        <w:rPr/>
        <w:t>scenic</w:t>
      </w:r>
      <w:r>
        <w:rPr>
          <w:spacing w:val="-8"/>
        </w:rPr>
        <w:t> </w:t>
      </w:r>
      <w:r>
        <w:rPr/>
        <w:t>trails</w:t>
      </w:r>
      <w:r>
        <w:rPr>
          <w:spacing w:val="-6"/>
        </w:rPr>
        <w:t> </w:t>
      </w:r>
      <w:r>
        <w:rPr/>
        <w:t>is</w:t>
      </w:r>
      <w:r>
        <w:rPr>
          <w:spacing w:val="-9"/>
        </w:rPr>
        <w:t> </w:t>
      </w:r>
      <w:r>
        <w:rPr/>
        <w:t>coordinated</w:t>
      </w:r>
      <w:r>
        <w:rPr>
          <w:spacing w:val="-9"/>
        </w:rPr>
        <w:t> </w:t>
      </w:r>
      <w:r>
        <w:rPr/>
        <w:t>between</w:t>
      </w:r>
      <w:r>
        <w:rPr>
          <w:spacing w:val="-10"/>
        </w:rPr>
        <w:t> </w:t>
      </w:r>
      <w:r>
        <w:rPr/>
        <w:t>the</w:t>
      </w:r>
      <w:r>
        <w:rPr>
          <w:spacing w:val="-6"/>
        </w:rPr>
        <w:t> </w:t>
      </w:r>
      <w:r>
        <w:rPr/>
        <w:t>affected</w:t>
      </w:r>
      <w:r>
        <w:rPr>
          <w:spacing w:val="-10"/>
        </w:rPr>
        <w:t> </w:t>
      </w:r>
      <w:r>
        <w:rPr/>
        <w:t>managing</w:t>
      </w:r>
      <w:r>
        <w:rPr>
          <w:spacing w:val="-8"/>
        </w:rPr>
        <w:t> </w:t>
      </w:r>
      <w:r>
        <w:rPr>
          <w:spacing w:val="-2"/>
        </w:rPr>
        <w:t>units.</w:t>
      </w:r>
    </w:p>
    <w:p>
      <w:pPr>
        <w:pStyle w:val="BodyText"/>
        <w:spacing w:line="232" w:lineRule="auto" w:before="199"/>
        <w:ind w:left="1151" w:right="742"/>
      </w:pPr>
      <w:r>
        <w:rPr/>
        <w:t>The Pacific Northwest National Scenic Trail provides a non-motorized trail experience where visitors</w:t>
      </w:r>
      <w:r>
        <w:rPr>
          <w:spacing w:val="-4"/>
        </w:rPr>
        <w:t> </w:t>
      </w:r>
      <w:r>
        <w:rPr/>
        <w:t>can</w:t>
      </w:r>
      <w:r>
        <w:rPr>
          <w:spacing w:val="-7"/>
        </w:rPr>
        <w:t> </w:t>
      </w:r>
      <w:r>
        <w:rPr/>
        <w:t>experience</w:t>
      </w:r>
      <w:r>
        <w:rPr>
          <w:spacing w:val="-4"/>
        </w:rPr>
        <w:t> </w:t>
      </w:r>
      <w:r>
        <w:rPr/>
        <w:t>the</w:t>
      </w:r>
      <w:r>
        <w:rPr>
          <w:spacing w:val="-6"/>
        </w:rPr>
        <w:t> </w:t>
      </w:r>
      <w:r>
        <w:rPr/>
        <w:t>scenic,</w:t>
      </w:r>
      <w:r>
        <w:rPr>
          <w:spacing w:val="-4"/>
        </w:rPr>
        <w:t> </w:t>
      </w:r>
      <w:r>
        <w:rPr/>
        <w:t>historic,</w:t>
      </w:r>
      <w:r>
        <w:rPr>
          <w:spacing w:val="-6"/>
        </w:rPr>
        <w:t> </w:t>
      </w:r>
      <w:r>
        <w:rPr/>
        <w:t>natural,</w:t>
      </w:r>
      <w:r>
        <w:rPr>
          <w:spacing w:val="-4"/>
        </w:rPr>
        <w:t> </w:t>
      </w:r>
      <w:r>
        <w:rPr/>
        <w:t>and</w:t>
      </w:r>
      <w:r>
        <w:rPr>
          <w:spacing w:val="-5"/>
        </w:rPr>
        <w:t> </w:t>
      </w:r>
      <w:r>
        <w:rPr/>
        <w:t>cultural</w:t>
      </w:r>
      <w:r>
        <w:rPr>
          <w:spacing w:val="-4"/>
        </w:rPr>
        <w:t> </w:t>
      </w:r>
      <w:r>
        <w:rPr/>
        <w:t>qualities</w:t>
      </w:r>
      <w:r>
        <w:rPr>
          <w:spacing w:val="-6"/>
        </w:rPr>
        <w:t> </w:t>
      </w:r>
      <w:r>
        <w:rPr/>
        <w:t>of</w:t>
      </w:r>
      <w:r>
        <w:rPr>
          <w:spacing w:val="-6"/>
        </w:rPr>
        <w:t> </w:t>
      </w:r>
      <w:r>
        <w:rPr/>
        <w:t>the</w:t>
      </w:r>
      <w:r>
        <w:rPr>
          <w:spacing w:val="-4"/>
        </w:rPr>
        <w:t> </w:t>
      </w:r>
      <w:r>
        <w:rPr/>
        <w:t>Colville</w:t>
      </w:r>
      <w:r>
        <w:rPr>
          <w:spacing w:val="-6"/>
        </w:rPr>
        <w:t> </w:t>
      </w:r>
      <w:r>
        <w:rPr/>
        <w:t>National </w:t>
      </w:r>
      <w:r>
        <w:rPr>
          <w:spacing w:val="-2"/>
        </w:rPr>
        <w:t>Forest.</w:t>
      </w:r>
    </w:p>
    <w:p>
      <w:pPr>
        <w:spacing w:before="233"/>
        <w:ind w:left="1151" w:right="0" w:firstLine="0"/>
        <w:jc w:val="left"/>
        <w:rPr>
          <w:rFonts w:ascii="Arial"/>
          <w:i/>
          <w:sz w:val="22"/>
        </w:rPr>
      </w:pPr>
      <w:bookmarkStart w:name="MA-DC-NT-03. Pacific Northwest Scenic Tr" w:id="657"/>
      <w:bookmarkEnd w:id="657"/>
      <w:r>
        <w:rPr/>
      </w:r>
      <w:r>
        <w:rPr>
          <w:rFonts w:ascii="Arial"/>
          <w:i/>
          <w:sz w:val="22"/>
        </w:rPr>
        <w:t>MA-DC-NT-03.</w:t>
      </w:r>
      <w:r>
        <w:rPr>
          <w:rFonts w:ascii="Arial"/>
          <w:i/>
          <w:spacing w:val="-8"/>
          <w:sz w:val="22"/>
        </w:rPr>
        <w:t> </w:t>
      </w:r>
      <w:r>
        <w:rPr>
          <w:rFonts w:ascii="Arial"/>
          <w:i/>
          <w:sz w:val="22"/>
        </w:rPr>
        <w:t>Pacific</w:t>
      </w:r>
      <w:r>
        <w:rPr>
          <w:rFonts w:ascii="Arial"/>
          <w:i/>
          <w:spacing w:val="-7"/>
          <w:sz w:val="22"/>
        </w:rPr>
        <w:t> </w:t>
      </w:r>
      <w:r>
        <w:rPr>
          <w:rFonts w:ascii="Arial"/>
          <w:i/>
          <w:sz w:val="22"/>
        </w:rPr>
        <w:t>Northwest</w:t>
      </w:r>
      <w:r>
        <w:rPr>
          <w:rFonts w:ascii="Arial"/>
          <w:i/>
          <w:spacing w:val="-6"/>
          <w:sz w:val="22"/>
        </w:rPr>
        <w:t> </w:t>
      </w:r>
      <w:r>
        <w:rPr>
          <w:rFonts w:ascii="Arial"/>
          <w:i/>
          <w:sz w:val="22"/>
        </w:rPr>
        <w:t>Scenic</w:t>
      </w:r>
      <w:r>
        <w:rPr>
          <w:rFonts w:ascii="Arial"/>
          <w:i/>
          <w:spacing w:val="-6"/>
          <w:sz w:val="22"/>
        </w:rPr>
        <w:t> </w:t>
      </w:r>
      <w:r>
        <w:rPr>
          <w:rFonts w:ascii="Arial"/>
          <w:i/>
          <w:sz w:val="22"/>
        </w:rPr>
        <w:t>Trail</w:t>
      </w:r>
      <w:r>
        <w:rPr>
          <w:rFonts w:ascii="Arial"/>
          <w:i/>
          <w:spacing w:val="-8"/>
          <w:sz w:val="22"/>
        </w:rPr>
        <w:t> </w:t>
      </w:r>
      <w:r>
        <w:rPr>
          <w:rFonts w:ascii="Arial"/>
          <w:i/>
          <w:sz w:val="22"/>
        </w:rPr>
        <w:t>Interim</w:t>
      </w:r>
      <w:r>
        <w:rPr>
          <w:rFonts w:ascii="Arial"/>
          <w:i/>
          <w:spacing w:val="-5"/>
          <w:sz w:val="22"/>
        </w:rPr>
        <w:t> </w:t>
      </w:r>
      <w:r>
        <w:rPr>
          <w:rFonts w:ascii="Arial"/>
          <w:i/>
          <w:spacing w:val="-2"/>
          <w:sz w:val="22"/>
        </w:rPr>
        <w:t>Management</w:t>
      </w:r>
    </w:p>
    <w:p>
      <w:pPr>
        <w:pStyle w:val="BodyText"/>
        <w:spacing w:line="232" w:lineRule="auto" w:before="64"/>
        <w:ind w:left="1150" w:right="732"/>
      </w:pPr>
      <w:r>
        <w:rPr/>
        <w:t>Outside of congressionally designated wilderness, the Pacific Northwest National Scenic Trail's Comprehensive Plan will identify the nature and purpose of the trail, along with trail uses. In</w:t>
      </w:r>
      <w:r>
        <w:rPr>
          <w:spacing w:val="40"/>
        </w:rPr>
        <w:t> </w:t>
      </w:r>
      <w:r>
        <w:rPr/>
        <w:t>the interim, uses of the PNT’s corridor must not substantially interfere with its nature and purposes. Where segments of the PNT interim route overlay open National Forest System Roads, the motorized use on the road may continue. Motorized use identified on the motor vehicle</w:t>
      </w:r>
      <w:r>
        <w:rPr>
          <w:spacing w:val="-6"/>
        </w:rPr>
        <w:t> </w:t>
      </w:r>
      <w:r>
        <w:rPr/>
        <w:t>use</w:t>
      </w:r>
      <w:r>
        <w:rPr>
          <w:spacing w:val="-6"/>
        </w:rPr>
        <w:t> </w:t>
      </w:r>
      <w:r>
        <w:rPr/>
        <w:t>map</w:t>
      </w:r>
      <w:r>
        <w:rPr>
          <w:spacing w:val="-5"/>
        </w:rPr>
        <w:t> </w:t>
      </w:r>
      <w:r>
        <w:rPr/>
        <w:t>would</w:t>
      </w:r>
      <w:r>
        <w:rPr>
          <w:spacing w:val="-5"/>
        </w:rPr>
        <w:t> </w:t>
      </w:r>
      <w:r>
        <w:rPr/>
        <w:t>continue</w:t>
      </w:r>
      <w:r>
        <w:rPr>
          <w:spacing w:val="-3"/>
        </w:rPr>
        <w:t> </w:t>
      </w:r>
      <w:r>
        <w:rPr/>
        <w:t>on</w:t>
      </w:r>
      <w:r>
        <w:rPr>
          <w:spacing w:val="-7"/>
        </w:rPr>
        <w:t> </w:t>
      </w:r>
      <w:r>
        <w:rPr/>
        <w:t>open</w:t>
      </w:r>
      <w:r>
        <w:rPr>
          <w:spacing w:val="-5"/>
        </w:rPr>
        <w:t> </w:t>
      </w:r>
      <w:r>
        <w:rPr/>
        <w:t>National</w:t>
      </w:r>
      <w:r>
        <w:rPr>
          <w:spacing w:val="-4"/>
        </w:rPr>
        <w:t> </w:t>
      </w:r>
      <w:r>
        <w:rPr/>
        <w:t>Forest</w:t>
      </w:r>
      <w:r>
        <w:rPr>
          <w:spacing w:val="-3"/>
        </w:rPr>
        <w:t> </w:t>
      </w:r>
      <w:r>
        <w:rPr/>
        <w:t>System</w:t>
      </w:r>
      <w:r>
        <w:rPr>
          <w:spacing w:val="-5"/>
        </w:rPr>
        <w:t> </w:t>
      </w:r>
      <w:r>
        <w:rPr/>
        <w:t>roads</w:t>
      </w:r>
      <w:r>
        <w:rPr>
          <w:spacing w:val="-4"/>
        </w:rPr>
        <w:t> </w:t>
      </w:r>
      <w:r>
        <w:rPr/>
        <w:t>that</w:t>
      </w:r>
      <w:r>
        <w:rPr>
          <w:spacing w:val="-6"/>
        </w:rPr>
        <w:t> </w:t>
      </w:r>
      <w:r>
        <w:rPr/>
        <w:t>are</w:t>
      </w:r>
      <w:r>
        <w:rPr>
          <w:spacing w:val="-6"/>
        </w:rPr>
        <w:t> </w:t>
      </w:r>
      <w:r>
        <w:rPr/>
        <w:t>used</w:t>
      </w:r>
      <w:r>
        <w:rPr>
          <w:spacing w:val="-4"/>
        </w:rPr>
        <w:t> </w:t>
      </w:r>
      <w:r>
        <w:rPr/>
        <w:t>as</w:t>
      </w:r>
      <w:r>
        <w:rPr>
          <w:spacing w:val="-4"/>
        </w:rPr>
        <w:t> </w:t>
      </w:r>
      <w:r>
        <w:rPr/>
        <w:t>sections of the interim PNT route.</w:t>
      </w:r>
    </w:p>
    <w:p>
      <w:pPr>
        <w:pStyle w:val="Heading4"/>
        <w:spacing w:before="233"/>
        <w:ind w:left="1151"/>
      </w:pPr>
      <w:bookmarkStart w:name="Objective" w:id="658"/>
      <w:bookmarkEnd w:id="658"/>
      <w:r>
        <w:rPr/>
      </w:r>
      <w:bookmarkStart w:name="_bookmark204" w:id="659"/>
      <w:bookmarkEnd w:id="659"/>
      <w:r>
        <w:rPr/>
      </w:r>
      <w:r>
        <w:rPr>
          <w:spacing w:val="-2"/>
        </w:rPr>
        <w:t>Objective</w:t>
      </w:r>
    </w:p>
    <w:p>
      <w:pPr>
        <w:spacing w:before="237"/>
        <w:ind w:left="1151" w:right="0" w:firstLine="0"/>
        <w:jc w:val="left"/>
        <w:rPr>
          <w:rFonts w:ascii="Arial"/>
          <w:i/>
          <w:sz w:val="22"/>
        </w:rPr>
      </w:pPr>
      <w:bookmarkStart w:name="MA-OBJ-NT-01. Pacific Northwest National" w:id="660"/>
      <w:bookmarkEnd w:id="660"/>
      <w:r>
        <w:rPr/>
      </w:r>
      <w:r>
        <w:rPr>
          <w:rFonts w:ascii="Arial"/>
          <w:i/>
          <w:sz w:val="22"/>
        </w:rPr>
        <w:t>MA-OBJ-NT-01.</w:t>
      </w:r>
      <w:r>
        <w:rPr>
          <w:rFonts w:ascii="Arial"/>
          <w:i/>
          <w:spacing w:val="-10"/>
          <w:sz w:val="22"/>
        </w:rPr>
        <w:t> </w:t>
      </w:r>
      <w:r>
        <w:rPr>
          <w:rFonts w:ascii="Arial"/>
          <w:i/>
          <w:sz w:val="22"/>
        </w:rPr>
        <w:t>Pacific</w:t>
      </w:r>
      <w:r>
        <w:rPr>
          <w:rFonts w:ascii="Arial"/>
          <w:i/>
          <w:spacing w:val="-8"/>
          <w:sz w:val="22"/>
        </w:rPr>
        <w:t> </w:t>
      </w:r>
      <w:r>
        <w:rPr>
          <w:rFonts w:ascii="Arial"/>
          <w:i/>
          <w:sz w:val="22"/>
        </w:rPr>
        <w:t>Northwest</w:t>
      </w:r>
      <w:r>
        <w:rPr>
          <w:rFonts w:ascii="Arial"/>
          <w:i/>
          <w:spacing w:val="-7"/>
          <w:sz w:val="22"/>
        </w:rPr>
        <w:t> </w:t>
      </w:r>
      <w:r>
        <w:rPr>
          <w:rFonts w:ascii="Arial"/>
          <w:i/>
          <w:sz w:val="22"/>
        </w:rPr>
        <w:t>National</w:t>
      </w:r>
      <w:r>
        <w:rPr>
          <w:rFonts w:ascii="Arial"/>
          <w:i/>
          <w:spacing w:val="-7"/>
          <w:sz w:val="22"/>
        </w:rPr>
        <w:t> </w:t>
      </w:r>
      <w:r>
        <w:rPr>
          <w:rFonts w:ascii="Arial"/>
          <w:i/>
          <w:sz w:val="22"/>
        </w:rPr>
        <w:t>Scenic</w:t>
      </w:r>
      <w:r>
        <w:rPr>
          <w:rFonts w:ascii="Arial"/>
          <w:i/>
          <w:spacing w:val="-6"/>
          <w:sz w:val="22"/>
        </w:rPr>
        <w:t> </w:t>
      </w:r>
      <w:r>
        <w:rPr>
          <w:rFonts w:ascii="Arial"/>
          <w:i/>
          <w:spacing w:val="-2"/>
          <w:sz w:val="22"/>
        </w:rPr>
        <w:t>Trail</w:t>
      </w:r>
    </w:p>
    <w:p>
      <w:pPr>
        <w:pStyle w:val="BodyText"/>
        <w:spacing w:line="232" w:lineRule="auto" w:before="67"/>
        <w:ind w:left="1152" w:right="801"/>
      </w:pPr>
      <w:r>
        <w:rPr/>
        <w:t>Within</w:t>
      </w:r>
      <w:r>
        <w:rPr>
          <w:spacing w:val="-6"/>
        </w:rPr>
        <w:t> </w:t>
      </w:r>
      <w:r>
        <w:rPr/>
        <w:t>15</w:t>
      </w:r>
      <w:r>
        <w:rPr>
          <w:spacing w:val="-6"/>
        </w:rPr>
        <w:t> </w:t>
      </w:r>
      <w:r>
        <w:rPr/>
        <w:t>years</w:t>
      </w:r>
      <w:r>
        <w:rPr>
          <w:spacing w:val="-7"/>
        </w:rPr>
        <w:t> </w:t>
      </w:r>
      <w:r>
        <w:rPr/>
        <w:t>of</w:t>
      </w:r>
      <w:r>
        <w:rPr>
          <w:spacing w:val="-5"/>
        </w:rPr>
        <w:t> </w:t>
      </w:r>
      <w:r>
        <w:rPr/>
        <w:t>plan</w:t>
      </w:r>
      <w:r>
        <w:rPr>
          <w:spacing w:val="-6"/>
        </w:rPr>
        <w:t> </w:t>
      </w:r>
      <w:r>
        <w:rPr/>
        <w:t>implementation,</w:t>
      </w:r>
      <w:r>
        <w:rPr>
          <w:spacing w:val="-7"/>
        </w:rPr>
        <w:t> </w:t>
      </w:r>
      <w:r>
        <w:rPr/>
        <w:t>relocate</w:t>
      </w:r>
      <w:r>
        <w:rPr>
          <w:spacing w:val="-4"/>
        </w:rPr>
        <w:t> </w:t>
      </w:r>
      <w:r>
        <w:rPr/>
        <w:t>10</w:t>
      </w:r>
      <w:r>
        <w:rPr>
          <w:spacing w:val="-4"/>
        </w:rPr>
        <w:t> </w:t>
      </w:r>
      <w:r>
        <w:rPr/>
        <w:t>to</w:t>
      </w:r>
      <w:r>
        <w:rPr>
          <w:spacing w:val="-6"/>
        </w:rPr>
        <w:t> </w:t>
      </w:r>
      <w:r>
        <w:rPr/>
        <w:t>15</w:t>
      </w:r>
      <w:r>
        <w:rPr>
          <w:spacing w:val="-6"/>
        </w:rPr>
        <w:t> </w:t>
      </w:r>
      <w:r>
        <w:rPr/>
        <w:t>percent</w:t>
      </w:r>
      <w:r>
        <w:rPr>
          <w:spacing w:val="-7"/>
        </w:rPr>
        <w:t> </w:t>
      </w:r>
      <w:r>
        <w:rPr/>
        <w:t>of</w:t>
      </w:r>
      <w:r>
        <w:rPr>
          <w:spacing w:val="-5"/>
        </w:rPr>
        <w:t> </w:t>
      </w:r>
      <w:r>
        <w:rPr/>
        <w:t>the</w:t>
      </w:r>
      <w:r>
        <w:rPr>
          <w:spacing w:val="-4"/>
        </w:rPr>
        <w:t> </w:t>
      </w:r>
      <w:r>
        <w:rPr/>
        <w:t>trail</w:t>
      </w:r>
      <w:r>
        <w:rPr>
          <w:spacing w:val="-7"/>
        </w:rPr>
        <w:t> </w:t>
      </w:r>
      <w:r>
        <w:rPr/>
        <w:t>miles</w:t>
      </w:r>
      <w:r>
        <w:rPr>
          <w:spacing w:val="-5"/>
        </w:rPr>
        <w:t> </w:t>
      </w:r>
      <w:r>
        <w:rPr/>
        <w:t>currently located on roads into a non-motorized trail setting.</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tandard" w:id="661"/>
      <w:bookmarkEnd w:id="661"/>
      <w:r>
        <w:rPr/>
      </w:r>
      <w:bookmarkStart w:name="_bookmark205" w:id="662"/>
      <w:bookmarkEnd w:id="662"/>
      <w:r>
        <w:rPr/>
      </w:r>
      <w:r>
        <w:rPr>
          <w:spacing w:val="-2"/>
        </w:rPr>
        <w:t>Standard</w:t>
      </w:r>
    </w:p>
    <w:p>
      <w:pPr>
        <w:spacing w:before="240"/>
        <w:ind w:left="360" w:right="0" w:firstLine="0"/>
        <w:jc w:val="left"/>
        <w:rPr>
          <w:rFonts w:ascii="Arial"/>
          <w:i/>
          <w:sz w:val="22"/>
        </w:rPr>
      </w:pPr>
      <w:bookmarkStart w:name="MA-STD-NT-01. Management Actions" w:id="663"/>
      <w:bookmarkEnd w:id="663"/>
      <w:r>
        <w:rPr/>
      </w:r>
      <w:r>
        <w:rPr>
          <w:rFonts w:ascii="Arial"/>
          <w:i/>
          <w:sz w:val="22"/>
        </w:rPr>
        <w:t>MA-STD-NT-01.</w:t>
      </w:r>
      <w:r>
        <w:rPr>
          <w:rFonts w:ascii="Arial"/>
          <w:i/>
          <w:spacing w:val="-10"/>
          <w:sz w:val="22"/>
        </w:rPr>
        <w:t> </w:t>
      </w:r>
      <w:r>
        <w:rPr>
          <w:rFonts w:ascii="Arial"/>
          <w:i/>
          <w:sz w:val="22"/>
        </w:rPr>
        <w:t>Management</w:t>
      </w:r>
      <w:r>
        <w:rPr>
          <w:rFonts w:ascii="Arial"/>
          <w:i/>
          <w:spacing w:val="-11"/>
          <w:sz w:val="22"/>
        </w:rPr>
        <w:t> </w:t>
      </w:r>
      <w:r>
        <w:rPr>
          <w:rFonts w:ascii="Arial"/>
          <w:i/>
          <w:spacing w:val="-2"/>
          <w:sz w:val="22"/>
        </w:rPr>
        <w:t>Actions</w:t>
      </w:r>
    </w:p>
    <w:p>
      <w:pPr>
        <w:pStyle w:val="BodyText"/>
        <w:spacing w:line="232" w:lineRule="auto" w:before="65"/>
        <w:ind w:left="359" w:right="1445"/>
      </w:pPr>
      <w:r>
        <w:rPr/>
        <w:t>Visual impacts from vegetation treatments, planned ignition, recreation uses, and other structures</w:t>
      </w:r>
      <w:r>
        <w:rPr>
          <w:spacing w:val="-7"/>
        </w:rPr>
        <w:t> </w:t>
      </w:r>
      <w:r>
        <w:rPr/>
        <w:t>will</w:t>
      </w:r>
      <w:r>
        <w:rPr>
          <w:spacing w:val="-5"/>
        </w:rPr>
        <w:t> </w:t>
      </w:r>
      <w:r>
        <w:rPr/>
        <w:t>blend</w:t>
      </w:r>
      <w:r>
        <w:rPr>
          <w:spacing w:val="-6"/>
        </w:rPr>
        <w:t> </w:t>
      </w:r>
      <w:r>
        <w:rPr/>
        <w:t>with</w:t>
      </w:r>
      <w:r>
        <w:rPr>
          <w:spacing w:val="-8"/>
        </w:rPr>
        <w:t> </w:t>
      </w:r>
      <w:r>
        <w:rPr/>
        <w:t>the</w:t>
      </w:r>
      <w:r>
        <w:rPr>
          <w:spacing w:val="-7"/>
        </w:rPr>
        <w:t> </w:t>
      </w:r>
      <w:r>
        <w:rPr/>
        <w:t>overall</w:t>
      </w:r>
      <w:r>
        <w:rPr>
          <w:spacing w:val="-8"/>
        </w:rPr>
        <w:t> </w:t>
      </w:r>
      <w:r>
        <w:rPr/>
        <w:t>landscape</w:t>
      </w:r>
      <w:r>
        <w:rPr>
          <w:spacing w:val="-4"/>
        </w:rPr>
        <w:t> </w:t>
      </w:r>
      <w:r>
        <w:rPr/>
        <w:t>character</w:t>
      </w:r>
      <w:r>
        <w:rPr>
          <w:spacing w:val="-5"/>
        </w:rPr>
        <w:t> </w:t>
      </w:r>
      <w:r>
        <w:rPr/>
        <w:t>along</w:t>
      </w:r>
      <w:r>
        <w:rPr>
          <w:spacing w:val="-6"/>
        </w:rPr>
        <w:t> </w:t>
      </w:r>
      <w:r>
        <w:rPr/>
        <w:t>nationally</w:t>
      </w:r>
      <w:r>
        <w:rPr>
          <w:spacing w:val="-4"/>
        </w:rPr>
        <w:t> </w:t>
      </w:r>
      <w:r>
        <w:rPr/>
        <w:t>designated</w:t>
      </w:r>
      <w:r>
        <w:rPr>
          <w:spacing w:val="-6"/>
        </w:rPr>
        <w:t> </w:t>
      </w:r>
      <w:r>
        <w:rPr/>
        <w:t>trails.</w:t>
      </w:r>
      <w:r>
        <w:rPr>
          <w:spacing w:val="-6"/>
        </w:rPr>
        <w:t> </w:t>
      </w:r>
      <w:r>
        <w:rPr/>
        <w:t>The foreground</w:t>
      </w:r>
      <w:r>
        <w:rPr>
          <w:spacing w:val="-5"/>
        </w:rPr>
        <w:t> </w:t>
      </w:r>
      <w:r>
        <w:rPr/>
        <w:t>and</w:t>
      </w:r>
      <w:r>
        <w:rPr>
          <w:spacing w:val="-5"/>
        </w:rPr>
        <w:t> </w:t>
      </w:r>
      <w:r>
        <w:rPr/>
        <w:t>seen</w:t>
      </w:r>
      <w:r>
        <w:rPr>
          <w:spacing w:val="-5"/>
        </w:rPr>
        <w:t> </w:t>
      </w:r>
      <w:r>
        <w:rPr/>
        <w:t>area</w:t>
      </w:r>
      <w:r>
        <w:rPr>
          <w:spacing w:val="-4"/>
        </w:rPr>
        <w:t> </w:t>
      </w:r>
      <w:r>
        <w:rPr/>
        <w:t>from</w:t>
      </w:r>
      <w:r>
        <w:rPr>
          <w:spacing w:val="-5"/>
        </w:rPr>
        <w:t> </w:t>
      </w:r>
      <w:r>
        <w:rPr/>
        <w:t>the</w:t>
      </w:r>
      <w:r>
        <w:rPr>
          <w:spacing w:val="-3"/>
        </w:rPr>
        <w:t> </w:t>
      </w:r>
      <w:r>
        <w:rPr/>
        <w:t>nationally</w:t>
      </w:r>
      <w:r>
        <w:rPr>
          <w:spacing w:val="-3"/>
        </w:rPr>
        <w:t> </w:t>
      </w:r>
      <w:r>
        <w:rPr/>
        <w:t>designated</w:t>
      </w:r>
      <w:r>
        <w:rPr>
          <w:spacing w:val="-5"/>
        </w:rPr>
        <w:t> </w:t>
      </w:r>
      <w:r>
        <w:rPr/>
        <w:t>trails</w:t>
      </w:r>
      <w:r>
        <w:rPr>
          <w:spacing w:val="-6"/>
        </w:rPr>
        <w:t> </w:t>
      </w:r>
      <w:r>
        <w:rPr/>
        <w:t>will</w:t>
      </w:r>
      <w:r>
        <w:rPr>
          <w:spacing w:val="-4"/>
        </w:rPr>
        <w:t> </w:t>
      </w:r>
      <w:r>
        <w:rPr/>
        <w:t>be</w:t>
      </w:r>
      <w:r>
        <w:rPr>
          <w:spacing w:val="-6"/>
        </w:rPr>
        <w:t> </w:t>
      </w:r>
      <w:r>
        <w:rPr/>
        <w:t>managed</w:t>
      </w:r>
      <w:r>
        <w:rPr>
          <w:spacing w:val="-5"/>
        </w:rPr>
        <w:t> </w:t>
      </w:r>
      <w:r>
        <w:rPr/>
        <w:t>as</w:t>
      </w:r>
      <w:r>
        <w:rPr>
          <w:spacing w:val="-4"/>
        </w:rPr>
        <w:t> </w:t>
      </w:r>
      <w:r>
        <w:rPr/>
        <w:t>a</w:t>
      </w:r>
      <w:r>
        <w:rPr>
          <w:spacing w:val="-4"/>
        </w:rPr>
        <w:t> </w:t>
      </w:r>
      <w:r>
        <w:rPr/>
        <w:t>high</w:t>
      </w:r>
      <w:r>
        <w:rPr>
          <w:spacing w:val="-4"/>
        </w:rPr>
        <w:t> </w:t>
      </w:r>
      <w:r>
        <w:rPr/>
        <w:t>scenic integrity objective.</w:t>
      </w:r>
    </w:p>
    <w:p>
      <w:pPr>
        <w:pStyle w:val="Heading4"/>
        <w:spacing w:before="234"/>
      </w:pPr>
      <w:bookmarkStart w:name="Guidelines" w:id="664"/>
      <w:bookmarkEnd w:id="664"/>
      <w:r>
        <w:rPr/>
      </w:r>
      <w:bookmarkStart w:name="_bookmark206" w:id="665"/>
      <w:bookmarkEnd w:id="665"/>
      <w:r>
        <w:rPr/>
      </w:r>
      <w:r>
        <w:rPr>
          <w:spacing w:val="-2"/>
        </w:rPr>
        <w:t>Guidelines</w:t>
      </w:r>
    </w:p>
    <w:p>
      <w:pPr>
        <w:spacing w:before="240"/>
        <w:ind w:left="360" w:right="0" w:firstLine="0"/>
        <w:jc w:val="left"/>
        <w:rPr>
          <w:rFonts w:ascii="Arial"/>
          <w:i/>
          <w:sz w:val="22"/>
        </w:rPr>
      </w:pPr>
      <w:bookmarkStart w:name="MA-GDL-NT-01. Uses" w:id="666"/>
      <w:bookmarkEnd w:id="666"/>
      <w:r>
        <w:rPr/>
      </w:r>
      <w:r>
        <w:rPr>
          <w:rFonts w:ascii="Arial"/>
          <w:i/>
          <w:sz w:val="22"/>
        </w:rPr>
        <w:t>MA-GDL-NT-01.</w:t>
      </w:r>
      <w:r>
        <w:rPr>
          <w:rFonts w:ascii="Arial"/>
          <w:i/>
          <w:spacing w:val="-12"/>
          <w:sz w:val="22"/>
        </w:rPr>
        <w:t> </w:t>
      </w:r>
      <w:r>
        <w:rPr>
          <w:rFonts w:ascii="Arial"/>
          <w:i/>
          <w:spacing w:val="-4"/>
          <w:sz w:val="22"/>
        </w:rPr>
        <w:t>Uses</w:t>
      </w:r>
    </w:p>
    <w:p>
      <w:pPr>
        <w:pStyle w:val="BodyText"/>
        <w:spacing w:line="232" w:lineRule="auto" w:before="64"/>
        <w:ind w:left="360" w:right="1073"/>
      </w:pPr>
      <w:r>
        <w:rPr/>
        <w:t>Where</w:t>
      </w:r>
      <w:r>
        <w:rPr>
          <w:spacing w:val="-7"/>
        </w:rPr>
        <w:t> </w:t>
      </w:r>
      <w:r>
        <w:rPr/>
        <w:t>segments</w:t>
      </w:r>
      <w:r>
        <w:rPr>
          <w:spacing w:val="-7"/>
        </w:rPr>
        <w:t> </w:t>
      </w:r>
      <w:r>
        <w:rPr/>
        <w:t>of</w:t>
      </w:r>
      <w:r>
        <w:rPr>
          <w:spacing w:val="-7"/>
        </w:rPr>
        <w:t> </w:t>
      </w:r>
      <w:r>
        <w:rPr/>
        <w:t>the</w:t>
      </w:r>
      <w:r>
        <w:rPr>
          <w:spacing w:val="-6"/>
        </w:rPr>
        <w:t> </w:t>
      </w:r>
      <w:r>
        <w:rPr/>
        <w:t>PNT</w:t>
      </w:r>
      <w:r>
        <w:rPr>
          <w:spacing w:val="-7"/>
        </w:rPr>
        <w:t> </w:t>
      </w:r>
      <w:r>
        <w:rPr/>
        <w:t>overlay</w:t>
      </w:r>
      <w:r>
        <w:rPr>
          <w:spacing w:val="-5"/>
        </w:rPr>
        <w:t> </w:t>
      </w:r>
      <w:r>
        <w:rPr/>
        <w:t>National</w:t>
      </w:r>
      <w:r>
        <w:rPr>
          <w:spacing w:val="-6"/>
        </w:rPr>
        <w:t> </w:t>
      </w:r>
      <w:r>
        <w:rPr/>
        <w:t>Forest</w:t>
      </w:r>
      <w:r>
        <w:rPr>
          <w:spacing w:val="-5"/>
        </w:rPr>
        <w:t> </w:t>
      </w:r>
      <w:r>
        <w:rPr/>
        <w:t>System</w:t>
      </w:r>
      <w:r>
        <w:rPr>
          <w:spacing w:val="-6"/>
        </w:rPr>
        <w:t> </w:t>
      </w:r>
      <w:r>
        <w:rPr/>
        <w:t>roads</w:t>
      </w:r>
      <w:r>
        <w:rPr>
          <w:spacing w:val="-7"/>
        </w:rPr>
        <w:t> </w:t>
      </w:r>
      <w:r>
        <w:rPr/>
        <w:t>open</w:t>
      </w:r>
      <w:r>
        <w:rPr>
          <w:spacing w:val="-6"/>
        </w:rPr>
        <w:t> </w:t>
      </w:r>
      <w:r>
        <w:rPr/>
        <w:t>to</w:t>
      </w:r>
      <w:r>
        <w:rPr>
          <w:spacing w:val="-6"/>
        </w:rPr>
        <w:t> </w:t>
      </w:r>
      <w:r>
        <w:rPr/>
        <w:t>motorized</w:t>
      </w:r>
      <w:r>
        <w:rPr>
          <w:spacing w:val="-6"/>
        </w:rPr>
        <w:t> </w:t>
      </w:r>
      <w:r>
        <w:rPr/>
        <w:t>use,</w:t>
      </w:r>
      <w:r>
        <w:rPr>
          <w:spacing w:val="-6"/>
        </w:rPr>
        <w:t> </w:t>
      </w:r>
      <w:r>
        <w:rPr/>
        <w:t>the motorized use on the road may continue.</w:t>
      </w:r>
    </w:p>
    <w:p>
      <w:pPr>
        <w:spacing w:before="235"/>
        <w:ind w:left="359" w:right="0" w:firstLine="0"/>
        <w:jc w:val="left"/>
        <w:rPr>
          <w:rFonts w:ascii="Arial"/>
          <w:i/>
          <w:sz w:val="22"/>
        </w:rPr>
      </w:pPr>
      <w:bookmarkStart w:name="MA-GDL-NT-02. Campsites" w:id="667"/>
      <w:bookmarkEnd w:id="667"/>
      <w:r>
        <w:rPr/>
      </w:r>
      <w:r>
        <w:rPr>
          <w:rFonts w:ascii="Arial"/>
          <w:i/>
          <w:sz w:val="22"/>
        </w:rPr>
        <w:t>MA-GDL-NT-02.</w:t>
      </w:r>
      <w:r>
        <w:rPr>
          <w:rFonts w:ascii="Arial"/>
          <w:i/>
          <w:spacing w:val="-10"/>
          <w:sz w:val="22"/>
        </w:rPr>
        <w:t> </w:t>
      </w:r>
      <w:r>
        <w:rPr>
          <w:rFonts w:ascii="Arial"/>
          <w:i/>
          <w:spacing w:val="-2"/>
          <w:sz w:val="22"/>
        </w:rPr>
        <w:t>Campsites</w:t>
      </w:r>
    </w:p>
    <w:p>
      <w:pPr>
        <w:pStyle w:val="BodyText"/>
        <w:spacing w:line="232" w:lineRule="auto" w:before="64"/>
        <w:ind w:left="359" w:right="1073"/>
      </w:pPr>
      <w:r>
        <w:rPr/>
        <w:t>Where</w:t>
      </w:r>
      <w:r>
        <w:rPr>
          <w:spacing w:val="-9"/>
        </w:rPr>
        <w:t> </w:t>
      </w:r>
      <w:r>
        <w:rPr/>
        <w:t>possible,</w:t>
      </w:r>
      <w:r>
        <w:rPr>
          <w:spacing w:val="-7"/>
        </w:rPr>
        <w:t> </w:t>
      </w:r>
      <w:r>
        <w:rPr/>
        <w:t>campsites</w:t>
      </w:r>
      <w:r>
        <w:rPr>
          <w:spacing w:val="-9"/>
        </w:rPr>
        <w:t> </w:t>
      </w:r>
      <w:r>
        <w:rPr/>
        <w:t>should</w:t>
      </w:r>
      <w:r>
        <w:rPr>
          <w:spacing w:val="-8"/>
        </w:rPr>
        <w:t> </w:t>
      </w:r>
      <w:r>
        <w:rPr/>
        <w:t>be</w:t>
      </w:r>
      <w:r>
        <w:rPr>
          <w:spacing w:val="-6"/>
        </w:rPr>
        <w:t> </w:t>
      </w:r>
      <w:r>
        <w:rPr/>
        <w:t>topographically</w:t>
      </w:r>
      <w:r>
        <w:rPr>
          <w:spacing w:val="-10"/>
        </w:rPr>
        <w:t> </w:t>
      </w:r>
      <w:r>
        <w:rPr/>
        <w:t>or</w:t>
      </w:r>
      <w:r>
        <w:rPr>
          <w:spacing w:val="-7"/>
        </w:rPr>
        <w:t> </w:t>
      </w:r>
      <w:r>
        <w:rPr/>
        <w:t>vegetatively</w:t>
      </w:r>
      <w:r>
        <w:rPr>
          <w:spacing w:val="-8"/>
        </w:rPr>
        <w:t> </w:t>
      </w:r>
      <w:r>
        <w:rPr/>
        <w:t>screened</w:t>
      </w:r>
      <w:r>
        <w:rPr>
          <w:spacing w:val="-8"/>
        </w:rPr>
        <w:t> </w:t>
      </w:r>
      <w:r>
        <w:rPr/>
        <w:t>from</w:t>
      </w:r>
      <w:r>
        <w:rPr>
          <w:spacing w:val="-8"/>
        </w:rPr>
        <w:t> </w:t>
      </w:r>
      <w:r>
        <w:rPr/>
        <w:t>nationally designated trails.</w:t>
      </w:r>
    </w:p>
    <w:p>
      <w:pPr>
        <w:spacing w:before="234"/>
        <w:ind w:left="359" w:right="0" w:firstLine="0"/>
        <w:jc w:val="left"/>
        <w:rPr>
          <w:rFonts w:ascii="Arial"/>
          <w:i/>
          <w:sz w:val="22"/>
        </w:rPr>
      </w:pPr>
      <w:bookmarkStart w:name="MA-GDL-NT-03. Wildland Fire Management" w:id="668"/>
      <w:bookmarkEnd w:id="668"/>
      <w:r>
        <w:rPr/>
      </w:r>
      <w:r>
        <w:rPr>
          <w:rFonts w:ascii="Arial"/>
          <w:i/>
          <w:sz w:val="22"/>
        </w:rPr>
        <w:t>MA-GDL-NT-03.</w:t>
      </w:r>
      <w:r>
        <w:rPr>
          <w:rFonts w:ascii="Arial"/>
          <w:i/>
          <w:spacing w:val="-9"/>
          <w:sz w:val="22"/>
        </w:rPr>
        <w:t> </w:t>
      </w:r>
      <w:r>
        <w:rPr>
          <w:rFonts w:ascii="Arial"/>
          <w:i/>
          <w:sz w:val="22"/>
        </w:rPr>
        <w:t>Wildland</w:t>
      </w:r>
      <w:r>
        <w:rPr>
          <w:rFonts w:ascii="Arial"/>
          <w:i/>
          <w:spacing w:val="-8"/>
          <w:sz w:val="22"/>
        </w:rPr>
        <w:t> </w:t>
      </w:r>
      <w:r>
        <w:rPr>
          <w:rFonts w:ascii="Arial"/>
          <w:i/>
          <w:sz w:val="22"/>
        </w:rPr>
        <w:t>Fire</w:t>
      </w:r>
      <w:r>
        <w:rPr>
          <w:rFonts w:ascii="Arial"/>
          <w:i/>
          <w:spacing w:val="-8"/>
          <w:sz w:val="22"/>
        </w:rPr>
        <w:t> </w:t>
      </w:r>
      <w:r>
        <w:rPr>
          <w:rFonts w:ascii="Arial"/>
          <w:i/>
          <w:spacing w:val="-2"/>
          <w:sz w:val="22"/>
        </w:rPr>
        <w:t>Management</w:t>
      </w:r>
    </w:p>
    <w:p>
      <w:pPr>
        <w:pStyle w:val="BodyText"/>
        <w:spacing w:line="232" w:lineRule="auto" w:before="65"/>
        <w:ind w:left="359" w:right="1445"/>
      </w:pPr>
      <w:r>
        <w:rPr/>
        <w:t>Wildland</w:t>
      </w:r>
      <w:r>
        <w:rPr>
          <w:spacing w:val="-7"/>
        </w:rPr>
        <w:t> </w:t>
      </w:r>
      <w:r>
        <w:rPr/>
        <w:t>fire</w:t>
      </w:r>
      <w:r>
        <w:rPr>
          <w:spacing w:val="-5"/>
        </w:rPr>
        <w:t> </w:t>
      </w:r>
      <w:r>
        <w:rPr/>
        <w:t>should</w:t>
      </w:r>
      <w:r>
        <w:rPr>
          <w:spacing w:val="-7"/>
        </w:rPr>
        <w:t> </w:t>
      </w:r>
      <w:r>
        <w:rPr/>
        <w:t>generally</w:t>
      </w:r>
      <w:r>
        <w:rPr>
          <w:spacing w:val="-5"/>
        </w:rPr>
        <w:t> </w:t>
      </w:r>
      <w:r>
        <w:rPr/>
        <w:t>be</w:t>
      </w:r>
      <w:r>
        <w:rPr>
          <w:spacing w:val="-5"/>
        </w:rPr>
        <w:t> </w:t>
      </w:r>
      <w:r>
        <w:rPr/>
        <w:t>allowed</w:t>
      </w:r>
      <w:r>
        <w:rPr>
          <w:spacing w:val="-7"/>
        </w:rPr>
        <w:t> </w:t>
      </w:r>
      <w:r>
        <w:rPr/>
        <w:t>to</w:t>
      </w:r>
      <w:r>
        <w:rPr>
          <w:spacing w:val="-5"/>
        </w:rPr>
        <w:t> </w:t>
      </w:r>
      <w:r>
        <w:rPr/>
        <w:t>play</w:t>
      </w:r>
      <w:r>
        <w:rPr>
          <w:spacing w:val="-7"/>
        </w:rPr>
        <w:t> </w:t>
      </w:r>
      <w:r>
        <w:rPr/>
        <w:t>its</w:t>
      </w:r>
      <w:r>
        <w:rPr>
          <w:spacing w:val="-6"/>
        </w:rPr>
        <w:t> </w:t>
      </w:r>
      <w:r>
        <w:rPr/>
        <w:t>natural</w:t>
      </w:r>
      <w:r>
        <w:rPr>
          <w:spacing w:val="-6"/>
        </w:rPr>
        <w:t> </w:t>
      </w:r>
      <w:r>
        <w:rPr/>
        <w:t>role</w:t>
      </w:r>
      <w:r>
        <w:rPr>
          <w:spacing w:val="-7"/>
        </w:rPr>
        <w:t> </w:t>
      </w:r>
      <w:r>
        <w:rPr/>
        <w:t>of</w:t>
      </w:r>
      <w:r>
        <w:rPr>
          <w:spacing w:val="-6"/>
        </w:rPr>
        <w:t> </w:t>
      </w:r>
      <w:r>
        <w:rPr/>
        <w:t>influencing</w:t>
      </w:r>
      <w:r>
        <w:rPr>
          <w:spacing w:val="-7"/>
        </w:rPr>
        <w:t> </w:t>
      </w:r>
      <w:r>
        <w:rPr/>
        <w:t>natural</w:t>
      </w:r>
      <w:r>
        <w:rPr>
          <w:spacing w:val="-6"/>
        </w:rPr>
        <w:t> </w:t>
      </w:r>
      <w:r>
        <w:rPr/>
        <w:t>processes and scenic values. Trail infrastructure should be protected. Avoid closures of nationally designated trails unless the safety risk cannot be otherwise mitigated.</w:t>
      </w:r>
    </w:p>
    <w:p>
      <w:pPr>
        <w:spacing w:before="235"/>
        <w:ind w:left="359" w:right="0" w:firstLine="0"/>
        <w:jc w:val="left"/>
        <w:rPr>
          <w:rFonts w:ascii="Arial"/>
          <w:i/>
          <w:sz w:val="22"/>
        </w:rPr>
      </w:pPr>
      <w:bookmarkStart w:name="MA-GDL-NT-04. Wildland Fire Suppression" w:id="669"/>
      <w:bookmarkEnd w:id="669"/>
      <w:r>
        <w:rPr/>
      </w:r>
      <w:r>
        <w:rPr>
          <w:rFonts w:ascii="Arial"/>
          <w:i/>
          <w:sz w:val="22"/>
        </w:rPr>
        <w:t>MA-GDL-NT-04.</w:t>
      </w:r>
      <w:r>
        <w:rPr>
          <w:rFonts w:ascii="Arial"/>
          <w:i/>
          <w:spacing w:val="-9"/>
          <w:sz w:val="22"/>
        </w:rPr>
        <w:t> </w:t>
      </w:r>
      <w:r>
        <w:rPr>
          <w:rFonts w:ascii="Arial"/>
          <w:i/>
          <w:sz w:val="22"/>
        </w:rPr>
        <w:t>Wildland</w:t>
      </w:r>
      <w:r>
        <w:rPr>
          <w:rFonts w:ascii="Arial"/>
          <w:i/>
          <w:spacing w:val="-8"/>
          <w:sz w:val="22"/>
        </w:rPr>
        <w:t> </w:t>
      </w:r>
      <w:r>
        <w:rPr>
          <w:rFonts w:ascii="Arial"/>
          <w:i/>
          <w:sz w:val="22"/>
        </w:rPr>
        <w:t>Fire</w:t>
      </w:r>
      <w:r>
        <w:rPr>
          <w:rFonts w:ascii="Arial"/>
          <w:i/>
          <w:spacing w:val="-8"/>
          <w:sz w:val="22"/>
        </w:rPr>
        <w:t> </w:t>
      </w:r>
      <w:r>
        <w:rPr>
          <w:rFonts w:ascii="Arial"/>
          <w:i/>
          <w:spacing w:val="-2"/>
          <w:sz w:val="22"/>
        </w:rPr>
        <w:t>Suppression</w:t>
      </w:r>
    </w:p>
    <w:p>
      <w:pPr>
        <w:pStyle w:val="BodyText"/>
        <w:spacing w:line="232" w:lineRule="auto" w:before="65"/>
        <w:ind w:left="359" w:right="1621"/>
      </w:pPr>
      <w:r>
        <w:rPr/>
        <w:t>Creating</w:t>
      </w:r>
      <w:r>
        <w:rPr>
          <w:spacing w:val="-7"/>
        </w:rPr>
        <w:t> </w:t>
      </w:r>
      <w:r>
        <w:rPr/>
        <w:t>obvious</w:t>
      </w:r>
      <w:r>
        <w:rPr>
          <w:spacing w:val="-4"/>
        </w:rPr>
        <w:t> </w:t>
      </w:r>
      <w:r>
        <w:rPr/>
        <w:t>lasting</w:t>
      </w:r>
      <w:r>
        <w:rPr>
          <w:spacing w:val="-5"/>
        </w:rPr>
        <w:t> </w:t>
      </w:r>
      <w:r>
        <w:rPr/>
        <w:t>signs</w:t>
      </w:r>
      <w:r>
        <w:rPr>
          <w:spacing w:val="-4"/>
        </w:rPr>
        <w:t> </w:t>
      </w:r>
      <w:r>
        <w:rPr/>
        <w:t>of</w:t>
      </w:r>
      <w:r>
        <w:rPr>
          <w:spacing w:val="-4"/>
        </w:rPr>
        <w:t> </w:t>
      </w:r>
      <w:r>
        <w:rPr/>
        <w:t>suppression</w:t>
      </w:r>
      <w:r>
        <w:rPr>
          <w:spacing w:val="-7"/>
        </w:rPr>
        <w:t> </w:t>
      </w:r>
      <w:r>
        <w:rPr/>
        <w:t>activities</w:t>
      </w:r>
      <w:r>
        <w:rPr>
          <w:spacing w:val="-8"/>
        </w:rPr>
        <w:t> </w:t>
      </w:r>
      <w:r>
        <w:rPr/>
        <w:t>within</w:t>
      </w:r>
      <w:r>
        <w:rPr>
          <w:spacing w:val="-5"/>
        </w:rPr>
        <w:t> </w:t>
      </w:r>
      <w:r>
        <w:rPr/>
        <w:t>the</w:t>
      </w:r>
      <w:r>
        <w:rPr>
          <w:spacing w:val="-6"/>
        </w:rPr>
        <w:t> </w:t>
      </w:r>
      <w:r>
        <w:rPr/>
        <w:t>visible</w:t>
      </w:r>
      <w:r>
        <w:rPr>
          <w:spacing w:val="-6"/>
        </w:rPr>
        <w:t> </w:t>
      </w:r>
      <w:r>
        <w:rPr/>
        <w:t>foreground</w:t>
      </w:r>
      <w:r>
        <w:rPr>
          <w:spacing w:val="-5"/>
        </w:rPr>
        <w:t> </w:t>
      </w:r>
      <w:r>
        <w:rPr/>
        <w:t>up</w:t>
      </w:r>
      <w:r>
        <w:rPr>
          <w:spacing w:val="-5"/>
        </w:rPr>
        <w:t> </w:t>
      </w:r>
      <w:r>
        <w:rPr/>
        <w:t>to</w:t>
      </w:r>
      <w:r>
        <w:rPr>
          <w:spacing w:val="-4"/>
        </w:rPr>
        <w:t> </w:t>
      </w:r>
      <w:r>
        <w:rPr/>
        <w:t>one- half mile of centerline of nationally designated trails should be avoided. Unavoidable or unintentional suppression activities, such as helispots or cut stumps, should be fully rehabilitated within view of nationally designated trails. Use of a nationally designated trail alignment as a fireline should generally not be authorized. Natural features should instead be used for wildland fire containment lines whenever possible near nationally designated trails. Use of red chemical fire retardants near nationally designated trails where there would be a lasting visual effect should be avoided.</w:t>
      </w:r>
    </w:p>
    <w:p>
      <w:pPr>
        <w:spacing w:before="232"/>
        <w:ind w:left="359" w:right="0" w:firstLine="0"/>
        <w:jc w:val="left"/>
        <w:rPr>
          <w:rFonts w:ascii="Arial"/>
          <w:i/>
          <w:sz w:val="22"/>
        </w:rPr>
      </w:pPr>
      <w:bookmarkStart w:name="MA-GDL-NT-05. Trail Markings" w:id="670"/>
      <w:bookmarkEnd w:id="670"/>
      <w:r>
        <w:rPr/>
      </w:r>
      <w:r>
        <w:rPr>
          <w:rFonts w:ascii="Arial"/>
          <w:i/>
          <w:sz w:val="22"/>
        </w:rPr>
        <w:t>MA-GDL-NT-05.</w:t>
      </w:r>
      <w:r>
        <w:rPr>
          <w:rFonts w:ascii="Arial"/>
          <w:i/>
          <w:spacing w:val="-8"/>
          <w:sz w:val="22"/>
        </w:rPr>
        <w:t> </w:t>
      </w:r>
      <w:r>
        <w:rPr>
          <w:rFonts w:ascii="Arial"/>
          <w:i/>
          <w:sz w:val="22"/>
        </w:rPr>
        <w:t>Trail</w:t>
      </w:r>
      <w:r>
        <w:rPr>
          <w:rFonts w:ascii="Arial"/>
          <w:i/>
          <w:spacing w:val="-8"/>
          <w:sz w:val="22"/>
        </w:rPr>
        <w:t> </w:t>
      </w:r>
      <w:r>
        <w:rPr>
          <w:rFonts w:ascii="Arial"/>
          <w:i/>
          <w:spacing w:val="-2"/>
          <w:sz w:val="22"/>
        </w:rPr>
        <w:t>Markings</w:t>
      </w:r>
    </w:p>
    <w:p>
      <w:pPr>
        <w:pStyle w:val="BodyText"/>
        <w:spacing w:line="232" w:lineRule="auto" w:before="64"/>
        <w:ind w:left="359" w:right="1073"/>
      </w:pPr>
      <w:r>
        <w:rPr/>
        <w:t>Trail</w:t>
      </w:r>
      <w:r>
        <w:rPr>
          <w:spacing w:val="-5"/>
        </w:rPr>
        <w:t> </w:t>
      </w:r>
      <w:r>
        <w:rPr/>
        <w:t>markings</w:t>
      </w:r>
      <w:r>
        <w:rPr>
          <w:spacing w:val="-6"/>
        </w:rPr>
        <w:t> </w:t>
      </w:r>
      <w:r>
        <w:rPr/>
        <w:t>(such</w:t>
      </w:r>
      <w:r>
        <w:rPr>
          <w:spacing w:val="-5"/>
        </w:rPr>
        <w:t> </w:t>
      </w:r>
      <w:r>
        <w:rPr/>
        <w:t>as</w:t>
      </w:r>
      <w:r>
        <w:rPr>
          <w:spacing w:val="-6"/>
        </w:rPr>
        <w:t> </w:t>
      </w:r>
      <w:r>
        <w:rPr/>
        <w:t>signs</w:t>
      </w:r>
      <w:r>
        <w:rPr>
          <w:spacing w:val="-5"/>
        </w:rPr>
        <w:t> </w:t>
      </w:r>
      <w:r>
        <w:rPr/>
        <w:t>or</w:t>
      </w:r>
      <w:r>
        <w:rPr>
          <w:spacing w:val="-5"/>
        </w:rPr>
        <w:t> </w:t>
      </w:r>
      <w:r>
        <w:rPr/>
        <w:t>blazes)</w:t>
      </w:r>
      <w:r>
        <w:rPr>
          <w:spacing w:val="-5"/>
        </w:rPr>
        <w:t> </w:t>
      </w:r>
      <w:r>
        <w:rPr/>
        <w:t>should</w:t>
      </w:r>
      <w:r>
        <w:rPr>
          <w:spacing w:val="-5"/>
        </w:rPr>
        <w:t> </w:t>
      </w:r>
      <w:r>
        <w:rPr/>
        <w:t>be</w:t>
      </w:r>
      <w:r>
        <w:rPr>
          <w:spacing w:val="-4"/>
        </w:rPr>
        <w:t> </w:t>
      </w:r>
      <w:r>
        <w:rPr/>
        <w:t>designed</w:t>
      </w:r>
      <w:r>
        <w:rPr>
          <w:spacing w:val="-5"/>
        </w:rPr>
        <w:t> </w:t>
      </w:r>
      <w:r>
        <w:rPr/>
        <w:t>to</w:t>
      </w:r>
      <w:r>
        <w:rPr>
          <w:spacing w:val="-4"/>
        </w:rPr>
        <w:t> </w:t>
      </w:r>
      <w:r>
        <w:rPr/>
        <w:t>complement</w:t>
      </w:r>
      <w:r>
        <w:rPr>
          <w:spacing w:val="-6"/>
        </w:rPr>
        <w:t> </w:t>
      </w:r>
      <w:r>
        <w:rPr/>
        <w:t>the</w:t>
      </w:r>
      <w:r>
        <w:rPr>
          <w:spacing w:val="-4"/>
        </w:rPr>
        <w:t> </w:t>
      </w:r>
      <w:r>
        <w:rPr/>
        <w:t>character</w:t>
      </w:r>
      <w:r>
        <w:rPr>
          <w:spacing w:val="-6"/>
        </w:rPr>
        <w:t> </w:t>
      </w:r>
      <w:r>
        <w:rPr/>
        <w:t>of</w:t>
      </w:r>
      <w:r>
        <w:rPr>
          <w:spacing w:val="-6"/>
        </w:rPr>
        <w:t> </w:t>
      </w:r>
      <w:r>
        <w:rPr/>
        <w:t>the surrounding lands.</w:t>
      </w:r>
    </w:p>
    <w:p>
      <w:pPr>
        <w:spacing w:before="234"/>
        <w:ind w:left="359" w:right="0" w:firstLine="0"/>
        <w:jc w:val="left"/>
        <w:rPr>
          <w:rFonts w:ascii="Arial"/>
          <w:i/>
          <w:sz w:val="22"/>
        </w:rPr>
      </w:pPr>
      <w:bookmarkStart w:name="MA-GDL-NT-06. Vegetation Management" w:id="671"/>
      <w:bookmarkEnd w:id="671"/>
      <w:r>
        <w:rPr/>
      </w:r>
      <w:r>
        <w:rPr>
          <w:rFonts w:ascii="Arial"/>
          <w:i/>
          <w:sz w:val="22"/>
        </w:rPr>
        <w:t>MA-GDL-NT-06.</w:t>
      </w:r>
      <w:r>
        <w:rPr>
          <w:rFonts w:ascii="Arial"/>
          <w:i/>
          <w:spacing w:val="-10"/>
          <w:sz w:val="22"/>
        </w:rPr>
        <w:t> </w:t>
      </w:r>
      <w:r>
        <w:rPr>
          <w:rFonts w:ascii="Arial"/>
          <w:i/>
          <w:sz w:val="22"/>
        </w:rPr>
        <w:t>Vegetation</w:t>
      </w:r>
      <w:r>
        <w:rPr>
          <w:rFonts w:ascii="Arial"/>
          <w:i/>
          <w:spacing w:val="-11"/>
          <w:sz w:val="22"/>
        </w:rPr>
        <w:t> </w:t>
      </w:r>
      <w:r>
        <w:rPr>
          <w:rFonts w:ascii="Arial"/>
          <w:i/>
          <w:spacing w:val="-2"/>
          <w:sz w:val="22"/>
        </w:rPr>
        <w:t>Management</w:t>
      </w:r>
    </w:p>
    <w:p>
      <w:pPr>
        <w:pStyle w:val="BodyText"/>
        <w:spacing w:line="232" w:lineRule="auto" w:before="65"/>
        <w:ind w:left="359" w:right="1445"/>
      </w:pPr>
      <w:r>
        <w:rPr/>
        <w:t>Vegetation management may be used as a tool for ecosystem restoration and to retain vistas and</w:t>
      </w:r>
      <w:r>
        <w:rPr>
          <w:spacing w:val="-4"/>
        </w:rPr>
        <w:t> </w:t>
      </w:r>
      <w:r>
        <w:rPr/>
        <w:t>the</w:t>
      </w:r>
      <w:r>
        <w:rPr>
          <w:spacing w:val="-3"/>
        </w:rPr>
        <w:t> </w:t>
      </w:r>
      <w:r>
        <w:rPr/>
        <w:t>desired</w:t>
      </w:r>
      <w:r>
        <w:rPr>
          <w:spacing w:val="-4"/>
        </w:rPr>
        <w:t> </w:t>
      </w:r>
      <w:r>
        <w:rPr/>
        <w:t>condition</w:t>
      </w:r>
      <w:r>
        <w:rPr>
          <w:spacing w:val="-6"/>
        </w:rPr>
        <w:t> </w:t>
      </w:r>
      <w:r>
        <w:rPr/>
        <w:t>of</w:t>
      </w:r>
      <w:r>
        <w:rPr>
          <w:spacing w:val="-3"/>
        </w:rPr>
        <w:t> </w:t>
      </w:r>
      <w:r>
        <w:rPr/>
        <w:t>a</w:t>
      </w:r>
      <w:r>
        <w:rPr>
          <w:spacing w:val="-3"/>
        </w:rPr>
        <w:t> </w:t>
      </w:r>
      <w:r>
        <w:rPr/>
        <w:t>natural-appearing</w:t>
      </w:r>
      <w:r>
        <w:rPr>
          <w:spacing w:val="-4"/>
        </w:rPr>
        <w:t> </w:t>
      </w:r>
      <w:r>
        <w:rPr/>
        <w:t>landscape.</w:t>
      </w:r>
      <w:r>
        <w:rPr>
          <w:spacing w:val="-3"/>
        </w:rPr>
        <w:t> </w:t>
      </w:r>
      <w:r>
        <w:rPr/>
        <w:t>Hauling</w:t>
      </w:r>
      <w:r>
        <w:rPr>
          <w:spacing w:val="-4"/>
        </w:rPr>
        <w:t> </w:t>
      </w:r>
      <w:r>
        <w:rPr/>
        <w:t>and</w:t>
      </w:r>
      <w:r>
        <w:rPr>
          <w:spacing w:val="-4"/>
        </w:rPr>
        <w:t> </w:t>
      </w:r>
      <w:r>
        <w:rPr/>
        <w:t>skidding</w:t>
      </w:r>
      <w:r>
        <w:rPr>
          <w:spacing w:val="-4"/>
        </w:rPr>
        <w:t> </w:t>
      </w:r>
      <w:r>
        <w:rPr/>
        <w:t>along</w:t>
      </w:r>
      <w:r>
        <w:rPr>
          <w:spacing w:val="-4"/>
        </w:rPr>
        <w:t> </w:t>
      </w:r>
      <w:r>
        <w:rPr/>
        <w:t>the</w:t>
      </w:r>
      <w:r>
        <w:rPr>
          <w:spacing w:val="-4"/>
        </w:rPr>
        <w:t> </w:t>
      </w:r>
      <w:r>
        <w:rPr/>
        <w:t>PNT should not be allowed, to protect trail integrity.</w:t>
      </w:r>
    </w:p>
    <w:p>
      <w:pPr>
        <w:spacing w:before="233"/>
        <w:ind w:left="359" w:right="0" w:firstLine="0"/>
        <w:jc w:val="left"/>
        <w:rPr>
          <w:rFonts w:ascii="Arial"/>
          <w:i/>
          <w:sz w:val="22"/>
        </w:rPr>
      </w:pPr>
      <w:bookmarkStart w:name="MA-GDL-NT-07. Developments" w:id="672"/>
      <w:bookmarkEnd w:id="672"/>
      <w:r>
        <w:rPr/>
      </w:r>
      <w:r>
        <w:rPr>
          <w:rFonts w:ascii="Arial"/>
          <w:i/>
          <w:sz w:val="22"/>
        </w:rPr>
        <w:t>MA-GDL-NT-07.</w:t>
      </w:r>
      <w:r>
        <w:rPr>
          <w:rFonts w:ascii="Arial"/>
          <w:i/>
          <w:spacing w:val="-10"/>
          <w:sz w:val="22"/>
        </w:rPr>
        <w:t> </w:t>
      </w:r>
      <w:r>
        <w:rPr>
          <w:rFonts w:ascii="Arial"/>
          <w:i/>
          <w:spacing w:val="-2"/>
          <w:sz w:val="22"/>
        </w:rPr>
        <w:t>Developments</w:t>
      </w:r>
    </w:p>
    <w:p>
      <w:pPr>
        <w:pStyle w:val="BodyText"/>
        <w:spacing w:line="232" w:lineRule="auto" w:before="65"/>
        <w:ind w:left="359" w:right="1621"/>
      </w:pPr>
      <w:r>
        <w:rPr/>
        <w:t>New</w:t>
      </w:r>
      <w:r>
        <w:rPr>
          <w:spacing w:val="-3"/>
        </w:rPr>
        <w:t> </w:t>
      </w:r>
      <w:r>
        <w:rPr/>
        <w:t>developments</w:t>
      </w:r>
      <w:r>
        <w:rPr>
          <w:spacing w:val="-4"/>
        </w:rPr>
        <w:t> </w:t>
      </w:r>
      <w:r>
        <w:rPr/>
        <w:t>that</w:t>
      </w:r>
      <w:r>
        <w:rPr>
          <w:spacing w:val="-5"/>
        </w:rPr>
        <w:t> </w:t>
      </w:r>
      <w:r>
        <w:rPr/>
        <w:t>do</w:t>
      </w:r>
      <w:r>
        <w:rPr>
          <w:spacing w:val="-5"/>
        </w:rPr>
        <w:t> </w:t>
      </w:r>
      <w:r>
        <w:rPr/>
        <w:t>not</w:t>
      </w:r>
      <w:r>
        <w:rPr>
          <w:spacing w:val="-3"/>
        </w:rPr>
        <w:t> </w:t>
      </w:r>
      <w:r>
        <w:rPr/>
        <w:t>support</w:t>
      </w:r>
      <w:r>
        <w:rPr>
          <w:spacing w:val="-3"/>
        </w:rPr>
        <w:t> </w:t>
      </w:r>
      <w:r>
        <w:rPr/>
        <w:t>use</w:t>
      </w:r>
      <w:r>
        <w:rPr>
          <w:spacing w:val="-6"/>
        </w:rPr>
        <w:t> </w:t>
      </w:r>
      <w:r>
        <w:rPr/>
        <w:t>of</w:t>
      </w:r>
      <w:r>
        <w:rPr>
          <w:spacing w:val="-6"/>
        </w:rPr>
        <w:t> </w:t>
      </w:r>
      <w:r>
        <w:rPr/>
        <w:t>or</w:t>
      </w:r>
      <w:r>
        <w:rPr>
          <w:spacing w:val="-4"/>
        </w:rPr>
        <w:t> </w:t>
      </w:r>
      <w:r>
        <w:rPr/>
        <w:t>enhance</w:t>
      </w:r>
      <w:r>
        <w:rPr>
          <w:spacing w:val="-3"/>
        </w:rPr>
        <w:t> </w:t>
      </w:r>
      <w:r>
        <w:rPr/>
        <w:t>a</w:t>
      </w:r>
      <w:r>
        <w:rPr>
          <w:spacing w:val="-4"/>
        </w:rPr>
        <w:t> </w:t>
      </w:r>
      <w:r>
        <w:rPr/>
        <w:t>nationally</w:t>
      </w:r>
      <w:r>
        <w:rPr>
          <w:spacing w:val="-3"/>
        </w:rPr>
        <w:t> </w:t>
      </w:r>
      <w:r>
        <w:rPr/>
        <w:t>designated</w:t>
      </w:r>
      <w:r>
        <w:rPr>
          <w:spacing w:val="-7"/>
        </w:rPr>
        <w:t> </w:t>
      </w:r>
      <w:r>
        <w:rPr/>
        <w:t>trail</w:t>
      </w:r>
      <w:r>
        <w:rPr>
          <w:spacing w:val="-4"/>
        </w:rPr>
        <w:t> </w:t>
      </w:r>
      <w:r>
        <w:rPr/>
        <w:t>should not be placed on or within the visual corridor of the trail.</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Suitable Uses" w:id="673"/>
      <w:bookmarkEnd w:id="673"/>
      <w:r>
        <w:rPr/>
      </w:r>
      <w:bookmarkStart w:name="_bookmark207" w:id="674"/>
      <w:bookmarkEnd w:id="674"/>
      <w:r>
        <w:rPr/>
      </w:r>
      <w:r>
        <w:rPr/>
        <w:t>Suitable</w:t>
      </w:r>
      <w:r>
        <w:rPr>
          <w:spacing w:val="-5"/>
        </w:rPr>
        <w:t> </w:t>
      </w:r>
      <w:r>
        <w:rPr>
          <w:spacing w:val="-4"/>
        </w:rPr>
        <w:t>Uses</w:t>
      </w:r>
    </w:p>
    <w:p>
      <w:pPr>
        <w:spacing w:before="240"/>
        <w:ind w:left="1151" w:right="0" w:firstLine="0"/>
        <w:jc w:val="left"/>
        <w:rPr>
          <w:rFonts w:ascii="Arial"/>
          <w:i/>
          <w:sz w:val="22"/>
        </w:rPr>
      </w:pPr>
      <w:bookmarkStart w:name="MA-SU-NT-01. Suitable Uses" w:id="675"/>
      <w:bookmarkEnd w:id="675"/>
      <w:r>
        <w:rPr/>
      </w:r>
      <w:r>
        <w:rPr>
          <w:rFonts w:ascii="Arial"/>
          <w:i/>
          <w:sz w:val="22"/>
        </w:rPr>
        <w:t>MA-SU-NT-01.</w:t>
      </w:r>
      <w:r>
        <w:rPr>
          <w:rFonts w:ascii="Arial"/>
          <w:i/>
          <w:spacing w:val="-9"/>
          <w:sz w:val="22"/>
        </w:rPr>
        <w:t> </w:t>
      </w:r>
      <w:r>
        <w:rPr>
          <w:rFonts w:ascii="Arial"/>
          <w:i/>
          <w:sz w:val="22"/>
        </w:rPr>
        <w:t>Suitable</w:t>
      </w:r>
      <w:r>
        <w:rPr>
          <w:rFonts w:ascii="Arial"/>
          <w:i/>
          <w:spacing w:val="-11"/>
          <w:sz w:val="22"/>
        </w:rPr>
        <w:t> </w:t>
      </w:r>
      <w:r>
        <w:rPr>
          <w:rFonts w:ascii="Arial"/>
          <w:i/>
          <w:spacing w:val="-4"/>
          <w:sz w:val="22"/>
        </w:rPr>
        <w:t>Uses</w:t>
      </w:r>
    </w:p>
    <w:p>
      <w:pPr>
        <w:pStyle w:val="BodyText"/>
        <w:spacing w:before="105"/>
        <w:rPr>
          <w:rFonts w:ascii="Arial"/>
          <w:i/>
        </w:rPr>
      </w:pPr>
    </w:p>
    <w:p>
      <w:pPr>
        <w:spacing w:before="0" w:after="42"/>
        <w:ind w:left="1151" w:right="0" w:firstLine="0"/>
        <w:jc w:val="left"/>
        <w:rPr>
          <w:rFonts w:ascii="Arial"/>
          <w:b/>
          <w:sz w:val="18"/>
        </w:rPr>
      </w:pPr>
      <w:bookmarkStart w:name="_bookmark208" w:id="676"/>
      <w:bookmarkEnd w:id="676"/>
      <w:r>
        <w:rPr/>
      </w:r>
      <w:r>
        <w:rPr>
          <w:rFonts w:ascii="Arial"/>
          <w:b/>
          <w:sz w:val="18"/>
        </w:rPr>
        <w:t>Table</w:t>
      </w:r>
      <w:r>
        <w:rPr>
          <w:rFonts w:ascii="Arial"/>
          <w:b/>
          <w:spacing w:val="-5"/>
          <w:sz w:val="18"/>
        </w:rPr>
        <w:t> </w:t>
      </w:r>
      <w:r>
        <w:rPr>
          <w:rFonts w:ascii="Arial"/>
          <w:b/>
          <w:sz w:val="18"/>
        </w:rPr>
        <w:t>24.</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1"/>
          <w:sz w:val="18"/>
        </w:rPr>
        <w:t> </w:t>
      </w:r>
      <w:r>
        <w:rPr>
          <w:rFonts w:ascii="Arial"/>
          <w:b/>
          <w:sz w:val="18"/>
        </w:rPr>
        <w:t>for</w:t>
      </w:r>
      <w:r>
        <w:rPr>
          <w:rFonts w:ascii="Arial"/>
          <w:b/>
          <w:spacing w:val="-4"/>
          <w:sz w:val="18"/>
        </w:rPr>
        <w:t> </w:t>
      </w:r>
      <w:r>
        <w:rPr>
          <w:rFonts w:ascii="Arial"/>
          <w:b/>
          <w:sz w:val="18"/>
        </w:rPr>
        <w:t>Nationally</w:t>
      </w:r>
      <w:r>
        <w:rPr>
          <w:rFonts w:ascii="Arial"/>
          <w:b/>
          <w:spacing w:val="-10"/>
          <w:sz w:val="18"/>
        </w:rPr>
        <w:t> </w:t>
      </w:r>
      <w:r>
        <w:rPr>
          <w:rFonts w:ascii="Arial"/>
          <w:b/>
          <w:sz w:val="18"/>
        </w:rPr>
        <w:t>Designated</w:t>
      </w:r>
      <w:r>
        <w:rPr>
          <w:rFonts w:ascii="Arial"/>
          <w:b/>
          <w:spacing w:val="-3"/>
          <w:sz w:val="18"/>
        </w:rPr>
        <w:t> </w:t>
      </w:r>
      <w:r>
        <w:rPr>
          <w:rFonts w:ascii="Arial"/>
          <w:b/>
          <w:sz w:val="18"/>
        </w:rPr>
        <w:t>Trails</w:t>
      </w:r>
      <w:r>
        <w:rPr>
          <w:rFonts w:ascii="Arial"/>
          <w:b/>
          <w:spacing w:val="-4"/>
          <w:sz w:val="18"/>
        </w:rPr>
        <w:t> </w:t>
      </w:r>
      <w:r>
        <w:rPr>
          <w:rFonts w:ascii="Arial"/>
          <w:b/>
          <w:sz w:val="18"/>
        </w:rPr>
        <w:t>Management</w:t>
      </w:r>
      <w:r>
        <w:rPr>
          <w:rFonts w:ascii="Arial"/>
          <w:b/>
          <w:spacing w:val="-2"/>
          <w:sz w:val="18"/>
        </w:rPr>
        <w:t> Areas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510"/>
        <w:gridCol w:w="2162"/>
        <w:gridCol w:w="1877"/>
      </w:tblGrid>
      <w:tr>
        <w:trPr>
          <w:trHeight w:val="287" w:hRule="atLeast"/>
        </w:trPr>
        <w:tc>
          <w:tcPr>
            <w:tcW w:w="4510" w:type="dxa"/>
            <w:tcBorders>
              <w:right w:val="nil"/>
            </w:tcBorders>
            <w:shd w:val="clear" w:color="auto" w:fill="D5E2BB"/>
          </w:tcPr>
          <w:p>
            <w:pPr>
              <w:pStyle w:val="TableParagraph"/>
              <w:spacing w:before="42"/>
              <w:ind w:right="9"/>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162" w:type="dxa"/>
            <w:tcBorders>
              <w:left w:val="nil"/>
              <w:right w:val="nil"/>
            </w:tcBorders>
            <w:shd w:val="clear" w:color="auto" w:fill="D5E2BB"/>
          </w:tcPr>
          <w:p>
            <w:pPr>
              <w:pStyle w:val="TableParagraph"/>
              <w:spacing w:before="42"/>
              <w:ind w:left="7" w:right="4"/>
              <w:jc w:val="center"/>
              <w:rPr>
                <w:b/>
                <w:sz w:val="18"/>
              </w:rPr>
            </w:pPr>
            <w:r>
              <w:rPr>
                <w:b/>
                <w:sz w:val="18"/>
              </w:rPr>
              <w:t>May</w:t>
            </w:r>
            <w:r>
              <w:rPr>
                <w:b/>
                <w:spacing w:val="-9"/>
                <w:sz w:val="18"/>
              </w:rPr>
              <w:t> </w:t>
            </w:r>
            <w:r>
              <w:rPr>
                <w:b/>
                <w:spacing w:val="-2"/>
                <w:sz w:val="18"/>
              </w:rPr>
              <w:t>authorize</w:t>
            </w:r>
          </w:p>
        </w:tc>
        <w:tc>
          <w:tcPr>
            <w:tcW w:w="1877" w:type="dxa"/>
            <w:tcBorders>
              <w:left w:val="nil"/>
            </w:tcBorders>
            <w:shd w:val="clear" w:color="auto" w:fill="D5E2BB"/>
          </w:tcPr>
          <w:p>
            <w:pPr>
              <w:pStyle w:val="TableParagraph"/>
              <w:spacing w:before="42"/>
              <w:ind w:left="38" w:right="3"/>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510"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2162" w:type="dxa"/>
            <w:tcBorders>
              <w:left w:val="nil"/>
              <w:right w:val="nil"/>
            </w:tcBorders>
          </w:tcPr>
          <w:p>
            <w:pPr>
              <w:pStyle w:val="TableParagraph"/>
              <w:spacing w:before="42"/>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493" w:hRule="atLeast"/>
        </w:trPr>
        <w:tc>
          <w:tcPr>
            <w:tcW w:w="4510"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2162" w:type="dxa"/>
            <w:tcBorders>
              <w:left w:val="nil"/>
              <w:right w:val="nil"/>
            </w:tcBorders>
          </w:tcPr>
          <w:p>
            <w:pPr>
              <w:pStyle w:val="TableParagraph"/>
              <w:spacing w:before="0"/>
              <w:rPr>
                <w:rFonts w:ascii="Times New Roman"/>
                <w:sz w:val="18"/>
              </w:rPr>
            </w:pPr>
          </w:p>
        </w:tc>
        <w:tc>
          <w:tcPr>
            <w:tcW w:w="1877" w:type="dxa"/>
            <w:tcBorders>
              <w:left w:val="nil"/>
            </w:tcBorders>
          </w:tcPr>
          <w:p>
            <w:pPr>
              <w:pStyle w:val="TableParagraph"/>
              <w:ind w:left="38" w:right="5"/>
              <w:jc w:val="center"/>
              <w:rPr>
                <w:sz w:val="18"/>
              </w:rPr>
            </w:pPr>
            <w:r>
              <w:rPr>
                <w:spacing w:val="-10"/>
                <w:sz w:val="18"/>
              </w:rPr>
              <w:t>X</w:t>
            </w:r>
          </w:p>
        </w:tc>
      </w:tr>
      <w:tr>
        <w:trPr>
          <w:trHeight w:val="287" w:hRule="atLeast"/>
        </w:trPr>
        <w:tc>
          <w:tcPr>
            <w:tcW w:w="4510"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2162" w:type="dxa"/>
            <w:tcBorders>
              <w:left w:val="nil"/>
              <w:right w:val="nil"/>
            </w:tcBorders>
          </w:tcPr>
          <w:p>
            <w:pPr>
              <w:pStyle w:val="TableParagraph"/>
              <w:spacing w:before="0"/>
              <w:rPr>
                <w:rFonts w:ascii="Times New Roman"/>
                <w:sz w:val="18"/>
              </w:rPr>
            </w:pPr>
          </w:p>
        </w:tc>
        <w:tc>
          <w:tcPr>
            <w:tcW w:w="1877" w:type="dxa"/>
            <w:tcBorders>
              <w:left w:val="nil"/>
            </w:tcBorders>
          </w:tcPr>
          <w:p>
            <w:pPr>
              <w:pStyle w:val="TableParagraph"/>
              <w:ind w:left="38" w:right="5"/>
              <w:jc w:val="center"/>
              <w:rPr>
                <w:sz w:val="18"/>
              </w:rPr>
            </w:pPr>
            <w:r>
              <w:rPr>
                <w:spacing w:val="-10"/>
                <w:sz w:val="18"/>
              </w:rPr>
              <w:t>X</w:t>
            </w:r>
          </w:p>
        </w:tc>
      </w:tr>
      <w:tr>
        <w:trPr>
          <w:trHeight w:val="493" w:hRule="atLeast"/>
        </w:trPr>
        <w:tc>
          <w:tcPr>
            <w:tcW w:w="4510" w:type="dxa"/>
            <w:tcBorders>
              <w:right w:val="nil"/>
            </w:tcBorders>
          </w:tcPr>
          <w:p>
            <w:pPr>
              <w:pStyle w:val="TableParagraph"/>
              <w:ind w:left="107" w:right="210"/>
              <w:rPr>
                <w:b/>
                <w:sz w:val="18"/>
              </w:rPr>
            </w:pPr>
            <w:r>
              <w:rPr>
                <w:b/>
                <w:sz w:val="18"/>
              </w:rPr>
              <w:t>Forest</w:t>
            </w:r>
            <w:r>
              <w:rPr>
                <w:b/>
                <w:spacing w:val="-9"/>
                <w:sz w:val="18"/>
              </w:rPr>
              <w:t> </w:t>
            </w:r>
            <w:r>
              <w:rPr>
                <w:b/>
                <w:sz w:val="18"/>
              </w:rPr>
              <w:t>products,</w:t>
            </w:r>
            <w:r>
              <w:rPr>
                <w:b/>
                <w:spacing w:val="-9"/>
                <w:sz w:val="18"/>
              </w:rPr>
              <w:t> </w:t>
            </w:r>
            <w:r>
              <w:rPr>
                <w:b/>
                <w:sz w:val="18"/>
              </w:rPr>
              <w:t>firewood,</w:t>
            </w:r>
            <w:r>
              <w:rPr>
                <w:b/>
                <w:spacing w:val="-9"/>
                <w:sz w:val="18"/>
              </w:rPr>
              <w:t> </w:t>
            </w:r>
            <w:r>
              <w:rPr>
                <w:b/>
                <w:sz w:val="18"/>
              </w:rPr>
              <w:t>permitted</w:t>
            </w:r>
            <w:r>
              <w:rPr>
                <w:b/>
                <w:spacing w:val="-9"/>
                <w:sz w:val="18"/>
              </w:rPr>
              <w:t> </w:t>
            </w:r>
            <w:r>
              <w:rPr>
                <w:b/>
                <w:sz w:val="18"/>
              </w:rPr>
              <w:t>personal </w:t>
            </w:r>
            <w:r>
              <w:rPr>
                <w:b/>
                <w:spacing w:val="-4"/>
                <w:sz w:val="18"/>
              </w:rPr>
              <w:t>use</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908" w:hRule="atLeast"/>
        </w:trPr>
        <w:tc>
          <w:tcPr>
            <w:tcW w:w="4510" w:type="dxa"/>
            <w:tcBorders>
              <w:right w:val="nil"/>
            </w:tcBorders>
          </w:tcPr>
          <w:p>
            <w:pPr>
              <w:pStyle w:val="TableParagraph"/>
              <w:ind w:left="107" w:right="210"/>
              <w:rPr>
                <w:b/>
                <w:sz w:val="18"/>
              </w:rPr>
            </w:pPr>
            <w:r>
              <w:rPr>
                <w:b/>
                <w:sz w:val="18"/>
              </w:rPr>
              <w:t>Infrastructure, above ground infrastructure associated</w:t>
            </w:r>
            <w:r>
              <w:rPr>
                <w:b/>
                <w:spacing w:val="-6"/>
                <w:sz w:val="18"/>
              </w:rPr>
              <w:t> </w:t>
            </w:r>
            <w:r>
              <w:rPr>
                <w:b/>
                <w:sz w:val="18"/>
              </w:rPr>
              <w:t>with</w:t>
            </w:r>
            <w:r>
              <w:rPr>
                <w:b/>
                <w:spacing w:val="-6"/>
                <w:sz w:val="18"/>
              </w:rPr>
              <w:t> </w:t>
            </w:r>
            <w:r>
              <w:rPr>
                <w:b/>
                <w:sz w:val="18"/>
              </w:rPr>
              <w:t>special</w:t>
            </w:r>
            <w:r>
              <w:rPr>
                <w:b/>
                <w:spacing w:val="-6"/>
                <w:sz w:val="18"/>
              </w:rPr>
              <w:t> </w:t>
            </w:r>
            <w:r>
              <w:rPr>
                <w:b/>
                <w:sz w:val="18"/>
              </w:rPr>
              <w:t>use</w:t>
            </w:r>
            <w:r>
              <w:rPr>
                <w:b/>
                <w:spacing w:val="-6"/>
                <w:sz w:val="18"/>
              </w:rPr>
              <w:t> </w:t>
            </w:r>
            <w:r>
              <w:rPr>
                <w:b/>
                <w:sz w:val="18"/>
              </w:rPr>
              <w:t>permits,</w:t>
            </w:r>
            <w:r>
              <w:rPr>
                <w:b/>
                <w:spacing w:val="-6"/>
                <w:sz w:val="18"/>
              </w:rPr>
              <w:t> </w:t>
            </w:r>
            <w:r>
              <w:rPr>
                <w:b/>
                <w:sz w:val="18"/>
              </w:rPr>
              <w:t>such</w:t>
            </w:r>
            <w:r>
              <w:rPr>
                <w:b/>
                <w:spacing w:val="-6"/>
                <w:sz w:val="18"/>
              </w:rPr>
              <w:t> </w:t>
            </w:r>
            <w:r>
              <w:rPr>
                <w:b/>
                <w:sz w:val="18"/>
              </w:rPr>
              <w:t>as communication sites, energy</w:t>
            </w:r>
            <w:r>
              <w:rPr>
                <w:b/>
                <w:spacing w:val="-1"/>
                <w:sz w:val="18"/>
              </w:rPr>
              <w:t> </w:t>
            </w:r>
            <w:r>
              <w:rPr>
                <w:b/>
                <w:sz w:val="18"/>
              </w:rPr>
              <w:t>developments, and/or utility lines.</w:t>
            </w:r>
          </w:p>
        </w:tc>
        <w:tc>
          <w:tcPr>
            <w:tcW w:w="2162"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line="207" w:lineRule="exact" w:before="0"/>
              <w:ind w:left="7"/>
              <w:jc w:val="center"/>
              <w:rPr>
                <w:sz w:val="18"/>
              </w:rPr>
            </w:pPr>
            <w:r>
              <w:rPr>
                <w:sz w:val="18"/>
              </w:rPr>
              <w:t>(Existing</w:t>
            </w:r>
            <w:r>
              <w:rPr>
                <w:spacing w:val="-11"/>
                <w:sz w:val="18"/>
              </w:rPr>
              <w:t> </w:t>
            </w:r>
            <w:r>
              <w:rPr>
                <w:spacing w:val="-2"/>
                <w:sz w:val="18"/>
              </w:rPr>
              <w:t>infrastructure)</w:t>
            </w:r>
          </w:p>
        </w:tc>
        <w:tc>
          <w:tcPr>
            <w:tcW w:w="1877" w:type="dxa"/>
            <w:tcBorders>
              <w:left w:val="nil"/>
            </w:tcBorders>
          </w:tcPr>
          <w:p>
            <w:pPr>
              <w:pStyle w:val="TableParagraph"/>
              <w:spacing w:line="207" w:lineRule="exact"/>
              <w:ind w:left="38" w:right="5"/>
              <w:jc w:val="center"/>
              <w:rPr>
                <w:sz w:val="18"/>
              </w:rPr>
            </w:pPr>
            <w:r>
              <w:rPr>
                <w:spacing w:val="-10"/>
                <w:sz w:val="18"/>
              </w:rPr>
              <w:t>X</w:t>
            </w:r>
          </w:p>
          <w:p>
            <w:pPr>
              <w:pStyle w:val="TableParagraph"/>
              <w:spacing w:line="207" w:lineRule="exact" w:before="0"/>
              <w:ind w:left="38"/>
              <w:jc w:val="center"/>
              <w:rPr>
                <w:sz w:val="18"/>
              </w:rPr>
            </w:pPr>
            <w:r>
              <w:rPr>
                <w:sz w:val="18"/>
              </w:rPr>
              <w:t>(New</w:t>
            </w:r>
            <w:r>
              <w:rPr>
                <w:spacing w:val="-6"/>
                <w:sz w:val="18"/>
              </w:rPr>
              <w:t> </w:t>
            </w:r>
            <w:r>
              <w:rPr>
                <w:spacing w:val="-2"/>
                <w:sz w:val="18"/>
              </w:rPr>
              <w:t>infrastructure)</w:t>
            </w:r>
          </w:p>
        </w:tc>
      </w:tr>
      <w:tr>
        <w:trPr>
          <w:trHeight w:val="1321" w:hRule="atLeast"/>
        </w:trPr>
        <w:tc>
          <w:tcPr>
            <w:tcW w:w="4510"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162"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before="0"/>
              <w:ind w:left="146" w:right="140" w:hanging="3"/>
              <w:jc w:val="center"/>
              <w:rPr>
                <w:sz w:val="18"/>
              </w:rPr>
            </w:pPr>
            <w:r>
              <w:rPr>
                <w:sz w:val="18"/>
              </w:rPr>
              <w:t>(Except in designated wilderness or if otherwise</w:t>
            </w:r>
            <w:r>
              <w:rPr>
                <w:spacing w:val="-15"/>
                <w:sz w:val="18"/>
              </w:rPr>
              <w:t> </w:t>
            </w:r>
            <w:r>
              <w:rPr>
                <w:sz w:val="18"/>
              </w:rPr>
              <w:t>not</w:t>
            </w:r>
            <w:r>
              <w:rPr>
                <w:spacing w:val="-12"/>
                <w:sz w:val="18"/>
              </w:rPr>
              <w:t> </w:t>
            </w:r>
            <w:r>
              <w:rPr>
                <w:sz w:val="18"/>
              </w:rPr>
              <w:t>permitted in the trail’s comprehensive plan)</w:t>
            </w:r>
          </w:p>
        </w:tc>
        <w:tc>
          <w:tcPr>
            <w:tcW w:w="1877" w:type="dxa"/>
            <w:tcBorders>
              <w:left w:val="nil"/>
            </w:tcBorders>
          </w:tcPr>
          <w:p>
            <w:pPr>
              <w:pStyle w:val="TableParagraph"/>
              <w:spacing w:line="207" w:lineRule="exact"/>
              <w:ind w:left="38" w:right="4"/>
              <w:jc w:val="center"/>
              <w:rPr>
                <w:sz w:val="18"/>
              </w:rPr>
            </w:pPr>
            <w:r>
              <w:rPr>
                <w:spacing w:val="-10"/>
                <w:sz w:val="18"/>
              </w:rPr>
              <w:t>X</w:t>
            </w:r>
          </w:p>
          <w:p>
            <w:pPr>
              <w:pStyle w:val="TableParagraph"/>
              <w:spacing w:before="0"/>
              <w:ind w:left="168" w:right="130"/>
              <w:jc w:val="center"/>
              <w:rPr>
                <w:sz w:val="18"/>
              </w:rPr>
            </w:pPr>
            <w:r>
              <w:rPr>
                <w:sz w:val="18"/>
              </w:rPr>
              <w:t>(New</w:t>
            </w:r>
            <w:r>
              <w:rPr>
                <w:spacing w:val="-13"/>
                <w:sz w:val="18"/>
              </w:rPr>
              <w:t> </w:t>
            </w:r>
            <w:r>
              <w:rPr>
                <w:sz w:val="18"/>
              </w:rPr>
              <w:t>mechanized use in </w:t>
            </w:r>
            <w:r>
              <w:rPr>
                <w:spacing w:val="-2"/>
                <w:sz w:val="18"/>
              </w:rPr>
              <w:t>recommended wilderness)</w:t>
            </w:r>
          </w:p>
        </w:tc>
      </w:tr>
      <w:tr>
        <w:trPr>
          <w:trHeight w:val="287" w:hRule="atLeast"/>
        </w:trPr>
        <w:tc>
          <w:tcPr>
            <w:tcW w:w="4510"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4"/>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2162" w:type="dxa"/>
            <w:tcBorders>
              <w:left w:val="nil"/>
              <w:right w:val="nil"/>
            </w:tcBorders>
          </w:tcPr>
          <w:p>
            <w:pPr>
              <w:pStyle w:val="TableParagraph"/>
              <w:ind w:left="7" w:right="5"/>
              <w:jc w:val="center"/>
              <w:rPr>
                <w:sz w:val="18"/>
              </w:rPr>
            </w:pPr>
            <w:r>
              <w:rPr>
                <w:spacing w:val="-5"/>
                <w:sz w:val="18"/>
              </w:rPr>
              <w:t>X*</w:t>
            </w:r>
          </w:p>
        </w:tc>
        <w:tc>
          <w:tcPr>
            <w:tcW w:w="1877" w:type="dxa"/>
            <w:tcBorders>
              <w:left w:val="nil"/>
            </w:tcBorders>
          </w:tcPr>
          <w:p>
            <w:pPr>
              <w:pStyle w:val="TableParagraph"/>
              <w:spacing w:before="0"/>
              <w:rPr>
                <w:rFonts w:ascii="Times New Roman"/>
                <w:sz w:val="18"/>
              </w:rPr>
            </w:pPr>
          </w:p>
        </w:tc>
      </w:tr>
      <w:tr>
        <w:trPr>
          <w:trHeight w:val="284" w:hRule="atLeast"/>
        </w:trPr>
        <w:tc>
          <w:tcPr>
            <w:tcW w:w="4510"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2162" w:type="dxa"/>
            <w:tcBorders>
              <w:left w:val="nil"/>
              <w:right w:val="nil"/>
            </w:tcBorders>
          </w:tcPr>
          <w:p>
            <w:pPr>
              <w:pStyle w:val="TableParagraph"/>
              <w:ind w:left="7" w:right="3"/>
              <w:jc w:val="center"/>
              <w:rPr>
                <w:sz w:val="18"/>
              </w:rPr>
            </w:pPr>
            <w:r>
              <w:rPr>
                <w:spacing w:val="-5"/>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salable</w:t>
            </w:r>
          </w:p>
        </w:tc>
        <w:tc>
          <w:tcPr>
            <w:tcW w:w="2162" w:type="dxa"/>
            <w:tcBorders>
              <w:left w:val="nil"/>
              <w:right w:val="nil"/>
            </w:tcBorders>
          </w:tcPr>
          <w:p>
            <w:pPr>
              <w:pStyle w:val="TableParagraph"/>
              <w:spacing w:before="42"/>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496" w:hRule="atLeast"/>
        </w:trPr>
        <w:tc>
          <w:tcPr>
            <w:tcW w:w="4510" w:type="dxa"/>
            <w:tcBorders>
              <w:right w:val="nil"/>
            </w:tcBorders>
          </w:tcPr>
          <w:p>
            <w:pPr>
              <w:pStyle w:val="TableParagraph"/>
              <w:spacing w:before="42"/>
              <w:ind w:left="107"/>
              <w:rPr>
                <w:b/>
                <w:sz w:val="18"/>
              </w:rPr>
            </w:pPr>
            <w:r>
              <w:rPr>
                <w:b/>
                <w:sz w:val="18"/>
              </w:rPr>
              <w:t>Motorized</w:t>
            </w:r>
            <w:r>
              <w:rPr>
                <w:b/>
                <w:spacing w:val="-5"/>
                <w:sz w:val="18"/>
              </w:rPr>
              <w:t> </w:t>
            </w:r>
            <w:r>
              <w:rPr>
                <w:b/>
                <w:sz w:val="18"/>
              </w:rPr>
              <w:t>recreational</w:t>
            </w:r>
            <w:r>
              <w:rPr>
                <w:b/>
                <w:spacing w:val="-5"/>
                <w:sz w:val="18"/>
              </w:rPr>
              <w:t> </w:t>
            </w:r>
            <w:r>
              <w:rPr>
                <w:b/>
                <w:sz w:val="18"/>
              </w:rPr>
              <w:t>use,</w:t>
            </w:r>
            <w:r>
              <w:rPr>
                <w:b/>
                <w:spacing w:val="-6"/>
                <w:sz w:val="18"/>
              </w:rPr>
              <w:t> </w:t>
            </w:r>
            <w:r>
              <w:rPr>
                <w:b/>
                <w:sz w:val="18"/>
              </w:rPr>
              <w:t>summer,</w:t>
            </w:r>
            <w:r>
              <w:rPr>
                <w:b/>
                <w:spacing w:val="-6"/>
                <w:sz w:val="18"/>
              </w:rPr>
              <w:t> </w:t>
            </w:r>
            <w:r>
              <w:rPr>
                <w:b/>
                <w:sz w:val="18"/>
              </w:rPr>
              <w:t>trails</w:t>
            </w:r>
            <w:r>
              <w:rPr>
                <w:b/>
                <w:spacing w:val="-6"/>
                <w:sz w:val="18"/>
              </w:rPr>
              <w:t> </w:t>
            </w:r>
            <w:r>
              <w:rPr>
                <w:b/>
                <w:sz w:val="18"/>
              </w:rPr>
              <w:t>or</w:t>
            </w:r>
            <w:r>
              <w:rPr>
                <w:b/>
                <w:spacing w:val="-5"/>
                <w:sz w:val="18"/>
              </w:rPr>
              <w:t> </w:t>
            </w:r>
            <w:r>
              <w:rPr>
                <w:b/>
                <w:sz w:val="18"/>
              </w:rPr>
              <w:t>play </w:t>
            </w:r>
            <w:r>
              <w:rPr>
                <w:b/>
                <w:spacing w:val="-2"/>
                <w:sz w:val="18"/>
              </w:rPr>
              <w:t>areas</w:t>
            </w:r>
          </w:p>
        </w:tc>
        <w:tc>
          <w:tcPr>
            <w:tcW w:w="2162" w:type="dxa"/>
            <w:tcBorders>
              <w:left w:val="nil"/>
              <w:right w:val="nil"/>
            </w:tcBorders>
          </w:tcPr>
          <w:p>
            <w:pPr>
              <w:pStyle w:val="TableParagraph"/>
              <w:spacing w:before="0"/>
              <w:rPr>
                <w:rFonts w:ascii="Times New Roman"/>
                <w:sz w:val="18"/>
              </w:rPr>
            </w:pPr>
          </w:p>
        </w:tc>
        <w:tc>
          <w:tcPr>
            <w:tcW w:w="1877" w:type="dxa"/>
            <w:tcBorders>
              <w:left w:val="nil"/>
            </w:tcBorders>
          </w:tcPr>
          <w:p>
            <w:pPr>
              <w:pStyle w:val="TableParagraph"/>
              <w:spacing w:before="42"/>
              <w:ind w:left="38" w:right="5"/>
              <w:jc w:val="center"/>
              <w:rPr>
                <w:sz w:val="18"/>
              </w:rPr>
            </w:pPr>
            <w:r>
              <w:rPr>
                <w:spacing w:val="-10"/>
                <w:sz w:val="18"/>
              </w:rPr>
              <w:t>X</w:t>
            </w:r>
          </w:p>
        </w:tc>
      </w:tr>
      <w:tr>
        <w:trPr>
          <w:trHeight w:val="1528" w:hRule="atLeast"/>
        </w:trPr>
        <w:tc>
          <w:tcPr>
            <w:tcW w:w="4510" w:type="dxa"/>
            <w:tcBorders>
              <w:right w:val="nil"/>
            </w:tcBorders>
          </w:tcPr>
          <w:p>
            <w:pPr>
              <w:pStyle w:val="TableParagraph"/>
              <w:ind w:left="107"/>
              <w:rPr>
                <w:b/>
                <w:sz w:val="18"/>
              </w:rPr>
            </w:pPr>
            <w:r>
              <w:rPr>
                <w:b/>
                <w:sz w:val="18"/>
              </w:rPr>
              <w:t>Motorized</w:t>
            </w:r>
            <w:r>
              <w:rPr>
                <w:b/>
                <w:spacing w:val="-6"/>
                <w:sz w:val="18"/>
              </w:rPr>
              <w:t> </w:t>
            </w:r>
            <w:r>
              <w:rPr>
                <w:b/>
                <w:sz w:val="18"/>
              </w:rPr>
              <w:t>recreational</w:t>
            </w:r>
            <w:r>
              <w:rPr>
                <w:b/>
                <w:spacing w:val="-6"/>
                <w:sz w:val="18"/>
              </w:rPr>
              <w:t> </w:t>
            </w:r>
            <w:r>
              <w:rPr>
                <w:b/>
                <w:sz w:val="18"/>
              </w:rPr>
              <w:t>use,</w:t>
            </w:r>
            <w:r>
              <w:rPr>
                <w:b/>
                <w:spacing w:val="-7"/>
                <w:sz w:val="18"/>
              </w:rPr>
              <w:t> </w:t>
            </w:r>
            <w:r>
              <w:rPr>
                <w:b/>
                <w:sz w:val="18"/>
              </w:rPr>
              <w:t>winter,</w:t>
            </w:r>
            <w:r>
              <w:rPr>
                <w:b/>
                <w:spacing w:val="-5"/>
                <w:sz w:val="18"/>
              </w:rPr>
              <w:t> </w:t>
            </w:r>
            <w:r>
              <w:rPr>
                <w:b/>
                <w:sz w:val="18"/>
              </w:rPr>
              <w:t>trails</w:t>
            </w:r>
            <w:r>
              <w:rPr>
                <w:b/>
                <w:spacing w:val="-7"/>
                <w:sz w:val="18"/>
              </w:rPr>
              <w:t> </w:t>
            </w:r>
            <w:r>
              <w:rPr>
                <w:b/>
                <w:sz w:val="18"/>
              </w:rPr>
              <w:t>or</w:t>
            </w:r>
            <w:r>
              <w:rPr>
                <w:b/>
                <w:spacing w:val="-6"/>
                <w:sz w:val="18"/>
              </w:rPr>
              <w:t> </w:t>
            </w:r>
            <w:r>
              <w:rPr>
                <w:b/>
                <w:sz w:val="18"/>
              </w:rPr>
              <w:t>cross- </w:t>
            </w:r>
            <w:r>
              <w:rPr>
                <w:b/>
                <w:spacing w:val="-2"/>
                <w:sz w:val="18"/>
              </w:rPr>
              <w:t>country</w:t>
            </w:r>
          </w:p>
        </w:tc>
        <w:tc>
          <w:tcPr>
            <w:tcW w:w="2162"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before="0"/>
              <w:ind w:left="242" w:right="235" w:hanging="3"/>
              <w:jc w:val="center"/>
              <w:rPr>
                <w:sz w:val="18"/>
              </w:rPr>
            </w:pPr>
            <w:r>
              <w:rPr>
                <w:sz w:val="18"/>
              </w:rPr>
              <w:t>(Existing trails and cross-country</w:t>
            </w:r>
            <w:r>
              <w:rPr>
                <w:spacing w:val="-13"/>
                <w:sz w:val="18"/>
              </w:rPr>
              <w:t> </w:t>
            </w:r>
            <w:r>
              <w:rPr>
                <w:sz w:val="18"/>
              </w:rPr>
              <w:t>routes, except</w:t>
            </w:r>
            <w:r>
              <w:rPr>
                <w:spacing w:val="-4"/>
                <w:sz w:val="18"/>
              </w:rPr>
              <w:t> </w:t>
            </w:r>
            <w:r>
              <w:rPr>
                <w:sz w:val="18"/>
              </w:rPr>
              <w:t>in</w:t>
            </w:r>
            <w:r>
              <w:rPr>
                <w:spacing w:val="-3"/>
                <w:sz w:val="18"/>
              </w:rPr>
              <w:t> </w:t>
            </w:r>
            <w:r>
              <w:rPr>
                <w:sz w:val="18"/>
              </w:rPr>
              <w:t>designated wilderness or </w:t>
            </w:r>
            <w:r>
              <w:rPr>
                <w:spacing w:val="-2"/>
                <w:sz w:val="18"/>
              </w:rPr>
              <w:t>recommended wilderness)</w:t>
            </w:r>
          </w:p>
        </w:tc>
        <w:tc>
          <w:tcPr>
            <w:tcW w:w="1877" w:type="dxa"/>
            <w:tcBorders>
              <w:left w:val="nil"/>
            </w:tcBorders>
          </w:tcPr>
          <w:p>
            <w:pPr>
              <w:pStyle w:val="TableParagraph"/>
              <w:spacing w:line="207" w:lineRule="exact" w:before="40"/>
              <w:ind w:left="38" w:right="5"/>
              <w:jc w:val="center"/>
              <w:rPr>
                <w:sz w:val="18"/>
              </w:rPr>
            </w:pPr>
            <w:r>
              <w:rPr>
                <w:spacing w:val="-10"/>
                <w:sz w:val="18"/>
              </w:rPr>
              <w:t>X</w:t>
            </w:r>
          </w:p>
          <w:p>
            <w:pPr>
              <w:pStyle w:val="TableParagraph"/>
              <w:spacing w:before="0"/>
              <w:ind w:left="350" w:right="312"/>
              <w:jc w:val="center"/>
              <w:rPr>
                <w:sz w:val="18"/>
              </w:rPr>
            </w:pPr>
            <w:r>
              <w:rPr>
                <w:sz w:val="18"/>
              </w:rPr>
              <w:t>(New</w:t>
            </w:r>
            <w:r>
              <w:rPr>
                <w:spacing w:val="-15"/>
                <w:sz w:val="18"/>
              </w:rPr>
              <w:t> </w:t>
            </w:r>
            <w:r>
              <w:rPr>
                <w:sz w:val="18"/>
              </w:rPr>
              <w:t>trails</w:t>
            </w:r>
            <w:r>
              <w:rPr>
                <w:spacing w:val="-12"/>
                <w:sz w:val="18"/>
              </w:rPr>
              <w:t> </w:t>
            </w:r>
            <w:r>
              <w:rPr>
                <w:sz w:val="18"/>
              </w:rPr>
              <w:t>and </w:t>
            </w:r>
            <w:r>
              <w:rPr>
                <w:spacing w:val="-2"/>
                <w:sz w:val="18"/>
              </w:rPr>
              <w:t>cross-country routes)</w:t>
            </w:r>
          </w:p>
        </w:tc>
      </w:tr>
      <w:tr>
        <w:trPr>
          <w:trHeight w:val="287" w:hRule="atLeast"/>
        </w:trPr>
        <w:tc>
          <w:tcPr>
            <w:tcW w:w="451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162" w:type="dxa"/>
            <w:tcBorders>
              <w:left w:val="nil"/>
              <w:right w:val="nil"/>
            </w:tcBorders>
          </w:tcPr>
          <w:p>
            <w:pPr>
              <w:pStyle w:val="TableParagraph"/>
              <w:ind w:left="7" w:right="1"/>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906" w:hRule="atLeast"/>
        </w:trPr>
        <w:tc>
          <w:tcPr>
            <w:tcW w:w="4510"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162"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before="0"/>
              <w:ind w:left="150" w:right="145" w:firstLine="36"/>
              <w:jc w:val="both"/>
              <w:rPr>
                <w:sz w:val="18"/>
              </w:rPr>
            </w:pPr>
            <w:r>
              <w:rPr>
                <w:sz w:val="18"/>
              </w:rPr>
              <w:t>(Must not substantially interfere</w:t>
            </w:r>
            <w:r>
              <w:rPr>
                <w:spacing w:val="-13"/>
                <w:sz w:val="18"/>
              </w:rPr>
              <w:t> </w:t>
            </w:r>
            <w:r>
              <w:rPr>
                <w:sz w:val="18"/>
              </w:rPr>
              <w:t>with</w:t>
            </w:r>
            <w:r>
              <w:rPr>
                <w:spacing w:val="-12"/>
                <w:sz w:val="18"/>
              </w:rPr>
              <w:t> </w:t>
            </w:r>
            <w:r>
              <w:rPr>
                <w:sz w:val="18"/>
              </w:rPr>
              <w:t>the</w:t>
            </w:r>
            <w:r>
              <w:rPr>
                <w:spacing w:val="-13"/>
                <w:sz w:val="18"/>
              </w:rPr>
              <w:t> </w:t>
            </w:r>
            <w:r>
              <w:rPr>
                <w:sz w:val="18"/>
              </w:rPr>
              <w:t>NST's nature and purposes)</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162" w:type="dxa"/>
            <w:tcBorders>
              <w:left w:val="nil"/>
              <w:right w:val="nil"/>
            </w:tcBorders>
          </w:tcPr>
          <w:p>
            <w:pPr>
              <w:pStyle w:val="TableParagraph"/>
              <w:ind w:left="7" w:right="5"/>
              <w:jc w:val="center"/>
              <w:rPr>
                <w:sz w:val="18"/>
              </w:rPr>
            </w:pPr>
            <w:r>
              <w:rPr>
                <w:spacing w:val="-10"/>
                <w:sz w:val="18"/>
              </w:rPr>
              <w:t>X</w:t>
            </w:r>
          </w:p>
        </w:tc>
        <w:tc>
          <w:tcPr>
            <w:tcW w:w="1877" w:type="dxa"/>
            <w:tcBorders>
              <w:left w:val="nil"/>
            </w:tcBorders>
          </w:tcPr>
          <w:p>
            <w:pPr>
              <w:pStyle w:val="TableParagraph"/>
              <w:spacing w:before="0"/>
              <w:rPr>
                <w:rFonts w:ascii="Times New Roman"/>
                <w:sz w:val="18"/>
              </w:rPr>
            </w:pPr>
          </w:p>
        </w:tc>
      </w:tr>
      <w:tr>
        <w:trPr>
          <w:trHeight w:val="287" w:hRule="atLeast"/>
        </w:trPr>
        <w:tc>
          <w:tcPr>
            <w:tcW w:w="4510" w:type="dxa"/>
            <w:tcBorders>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162" w:type="dxa"/>
            <w:tcBorders>
              <w:left w:val="nil"/>
              <w:right w:val="nil"/>
            </w:tcBorders>
          </w:tcPr>
          <w:p>
            <w:pPr>
              <w:pStyle w:val="TableParagraph"/>
              <w:spacing w:before="0"/>
              <w:rPr>
                <w:rFonts w:ascii="Times New Roman"/>
                <w:sz w:val="18"/>
              </w:rPr>
            </w:pPr>
          </w:p>
        </w:tc>
        <w:tc>
          <w:tcPr>
            <w:tcW w:w="1877" w:type="dxa"/>
            <w:tcBorders>
              <w:left w:val="nil"/>
            </w:tcBorders>
          </w:tcPr>
          <w:p>
            <w:pPr>
              <w:pStyle w:val="TableParagraph"/>
              <w:ind w:left="38" w:right="5"/>
              <w:jc w:val="center"/>
              <w:rPr>
                <w:sz w:val="18"/>
              </w:rPr>
            </w:pPr>
            <w:r>
              <w:rPr>
                <w:spacing w:val="-10"/>
                <w:sz w:val="18"/>
              </w:rPr>
              <w:t>X</w:t>
            </w:r>
          </w:p>
        </w:tc>
      </w:tr>
    </w:tbl>
    <w:p>
      <w:pPr>
        <w:pStyle w:val="TableParagraph"/>
        <w:spacing w:after="0"/>
        <w:jc w:val="center"/>
        <w:rPr>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924"/>
        <w:gridCol w:w="2592"/>
        <w:gridCol w:w="2033"/>
      </w:tblGrid>
      <w:tr>
        <w:trPr>
          <w:trHeight w:val="286" w:hRule="atLeast"/>
        </w:trPr>
        <w:tc>
          <w:tcPr>
            <w:tcW w:w="3924" w:type="dxa"/>
            <w:tcBorders>
              <w:bottom w:val="double" w:sz="6" w:space="0" w:color="9BBA58"/>
              <w:right w:val="nil"/>
            </w:tcBorders>
            <w:shd w:val="clear" w:color="auto" w:fill="D5E2BB"/>
          </w:tcPr>
          <w:p>
            <w:pPr>
              <w:pStyle w:val="TableParagraph"/>
              <w:ind w:left="1624"/>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592" w:type="dxa"/>
            <w:tcBorders>
              <w:left w:val="nil"/>
              <w:bottom w:val="double" w:sz="6" w:space="0" w:color="9BBA58"/>
              <w:right w:val="nil"/>
            </w:tcBorders>
            <w:shd w:val="clear" w:color="auto" w:fill="D5E2BB"/>
          </w:tcPr>
          <w:p>
            <w:pPr>
              <w:pStyle w:val="TableParagraph"/>
              <w:ind w:left="1068"/>
              <w:rPr>
                <w:b/>
                <w:sz w:val="18"/>
              </w:rPr>
            </w:pPr>
            <w:r>
              <w:rPr>
                <w:b/>
                <w:sz w:val="18"/>
              </w:rPr>
              <w:t>May</w:t>
            </w:r>
            <w:r>
              <w:rPr>
                <w:b/>
                <w:spacing w:val="-9"/>
                <w:sz w:val="18"/>
              </w:rPr>
              <w:t> </w:t>
            </w:r>
            <w:r>
              <w:rPr>
                <w:b/>
                <w:spacing w:val="-2"/>
                <w:sz w:val="18"/>
              </w:rPr>
              <w:t>authorize</w:t>
            </w:r>
          </w:p>
        </w:tc>
        <w:tc>
          <w:tcPr>
            <w:tcW w:w="2033" w:type="dxa"/>
            <w:tcBorders>
              <w:left w:val="nil"/>
              <w:bottom w:val="double" w:sz="6" w:space="0" w:color="9BBA58"/>
            </w:tcBorders>
            <w:shd w:val="clear" w:color="auto" w:fill="D5E2BB"/>
          </w:tcPr>
          <w:p>
            <w:pPr>
              <w:pStyle w:val="TableParagraph"/>
              <w:ind w:left="191"/>
              <w:jc w:val="center"/>
              <w:rPr>
                <w:b/>
                <w:sz w:val="18"/>
              </w:rPr>
            </w:pPr>
            <w:r>
              <w:rPr>
                <w:b/>
                <w:sz w:val="18"/>
              </w:rPr>
              <w:t>May</w:t>
            </w:r>
            <w:r>
              <w:rPr>
                <w:b/>
                <w:spacing w:val="-9"/>
                <w:sz w:val="18"/>
              </w:rPr>
              <w:t> </w:t>
            </w:r>
            <w:r>
              <w:rPr>
                <w:b/>
                <w:sz w:val="18"/>
              </w:rPr>
              <w:t>not</w:t>
            </w:r>
            <w:r>
              <w:rPr>
                <w:b/>
                <w:spacing w:val="-2"/>
                <w:sz w:val="18"/>
              </w:rPr>
              <w:t> authorize</w:t>
            </w:r>
          </w:p>
        </w:tc>
      </w:tr>
      <w:tr>
        <w:trPr>
          <w:trHeight w:val="289" w:hRule="atLeast"/>
        </w:trPr>
        <w:tc>
          <w:tcPr>
            <w:tcW w:w="3924" w:type="dxa"/>
            <w:tcBorders>
              <w:top w:val="double" w:sz="6" w:space="0" w:color="9BBA58"/>
              <w:right w:val="nil"/>
            </w:tcBorders>
          </w:tcPr>
          <w:p>
            <w:pPr>
              <w:pStyle w:val="TableParagraph"/>
              <w:spacing w:before="41"/>
              <w:ind w:left="107"/>
              <w:rPr>
                <w:b/>
                <w:sz w:val="18"/>
              </w:rPr>
            </w:pPr>
            <w:r>
              <w:rPr>
                <w:b/>
                <w:sz w:val="18"/>
              </w:rPr>
              <w:t>Utility</w:t>
            </w:r>
            <w:r>
              <w:rPr>
                <w:b/>
                <w:spacing w:val="-8"/>
                <w:sz w:val="18"/>
              </w:rPr>
              <w:t> </w:t>
            </w:r>
            <w:r>
              <w:rPr>
                <w:b/>
                <w:spacing w:val="-2"/>
                <w:sz w:val="18"/>
              </w:rPr>
              <w:t>corridors</w:t>
            </w:r>
          </w:p>
        </w:tc>
        <w:tc>
          <w:tcPr>
            <w:tcW w:w="2592" w:type="dxa"/>
            <w:tcBorders>
              <w:top w:val="double" w:sz="6" w:space="0" w:color="9BBA58"/>
              <w:left w:val="nil"/>
              <w:right w:val="nil"/>
            </w:tcBorders>
          </w:tcPr>
          <w:p>
            <w:pPr>
              <w:pStyle w:val="TableParagraph"/>
              <w:spacing w:before="0"/>
              <w:rPr>
                <w:rFonts w:ascii="Times New Roman"/>
                <w:sz w:val="18"/>
              </w:rPr>
            </w:pPr>
          </w:p>
        </w:tc>
        <w:tc>
          <w:tcPr>
            <w:tcW w:w="2033" w:type="dxa"/>
            <w:tcBorders>
              <w:top w:val="double" w:sz="6" w:space="0" w:color="9BBA58"/>
              <w:left w:val="nil"/>
            </w:tcBorders>
          </w:tcPr>
          <w:p>
            <w:pPr>
              <w:pStyle w:val="TableParagraph"/>
              <w:spacing w:before="41"/>
              <w:ind w:left="191" w:right="2"/>
              <w:jc w:val="center"/>
              <w:rPr>
                <w:sz w:val="18"/>
              </w:rPr>
            </w:pPr>
            <w:r>
              <w:rPr>
                <w:spacing w:val="-10"/>
                <w:sz w:val="18"/>
              </w:rPr>
              <w:t>X</w:t>
            </w:r>
          </w:p>
        </w:tc>
      </w:tr>
    </w:tbl>
    <w:p>
      <w:pPr>
        <w:spacing w:before="39"/>
        <w:ind w:left="360" w:right="162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360"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rPr>
          <w:rFonts w:ascii="Arial"/>
          <w:sz w:val="16"/>
        </w:rPr>
      </w:pPr>
    </w:p>
    <w:p>
      <w:pPr>
        <w:pStyle w:val="BodyText"/>
        <w:spacing w:before="113"/>
        <w:rPr>
          <w:rFonts w:ascii="Arial"/>
          <w:sz w:val="16"/>
        </w:rPr>
      </w:pPr>
    </w:p>
    <w:p>
      <w:pPr>
        <w:pStyle w:val="Heading3"/>
        <w:ind w:left="360"/>
      </w:pPr>
      <w:bookmarkStart w:name="Research Natural Areas (RNA)" w:id="677"/>
      <w:bookmarkEnd w:id="677"/>
      <w:r>
        <w:rPr>
          <w:b w:val="0"/>
        </w:rPr>
      </w:r>
      <w:bookmarkStart w:name="_bookmark209" w:id="678"/>
      <w:bookmarkEnd w:id="678"/>
      <w:r>
        <w:rPr>
          <w:b w:val="0"/>
        </w:rPr>
      </w:r>
      <w:r>
        <w:rPr>
          <w:smallCaps/>
          <w:color w:val="475824"/>
        </w:rPr>
        <w:t>Research</w:t>
      </w:r>
      <w:r>
        <w:rPr>
          <w:smallCaps/>
          <w:color w:val="475824"/>
          <w:spacing w:val="-10"/>
        </w:rPr>
        <w:t> </w:t>
      </w:r>
      <w:r>
        <w:rPr>
          <w:smallCaps/>
          <w:color w:val="475824"/>
        </w:rPr>
        <w:t>Natural</w:t>
      </w:r>
      <w:r>
        <w:rPr>
          <w:smallCaps/>
          <w:color w:val="475824"/>
          <w:spacing w:val="-4"/>
        </w:rPr>
        <w:t> </w:t>
      </w:r>
      <w:r>
        <w:rPr>
          <w:smallCaps/>
          <w:color w:val="475824"/>
        </w:rPr>
        <w:t>Areas</w:t>
      </w:r>
      <w:r>
        <w:rPr>
          <w:smallCaps/>
          <w:color w:val="475824"/>
          <w:spacing w:val="-9"/>
        </w:rPr>
        <w:t> </w:t>
      </w:r>
      <w:r>
        <w:rPr>
          <w:smallCaps/>
          <w:color w:val="475824"/>
          <w:spacing w:val="-4"/>
        </w:rPr>
        <w:t>(RNA)</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25216">
                <wp:simplePos x="0" y="0"/>
                <wp:positionH relativeFrom="page">
                  <wp:posOffset>1124711</wp:posOffset>
                </wp:positionH>
                <wp:positionV relativeFrom="paragraph">
                  <wp:posOffset>75186</wp:posOffset>
                </wp:positionV>
                <wp:extent cx="5248910" cy="2882265"/>
                <wp:effectExtent l="0" t="0" r="0" b="0"/>
                <wp:wrapTopAndBottom/>
                <wp:docPr id="209" name="Textbox 209"/>
                <wp:cNvGraphicFramePr>
                  <a:graphicFrameLocks/>
                </wp:cNvGraphicFramePr>
                <a:graphic>
                  <a:graphicData uri="http://schemas.microsoft.com/office/word/2010/wordprocessingShape">
                    <wps:wsp>
                      <wps:cNvPr id="209" name="Textbox 209"/>
                      <wps:cNvSpPr txBox="1"/>
                      <wps:spPr>
                        <a:xfrm>
                          <a:off x="0" y="0"/>
                          <a:ext cx="5248910" cy="2882265"/>
                        </a:xfrm>
                        <a:prstGeom prst="rect">
                          <a:avLst/>
                        </a:prstGeom>
                        <a:solidFill>
                          <a:srgbClr val="DFDFDF"/>
                        </a:solidFill>
                      </wps:spPr>
                      <wps:txbx>
                        <w:txbxContent>
                          <w:p>
                            <w:pPr>
                              <w:pStyle w:val="BodyText"/>
                              <w:ind w:left="28" w:right="120"/>
                              <w:rPr>
                                <w:color w:val="000000"/>
                              </w:rPr>
                            </w:pPr>
                            <w:r>
                              <w:rPr>
                                <w:color w:val="000000"/>
                              </w:rPr>
                              <w:t>Research natural areas (RNA), whether established or proposed, are a part of a national network</w:t>
                            </w:r>
                            <w:r>
                              <w:rPr>
                                <w:color w:val="000000"/>
                                <w:spacing w:val="-4"/>
                              </w:rPr>
                              <w:t> </w:t>
                            </w:r>
                            <w:r>
                              <w:rPr>
                                <w:color w:val="000000"/>
                              </w:rPr>
                              <w:t>of</w:t>
                            </w:r>
                            <w:r>
                              <w:rPr>
                                <w:color w:val="000000"/>
                                <w:spacing w:val="-4"/>
                              </w:rPr>
                              <w:t> </w:t>
                            </w:r>
                            <w:r>
                              <w:rPr>
                                <w:color w:val="000000"/>
                              </w:rPr>
                              <w:t>ecological</w:t>
                            </w:r>
                            <w:r>
                              <w:rPr>
                                <w:color w:val="000000"/>
                                <w:spacing w:val="-5"/>
                              </w:rPr>
                              <w:t> </w:t>
                            </w:r>
                            <w:r>
                              <w:rPr>
                                <w:color w:val="000000"/>
                              </w:rPr>
                              <w:t>areas</w:t>
                            </w:r>
                            <w:r>
                              <w:rPr>
                                <w:color w:val="000000"/>
                                <w:spacing w:val="-4"/>
                              </w:rPr>
                              <w:t> </w:t>
                            </w:r>
                            <w:r>
                              <w:rPr>
                                <w:color w:val="000000"/>
                              </w:rPr>
                              <w:t>designated</w:t>
                            </w:r>
                            <w:r>
                              <w:rPr>
                                <w:color w:val="000000"/>
                                <w:spacing w:val="-3"/>
                              </w:rPr>
                              <w:t> </w:t>
                            </w:r>
                            <w:r>
                              <w:rPr>
                                <w:color w:val="000000"/>
                              </w:rPr>
                              <w:t>in</w:t>
                            </w:r>
                            <w:r>
                              <w:rPr>
                                <w:color w:val="000000"/>
                                <w:spacing w:val="-3"/>
                              </w:rPr>
                              <w:t> </w:t>
                            </w:r>
                            <w:r>
                              <w:rPr>
                                <w:color w:val="000000"/>
                              </w:rPr>
                              <w:t>perpetuity</w:t>
                            </w:r>
                            <w:r>
                              <w:rPr>
                                <w:color w:val="000000"/>
                                <w:spacing w:val="-1"/>
                              </w:rPr>
                              <w:t> </w:t>
                            </w:r>
                            <w:r>
                              <w:rPr>
                                <w:color w:val="000000"/>
                              </w:rPr>
                              <w:t>for</w:t>
                            </w:r>
                            <w:r>
                              <w:rPr>
                                <w:color w:val="000000"/>
                                <w:spacing w:val="-2"/>
                              </w:rPr>
                              <w:t> </w:t>
                            </w:r>
                            <w:r>
                              <w:rPr>
                                <w:color w:val="000000"/>
                              </w:rPr>
                              <w:t>research</w:t>
                            </w:r>
                            <w:r>
                              <w:rPr>
                                <w:color w:val="000000"/>
                                <w:spacing w:val="-3"/>
                              </w:rPr>
                              <w:t> </w:t>
                            </w:r>
                            <w:r>
                              <w:rPr>
                                <w:color w:val="000000"/>
                              </w:rPr>
                              <w:t>and</w:t>
                            </w:r>
                            <w:r>
                              <w:rPr>
                                <w:color w:val="000000"/>
                                <w:spacing w:val="-5"/>
                              </w:rPr>
                              <w:t> </w:t>
                            </w:r>
                            <w:r>
                              <w:rPr>
                                <w:color w:val="000000"/>
                              </w:rPr>
                              <w:t>education</w:t>
                            </w:r>
                            <w:r>
                              <w:rPr>
                                <w:color w:val="000000"/>
                                <w:spacing w:val="-5"/>
                              </w:rPr>
                              <w:t> </w:t>
                            </w:r>
                            <w:r>
                              <w:rPr>
                                <w:color w:val="000000"/>
                              </w:rPr>
                              <w:t>and/or</w:t>
                            </w:r>
                            <w:r>
                              <w:rPr>
                                <w:color w:val="000000"/>
                                <w:spacing w:val="-4"/>
                              </w:rPr>
                              <w:t> </w:t>
                            </w:r>
                            <w:r>
                              <w:rPr>
                                <w:color w:val="000000"/>
                              </w:rPr>
                              <w:t>to maintain biological diversity on National Forest System lands. They are established to provide study and protection of a full range of habitat types and remain in a relatively unaltered condition for non-manipulative research, observation, and study.</w:t>
                            </w:r>
                          </w:p>
                          <w:p>
                            <w:pPr>
                              <w:pStyle w:val="BodyText"/>
                              <w:spacing w:before="120"/>
                              <w:ind w:left="28" w:right="120"/>
                              <w:rPr>
                                <w:color w:val="000000"/>
                              </w:rPr>
                            </w:pPr>
                            <w:r>
                              <w:rPr>
                                <w:color w:val="000000"/>
                              </w:rPr>
                              <w:t>Management activities in an RNA must be consistent with the purposes for which it was established</w:t>
                            </w:r>
                            <w:r>
                              <w:rPr>
                                <w:color w:val="000000"/>
                                <w:spacing w:val="-3"/>
                              </w:rPr>
                              <w:t> </w:t>
                            </w:r>
                            <w:r>
                              <w:rPr>
                                <w:color w:val="000000"/>
                              </w:rPr>
                              <w:t>(or</w:t>
                            </w:r>
                            <w:r>
                              <w:rPr>
                                <w:color w:val="000000"/>
                                <w:spacing w:val="-2"/>
                              </w:rPr>
                              <w:t> </w:t>
                            </w:r>
                            <w:r>
                              <w:rPr>
                                <w:color w:val="000000"/>
                              </w:rPr>
                              <w:t>proposed),</w:t>
                            </w:r>
                            <w:r>
                              <w:rPr>
                                <w:color w:val="000000"/>
                                <w:spacing w:val="-4"/>
                              </w:rPr>
                              <w:t> </w:t>
                            </w:r>
                            <w:r>
                              <w:rPr>
                                <w:color w:val="000000"/>
                              </w:rPr>
                              <w:t>or</w:t>
                            </w:r>
                            <w:r>
                              <w:rPr>
                                <w:color w:val="000000"/>
                                <w:spacing w:val="-2"/>
                              </w:rPr>
                              <w:t> </w:t>
                            </w:r>
                            <w:r>
                              <w:rPr>
                                <w:color w:val="000000"/>
                              </w:rPr>
                              <w:t>specifically</w:t>
                            </w:r>
                            <w:r>
                              <w:rPr>
                                <w:color w:val="000000"/>
                                <w:spacing w:val="-3"/>
                              </w:rPr>
                              <w:t> </w:t>
                            </w:r>
                            <w:r>
                              <w:rPr>
                                <w:color w:val="000000"/>
                              </w:rPr>
                              <w:t>to</w:t>
                            </w:r>
                            <w:r>
                              <w:rPr>
                                <w:color w:val="000000"/>
                                <w:spacing w:val="-5"/>
                              </w:rPr>
                              <w:t> </w:t>
                            </w:r>
                            <w:r>
                              <w:rPr>
                                <w:color w:val="000000"/>
                              </w:rPr>
                              <w:t>maintain</w:t>
                            </w:r>
                            <w:r>
                              <w:rPr>
                                <w:color w:val="000000"/>
                                <w:spacing w:val="-3"/>
                              </w:rPr>
                              <w:t> </w:t>
                            </w:r>
                            <w:r>
                              <w:rPr>
                                <w:color w:val="000000"/>
                              </w:rPr>
                              <w:t>the</w:t>
                            </w:r>
                            <w:r>
                              <w:rPr>
                                <w:color w:val="000000"/>
                                <w:spacing w:val="-1"/>
                              </w:rPr>
                              <w:t> </w:t>
                            </w:r>
                            <w:r>
                              <w:rPr>
                                <w:color w:val="000000"/>
                              </w:rPr>
                              <w:t>values</w:t>
                            </w:r>
                            <w:r>
                              <w:rPr>
                                <w:color w:val="000000"/>
                                <w:spacing w:val="-2"/>
                              </w:rPr>
                              <w:t> </w:t>
                            </w:r>
                            <w:r>
                              <w:rPr>
                                <w:color w:val="000000"/>
                              </w:rPr>
                              <w:t>of</w:t>
                            </w:r>
                            <w:r>
                              <w:rPr>
                                <w:color w:val="000000"/>
                                <w:spacing w:val="-4"/>
                              </w:rPr>
                              <w:t> </w:t>
                            </w:r>
                            <w:r>
                              <w:rPr>
                                <w:color w:val="000000"/>
                              </w:rPr>
                              <w:t>the</w:t>
                            </w:r>
                            <w:r>
                              <w:rPr>
                                <w:color w:val="000000"/>
                                <w:spacing w:val="-4"/>
                              </w:rPr>
                              <w:t> </w:t>
                            </w:r>
                            <w:r>
                              <w:rPr>
                                <w:color w:val="000000"/>
                              </w:rPr>
                              <w:t>RNA.</w:t>
                            </w:r>
                            <w:r>
                              <w:rPr>
                                <w:color w:val="000000"/>
                                <w:spacing w:val="-2"/>
                              </w:rPr>
                              <w:t> </w:t>
                            </w:r>
                            <w:r>
                              <w:rPr>
                                <w:color w:val="000000"/>
                              </w:rPr>
                              <w:t>Purposes</w:t>
                            </w:r>
                            <w:r>
                              <w:rPr>
                                <w:color w:val="000000"/>
                                <w:spacing w:val="-4"/>
                              </w:rPr>
                              <w:t> </w:t>
                            </w:r>
                            <w:r>
                              <w:rPr>
                                <w:color w:val="000000"/>
                              </w:rPr>
                              <w:t>and values specific to an RNA are identified in establishment reports. In the absence of an establishment report, purposes and values are those identified in the Forest Service directives for RNAs.</w:t>
                            </w:r>
                          </w:p>
                          <w:p>
                            <w:pPr>
                              <w:pStyle w:val="BodyText"/>
                              <w:spacing w:before="119"/>
                              <w:ind w:left="28" w:right="39"/>
                              <w:rPr>
                                <w:color w:val="000000"/>
                              </w:rPr>
                            </w:pPr>
                            <w:r>
                              <w:rPr>
                                <w:color w:val="000000"/>
                              </w:rPr>
                              <w:t>Forest plan direction applies, whether the RNA is established or proposed. The Pacific Northwest</w:t>
                            </w:r>
                            <w:r>
                              <w:rPr>
                                <w:color w:val="000000"/>
                                <w:spacing w:val="-3"/>
                              </w:rPr>
                              <w:t> </w:t>
                            </w:r>
                            <w:r>
                              <w:rPr>
                                <w:color w:val="000000"/>
                              </w:rPr>
                              <w:t>Research</w:t>
                            </w:r>
                            <w:r>
                              <w:rPr>
                                <w:color w:val="000000"/>
                                <w:spacing w:val="-5"/>
                              </w:rPr>
                              <w:t> </w:t>
                            </w:r>
                            <w:r>
                              <w:rPr>
                                <w:color w:val="000000"/>
                              </w:rPr>
                              <w:t>Station</w:t>
                            </w:r>
                            <w:r>
                              <w:rPr>
                                <w:color w:val="000000"/>
                                <w:spacing w:val="-5"/>
                              </w:rPr>
                              <w:t> </w:t>
                            </w:r>
                            <w:r>
                              <w:rPr>
                                <w:color w:val="000000"/>
                              </w:rPr>
                              <w:t>director</w:t>
                            </w:r>
                            <w:r>
                              <w:rPr>
                                <w:color w:val="000000"/>
                                <w:spacing w:val="-3"/>
                              </w:rPr>
                              <w:t> </w:t>
                            </w:r>
                            <w:r>
                              <w:rPr>
                                <w:color w:val="000000"/>
                              </w:rPr>
                              <w:t>approves</w:t>
                            </w:r>
                            <w:r>
                              <w:rPr>
                                <w:color w:val="000000"/>
                                <w:spacing w:val="-6"/>
                              </w:rPr>
                              <w:t> </w:t>
                            </w:r>
                            <w:r>
                              <w:rPr>
                                <w:color w:val="000000"/>
                              </w:rPr>
                              <w:t>or</w:t>
                            </w:r>
                            <w:r>
                              <w:rPr>
                                <w:color w:val="000000"/>
                                <w:spacing w:val="-6"/>
                              </w:rPr>
                              <w:t> </w:t>
                            </w:r>
                            <w:r>
                              <w:rPr>
                                <w:color w:val="000000"/>
                              </w:rPr>
                              <w:t>disapproves</w:t>
                            </w:r>
                            <w:r>
                              <w:rPr>
                                <w:color w:val="000000"/>
                                <w:spacing w:val="-8"/>
                              </w:rPr>
                              <w:t> </w:t>
                            </w:r>
                            <w:r>
                              <w:rPr>
                                <w:color w:val="000000"/>
                              </w:rPr>
                              <w:t>management</w:t>
                            </w:r>
                            <w:r>
                              <w:rPr>
                                <w:color w:val="000000"/>
                                <w:spacing w:val="-3"/>
                              </w:rPr>
                              <w:t> </w:t>
                            </w:r>
                            <w:r>
                              <w:rPr>
                                <w:color w:val="000000"/>
                              </w:rPr>
                              <w:t>activities</w:t>
                            </w:r>
                            <w:r>
                              <w:rPr>
                                <w:color w:val="000000"/>
                                <w:spacing w:val="-4"/>
                              </w:rPr>
                              <w:t> </w:t>
                            </w:r>
                            <w:r>
                              <w:rPr>
                                <w:color w:val="000000"/>
                              </w:rPr>
                              <w:t>within the areas in coordination with the Forest Supervisor. </w:t>
                            </w:r>
                            <w:hyperlink w:history="true" w:anchor="_bookmark210">
                              <w:r>
                                <w:rPr>
                                  <w:color w:val="000000"/>
                                </w:rPr>
                                <w:t>Table 25</w:t>
                              </w:r>
                            </w:hyperlink>
                            <w:r>
                              <w:rPr>
                                <w:color w:val="000000"/>
                              </w:rPr>
                              <w:t> displays the status of RNAs on the Colville National Forest, including the representative habitats they contribute to the national network</w:t>
                            </w:r>
                            <w:r>
                              <w:rPr>
                                <w:color w:val="000000"/>
                                <w:spacing w:val="-1"/>
                              </w:rPr>
                              <w:t> </w:t>
                            </w:r>
                            <w:r>
                              <w:rPr>
                                <w:color w:val="000000"/>
                              </w:rPr>
                              <w:t>of</w:t>
                            </w:r>
                            <w:r>
                              <w:rPr>
                                <w:color w:val="000000"/>
                                <w:spacing w:val="-2"/>
                              </w:rPr>
                              <w:t> </w:t>
                            </w:r>
                            <w:r>
                              <w:rPr>
                                <w:color w:val="000000"/>
                              </w:rPr>
                              <w:t>ecological areas</w:t>
                            </w:r>
                            <w:r>
                              <w:rPr>
                                <w:color w:val="000000"/>
                                <w:spacing w:val="-1"/>
                              </w:rPr>
                              <w:t> </w:t>
                            </w:r>
                            <w:r>
                              <w:rPr>
                                <w:color w:val="000000"/>
                              </w:rPr>
                              <w:t>for</w:t>
                            </w:r>
                            <w:r>
                              <w:rPr>
                                <w:color w:val="000000"/>
                                <w:spacing w:val="-1"/>
                              </w:rPr>
                              <w:t> </w:t>
                            </w:r>
                            <w:r>
                              <w:rPr>
                                <w:color w:val="000000"/>
                              </w:rPr>
                              <w:t>research,</w:t>
                            </w:r>
                            <w:r>
                              <w:rPr>
                                <w:color w:val="000000"/>
                                <w:spacing w:val="-1"/>
                              </w:rPr>
                              <w:t> </w:t>
                            </w:r>
                            <w:r>
                              <w:rPr>
                                <w:color w:val="000000"/>
                              </w:rPr>
                              <w:t>education, and</w:t>
                            </w:r>
                            <w:r>
                              <w:rPr>
                                <w:color w:val="000000"/>
                                <w:spacing w:val="-2"/>
                              </w:rPr>
                              <w:t> </w:t>
                            </w:r>
                            <w:r>
                              <w:rPr>
                                <w:color w:val="000000"/>
                              </w:rPr>
                              <w:t>maintenance</w:t>
                            </w:r>
                            <w:r>
                              <w:rPr>
                                <w:color w:val="000000"/>
                                <w:spacing w:val="-1"/>
                              </w:rPr>
                              <w:t> </w:t>
                            </w:r>
                            <w:r>
                              <w:rPr>
                                <w:color w:val="000000"/>
                              </w:rPr>
                              <w:t>of</w:t>
                            </w:r>
                            <w:r>
                              <w:rPr>
                                <w:color w:val="000000"/>
                                <w:spacing w:val="-2"/>
                              </w:rPr>
                              <w:t> </w:t>
                            </w:r>
                            <w:r>
                              <w:rPr>
                                <w:color w:val="000000"/>
                              </w:rPr>
                              <w:t>biological </w:t>
                            </w:r>
                            <w:r>
                              <w:rPr>
                                <w:color w:val="000000"/>
                                <w:spacing w:val="-2"/>
                              </w:rPr>
                              <w:t>diversity.</w:t>
                            </w:r>
                          </w:p>
                        </w:txbxContent>
                      </wps:txbx>
                      <wps:bodyPr wrap="square" lIns="0" tIns="0" rIns="0" bIns="0" rtlCol="0">
                        <a:noAutofit/>
                      </wps:bodyPr>
                    </wps:wsp>
                  </a:graphicData>
                </a:graphic>
              </wp:anchor>
            </w:drawing>
          </mc:Choice>
          <mc:Fallback>
            <w:pict>
              <v:shape style="position:absolute;margin-left:88.559998pt;margin-top:5.920225pt;width:413.3pt;height:226.95pt;mso-position-horizontal-relative:page;mso-position-vertical-relative:paragraph;z-index:-15691264;mso-wrap-distance-left:0;mso-wrap-distance-right:0" type="#_x0000_t202" id="docshape197" filled="true" fillcolor="#dfdfdf" stroked="false">
                <v:textbox inset="0,0,0,0">
                  <w:txbxContent>
                    <w:p>
                      <w:pPr>
                        <w:pStyle w:val="BodyText"/>
                        <w:ind w:left="28" w:right="120"/>
                        <w:rPr>
                          <w:color w:val="000000"/>
                        </w:rPr>
                      </w:pPr>
                      <w:r>
                        <w:rPr>
                          <w:color w:val="000000"/>
                        </w:rPr>
                        <w:t>Research natural areas (RNA), whether established or proposed, are a part of a national network</w:t>
                      </w:r>
                      <w:r>
                        <w:rPr>
                          <w:color w:val="000000"/>
                          <w:spacing w:val="-4"/>
                        </w:rPr>
                        <w:t> </w:t>
                      </w:r>
                      <w:r>
                        <w:rPr>
                          <w:color w:val="000000"/>
                        </w:rPr>
                        <w:t>of</w:t>
                      </w:r>
                      <w:r>
                        <w:rPr>
                          <w:color w:val="000000"/>
                          <w:spacing w:val="-4"/>
                        </w:rPr>
                        <w:t> </w:t>
                      </w:r>
                      <w:r>
                        <w:rPr>
                          <w:color w:val="000000"/>
                        </w:rPr>
                        <w:t>ecological</w:t>
                      </w:r>
                      <w:r>
                        <w:rPr>
                          <w:color w:val="000000"/>
                          <w:spacing w:val="-5"/>
                        </w:rPr>
                        <w:t> </w:t>
                      </w:r>
                      <w:r>
                        <w:rPr>
                          <w:color w:val="000000"/>
                        </w:rPr>
                        <w:t>areas</w:t>
                      </w:r>
                      <w:r>
                        <w:rPr>
                          <w:color w:val="000000"/>
                          <w:spacing w:val="-4"/>
                        </w:rPr>
                        <w:t> </w:t>
                      </w:r>
                      <w:r>
                        <w:rPr>
                          <w:color w:val="000000"/>
                        </w:rPr>
                        <w:t>designated</w:t>
                      </w:r>
                      <w:r>
                        <w:rPr>
                          <w:color w:val="000000"/>
                          <w:spacing w:val="-3"/>
                        </w:rPr>
                        <w:t> </w:t>
                      </w:r>
                      <w:r>
                        <w:rPr>
                          <w:color w:val="000000"/>
                        </w:rPr>
                        <w:t>in</w:t>
                      </w:r>
                      <w:r>
                        <w:rPr>
                          <w:color w:val="000000"/>
                          <w:spacing w:val="-3"/>
                        </w:rPr>
                        <w:t> </w:t>
                      </w:r>
                      <w:r>
                        <w:rPr>
                          <w:color w:val="000000"/>
                        </w:rPr>
                        <w:t>perpetuity</w:t>
                      </w:r>
                      <w:r>
                        <w:rPr>
                          <w:color w:val="000000"/>
                          <w:spacing w:val="-1"/>
                        </w:rPr>
                        <w:t> </w:t>
                      </w:r>
                      <w:r>
                        <w:rPr>
                          <w:color w:val="000000"/>
                        </w:rPr>
                        <w:t>for</w:t>
                      </w:r>
                      <w:r>
                        <w:rPr>
                          <w:color w:val="000000"/>
                          <w:spacing w:val="-2"/>
                        </w:rPr>
                        <w:t> </w:t>
                      </w:r>
                      <w:r>
                        <w:rPr>
                          <w:color w:val="000000"/>
                        </w:rPr>
                        <w:t>research</w:t>
                      </w:r>
                      <w:r>
                        <w:rPr>
                          <w:color w:val="000000"/>
                          <w:spacing w:val="-3"/>
                        </w:rPr>
                        <w:t> </w:t>
                      </w:r>
                      <w:r>
                        <w:rPr>
                          <w:color w:val="000000"/>
                        </w:rPr>
                        <w:t>and</w:t>
                      </w:r>
                      <w:r>
                        <w:rPr>
                          <w:color w:val="000000"/>
                          <w:spacing w:val="-5"/>
                        </w:rPr>
                        <w:t> </w:t>
                      </w:r>
                      <w:r>
                        <w:rPr>
                          <w:color w:val="000000"/>
                        </w:rPr>
                        <w:t>education</w:t>
                      </w:r>
                      <w:r>
                        <w:rPr>
                          <w:color w:val="000000"/>
                          <w:spacing w:val="-5"/>
                        </w:rPr>
                        <w:t> </w:t>
                      </w:r>
                      <w:r>
                        <w:rPr>
                          <w:color w:val="000000"/>
                        </w:rPr>
                        <w:t>and/or</w:t>
                      </w:r>
                      <w:r>
                        <w:rPr>
                          <w:color w:val="000000"/>
                          <w:spacing w:val="-4"/>
                        </w:rPr>
                        <w:t> </w:t>
                      </w:r>
                      <w:r>
                        <w:rPr>
                          <w:color w:val="000000"/>
                        </w:rPr>
                        <w:t>to maintain biological diversity on National Forest System lands. They are established to provide study and protection of a full range of habitat types and remain in a relatively unaltered condition for non-manipulative research, observation, and study.</w:t>
                      </w:r>
                    </w:p>
                    <w:p>
                      <w:pPr>
                        <w:pStyle w:val="BodyText"/>
                        <w:spacing w:before="120"/>
                        <w:ind w:left="28" w:right="120"/>
                        <w:rPr>
                          <w:color w:val="000000"/>
                        </w:rPr>
                      </w:pPr>
                      <w:r>
                        <w:rPr>
                          <w:color w:val="000000"/>
                        </w:rPr>
                        <w:t>Management activities in an RNA must be consistent with the purposes for which it was established</w:t>
                      </w:r>
                      <w:r>
                        <w:rPr>
                          <w:color w:val="000000"/>
                          <w:spacing w:val="-3"/>
                        </w:rPr>
                        <w:t> </w:t>
                      </w:r>
                      <w:r>
                        <w:rPr>
                          <w:color w:val="000000"/>
                        </w:rPr>
                        <w:t>(or</w:t>
                      </w:r>
                      <w:r>
                        <w:rPr>
                          <w:color w:val="000000"/>
                          <w:spacing w:val="-2"/>
                        </w:rPr>
                        <w:t> </w:t>
                      </w:r>
                      <w:r>
                        <w:rPr>
                          <w:color w:val="000000"/>
                        </w:rPr>
                        <w:t>proposed),</w:t>
                      </w:r>
                      <w:r>
                        <w:rPr>
                          <w:color w:val="000000"/>
                          <w:spacing w:val="-4"/>
                        </w:rPr>
                        <w:t> </w:t>
                      </w:r>
                      <w:r>
                        <w:rPr>
                          <w:color w:val="000000"/>
                        </w:rPr>
                        <w:t>or</w:t>
                      </w:r>
                      <w:r>
                        <w:rPr>
                          <w:color w:val="000000"/>
                          <w:spacing w:val="-2"/>
                        </w:rPr>
                        <w:t> </w:t>
                      </w:r>
                      <w:r>
                        <w:rPr>
                          <w:color w:val="000000"/>
                        </w:rPr>
                        <w:t>specifically</w:t>
                      </w:r>
                      <w:r>
                        <w:rPr>
                          <w:color w:val="000000"/>
                          <w:spacing w:val="-3"/>
                        </w:rPr>
                        <w:t> </w:t>
                      </w:r>
                      <w:r>
                        <w:rPr>
                          <w:color w:val="000000"/>
                        </w:rPr>
                        <w:t>to</w:t>
                      </w:r>
                      <w:r>
                        <w:rPr>
                          <w:color w:val="000000"/>
                          <w:spacing w:val="-5"/>
                        </w:rPr>
                        <w:t> </w:t>
                      </w:r>
                      <w:r>
                        <w:rPr>
                          <w:color w:val="000000"/>
                        </w:rPr>
                        <w:t>maintain</w:t>
                      </w:r>
                      <w:r>
                        <w:rPr>
                          <w:color w:val="000000"/>
                          <w:spacing w:val="-3"/>
                        </w:rPr>
                        <w:t> </w:t>
                      </w:r>
                      <w:r>
                        <w:rPr>
                          <w:color w:val="000000"/>
                        </w:rPr>
                        <w:t>the</w:t>
                      </w:r>
                      <w:r>
                        <w:rPr>
                          <w:color w:val="000000"/>
                          <w:spacing w:val="-1"/>
                        </w:rPr>
                        <w:t> </w:t>
                      </w:r>
                      <w:r>
                        <w:rPr>
                          <w:color w:val="000000"/>
                        </w:rPr>
                        <w:t>values</w:t>
                      </w:r>
                      <w:r>
                        <w:rPr>
                          <w:color w:val="000000"/>
                          <w:spacing w:val="-2"/>
                        </w:rPr>
                        <w:t> </w:t>
                      </w:r>
                      <w:r>
                        <w:rPr>
                          <w:color w:val="000000"/>
                        </w:rPr>
                        <w:t>of</w:t>
                      </w:r>
                      <w:r>
                        <w:rPr>
                          <w:color w:val="000000"/>
                          <w:spacing w:val="-4"/>
                        </w:rPr>
                        <w:t> </w:t>
                      </w:r>
                      <w:r>
                        <w:rPr>
                          <w:color w:val="000000"/>
                        </w:rPr>
                        <w:t>the</w:t>
                      </w:r>
                      <w:r>
                        <w:rPr>
                          <w:color w:val="000000"/>
                          <w:spacing w:val="-4"/>
                        </w:rPr>
                        <w:t> </w:t>
                      </w:r>
                      <w:r>
                        <w:rPr>
                          <w:color w:val="000000"/>
                        </w:rPr>
                        <w:t>RNA.</w:t>
                      </w:r>
                      <w:r>
                        <w:rPr>
                          <w:color w:val="000000"/>
                          <w:spacing w:val="-2"/>
                        </w:rPr>
                        <w:t> </w:t>
                      </w:r>
                      <w:r>
                        <w:rPr>
                          <w:color w:val="000000"/>
                        </w:rPr>
                        <w:t>Purposes</w:t>
                      </w:r>
                      <w:r>
                        <w:rPr>
                          <w:color w:val="000000"/>
                          <w:spacing w:val="-4"/>
                        </w:rPr>
                        <w:t> </w:t>
                      </w:r>
                      <w:r>
                        <w:rPr>
                          <w:color w:val="000000"/>
                        </w:rPr>
                        <w:t>and values specific to an RNA are identified in establishment reports. In the absence of an establishment report, purposes and values are those identified in the Forest Service directives for RNAs.</w:t>
                      </w:r>
                    </w:p>
                    <w:p>
                      <w:pPr>
                        <w:pStyle w:val="BodyText"/>
                        <w:spacing w:before="119"/>
                        <w:ind w:left="28" w:right="39"/>
                        <w:rPr>
                          <w:color w:val="000000"/>
                        </w:rPr>
                      </w:pPr>
                      <w:r>
                        <w:rPr>
                          <w:color w:val="000000"/>
                        </w:rPr>
                        <w:t>Forest plan direction applies, whether the RNA is established or proposed. The Pacific Northwest</w:t>
                      </w:r>
                      <w:r>
                        <w:rPr>
                          <w:color w:val="000000"/>
                          <w:spacing w:val="-3"/>
                        </w:rPr>
                        <w:t> </w:t>
                      </w:r>
                      <w:r>
                        <w:rPr>
                          <w:color w:val="000000"/>
                        </w:rPr>
                        <w:t>Research</w:t>
                      </w:r>
                      <w:r>
                        <w:rPr>
                          <w:color w:val="000000"/>
                          <w:spacing w:val="-5"/>
                        </w:rPr>
                        <w:t> </w:t>
                      </w:r>
                      <w:r>
                        <w:rPr>
                          <w:color w:val="000000"/>
                        </w:rPr>
                        <w:t>Station</w:t>
                      </w:r>
                      <w:r>
                        <w:rPr>
                          <w:color w:val="000000"/>
                          <w:spacing w:val="-5"/>
                        </w:rPr>
                        <w:t> </w:t>
                      </w:r>
                      <w:r>
                        <w:rPr>
                          <w:color w:val="000000"/>
                        </w:rPr>
                        <w:t>director</w:t>
                      </w:r>
                      <w:r>
                        <w:rPr>
                          <w:color w:val="000000"/>
                          <w:spacing w:val="-3"/>
                        </w:rPr>
                        <w:t> </w:t>
                      </w:r>
                      <w:r>
                        <w:rPr>
                          <w:color w:val="000000"/>
                        </w:rPr>
                        <w:t>approves</w:t>
                      </w:r>
                      <w:r>
                        <w:rPr>
                          <w:color w:val="000000"/>
                          <w:spacing w:val="-6"/>
                        </w:rPr>
                        <w:t> </w:t>
                      </w:r>
                      <w:r>
                        <w:rPr>
                          <w:color w:val="000000"/>
                        </w:rPr>
                        <w:t>or</w:t>
                      </w:r>
                      <w:r>
                        <w:rPr>
                          <w:color w:val="000000"/>
                          <w:spacing w:val="-6"/>
                        </w:rPr>
                        <w:t> </w:t>
                      </w:r>
                      <w:r>
                        <w:rPr>
                          <w:color w:val="000000"/>
                        </w:rPr>
                        <w:t>disapproves</w:t>
                      </w:r>
                      <w:r>
                        <w:rPr>
                          <w:color w:val="000000"/>
                          <w:spacing w:val="-8"/>
                        </w:rPr>
                        <w:t> </w:t>
                      </w:r>
                      <w:r>
                        <w:rPr>
                          <w:color w:val="000000"/>
                        </w:rPr>
                        <w:t>management</w:t>
                      </w:r>
                      <w:r>
                        <w:rPr>
                          <w:color w:val="000000"/>
                          <w:spacing w:val="-3"/>
                        </w:rPr>
                        <w:t> </w:t>
                      </w:r>
                      <w:r>
                        <w:rPr>
                          <w:color w:val="000000"/>
                        </w:rPr>
                        <w:t>activities</w:t>
                      </w:r>
                      <w:r>
                        <w:rPr>
                          <w:color w:val="000000"/>
                          <w:spacing w:val="-4"/>
                        </w:rPr>
                        <w:t> </w:t>
                      </w:r>
                      <w:r>
                        <w:rPr>
                          <w:color w:val="000000"/>
                        </w:rPr>
                        <w:t>within the areas in coordination with the Forest Supervisor. </w:t>
                      </w:r>
                      <w:hyperlink w:history="true" w:anchor="_bookmark210">
                        <w:r>
                          <w:rPr>
                            <w:color w:val="000000"/>
                          </w:rPr>
                          <w:t>Table 25</w:t>
                        </w:r>
                      </w:hyperlink>
                      <w:r>
                        <w:rPr>
                          <w:color w:val="000000"/>
                        </w:rPr>
                        <w:t> displays the status of RNAs on the Colville National Forest, including the representative habitats they contribute to the national network</w:t>
                      </w:r>
                      <w:r>
                        <w:rPr>
                          <w:color w:val="000000"/>
                          <w:spacing w:val="-1"/>
                        </w:rPr>
                        <w:t> </w:t>
                      </w:r>
                      <w:r>
                        <w:rPr>
                          <w:color w:val="000000"/>
                        </w:rPr>
                        <w:t>of</w:t>
                      </w:r>
                      <w:r>
                        <w:rPr>
                          <w:color w:val="000000"/>
                          <w:spacing w:val="-2"/>
                        </w:rPr>
                        <w:t> </w:t>
                      </w:r>
                      <w:r>
                        <w:rPr>
                          <w:color w:val="000000"/>
                        </w:rPr>
                        <w:t>ecological areas</w:t>
                      </w:r>
                      <w:r>
                        <w:rPr>
                          <w:color w:val="000000"/>
                          <w:spacing w:val="-1"/>
                        </w:rPr>
                        <w:t> </w:t>
                      </w:r>
                      <w:r>
                        <w:rPr>
                          <w:color w:val="000000"/>
                        </w:rPr>
                        <w:t>for</w:t>
                      </w:r>
                      <w:r>
                        <w:rPr>
                          <w:color w:val="000000"/>
                          <w:spacing w:val="-1"/>
                        </w:rPr>
                        <w:t> </w:t>
                      </w:r>
                      <w:r>
                        <w:rPr>
                          <w:color w:val="000000"/>
                        </w:rPr>
                        <w:t>research,</w:t>
                      </w:r>
                      <w:r>
                        <w:rPr>
                          <w:color w:val="000000"/>
                          <w:spacing w:val="-1"/>
                        </w:rPr>
                        <w:t> </w:t>
                      </w:r>
                      <w:r>
                        <w:rPr>
                          <w:color w:val="000000"/>
                        </w:rPr>
                        <w:t>education, and</w:t>
                      </w:r>
                      <w:r>
                        <w:rPr>
                          <w:color w:val="000000"/>
                          <w:spacing w:val="-2"/>
                        </w:rPr>
                        <w:t> </w:t>
                      </w:r>
                      <w:r>
                        <w:rPr>
                          <w:color w:val="000000"/>
                        </w:rPr>
                        <w:t>maintenance</w:t>
                      </w:r>
                      <w:r>
                        <w:rPr>
                          <w:color w:val="000000"/>
                          <w:spacing w:val="-1"/>
                        </w:rPr>
                        <w:t> </w:t>
                      </w:r>
                      <w:r>
                        <w:rPr>
                          <w:color w:val="000000"/>
                        </w:rPr>
                        <w:t>of</w:t>
                      </w:r>
                      <w:r>
                        <w:rPr>
                          <w:color w:val="000000"/>
                          <w:spacing w:val="-2"/>
                        </w:rPr>
                        <w:t> </w:t>
                      </w:r>
                      <w:r>
                        <w:rPr>
                          <w:color w:val="000000"/>
                        </w:rPr>
                        <w:t>biological </w:t>
                      </w:r>
                      <w:r>
                        <w:rPr>
                          <w:color w:val="000000"/>
                          <w:spacing w:val="-2"/>
                        </w:rPr>
                        <w:t>diversity.</w:t>
                      </w:r>
                    </w:p>
                  </w:txbxContent>
                </v:textbox>
                <v:fill type="solid"/>
                <w10:wrap type="topAndBottom"/>
              </v:shape>
            </w:pict>
          </mc:Fallback>
        </mc:AlternateContent>
      </w:r>
    </w:p>
    <w:p>
      <w:pPr>
        <w:pStyle w:val="BodyText"/>
        <w:spacing w:before="152"/>
        <w:rPr>
          <w:rFonts w:ascii="Arial"/>
          <w:b/>
          <w:sz w:val="18"/>
        </w:rPr>
      </w:pPr>
    </w:p>
    <w:p>
      <w:pPr>
        <w:spacing w:before="0" w:after="41"/>
        <w:ind w:left="720" w:right="0" w:firstLine="0"/>
        <w:jc w:val="left"/>
        <w:rPr>
          <w:rFonts w:ascii="Arial"/>
          <w:b/>
          <w:sz w:val="18"/>
        </w:rPr>
      </w:pPr>
      <w:bookmarkStart w:name="_bookmark210" w:id="679"/>
      <w:bookmarkEnd w:id="679"/>
      <w:r>
        <w:rPr/>
      </w:r>
      <w:r>
        <w:rPr>
          <w:rFonts w:ascii="Arial"/>
          <w:b/>
          <w:sz w:val="18"/>
        </w:rPr>
        <w:t>Table</w:t>
      </w:r>
      <w:r>
        <w:rPr>
          <w:rFonts w:ascii="Arial"/>
          <w:b/>
          <w:spacing w:val="-5"/>
          <w:sz w:val="18"/>
        </w:rPr>
        <w:t> </w:t>
      </w:r>
      <w:r>
        <w:rPr>
          <w:rFonts w:ascii="Arial"/>
          <w:b/>
          <w:sz w:val="18"/>
        </w:rPr>
        <w:t>25.</w:t>
      </w:r>
      <w:r>
        <w:rPr>
          <w:rFonts w:ascii="Arial"/>
          <w:b/>
          <w:spacing w:val="-3"/>
          <w:sz w:val="18"/>
        </w:rPr>
        <w:t> </w:t>
      </w:r>
      <w:r>
        <w:rPr>
          <w:rFonts w:ascii="Arial"/>
          <w:b/>
          <w:sz w:val="18"/>
        </w:rPr>
        <w:t>Colville</w:t>
      </w:r>
      <w:r>
        <w:rPr>
          <w:rFonts w:ascii="Arial"/>
          <w:b/>
          <w:spacing w:val="-5"/>
          <w:sz w:val="18"/>
        </w:rPr>
        <w:t> </w:t>
      </w:r>
      <w:r>
        <w:rPr>
          <w:rFonts w:ascii="Arial"/>
          <w:b/>
          <w:sz w:val="18"/>
        </w:rPr>
        <w:t>National</w:t>
      </w:r>
      <w:r>
        <w:rPr>
          <w:rFonts w:ascii="Arial"/>
          <w:b/>
          <w:spacing w:val="-3"/>
          <w:sz w:val="18"/>
        </w:rPr>
        <w:t> </w:t>
      </w:r>
      <w:r>
        <w:rPr>
          <w:rFonts w:ascii="Arial"/>
          <w:b/>
          <w:sz w:val="18"/>
        </w:rPr>
        <w:t>Forest</w:t>
      </w:r>
      <w:r>
        <w:rPr>
          <w:rFonts w:ascii="Arial"/>
          <w:b/>
          <w:spacing w:val="-3"/>
          <w:sz w:val="18"/>
        </w:rPr>
        <w:t> </w:t>
      </w:r>
      <w:r>
        <w:rPr>
          <w:rFonts w:ascii="Arial"/>
          <w:b/>
          <w:sz w:val="18"/>
        </w:rPr>
        <w:t>research</w:t>
      </w:r>
      <w:r>
        <w:rPr>
          <w:rFonts w:ascii="Arial"/>
          <w:b/>
          <w:spacing w:val="-3"/>
          <w:sz w:val="18"/>
        </w:rPr>
        <w:t> </w:t>
      </w:r>
      <w:r>
        <w:rPr>
          <w:rFonts w:ascii="Arial"/>
          <w:b/>
          <w:sz w:val="18"/>
        </w:rPr>
        <w:t>natural</w:t>
      </w:r>
      <w:r>
        <w:rPr>
          <w:rFonts w:ascii="Arial"/>
          <w:b/>
          <w:spacing w:val="-5"/>
          <w:sz w:val="18"/>
        </w:rPr>
        <w:t> </w:t>
      </w:r>
      <w:r>
        <w:rPr>
          <w:rFonts w:ascii="Arial"/>
          <w:b/>
          <w:spacing w:val="-4"/>
          <w:sz w:val="18"/>
        </w:rPr>
        <w:t>areas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398"/>
        <w:gridCol w:w="1064"/>
        <w:gridCol w:w="1389"/>
        <w:gridCol w:w="4700"/>
      </w:tblGrid>
      <w:tr>
        <w:trPr>
          <w:trHeight w:val="284" w:hRule="atLeast"/>
        </w:trPr>
        <w:tc>
          <w:tcPr>
            <w:tcW w:w="1398" w:type="dxa"/>
            <w:tcBorders>
              <w:right w:val="nil"/>
            </w:tcBorders>
            <w:shd w:val="clear" w:color="auto" w:fill="D5E2BB"/>
          </w:tcPr>
          <w:p>
            <w:pPr>
              <w:pStyle w:val="TableParagraph"/>
              <w:ind w:left="412"/>
              <w:rPr>
                <w:b/>
                <w:sz w:val="18"/>
              </w:rPr>
            </w:pPr>
            <w:r>
              <w:rPr>
                <w:b/>
                <w:spacing w:val="-4"/>
                <w:sz w:val="18"/>
              </w:rPr>
              <w:t>Name</w:t>
            </w:r>
          </w:p>
        </w:tc>
        <w:tc>
          <w:tcPr>
            <w:tcW w:w="1064" w:type="dxa"/>
            <w:tcBorders>
              <w:left w:val="nil"/>
              <w:right w:val="nil"/>
            </w:tcBorders>
            <w:shd w:val="clear" w:color="auto" w:fill="D5E2BB"/>
          </w:tcPr>
          <w:p>
            <w:pPr>
              <w:pStyle w:val="TableParagraph"/>
              <w:ind w:left="241"/>
              <w:rPr>
                <w:b/>
                <w:sz w:val="18"/>
              </w:rPr>
            </w:pPr>
            <w:r>
              <w:rPr>
                <w:b/>
                <w:spacing w:val="-2"/>
                <w:sz w:val="18"/>
              </w:rPr>
              <w:t>Acres</w:t>
            </w:r>
          </w:p>
        </w:tc>
        <w:tc>
          <w:tcPr>
            <w:tcW w:w="1389" w:type="dxa"/>
            <w:tcBorders>
              <w:left w:val="nil"/>
              <w:right w:val="nil"/>
            </w:tcBorders>
            <w:shd w:val="clear" w:color="auto" w:fill="D5E2BB"/>
          </w:tcPr>
          <w:p>
            <w:pPr>
              <w:pStyle w:val="TableParagraph"/>
              <w:ind w:left="88" w:right="4"/>
              <w:jc w:val="center"/>
              <w:rPr>
                <w:b/>
                <w:sz w:val="18"/>
              </w:rPr>
            </w:pPr>
            <w:r>
              <w:rPr>
                <w:b/>
                <w:spacing w:val="-2"/>
                <w:sz w:val="18"/>
              </w:rPr>
              <w:t>Status</w:t>
            </w:r>
          </w:p>
        </w:tc>
        <w:tc>
          <w:tcPr>
            <w:tcW w:w="4700" w:type="dxa"/>
            <w:tcBorders>
              <w:left w:val="nil"/>
            </w:tcBorders>
            <w:shd w:val="clear" w:color="auto" w:fill="D5E2BB"/>
          </w:tcPr>
          <w:p>
            <w:pPr>
              <w:pStyle w:val="TableParagraph"/>
              <w:ind w:left="1345"/>
              <w:rPr>
                <w:b/>
                <w:sz w:val="18"/>
              </w:rPr>
            </w:pPr>
            <w:r>
              <w:rPr>
                <w:b/>
                <w:sz w:val="18"/>
              </w:rPr>
              <w:t>Habitat</w:t>
            </w:r>
            <w:r>
              <w:rPr>
                <w:b/>
                <w:spacing w:val="-5"/>
                <w:sz w:val="18"/>
              </w:rPr>
              <w:t> </w:t>
            </w:r>
            <w:r>
              <w:rPr>
                <w:b/>
                <w:sz w:val="18"/>
              </w:rPr>
              <w:t>type</w:t>
            </w:r>
            <w:r>
              <w:rPr>
                <w:b/>
                <w:spacing w:val="-3"/>
                <w:sz w:val="18"/>
              </w:rPr>
              <w:t> </w:t>
            </w:r>
            <w:r>
              <w:rPr>
                <w:b/>
                <w:spacing w:val="-2"/>
                <w:sz w:val="18"/>
              </w:rPr>
              <w:t>represented</w:t>
            </w:r>
          </w:p>
        </w:tc>
      </w:tr>
      <w:tr>
        <w:trPr>
          <w:trHeight w:val="908" w:hRule="atLeast"/>
        </w:trPr>
        <w:tc>
          <w:tcPr>
            <w:tcW w:w="1398" w:type="dxa"/>
            <w:tcBorders>
              <w:right w:val="nil"/>
            </w:tcBorders>
          </w:tcPr>
          <w:p>
            <w:pPr>
              <w:pStyle w:val="TableParagraph"/>
              <w:spacing w:before="42"/>
              <w:ind w:left="107"/>
              <w:rPr>
                <w:b/>
                <w:sz w:val="18"/>
              </w:rPr>
            </w:pPr>
            <w:r>
              <w:rPr>
                <w:b/>
                <w:spacing w:val="-2"/>
                <w:sz w:val="18"/>
              </w:rPr>
              <w:t>Bunchgrass Meadows</w:t>
            </w:r>
          </w:p>
        </w:tc>
        <w:tc>
          <w:tcPr>
            <w:tcW w:w="1064" w:type="dxa"/>
            <w:tcBorders>
              <w:left w:val="nil"/>
              <w:right w:val="nil"/>
            </w:tcBorders>
          </w:tcPr>
          <w:p>
            <w:pPr>
              <w:pStyle w:val="TableParagraph"/>
              <w:spacing w:before="42"/>
              <w:ind w:right="251"/>
              <w:jc w:val="right"/>
              <w:rPr>
                <w:sz w:val="18"/>
              </w:rPr>
            </w:pPr>
            <w:r>
              <w:rPr>
                <w:spacing w:val="-5"/>
                <w:sz w:val="18"/>
              </w:rPr>
              <w:t>720</w:t>
            </w:r>
          </w:p>
        </w:tc>
        <w:tc>
          <w:tcPr>
            <w:tcW w:w="1389" w:type="dxa"/>
            <w:tcBorders>
              <w:left w:val="nil"/>
              <w:right w:val="nil"/>
            </w:tcBorders>
          </w:tcPr>
          <w:p>
            <w:pPr>
              <w:pStyle w:val="TableParagraph"/>
              <w:spacing w:before="42"/>
              <w:ind w:left="88"/>
              <w:jc w:val="center"/>
              <w:rPr>
                <w:sz w:val="18"/>
              </w:rPr>
            </w:pPr>
            <w:r>
              <w:rPr>
                <w:spacing w:val="-2"/>
                <w:sz w:val="18"/>
              </w:rPr>
              <w:t>Established</w:t>
            </w:r>
          </w:p>
        </w:tc>
        <w:tc>
          <w:tcPr>
            <w:tcW w:w="4700" w:type="dxa"/>
            <w:tcBorders>
              <w:left w:val="nil"/>
            </w:tcBorders>
          </w:tcPr>
          <w:p>
            <w:pPr>
              <w:pStyle w:val="TableParagraph"/>
              <w:spacing w:before="42"/>
              <w:ind w:left="200" w:right="57"/>
              <w:rPr>
                <w:sz w:val="18"/>
              </w:rPr>
            </w:pPr>
            <w:r>
              <w:rPr>
                <w:sz w:val="18"/>
              </w:rPr>
              <w:t>Subalpine fir/Cascade azalea community; subalpine fir/beargrass</w:t>
            </w:r>
            <w:r>
              <w:rPr>
                <w:spacing w:val="-9"/>
                <w:sz w:val="18"/>
              </w:rPr>
              <w:t> </w:t>
            </w:r>
            <w:r>
              <w:rPr>
                <w:sz w:val="18"/>
              </w:rPr>
              <w:t>community;</w:t>
            </w:r>
            <w:r>
              <w:rPr>
                <w:spacing w:val="-10"/>
                <w:sz w:val="18"/>
              </w:rPr>
              <w:t> </w:t>
            </w:r>
            <w:r>
              <w:rPr>
                <w:sz w:val="18"/>
              </w:rPr>
              <w:t>subalpine</w:t>
            </w:r>
            <w:r>
              <w:rPr>
                <w:spacing w:val="-10"/>
                <w:sz w:val="18"/>
              </w:rPr>
              <w:t> </w:t>
            </w:r>
            <w:r>
              <w:rPr>
                <w:sz w:val="18"/>
              </w:rPr>
              <w:t>fir/big</w:t>
            </w:r>
            <w:r>
              <w:rPr>
                <w:spacing w:val="-8"/>
                <w:sz w:val="18"/>
              </w:rPr>
              <w:t> </w:t>
            </w:r>
            <w:r>
              <w:rPr>
                <w:sz w:val="18"/>
              </w:rPr>
              <w:t>huckleberry community; mid-elevation permanent pond and drainage basin; mid-elevation sphagnum bog</w:t>
            </w:r>
          </w:p>
        </w:tc>
      </w:tr>
      <w:tr>
        <w:trPr>
          <w:trHeight w:val="700" w:hRule="atLeast"/>
        </w:trPr>
        <w:tc>
          <w:tcPr>
            <w:tcW w:w="1398" w:type="dxa"/>
            <w:tcBorders>
              <w:right w:val="nil"/>
            </w:tcBorders>
          </w:tcPr>
          <w:p>
            <w:pPr>
              <w:pStyle w:val="TableParagraph"/>
              <w:ind w:left="107" w:right="324"/>
              <w:rPr>
                <w:b/>
                <w:sz w:val="18"/>
              </w:rPr>
            </w:pPr>
            <w:r>
              <w:rPr>
                <w:b/>
                <w:spacing w:val="-4"/>
                <w:sz w:val="18"/>
              </w:rPr>
              <w:t>Fire </w:t>
            </w:r>
            <w:r>
              <w:rPr>
                <w:b/>
                <w:spacing w:val="-2"/>
                <w:sz w:val="18"/>
              </w:rPr>
              <w:t>Mountain</w:t>
            </w:r>
          </w:p>
        </w:tc>
        <w:tc>
          <w:tcPr>
            <w:tcW w:w="1064" w:type="dxa"/>
            <w:tcBorders>
              <w:left w:val="nil"/>
              <w:right w:val="nil"/>
            </w:tcBorders>
          </w:tcPr>
          <w:p>
            <w:pPr>
              <w:pStyle w:val="TableParagraph"/>
              <w:ind w:right="252"/>
              <w:jc w:val="right"/>
              <w:rPr>
                <w:sz w:val="18"/>
              </w:rPr>
            </w:pPr>
            <w:r>
              <w:rPr>
                <w:spacing w:val="-2"/>
                <w:sz w:val="18"/>
              </w:rPr>
              <w:t>1,454</w:t>
            </w:r>
          </w:p>
        </w:tc>
        <w:tc>
          <w:tcPr>
            <w:tcW w:w="1389" w:type="dxa"/>
            <w:tcBorders>
              <w:left w:val="nil"/>
              <w:right w:val="nil"/>
            </w:tcBorders>
          </w:tcPr>
          <w:p>
            <w:pPr>
              <w:pStyle w:val="TableParagraph"/>
              <w:ind w:left="88" w:right="3"/>
              <w:jc w:val="center"/>
              <w:rPr>
                <w:sz w:val="18"/>
              </w:rPr>
            </w:pPr>
            <w:r>
              <w:rPr>
                <w:spacing w:val="-2"/>
                <w:sz w:val="18"/>
              </w:rPr>
              <w:t>Proposed</w:t>
            </w:r>
          </w:p>
        </w:tc>
        <w:tc>
          <w:tcPr>
            <w:tcW w:w="4700" w:type="dxa"/>
            <w:tcBorders>
              <w:left w:val="nil"/>
            </w:tcBorders>
          </w:tcPr>
          <w:p>
            <w:pPr>
              <w:pStyle w:val="TableParagraph"/>
              <w:ind w:left="200"/>
              <w:rPr>
                <w:sz w:val="18"/>
              </w:rPr>
            </w:pPr>
            <w:r>
              <w:rPr>
                <w:sz w:val="18"/>
              </w:rPr>
              <w:t>Douglas-fir/pinegrass community; ponderosa pine/pinegrass</w:t>
            </w:r>
            <w:r>
              <w:rPr>
                <w:spacing w:val="-13"/>
                <w:sz w:val="18"/>
              </w:rPr>
              <w:t> </w:t>
            </w:r>
            <w:r>
              <w:rPr>
                <w:sz w:val="18"/>
              </w:rPr>
              <w:t>community;</w:t>
            </w:r>
            <w:r>
              <w:rPr>
                <w:spacing w:val="-12"/>
                <w:sz w:val="18"/>
              </w:rPr>
              <w:t> </w:t>
            </w:r>
            <w:r>
              <w:rPr>
                <w:sz w:val="18"/>
              </w:rPr>
              <w:t>subalpine</w:t>
            </w:r>
            <w:r>
              <w:rPr>
                <w:spacing w:val="-12"/>
                <w:sz w:val="18"/>
              </w:rPr>
              <w:t> </w:t>
            </w:r>
            <w:r>
              <w:rPr>
                <w:sz w:val="18"/>
              </w:rPr>
              <w:t>fir/huckleberry community snowberry phase</w:t>
            </w:r>
          </w:p>
        </w:tc>
      </w:tr>
      <w:tr>
        <w:trPr>
          <w:trHeight w:val="287" w:hRule="atLeast"/>
        </w:trPr>
        <w:tc>
          <w:tcPr>
            <w:tcW w:w="1398" w:type="dxa"/>
            <w:tcBorders>
              <w:right w:val="nil"/>
            </w:tcBorders>
          </w:tcPr>
          <w:p>
            <w:pPr>
              <w:pStyle w:val="TableParagraph"/>
              <w:spacing w:before="42"/>
              <w:ind w:left="107"/>
              <w:rPr>
                <w:b/>
                <w:sz w:val="18"/>
              </w:rPr>
            </w:pPr>
            <w:r>
              <w:rPr>
                <w:b/>
                <w:sz w:val="18"/>
              </w:rPr>
              <w:t>Hall</w:t>
            </w:r>
            <w:r>
              <w:rPr>
                <w:b/>
                <w:spacing w:val="-3"/>
                <w:sz w:val="18"/>
              </w:rPr>
              <w:t> </w:t>
            </w:r>
            <w:r>
              <w:rPr>
                <w:b/>
                <w:spacing w:val="-2"/>
                <w:sz w:val="18"/>
              </w:rPr>
              <w:t>Ponds</w:t>
            </w:r>
          </w:p>
        </w:tc>
        <w:tc>
          <w:tcPr>
            <w:tcW w:w="1064" w:type="dxa"/>
            <w:tcBorders>
              <w:left w:val="nil"/>
              <w:right w:val="nil"/>
            </w:tcBorders>
          </w:tcPr>
          <w:p>
            <w:pPr>
              <w:pStyle w:val="TableParagraph"/>
              <w:spacing w:before="42"/>
              <w:ind w:right="252"/>
              <w:jc w:val="right"/>
              <w:rPr>
                <w:sz w:val="18"/>
              </w:rPr>
            </w:pPr>
            <w:r>
              <w:rPr>
                <w:spacing w:val="-5"/>
                <w:sz w:val="18"/>
              </w:rPr>
              <w:t>628</w:t>
            </w:r>
          </w:p>
        </w:tc>
        <w:tc>
          <w:tcPr>
            <w:tcW w:w="1389" w:type="dxa"/>
            <w:tcBorders>
              <w:left w:val="nil"/>
              <w:right w:val="nil"/>
            </w:tcBorders>
          </w:tcPr>
          <w:p>
            <w:pPr>
              <w:pStyle w:val="TableParagraph"/>
              <w:spacing w:before="42"/>
              <w:ind w:left="88" w:right="3"/>
              <w:jc w:val="center"/>
              <w:rPr>
                <w:sz w:val="18"/>
              </w:rPr>
            </w:pPr>
            <w:r>
              <w:rPr>
                <w:spacing w:val="-2"/>
                <w:sz w:val="18"/>
              </w:rPr>
              <w:t>Proposed</w:t>
            </w:r>
          </w:p>
        </w:tc>
        <w:tc>
          <w:tcPr>
            <w:tcW w:w="4700" w:type="dxa"/>
            <w:tcBorders>
              <w:left w:val="nil"/>
            </w:tcBorders>
          </w:tcPr>
          <w:p>
            <w:pPr>
              <w:pStyle w:val="TableParagraph"/>
              <w:spacing w:before="42"/>
              <w:ind w:left="200"/>
              <w:rPr>
                <w:sz w:val="18"/>
              </w:rPr>
            </w:pPr>
            <w:r>
              <w:rPr>
                <w:spacing w:val="-2"/>
                <w:sz w:val="18"/>
              </w:rPr>
              <w:t>Mid-elevation</w:t>
            </w:r>
            <w:r>
              <w:rPr>
                <w:spacing w:val="8"/>
                <w:sz w:val="18"/>
              </w:rPr>
              <w:t> </w:t>
            </w:r>
            <w:r>
              <w:rPr>
                <w:spacing w:val="-2"/>
                <w:sz w:val="18"/>
              </w:rPr>
              <w:t>freshwater</w:t>
            </w:r>
            <w:r>
              <w:rPr>
                <w:spacing w:val="7"/>
                <w:sz w:val="18"/>
              </w:rPr>
              <w:t> </w:t>
            </w:r>
            <w:r>
              <w:rPr>
                <w:spacing w:val="-2"/>
                <w:sz w:val="18"/>
              </w:rPr>
              <w:t>wetland</w:t>
            </w:r>
          </w:p>
        </w:tc>
      </w:tr>
      <w:tr>
        <w:trPr>
          <w:trHeight w:val="702" w:hRule="atLeast"/>
        </w:trPr>
        <w:tc>
          <w:tcPr>
            <w:tcW w:w="1398" w:type="dxa"/>
            <w:tcBorders>
              <w:right w:val="nil"/>
            </w:tcBorders>
          </w:tcPr>
          <w:p>
            <w:pPr>
              <w:pStyle w:val="TableParagraph"/>
              <w:spacing w:before="42"/>
              <w:ind w:left="107"/>
              <w:rPr>
                <w:b/>
                <w:sz w:val="18"/>
              </w:rPr>
            </w:pPr>
            <w:r>
              <w:rPr>
                <w:b/>
                <w:sz w:val="18"/>
              </w:rPr>
              <w:t>Halliday</w:t>
            </w:r>
            <w:r>
              <w:rPr>
                <w:b/>
                <w:spacing w:val="-9"/>
                <w:sz w:val="18"/>
              </w:rPr>
              <w:t> </w:t>
            </w:r>
            <w:r>
              <w:rPr>
                <w:b/>
                <w:spacing w:val="-5"/>
                <w:sz w:val="18"/>
              </w:rPr>
              <w:t>Fen</w:t>
            </w:r>
          </w:p>
        </w:tc>
        <w:tc>
          <w:tcPr>
            <w:tcW w:w="1064" w:type="dxa"/>
            <w:tcBorders>
              <w:left w:val="nil"/>
              <w:right w:val="nil"/>
            </w:tcBorders>
          </w:tcPr>
          <w:p>
            <w:pPr>
              <w:pStyle w:val="TableParagraph"/>
              <w:spacing w:before="42"/>
              <w:ind w:right="252"/>
              <w:jc w:val="right"/>
              <w:rPr>
                <w:sz w:val="18"/>
              </w:rPr>
            </w:pPr>
            <w:r>
              <w:rPr>
                <w:spacing w:val="-5"/>
                <w:sz w:val="18"/>
              </w:rPr>
              <w:t>725</w:t>
            </w:r>
          </w:p>
        </w:tc>
        <w:tc>
          <w:tcPr>
            <w:tcW w:w="1389" w:type="dxa"/>
            <w:tcBorders>
              <w:left w:val="nil"/>
              <w:right w:val="nil"/>
            </w:tcBorders>
          </w:tcPr>
          <w:p>
            <w:pPr>
              <w:pStyle w:val="TableParagraph"/>
              <w:spacing w:before="42"/>
              <w:ind w:left="88" w:right="1"/>
              <w:jc w:val="center"/>
              <w:rPr>
                <w:sz w:val="18"/>
              </w:rPr>
            </w:pPr>
            <w:r>
              <w:rPr>
                <w:spacing w:val="-2"/>
                <w:sz w:val="18"/>
              </w:rPr>
              <w:t>Established</w:t>
            </w:r>
          </w:p>
        </w:tc>
        <w:tc>
          <w:tcPr>
            <w:tcW w:w="4700" w:type="dxa"/>
            <w:tcBorders>
              <w:left w:val="nil"/>
            </w:tcBorders>
          </w:tcPr>
          <w:p>
            <w:pPr>
              <w:pStyle w:val="TableParagraph"/>
              <w:spacing w:before="42"/>
              <w:ind w:left="200" w:right="332"/>
              <w:jc w:val="both"/>
              <w:rPr>
                <w:sz w:val="18"/>
              </w:rPr>
            </w:pPr>
            <w:r>
              <w:rPr>
                <w:sz w:val="18"/>
              </w:rPr>
              <w:t>Western</w:t>
            </w:r>
            <w:r>
              <w:rPr>
                <w:spacing w:val="-6"/>
                <w:sz w:val="18"/>
              </w:rPr>
              <w:t> </w:t>
            </w:r>
            <w:r>
              <w:rPr>
                <w:sz w:val="18"/>
              </w:rPr>
              <w:t>red</w:t>
            </w:r>
            <w:r>
              <w:rPr>
                <w:spacing w:val="-9"/>
                <w:sz w:val="18"/>
              </w:rPr>
              <w:t> </w:t>
            </w:r>
            <w:r>
              <w:rPr>
                <w:sz w:val="18"/>
              </w:rPr>
              <w:t>cedar/queen’s</w:t>
            </w:r>
            <w:r>
              <w:rPr>
                <w:spacing w:val="-8"/>
                <w:sz w:val="18"/>
              </w:rPr>
              <w:t> </w:t>
            </w:r>
            <w:r>
              <w:rPr>
                <w:sz w:val="18"/>
              </w:rPr>
              <w:t>cup</w:t>
            </w:r>
            <w:r>
              <w:rPr>
                <w:spacing w:val="-6"/>
                <w:sz w:val="18"/>
              </w:rPr>
              <w:t> </w:t>
            </w:r>
            <w:r>
              <w:rPr>
                <w:sz w:val="18"/>
              </w:rPr>
              <w:t>community;</w:t>
            </w:r>
            <w:r>
              <w:rPr>
                <w:spacing w:val="-7"/>
                <w:sz w:val="18"/>
              </w:rPr>
              <w:t> </w:t>
            </w:r>
            <w:r>
              <w:rPr>
                <w:sz w:val="18"/>
              </w:rPr>
              <w:t>western red</w:t>
            </w:r>
            <w:r>
              <w:rPr>
                <w:spacing w:val="-5"/>
                <w:sz w:val="18"/>
              </w:rPr>
              <w:t> </w:t>
            </w:r>
            <w:r>
              <w:rPr>
                <w:sz w:val="18"/>
              </w:rPr>
              <w:t>cedar/devil’s</w:t>
            </w:r>
            <w:r>
              <w:rPr>
                <w:spacing w:val="-7"/>
                <w:sz w:val="18"/>
              </w:rPr>
              <w:t> </w:t>
            </w:r>
            <w:r>
              <w:rPr>
                <w:sz w:val="18"/>
              </w:rPr>
              <w:t>club</w:t>
            </w:r>
            <w:r>
              <w:rPr>
                <w:spacing w:val="-7"/>
                <w:sz w:val="18"/>
              </w:rPr>
              <w:t> </w:t>
            </w:r>
            <w:r>
              <w:rPr>
                <w:sz w:val="18"/>
              </w:rPr>
              <w:t>community;</w:t>
            </w:r>
            <w:r>
              <w:rPr>
                <w:spacing w:val="-6"/>
                <w:sz w:val="18"/>
              </w:rPr>
              <w:t> </w:t>
            </w:r>
            <w:r>
              <w:rPr>
                <w:sz w:val="18"/>
              </w:rPr>
              <w:t>western</w:t>
            </w:r>
            <w:r>
              <w:rPr>
                <w:spacing w:val="-5"/>
                <w:sz w:val="18"/>
              </w:rPr>
              <w:t> </w:t>
            </w:r>
            <w:r>
              <w:rPr>
                <w:sz w:val="18"/>
              </w:rPr>
              <w:t>red</w:t>
            </w:r>
            <w:r>
              <w:rPr>
                <w:spacing w:val="-7"/>
                <w:sz w:val="18"/>
              </w:rPr>
              <w:t> </w:t>
            </w:r>
            <w:r>
              <w:rPr>
                <w:sz w:val="18"/>
              </w:rPr>
              <w:t>cedar hemlock/queen’s cup community; marl fen</w:t>
            </w:r>
          </w:p>
        </w:tc>
      </w:tr>
      <w:tr>
        <w:trPr>
          <w:trHeight w:val="1528" w:hRule="atLeast"/>
        </w:trPr>
        <w:tc>
          <w:tcPr>
            <w:tcW w:w="1398" w:type="dxa"/>
            <w:tcBorders>
              <w:right w:val="nil"/>
            </w:tcBorders>
          </w:tcPr>
          <w:p>
            <w:pPr>
              <w:pStyle w:val="TableParagraph"/>
              <w:ind w:left="107" w:right="654"/>
              <w:rPr>
                <w:b/>
                <w:sz w:val="18"/>
              </w:rPr>
            </w:pPr>
            <w:r>
              <w:rPr>
                <w:b/>
                <w:spacing w:val="-2"/>
                <w:sz w:val="18"/>
              </w:rPr>
              <w:t>Maitlen Creek</w:t>
            </w:r>
          </w:p>
        </w:tc>
        <w:tc>
          <w:tcPr>
            <w:tcW w:w="1064" w:type="dxa"/>
            <w:tcBorders>
              <w:left w:val="nil"/>
              <w:right w:val="nil"/>
            </w:tcBorders>
          </w:tcPr>
          <w:p>
            <w:pPr>
              <w:pStyle w:val="TableParagraph"/>
              <w:ind w:right="251"/>
              <w:jc w:val="right"/>
              <w:rPr>
                <w:sz w:val="18"/>
              </w:rPr>
            </w:pPr>
            <w:r>
              <w:rPr>
                <w:spacing w:val="-5"/>
                <w:sz w:val="18"/>
              </w:rPr>
              <w:t>653</w:t>
            </w:r>
          </w:p>
        </w:tc>
        <w:tc>
          <w:tcPr>
            <w:tcW w:w="1389" w:type="dxa"/>
            <w:tcBorders>
              <w:left w:val="nil"/>
              <w:right w:val="nil"/>
            </w:tcBorders>
          </w:tcPr>
          <w:p>
            <w:pPr>
              <w:pStyle w:val="TableParagraph"/>
              <w:ind w:left="88"/>
              <w:jc w:val="center"/>
              <w:rPr>
                <w:sz w:val="18"/>
              </w:rPr>
            </w:pPr>
            <w:r>
              <w:rPr>
                <w:spacing w:val="-2"/>
                <w:sz w:val="18"/>
              </w:rPr>
              <w:t>Established</w:t>
            </w:r>
          </w:p>
        </w:tc>
        <w:tc>
          <w:tcPr>
            <w:tcW w:w="4700" w:type="dxa"/>
            <w:tcBorders>
              <w:left w:val="nil"/>
            </w:tcBorders>
          </w:tcPr>
          <w:p>
            <w:pPr>
              <w:pStyle w:val="TableParagraph"/>
              <w:ind w:left="200" w:right="57"/>
              <w:rPr>
                <w:sz w:val="18"/>
              </w:rPr>
            </w:pPr>
            <w:r>
              <w:rPr>
                <w:sz w:val="18"/>
              </w:rPr>
              <w:t>Douglas-fir/ninebark forest; Douglas-fir/pinegrass woodland; grand fir/queen’s cup forest; mid-elevation stream; subalpine fir/pinegrass forest; subalpine fir/twinflower forest; western hemlock/queen’s cup forest;</w:t>
            </w:r>
            <w:r>
              <w:rPr>
                <w:spacing w:val="-6"/>
                <w:sz w:val="18"/>
              </w:rPr>
              <w:t> </w:t>
            </w:r>
            <w:r>
              <w:rPr>
                <w:sz w:val="18"/>
              </w:rPr>
              <w:t>western</w:t>
            </w:r>
            <w:r>
              <w:rPr>
                <w:spacing w:val="-8"/>
                <w:sz w:val="18"/>
              </w:rPr>
              <w:t> </w:t>
            </w:r>
            <w:r>
              <w:rPr>
                <w:sz w:val="18"/>
              </w:rPr>
              <w:t>larch</w:t>
            </w:r>
            <w:r>
              <w:rPr>
                <w:spacing w:val="-5"/>
                <w:sz w:val="18"/>
              </w:rPr>
              <w:t> </w:t>
            </w:r>
            <w:r>
              <w:rPr>
                <w:sz w:val="18"/>
              </w:rPr>
              <w:t>forest;</w:t>
            </w:r>
            <w:r>
              <w:rPr>
                <w:spacing w:val="-8"/>
                <w:sz w:val="18"/>
              </w:rPr>
              <w:t> </w:t>
            </w:r>
            <w:r>
              <w:rPr>
                <w:sz w:val="18"/>
              </w:rPr>
              <w:t>western</w:t>
            </w:r>
            <w:r>
              <w:rPr>
                <w:spacing w:val="-5"/>
                <w:sz w:val="18"/>
              </w:rPr>
              <w:t> </w:t>
            </w:r>
            <w:r>
              <w:rPr>
                <w:sz w:val="18"/>
              </w:rPr>
              <w:t>red</w:t>
            </w:r>
            <w:r>
              <w:rPr>
                <w:spacing w:val="-8"/>
                <w:sz w:val="18"/>
              </w:rPr>
              <w:t> </w:t>
            </w:r>
            <w:r>
              <w:rPr>
                <w:sz w:val="18"/>
              </w:rPr>
              <w:t>cedar/queen’s cup forest; mid-elevation stream and riparian system; red alder forest</w:t>
            </w:r>
          </w:p>
        </w:tc>
      </w:tr>
      <w:tr>
        <w:trPr>
          <w:trHeight w:val="495" w:hRule="atLeast"/>
        </w:trPr>
        <w:tc>
          <w:tcPr>
            <w:tcW w:w="1398" w:type="dxa"/>
            <w:tcBorders>
              <w:right w:val="nil"/>
            </w:tcBorders>
          </w:tcPr>
          <w:p>
            <w:pPr>
              <w:pStyle w:val="TableParagraph"/>
              <w:ind w:left="107" w:right="324"/>
              <w:rPr>
                <w:b/>
                <w:sz w:val="18"/>
              </w:rPr>
            </w:pPr>
            <w:r>
              <w:rPr>
                <w:b/>
                <w:sz w:val="18"/>
              </w:rPr>
              <w:t>Round</w:t>
            </w:r>
            <w:r>
              <w:rPr>
                <w:b/>
                <w:spacing w:val="-13"/>
                <w:sz w:val="18"/>
              </w:rPr>
              <w:t> </w:t>
            </w:r>
            <w:r>
              <w:rPr>
                <w:b/>
                <w:sz w:val="18"/>
              </w:rPr>
              <w:t>Top </w:t>
            </w:r>
            <w:r>
              <w:rPr>
                <w:b/>
                <w:spacing w:val="-2"/>
                <w:sz w:val="18"/>
              </w:rPr>
              <w:t>Mountain</w:t>
            </w:r>
          </w:p>
        </w:tc>
        <w:tc>
          <w:tcPr>
            <w:tcW w:w="1064" w:type="dxa"/>
            <w:tcBorders>
              <w:left w:val="nil"/>
              <w:right w:val="nil"/>
            </w:tcBorders>
          </w:tcPr>
          <w:p>
            <w:pPr>
              <w:pStyle w:val="TableParagraph"/>
              <w:ind w:right="252"/>
              <w:jc w:val="right"/>
              <w:rPr>
                <w:sz w:val="18"/>
              </w:rPr>
            </w:pPr>
            <w:r>
              <w:rPr>
                <w:spacing w:val="-5"/>
                <w:sz w:val="18"/>
              </w:rPr>
              <w:t>213</w:t>
            </w:r>
          </w:p>
        </w:tc>
        <w:tc>
          <w:tcPr>
            <w:tcW w:w="1389" w:type="dxa"/>
            <w:tcBorders>
              <w:left w:val="nil"/>
              <w:right w:val="nil"/>
            </w:tcBorders>
          </w:tcPr>
          <w:p>
            <w:pPr>
              <w:pStyle w:val="TableParagraph"/>
              <w:ind w:left="88" w:right="1"/>
              <w:jc w:val="center"/>
              <w:rPr>
                <w:sz w:val="18"/>
              </w:rPr>
            </w:pPr>
            <w:r>
              <w:rPr>
                <w:spacing w:val="-2"/>
                <w:sz w:val="18"/>
              </w:rPr>
              <w:t>Established</w:t>
            </w:r>
          </w:p>
        </w:tc>
        <w:tc>
          <w:tcPr>
            <w:tcW w:w="4700" w:type="dxa"/>
            <w:tcBorders>
              <w:left w:val="nil"/>
            </w:tcBorders>
          </w:tcPr>
          <w:p>
            <w:pPr>
              <w:pStyle w:val="TableParagraph"/>
              <w:ind w:left="200"/>
              <w:rPr>
                <w:sz w:val="18"/>
              </w:rPr>
            </w:pPr>
            <w:r>
              <w:rPr>
                <w:sz w:val="18"/>
              </w:rPr>
              <w:t>Green</w:t>
            </w:r>
            <w:r>
              <w:rPr>
                <w:spacing w:val="-7"/>
                <w:sz w:val="18"/>
              </w:rPr>
              <w:t> </w:t>
            </w:r>
            <w:r>
              <w:rPr>
                <w:sz w:val="18"/>
              </w:rPr>
              <w:t>fescue</w:t>
            </w:r>
            <w:r>
              <w:rPr>
                <w:spacing w:val="-7"/>
                <w:sz w:val="18"/>
              </w:rPr>
              <w:t> </w:t>
            </w:r>
            <w:r>
              <w:rPr>
                <w:sz w:val="18"/>
              </w:rPr>
              <w:t>grassland;</w:t>
            </w:r>
            <w:r>
              <w:rPr>
                <w:spacing w:val="-7"/>
                <w:sz w:val="18"/>
              </w:rPr>
              <w:t> </w:t>
            </w:r>
            <w:r>
              <w:rPr>
                <w:sz w:val="18"/>
              </w:rPr>
              <w:t>subalpine</w:t>
            </w:r>
            <w:r>
              <w:rPr>
                <w:spacing w:val="-9"/>
                <w:sz w:val="18"/>
              </w:rPr>
              <w:t> </w:t>
            </w:r>
            <w:r>
              <w:rPr>
                <w:sz w:val="18"/>
              </w:rPr>
              <w:t>fir/beargrass</w:t>
            </w:r>
            <w:r>
              <w:rPr>
                <w:spacing w:val="-8"/>
                <w:sz w:val="18"/>
              </w:rPr>
              <w:t> </w:t>
            </w:r>
            <w:r>
              <w:rPr>
                <w:sz w:val="18"/>
              </w:rPr>
              <w:t>forest; subalpine fir/Cascades azalea woodland</w:t>
            </w:r>
          </w:p>
        </w:tc>
      </w:tr>
    </w:tbl>
    <w:p>
      <w:pPr>
        <w:pStyle w:val="TableParagraph"/>
        <w:spacing w:after="0"/>
        <w:rPr>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267"/>
        <w:gridCol w:w="1194"/>
        <w:gridCol w:w="1388"/>
        <w:gridCol w:w="4699"/>
      </w:tblGrid>
      <w:tr>
        <w:trPr>
          <w:trHeight w:val="287" w:hRule="atLeast"/>
        </w:trPr>
        <w:tc>
          <w:tcPr>
            <w:tcW w:w="1267" w:type="dxa"/>
            <w:tcBorders>
              <w:right w:val="nil"/>
            </w:tcBorders>
            <w:shd w:val="clear" w:color="auto" w:fill="D5E2BB"/>
          </w:tcPr>
          <w:p>
            <w:pPr>
              <w:pStyle w:val="TableParagraph"/>
              <w:ind w:left="412"/>
              <w:rPr>
                <w:b/>
                <w:sz w:val="18"/>
              </w:rPr>
            </w:pPr>
            <w:r>
              <w:rPr>
                <w:b/>
                <w:spacing w:val="-4"/>
                <w:sz w:val="18"/>
              </w:rPr>
              <w:t>Name</w:t>
            </w:r>
          </w:p>
        </w:tc>
        <w:tc>
          <w:tcPr>
            <w:tcW w:w="1194" w:type="dxa"/>
            <w:tcBorders>
              <w:left w:val="nil"/>
              <w:right w:val="nil"/>
            </w:tcBorders>
            <w:shd w:val="clear" w:color="auto" w:fill="D5E2BB"/>
          </w:tcPr>
          <w:p>
            <w:pPr>
              <w:pStyle w:val="TableParagraph"/>
              <w:ind w:right="320"/>
              <w:jc w:val="right"/>
              <w:rPr>
                <w:b/>
                <w:sz w:val="18"/>
              </w:rPr>
            </w:pPr>
            <w:r>
              <w:rPr>
                <w:b/>
                <w:spacing w:val="-2"/>
                <w:sz w:val="18"/>
              </w:rPr>
              <w:t>Acres</w:t>
            </w:r>
          </w:p>
        </w:tc>
        <w:tc>
          <w:tcPr>
            <w:tcW w:w="1388" w:type="dxa"/>
            <w:tcBorders>
              <w:left w:val="nil"/>
              <w:right w:val="nil"/>
            </w:tcBorders>
            <w:shd w:val="clear" w:color="auto" w:fill="D5E2BB"/>
          </w:tcPr>
          <w:p>
            <w:pPr>
              <w:pStyle w:val="TableParagraph"/>
              <w:ind w:left="90" w:right="3"/>
              <w:jc w:val="center"/>
              <w:rPr>
                <w:b/>
                <w:sz w:val="18"/>
              </w:rPr>
            </w:pPr>
            <w:r>
              <w:rPr>
                <w:b/>
                <w:spacing w:val="-2"/>
                <w:sz w:val="18"/>
              </w:rPr>
              <w:t>Status</w:t>
            </w:r>
          </w:p>
        </w:tc>
        <w:tc>
          <w:tcPr>
            <w:tcW w:w="4699" w:type="dxa"/>
            <w:tcBorders>
              <w:left w:val="nil"/>
            </w:tcBorders>
            <w:shd w:val="clear" w:color="auto" w:fill="D5E2BB"/>
          </w:tcPr>
          <w:p>
            <w:pPr>
              <w:pStyle w:val="TableParagraph"/>
              <w:ind w:left="1347"/>
              <w:rPr>
                <w:b/>
                <w:sz w:val="18"/>
              </w:rPr>
            </w:pPr>
            <w:r>
              <w:rPr>
                <w:b/>
                <w:sz w:val="18"/>
              </w:rPr>
              <w:t>Habitat</w:t>
            </w:r>
            <w:r>
              <w:rPr>
                <w:b/>
                <w:spacing w:val="-5"/>
                <w:sz w:val="18"/>
              </w:rPr>
              <w:t> </w:t>
            </w:r>
            <w:r>
              <w:rPr>
                <w:b/>
                <w:sz w:val="18"/>
              </w:rPr>
              <w:t>type</w:t>
            </w:r>
            <w:r>
              <w:rPr>
                <w:b/>
                <w:spacing w:val="-3"/>
                <w:sz w:val="18"/>
              </w:rPr>
              <w:t> </w:t>
            </w:r>
            <w:r>
              <w:rPr>
                <w:b/>
                <w:spacing w:val="-2"/>
                <w:sz w:val="18"/>
              </w:rPr>
              <w:t>represented</w:t>
            </w:r>
          </w:p>
        </w:tc>
      </w:tr>
      <w:tr>
        <w:trPr>
          <w:trHeight w:val="1321" w:hRule="atLeast"/>
        </w:trPr>
        <w:tc>
          <w:tcPr>
            <w:tcW w:w="1267" w:type="dxa"/>
            <w:tcBorders>
              <w:right w:val="nil"/>
            </w:tcBorders>
          </w:tcPr>
          <w:p>
            <w:pPr>
              <w:pStyle w:val="TableParagraph"/>
              <w:ind w:left="107"/>
              <w:rPr>
                <w:b/>
                <w:sz w:val="18"/>
              </w:rPr>
            </w:pPr>
            <w:r>
              <w:rPr>
                <w:b/>
                <w:spacing w:val="-2"/>
                <w:sz w:val="18"/>
              </w:rPr>
              <w:t>Salmo</w:t>
            </w:r>
          </w:p>
        </w:tc>
        <w:tc>
          <w:tcPr>
            <w:tcW w:w="1194" w:type="dxa"/>
            <w:tcBorders>
              <w:left w:val="nil"/>
              <w:right w:val="nil"/>
            </w:tcBorders>
          </w:tcPr>
          <w:p>
            <w:pPr>
              <w:pStyle w:val="TableParagraph"/>
              <w:ind w:right="251"/>
              <w:jc w:val="right"/>
              <w:rPr>
                <w:sz w:val="18"/>
              </w:rPr>
            </w:pPr>
            <w:r>
              <w:rPr>
                <w:spacing w:val="-2"/>
                <w:sz w:val="18"/>
              </w:rPr>
              <w:t>1,405</w:t>
            </w:r>
          </w:p>
        </w:tc>
        <w:tc>
          <w:tcPr>
            <w:tcW w:w="1388" w:type="dxa"/>
            <w:tcBorders>
              <w:left w:val="nil"/>
              <w:right w:val="nil"/>
            </w:tcBorders>
          </w:tcPr>
          <w:p>
            <w:pPr>
              <w:pStyle w:val="TableParagraph"/>
              <w:ind w:left="90"/>
              <w:jc w:val="center"/>
              <w:rPr>
                <w:sz w:val="18"/>
              </w:rPr>
            </w:pPr>
            <w:r>
              <w:rPr>
                <w:spacing w:val="-2"/>
                <w:sz w:val="18"/>
              </w:rPr>
              <w:t>Established</w:t>
            </w:r>
          </w:p>
        </w:tc>
        <w:tc>
          <w:tcPr>
            <w:tcW w:w="4699" w:type="dxa"/>
            <w:tcBorders>
              <w:left w:val="nil"/>
            </w:tcBorders>
          </w:tcPr>
          <w:p>
            <w:pPr>
              <w:pStyle w:val="TableParagraph"/>
              <w:ind w:left="202" w:right="201"/>
              <w:rPr>
                <w:sz w:val="18"/>
              </w:rPr>
            </w:pPr>
            <w:r>
              <w:rPr>
                <w:sz w:val="18"/>
              </w:rPr>
              <w:t>Mid-elevation stream; subalpine fir/beargrass forest; subalpine fir/Cascade azalea woodland; western hemlock/five-leaved red bramble forest; western hemlock/fools huckleberry forest; western hemlock/queen’s</w:t>
            </w:r>
            <w:r>
              <w:rPr>
                <w:spacing w:val="-8"/>
                <w:sz w:val="18"/>
              </w:rPr>
              <w:t> </w:t>
            </w:r>
            <w:r>
              <w:rPr>
                <w:sz w:val="18"/>
              </w:rPr>
              <w:t>cup</w:t>
            </w:r>
            <w:r>
              <w:rPr>
                <w:spacing w:val="-9"/>
                <w:sz w:val="18"/>
              </w:rPr>
              <w:t> </w:t>
            </w:r>
            <w:r>
              <w:rPr>
                <w:sz w:val="18"/>
              </w:rPr>
              <w:t>forest;</w:t>
            </w:r>
            <w:r>
              <w:rPr>
                <w:spacing w:val="-7"/>
                <w:sz w:val="18"/>
              </w:rPr>
              <w:t> </w:t>
            </w:r>
            <w:r>
              <w:rPr>
                <w:sz w:val="18"/>
              </w:rPr>
              <w:t>western</w:t>
            </w:r>
            <w:r>
              <w:rPr>
                <w:spacing w:val="-6"/>
                <w:sz w:val="18"/>
              </w:rPr>
              <w:t> </w:t>
            </w:r>
            <w:r>
              <w:rPr>
                <w:sz w:val="18"/>
              </w:rPr>
              <w:t>red</w:t>
            </w:r>
            <w:r>
              <w:rPr>
                <w:spacing w:val="-9"/>
                <w:sz w:val="18"/>
              </w:rPr>
              <w:t> </w:t>
            </w:r>
            <w:r>
              <w:rPr>
                <w:sz w:val="18"/>
              </w:rPr>
              <w:t>cedar/devil’s club forest; western white pine/queen’s cup forest</w:t>
            </w:r>
          </w:p>
        </w:tc>
      </w:tr>
    </w:tbl>
    <w:p>
      <w:pPr>
        <w:pStyle w:val="BodyText"/>
        <w:spacing w:before="204"/>
        <w:rPr>
          <w:rFonts w:ascii="Arial"/>
          <w:b/>
          <w:sz w:val="24"/>
        </w:rPr>
      </w:pPr>
    </w:p>
    <w:p>
      <w:pPr>
        <w:pStyle w:val="Heading4"/>
        <w:ind w:left="1151"/>
      </w:pPr>
      <w:bookmarkStart w:name="Desired Condition" w:id="680"/>
      <w:bookmarkEnd w:id="680"/>
      <w:r>
        <w:rPr/>
      </w:r>
      <w:bookmarkStart w:name="_bookmark211" w:id="681"/>
      <w:bookmarkEnd w:id="681"/>
      <w:r>
        <w:rPr/>
      </w:r>
      <w:r>
        <w:rPr/>
        <w:t>Desired</w:t>
      </w:r>
      <w:r>
        <w:rPr>
          <w:spacing w:val="-4"/>
        </w:rPr>
        <w:t> </w:t>
      </w:r>
      <w:r>
        <w:rPr>
          <w:spacing w:val="-2"/>
        </w:rPr>
        <w:t>Condition</w:t>
      </w:r>
    </w:p>
    <w:p>
      <w:pPr>
        <w:spacing w:before="240"/>
        <w:ind w:left="1151" w:right="0" w:firstLine="0"/>
        <w:jc w:val="left"/>
        <w:rPr>
          <w:rFonts w:ascii="Arial"/>
          <w:i/>
          <w:sz w:val="22"/>
        </w:rPr>
      </w:pPr>
      <w:bookmarkStart w:name="MA-DC-RNA-01. Research Purposes" w:id="682"/>
      <w:bookmarkEnd w:id="682"/>
      <w:r>
        <w:rPr/>
      </w:r>
      <w:r>
        <w:rPr>
          <w:rFonts w:ascii="Arial"/>
          <w:i/>
          <w:sz w:val="22"/>
        </w:rPr>
        <w:t>MA-DC-RNA-01.</w:t>
      </w:r>
      <w:r>
        <w:rPr>
          <w:rFonts w:ascii="Arial"/>
          <w:i/>
          <w:spacing w:val="-10"/>
          <w:sz w:val="22"/>
        </w:rPr>
        <w:t> </w:t>
      </w:r>
      <w:r>
        <w:rPr>
          <w:rFonts w:ascii="Arial"/>
          <w:i/>
          <w:sz w:val="22"/>
        </w:rPr>
        <w:t>Research</w:t>
      </w:r>
      <w:r>
        <w:rPr>
          <w:rFonts w:ascii="Arial"/>
          <w:i/>
          <w:spacing w:val="-10"/>
          <w:sz w:val="22"/>
        </w:rPr>
        <w:t> </w:t>
      </w:r>
      <w:r>
        <w:rPr>
          <w:rFonts w:ascii="Arial"/>
          <w:i/>
          <w:spacing w:val="-2"/>
          <w:sz w:val="22"/>
        </w:rPr>
        <w:t>Purposes</w:t>
      </w:r>
    </w:p>
    <w:p>
      <w:pPr>
        <w:pStyle w:val="BodyText"/>
        <w:spacing w:line="232" w:lineRule="auto" w:before="67"/>
        <w:ind w:left="1151" w:right="720"/>
      </w:pPr>
      <w:r>
        <w:rPr/>
        <w:t>Native</w:t>
      </w:r>
      <w:r>
        <w:rPr>
          <w:spacing w:val="-3"/>
        </w:rPr>
        <w:t> </w:t>
      </w:r>
      <w:r>
        <w:rPr/>
        <w:t>species</w:t>
      </w:r>
      <w:r>
        <w:rPr>
          <w:spacing w:val="-6"/>
        </w:rPr>
        <w:t> </w:t>
      </w:r>
      <w:r>
        <w:rPr/>
        <w:t>and</w:t>
      </w:r>
      <w:r>
        <w:rPr>
          <w:spacing w:val="-5"/>
        </w:rPr>
        <w:t> </w:t>
      </w:r>
      <w:r>
        <w:rPr/>
        <w:t>natural</w:t>
      </w:r>
      <w:r>
        <w:rPr>
          <w:spacing w:val="-7"/>
        </w:rPr>
        <w:t> </w:t>
      </w:r>
      <w:r>
        <w:rPr/>
        <w:t>processes</w:t>
      </w:r>
      <w:r>
        <w:rPr>
          <w:spacing w:val="-6"/>
        </w:rPr>
        <w:t> </w:t>
      </w:r>
      <w:r>
        <w:rPr/>
        <w:t>predominate.</w:t>
      </w:r>
      <w:r>
        <w:rPr>
          <w:spacing w:val="-4"/>
        </w:rPr>
        <w:t> </w:t>
      </w:r>
      <w:r>
        <w:rPr/>
        <w:t>Research</w:t>
      </w:r>
      <w:r>
        <w:rPr>
          <w:spacing w:val="-5"/>
        </w:rPr>
        <w:t> </w:t>
      </w:r>
      <w:r>
        <w:rPr/>
        <w:t>natural</w:t>
      </w:r>
      <w:r>
        <w:rPr>
          <w:spacing w:val="-7"/>
        </w:rPr>
        <w:t> </w:t>
      </w:r>
      <w:r>
        <w:rPr/>
        <w:t>areas</w:t>
      </w:r>
      <w:r>
        <w:rPr>
          <w:spacing w:val="-6"/>
        </w:rPr>
        <w:t> </w:t>
      </w:r>
      <w:r>
        <w:rPr/>
        <w:t>remain</w:t>
      </w:r>
      <w:r>
        <w:rPr>
          <w:spacing w:val="-5"/>
        </w:rPr>
        <w:t> </w:t>
      </w:r>
      <w:r>
        <w:rPr/>
        <w:t>in</w:t>
      </w:r>
      <w:r>
        <w:rPr>
          <w:spacing w:val="-5"/>
        </w:rPr>
        <w:t> </w:t>
      </w:r>
      <w:r>
        <w:rPr/>
        <w:t>a</w:t>
      </w:r>
      <w:r>
        <w:rPr>
          <w:spacing w:val="-4"/>
        </w:rPr>
        <w:t> </w:t>
      </w:r>
      <w:r>
        <w:rPr/>
        <w:t>relatively unaltered condition for non-manipulative research, observation, and study. Human uses or activities consist mostly of occasional protection or restoration activities and low impact recreational</w:t>
      </w:r>
      <w:r>
        <w:rPr>
          <w:spacing w:val="-9"/>
        </w:rPr>
        <w:t> </w:t>
      </w:r>
      <w:r>
        <w:rPr/>
        <w:t>use</w:t>
      </w:r>
      <w:r>
        <w:rPr>
          <w:spacing w:val="-5"/>
        </w:rPr>
        <w:t> </w:t>
      </w:r>
      <w:r>
        <w:rPr/>
        <w:t>suited</w:t>
      </w:r>
      <w:r>
        <w:rPr>
          <w:spacing w:val="-7"/>
        </w:rPr>
        <w:t> </w:t>
      </w:r>
      <w:r>
        <w:rPr/>
        <w:t>to</w:t>
      </w:r>
      <w:r>
        <w:rPr>
          <w:spacing w:val="-5"/>
        </w:rPr>
        <w:t> </w:t>
      </w:r>
      <w:r>
        <w:rPr/>
        <w:t>the</w:t>
      </w:r>
      <w:r>
        <w:rPr>
          <w:spacing w:val="-5"/>
        </w:rPr>
        <w:t> </w:t>
      </w:r>
      <w:r>
        <w:rPr/>
        <w:t>semi-primitive</w:t>
      </w:r>
      <w:r>
        <w:rPr>
          <w:spacing w:val="-8"/>
        </w:rPr>
        <w:t> </w:t>
      </w:r>
      <w:r>
        <w:rPr/>
        <w:t>non-motorized</w:t>
      </w:r>
      <w:r>
        <w:rPr>
          <w:spacing w:val="-7"/>
        </w:rPr>
        <w:t> </w:t>
      </w:r>
      <w:r>
        <w:rPr/>
        <w:t>ROS.</w:t>
      </w:r>
      <w:r>
        <w:rPr>
          <w:spacing w:val="-9"/>
        </w:rPr>
        <w:t> </w:t>
      </w:r>
      <w:r>
        <w:rPr/>
        <w:t>The</w:t>
      </w:r>
      <w:r>
        <w:rPr>
          <w:spacing w:val="-8"/>
        </w:rPr>
        <w:t> </w:t>
      </w:r>
      <w:r>
        <w:rPr/>
        <w:t>research</w:t>
      </w:r>
      <w:r>
        <w:rPr>
          <w:spacing w:val="-7"/>
        </w:rPr>
        <w:t> </w:t>
      </w:r>
      <w:r>
        <w:rPr/>
        <w:t>natural</w:t>
      </w:r>
      <w:r>
        <w:rPr>
          <w:spacing w:val="-6"/>
        </w:rPr>
        <w:t> </w:t>
      </w:r>
      <w:r>
        <w:rPr/>
        <w:t>areas</w:t>
      </w:r>
      <w:r>
        <w:rPr>
          <w:spacing w:val="-8"/>
        </w:rPr>
        <w:t> </w:t>
      </w:r>
      <w:r>
        <w:rPr/>
        <w:t>are prescribed a high scenic integrity objective.</w:t>
      </w:r>
    </w:p>
    <w:p>
      <w:pPr>
        <w:pStyle w:val="BodyText"/>
        <w:spacing w:line="232" w:lineRule="auto" w:before="197"/>
        <w:ind w:left="1151" w:right="742"/>
      </w:pPr>
      <w:r>
        <w:rPr/>
        <w:t>Uses and activities do not interfere with the</w:t>
      </w:r>
      <w:r>
        <w:rPr>
          <w:spacing w:val="-1"/>
        </w:rPr>
        <w:t> </w:t>
      </w:r>
      <w:r>
        <w:rPr/>
        <w:t>objectives for</w:t>
      </w:r>
      <w:r>
        <w:rPr>
          <w:spacing w:val="-1"/>
        </w:rPr>
        <w:t> </w:t>
      </w:r>
      <w:r>
        <w:rPr/>
        <w:t>which the</w:t>
      </w:r>
      <w:r>
        <w:rPr>
          <w:spacing w:val="-1"/>
        </w:rPr>
        <w:t> </w:t>
      </w:r>
      <w:r>
        <w:rPr/>
        <w:t>research natural area was established. Vegetation, wildland fire, fuels, and recreation management protect, perpetuate, or</w:t>
      </w:r>
      <w:r>
        <w:rPr>
          <w:spacing w:val="-10"/>
        </w:rPr>
        <w:t> </w:t>
      </w:r>
      <w:r>
        <w:rPr/>
        <w:t>restore</w:t>
      </w:r>
      <w:r>
        <w:rPr>
          <w:spacing w:val="-12"/>
        </w:rPr>
        <w:t> </w:t>
      </w:r>
      <w:r>
        <w:rPr/>
        <w:t>the</w:t>
      </w:r>
      <w:r>
        <w:rPr>
          <w:spacing w:val="-10"/>
        </w:rPr>
        <w:t> </w:t>
      </w:r>
      <w:r>
        <w:rPr/>
        <w:t>unique</w:t>
      </w:r>
      <w:r>
        <w:rPr>
          <w:spacing w:val="-10"/>
        </w:rPr>
        <w:t> </w:t>
      </w:r>
      <w:r>
        <w:rPr/>
        <w:t>and/or</w:t>
      </w:r>
      <w:r>
        <w:rPr>
          <w:spacing w:val="-10"/>
        </w:rPr>
        <w:t> </w:t>
      </w:r>
      <w:r>
        <w:rPr/>
        <w:t>representative</w:t>
      </w:r>
      <w:r>
        <w:rPr>
          <w:spacing w:val="-10"/>
        </w:rPr>
        <w:t> </w:t>
      </w:r>
      <w:r>
        <w:rPr/>
        <w:t>ecosystems.</w:t>
      </w:r>
      <w:r>
        <w:rPr>
          <w:spacing w:val="-10"/>
        </w:rPr>
        <w:t> </w:t>
      </w:r>
      <w:r>
        <w:rPr/>
        <w:t>Non-motorized,</w:t>
      </w:r>
      <w:r>
        <w:rPr>
          <w:spacing w:val="-10"/>
        </w:rPr>
        <w:t> </w:t>
      </w:r>
      <w:r>
        <w:rPr/>
        <w:t>non-mechanized</w:t>
      </w:r>
      <w:r>
        <w:rPr>
          <w:spacing w:val="-11"/>
        </w:rPr>
        <w:t> </w:t>
      </w:r>
      <w:r>
        <w:rPr/>
        <w:t>trails protect</w:t>
      </w:r>
      <w:r>
        <w:rPr>
          <w:spacing w:val="-9"/>
        </w:rPr>
        <w:t> </w:t>
      </w:r>
      <w:r>
        <w:rPr/>
        <w:t>research</w:t>
      </w:r>
      <w:r>
        <w:rPr>
          <w:spacing w:val="-8"/>
        </w:rPr>
        <w:t> </w:t>
      </w:r>
      <w:r>
        <w:rPr/>
        <w:t>natural</w:t>
      </w:r>
      <w:r>
        <w:rPr>
          <w:spacing w:val="-7"/>
        </w:rPr>
        <w:t> </w:t>
      </w:r>
      <w:r>
        <w:rPr/>
        <w:t>area</w:t>
      </w:r>
      <w:r>
        <w:rPr>
          <w:spacing w:val="-7"/>
        </w:rPr>
        <w:t> </w:t>
      </w:r>
      <w:r>
        <w:rPr/>
        <w:t>attributes.</w:t>
      </w:r>
      <w:r>
        <w:rPr>
          <w:spacing w:val="-10"/>
        </w:rPr>
        <w:t> </w:t>
      </w:r>
      <w:r>
        <w:rPr/>
        <w:t>The</w:t>
      </w:r>
      <w:r>
        <w:rPr>
          <w:spacing w:val="-6"/>
        </w:rPr>
        <w:t> </w:t>
      </w:r>
      <w:r>
        <w:rPr/>
        <w:t>hydrology</w:t>
      </w:r>
      <w:r>
        <w:rPr>
          <w:spacing w:val="-6"/>
        </w:rPr>
        <w:t> </w:t>
      </w:r>
      <w:r>
        <w:rPr/>
        <w:t>of</w:t>
      </w:r>
      <w:r>
        <w:rPr>
          <w:spacing w:val="-9"/>
        </w:rPr>
        <w:t> </w:t>
      </w:r>
      <w:r>
        <w:rPr/>
        <w:t>research</w:t>
      </w:r>
      <w:r>
        <w:rPr>
          <w:spacing w:val="-8"/>
        </w:rPr>
        <w:t> </w:t>
      </w:r>
      <w:r>
        <w:rPr/>
        <w:t>natural</w:t>
      </w:r>
      <w:r>
        <w:rPr>
          <w:spacing w:val="-7"/>
        </w:rPr>
        <w:t> </w:t>
      </w:r>
      <w:r>
        <w:rPr/>
        <w:t>areas</w:t>
      </w:r>
      <w:r>
        <w:rPr>
          <w:spacing w:val="-9"/>
        </w:rPr>
        <w:t> </w:t>
      </w:r>
      <w:r>
        <w:rPr/>
        <w:t>is</w:t>
      </w:r>
      <w:r>
        <w:rPr>
          <w:spacing w:val="-7"/>
        </w:rPr>
        <w:t> </w:t>
      </w:r>
      <w:r>
        <w:rPr/>
        <w:t>unaltered</w:t>
      </w:r>
      <w:r>
        <w:rPr>
          <w:spacing w:val="-10"/>
        </w:rPr>
        <w:t> </w:t>
      </w:r>
      <w:r>
        <w:rPr/>
        <w:t>by water diversions, water developments, or to the extent possible mining-related subsidence in adjacent areas. The area is withdrawn from locatable mineral entry.</w:t>
      </w:r>
    </w:p>
    <w:p>
      <w:pPr>
        <w:pStyle w:val="Heading4"/>
        <w:spacing w:before="232"/>
        <w:ind w:left="1151"/>
      </w:pPr>
      <w:bookmarkStart w:name="Objectives" w:id="683"/>
      <w:bookmarkEnd w:id="683"/>
      <w:r>
        <w:rPr/>
      </w:r>
      <w:bookmarkStart w:name="_bookmark212" w:id="684"/>
      <w:bookmarkEnd w:id="684"/>
      <w:r>
        <w:rPr/>
      </w:r>
      <w:r>
        <w:rPr>
          <w:spacing w:val="-2"/>
        </w:rPr>
        <w:t>Objectives</w:t>
      </w:r>
    </w:p>
    <w:p>
      <w:pPr>
        <w:spacing w:before="240"/>
        <w:ind w:left="1151" w:right="0" w:firstLine="0"/>
        <w:jc w:val="left"/>
        <w:rPr>
          <w:rFonts w:ascii="Arial"/>
          <w:i/>
          <w:sz w:val="22"/>
        </w:rPr>
      </w:pPr>
      <w:bookmarkStart w:name="MA-OBJ-RNA-01. Establishment Record" w:id="685"/>
      <w:bookmarkEnd w:id="685"/>
      <w:r>
        <w:rPr/>
      </w:r>
      <w:r>
        <w:rPr>
          <w:rFonts w:ascii="Arial"/>
          <w:i/>
          <w:sz w:val="22"/>
        </w:rPr>
        <w:t>MA-OBJ-RNA-01.</w:t>
      </w:r>
      <w:r>
        <w:rPr>
          <w:rFonts w:ascii="Arial"/>
          <w:i/>
          <w:spacing w:val="-11"/>
          <w:sz w:val="22"/>
        </w:rPr>
        <w:t> </w:t>
      </w:r>
      <w:r>
        <w:rPr>
          <w:rFonts w:ascii="Arial"/>
          <w:i/>
          <w:sz w:val="22"/>
        </w:rPr>
        <w:t>Establishment</w:t>
      </w:r>
      <w:r>
        <w:rPr>
          <w:rFonts w:ascii="Arial"/>
          <w:i/>
          <w:spacing w:val="-11"/>
          <w:sz w:val="22"/>
        </w:rPr>
        <w:t> </w:t>
      </w:r>
      <w:r>
        <w:rPr>
          <w:rFonts w:ascii="Arial"/>
          <w:i/>
          <w:spacing w:val="-2"/>
          <w:sz w:val="22"/>
        </w:rPr>
        <w:t>Record</w:t>
      </w:r>
    </w:p>
    <w:p>
      <w:pPr>
        <w:pStyle w:val="BodyText"/>
        <w:spacing w:line="232" w:lineRule="auto" w:before="64"/>
        <w:ind w:left="1152" w:right="1073"/>
      </w:pPr>
      <w:r>
        <w:rPr/>
        <w:t>Within</w:t>
      </w:r>
      <w:r>
        <w:rPr>
          <w:spacing w:val="-6"/>
        </w:rPr>
        <w:t> </w:t>
      </w:r>
      <w:r>
        <w:rPr/>
        <w:t>5</w:t>
      </w:r>
      <w:r>
        <w:rPr>
          <w:spacing w:val="-6"/>
        </w:rPr>
        <w:t> </w:t>
      </w:r>
      <w:r>
        <w:rPr/>
        <w:t>years</w:t>
      </w:r>
      <w:r>
        <w:rPr>
          <w:spacing w:val="-5"/>
        </w:rPr>
        <w:t> </w:t>
      </w:r>
      <w:r>
        <w:rPr/>
        <w:t>of</w:t>
      </w:r>
      <w:r>
        <w:rPr>
          <w:spacing w:val="-5"/>
        </w:rPr>
        <w:t> </w:t>
      </w:r>
      <w:r>
        <w:rPr/>
        <w:t>plan</w:t>
      </w:r>
      <w:r>
        <w:rPr>
          <w:spacing w:val="-6"/>
        </w:rPr>
        <w:t> </w:t>
      </w:r>
      <w:r>
        <w:rPr/>
        <w:t>implementation,</w:t>
      </w:r>
      <w:r>
        <w:rPr>
          <w:spacing w:val="-7"/>
        </w:rPr>
        <w:t> </w:t>
      </w:r>
      <w:r>
        <w:rPr/>
        <w:t>complete</w:t>
      </w:r>
      <w:r>
        <w:rPr>
          <w:spacing w:val="-7"/>
        </w:rPr>
        <w:t> </w:t>
      </w:r>
      <w:r>
        <w:rPr/>
        <w:t>the</w:t>
      </w:r>
      <w:r>
        <w:rPr>
          <w:spacing w:val="-9"/>
        </w:rPr>
        <w:t> </w:t>
      </w:r>
      <w:r>
        <w:rPr/>
        <w:t>establishment</w:t>
      </w:r>
      <w:r>
        <w:rPr>
          <w:spacing w:val="-4"/>
        </w:rPr>
        <w:t> </w:t>
      </w:r>
      <w:r>
        <w:rPr/>
        <w:t>record</w:t>
      </w:r>
      <w:r>
        <w:rPr>
          <w:spacing w:val="-8"/>
        </w:rPr>
        <w:t> </w:t>
      </w:r>
      <w:r>
        <w:rPr/>
        <w:t>on</w:t>
      </w:r>
      <w:r>
        <w:rPr>
          <w:spacing w:val="-6"/>
        </w:rPr>
        <w:t> </w:t>
      </w:r>
      <w:r>
        <w:rPr/>
        <w:t>all</w:t>
      </w:r>
      <w:r>
        <w:rPr>
          <w:spacing w:val="-8"/>
        </w:rPr>
        <w:t> </w:t>
      </w:r>
      <w:r>
        <w:rPr/>
        <w:t>proposed research natural areas.</w:t>
      </w:r>
    </w:p>
    <w:p>
      <w:pPr>
        <w:spacing w:before="235"/>
        <w:ind w:left="1152" w:right="0" w:firstLine="0"/>
        <w:jc w:val="left"/>
        <w:rPr>
          <w:rFonts w:ascii="Arial"/>
          <w:i/>
          <w:sz w:val="22"/>
        </w:rPr>
      </w:pPr>
      <w:bookmarkStart w:name="MA-OBJ-RNA-02. Invasive Species" w:id="686"/>
      <w:bookmarkEnd w:id="686"/>
      <w:r>
        <w:rPr/>
      </w:r>
      <w:r>
        <w:rPr>
          <w:rFonts w:ascii="Arial"/>
          <w:i/>
          <w:sz w:val="22"/>
        </w:rPr>
        <w:t>MA-OBJ-RNA-02.</w:t>
      </w:r>
      <w:r>
        <w:rPr>
          <w:rFonts w:ascii="Arial"/>
          <w:i/>
          <w:spacing w:val="-10"/>
          <w:sz w:val="22"/>
        </w:rPr>
        <w:t> </w:t>
      </w:r>
      <w:r>
        <w:rPr>
          <w:rFonts w:ascii="Arial"/>
          <w:i/>
          <w:sz w:val="22"/>
        </w:rPr>
        <w:t>Invasive</w:t>
      </w:r>
      <w:r>
        <w:rPr>
          <w:rFonts w:ascii="Arial"/>
          <w:i/>
          <w:spacing w:val="-8"/>
          <w:sz w:val="22"/>
        </w:rPr>
        <w:t> </w:t>
      </w:r>
      <w:r>
        <w:rPr>
          <w:rFonts w:ascii="Arial"/>
          <w:i/>
          <w:spacing w:val="-2"/>
          <w:sz w:val="22"/>
        </w:rPr>
        <w:t>Species</w:t>
      </w:r>
    </w:p>
    <w:p>
      <w:pPr>
        <w:pStyle w:val="BodyText"/>
        <w:spacing w:line="232" w:lineRule="auto" w:before="64"/>
        <w:ind w:left="1152" w:right="801"/>
      </w:pPr>
      <w:r>
        <w:rPr/>
        <w:t>Within</w:t>
      </w:r>
      <w:r>
        <w:rPr>
          <w:spacing w:val="-6"/>
        </w:rPr>
        <w:t> </w:t>
      </w:r>
      <w:r>
        <w:rPr/>
        <w:t>5</w:t>
      </w:r>
      <w:r>
        <w:rPr>
          <w:spacing w:val="-6"/>
        </w:rPr>
        <w:t> </w:t>
      </w:r>
      <w:r>
        <w:rPr/>
        <w:t>years</w:t>
      </w:r>
      <w:r>
        <w:rPr>
          <w:spacing w:val="-5"/>
        </w:rPr>
        <w:t> </w:t>
      </w:r>
      <w:r>
        <w:rPr/>
        <w:t>of</w:t>
      </w:r>
      <w:r>
        <w:rPr>
          <w:spacing w:val="-5"/>
        </w:rPr>
        <w:t> </w:t>
      </w:r>
      <w:r>
        <w:rPr/>
        <w:t>plan</w:t>
      </w:r>
      <w:r>
        <w:rPr>
          <w:spacing w:val="-6"/>
        </w:rPr>
        <w:t> </w:t>
      </w:r>
      <w:r>
        <w:rPr/>
        <w:t>implementation,</w:t>
      </w:r>
      <w:r>
        <w:rPr>
          <w:spacing w:val="-6"/>
        </w:rPr>
        <w:t> </w:t>
      </w:r>
      <w:r>
        <w:rPr/>
        <w:t>treat</w:t>
      </w:r>
      <w:r>
        <w:rPr>
          <w:spacing w:val="-4"/>
        </w:rPr>
        <w:t> </w:t>
      </w:r>
      <w:r>
        <w:rPr/>
        <w:t>populations</w:t>
      </w:r>
      <w:r>
        <w:rPr>
          <w:spacing w:val="-6"/>
        </w:rPr>
        <w:t> </w:t>
      </w:r>
      <w:r>
        <w:rPr/>
        <w:t>of</w:t>
      </w:r>
      <w:r>
        <w:rPr>
          <w:spacing w:val="-5"/>
        </w:rPr>
        <w:t> </w:t>
      </w:r>
      <w:r>
        <w:rPr/>
        <w:t>invasive,</w:t>
      </w:r>
      <w:r>
        <w:rPr>
          <w:spacing w:val="-6"/>
        </w:rPr>
        <w:t> </w:t>
      </w:r>
      <w:r>
        <w:rPr/>
        <w:t>non-native</w:t>
      </w:r>
      <w:r>
        <w:rPr>
          <w:spacing w:val="-6"/>
        </w:rPr>
        <w:t> </w:t>
      </w:r>
      <w:r>
        <w:rPr/>
        <w:t>species</w:t>
      </w:r>
      <w:r>
        <w:rPr>
          <w:spacing w:val="-6"/>
        </w:rPr>
        <w:t> </w:t>
      </w:r>
      <w:r>
        <w:rPr/>
        <w:t>on</w:t>
      </w:r>
      <w:r>
        <w:rPr>
          <w:spacing w:val="-6"/>
        </w:rPr>
        <w:t> </w:t>
      </w:r>
      <w:r>
        <w:rPr/>
        <w:t>an average of 10 acres annually.</w:t>
      </w:r>
    </w:p>
    <w:p>
      <w:pPr>
        <w:pStyle w:val="Heading4"/>
        <w:spacing w:before="235"/>
        <w:ind w:left="1151"/>
      </w:pPr>
      <w:bookmarkStart w:name="Standard" w:id="687"/>
      <w:bookmarkEnd w:id="687"/>
      <w:r>
        <w:rPr/>
      </w:r>
      <w:bookmarkStart w:name="_bookmark213" w:id="688"/>
      <w:bookmarkEnd w:id="688"/>
      <w:r>
        <w:rPr/>
      </w:r>
      <w:r>
        <w:rPr>
          <w:spacing w:val="-2"/>
        </w:rPr>
        <w:t>Standard</w:t>
      </w:r>
    </w:p>
    <w:p>
      <w:pPr>
        <w:spacing w:before="239"/>
        <w:ind w:left="1151" w:right="0" w:firstLine="0"/>
        <w:jc w:val="left"/>
        <w:rPr>
          <w:rFonts w:ascii="Arial"/>
          <w:i/>
          <w:sz w:val="22"/>
        </w:rPr>
      </w:pPr>
      <w:bookmarkStart w:name="MA-STD-RNA-01. Research Purposes" w:id="689"/>
      <w:bookmarkEnd w:id="689"/>
      <w:r>
        <w:rPr/>
      </w:r>
      <w:r>
        <w:rPr>
          <w:rFonts w:ascii="Arial"/>
          <w:i/>
          <w:sz w:val="22"/>
        </w:rPr>
        <w:t>MA-STD-RNA-01.</w:t>
      </w:r>
      <w:r>
        <w:rPr>
          <w:rFonts w:ascii="Arial"/>
          <w:i/>
          <w:spacing w:val="-9"/>
          <w:sz w:val="22"/>
        </w:rPr>
        <w:t> </w:t>
      </w:r>
      <w:r>
        <w:rPr>
          <w:rFonts w:ascii="Arial"/>
          <w:i/>
          <w:sz w:val="22"/>
        </w:rPr>
        <w:t>Research</w:t>
      </w:r>
      <w:r>
        <w:rPr>
          <w:rFonts w:ascii="Arial"/>
          <w:i/>
          <w:spacing w:val="-10"/>
          <w:sz w:val="22"/>
        </w:rPr>
        <w:t> </w:t>
      </w:r>
      <w:r>
        <w:rPr>
          <w:rFonts w:ascii="Arial"/>
          <w:i/>
          <w:spacing w:val="-2"/>
          <w:sz w:val="22"/>
        </w:rPr>
        <w:t>Purposes</w:t>
      </w:r>
    </w:p>
    <w:p>
      <w:pPr>
        <w:pStyle w:val="BodyText"/>
        <w:spacing w:line="232" w:lineRule="auto" w:before="65"/>
        <w:ind w:left="1151" w:right="742"/>
      </w:pPr>
      <w:r>
        <w:rPr/>
        <w:t>Proposed</w:t>
      </w:r>
      <w:r>
        <w:rPr>
          <w:spacing w:val="-7"/>
        </w:rPr>
        <w:t> </w:t>
      </w:r>
      <w:r>
        <w:rPr/>
        <w:t>research</w:t>
      </w:r>
      <w:r>
        <w:rPr>
          <w:spacing w:val="-7"/>
        </w:rPr>
        <w:t> </w:t>
      </w:r>
      <w:r>
        <w:rPr/>
        <w:t>natural</w:t>
      </w:r>
      <w:r>
        <w:rPr>
          <w:spacing w:val="-8"/>
        </w:rPr>
        <w:t> </w:t>
      </w:r>
      <w:r>
        <w:rPr/>
        <w:t>areas</w:t>
      </w:r>
      <w:r>
        <w:rPr>
          <w:spacing w:val="-7"/>
        </w:rPr>
        <w:t> </w:t>
      </w:r>
      <w:r>
        <w:rPr/>
        <w:t>will</w:t>
      </w:r>
      <w:r>
        <w:rPr>
          <w:spacing w:val="-6"/>
        </w:rPr>
        <w:t> </w:t>
      </w:r>
      <w:r>
        <w:rPr/>
        <w:t>be</w:t>
      </w:r>
      <w:r>
        <w:rPr>
          <w:spacing w:val="-7"/>
        </w:rPr>
        <w:t> </w:t>
      </w:r>
      <w:r>
        <w:rPr/>
        <w:t>managed</w:t>
      </w:r>
      <w:r>
        <w:rPr>
          <w:spacing w:val="-7"/>
        </w:rPr>
        <w:t> </w:t>
      </w:r>
      <w:r>
        <w:rPr/>
        <w:t>to</w:t>
      </w:r>
      <w:r>
        <w:rPr>
          <w:spacing w:val="-7"/>
        </w:rPr>
        <w:t> </w:t>
      </w:r>
      <w:r>
        <w:rPr/>
        <w:t>ensure</w:t>
      </w:r>
      <w:r>
        <w:rPr>
          <w:spacing w:val="-5"/>
        </w:rPr>
        <w:t> </w:t>
      </w:r>
      <w:r>
        <w:rPr/>
        <w:t>that</w:t>
      </w:r>
      <w:r>
        <w:rPr>
          <w:spacing w:val="-7"/>
        </w:rPr>
        <w:t> </w:t>
      </w:r>
      <w:r>
        <w:rPr/>
        <w:t>the</w:t>
      </w:r>
      <w:r>
        <w:rPr>
          <w:spacing w:val="-5"/>
        </w:rPr>
        <w:t> </w:t>
      </w:r>
      <w:r>
        <w:rPr/>
        <w:t>characteristics</w:t>
      </w:r>
      <w:r>
        <w:rPr>
          <w:spacing w:val="-6"/>
        </w:rPr>
        <w:t> </w:t>
      </w:r>
      <w:r>
        <w:rPr/>
        <w:t>which</w:t>
      </w:r>
      <w:r>
        <w:rPr>
          <w:spacing w:val="-8"/>
        </w:rPr>
        <w:t> </w:t>
      </w:r>
      <w:r>
        <w:rPr/>
        <w:t>make them a good recommendation will be maintained until such time as they are designated.</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uitable Uses" w:id="690"/>
      <w:bookmarkEnd w:id="690"/>
      <w:r>
        <w:rPr/>
      </w:r>
      <w:bookmarkStart w:name="_bookmark214" w:id="691"/>
      <w:bookmarkEnd w:id="691"/>
      <w:r>
        <w:rPr/>
      </w:r>
      <w:r>
        <w:rPr/>
        <w:t>Suitable</w:t>
      </w:r>
      <w:r>
        <w:rPr>
          <w:spacing w:val="-2"/>
        </w:rPr>
        <w:t> </w:t>
      </w:r>
      <w:r>
        <w:rPr>
          <w:spacing w:val="-4"/>
        </w:rPr>
        <w:t>Uses</w:t>
      </w:r>
    </w:p>
    <w:p>
      <w:pPr>
        <w:spacing w:before="240"/>
        <w:ind w:left="360" w:right="0" w:firstLine="0"/>
        <w:jc w:val="left"/>
        <w:rPr>
          <w:rFonts w:ascii="Arial"/>
          <w:i/>
          <w:sz w:val="22"/>
        </w:rPr>
      </w:pPr>
      <w:bookmarkStart w:name="MA-SU-RNA-01. Suitable Uses" w:id="692"/>
      <w:bookmarkEnd w:id="692"/>
      <w:r>
        <w:rPr/>
      </w:r>
      <w:r>
        <w:rPr>
          <w:rFonts w:ascii="Arial"/>
          <w:i/>
          <w:sz w:val="22"/>
        </w:rPr>
        <w:t>MA-SU-RNA-01.</w:t>
      </w:r>
      <w:r>
        <w:rPr>
          <w:rFonts w:ascii="Arial"/>
          <w:i/>
          <w:spacing w:val="-10"/>
          <w:sz w:val="22"/>
        </w:rPr>
        <w:t> </w:t>
      </w:r>
      <w:r>
        <w:rPr>
          <w:rFonts w:ascii="Arial"/>
          <w:i/>
          <w:sz w:val="22"/>
        </w:rPr>
        <w:t>Suitable</w:t>
      </w:r>
      <w:r>
        <w:rPr>
          <w:rFonts w:ascii="Arial"/>
          <w:i/>
          <w:spacing w:val="-10"/>
          <w:sz w:val="22"/>
        </w:rPr>
        <w:t> </w:t>
      </w:r>
      <w:r>
        <w:rPr>
          <w:rFonts w:ascii="Arial"/>
          <w:i/>
          <w:spacing w:val="-4"/>
          <w:sz w:val="22"/>
        </w:rPr>
        <w:t>Uses</w:t>
      </w:r>
    </w:p>
    <w:p>
      <w:pPr>
        <w:spacing w:before="238" w:after="41"/>
        <w:ind w:left="360" w:right="0" w:firstLine="0"/>
        <w:jc w:val="left"/>
        <w:rPr>
          <w:rFonts w:ascii="Arial"/>
          <w:b/>
          <w:sz w:val="18"/>
        </w:rPr>
      </w:pPr>
      <w:bookmarkStart w:name="_bookmark215" w:id="693"/>
      <w:bookmarkEnd w:id="693"/>
      <w:r>
        <w:rPr/>
      </w:r>
      <w:r>
        <w:rPr>
          <w:rFonts w:ascii="Arial"/>
          <w:b/>
          <w:sz w:val="18"/>
        </w:rPr>
        <w:t>Table</w:t>
      </w:r>
      <w:r>
        <w:rPr>
          <w:rFonts w:ascii="Arial"/>
          <w:b/>
          <w:spacing w:val="-5"/>
          <w:sz w:val="18"/>
        </w:rPr>
        <w:t> </w:t>
      </w:r>
      <w:r>
        <w:rPr>
          <w:rFonts w:ascii="Arial"/>
          <w:b/>
          <w:sz w:val="18"/>
        </w:rPr>
        <w:t>26.</w:t>
      </w:r>
      <w:r>
        <w:rPr>
          <w:rFonts w:ascii="Arial"/>
          <w:b/>
          <w:spacing w:val="-3"/>
          <w:sz w:val="18"/>
        </w:rPr>
        <w:t> </w:t>
      </w:r>
      <w:r>
        <w:rPr>
          <w:rFonts w:ascii="Arial"/>
          <w:b/>
          <w:sz w:val="18"/>
        </w:rPr>
        <w:t>Suitable</w:t>
      </w:r>
      <w:r>
        <w:rPr>
          <w:rFonts w:ascii="Arial"/>
          <w:b/>
          <w:spacing w:val="-5"/>
          <w:sz w:val="18"/>
        </w:rPr>
        <w:t> </w:t>
      </w:r>
      <w:r>
        <w:rPr>
          <w:rFonts w:ascii="Arial"/>
          <w:b/>
          <w:sz w:val="18"/>
        </w:rPr>
        <w:t>uses</w:t>
      </w:r>
      <w:r>
        <w:rPr>
          <w:rFonts w:ascii="Arial"/>
          <w:b/>
          <w:spacing w:val="-2"/>
          <w:sz w:val="18"/>
        </w:rPr>
        <w:t> </w:t>
      </w:r>
      <w:r>
        <w:rPr>
          <w:rFonts w:ascii="Arial"/>
          <w:b/>
          <w:sz w:val="18"/>
        </w:rPr>
        <w:t>for</w:t>
      </w:r>
      <w:r>
        <w:rPr>
          <w:rFonts w:ascii="Arial"/>
          <w:b/>
          <w:spacing w:val="-4"/>
          <w:sz w:val="18"/>
        </w:rPr>
        <w:t> </w:t>
      </w:r>
      <w:r>
        <w:rPr>
          <w:rFonts w:ascii="Arial"/>
          <w:b/>
          <w:sz w:val="18"/>
        </w:rPr>
        <w:t>Research</w:t>
      </w:r>
      <w:r>
        <w:rPr>
          <w:rFonts w:ascii="Arial"/>
          <w:b/>
          <w:spacing w:val="-5"/>
          <w:sz w:val="18"/>
        </w:rPr>
        <w:t> </w:t>
      </w:r>
      <w:r>
        <w:rPr>
          <w:rFonts w:ascii="Arial"/>
          <w:b/>
          <w:sz w:val="18"/>
        </w:rPr>
        <w:t>Natural</w:t>
      </w:r>
      <w:r>
        <w:rPr>
          <w:rFonts w:ascii="Arial"/>
          <w:b/>
          <w:spacing w:val="-3"/>
          <w:sz w:val="18"/>
        </w:rPr>
        <w:t> </w:t>
      </w:r>
      <w:r>
        <w:rPr>
          <w:rFonts w:ascii="Arial"/>
          <w:b/>
          <w:sz w:val="18"/>
        </w:rPr>
        <w:t>Area</w:t>
      </w:r>
      <w:r>
        <w:rPr>
          <w:rFonts w:ascii="Arial"/>
          <w:b/>
          <w:spacing w:val="-1"/>
          <w:sz w:val="18"/>
        </w:rPr>
        <w:t> </w:t>
      </w:r>
      <w:r>
        <w:rPr>
          <w:rFonts w:ascii="Arial"/>
          <w:b/>
          <w:sz w:val="18"/>
        </w:rPr>
        <w:t>Management</w:t>
      </w:r>
      <w:r>
        <w:rPr>
          <w:rFonts w:ascii="Arial"/>
          <w:b/>
          <w:spacing w:val="-3"/>
          <w:sz w:val="18"/>
        </w:rPr>
        <w:t> </w:t>
      </w:r>
      <w:r>
        <w:rPr>
          <w:rFonts w:ascii="Arial"/>
          <w:b/>
          <w:spacing w:val="-2"/>
          <w:sz w:val="18"/>
        </w:rPr>
        <w:t>Areas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544"/>
        <w:gridCol w:w="2185"/>
        <w:gridCol w:w="1819"/>
      </w:tblGrid>
      <w:tr>
        <w:trPr>
          <w:trHeight w:val="287" w:hRule="atLeast"/>
        </w:trPr>
        <w:tc>
          <w:tcPr>
            <w:tcW w:w="4544" w:type="dxa"/>
            <w:tcBorders>
              <w:right w:val="nil"/>
            </w:tcBorders>
            <w:shd w:val="clear" w:color="auto" w:fill="D5E2BB"/>
          </w:tcPr>
          <w:p>
            <w:pPr>
              <w:pStyle w:val="TableParagraph"/>
              <w:spacing w:before="42"/>
              <w:ind w:right="19"/>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185" w:type="dxa"/>
            <w:tcBorders>
              <w:left w:val="nil"/>
              <w:right w:val="nil"/>
            </w:tcBorders>
            <w:shd w:val="clear" w:color="auto" w:fill="D5E2BB"/>
          </w:tcPr>
          <w:p>
            <w:pPr>
              <w:pStyle w:val="TableParagraph"/>
              <w:spacing w:before="42"/>
              <w:ind w:left="7" w:right="4"/>
              <w:jc w:val="center"/>
              <w:rPr>
                <w:b/>
                <w:sz w:val="18"/>
              </w:rPr>
            </w:pPr>
            <w:r>
              <w:rPr>
                <w:b/>
                <w:sz w:val="18"/>
              </w:rPr>
              <w:t>May</w:t>
            </w:r>
            <w:r>
              <w:rPr>
                <w:b/>
                <w:spacing w:val="-9"/>
                <w:sz w:val="18"/>
              </w:rPr>
              <w:t> </w:t>
            </w:r>
            <w:r>
              <w:rPr>
                <w:b/>
                <w:spacing w:val="-2"/>
                <w:sz w:val="18"/>
              </w:rPr>
              <w:t>authorize</w:t>
            </w:r>
          </w:p>
        </w:tc>
        <w:tc>
          <w:tcPr>
            <w:tcW w:w="1819" w:type="dxa"/>
            <w:tcBorders>
              <w:left w:val="nil"/>
            </w:tcBorders>
            <w:shd w:val="clear" w:color="auto" w:fill="D5E2BB"/>
          </w:tcPr>
          <w:p>
            <w:pPr>
              <w:pStyle w:val="TableParagraph"/>
              <w:spacing w:before="42"/>
              <w:ind w:left="41"/>
              <w:jc w:val="center"/>
              <w:rPr>
                <w:b/>
                <w:sz w:val="18"/>
              </w:rPr>
            </w:pPr>
            <w:r>
              <w:rPr>
                <w:b/>
                <w:sz w:val="18"/>
              </w:rPr>
              <w:t>May</w:t>
            </w:r>
            <w:r>
              <w:rPr>
                <w:b/>
                <w:spacing w:val="-9"/>
                <w:sz w:val="18"/>
              </w:rPr>
              <w:t> </w:t>
            </w:r>
            <w:r>
              <w:rPr>
                <w:b/>
                <w:sz w:val="18"/>
              </w:rPr>
              <w:t>not</w:t>
            </w:r>
            <w:r>
              <w:rPr>
                <w:b/>
                <w:spacing w:val="-2"/>
                <w:sz w:val="18"/>
              </w:rPr>
              <w:t> authorize</w:t>
            </w:r>
          </w:p>
        </w:tc>
      </w:tr>
      <w:tr>
        <w:trPr>
          <w:trHeight w:val="1115" w:hRule="atLeast"/>
        </w:trPr>
        <w:tc>
          <w:tcPr>
            <w:tcW w:w="4544"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2185"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before="0"/>
              <w:ind w:left="143" w:right="137" w:hanging="3"/>
              <w:jc w:val="center"/>
              <w:rPr>
                <w:sz w:val="18"/>
              </w:rPr>
            </w:pPr>
            <w:r>
              <w:rPr>
                <w:sz w:val="18"/>
              </w:rPr>
              <w:t>(Temporary gauging stations and instrument shelters</w:t>
            </w:r>
            <w:r>
              <w:rPr>
                <w:spacing w:val="-13"/>
                <w:sz w:val="18"/>
              </w:rPr>
              <w:t> </w:t>
            </w:r>
            <w:r>
              <w:rPr>
                <w:sz w:val="18"/>
              </w:rPr>
              <w:t>only</w:t>
            </w:r>
            <w:r>
              <w:rPr>
                <w:spacing w:val="-12"/>
                <w:sz w:val="18"/>
              </w:rPr>
              <w:t> </w:t>
            </w:r>
            <w:r>
              <w:rPr>
                <w:sz w:val="18"/>
              </w:rPr>
              <w:t>as</w:t>
            </w:r>
            <w:r>
              <w:rPr>
                <w:spacing w:val="-12"/>
                <w:sz w:val="18"/>
              </w:rPr>
              <w:t> </w:t>
            </w:r>
            <w:r>
              <w:rPr>
                <w:sz w:val="18"/>
              </w:rPr>
              <w:t>needed for research purposes)</w:t>
            </w:r>
          </w:p>
        </w:tc>
        <w:tc>
          <w:tcPr>
            <w:tcW w:w="1819" w:type="dxa"/>
            <w:tcBorders>
              <w:left w:val="nil"/>
            </w:tcBorders>
          </w:tcPr>
          <w:p>
            <w:pPr>
              <w:pStyle w:val="TableParagraph"/>
              <w:spacing w:before="42"/>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185" w:type="dxa"/>
            <w:tcBorders>
              <w:left w:val="nil"/>
              <w:right w:val="nil"/>
            </w:tcBorders>
          </w:tcPr>
          <w:p>
            <w:pPr>
              <w:pStyle w:val="TableParagraph"/>
              <w:ind w:left="7"/>
              <w:jc w:val="center"/>
              <w:rPr>
                <w:sz w:val="18"/>
              </w:rPr>
            </w:pPr>
            <w:r>
              <w:rPr>
                <w:spacing w:val="-10"/>
                <w:sz w:val="18"/>
              </w:rPr>
              <w:t>X</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185" w:type="dxa"/>
            <w:tcBorders>
              <w:left w:val="nil"/>
              <w:right w:val="nil"/>
            </w:tcBorders>
          </w:tcPr>
          <w:p>
            <w:pPr>
              <w:pStyle w:val="TableParagraph"/>
              <w:ind w:left="7" w:right="5"/>
              <w:jc w:val="center"/>
              <w:rPr>
                <w:sz w:val="18"/>
              </w:rPr>
            </w:pPr>
            <w:r>
              <w:rPr>
                <w:spacing w:val="-10"/>
                <w:sz w:val="18"/>
              </w:rPr>
              <w:t>X</w:t>
            </w:r>
          </w:p>
        </w:tc>
        <w:tc>
          <w:tcPr>
            <w:tcW w:w="1819" w:type="dxa"/>
            <w:tcBorders>
              <w:left w:val="nil"/>
            </w:tcBorders>
          </w:tcPr>
          <w:p>
            <w:pPr>
              <w:pStyle w:val="TableParagraph"/>
              <w:spacing w:before="0"/>
              <w:rPr>
                <w:rFonts w:ascii="Times New Roman"/>
                <w:sz w:val="16"/>
              </w:rPr>
            </w:pPr>
          </w:p>
        </w:tc>
      </w:tr>
      <w:tr>
        <w:trPr>
          <w:trHeight w:val="493" w:hRule="atLeast"/>
        </w:trPr>
        <w:tc>
          <w:tcPr>
            <w:tcW w:w="4544"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permitted</w:t>
            </w:r>
            <w:r>
              <w:rPr>
                <w:b/>
                <w:spacing w:val="-3"/>
                <w:sz w:val="18"/>
              </w:rPr>
              <w:t> </w:t>
            </w:r>
            <w:r>
              <w:rPr>
                <w:b/>
                <w:sz w:val="18"/>
              </w:rPr>
              <w:t>personal</w:t>
            </w:r>
            <w:r>
              <w:rPr>
                <w:b/>
                <w:spacing w:val="-3"/>
                <w:sz w:val="18"/>
              </w:rPr>
              <w:t> </w:t>
            </w:r>
            <w:r>
              <w:rPr>
                <w:b/>
                <w:spacing w:val="-5"/>
                <w:sz w:val="18"/>
              </w:rPr>
              <w:t>use</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700" w:hRule="atLeast"/>
        </w:trPr>
        <w:tc>
          <w:tcPr>
            <w:tcW w:w="4544"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185" w:type="dxa"/>
            <w:tcBorders>
              <w:left w:val="nil"/>
              <w:right w:val="nil"/>
            </w:tcBorders>
          </w:tcPr>
          <w:p>
            <w:pPr>
              <w:pStyle w:val="TableParagraph"/>
              <w:spacing w:line="207" w:lineRule="exact"/>
              <w:ind w:left="7"/>
              <w:jc w:val="center"/>
              <w:rPr>
                <w:sz w:val="18"/>
              </w:rPr>
            </w:pPr>
            <w:r>
              <w:rPr>
                <w:spacing w:val="-10"/>
                <w:sz w:val="18"/>
              </w:rPr>
              <w:t>X</w:t>
            </w:r>
          </w:p>
          <w:p>
            <w:pPr>
              <w:pStyle w:val="TableParagraph"/>
              <w:spacing w:line="207" w:lineRule="exact" w:before="0"/>
              <w:ind w:left="7"/>
              <w:jc w:val="center"/>
              <w:rPr>
                <w:sz w:val="18"/>
              </w:rPr>
            </w:pPr>
            <w:r>
              <w:rPr>
                <w:spacing w:val="-2"/>
                <w:sz w:val="18"/>
              </w:rPr>
              <w:t>(Existing)</w:t>
            </w:r>
          </w:p>
        </w:tc>
        <w:tc>
          <w:tcPr>
            <w:tcW w:w="1819" w:type="dxa"/>
            <w:tcBorders>
              <w:left w:val="nil"/>
            </w:tcBorders>
          </w:tcPr>
          <w:p>
            <w:pPr>
              <w:pStyle w:val="TableParagraph"/>
              <w:spacing w:line="207" w:lineRule="exact"/>
              <w:ind w:left="45"/>
              <w:jc w:val="center"/>
              <w:rPr>
                <w:sz w:val="18"/>
              </w:rPr>
            </w:pPr>
            <w:r>
              <w:rPr>
                <w:spacing w:val="-10"/>
                <w:sz w:val="18"/>
              </w:rPr>
              <w:t>X</w:t>
            </w:r>
          </w:p>
          <w:p>
            <w:pPr>
              <w:pStyle w:val="TableParagraph"/>
              <w:spacing w:before="0"/>
              <w:ind w:left="199" w:right="152"/>
              <w:jc w:val="center"/>
              <w:rPr>
                <w:sz w:val="18"/>
              </w:rPr>
            </w:pPr>
            <w:r>
              <w:rPr>
                <w:sz w:val="18"/>
              </w:rPr>
              <w:t>(New</w:t>
            </w:r>
            <w:r>
              <w:rPr>
                <w:spacing w:val="-15"/>
                <w:sz w:val="18"/>
              </w:rPr>
              <w:t> </w:t>
            </w:r>
            <w:r>
              <w:rPr>
                <w:sz w:val="18"/>
              </w:rPr>
              <w:t>or</w:t>
            </w:r>
            <w:r>
              <w:rPr>
                <w:spacing w:val="-12"/>
                <w:sz w:val="18"/>
              </w:rPr>
              <w:t> </w:t>
            </w:r>
            <w:r>
              <w:rPr>
                <w:sz w:val="18"/>
              </w:rPr>
              <w:t>additional </w:t>
            </w:r>
            <w:r>
              <w:rPr>
                <w:spacing w:val="-4"/>
                <w:sz w:val="18"/>
              </w:rPr>
              <w:t>use)</w:t>
            </w:r>
          </w:p>
        </w:tc>
      </w:tr>
      <w:tr>
        <w:trPr>
          <w:trHeight w:val="908" w:hRule="atLeast"/>
        </w:trPr>
        <w:tc>
          <w:tcPr>
            <w:tcW w:w="4544" w:type="dxa"/>
            <w:tcBorders>
              <w:right w:val="nil"/>
            </w:tcBorders>
          </w:tcPr>
          <w:p>
            <w:pPr>
              <w:pStyle w:val="TableParagraph"/>
              <w:ind w:left="107" w:right="105"/>
              <w:rPr>
                <w:b/>
                <w:sz w:val="18"/>
              </w:rPr>
            </w:pPr>
            <w:r>
              <w:rPr>
                <w:b/>
                <w:sz w:val="18"/>
              </w:rPr>
              <w:t>Infrastructure, above ground infrastructure associated</w:t>
            </w:r>
            <w:r>
              <w:rPr>
                <w:b/>
                <w:spacing w:val="-6"/>
                <w:sz w:val="18"/>
              </w:rPr>
              <w:t> </w:t>
            </w:r>
            <w:r>
              <w:rPr>
                <w:b/>
                <w:sz w:val="18"/>
              </w:rPr>
              <w:t>with</w:t>
            </w:r>
            <w:r>
              <w:rPr>
                <w:b/>
                <w:spacing w:val="-6"/>
                <w:sz w:val="18"/>
              </w:rPr>
              <w:t> </w:t>
            </w:r>
            <w:r>
              <w:rPr>
                <w:b/>
                <w:sz w:val="18"/>
              </w:rPr>
              <w:t>special</w:t>
            </w:r>
            <w:r>
              <w:rPr>
                <w:b/>
                <w:spacing w:val="-6"/>
                <w:sz w:val="18"/>
              </w:rPr>
              <w:t> </w:t>
            </w:r>
            <w:r>
              <w:rPr>
                <w:b/>
                <w:sz w:val="18"/>
              </w:rPr>
              <w:t>use</w:t>
            </w:r>
            <w:r>
              <w:rPr>
                <w:b/>
                <w:spacing w:val="-6"/>
                <w:sz w:val="18"/>
              </w:rPr>
              <w:t> </w:t>
            </w:r>
            <w:r>
              <w:rPr>
                <w:b/>
                <w:sz w:val="18"/>
              </w:rPr>
              <w:t>permits,</w:t>
            </w:r>
            <w:r>
              <w:rPr>
                <w:b/>
                <w:spacing w:val="-6"/>
                <w:sz w:val="18"/>
              </w:rPr>
              <w:t> </w:t>
            </w:r>
            <w:r>
              <w:rPr>
                <w:b/>
                <w:sz w:val="18"/>
              </w:rPr>
              <w:t>such</w:t>
            </w:r>
            <w:r>
              <w:rPr>
                <w:b/>
                <w:spacing w:val="-6"/>
                <w:sz w:val="18"/>
              </w:rPr>
              <w:t> </w:t>
            </w:r>
            <w:r>
              <w:rPr>
                <w:b/>
                <w:sz w:val="18"/>
              </w:rPr>
              <w:t>as communication sites, energy developments, and/or utility lines.</w:t>
            </w:r>
          </w:p>
        </w:tc>
        <w:tc>
          <w:tcPr>
            <w:tcW w:w="2185"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line="207" w:lineRule="exact" w:before="0"/>
              <w:ind w:left="7"/>
              <w:jc w:val="center"/>
              <w:rPr>
                <w:sz w:val="18"/>
              </w:rPr>
            </w:pPr>
            <w:r>
              <w:rPr>
                <w:spacing w:val="-2"/>
                <w:sz w:val="18"/>
              </w:rPr>
              <w:t>(Existing)</w:t>
            </w:r>
          </w:p>
        </w:tc>
        <w:tc>
          <w:tcPr>
            <w:tcW w:w="1819" w:type="dxa"/>
            <w:tcBorders>
              <w:left w:val="nil"/>
            </w:tcBorders>
          </w:tcPr>
          <w:p>
            <w:pPr>
              <w:pStyle w:val="TableParagraph"/>
              <w:spacing w:line="207" w:lineRule="exact"/>
              <w:ind w:left="39"/>
              <w:jc w:val="center"/>
              <w:rPr>
                <w:sz w:val="18"/>
              </w:rPr>
            </w:pPr>
            <w:r>
              <w:rPr>
                <w:spacing w:val="-10"/>
                <w:sz w:val="18"/>
              </w:rPr>
              <w:t>X</w:t>
            </w:r>
          </w:p>
          <w:p>
            <w:pPr>
              <w:pStyle w:val="TableParagraph"/>
              <w:spacing w:before="0"/>
              <w:ind w:left="199" w:right="153"/>
              <w:jc w:val="center"/>
              <w:rPr>
                <w:sz w:val="18"/>
              </w:rPr>
            </w:pPr>
            <w:r>
              <w:rPr>
                <w:sz w:val="18"/>
              </w:rPr>
              <w:t>(New</w:t>
            </w:r>
            <w:r>
              <w:rPr>
                <w:spacing w:val="-15"/>
                <w:sz w:val="18"/>
              </w:rPr>
              <w:t> </w:t>
            </w:r>
            <w:r>
              <w:rPr>
                <w:sz w:val="18"/>
              </w:rPr>
              <w:t>or</w:t>
            </w:r>
            <w:r>
              <w:rPr>
                <w:spacing w:val="-12"/>
                <w:sz w:val="18"/>
              </w:rPr>
              <w:t> </w:t>
            </w:r>
            <w:r>
              <w:rPr>
                <w:sz w:val="18"/>
              </w:rPr>
              <w:t>additional </w:t>
            </w:r>
            <w:r>
              <w:rPr>
                <w:spacing w:val="-4"/>
                <w:sz w:val="18"/>
              </w:rPr>
              <w:t>use)</w:t>
            </w:r>
          </w:p>
        </w:tc>
      </w:tr>
      <w:tr>
        <w:trPr>
          <w:trHeight w:val="493" w:hRule="atLeast"/>
        </w:trPr>
        <w:tc>
          <w:tcPr>
            <w:tcW w:w="4544"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185" w:type="dxa"/>
            <w:tcBorders>
              <w:left w:val="nil"/>
              <w:right w:val="nil"/>
            </w:tcBorders>
          </w:tcPr>
          <w:p>
            <w:pPr>
              <w:pStyle w:val="TableParagraph"/>
              <w:spacing w:line="207" w:lineRule="exact"/>
              <w:ind w:left="7" w:right="5"/>
              <w:jc w:val="center"/>
              <w:rPr>
                <w:sz w:val="18"/>
              </w:rPr>
            </w:pPr>
            <w:r>
              <w:rPr>
                <w:spacing w:val="-10"/>
                <w:sz w:val="18"/>
              </w:rPr>
              <w:t>X</w:t>
            </w:r>
          </w:p>
          <w:p>
            <w:pPr>
              <w:pStyle w:val="TableParagraph"/>
              <w:spacing w:line="207" w:lineRule="exact" w:before="0"/>
              <w:ind w:left="7" w:right="3"/>
              <w:jc w:val="center"/>
              <w:rPr>
                <w:sz w:val="18"/>
              </w:rPr>
            </w:pPr>
            <w:r>
              <w:rPr>
                <w:sz w:val="18"/>
              </w:rPr>
              <w:t>(On</w:t>
            </w:r>
            <w:r>
              <w:rPr>
                <w:spacing w:val="-2"/>
                <w:sz w:val="18"/>
              </w:rPr>
              <w:t> </w:t>
            </w:r>
            <w:r>
              <w:rPr>
                <w:sz w:val="18"/>
              </w:rPr>
              <w:t>existing</w:t>
            </w:r>
            <w:r>
              <w:rPr>
                <w:spacing w:val="-2"/>
                <w:sz w:val="18"/>
              </w:rPr>
              <w:t> </w:t>
            </w:r>
            <w:r>
              <w:rPr>
                <w:sz w:val="18"/>
              </w:rPr>
              <w:t>trails</w:t>
            </w:r>
            <w:r>
              <w:rPr>
                <w:spacing w:val="-2"/>
                <w:sz w:val="18"/>
              </w:rPr>
              <w:t> </w:t>
            </w:r>
            <w:r>
              <w:rPr>
                <w:spacing w:val="-4"/>
                <w:sz w:val="18"/>
              </w:rPr>
              <w:t>only)</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2185" w:type="dxa"/>
            <w:tcBorders>
              <w:left w:val="nil"/>
              <w:right w:val="nil"/>
            </w:tcBorders>
          </w:tcPr>
          <w:p>
            <w:pPr>
              <w:pStyle w:val="TableParagraph"/>
              <w:ind w:left="7" w:right="7"/>
              <w:jc w:val="center"/>
              <w:rPr>
                <w:sz w:val="18"/>
              </w:rPr>
            </w:pPr>
            <w:r>
              <w:rPr>
                <w:sz w:val="18"/>
              </w:rPr>
              <w:t>X</w:t>
            </w:r>
            <w:r>
              <w:rPr>
                <w:spacing w:val="-3"/>
                <w:sz w:val="18"/>
              </w:rPr>
              <w:t> </w:t>
            </w:r>
            <w:r>
              <w:rPr>
                <w:spacing w:val="-10"/>
                <w:sz w:val="18"/>
              </w:rPr>
              <w:t>*</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2185" w:type="dxa"/>
            <w:tcBorders>
              <w:left w:val="nil"/>
              <w:right w:val="nil"/>
            </w:tcBorders>
          </w:tcPr>
          <w:p>
            <w:pPr>
              <w:pStyle w:val="TableParagraph"/>
              <w:ind w:left="7" w:right="3"/>
              <w:jc w:val="center"/>
              <w:rPr>
                <w:sz w:val="18"/>
              </w:rPr>
            </w:pPr>
            <w:r>
              <w:rPr>
                <w:spacing w:val="-5"/>
                <w:sz w:val="18"/>
              </w:rPr>
              <w:t>X**</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2185" w:type="dxa"/>
            <w:tcBorders>
              <w:left w:val="nil"/>
              <w:right w:val="nil"/>
            </w:tcBorders>
          </w:tcPr>
          <w:p>
            <w:pPr>
              <w:pStyle w:val="TableParagraph"/>
              <w:ind w:left="7" w:right="5"/>
              <w:jc w:val="center"/>
              <w:rPr>
                <w:sz w:val="18"/>
              </w:rPr>
            </w:pPr>
            <w:r>
              <w:rPr>
                <w:spacing w:val="-10"/>
                <w:sz w:val="18"/>
              </w:rPr>
              <w:t>X</w:t>
            </w:r>
          </w:p>
        </w:tc>
        <w:tc>
          <w:tcPr>
            <w:tcW w:w="1819" w:type="dxa"/>
            <w:tcBorders>
              <w:left w:val="nil"/>
            </w:tcBorders>
          </w:tcPr>
          <w:p>
            <w:pPr>
              <w:pStyle w:val="TableParagraph"/>
              <w:spacing w:before="0"/>
              <w:rPr>
                <w:rFonts w:ascii="Times New Roman"/>
                <w:sz w:val="16"/>
              </w:rPr>
            </w:pPr>
          </w:p>
        </w:tc>
      </w:tr>
      <w:tr>
        <w:trPr>
          <w:trHeight w:val="493" w:hRule="atLeast"/>
        </w:trPr>
        <w:tc>
          <w:tcPr>
            <w:tcW w:w="4544" w:type="dxa"/>
            <w:tcBorders>
              <w:right w:val="nil"/>
            </w:tcBorders>
          </w:tcPr>
          <w:p>
            <w:pPr>
              <w:pStyle w:val="TableParagraph"/>
              <w:ind w:left="107"/>
              <w:rPr>
                <w:b/>
                <w:sz w:val="18"/>
              </w:rPr>
            </w:pPr>
            <w:r>
              <w:rPr>
                <w:b/>
                <w:sz w:val="18"/>
              </w:rPr>
              <w:t>Motorized</w:t>
            </w:r>
            <w:r>
              <w:rPr>
                <w:b/>
                <w:spacing w:val="-5"/>
                <w:sz w:val="18"/>
              </w:rPr>
              <w:t> </w:t>
            </w:r>
            <w:r>
              <w:rPr>
                <w:b/>
                <w:sz w:val="18"/>
              </w:rPr>
              <w:t>recreational</w:t>
            </w:r>
            <w:r>
              <w:rPr>
                <w:b/>
                <w:spacing w:val="-5"/>
                <w:sz w:val="18"/>
              </w:rPr>
              <w:t> </w:t>
            </w:r>
            <w:r>
              <w:rPr>
                <w:b/>
                <w:sz w:val="18"/>
              </w:rPr>
              <w:t>use,</w:t>
            </w:r>
            <w:r>
              <w:rPr>
                <w:b/>
                <w:spacing w:val="-6"/>
                <w:sz w:val="18"/>
              </w:rPr>
              <w:t> </w:t>
            </w:r>
            <w:r>
              <w:rPr>
                <w:b/>
                <w:sz w:val="18"/>
              </w:rPr>
              <w:t>summer,</w:t>
            </w:r>
            <w:r>
              <w:rPr>
                <w:b/>
                <w:spacing w:val="-6"/>
                <w:sz w:val="18"/>
              </w:rPr>
              <w:t> </w:t>
            </w:r>
            <w:r>
              <w:rPr>
                <w:b/>
                <w:sz w:val="18"/>
              </w:rPr>
              <w:t>trails</w:t>
            </w:r>
            <w:r>
              <w:rPr>
                <w:b/>
                <w:spacing w:val="-6"/>
                <w:sz w:val="18"/>
              </w:rPr>
              <w:t> </w:t>
            </w:r>
            <w:r>
              <w:rPr>
                <w:b/>
                <w:sz w:val="18"/>
              </w:rPr>
              <w:t>or</w:t>
            </w:r>
            <w:r>
              <w:rPr>
                <w:b/>
                <w:spacing w:val="-5"/>
                <w:sz w:val="18"/>
              </w:rPr>
              <w:t> </w:t>
            </w:r>
            <w:r>
              <w:rPr>
                <w:b/>
                <w:sz w:val="18"/>
              </w:rPr>
              <w:t>play </w:t>
            </w:r>
            <w:r>
              <w:rPr>
                <w:b/>
                <w:spacing w:val="-2"/>
                <w:sz w:val="18"/>
              </w:rPr>
              <w:t>areas</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493" w:hRule="atLeast"/>
        </w:trPr>
        <w:tc>
          <w:tcPr>
            <w:tcW w:w="4544" w:type="dxa"/>
            <w:tcBorders>
              <w:right w:val="nil"/>
            </w:tcBorders>
          </w:tcPr>
          <w:p>
            <w:pPr>
              <w:pStyle w:val="TableParagraph"/>
              <w:ind w:left="107"/>
              <w:rPr>
                <w:b/>
                <w:sz w:val="18"/>
              </w:rPr>
            </w:pPr>
            <w:r>
              <w:rPr>
                <w:b/>
                <w:sz w:val="18"/>
              </w:rPr>
              <w:t>Motorized</w:t>
            </w:r>
            <w:r>
              <w:rPr>
                <w:b/>
                <w:spacing w:val="-6"/>
                <w:sz w:val="18"/>
              </w:rPr>
              <w:t> </w:t>
            </w:r>
            <w:r>
              <w:rPr>
                <w:b/>
                <w:sz w:val="18"/>
              </w:rPr>
              <w:t>recreational</w:t>
            </w:r>
            <w:r>
              <w:rPr>
                <w:b/>
                <w:spacing w:val="-6"/>
                <w:sz w:val="18"/>
              </w:rPr>
              <w:t> </w:t>
            </w:r>
            <w:r>
              <w:rPr>
                <w:b/>
                <w:sz w:val="18"/>
              </w:rPr>
              <w:t>use,</w:t>
            </w:r>
            <w:r>
              <w:rPr>
                <w:b/>
                <w:spacing w:val="-7"/>
                <w:sz w:val="18"/>
              </w:rPr>
              <w:t> </w:t>
            </w:r>
            <w:r>
              <w:rPr>
                <w:b/>
                <w:sz w:val="18"/>
              </w:rPr>
              <w:t>winter,</w:t>
            </w:r>
            <w:r>
              <w:rPr>
                <w:b/>
                <w:spacing w:val="-5"/>
                <w:sz w:val="18"/>
              </w:rPr>
              <w:t> </w:t>
            </w:r>
            <w:r>
              <w:rPr>
                <w:b/>
                <w:sz w:val="18"/>
              </w:rPr>
              <w:t>trails</w:t>
            </w:r>
            <w:r>
              <w:rPr>
                <w:b/>
                <w:spacing w:val="-7"/>
                <w:sz w:val="18"/>
              </w:rPr>
              <w:t> </w:t>
            </w:r>
            <w:r>
              <w:rPr>
                <w:b/>
                <w:sz w:val="18"/>
              </w:rPr>
              <w:t>or</w:t>
            </w:r>
            <w:r>
              <w:rPr>
                <w:b/>
                <w:spacing w:val="-6"/>
                <w:sz w:val="18"/>
              </w:rPr>
              <w:t> </w:t>
            </w:r>
            <w:r>
              <w:rPr>
                <w:b/>
                <w:sz w:val="18"/>
              </w:rPr>
              <w:t>cross- </w:t>
            </w:r>
            <w:r>
              <w:rPr>
                <w:b/>
                <w:spacing w:val="-2"/>
                <w:sz w:val="18"/>
              </w:rPr>
              <w:t>country</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2185" w:type="dxa"/>
            <w:tcBorders>
              <w:left w:val="nil"/>
              <w:right w:val="nil"/>
            </w:tcBorders>
          </w:tcPr>
          <w:p>
            <w:pPr>
              <w:pStyle w:val="TableParagraph"/>
              <w:ind w:left="7" w:right="5"/>
              <w:jc w:val="center"/>
              <w:rPr>
                <w:sz w:val="18"/>
              </w:rPr>
            </w:pPr>
            <w:r>
              <w:rPr>
                <w:spacing w:val="-10"/>
                <w:sz w:val="18"/>
              </w:rPr>
              <w:t>X</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185" w:type="dxa"/>
            <w:tcBorders>
              <w:left w:val="nil"/>
              <w:right w:val="nil"/>
            </w:tcBorders>
          </w:tcPr>
          <w:p>
            <w:pPr>
              <w:pStyle w:val="TableParagraph"/>
              <w:ind w:left="7" w:right="5"/>
              <w:jc w:val="center"/>
              <w:rPr>
                <w:sz w:val="18"/>
              </w:rPr>
            </w:pPr>
            <w:r>
              <w:rPr>
                <w:spacing w:val="-10"/>
                <w:sz w:val="18"/>
              </w:rPr>
              <w:t>X</w:t>
            </w:r>
          </w:p>
        </w:tc>
        <w:tc>
          <w:tcPr>
            <w:tcW w:w="1819" w:type="dxa"/>
            <w:tcBorders>
              <w:left w:val="nil"/>
            </w:tcBorders>
          </w:tcPr>
          <w:p>
            <w:pPr>
              <w:pStyle w:val="TableParagraph"/>
              <w:spacing w:before="0"/>
              <w:rPr>
                <w:rFonts w:ascii="Times New Roman"/>
                <w:sz w:val="16"/>
              </w:rPr>
            </w:pPr>
          </w:p>
        </w:tc>
      </w:tr>
      <w:tr>
        <w:trPr>
          <w:trHeight w:val="287" w:hRule="atLeast"/>
        </w:trPr>
        <w:tc>
          <w:tcPr>
            <w:tcW w:w="4544"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4" w:hRule="atLeast"/>
        </w:trPr>
        <w:tc>
          <w:tcPr>
            <w:tcW w:w="4544"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908" w:hRule="atLeast"/>
        </w:trPr>
        <w:tc>
          <w:tcPr>
            <w:tcW w:w="4544" w:type="dxa"/>
            <w:tcBorders>
              <w:right w:val="nil"/>
            </w:tcBorders>
          </w:tcPr>
          <w:p>
            <w:pPr>
              <w:pStyle w:val="TableParagraph"/>
              <w:spacing w:before="42"/>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spacing w:line="207" w:lineRule="exact" w:before="42"/>
              <w:ind w:left="40"/>
              <w:jc w:val="center"/>
              <w:rPr>
                <w:sz w:val="18"/>
              </w:rPr>
            </w:pPr>
            <w:r>
              <w:rPr>
                <w:spacing w:val="-10"/>
                <w:sz w:val="18"/>
              </w:rPr>
              <w:t>X</w:t>
            </w:r>
          </w:p>
          <w:p>
            <w:pPr>
              <w:pStyle w:val="TableParagraph"/>
              <w:spacing w:before="0"/>
              <w:ind w:left="135" w:right="87"/>
              <w:jc w:val="center"/>
              <w:rPr>
                <w:sz w:val="18"/>
              </w:rPr>
            </w:pPr>
            <w:r>
              <w:rPr>
                <w:sz w:val="18"/>
              </w:rPr>
              <w:t>(Unless</w:t>
            </w:r>
            <w:r>
              <w:rPr>
                <w:spacing w:val="-15"/>
                <w:sz w:val="18"/>
              </w:rPr>
              <w:t> </w:t>
            </w:r>
            <w:r>
              <w:rPr>
                <w:sz w:val="18"/>
              </w:rPr>
              <w:t>required</w:t>
            </w:r>
            <w:r>
              <w:rPr>
                <w:spacing w:val="-12"/>
                <w:sz w:val="18"/>
              </w:rPr>
              <w:t> </w:t>
            </w:r>
            <w:r>
              <w:rPr>
                <w:sz w:val="18"/>
              </w:rPr>
              <w:t>for restoration to natural conditions)</w:t>
            </w:r>
          </w:p>
        </w:tc>
      </w:tr>
      <w:tr>
        <w:trPr>
          <w:trHeight w:val="287" w:hRule="atLeast"/>
        </w:trPr>
        <w:tc>
          <w:tcPr>
            <w:tcW w:w="4544" w:type="dxa"/>
            <w:tcBorders>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r>
        <w:trPr>
          <w:trHeight w:val="287" w:hRule="atLeast"/>
        </w:trPr>
        <w:tc>
          <w:tcPr>
            <w:tcW w:w="4544" w:type="dxa"/>
            <w:tcBorders>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185" w:type="dxa"/>
            <w:tcBorders>
              <w:left w:val="nil"/>
              <w:right w:val="nil"/>
            </w:tcBorders>
          </w:tcPr>
          <w:p>
            <w:pPr>
              <w:pStyle w:val="TableParagraph"/>
              <w:spacing w:before="0"/>
              <w:rPr>
                <w:rFonts w:ascii="Times New Roman"/>
                <w:sz w:val="16"/>
              </w:rPr>
            </w:pPr>
          </w:p>
        </w:tc>
        <w:tc>
          <w:tcPr>
            <w:tcW w:w="1819" w:type="dxa"/>
            <w:tcBorders>
              <w:left w:val="nil"/>
            </w:tcBorders>
          </w:tcPr>
          <w:p>
            <w:pPr>
              <w:pStyle w:val="TableParagraph"/>
              <w:ind w:left="40"/>
              <w:jc w:val="center"/>
              <w:rPr>
                <w:sz w:val="18"/>
              </w:rPr>
            </w:pPr>
            <w:r>
              <w:rPr>
                <w:spacing w:val="-10"/>
                <w:sz w:val="18"/>
              </w:rPr>
              <w:t>X</w:t>
            </w:r>
          </w:p>
        </w:tc>
      </w:tr>
    </w:tbl>
    <w:p>
      <w:pPr>
        <w:spacing w:before="47"/>
        <w:ind w:left="360" w:right="162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360"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spacing w:after="0"/>
        <w:jc w:val="left"/>
        <w:rPr>
          <w:rFonts w:ascii="Arial"/>
          <w:sz w:val="16"/>
        </w:rPr>
        <w:sectPr>
          <w:pgSz w:w="12240" w:h="15840"/>
          <w:pgMar w:header="725" w:footer="891" w:top="960" w:bottom="1080" w:left="1080" w:right="720"/>
        </w:sectPr>
      </w:pPr>
    </w:p>
    <w:p>
      <w:pPr>
        <w:pStyle w:val="BodyText"/>
        <w:spacing w:before="223"/>
        <w:rPr>
          <w:rFonts w:ascii="Arial"/>
        </w:rPr>
      </w:pPr>
    </w:p>
    <w:p>
      <w:pPr>
        <w:pStyle w:val="Heading3"/>
      </w:pPr>
      <w:bookmarkStart w:name="Riparian Management Areas (RMA)" w:id="694"/>
      <w:bookmarkEnd w:id="694"/>
      <w:r>
        <w:rPr>
          <w:b w:val="0"/>
        </w:rPr>
      </w:r>
      <w:bookmarkStart w:name="_bookmark216" w:id="695"/>
      <w:bookmarkEnd w:id="695"/>
      <w:r>
        <w:rPr>
          <w:b w:val="0"/>
        </w:rPr>
      </w:r>
      <w:r>
        <w:rPr>
          <w:smallCaps/>
          <w:color w:val="475824"/>
        </w:rPr>
        <w:t>Riparian</w:t>
      </w:r>
      <w:r>
        <w:rPr>
          <w:smallCaps/>
          <w:color w:val="475824"/>
          <w:spacing w:val="-10"/>
        </w:rPr>
        <w:t> </w:t>
      </w:r>
      <w:r>
        <w:rPr>
          <w:smallCaps/>
          <w:color w:val="475824"/>
        </w:rPr>
        <w:t>Management</w:t>
      </w:r>
      <w:r>
        <w:rPr>
          <w:smallCaps/>
          <w:color w:val="475824"/>
          <w:spacing w:val="-6"/>
        </w:rPr>
        <w:t> </w:t>
      </w:r>
      <w:r>
        <w:rPr>
          <w:smallCaps/>
          <w:color w:val="475824"/>
        </w:rPr>
        <w:t>Areas</w:t>
      </w:r>
      <w:r>
        <w:rPr>
          <w:smallCaps/>
          <w:color w:val="475824"/>
          <w:spacing w:val="-9"/>
        </w:rPr>
        <w:t> </w:t>
      </w:r>
      <w:r>
        <w:rPr>
          <w:smallCaps/>
          <w:color w:val="475824"/>
          <w:spacing w:val="-4"/>
        </w:rPr>
        <w:t>(RMA)</w:t>
      </w:r>
    </w:p>
    <w:p>
      <w:pPr>
        <w:pStyle w:val="BodyText"/>
        <w:spacing w:before="117"/>
        <w:ind w:left="1512" w:right="734"/>
      </w:pPr>
      <w:r>
        <w:rPr/>
        <mc:AlternateContent>
          <mc:Choice Requires="wps">
            <w:drawing>
              <wp:anchor distT="0" distB="0" distL="0" distR="0" allowOverlap="1" layoutInCell="1" locked="0" behindDoc="1" simplePos="0" relativeHeight="474283008">
                <wp:simplePos x="0" y="0"/>
                <wp:positionH relativeFrom="page">
                  <wp:posOffset>1627632</wp:posOffset>
                </wp:positionH>
                <wp:positionV relativeFrom="paragraph">
                  <wp:posOffset>75150</wp:posOffset>
                </wp:positionV>
                <wp:extent cx="5248910" cy="7461884"/>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5248910" cy="7461884"/>
                        </a:xfrm>
                        <a:custGeom>
                          <a:avLst/>
                          <a:gdLst/>
                          <a:ahLst/>
                          <a:cxnLst/>
                          <a:rect l="l" t="t" r="r" b="b"/>
                          <a:pathLst>
                            <a:path w="5248910" h="7461884">
                              <a:moveTo>
                                <a:pt x="5248643" y="6039624"/>
                              </a:moveTo>
                              <a:lnTo>
                                <a:pt x="0" y="6039624"/>
                              </a:lnTo>
                              <a:lnTo>
                                <a:pt x="0" y="6208776"/>
                              </a:lnTo>
                              <a:lnTo>
                                <a:pt x="0" y="6455664"/>
                              </a:lnTo>
                              <a:lnTo>
                                <a:pt x="0" y="7461504"/>
                              </a:lnTo>
                              <a:lnTo>
                                <a:pt x="5248643" y="7461504"/>
                              </a:lnTo>
                              <a:lnTo>
                                <a:pt x="5248643" y="6208776"/>
                              </a:lnTo>
                              <a:lnTo>
                                <a:pt x="5248643" y="6039624"/>
                              </a:lnTo>
                              <a:close/>
                            </a:path>
                            <a:path w="5248910" h="7461884">
                              <a:moveTo>
                                <a:pt x="5248643" y="0"/>
                              </a:moveTo>
                              <a:lnTo>
                                <a:pt x="0" y="0"/>
                              </a:lnTo>
                              <a:lnTo>
                                <a:pt x="0" y="170688"/>
                              </a:lnTo>
                              <a:lnTo>
                                <a:pt x="0" y="341376"/>
                              </a:lnTo>
                              <a:lnTo>
                                <a:pt x="0" y="6039612"/>
                              </a:lnTo>
                              <a:lnTo>
                                <a:pt x="5248643" y="6039612"/>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917359pt;width:413.3pt;height:587.550pt;mso-position-horizontal-relative:page;mso-position-vertical-relative:paragraph;z-index:-29033472" id="docshape198" coordorigin="2563,118" coordsize="8266,11751" path="m10829,9630l2563,9630,2563,9896,2563,10285,2563,10674,2563,11062,2563,11331,2563,11600,2563,11869,10829,11869,10829,11600,10829,11331,10829,11062,10829,10674,10829,10285,10829,9896,10829,9630xm10829,118l2563,118,2563,387,2563,656,2563,925,2563,1194,2563,1462,2563,1731,2563,2000,2563,2269,2563,2655,2563,2936,2563,3205,2563,3474,2563,3742,2563,4011,2563,4400,2563,4678,2563,4947,2563,5216,2563,5485,2563,5754,2563,6142,2563,6411,2563,6680,2563,6949,2563,7218,2563,7484,2563,7873,2563,8154,2563,8422,2563,8691,2563,9080,2563,9349,2563,9630,10829,9630,10829,9349,10829,9080,10829,8691,10829,8422,10829,8154,10829,7873,10829,7484,10829,7218,10829,6949,10829,6680,10829,6411,10829,6142,10829,5754,10829,5485,10829,5216,10829,4947,10829,4678,10829,4400,10829,4011,10829,3742,10829,3474,10829,3205,10829,2936,10829,2655,10829,2269,10829,2000,10829,1731,10829,1462,10829,1194,10829,925,10829,656,10829,387,10829,118xe" filled="true" fillcolor="#dfdfdf" stroked="false">
                <v:path arrowok="t"/>
                <v:fill type="solid"/>
                <w10:wrap type="none"/>
              </v:shape>
            </w:pict>
          </mc:Fallback>
        </mc:AlternateContent>
      </w:r>
      <w:r>
        <w:rPr/>
        <w:t>Riparian Management Areas (RMAs) include portions of watersheds where aquatic and riparian-dependent resources receive primary emphasis and where special management direction applies. RMAs are designated for all permanently flowing streams, lakes, wetlands, seeps, springs and intermittent streams, and unstable sites that may influence these areas. RMAs are used to maintain and restore the riparian structure and function of intermittent</w:t>
      </w:r>
      <w:r>
        <w:rPr>
          <w:spacing w:val="-5"/>
        </w:rPr>
        <w:t> </w:t>
      </w:r>
      <w:r>
        <w:rPr/>
        <w:t>and</w:t>
      </w:r>
      <w:r>
        <w:rPr>
          <w:spacing w:val="-4"/>
        </w:rPr>
        <w:t> </w:t>
      </w:r>
      <w:r>
        <w:rPr/>
        <w:t>perennial</w:t>
      </w:r>
      <w:r>
        <w:rPr>
          <w:spacing w:val="-6"/>
        </w:rPr>
        <w:t> </w:t>
      </w:r>
      <w:r>
        <w:rPr/>
        <w:t>streams,</w:t>
      </w:r>
      <w:r>
        <w:rPr>
          <w:spacing w:val="-5"/>
        </w:rPr>
        <w:t> </w:t>
      </w:r>
      <w:r>
        <w:rPr/>
        <w:t>confer</w:t>
      </w:r>
      <w:r>
        <w:rPr>
          <w:spacing w:val="-5"/>
        </w:rPr>
        <w:t> </w:t>
      </w:r>
      <w:r>
        <w:rPr/>
        <w:t>benefits</w:t>
      </w:r>
      <w:r>
        <w:rPr>
          <w:spacing w:val="-3"/>
        </w:rPr>
        <w:t> </w:t>
      </w:r>
      <w:r>
        <w:rPr/>
        <w:t>to</w:t>
      </w:r>
      <w:r>
        <w:rPr>
          <w:spacing w:val="-4"/>
        </w:rPr>
        <w:t> </w:t>
      </w:r>
      <w:r>
        <w:rPr/>
        <w:t>riparian-dependent</w:t>
      </w:r>
      <w:r>
        <w:rPr>
          <w:spacing w:val="-2"/>
        </w:rPr>
        <w:t> </w:t>
      </w:r>
      <w:r>
        <w:rPr/>
        <w:t>plant</w:t>
      </w:r>
      <w:r>
        <w:rPr>
          <w:spacing w:val="-5"/>
        </w:rPr>
        <w:t> </w:t>
      </w:r>
      <w:r>
        <w:rPr/>
        <w:t>and</w:t>
      </w:r>
      <w:r>
        <w:rPr>
          <w:spacing w:val="-4"/>
        </w:rPr>
        <w:t> </w:t>
      </w:r>
      <w:r>
        <w:rPr/>
        <w:t>animal species, enhance habitat conservation for organisms that are dependent on the transition zone between upslope and riparian areas, and contribute to a greater connectivity of the watershed for both riparian and upland species.</w:t>
      </w:r>
    </w:p>
    <w:p>
      <w:pPr>
        <w:pStyle w:val="BodyText"/>
        <w:spacing w:before="120"/>
        <w:ind w:left="1512" w:right="742"/>
      </w:pPr>
      <w:r>
        <w:rPr/>
        <w:t>Fish-bearing</w:t>
      </w:r>
      <w:r>
        <w:rPr>
          <w:spacing w:val="-3"/>
        </w:rPr>
        <w:t> </w:t>
      </w:r>
      <w:r>
        <w:rPr/>
        <w:t>streams</w:t>
      </w:r>
      <w:r>
        <w:rPr>
          <w:spacing w:val="-4"/>
        </w:rPr>
        <w:t> </w:t>
      </w:r>
      <w:r>
        <w:rPr>
          <w:rFonts w:ascii="Symbol" w:hAnsi="Symbol"/>
        </w:rPr>
        <w:t></w:t>
      </w:r>
      <w:r>
        <w:rPr>
          <w:rFonts w:ascii="Times New Roman" w:hAnsi="Times New Roman"/>
          <w:spacing w:val="-6"/>
        </w:rPr>
        <w:t> </w:t>
      </w:r>
      <w:r>
        <w:rPr/>
        <w:t>RMAs</w:t>
      </w:r>
      <w:r>
        <w:rPr>
          <w:spacing w:val="-2"/>
        </w:rPr>
        <w:t> </w:t>
      </w:r>
      <w:r>
        <w:rPr/>
        <w:t>consist</w:t>
      </w:r>
      <w:r>
        <w:rPr>
          <w:spacing w:val="-4"/>
        </w:rPr>
        <w:t> </w:t>
      </w:r>
      <w:r>
        <w:rPr/>
        <w:t>of</w:t>
      </w:r>
      <w:r>
        <w:rPr>
          <w:spacing w:val="-2"/>
        </w:rPr>
        <w:t> </w:t>
      </w:r>
      <w:r>
        <w:rPr/>
        <w:t>the</w:t>
      </w:r>
      <w:r>
        <w:rPr>
          <w:spacing w:val="-4"/>
        </w:rPr>
        <w:t> </w:t>
      </w:r>
      <w:r>
        <w:rPr/>
        <w:t>stream</w:t>
      </w:r>
      <w:r>
        <w:rPr>
          <w:spacing w:val="-3"/>
        </w:rPr>
        <w:t> </w:t>
      </w:r>
      <w:r>
        <w:rPr/>
        <w:t>and</w:t>
      </w:r>
      <w:r>
        <w:rPr>
          <w:spacing w:val="-3"/>
        </w:rPr>
        <w:t> </w:t>
      </w:r>
      <w:r>
        <w:rPr/>
        <w:t>the</w:t>
      </w:r>
      <w:r>
        <w:rPr>
          <w:spacing w:val="-1"/>
        </w:rPr>
        <w:t> </w:t>
      </w:r>
      <w:r>
        <w:rPr/>
        <w:t>area</w:t>
      </w:r>
      <w:r>
        <w:rPr>
          <w:spacing w:val="-2"/>
        </w:rPr>
        <w:t> </w:t>
      </w:r>
      <w:r>
        <w:rPr/>
        <w:t>on</w:t>
      </w:r>
      <w:r>
        <w:rPr>
          <w:spacing w:val="-5"/>
        </w:rPr>
        <w:t> </w:t>
      </w:r>
      <w:r>
        <w:rPr/>
        <w:t>each</w:t>
      </w:r>
      <w:r>
        <w:rPr>
          <w:spacing w:val="-5"/>
        </w:rPr>
        <w:t> </w:t>
      </w:r>
      <w:r>
        <w:rPr/>
        <w:t>side</w:t>
      </w:r>
      <w:r>
        <w:rPr>
          <w:spacing w:val="-4"/>
        </w:rPr>
        <w:t> </w:t>
      </w:r>
      <w:r>
        <w:rPr/>
        <w:t>of</w:t>
      </w:r>
      <w:r>
        <w:rPr>
          <w:spacing w:val="-2"/>
        </w:rPr>
        <w:t> </w:t>
      </w:r>
      <w:r>
        <w:rPr/>
        <w:t>the</w:t>
      </w:r>
      <w:r>
        <w:rPr>
          <w:spacing w:val="-1"/>
        </w:rPr>
        <w:t> </w:t>
      </w:r>
      <w:r>
        <w:rPr/>
        <w:t>stream, extending from the edges of the active stream channel to the top of the inner gorge, or to the outer edges of the 100-year floodplain, or to the outer edges of riparian vegetation, or to a distance equal to the height of two site-potential trees,</w:t>
      </w:r>
      <w:hyperlink w:history="true" w:anchor="_bookmark217">
        <w:r>
          <w:rPr>
            <w:vertAlign w:val="superscript"/>
          </w:rPr>
          <w:t>21</w:t>
        </w:r>
      </w:hyperlink>
      <w:r>
        <w:rPr>
          <w:vertAlign w:val="baseline"/>
        </w:rPr>
        <w:t> or 300 feet slope distance (600 feet total, including both sides of the stream channel), whichever is greatest. It is expected that RMA widths along fish-bearing streams will not be less than described here.</w:t>
      </w:r>
    </w:p>
    <w:p>
      <w:pPr>
        <w:pStyle w:val="BodyText"/>
        <w:spacing w:before="120"/>
        <w:ind w:left="1512" w:right="801"/>
      </w:pPr>
      <w:r>
        <w:rPr/>
        <w:t>Permanently flowing non-fish-bearing streams </w:t>
      </w:r>
      <w:r>
        <w:rPr>
          <w:rFonts w:ascii="Symbol" w:hAnsi="Symbol"/>
        </w:rPr>
        <w:t></w:t>
      </w:r>
      <w:r>
        <w:rPr>
          <w:rFonts w:ascii="Times New Roman" w:hAnsi="Times New Roman"/>
        </w:rPr>
        <w:t> </w:t>
      </w:r>
      <w:r>
        <w:rPr/>
        <w:t>RMAs consist of the stream and the area on each side of the stream, extending from the edges of the active stream channel to the top of the inner gorge, or to the outer edges of the 100-year floodplain, or to the outer edges</w:t>
      </w:r>
      <w:r>
        <w:rPr>
          <w:spacing w:val="-4"/>
        </w:rPr>
        <w:t> </w:t>
      </w:r>
      <w:r>
        <w:rPr/>
        <w:t>of</w:t>
      </w:r>
      <w:r>
        <w:rPr>
          <w:spacing w:val="-2"/>
        </w:rPr>
        <w:t> </w:t>
      </w:r>
      <w:r>
        <w:rPr/>
        <w:t>riparian</w:t>
      </w:r>
      <w:r>
        <w:rPr>
          <w:spacing w:val="-5"/>
        </w:rPr>
        <w:t> </w:t>
      </w:r>
      <w:r>
        <w:rPr/>
        <w:t>vegetation,</w:t>
      </w:r>
      <w:r>
        <w:rPr>
          <w:spacing w:val="-2"/>
        </w:rPr>
        <w:t> </w:t>
      </w:r>
      <w:r>
        <w:rPr/>
        <w:t>or</w:t>
      </w:r>
      <w:r>
        <w:rPr>
          <w:spacing w:val="-4"/>
        </w:rPr>
        <w:t> </w:t>
      </w:r>
      <w:r>
        <w:rPr/>
        <w:t>to</w:t>
      </w:r>
      <w:r>
        <w:rPr>
          <w:spacing w:val="-3"/>
        </w:rPr>
        <w:t> </w:t>
      </w:r>
      <w:r>
        <w:rPr/>
        <w:t>a</w:t>
      </w:r>
      <w:r>
        <w:rPr>
          <w:spacing w:val="-2"/>
        </w:rPr>
        <w:t> </w:t>
      </w:r>
      <w:r>
        <w:rPr/>
        <w:t>distance</w:t>
      </w:r>
      <w:r>
        <w:rPr>
          <w:spacing w:val="-1"/>
        </w:rPr>
        <w:t> </w:t>
      </w:r>
      <w:r>
        <w:rPr/>
        <w:t>equal</w:t>
      </w:r>
      <w:r>
        <w:rPr>
          <w:spacing w:val="-5"/>
        </w:rPr>
        <w:t> </w:t>
      </w:r>
      <w:r>
        <w:rPr/>
        <w:t>to</w:t>
      </w:r>
      <w:r>
        <w:rPr>
          <w:spacing w:val="-3"/>
        </w:rPr>
        <w:t> </w:t>
      </w:r>
      <w:r>
        <w:rPr/>
        <w:t>the</w:t>
      </w:r>
      <w:r>
        <w:rPr>
          <w:spacing w:val="-1"/>
        </w:rPr>
        <w:t> </w:t>
      </w:r>
      <w:r>
        <w:rPr/>
        <w:t>height</w:t>
      </w:r>
      <w:r>
        <w:rPr>
          <w:spacing w:val="-4"/>
        </w:rPr>
        <w:t> </w:t>
      </w:r>
      <w:r>
        <w:rPr/>
        <w:t>of</w:t>
      </w:r>
      <w:r>
        <w:rPr>
          <w:spacing w:val="-5"/>
        </w:rPr>
        <w:t> </w:t>
      </w:r>
      <w:r>
        <w:rPr/>
        <w:t>one</w:t>
      </w:r>
      <w:r>
        <w:rPr>
          <w:spacing w:val="-1"/>
        </w:rPr>
        <w:t> </w:t>
      </w:r>
      <w:r>
        <w:rPr/>
        <w:t>site-potential</w:t>
      </w:r>
      <w:r>
        <w:rPr>
          <w:spacing w:val="-2"/>
        </w:rPr>
        <w:t> </w:t>
      </w:r>
      <w:r>
        <w:rPr/>
        <w:t>tree, or 150 feet slope distance (300 feet total, including both sides of the stream channel), whichever is greatest.</w:t>
      </w:r>
    </w:p>
    <w:p>
      <w:pPr>
        <w:pStyle w:val="BodyText"/>
        <w:spacing w:before="121"/>
        <w:ind w:left="1512" w:right="742"/>
      </w:pPr>
      <w:r>
        <w:rPr/>
        <w:t>Constructed ponds and reservoirs, and wetlands greater than one acre – RMAs consist of the body of water</w:t>
      </w:r>
      <w:r>
        <w:rPr>
          <w:spacing w:val="-1"/>
        </w:rPr>
        <w:t> </w:t>
      </w:r>
      <w:r>
        <w:rPr/>
        <w:t>or</w:t>
      </w:r>
      <w:r>
        <w:rPr>
          <w:spacing w:val="-1"/>
        </w:rPr>
        <w:t> </w:t>
      </w:r>
      <w:r>
        <w:rPr/>
        <w:t>wetland and the area</w:t>
      </w:r>
      <w:r>
        <w:rPr>
          <w:spacing w:val="-1"/>
        </w:rPr>
        <w:t> </w:t>
      </w:r>
      <w:r>
        <w:rPr/>
        <w:t>to the</w:t>
      </w:r>
      <w:r>
        <w:rPr>
          <w:spacing w:val="-1"/>
        </w:rPr>
        <w:t> </w:t>
      </w:r>
      <w:r>
        <w:rPr/>
        <w:t>outer edges</w:t>
      </w:r>
      <w:r>
        <w:rPr>
          <w:spacing w:val="-1"/>
        </w:rPr>
        <w:t> </w:t>
      </w:r>
      <w:r>
        <w:rPr/>
        <w:t>of</w:t>
      </w:r>
      <w:r>
        <w:rPr>
          <w:spacing w:val="-1"/>
        </w:rPr>
        <w:t> </w:t>
      </w:r>
      <w:r>
        <w:rPr/>
        <w:t>the riparian</w:t>
      </w:r>
      <w:r>
        <w:rPr>
          <w:spacing w:val="-2"/>
        </w:rPr>
        <w:t> </w:t>
      </w:r>
      <w:r>
        <w:rPr/>
        <w:t>vegetation,</w:t>
      </w:r>
      <w:r>
        <w:rPr>
          <w:spacing w:val="-1"/>
        </w:rPr>
        <w:t> </w:t>
      </w:r>
      <w:r>
        <w:rPr/>
        <w:t>or to</w:t>
      </w:r>
      <w:r>
        <w:rPr>
          <w:spacing w:val="-3"/>
        </w:rPr>
        <w:t> </w:t>
      </w:r>
      <w:r>
        <w:rPr/>
        <w:t>the</w:t>
      </w:r>
      <w:r>
        <w:rPr>
          <w:spacing w:val="-1"/>
        </w:rPr>
        <w:t> </w:t>
      </w:r>
      <w:r>
        <w:rPr/>
        <w:t>extent</w:t>
      </w:r>
      <w:r>
        <w:rPr>
          <w:spacing w:val="-1"/>
        </w:rPr>
        <w:t> </w:t>
      </w:r>
      <w:r>
        <w:rPr/>
        <w:t>of</w:t>
      </w:r>
      <w:r>
        <w:rPr>
          <w:spacing w:val="-4"/>
        </w:rPr>
        <w:t> </w:t>
      </w:r>
      <w:r>
        <w:rPr/>
        <w:t>seasonally</w:t>
      </w:r>
      <w:r>
        <w:rPr>
          <w:spacing w:val="-3"/>
        </w:rPr>
        <w:t> </w:t>
      </w:r>
      <w:r>
        <w:rPr/>
        <w:t>saturated</w:t>
      </w:r>
      <w:r>
        <w:rPr>
          <w:spacing w:val="-3"/>
        </w:rPr>
        <w:t> </w:t>
      </w:r>
      <w:r>
        <w:rPr/>
        <w:t>soil,</w:t>
      </w:r>
      <w:r>
        <w:rPr>
          <w:spacing w:val="-4"/>
        </w:rPr>
        <w:t> </w:t>
      </w:r>
      <w:r>
        <w:rPr/>
        <w:t>or</w:t>
      </w:r>
      <w:r>
        <w:rPr>
          <w:spacing w:val="-4"/>
        </w:rPr>
        <w:t> </w:t>
      </w:r>
      <w:r>
        <w:rPr/>
        <w:t>the</w:t>
      </w:r>
      <w:r>
        <w:rPr>
          <w:spacing w:val="-4"/>
        </w:rPr>
        <w:t> </w:t>
      </w:r>
      <w:r>
        <w:rPr/>
        <w:t>extent</w:t>
      </w:r>
      <w:r>
        <w:rPr>
          <w:spacing w:val="-1"/>
        </w:rPr>
        <w:t> </w:t>
      </w:r>
      <w:r>
        <w:rPr/>
        <w:t>of</w:t>
      </w:r>
      <w:r>
        <w:rPr>
          <w:spacing w:val="-4"/>
        </w:rPr>
        <w:t> </w:t>
      </w:r>
      <w:r>
        <w:rPr/>
        <w:t>unstable</w:t>
      </w:r>
      <w:r>
        <w:rPr>
          <w:spacing w:val="-1"/>
        </w:rPr>
        <w:t> </w:t>
      </w:r>
      <w:r>
        <w:rPr/>
        <w:t>and</w:t>
      </w:r>
      <w:r>
        <w:rPr>
          <w:spacing w:val="-3"/>
        </w:rPr>
        <w:t> </w:t>
      </w:r>
      <w:r>
        <w:rPr/>
        <w:t>potentially</w:t>
      </w:r>
      <w:r>
        <w:rPr>
          <w:spacing w:val="-1"/>
        </w:rPr>
        <w:t> </w:t>
      </w:r>
      <w:r>
        <w:rPr/>
        <w:t>unstable areas, or to a distance equal to the height of one site-potential tree, or 150 feet slope distance from the edge of the wetland greater than one acre or the maximum pool elevation of constructed ponds and reservoirs, whichever is greatest.</w:t>
      </w:r>
    </w:p>
    <w:p>
      <w:pPr>
        <w:pStyle w:val="BodyText"/>
        <w:spacing w:before="120"/>
        <w:ind w:left="1512" w:right="801"/>
      </w:pPr>
      <w:r>
        <w:rPr/>
        <w:t>Lakes and natural ponds </w:t>
      </w:r>
      <w:r>
        <w:rPr>
          <w:rFonts w:ascii="Symbol" w:hAnsi="Symbol"/>
        </w:rPr>
        <w:t></w:t>
      </w:r>
      <w:r>
        <w:rPr>
          <w:rFonts w:ascii="Times New Roman" w:hAnsi="Times New Roman"/>
          <w:spacing w:val="-6"/>
        </w:rPr>
        <w:t> </w:t>
      </w:r>
      <w:r>
        <w:rPr/>
        <w:t>RMAs consist of the body of water and the area to the outer edges of the riparian vegetation, or to the extent of seasonally saturated soil, or to the extent</w:t>
      </w:r>
      <w:r>
        <w:rPr>
          <w:spacing w:val="-4"/>
        </w:rPr>
        <w:t> </w:t>
      </w:r>
      <w:r>
        <w:rPr/>
        <w:t>of</w:t>
      </w:r>
      <w:r>
        <w:rPr>
          <w:spacing w:val="-4"/>
        </w:rPr>
        <w:t> </w:t>
      </w:r>
      <w:r>
        <w:rPr/>
        <w:t>unstable</w:t>
      </w:r>
      <w:r>
        <w:rPr>
          <w:spacing w:val="-2"/>
        </w:rPr>
        <w:t> </w:t>
      </w:r>
      <w:r>
        <w:rPr/>
        <w:t>and</w:t>
      </w:r>
      <w:r>
        <w:rPr>
          <w:spacing w:val="-3"/>
        </w:rPr>
        <w:t> </w:t>
      </w:r>
      <w:r>
        <w:rPr/>
        <w:t>potentially</w:t>
      </w:r>
      <w:r>
        <w:rPr>
          <w:spacing w:val="-2"/>
        </w:rPr>
        <w:t> </w:t>
      </w:r>
      <w:r>
        <w:rPr/>
        <w:t>unstable</w:t>
      </w:r>
      <w:r>
        <w:rPr>
          <w:spacing w:val="-2"/>
        </w:rPr>
        <w:t> </w:t>
      </w:r>
      <w:r>
        <w:rPr/>
        <w:t>areas,</w:t>
      </w:r>
      <w:r>
        <w:rPr>
          <w:spacing w:val="-4"/>
        </w:rPr>
        <w:t> </w:t>
      </w:r>
      <w:r>
        <w:rPr/>
        <w:t>or</w:t>
      </w:r>
      <w:r>
        <w:rPr>
          <w:spacing w:val="-2"/>
        </w:rPr>
        <w:t> </w:t>
      </w:r>
      <w:r>
        <w:rPr/>
        <w:t>to</w:t>
      </w:r>
      <w:r>
        <w:rPr>
          <w:spacing w:val="-2"/>
        </w:rPr>
        <w:t> </w:t>
      </w:r>
      <w:r>
        <w:rPr/>
        <w:t>a</w:t>
      </w:r>
      <w:r>
        <w:rPr>
          <w:spacing w:val="-2"/>
        </w:rPr>
        <w:t> </w:t>
      </w:r>
      <w:r>
        <w:rPr/>
        <w:t>distance</w:t>
      </w:r>
      <w:r>
        <w:rPr>
          <w:spacing w:val="-4"/>
        </w:rPr>
        <w:t> </w:t>
      </w:r>
      <w:r>
        <w:rPr/>
        <w:t>equal</w:t>
      </w:r>
      <w:r>
        <w:rPr>
          <w:spacing w:val="-2"/>
        </w:rPr>
        <w:t> </w:t>
      </w:r>
      <w:r>
        <w:rPr/>
        <w:t>to</w:t>
      </w:r>
      <w:r>
        <w:rPr>
          <w:spacing w:val="-2"/>
        </w:rPr>
        <w:t> </w:t>
      </w:r>
      <w:r>
        <w:rPr/>
        <w:t>the</w:t>
      </w:r>
      <w:r>
        <w:rPr>
          <w:spacing w:val="-4"/>
        </w:rPr>
        <w:t> </w:t>
      </w:r>
      <w:r>
        <w:rPr/>
        <w:t>height</w:t>
      </w:r>
      <w:r>
        <w:rPr>
          <w:spacing w:val="-2"/>
        </w:rPr>
        <w:t> </w:t>
      </w:r>
      <w:r>
        <w:rPr/>
        <w:t>of two site-potential trees, or 300 feet slope distance, whichever is greatest.</w:t>
      </w:r>
    </w:p>
    <w:p>
      <w:pPr>
        <w:pStyle w:val="BodyText"/>
        <w:spacing w:before="121"/>
        <w:ind w:left="1512" w:right="801"/>
      </w:pPr>
      <w:r>
        <w:rPr/>
        <w:t>Seasonally</w:t>
      </w:r>
      <w:r>
        <w:rPr>
          <w:spacing w:val="-2"/>
        </w:rPr>
        <w:t> </w:t>
      </w:r>
      <w:r>
        <w:rPr/>
        <w:t>flowing</w:t>
      </w:r>
      <w:r>
        <w:rPr>
          <w:spacing w:val="-4"/>
        </w:rPr>
        <w:t> </w:t>
      </w:r>
      <w:r>
        <w:rPr/>
        <w:t>or</w:t>
      </w:r>
      <w:r>
        <w:rPr>
          <w:spacing w:val="-3"/>
        </w:rPr>
        <w:t> </w:t>
      </w:r>
      <w:r>
        <w:rPr/>
        <w:t>intermittent</w:t>
      </w:r>
      <w:r>
        <w:rPr>
          <w:spacing w:val="-2"/>
        </w:rPr>
        <w:t> </w:t>
      </w:r>
      <w:r>
        <w:rPr/>
        <w:t>streams,</w:t>
      </w:r>
      <w:r>
        <w:rPr>
          <w:spacing w:val="-5"/>
        </w:rPr>
        <w:t> </w:t>
      </w:r>
      <w:r>
        <w:rPr/>
        <w:t>wetlands,</w:t>
      </w:r>
      <w:r>
        <w:rPr>
          <w:spacing w:val="-5"/>
        </w:rPr>
        <w:t> </w:t>
      </w:r>
      <w:r>
        <w:rPr/>
        <w:t>seeps</w:t>
      </w:r>
      <w:r>
        <w:rPr>
          <w:spacing w:val="-5"/>
        </w:rPr>
        <w:t> </w:t>
      </w:r>
      <w:r>
        <w:rPr/>
        <w:t>and</w:t>
      </w:r>
      <w:r>
        <w:rPr>
          <w:spacing w:val="-4"/>
        </w:rPr>
        <w:t> </w:t>
      </w:r>
      <w:r>
        <w:rPr/>
        <w:t>springs</w:t>
      </w:r>
      <w:r>
        <w:rPr>
          <w:spacing w:val="-3"/>
        </w:rPr>
        <w:t> </w:t>
      </w:r>
      <w:r>
        <w:rPr/>
        <w:t>less</w:t>
      </w:r>
      <w:r>
        <w:rPr>
          <w:spacing w:val="-5"/>
        </w:rPr>
        <w:t> </w:t>
      </w:r>
      <w:r>
        <w:rPr/>
        <w:t>than</w:t>
      </w:r>
      <w:r>
        <w:rPr>
          <w:spacing w:val="-4"/>
        </w:rPr>
        <w:t> </w:t>
      </w:r>
      <w:r>
        <w:rPr/>
        <w:t>one</w:t>
      </w:r>
      <w:r>
        <w:rPr>
          <w:spacing w:val="-2"/>
        </w:rPr>
        <w:t> </w:t>
      </w:r>
      <w:r>
        <w:rPr/>
        <w:t>acre, and unstable and potentially unstable areas </w:t>
      </w:r>
      <w:r>
        <w:rPr>
          <w:rFonts w:ascii="Symbol" w:hAnsi="Symbol"/>
        </w:rPr>
        <w:t></w:t>
      </w:r>
      <w:r>
        <w:rPr>
          <w:rFonts w:ascii="Times New Roman" w:hAnsi="Times New Roman"/>
        </w:rPr>
        <w:t> </w:t>
      </w:r>
      <w:r>
        <w:rPr/>
        <w:t>this category applies to features with high variability in size and site-specific characteristics. At a minimum, these RMAs should </w:t>
      </w:r>
      <w:r>
        <w:rPr>
          <w:spacing w:val="-2"/>
        </w:rPr>
        <w:t>include:</w:t>
      </w:r>
    </w:p>
    <w:p>
      <w:pPr>
        <w:pStyle w:val="ListParagraph"/>
        <w:numPr>
          <w:ilvl w:val="0"/>
          <w:numId w:val="18"/>
        </w:numPr>
        <w:tabs>
          <w:tab w:pos="1871" w:val="left" w:leader="none"/>
        </w:tabs>
        <w:spacing w:line="240" w:lineRule="auto" w:before="119" w:after="0"/>
        <w:ind w:left="1871" w:right="0" w:hanging="359"/>
        <w:jc w:val="left"/>
        <w:rPr>
          <w:sz w:val="22"/>
        </w:rPr>
      </w:pPr>
      <w:r>
        <w:rPr>
          <w:sz w:val="22"/>
        </w:rPr>
        <w:t>The</w:t>
      </w:r>
      <w:r>
        <w:rPr>
          <w:spacing w:val="-6"/>
          <w:sz w:val="22"/>
        </w:rPr>
        <w:t> </w:t>
      </w:r>
      <w:r>
        <w:rPr>
          <w:sz w:val="22"/>
        </w:rPr>
        <w:t>extent</w:t>
      </w:r>
      <w:r>
        <w:rPr>
          <w:spacing w:val="-5"/>
          <w:sz w:val="22"/>
        </w:rPr>
        <w:t> </w:t>
      </w:r>
      <w:r>
        <w:rPr>
          <w:sz w:val="22"/>
        </w:rPr>
        <w:t>of</w:t>
      </w:r>
      <w:r>
        <w:rPr>
          <w:spacing w:val="-6"/>
          <w:sz w:val="22"/>
        </w:rPr>
        <w:t> </w:t>
      </w:r>
      <w:r>
        <w:rPr>
          <w:sz w:val="22"/>
        </w:rPr>
        <w:t>unstable</w:t>
      </w:r>
      <w:r>
        <w:rPr>
          <w:spacing w:val="-3"/>
          <w:sz w:val="22"/>
        </w:rPr>
        <w:t> </w:t>
      </w:r>
      <w:r>
        <w:rPr>
          <w:sz w:val="22"/>
        </w:rPr>
        <w:t>and</w:t>
      </w:r>
      <w:r>
        <w:rPr>
          <w:spacing w:val="-7"/>
          <w:sz w:val="22"/>
        </w:rPr>
        <w:t> </w:t>
      </w:r>
      <w:r>
        <w:rPr>
          <w:sz w:val="22"/>
        </w:rPr>
        <w:t>potentially</w:t>
      </w:r>
      <w:r>
        <w:rPr>
          <w:spacing w:val="-3"/>
          <w:sz w:val="22"/>
        </w:rPr>
        <w:t> </w:t>
      </w:r>
      <w:r>
        <w:rPr>
          <w:sz w:val="22"/>
        </w:rPr>
        <w:t>unstable</w:t>
      </w:r>
      <w:r>
        <w:rPr>
          <w:spacing w:val="-6"/>
          <w:sz w:val="22"/>
        </w:rPr>
        <w:t> </w:t>
      </w:r>
      <w:r>
        <w:rPr>
          <w:sz w:val="22"/>
        </w:rPr>
        <w:t>areas</w:t>
      </w:r>
      <w:r>
        <w:rPr>
          <w:spacing w:val="-6"/>
          <w:sz w:val="22"/>
        </w:rPr>
        <w:t> </w:t>
      </w:r>
      <w:r>
        <w:rPr>
          <w:sz w:val="22"/>
        </w:rPr>
        <w:t>(including</w:t>
      </w:r>
      <w:r>
        <w:rPr>
          <w:spacing w:val="-4"/>
          <w:sz w:val="22"/>
        </w:rPr>
        <w:t> </w:t>
      </w:r>
      <w:r>
        <w:rPr>
          <w:spacing w:val="-2"/>
          <w:sz w:val="22"/>
        </w:rPr>
        <w:t>earthflows).</w:t>
      </w:r>
    </w:p>
    <w:p>
      <w:pPr>
        <w:pStyle w:val="ListParagraph"/>
        <w:numPr>
          <w:ilvl w:val="0"/>
          <w:numId w:val="18"/>
        </w:numPr>
        <w:tabs>
          <w:tab w:pos="1871" w:val="left" w:leader="none"/>
        </w:tabs>
        <w:spacing w:line="240" w:lineRule="auto" w:before="120" w:after="0"/>
        <w:ind w:left="1871" w:right="0" w:hanging="359"/>
        <w:jc w:val="left"/>
        <w:rPr>
          <w:sz w:val="22"/>
        </w:rPr>
      </w:pPr>
      <w:r>
        <w:rPr>
          <w:sz w:val="22"/>
        </w:rPr>
        <w:t>The</w:t>
      </w:r>
      <w:r>
        <w:rPr>
          <w:spacing w:val="-2"/>
          <w:sz w:val="22"/>
        </w:rPr>
        <w:t> </w:t>
      </w:r>
      <w:r>
        <w:rPr>
          <w:sz w:val="22"/>
        </w:rPr>
        <w:t>stream</w:t>
      </w:r>
      <w:r>
        <w:rPr>
          <w:spacing w:val="-1"/>
          <w:sz w:val="22"/>
        </w:rPr>
        <w:t> </w:t>
      </w:r>
      <w:r>
        <w:rPr>
          <w:sz w:val="22"/>
        </w:rPr>
        <w:t>channel</w:t>
      </w:r>
      <w:r>
        <w:rPr>
          <w:spacing w:val="-3"/>
          <w:sz w:val="22"/>
        </w:rPr>
        <w:t> </w:t>
      </w:r>
      <w:r>
        <w:rPr>
          <w:sz w:val="22"/>
        </w:rPr>
        <w:t>and</w:t>
      </w:r>
      <w:r>
        <w:rPr>
          <w:spacing w:val="-5"/>
          <w:sz w:val="22"/>
        </w:rPr>
        <w:t> </w:t>
      </w:r>
      <w:r>
        <w:rPr>
          <w:sz w:val="22"/>
        </w:rPr>
        <w:t>extend</w:t>
      </w:r>
      <w:r>
        <w:rPr>
          <w:spacing w:val="-3"/>
          <w:sz w:val="22"/>
        </w:rPr>
        <w:t> </w:t>
      </w:r>
      <w:r>
        <w:rPr>
          <w:sz w:val="22"/>
        </w:rPr>
        <w:t>to</w:t>
      </w:r>
      <w:r>
        <w:rPr>
          <w:spacing w:val="-2"/>
          <w:sz w:val="22"/>
        </w:rPr>
        <w:t> </w:t>
      </w:r>
      <w:r>
        <w:rPr>
          <w:sz w:val="22"/>
        </w:rPr>
        <w:t>the</w:t>
      </w:r>
      <w:r>
        <w:rPr>
          <w:spacing w:val="-4"/>
          <w:sz w:val="22"/>
        </w:rPr>
        <w:t> </w:t>
      </w:r>
      <w:r>
        <w:rPr>
          <w:sz w:val="22"/>
        </w:rPr>
        <w:t>top</w:t>
      </w:r>
      <w:r>
        <w:rPr>
          <w:spacing w:val="-3"/>
          <w:sz w:val="22"/>
        </w:rPr>
        <w:t> </w:t>
      </w:r>
      <w:r>
        <w:rPr>
          <w:sz w:val="22"/>
        </w:rPr>
        <w:t>of</w:t>
      </w:r>
      <w:r>
        <w:rPr>
          <w:spacing w:val="-5"/>
          <w:sz w:val="22"/>
        </w:rPr>
        <w:t> </w:t>
      </w:r>
      <w:r>
        <w:rPr>
          <w:sz w:val="22"/>
        </w:rPr>
        <w:t>the</w:t>
      </w:r>
      <w:r>
        <w:rPr>
          <w:spacing w:val="-1"/>
          <w:sz w:val="22"/>
        </w:rPr>
        <w:t> </w:t>
      </w:r>
      <w:r>
        <w:rPr>
          <w:sz w:val="22"/>
        </w:rPr>
        <w:t>inner</w:t>
      </w:r>
      <w:r>
        <w:rPr>
          <w:spacing w:val="-4"/>
          <w:sz w:val="22"/>
        </w:rPr>
        <w:t> </w:t>
      </w:r>
      <w:r>
        <w:rPr>
          <w:spacing w:val="-2"/>
          <w:sz w:val="22"/>
        </w:rPr>
        <w:t>gorge.</w:t>
      </w:r>
    </w:p>
    <w:p>
      <w:pPr>
        <w:pStyle w:val="ListParagraph"/>
        <w:numPr>
          <w:ilvl w:val="0"/>
          <w:numId w:val="18"/>
        </w:numPr>
        <w:tabs>
          <w:tab w:pos="1872" w:val="left" w:leader="none"/>
        </w:tabs>
        <w:spacing w:line="240" w:lineRule="auto" w:before="120" w:after="0"/>
        <w:ind w:left="1872" w:right="735" w:hanging="360"/>
        <w:jc w:val="left"/>
        <w:rPr>
          <w:sz w:val="22"/>
        </w:rPr>
      </w:pPr>
      <w:r>
        <w:rPr>
          <w:sz w:val="22"/>
        </w:rPr>
        <w:t>The stream channel or wetland and the area from the edges of the stream channel or wetland to the outer edges of the riparian vegetation or wetland, extending from the edges</w:t>
      </w:r>
      <w:r>
        <w:rPr>
          <w:spacing w:val="-4"/>
          <w:sz w:val="22"/>
        </w:rPr>
        <w:t> </w:t>
      </w:r>
      <w:r>
        <w:rPr>
          <w:sz w:val="22"/>
        </w:rPr>
        <w:t>of</w:t>
      </w:r>
      <w:r>
        <w:rPr>
          <w:spacing w:val="-2"/>
          <w:sz w:val="22"/>
        </w:rPr>
        <w:t> </w:t>
      </w:r>
      <w:r>
        <w:rPr>
          <w:sz w:val="22"/>
        </w:rPr>
        <w:t>the</w:t>
      </w:r>
      <w:r>
        <w:rPr>
          <w:spacing w:val="-4"/>
          <w:sz w:val="22"/>
        </w:rPr>
        <w:t> </w:t>
      </w:r>
      <w:r>
        <w:rPr>
          <w:sz w:val="22"/>
        </w:rPr>
        <w:t>stream</w:t>
      </w:r>
      <w:r>
        <w:rPr>
          <w:spacing w:val="-3"/>
          <w:sz w:val="22"/>
        </w:rPr>
        <w:t> </w:t>
      </w:r>
      <w:r>
        <w:rPr>
          <w:sz w:val="22"/>
        </w:rPr>
        <w:t>channel</w:t>
      </w:r>
      <w:r>
        <w:rPr>
          <w:spacing w:val="-2"/>
          <w:sz w:val="22"/>
        </w:rPr>
        <w:t> </w:t>
      </w:r>
      <w:r>
        <w:rPr>
          <w:sz w:val="22"/>
        </w:rPr>
        <w:t>to</w:t>
      </w:r>
      <w:r>
        <w:rPr>
          <w:spacing w:val="-1"/>
          <w:sz w:val="22"/>
        </w:rPr>
        <w:t> </w:t>
      </w:r>
      <w:r>
        <w:rPr>
          <w:sz w:val="22"/>
        </w:rPr>
        <w:t>a</w:t>
      </w:r>
      <w:r>
        <w:rPr>
          <w:spacing w:val="-2"/>
          <w:sz w:val="22"/>
        </w:rPr>
        <w:t> </w:t>
      </w:r>
      <w:r>
        <w:rPr>
          <w:sz w:val="22"/>
        </w:rPr>
        <w:t>distance</w:t>
      </w:r>
      <w:r>
        <w:rPr>
          <w:spacing w:val="-4"/>
          <w:sz w:val="22"/>
        </w:rPr>
        <w:t> </w:t>
      </w:r>
      <w:r>
        <w:rPr>
          <w:sz w:val="22"/>
        </w:rPr>
        <w:t>equal</w:t>
      </w:r>
      <w:r>
        <w:rPr>
          <w:spacing w:val="-2"/>
          <w:sz w:val="22"/>
        </w:rPr>
        <w:t> </w:t>
      </w:r>
      <w:r>
        <w:rPr>
          <w:sz w:val="22"/>
        </w:rPr>
        <w:t>to</w:t>
      </w:r>
      <w:r>
        <w:rPr>
          <w:spacing w:val="-1"/>
          <w:sz w:val="22"/>
        </w:rPr>
        <w:t> </w:t>
      </w:r>
      <w:r>
        <w:rPr>
          <w:sz w:val="22"/>
        </w:rPr>
        <w:t>the</w:t>
      </w:r>
      <w:r>
        <w:rPr>
          <w:spacing w:val="-1"/>
          <w:sz w:val="22"/>
        </w:rPr>
        <w:t> </w:t>
      </w:r>
      <w:r>
        <w:rPr>
          <w:sz w:val="22"/>
        </w:rPr>
        <w:t>height</w:t>
      </w:r>
      <w:r>
        <w:rPr>
          <w:spacing w:val="-4"/>
          <w:sz w:val="22"/>
        </w:rPr>
        <w:t> </w:t>
      </w:r>
      <w:r>
        <w:rPr>
          <w:sz w:val="22"/>
        </w:rPr>
        <w:t>of</w:t>
      </w:r>
      <w:r>
        <w:rPr>
          <w:spacing w:val="-3"/>
          <w:sz w:val="22"/>
        </w:rPr>
        <w:t> </w:t>
      </w:r>
      <w:r>
        <w:rPr>
          <w:sz w:val="22"/>
        </w:rPr>
        <w:t>one</w:t>
      </w:r>
      <w:r>
        <w:rPr>
          <w:spacing w:val="-1"/>
          <w:sz w:val="22"/>
        </w:rPr>
        <w:t> </w:t>
      </w:r>
      <w:r>
        <w:rPr>
          <w:sz w:val="22"/>
        </w:rPr>
        <w:t>site-potential</w:t>
      </w:r>
      <w:r>
        <w:rPr>
          <w:spacing w:val="-2"/>
          <w:sz w:val="22"/>
        </w:rPr>
        <w:t> </w:t>
      </w:r>
      <w:r>
        <w:rPr>
          <w:sz w:val="22"/>
        </w:rPr>
        <w:t>tree,</w:t>
      </w:r>
    </w:p>
    <w:p>
      <w:pPr>
        <w:pStyle w:val="BodyText"/>
        <w:spacing w:before="187"/>
        <w:rPr>
          <w:sz w:val="20"/>
        </w:rPr>
      </w:pPr>
      <w:r>
        <w:rPr>
          <w:sz w:val="20"/>
        </w:rPr>
        <mc:AlternateContent>
          <mc:Choice Requires="wps">
            <w:drawing>
              <wp:anchor distT="0" distB="0" distL="0" distR="0" allowOverlap="1" layoutInCell="1" locked="0" behindDoc="1" simplePos="0" relativeHeight="487625728">
                <wp:simplePos x="0" y="0"/>
                <wp:positionH relativeFrom="page">
                  <wp:posOffset>1417319</wp:posOffset>
                </wp:positionH>
                <wp:positionV relativeFrom="paragraph">
                  <wp:posOffset>289143</wp:posOffset>
                </wp:positionV>
                <wp:extent cx="1828800" cy="7620"/>
                <wp:effectExtent l="0" t="0" r="0" b="0"/>
                <wp:wrapTopAndBottom/>
                <wp:docPr id="211" name="Graphic 211"/>
                <wp:cNvGraphicFramePr>
                  <a:graphicFrameLocks/>
                </wp:cNvGraphicFramePr>
                <a:graphic>
                  <a:graphicData uri="http://schemas.microsoft.com/office/word/2010/wordprocessingShape">
                    <wps:wsp>
                      <wps:cNvPr id="211" name="Graphic 211"/>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22.767221pt;width:144pt;height:.599pt;mso-position-horizontal-relative:page;mso-position-vertical-relative:paragraph;z-index:-15690752;mso-wrap-distance-left:0;mso-wrap-distance-right:0" id="docshape199" filled="true" fillcolor="#000000" stroked="false">
                <v:fill type="solid"/>
                <w10:wrap type="topAndBottom"/>
              </v:rect>
            </w:pict>
          </mc:Fallback>
        </mc:AlternateContent>
      </w:r>
    </w:p>
    <w:p>
      <w:pPr>
        <w:spacing w:before="95"/>
        <w:ind w:left="1151" w:right="0" w:firstLine="0"/>
        <w:jc w:val="left"/>
        <w:rPr>
          <w:sz w:val="18"/>
        </w:rPr>
      </w:pPr>
      <w:bookmarkStart w:name="_bookmark217" w:id="696"/>
      <w:bookmarkEnd w:id="696"/>
      <w:r>
        <w:rPr/>
      </w:r>
      <w:r>
        <w:rPr>
          <w:position w:val="5"/>
          <w:sz w:val="12"/>
        </w:rPr>
        <w:t>21</w:t>
      </w:r>
      <w:r>
        <w:rPr>
          <w:spacing w:val="8"/>
          <w:position w:val="5"/>
          <w:sz w:val="12"/>
        </w:rPr>
        <w:t> </w:t>
      </w:r>
      <w:r>
        <w:rPr>
          <w:sz w:val="18"/>
        </w:rPr>
        <w:t>A</w:t>
      </w:r>
      <w:r>
        <w:rPr>
          <w:spacing w:val="-3"/>
          <w:sz w:val="18"/>
        </w:rPr>
        <w:t> </w:t>
      </w:r>
      <w:r>
        <w:rPr>
          <w:sz w:val="18"/>
        </w:rPr>
        <w:t>site-potential</w:t>
      </w:r>
      <w:r>
        <w:rPr>
          <w:spacing w:val="-3"/>
          <w:sz w:val="18"/>
        </w:rPr>
        <w:t> </w:t>
      </w:r>
      <w:r>
        <w:rPr>
          <w:sz w:val="18"/>
        </w:rPr>
        <w:t>tree</w:t>
      </w:r>
      <w:r>
        <w:rPr>
          <w:spacing w:val="-1"/>
          <w:sz w:val="18"/>
        </w:rPr>
        <w:t> </w:t>
      </w:r>
      <w:r>
        <w:rPr>
          <w:sz w:val="18"/>
        </w:rPr>
        <w:t>height</w:t>
      </w:r>
      <w:r>
        <w:rPr>
          <w:spacing w:val="-2"/>
          <w:sz w:val="18"/>
        </w:rPr>
        <w:t> </w:t>
      </w:r>
      <w:r>
        <w:rPr>
          <w:sz w:val="18"/>
        </w:rPr>
        <w:t>is</w:t>
      </w:r>
      <w:r>
        <w:rPr>
          <w:spacing w:val="-3"/>
          <w:sz w:val="18"/>
        </w:rPr>
        <w:t> </w:t>
      </w:r>
      <w:r>
        <w:rPr>
          <w:sz w:val="18"/>
        </w:rPr>
        <w:t>the</w:t>
      </w:r>
      <w:r>
        <w:rPr>
          <w:spacing w:val="-1"/>
          <w:sz w:val="18"/>
        </w:rPr>
        <w:t> </w:t>
      </w:r>
      <w:r>
        <w:rPr>
          <w:sz w:val="18"/>
        </w:rPr>
        <w:t>average</w:t>
      </w:r>
      <w:r>
        <w:rPr>
          <w:spacing w:val="-3"/>
          <w:sz w:val="18"/>
        </w:rPr>
        <w:t> </w:t>
      </w:r>
      <w:r>
        <w:rPr>
          <w:sz w:val="18"/>
        </w:rPr>
        <w:t>maximum</w:t>
      </w:r>
      <w:r>
        <w:rPr>
          <w:spacing w:val="-2"/>
          <w:sz w:val="18"/>
        </w:rPr>
        <w:t> </w:t>
      </w:r>
      <w:r>
        <w:rPr>
          <w:sz w:val="18"/>
        </w:rPr>
        <w:t>height</w:t>
      </w:r>
      <w:r>
        <w:rPr>
          <w:spacing w:val="-2"/>
          <w:sz w:val="18"/>
        </w:rPr>
        <w:t> </w:t>
      </w:r>
      <w:r>
        <w:rPr>
          <w:sz w:val="18"/>
        </w:rPr>
        <w:t>of</w:t>
      </w:r>
      <w:r>
        <w:rPr>
          <w:spacing w:val="-2"/>
          <w:sz w:val="18"/>
        </w:rPr>
        <w:t> </w:t>
      </w:r>
      <w:r>
        <w:rPr>
          <w:sz w:val="18"/>
        </w:rPr>
        <w:t>the</w:t>
      </w:r>
      <w:r>
        <w:rPr>
          <w:spacing w:val="-1"/>
          <w:sz w:val="18"/>
        </w:rPr>
        <w:t> </w:t>
      </w:r>
      <w:r>
        <w:rPr>
          <w:sz w:val="18"/>
        </w:rPr>
        <w:t>tallest dominant</w:t>
      </w:r>
      <w:r>
        <w:rPr>
          <w:spacing w:val="-3"/>
          <w:sz w:val="18"/>
        </w:rPr>
        <w:t> </w:t>
      </w:r>
      <w:r>
        <w:rPr>
          <w:sz w:val="18"/>
        </w:rPr>
        <w:t>trees</w:t>
      </w:r>
      <w:r>
        <w:rPr>
          <w:spacing w:val="-2"/>
          <w:sz w:val="18"/>
        </w:rPr>
        <w:t> </w:t>
      </w:r>
      <w:r>
        <w:rPr>
          <w:sz w:val="18"/>
        </w:rPr>
        <w:t>for</w:t>
      </w:r>
      <w:r>
        <w:rPr>
          <w:spacing w:val="-3"/>
          <w:sz w:val="18"/>
        </w:rPr>
        <w:t> </w:t>
      </w:r>
      <w:r>
        <w:rPr>
          <w:sz w:val="18"/>
        </w:rPr>
        <w:t>a</w:t>
      </w:r>
      <w:r>
        <w:rPr>
          <w:spacing w:val="-2"/>
          <w:sz w:val="18"/>
        </w:rPr>
        <w:t> </w:t>
      </w:r>
      <w:r>
        <w:rPr>
          <w:sz w:val="18"/>
        </w:rPr>
        <w:t>given</w:t>
      </w:r>
      <w:r>
        <w:rPr>
          <w:spacing w:val="-1"/>
          <w:sz w:val="18"/>
        </w:rPr>
        <w:t> </w:t>
      </w:r>
      <w:r>
        <w:rPr>
          <w:sz w:val="18"/>
        </w:rPr>
        <w:t>site</w:t>
      </w:r>
      <w:r>
        <w:rPr>
          <w:spacing w:val="-2"/>
          <w:sz w:val="18"/>
        </w:rPr>
        <w:t> class.</w:t>
      </w:r>
    </w:p>
    <w:p>
      <w:pPr>
        <w:spacing w:after="0"/>
        <w:jc w:val="left"/>
        <w:rPr>
          <w:sz w:val="18"/>
        </w:rPr>
        <w:sectPr>
          <w:pgSz w:w="12240" w:h="15840"/>
          <w:pgMar w:header="725" w:footer="891" w:top="960" w:bottom="1080" w:left="1080" w:right="720"/>
        </w:sectPr>
      </w:pPr>
    </w:p>
    <w:p>
      <w:pPr>
        <w:pStyle w:val="BodyText"/>
        <w:spacing w:before="205"/>
      </w:pPr>
    </w:p>
    <w:p>
      <w:pPr>
        <w:pStyle w:val="BodyText"/>
        <w:spacing w:before="1"/>
        <w:ind w:left="1080" w:right="1445"/>
      </w:pPr>
      <w:r>
        <w:rPr/>
        <mc:AlternateContent>
          <mc:Choice Requires="wps">
            <w:drawing>
              <wp:anchor distT="0" distB="0" distL="0" distR="0" allowOverlap="1" layoutInCell="1" locked="0" behindDoc="1" simplePos="0" relativeHeight="474283520">
                <wp:simplePos x="0" y="0"/>
                <wp:positionH relativeFrom="page">
                  <wp:posOffset>1124712</wp:posOffset>
                </wp:positionH>
                <wp:positionV relativeFrom="paragraph">
                  <wp:posOffset>1044</wp:posOffset>
                </wp:positionV>
                <wp:extent cx="5248910" cy="5344795"/>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5248910" cy="5344795"/>
                        </a:xfrm>
                        <a:custGeom>
                          <a:avLst/>
                          <a:gdLst/>
                          <a:ahLst/>
                          <a:cxnLst/>
                          <a:rect l="l" t="t" r="r" b="b"/>
                          <a:pathLst>
                            <a:path w="5248910" h="5344795">
                              <a:moveTo>
                                <a:pt x="5248656" y="0"/>
                              </a:moveTo>
                              <a:lnTo>
                                <a:pt x="0" y="0"/>
                              </a:lnTo>
                              <a:lnTo>
                                <a:pt x="0" y="170688"/>
                              </a:lnTo>
                              <a:lnTo>
                                <a:pt x="0" y="417576"/>
                              </a:lnTo>
                              <a:lnTo>
                                <a:pt x="0" y="5344668"/>
                              </a:lnTo>
                              <a:lnTo>
                                <a:pt x="5248656" y="5344668"/>
                              </a:lnTo>
                              <a:lnTo>
                                <a:pt x="5248656" y="170688"/>
                              </a:lnTo>
                              <a:lnTo>
                                <a:pt x="5248656"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88.560005pt;margin-top:.082231pt;width:413.3pt;height:420.85pt;mso-position-horizontal-relative:page;mso-position-vertical-relative:paragraph;z-index:-29032960" id="docshape200" coordorigin="1771,2" coordsize="8266,8417" path="m10037,2l1771,2,1771,270,1771,659,1771,8418,10037,8418,10037,270,10037,2xe" filled="true" fillcolor="#dfdfdf" stroked="false">
                <v:path arrowok="t"/>
                <v:fill type="solid"/>
                <w10:wrap type="none"/>
              </v:shape>
            </w:pict>
          </mc:Fallback>
        </mc:AlternateContent>
      </w:r>
      <w:r>
        <w:rPr/>
        <w:t>or</w:t>
      </w:r>
      <w:r>
        <w:rPr>
          <w:spacing w:val="-5"/>
        </w:rPr>
        <w:t> </w:t>
      </w:r>
      <w:r>
        <w:rPr/>
        <w:t>100</w:t>
      </w:r>
      <w:r>
        <w:rPr>
          <w:spacing w:val="-2"/>
        </w:rPr>
        <w:t> </w:t>
      </w:r>
      <w:r>
        <w:rPr/>
        <w:t>feet</w:t>
      </w:r>
      <w:r>
        <w:rPr>
          <w:spacing w:val="-2"/>
        </w:rPr>
        <w:t> </w:t>
      </w:r>
      <w:r>
        <w:rPr/>
        <w:t>slope</w:t>
      </w:r>
      <w:r>
        <w:rPr>
          <w:spacing w:val="-2"/>
        </w:rPr>
        <w:t> </w:t>
      </w:r>
      <w:r>
        <w:rPr/>
        <w:t>distance,</w:t>
      </w:r>
      <w:r>
        <w:rPr>
          <w:spacing w:val="-8"/>
        </w:rPr>
        <w:t> </w:t>
      </w:r>
      <w:r>
        <w:rPr/>
        <w:t>whichever</w:t>
      </w:r>
      <w:r>
        <w:rPr>
          <w:spacing w:val="-3"/>
        </w:rPr>
        <w:t> </w:t>
      </w:r>
      <w:r>
        <w:rPr/>
        <w:t>is</w:t>
      </w:r>
      <w:r>
        <w:rPr>
          <w:spacing w:val="-3"/>
        </w:rPr>
        <w:t> </w:t>
      </w:r>
      <w:r>
        <w:rPr/>
        <w:t>greatest.</w:t>
      </w:r>
      <w:r>
        <w:rPr>
          <w:spacing w:val="-3"/>
        </w:rPr>
        <w:t> </w:t>
      </w:r>
      <w:r>
        <w:rPr/>
        <w:t>A</w:t>
      </w:r>
      <w:r>
        <w:rPr>
          <w:spacing w:val="-3"/>
        </w:rPr>
        <w:t> </w:t>
      </w:r>
      <w:r>
        <w:rPr/>
        <w:t>site-potential</w:t>
      </w:r>
      <w:r>
        <w:rPr>
          <w:spacing w:val="-3"/>
        </w:rPr>
        <w:t> </w:t>
      </w:r>
      <w:r>
        <w:rPr/>
        <w:t>tree</w:t>
      </w:r>
      <w:r>
        <w:rPr>
          <w:spacing w:val="-2"/>
        </w:rPr>
        <w:t> </w:t>
      </w:r>
      <w:r>
        <w:rPr/>
        <w:t>height</w:t>
      </w:r>
      <w:r>
        <w:rPr>
          <w:spacing w:val="-2"/>
        </w:rPr>
        <w:t> </w:t>
      </w:r>
      <w:r>
        <w:rPr/>
        <w:t>is</w:t>
      </w:r>
      <w:r>
        <w:rPr>
          <w:spacing w:val="-3"/>
        </w:rPr>
        <w:t> </w:t>
      </w:r>
      <w:r>
        <w:rPr/>
        <w:t>the average maximum height of the tallest dominant trees for a given site class.</w:t>
      </w:r>
    </w:p>
    <w:p>
      <w:pPr>
        <w:pStyle w:val="BodyText"/>
        <w:spacing w:before="120"/>
        <w:ind w:left="720" w:right="1445"/>
      </w:pPr>
      <w:r>
        <w:rPr/>
        <w:t>Intermittent</w:t>
      </w:r>
      <w:r>
        <w:rPr>
          <w:spacing w:val="-5"/>
        </w:rPr>
        <w:t> </w:t>
      </w:r>
      <w:r>
        <w:rPr/>
        <w:t>streams</w:t>
      </w:r>
      <w:r>
        <w:rPr>
          <w:spacing w:val="-5"/>
        </w:rPr>
        <w:t> </w:t>
      </w:r>
      <w:r>
        <w:rPr/>
        <w:t>are</w:t>
      </w:r>
      <w:r>
        <w:rPr>
          <w:spacing w:val="-2"/>
        </w:rPr>
        <w:t> </w:t>
      </w:r>
      <w:r>
        <w:rPr/>
        <w:t>defined</w:t>
      </w:r>
      <w:r>
        <w:rPr>
          <w:spacing w:val="-4"/>
        </w:rPr>
        <w:t> </w:t>
      </w:r>
      <w:r>
        <w:rPr/>
        <w:t>as</w:t>
      </w:r>
      <w:r>
        <w:rPr>
          <w:spacing w:val="-3"/>
        </w:rPr>
        <w:t> </w:t>
      </w:r>
      <w:r>
        <w:rPr/>
        <w:t>any</w:t>
      </w:r>
      <w:r>
        <w:rPr>
          <w:spacing w:val="-2"/>
        </w:rPr>
        <w:t> </w:t>
      </w:r>
      <w:r>
        <w:rPr/>
        <w:t>non-permanent</w:t>
      </w:r>
      <w:r>
        <w:rPr>
          <w:spacing w:val="-2"/>
        </w:rPr>
        <w:t> </w:t>
      </w:r>
      <w:r>
        <w:rPr/>
        <w:t>flowing</w:t>
      </w:r>
      <w:r>
        <w:rPr>
          <w:spacing w:val="-4"/>
        </w:rPr>
        <w:t> </w:t>
      </w:r>
      <w:r>
        <w:rPr/>
        <w:t>drainage</w:t>
      </w:r>
      <w:r>
        <w:rPr>
          <w:spacing w:val="-2"/>
        </w:rPr>
        <w:t> </w:t>
      </w:r>
      <w:r>
        <w:rPr/>
        <w:t>feature</w:t>
      </w:r>
      <w:r>
        <w:rPr>
          <w:spacing w:val="-5"/>
        </w:rPr>
        <w:t> </w:t>
      </w:r>
      <w:r>
        <w:rPr/>
        <w:t>having</w:t>
      </w:r>
      <w:r>
        <w:rPr>
          <w:spacing w:val="-4"/>
        </w:rPr>
        <w:t> </w:t>
      </w:r>
      <w:r>
        <w:rPr/>
        <w:t>a definable channel and evidence of annual scour or deposition. This includes what are sometimes referred to as ephemeral streams if they meet these two physical criteria.</w:t>
      </w:r>
    </w:p>
    <w:p>
      <w:pPr>
        <w:pStyle w:val="BodyText"/>
        <w:ind w:left="720" w:right="1445"/>
      </w:pPr>
      <w:r>
        <w:rPr/>
        <w:t>Including intermittent streams, springs, and wetlands within RMAs is important for full implementation of aquatic and riparian plan direction. Accurate identification of these features is critical to the correct implementation of the strategy and protection of the intermittent</w:t>
      </w:r>
      <w:r>
        <w:rPr>
          <w:spacing w:val="-5"/>
        </w:rPr>
        <w:t> </w:t>
      </w:r>
      <w:r>
        <w:rPr/>
        <w:t>stream</w:t>
      </w:r>
      <w:r>
        <w:rPr>
          <w:spacing w:val="-4"/>
        </w:rPr>
        <w:t> </w:t>
      </w:r>
      <w:r>
        <w:rPr/>
        <w:t>and</w:t>
      </w:r>
      <w:r>
        <w:rPr>
          <w:spacing w:val="-4"/>
        </w:rPr>
        <w:t> </w:t>
      </w:r>
      <w:r>
        <w:rPr/>
        <w:t>wetland</w:t>
      </w:r>
      <w:r>
        <w:rPr>
          <w:spacing w:val="-4"/>
        </w:rPr>
        <w:t> </w:t>
      </w:r>
      <w:r>
        <w:rPr/>
        <w:t>functions</w:t>
      </w:r>
      <w:r>
        <w:rPr>
          <w:spacing w:val="-3"/>
        </w:rPr>
        <w:t> </w:t>
      </w:r>
      <w:r>
        <w:rPr/>
        <w:t>and</w:t>
      </w:r>
      <w:r>
        <w:rPr>
          <w:spacing w:val="-4"/>
        </w:rPr>
        <w:t> </w:t>
      </w:r>
      <w:r>
        <w:rPr/>
        <w:t>processes.</w:t>
      </w:r>
      <w:r>
        <w:rPr>
          <w:spacing w:val="-3"/>
        </w:rPr>
        <w:t> </w:t>
      </w:r>
      <w:r>
        <w:rPr/>
        <w:t>Identification</w:t>
      </w:r>
      <w:r>
        <w:rPr>
          <w:spacing w:val="-5"/>
        </w:rPr>
        <w:t> </w:t>
      </w:r>
      <w:r>
        <w:rPr/>
        <w:t>of</w:t>
      </w:r>
      <w:r>
        <w:rPr>
          <w:spacing w:val="-5"/>
        </w:rPr>
        <w:t> </w:t>
      </w:r>
      <w:r>
        <w:rPr/>
        <w:t>these</w:t>
      </w:r>
      <w:r>
        <w:rPr>
          <w:spacing w:val="-5"/>
        </w:rPr>
        <w:t> </w:t>
      </w:r>
      <w:r>
        <w:rPr/>
        <w:t>features</w:t>
      </w:r>
      <w:r>
        <w:rPr>
          <w:spacing w:val="-5"/>
        </w:rPr>
        <w:t> </w:t>
      </w:r>
      <w:r>
        <w:rPr/>
        <w:t>is difficult at times due to the lack of surface water or wet soils during dry periods. Fish- bearing intermittent streams are distinguished from non-fish-bearing intermittent streams by the presence of any species of fish for any duration. Many intermittent streams may be used</w:t>
      </w:r>
      <w:r>
        <w:rPr>
          <w:spacing w:val="-3"/>
        </w:rPr>
        <w:t> </w:t>
      </w:r>
      <w:r>
        <w:rPr/>
        <w:t>as</w:t>
      </w:r>
      <w:r>
        <w:rPr>
          <w:spacing w:val="-2"/>
        </w:rPr>
        <w:t> </w:t>
      </w:r>
      <w:r>
        <w:rPr/>
        <w:t>spawning</w:t>
      </w:r>
      <w:r>
        <w:rPr>
          <w:spacing w:val="-3"/>
        </w:rPr>
        <w:t> </w:t>
      </w:r>
      <w:r>
        <w:rPr/>
        <w:t>and</w:t>
      </w:r>
      <w:r>
        <w:rPr>
          <w:spacing w:val="-3"/>
        </w:rPr>
        <w:t> </w:t>
      </w:r>
      <w:r>
        <w:rPr/>
        <w:t>rearing</w:t>
      </w:r>
      <w:r>
        <w:rPr>
          <w:spacing w:val="-3"/>
        </w:rPr>
        <w:t> </w:t>
      </w:r>
      <w:r>
        <w:rPr/>
        <w:t>streams,</w:t>
      </w:r>
      <w:r>
        <w:rPr>
          <w:spacing w:val="-2"/>
        </w:rPr>
        <w:t> </w:t>
      </w:r>
      <w:r>
        <w:rPr/>
        <w:t>refuge</w:t>
      </w:r>
      <w:r>
        <w:rPr>
          <w:spacing w:val="-1"/>
        </w:rPr>
        <w:t> </w:t>
      </w:r>
      <w:r>
        <w:rPr/>
        <w:t>areas</w:t>
      </w:r>
      <w:r>
        <w:rPr>
          <w:spacing w:val="-2"/>
        </w:rPr>
        <w:t> </w:t>
      </w:r>
      <w:r>
        <w:rPr/>
        <w:t>during</w:t>
      </w:r>
      <w:r>
        <w:rPr>
          <w:spacing w:val="-3"/>
        </w:rPr>
        <w:t> </w:t>
      </w:r>
      <w:r>
        <w:rPr/>
        <w:t>flood</w:t>
      </w:r>
      <w:r>
        <w:rPr>
          <w:spacing w:val="-5"/>
        </w:rPr>
        <w:t> </w:t>
      </w:r>
      <w:r>
        <w:rPr/>
        <w:t>events</w:t>
      </w:r>
      <w:r>
        <w:rPr>
          <w:spacing w:val="-2"/>
        </w:rPr>
        <w:t> </w:t>
      </w:r>
      <w:r>
        <w:rPr/>
        <w:t>in</w:t>
      </w:r>
      <w:r>
        <w:rPr>
          <w:spacing w:val="-3"/>
        </w:rPr>
        <w:t> </w:t>
      </w:r>
      <w:r>
        <w:rPr/>
        <w:t>larger</w:t>
      </w:r>
      <w:r>
        <w:rPr>
          <w:spacing w:val="-4"/>
        </w:rPr>
        <w:t> </w:t>
      </w:r>
      <w:r>
        <w:rPr/>
        <w:t>rivers,</w:t>
      </w:r>
      <w:r>
        <w:rPr>
          <w:spacing w:val="-2"/>
        </w:rPr>
        <w:t> </w:t>
      </w:r>
      <w:r>
        <w:rPr/>
        <w:t>and streams or travel routes for fish emigrating from lakes. In these instances, the plan components for fish-bearing streams would apply to those sections of the intermittent stream used by the fish.</w:t>
      </w:r>
    </w:p>
    <w:p>
      <w:pPr>
        <w:pStyle w:val="BodyText"/>
        <w:spacing w:before="119"/>
        <w:ind w:left="720" w:right="1621"/>
      </w:pPr>
      <w:r>
        <w:rPr/>
        <w:t>RMAs are not “no touch” buffers. Instead, management activities designed to benefit aquatic and riparian-dependent resources and move the landscape toward desired conditions are allowed and encouraged within them. While default RMA widths are uniform, the management of RMAs is not intended to be. Instead, a wide range of management</w:t>
      </w:r>
      <w:r>
        <w:rPr>
          <w:spacing w:val="-5"/>
        </w:rPr>
        <w:t> </w:t>
      </w:r>
      <w:r>
        <w:rPr/>
        <w:t>activities,</w:t>
      </w:r>
      <w:r>
        <w:rPr>
          <w:spacing w:val="-3"/>
        </w:rPr>
        <w:t> </w:t>
      </w:r>
      <w:r>
        <w:rPr/>
        <w:t>involving</w:t>
      </w:r>
      <w:r>
        <w:rPr>
          <w:spacing w:val="-4"/>
        </w:rPr>
        <w:t> </w:t>
      </w:r>
      <w:r>
        <w:rPr/>
        <w:t>highly</w:t>
      </w:r>
      <w:r>
        <w:rPr>
          <w:spacing w:val="-4"/>
        </w:rPr>
        <w:t> </w:t>
      </w:r>
      <w:r>
        <w:rPr/>
        <w:t>varied</w:t>
      </w:r>
      <w:r>
        <w:rPr>
          <w:spacing w:val="-6"/>
        </w:rPr>
        <w:t> </w:t>
      </w:r>
      <w:r>
        <w:rPr/>
        <w:t>prescriptions,</w:t>
      </w:r>
      <w:r>
        <w:rPr>
          <w:spacing w:val="-3"/>
        </w:rPr>
        <w:t> </w:t>
      </w:r>
      <w:r>
        <w:rPr/>
        <w:t>are</w:t>
      </w:r>
      <w:r>
        <w:rPr>
          <w:spacing w:val="-2"/>
        </w:rPr>
        <w:t> </w:t>
      </w:r>
      <w:r>
        <w:rPr/>
        <w:t>expected</w:t>
      </w:r>
      <w:r>
        <w:rPr>
          <w:spacing w:val="-4"/>
        </w:rPr>
        <w:t> </w:t>
      </w:r>
      <w:r>
        <w:rPr/>
        <w:t>to</w:t>
      </w:r>
      <w:r>
        <w:rPr>
          <w:spacing w:val="-4"/>
        </w:rPr>
        <w:t> </w:t>
      </w:r>
      <w:r>
        <w:rPr/>
        <w:t>occur</w:t>
      </w:r>
      <w:r>
        <w:rPr>
          <w:spacing w:val="-3"/>
        </w:rPr>
        <w:t> </w:t>
      </w:r>
      <w:r>
        <w:rPr/>
        <w:t>within them. These activities are to be planned and implemented based on watershed and site- scale analyses that lead to project-specific designs that prescribe the types, locations, spatial extent,</w:t>
      </w:r>
      <w:r>
        <w:rPr>
          <w:spacing w:val="-1"/>
        </w:rPr>
        <w:t> </w:t>
      </w:r>
      <w:r>
        <w:rPr/>
        <w:t>and timing of the activities. These designs must</w:t>
      </w:r>
      <w:r>
        <w:rPr>
          <w:spacing w:val="-1"/>
        </w:rPr>
        <w:t> </w:t>
      </w:r>
      <w:r>
        <w:rPr/>
        <w:t>meet</w:t>
      </w:r>
      <w:r>
        <w:rPr>
          <w:spacing w:val="-1"/>
        </w:rPr>
        <w:t> </w:t>
      </w:r>
      <w:r>
        <w:rPr/>
        <w:t>applicable standards and guidelines. This approach recognizes that effective project designs, including identification of both treated and untreated areas, depends on objectives and on local landscape context.</w:t>
      </w:r>
    </w:p>
    <w:p>
      <w:pPr>
        <w:pStyle w:val="BodyText"/>
        <w:spacing w:before="120"/>
        <w:ind w:left="720" w:right="2220"/>
      </w:pPr>
      <w:r>
        <w:rPr/>
        <w:t>RMAs</w:t>
      </w:r>
      <w:r>
        <w:rPr>
          <w:spacing w:val="-3"/>
        </w:rPr>
        <w:t> </w:t>
      </w:r>
      <w:r>
        <w:rPr/>
        <w:t>have</w:t>
      </w:r>
      <w:r>
        <w:rPr>
          <w:spacing w:val="-2"/>
        </w:rPr>
        <w:t> </w:t>
      </w:r>
      <w:r>
        <w:rPr/>
        <w:t>no</w:t>
      </w:r>
      <w:r>
        <w:rPr>
          <w:spacing w:val="-2"/>
        </w:rPr>
        <w:t> </w:t>
      </w:r>
      <w:r>
        <w:rPr/>
        <w:t>assigned</w:t>
      </w:r>
      <w:r>
        <w:rPr>
          <w:spacing w:val="-4"/>
        </w:rPr>
        <w:t> </w:t>
      </w:r>
      <w:r>
        <w:rPr/>
        <w:t>ROS.</w:t>
      </w:r>
      <w:r>
        <w:rPr>
          <w:spacing w:val="-3"/>
        </w:rPr>
        <w:t> </w:t>
      </w:r>
      <w:r>
        <w:rPr/>
        <w:t>The</w:t>
      </w:r>
      <w:r>
        <w:rPr>
          <w:spacing w:val="-2"/>
        </w:rPr>
        <w:t> </w:t>
      </w:r>
      <w:r>
        <w:rPr/>
        <w:t>underlying</w:t>
      </w:r>
      <w:r>
        <w:rPr>
          <w:spacing w:val="-6"/>
        </w:rPr>
        <w:t> </w:t>
      </w:r>
      <w:r>
        <w:rPr/>
        <w:t>management</w:t>
      </w:r>
      <w:r>
        <w:rPr>
          <w:spacing w:val="-5"/>
        </w:rPr>
        <w:t> </w:t>
      </w:r>
      <w:r>
        <w:rPr/>
        <w:t>area’s</w:t>
      </w:r>
      <w:r>
        <w:rPr>
          <w:spacing w:val="-5"/>
        </w:rPr>
        <w:t> </w:t>
      </w:r>
      <w:r>
        <w:rPr/>
        <w:t>ROS</w:t>
      </w:r>
      <w:r>
        <w:rPr>
          <w:spacing w:val="-3"/>
        </w:rPr>
        <w:t> </w:t>
      </w:r>
      <w:r>
        <w:rPr/>
        <w:t>applies</w:t>
      </w:r>
      <w:r>
        <w:rPr>
          <w:spacing w:val="-3"/>
        </w:rPr>
        <w:t> </w:t>
      </w:r>
      <w:r>
        <w:rPr/>
        <w:t>in</w:t>
      </w:r>
      <w:r>
        <w:rPr>
          <w:spacing w:val="-6"/>
        </w:rPr>
        <w:t> </w:t>
      </w:r>
      <w:r>
        <w:rPr/>
        <w:t>the Riparian Management Area. The scenic integrity objectives assume the underlying management areas and would range from low to high.</w:t>
      </w:r>
    </w:p>
    <w:p>
      <w:pPr>
        <w:pStyle w:val="Heading4"/>
        <w:spacing w:before="242"/>
      </w:pPr>
      <w:bookmarkStart w:name="Desired Conditions" w:id="697"/>
      <w:bookmarkEnd w:id="697"/>
      <w:r>
        <w:rPr/>
      </w:r>
      <w:bookmarkStart w:name="_bookmark218" w:id="698"/>
      <w:bookmarkEnd w:id="698"/>
      <w:r>
        <w:rPr/>
      </w:r>
      <w:r>
        <w:rPr/>
        <w:t>Desired</w:t>
      </w:r>
      <w:r>
        <w:rPr>
          <w:spacing w:val="-6"/>
        </w:rPr>
        <w:t> </w:t>
      </w:r>
      <w:r>
        <w:rPr>
          <w:spacing w:val="-2"/>
        </w:rPr>
        <w:t>Conditions</w:t>
      </w:r>
    </w:p>
    <w:p>
      <w:pPr>
        <w:spacing w:before="240"/>
        <w:ind w:left="360" w:right="0" w:firstLine="0"/>
        <w:jc w:val="left"/>
        <w:rPr>
          <w:rFonts w:ascii="Arial"/>
          <w:i/>
          <w:sz w:val="22"/>
        </w:rPr>
      </w:pPr>
      <w:bookmarkStart w:name="MA-DC-RMA-01. Composition" w:id="699"/>
      <w:bookmarkEnd w:id="699"/>
      <w:r>
        <w:rPr/>
      </w:r>
      <w:r>
        <w:rPr>
          <w:rFonts w:ascii="Arial"/>
          <w:i/>
          <w:sz w:val="22"/>
        </w:rPr>
        <w:t>MA-DC-RMA-01.</w:t>
      </w:r>
      <w:r>
        <w:rPr>
          <w:rFonts w:ascii="Arial"/>
          <w:i/>
          <w:spacing w:val="-11"/>
          <w:sz w:val="22"/>
        </w:rPr>
        <w:t> </w:t>
      </w:r>
      <w:r>
        <w:rPr>
          <w:rFonts w:ascii="Arial"/>
          <w:i/>
          <w:spacing w:val="-2"/>
          <w:sz w:val="22"/>
        </w:rPr>
        <w:t>Composition</w:t>
      </w:r>
    </w:p>
    <w:p>
      <w:pPr>
        <w:pStyle w:val="BodyText"/>
        <w:spacing w:line="232" w:lineRule="auto" w:before="64"/>
        <w:ind w:left="360" w:right="1073"/>
      </w:pPr>
      <w:r>
        <w:rPr/>
        <w:t>Riparian Management Areas consist of native flora and fauna in a functional system and a distribution</w:t>
      </w:r>
      <w:r>
        <w:rPr>
          <w:spacing w:val="-10"/>
        </w:rPr>
        <w:t> </w:t>
      </w:r>
      <w:r>
        <w:rPr/>
        <w:t>of</w:t>
      </w:r>
      <w:r>
        <w:rPr>
          <w:spacing w:val="-7"/>
        </w:rPr>
        <w:t> </w:t>
      </w:r>
      <w:r>
        <w:rPr/>
        <w:t>physical,</w:t>
      </w:r>
      <w:r>
        <w:rPr>
          <w:spacing w:val="-7"/>
        </w:rPr>
        <w:t> </w:t>
      </w:r>
      <w:r>
        <w:rPr/>
        <w:t>chemical,</w:t>
      </w:r>
      <w:r>
        <w:rPr>
          <w:spacing w:val="-7"/>
        </w:rPr>
        <w:t> </w:t>
      </w:r>
      <w:r>
        <w:rPr/>
        <w:t>and</w:t>
      </w:r>
      <w:r>
        <w:rPr>
          <w:spacing w:val="-8"/>
        </w:rPr>
        <w:t> </w:t>
      </w:r>
      <w:r>
        <w:rPr/>
        <w:t>biological</w:t>
      </w:r>
      <w:r>
        <w:rPr>
          <w:spacing w:val="-7"/>
        </w:rPr>
        <w:t> </w:t>
      </w:r>
      <w:r>
        <w:rPr/>
        <w:t>conditions</w:t>
      </w:r>
      <w:r>
        <w:rPr>
          <w:spacing w:val="-7"/>
        </w:rPr>
        <w:t> </w:t>
      </w:r>
      <w:r>
        <w:rPr/>
        <w:t>appropriate</w:t>
      </w:r>
      <w:r>
        <w:rPr>
          <w:spacing w:val="-9"/>
        </w:rPr>
        <w:t> </w:t>
      </w:r>
      <w:r>
        <w:rPr/>
        <w:t>to</w:t>
      </w:r>
      <w:r>
        <w:rPr>
          <w:spacing w:val="-8"/>
        </w:rPr>
        <w:t> </w:t>
      </w:r>
      <w:r>
        <w:rPr/>
        <w:t>natural</w:t>
      </w:r>
      <w:r>
        <w:rPr>
          <w:spacing w:val="-10"/>
        </w:rPr>
        <w:t> </w:t>
      </w:r>
      <w:r>
        <w:rPr/>
        <w:t>disturbance regimes affecting the area.</w:t>
      </w:r>
    </w:p>
    <w:p>
      <w:pPr>
        <w:spacing w:before="236"/>
        <w:ind w:left="360" w:right="0" w:firstLine="0"/>
        <w:jc w:val="left"/>
        <w:rPr>
          <w:rFonts w:ascii="Arial"/>
          <w:i/>
          <w:sz w:val="22"/>
        </w:rPr>
      </w:pPr>
      <w:bookmarkStart w:name="MA-DC-RMA-02. Key Riparian Processes" w:id="700"/>
      <w:bookmarkEnd w:id="700"/>
      <w:r>
        <w:rPr/>
      </w:r>
      <w:r>
        <w:rPr>
          <w:rFonts w:ascii="Arial"/>
          <w:i/>
          <w:sz w:val="22"/>
        </w:rPr>
        <w:t>MA-DC-RMA-02.</w:t>
      </w:r>
      <w:r>
        <w:rPr>
          <w:rFonts w:ascii="Arial"/>
          <w:i/>
          <w:spacing w:val="-7"/>
          <w:sz w:val="22"/>
        </w:rPr>
        <w:t> </w:t>
      </w:r>
      <w:r>
        <w:rPr>
          <w:rFonts w:ascii="Arial"/>
          <w:i/>
          <w:sz w:val="22"/>
        </w:rPr>
        <w:t>Key</w:t>
      </w:r>
      <w:r>
        <w:rPr>
          <w:rFonts w:ascii="Arial"/>
          <w:i/>
          <w:spacing w:val="-8"/>
          <w:sz w:val="22"/>
        </w:rPr>
        <w:t> </w:t>
      </w:r>
      <w:r>
        <w:rPr>
          <w:rFonts w:ascii="Arial"/>
          <w:i/>
          <w:sz w:val="22"/>
        </w:rPr>
        <w:t>Riparian</w:t>
      </w:r>
      <w:r>
        <w:rPr>
          <w:rFonts w:ascii="Arial"/>
          <w:i/>
          <w:spacing w:val="-8"/>
          <w:sz w:val="22"/>
        </w:rPr>
        <w:t> </w:t>
      </w:r>
      <w:r>
        <w:rPr>
          <w:rFonts w:ascii="Arial"/>
          <w:i/>
          <w:spacing w:val="-2"/>
          <w:sz w:val="22"/>
        </w:rPr>
        <w:t>Processes</w:t>
      </w:r>
    </w:p>
    <w:p>
      <w:pPr>
        <w:pStyle w:val="BodyText"/>
        <w:spacing w:line="232" w:lineRule="auto" w:before="64"/>
        <w:ind w:left="360" w:right="1445"/>
      </w:pPr>
      <w:r>
        <w:rPr/>
        <w:t>Key riparian processes and conditions (including slope stability and associated vegetative root strength,</w:t>
      </w:r>
      <w:r>
        <w:rPr>
          <w:spacing w:val="-6"/>
        </w:rPr>
        <w:t> </w:t>
      </w:r>
      <w:r>
        <w:rPr/>
        <w:t>capture</w:t>
      </w:r>
      <w:r>
        <w:rPr>
          <w:spacing w:val="-4"/>
        </w:rPr>
        <w:t> </w:t>
      </w:r>
      <w:r>
        <w:rPr/>
        <w:t>and</w:t>
      </w:r>
      <w:r>
        <w:rPr>
          <w:spacing w:val="-6"/>
        </w:rPr>
        <w:t> </w:t>
      </w:r>
      <w:r>
        <w:rPr/>
        <w:t>partitioning</w:t>
      </w:r>
      <w:r>
        <w:rPr>
          <w:spacing w:val="-6"/>
        </w:rPr>
        <w:t> </w:t>
      </w:r>
      <w:r>
        <w:rPr/>
        <w:t>of</w:t>
      </w:r>
      <w:r>
        <w:rPr>
          <w:spacing w:val="-6"/>
        </w:rPr>
        <w:t> </w:t>
      </w:r>
      <w:r>
        <w:rPr/>
        <w:t>water</w:t>
      </w:r>
      <w:r>
        <w:rPr>
          <w:spacing w:val="-6"/>
        </w:rPr>
        <w:t> </w:t>
      </w:r>
      <w:r>
        <w:rPr/>
        <w:t>within</w:t>
      </w:r>
      <w:r>
        <w:rPr>
          <w:spacing w:val="-6"/>
        </w:rPr>
        <w:t> </w:t>
      </w:r>
      <w:r>
        <w:rPr/>
        <w:t>the</w:t>
      </w:r>
      <w:r>
        <w:rPr>
          <w:spacing w:val="-6"/>
        </w:rPr>
        <w:t> </w:t>
      </w:r>
      <w:r>
        <w:rPr/>
        <w:t>soil</w:t>
      </w:r>
      <w:r>
        <w:rPr>
          <w:spacing w:val="-5"/>
        </w:rPr>
        <w:t> </w:t>
      </w:r>
      <w:r>
        <w:rPr/>
        <w:t>profile,</w:t>
      </w:r>
      <w:r>
        <w:rPr>
          <w:spacing w:val="-6"/>
        </w:rPr>
        <w:t> </w:t>
      </w:r>
      <w:r>
        <w:rPr/>
        <w:t>wood</w:t>
      </w:r>
      <w:r>
        <w:rPr>
          <w:spacing w:val="-6"/>
        </w:rPr>
        <w:t> </w:t>
      </w:r>
      <w:r>
        <w:rPr/>
        <w:t>delivery</w:t>
      </w:r>
      <w:r>
        <w:rPr>
          <w:spacing w:val="-4"/>
        </w:rPr>
        <w:t> </w:t>
      </w:r>
      <w:r>
        <w:rPr/>
        <w:t>to</w:t>
      </w:r>
      <w:r>
        <w:rPr>
          <w:spacing w:val="-4"/>
        </w:rPr>
        <w:t> </w:t>
      </w:r>
      <w:r>
        <w:rPr/>
        <w:t>streams</w:t>
      </w:r>
      <w:r>
        <w:rPr>
          <w:spacing w:val="-5"/>
        </w:rPr>
        <w:t> </w:t>
      </w:r>
      <w:r>
        <w:rPr/>
        <w:t>and within the Riparian Management Areas, input of leaf and organic matter to aquatic and terrestrial systems, solar shading, microclimate, and water quality) are operating consistently with local disturbance regimes.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MA-DC-RMA-03. Livestock Grazing" w:id="701"/>
      <w:bookmarkEnd w:id="701"/>
      <w:r>
        <w:rPr/>
      </w:r>
      <w:r>
        <w:rPr>
          <w:rFonts w:ascii="Arial"/>
          <w:i/>
          <w:sz w:val="22"/>
        </w:rPr>
        <w:t>MA-DC-RMA-03.</w:t>
      </w:r>
      <w:r>
        <w:rPr>
          <w:rFonts w:ascii="Arial"/>
          <w:i/>
          <w:spacing w:val="-8"/>
          <w:sz w:val="22"/>
        </w:rPr>
        <w:t> </w:t>
      </w:r>
      <w:r>
        <w:rPr>
          <w:rFonts w:ascii="Arial"/>
          <w:i/>
          <w:sz w:val="22"/>
        </w:rPr>
        <w:t>Livestock</w:t>
      </w:r>
      <w:r>
        <w:rPr>
          <w:rFonts w:ascii="Arial"/>
          <w:i/>
          <w:spacing w:val="-11"/>
          <w:sz w:val="22"/>
        </w:rPr>
        <w:t> </w:t>
      </w:r>
      <w:r>
        <w:rPr>
          <w:rFonts w:ascii="Arial"/>
          <w:i/>
          <w:spacing w:val="-2"/>
          <w:sz w:val="22"/>
        </w:rPr>
        <w:t>Grazing</w:t>
      </w:r>
    </w:p>
    <w:p>
      <w:pPr>
        <w:pStyle w:val="BodyText"/>
        <w:spacing w:line="232" w:lineRule="auto" w:before="65"/>
        <w:ind w:left="1152" w:right="801"/>
      </w:pPr>
      <w:r>
        <w:rPr/>
        <w:t>Livestock grazing of riparian vegetation retains sufficient plant cover, rooting depth and vegetative</w:t>
      </w:r>
      <w:r>
        <w:rPr>
          <w:spacing w:val="-10"/>
        </w:rPr>
        <w:t> </w:t>
      </w:r>
      <w:r>
        <w:rPr/>
        <w:t>vigor</w:t>
      </w:r>
      <w:r>
        <w:rPr>
          <w:spacing w:val="-8"/>
        </w:rPr>
        <w:t> </w:t>
      </w:r>
      <w:r>
        <w:rPr/>
        <w:t>to</w:t>
      </w:r>
      <w:r>
        <w:rPr>
          <w:spacing w:val="-7"/>
        </w:rPr>
        <w:t> </w:t>
      </w:r>
      <w:r>
        <w:rPr/>
        <w:t>protect</w:t>
      </w:r>
      <w:r>
        <w:rPr>
          <w:spacing w:val="-12"/>
        </w:rPr>
        <w:t> </w:t>
      </w:r>
      <w:r>
        <w:rPr/>
        <w:t>streambank</w:t>
      </w:r>
      <w:r>
        <w:rPr>
          <w:spacing w:val="-7"/>
        </w:rPr>
        <w:t> </w:t>
      </w:r>
      <w:r>
        <w:rPr/>
        <w:t>and</w:t>
      </w:r>
      <w:r>
        <w:rPr>
          <w:spacing w:val="-9"/>
        </w:rPr>
        <w:t> </w:t>
      </w:r>
      <w:r>
        <w:rPr/>
        <w:t>floodplain</w:t>
      </w:r>
      <w:r>
        <w:rPr>
          <w:spacing w:val="-9"/>
        </w:rPr>
        <w:t> </w:t>
      </w:r>
      <w:r>
        <w:rPr/>
        <w:t>integrity</w:t>
      </w:r>
      <w:r>
        <w:rPr>
          <w:spacing w:val="-7"/>
        </w:rPr>
        <w:t> </w:t>
      </w:r>
      <w:r>
        <w:rPr/>
        <w:t>against</w:t>
      </w:r>
      <w:r>
        <w:rPr>
          <w:spacing w:val="-10"/>
        </w:rPr>
        <w:t> </w:t>
      </w:r>
      <w:r>
        <w:rPr/>
        <w:t>accelerated</w:t>
      </w:r>
      <w:r>
        <w:rPr>
          <w:spacing w:val="-9"/>
        </w:rPr>
        <w:t> </w:t>
      </w:r>
      <w:r>
        <w:rPr/>
        <w:t>erosional processes, and allows for appropriate deposition of overbank sediment.</w:t>
      </w:r>
    </w:p>
    <w:p>
      <w:pPr>
        <w:spacing w:before="235"/>
        <w:ind w:left="1152" w:right="0" w:firstLine="0"/>
        <w:jc w:val="left"/>
        <w:rPr>
          <w:rFonts w:ascii="Arial"/>
          <w:i/>
          <w:sz w:val="22"/>
        </w:rPr>
      </w:pPr>
      <w:bookmarkStart w:name="MA-DC-RMA-04. Roads" w:id="702"/>
      <w:bookmarkEnd w:id="702"/>
      <w:r>
        <w:rPr/>
      </w:r>
      <w:r>
        <w:rPr>
          <w:rFonts w:ascii="Arial"/>
          <w:i/>
          <w:sz w:val="22"/>
        </w:rPr>
        <w:t>MA-DC-RMA-04.</w:t>
      </w:r>
      <w:r>
        <w:rPr>
          <w:rFonts w:ascii="Arial"/>
          <w:i/>
          <w:spacing w:val="-11"/>
          <w:sz w:val="22"/>
        </w:rPr>
        <w:t> </w:t>
      </w:r>
      <w:r>
        <w:rPr>
          <w:rFonts w:ascii="Arial"/>
          <w:i/>
          <w:spacing w:val="-2"/>
          <w:sz w:val="22"/>
        </w:rPr>
        <w:t>Roads</w:t>
      </w:r>
    </w:p>
    <w:p>
      <w:pPr>
        <w:pStyle w:val="BodyText"/>
        <w:spacing w:line="232" w:lineRule="auto" w:before="65"/>
        <w:ind w:left="1152" w:right="801"/>
      </w:pPr>
      <w:r>
        <w:rPr/>
        <w:t>Roads</w:t>
      </w:r>
      <w:r>
        <w:rPr>
          <w:spacing w:val="-5"/>
        </w:rPr>
        <w:t> </w:t>
      </w:r>
      <w:r>
        <w:rPr/>
        <w:t>located</w:t>
      </w:r>
      <w:r>
        <w:rPr>
          <w:spacing w:val="-6"/>
        </w:rPr>
        <w:t> </w:t>
      </w:r>
      <w:r>
        <w:rPr/>
        <w:t>in</w:t>
      </w:r>
      <w:r>
        <w:rPr>
          <w:spacing w:val="-8"/>
        </w:rPr>
        <w:t> </w:t>
      </w:r>
      <w:r>
        <w:rPr/>
        <w:t>or</w:t>
      </w:r>
      <w:r>
        <w:rPr>
          <w:spacing w:val="-5"/>
        </w:rPr>
        <w:t> </w:t>
      </w:r>
      <w:r>
        <w:rPr/>
        <w:t>draining</w:t>
      </w:r>
      <w:r>
        <w:rPr>
          <w:spacing w:val="-6"/>
        </w:rPr>
        <w:t> </w:t>
      </w:r>
      <w:r>
        <w:rPr/>
        <w:t>to</w:t>
      </w:r>
      <w:r>
        <w:rPr>
          <w:spacing w:val="-4"/>
        </w:rPr>
        <w:t> </w:t>
      </w:r>
      <w:r>
        <w:rPr/>
        <w:t>Riparian</w:t>
      </w:r>
      <w:r>
        <w:rPr>
          <w:spacing w:val="-8"/>
        </w:rPr>
        <w:t> </w:t>
      </w:r>
      <w:r>
        <w:rPr/>
        <w:t>Management</w:t>
      </w:r>
      <w:r>
        <w:rPr>
          <w:spacing w:val="-9"/>
        </w:rPr>
        <w:t> </w:t>
      </w:r>
      <w:r>
        <w:rPr/>
        <w:t>Areas</w:t>
      </w:r>
      <w:r>
        <w:rPr>
          <w:spacing w:val="-5"/>
        </w:rPr>
        <w:t> </w:t>
      </w:r>
      <w:r>
        <w:rPr/>
        <w:t>do</w:t>
      </w:r>
      <w:r>
        <w:rPr>
          <w:spacing w:val="-4"/>
        </w:rPr>
        <w:t> </w:t>
      </w:r>
      <w:r>
        <w:rPr/>
        <w:t>not</w:t>
      </w:r>
      <w:r>
        <w:rPr>
          <w:spacing w:val="-4"/>
        </w:rPr>
        <w:t> </w:t>
      </w:r>
      <w:r>
        <w:rPr/>
        <w:t>present</w:t>
      </w:r>
      <w:r>
        <w:rPr>
          <w:spacing w:val="-4"/>
        </w:rPr>
        <w:t> </w:t>
      </w:r>
      <w:r>
        <w:rPr/>
        <w:t>a</w:t>
      </w:r>
      <w:r>
        <w:rPr>
          <w:spacing w:val="-7"/>
        </w:rPr>
        <w:t> </w:t>
      </w:r>
      <w:r>
        <w:rPr/>
        <w:t>substantial</w:t>
      </w:r>
      <w:r>
        <w:rPr>
          <w:spacing w:val="-5"/>
        </w:rPr>
        <w:t> </w:t>
      </w:r>
      <w:r>
        <w:rPr/>
        <w:t>risk</w:t>
      </w:r>
      <w:r>
        <w:rPr>
          <w:spacing w:val="-7"/>
        </w:rPr>
        <w:t> </w:t>
      </w:r>
      <w:r>
        <w:rPr/>
        <w:t>to soil or hydrologic function. Roads do not disrupt riparian and aquatic function.</w:t>
      </w:r>
    </w:p>
    <w:p>
      <w:pPr>
        <w:pStyle w:val="Heading4"/>
        <w:spacing w:before="235"/>
        <w:ind w:left="1151"/>
      </w:pPr>
      <w:bookmarkStart w:name="Objectives" w:id="703"/>
      <w:bookmarkEnd w:id="703"/>
      <w:r>
        <w:rPr/>
      </w:r>
      <w:bookmarkStart w:name="_bookmark219" w:id="704"/>
      <w:bookmarkEnd w:id="704"/>
      <w:r>
        <w:rPr/>
      </w:r>
      <w:r>
        <w:rPr>
          <w:spacing w:val="-2"/>
        </w:rPr>
        <w:t>Objectives</w:t>
      </w:r>
    </w:p>
    <w:p>
      <w:pPr>
        <w:spacing w:before="237"/>
        <w:ind w:left="1152" w:right="801" w:hanging="1"/>
        <w:jc w:val="left"/>
        <w:rPr>
          <w:rFonts w:ascii="Arial"/>
          <w:i/>
          <w:sz w:val="22"/>
        </w:rPr>
      </w:pPr>
      <w:bookmarkStart w:name="MA-OBJ-RMA-01. Improve Riparian Function" w:id="705"/>
      <w:bookmarkEnd w:id="705"/>
      <w:r>
        <w:rPr/>
      </w:r>
      <w:r>
        <w:rPr>
          <w:rFonts w:ascii="Arial"/>
          <w:i/>
          <w:sz w:val="22"/>
        </w:rPr>
        <w:t>MA-OBJ-RMA-01.</w:t>
      </w:r>
      <w:r>
        <w:rPr>
          <w:rFonts w:ascii="Arial"/>
          <w:i/>
          <w:spacing w:val="-7"/>
          <w:sz w:val="22"/>
        </w:rPr>
        <w:t> </w:t>
      </w:r>
      <w:r>
        <w:rPr>
          <w:rFonts w:ascii="Arial"/>
          <w:i/>
          <w:sz w:val="22"/>
        </w:rPr>
        <w:t>Improve</w:t>
      </w:r>
      <w:r>
        <w:rPr>
          <w:rFonts w:ascii="Arial"/>
          <w:i/>
          <w:spacing w:val="-5"/>
          <w:sz w:val="22"/>
        </w:rPr>
        <w:t> </w:t>
      </w:r>
      <w:r>
        <w:rPr>
          <w:rFonts w:ascii="Arial"/>
          <w:i/>
          <w:sz w:val="22"/>
        </w:rPr>
        <w:t>Riparian</w:t>
      </w:r>
      <w:r>
        <w:rPr>
          <w:rFonts w:ascii="Arial"/>
          <w:i/>
          <w:spacing w:val="-5"/>
          <w:sz w:val="22"/>
        </w:rPr>
        <w:t> </w:t>
      </w:r>
      <w:r>
        <w:rPr>
          <w:rFonts w:ascii="Arial"/>
          <w:i/>
          <w:sz w:val="22"/>
        </w:rPr>
        <w:t>Function</w:t>
      </w:r>
      <w:r>
        <w:rPr>
          <w:rFonts w:ascii="Arial"/>
          <w:i/>
          <w:spacing w:val="-5"/>
          <w:sz w:val="22"/>
        </w:rPr>
        <w:t> </w:t>
      </w:r>
      <w:r>
        <w:rPr>
          <w:rFonts w:ascii="Arial"/>
          <w:i/>
          <w:sz w:val="22"/>
        </w:rPr>
        <w:t>at</w:t>
      </w:r>
      <w:r>
        <w:rPr>
          <w:rFonts w:ascii="Arial"/>
          <w:i/>
          <w:spacing w:val="-7"/>
          <w:sz w:val="22"/>
        </w:rPr>
        <w:t> </w:t>
      </w:r>
      <w:r>
        <w:rPr>
          <w:rFonts w:ascii="Arial"/>
          <w:i/>
          <w:sz w:val="22"/>
        </w:rPr>
        <w:t>Dispersed</w:t>
      </w:r>
      <w:r>
        <w:rPr>
          <w:rFonts w:ascii="Arial"/>
          <w:i/>
          <w:spacing w:val="-5"/>
          <w:sz w:val="22"/>
        </w:rPr>
        <w:t> </w:t>
      </w:r>
      <w:r>
        <w:rPr>
          <w:rFonts w:ascii="Arial"/>
          <w:i/>
          <w:sz w:val="22"/>
        </w:rPr>
        <w:t>and</w:t>
      </w:r>
      <w:r>
        <w:rPr>
          <w:rFonts w:ascii="Arial"/>
          <w:i/>
          <w:spacing w:val="-5"/>
          <w:sz w:val="22"/>
        </w:rPr>
        <w:t> </w:t>
      </w:r>
      <w:r>
        <w:rPr>
          <w:rFonts w:ascii="Arial"/>
          <w:i/>
          <w:sz w:val="22"/>
        </w:rPr>
        <w:t>Developed</w:t>
      </w:r>
      <w:r>
        <w:rPr>
          <w:rFonts w:ascii="Arial"/>
          <w:i/>
          <w:spacing w:val="-5"/>
          <w:sz w:val="22"/>
        </w:rPr>
        <w:t> </w:t>
      </w:r>
      <w:r>
        <w:rPr>
          <w:rFonts w:ascii="Arial"/>
          <w:i/>
          <w:sz w:val="22"/>
        </w:rPr>
        <w:t>Recreation</w:t>
      </w:r>
      <w:r>
        <w:rPr>
          <w:rFonts w:ascii="Arial"/>
          <w:i/>
          <w:sz w:val="22"/>
        </w:rPr>
        <w:t> </w:t>
      </w:r>
      <w:r>
        <w:rPr>
          <w:rFonts w:ascii="Arial"/>
          <w:i/>
          <w:spacing w:val="-2"/>
          <w:sz w:val="22"/>
        </w:rPr>
        <w:t>Sites</w:t>
      </w:r>
    </w:p>
    <w:p>
      <w:pPr>
        <w:pStyle w:val="BodyText"/>
        <w:spacing w:line="232" w:lineRule="auto" w:before="66"/>
        <w:ind w:left="1152" w:right="850"/>
        <w:jc w:val="both"/>
      </w:pPr>
      <w:r>
        <w:rPr/>
        <w:t>Over</w:t>
      </w:r>
      <w:r>
        <w:rPr>
          <w:spacing w:val="-2"/>
        </w:rPr>
        <w:t> </w:t>
      </w:r>
      <w:r>
        <w:rPr/>
        <w:t>the next</w:t>
      </w:r>
      <w:r>
        <w:rPr>
          <w:spacing w:val="-2"/>
        </w:rPr>
        <w:t> </w:t>
      </w:r>
      <w:r>
        <w:rPr/>
        <w:t>15 years, restore</w:t>
      </w:r>
      <w:r>
        <w:rPr>
          <w:spacing w:val="-2"/>
        </w:rPr>
        <w:t> </w:t>
      </w:r>
      <w:r>
        <w:rPr/>
        <w:t>riparian</w:t>
      </w:r>
      <w:r>
        <w:rPr>
          <w:spacing w:val="-1"/>
        </w:rPr>
        <w:t> </w:t>
      </w:r>
      <w:r>
        <w:rPr/>
        <w:t>processes</w:t>
      </w:r>
      <w:r>
        <w:rPr>
          <w:spacing w:val="-2"/>
        </w:rPr>
        <w:t> </w:t>
      </w:r>
      <w:r>
        <w:rPr/>
        <w:t>and</w:t>
      </w:r>
      <w:r>
        <w:rPr>
          <w:spacing w:val="-1"/>
        </w:rPr>
        <w:t> </w:t>
      </w:r>
      <w:r>
        <w:rPr/>
        <w:t>balance need</w:t>
      </w:r>
      <w:r>
        <w:rPr>
          <w:spacing w:val="-1"/>
        </w:rPr>
        <w:t> </w:t>
      </w:r>
      <w:r>
        <w:rPr/>
        <w:t>for</w:t>
      </w:r>
      <w:r>
        <w:rPr>
          <w:spacing w:val="-2"/>
        </w:rPr>
        <w:t> </w:t>
      </w:r>
      <w:r>
        <w:rPr/>
        <w:t>occupancy and</w:t>
      </w:r>
      <w:r>
        <w:rPr>
          <w:spacing w:val="-1"/>
        </w:rPr>
        <w:t> </w:t>
      </w:r>
      <w:r>
        <w:rPr/>
        <w:t>access to</w:t>
      </w:r>
      <w:r>
        <w:rPr>
          <w:spacing w:val="-6"/>
        </w:rPr>
        <w:t> </w:t>
      </w:r>
      <w:r>
        <w:rPr/>
        <w:t>water</w:t>
      </w:r>
      <w:r>
        <w:rPr>
          <w:spacing w:val="-7"/>
        </w:rPr>
        <w:t> </w:t>
      </w:r>
      <w:r>
        <w:rPr/>
        <w:t>at</w:t>
      </w:r>
      <w:r>
        <w:rPr>
          <w:spacing w:val="-7"/>
        </w:rPr>
        <w:t> </w:t>
      </w:r>
      <w:r>
        <w:rPr/>
        <w:t>75</w:t>
      </w:r>
      <w:r>
        <w:rPr>
          <w:spacing w:val="-4"/>
        </w:rPr>
        <w:t> </w:t>
      </w:r>
      <w:r>
        <w:rPr/>
        <w:t>dispersed</w:t>
      </w:r>
      <w:r>
        <w:rPr>
          <w:spacing w:val="-6"/>
        </w:rPr>
        <w:t> </w:t>
      </w:r>
      <w:r>
        <w:rPr/>
        <w:t>and</w:t>
      </w:r>
      <w:r>
        <w:rPr>
          <w:spacing w:val="-6"/>
        </w:rPr>
        <w:t> </w:t>
      </w:r>
      <w:r>
        <w:rPr/>
        <w:t>developed</w:t>
      </w:r>
      <w:r>
        <w:rPr>
          <w:spacing w:val="-8"/>
        </w:rPr>
        <w:t> </w:t>
      </w:r>
      <w:r>
        <w:rPr/>
        <w:t>recreation</w:t>
      </w:r>
      <w:r>
        <w:rPr>
          <w:spacing w:val="-5"/>
        </w:rPr>
        <w:t> </w:t>
      </w:r>
      <w:r>
        <w:rPr/>
        <w:t>sites,</w:t>
      </w:r>
      <w:r>
        <w:rPr>
          <w:spacing w:val="-5"/>
        </w:rPr>
        <w:t> </w:t>
      </w:r>
      <w:r>
        <w:rPr/>
        <w:t>through</w:t>
      </w:r>
      <w:r>
        <w:rPr>
          <w:spacing w:val="-6"/>
        </w:rPr>
        <w:t> </w:t>
      </w:r>
      <w:r>
        <w:rPr/>
        <w:t>education,</w:t>
      </w:r>
      <w:r>
        <w:rPr>
          <w:spacing w:val="-5"/>
        </w:rPr>
        <w:t> </w:t>
      </w:r>
      <w:r>
        <w:rPr/>
        <w:t>enforcement,</w:t>
      </w:r>
      <w:r>
        <w:rPr>
          <w:spacing w:val="-5"/>
        </w:rPr>
        <w:t> </w:t>
      </w:r>
      <w:r>
        <w:rPr/>
        <w:t>and engineering</w:t>
      </w:r>
      <w:r>
        <w:rPr>
          <w:spacing w:val="-7"/>
        </w:rPr>
        <w:t> </w:t>
      </w:r>
      <w:r>
        <w:rPr/>
        <w:t>where</w:t>
      </w:r>
      <w:r>
        <w:rPr>
          <w:spacing w:val="-5"/>
        </w:rPr>
        <w:t> </w:t>
      </w:r>
      <w:r>
        <w:rPr/>
        <w:t>recreational</w:t>
      </w:r>
      <w:r>
        <w:rPr>
          <w:spacing w:val="-6"/>
        </w:rPr>
        <w:t> </w:t>
      </w:r>
      <w:r>
        <w:rPr/>
        <w:t>use</w:t>
      </w:r>
      <w:r>
        <w:rPr>
          <w:spacing w:val="-8"/>
        </w:rPr>
        <w:t> </w:t>
      </w:r>
      <w:r>
        <w:rPr/>
        <w:t>results</w:t>
      </w:r>
      <w:r>
        <w:rPr>
          <w:spacing w:val="-8"/>
        </w:rPr>
        <w:t> </w:t>
      </w:r>
      <w:r>
        <w:rPr/>
        <w:t>in</w:t>
      </w:r>
      <w:r>
        <w:rPr>
          <w:spacing w:val="-7"/>
        </w:rPr>
        <w:t> </w:t>
      </w:r>
      <w:r>
        <w:rPr/>
        <w:t>bank</w:t>
      </w:r>
      <w:r>
        <w:rPr>
          <w:spacing w:val="-5"/>
        </w:rPr>
        <w:t> </w:t>
      </w:r>
      <w:r>
        <w:rPr/>
        <w:t>damage,</w:t>
      </w:r>
      <w:r>
        <w:rPr>
          <w:spacing w:val="-8"/>
        </w:rPr>
        <w:t> </w:t>
      </w:r>
      <w:r>
        <w:rPr/>
        <w:t>reduction</w:t>
      </w:r>
      <w:r>
        <w:rPr>
          <w:spacing w:val="-7"/>
        </w:rPr>
        <w:t> </w:t>
      </w:r>
      <w:r>
        <w:rPr/>
        <w:t>in</w:t>
      </w:r>
      <w:r>
        <w:rPr>
          <w:spacing w:val="-7"/>
        </w:rPr>
        <w:t> </w:t>
      </w:r>
      <w:r>
        <w:rPr/>
        <w:t>water</w:t>
      </w:r>
      <w:r>
        <w:rPr>
          <w:spacing w:val="-6"/>
        </w:rPr>
        <w:t> </w:t>
      </w:r>
      <w:r>
        <w:rPr/>
        <w:t>quality,</w:t>
      </w:r>
      <w:r>
        <w:rPr>
          <w:spacing w:val="-6"/>
        </w:rPr>
        <w:t> </w:t>
      </w:r>
      <w:r>
        <w:rPr/>
        <w:t>and/</w:t>
      </w:r>
      <w:r>
        <w:rPr>
          <w:spacing w:val="-7"/>
        </w:rPr>
        <w:t> </w:t>
      </w:r>
      <w:r>
        <w:rPr/>
        <w:t>or a reduction in stream shade.</w:t>
      </w:r>
    </w:p>
    <w:p>
      <w:pPr>
        <w:spacing w:before="234"/>
        <w:ind w:left="1152" w:right="0" w:firstLine="0"/>
        <w:jc w:val="left"/>
        <w:rPr>
          <w:rFonts w:ascii="Arial"/>
          <w:i/>
          <w:sz w:val="22"/>
        </w:rPr>
      </w:pPr>
      <w:bookmarkStart w:name="MA-OBJ-RMA-02. Restoration of Riparian H" w:id="706"/>
      <w:bookmarkEnd w:id="706"/>
      <w:r>
        <w:rPr/>
      </w:r>
      <w:r>
        <w:rPr>
          <w:rFonts w:ascii="Arial"/>
          <w:i/>
          <w:sz w:val="22"/>
        </w:rPr>
        <w:t>MA-OBJ-RMA-02.</w:t>
      </w:r>
      <w:r>
        <w:rPr>
          <w:rFonts w:ascii="Arial"/>
          <w:i/>
          <w:spacing w:val="-10"/>
          <w:sz w:val="22"/>
        </w:rPr>
        <w:t> </w:t>
      </w:r>
      <w:r>
        <w:rPr>
          <w:rFonts w:ascii="Arial"/>
          <w:i/>
          <w:sz w:val="22"/>
        </w:rPr>
        <w:t>Restoration</w:t>
      </w:r>
      <w:r>
        <w:rPr>
          <w:rFonts w:ascii="Arial"/>
          <w:i/>
          <w:spacing w:val="-6"/>
          <w:sz w:val="22"/>
        </w:rPr>
        <w:t> </w:t>
      </w:r>
      <w:r>
        <w:rPr>
          <w:rFonts w:ascii="Arial"/>
          <w:i/>
          <w:sz w:val="22"/>
        </w:rPr>
        <w:t>of</w:t>
      </w:r>
      <w:r>
        <w:rPr>
          <w:rFonts w:ascii="Arial"/>
          <w:i/>
          <w:spacing w:val="-4"/>
          <w:sz w:val="22"/>
        </w:rPr>
        <w:t> </w:t>
      </w:r>
      <w:r>
        <w:rPr>
          <w:rFonts w:ascii="Arial"/>
          <w:i/>
          <w:sz w:val="22"/>
        </w:rPr>
        <w:t>Riparian</w:t>
      </w:r>
      <w:r>
        <w:rPr>
          <w:rFonts w:ascii="Arial"/>
          <w:i/>
          <w:spacing w:val="-7"/>
          <w:sz w:val="22"/>
        </w:rPr>
        <w:t> </w:t>
      </w:r>
      <w:r>
        <w:rPr>
          <w:rFonts w:ascii="Arial"/>
          <w:i/>
          <w:sz w:val="22"/>
        </w:rPr>
        <w:t>Habitat</w:t>
      </w:r>
      <w:r>
        <w:rPr>
          <w:rFonts w:ascii="Arial"/>
          <w:i/>
          <w:spacing w:val="-6"/>
          <w:sz w:val="22"/>
        </w:rPr>
        <w:t> </w:t>
      </w:r>
      <w:r>
        <w:rPr>
          <w:rFonts w:ascii="Arial"/>
          <w:i/>
          <w:sz w:val="22"/>
        </w:rPr>
        <w:t>and</w:t>
      </w:r>
      <w:r>
        <w:rPr>
          <w:rFonts w:ascii="Arial"/>
          <w:i/>
          <w:spacing w:val="-6"/>
          <w:sz w:val="22"/>
        </w:rPr>
        <w:t> </w:t>
      </w:r>
      <w:r>
        <w:rPr>
          <w:rFonts w:ascii="Arial"/>
          <w:i/>
          <w:sz w:val="22"/>
        </w:rPr>
        <w:t>Processes</w:t>
      </w:r>
      <w:r>
        <w:rPr>
          <w:rFonts w:ascii="Arial"/>
          <w:i/>
          <w:spacing w:val="-8"/>
          <w:sz w:val="22"/>
        </w:rPr>
        <w:t> </w:t>
      </w:r>
      <w:r>
        <w:rPr>
          <w:rFonts w:ascii="Arial"/>
          <w:i/>
          <w:sz w:val="22"/>
        </w:rPr>
        <w:t>on</w:t>
      </w:r>
      <w:r>
        <w:rPr>
          <w:rFonts w:ascii="Arial"/>
          <w:i/>
          <w:spacing w:val="-6"/>
          <w:sz w:val="22"/>
        </w:rPr>
        <w:t> </w:t>
      </w:r>
      <w:r>
        <w:rPr>
          <w:rFonts w:ascii="Arial"/>
          <w:i/>
          <w:spacing w:val="-2"/>
          <w:sz w:val="22"/>
        </w:rPr>
        <w:t>Roads</w:t>
      </w:r>
    </w:p>
    <w:p>
      <w:pPr>
        <w:pStyle w:val="BodyText"/>
        <w:spacing w:line="232" w:lineRule="auto" w:before="65"/>
        <w:ind w:left="1152" w:right="831"/>
        <w:jc w:val="both"/>
      </w:pPr>
      <w:r>
        <w:rPr/>
        <w:t>Restore</w:t>
      </w:r>
      <w:r>
        <w:rPr>
          <w:spacing w:val="-6"/>
        </w:rPr>
        <w:t> </w:t>
      </w:r>
      <w:r>
        <w:rPr/>
        <w:t>hydrologic</w:t>
      </w:r>
      <w:r>
        <w:rPr>
          <w:spacing w:val="-7"/>
        </w:rPr>
        <w:t> </w:t>
      </w:r>
      <w:r>
        <w:rPr/>
        <w:t>and</w:t>
      </w:r>
      <w:r>
        <w:rPr>
          <w:spacing w:val="-8"/>
        </w:rPr>
        <w:t> </w:t>
      </w:r>
      <w:r>
        <w:rPr/>
        <w:t>riparian</w:t>
      </w:r>
      <w:r>
        <w:rPr>
          <w:spacing w:val="-8"/>
        </w:rPr>
        <w:t> </w:t>
      </w:r>
      <w:r>
        <w:rPr/>
        <w:t>habitat</w:t>
      </w:r>
      <w:r>
        <w:rPr>
          <w:spacing w:val="-6"/>
        </w:rPr>
        <w:t> </w:t>
      </w:r>
      <w:r>
        <w:rPr/>
        <w:t>function</w:t>
      </w:r>
      <w:r>
        <w:rPr>
          <w:spacing w:val="-8"/>
        </w:rPr>
        <w:t> </w:t>
      </w:r>
      <w:r>
        <w:rPr/>
        <w:t>within</w:t>
      </w:r>
      <w:r>
        <w:rPr>
          <w:spacing w:val="-8"/>
        </w:rPr>
        <w:t> </w:t>
      </w:r>
      <w:r>
        <w:rPr/>
        <w:t>Riparian</w:t>
      </w:r>
      <w:r>
        <w:rPr>
          <w:spacing w:val="-8"/>
        </w:rPr>
        <w:t> </w:t>
      </w:r>
      <w:r>
        <w:rPr/>
        <w:t>Management</w:t>
      </w:r>
      <w:r>
        <w:rPr>
          <w:spacing w:val="-9"/>
        </w:rPr>
        <w:t> </w:t>
      </w:r>
      <w:r>
        <w:rPr/>
        <w:t>Areas</w:t>
      </w:r>
      <w:r>
        <w:rPr>
          <w:spacing w:val="-6"/>
        </w:rPr>
        <w:t> </w:t>
      </w:r>
      <w:r>
        <w:rPr/>
        <w:t>in</w:t>
      </w:r>
      <w:r>
        <w:rPr>
          <w:spacing w:val="-8"/>
        </w:rPr>
        <w:t> </w:t>
      </w:r>
      <w:r>
        <w:rPr/>
        <w:t>non-key watersheds by reducing road-related impacts on 80 miles of road within 15 years.</w:t>
      </w:r>
    </w:p>
    <w:p>
      <w:pPr>
        <w:spacing w:before="234"/>
        <w:ind w:left="1152" w:right="0" w:firstLine="0"/>
        <w:jc w:val="left"/>
        <w:rPr>
          <w:rFonts w:ascii="Arial"/>
          <w:i/>
          <w:sz w:val="22"/>
        </w:rPr>
      </w:pPr>
      <w:bookmarkStart w:name="MA-OBJ-RMA-03. Restoration of Late Fores" w:id="707"/>
      <w:bookmarkEnd w:id="707"/>
      <w:r>
        <w:rPr/>
      </w:r>
      <w:r>
        <w:rPr>
          <w:rFonts w:ascii="Arial"/>
          <w:i/>
          <w:sz w:val="22"/>
        </w:rPr>
        <w:t>MA-OBJ-RMA-03.</w:t>
      </w:r>
      <w:r>
        <w:rPr>
          <w:rFonts w:ascii="Arial"/>
          <w:i/>
          <w:spacing w:val="-8"/>
          <w:sz w:val="22"/>
        </w:rPr>
        <w:t> </w:t>
      </w:r>
      <w:r>
        <w:rPr>
          <w:rFonts w:ascii="Arial"/>
          <w:i/>
          <w:sz w:val="22"/>
        </w:rPr>
        <w:t>Restoration</w:t>
      </w:r>
      <w:r>
        <w:rPr>
          <w:rFonts w:ascii="Arial"/>
          <w:i/>
          <w:spacing w:val="-7"/>
          <w:sz w:val="22"/>
        </w:rPr>
        <w:t> </w:t>
      </w:r>
      <w:r>
        <w:rPr>
          <w:rFonts w:ascii="Arial"/>
          <w:i/>
          <w:sz w:val="22"/>
        </w:rPr>
        <w:t>of</w:t>
      </w:r>
      <w:r>
        <w:rPr>
          <w:rFonts w:ascii="Arial"/>
          <w:i/>
          <w:spacing w:val="-5"/>
          <w:sz w:val="22"/>
        </w:rPr>
        <w:t> </w:t>
      </w:r>
      <w:r>
        <w:rPr>
          <w:rFonts w:ascii="Arial"/>
          <w:i/>
          <w:sz w:val="22"/>
        </w:rPr>
        <w:t>Late</w:t>
      </w:r>
      <w:r>
        <w:rPr>
          <w:rFonts w:ascii="Arial"/>
          <w:i/>
          <w:spacing w:val="-7"/>
          <w:sz w:val="22"/>
        </w:rPr>
        <w:t> </w:t>
      </w:r>
      <w:r>
        <w:rPr>
          <w:rFonts w:ascii="Arial"/>
          <w:i/>
          <w:sz w:val="22"/>
        </w:rPr>
        <w:t>Forest</w:t>
      </w:r>
      <w:r>
        <w:rPr>
          <w:rFonts w:ascii="Arial"/>
          <w:i/>
          <w:spacing w:val="-5"/>
          <w:sz w:val="22"/>
        </w:rPr>
        <w:t> </w:t>
      </w:r>
      <w:r>
        <w:rPr>
          <w:rFonts w:ascii="Arial"/>
          <w:i/>
          <w:spacing w:val="-2"/>
          <w:sz w:val="22"/>
        </w:rPr>
        <w:t>Structure</w:t>
      </w:r>
    </w:p>
    <w:p>
      <w:pPr>
        <w:pStyle w:val="BodyText"/>
        <w:spacing w:line="232" w:lineRule="auto" w:before="64"/>
        <w:ind w:left="1152" w:right="849"/>
        <w:jc w:val="both"/>
      </w:pPr>
      <w:r>
        <w:rPr/>
        <w:t>Move</w:t>
      </w:r>
      <w:r>
        <w:rPr>
          <w:spacing w:val="-6"/>
        </w:rPr>
        <w:t> </w:t>
      </w:r>
      <w:r>
        <w:rPr/>
        <w:t>upland</w:t>
      </w:r>
      <w:r>
        <w:rPr>
          <w:spacing w:val="-8"/>
        </w:rPr>
        <w:t> </w:t>
      </w:r>
      <w:r>
        <w:rPr/>
        <w:t>vegetation</w:t>
      </w:r>
      <w:r>
        <w:rPr>
          <w:spacing w:val="-9"/>
        </w:rPr>
        <w:t> </w:t>
      </w:r>
      <w:r>
        <w:rPr/>
        <w:t>within</w:t>
      </w:r>
      <w:r>
        <w:rPr>
          <w:spacing w:val="-8"/>
        </w:rPr>
        <w:t> </w:t>
      </w:r>
      <w:r>
        <w:rPr/>
        <w:t>Riparian</w:t>
      </w:r>
      <w:r>
        <w:rPr>
          <w:spacing w:val="-8"/>
        </w:rPr>
        <w:t> </w:t>
      </w:r>
      <w:r>
        <w:rPr/>
        <w:t>Management</w:t>
      </w:r>
      <w:r>
        <w:rPr>
          <w:spacing w:val="-10"/>
        </w:rPr>
        <w:t> </w:t>
      </w:r>
      <w:r>
        <w:rPr/>
        <w:t>Areas</w:t>
      </w:r>
      <w:r>
        <w:rPr>
          <w:spacing w:val="-9"/>
        </w:rPr>
        <w:t> </w:t>
      </w:r>
      <w:r>
        <w:rPr/>
        <w:t>outside</w:t>
      </w:r>
      <w:r>
        <w:rPr>
          <w:spacing w:val="-9"/>
        </w:rPr>
        <w:t> </w:t>
      </w:r>
      <w:r>
        <w:rPr/>
        <w:t>of</w:t>
      </w:r>
      <w:r>
        <w:rPr>
          <w:spacing w:val="-9"/>
        </w:rPr>
        <w:t> </w:t>
      </w:r>
      <w:r>
        <w:rPr/>
        <w:t>key</w:t>
      </w:r>
      <w:r>
        <w:rPr>
          <w:spacing w:val="-8"/>
        </w:rPr>
        <w:t> </w:t>
      </w:r>
      <w:r>
        <w:rPr/>
        <w:t>watersheds</w:t>
      </w:r>
      <w:r>
        <w:rPr>
          <w:spacing w:val="-7"/>
        </w:rPr>
        <w:t> </w:t>
      </w:r>
      <w:r>
        <w:rPr/>
        <w:t>toward historical range of variability on 500 acres within 15 years of plan implementation.</w:t>
      </w:r>
    </w:p>
    <w:p>
      <w:pPr>
        <w:pStyle w:val="Heading4"/>
        <w:spacing w:before="235"/>
        <w:ind w:left="1151"/>
      </w:pPr>
      <w:bookmarkStart w:name="Standards" w:id="708"/>
      <w:bookmarkEnd w:id="708"/>
      <w:r>
        <w:rPr/>
      </w:r>
      <w:bookmarkStart w:name="_bookmark220" w:id="709"/>
      <w:bookmarkEnd w:id="709"/>
      <w:r>
        <w:rPr/>
      </w:r>
      <w:r>
        <w:rPr>
          <w:spacing w:val="-2"/>
        </w:rPr>
        <w:t>Standards</w:t>
      </w:r>
    </w:p>
    <w:p>
      <w:pPr>
        <w:spacing w:before="239"/>
        <w:ind w:left="1151" w:right="0" w:firstLine="0"/>
        <w:jc w:val="left"/>
        <w:rPr>
          <w:rFonts w:ascii="Arial"/>
          <w:i/>
          <w:sz w:val="22"/>
        </w:rPr>
      </w:pPr>
      <w:bookmarkStart w:name="MA-STD-RMA-01. Chemical Application" w:id="710"/>
      <w:bookmarkEnd w:id="710"/>
      <w:r>
        <w:rPr/>
      </w:r>
      <w:r>
        <w:rPr>
          <w:rFonts w:ascii="Arial"/>
          <w:i/>
          <w:sz w:val="22"/>
        </w:rPr>
        <w:t>MA-STD-RMA-01.</w:t>
      </w:r>
      <w:r>
        <w:rPr>
          <w:rFonts w:ascii="Arial"/>
          <w:i/>
          <w:spacing w:val="-10"/>
          <w:sz w:val="22"/>
        </w:rPr>
        <w:t> </w:t>
      </w:r>
      <w:r>
        <w:rPr>
          <w:rFonts w:ascii="Arial"/>
          <w:i/>
          <w:sz w:val="22"/>
        </w:rPr>
        <w:t>Chemical</w:t>
      </w:r>
      <w:r>
        <w:rPr>
          <w:rFonts w:ascii="Arial"/>
          <w:i/>
          <w:spacing w:val="-11"/>
          <w:sz w:val="22"/>
        </w:rPr>
        <w:t> </w:t>
      </w:r>
      <w:r>
        <w:rPr>
          <w:rFonts w:ascii="Arial"/>
          <w:i/>
          <w:spacing w:val="-2"/>
          <w:sz w:val="22"/>
        </w:rPr>
        <w:t>Application</w:t>
      </w:r>
    </w:p>
    <w:p>
      <w:pPr>
        <w:pStyle w:val="BodyText"/>
        <w:spacing w:line="232" w:lineRule="auto" w:before="65"/>
        <w:ind w:left="1152" w:right="801"/>
      </w:pPr>
      <w:r>
        <w:rPr/>
        <w:t>Apply herbicides, insecticides, piscicides and other toxicants, other chemicals, and biological agents</w:t>
      </w:r>
      <w:r>
        <w:rPr>
          <w:spacing w:val="-5"/>
        </w:rPr>
        <w:t> </w:t>
      </w:r>
      <w:r>
        <w:rPr/>
        <w:t>only</w:t>
      </w:r>
      <w:r>
        <w:rPr>
          <w:spacing w:val="-6"/>
        </w:rPr>
        <w:t> </w:t>
      </w:r>
      <w:r>
        <w:rPr/>
        <w:t>to</w:t>
      </w:r>
      <w:r>
        <w:rPr>
          <w:spacing w:val="-6"/>
        </w:rPr>
        <w:t> </w:t>
      </w:r>
      <w:r>
        <w:rPr/>
        <w:t>maintain,</w:t>
      </w:r>
      <w:r>
        <w:rPr>
          <w:spacing w:val="-5"/>
        </w:rPr>
        <w:t> </w:t>
      </w:r>
      <w:r>
        <w:rPr/>
        <w:t>protect,</w:t>
      </w:r>
      <w:r>
        <w:rPr>
          <w:spacing w:val="-7"/>
        </w:rPr>
        <w:t> </w:t>
      </w:r>
      <w:r>
        <w:rPr/>
        <w:t>or</w:t>
      </w:r>
      <w:r>
        <w:rPr>
          <w:spacing w:val="-7"/>
        </w:rPr>
        <w:t> </w:t>
      </w:r>
      <w:r>
        <w:rPr/>
        <w:t>enhance</w:t>
      </w:r>
      <w:r>
        <w:rPr>
          <w:spacing w:val="-4"/>
        </w:rPr>
        <w:t> </w:t>
      </w:r>
      <w:r>
        <w:rPr/>
        <w:t>aquatic</w:t>
      </w:r>
      <w:r>
        <w:rPr>
          <w:spacing w:val="-7"/>
        </w:rPr>
        <w:t> </w:t>
      </w:r>
      <w:r>
        <w:rPr/>
        <w:t>and</w:t>
      </w:r>
      <w:r>
        <w:rPr>
          <w:spacing w:val="-6"/>
        </w:rPr>
        <w:t> </w:t>
      </w:r>
      <w:r>
        <w:rPr/>
        <w:t>riparian</w:t>
      </w:r>
      <w:r>
        <w:rPr>
          <w:spacing w:val="-6"/>
        </w:rPr>
        <w:t> </w:t>
      </w:r>
      <w:r>
        <w:rPr/>
        <w:t>resources</w:t>
      </w:r>
      <w:r>
        <w:rPr>
          <w:spacing w:val="-7"/>
        </w:rPr>
        <w:t> </w:t>
      </w:r>
      <w:r>
        <w:rPr/>
        <w:t>and/or</w:t>
      </w:r>
      <w:r>
        <w:rPr>
          <w:spacing w:val="-5"/>
        </w:rPr>
        <w:t> </w:t>
      </w:r>
      <w:r>
        <w:rPr/>
        <w:t>native</w:t>
      </w:r>
      <w:r>
        <w:rPr>
          <w:spacing w:val="-4"/>
        </w:rPr>
        <w:t> </w:t>
      </w:r>
      <w:r>
        <w:rPr/>
        <w:t>plant </w:t>
      </w:r>
      <w:r>
        <w:rPr>
          <w:spacing w:val="-2"/>
        </w:rPr>
        <w:t>communities.</w:t>
      </w:r>
    </w:p>
    <w:p>
      <w:pPr>
        <w:spacing w:before="236"/>
        <w:ind w:left="1152" w:right="0" w:firstLine="0"/>
        <w:jc w:val="left"/>
        <w:rPr>
          <w:rFonts w:ascii="Arial"/>
          <w:i/>
          <w:sz w:val="22"/>
        </w:rPr>
      </w:pPr>
      <w:bookmarkStart w:name="MA-STD-RMA-02. Personal Fuelwood Cutting" w:id="711"/>
      <w:bookmarkEnd w:id="711"/>
      <w:r>
        <w:rPr/>
      </w:r>
      <w:r>
        <w:rPr>
          <w:rFonts w:ascii="Arial"/>
          <w:i/>
          <w:sz w:val="22"/>
        </w:rPr>
        <w:t>MA-STD-RMA-02.</w:t>
      </w:r>
      <w:r>
        <w:rPr>
          <w:rFonts w:ascii="Arial"/>
          <w:i/>
          <w:spacing w:val="-8"/>
          <w:sz w:val="22"/>
        </w:rPr>
        <w:t> </w:t>
      </w:r>
      <w:r>
        <w:rPr>
          <w:rFonts w:ascii="Arial"/>
          <w:i/>
          <w:sz w:val="22"/>
        </w:rPr>
        <w:t>Personal</w:t>
      </w:r>
      <w:r>
        <w:rPr>
          <w:rFonts w:ascii="Arial"/>
          <w:i/>
          <w:spacing w:val="-9"/>
          <w:sz w:val="22"/>
        </w:rPr>
        <w:t> </w:t>
      </w:r>
      <w:r>
        <w:rPr>
          <w:rFonts w:ascii="Arial"/>
          <w:i/>
          <w:sz w:val="22"/>
        </w:rPr>
        <w:t>Fuelwood</w:t>
      </w:r>
      <w:r>
        <w:rPr>
          <w:rFonts w:ascii="Arial"/>
          <w:i/>
          <w:spacing w:val="-8"/>
          <w:sz w:val="22"/>
        </w:rPr>
        <w:t> </w:t>
      </w:r>
      <w:r>
        <w:rPr>
          <w:rFonts w:ascii="Arial"/>
          <w:i/>
          <w:spacing w:val="-2"/>
          <w:sz w:val="22"/>
        </w:rPr>
        <w:t>Cutting</w:t>
      </w:r>
    </w:p>
    <w:p>
      <w:pPr>
        <w:pStyle w:val="BodyText"/>
        <w:spacing w:line="232" w:lineRule="auto" w:before="64"/>
        <w:ind w:left="1151" w:right="768"/>
        <w:jc w:val="both"/>
      </w:pPr>
      <w:r>
        <w:rPr/>
        <w:t>Personal</w:t>
      </w:r>
      <w:r>
        <w:rPr>
          <w:spacing w:val="-5"/>
        </w:rPr>
        <w:t> </w:t>
      </w:r>
      <w:r>
        <w:rPr/>
        <w:t>fuelwood</w:t>
      </w:r>
      <w:r>
        <w:rPr>
          <w:spacing w:val="-8"/>
        </w:rPr>
        <w:t> </w:t>
      </w:r>
      <w:r>
        <w:rPr/>
        <w:t>cutting</w:t>
      </w:r>
      <w:r>
        <w:rPr>
          <w:spacing w:val="-8"/>
        </w:rPr>
        <w:t> </w:t>
      </w:r>
      <w:r>
        <w:rPr/>
        <w:t>shall</w:t>
      </w:r>
      <w:r>
        <w:rPr>
          <w:spacing w:val="-5"/>
        </w:rPr>
        <w:t> </w:t>
      </w:r>
      <w:r>
        <w:rPr/>
        <w:t>not</w:t>
      </w:r>
      <w:r>
        <w:rPr>
          <w:spacing w:val="-4"/>
        </w:rPr>
        <w:t> </w:t>
      </w:r>
      <w:r>
        <w:rPr/>
        <w:t>be</w:t>
      </w:r>
      <w:r>
        <w:rPr>
          <w:spacing w:val="-4"/>
        </w:rPr>
        <w:t> </w:t>
      </w:r>
      <w:r>
        <w:rPr/>
        <w:t>authorized</w:t>
      </w:r>
      <w:r>
        <w:rPr>
          <w:spacing w:val="-6"/>
        </w:rPr>
        <w:t> </w:t>
      </w:r>
      <w:r>
        <w:rPr/>
        <w:t>within</w:t>
      </w:r>
      <w:r>
        <w:rPr>
          <w:spacing w:val="-6"/>
        </w:rPr>
        <w:t> </w:t>
      </w:r>
      <w:r>
        <w:rPr/>
        <w:t>Riparian</w:t>
      </w:r>
      <w:r>
        <w:rPr>
          <w:spacing w:val="-6"/>
        </w:rPr>
        <w:t> </w:t>
      </w:r>
      <w:r>
        <w:rPr/>
        <w:t>Management</w:t>
      </w:r>
      <w:r>
        <w:rPr>
          <w:spacing w:val="-7"/>
        </w:rPr>
        <w:t> </w:t>
      </w:r>
      <w:r>
        <w:rPr/>
        <w:t>Areas</w:t>
      </w:r>
      <w:r>
        <w:rPr>
          <w:spacing w:val="-5"/>
        </w:rPr>
        <w:t> </w:t>
      </w:r>
      <w:r>
        <w:rPr/>
        <w:t>or</w:t>
      </w:r>
      <w:r>
        <w:rPr>
          <w:spacing w:val="-5"/>
        </w:rPr>
        <w:t> </w:t>
      </w:r>
      <w:r>
        <w:rPr/>
        <w:t>source areas for large woody debris.</w:t>
      </w:r>
    </w:p>
    <w:p>
      <w:pPr>
        <w:spacing w:before="234"/>
        <w:ind w:left="1151" w:right="0" w:firstLine="0"/>
        <w:jc w:val="left"/>
        <w:rPr>
          <w:rFonts w:ascii="Arial"/>
          <w:i/>
          <w:sz w:val="22"/>
        </w:rPr>
      </w:pPr>
      <w:bookmarkStart w:name="MA-STD-RMA-03. Timber Harvest and Thinni" w:id="712"/>
      <w:bookmarkEnd w:id="712"/>
      <w:r>
        <w:rPr/>
      </w:r>
      <w:r>
        <w:rPr>
          <w:rFonts w:ascii="Arial"/>
          <w:i/>
          <w:sz w:val="22"/>
        </w:rPr>
        <w:t>MA-STD-RMA-03.</w:t>
      </w:r>
      <w:r>
        <w:rPr>
          <w:rFonts w:ascii="Arial"/>
          <w:i/>
          <w:spacing w:val="-6"/>
          <w:sz w:val="22"/>
        </w:rPr>
        <w:t> </w:t>
      </w:r>
      <w:r>
        <w:rPr>
          <w:rFonts w:ascii="Arial"/>
          <w:i/>
          <w:sz w:val="22"/>
        </w:rPr>
        <w:t>Timber</w:t>
      </w:r>
      <w:r>
        <w:rPr>
          <w:rFonts w:ascii="Arial"/>
          <w:i/>
          <w:spacing w:val="-5"/>
          <w:sz w:val="22"/>
        </w:rPr>
        <w:t> </w:t>
      </w:r>
      <w:r>
        <w:rPr>
          <w:rFonts w:ascii="Arial"/>
          <w:i/>
          <w:sz w:val="22"/>
        </w:rPr>
        <w:t>Harvest</w:t>
      </w:r>
      <w:r>
        <w:rPr>
          <w:rFonts w:ascii="Arial"/>
          <w:i/>
          <w:spacing w:val="-7"/>
          <w:sz w:val="22"/>
        </w:rPr>
        <w:t> </w:t>
      </w:r>
      <w:r>
        <w:rPr>
          <w:rFonts w:ascii="Arial"/>
          <w:i/>
          <w:sz w:val="22"/>
        </w:rPr>
        <w:t>and</w:t>
      </w:r>
      <w:r>
        <w:rPr>
          <w:rFonts w:ascii="Arial"/>
          <w:i/>
          <w:spacing w:val="-6"/>
          <w:sz w:val="22"/>
        </w:rPr>
        <w:t> </w:t>
      </w:r>
      <w:r>
        <w:rPr>
          <w:rFonts w:ascii="Arial"/>
          <w:i/>
          <w:spacing w:val="-2"/>
          <w:sz w:val="22"/>
        </w:rPr>
        <w:t>Thinning</w:t>
      </w:r>
    </w:p>
    <w:p>
      <w:pPr>
        <w:pStyle w:val="BodyText"/>
        <w:spacing w:line="232" w:lineRule="auto" w:before="65"/>
        <w:ind w:left="1151" w:right="801"/>
      </w:pPr>
      <w:r>
        <w:rPr/>
        <w:t>Timber harvest and other silvicultural practices can occur in RMAs only as necessary to attain desired</w:t>
      </w:r>
      <w:r>
        <w:rPr>
          <w:spacing w:val="-6"/>
        </w:rPr>
        <w:t> </w:t>
      </w:r>
      <w:r>
        <w:rPr/>
        <w:t>conditions</w:t>
      </w:r>
      <w:r>
        <w:rPr>
          <w:spacing w:val="-7"/>
        </w:rPr>
        <w:t> </w:t>
      </w:r>
      <w:r>
        <w:rPr/>
        <w:t>for</w:t>
      </w:r>
      <w:r>
        <w:rPr>
          <w:spacing w:val="-7"/>
        </w:rPr>
        <w:t> </w:t>
      </w:r>
      <w:r>
        <w:rPr/>
        <w:t>aquatic</w:t>
      </w:r>
      <w:r>
        <w:rPr>
          <w:spacing w:val="-5"/>
        </w:rPr>
        <w:t> </w:t>
      </w:r>
      <w:r>
        <w:rPr/>
        <w:t>and</w:t>
      </w:r>
      <w:r>
        <w:rPr>
          <w:spacing w:val="-6"/>
        </w:rPr>
        <w:t> </w:t>
      </w:r>
      <w:r>
        <w:rPr/>
        <w:t>riparian</w:t>
      </w:r>
      <w:r>
        <w:rPr>
          <w:spacing w:val="-6"/>
        </w:rPr>
        <w:t> </w:t>
      </w:r>
      <w:r>
        <w:rPr/>
        <w:t>resources.</w:t>
      </w:r>
      <w:r>
        <w:rPr>
          <w:spacing w:val="-7"/>
        </w:rPr>
        <w:t> </w:t>
      </w:r>
      <w:r>
        <w:rPr/>
        <w:t>Vegetation</w:t>
      </w:r>
      <w:r>
        <w:rPr>
          <w:spacing w:val="-6"/>
        </w:rPr>
        <w:t> </w:t>
      </w:r>
      <w:r>
        <w:rPr/>
        <w:t>in</w:t>
      </w:r>
      <w:r>
        <w:rPr>
          <w:spacing w:val="-6"/>
        </w:rPr>
        <w:t> </w:t>
      </w:r>
      <w:r>
        <w:rPr/>
        <w:t>RMAs</w:t>
      </w:r>
      <w:r>
        <w:rPr>
          <w:spacing w:val="-7"/>
        </w:rPr>
        <w:t> </w:t>
      </w:r>
      <w:r>
        <w:rPr/>
        <w:t>will</w:t>
      </w:r>
      <w:r>
        <w:rPr>
          <w:spacing w:val="-5"/>
        </w:rPr>
        <w:t> </w:t>
      </w:r>
      <w:r>
        <w:rPr/>
        <w:t>not</w:t>
      </w:r>
      <w:r>
        <w:rPr>
          <w:spacing w:val="-4"/>
        </w:rPr>
        <w:t> </w:t>
      </w:r>
      <w:r>
        <w:rPr/>
        <w:t>be</w:t>
      </w:r>
      <w:r>
        <w:rPr>
          <w:spacing w:val="-4"/>
        </w:rPr>
        <w:t> </w:t>
      </w:r>
      <w:r>
        <w:rPr/>
        <w:t>subject</w:t>
      </w:r>
      <w:r>
        <w:rPr>
          <w:spacing w:val="-4"/>
        </w:rPr>
        <w:t> </w:t>
      </w:r>
      <w:r>
        <w:rPr/>
        <w:t>to scheduled timber harvest.</w:t>
      </w:r>
    </w:p>
    <w:p>
      <w:pPr>
        <w:spacing w:before="233"/>
        <w:ind w:left="1151" w:right="0" w:firstLine="0"/>
        <w:jc w:val="left"/>
        <w:rPr>
          <w:rFonts w:ascii="Arial"/>
          <w:i/>
          <w:sz w:val="22"/>
        </w:rPr>
      </w:pPr>
      <w:bookmarkStart w:name="MA-STD-RMA-04. Yarding Activities" w:id="713"/>
      <w:bookmarkEnd w:id="713"/>
      <w:r>
        <w:rPr/>
      </w:r>
      <w:r>
        <w:rPr>
          <w:rFonts w:ascii="Arial"/>
          <w:i/>
          <w:sz w:val="22"/>
        </w:rPr>
        <w:t>MA-STD-RMA-04.</w:t>
      </w:r>
      <w:r>
        <w:rPr>
          <w:rFonts w:ascii="Arial"/>
          <w:i/>
          <w:spacing w:val="-10"/>
          <w:sz w:val="22"/>
        </w:rPr>
        <w:t> </w:t>
      </w:r>
      <w:r>
        <w:rPr>
          <w:rFonts w:ascii="Arial"/>
          <w:i/>
          <w:sz w:val="22"/>
        </w:rPr>
        <w:t>Yarding</w:t>
      </w:r>
      <w:r>
        <w:rPr>
          <w:rFonts w:ascii="Arial"/>
          <w:i/>
          <w:spacing w:val="-10"/>
          <w:sz w:val="22"/>
        </w:rPr>
        <w:t> </w:t>
      </w:r>
      <w:r>
        <w:rPr>
          <w:rFonts w:ascii="Arial"/>
          <w:i/>
          <w:spacing w:val="-2"/>
          <w:sz w:val="22"/>
        </w:rPr>
        <w:t>Activities</w:t>
      </w:r>
    </w:p>
    <w:p>
      <w:pPr>
        <w:pStyle w:val="BodyText"/>
        <w:spacing w:line="232" w:lineRule="auto" w:before="65"/>
        <w:ind w:left="1151" w:right="1073"/>
      </w:pPr>
      <w:r>
        <w:rPr/>
        <w:t>Cable</w:t>
      </w:r>
      <w:r>
        <w:rPr>
          <w:spacing w:val="-6"/>
        </w:rPr>
        <w:t> </w:t>
      </w:r>
      <w:r>
        <w:rPr/>
        <w:t>yarding</w:t>
      </w:r>
      <w:r>
        <w:rPr>
          <w:spacing w:val="-5"/>
        </w:rPr>
        <w:t> </w:t>
      </w:r>
      <w:r>
        <w:rPr/>
        <w:t>activities,</w:t>
      </w:r>
      <w:r>
        <w:rPr>
          <w:spacing w:val="-4"/>
        </w:rPr>
        <w:t> </w:t>
      </w:r>
      <w:r>
        <w:rPr/>
        <w:t>if</w:t>
      </w:r>
      <w:r>
        <w:rPr>
          <w:spacing w:val="-6"/>
        </w:rPr>
        <w:t> </w:t>
      </w:r>
      <w:r>
        <w:rPr/>
        <w:t>crossing</w:t>
      </w:r>
      <w:r>
        <w:rPr>
          <w:spacing w:val="-7"/>
        </w:rPr>
        <w:t> </w:t>
      </w:r>
      <w:r>
        <w:rPr/>
        <w:t>streams,</w:t>
      </w:r>
      <w:r>
        <w:rPr>
          <w:spacing w:val="-4"/>
        </w:rPr>
        <w:t> </w:t>
      </w:r>
      <w:r>
        <w:rPr/>
        <w:t>shall</w:t>
      </w:r>
      <w:r>
        <w:rPr>
          <w:spacing w:val="-4"/>
        </w:rPr>
        <w:t> </w:t>
      </w:r>
      <w:r>
        <w:rPr/>
        <w:t>achieve</w:t>
      </w:r>
      <w:r>
        <w:rPr>
          <w:spacing w:val="-3"/>
        </w:rPr>
        <w:t> </w:t>
      </w:r>
      <w:r>
        <w:rPr/>
        <w:t>full</w:t>
      </w:r>
      <w:r>
        <w:rPr>
          <w:spacing w:val="-4"/>
        </w:rPr>
        <w:t> </w:t>
      </w:r>
      <w:r>
        <w:rPr/>
        <w:t>suspension</w:t>
      </w:r>
      <w:r>
        <w:rPr>
          <w:spacing w:val="-7"/>
        </w:rPr>
        <w:t> </w:t>
      </w:r>
      <w:r>
        <w:rPr/>
        <w:t>over</w:t>
      </w:r>
      <w:r>
        <w:rPr>
          <w:spacing w:val="-6"/>
        </w:rPr>
        <w:t> </w:t>
      </w:r>
      <w:r>
        <w:rPr/>
        <w:t>the</w:t>
      </w:r>
      <w:r>
        <w:rPr>
          <w:spacing w:val="-6"/>
        </w:rPr>
        <w:t> </w:t>
      </w:r>
      <w:r>
        <w:rPr/>
        <w:t>active </w:t>
      </w:r>
      <w:r>
        <w:rPr>
          <w:spacing w:val="-2"/>
        </w:rPr>
        <w:t>channel.</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STD-RMA-05. Road and Trail Constructi" w:id="714"/>
      <w:bookmarkEnd w:id="714"/>
      <w:r>
        <w:rPr/>
      </w:r>
      <w:r>
        <w:rPr>
          <w:rFonts w:ascii="Arial"/>
          <w:i/>
          <w:sz w:val="22"/>
        </w:rPr>
        <w:t>MA-STD-RMA-05.</w:t>
      </w:r>
      <w:r>
        <w:rPr>
          <w:rFonts w:ascii="Arial"/>
          <w:i/>
          <w:spacing w:val="-7"/>
          <w:sz w:val="22"/>
        </w:rPr>
        <w:t> </w:t>
      </w:r>
      <w:r>
        <w:rPr>
          <w:rFonts w:ascii="Arial"/>
          <w:i/>
          <w:sz w:val="22"/>
        </w:rPr>
        <w:t>Road</w:t>
      </w:r>
      <w:r>
        <w:rPr>
          <w:rFonts w:ascii="Arial"/>
          <w:i/>
          <w:spacing w:val="-9"/>
          <w:sz w:val="22"/>
        </w:rPr>
        <w:t> </w:t>
      </w:r>
      <w:r>
        <w:rPr>
          <w:rFonts w:ascii="Arial"/>
          <w:i/>
          <w:sz w:val="22"/>
        </w:rPr>
        <w:t>and</w:t>
      </w:r>
      <w:r>
        <w:rPr>
          <w:rFonts w:ascii="Arial"/>
          <w:i/>
          <w:spacing w:val="-6"/>
          <w:sz w:val="22"/>
        </w:rPr>
        <w:t> </w:t>
      </w:r>
      <w:r>
        <w:rPr>
          <w:rFonts w:ascii="Arial"/>
          <w:i/>
          <w:sz w:val="22"/>
        </w:rPr>
        <w:t>Trail</w:t>
      </w:r>
      <w:r>
        <w:rPr>
          <w:rFonts w:ascii="Arial"/>
          <w:i/>
          <w:spacing w:val="-7"/>
          <w:sz w:val="22"/>
        </w:rPr>
        <w:t> </w:t>
      </w:r>
      <w:r>
        <w:rPr>
          <w:rFonts w:ascii="Arial"/>
          <w:i/>
          <w:sz w:val="22"/>
        </w:rPr>
        <w:t>Construction</w:t>
      </w:r>
      <w:r>
        <w:rPr>
          <w:rFonts w:ascii="Arial"/>
          <w:i/>
          <w:spacing w:val="-7"/>
          <w:sz w:val="22"/>
        </w:rPr>
        <w:t> </w:t>
      </w:r>
      <w:r>
        <w:rPr>
          <w:rFonts w:ascii="Arial"/>
          <w:i/>
          <w:sz w:val="22"/>
        </w:rPr>
        <w:t>and</w:t>
      </w:r>
      <w:r>
        <w:rPr>
          <w:rFonts w:ascii="Arial"/>
          <w:i/>
          <w:spacing w:val="-6"/>
          <w:sz w:val="22"/>
        </w:rPr>
        <w:t> </w:t>
      </w:r>
      <w:r>
        <w:rPr>
          <w:rFonts w:ascii="Arial"/>
          <w:i/>
          <w:spacing w:val="-2"/>
          <w:sz w:val="22"/>
        </w:rPr>
        <w:t>Maintenance</w:t>
      </w:r>
    </w:p>
    <w:p>
      <w:pPr>
        <w:pStyle w:val="BodyText"/>
        <w:spacing w:line="232" w:lineRule="auto" w:before="65"/>
        <w:ind w:left="360" w:right="1661"/>
        <w:jc w:val="both"/>
      </w:pPr>
      <w:r>
        <w:rPr/>
        <w:t>There</w:t>
      </w:r>
      <w:r>
        <w:rPr>
          <w:spacing w:val="-7"/>
        </w:rPr>
        <w:t> </w:t>
      </w:r>
      <w:r>
        <w:rPr/>
        <w:t>shall</w:t>
      </w:r>
      <w:r>
        <w:rPr>
          <w:spacing w:val="-5"/>
        </w:rPr>
        <w:t> </w:t>
      </w:r>
      <w:r>
        <w:rPr/>
        <w:t>be</w:t>
      </w:r>
      <w:r>
        <w:rPr>
          <w:spacing w:val="-4"/>
        </w:rPr>
        <w:t> </w:t>
      </w:r>
      <w:r>
        <w:rPr/>
        <w:t>no</w:t>
      </w:r>
      <w:r>
        <w:rPr>
          <w:spacing w:val="-4"/>
        </w:rPr>
        <w:t> </w:t>
      </w:r>
      <w:r>
        <w:rPr/>
        <w:t>sidecasting</w:t>
      </w:r>
      <w:r>
        <w:rPr>
          <w:spacing w:val="-6"/>
        </w:rPr>
        <w:t> </w:t>
      </w:r>
      <w:r>
        <w:rPr/>
        <w:t>or</w:t>
      </w:r>
      <w:r>
        <w:rPr>
          <w:spacing w:val="-5"/>
        </w:rPr>
        <w:t> </w:t>
      </w:r>
      <w:r>
        <w:rPr/>
        <w:t>placement</w:t>
      </w:r>
      <w:r>
        <w:rPr>
          <w:spacing w:val="-7"/>
        </w:rPr>
        <w:t> </w:t>
      </w:r>
      <w:r>
        <w:rPr/>
        <w:t>of</w:t>
      </w:r>
      <w:r>
        <w:rPr>
          <w:spacing w:val="-5"/>
        </w:rPr>
        <w:t> </w:t>
      </w:r>
      <w:r>
        <w:rPr/>
        <w:t>fill</w:t>
      </w:r>
      <w:r>
        <w:rPr>
          <w:spacing w:val="-5"/>
        </w:rPr>
        <w:t> </w:t>
      </w:r>
      <w:r>
        <w:rPr/>
        <w:t>in</w:t>
      </w:r>
      <w:r>
        <w:rPr>
          <w:spacing w:val="-6"/>
        </w:rPr>
        <w:t> </w:t>
      </w:r>
      <w:r>
        <w:rPr/>
        <w:t>Riparian</w:t>
      </w:r>
      <w:r>
        <w:rPr>
          <w:spacing w:val="-6"/>
        </w:rPr>
        <w:t> </w:t>
      </w:r>
      <w:r>
        <w:rPr/>
        <w:t>Management</w:t>
      </w:r>
      <w:r>
        <w:rPr>
          <w:spacing w:val="-4"/>
        </w:rPr>
        <w:t> </w:t>
      </w:r>
      <w:r>
        <w:rPr/>
        <w:t>Areas,</w:t>
      </w:r>
      <w:r>
        <w:rPr>
          <w:spacing w:val="-7"/>
        </w:rPr>
        <w:t> </w:t>
      </w:r>
      <w:r>
        <w:rPr/>
        <w:t>except</w:t>
      </w:r>
      <w:r>
        <w:rPr>
          <w:spacing w:val="-4"/>
        </w:rPr>
        <w:t> </w:t>
      </w:r>
      <w:r>
        <w:rPr/>
        <w:t>where needed</w:t>
      </w:r>
      <w:r>
        <w:rPr>
          <w:spacing w:val="-2"/>
        </w:rPr>
        <w:t> </w:t>
      </w:r>
      <w:r>
        <w:rPr/>
        <w:t>to construct</w:t>
      </w:r>
      <w:r>
        <w:rPr>
          <w:spacing w:val="-3"/>
        </w:rPr>
        <w:t> </w:t>
      </w:r>
      <w:r>
        <w:rPr/>
        <w:t>or</w:t>
      </w:r>
      <w:r>
        <w:rPr>
          <w:spacing w:val="-3"/>
        </w:rPr>
        <w:t> </w:t>
      </w:r>
      <w:r>
        <w:rPr/>
        <w:t>replace stream crossings.</w:t>
      </w:r>
      <w:r>
        <w:rPr>
          <w:spacing w:val="-1"/>
        </w:rPr>
        <w:t> </w:t>
      </w:r>
      <w:r>
        <w:rPr/>
        <w:t>Snowplowing</w:t>
      </w:r>
      <w:r>
        <w:rPr>
          <w:spacing w:val="-2"/>
        </w:rPr>
        <w:t> </w:t>
      </w:r>
      <w:r>
        <w:rPr/>
        <w:t>activities</w:t>
      </w:r>
      <w:r>
        <w:rPr>
          <w:spacing w:val="-3"/>
        </w:rPr>
        <w:t> </w:t>
      </w:r>
      <w:r>
        <w:rPr/>
        <w:t>shall</w:t>
      </w:r>
      <w:r>
        <w:rPr>
          <w:spacing w:val="-1"/>
        </w:rPr>
        <w:t> </w:t>
      </w:r>
      <w:r>
        <w:rPr/>
        <w:t>not</w:t>
      </w:r>
      <w:r>
        <w:rPr>
          <w:spacing w:val="-5"/>
        </w:rPr>
        <w:t> </w:t>
      </w:r>
      <w:r>
        <w:rPr/>
        <w:t>allow</w:t>
      </w:r>
      <w:r>
        <w:rPr>
          <w:spacing w:val="-2"/>
        </w:rPr>
        <w:t> </w:t>
      </w:r>
      <w:r>
        <w:rPr/>
        <w:t>runoff from roads and trails in locations where it could deliver sediment to streams.</w:t>
      </w:r>
    </w:p>
    <w:p>
      <w:pPr>
        <w:spacing w:before="235"/>
        <w:ind w:left="360" w:right="0" w:firstLine="0"/>
        <w:jc w:val="left"/>
        <w:rPr>
          <w:rFonts w:ascii="Arial"/>
          <w:i/>
          <w:sz w:val="22"/>
        </w:rPr>
      </w:pPr>
      <w:bookmarkStart w:name="MA-STD-RMA-06. Road and Trail Constructi" w:id="715"/>
      <w:bookmarkEnd w:id="715"/>
      <w:r>
        <w:rPr/>
      </w:r>
      <w:r>
        <w:rPr>
          <w:rFonts w:ascii="Arial"/>
          <w:i/>
          <w:sz w:val="22"/>
        </w:rPr>
        <w:t>MA-STD-RMA-06.</w:t>
      </w:r>
      <w:r>
        <w:rPr>
          <w:rFonts w:ascii="Arial"/>
          <w:i/>
          <w:spacing w:val="-7"/>
          <w:sz w:val="22"/>
        </w:rPr>
        <w:t> </w:t>
      </w:r>
      <w:r>
        <w:rPr>
          <w:rFonts w:ascii="Arial"/>
          <w:i/>
          <w:sz w:val="22"/>
        </w:rPr>
        <w:t>Road</w:t>
      </w:r>
      <w:r>
        <w:rPr>
          <w:rFonts w:ascii="Arial"/>
          <w:i/>
          <w:spacing w:val="-7"/>
          <w:sz w:val="22"/>
        </w:rPr>
        <w:t> </w:t>
      </w:r>
      <w:r>
        <w:rPr>
          <w:rFonts w:ascii="Arial"/>
          <w:i/>
          <w:sz w:val="22"/>
        </w:rPr>
        <w:t>and</w:t>
      </w:r>
      <w:r>
        <w:rPr>
          <w:rFonts w:ascii="Arial"/>
          <w:i/>
          <w:spacing w:val="-6"/>
          <w:sz w:val="22"/>
        </w:rPr>
        <w:t> </w:t>
      </w:r>
      <w:r>
        <w:rPr>
          <w:rFonts w:ascii="Arial"/>
          <w:i/>
          <w:sz w:val="22"/>
        </w:rPr>
        <w:t>Trail</w:t>
      </w:r>
      <w:r>
        <w:rPr>
          <w:rFonts w:ascii="Arial"/>
          <w:i/>
          <w:spacing w:val="-6"/>
          <w:sz w:val="22"/>
        </w:rPr>
        <w:t> </w:t>
      </w:r>
      <w:r>
        <w:rPr>
          <w:rFonts w:ascii="Arial"/>
          <w:i/>
          <w:sz w:val="22"/>
        </w:rPr>
        <w:t>Construction</w:t>
      </w:r>
      <w:r>
        <w:rPr>
          <w:rFonts w:ascii="Arial"/>
          <w:i/>
          <w:spacing w:val="-6"/>
          <w:sz w:val="22"/>
        </w:rPr>
        <w:t> </w:t>
      </w:r>
      <w:r>
        <w:rPr>
          <w:rFonts w:ascii="Arial"/>
          <w:i/>
          <w:sz w:val="22"/>
        </w:rPr>
        <w:t>at</w:t>
      </w:r>
      <w:r>
        <w:rPr>
          <w:rFonts w:ascii="Arial"/>
          <w:i/>
          <w:spacing w:val="-6"/>
          <w:sz w:val="22"/>
        </w:rPr>
        <w:t> </w:t>
      </w:r>
      <w:r>
        <w:rPr>
          <w:rFonts w:ascii="Arial"/>
          <w:i/>
          <w:sz w:val="22"/>
        </w:rPr>
        <w:t>Stream</w:t>
      </w:r>
      <w:r>
        <w:rPr>
          <w:rFonts w:ascii="Arial"/>
          <w:i/>
          <w:spacing w:val="-6"/>
          <w:sz w:val="22"/>
        </w:rPr>
        <w:t> </w:t>
      </w:r>
      <w:r>
        <w:rPr>
          <w:rFonts w:ascii="Arial"/>
          <w:i/>
          <w:spacing w:val="-2"/>
          <w:sz w:val="22"/>
        </w:rPr>
        <w:t>Crossings</w:t>
      </w:r>
    </w:p>
    <w:p>
      <w:pPr>
        <w:pStyle w:val="BodyText"/>
        <w:spacing w:line="232" w:lineRule="auto" w:before="65"/>
        <w:ind w:left="360" w:right="1605"/>
      </w:pPr>
      <w:r>
        <w:rPr/>
        <w:t>At</w:t>
      </w:r>
      <w:r>
        <w:rPr>
          <w:spacing w:val="-4"/>
        </w:rPr>
        <w:t> </w:t>
      </w:r>
      <w:r>
        <w:rPr/>
        <w:t>a</w:t>
      </w:r>
      <w:r>
        <w:rPr>
          <w:spacing w:val="-7"/>
        </w:rPr>
        <w:t> </w:t>
      </w:r>
      <w:r>
        <w:rPr/>
        <w:t>minimum,</w:t>
      </w:r>
      <w:r>
        <w:rPr>
          <w:spacing w:val="-7"/>
        </w:rPr>
        <w:t> </w:t>
      </w:r>
      <w:r>
        <w:rPr/>
        <w:t>all</w:t>
      </w:r>
      <w:r>
        <w:rPr>
          <w:spacing w:val="-5"/>
        </w:rPr>
        <w:t> </w:t>
      </w:r>
      <w:r>
        <w:rPr/>
        <w:t>new</w:t>
      </w:r>
      <w:r>
        <w:rPr>
          <w:spacing w:val="-7"/>
        </w:rPr>
        <w:t> </w:t>
      </w:r>
      <w:r>
        <w:rPr/>
        <w:t>or</w:t>
      </w:r>
      <w:r>
        <w:rPr>
          <w:spacing w:val="-5"/>
        </w:rPr>
        <w:t> </w:t>
      </w:r>
      <w:r>
        <w:rPr/>
        <w:t>replaced</w:t>
      </w:r>
      <w:r>
        <w:rPr>
          <w:spacing w:val="-6"/>
        </w:rPr>
        <w:t> </w:t>
      </w:r>
      <w:r>
        <w:rPr/>
        <w:t>permanent</w:t>
      </w:r>
      <w:r>
        <w:rPr>
          <w:spacing w:val="-7"/>
        </w:rPr>
        <w:t> </w:t>
      </w:r>
      <w:r>
        <w:rPr/>
        <w:t>stream</w:t>
      </w:r>
      <w:r>
        <w:rPr>
          <w:spacing w:val="-6"/>
        </w:rPr>
        <w:t> </w:t>
      </w:r>
      <w:r>
        <w:rPr/>
        <w:t>crossings</w:t>
      </w:r>
      <w:r>
        <w:rPr>
          <w:spacing w:val="-5"/>
        </w:rPr>
        <w:t> </w:t>
      </w:r>
      <w:r>
        <w:rPr/>
        <w:t>shall</w:t>
      </w:r>
      <w:r>
        <w:rPr>
          <w:spacing w:val="-5"/>
        </w:rPr>
        <w:t> </w:t>
      </w:r>
      <w:r>
        <w:rPr/>
        <w:t>accommodate</w:t>
      </w:r>
      <w:r>
        <w:rPr>
          <w:spacing w:val="-4"/>
        </w:rPr>
        <w:t> </w:t>
      </w:r>
      <w:r>
        <w:rPr/>
        <w:t>at</w:t>
      </w:r>
      <w:r>
        <w:rPr>
          <w:spacing w:val="-4"/>
        </w:rPr>
        <w:t> </w:t>
      </w:r>
      <w:r>
        <w:rPr/>
        <w:t>least</w:t>
      </w:r>
      <w:r>
        <w:rPr>
          <w:spacing w:val="-7"/>
        </w:rPr>
        <w:t> </w:t>
      </w:r>
      <w:r>
        <w:rPr/>
        <w:t>the 100-year flood and its bedload and debris. The 100-year flood estimates will reflect the best available science regarding potential effects of climate change.</w:t>
      </w:r>
    </w:p>
    <w:p>
      <w:pPr>
        <w:spacing w:before="233"/>
        <w:ind w:left="360" w:right="0" w:firstLine="0"/>
        <w:jc w:val="left"/>
        <w:rPr>
          <w:rFonts w:ascii="Arial"/>
          <w:i/>
          <w:sz w:val="22"/>
        </w:rPr>
      </w:pPr>
      <w:bookmarkStart w:name="MA-STD-RMA-07. Road and Trail Constructi" w:id="716"/>
      <w:bookmarkEnd w:id="716"/>
      <w:r>
        <w:rPr/>
      </w:r>
      <w:r>
        <w:rPr>
          <w:rFonts w:ascii="Arial"/>
          <w:i/>
          <w:sz w:val="22"/>
        </w:rPr>
        <w:t>MA-STD-RMA-07.</w:t>
      </w:r>
      <w:r>
        <w:rPr>
          <w:rFonts w:ascii="Arial"/>
          <w:i/>
          <w:spacing w:val="-7"/>
          <w:sz w:val="22"/>
        </w:rPr>
        <w:t> </w:t>
      </w:r>
      <w:r>
        <w:rPr>
          <w:rFonts w:ascii="Arial"/>
          <w:i/>
          <w:sz w:val="22"/>
        </w:rPr>
        <w:t>Road</w:t>
      </w:r>
      <w:r>
        <w:rPr>
          <w:rFonts w:ascii="Arial"/>
          <w:i/>
          <w:spacing w:val="-9"/>
          <w:sz w:val="22"/>
        </w:rPr>
        <w:t> </w:t>
      </w:r>
      <w:r>
        <w:rPr>
          <w:rFonts w:ascii="Arial"/>
          <w:i/>
          <w:sz w:val="22"/>
        </w:rPr>
        <w:t>and</w:t>
      </w:r>
      <w:r>
        <w:rPr>
          <w:rFonts w:ascii="Arial"/>
          <w:i/>
          <w:spacing w:val="-8"/>
          <w:sz w:val="22"/>
        </w:rPr>
        <w:t> </w:t>
      </w:r>
      <w:r>
        <w:rPr>
          <w:rFonts w:ascii="Arial"/>
          <w:i/>
          <w:sz w:val="22"/>
        </w:rPr>
        <w:t>Trail</w:t>
      </w:r>
      <w:r>
        <w:rPr>
          <w:rFonts w:ascii="Arial"/>
          <w:i/>
          <w:spacing w:val="-8"/>
          <w:sz w:val="22"/>
        </w:rPr>
        <w:t> </w:t>
      </w:r>
      <w:r>
        <w:rPr>
          <w:rFonts w:ascii="Arial"/>
          <w:i/>
          <w:sz w:val="22"/>
        </w:rPr>
        <w:t>Construction-Fish</w:t>
      </w:r>
      <w:r>
        <w:rPr>
          <w:rFonts w:ascii="Arial"/>
          <w:i/>
          <w:spacing w:val="-7"/>
          <w:sz w:val="22"/>
        </w:rPr>
        <w:t> </w:t>
      </w:r>
      <w:r>
        <w:rPr>
          <w:rFonts w:ascii="Arial"/>
          <w:i/>
          <w:spacing w:val="-2"/>
          <w:sz w:val="22"/>
        </w:rPr>
        <w:t>Passage</w:t>
      </w:r>
    </w:p>
    <w:p>
      <w:pPr>
        <w:pStyle w:val="BodyText"/>
        <w:spacing w:line="232" w:lineRule="auto" w:before="65"/>
        <w:ind w:left="360" w:right="1520"/>
      </w:pPr>
      <w:r>
        <w:rPr/>
        <w:t>Construction</w:t>
      </w:r>
      <w:r>
        <w:rPr>
          <w:spacing w:val="-8"/>
        </w:rPr>
        <w:t> </w:t>
      </w:r>
      <w:r>
        <w:rPr/>
        <w:t>or</w:t>
      </w:r>
      <w:r>
        <w:rPr>
          <w:spacing w:val="-5"/>
        </w:rPr>
        <w:t> </w:t>
      </w:r>
      <w:r>
        <w:rPr/>
        <w:t>reconstruction</w:t>
      </w:r>
      <w:r>
        <w:rPr>
          <w:spacing w:val="-8"/>
        </w:rPr>
        <w:t> </w:t>
      </w:r>
      <w:r>
        <w:rPr/>
        <w:t>of</w:t>
      </w:r>
      <w:r>
        <w:rPr>
          <w:spacing w:val="-5"/>
        </w:rPr>
        <w:t> </w:t>
      </w:r>
      <w:r>
        <w:rPr/>
        <w:t>stream</w:t>
      </w:r>
      <w:r>
        <w:rPr>
          <w:spacing w:val="-5"/>
        </w:rPr>
        <w:t> </w:t>
      </w:r>
      <w:r>
        <w:rPr/>
        <w:t>crossings</w:t>
      </w:r>
      <w:r>
        <w:rPr>
          <w:spacing w:val="-5"/>
        </w:rPr>
        <w:t> </w:t>
      </w:r>
      <w:r>
        <w:rPr/>
        <w:t>shall</w:t>
      </w:r>
      <w:r>
        <w:rPr>
          <w:spacing w:val="-6"/>
        </w:rPr>
        <w:t> </w:t>
      </w:r>
      <w:r>
        <w:rPr/>
        <w:t>provide</w:t>
      </w:r>
      <w:r>
        <w:rPr>
          <w:spacing w:val="-7"/>
        </w:rPr>
        <w:t> </w:t>
      </w:r>
      <w:r>
        <w:rPr/>
        <w:t>and</w:t>
      </w:r>
      <w:r>
        <w:rPr>
          <w:spacing w:val="-8"/>
        </w:rPr>
        <w:t> </w:t>
      </w:r>
      <w:r>
        <w:rPr/>
        <w:t>maintain</w:t>
      </w:r>
      <w:r>
        <w:rPr>
          <w:spacing w:val="-6"/>
        </w:rPr>
        <w:t> </w:t>
      </w:r>
      <w:r>
        <w:rPr/>
        <w:t>passage</w:t>
      </w:r>
      <w:r>
        <w:rPr>
          <w:spacing w:val="-5"/>
        </w:rPr>
        <w:t> </w:t>
      </w:r>
      <w:r>
        <w:rPr/>
        <w:t>for</w:t>
      </w:r>
      <w:r>
        <w:rPr>
          <w:spacing w:val="-7"/>
        </w:rPr>
        <w:t> </w:t>
      </w:r>
      <w:r>
        <w:rPr/>
        <w:t>all</w:t>
      </w:r>
      <w:r>
        <w:rPr>
          <w:spacing w:val="-5"/>
        </w:rPr>
        <w:t> </w:t>
      </w:r>
      <w:r>
        <w:rPr/>
        <w:t>life stages of all native and desired non-native aquatic species and for riparian-dependent</w:t>
      </w:r>
      <w:r>
        <w:rPr/>
        <w:t> organisms where connectivity has been identified as an issue. Crossing designs shall reflect the best available science regarding potential effects of climate change on peak flows and low </w:t>
      </w:r>
      <w:r>
        <w:rPr>
          <w:spacing w:val="-2"/>
        </w:rPr>
        <w:t>flows.</w:t>
      </w:r>
    </w:p>
    <w:p>
      <w:pPr>
        <w:spacing w:before="233"/>
        <w:ind w:left="359" w:right="0" w:firstLine="0"/>
        <w:jc w:val="left"/>
        <w:rPr>
          <w:rFonts w:ascii="Arial"/>
          <w:i/>
          <w:sz w:val="22"/>
        </w:rPr>
      </w:pPr>
      <w:bookmarkStart w:name="MA-STD-RMA-08. Management of Livestock G" w:id="717"/>
      <w:bookmarkEnd w:id="717"/>
      <w:r>
        <w:rPr/>
      </w:r>
      <w:r>
        <w:rPr>
          <w:rFonts w:ascii="Arial"/>
          <w:i/>
          <w:sz w:val="22"/>
        </w:rPr>
        <w:t>MA-STD-RMA-08.</w:t>
      </w:r>
      <w:r>
        <w:rPr>
          <w:rFonts w:ascii="Arial"/>
          <w:i/>
          <w:spacing w:val="-6"/>
          <w:sz w:val="22"/>
        </w:rPr>
        <w:t> </w:t>
      </w:r>
      <w:r>
        <w:rPr>
          <w:rFonts w:ascii="Arial"/>
          <w:i/>
          <w:sz w:val="22"/>
        </w:rPr>
        <w:t>Management</w:t>
      </w:r>
      <w:r>
        <w:rPr>
          <w:rFonts w:ascii="Arial"/>
          <w:i/>
          <w:spacing w:val="-6"/>
          <w:sz w:val="22"/>
        </w:rPr>
        <w:t> </w:t>
      </w:r>
      <w:r>
        <w:rPr>
          <w:rFonts w:ascii="Arial"/>
          <w:i/>
          <w:sz w:val="22"/>
        </w:rPr>
        <w:t>of</w:t>
      </w:r>
      <w:r>
        <w:rPr>
          <w:rFonts w:ascii="Arial"/>
          <w:i/>
          <w:spacing w:val="-6"/>
          <w:sz w:val="22"/>
        </w:rPr>
        <w:t> </w:t>
      </w:r>
      <w:r>
        <w:rPr>
          <w:rFonts w:ascii="Arial"/>
          <w:i/>
          <w:sz w:val="22"/>
        </w:rPr>
        <w:t>Livestock</w:t>
      </w:r>
      <w:r>
        <w:rPr>
          <w:rFonts w:ascii="Arial"/>
          <w:i/>
          <w:spacing w:val="-8"/>
          <w:sz w:val="22"/>
        </w:rPr>
        <w:t> </w:t>
      </w:r>
      <w:r>
        <w:rPr>
          <w:rFonts w:ascii="Arial"/>
          <w:i/>
          <w:sz w:val="22"/>
        </w:rPr>
        <w:t>Grazing</w:t>
      </w:r>
      <w:r>
        <w:rPr>
          <w:rFonts w:ascii="Arial"/>
          <w:i/>
          <w:spacing w:val="-5"/>
          <w:sz w:val="22"/>
        </w:rPr>
        <w:t> </w:t>
      </w:r>
      <w:r>
        <w:rPr>
          <w:rFonts w:ascii="Arial"/>
          <w:i/>
          <w:sz w:val="22"/>
        </w:rPr>
        <w:t>to</w:t>
      </w:r>
      <w:r>
        <w:rPr>
          <w:rFonts w:ascii="Arial"/>
          <w:i/>
          <w:spacing w:val="-6"/>
          <w:sz w:val="22"/>
        </w:rPr>
        <w:t> </w:t>
      </w:r>
      <w:r>
        <w:rPr>
          <w:rFonts w:ascii="Arial"/>
          <w:i/>
          <w:sz w:val="22"/>
        </w:rPr>
        <w:t>Attain</w:t>
      </w:r>
      <w:r>
        <w:rPr>
          <w:rFonts w:ascii="Arial"/>
          <w:i/>
          <w:spacing w:val="-8"/>
          <w:sz w:val="22"/>
        </w:rPr>
        <w:t> </w:t>
      </w:r>
      <w:r>
        <w:rPr>
          <w:rFonts w:ascii="Arial"/>
          <w:i/>
          <w:sz w:val="22"/>
        </w:rPr>
        <w:t>Desired</w:t>
      </w:r>
      <w:r>
        <w:rPr>
          <w:rFonts w:ascii="Arial"/>
          <w:i/>
          <w:spacing w:val="-5"/>
          <w:sz w:val="22"/>
        </w:rPr>
        <w:t> </w:t>
      </w:r>
      <w:r>
        <w:rPr>
          <w:rFonts w:ascii="Arial"/>
          <w:i/>
          <w:spacing w:val="-2"/>
          <w:sz w:val="22"/>
        </w:rPr>
        <w:t>Conditions</w:t>
      </w:r>
    </w:p>
    <w:p>
      <w:pPr>
        <w:pStyle w:val="BodyText"/>
        <w:spacing w:line="232" w:lineRule="auto" w:before="64"/>
        <w:ind w:left="359" w:right="1445"/>
      </w:pPr>
      <w:r>
        <w:rPr/>
        <w:t>Manage livestock grazing to move toward aquatic and riparian desired conditions. Where livestock grazing is found to prevent or retard attainment of aquatic and riparian desired conditions,</w:t>
      </w:r>
      <w:r>
        <w:rPr>
          <w:spacing w:val="-8"/>
        </w:rPr>
        <w:t> </w:t>
      </w:r>
      <w:r>
        <w:rPr/>
        <w:t>modify</w:t>
      </w:r>
      <w:r>
        <w:rPr>
          <w:spacing w:val="-6"/>
        </w:rPr>
        <w:t> </w:t>
      </w:r>
      <w:r>
        <w:rPr/>
        <w:t>grazing</w:t>
      </w:r>
      <w:r>
        <w:rPr>
          <w:spacing w:val="-9"/>
        </w:rPr>
        <w:t> </w:t>
      </w:r>
      <w:r>
        <w:rPr/>
        <w:t>management.</w:t>
      </w:r>
      <w:r>
        <w:rPr>
          <w:spacing w:val="-7"/>
        </w:rPr>
        <w:t> </w:t>
      </w:r>
      <w:r>
        <w:rPr/>
        <w:t>If</w:t>
      </w:r>
      <w:r>
        <w:rPr>
          <w:spacing w:val="-7"/>
        </w:rPr>
        <w:t> </w:t>
      </w:r>
      <w:r>
        <w:rPr/>
        <w:t>adjusting</w:t>
      </w:r>
      <w:r>
        <w:rPr>
          <w:spacing w:val="-8"/>
        </w:rPr>
        <w:t> </w:t>
      </w:r>
      <w:r>
        <w:rPr/>
        <w:t>practices</w:t>
      </w:r>
      <w:r>
        <w:rPr>
          <w:spacing w:val="-8"/>
        </w:rPr>
        <w:t> </w:t>
      </w:r>
      <w:r>
        <w:rPr/>
        <w:t>is</w:t>
      </w:r>
      <w:r>
        <w:rPr>
          <w:spacing w:val="-7"/>
        </w:rPr>
        <w:t> </w:t>
      </w:r>
      <w:r>
        <w:rPr/>
        <w:t>not</w:t>
      </w:r>
      <w:r>
        <w:rPr>
          <w:spacing w:val="-6"/>
        </w:rPr>
        <w:t> </w:t>
      </w:r>
      <w:r>
        <w:rPr/>
        <w:t>effective,</w:t>
      </w:r>
      <w:r>
        <w:rPr>
          <w:spacing w:val="-8"/>
        </w:rPr>
        <w:t> </w:t>
      </w:r>
      <w:r>
        <w:rPr/>
        <w:t>remove</w:t>
      </w:r>
      <w:r>
        <w:rPr>
          <w:spacing w:val="-6"/>
        </w:rPr>
        <w:t> </w:t>
      </w:r>
      <w:r>
        <w:rPr/>
        <w:t>livestock from that area using appropriate administrative authorities and procedures.</w:t>
      </w:r>
    </w:p>
    <w:p>
      <w:pPr>
        <w:spacing w:before="234"/>
        <w:ind w:left="359" w:right="2220" w:hanging="1"/>
        <w:jc w:val="left"/>
        <w:rPr>
          <w:rFonts w:ascii="Arial"/>
          <w:i/>
          <w:sz w:val="22"/>
        </w:rPr>
      </w:pPr>
      <w:bookmarkStart w:name="MA-STD-RMA-09. Recreational and Permitte" w:id="718"/>
      <w:bookmarkEnd w:id="718"/>
      <w:r>
        <w:rPr/>
      </w:r>
      <w:r>
        <w:rPr>
          <w:rFonts w:ascii="Arial"/>
          <w:i/>
          <w:sz w:val="22"/>
        </w:rPr>
        <w:t>MA-STD-RMA-09.</w:t>
      </w:r>
      <w:r>
        <w:rPr>
          <w:rFonts w:ascii="Arial"/>
          <w:i/>
          <w:spacing w:val="-5"/>
          <w:sz w:val="22"/>
        </w:rPr>
        <w:t> </w:t>
      </w:r>
      <w:r>
        <w:rPr>
          <w:rFonts w:ascii="Arial"/>
          <w:i/>
          <w:sz w:val="22"/>
        </w:rPr>
        <w:t>Recreational</w:t>
      </w:r>
      <w:r>
        <w:rPr>
          <w:rFonts w:ascii="Arial"/>
          <w:i/>
          <w:spacing w:val="-7"/>
          <w:sz w:val="22"/>
        </w:rPr>
        <w:t> </w:t>
      </w:r>
      <w:r>
        <w:rPr>
          <w:rFonts w:ascii="Arial"/>
          <w:i/>
          <w:sz w:val="22"/>
        </w:rPr>
        <w:t>and</w:t>
      </w:r>
      <w:r>
        <w:rPr>
          <w:rFonts w:ascii="Arial"/>
          <w:i/>
          <w:spacing w:val="-7"/>
          <w:sz w:val="22"/>
        </w:rPr>
        <w:t> </w:t>
      </w:r>
      <w:r>
        <w:rPr>
          <w:rFonts w:ascii="Arial"/>
          <w:i/>
          <w:sz w:val="22"/>
        </w:rPr>
        <w:t>Permitted</w:t>
      </w:r>
      <w:r>
        <w:rPr>
          <w:rFonts w:ascii="Arial"/>
          <w:i/>
          <w:spacing w:val="-9"/>
          <w:sz w:val="22"/>
        </w:rPr>
        <w:t> </w:t>
      </w:r>
      <w:r>
        <w:rPr>
          <w:rFonts w:ascii="Arial"/>
          <w:i/>
          <w:sz w:val="22"/>
        </w:rPr>
        <w:t>Grazing</w:t>
      </w:r>
      <w:r>
        <w:rPr>
          <w:rFonts w:ascii="Arial"/>
          <w:i/>
          <w:spacing w:val="-7"/>
          <w:sz w:val="22"/>
        </w:rPr>
        <w:t> </w:t>
      </w:r>
      <w:r>
        <w:rPr>
          <w:rFonts w:ascii="Arial"/>
          <w:i/>
          <w:sz w:val="22"/>
        </w:rPr>
        <w:t>Management-Livestock</w:t>
      </w:r>
      <w:r>
        <w:rPr>
          <w:rFonts w:ascii="Arial"/>
          <w:i/>
          <w:sz w:val="22"/>
        </w:rPr>
        <w:t> Handling, Management, and Water Facilities</w:t>
      </w:r>
    </w:p>
    <w:p>
      <w:pPr>
        <w:pStyle w:val="BodyText"/>
        <w:spacing w:line="232" w:lineRule="auto" w:before="64"/>
        <w:ind w:left="359" w:right="1445"/>
      </w:pPr>
      <w:r>
        <w:rPr/>
        <w:t>New</w:t>
      </w:r>
      <w:r>
        <w:rPr>
          <w:spacing w:val="-5"/>
        </w:rPr>
        <w:t> </w:t>
      </w:r>
      <w:r>
        <w:rPr/>
        <w:t>and</w:t>
      </w:r>
      <w:r>
        <w:rPr>
          <w:spacing w:val="-8"/>
        </w:rPr>
        <w:t> </w:t>
      </w:r>
      <w:r>
        <w:rPr/>
        <w:t>replaced</w:t>
      </w:r>
      <w:r>
        <w:rPr>
          <w:spacing w:val="-6"/>
        </w:rPr>
        <w:t> </w:t>
      </w:r>
      <w:r>
        <w:rPr/>
        <w:t>livestock</w:t>
      </w:r>
      <w:r>
        <w:rPr>
          <w:spacing w:val="-7"/>
        </w:rPr>
        <w:t> </w:t>
      </w:r>
      <w:r>
        <w:rPr/>
        <w:t>handling</w:t>
      </w:r>
      <w:r>
        <w:rPr>
          <w:spacing w:val="-6"/>
        </w:rPr>
        <w:t> </w:t>
      </w:r>
      <w:r>
        <w:rPr/>
        <w:t>and/or</w:t>
      </w:r>
      <w:r>
        <w:rPr>
          <w:spacing w:val="-6"/>
        </w:rPr>
        <w:t> </w:t>
      </w:r>
      <w:r>
        <w:rPr/>
        <w:t>management</w:t>
      </w:r>
      <w:r>
        <w:rPr>
          <w:spacing w:val="-5"/>
        </w:rPr>
        <w:t> </w:t>
      </w:r>
      <w:r>
        <w:rPr/>
        <w:t>facilities</w:t>
      </w:r>
      <w:r>
        <w:rPr>
          <w:spacing w:val="-7"/>
        </w:rPr>
        <w:t> </w:t>
      </w:r>
      <w:r>
        <w:rPr/>
        <w:t>and</w:t>
      </w:r>
      <w:r>
        <w:rPr>
          <w:spacing w:val="-6"/>
        </w:rPr>
        <w:t> </w:t>
      </w:r>
      <w:r>
        <w:rPr/>
        <w:t>livestock</w:t>
      </w:r>
      <w:r>
        <w:rPr>
          <w:spacing w:val="-7"/>
        </w:rPr>
        <w:t> </w:t>
      </w:r>
      <w:r>
        <w:rPr/>
        <w:t>trailing,</w:t>
      </w:r>
      <w:r>
        <w:rPr>
          <w:spacing w:val="-6"/>
        </w:rPr>
        <w:t> </w:t>
      </w:r>
      <w:r>
        <w:rPr/>
        <w:t>salting, and bedding are prohibited</w:t>
      </w:r>
      <w:r>
        <w:rPr>
          <w:spacing w:val="-2"/>
        </w:rPr>
        <w:t> </w:t>
      </w:r>
      <w:r>
        <w:rPr/>
        <w:t>in RMAs</w:t>
      </w:r>
      <w:r>
        <w:rPr>
          <w:spacing w:val="-1"/>
        </w:rPr>
        <w:t> </w:t>
      </w:r>
      <w:r>
        <w:rPr/>
        <w:t>unless they do not prevent</w:t>
      </w:r>
      <w:r>
        <w:rPr>
          <w:spacing w:val="-1"/>
        </w:rPr>
        <w:t> </w:t>
      </w:r>
      <w:r>
        <w:rPr/>
        <w:t>or</w:t>
      </w:r>
      <w:r>
        <w:rPr>
          <w:spacing w:val="-1"/>
        </w:rPr>
        <w:t> </w:t>
      </w:r>
      <w:r>
        <w:rPr/>
        <w:t>retard attainment of</w:t>
      </w:r>
      <w:r>
        <w:rPr>
          <w:spacing w:val="-1"/>
        </w:rPr>
        <w:t> </w:t>
      </w:r>
      <w:r>
        <w:rPr/>
        <w:t>aquatic and riparian desired conditions, inherently must be located in an RMA, or are needed for resource protection.</w:t>
      </w:r>
    </w:p>
    <w:p>
      <w:pPr>
        <w:spacing w:before="223"/>
        <w:ind w:left="359" w:right="0" w:firstLine="0"/>
        <w:jc w:val="left"/>
        <w:rPr>
          <w:rFonts w:ascii="Arial" w:hAnsi="Arial"/>
          <w:i/>
          <w:sz w:val="22"/>
        </w:rPr>
      </w:pPr>
      <w:bookmarkStart w:name="MA-STD-RMA-10. Permitted Grazing Managem" w:id="719"/>
      <w:bookmarkEnd w:id="719"/>
      <w:r>
        <w:rPr/>
      </w:r>
      <w:r>
        <w:rPr>
          <w:rFonts w:ascii="Arial" w:hAnsi="Arial"/>
          <w:i/>
          <w:sz w:val="22"/>
        </w:rPr>
        <w:t>MA-STD-RMA-10.</w:t>
      </w:r>
      <w:r>
        <w:rPr>
          <w:rFonts w:ascii="Arial" w:hAnsi="Arial"/>
          <w:i/>
          <w:spacing w:val="-8"/>
          <w:sz w:val="22"/>
        </w:rPr>
        <w:t> </w:t>
      </w:r>
      <w:r>
        <w:rPr>
          <w:rFonts w:ascii="Arial" w:hAnsi="Arial"/>
          <w:i/>
          <w:sz w:val="22"/>
        </w:rPr>
        <w:t>Permitted</w:t>
      </w:r>
      <w:r>
        <w:rPr>
          <w:rFonts w:ascii="Arial" w:hAnsi="Arial"/>
          <w:i/>
          <w:spacing w:val="-11"/>
          <w:sz w:val="22"/>
        </w:rPr>
        <w:t> </w:t>
      </w:r>
      <w:r>
        <w:rPr>
          <w:rFonts w:ascii="Arial" w:hAnsi="Arial"/>
          <w:i/>
          <w:sz w:val="22"/>
        </w:rPr>
        <w:t>Grazing</w:t>
      </w:r>
      <w:r>
        <w:rPr>
          <w:rFonts w:ascii="Arial" w:hAnsi="Arial"/>
          <w:i/>
          <w:spacing w:val="-10"/>
          <w:sz w:val="22"/>
        </w:rPr>
        <w:t> </w:t>
      </w:r>
      <w:r>
        <w:rPr>
          <w:rFonts w:ascii="Arial" w:hAnsi="Arial"/>
          <w:i/>
          <w:sz w:val="22"/>
        </w:rPr>
        <w:t>Management</w:t>
      </w:r>
      <w:r>
        <w:rPr>
          <w:rFonts w:ascii="Arial" w:hAnsi="Arial"/>
          <w:i/>
          <w:spacing w:val="-9"/>
          <w:sz w:val="22"/>
        </w:rPr>
        <w:t> </w:t>
      </w:r>
      <w:r>
        <w:rPr>
          <w:rFonts w:ascii="Symbol" w:hAnsi="Symbol"/>
          <w:i/>
          <w:sz w:val="23"/>
        </w:rPr>
        <w:t></w:t>
      </w:r>
      <w:r>
        <w:rPr>
          <w:rFonts w:ascii="Times New Roman" w:hAnsi="Times New Roman"/>
          <w:spacing w:val="-4"/>
          <w:sz w:val="23"/>
        </w:rPr>
        <w:t> </w:t>
      </w:r>
      <w:r>
        <w:rPr>
          <w:rFonts w:ascii="Arial" w:hAnsi="Arial"/>
          <w:i/>
          <w:sz w:val="22"/>
        </w:rPr>
        <w:t>Allotment</w:t>
      </w:r>
      <w:r>
        <w:rPr>
          <w:rFonts w:ascii="Arial" w:hAnsi="Arial"/>
          <w:i/>
          <w:spacing w:val="-10"/>
          <w:sz w:val="22"/>
        </w:rPr>
        <w:t> </w:t>
      </w:r>
      <w:r>
        <w:rPr>
          <w:rFonts w:ascii="Arial" w:hAnsi="Arial"/>
          <w:i/>
          <w:sz w:val="22"/>
        </w:rPr>
        <w:t>Management</w:t>
      </w:r>
      <w:r>
        <w:rPr>
          <w:rFonts w:ascii="Arial" w:hAnsi="Arial"/>
          <w:i/>
          <w:spacing w:val="-8"/>
          <w:sz w:val="22"/>
        </w:rPr>
        <w:t> </w:t>
      </w:r>
      <w:r>
        <w:rPr>
          <w:rFonts w:ascii="Arial" w:hAnsi="Arial"/>
          <w:i/>
          <w:spacing w:val="-2"/>
          <w:sz w:val="22"/>
        </w:rPr>
        <w:t>Planning</w:t>
      </w:r>
    </w:p>
    <w:p>
      <w:pPr>
        <w:pStyle w:val="BodyText"/>
        <w:spacing w:line="232" w:lineRule="auto" w:before="63"/>
        <w:ind w:left="360" w:right="1445"/>
      </w:pPr>
      <w:r>
        <w:rPr/>
        <w:t>During allotment management planning, negative impacts to water quality and aquatic and riparian function from existing livestock handling or management facilities located within Riparian</w:t>
      </w:r>
      <w:r>
        <w:rPr>
          <w:spacing w:val="-7"/>
        </w:rPr>
        <w:t> </w:t>
      </w:r>
      <w:r>
        <w:rPr/>
        <w:t>Management</w:t>
      </w:r>
      <w:r>
        <w:rPr>
          <w:spacing w:val="-5"/>
        </w:rPr>
        <w:t> </w:t>
      </w:r>
      <w:r>
        <w:rPr/>
        <w:t>Areas</w:t>
      </w:r>
      <w:r>
        <w:rPr>
          <w:spacing w:val="-5"/>
        </w:rPr>
        <w:t> </w:t>
      </w:r>
      <w:r>
        <w:rPr/>
        <w:t>shall</w:t>
      </w:r>
      <w:r>
        <w:rPr>
          <w:spacing w:val="-6"/>
        </w:rPr>
        <w:t> </w:t>
      </w:r>
      <w:r>
        <w:rPr/>
        <w:t>be</w:t>
      </w:r>
      <w:r>
        <w:rPr>
          <w:spacing w:val="-7"/>
        </w:rPr>
        <w:t> </w:t>
      </w:r>
      <w:r>
        <w:rPr/>
        <w:t>minimized</w:t>
      </w:r>
      <w:r>
        <w:rPr>
          <w:spacing w:val="-7"/>
        </w:rPr>
        <w:t> </w:t>
      </w:r>
      <w:r>
        <w:rPr/>
        <w:t>to</w:t>
      </w:r>
      <w:r>
        <w:rPr>
          <w:spacing w:val="-5"/>
        </w:rPr>
        <w:t> </w:t>
      </w:r>
      <w:r>
        <w:rPr/>
        <w:t>allow</w:t>
      </w:r>
      <w:r>
        <w:rPr>
          <w:spacing w:val="-5"/>
        </w:rPr>
        <w:t> </w:t>
      </w:r>
      <w:r>
        <w:rPr/>
        <w:t>conditions</w:t>
      </w:r>
      <w:r>
        <w:rPr>
          <w:spacing w:val="-6"/>
        </w:rPr>
        <w:t> </w:t>
      </w:r>
      <w:r>
        <w:rPr/>
        <w:t>to</w:t>
      </w:r>
      <w:r>
        <w:rPr>
          <w:spacing w:val="-7"/>
        </w:rPr>
        <w:t> </w:t>
      </w:r>
      <w:r>
        <w:rPr/>
        <w:t>move</w:t>
      </w:r>
      <w:r>
        <w:rPr>
          <w:spacing w:val="-5"/>
        </w:rPr>
        <w:t> </w:t>
      </w:r>
      <w:r>
        <w:rPr/>
        <w:t>toward</w:t>
      </w:r>
      <w:r>
        <w:rPr>
          <w:spacing w:val="-7"/>
        </w:rPr>
        <w:t> </w:t>
      </w:r>
      <w:r>
        <w:rPr/>
        <w:t>the</w:t>
      </w:r>
      <w:r>
        <w:rPr>
          <w:spacing w:val="-5"/>
        </w:rPr>
        <w:t> </w:t>
      </w:r>
      <w:r>
        <w:rPr/>
        <w:t>desired </w:t>
      </w:r>
      <w:r>
        <w:rPr>
          <w:spacing w:val="-2"/>
        </w:rPr>
        <w:t>condition.</w:t>
      </w:r>
    </w:p>
    <w:p>
      <w:pPr>
        <w:spacing w:line="237" w:lineRule="auto" w:before="226"/>
        <w:ind w:left="360" w:right="2220" w:firstLine="0"/>
        <w:jc w:val="left"/>
        <w:rPr>
          <w:rFonts w:ascii="Arial" w:hAnsi="Arial"/>
          <w:i/>
          <w:sz w:val="22"/>
        </w:rPr>
      </w:pPr>
      <w:bookmarkStart w:name="MA-STD-RMA-11. Wildland Fire and Fuels M" w:id="720"/>
      <w:bookmarkEnd w:id="720"/>
      <w:r>
        <w:rPr/>
      </w:r>
      <w:r>
        <w:rPr>
          <w:rFonts w:ascii="Arial" w:hAnsi="Arial"/>
          <w:i/>
          <w:sz w:val="22"/>
        </w:rPr>
        <w:t>MA-STD-RMA-11.</w:t>
      </w:r>
      <w:r>
        <w:rPr>
          <w:rFonts w:ascii="Arial" w:hAnsi="Arial"/>
          <w:i/>
          <w:spacing w:val="-6"/>
          <w:sz w:val="22"/>
        </w:rPr>
        <w:t> </w:t>
      </w:r>
      <w:r>
        <w:rPr>
          <w:rFonts w:ascii="Arial" w:hAnsi="Arial"/>
          <w:i/>
          <w:sz w:val="22"/>
        </w:rPr>
        <w:t>Wildland</w:t>
      </w:r>
      <w:r>
        <w:rPr>
          <w:rFonts w:ascii="Arial" w:hAnsi="Arial"/>
          <w:i/>
          <w:spacing w:val="-5"/>
          <w:sz w:val="22"/>
        </w:rPr>
        <w:t> </w:t>
      </w:r>
      <w:r>
        <w:rPr>
          <w:rFonts w:ascii="Arial" w:hAnsi="Arial"/>
          <w:i/>
          <w:sz w:val="22"/>
        </w:rPr>
        <w:t>Fire</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Fuels</w:t>
      </w:r>
      <w:r>
        <w:rPr>
          <w:rFonts w:ascii="Arial" w:hAnsi="Arial"/>
          <w:i/>
          <w:spacing w:val="-4"/>
          <w:sz w:val="22"/>
        </w:rPr>
        <w:t> </w:t>
      </w:r>
      <w:r>
        <w:rPr>
          <w:rFonts w:ascii="Arial" w:hAnsi="Arial"/>
          <w:i/>
          <w:sz w:val="22"/>
        </w:rPr>
        <w:t>Management</w:t>
      </w:r>
      <w:r>
        <w:rPr>
          <w:rFonts w:ascii="Arial" w:hAnsi="Arial"/>
          <w:i/>
          <w:spacing w:val="-5"/>
          <w:sz w:val="22"/>
        </w:rPr>
        <w:t> </w:t>
      </w:r>
      <w:r>
        <w:rPr>
          <w:rFonts w:ascii="Symbol" w:hAnsi="Symbol"/>
          <w:i/>
          <w:sz w:val="23"/>
        </w:rPr>
        <w:t></w:t>
      </w:r>
      <w:r>
        <w:rPr>
          <w:rFonts w:ascii="Times New Roman" w:hAnsi="Times New Roman"/>
          <w:spacing w:val="-2"/>
          <w:sz w:val="23"/>
        </w:rPr>
        <w:t> </w:t>
      </w:r>
      <w:r>
        <w:rPr>
          <w:rFonts w:ascii="Arial" w:hAnsi="Arial"/>
          <w:i/>
          <w:sz w:val="22"/>
        </w:rPr>
        <w:t>Minimum</w:t>
      </w:r>
      <w:r>
        <w:rPr>
          <w:rFonts w:ascii="Arial" w:hAnsi="Arial"/>
          <w:i/>
          <w:spacing w:val="-6"/>
          <w:sz w:val="22"/>
        </w:rPr>
        <w:t> </w:t>
      </w:r>
      <w:r>
        <w:rPr>
          <w:rFonts w:ascii="Arial" w:hAnsi="Arial"/>
          <w:i/>
          <w:sz w:val="22"/>
        </w:rPr>
        <w:t>Impact</w:t>
      </w:r>
      <w:r>
        <w:rPr>
          <w:rFonts w:ascii="Arial" w:hAnsi="Arial"/>
          <w:i/>
          <w:sz w:val="22"/>
        </w:rPr>
        <w:t> Suppression Tactics</w:t>
      </w:r>
    </w:p>
    <w:p>
      <w:pPr>
        <w:pStyle w:val="BodyText"/>
        <w:spacing w:before="59"/>
        <w:ind w:left="360"/>
      </w:pPr>
      <w:r>
        <w:rPr/>
        <w:t>Use</w:t>
      </w:r>
      <w:r>
        <w:rPr>
          <w:spacing w:val="-8"/>
        </w:rPr>
        <w:t> </w:t>
      </w:r>
      <w:r>
        <w:rPr/>
        <w:t>minimum</w:t>
      </w:r>
      <w:r>
        <w:rPr>
          <w:spacing w:val="-5"/>
        </w:rPr>
        <w:t> </w:t>
      </w:r>
      <w:r>
        <w:rPr/>
        <w:t>impact</w:t>
      </w:r>
      <w:r>
        <w:rPr>
          <w:spacing w:val="-7"/>
        </w:rPr>
        <w:t> </w:t>
      </w:r>
      <w:r>
        <w:rPr/>
        <w:t>suppression</w:t>
      </w:r>
      <w:r>
        <w:rPr>
          <w:spacing w:val="-7"/>
        </w:rPr>
        <w:t> </w:t>
      </w:r>
      <w:r>
        <w:rPr/>
        <w:t>tactics</w:t>
      </w:r>
      <w:r>
        <w:rPr>
          <w:spacing w:val="-6"/>
        </w:rPr>
        <w:t> </w:t>
      </w:r>
      <w:r>
        <w:rPr/>
        <w:t>during</w:t>
      </w:r>
      <w:r>
        <w:rPr>
          <w:spacing w:val="-6"/>
        </w:rPr>
        <w:t> </w:t>
      </w:r>
      <w:r>
        <w:rPr/>
        <w:t>wildland</w:t>
      </w:r>
      <w:r>
        <w:rPr>
          <w:spacing w:val="-7"/>
        </w:rPr>
        <w:t> </w:t>
      </w:r>
      <w:r>
        <w:rPr/>
        <w:t>fire</w:t>
      </w:r>
      <w:r>
        <w:rPr>
          <w:spacing w:val="-5"/>
        </w:rPr>
        <w:t> </w:t>
      </w:r>
      <w:r>
        <w:rPr/>
        <w:t>suppression</w:t>
      </w:r>
      <w:r>
        <w:rPr>
          <w:spacing w:val="-6"/>
        </w:rPr>
        <w:t> </w:t>
      </w:r>
      <w:r>
        <w:rPr/>
        <w:t>activities</w:t>
      </w:r>
      <w:r>
        <w:rPr>
          <w:spacing w:val="-6"/>
        </w:rPr>
        <w:t> </w:t>
      </w:r>
      <w:r>
        <w:rPr/>
        <w:t>in</w:t>
      </w:r>
      <w:r>
        <w:rPr>
          <w:spacing w:val="-6"/>
        </w:rPr>
        <w:t> </w:t>
      </w:r>
      <w:r>
        <w:rPr>
          <w:spacing w:val="-2"/>
        </w:rPr>
        <w:t>RMAs.</w:t>
      </w:r>
    </w:p>
    <w:p>
      <w:pPr>
        <w:spacing w:before="223"/>
        <w:ind w:left="359" w:right="0" w:firstLine="0"/>
        <w:jc w:val="left"/>
        <w:rPr>
          <w:rFonts w:ascii="Arial" w:hAnsi="Arial"/>
          <w:i/>
          <w:sz w:val="22"/>
        </w:rPr>
      </w:pPr>
      <w:bookmarkStart w:name="MA-STD-RMA-12. Wildland Fire and Fuels M" w:id="721"/>
      <w:bookmarkEnd w:id="721"/>
      <w:r>
        <w:rPr/>
      </w:r>
      <w:r>
        <w:rPr>
          <w:rFonts w:ascii="Arial" w:hAnsi="Arial"/>
          <w:i/>
          <w:sz w:val="22"/>
        </w:rPr>
        <w:t>MA-STD-RMA-12.</w:t>
      </w:r>
      <w:r>
        <w:rPr>
          <w:rFonts w:ascii="Arial" w:hAnsi="Arial"/>
          <w:i/>
          <w:spacing w:val="-8"/>
          <w:sz w:val="22"/>
        </w:rPr>
        <w:t> </w:t>
      </w:r>
      <w:r>
        <w:rPr>
          <w:rFonts w:ascii="Arial" w:hAnsi="Arial"/>
          <w:i/>
          <w:sz w:val="22"/>
        </w:rPr>
        <w:t>Wildland</w:t>
      </w:r>
      <w:r>
        <w:rPr>
          <w:rFonts w:ascii="Arial" w:hAnsi="Arial"/>
          <w:i/>
          <w:spacing w:val="-7"/>
          <w:sz w:val="22"/>
        </w:rPr>
        <w:t> </w:t>
      </w:r>
      <w:r>
        <w:rPr>
          <w:rFonts w:ascii="Arial" w:hAnsi="Arial"/>
          <w:i/>
          <w:sz w:val="22"/>
        </w:rPr>
        <w:t>Fire</w:t>
      </w:r>
      <w:r>
        <w:rPr>
          <w:rFonts w:ascii="Arial" w:hAnsi="Arial"/>
          <w:i/>
          <w:spacing w:val="-7"/>
          <w:sz w:val="22"/>
        </w:rPr>
        <w:t> </w:t>
      </w:r>
      <w:r>
        <w:rPr>
          <w:rFonts w:ascii="Arial" w:hAnsi="Arial"/>
          <w:i/>
          <w:sz w:val="22"/>
        </w:rPr>
        <w:t>and</w:t>
      </w:r>
      <w:r>
        <w:rPr>
          <w:rFonts w:ascii="Arial" w:hAnsi="Arial"/>
          <w:i/>
          <w:spacing w:val="-8"/>
          <w:sz w:val="22"/>
        </w:rPr>
        <w:t> </w:t>
      </w:r>
      <w:r>
        <w:rPr>
          <w:rFonts w:ascii="Arial" w:hAnsi="Arial"/>
          <w:i/>
          <w:sz w:val="22"/>
        </w:rPr>
        <w:t>Fuels</w:t>
      </w:r>
      <w:r>
        <w:rPr>
          <w:rFonts w:ascii="Arial" w:hAnsi="Arial"/>
          <w:i/>
          <w:spacing w:val="-6"/>
          <w:sz w:val="22"/>
        </w:rPr>
        <w:t> </w:t>
      </w:r>
      <w:r>
        <w:rPr>
          <w:rFonts w:ascii="Arial" w:hAnsi="Arial"/>
          <w:i/>
          <w:sz w:val="22"/>
        </w:rPr>
        <w:t>Management</w:t>
      </w:r>
      <w:r>
        <w:rPr>
          <w:rFonts w:ascii="Arial" w:hAnsi="Arial"/>
          <w:i/>
          <w:spacing w:val="-7"/>
          <w:sz w:val="22"/>
        </w:rPr>
        <w:t> </w:t>
      </w:r>
      <w:r>
        <w:rPr>
          <w:rFonts w:ascii="Symbol" w:hAnsi="Symbol"/>
          <w:i/>
          <w:sz w:val="23"/>
        </w:rPr>
        <w:t></w:t>
      </w:r>
      <w:r>
        <w:rPr>
          <w:rFonts w:ascii="Times New Roman" w:hAnsi="Times New Roman"/>
          <w:spacing w:val="-4"/>
          <w:sz w:val="23"/>
        </w:rPr>
        <w:t> </w:t>
      </w:r>
      <w:r>
        <w:rPr>
          <w:rFonts w:ascii="Arial" w:hAnsi="Arial"/>
          <w:i/>
          <w:sz w:val="22"/>
        </w:rPr>
        <w:t>Portable</w:t>
      </w:r>
      <w:r>
        <w:rPr>
          <w:rFonts w:ascii="Arial" w:hAnsi="Arial"/>
          <w:i/>
          <w:spacing w:val="-7"/>
          <w:sz w:val="22"/>
        </w:rPr>
        <w:t> </w:t>
      </w:r>
      <w:r>
        <w:rPr>
          <w:rFonts w:ascii="Arial" w:hAnsi="Arial"/>
          <w:i/>
          <w:spacing w:val="-2"/>
          <w:sz w:val="22"/>
        </w:rPr>
        <w:t>Pumps</w:t>
      </w:r>
    </w:p>
    <w:p>
      <w:pPr>
        <w:pStyle w:val="BodyText"/>
        <w:spacing w:line="232" w:lineRule="auto" w:before="63"/>
        <w:ind w:left="360" w:right="1445"/>
      </w:pPr>
      <w:r>
        <w:rPr/>
        <w:t>Portable</w:t>
      </w:r>
      <w:r>
        <w:rPr>
          <w:spacing w:val="-6"/>
        </w:rPr>
        <w:t> </w:t>
      </w:r>
      <w:r>
        <w:rPr/>
        <w:t>pump</w:t>
      </w:r>
      <w:r>
        <w:rPr>
          <w:spacing w:val="-8"/>
        </w:rPr>
        <w:t> </w:t>
      </w:r>
      <w:r>
        <w:rPr/>
        <w:t>set-ups</w:t>
      </w:r>
      <w:r>
        <w:rPr>
          <w:spacing w:val="-7"/>
        </w:rPr>
        <w:t> </w:t>
      </w:r>
      <w:r>
        <w:rPr/>
        <w:t>shall</w:t>
      </w:r>
      <w:r>
        <w:rPr>
          <w:spacing w:val="-7"/>
        </w:rPr>
        <w:t> </w:t>
      </w:r>
      <w:r>
        <w:rPr/>
        <w:t>include</w:t>
      </w:r>
      <w:r>
        <w:rPr>
          <w:spacing w:val="-6"/>
        </w:rPr>
        <w:t> </w:t>
      </w:r>
      <w:r>
        <w:rPr/>
        <w:t>containment</w:t>
      </w:r>
      <w:r>
        <w:rPr>
          <w:spacing w:val="-9"/>
        </w:rPr>
        <w:t> </w:t>
      </w:r>
      <w:r>
        <w:rPr/>
        <w:t>provisions</w:t>
      </w:r>
      <w:r>
        <w:rPr>
          <w:spacing w:val="-7"/>
        </w:rPr>
        <w:t> </w:t>
      </w:r>
      <w:r>
        <w:rPr/>
        <w:t>for</w:t>
      </w:r>
      <w:r>
        <w:rPr>
          <w:spacing w:val="-7"/>
        </w:rPr>
        <w:t> </w:t>
      </w:r>
      <w:r>
        <w:rPr/>
        <w:t>fuel</w:t>
      </w:r>
      <w:r>
        <w:rPr>
          <w:spacing w:val="-9"/>
        </w:rPr>
        <w:t> </w:t>
      </w:r>
      <w:r>
        <w:rPr/>
        <w:t>spills,</w:t>
      </w:r>
      <w:r>
        <w:rPr>
          <w:spacing w:val="-7"/>
        </w:rPr>
        <w:t> </w:t>
      </w:r>
      <w:r>
        <w:rPr/>
        <w:t>and</w:t>
      </w:r>
      <w:r>
        <w:rPr>
          <w:spacing w:val="-8"/>
        </w:rPr>
        <w:t> </w:t>
      </w:r>
      <w:r>
        <w:rPr/>
        <w:t>fuel</w:t>
      </w:r>
      <w:r>
        <w:rPr>
          <w:spacing w:val="-7"/>
        </w:rPr>
        <w:t> </w:t>
      </w:r>
      <w:r>
        <w:rPr/>
        <w:t>containers shall have appropriate containment provisions.</w:t>
      </w:r>
    </w:p>
    <w:p>
      <w:pPr>
        <w:spacing w:before="234"/>
        <w:ind w:left="360" w:right="0" w:firstLine="0"/>
        <w:jc w:val="left"/>
        <w:rPr>
          <w:rFonts w:ascii="Arial"/>
          <w:i/>
          <w:sz w:val="22"/>
        </w:rPr>
      </w:pPr>
      <w:bookmarkStart w:name="MA-STD-RMA-13. Water Drafting" w:id="722"/>
      <w:bookmarkEnd w:id="722"/>
      <w:r>
        <w:rPr/>
      </w:r>
      <w:r>
        <w:rPr>
          <w:rFonts w:ascii="Arial"/>
          <w:i/>
          <w:sz w:val="22"/>
        </w:rPr>
        <w:t>MA-STD-RMA-13.</w:t>
      </w:r>
      <w:r>
        <w:rPr>
          <w:rFonts w:ascii="Arial"/>
          <w:i/>
          <w:spacing w:val="-8"/>
          <w:sz w:val="22"/>
        </w:rPr>
        <w:t> </w:t>
      </w:r>
      <w:r>
        <w:rPr>
          <w:rFonts w:ascii="Arial"/>
          <w:i/>
          <w:sz w:val="22"/>
        </w:rPr>
        <w:t>Water</w:t>
      </w:r>
      <w:r>
        <w:rPr>
          <w:rFonts w:ascii="Arial"/>
          <w:i/>
          <w:spacing w:val="-8"/>
          <w:sz w:val="22"/>
        </w:rPr>
        <w:t> </w:t>
      </w:r>
      <w:r>
        <w:rPr>
          <w:rFonts w:ascii="Arial"/>
          <w:i/>
          <w:spacing w:val="-2"/>
          <w:sz w:val="22"/>
        </w:rPr>
        <w:t>Drafting</w:t>
      </w:r>
    </w:p>
    <w:p>
      <w:pPr>
        <w:pStyle w:val="BodyText"/>
        <w:spacing w:line="232" w:lineRule="auto" w:before="65"/>
        <w:ind w:left="359" w:right="1148"/>
      </w:pPr>
      <w:r>
        <w:rPr/>
        <w:t>Fish habitat and water quality shall be protected when withdrawing water for administrative purposes.</w:t>
      </w:r>
      <w:r>
        <w:rPr>
          <w:spacing w:val="-5"/>
        </w:rPr>
        <w:t> </w:t>
      </w:r>
      <w:r>
        <w:rPr/>
        <w:t>When</w:t>
      </w:r>
      <w:r>
        <w:rPr>
          <w:spacing w:val="-6"/>
        </w:rPr>
        <w:t> </w:t>
      </w:r>
      <w:r>
        <w:rPr/>
        <w:t>drafting,</w:t>
      </w:r>
      <w:r>
        <w:rPr>
          <w:spacing w:val="-5"/>
        </w:rPr>
        <w:t> </w:t>
      </w:r>
      <w:r>
        <w:rPr/>
        <w:t>pumps</w:t>
      </w:r>
      <w:r>
        <w:rPr>
          <w:spacing w:val="-5"/>
        </w:rPr>
        <w:t> </w:t>
      </w:r>
      <w:r>
        <w:rPr/>
        <w:t>shall</w:t>
      </w:r>
      <w:r>
        <w:rPr>
          <w:spacing w:val="-8"/>
        </w:rPr>
        <w:t> </w:t>
      </w:r>
      <w:r>
        <w:rPr/>
        <w:t>be</w:t>
      </w:r>
      <w:r>
        <w:rPr>
          <w:spacing w:val="-4"/>
        </w:rPr>
        <w:t> </w:t>
      </w:r>
      <w:r>
        <w:rPr/>
        <w:t>screened</w:t>
      </w:r>
      <w:r>
        <w:rPr>
          <w:spacing w:val="-6"/>
        </w:rPr>
        <w:t> </w:t>
      </w:r>
      <w:r>
        <w:rPr/>
        <w:t>at</w:t>
      </w:r>
      <w:r>
        <w:rPr>
          <w:spacing w:val="-7"/>
        </w:rPr>
        <w:t> </w:t>
      </w:r>
      <w:r>
        <w:rPr/>
        <w:t>drafting</w:t>
      </w:r>
      <w:r>
        <w:rPr>
          <w:spacing w:val="-6"/>
        </w:rPr>
        <w:t> </w:t>
      </w:r>
      <w:r>
        <w:rPr/>
        <w:t>sites</w:t>
      </w:r>
      <w:r>
        <w:rPr>
          <w:spacing w:val="-5"/>
        </w:rPr>
        <w:t> </w:t>
      </w:r>
      <w:r>
        <w:rPr/>
        <w:t>to</w:t>
      </w:r>
      <w:r>
        <w:rPr>
          <w:spacing w:val="-4"/>
        </w:rPr>
        <w:t> </w:t>
      </w:r>
      <w:r>
        <w:rPr/>
        <w:t>prevent</w:t>
      </w:r>
      <w:r>
        <w:rPr>
          <w:spacing w:val="-4"/>
        </w:rPr>
        <w:t> </w:t>
      </w:r>
      <w:r>
        <w:rPr/>
        <w:t>entrainment</w:t>
      </w:r>
      <w:r>
        <w:rPr>
          <w:spacing w:val="-7"/>
        </w:rPr>
        <w:t> </w:t>
      </w:r>
      <w:r>
        <w:rPr/>
        <w:t>of aquatic species, screen area shall be sized to prevent impingement on the screens, and shall</w:t>
      </w:r>
    </w:p>
    <w:p>
      <w:pPr>
        <w:pStyle w:val="BodyText"/>
        <w:spacing w:after="0" w:line="232" w:lineRule="auto"/>
        <w:sectPr>
          <w:pgSz w:w="12240" w:h="15840"/>
          <w:pgMar w:header="725" w:footer="891" w:top="960" w:bottom="1080" w:left="1080" w:right="720"/>
        </w:sectPr>
      </w:pPr>
    </w:p>
    <w:p>
      <w:pPr>
        <w:pStyle w:val="BodyText"/>
        <w:spacing w:before="212"/>
      </w:pPr>
    </w:p>
    <w:p>
      <w:pPr>
        <w:pStyle w:val="BodyText"/>
        <w:spacing w:line="232" w:lineRule="auto"/>
        <w:ind w:left="1151" w:right="1073"/>
      </w:pPr>
      <w:r>
        <w:rPr/>
        <w:t>have</w:t>
      </w:r>
      <w:r>
        <w:rPr>
          <w:spacing w:val="-8"/>
        </w:rPr>
        <w:t> </w:t>
      </w:r>
      <w:r>
        <w:rPr/>
        <w:t>one-way</w:t>
      </w:r>
      <w:r>
        <w:rPr>
          <w:spacing w:val="-10"/>
        </w:rPr>
        <w:t> </w:t>
      </w:r>
      <w:r>
        <w:rPr/>
        <w:t>valves</w:t>
      </w:r>
      <w:r>
        <w:rPr>
          <w:spacing w:val="-11"/>
        </w:rPr>
        <w:t> </w:t>
      </w:r>
      <w:r>
        <w:rPr/>
        <w:t>to</w:t>
      </w:r>
      <w:r>
        <w:rPr>
          <w:spacing w:val="-8"/>
        </w:rPr>
        <w:t> </w:t>
      </w:r>
      <w:r>
        <w:rPr/>
        <w:t>prevent</w:t>
      </w:r>
      <w:r>
        <w:rPr>
          <w:spacing w:val="-8"/>
        </w:rPr>
        <w:t> </w:t>
      </w:r>
      <w:r>
        <w:rPr/>
        <w:t>back-flow</w:t>
      </w:r>
      <w:r>
        <w:rPr>
          <w:spacing w:val="-11"/>
        </w:rPr>
        <w:t> </w:t>
      </w:r>
      <w:r>
        <w:rPr/>
        <w:t>into</w:t>
      </w:r>
      <w:r>
        <w:rPr>
          <w:spacing w:val="-8"/>
        </w:rPr>
        <w:t> </w:t>
      </w:r>
      <w:r>
        <w:rPr/>
        <w:t>streams.</w:t>
      </w:r>
      <w:r>
        <w:rPr>
          <w:spacing w:val="-9"/>
        </w:rPr>
        <w:t> </w:t>
      </w:r>
      <w:r>
        <w:rPr/>
        <w:t>Use</w:t>
      </w:r>
      <w:r>
        <w:rPr>
          <w:spacing w:val="-8"/>
        </w:rPr>
        <w:t> </w:t>
      </w:r>
      <w:r>
        <w:rPr/>
        <w:t>appropriate</w:t>
      </w:r>
      <w:r>
        <w:rPr>
          <w:spacing w:val="-8"/>
        </w:rPr>
        <w:t> </w:t>
      </w:r>
      <w:r>
        <w:rPr/>
        <w:t>screening</w:t>
      </w:r>
      <w:r>
        <w:rPr>
          <w:spacing w:val="-10"/>
        </w:rPr>
        <w:t> </w:t>
      </w:r>
      <w:r>
        <w:rPr/>
        <w:t>criteria where listed fish or critical habitat are present.</w:t>
      </w:r>
    </w:p>
    <w:p>
      <w:pPr>
        <w:spacing w:before="234"/>
        <w:ind w:left="1151" w:right="0" w:firstLine="0"/>
        <w:jc w:val="left"/>
        <w:rPr>
          <w:rFonts w:ascii="Arial"/>
          <w:i/>
          <w:sz w:val="22"/>
        </w:rPr>
      </w:pPr>
      <w:bookmarkStart w:name="MA-STD-RMA-14. Aerial Application of Fir" w:id="723"/>
      <w:bookmarkEnd w:id="723"/>
      <w:r>
        <w:rPr/>
      </w:r>
      <w:r>
        <w:rPr>
          <w:rFonts w:ascii="Arial"/>
          <w:i/>
          <w:sz w:val="22"/>
        </w:rPr>
        <w:t>MA-STD-RMA-14.</w:t>
      </w:r>
      <w:r>
        <w:rPr>
          <w:rFonts w:ascii="Arial"/>
          <w:i/>
          <w:spacing w:val="-5"/>
          <w:sz w:val="22"/>
        </w:rPr>
        <w:t> </w:t>
      </w:r>
      <w:r>
        <w:rPr>
          <w:rFonts w:ascii="Arial"/>
          <w:i/>
          <w:sz w:val="22"/>
        </w:rPr>
        <w:t>Aerial</w:t>
      </w:r>
      <w:r>
        <w:rPr>
          <w:rFonts w:ascii="Arial"/>
          <w:i/>
          <w:spacing w:val="-10"/>
          <w:sz w:val="22"/>
        </w:rPr>
        <w:t> </w:t>
      </w:r>
      <w:r>
        <w:rPr>
          <w:rFonts w:ascii="Arial"/>
          <w:i/>
          <w:sz w:val="22"/>
        </w:rPr>
        <w:t>Application</w:t>
      </w:r>
      <w:r>
        <w:rPr>
          <w:rFonts w:ascii="Arial"/>
          <w:i/>
          <w:spacing w:val="-6"/>
          <w:sz w:val="22"/>
        </w:rPr>
        <w:t> </w:t>
      </w:r>
      <w:r>
        <w:rPr>
          <w:rFonts w:ascii="Arial"/>
          <w:i/>
          <w:sz w:val="22"/>
        </w:rPr>
        <w:t>of</w:t>
      </w:r>
      <w:r>
        <w:rPr>
          <w:rFonts w:ascii="Arial"/>
          <w:i/>
          <w:spacing w:val="-7"/>
          <w:sz w:val="22"/>
        </w:rPr>
        <w:t> </w:t>
      </w:r>
      <w:r>
        <w:rPr>
          <w:rFonts w:ascii="Arial"/>
          <w:i/>
          <w:sz w:val="22"/>
        </w:rPr>
        <w:t>Fire</w:t>
      </w:r>
      <w:r>
        <w:rPr>
          <w:rFonts w:ascii="Arial"/>
          <w:i/>
          <w:spacing w:val="-6"/>
          <w:sz w:val="22"/>
        </w:rPr>
        <w:t> </w:t>
      </w:r>
      <w:r>
        <w:rPr>
          <w:rFonts w:ascii="Arial"/>
          <w:i/>
          <w:spacing w:val="-2"/>
          <w:sz w:val="22"/>
        </w:rPr>
        <w:t>Chemicals</w:t>
      </w:r>
    </w:p>
    <w:p>
      <w:pPr>
        <w:pStyle w:val="BodyText"/>
        <w:spacing w:line="232" w:lineRule="auto" w:before="65"/>
        <w:ind w:left="1151" w:right="932"/>
      </w:pPr>
      <w:r>
        <w:rPr/>
        <w:t>Aerial application of chemical retardant, foam, or other fire chemicals is prohibited within</w:t>
      </w:r>
      <w:r>
        <w:rPr/>
        <w:t> 300 feet (slope distance)</w:t>
      </w:r>
      <w:r>
        <w:rPr>
          <w:spacing w:val="-2"/>
        </w:rPr>
        <w:t> </w:t>
      </w:r>
      <w:r>
        <w:rPr/>
        <w:t>of</w:t>
      </w:r>
      <w:r>
        <w:rPr>
          <w:spacing w:val="-2"/>
        </w:rPr>
        <w:t> </w:t>
      </w:r>
      <w:r>
        <w:rPr/>
        <w:t>perennial and</w:t>
      </w:r>
      <w:r>
        <w:rPr>
          <w:spacing w:val="-1"/>
        </w:rPr>
        <w:t> </w:t>
      </w:r>
      <w:r>
        <w:rPr/>
        <w:t>intermittent</w:t>
      </w:r>
      <w:r>
        <w:rPr>
          <w:spacing w:val="-2"/>
        </w:rPr>
        <w:t> </w:t>
      </w:r>
      <w:r>
        <w:rPr/>
        <w:t>waterways. Waterways</w:t>
      </w:r>
      <w:r>
        <w:rPr>
          <w:spacing w:val="-2"/>
        </w:rPr>
        <w:t> </w:t>
      </w:r>
      <w:r>
        <w:rPr/>
        <w:t>are</w:t>
      </w:r>
      <w:r>
        <w:rPr>
          <w:spacing w:val="-2"/>
        </w:rPr>
        <w:t> </w:t>
      </w:r>
      <w:r>
        <w:rPr/>
        <w:t>defined</w:t>
      </w:r>
      <w:r>
        <w:rPr>
          <w:spacing w:val="-1"/>
        </w:rPr>
        <w:t> </w:t>
      </w:r>
      <w:r>
        <w:rPr/>
        <w:t>as any</w:t>
      </w:r>
      <w:r>
        <w:rPr>
          <w:spacing w:val="-4"/>
        </w:rPr>
        <w:t> </w:t>
      </w:r>
      <w:r>
        <w:rPr/>
        <w:t>body</w:t>
      </w:r>
      <w:r>
        <w:rPr>
          <w:spacing w:val="-6"/>
        </w:rPr>
        <w:t> </w:t>
      </w:r>
      <w:r>
        <w:rPr/>
        <w:t>of</w:t>
      </w:r>
      <w:r>
        <w:rPr>
          <w:spacing w:val="-7"/>
        </w:rPr>
        <w:t> </w:t>
      </w:r>
      <w:r>
        <w:rPr/>
        <w:t>water</w:t>
      </w:r>
      <w:r>
        <w:rPr>
          <w:spacing w:val="-5"/>
        </w:rPr>
        <w:t> </w:t>
      </w:r>
      <w:r>
        <w:rPr/>
        <w:t>(including</w:t>
      </w:r>
      <w:r>
        <w:rPr>
          <w:spacing w:val="-6"/>
        </w:rPr>
        <w:t> </w:t>
      </w:r>
      <w:r>
        <w:rPr/>
        <w:t>lakes,</w:t>
      </w:r>
      <w:r>
        <w:rPr>
          <w:spacing w:val="-5"/>
        </w:rPr>
        <w:t> </w:t>
      </w:r>
      <w:r>
        <w:rPr/>
        <w:t>rivers,</w:t>
      </w:r>
      <w:r>
        <w:rPr>
          <w:spacing w:val="-7"/>
        </w:rPr>
        <w:t> </w:t>
      </w:r>
      <w:r>
        <w:rPr/>
        <w:t>streams,</w:t>
      </w:r>
      <w:r>
        <w:rPr>
          <w:spacing w:val="-5"/>
        </w:rPr>
        <w:t> </w:t>
      </w:r>
      <w:r>
        <w:rPr/>
        <w:t>and</w:t>
      </w:r>
      <w:r>
        <w:rPr>
          <w:spacing w:val="-8"/>
        </w:rPr>
        <w:t> </w:t>
      </w:r>
      <w:r>
        <w:rPr/>
        <w:t>ponds)</w:t>
      </w:r>
      <w:r>
        <w:rPr>
          <w:spacing w:val="-7"/>
        </w:rPr>
        <w:t> </w:t>
      </w:r>
      <w:r>
        <w:rPr/>
        <w:t>whether</w:t>
      </w:r>
      <w:r>
        <w:rPr>
          <w:spacing w:val="-5"/>
        </w:rPr>
        <w:t> </w:t>
      </w:r>
      <w:r>
        <w:rPr/>
        <w:t>it</w:t>
      </w:r>
      <w:r>
        <w:rPr>
          <w:spacing w:val="-7"/>
        </w:rPr>
        <w:t> </w:t>
      </w:r>
      <w:r>
        <w:rPr/>
        <w:t>contains</w:t>
      </w:r>
      <w:r>
        <w:rPr>
          <w:spacing w:val="-7"/>
        </w:rPr>
        <w:t> </w:t>
      </w:r>
      <w:r>
        <w:rPr/>
        <w:t>aquatic</w:t>
      </w:r>
      <w:r>
        <w:rPr>
          <w:spacing w:val="-5"/>
        </w:rPr>
        <w:t> </w:t>
      </w:r>
      <w:r>
        <w:rPr/>
        <w:t>life except in cases where human life or public safety is threatened and chemical use could be</w:t>
      </w:r>
    </w:p>
    <w:p>
      <w:pPr>
        <w:pStyle w:val="BodyText"/>
        <w:spacing w:line="232" w:lineRule="auto"/>
        <w:ind w:left="1151" w:right="801"/>
      </w:pPr>
      <w:r>
        <w:rPr/>
        <w:t>reasonably</w:t>
      </w:r>
      <w:r>
        <w:rPr>
          <w:spacing w:val="-6"/>
        </w:rPr>
        <w:t> </w:t>
      </w:r>
      <w:r>
        <w:rPr/>
        <w:t>expected</w:t>
      </w:r>
      <w:r>
        <w:rPr>
          <w:spacing w:val="-8"/>
        </w:rPr>
        <w:t> </w:t>
      </w:r>
      <w:r>
        <w:rPr/>
        <w:t>to</w:t>
      </w:r>
      <w:r>
        <w:rPr>
          <w:spacing w:val="-6"/>
        </w:rPr>
        <w:t> </w:t>
      </w:r>
      <w:r>
        <w:rPr/>
        <w:t>alleviate</w:t>
      </w:r>
      <w:r>
        <w:rPr>
          <w:spacing w:val="-7"/>
        </w:rPr>
        <w:t> </w:t>
      </w:r>
      <w:r>
        <w:rPr/>
        <w:t>that</w:t>
      </w:r>
      <w:r>
        <w:rPr>
          <w:spacing w:val="-4"/>
        </w:rPr>
        <w:t> </w:t>
      </w:r>
      <w:r>
        <w:rPr/>
        <w:t>threat.</w:t>
      </w:r>
      <w:r>
        <w:rPr>
          <w:spacing w:val="-8"/>
        </w:rPr>
        <w:t> </w:t>
      </w:r>
      <w:r>
        <w:rPr/>
        <w:t>This</w:t>
      </w:r>
      <w:r>
        <w:rPr>
          <w:spacing w:val="-5"/>
        </w:rPr>
        <w:t> </w:t>
      </w:r>
      <w:r>
        <w:rPr/>
        <w:t>includes</w:t>
      </w:r>
      <w:r>
        <w:rPr>
          <w:spacing w:val="-5"/>
        </w:rPr>
        <w:t> </w:t>
      </w:r>
      <w:r>
        <w:rPr/>
        <w:t>open</w:t>
      </w:r>
      <w:r>
        <w:rPr>
          <w:spacing w:val="-6"/>
        </w:rPr>
        <w:t> </w:t>
      </w:r>
      <w:r>
        <w:rPr/>
        <w:t>water</w:t>
      </w:r>
      <w:r>
        <w:rPr>
          <w:spacing w:val="-5"/>
        </w:rPr>
        <w:t> </w:t>
      </w:r>
      <w:r>
        <w:rPr/>
        <w:t>that</w:t>
      </w:r>
      <w:r>
        <w:rPr>
          <w:spacing w:val="-7"/>
        </w:rPr>
        <w:t> </w:t>
      </w:r>
      <w:r>
        <w:rPr/>
        <w:t>may</w:t>
      </w:r>
      <w:r>
        <w:rPr>
          <w:spacing w:val="-4"/>
        </w:rPr>
        <w:t> </w:t>
      </w:r>
      <w:r>
        <w:rPr/>
        <w:t>not</w:t>
      </w:r>
      <w:r>
        <w:rPr>
          <w:spacing w:val="-4"/>
        </w:rPr>
        <w:t> </w:t>
      </w:r>
      <w:r>
        <w:rPr/>
        <w:t>be</w:t>
      </w:r>
      <w:r>
        <w:rPr>
          <w:spacing w:val="-7"/>
        </w:rPr>
        <w:t> </w:t>
      </w:r>
      <w:r>
        <w:rPr/>
        <w:t>mapped as such on avoidance area maps and intermittent streams with surface water at the time of retardant use.</w:t>
      </w:r>
    </w:p>
    <w:p>
      <w:pPr>
        <w:spacing w:before="233"/>
        <w:ind w:left="1151" w:right="0" w:firstLine="0"/>
        <w:jc w:val="left"/>
        <w:rPr>
          <w:rFonts w:ascii="Arial"/>
          <w:i/>
          <w:sz w:val="22"/>
        </w:rPr>
      </w:pPr>
      <w:bookmarkStart w:name="MA-STD-RMA-15. Lands and Special Uses Au" w:id="724"/>
      <w:bookmarkEnd w:id="724"/>
      <w:r>
        <w:rPr/>
      </w:r>
      <w:r>
        <w:rPr>
          <w:rFonts w:ascii="Arial"/>
          <w:i/>
          <w:sz w:val="22"/>
        </w:rPr>
        <w:t>MA-STD-RMA-15.</w:t>
      </w:r>
      <w:r>
        <w:rPr>
          <w:rFonts w:ascii="Arial"/>
          <w:i/>
          <w:spacing w:val="-5"/>
          <w:sz w:val="22"/>
        </w:rPr>
        <w:t> </w:t>
      </w:r>
      <w:r>
        <w:rPr>
          <w:rFonts w:ascii="Arial"/>
          <w:i/>
          <w:sz w:val="22"/>
        </w:rPr>
        <w:t>Lands</w:t>
      </w:r>
      <w:r>
        <w:rPr>
          <w:rFonts w:ascii="Arial"/>
          <w:i/>
          <w:spacing w:val="-7"/>
          <w:sz w:val="22"/>
        </w:rPr>
        <w:t> </w:t>
      </w:r>
      <w:r>
        <w:rPr>
          <w:rFonts w:ascii="Arial"/>
          <w:i/>
          <w:sz w:val="22"/>
        </w:rPr>
        <w:t>and</w:t>
      </w:r>
      <w:r>
        <w:rPr>
          <w:rFonts w:ascii="Arial"/>
          <w:i/>
          <w:spacing w:val="-6"/>
          <w:sz w:val="22"/>
        </w:rPr>
        <w:t> </w:t>
      </w:r>
      <w:r>
        <w:rPr>
          <w:rFonts w:ascii="Arial"/>
          <w:i/>
          <w:sz w:val="22"/>
        </w:rPr>
        <w:t>Special</w:t>
      </w:r>
      <w:r>
        <w:rPr>
          <w:rFonts w:ascii="Arial"/>
          <w:i/>
          <w:spacing w:val="-6"/>
          <w:sz w:val="22"/>
        </w:rPr>
        <w:t> </w:t>
      </w:r>
      <w:r>
        <w:rPr>
          <w:rFonts w:ascii="Arial"/>
          <w:i/>
          <w:sz w:val="22"/>
        </w:rPr>
        <w:t>Uses</w:t>
      </w:r>
      <w:r>
        <w:rPr>
          <w:rFonts w:ascii="Arial"/>
          <w:i/>
          <w:spacing w:val="-7"/>
          <w:sz w:val="22"/>
        </w:rPr>
        <w:t> </w:t>
      </w:r>
      <w:r>
        <w:rPr>
          <w:rFonts w:ascii="Arial"/>
          <w:i/>
          <w:spacing w:val="-2"/>
          <w:sz w:val="22"/>
        </w:rPr>
        <w:t>Authorizations</w:t>
      </w:r>
    </w:p>
    <w:p>
      <w:pPr>
        <w:pStyle w:val="BodyText"/>
        <w:spacing w:line="232" w:lineRule="auto" w:before="64"/>
        <w:ind w:left="1152" w:right="742"/>
      </w:pPr>
      <w:r>
        <w:rPr/>
        <w:t>Authorizations for all new and existing special uses that result in adverse effects to habitat conditions</w:t>
      </w:r>
      <w:r>
        <w:rPr>
          <w:spacing w:val="-8"/>
        </w:rPr>
        <w:t> </w:t>
      </w:r>
      <w:r>
        <w:rPr/>
        <w:t>and</w:t>
      </w:r>
      <w:r>
        <w:rPr>
          <w:spacing w:val="-6"/>
        </w:rPr>
        <w:t> </w:t>
      </w:r>
      <w:r>
        <w:rPr/>
        <w:t>ecological</w:t>
      </w:r>
      <w:r>
        <w:rPr>
          <w:spacing w:val="-6"/>
        </w:rPr>
        <w:t> </w:t>
      </w:r>
      <w:r>
        <w:rPr/>
        <w:t>processes</w:t>
      </w:r>
      <w:r>
        <w:rPr>
          <w:spacing w:val="-6"/>
        </w:rPr>
        <w:t> </w:t>
      </w:r>
      <w:r>
        <w:rPr/>
        <w:t>essential</w:t>
      </w:r>
      <w:r>
        <w:rPr>
          <w:spacing w:val="-6"/>
        </w:rPr>
        <w:t> </w:t>
      </w:r>
      <w:r>
        <w:rPr/>
        <w:t>to</w:t>
      </w:r>
      <w:r>
        <w:rPr>
          <w:spacing w:val="-5"/>
        </w:rPr>
        <w:t> </w:t>
      </w:r>
      <w:r>
        <w:rPr/>
        <w:t>aquatic</w:t>
      </w:r>
      <w:r>
        <w:rPr>
          <w:spacing w:val="-6"/>
        </w:rPr>
        <w:t> </w:t>
      </w:r>
      <w:r>
        <w:rPr/>
        <w:t>and</w:t>
      </w:r>
      <w:r>
        <w:rPr>
          <w:spacing w:val="-7"/>
        </w:rPr>
        <w:t> </w:t>
      </w:r>
      <w:r>
        <w:rPr/>
        <w:t>riparian-dependent</w:t>
      </w:r>
      <w:r>
        <w:rPr>
          <w:spacing w:val="-5"/>
        </w:rPr>
        <w:t> </w:t>
      </w:r>
      <w:r>
        <w:rPr/>
        <w:t>resources</w:t>
      </w:r>
      <w:r>
        <w:rPr>
          <w:spacing w:val="-8"/>
        </w:rPr>
        <w:t> </w:t>
      </w:r>
      <w:r>
        <w:rPr/>
        <w:t>shall require mitigation that results in re-establishment, restoration, mitigation, or improvement of those conditions and processes. These authorizations include, but are not limited to, water diversion or transmission facilities (e.g., pipelines, ditches), energy transmission lines, roads, hydroelectric, and other surface water development proposals.</w:t>
      </w:r>
    </w:p>
    <w:p>
      <w:pPr>
        <w:spacing w:before="221"/>
        <w:ind w:left="1151" w:right="0" w:firstLine="0"/>
        <w:jc w:val="left"/>
        <w:rPr>
          <w:rFonts w:ascii="Arial" w:hAnsi="Arial"/>
          <w:i/>
          <w:sz w:val="22"/>
        </w:rPr>
      </w:pPr>
      <w:bookmarkStart w:name="MA-STD-RMA-16. Hydroelectric ( New Suppo" w:id="725"/>
      <w:bookmarkEnd w:id="725"/>
      <w:r>
        <w:rPr/>
      </w:r>
      <w:r>
        <w:rPr>
          <w:rFonts w:ascii="Arial" w:hAnsi="Arial"/>
          <w:i/>
          <w:sz w:val="22"/>
        </w:rPr>
        <w:t>MA-STD-RMA-16.</w:t>
      </w:r>
      <w:r>
        <w:rPr>
          <w:rFonts w:ascii="Arial" w:hAnsi="Arial"/>
          <w:i/>
          <w:spacing w:val="-7"/>
          <w:sz w:val="22"/>
        </w:rPr>
        <w:t> </w:t>
      </w:r>
      <w:r>
        <w:rPr>
          <w:rFonts w:ascii="Arial" w:hAnsi="Arial"/>
          <w:i/>
          <w:sz w:val="22"/>
        </w:rPr>
        <w:t>Hydroelectric</w:t>
      </w:r>
      <w:r>
        <w:rPr>
          <w:rFonts w:ascii="Arial" w:hAnsi="Arial"/>
          <w:i/>
          <w:spacing w:val="-8"/>
          <w:sz w:val="22"/>
        </w:rPr>
        <w:t> </w:t>
      </w:r>
      <w:r>
        <w:rPr>
          <w:rFonts w:ascii="Symbol" w:hAnsi="Symbol"/>
          <w:i/>
          <w:sz w:val="23"/>
        </w:rPr>
        <w:t></w:t>
      </w:r>
      <w:r>
        <w:rPr>
          <w:rFonts w:ascii="Times New Roman" w:hAnsi="Times New Roman"/>
          <w:spacing w:val="-3"/>
          <w:sz w:val="23"/>
        </w:rPr>
        <w:t> </w:t>
      </w:r>
      <w:r>
        <w:rPr>
          <w:rFonts w:ascii="Arial" w:hAnsi="Arial"/>
          <w:i/>
          <w:sz w:val="22"/>
        </w:rPr>
        <w:t>New</w:t>
      </w:r>
      <w:r>
        <w:rPr>
          <w:rFonts w:ascii="Arial" w:hAnsi="Arial"/>
          <w:i/>
          <w:spacing w:val="-8"/>
          <w:sz w:val="22"/>
        </w:rPr>
        <w:t> </w:t>
      </w:r>
      <w:r>
        <w:rPr>
          <w:rFonts w:ascii="Arial" w:hAnsi="Arial"/>
          <w:i/>
          <w:sz w:val="22"/>
        </w:rPr>
        <w:t>Support</w:t>
      </w:r>
      <w:r>
        <w:rPr>
          <w:rFonts w:ascii="Arial" w:hAnsi="Arial"/>
          <w:i/>
          <w:spacing w:val="-8"/>
          <w:sz w:val="22"/>
        </w:rPr>
        <w:t> </w:t>
      </w:r>
      <w:r>
        <w:rPr>
          <w:rFonts w:ascii="Arial" w:hAnsi="Arial"/>
          <w:i/>
          <w:spacing w:val="-2"/>
          <w:sz w:val="22"/>
        </w:rPr>
        <w:t>Facilities</w:t>
      </w:r>
    </w:p>
    <w:p>
      <w:pPr>
        <w:pStyle w:val="BodyText"/>
        <w:spacing w:line="232" w:lineRule="auto" w:before="63"/>
        <w:ind w:left="1151" w:right="801"/>
      </w:pPr>
      <w:r>
        <w:rPr/>
        <w:t>Locate new support facilities outside of RMAs. Support facilities include any facilities or improvements (workshops, housing, switchyards, staging areas, transmission lines, etc.) not directly</w:t>
      </w:r>
      <w:r>
        <w:rPr>
          <w:spacing w:val="-7"/>
        </w:rPr>
        <w:t> </w:t>
      </w:r>
      <w:r>
        <w:rPr/>
        <w:t>integral</w:t>
      </w:r>
      <w:r>
        <w:rPr>
          <w:spacing w:val="-7"/>
        </w:rPr>
        <w:t> </w:t>
      </w:r>
      <w:r>
        <w:rPr/>
        <w:t>to</w:t>
      </w:r>
      <w:r>
        <w:rPr>
          <w:spacing w:val="-7"/>
        </w:rPr>
        <w:t> </w:t>
      </w:r>
      <w:r>
        <w:rPr/>
        <w:t>the</w:t>
      </w:r>
      <w:r>
        <w:rPr>
          <w:spacing w:val="-6"/>
        </w:rPr>
        <w:t> </w:t>
      </w:r>
      <w:r>
        <w:rPr/>
        <w:t>production</w:t>
      </w:r>
      <w:r>
        <w:rPr>
          <w:spacing w:val="-9"/>
        </w:rPr>
        <w:t> </w:t>
      </w:r>
      <w:r>
        <w:rPr/>
        <w:t>of</w:t>
      </w:r>
      <w:r>
        <w:rPr>
          <w:spacing w:val="-7"/>
        </w:rPr>
        <w:t> </w:t>
      </w:r>
      <w:r>
        <w:rPr/>
        <w:t>hydroelectric</w:t>
      </w:r>
      <w:r>
        <w:rPr>
          <w:spacing w:val="-7"/>
        </w:rPr>
        <w:t> </w:t>
      </w:r>
      <w:r>
        <w:rPr/>
        <w:t>power</w:t>
      </w:r>
      <w:r>
        <w:rPr>
          <w:spacing w:val="-7"/>
        </w:rPr>
        <w:t> </w:t>
      </w:r>
      <w:r>
        <w:rPr/>
        <w:t>or</w:t>
      </w:r>
      <w:r>
        <w:rPr>
          <w:spacing w:val="-8"/>
        </w:rPr>
        <w:t> </w:t>
      </w:r>
      <w:r>
        <w:rPr/>
        <w:t>necessary</w:t>
      </w:r>
      <w:r>
        <w:rPr>
          <w:spacing w:val="-6"/>
        </w:rPr>
        <w:t> </w:t>
      </w:r>
      <w:r>
        <w:rPr/>
        <w:t>for</w:t>
      </w:r>
      <w:r>
        <w:rPr>
          <w:spacing w:val="-7"/>
        </w:rPr>
        <w:t> </w:t>
      </w:r>
      <w:r>
        <w:rPr/>
        <w:t>the</w:t>
      </w:r>
      <w:r>
        <w:rPr>
          <w:spacing w:val="-6"/>
        </w:rPr>
        <w:t> </w:t>
      </w:r>
      <w:r>
        <w:rPr/>
        <w:t>implementation of prescribed protection, mitigation, or enhancement measures.</w:t>
      </w:r>
    </w:p>
    <w:p>
      <w:pPr>
        <w:spacing w:before="234"/>
        <w:ind w:left="1151" w:right="0" w:firstLine="0"/>
        <w:jc w:val="left"/>
        <w:rPr>
          <w:rFonts w:ascii="Arial"/>
          <w:i/>
          <w:sz w:val="22"/>
        </w:rPr>
      </w:pPr>
      <w:bookmarkStart w:name="MA-STD-RMA-17. Mineral Operations in RMA" w:id="726"/>
      <w:bookmarkEnd w:id="726"/>
      <w:r>
        <w:rPr/>
      </w:r>
      <w:r>
        <w:rPr>
          <w:rFonts w:ascii="Arial"/>
          <w:i/>
          <w:sz w:val="22"/>
        </w:rPr>
        <w:t>MA-STD-RMA-17.</w:t>
      </w:r>
      <w:r>
        <w:rPr>
          <w:rFonts w:ascii="Arial"/>
          <w:i/>
          <w:spacing w:val="-7"/>
          <w:sz w:val="22"/>
        </w:rPr>
        <w:t> </w:t>
      </w:r>
      <w:r>
        <w:rPr>
          <w:rFonts w:ascii="Arial"/>
          <w:i/>
          <w:sz w:val="22"/>
        </w:rPr>
        <w:t>Mineral</w:t>
      </w:r>
      <w:r>
        <w:rPr>
          <w:rFonts w:ascii="Arial"/>
          <w:i/>
          <w:spacing w:val="-8"/>
          <w:sz w:val="22"/>
        </w:rPr>
        <w:t> </w:t>
      </w:r>
      <w:r>
        <w:rPr>
          <w:rFonts w:ascii="Arial"/>
          <w:i/>
          <w:sz w:val="22"/>
        </w:rPr>
        <w:t>Operations</w:t>
      </w:r>
      <w:r>
        <w:rPr>
          <w:rFonts w:ascii="Arial"/>
          <w:i/>
          <w:spacing w:val="-7"/>
          <w:sz w:val="22"/>
        </w:rPr>
        <w:t> </w:t>
      </w:r>
      <w:r>
        <w:rPr>
          <w:rFonts w:ascii="Arial"/>
          <w:i/>
          <w:sz w:val="22"/>
        </w:rPr>
        <w:t>in</w:t>
      </w:r>
      <w:r>
        <w:rPr>
          <w:rFonts w:ascii="Arial"/>
          <w:i/>
          <w:spacing w:val="-7"/>
          <w:sz w:val="22"/>
        </w:rPr>
        <w:t> </w:t>
      </w:r>
      <w:r>
        <w:rPr>
          <w:rFonts w:ascii="Arial"/>
          <w:i/>
          <w:spacing w:val="-4"/>
          <w:sz w:val="22"/>
        </w:rPr>
        <w:t>RMAs</w:t>
      </w:r>
    </w:p>
    <w:p>
      <w:pPr>
        <w:pStyle w:val="BodyText"/>
        <w:spacing w:line="232" w:lineRule="auto" w:before="65"/>
        <w:ind w:left="1151" w:right="769"/>
      </w:pPr>
      <w:r>
        <w:rPr/>
        <w:t>For operations in RMAs, ensure operators take all practicable measures to maintain, protect, and rehabilitate water quality and habitat for fish and wildlife and other riparian-dependent resources</w:t>
      </w:r>
      <w:r>
        <w:rPr>
          <w:spacing w:val="-7"/>
        </w:rPr>
        <w:t> </w:t>
      </w:r>
      <w:r>
        <w:rPr/>
        <w:t>affected</w:t>
      </w:r>
      <w:r>
        <w:rPr>
          <w:spacing w:val="-6"/>
        </w:rPr>
        <w:t> </w:t>
      </w:r>
      <w:r>
        <w:rPr/>
        <w:t>by</w:t>
      </w:r>
      <w:r>
        <w:rPr>
          <w:spacing w:val="-4"/>
        </w:rPr>
        <w:t> </w:t>
      </w:r>
      <w:r>
        <w:rPr/>
        <w:t>the</w:t>
      </w:r>
      <w:r>
        <w:rPr>
          <w:spacing w:val="-4"/>
        </w:rPr>
        <w:t> </w:t>
      </w:r>
      <w:r>
        <w:rPr/>
        <w:t>operations.</w:t>
      </w:r>
      <w:r>
        <w:rPr>
          <w:spacing w:val="-5"/>
        </w:rPr>
        <w:t> </w:t>
      </w:r>
      <w:r>
        <w:rPr/>
        <w:t>Ensure</w:t>
      </w:r>
      <w:r>
        <w:rPr>
          <w:spacing w:val="-7"/>
        </w:rPr>
        <w:t> </w:t>
      </w:r>
      <w:r>
        <w:rPr/>
        <w:t>operations</w:t>
      </w:r>
      <w:r>
        <w:rPr>
          <w:spacing w:val="-5"/>
        </w:rPr>
        <w:t> </w:t>
      </w:r>
      <w:r>
        <w:rPr/>
        <w:t>do</w:t>
      </w:r>
      <w:r>
        <w:rPr>
          <w:spacing w:val="-4"/>
        </w:rPr>
        <w:t> </w:t>
      </w:r>
      <w:r>
        <w:rPr/>
        <w:t>not</w:t>
      </w:r>
      <w:r>
        <w:rPr>
          <w:spacing w:val="-4"/>
        </w:rPr>
        <w:t> </w:t>
      </w:r>
      <w:r>
        <w:rPr/>
        <w:t>retard</w:t>
      </w:r>
      <w:r>
        <w:rPr>
          <w:spacing w:val="-8"/>
        </w:rPr>
        <w:t> </w:t>
      </w:r>
      <w:r>
        <w:rPr/>
        <w:t>or</w:t>
      </w:r>
      <w:r>
        <w:rPr>
          <w:spacing w:val="-5"/>
        </w:rPr>
        <w:t> </w:t>
      </w:r>
      <w:r>
        <w:rPr/>
        <w:t>prevent</w:t>
      </w:r>
      <w:r>
        <w:rPr>
          <w:spacing w:val="-7"/>
        </w:rPr>
        <w:t> </w:t>
      </w:r>
      <w:r>
        <w:rPr/>
        <w:t>attainment</w:t>
      </w:r>
      <w:r>
        <w:rPr>
          <w:spacing w:val="-7"/>
        </w:rPr>
        <w:t> </w:t>
      </w:r>
      <w:r>
        <w:rPr/>
        <w:t>of aquatic and riparian desired conditions</w:t>
      </w:r>
      <w:r>
        <w:rPr>
          <w:i/>
        </w:rPr>
        <w:t>. </w:t>
      </w:r>
      <w:r>
        <w:rPr/>
        <w:t>Exceptions to this standard include situations where the Forest Service has limited discretionary authorities. In those cases, project effects shall be minimized</w:t>
      </w:r>
      <w:r>
        <w:rPr>
          <w:spacing w:val="-8"/>
        </w:rPr>
        <w:t> </w:t>
      </w:r>
      <w:r>
        <w:rPr/>
        <w:t>and</w:t>
      </w:r>
      <w:r>
        <w:rPr>
          <w:spacing w:val="-6"/>
        </w:rPr>
        <w:t> </w:t>
      </w:r>
      <w:r>
        <w:rPr/>
        <w:t>shall</w:t>
      </w:r>
      <w:r>
        <w:rPr>
          <w:spacing w:val="-5"/>
        </w:rPr>
        <w:t> </w:t>
      </w:r>
      <w:r>
        <w:rPr/>
        <w:t>not</w:t>
      </w:r>
      <w:r>
        <w:rPr>
          <w:spacing w:val="-4"/>
        </w:rPr>
        <w:t> </w:t>
      </w:r>
      <w:r>
        <w:rPr/>
        <w:t>prevent</w:t>
      </w:r>
      <w:r>
        <w:rPr>
          <w:spacing w:val="-7"/>
        </w:rPr>
        <w:t> </w:t>
      </w:r>
      <w:r>
        <w:rPr/>
        <w:t>or</w:t>
      </w:r>
      <w:r>
        <w:rPr>
          <w:spacing w:val="-5"/>
        </w:rPr>
        <w:t> </w:t>
      </w:r>
      <w:r>
        <w:rPr/>
        <w:t>retard</w:t>
      </w:r>
      <w:r>
        <w:rPr>
          <w:spacing w:val="-6"/>
        </w:rPr>
        <w:t> </w:t>
      </w:r>
      <w:r>
        <w:rPr/>
        <w:t>attainment</w:t>
      </w:r>
      <w:r>
        <w:rPr>
          <w:spacing w:val="-7"/>
        </w:rPr>
        <w:t> </w:t>
      </w:r>
      <w:r>
        <w:rPr/>
        <w:t>of</w:t>
      </w:r>
      <w:r>
        <w:rPr>
          <w:spacing w:val="-5"/>
        </w:rPr>
        <w:t> </w:t>
      </w:r>
      <w:r>
        <w:rPr/>
        <w:t>aquatic</w:t>
      </w:r>
      <w:r>
        <w:rPr>
          <w:spacing w:val="-7"/>
        </w:rPr>
        <w:t> </w:t>
      </w:r>
      <w:r>
        <w:rPr/>
        <w:t>and</w:t>
      </w:r>
      <w:r>
        <w:rPr>
          <w:spacing w:val="-6"/>
        </w:rPr>
        <w:t> </w:t>
      </w:r>
      <w:r>
        <w:rPr/>
        <w:t>riparian</w:t>
      </w:r>
      <w:r>
        <w:rPr>
          <w:spacing w:val="-6"/>
        </w:rPr>
        <w:t> </w:t>
      </w:r>
      <w:r>
        <w:rPr/>
        <w:t>desired</w:t>
      </w:r>
      <w:r>
        <w:rPr>
          <w:spacing w:val="-6"/>
        </w:rPr>
        <w:t> </w:t>
      </w:r>
      <w:r>
        <w:rPr/>
        <w:t>conditions to the extent possible within those authorities.</w:t>
      </w:r>
    </w:p>
    <w:p>
      <w:pPr>
        <w:spacing w:before="233"/>
        <w:ind w:left="1151" w:right="0" w:firstLine="0"/>
        <w:jc w:val="left"/>
        <w:rPr>
          <w:rFonts w:ascii="Arial"/>
          <w:i/>
          <w:sz w:val="22"/>
        </w:rPr>
      </w:pPr>
      <w:bookmarkStart w:name="MA-STD-RMA-18. Operating Plans for Exist" w:id="727"/>
      <w:bookmarkEnd w:id="727"/>
      <w:r>
        <w:rPr/>
      </w:r>
      <w:r>
        <w:rPr>
          <w:rFonts w:ascii="Arial"/>
          <w:i/>
          <w:sz w:val="22"/>
        </w:rPr>
        <w:t>MA-STD-RMA-18.</w:t>
      </w:r>
      <w:r>
        <w:rPr>
          <w:rFonts w:ascii="Arial"/>
          <w:i/>
          <w:spacing w:val="-8"/>
          <w:sz w:val="22"/>
        </w:rPr>
        <w:t> </w:t>
      </w:r>
      <w:r>
        <w:rPr>
          <w:rFonts w:ascii="Arial"/>
          <w:i/>
          <w:sz w:val="22"/>
        </w:rPr>
        <w:t>Operating</w:t>
      </w:r>
      <w:r>
        <w:rPr>
          <w:rFonts w:ascii="Arial"/>
          <w:i/>
          <w:spacing w:val="-7"/>
          <w:sz w:val="22"/>
        </w:rPr>
        <w:t> </w:t>
      </w:r>
      <w:r>
        <w:rPr>
          <w:rFonts w:ascii="Arial"/>
          <w:i/>
          <w:sz w:val="22"/>
        </w:rPr>
        <w:t>Plans</w:t>
      </w:r>
      <w:r>
        <w:rPr>
          <w:rFonts w:ascii="Arial"/>
          <w:i/>
          <w:spacing w:val="-6"/>
          <w:sz w:val="22"/>
        </w:rPr>
        <w:t> </w:t>
      </w:r>
      <w:r>
        <w:rPr>
          <w:rFonts w:ascii="Arial"/>
          <w:i/>
          <w:sz w:val="22"/>
        </w:rPr>
        <w:t>for</w:t>
      </w:r>
      <w:r>
        <w:rPr>
          <w:rFonts w:ascii="Arial"/>
          <w:i/>
          <w:spacing w:val="-6"/>
          <w:sz w:val="22"/>
        </w:rPr>
        <w:t> </w:t>
      </w:r>
      <w:r>
        <w:rPr>
          <w:rFonts w:ascii="Arial"/>
          <w:i/>
          <w:sz w:val="22"/>
        </w:rPr>
        <w:t>Existing</w:t>
      </w:r>
      <w:r>
        <w:rPr>
          <w:rFonts w:ascii="Arial"/>
          <w:i/>
          <w:spacing w:val="-6"/>
          <w:sz w:val="22"/>
        </w:rPr>
        <w:t> </w:t>
      </w:r>
      <w:r>
        <w:rPr>
          <w:rFonts w:ascii="Arial"/>
          <w:i/>
          <w:spacing w:val="-2"/>
          <w:sz w:val="22"/>
        </w:rPr>
        <w:t>Activities</w:t>
      </w:r>
    </w:p>
    <w:p>
      <w:pPr>
        <w:pStyle w:val="BodyText"/>
        <w:spacing w:line="232" w:lineRule="auto" w:before="64"/>
        <w:ind w:left="1151" w:right="801"/>
      </w:pPr>
      <w:r>
        <w:rPr/>
        <w:t>Work</w:t>
      </w:r>
      <w:r>
        <w:rPr>
          <w:spacing w:val="-9"/>
        </w:rPr>
        <w:t> </w:t>
      </w:r>
      <w:r>
        <w:rPr/>
        <w:t>with</w:t>
      </w:r>
      <w:r>
        <w:rPr>
          <w:spacing w:val="-10"/>
        </w:rPr>
        <w:t> </w:t>
      </w:r>
      <w:r>
        <w:rPr/>
        <w:t>operators</w:t>
      </w:r>
      <w:r>
        <w:rPr>
          <w:spacing w:val="-8"/>
        </w:rPr>
        <w:t> </w:t>
      </w:r>
      <w:r>
        <w:rPr/>
        <w:t>to</w:t>
      </w:r>
      <w:r>
        <w:rPr>
          <w:spacing w:val="-7"/>
        </w:rPr>
        <w:t> </w:t>
      </w:r>
      <w:r>
        <w:rPr/>
        <w:t>adjust</w:t>
      </w:r>
      <w:r>
        <w:rPr>
          <w:spacing w:val="-7"/>
        </w:rPr>
        <w:t> </w:t>
      </w:r>
      <w:r>
        <w:rPr/>
        <w:t>their</w:t>
      </w:r>
      <w:r>
        <w:rPr>
          <w:spacing w:val="-9"/>
        </w:rPr>
        <w:t> </w:t>
      </w:r>
      <w:r>
        <w:rPr/>
        <w:t>mineral</w:t>
      </w:r>
      <w:r>
        <w:rPr>
          <w:spacing w:val="-10"/>
        </w:rPr>
        <w:t> </w:t>
      </w:r>
      <w:r>
        <w:rPr/>
        <w:t>operations</w:t>
      </w:r>
      <w:r>
        <w:rPr>
          <w:spacing w:val="-8"/>
        </w:rPr>
        <w:t> </w:t>
      </w:r>
      <w:r>
        <w:rPr/>
        <w:t>to</w:t>
      </w:r>
      <w:r>
        <w:rPr>
          <w:spacing w:val="-8"/>
        </w:rPr>
        <w:t> </w:t>
      </w:r>
      <w:r>
        <w:rPr/>
        <w:t>minimize</w:t>
      </w:r>
      <w:r>
        <w:rPr>
          <w:spacing w:val="-7"/>
        </w:rPr>
        <w:t> </w:t>
      </w:r>
      <w:r>
        <w:rPr/>
        <w:t>adverse</w:t>
      </w:r>
      <w:r>
        <w:rPr>
          <w:spacing w:val="-9"/>
        </w:rPr>
        <w:t> </w:t>
      </w:r>
      <w:r>
        <w:rPr/>
        <w:t>effects</w:t>
      </w:r>
      <w:r>
        <w:rPr>
          <w:spacing w:val="-8"/>
        </w:rPr>
        <w:t> </w:t>
      </w:r>
      <w:r>
        <w:rPr/>
        <w:t>to</w:t>
      </w:r>
      <w:r>
        <w:rPr>
          <w:spacing w:val="-7"/>
        </w:rPr>
        <w:t> </w:t>
      </w:r>
      <w:r>
        <w:rPr/>
        <w:t>aquatic and riparian-dependent resources in RMAs. Require best management practices and other appropriate conservation measures to mitigate potential mine operation effects.</w:t>
      </w:r>
    </w:p>
    <w:p>
      <w:pPr>
        <w:spacing w:before="233"/>
        <w:ind w:left="1151" w:right="0" w:firstLine="0"/>
        <w:jc w:val="left"/>
        <w:rPr>
          <w:rFonts w:ascii="Arial"/>
          <w:i/>
          <w:sz w:val="22"/>
        </w:rPr>
      </w:pPr>
      <w:bookmarkStart w:name="MA-STD-RMA-19. Structures and Support Fa" w:id="728"/>
      <w:bookmarkEnd w:id="728"/>
      <w:r>
        <w:rPr/>
      </w:r>
      <w:r>
        <w:rPr>
          <w:rFonts w:ascii="Arial"/>
          <w:i/>
          <w:sz w:val="22"/>
        </w:rPr>
        <w:t>MA-STD-RMA-19.</w:t>
      </w:r>
      <w:r>
        <w:rPr>
          <w:rFonts w:ascii="Arial"/>
          <w:i/>
          <w:spacing w:val="-6"/>
          <w:sz w:val="22"/>
        </w:rPr>
        <w:t> </w:t>
      </w:r>
      <w:r>
        <w:rPr>
          <w:rFonts w:ascii="Arial"/>
          <w:i/>
          <w:sz w:val="22"/>
        </w:rPr>
        <w:t>Structures</w:t>
      </w:r>
      <w:r>
        <w:rPr>
          <w:rFonts w:ascii="Arial"/>
          <w:i/>
          <w:spacing w:val="-7"/>
          <w:sz w:val="22"/>
        </w:rPr>
        <w:t> </w:t>
      </w:r>
      <w:r>
        <w:rPr>
          <w:rFonts w:ascii="Arial"/>
          <w:i/>
          <w:sz w:val="22"/>
        </w:rPr>
        <w:t>and</w:t>
      </w:r>
      <w:r>
        <w:rPr>
          <w:rFonts w:ascii="Arial"/>
          <w:i/>
          <w:spacing w:val="-10"/>
          <w:sz w:val="22"/>
        </w:rPr>
        <w:t> </w:t>
      </w:r>
      <w:r>
        <w:rPr>
          <w:rFonts w:ascii="Arial"/>
          <w:i/>
          <w:sz w:val="22"/>
        </w:rPr>
        <w:t>Support</w:t>
      </w:r>
      <w:r>
        <w:rPr>
          <w:rFonts w:ascii="Arial"/>
          <w:i/>
          <w:spacing w:val="-5"/>
          <w:sz w:val="22"/>
        </w:rPr>
        <w:t> </w:t>
      </w:r>
      <w:r>
        <w:rPr>
          <w:rFonts w:ascii="Arial"/>
          <w:i/>
          <w:spacing w:val="-2"/>
          <w:sz w:val="22"/>
        </w:rPr>
        <w:t>Facilities</w:t>
      </w:r>
    </w:p>
    <w:p>
      <w:pPr>
        <w:pStyle w:val="BodyText"/>
        <w:spacing w:line="232" w:lineRule="auto" w:before="65"/>
        <w:ind w:left="1151" w:right="742"/>
      </w:pPr>
      <w:r>
        <w:rPr/>
        <w:t>Work</w:t>
      </w:r>
      <w:r>
        <w:rPr>
          <w:spacing w:val="-5"/>
        </w:rPr>
        <w:t> </w:t>
      </w:r>
      <w:r>
        <w:rPr/>
        <w:t>with</w:t>
      </w:r>
      <w:r>
        <w:rPr>
          <w:spacing w:val="-6"/>
        </w:rPr>
        <w:t> </w:t>
      </w:r>
      <w:r>
        <w:rPr/>
        <w:t>operators</w:t>
      </w:r>
      <w:r>
        <w:rPr>
          <w:spacing w:val="-3"/>
        </w:rPr>
        <w:t> </w:t>
      </w:r>
      <w:r>
        <w:rPr/>
        <w:t>to</w:t>
      </w:r>
      <w:r>
        <w:rPr>
          <w:spacing w:val="-2"/>
        </w:rPr>
        <w:t> </w:t>
      </w:r>
      <w:r>
        <w:rPr/>
        <w:t>locate</w:t>
      </w:r>
      <w:r>
        <w:rPr>
          <w:spacing w:val="-2"/>
        </w:rPr>
        <w:t> </w:t>
      </w:r>
      <w:r>
        <w:rPr/>
        <w:t>structures,</w:t>
      </w:r>
      <w:r>
        <w:rPr>
          <w:spacing w:val="-5"/>
        </w:rPr>
        <w:t> </w:t>
      </w:r>
      <w:r>
        <w:rPr/>
        <w:t>support</w:t>
      </w:r>
      <w:r>
        <w:rPr>
          <w:spacing w:val="-5"/>
        </w:rPr>
        <w:t> </w:t>
      </w:r>
      <w:r>
        <w:rPr/>
        <w:t>facilities,</w:t>
      </w:r>
      <w:r>
        <w:rPr>
          <w:spacing w:val="-3"/>
        </w:rPr>
        <w:t> </w:t>
      </w:r>
      <w:r>
        <w:rPr/>
        <w:t>and</w:t>
      </w:r>
      <w:r>
        <w:rPr>
          <w:spacing w:val="-6"/>
        </w:rPr>
        <w:t> </w:t>
      </w:r>
      <w:r>
        <w:rPr/>
        <w:t>roads</w:t>
      </w:r>
      <w:r>
        <w:rPr>
          <w:spacing w:val="-5"/>
        </w:rPr>
        <w:t> </w:t>
      </w:r>
      <w:r>
        <w:rPr/>
        <w:t>outside</w:t>
      </w:r>
      <w:r>
        <w:rPr>
          <w:spacing w:val="-2"/>
        </w:rPr>
        <w:t> </w:t>
      </w:r>
      <w:r>
        <w:rPr/>
        <w:t>RMAs.</w:t>
      </w:r>
      <w:r>
        <w:rPr>
          <w:spacing w:val="-3"/>
        </w:rPr>
        <w:t> </w:t>
      </w:r>
      <w:r>
        <w:rPr/>
        <w:t>Where</w:t>
      </w:r>
      <w:r>
        <w:rPr>
          <w:spacing w:val="-2"/>
        </w:rPr>
        <w:t> </w:t>
      </w:r>
      <w:r>
        <w:rPr/>
        <w:t>no alternative exists, work with operators to locate and manage them to minimize effects upon aquatic and riparian desired conditions. When structures, support facilities, and roads are no longer required for mineral activities, reclaim sites to achieve aquatic and riparian desired conditions.</w:t>
      </w:r>
      <w:r>
        <w:rPr>
          <w:spacing w:val="-7"/>
        </w:rPr>
        <w:t> </w:t>
      </w:r>
      <w:r>
        <w:rPr/>
        <w:t>Require</w:t>
      </w:r>
      <w:r>
        <w:rPr>
          <w:spacing w:val="-9"/>
        </w:rPr>
        <w:t> </w:t>
      </w:r>
      <w:r>
        <w:rPr/>
        <w:t>operations</w:t>
      </w:r>
      <w:r>
        <w:rPr>
          <w:spacing w:val="-7"/>
        </w:rPr>
        <w:t> </w:t>
      </w:r>
      <w:r>
        <w:rPr/>
        <w:t>to</w:t>
      </w:r>
      <w:r>
        <w:rPr>
          <w:spacing w:val="-6"/>
        </w:rPr>
        <w:t> </w:t>
      </w:r>
      <w:r>
        <w:rPr/>
        <w:t>provide</w:t>
      </w:r>
      <w:r>
        <w:rPr>
          <w:spacing w:val="-9"/>
        </w:rPr>
        <w:t> </w:t>
      </w:r>
      <w:r>
        <w:rPr/>
        <w:t>financial</w:t>
      </w:r>
      <w:r>
        <w:rPr>
          <w:spacing w:val="-7"/>
        </w:rPr>
        <w:t> </w:t>
      </w:r>
      <w:r>
        <w:rPr/>
        <w:t>assurance</w:t>
      </w:r>
      <w:r>
        <w:rPr>
          <w:spacing w:val="-6"/>
        </w:rPr>
        <w:t> </w:t>
      </w:r>
      <w:r>
        <w:rPr/>
        <w:t>adequate</w:t>
      </w:r>
      <w:r>
        <w:rPr>
          <w:spacing w:val="-6"/>
        </w:rPr>
        <w:t> </w:t>
      </w:r>
      <w:r>
        <w:rPr/>
        <w:t>for</w:t>
      </w:r>
      <w:r>
        <w:rPr>
          <w:spacing w:val="-9"/>
        </w:rPr>
        <w:t> </w:t>
      </w:r>
      <w:r>
        <w:rPr/>
        <w:t>the</w:t>
      </w:r>
      <w:r>
        <w:rPr>
          <w:spacing w:val="-6"/>
        </w:rPr>
        <w:t> </w:t>
      </w:r>
      <w:r>
        <w:rPr/>
        <w:t>forest</w:t>
      </w:r>
      <w:r>
        <w:rPr>
          <w:spacing w:val="-9"/>
        </w:rPr>
        <w:t> </w:t>
      </w:r>
      <w:r>
        <w:rPr/>
        <w:t>to</w:t>
      </w:r>
      <w:r>
        <w:rPr>
          <w:spacing w:val="-8"/>
        </w:rPr>
        <w:t> </w:t>
      </w:r>
      <w:r>
        <w:rPr/>
        <w:t>reclaim disturbed</w:t>
      </w:r>
      <w:r>
        <w:rPr>
          <w:spacing w:val="-2"/>
        </w:rPr>
        <w:t> </w:t>
      </w:r>
      <w:r>
        <w:rPr/>
        <w:t>areas</w:t>
      </w:r>
      <w:r>
        <w:rPr>
          <w:spacing w:val="-3"/>
        </w:rPr>
        <w:t> </w:t>
      </w:r>
      <w:r>
        <w:rPr/>
        <w:t>in</w:t>
      </w:r>
      <w:r>
        <w:rPr>
          <w:spacing w:val="-2"/>
        </w:rPr>
        <w:t> </w:t>
      </w:r>
      <w:r>
        <w:rPr/>
        <w:t>the</w:t>
      </w:r>
      <w:r>
        <w:rPr>
          <w:spacing w:val="-3"/>
        </w:rPr>
        <w:t> </w:t>
      </w:r>
      <w:r>
        <w:rPr/>
        <w:t>absence of</w:t>
      </w:r>
      <w:r>
        <w:rPr>
          <w:spacing w:val="-3"/>
        </w:rPr>
        <w:t> </w:t>
      </w:r>
      <w:r>
        <w:rPr/>
        <w:t>a</w:t>
      </w:r>
      <w:r>
        <w:rPr>
          <w:spacing w:val="-1"/>
        </w:rPr>
        <w:t> </w:t>
      </w:r>
      <w:r>
        <w:rPr/>
        <w:t>financially solvent</w:t>
      </w:r>
      <w:r>
        <w:rPr>
          <w:spacing w:val="-5"/>
        </w:rPr>
        <w:t> </w:t>
      </w:r>
      <w:r>
        <w:rPr/>
        <w:t>operator.</w:t>
      </w:r>
      <w:r>
        <w:rPr>
          <w:spacing w:val="-1"/>
        </w:rPr>
        <w:t> </w:t>
      </w:r>
      <w:r>
        <w:rPr/>
        <w:t>Bonding</w:t>
      </w:r>
      <w:r>
        <w:rPr>
          <w:spacing w:val="-2"/>
        </w:rPr>
        <w:t> </w:t>
      </w:r>
      <w:r>
        <w:rPr/>
        <w:t>will</w:t>
      </w:r>
      <w:r>
        <w:rPr>
          <w:spacing w:val="-1"/>
        </w:rPr>
        <w:t> </w:t>
      </w:r>
      <w:r>
        <w:rPr/>
        <w:t>be posted</w:t>
      </w:r>
      <w:r>
        <w:rPr>
          <w:spacing w:val="-4"/>
        </w:rPr>
        <w:t> </w:t>
      </w:r>
      <w:r>
        <w:rPr/>
        <w:t>prior</w:t>
      </w:r>
      <w:r>
        <w:rPr>
          <w:spacing w:val="-3"/>
        </w:rPr>
        <w:t> </w:t>
      </w:r>
      <w:r>
        <w:rPr/>
        <w:t>to approval of any Plan of Operations.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STD-RMA-20. Mine Waste" w:id="729"/>
      <w:bookmarkEnd w:id="729"/>
      <w:r>
        <w:rPr/>
      </w:r>
      <w:r>
        <w:rPr>
          <w:rFonts w:ascii="Arial"/>
          <w:i/>
          <w:sz w:val="22"/>
        </w:rPr>
        <w:t>MA-STD-RMA-20.</w:t>
      </w:r>
      <w:r>
        <w:rPr>
          <w:rFonts w:ascii="Arial"/>
          <w:i/>
          <w:spacing w:val="-8"/>
          <w:sz w:val="22"/>
        </w:rPr>
        <w:t> </w:t>
      </w:r>
      <w:r>
        <w:rPr>
          <w:rFonts w:ascii="Arial"/>
          <w:i/>
          <w:sz w:val="22"/>
        </w:rPr>
        <w:t>Mine</w:t>
      </w:r>
      <w:r>
        <w:rPr>
          <w:rFonts w:ascii="Arial"/>
          <w:i/>
          <w:spacing w:val="-11"/>
          <w:sz w:val="22"/>
        </w:rPr>
        <w:t> </w:t>
      </w:r>
      <w:r>
        <w:rPr>
          <w:rFonts w:ascii="Arial"/>
          <w:i/>
          <w:spacing w:val="-2"/>
          <w:sz w:val="22"/>
        </w:rPr>
        <w:t>Waste</w:t>
      </w:r>
    </w:p>
    <w:p>
      <w:pPr>
        <w:pStyle w:val="BodyText"/>
        <w:spacing w:line="232" w:lineRule="auto" w:before="65"/>
        <w:ind w:left="359" w:right="1516"/>
      </w:pPr>
      <w:r>
        <w:rPr/>
        <w:t>Do not locate mine waste with the potential to generate hazardous substances (as defined by the Comprehensive Environmental Response, Compensation, and Liability Act) within RMAs and/or</w:t>
      </w:r>
      <w:r>
        <w:rPr>
          <w:spacing w:val="-8"/>
        </w:rPr>
        <w:t> </w:t>
      </w:r>
      <w:r>
        <w:rPr/>
        <w:t>areas</w:t>
      </w:r>
      <w:r>
        <w:rPr>
          <w:spacing w:val="-9"/>
        </w:rPr>
        <w:t> </w:t>
      </w:r>
      <w:r>
        <w:rPr/>
        <w:t>where</w:t>
      </w:r>
      <w:r>
        <w:rPr>
          <w:spacing w:val="-8"/>
        </w:rPr>
        <w:t> </w:t>
      </w:r>
      <w:r>
        <w:rPr/>
        <w:t>groundwater</w:t>
      </w:r>
      <w:r>
        <w:rPr>
          <w:spacing w:val="-8"/>
        </w:rPr>
        <w:t> </w:t>
      </w:r>
      <w:r>
        <w:rPr/>
        <w:t>contamination</w:t>
      </w:r>
      <w:r>
        <w:rPr>
          <w:spacing w:val="-8"/>
        </w:rPr>
        <w:t> </w:t>
      </w:r>
      <w:r>
        <w:rPr/>
        <w:t>is</w:t>
      </w:r>
      <w:r>
        <w:rPr>
          <w:spacing w:val="-8"/>
        </w:rPr>
        <w:t> </w:t>
      </w:r>
      <w:r>
        <w:rPr/>
        <w:t>possible.</w:t>
      </w:r>
      <w:r>
        <w:rPr>
          <w:spacing w:val="-8"/>
        </w:rPr>
        <w:t> </w:t>
      </w:r>
      <w:r>
        <w:rPr/>
        <w:t>The</w:t>
      </w:r>
      <w:r>
        <w:rPr>
          <w:spacing w:val="-9"/>
        </w:rPr>
        <w:t> </w:t>
      </w:r>
      <w:r>
        <w:rPr/>
        <w:t>exception</w:t>
      </w:r>
      <w:r>
        <w:rPr>
          <w:spacing w:val="-8"/>
        </w:rPr>
        <w:t> </w:t>
      </w:r>
      <w:r>
        <w:rPr/>
        <w:t>is</w:t>
      </w:r>
      <w:r>
        <w:rPr>
          <w:spacing w:val="-9"/>
        </w:rPr>
        <w:t> </w:t>
      </w:r>
      <w:r>
        <w:rPr/>
        <w:t>short-term</w:t>
      </w:r>
      <w:r>
        <w:rPr>
          <w:spacing w:val="-7"/>
        </w:rPr>
        <w:t> </w:t>
      </w:r>
      <w:r>
        <w:rPr/>
        <w:t>staging of waste during abandoned mine cleanup.</w:t>
      </w:r>
    </w:p>
    <w:p>
      <w:pPr>
        <w:spacing w:before="234"/>
        <w:ind w:left="359" w:right="0" w:firstLine="0"/>
        <w:jc w:val="left"/>
        <w:rPr>
          <w:rFonts w:ascii="Arial"/>
          <w:i/>
          <w:sz w:val="22"/>
        </w:rPr>
      </w:pPr>
      <w:bookmarkStart w:name="MA-STD-RMA-21. Leasable Exploration and " w:id="730"/>
      <w:bookmarkEnd w:id="730"/>
      <w:r>
        <w:rPr/>
      </w:r>
      <w:r>
        <w:rPr>
          <w:rFonts w:ascii="Arial"/>
          <w:i/>
          <w:sz w:val="22"/>
        </w:rPr>
        <w:t>MA-STD-RMA-21.</w:t>
      </w:r>
      <w:r>
        <w:rPr>
          <w:rFonts w:ascii="Arial"/>
          <w:i/>
          <w:spacing w:val="-9"/>
          <w:sz w:val="22"/>
        </w:rPr>
        <w:t> </w:t>
      </w:r>
      <w:r>
        <w:rPr>
          <w:rFonts w:ascii="Arial"/>
          <w:i/>
          <w:sz w:val="22"/>
        </w:rPr>
        <w:t>Leasable</w:t>
      </w:r>
      <w:r>
        <w:rPr>
          <w:rFonts w:ascii="Arial"/>
          <w:i/>
          <w:spacing w:val="-9"/>
          <w:sz w:val="22"/>
        </w:rPr>
        <w:t> </w:t>
      </w:r>
      <w:r>
        <w:rPr>
          <w:rFonts w:ascii="Arial"/>
          <w:i/>
          <w:sz w:val="22"/>
        </w:rPr>
        <w:t>Exploration</w:t>
      </w:r>
      <w:r>
        <w:rPr>
          <w:rFonts w:ascii="Arial"/>
          <w:i/>
          <w:spacing w:val="-8"/>
          <w:sz w:val="22"/>
        </w:rPr>
        <w:t> </w:t>
      </w:r>
      <w:r>
        <w:rPr>
          <w:rFonts w:ascii="Arial"/>
          <w:i/>
          <w:sz w:val="22"/>
        </w:rPr>
        <w:t>and</w:t>
      </w:r>
      <w:r>
        <w:rPr>
          <w:rFonts w:ascii="Arial"/>
          <w:i/>
          <w:spacing w:val="-10"/>
          <w:sz w:val="22"/>
        </w:rPr>
        <w:t> </w:t>
      </w:r>
      <w:r>
        <w:rPr>
          <w:rFonts w:ascii="Arial"/>
          <w:i/>
          <w:spacing w:val="-2"/>
          <w:sz w:val="22"/>
        </w:rPr>
        <w:t>Development</w:t>
      </w:r>
    </w:p>
    <w:p>
      <w:pPr>
        <w:pStyle w:val="BodyText"/>
        <w:spacing w:line="232" w:lineRule="auto" w:before="65"/>
        <w:ind w:left="359" w:right="1567"/>
      </w:pPr>
      <w:r>
        <w:rPr/>
        <w:t>Consent decisions to allow mineral leasing will provide Bureau of Land Management (BLM) stipulations</w:t>
      </w:r>
      <w:r>
        <w:rPr>
          <w:spacing w:val="-3"/>
        </w:rPr>
        <w:t> </w:t>
      </w:r>
      <w:r>
        <w:rPr/>
        <w:t>for</w:t>
      </w:r>
      <w:r>
        <w:rPr>
          <w:spacing w:val="-3"/>
        </w:rPr>
        <w:t> </w:t>
      </w:r>
      <w:r>
        <w:rPr/>
        <w:t>lease</w:t>
      </w:r>
      <w:r>
        <w:rPr>
          <w:spacing w:val="-4"/>
        </w:rPr>
        <w:t> </w:t>
      </w:r>
      <w:r>
        <w:rPr/>
        <w:t>management.</w:t>
      </w:r>
      <w:r>
        <w:rPr>
          <w:spacing w:val="-5"/>
        </w:rPr>
        <w:t> </w:t>
      </w:r>
      <w:r>
        <w:rPr/>
        <w:t>Once</w:t>
      </w:r>
      <w:r>
        <w:rPr>
          <w:spacing w:val="-2"/>
        </w:rPr>
        <w:t> </w:t>
      </w:r>
      <w:r>
        <w:rPr/>
        <w:t>leased,</w:t>
      </w:r>
      <w:r>
        <w:rPr>
          <w:spacing w:val="-4"/>
        </w:rPr>
        <w:t> </w:t>
      </w:r>
      <w:r>
        <w:rPr/>
        <w:t>the</w:t>
      </w:r>
      <w:r>
        <w:rPr>
          <w:spacing w:val="-2"/>
        </w:rPr>
        <w:t> </w:t>
      </w:r>
      <w:r>
        <w:rPr/>
        <w:t>Forest</w:t>
      </w:r>
      <w:r>
        <w:rPr>
          <w:spacing w:val="-4"/>
        </w:rPr>
        <w:t> </w:t>
      </w:r>
      <w:r>
        <w:rPr/>
        <w:t>will</w:t>
      </w:r>
      <w:r>
        <w:rPr>
          <w:spacing w:val="-3"/>
        </w:rPr>
        <w:t> </w:t>
      </w:r>
      <w:r>
        <w:rPr/>
        <w:t>actively</w:t>
      </w:r>
      <w:r>
        <w:rPr>
          <w:spacing w:val="-2"/>
        </w:rPr>
        <w:t> </w:t>
      </w:r>
      <w:r>
        <w:rPr/>
        <w:t>coordinate</w:t>
      </w:r>
      <w:r>
        <w:rPr>
          <w:spacing w:val="-2"/>
        </w:rPr>
        <w:t> </w:t>
      </w:r>
      <w:r>
        <w:rPr/>
        <w:t>and</w:t>
      </w:r>
      <w:r>
        <w:rPr>
          <w:spacing w:val="-3"/>
        </w:rPr>
        <w:t> </w:t>
      </w:r>
      <w:r>
        <w:rPr/>
        <w:t>consult with</w:t>
      </w:r>
      <w:r>
        <w:rPr>
          <w:spacing w:val="-6"/>
        </w:rPr>
        <w:t> </w:t>
      </w:r>
      <w:r>
        <w:rPr/>
        <w:t>BLM</w:t>
      </w:r>
      <w:r>
        <w:rPr>
          <w:spacing w:val="-6"/>
        </w:rPr>
        <w:t> </w:t>
      </w:r>
      <w:r>
        <w:rPr/>
        <w:t>regarding</w:t>
      </w:r>
      <w:r>
        <w:rPr>
          <w:spacing w:val="-6"/>
        </w:rPr>
        <w:t> </w:t>
      </w:r>
      <w:r>
        <w:rPr/>
        <w:t>lease</w:t>
      </w:r>
      <w:r>
        <w:rPr>
          <w:spacing w:val="-6"/>
        </w:rPr>
        <w:t> </w:t>
      </w:r>
      <w:r>
        <w:rPr/>
        <w:t>exploration</w:t>
      </w:r>
      <w:r>
        <w:rPr>
          <w:spacing w:val="-6"/>
        </w:rPr>
        <w:t> </w:t>
      </w:r>
      <w:r>
        <w:rPr/>
        <w:t>and</w:t>
      </w:r>
      <w:r>
        <w:rPr>
          <w:spacing w:val="-6"/>
        </w:rPr>
        <w:t> </w:t>
      </w:r>
      <w:r>
        <w:rPr/>
        <w:t>development</w:t>
      </w:r>
      <w:r>
        <w:rPr>
          <w:spacing w:val="-4"/>
        </w:rPr>
        <w:t> </w:t>
      </w:r>
      <w:r>
        <w:rPr/>
        <w:t>activities.</w:t>
      </w:r>
      <w:r>
        <w:rPr>
          <w:spacing w:val="-8"/>
        </w:rPr>
        <w:t> </w:t>
      </w:r>
      <w:r>
        <w:rPr/>
        <w:t>In</w:t>
      </w:r>
      <w:r>
        <w:rPr>
          <w:spacing w:val="-6"/>
        </w:rPr>
        <w:t> </w:t>
      </w:r>
      <w:r>
        <w:rPr/>
        <w:t>consultation</w:t>
      </w:r>
      <w:r>
        <w:rPr>
          <w:spacing w:val="-8"/>
        </w:rPr>
        <w:t> </w:t>
      </w:r>
      <w:r>
        <w:rPr/>
        <w:t>with</w:t>
      </w:r>
      <w:r>
        <w:rPr>
          <w:spacing w:val="-6"/>
        </w:rPr>
        <w:t> </w:t>
      </w:r>
      <w:r>
        <w:rPr/>
        <w:t>the</w:t>
      </w:r>
      <w:r>
        <w:rPr>
          <w:spacing w:val="-7"/>
        </w:rPr>
        <w:t> </w:t>
      </w:r>
      <w:r>
        <w:rPr/>
        <w:t>BLM, the Forest will recommend best management practices and mitigation as Conditions of Approval to support attainment and maintenance of aquatic and riparian desired conditions.</w:t>
      </w:r>
    </w:p>
    <w:p>
      <w:pPr>
        <w:spacing w:before="233"/>
        <w:ind w:left="360" w:right="0" w:firstLine="0"/>
        <w:jc w:val="left"/>
        <w:rPr>
          <w:rFonts w:ascii="Arial"/>
          <w:i/>
          <w:sz w:val="22"/>
        </w:rPr>
      </w:pPr>
      <w:bookmarkStart w:name="MA-STD-RMA-22. Salable Minerals" w:id="731"/>
      <w:bookmarkEnd w:id="731"/>
      <w:r>
        <w:rPr/>
      </w:r>
      <w:r>
        <w:rPr>
          <w:rFonts w:ascii="Arial"/>
          <w:i/>
          <w:sz w:val="22"/>
        </w:rPr>
        <w:t>MA-STD-RMA-22.</w:t>
      </w:r>
      <w:r>
        <w:rPr>
          <w:rFonts w:ascii="Arial"/>
          <w:i/>
          <w:spacing w:val="-10"/>
          <w:sz w:val="22"/>
        </w:rPr>
        <w:t> </w:t>
      </w:r>
      <w:r>
        <w:rPr>
          <w:rFonts w:ascii="Arial"/>
          <w:i/>
          <w:sz w:val="22"/>
        </w:rPr>
        <w:t>Salable</w:t>
      </w:r>
      <w:r>
        <w:rPr>
          <w:rFonts w:ascii="Arial"/>
          <w:i/>
          <w:spacing w:val="-9"/>
          <w:sz w:val="22"/>
        </w:rPr>
        <w:t> </w:t>
      </w:r>
      <w:r>
        <w:rPr>
          <w:rFonts w:ascii="Arial"/>
          <w:i/>
          <w:spacing w:val="-2"/>
          <w:sz w:val="22"/>
        </w:rPr>
        <w:t>Minerals</w:t>
      </w:r>
    </w:p>
    <w:p>
      <w:pPr>
        <w:pStyle w:val="BodyText"/>
        <w:spacing w:line="232" w:lineRule="auto" w:before="64"/>
        <w:ind w:left="360" w:right="1445"/>
      </w:pPr>
      <w:r>
        <w:rPr/>
        <w:t>Prohibit salable mineral activities such as sand and gravel mining and extraction within RMAs unless</w:t>
      </w:r>
      <w:r>
        <w:rPr>
          <w:spacing w:val="-5"/>
        </w:rPr>
        <w:t> </w:t>
      </w:r>
      <w:r>
        <w:rPr/>
        <w:t>no</w:t>
      </w:r>
      <w:r>
        <w:rPr>
          <w:spacing w:val="-4"/>
        </w:rPr>
        <w:t> </w:t>
      </w:r>
      <w:r>
        <w:rPr/>
        <w:t>alternatives</w:t>
      </w:r>
      <w:r>
        <w:rPr>
          <w:spacing w:val="-7"/>
        </w:rPr>
        <w:t> </w:t>
      </w:r>
      <w:r>
        <w:rPr/>
        <w:t>exist</w:t>
      </w:r>
      <w:r>
        <w:rPr>
          <w:spacing w:val="-7"/>
        </w:rPr>
        <w:t> </w:t>
      </w:r>
      <w:r>
        <w:rPr/>
        <w:t>and</w:t>
      </w:r>
      <w:r>
        <w:rPr>
          <w:spacing w:val="-6"/>
        </w:rPr>
        <w:t> </w:t>
      </w:r>
      <w:r>
        <w:rPr/>
        <w:t>if</w:t>
      </w:r>
      <w:r>
        <w:rPr>
          <w:spacing w:val="-5"/>
        </w:rPr>
        <w:t> </w:t>
      </w:r>
      <w:r>
        <w:rPr/>
        <w:t>the</w:t>
      </w:r>
      <w:r>
        <w:rPr>
          <w:spacing w:val="-4"/>
        </w:rPr>
        <w:t> </w:t>
      </w:r>
      <w:r>
        <w:rPr/>
        <w:t>action(s)</w:t>
      </w:r>
      <w:r>
        <w:rPr>
          <w:spacing w:val="-5"/>
        </w:rPr>
        <w:t> </w:t>
      </w:r>
      <w:r>
        <w:rPr/>
        <w:t>will</w:t>
      </w:r>
      <w:r>
        <w:rPr>
          <w:spacing w:val="-8"/>
        </w:rPr>
        <w:t> </w:t>
      </w:r>
      <w:r>
        <w:rPr/>
        <w:t>not</w:t>
      </w:r>
      <w:r>
        <w:rPr>
          <w:spacing w:val="-9"/>
        </w:rPr>
        <w:t> </w:t>
      </w:r>
      <w:r>
        <w:rPr/>
        <w:t>retard</w:t>
      </w:r>
      <w:r>
        <w:rPr>
          <w:spacing w:val="-8"/>
        </w:rPr>
        <w:t> </w:t>
      </w:r>
      <w:r>
        <w:rPr/>
        <w:t>or</w:t>
      </w:r>
      <w:r>
        <w:rPr>
          <w:spacing w:val="-5"/>
        </w:rPr>
        <w:t> </w:t>
      </w:r>
      <w:r>
        <w:rPr/>
        <w:t>prevent</w:t>
      </w:r>
      <w:r>
        <w:rPr>
          <w:spacing w:val="-4"/>
        </w:rPr>
        <w:t> </w:t>
      </w:r>
      <w:r>
        <w:rPr/>
        <w:t>attainment</w:t>
      </w:r>
      <w:r>
        <w:rPr>
          <w:spacing w:val="-4"/>
        </w:rPr>
        <w:t> </w:t>
      </w:r>
      <w:r>
        <w:rPr/>
        <w:t>of</w:t>
      </w:r>
      <w:r>
        <w:rPr>
          <w:spacing w:val="-5"/>
        </w:rPr>
        <w:t> </w:t>
      </w:r>
      <w:r>
        <w:rPr/>
        <w:t>aquatic and riparian desired conditions.</w:t>
      </w:r>
    </w:p>
    <w:p>
      <w:pPr>
        <w:spacing w:before="236"/>
        <w:ind w:left="360" w:right="0" w:firstLine="0"/>
        <w:jc w:val="left"/>
        <w:rPr>
          <w:rFonts w:ascii="Arial"/>
          <w:i/>
          <w:sz w:val="22"/>
        </w:rPr>
      </w:pPr>
      <w:bookmarkStart w:name="MA-STD-RMA-23. Inspection and Monitoring" w:id="732"/>
      <w:bookmarkEnd w:id="732"/>
      <w:r>
        <w:rPr/>
      </w:r>
      <w:r>
        <w:rPr>
          <w:rFonts w:ascii="Arial"/>
          <w:i/>
          <w:sz w:val="22"/>
        </w:rPr>
        <w:t>MA-STD-RMA-23.</w:t>
      </w:r>
      <w:r>
        <w:rPr>
          <w:rFonts w:ascii="Arial"/>
          <w:i/>
          <w:spacing w:val="-7"/>
          <w:sz w:val="22"/>
        </w:rPr>
        <w:t> </w:t>
      </w:r>
      <w:r>
        <w:rPr>
          <w:rFonts w:ascii="Arial"/>
          <w:i/>
          <w:sz w:val="22"/>
        </w:rPr>
        <w:t>Inspection</w:t>
      </w:r>
      <w:r>
        <w:rPr>
          <w:rFonts w:ascii="Arial"/>
          <w:i/>
          <w:spacing w:val="-7"/>
          <w:sz w:val="22"/>
        </w:rPr>
        <w:t> </w:t>
      </w:r>
      <w:r>
        <w:rPr>
          <w:rFonts w:ascii="Arial"/>
          <w:i/>
          <w:sz w:val="22"/>
        </w:rPr>
        <w:t>and</w:t>
      </w:r>
      <w:r>
        <w:rPr>
          <w:rFonts w:ascii="Arial"/>
          <w:i/>
          <w:spacing w:val="-7"/>
          <w:sz w:val="22"/>
        </w:rPr>
        <w:t> </w:t>
      </w:r>
      <w:r>
        <w:rPr>
          <w:rFonts w:ascii="Arial"/>
          <w:i/>
          <w:sz w:val="22"/>
        </w:rPr>
        <w:t>Monitoring</w:t>
      </w:r>
      <w:r>
        <w:rPr>
          <w:rFonts w:ascii="Arial"/>
          <w:i/>
          <w:spacing w:val="-7"/>
          <w:sz w:val="22"/>
        </w:rPr>
        <w:t> </w:t>
      </w:r>
      <w:r>
        <w:rPr>
          <w:rFonts w:ascii="Arial"/>
          <w:i/>
          <w:sz w:val="22"/>
        </w:rPr>
        <w:t>of</w:t>
      </w:r>
      <w:r>
        <w:rPr>
          <w:rFonts w:ascii="Arial"/>
          <w:i/>
          <w:spacing w:val="-7"/>
          <w:sz w:val="22"/>
        </w:rPr>
        <w:t> </w:t>
      </w:r>
      <w:r>
        <w:rPr>
          <w:rFonts w:ascii="Arial"/>
          <w:i/>
          <w:sz w:val="22"/>
        </w:rPr>
        <w:t>Mineral</w:t>
      </w:r>
      <w:r>
        <w:rPr>
          <w:rFonts w:ascii="Arial"/>
          <w:i/>
          <w:spacing w:val="-7"/>
          <w:sz w:val="22"/>
        </w:rPr>
        <w:t> </w:t>
      </w:r>
      <w:r>
        <w:rPr>
          <w:rFonts w:ascii="Arial"/>
          <w:i/>
          <w:sz w:val="22"/>
        </w:rPr>
        <w:t>Plans,</w:t>
      </w:r>
      <w:r>
        <w:rPr>
          <w:rFonts w:ascii="Arial"/>
          <w:i/>
          <w:spacing w:val="-5"/>
          <w:sz w:val="22"/>
        </w:rPr>
        <w:t> </w:t>
      </w:r>
      <w:r>
        <w:rPr>
          <w:rFonts w:ascii="Arial"/>
          <w:i/>
          <w:sz w:val="22"/>
        </w:rPr>
        <w:t>Leases,</w:t>
      </w:r>
      <w:r>
        <w:rPr>
          <w:rFonts w:ascii="Arial"/>
          <w:i/>
          <w:spacing w:val="-5"/>
          <w:sz w:val="22"/>
        </w:rPr>
        <w:t> </w:t>
      </w:r>
      <w:r>
        <w:rPr>
          <w:rFonts w:ascii="Arial"/>
          <w:i/>
          <w:sz w:val="22"/>
        </w:rPr>
        <w:t>and</w:t>
      </w:r>
      <w:r>
        <w:rPr>
          <w:rFonts w:ascii="Arial"/>
          <w:i/>
          <w:spacing w:val="-6"/>
          <w:sz w:val="22"/>
        </w:rPr>
        <w:t> </w:t>
      </w:r>
      <w:r>
        <w:rPr>
          <w:rFonts w:ascii="Arial"/>
          <w:i/>
          <w:spacing w:val="-2"/>
          <w:sz w:val="22"/>
        </w:rPr>
        <w:t>Permits</w:t>
      </w:r>
    </w:p>
    <w:p>
      <w:pPr>
        <w:pStyle w:val="BodyText"/>
        <w:spacing w:line="232" w:lineRule="auto" w:before="64"/>
        <w:ind w:left="360" w:right="1621"/>
      </w:pPr>
      <w:r>
        <w:rPr/>
        <w:t>Conduct inspections,</w:t>
      </w:r>
      <w:r>
        <w:rPr>
          <w:spacing w:val="-1"/>
        </w:rPr>
        <w:t> </w:t>
      </w:r>
      <w:r>
        <w:rPr/>
        <w:t>monitor, and annually review</w:t>
      </w:r>
      <w:r>
        <w:rPr>
          <w:spacing w:val="-1"/>
        </w:rPr>
        <w:t> </w:t>
      </w:r>
      <w:r>
        <w:rPr/>
        <w:t>required monitoring for</w:t>
      </w:r>
      <w:r>
        <w:rPr>
          <w:spacing w:val="-1"/>
        </w:rPr>
        <w:t> </w:t>
      </w:r>
      <w:r>
        <w:rPr/>
        <w:t>mineral plans, leases,</w:t>
      </w:r>
      <w:r>
        <w:rPr>
          <w:spacing w:val="-7"/>
        </w:rPr>
        <w:t> </w:t>
      </w:r>
      <w:r>
        <w:rPr/>
        <w:t>and</w:t>
      </w:r>
      <w:r>
        <w:rPr>
          <w:spacing w:val="-7"/>
        </w:rPr>
        <w:t> </w:t>
      </w:r>
      <w:r>
        <w:rPr/>
        <w:t>permits.</w:t>
      </w:r>
      <w:r>
        <w:rPr>
          <w:spacing w:val="-6"/>
        </w:rPr>
        <w:t> </w:t>
      </w:r>
      <w:r>
        <w:rPr/>
        <w:t>Evaluate</w:t>
      </w:r>
      <w:r>
        <w:rPr>
          <w:spacing w:val="-5"/>
        </w:rPr>
        <w:t> </w:t>
      </w:r>
      <w:r>
        <w:rPr/>
        <w:t>inspection</w:t>
      </w:r>
      <w:r>
        <w:rPr>
          <w:spacing w:val="-7"/>
        </w:rPr>
        <w:t> </w:t>
      </w:r>
      <w:r>
        <w:rPr/>
        <w:t>and</w:t>
      </w:r>
      <w:r>
        <w:rPr>
          <w:spacing w:val="-8"/>
        </w:rPr>
        <w:t> </w:t>
      </w:r>
      <w:r>
        <w:rPr/>
        <w:t>monitoring</w:t>
      </w:r>
      <w:r>
        <w:rPr>
          <w:spacing w:val="-7"/>
        </w:rPr>
        <w:t> </w:t>
      </w:r>
      <w:r>
        <w:rPr/>
        <w:t>results</w:t>
      </w:r>
      <w:r>
        <w:rPr>
          <w:spacing w:val="-6"/>
        </w:rPr>
        <w:t> </w:t>
      </w:r>
      <w:r>
        <w:rPr/>
        <w:t>and</w:t>
      </w:r>
      <w:r>
        <w:rPr>
          <w:spacing w:val="-8"/>
        </w:rPr>
        <w:t> </w:t>
      </w:r>
      <w:r>
        <w:rPr/>
        <w:t>require</w:t>
      </w:r>
      <w:r>
        <w:rPr>
          <w:spacing w:val="-7"/>
        </w:rPr>
        <w:t> </w:t>
      </w:r>
      <w:r>
        <w:rPr/>
        <w:t>mitigations</w:t>
      </w:r>
      <w:r>
        <w:rPr>
          <w:spacing w:val="-6"/>
        </w:rPr>
        <w:t> </w:t>
      </w:r>
      <w:r>
        <w:rPr/>
        <w:t>for mineral plans, leases, and permits as needed to eliminate impacts that retard or prevent attainment of aquatic and riparian desired conditions.</w:t>
      </w:r>
    </w:p>
    <w:p>
      <w:pPr>
        <w:spacing w:before="232"/>
        <w:ind w:left="360" w:right="0" w:firstLine="0"/>
        <w:jc w:val="left"/>
        <w:rPr>
          <w:rFonts w:ascii="Arial"/>
          <w:i/>
          <w:sz w:val="22"/>
        </w:rPr>
      </w:pPr>
      <w:bookmarkStart w:name="MA-STD-RMA-24. Suction Dredge and Placer" w:id="733"/>
      <w:bookmarkEnd w:id="733"/>
      <w:r>
        <w:rPr/>
      </w:r>
      <w:r>
        <w:rPr>
          <w:rFonts w:ascii="Arial"/>
          <w:i/>
          <w:sz w:val="22"/>
        </w:rPr>
        <w:t>MA-STD-RMA-24.</w:t>
      </w:r>
      <w:r>
        <w:rPr>
          <w:rFonts w:ascii="Arial"/>
          <w:i/>
          <w:spacing w:val="-5"/>
          <w:sz w:val="22"/>
        </w:rPr>
        <w:t> </w:t>
      </w:r>
      <w:r>
        <w:rPr>
          <w:rFonts w:ascii="Arial"/>
          <w:i/>
          <w:sz w:val="22"/>
        </w:rPr>
        <w:t>Suction</w:t>
      </w:r>
      <w:r>
        <w:rPr>
          <w:rFonts w:ascii="Arial"/>
          <w:i/>
          <w:spacing w:val="-7"/>
          <w:sz w:val="22"/>
        </w:rPr>
        <w:t> </w:t>
      </w:r>
      <w:r>
        <w:rPr>
          <w:rFonts w:ascii="Arial"/>
          <w:i/>
          <w:sz w:val="22"/>
        </w:rPr>
        <w:t>Dredge</w:t>
      </w:r>
      <w:r>
        <w:rPr>
          <w:rFonts w:ascii="Arial"/>
          <w:i/>
          <w:spacing w:val="-6"/>
          <w:sz w:val="22"/>
        </w:rPr>
        <w:t> </w:t>
      </w:r>
      <w:r>
        <w:rPr>
          <w:rFonts w:ascii="Arial"/>
          <w:i/>
          <w:sz w:val="22"/>
        </w:rPr>
        <w:t>and</w:t>
      </w:r>
      <w:r>
        <w:rPr>
          <w:rFonts w:ascii="Arial"/>
          <w:i/>
          <w:spacing w:val="-8"/>
          <w:sz w:val="22"/>
        </w:rPr>
        <w:t> </w:t>
      </w:r>
      <w:r>
        <w:rPr>
          <w:rFonts w:ascii="Arial"/>
          <w:i/>
          <w:sz w:val="22"/>
        </w:rPr>
        <w:t>Placer</w:t>
      </w:r>
      <w:r>
        <w:rPr>
          <w:rFonts w:ascii="Arial"/>
          <w:i/>
          <w:spacing w:val="-7"/>
          <w:sz w:val="22"/>
        </w:rPr>
        <w:t> </w:t>
      </w:r>
      <w:r>
        <w:rPr>
          <w:rFonts w:ascii="Arial"/>
          <w:i/>
          <w:spacing w:val="-2"/>
          <w:sz w:val="22"/>
        </w:rPr>
        <w:t>Mining</w:t>
      </w:r>
    </w:p>
    <w:p>
      <w:pPr>
        <w:pStyle w:val="BodyText"/>
        <w:spacing w:line="232" w:lineRule="auto" w:before="65"/>
        <w:ind w:left="360" w:right="1073"/>
      </w:pPr>
      <w:r>
        <w:rPr/>
        <w:t>Mineral</w:t>
      </w:r>
      <w:r>
        <w:rPr>
          <w:spacing w:val="-5"/>
        </w:rPr>
        <w:t> </w:t>
      </w:r>
      <w:r>
        <w:rPr/>
        <w:t>activities</w:t>
      </w:r>
      <w:r>
        <w:rPr>
          <w:spacing w:val="-7"/>
        </w:rPr>
        <w:t> </w:t>
      </w:r>
      <w:r>
        <w:rPr/>
        <w:t>on</w:t>
      </w:r>
      <w:r>
        <w:rPr>
          <w:spacing w:val="-6"/>
        </w:rPr>
        <w:t> </w:t>
      </w:r>
      <w:r>
        <w:rPr/>
        <w:t>NFS</w:t>
      </w:r>
      <w:r>
        <w:rPr>
          <w:spacing w:val="-6"/>
        </w:rPr>
        <w:t> </w:t>
      </w:r>
      <w:r>
        <w:rPr/>
        <w:t>lands</w:t>
      </w:r>
      <w:r>
        <w:rPr>
          <w:spacing w:val="-5"/>
        </w:rPr>
        <w:t> </w:t>
      </w:r>
      <w:r>
        <w:rPr/>
        <w:t>shall</w:t>
      </w:r>
      <w:r>
        <w:rPr>
          <w:spacing w:val="-5"/>
        </w:rPr>
        <w:t> </w:t>
      </w:r>
      <w:r>
        <w:rPr/>
        <w:t>avoid</w:t>
      </w:r>
      <w:r>
        <w:rPr>
          <w:spacing w:val="-8"/>
        </w:rPr>
        <w:t> </w:t>
      </w:r>
      <w:r>
        <w:rPr/>
        <w:t>or</w:t>
      </w:r>
      <w:r>
        <w:rPr>
          <w:spacing w:val="-7"/>
        </w:rPr>
        <w:t> </w:t>
      </w:r>
      <w:r>
        <w:rPr/>
        <w:t>minimize</w:t>
      </w:r>
      <w:r>
        <w:rPr>
          <w:spacing w:val="-7"/>
        </w:rPr>
        <w:t> </w:t>
      </w:r>
      <w:r>
        <w:rPr/>
        <w:t>adverse</w:t>
      </w:r>
      <w:r>
        <w:rPr>
          <w:spacing w:val="-7"/>
        </w:rPr>
        <w:t> </w:t>
      </w:r>
      <w:r>
        <w:rPr/>
        <w:t>effects</w:t>
      </w:r>
      <w:r>
        <w:rPr>
          <w:spacing w:val="-5"/>
        </w:rPr>
        <w:t> </w:t>
      </w:r>
      <w:r>
        <w:rPr/>
        <w:t>to</w:t>
      </w:r>
      <w:r>
        <w:rPr>
          <w:spacing w:val="-4"/>
        </w:rPr>
        <w:t> </w:t>
      </w:r>
      <w:r>
        <w:rPr/>
        <w:t>aquatic</w:t>
      </w:r>
      <w:r>
        <w:rPr>
          <w:spacing w:val="-7"/>
        </w:rPr>
        <w:t> </w:t>
      </w:r>
      <w:r>
        <w:rPr/>
        <w:t>threatened</w:t>
      </w:r>
      <w:r>
        <w:rPr>
          <w:spacing w:val="-6"/>
        </w:rPr>
        <w:t> </w:t>
      </w:r>
      <w:r>
        <w:rPr/>
        <w:t>or endangered species/populations and their designated critical habitat.</w:t>
      </w:r>
    </w:p>
    <w:p>
      <w:pPr>
        <w:pStyle w:val="ListParagraph"/>
        <w:numPr>
          <w:ilvl w:val="0"/>
          <w:numId w:val="19"/>
        </w:numPr>
        <w:tabs>
          <w:tab w:pos="899" w:val="left" w:leader="none"/>
        </w:tabs>
        <w:spacing w:line="232" w:lineRule="auto" w:before="198" w:after="0"/>
        <w:ind w:left="899" w:right="1529" w:hanging="360"/>
        <w:jc w:val="left"/>
        <w:rPr>
          <w:sz w:val="22"/>
        </w:rPr>
      </w:pPr>
      <w:r>
        <w:rPr>
          <w:sz w:val="22"/>
        </w:rPr>
        <w:t>All suction dredge mining activities in occupied habitat for aquatic threatened or endangered</w:t>
      </w:r>
      <w:r>
        <w:rPr>
          <w:spacing w:val="-7"/>
          <w:sz w:val="22"/>
        </w:rPr>
        <w:t> </w:t>
      </w:r>
      <w:r>
        <w:rPr>
          <w:sz w:val="22"/>
        </w:rPr>
        <w:t>species/populations</w:t>
      </w:r>
      <w:r>
        <w:rPr>
          <w:spacing w:val="-6"/>
          <w:sz w:val="22"/>
        </w:rPr>
        <w:t> </w:t>
      </w:r>
      <w:r>
        <w:rPr>
          <w:sz w:val="22"/>
        </w:rPr>
        <w:t>and</w:t>
      </w:r>
      <w:r>
        <w:rPr>
          <w:spacing w:val="-7"/>
          <w:sz w:val="22"/>
        </w:rPr>
        <w:t> </w:t>
      </w:r>
      <w:r>
        <w:rPr>
          <w:sz w:val="22"/>
        </w:rPr>
        <w:t>in</w:t>
      </w:r>
      <w:r>
        <w:rPr>
          <w:spacing w:val="-9"/>
          <w:sz w:val="22"/>
        </w:rPr>
        <w:t> </w:t>
      </w:r>
      <w:r>
        <w:rPr>
          <w:sz w:val="22"/>
        </w:rPr>
        <w:t>their</w:t>
      </w:r>
      <w:r>
        <w:rPr>
          <w:spacing w:val="-6"/>
          <w:sz w:val="22"/>
        </w:rPr>
        <w:t> </w:t>
      </w:r>
      <w:r>
        <w:rPr>
          <w:sz w:val="22"/>
        </w:rPr>
        <w:t>designated</w:t>
      </w:r>
      <w:r>
        <w:rPr>
          <w:spacing w:val="-7"/>
          <w:sz w:val="22"/>
        </w:rPr>
        <w:t> </w:t>
      </w:r>
      <w:r>
        <w:rPr>
          <w:sz w:val="22"/>
        </w:rPr>
        <w:t>critical</w:t>
      </w:r>
      <w:r>
        <w:rPr>
          <w:spacing w:val="-6"/>
          <w:sz w:val="22"/>
        </w:rPr>
        <w:t> </w:t>
      </w:r>
      <w:r>
        <w:rPr>
          <w:sz w:val="22"/>
        </w:rPr>
        <w:t>habitat</w:t>
      </w:r>
      <w:r>
        <w:rPr>
          <w:spacing w:val="-5"/>
          <w:sz w:val="22"/>
        </w:rPr>
        <w:t> </w:t>
      </w:r>
      <w:r>
        <w:rPr>
          <w:sz w:val="22"/>
        </w:rPr>
        <w:t>shall</w:t>
      </w:r>
      <w:r>
        <w:rPr>
          <w:spacing w:val="-6"/>
          <w:sz w:val="22"/>
        </w:rPr>
        <w:t> </w:t>
      </w:r>
      <w:r>
        <w:rPr>
          <w:sz w:val="22"/>
        </w:rPr>
        <w:t>be</w:t>
      </w:r>
      <w:r>
        <w:rPr>
          <w:spacing w:val="-9"/>
          <w:sz w:val="22"/>
        </w:rPr>
        <w:t> </w:t>
      </w:r>
      <w:r>
        <w:rPr>
          <w:sz w:val="22"/>
        </w:rPr>
        <w:t>evaluated by the district ranger to determine if the mining activity is causing or “will likely cause significant disturbance of surface resources.”</w:t>
      </w:r>
      <w:hyperlink w:history="true" w:anchor="_bookmark221">
        <w:r>
          <w:rPr>
            <w:sz w:val="22"/>
            <w:vertAlign w:val="superscript"/>
          </w:rPr>
          <w:t>22</w:t>
        </w:r>
      </w:hyperlink>
      <w:r>
        <w:rPr>
          <w:sz w:val="22"/>
          <w:vertAlign w:val="baseline"/>
        </w:rPr>
        <w:t> A likelihood that a threatened or endangered species "take" (defined in Section 3[18] of the ESA of 1973 as amended) incidental</w:t>
      </w:r>
      <w:r>
        <w:rPr>
          <w:spacing w:val="-3"/>
          <w:sz w:val="22"/>
          <w:vertAlign w:val="baseline"/>
        </w:rPr>
        <w:t> </w:t>
      </w:r>
      <w:r>
        <w:rPr>
          <w:sz w:val="22"/>
          <w:vertAlign w:val="baseline"/>
        </w:rPr>
        <w:t>to</w:t>
      </w:r>
      <w:r>
        <w:rPr>
          <w:spacing w:val="-3"/>
          <w:sz w:val="22"/>
          <w:vertAlign w:val="baseline"/>
        </w:rPr>
        <w:t> </w:t>
      </w:r>
      <w:r>
        <w:rPr>
          <w:sz w:val="22"/>
          <w:vertAlign w:val="baseline"/>
        </w:rPr>
        <w:t>the</w:t>
      </w:r>
      <w:r>
        <w:rPr>
          <w:spacing w:val="-4"/>
          <w:sz w:val="22"/>
          <w:vertAlign w:val="baseline"/>
        </w:rPr>
        <w:t> </w:t>
      </w:r>
      <w:r>
        <w:rPr>
          <w:sz w:val="22"/>
          <w:vertAlign w:val="baseline"/>
        </w:rPr>
        <w:t>mining</w:t>
      </w:r>
      <w:r>
        <w:rPr>
          <w:spacing w:val="-3"/>
          <w:sz w:val="22"/>
          <w:vertAlign w:val="baseline"/>
        </w:rPr>
        <w:t> </w:t>
      </w:r>
      <w:r>
        <w:rPr>
          <w:sz w:val="22"/>
          <w:vertAlign w:val="baseline"/>
        </w:rPr>
        <w:t>activity</w:t>
      </w:r>
      <w:r>
        <w:rPr>
          <w:spacing w:val="-3"/>
          <w:sz w:val="22"/>
          <w:vertAlign w:val="baseline"/>
        </w:rPr>
        <w:t> </w:t>
      </w:r>
      <w:r>
        <w:rPr>
          <w:sz w:val="22"/>
          <w:vertAlign w:val="baseline"/>
        </w:rPr>
        <w:t>is</w:t>
      </w:r>
      <w:r>
        <w:rPr>
          <w:spacing w:val="-3"/>
          <w:sz w:val="22"/>
          <w:vertAlign w:val="baseline"/>
        </w:rPr>
        <w:t> </w:t>
      </w:r>
      <w:r>
        <w:rPr>
          <w:sz w:val="22"/>
          <w:vertAlign w:val="baseline"/>
        </w:rPr>
        <w:t>an</w:t>
      </w:r>
      <w:r>
        <w:rPr>
          <w:spacing w:val="-5"/>
          <w:sz w:val="22"/>
          <w:vertAlign w:val="baseline"/>
        </w:rPr>
        <w:t> </w:t>
      </w:r>
      <w:r>
        <w:rPr>
          <w:sz w:val="22"/>
          <w:vertAlign w:val="baseline"/>
        </w:rPr>
        <w:t>example</w:t>
      </w:r>
      <w:r>
        <w:rPr>
          <w:spacing w:val="-4"/>
          <w:sz w:val="22"/>
          <w:vertAlign w:val="baseline"/>
        </w:rPr>
        <w:t> </w:t>
      </w:r>
      <w:r>
        <w:rPr>
          <w:sz w:val="22"/>
          <w:vertAlign w:val="baseline"/>
        </w:rPr>
        <w:t>of</w:t>
      </w:r>
      <w:r>
        <w:rPr>
          <w:spacing w:val="-3"/>
          <w:sz w:val="22"/>
          <w:vertAlign w:val="baseline"/>
        </w:rPr>
        <w:t> </w:t>
      </w:r>
      <w:r>
        <w:rPr>
          <w:sz w:val="22"/>
          <w:vertAlign w:val="baseline"/>
        </w:rPr>
        <w:t>a</w:t>
      </w:r>
      <w:r>
        <w:rPr>
          <w:spacing w:val="-4"/>
          <w:sz w:val="22"/>
          <w:vertAlign w:val="baseline"/>
        </w:rPr>
        <w:t> </w:t>
      </w:r>
      <w:r>
        <w:rPr>
          <w:sz w:val="22"/>
          <w:vertAlign w:val="baseline"/>
        </w:rPr>
        <w:t>significant</w:t>
      </w:r>
      <w:r>
        <w:rPr>
          <w:spacing w:val="-2"/>
          <w:sz w:val="22"/>
          <w:vertAlign w:val="baseline"/>
        </w:rPr>
        <w:t> </w:t>
      </w:r>
      <w:r>
        <w:rPr>
          <w:sz w:val="22"/>
          <w:vertAlign w:val="baseline"/>
        </w:rPr>
        <w:t>resource</w:t>
      </w:r>
      <w:r>
        <w:rPr>
          <w:spacing w:val="-2"/>
          <w:sz w:val="22"/>
          <w:vertAlign w:val="baseline"/>
        </w:rPr>
        <w:t> </w:t>
      </w:r>
      <w:r>
        <w:rPr>
          <w:sz w:val="22"/>
          <w:vertAlign w:val="baseline"/>
        </w:rPr>
        <w:t>disturbance.</w:t>
      </w:r>
      <w:r>
        <w:rPr>
          <w:spacing w:val="-3"/>
          <w:sz w:val="22"/>
          <w:vertAlign w:val="baseline"/>
        </w:rPr>
        <w:t> </w:t>
      </w:r>
      <w:r>
        <w:rPr>
          <w:sz w:val="22"/>
          <w:vertAlign w:val="baseline"/>
        </w:rPr>
        <w:t>Other significant disturbances that do not involve incidental take might involve effects on channel stability or stream hydraulics.</w:t>
      </w:r>
    </w:p>
    <w:p>
      <w:pPr>
        <w:pStyle w:val="ListParagraph"/>
        <w:numPr>
          <w:ilvl w:val="0"/>
          <w:numId w:val="19"/>
        </w:numPr>
        <w:tabs>
          <w:tab w:pos="900" w:val="left" w:leader="none"/>
        </w:tabs>
        <w:spacing w:line="232" w:lineRule="auto" w:before="117" w:after="0"/>
        <w:ind w:left="900" w:right="1514" w:hanging="360"/>
        <w:jc w:val="left"/>
        <w:rPr>
          <w:sz w:val="22"/>
        </w:rPr>
      </w:pPr>
      <w:r>
        <w:rPr>
          <w:sz w:val="22"/>
        </w:rPr>
        <w:t>If the district ranger determines that placer mining operations are causing or will likely cause significant disturbance to surface resources, the district ranger shall contact and inform</w:t>
      </w:r>
      <w:r>
        <w:rPr>
          <w:spacing w:val="-4"/>
          <w:sz w:val="22"/>
        </w:rPr>
        <w:t> </w:t>
      </w:r>
      <w:r>
        <w:rPr>
          <w:sz w:val="22"/>
        </w:rPr>
        <w:t>the</w:t>
      </w:r>
      <w:r>
        <w:rPr>
          <w:spacing w:val="-4"/>
          <w:sz w:val="22"/>
        </w:rPr>
        <w:t> </w:t>
      </w:r>
      <w:r>
        <w:rPr>
          <w:sz w:val="22"/>
        </w:rPr>
        <w:t>operator</w:t>
      </w:r>
      <w:r>
        <w:rPr>
          <w:spacing w:val="-7"/>
          <w:sz w:val="22"/>
        </w:rPr>
        <w:t> </w:t>
      </w:r>
      <w:r>
        <w:rPr>
          <w:sz w:val="22"/>
        </w:rPr>
        <w:t>to</w:t>
      </w:r>
      <w:r>
        <w:rPr>
          <w:spacing w:val="-4"/>
          <w:sz w:val="22"/>
        </w:rPr>
        <w:t> </w:t>
      </w:r>
      <w:r>
        <w:rPr>
          <w:sz w:val="22"/>
        </w:rPr>
        <w:t>seek</w:t>
      </w:r>
      <w:r>
        <w:rPr>
          <w:spacing w:val="-4"/>
          <w:sz w:val="22"/>
        </w:rPr>
        <w:t> </w:t>
      </w:r>
      <w:r>
        <w:rPr>
          <w:sz w:val="22"/>
        </w:rPr>
        <w:t>voluntary</w:t>
      </w:r>
      <w:r>
        <w:rPr>
          <w:spacing w:val="-4"/>
          <w:sz w:val="22"/>
        </w:rPr>
        <w:t> </w:t>
      </w:r>
      <w:r>
        <w:rPr>
          <w:sz w:val="22"/>
        </w:rPr>
        <w:t>compliance</w:t>
      </w:r>
      <w:r>
        <w:rPr>
          <w:spacing w:val="-7"/>
          <w:sz w:val="22"/>
        </w:rPr>
        <w:t> </w:t>
      </w:r>
      <w:r>
        <w:rPr>
          <w:sz w:val="22"/>
        </w:rPr>
        <w:t>with</w:t>
      </w:r>
      <w:r>
        <w:rPr>
          <w:spacing w:val="-6"/>
          <w:sz w:val="22"/>
        </w:rPr>
        <w:t> </w:t>
      </w:r>
      <w:r>
        <w:rPr>
          <w:sz w:val="22"/>
        </w:rPr>
        <w:t>36</w:t>
      </w:r>
      <w:r>
        <w:rPr>
          <w:spacing w:val="-6"/>
          <w:sz w:val="22"/>
        </w:rPr>
        <w:t> </w:t>
      </w:r>
      <w:r>
        <w:rPr>
          <w:sz w:val="22"/>
        </w:rPr>
        <w:t>CFR</w:t>
      </w:r>
      <w:r>
        <w:rPr>
          <w:spacing w:val="-5"/>
          <w:sz w:val="22"/>
        </w:rPr>
        <w:t> </w:t>
      </w:r>
      <w:r>
        <w:rPr>
          <w:sz w:val="22"/>
        </w:rPr>
        <w:t>228</w:t>
      </w:r>
      <w:r>
        <w:rPr>
          <w:spacing w:val="-6"/>
          <w:sz w:val="22"/>
        </w:rPr>
        <w:t> </w:t>
      </w:r>
      <w:r>
        <w:rPr>
          <w:sz w:val="22"/>
        </w:rPr>
        <w:t>mining</w:t>
      </w:r>
      <w:r>
        <w:rPr>
          <w:spacing w:val="-6"/>
          <w:sz w:val="22"/>
        </w:rPr>
        <w:t> </w:t>
      </w:r>
      <w:r>
        <w:rPr>
          <w:sz w:val="22"/>
        </w:rPr>
        <w:t>regulations</w:t>
      </w:r>
      <w:r>
        <w:rPr>
          <w:spacing w:val="-5"/>
          <w:sz w:val="22"/>
        </w:rPr>
        <w:t> </w:t>
      </w:r>
      <w:r>
        <w:rPr>
          <w:sz w:val="22"/>
        </w:rPr>
        <w:t>and to cease operations until compliance.</w:t>
      </w:r>
    </w:p>
    <w:p>
      <w:pPr>
        <w:pStyle w:val="BodyText"/>
        <w:rPr>
          <w:sz w:val="20"/>
        </w:rPr>
      </w:pPr>
    </w:p>
    <w:p>
      <w:pPr>
        <w:pStyle w:val="BodyText"/>
        <w:rPr>
          <w:sz w:val="20"/>
        </w:rPr>
      </w:pPr>
    </w:p>
    <w:p>
      <w:pPr>
        <w:pStyle w:val="BodyText"/>
        <w:rPr>
          <w:sz w:val="20"/>
        </w:rPr>
      </w:pPr>
    </w:p>
    <w:p>
      <w:pPr>
        <w:pStyle w:val="BodyText"/>
        <w:spacing w:before="68"/>
        <w:rPr>
          <w:sz w:val="20"/>
        </w:rPr>
      </w:pPr>
      <w:r>
        <w:rPr>
          <w:sz w:val="20"/>
        </w:rPr>
        <mc:AlternateContent>
          <mc:Choice Requires="wps">
            <w:drawing>
              <wp:anchor distT="0" distB="0" distL="0" distR="0" allowOverlap="1" layoutInCell="1" locked="0" behindDoc="1" simplePos="0" relativeHeight="487627264">
                <wp:simplePos x="0" y="0"/>
                <wp:positionH relativeFrom="page">
                  <wp:posOffset>914400</wp:posOffset>
                </wp:positionH>
                <wp:positionV relativeFrom="paragraph">
                  <wp:posOffset>213988</wp:posOffset>
                </wp:positionV>
                <wp:extent cx="1828800" cy="7620"/>
                <wp:effectExtent l="0" t="0" r="0" b="0"/>
                <wp:wrapTopAndBottom/>
                <wp:docPr id="213" name="Graphic 213"/>
                <wp:cNvGraphicFramePr>
                  <a:graphicFrameLocks/>
                </wp:cNvGraphicFramePr>
                <a:graphic>
                  <a:graphicData uri="http://schemas.microsoft.com/office/word/2010/wordprocessingShape">
                    <wps:wsp>
                      <wps:cNvPr id="213" name="Graphic 213"/>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6.849472pt;width:144pt;height:.6pt;mso-position-horizontal-relative:page;mso-position-vertical-relative:paragraph;z-index:-15689216;mso-wrap-distance-left:0;mso-wrap-distance-right:0" id="docshape201" filled="true" fillcolor="#000000" stroked="false">
                <v:fill type="solid"/>
                <w10:wrap type="topAndBottom"/>
              </v:rect>
            </w:pict>
          </mc:Fallback>
        </mc:AlternateContent>
      </w:r>
    </w:p>
    <w:p>
      <w:pPr>
        <w:spacing w:before="89"/>
        <w:ind w:left="359" w:right="1621" w:firstLine="0"/>
        <w:jc w:val="left"/>
        <w:rPr>
          <w:sz w:val="18"/>
        </w:rPr>
      </w:pPr>
      <w:bookmarkStart w:name="_bookmark221" w:id="734"/>
      <w:bookmarkEnd w:id="734"/>
      <w:r>
        <w:rPr/>
      </w:r>
      <w:r>
        <w:rPr>
          <w:rFonts w:ascii="Times New Roman" w:hAnsi="Times New Roman"/>
          <w:position w:val="8"/>
          <w:sz w:val="14"/>
        </w:rPr>
        <w:t>22</w:t>
      </w:r>
      <w:r>
        <w:rPr>
          <w:rFonts w:ascii="Times New Roman" w:hAnsi="Times New Roman"/>
          <w:spacing w:val="-3"/>
          <w:position w:val="8"/>
          <w:sz w:val="14"/>
        </w:rPr>
        <w:t> </w:t>
      </w:r>
      <w:r>
        <w:rPr>
          <w:sz w:val="18"/>
        </w:rPr>
        <w:t>The phrase ‘‘will likely cause significant disturbance of surface resources’’ means that, based on past experience, direct evidence, or sound scientific projection, the district ranger reasonably expects that the proposed operations would</w:t>
      </w:r>
      <w:r>
        <w:rPr>
          <w:spacing w:val="-3"/>
          <w:sz w:val="18"/>
        </w:rPr>
        <w:t> </w:t>
      </w:r>
      <w:r>
        <w:rPr>
          <w:sz w:val="18"/>
        </w:rPr>
        <w:t>result</w:t>
      </w:r>
      <w:r>
        <w:rPr>
          <w:spacing w:val="-3"/>
          <w:sz w:val="18"/>
        </w:rPr>
        <w:t> </w:t>
      </w:r>
      <w:r>
        <w:rPr>
          <w:sz w:val="18"/>
        </w:rPr>
        <w:t>in</w:t>
      </w:r>
      <w:r>
        <w:rPr>
          <w:spacing w:val="-3"/>
          <w:sz w:val="18"/>
        </w:rPr>
        <w:t> </w:t>
      </w:r>
      <w:r>
        <w:rPr>
          <w:sz w:val="18"/>
        </w:rPr>
        <w:t>impacts</w:t>
      </w:r>
      <w:r>
        <w:rPr>
          <w:spacing w:val="-3"/>
          <w:sz w:val="18"/>
        </w:rPr>
        <w:t> </w:t>
      </w:r>
      <w:r>
        <w:rPr>
          <w:sz w:val="18"/>
        </w:rPr>
        <w:t>to</w:t>
      </w:r>
      <w:r>
        <w:rPr>
          <w:spacing w:val="-1"/>
          <w:sz w:val="18"/>
        </w:rPr>
        <w:t> </w:t>
      </w:r>
      <w:r>
        <w:rPr>
          <w:sz w:val="18"/>
        </w:rPr>
        <w:t>NFS</w:t>
      </w:r>
      <w:r>
        <w:rPr>
          <w:spacing w:val="-3"/>
          <w:sz w:val="18"/>
        </w:rPr>
        <w:t> </w:t>
      </w:r>
      <w:r>
        <w:rPr>
          <w:sz w:val="18"/>
        </w:rPr>
        <w:t>lands</w:t>
      </w:r>
      <w:r>
        <w:rPr>
          <w:spacing w:val="-3"/>
          <w:sz w:val="18"/>
        </w:rPr>
        <w:t> </w:t>
      </w:r>
      <w:r>
        <w:rPr>
          <w:sz w:val="18"/>
        </w:rPr>
        <w:t>and</w:t>
      </w:r>
      <w:r>
        <w:rPr>
          <w:spacing w:val="-3"/>
          <w:sz w:val="18"/>
        </w:rPr>
        <w:t> </w:t>
      </w:r>
      <w:r>
        <w:rPr>
          <w:sz w:val="18"/>
        </w:rPr>
        <w:t>resources</w:t>
      </w:r>
      <w:r>
        <w:rPr>
          <w:spacing w:val="-3"/>
          <w:sz w:val="18"/>
        </w:rPr>
        <w:t> </w:t>
      </w:r>
      <w:r>
        <w:rPr>
          <w:sz w:val="18"/>
        </w:rPr>
        <w:t>that</w:t>
      </w:r>
      <w:r>
        <w:rPr>
          <w:spacing w:val="-3"/>
          <w:sz w:val="18"/>
        </w:rPr>
        <w:t> </w:t>
      </w:r>
      <w:r>
        <w:rPr>
          <w:sz w:val="18"/>
        </w:rPr>
        <w:t>probably need</w:t>
      </w:r>
      <w:r>
        <w:rPr>
          <w:spacing w:val="-1"/>
          <w:sz w:val="18"/>
        </w:rPr>
        <w:t> </w:t>
      </w:r>
      <w:r>
        <w:rPr>
          <w:sz w:val="18"/>
        </w:rPr>
        <w:t>to</w:t>
      </w:r>
      <w:r>
        <w:rPr>
          <w:spacing w:val="-1"/>
          <w:sz w:val="18"/>
        </w:rPr>
        <w:t> </w:t>
      </w:r>
      <w:r>
        <w:rPr>
          <w:sz w:val="18"/>
        </w:rPr>
        <w:t>be</w:t>
      </w:r>
      <w:r>
        <w:rPr>
          <w:spacing w:val="-3"/>
          <w:sz w:val="18"/>
        </w:rPr>
        <w:t> </w:t>
      </w:r>
      <w:r>
        <w:rPr>
          <w:sz w:val="18"/>
        </w:rPr>
        <w:t>avoided</w:t>
      </w:r>
      <w:r>
        <w:rPr>
          <w:spacing w:val="-3"/>
          <w:sz w:val="18"/>
        </w:rPr>
        <w:t> </w:t>
      </w:r>
      <w:r>
        <w:rPr>
          <w:sz w:val="18"/>
        </w:rPr>
        <w:t>or</w:t>
      </w:r>
      <w:r>
        <w:rPr>
          <w:spacing w:val="-3"/>
          <w:sz w:val="18"/>
        </w:rPr>
        <w:t> </w:t>
      </w:r>
      <w:r>
        <w:rPr>
          <w:sz w:val="18"/>
        </w:rPr>
        <w:t>ameliorated</w:t>
      </w:r>
      <w:r>
        <w:rPr>
          <w:spacing w:val="-3"/>
          <w:sz w:val="18"/>
        </w:rPr>
        <w:t> </w:t>
      </w:r>
      <w:r>
        <w:rPr>
          <w:sz w:val="18"/>
        </w:rPr>
        <w:t>by</w:t>
      </w:r>
      <w:r>
        <w:rPr>
          <w:spacing w:val="-2"/>
          <w:sz w:val="18"/>
        </w:rPr>
        <w:t> </w:t>
      </w:r>
      <w:r>
        <w:rPr>
          <w:sz w:val="18"/>
        </w:rPr>
        <w:t>means</w:t>
      </w:r>
      <w:r>
        <w:rPr>
          <w:spacing w:val="-3"/>
          <w:sz w:val="18"/>
        </w:rPr>
        <w:t> </w:t>
      </w:r>
      <w:r>
        <w:rPr>
          <w:sz w:val="18"/>
        </w:rPr>
        <w:t>such as reclamation, bonding, timing restrictions, and other mitigation measures to avoid or minimize adverse environmental impacts on NFS resources.</w:t>
      </w:r>
    </w:p>
    <w:p>
      <w:pPr>
        <w:spacing w:after="0"/>
        <w:jc w:val="left"/>
        <w:rPr>
          <w:sz w:val="18"/>
        </w:rPr>
        <w:sectPr>
          <w:pgSz w:w="12240" w:h="15840"/>
          <w:pgMar w:header="725" w:footer="891" w:top="960" w:bottom="1080" w:left="1080" w:right="720"/>
        </w:sectPr>
      </w:pPr>
    </w:p>
    <w:p>
      <w:pPr>
        <w:pStyle w:val="BodyText"/>
        <w:spacing w:before="182"/>
        <w:rPr>
          <w:sz w:val="24"/>
        </w:rPr>
      </w:pPr>
    </w:p>
    <w:p>
      <w:pPr>
        <w:pStyle w:val="Heading4"/>
        <w:ind w:left="1151"/>
      </w:pPr>
      <w:bookmarkStart w:name="Guidelines" w:id="735"/>
      <w:bookmarkEnd w:id="735"/>
      <w:r>
        <w:rPr/>
      </w:r>
      <w:bookmarkStart w:name="_bookmark222" w:id="736"/>
      <w:bookmarkEnd w:id="736"/>
      <w:r>
        <w:rPr/>
      </w:r>
      <w:r>
        <w:rPr>
          <w:spacing w:val="-2"/>
        </w:rPr>
        <w:t>Guidelines</w:t>
      </w:r>
    </w:p>
    <w:p>
      <w:pPr>
        <w:spacing w:before="240"/>
        <w:ind w:left="1151" w:right="0" w:firstLine="0"/>
        <w:jc w:val="left"/>
        <w:rPr>
          <w:rFonts w:ascii="Arial"/>
          <w:i/>
          <w:sz w:val="22"/>
        </w:rPr>
      </w:pPr>
      <w:bookmarkStart w:name="MA-GDL-RMA-01. Aquatic and Riparian Cond" w:id="737"/>
      <w:bookmarkEnd w:id="737"/>
      <w:r>
        <w:rPr/>
      </w:r>
      <w:r>
        <w:rPr>
          <w:rFonts w:ascii="Arial"/>
          <w:i/>
          <w:sz w:val="22"/>
        </w:rPr>
        <w:t>MA-GDL-RMA-01.</w:t>
      </w:r>
      <w:r>
        <w:rPr>
          <w:rFonts w:ascii="Arial"/>
          <w:i/>
          <w:spacing w:val="-9"/>
          <w:sz w:val="22"/>
        </w:rPr>
        <w:t> </w:t>
      </w:r>
      <w:r>
        <w:rPr>
          <w:rFonts w:ascii="Arial"/>
          <w:i/>
          <w:sz w:val="22"/>
        </w:rPr>
        <w:t>Aquatic</w:t>
      </w:r>
      <w:r>
        <w:rPr>
          <w:rFonts w:ascii="Arial"/>
          <w:i/>
          <w:spacing w:val="-6"/>
          <w:sz w:val="22"/>
        </w:rPr>
        <w:t> </w:t>
      </w:r>
      <w:r>
        <w:rPr>
          <w:rFonts w:ascii="Arial"/>
          <w:i/>
          <w:sz w:val="22"/>
        </w:rPr>
        <w:t>and</w:t>
      </w:r>
      <w:r>
        <w:rPr>
          <w:rFonts w:ascii="Arial"/>
          <w:i/>
          <w:spacing w:val="-7"/>
          <w:sz w:val="22"/>
        </w:rPr>
        <w:t> </w:t>
      </w:r>
      <w:r>
        <w:rPr>
          <w:rFonts w:ascii="Arial"/>
          <w:i/>
          <w:sz w:val="22"/>
        </w:rPr>
        <w:t>Riparian</w:t>
      </w:r>
      <w:r>
        <w:rPr>
          <w:rFonts w:ascii="Arial"/>
          <w:i/>
          <w:spacing w:val="-7"/>
          <w:sz w:val="22"/>
        </w:rPr>
        <w:t> </w:t>
      </w:r>
      <w:r>
        <w:rPr>
          <w:rFonts w:ascii="Arial"/>
          <w:i/>
          <w:spacing w:val="-2"/>
          <w:sz w:val="22"/>
        </w:rPr>
        <w:t>Conditions</w:t>
      </w:r>
    </w:p>
    <w:p>
      <w:pPr>
        <w:pStyle w:val="BodyText"/>
        <w:spacing w:line="232" w:lineRule="auto" w:before="65"/>
        <w:ind w:left="1151" w:right="785"/>
      </w:pPr>
      <w:r>
        <w:rPr/>
        <w:t>RMAs include</w:t>
      </w:r>
      <w:r>
        <w:rPr>
          <w:spacing w:val="-1"/>
        </w:rPr>
        <w:t> </w:t>
      </w:r>
      <w:r>
        <w:rPr/>
        <w:t>portions</w:t>
      </w:r>
      <w:r>
        <w:rPr>
          <w:spacing w:val="-1"/>
        </w:rPr>
        <w:t> </w:t>
      </w:r>
      <w:r>
        <w:rPr/>
        <w:t>of</w:t>
      </w:r>
      <w:r>
        <w:rPr>
          <w:spacing w:val="-1"/>
        </w:rPr>
        <w:t> </w:t>
      </w:r>
      <w:r>
        <w:rPr/>
        <w:t>watersheds</w:t>
      </w:r>
      <w:r>
        <w:rPr>
          <w:spacing w:val="-1"/>
        </w:rPr>
        <w:t> </w:t>
      </w:r>
      <w:r>
        <w:rPr/>
        <w:t>where aquatic</w:t>
      </w:r>
      <w:r>
        <w:rPr>
          <w:spacing w:val="-1"/>
        </w:rPr>
        <w:t> </w:t>
      </w:r>
      <w:r>
        <w:rPr/>
        <w:t>and riparian-dependent resources receive primary</w:t>
      </w:r>
      <w:r>
        <w:rPr>
          <w:spacing w:val="-3"/>
        </w:rPr>
        <w:t> </w:t>
      </w:r>
      <w:r>
        <w:rPr/>
        <w:t>management</w:t>
      </w:r>
      <w:r>
        <w:rPr>
          <w:spacing w:val="-4"/>
        </w:rPr>
        <w:t> </w:t>
      </w:r>
      <w:r>
        <w:rPr/>
        <w:t>emphasis.</w:t>
      </w:r>
      <w:r>
        <w:rPr>
          <w:spacing w:val="-2"/>
        </w:rPr>
        <w:t> </w:t>
      </w:r>
      <w:r>
        <w:rPr/>
        <w:t>When</w:t>
      </w:r>
      <w:r>
        <w:rPr>
          <w:spacing w:val="-3"/>
        </w:rPr>
        <w:t> </w:t>
      </w:r>
      <w:r>
        <w:rPr/>
        <w:t>RMAs</w:t>
      </w:r>
      <w:r>
        <w:rPr>
          <w:spacing w:val="-2"/>
        </w:rPr>
        <w:t> </w:t>
      </w:r>
      <w:r>
        <w:rPr/>
        <w:t>are</w:t>
      </w:r>
      <w:r>
        <w:rPr>
          <w:spacing w:val="-1"/>
        </w:rPr>
        <w:t> </w:t>
      </w:r>
      <w:r>
        <w:rPr/>
        <w:t>properly</w:t>
      </w:r>
      <w:r>
        <w:rPr>
          <w:spacing w:val="-1"/>
        </w:rPr>
        <w:t> </w:t>
      </w:r>
      <w:r>
        <w:rPr/>
        <w:t>functioning</w:t>
      </w:r>
      <w:r>
        <w:rPr>
          <w:spacing w:val="-3"/>
        </w:rPr>
        <w:t> </w:t>
      </w:r>
      <w:r>
        <w:rPr/>
        <w:t>and</w:t>
      </w:r>
      <w:r>
        <w:rPr>
          <w:spacing w:val="-3"/>
        </w:rPr>
        <w:t> </w:t>
      </w:r>
      <w:r>
        <w:rPr/>
        <w:t>aquatic</w:t>
      </w:r>
      <w:r>
        <w:rPr>
          <w:spacing w:val="-2"/>
        </w:rPr>
        <w:t> </w:t>
      </w:r>
      <w:r>
        <w:rPr/>
        <w:t>and</w:t>
      </w:r>
      <w:r>
        <w:rPr>
          <w:spacing w:val="-3"/>
        </w:rPr>
        <w:t> </w:t>
      </w:r>
      <w:r>
        <w:rPr/>
        <w:t>riparian desired conditions are being achieved, projects should maintain</w:t>
      </w:r>
      <w:r>
        <w:rPr>
          <w:vertAlign w:val="superscript"/>
        </w:rPr>
        <w:t>12</w:t>
      </w:r>
      <w:r>
        <w:rPr>
          <w:vertAlign w:val="baseline"/>
        </w:rPr>
        <w:t> those conditions. When RMAs have impaired function</w:t>
      </w:r>
      <w:r>
        <w:rPr>
          <w:vertAlign w:val="superscript"/>
        </w:rPr>
        <w:t>11</w:t>
      </w:r>
      <w:r>
        <w:rPr>
          <w:vertAlign w:val="baseline"/>
        </w:rPr>
        <w:t> or are functioning-at-risk</w:t>
      </w:r>
      <w:r>
        <w:rPr>
          <w:vertAlign w:val="superscript"/>
        </w:rPr>
        <w:t>11</w:t>
      </w:r>
      <w:r>
        <w:rPr>
          <w:spacing w:val="-12"/>
          <w:vertAlign w:val="baseline"/>
        </w:rPr>
        <w:t> </w:t>
      </w:r>
      <w:r>
        <w:rPr>
          <w:vertAlign w:val="baseline"/>
        </w:rPr>
        <w:t>or if aquatic and riparian desired conditions are not yet being achieved and to the degree that project activities would</w:t>
      </w:r>
      <w:r>
        <w:rPr>
          <w:spacing w:val="40"/>
          <w:vertAlign w:val="baseline"/>
        </w:rPr>
        <w:t> </w:t>
      </w:r>
      <w:r>
        <w:rPr>
          <w:vertAlign w:val="baseline"/>
        </w:rPr>
        <w:t>contribute to those conditions, projects or permitted activities should restore or not retard attainment of desired conditions.</w:t>
      </w:r>
      <w:r>
        <w:rPr>
          <w:vertAlign w:val="superscript"/>
        </w:rPr>
        <w:t>12</w:t>
      </w:r>
      <w:r>
        <w:rPr>
          <w:vertAlign w:val="baseline"/>
        </w:rPr>
        <w:t> Short-term adverse effects from project activities may be acceptable when they support long-term recovery of aquatic and riparian desired conditions.</w:t>
      </w:r>
    </w:p>
    <w:p>
      <w:pPr>
        <w:pStyle w:val="BodyText"/>
        <w:spacing w:line="232" w:lineRule="auto"/>
        <w:ind w:left="1151" w:right="801"/>
      </w:pPr>
      <w:r>
        <w:rPr/>
        <w:t>Exceptions to this guideline include situations where Forest Service authorities are limited. In those</w:t>
      </w:r>
      <w:r>
        <w:rPr>
          <w:spacing w:val="-5"/>
        </w:rPr>
        <w:t> </w:t>
      </w:r>
      <w:r>
        <w:rPr/>
        <w:t>cases,</w:t>
      </w:r>
      <w:r>
        <w:rPr>
          <w:spacing w:val="-6"/>
        </w:rPr>
        <w:t> </w:t>
      </w:r>
      <w:r>
        <w:rPr/>
        <w:t>project</w:t>
      </w:r>
      <w:r>
        <w:rPr>
          <w:spacing w:val="-5"/>
        </w:rPr>
        <w:t> </w:t>
      </w:r>
      <w:r>
        <w:rPr/>
        <w:t>effects</w:t>
      </w:r>
      <w:r>
        <w:rPr>
          <w:spacing w:val="-8"/>
        </w:rPr>
        <w:t> </w:t>
      </w:r>
      <w:r>
        <w:rPr/>
        <w:t>toward</w:t>
      </w:r>
      <w:r>
        <w:rPr>
          <w:spacing w:val="-7"/>
        </w:rPr>
        <w:t> </w:t>
      </w:r>
      <w:r>
        <w:rPr/>
        <w:t>attainment</w:t>
      </w:r>
      <w:r>
        <w:rPr>
          <w:spacing w:val="-8"/>
        </w:rPr>
        <w:t> </w:t>
      </w:r>
      <w:r>
        <w:rPr/>
        <w:t>of</w:t>
      </w:r>
      <w:r>
        <w:rPr>
          <w:spacing w:val="-6"/>
        </w:rPr>
        <w:t> </w:t>
      </w:r>
      <w:r>
        <w:rPr/>
        <w:t>RMA</w:t>
      </w:r>
      <w:r>
        <w:rPr>
          <w:spacing w:val="-6"/>
        </w:rPr>
        <w:t> </w:t>
      </w:r>
      <w:r>
        <w:rPr/>
        <w:t>desired</w:t>
      </w:r>
      <w:r>
        <w:rPr>
          <w:spacing w:val="-7"/>
        </w:rPr>
        <w:t> </w:t>
      </w:r>
      <w:r>
        <w:rPr/>
        <w:t>conditions</w:t>
      </w:r>
      <w:r>
        <w:rPr>
          <w:spacing w:val="-9"/>
        </w:rPr>
        <w:t> </w:t>
      </w:r>
      <w:r>
        <w:rPr/>
        <w:t>should</w:t>
      </w:r>
      <w:r>
        <w:rPr>
          <w:spacing w:val="-7"/>
        </w:rPr>
        <w:t> </w:t>
      </w:r>
      <w:r>
        <w:rPr/>
        <w:t>be</w:t>
      </w:r>
      <w:r>
        <w:rPr>
          <w:spacing w:val="-8"/>
        </w:rPr>
        <w:t> </w:t>
      </w:r>
      <w:r>
        <w:rPr/>
        <w:t>minimized and not retard attainment of desired conditions to the extent possible within Forest Service </w:t>
      </w:r>
      <w:bookmarkStart w:name="MA-GDL-RMA-02. Fuel Storage" w:id="738"/>
      <w:bookmarkEnd w:id="738"/>
      <w:r>
        <w:rPr>
          <w:spacing w:val="-2"/>
        </w:rPr>
        <w:t>authorities.</w:t>
      </w:r>
    </w:p>
    <w:p>
      <w:pPr>
        <w:spacing w:before="229"/>
        <w:ind w:left="1151" w:right="0" w:firstLine="0"/>
        <w:jc w:val="left"/>
        <w:rPr>
          <w:rFonts w:ascii="Arial"/>
          <w:i/>
          <w:sz w:val="22"/>
        </w:rPr>
      </w:pPr>
      <w:r>
        <w:rPr>
          <w:rFonts w:ascii="Arial"/>
          <w:i/>
          <w:sz w:val="22"/>
        </w:rPr>
        <w:t>MA-GDL-RMA-02.</w:t>
      </w:r>
      <w:r>
        <w:rPr>
          <w:rFonts w:ascii="Arial"/>
          <w:i/>
          <w:spacing w:val="-12"/>
          <w:sz w:val="22"/>
        </w:rPr>
        <w:t> </w:t>
      </w:r>
      <w:r>
        <w:rPr>
          <w:rFonts w:ascii="Arial"/>
          <w:i/>
          <w:sz w:val="22"/>
        </w:rPr>
        <w:t>Fuel</w:t>
      </w:r>
      <w:r>
        <w:rPr>
          <w:rFonts w:ascii="Arial"/>
          <w:i/>
          <w:spacing w:val="-13"/>
          <w:sz w:val="22"/>
        </w:rPr>
        <w:t> </w:t>
      </w:r>
      <w:r>
        <w:rPr>
          <w:rFonts w:ascii="Arial"/>
          <w:i/>
          <w:spacing w:val="-2"/>
          <w:sz w:val="22"/>
        </w:rPr>
        <w:t>Storage</w:t>
      </w:r>
    </w:p>
    <w:p>
      <w:pPr>
        <w:pStyle w:val="BodyText"/>
        <w:spacing w:line="232" w:lineRule="auto" w:before="65"/>
        <w:ind w:left="1151" w:right="1073"/>
      </w:pPr>
      <w:r>
        <w:rPr/>
        <w:t>Refueling shall occur with appropriate containment equipment and a spill response plan in place.</w:t>
      </w:r>
      <w:r>
        <w:rPr>
          <w:spacing w:val="-2"/>
        </w:rPr>
        <w:t> </w:t>
      </w:r>
      <w:r>
        <w:rPr/>
        <w:t>Wherever</w:t>
      </w:r>
      <w:r>
        <w:rPr>
          <w:spacing w:val="-5"/>
        </w:rPr>
        <w:t> </w:t>
      </w:r>
      <w:r>
        <w:rPr/>
        <w:t>possible,</w:t>
      </w:r>
      <w:r>
        <w:rPr>
          <w:spacing w:val="-2"/>
        </w:rPr>
        <w:t> </w:t>
      </w:r>
      <w:r>
        <w:rPr/>
        <w:t>storage</w:t>
      </w:r>
      <w:r>
        <w:rPr>
          <w:spacing w:val="-4"/>
        </w:rPr>
        <w:t> </w:t>
      </w:r>
      <w:r>
        <w:rPr/>
        <w:t>of</w:t>
      </w:r>
      <w:r>
        <w:rPr>
          <w:spacing w:val="-2"/>
        </w:rPr>
        <w:t> </w:t>
      </w:r>
      <w:r>
        <w:rPr/>
        <w:t>petroleum</w:t>
      </w:r>
      <w:r>
        <w:rPr>
          <w:spacing w:val="-1"/>
        </w:rPr>
        <w:t> </w:t>
      </w:r>
      <w:r>
        <w:rPr/>
        <w:t>products</w:t>
      </w:r>
      <w:r>
        <w:rPr>
          <w:spacing w:val="-2"/>
        </w:rPr>
        <w:t> </w:t>
      </w:r>
      <w:r>
        <w:rPr/>
        <w:t>and</w:t>
      </w:r>
      <w:r>
        <w:rPr>
          <w:spacing w:val="-3"/>
        </w:rPr>
        <w:t> </w:t>
      </w:r>
      <w:r>
        <w:rPr/>
        <w:t>refueling</w:t>
      </w:r>
      <w:r>
        <w:rPr>
          <w:spacing w:val="-3"/>
        </w:rPr>
        <w:t> </w:t>
      </w:r>
      <w:r>
        <w:rPr/>
        <w:t>will</w:t>
      </w:r>
      <w:r>
        <w:rPr>
          <w:spacing w:val="-4"/>
        </w:rPr>
        <w:t> </w:t>
      </w:r>
      <w:r>
        <w:rPr/>
        <w:t>occur</w:t>
      </w:r>
      <w:r>
        <w:rPr>
          <w:spacing w:val="-4"/>
        </w:rPr>
        <w:t> </w:t>
      </w:r>
      <w:r>
        <w:rPr/>
        <w:t>outside</w:t>
      </w:r>
      <w:r>
        <w:rPr>
          <w:spacing w:val="-4"/>
        </w:rPr>
        <w:t> </w:t>
      </w:r>
      <w:r>
        <w:rPr/>
        <w:t>of RMAs. If refueling or storage of petroleum products is necessary within RMAs, these </w:t>
      </w:r>
      <w:bookmarkStart w:name="MA-GDL-RMA-03. Felling Trees" w:id="739"/>
      <w:bookmarkEnd w:id="739"/>
      <w:r>
        <w:rPr/>
        <w:t>operations</w:t>
      </w:r>
      <w:r>
        <w:rPr/>
        <w:t> will be conducted no closer than 100 feet from waterways.</w:t>
      </w:r>
    </w:p>
    <w:p>
      <w:pPr>
        <w:spacing w:before="234"/>
        <w:ind w:left="1151" w:right="0" w:firstLine="0"/>
        <w:jc w:val="left"/>
        <w:rPr>
          <w:rFonts w:ascii="Arial"/>
          <w:i/>
          <w:sz w:val="22"/>
        </w:rPr>
      </w:pPr>
      <w:r>
        <w:rPr>
          <w:rFonts w:ascii="Arial"/>
          <w:i/>
          <w:sz w:val="22"/>
        </w:rPr>
        <w:t>MA-GDL-RMA-03.</w:t>
      </w:r>
      <w:r>
        <w:rPr>
          <w:rFonts w:ascii="Arial"/>
          <w:i/>
          <w:spacing w:val="-13"/>
          <w:sz w:val="22"/>
        </w:rPr>
        <w:t> </w:t>
      </w:r>
      <w:r>
        <w:rPr>
          <w:rFonts w:ascii="Arial"/>
          <w:i/>
          <w:sz w:val="22"/>
        </w:rPr>
        <w:t>Felling</w:t>
      </w:r>
      <w:r>
        <w:rPr>
          <w:rFonts w:ascii="Arial"/>
          <w:i/>
          <w:spacing w:val="-12"/>
          <w:sz w:val="22"/>
        </w:rPr>
        <w:t> </w:t>
      </w:r>
      <w:r>
        <w:rPr>
          <w:rFonts w:ascii="Arial"/>
          <w:i/>
          <w:spacing w:val="-2"/>
          <w:sz w:val="22"/>
        </w:rPr>
        <w:t>Trees</w:t>
      </w:r>
    </w:p>
    <w:p>
      <w:pPr>
        <w:pStyle w:val="BodyText"/>
        <w:spacing w:line="232" w:lineRule="auto" w:before="65"/>
        <w:ind w:left="1151" w:right="801"/>
      </w:pPr>
      <w:r>
        <w:rPr/>
        <w:t>When trees are felled for safety, they should be retained onsite (channels and adjacent floodplains)</w:t>
      </w:r>
      <w:r>
        <w:rPr>
          <w:spacing w:val="-4"/>
        </w:rPr>
        <w:t> </w:t>
      </w:r>
      <w:r>
        <w:rPr/>
        <w:t>to</w:t>
      </w:r>
      <w:r>
        <w:rPr>
          <w:spacing w:val="-3"/>
        </w:rPr>
        <w:t> </w:t>
      </w:r>
      <w:r>
        <w:rPr/>
        <w:t>maintain,</w:t>
      </w:r>
      <w:r>
        <w:rPr>
          <w:spacing w:val="-2"/>
        </w:rPr>
        <w:t> </w:t>
      </w:r>
      <w:r>
        <w:rPr/>
        <w:t>protect,</w:t>
      </w:r>
      <w:r>
        <w:rPr>
          <w:spacing w:val="-4"/>
        </w:rPr>
        <w:t> </w:t>
      </w:r>
      <w:r>
        <w:rPr/>
        <w:t>or</w:t>
      </w:r>
      <w:r>
        <w:rPr>
          <w:spacing w:val="-4"/>
        </w:rPr>
        <w:t> </w:t>
      </w:r>
      <w:r>
        <w:rPr/>
        <w:t>enhance</w:t>
      </w:r>
      <w:r>
        <w:rPr>
          <w:spacing w:val="-1"/>
        </w:rPr>
        <w:t> </w:t>
      </w:r>
      <w:r>
        <w:rPr/>
        <w:t>aquatic</w:t>
      </w:r>
      <w:r>
        <w:rPr>
          <w:spacing w:val="-4"/>
        </w:rPr>
        <w:t> </w:t>
      </w:r>
      <w:r>
        <w:rPr/>
        <w:t>and</w:t>
      </w:r>
      <w:r>
        <w:rPr>
          <w:spacing w:val="-3"/>
        </w:rPr>
        <w:t> </w:t>
      </w:r>
      <w:r>
        <w:rPr/>
        <w:t>riparian</w:t>
      </w:r>
      <w:r>
        <w:rPr>
          <w:spacing w:val="-3"/>
        </w:rPr>
        <w:t> </w:t>
      </w:r>
      <w:r>
        <w:rPr/>
        <w:t>resources</w:t>
      </w:r>
      <w:r>
        <w:rPr>
          <w:spacing w:val="-4"/>
        </w:rPr>
        <w:t> </w:t>
      </w:r>
      <w:r>
        <w:rPr/>
        <w:t>unless</w:t>
      </w:r>
      <w:r>
        <w:rPr>
          <w:spacing w:val="-2"/>
        </w:rPr>
        <w:t> </w:t>
      </w:r>
      <w:r>
        <w:rPr/>
        <w:t>otherwise </w:t>
      </w:r>
      <w:bookmarkStart w:name="MA-GDL-RMA-04. Landings, Skid Trails, De" w:id="740"/>
      <w:bookmarkEnd w:id="740"/>
      <w:r>
        <w:rPr/>
        <w:t>determine</w:t>
      </w:r>
      <w:r>
        <w:rPr/>
        <w:t>d that such trees pose a new risk to administrative or developed recreation sites.</w:t>
      </w:r>
    </w:p>
    <w:p>
      <w:pPr>
        <w:spacing w:before="235"/>
        <w:ind w:left="1151" w:right="0" w:firstLine="0"/>
        <w:jc w:val="left"/>
        <w:rPr>
          <w:rFonts w:ascii="Arial"/>
          <w:i/>
          <w:sz w:val="22"/>
        </w:rPr>
      </w:pPr>
      <w:r>
        <w:rPr>
          <w:rFonts w:ascii="Arial"/>
          <w:i/>
          <w:sz w:val="22"/>
        </w:rPr>
        <w:t>MA-GDL-RMA-04.</w:t>
      </w:r>
      <w:r>
        <w:rPr>
          <w:rFonts w:ascii="Arial"/>
          <w:i/>
          <w:spacing w:val="-11"/>
          <w:sz w:val="22"/>
        </w:rPr>
        <w:t> </w:t>
      </w:r>
      <w:r>
        <w:rPr>
          <w:rFonts w:ascii="Arial"/>
          <w:i/>
          <w:sz w:val="22"/>
        </w:rPr>
        <w:t>Landings,</w:t>
      </w:r>
      <w:r>
        <w:rPr>
          <w:rFonts w:ascii="Arial"/>
          <w:i/>
          <w:spacing w:val="-5"/>
          <w:sz w:val="22"/>
        </w:rPr>
        <w:t> </w:t>
      </w:r>
      <w:r>
        <w:rPr>
          <w:rFonts w:ascii="Arial"/>
          <w:i/>
          <w:sz w:val="22"/>
        </w:rPr>
        <w:t>Skid</w:t>
      </w:r>
      <w:r>
        <w:rPr>
          <w:rFonts w:ascii="Arial"/>
          <w:i/>
          <w:spacing w:val="-8"/>
          <w:sz w:val="22"/>
        </w:rPr>
        <w:t> </w:t>
      </w:r>
      <w:r>
        <w:rPr>
          <w:rFonts w:ascii="Arial"/>
          <w:i/>
          <w:sz w:val="22"/>
        </w:rPr>
        <w:t>Trails,</w:t>
      </w:r>
      <w:r>
        <w:rPr>
          <w:rFonts w:ascii="Arial"/>
          <w:i/>
          <w:spacing w:val="-5"/>
          <w:sz w:val="22"/>
        </w:rPr>
        <w:t> </w:t>
      </w:r>
      <w:r>
        <w:rPr>
          <w:rFonts w:ascii="Arial"/>
          <w:i/>
          <w:sz w:val="22"/>
        </w:rPr>
        <w:t>Decking,</w:t>
      </w:r>
      <w:r>
        <w:rPr>
          <w:rFonts w:ascii="Arial"/>
          <w:i/>
          <w:spacing w:val="-6"/>
          <w:sz w:val="22"/>
        </w:rPr>
        <w:t> </w:t>
      </w:r>
      <w:r>
        <w:rPr>
          <w:rFonts w:ascii="Arial"/>
          <w:i/>
          <w:sz w:val="22"/>
        </w:rPr>
        <w:t>and</w:t>
      </w:r>
      <w:r>
        <w:rPr>
          <w:rFonts w:ascii="Arial"/>
          <w:i/>
          <w:spacing w:val="-9"/>
          <w:sz w:val="22"/>
        </w:rPr>
        <w:t> </w:t>
      </w:r>
      <w:r>
        <w:rPr>
          <w:rFonts w:ascii="Arial"/>
          <w:i/>
          <w:sz w:val="22"/>
        </w:rPr>
        <w:t>Temporary</w:t>
      </w:r>
      <w:r>
        <w:rPr>
          <w:rFonts w:ascii="Arial"/>
          <w:i/>
          <w:spacing w:val="-9"/>
          <w:sz w:val="22"/>
        </w:rPr>
        <w:t> </w:t>
      </w:r>
      <w:r>
        <w:rPr>
          <w:rFonts w:ascii="Arial"/>
          <w:i/>
          <w:spacing w:val="-2"/>
          <w:sz w:val="22"/>
        </w:rPr>
        <w:t>Roads</w:t>
      </w:r>
    </w:p>
    <w:p>
      <w:pPr>
        <w:pStyle w:val="BodyText"/>
        <w:spacing w:line="232" w:lineRule="auto" w:before="65"/>
        <w:ind w:left="1151" w:right="801"/>
      </w:pPr>
      <w:r>
        <w:rPr/>
        <mc:AlternateContent>
          <mc:Choice Requires="wps">
            <w:drawing>
              <wp:anchor distT="0" distB="0" distL="0" distR="0" allowOverlap="1" layoutInCell="1" locked="0" behindDoc="1" simplePos="0" relativeHeight="474284544">
                <wp:simplePos x="0" y="0"/>
                <wp:positionH relativeFrom="page">
                  <wp:posOffset>1531619</wp:posOffset>
                </wp:positionH>
                <wp:positionV relativeFrom="paragraph">
                  <wp:posOffset>282960</wp:posOffset>
                </wp:positionV>
                <wp:extent cx="58419" cy="155575"/>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58419" cy="155575"/>
                        </a:xfrm>
                        <a:prstGeom prst="rect">
                          <a:avLst/>
                        </a:prstGeom>
                      </wps:spPr>
                      <wps:txbx>
                        <w:txbxContent>
                          <w:p>
                            <w:pPr>
                              <w:spacing w:line="244" w:lineRule="exact" w:before="0"/>
                              <w:ind w:left="0" w:right="0" w:firstLine="0"/>
                              <w:jc w:val="left"/>
                              <w:rPr>
                                <w:rFonts w:ascii="Symbol" w:hAnsi="Symbol"/>
                                <w:sz w:val="20"/>
                              </w:rPr>
                            </w:pPr>
                            <w:r>
                              <w:rPr>
                                <w:rFonts w:ascii="Symbol" w:hAnsi="Symbol"/>
                                <w:spacing w:val="-10"/>
                                <w:sz w:val="20"/>
                              </w:rPr>
                              <w:t></w:t>
                            </w:r>
                          </w:p>
                        </w:txbxContent>
                      </wps:txbx>
                      <wps:bodyPr wrap="square" lIns="0" tIns="0" rIns="0" bIns="0" rtlCol="0">
                        <a:noAutofit/>
                      </wps:bodyPr>
                    </wps:wsp>
                  </a:graphicData>
                </a:graphic>
              </wp:anchor>
            </w:drawing>
          </mc:Choice>
          <mc:Fallback>
            <w:pict>
              <v:shape style="position:absolute;margin-left:120.599998pt;margin-top:22.28039pt;width:4.6pt;height:12.25pt;mso-position-horizontal-relative:page;mso-position-vertical-relative:paragraph;z-index:-29031936" type="#_x0000_t202" id="docshape202" filled="false" stroked="false">
                <v:textbox inset="0,0,0,0">
                  <w:txbxContent>
                    <w:p>
                      <w:pPr>
                        <w:spacing w:line="244" w:lineRule="exact" w:before="0"/>
                        <w:ind w:left="0" w:right="0" w:firstLine="0"/>
                        <w:jc w:val="left"/>
                        <w:rPr>
                          <w:rFonts w:ascii="Symbol" w:hAnsi="Symbol"/>
                          <w:sz w:val="20"/>
                        </w:rPr>
                      </w:pPr>
                      <w:r>
                        <w:rPr>
                          <w:rFonts w:ascii="Symbol" w:hAnsi="Symbol"/>
                          <w:spacing w:val="-10"/>
                          <w:sz w:val="20"/>
                        </w:rPr>
                        <w:t></w:t>
                      </w:r>
                    </w:p>
                  </w:txbxContent>
                </v:textbox>
                <w10:wrap type="none"/>
              </v:shape>
            </w:pict>
          </mc:Fallback>
        </mc:AlternateContent>
      </w:r>
      <w:r>
        <w:rPr/>
        <w:t>Landings,</w:t>
      </w:r>
      <w:r>
        <w:rPr>
          <w:spacing w:val="-2"/>
        </w:rPr>
        <w:t> </w:t>
      </w:r>
      <w:r>
        <w:rPr/>
        <w:t>designated</w:t>
      </w:r>
      <w:r>
        <w:rPr>
          <w:spacing w:val="-3"/>
        </w:rPr>
        <w:t> </w:t>
      </w:r>
      <w:r>
        <w:rPr/>
        <w:t>skid</w:t>
      </w:r>
      <w:r>
        <w:rPr>
          <w:spacing w:val="-3"/>
        </w:rPr>
        <w:t> </w:t>
      </w:r>
      <w:r>
        <w:rPr/>
        <w:t>trails,</w:t>
      </w:r>
      <w:r>
        <w:rPr>
          <w:spacing w:val="-1"/>
        </w:rPr>
        <w:t> </w:t>
      </w:r>
      <w:r>
        <w:rPr/>
        <w:t>staging,</w:t>
      </w:r>
      <w:r>
        <w:rPr>
          <w:spacing w:val="-5"/>
        </w:rPr>
        <w:t> </w:t>
      </w:r>
      <w:r>
        <w:rPr/>
        <w:t>or</w:t>
      </w:r>
      <w:r>
        <w:rPr>
          <w:spacing w:val="-2"/>
        </w:rPr>
        <w:t> </w:t>
      </w:r>
      <w:r>
        <w:rPr/>
        <w:t>decking</w:t>
      </w:r>
      <w:r>
        <w:rPr>
          <w:spacing w:val="-3"/>
        </w:rPr>
        <w:t> </w:t>
      </w:r>
      <w:r>
        <w:rPr/>
        <w:t>should</w:t>
      </w:r>
      <w:r>
        <w:rPr>
          <w:spacing w:val="-3"/>
        </w:rPr>
        <w:t> </w:t>
      </w:r>
      <w:r>
        <w:rPr/>
        <w:t>not</w:t>
      </w:r>
      <w:r>
        <w:rPr>
          <w:spacing w:val="-4"/>
        </w:rPr>
        <w:t> </w:t>
      </w:r>
      <w:r>
        <w:rPr/>
        <w:t>occur</w:t>
      </w:r>
      <w:r>
        <w:rPr>
          <w:spacing w:val="-2"/>
        </w:rPr>
        <w:t> </w:t>
      </w:r>
      <w:r>
        <w:rPr/>
        <w:t>in</w:t>
      </w:r>
      <w:r>
        <w:rPr>
          <w:spacing w:val="-3"/>
        </w:rPr>
        <w:t> </w:t>
      </w:r>
      <w:r>
        <w:rPr/>
        <w:t>RMAs,</w:t>
      </w:r>
      <w:r>
        <w:rPr>
          <w:spacing w:val="-2"/>
        </w:rPr>
        <w:t> </w:t>
      </w:r>
      <w:r>
        <w:rPr/>
        <w:t>unless</w:t>
      </w:r>
      <w:r>
        <w:rPr>
          <w:spacing w:val="-2"/>
        </w:rPr>
        <w:t> </w:t>
      </w:r>
      <w:r>
        <w:rPr/>
        <w:t>there</w:t>
      </w:r>
      <w:r>
        <w:rPr>
          <w:spacing w:val="-1"/>
        </w:rPr>
        <w:t> </w:t>
      </w:r>
      <w:r>
        <w:rPr/>
        <w:t>are no other reasonable alternatives, in which case they should:</w:t>
      </w:r>
    </w:p>
    <w:p>
      <w:pPr>
        <w:pStyle w:val="BodyText"/>
        <w:spacing w:line="119" w:lineRule="exact"/>
        <w:ind w:left="1692"/>
      </w:pPr>
      <w:r>
        <w:rPr/>
        <w:t>be</w:t>
      </w:r>
      <w:r>
        <w:rPr>
          <w:spacing w:val="-3"/>
        </w:rPr>
        <w:t> </w:t>
      </w:r>
      <w:r>
        <w:rPr/>
        <w:t>of</w:t>
      </w:r>
      <w:r>
        <w:rPr>
          <w:spacing w:val="-3"/>
        </w:rPr>
        <w:t> </w:t>
      </w:r>
      <w:r>
        <w:rPr/>
        <w:t>minimum</w:t>
      </w:r>
      <w:r>
        <w:rPr>
          <w:spacing w:val="-2"/>
        </w:rPr>
        <w:t> </w:t>
      </w:r>
      <w:r>
        <w:rPr>
          <w:spacing w:val="-4"/>
        </w:rPr>
        <w:t>size.</w:t>
      </w:r>
    </w:p>
    <w:p>
      <w:pPr>
        <w:pStyle w:val="ListParagraph"/>
        <w:numPr>
          <w:ilvl w:val="1"/>
          <w:numId w:val="19"/>
        </w:numPr>
        <w:tabs>
          <w:tab w:pos="1691" w:val="left" w:leader="none"/>
        </w:tabs>
        <w:spacing w:line="240" w:lineRule="auto" w:before="113" w:after="0"/>
        <w:ind w:left="1691" w:right="0" w:hanging="359"/>
        <w:jc w:val="left"/>
        <w:rPr>
          <w:sz w:val="22"/>
        </w:rPr>
      </w:pPr>
      <w:r>
        <w:rPr>
          <w:sz w:val="22"/>
        </w:rPr>
        <w:t>be</w:t>
      </w:r>
      <w:r>
        <w:rPr>
          <w:spacing w:val="-5"/>
          <w:sz w:val="22"/>
        </w:rPr>
        <w:t> </w:t>
      </w:r>
      <w:r>
        <w:rPr>
          <w:sz w:val="22"/>
        </w:rPr>
        <w:t>located</w:t>
      </w:r>
      <w:r>
        <w:rPr>
          <w:spacing w:val="-6"/>
          <w:sz w:val="22"/>
        </w:rPr>
        <w:t> </w:t>
      </w:r>
      <w:r>
        <w:rPr>
          <w:sz w:val="22"/>
        </w:rPr>
        <w:t>outside</w:t>
      </w:r>
      <w:r>
        <w:rPr>
          <w:spacing w:val="-7"/>
          <w:sz w:val="22"/>
        </w:rPr>
        <w:t> </w:t>
      </w:r>
      <w:r>
        <w:rPr>
          <w:sz w:val="22"/>
        </w:rPr>
        <w:t>the</w:t>
      </w:r>
      <w:r>
        <w:rPr>
          <w:spacing w:val="-5"/>
          <w:sz w:val="22"/>
        </w:rPr>
        <w:t> </w:t>
      </w:r>
      <w:r>
        <w:rPr>
          <w:sz w:val="22"/>
        </w:rPr>
        <w:t>active</w:t>
      </w:r>
      <w:r>
        <w:rPr>
          <w:spacing w:val="-4"/>
          <w:sz w:val="22"/>
        </w:rPr>
        <w:t> </w:t>
      </w:r>
      <w:r>
        <w:rPr>
          <w:spacing w:val="-2"/>
          <w:sz w:val="22"/>
        </w:rPr>
        <w:t>floodplain.</w:t>
      </w:r>
    </w:p>
    <w:p>
      <w:pPr>
        <w:pStyle w:val="ListParagraph"/>
        <w:numPr>
          <w:ilvl w:val="1"/>
          <w:numId w:val="19"/>
        </w:numPr>
        <w:tabs>
          <w:tab w:pos="1691" w:val="left" w:leader="none"/>
        </w:tabs>
        <w:spacing w:line="240" w:lineRule="auto" w:before="110" w:after="0"/>
        <w:ind w:left="1691" w:right="0" w:hanging="359"/>
        <w:jc w:val="left"/>
        <w:rPr>
          <w:sz w:val="22"/>
        </w:rPr>
      </w:pPr>
      <w:r>
        <w:rPr>
          <w:sz w:val="22"/>
        </w:rPr>
        <w:t>minimize</w:t>
      </w:r>
      <w:r>
        <w:rPr>
          <w:spacing w:val="-14"/>
          <w:sz w:val="22"/>
        </w:rPr>
        <w:t> </w:t>
      </w:r>
      <w:r>
        <w:rPr>
          <w:sz w:val="22"/>
        </w:rPr>
        <w:t>effects</w:t>
      </w:r>
      <w:r>
        <w:rPr>
          <w:spacing w:val="-12"/>
          <w:sz w:val="22"/>
        </w:rPr>
        <w:t> </w:t>
      </w:r>
      <w:r>
        <w:rPr>
          <w:sz w:val="22"/>
        </w:rPr>
        <w:t>to</w:t>
      </w:r>
      <w:r>
        <w:rPr>
          <w:spacing w:val="-11"/>
          <w:sz w:val="22"/>
        </w:rPr>
        <w:t> </w:t>
      </w:r>
      <w:r>
        <w:rPr>
          <w:sz w:val="22"/>
        </w:rPr>
        <w:t>large</w:t>
      </w:r>
      <w:r>
        <w:rPr>
          <w:spacing w:val="-12"/>
          <w:sz w:val="22"/>
        </w:rPr>
        <w:t> </w:t>
      </w:r>
      <w:r>
        <w:rPr>
          <w:sz w:val="22"/>
        </w:rPr>
        <w:t>wood,</w:t>
      </w:r>
      <w:r>
        <w:rPr>
          <w:spacing w:val="-11"/>
          <w:sz w:val="22"/>
        </w:rPr>
        <w:t> </w:t>
      </w:r>
      <w:r>
        <w:rPr>
          <w:sz w:val="22"/>
        </w:rPr>
        <w:t>bank</w:t>
      </w:r>
      <w:r>
        <w:rPr>
          <w:spacing w:val="-10"/>
          <w:sz w:val="22"/>
        </w:rPr>
        <w:t> </w:t>
      </w:r>
      <w:r>
        <w:rPr>
          <w:sz w:val="22"/>
        </w:rPr>
        <w:t>integrity,</w:t>
      </w:r>
      <w:r>
        <w:rPr>
          <w:spacing w:val="-10"/>
          <w:sz w:val="22"/>
        </w:rPr>
        <w:t> </w:t>
      </w:r>
      <w:r>
        <w:rPr>
          <w:sz w:val="22"/>
        </w:rPr>
        <w:t>temperature,</w:t>
      </w:r>
      <w:r>
        <w:rPr>
          <w:spacing w:val="-10"/>
          <w:sz w:val="22"/>
        </w:rPr>
        <w:t> </w:t>
      </w:r>
      <w:r>
        <w:rPr>
          <w:sz w:val="22"/>
        </w:rPr>
        <w:t>and</w:t>
      </w:r>
      <w:r>
        <w:rPr>
          <w:spacing w:val="-11"/>
          <w:sz w:val="22"/>
        </w:rPr>
        <w:t> </w:t>
      </w:r>
      <w:r>
        <w:rPr>
          <w:sz w:val="22"/>
        </w:rPr>
        <w:t>sediment</w:t>
      </w:r>
      <w:r>
        <w:rPr>
          <w:spacing w:val="-9"/>
          <w:sz w:val="22"/>
        </w:rPr>
        <w:t> </w:t>
      </w:r>
      <w:r>
        <w:rPr>
          <w:spacing w:val="-2"/>
          <w:sz w:val="22"/>
        </w:rPr>
        <w:t>levels.</w:t>
      </w:r>
    </w:p>
    <w:p>
      <w:pPr>
        <w:pStyle w:val="ListParagraph"/>
        <w:numPr>
          <w:ilvl w:val="1"/>
          <w:numId w:val="19"/>
        </w:numPr>
        <w:tabs>
          <w:tab w:pos="1691" w:val="left" w:leader="none"/>
        </w:tabs>
        <w:spacing w:line="240" w:lineRule="auto" w:before="111" w:after="0"/>
        <w:ind w:left="1691" w:right="0" w:hanging="359"/>
        <w:jc w:val="left"/>
        <w:rPr>
          <w:sz w:val="22"/>
        </w:rPr>
      </w:pPr>
      <w:r>
        <w:rPr>
          <w:sz w:val="22"/>
        </w:rPr>
        <w:t>not</w:t>
      </w:r>
      <w:r>
        <w:rPr>
          <w:spacing w:val="-5"/>
          <w:sz w:val="22"/>
        </w:rPr>
        <w:t> </w:t>
      </w:r>
      <w:r>
        <w:rPr>
          <w:sz w:val="22"/>
        </w:rPr>
        <w:t>result</w:t>
      </w:r>
      <w:r>
        <w:rPr>
          <w:spacing w:val="-4"/>
          <w:sz w:val="22"/>
        </w:rPr>
        <w:t> </w:t>
      </w:r>
      <w:r>
        <w:rPr>
          <w:sz w:val="22"/>
        </w:rPr>
        <w:t>in</w:t>
      </w:r>
      <w:r>
        <w:rPr>
          <w:spacing w:val="-5"/>
          <w:sz w:val="22"/>
        </w:rPr>
        <w:t> </w:t>
      </w:r>
      <w:r>
        <w:rPr>
          <w:sz w:val="22"/>
        </w:rPr>
        <w:t>unnatural</w:t>
      </w:r>
      <w:r>
        <w:rPr>
          <w:spacing w:val="-8"/>
          <w:sz w:val="22"/>
        </w:rPr>
        <w:t> </w:t>
      </w:r>
      <w:r>
        <w:rPr>
          <w:sz w:val="22"/>
        </w:rPr>
        <w:t>modification</w:t>
      </w:r>
      <w:r>
        <w:rPr>
          <w:spacing w:val="-8"/>
          <w:sz w:val="22"/>
        </w:rPr>
        <w:t> </w:t>
      </w:r>
      <w:r>
        <w:rPr>
          <w:sz w:val="22"/>
        </w:rPr>
        <w:t>of</w:t>
      </w:r>
      <w:r>
        <w:rPr>
          <w:spacing w:val="-5"/>
          <w:sz w:val="22"/>
        </w:rPr>
        <w:t> </w:t>
      </w:r>
      <w:r>
        <w:rPr>
          <w:sz w:val="22"/>
        </w:rPr>
        <w:t>flow</w:t>
      </w:r>
      <w:r>
        <w:rPr>
          <w:spacing w:val="-6"/>
          <w:sz w:val="22"/>
        </w:rPr>
        <w:t> </w:t>
      </w:r>
      <w:r>
        <w:rPr>
          <w:spacing w:val="-2"/>
          <w:sz w:val="22"/>
        </w:rPr>
        <w:t>paths.</w:t>
      </w:r>
    </w:p>
    <w:p>
      <w:pPr>
        <w:pStyle w:val="ListParagraph"/>
        <w:numPr>
          <w:ilvl w:val="1"/>
          <w:numId w:val="19"/>
        </w:numPr>
        <w:tabs>
          <w:tab w:pos="1691" w:val="left" w:leader="none"/>
        </w:tabs>
        <w:spacing w:line="240" w:lineRule="auto" w:before="113" w:after="0"/>
        <w:ind w:left="1691" w:right="0" w:hanging="359"/>
        <w:jc w:val="left"/>
        <w:rPr>
          <w:sz w:val="22"/>
        </w:rPr>
      </w:pPr>
      <w:r>
        <w:rPr>
          <w:sz w:val="22"/>
        </w:rPr>
        <w:t>enable</w:t>
      </w:r>
      <w:r>
        <w:rPr>
          <w:spacing w:val="-5"/>
          <w:sz w:val="22"/>
        </w:rPr>
        <w:t> </w:t>
      </w:r>
      <w:r>
        <w:rPr>
          <w:sz w:val="22"/>
        </w:rPr>
        <w:t>the</w:t>
      </w:r>
      <w:r>
        <w:rPr>
          <w:spacing w:val="-6"/>
          <w:sz w:val="22"/>
        </w:rPr>
        <w:t> </w:t>
      </w:r>
      <w:r>
        <w:rPr>
          <w:sz w:val="22"/>
        </w:rPr>
        <w:t>impacted</w:t>
      </w:r>
      <w:r>
        <w:rPr>
          <w:spacing w:val="-5"/>
          <w:sz w:val="22"/>
        </w:rPr>
        <w:t> </w:t>
      </w:r>
      <w:r>
        <w:rPr>
          <w:sz w:val="22"/>
        </w:rPr>
        <w:t>site(s)</w:t>
      </w:r>
      <w:r>
        <w:rPr>
          <w:spacing w:val="-6"/>
          <w:sz w:val="22"/>
        </w:rPr>
        <w:t> </w:t>
      </w:r>
      <w:r>
        <w:rPr>
          <w:sz w:val="22"/>
        </w:rPr>
        <w:t>to</w:t>
      </w:r>
      <w:r>
        <w:rPr>
          <w:spacing w:val="-3"/>
          <w:sz w:val="22"/>
        </w:rPr>
        <w:t> </w:t>
      </w:r>
      <w:r>
        <w:rPr>
          <w:sz w:val="22"/>
        </w:rPr>
        <w:t>be</w:t>
      </w:r>
      <w:r>
        <w:rPr>
          <w:spacing w:val="-3"/>
          <w:sz w:val="22"/>
        </w:rPr>
        <w:t> </w:t>
      </w:r>
      <w:r>
        <w:rPr>
          <w:sz w:val="22"/>
        </w:rPr>
        <w:t>reclaimed</w:t>
      </w:r>
      <w:r>
        <w:rPr>
          <w:spacing w:val="-4"/>
          <w:sz w:val="22"/>
        </w:rPr>
        <w:t> </w:t>
      </w:r>
      <w:r>
        <w:rPr>
          <w:sz w:val="22"/>
        </w:rPr>
        <w:t>as</w:t>
      </w:r>
      <w:r>
        <w:rPr>
          <w:spacing w:val="-6"/>
          <w:sz w:val="22"/>
        </w:rPr>
        <w:t> </w:t>
      </w:r>
      <w:r>
        <w:rPr>
          <w:sz w:val="22"/>
        </w:rPr>
        <w:t>soon</w:t>
      </w:r>
      <w:r>
        <w:rPr>
          <w:spacing w:val="-5"/>
          <w:sz w:val="22"/>
        </w:rPr>
        <w:t> </w:t>
      </w:r>
      <w:r>
        <w:rPr>
          <w:sz w:val="22"/>
        </w:rPr>
        <w:t>as</w:t>
      </w:r>
      <w:r>
        <w:rPr>
          <w:spacing w:val="-5"/>
          <w:sz w:val="22"/>
        </w:rPr>
        <w:t> </w:t>
      </w:r>
      <w:r>
        <w:rPr>
          <w:spacing w:val="-2"/>
          <w:sz w:val="22"/>
        </w:rPr>
        <w:t>practicable.</w:t>
      </w:r>
    </w:p>
    <w:p>
      <w:pPr>
        <w:pStyle w:val="BodyText"/>
        <w:spacing w:line="232" w:lineRule="auto" w:before="117"/>
        <w:ind w:left="1151" w:right="742"/>
      </w:pPr>
      <w:r>
        <w:rPr/>
        <w:t>Existing</w:t>
      </w:r>
      <w:r>
        <w:rPr>
          <w:spacing w:val="-7"/>
        </w:rPr>
        <w:t> </w:t>
      </w:r>
      <w:r>
        <w:rPr/>
        <w:t>infrastructure</w:t>
      </w:r>
      <w:r>
        <w:rPr>
          <w:spacing w:val="-8"/>
        </w:rPr>
        <w:t> </w:t>
      </w:r>
      <w:r>
        <w:rPr/>
        <w:t>may</w:t>
      </w:r>
      <w:r>
        <w:rPr>
          <w:spacing w:val="-7"/>
        </w:rPr>
        <w:t> </w:t>
      </w:r>
      <w:r>
        <w:rPr/>
        <w:t>be</w:t>
      </w:r>
      <w:r>
        <w:rPr>
          <w:spacing w:val="-5"/>
        </w:rPr>
        <w:t> </w:t>
      </w:r>
      <w:r>
        <w:rPr/>
        <w:t>reused</w:t>
      </w:r>
      <w:r>
        <w:rPr>
          <w:spacing w:val="-9"/>
        </w:rPr>
        <w:t> </w:t>
      </w:r>
      <w:r>
        <w:rPr/>
        <w:t>with</w:t>
      </w:r>
      <w:r>
        <w:rPr>
          <w:spacing w:val="-7"/>
        </w:rPr>
        <w:t> </w:t>
      </w:r>
      <w:r>
        <w:rPr/>
        <w:t>intent</w:t>
      </w:r>
      <w:r>
        <w:rPr>
          <w:spacing w:val="-8"/>
        </w:rPr>
        <w:t> </w:t>
      </w:r>
      <w:r>
        <w:rPr/>
        <w:t>of</w:t>
      </w:r>
      <w:r>
        <w:rPr>
          <w:spacing w:val="-6"/>
        </w:rPr>
        <w:t> </w:t>
      </w:r>
      <w:r>
        <w:rPr/>
        <w:t>removal</w:t>
      </w:r>
      <w:r>
        <w:rPr>
          <w:spacing w:val="-6"/>
        </w:rPr>
        <w:t> </w:t>
      </w:r>
      <w:r>
        <w:rPr/>
        <w:t>and</w:t>
      </w:r>
      <w:r>
        <w:rPr>
          <w:spacing w:val="-7"/>
        </w:rPr>
        <w:t> </w:t>
      </w:r>
      <w:r>
        <w:rPr/>
        <w:t>restoration</w:t>
      </w:r>
      <w:r>
        <w:rPr>
          <w:spacing w:val="-7"/>
        </w:rPr>
        <w:t> </w:t>
      </w:r>
      <w:r>
        <w:rPr/>
        <w:t>of</w:t>
      </w:r>
      <w:r>
        <w:rPr>
          <w:spacing w:val="-8"/>
        </w:rPr>
        <w:t> </w:t>
      </w:r>
      <w:r>
        <w:rPr/>
        <w:t>riparian</w:t>
      </w:r>
      <w:r>
        <w:rPr>
          <w:spacing w:val="-7"/>
        </w:rPr>
        <w:t> </w:t>
      </w:r>
      <w:r>
        <w:rPr/>
        <w:t>function as soon as practicable.</w:t>
      </w:r>
    </w:p>
    <w:p>
      <w:pPr>
        <w:spacing w:before="234"/>
        <w:ind w:left="1151" w:right="0" w:firstLine="0"/>
        <w:jc w:val="left"/>
        <w:rPr>
          <w:rFonts w:ascii="Arial"/>
          <w:i/>
          <w:sz w:val="22"/>
        </w:rPr>
      </w:pPr>
      <w:bookmarkStart w:name="MA-GDL-RMA-05. Road Construction" w:id="741"/>
      <w:bookmarkEnd w:id="741"/>
      <w:r>
        <w:rPr/>
      </w:r>
      <w:r>
        <w:rPr>
          <w:rFonts w:ascii="Arial"/>
          <w:i/>
          <w:sz w:val="22"/>
        </w:rPr>
        <w:t>MA-GDL-RMA-05.</w:t>
      </w:r>
      <w:r>
        <w:rPr>
          <w:rFonts w:ascii="Arial"/>
          <w:i/>
          <w:spacing w:val="-10"/>
          <w:sz w:val="22"/>
        </w:rPr>
        <w:t> </w:t>
      </w:r>
      <w:r>
        <w:rPr>
          <w:rFonts w:ascii="Arial"/>
          <w:i/>
          <w:sz w:val="22"/>
        </w:rPr>
        <w:t>Road</w:t>
      </w:r>
      <w:r>
        <w:rPr>
          <w:rFonts w:ascii="Arial"/>
          <w:i/>
          <w:spacing w:val="-9"/>
          <w:sz w:val="22"/>
        </w:rPr>
        <w:t> </w:t>
      </w:r>
      <w:r>
        <w:rPr>
          <w:rFonts w:ascii="Arial"/>
          <w:i/>
          <w:spacing w:val="-2"/>
          <w:sz w:val="22"/>
        </w:rPr>
        <w:t>Construction</w:t>
      </w:r>
    </w:p>
    <w:p>
      <w:pPr>
        <w:pStyle w:val="BodyText"/>
        <w:spacing w:line="232" w:lineRule="auto" w:before="65"/>
        <w:ind w:left="1151"/>
      </w:pPr>
      <w:r>
        <w:rPr/>
        <w:t>Construction</w:t>
      </w:r>
      <w:r>
        <w:rPr>
          <w:spacing w:val="-8"/>
        </w:rPr>
        <w:t> </w:t>
      </w:r>
      <w:r>
        <w:rPr/>
        <w:t>of</w:t>
      </w:r>
      <w:r>
        <w:rPr>
          <w:spacing w:val="-5"/>
        </w:rPr>
        <w:t> </w:t>
      </w:r>
      <w:r>
        <w:rPr/>
        <w:t>permanent</w:t>
      </w:r>
      <w:r>
        <w:rPr>
          <w:spacing w:val="-4"/>
        </w:rPr>
        <w:t> </w:t>
      </w:r>
      <w:r>
        <w:rPr/>
        <w:t>or</w:t>
      </w:r>
      <w:r>
        <w:rPr>
          <w:spacing w:val="-7"/>
        </w:rPr>
        <w:t> </w:t>
      </w:r>
      <w:r>
        <w:rPr/>
        <w:t>temporary</w:t>
      </w:r>
      <w:r>
        <w:rPr>
          <w:spacing w:val="-6"/>
        </w:rPr>
        <w:t> </w:t>
      </w:r>
      <w:r>
        <w:rPr/>
        <w:t>roads</w:t>
      </w:r>
      <w:r>
        <w:rPr>
          <w:spacing w:val="-5"/>
        </w:rPr>
        <w:t> </w:t>
      </w:r>
      <w:r>
        <w:rPr/>
        <w:t>in</w:t>
      </w:r>
      <w:r>
        <w:rPr>
          <w:spacing w:val="-6"/>
        </w:rPr>
        <w:t> </w:t>
      </w:r>
      <w:r>
        <w:rPr/>
        <w:t>RMAs</w:t>
      </w:r>
      <w:r>
        <w:rPr>
          <w:spacing w:val="-5"/>
        </w:rPr>
        <w:t> </w:t>
      </w:r>
      <w:r>
        <w:rPr/>
        <w:t>should</w:t>
      </w:r>
      <w:r>
        <w:rPr>
          <w:spacing w:val="-6"/>
        </w:rPr>
        <w:t> </w:t>
      </w:r>
      <w:r>
        <w:rPr/>
        <w:t>be</w:t>
      </w:r>
      <w:r>
        <w:rPr>
          <w:spacing w:val="-4"/>
        </w:rPr>
        <w:t> </w:t>
      </w:r>
      <w:r>
        <w:rPr/>
        <w:t>avoided</w:t>
      </w:r>
      <w:r>
        <w:rPr>
          <w:spacing w:val="-8"/>
        </w:rPr>
        <w:t> </w:t>
      </w:r>
      <w:r>
        <w:rPr/>
        <w:t>except</w:t>
      </w:r>
      <w:r>
        <w:rPr>
          <w:spacing w:val="-4"/>
        </w:rPr>
        <w:t> </w:t>
      </w:r>
      <w:r>
        <w:rPr/>
        <w:t>where</w:t>
      </w:r>
      <w:r>
        <w:rPr>
          <w:spacing w:val="-7"/>
        </w:rPr>
        <w:t> </w:t>
      </w:r>
      <w:r>
        <w:rPr/>
        <w:t>Forest authorities are limited by laws and regulation, and except where necessary for:</w:t>
      </w:r>
    </w:p>
    <w:p>
      <w:pPr>
        <w:pStyle w:val="ListParagraph"/>
        <w:numPr>
          <w:ilvl w:val="1"/>
          <w:numId w:val="19"/>
        </w:numPr>
        <w:tabs>
          <w:tab w:pos="1691" w:val="left" w:leader="none"/>
        </w:tabs>
        <w:spacing w:line="240" w:lineRule="auto" w:before="113" w:after="0"/>
        <w:ind w:left="1691" w:right="0" w:hanging="359"/>
        <w:jc w:val="left"/>
        <w:rPr>
          <w:sz w:val="22"/>
        </w:rPr>
      </w:pPr>
      <w:r>
        <w:rPr>
          <w:sz w:val="22"/>
        </w:rPr>
        <w:t>stream</w:t>
      </w:r>
      <w:r>
        <w:rPr>
          <w:spacing w:val="-8"/>
          <w:sz w:val="22"/>
        </w:rPr>
        <w:t> </w:t>
      </w:r>
      <w:r>
        <w:rPr>
          <w:spacing w:val="-2"/>
          <w:sz w:val="22"/>
        </w:rPr>
        <w:t>crossings</w:t>
      </w:r>
    </w:p>
    <w:p>
      <w:pPr>
        <w:pStyle w:val="ListParagraph"/>
        <w:numPr>
          <w:ilvl w:val="1"/>
          <w:numId w:val="19"/>
        </w:numPr>
        <w:tabs>
          <w:tab w:pos="1691" w:val="left" w:leader="none"/>
        </w:tabs>
        <w:spacing w:line="240" w:lineRule="auto" w:before="111" w:after="0"/>
        <w:ind w:left="1691" w:right="0" w:hanging="359"/>
        <w:jc w:val="left"/>
        <w:rPr>
          <w:sz w:val="22"/>
        </w:rPr>
      </w:pPr>
      <w:r>
        <w:rPr>
          <w:sz w:val="22"/>
        </w:rPr>
        <w:t>stream,</w:t>
      </w:r>
      <w:r>
        <w:rPr>
          <w:spacing w:val="-10"/>
          <w:sz w:val="22"/>
        </w:rPr>
        <w:t> </w:t>
      </w:r>
      <w:r>
        <w:rPr>
          <w:sz w:val="22"/>
        </w:rPr>
        <w:t>wetland,</w:t>
      </w:r>
      <w:r>
        <w:rPr>
          <w:spacing w:val="-9"/>
          <w:sz w:val="22"/>
        </w:rPr>
        <w:t> </w:t>
      </w:r>
      <w:r>
        <w:rPr>
          <w:sz w:val="22"/>
        </w:rPr>
        <w:t>riparian</w:t>
      </w:r>
      <w:r>
        <w:rPr>
          <w:spacing w:val="-9"/>
          <w:sz w:val="22"/>
        </w:rPr>
        <w:t> </w:t>
      </w:r>
      <w:r>
        <w:rPr>
          <w:sz w:val="22"/>
        </w:rPr>
        <w:t>restoration,</w:t>
      </w:r>
      <w:r>
        <w:rPr>
          <w:spacing w:val="-10"/>
          <w:sz w:val="22"/>
        </w:rPr>
        <w:t> </w:t>
      </w:r>
      <w:r>
        <w:rPr>
          <w:sz w:val="22"/>
        </w:rPr>
        <w:t>or</w:t>
      </w:r>
      <w:r>
        <w:rPr>
          <w:spacing w:val="-9"/>
          <w:sz w:val="22"/>
        </w:rPr>
        <w:t> </w:t>
      </w:r>
      <w:r>
        <w:rPr>
          <w:sz w:val="22"/>
        </w:rPr>
        <w:t>road</w:t>
      </w:r>
      <w:r>
        <w:rPr>
          <w:spacing w:val="-9"/>
          <w:sz w:val="22"/>
        </w:rPr>
        <w:t> </w:t>
      </w:r>
      <w:r>
        <w:rPr>
          <w:spacing w:val="-2"/>
          <w:sz w:val="22"/>
        </w:rPr>
        <w:t>relocation</w:t>
      </w:r>
    </w:p>
    <w:p>
      <w:pPr>
        <w:pStyle w:val="ListParagraph"/>
        <w:numPr>
          <w:ilvl w:val="1"/>
          <w:numId w:val="19"/>
        </w:numPr>
        <w:tabs>
          <w:tab w:pos="1691" w:val="left" w:leader="none"/>
        </w:tabs>
        <w:spacing w:line="240" w:lineRule="auto" w:before="111" w:after="0"/>
        <w:ind w:left="1691" w:right="0" w:hanging="359"/>
        <w:jc w:val="left"/>
        <w:rPr>
          <w:sz w:val="22"/>
        </w:rPr>
      </w:pPr>
      <w:r>
        <w:rPr>
          <w:sz w:val="22"/>
        </w:rPr>
        <w:t>mine </w:t>
      </w:r>
      <w:r>
        <w:rPr>
          <w:spacing w:val="-2"/>
          <w:sz w:val="22"/>
        </w:rPr>
        <w:t>reclamation</w:t>
      </w:r>
    </w:p>
    <w:p>
      <w:pPr>
        <w:pStyle w:val="ListParagraph"/>
        <w:numPr>
          <w:ilvl w:val="1"/>
          <w:numId w:val="19"/>
        </w:numPr>
        <w:tabs>
          <w:tab w:pos="1691" w:val="left" w:leader="none"/>
        </w:tabs>
        <w:spacing w:line="240" w:lineRule="auto" w:before="113" w:after="0"/>
        <w:ind w:left="1691" w:right="0" w:hanging="359"/>
        <w:jc w:val="left"/>
        <w:rPr>
          <w:sz w:val="22"/>
        </w:rPr>
      </w:pPr>
      <w:r>
        <w:rPr>
          <w:spacing w:val="-2"/>
          <w:sz w:val="22"/>
        </w:rPr>
        <w:t>employee,</w:t>
      </w:r>
      <w:r>
        <w:rPr>
          <w:sz w:val="22"/>
        </w:rPr>
        <w:t> </w:t>
      </w:r>
      <w:r>
        <w:rPr>
          <w:spacing w:val="-2"/>
          <w:sz w:val="22"/>
        </w:rPr>
        <w:t>contractor, or</w:t>
      </w:r>
      <w:r>
        <w:rPr>
          <w:spacing w:val="1"/>
          <w:sz w:val="22"/>
        </w:rPr>
        <w:t> </w:t>
      </w:r>
      <w:r>
        <w:rPr>
          <w:spacing w:val="-2"/>
          <w:sz w:val="22"/>
        </w:rPr>
        <w:t>public</w:t>
      </w:r>
      <w:r>
        <w:rPr>
          <w:spacing w:val="1"/>
          <w:sz w:val="22"/>
        </w:rPr>
        <w:t> </w:t>
      </w:r>
      <w:r>
        <w:rPr>
          <w:spacing w:val="-2"/>
          <w:sz w:val="22"/>
        </w:rPr>
        <w:t>safety</w:t>
      </w:r>
    </w:p>
    <w:p>
      <w:pPr>
        <w:pStyle w:val="ListParagraph"/>
        <w:spacing w:after="0" w:line="240" w:lineRule="auto"/>
        <w:jc w:val="left"/>
        <w:rPr>
          <w:sz w:val="22"/>
        </w:rPr>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GDL-RMA-06. Temporary Road Reconstruc" w:id="742"/>
      <w:bookmarkEnd w:id="742"/>
      <w:r>
        <w:rPr/>
      </w:r>
      <w:r>
        <w:rPr>
          <w:rFonts w:ascii="Arial"/>
          <w:i/>
          <w:sz w:val="22"/>
        </w:rPr>
        <w:t>MA-GDL-RMA-06.</w:t>
      </w:r>
      <w:r>
        <w:rPr>
          <w:rFonts w:ascii="Arial"/>
          <w:i/>
          <w:spacing w:val="-8"/>
          <w:sz w:val="22"/>
        </w:rPr>
        <w:t> </w:t>
      </w:r>
      <w:r>
        <w:rPr>
          <w:rFonts w:ascii="Arial"/>
          <w:i/>
          <w:sz w:val="22"/>
        </w:rPr>
        <w:t>Temporary</w:t>
      </w:r>
      <w:r>
        <w:rPr>
          <w:rFonts w:ascii="Arial"/>
          <w:i/>
          <w:spacing w:val="-10"/>
          <w:sz w:val="22"/>
        </w:rPr>
        <w:t> </w:t>
      </w:r>
      <w:r>
        <w:rPr>
          <w:rFonts w:ascii="Arial"/>
          <w:i/>
          <w:sz w:val="22"/>
        </w:rPr>
        <w:t>Road</w:t>
      </w:r>
      <w:r>
        <w:rPr>
          <w:rFonts w:ascii="Arial"/>
          <w:i/>
          <w:spacing w:val="-7"/>
          <w:sz w:val="22"/>
        </w:rPr>
        <w:t> </w:t>
      </w:r>
      <w:r>
        <w:rPr>
          <w:rFonts w:ascii="Arial"/>
          <w:i/>
          <w:spacing w:val="-2"/>
          <w:sz w:val="22"/>
        </w:rPr>
        <w:t>Reconstruction</w:t>
      </w:r>
    </w:p>
    <w:p>
      <w:pPr>
        <w:pStyle w:val="BodyText"/>
        <w:spacing w:line="232" w:lineRule="auto" w:before="65"/>
        <w:ind w:left="360" w:right="1073"/>
      </w:pPr>
      <w:r>
        <w:rPr/>
        <w:t>Temporary</w:t>
      </w:r>
      <w:r>
        <w:rPr>
          <w:spacing w:val="-7"/>
        </w:rPr>
        <w:t> </w:t>
      </w:r>
      <w:r>
        <w:rPr/>
        <w:t>roads</w:t>
      </w:r>
      <w:r>
        <w:rPr>
          <w:spacing w:val="-6"/>
        </w:rPr>
        <w:t> </w:t>
      </w:r>
      <w:r>
        <w:rPr/>
        <w:t>in</w:t>
      </w:r>
      <w:r>
        <w:rPr>
          <w:spacing w:val="-7"/>
        </w:rPr>
        <w:t> </w:t>
      </w:r>
      <w:r>
        <w:rPr/>
        <w:t>RMAs</w:t>
      </w:r>
      <w:r>
        <w:rPr>
          <w:spacing w:val="-6"/>
        </w:rPr>
        <w:t> </w:t>
      </w:r>
      <w:r>
        <w:rPr/>
        <w:t>should</w:t>
      </w:r>
      <w:r>
        <w:rPr>
          <w:spacing w:val="-7"/>
        </w:rPr>
        <w:t> </w:t>
      </w:r>
      <w:r>
        <w:rPr/>
        <w:t>be</w:t>
      </w:r>
      <w:r>
        <w:rPr>
          <w:spacing w:val="-5"/>
        </w:rPr>
        <w:t> </w:t>
      </w:r>
      <w:r>
        <w:rPr/>
        <w:t>avoided.</w:t>
      </w:r>
      <w:r>
        <w:rPr>
          <w:spacing w:val="-6"/>
        </w:rPr>
        <w:t> </w:t>
      </w:r>
      <w:r>
        <w:rPr/>
        <w:t>When</w:t>
      </w:r>
      <w:r>
        <w:rPr>
          <w:spacing w:val="-9"/>
        </w:rPr>
        <w:t> </w:t>
      </w:r>
      <w:r>
        <w:rPr/>
        <w:t>avoidance</w:t>
      </w:r>
      <w:r>
        <w:rPr>
          <w:spacing w:val="-5"/>
        </w:rPr>
        <w:t> </w:t>
      </w:r>
      <w:r>
        <w:rPr/>
        <w:t>is</w:t>
      </w:r>
      <w:r>
        <w:rPr>
          <w:spacing w:val="-8"/>
        </w:rPr>
        <w:t> </w:t>
      </w:r>
      <w:r>
        <w:rPr/>
        <w:t>not</w:t>
      </w:r>
      <w:r>
        <w:rPr>
          <w:spacing w:val="-8"/>
        </w:rPr>
        <w:t> </w:t>
      </w:r>
      <w:r>
        <w:rPr/>
        <w:t>possible,</w:t>
      </w:r>
      <w:r>
        <w:rPr>
          <w:spacing w:val="-6"/>
        </w:rPr>
        <w:t> </w:t>
      </w:r>
      <w:r>
        <w:rPr/>
        <w:t>temporary</w:t>
      </w:r>
      <w:r>
        <w:rPr>
          <w:spacing w:val="-7"/>
        </w:rPr>
        <w:t> </w:t>
      </w:r>
      <w:r>
        <w:rPr/>
        <w:t>roads should be managed to protect and restore aquatic and riparian desired conditions.</w:t>
      </w:r>
    </w:p>
    <w:p>
      <w:pPr>
        <w:spacing w:before="234"/>
        <w:ind w:left="360" w:right="0" w:firstLine="0"/>
        <w:jc w:val="left"/>
        <w:rPr>
          <w:rFonts w:ascii="Arial" w:hAnsi="Arial"/>
          <w:i/>
          <w:sz w:val="22"/>
        </w:rPr>
      </w:pPr>
      <w:bookmarkStart w:name="MA-GDL-RMA-07. Road and Trail Constructi" w:id="743"/>
      <w:bookmarkEnd w:id="743"/>
      <w:r>
        <w:rPr/>
      </w:r>
      <w:r>
        <w:rPr>
          <w:rFonts w:ascii="Arial" w:hAnsi="Arial"/>
          <w:i/>
          <w:sz w:val="22"/>
        </w:rPr>
        <w:t>MA-GDL-RMA-07.</w:t>
      </w:r>
      <w:r>
        <w:rPr>
          <w:rFonts w:ascii="Arial" w:hAnsi="Arial"/>
          <w:i/>
          <w:spacing w:val="-9"/>
          <w:sz w:val="22"/>
        </w:rPr>
        <w:t> </w:t>
      </w:r>
      <w:r>
        <w:rPr>
          <w:rFonts w:ascii="Arial" w:hAnsi="Arial"/>
          <w:i/>
          <w:sz w:val="22"/>
        </w:rPr>
        <w:t>Road</w:t>
      </w:r>
      <w:r>
        <w:rPr>
          <w:rFonts w:ascii="Arial" w:hAnsi="Arial"/>
          <w:i/>
          <w:spacing w:val="-7"/>
          <w:sz w:val="22"/>
        </w:rPr>
        <w:t> </w:t>
      </w:r>
      <w:r>
        <w:rPr>
          <w:rFonts w:ascii="Arial" w:hAnsi="Arial"/>
          <w:i/>
          <w:sz w:val="22"/>
        </w:rPr>
        <w:t>and</w:t>
      </w:r>
      <w:r>
        <w:rPr>
          <w:rFonts w:ascii="Arial" w:hAnsi="Arial"/>
          <w:i/>
          <w:spacing w:val="-6"/>
          <w:sz w:val="22"/>
        </w:rPr>
        <w:t> </w:t>
      </w:r>
      <w:r>
        <w:rPr>
          <w:rFonts w:ascii="Arial" w:hAnsi="Arial"/>
          <w:i/>
          <w:sz w:val="22"/>
        </w:rPr>
        <w:t>Trail</w:t>
      </w:r>
      <w:r>
        <w:rPr>
          <w:rFonts w:ascii="Arial" w:hAnsi="Arial"/>
          <w:i/>
          <w:spacing w:val="-5"/>
          <w:sz w:val="22"/>
        </w:rPr>
        <w:t> </w:t>
      </w:r>
      <w:r>
        <w:rPr>
          <w:rFonts w:ascii="Arial" w:hAnsi="Arial"/>
          <w:i/>
          <w:sz w:val="22"/>
        </w:rPr>
        <w:t>Construction</w:t>
      </w:r>
      <w:r>
        <w:rPr>
          <w:rFonts w:ascii="Arial" w:hAnsi="Arial"/>
          <w:i/>
          <w:spacing w:val="-5"/>
          <w:sz w:val="22"/>
        </w:rPr>
        <w:t> </w:t>
      </w:r>
      <w:r>
        <w:rPr>
          <w:rFonts w:ascii="Arial" w:hAnsi="Arial"/>
          <w:i/>
          <w:sz w:val="22"/>
        </w:rPr>
        <w:t>–</w:t>
      </w:r>
      <w:r>
        <w:rPr>
          <w:rFonts w:ascii="Arial" w:hAnsi="Arial"/>
          <w:i/>
          <w:spacing w:val="-7"/>
          <w:sz w:val="22"/>
        </w:rPr>
        <w:t> </w:t>
      </w:r>
      <w:r>
        <w:rPr>
          <w:rFonts w:ascii="Arial" w:hAnsi="Arial"/>
          <w:i/>
          <w:sz w:val="22"/>
        </w:rPr>
        <w:t>Wetlands</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Unstable</w:t>
      </w:r>
      <w:r>
        <w:rPr>
          <w:rFonts w:ascii="Arial" w:hAnsi="Arial"/>
          <w:i/>
          <w:spacing w:val="-7"/>
          <w:sz w:val="22"/>
        </w:rPr>
        <w:t> </w:t>
      </w:r>
      <w:r>
        <w:rPr>
          <w:rFonts w:ascii="Arial" w:hAnsi="Arial"/>
          <w:i/>
          <w:spacing w:val="-2"/>
          <w:sz w:val="22"/>
        </w:rPr>
        <w:t>Areas</w:t>
      </w:r>
    </w:p>
    <w:p>
      <w:pPr>
        <w:pStyle w:val="BodyText"/>
        <w:spacing w:line="232" w:lineRule="auto" w:before="65"/>
        <w:ind w:left="360" w:right="1516"/>
      </w:pPr>
      <w:r>
        <w:rPr/>
        <w:t>Wetlands</w:t>
      </w:r>
      <w:r>
        <w:rPr>
          <w:spacing w:val="-6"/>
        </w:rPr>
        <w:t> </w:t>
      </w:r>
      <w:r>
        <w:rPr/>
        <w:t>and</w:t>
      </w:r>
      <w:r>
        <w:rPr>
          <w:spacing w:val="-6"/>
        </w:rPr>
        <w:t> </w:t>
      </w:r>
      <w:r>
        <w:rPr/>
        <w:t>unstable</w:t>
      </w:r>
      <w:r>
        <w:rPr>
          <w:spacing w:val="-5"/>
        </w:rPr>
        <w:t> </w:t>
      </w:r>
      <w:r>
        <w:rPr/>
        <w:t>areas</w:t>
      </w:r>
      <w:r>
        <w:rPr>
          <w:spacing w:val="-6"/>
        </w:rPr>
        <w:t> </w:t>
      </w:r>
      <w:r>
        <w:rPr/>
        <w:t>should</w:t>
      </w:r>
      <w:r>
        <w:rPr>
          <w:spacing w:val="-6"/>
        </w:rPr>
        <w:t> </w:t>
      </w:r>
      <w:r>
        <w:rPr/>
        <w:t>be</w:t>
      </w:r>
      <w:r>
        <w:rPr>
          <w:spacing w:val="-7"/>
        </w:rPr>
        <w:t> </w:t>
      </w:r>
      <w:r>
        <w:rPr/>
        <w:t>avoided</w:t>
      </w:r>
      <w:r>
        <w:rPr>
          <w:spacing w:val="-8"/>
        </w:rPr>
        <w:t> </w:t>
      </w:r>
      <w:r>
        <w:rPr/>
        <w:t>when</w:t>
      </w:r>
      <w:r>
        <w:rPr>
          <w:spacing w:val="-8"/>
        </w:rPr>
        <w:t> </w:t>
      </w:r>
      <w:r>
        <w:rPr/>
        <w:t>reconstructing</w:t>
      </w:r>
      <w:r>
        <w:rPr>
          <w:spacing w:val="-8"/>
        </w:rPr>
        <w:t> </w:t>
      </w:r>
      <w:r>
        <w:rPr/>
        <w:t>existing</w:t>
      </w:r>
      <w:r>
        <w:rPr>
          <w:spacing w:val="-6"/>
        </w:rPr>
        <w:t> </w:t>
      </w:r>
      <w:r>
        <w:rPr/>
        <w:t>roads</w:t>
      </w:r>
      <w:r>
        <w:rPr>
          <w:spacing w:val="-5"/>
        </w:rPr>
        <w:t> </w:t>
      </w:r>
      <w:r>
        <w:rPr/>
        <w:t>and</w:t>
      </w:r>
      <w:r>
        <w:rPr>
          <w:spacing w:val="-6"/>
        </w:rPr>
        <w:t> </w:t>
      </w:r>
      <w:r>
        <w:rPr/>
        <w:t>trails</w:t>
      </w:r>
      <w:r>
        <w:rPr>
          <w:spacing w:val="-7"/>
        </w:rPr>
        <w:t> </w:t>
      </w:r>
      <w:r>
        <w:rPr/>
        <w:t>or constructing new roads, trails, and landings. Impacts should be mitigated where avoidance is not possible.</w:t>
      </w:r>
    </w:p>
    <w:p>
      <w:pPr>
        <w:spacing w:before="235"/>
        <w:ind w:left="360" w:right="0" w:firstLine="0"/>
        <w:jc w:val="left"/>
        <w:rPr>
          <w:rFonts w:ascii="Arial" w:hAnsi="Arial"/>
          <w:i/>
          <w:sz w:val="22"/>
        </w:rPr>
      </w:pPr>
      <w:bookmarkStart w:name="MA-GDL-RMA-08. Road and Trail Management" w:id="744"/>
      <w:bookmarkEnd w:id="744"/>
      <w:r>
        <w:rPr/>
      </w:r>
      <w:r>
        <w:rPr>
          <w:rFonts w:ascii="Arial" w:hAnsi="Arial"/>
          <w:i/>
          <w:sz w:val="22"/>
        </w:rPr>
        <w:t>MA-GDL-RMA-08.</w:t>
      </w:r>
      <w:r>
        <w:rPr>
          <w:rFonts w:ascii="Arial" w:hAnsi="Arial"/>
          <w:i/>
          <w:spacing w:val="-9"/>
          <w:sz w:val="22"/>
        </w:rPr>
        <w:t> </w:t>
      </w:r>
      <w:r>
        <w:rPr>
          <w:rFonts w:ascii="Arial" w:hAnsi="Arial"/>
          <w:i/>
          <w:sz w:val="22"/>
        </w:rPr>
        <w:t>Road</w:t>
      </w:r>
      <w:r>
        <w:rPr>
          <w:rFonts w:ascii="Arial" w:hAnsi="Arial"/>
          <w:i/>
          <w:spacing w:val="-7"/>
          <w:sz w:val="22"/>
        </w:rPr>
        <w:t> </w:t>
      </w:r>
      <w:r>
        <w:rPr>
          <w:rFonts w:ascii="Arial" w:hAnsi="Arial"/>
          <w:i/>
          <w:sz w:val="22"/>
        </w:rPr>
        <w:t>and</w:t>
      </w:r>
      <w:r>
        <w:rPr>
          <w:rFonts w:ascii="Arial" w:hAnsi="Arial"/>
          <w:i/>
          <w:spacing w:val="-6"/>
          <w:sz w:val="22"/>
        </w:rPr>
        <w:t> </w:t>
      </w:r>
      <w:r>
        <w:rPr>
          <w:rFonts w:ascii="Arial" w:hAnsi="Arial"/>
          <w:i/>
          <w:sz w:val="22"/>
        </w:rPr>
        <w:t>Trail</w:t>
      </w:r>
      <w:r>
        <w:rPr>
          <w:rFonts w:ascii="Arial" w:hAnsi="Arial"/>
          <w:i/>
          <w:spacing w:val="-6"/>
          <w:sz w:val="22"/>
        </w:rPr>
        <w:t> </w:t>
      </w:r>
      <w:r>
        <w:rPr>
          <w:rFonts w:ascii="Arial" w:hAnsi="Arial"/>
          <w:i/>
          <w:sz w:val="22"/>
        </w:rPr>
        <w:t>Management</w:t>
      </w:r>
      <w:r>
        <w:rPr>
          <w:rFonts w:ascii="Arial" w:hAnsi="Arial"/>
          <w:i/>
          <w:spacing w:val="-3"/>
          <w:sz w:val="22"/>
        </w:rPr>
        <w:t> </w:t>
      </w:r>
      <w:r>
        <w:rPr>
          <w:rFonts w:ascii="Arial" w:hAnsi="Arial"/>
          <w:i/>
          <w:sz w:val="22"/>
        </w:rPr>
        <w:t>–</w:t>
      </w:r>
      <w:r>
        <w:rPr>
          <w:rFonts w:ascii="Arial" w:hAnsi="Arial"/>
          <w:i/>
          <w:spacing w:val="-9"/>
          <w:sz w:val="22"/>
        </w:rPr>
        <w:t> </w:t>
      </w:r>
      <w:r>
        <w:rPr>
          <w:rFonts w:ascii="Arial" w:hAnsi="Arial"/>
          <w:i/>
          <w:spacing w:val="-2"/>
          <w:sz w:val="22"/>
        </w:rPr>
        <w:t>Drainage</w:t>
      </w:r>
    </w:p>
    <w:p>
      <w:pPr>
        <w:pStyle w:val="BodyText"/>
        <w:spacing w:line="232" w:lineRule="auto" w:before="65"/>
        <w:ind w:left="359" w:right="1148"/>
      </w:pPr>
      <w:r>
        <w:rPr/>
        <w:t>Road</w:t>
      </w:r>
      <w:r>
        <w:rPr>
          <w:spacing w:val="-7"/>
        </w:rPr>
        <w:t> </w:t>
      </w:r>
      <w:r>
        <w:rPr/>
        <w:t>and</w:t>
      </w:r>
      <w:r>
        <w:rPr>
          <w:spacing w:val="-7"/>
        </w:rPr>
        <w:t> </w:t>
      </w:r>
      <w:r>
        <w:rPr/>
        <w:t>trail</w:t>
      </w:r>
      <w:r>
        <w:rPr>
          <w:spacing w:val="-6"/>
        </w:rPr>
        <w:t> </w:t>
      </w:r>
      <w:r>
        <w:rPr/>
        <w:t>drainage</w:t>
      </w:r>
      <w:r>
        <w:rPr>
          <w:spacing w:val="-8"/>
        </w:rPr>
        <w:t> </w:t>
      </w:r>
      <w:r>
        <w:rPr/>
        <w:t>should</w:t>
      </w:r>
      <w:r>
        <w:rPr>
          <w:spacing w:val="-7"/>
        </w:rPr>
        <w:t> </w:t>
      </w:r>
      <w:r>
        <w:rPr/>
        <w:t>be</w:t>
      </w:r>
      <w:r>
        <w:rPr>
          <w:spacing w:val="-5"/>
        </w:rPr>
        <w:t> </w:t>
      </w:r>
      <w:r>
        <w:rPr/>
        <w:t>routed</w:t>
      </w:r>
      <w:r>
        <w:rPr>
          <w:spacing w:val="-7"/>
        </w:rPr>
        <w:t> </w:t>
      </w:r>
      <w:r>
        <w:rPr/>
        <w:t>away</w:t>
      </w:r>
      <w:r>
        <w:rPr>
          <w:spacing w:val="-5"/>
        </w:rPr>
        <w:t> </w:t>
      </w:r>
      <w:r>
        <w:rPr/>
        <w:t>from</w:t>
      </w:r>
      <w:r>
        <w:rPr>
          <w:spacing w:val="-5"/>
        </w:rPr>
        <w:t> </w:t>
      </w:r>
      <w:r>
        <w:rPr/>
        <w:t>potentially</w:t>
      </w:r>
      <w:r>
        <w:rPr>
          <w:spacing w:val="-5"/>
        </w:rPr>
        <w:t> </w:t>
      </w:r>
      <w:r>
        <w:rPr/>
        <w:t>unstable</w:t>
      </w:r>
      <w:r>
        <w:rPr>
          <w:spacing w:val="-5"/>
        </w:rPr>
        <w:t> </w:t>
      </w:r>
      <w:r>
        <w:rPr/>
        <w:t>channels,</w:t>
      </w:r>
      <w:r>
        <w:rPr>
          <w:spacing w:val="-6"/>
        </w:rPr>
        <w:t> </w:t>
      </w:r>
      <w:r>
        <w:rPr/>
        <w:t>fills,</w:t>
      </w:r>
      <w:r>
        <w:rPr>
          <w:spacing w:val="-6"/>
        </w:rPr>
        <w:t> </w:t>
      </w:r>
      <w:r>
        <w:rPr/>
        <w:t>and </w:t>
      </w:r>
      <w:r>
        <w:rPr>
          <w:spacing w:val="-2"/>
        </w:rPr>
        <w:t>hillslopes.</w:t>
      </w:r>
    </w:p>
    <w:p>
      <w:pPr>
        <w:spacing w:before="234"/>
        <w:ind w:left="360" w:right="1445" w:firstLine="0"/>
        <w:jc w:val="left"/>
        <w:rPr>
          <w:rFonts w:ascii="Arial" w:hAnsi="Arial"/>
          <w:i/>
          <w:sz w:val="22"/>
        </w:rPr>
      </w:pPr>
      <w:bookmarkStart w:name="MA-GDL-RMA-09. Road and Trail Constructi" w:id="745"/>
      <w:bookmarkEnd w:id="745"/>
      <w:r>
        <w:rPr/>
      </w:r>
      <w:r>
        <w:rPr>
          <w:rFonts w:ascii="Arial" w:hAnsi="Arial"/>
          <w:i/>
          <w:sz w:val="22"/>
        </w:rPr>
        <w:t>MA-GDL-RMA-09.</w:t>
      </w:r>
      <w:r>
        <w:rPr>
          <w:rFonts w:ascii="Arial" w:hAnsi="Arial"/>
          <w:i/>
          <w:spacing w:val="-6"/>
          <w:sz w:val="22"/>
        </w:rPr>
        <w:t> </w:t>
      </w:r>
      <w:r>
        <w:rPr>
          <w:rFonts w:ascii="Arial" w:hAnsi="Arial"/>
          <w:i/>
          <w:sz w:val="22"/>
        </w:rPr>
        <w:t>Road</w:t>
      </w:r>
      <w:r>
        <w:rPr>
          <w:rFonts w:ascii="Arial" w:hAnsi="Arial"/>
          <w:i/>
          <w:spacing w:val="-6"/>
          <w:sz w:val="22"/>
        </w:rPr>
        <w:t> </w:t>
      </w:r>
      <w:r>
        <w:rPr>
          <w:rFonts w:ascii="Arial" w:hAnsi="Arial"/>
          <w:i/>
          <w:sz w:val="22"/>
        </w:rPr>
        <w:t>and</w:t>
      </w:r>
      <w:r>
        <w:rPr>
          <w:rFonts w:ascii="Arial" w:hAnsi="Arial"/>
          <w:i/>
          <w:spacing w:val="-5"/>
          <w:sz w:val="22"/>
        </w:rPr>
        <w:t> </w:t>
      </w:r>
      <w:r>
        <w:rPr>
          <w:rFonts w:ascii="Arial" w:hAnsi="Arial"/>
          <w:i/>
          <w:sz w:val="22"/>
        </w:rPr>
        <w:t>Trail</w:t>
      </w:r>
      <w:r>
        <w:rPr>
          <w:rFonts w:ascii="Arial" w:hAnsi="Arial"/>
          <w:i/>
          <w:spacing w:val="-5"/>
          <w:sz w:val="22"/>
        </w:rPr>
        <w:t> </w:t>
      </w:r>
      <w:r>
        <w:rPr>
          <w:rFonts w:ascii="Arial" w:hAnsi="Arial"/>
          <w:i/>
          <w:sz w:val="22"/>
        </w:rPr>
        <w:t>Construction</w:t>
      </w:r>
      <w:r>
        <w:rPr>
          <w:rFonts w:ascii="Arial" w:hAnsi="Arial"/>
          <w:i/>
          <w:spacing w:val="-4"/>
          <w:sz w:val="22"/>
        </w:rPr>
        <w:t> </w:t>
      </w:r>
      <w:r>
        <w:rPr>
          <w:rFonts w:ascii="Arial" w:hAnsi="Arial"/>
          <w:i/>
          <w:sz w:val="22"/>
        </w:rPr>
        <w:t>–</w:t>
      </w:r>
      <w:r>
        <w:rPr>
          <w:rFonts w:ascii="Arial" w:hAnsi="Arial"/>
          <w:i/>
          <w:spacing w:val="-6"/>
          <w:sz w:val="22"/>
        </w:rPr>
        <w:t> </w:t>
      </w:r>
      <w:r>
        <w:rPr>
          <w:rFonts w:ascii="Arial" w:hAnsi="Arial"/>
          <w:i/>
          <w:sz w:val="22"/>
        </w:rPr>
        <w:t>Passage</w:t>
      </w:r>
      <w:r>
        <w:rPr>
          <w:rFonts w:ascii="Arial" w:hAnsi="Arial"/>
          <w:i/>
          <w:spacing w:val="-5"/>
          <w:sz w:val="22"/>
        </w:rPr>
        <w:t> </w:t>
      </w:r>
      <w:r>
        <w:rPr>
          <w:rFonts w:ascii="Arial" w:hAnsi="Arial"/>
          <w:i/>
          <w:sz w:val="22"/>
        </w:rPr>
        <w:t>for</w:t>
      </w:r>
      <w:r>
        <w:rPr>
          <w:rFonts w:ascii="Arial" w:hAnsi="Arial"/>
          <w:i/>
          <w:spacing w:val="-3"/>
          <w:sz w:val="22"/>
        </w:rPr>
        <w:t> </w:t>
      </w:r>
      <w:r>
        <w:rPr>
          <w:rFonts w:ascii="Arial" w:hAnsi="Arial"/>
          <w:i/>
          <w:sz w:val="22"/>
        </w:rPr>
        <w:t>Riparian-dependent</w:t>
      </w:r>
      <w:r>
        <w:rPr>
          <w:rFonts w:ascii="Arial" w:hAnsi="Arial"/>
          <w:i/>
          <w:sz w:val="22"/>
        </w:rPr>
        <w:t> </w:t>
      </w:r>
      <w:r>
        <w:rPr>
          <w:rFonts w:ascii="Arial" w:hAnsi="Arial"/>
          <w:i/>
          <w:spacing w:val="-2"/>
          <w:sz w:val="22"/>
        </w:rPr>
        <w:t>Species</w:t>
      </w:r>
    </w:p>
    <w:p>
      <w:pPr>
        <w:pStyle w:val="BodyText"/>
        <w:spacing w:line="232" w:lineRule="auto" w:before="64"/>
        <w:ind w:left="360" w:right="1073"/>
      </w:pPr>
      <w:r>
        <w:rPr/>
        <w:t>Construction</w:t>
      </w:r>
      <w:r>
        <w:rPr>
          <w:spacing w:val="-9"/>
        </w:rPr>
        <w:t> </w:t>
      </w:r>
      <w:r>
        <w:rPr/>
        <w:t>or</w:t>
      </w:r>
      <w:r>
        <w:rPr>
          <w:spacing w:val="-6"/>
        </w:rPr>
        <w:t> </w:t>
      </w:r>
      <w:r>
        <w:rPr/>
        <w:t>reconstruction</w:t>
      </w:r>
      <w:r>
        <w:rPr>
          <w:spacing w:val="-9"/>
        </w:rPr>
        <w:t> </w:t>
      </w:r>
      <w:r>
        <w:rPr/>
        <w:t>of</w:t>
      </w:r>
      <w:r>
        <w:rPr>
          <w:spacing w:val="-6"/>
        </w:rPr>
        <w:t> </w:t>
      </w:r>
      <w:r>
        <w:rPr/>
        <w:t>stream</w:t>
      </w:r>
      <w:r>
        <w:rPr>
          <w:spacing w:val="-5"/>
        </w:rPr>
        <w:t> </w:t>
      </w:r>
      <w:r>
        <w:rPr/>
        <w:t>crossings</w:t>
      </w:r>
      <w:r>
        <w:rPr>
          <w:spacing w:val="-6"/>
        </w:rPr>
        <w:t> </w:t>
      </w:r>
      <w:r>
        <w:rPr/>
        <w:t>should</w:t>
      </w:r>
      <w:r>
        <w:rPr>
          <w:spacing w:val="-7"/>
        </w:rPr>
        <w:t> </w:t>
      </w:r>
      <w:r>
        <w:rPr/>
        <w:t>allow</w:t>
      </w:r>
      <w:r>
        <w:rPr>
          <w:spacing w:val="-5"/>
        </w:rPr>
        <w:t> </w:t>
      </w:r>
      <w:r>
        <w:rPr/>
        <w:t>passage</w:t>
      </w:r>
      <w:r>
        <w:rPr>
          <w:spacing w:val="-5"/>
        </w:rPr>
        <w:t> </w:t>
      </w:r>
      <w:r>
        <w:rPr/>
        <w:t>for</w:t>
      </w:r>
      <w:r>
        <w:rPr>
          <w:spacing w:val="-6"/>
        </w:rPr>
        <w:t> </w:t>
      </w:r>
      <w:r>
        <w:rPr/>
        <w:t>other</w:t>
      </w:r>
      <w:r>
        <w:rPr>
          <w:spacing w:val="-6"/>
        </w:rPr>
        <w:t> </w:t>
      </w:r>
      <w:r>
        <w:rPr/>
        <w:t>riparian- dependent species where connectivity has been identified as an issue.</w:t>
      </w:r>
    </w:p>
    <w:p>
      <w:pPr>
        <w:spacing w:before="234"/>
        <w:ind w:left="360" w:right="0" w:firstLine="0"/>
        <w:jc w:val="left"/>
        <w:rPr>
          <w:rFonts w:ascii="Arial" w:hAnsi="Arial"/>
          <w:i/>
          <w:sz w:val="22"/>
        </w:rPr>
      </w:pPr>
      <w:bookmarkStart w:name="MA-GDL-RMA-10. Road and Trail Constructi" w:id="746"/>
      <w:bookmarkEnd w:id="746"/>
      <w:r>
        <w:rPr/>
      </w:r>
      <w:r>
        <w:rPr>
          <w:rFonts w:ascii="Arial" w:hAnsi="Arial"/>
          <w:i/>
          <w:sz w:val="22"/>
        </w:rPr>
        <w:t>MA-GDL-RMA-10.</w:t>
      </w:r>
      <w:r>
        <w:rPr>
          <w:rFonts w:ascii="Arial" w:hAnsi="Arial"/>
          <w:i/>
          <w:spacing w:val="-12"/>
          <w:sz w:val="22"/>
        </w:rPr>
        <w:t> </w:t>
      </w:r>
      <w:r>
        <w:rPr>
          <w:rFonts w:ascii="Arial" w:hAnsi="Arial"/>
          <w:i/>
          <w:sz w:val="22"/>
        </w:rPr>
        <w:t>Road</w:t>
      </w:r>
      <w:r>
        <w:rPr>
          <w:rFonts w:ascii="Arial" w:hAnsi="Arial"/>
          <w:i/>
          <w:spacing w:val="-10"/>
          <w:sz w:val="22"/>
        </w:rPr>
        <w:t> </w:t>
      </w:r>
      <w:r>
        <w:rPr>
          <w:rFonts w:ascii="Arial" w:hAnsi="Arial"/>
          <w:i/>
          <w:sz w:val="22"/>
        </w:rPr>
        <w:t>and</w:t>
      </w:r>
      <w:r>
        <w:rPr>
          <w:rFonts w:ascii="Arial" w:hAnsi="Arial"/>
          <w:i/>
          <w:spacing w:val="-9"/>
          <w:sz w:val="22"/>
        </w:rPr>
        <w:t> </w:t>
      </w:r>
      <w:r>
        <w:rPr>
          <w:rFonts w:ascii="Arial" w:hAnsi="Arial"/>
          <w:i/>
          <w:sz w:val="22"/>
        </w:rPr>
        <w:t>Trail</w:t>
      </w:r>
      <w:r>
        <w:rPr>
          <w:rFonts w:ascii="Arial" w:hAnsi="Arial"/>
          <w:i/>
          <w:spacing w:val="-8"/>
          <w:sz w:val="22"/>
        </w:rPr>
        <w:t> </w:t>
      </w:r>
      <w:r>
        <w:rPr>
          <w:rFonts w:ascii="Arial" w:hAnsi="Arial"/>
          <w:i/>
          <w:sz w:val="22"/>
        </w:rPr>
        <w:t>Construction—Minimization</w:t>
      </w:r>
      <w:r>
        <w:rPr>
          <w:rFonts w:ascii="Arial" w:hAnsi="Arial"/>
          <w:i/>
          <w:spacing w:val="-9"/>
          <w:sz w:val="22"/>
        </w:rPr>
        <w:t> </w:t>
      </w:r>
      <w:r>
        <w:rPr>
          <w:rFonts w:ascii="Arial" w:hAnsi="Arial"/>
          <w:i/>
          <w:sz w:val="22"/>
        </w:rPr>
        <w:t>of</w:t>
      </w:r>
      <w:r>
        <w:rPr>
          <w:rFonts w:ascii="Arial" w:hAnsi="Arial"/>
          <w:i/>
          <w:spacing w:val="-6"/>
          <w:sz w:val="22"/>
        </w:rPr>
        <w:t> </w:t>
      </w:r>
      <w:r>
        <w:rPr>
          <w:rFonts w:ascii="Arial" w:hAnsi="Arial"/>
          <w:i/>
          <w:sz w:val="22"/>
        </w:rPr>
        <w:t>Diversion</w:t>
      </w:r>
      <w:r>
        <w:rPr>
          <w:rFonts w:ascii="Arial" w:hAnsi="Arial"/>
          <w:i/>
          <w:spacing w:val="-10"/>
          <w:sz w:val="22"/>
        </w:rPr>
        <w:t> </w:t>
      </w:r>
      <w:r>
        <w:rPr>
          <w:rFonts w:ascii="Arial" w:hAnsi="Arial"/>
          <w:i/>
          <w:spacing w:val="-2"/>
          <w:sz w:val="22"/>
        </w:rPr>
        <w:t>Potential</w:t>
      </w:r>
    </w:p>
    <w:p>
      <w:pPr>
        <w:pStyle w:val="BodyText"/>
        <w:spacing w:before="58"/>
        <w:ind w:left="359" w:right="1445"/>
      </w:pPr>
      <w:r>
        <w:rPr/>
        <w:t>Where feasible, new or reconstructed stream crossings should be designed to prevent the diversion</w:t>
      </w:r>
      <w:r>
        <w:rPr>
          <w:spacing w:val="-6"/>
        </w:rPr>
        <w:t> </w:t>
      </w:r>
      <w:r>
        <w:rPr/>
        <w:t>of</w:t>
      </w:r>
      <w:r>
        <w:rPr>
          <w:spacing w:val="-3"/>
        </w:rPr>
        <w:t> </w:t>
      </w:r>
      <w:r>
        <w:rPr/>
        <w:t>streamflow</w:t>
      </w:r>
      <w:r>
        <w:rPr>
          <w:spacing w:val="-5"/>
        </w:rPr>
        <w:t> </w:t>
      </w:r>
      <w:r>
        <w:rPr/>
        <w:t>out</w:t>
      </w:r>
      <w:r>
        <w:rPr>
          <w:spacing w:val="-2"/>
        </w:rPr>
        <w:t> </w:t>
      </w:r>
      <w:r>
        <w:rPr/>
        <w:t>of</w:t>
      </w:r>
      <w:r>
        <w:rPr>
          <w:spacing w:val="-5"/>
        </w:rPr>
        <w:t> </w:t>
      </w:r>
      <w:r>
        <w:rPr/>
        <w:t>the</w:t>
      </w:r>
      <w:r>
        <w:rPr>
          <w:spacing w:val="-5"/>
        </w:rPr>
        <w:t> </w:t>
      </w:r>
      <w:r>
        <w:rPr/>
        <w:t>channel</w:t>
      </w:r>
      <w:r>
        <w:rPr>
          <w:spacing w:val="-3"/>
        </w:rPr>
        <w:t> </w:t>
      </w:r>
      <w:r>
        <w:rPr/>
        <w:t>and</w:t>
      </w:r>
      <w:r>
        <w:rPr>
          <w:spacing w:val="-4"/>
        </w:rPr>
        <w:t> </w:t>
      </w:r>
      <w:r>
        <w:rPr/>
        <w:t>down</w:t>
      </w:r>
      <w:r>
        <w:rPr>
          <w:spacing w:val="-6"/>
        </w:rPr>
        <w:t> </w:t>
      </w:r>
      <w:r>
        <w:rPr/>
        <w:t>the</w:t>
      </w:r>
      <w:r>
        <w:rPr>
          <w:spacing w:val="-2"/>
        </w:rPr>
        <w:t> </w:t>
      </w:r>
      <w:r>
        <w:rPr/>
        <w:t>road</w:t>
      </w:r>
      <w:r>
        <w:rPr>
          <w:spacing w:val="-6"/>
        </w:rPr>
        <w:t> </w:t>
      </w:r>
      <w:r>
        <w:rPr/>
        <w:t>or</w:t>
      </w:r>
      <w:r>
        <w:rPr>
          <w:spacing w:val="-3"/>
        </w:rPr>
        <w:t> </w:t>
      </w:r>
      <w:r>
        <w:rPr/>
        <w:t>trail</w:t>
      </w:r>
      <w:r>
        <w:rPr>
          <w:spacing w:val="-6"/>
        </w:rPr>
        <w:t> </w:t>
      </w:r>
      <w:r>
        <w:rPr/>
        <w:t>in</w:t>
      </w:r>
      <w:r>
        <w:rPr>
          <w:spacing w:val="-4"/>
        </w:rPr>
        <w:t> </w:t>
      </w:r>
      <w:r>
        <w:rPr/>
        <w:t>the</w:t>
      </w:r>
      <w:r>
        <w:rPr>
          <w:spacing w:val="-5"/>
        </w:rPr>
        <w:t> </w:t>
      </w:r>
      <w:r>
        <w:rPr/>
        <w:t>event</w:t>
      </w:r>
      <w:r>
        <w:rPr>
          <w:spacing w:val="-2"/>
        </w:rPr>
        <w:t> </w:t>
      </w:r>
      <w:r>
        <w:rPr/>
        <w:t>of</w:t>
      </w:r>
      <w:r>
        <w:rPr>
          <w:spacing w:val="-5"/>
        </w:rPr>
        <w:t> </w:t>
      </w:r>
      <w:r>
        <w:rPr/>
        <w:t>crossing failure. If avoidance is not possible, minimize the potential effects of crossing failure.</w:t>
      </w:r>
    </w:p>
    <w:p>
      <w:pPr>
        <w:spacing w:before="242"/>
        <w:ind w:left="359" w:right="0" w:firstLine="0"/>
        <w:jc w:val="left"/>
        <w:rPr>
          <w:rFonts w:ascii="Arial"/>
          <w:i/>
          <w:sz w:val="22"/>
        </w:rPr>
      </w:pPr>
      <w:bookmarkStart w:name="MA-GDL-RMA-11. Fish Passage Barriers" w:id="747"/>
      <w:bookmarkEnd w:id="747"/>
      <w:r>
        <w:rPr/>
      </w:r>
      <w:r>
        <w:rPr>
          <w:rFonts w:ascii="Arial"/>
          <w:i/>
          <w:sz w:val="22"/>
        </w:rPr>
        <w:t>MA-GDL-RMA-11.</w:t>
      </w:r>
      <w:r>
        <w:rPr>
          <w:rFonts w:ascii="Arial"/>
          <w:i/>
          <w:spacing w:val="-8"/>
          <w:sz w:val="22"/>
        </w:rPr>
        <w:t> </w:t>
      </w:r>
      <w:r>
        <w:rPr>
          <w:rFonts w:ascii="Arial"/>
          <w:i/>
          <w:sz w:val="22"/>
        </w:rPr>
        <w:t>Fish</w:t>
      </w:r>
      <w:r>
        <w:rPr>
          <w:rFonts w:ascii="Arial"/>
          <w:i/>
          <w:spacing w:val="-8"/>
          <w:sz w:val="22"/>
        </w:rPr>
        <w:t> </w:t>
      </w:r>
      <w:r>
        <w:rPr>
          <w:rFonts w:ascii="Arial"/>
          <w:i/>
          <w:sz w:val="22"/>
        </w:rPr>
        <w:t>Passage</w:t>
      </w:r>
      <w:r>
        <w:rPr>
          <w:rFonts w:ascii="Arial"/>
          <w:i/>
          <w:spacing w:val="-6"/>
          <w:sz w:val="22"/>
        </w:rPr>
        <w:t> </w:t>
      </w:r>
      <w:r>
        <w:rPr>
          <w:rFonts w:ascii="Arial"/>
          <w:i/>
          <w:spacing w:val="-2"/>
          <w:sz w:val="22"/>
        </w:rPr>
        <w:t>Barriers</w:t>
      </w:r>
    </w:p>
    <w:p>
      <w:pPr>
        <w:pStyle w:val="BodyText"/>
        <w:spacing w:line="232" w:lineRule="auto" w:before="67"/>
        <w:ind w:left="359" w:right="1148"/>
      </w:pPr>
      <w:r>
        <w:rPr/>
        <w:t>Consider</w:t>
      </w:r>
      <w:r>
        <w:rPr>
          <w:spacing w:val="-7"/>
        </w:rPr>
        <w:t> </w:t>
      </w:r>
      <w:r>
        <w:rPr/>
        <w:t>retaining</w:t>
      </w:r>
      <w:r>
        <w:rPr>
          <w:spacing w:val="-6"/>
        </w:rPr>
        <w:t> </w:t>
      </w:r>
      <w:r>
        <w:rPr/>
        <w:t>fish</w:t>
      </w:r>
      <w:r>
        <w:rPr>
          <w:spacing w:val="-6"/>
        </w:rPr>
        <w:t> </w:t>
      </w:r>
      <w:r>
        <w:rPr/>
        <w:t>passage</w:t>
      </w:r>
      <w:r>
        <w:rPr>
          <w:spacing w:val="-4"/>
        </w:rPr>
        <w:t> </w:t>
      </w:r>
      <w:r>
        <w:rPr/>
        <w:t>barriers</w:t>
      </w:r>
      <w:r>
        <w:rPr>
          <w:spacing w:val="-5"/>
        </w:rPr>
        <w:t> </w:t>
      </w:r>
      <w:r>
        <w:rPr/>
        <w:t>where</w:t>
      </w:r>
      <w:r>
        <w:rPr>
          <w:spacing w:val="-7"/>
        </w:rPr>
        <w:t> </w:t>
      </w:r>
      <w:r>
        <w:rPr/>
        <w:t>they</w:t>
      </w:r>
      <w:r>
        <w:rPr>
          <w:spacing w:val="-4"/>
        </w:rPr>
        <w:t> </w:t>
      </w:r>
      <w:r>
        <w:rPr/>
        <w:t>serve</w:t>
      </w:r>
      <w:r>
        <w:rPr>
          <w:spacing w:val="-4"/>
        </w:rPr>
        <w:t> </w:t>
      </w:r>
      <w:r>
        <w:rPr/>
        <w:t>to</w:t>
      </w:r>
      <w:r>
        <w:rPr>
          <w:spacing w:val="-6"/>
        </w:rPr>
        <w:t> </w:t>
      </w:r>
      <w:r>
        <w:rPr/>
        <w:t>restrict</w:t>
      </w:r>
      <w:r>
        <w:rPr>
          <w:spacing w:val="-4"/>
        </w:rPr>
        <w:t> </w:t>
      </w:r>
      <w:r>
        <w:rPr/>
        <w:t>access</w:t>
      </w:r>
      <w:r>
        <w:rPr>
          <w:spacing w:val="-7"/>
        </w:rPr>
        <w:t> </w:t>
      </w:r>
      <w:r>
        <w:rPr/>
        <w:t>by</w:t>
      </w:r>
      <w:r>
        <w:rPr>
          <w:spacing w:val="-6"/>
        </w:rPr>
        <w:t> </w:t>
      </w:r>
      <w:r>
        <w:rPr/>
        <w:t>undesirable</w:t>
      </w:r>
      <w:r>
        <w:rPr>
          <w:spacing w:val="-4"/>
        </w:rPr>
        <w:t> </w:t>
      </w:r>
      <w:r>
        <w:rPr/>
        <w:t>non- native species and are consistent with restoration of habitat for native species.</w:t>
      </w:r>
    </w:p>
    <w:p>
      <w:pPr>
        <w:spacing w:before="234"/>
        <w:ind w:left="359" w:right="0" w:firstLine="0"/>
        <w:jc w:val="left"/>
        <w:rPr>
          <w:rFonts w:ascii="Arial"/>
          <w:i/>
          <w:sz w:val="22"/>
        </w:rPr>
      </w:pPr>
      <w:bookmarkStart w:name="MA-GDL-RMA-12. Annual Grazing Use Indica" w:id="748"/>
      <w:bookmarkEnd w:id="748"/>
      <w:r>
        <w:rPr/>
      </w:r>
      <w:r>
        <w:rPr>
          <w:rFonts w:ascii="Arial"/>
          <w:i/>
          <w:sz w:val="22"/>
        </w:rPr>
        <w:t>MA-GDL-RMA-12.</w:t>
      </w:r>
      <w:r>
        <w:rPr>
          <w:rFonts w:ascii="Arial"/>
          <w:i/>
          <w:spacing w:val="-9"/>
          <w:sz w:val="22"/>
        </w:rPr>
        <w:t> </w:t>
      </w:r>
      <w:r>
        <w:rPr>
          <w:rFonts w:ascii="Arial"/>
          <w:i/>
          <w:sz w:val="22"/>
        </w:rPr>
        <w:t>Annual</w:t>
      </w:r>
      <w:r>
        <w:rPr>
          <w:rFonts w:ascii="Arial"/>
          <w:i/>
          <w:spacing w:val="-7"/>
          <w:sz w:val="22"/>
        </w:rPr>
        <w:t> </w:t>
      </w:r>
      <w:r>
        <w:rPr>
          <w:rFonts w:ascii="Arial"/>
          <w:i/>
          <w:sz w:val="22"/>
        </w:rPr>
        <w:t>Grazing</w:t>
      </w:r>
      <w:r>
        <w:rPr>
          <w:rFonts w:ascii="Arial"/>
          <w:i/>
          <w:spacing w:val="-7"/>
          <w:sz w:val="22"/>
        </w:rPr>
        <w:t> </w:t>
      </w:r>
      <w:r>
        <w:rPr>
          <w:rFonts w:ascii="Arial"/>
          <w:i/>
          <w:sz w:val="22"/>
        </w:rPr>
        <w:t>Use</w:t>
      </w:r>
      <w:r>
        <w:rPr>
          <w:rFonts w:ascii="Arial"/>
          <w:i/>
          <w:spacing w:val="-7"/>
          <w:sz w:val="22"/>
        </w:rPr>
        <w:t> </w:t>
      </w:r>
      <w:r>
        <w:rPr>
          <w:rFonts w:ascii="Arial"/>
          <w:i/>
          <w:spacing w:val="-2"/>
          <w:sz w:val="22"/>
        </w:rPr>
        <w:t>Indicators</w:t>
      </w:r>
    </w:p>
    <w:p>
      <w:pPr>
        <w:pStyle w:val="BodyText"/>
        <w:spacing w:line="232" w:lineRule="auto" w:before="64"/>
        <w:ind w:left="359" w:right="1567"/>
      </w:pPr>
      <w:r>
        <w:rPr/>
        <w:t>The</w:t>
      </w:r>
      <w:r>
        <w:rPr>
          <w:spacing w:val="-4"/>
        </w:rPr>
        <w:t> </w:t>
      </w:r>
      <w:r>
        <w:rPr/>
        <w:t>purpose</w:t>
      </w:r>
      <w:r>
        <w:rPr>
          <w:spacing w:val="-4"/>
        </w:rPr>
        <w:t> </w:t>
      </w:r>
      <w:r>
        <w:rPr/>
        <w:t>of</w:t>
      </w:r>
      <w:r>
        <w:rPr>
          <w:spacing w:val="-5"/>
        </w:rPr>
        <w:t> </w:t>
      </w:r>
      <w:r>
        <w:rPr/>
        <w:t>this</w:t>
      </w:r>
      <w:r>
        <w:rPr>
          <w:spacing w:val="-5"/>
        </w:rPr>
        <w:t> </w:t>
      </w:r>
      <w:r>
        <w:rPr/>
        <w:t>guideline</w:t>
      </w:r>
      <w:r>
        <w:rPr>
          <w:spacing w:val="-4"/>
        </w:rPr>
        <w:t> </w:t>
      </w:r>
      <w:r>
        <w:rPr/>
        <w:t>is</w:t>
      </w:r>
      <w:r>
        <w:rPr>
          <w:spacing w:val="-5"/>
        </w:rPr>
        <w:t> </w:t>
      </w:r>
      <w:r>
        <w:rPr/>
        <w:t>to</w:t>
      </w:r>
      <w:r>
        <w:rPr>
          <w:spacing w:val="-6"/>
        </w:rPr>
        <w:t> </w:t>
      </w:r>
      <w:r>
        <w:rPr/>
        <w:t>manage</w:t>
      </w:r>
      <w:r>
        <w:rPr>
          <w:spacing w:val="-4"/>
        </w:rPr>
        <w:t> </w:t>
      </w:r>
      <w:r>
        <w:rPr/>
        <w:t>livestock</w:t>
      </w:r>
      <w:r>
        <w:rPr>
          <w:spacing w:val="-7"/>
        </w:rPr>
        <w:t> </w:t>
      </w:r>
      <w:r>
        <w:rPr/>
        <w:t>grazing</w:t>
      </w:r>
      <w:r>
        <w:rPr>
          <w:spacing w:val="-6"/>
        </w:rPr>
        <w:t> </w:t>
      </w:r>
      <w:r>
        <w:rPr/>
        <w:t>to</w:t>
      </w:r>
      <w:r>
        <w:rPr>
          <w:spacing w:val="-4"/>
        </w:rPr>
        <w:t> </w:t>
      </w:r>
      <w:r>
        <w:rPr/>
        <w:t>help</w:t>
      </w:r>
      <w:r>
        <w:rPr>
          <w:spacing w:val="-6"/>
        </w:rPr>
        <w:t> </w:t>
      </w:r>
      <w:r>
        <w:rPr/>
        <w:t>attain</w:t>
      </w:r>
      <w:r>
        <w:rPr>
          <w:spacing w:val="-6"/>
        </w:rPr>
        <w:t> </w:t>
      </w:r>
      <w:r>
        <w:rPr/>
        <w:t>and</w:t>
      </w:r>
      <w:r>
        <w:rPr>
          <w:spacing w:val="-8"/>
        </w:rPr>
        <w:t> </w:t>
      </w:r>
      <w:r>
        <w:rPr/>
        <w:t>maintain</w:t>
      </w:r>
      <w:r>
        <w:rPr>
          <w:spacing w:val="-6"/>
        </w:rPr>
        <w:t> </w:t>
      </w:r>
      <w:r>
        <w:rPr/>
        <w:t>aquatic and riparian desired conditions over time. Specifically, it is intended to maintain or improve vegetative and stream conditions, help ensure the viability of aquatic species, provide important</w:t>
      </w:r>
      <w:r>
        <w:rPr>
          <w:spacing w:val="-5"/>
        </w:rPr>
        <w:t> </w:t>
      </w:r>
      <w:r>
        <w:rPr/>
        <w:t>contributions</w:t>
      </w:r>
      <w:r>
        <w:rPr>
          <w:spacing w:val="-8"/>
        </w:rPr>
        <w:t> </w:t>
      </w:r>
      <w:r>
        <w:rPr/>
        <w:t>to</w:t>
      </w:r>
      <w:r>
        <w:rPr>
          <w:spacing w:val="-9"/>
        </w:rPr>
        <w:t> </w:t>
      </w:r>
      <w:r>
        <w:rPr/>
        <w:t>the</w:t>
      </w:r>
      <w:r>
        <w:rPr>
          <w:spacing w:val="-5"/>
        </w:rPr>
        <w:t> </w:t>
      </w:r>
      <w:r>
        <w:rPr/>
        <w:t>recovery</w:t>
      </w:r>
      <w:r>
        <w:rPr>
          <w:spacing w:val="-7"/>
        </w:rPr>
        <w:t> </w:t>
      </w:r>
      <w:r>
        <w:rPr/>
        <w:t>of</w:t>
      </w:r>
      <w:r>
        <w:rPr>
          <w:spacing w:val="-8"/>
        </w:rPr>
        <w:t> </w:t>
      </w:r>
      <w:r>
        <w:rPr/>
        <w:t>ESA-listed</w:t>
      </w:r>
      <w:r>
        <w:rPr>
          <w:spacing w:val="-7"/>
        </w:rPr>
        <w:t> </w:t>
      </w:r>
      <w:r>
        <w:rPr/>
        <w:t>species,</w:t>
      </w:r>
      <w:r>
        <w:rPr>
          <w:spacing w:val="-6"/>
        </w:rPr>
        <w:t> </w:t>
      </w:r>
      <w:r>
        <w:rPr/>
        <w:t>and</w:t>
      </w:r>
      <w:r>
        <w:rPr>
          <w:spacing w:val="-7"/>
        </w:rPr>
        <w:t> </w:t>
      </w:r>
      <w:r>
        <w:rPr/>
        <w:t>facilitate</w:t>
      </w:r>
      <w:r>
        <w:rPr>
          <w:spacing w:val="-8"/>
        </w:rPr>
        <w:t> </w:t>
      </w:r>
      <w:r>
        <w:rPr/>
        <w:t>attainment</w:t>
      </w:r>
      <w:r>
        <w:rPr>
          <w:spacing w:val="-8"/>
        </w:rPr>
        <w:t> </w:t>
      </w:r>
      <w:r>
        <w:rPr/>
        <w:t>of</w:t>
      </w:r>
      <w:r>
        <w:rPr>
          <w:spacing w:val="-6"/>
        </w:rPr>
        <w:t> </w:t>
      </w:r>
      <w:r>
        <w:rPr/>
        <w:t>State water quality standards.</w:t>
      </w:r>
    </w:p>
    <w:p>
      <w:pPr>
        <w:pStyle w:val="BodyText"/>
        <w:spacing w:line="232" w:lineRule="auto" w:before="198"/>
        <w:ind w:left="359" w:right="1445"/>
      </w:pPr>
      <w:r>
        <w:rPr/>
        <w:t>The annual livestock use and disturbance indicators described below should be applied to help achieve,</w:t>
      </w:r>
      <w:r>
        <w:rPr>
          <w:spacing w:val="-9"/>
        </w:rPr>
        <w:t> </w:t>
      </w:r>
      <w:r>
        <w:rPr/>
        <w:t>over</w:t>
      </w:r>
      <w:r>
        <w:rPr>
          <w:spacing w:val="-7"/>
        </w:rPr>
        <w:t> </w:t>
      </w:r>
      <w:r>
        <w:rPr/>
        <w:t>longer</w:t>
      </w:r>
      <w:r>
        <w:rPr>
          <w:spacing w:val="-9"/>
        </w:rPr>
        <w:t> </w:t>
      </w:r>
      <w:r>
        <w:rPr/>
        <w:t>timeframes,</w:t>
      </w:r>
      <w:r>
        <w:rPr>
          <w:spacing w:val="-7"/>
        </w:rPr>
        <w:t> </w:t>
      </w:r>
      <w:r>
        <w:rPr/>
        <w:t>conditions</w:t>
      </w:r>
      <w:r>
        <w:rPr>
          <w:spacing w:val="-7"/>
        </w:rPr>
        <w:t> </w:t>
      </w:r>
      <w:r>
        <w:rPr/>
        <w:t>at</w:t>
      </w:r>
      <w:r>
        <w:rPr>
          <w:spacing w:val="-9"/>
        </w:rPr>
        <w:t> </w:t>
      </w:r>
      <w:r>
        <w:rPr/>
        <w:t>site</w:t>
      </w:r>
      <w:r>
        <w:rPr>
          <w:spacing w:val="-6"/>
        </w:rPr>
        <w:t> </w:t>
      </w:r>
      <w:r>
        <w:rPr/>
        <w:t>and</w:t>
      </w:r>
      <w:r>
        <w:rPr>
          <w:spacing w:val="-8"/>
        </w:rPr>
        <w:t> </w:t>
      </w:r>
      <w:r>
        <w:rPr/>
        <w:t>watershed</w:t>
      </w:r>
      <w:r>
        <w:rPr>
          <w:spacing w:val="-8"/>
        </w:rPr>
        <w:t> </w:t>
      </w:r>
      <w:r>
        <w:rPr/>
        <w:t>scales</w:t>
      </w:r>
      <w:r>
        <w:rPr>
          <w:spacing w:val="-9"/>
        </w:rPr>
        <w:t> </w:t>
      </w:r>
      <w:r>
        <w:rPr/>
        <w:t>that</w:t>
      </w:r>
      <w:r>
        <w:rPr>
          <w:spacing w:val="-6"/>
        </w:rPr>
        <w:t> </w:t>
      </w:r>
      <w:r>
        <w:rPr/>
        <w:t>enable</w:t>
      </w:r>
      <w:r>
        <w:rPr>
          <w:spacing w:val="-6"/>
        </w:rPr>
        <w:t> </w:t>
      </w:r>
      <w:r>
        <w:rPr/>
        <w:t>attainment and maintenance of desired conditions. The values specified below are starting points for management. Only those indicators and numeric values that are appropriate to the site and necessary for maintaining or moving towards desired conditions should be applied.</w:t>
      </w:r>
      <w:hyperlink w:history="true" w:anchor="_bookmark223">
        <w:r>
          <w:rPr>
            <w:vertAlign w:val="superscript"/>
          </w:rPr>
          <w:t>23</w:t>
        </w:r>
      </w:hyperlink>
      <w:r>
        <w:rPr>
          <w:vertAlign w:val="baseline"/>
        </w:rPr>
        <w:t> Specific indicators and indicator values should be prescribed and adjusted, if needed, in a manner that reflects existing and desired conditions and the natural potential of the specific geo-climatic, hydrologic and vegetative setting in which they are being applied</w:t>
      </w:r>
      <w:hyperlink w:history="true" w:anchor="_bookmark224">
        <w:r>
          <w:rPr>
            <w:vertAlign w:val="superscript"/>
          </w:rPr>
          <w:t>24</w:t>
        </w:r>
      </w:hyperlink>
      <w:r>
        <w:rPr>
          <w:vertAlign w:val="baseline"/>
        </w:rPr>
        <w:t>. Indicators and indicator</w:t>
      </w:r>
    </w:p>
    <w:p>
      <w:pPr>
        <w:pStyle w:val="BodyText"/>
        <w:spacing w:before="8"/>
        <w:rPr>
          <w:sz w:val="9"/>
        </w:rPr>
      </w:pPr>
      <w:r>
        <w:rPr>
          <w:sz w:val="9"/>
        </w:rPr>
        <mc:AlternateContent>
          <mc:Choice Requires="wps">
            <w:drawing>
              <wp:anchor distT="0" distB="0" distL="0" distR="0" allowOverlap="1" layoutInCell="1" locked="0" behindDoc="1" simplePos="0" relativeHeight="487628288">
                <wp:simplePos x="0" y="0"/>
                <wp:positionH relativeFrom="page">
                  <wp:posOffset>914400</wp:posOffset>
                </wp:positionH>
                <wp:positionV relativeFrom="paragraph">
                  <wp:posOffset>90551</wp:posOffset>
                </wp:positionV>
                <wp:extent cx="1828800" cy="7620"/>
                <wp:effectExtent l="0" t="0" r="0" b="0"/>
                <wp:wrapTopAndBottom/>
                <wp:docPr id="215" name="Graphic 215"/>
                <wp:cNvGraphicFramePr>
                  <a:graphicFrameLocks/>
                </wp:cNvGraphicFramePr>
                <a:graphic>
                  <a:graphicData uri="http://schemas.microsoft.com/office/word/2010/wordprocessingShape">
                    <wps:wsp>
                      <wps:cNvPr id="215" name="Graphic 215"/>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7.13pt;width:144pt;height:.6pt;mso-position-horizontal-relative:page;mso-position-vertical-relative:paragraph;z-index:-15688192;mso-wrap-distance-left:0;mso-wrap-distance-right:0" id="docshape203" filled="true" fillcolor="#000000" stroked="false">
                <v:fill type="solid"/>
                <w10:wrap type="topAndBottom"/>
              </v:rect>
            </w:pict>
          </mc:Fallback>
        </mc:AlternateContent>
      </w:r>
    </w:p>
    <w:p>
      <w:pPr>
        <w:spacing w:before="95"/>
        <w:ind w:left="360" w:right="1567" w:hanging="1"/>
        <w:jc w:val="left"/>
        <w:rPr>
          <w:sz w:val="18"/>
        </w:rPr>
      </w:pPr>
      <w:bookmarkStart w:name="_bookmark223" w:id="749"/>
      <w:bookmarkEnd w:id="749"/>
      <w:r>
        <w:rPr/>
      </w:r>
      <w:r>
        <w:rPr>
          <w:position w:val="5"/>
          <w:sz w:val="12"/>
        </w:rPr>
        <w:t>23</w:t>
      </w:r>
      <w:r>
        <w:rPr>
          <w:spacing w:val="18"/>
          <w:position w:val="5"/>
          <w:sz w:val="12"/>
        </w:rPr>
        <w:t> </w:t>
      </w:r>
      <w:r>
        <w:rPr>
          <w:sz w:val="18"/>
        </w:rPr>
        <w:t>Not all indicators may apply to a particular site. For example, stubble height is a meaningful indicator for lower gradient</w:t>
      </w:r>
      <w:r>
        <w:rPr>
          <w:spacing w:val="-3"/>
          <w:sz w:val="18"/>
        </w:rPr>
        <w:t> </w:t>
      </w:r>
      <w:r>
        <w:rPr>
          <w:sz w:val="18"/>
        </w:rPr>
        <w:t>streams</w:t>
      </w:r>
      <w:r>
        <w:rPr>
          <w:spacing w:val="-3"/>
          <w:sz w:val="18"/>
        </w:rPr>
        <w:t> </w:t>
      </w:r>
      <w:r>
        <w:rPr>
          <w:sz w:val="18"/>
        </w:rPr>
        <w:t>where</w:t>
      </w:r>
      <w:r>
        <w:rPr>
          <w:spacing w:val="-3"/>
          <w:sz w:val="18"/>
        </w:rPr>
        <w:t> </w:t>
      </w:r>
      <w:r>
        <w:rPr>
          <w:sz w:val="18"/>
        </w:rPr>
        <w:t>herbaceous</w:t>
      </w:r>
      <w:r>
        <w:rPr>
          <w:spacing w:val="-3"/>
          <w:sz w:val="18"/>
        </w:rPr>
        <w:t> </w:t>
      </w:r>
      <w:r>
        <w:rPr>
          <w:sz w:val="18"/>
        </w:rPr>
        <w:t>vegetation</w:t>
      </w:r>
      <w:r>
        <w:rPr>
          <w:spacing w:val="-1"/>
          <w:sz w:val="18"/>
        </w:rPr>
        <w:t> </w:t>
      </w:r>
      <w:r>
        <w:rPr>
          <w:sz w:val="18"/>
        </w:rPr>
        <w:t>plays</w:t>
      </w:r>
      <w:r>
        <w:rPr>
          <w:spacing w:val="-3"/>
          <w:sz w:val="18"/>
        </w:rPr>
        <w:t> </w:t>
      </w:r>
      <w:r>
        <w:rPr>
          <w:sz w:val="18"/>
        </w:rPr>
        <w:t>an</w:t>
      </w:r>
      <w:r>
        <w:rPr>
          <w:spacing w:val="-3"/>
          <w:sz w:val="18"/>
        </w:rPr>
        <w:t> </w:t>
      </w:r>
      <w:r>
        <w:rPr>
          <w:sz w:val="18"/>
        </w:rPr>
        <w:t>important</w:t>
      </w:r>
      <w:r>
        <w:rPr>
          <w:spacing w:val="-3"/>
          <w:sz w:val="18"/>
        </w:rPr>
        <w:t> </w:t>
      </w:r>
      <w:r>
        <w:rPr>
          <w:sz w:val="18"/>
        </w:rPr>
        <w:t>role</w:t>
      </w:r>
      <w:r>
        <w:rPr>
          <w:spacing w:val="-3"/>
          <w:sz w:val="18"/>
        </w:rPr>
        <w:t> </w:t>
      </w:r>
      <w:r>
        <w:rPr>
          <w:sz w:val="18"/>
        </w:rPr>
        <w:t>in</w:t>
      </w:r>
      <w:r>
        <w:rPr>
          <w:spacing w:val="-3"/>
          <w:sz w:val="18"/>
        </w:rPr>
        <w:t> </w:t>
      </w:r>
      <w:r>
        <w:rPr>
          <w:sz w:val="18"/>
        </w:rPr>
        <w:t>stabilizing</w:t>
      </w:r>
      <w:r>
        <w:rPr>
          <w:spacing w:val="-3"/>
          <w:sz w:val="18"/>
        </w:rPr>
        <w:t> </w:t>
      </w:r>
      <w:r>
        <w:rPr>
          <w:sz w:val="18"/>
        </w:rPr>
        <w:t>streambanks.</w:t>
      </w:r>
      <w:r>
        <w:rPr>
          <w:spacing w:val="-2"/>
          <w:sz w:val="18"/>
        </w:rPr>
        <w:t> </w:t>
      </w:r>
      <w:r>
        <w:rPr>
          <w:sz w:val="18"/>
        </w:rPr>
        <w:t>It</w:t>
      </w:r>
      <w:r>
        <w:rPr>
          <w:spacing w:val="-3"/>
          <w:sz w:val="18"/>
        </w:rPr>
        <w:t> </w:t>
      </w:r>
      <w:r>
        <w:rPr>
          <w:sz w:val="18"/>
        </w:rPr>
        <w:t>is</w:t>
      </w:r>
      <w:r>
        <w:rPr>
          <w:spacing w:val="-3"/>
          <w:sz w:val="18"/>
        </w:rPr>
        <w:t> </w:t>
      </w:r>
      <w:r>
        <w:rPr>
          <w:sz w:val="18"/>
        </w:rPr>
        <w:t>generally less useful for steeper channels, where channel morphology is controlled by coarse substrates.</w:t>
      </w:r>
      <w:r>
        <w:rPr>
          <w:spacing w:val="40"/>
          <w:sz w:val="18"/>
        </w:rPr>
        <w:t> </w:t>
      </w:r>
      <w:r>
        <w:rPr>
          <w:sz w:val="18"/>
        </w:rPr>
        <w:t>Moreover, not all numeric values may apply to a particular site (e.g., sites with short graminoids).</w:t>
      </w:r>
    </w:p>
    <w:p>
      <w:pPr>
        <w:spacing w:before="0"/>
        <w:ind w:left="360" w:right="1621" w:hanging="1"/>
        <w:jc w:val="left"/>
        <w:rPr>
          <w:sz w:val="18"/>
        </w:rPr>
      </w:pPr>
      <w:bookmarkStart w:name="_bookmark224" w:id="750"/>
      <w:bookmarkEnd w:id="750"/>
      <w:r>
        <w:rPr/>
      </w:r>
      <w:r>
        <w:rPr>
          <w:position w:val="5"/>
          <w:sz w:val="12"/>
        </w:rPr>
        <w:t>24</w:t>
      </w:r>
      <w:r>
        <w:rPr>
          <w:spacing w:val="10"/>
          <w:position w:val="5"/>
          <w:sz w:val="12"/>
        </w:rPr>
        <w:t> </w:t>
      </w:r>
      <w:r>
        <w:rPr>
          <w:sz w:val="18"/>
        </w:rPr>
        <w:t>Indicator</w:t>
      </w:r>
      <w:r>
        <w:rPr>
          <w:spacing w:val="-3"/>
          <w:sz w:val="18"/>
        </w:rPr>
        <w:t> </w:t>
      </w:r>
      <w:r>
        <w:rPr>
          <w:sz w:val="18"/>
        </w:rPr>
        <w:t>values</w:t>
      </w:r>
      <w:r>
        <w:rPr>
          <w:spacing w:val="-3"/>
          <w:sz w:val="18"/>
        </w:rPr>
        <w:t> </w:t>
      </w:r>
      <w:r>
        <w:rPr>
          <w:sz w:val="18"/>
        </w:rPr>
        <w:t>for</w:t>
      </w:r>
      <w:r>
        <w:rPr>
          <w:spacing w:val="-3"/>
          <w:sz w:val="18"/>
        </w:rPr>
        <w:t> </w:t>
      </w:r>
      <w:r>
        <w:rPr>
          <w:sz w:val="18"/>
        </w:rPr>
        <w:t>specific</w:t>
      </w:r>
      <w:r>
        <w:rPr>
          <w:spacing w:val="-2"/>
          <w:sz w:val="18"/>
        </w:rPr>
        <w:t> </w:t>
      </w:r>
      <w:r>
        <w:rPr>
          <w:sz w:val="18"/>
        </w:rPr>
        <w:t>sites</w:t>
      </w:r>
      <w:r>
        <w:rPr>
          <w:spacing w:val="-1"/>
          <w:sz w:val="18"/>
        </w:rPr>
        <w:t> </w:t>
      </w:r>
      <w:r>
        <w:rPr>
          <w:sz w:val="18"/>
        </w:rPr>
        <w:t>should</w:t>
      </w:r>
      <w:r>
        <w:rPr>
          <w:spacing w:val="-1"/>
          <w:sz w:val="18"/>
        </w:rPr>
        <w:t> </w:t>
      </w:r>
      <w:r>
        <w:rPr>
          <w:sz w:val="18"/>
        </w:rPr>
        <w:t>be</w:t>
      </w:r>
      <w:r>
        <w:rPr>
          <w:spacing w:val="-3"/>
          <w:sz w:val="18"/>
        </w:rPr>
        <w:t> </w:t>
      </w:r>
      <w:r>
        <w:rPr>
          <w:sz w:val="18"/>
        </w:rPr>
        <w:t>determined</w:t>
      </w:r>
      <w:r>
        <w:rPr>
          <w:spacing w:val="-3"/>
          <w:sz w:val="18"/>
        </w:rPr>
        <w:t> </w:t>
      </w:r>
      <w:r>
        <w:rPr>
          <w:sz w:val="18"/>
        </w:rPr>
        <w:t>based</w:t>
      </w:r>
      <w:r>
        <w:rPr>
          <w:spacing w:val="-3"/>
          <w:sz w:val="18"/>
        </w:rPr>
        <w:t> </w:t>
      </w:r>
      <w:r>
        <w:rPr>
          <w:sz w:val="18"/>
        </w:rPr>
        <w:t>on</w:t>
      </w:r>
      <w:r>
        <w:rPr>
          <w:spacing w:val="-3"/>
          <w:sz w:val="18"/>
        </w:rPr>
        <w:t> </w:t>
      </w:r>
      <w:r>
        <w:rPr>
          <w:sz w:val="18"/>
        </w:rPr>
        <w:t>consideration</w:t>
      </w:r>
      <w:r>
        <w:rPr>
          <w:spacing w:val="-3"/>
          <w:sz w:val="18"/>
        </w:rPr>
        <w:t> </w:t>
      </w:r>
      <w:r>
        <w:rPr>
          <w:sz w:val="18"/>
        </w:rPr>
        <w:t>of</w:t>
      </w:r>
      <w:r>
        <w:rPr>
          <w:spacing w:val="-2"/>
          <w:sz w:val="18"/>
        </w:rPr>
        <w:t> </w:t>
      </w:r>
      <w:r>
        <w:rPr>
          <w:sz w:val="18"/>
        </w:rPr>
        <w:t>local</w:t>
      </w:r>
      <w:r>
        <w:rPr>
          <w:spacing w:val="-3"/>
          <w:sz w:val="18"/>
        </w:rPr>
        <w:t> </w:t>
      </w:r>
      <w:r>
        <w:rPr>
          <w:sz w:val="18"/>
        </w:rPr>
        <w:t>conditions</w:t>
      </w:r>
      <w:r>
        <w:rPr>
          <w:spacing w:val="-3"/>
          <w:sz w:val="18"/>
        </w:rPr>
        <w:t> </w:t>
      </w:r>
      <w:r>
        <w:rPr>
          <w:sz w:val="18"/>
        </w:rPr>
        <w:t>including,</w:t>
      </w:r>
      <w:r>
        <w:rPr>
          <w:spacing w:val="-2"/>
          <w:sz w:val="18"/>
        </w:rPr>
        <w:t> </w:t>
      </w:r>
      <w:r>
        <w:rPr>
          <w:sz w:val="18"/>
        </w:rPr>
        <w:t>but not limited to, the degree of departure between existing and desired conditions, the current and desired rate of</w:t>
      </w:r>
    </w:p>
    <w:p>
      <w:pPr>
        <w:spacing w:after="0"/>
        <w:jc w:val="left"/>
        <w:rPr>
          <w:sz w:val="18"/>
        </w:rPr>
        <w:sectPr>
          <w:pgSz w:w="12240" w:h="15840"/>
          <w:pgMar w:header="725" w:footer="891" w:top="960" w:bottom="1080" w:left="1080" w:right="720"/>
        </w:sectPr>
      </w:pPr>
    </w:p>
    <w:p>
      <w:pPr>
        <w:pStyle w:val="BodyText"/>
        <w:spacing w:before="212"/>
      </w:pPr>
    </w:p>
    <w:p>
      <w:pPr>
        <w:pStyle w:val="BodyText"/>
        <w:spacing w:line="232" w:lineRule="auto"/>
        <w:ind w:left="1151" w:right="742"/>
      </w:pPr>
      <w:r>
        <w:rPr/>
        <w:t>values should be adapted over time based on long-term monitoring and evaluation of conditions</w:t>
      </w:r>
      <w:r>
        <w:rPr>
          <w:spacing w:val="-7"/>
        </w:rPr>
        <w:t> </w:t>
      </w:r>
      <w:r>
        <w:rPr/>
        <w:t>and</w:t>
      </w:r>
      <w:r>
        <w:rPr>
          <w:spacing w:val="-6"/>
        </w:rPr>
        <w:t> </w:t>
      </w:r>
      <w:r>
        <w:rPr/>
        <w:t>trends.</w:t>
      </w:r>
      <w:r>
        <w:rPr>
          <w:spacing w:val="-5"/>
        </w:rPr>
        <w:t> </w:t>
      </w:r>
      <w:r>
        <w:rPr/>
        <w:t>Alternative</w:t>
      </w:r>
      <w:r>
        <w:rPr>
          <w:spacing w:val="-4"/>
        </w:rPr>
        <w:t> </w:t>
      </w:r>
      <w:r>
        <w:rPr/>
        <w:t>use</w:t>
      </w:r>
      <w:r>
        <w:rPr>
          <w:spacing w:val="-4"/>
        </w:rPr>
        <w:t> </w:t>
      </w:r>
      <w:r>
        <w:rPr/>
        <w:t>and</w:t>
      </w:r>
      <w:r>
        <w:rPr>
          <w:spacing w:val="-6"/>
        </w:rPr>
        <w:t> </w:t>
      </w:r>
      <w:r>
        <w:rPr/>
        <w:t>disturbance</w:t>
      </w:r>
      <w:r>
        <w:rPr>
          <w:spacing w:val="-4"/>
        </w:rPr>
        <w:t> </w:t>
      </w:r>
      <w:r>
        <w:rPr/>
        <w:t>indicators</w:t>
      </w:r>
      <w:r>
        <w:rPr>
          <w:spacing w:val="-5"/>
        </w:rPr>
        <w:t> </w:t>
      </w:r>
      <w:r>
        <w:rPr/>
        <w:t>and</w:t>
      </w:r>
      <w:r>
        <w:rPr>
          <w:spacing w:val="-8"/>
        </w:rPr>
        <w:t> </w:t>
      </w:r>
      <w:r>
        <w:rPr/>
        <w:t>values,</w:t>
      </w:r>
      <w:r>
        <w:rPr>
          <w:spacing w:val="-5"/>
        </w:rPr>
        <w:t> </w:t>
      </w:r>
      <w:r>
        <w:rPr/>
        <w:t>including</w:t>
      </w:r>
      <w:r>
        <w:rPr>
          <w:spacing w:val="-6"/>
        </w:rPr>
        <w:t> </w:t>
      </w:r>
      <w:r>
        <w:rPr/>
        <w:t>those</w:t>
      </w:r>
      <w:r>
        <w:rPr>
          <w:spacing w:val="-4"/>
        </w:rPr>
        <w:t> </w:t>
      </w:r>
      <w:r>
        <w:rPr/>
        <w:t>in current ESA consultation documents or non-ESA allotment management plans or allotment NEPA decisions, may be used if they are based on best available science and monitoring data and meet the purpose of this guideline.</w:t>
      </w:r>
    </w:p>
    <w:p>
      <w:pPr>
        <w:pStyle w:val="ListParagraph"/>
        <w:numPr>
          <w:ilvl w:val="0"/>
          <w:numId w:val="20"/>
        </w:numPr>
        <w:tabs>
          <w:tab w:pos="1870" w:val="left" w:leader="none"/>
          <w:tab w:pos="1872" w:val="left" w:leader="none"/>
        </w:tabs>
        <w:spacing w:line="232" w:lineRule="auto" w:before="198" w:after="0"/>
        <w:ind w:left="1872" w:right="796" w:hanging="360"/>
        <w:jc w:val="left"/>
        <w:rPr>
          <w:sz w:val="22"/>
        </w:rPr>
      </w:pPr>
      <w:r>
        <w:rPr>
          <w:sz w:val="22"/>
        </w:rPr>
        <w:t>Where desired conditions for water quality, aquatic habitat, and riparian vegetation have been attained</w:t>
      </w:r>
      <w:hyperlink w:history="true" w:anchor="_bookmark225">
        <w:r>
          <w:rPr>
            <w:rFonts w:ascii="Times New Roman"/>
            <w:sz w:val="22"/>
            <w:vertAlign w:val="superscript"/>
          </w:rPr>
          <w:t>25</w:t>
        </w:r>
      </w:hyperlink>
      <w:r>
        <w:rPr>
          <w:rFonts w:ascii="Times New Roman"/>
          <w:sz w:val="22"/>
          <w:vertAlign w:val="baseline"/>
        </w:rPr>
        <w:t> </w:t>
      </w:r>
      <w:r>
        <w:rPr>
          <w:sz w:val="22"/>
          <w:vertAlign w:val="baseline"/>
        </w:rPr>
        <w:t>and riparian vegetation is in late-seral conditions</w:t>
      </w:r>
      <w:hyperlink w:history="true" w:anchor="_bookmark226">
        <w:r>
          <w:rPr>
            <w:rFonts w:ascii="Times New Roman"/>
            <w:sz w:val="22"/>
            <w:vertAlign w:val="superscript"/>
          </w:rPr>
          <w:t>26</w:t>
        </w:r>
      </w:hyperlink>
      <w:r>
        <w:rPr>
          <w:sz w:val="22"/>
          <w:vertAlign w:val="baseline"/>
        </w:rPr>
        <w:t>, protect or maintain</w:t>
      </w:r>
      <w:r>
        <w:rPr>
          <w:spacing w:val="-6"/>
          <w:sz w:val="22"/>
          <w:vertAlign w:val="baseline"/>
        </w:rPr>
        <w:t> </w:t>
      </w:r>
      <w:r>
        <w:rPr>
          <w:sz w:val="22"/>
          <w:vertAlign w:val="baseline"/>
        </w:rPr>
        <w:t>those</w:t>
      </w:r>
      <w:r>
        <w:rPr>
          <w:spacing w:val="-7"/>
          <w:sz w:val="22"/>
          <w:vertAlign w:val="baseline"/>
        </w:rPr>
        <w:t> </w:t>
      </w:r>
      <w:r>
        <w:rPr>
          <w:sz w:val="22"/>
          <w:vertAlign w:val="baseline"/>
        </w:rPr>
        <w:t>conditions</w:t>
      </w:r>
      <w:r>
        <w:rPr>
          <w:spacing w:val="-7"/>
          <w:sz w:val="22"/>
          <w:vertAlign w:val="baseline"/>
        </w:rPr>
        <w:t> </w:t>
      </w:r>
      <w:r>
        <w:rPr>
          <w:sz w:val="22"/>
          <w:vertAlign w:val="baseline"/>
        </w:rPr>
        <w:t>by</w:t>
      </w:r>
      <w:r>
        <w:rPr>
          <w:spacing w:val="-6"/>
          <w:sz w:val="22"/>
          <w:vertAlign w:val="baseline"/>
        </w:rPr>
        <w:t> </w:t>
      </w:r>
      <w:r>
        <w:rPr>
          <w:sz w:val="22"/>
          <w:vertAlign w:val="baseline"/>
        </w:rPr>
        <w:t>managing</w:t>
      </w:r>
      <w:r>
        <w:rPr>
          <w:spacing w:val="-6"/>
          <w:sz w:val="22"/>
          <w:vertAlign w:val="baseline"/>
        </w:rPr>
        <w:t> </w:t>
      </w:r>
      <w:r>
        <w:rPr>
          <w:sz w:val="22"/>
          <w:vertAlign w:val="baseline"/>
        </w:rPr>
        <w:t>annual</w:t>
      </w:r>
      <w:r>
        <w:rPr>
          <w:spacing w:val="-5"/>
          <w:sz w:val="22"/>
          <w:vertAlign w:val="baseline"/>
        </w:rPr>
        <w:t> </w:t>
      </w:r>
      <w:r>
        <w:rPr>
          <w:sz w:val="22"/>
          <w:vertAlign w:val="baseline"/>
        </w:rPr>
        <w:t>livestock</w:t>
      </w:r>
      <w:r>
        <w:rPr>
          <w:spacing w:val="-4"/>
          <w:sz w:val="22"/>
          <w:vertAlign w:val="baseline"/>
        </w:rPr>
        <w:t> </w:t>
      </w:r>
      <w:r>
        <w:rPr>
          <w:sz w:val="22"/>
          <w:vertAlign w:val="baseline"/>
        </w:rPr>
        <w:t>grazing</w:t>
      </w:r>
      <w:r>
        <w:rPr>
          <w:spacing w:val="-6"/>
          <w:sz w:val="22"/>
          <w:vertAlign w:val="baseline"/>
        </w:rPr>
        <w:t> </w:t>
      </w:r>
      <w:r>
        <w:rPr>
          <w:sz w:val="22"/>
          <w:vertAlign w:val="baseline"/>
        </w:rPr>
        <w:t>use</w:t>
      </w:r>
      <w:r>
        <w:rPr>
          <w:spacing w:val="-4"/>
          <w:sz w:val="22"/>
          <w:vertAlign w:val="baseline"/>
        </w:rPr>
        <w:t> </w:t>
      </w:r>
      <w:r>
        <w:rPr>
          <w:sz w:val="22"/>
          <w:vertAlign w:val="baseline"/>
        </w:rPr>
        <w:t>and</w:t>
      </w:r>
      <w:r>
        <w:rPr>
          <w:spacing w:val="-6"/>
          <w:sz w:val="22"/>
          <w:vertAlign w:val="baseline"/>
        </w:rPr>
        <w:t> </w:t>
      </w:r>
      <w:r>
        <w:rPr>
          <w:sz w:val="22"/>
          <w:vertAlign w:val="baseline"/>
        </w:rPr>
        <w:t>disturbance</w:t>
      </w:r>
      <w:r>
        <w:rPr>
          <w:spacing w:val="-4"/>
          <w:sz w:val="22"/>
          <w:vertAlign w:val="baseline"/>
        </w:rPr>
        <w:t> </w:t>
      </w:r>
      <w:r>
        <w:rPr>
          <w:sz w:val="22"/>
          <w:vertAlign w:val="baseline"/>
        </w:rPr>
        <w:t>as follows</w:t>
      </w:r>
      <w:r>
        <w:rPr>
          <w:spacing w:val="-5"/>
          <w:sz w:val="22"/>
          <w:vertAlign w:val="baseline"/>
        </w:rPr>
        <w:t> </w:t>
      </w:r>
      <w:hyperlink w:history="true" w:anchor="_bookmark227">
        <w:r>
          <w:rPr>
            <w:rFonts w:ascii="Times New Roman"/>
            <w:sz w:val="22"/>
            <w:vertAlign w:val="superscript"/>
          </w:rPr>
          <w:t>27</w:t>
        </w:r>
      </w:hyperlink>
      <w:r>
        <w:rPr>
          <w:sz w:val="22"/>
          <w:vertAlign w:val="baseline"/>
        </w:rPr>
        <w:t>:</w:t>
      </w:r>
    </w:p>
    <w:p>
      <w:pPr>
        <w:pStyle w:val="ListParagraph"/>
        <w:numPr>
          <w:ilvl w:val="1"/>
          <w:numId w:val="20"/>
        </w:numPr>
        <w:tabs>
          <w:tab w:pos="2231" w:val="left" w:leader="none"/>
        </w:tabs>
        <w:spacing w:line="232" w:lineRule="auto" w:before="117" w:after="0"/>
        <w:ind w:left="2231" w:right="869" w:hanging="360"/>
        <w:jc w:val="left"/>
        <w:rPr>
          <w:sz w:val="22"/>
        </w:rPr>
      </w:pPr>
      <w:r>
        <w:rPr>
          <w:sz w:val="22"/>
        </w:rPr>
        <w:t>maintain</w:t>
      </w:r>
      <w:r>
        <w:rPr>
          <w:spacing w:val="-5"/>
          <w:sz w:val="22"/>
        </w:rPr>
        <w:t> </w:t>
      </w:r>
      <w:r>
        <w:rPr>
          <w:sz w:val="22"/>
        </w:rPr>
        <w:t>a</w:t>
      </w:r>
      <w:r>
        <w:rPr>
          <w:spacing w:val="-6"/>
          <w:sz w:val="22"/>
        </w:rPr>
        <w:t> </w:t>
      </w:r>
      <w:r>
        <w:rPr>
          <w:sz w:val="22"/>
        </w:rPr>
        <w:t>minimum</w:t>
      </w:r>
      <w:r>
        <w:rPr>
          <w:spacing w:val="-5"/>
          <w:sz w:val="22"/>
        </w:rPr>
        <w:t> </w:t>
      </w:r>
      <w:r>
        <w:rPr>
          <w:sz w:val="22"/>
        </w:rPr>
        <w:t>of</w:t>
      </w:r>
      <w:r>
        <w:rPr>
          <w:spacing w:val="-6"/>
          <w:sz w:val="22"/>
        </w:rPr>
        <w:t> </w:t>
      </w:r>
      <w:r>
        <w:rPr>
          <w:sz w:val="22"/>
        </w:rPr>
        <w:t>4-inch</w:t>
      </w:r>
      <w:r>
        <w:rPr>
          <w:spacing w:val="-5"/>
          <w:sz w:val="22"/>
        </w:rPr>
        <w:t> </w:t>
      </w:r>
      <w:r>
        <w:rPr>
          <w:sz w:val="22"/>
        </w:rPr>
        <w:t>residual</w:t>
      </w:r>
      <w:r>
        <w:rPr>
          <w:spacing w:val="-4"/>
          <w:sz w:val="22"/>
        </w:rPr>
        <w:t> </w:t>
      </w:r>
      <w:r>
        <w:rPr>
          <w:sz w:val="22"/>
        </w:rPr>
        <w:t>stubble</w:t>
      </w:r>
      <w:r>
        <w:rPr>
          <w:spacing w:val="-6"/>
          <w:sz w:val="22"/>
        </w:rPr>
        <w:t> </w:t>
      </w:r>
      <w:r>
        <w:rPr>
          <w:sz w:val="22"/>
        </w:rPr>
        <w:t>height</w:t>
      </w:r>
      <w:r>
        <w:rPr>
          <w:spacing w:val="-10"/>
          <w:sz w:val="22"/>
        </w:rPr>
        <w:t> </w:t>
      </w:r>
      <w:hyperlink w:history="true" w:anchor="_bookmark228">
        <w:r>
          <w:rPr>
            <w:rFonts w:ascii="Times New Roman" w:hAnsi="Times New Roman"/>
            <w:sz w:val="22"/>
            <w:vertAlign w:val="superscript"/>
          </w:rPr>
          <w:t>28</w:t>
        </w:r>
      </w:hyperlink>
      <w:r>
        <w:rPr>
          <w:rFonts w:ascii="Times New Roman" w:hAnsi="Times New Roman"/>
          <w:spacing w:val="-9"/>
          <w:sz w:val="22"/>
          <w:vertAlign w:val="baseline"/>
        </w:rPr>
        <w:t> </w:t>
      </w:r>
      <w:r>
        <w:rPr>
          <w:sz w:val="22"/>
          <w:vertAlign w:val="baseline"/>
        </w:rPr>
        <w:t>of</w:t>
      </w:r>
      <w:r>
        <w:rPr>
          <w:spacing w:val="-6"/>
          <w:sz w:val="22"/>
          <w:vertAlign w:val="baseline"/>
        </w:rPr>
        <w:t> </w:t>
      </w:r>
      <w:r>
        <w:rPr>
          <w:sz w:val="22"/>
          <w:vertAlign w:val="baseline"/>
        </w:rPr>
        <w:t>key</w:t>
      </w:r>
      <w:r>
        <w:rPr>
          <w:spacing w:val="-3"/>
          <w:sz w:val="22"/>
          <w:vertAlign w:val="baseline"/>
        </w:rPr>
        <w:t> </w:t>
      </w:r>
      <w:r>
        <w:rPr>
          <w:sz w:val="22"/>
          <w:vertAlign w:val="baseline"/>
        </w:rPr>
        <w:t>herbaceous</w:t>
      </w:r>
      <w:r>
        <w:rPr>
          <w:spacing w:val="-4"/>
          <w:sz w:val="22"/>
          <w:vertAlign w:val="baseline"/>
        </w:rPr>
        <w:t> </w:t>
      </w:r>
      <w:r>
        <w:rPr>
          <w:sz w:val="22"/>
          <w:vertAlign w:val="baseline"/>
        </w:rPr>
        <w:t>species on the greenline;</w:t>
      </w:r>
    </w:p>
    <w:p>
      <w:pPr>
        <w:pStyle w:val="ListParagraph"/>
        <w:numPr>
          <w:ilvl w:val="1"/>
          <w:numId w:val="20"/>
        </w:numPr>
        <w:tabs>
          <w:tab w:pos="2231" w:val="left" w:leader="none"/>
        </w:tabs>
        <w:spacing w:line="232" w:lineRule="auto" w:before="119" w:after="0"/>
        <w:ind w:left="2231" w:right="1050" w:hanging="360"/>
        <w:jc w:val="left"/>
        <w:rPr>
          <w:sz w:val="22"/>
        </w:rPr>
      </w:pPr>
      <w:r>
        <w:rPr>
          <w:sz w:val="22"/>
        </w:rPr>
        <w:t>utilize</w:t>
      </w:r>
      <w:r>
        <w:rPr>
          <w:spacing w:val="-4"/>
          <w:sz w:val="22"/>
        </w:rPr>
        <w:t> </w:t>
      </w:r>
      <w:r>
        <w:rPr>
          <w:sz w:val="22"/>
        </w:rPr>
        <w:t>no</w:t>
      </w:r>
      <w:r>
        <w:rPr>
          <w:spacing w:val="-6"/>
          <w:sz w:val="22"/>
        </w:rPr>
        <w:t> </w:t>
      </w:r>
      <w:r>
        <w:rPr>
          <w:sz w:val="22"/>
        </w:rPr>
        <w:t>more</w:t>
      </w:r>
      <w:r>
        <w:rPr>
          <w:spacing w:val="-7"/>
          <w:sz w:val="22"/>
        </w:rPr>
        <w:t> </w:t>
      </w:r>
      <w:r>
        <w:rPr>
          <w:sz w:val="22"/>
        </w:rPr>
        <w:t>than</w:t>
      </w:r>
      <w:r>
        <w:rPr>
          <w:spacing w:val="-6"/>
          <w:sz w:val="22"/>
        </w:rPr>
        <w:t> </w:t>
      </w:r>
      <w:r>
        <w:rPr>
          <w:sz w:val="22"/>
        </w:rPr>
        <w:t>30-45</w:t>
      </w:r>
      <w:r>
        <w:rPr>
          <w:spacing w:val="-6"/>
          <w:sz w:val="22"/>
        </w:rPr>
        <w:t> </w:t>
      </w:r>
      <w:r>
        <w:rPr>
          <w:sz w:val="22"/>
        </w:rPr>
        <w:t>percent</w:t>
      </w:r>
      <w:r>
        <w:rPr>
          <w:spacing w:val="-7"/>
          <w:sz w:val="22"/>
        </w:rPr>
        <w:t> </w:t>
      </w:r>
      <w:r>
        <w:rPr>
          <w:sz w:val="22"/>
        </w:rPr>
        <w:t>of</w:t>
      </w:r>
      <w:r>
        <w:rPr>
          <w:spacing w:val="-5"/>
          <w:sz w:val="22"/>
        </w:rPr>
        <w:t> </w:t>
      </w:r>
      <w:r>
        <w:rPr>
          <w:sz w:val="22"/>
        </w:rPr>
        <w:t>deep-rooted</w:t>
      </w:r>
      <w:r>
        <w:rPr>
          <w:spacing w:val="-6"/>
          <w:sz w:val="22"/>
        </w:rPr>
        <w:t> </w:t>
      </w:r>
      <w:r>
        <w:rPr>
          <w:sz w:val="22"/>
        </w:rPr>
        <w:t>herbaceous</w:t>
      </w:r>
      <w:r>
        <w:rPr>
          <w:spacing w:val="-7"/>
          <w:sz w:val="22"/>
        </w:rPr>
        <w:t> </w:t>
      </w:r>
      <w:r>
        <w:rPr>
          <w:sz w:val="22"/>
        </w:rPr>
        <w:t>vegetation</w:t>
      </w:r>
      <w:r>
        <w:rPr>
          <w:spacing w:val="-6"/>
          <w:sz w:val="22"/>
        </w:rPr>
        <w:t> </w:t>
      </w:r>
      <w:r>
        <w:rPr>
          <w:sz w:val="22"/>
        </w:rPr>
        <w:t>in</w:t>
      </w:r>
      <w:r>
        <w:rPr>
          <w:spacing w:val="-8"/>
          <w:sz w:val="22"/>
        </w:rPr>
        <w:t> </w:t>
      </w:r>
      <w:r>
        <w:rPr>
          <w:sz w:val="22"/>
        </w:rPr>
        <w:t>the active floodplain</w:t>
      </w:r>
      <w:hyperlink w:history="true" w:anchor="_bookmark229">
        <w:r>
          <w:rPr>
            <w:rFonts w:ascii="Times New Roman" w:hAnsi="Times New Roman"/>
            <w:sz w:val="22"/>
            <w:vertAlign w:val="superscript"/>
          </w:rPr>
          <w:t>29</w:t>
        </w:r>
      </w:hyperlink>
      <w:r>
        <w:rPr>
          <w:rFonts w:ascii="Times New Roman" w:hAnsi="Times New Roman"/>
          <w:sz w:val="22"/>
          <w:vertAlign w:val="baseline"/>
        </w:rPr>
        <w:t> </w:t>
      </w:r>
      <w:r>
        <w:rPr>
          <w:sz w:val="22"/>
          <w:vertAlign w:val="baseline"/>
        </w:rPr>
        <w:t>and, as needed, in other critical portions of the Riparian Management Area;</w:t>
      </w:r>
    </w:p>
    <w:p>
      <w:pPr>
        <w:pStyle w:val="ListParagraph"/>
        <w:numPr>
          <w:ilvl w:val="1"/>
          <w:numId w:val="20"/>
        </w:numPr>
        <w:tabs>
          <w:tab w:pos="2231" w:val="left" w:leader="none"/>
        </w:tabs>
        <w:spacing w:line="240" w:lineRule="auto" w:before="113" w:after="0"/>
        <w:ind w:left="2231" w:right="0" w:hanging="359"/>
        <w:jc w:val="left"/>
        <w:rPr>
          <w:sz w:val="22"/>
        </w:rPr>
      </w:pPr>
      <w:r>
        <w:rPr>
          <w:sz w:val="22"/>
        </w:rPr>
        <w:t>limit</w:t>
      </w:r>
      <w:r>
        <w:rPr>
          <w:spacing w:val="-6"/>
          <w:sz w:val="22"/>
        </w:rPr>
        <w:t> </w:t>
      </w:r>
      <w:r>
        <w:rPr>
          <w:sz w:val="22"/>
        </w:rPr>
        <w:t>streambank</w:t>
      </w:r>
      <w:r>
        <w:rPr>
          <w:spacing w:val="-7"/>
          <w:sz w:val="22"/>
        </w:rPr>
        <w:t> </w:t>
      </w:r>
      <w:r>
        <w:rPr>
          <w:sz w:val="22"/>
        </w:rPr>
        <w:t>alteration</w:t>
      </w:r>
      <w:hyperlink w:history="true" w:anchor="_bookmark230">
        <w:r>
          <w:rPr>
            <w:rFonts w:ascii="Times New Roman" w:hAnsi="Times New Roman"/>
            <w:sz w:val="22"/>
            <w:vertAlign w:val="superscript"/>
          </w:rPr>
          <w:t>30</w:t>
        </w:r>
      </w:hyperlink>
      <w:r>
        <w:rPr>
          <w:rFonts w:ascii="Times New Roman" w:hAnsi="Times New Roman"/>
          <w:spacing w:val="-11"/>
          <w:sz w:val="22"/>
          <w:vertAlign w:val="baseline"/>
        </w:rPr>
        <w:t> </w:t>
      </w:r>
      <w:r>
        <w:rPr>
          <w:sz w:val="22"/>
          <w:vertAlign w:val="baseline"/>
        </w:rPr>
        <w:t>to</w:t>
      </w:r>
      <w:r>
        <w:rPr>
          <w:spacing w:val="-6"/>
          <w:sz w:val="22"/>
          <w:vertAlign w:val="baseline"/>
        </w:rPr>
        <w:t> </w:t>
      </w:r>
      <w:r>
        <w:rPr>
          <w:sz w:val="22"/>
          <w:vertAlign w:val="baseline"/>
        </w:rPr>
        <w:t>no</w:t>
      </w:r>
      <w:r>
        <w:rPr>
          <w:spacing w:val="-6"/>
          <w:sz w:val="22"/>
          <w:vertAlign w:val="baseline"/>
        </w:rPr>
        <w:t> </w:t>
      </w:r>
      <w:r>
        <w:rPr>
          <w:sz w:val="22"/>
          <w:vertAlign w:val="baseline"/>
        </w:rPr>
        <w:t>more</w:t>
      </w:r>
      <w:r>
        <w:rPr>
          <w:spacing w:val="-8"/>
          <w:sz w:val="22"/>
          <w:vertAlign w:val="baseline"/>
        </w:rPr>
        <w:t> </w:t>
      </w:r>
      <w:r>
        <w:rPr>
          <w:sz w:val="22"/>
          <w:vertAlign w:val="baseline"/>
        </w:rPr>
        <w:t>than</w:t>
      </w:r>
      <w:r>
        <w:rPr>
          <w:spacing w:val="-7"/>
          <w:sz w:val="22"/>
          <w:vertAlign w:val="baseline"/>
        </w:rPr>
        <w:t> </w:t>
      </w:r>
      <w:r>
        <w:rPr>
          <w:sz w:val="22"/>
          <w:vertAlign w:val="baseline"/>
        </w:rPr>
        <w:t>20-25</w:t>
      </w:r>
      <w:r>
        <w:rPr>
          <w:spacing w:val="-5"/>
          <w:sz w:val="22"/>
          <w:vertAlign w:val="baseline"/>
        </w:rPr>
        <w:t> </w:t>
      </w:r>
      <w:r>
        <w:rPr>
          <w:sz w:val="22"/>
          <w:vertAlign w:val="baseline"/>
        </w:rPr>
        <w:t>percent;</w:t>
      </w:r>
      <w:r>
        <w:rPr>
          <w:spacing w:val="-5"/>
          <w:sz w:val="22"/>
          <w:vertAlign w:val="baseline"/>
        </w:rPr>
        <w:t> and</w:t>
      </w:r>
    </w:p>
    <w:p>
      <w:pPr>
        <w:pStyle w:val="ListParagraph"/>
        <w:numPr>
          <w:ilvl w:val="1"/>
          <w:numId w:val="20"/>
        </w:numPr>
        <w:tabs>
          <w:tab w:pos="2231" w:val="left" w:leader="none"/>
        </w:tabs>
        <w:spacing w:line="232" w:lineRule="auto" w:before="117" w:after="0"/>
        <w:ind w:left="2231" w:right="838" w:hanging="360"/>
        <w:jc w:val="left"/>
        <w:rPr>
          <w:sz w:val="22"/>
        </w:rPr>
      </w:pPr>
      <w:r>
        <w:rPr>
          <w:sz w:val="22"/>
        </w:rPr>
        <w:t>limit</w:t>
      </w:r>
      <w:r>
        <w:rPr>
          <w:spacing w:val="-3"/>
          <w:sz w:val="22"/>
        </w:rPr>
        <w:t> </w:t>
      </w:r>
      <w:r>
        <w:rPr>
          <w:sz w:val="22"/>
        </w:rPr>
        <w:t>use</w:t>
      </w:r>
      <w:r>
        <w:rPr>
          <w:spacing w:val="-6"/>
          <w:sz w:val="22"/>
        </w:rPr>
        <w:t> </w:t>
      </w:r>
      <w:r>
        <w:rPr>
          <w:sz w:val="22"/>
        </w:rPr>
        <w:t>of</w:t>
      </w:r>
      <w:r>
        <w:rPr>
          <w:spacing w:val="-4"/>
          <w:sz w:val="22"/>
        </w:rPr>
        <w:t> </w:t>
      </w:r>
      <w:r>
        <w:rPr>
          <w:sz w:val="22"/>
        </w:rPr>
        <w:t>woody</w:t>
      </w:r>
      <w:r>
        <w:rPr>
          <w:spacing w:val="-3"/>
          <w:sz w:val="22"/>
        </w:rPr>
        <w:t> </w:t>
      </w:r>
      <w:r>
        <w:rPr>
          <w:sz w:val="22"/>
        </w:rPr>
        <w:t>species</w:t>
      </w:r>
      <w:r>
        <w:rPr>
          <w:spacing w:val="-6"/>
          <w:sz w:val="22"/>
        </w:rPr>
        <w:t> </w:t>
      </w:r>
      <w:r>
        <w:rPr>
          <w:sz w:val="22"/>
        </w:rPr>
        <w:t>to</w:t>
      </w:r>
      <w:r>
        <w:rPr>
          <w:spacing w:val="-3"/>
          <w:sz w:val="22"/>
        </w:rPr>
        <w:t> </w:t>
      </w:r>
      <w:r>
        <w:rPr>
          <w:sz w:val="22"/>
        </w:rPr>
        <w:t>no</w:t>
      </w:r>
      <w:r>
        <w:rPr>
          <w:spacing w:val="-5"/>
          <w:sz w:val="22"/>
        </w:rPr>
        <w:t> </w:t>
      </w:r>
      <w:r>
        <w:rPr>
          <w:sz w:val="22"/>
        </w:rPr>
        <w:t>more</w:t>
      </w:r>
      <w:r>
        <w:rPr>
          <w:spacing w:val="-6"/>
          <w:sz w:val="22"/>
        </w:rPr>
        <w:t> </w:t>
      </w:r>
      <w:r>
        <w:rPr>
          <w:sz w:val="22"/>
        </w:rPr>
        <w:t>than</w:t>
      </w:r>
      <w:r>
        <w:rPr>
          <w:spacing w:val="-5"/>
          <w:sz w:val="22"/>
        </w:rPr>
        <w:t> </w:t>
      </w:r>
      <w:r>
        <w:rPr>
          <w:sz w:val="22"/>
        </w:rPr>
        <w:t>30-40</w:t>
      </w:r>
      <w:r>
        <w:rPr>
          <w:spacing w:val="-3"/>
          <w:sz w:val="22"/>
        </w:rPr>
        <w:t> </w:t>
      </w:r>
      <w:r>
        <w:rPr>
          <w:sz w:val="22"/>
        </w:rPr>
        <w:t>percent</w:t>
      </w:r>
      <w:r>
        <w:rPr>
          <w:spacing w:val="-6"/>
          <w:sz w:val="22"/>
        </w:rPr>
        <w:t> </w:t>
      </w:r>
      <w:r>
        <w:rPr>
          <w:sz w:val="22"/>
        </w:rPr>
        <w:t>of</w:t>
      </w:r>
      <w:r>
        <w:rPr>
          <w:spacing w:val="-4"/>
          <w:sz w:val="22"/>
        </w:rPr>
        <w:t> </w:t>
      </w:r>
      <w:r>
        <w:rPr>
          <w:sz w:val="22"/>
        </w:rPr>
        <w:t>current</w:t>
      </w:r>
      <w:r>
        <w:rPr>
          <w:spacing w:val="-3"/>
          <w:sz w:val="22"/>
        </w:rPr>
        <w:t> </w:t>
      </w:r>
      <w:r>
        <w:rPr>
          <w:sz w:val="22"/>
        </w:rPr>
        <w:t>year’s</w:t>
      </w:r>
      <w:r>
        <w:rPr>
          <w:spacing w:val="-6"/>
          <w:sz w:val="22"/>
        </w:rPr>
        <w:t> </w:t>
      </w:r>
      <w:r>
        <w:rPr>
          <w:sz w:val="22"/>
        </w:rPr>
        <w:t>leaders along streambanks and, as needed, in other critical portions of the Riparian Management Area.</w:t>
      </w:r>
    </w:p>
    <w:p>
      <w:pPr>
        <w:pStyle w:val="ListParagraph"/>
        <w:numPr>
          <w:ilvl w:val="0"/>
          <w:numId w:val="20"/>
        </w:numPr>
        <w:tabs>
          <w:tab w:pos="1869" w:val="left" w:leader="none"/>
          <w:tab w:pos="1871" w:val="left" w:leader="none"/>
        </w:tabs>
        <w:spacing w:line="232" w:lineRule="auto" w:before="118" w:after="0"/>
        <w:ind w:left="1871" w:right="849" w:hanging="360"/>
        <w:jc w:val="left"/>
        <w:rPr>
          <w:sz w:val="22"/>
        </w:rPr>
      </w:pPr>
      <w:r>
        <w:rPr>
          <w:sz w:val="22"/>
        </w:rPr>
        <w:t>Where</w:t>
      </w:r>
      <w:r>
        <w:rPr>
          <w:spacing w:val="-10"/>
          <w:sz w:val="22"/>
        </w:rPr>
        <w:t> </w:t>
      </w:r>
      <w:r>
        <w:rPr>
          <w:sz w:val="22"/>
        </w:rPr>
        <w:t>desired</w:t>
      </w:r>
      <w:r>
        <w:rPr>
          <w:spacing w:val="-10"/>
          <w:sz w:val="22"/>
        </w:rPr>
        <w:t> </w:t>
      </w:r>
      <w:r>
        <w:rPr>
          <w:sz w:val="22"/>
        </w:rPr>
        <w:t>conditions</w:t>
      </w:r>
      <w:r>
        <w:rPr>
          <w:spacing w:val="-9"/>
          <w:sz w:val="22"/>
        </w:rPr>
        <w:t> </w:t>
      </w:r>
      <w:r>
        <w:rPr>
          <w:sz w:val="22"/>
        </w:rPr>
        <w:t>for</w:t>
      </w:r>
      <w:r>
        <w:rPr>
          <w:spacing w:val="-9"/>
          <w:sz w:val="22"/>
        </w:rPr>
        <w:t> </w:t>
      </w:r>
      <w:r>
        <w:rPr>
          <w:sz w:val="22"/>
        </w:rPr>
        <w:t>water</w:t>
      </w:r>
      <w:r>
        <w:rPr>
          <w:spacing w:val="-9"/>
          <w:sz w:val="22"/>
        </w:rPr>
        <w:t> </w:t>
      </w:r>
      <w:r>
        <w:rPr>
          <w:sz w:val="22"/>
        </w:rPr>
        <w:t>quality,</w:t>
      </w:r>
      <w:r>
        <w:rPr>
          <w:spacing w:val="-9"/>
          <w:sz w:val="22"/>
        </w:rPr>
        <w:t> </w:t>
      </w:r>
      <w:r>
        <w:rPr>
          <w:sz w:val="22"/>
        </w:rPr>
        <w:t>aquatic</w:t>
      </w:r>
      <w:r>
        <w:rPr>
          <w:spacing w:val="-9"/>
          <w:sz w:val="22"/>
        </w:rPr>
        <w:t> </w:t>
      </w:r>
      <w:r>
        <w:rPr>
          <w:sz w:val="22"/>
        </w:rPr>
        <w:t>habitat,</w:t>
      </w:r>
      <w:r>
        <w:rPr>
          <w:spacing w:val="-9"/>
          <w:sz w:val="22"/>
        </w:rPr>
        <w:t> </w:t>
      </w:r>
      <w:r>
        <w:rPr>
          <w:sz w:val="22"/>
        </w:rPr>
        <w:t>and/or</w:t>
      </w:r>
      <w:r>
        <w:rPr>
          <w:spacing w:val="-10"/>
          <w:sz w:val="22"/>
        </w:rPr>
        <w:t> </w:t>
      </w:r>
      <w:r>
        <w:rPr>
          <w:sz w:val="22"/>
        </w:rPr>
        <w:t>riparian</w:t>
      </w:r>
      <w:r>
        <w:rPr>
          <w:spacing w:val="-10"/>
          <w:sz w:val="22"/>
        </w:rPr>
        <w:t> </w:t>
      </w:r>
      <w:r>
        <w:rPr>
          <w:sz w:val="22"/>
        </w:rPr>
        <w:t>vegetation have not yet been attained, but conditions are moving towards those desired conditions</w:t>
      </w:r>
      <w:r>
        <w:rPr>
          <w:sz w:val="22"/>
          <w:vertAlign w:val="superscript"/>
        </w:rPr>
        <w:t>22</w:t>
      </w:r>
      <w:r>
        <w:rPr>
          <w:sz w:val="22"/>
          <w:vertAlign w:val="baseline"/>
        </w:rPr>
        <w:t>, enable continued</w:t>
      </w:r>
      <w:r>
        <w:rPr>
          <w:spacing w:val="-1"/>
          <w:sz w:val="22"/>
          <w:vertAlign w:val="baseline"/>
        </w:rPr>
        <w:t> </w:t>
      </w:r>
      <w:r>
        <w:rPr>
          <w:sz w:val="22"/>
          <w:vertAlign w:val="baseline"/>
        </w:rPr>
        <w:t>recovery</w:t>
      </w:r>
      <w:r>
        <w:rPr>
          <w:spacing w:val="-1"/>
          <w:sz w:val="22"/>
          <w:vertAlign w:val="baseline"/>
        </w:rPr>
        <w:t> </w:t>
      </w:r>
      <w:r>
        <w:rPr>
          <w:sz w:val="22"/>
          <w:vertAlign w:val="baseline"/>
        </w:rPr>
        <w:t>by</w:t>
      </w:r>
      <w:r>
        <w:rPr>
          <w:spacing w:val="-1"/>
          <w:sz w:val="22"/>
          <w:vertAlign w:val="baseline"/>
        </w:rPr>
        <w:t> </w:t>
      </w:r>
      <w:r>
        <w:rPr>
          <w:sz w:val="22"/>
          <w:vertAlign w:val="baseline"/>
        </w:rPr>
        <w:t>managing</w:t>
      </w:r>
      <w:r>
        <w:rPr>
          <w:spacing w:val="-3"/>
          <w:sz w:val="22"/>
          <w:vertAlign w:val="baseline"/>
        </w:rPr>
        <w:t> </w:t>
      </w:r>
      <w:r>
        <w:rPr>
          <w:sz w:val="22"/>
          <w:vertAlign w:val="baseline"/>
        </w:rPr>
        <w:t>annual livestock</w:t>
      </w:r>
      <w:r>
        <w:rPr>
          <w:spacing w:val="-2"/>
          <w:sz w:val="22"/>
          <w:vertAlign w:val="baseline"/>
        </w:rPr>
        <w:t> </w:t>
      </w:r>
      <w:r>
        <w:rPr>
          <w:sz w:val="22"/>
          <w:vertAlign w:val="baseline"/>
        </w:rPr>
        <w:t>grazing</w:t>
      </w:r>
      <w:r>
        <w:rPr>
          <w:spacing w:val="-1"/>
          <w:sz w:val="22"/>
          <w:vertAlign w:val="baseline"/>
        </w:rPr>
        <w:t> </w:t>
      </w:r>
      <w:r>
        <w:rPr>
          <w:sz w:val="22"/>
          <w:vertAlign w:val="baseline"/>
        </w:rPr>
        <w:t>use and disturbance as follows:</w:t>
      </w:r>
    </w:p>
    <w:p>
      <w:pPr>
        <w:pStyle w:val="ListParagraph"/>
        <w:numPr>
          <w:ilvl w:val="1"/>
          <w:numId w:val="20"/>
        </w:numPr>
        <w:tabs>
          <w:tab w:pos="2231" w:val="left" w:leader="none"/>
        </w:tabs>
        <w:spacing w:line="232" w:lineRule="auto" w:before="120" w:after="0"/>
        <w:ind w:left="2231" w:right="915" w:hanging="360"/>
        <w:jc w:val="left"/>
        <w:rPr>
          <w:sz w:val="22"/>
        </w:rPr>
      </w:pPr>
      <w:r>
        <w:rPr>
          <w:sz w:val="22"/>
        </w:rPr>
        <w:t>maintain</w:t>
      </w:r>
      <w:r>
        <w:rPr>
          <w:spacing w:val="-6"/>
          <w:sz w:val="22"/>
        </w:rPr>
        <w:t> </w:t>
      </w:r>
      <w:r>
        <w:rPr>
          <w:sz w:val="22"/>
        </w:rPr>
        <w:t>a</w:t>
      </w:r>
      <w:r>
        <w:rPr>
          <w:spacing w:val="-7"/>
          <w:sz w:val="22"/>
        </w:rPr>
        <w:t> </w:t>
      </w:r>
      <w:r>
        <w:rPr>
          <w:sz w:val="22"/>
        </w:rPr>
        <w:t>minimum</w:t>
      </w:r>
      <w:r>
        <w:rPr>
          <w:spacing w:val="-6"/>
          <w:sz w:val="22"/>
        </w:rPr>
        <w:t> </w:t>
      </w:r>
      <w:r>
        <w:rPr>
          <w:sz w:val="22"/>
        </w:rPr>
        <w:t>of</w:t>
      </w:r>
      <w:r>
        <w:rPr>
          <w:spacing w:val="-7"/>
          <w:sz w:val="22"/>
        </w:rPr>
        <w:t> </w:t>
      </w:r>
      <w:r>
        <w:rPr>
          <w:sz w:val="22"/>
        </w:rPr>
        <w:t>4-inch</w:t>
      </w:r>
      <w:r>
        <w:rPr>
          <w:spacing w:val="-6"/>
          <w:sz w:val="22"/>
        </w:rPr>
        <w:t> </w:t>
      </w:r>
      <w:r>
        <w:rPr>
          <w:sz w:val="22"/>
        </w:rPr>
        <w:t>to</w:t>
      </w:r>
      <w:r>
        <w:rPr>
          <w:spacing w:val="-6"/>
          <w:sz w:val="22"/>
        </w:rPr>
        <w:t> </w:t>
      </w:r>
      <w:r>
        <w:rPr>
          <w:sz w:val="22"/>
        </w:rPr>
        <w:t>6-inch</w:t>
      </w:r>
      <w:r>
        <w:rPr>
          <w:spacing w:val="-6"/>
          <w:sz w:val="22"/>
        </w:rPr>
        <w:t> </w:t>
      </w:r>
      <w:r>
        <w:rPr>
          <w:sz w:val="22"/>
        </w:rPr>
        <w:t>residual</w:t>
      </w:r>
      <w:r>
        <w:rPr>
          <w:spacing w:val="-5"/>
          <w:sz w:val="22"/>
        </w:rPr>
        <w:t> </w:t>
      </w:r>
      <w:r>
        <w:rPr>
          <w:sz w:val="22"/>
        </w:rPr>
        <w:t>stubble</w:t>
      </w:r>
      <w:r>
        <w:rPr>
          <w:spacing w:val="-4"/>
          <w:sz w:val="22"/>
        </w:rPr>
        <w:t> </w:t>
      </w:r>
      <w:r>
        <w:rPr>
          <w:sz w:val="22"/>
        </w:rPr>
        <w:t>height</w:t>
      </w:r>
      <w:r>
        <w:rPr>
          <w:spacing w:val="-4"/>
          <w:sz w:val="22"/>
        </w:rPr>
        <w:t> </w:t>
      </w:r>
      <w:r>
        <w:rPr>
          <w:sz w:val="22"/>
        </w:rPr>
        <w:t>of</w:t>
      </w:r>
      <w:r>
        <w:rPr>
          <w:spacing w:val="-7"/>
          <w:sz w:val="22"/>
        </w:rPr>
        <w:t> </w:t>
      </w:r>
      <w:r>
        <w:rPr>
          <w:sz w:val="22"/>
        </w:rPr>
        <w:t>key</w:t>
      </w:r>
      <w:r>
        <w:rPr>
          <w:spacing w:val="-6"/>
          <w:sz w:val="22"/>
        </w:rPr>
        <w:t> </w:t>
      </w:r>
      <w:r>
        <w:rPr>
          <w:sz w:val="22"/>
        </w:rPr>
        <w:t>herbaceous species on the greenline</w:t>
      </w:r>
      <w:r>
        <w:rPr>
          <w:sz w:val="22"/>
          <w:vertAlign w:val="superscript"/>
        </w:rPr>
        <w:t>23</w:t>
      </w:r>
      <w:r>
        <w:rPr>
          <w:sz w:val="22"/>
          <w:vertAlign w:val="baseline"/>
        </w:rPr>
        <w:t>;</w:t>
      </w:r>
    </w:p>
    <w:p>
      <w:pPr>
        <w:pStyle w:val="ListParagraph"/>
        <w:numPr>
          <w:ilvl w:val="1"/>
          <w:numId w:val="20"/>
        </w:numPr>
        <w:tabs>
          <w:tab w:pos="2231" w:val="left" w:leader="none"/>
        </w:tabs>
        <w:spacing w:line="232" w:lineRule="auto" w:before="117" w:after="0"/>
        <w:ind w:left="2231" w:right="731" w:hanging="360"/>
        <w:jc w:val="left"/>
        <w:rPr>
          <w:sz w:val="22"/>
        </w:rPr>
      </w:pPr>
      <w:r>
        <w:rPr>
          <w:sz w:val="22"/>
        </w:rPr>
        <w:t>follow</w:t>
      </w:r>
      <w:r>
        <w:rPr>
          <w:spacing w:val="-10"/>
          <w:sz w:val="22"/>
        </w:rPr>
        <w:t> </w:t>
      </w:r>
      <w:r>
        <w:rPr>
          <w:sz w:val="22"/>
        </w:rPr>
        <w:t>the</w:t>
      </w:r>
      <w:r>
        <w:rPr>
          <w:spacing w:val="-7"/>
          <w:sz w:val="22"/>
        </w:rPr>
        <w:t> </w:t>
      </w:r>
      <w:r>
        <w:rPr>
          <w:sz w:val="22"/>
        </w:rPr>
        <w:t>criteria</w:t>
      </w:r>
      <w:r>
        <w:rPr>
          <w:spacing w:val="-8"/>
          <w:sz w:val="22"/>
        </w:rPr>
        <w:t> </w:t>
      </w:r>
      <w:r>
        <w:rPr>
          <w:sz w:val="22"/>
        </w:rPr>
        <w:t>for</w:t>
      </w:r>
      <w:r>
        <w:rPr>
          <w:spacing w:val="-8"/>
          <w:sz w:val="22"/>
        </w:rPr>
        <w:t> </w:t>
      </w:r>
      <w:r>
        <w:rPr>
          <w:sz w:val="22"/>
        </w:rPr>
        <w:t>utilization</w:t>
      </w:r>
      <w:r>
        <w:rPr>
          <w:spacing w:val="-11"/>
          <w:sz w:val="22"/>
        </w:rPr>
        <w:t> </w:t>
      </w:r>
      <w:r>
        <w:rPr>
          <w:sz w:val="22"/>
        </w:rPr>
        <w:t>of</w:t>
      </w:r>
      <w:r>
        <w:rPr>
          <w:spacing w:val="-8"/>
          <w:sz w:val="22"/>
        </w:rPr>
        <w:t> </w:t>
      </w:r>
      <w:r>
        <w:rPr>
          <w:sz w:val="22"/>
        </w:rPr>
        <w:t>deep-rooted</w:t>
      </w:r>
      <w:r>
        <w:rPr>
          <w:spacing w:val="-9"/>
          <w:sz w:val="22"/>
        </w:rPr>
        <w:t> </w:t>
      </w:r>
      <w:r>
        <w:rPr>
          <w:sz w:val="22"/>
        </w:rPr>
        <w:t>herbaceous</w:t>
      </w:r>
      <w:r>
        <w:rPr>
          <w:spacing w:val="-10"/>
          <w:sz w:val="22"/>
        </w:rPr>
        <w:t> </w:t>
      </w:r>
      <w:r>
        <w:rPr>
          <w:sz w:val="22"/>
        </w:rPr>
        <w:t>vegetation,</w:t>
      </w:r>
      <w:r>
        <w:rPr>
          <w:spacing w:val="-10"/>
          <w:sz w:val="22"/>
        </w:rPr>
        <w:t> </w:t>
      </w:r>
      <w:r>
        <w:rPr>
          <w:sz w:val="22"/>
        </w:rPr>
        <w:t>streambank alteration, and use of woody species described in (1).</w:t>
      </w:r>
    </w:p>
    <w:p>
      <w:pPr>
        <w:pStyle w:val="ListParagraph"/>
        <w:numPr>
          <w:ilvl w:val="0"/>
          <w:numId w:val="20"/>
        </w:numPr>
        <w:tabs>
          <w:tab w:pos="1869" w:val="left" w:leader="none"/>
          <w:tab w:pos="1872" w:val="left" w:leader="none"/>
        </w:tabs>
        <w:spacing w:line="232" w:lineRule="auto" w:before="120" w:after="0"/>
        <w:ind w:left="1872" w:right="849" w:hanging="361"/>
        <w:jc w:val="left"/>
        <w:rPr>
          <w:sz w:val="22"/>
        </w:rPr>
      </w:pPr>
      <w:r>
        <w:rPr>
          <w:sz w:val="22"/>
        </w:rPr>
        <w:t>Where</w:t>
      </w:r>
      <w:r>
        <w:rPr>
          <w:spacing w:val="-10"/>
          <w:sz w:val="22"/>
        </w:rPr>
        <w:t> </w:t>
      </w:r>
      <w:r>
        <w:rPr>
          <w:sz w:val="22"/>
        </w:rPr>
        <w:t>desired</w:t>
      </w:r>
      <w:r>
        <w:rPr>
          <w:spacing w:val="-10"/>
          <w:sz w:val="22"/>
        </w:rPr>
        <w:t> </w:t>
      </w:r>
      <w:r>
        <w:rPr>
          <w:sz w:val="22"/>
        </w:rPr>
        <w:t>conditions</w:t>
      </w:r>
      <w:r>
        <w:rPr>
          <w:spacing w:val="-9"/>
          <w:sz w:val="22"/>
        </w:rPr>
        <w:t> </w:t>
      </w:r>
      <w:r>
        <w:rPr>
          <w:sz w:val="22"/>
        </w:rPr>
        <w:t>for</w:t>
      </w:r>
      <w:r>
        <w:rPr>
          <w:spacing w:val="-9"/>
          <w:sz w:val="22"/>
        </w:rPr>
        <w:t> </w:t>
      </w:r>
      <w:r>
        <w:rPr>
          <w:sz w:val="22"/>
        </w:rPr>
        <w:t>water</w:t>
      </w:r>
      <w:r>
        <w:rPr>
          <w:spacing w:val="-9"/>
          <w:sz w:val="22"/>
        </w:rPr>
        <w:t> </w:t>
      </w:r>
      <w:r>
        <w:rPr>
          <w:sz w:val="22"/>
        </w:rPr>
        <w:t>quality,</w:t>
      </w:r>
      <w:r>
        <w:rPr>
          <w:spacing w:val="-9"/>
          <w:sz w:val="22"/>
        </w:rPr>
        <w:t> </w:t>
      </w:r>
      <w:r>
        <w:rPr>
          <w:sz w:val="22"/>
        </w:rPr>
        <w:t>aquatic</w:t>
      </w:r>
      <w:r>
        <w:rPr>
          <w:spacing w:val="-9"/>
          <w:sz w:val="22"/>
        </w:rPr>
        <w:t> </w:t>
      </w:r>
      <w:r>
        <w:rPr>
          <w:sz w:val="22"/>
        </w:rPr>
        <w:t>habitat,</w:t>
      </w:r>
      <w:r>
        <w:rPr>
          <w:spacing w:val="-9"/>
          <w:sz w:val="22"/>
        </w:rPr>
        <w:t> </w:t>
      </w:r>
      <w:r>
        <w:rPr>
          <w:sz w:val="22"/>
        </w:rPr>
        <w:t>and/or</w:t>
      </w:r>
      <w:r>
        <w:rPr>
          <w:spacing w:val="-10"/>
          <w:sz w:val="22"/>
        </w:rPr>
        <w:t> </w:t>
      </w:r>
      <w:r>
        <w:rPr>
          <w:sz w:val="22"/>
        </w:rPr>
        <w:t>riparian</w:t>
      </w:r>
      <w:r>
        <w:rPr>
          <w:spacing w:val="-10"/>
          <w:sz w:val="22"/>
        </w:rPr>
        <w:t> </w:t>
      </w:r>
      <w:r>
        <w:rPr>
          <w:sz w:val="22"/>
        </w:rPr>
        <w:t>vegetation have not been attained and conditions are not moving towards those desired</w:t>
      </w:r>
    </w:p>
    <w:p>
      <w:pPr>
        <w:pStyle w:val="BodyText"/>
        <w:rPr>
          <w:sz w:val="17"/>
        </w:rPr>
      </w:pPr>
      <w:r>
        <w:rPr>
          <w:sz w:val="17"/>
        </w:rPr>
        <mc:AlternateContent>
          <mc:Choice Requires="wps">
            <w:drawing>
              <wp:anchor distT="0" distB="0" distL="0" distR="0" allowOverlap="1" layoutInCell="1" locked="0" behindDoc="1" simplePos="0" relativeHeight="487628800">
                <wp:simplePos x="0" y="0"/>
                <wp:positionH relativeFrom="page">
                  <wp:posOffset>1417319</wp:posOffset>
                </wp:positionH>
                <wp:positionV relativeFrom="paragraph">
                  <wp:posOffset>147347</wp:posOffset>
                </wp:positionV>
                <wp:extent cx="1828800" cy="7620"/>
                <wp:effectExtent l="0" t="0" r="0" b="0"/>
                <wp:wrapTopAndBottom/>
                <wp:docPr id="216" name="Graphic 216"/>
                <wp:cNvGraphicFramePr>
                  <a:graphicFrameLocks/>
                </wp:cNvGraphicFramePr>
                <a:graphic>
                  <a:graphicData uri="http://schemas.microsoft.com/office/word/2010/wordprocessingShape">
                    <wps:wsp>
                      <wps:cNvPr id="216" name="Graphic 216"/>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1.599998pt;margin-top:11.602168pt;width:144pt;height:.6pt;mso-position-horizontal-relative:page;mso-position-vertical-relative:paragraph;z-index:-15687680;mso-wrap-distance-left:0;mso-wrap-distance-right:0" id="docshape204" filled="true" fillcolor="#000000" stroked="false">
                <v:fill type="solid"/>
                <w10:wrap type="topAndBottom"/>
              </v:rect>
            </w:pict>
          </mc:Fallback>
        </mc:AlternateContent>
      </w:r>
    </w:p>
    <w:p>
      <w:pPr>
        <w:spacing w:before="95"/>
        <w:ind w:left="1151" w:right="801" w:firstLine="0"/>
        <w:jc w:val="left"/>
        <w:rPr>
          <w:sz w:val="18"/>
        </w:rPr>
      </w:pPr>
      <w:r>
        <w:rPr>
          <w:sz w:val="18"/>
        </w:rPr>
        <w:t>improvement, site sensitivity to grazing, grazing season, the presence of special status species (e.g., ESA-listed species, Regional Forester’s sensitive species) that are sensitive to grazing, whether or not water quality standards and</w:t>
      </w:r>
      <w:r>
        <w:rPr>
          <w:spacing w:val="-3"/>
          <w:sz w:val="18"/>
        </w:rPr>
        <w:t> </w:t>
      </w:r>
      <w:r>
        <w:rPr>
          <w:sz w:val="18"/>
        </w:rPr>
        <w:t>related</w:t>
      </w:r>
      <w:r>
        <w:rPr>
          <w:spacing w:val="-3"/>
          <w:sz w:val="18"/>
        </w:rPr>
        <w:t> </w:t>
      </w:r>
      <w:r>
        <w:rPr>
          <w:sz w:val="18"/>
        </w:rPr>
        <w:t>requirements</w:t>
      </w:r>
      <w:r>
        <w:rPr>
          <w:spacing w:val="-3"/>
          <w:sz w:val="18"/>
        </w:rPr>
        <w:t> </w:t>
      </w:r>
      <w:r>
        <w:rPr>
          <w:sz w:val="18"/>
        </w:rPr>
        <w:t>(e.g.,</w:t>
      </w:r>
      <w:r>
        <w:rPr>
          <w:spacing w:val="-2"/>
          <w:sz w:val="18"/>
        </w:rPr>
        <w:t> </w:t>
      </w:r>
      <w:r>
        <w:rPr>
          <w:sz w:val="18"/>
        </w:rPr>
        <w:t>TMDLs</w:t>
      </w:r>
      <w:r>
        <w:rPr>
          <w:spacing w:val="-3"/>
          <w:sz w:val="18"/>
        </w:rPr>
        <w:t> </w:t>
      </w:r>
      <w:r>
        <w:rPr>
          <w:sz w:val="18"/>
        </w:rPr>
        <w:t>for</w:t>
      </w:r>
      <w:r>
        <w:rPr>
          <w:spacing w:val="-3"/>
          <w:sz w:val="18"/>
        </w:rPr>
        <w:t> </w:t>
      </w:r>
      <w:r>
        <w:rPr>
          <w:sz w:val="18"/>
        </w:rPr>
        <w:t>impaired</w:t>
      </w:r>
      <w:r>
        <w:rPr>
          <w:spacing w:val="-3"/>
          <w:sz w:val="18"/>
        </w:rPr>
        <w:t> </w:t>
      </w:r>
      <w:r>
        <w:rPr>
          <w:sz w:val="18"/>
        </w:rPr>
        <w:t>waters)</w:t>
      </w:r>
      <w:r>
        <w:rPr>
          <w:spacing w:val="-2"/>
          <w:sz w:val="18"/>
        </w:rPr>
        <w:t> </w:t>
      </w:r>
      <w:r>
        <w:rPr>
          <w:sz w:val="18"/>
        </w:rPr>
        <w:t>are</w:t>
      </w:r>
      <w:r>
        <w:rPr>
          <w:spacing w:val="-3"/>
          <w:sz w:val="18"/>
        </w:rPr>
        <w:t> </w:t>
      </w:r>
      <w:r>
        <w:rPr>
          <w:sz w:val="18"/>
        </w:rPr>
        <w:t>being</w:t>
      </w:r>
      <w:r>
        <w:rPr>
          <w:spacing w:val="-3"/>
          <w:sz w:val="18"/>
        </w:rPr>
        <w:t> </w:t>
      </w:r>
      <w:r>
        <w:rPr>
          <w:sz w:val="18"/>
        </w:rPr>
        <w:t>met,</w:t>
      </w:r>
      <w:r>
        <w:rPr>
          <w:spacing w:val="-2"/>
          <w:sz w:val="18"/>
        </w:rPr>
        <w:t> </w:t>
      </w:r>
      <w:r>
        <w:rPr>
          <w:sz w:val="18"/>
        </w:rPr>
        <w:t>and</w:t>
      </w:r>
      <w:r>
        <w:rPr>
          <w:spacing w:val="-3"/>
          <w:sz w:val="18"/>
        </w:rPr>
        <w:t> </w:t>
      </w:r>
      <w:r>
        <w:rPr>
          <w:sz w:val="18"/>
        </w:rPr>
        <w:t>the</w:t>
      </w:r>
      <w:r>
        <w:rPr>
          <w:spacing w:val="-1"/>
          <w:sz w:val="18"/>
        </w:rPr>
        <w:t> </w:t>
      </w:r>
      <w:r>
        <w:rPr>
          <w:sz w:val="18"/>
        </w:rPr>
        <w:t>site’s</w:t>
      </w:r>
      <w:r>
        <w:rPr>
          <w:spacing w:val="-1"/>
          <w:sz w:val="18"/>
        </w:rPr>
        <w:t> </w:t>
      </w:r>
      <w:r>
        <w:rPr>
          <w:sz w:val="18"/>
        </w:rPr>
        <w:t>importance</w:t>
      </w:r>
      <w:r>
        <w:rPr>
          <w:spacing w:val="-3"/>
          <w:sz w:val="18"/>
        </w:rPr>
        <w:t> </w:t>
      </w:r>
      <w:r>
        <w:rPr>
          <w:sz w:val="18"/>
        </w:rPr>
        <w:t>in</w:t>
      </w:r>
      <w:r>
        <w:rPr>
          <w:spacing w:val="-3"/>
          <w:sz w:val="18"/>
        </w:rPr>
        <w:t> </w:t>
      </w:r>
      <w:r>
        <w:rPr>
          <w:sz w:val="18"/>
        </w:rPr>
        <w:t>maintaining or attaining those standards and requirements.</w:t>
      </w:r>
      <w:r>
        <w:rPr>
          <w:spacing w:val="40"/>
          <w:sz w:val="18"/>
        </w:rPr>
        <w:t> </w:t>
      </w:r>
      <w:r>
        <w:rPr>
          <w:sz w:val="18"/>
        </w:rPr>
        <w:t>Consideration of these conditions is especially important in prescribing specific stubble height values within the 4-inch to 6-inch range and streambank alteration</w:t>
      </w:r>
      <w:r>
        <w:rPr>
          <w:spacing w:val="-1"/>
          <w:sz w:val="18"/>
        </w:rPr>
        <w:t> </w:t>
      </w:r>
      <w:r>
        <w:rPr>
          <w:sz w:val="18"/>
        </w:rPr>
        <w:t>values within the 15-20% range.</w:t>
      </w:r>
    </w:p>
    <w:p>
      <w:pPr>
        <w:spacing w:before="0"/>
        <w:ind w:left="1152" w:right="1073" w:hanging="1"/>
        <w:jc w:val="left"/>
        <w:rPr>
          <w:sz w:val="18"/>
        </w:rPr>
      </w:pPr>
      <w:bookmarkStart w:name="_bookmark225" w:id="751"/>
      <w:bookmarkEnd w:id="751"/>
      <w:r>
        <w:rPr/>
      </w:r>
      <w:r>
        <w:rPr>
          <w:position w:val="5"/>
          <w:sz w:val="12"/>
        </w:rPr>
        <w:t>25</w:t>
      </w:r>
      <w:r>
        <w:rPr>
          <w:spacing w:val="10"/>
          <w:position w:val="5"/>
          <w:sz w:val="12"/>
        </w:rPr>
        <w:t> </w:t>
      </w:r>
      <w:r>
        <w:rPr>
          <w:sz w:val="18"/>
        </w:rPr>
        <w:t>Assessment</w:t>
      </w:r>
      <w:r>
        <w:rPr>
          <w:spacing w:val="-3"/>
          <w:sz w:val="18"/>
        </w:rPr>
        <w:t> </w:t>
      </w:r>
      <w:r>
        <w:rPr>
          <w:sz w:val="18"/>
        </w:rPr>
        <w:t>of</w:t>
      </w:r>
      <w:r>
        <w:rPr>
          <w:spacing w:val="-2"/>
          <w:sz w:val="18"/>
        </w:rPr>
        <w:t> </w:t>
      </w:r>
      <w:r>
        <w:rPr>
          <w:sz w:val="18"/>
        </w:rPr>
        <w:t>conditions</w:t>
      </w:r>
      <w:r>
        <w:rPr>
          <w:spacing w:val="-3"/>
          <w:sz w:val="18"/>
        </w:rPr>
        <w:t> </w:t>
      </w:r>
      <w:r>
        <w:rPr>
          <w:sz w:val="18"/>
        </w:rPr>
        <w:t>and</w:t>
      </w:r>
      <w:r>
        <w:rPr>
          <w:spacing w:val="-3"/>
          <w:sz w:val="18"/>
        </w:rPr>
        <w:t> </w:t>
      </w:r>
      <w:r>
        <w:rPr>
          <w:sz w:val="18"/>
        </w:rPr>
        <w:t>trends</w:t>
      </w:r>
      <w:r>
        <w:rPr>
          <w:spacing w:val="-1"/>
          <w:sz w:val="18"/>
        </w:rPr>
        <w:t> </w:t>
      </w:r>
      <w:r>
        <w:rPr>
          <w:sz w:val="18"/>
        </w:rPr>
        <w:t>should</w:t>
      </w:r>
      <w:r>
        <w:rPr>
          <w:spacing w:val="-3"/>
          <w:sz w:val="18"/>
        </w:rPr>
        <w:t> </w:t>
      </w:r>
      <w:r>
        <w:rPr>
          <w:sz w:val="18"/>
        </w:rPr>
        <w:t>be</w:t>
      </w:r>
      <w:r>
        <w:rPr>
          <w:spacing w:val="-1"/>
          <w:sz w:val="18"/>
        </w:rPr>
        <w:t> </w:t>
      </w:r>
      <w:r>
        <w:rPr>
          <w:sz w:val="18"/>
        </w:rPr>
        <w:t>based</w:t>
      </w:r>
      <w:r>
        <w:rPr>
          <w:spacing w:val="-3"/>
          <w:sz w:val="18"/>
        </w:rPr>
        <w:t> </w:t>
      </w:r>
      <w:r>
        <w:rPr>
          <w:sz w:val="18"/>
        </w:rPr>
        <w:t>on</w:t>
      </w:r>
      <w:r>
        <w:rPr>
          <w:spacing w:val="-3"/>
          <w:sz w:val="18"/>
        </w:rPr>
        <w:t> </w:t>
      </w:r>
      <w:r>
        <w:rPr>
          <w:sz w:val="18"/>
        </w:rPr>
        <w:t>best</w:t>
      </w:r>
      <w:r>
        <w:rPr>
          <w:spacing w:val="-3"/>
          <w:sz w:val="18"/>
        </w:rPr>
        <w:t> </w:t>
      </w:r>
      <w:r>
        <w:rPr>
          <w:sz w:val="18"/>
        </w:rPr>
        <w:t>available</w:t>
      </w:r>
      <w:r>
        <w:rPr>
          <w:spacing w:val="-3"/>
          <w:sz w:val="18"/>
        </w:rPr>
        <w:t> </w:t>
      </w:r>
      <w:r>
        <w:rPr>
          <w:sz w:val="18"/>
        </w:rPr>
        <w:t>information</w:t>
      </w:r>
      <w:r>
        <w:rPr>
          <w:spacing w:val="-3"/>
          <w:sz w:val="18"/>
        </w:rPr>
        <w:t> </w:t>
      </w:r>
      <w:r>
        <w:rPr>
          <w:sz w:val="18"/>
        </w:rPr>
        <w:t>at</w:t>
      </w:r>
      <w:r>
        <w:rPr>
          <w:spacing w:val="-3"/>
          <w:sz w:val="18"/>
        </w:rPr>
        <w:t> </w:t>
      </w:r>
      <w:r>
        <w:rPr>
          <w:sz w:val="18"/>
        </w:rPr>
        <w:t>a</w:t>
      </w:r>
      <w:r>
        <w:rPr>
          <w:spacing w:val="-2"/>
          <w:sz w:val="18"/>
        </w:rPr>
        <w:t> </w:t>
      </w:r>
      <w:r>
        <w:rPr>
          <w:sz w:val="18"/>
        </w:rPr>
        <w:t>variety</w:t>
      </w:r>
      <w:r>
        <w:rPr>
          <w:spacing w:val="-2"/>
          <w:sz w:val="18"/>
        </w:rPr>
        <w:t> </w:t>
      </w:r>
      <w:r>
        <w:rPr>
          <w:sz w:val="18"/>
        </w:rPr>
        <w:t>of</w:t>
      </w:r>
      <w:r>
        <w:rPr>
          <w:spacing w:val="-2"/>
          <w:sz w:val="18"/>
        </w:rPr>
        <w:t> </w:t>
      </w:r>
      <w:r>
        <w:rPr>
          <w:sz w:val="18"/>
        </w:rPr>
        <w:t>spatial</w:t>
      </w:r>
      <w:r>
        <w:rPr>
          <w:spacing w:val="-3"/>
          <w:sz w:val="18"/>
        </w:rPr>
        <w:t> </w:t>
      </w:r>
      <w:r>
        <w:rPr>
          <w:sz w:val="18"/>
        </w:rPr>
        <w:t>and temporal scales.</w:t>
      </w:r>
      <w:r>
        <w:rPr>
          <w:spacing w:val="40"/>
          <w:sz w:val="18"/>
        </w:rPr>
        <w:t> </w:t>
      </w:r>
      <w:r>
        <w:rPr>
          <w:sz w:val="18"/>
        </w:rPr>
        <w:t>Site-specific information is particularly important.</w:t>
      </w:r>
    </w:p>
    <w:p>
      <w:pPr>
        <w:spacing w:before="0"/>
        <w:ind w:left="1152" w:right="1073" w:hanging="1"/>
        <w:jc w:val="left"/>
        <w:rPr>
          <w:sz w:val="18"/>
        </w:rPr>
      </w:pPr>
      <w:bookmarkStart w:name="_bookmark226" w:id="752"/>
      <w:bookmarkEnd w:id="752"/>
      <w:r>
        <w:rPr/>
      </w:r>
      <w:r>
        <w:rPr>
          <w:position w:val="5"/>
          <w:sz w:val="12"/>
        </w:rPr>
        <w:t>26</w:t>
      </w:r>
      <w:r>
        <w:rPr>
          <w:spacing w:val="9"/>
          <w:position w:val="5"/>
          <w:sz w:val="12"/>
        </w:rPr>
        <w:t> </w:t>
      </w:r>
      <w:r>
        <w:rPr>
          <w:sz w:val="18"/>
        </w:rPr>
        <w:t>Late</w:t>
      </w:r>
      <w:r>
        <w:rPr>
          <w:spacing w:val="-4"/>
          <w:sz w:val="18"/>
        </w:rPr>
        <w:t> </w:t>
      </w:r>
      <w:r>
        <w:rPr>
          <w:sz w:val="18"/>
        </w:rPr>
        <w:t>seral</w:t>
      </w:r>
      <w:r>
        <w:rPr>
          <w:spacing w:val="-4"/>
          <w:sz w:val="18"/>
        </w:rPr>
        <w:t> </w:t>
      </w:r>
      <w:r>
        <w:rPr>
          <w:sz w:val="18"/>
        </w:rPr>
        <w:t>conditions</w:t>
      </w:r>
      <w:r>
        <w:rPr>
          <w:spacing w:val="-4"/>
          <w:sz w:val="18"/>
        </w:rPr>
        <w:t> </w:t>
      </w:r>
      <w:r>
        <w:rPr>
          <w:sz w:val="18"/>
        </w:rPr>
        <w:t>means</w:t>
      </w:r>
      <w:r>
        <w:rPr>
          <w:spacing w:val="-4"/>
          <w:sz w:val="18"/>
        </w:rPr>
        <w:t> </w:t>
      </w:r>
      <w:r>
        <w:rPr>
          <w:sz w:val="18"/>
        </w:rPr>
        <w:t>the</w:t>
      </w:r>
      <w:r>
        <w:rPr>
          <w:spacing w:val="-2"/>
          <w:sz w:val="18"/>
        </w:rPr>
        <w:t> </w:t>
      </w:r>
      <w:r>
        <w:rPr>
          <w:sz w:val="18"/>
        </w:rPr>
        <w:t>existing</w:t>
      </w:r>
      <w:r>
        <w:rPr>
          <w:spacing w:val="-2"/>
          <w:sz w:val="18"/>
        </w:rPr>
        <w:t> </w:t>
      </w:r>
      <w:r>
        <w:rPr>
          <w:sz w:val="18"/>
        </w:rPr>
        <w:t>riparian</w:t>
      </w:r>
      <w:r>
        <w:rPr>
          <w:spacing w:val="-4"/>
          <w:sz w:val="18"/>
        </w:rPr>
        <w:t> </w:t>
      </w:r>
      <w:r>
        <w:rPr>
          <w:sz w:val="18"/>
        </w:rPr>
        <w:t>vegetation</w:t>
      </w:r>
      <w:r>
        <w:rPr>
          <w:spacing w:val="-4"/>
          <w:sz w:val="18"/>
        </w:rPr>
        <w:t> </w:t>
      </w:r>
      <w:r>
        <w:rPr>
          <w:sz w:val="18"/>
        </w:rPr>
        <w:t>community</w:t>
      </w:r>
      <w:r>
        <w:rPr>
          <w:spacing w:val="-3"/>
          <w:sz w:val="18"/>
        </w:rPr>
        <w:t> </w:t>
      </w:r>
      <w:r>
        <w:rPr>
          <w:sz w:val="18"/>
        </w:rPr>
        <w:t>is</w:t>
      </w:r>
      <w:r>
        <w:rPr>
          <w:spacing w:val="-4"/>
          <w:sz w:val="18"/>
        </w:rPr>
        <w:t> </w:t>
      </w:r>
      <w:r>
        <w:rPr>
          <w:sz w:val="18"/>
        </w:rPr>
        <w:t>similar</w:t>
      </w:r>
      <w:r>
        <w:rPr>
          <w:spacing w:val="-1"/>
          <w:sz w:val="18"/>
        </w:rPr>
        <w:t> </w:t>
      </w:r>
      <w:r>
        <w:rPr>
          <w:sz w:val="18"/>
        </w:rPr>
        <w:t>to</w:t>
      </w:r>
      <w:r>
        <w:rPr>
          <w:spacing w:val="-2"/>
          <w:sz w:val="18"/>
        </w:rPr>
        <w:t> </w:t>
      </w:r>
      <w:r>
        <w:rPr>
          <w:sz w:val="18"/>
        </w:rPr>
        <w:t>the</w:t>
      </w:r>
      <w:r>
        <w:rPr>
          <w:spacing w:val="-4"/>
          <w:sz w:val="18"/>
        </w:rPr>
        <w:t> </w:t>
      </w:r>
      <w:r>
        <w:rPr>
          <w:sz w:val="18"/>
        </w:rPr>
        <w:t>potential</w:t>
      </w:r>
      <w:r>
        <w:rPr>
          <w:spacing w:val="-1"/>
          <w:sz w:val="18"/>
        </w:rPr>
        <w:t> </w:t>
      </w:r>
      <w:r>
        <w:rPr>
          <w:sz w:val="18"/>
        </w:rPr>
        <w:t>natural community composition (per Winward 2000).</w:t>
      </w:r>
    </w:p>
    <w:p>
      <w:pPr>
        <w:spacing w:before="1"/>
        <w:ind w:left="1152" w:right="1169" w:hanging="1"/>
        <w:jc w:val="both"/>
        <w:rPr>
          <w:sz w:val="18"/>
        </w:rPr>
      </w:pPr>
      <w:bookmarkStart w:name="_bookmark227" w:id="753"/>
      <w:bookmarkEnd w:id="753"/>
      <w:r>
        <w:rPr/>
      </w:r>
      <w:r>
        <w:rPr>
          <w:position w:val="5"/>
          <w:sz w:val="12"/>
        </w:rPr>
        <w:t>27</w:t>
      </w:r>
      <w:r>
        <w:rPr>
          <w:spacing w:val="-4"/>
          <w:position w:val="5"/>
          <w:sz w:val="12"/>
        </w:rPr>
        <w:t> </w:t>
      </w:r>
      <w:r>
        <w:rPr>
          <w:sz w:val="18"/>
        </w:rPr>
        <w:t>Per</w:t>
      </w:r>
      <w:r>
        <w:rPr>
          <w:spacing w:val="-3"/>
          <w:sz w:val="18"/>
        </w:rPr>
        <w:t> </w:t>
      </w:r>
      <w:r>
        <w:rPr>
          <w:sz w:val="18"/>
        </w:rPr>
        <w:t>Pacfish/Infish</w:t>
      </w:r>
      <w:r>
        <w:rPr>
          <w:spacing w:val="-3"/>
          <w:sz w:val="18"/>
        </w:rPr>
        <w:t> </w:t>
      </w:r>
      <w:r>
        <w:rPr>
          <w:sz w:val="18"/>
        </w:rPr>
        <w:t>Monitoring,</w:t>
      </w:r>
      <w:r>
        <w:rPr>
          <w:spacing w:val="-2"/>
          <w:sz w:val="18"/>
        </w:rPr>
        <w:t> </w:t>
      </w:r>
      <w:r>
        <w:rPr>
          <w:sz w:val="18"/>
        </w:rPr>
        <w:t>Multiple</w:t>
      </w:r>
      <w:r>
        <w:rPr>
          <w:spacing w:val="-3"/>
          <w:sz w:val="18"/>
        </w:rPr>
        <w:t> </w:t>
      </w:r>
      <w:r>
        <w:rPr>
          <w:sz w:val="18"/>
        </w:rPr>
        <w:t>Indicator</w:t>
      </w:r>
      <w:r>
        <w:rPr>
          <w:spacing w:val="-3"/>
          <w:sz w:val="18"/>
        </w:rPr>
        <w:t> </w:t>
      </w:r>
      <w:r>
        <w:rPr>
          <w:sz w:val="18"/>
        </w:rPr>
        <w:t>Monitoring</w:t>
      </w:r>
      <w:r>
        <w:rPr>
          <w:spacing w:val="-3"/>
          <w:sz w:val="18"/>
        </w:rPr>
        <w:t> </w:t>
      </w:r>
      <w:r>
        <w:rPr>
          <w:sz w:val="18"/>
        </w:rPr>
        <w:t>(BLM</w:t>
      </w:r>
      <w:r>
        <w:rPr>
          <w:spacing w:val="-3"/>
          <w:sz w:val="18"/>
        </w:rPr>
        <w:t> </w:t>
      </w:r>
      <w:r>
        <w:rPr>
          <w:sz w:val="18"/>
        </w:rPr>
        <w:t>Technical</w:t>
      </w:r>
      <w:r>
        <w:rPr>
          <w:spacing w:val="-3"/>
          <w:sz w:val="18"/>
        </w:rPr>
        <w:t> </w:t>
      </w:r>
      <w:r>
        <w:rPr>
          <w:sz w:val="18"/>
        </w:rPr>
        <w:t>Reference</w:t>
      </w:r>
      <w:r>
        <w:rPr>
          <w:spacing w:val="-3"/>
          <w:sz w:val="18"/>
        </w:rPr>
        <w:t> </w:t>
      </w:r>
      <w:r>
        <w:rPr>
          <w:sz w:val="18"/>
        </w:rPr>
        <w:t>1737-23)</w:t>
      </w:r>
      <w:r>
        <w:rPr>
          <w:spacing w:val="-2"/>
          <w:sz w:val="18"/>
        </w:rPr>
        <w:t> </w:t>
      </w:r>
      <w:r>
        <w:rPr>
          <w:sz w:val="18"/>
        </w:rPr>
        <w:t>protocols</w:t>
      </w:r>
      <w:r>
        <w:rPr>
          <w:spacing w:val="-3"/>
          <w:sz w:val="18"/>
        </w:rPr>
        <w:t> </w:t>
      </w:r>
      <w:r>
        <w:rPr>
          <w:sz w:val="18"/>
        </w:rPr>
        <w:t>or comparable</w:t>
      </w:r>
      <w:r>
        <w:rPr>
          <w:spacing w:val="-2"/>
          <w:sz w:val="18"/>
        </w:rPr>
        <w:t> </w:t>
      </w:r>
      <w:r>
        <w:rPr>
          <w:sz w:val="18"/>
        </w:rPr>
        <w:t>methods</w:t>
      </w:r>
      <w:r>
        <w:rPr>
          <w:spacing w:val="-2"/>
          <w:sz w:val="18"/>
        </w:rPr>
        <w:t> </w:t>
      </w:r>
      <w:r>
        <w:rPr>
          <w:sz w:val="18"/>
        </w:rPr>
        <w:t>for</w:t>
      </w:r>
      <w:r>
        <w:rPr>
          <w:spacing w:val="-2"/>
          <w:sz w:val="18"/>
        </w:rPr>
        <w:t> </w:t>
      </w:r>
      <w:r>
        <w:rPr>
          <w:sz w:val="18"/>
        </w:rPr>
        <w:t>stubble height,</w:t>
      </w:r>
      <w:r>
        <w:rPr>
          <w:spacing w:val="-1"/>
          <w:sz w:val="18"/>
        </w:rPr>
        <w:t> </w:t>
      </w:r>
      <w:r>
        <w:rPr>
          <w:sz w:val="18"/>
        </w:rPr>
        <w:t>streambank</w:t>
      </w:r>
      <w:r>
        <w:rPr>
          <w:spacing w:val="-2"/>
          <w:sz w:val="18"/>
        </w:rPr>
        <w:t> </w:t>
      </w:r>
      <w:r>
        <w:rPr>
          <w:sz w:val="18"/>
        </w:rPr>
        <w:t>alteration,</w:t>
      </w:r>
      <w:r>
        <w:rPr>
          <w:spacing w:val="-1"/>
          <w:sz w:val="18"/>
        </w:rPr>
        <w:t> </w:t>
      </w:r>
      <w:r>
        <w:rPr>
          <w:sz w:val="18"/>
        </w:rPr>
        <w:t>and</w:t>
      </w:r>
      <w:r>
        <w:rPr>
          <w:spacing w:val="-2"/>
          <w:sz w:val="18"/>
        </w:rPr>
        <w:t> </w:t>
      </w:r>
      <w:r>
        <w:rPr>
          <w:sz w:val="18"/>
        </w:rPr>
        <w:t>use</w:t>
      </w:r>
      <w:r>
        <w:rPr>
          <w:spacing w:val="-2"/>
          <w:sz w:val="18"/>
        </w:rPr>
        <w:t> </w:t>
      </w:r>
      <w:r>
        <w:rPr>
          <w:sz w:val="18"/>
        </w:rPr>
        <w:t>of</w:t>
      </w:r>
      <w:r>
        <w:rPr>
          <w:spacing w:val="-1"/>
          <w:sz w:val="18"/>
        </w:rPr>
        <w:t> </w:t>
      </w:r>
      <w:r>
        <w:rPr>
          <w:sz w:val="18"/>
        </w:rPr>
        <w:t>woody</w:t>
      </w:r>
      <w:r>
        <w:rPr>
          <w:spacing w:val="-1"/>
          <w:sz w:val="18"/>
        </w:rPr>
        <w:t> </w:t>
      </w:r>
      <w:r>
        <w:rPr>
          <w:sz w:val="18"/>
        </w:rPr>
        <w:t>species.</w:t>
      </w:r>
      <w:r>
        <w:rPr>
          <w:spacing w:val="39"/>
          <w:sz w:val="18"/>
        </w:rPr>
        <w:t> </w:t>
      </w:r>
      <w:r>
        <w:rPr>
          <w:sz w:val="18"/>
        </w:rPr>
        <w:t>Per</w:t>
      </w:r>
      <w:r>
        <w:rPr>
          <w:spacing w:val="-2"/>
          <w:sz w:val="18"/>
        </w:rPr>
        <w:t> </w:t>
      </w:r>
      <w:r>
        <w:rPr>
          <w:sz w:val="18"/>
        </w:rPr>
        <w:t>Bureau</w:t>
      </w:r>
      <w:r>
        <w:rPr>
          <w:spacing w:val="-2"/>
          <w:sz w:val="18"/>
        </w:rPr>
        <w:t> </w:t>
      </w:r>
      <w:r>
        <w:rPr>
          <w:sz w:val="18"/>
        </w:rPr>
        <w:t>of</w:t>
      </w:r>
      <w:r>
        <w:rPr>
          <w:spacing w:val="-1"/>
          <w:sz w:val="18"/>
        </w:rPr>
        <w:t> </w:t>
      </w:r>
      <w:r>
        <w:rPr>
          <w:sz w:val="18"/>
        </w:rPr>
        <w:t>Land Management protocols (BLM/RS/ST-96/004+1730) or comparable methods for herbaceous utilization.</w:t>
      </w:r>
    </w:p>
    <w:p>
      <w:pPr>
        <w:spacing w:before="0"/>
        <w:ind w:left="1152" w:right="801" w:hanging="1"/>
        <w:jc w:val="left"/>
        <w:rPr>
          <w:sz w:val="18"/>
        </w:rPr>
      </w:pPr>
      <w:bookmarkStart w:name="_bookmark228" w:id="754"/>
      <w:bookmarkEnd w:id="754"/>
      <w:r>
        <w:rPr/>
      </w:r>
      <w:r>
        <w:rPr>
          <w:position w:val="5"/>
          <w:sz w:val="12"/>
        </w:rPr>
        <w:t>28</w:t>
      </w:r>
      <w:r>
        <w:rPr>
          <w:spacing w:val="17"/>
          <w:position w:val="5"/>
          <w:sz w:val="12"/>
        </w:rPr>
        <w:t> </w:t>
      </w:r>
      <w:r>
        <w:rPr>
          <w:sz w:val="18"/>
        </w:rPr>
        <w:t>Stubble height criteria apply at the end of the grazing period, when that period ends after the growing season. When</w:t>
      </w:r>
      <w:r>
        <w:rPr>
          <w:spacing w:val="-3"/>
          <w:sz w:val="18"/>
        </w:rPr>
        <w:t> </w:t>
      </w:r>
      <w:r>
        <w:rPr>
          <w:sz w:val="18"/>
        </w:rPr>
        <w:t>the</w:t>
      </w:r>
      <w:r>
        <w:rPr>
          <w:spacing w:val="-3"/>
          <w:sz w:val="18"/>
        </w:rPr>
        <w:t> </w:t>
      </w:r>
      <w:r>
        <w:rPr>
          <w:sz w:val="18"/>
        </w:rPr>
        <w:t>grazing</w:t>
      </w:r>
      <w:r>
        <w:rPr>
          <w:spacing w:val="-3"/>
          <w:sz w:val="18"/>
        </w:rPr>
        <w:t> </w:t>
      </w:r>
      <w:r>
        <w:rPr>
          <w:sz w:val="18"/>
        </w:rPr>
        <w:t>period</w:t>
      </w:r>
      <w:r>
        <w:rPr>
          <w:spacing w:val="-3"/>
          <w:sz w:val="18"/>
        </w:rPr>
        <w:t> </w:t>
      </w:r>
      <w:r>
        <w:rPr>
          <w:sz w:val="18"/>
        </w:rPr>
        <w:t>ends</w:t>
      </w:r>
      <w:r>
        <w:rPr>
          <w:spacing w:val="-3"/>
          <w:sz w:val="18"/>
        </w:rPr>
        <w:t> </w:t>
      </w:r>
      <w:r>
        <w:rPr>
          <w:sz w:val="18"/>
        </w:rPr>
        <w:t>before</w:t>
      </w:r>
      <w:r>
        <w:rPr>
          <w:spacing w:val="-3"/>
          <w:sz w:val="18"/>
        </w:rPr>
        <w:t> </w:t>
      </w:r>
      <w:r>
        <w:rPr>
          <w:sz w:val="18"/>
        </w:rPr>
        <w:t>the</w:t>
      </w:r>
      <w:r>
        <w:rPr>
          <w:spacing w:val="-3"/>
          <w:sz w:val="18"/>
        </w:rPr>
        <w:t> </w:t>
      </w:r>
      <w:r>
        <w:rPr>
          <w:sz w:val="18"/>
        </w:rPr>
        <w:t>growing</w:t>
      </w:r>
      <w:r>
        <w:rPr>
          <w:spacing w:val="-1"/>
          <w:sz w:val="18"/>
        </w:rPr>
        <w:t> </w:t>
      </w:r>
      <w:r>
        <w:rPr>
          <w:sz w:val="18"/>
        </w:rPr>
        <w:t>season</w:t>
      </w:r>
      <w:r>
        <w:rPr>
          <w:spacing w:val="-3"/>
          <w:sz w:val="18"/>
        </w:rPr>
        <w:t> </w:t>
      </w:r>
      <w:r>
        <w:rPr>
          <w:sz w:val="18"/>
        </w:rPr>
        <w:t>does,</w:t>
      </w:r>
      <w:r>
        <w:rPr>
          <w:spacing w:val="-2"/>
          <w:sz w:val="18"/>
        </w:rPr>
        <w:t> </w:t>
      </w:r>
      <w:r>
        <w:rPr>
          <w:sz w:val="18"/>
        </w:rPr>
        <w:t>stubble</w:t>
      </w:r>
      <w:r>
        <w:rPr>
          <w:spacing w:val="-3"/>
          <w:sz w:val="18"/>
        </w:rPr>
        <w:t> </w:t>
      </w:r>
      <w:r>
        <w:rPr>
          <w:sz w:val="18"/>
        </w:rPr>
        <w:t>height</w:t>
      </w:r>
      <w:r>
        <w:rPr>
          <w:spacing w:val="-3"/>
          <w:sz w:val="18"/>
        </w:rPr>
        <w:t> </w:t>
      </w:r>
      <w:r>
        <w:rPr>
          <w:sz w:val="18"/>
        </w:rPr>
        <w:t>criteria</w:t>
      </w:r>
      <w:r>
        <w:rPr>
          <w:spacing w:val="-2"/>
          <w:sz w:val="18"/>
        </w:rPr>
        <w:t> </w:t>
      </w:r>
      <w:r>
        <w:rPr>
          <w:sz w:val="18"/>
        </w:rPr>
        <w:t>can</w:t>
      </w:r>
      <w:r>
        <w:rPr>
          <w:spacing w:val="-1"/>
          <w:sz w:val="18"/>
        </w:rPr>
        <w:t> </w:t>
      </w:r>
      <w:r>
        <w:rPr>
          <w:sz w:val="18"/>
        </w:rPr>
        <w:t>be</w:t>
      </w:r>
      <w:r>
        <w:rPr>
          <w:spacing w:val="-3"/>
          <w:sz w:val="18"/>
        </w:rPr>
        <w:t> </w:t>
      </w:r>
      <w:r>
        <w:rPr>
          <w:sz w:val="18"/>
        </w:rPr>
        <w:t>applied</w:t>
      </w:r>
      <w:r>
        <w:rPr>
          <w:spacing w:val="-3"/>
          <w:sz w:val="18"/>
        </w:rPr>
        <w:t> </w:t>
      </w:r>
      <w:r>
        <w:rPr>
          <w:sz w:val="18"/>
        </w:rPr>
        <w:t>at</w:t>
      </w:r>
      <w:r>
        <w:rPr>
          <w:spacing w:val="-3"/>
          <w:sz w:val="18"/>
        </w:rPr>
        <w:t> </w:t>
      </w:r>
      <w:r>
        <w:rPr>
          <w:sz w:val="18"/>
        </w:rPr>
        <w:t>the</w:t>
      </w:r>
      <w:r>
        <w:rPr>
          <w:spacing w:val="-3"/>
          <w:sz w:val="18"/>
        </w:rPr>
        <w:t> </w:t>
      </w:r>
      <w:r>
        <w:rPr>
          <w:sz w:val="18"/>
        </w:rPr>
        <w:t>end</w:t>
      </w:r>
      <w:r>
        <w:rPr>
          <w:spacing w:val="-3"/>
          <w:sz w:val="18"/>
        </w:rPr>
        <w:t> </w:t>
      </w:r>
      <w:r>
        <w:rPr>
          <w:sz w:val="18"/>
        </w:rPr>
        <w:t>of the grazing period or the end of the growing season.</w:t>
      </w:r>
    </w:p>
    <w:p>
      <w:pPr>
        <w:spacing w:before="0"/>
        <w:ind w:left="1152" w:right="801" w:hanging="1"/>
        <w:jc w:val="left"/>
        <w:rPr>
          <w:sz w:val="18"/>
        </w:rPr>
      </w:pPr>
      <w:bookmarkStart w:name="_bookmark229" w:id="755"/>
      <w:bookmarkEnd w:id="755"/>
      <w:r>
        <w:rPr/>
      </w:r>
      <w:r>
        <w:rPr>
          <w:position w:val="5"/>
          <w:sz w:val="12"/>
        </w:rPr>
        <w:t>29</w:t>
      </w:r>
      <w:r>
        <w:rPr>
          <w:spacing w:val="10"/>
          <w:position w:val="5"/>
          <w:sz w:val="12"/>
        </w:rPr>
        <w:t> </w:t>
      </w:r>
      <w:r>
        <w:rPr>
          <w:sz w:val="18"/>
        </w:rPr>
        <w:t>Active</w:t>
      </w:r>
      <w:r>
        <w:rPr>
          <w:spacing w:val="-3"/>
          <w:sz w:val="18"/>
        </w:rPr>
        <w:t> </w:t>
      </w:r>
      <w:r>
        <w:rPr>
          <w:sz w:val="18"/>
        </w:rPr>
        <w:t>floodplain</w:t>
      </w:r>
      <w:r>
        <w:rPr>
          <w:spacing w:val="-1"/>
          <w:sz w:val="18"/>
        </w:rPr>
        <w:t> </w:t>
      </w:r>
      <w:r>
        <w:rPr>
          <w:sz w:val="18"/>
        </w:rPr>
        <w:t>is</w:t>
      </w:r>
      <w:r>
        <w:rPr>
          <w:spacing w:val="-3"/>
          <w:sz w:val="18"/>
        </w:rPr>
        <w:t> </w:t>
      </w:r>
      <w:r>
        <w:rPr>
          <w:sz w:val="18"/>
        </w:rPr>
        <w:t>defined</w:t>
      </w:r>
      <w:r>
        <w:rPr>
          <w:spacing w:val="-3"/>
          <w:sz w:val="18"/>
        </w:rPr>
        <w:t> </w:t>
      </w:r>
      <w:r>
        <w:rPr>
          <w:sz w:val="18"/>
        </w:rPr>
        <w:t>as</w:t>
      </w:r>
      <w:r>
        <w:rPr>
          <w:spacing w:val="-3"/>
          <w:sz w:val="18"/>
        </w:rPr>
        <w:t> </w:t>
      </w:r>
      <w:r>
        <w:rPr>
          <w:sz w:val="18"/>
        </w:rPr>
        <w:t>the</w:t>
      </w:r>
      <w:r>
        <w:rPr>
          <w:spacing w:val="-3"/>
          <w:sz w:val="18"/>
        </w:rPr>
        <w:t> </w:t>
      </w:r>
      <w:r>
        <w:rPr>
          <w:sz w:val="18"/>
        </w:rPr>
        <w:t>area</w:t>
      </w:r>
      <w:r>
        <w:rPr>
          <w:spacing w:val="-2"/>
          <w:sz w:val="18"/>
        </w:rPr>
        <w:t> </w:t>
      </w:r>
      <w:r>
        <w:rPr>
          <w:sz w:val="18"/>
        </w:rPr>
        <w:t>bordering</w:t>
      </w:r>
      <w:r>
        <w:rPr>
          <w:spacing w:val="-3"/>
          <w:sz w:val="18"/>
        </w:rPr>
        <w:t> </w:t>
      </w:r>
      <w:r>
        <w:rPr>
          <w:sz w:val="18"/>
        </w:rPr>
        <w:t>a stream</w:t>
      </w:r>
      <w:r>
        <w:rPr>
          <w:spacing w:val="-2"/>
          <w:sz w:val="18"/>
        </w:rPr>
        <w:t> </w:t>
      </w:r>
      <w:r>
        <w:rPr>
          <w:sz w:val="18"/>
        </w:rPr>
        <w:t>inundated</w:t>
      </w:r>
      <w:r>
        <w:rPr>
          <w:spacing w:val="-3"/>
          <w:sz w:val="18"/>
        </w:rPr>
        <w:t> </w:t>
      </w:r>
      <w:r>
        <w:rPr>
          <w:sz w:val="18"/>
        </w:rPr>
        <w:t>by</w:t>
      </w:r>
      <w:r>
        <w:rPr>
          <w:spacing w:val="-2"/>
          <w:sz w:val="18"/>
        </w:rPr>
        <w:t> </w:t>
      </w:r>
      <w:r>
        <w:rPr>
          <w:sz w:val="18"/>
        </w:rPr>
        <w:t>flows</w:t>
      </w:r>
      <w:r>
        <w:rPr>
          <w:spacing w:val="-3"/>
          <w:sz w:val="18"/>
        </w:rPr>
        <w:t> </w:t>
      </w:r>
      <w:r>
        <w:rPr>
          <w:sz w:val="18"/>
        </w:rPr>
        <w:t>at</w:t>
      </w:r>
      <w:r>
        <w:rPr>
          <w:spacing w:val="-3"/>
          <w:sz w:val="18"/>
        </w:rPr>
        <w:t> </w:t>
      </w:r>
      <w:r>
        <w:rPr>
          <w:sz w:val="18"/>
        </w:rPr>
        <w:t>a</w:t>
      </w:r>
      <w:r>
        <w:rPr>
          <w:spacing w:val="-2"/>
          <w:sz w:val="18"/>
        </w:rPr>
        <w:t> </w:t>
      </w:r>
      <w:r>
        <w:rPr>
          <w:sz w:val="18"/>
        </w:rPr>
        <w:t>surface</w:t>
      </w:r>
      <w:r>
        <w:rPr>
          <w:spacing w:val="-1"/>
          <w:sz w:val="18"/>
        </w:rPr>
        <w:t> </w:t>
      </w:r>
      <w:r>
        <w:rPr>
          <w:sz w:val="18"/>
        </w:rPr>
        <w:t>elevation</w:t>
      </w:r>
      <w:r>
        <w:rPr>
          <w:spacing w:val="-3"/>
          <w:sz w:val="18"/>
        </w:rPr>
        <w:t> </w:t>
      </w:r>
      <w:r>
        <w:rPr>
          <w:sz w:val="18"/>
        </w:rPr>
        <w:t>that</w:t>
      </w:r>
      <w:r>
        <w:rPr>
          <w:spacing w:val="-3"/>
          <w:sz w:val="18"/>
        </w:rPr>
        <w:t> </w:t>
      </w:r>
      <w:r>
        <w:rPr>
          <w:sz w:val="18"/>
        </w:rPr>
        <w:t>is</w:t>
      </w:r>
      <w:r>
        <w:rPr>
          <w:spacing w:val="-1"/>
          <w:sz w:val="18"/>
        </w:rPr>
        <w:t> </w:t>
      </w:r>
      <w:r>
        <w:rPr>
          <w:sz w:val="18"/>
        </w:rPr>
        <w:t>two times the maximum bankfull depth (measured at the thalweg).</w:t>
      </w:r>
    </w:p>
    <w:p>
      <w:pPr>
        <w:spacing w:line="219" w:lineRule="exact" w:before="0"/>
        <w:ind w:left="1151" w:right="0" w:firstLine="0"/>
        <w:jc w:val="left"/>
        <w:rPr>
          <w:sz w:val="18"/>
        </w:rPr>
      </w:pPr>
      <w:bookmarkStart w:name="_bookmark230" w:id="756"/>
      <w:bookmarkEnd w:id="756"/>
      <w:r>
        <w:rPr/>
      </w:r>
      <w:r>
        <w:rPr>
          <w:position w:val="5"/>
          <w:sz w:val="12"/>
        </w:rPr>
        <w:t>30</w:t>
      </w:r>
      <w:r>
        <w:rPr>
          <w:spacing w:val="10"/>
          <w:position w:val="5"/>
          <w:sz w:val="12"/>
        </w:rPr>
        <w:t> </w:t>
      </w:r>
      <w:r>
        <w:rPr>
          <w:sz w:val="18"/>
        </w:rPr>
        <w:t>Streambank</w:t>
      </w:r>
      <w:r>
        <w:rPr>
          <w:spacing w:val="-3"/>
          <w:sz w:val="18"/>
        </w:rPr>
        <w:t> </w:t>
      </w:r>
      <w:r>
        <w:rPr>
          <w:sz w:val="18"/>
        </w:rPr>
        <w:t>alteration</w:t>
      </w:r>
      <w:r>
        <w:rPr>
          <w:spacing w:val="-2"/>
          <w:sz w:val="18"/>
        </w:rPr>
        <w:t> </w:t>
      </w:r>
      <w:r>
        <w:rPr>
          <w:sz w:val="18"/>
        </w:rPr>
        <w:t>criteria</w:t>
      </w:r>
      <w:r>
        <w:rPr>
          <w:spacing w:val="-2"/>
          <w:sz w:val="18"/>
        </w:rPr>
        <w:t> </w:t>
      </w:r>
      <w:r>
        <w:rPr>
          <w:sz w:val="18"/>
        </w:rPr>
        <w:t>apply</w:t>
      </w:r>
      <w:r>
        <w:rPr>
          <w:spacing w:val="-2"/>
          <w:sz w:val="18"/>
        </w:rPr>
        <w:t> </w:t>
      </w:r>
      <w:r>
        <w:rPr>
          <w:sz w:val="18"/>
        </w:rPr>
        <w:t>within</w:t>
      </w:r>
      <w:r>
        <w:rPr>
          <w:spacing w:val="-2"/>
          <w:sz w:val="18"/>
        </w:rPr>
        <w:t> </w:t>
      </w:r>
      <w:r>
        <w:rPr>
          <w:sz w:val="18"/>
        </w:rPr>
        <w:t>1-2</w:t>
      </w:r>
      <w:r>
        <w:rPr>
          <w:spacing w:val="-2"/>
          <w:sz w:val="18"/>
        </w:rPr>
        <w:t> </w:t>
      </w:r>
      <w:r>
        <w:rPr>
          <w:sz w:val="18"/>
        </w:rPr>
        <w:t>weeks</w:t>
      </w:r>
      <w:r>
        <w:rPr>
          <w:spacing w:val="-3"/>
          <w:sz w:val="18"/>
        </w:rPr>
        <w:t> </w:t>
      </w:r>
      <w:r>
        <w:rPr>
          <w:sz w:val="18"/>
        </w:rPr>
        <w:t>of</w:t>
      </w:r>
      <w:r>
        <w:rPr>
          <w:spacing w:val="-1"/>
          <w:sz w:val="18"/>
        </w:rPr>
        <w:t> </w:t>
      </w:r>
      <w:r>
        <w:rPr>
          <w:sz w:val="18"/>
        </w:rPr>
        <w:t>removal</w:t>
      </w:r>
      <w:r>
        <w:rPr>
          <w:spacing w:val="-3"/>
          <w:sz w:val="18"/>
        </w:rPr>
        <w:t> </w:t>
      </w:r>
      <w:r>
        <w:rPr>
          <w:sz w:val="18"/>
        </w:rPr>
        <w:t>of</w:t>
      </w:r>
      <w:r>
        <w:rPr>
          <w:spacing w:val="-2"/>
          <w:sz w:val="18"/>
        </w:rPr>
        <w:t> </w:t>
      </w:r>
      <w:r>
        <w:rPr>
          <w:sz w:val="18"/>
        </w:rPr>
        <w:t>livestock</w:t>
      </w:r>
      <w:r>
        <w:rPr>
          <w:spacing w:val="-2"/>
          <w:sz w:val="18"/>
        </w:rPr>
        <w:t> </w:t>
      </w:r>
      <w:r>
        <w:rPr>
          <w:sz w:val="18"/>
        </w:rPr>
        <w:t>from</w:t>
      </w:r>
      <w:r>
        <w:rPr>
          <w:spacing w:val="-2"/>
          <w:sz w:val="18"/>
        </w:rPr>
        <w:t> </w:t>
      </w:r>
      <w:r>
        <w:rPr>
          <w:sz w:val="18"/>
        </w:rPr>
        <w:t>each</w:t>
      </w:r>
      <w:r>
        <w:rPr>
          <w:spacing w:val="-2"/>
          <w:sz w:val="18"/>
        </w:rPr>
        <w:t> pasture.</w:t>
      </w:r>
    </w:p>
    <w:p>
      <w:pPr>
        <w:spacing w:after="0" w:line="219" w:lineRule="exact"/>
        <w:jc w:val="left"/>
        <w:rPr>
          <w:sz w:val="18"/>
        </w:rPr>
        <w:sectPr>
          <w:pgSz w:w="12240" w:h="15840"/>
          <w:pgMar w:header="725" w:footer="891" w:top="960" w:bottom="1080" w:left="1080" w:right="720"/>
        </w:sectPr>
      </w:pPr>
    </w:p>
    <w:p>
      <w:pPr>
        <w:pStyle w:val="BodyText"/>
        <w:spacing w:before="212"/>
      </w:pPr>
    </w:p>
    <w:p>
      <w:pPr>
        <w:pStyle w:val="BodyText"/>
        <w:spacing w:line="232" w:lineRule="auto"/>
        <w:ind w:left="1079" w:right="1445"/>
      </w:pPr>
      <w:r>
        <w:rPr/>
        <w:t>conditions</w:t>
      </w:r>
      <w:r>
        <w:rPr>
          <w:vertAlign w:val="superscript"/>
        </w:rPr>
        <w:t>22</w:t>
      </w:r>
      <w:r>
        <w:rPr>
          <w:vertAlign w:val="baseline"/>
        </w:rPr>
        <w:t>,</w:t>
      </w:r>
      <w:r>
        <w:rPr>
          <w:spacing w:val="-7"/>
          <w:vertAlign w:val="baseline"/>
        </w:rPr>
        <w:t> </w:t>
      </w:r>
      <w:r>
        <w:rPr>
          <w:vertAlign w:val="baseline"/>
        </w:rPr>
        <w:t>enable</w:t>
      </w:r>
      <w:r>
        <w:rPr>
          <w:spacing w:val="-6"/>
          <w:vertAlign w:val="baseline"/>
        </w:rPr>
        <w:t> </w:t>
      </w:r>
      <w:r>
        <w:rPr>
          <w:vertAlign w:val="baseline"/>
        </w:rPr>
        <w:t>recovery</w:t>
      </w:r>
      <w:r>
        <w:rPr>
          <w:spacing w:val="-6"/>
          <w:vertAlign w:val="baseline"/>
        </w:rPr>
        <w:t> </w:t>
      </w:r>
      <w:r>
        <w:rPr>
          <w:vertAlign w:val="baseline"/>
        </w:rPr>
        <w:t>by</w:t>
      </w:r>
      <w:r>
        <w:rPr>
          <w:spacing w:val="-7"/>
          <w:vertAlign w:val="baseline"/>
        </w:rPr>
        <w:t> </w:t>
      </w:r>
      <w:r>
        <w:rPr>
          <w:vertAlign w:val="baseline"/>
        </w:rPr>
        <w:t>managing</w:t>
      </w:r>
      <w:r>
        <w:rPr>
          <w:spacing w:val="-7"/>
          <w:vertAlign w:val="baseline"/>
        </w:rPr>
        <w:t> </w:t>
      </w:r>
      <w:r>
        <w:rPr>
          <w:vertAlign w:val="baseline"/>
        </w:rPr>
        <w:t>annual</w:t>
      </w:r>
      <w:r>
        <w:rPr>
          <w:spacing w:val="-7"/>
          <w:vertAlign w:val="baseline"/>
        </w:rPr>
        <w:t> </w:t>
      </w:r>
      <w:r>
        <w:rPr>
          <w:vertAlign w:val="baseline"/>
        </w:rPr>
        <w:t>livestock</w:t>
      </w:r>
      <w:r>
        <w:rPr>
          <w:spacing w:val="-6"/>
          <w:vertAlign w:val="baseline"/>
        </w:rPr>
        <w:t> </w:t>
      </w:r>
      <w:r>
        <w:rPr>
          <w:vertAlign w:val="baseline"/>
        </w:rPr>
        <w:t>grazing</w:t>
      </w:r>
      <w:r>
        <w:rPr>
          <w:spacing w:val="-7"/>
          <w:vertAlign w:val="baseline"/>
        </w:rPr>
        <w:t> </w:t>
      </w:r>
      <w:r>
        <w:rPr>
          <w:vertAlign w:val="baseline"/>
        </w:rPr>
        <w:t>use</w:t>
      </w:r>
      <w:r>
        <w:rPr>
          <w:spacing w:val="-6"/>
          <w:vertAlign w:val="baseline"/>
        </w:rPr>
        <w:t> </w:t>
      </w:r>
      <w:r>
        <w:rPr>
          <w:vertAlign w:val="baseline"/>
        </w:rPr>
        <w:t>and</w:t>
      </w:r>
      <w:r>
        <w:rPr>
          <w:spacing w:val="-7"/>
          <w:vertAlign w:val="baseline"/>
        </w:rPr>
        <w:t> </w:t>
      </w:r>
      <w:r>
        <w:rPr>
          <w:vertAlign w:val="baseline"/>
        </w:rPr>
        <w:t>disturbance as follows:</w:t>
      </w:r>
    </w:p>
    <w:p>
      <w:pPr>
        <w:pStyle w:val="ListParagraph"/>
        <w:numPr>
          <w:ilvl w:val="0"/>
          <w:numId w:val="21"/>
        </w:numPr>
        <w:tabs>
          <w:tab w:pos="1439" w:val="left" w:leader="none"/>
        </w:tabs>
        <w:spacing w:line="232" w:lineRule="auto" w:before="120" w:after="0"/>
        <w:ind w:left="1439" w:right="1564" w:hanging="360"/>
        <w:jc w:val="left"/>
        <w:rPr>
          <w:sz w:val="22"/>
        </w:rPr>
      </w:pPr>
      <w:r>
        <w:rPr>
          <w:sz w:val="22"/>
        </w:rPr>
        <w:t>maintain</w:t>
      </w:r>
      <w:r>
        <w:rPr>
          <w:spacing w:val="-5"/>
          <w:sz w:val="22"/>
        </w:rPr>
        <w:t> </w:t>
      </w:r>
      <w:r>
        <w:rPr>
          <w:sz w:val="22"/>
        </w:rPr>
        <w:t>a</w:t>
      </w:r>
      <w:r>
        <w:rPr>
          <w:spacing w:val="-6"/>
          <w:sz w:val="22"/>
        </w:rPr>
        <w:t> </w:t>
      </w:r>
      <w:r>
        <w:rPr>
          <w:sz w:val="22"/>
        </w:rPr>
        <w:t>minimum</w:t>
      </w:r>
      <w:r>
        <w:rPr>
          <w:spacing w:val="-5"/>
          <w:sz w:val="22"/>
        </w:rPr>
        <w:t> </w:t>
      </w:r>
      <w:r>
        <w:rPr>
          <w:sz w:val="22"/>
        </w:rPr>
        <w:t>of</w:t>
      </w:r>
      <w:r>
        <w:rPr>
          <w:spacing w:val="-6"/>
          <w:sz w:val="22"/>
        </w:rPr>
        <w:t> </w:t>
      </w:r>
      <w:r>
        <w:rPr>
          <w:sz w:val="22"/>
        </w:rPr>
        <w:t>6-inch</w:t>
      </w:r>
      <w:r>
        <w:rPr>
          <w:spacing w:val="-5"/>
          <w:sz w:val="22"/>
        </w:rPr>
        <w:t> </w:t>
      </w:r>
      <w:r>
        <w:rPr>
          <w:sz w:val="22"/>
        </w:rPr>
        <w:t>residual</w:t>
      </w:r>
      <w:r>
        <w:rPr>
          <w:spacing w:val="-4"/>
          <w:sz w:val="22"/>
        </w:rPr>
        <w:t> </w:t>
      </w:r>
      <w:r>
        <w:rPr>
          <w:sz w:val="22"/>
        </w:rPr>
        <w:t>stubble</w:t>
      </w:r>
      <w:r>
        <w:rPr>
          <w:spacing w:val="-6"/>
          <w:sz w:val="22"/>
        </w:rPr>
        <w:t> </w:t>
      </w:r>
      <w:r>
        <w:rPr>
          <w:sz w:val="22"/>
        </w:rPr>
        <w:t>height</w:t>
      </w:r>
      <w:r>
        <w:rPr>
          <w:spacing w:val="-6"/>
          <w:sz w:val="22"/>
        </w:rPr>
        <w:t> </w:t>
      </w:r>
      <w:r>
        <w:rPr>
          <w:sz w:val="22"/>
        </w:rPr>
        <w:t>of</w:t>
      </w:r>
      <w:r>
        <w:rPr>
          <w:spacing w:val="-6"/>
          <w:sz w:val="22"/>
        </w:rPr>
        <w:t> </w:t>
      </w:r>
      <w:r>
        <w:rPr>
          <w:sz w:val="22"/>
        </w:rPr>
        <w:t>key</w:t>
      </w:r>
      <w:r>
        <w:rPr>
          <w:spacing w:val="-3"/>
          <w:sz w:val="22"/>
        </w:rPr>
        <w:t> </w:t>
      </w:r>
      <w:r>
        <w:rPr>
          <w:sz w:val="22"/>
        </w:rPr>
        <w:t>herbaceous</w:t>
      </w:r>
      <w:r>
        <w:rPr>
          <w:spacing w:val="-4"/>
          <w:sz w:val="22"/>
        </w:rPr>
        <w:t> </w:t>
      </w:r>
      <w:r>
        <w:rPr>
          <w:sz w:val="22"/>
        </w:rPr>
        <w:t>species</w:t>
      </w:r>
      <w:r>
        <w:rPr>
          <w:spacing w:val="-6"/>
          <w:sz w:val="22"/>
        </w:rPr>
        <w:t> </w:t>
      </w:r>
      <w:r>
        <w:rPr>
          <w:sz w:val="22"/>
        </w:rPr>
        <w:t>on the greenline;</w:t>
      </w:r>
    </w:p>
    <w:p>
      <w:pPr>
        <w:pStyle w:val="ListParagraph"/>
        <w:numPr>
          <w:ilvl w:val="0"/>
          <w:numId w:val="21"/>
        </w:numPr>
        <w:tabs>
          <w:tab w:pos="1439" w:val="left" w:leader="none"/>
        </w:tabs>
        <w:spacing w:line="232" w:lineRule="auto" w:before="117" w:after="0"/>
        <w:ind w:left="1439" w:right="1842" w:hanging="360"/>
        <w:jc w:val="left"/>
        <w:rPr>
          <w:sz w:val="22"/>
        </w:rPr>
      </w:pPr>
      <w:r>
        <w:rPr>
          <w:sz w:val="22"/>
        </w:rPr>
        <w:t>utilize</w:t>
      </w:r>
      <w:r>
        <w:rPr>
          <w:spacing w:val="-4"/>
          <w:sz w:val="22"/>
        </w:rPr>
        <w:t> </w:t>
      </w:r>
      <w:r>
        <w:rPr>
          <w:sz w:val="22"/>
        </w:rPr>
        <w:t>no</w:t>
      </w:r>
      <w:r>
        <w:rPr>
          <w:spacing w:val="-6"/>
          <w:sz w:val="22"/>
        </w:rPr>
        <w:t> </w:t>
      </w:r>
      <w:r>
        <w:rPr>
          <w:sz w:val="22"/>
        </w:rPr>
        <w:t>more</w:t>
      </w:r>
      <w:r>
        <w:rPr>
          <w:spacing w:val="-7"/>
          <w:sz w:val="22"/>
        </w:rPr>
        <w:t> </w:t>
      </w:r>
      <w:r>
        <w:rPr>
          <w:sz w:val="22"/>
        </w:rPr>
        <w:t>than</w:t>
      </w:r>
      <w:r>
        <w:rPr>
          <w:spacing w:val="-6"/>
          <w:sz w:val="22"/>
        </w:rPr>
        <w:t> </w:t>
      </w:r>
      <w:r>
        <w:rPr>
          <w:sz w:val="22"/>
        </w:rPr>
        <w:t>30-35</w:t>
      </w:r>
      <w:r>
        <w:rPr>
          <w:spacing w:val="-6"/>
          <w:sz w:val="22"/>
        </w:rPr>
        <w:t> </w:t>
      </w:r>
      <w:r>
        <w:rPr>
          <w:sz w:val="22"/>
        </w:rPr>
        <w:t>percent</w:t>
      </w:r>
      <w:r>
        <w:rPr>
          <w:spacing w:val="-7"/>
          <w:sz w:val="22"/>
        </w:rPr>
        <w:t> </w:t>
      </w:r>
      <w:r>
        <w:rPr>
          <w:sz w:val="22"/>
        </w:rPr>
        <w:t>of</w:t>
      </w:r>
      <w:r>
        <w:rPr>
          <w:spacing w:val="-5"/>
          <w:sz w:val="22"/>
        </w:rPr>
        <w:t> </w:t>
      </w:r>
      <w:r>
        <w:rPr>
          <w:sz w:val="22"/>
        </w:rPr>
        <w:t>deep-rooted</w:t>
      </w:r>
      <w:r>
        <w:rPr>
          <w:spacing w:val="-6"/>
          <w:sz w:val="22"/>
        </w:rPr>
        <w:t> </w:t>
      </w:r>
      <w:r>
        <w:rPr>
          <w:sz w:val="22"/>
        </w:rPr>
        <w:t>herbaceous</w:t>
      </w:r>
      <w:r>
        <w:rPr>
          <w:spacing w:val="-7"/>
          <w:sz w:val="22"/>
        </w:rPr>
        <w:t> </w:t>
      </w:r>
      <w:r>
        <w:rPr>
          <w:sz w:val="22"/>
        </w:rPr>
        <w:t>vegetation</w:t>
      </w:r>
      <w:r>
        <w:rPr>
          <w:spacing w:val="-6"/>
          <w:sz w:val="22"/>
        </w:rPr>
        <w:t> </w:t>
      </w:r>
      <w:r>
        <w:rPr>
          <w:sz w:val="22"/>
        </w:rPr>
        <w:t>in</w:t>
      </w:r>
      <w:r>
        <w:rPr>
          <w:spacing w:val="-8"/>
          <w:sz w:val="22"/>
        </w:rPr>
        <w:t> </w:t>
      </w:r>
      <w:r>
        <w:rPr>
          <w:sz w:val="22"/>
        </w:rPr>
        <w:t>the active floodplain and, as needed, in other critical portions of the Riparian Management Area;</w:t>
      </w:r>
    </w:p>
    <w:p>
      <w:pPr>
        <w:pStyle w:val="ListParagraph"/>
        <w:numPr>
          <w:ilvl w:val="0"/>
          <w:numId w:val="21"/>
        </w:numPr>
        <w:tabs>
          <w:tab w:pos="1439" w:val="left" w:leader="none"/>
        </w:tabs>
        <w:spacing w:line="240" w:lineRule="auto" w:before="112" w:after="0"/>
        <w:ind w:left="1439" w:right="0" w:hanging="359"/>
        <w:jc w:val="left"/>
        <w:rPr>
          <w:sz w:val="22"/>
        </w:rPr>
      </w:pPr>
      <w:r>
        <w:rPr>
          <w:sz w:val="22"/>
        </w:rPr>
        <w:t>limit</w:t>
      </w:r>
      <w:r>
        <w:rPr>
          <w:spacing w:val="-7"/>
          <w:sz w:val="22"/>
        </w:rPr>
        <w:t> </w:t>
      </w:r>
      <w:r>
        <w:rPr>
          <w:sz w:val="22"/>
        </w:rPr>
        <w:t>streambank</w:t>
      </w:r>
      <w:r>
        <w:rPr>
          <w:spacing w:val="-8"/>
          <w:sz w:val="22"/>
        </w:rPr>
        <w:t> </w:t>
      </w:r>
      <w:r>
        <w:rPr>
          <w:sz w:val="22"/>
        </w:rPr>
        <w:t>alteration</w:t>
      </w:r>
      <w:r>
        <w:rPr>
          <w:spacing w:val="-10"/>
          <w:sz w:val="22"/>
        </w:rPr>
        <w:t> </w:t>
      </w:r>
      <w:r>
        <w:rPr>
          <w:sz w:val="22"/>
        </w:rPr>
        <w:t>to</w:t>
      </w:r>
      <w:r>
        <w:rPr>
          <w:spacing w:val="-6"/>
          <w:sz w:val="22"/>
        </w:rPr>
        <w:t> </w:t>
      </w:r>
      <w:r>
        <w:rPr>
          <w:sz w:val="22"/>
        </w:rPr>
        <w:t>no</w:t>
      </w:r>
      <w:r>
        <w:rPr>
          <w:spacing w:val="-8"/>
          <w:sz w:val="22"/>
        </w:rPr>
        <w:t> </w:t>
      </w:r>
      <w:r>
        <w:rPr>
          <w:sz w:val="22"/>
        </w:rPr>
        <w:t>more</w:t>
      </w:r>
      <w:r>
        <w:rPr>
          <w:spacing w:val="-8"/>
          <w:sz w:val="22"/>
        </w:rPr>
        <w:t> </w:t>
      </w:r>
      <w:r>
        <w:rPr>
          <w:sz w:val="22"/>
        </w:rPr>
        <w:t>than</w:t>
      </w:r>
      <w:r>
        <w:rPr>
          <w:spacing w:val="-8"/>
          <w:sz w:val="22"/>
        </w:rPr>
        <w:t> </w:t>
      </w:r>
      <w:r>
        <w:rPr>
          <w:sz w:val="22"/>
        </w:rPr>
        <w:t>15-20</w:t>
      </w:r>
      <w:r>
        <w:rPr>
          <w:spacing w:val="-6"/>
          <w:sz w:val="22"/>
        </w:rPr>
        <w:t> </w:t>
      </w:r>
      <w:r>
        <w:rPr>
          <w:sz w:val="22"/>
        </w:rPr>
        <w:t>percent</w:t>
      </w:r>
      <w:r>
        <w:rPr>
          <w:sz w:val="22"/>
          <w:vertAlign w:val="superscript"/>
        </w:rPr>
        <w:t>25</w:t>
      </w:r>
      <w:r>
        <w:rPr>
          <w:sz w:val="22"/>
          <w:vertAlign w:val="baseline"/>
        </w:rPr>
        <w:t>;</w:t>
      </w:r>
      <w:r>
        <w:rPr>
          <w:spacing w:val="-6"/>
          <w:sz w:val="22"/>
          <w:vertAlign w:val="baseline"/>
        </w:rPr>
        <w:t> </w:t>
      </w:r>
      <w:r>
        <w:rPr>
          <w:spacing w:val="-5"/>
          <w:sz w:val="22"/>
          <w:vertAlign w:val="baseline"/>
        </w:rPr>
        <w:t>and</w:t>
      </w:r>
    </w:p>
    <w:p>
      <w:pPr>
        <w:pStyle w:val="ListParagraph"/>
        <w:numPr>
          <w:ilvl w:val="0"/>
          <w:numId w:val="21"/>
        </w:numPr>
        <w:tabs>
          <w:tab w:pos="1439" w:val="left" w:leader="none"/>
        </w:tabs>
        <w:spacing w:line="232" w:lineRule="auto" w:before="120" w:after="0"/>
        <w:ind w:left="1439" w:right="1630" w:hanging="360"/>
        <w:jc w:val="left"/>
        <w:rPr>
          <w:sz w:val="22"/>
        </w:rPr>
      </w:pPr>
      <w:r>
        <w:rPr>
          <w:sz w:val="22"/>
        </w:rPr>
        <w:t>limit</w:t>
      </w:r>
      <w:r>
        <w:rPr>
          <w:spacing w:val="-3"/>
          <w:sz w:val="22"/>
        </w:rPr>
        <w:t> </w:t>
      </w:r>
      <w:r>
        <w:rPr>
          <w:sz w:val="22"/>
        </w:rPr>
        <w:t>use</w:t>
      </w:r>
      <w:r>
        <w:rPr>
          <w:spacing w:val="-6"/>
          <w:sz w:val="22"/>
        </w:rPr>
        <w:t> </w:t>
      </w:r>
      <w:r>
        <w:rPr>
          <w:sz w:val="22"/>
        </w:rPr>
        <w:t>of</w:t>
      </w:r>
      <w:r>
        <w:rPr>
          <w:spacing w:val="-4"/>
          <w:sz w:val="22"/>
        </w:rPr>
        <w:t> </w:t>
      </w:r>
      <w:r>
        <w:rPr>
          <w:sz w:val="22"/>
        </w:rPr>
        <w:t>woody</w:t>
      </w:r>
      <w:r>
        <w:rPr>
          <w:spacing w:val="-3"/>
          <w:sz w:val="22"/>
        </w:rPr>
        <w:t> </w:t>
      </w:r>
      <w:r>
        <w:rPr>
          <w:sz w:val="22"/>
        </w:rPr>
        <w:t>species</w:t>
      </w:r>
      <w:r>
        <w:rPr>
          <w:spacing w:val="-6"/>
          <w:sz w:val="22"/>
        </w:rPr>
        <w:t> </w:t>
      </w:r>
      <w:r>
        <w:rPr>
          <w:sz w:val="22"/>
        </w:rPr>
        <w:t>to</w:t>
      </w:r>
      <w:r>
        <w:rPr>
          <w:spacing w:val="-3"/>
          <w:sz w:val="22"/>
        </w:rPr>
        <w:t> </w:t>
      </w:r>
      <w:r>
        <w:rPr>
          <w:sz w:val="22"/>
        </w:rPr>
        <w:t>no</w:t>
      </w:r>
      <w:r>
        <w:rPr>
          <w:spacing w:val="-5"/>
          <w:sz w:val="22"/>
        </w:rPr>
        <w:t> </w:t>
      </w:r>
      <w:r>
        <w:rPr>
          <w:sz w:val="22"/>
        </w:rPr>
        <w:t>more</w:t>
      </w:r>
      <w:r>
        <w:rPr>
          <w:spacing w:val="-6"/>
          <w:sz w:val="22"/>
        </w:rPr>
        <w:t> </w:t>
      </w:r>
      <w:r>
        <w:rPr>
          <w:sz w:val="22"/>
        </w:rPr>
        <w:t>than</w:t>
      </w:r>
      <w:r>
        <w:rPr>
          <w:spacing w:val="-5"/>
          <w:sz w:val="22"/>
        </w:rPr>
        <w:t> </w:t>
      </w:r>
      <w:r>
        <w:rPr>
          <w:sz w:val="22"/>
        </w:rPr>
        <w:t>20-30</w:t>
      </w:r>
      <w:r>
        <w:rPr>
          <w:spacing w:val="-3"/>
          <w:sz w:val="22"/>
        </w:rPr>
        <w:t> </w:t>
      </w:r>
      <w:r>
        <w:rPr>
          <w:sz w:val="22"/>
        </w:rPr>
        <w:t>percent</w:t>
      </w:r>
      <w:r>
        <w:rPr>
          <w:spacing w:val="-6"/>
          <w:sz w:val="22"/>
        </w:rPr>
        <w:t> </w:t>
      </w:r>
      <w:r>
        <w:rPr>
          <w:sz w:val="22"/>
        </w:rPr>
        <w:t>of</w:t>
      </w:r>
      <w:r>
        <w:rPr>
          <w:spacing w:val="-4"/>
          <w:sz w:val="22"/>
        </w:rPr>
        <w:t> </w:t>
      </w:r>
      <w:r>
        <w:rPr>
          <w:sz w:val="22"/>
        </w:rPr>
        <w:t>current</w:t>
      </w:r>
      <w:r>
        <w:rPr>
          <w:spacing w:val="-3"/>
          <w:sz w:val="22"/>
        </w:rPr>
        <w:t> </w:t>
      </w:r>
      <w:r>
        <w:rPr>
          <w:sz w:val="22"/>
        </w:rPr>
        <w:t>year’s</w:t>
      </w:r>
      <w:r>
        <w:rPr>
          <w:spacing w:val="-6"/>
          <w:sz w:val="22"/>
        </w:rPr>
        <w:t> </w:t>
      </w:r>
      <w:r>
        <w:rPr>
          <w:sz w:val="22"/>
        </w:rPr>
        <w:t>leaders along streambanks and, as needed, in other critical portions of the Riparian Management Area.</w:t>
      </w:r>
    </w:p>
    <w:p>
      <w:pPr>
        <w:spacing w:before="233"/>
        <w:ind w:left="360" w:right="1445" w:hanging="1"/>
        <w:jc w:val="left"/>
        <w:rPr>
          <w:rFonts w:ascii="Arial" w:hAnsi="Arial"/>
          <w:i/>
          <w:sz w:val="22"/>
        </w:rPr>
      </w:pPr>
      <w:bookmarkStart w:name="MA-GDL-RMA-13. Recreational and Permitte" w:id="757"/>
      <w:bookmarkEnd w:id="757"/>
      <w:r>
        <w:rPr/>
      </w:r>
      <w:r>
        <w:rPr>
          <w:rFonts w:ascii="Arial" w:hAnsi="Arial"/>
          <w:i/>
          <w:sz w:val="22"/>
        </w:rPr>
        <w:t>MA-GDL-RMA-13.</w:t>
      </w:r>
      <w:r>
        <w:rPr>
          <w:rFonts w:ascii="Arial" w:hAnsi="Arial"/>
          <w:i/>
          <w:spacing w:val="-6"/>
          <w:sz w:val="22"/>
        </w:rPr>
        <w:t> </w:t>
      </w:r>
      <w:r>
        <w:rPr>
          <w:rFonts w:ascii="Arial" w:hAnsi="Arial"/>
          <w:i/>
          <w:sz w:val="22"/>
        </w:rPr>
        <w:t>Recreational</w:t>
      </w:r>
      <w:r>
        <w:rPr>
          <w:rFonts w:ascii="Arial" w:hAnsi="Arial"/>
          <w:i/>
          <w:spacing w:val="-5"/>
          <w:sz w:val="22"/>
        </w:rPr>
        <w:t> </w:t>
      </w:r>
      <w:r>
        <w:rPr>
          <w:rFonts w:ascii="Arial" w:hAnsi="Arial"/>
          <w:i/>
          <w:sz w:val="22"/>
        </w:rPr>
        <w:t>and</w:t>
      </w:r>
      <w:r>
        <w:rPr>
          <w:rFonts w:ascii="Arial" w:hAnsi="Arial"/>
          <w:i/>
          <w:spacing w:val="-5"/>
          <w:sz w:val="22"/>
        </w:rPr>
        <w:t> </w:t>
      </w:r>
      <w:r>
        <w:rPr>
          <w:rFonts w:ascii="Arial" w:hAnsi="Arial"/>
          <w:i/>
          <w:sz w:val="22"/>
        </w:rPr>
        <w:t>Permitted</w:t>
      </w:r>
      <w:r>
        <w:rPr>
          <w:rFonts w:ascii="Arial" w:hAnsi="Arial"/>
          <w:i/>
          <w:spacing w:val="-7"/>
          <w:sz w:val="22"/>
        </w:rPr>
        <w:t> </w:t>
      </w:r>
      <w:r>
        <w:rPr>
          <w:rFonts w:ascii="Arial" w:hAnsi="Arial"/>
          <w:i/>
          <w:sz w:val="22"/>
        </w:rPr>
        <w:t>Grazing</w:t>
      </w:r>
      <w:r>
        <w:rPr>
          <w:rFonts w:ascii="Arial" w:hAnsi="Arial"/>
          <w:i/>
          <w:spacing w:val="-5"/>
          <w:sz w:val="22"/>
        </w:rPr>
        <w:t> </w:t>
      </w:r>
      <w:r>
        <w:rPr>
          <w:rFonts w:ascii="Arial" w:hAnsi="Arial"/>
          <w:i/>
          <w:sz w:val="22"/>
        </w:rPr>
        <w:t>Management</w:t>
      </w:r>
      <w:r>
        <w:rPr>
          <w:rFonts w:ascii="Arial" w:hAnsi="Arial"/>
          <w:i/>
          <w:spacing w:val="-2"/>
          <w:sz w:val="22"/>
        </w:rPr>
        <w:t> </w:t>
      </w:r>
      <w:r>
        <w:rPr>
          <w:rFonts w:ascii="Arial" w:hAnsi="Arial"/>
          <w:i/>
          <w:sz w:val="22"/>
        </w:rPr>
        <w:t>–</w:t>
      </w:r>
      <w:r>
        <w:rPr>
          <w:rFonts w:ascii="Arial" w:hAnsi="Arial"/>
          <w:i/>
          <w:spacing w:val="-5"/>
          <w:sz w:val="22"/>
        </w:rPr>
        <w:t> </w:t>
      </w:r>
      <w:r>
        <w:rPr>
          <w:rFonts w:ascii="Arial" w:hAnsi="Arial"/>
          <w:i/>
          <w:sz w:val="22"/>
        </w:rPr>
        <w:t>Livestock</w:t>
      </w:r>
      <w:r>
        <w:rPr>
          <w:rFonts w:ascii="Arial" w:hAnsi="Arial"/>
          <w:i/>
          <w:sz w:val="22"/>
        </w:rPr>
        <w:t> Handling Activities</w:t>
      </w:r>
    </w:p>
    <w:p>
      <w:pPr>
        <w:pStyle w:val="BodyText"/>
        <w:spacing w:line="232" w:lineRule="auto" w:before="63"/>
        <w:ind w:left="360" w:right="1445"/>
      </w:pPr>
      <w:r>
        <w:rPr/>
        <w:t>Livestock</w:t>
      </w:r>
      <w:r>
        <w:rPr>
          <w:spacing w:val="-3"/>
        </w:rPr>
        <w:t> </w:t>
      </w:r>
      <w:r>
        <w:rPr/>
        <w:t>trailing,</w:t>
      </w:r>
      <w:r>
        <w:rPr>
          <w:spacing w:val="-4"/>
        </w:rPr>
        <w:t> </w:t>
      </w:r>
      <w:r>
        <w:rPr/>
        <w:t>bedding,</w:t>
      </w:r>
      <w:r>
        <w:rPr>
          <w:spacing w:val="-4"/>
        </w:rPr>
        <w:t> </w:t>
      </w:r>
      <w:r>
        <w:rPr/>
        <w:t>loading,</w:t>
      </w:r>
      <w:r>
        <w:rPr>
          <w:spacing w:val="-4"/>
        </w:rPr>
        <w:t> </w:t>
      </w:r>
      <w:r>
        <w:rPr/>
        <w:t>and</w:t>
      </w:r>
      <w:r>
        <w:rPr>
          <w:spacing w:val="-5"/>
        </w:rPr>
        <w:t> </w:t>
      </w:r>
      <w:r>
        <w:rPr/>
        <w:t>other</w:t>
      </w:r>
      <w:r>
        <w:rPr>
          <w:spacing w:val="-4"/>
        </w:rPr>
        <w:t> </w:t>
      </w:r>
      <w:r>
        <w:rPr/>
        <w:t>handling</w:t>
      </w:r>
      <w:r>
        <w:rPr>
          <w:spacing w:val="-5"/>
        </w:rPr>
        <w:t> </w:t>
      </w:r>
      <w:r>
        <w:rPr/>
        <w:t>activities</w:t>
      </w:r>
      <w:r>
        <w:rPr>
          <w:spacing w:val="-4"/>
        </w:rPr>
        <w:t> </w:t>
      </w:r>
      <w:r>
        <w:rPr/>
        <w:t>should</w:t>
      </w:r>
      <w:r>
        <w:rPr>
          <w:spacing w:val="-5"/>
        </w:rPr>
        <w:t> </w:t>
      </w:r>
      <w:r>
        <w:rPr/>
        <w:t>be</w:t>
      </w:r>
      <w:r>
        <w:rPr>
          <w:spacing w:val="-3"/>
        </w:rPr>
        <w:t> </w:t>
      </w:r>
      <w:r>
        <w:rPr/>
        <w:t>avoided</w:t>
      </w:r>
      <w:r>
        <w:rPr>
          <w:spacing w:val="-5"/>
        </w:rPr>
        <w:t> </w:t>
      </w:r>
      <w:r>
        <w:rPr/>
        <w:t>in</w:t>
      </w:r>
      <w:r>
        <w:rPr>
          <w:spacing w:val="-5"/>
        </w:rPr>
        <w:t> </w:t>
      </w:r>
      <w:r>
        <w:rPr/>
        <w:t>RMAs, except for those that inherently must occur in an RMA.</w:t>
      </w:r>
    </w:p>
    <w:p>
      <w:pPr>
        <w:spacing w:before="224"/>
        <w:ind w:left="359" w:right="0" w:firstLine="0"/>
        <w:jc w:val="left"/>
        <w:rPr>
          <w:rFonts w:ascii="Arial" w:hAnsi="Arial"/>
          <w:i/>
          <w:sz w:val="22"/>
        </w:rPr>
      </w:pPr>
      <w:bookmarkStart w:name="MA-GDL-RMA-14. Recreational and Permitte" w:id="758"/>
      <w:bookmarkEnd w:id="758"/>
      <w:r>
        <w:rPr/>
      </w:r>
      <w:r>
        <w:rPr>
          <w:rFonts w:ascii="Arial" w:hAnsi="Arial"/>
          <w:i/>
          <w:sz w:val="22"/>
        </w:rPr>
        <w:t>MA-GDL-RMA-14.</w:t>
      </w:r>
      <w:r>
        <w:rPr>
          <w:rFonts w:ascii="Arial" w:hAnsi="Arial"/>
          <w:i/>
          <w:spacing w:val="-9"/>
          <w:sz w:val="22"/>
        </w:rPr>
        <w:t> </w:t>
      </w:r>
      <w:r>
        <w:rPr>
          <w:rFonts w:ascii="Arial" w:hAnsi="Arial"/>
          <w:i/>
          <w:sz w:val="22"/>
        </w:rPr>
        <w:t>Recreational</w:t>
      </w:r>
      <w:r>
        <w:rPr>
          <w:rFonts w:ascii="Arial" w:hAnsi="Arial"/>
          <w:i/>
          <w:spacing w:val="-7"/>
          <w:sz w:val="22"/>
        </w:rPr>
        <w:t> </w:t>
      </w:r>
      <w:r>
        <w:rPr>
          <w:rFonts w:ascii="Arial" w:hAnsi="Arial"/>
          <w:i/>
          <w:sz w:val="22"/>
        </w:rPr>
        <w:t>and</w:t>
      </w:r>
      <w:r>
        <w:rPr>
          <w:rFonts w:ascii="Arial" w:hAnsi="Arial"/>
          <w:i/>
          <w:spacing w:val="-8"/>
          <w:sz w:val="22"/>
        </w:rPr>
        <w:t> </w:t>
      </w:r>
      <w:r>
        <w:rPr>
          <w:rFonts w:ascii="Arial" w:hAnsi="Arial"/>
          <w:i/>
          <w:sz w:val="22"/>
        </w:rPr>
        <w:t>Permitted</w:t>
      </w:r>
      <w:r>
        <w:rPr>
          <w:rFonts w:ascii="Arial" w:hAnsi="Arial"/>
          <w:i/>
          <w:spacing w:val="-9"/>
          <w:sz w:val="22"/>
        </w:rPr>
        <w:t> </w:t>
      </w:r>
      <w:r>
        <w:rPr>
          <w:rFonts w:ascii="Arial" w:hAnsi="Arial"/>
          <w:i/>
          <w:sz w:val="22"/>
        </w:rPr>
        <w:t>Grazing</w:t>
      </w:r>
      <w:r>
        <w:rPr>
          <w:rFonts w:ascii="Arial" w:hAnsi="Arial"/>
          <w:i/>
          <w:spacing w:val="-8"/>
          <w:sz w:val="22"/>
        </w:rPr>
        <w:t> </w:t>
      </w:r>
      <w:r>
        <w:rPr>
          <w:rFonts w:ascii="Arial" w:hAnsi="Arial"/>
          <w:i/>
          <w:sz w:val="22"/>
        </w:rPr>
        <w:t>Management</w:t>
      </w:r>
      <w:r>
        <w:rPr>
          <w:rFonts w:ascii="Arial" w:hAnsi="Arial"/>
          <w:i/>
          <w:spacing w:val="-5"/>
          <w:sz w:val="22"/>
        </w:rPr>
        <w:t> </w:t>
      </w:r>
      <w:r>
        <w:rPr>
          <w:rFonts w:ascii="Symbol" w:hAnsi="Symbol"/>
          <w:i/>
          <w:sz w:val="23"/>
        </w:rPr>
        <w:t></w:t>
      </w:r>
      <w:r>
        <w:rPr>
          <w:rFonts w:ascii="Times New Roman" w:hAnsi="Times New Roman"/>
          <w:spacing w:val="-4"/>
          <w:sz w:val="23"/>
        </w:rPr>
        <w:t> </w:t>
      </w:r>
      <w:r>
        <w:rPr>
          <w:rFonts w:ascii="Arial" w:hAnsi="Arial"/>
          <w:i/>
          <w:sz w:val="22"/>
        </w:rPr>
        <w:t>Fish</w:t>
      </w:r>
      <w:r>
        <w:rPr>
          <w:rFonts w:ascii="Arial" w:hAnsi="Arial"/>
          <w:i/>
          <w:spacing w:val="-8"/>
          <w:sz w:val="22"/>
        </w:rPr>
        <w:t> </w:t>
      </w:r>
      <w:r>
        <w:rPr>
          <w:rFonts w:ascii="Arial" w:hAnsi="Arial"/>
          <w:i/>
          <w:spacing w:val="-2"/>
          <w:sz w:val="22"/>
        </w:rPr>
        <w:t>Redds</w:t>
      </w:r>
    </w:p>
    <w:p>
      <w:pPr>
        <w:pStyle w:val="BodyText"/>
        <w:spacing w:before="57"/>
        <w:ind w:left="360"/>
      </w:pPr>
      <w:r>
        <w:rPr/>
        <w:t>Avoid</w:t>
      </w:r>
      <w:r>
        <w:rPr>
          <w:spacing w:val="-12"/>
        </w:rPr>
        <w:t> </w:t>
      </w:r>
      <w:r>
        <w:rPr/>
        <w:t>livestock</w:t>
      </w:r>
      <w:r>
        <w:rPr>
          <w:spacing w:val="-11"/>
        </w:rPr>
        <w:t> </w:t>
      </w:r>
      <w:r>
        <w:rPr/>
        <w:t>trampling</w:t>
      </w:r>
      <w:r>
        <w:rPr>
          <w:spacing w:val="-10"/>
        </w:rPr>
        <w:t> </w:t>
      </w:r>
      <w:r>
        <w:rPr/>
        <w:t>of</w:t>
      </w:r>
      <w:r>
        <w:rPr>
          <w:spacing w:val="-8"/>
        </w:rPr>
        <w:t> </w:t>
      </w:r>
      <w:r>
        <w:rPr/>
        <w:t>federally</w:t>
      </w:r>
      <w:r>
        <w:rPr>
          <w:spacing w:val="-9"/>
        </w:rPr>
        <w:t> </w:t>
      </w:r>
      <w:r>
        <w:rPr/>
        <w:t>listed</w:t>
      </w:r>
      <w:r>
        <w:rPr>
          <w:spacing w:val="-9"/>
        </w:rPr>
        <w:t> </w:t>
      </w:r>
      <w:r>
        <w:rPr/>
        <w:t>threatened</w:t>
      </w:r>
      <w:r>
        <w:rPr>
          <w:spacing w:val="-10"/>
        </w:rPr>
        <w:t> </w:t>
      </w:r>
      <w:r>
        <w:rPr/>
        <w:t>or</w:t>
      </w:r>
      <w:r>
        <w:rPr>
          <w:spacing w:val="-9"/>
        </w:rPr>
        <w:t> </w:t>
      </w:r>
      <w:r>
        <w:rPr/>
        <w:t>endangered</w:t>
      </w:r>
      <w:r>
        <w:rPr>
          <w:spacing w:val="-10"/>
        </w:rPr>
        <w:t> </w:t>
      </w:r>
      <w:r>
        <w:rPr/>
        <w:t>fish</w:t>
      </w:r>
      <w:r>
        <w:rPr>
          <w:spacing w:val="-9"/>
        </w:rPr>
        <w:t> </w:t>
      </w:r>
      <w:r>
        <w:rPr>
          <w:spacing w:val="-2"/>
        </w:rPr>
        <w:t>redds.</w:t>
      </w:r>
    </w:p>
    <w:p>
      <w:pPr>
        <w:spacing w:before="234"/>
        <w:ind w:left="360" w:right="0" w:firstLine="0"/>
        <w:jc w:val="left"/>
        <w:rPr>
          <w:rFonts w:ascii="Arial" w:hAnsi="Arial"/>
          <w:i/>
          <w:sz w:val="22"/>
        </w:rPr>
      </w:pPr>
      <w:bookmarkStart w:name="MA-GDL-RMA-15. Recreation Management – N" w:id="759"/>
      <w:bookmarkEnd w:id="759"/>
      <w:r>
        <w:rPr/>
      </w:r>
      <w:r>
        <w:rPr>
          <w:rFonts w:ascii="Arial" w:hAnsi="Arial"/>
          <w:i/>
          <w:sz w:val="22"/>
        </w:rPr>
        <w:t>MA-GDL-RMA-15.</w:t>
      </w:r>
      <w:r>
        <w:rPr>
          <w:rFonts w:ascii="Arial" w:hAnsi="Arial"/>
          <w:i/>
          <w:spacing w:val="-11"/>
          <w:sz w:val="22"/>
        </w:rPr>
        <w:t> </w:t>
      </w:r>
      <w:r>
        <w:rPr>
          <w:rFonts w:ascii="Arial" w:hAnsi="Arial"/>
          <w:i/>
          <w:sz w:val="22"/>
        </w:rPr>
        <w:t>Recreation</w:t>
      </w:r>
      <w:r>
        <w:rPr>
          <w:rFonts w:ascii="Arial" w:hAnsi="Arial"/>
          <w:i/>
          <w:spacing w:val="-7"/>
          <w:sz w:val="22"/>
        </w:rPr>
        <w:t> </w:t>
      </w:r>
      <w:r>
        <w:rPr>
          <w:rFonts w:ascii="Arial" w:hAnsi="Arial"/>
          <w:i/>
          <w:sz w:val="22"/>
        </w:rPr>
        <w:t>Management</w:t>
      </w:r>
      <w:r>
        <w:rPr>
          <w:rFonts w:ascii="Arial" w:hAnsi="Arial"/>
          <w:i/>
          <w:spacing w:val="-5"/>
          <w:sz w:val="22"/>
        </w:rPr>
        <w:t> </w:t>
      </w:r>
      <w:r>
        <w:rPr>
          <w:rFonts w:ascii="Arial" w:hAnsi="Arial"/>
          <w:i/>
          <w:sz w:val="22"/>
        </w:rPr>
        <w:t>–</w:t>
      </w:r>
      <w:r>
        <w:rPr>
          <w:rFonts w:ascii="Arial" w:hAnsi="Arial"/>
          <w:i/>
          <w:spacing w:val="-9"/>
          <w:sz w:val="22"/>
        </w:rPr>
        <w:t> </w:t>
      </w:r>
      <w:r>
        <w:rPr>
          <w:rFonts w:ascii="Arial" w:hAnsi="Arial"/>
          <w:i/>
          <w:sz w:val="22"/>
        </w:rPr>
        <w:t>New</w:t>
      </w:r>
      <w:r>
        <w:rPr>
          <w:rFonts w:ascii="Arial" w:hAnsi="Arial"/>
          <w:i/>
          <w:spacing w:val="-6"/>
          <w:sz w:val="22"/>
        </w:rPr>
        <w:t> </w:t>
      </w:r>
      <w:r>
        <w:rPr>
          <w:rFonts w:ascii="Arial" w:hAnsi="Arial"/>
          <w:i/>
          <w:sz w:val="22"/>
        </w:rPr>
        <w:t>Facilities</w:t>
      </w:r>
      <w:r>
        <w:rPr>
          <w:rFonts w:ascii="Arial" w:hAnsi="Arial"/>
          <w:i/>
          <w:spacing w:val="-6"/>
          <w:sz w:val="22"/>
        </w:rPr>
        <w:t> </w:t>
      </w:r>
      <w:r>
        <w:rPr>
          <w:rFonts w:ascii="Arial" w:hAnsi="Arial"/>
          <w:i/>
          <w:sz w:val="22"/>
        </w:rPr>
        <w:t>and</w:t>
      </w:r>
      <w:r>
        <w:rPr>
          <w:rFonts w:ascii="Arial" w:hAnsi="Arial"/>
          <w:i/>
          <w:spacing w:val="-7"/>
          <w:sz w:val="22"/>
        </w:rPr>
        <w:t> </w:t>
      </w:r>
      <w:r>
        <w:rPr>
          <w:rFonts w:ascii="Arial" w:hAnsi="Arial"/>
          <w:i/>
          <w:spacing w:val="-2"/>
          <w:sz w:val="22"/>
        </w:rPr>
        <w:t>Infrastructure</w:t>
      </w:r>
    </w:p>
    <w:p>
      <w:pPr>
        <w:pStyle w:val="BodyText"/>
        <w:spacing w:line="232" w:lineRule="auto" w:before="64"/>
        <w:ind w:left="359" w:right="1621"/>
      </w:pPr>
      <w:r>
        <w:rPr/>
        <w:t>New facilities or infrastructure should not be placed within expected long-term channel migration zones. Facilities that inherently occur in RMAs (e.g., road stream crossings, boat ramps,</w:t>
      </w:r>
      <w:r>
        <w:rPr>
          <w:spacing w:val="-8"/>
        </w:rPr>
        <w:t> </w:t>
      </w:r>
      <w:r>
        <w:rPr/>
        <w:t>docks,</w:t>
      </w:r>
      <w:r>
        <w:rPr>
          <w:spacing w:val="-6"/>
        </w:rPr>
        <w:t> </w:t>
      </w:r>
      <w:r>
        <w:rPr/>
        <w:t>interpretive</w:t>
      </w:r>
      <w:r>
        <w:rPr>
          <w:spacing w:val="-5"/>
        </w:rPr>
        <w:t> </w:t>
      </w:r>
      <w:r>
        <w:rPr/>
        <w:t>trails)</w:t>
      </w:r>
      <w:r>
        <w:rPr>
          <w:spacing w:val="-6"/>
        </w:rPr>
        <w:t> </w:t>
      </w:r>
      <w:r>
        <w:rPr/>
        <w:t>should</w:t>
      </w:r>
      <w:r>
        <w:rPr>
          <w:spacing w:val="-7"/>
        </w:rPr>
        <w:t> </w:t>
      </w:r>
      <w:r>
        <w:rPr/>
        <w:t>be</w:t>
      </w:r>
      <w:r>
        <w:rPr>
          <w:spacing w:val="-8"/>
        </w:rPr>
        <w:t> </w:t>
      </w:r>
      <w:r>
        <w:rPr/>
        <w:t>located</w:t>
      </w:r>
      <w:r>
        <w:rPr>
          <w:spacing w:val="-7"/>
        </w:rPr>
        <w:t> </w:t>
      </w:r>
      <w:r>
        <w:rPr/>
        <w:t>to</w:t>
      </w:r>
      <w:r>
        <w:rPr>
          <w:spacing w:val="-7"/>
        </w:rPr>
        <w:t> </w:t>
      </w:r>
      <w:r>
        <w:rPr/>
        <w:t>minimize</w:t>
      </w:r>
      <w:r>
        <w:rPr>
          <w:spacing w:val="-8"/>
        </w:rPr>
        <w:t> </w:t>
      </w:r>
      <w:r>
        <w:rPr/>
        <w:t>impacts</w:t>
      </w:r>
      <w:r>
        <w:rPr>
          <w:spacing w:val="-8"/>
        </w:rPr>
        <w:t> </w:t>
      </w:r>
      <w:r>
        <w:rPr/>
        <w:t>on</w:t>
      </w:r>
      <w:r>
        <w:rPr>
          <w:spacing w:val="-7"/>
        </w:rPr>
        <w:t> </w:t>
      </w:r>
      <w:r>
        <w:rPr/>
        <w:t>riparian-dependent resource conditions (e.g., within geologically stable areas, avoiding major spawning sites).</w:t>
      </w:r>
    </w:p>
    <w:p>
      <w:pPr>
        <w:spacing w:before="234"/>
        <w:ind w:left="359" w:right="0" w:firstLine="0"/>
        <w:jc w:val="left"/>
        <w:rPr>
          <w:rFonts w:ascii="Arial" w:hAnsi="Arial"/>
          <w:i/>
          <w:sz w:val="22"/>
        </w:rPr>
      </w:pPr>
      <w:bookmarkStart w:name="MA-GDL-RMA-16. Recreation Management – E" w:id="760"/>
      <w:bookmarkEnd w:id="760"/>
      <w:r>
        <w:rPr/>
      </w:r>
      <w:r>
        <w:rPr>
          <w:rFonts w:ascii="Arial" w:hAnsi="Arial"/>
          <w:i/>
          <w:sz w:val="22"/>
        </w:rPr>
        <w:t>MA-GDL-RMA-16.</w:t>
      </w:r>
      <w:r>
        <w:rPr>
          <w:rFonts w:ascii="Arial" w:hAnsi="Arial"/>
          <w:i/>
          <w:spacing w:val="-11"/>
          <w:sz w:val="22"/>
        </w:rPr>
        <w:t> </w:t>
      </w:r>
      <w:r>
        <w:rPr>
          <w:rFonts w:ascii="Arial" w:hAnsi="Arial"/>
          <w:i/>
          <w:sz w:val="22"/>
        </w:rPr>
        <w:t>Recreation</w:t>
      </w:r>
      <w:r>
        <w:rPr>
          <w:rFonts w:ascii="Arial" w:hAnsi="Arial"/>
          <w:i/>
          <w:spacing w:val="-7"/>
          <w:sz w:val="22"/>
        </w:rPr>
        <w:t> </w:t>
      </w:r>
      <w:r>
        <w:rPr>
          <w:rFonts w:ascii="Arial" w:hAnsi="Arial"/>
          <w:i/>
          <w:sz w:val="22"/>
        </w:rPr>
        <w:t>Management</w:t>
      </w:r>
      <w:r>
        <w:rPr>
          <w:rFonts w:ascii="Arial" w:hAnsi="Arial"/>
          <w:i/>
          <w:spacing w:val="-6"/>
          <w:sz w:val="22"/>
        </w:rPr>
        <w:t> </w:t>
      </w:r>
      <w:r>
        <w:rPr>
          <w:rFonts w:ascii="Arial" w:hAnsi="Arial"/>
          <w:i/>
          <w:sz w:val="22"/>
        </w:rPr>
        <w:t>–</w:t>
      </w:r>
      <w:r>
        <w:rPr>
          <w:rFonts w:ascii="Arial" w:hAnsi="Arial"/>
          <w:i/>
          <w:spacing w:val="-8"/>
          <w:sz w:val="22"/>
        </w:rPr>
        <w:t> </w:t>
      </w:r>
      <w:r>
        <w:rPr>
          <w:rFonts w:ascii="Arial" w:hAnsi="Arial"/>
          <w:i/>
          <w:sz w:val="22"/>
        </w:rPr>
        <w:t>Existing</w:t>
      </w:r>
      <w:r>
        <w:rPr>
          <w:rFonts w:ascii="Arial" w:hAnsi="Arial"/>
          <w:i/>
          <w:spacing w:val="-7"/>
          <w:sz w:val="22"/>
        </w:rPr>
        <w:t> </w:t>
      </w:r>
      <w:r>
        <w:rPr>
          <w:rFonts w:ascii="Arial" w:hAnsi="Arial"/>
          <w:i/>
          <w:spacing w:val="-2"/>
          <w:sz w:val="22"/>
        </w:rPr>
        <w:t>Facilities</w:t>
      </w:r>
    </w:p>
    <w:p>
      <w:pPr>
        <w:pStyle w:val="BodyText"/>
        <w:spacing w:line="232" w:lineRule="auto" w:before="65"/>
        <w:ind w:left="359" w:right="1621"/>
      </w:pPr>
      <w:r>
        <w:rPr/>
        <w:t>Consider</w:t>
      </w:r>
      <w:r>
        <w:rPr>
          <w:spacing w:val="-7"/>
        </w:rPr>
        <w:t> </w:t>
      </w:r>
      <w:r>
        <w:rPr/>
        <w:t>removing,</w:t>
      </w:r>
      <w:r>
        <w:rPr>
          <w:spacing w:val="-7"/>
        </w:rPr>
        <w:t> </w:t>
      </w:r>
      <w:r>
        <w:rPr/>
        <w:t>or</w:t>
      </w:r>
      <w:r>
        <w:rPr>
          <w:spacing w:val="-7"/>
        </w:rPr>
        <w:t> </w:t>
      </w:r>
      <w:r>
        <w:rPr/>
        <w:t>relocating,</w:t>
      </w:r>
      <w:r>
        <w:rPr>
          <w:spacing w:val="-6"/>
        </w:rPr>
        <w:t> </w:t>
      </w:r>
      <w:r>
        <w:rPr/>
        <w:t>or</w:t>
      </w:r>
      <w:r>
        <w:rPr>
          <w:spacing w:val="-6"/>
        </w:rPr>
        <w:t> </w:t>
      </w:r>
      <w:r>
        <w:rPr/>
        <w:t>re-designing</w:t>
      </w:r>
      <w:r>
        <w:rPr>
          <w:spacing w:val="-6"/>
        </w:rPr>
        <w:t> </w:t>
      </w:r>
      <w:r>
        <w:rPr/>
        <w:t>existing</w:t>
      </w:r>
      <w:r>
        <w:rPr>
          <w:spacing w:val="-6"/>
        </w:rPr>
        <w:t> </w:t>
      </w:r>
      <w:r>
        <w:rPr/>
        <w:t>recreation</w:t>
      </w:r>
      <w:r>
        <w:rPr>
          <w:spacing w:val="-6"/>
        </w:rPr>
        <w:t> </w:t>
      </w:r>
      <w:r>
        <w:rPr/>
        <w:t>facilities</w:t>
      </w:r>
      <w:r>
        <w:rPr>
          <w:spacing w:val="-7"/>
        </w:rPr>
        <w:t> </w:t>
      </w:r>
      <w:r>
        <w:rPr/>
        <w:t>that</w:t>
      </w:r>
      <w:r>
        <w:rPr>
          <w:spacing w:val="-7"/>
        </w:rPr>
        <w:t> </w:t>
      </w:r>
      <w:r>
        <w:rPr/>
        <w:t>are</w:t>
      </w:r>
      <w:r>
        <w:rPr>
          <w:spacing w:val="-5"/>
        </w:rPr>
        <w:t> </w:t>
      </w:r>
      <w:r>
        <w:rPr/>
        <w:t>not meeting desired conditions in RMAs or are in active floodplains.</w:t>
      </w:r>
    </w:p>
    <w:p>
      <w:pPr>
        <w:spacing w:before="234"/>
        <w:ind w:left="359" w:right="0" w:firstLine="0"/>
        <w:jc w:val="left"/>
        <w:rPr>
          <w:rFonts w:ascii="Arial" w:hAnsi="Arial"/>
          <w:i/>
          <w:sz w:val="22"/>
        </w:rPr>
      </w:pPr>
      <w:bookmarkStart w:name="MA-GDL-RMA-17. Wildland Fire and Fuels M" w:id="761"/>
      <w:bookmarkEnd w:id="761"/>
      <w:r>
        <w:rPr/>
      </w:r>
      <w:r>
        <w:rPr>
          <w:rFonts w:ascii="Arial" w:hAnsi="Arial"/>
          <w:i/>
          <w:sz w:val="22"/>
        </w:rPr>
        <w:t>MA-GDL-RMA-17.</w:t>
      </w:r>
      <w:r>
        <w:rPr>
          <w:rFonts w:ascii="Arial" w:hAnsi="Arial"/>
          <w:i/>
          <w:spacing w:val="-9"/>
          <w:sz w:val="22"/>
        </w:rPr>
        <w:t> </w:t>
      </w:r>
      <w:r>
        <w:rPr>
          <w:rFonts w:ascii="Arial" w:hAnsi="Arial"/>
          <w:i/>
          <w:sz w:val="22"/>
        </w:rPr>
        <w:t>Wildland</w:t>
      </w:r>
      <w:r>
        <w:rPr>
          <w:rFonts w:ascii="Arial" w:hAnsi="Arial"/>
          <w:i/>
          <w:spacing w:val="-6"/>
          <w:sz w:val="22"/>
        </w:rPr>
        <w:t> </w:t>
      </w:r>
      <w:r>
        <w:rPr>
          <w:rFonts w:ascii="Arial" w:hAnsi="Arial"/>
          <w:i/>
          <w:sz w:val="22"/>
        </w:rPr>
        <w:t>Fire</w:t>
      </w:r>
      <w:r>
        <w:rPr>
          <w:rFonts w:ascii="Arial" w:hAnsi="Arial"/>
          <w:i/>
          <w:spacing w:val="-6"/>
          <w:sz w:val="22"/>
        </w:rPr>
        <w:t> </w:t>
      </w:r>
      <w:r>
        <w:rPr>
          <w:rFonts w:ascii="Arial" w:hAnsi="Arial"/>
          <w:i/>
          <w:sz w:val="22"/>
        </w:rPr>
        <w:t>and</w:t>
      </w:r>
      <w:r>
        <w:rPr>
          <w:rFonts w:ascii="Arial" w:hAnsi="Arial"/>
          <w:i/>
          <w:spacing w:val="-8"/>
          <w:sz w:val="22"/>
        </w:rPr>
        <w:t> </w:t>
      </w:r>
      <w:r>
        <w:rPr>
          <w:rFonts w:ascii="Arial" w:hAnsi="Arial"/>
          <w:i/>
          <w:sz w:val="22"/>
        </w:rPr>
        <w:t>Fuels</w:t>
      </w:r>
      <w:r>
        <w:rPr>
          <w:rFonts w:ascii="Arial" w:hAnsi="Arial"/>
          <w:i/>
          <w:spacing w:val="-5"/>
          <w:sz w:val="22"/>
        </w:rPr>
        <w:t> </w:t>
      </w:r>
      <w:r>
        <w:rPr>
          <w:rFonts w:ascii="Arial" w:hAnsi="Arial"/>
          <w:i/>
          <w:sz w:val="22"/>
        </w:rPr>
        <w:t>Management</w:t>
      </w:r>
      <w:r>
        <w:rPr>
          <w:rFonts w:ascii="Arial" w:hAnsi="Arial"/>
          <w:i/>
          <w:spacing w:val="-6"/>
          <w:sz w:val="22"/>
        </w:rPr>
        <w:t> </w:t>
      </w:r>
      <w:r>
        <w:rPr>
          <w:rFonts w:ascii="Arial" w:hAnsi="Arial"/>
          <w:i/>
          <w:sz w:val="22"/>
        </w:rPr>
        <w:t>–</w:t>
      </w:r>
      <w:r>
        <w:rPr>
          <w:rFonts w:ascii="Arial" w:hAnsi="Arial"/>
          <w:i/>
          <w:spacing w:val="-7"/>
          <w:sz w:val="22"/>
        </w:rPr>
        <w:t> </w:t>
      </w:r>
      <w:r>
        <w:rPr>
          <w:rFonts w:ascii="Arial" w:hAnsi="Arial"/>
          <w:i/>
          <w:sz w:val="22"/>
        </w:rPr>
        <w:t>Temporary</w:t>
      </w:r>
      <w:r>
        <w:rPr>
          <w:rFonts w:ascii="Arial" w:hAnsi="Arial"/>
          <w:i/>
          <w:spacing w:val="-7"/>
          <w:sz w:val="22"/>
        </w:rPr>
        <w:t> </w:t>
      </w:r>
      <w:r>
        <w:rPr>
          <w:rFonts w:ascii="Arial" w:hAnsi="Arial"/>
          <w:i/>
          <w:sz w:val="22"/>
        </w:rPr>
        <w:t>Fire</w:t>
      </w:r>
      <w:r>
        <w:rPr>
          <w:rFonts w:ascii="Arial" w:hAnsi="Arial"/>
          <w:i/>
          <w:spacing w:val="-6"/>
          <w:sz w:val="22"/>
        </w:rPr>
        <w:t> </w:t>
      </w:r>
      <w:r>
        <w:rPr>
          <w:rFonts w:ascii="Arial" w:hAnsi="Arial"/>
          <w:i/>
          <w:spacing w:val="-2"/>
          <w:sz w:val="22"/>
        </w:rPr>
        <w:t>Facilities</w:t>
      </w:r>
    </w:p>
    <w:p>
      <w:pPr>
        <w:pStyle w:val="BodyText"/>
        <w:spacing w:line="232" w:lineRule="auto" w:before="65"/>
        <w:ind w:left="359" w:right="1445"/>
      </w:pPr>
      <w:r>
        <w:rPr/>
        <w:t>Temporary fire facilities (such as incident bases, camps, staging areas, helispots, and other centers)</w:t>
      </w:r>
      <w:r>
        <w:rPr>
          <w:spacing w:val="-6"/>
        </w:rPr>
        <w:t> </w:t>
      </w:r>
      <w:r>
        <w:rPr/>
        <w:t>for</w:t>
      </w:r>
      <w:r>
        <w:rPr>
          <w:spacing w:val="-6"/>
        </w:rPr>
        <w:t> </w:t>
      </w:r>
      <w:r>
        <w:rPr/>
        <w:t>incident</w:t>
      </w:r>
      <w:r>
        <w:rPr>
          <w:spacing w:val="-7"/>
        </w:rPr>
        <w:t> </w:t>
      </w:r>
      <w:r>
        <w:rPr/>
        <w:t>activities</w:t>
      </w:r>
      <w:r>
        <w:rPr>
          <w:spacing w:val="-6"/>
        </w:rPr>
        <w:t> </w:t>
      </w:r>
      <w:r>
        <w:rPr/>
        <w:t>should</w:t>
      </w:r>
      <w:r>
        <w:rPr>
          <w:spacing w:val="-7"/>
        </w:rPr>
        <w:t> </w:t>
      </w:r>
      <w:r>
        <w:rPr/>
        <w:t>be</w:t>
      </w:r>
      <w:r>
        <w:rPr>
          <w:spacing w:val="-5"/>
        </w:rPr>
        <w:t> </w:t>
      </w:r>
      <w:r>
        <w:rPr/>
        <w:t>located</w:t>
      </w:r>
      <w:r>
        <w:rPr>
          <w:spacing w:val="-8"/>
        </w:rPr>
        <w:t> </w:t>
      </w:r>
      <w:r>
        <w:rPr/>
        <w:t>outside</w:t>
      </w:r>
      <w:r>
        <w:rPr>
          <w:spacing w:val="-5"/>
        </w:rPr>
        <w:t> </w:t>
      </w:r>
      <w:r>
        <w:rPr/>
        <w:t>RMAs.</w:t>
      </w:r>
      <w:r>
        <w:rPr>
          <w:spacing w:val="-6"/>
        </w:rPr>
        <w:t> </w:t>
      </w:r>
      <w:r>
        <w:rPr/>
        <w:t>When</w:t>
      </w:r>
      <w:r>
        <w:rPr>
          <w:spacing w:val="-8"/>
        </w:rPr>
        <w:t> </w:t>
      </w:r>
      <w:r>
        <w:rPr/>
        <w:t>no</w:t>
      </w:r>
      <w:r>
        <w:rPr>
          <w:spacing w:val="-5"/>
        </w:rPr>
        <w:t> </w:t>
      </w:r>
      <w:r>
        <w:rPr/>
        <w:t>practical</w:t>
      </w:r>
      <w:r>
        <w:rPr>
          <w:spacing w:val="-8"/>
        </w:rPr>
        <w:t> </w:t>
      </w:r>
      <w:r>
        <w:rPr/>
        <w:t>alternative exists, all appropriate measures to maintain, restore, or enhance aquatic and riparian- dependent resources should be used.</w:t>
      </w:r>
    </w:p>
    <w:p>
      <w:pPr>
        <w:spacing w:before="234"/>
        <w:ind w:left="359" w:right="0" w:firstLine="0"/>
        <w:jc w:val="left"/>
        <w:rPr>
          <w:rFonts w:ascii="Arial"/>
          <w:i/>
          <w:sz w:val="22"/>
        </w:rPr>
      </w:pPr>
      <w:bookmarkStart w:name="MA-GDL-RMA-18. Water Drafting Sites" w:id="762"/>
      <w:bookmarkEnd w:id="762"/>
      <w:r>
        <w:rPr/>
      </w:r>
      <w:r>
        <w:rPr>
          <w:rFonts w:ascii="Arial"/>
          <w:i/>
          <w:sz w:val="22"/>
        </w:rPr>
        <w:t>MA-GDL-RMA-18.</w:t>
      </w:r>
      <w:r>
        <w:rPr>
          <w:rFonts w:ascii="Arial"/>
          <w:i/>
          <w:spacing w:val="-10"/>
          <w:sz w:val="22"/>
        </w:rPr>
        <w:t> </w:t>
      </w:r>
      <w:r>
        <w:rPr>
          <w:rFonts w:ascii="Arial"/>
          <w:i/>
          <w:sz w:val="22"/>
        </w:rPr>
        <w:t>Water</w:t>
      </w:r>
      <w:r>
        <w:rPr>
          <w:rFonts w:ascii="Arial"/>
          <w:i/>
          <w:spacing w:val="-8"/>
          <w:sz w:val="22"/>
        </w:rPr>
        <w:t> </w:t>
      </w:r>
      <w:r>
        <w:rPr>
          <w:rFonts w:ascii="Arial"/>
          <w:i/>
          <w:sz w:val="22"/>
        </w:rPr>
        <w:t>Drafting</w:t>
      </w:r>
      <w:r>
        <w:rPr>
          <w:rFonts w:ascii="Arial"/>
          <w:i/>
          <w:spacing w:val="-6"/>
          <w:sz w:val="22"/>
        </w:rPr>
        <w:t> </w:t>
      </w:r>
      <w:r>
        <w:rPr>
          <w:rFonts w:ascii="Arial"/>
          <w:i/>
          <w:spacing w:val="-4"/>
          <w:sz w:val="22"/>
        </w:rPr>
        <w:t>Sites</w:t>
      </w:r>
    </w:p>
    <w:p>
      <w:pPr>
        <w:pStyle w:val="BodyText"/>
        <w:spacing w:line="232" w:lineRule="auto" w:before="65"/>
        <w:ind w:left="359" w:right="1445"/>
      </w:pPr>
      <w:r>
        <w:rPr/>
        <w:t>Water drafting sites should be located and managed to minimize adverse effects on stream channel</w:t>
      </w:r>
      <w:r>
        <w:rPr>
          <w:spacing w:val="-6"/>
        </w:rPr>
        <w:t> </w:t>
      </w:r>
      <w:r>
        <w:rPr/>
        <w:t>stability</w:t>
      </w:r>
      <w:r>
        <w:rPr>
          <w:spacing w:val="-5"/>
        </w:rPr>
        <w:t> </w:t>
      </w:r>
      <w:r>
        <w:rPr/>
        <w:t>and</w:t>
      </w:r>
      <w:r>
        <w:rPr>
          <w:spacing w:val="-7"/>
        </w:rPr>
        <w:t> </w:t>
      </w:r>
      <w:r>
        <w:rPr/>
        <w:t>instream</w:t>
      </w:r>
      <w:r>
        <w:rPr>
          <w:spacing w:val="-5"/>
        </w:rPr>
        <w:t> </w:t>
      </w:r>
      <w:r>
        <w:rPr/>
        <w:t>flows</w:t>
      </w:r>
      <w:r>
        <w:rPr>
          <w:spacing w:val="-6"/>
        </w:rPr>
        <w:t> </w:t>
      </w:r>
      <w:r>
        <w:rPr/>
        <w:t>needed</w:t>
      </w:r>
      <w:r>
        <w:rPr>
          <w:spacing w:val="-7"/>
        </w:rPr>
        <w:t> </w:t>
      </w:r>
      <w:r>
        <w:rPr/>
        <w:t>to</w:t>
      </w:r>
      <w:r>
        <w:rPr>
          <w:spacing w:val="-7"/>
        </w:rPr>
        <w:t> </w:t>
      </w:r>
      <w:r>
        <w:rPr/>
        <w:t>maintain</w:t>
      </w:r>
      <w:r>
        <w:rPr>
          <w:spacing w:val="-7"/>
        </w:rPr>
        <w:t> </w:t>
      </w:r>
      <w:r>
        <w:rPr/>
        <w:t>riparian</w:t>
      </w:r>
      <w:r>
        <w:rPr>
          <w:spacing w:val="-7"/>
        </w:rPr>
        <w:t> </w:t>
      </w:r>
      <w:r>
        <w:rPr/>
        <w:t>resources,</w:t>
      </w:r>
      <w:r>
        <w:rPr>
          <w:spacing w:val="-6"/>
        </w:rPr>
        <w:t> </w:t>
      </w:r>
      <w:r>
        <w:rPr/>
        <w:t>channel</w:t>
      </w:r>
      <w:r>
        <w:rPr>
          <w:spacing w:val="-6"/>
        </w:rPr>
        <w:t> </w:t>
      </w:r>
      <w:r>
        <w:rPr/>
        <w:t>conditions, and fish habitat.</w:t>
      </w:r>
    </w:p>
    <w:p>
      <w:pPr>
        <w:spacing w:before="233"/>
        <w:ind w:left="359" w:right="0" w:firstLine="0"/>
        <w:jc w:val="left"/>
        <w:rPr>
          <w:rFonts w:ascii="Arial" w:hAnsi="Arial"/>
          <w:i/>
          <w:sz w:val="22"/>
        </w:rPr>
      </w:pPr>
      <w:bookmarkStart w:name="MA-GDL-RMA-19. Wildland Fire and Fuels M" w:id="763"/>
      <w:bookmarkEnd w:id="763"/>
      <w:r>
        <w:rPr/>
      </w:r>
      <w:r>
        <w:rPr>
          <w:rFonts w:ascii="Arial" w:hAnsi="Arial"/>
          <w:i/>
          <w:sz w:val="22"/>
        </w:rPr>
        <w:t>MA-GDL-RMA-19.</w:t>
      </w:r>
      <w:r>
        <w:rPr>
          <w:rFonts w:ascii="Arial" w:hAnsi="Arial"/>
          <w:i/>
          <w:spacing w:val="-11"/>
          <w:sz w:val="22"/>
        </w:rPr>
        <w:t> </w:t>
      </w:r>
      <w:r>
        <w:rPr>
          <w:rFonts w:ascii="Arial" w:hAnsi="Arial"/>
          <w:i/>
          <w:sz w:val="22"/>
        </w:rPr>
        <w:t>Wildland</w:t>
      </w:r>
      <w:r>
        <w:rPr>
          <w:rFonts w:ascii="Arial" w:hAnsi="Arial"/>
          <w:i/>
          <w:spacing w:val="-5"/>
          <w:sz w:val="22"/>
        </w:rPr>
        <w:t> </w:t>
      </w:r>
      <w:r>
        <w:rPr>
          <w:rFonts w:ascii="Arial" w:hAnsi="Arial"/>
          <w:i/>
          <w:sz w:val="22"/>
        </w:rPr>
        <w:t>Fire</w:t>
      </w:r>
      <w:r>
        <w:rPr>
          <w:rFonts w:ascii="Arial" w:hAnsi="Arial"/>
          <w:i/>
          <w:spacing w:val="-5"/>
          <w:sz w:val="22"/>
        </w:rPr>
        <w:t> </w:t>
      </w:r>
      <w:r>
        <w:rPr>
          <w:rFonts w:ascii="Arial" w:hAnsi="Arial"/>
          <w:i/>
          <w:sz w:val="22"/>
        </w:rPr>
        <w:t>and</w:t>
      </w:r>
      <w:r>
        <w:rPr>
          <w:rFonts w:ascii="Arial" w:hAnsi="Arial"/>
          <w:i/>
          <w:spacing w:val="-7"/>
          <w:sz w:val="22"/>
        </w:rPr>
        <w:t> </w:t>
      </w:r>
      <w:r>
        <w:rPr>
          <w:rFonts w:ascii="Arial" w:hAnsi="Arial"/>
          <w:i/>
          <w:sz w:val="22"/>
        </w:rPr>
        <w:t>Fuels</w:t>
      </w:r>
      <w:r>
        <w:rPr>
          <w:rFonts w:ascii="Arial" w:hAnsi="Arial"/>
          <w:i/>
          <w:spacing w:val="-5"/>
          <w:sz w:val="22"/>
        </w:rPr>
        <w:t> </w:t>
      </w:r>
      <w:r>
        <w:rPr>
          <w:rFonts w:ascii="Arial" w:hAnsi="Arial"/>
          <w:i/>
          <w:sz w:val="22"/>
        </w:rPr>
        <w:t>Management</w:t>
      </w:r>
      <w:r>
        <w:rPr>
          <w:rFonts w:ascii="Arial" w:hAnsi="Arial"/>
          <w:i/>
          <w:spacing w:val="-5"/>
          <w:sz w:val="22"/>
        </w:rPr>
        <w:t> </w:t>
      </w:r>
      <w:r>
        <w:rPr>
          <w:rFonts w:ascii="Arial" w:hAnsi="Arial"/>
          <w:i/>
          <w:sz w:val="22"/>
        </w:rPr>
        <w:t>–</w:t>
      </w:r>
      <w:r>
        <w:rPr>
          <w:rFonts w:ascii="Arial" w:hAnsi="Arial"/>
          <w:i/>
          <w:spacing w:val="-5"/>
          <w:sz w:val="22"/>
        </w:rPr>
        <w:t> </w:t>
      </w:r>
      <w:r>
        <w:rPr>
          <w:rFonts w:ascii="Arial" w:hAnsi="Arial"/>
          <w:i/>
          <w:sz w:val="22"/>
        </w:rPr>
        <w:t>Fire</w:t>
      </w:r>
      <w:r>
        <w:rPr>
          <w:rFonts w:ascii="Arial" w:hAnsi="Arial"/>
          <w:i/>
          <w:spacing w:val="-7"/>
          <w:sz w:val="22"/>
        </w:rPr>
        <w:t> </w:t>
      </w:r>
      <w:r>
        <w:rPr>
          <w:rFonts w:ascii="Arial" w:hAnsi="Arial"/>
          <w:i/>
          <w:sz w:val="22"/>
        </w:rPr>
        <w:t>Line</w:t>
      </w:r>
      <w:r>
        <w:rPr>
          <w:rFonts w:ascii="Arial" w:hAnsi="Arial"/>
          <w:i/>
          <w:spacing w:val="-5"/>
          <w:sz w:val="22"/>
        </w:rPr>
        <w:t> </w:t>
      </w:r>
      <w:r>
        <w:rPr>
          <w:rFonts w:ascii="Arial" w:hAnsi="Arial"/>
          <w:i/>
          <w:spacing w:val="-2"/>
          <w:sz w:val="22"/>
        </w:rPr>
        <w:t>Construction</w:t>
      </w:r>
    </w:p>
    <w:p>
      <w:pPr>
        <w:pStyle w:val="BodyText"/>
        <w:spacing w:line="232" w:lineRule="auto" w:before="64"/>
        <w:ind w:left="359" w:right="1445"/>
      </w:pPr>
      <w:r>
        <w:rPr/>
        <w:t>Water bars on fire lines should be located and configured to minimize sediment delivery to streams</w:t>
      </w:r>
      <w:r>
        <w:rPr>
          <w:spacing w:val="-5"/>
        </w:rPr>
        <w:t> </w:t>
      </w:r>
      <w:r>
        <w:rPr/>
        <w:t>and</w:t>
      </w:r>
      <w:r>
        <w:rPr>
          <w:spacing w:val="-8"/>
        </w:rPr>
        <w:t> </w:t>
      </w:r>
      <w:r>
        <w:rPr/>
        <w:t>to</w:t>
      </w:r>
      <w:r>
        <w:rPr>
          <w:spacing w:val="-6"/>
        </w:rPr>
        <w:t> </w:t>
      </w:r>
      <w:r>
        <w:rPr/>
        <w:t>minimize</w:t>
      </w:r>
      <w:r>
        <w:rPr>
          <w:spacing w:val="-7"/>
        </w:rPr>
        <w:t> </w:t>
      </w:r>
      <w:r>
        <w:rPr/>
        <w:t>creation</w:t>
      </w:r>
      <w:r>
        <w:rPr>
          <w:spacing w:val="-8"/>
        </w:rPr>
        <w:t> </w:t>
      </w:r>
      <w:r>
        <w:rPr/>
        <w:t>of</w:t>
      </w:r>
      <w:r>
        <w:rPr>
          <w:spacing w:val="-5"/>
        </w:rPr>
        <w:t> </w:t>
      </w:r>
      <w:r>
        <w:rPr/>
        <w:t>new</w:t>
      </w:r>
      <w:r>
        <w:rPr>
          <w:spacing w:val="-7"/>
        </w:rPr>
        <w:t> </w:t>
      </w:r>
      <w:r>
        <w:rPr/>
        <w:t>stream</w:t>
      </w:r>
      <w:r>
        <w:rPr>
          <w:spacing w:val="-4"/>
        </w:rPr>
        <w:t> </w:t>
      </w:r>
      <w:r>
        <w:rPr/>
        <w:t>channels</w:t>
      </w:r>
      <w:r>
        <w:rPr>
          <w:spacing w:val="-5"/>
        </w:rPr>
        <w:t> </w:t>
      </w:r>
      <w:r>
        <w:rPr/>
        <w:t>and</w:t>
      </w:r>
      <w:r>
        <w:rPr>
          <w:spacing w:val="-6"/>
        </w:rPr>
        <w:t> </w:t>
      </w:r>
      <w:r>
        <w:rPr/>
        <w:t>unauthorized</w:t>
      </w:r>
      <w:r>
        <w:rPr>
          <w:spacing w:val="-8"/>
        </w:rPr>
        <w:t> </w:t>
      </w:r>
      <w:r>
        <w:rPr/>
        <w:t>roads</w:t>
      </w:r>
      <w:r>
        <w:rPr>
          <w:spacing w:val="-5"/>
        </w:rPr>
        <w:t> </w:t>
      </w:r>
      <w:r>
        <w:rPr/>
        <w:t>and</w:t>
      </w:r>
      <w:r>
        <w:rPr>
          <w:spacing w:val="-6"/>
        </w:rPr>
        <w:t> </w:t>
      </w:r>
      <w:r>
        <w:rPr/>
        <w:t>trails.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2" w:right="0" w:firstLine="0"/>
        <w:jc w:val="left"/>
        <w:rPr>
          <w:rFonts w:ascii="Arial" w:hAnsi="Arial"/>
          <w:i/>
          <w:sz w:val="22"/>
        </w:rPr>
      </w:pPr>
      <w:bookmarkStart w:name="MA-GDL-RMA-20. Wildland Fire and Fuels M" w:id="764"/>
      <w:bookmarkEnd w:id="764"/>
      <w:r>
        <w:rPr/>
      </w:r>
      <w:r>
        <w:rPr>
          <w:rFonts w:ascii="Arial" w:hAnsi="Arial"/>
          <w:i/>
          <w:sz w:val="22"/>
        </w:rPr>
        <w:t>MA-GDL-RMA-20.</w:t>
      </w:r>
      <w:r>
        <w:rPr>
          <w:rFonts w:ascii="Arial" w:hAnsi="Arial"/>
          <w:i/>
          <w:spacing w:val="-11"/>
          <w:sz w:val="22"/>
        </w:rPr>
        <w:t> </w:t>
      </w:r>
      <w:r>
        <w:rPr>
          <w:rFonts w:ascii="Arial" w:hAnsi="Arial"/>
          <w:i/>
          <w:sz w:val="22"/>
        </w:rPr>
        <w:t>Wildland</w:t>
      </w:r>
      <w:r>
        <w:rPr>
          <w:rFonts w:ascii="Arial" w:hAnsi="Arial"/>
          <w:i/>
          <w:spacing w:val="-7"/>
          <w:sz w:val="22"/>
        </w:rPr>
        <w:t> </w:t>
      </w:r>
      <w:r>
        <w:rPr>
          <w:rFonts w:ascii="Arial" w:hAnsi="Arial"/>
          <w:i/>
          <w:sz w:val="22"/>
        </w:rPr>
        <w:t>Fire</w:t>
      </w:r>
      <w:r>
        <w:rPr>
          <w:rFonts w:ascii="Arial" w:hAnsi="Arial"/>
          <w:i/>
          <w:spacing w:val="-6"/>
          <w:sz w:val="22"/>
        </w:rPr>
        <w:t> </w:t>
      </w:r>
      <w:r>
        <w:rPr>
          <w:rFonts w:ascii="Arial" w:hAnsi="Arial"/>
          <w:i/>
          <w:sz w:val="22"/>
        </w:rPr>
        <w:t>and</w:t>
      </w:r>
      <w:r>
        <w:rPr>
          <w:rFonts w:ascii="Arial" w:hAnsi="Arial"/>
          <w:i/>
          <w:spacing w:val="-8"/>
          <w:sz w:val="22"/>
        </w:rPr>
        <w:t> </w:t>
      </w:r>
      <w:r>
        <w:rPr>
          <w:rFonts w:ascii="Arial" w:hAnsi="Arial"/>
          <w:i/>
          <w:sz w:val="22"/>
        </w:rPr>
        <w:t>Fuels</w:t>
      </w:r>
      <w:r>
        <w:rPr>
          <w:rFonts w:ascii="Arial" w:hAnsi="Arial"/>
          <w:i/>
          <w:spacing w:val="-5"/>
          <w:sz w:val="22"/>
        </w:rPr>
        <w:t> </w:t>
      </w:r>
      <w:r>
        <w:rPr>
          <w:rFonts w:ascii="Arial" w:hAnsi="Arial"/>
          <w:i/>
          <w:sz w:val="22"/>
        </w:rPr>
        <w:t>Management</w:t>
      </w:r>
      <w:r>
        <w:rPr>
          <w:rFonts w:ascii="Arial" w:hAnsi="Arial"/>
          <w:i/>
          <w:spacing w:val="-7"/>
          <w:sz w:val="22"/>
        </w:rPr>
        <w:t> </w:t>
      </w:r>
      <w:r>
        <w:rPr>
          <w:rFonts w:ascii="Arial" w:hAnsi="Arial"/>
          <w:i/>
          <w:sz w:val="22"/>
        </w:rPr>
        <w:t>–</w:t>
      </w:r>
      <w:r>
        <w:rPr>
          <w:rFonts w:ascii="Arial" w:hAnsi="Arial"/>
          <w:i/>
          <w:spacing w:val="-6"/>
          <w:sz w:val="22"/>
        </w:rPr>
        <w:t> </w:t>
      </w:r>
      <w:r>
        <w:rPr>
          <w:rFonts w:ascii="Arial" w:hAnsi="Arial"/>
          <w:i/>
          <w:sz w:val="22"/>
        </w:rPr>
        <w:t>Burning</w:t>
      </w:r>
      <w:r>
        <w:rPr>
          <w:rFonts w:ascii="Arial" w:hAnsi="Arial"/>
          <w:i/>
          <w:spacing w:val="-6"/>
          <w:sz w:val="22"/>
        </w:rPr>
        <w:t> </w:t>
      </w:r>
      <w:r>
        <w:rPr>
          <w:rFonts w:ascii="Arial" w:hAnsi="Arial"/>
          <w:i/>
          <w:sz w:val="22"/>
        </w:rPr>
        <w:t>Masticated</w:t>
      </w:r>
      <w:r>
        <w:rPr>
          <w:rFonts w:ascii="Arial" w:hAnsi="Arial"/>
          <w:i/>
          <w:spacing w:val="-6"/>
          <w:sz w:val="22"/>
        </w:rPr>
        <w:t> </w:t>
      </w:r>
      <w:r>
        <w:rPr>
          <w:rFonts w:ascii="Arial" w:hAnsi="Arial"/>
          <w:i/>
          <w:spacing w:val="-2"/>
          <w:sz w:val="22"/>
        </w:rPr>
        <w:t>Fuels</w:t>
      </w:r>
    </w:p>
    <w:p>
      <w:pPr>
        <w:pStyle w:val="BodyText"/>
        <w:spacing w:line="232" w:lineRule="auto" w:before="65"/>
        <w:ind w:left="1152" w:right="801"/>
      </w:pPr>
      <w:r>
        <w:rPr/>
        <w:t>To</w:t>
      </w:r>
      <w:r>
        <w:rPr>
          <w:spacing w:val="-7"/>
        </w:rPr>
        <w:t> </w:t>
      </w:r>
      <w:r>
        <w:rPr/>
        <w:t>minimize</w:t>
      </w:r>
      <w:r>
        <w:rPr>
          <w:spacing w:val="-6"/>
        </w:rPr>
        <w:t> </w:t>
      </w:r>
      <w:r>
        <w:rPr/>
        <w:t>soil</w:t>
      </w:r>
      <w:r>
        <w:rPr>
          <w:spacing w:val="-6"/>
        </w:rPr>
        <w:t> </w:t>
      </w:r>
      <w:r>
        <w:rPr/>
        <w:t>damage</w:t>
      </w:r>
      <w:r>
        <w:rPr>
          <w:spacing w:val="-8"/>
        </w:rPr>
        <w:t> </w:t>
      </w:r>
      <w:r>
        <w:rPr/>
        <w:t>when</w:t>
      </w:r>
      <w:r>
        <w:rPr>
          <w:spacing w:val="-7"/>
        </w:rPr>
        <w:t> </w:t>
      </w:r>
      <w:r>
        <w:rPr/>
        <w:t>burning</w:t>
      </w:r>
      <w:r>
        <w:rPr>
          <w:spacing w:val="-7"/>
        </w:rPr>
        <w:t> </w:t>
      </w:r>
      <w:r>
        <w:rPr/>
        <w:t>masticated</w:t>
      </w:r>
      <w:r>
        <w:rPr>
          <w:spacing w:val="-7"/>
        </w:rPr>
        <w:t> </w:t>
      </w:r>
      <w:r>
        <w:rPr/>
        <w:t>fuels</w:t>
      </w:r>
      <w:r>
        <w:rPr>
          <w:spacing w:val="-6"/>
        </w:rPr>
        <w:t> </w:t>
      </w:r>
      <w:r>
        <w:rPr/>
        <w:t>within</w:t>
      </w:r>
      <w:r>
        <w:rPr>
          <w:spacing w:val="-7"/>
        </w:rPr>
        <w:t> </w:t>
      </w:r>
      <w:r>
        <w:rPr/>
        <w:t>RMAs,</w:t>
      </w:r>
      <w:r>
        <w:rPr>
          <w:spacing w:val="-6"/>
        </w:rPr>
        <w:t> </w:t>
      </w:r>
      <w:r>
        <w:rPr/>
        <w:t>burning</w:t>
      </w:r>
      <w:r>
        <w:rPr>
          <w:spacing w:val="-7"/>
        </w:rPr>
        <w:t> </w:t>
      </w:r>
      <w:r>
        <w:rPr/>
        <w:t>of</w:t>
      </w:r>
      <w:r>
        <w:rPr>
          <w:spacing w:val="-8"/>
        </w:rPr>
        <w:t> </w:t>
      </w:r>
      <w:r>
        <w:rPr/>
        <w:t>masticated fuel beds greater than 3 inches in depth should be accomplished with moist soil conditions.</w:t>
      </w:r>
    </w:p>
    <w:p>
      <w:pPr>
        <w:spacing w:before="234"/>
        <w:ind w:left="1152" w:right="0" w:firstLine="0"/>
        <w:jc w:val="left"/>
        <w:rPr>
          <w:rFonts w:ascii="Arial"/>
          <w:i/>
          <w:sz w:val="22"/>
        </w:rPr>
      </w:pPr>
      <w:bookmarkStart w:name="MA-GDL-RMA-21. Direct Ignition" w:id="765"/>
      <w:bookmarkEnd w:id="765"/>
      <w:r>
        <w:rPr/>
      </w:r>
      <w:r>
        <w:rPr>
          <w:rFonts w:ascii="Arial"/>
          <w:i/>
          <w:sz w:val="22"/>
        </w:rPr>
        <w:t>MA-GDL-RMA-21.</w:t>
      </w:r>
      <w:r>
        <w:rPr>
          <w:rFonts w:ascii="Arial"/>
          <w:i/>
          <w:spacing w:val="-9"/>
          <w:sz w:val="22"/>
        </w:rPr>
        <w:t> </w:t>
      </w:r>
      <w:r>
        <w:rPr>
          <w:rFonts w:ascii="Arial"/>
          <w:i/>
          <w:sz w:val="22"/>
        </w:rPr>
        <w:t>Direct</w:t>
      </w:r>
      <w:r>
        <w:rPr>
          <w:rFonts w:ascii="Arial"/>
          <w:i/>
          <w:spacing w:val="-8"/>
          <w:sz w:val="22"/>
        </w:rPr>
        <w:t> </w:t>
      </w:r>
      <w:r>
        <w:rPr>
          <w:rFonts w:ascii="Arial"/>
          <w:i/>
          <w:spacing w:val="-2"/>
          <w:sz w:val="22"/>
        </w:rPr>
        <w:t>Ignition</w:t>
      </w:r>
    </w:p>
    <w:p>
      <w:pPr>
        <w:pStyle w:val="BodyText"/>
        <w:spacing w:line="232" w:lineRule="auto" w:before="65"/>
        <w:ind w:left="1151" w:right="801"/>
      </w:pPr>
      <w:r>
        <w:rPr/>
        <w:t>Direct</w:t>
      </w:r>
      <w:r>
        <w:rPr>
          <w:spacing w:val="-4"/>
        </w:rPr>
        <w:t> </w:t>
      </w:r>
      <w:r>
        <w:rPr/>
        <w:t>ignition</w:t>
      </w:r>
      <w:r>
        <w:rPr>
          <w:spacing w:val="-6"/>
        </w:rPr>
        <w:t> </w:t>
      </w:r>
      <w:r>
        <w:rPr/>
        <w:t>in</w:t>
      </w:r>
      <w:r>
        <w:rPr>
          <w:spacing w:val="-6"/>
        </w:rPr>
        <w:t> </w:t>
      </w:r>
      <w:r>
        <w:rPr/>
        <w:t>RMAs</w:t>
      </w:r>
      <w:r>
        <w:rPr>
          <w:spacing w:val="-5"/>
        </w:rPr>
        <w:t> </w:t>
      </w:r>
      <w:r>
        <w:rPr/>
        <w:t>should</w:t>
      </w:r>
      <w:r>
        <w:rPr>
          <w:spacing w:val="-6"/>
        </w:rPr>
        <w:t> </w:t>
      </w:r>
      <w:r>
        <w:rPr/>
        <w:t>not</w:t>
      </w:r>
      <w:r>
        <w:rPr>
          <w:spacing w:val="-4"/>
        </w:rPr>
        <w:t> </w:t>
      </w:r>
      <w:r>
        <w:rPr/>
        <w:t>be</w:t>
      </w:r>
      <w:r>
        <w:rPr>
          <w:spacing w:val="-4"/>
        </w:rPr>
        <w:t> </w:t>
      </w:r>
      <w:r>
        <w:rPr/>
        <w:t>used</w:t>
      </w:r>
      <w:r>
        <w:rPr>
          <w:spacing w:val="-6"/>
        </w:rPr>
        <w:t> </w:t>
      </w:r>
      <w:r>
        <w:rPr/>
        <w:t>unless</w:t>
      </w:r>
      <w:r>
        <w:rPr>
          <w:spacing w:val="-7"/>
        </w:rPr>
        <w:t> </w:t>
      </w:r>
      <w:r>
        <w:rPr/>
        <w:t>effects</w:t>
      </w:r>
      <w:r>
        <w:rPr>
          <w:spacing w:val="-5"/>
        </w:rPr>
        <w:t> </w:t>
      </w:r>
      <w:r>
        <w:rPr/>
        <w:t>analysis</w:t>
      </w:r>
      <w:r>
        <w:rPr>
          <w:spacing w:val="-5"/>
        </w:rPr>
        <w:t> </w:t>
      </w:r>
      <w:r>
        <w:rPr/>
        <w:t>demonstrates</w:t>
      </w:r>
      <w:r>
        <w:rPr>
          <w:spacing w:val="-6"/>
        </w:rPr>
        <w:t> </w:t>
      </w:r>
      <w:r>
        <w:rPr/>
        <w:t>that</w:t>
      </w:r>
      <w:r>
        <w:rPr>
          <w:spacing w:val="-4"/>
        </w:rPr>
        <w:t> </w:t>
      </w:r>
      <w:r>
        <w:rPr/>
        <w:t>it</w:t>
      </w:r>
      <w:r>
        <w:rPr>
          <w:spacing w:val="-4"/>
        </w:rPr>
        <w:t> </w:t>
      </w:r>
      <w:r>
        <w:rPr/>
        <w:t>would not retard attainment of aquatic and riparian desired conditions.</w:t>
      </w:r>
    </w:p>
    <w:p>
      <w:pPr>
        <w:spacing w:before="234"/>
        <w:ind w:left="1151" w:right="0" w:firstLine="0"/>
        <w:jc w:val="left"/>
        <w:rPr>
          <w:rFonts w:ascii="Arial" w:hAnsi="Arial"/>
          <w:i/>
          <w:sz w:val="22"/>
        </w:rPr>
      </w:pPr>
      <w:bookmarkStart w:name="MA-GDL-RMA-22. Hydroelectric – Existing " w:id="766"/>
      <w:bookmarkEnd w:id="766"/>
      <w:r>
        <w:rPr/>
      </w:r>
      <w:r>
        <w:rPr>
          <w:rFonts w:ascii="Arial" w:hAnsi="Arial"/>
          <w:i/>
          <w:sz w:val="22"/>
        </w:rPr>
        <w:t>MA-GDL-RMA-22.</w:t>
      </w:r>
      <w:r>
        <w:rPr>
          <w:rFonts w:ascii="Arial" w:hAnsi="Arial"/>
          <w:i/>
          <w:spacing w:val="-9"/>
          <w:sz w:val="22"/>
        </w:rPr>
        <w:t> </w:t>
      </w:r>
      <w:r>
        <w:rPr>
          <w:rFonts w:ascii="Arial" w:hAnsi="Arial"/>
          <w:i/>
          <w:sz w:val="22"/>
        </w:rPr>
        <w:t>Hydroelectric</w:t>
      </w:r>
      <w:r>
        <w:rPr>
          <w:rFonts w:ascii="Arial" w:hAnsi="Arial"/>
          <w:i/>
          <w:spacing w:val="-6"/>
          <w:sz w:val="22"/>
        </w:rPr>
        <w:t> </w:t>
      </w:r>
      <w:r>
        <w:rPr>
          <w:rFonts w:ascii="Arial" w:hAnsi="Arial"/>
          <w:i/>
          <w:sz w:val="22"/>
        </w:rPr>
        <w:t>–</w:t>
      </w:r>
      <w:r>
        <w:rPr>
          <w:rFonts w:ascii="Arial" w:hAnsi="Arial"/>
          <w:i/>
          <w:spacing w:val="-9"/>
          <w:sz w:val="22"/>
        </w:rPr>
        <w:t> </w:t>
      </w:r>
      <w:r>
        <w:rPr>
          <w:rFonts w:ascii="Arial" w:hAnsi="Arial"/>
          <w:i/>
          <w:sz w:val="22"/>
        </w:rPr>
        <w:t>Existing</w:t>
      </w:r>
      <w:r>
        <w:rPr>
          <w:rFonts w:ascii="Arial" w:hAnsi="Arial"/>
          <w:i/>
          <w:spacing w:val="-7"/>
          <w:sz w:val="22"/>
        </w:rPr>
        <w:t> </w:t>
      </w:r>
      <w:r>
        <w:rPr>
          <w:rFonts w:ascii="Arial" w:hAnsi="Arial"/>
          <w:i/>
          <w:sz w:val="22"/>
        </w:rPr>
        <w:t>Support</w:t>
      </w:r>
      <w:r>
        <w:rPr>
          <w:rFonts w:ascii="Arial" w:hAnsi="Arial"/>
          <w:i/>
          <w:spacing w:val="-7"/>
          <w:sz w:val="22"/>
        </w:rPr>
        <w:t> </w:t>
      </w:r>
      <w:r>
        <w:rPr>
          <w:rFonts w:ascii="Arial" w:hAnsi="Arial"/>
          <w:i/>
          <w:spacing w:val="-2"/>
          <w:sz w:val="22"/>
        </w:rPr>
        <w:t>Facilities</w:t>
      </w:r>
    </w:p>
    <w:p>
      <w:pPr>
        <w:pStyle w:val="BodyText"/>
        <w:spacing w:line="232" w:lineRule="auto" w:before="67"/>
        <w:ind w:left="1151" w:right="1073"/>
      </w:pPr>
      <w:r>
        <w:rPr/>
        <w:t>Existing</w:t>
      </w:r>
      <w:r>
        <w:rPr>
          <w:spacing w:val="-6"/>
        </w:rPr>
        <w:t> </w:t>
      </w:r>
      <w:r>
        <w:rPr/>
        <w:t>support</w:t>
      </w:r>
      <w:r>
        <w:rPr>
          <w:spacing w:val="-4"/>
        </w:rPr>
        <w:t> </w:t>
      </w:r>
      <w:r>
        <w:rPr/>
        <w:t>facilities</w:t>
      </w:r>
      <w:r>
        <w:rPr>
          <w:spacing w:val="-5"/>
        </w:rPr>
        <w:t> </w:t>
      </w:r>
      <w:r>
        <w:rPr/>
        <w:t>that</w:t>
      </w:r>
      <w:r>
        <w:rPr>
          <w:spacing w:val="-4"/>
        </w:rPr>
        <w:t> </w:t>
      </w:r>
      <w:r>
        <w:rPr/>
        <w:t>are</w:t>
      </w:r>
      <w:r>
        <w:rPr>
          <w:spacing w:val="-7"/>
        </w:rPr>
        <w:t> </w:t>
      </w:r>
      <w:r>
        <w:rPr/>
        <w:t>located</w:t>
      </w:r>
      <w:r>
        <w:rPr>
          <w:spacing w:val="-6"/>
        </w:rPr>
        <w:t> </w:t>
      </w:r>
      <w:r>
        <w:rPr/>
        <w:t>within</w:t>
      </w:r>
      <w:r>
        <w:rPr>
          <w:spacing w:val="-6"/>
        </w:rPr>
        <w:t> </w:t>
      </w:r>
      <w:r>
        <w:rPr/>
        <w:t>RMAs</w:t>
      </w:r>
      <w:r>
        <w:rPr>
          <w:spacing w:val="-10"/>
        </w:rPr>
        <w:t> </w:t>
      </w:r>
      <w:r>
        <w:rPr/>
        <w:t>should</w:t>
      </w:r>
      <w:r>
        <w:rPr>
          <w:spacing w:val="-6"/>
        </w:rPr>
        <w:t> </w:t>
      </w:r>
      <w:r>
        <w:rPr/>
        <w:t>be</w:t>
      </w:r>
      <w:r>
        <w:rPr>
          <w:spacing w:val="-7"/>
        </w:rPr>
        <w:t> </w:t>
      </w:r>
      <w:r>
        <w:rPr/>
        <w:t>operated,</w:t>
      </w:r>
      <w:r>
        <w:rPr>
          <w:spacing w:val="-7"/>
        </w:rPr>
        <w:t> </w:t>
      </w:r>
      <w:r>
        <w:rPr/>
        <w:t>maintained,</w:t>
      </w:r>
      <w:r>
        <w:rPr>
          <w:spacing w:val="-5"/>
        </w:rPr>
        <w:t> </w:t>
      </w:r>
      <w:r>
        <w:rPr/>
        <w:t>or removed to restore or enhance aquatic and riparian-dependent resources.</w:t>
      </w:r>
    </w:p>
    <w:p>
      <w:pPr>
        <w:pStyle w:val="Heading4"/>
        <w:spacing w:before="235"/>
        <w:ind w:left="1151"/>
      </w:pPr>
      <w:bookmarkStart w:name="Suitable Uses" w:id="767"/>
      <w:bookmarkEnd w:id="767"/>
      <w:r>
        <w:rPr/>
      </w:r>
      <w:bookmarkStart w:name="_bookmark231" w:id="768"/>
      <w:bookmarkEnd w:id="768"/>
      <w:r>
        <w:rPr/>
      </w:r>
      <w:r>
        <w:rPr/>
        <w:t>Suitable</w:t>
      </w:r>
      <w:r>
        <w:rPr>
          <w:spacing w:val="-5"/>
        </w:rPr>
        <w:t> </w:t>
      </w:r>
      <w:r>
        <w:rPr>
          <w:spacing w:val="-4"/>
        </w:rPr>
        <w:t>Uses</w:t>
      </w:r>
    </w:p>
    <w:p>
      <w:pPr>
        <w:spacing w:before="237"/>
        <w:ind w:left="1151" w:right="0" w:firstLine="0"/>
        <w:jc w:val="left"/>
        <w:rPr>
          <w:rFonts w:ascii="Arial"/>
          <w:i/>
          <w:sz w:val="22"/>
        </w:rPr>
      </w:pPr>
      <w:bookmarkStart w:name="MA-SU-RMA-01. Suitable Uses" w:id="769"/>
      <w:bookmarkEnd w:id="769"/>
      <w:r>
        <w:rPr/>
      </w:r>
      <w:r>
        <w:rPr>
          <w:rFonts w:ascii="Arial"/>
          <w:i/>
          <w:sz w:val="22"/>
        </w:rPr>
        <w:t>MA-SU-RMA-01.</w:t>
      </w:r>
      <w:r>
        <w:rPr>
          <w:rFonts w:ascii="Arial"/>
          <w:i/>
          <w:spacing w:val="-10"/>
          <w:sz w:val="22"/>
        </w:rPr>
        <w:t> </w:t>
      </w:r>
      <w:r>
        <w:rPr>
          <w:rFonts w:ascii="Arial"/>
          <w:i/>
          <w:sz w:val="22"/>
        </w:rPr>
        <w:t>Suitable</w:t>
      </w:r>
      <w:r>
        <w:rPr>
          <w:rFonts w:ascii="Arial"/>
          <w:i/>
          <w:spacing w:val="-10"/>
          <w:sz w:val="22"/>
        </w:rPr>
        <w:t> </w:t>
      </w:r>
      <w:r>
        <w:rPr>
          <w:rFonts w:ascii="Arial"/>
          <w:i/>
          <w:spacing w:val="-4"/>
          <w:sz w:val="22"/>
        </w:rPr>
        <w:t>Uses</w:t>
      </w:r>
    </w:p>
    <w:p>
      <w:pPr>
        <w:pStyle w:val="BodyText"/>
        <w:spacing w:before="107"/>
        <w:rPr>
          <w:rFonts w:ascii="Arial"/>
          <w:i/>
        </w:rPr>
      </w:pPr>
    </w:p>
    <w:p>
      <w:pPr>
        <w:spacing w:before="0" w:after="42"/>
        <w:ind w:left="1151" w:right="0" w:firstLine="0"/>
        <w:jc w:val="left"/>
        <w:rPr>
          <w:rFonts w:ascii="Arial"/>
          <w:b/>
          <w:sz w:val="18"/>
        </w:rPr>
      </w:pPr>
      <w:bookmarkStart w:name="_bookmark232" w:id="770"/>
      <w:bookmarkEnd w:id="770"/>
      <w:r>
        <w:rPr/>
      </w:r>
      <w:r>
        <w:rPr>
          <w:rFonts w:ascii="Arial"/>
          <w:b/>
          <w:sz w:val="18"/>
        </w:rPr>
        <w:t>Table</w:t>
      </w:r>
      <w:r>
        <w:rPr>
          <w:rFonts w:ascii="Arial"/>
          <w:b/>
          <w:spacing w:val="-5"/>
          <w:sz w:val="18"/>
        </w:rPr>
        <w:t> </w:t>
      </w:r>
      <w:r>
        <w:rPr>
          <w:rFonts w:ascii="Arial"/>
          <w:b/>
          <w:sz w:val="18"/>
        </w:rPr>
        <w:t>27.</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2"/>
          <w:sz w:val="18"/>
        </w:rPr>
        <w:t> </w:t>
      </w:r>
      <w:r>
        <w:rPr>
          <w:rFonts w:ascii="Arial"/>
          <w:b/>
          <w:sz w:val="18"/>
        </w:rPr>
        <w:t>for</w:t>
      </w:r>
      <w:r>
        <w:rPr>
          <w:rFonts w:ascii="Arial"/>
          <w:b/>
          <w:spacing w:val="-3"/>
          <w:sz w:val="18"/>
        </w:rPr>
        <w:t> </w:t>
      </w:r>
      <w:r>
        <w:rPr>
          <w:rFonts w:ascii="Arial"/>
          <w:b/>
          <w:sz w:val="18"/>
        </w:rPr>
        <w:t>Riparian</w:t>
      </w:r>
      <w:r>
        <w:rPr>
          <w:rFonts w:ascii="Arial"/>
          <w:b/>
          <w:spacing w:val="-4"/>
          <w:sz w:val="18"/>
        </w:rPr>
        <w:t> </w:t>
      </w:r>
      <w:r>
        <w:rPr>
          <w:rFonts w:ascii="Arial"/>
          <w:b/>
          <w:sz w:val="18"/>
        </w:rPr>
        <w:t>Management</w:t>
      </w:r>
      <w:r>
        <w:rPr>
          <w:rFonts w:ascii="Arial"/>
          <w:b/>
          <w:spacing w:val="-3"/>
          <w:sz w:val="18"/>
        </w:rPr>
        <w:t> </w:t>
      </w:r>
      <w:r>
        <w:rPr>
          <w:rFonts w:ascii="Arial"/>
          <w:b/>
          <w:spacing w:val="-2"/>
          <w:sz w:val="18"/>
        </w:rPr>
        <w:t>Areas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653"/>
        <w:gridCol w:w="1472"/>
        <w:gridCol w:w="2425"/>
      </w:tblGrid>
      <w:tr>
        <w:trPr>
          <w:trHeight w:val="284" w:hRule="atLeast"/>
        </w:trPr>
        <w:tc>
          <w:tcPr>
            <w:tcW w:w="4653" w:type="dxa"/>
            <w:tcBorders>
              <w:right w:val="nil"/>
            </w:tcBorders>
            <w:shd w:val="clear" w:color="auto" w:fill="C2D59B"/>
          </w:tcPr>
          <w:p>
            <w:pPr>
              <w:pStyle w:val="TableParagraph"/>
              <w:ind w:left="23"/>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472" w:type="dxa"/>
            <w:tcBorders>
              <w:left w:val="nil"/>
              <w:right w:val="nil"/>
            </w:tcBorders>
            <w:shd w:val="clear" w:color="auto" w:fill="C2D59B"/>
          </w:tcPr>
          <w:p>
            <w:pPr>
              <w:pStyle w:val="TableParagraph"/>
              <w:ind w:left="47"/>
              <w:jc w:val="center"/>
              <w:rPr>
                <w:b/>
                <w:sz w:val="18"/>
              </w:rPr>
            </w:pPr>
            <w:r>
              <w:rPr>
                <w:b/>
                <w:sz w:val="18"/>
              </w:rPr>
              <w:t>May</w:t>
            </w:r>
            <w:r>
              <w:rPr>
                <w:b/>
                <w:spacing w:val="-9"/>
                <w:sz w:val="18"/>
              </w:rPr>
              <w:t> </w:t>
            </w:r>
            <w:r>
              <w:rPr>
                <w:b/>
                <w:spacing w:val="-2"/>
                <w:sz w:val="18"/>
              </w:rPr>
              <w:t>authorize</w:t>
            </w:r>
          </w:p>
        </w:tc>
        <w:tc>
          <w:tcPr>
            <w:tcW w:w="2425" w:type="dxa"/>
            <w:tcBorders>
              <w:left w:val="nil"/>
            </w:tcBorders>
            <w:shd w:val="clear" w:color="auto" w:fill="C2D59B"/>
          </w:tcPr>
          <w:p>
            <w:pPr>
              <w:pStyle w:val="TableParagraph"/>
              <w:ind w:left="157" w:right="118"/>
              <w:jc w:val="center"/>
              <w:rPr>
                <w:b/>
                <w:sz w:val="18"/>
              </w:rPr>
            </w:pPr>
            <w:r>
              <w:rPr>
                <w:b/>
                <w:sz w:val="18"/>
              </w:rPr>
              <w:t>May</w:t>
            </w:r>
            <w:r>
              <w:rPr>
                <w:b/>
                <w:spacing w:val="-9"/>
                <w:sz w:val="18"/>
              </w:rPr>
              <w:t> </w:t>
            </w:r>
            <w:r>
              <w:rPr>
                <w:b/>
                <w:sz w:val="18"/>
              </w:rPr>
              <w:t>not</w:t>
            </w:r>
            <w:r>
              <w:rPr>
                <w:b/>
                <w:spacing w:val="-2"/>
                <w:sz w:val="18"/>
              </w:rPr>
              <w:t> authorize</w:t>
            </w:r>
          </w:p>
        </w:tc>
      </w:tr>
      <w:tr>
        <w:trPr>
          <w:trHeight w:val="908" w:hRule="atLeast"/>
        </w:trPr>
        <w:tc>
          <w:tcPr>
            <w:tcW w:w="4653"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1472" w:type="dxa"/>
            <w:tcBorders>
              <w:left w:val="nil"/>
              <w:right w:val="nil"/>
            </w:tcBorders>
          </w:tcPr>
          <w:p>
            <w:pPr>
              <w:pStyle w:val="TableParagraph"/>
              <w:spacing w:before="42"/>
              <w:ind w:left="47" w:right="1"/>
              <w:jc w:val="center"/>
              <w:rPr>
                <w:sz w:val="18"/>
              </w:rPr>
            </w:pPr>
            <w:r>
              <w:rPr>
                <w:spacing w:val="-10"/>
                <w:sz w:val="18"/>
              </w:rPr>
              <w:t>X</w:t>
            </w:r>
          </w:p>
        </w:tc>
        <w:tc>
          <w:tcPr>
            <w:tcW w:w="2425" w:type="dxa"/>
            <w:tcBorders>
              <w:left w:val="nil"/>
            </w:tcBorders>
          </w:tcPr>
          <w:p>
            <w:pPr>
              <w:pStyle w:val="TableParagraph"/>
              <w:spacing w:line="207" w:lineRule="exact" w:before="42"/>
              <w:ind w:left="157" w:right="120"/>
              <w:jc w:val="center"/>
              <w:rPr>
                <w:sz w:val="18"/>
              </w:rPr>
            </w:pPr>
            <w:r>
              <w:rPr>
                <w:spacing w:val="-10"/>
                <w:sz w:val="18"/>
              </w:rPr>
              <w:t>X</w:t>
            </w:r>
          </w:p>
          <w:p>
            <w:pPr>
              <w:pStyle w:val="TableParagraph"/>
              <w:spacing w:before="0"/>
              <w:ind w:left="157" w:right="118"/>
              <w:jc w:val="center"/>
              <w:rPr>
                <w:sz w:val="18"/>
              </w:rPr>
            </w:pPr>
            <w:r>
              <w:rPr>
                <w:sz w:val="18"/>
              </w:rPr>
              <w:t>(New facilities, except those</w:t>
            </w:r>
            <w:r>
              <w:rPr>
                <w:spacing w:val="-12"/>
                <w:sz w:val="18"/>
              </w:rPr>
              <w:t> </w:t>
            </w:r>
            <w:r>
              <w:rPr>
                <w:sz w:val="18"/>
              </w:rPr>
              <w:t>that</w:t>
            </w:r>
            <w:r>
              <w:rPr>
                <w:spacing w:val="-12"/>
                <w:sz w:val="18"/>
              </w:rPr>
              <w:t> </w:t>
            </w:r>
            <w:r>
              <w:rPr>
                <w:sz w:val="18"/>
              </w:rPr>
              <w:t>inherently</w:t>
            </w:r>
            <w:r>
              <w:rPr>
                <w:spacing w:val="-13"/>
                <w:sz w:val="18"/>
              </w:rPr>
              <w:t> </w:t>
            </w:r>
            <w:r>
              <w:rPr>
                <w:sz w:val="18"/>
              </w:rPr>
              <w:t>must be in RMAs</w:t>
            </w:r>
            <w:r>
              <w:rPr>
                <w:sz w:val="18"/>
                <w:vertAlign w:val="superscript"/>
              </w:rPr>
              <w:t>+</w:t>
            </w:r>
            <w:r>
              <w:rPr>
                <w:sz w:val="18"/>
                <w:vertAlign w:val="baseline"/>
              </w:rPr>
              <w:t>)</w:t>
            </w:r>
          </w:p>
        </w:tc>
      </w:tr>
      <w:tr>
        <w:trPr>
          <w:trHeight w:val="908" w:hRule="atLeast"/>
        </w:trPr>
        <w:tc>
          <w:tcPr>
            <w:tcW w:w="4653"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line="207" w:lineRule="exact"/>
              <w:ind w:left="157" w:right="120"/>
              <w:jc w:val="center"/>
              <w:rPr>
                <w:sz w:val="18"/>
              </w:rPr>
            </w:pPr>
            <w:r>
              <w:rPr>
                <w:spacing w:val="-10"/>
                <w:sz w:val="18"/>
              </w:rPr>
              <w:t>X</w:t>
            </w:r>
          </w:p>
          <w:p>
            <w:pPr>
              <w:pStyle w:val="TableParagraph"/>
              <w:spacing w:before="0"/>
              <w:ind w:left="157" w:right="117"/>
              <w:jc w:val="center"/>
              <w:rPr>
                <w:sz w:val="18"/>
              </w:rPr>
            </w:pPr>
            <w:r>
              <w:rPr>
                <w:sz w:val="18"/>
              </w:rPr>
              <w:t>(New facilities, except those</w:t>
            </w:r>
            <w:r>
              <w:rPr>
                <w:spacing w:val="-11"/>
                <w:sz w:val="18"/>
              </w:rPr>
              <w:t> </w:t>
            </w:r>
            <w:r>
              <w:rPr>
                <w:sz w:val="18"/>
              </w:rPr>
              <w:t>that</w:t>
            </w:r>
            <w:r>
              <w:rPr>
                <w:spacing w:val="-12"/>
                <w:sz w:val="18"/>
              </w:rPr>
              <w:t> </w:t>
            </w:r>
            <w:r>
              <w:rPr>
                <w:sz w:val="18"/>
              </w:rPr>
              <w:t>inherently</w:t>
            </w:r>
            <w:r>
              <w:rPr>
                <w:spacing w:val="-13"/>
                <w:sz w:val="18"/>
              </w:rPr>
              <w:t> </w:t>
            </w:r>
            <w:r>
              <w:rPr>
                <w:sz w:val="18"/>
              </w:rPr>
              <w:t>must be in RMAs)</w:t>
            </w:r>
          </w:p>
        </w:tc>
      </w:tr>
      <w:tr>
        <w:trPr>
          <w:trHeight w:val="287" w:hRule="atLeast"/>
        </w:trPr>
        <w:tc>
          <w:tcPr>
            <w:tcW w:w="4653"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493" w:hRule="atLeast"/>
        </w:trPr>
        <w:tc>
          <w:tcPr>
            <w:tcW w:w="4653" w:type="dxa"/>
            <w:tcBorders>
              <w:right w:val="nil"/>
            </w:tcBorders>
          </w:tcPr>
          <w:p>
            <w:pPr>
              <w:pStyle w:val="TableParagraph"/>
              <w:ind w:left="107" w:right="649"/>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permitted</w:t>
            </w:r>
            <w:r>
              <w:rPr>
                <w:b/>
                <w:spacing w:val="-3"/>
                <w:sz w:val="18"/>
              </w:rPr>
              <w:t> </w:t>
            </w:r>
            <w:r>
              <w:rPr>
                <w:b/>
                <w:sz w:val="18"/>
              </w:rPr>
              <w:t>personal</w:t>
            </w:r>
            <w:r>
              <w:rPr>
                <w:b/>
                <w:spacing w:val="-3"/>
                <w:sz w:val="18"/>
              </w:rPr>
              <w:t> </w:t>
            </w:r>
            <w:r>
              <w:rPr>
                <w:b/>
                <w:spacing w:val="-5"/>
                <w:sz w:val="18"/>
              </w:rPr>
              <w:t>use</w:t>
            </w:r>
          </w:p>
        </w:tc>
        <w:tc>
          <w:tcPr>
            <w:tcW w:w="1472" w:type="dxa"/>
            <w:tcBorders>
              <w:left w:val="nil"/>
              <w:right w:val="nil"/>
            </w:tcBorders>
          </w:tcPr>
          <w:p>
            <w:pPr>
              <w:pStyle w:val="TableParagraph"/>
              <w:spacing w:before="0"/>
              <w:rPr>
                <w:rFonts w:ascii="Times New Roman"/>
                <w:sz w:val="18"/>
              </w:rPr>
            </w:pPr>
          </w:p>
        </w:tc>
        <w:tc>
          <w:tcPr>
            <w:tcW w:w="2425" w:type="dxa"/>
            <w:tcBorders>
              <w:left w:val="nil"/>
            </w:tcBorders>
          </w:tcPr>
          <w:p>
            <w:pPr>
              <w:pStyle w:val="TableParagraph"/>
              <w:ind w:left="157" w:right="120"/>
              <w:jc w:val="center"/>
              <w:rPr>
                <w:sz w:val="18"/>
              </w:rPr>
            </w:pPr>
            <w:r>
              <w:rPr>
                <w:spacing w:val="-10"/>
                <w:sz w:val="18"/>
              </w:rPr>
              <w:t>X</w:t>
            </w:r>
          </w:p>
        </w:tc>
      </w:tr>
      <w:tr>
        <w:trPr>
          <w:trHeight w:val="284" w:hRule="atLeast"/>
        </w:trPr>
        <w:tc>
          <w:tcPr>
            <w:tcW w:w="4653"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spacing w:before="42"/>
              <w:ind w:left="107"/>
              <w:rPr>
                <w:b/>
                <w:sz w:val="18"/>
              </w:rPr>
            </w:pPr>
            <w:r>
              <w:rPr>
                <w:b/>
                <w:sz w:val="18"/>
              </w:rPr>
              <w:t>Grazing,</w:t>
            </w:r>
            <w:r>
              <w:rPr>
                <w:b/>
                <w:spacing w:val="-3"/>
                <w:sz w:val="18"/>
              </w:rPr>
              <w:t> </w:t>
            </w:r>
            <w:r>
              <w:rPr>
                <w:b/>
                <w:spacing w:val="-2"/>
                <w:sz w:val="18"/>
              </w:rPr>
              <w:t>permitted</w:t>
            </w:r>
          </w:p>
        </w:tc>
        <w:tc>
          <w:tcPr>
            <w:tcW w:w="1472" w:type="dxa"/>
            <w:tcBorders>
              <w:left w:val="nil"/>
              <w:right w:val="nil"/>
            </w:tcBorders>
          </w:tcPr>
          <w:p>
            <w:pPr>
              <w:pStyle w:val="TableParagraph"/>
              <w:spacing w:before="42"/>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908" w:hRule="atLeast"/>
        </w:trPr>
        <w:tc>
          <w:tcPr>
            <w:tcW w:w="4653" w:type="dxa"/>
            <w:tcBorders>
              <w:right w:val="nil"/>
            </w:tcBorders>
          </w:tcPr>
          <w:p>
            <w:pPr>
              <w:pStyle w:val="TableParagraph"/>
              <w:spacing w:before="42"/>
              <w:ind w:left="107"/>
              <w:rPr>
                <w:b/>
                <w:sz w:val="18"/>
              </w:rPr>
            </w:pPr>
            <w:r>
              <w:rPr>
                <w:b/>
                <w:sz w:val="18"/>
              </w:rPr>
              <w:t>Infrastructure, above ground infrastructure associated with special use permits, such as communication</w:t>
            </w:r>
            <w:r>
              <w:rPr>
                <w:b/>
                <w:spacing w:val="-7"/>
                <w:sz w:val="18"/>
              </w:rPr>
              <w:t> </w:t>
            </w:r>
            <w:r>
              <w:rPr>
                <w:b/>
                <w:sz w:val="18"/>
              </w:rPr>
              <w:t>sites,</w:t>
            </w:r>
            <w:r>
              <w:rPr>
                <w:b/>
                <w:spacing w:val="-9"/>
                <w:sz w:val="18"/>
              </w:rPr>
              <w:t> </w:t>
            </w:r>
            <w:r>
              <w:rPr>
                <w:b/>
                <w:sz w:val="18"/>
              </w:rPr>
              <w:t>energy</w:t>
            </w:r>
            <w:r>
              <w:rPr>
                <w:b/>
                <w:spacing w:val="-10"/>
                <w:sz w:val="18"/>
              </w:rPr>
              <w:t> </w:t>
            </w:r>
            <w:r>
              <w:rPr>
                <w:b/>
                <w:sz w:val="18"/>
              </w:rPr>
              <w:t>developments,</w:t>
            </w:r>
            <w:r>
              <w:rPr>
                <w:b/>
                <w:spacing w:val="-9"/>
                <w:sz w:val="18"/>
              </w:rPr>
              <w:t> </w:t>
            </w:r>
            <w:r>
              <w:rPr>
                <w:b/>
                <w:sz w:val="18"/>
              </w:rPr>
              <w:t>and/or utility</w:t>
            </w:r>
            <w:r>
              <w:rPr>
                <w:b/>
                <w:spacing w:val="-5"/>
                <w:sz w:val="18"/>
              </w:rPr>
              <w:t> </w:t>
            </w:r>
            <w:r>
              <w:rPr>
                <w:b/>
                <w:sz w:val="18"/>
              </w:rPr>
              <w:t>lines.</w:t>
            </w:r>
          </w:p>
        </w:tc>
        <w:tc>
          <w:tcPr>
            <w:tcW w:w="1472" w:type="dxa"/>
            <w:tcBorders>
              <w:left w:val="nil"/>
              <w:right w:val="nil"/>
            </w:tcBorders>
          </w:tcPr>
          <w:p>
            <w:pPr>
              <w:pStyle w:val="TableParagraph"/>
              <w:spacing w:before="42"/>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4"/>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472" w:type="dxa"/>
            <w:tcBorders>
              <w:left w:val="nil"/>
              <w:right w:val="nil"/>
            </w:tcBorders>
          </w:tcPr>
          <w:p>
            <w:pPr>
              <w:pStyle w:val="TableParagraph"/>
              <w:ind w:left="47" w:right="1"/>
              <w:jc w:val="center"/>
              <w:rPr>
                <w:sz w:val="18"/>
              </w:rPr>
            </w:pPr>
            <w:r>
              <w:rPr>
                <w:spacing w:val="-5"/>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472" w:type="dxa"/>
            <w:tcBorders>
              <w:left w:val="nil"/>
              <w:right w:val="nil"/>
            </w:tcBorders>
          </w:tcPr>
          <w:p>
            <w:pPr>
              <w:pStyle w:val="TableParagraph"/>
              <w:ind w:left="47" w:right="4"/>
              <w:jc w:val="center"/>
              <w:rPr>
                <w:sz w:val="18"/>
              </w:rPr>
            </w:pPr>
            <w:r>
              <w:rPr>
                <w:spacing w:val="-5"/>
                <w:sz w:val="18"/>
              </w:rPr>
              <w:t>X**</w:t>
            </w:r>
          </w:p>
        </w:tc>
        <w:tc>
          <w:tcPr>
            <w:tcW w:w="2425" w:type="dxa"/>
            <w:tcBorders>
              <w:left w:val="nil"/>
            </w:tcBorders>
          </w:tcPr>
          <w:p>
            <w:pPr>
              <w:pStyle w:val="TableParagraph"/>
              <w:spacing w:before="0"/>
              <w:rPr>
                <w:rFonts w:ascii="Times New Roman"/>
                <w:sz w:val="18"/>
              </w:rPr>
            </w:pPr>
          </w:p>
        </w:tc>
      </w:tr>
      <w:tr>
        <w:trPr>
          <w:trHeight w:val="287" w:hRule="atLeast"/>
        </w:trPr>
        <w:tc>
          <w:tcPr>
            <w:tcW w:w="4653"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r>
        <w:trPr>
          <w:trHeight w:val="906" w:hRule="atLeast"/>
        </w:trPr>
        <w:tc>
          <w:tcPr>
            <w:tcW w:w="4653" w:type="dxa"/>
            <w:tcBorders>
              <w:right w:val="nil"/>
            </w:tcBorders>
          </w:tcPr>
          <w:p>
            <w:pPr>
              <w:pStyle w:val="TableParagraph"/>
              <w:ind w:left="107"/>
              <w:rPr>
                <w:b/>
                <w:sz w:val="18"/>
              </w:rPr>
            </w:pPr>
            <w:r>
              <w:rPr>
                <w:b/>
                <w:sz w:val="18"/>
              </w:rPr>
              <w:t>Motorized</w:t>
            </w:r>
            <w:r>
              <w:rPr>
                <w:b/>
                <w:spacing w:val="-5"/>
                <w:sz w:val="18"/>
              </w:rPr>
              <w:t> </w:t>
            </w:r>
            <w:r>
              <w:rPr>
                <w:b/>
                <w:sz w:val="18"/>
              </w:rPr>
              <w:t>recreational</w:t>
            </w:r>
            <w:r>
              <w:rPr>
                <w:b/>
                <w:spacing w:val="-5"/>
                <w:sz w:val="18"/>
              </w:rPr>
              <w:t> </w:t>
            </w:r>
            <w:r>
              <w:rPr>
                <w:b/>
                <w:sz w:val="18"/>
              </w:rPr>
              <w:t>use,</w:t>
            </w:r>
            <w:r>
              <w:rPr>
                <w:b/>
                <w:spacing w:val="-6"/>
                <w:sz w:val="18"/>
              </w:rPr>
              <w:t> </w:t>
            </w:r>
            <w:r>
              <w:rPr>
                <w:b/>
                <w:sz w:val="18"/>
              </w:rPr>
              <w:t>summer,</w:t>
            </w:r>
            <w:r>
              <w:rPr>
                <w:b/>
                <w:spacing w:val="-6"/>
                <w:sz w:val="18"/>
              </w:rPr>
              <w:t> </w:t>
            </w:r>
            <w:r>
              <w:rPr>
                <w:b/>
                <w:sz w:val="18"/>
              </w:rPr>
              <w:t>trails</w:t>
            </w:r>
            <w:r>
              <w:rPr>
                <w:b/>
                <w:spacing w:val="-6"/>
                <w:sz w:val="18"/>
              </w:rPr>
              <w:t> </w:t>
            </w:r>
            <w:r>
              <w:rPr>
                <w:b/>
                <w:sz w:val="18"/>
              </w:rPr>
              <w:t>or</w:t>
            </w:r>
            <w:r>
              <w:rPr>
                <w:b/>
                <w:spacing w:val="-5"/>
                <w:sz w:val="18"/>
              </w:rPr>
              <w:t> </w:t>
            </w:r>
            <w:r>
              <w:rPr>
                <w:b/>
                <w:sz w:val="18"/>
              </w:rPr>
              <w:t>play </w:t>
            </w:r>
            <w:r>
              <w:rPr>
                <w:b/>
                <w:spacing w:val="-2"/>
                <w:sz w:val="18"/>
              </w:rPr>
              <w:t>areas</w:t>
            </w:r>
          </w:p>
        </w:tc>
        <w:tc>
          <w:tcPr>
            <w:tcW w:w="1472" w:type="dxa"/>
            <w:tcBorders>
              <w:left w:val="nil"/>
              <w:right w:val="nil"/>
            </w:tcBorders>
          </w:tcPr>
          <w:p>
            <w:pPr>
              <w:pStyle w:val="TableParagraph"/>
              <w:ind w:left="47" w:right="1"/>
              <w:jc w:val="center"/>
              <w:rPr>
                <w:sz w:val="18"/>
              </w:rPr>
            </w:pPr>
            <w:r>
              <w:rPr>
                <w:spacing w:val="-10"/>
                <w:sz w:val="18"/>
              </w:rPr>
              <w:t>X</w:t>
            </w:r>
          </w:p>
        </w:tc>
        <w:tc>
          <w:tcPr>
            <w:tcW w:w="2425" w:type="dxa"/>
            <w:tcBorders>
              <w:left w:val="nil"/>
            </w:tcBorders>
          </w:tcPr>
          <w:p>
            <w:pPr>
              <w:pStyle w:val="TableParagraph"/>
              <w:spacing w:line="207" w:lineRule="exact"/>
              <w:ind w:left="157" w:right="120"/>
              <w:jc w:val="center"/>
              <w:rPr>
                <w:sz w:val="18"/>
              </w:rPr>
            </w:pPr>
            <w:r>
              <w:rPr>
                <w:spacing w:val="-10"/>
                <w:sz w:val="18"/>
              </w:rPr>
              <w:t>X</w:t>
            </w:r>
          </w:p>
          <w:p>
            <w:pPr>
              <w:pStyle w:val="TableParagraph"/>
              <w:spacing w:before="0"/>
              <w:ind w:left="40"/>
              <w:jc w:val="center"/>
              <w:rPr>
                <w:sz w:val="18"/>
              </w:rPr>
            </w:pPr>
            <w:r>
              <w:rPr>
                <w:sz w:val="18"/>
              </w:rPr>
              <w:t>(New</w:t>
            </w:r>
            <w:r>
              <w:rPr>
                <w:spacing w:val="-15"/>
                <w:sz w:val="18"/>
              </w:rPr>
              <w:t> </w:t>
            </w:r>
            <w:r>
              <w:rPr>
                <w:sz w:val="18"/>
              </w:rPr>
              <w:t>designated</w:t>
            </w:r>
            <w:r>
              <w:rPr>
                <w:spacing w:val="-12"/>
                <w:sz w:val="18"/>
              </w:rPr>
              <w:t> </w:t>
            </w:r>
            <w:r>
              <w:rPr>
                <w:sz w:val="18"/>
              </w:rPr>
              <w:t>motorized use</w:t>
            </w:r>
            <w:r>
              <w:rPr>
                <w:spacing w:val="-6"/>
                <w:sz w:val="18"/>
              </w:rPr>
              <w:t> </w:t>
            </w:r>
            <w:r>
              <w:rPr>
                <w:sz w:val="18"/>
              </w:rPr>
              <w:t>areas,</w:t>
            </w:r>
            <w:r>
              <w:rPr>
                <w:spacing w:val="-5"/>
                <w:sz w:val="18"/>
              </w:rPr>
              <w:t> </w:t>
            </w:r>
            <w:r>
              <w:rPr>
                <w:sz w:val="18"/>
              </w:rPr>
              <w:t>except</w:t>
            </w:r>
            <w:r>
              <w:rPr>
                <w:spacing w:val="-5"/>
                <w:sz w:val="18"/>
              </w:rPr>
              <w:t> </w:t>
            </w:r>
            <w:r>
              <w:rPr>
                <w:sz w:val="18"/>
              </w:rPr>
              <w:t>road/trail stream crossings)</w:t>
            </w:r>
          </w:p>
        </w:tc>
      </w:tr>
      <w:tr>
        <w:trPr>
          <w:trHeight w:val="496" w:hRule="atLeast"/>
        </w:trPr>
        <w:tc>
          <w:tcPr>
            <w:tcW w:w="4653" w:type="dxa"/>
            <w:tcBorders>
              <w:right w:val="nil"/>
            </w:tcBorders>
          </w:tcPr>
          <w:p>
            <w:pPr>
              <w:pStyle w:val="TableParagraph"/>
              <w:ind w:left="107"/>
              <w:rPr>
                <w:b/>
                <w:sz w:val="18"/>
              </w:rPr>
            </w:pPr>
            <w:r>
              <w:rPr>
                <w:b/>
                <w:sz w:val="18"/>
              </w:rPr>
              <w:t>Motorized</w:t>
            </w:r>
            <w:r>
              <w:rPr>
                <w:b/>
                <w:spacing w:val="-6"/>
                <w:sz w:val="18"/>
              </w:rPr>
              <w:t> </w:t>
            </w:r>
            <w:r>
              <w:rPr>
                <w:b/>
                <w:sz w:val="18"/>
              </w:rPr>
              <w:t>recreational</w:t>
            </w:r>
            <w:r>
              <w:rPr>
                <w:b/>
                <w:spacing w:val="-6"/>
                <w:sz w:val="18"/>
              </w:rPr>
              <w:t> </w:t>
            </w:r>
            <w:r>
              <w:rPr>
                <w:b/>
                <w:sz w:val="18"/>
              </w:rPr>
              <w:t>use,</w:t>
            </w:r>
            <w:r>
              <w:rPr>
                <w:b/>
                <w:spacing w:val="-7"/>
                <w:sz w:val="18"/>
              </w:rPr>
              <w:t> </w:t>
            </w:r>
            <w:r>
              <w:rPr>
                <w:b/>
                <w:sz w:val="18"/>
              </w:rPr>
              <w:t>winter,</w:t>
            </w:r>
            <w:r>
              <w:rPr>
                <w:b/>
                <w:spacing w:val="-5"/>
                <w:sz w:val="18"/>
              </w:rPr>
              <w:t> </w:t>
            </w:r>
            <w:r>
              <w:rPr>
                <w:b/>
                <w:sz w:val="18"/>
              </w:rPr>
              <w:t>trails</w:t>
            </w:r>
            <w:r>
              <w:rPr>
                <w:b/>
                <w:spacing w:val="-7"/>
                <w:sz w:val="18"/>
              </w:rPr>
              <w:t> </w:t>
            </w:r>
            <w:r>
              <w:rPr>
                <w:b/>
                <w:sz w:val="18"/>
              </w:rPr>
              <w:t>or</w:t>
            </w:r>
            <w:r>
              <w:rPr>
                <w:b/>
                <w:spacing w:val="-6"/>
                <w:sz w:val="18"/>
              </w:rPr>
              <w:t> </w:t>
            </w:r>
            <w:r>
              <w:rPr>
                <w:b/>
                <w:sz w:val="18"/>
              </w:rPr>
              <w:t>cross- </w:t>
            </w:r>
            <w:r>
              <w:rPr>
                <w:b/>
                <w:spacing w:val="-2"/>
                <w:sz w:val="18"/>
              </w:rPr>
              <w:t>country</w:t>
            </w:r>
          </w:p>
        </w:tc>
        <w:tc>
          <w:tcPr>
            <w:tcW w:w="1472" w:type="dxa"/>
            <w:tcBorders>
              <w:left w:val="nil"/>
              <w:right w:val="nil"/>
            </w:tcBorders>
          </w:tcPr>
          <w:p>
            <w:pPr>
              <w:pStyle w:val="TableParagraph"/>
              <w:spacing w:before="42"/>
              <w:ind w:left="47" w:right="1"/>
              <w:jc w:val="center"/>
              <w:rPr>
                <w:sz w:val="18"/>
              </w:rPr>
            </w:pPr>
            <w:r>
              <w:rPr>
                <w:spacing w:val="-10"/>
                <w:sz w:val="18"/>
              </w:rPr>
              <w:t>X</w:t>
            </w:r>
          </w:p>
        </w:tc>
        <w:tc>
          <w:tcPr>
            <w:tcW w:w="2425" w:type="dxa"/>
            <w:tcBorders>
              <w:left w:val="nil"/>
            </w:tcBorders>
          </w:tcPr>
          <w:p>
            <w:pPr>
              <w:pStyle w:val="TableParagraph"/>
              <w:spacing w:before="0"/>
              <w:rPr>
                <w:rFonts w:ascii="Times New Roman"/>
                <w:sz w:val="18"/>
              </w:rPr>
            </w:pPr>
          </w:p>
        </w:tc>
      </w:tr>
    </w:tbl>
    <w:p>
      <w:pPr>
        <w:pStyle w:val="TableParagraph"/>
        <w:spacing w:after="0"/>
        <w:rPr>
          <w:rFonts w:ascii="Times New Roman"/>
          <w:sz w:val="18"/>
        </w:rPr>
        <w:sectPr>
          <w:pgSz w:w="12240" w:h="15840"/>
          <w:pgMar w:header="725" w:footer="891" w:top="960" w:bottom="1080" w:left="1080" w:right="720"/>
        </w:sectPr>
      </w:pPr>
    </w:p>
    <w:p>
      <w:pPr>
        <w:pStyle w:val="BodyText"/>
        <w:rPr>
          <w:rFonts w:ascii="Arial"/>
          <w:b/>
          <w:sz w:val="20"/>
        </w:rPr>
      </w:pPr>
    </w:p>
    <w:p>
      <w:pPr>
        <w:pStyle w:val="BodyText"/>
        <w:spacing w:before="15"/>
        <w:rPr>
          <w:rFonts w:ascii="Arial"/>
          <w:b/>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208"/>
        <w:gridCol w:w="2082"/>
        <w:gridCol w:w="2259"/>
      </w:tblGrid>
      <w:tr>
        <w:trPr>
          <w:trHeight w:val="287" w:hRule="atLeast"/>
        </w:trPr>
        <w:tc>
          <w:tcPr>
            <w:tcW w:w="4208" w:type="dxa"/>
            <w:tcBorders>
              <w:right w:val="nil"/>
            </w:tcBorders>
            <w:shd w:val="clear" w:color="auto" w:fill="C2D59B"/>
          </w:tcPr>
          <w:p>
            <w:pPr>
              <w:pStyle w:val="TableParagraph"/>
              <w:ind w:left="1713"/>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082" w:type="dxa"/>
            <w:tcBorders>
              <w:left w:val="nil"/>
              <w:right w:val="nil"/>
            </w:tcBorders>
            <w:shd w:val="clear" w:color="auto" w:fill="C2D59B"/>
          </w:tcPr>
          <w:p>
            <w:pPr>
              <w:pStyle w:val="TableParagraph"/>
              <w:ind w:left="327"/>
              <w:jc w:val="center"/>
              <w:rPr>
                <w:b/>
                <w:sz w:val="18"/>
              </w:rPr>
            </w:pPr>
            <w:r>
              <w:rPr>
                <w:b/>
                <w:sz w:val="18"/>
              </w:rPr>
              <w:t>May</w:t>
            </w:r>
            <w:r>
              <w:rPr>
                <w:b/>
                <w:spacing w:val="-9"/>
                <w:sz w:val="18"/>
              </w:rPr>
              <w:t> </w:t>
            </w:r>
            <w:r>
              <w:rPr>
                <w:b/>
                <w:spacing w:val="-2"/>
                <w:sz w:val="18"/>
              </w:rPr>
              <w:t>authorize</w:t>
            </w:r>
          </w:p>
        </w:tc>
        <w:tc>
          <w:tcPr>
            <w:tcW w:w="2259" w:type="dxa"/>
            <w:tcBorders>
              <w:left w:val="nil"/>
            </w:tcBorders>
            <w:shd w:val="clear" w:color="auto" w:fill="C2D59B"/>
          </w:tcPr>
          <w:p>
            <w:pPr>
              <w:pStyle w:val="TableParagraph"/>
              <w:ind w:left="2" w:right="124"/>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208"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2082" w:type="dxa"/>
            <w:tcBorders>
              <w:left w:val="nil"/>
              <w:right w:val="nil"/>
            </w:tcBorders>
          </w:tcPr>
          <w:p>
            <w:pPr>
              <w:pStyle w:val="TableParagraph"/>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7" w:hRule="atLeast"/>
        </w:trPr>
        <w:tc>
          <w:tcPr>
            <w:tcW w:w="4208"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082" w:type="dxa"/>
            <w:tcBorders>
              <w:left w:val="nil"/>
              <w:right w:val="nil"/>
            </w:tcBorders>
          </w:tcPr>
          <w:p>
            <w:pPr>
              <w:pStyle w:val="TableParagraph"/>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7" w:hRule="atLeast"/>
        </w:trPr>
        <w:tc>
          <w:tcPr>
            <w:tcW w:w="4208"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082" w:type="dxa"/>
            <w:tcBorders>
              <w:left w:val="nil"/>
              <w:right w:val="nil"/>
            </w:tcBorders>
          </w:tcPr>
          <w:p>
            <w:pPr>
              <w:pStyle w:val="TableParagraph"/>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7" w:hRule="atLeast"/>
        </w:trPr>
        <w:tc>
          <w:tcPr>
            <w:tcW w:w="4208"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082" w:type="dxa"/>
            <w:tcBorders>
              <w:left w:val="nil"/>
              <w:right w:val="nil"/>
            </w:tcBorders>
          </w:tcPr>
          <w:p>
            <w:pPr>
              <w:pStyle w:val="TableParagraph"/>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4" w:hRule="atLeast"/>
        </w:trPr>
        <w:tc>
          <w:tcPr>
            <w:tcW w:w="4208"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082" w:type="dxa"/>
            <w:tcBorders>
              <w:left w:val="nil"/>
              <w:right w:val="nil"/>
            </w:tcBorders>
          </w:tcPr>
          <w:p>
            <w:pPr>
              <w:pStyle w:val="TableParagraph"/>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7" w:hRule="atLeast"/>
        </w:trPr>
        <w:tc>
          <w:tcPr>
            <w:tcW w:w="4208" w:type="dxa"/>
            <w:tcBorders>
              <w:right w:val="nil"/>
            </w:tcBorders>
          </w:tcPr>
          <w:p>
            <w:pPr>
              <w:pStyle w:val="TableParagraph"/>
              <w:spacing w:before="42"/>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082" w:type="dxa"/>
            <w:tcBorders>
              <w:left w:val="nil"/>
              <w:right w:val="nil"/>
            </w:tcBorders>
          </w:tcPr>
          <w:p>
            <w:pPr>
              <w:pStyle w:val="TableParagraph"/>
              <w:spacing w:before="42"/>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r>
        <w:trPr>
          <w:trHeight w:val="287" w:hRule="atLeast"/>
        </w:trPr>
        <w:tc>
          <w:tcPr>
            <w:tcW w:w="4208" w:type="dxa"/>
            <w:tcBorders>
              <w:right w:val="nil"/>
            </w:tcBorders>
          </w:tcPr>
          <w:p>
            <w:pPr>
              <w:pStyle w:val="TableParagraph"/>
              <w:spacing w:before="42"/>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082" w:type="dxa"/>
            <w:tcBorders>
              <w:left w:val="nil"/>
              <w:right w:val="nil"/>
            </w:tcBorders>
          </w:tcPr>
          <w:p>
            <w:pPr>
              <w:pStyle w:val="TableParagraph"/>
              <w:spacing w:before="0"/>
              <w:rPr>
                <w:rFonts w:ascii="Times New Roman"/>
                <w:sz w:val="20"/>
              </w:rPr>
            </w:pPr>
          </w:p>
        </w:tc>
        <w:tc>
          <w:tcPr>
            <w:tcW w:w="2259" w:type="dxa"/>
            <w:tcBorders>
              <w:left w:val="nil"/>
            </w:tcBorders>
          </w:tcPr>
          <w:p>
            <w:pPr>
              <w:pStyle w:val="TableParagraph"/>
              <w:spacing w:before="42"/>
              <w:ind w:right="124"/>
              <w:jc w:val="center"/>
              <w:rPr>
                <w:sz w:val="18"/>
              </w:rPr>
            </w:pPr>
            <w:r>
              <w:rPr>
                <w:spacing w:val="-10"/>
                <w:sz w:val="18"/>
              </w:rPr>
              <w:t>X</w:t>
            </w:r>
          </w:p>
        </w:tc>
      </w:tr>
      <w:tr>
        <w:trPr>
          <w:trHeight w:val="289" w:hRule="atLeast"/>
        </w:trPr>
        <w:tc>
          <w:tcPr>
            <w:tcW w:w="4208" w:type="dxa"/>
            <w:tcBorders>
              <w:right w:val="nil"/>
            </w:tcBorders>
          </w:tcPr>
          <w:p>
            <w:pPr>
              <w:pStyle w:val="TableParagraph"/>
              <w:spacing w:before="42"/>
              <w:ind w:left="107"/>
              <w:rPr>
                <w:b/>
                <w:sz w:val="18"/>
              </w:rPr>
            </w:pPr>
            <w:r>
              <w:rPr>
                <w:b/>
                <w:sz w:val="18"/>
              </w:rPr>
              <w:t>Utility</w:t>
            </w:r>
            <w:r>
              <w:rPr>
                <w:b/>
                <w:spacing w:val="-8"/>
                <w:sz w:val="18"/>
              </w:rPr>
              <w:t> </w:t>
            </w:r>
            <w:r>
              <w:rPr>
                <w:b/>
                <w:spacing w:val="-2"/>
                <w:sz w:val="18"/>
              </w:rPr>
              <w:t>corridors</w:t>
            </w:r>
          </w:p>
        </w:tc>
        <w:tc>
          <w:tcPr>
            <w:tcW w:w="2082" w:type="dxa"/>
            <w:tcBorders>
              <w:left w:val="nil"/>
              <w:right w:val="nil"/>
            </w:tcBorders>
          </w:tcPr>
          <w:p>
            <w:pPr>
              <w:pStyle w:val="TableParagraph"/>
              <w:spacing w:before="42"/>
              <w:ind w:left="327" w:right="1"/>
              <w:jc w:val="center"/>
              <w:rPr>
                <w:sz w:val="18"/>
              </w:rPr>
            </w:pPr>
            <w:r>
              <w:rPr>
                <w:spacing w:val="-10"/>
                <w:sz w:val="18"/>
              </w:rPr>
              <w:t>X</w:t>
            </w:r>
          </w:p>
        </w:tc>
        <w:tc>
          <w:tcPr>
            <w:tcW w:w="2259" w:type="dxa"/>
            <w:tcBorders>
              <w:left w:val="nil"/>
            </w:tcBorders>
          </w:tcPr>
          <w:p>
            <w:pPr>
              <w:pStyle w:val="TableParagraph"/>
              <w:spacing w:before="0"/>
              <w:rPr>
                <w:rFonts w:ascii="Times New Roman"/>
                <w:sz w:val="20"/>
              </w:rPr>
            </w:pPr>
          </w:p>
        </w:tc>
      </w:tr>
    </w:tbl>
    <w:p>
      <w:pPr>
        <w:spacing w:before="41"/>
        <w:ind w:left="360" w:right="0" w:firstLine="0"/>
        <w:jc w:val="left"/>
        <w:rPr>
          <w:rFonts w:ascii="Arial"/>
          <w:sz w:val="16"/>
        </w:rPr>
      </w:pPr>
      <w:r>
        <w:rPr>
          <w:rFonts w:ascii="Arial"/>
          <w:sz w:val="16"/>
        </w:rPr>
        <w:t>+</w:t>
      </w:r>
      <w:r>
        <w:rPr>
          <w:rFonts w:ascii="Arial"/>
          <w:spacing w:val="-4"/>
          <w:sz w:val="16"/>
        </w:rPr>
        <w:t> </w:t>
      </w:r>
      <w:r>
        <w:rPr>
          <w:rFonts w:ascii="Arial"/>
          <w:sz w:val="16"/>
        </w:rPr>
        <w:t>In</w:t>
      </w:r>
      <w:r>
        <w:rPr>
          <w:rFonts w:ascii="Arial"/>
          <w:spacing w:val="-4"/>
          <w:sz w:val="16"/>
        </w:rPr>
        <w:t> </w:t>
      </w:r>
      <w:r>
        <w:rPr>
          <w:rFonts w:ascii="Arial"/>
          <w:sz w:val="16"/>
        </w:rPr>
        <w:t>addition,</w:t>
      </w:r>
      <w:r>
        <w:rPr>
          <w:rFonts w:ascii="Arial"/>
          <w:spacing w:val="-5"/>
          <w:sz w:val="16"/>
        </w:rPr>
        <w:t> </w:t>
      </w:r>
      <w:r>
        <w:rPr>
          <w:rFonts w:ascii="Arial"/>
          <w:sz w:val="16"/>
        </w:rPr>
        <w:t>waste</w:t>
      </w:r>
      <w:r>
        <w:rPr>
          <w:rFonts w:ascii="Arial"/>
          <w:spacing w:val="-4"/>
          <w:sz w:val="16"/>
        </w:rPr>
        <w:t> </w:t>
      </w:r>
      <w:r>
        <w:rPr>
          <w:rFonts w:ascii="Arial"/>
          <w:sz w:val="16"/>
        </w:rPr>
        <w:t>and</w:t>
      </w:r>
      <w:r>
        <w:rPr>
          <w:rFonts w:ascii="Arial"/>
          <w:spacing w:val="-4"/>
          <w:sz w:val="16"/>
        </w:rPr>
        <w:t> </w:t>
      </w:r>
      <w:r>
        <w:rPr>
          <w:rFonts w:ascii="Arial"/>
          <w:sz w:val="16"/>
        </w:rPr>
        <w:t>disposal</w:t>
      </w:r>
      <w:r>
        <w:rPr>
          <w:rFonts w:ascii="Arial"/>
          <w:spacing w:val="-5"/>
          <w:sz w:val="16"/>
        </w:rPr>
        <w:t> </w:t>
      </w:r>
      <w:r>
        <w:rPr>
          <w:rFonts w:ascii="Arial"/>
          <w:sz w:val="16"/>
        </w:rPr>
        <w:t>areas</w:t>
      </w:r>
      <w:r>
        <w:rPr>
          <w:rFonts w:ascii="Arial"/>
          <w:spacing w:val="-2"/>
          <w:sz w:val="16"/>
        </w:rPr>
        <w:t> </w:t>
      </w:r>
      <w:r>
        <w:rPr>
          <w:rFonts w:ascii="Arial"/>
          <w:sz w:val="16"/>
        </w:rPr>
        <w:t>are</w:t>
      </w:r>
      <w:r>
        <w:rPr>
          <w:rFonts w:ascii="Arial"/>
          <w:spacing w:val="-4"/>
          <w:sz w:val="16"/>
        </w:rPr>
        <w:t> </w:t>
      </w:r>
      <w:r>
        <w:rPr>
          <w:rFonts w:ascii="Arial"/>
          <w:sz w:val="16"/>
        </w:rPr>
        <w:t>not</w:t>
      </w:r>
      <w:r>
        <w:rPr>
          <w:rFonts w:ascii="Arial"/>
          <w:spacing w:val="-5"/>
          <w:sz w:val="16"/>
        </w:rPr>
        <w:t> </w:t>
      </w:r>
      <w:r>
        <w:rPr>
          <w:rFonts w:ascii="Arial"/>
          <w:sz w:val="16"/>
        </w:rPr>
        <w:t>authorized</w:t>
      </w:r>
      <w:r>
        <w:rPr>
          <w:rFonts w:ascii="Arial"/>
          <w:spacing w:val="-4"/>
          <w:sz w:val="16"/>
        </w:rPr>
        <w:t> </w:t>
      </w:r>
      <w:r>
        <w:rPr>
          <w:rFonts w:ascii="Arial"/>
          <w:sz w:val="16"/>
        </w:rPr>
        <w:t>within</w:t>
      </w:r>
      <w:r>
        <w:rPr>
          <w:rFonts w:ascii="Arial"/>
          <w:spacing w:val="-3"/>
          <w:sz w:val="16"/>
        </w:rPr>
        <w:t> </w:t>
      </w:r>
      <w:r>
        <w:rPr>
          <w:rFonts w:ascii="Arial"/>
          <w:spacing w:val="-4"/>
          <w:sz w:val="16"/>
        </w:rPr>
        <w:t>RMAs.</w:t>
      </w:r>
    </w:p>
    <w:p>
      <w:pPr>
        <w:spacing w:before="39"/>
        <w:ind w:left="359" w:right="1148"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w:t>
      </w:r>
      <w:r>
        <w:rPr>
          <w:rFonts w:ascii="Arial"/>
          <w:spacing w:val="-3"/>
          <w:sz w:val="16"/>
        </w:rPr>
        <w:t> </w:t>
      </w:r>
      <w:r>
        <w:rPr>
          <w:rFonts w:ascii="Arial"/>
          <w:sz w:val="16"/>
        </w:rPr>
        <w:t>The</w:t>
      </w:r>
      <w:r>
        <w:rPr>
          <w:rFonts w:ascii="Arial"/>
          <w:spacing w:val="-4"/>
          <w:sz w:val="16"/>
        </w:rPr>
        <w:t> </w:t>
      </w:r>
      <w:r>
        <w:rPr>
          <w:rFonts w:ascii="Arial"/>
          <w:sz w:val="16"/>
        </w:rPr>
        <w:t>Secretary</w:t>
      </w:r>
      <w:r>
        <w:rPr>
          <w:rFonts w:ascii="Arial"/>
          <w:spacing w:val="-3"/>
          <w:sz w:val="16"/>
        </w:rPr>
        <w:t> </w:t>
      </w:r>
      <w:r>
        <w:rPr>
          <w:rFonts w:ascii="Arial"/>
          <w:sz w:val="16"/>
        </w:rPr>
        <w:t>of Interior</w:t>
      </w:r>
      <w:r>
        <w:rPr>
          <w:rFonts w:ascii="Arial"/>
          <w:spacing w:val="-2"/>
          <w:sz w:val="16"/>
        </w:rPr>
        <w:t> </w:t>
      </w:r>
      <w:r>
        <w:rPr>
          <w:rFonts w:ascii="Arial"/>
          <w:sz w:val="16"/>
        </w:rPr>
        <w:t>holds authority</w:t>
      </w:r>
      <w:r>
        <w:rPr>
          <w:rFonts w:ascii="Arial"/>
          <w:spacing w:val="-2"/>
          <w:sz w:val="16"/>
        </w:rPr>
        <w:t> </w:t>
      </w:r>
      <w:r>
        <w:rPr>
          <w:rFonts w:ascii="Arial"/>
          <w:sz w:val="16"/>
        </w:rPr>
        <w:t>to</w:t>
      </w:r>
      <w:r>
        <w:rPr>
          <w:rFonts w:ascii="Arial"/>
          <w:spacing w:val="-7"/>
          <w:sz w:val="16"/>
        </w:rPr>
        <w:t> </w:t>
      </w:r>
      <w:r>
        <w:rPr>
          <w:rFonts w:ascii="Arial"/>
          <w:sz w:val="16"/>
        </w:rPr>
        <w:t>issue</w:t>
      </w:r>
      <w:r>
        <w:rPr>
          <w:rFonts w:ascii="Arial"/>
          <w:spacing w:val="-2"/>
          <w:sz w:val="16"/>
        </w:rPr>
        <w:t> </w:t>
      </w:r>
      <w:r>
        <w:rPr>
          <w:rFonts w:ascii="Arial"/>
          <w:sz w:val="16"/>
        </w:rPr>
        <w:t>permits</w:t>
      </w:r>
      <w:r>
        <w:rPr>
          <w:rFonts w:ascii="Arial"/>
          <w:spacing w:val="-2"/>
          <w:sz w:val="16"/>
        </w:rPr>
        <w:t> </w:t>
      </w:r>
      <w:r>
        <w:rPr>
          <w:rFonts w:ascii="Arial"/>
          <w:sz w:val="16"/>
        </w:rPr>
        <w:t>and </w:t>
      </w:r>
      <w:r>
        <w:rPr>
          <w:rFonts w:ascii="Arial"/>
          <w:spacing w:val="-2"/>
          <w:sz w:val="16"/>
        </w:rPr>
        <w:t>leases.</w:t>
      </w:r>
    </w:p>
    <w:p>
      <w:pPr>
        <w:spacing w:before="40"/>
        <w:ind w:left="359"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spacing w:before="177"/>
        <w:rPr>
          <w:rFonts w:ascii="Arial"/>
          <w:sz w:val="16"/>
        </w:rPr>
      </w:pPr>
    </w:p>
    <w:p>
      <w:pPr>
        <w:pStyle w:val="Heading3"/>
        <w:ind w:left="360"/>
      </w:pPr>
      <w:bookmarkStart w:name="Scenic Byways (SB)" w:id="771"/>
      <w:bookmarkEnd w:id="771"/>
      <w:r>
        <w:rPr>
          <w:b w:val="0"/>
        </w:rPr>
      </w:r>
      <w:bookmarkStart w:name="_bookmark233" w:id="772"/>
      <w:bookmarkEnd w:id="772"/>
      <w:r>
        <w:rPr>
          <w:b w:val="0"/>
        </w:rPr>
      </w:r>
      <w:r>
        <w:rPr>
          <w:smallCaps/>
          <w:color w:val="475824"/>
        </w:rPr>
        <w:t>Scenic</w:t>
      </w:r>
      <w:r>
        <w:rPr>
          <w:smallCaps/>
          <w:color w:val="475824"/>
          <w:spacing w:val="-9"/>
        </w:rPr>
        <w:t> </w:t>
      </w:r>
      <w:r>
        <w:rPr>
          <w:smallCaps/>
          <w:color w:val="475824"/>
        </w:rPr>
        <w:t>Byways</w:t>
      </w:r>
      <w:r>
        <w:rPr>
          <w:smallCaps/>
          <w:color w:val="475824"/>
          <w:spacing w:val="-6"/>
        </w:rPr>
        <w:t> </w:t>
      </w:r>
      <w:r>
        <w:rPr>
          <w:smallCaps/>
          <w:color w:val="475824"/>
          <w:spacing w:val="-4"/>
        </w:rPr>
        <w:t>(SB)</w:t>
      </w:r>
    </w:p>
    <w:p>
      <w:pPr>
        <w:pStyle w:val="BodyText"/>
        <w:spacing w:before="5"/>
        <w:rPr>
          <w:rFonts w:ascii="Arial"/>
          <w:b/>
          <w:sz w:val="8"/>
        </w:rPr>
      </w:pPr>
      <w:r>
        <w:rPr>
          <w:rFonts w:ascii="Arial"/>
          <w:b/>
          <w:sz w:val="8"/>
        </w:rPr>
        <mc:AlternateContent>
          <mc:Choice Requires="wps">
            <w:drawing>
              <wp:anchor distT="0" distB="0" distL="0" distR="0" allowOverlap="1" layoutInCell="1" locked="0" behindDoc="1" simplePos="0" relativeHeight="487629312">
                <wp:simplePos x="0" y="0"/>
                <wp:positionH relativeFrom="page">
                  <wp:posOffset>1124711</wp:posOffset>
                </wp:positionH>
                <wp:positionV relativeFrom="paragraph">
                  <wp:posOffset>76837</wp:posOffset>
                </wp:positionV>
                <wp:extent cx="5248910" cy="3469004"/>
                <wp:effectExtent l="0" t="0" r="0" b="0"/>
                <wp:wrapTopAndBottom/>
                <wp:docPr id="217" name="Textbox 217"/>
                <wp:cNvGraphicFramePr>
                  <a:graphicFrameLocks/>
                </wp:cNvGraphicFramePr>
                <a:graphic>
                  <a:graphicData uri="http://schemas.microsoft.com/office/word/2010/wordprocessingShape">
                    <wps:wsp>
                      <wps:cNvPr id="217" name="Textbox 217"/>
                      <wps:cNvSpPr txBox="1"/>
                      <wps:spPr>
                        <a:xfrm>
                          <a:off x="0" y="0"/>
                          <a:ext cx="5248910" cy="3469004"/>
                        </a:xfrm>
                        <a:prstGeom prst="rect">
                          <a:avLst/>
                        </a:prstGeom>
                        <a:solidFill>
                          <a:srgbClr val="DFDFDF"/>
                        </a:solidFill>
                      </wps:spPr>
                      <wps:txbx>
                        <w:txbxContent>
                          <w:p>
                            <w:pPr>
                              <w:pStyle w:val="BodyText"/>
                              <w:ind w:left="28" w:right="74"/>
                              <w:rPr>
                                <w:color w:val="000000"/>
                              </w:rPr>
                            </w:pPr>
                            <w:r>
                              <w:rPr>
                                <w:color w:val="000000"/>
                              </w:rPr>
                              <w:t>Two</w:t>
                            </w:r>
                            <w:r>
                              <w:rPr>
                                <w:color w:val="000000"/>
                                <w:spacing w:val="-3"/>
                              </w:rPr>
                              <w:t> </w:t>
                            </w:r>
                            <w:r>
                              <w:rPr>
                                <w:color w:val="000000"/>
                              </w:rPr>
                              <w:t>types</w:t>
                            </w:r>
                            <w:r>
                              <w:rPr>
                                <w:color w:val="000000"/>
                                <w:spacing w:val="-4"/>
                              </w:rPr>
                              <w:t> </w:t>
                            </w:r>
                            <w:r>
                              <w:rPr>
                                <w:color w:val="000000"/>
                              </w:rPr>
                              <w:t>of</w:t>
                            </w:r>
                            <w:r>
                              <w:rPr>
                                <w:color w:val="000000"/>
                                <w:spacing w:val="-2"/>
                              </w:rPr>
                              <w:t> </w:t>
                            </w:r>
                            <w:r>
                              <w:rPr>
                                <w:color w:val="000000"/>
                              </w:rPr>
                              <w:t>federally</w:t>
                            </w:r>
                            <w:r>
                              <w:rPr>
                                <w:color w:val="000000"/>
                                <w:spacing w:val="-3"/>
                              </w:rPr>
                              <w:t> </w:t>
                            </w:r>
                            <w:r>
                              <w:rPr>
                                <w:color w:val="000000"/>
                              </w:rPr>
                              <w:t>designated</w:t>
                            </w:r>
                            <w:r>
                              <w:rPr>
                                <w:color w:val="000000"/>
                                <w:spacing w:val="-3"/>
                              </w:rPr>
                              <w:t> </w:t>
                            </w:r>
                            <w:r>
                              <w:rPr>
                                <w:color w:val="000000"/>
                              </w:rPr>
                              <w:t>scenic</w:t>
                            </w:r>
                            <w:r>
                              <w:rPr>
                                <w:color w:val="000000"/>
                                <w:spacing w:val="-4"/>
                              </w:rPr>
                              <w:t> </w:t>
                            </w:r>
                            <w:r>
                              <w:rPr>
                                <w:color w:val="000000"/>
                              </w:rPr>
                              <w:t>byways</w:t>
                            </w:r>
                            <w:r>
                              <w:rPr>
                                <w:color w:val="000000"/>
                                <w:spacing w:val="-4"/>
                              </w:rPr>
                              <w:t> </w:t>
                            </w:r>
                            <w:r>
                              <w:rPr>
                                <w:color w:val="000000"/>
                              </w:rPr>
                              <w:t>are</w:t>
                            </w:r>
                            <w:r>
                              <w:rPr>
                                <w:color w:val="000000"/>
                                <w:spacing w:val="-1"/>
                              </w:rPr>
                              <w:t> </w:t>
                            </w:r>
                            <w:r>
                              <w:rPr>
                                <w:color w:val="000000"/>
                              </w:rPr>
                              <w:t>found</w:t>
                            </w:r>
                            <w:r>
                              <w:rPr>
                                <w:color w:val="000000"/>
                                <w:spacing w:val="-3"/>
                              </w:rPr>
                              <w:t> </w:t>
                            </w:r>
                            <w:r>
                              <w:rPr>
                                <w:color w:val="000000"/>
                              </w:rPr>
                              <w:t>on</w:t>
                            </w:r>
                            <w:r>
                              <w:rPr>
                                <w:color w:val="000000"/>
                                <w:spacing w:val="-3"/>
                              </w:rPr>
                              <w:t> </w:t>
                            </w:r>
                            <w:r>
                              <w:rPr>
                                <w:color w:val="000000"/>
                              </w:rPr>
                              <w:t>the</w:t>
                            </w:r>
                            <w:r>
                              <w:rPr>
                                <w:color w:val="000000"/>
                                <w:spacing w:val="-1"/>
                              </w:rPr>
                              <w:t> </w:t>
                            </w:r>
                            <w:r>
                              <w:rPr>
                                <w:color w:val="000000"/>
                              </w:rPr>
                              <w:t>Forest</w:t>
                            </w:r>
                            <w:r>
                              <w:rPr>
                                <w:color w:val="000000"/>
                                <w:spacing w:val="-4"/>
                              </w:rPr>
                              <w:t> </w:t>
                            </w:r>
                            <w:r>
                              <w:rPr>
                                <w:color w:val="000000"/>
                              </w:rPr>
                              <w:t>– an</w:t>
                            </w:r>
                            <w:r>
                              <w:rPr>
                                <w:color w:val="000000"/>
                                <w:spacing w:val="-3"/>
                              </w:rPr>
                              <w:t> </w:t>
                            </w:r>
                            <w:r>
                              <w:rPr>
                                <w:color w:val="000000"/>
                              </w:rPr>
                              <w:t>All-American Road and a National Forest Scenic Byway (designated by the Forest Service). The State of Washington also designated many of these byways as state scenic byways. Some roads have multiple designations.</w:t>
                            </w:r>
                          </w:p>
                          <w:p>
                            <w:pPr>
                              <w:pStyle w:val="BodyText"/>
                              <w:spacing w:before="118"/>
                              <w:ind w:left="28" w:right="29"/>
                              <w:rPr>
                                <w:color w:val="000000"/>
                              </w:rPr>
                            </w:pPr>
                            <w:r>
                              <w:rPr>
                                <w:color w:val="000000"/>
                              </w:rPr>
                              <w:t>Scenic byway viewsheds are managed to protect the scenic values and recreation use and have a high scenic integrity objective. A one-half mile distance zone on either side of the scenic byway centerline defines the Scenic Byway Management Area. The middleground and seen area would be managed as a backdrop setting with a high scenic integrity objective. Facilities to enhance the opportunities for viewing the scenery with distant vista views</w:t>
                            </w:r>
                            <w:r>
                              <w:rPr>
                                <w:color w:val="000000"/>
                                <w:spacing w:val="-3"/>
                              </w:rPr>
                              <w:t> </w:t>
                            </w:r>
                            <w:r>
                              <w:rPr>
                                <w:color w:val="000000"/>
                              </w:rPr>
                              <w:t>and</w:t>
                            </w:r>
                            <w:r>
                              <w:rPr>
                                <w:color w:val="000000"/>
                                <w:spacing w:val="-4"/>
                              </w:rPr>
                              <w:t> </w:t>
                            </w:r>
                            <w:r>
                              <w:rPr>
                                <w:color w:val="000000"/>
                              </w:rPr>
                              <w:t>wildlife</w:t>
                            </w:r>
                            <w:r>
                              <w:rPr>
                                <w:color w:val="000000"/>
                                <w:spacing w:val="-5"/>
                              </w:rPr>
                              <w:t> </w:t>
                            </w:r>
                            <w:r>
                              <w:rPr>
                                <w:color w:val="000000"/>
                              </w:rPr>
                              <w:t>are</w:t>
                            </w:r>
                            <w:r>
                              <w:rPr>
                                <w:color w:val="000000"/>
                                <w:spacing w:val="-2"/>
                              </w:rPr>
                              <w:t> </w:t>
                            </w:r>
                            <w:r>
                              <w:rPr>
                                <w:color w:val="000000"/>
                              </w:rPr>
                              <w:t>present,</w:t>
                            </w:r>
                            <w:r>
                              <w:rPr>
                                <w:color w:val="000000"/>
                                <w:spacing w:val="-3"/>
                              </w:rPr>
                              <w:t> </w:t>
                            </w:r>
                            <w:r>
                              <w:rPr>
                                <w:color w:val="000000"/>
                              </w:rPr>
                              <w:t>along</w:t>
                            </w:r>
                            <w:r>
                              <w:rPr>
                                <w:color w:val="000000"/>
                                <w:spacing w:val="-4"/>
                              </w:rPr>
                              <w:t> </w:t>
                            </w:r>
                            <w:r>
                              <w:rPr>
                                <w:color w:val="000000"/>
                              </w:rPr>
                              <w:t>with</w:t>
                            </w:r>
                            <w:r>
                              <w:rPr>
                                <w:color w:val="000000"/>
                                <w:spacing w:val="-6"/>
                              </w:rPr>
                              <w:t> </w:t>
                            </w:r>
                            <w:r>
                              <w:rPr>
                                <w:color w:val="000000"/>
                              </w:rPr>
                              <w:t>opportunities</w:t>
                            </w:r>
                            <w:r>
                              <w:rPr>
                                <w:color w:val="000000"/>
                                <w:spacing w:val="-3"/>
                              </w:rPr>
                              <w:t> </w:t>
                            </w:r>
                            <w:r>
                              <w:rPr>
                                <w:color w:val="000000"/>
                              </w:rPr>
                              <w:t>for</w:t>
                            </w:r>
                            <w:r>
                              <w:rPr>
                                <w:color w:val="000000"/>
                                <w:spacing w:val="-3"/>
                              </w:rPr>
                              <w:t> </w:t>
                            </w:r>
                            <w:r>
                              <w:rPr>
                                <w:color w:val="000000"/>
                              </w:rPr>
                              <w:t>accessing</w:t>
                            </w:r>
                            <w:r>
                              <w:rPr>
                                <w:color w:val="000000"/>
                                <w:spacing w:val="-4"/>
                              </w:rPr>
                              <w:t> </w:t>
                            </w:r>
                            <w:r>
                              <w:rPr>
                                <w:color w:val="000000"/>
                              </w:rPr>
                              <w:t>year-round</w:t>
                            </w:r>
                            <w:r>
                              <w:rPr>
                                <w:color w:val="000000"/>
                                <w:spacing w:val="-4"/>
                              </w:rPr>
                              <w:t> </w:t>
                            </w:r>
                            <w:r>
                              <w:rPr>
                                <w:color w:val="000000"/>
                              </w:rPr>
                              <w:t>recreation and interpretive facilities that promote the history, cultural importance, and ecology of the </w:t>
                            </w:r>
                            <w:r>
                              <w:rPr>
                                <w:color w:val="000000"/>
                                <w:spacing w:val="-2"/>
                              </w:rPr>
                              <w:t>area.</w:t>
                            </w:r>
                          </w:p>
                          <w:p>
                            <w:pPr>
                              <w:pStyle w:val="BodyText"/>
                              <w:spacing w:before="119"/>
                              <w:ind w:left="28" w:right="120"/>
                              <w:rPr>
                                <w:color w:val="000000"/>
                              </w:rPr>
                            </w:pPr>
                            <w:r>
                              <w:rPr>
                                <w:color w:val="000000"/>
                              </w:rPr>
                              <w:t>Management direction applies only to portions of scenic byways within National Forest System lands. The Forest Supervisor authorizes management activities on the scenic byways regardless of designating authority unless especially reserved. The Sherman Highway</w:t>
                            </w:r>
                            <w:r>
                              <w:rPr>
                                <w:color w:val="000000"/>
                                <w:spacing w:val="-1"/>
                              </w:rPr>
                              <w:t> </w:t>
                            </w:r>
                            <w:r>
                              <w:rPr>
                                <w:color w:val="000000"/>
                              </w:rPr>
                              <w:t>is</w:t>
                            </w:r>
                            <w:r>
                              <w:rPr>
                                <w:color w:val="000000"/>
                                <w:spacing w:val="-4"/>
                              </w:rPr>
                              <w:t> </w:t>
                            </w:r>
                            <w:r>
                              <w:rPr>
                                <w:color w:val="000000"/>
                              </w:rPr>
                              <w:t>withdrawn</w:t>
                            </w:r>
                            <w:r>
                              <w:rPr>
                                <w:color w:val="000000"/>
                                <w:spacing w:val="-3"/>
                              </w:rPr>
                              <w:t> </w:t>
                            </w:r>
                            <w:r>
                              <w:rPr>
                                <w:color w:val="000000"/>
                              </w:rPr>
                              <w:t>from</w:t>
                            </w:r>
                            <w:r>
                              <w:rPr>
                                <w:color w:val="000000"/>
                                <w:spacing w:val="-3"/>
                              </w:rPr>
                              <w:t> </w:t>
                            </w:r>
                            <w:r>
                              <w:rPr>
                                <w:color w:val="000000"/>
                              </w:rPr>
                              <w:t>mineral</w:t>
                            </w:r>
                            <w:r>
                              <w:rPr>
                                <w:color w:val="000000"/>
                                <w:spacing w:val="-5"/>
                              </w:rPr>
                              <w:t> </w:t>
                            </w:r>
                            <w:r>
                              <w:rPr>
                                <w:color w:val="000000"/>
                              </w:rPr>
                              <w:t>entry</w:t>
                            </w:r>
                            <w:r>
                              <w:rPr>
                                <w:color w:val="000000"/>
                                <w:spacing w:val="-3"/>
                              </w:rPr>
                              <w:t> </w:t>
                            </w:r>
                            <w:r>
                              <w:rPr>
                                <w:color w:val="000000"/>
                              </w:rPr>
                              <w:t>for</w:t>
                            </w:r>
                            <w:r>
                              <w:rPr>
                                <w:color w:val="000000"/>
                                <w:spacing w:val="-4"/>
                              </w:rPr>
                              <w:t> </w:t>
                            </w:r>
                            <w:r>
                              <w:rPr>
                                <w:color w:val="000000"/>
                              </w:rPr>
                              <w:t>200</w:t>
                            </w:r>
                            <w:r>
                              <w:rPr>
                                <w:color w:val="000000"/>
                                <w:spacing w:val="-3"/>
                              </w:rPr>
                              <w:t> </w:t>
                            </w:r>
                            <w:r>
                              <w:rPr>
                                <w:color w:val="000000"/>
                              </w:rPr>
                              <w:t>feet</w:t>
                            </w:r>
                            <w:r>
                              <w:rPr>
                                <w:color w:val="000000"/>
                                <w:spacing w:val="-4"/>
                              </w:rPr>
                              <w:t> </w:t>
                            </w:r>
                            <w:r>
                              <w:rPr>
                                <w:color w:val="000000"/>
                              </w:rPr>
                              <w:t>on</w:t>
                            </w:r>
                            <w:r>
                              <w:rPr>
                                <w:color w:val="000000"/>
                                <w:spacing w:val="-3"/>
                              </w:rPr>
                              <w:t> </w:t>
                            </w:r>
                            <w:r>
                              <w:rPr>
                                <w:color w:val="000000"/>
                              </w:rPr>
                              <w:t>either</w:t>
                            </w:r>
                            <w:r>
                              <w:rPr>
                                <w:color w:val="000000"/>
                                <w:spacing w:val="-2"/>
                              </w:rPr>
                              <w:t> </w:t>
                            </w:r>
                            <w:r>
                              <w:rPr>
                                <w:color w:val="000000"/>
                              </w:rPr>
                              <w:t>side</w:t>
                            </w:r>
                            <w:r>
                              <w:rPr>
                                <w:color w:val="000000"/>
                                <w:spacing w:val="-4"/>
                              </w:rPr>
                              <w:t> </w:t>
                            </w:r>
                            <w:r>
                              <w:rPr>
                                <w:color w:val="000000"/>
                              </w:rPr>
                              <w:t>of</w:t>
                            </w:r>
                            <w:r>
                              <w:rPr>
                                <w:color w:val="000000"/>
                                <w:spacing w:val="-4"/>
                              </w:rPr>
                              <w:t> </w:t>
                            </w:r>
                            <w:r>
                              <w:rPr>
                                <w:color w:val="000000"/>
                              </w:rPr>
                              <w:t>centerline</w:t>
                            </w:r>
                            <w:r>
                              <w:rPr>
                                <w:color w:val="000000"/>
                                <w:spacing w:val="-1"/>
                              </w:rPr>
                              <w:t> </w:t>
                            </w:r>
                            <w:r>
                              <w:rPr>
                                <w:color w:val="000000"/>
                              </w:rPr>
                              <w:t>of</w:t>
                            </w:r>
                            <w:r>
                              <w:rPr>
                                <w:color w:val="000000"/>
                                <w:spacing w:val="-4"/>
                              </w:rPr>
                              <w:t> </w:t>
                            </w:r>
                            <w:r>
                              <w:rPr>
                                <w:color w:val="000000"/>
                              </w:rPr>
                              <w:t>the highway (see appendix G).</w:t>
                            </w:r>
                          </w:p>
                          <w:p>
                            <w:pPr>
                              <w:pStyle w:val="BodyText"/>
                              <w:spacing w:before="121"/>
                              <w:ind w:left="28" w:right="120"/>
                              <w:rPr>
                                <w:color w:val="000000"/>
                              </w:rPr>
                            </w:pPr>
                            <w:hyperlink w:history="true" w:anchor="_bookmark234">
                              <w:r>
                                <w:rPr>
                                  <w:color w:val="000000"/>
                                </w:rPr>
                                <w:t>Table</w:t>
                              </w:r>
                              <w:r>
                                <w:rPr>
                                  <w:color w:val="000000"/>
                                  <w:spacing w:val="-1"/>
                                </w:rPr>
                                <w:t> </w:t>
                              </w:r>
                              <w:r>
                                <w:rPr>
                                  <w:color w:val="000000"/>
                                </w:rPr>
                                <w:t>28</w:t>
                              </w:r>
                            </w:hyperlink>
                            <w:r>
                              <w:rPr>
                                <w:color w:val="000000"/>
                                <w:spacing w:val="-1"/>
                              </w:rPr>
                              <w:t> </w:t>
                            </w:r>
                            <w:r>
                              <w:rPr>
                                <w:color w:val="000000"/>
                              </w:rPr>
                              <w:t>lists</w:t>
                            </w:r>
                            <w:r>
                              <w:rPr>
                                <w:color w:val="000000"/>
                                <w:spacing w:val="-2"/>
                              </w:rPr>
                              <w:t> </w:t>
                            </w:r>
                            <w:r>
                              <w:rPr>
                                <w:color w:val="000000"/>
                              </w:rPr>
                              <w:t>the</w:t>
                            </w:r>
                            <w:r>
                              <w:rPr>
                                <w:color w:val="000000"/>
                                <w:spacing w:val="-1"/>
                              </w:rPr>
                              <w:t> </w:t>
                            </w:r>
                            <w:r>
                              <w:rPr>
                                <w:color w:val="000000"/>
                              </w:rPr>
                              <w:t>scenic</w:t>
                            </w:r>
                            <w:r>
                              <w:rPr>
                                <w:color w:val="000000"/>
                                <w:spacing w:val="-2"/>
                              </w:rPr>
                              <w:t> </w:t>
                            </w:r>
                            <w:r>
                              <w:rPr>
                                <w:color w:val="000000"/>
                              </w:rPr>
                              <w:t>byways</w:t>
                            </w:r>
                            <w:r>
                              <w:rPr>
                                <w:color w:val="000000"/>
                                <w:spacing w:val="-4"/>
                              </w:rPr>
                              <w:t> </w:t>
                            </w:r>
                            <w:r>
                              <w:rPr>
                                <w:color w:val="000000"/>
                              </w:rPr>
                              <w:t>on</w:t>
                            </w:r>
                            <w:r>
                              <w:rPr>
                                <w:color w:val="000000"/>
                                <w:spacing w:val="-5"/>
                              </w:rPr>
                              <w:t> </w:t>
                            </w:r>
                            <w:r>
                              <w:rPr>
                                <w:color w:val="000000"/>
                              </w:rPr>
                              <w:t>the</w:t>
                            </w:r>
                            <w:r>
                              <w:rPr>
                                <w:color w:val="000000"/>
                                <w:spacing w:val="-1"/>
                              </w:rPr>
                              <w:t> </w:t>
                            </w:r>
                            <w:r>
                              <w:rPr>
                                <w:color w:val="000000"/>
                              </w:rPr>
                              <w:t>Forest</w:t>
                            </w:r>
                            <w:r>
                              <w:rPr>
                                <w:color w:val="000000"/>
                                <w:spacing w:val="-4"/>
                              </w:rPr>
                              <w:t> </w:t>
                            </w:r>
                            <w:r>
                              <w:rPr>
                                <w:color w:val="000000"/>
                              </w:rPr>
                              <w:t>and</w:t>
                            </w:r>
                            <w:r>
                              <w:rPr>
                                <w:color w:val="000000"/>
                                <w:spacing w:val="-2"/>
                              </w:rPr>
                              <w:t> </w:t>
                            </w:r>
                            <w:r>
                              <w:rPr>
                                <w:color w:val="000000"/>
                              </w:rPr>
                              <w:t>the</w:t>
                            </w:r>
                            <w:r>
                              <w:rPr>
                                <w:color w:val="000000"/>
                                <w:spacing w:val="-4"/>
                              </w:rPr>
                              <w:t> </w:t>
                            </w:r>
                            <w:r>
                              <w:rPr>
                                <w:color w:val="000000"/>
                              </w:rPr>
                              <w:t>miles</w:t>
                            </w:r>
                            <w:r>
                              <w:rPr>
                                <w:color w:val="000000"/>
                                <w:spacing w:val="-4"/>
                              </w:rPr>
                              <w:t> </w:t>
                            </w:r>
                            <w:r>
                              <w:rPr>
                                <w:color w:val="000000"/>
                              </w:rPr>
                              <w:t>of</w:t>
                            </w:r>
                            <w:r>
                              <w:rPr>
                                <w:color w:val="000000"/>
                                <w:spacing w:val="-4"/>
                              </w:rPr>
                              <w:t> </w:t>
                            </w:r>
                            <w:r>
                              <w:rPr>
                                <w:color w:val="000000"/>
                              </w:rPr>
                              <w:t>each</w:t>
                            </w:r>
                            <w:r>
                              <w:rPr>
                                <w:color w:val="000000"/>
                                <w:spacing w:val="-5"/>
                              </w:rPr>
                              <w:t> </w:t>
                            </w:r>
                            <w:r>
                              <w:rPr>
                                <w:color w:val="000000"/>
                              </w:rPr>
                              <w:t>byway</w:t>
                            </w:r>
                            <w:r>
                              <w:rPr>
                                <w:color w:val="000000"/>
                                <w:spacing w:val="-3"/>
                              </w:rPr>
                              <w:t> </w:t>
                            </w:r>
                            <w:r>
                              <w:rPr>
                                <w:color w:val="000000"/>
                              </w:rPr>
                              <w:t>within</w:t>
                            </w:r>
                            <w:r>
                              <w:rPr>
                                <w:color w:val="000000"/>
                                <w:spacing w:val="-3"/>
                              </w:rPr>
                              <w:t> </w:t>
                            </w:r>
                            <w:r>
                              <w:rPr>
                                <w:color w:val="000000"/>
                              </w:rPr>
                              <w:t>the Forest. All scenic byways contain mileage outside of national forest boundaries.</w:t>
                            </w:r>
                          </w:p>
                        </w:txbxContent>
                      </wps:txbx>
                      <wps:bodyPr wrap="square" lIns="0" tIns="0" rIns="0" bIns="0" rtlCol="0">
                        <a:noAutofit/>
                      </wps:bodyPr>
                    </wps:wsp>
                  </a:graphicData>
                </a:graphic>
              </wp:anchor>
            </w:drawing>
          </mc:Choice>
          <mc:Fallback>
            <w:pict>
              <v:shape style="position:absolute;margin-left:88.559998pt;margin-top:6.050225pt;width:413.3pt;height:273.150pt;mso-position-horizontal-relative:page;mso-position-vertical-relative:paragraph;z-index:-15687168;mso-wrap-distance-left:0;mso-wrap-distance-right:0" type="#_x0000_t202" id="docshape205" filled="true" fillcolor="#dfdfdf" stroked="false">
                <v:textbox inset="0,0,0,0">
                  <w:txbxContent>
                    <w:p>
                      <w:pPr>
                        <w:pStyle w:val="BodyText"/>
                        <w:ind w:left="28" w:right="74"/>
                        <w:rPr>
                          <w:color w:val="000000"/>
                        </w:rPr>
                      </w:pPr>
                      <w:r>
                        <w:rPr>
                          <w:color w:val="000000"/>
                        </w:rPr>
                        <w:t>Two</w:t>
                      </w:r>
                      <w:r>
                        <w:rPr>
                          <w:color w:val="000000"/>
                          <w:spacing w:val="-3"/>
                        </w:rPr>
                        <w:t> </w:t>
                      </w:r>
                      <w:r>
                        <w:rPr>
                          <w:color w:val="000000"/>
                        </w:rPr>
                        <w:t>types</w:t>
                      </w:r>
                      <w:r>
                        <w:rPr>
                          <w:color w:val="000000"/>
                          <w:spacing w:val="-4"/>
                        </w:rPr>
                        <w:t> </w:t>
                      </w:r>
                      <w:r>
                        <w:rPr>
                          <w:color w:val="000000"/>
                        </w:rPr>
                        <w:t>of</w:t>
                      </w:r>
                      <w:r>
                        <w:rPr>
                          <w:color w:val="000000"/>
                          <w:spacing w:val="-2"/>
                        </w:rPr>
                        <w:t> </w:t>
                      </w:r>
                      <w:r>
                        <w:rPr>
                          <w:color w:val="000000"/>
                        </w:rPr>
                        <w:t>federally</w:t>
                      </w:r>
                      <w:r>
                        <w:rPr>
                          <w:color w:val="000000"/>
                          <w:spacing w:val="-3"/>
                        </w:rPr>
                        <w:t> </w:t>
                      </w:r>
                      <w:r>
                        <w:rPr>
                          <w:color w:val="000000"/>
                        </w:rPr>
                        <w:t>designated</w:t>
                      </w:r>
                      <w:r>
                        <w:rPr>
                          <w:color w:val="000000"/>
                          <w:spacing w:val="-3"/>
                        </w:rPr>
                        <w:t> </w:t>
                      </w:r>
                      <w:r>
                        <w:rPr>
                          <w:color w:val="000000"/>
                        </w:rPr>
                        <w:t>scenic</w:t>
                      </w:r>
                      <w:r>
                        <w:rPr>
                          <w:color w:val="000000"/>
                          <w:spacing w:val="-4"/>
                        </w:rPr>
                        <w:t> </w:t>
                      </w:r>
                      <w:r>
                        <w:rPr>
                          <w:color w:val="000000"/>
                        </w:rPr>
                        <w:t>byways</w:t>
                      </w:r>
                      <w:r>
                        <w:rPr>
                          <w:color w:val="000000"/>
                          <w:spacing w:val="-4"/>
                        </w:rPr>
                        <w:t> </w:t>
                      </w:r>
                      <w:r>
                        <w:rPr>
                          <w:color w:val="000000"/>
                        </w:rPr>
                        <w:t>are</w:t>
                      </w:r>
                      <w:r>
                        <w:rPr>
                          <w:color w:val="000000"/>
                          <w:spacing w:val="-1"/>
                        </w:rPr>
                        <w:t> </w:t>
                      </w:r>
                      <w:r>
                        <w:rPr>
                          <w:color w:val="000000"/>
                        </w:rPr>
                        <w:t>found</w:t>
                      </w:r>
                      <w:r>
                        <w:rPr>
                          <w:color w:val="000000"/>
                          <w:spacing w:val="-3"/>
                        </w:rPr>
                        <w:t> </w:t>
                      </w:r>
                      <w:r>
                        <w:rPr>
                          <w:color w:val="000000"/>
                        </w:rPr>
                        <w:t>on</w:t>
                      </w:r>
                      <w:r>
                        <w:rPr>
                          <w:color w:val="000000"/>
                          <w:spacing w:val="-3"/>
                        </w:rPr>
                        <w:t> </w:t>
                      </w:r>
                      <w:r>
                        <w:rPr>
                          <w:color w:val="000000"/>
                        </w:rPr>
                        <w:t>the</w:t>
                      </w:r>
                      <w:r>
                        <w:rPr>
                          <w:color w:val="000000"/>
                          <w:spacing w:val="-1"/>
                        </w:rPr>
                        <w:t> </w:t>
                      </w:r>
                      <w:r>
                        <w:rPr>
                          <w:color w:val="000000"/>
                        </w:rPr>
                        <w:t>Forest</w:t>
                      </w:r>
                      <w:r>
                        <w:rPr>
                          <w:color w:val="000000"/>
                          <w:spacing w:val="-4"/>
                        </w:rPr>
                        <w:t> </w:t>
                      </w:r>
                      <w:r>
                        <w:rPr>
                          <w:color w:val="000000"/>
                        </w:rPr>
                        <w:t>– an</w:t>
                      </w:r>
                      <w:r>
                        <w:rPr>
                          <w:color w:val="000000"/>
                          <w:spacing w:val="-3"/>
                        </w:rPr>
                        <w:t> </w:t>
                      </w:r>
                      <w:r>
                        <w:rPr>
                          <w:color w:val="000000"/>
                        </w:rPr>
                        <w:t>All-American Road and a National Forest Scenic Byway (designated by the Forest Service). The State of Washington also designated many of these byways as state scenic byways. Some roads have multiple designations.</w:t>
                      </w:r>
                    </w:p>
                    <w:p>
                      <w:pPr>
                        <w:pStyle w:val="BodyText"/>
                        <w:spacing w:before="118"/>
                        <w:ind w:left="28" w:right="29"/>
                        <w:rPr>
                          <w:color w:val="000000"/>
                        </w:rPr>
                      </w:pPr>
                      <w:r>
                        <w:rPr>
                          <w:color w:val="000000"/>
                        </w:rPr>
                        <w:t>Scenic byway viewsheds are managed to protect the scenic values and recreation use and have a high scenic integrity objective. A one-half mile distance zone on either side of the scenic byway centerline defines the Scenic Byway Management Area. The middleground and seen area would be managed as a backdrop setting with a high scenic integrity objective. Facilities to enhance the opportunities for viewing the scenery with distant vista views</w:t>
                      </w:r>
                      <w:r>
                        <w:rPr>
                          <w:color w:val="000000"/>
                          <w:spacing w:val="-3"/>
                        </w:rPr>
                        <w:t> </w:t>
                      </w:r>
                      <w:r>
                        <w:rPr>
                          <w:color w:val="000000"/>
                        </w:rPr>
                        <w:t>and</w:t>
                      </w:r>
                      <w:r>
                        <w:rPr>
                          <w:color w:val="000000"/>
                          <w:spacing w:val="-4"/>
                        </w:rPr>
                        <w:t> </w:t>
                      </w:r>
                      <w:r>
                        <w:rPr>
                          <w:color w:val="000000"/>
                        </w:rPr>
                        <w:t>wildlife</w:t>
                      </w:r>
                      <w:r>
                        <w:rPr>
                          <w:color w:val="000000"/>
                          <w:spacing w:val="-5"/>
                        </w:rPr>
                        <w:t> </w:t>
                      </w:r>
                      <w:r>
                        <w:rPr>
                          <w:color w:val="000000"/>
                        </w:rPr>
                        <w:t>are</w:t>
                      </w:r>
                      <w:r>
                        <w:rPr>
                          <w:color w:val="000000"/>
                          <w:spacing w:val="-2"/>
                        </w:rPr>
                        <w:t> </w:t>
                      </w:r>
                      <w:r>
                        <w:rPr>
                          <w:color w:val="000000"/>
                        </w:rPr>
                        <w:t>present,</w:t>
                      </w:r>
                      <w:r>
                        <w:rPr>
                          <w:color w:val="000000"/>
                          <w:spacing w:val="-3"/>
                        </w:rPr>
                        <w:t> </w:t>
                      </w:r>
                      <w:r>
                        <w:rPr>
                          <w:color w:val="000000"/>
                        </w:rPr>
                        <w:t>along</w:t>
                      </w:r>
                      <w:r>
                        <w:rPr>
                          <w:color w:val="000000"/>
                          <w:spacing w:val="-4"/>
                        </w:rPr>
                        <w:t> </w:t>
                      </w:r>
                      <w:r>
                        <w:rPr>
                          <w:color w:val="000000"/>
                        </w:rPr>
                        <w:t>with</w:t>
                      </w:r>
                      <w:r>
                        <w:rPr>
                          <w:color w:val="000000"/>
                          <w:spacing w:val="-6"/>
                        </w:rPr>
                        <w:t> </w:t>
                      </w:r>
                      <w:r>
                        <w:rPr>
                          <w:color w:val="000000"/>
                        </w:rPr>
                        <w:t>opportunities</w:t>
                      </w:r>
                      <w:r>
                        <w:rPr>
                          <w:color w:val="000000"/>
                          <w:spacing w:val="-3"/>
                        </w:rPr>
                        <w:t> </w:t>
                      </w:r>
                      <w:r>
                        <w:rPr>
                          <w:color w:val="000000"/>
                        </w:rPr>
                        <w:t>for</w:t>
                      </w:r>
                      <w:r>
                        <w:rPr>
                          <w:color w:val="000000"/>
                          <w:spacing w:val="-3"/>
                        </w:rPr>
                        <w:t> </w:t>
                      </w:r>
                      <w:r>
                        <w:rPr>
                          <w:color w:val="000000"/>
                        </w:rPr>
                        <w:t>accessing</w:t>
                      </w:r>
                      <w:r>
                        <w:rPr>
                          <w:color w:val="000000"/>
                          <w:spacing w:val="-4"/>
                        </w:rPr>
                        <w:t> </w:t>
                      </w:r>
                      <w:r>
                        <w:rPr>
                          <w:color w:val="000000"/>
                        </w:rPr>
                        <w:t>year-round</w:t>
                      </w:r>
                      <w:r>
                        <w:rPr>
                          <w:color w:val="000000"/>
                          <w:spacing w:val="-4"/>
                        </w:rPr>
                        <w:t> </w:t>
                      </w:r>
                      <w:r>
                        <w:rPr>
                          <w:color w:val="000000"/>
                        </w:rPr>
                        <w:t>recreation and interpretive facilities that promote the history, cultural importance, and ecology of the </w:t>
                      </w:r>
                      <w:r>
                        <w:rPr>
                          <w:color w:val="000000"/>
                          <w:spacing w:val="-2"/>
                        </w:rPr>
                        <w:t>area.</w:t>
                      </w:r>
                    </w:p>
                    <w:p>
                      <w:pPr>
                        <w:pStyle w:val="BodyText"/>
                        <w:spacing w:before="119"/>
                        <w:ind w:left="28" w:right="120"/>
                        <w:rPr>
                          <w:color w:val="000000"/>
                        </w:rPr>
                      </w:pPr>
                      <w:r>
                        <w:rPr>
                          <w:color w:val="000000"/>
                        </w:rPr>
                        <w:t>Management direction applies only to portions of scenic byways within National Forest System lands. The Forest Supervisor authorizes management activities on the scenic byways regardless of designating authority unless especially reserved. The Sherman Highway</w:t>
                      </w:r>
                      <w:r>
                        <w:rPr>
                          <w:color w:val="000000"/>
                          <w:spacing w:val="-1"/>
                        </w:rPr>
                        <w:t> </w:t>
                      </w:r>
                      <w:r>
                        <w:rPr>
                          <w:color w:val="000000"/>
                        </w:rPr>
                        <w:t>is</w:t>
                      </w:r>
                      <w:r>
                        <w:rPr>
                          <w:color w:val="000000"/>
                          <w:spacing w:val="-4"/>
                        </w:rPr>
                        <w:t> </w:t>
                      </w:r>
                      <w:r>
                        <w:rPr>
                          <w:color w:val="000000"/>
                        </w:rPr>
                        <w:t>withdrawn</w:t>
                      </w:r>
                      <w:r>
                        <w:rPr>
                          <w:color w:val="000000"/>
                          <w:spacing w:val="-3"/>
                        </w:rPr>
                        <w:t> </w:t>
                      </w:r>
                      <w:r>
                        <w:rPr>
                          <w:color w:val="000000"/>
                        </w:rPr>
                        <w:t>from</w:t>
                      </w:r>
                      <w:r>
                        <w:rPr>
                          <w:color w:val="000000"/>
                          <w:spacing w:val="-3"/>
                        </w:rPr>
                        <w:t> </w:t>
                      </w:r>
                      <w:r>
                        <w:rPr>
                          <w:color w:val="000000"/>
                        </w:rPr>
                        <w:t>mineral</w:t>
                      </w:r>
                      <w:r>
                        <w:rPr>
                          <w:color w:val="000000"/>
                          <w:spacing w:val="-5"/>
                        </w:rPr>
                        <w:t> </w:t>
                      </w:r>
                      <w:r>
                        <w:rPr>
                          <w:color w:val="000000"/>
                        </w:rPr>
                        <w:t>entry</w:t>
                      </w:r>
                      <w:r>
                        <w:rPr>
                          <w:color w:val="000000"/>
                          <w:spacing w:val="-3"/>
                        </w:rPr>
                        <w:t> </w:t>
                      </w:r>
                      <w:r>
                        <w:rPr>
                          <w:color w:val="000000"/>
                        </w:rPr>
                        <w:t>for</w:t>
                      </w:r>
                      <w:r>
                        <w:rPr>
                          <w:color w:val="000000"/>
                          <w:spacing w:val="-4"/>
                        </w:rPr>
                        <w:t> </w:t>
                      </w:r>
                      <w:r>
                        <w:rPr>
                          <w:color w:val="000000"/>
                        </w:rPr>
                        <w:t>200</w:t>
                      </w:r>
                      <w:r>
                        <w:rPr>
                          <w:color w:val="000000"/>
                          <w:spacing w:val="-3"/>
                        </w:rPr>
                        <w:t> </w:t>
                      </w:r>
                      <w:r>
                        <w:rPr>
                          <w:color w:val="000000"/>
                        </w:rPr>
                        <w:t>feet</w:t>
                      </w:r>
                      <w:r>
                        <w:rPr>
                          <w:color w:val="000000"/>
                          <w:spacing w:val="-4"/>
                        </w:rPr>
                        <w:t> </w:t>
                      </w:r>
                      <w:r>
                        <w:rPr>
                          <w:color w:val="000000"/>
                        </w:rPr>
                        <w:t>on</w:t>
                      </w:r>
                      <w:r>
                        <w:rPr>
                          <w:color w:val="000000"/>
                          <w:spacing w:val="-3"/>
                        </w:rPr>
                        <w:t> </w:t>
                      </w:r>
                      <w:r>
                        <w:rPr>
                          <w:color w:val="000000"/>
                        </w:rPr>
                        <w:t>either</w:t>
                      </w:r>
                      <w:r>
                        <w:rPr>
                          <w:color w:val="000000"/>
                          <w:spacing w:val="-2"/>
                        </w:rPr>
                        <w:t> </w:t>
                      </w:r>
                      <w:r>
                        <w:rPr>
                          <w:color w:val="000000"/>
                        </w:rPr>
                        <w:t>side</w:t>
                      </w:r>
                      <w:r>
                        <w:rPr>
                          <w:color w:val="000000"/>
                          <w:spacing w:val="-4"/>
                        </w:rPr>
                        <w:t> </w:t>
                      </w:r>
                      <w:r>
                        <w:rPr>
                          <w:color w:val="000000"/>
                        </w:rPr>
                        <w:t>of</w:t>
                      </w:r>
                      <w:r>
                        <w:rPr>
                          <w:color w:val="000000"/>
                          <w:spacing w:val="-4"/>
                        </w:rPr>
                        <w:t> </w:t>
                      </w:r>
                      <w:r>
                        <w:rPr>
                          <w:color w:val="000000"/>
                        </w:rPr>
                        <w:t>centerline</w:t>
                      </w:r>
                      <w:r>
                        <w:rPr>
                          <w:color w:val="000000"/>
                          <w:spacing w:val="-1"/>
                        </w:rPr>
                        <w:t> </w:t>
                      </w:r>
                      <w:r>
                        <w:rPr>
                          <w:color w:val="000000"/>
                        </w:rPr>
                        <w:t>of</w:t>
                      </w:r>
                      <w:r>
                        <w:rPr>
                          <w:color w:val="000000"/>
                          <w:spacing w:val="-4"/>
                        </w:rPr>
                        <w:t> </w:t>
                      </w:r>
                      <w:r>
                        <w:rPr>
                          <w:color w:val="000000"/>
                        </w:rPr>
                        <w:t>the highway (see appendix G).</w:t>
                      </w:r>
                    </w:p>
                    <w:p>
                      <w:pPr>
                        <w:pStyle w:val="BodyText"/>
                        <w:spacing w:before="121"/>
                        <w:ind w:left="28" w:right="120"/>
                        <w:rPr>
                          <w:color w:val="000000"/>
                        </w:rPr>
                      </w:pPr>
                      <w:hyperlink w:history="true" w:anchor="_bookmark234">
                        <w:r>
                          <w:rPr>
                            <w:color w:val="000000"/>
                          </w:rPr>
                          <w:t>Table</w:t>
                        </w:r>
                        <w:r>
                          <w:rPr>
                            <w:color w:val="000000"/>
                            <w:spacing w:val="-1"/>
                          </w:rPr>
                          <w:t> </w:t>
                        </w:r>
                        <w:r>
                          <w:rPr>
                            <w:color w:val="000000"/>
                          </w:rPr>
                          <w:t>28</w:t>
                        </w:r>
                      </w:hyperlink>
                      <w:r>
                        <w:rPr>
                          <w:color w:val="000000"/>
                          <w:spacing w:val="-1"/>
                        </w:rPr>
                        <w:t> </w:t>
                      </w:r>
                      <w:r>
                        <w:rPr>
                          <w:color w:val="000000"/>
                        </w:rPr>
                        <w:t>lists</w:t>
                      </w:r>
                      <w:r>
                        <w:rPr>
                          <w:color w:val="000000"/>
                          <w:spacing w:val="-2"/>
                        </w:rPr>
                        <w:t> </w:t>
                      </w:r>
                      <w:r>
                        <w:rPr>
                          <w:color w:val="000000"/>
                        </w:rPr>
                        <w:t>the</w:t>
                      </w:r>
                      <w:r>
                        <w:rPr>
                          <w:color w:val="000000"/>
                          <w:spacing w:val="-1"/>
                        </w:rPr>
                        <w:t> </w:t>
                      </w:r>
                      <w:r>
                        <w:rPr>
                          <w:color w:val="000000"/>
                        </w:rPr>
                        <w:t>scenic</w:t>
                      </w:r>
                      <w:r>
                        <w:rPr>
                          <w:color w:val="000000"/>
                          <w:spacing w:val="-2"/>
                        </w:rPr>
                        <w:t> </w:t>
                      </w:r>
                      <w:r>
                        <w:rPr>
                          <w:color w:val="000000"/>
                        </w:rPr>
                        <w:t>byways</w:t>
                      </w:r>
                      <w:r>
                        <w:rPr>
                          <w:color w:val="000000"/>
                          <w:spacing w:val="-4"/>
                        </w:rPr>
                        <w:t> </w:t>
                      </w:r>
                      <w:r>
                        <w:rPr>
                          <w:color w:val="000000"/>
                        </w:rPr>
                        <w:t>on</w:t>
                      </w:r>
                      <w:r>
                        <w:rPr>
                          <w:color w:val="000000"/>
                          <w:spacing w:val="-5"/>
                        </w:rPr>
                        <w:t> </w:t>
                      </w:r>
                      <w:r>
                        <w:rPr>
                          <w:color w:val="000000"/>
                        </w:rPr>
                        <w:t>the</w:t>
                      </w:r>
                      <w:r>
                        <w:rPr>
                          <w:color w:val="000000"/>
                          <w:spacing w:val="-1"/>
                        </w:rPr>
                        <w:t> </w:t>
                      </w:r>
                      <w:r>
                        <w:rPr>
                          <w:color w:val="000000"/>
                        </w:rPr>
                        <w:t>Forest</w:t>
                      </w:r>
                      <w:r>
                        <w:rPr>
                          <w:color w:val="000000"/>
                          <w:spacing w:val="-4"/>
                        </w:rPr>
                        <w:t> </w:t>
                      </w:r>
                      <w:r>
                        <w:rPr>
                          <w:color w:val="000000"/>
                        </w:rPr>
                        <w:t>and</w:t>
                      </w:r>
                      <w:r>
                        <w:rPr>
                          <w:color w:val="000000"/>
                          <w:spacing w:val="-2"/>
                        </w:rPr>
                        <w:t> </w:t>
                      </w:r>
                      <w:r>
                        <w:rPr>
                          <w:color w:val="000000"/>
                        </w:rPr>
                        <w:t>the</w:t>
                      </w:r>
                      <w:r>
                        <w:rPr>
                          <w:color w:val="000000"/>
                          <w:spacing w:val="-4"/>
                        </w:rPr>
                        <w:t> </w:t>
                      </w:r>
                      <w:r>
                        <w:rPr>
                          <w:color w:val="000000"/>
                        </w:rPr>
                        <w:t>miles</w:t>
                      </w:r>
                      <w:r>
                        <w:rPr>
                          <w:color w:val="000000"/>
                          <w:spacing w:val="-4"/>
                        </w:rPr>
                        <w:t> </w:t>
                      </w:r>
                      <w:r>
                        <w:rPr>
                          <w:color w:val="000000"/>
                        </w:rPr>
                        <w:t>of</w:t>
                      </w:r>
                      <w:r>
                        <w:rPr>
                          <w:color w:val="000000"/>
                          <w:spacing w:val="-4"/>
                        </w:rPr>
                        <w:t> </w:t>
                      </w:r>
                      <w:r>
                        <w:rPr>
                          <w:color w:val="000000"/>
                        </w:rPr>
                        <w:t>each</w:t>
                      </w:r>
                      <w:r>
                        <w:rPr>
                          <w:color w:val="000000"/>
                          <w:spacing w:val="-5"/>
                        </w:rPr>
                        <w:t> </w:t>
                      </w:r>
                      <w:r>
                        <w:rPr>
                          <w:color w:val="000000"/>
                        </w:rPr>
                        <w:t>byway</w:t>
                      </w:r>
                      <w:r>
                        <w:rPr>
                          <w:color w:val="000000"/>
                          <w:spacing w:val="-3"/>
                        </w:rPr>
                        <w:t> </w:t>
                      </w:r>
                      <w:r>
                        <w:rPr>
                          <w:color w:val="000000"/>
                        </w:rPr>
                        <w:t>within</w:t>
                      </w:r>
                      <w:r>
                        <w:rPr>
                          <w:color w:val="000000"/>
                          <w:spacing w:val="-3"/>
                        </w:rPr>
                        <w:t> </w:t>
                      </w:r>
                      <w:r>
                        <w:rPr>
                          <w:color w:val="000000"/>
                        </w:rPr>
                        <w:t>the Forest. All scenic byways contain mileage outside of national forest boundaries.</w:t>
                      </w:r>
                    </w:p>
                  </w:txbxContent>
                </v:textbox>
                <v:fill type="solid"/>
                <w10:wrap type="topAndBottom"/>
              </v:shape>
            </w:pict>
          </mc:Fallback>
        </mc:AlternateContent>
      </w:r>
    </w:p>
    <w:p>
      <w:pPr>
        <w:pStyle w:val="BodyText"/>
        <w:spacing w:before="152"/>
        <w:rPr>
          <w:rFonts w:ascii="Arial"/>
          <w:b/>
          <w:sz w:val="18"/>
        </w:rPr>
      </w:pPr>
    </w:p>
    <w:p>
      <w:pPr>
        <w:spacing w:before="0" w:after="39"/>
        <w:ind w:left="360" w:right="0" w:firstLine="0"/>
        <w:jc w:val="left"/>
        <w:rPr>
          <w:rFonts w:ascii="Arial"/>
          <w:b/>
          <w:sz w:val="18"/>
        </w:rPr>
      </w:pPr>
      <w:bookmarkStart w:name="_bookmark234" w:id="773"/>
      <w:bookmarkEnd w:id="773"/>
      <w:r>
        <w:rPr/>
      </w:r>
      <w:r>
        <w:rPr>
          <w:rFonts w:ascii="Arial"/>
          <w:b/>
          <w:sz w:val="18"/>
        </w:rPr>
        <w:t>Table</w:t>
      </w:r>
      <w:r>
        <w:rPr>
          <w:rFonts w:ascii="Arial"/>
          <w:b/>
          <w:spacing w:val="-5"/>
          <w:sz w:val="18"/>
        </w:rPr>
        <w:t> </w:t>
      </w:r>
      <w:r>
        <w:rPr>
          <w:rFonts w:ascii="Arial"/>
          <w:b/>
          <w:sz w:val="18"/>
        </w:rPr>
        <w:t>28.</w:t>
      </w:r>
      <w:r>
        <w:rPr>
          <w:rFonts w:ascii="Arial"/>
          <w:b/>
          <w:spacing w:val="-2"/>
          <w:sz w:val="18"/>
        </w:rPr>
        <w:t> </w:t>
      </w:r>
      <w:r>
        <w:rPr>
          <w:rFonts w:ascii="Arial"/>
          <w:b/>
          <w:sz w:val="18"/>
        </w:rPr>
        <w:t>Scenic</w:t>
      </w:r>
      <w:r>
        <w:rPr>
          <w:rFonts w:ascii="Arial"/>
          <w:b/>
          <w:spacing w:val="-5"/>
          <w:sz w:val="18"/>
        </w:rPr>
        <w:t> </w:t>
      </w:r>
      <w:r>
        <w:rPr>
          <w:rFonts w:ascii="Arial"/>
          <w:b/>
          <w:sz w:val="18"/>
        </w:rPr>
        <w:t>byways</w:t>
      </w:r>
      <w:r>
        <w:rPr>
          <w:rFonts w:ascii="Arial"/>
          <w:b/>
          <w:spacing w:val="-1"/>
          <w:sz w:val="18"/>
        </w:rPr>
        <w:t> </w:t>
      </w:r>
      <w:r>
        <w:rPr>
          <w:rFonts w:ascii="Arial"/>
          <w:b/>
          <w:sz w:val="18"/>
        </w:rPr>
        <w:t>within</w:t>
      </w:r>
      <w:r>
        <w:rPr>
          <w:rFonts w:ascii="Arial"/>
          <w:b/>
          <w:spacing w:val="-3"/>
          <w:sz w:val="18"/>
        </w:rPr>
        <w:t> </w:t>
      </w:r>
      <w:r>
        <w:rPr>
          <w:rFonts w:ascii="Arial"/>
          <w:b/>
          <w:sz w:val="18"/>
        </w:rPr>
        <w:t>the</w:t>
      </w:r>
      <w:r>
        <w:rPr>
          <w:rFonts w:ascii="Arial"/>
          <w:b/>
          <w:spacing w:val="-1"/>
          <w:sz w:val="18"/>
        </w:rPr>
        <w:t> </w:t>
      </w:r>
      <w:r>
        <w:rPr>
          <w:rFonts w:ascii="Arial"/>
          <w:b/>
          <w:sz w:val="18"/>
        </w:rPr>
        <w:t>Colville</w:t>
      </w:r>
      <w:r>
        <w:rPr>
          <w:rFonts w:ascii="Arial"/>
          <w:b/>
          <w:spacing w:val="-2"/>
          <w:sz w:val="18"/>
        </w:rPr>
        <w:t> </w:t>
      </w:r>
      <w:r>
        <w:rPr>
          <w:rFonts w:ascii="Arial"/>
          <w:b/>
          <w:sz w:val="18"/>
        </w:rPr>
        <w:t>National</w:t>
      </w:r>
      <w:r>
        <w:rPr>
          <w:rFonts w:ascii="Arial"/>
          <w:b/>
          <w:spacing w:val="-2"/>
          <w:sz w:val="18"/>
        </w:rPr>
        <w:t> Forest</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469"/>
        <w:gridCol w:w="2144"/>
        <w:gridCol w:w="2434"/>
        <w:gridCol w:w="1501"/>
      </w:tblGrid>
      <w:tr>
        <w:trPr>
          <w:trHeight w:val="496" w:hRule="atLeast"/>
        </w:trPr>
        <w:tc>
          <w:tcPr>
            <w:tcW w:w="2469" w:type="dxa"/>
            <w:tcBorders>
              <w:right w:val="nil"/>
            </w:tcBorders>
            <w:shd w:val="clear" w:color="auto" w:fill="D5E2BB"/>
          </w:tcPr>
          <w:p>
            <w:pPr>
              <w:pStyle w:val="TableParagraph"/>
              <w:spacing w:before="145"/>
              <w:ind w:left="81" w:right="29"/>
              <w:jc w:val="center"/>
              <w:rPr>
                <w:b/>
                <w:sz w:val="18"/>
              </w:rPr>
            </w:pPr>
            <w:r>
              <w:rPr>
                <w:b/>
                <w:spacing w:val="-4"/>
                <w:sz w:val="18"/>
              </w:rPr>
              <w:t>Name</w:t>
            </w:r>
          </w:p>
        </w:tc>
        <w:tc>
          <w:tcPr>
            <w:tcW w:w="2144" w:type="dxa"/>
            <w:tcBorders>
              <w:left w:val="nil"/>
              <w:right w:val="nil"/>
            </w:tcBorders>
            <w:shd w:val="clear" w:color="auto" w:fill="D5E2BB"/>
          </w:tcPr>
          <w:p>
            <w:pPr>
              <w:pStyle w:val="TableParagraph"/>
              <w:spacing w:before="145"/>
              <w:ind w:right="495"/>
              <w:jc w:val="right"/>
              <w:rPr>
                <w:b/>
                <w:sz w:val="18"/>
              </w:rPr>
            </w:pPr>
            <w:r>
              <w:rPr>
                <w:b/>
                <w:spacing w:val="-2"/>
                <w:sz w:val="18"/>
              </w:rPr>
              <w:t>Designation</w:t>
            </w:r>
          </w:p>
        </w:tc>
        <w:tc>
          <w:tcPr>
            <w:tcW w:w="2434" w:type="dxa"/>
            <w:tcBorders>
              <w:left w:val="nil"/>
              <w:right w:val="nil"/>
            </w:tcBorders>
            <w:shd w:val="clear" w:color="auto" w:fill="D5E2BB"/>
          </w:tcPr>
          <w:p>
            <w:pPr>
              <w:pStyle w:val="TableParagraph"/>
              <w:spacing w:before="42"/>
              <w:ind w:left="191" w:right="151" w:firstLine="16"/>
              <w:rPr>
                <w:b/>
                <w:sz w:val="18"/>
              </w:rPr>
            </w:pPr>
            <w:r>
              <w:rPr>
                <w:b/>
                <w:sz w:val="18"/>
              </w:rPr>
              <w:t>Intrinsic</w:t>
            </w:r>
            <w:r>
              <w:rPr>
                <w:b/>
                <w:spacing w:val="-15"/>
                <w:sz w:val="18"/>
              </w:rPr>
              <w:t> </w:t>
            </w:r>
            <w:r>
              <w:rPr>
                <w:b/>
                <w:sz w:val="18"/>
              </w:rPr>
              <w:t>qualities</w:t>
            </w:r>
            <w:r>
              <w:rPr>
                <w:b/>
                <w:spacing w:val="-12"/>
                <w:sz w:val="18"/>
              </w:rPr>
              <w:t> </w:t>
            </w:r>
            <w:r>
              <w:rPr>
                <w:b/>
                <w:sz w:val="18"/>
              </w:rPr>
              <w:t>(apply only</w:t>
            </w:r>
            <w:r>
              <w:rPr>
                <w:b/>
                <w:spacing w:val="-7"/>
                <w:sz w:val="18"/>
              </w:rPr>
              <w:t> </w:t>
            </w:r>
            <w:r>
              <w:rPr>
                <w:b/>
                <w:sz w:val="18"/>
              </w:rPr>
              <w:t>to</w:t>
            </w:r>
            <w:r>
              <w:rPr>
                <w:b/>
                <w:spacing w:val="1"/>
                <w:sz w:val="18"/>
              </w:rPr>
              <w:t> </w:t>
            </w:r>
            <w:r>
              <w:rPr>
                <w:b/>
                <w:sz w:val="18"/>
              </w:rPr>
              <w:t>national</w:t>
            </w:r>
            <w:r>
              <w:rPr>
                <w:b/>
                <w:spacing w:val="1"/>
                <w:sz w:val="18"/>
              </w:rPr>
              <w:t> </w:t>
            </w:r>
            <w:r>
              <w:rPr>
                <w:b/>
                <w:spacing w:val="-2"/>
                <w:sz w:val="18"/>
              </w:rPr>
              <w:t>byways)</w:t>
            </w:r>
          </w:p>
        </w:tc>
        <w:tc>
          <w:tcPr>
            <w:tcW w:w="1501" w:type="dxa"/>
            <w:tcBorders>
              <w:left w:val="nil"/>
            </w:tcBorders>
            <w:shd w:val="clear" w:color="auto" w:fill="D5E2BB"/>
          </w:tcPr>
          <w:p>
            <w:pPr>
              <w:pStyle w:val="TableParagraph"/>
              <w:spacing w:before="42"/>
              <w:ind w:left="556" w:right="181" w:hanging="382"/>
              <w:rPr>
                <w:b/>
                <w:sz w:val="18"/>
              </w:rPr>
            </w:pPr>
            <w:r>
              <w:rPr>
                <w:b/>
                <w:sz w:val="18"/>
              </w:rPr>
              <w:t>Miles</w:t>
            </w:r>
            <w:r>
              <w:rPr>
                <w:b/>
                <w:spacing w:val="-15"/>
                <w:sz w:val="18"/>
              </w:rPr>
              <w:t> </w:t>
            </w:r>
            <w:r>
              <w:rPr>
                <w:b/>
                <w:sz w:val="18"/>
              </w:rPr>
              <w:t>on</w:t>
            </w:r>
            <w:r>
              <w:rPr>
                <w:b/>
                <w:spacing w:val="-12"/>
                <w:sz w:val="18"/>
              </w:rPr>
              <w:t> </w:t>
            </w:r>
            <w:r>
              <w:rPr>
                <w:b/>
                <w:sz w:val="18"/>
              </w:rPr>
              <w:t>NFS </w:t>
            </w:r>
            <w:r>
              <w:rPr>
                <w:b/>
                <w:spacing w:val="-4"/>
                <w:sz w:val="18"/>
              </w:rPr>
              <w:t>land</w:t>
            </w:r>
          </w:p>
        </w:tc>
      </w:tr>
      <w:tr>
        <w:trPr>
          <w:trHeight w:val="287" w:hRule="atLeast"/>
        </w:trPr>
        <w:tc>
          <w:tcPr>
            <w:tcW w:w="2469" w:type="dxa"/>
            <w:tcBorders>
              <w:right w:val="nil"/>
            </w:tcBorders>
          </w:tcPr>
          <w:p>
            <w:pPr>
              <w:pStyle w:val="TableParagraph"/>
              <w:ind w:left="52" w:right="81"/>
              <w:jc w:val="center"/>
              <w:rPr>
                <w:b/>
                <w:sz w:val="18"/>
              </w:rPr>
            </w:pPr>
            <w:r>
              <w:rPr>
                <w:b/>
                <w:sz w:val="18"/>
              </w:rPr>
              <w:t>International</w:t>
            </w:r>
            <w:r>
              <w:rPr>
                <w:b/>
                <w:spacing w:val="-6"/>
                <w:sz w:val="18"/>
              </w:rPr>
              <w:t> </w:t>
            </w:r>
            <w:r>
              <w:rPr>
                <w:b/>
                <w:sz w:val="18"/>
              </w:rPr>
              <w:t>Selkirk</w:t>
            </w:r>
            <w:r>
              <w:rPr>
                <w:b/>
                <w:spacing w:val="-2"/>
                <w:sz w:val="18"/>
              </w:rPr>
              <w:t> </w:t>
            </w:r>
            <w:r>
              <w:rPr>
                <w:b/>
                <w:spacing w:val="-4"/>
                <w:sz w:val="18"/>
              </w:rPr>
              <w:t>Loop</w:t>
            </w:r>
          </w:p>
        </w:tc>
        <w:tc>
          <w:tcPr>
            <w:tcW w:w="2144" w:type="dxa"/>
            <w:tcBorders>
              <w:left w:val="nil"/>
              <w:right w:val="nil"/>
            </w:tcBorders>
          </w:tcPr>
          <w:p>
            <w:pPr>
              <w:pStyle w:val="TableParagraph"/>
              <w:ind w:right="490"/>
              <w:jc w:val="right"/>
              <w:rPr>
                <w:sz w:val="18"/>
              </w:rPr>
            </w:pPr>
            <w:r>
              <w:rPr>
                <w:sz w:val="18"/>
              </w:rPr>
              <w:t>All</w:t>
            </w:r>
            <w:r>
              <w:rPr>
                <w:spacing w:val="-4"/>
                <w:sz w:val="18"/>
              </w:rPr>
              <w:t> </w:t>
            </w:r>
            <w:r>
              <w:rPr>
                <w:sz w:val="18"/>
              </w:rPr>
              <w:t>American</w:t>
            </w:r>
            <w:r>
              <w:rPr>
                <w:spacing w:val="-2"/>
                <w:sz w:val="18"/>
              </w:rPr>
              <w:t> </w:t>
            </w:r>
            <w:r>
              <w:rPr>
                <w:spacing w:val="-4"/>
                <w:sz w:val="18"/>
              </w:rPr>
              <w:t>Road</w:t>
            </w:r>
          </w:p>
        </w:tc>
        <w:tc>
          <w:tcPr>
            <w:tcW w:w="2434" w:type="dxa"/>
            <w:tcBorders>
              <w:left w:val="nil"/>
              <w:right w:val="nil"/>
            </w:tcBorders>
          </w:tcPr>
          <w:p>
            <w:pPr>
              <w:pStyle w:val="TableParagraph"/>
              <w:ind w:left="41"/>
              <w:jc w:val="center"/>
              <w:rPr>
                <w:sz w:val="18"/>
              </w:rPr>
            </w:pPr>
            <w:r>
              <w:rPr>
                <w:sz w:val="18"/>
              </w:rPr>
              <w:t>Recreational,</w:t>
            </w:r>
            <w:r>
              <w:rPr>
                <w:spacing w:val="-8"/>
                <w:sz w:val="18"/>
              </w:rPr>
              <w:t> </w:t>
            </w:r>
            <w:r>
              <w:rPr>
                <w:spacing w:val="-2"/>
                <w:sz w:val="18"/>
              </w:rPr>
              <w:t>scenic</w:t>
            </w:r>
          </w:p>
        </w:tc>
        <w:tc>
          <w:tcPr>
            <w:tcW w:w="1501" w:type="dxa"/>
            <w:tcBorders>
              <w:left w:val="nil"/>
            </w:tcBorders>
          </w:tcPr>
          <w:p>
            <w:pPr>
              <w:pStyle w:val="TableParagraph"/>
              <w:ind w:right="7"/>
              <w:jc w:val="center"/>
              <w:rPr>
                <w:sz w:val="18"/>
              </w:rPr>
            </w:pPr>
            <w:r>
              <w:rPr>
                <w:spacing w:val="-10"/>
                <w:sz w:val="18"/>
              </w:rPr>
              <w:t>3</w:t>
            </w:r>
          </w:p>
        </w:tc>
      </w:tr>
      <w:tr>
        <w:trPr>
          <w:trHeight w:val="493" w:hRule="atLeast"/>
        </w:trPr>
        <w:tc>
          <w:tcPr>
            <w:tcW w:w="2469" w:type="dxa"/>
            <w:tcBorders>
              <w:right w:val="nil"/>
            </w:tcBorders>
          </w:tcPr>
          <w:p>
            <w:pPr>
              <w:pStyle w:val="TableParagraph"/>
              <w:ind w:left="107"/>
              <w:rPr>
                <w:b/>
                <w:sz w:val="18"/>
              </w:rPr>
            </w:pPr>
            <w:r>
              <w:rPr>
                <w:b/>
                <w:sz w:val="18"/>
              </w:rPr>
              <w:t>North</w:t>
            </w:r>
            <w:r>
              <w:rPr>
                <w:b/>
                <w:spacing w:val="-13"/>
                <w:sz w:val="18"/>
              </w:rPr>
              <w:t> </w:t>
            </w:r>
            <w:r>
              <w:rPr>
                <w:b/>
                <w:sz w:val="18"/>
              </w:rPr>
              <w:t>Pend</w:t>
            </w:r>
            <w:r>
              <w:rPr>
                <w:b/>
                <w:spacing w:val="-12"/>
                <w:sz w:val="18"/>
              </w:rPr>
              <w:t> </w:t>
            </w:r>
            <w:r>
              <w:rPr>
                <w:b/>
                <w:sz w:val="18"/>
              </w:rPr>
              <w:t>Oreille</w:t>
            </w:r>
            <w:r>
              <w:rPr>
                <w:b/>
                <w:spacing w:val="-12"/>
                <w:sz w:val="18"/>
              </w:rPr>
              <w:t> </w:t>
            </w:r>
            <w:r>
              <w:rPr>
                <w:b/>
                <w:sz w:val="18"/>
              </w:rPr>
              <w:t>Scenic </w:t>
            </w:r>
            <w:r>
              <w:rPr>
                <w:b/>
                <w:spacing w:val="-2"/>
                <w:sz w:val="18"/>
              </w:rPr>
              <w:t>Byway</w:t>
            </w:r>
          </w:p>
        </w:tc>
        <w:tc>
          <w:tcPr>
            <w:tcW w:w="2144" w:type="dxa"/>
            <w:tcBorders>
              <w:left w:val="nil"/>
              <w:right w:val="nil"/>
            </w:tcBorders>
          </w:tcPr>
          <w:p>
            <w:pPr>
              <w:pStyle w:val="TableParagraph"/>
              <w:ind w:left="159"/>
              <w:rPr>
                <w:sz w:val="18"/>
              </w:rPr>
            </w:pPr>
            <w:r>
              <w:rPr>
                <w:sz w:val="18"/>
              </w:rPr>
              <w:t>National</w:t>
            </w:r>
            <w:r>
              <w:rPr>
                <w:spacing w:val="-15"/>
                <w:sz w:val="18"/>
              </w:rPr>
              <w:t> </w:t>
            </w:r>
            <w:r>
              <w:rPr>
                <w:sz w:val="18"/>
              </w:rPr>
              <w:t>Forest</w:t>
            </w:r>
            <w:r>
              <w:rPr>
                <w:spacing w:val="-12"/>
                <w:sz w:val="18"/>
              </w:rPr>
              <w:t> </w:t>
            </w:r>
            <w:r>
              <w:rPr>
                <w:sz w:val="18"/>
              </w:rPr>
              <w:t>Scenic </w:t>
            </w:r>
            <w:r>
              <w:rPr>
                <w:spacing w:val="-4"/>
                <w:sz w:val="18"/>
              </w:rPr>
              <w:t>Byway</w:t>
            </w:r>
          </w:p>
        </w:tc>
        <w:tc>
          <w:tcPr>
            <w:tcW w:w="2434" w:type="dxa"/>
            <w:tcBorders>
              <w:left w:val="nil"/>
              <w:right w:val="nil"/>
            </w:tcBorders>
          </w:tcPr>
          <w:p>
            <w:pPr>
              <w:pStyle w:val="TableParagraph"/>
              <w:ind w:left="41" w:right="2"/>
              <w:jc w:val="center"/>
              <w:rPr>
                <w:sz w:val="18"/>
              </w:rPr>
            </w:pPr>
            <w:r>
              <w:rPr>
                <w:spacing w:val="-5"/>
                <w:sz w:val="18"/>
              </w:rPr>
              <w:t>n/a</w:t>
            </w:r>
          </w:p>
        </w:tc>
        <w:tc>
          <w:tcPr>
            <w:tcW w:w="1501" w:type="dxa"/>
            <w:tcBorders>
              <w:left w:val="nil"/>
            </w:tcBorders>
          </w:tcPr>
          <w:p>
            <w:pPr>
              <w:pStyle w:val="TableParagraph"/>
              <w:ind w:left="5" w:right="7"/>
              <w:jc w:val="center"/>
              <w:rPr>
                <w:sz w:val="18"/>
              </w:rPr>
            </w:pPr>
            <w:r>
              <w:rPr>
                <w:spacing w:val="-5"/>
                <w:sz w:val="18"/>
              </w:rPr>
              <w:t>12</w:t>
            </w:r>
          </w:p>
        </w:tc>
      </w:tr>
      <w:tr>
        <w:trPr>
          <w:trHeight w:val="493" w:hRule="atLeast"/>
        </w:trPr>
        <w:tc>
          <w:tcPr>
            <w:tcW w:w="2469" w:type="dxa"/>
            <w:tcBorders>
              <w:right w:val="nil"/>
            </w:tcBorders>
          </w:tcPr>
          <w:p>
            <w:pPr>
              <w:pStyle w:val="TableParagraph"/>
              <w:ind w:left="107"/>
              <w:rPr>
                <w:b/>
                <w:sz w:val="18"/>
              </w:rPr>
            </w:pPr>
            <w:r>
              <w:rPr>
                <w:b/>
                <w:sz w:val="18"/>
              </w:rPr>
              <w:t>Sherman</w:t>
            </w:r>
            <w:r>
              <w:rPr>
                <w:b/>
                <w:spacing w:val="-15"/>
                <w:sz w:val="18"/>
              </w:rPr>
              <w:t> </w:t>
            </w:r>
            <w:r>
              <w:rPr>
                <w:b/>
                <w:sz w:val="18"/>
              </w:rPr>
              <w:t>Pass</w:t>
            </w:r>
            <w:r>
              <w:rPr>
                <w:b/>
                <w:spacing w:val="-12"/>
                <w:sz w:val="18"/>
              </w:rPr>
              <w:t> </w:t>
            </w:r>
            <w:r>
              <w:rPr>
                <w:b/>
                <w:sz w:val="18"/>
              </w:rPr>
              <w:t>Scenic </w:t>
            </w:r>
            <w:r>
              <w:rPr>
                <w:b/>
                <w:spacing w:val="-2"/>
                <w:sz w:val="18"/>
              </w:rPr>
              <w:t>Byway</w:t>
            </w:r>
          </w:p>
        </w:tc>
        <w:tc>
          <w:tcPr>
            <w:tcW w:w="2144" w:type="dxa"/>
            <w:tcBorders>
              <w:left w:val="nil"/>
              <w:right w:val="nil"/>
            </w:tcBorders>
          </w:tcPr>
          <w:p>
            <w:pPr>
              <w:pStyle w:val="TableParagraph"/>
              <w:ind w:left="158"/>
              <w:rPr>
                <w:sz w:val="18"/>
              </w:rPr>
            </w:pPr>
            <w:r>
              <w:rPr>
                <w:sz w:val="18"/>
              </w:rPr>
              <w:t>National</w:t>
            </w:r>
            <w:r>
              <w:rPr>
                <w:spacing w:val="-15"/>
                <w:sz w:val="18"/>
              </w:rPr>
              <w:t> </w:t>
            </w:r>
            <w:r>
              <w:rPr>
                <w:sz w:val="18"/>
              </w:rPr>
              <w:t>Forest</w:t>
            </w:r>
            <w:r>
              <w:rPr>
                <w:spacing w:val="-12"/>
                <w:sz w:val="18"/>
              </w:rPr>
              <w:t> </w:t>
            </w:r>
            <w:r>
              <w:rPr>
                <w:sz w:val="18"/>
              </w:rPr>
              <w:t>Scenic </w:t>
            </w:r>
            <w:r>
              <w:rPr>
                <w:spacing w:val="-4"/>
                <w:sz w:val="18"/>
              </w:rPr>
              <w:t>Byway</w:t>
            </w:r>
          </w:p>
        </w:tc>
        <w:tc>
          <w:tcPr>
            <w:tcW w:w="2434" w:type="dxa"/>
            <w:tcBorders>
              <w:left w:val="nil"/>
              <w:right w:val="nil"/>
            </w:tcBorders>
          </w:tcPr>
          <w:p>
            <w:pPr>
              <w:pStyle w:val="TableParagraph"/>
              <w:ind w:left="41" w:right="2"/>
              <w:jc w:val="center"/>
              <w:rPr>
                <w:sz w:val="18"/>
              </w:rPr>
            </w:pPr>
            <w:r>
              <w:rPr>
                <w:spacing w:val="-5"/>
                <w:sz w:val="18"/>
              </w:rPr>
              <w:t>n/a</w:t>
            </w:r>
          </w:p>
        </w:tc>
        <w:tc>
          <w:tcPr>
            <w:tcW w:w="1501" w:type="dxa"/>
            <w:tcBorders>
              <w:left w:val="nil"/>
            </w:tcBorders>
          </w:tcPr>
          <w:p>
            <w:pPr>
              <w:pStyle w:val="TableParagraph"/>
              <w:ind w:left="5" w:right="7"/>
              <w:jc w:val="center"/>
              <w:rPr>
                <w:sz w:val="18"/>
              </w:rPr>
            </w:pPr>
            <w:r>
              <w:rPr>
                <w:spacing w:val="-5"/>
                <w:sz w:val="18"/>
              </w:rPr>
              <w:t>24</w:t>
            </w:r>
          </w:p>
        </w:tc>
      </w:tr>
    </w:tbl>
    <w:p>
      <w:pPr>
        <w:pStyle w:val="TableParagraph"/>
        <w:spacing w:after="0"/>
        <w:jc w:val="center"/>
        <w:rPr>
          <w:sz w:val="18"/>
        </w:rPr>
        <w:sectPr>
          <w:pgSz w:w="12240" w:h="15840"/>
          <w:pgMar w:header="725" w:footer="891" w:top="960" w:bottom="1080" w:left="1080" w:right="720"/>
        </w:sectPr>
      </w:pPr>
    </w:p>
    <w:p>
      <w:pPr>
        <w:pStyle w:val="BodyText"/>
        <w:spacing w:before="199"/>
        <w:rPr>
          <w:rFonts w:ascii="Arial"/>
          <w:b/>
          <w:sz w:val="24"/>
        </w:rPr>
      </w:pPr>
    </w:p>
    <w:p>
      <w:pPr>
        <w:pStyle w:val="Heading4"/>
        <w:ind w:left="1151"/>
      </w:pPr>
      <w:bookmarkStart w:name="Desired Condition" w:id="774"/>
      <w:bookmarkEnd w:id="774"/>
      <w:r>
        <w:rPr/>
      </w:r>
      <w:bookmarkStart w:name="_bookmark235" w:id="775"/>
      <w:bookmarkEnd w:id="775"/>
      <w:r>
        <w:rPr/>
      </w:r>
      <w:r>
        <w:rPr/>
        <w:t>Desired</w:t>
      </w:r>
      <w:r>
        <w:rPr>
          <w:spacing w:val="-4"/>
        </w:rPr>
        <w:t> </w:t>
      </w:r>
      <w:r>
        <w:rPr>
          <w:spacing w:val="-2"/>
        </w:rPr>
        <w:t>Condition</w:t>
      </w:r>
    </w:p>
    <w:p>
      <w:pPr>
        <w:spacing w:before="240"/>
        <w:ind w:left="1151" w:right="0" w:firstLine="0"/>
        <w:jc w:val="left"/>
        <w:rPr>
          <w:rFonts w:ascii="Arial"/>
          <w:i/>
          <w:sz w:val="22"/>
        </w:rPr>
      </w:pPr>
      <w:bookmarkStart w:name="MA-DC-SB-01.Landscape and Developments" w:id="776"/>
      <w:bookmarkEnd w:id="776"/>
      <w:r>
        <w:rPr/>
      </w:r>
      <w:r>
        <w:rPr>
          <w:rFonts w:ascii="Arial"/>
          <w:i/>
          <w:sz w:val="22"/>
        </w:rPr>
        <w:t>MA-DC-SB-01.Landscape</w:t>
      </w:r>
      <w:r>
        <w:rPr>
          <w:rFonts w:ascii="Arial"/>
          <w:i/>
          <w:spacing w:val="-10"/>
          <w:sz w:val="22"/>
        </w:rPr>
        <w:t> </w:t>
      </w:r>
      <w:r>
        <w:rPr>
          <w:rFonts w:ascii="Arial"/>
          <w:i/>
          <w:sz w:val="22"/>
        </w:rPr>
        <w:t>and</w:t>
      </w:r>
      <w:r>
        <w:rPr>
          <w:rFonts w:ascii="Arial"/>
          <w:i/>
          <w:spacing w:val="-9"/>
          <w:sz w:val="22"/>
        </w:rPr>
        <w:t> </w:t>
      </w:r>
      <w:r>
        <w:rPr>
          <w:rFonts w:ascii="Arial"/>
          <w:i/>
          <w:spacing w:val="-2"/>
          <w:sz w:val="22"/>
        </w:rPr>
        <w:t>Developments</w:t>
      </w:r>
    </w:p>
    <w:p>
      <w:pPr>
        <w:pStyle w:val="BodyText"/>
        <w:spacing w:line="232" w:lineRule="auto" w:before="65"/>
        <w:ind w:left="1151" w:right="784"/>
        <w:jc w:val="both"/>
      </w:pPr>
      <w:r>
        <w:rPr/>
        <w:t>Scenic</w:t>
      </w:r>
      <w:r>
        <w:rPr>
          <w:spacing w:val="-7"/>
        </w:rPr>
        <w:t> </w:t>
      </w:r>
      <w:r>
        <w:rPr/>
        <w:t>Byway</w:t>
      </w:r>
      <w:r>
        <w:rPr>
          <w:spacing w:val="-8"/>
        </w:rPr>
        <w:t> </w:t>
      </w:r>
      <w:r>
        <w:rPr/>
        <w:t>Management</w:t>
      </w:r>
      <w:r>
        <w:rPr>
          <w:spacing w:val="-9"/>
        </w:rPr>
        <w:t> </w:t>
      </w:r>
      <w:r>
        <w:rPr/>
        <w:t>Areas</w:t>
      </w:r>
      <w:r>
        <w:rPr>
          <w:spacing w:val="-7"/>
        </w:rPr>
        <w:t> </w:t>
      </w:r>
      <w:r>
        <w:rPr/>
        <w:t>provide</w:t>
      </w:r>
      <w:r>
        <w:rPr>
          <w:spacing w:val="-6"/>
        </w:rPr>
        <w:t> </w:t>
      </w:r>
      <w:r>
        <w:rPr/>
        <w:t>opportunities</w:t>
      </w:r>
      <w:r>
        <w:rPr>
          <w:spacing w:val="-7"/>
        </w:rPr>
        <w:t> </w:t>
      </w:r>
      <w:r>
        <w:rPr/>
        <w:t>to</w:t>
      </w:r>
      <w:r>
        <w:rPr>
          <w:spacing w:val="-8"/>
        </w:rPr>
        <w:t> </w:t>
      </w:r>
      <w:r>
        <w:rPr/>
        <w:t>view</w:t>
      </w:r>
      <w:r>
        <w:rPr>
          <w:spacing w:val="-6"/>
        </w:rPr>
        <w:t> </w:t>
      </w:r>
      <w:r>
        <w:rPr/>
        <w:t>high-quality</w:t>
      </w:r>
      <w:r>
        <w:rPr>
          <w:spacing w:val="-6"/>
        </w:rPr>
        <w:t> </w:t>
      </w:r>
      <w:r>
        <w:rPr/>
        <w:t>scenery,</w:t>
      </w:r>
      <w:r>
        <w:rPr>
          <w:spacing w:val="-7"/>
        </w:rPr>
        <w:t> </w:t>
      </w:r>
      <w:r>
        <w:rPr/>
        <w:t>historical, and</w:t>
      </w:r>
      <w:r>
        <w:rPr>
          <w:spacing w:val="-8"/>
        </w:rPr>
        <w:t> </w:t>
      </w:r>
      <w:r>
        <w:rPr/>
        <w:t>natural</w:t>
      </w:r>
      <w:r>
        <w:rPr>
          <w:spacing w:val="-8"/>
        </w:rPr>
        <w:t> </w:t>
      </w:r>
      <w:r>
        <w:rPr/>
        <w:t>features.</w:t>
      </w:r>
      <w:r>
        <w:rPr>
          <w:spacing w:val="-8"/>
        </w:rPr>
        <w:t> </w:t>
      </w:r>
      <w:r>
        <w:rPr/>
        <w:t>Viewsheds</w:t>
      </w:r>
      <w:r>
        <w:rPr>
          <w:spacing w:val="-8"/>
        </w:rPr>
        <w:t> </w:t>
      </w:r>
      <w:r>
        <w:rPr/>
        <w:t>along</w:t>
      </w:r>
      <w:r>
        <w:rPr>
          <w:spacing w:val="-8"/>
        </w:rPr>
        <w:t> </w:t>
      </w:r>
      <w:r>
        <w:rPr/>
        <w:t>scenic</w:t>
      </w:r>
      <w:r>
        <w:rPr>
          <w:spacing w:val="-9"/>
        </w:rPr>
        <w:t> </w:t>
      </w:r>
      <w:r>
        <w:rPr/>
        <w:t>byways</w:t>
      </w:r>
      <w:r>
        <w:rPr>
          <w:spacing w:val="-9"/>
        </w:rPr>
        <w:t> </w:t>
      </w:r>
      <w:r>
        <w:rPr/>
        <w:t>provide</w:t>
      </w:r>
      <w:r>
        <w:rPr>
          <w:spacing w:val="-9"/>
        </w:rPr>
        <w:t> </w:t>
      </w:r>
      <w:r>
        <w:rPr/>
        <w:t>natural-appearing</w:t>
      </w:r>
      <w:r>
        <w:rPr>
          <w:spacing w:val="-8"/>
        </w:rPr>
        <w:t> </w:t>
      </w:r>
      <w:r>
        <w:rPr/>
        <w:t>landscapes</w:t>
      </w:r>
      <w:r>
        <w:rPr>
          <w:spacing w:val="-8"/>
        </w:rPr>
        <w:t> </w:t>
      </w:r>
      <w:r>
        <w:rPr/>
        <w:t>and enhance recreation tourism that supports local communities.</w:t>
      </w:r>
    </w:p>
    <w:p>
      <w:pPr>
        <w:pStyle w:val="BodyText"/>
        <w:spacing w:before="193"/>
        <w:ind w:left="1152"/>
      </w:pPr>
      <w:r>
        <w:rPr/>
        <w:t>Developments</w:t>
      </w:r>
      <w:r>
        <w:rPr>
          <w:spacing w:val="-8"/>
        </w:rPr>
        <w:t> </w:t>
      </w:r>
      <w:r>
        <w:rPr/>
        <w:t>and</w:t>
      </w:r>
      <w:r>
        <w:rPr>
          <w:spacing w:val="-8"/>
        </w:rPr>
        <w:t> </w:t>
      </w:r>
      <w:r>
        <w:rPr/>
        <w:t>roadwork</w:t>
      </w:r>
      <w:r>
        <w:rPr>
          <w:spacing w:val="-5"/>
        </w:rPr>
        <w:t> </w:t>
      </w:r>
      <w:r>
        <w:rPr/>
        <w:t>along</w:t>
      </w:r>
      <w:r>
        <w:rPr>
          <w:spacing w:val="-6"/>
        </w:rPr>
        <w:t> </w:t>
      </w:r>
      <w:r>
        <w:rPr/>
        <w:t>scenic</w:t>
      </w:r>
      <w:r>
        <w:rPr>
          <w:spacing w:val="-7"/>
        </w:rPr>
        <w:t> </w:t>
      </w:r>
      <w:r>
        <w:rPr/>
        <w:t>byways</w:t>
      </w:r>
      <w:r>
        <w:rPr>
          <w:spacing w:val="-6"/>
        </w:rPr>
        <w:t> </w:t>
      </w:r>
      <w:r>
        <w:rPr/>
        <w:t>reflect</w:t>
      </w:r>
      <w:r>
        <w:rPr>
          <w:spacing w:val="-4"/>
        </w:rPr>
        <w:t> </w:t>
      </w:r>
      <w:r>
        <w:rPr/>
        <w:t>a</w:t>
      </w:r>
      <w:r>
        <w:rPr>
          <w:spacing w:val="-8"/>
        </w:rPr>
        <w:t> </w:t>
      </w:r>
      <w:r>
        <w:rPr/>
        <w:t>design</w:t>
      </w:r>
      <w:r>
        <w:rPr>
          <w:spacing w:val="-6"/>
        </w:rPr>
        <w:t> </w:t>
      </w:r>
      <w:r>
        <w:rPr/>
        <w:t>theme</w:t>
      </w:r>
      <w:r>
        <w:rPr>
          <w:spacing w:val="-5"/>
        </w:rPr>
        <w:t> </w:t>
      </w:r>
      <w:r>
        <w:rPr/>
        <w:t>unique</w:t>
      </w:r>
      <w:r>
        <w:rPr>
          <w:spacing w:val="-7"/>
        </w:rPr>
        <w:t> </w:t>
      </w:r>
      <w:r>
        <w:rPr/>
        <w:t>to</w:t>
      </w:r>
      <w:r>
        <w:rPr>
          <w:spacing w:val="-6"/>
        </w:rPr>
        <w:t> </w:t>
      </w:r>
      <w:r>
        <w:rPr/>
        <w:t>each</w:t>
      </w:r>
      <w:r>
        <w:rPr>
          <w:spacing w:val="-6"/>
        </w:rPr>
        <w:t> </w:t>
      </w:r>
      <w:r>
        <w:rPr>
          <w:spacing w:val="-2"/>
        </w:rPr>
        <w:t>byway.</w:t>
      </w:r>
    </w:p>
    <w:p>
      <w:pPr>
        <w:pStyle w:val="BodyText"/>
        <w:spacing w:line="232" w:lineRule="auto" w:before="197"/>
        <w:ind w:left="1151" w:right="801"/>
      </w:pPr>
      <w:r>
        <w:rPr/>
        <w:t>Scenic byways have facilities to enhance opportunities for viewing scenery, wildlife, or other important</w:t>
      </w:r>
      <w:r>
        <w:rPr>
          <w:spacing w:val="-6"/>
        </w:rPr>
        <w:t> </w:t>
      </w:r>
      <w:r>
        <w:rPr/>
        <w:t>features.</w:t>
      </w:r>
      <w:r>
        <w:rPr>
          <w:spacing w:val="-7"/>
        </w:rPr>
        <w:t> </w:t>
      </w:r>
      <w:r>
        <w:rPr/>
        <w:t>Recreation</w:t>
      </w:r>
      <w:r>
        <w:rPr>
          <w:spacing w:val="-8"/>
        </w:rPr>
        <w:t> </w:t>
      </w:r>
      <w:r>
        <w:rPr/>
        <w:t>sites,</w:t>
      </w:r>
      <w:r>
        <w:rPr>
          <w:spacing w:val="-7"/>
        </w:rPr>
        <w:t> </w:t>
      </w:r>
      <w:r>
        <w:rPr/>
        <w:t>such</w:t>
      </w:r>
      <w:r>
        <w:rPr>
          <w:spacing w:val="-8"/>
        </w:rPr>
        <w:t> </w:t>
      </w:r>
      <w:r>
        <w:rPr/>
        <w:t>as</w:t>
      </w:r>
      <w:r>
        <w:rPr>
          <w:spacing w:val="-7"/>
        </w:rPr>
        <w:t> </w:t>
      </w:r>
      <w:r>
        <w:rPr/>
        <w:t>day-use</w:t>
      </w:r>
      <w:r>
        <w:rPr>
          <w:spacing w:val="-6"/>
        </w:rPr>
        <w:t> </w:t>
      </w:r>
      <w:r>
        <w:rPr/>
        <w:t>sites,</w:t>
      </w:r>
      <w:r>
        <w:rPr>
          <w:spacing w:val="-7"/>
        </w:rPr>
        <w:t> </w:t>
      </w:r>
      <w:r>
        <w:rPr/>
        <w:t>and</w:t>
      </w:r>
      <w:r>
        <w:rPr>
          <w:spacing w:val="-8"/>
        </w:rPr>
        <w:t> </w:t>
      </w:r>
      <w:r>
        <w:rPr/>
        <w:t>related</w:t>
      </w:r>
      <w:r>
        <w:rPr>
          <w:spacing w:val="-10"/>
        </w:rPr>
        <w:t> </w:t>
      </w:r>
      <w:r>
        <w:rPr/>
        <w:t>developments,</w:t>
      </w:r>
      <w:r>
        <w:rPr>
          <w:spacing w:val="-7"/>
        </w:rPr>
        <w:t> </w:t>
      </w:r>
      <w:r>
        <w:rPr/>
        <w:t>such</w:t>
      </w:r>
      <w:r>
        <w:rPr>
          <w:spacing w:val="-8"/>
        </w:rPr>
        <w:t> </w:t>
      </w:r>
      <w:r>
        <w:rPr/>
        <w:t>as signs, viewpoints, and interpretive installations are present. Most developed sites are universally accessible</w:t>
      </w:r>
      <w:r>
        <w:rPr>
          <w:spacing w:val="-3"/>
        </w:rPr>
        <w:t> </w:t>
      </w:r>
      <w:r>
        <w:rPr/>
        <w:t>at an</w:t>
      </w:r>
      <w:r>
        <w:rPr>
          <w:spacing w:val="-4"/>
        </w:rPr>
        <w:t> </w:t>
      </w:r>
      <w:r>
        <w:rPr/>
        <w:t>easy to</w:t>
      </w:r>
      <w:r>
        <w:rPr>
          <w:spacing w:val="-2"/>
        </w:rPr>
        <w:t> </w:t>
      </w:r>
      <w:r>
        <w:rPr/>
        <w:t>moderate</w:t>
      </w:r>
      <w:r>
        <w:rPr>
          <w:spacing w:val="-3"/>
        </w:rPr>
        <w:t> </w:t>
      </w:r>
      <w:r>
        <w:rPr/>
        <w:t>difficulty</w:t>
      </w:r>
      <w:r>
        <w:rPr>
          <w:spacing w:val="-2"/>
        </w:rPr>
        <w:t> </w:t>
      </w:r>
      <w:r>
        <w:rPr/>
        <w:t>level.</w:t>
      </w:r>
      <w:r>
        <w:rPr>
          <w:spacing w:val="-1"/>
        </w:rPr>
        <w:t> </w:t>
      </w:r>
      <w:r>
        <w:rPr/>
        <w:t>Access</w:t>
      </w:r>
      <w:r>
        <w:rPr>
          <w:spacing w:val="-1"/>
        </w:rPr>
        <w:t> </w:t>
      </w:r>
      <w:r>
        <w:rPr/>
        <w:t>to</w:t>
      </w:r>
      <w:r>
        <w:rPr>
          <w:spacing w:val="-2"/>
        </w:rPr>
        <w:t> </w:t>
      </w:r>
      <w:r>
        <w:rPr/>
        <w:t>features</w:t>
      </w:r>
      <w:r>
        <w:rPr>
          <w:spacing w:val="-3"/>
        </w:rPr>
        <w:t> </w:t>
      </w:r>
      <w:r>
        <w:rPr/>
        <w:t>or</w:t>
      </w:r>
      <w:r>
        <w:rPr>
          <w:spacing w:val="-3"/>
        </w:rPr>
        <w:t> </w:t>
      </w:r>
      <w:r>
        <w:rPr/>
        <w:t>viewpoints may be provided by facilities and trails.</w:t>
      </w:r>
    </w:p>
    <w:p>
      <w:pPr>
        <w:pStyle w:val="BodyText"/>
        <w:spacing w:before="191"/>
        <w:ind w:left="1151"/>
      </w:pPr>
      <w:r>
        <w:rPr/>
        <w:t>The</w:t>
      </w:r>
      <w:r>
        <w:rPr>
          <w:spacing w:val="-7"/>
        </w:rPr>
        <w:t> </w:t>
      </w:r>
      <w:r>
        <w:rPr/>
        <w:t>intrinsic</w:t>
      </w:r>
      <w:r>
        <w:rPr>
          <w:spacing w:val="-6"/>
        </w:rPr>
        <w:t> </w:t>
      </w:r>
      <w:r>
        <w:rPr/>
        <w:t>qualities</w:t>
      </w:r>
      <w:r>
        <w:rPr>
          <w:spacing w:val="-6"/>
        </w:rPr>
        <w:t> </w:t>
      </w:r>
      <w:r>
        <w:rPr/>
        <w:t>identified</w:t>
      </w:r>
      <w:r>
        <w:rPr>
          <w:spacing w:val="-7"/>
        </w:rPr>
        <w:t> </w:t>
      </w:r>
      <w:r>
        <w:rPr/>
        <w:t>for</w:t>
      </w:r>
      <w:r>
        <w:rPr>
          <w:spacing w:val="-7"/>
        </w:rPr>
        <w:t> </w:t>
      </w:r>
      <w:r>
        <w:rPr/>
        <w:t>each</w:t>
      </w:r>
      <w:r>
        <w:rPr>
          <w:spacing w:val="-7"/>
        </w:rPr>
        <w:t> </w:t>
      </w:r>
      <w:r>
        <w:rPr/>
        <w:t>scenic</w:t>
      </w:r>
      <w:r>
        <w:rPr>
          <w:spacing w:val="-8"/>
        </w:rPr>
        <w:t> </w:t>
      </w:r>
      <w:r>
        <w:rPr/>
        <w:t>byway</w:t>
      </w:r>
      <w:r>
        <w:rPr>
          <w:spacing w:val="-9"/>
        </w:rPr>
        <w:t> </w:t>
      </w:r>
      <w:r>
        <w:rPr/>
        <w:t>remain</w:t>
      </w:r>
      <w:r>
        <w:rPr>
          <w:spacing w:val="-8"/>
        </w:rPr>
        <w:t> </w:t>
      </w:r>
      <w:r>
        <w:rPr>
          <w:spacing w:val="-2"/>
        </w:rPr>
        <w:t>intact.</w:t>
      </w:r>
    </w:p>
    <w:p>
      <w:pPr>
        <w:pStyle w:val="BodyText"/>
        <w:spacing w:line="232" w:lineRule="auto" w:before="198"/>
        <w:ind w:left="1151" w:right="742"/>
      </w:pPr>
      <w:r>
        <w:rPr/>
        <w:t>Scenic</w:t>
      </w:r>
      <w:r>
        <w:rPr>
          <w:spacing w:val="-5"/>
        </w:rPr>
        <w:t> </w:t>
      </w:r>
      <w:r>
        <w:rPr/>
        <w:t>byways</w:t>
      </w:r>
      <w:r>
        <w:rPr>
          <w:spacing w:val="-7"/>
        </w:rPr>
        <w:t> </w:t>
      </w:r>
      <w:r>
        <w:rPr/>
        <w:t>exhibit</w:t>
      </w:r>
      <w:r>
        <w:rPr>
          <w:spacing w:val="-7"/>
        </w:rPr>
        <w:t> </w:t>
      </w:r>
      <w:r>
        <w:rPr/>
        <w:t>natural-appearing</w:t>
      </w:r>
      <w:r>
        <w:rPr>
          <w:spacing w:val="-6"/>
        </w:rPr>
        <w:t> </w:t>
      </w:r>
      <w:r>
        <w:rPr/>
        <w:t>landscapes</w:t>
      </w:r>
      <w:r>
        <w:rPr>
          <w:spacing w:val="-5"/>
        </w:rPr>
        <w:t> </w:t>
      </w:r>
      <w:r>
        <w:rPr/>
        <w:t>where</w:t>
      </w:r>
      <w:r>
        <w:rPr>
          <w:spacing w:val="-4"/>
        </w:rPr>
        <w:t> </w:t>
      </w:r>
      <w:r>
        <w:rPr/>
        <w:t>human</w:t>
      </w:r>
      <w:r>
        <w:rPr>
          <w:spacing w:val="-6"/>
        </w:rPr>
        <w:t> </w:t>
      </w:r>
      <w:r>
        <w:rPr/>
        <w:t>activities</w:t>
      </w:r>
      <w:r>
        <w:rPr>
          <w:spacing w:val="-5"/>
        </w:rPr>
        <w:t> </w:t>
      </w:r>
      <w:r>
        <w:rPr/>
        <w:t>do</w:t>
      </w:r>
      <w:r>
        <w:rPr>
          <w:spacing w:val="-6"/>
        </w:rPr>
        <w:t> </w:t>
      </w:r>
      <w:r>
        <w:rPr/>
        <w:t>not</w:t>
      </w:r>
      <w:r>
        <w:rPr>
          <w:spacing w:val="-4"/>
        </w:rPr>
        <w:t> </w:t>
      </w:r>
      <w:r>
        <w:rPr/>
        <w:t>stand</w:t>
      </w:r>
      <w:r>
        <w:rPr>
          <w:spacing w:val="-8"/>
        </w:rPr>
        <w:t> </w:t>
      </w:r>
      <w:r>
        <w:rPr/>
        <w:t>out</w:t>
      </w:r>
      <w:r>
        <w:rPr>
          <w:spacing w:val="-4"/>
        </w:rPr>
        <w:t> </w:t>
      </w:r>
      <w:r>
        <w:rPr/>
        <w:t>in the foreground, up to one-half mile (high scenic integrity).</w:t>
      </w:r>
    </w:p>
    <w:p>
      <w:pPr>
        <w:pStyle w:val="BodyText"/>
        <w:spacing w:before="193"/>
        <w:ind w:left="1151"/>
      </w:pPr>
      <w:r>
        <w:rPr/>
        <w:t>Scenic</w:t>
      </w:r>
      <w:r>
        <w:rPr>
          <w:spacing w:val="-12"/>
        </w:rPr>
        <w:t> </w:t>
      </w:r>
      <w:r>
        <w:rPr/>
        <w:t>byways</w:t>
      </w:r>
      <w:r>
        <w:rPr>
          <w:spacing w:val="-10"/>
        </w:rPr>
        <w:t> </w:t>
      </w:r>
      <w:r>
        <w:rPr/>
        <w:t>provide</w:t>
      </w:r>
      <w:r>
        <w:rPr>
          <w:spacing w:val="-11"/>
        </w:rPr>
        <w:t> </w:t>
      </w:r>
      <w:r>
        <w:rPr/>
        <w:t>roaded</w:t>
      </w:r>
      <w:r>
        <w:rPr>
          <w:spacing w:val="-10"/>
        </w:rPr>
        <w:t> </w:t>
      </w:r>
      <w:r>
        <w:rPr/>
        <w:t>natural</w:t>
      </w:r>
      <w:r>
        <w:rPr>
          <w:spacing w:val="-10"/>
        </w:rPr>
        <w:t> </w:t>
      </w:r>
      <w:r>
        <w:rPr/>
        <w:t>recreation</w:t>
      </w:r>
      <w:r>
        <w:rPr>
          <w:spacing w:val="-11"/>
        </w:rPr>
        <w:t> </w:t>
      </w:r>
      <w:r>
        <w:rPr>
          <w:spacing w:val="-2"/>
        </w:rPr>
        <w:t>opportunities.</w:t>
      </w:r>
    </w:p>
    <w:p>
      <w:pPr>
        <w:pStyle w:val="Heading4"/>
        <w:spacing w:before="234"/>
        <w:ind w:left="1151"/>
      </w:pPr>
      <w:bookmarkStart w:name="Objective" w:id="777"/>
      <w:bookmarkEnd w:id="777"/>
      <w:r>
        <w:rPr/>
      </w:r>
      <w:bookmarkStart w:name="_bookmark236" w:id="778"/>
      <w:bookmarkEnd w:id="778"/>
      <w:r>
        <w:rPr/>
      </w:r>
      <w:r>
        <w:rPr>
          <w:spacing w:val="-2"/>
        </w:rPr>
        <w:t>Objective</w:t>
      </w:r>
    </w:p>
    <w:p>
      <w:pPr>
        <w:spacing w:before="237"/>
        <w:ind w:left="1151" w:right="0" w:firstLine="0"/>
        <w:jc w:val="left"/>
        <w:rPr>
          <w:rFonts w:ascii="Arial"/>
          <w:i/>
          <w:sz w:val="22"/>
        </w:rPr>
      </w:pPr>
      <w:bookmarkStart w:name="MA-OBJ-SB-01. Desired Landscape Characte" w:id="779"/>
      <w:bookmarkEnd w:id="779"/>
      <w:r>
        <w:rPr/>
      </w:r>
      <w:r>
        <w:rPr>
          <w:rFonts w:ascii="Arial"/>
          <w:i/>
          <w:sz w:val="22"/>
        </w:rPr>
        <w:t>MA-OBJ-SB-01.</w:t>
      </w:r>
      <w:r>
        <w:rPr>
          <w:rFonts w:ascii="Arial"/>
          <w:i/>
          <w:spacing w:val="-7"/>
          <w:sz w:val="22"/>
        </w:rPr>
        <w:t> </w:t>
      </w:r>
      <w:r>
        <w:rPr>
          <w:rFonts w:ascii="Arial"/>
          <w:i/>
          <w:sz w:val="22"/>
        </w:rPr>
        <w:t>Desired</w:t>
      </w:r>
      <w:r>
        <w:rPr>
          <w:rFonts w:ascii="Arial"/>
          <w:i/>
          <w:spacing w:val="-9"/>
          <w:sz w:val="22"/>
        </w:rPr>
        <w:t> </w:t>
      </w:r>
      <w:r>
        <w:rPr>
          <w:rFonts w:ascii="Arial"/>
          <w:i/>
          <w:sz w:val="22"/>
        </w:rPr>
        <w:t>Landscape</w:t>
      </w:r>
      <w:r>
        <w:rPr>
          <w:rFonts w:ascii="Arial"/>
          <w:i/>
          <w:spacing w:val="-8"/>
          <w:sz w:val="22"/>
        </w:rPr>
        <w:t> </w:t>
      </w:r>
      <w:r>
        <w:rPr>
          <w:rFonts w:ascii="Arial"/>
          <w:i/>
          <w:spacing w:val="-2"/>
          <w:sz w:val="22"/>
        </w:rPr>
        <w:t>Character</w:t>
      </w:r>
    </w:p>
    <w:p>
      <w:pPr>
        <w:pStyle w:val="BodyText"/>
        <w:spacing w:line="232" w:lineRule="auto" w:before="67"/>
        <w:ind w:left="1151" w:right="742"/>
      </w:pPr>
      <w:r>
        <w:rPr/>
        <w:t>During the expected 15 years of plan implementation, move 10 percent of the foreground and middle</w:t>
      </w:r>
      <w:r>
        <w:rPr>
          <w:spacing w:val="-5"/>
        </w:rPr>
        <w:t> </w:t>
      </w:r>
      <w:r>
        <w:rPr/>
        <w:t>ground</w:t>
      </w:r>
      <w:r>
        <w:rPr>
          <w:spacing w:val="-6"/>
        </w:rPr>
        <w:t> </w:t>
      </w:r>
      <w:r>
        <w:rPr/>
        <w:t>seen</w:t>
      </w:r>
      <w:r>
        <w:rPr>
          <w:spacing w:val="-6"/>
        </w:rPr>
        <w:t> </w:t>
      </w:r>
      <w:r>
        <w:rPr/>
        <w:t>areas</w:t>
      </w:r>
      <w:r>
        <w:rPr>
          <w:spacing w:val="-7"/>
        </w:rPr>
        <w:t> </w:t>
      </w:r>
      <w:r>
        <w:rPr/>
        <w:t>of</w:t>
      </w:r>
      <w:r>
        <w:rPr>
          <w:spacing w:val="-5"/>
        </w:rPr>
        <w:t> </w:t>
      </w:r>
      <w:r>
        <w:rPr/>
        <w:t>national</w:t>
      </w:r>
      <w:r>
        <w:rPr>
          <w:spacing w:val="-5"/>
        </w:rPr>
        <w:t> </w:t>
      </w:r>
      <w:r>
        <w:rPr/>
        <w:t>scenic</w:t>
      </w:r>
      <w:r>
        <w:rPr>
          <w:spacing w:val="-5"/>
        </w:rPr>
        <w:t> </w:t>
      </w:r>
      <w:r>
        <w:rPr/>
        <w:t>byways</w:t>
      </w:r>
      <w:r>
        <w:rPr>
          <w:spacing w:val="-7"/>
        </w:rPr>
        <w:t> </w:t>
      </w:r>
      <w:r>
        <w:rPr/>
        <w:t>toward</w:t>
      </w:r>
      <w:r>
        <w:rPr>
          <w:spacing w:val="-8"/>
        </w:rPr>
        <w:t> </w:t>
      </w:r>
      <w:r>
        <w:rPr/>
        <w:t>meeting</w:t>
      </w:r>
      <w:r>
        <w:rPr>
          <w:spacing w:val="-6"/>
        </w:rPr>
        <w:t> </w:t>
      </w:r>
      <w:r>
        <w:rPr/>
        <w:t>scenic</w:t>
      </w:r>
      <w:r>
        <w:rPr>
          <w:spacing w:val="-5"/>
        </w:rPr>
        <w:t> </w:t>
      </w:r>
      <w:r>
        <w:rPr/>
        <w:t>integrity</w:t>
      </w:r>
      <w:r>
        <w:rPr>
          <w:spacing w:val="-6"/>
        </w:rPr>
        <w:t> </w:t>
      </w:r>
      <w:r>
        <w:rPr/>
        <w:t>objectives. Priority for rehabilitation and enhancement of desired landscape character includes the Sherman Pass Scenic Byway.</w:t>
      </w:r>
    </w:p>
    <w:p>
      <w:pPr>
        <w:pStyle w:val="Heading4"/>
        <w:spacing w:before="232"/>
        <w:ind w:left="1151"/>
      </w:pPr>
      <w:bookmarkStart w:name="Standard" w:id="780"/>
      <w:bookmarkEnd w:id="780"/>
      <w:r>
        <w:rPr/>
      </w:r>
      <w:bookmarkStart w:name="_bookmark237" w:id="781"/>
      <w:bookmarkEnd w:id="781"/>
      <w:r>
        <w:rPr/>
      </w:r>
      <w:r>
        <w:rPr>
          <w:spacing w:val="-2"/>
        </w:rPr>
        <w:t>Standard</w:t>
      </w:r>
    </w:p>
    <w:p>
      <w:pPr>
        <w:spacing w:before="240"/>
        <w:ind w:left="1151" w:right="0" w:firstLine="0"/>
        <w:jc w:val="left"/>
        <w:rPr>
          <w:rFonts w:ascii="Arial"/>
          <w:i/>
          <w:sz w:val="22"/>
        </w:rPr>
      </w:pPr>
      <w:bookmarkStart w:name="MA-STD-SB-01. Scenic Integrity Objective" w:id="782"/>
      <w:bookmarkEnd w:id="782"/>
      <w:r>
        <w:rPr/>
      </w:r>
      <w:r>
        <w:rPr>
          <w:rFonts w:ascii="Arial"/>
          <w:i/>
          <w:sz w:val="22"/>
        </w:rPr>
        <w:t>MA-STD-SB-01.</w:t>
      </w:r>
      <w:r>
        <w:rPr>
          <w:rFonts w:ascii="Arial"/>
          <w:i/>
          <w:spacing w:val="-6"/>
          <w:sz w:val="22"/>
        </w:rPr>
        <w:t> </w:t>
      </w:r>
      <w:r>
        <w:rPr>
          <w:rFonts w:ascii="Arial"/>
          <w:i/>
          <w:sz w:val="22"/>
        </w:rPr>
        <w:t>Scenic</w:t>
      </w:r>
      <w:r>
        <w:rPr>
          <w:rFonts w:ascii="Arial"/>
          <w:i/>
          <w:spacing w:val="-9"/>
          <w:sz w:val="22"/>
        </w:rPr>
        <w:t> </w:t>
      </w:r>
      <w:r>
        <w:rPr>
          <w:rFonts w:ascii="Arial"/>
          <w:i/>
          <w:sz w:val="22"/>
        </w:rPr>
        <w:t>Integrity</w:t>
      </w:r>
      <w:r>
        <w:rPr>
          <w:rFonts w:ascii="Arial"/>
          <w:i/>
          <w:spacing w:val="-10"/>
          <w:sz w:val="22"/>
        </w:rPr>
        <w:t> </w:t>
      </w:r>
      <w:r>
        <w:rPr>
          <w:rFonts w:ascii="Arial"/>
          <w:i/>
          <w:spacing w:val="-2"/>
          <w:sz w:val="22"/>
        </w:rPr>
        <w:t>Objectives</w:t>
      </w:r>
    </w:p>
    <w:p>
      <w:pPr>
        <w:pStyle w:val="BodyText"/>
        <w:spacing w:line="232" w:lineRule="auto" w:before="67"/>
        <w:ind w:left="1152" w:right="824"/>
      </w:pPr>
      <w:r>
        <w:rPr/>
        <w:t>Vegetation</w:t>
      </w:r>
      <w:r>
        <w:rPr>
          <w:spacing w:val="-9"/>
        </w:rPr>
        <w:t> </w:t>
      </w:r>
      <w:r>
        <w:rPr/>
        <w:t>management</w:t>
      </w:r>
      <w:r>
        <w:rPr>
          <w:spacing w:val="-5"/>
        </w:rPr>
        <w:t> </w:t>
      </w:r>
      <w:r>
        <w:rPr/>
        <w:t>practices</w:t>
      </w:r>
      <w:r>
        <w:rPr>
          <w:spacing w:val="-8"/>
        </w:rPr>
        <w:t> </w:t>
      </w:r>
      <w:r>
        <w:rPr/>
        <w:t>and</w:t>
      </w:r>
      <w:r>
        <w:rPr>
          <w:spacing w:val="-7"/>
        </w:rPr>
        <w:t> </w:t>
      </w:r>
      <w:r>
        <w:rPr/>
        <w:t>all</w:t>
      </w:r>
      <w:r>
        <w:rPr>
          <w:spacing w:val="-6"/>
        </w:rPr>
        <w:t> </w:t>
      </w:r>
      <w:r>
        <w:rPr/>
        <w:t>project-level</w:t>
      </w:r>
      <w:r>
        <w:rPr>
          <w:spacing w:val="-9"/>
        </w:rPr>
        <w:t> </w:t>
      </w:r>
      <w:r>
        <w:rPr/>
        <w:t>activities</w:t>
      </w:r>
      <w:r>
        <w:rPr>
          <w:spacing w:val="-8"/>
        </w:rPr>
        <w:t> </w:t>
      </w:r>
      <w:r>
        <w:rPr/>
        <w:t>will</w:t>
      </w:r>
      <w:r>
        <w:rPr>
          <w:spacing w:val="-6"/>
        </w:rPr>
        <w:t> </w:t>
      </w:r>
      <w:r>
        <w:rPr/>
        <w:t>be</w:t>
      </w:r>
      <w:r>
        <w:rPr>
          <w:spacing w:val="-8"/>
        </w:rPr>
        <w:t> </w:t>
      </w:r>
      <w:r>
        <w:rPr/>
        <w:t>planned</w:t>
      </w:r>
      <w:r>
        <w:rPr>
          <w:spacing w:val="-7"/>
        </w:rPr>
        <w:t> </w:t>
      </w:r>
      <w:r>
        <w:rPr/>
        <w:t>and</w:t>
      </w:r>
      <w:r>
        <w:rPr>
          <w:spacing w:val="-7"/>
        </w:rPr>
        <w:t> </w:t>
      </w:r>
      <w:r>
        <w:rPr/>
        <w:t>designed to meet the high scenic integrity objective (see appendix D).</w:t>
      </w:r>
    </w:p>
    <w:p>
      <w:pPr>
        <w:pStyle w:val="Heading4"/>
        <w:spacing w:before="235"/>
        <w:ind w:left="1151"/>
      </w:pPr>
      <w:bookmarkStart w:name="Guidelines" w:id="783"/>
      <w:bookmarkEnd w:id="783"/>
      <w:r>
        <w:rPr/>
      </w:r>
      <w:bookmarkStart w:name="_bookmark238" w:id="784"/>
      <w:bookmarkEnd w:id="784"/>
      <w:r>
        <w:rPr/>
      </w:r>
      <w:r>
        <w:rPr>
          <w:spacing w:val="-2"/>
        </w:rPr>
        <w:t>Guidelines</w:t>
      </w:r>
    </w:p>
    <w:p>
      <w:pPr>
        <w:spacing w:before="237"/>
        <w:ind w:left="1151" w:right="0" w:firstLine="0"/>
        <w:jc w:val="left"/>
        <w:rPr>
          <w:rFonts w:ascii="Arial"/>
          <w:i/>
          <w:sz w:val="22"/>
        </w:rPr>
      </w:pPr>
      <w:bookmarkStart w:name="MA-GDL-SB-01. Vegetation Management" w:id="785"/>
      <w:bookmarkEnd w:id="785"/>
      <w:r>
        <w:rPr/>
      </w:r>
      <w:r>
        <w:rPr>
          <w:rFonts w:ascii="Arial"/>
          <w:i/>
          <w:sz w:val="22"/>
        </w:rPr>
        <w:t>MA-GDL-SB-01.</w:t>
      </w:r>
      <w:r>
        <w:rPr>
          <w:rFonts w:ascii="Arial"/>
          <w:i/>
          <w:spacing w:val="-10"/>
          <w:sz w:val="22"/>
        </w:rPr>
        <w:t> </w:t>
      </w:r>
      <w:r>
        <w:rPr>
          <w:rFonts w:ascii="Arial"/>
          <w:i/>
          <w:sz w:val="22"/>
        </w:rPr>
        <w:t>Vegetation</w:t>
      </w:r>
      <w:r>
        <w:rPr>
          <w:rFonts w:ascii="Arial"/>
          <w:i/>
          <w:spacing w:val="-10"/>
          <w:sz w:val="22"/>
        </w:rPr>
        <w:t> </w:t>
      </w:r>
      <w:r>
        <w:rPr>
          <w:rFonts w:ascii="Arial"/>
          <w:i/>
          <w:spacing w:val="-2"/>
          <w:sz w:val="22"/>
        </w:rPr>
        <w:t>Management</w:t>
      </w:r>
    </w:p>
    <w:p>
      <w:pPr>
        <w:pStyle w:val="BodyText"/>
        <w:spacing w:line="232" w:lineRule="auto" w:before="67"/>
        <w:ind w:left="1152" w:right="801"/>
      </w:pPr>
      <w:r>
        <w:rPr/>
        <w:t>The</w:t>
      </w:r>
      <w:r>
        <w:rPr>
          <w:spacing w:val="-3"/>
        </w:rPr>
        <w:t> </w:t>
      </w:r>
      <w:r>
        <w:rPr/>
        <w:t>desired</w:t>
      </w:r>
      <w:r>
        <w:rPr>
          <w:spacing w:val="-5"/>
        </w:rPr>
        <w:t> </w:t>
      </w:r>
      <w:r>
        <w:rPr/>
        <w:t>landscape</w:t>
      </w:r>
      <w:r>
        <w:rPr>
          <w:spacing w:val="-6"/>
        </w:rPr>
        <w:t> </w:t>
      </w:r>
      <w:r>
        <w:rPr/>
        <w:t>character</w:t>
      </w:r>
      <w:r>
        <w:rPr>
          <w:spacing w:val="-6"/>
        </w:rPr>
        <w:t> </w:t>
      </w:r>
      <w:r>
        <w:rPr/>
        <w:t>of</w:t>
      </w:r>
      <w:r>
        <w:rPr>
          <w:spacing w:val="-6"/>
        </w:rPr>
        <w:t> </w:t>
      </w:r>
      <w:r>
        <w:rPr/>
        <w:t>the</w:t>
      </w:r>
      <w:r>
        <w:rPr>
          <w:spacing w:val="-3"/>
        </w:rPr>
        <w:t> </w:t>
      </w:r>
      <w:r>
        <w:rPr/>
        <w:t>area</w:t>
      </w:r>
      <w:r>
        <w:rPr>
          <w:spacing w:val="-4"/>
        </w:rPr>
        <w:t> </w:t>
      </w:r>
      <w:r>
        <w:rPr/>
        <w:t>should</w:t>
      </w:r>
      <w:r>
        <w:rPr>
          <w:spacing w:val="-5"/>
        </w:rPr>
        <w:t> </w:t>
      </w:r>
      <w:r>
        <w:rPr/>
        <w:t>be</w:t>
      </w:r>
      <w:r>
        <w:rPr>
          <w:spacing w:val="-6"/>
        </w:rPr>
        <w:t> </w:t>
      </w:r>
      <w:r>
        <w:rPr/>
        <w:t>retained</w:t>
      </w:r>
      <w:r>
        <w:rPr>
          <w:spacing w:val="-7"/>
        </w:rPr>
        <w:t> </w:t>
      </w:r>
      <w:r>
        <w:rPr/>
        <w:t>or</w:t>
      </w:r>
      <w:r>
        <w:rPr>
          <w:spacing w:val="-4"/>
        </w:rPr>
        <w:t> </w:t>
      </w:r>
      <w:r>
        <w:rPr/>
        <w:t>enhanced</w:t>
      </w:r>
      <w:r>
        <w:rPr>
          <w:spacing w:val="-7"/>
        </w:rPr>
        <w:t> </w:t>
      </w:r>
      <w:r>
        <w:rPr/>
        <w:t>using</w:t>
      </w:r>
      <w:r>
        <w:rPr>
          <w:spacing w:val="-5"/>
        </w:rPr>
        <w:t> </w:t>
      </w:r>
      <w:r>
        <w:rPr/>
        <w:t>appropriate vegetation management treatments including mechanical harvest. Opportunities to increase pollinator habitat along roadways with native plant materials are considered.</w:t>
      </w:r>
    </w:p>
    <w:p>
      <w:pPr>
        <w:spacing w:before="233"/>
        <w:ind w:left="1152" w:right="0" w:firstLine="0"/>
        <w:jc w:val="left"/>
        <w:rPr>
          <w:rFonts w:ascii="Arial"/>
          <w:i/>
          <w:sz w:val="22"/>
        </w:rPr>
      </w:pPr>
      <w:bookmarkStart w:name="MA-GDL-SB-02. Visual Impacts" w:id="786"/>
      <w:bookmarkEnd w:id="786"/>
      <w:r>
        <w:rPr/>
      </w:r>
      <w:r>
        <w:rPr>
          <w:rFonts w:ascii="Arial"/>
          <w:i/>
          <w:sz w:val="22"/>
        </w:rPr>
        <w:t>MA-GDL-SB-02.</w:t>
      </w:r>
      <w:r>
        <w:rPr>
          <w:rFonts w:ascii="Arial"/>
          <w:i/>
          <w:spacing w:val="-7"/>
          <w:sz w:val="22"/>
        </w:rPr>
        <w:t> </w:t>
      </w:r>
      <w:r>
        <w:rPr>
          <w:rFonts w:ascii="Arial"/>
          <w:i/>
          <w:sz w:val="22"/>
        </w:rPr>
        <w:t>Visual</w:t>
      </w:r>
      <w:r>
        <w:rPr>
          <w:rFonts w:ascii="Arial"/>
          <w:i/>
          <w:spacing w:val="-10"/>
          <w:sz w:val="22"/>
        </w:rPr>
        <w:t> </w:t>
      </w:r>
      <w:r>
        <w:rPr>
          <w:rFonts w:ascii="Arial"/>
          <w:i/>
          <w:spacing w:val="-2"/>
          <w:sz w:val="22"/>
        </w:rPr>
        <w:t>Impacts</w:t>
      </w:r>
    </w:p>
    <w:p>
      <w:pPr>
        <w:pStyle w:val="BodyText"/>
        <w:spacing w:line="232" w:lineRule="auto" w:before="65"/>
        <w:ind w:left="1152" w:right="1073"/>
      </w:pPr>
      <w:r>
        <w:rPr/>
        <w:t>Visual</w:t>
      </w:r>
      <w:r>
        <w:rPr>
          <w:spacing w:val="-9"/>
        </w:rPr>
        <w:t> </w:t>
      </w:r>
      <w:r>
        <w:rPr/>
        <w:t>impacts</w:t>
      </w:r>
      <w:r>
        <w:rPr>
          <w:spacing w:val="-9"/>
        </w:rPr>
        <w:t> </w:t>
      </w:r>
      <w:r>
        <w:rPr/>
        <w:t>from</w:t>
      </w:r>
      <w:r>
        <w:rPr>
          <w:spacing w:val="-9"/>
        </w:rPr>
        <w:t> </w:t>
      </w:r>
      <w:r>
        <w:rPr/>
        <w:t>vegetation</w:t>
      </w:r>
      <w:r>
        <w:rPr>
          <w:spacing w:val="-9"/>
        </w:rPr>
        <w:t> </w:t>
      </w:r>
      <w:r>
        <w:rPr/>
        <w:t>treatments,</w:t>
      </w:r>
      <w:r>
        <w:rPr>
          <w:spacing w:val="-9"/>
        </w:rPr>
        <w:t> </w:t>
      </w:r>
      <w:r>
        <w:rPr/>
        <w:t>recreation</w:t>
      </w:r>
      <w:r>
        <w:rPr>
          <w:spacing w:val="-11"/>
        </w:rPr>
        <w:t> </w:t>
      </w:r>
      <w:r>
        <w:rPr/>
        <w:t>uses,</w:t>
      </w:r>
      <w:r>
        <w:rPr>
          <w:spacing w:val="-9"/>
        </w:rPr>
        <w:t> </w:t>
      </w:r>
      <w:r>
        <w:rPr/>
        <w:t>rangeland</w:t>
      </w:r>
      <w:r>
        <w:rPr>
          <w:spacing w:val="-9"/>
        </w:rPr>
        <w:t> </w:t>
      </w:r>
      <w:r>
        <w:rPr/>
        <w:t>developments,</w:t>
      </w:r>
      <w:r>
        <w:rPr>
          <w:spacing w:val="-9"/>
        </w:rPr>
        <w:t> </w:t>
      </w:r>
      <w:r>
        <w:rPr/>
        <w:t>and other structures should blend with the overall landscape character along scenic byways.</w:t>
      </w:r>
    </w:p>
    <w:p>
      <w:pPr>
        <w:spacing w:before="234"/>
        <w:ind w:left="1152" w:right="0" w:firstLine="0"/>
        <w:jc w:val="left"/>
        <w:rPr>
          <w:rFonts w:ascii="Arial"/>
          <w:i/>
          <w:sz w:val="22"/>
        </w:rPr>
      </w:pPr>
      <w:bookmarkStart w:name="MA-GDL-SB-03. Education, Interpretation," w:id="787"/>
      <w:bookmarkEnd w:id="787"/>
      <w:r>
        <w:rPr/>
      </w:r>
      <w:r>
        <w:rPr>
          <w:rFonts w:ascii="Arial"/>
          <w:i/>
          <w:sz w:val="22"/>
        </w:rPr>
        <w:t>MA-GDL-SB-03.</w:t>
      </w:r>
      <w:r>
        <w:rPr>
          <w:rFonts w:ascii="Arial"/>
          <w:i/>
          <w:spacing w:val="-7"/>
          <w:sz w:val="22"/>
        </w:rPr>
        <w:t> </w:t>
      </w:r>
      <w:r>
        <w:rPr>
          <w:rFonts w:ascii="Arial"/>
          <w:i/>
          <w:sz w:val="22"/>
        </w:rPr>
        <w:t>Education,</w:t>
      </w:r>
      <w:r>
        <w:rPr>
          <w:rFonts w:ascii="Arial"/>
          <w:i/>
          <w:spacing w:val="-8"/>
          <w:sz w:val="22"/>
        </w:rPr>
        <w:t> </w:t>
      </w:r>
      <w:r>
        <w:rPr>
          <w:rFonts w:ascii="Arial"/>
          <w:i/>
          <w:sz w:val="22"/>
        </w:rPr>
        <w:t>Interpretation,</w:t>
      </w:r>
      <w:r>
        <w:rPr>
          <w:rFonts w:ascii="Arial"/>
          <w:i/>
          <w:spacing w:val="-7"/>
          <w:sz w:val="22"/>
        </w:rPr>
        <w:t> </w:t>
      </w:r>
      <w:r>
        <w:rPr>
          <w:rFonts w:ascii="Arial"/>
          <w:i/>
          <w:sz w:val="22"/>
        </w:rPr>
        <w:t>and</w:t>
      </w:r>
      <w:r>
        <w:rPr>
          <w:rFonts w:ascii="Arial"/>
          <w:i/>
          <w:spacing w:val="-8"/>
          <w:sz w:val="22"/>
        </w:rPr>
        <w:t> </w:t>
      </w:r>
      <w:r>
        <w:rPr>
          <w:rFonts w:ascii="Arial"/>
          <w:i/>
          <w:sz w:val="22"/>
        </w:rPr>
        <w:t>Safety</w:t>
      </w:r>
      <w:r>
        <w:rPr>
          <w:rFonts w:ascii="Arial"/>
          <w:i/>
          <w:spacing w:val="-8"/>
          <w:sz w:val="22"/>
        </w:rPr>
        <w:t> </w:t>
      </w:r>
      <w:r>
        <w:rPr>
          <w:rFonts w:ascii="Arial"/>
          <w:i/>
          <w:spacing w:val="-2"/>
          <w:sz w:val="22"/>
        </w:rPr>
        <w:t>Information</w:t>
      </w:r>
    </w:p>
    <w:p>
      <w:pPr>
        <w:pStyle w:val="BodyText"/>
        <w:spacing w:line="232" w:lineRule="auto" w:before="64"/>
        <w:ind w:left="1151" w:right="801"/>
      </w:pPr>
      <w:r>
        <w:rPr/>
        <w:t>Signs,</w:t>
      </w:r>
      <w:r>
        <w:rPr>
          <w:spacing w:val="-6"/>
        </w:rPr>
        <w:t> </w:t>
      </w:r>
      <w:r>
        <w:rPr/>
        <w:t>kiosks,</w:t>
      </w:r>
      <w:r>
        <w:rPr>
          <w:spacing w:val="-6"/>
        </w:rPr>
        <w:t> </w:t>
      </w:r>
      <w:r>
        <w:rPr/>
        <w:t>and</w:t>
      </w:r>
      <w:r>
        <w:rPr>
          <w:spacing w:val="-9"/>
        </w:rPr>
        <w:t> </w:t>
      </w:r>
      <w:r>
        <w:rPr/>
        <w:t>other</w:t>
      </w:r>
      <w:r>
        <w:rPr>
          <w:spacing w:val="-8"/>
        </w:rPr>
        <w:t> </w:t>
      </w:r>
      <w:r>
        <w:rPr/>
        <w:t>exhibits</w:t>
      </w:r>
      <w:r>
        <w:rPr>
          <w:spacing w:val="-6"/>
        </w:rPr>
        <w:t> </w:t>
      </w:r>
      <w:r>
        <w:rPr/>
        <w:t>should</w:t>
      </w:r>
      <w:r>
        <w:rPr>
          <w:spacing w:val="-7"/>
        </w:rPr>
        <w:t> </w:t>
      </w:r>
      <w:r>
        <w:rPr/>
        <w:t>provide</w:t>
      </w:r>
      <w:r>
        <w:rPr>
          <w:spacing w:val="-6"/>
        </w:rPr>
        <w:t> </w:t>
      </w:r>
      <w:r>
        <w:rPr/>
        <w:t>interpretive,</w:t>
      </w:r>
      <w:r>
        <w:rPr>
          <w:spacing w:val="-8"/>
        </w:rPr>
        <w:t> </w:t>
      </w:r>
      <w:r>
        <w:rPr/>
        <w:t>education,</w:t>
      </w:r>
      <w:r>
        <w:rPr>
          <w:spacing w:val="-8"/>
        </w:rPr>
        <w:t> </w:t>
      </w:r>
      <w:r>
        <w:rPr/>
        <w:t>and</w:t>
      </w:r>
      <w:r>
        <w:rPr>
          <w:spacing w:val="-7"/>
        </w:rPr>
        <w:t> </w:t>
      </w:r>
      <w:r>
        <w:rPr/>
        <w:t>safety</w:t>
      </w:r>
      <w:r>
        <w:rPr>
          <w:spacing w:val="-6"/>
        </w:rPr>
        <w:t> </w:t>
      </w:r>
      <w:r>
        <w:rPr/>
        <w:t>information along scenic byways and in adjacent recreation sites.</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uitable Uses" w:id="788"/>
      <w:bookmarkEnd w:id="788"/>
      <w:r>
        <w:rPr/>
      </w:r>
      <w:bookmarkStart w:name="_bookmark239" w:id="789"/>
      <w:bookmarkEnd w:id="789"/>
      <w:r>
        <w:rPr/>
      </w:r>
      <w:r>
        <w:rPr/>
        <w:t>Suitable</w:t>
      </w:r>
      <w:r>
        <w:rPr>
          <w:spacing w:val="-5"/>
        </w:rPr>
        <w:t> </w:t>
      </w:r>
      <w:r>
        <w:rPr>
          <w:spacing w:val="-4"/>
        </w:rPr>
        <w:t>Uses</w:t>
      </w:r>
    </w:p>
    <w:p>
      <w:pPr>
        <w:pStyle w:val="BodyText"/>
        <w:spacing w:before="84"/>
        <w:rPr>
          <w:rFonts w:ascii="Arial"/>
          <w:sz w:val="24"/>
        </w:rPr>
      </w:pPr>
    </w:p>
    <w:p>
      <w:pPr>
        <w:spacing w:before="0"/>
        <w:ind w:left="360" w:right="0" w:firstLine="0"/>
        <w:jc w:val="left"/>
        <w:rPr>
          <w:rFonts w:ascii="Arial"/>
          <w:i/>
          <w:sz w:val="22"/>
        </w:rPr>
      </w:pPr>
      <w:bookmarkStart w:name="MA-SU-SB-01. Suitable Uses" w:id="790"/>
      <w:bookmarkEnd w:id="790"/>
      <w:r>
        <w:rPr/>
      </w:r>
      <w:r>
        <w:rPr>
          <w:rFonts w:ascii="Arial"/>
          <w:i/>
          <w:sz w:val="22"/>
        </w:rPr>
        <w:t>MA-SU-SB-01.</w:t>
      </w:r>
      <w:r>
        <w:rPr>
          <w:rFonts w:ascii="Arial"/>
          <w:i/>
          <w:spacing w:val="-7"/>
          <w:sz w:val="22"/>
        </w:rPr>
        <w:t> </w:t>
      </w:r>
      <w:r>
        <w:rPr>
          <w:rFonts w:ascii="Arial"/>
          <w:i/>
          <w:sz w:val="22"/>
        </w:rPr>
        <w:t>Suitable</w:t>
      </w:r>
      <w:r>
        <w:rPr>
          <w:rFonts w:ascii="Arial"/>
          <w:i/>
          <w:spacing w:val="-12"/>
          <w:sz w:val="22"/>
        </w:rPr>
        <w:t> </w:t>
      </w:r>
      <w:r>
        <w:rPr>
          <w:rFonts w:ascii="Arial"/>
          <w:i/>
          <w:spacing w:val="-4"/>
          <w:sz w:val="22"/>
        </w:rPr>
        <w:t>Uses</w:t>
      </w:r>
    </w:p>
    <w:p>
      <w:pPr>
        <w:pStyle w:val="BodyText"/>
        <w:spacing w:before="105"/>
        <w:rPr>
          <w:rFonts w:ascii="Arial"/>
          <w:i/>
        </w:rPr>
      </w:pPr>
    </w:p>
    <w:p>
      <w:pPr>
        <w:spacing w:before="0" w:after="42"/>
        <w:ind w:left="360" w:right="0" w:firstLine="0"/>
        <w:jc w:val="left"/>
        <w:rPr>
          <w:rFonts w:ascii="Arial"/>
          <w:b/>
          <w:sz w:val="18"/>
        </w:rPr>
      </w:pPr>
      <w:bookmarkStart w:name="_bookmark240" w:id="791"/>
      <w:bookmarkEnd w:id="791"/>
      <w:r>
        <w:rPr/>
      </w:r>
      <w:r>
        <w:rPr>
          <w:rFonts w:ascii="Arial"/>
          <w:b/>
          <w:sz w:val="18"/>
        </w:rPr>
        <w:t>Table</w:t>
      </w:r>
      <w:r>
        <w:rPr>
          <w:rFonts w:ascii="Arial"/>
          <w:b/>
          <w:spacing w:val="-5"/>
          <w:sz w:val="18"/>
        </w:rPr>
        <w:t> </w:t>
      </w:r>
      <w:r>
        <w:rPr>
          <w:rFonts w:ascii="Arial"/>
          <w:b/>
          <w:sz w:val="18"/>
        </w:rPr>
        <w:t>29.</w:t>
      </w:r>
      <w:r>
        <w:rPr>
          <w:rFonts w:ascii="Arial"/>
          <w:b/>
          <w:spacing w:val="-2"/>
          <w:sz w:val="18"/>
        </w:rPr>
        <w:t> </w:t>
      </w:r>
      <w:r>
        <w:rPr>
          <w:rFonts w:ascii="Arial"/>
          <w:b/>
          <w:sz w:val="18"/>
        </w:rPr>
        <w:t>Suitable</w:t>
      </w:r>
      <w:r>
        <w:rPr>
          <w:rFonts w:ascii="Arial"/>
          <w:b/>
          <w:spacing w:val="-5"/>
          <w:sz w:val="18"/>
        </w:rPr>
        <w:t> </w:t>
      </w:r>
      <w:r>
        <w:rPr>
          <w:rFonts w:ascii="Arial"/>
          <w:b/>
          <w:sz w:val="18"/>
        </w:rPr>
        <w:t>uses</w:t>
      </w:r>
      <w:r>
        <w:rPr>
          <w:rFonts w:ascii="Arial"/>
          <w:b/>
          <w:spacing w:val="-1"/>
          <w:sz w:val="18"/>
        </w:rPr>
        <w:t> </w:t>
      </w:r>
      <w:r>
        <w:rPr>
          <w:rFonts w:ascii="Arial"/>
          <w:b/>
          <w:sz w:val="18"/>
        </w:rPr>
        <w:t>for</w:t>
      </w:r>
      <w:r>
        <w:rPr>
          <w:rFonts w:ascii="Arial"/>
          <w:b/>
          <w:spacing w:val="-3"/>
          <w:sz w:val="18"/>
        </w:rPr>
        <w:t> </w:t>
      </w:r>
      <w:r>
        <w:rPr>
          <w:rFonts w:ascii="Arial"/>
          <w:b/>
          <w:sz w:val="18"/>
        </w:rPr>
        <w:t>Scenic</w:t>
      </w:r>
      <w:r>
        <w:rPr>
          <w:rFonts w:ascii="Arial"/>
          <w:b/>
          <w:spacing w:val="-2"/>
          <w:sz w:val="18"/>
        </w:rPr>
        <w:t> </w:t>
      </w:r>
      <w:r>
        <w:rPr>
          <w:rFonts w:ascii="Arial"/>
          <w:b/>
          <w:sz w:val="18"/>
        </w:rPr>
        <w:t>Byways</w:t>
      </w:r>
      <w:r>
        <w:rPr>
          <w:rFonts w:ascii="Arial"/>
          <w:b/>
          <w:spacing w:val="-1"/>
          <w:sz w:val="18"/>
        </w:rPr>
        <w:t> </w:t>
      </w:r>
      <w:r>
        <w:rPr>
          <w:rFonts w:ascii="Arial"/>
          <w:b/>
          <w:sz w:val="18"/>
        </w:rPr>
        <w:t>Management</w:t>
      </w:r>
      <w:r>
        <w:rPr>
          <w:rFonts w:ascii="Arial"/>
          <w:b/>
          <w:spacing w:val="-5"/>
          <w:sz w:val="18"/>
        </w:rPr>
        <w:t> </w:t>
      </w:r>
      <w:r>
        <w:rPr>
          <w:rFonts w:ascii="Arial"/>
          <w:b/>
          <w:spacing w:val="-2"/>
          <w:sz w:val="18"/>
        </w:rPr>
        <w:t>Areas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333"/>
        <w:gridCol w:w="1904"/>
        <w:gridCol w:w="2312"/>
      </w:tblGrid>
      <w:tr>
        <w:trPr>
          <w:trHeight w:val="287" w:hRule="atLeast"/>
        </w:trPr>
        <w:tc>
          <w:tcPr>
            <w:tcW w:w="4333" w:type="dxa"/>
            <w:tcBorders>
              <w:right w:val="nil"/>
            </w:tcBorders>
            <w:shd w:val="clear" w:color="auto" w:fill="D5E2BB"/>
          </w:tcPr>
          <w:p>
            <w:pPr>
              <w:pStyle w:val="TableParagraph"/>
              <w:spacing w:before="42"/>
              <w:ind w:right="192"/>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904" w:type="dxa"/>
            <w:tcBorders>
              <w:left w:val="nil"/>
              <w:right w:val="nil"/>
            </w:tcBorders>
            <w:shd w:val="clear" w:color="auto" w:fill="D5E2BB"/>
          </w:tcPr>
          <w:p>
            <w:pPr>
              <w:pStyle w:val="TableParagraph"/>
              <w:spacing w:before="42"/>
              <w:ind w:left="2" w:right="41"/>
              <w:jc w:val="center"/>
              <w:rPr>
                <w:b/>
                <w:sz w:val="18"/>
              </w:rPr>
            </w:pPr>
            <w:r>
              <w:rPr>
                <w:b/>
                <w:sz w:val="18"/>
              </w:rPr>
              <w:t>May</w:t>
            </w:r>
            <w:r>
              <w:rPr>
                <w:b/>
                <w:spacing w:val="-9"/>
                <w:sz w:val="18"/>
              </w:rPr>
              <w:t> </w:t>
            </w:r>
            <w:r>
              <w:rPr>
                <w:b/>
                <w:spacing w:val="-2"/>
                <w:sz w:val="18"/>
              </w:rPr>
              <w:t>authorize</w:t>
            </w:r>
          </w:p>
        </w:tc>
        <w:tc>
          <w:tcPr>
            <w:tcW w:w="2312" w:type="dxa"/>
            <w:tcBorders>
              <w:left w:val="nil"/>
            </w:tcBorders>
            <w:shd w:val="clear" w:color="auto" w:fill="D5E2BB"/>
          </w:tcPr>
          <w:p>
            <w:pPr>
              <w:pStyle w:val="TableParagraph"/>
              <w:spacing w:before="42"/>
              <w:ind w:left="170" w:right="2"/>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333"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1904" w:type="dxa"/>
            <w:tcBorders>
              <w:left w:val="nil"/>
              <w:right w:val="nil"/>
            </w:tcBorders>
          </w:tcPr>
          <w:p>
            <w:pPr>
              <w:pStyle w:val="TableParagraph"/>
              <w:spacing w:before="42"/>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493" w:hRule="atLeast"/>
        </w:trPr>
        <w:tc>
          <w:tcPr>
            <w:tcW w:w="4333"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4" w:lineRule="exact" w:before="0"/>
              <w:ind w:left="170" w:right="4"/>
              <w:jc w:val="center"/>
              <w:rPr>
                <w:sz w:val="18"/>
              </w:rPr>
            </w:pPr>
            <w:r>
              <w:rPr>
                <w:spacing w:val="-10"/>
                <w:sz w:val="18"/>
              </w:rPr>
              <w:t>X</w:t>
            </w:r>
          </w:p>
          <w:p>
            <w:pPr>
              <w:pStyle w:val="TableParagraph"/>
              <w:spacing w:line="209" w:lineRule="exact" w:before="0"/>
              <w:ind w:left="170"/>
              <w:jc w:val="center"/>
              <w:rPr>
                <w:sz w:val="18"/>
              </w:rPr>
            </w:pPr>
            <w:r>
              <w:rPr>
                <w:sz w:val="18"/>
              </w:rPr>
              <w:t>(SPNM</w:t>
            </w:r>
            <w:r>
              <w:rPr>
                <w:spacing w:val="-4"/>
                <w:sz w:val="18"/>
              </w:rPr>
              <w:t> </w:t>
            </w:r>
            <w:r>
              <w:rPr>
                <w:sz w:val="18"/>
              </w:rPr>
              <w:t>ROS</w:t>
            </w:r>
            <w:hyperlink w:history="true" w:anchor="_bookmark241">
              <w:r>
                <w:rPr>
                  <w:position w:val="6"/>
                  <w:sz w:val="12"/>
                </w:rPr>
                <w:t>31</w:t>
              </w:r>
            </w:hyperlink>
            <w:r>
              <w:rPr>
                <w:spacing w:val="19"/>
                <w:position w:val="6"/>
                <w:sz w:val="12"/>
              </w:rPr>
              <w:t> </w:t>
            </w:r>
            <w:r>
              <w:rPr>
                <w:spacing w:val="-2"/>
                <w:sz w:val="18"/>
              </w:rPr>
              <w:t>class)</w:t>
            </w:r>
          </w:p>
        </w:tc>
      </w:tr>
      <w:tr>
        <w:trPr>
          <w:trHeight w:val="700" w:hRule="atLeast"/>
        </w:trPr>
        <w:tc>
          <w:tcPr>
            <w:tcW w:w="4333" w:type="dxa"/>
            <w:tcBorders>
              <w:right w:val="nil"/>
            </w:tcBorders>
          </w:tcPr>
          <w:p>
            <w:pPr>
              <w:pStyle w:val="TableParagraph"/>
              <w:ind w:left="107" w:right="308"/>
              <w:jc w:val="both"/>
              <w:rPr>
                <w:b/>
                <w:sz w:val="18"/>
              </w:rPr>
            </w:pPr>
            <w:r>
              <w:rPr>
                <w:b/>
                <w:sz w:val="18"/>
              </w:rPr>
              <w:t>Forest</w:t>
            </w:r>
            <w:r>
              <w:rPr>
                <w:b/>
                <w:spacing w:val="-7"/>
                <w:sz w:val="18"/>
              </w:rPr>
              <w:t> </w:t>
            </w:r>
            <w:r>
              <w:rPr>
                <w:b/>
                <w:sz w:val="18"/>
              </w:rPr>
              <w:t>products,</w:t>
            </w:r>
            <w:r>
              <w:rPr>
                <w:b/>
                <w:spacing w:val="-7"/>
                <w:sz w:val="18"/>
              </w:rPr>
              <w:t> </w:t>
            </w:r>
            <w:r>
              <w:rPr>
                <w:b/>
                <w:sz w:val="18"/>
              </w:rPr>
              <w:t>firewood,</w:t>
            </w:r>
            <w:r>
              <w:rPr>
                <w:b/>
                <w:spacing w:val="-7"/>
                <w:sz w:val="18"/>
              </w:rPr>
              <w:t> </w:t>
            </w:r>
            <w:r>
              <w:rPr>
                <w:b/>
                <w:sz w:val="18"/>
              </w:rPr>
              <w:t>commercial</w:t>
            </w:r>
            <w:r>
              <w:rPr>
                <w:b/>
                <w:spacing w:val="-7"/>
                <w:sz w:val="18"/>
              </w:rPr>
              <w:t> </w:t>
            </w:r>
            <w:r>
              <w:rPr>
                <w:b/>
                <w:sz w:val="18"/>
              </w:rPr>
              <w:t>use</w:t>
            </w:r>
            <w:r>
              <w:rPr>
                <w:b/>
                <w:spacing w:val="-6"/>
                <w:sz w:val="18"/>
              </w:rPr>
              <w:t> </w:t>
            </w:r>
            <w:r>
              <w:rPr>
                <w:b/>
                <w:sz w:val="18"/>
              </w:rPr>
              <w:t>(if in support of achieving recreation or</w:t>
            </w:r>
            <w:r>
              <w:rPr>
                <w:b/>
                <w:spacing w:val="-2"/>
                <w:sz w:val="18"/>
              </w:rPr>
              <w:t> </w:t>
            </w:r>
            <w:r>
              <w:rPr>
                <w:b/>
                <w:sz w:val="18"/>
              </w:rPr>
              <w:t>scenery management needs)</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6" w:lineRule="exact" w:before="0"/>
              <w:ind w:left="170" w:right="4"/>
              <w:jc w:val="center"/>
              <w:rPr>
                <w:sz w:val="18"/>
              </w:rPr>
            </w:pPr>
            <w:r>
              <w:rPr>
                <w:spacing w:val="-10"/>
                <w:sz w:val="18"/>
              </w:rPr>
              <w:t>X</w:t>
            </w:r>
          </w:p>
          <w:p>
            <w:pPr>
              <w:pStyle w:val="TableParagraph"/>
              <w:spacing w:before="2"/>
              <w:ind w:left="170"/>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495" w:hRule="atLeast"/>
        </w:trPr>
        <w:tc>
          <w:tcPr>
            <w:tcW w:w="4333" w:type="dxa"/>
            <w:tcBorders>
              <w:right w:val="nil"/>
            </w:tcBorders>
          </w:tcPr>
          <w:p>
            <w:pPr>
              <w:pStyle w:val="TableParagraph"/>
              <w:spacing w:before="42"/>
              <w:ind w:left="107" w:right="1069"/>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1904" w:type="dxa"/>
            <w:tcBorders>
              <w:left w:val="nil"/>
              <w:right w:val="nil"/>
            </w:tcBorders>
          </w:tcPr>
          <w:p>
            <w:pPr>
              <w:pStyle w:val="TableParagraph"/>
              <w:spacing w:before="42"/>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4" w:hRule="atLeast"/>
        </w:trPr>
        <w:tc>
          <w:tcPr>
            <w:tcW w:w="4333"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spacing w:before="42"/>
              <w:ind w:left="107"/>
              <w:rPr>
                <w:b/>
                <w:sz w:val="18"/>
              </w:rPr>
            </w:pPr>
            <w:r>
              <w:rPr>
                <w:b/>
                <w:sz w:val="18"/>
              </w:rPr>
              <w:t>Grazing,</w:t>
            </w:r>
            <w:r>
              <w:rPr>
                <w:b/>
                <w:spacing w:val="-3"/>
                <w:sz w:val="18"/>
              </w:rPr>
              <w:t> </w:t>
            </w:r>
            <w:r>
              <w:rPr>
                <w:b/>
                <w:spacing w:val="-2"/>
                <w:sz w:val="18"/>
              </w:rPr>
              <w:t>permitted</w:t>
            </w:r>
          </w:p>
        </w:tc>
        <w:tc>
          <w:tcPr>
            <w:tcW w:w="1904" w:type="dxa"/>
            <w:tcBorders>
              <w:left w:val="nil"/>
              <w:right w:val="nil"/>
            </w:tcBorders>
          </w:tcPr>
          <w:p>
            <w:pPr>
              <w:pStyle w:val="TableParagraph"/>
              <w:spacing w:before="42"/>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908" w:hRule="atLeast"/>
        </w:trPr>
        <w:tc>
          <w:tcPr>
            <w:tcW w:w="4333" w:type="dxa"/>
            <w:tcBorders>
              <w:right w:val="nil"/>
            </w:tcBorders>
          </w:tcPr>
          <w:p>
            <w:pPr>
              <w:pStyle w:val="TableParagraph"/>
              <w:spacing w:before="42"/>
              <w:ind w:left="107"/>
              <w:rPr>
                <w:b/>
                <w:sz w:val="18"/>
              </w:rPr>
            </w:pPr>
            <w:r>
              <w:rPr>
                <w:b/>
                <w:sz w:val="18"/>
              </w:rPr>
              <w:t>Infrastructure, above ground infrastructure associated</w:t>
            </w:r>
            <w:r>
              <w:rPr>
                <w:b/>
                <w:spacing w:val="-6"/>
                <w:sz w:val="18"/>
              </w:rPr>
              <w:t> </w:t>
            </w:r>
            <w:r>
              <w:rPr>
                <w:b/>
                <w:sz w:val="18"/>
              </w:rPr>
              <w:t>with</w:t>
            </w:r>
            <w:r>
              <w:rPr>
                <w:b/>
                <w:spacing w:val="-6"/>
                <w:sz w:val="18"/>
              </w:rPr>
              <w:t> </w:t>
            </w:r>
            <w:r>
              <w:rPr>
                <w:b/>
                <w:sz w:val="18"/>
              </w:rPr>
              <w:t>special</w:t>
            </w:r>
            <w:r>
              <w:rPr>
                <w:b/>
                <w:spacing w:val="-6"/>
                <w:sz w:val="18"/>
              </w:rPr>
              <w:t> </w:t>
            </w:r>
            <w:r>
              <w:rPr>
                <w:b/>
                <w:sz w:val="18"/>
              </w:rPr>
              <w:t>use</w:t>
            </w:r>
            <w:r>
              <w:rPr>
                <w:b/>
                <w:spacing w:val="-6"/>
                <w:sz w:val="18"/>
              </w:rPr>
              <w:t> </w:t>
            </w:r>
            <w:r>
              <w:rPr>
                <w:b/>
                <w:sz w:val="18"/>
              </w:rPr>
              <w:t>permits,</w:t>
            </w:r>
            <w:r>
              <w:rPr>
                <w:b/>
                <w:spacing w:val="-6"/>
                <w:sz w:val="18"/>
              </w:rPr>
              <w:t> </w:t>
            </w:r>
            <w:r>
              <w:rPr>
                <w:b/>
                <w:sz w:val="18"/>
              </w:rPr>
              <w:t>such</w:t>
            </w:r>
            <w:r>
              <w:rPr>
                <w:b/>
                <w:spacing w:val="-6"/>
                <w:sz w:val="18"/>
              </w:rPr>
              <w:t> </w:t>
            </w:r>
            <w:r>
              <w:rPr>
                <w:b/>
                <w:sz w:val="18"/>
              </w:rPr>
              <w:t>as communication sites, energy developments, and/or utility lines.</w:t>
            </w:r>
          </w:p>
        </w:tc>
        <w:tc>
          <w:tcPr>
            <w:tcW w:w="1904" w:type="dxa"/>
            <w:tcBorders>
              <w:left w:val="nil"/>
              <w:right w:val="nil"/>
            </w:tcBorders>
          </w:tcPr>
          <w:p>
            <w:pPr>
              <w:pStyle w:val="TableParagraph"/>
              <w:spacing w:before="0"/>
              <w:rPr>
                <w:rFonts w:ascii="Times New Roman"/>
                <w:sz w:val="16"/>
              </w:rPr>
            </w:pPr>
          </w:p>
        </w:tc>
        <w:tc>
          <w:tcPr>
            <w:tcW w:w="2312" w:type="dxa"/>
            <w:tcBorders>
              <w:left w:val="nil"/>
            </w:tcBorders>
          </w:tcPr>
          <w:p>
            <w:pPr>
              <w:pStyle w:val="TableParagraph"/>
              <w:spacing w:before="42"/>
              <w:ind w:left="170" w:right="4"/>
              <w:jc w:val="center"/>
              <w:rPr>
                <w:sz w:val="18"/>
              </w:rPr>
            </w:pPr>
            <w:r>
              <w:rPr>
                <w:spacing w:val="-10"/>
                <w:sz w:val="18"/>
              </w:rPr>
              <w:t>X</w:t>
            </w:r>
          </w:p>
        </w:tc>
      </w:tr>
      <w:tr>
        <w:trPr>
          <w:trHeight w:val="287" w:hRule="atLeast"/>
        </w:trPr>
        <w:tc>
          <w:tcPr>
            <w:tcW w:w="4333"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Minerals,</w:t>
            </w:r>
            <w:r>
              <w:rPr>
                <w:b/>
                <w:spacing w:val="-5"/>
                <w:sz w:val="18"/>
              </w:rPr>
              <w:t> </w:t>
            </w:r>
            <w:r>
              <w:rPr>
                <w:b/>
                <w:sz w:val="18"/>
              </w:rPr>
              <w:t>leasable</w:t>
            </w:r>
            <w:r>
              <w:rPr>
                <w:b/>
                <w:spacing w:val="-4"/>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1904" w:type="dxa"/>
            <w:tcBorders>
              <w:left w:val="nil"/>
              <w:right w:val="nil"/>
            </w:tcBorders>
          </w:tcPr>
          <w:p>
            <w:pPr>
              <w:pStyle w:val="TableParagraph"/>
              <w:ind w:right="41"/>
              <w:jc w:val="center"/>
              <w:rPr>
                <w:sz w:val="18"/>
              </w:rPr>
            </w:pPr>
            <w:r>
              <w:rPr>
                <w:spacing w:val="-5"/>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Minerals,</w:t>
            </w:r>
            <w:r>
              <w:rPr>
                <w:b/>
                <w:spacing w:val="-9"/>
                <w:sz w:val="18"/>
              </w:rPr>
              <w:t> </w:t>
            </w:r>
            <w:r>
              <w:rPr>
                <w:b/>
                <w:spacing w:val="-2"/>
                <w:sz w:val="18"/>
              </w:rPr>
              <w:t>locatable</w:t>
            </w:r>
          </w:p>
        </w:tc>
        <w:tc>
          <w:tcPr>
            <w:tcW w:w="1904" w:type="dxa"/>
            <w:tcBorders>
              <w:left w:val="nil"/>
              <w:right w:val="nil"/>
            </w:tcBorders>
          </w:tcPr>
          <w:p>
            <w:pPr>
              <w:pStyle w:val="TableParagraph"/>
              <w:ind w:left="2" w:right="41"/>
              <w:jc w:val="center"/>
              <w:rPr>
                <w:sz w:val="18"/>
              </w:rPr>
            </w:pPr>
            <w:r>
              <w:rPr>
                <w:spacing w:val="-5"/>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904" w:type="dxa"/>
            <w:tcBorders>
              <w:left w:val="nil"/>
              <w:right w:val="nil"/>
            </w:tcBorders>
          </w:tcPr>
          <w:p>
            <w:pPr>
              <w:pStyle w:val="TableParagraph"/>
              <w:spacing w:before="0"/>
              <w:rPr>
                <w:rFonts w:ascii="Times New Roman"/>
                <w:sz w:val="16"/>
              </w:rPr>
            </w:pPr>
          </w:p>
        </w:tc>
        <w:tc>
          <w:tcPr>
            <w:tcW w:w="2312" w:type="dxa"/>
            <w:tcBorders>
              <w:left w:val="nil"/>
            </w:tcBorders>
          </w:tcPr>
          <w:p>
            <w:pPr>
              <w:pStyle w:val="TableParagraph"/>
              <w:ind w:left="170" w:right="4"/>
              <w:jc w:val="center"/>
              <w:rPr>
                <w:sz w:val="18"/>
              </w:rPr>
            </w:pPr>
            <w:r>
              <w:rPr>
                <w:spacing w:val="-10"/>
                <w:sz w:val="18"/>
              </w:rPr>
              <w:t>X</w:t>
            </w:r>
          </w:p>
        </w:tc>
      </w:tr>
      <w:tr>
        <w:trPr>
          <w:trHeight w:val="493" w:hRule="atLeast"/>
        </w:trPr>
        <w:tc>
          <w:tcPr>
            <w:tcW w:w="4333" w:type="dxa"/>
            <w:tcBorders>
              <w:right w:val="nil"/>
            </w:tcBorders>
          </w:tcPr>
          <w:p>
            <w:pPr>
              <w:pStyle w:val="TableParagraph"/>
              <w:ind w:left="107" w:right="72"/>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summer,</w:t>
            </w:r>
            <w:r>
              <w:rPr>
                <w:b/>
                <w:spacing w:val="-8"/>
                <w:sz w:val="18"/>
              </w:rPr>
              <w:t> </w:t>
            </w:r>
            <w:r>
              <w:rPr>
                <w:b/>
                <w:sz w:val="18"/>
              </w:rPr>
              <w:t>trails</w:t>
            </w:r>
            <w:r>
              <w:rPr>
                <w:b/>
                <w:spacing w:val="-8"/>
                <w:sz w:val="18"/>
              </w:rPr>
              <w:t> </w:t>
            </w:r>
            <w:r>
              <w:rPr>
                <w:b/>
                <w:sz w:val="18"/>
              </w:rPr>
              <w:t>or play</w:t>
            </w:r>
            <w:r>
              <w:rPr>
                <w:b/>
                <w:spacing w:val="-5"/>
                <w:sz w:val="18"/>
              </w:rPr>
              <w:t> </w:t>
            </w:r>
            <w:r>
              <w:rPr>
                <w:b/>
                <w:sz w:val="18"/>
              </w:rPr>
              <w:t>areas</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5" w:lineRule="exact" w:before="0"/>
              <w:ind w:left="170" w:right="4"/>
              <w:jc w:val="center"/>
              <w:rPr>
                <w:sz w:val="18"/>
              </w:rPr>
            </w:pPr>
            <w:r>
              <w:rPr>
                <w:spacing w:val="-10"/>
                <w:sz w:val="18"/>
              </w:rPr>
              <w:t>X</w:t>
            </w:r>
          </w:p>
          <w:p>
            <w:pPr>
              <w:pStyle w:val="TableParagraph"/>
              <w:spacing w:line="207" w:lineRule="exact" w:before="0"/>
              <w:ind w:left="170" w:right="1"/>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493" w:hRule="atLeast"/>
        </w:trPr>
        <w:tc>
          <w:tcPr>
            <w:tcW w:w="4333" w:type="dxa"/>
            <w:tcBorders>
              <w:right w:val="nil"/>
            </w:tcBorders>
          </w:tcPr>
          <w:p>
            <w:pPr>
              <w:pStyle w:val="TableParagraph"/>
              <w:ind w:left="107" w:right="540"/>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 </w:t>
            </w:r>
            <w:r>
              <w:rPr>
                <w:b/>
                <w:spacing w:val="-2"/>
                <w:sz w:val="18"/>
              </w:rPr>
              <w:t>cross-country</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5" w:lineRule="exact" w:before="0"/>
              <w:ind w:left="170" w:right="4"/>
              <w:jc w:val="center"/>
              <w:rPr>
                <w:sz w:val="18"/>
              </w:rPr>
            </w:pPr>
            <w:r>
              <w:rPr>
                <w:spacing w:val="-10"/>
                <w:sz w:val="18"/>
              </w:rPr>
              <w:t>X</w:t>
            </w:r>
          </w:p>
          <w:p>
            <w:pPr>
              <w:pStyle w:val="TableParagraph"/>
              <w:spacing w:line="207" w:lineRule="exact" w:before="0"/>
              <w:ind w:left="170" w:right="1"/>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287" w:hRule="atLeast"/>
        </w:trPr>
        <w:tc>
          <w:tcPr>
            <w:tcW w:w="433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414" w:hRule="atLeast"/>
        </w:trPr>
        <w:tc>
          <w:tcPr>
            <w:tcW w:w="433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5" w:lineRule="exact" w:before="0"/>
              <w:ind w:left="170" w:right="4"/>
              <w:jc w:val="center"/>
              <w:rPr>
                <w:sz w:val="18"/>
              </w:rPr>
            </w:pPr>
            <w:r>
              <w:rPr>
                <w:spacing w:val="-10"/>
                <w:sz w:val="18"/>
              </w:rPr>
              <w:t>X</w:t>
            </w:r>
          </w:p>
          <w:p>
            <w:pPr>
              <w:pStyle w:val="TableParagraph"/>
              <w:spacing w:line="189" w:lineRule="exact" w:before="0"/>
              <w:ind w:left="170" w:right="2"/>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411" w:hRule="atLeast"/>
        </w:trPr>
        <w:tc>
          <w:tcPr>
            <w:tcW w:w="4333"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5" w:lineRule="exact" w:before="0"/>
              <w:ind w:left="170" w:right="4"/>
              <w:jc w:val="center"/>
              <w:rPr>
                <w:sz w:val="18"/>
              </w:rPr>
            </w:pPr>
            <w:r>
              <w:rPr>
                <w:spacing w:val="-10"/>
                <w:sz w:val="18"/>
              </w:rPr>
              <w:t>X</w:t>
            </w:r>
          </w:p>
          <w:p>
            <w:pPr>
              <w:pStyle w:val="TableParagraph"/>
              <w:spacing w:line="187" w:lineRule="exact" w:before="0"/>
              <w:ind w:left="170" w:right="2"/>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287" w:hRule="atLeast"/>
        </w:trPr>
        <w:tc>
          <w:tcPr>
            <w:tcW w:w="4333" w:type="dxa"/>
            <w:tcBorders>
              <w:right w:val="nil"/>
            </w:tcBorders>
          </w:tcPr>
          <w:p>
            <w:pPr>
              <w:pStyle w:val="TableParagraph"/>
              <w:spacing w:before="42"/>
              <w:ind w:left="107"/>
              <w:rPr>
                <w:b/>
                <w:sz w:val="18"/>
              </w:rPr>
            </w:pPr>
            <w:r>
              <w:rPr>
                <w:b/>
                <w:sz w:val="18"/>
              </w:rPr>
              <w:t>Special</w:t>
            </w:r>
            <w:r>
              <w:rPr>
                <w:b/>
                <w:spacing w:val="-3"/>
                <w:sz w:val="18"/>
              </w:rPr>
              <w:t> </w:t>
            </w:r>
            <w:r>
              <w:rPr>
                <w:b/>
                <w:sz w:val="18"/>
              </w:rPr>
              <w:t>use</w:t>
            </w:r>
            <w:r>
              <w:rPr>
                <w:b/>
                <w:spacing w:val="-2"/>
                <w:sz w:val="18"/>
              </w:rPr>
              <w:t> permits</w:t>
            </w:r>
          </w:p>
        </w:tc>
        <w:tc>
          <w:tcPr>
            <w:tcW w:w="1904" w:type="dxa"/>
            <w:tcBorders>
              <w:left w:val="nil"/>
              <w:right w:val="nil"/>
            </w:tcBorders>
          </w:tcPr>
          <w:p>
            <w:pPr>
              <w:pStyle w:val="TableParagraph"/>
              <w:spacing w:before="42"/>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spacing w:before="42"/>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1904" w:type="dxa"/>
            <w:tcBorders>
              <w:left w:val="nil"/>
              <w:right w:val="nil"/>
            </w:tcBorders>
          </w:tcPr>
          <w:p>
            <w:pPr>
              <w:pStyle w:val="TableParagraph"/>
              <w:spacing w:before="42"/>
              <w:ind w:right="41"/>
              <w:jc w:val="center"/>
              <w:rPr>
                <w:sz w:val="18"/>
              </w:rPr>
            </w:pPr>
            <w:r>
              <w:rPr>
                <w:spacing w:val="-10"/>
                <w:sz w:val="18"/>
              </w:rPr>
              <w:t>X</w:t>
            </w:r>
          </w:p>
        </w:tc>
        <w:tc>
          <w:tcPr>
            <w:tcW w:w="2312" w:type="dxa"/>
            <w:tcBorders>
              <w:left w:val="nil"/>
            </w:tcBorders>
          </w:tcPr>
          <w:p>
            <w:pPr>
              <w:pStyle w:val="TableParagraph"/>
              <w:spacing w:before="0"/>
              <w:rPr>
                <w:rFonts w:ascii="Times New Roman"/>
                <w:sz w:val="16"/>
              </w:rPr>
            </w:pPr>
          </w:p>
        </w:tc>
      </w:tr>
      <w:tr>
        <w:trPr>
          <w:trHeight w:val="287" w:hRule="atLeast"/>
        </w:trPr>
        <w:tc>
          <w:tcPr>
            <w:tcW w:w="4333" w:type="dxa"/>
            <w:tcBorders>
              <w:right w:val="nil"/>
            </w:tcBorders>
          </w:tcPr>
          <w:p>
            <w:pPr>
              <w:pStyle w:val="TableParagraph"/>
              <w:spacing w:before="42"/>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1904" w:type="dxa"/>
            <w:tcBorders>
              <w:left w:val="nil"/>
              <w:right w:val="nil"/>
            </w:tcBorders>
          </w:tcPr>
          <w:p>
            <w:pPr>
              <w:pStyle w:val="TableParagraph"/>
              <w:spacing w:before="0"/>
              <w:rPr>
                <w:rFonts w:ascii="Times New Roman"/>
                <w:sz w:val="16"/>
              </w:rPr>
            </w:pPr>
          </w:p>
        </w:tc>
        <w:tc>
          <w:tcPr>
            <w:tcW w:w="2312" w:type="dxa"/>
            <w:tcBorders>
              <w:left w:val="nil"/>
            </w:tcBorders>
          </w:tcPr>
          <w:p>
            <w:pPr>
              <w:pStyle w:val="TableParagraph"/>
              <w:spacing w:before="1"/>
              <w:ind w:left="170" w:right="4"/>
              <w:jc w:val="center"/>
              <w:rPr>
                <w:sz w:val="18"/>
              </w:rPr>
            </w:pPr>
            <w:r>
              <w:rPr>
                <w:spacing w:val="-10"/>
                <w:sz w:val="18"/>
              </w:rPr>
              <w:t>X</w:t>
            </w:r>
          </w:p>
        </w:tc>
      </w:tr>
      <w:tr>
        <w:trPr>
          <w:trHeight w:val="414" w:hRule="atLeast"/>
        </w:trPr>
        <w:tc>
          <w:tcPr>
            <w:tcW w:w="4333" w:type="dxa"/>
            <w:tcBorders>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1904" w:type="dxa"/>
            <w:tcBorders>
              <w:left w:val="nil"/>
              <w:right w:val="nil"/>
            </w:tcBorders>
          </w:tcPr>
          <w:p>
            <w:pPr>
              <w:pStyle w:val="TableParagraph"/>
              <w:ind w:right="41"/>
              <w:jc w:val="center"/>
              <w:rPr>
                <w:sz w:val="18"/>
              </w:rPr>
            </w:pPr>
            <w:r>
              <w:rPr>
                <w:spacing w:val="-10"/>
                <w:sz w:val="18"/>
              </w:rPr>
              <w:t>X</w:t>
            </w:r>
          </w:p>
        </w:tc>
        <w:tc>
          <w:tcPr>
            <w:tcW w:w="2312" w:type="dxa"/>
            <w:tcBorders>
              <w:left w:val="nil"/>
            </w:tcBorders>
          </w:tcPr>
          <w:p>
            <w:pPr>
              <w:pStyle w:val="TableParagraph"/>
              <w:spacing w:line="206" w:lineRule="exact" w:before="0"/>
              <w:ind w:left="170" w:right="4"/>
              <w:jc w:val="center"/>
              <w:rPr>
                <w:sz w:val="18"/>
              </w:rPr>
            </w:pPr>
            <w:r>
              <w:rPr>
                <w:spacing w:val="-10"/>
                <w:sz w:val="18"/>
              </w:rPr>
              <w:t>X</w:t>
            </w:r>
          </w:p>
          <w:p>
            <w:pPr>
              <w:pStyle w:val="TableParagraph"/>
              <w:spacing w:line="187" w:lineRule="exact" w:before="2"/>
              <w:ind w:left="170" w:right="2"/>
              <w:jc w:val="center"/>
              <w:rPr>
                <w:sz w:val="18"/>
              </w:rPr>
            </w:pPr>
            <w:r>
              <w:rPr>
                <w:sz w:val="18"/>
              </w:rPr>
              <w:t>(SPNM</w:t>
            </w:r>
            <w:r>
              <w:rPr>
                <w:spacing w:val="-8"/>
                <w:sz w:val="18"/>
              </w:rPr>
              <w:t> </w:t>
            </w:r>
            <w:r>
              <w:rPr>
                <w:sz w:val="18"/>
              </w:rPr>
              <w:t>ROS</w:t>
            </w:r>
            <w:r>
              <w:rPr>
                <w:spacing w:val="-4"/>
                <w:sz w:val="18"/>
              </w:rPr>
              <w:t> </w:t>
            </w:r>
            <w:r>
              <w:rPr>
                <w:spacing w:val="-2"/>
                <w:sz w:val="18"/>
              </w:rPr>
              <w:t>class)</w:t>
            </w:r>
          </w:p>
        </w:tc>
      </w:tr>
    </w:tbl>
    <w:p>
      <w:pPr>
        <w:spacing w:before="48"/>
        <w:ind w:left="360" w:right="1621" w:firstLine="0"/>
        <w:jc w:val="left"/>
        <w:rPr>
          <w:rFonts w:ascii="Arial"/>
          <w:sz w:val="16"/>
        </w:rPr>
      </w:pPr>
      <w:r>
        <w:rPr>
          <w:rFonts w:ascii="Arial"/>
          <w:sz w:val="16"/>
        </w:rPr>
        <w:t>*Forest</w:t>
      </w:r>
      <w:r>
        <w:rPr>
          <w:rFonts w:ascii="Arial"/>
          <w:spacing w:val="-3"/>
          <w:sz w:val="16"/>
        </w:rPr>
        <w:t> </w:t>
      </w:r>
      <w:r>
        <w:rPr>
          <w:rFonts w:ascii="Arial"/>
          <w:sz w:val="16"/>
        </w:rPr>
        <w:t>Service</w:t>
      </w:r>
      <w:r>
        <w:rPr>
          <w:rFonts w:ascii="Arial"/>
          <w:spacing w:val="-4"/>
          <w:sz w:val="16"/>
        </w:rPr>
        <w:t> </w:t>
      </w:r>
      <w:r>
        <w:rPr>
          <w:rFonts w:ascii="Arial"/>
          <w:sz w:val="16"/>
        </w:rPr>
        <w:t>has</w:t>
      </w:r>
      <w:r>
        <w:rPr>
          <w:rFonts w:ascii="Arial"/>
          <w:spacing w:val="-2"/>
          <w:sz w:val="16"/>
        </w:rPr>
        <w:t> </w:t>
      </w:r>
      <w:r>
        <w:rPr>
          <w:rFonts w:ascii="Arial"/>
          <w:sz w:val="16"/>
        </w:rPr>
        <w:t>consent</w:t>
      </w:r>
      <w:r>
        <w:rPr>
          <w:rFonts w:ascii="Arial"/>
          <w:spacing w:val="-3"/>
          <w:sz w:val="16"/>
        </w:rPr>
        <w:t> </w:t>
      </w:r>
      <w:r>
        <w:rPr>
          <w:rFonts w:ascii="Arial"/>
          <w:sz w:val="16"/>
        </w:rPr>
        <w:t>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3"/>
          <w:sz w:val="16"/>
        </w:rPr>
        <w:t> </w:t>
      </w:r>
      <w:r>
        <w:rPr>
          <w:rFonts w:ascii="Arial"/>
          <w:sz w:val="16"/>
        </w:rPr>
        <w:t>of</w:t>
      </w:r>
      <w:r>
        <w:rPr>
          <w:rFonts w:ascii="Arial"/>
          <w:spacing w:val="-3"/>
          <w:sz w:val="16"/>
        </w:rPr>
        <w:t> </w:t>
      </w:r>
      <w:r>
        <w:rPr>
          <w:rFonts w:ascii="Arial"/>
          <w:sz w:val="16"/>
        </w:rPr>
        <w:t>Interior</w:t>
      </w:r>
      <w:r>
        <w:rPr>
          <w:rFonts w:ascii="Arial"/>
          <w:spacing w:val="-4"/>
          <w:sz w:val="16"/>
        </w:rPr>
        <w:t> </w:t>
      </w:r>
      <w:r>
        <w:rPr>
          <w:rFonts w:ascii="Arial"/>
          <w:sz w:val="16"/>
        </w:rPr>
        <w:t>holds</w:t>
      </w:r>
      <w:r>
        <w:rPr>
          <w:rFonts w:ascii="Arial"/>
          <w:spacing w:val="-3"/>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2"/>
          <w:sz w:val="16"/>
        </w:rPr>
        <w:t> </w:t>
      </w:r>
      <w:r>
        <w:rPr>
          <w:rFonts w:ascii="Arial"/>
          <w:sz w:val="16"/>
        </w:rPr>
        <w:t>permits and leases.</w:t>
      </w:r>
    </w:p>
    <w:p>
      <w:pPr>
        <w:spacing w:before="40"/>
        <w:ind w:left="360"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spacing w:before="93"/>
        <w:rPr>
          <w:rFonts w:ascii="Arial"/>
          <w:sz w:val="20"/>
        </w:rPr>
      </w:pPr>
      <w:r>
        <w:rPr>
          <w:rFonts w:ascii="Arial"/>
          <w:sz w:val="20"/>
        </w:rPr>
        <mc:AlternateContent>
          <mc:Choice Requires="wps">
            <w:drawing>
              <wp:anchor distT="0" distB="0" distL="0" distR="0" allowOverlap="1" layoutInCell="1" locked="0" behindDoc="1" simplePos="0" relativeHeight="487629824">
                <wp:simplePos x="0" y="0"/>
                <wp:positionH relativeFrom="page">
                  <wp:posOffset>914400</wp:posOffset>
                </wp:positionH>
                <wp:positionV relativeFrom="paragraph">
                  <wp:posOffset>220749</wp:posOffset>
                </wp:positionV>
                <wp:extent cx="1828800" cy="7620"/>
                <wp:effectExtent l="0" t="0" r="0" b="0"/>
                <wp:wrapTopAndBottom/>
                <wp:docPr id="218" name="Graphic 218"/>
                <wp:cNvGraphicFramePr>
                  <a:graphicFrameLocks/>
                </wp:cNvGraphicFramePr>
                <a:graphic>
                  <a:graphicData uri="http://schemas.microsoft.com/office/word/2010/wordprocessingShape">
                    <wps:wsp>
                      <wps:cNvPr id="218" name="Graphic 218"/>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381844pt;width:144pt;height:.6pt;mso-position-horizontal-relative:page;mso-position-vertical-relative:paragraph;z-index:-15686656;mso-wrap-distance-left:0;mso-wrap-distance-right:0" id="docshape206" filled="true" fillcolor="#000000" stroked="false">
                <v:fill type="solid"/>
                <w10:wrap type="topAndBottom"/>
              </v:rect>
            </w:pict>
          </mc:Fallback>
        </mc:AlternateContent>
      </w:r>
    </w:p>
    <w:p>
      <w:pPr>
        <w:spacing w:before="95"/>
        <w:ind w:left="360" w:right="1621" w:hanging="1"/>
        <w:jc w:val="left"/>
        <w:rPr>
          <w:sz w:val="18"/>
        </w:rPr>
      </w:pPr>
      <w:bookmarkStart w:name="_bookmark241" w:id="792"/>
      <w:bookmarkEnd w:id="792"/>
      <w:r>
        <w:rPr/>
      </w:r>
      <w:r>
        <w:rPr>
          <w:position w:val="5"/>
          <w:sz w:val="12"/>
        </w:rPr>
        <w:t>31</w:t>
      </w:r>
      <w:r>
        <w:rPr>
          <w:spacing w:val="10"/>
          <w:position w:val="5"/>
          <w:sz w:val="12"/>
        </w:rPr>
        <w:t> </w:t>
      </w:r>
      <w:r>
        <w:rPr>
          <w:sz w:val="18"/>
        </w:rPr>
        <w:t>ROS</w:t>
      </w:r>
      <w:r>
        <w:rPr>
          <w:spacing w:val="-3"/>
          <w:sz w:val="18"/>
        </w:rPr>
        <w:t> </w:t>
      </w:r>
      <w:r>
        <w:rPr>
          <w:sz w:val="18"/>
        </w:rPr>
        <w:t>=</w:t>
      </w:r>
      <w:r>
        <w:rPr>
          <w:spacing w:val="-3"/>
          <w:sz w:val="18"/>
        </w:rPr>
        <w:t> </w:t>
      </w:r>
      <w:r>
        <w:rPr>
          <w:sz w:val="18"/>
        </w:rPr>
        <w:t>recreation</w:t>
      </w:r>
      <w:r>
        <w:rPr>
          <w:spacing w:val="-3"/>
          <w:sz w:val="18"/>
        </w:rPr>
        <w:t> </w:t>
      </w:r>
      <w:r>
        <w:rPr>
          <w:sz w:val="18"/>
        </w:rPr>
        <w:t>opportunity</w:t>
      </w:r>
      <w:r>
        <w:rPr>
          <w:spacing w:val="-1"/>
          <w:sz w:val="18"/>
        </w:rPr>
        <w:t> </w:t>
      </w:r>
      <w:r>
        <w:rPr>
          <w:sz w:val="18"/>
        </w:rPr>
        <w:t>spectrum.</w:t>
      </w:r>
      <w:r>
        <w:rPr>
          <w:spacing w:val="-2"/>
          <w:sz w:val="18"/>
        </w:rPr>
        <w:t> </w:t>
      </w:r>
      <w:r>
        <w:rPr>
          <w:sz w:val="18"/>
        </w:rPr>
        <w:t>ROS</w:t>
      </w:r>
      <w:r>
        <w:rPr>
          <w:spacing w:val="-3"/>
          <w:sz w:val="18"/>
        </w:rPr>
        <w:t> </w:t>
      </w:r>
      <w:r>
        <w:rPr>
          <w:sz w:val="18"/>
        </w:rPr>
        <w:t>class</w:t>
      </w:r>
      <w:r>
        <w:rPr>
          <w:spacing w:val="-3"/>
          <w:sz w:val="18"/>
        </w:rPr>
        <w:t> </w:t>
      </w:r>
      <w:r>
        <w:rPr>
          <w:sz w:val="18"/>
        </w:rPr>
        <w:t>referred</w:t>
      </w:r>
      <w:r>
        <w:rPr>
          <w:spacing w:val="-3"/>
          <w:sz w:val="18"/>
        </w:rPr>
        <w:t> </w:t>
      </w:r>
      <w:r>
        <w:rPr>
          <w:sz w:val="18"/>
        </w:rPr>
        <w:t>to</w:t>
      </w:r>
      <w:r>
        <w:rPr>
          <w:spacing w:val="-2"/>
          <w:sz w:val="18"/>
        </w:rPr>
        <w:t> </w:t>
      </w:r>
      <w:r>
        <w:rPr>
          <w:sz w:val="18"/>
        </w:rPr>
        <w:t>in</w:t>
      </w:r>
      <w:r>
        <w:rPr>
          <w:spacing w:val="-3"/>
          <w:sz w:val="18"/>
        </w:rPr>
        <w:t> </w:t>
      </w:r>
      <w:r>
        <w:rPr>
          <w:sz w:val="18"/>
        </w:rPr>
        <w:t>this</w:t>
      </w:r>
      <w:r>
        <w:rPr>
          <w:spacing w:val="-3"/>
          <w:sz w:val="18"/>
        </w:rPr>
        <w:t> </w:t>
      </w:r>
      <w:r>
        <w:rPr>
          <w:sz w:val="18"/>
        </w:rPr>
        <w:t>table</w:t>
      </w:r>
      <w:r>
        <w:rPr>
          <w:spacing w:val="-3"/>
          <w:sz w:val="18"/>
        </w:rPr>
        <w:t> </w:t>
      </w:r>
      <w:r>
        <w:rPr>
          <w:sz w:val="18"/>
        </w:rPr>
        <w:t>is</w:t>
      </w:r>
      <w:r>
        <w:rPr>
          <w:spacing w:val="-2"/>
          <w:sz w:val="18"/>
        </w:rPr>
        <w:t> </w:t>
      </w:r>
      <w:r>
        <w:rPr>
          <w:sz w:val="18"/>
        </w:rPr>
        <w:t>Semi-Primitive</w:t>
      </w:r>
      <w:r>
        <w:rPr>
          <w:spacing w:val="-3"/>
          <w:sz w:val="18"/>
        </w:rPr>
        <w:t> </w:t>
      </w:r>
      <w:r>
        <w:rPr>
          <w:sz w:val="18"/>
        </w:rPr>
        <w:t>Non-Motorized (SPNM). ROS classes are mapped in appendix F.</w:t>
      </w:r>
    </w:p>
    <w:p>
      <w:pPr>
        <w:spacing w:after="0"/>
        <w:jc w:val="left"/>
        <w:rPr>
          <w:sz w:val="18"/>
        </w:rPr>
        <w:sectPr>
          <w:pgSz w:w="12240" w:h="15840"/>
          <w:pgMar w:header="725" w:footer="891" w:top="960" w:bottom="1080" w:left="1080" w:right="720"/>
        </w:sectPr>
      </w:pPr>
    </w:p>
    <w:p>
      <w:pPr>
        <w:pStyle w:val="BodyText"/>
        <w:spacing w:before="207"/>
      </w:pPr>
    </w:p>
    <w:p>
      <w:pPr>
        <w:pStyle w:val="Heading3"/>
      </w:pPr>
      <w:r>
        <w:rPr/>
        <mc:AlternateContent>
          <mc:Choice Requires="wps">
            <w:drawing>
              <wp:anchor distT="0" distB="0" distL="0" distR="0" allowOverlap="1" layoutInCell="1" locked="0" behindDoc="1" simplePos="0" relativeHeight="487630336">
                <wp:simplePos x="0" y="0"/>
                <wp:positionH relativeFrom="page">
                  <wp:posOffset>1856232</wp:posOffset>
                </wp:positionH>
                <wp:positionV relativeFrom="paragraph">
                  <wp:posOffset>234470</wp:posOffset>
                </wp:positionV>
                <wp:extent cx="5020310" cy="2935605"/>
                <wp:effectExtent l="0" t="0" r="0" b="0"/>
                <wp:wrapTopAndBottom/>
                <wp:docPr id="219" name="Textbox 219"/>
                <wp:cNvGraphicFramePr>
                  <a:graphicFrameLocks/>
                </wp:cNvGraphicFramePr>
                <a:graphic>
                  <a:graphicData uri="http://schemas.microsoft.com/office/word/2010/wordprocessingShape">
                    <wps:wsp>
                      <wps:cNvPr id="219" name="Textbox 219"/>
                      <wps:cNvSpPr txBox="1"/>
                      <wps:spPr>
                        <a:xfrm>
                          <a:off x="0" y="0"/>
                          <a:ext cx="5020310" cy="2935605"/>
                        </a:xfrm>
                        <a:prstGeom prst="rect">
                          <a:avLst/>
                        </a:prstGeom>
                        <a:solidFill>
                          <a:srgbClr val="D9D9D9"/>
                        </a:solidFill>
                      </wps:spPr>
                      <wps:txbx>
                        <w:txbxContent>
                          <w:p>
                            <w:pPr>
                              <w:pStyle w:val="BodyText"/>
                              <w:spacing w:line="232" w:lineRule="auto" w:before="5"/>
                              <w:ind w:left="28"/>
                              <w:rPr>
                                <w:color w:val="000000"/>
                              </w:rPr>
                            </w:pPr>
                            <w:r>
                              <w:rPr>
                                <w:color w:val="000000"/>
                              </w:rPr>
                              <w:t>The</w:t>
                            </w:r>
                            <w:r>
                              <w:rPr>
                                <w:color w:val="000000"/>
                                <w:spacing w:val="-4"/>
                              </w:rPr>
                              <w:t> </w:t>
                            </w:r>
                            <w:r>
                              <w:rPr>
                                <w:color w:val="000000"/>
                              </w:rPr>
                              <w:t>Kettle</w:t>
                            </w:r>
                            <w:r>
                              <w:rPr>
                                <w:color w:val="000000"/>
                                <w:spacing w:val="-4"/>
                              </w:rPr>
                              <w:t> </w:t>
                            </w:r>
                            <w:r>
                              <w:rPr>
                                <w:color w:val="000000"/>
                              </w:rPr>
                              <w:t>Crest</w:t>
                            </w:r>
                            <w:r>
                              <w:rPr>
                                <w:color w:val="000000"/>
                                <w:spacing w:val="-7"/>
                              </w:rPr>
                              <w:t> </w:t>
                            </w:r>
                            <w:r>
                              <w:rPr>
                                <w:color w:val="000000"/>
                              </w:rPr>
                              <w:t>Recreation</w:t>
                            </w:r>
                            <w:r>
                              <w:rPr>
                                <w:color w:val="000000"/>
                                <w:spacing w:val="-7"/>
                              </w:rPr>
                              <w:t> </w:t>
                            </w:r>
                            <w:r>
                              <w:rPr>
                                <w:color w:val="000000"/>
                              </w:rPr>
                              <w:t>Area</w:t>
                            </w:r>
                            <w:r>
                              <w:rPr>
                                <w:color w:val="000000"/>
                                <w:spacing w:val="-5"/>
                              </w:rPr>
                              <w:t> </w:t>
                            </w:r>
                            <w:r>
                              <w:rPr>
                                <w:color w:val="000000"/>
                              </w:rPr>
                              <w:t>consists</w:t>
                            </w:r>
                            <w:r>
                              <w:rPr>
                                <w:color w:val="000000"/>
                                <w:spacing w:val="-7"/>
                              </w:rPr>
                              <w:t> </w:t>
                            </w:r>
                            <w:r>
                              <w:rPr>
                                <w:color w:val="000000"/>
                              </w:rPr>
                              <w:t>of</w:t>
                            </w:r>
                            <w:r>
                              <w:rPr>
                                <w:color w:val="000000"/>
                                <w:spacing w:val="-7"/>
                              </w:rPr>
                              <w:t> </w:t>
                            </w:r>
                            <w:r>
                              <w:rPr>
                                <w:color w:val="000000"/>
                              </w:rPr>
                              <w:t>80,300</w:t>
                            </w:r>
                            <w:r>
                              <w:rPr>
                                <w:color w:val="000000"/>
                                <w:spacing w:val="-5"/>
                              </w:rPr>
                              <w:t> </w:t>
                            </w:r>
                            <w:r>
                              <w:rPr>
                                <w:color w:val="000000"/>
                              </w:rPr>
                              <w:t>acres</w:t>
                            </w:r>
                            <w:r>
                              <w:rPr>
                                <w:color w:val="000000"/>
                                <w:spacing w:val="-5"/>
                              </w:rPr>
                              <w:t> </w:t>
                            </w:r>
                            <w:r>
                              <w:rPr>
                                <w:color w:val="000000"/>
                              </w:rPr>
                              <w:t>along</w:t>
                            </w:r>
                            <w:r>
                              <w:rPr>
                                <w:color w:val="000000"/>
                                <w:spacing w:val="-6"/>
                              </w:rPr>
                              <w:t> </w:t>
                            </w:r>
                            <w:r>
                              <w:rPr>
                                <w:color w:val="000000"/>
                              </w:rPr>
                              <w:t>the</w:t>
                            </w:r>
                            <w:r>
                              <w:rPr>
                                <w:color w:val="000000"/>
                                <w:spacing w:val="-7"/>
                              </w:rPr>
                              <w:t> </w:t>
                            </w:r>
                            <w:r>
                              <w:rPr>
                                <w:color w:val="000000"/>
                              </w:rPr>
                              <w:t>east</w:t>
                            </w:r>
                            <w:r>
                              <w:rPr>
                                <w:color w:val="000000"/>
                                <w:spacing w:val="-7"/>
                              </w:rPr>
                              <w:t> </w:t>
                            </w:r>
                            <w:r>
                              <w:rPr>
                                <w:color w:val="000000"/>
                              </w:rPr>
                              <w:t>and</w:t>
                            </w:r>
                            <w:r>
                              <w:rPr>
                                <w:color w:val="000000"/>
                                <w:spacing w:val="-6"/>
                              </w:rPr>
                              <w:t> </w:t>
                            </w:r>
                            <w:r>
                              <w:rPr>
                                <w:color w:val="000000"/>
                              </w:rPr>
                              <w:t>west</w:t>
                            </w:r>
                            <w:r>
                              <w:rPr>
                                <w:color w:val="000000"/>
                                <w:spacing w:val="-7"/>
                              </w:rPr>
                              <w:t> </w:t>
                            </w:r>
                            <w:r>
                              <w:rPr>
                                <w:color w:val="000000"/>
                              </w:rPr>
                              <w:t>slopes of the</w:t>
                            </w:r>
                            <w:r>
                              <w:rPr>
                                <w:color w:val="000000"/>
                                <w:spacing w:val="-2"/>
                              </w:rPr>
                              <w:t> </w:t>
                            </w:r>
                            <w:r>
                              <w:rPr>
                                <w:color w:val="000000"/>
                              </w:rPr>
                              <w:t>Kettle River</w:t>
                            </w:r>
                            <w:r>
                              <w:rPr>
                                <w:color w:val="000000"/>
                                <w:spacing w:val="-2"/>
                              </w:rPr>
                              <w:t> </w:t>
                            </w:r>
                            <w:r>
                              <w:rPr>
                                <w:color w:val="000000"/>
                              </w:rPr>
                              <w:t>Range located</w:t>
                            </w:r>
                            <w:r>
                              <w:rPr>
                                <w:color w:val="000000"/>
                                <w:spacing w:val="-1"/>
                              </w:rPr>
                              <w:t> </w:t>
                            </w:r>
                            <w:r>
                              <w:rPr>
                                <w:color w:val="000000"/>
                              </w:rPr>
                              <w:t>on</w:t>
                            </w:r>
                            <w:r>
                              <w:rPr>
                                <w:color w:val="000000"/>
                                <w:spacing w:val="-1"/>
                              </w:rPr>
                              <w:t> </w:t>
                            </w:r>
                            <w:r>
                              <w:rPr>
                                <w:color w:val="000000"/>
                              </w:rPr>
                              <w:t>both</w:t>
                            </w:r>
                            <w:r>
                              <w:rPr>
                                <w:color w:val="000000"/>
                                <w:spacing w:val="-3"/>
                              </w:rPr>
                              <w:t> </w:t>
                            </w:r>
                            <w:r>
                              <w:rPr>
                                <w:color w:val="000000"/>
                              </w:rPr>
                              <w:t>the north</w:t>
                            </w:r>
                            <w:r>
                              <w:rPr>
                                <w:color w:val="000000"/>
                                <w:spacing w:val="-1"/>
                              </w:rPr>
                              <w:t> </w:t>
                            </w:r>
                            <w:r>
                              <w:rPr>
                                <w:color w:val="000000"/>
                              </w:rPr>
                              <w:t>and</w:t>
                            </w:r>
                            <w:r>
                              <w:rPr>
                                <w:color w:val="000000"/>
                                <w:spacing w:val="-1"/>
                              </w:rPr>
                              <w:t> </w:t>
                            </w:r>
                            <w:r>
                              <w:rPr>
                                <w:color w:val="000000"/>
                              </w:rPr>
                              <w:t>south</w:t>
                            </w:r>
                            <w:r>
                              <w:rPr>
                                <w:color w:val="000000"/>
                                <w:spacing w:val="-1"/>
                              </w:rPr>
                              <w:t> </w:t>
                            </w:r>
                            <w:r>
                              <w:rPr>
                                <w:color w:val="000000"/>
                              </w:rPr>
                              <w:t>sides</w:t>
                            </w:r>
                            <w:r>
                              <w:rPr>
                                <w:color w:val="000000"/>
                                <w:spacing w:val="-2"/>
                              </w:rPr>
                              <w:t> </w:t>
                            </w:r>
                            <w:r>
                              <w:rPr>
                                <w:color w:val="000000"/>
                              </w:rPr>
                              <w:t>of U.S. Highway 20. This area was identified as a recreation area by both motorized and non-motorized recreation interests as well as wilderness supporters and non-wilderness advocates throughout the forest plan revision process. The Kettle Crest was designated as a recreation area for its outstanding four-season motorized and non-motorized trail opportunities located primarily in the higher elevations of the Okanogan Highlands ecoregion. The recreation area’s physical, managerial, and social settings exhibit the undeveloped</w:t>
                            </w:r>
                            <w:r>
                              <w:rPr>
                                <w:color w:val="000000"/>
                                <w:spacing w:val="-6"/>
                              </w:rPr>
                              <w:t> </w:t>
                            </w:r>
                            <w:r>
                              <w:rPr>
                                <w:color w:val="000000"/>
                              </w:rPr>
                              <w:t>natural</w:t>
                            </w:r>
                            <w:r>
                              <w:rPr>
                                <w:color w:val="000000"/>
                                <w:spacing w:val="-5"/>
                              </w:rPr>
                              <w:t> </w:t>
                            </w:r>
                            <w:r>
                              <w:rPr>
                                <w:color w:val="000000"/>
                              </w:rPr>
                              <w:t>setting</w:t>
                            </w:r>
                            <w:r>
                              <w:rPr>
                                <w:color w:val="000000"/>
                                <w:spacing w:val="-6"/>
                              </w:rPr>
                              <w:t> </w:t>
                            </w:r>
                            <w:r>
                              <w:rPr>
                                <w:color w:val="000000"/>
                              </w:rPr>
                              <w:t>and</w:t>
                            </w:r>
                            <w:r>
                              <w:rPr>
                                <w:color w:val="000000"/>
                                <w:spacing w:val="-6"/>
                              </w:rPr>
                              <w:t> </w:t>
                            </w:r>
                            <w:r>
                              <w:rPr>
                                <w:color w:val="000000"/>
                              </w:rPr>
                              <w:t>the</w:t>
                            </w:r>
                            <w:r>
                              <w:rPr>
                                <w:color w:val="000000"/>
                                <w:spacing w:val="-4"/>
                              </w:rPr>
                              <w:t> </w:t>
                            </w:r>
                            <w:r>
                              <w:rPr>
                                <w:color w:val="000000"/>
                              </w:rPr>
                              <w:t>unconfined</w:t>
                            </w:r>
                            <w:r>
                              <w:rPr>
                                <w:color w:val="000000"/>
                                <w:spacing w:val="-8"/>
                              </w:rPr>
                              <w:t> </w:t>
                            </w:r>
                            <w:r>
                              <w:rPr>
                                <w:color w:val="000000"/>
                              </w:rPr>
                              <w:t>opportunities</w:t>
                            </w:r>
                            <w:r>
                              <w:rPr>
                                <w:color w:val="000000"/>
                                <w:spacing w:val="-5"/>
                              </w:rPr>
                              <w:t> </w:t>
                            </w:r>
                            <w:r>
                              <w:rPr>
                                <w:color w:val="000000"/>
                              </w:rPr>
                              <w:t>for</w:t>
                            </w:r>
                            <w:r>
                              <w:rPr>
                                <w:color w:val="000000"/>
                                <w:spacing w:val="-5"/>
                              </w:rPr>
                              <w:t> </w:t>
                            </w:r>
                            <w:r>
                              <w:rPr>
                                <w:color w:val="000000"/>
                              </w:rPr>
                              <w:t>solitude,</w:t>
                            </w:r>
                            <w:r>
                              <w:rPr>
                                <w:color w:val="000000"/>
                                <w:spacing w:val="-7"/>
                              </w:rPr>
                              <w:t> </w:t>
                            </w:r>
                            <w:r>
                              <w:rPr>
                                <w:color w:val="000000"/>
                              </w:rPr>
                              <w:t>exploration, risk, and challenge associated with the unique semi-primitive motorized and semi- primitive non-motorized recreation opportunities available within the management area. The Kettle Crest Recreation Area is prescribed a high scenic integrity objective.</w:t>
                            </w:r>
                          </w:p>
                          <w:p>
                            <w:pPr>
                              <w:pStyle w:val="BodyText"/>
                              <w:spacing w:line="232" w:lineRule="auto" w:before="189"/>
                              <w:ind w:left="28" w:right="49"/>
                              <w:rPr>
                                <w:color w:val="000000"/>
                              </w:rPr>
                            </w:pPr>
                            <w:r>
                              <w:rPr>
                                <w:color w:val="000000"/>
                              </w:rPr>
                              <w:t>The Kettle Crest Recreation Area overlays other management areas including administrative and recreation sites, backcountry, backcountry motorized, focused and general</w:t>
                            </w:r>
                            <w:r>
                              <w:rPr>
                                <w:color w:val="000000"/>
                                <w:spacing w:val="-8"/>
                              </w:rPr>
                              <w:t> </w:t>
                            </w:r>
                            <w:r>
                              <w:rPr>
                                <w:color w:val="000000"/>
                              </w:rPr>
                              <w:t>restoration,</w:t>
                            </w:r>
                            <w:r>
                              <w:rPr>
                                <w:color w:val="000000"/>
                                <w:spacing w:val="-8"/>
                              </w:rPr>
                              <w:t> </w:t>
                            </w:r>
                            <w:r>
                              <w:rPr>
                                <w:color w:val="000000"/>
                              </w:rPr>
                              <w:t>nationally</w:t>
                            </w:r>
                            <w:r>
                              <w:rPr>
                                <w:color w:val="000000"/>
                                <w:spacing w:val="-7"/>
                              </w:rPr>
                              <w:t> </w:t>
                            </w:r>
                            <w:r>
                              <w:rPr>
                                <w:color w:val="000000"/>
                              </w:rPr>
                              <w:t>designated</w:t>
                            </w:r>
                            <w:r>
                              <w:rPr>
                                <w:color w:val="000000"/>
                                <w:spacing w:val="-10"/>
                              </w:rPr>
                              <w:t> </w:t>
                            </w:r>
                            <w:r>
                              <w:rPr>
                                <w:color w:val="000000"/>
                              </w:rPr>
                              <w:t>trails,</w:t>
                            </w:r>
                            <w:r>
                              <w:rPr>
                                <w:color w:val="000000"/>
                                <w:spacing w:val="-8"/>
                              </w:rPr>
                              <w:t> </w:t>
                            </w:r>
                            <w:r>
                              <w:rPr>
                                <w:color w:val="000000"/>
                              </w:rPr>
                              <w:t>riparian</w:t>
                            </w:r>
                            <w:r>
                              <w:rPr>
                                <w:color w:val="000000"/>
                                <w:spacing w:val="-9"/>
                              </w:rPr>
                              <w:t> </w:t>
                            </w:r>
                            <w:r>
                              <w:rPr>
                                <w:color w:val="000000"/>
                              </w:rPr>
                              <w:t>management</w:t>
                            </w:r>
                            <w:r>
                              <w:rPr>
                                <w:color w:val="000000"/>
                                <w:spacing w:val="-7"/>
                              </w:rPr>
                              <w:t> </w:t>
                            </w:r>
                            <w:r>
                              <w:rPr>
                                <w:color w:val="000000"/>
                              </w:rPr>
                              <w:t>areas,</w:t>
                            </w:r>
                            <w:r>
                              <w:rPr>
                                <w:color w:val="000000"/>
                                <w:spacing w:val="-10"/>
                              </w:rPr>
                              <w:t> </w:t>
                            </w:r>
                            <w:r>
                              <w:rPr>
                                <w:color w:val="000000"/>
                              </w:rPr>
                              <w:t>and</w:t>
                            </w:r>
                            <w:r>
                              <w:rPr>
                                <w:color w:val="000000"/>
                                <w:spacing w:val="-9"/>
                              </w:rPr>
                              <w:t> </w:t>
                            </w:r>
                            <w:r>
                              <w:rPr>
                                <w:color w:val="000000"/>
                              </w:rPr>
                              <w:t>scenic byways.</w:t>
                            </w:r>
                            <w:r>
                              <w:rPr>
                                <w:color w:val="000000"/>
                                <w:spacing w:val="-2"/>
                              </w:rPr>
                              <w:t> </w:t>
                            </w:r>
                            <w:r>
                              <w:rPr>
                                <w:color w:val="000000"/>
                              </w:rPr>
                              <w:t>All</w:t>
                            </w:r>
                            <w:r>
                              <w:rPr>
                                <w:color w:val="000000"/>
                                <w:spacing w:val="-5"/>
                              </w:rPr>
                              <w:t> </w:t>
                            </w:r>
                            <w:r>
                              <w:rPr>
                                <w:color w:val="000000"/>
                              </w:rPr>
                              <w:t>sets</w:t>
                            </w:r>
                            <w:r>
                              <w:rPr>
                                <w:color w:val="000000"/>
                                <w:spacing w:val="-4"/>
                              </w:rPr>
                              <w:t> </w:t>
                            </w:r>
                            <w:r>
                              <w:rPr>
                                <w:color w:val="000000"/>
                              </w:rPr>
                              <w:t>of</w:t>
                            </w:r>
                            <w:r>
                              <w:rPr>
                                <w:color w:val="000000"/>
                                <w:spacing w:val="-2"/>
                              </w:rPr>
                              <w:t> </w:t>
                            </w:r>
                            <w:r>
                              <w:rPr>
                                <w:color w:val="000000"/>
                              </w:rPr>
                              <w:t>applicable</w:t>
                            </w:r>
                            <w:r>
                              <w:rPr>
                                <w:color w:val="000000"/>
                                <w:spacing w:val="-1"/>
                              </w:rPr>
                              <w:t> </w:t>
                            </w:r>
                            <w:r>
                              <w:rPr>
                                <w:color w:val="000000"/>
                              </w:rPr>
                              <w:t>Forest</w:t>
                            </w:r>
                            <w:r>
                              <w:rPr>
                                <w:color w:val="000000"/>
                                <w:spacing w:val="-1"/>
                              </w:rPr>
                              <w:t> </w:t>
                            </w:r>
                            <w:r>
                              <w:rPr>
                                <w:color w:val="000000"/>
                              </w:rPr>
                              <w:t>Plan</w:t>
                            </w:r>
                            <w:r>
                              <w:rPr>
                                <w:color w:val="000000"/>
                                <w:spacing w:val="-4"/>
                              </w:rPr>
                              <w:t> </w:t>
                            </w:r>
                            <w:r>
                              <w:rPr>
                                <w:color w:val="000000"/>
                              </w:rPr>
                              <w:t>components</w:t>
                            </w:r>
                            <w:r>
                              <w:rPr>
                                <w:color w:val="000000"/>
                                <w:spacing w:val="-4"/>
                              </w:rPr>
                              <w:t> </w:t>
                            </w:r>
                            <w:r>
                              <w:rPr>
                                <w:color w:val="000000"/>
                              </w:rPr>
                              <w:t>apply;</w:t>
                            </w:r>
                            <w:r>
                              <w:rPr>
                                <w:color w:val="000000"/>
                                <w:spacing w:val="-1"/>
                              </w:rPr>
                              <w:t> </w:t>
                            </w:r>
                            <w:r>
                              <w:rPr>
                                <w:color w:val="000000"/>
                              </w:rPr>
                              <w:t>however,</w:t>
                            </w:r>
                            <w:r>
                              <w:rPr>
                                <w:color w:val="000000"/>
                                <w:spacing w:val="-2"/>
                              </w:rPr>
                              <w:t> </w:t>
                            </w:r>
                            <w:r>
                              <w:rPr>
                                <w:color w:val="000000"/>
                              </w:rPr>
                              <w:t>the</w:t>
                            </w:r>
                            <w:r>
                              <w:rPr>
                                <w:color w:val="000000"/>
                                <w:spacing w:val="-1"/>
                              </w:rPr>
                              <w:t> </w:t>
                            </w:r>
                            <w:r>
                              <w:rPr>
                                <w:color w:val="000000"/>
                              </w:rPr>
                              <w:t>direction</w:t>
                            </w:r>
                            <w:r>
                              <w:rPr>
                                <w:color w:val="000000"/>
                                <w:spacing w:val="-3"/>
                              </w:rPr>
                              <w:t> </w:t>
                            </w:r>
                            <w:r>
                              <w:rPr>
                                <w:color w:val="000000"/>
                              </w:rPr>
                              <w:t>for the management area with the most restrictive direction takes precedence.</w:t>
                            </w:r>
                          </w:p>
                        </w:txbxContent>
                      </wps:txbx>
                      <wps:bodyPr wrap="square" lIns="0" tIns="0" rIns="0" bIns="0" rtlCol="0">
                        <a:noAutofit/>
                      </wps:bodyPr>
                    </wps:wsp>
                  </a:graphicData>
                </a:graphic>
              </wp:anchor>
            </w:drawing>
          </mc:Choice>
          <mc:Fallback>
            <w:pict>
              <v:shape style="position:absolute;margin-left:146.160004pt;margin-top:18.462265pt;width:395.3pt;height:231.15pt;mso-position-horizontal-relative:page;mso-position-vertical-relative:paragraph;z-index:-15686144;mso-wrap-distance-left:0;mso-wrap-distance-right:0" type="#_x0000_t202" id="docshape207" filled="true" fillcolor="#d9d9d9" stroked="false">
                <v:textbox inset="0,0,0,0">
                  <w:txbxContent>
                    <w:p>
                      <w:pPr>
                        <w:pStyle w:val="BodyText"/>
                        <w:spacing w:line="232" w:lineRule="auto" w:before="5"/>
                        <w:ind w:left="28"/>
                        <w:rPr>
                          <w:color w:val="000000"/>
                        </w:rPr>
                      </w:pPr>
                      <w:r>
                        <w:rPr>
                          <w:color w:val="000000"/>
                        </w:rPr>
                        <w:t>The</w:t>
                      </w:r>
                      <w:r>
                        <w:rPr>
                          <w:color w:val="000000"/>
                          <w:spacing w:val="-4"/>
                        </w:rPr>
                        <w:t> </w:t>
                      </w:r>
                      <w:r>
                        <w:rPr>
                          <w:color w:val="000000"/>
                        </w:rPr>
                        <w:t>Kettle</w:t>
                      </w:r>
                      <w:r>
                        <w:rPr>
                          <w:color w:val="000000"/>
                          <w:spacing w:val="-4"/>
                        </w:rPr>
                        <w:t> </w:t>
                      </w:r>
                      <w:r>
                        <w:rPr>
                          <w:color w:val="000000"/>
                        </w:rPr>
                        <w:t>Crest</w:t>
                      </w:r>
                      <w:r>
                        <w:rPr>
                          <w:color w:val="000000"/>
                          <w:spacing w:val="-7"/>
                        </w:rPr>
                        <w:t> </w:t>
                      </w:r>
                      <w:r>
                        <w:rPr>
                          <w:color w:val="000000"/>
                        </w:rPr>
                        <w:t>Recreation</w:t>
                      </w:r>
                      <w:r>
                        <w:rPr>
                          <w:color w:val="000000"/>
                          <w:spacing w:val="-7"/>
                        </w:rPr>
                        <w:t> </w:t>
                      </w:r>
                      <w:r>
                        <w:rPr>
                          <w:color w:val="000000"/>
                        </w:rPr>
                        <w:t>Area</w:t>
                      </w:r>
                      <w:r>
                        <w:rPr>
                          <w:color w:val="000000"/>
                          <w:spacing w:val="-5"/>
                        </w:rPr>
                        <w:t> </w:t>
                      </w:r>
                      <w:r>
                        <w:rPr>
                          <w:color w:val="000000"/>
                        </w:rPr>
                        <w:t>consists</w:t>
                      </w:r>
                      <w:r>
                        <w:rPr>
                          <w:color w:val="000000"/>
                          <w:spacing w:val="-7"/>
                        </w:rPr>
                        <w:t> </w:t>
                      </w:r>
                      <w:r>
                        <w:rPr>
                          <w:color w:val="000000"/>
                        </w:rPr>
                        <w:t>of</w:t>
                      </w:r>
                      <w:r>
                        <w:rPr>
                          <w:color w:val="000000"/>
                          <w:spacing w:val="-7"/>
                        </w:rPr>
                        <w:t> </w:t>
                      </w:r>
                      <w:r>
                        <w:rPr>
                          <w:color w:val="000000"/>
                        </w:rPr>
                        <w:t>80,300</w:t>
                      </w:r>
                      <w:r>
                        <w:rPr>
                          <w:color w:val="000000"/>
                          <w:spacing w:val="-5"/>
                        </w:rPr>
                        <w:t> </w:t>
                      </w:r>
                      <w:r>
                        <w:rPr>
                          <w:color w:val="000000"/>
                        </w:rPr>
                        <w:t>acres</w:t>
                      </w:r>
                      <w:r>
                        <w:rPr>
                          <w:color w:val="000000"/>
                          <w:spacing w:val="-5"/>
                        </w:rPr>
                        <w:t> </w:t>
                      </w:r>
                      <w:r>
                        <w:rPr>
                          <w:color w:val="000000"/>
                        </w:rPr>
                        <w:t>along</w:t>
                      </w:r>
                      <w:r>
                        <w:rPr>
                          <w:color w:val="000000"/>
                          <w:spacing w:val="-6"/>
                        </w:rPr>
                        <w:t> </w:t>
                      </w:r>
                      <w:r>
                        <w:rPr>
                          <w:color w:val="000000"/>
                        </w:rPr>
                        <w:t>the</w:t>
                      </w:r>
                      <w:r>
                        <w:rPr>
                          <w:color w:val="000000"/>
                          <w:spacing w:val="-7"/>
                        </w:rPr>
                        <w:t> </w:t>
                      </w:r>
                      <w:r>
                        <w:rPr>
                          <w:color w:val="000000"/>
                        </w:rPr>
                        <w:t>east</w:t>
                      </w:r>
                      <w:r>
                        <w:rPr>
                          <w:color w:val="000000"/>
                          <w:spacing w:val="-7"/>
                        </w:rPr>
                        <w:t> </w:t>
                      </w:r>
                      <w:r>
                        <w:rPr>
                          <w:color w:val="000000"/>
                        </w:rPr>
                        <w:t>and</w:t>
                      </w:r>
                      <w:r>
                        <w:rPr>
                          <w:color w:val="000000"/>
                          <w:spacing w:val="-6"/>
                        </w:rPr>
                        <w:t> </w:t>
                      </w:r>
                      <w:r>
                        <w:rPr>
                          <w:color w:val="000000"/>
                        </w:rPr>
                        <w:t>west</w:t>
                      </w:r>
                      <w:r>
                        <w:rPr>
                          <w:color w:val="000000"/>
                          <w:spacing w:val="-7"/>
                        </w:rPr>
                        <w:t> </w:t>
                      </w:r>
                      <w:r>
                        <w:rPr>
                          <w:color w:val="000000"/>
                        </w:rPr>
                        <w:t>slopes of the</w:t>
                      </w:r>
                      <w:r>
                        <w:rPr>
                          <w:color w:val="000000"/>
                          <w:spacing w:val="-2"/>
                        </w:rPr>
                        <w:t> </w:t>
                      </w:r>
                      <w:r>
                        <w:rPr>
                          <w:color w:val="000000"/>
                        </w:rPr>
                        <w:t>Kettle River</w:t>
                      </w:r>
                      <w:r>
                        <w:rPr>
                          <w:color w:val="000000"/>
                          <w:spacing w:val="-2"/>
                        </w:rPr>
                        <w:t> </w:t>
                      </w:r>
                      <w:r>
                        <w:rPr>
                          <w:color w:val="000000"/>
                        </w:rPr>
                        <w:t>Range located</w:t>
                      </w:r>
                      <w:r>
                        <w:rPr>
                          <w:color w:val="000000"/>
                          <w:spacing w:val="-1"/>
                        </w:rPr>
                        <w:t> </w:t>
                      </w:r>
                      <w:r>
                        <w:rPr>
                          <w:color w:val="000000"/>
                        </w:rPr>
                        <w:t>on</w:t>
                      </w:r>
                      <w:r>
                        <w:rPr>
                          <w:color w:val="000000"/>
                          <w:spacing w:val="-1"/>
                        </w:rPr>
                        <w:t> </w:t>
                      </w:r>
                      <w:r>
                        <w:rPr>
                          <w:color w:val="000000"/>
                        </w:rPr>
                        <w:t>both</w:t>
                      </w:r>
                      <w:r>
                        <w:rPr>
                          <w:color w:val="000000"/>
                          <w:spacing w:val="-3"/>
                        </w:rPr>
                        <w:t> </w:t>
                      </w:r>
                      <w:r>
                        <w:rPr>
                          <w:color w:val="000000"/>
                        </w:rPr>
                        <w:t>the north</w:t>
                      </w:r>
                      <w:r>
                        <w:rPr>
                          <w:color w:val="000000"/>
                          <w:spacing w:val="-1"/>
                        </w:rPr>
                        <w:t> </w:t>
                      </w:r>
                      <w:r>
                        <w:rPr>
                          <w:color w:val="000000"/>
                        </w:rPr>
                        <w:t>and</w:t>
                      </w:r>
                      <w:r>
                        <w:rPr>
                          <w:color w:val="000000"/>
                          <w:spacing w:val="-1"/>
                        </w:rPr>
                        <w:t> </w:t>
                      </w:r>
                      <w:r>
                        <w:rPr>
                          <w:color w:val="000000"/>
                        </w:rPr>
                        <w:t>south</w:t>
                      </w:r>
                      <w:r>
                        <w:rPr>
                          <w:color w:val="000000"/>
                          <w:spacing w:val="-1"/>
                        </w:rPr>
                        <w:t> </w:t>
                      </w:r>
                      <w:r>
                        <w:rPr>
                          <w:color w:val="000000"/>
                        </w:rPr>
                        <w:t>sides</w:t>
                      </w:r>
                      <w:r>
                        <w:rPr>
                          <w:color w:val="000000"/>
                          <w:spacing w:val="-2"/>
                        </w:rPr>
                        <w:t> </w:t>
                      </w:r>
                      <w:r>
                        <w:rPr>
                          <w:color w:val="000000"/>
                        </w:rPr>
                        <w:t>of U.S. Highway 20. This area was identified as a recreation area by both motorized and non-motorized recreation interests as well as wilderness supporters and non-wilderness advocates throughout the forest plan revision process. The Kettle Crest was designated as a recreation area for its outstanding four-season motorized and non-motorized trail opportunities located primarily in the higher elevations of the Okanogan Highlands ecoregion. The recreation area’s physical, managerial, and social settings exhibit the undeveloped</w:t>
                      </w:r>
                      <w:r>
                        <w:rPr>
                          <w:color w:val="000000"/>
                          <w:spacing w:val="-6"/>
                        </w:rPr>
                        <w:t> </w:t>
                      </w:r>
                      <w:r>
                        <w:rPr>
                          <w:color w:val="000000"/>
                        </w:rPr>
                        <w:t>natural</w:t>
                      </w:r>
                      <w:r>
                        <w:rPr>
                          <w:color w:val="000000"/>
                          <w:spacing w:val="-5"/>
                        </w:rPr>
                        <w:t> </w:t>
                      </w:r>
                      <w:r>
                        <w:rPr>
                          <w:color w:val="000000"/>
                        </w:rPr>
                        <w:t>setting</w:t>
                      </w:r>
                      <w:r>
                        <w:rPr>
                          <w:color w:val="000000"/>
                          <w:spacing w:val="-6"/>
                        </w:rPr>
                        <w:t> </w:t>
                      </w:r>
                      <w:r>
                        <w:rPr>
                          <w:color w:val="000000"/>
                        </w:rPr>
                        <w:t>and</w:t>
                      </w:r>
                      <w:r>
                        <w:rPr>
                          <w:color w:val="000000"/>
                          <w:spacing w:val="-6"/>
                        </w:rPr>
                        <w:t> </w:t>
                      </w:r>
                      <w:r>
                        <w:rPr>
                          <w:color w:val="000000"/>
                        </w:rPr>
                        <w:t>the</w:t>
                      </w:r>
                      <w:r>
                        <w:rPr>
                          <w:color w:val="000000"/>
                          <w:spacing w:val="-4"/>
                        </w:rPr>
                        <w:t> </w:t>
                      </w:r>
                      <w:r>
                        <w:rPr>
                          <w:color w:val="000000"/>
                        </w:rPr>
                        <w:t>unconfined</w:t>
                      </w:r>
                      <w:r>
                        <w:rPr>
                          <w:color w:val="000000"/>
                          <w:spacing w:val="-8"/>
                        </w:rPr>
                        <w:t> </w:t>
                      </w:r>
                      <w:r>
                        <w:rPr>
                          <w:color w:val="000000"/>
                        </w:rPr>
                        <w:t>opportunities</w:t>
                      </w:r>
                      <w:r>
                        <w:rPr>
                          <w:color w:val="000000"/>
                          <w:spacing w:val="-5"/>
                        </w:rPr>
                        <w:t> </w:t>
                      </w:r>
                      <w:r>
                        <w:rPr>
                          <w:color w:val="000000"/>
                        </w:rPr>
                        <w:t>for</w:t>
                      </w:r>
                      <w:r>
                        <w:rPr>
                          <w:color w:val="000000"/>
                          <w:spacing w:val="-5"/>
                        </w:rPr>
                        <w:t> </w:t>
                      </w:r>
                      <w:r>
                        <w:rPr>
                          <w:color w:val="000000"/>
                        </w:rPr>
                        <w:t>solitude,</w:t>
                      </w:r>
                      <w:r>
                        <w:rPr>
                          <w:color w:val="000000"/>
                          <w:spacing w:val="-7"/>
                        </w:rPr>
                        <w:t> </w:t>
                      </w:r>
                      <w:r>
                        <w:rPr>
                          <w:color w:val="000000"/>
                        </w:rPr>
                        <w:t>exploration, risk, and challenge associated with the unique semi-primitive motorized and semi- primitive non-motorized recreation opportunities available within the management area. The Kettle Crest Recreation Area is prescribed a high scenic integrity objective.</w:t>
                      </w:r>
                    </w:p>
                    <w:p>
                      <w:pPr>
                        <w:pStyle w:val="BodyText"/>
                        <w:spacing w:line="232" w:lineRule="auto" w:before="189"/>
                        <w:ind w:left="28" w:right="49"/>
                        <w:rPr>
                          <w:color w:val="000000"/>
                        </w:rPr>
                      </w:pPr>
                      <w:r>
                        <w:rPr>
                          <w:color w:val="000000"/>
                        </w:rPr>
                        <w:t>The Kettle Crest Recreation Area overlays other management areas including administrative and recreation sites, backcountry, backcountry motorized, focused and general</w:t>
                      </w:r>
                      <w:r>
                        <w:rPr>
                          <w:color w:val="000000"/>
                          <w:spacing w:val="-8"/>
                        </w:rPr>
                        <w:t> </w:t>
                      </w:r>
                      <w:r>
                        <w:rPr>
                          <w:color w:val="000000"/>
                        </w:rPr>
                        <w:t>restoration,</w:t>
                      </w:r>
                      <w:r>
                        <w:rPr>
                          <w:color w:val="000000"/>
                          <w:spacing w:val="-8"/>
                        </w:rPr>
                        <w:t> </w:t>
                      </w:r>
                      <w:r>
                        <w:rPr>
                          <w:color w:val="000000"/>
                        </w:rPr>
                        <w:t>nationally</w:t>
                      </w:r>
                      <w:r>
                        <w:rPr>
                          <w:color w:val="000000"/>
                          <w:spacing w:val="-7"/>
                        </w:rPr>
                        <w:t> </w:t>
                      </w:r>
                      <w:r>
                        <w:rPr>
                          <w:color w:val="000000"/>
                        </w:rPr>
                        <w:t>designated</w:t>
                      </w:r>
                      <w:r>
                        <w:rPr>
                          <w:color w:val="000000"/>
                          <w:spacing w:val="-10"/>
                        </w:rPr>
                        <w:t> </w:t>
                      </w:r>
                      <w:r>
                        <w:rPr>
                          <w:color w:val="000000"/>
                        </w:rPr>
                        <w:t>trails,</w:t>
                      </w:r>
                      <w:r>
                        <w:rPr>
                          <w:color w:val="000000"/>
                          <w:spacing w:val="-8"/>
                        </w:rPr>
                        <w:t> </w:t>
                      </w:r>
                      <w:r>
                        <w:rPr>
                          <w:color w:val="000000"/>
                        </w:rPr>
                        <w:t>riparian</w:t>
                      </w:r>
                      <w:r>
                        <w:rPr>
                          <w:color w:val="000000"/>
                          <w:spacing w:val="-9"/>
                        </w:rPr>
                        <w:t> </w:t>
                      </w:r>
                      <w:r>
                        <w:rPr>
                          <w:color w:val="000000"/>
                        </w:rPr>
                        <w:t>management</w:t>
                      </w:r>
                      <w:r>
                        <w:rPr>
                          <w:color w:val="000000"/>
                          <w:spacing w:val="-7"/>
                        </w:rPr>
                        <w:t> </w:t>
                      </w:r>
                      <w:r>
                        <w:rPr>
                          <w:color w:val="000000"/>
                        </w:rPr>
                        <w:t>areas,</w:t>
                      </w:r>
                      <w:r>
                        <w:rPr>
                          <w:color w:val="000000"/>
                          <w:spacing w:val="-10"/>
                        </w:rPr>
                        <w:t> </w:t>
                      </w:r>
                      <w:r>
                        <w:rPr>
                          <w:color w:val="000000"/>
                        </w:rPr>
                        <w:t>and</w:t>
                      </w:r>
                      <w:r>
                        <w:rPr>
                          <w:color w:val="000000"/>
                          <w:spacing w:val="-9"/>
                        </w:rPr>
                        <w:t> </w:t>
                      </w:r>
                      <w:r>
                        <w:rPr>
                          <w:color w:val="000000"/>
                        </w:rPr>
                        <w:t>scenic byways.</w:t>
                      </w:r>
                      <w:r>
                        <w:rPr>
                          <w:color w:val="000000"/>
                          <w:spacing w:val="-2"/>
                        </w:rPr>
                        <w:t> </w:t>
                      </w:r>
                      <w:r>
                        <w:rPr>
                          <w:color w:val="000000"/>
                        </w:rPr>
                        <w:t>All</w:t>
                      </w:r>
                      <w:r>
                        <w:rPr>
                          <w:color w:val="000000"/>
                          <w:spacing w:val="-5"/>
                        </w:rPr>
                        <w:t> </w:t>
                      </w:r>
                      <w:r>
                        <w:rPr>
                          <w:color w:val="000000"/>
                        </w:rPr>
                        <w:t>sets</w:t>
                      </w:r>
                      <w:r>
                        <w:rPr>
                          <w:color w:val="000000"/>
                          <w:spacing w:val="-4"/>
                        </w:rPr>
                        <w:t> </w:t>
                      </w:r>
                      <w:r>
                        <w:rPr>
                          <w:color w:val="000000"/>
                        </w:rPr>
                        <w:t>of</w:t>
                      </w:r>
                      <w:r>
                        <w:rPr>
                          <w:color w:val="000000"/>
                          <w:spacing w:val="-2"/>
                        </w:rPr>
                        <w:t> </w:t>
                      </w:r>
                      <w:r>
                        <w:rPr>
                          <w:color w:val="000000"/>
                        </w:rPr>
                        <w:t>applicable</w:t>
                      </w:r>
                      <w:r>
                        <w:rPr>
                          <w:color w:val="000000"/>
                          <w:spacing w:val="-1"/>
                        </w:rPr>
                        <w:t> </w:t>
                      </w:r>
                      <w:r>
                        <w:rPr>
                          <w:color w:val="000000"/>
                        </w:rPr>
                        <w:t>Forest</w:t>
                      </w:r>
                      <w:r>
                        <w:rPr>
                          <w:color w:val="000000"/>
                          <w:spacing w:val="-1"/>
                        </w:rPr>
                        <w:t> </w:t>
                      </w:r>
                      <w:r>
                        <w:rPr>
                          <w:color w:val="000000"/>
                        </w:rPr>
                        <w:t>Plan</w:t>
                      </w:r>
                      <w:r>
                        <w:rPr>
                          <w:color w:val="000000"/>
                          <w:spacing w:val="-4"/>
                        </w:rPr>
                        <w:t> </w:t>
                      </w:r>
                      <w:r>
                        <w:rPr>
                          <w:color w:val="000000"/>
                        </w:rPr>
                        <w:t>components</w:t>
                      </w:r>
                      <w:r>
                        <w:rPr>
                          <w:color w:val="000000"/>
                          <w:spacing w:val="-4"/>
                        </w:rPr>
                        <w:t> </w:t>
                      </w:r>
                      <w:r>
                        <w:rPr>
                          <w:color w:val="000000"/>
                        </w:rPr>
                        <w:t>apply;</w:t>
                      </w:r>
                      <w:r>
                        <w:rPr>
                          <w:color w:val="000000"/>
                          <w:spacing w:val="-1"/>
                        </w:rPr>
                        <w:t> </w:t>
                      </w:r>
                      <w:r>
                        <w:rPr>
                          <w:color w:val="000000"/>
                        </w:rPr>
                        <w:t>however,</w:t>
                      </w:r>
                      <w:r>
                        <w:rPr>
                          <w:color w:val="000000"/>
                          <w:spacing w:val="-2"/>
                        </w:rPr>
                        <w:t> </w:t>
                      </w:r>
                      <w:r>
                        <w:rPr>
                          <w:color w:val="000000"/>
                        </w:rPr>
                        <w:t>the</w:t>
                      </w:r>
                      <w:r>
                        <w:rPr>
                          <w:color w:val="000000"/>
                          <w:spacing w:val="-1"/>
                        </w:rPr>
                        <w:t> </w:t>
                      </w:r>
                      <w:r>
                        <w:rPr>
                          <w:color w:val="000000"/>
                        </w:rPr>
                        <w:t>direction</w:t>
                      </w:r>
                      <w:r>
                        <w:rPr>
                          <w:color w:val="000000"/>
                          <w:spacing w:val="-3"/>
                        </w:rPr>
                        <w:t> </w:t>
                      </w:r>
                      <w:r>
                        <w:rPr>
                          <w:color w:val="000000"/>
                        </w:rPr>
                        <w:t>for the management area with the most restrictive direction takes precedence.</w:t>
                      </w:r>
                    </w:p>
                  </w:txbxContent>
                </v:textbox>
                <v:fill type="solid"/>
                <w10:wrap type="topAndBottom"/>
              </v:shape>
            </w:pict>
          </mc:Fallback>
        </mc:AlternateContent>
      </w:r>
      <w:bookmarkStart w:name="Kettle Crest Recreation Area (KCRA)" w:id="793"/>
      <w:bookmarkEnd w:id="793"/>
      <w:r>
        <w:rPr>
          <w:b w:val="0"/>
        </w:rPr>
      </w:r>
      <w:bookmarkStart w:name="_bookmark242" w:id="794"/>
      <w:bookmarkEnd w:id="794"/>
      <w:r>
        <w:rPr>
          <w:b w:val="0"/>
        </w:rPr>
      </w:r>
      <w:r>
        <w:rPr>
          <w:smallCaps/>
          <w:color w:val="475824"/>
        </w:rPr>
        <w:t>Kettle</w:t>
      </w:r>
      <w:r>
        <w:rPr>
          <w:smallCaps/>
          <w:color w:val="475824"/>
          <w:spacing w:val="-7"/>
        </w:rPr>
        <w:t> </w:t>
      </w:r>
      <w:r>
        <w:rPr>
          <w:smallCaps/>
          <w:color w:val="475824"/>
        </w:rPr>
        <w:t>Crest</w:t>
      </w:r>
      <w:r>
        <w:rPr>
          <w:smallCaps/>
          <w:color w:val="475824"/>
          <w:spacing w:val="-7"/>
        </w:rPr>
        <w:t> </w:t>
      </w:r>
      <w:r>
        <w:rPr>
          <w:smallCaps/>
          <w:color w:val="475824"/>
        </w:rPr>
        <w:t>Recreation</w:t>
      </w:r>
      <w:r>
        <w:rPr>
          <w:smallCaps/>
          <w:color w:val="475824"/>
          <w:spacing w:val="-2"/>
        </w:rPr>
        <w:t> </w:t>
      </w:r>
      <w:r>
        <w:rPr>
          <w:smallCaps/>
          <w:color w:val="475824"/>
        </w:rPr>
        <w:t>Area</w:t>
      </w:r>
      <w:r>
        <w:rPr>
          <w:smallCaps/>
          <w:color w:val="475824"/>
          <w:spacing w:val="-10"/>
        </w:rPr>
        <w:t> </w:t>
      </w:r>
      <w:r>
        <w:rPr>
          <w:smallCaps/>
          <w:color w:val="475824"/>
          <w:spacing w:val="-2"/>
        </w:rPr>
        <w:t>(KCRA)</w:t>
      </w:r>
    </w:p>
    <w:p>
      <w:pPr>
        <w:pStyle w:val="Heading4"/>
        <w:spacing w:before="240"/>
        <w:ind w:left="1151"/>
      </w:pPr>
      <w:bookmarkStart w:name="Desired Conditions" w:id="795"/>
      <w:bookmarkEnd w:id="795"/>
      <w:r>
        <w:rPr/>
      </w:r>
      <w:bookmarkStart w:name="_bookmark243" w:id="796"/>
      <w:bookmarkEnd w:id="796"/>
      <w:r>
        <w:rPr/>
      </w:r>
      <w:r>
        <w:rPr/>
        <w:t>Desired</w:t>
      </w:r>
      <w:r>
        <w:rPr>
          <w:spacing w:val="-4"/>
        </w:rPr>
        <w:t> </w:t>
      </w:r>
      <w:r>
        <w:rPr>
          <w:spacing w:val="-2"/>
        </w:rPr>
        <w:t>Conditions</w:t>
      </w:r>
    </w:p>
    <w:p>
      <w:pPr>
        <w:spacing w:before="237"/>
        <w:ind w:left="1151" w:right="0" w:firstLine="0"/>
        <w:jc w:val="left"/>
        <w:rPr>
          <w:rFonts w:ascii="Arial"/>
          <w:i/>
          <w:sz w:val="22"/>
        </w:rPr>
      </w:pPr>
      <w:bookmarkStart w:name="MA-DC-KCRA-01. Natural Landscapes" w:id="797"/>
      <w:bookmarkEnd w:id="797"/>
      <w:r>
        <w:rPr/>
      </w:r>
      <w:r>
        <w:rPr>
          <w:rFonts w:ascii="Arial"/>
          <w:i/>
          <w:sz w:val="22"/>
        </w:rPr>
        <w:t>MA-DC-KCRA-01.</w:t>
      </w:r>
      <w:r>
        <w:rPr>
          <w:rFonts w:ascii="Arial"/>
          <w:i/>
          <w:spacing w:val="-10"/>
          <w:sz w:val="22"/>
        </w:rPr>
        <w:t> </w:t>
      </w:r>
      <w:r>
        <w:rPr>
          <w:rFonts w:ascii="Arial"/>
          <w:i/>
          <w:sz w:val="22"/>
        </w:rPr>
        <w:t>Natural</w:t>
      </w:r>
      <w:r>
        <w:rPr>
          <w:rFonts w:ascii="Arial"/>
          <w:i/>
          <w:spacing w:val="-10"/>
          <w:sz w:val="22"/>
        </w:rPr>
        <w:t> </w:t>
      </w:r>
      <w:r>
        <w:rPr>
          <w:rFonts w:ascii="Arial"/>
          <w:i/>
          <w:spacing w:val="-2"/>
          <w:sz w:val="22"/>
        </w:rPr>
        <w:t>Landscapes</w:t>
      </w:r>
    </w:p>
    <w:p>
      <w:pPr>
        <w:pStyle w:val="BodyText"/>
        <w:spacing w:line="232" w:lineRule="auto" w:before="67"/>
        <w:ind w:left="1152" w:right="807"/>
      </w:pPr>
      <w:r>
        <w:rPr/>
        <w:t>The</w:t>
      </w:r>
      <w:r>
        <w:rPr>
          <w:spacing w:val="-7"/>
        </w:rPr>
        <w:t> </w:t>
      </w:r>
      <w:r>
        <w:rPr/>
        <w:t>recreation</w:t>
      </w:r>
      <w:r>
        <w:rPr>
          <w:spacing w:val="-9"/>
        </w:rPr>
        <w:t> </w:t>
      </w:r>
      <w:r>
        <w:rPr/>
        <w:t>area</w:t>
      </w:r>
      <w:r>
        <w:rPr>
          <w:spacing w:val="-8"/>
        </w:rPr>
        <w:t> </w:t>
      </w:r>
      <w:r>
        <w:rPr/>
        <w:t>displays</w:t>
      </w:r>
      <w:r>
        <w:rPr>
          <w:spacing w:val="-8"/>
        </w:rPr>
        <w:t> </w:t>
      </w:r>
      <w:r>
        <w:rPr/>
        <w:t>natural</w:t>
      </w:r>
      <w:r>
        <w:rPr>
          <w:spacing w:val="-8"/>
        </w:rPr>
        <w:t> </w:t>
      </w:r>
      <w:r>
        <w:rPr/>
        <w:t>landscapes</w:t>
      </w:r>
      <w:r>
        <w:rPr>
          <w:spacing w:val="-8"/>
        </w:rPr>
        <w:t> </w:t>
      </w:r>
      <w:r>
        <w:rPr/>
        <w:t>and</w:t>
      </w:r>
      <w:r>
        <w:rPr>
          <w:spacing w:val="-9"/>
        </w:rPr>
        <w:t> </w:t>
      </w:r>
      <w:r>
        <w:rPr/>
        <w:t>features</w:t>
      </w:r>
      <w:r>
        <w:rPr>
          <w:spacing w:val="-10"/>
        </w:rPr>
        <w:t> </w:t>
      </w:r>
      <w:r>
        <w:rPr/>
        <w:t>where</w:t>
      </w:r>
      <w:r>
        <w:rPr>
          <w:spacing w:val="-11"/>
        </w:rPr>
        <w:t> </w:t>
      </w:r>
      <w:r>
        <w:rPr/>
        <w:t>valued</w:t>
      </w:r>
      <w:r>
        <w:rPr>
          <w:spacing w:val="-9"/>
        </w:rPr>
        <w:t> </w:t>
      </w:r>
      <w:r>
        <w:rPr/>
        <w:t>landscape</w:t>
      </w:r>
      <w:r>
        <w:rPr>
          <w:spacing w:val="-7"/>
        </w:rPr>
        <w:t> </w:t>
      </w:r>
      <w:r>
        <w:rPr/>
        <w:t>character appears intact in a natural-appearing setting (high scenic integrity) within the semi-primitive non-motorized and semi-primitive motorized ROS classes.</w:t>
      </w:r>
    </w:p>
    <w:p>
      <w:pPr>
        <w:pStyle w:val="BodyText"/>
        <w:spacing w:line="232" w:lineRule="auto" w:before="198"/>
        <w:ind w:left="1151" w:right="801"/>
      </w:pPr>
      <w:r>
        <w:rPr/>
        <w:t>The</w:t>
      </w:r>
      <w:r>
        <w:rPr>
          <w:spacing w:val="-7"/>
        </w:rPr>
        <w:t> </w:t>
      </w:r>
      <w:r>
        <w:rPr/>
        <w:t>recreation</w:t>
      </w:r>
      <w:r>
        <w:rPr>
          <w:spacing w:val="-9"/>
        </w:rPr>
        <w:t> </w:t>
      </w:r>
      <w:r>
        <w:rPr/>
        <w:t>area</w:t>
      </w:r>
      <w:r>
        <w:rPr>
          <w:spacing w:val="-8"/>
        </w:rPr>
        <w:t> </w:t>
      </w:r>
      <w:r>
        <w:rPr/>
        <w:t>provides</w:t>
      </w:r>
      <w:r>
        <w:rPr>
          <w:spacing w:val="-8"/>
        </w:rPr>
        <w:t> </w:t>
      </w:r>
      <w:r>
        <w:rPr/>
        <w:t>opportunities</w:t>
      </w:r>
      <w:r>
        <w:rPr>
          <w:spacing w:val="-8"/>
        </w:rPr>
        <w:t> </w:t>
      </w:r>
      <w:r>
        <w:rPr/>
        <w:t>to</w:t>
      </w:r>
      <w:r>
        <w:rPr>
          <w:spacing w:val="-9"/>
        </w:rPr>
        <w:t> </w:t>
      </w:r>
      <w:r>
        <w:rPr/>
        <w:t>view</w:t>
      </w:r>
      <w:r>
        <w:rPr>
          <w:spacing w:val="-7"/>
        </w:rPr>
        <w:t> </w:t>
      </w:r>
      <w:r>
        <w:rPr/>
        <w:t>high-quality</w:t>
      </w:r>
      <w:r>
        <w:rPr>
          <w:spacing w:val="-7"/>
        </w:rPr>
        <w:t> </w:t>
      </w:r>
      <w:r>
        <w:rPr/>
        <w:t>scenery,</w:t>
      </w:r>
      <w:r>
        <w:rPr>
          <w:spacing w:val="-8"/>
        </w:rPr>
        <w:t> </w:t>
      </w:r>
      <w:r>
        <w:rPr/>
        <w:t>historical</w:t>
      </w:r>
      <w:r>
        <w:rPr>
          <w:spacing w:val="-8"/>
        </w:rPr>
        <w:t> </w:t>
      </w:r>
      <w:r>
        <w:rPr/>
        <w:t>and</w:t>
      </w:r>
      <w:r>
        <w:rPr>
          <w:spacing w:val="-9"/>
        </w:rPr>
        <w:t> </w:t>
      </w:r>
      <w:r>
        <w:rPr/>
        <w:t>natural features (high scenic integrity) within the roaded natural ROS class.</w:t>
      </w:r>
    </w:p>
    <w:p>
      <w:pPr>
        <w:pStyle w:val="BodyText"/>
        <w:spacing w:line="232" w:lineRule="auto" w:before="199"/>
        <w:ind w:left="1151" w:right="1073"/>
      </w:pPr>
      <w:r>
        <w:rPr/>
        <w:t>Viewsheds</w:t>
      </w:r>
      <w:r>
        <w:rPr>
          <w:spacing w:val="-8"/>
        </w:rPr>
        <w:t> </w:t>
      </w:r>
      <w:r>
        <w:rPr/>
        <w:t>across</w:t>
      </w:r>
      <w:r>
        <w:rPr>
          <w:spacing w:val="-8"/>
        </w:rPr>
        <w:t> </w:t>
      </w:r>
      <w:r>
        <w:rPr/>
        <w:t>the</w:t>
      </w:r>
      <w:r>
        <w:rPr>
          <w:spacing w:val="-8"/>
        </w:rPr>
        <w:t> </w:t>
      </w:r>
      <w:r>
        <w:rPr/>
        <w:t>entire</w:t>
      </w:r>
      <w:r>
        <w:rPr>
          <w:spacing w:val="-5"/>
        </w:rPr>
        <w:t> </w:t>
      </w:r>
      <w:r>
        <w:rPr/>
        <w:t>recreation</w:t>
      </w:r>
      <w:r>
        <w:rPr>
          <w:spacing w:val="-6"/>
        </w:rPr>
        <w:t> </w:t>
      </w:r>
      <w:r>
        <w:rPr/>
        <w:t>area</w:t>
      </w:r>
      <w:r>
        <w:rPr>
          <w:spacing w:val="-8"/>
        </w:rPr>
        <w:t> </w:t>
      </w:r>
      <w:r>
        <w:rPr/>
        <w:t>enhance</w:t>
      </w:r>
      <w:r>
        <w:rPr>
          <w:spacing w:val="-8"/>
        </w:rPr>
        <w:t> </w:t>
      </w:r>
      <w:r>
        <w:rPr/>
        <w:t>recreation</w:t>
      </w:r>
      <w:r>
        <w:rPr>
          <w:spacing w:val="-9"/>
        </w:rPr>
        <w:t> </w:t>
      </w:r>
      <w:r>
        <w:rPr/>
        <w:t>tourism</w:t>
      </w:r>
      <w:r>
        <w:rPr>
          <w:spacing w:val="-7"/>
        </w:rPr>
        <w:t> </w:t>
      </w:r>
      <w:r>
        <w:rPr/>
        <w:t>opportunities</w:t>
      </w:r>
      <w:r>
        <w:rPr>
          <w:spacing w:val="-6"/>
        </w:rPr>
        <w:t> </w:t>
      </w:r>
      <w:r>
        <w:rPr/>
        <w:t>that support local communities.</w:t>
      </w:r>
    </w:p>
    <w:p>
      <w:pPr>
        <w:spacing w:before="234"/>
        <w:ind w:left="1151" w:right="0" w:firstLine="0"/>
        <w:jc w:val="left"/>
        <w:rPr>
          <w:rFonts w:ascii="Arial"/>
          <w:i/>
          <w:sz w:val="22"/>
        </w:rPr>
      </w:pPr>
      <w:bookmarkStart w:name="MA-DC-KCRA-02. Developments" w:id="798"/>
      <w:bookmarkEnd w:id="798"/>
      <w:r>
        <w:rPr/>
      </w:r>
      <w:r>
        <w:rPr>
          <w:rFonts w:ascii="Arial"/>
          <w:i/>
          <w:sz w:val="22"/>
        </w:rPr>
        <w:t>MA-DC-KCRA-02.</w:t>
      </w:r>
      <w:r>
        <w:rPr>
          <w:rFonts w:ascii="Arial"/>
          <w:i/>
          <w:spacing w:val="-12"/>
          <w:sz w:val="22"/>
        </w:rPr>
        <w:t> </w:t>
      </w:r>
      <w:r>
        <w:rPr>
          <w:rFonts w:ascii="Arial"/>
          <w:i/>
          <w:spacing w:val="-2"/>
          <w:sz w:val="22"/>
        </w:rPr>
        <w:t>Developments</w:t>
      </w:r>
    </w:p>
    <w:p>
      <w:pPr>
        <w:pStyle w:val="BodyText"/>
        <w:spacing w:line="232" w:lineRule="auto" w:before="65"/>
        <w:ind w:left="1151" w:right="801"/>
      </w:pPr>
      <w:r>
        <w:rPr/>
        <w:t>Recreation developments within the management area reflect a consistent design theme unique</w:t>
      </w:r>
      <w:r>
        <w:rPr>
          <w:spacing w:val="-4"/>
        </w:rPr>
        <w:t> </w:t>
      </w:r>
      <w:r>
        <w:rPr/>
        <w:t>to</w:t>
      </w:r>
      <w:r>
        <w:rPr>
          <w:spacing w:val="-4"/>
        </w:rPr>
        <w:t> </w:t>
      </w:r>
      <w:r>
        <w:rPr/>
        <w:t>the</w:t>
      </w:r>
      <w:r>
        <w:rPr>
          <w:spacing w:val="-4"/>
        </w:rPr>
        <w:t> </w:t>
      </w:r>
      <w:r>
        <w:rPr/>
        <w:t>area,</w:t>
      </w:r>
      <w:r>
        <w:rPr>
          <w:spacing w:val="-5"/>
        </w:rPr>
        <w:t> </w:t>
      </w:r>
      <w:r>
        <w:rPr/>
        <w:t>are</w:t>
      </w:r>
      <w:r>
        <w:rPr>
          <w:spacing w:val="-4"/>
        </w:rPr>
        <w:t> </w:t>
      </w:r>
      <w:r>
        <w:rPr/>
        <w:t>universally</w:t>
      </w:r>
      <w:r>
        <w:rPr>
          <w:spacing w:val="-6"/>
        </w:rPr>
        <w:t> </w:t>
      </w:r>
      <w:r>
        <w:rPr/>
        <w:t>accessible,</w:t>
      </w:r>
      <w:r>
        <w:rPr>
          <w:spacing w:val="-5"/>
        </w:rPr>
        <w:t> </w:t>
      </w:r>
      <w:r>
        <w:rPr/>
        <w:t>are</w:t>
      </w:r>
      <w:r>
        <w:rPr>
          <w:spacing w:val="-4"/>
        </w:rPr>
        <w:t> </w:t>
      </w:r>
      <w:r>
        <w:rPr/>
        <w:t>necessary</w:t>
      </w:r>
      <w:r>
        <w:rPr>
          <w:spacing w:val="-4"/>
        </w:rPr>
        <w:t> </w:t>
      </w:r>
      <w:r>
        <w:rPr/>
        <w:t>for</w:t>
      </w:r>
      <w:r>
        <w:rPr>
          <w:spacing w:val="-5"/>
        </w:rPr>
        <w:t> </w:t>
      </w:r>
      <w:r>
        <w:rPr/>
        <w:t>public</w:t>
      </w:r>
      <w:r>
        <w:rPr>
          <w:spacing w:val="-5"/>
        </w:rPr>
        <w:t> </w:t>
      </w:r>
      <w:r>
        <w:rPr/>
        <w:t>enjoyment</w:t>
      </w:r>
      <w:r>
        <w:rPr>
          <w:spacing w:val="-4"/>
        </w:rPr>
        <w:t> </w:t>
      </w:r>
      <w:r>
        <w:rPr/>
        <w:t>of</w:t>
      </w:r>
      <w:r>
        <w:rPr>
          <w:spacing w:val="-7"/>
        </w:rPr>
        <w:t> </w:t>
      </w:r>
      <w:r>
        <w:rPr/>
        <w:t>the</w:t>
      </w:r>
      <w:r>
        <w:rPr>
          <w:spacing w:val="-4"/>
        </w:rPr>
        <w:t> </w:t>
      </w:r>
      <w:r>
        <w:rPr/>
        <w:t>area, and support the unique recreational trail opportunities of the area without disturbing the special features of the recreation area.</w:t>
      </w:r>
    </w:p>
    <w:p>
      <w:pPr>
        <w:pStyle w:val="BodyText"/>
        <w:spacing w:line="232" w:lineRule="auto" w:before="199"/>
        <w:ind w:left="1151" w:right="1073"/>
      </w:pPr>
      <w:r>
        <w:rPr/>
        <w:t>Developments</w:t>
      </w:r>
      <w:r>
        <w:rPr>
          <w:spacing w:val="-5"/>
        </w:rPr>
        <w:t> </w:t>
      </w:r>
      <w:r>
        <w:rPr/>
        <w:t>such</w:t>
      </w:r>
      <w:r>
        <w:rPr>
          <w:spacing w:val="-6"/>
        </w:rPr>
        <w:t> </w:t>
      </w:r>
      <w:r>
        <w:rPr/>
        <w:t>as</w:t>
      </w:r>
      <w:r>
        <w:rPr>
          <w:spacing w:val="-5"/>
        </w:rPr>
        <w:t> </w:t>
      </w:r>
      <w:r>
        <w:rPr/>
        <w:t>stock</w:t>
      </w:r>
      <w:r>
        <w:rPr>
          <w:spacing w:val="-4"/>
        </w:rPr>
        <w:t> </w:t>
      </w:r>
      <w:r>
        <w:rPr/>
        <w:t>tanks,</w:t>
      </w:r>
      <w:r>
        <w:rPr>
          <w:spacing w:val="-7"/>
        </w:rPr>
        <w:t> </w:t>
      </w:r>
      <w:r>
        <w:rPr/>
        <w:t>stock</w:t>
      </w:r>
      <w:r>
        <w:rPr>
          <w:spacing w:val="-7"/>
        </w:rPr>
        <w:t> </w:t>
      </w:r>
      <w:r>
        <w:rPr/>
        <w:t>corrals,</w:t>
      </w:r>
      <w:r>
        <w:rPr>
          <w:spacing w:val="-7"/>
        </w:rPr>
        <w:t> </w:t>
      </w:r>
      <w:r>
        <w:rPr/>
        <w:t>and</w:t>
      </w:r>
      <w:r>
        <w:rPr>
          <w:spacing w:val="-6"/>
        </w:rPr>
        <w:t> </w:t>
      </w:r>
      <w:r>
        <w:rPr/>
        <w:t>fences</w:t>
      </w:r>
      <w:r>
        <w:rPr>
          <w:spacing w:val="-5"/>
        </w:rPr>
        <w:t> </w:t>
      </w:r>
      <w:r>
        <w:rPr/>
        <w:t>blend</w:t>
      </w:r>
      <w:r>
        <w:rPr>
          <w:spacing w:val="-6"/>
        </w:rPr>
        <w:t> </w:t>
      </w:r>
      <w:r>
        <w:rPr/>
        <w:t>in</w:t>
      </w:r>
      <w:r>
        <w:rPr>
          <w:spacing w:val="-8"/>
        </w:rPr>
        <w:t> </w:t>
      </w:r>
      <w:r>
        <w:rPr/>
        <w:t>with</w:t>
      </w:r>
      <w:r>
        <w:rPr>
          <w:spacing w:val="-8"/>
        </w:rPr>
        <w:t> </w:t>
      </w:r>
      <w:r>
        <w:rPr/>
        <w:t>the</w:t>
      </w:r>
      <w:r>
        <w:rPr>
          <w:spacing w:val="-4"/>
        </w:rPr>
        <w:t> </w:t>
      </w:r>
      <w:r>
        <w:rPr/>
        <w:t>natural surroundings or are not visible from primary trail systems and campsites.</w:t>
      </w:r>
    </w:p>
    <w:p>
      <w:pPr>
        <w:spacing w:before="234"/>
        <w:ind w:left="1151" w:right="0" w:firstLine="0"/>
        <w:jc w:val="left"/>
        <w:rPr>
          <w:rFonts w:ascii="Arial"/>
          <w:i/>
          <w:sz w:val="22"/>
        </w:rPr>
      </w:pPr>
      <w:bookmarkStart w:name="MA-DC-KCRA-03. Wildlife" w:id="799"/>
      <w:bookmarkEnd w:id="799"/>
      <w:r>
        <w:rPr/>
      </w:r>
      <w:r>
        <w:rPr>
          <w:rFonts w:ascii="Arial"/>
          <w:i/>
          <w:sz w:val="22"/>
        </w:rPr>
        <w:t>MA-DC-KCRA-03.</w:t>
      </w:r>
      <w:r>
        <w:rPr>
          <w:rFonts w:ascii="Arial"/>
          <w:i/>
          <w:spacing w:val="-15"/>
          <w:sz w:val="22"/>
        </w:rPr>
        <w:t> </w:t>
      </w:r>
      <w:r>
        <w:rPr>
          <w:rFonts w:ascii="Arial"/>
          <w:i/>
          <w:spacing w:val="-2"/>
          <w:sz w:val="22"/>
        </w:rPr>
        <w:t>Wildlife</w:t>
      </w:r>
    </w:p>
    <w:p>
      <w:pPr>
        <w:pStyle w:val="BodyText"/>
        <w:spacing w:line="232" w:lineRule="auto" w:before="65"/>
        <w:ind w:left="1151" w:right="1073"/>
      </w:pPr>
      <w:r>
        <w:rPr/>
        <w:t>The</w:t>
      </w:r>
      <w:r>
        <w:rPr>
          <w:spacing w:val="-6"/>
        </w:rPr>
        <w:t> </w:t>
      </w:r>
      <w:r>
        <w:rPr/>
        <w:t>area</w:t>
      </w:r>
      <w:r>
        <w:rPr>
          <w:spacing w:val="-7"/>
        </w:rPr>
        <w:t> </w:t>
      </w:r>
      <w:r>
        <w:rPr/>
        <w:t>contributes</w:t>
      </w:r>
      <w:r>
        <w:rPr>
          <w:spacing w:val="-7"/>
        </w:rPr>
        <w:t> </w:t>
      </w:r>
      <w:r>
        <w:rPr/>
        <w:t>to</w:t>
      </w:r>
      <w:r>
        <w:rPr>
          <w:spacing w:val="-6"/>
        </w:rPr>
        <w:t> </w:t>
      </w:r>
      <w:r>
        <w:rPr/>
        <w:t>conserving</w:t>
      </w:r>
      <w:r>
        <w:rPr>
          <w:spacing w:val="-8"/>
        </w:rPr>
        <w:t> </w:t>
      </w:r>
      <w:r>
        <w:rPr/>
        <w:t>natural</w:t>
      </w:r>
      <w:r>
        <w:rPr>
          <w:spacing w:val="-7"/>
        </w:rPr>
        <w:t> </w:t>
      </w:r>
      <w:r>
        <w:rPr/>
        <w:t>habitats</w:t>
      </w:r>
      <w:r>
        <w:rPr>
          <w:spacing w:val="-7"/>
        </w:rPr>
        <w:t> </w:t>
      </w:r>
      <w:r>
        <w:rPr/>
        <w:t>and</w:t>
      </w:r>
      <w:r>
        <w:rPr>
          <w:spacing w:val="-8"/>
        </w:rPr>
        <w:t> </w:t>
      </w:r>
      <w:r>
        <w:rPr/>
        <w:t>processes</w:t>
      </w:r>
      <w:r>
        <w:rPr>
          <w:spacing w:val="-7"/>
        </w:rPr>
        <w:t> </w:t>
      </w:r>
      <w:r>
        <w:rPr/>
        <w:t>that</w:t>
      </w:r>
      <w:r>
        <w:rPr>
          <w:spacing w:val="-9"/>
        </w:rPr>
        <w:t> </w:t>
      </w:r>
      <w:r>
        <w:rPr/>
        <w:t>sustain</w:t>
      </w:r>
      <w:r>
        <w:rPr>
          <w:spacing w:val="-10"/>
        </w:rPr>
        <w:t> </w:t>
      </w:r>
      <w:r>
        <w:rPr/>
        <w:t>wildlife populations and provides opportunities to observe wildlife in their natural habitats.</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360" w:right="0" w:firstLine="0"/>
        <w:jc w:val="left"/>
        <w:rPr>
          <w:rFonts w:ascii="Arial"/>
          <w:i/>
          <w:sz w:val="22"/>
        </w:rPr>
      </w:pPr>
      <w:bookmarkStart w:name="MA-DC-KCRA-04. Ecological Processes" w:id="800"/>
      <w:bookmarkEnd w:id="800"/>
      <w:r>
        <w:rPr/>
      </w:r>
      <w:r>
        <w:rPr>
          <w:rFonts w:ascii="Arial"/>
          <w:i/>
          <w:sz w:val="22"/>
        </w:rPr>
        <w:t>MA-DC-KCRA-04.</w:t>
      </w:r>
      <w:r>
        <w:rPr>
          <w:rFonts w:ascii="Arial"/>
          <w:i/>
          <w:spacing w:val="-12"/>
          <w:sz w:val="22"/>
        </w:rPr>
        <w:t> </w:t>
      </w:r>
      <w:r>
        <w:rPr>
          <w:rFonts w:ascii="Arial"/>
          <w:i/>
          <w:sz w:val="22"/>
        </w:rPr>
        <w:t>Ecological</w:t>
      </w:r>
      <w:r>
        <w:rPr>
          <w:rFonts w:ascii="Arial"/>
          <w:i/>
          <w:spacing w:val="-12"/>
          <w:sz w:val="22"/>
        </w:rPr>
        <w:t> </w:t>
      </w:r>
      <w:r>
        <w:rPr>
          <w:rFonts w:ascii="Arial"/>
          <w:i/>
          <w:spacing w:val="-2"/>
          <w:sz w:val="22"/>
        </w:rPr>
        <w:t>Processes</w:t>
      </w:r>
    </w:p>
    <w:p>
      <w:pPr>
        <w:pStyle w:val="BodyText"/>
        <w:spacing w:line="232" w:lineRule="auto" w:before="65"/>
        <w:ind w:left="359" w:right="1445"/>
      </w:pPr>
      <w:r>
        <w:rPr/>
        <w:t>Ecological</w:t>
      </w:r>
      <w:r>
        <w:rPr>
          <w:spacing w:val="-6"/>
        </w:rPr>
        <w:t> </w:t>
      </w:r>
      <w:r>
        <w:rPr/>
        <w:t>conditions</w:t>
      </w:r>
      <w:r>
        <w:rPr>
          <w:spacing w:val="-6"/>
        </w:rPr>
        <w:t> </w:t>
      </w:r>
      <w:r>
        <w:rPr/>
        <w:t>in</w:t>
      </w:r>
      <w:r>
        <w:rPr>
          <w:spacing w:val="-9"/>
        </w:rPr>
        <w:t> </w:t>
      </w:r>
      <w:r>
        <w:rPr/>
        <w:t>the</w:t>
      </w:r>
      <w:r>
        <w:rPr>
          <w:spacing w:val="-8"/>
        </w:rPr>
        <w:t> </w:t>
      </w:r>
      <w:r>
        <w:rPr/>
        <w:t>semi-primitive</w:t>
      </w:r>
      <w:r>
        <w:rPr>
          <w:spacing w:val="-6"/>
        </w:rPr>
        <w:t> </w:t>
      </w:r>
      <w:r>
        <w:rPr/>
        <w:t>non-motorized</w:t>
      </w:r>
      <w:r>
        <w:rPr>
          <w:spacing w:val="-7"/>
        </w:rPr>
        <w:t> </w:t>
      </w:r>
      <w:r>
        <w:rPr/>
        <w:t>and</w:t>
      </w:r>
      <w:r>
        <w:rPr>
          <w:spacing w:val="-7"/>
        </w:rPr>
        <w:t> </w:t>
      </w:r>
      <w:r>
        <w:rPr/>
        <w:t>semi-primitive</w:t>
      </w:r>
      <w:r>
        <w:rPr>
          <w:spacing w:val="-8"/>
        </w:rPr>
        <w:t> </w:t>
      </w:r>
      <w:r>
        <w:rPr/>
        <w:t>motorized</w:t>
      </w:r>
      <w:r>
        <w:rPr>
          <w:spacing w:val="-7"/>
        </w:rPr>
        <w:t> </w:t>
      </w:r>
      <w:r>
        <w:rPr/>
        <w:t>ROS classes are affected primarily by natural ecological processes, with the appearance of little human intervention.</w:t>
      </w:r>
    </w:p>
    <w:p>
      <w:pPr>
        <w:pStyle w:val="BodyText"/>
        <w:spacing w:before="194"/>
        <w:ind w:left="359"/>
      </w:pPr>
      <w:r>
        <w:rPr/>
        <w:t>Fire</w:t>
      </w:r>
      <w:r>
        <w:rPr>
          <w:spacing w:val="-5"/>
        </w:rPr>
        <w:t> </w:t>
      </w:r>
      <w:r>
        <w:rPr/>
        <w:t>functions</w:t>
      </w:r>
      <w:r>
        <w:rPr>
          <w:spacing w:val="-6"/>
        </w:rPr>
        <w:t> </w:t>
      </w:r>
      <w:r>
        <w:rPr/>
        <w:t>as</w:t>
      </w:r>
      <w:r>
        <w:rPr>
          <w:spacing w:val="-5"/>
        </w:rPr>
        <w:t> </w:t>
      </w:r>
      <w:r>
        <w:rPr/>
        <w:t>a</w:t>
      </w:r>
      <w:r>
        <w:rPr>
          <w:spacing w:val="-8"/>
        </w:rPr>
        <w:t> </w:t>
      </w:r>
      <w:r>
        <w:rPr/>
        <w:t>natural</w:t>
      </w:r>
      <w:r>
        <w:rPr>
          <w:spacing w:val="-8"/>
        </w:rPr>
        <w:t> </w:t>
      </w:r>
      <w:r>
        <w:rPr/>
        <w:t>ecological</w:t>
      </w:r>
      <w:r>
        <w:rPr>
          <w:spacing w:val="-5"/>
        </w:rPr>
        <w:t> </w:t>
      </w:r>
      <w:r>
        <w:rPr>
          <w:spacing w:val="-2"/>
        </w:rPr>
        <w:t>process.</w:t>
      </w:r>
    </w:p>
    <w:p>
      <w:pPr>
        <w:pStyle w:val="BodyText"/>
        <w:spacing w:before="190"/>
        <w:ind w:left="359"/>
      </w:pPr>
      <w:r>
        <w:rPr/>
        <w:t>The</w:t>
      </w:r>
      <w:r>
        <w:rPr>
          <w:spacing w:val="-7"/>
        </w:rPr>
        <w:t> </w:t>
      </w:r>
      <w:r>
        <w:rPr/>
        <w:t>recreation</w:t>
      </w:r>
      <w:r>
        <w:rPr>
          <w:spacing w:val="-8"/>
        </w:rPr>
        <w:t> </w:t>
      </w:r>
      <w:r>
        <w:rPr/>
        <w:t>area</w:t>
      </w:r>
      <w:r>
        <w:rPr>
          <w:spacing w:val="-7"/>
        </w:rPr>
        <w:t> </w:t>
      </w:r>
      <w:r>
        <w:rPr/>
        <w:t>is</w:t>
      </w:r>
      <w:r>
        <w:rPr>
          <w:spacing w:val="-9"/>
        </w:rPr>
        <w:t> </w:t>
      </w:r>
      <w:r>
        <w:rPr/>
        <w:t>generally</w:t>
      </w:r>
      <w:r>
        <w:rPr>
          <w:spacing w:val="-6"/>
        </w:rPr>
        <w:t> </w:t>
      </w:r>
      <w:r>
        <w:rPr/>
        <w:t>free</w:t>
      </w:r>
      <w:r>
        <w:rPr>
          <w:spacing w:val="-9"/>
        </w:rPr>
        <w:t> </w:t>
      </w:r>
      <w:r>
        <w:rPr/>
        <w:t>of</w:t>
      </w:r>
      <w:r>
        <w:rPr>
          <w:spacing w:val="-7"/>
        </w:rPr>
        <w:t> </w:t>
      </w:r>
      <w:r>
        <w:rPr/>
        <w:t>invasive</w:t>
      </w:r>
      <w:r>
        <w:rPr>
          <w:spacing w:val="-8"/>
        </w:rPr>
        <w:t> </w:t>
      </w:r>
      <w:r>
        <w:rPr>
          <w:spacing w:val="-2"/>
        </w:rPr>
        <w:t>species.</w:t>
      </w:r>
    </w:p>
    <w:p>
      <w:pPr>
        <w:pStyle w:val="BodyText"/>
        <w:spacing w:line="232" w:lineRule="auto" w:before="198"/>
        <w:ind w:left="359" w:right="1621"/>
      </w:pPr>
      <w:r>
        <w:rPr/>
        <w:t>Native species</w:t>
      </w:r>
      <w:r>
        <w:rPr>
          <w:spacing w:val="-2"/>
        </w:rPr>
        <w:t> </w:t>
      </w:r>
      <w:r>
        <w:rPr/>
        <w:t>and</w:t>
      </w:r>
      <w:r>
        <w:rPr>
          <w:spacing w:val="-1"/>
        </w:rPr>
        <w:t> </w:t>
      </w:r>
      <w:r>
        <w:rPr/>
        <w:t>native</w:t>
      </w:r>
      <w:r>
        <w:rPr>
          <w:spacing w:val="-2"/>
        </w:rPr>
        <w:t> </w:t>
      </w:r>
      <w:r>
        <w:rPr/>
        <w:t>plant communities are the desired</w:t>
      </w:r>
      <w:r>
        <w:rPr>
          <w:spacing w:val="-1"/>
        </w:rPr>
        <w:t> </w:t>
      </w:r>
      <w:r>
        <w:rPr/>
        <w:t>dominant</w:t>
      </w:r>
      <w:r>
        <w:rPr>
          <w:spacing w:val="-2"/>
        </w:rPr>
        <w:t> </w:t>
      </w:r>
      <w:r>
        <w:rPr/>
        <w:t>vegetation</w:t>
      </w:r>
      <w:r>
        <w:rPr>
          <w:spacing w:val="-1"/>
        </w:rPr>
        <w:t> </w:t>
      </w:r>
      <w:r>
        <w:rPr/>
        <w:t>throughout the recreation area. Little evidence of human impacts on native vegetation exists outside of high</w:t>
      </w:r>
      <w:r>
        <w:rPr>
          <w:spacing w:val="-5"/>
        </w:rPr>
        <w:t> </w:t>
      </w:r>
      <w:r>
        <w:rPr/>
        <w:t>use</w:t>
      </w:r>
      <w:r>
        <w:rPr>
          <w:spacing w:val="-3"/>
        </w:rPr>
        <w:t> </w:t>
      </w:r>
      <w:r>
        <w:rPr/>
        <w:t>areas,</w:t>
      </w:r>
      <w:r>
        <w:rPr>
          <w:spacing w:val="-6"/>
        </w:rPr>
        <w:t> </w:t>
      </w:r>
      <w:r>
        <w:rPr/>
        <w:t>such</w:t>
      </w:r>
      <w:r>
        <w:rPr>
          <w:spacing w:val="-5"/>
        </w:rPr>
        <w:t> </w:t>
      </w:r>
      <w:r>
        <w:rPr/>
        <w:t>as</w:t>
      </w:r>
      <w:r>
        <w:rPr>
          <w:spacing w:val="-6"/>
        </w:rPr>
        <w:t> </w:t>
      </w:r>
      <w:r>
        <w:rPr/>
        <w:t>campsites,</w:t>
      </w:r>
      <w:r>
        <w:rPr>
          <w:spacing w:val="-6"/>
        </w:rPr>
        <w:t> </w:t>
      </w:r>
      <w:r>
        <w:rPr/>
        <w:t>within</w:t>
      </w:r>
      <w:r>
        <w:rPr>
          <w:spacing w:val="-7"/>
        </w:rPr>
        <w:t> </w:t>
      </w:r>
      <w:r>
        <w:rPr/>
        <w:t>the</w:t>
      </w:r>
      <w:r>
        <w:rPr>
          <w:spacing w:val="-3"/>
        </w:rPr>
        <w:t> </w:t>
      </w:r>
      <w:r>
        <w:rPr/>
        <w:t>semi-primitive</w:t>
      </w:r>
      <w:r>
        <w:rPr>
          <w:spacing w:val="-3"/>
        </w:rPr>
        <w:t> </w:t>
      </w:r>
      <w:r>
        <w:rPr/>
        <w:t>non-motorized</w:t>
      </w:r>
      <w:r>
        <w:rPr>
          <w:spacing w:val="-5"/>
        </w:rPr>
        <w:t> </w:t>
      </w:r>
      <w:r>
        <w:rPr/>
        <w:t>and</w:t>
      </w:r>
      <w:r>
        <w:rPr>
          <w:spacing w:val="-7"/>
        </w:rPr>
        <w:t> </w:t>
      </w:r>
      <w:r>
        <w:rPr/>
        <w:t>semi-primitive motorized ROS classes.</w:t>
      </w:r>
    </w:p>
    <w:p>
      <w:pPr>
        <w:spacing w:before="234"/>
        <w:ind w:left="359" w:right="0" w:firstLine="0"/>
        <w:jc w:val="left"/>
        <w:rPr>
          <w:rFonts w:ascii="Arial"/>
          <w:i/>
          <w:sz w:val="22"/>
        </w:rPr>
      </w:pPr>
      <w:bookmarkStart w:name="MA-DC-KCRA-05. Visitor Use" w:id="801"/>
      <w:bookmarkEnd w:id="801"/>
      <w:r>
        <w:rPr/>
      </w:r>
      <w:r>
        <w:rPr>
          <w:rFonts w:ascii="Arial"/>
          <w:i/>
          <w:sz w:val="22"/>
        </w:rPr>
        <w:t>MA-DC-KCRA-05.</w:t>
      </w:r>
      <w:r>
        <w:rPr>
          <w:rFonts w:ascii="Arial"/>
          <w:i/>
          <w:spacing w:val="-9"/>
          <w:sz w:val="22"/>
        </w:rPr>
        <w:t> </w:t>
      </w:r>
      <w:r>
        <w:rPr>
          <w:rFonts w:ascii="Arial"/>
          <w:i/>
          <w:sz w:val="22"/>
        </w:rPr>
        <w:t>Visitor</w:t>
      </w:r>
      <w:r>
        <w:rPr>
          <w:rFonts w:ascii="Arial"/>
          <w:i/>
          <w:spacing w:val="-8"/>
          <w:sz w:val="22"/>
        </w:rPr>
        <w:t> </w:t>
      </w:r>
      <w:r>
        <w:rPr>
          <w:rFonts w:ascii="Arial"/>
          <w:i/>
          <w:spacing w:val="-5"/>
          <w:sz w:val="22"/>
        </w:rPr>
        <w:t>Use</w:t>
      </w:r>
    </w:p>
    <w:p>
      <w:pPr>
        <w:pStyle w:val="BodyText"/>
        <w:spacing w:line="232" w:lineRule="auto" w:before="65"/>
        <w:ind w:left="359" w:right="1073"/>
      </w:pPr>
      <w:r>
        <w:rPr/>
        <w:t>Visitor use does not negatively affect the recreation area’s undeveloped, natural setting or the unconfined</w:t>
      </w:r>
      <w:r>
        <w:rPr>
          <w:spacing w:val="-6"/>
        </w:rPr>
        <w:t> </w:t>
      </w:r>
      <w:r>
        <w:rPr/>
        <w:t>opportunities</w:t>
      </w:r>
      <w:r>
        <w:rPr>
          <w:spacing w:val="-5"/>
        </w:rPr>
        <w:t> </w:t>
      </w:r>
      <w:r>
        <w:rPr/>
        <w:t>for</w:t>
      </w:r>
      <w:r>
        <w:rPr>
          <w:spacing w:val="-5"/>
        </w:rPr>
        <w:t> </w:t>
      </w:r>
      <w:r>
        <w:rPr/>
        <w:t>solitude,</w:t>
      </w:r>
      <w:r>
        <w:rPr>
          <w:spacing w:val="-7"/>
        </w:rPr>
        <w:t> </w:t>
      </w:r>
      <w:r>
        <w:rPr/>
        <w:t>exploration,</w:t>
      </w:r>
      <w:r>
        <w:rPr>
          <w:spacing w:val="-5"/>
        </w:rPr>
        <w:t> </w:t>
      </w:r>
      <w:r>
        <w:rPr/>
        <w:t>risk,</w:t>
      </w:r>
      <w:r>
        <w:rPr>
          <w:spacing w:val="-5"/>
        </w:rPr>
        <w:t> </w:t>
      </w:r>
      <w:r>
        <w:rPr/>
        <w:t>and</w:t>
      </w:r>
      <w:r>
        <w:rPr>
          <w:spacing w:val="-6"/>
        </w:rPr>
        <w:t> </w:t>
      </w:r>
      <w:r>
        <w:rPr/>
        <w:t>challenge</w:t>
      </w:r>
      <w:r>
        <w:rPr>
          <w:spacing w:val="-4"/>
        </w:rPr>
        <w:t> </w:t>
      </w:r>
      <w:r>
        <w:rPr/>
        <w:t>associated</w:t>
      </w:r>
      <w:r>
        <w:rPr>
          <w:spacing w:val="-8"/>
        </w:rPr>
        <w:t> </w:t>
      </w:r>
      <w:r>
        <w:rPr/>
        <w:t>with</w:t>
      </w:r>
      <w:r>
        <w:rPr>
          <w:spacing w:val="-6"/>
        </w:rPr>
        <w:t> </w:t>
      </w:r>
      <w:r>
        <w:rPr/>
        <w:t>the</w:t>
      </w:r>
      <w:r>
        <w:rPr>
          <w:spacing w:val="-4"/>
        </w:rPr>
        <w:t> </w:t>
      </w:r>
      <w:r>
        <w:rPr/>
        <w:t>semi- primitive recreation opportunities available within the management area.</w:t>
      </w:r>
    </w:p>
    <w:p>
      <w:pPr>
        <w:spacing w:before="233"/>
        <w:ind w:left="359" w:right="0" w:firstLine="0"/>
        <w:jc w:val="left"/>
        <w:rPr>
          <w:rFonts w:ascii="Arial"/>
          <w:i/>
          <w:sz w:val="22"/>
        </w:rPr>
      </w:pPr>
      <w:bookmarkStart w:name="MA-DC-KCRA-06. Other Forest Uses" w:id="802"/>
      <w:bookmarkEnd w:id="802"/>
      <w:r>
        <w:rPr/>
      </w:r>
      <w:r>
        <w:rPr>
          <w:rFonts w:ascii="Arial"/>
          <w:i/>
          <w:sz w:val="22"/>
        </w:rPr>
        <w:t>MA-DC-KCRA-06.</w:t>
      </w:r>
      <w:r>
        <w:rPr>
          <w:rFonts w:ascii="Arial"/>
          <w:i/>
          <w:spacing w:val="-9"/>
          <w:sz w:val="22"/>
        </w:rPr>
        <w:t> </w:t>
      </w:r>
      <w:r>
        <w:rPr>
          <w:rFonts w:ascii="Arial"/>
          <w:i/>
          <w:sz w:val="22"/>
        </w:rPr>
        <w:t>Other</w:t>
      </w:r>
      <w:r>
        <w:rPr>
          <w:rFonts w:ascii="Arial"/>
          <w:i/>
          <w:spacing w:val="-8"/>
          <w:sz w:val="22"/>
        </w:rPr>
        <w:t> </w:t>
      </w:r>
      <w:r>
        <w:rPr>
          <w:rFonts w:ascii="Arial"/>
          <w:i/>
          <w:sz w:val="22"/>
        </w:rPr>
        <w:t>Forest</w:t>
      </w:r>
      <w:r>
        <w:rPr>
          <w:rFonts w:ascii="Arial"/>
          <w:i/>
          <w:spacing w:val="-5"/>
          <w:sz w:val="22"/>
        </w:rPr>
        <w:t> </w:t>
      </w:r>
      <w:r>
        <w:rPr>
          <w:rFonts w:ascii="Arial"/>
          <w:i/>
          <w:spacing w:val="-4"/>
          <w:sz w:val="22"/>
        </w:rPr>
        <w:t>Uses</w:t>
      </w:r>
    </w:p>
    <w:p>
      <w:pPr>
        <w:pStyle w:val="BodyText"/>
        <w:spacing w:line="232" w:lineRule="auto" w:before="65"/>
        <w:ind w:left="359" w:right="1968"/>
        <w:jc w:val="both"/>
      </w:pPr>
      <w:r>
        <w:rPr/>
        <w:t>Where</w:t>
      </w:r>
      <w:r>
        <w:rPr>
          <w:spacing w:val="-8"/>
        </w:rPr>
        <w:t> </w:t>
      </w:r>
      <w:r>
        <w:rPr/>
        <w:t>suitable,</w:t>
      </w:r>
      <w:r>
        <w:rPr>
          <w:spacing w:val="-8"/>
        </w:rPr>
        <w:t> </w:t>
      </w:r>
      <w:r>
        <w:rPr/>
        <w:t>other</w:t>
      </w:r>
      <w:r>
        <w:rPr>
          <w:spacing w:val="-6"/>
        </w:rPr>
        <w:t> </w:t>
      </w:r>
      <w:r>
        <w:rPr/>
        <w:t>forest</w:t>
      </w:r>
      <w:r>
        <w:rPr>
          <w:spacing w:val="-5"/>
        </w:rPr>
        <w:t> </w:t>
      </w:r>
      <w:r>
        <w:rPr/>
        <w:t>uses</w:t>
      </w:r>
      <w:r>
        <w:rPr>
          <w:spacing w:val="-8"/>
        </w:rPr>
        <w:t> </w:t>
      </w:r>
      <w:r>
        <w:rPr/>
        <w:t>such</w:t>
      </w:r>
      <w:r>
        <w:rPr>
          <w:spacing w:val="-7"/>
        </w:rPr>
        <w:t> </w:t>
      </w:r>
      <w:r>
        <w:rPr/>
        <w:t>as</w:t>
      </w:r>
      <w:r>
        <w:rPr>
          <w:spacing w:val="-6"/>
        </w:rPr>
        <w:t> </w:t>
      </w:r>
      <w:r>
        <w:rPr/>
        <w:t>permitted</w:t>
      </w:r>
      <w:r>
        <w:rPr>
          <w:spacing w:val="-9"/>
        </w:rPr>
        <w:t> </w:t>
      </w:r>
      <w:r>
        <w:rPr/>
        <w:t>grazing,</w:t>
      </w:r>
      <w:r>
        <w:rPr>
          <w:spacing w:val="-6"/>
        </w:rPr>
        <w:t> </w:t>
      </w:r>
      <w:r>
        <w:rPr/>
        <w:t>forest</w:t>
      </w:r>
      <w:r>
        <w:rPr>
          <w:spacing w:val="-5"/>
        </w:rPr>
        <w:t> </w:t>
      </w:r>
      <w:r>
        <w:rPr/>
        <w:t>products</w:t>
      </w:r>
      <w:r>
        <w:rPr>
          <w:spacing w:val="-8"/>
        </w:rPr>
        <w:t> </w:t>
      </w:r>
      <w:r>
        <w:rPr/>
        <w:t>gathering,</w:t>
      </w:r>
      <w:r>
        <w:rPr>
          <w:spacing w:val="-6"/>
        </w:rPr>
        <w:t> </w:t>
      </w:r>
      <w:r>
        <w:rPr/>
        <w:t>and timber</w:t>
      </w:r>
      <w:r>
        <w:rPr>
          <w:spacing w:val="-1"/>
        </w:rPr>
        <w:t> </w:t>
      </w:r>
      <w:r>
        <w:rPr/>
        <w:t>harvest is</w:t>
      </w:r>
      <w:r>
        <w:rPr>
          <w:spacing w:val="-1"/>
        </w:rPr>
        <w:t> </w:t>
      </w:r>
      <w:r>
        <w:rPr/>
        <w:t>encouraged in a</w:t>
      </w:r>
      <w:r>
        <w:rPr>
          <w:spacing w:val="-1"/>
        </w:rPr>
        <w:t> </w:t>
      </w:r>
      <w:r>
        <w:rPr/>
        <w:t>manner compatible</w:t>
      </w:r>
      <w:r>
        <w:rPr>
          <w:spacing w:val="-1"/>
        </w:rPr>
        <w:t> </w:t>
      </w:r>
      <w:r>
        <w:rPr/>
        <w:t>with or that</w:t>
      </w:r>
      <w:r>
        <w:rPr>
          <w:spacing w:val="-1"/>
        </w:rPr>
        <w:t> </w:t>
      </w:r>
      <w:r>
        <w:rPr/>
        <w:t>enhances</w:t>
      </w:r>
      <w:r>
        <w:rPr>
          <w:spacing w:val="-1"/>
        </w:rPr>
        <w:t> </w:t>
      </w:r>
      <w:r>
        <w:rPr/>
        <w:t>the</w:t>
      </w:r>
      <w:r>
        <w:rPr>
          <w:spacing w:val="-1"/>
        </w:rPr>
        <w:t> </w:t>
      </w:r>
      <w:r>
        <w:rPr/>
        <w:t>values for which the recreation area was established.</w:t>
      </w:r>
    </w:p>
    <w:p>
      <w:pPr>
        <w:pStyle w:val="Heading4"/>
        <w:spacing w:before="235"/>
      </w:pPr>
      <w:bookmarkStart w:name="Objectives" w:id="803"/>
      <w:bookmarkEnd w:id="803"/>
      <w:r>
        <w:rPr/>
      </w:r>
      <w:bookmarkStart w:name="_bookmark244" w:id="804"/>
      <w:bookmarkEnd w:id="804"/>
      <w:r>
        <w:rPr/>
      </w:r>
      <w:r>
        <w:rPr>
          <w:spacing w:val="-2"/>
        </w:rPr>
        <w:t>Objectives</w:t>
      </w:r>
    </w:p>
    <w:p>
      <w:pPr>
        <w:spacing w:before="237"/>
        <w:ind w:left="360" w:right="0" w:firstLine="0"/>
        <w:jc w:val="left"/>
        <w:rPr>
          <w:rFonts w:ascii="Arial"/>
          <w:i/>
          <w:sz w:val="22"/>
        </w:rPr>
      </w:pPr>
      <w:bookmarkStart w:name="MA-OBJ-KCRA-01. Trailhead Management" w:id="805"/>
      <w:bookmarkEnd w:id="805"/>
      <w:r>
        <w:rPr/>
      </w:r>
      <w:r>
        <w:rPr>
          <w:rFonts w:ascii="Arial"/>
          <w:i/>
          <w:sz w:val="22"/>
        </w:rPr>
        <w:t>MA-OBJ-KCRA-01.</w:t>
      </w:r>
      <w:r>
        <w:rPr>
          <w:rFonts w:ascii="Arial"/>
          <w:i/>
          <w:spacing w:val="-12"/>
          <w:sz w:val="22"/>
        </w:rPr>
        <w:t> </w:t>
      </w:r>
      <w:r>
        <w:rPr>
          <w:rFonts w:ascii="Arial"/>
          <w:i/>
          <w:sz w:val="22"/>
        </w:rPr>
        <w:t>Trailhead</w:t>
      </w:r>
      <w:r>
        <w:rPr>
          <w:rFonts w:ascii="Arial"/>
          <w:i/>
          <w:spacing w:val="-11"/>
          <w:sz w:val="22"/>
        </w:rPr>
        <w:t> </w:t>
      </w:r>
      <w:r>
        <w:rPr>
          <w:rFonts w:ascii="Arial"/>
          <w:i/>
          <w:spacing w:val="-2"/>
          <w:sz w:val="22"/>
        </w:rPr>
        <w:t>Management</w:t>
      </w:r>
    </w:p>
    <w:p>
      <w:pPr>
        <w:pStyle w:val="BodyText"/>
        <w:spacing w:line="232" w:lineRule="auto" w:before="67"/>
        <w:ind w:left="359" w:right="1445"/>
      </w:pPr>
      <w:r>
        <w:rPr/>
        <w:t>Within</w:t>
      </w:r>
      <w:r>
        <w:rPr>
          <w:spacing w:val="-6"/>
        </w:rPr>
        <w:t> </w:t>
      </w:r>
      <w:r>
        <w:rPr/>
        <w:t>15</w:t>
      </w:r>
      <w:r>
        <w:rPr>
          <w:spacing w:val="-6"/>
        </w:rPr>
        <w:t> </w:t>
      </w:r>
      <w:r>
        <w:rPr/>
        <w:t>years</w:t>
      </w:r>
      <w:r>
        <w:rPr>
          <w:spacing w:val="-7"/>
        </w:rPr>
        <w:t> </w:t>
      </w:r>
      <w:r>
        <w:rPr/>
        <w:t>of</w:t>
      </w:r>
      <w:r>
        <w:rPr>
          <w:spacing w:val="-5"/>
        </w:rPr>
        <w:t> </w:t>
      </w:r>
      <w:r>
        <w:rPr/>
        <w:t>plan</w:t>
      </w:r>
      <w:r>
        <w:rPr>
          <w:spacing w:val="-6"/>
        </w:rPr>
        <w:t> </w:t>
      </w:r>
      <w:r>
        <w:rPr/>
        <w:t>implementation,</w:t>
      </w:r>
      <w:r>
        <w:rPr>
          <w:spacing w:val="-7"/>
        </w:rPr>
        <w:t> </w:t>
      </w:r>
      <w:r>
        <w:rPr/>
        <w:t>construct</w:t>
      </w:r>
      <w:r>
        <w:rPr>
          <w:spacing w:val="-4"/>
        </w:rPr>
        <w:t> </w:t>
      </w:r>
      <w:r>
        <w:rPr/>
        <w:t>at</w:t>
      </w:r>
      <w:r>
        <w:rPr>
          <w:spacing w:val="-4"/>
        </w:rPr>
        <w:t> </w:t>
      </w:r>
      <w:r>
        <w:rPr/>
        <w:t>least</w:t>
      </w:r>
      <w:r>
        <w:rPr>
          <w:spacing w:val="-7"/>
        </w:rPr>
        <w:t> </w:t>
      </w:r>
      <w:r>
        <w:rPr/>
        <w:t>one</w:t>
      </w:r>
      <w:r>
        <w:rPr>
          <w:spacing w:val="-7"/>
        </w:rPr>
        <w:t> </w:t>
      </w:r>
      <w:r>
        <w:rPr/>
        <w:t>trailhead</w:t>
      </w:r>
      <w:r>
        <w:rPr>
          <w:spacing w:val="-6"/>
        </w:rPr>
        <w:t> </w:t>
      </w:r>
      <w:r>
        <w:rPr/>
        <w:t>for</w:t>
      </w:r>
      <w:r>
        <w:rPr>
          <w:spacing w:val="-5"/>
        </w:rPr>
        <w:t> </w:t>
      </w:r>
      <w:r>
        <w:rPr/>
        <w:t>the</w:t>
      </w:r>
      <w:r>
        <w:rPr>
          <w:spacing w:val="-9"/>
        </w:rPr>
        <w:t> </w:t>
      </w:r>
      <w:r>
        <w:rPr/>
        <w:t>motorized</w:t>
      </w:r>
      <w:r>
        <w:rPr>
          <w:spacing w:val="-6"/>
        </w:rPr>
        <w:t> </w:t>
      </w:r>
      <w:r>
        <w:rPr/>
        <w:t>trail system that accesses the Backcountry Motorized Management Area associated with the Twin Sisters Inventoried Roadless Area.</w:t>
      </w:r>
    </w:p>
    <w:p>
      <w:pPr>
        <w:spacing w:before="233"/>
        <w:ind w:left="359" w:right="0" w:firstLine="0"/>
        <w:jc w:val="left"/>
        <w:rPr>
          <w:rFonts w:ascii="Arial"/>
          <w:i/>
          <w:sz w:val="22"/>
        </w:rPr>
      </w:pPr>
      <w:bookmarkStart w:name="MA-OBJ-KCRA-02. Trail Management" w:id="806"/>
      <w:bookmarkEnd w:id="806"/>
      <w:r>
        <w:rPr/>
      </w:r>
      <w:r>
        <w:rPr>
          <w:rFonts w:ascii="Arial"/>
          <w:i/>
          <w:sz w:val="22"/>
        </w:rPr>
        <w:t>MA-OBJ-KCRA-02.</w:t>
      </w:r>
      <w:r>
        <w:rPr>
          <w:rFonts w:ascii="Arial"/>
          <w:i/>
          <w:spacing w:val="-9"/>
          <w:sz w:val="22"/>
        </w:rPr>
        <w:t> </w:t>
      </w:r>
      <w:r>
        <w:rPr>
          <w:rFonts w:ascii="Arial"/>
          <w:i/>
          <w:sz w:val="22"/>
        </w:rPr>
        <w:t>Trail</w:t>
      </w:r>
      <w:r>
        <w:rPr>
          <w:rFonts w:ascii="Arial"/>
          <w:i/>
          <w:spacing w:val="-10"/>
          <w:sz w:val="22"/>
        </w:rPr>
        <w:t> </w:t>
      </w:r>
      <w:r>
        <w:rPr>
          <w:rFonts w:ascii="Arial"/>
          <w:i/>
          <w:spacing w:val="-2"/>
          <w:sz w:val="22"/>
        </w:rPr>
        <w:t>Management</w:t>
      </w:r>
    </w:p>
    <w:p>
      <w:pPr>
        <w:pStyle w:val="BodyText"/>
        <w:spacing w:line="232" w:lineRule="auto" w:before="65"/>
        <w:ind w:left="360" w:right="1445"/>
      </w:pPr>
      <w:r>
        <w:rPr/>
        <w:t>Within</w:t>
      </w:r>
      <w:r>
        <w:rPr>
          <w:spacing w:val="-6"/>
        </w:rPr>
        <w:t> </w:t>
      </w:r>
      <w:r>
        <w:rPr/>
        <w:t>15</w:t>
      </w:r>
      <w:r>
        <w:rPr>
          <w:spacing w:val="-6"/>
        </w:rPr>
        <w:t> </w:t>
      </w:r>
      <w:r>
        <w:rPr/>
        <w:t>years</w:t>
      </w:r>
      <w:r>
        <w:rPr>
          <w:spacing w:val="-7"/>
        </w:rPr>
        <w:t> </w:t>
      </w:r>
      <w:r>
        <w:rPr/>
        <w:t>of</w:t>
      </w:r>
      <w:r>
        <w:rPr>
          <w:spacing w:val="-5"/>
        </w:rPr>
        <w:t> </w:t>
      </w:r>
      <w:r>
        <w:rPr/>
        <w:t>plan</w:t>
      </w:r>
      <w:r>
        <w:rPr>
          <w:spacing w:val="-6"/>
        </w:rPr>
        <w:t> </w:t>
      </w:r>
      <w:r>
        <w:rPr/>
        <w:t>implementation,</w:t>
      </w:r>
      <w:r>
        <w:rPr>
          <w:spacing w:val="-7"/>
        </w:rPr>
        <w:t> </w:t>
      </w:r>
      <w:r>
        <w:rPr/>
        <w:t>design</w:t>
      </w:r>
      <w:r>
        <w:rPr>
          <w:spacing w:val="-6"/>
        </w:rPr>
        <w:t> </w:t>
      </w:r>
      <w:r>
        <w:rPr/>
        <w:t>and</w:t>
      </w:r>
      <w:r>
        <w:rPr>
          <w:spacing w:val="-6"/>
        </w:rPr>
        <w:t> </w:t>
      </w:r>
      <w:r>
        <w:rPr/>
        <w:t>construct</w:t>
      </w:r>
      <w:r>
        <w:rPr>
          <w:spacing w:val="-4"/>
        </w:rPr>
        <w:t> </w:t>
      </w:r>
      <w:r>
        <w:rPr/>
        <w:t>at</w:t>
      </w:r>
      <w:r>
        <w:rPr>
          <w:spacing w:val="-4"/>
        </w:rPr>
        <w:t> </w:t>
      </w:r>
      <w:r>
        <w:rPr/>
        <w:t>least</w:t>
      </w:r>
      <w:r>
        <w:rPr>
          <w:spacing w:val="-7"/>
        </w:rPr>
        <w:t> </w:t>
      </w:r>
      <w:r>
        <w:rPr/>
        <w:t>one</w:t>
      </w:r>
      <w:r>
        <w:rPr>
          <w:spacing w:val="-7"/>
        </w:rPr>
        <w:t> </w:t>
      </w:r>
      <w:r>
        <w:rPr/>
        <w:t>motorized</w:t>
      </w:r>
      <w:r>
        <w:rPr>
          <w:spacing w:val="-6"/>
        </w:rPr>
        <w:t> </w:t>
      </w:r>
      <w:r>
        <w:rPr/>
        <w:t>loop</w:t>
      </w:r>
      <w:r>
        <w:rPr>
          <w:spacing w:val="-6"/>
        </w:rPr>
        <w:t> </w:t>
      </w:r>
      <w:r>
        <w:rPr/>
        <w:t>trail opportunity within the Backcountry Motorized Management Area associated with the Twin Sisters</w:t>
      </w:r>
      <w:r>
        <w:rPr>
          <w:spacing w:val="-5"/>
        </w:rPr>
        <w:t> </w:t>
      </w:r>
      <w:r>
        <w:rPr/>
        <w:t>Inventoried</w:t>
      </w:r>
      <w:r>
        <w:rPr>
          <w:spacing w:val="-6"/>
        </w:rPr>
        <w:t> </w:t>
      </w:r>
      <w:r>
        <w:rPr/>
        <w:t>Roadless</w:t>
      </w:r>
      <w:r>
        <w:rPr>
          <w:spacing w:val="-5"/>
        </w:rPr>
        <w:t> </w:t>
      </w:r>
      <w:r>
        <w:rPr/>
        <w:t>Area</w:t>
      </w:r>
      <w:r>
        <w:rPr>
          <w:spacing w:val="-5"/>
        </w:rPr>
        <w:t> </w:t>
      </w:r>
      <w:r>
        <w:rPr/>
        <w:t>and</w:t>
      </w:r>
      <w:r>
        <w:rPr>
          <w:spacing w:val="-6"/>
        </w:rPr>
        <w:t> </w:t>
      </w:r>
      <w:r>
        <w:rPr/>
        <w:t>at</w:t>
      </w:r>
      <w:r>
        <w:rPr>
          <w:spacing w:val="-4"/>
        </w:rPr>
        <w:t> </w:t>
      </w:r>
      <w:r>
        <w:rPr/>
        <w:t>least</w:t>
      </w:r>
      <w:r>
        <w:rPr>
          <w:spacing w:val="-7"/>
        </w:rPr>
        <w:t> </w:t>
      </w:r>
      <w:r>
        <w:rPr/>
        <w:t>one</w:t>
      </w:r>
      <w:r>
        <w:rPr>
          <w:spacing w:val="-4"/>
        </w:rPr>
        <w:t> </w:t>
      </w:r>
      <w:r>
        <w:rPr/>
        <w:t>non-motorized</w:t>
      </w:r>
      <w:r>
        <w:rPr>
          <w:spacing w:val="-7"/>
        </w:rPr>
        <w:t> </w:t>
      </w:r>
      <w:r>
        <w:rPr/>
        <w:t>loop</w:t>
      </w:r>
      <w:r>
        <w:rPr>
          <w:spacing w:val="-6"/>
        </w:rPr>
        <w:t> </w:t>
      </w:r>
      <w:r>
        <w:rPr/>
        <w:t>trail</w:t>
      </w:r>
      <w:r>
        <w:rPr>
          <w:spacing w:val="-7"/>
        </w:rPr>
        <w:t> </w:t>
      </w:r>
      <w:r>
        <w:rPr/>
        <w:t>opportunity</w:t>
      </w:r>
      <w:r>
        <w:rPr>
          <w:spacing w:val="-4"/>
        </w:rPr>
        <w:t> </w:t>
      </w:r>
      <w:r>
        <w:rPr/>
        <w:t>within the Backcountry Management Area associated with the Profanity Inventoried Roadless Area.</w:t>
      </w:r>
    </w:p>
    <w:p>
      <w:pPr>
        <w:spacing w:before="234"/>
        <w:ind w:left="360" w:right="0" w:firstLine="0"/>
        <w:jc w:val="left"/>
        <w:rPr>
          <w:rFonts w:ascii="Arial"/>
          <w:i/>
          <w:sz w:val="22"/>
        </w:rPr>
      </w:pPr>
      <w:bookmarkStart w:name="MA-OBJ-KCRA-03. Sno-Park Management" w:id="807"/>
      <w:bookmarkEnd w:id="807"/>
      <w:r>
        <w:rPr/>
      </w:r>
      <w:r>
        <w:rPr>
          <w:rFonts w:ascii="Arial"/>
          <w:i/>
          <w:sz w:val="22"/>
        </w:rPr>
        <w:t>MA-OBJ-KCRA-03.</w:t>
      </w:r>
      <w:r>
        <w:rPr>
          <w:rFonts w:ascii="Arial"/>
          <w:i/>
          <w:spacing w:val="-10"/>
          <w:sz w:val="22"/>
        </w:rPr>
        <w:t> </w:t>
      </w:r>
      <w:r>
        <w:rPr>
          <w:rFonts w:ascii="Arial"/>
          <w:i/>
          <w:sz w:val="22"/>
        </w:rPr>
        <w:t>Sno-Park</w:t>
      </w:r>
      <w:r>
        <w:rPr>
          <w:rFonts w:ascii="Arial"/>
          <w:i/>
          <w:spacing w:val="-8"/>
          <w:sz w:val="22"/>
        </w:rPr>
        <w:t> </w:t>
      </w:r>
      <w:r>
        <w:rPr>
          <w:rFonts w:ascii="Arial"/>
          <w:i/>
          <w:spacing w:val="-2"/>
          <w:sz w:val="22"/>
        </w:rPr>
        <w:t>Management</w:t>
      </w:r>
    </w:p>
    <w:p>
      <w:pPr>
        <w:pStyle w:val="BodyText"/>
        <w:spacing w:line="232" w:lineRule="auto" w:before="65"/>
        <w:ind w:left="359" w:right="1731"/>
        <w:jc w:val="both"/>
      </w:pPr>
      <w:r>
        <w:rPr/>
        <w:t>Within</w:t>
      </w:r>
      <w:r>
        <w:rPr>
          <w:spacing w:val="-3"/>
        </w:rPr>
        <w:t> </w:t>
      </w:r>
      <w:r>
        <w:rPr/>
        <w:t>15</w:t>
      </w:r>
      <w:r>
        <w:rPr>
          <w:spacing w:val="-3"/>
        </w:rPr>
        <w:t> </w:t>
      </w:r>
      <w:r>
        <w:rPr/>
        <w:t>years</w:t>
      </w:r>
      <w:r>
        <w:rPr>
          <w:spacing w:val="-3"/>
        </w:rPr>
        <w:t> </w:t>
      </w:r>
      <w:r>
        <w:rPr/>
        <w:t>of</w:t>
      </w:r>
      <w:r>
        <w:rPr>
          <w:spacing w:val="-2"/>
        </w:rPr>
        <w:t> </w:t>
      </w:r>
      <w:r>
        <w:rPr/>
        <w:t>plan</w:t>
      </w:r>
      <w:r>
        <w:rPr>
          <w:spacing w:val="-3"/>
        </w:rPr>
        <w:t> </w:t>
      </w:r>
      <w:r>
        <w:rPr/>
        <w:t>implementation,</w:t>
      </w:r>
      <w:r>
        <w:rPr>
          <w:spacing w:val="-3"/>
        </w:rPr>
        <w:t> </w:t>
      </w:r>
      <w:r>
        <w:rPr/>
        <w:t>move</w:t>
      </w:r>
      <w:r>
        <w:rPr>
          <w:spacing w:val="-3"/>
        </w:rPr>
        <w:t> </w:t>
      </w:r>
      <w:r>
        <w:rPr/>
        <w:t>or</w:t>
      </w:r>
      <w:r>
        <w:rPr>
          <w:spacing w:val="-3"/>
        </w:rPr>
        <w:t> </w:t>
      </w:r>
      <w:r>
        <w:rPr/>
        <w:t>reconstruct</w:t>
      </w:r>
      <w:r>
        <w:rPr>
          <w:spacing w:val="-1"/>
        </w:rPr>
        <w:t> </w:t>
      </w:r>
      <w:r>
        <w:rPr/>
        <w:t>the</w:t>
      </w:r>
      <w:r>
        <w:rPr>
          <w:spacing w:val="-5"/>
        </w:rPr>
        <w:t> </w:t>
      </w:r>
      <w:r>
        <w:rPr/>
        <w:t>over-snow</w:t>
      </w:r>
      <w:r>
        <w:rPr>
          <w:spacing w:val="-3"/>
        </w:rPr>
        <w:t> </w:t>
      </w:r>
      <w:r>
        <w:rPr/>
        <w:t>vehicle</w:t>
      </w:r>
      <w:r>
        <w:rPr>
          <w:spacing w:val="-1"/>
        </w:rPr>
        <w:t> </w:t>
      </w:r>
      <w:r>
        <w:rPr/>
        <w:t>sno-park located</w:t>
      </w:r>
      <w:r>
        <w:rPr>
          <w:spacing w:val="-8"/>
        </w:rPr>
        <w:t> </w:t>
      </w:r>
      <w:r>
        <w:rPr/>
        <w:t>on</w:t>
      </w:r>
      <w:r>
        <w:rPr>
          <w:spacing w:val="-6"/>
        </w:rPr>
        <w:t> </w:t>
      </w:r>
      <w:r>
        <w:rPr/>
        <w:t>the</w:t>
      </w:r>
      <w:r>
        <w:rPr>
          <w:spacing w:val="-4"/>
        </w:rPr>
        <w:t> </w:t>
      </w:r>
      <w:r>
        <w:rPr/>
        <w:t>Albian</w:t>
      </w:r>
      <w:r>
        <w:rPr>
          <w:spacing w:val="-5"/>
        </w:rPr>
        <w:t> </w:t>
      </w:r>
      <w:r>
        <w:rPr/>
        <w:t>Hill</w:t>
      </w:r>
      <w:r>
        <w:rPr>
          <w:spacing w:val="-5"/>
        </w:rPr>
        <w:t> </w:t>
      </w:r>
      <w:r>
        <w:rPr/>
        <w:t>Road</w:t>
      </w:r>
      <w:r>
        <w:rPr>
          <w:spacing w:val="-6"/>
        </w:rPr>
        <w:t> </w:t>
      </w:r>
      <w:r>
        <w:rPr/>
        <w:t>(Forest</w:t>
      </w:r>
      <w:r>
        <w:rPr>
          <w:spacing w:val="-4"/>
        </w:rPr>
        <w:t> </w:t>
      </w:r>
      <w:r>
        <w:rPr/>
        <w:t>Road</w:t>
      </w:r>
      <w:r>
        <w:rPr>
          <w:spacing w:val="-8"/>
        </w:rPr>
        <w:t> </w:t>
      </w:r>
      <w:r>
        <w:rPr/>
        <w:t>2030)</w:t>
      </w:r>
      <w:r>
        <w:rPr>
          <w:spacing w:val="-5"/>
        </w:rPr>
        <w:t> </w:t>
      </w:r>
      <w:r>
        <w:rPr/>
        <w:t>to</w:t>
      </w:r>
      <w:r>
        <w:rPr>
          <w:spacing w:val="-6"/>
        </w:rPr>
        <w:t> </w:t>
      </w:r>
      <w:r>
        <w:rPr/>
        <w:t>accommodate</w:t>
      </w:r>
      <w:r>
        <w:rPr>
          <w:spacing w:val="-4"/>
        </w:rPr>
        <w:t> </w:t>
      </w:r>
      <w:r>
        <w:rPr/>
        <w:t>at</w:t>
      </w:r>
      <w:r>
        <w:rPr>
          <w:spacing w:val="-4"/>
        </w:rPr>
        <w:t> </w:t>
      </w:r>
      <w:r>
        <w:rPr/>
        <w:t>least</w:t>
      </w:r>
      <w:r>
        <w:rPr>
          <w:spacing w:val="-7"/>
        </w:rPr>
        <w:t> </w:t>
      </w:r>
      <w:r>
        <w:rPr/>
        <w:t>twice</w:t>
      </w:r>
      <w:r>
        <w:rPr>
          <w:spacing w:val="-4"/>
        </w:rPr>
        <w:t> </w:t>
      </w:r>
      <w:r>
        <w:rPr/>
        <w:t>the</w:t>
      </w:r>
      <w:r>
        <w:rPr>
          <w:spacing w:val="-7"/>
        </w:rPr>
        <w:t> </w:t>
      </w:r>
      <w:r>
        <w:rPr/>
        <w:t>existing </w:t>
      </w:r>
      <w:r>
        <w:rPr>
          <w:spacing w:val="-2"/>
        </w:rPr>
        <w:t>capacity.</w:t>
      </w:r>
    </w:p>
    <w:p>
      <w:pPr>
        <w:pStyle w:val="Heading4"/>
        <w:spacing w:before="233"/>
      </w:pPr>
      <w:bookmarkStart w:name="Standards" w:id="808"/>
      <w:bookmarkEnd w:id="808"/>
      <w:r>
        <w:rPr/>
      </w:r>
      <w:bookmarkStart w:name="_bookmark245" w:id="809"/>
      <w:bookmarkEnd w:id="809"/>
      <w:r>
        <w:rPr/>
      </w:r>
      <w:r>
        <w:rPr>
          <w:spacing w:val="-2"/>
        </w:rPr>
        <w:t>Standards</w:t>
      </w:r>
    </w:p>
    <w:p>
      <w:pPr>
        <w:spacing w:before="239"/>
        <w:ind w:left="360" w:right="0" w:firstLine="0"/>
        <w:jc w:val="left"/>
        <w:rPr>
          <w:rFonts w:ascii="Arial"/>
          <w:i/>
          <w:sz w:val="22"/>
        </w:rPr>
      </w:pPr>
      <w:bookmarkStart w:name="MA-STD-KCRA-01. Recreation Opportunity S" w:id="810"/>
      <w:bookmarkEnd w:id="810"/>
      <w:r>
        <w:rPr/>
      </w:r>
      <w:r>
        <w:rPr>
          <w:rFonts w:ascii="Arial"/>
          <w:i/>
          <w:sz w:val="22"/>
        </w:rPr>
        <w:t>MA-STD-KCRA-01.</w:t>
      </w:r>
      <w:r>
        <w:rPr>
          <w:rFonts w:ascii="Arial"/>
          <w:i/>
          <w:spacing w:val="-10"/>
          <w:sz w:val="22"/>
        </w:rPr>
        <w:t> </w:t>
      </w:r>
      <w:r>
        <w:rPr>
          <w:rFonts w:ascii="Arial"/>
          <w:i/>
          <w:sz w:val="22"/>
        </w:rPr>
        <w:t>Recreation</w:t>
      </w:r>
      <w:r>
        <w:rPr>
          <w:rFonts w:ascii="Arial"/>
          <w:i/>
          <w:spacing w:val="-10"/>
          <w:sz w:val="22"/>
        </w:rPr>
        <w:t> </w:t>
      </w:r>
      <w:r>
        <w:rPr>
          <w:rFonts w:ascii="Arial"/>
          <w:i/>
          <w:sz w:val="22"/>
        </w:rPr>
        <w:t>Opportunity</w:t>
      </w:r>
      <w:r>
        <w:rPr>
          <w:rFonts w:ascii="Arial"/>
          <w:i/>
          <w:spacing w:val="-10"/>
          <w:sz w:val="22"/>
        </w:rPr>
        <w:t> </w:t>
      </w:r>
      <w:r>
        <w:rPr>
          <w:rFonts w:ascii="Arial"/>
          <w:i/>
          <w:spacing w:val="-2"/>
          <w:sz w:val="22"/>
        </w:rPr>
        <w:t>Spectrum</w:t>
      </w:r>
    </w:p>
    <w:p>
      <w:pPr>
        <w:pStyle w:val="BodyText"/>
        <w:spacing w:line="232" w:lineRule="auto" w:before="65"/>
        <w:ind w:left="359" w:right="1445"/>
      </w:pPr>
      <w:r>
        <w:rPr/>
        <w:t>Project</w:t>
      </w:r>
      <w:r>
        <w:rPr>
          <w:spacing w:val="-3"/>
        </w:rPr>
        <w:t> </w:t>
      </w:r>
      <w:r>
        <w:rPr/>
        <w:t>implementation</w:t>
      </w:r>
      <w:r>
        <w:rPr>
          <w:spacing w:val="-7"/>
        </w:rPr>
        <w:t> </w:t>
      </w:r>
      <w:r>
        <w:rPr/>
        <w:t>will</w:t>
      </w:r>
      <w:r>
        <w:rPr>
          <w:spacing w:val="-4"/>
        </w:rPr>
        <w:t> </w:t>
      </w:r>
      <w:r>
        <w:rPr/>
        <w:t>meet</w:t>
      </w:r>
      <w:r>
        <w:rPr>
          <w:spacing w:val="-3"/>
        </w:rPr>
        <w:t> </w:t>
      </w:r>
      <w:r>
        <w:rPr/>
        <w:t>the</w:t>
      </w:r>
      <w:r>
        <w:rPr>
          <w:spacing w:val="-6"/>
        </w:rPr>
        <w:t> </w:t>
      </w:r>
      <w:r>
        <w:rPr/>
        <w:t>recreation</w:t>
      </w:r>
      <w:r>
        <w:rPr>
          <w:spacing w:val="-7"/>
        </w:rPr>
        <w:t> </w:t>
      </w:r>
      <w:r>
        <w:rPr/>
        <w:t>opportunity</w:t>
      </w:r>
      <w:r>
        <w:rPr>
          <w:spacing w:val="-3"/>
        </w:rPr>
        <w:t> </w:t>
      </w:r>
      <w:r>
        <w:rPr/>
        <w:t>classes</w:t>
      </w:r>
      <w:r>
        <w:rPr>
          <w:spacing w:val="-6"/>
        </w:rPr>
        <w:t> </w:t>
      </w:r>
      <w:r>
        <w:rPr/>
        <w:t>as</w:t>
      </w:r>
      <w:r>
        <w:rPr>
          <w:spacing w:val="-4"/>
        </w:rPr>
        <w:t> </w:t>
      </w:r>
      <w:r>
        <w:rPr/>
        <w:t>shown</w:t>
      </w:r>
      <w:r>
        <w:rPr>
          <w:spacing w:val="-7"/>
        </w:rPr>
        <w:t> </w:t>
      </w:r>
      <w:r>
        <w:rPr/>
        <w:t>on</w:t>
      </w:r>
      <w:r>
        <w:rPr>
          <w:spacing w:val="-5"/>
        </w:rPr>
        <w:t> </w:t>
      </w:r>
      <w:r>
        <w:rPr/>
        <w:t>the</w:t>
      </w:r>
      <w:r>
        <w:rPr>
          <w:spacing w:val="-3"/>
        </w:rPr>
        <w:t> </w:t>
      </w:r>
      <w:r>
        <w:rPr/>
        <w:t>ROS</w:t>
      </w:r>
      <w:r>
        <w:rPr>
          <w:spacing w:val="-7"/>
        </w:rPr>
        <w:t> </w:t>
      </w:r>
      <w:r>
        <w:rPr/>
        <w:t>map for the Kettle Crest Recreation Area in appendix F.</w:t>
      </w:r>
    </w:p>
    <w:p>
      <w:pPr>
        <w:pStyle w:val="BodyText"/>
        <w:spacing w:after="0" w:line="232" w:lineRule="auto"/>
        <w:sectPr>
          <w:pgSz w:w="12240" w:h="15840"/>
          <w:pgMar w:header="725" w:footer="891" w:top="960" w:bottom="1080" w:left="1080" w:right="720"/>
        </w:sectPr>
      </w:pPr>
    </w:p>
    <w:p>
      <w:pPr>
        <w:pStyle w:val="BodyText"/>
        <w:spacing w:before="206"/>
      </w:pPr>
    </w:p>
    <w:p>
      <w:pPr>
        <w:spacing w:before="0"/>
        <w:ind w:left="1151" w:right="0" w:firstLine="0"/>
        <w:jc w:val="left"/>
        <w:rPr>
          <w:rFonts w:ascii="Arial"/>
          <w:i/>
          <w:sz w:val="22"/>
        </w:rPr>
      </w:pPr>
      <w:bookmarkStart w:name="MA-STD-KCRA-02. Scenic Integrity Objecti" w:id="811"/>
      <w:bookmarkEnd w:id="811"/>
      <w:r>
        <w:rPr/>
      </w:r>
      <w:r>
        <w:rPr>
          <w:rFonts w:ascii="Arial"/>
          <w:i/>
          <w:sz w:val="22"/>
        </w:rPr>
        <w:t>MA-STD-KCRA-02.</w:t>
      </w:r>
      <w:r>
        <w:rPr>
          <w:rFonts w:ascii="Arial"/>
          <w:i/>
          <w:spacing w:val="-7"/>
          <w:sz w:val="22"/>
        </w:rPr>
        <w:t> </w:t>
      </w:r>
      <w:r>
        <w:rPr>
          <w:rFonts w:ascii="Arial"/>
          <w:i/>
          <w:sz w:val="22"/>
        </w:rPr>
        <w:t>Scenic</w:t>
      </w:r>
      <w:r>
        <w:rPr>
          <w:rFonts w:ascii="Arial"/>
          <w:i/>
          <w:spacing w:val="-8"/>
          <w:sz w:val="22"/>
        </w:rPr>
        <w:t> </w:t>
      </w:r>
      <w:r>
        <w:rPr>
          <w:rFonts w:ascii="Arial"/>
          <w:i/>
          <w:sz w:val="22"/>
        </w:rPr>
        <w:t>Integrity</w:t>
      </w:r>
      <w:r>
        <w:rPr>
          <w:rFonts w:ascii="Arial"/>
          <w:i/>
          <w:spacing w:val="-10"/>
          <w:sz w:val="22"/>
        </w:rPr>
        <w:t> </w:t>
      </w:r>
      <w:r>
        <w:rPr>
          <w:rFonts w:ascii="Arial"/>
          <w:i/>
          <w:spacing w:val="-2"/>
          <w:sz w:val="22"/>
        </w:rPr>
        <w:t>Objectives</w:t>
      </w:r>
    </w:p>
    <w:p>
      <w:pPr>
        <w:pStyle w:val="BodyText"/>
        <w:spacing w:line="232" w:lineRule="auto" w:before="65"/>
        <w:ind w:left="1152" w:right="824"/>
      </w:pPr>
      <w:r>
        <w:rPr/>
        <w:t>Vegetation</w:t>
      </w:r>
      <w:r>
        <w:rPr>
          <w:spacing w:val="-9"/>
        </w:rPr>
        <w:t> </w:t>
      </w:r>
      <w:r>
        <w:rPr/>
        <w:t>management</w:t>
      </w:r>
      <w:r>
        <w:rPr>
          <w:spacing w:val="-5"/>
        </w:rPr>
        <w:t> </w:t>
      </w:r>
      <w:r>
        <w:rPr/>
        <w:t>practices</w:t>
      </w:r>
      <w:r>
        <w:rPr>
          <w:spacing w:val="-8"/>
        </w:rPr>
        <w:t> </w:t>
      </w:r>
      <w:r>
        <w:rPr/>
        <w:t>and</w:t>
      </w:r>
      <w:r>
        <w:rPr>
          <w:spacing w:val="-7"/>
        </w:rPr>
        <w:t> </w:t>
      </w:r>
      <w:r>
        <w:rPr/>
        <w:t>all</w:t>
      </w:r>
      <w:r>
        <w:rPr>
          <w:spacing w:val="-6"/>
        </w:rPr>
        <w:t> </w:t>
      </w:r>
      <w:r>
        <w:rPr/>
        <w:t>project-level</w:t>
      </w:r>
      <w:r>
        <w:rPr>
          <w:spacing w:val="-9"/>
        </w:rPr>
        <w:t> </w:t>
      </w:r>
      <w:r>
        <w:rPr/>
        <w:t>activities</w:t>
      </w:r>
      <w:r>
        <w:rPr>
          <w:spacing w:val="-8"/>
        </w:rPr>
        <w:t> </w:t>
      </w:r>
      <w:r>
        <w:rPr/>
        <w:t>will</w:t>
      </w:r>
      <w:r>
        <w:rPr>
          <w:spacing w:val="-6"/>
        </w:rPr>
        <w:t> </w:t>
      </w:r>
      <w:r>
        <w:rPr/>
        <w:t>be</w:t>
      </w:r>
      <w:r>
        <w:rPr>
          <w:spacing w:val="-8"/>
        </w:rPr>
        <w:t> </w:t>
      </w:r>
      <w:r>
        <w:rPr/>
        <w:t>planned</w:t>
      </w:r>
      <w:r>
        <w:rPr>
          <w:spacing w:val="-7"/>
        </w:rPr>
        <w:t> </w:t>
      </w:r>
      <w:r>
        <w:rPr/>
        <w:t>and</w:t>
      </w:r>
      <w:r>
        <w:rPr>
          <w:spacing w:val="-7"/>
        </w:rPr>
        <w:t> </w:t>
      </w:r>
      <w:r>
        <w:rPr/>
        <w:t>designed to meet the high scenery integrity objective (see appendix D).</w:t>
      </w:r>
    </w:p>
    <w:p>
      <w:pPr>
        <w:pStyle w:val="Heading4"/>
        <w:spacing w:before="235"/>
        <w:ind w:left="1151"/>
      </w:pPr>
      <w:bookmarkStart w:name="Guidelines" w:id="812"/>
      <w:bookmarkEnd w:id="812"/>
      <w:r>
        <w:rPr/>
      </w:r>
      <w:bookmarkStart w:name="_bookmark246" w:id="813"/>
      <w:bookmarkEnd w:id="813"/>
      <w:r>
        <w:rPr/>
      </w:r>
      <w:r>
        <w:rPr>
          <w:spacing w:val="-2"/>
        </w:rPr>
        <w:t>Guidelines</w:t>
      </w:r>
    </w:p>
    <w:p>
      <w:pPr>
        <w:spacing w:before="239"/>
        <w:ind w:left="1151" w:right="0" w:firstLine="0"/>
        <w:jc w:val="left"/>
        <w:rPr>
          <w:rFonts w:ascii="Arial"/>
          <w:i/>
          <w:sz w:val="22"/>
        </w:rPr>
      </w:pPr>
      <w:bookmarkStart w:name="MA-GDL-KCRA-01. Permitted Grazing" w:id="814"/>
      <w:bookmarkEnd w:id="814"/>
      <w:r>
        <w:rPr/>
      </w:r>
      <w:r>
        <w:rPr>
          <w:rFonts w:ascii="Arial"/>
          <w:i/>
          <w:sz w:val="22"/>
        </w:rPr>
        <w:t>MA-GDL-KCRA-01.</w:t>
      </w:r>
      <w:r>
        <w:rPr>
          <w:rFonts w:ascii="Arial"/>
          <w:i/>
          <w:spacing w:val="-11"/>
          <w:sz w:val="22"/>
        </w:rPr>
        <w:t> </w:t>
      </w:r>
      <w:r>
        <w:rPr>
          <w:rFonts w:ascii="Arial"/>
          <w:i/>
          <w:sz w:val="22"/>
        </w:rPr>
        <w:t>Permitted</w:t>
      </w:r>
      <w:r>
        <w:rPr>
          <w:rFonts w:ascii="Arial"/>
          <w:i/>
          <w:spacing w:val="-12"/>
          <w:sz w:val="22"/>
        </w:rPr>
        <w:t> </w:t>
      </w:r>
      <w:r>
        <w:rPr>
          <w:rFonts w:ascii="Arial"/>
          <w:i/>
          <w:spacing w:val="-2"/>
          <w:sz w:val="22"/>
        </w:rPr>
        <w:t>Grazing</w:t>
      </w:r>
    </w:p>
    <w:p>
      <w:pPr>
        <w:pStyle w:val="BodyText"/>
        <w:spacing w:line="232" w:lineRule="auto" w:before="65"/>
        <w:ind w:left="1152" w:right="1073"/>
      </w:pPr>
      <w:r>
        <w:rPr/>
        <w:t>Braided</w:t>
      </w:r>
      <w:r>
        <w:rPr>
          <w:spacing w:val="-8"/>
        </w:rPr>
        <w:t> </w:t>
      </w:r>
      <w:r>
        <w:rPr/>
        <w:t>trails</w:t>
      </w:r>
      <w:r>
        <w:rPr>
          <w:spacing w:val="-7"/>
        </w:rPr>
        <w:t> </w:t>
      </w:r>
      <w:r>
        <w:rPr/>
        <w:t>resulting</w:t>
      </w:r>
      <w:r>
        <w:rPr>
          <w:spacing w:val="-8"/>
        </w:rPr>
        <w:t> </w:t>
      </w:r>
      <w:r>
        <w:rPr/>
        <w:t>from</w:t>
      </w:r>
      <w:r>
        <w:rPr>
          <w:spacing w:val="-7"/>
        </w:rPr>
        <w:t> </w:t>
      </w:r>
      <w:r>
        <w:rPr/>
        <w:t>permitted</w:t>
      </w:r>
      <w:r>
        <w:rPr>
          <w:spacing w:val="-8"/>
        </w:rPr>
        <w:t> </w:t>
      </w:r>
      <w:r>
        <w:rPr/>
        <w:t>grazing</w:t>
      </w:r>
      <w:r>
        <w:rPr>
          <w:spacing w:val="-8"/>
        </w:rPr>
        <w:t> </w:t>
      </w:r>
      <w:r>
        <w:rPr/>
        <w:t>that</w:t>
      </w:r>
      <w:r>
        <w:rPr>
          <w:spacing w:val="-9"/>
        </w:rPr>
        <w:t> </w:t>
      </w:r>
      <w:r>
        <w:rPr/>
        <w:t>are</w:t>
      </w:r>
      <w:r>
        <w:rPr>
          <w:spacing w:val="-7"/>
        </w:rPr>
        <w:t> </w:t>
      </w:r>
      <w:r>
        <w:rPr/>
        <w:t>located</w:t>
      </w:r>
      <w:r>
        <w:rPr>
          <w:spacing w:val="-8"/>
        </w:rPr>
        <w:t> </w:t>
      </w:r>
      <w:r>
        <w:rPr/>
        <w:t>near</w:t>
      </w:r>
      <w:r>
        <w:rPr>
          <w:spacing w:val="-9"/>
        </w:rPr>
        <w:t> </w:t>
      </w:r>
      <w:r>
        <w:rPr/>
        <w:t>National</w:t>
      </w:r>
      <w:r>
        <w:rPr>
          <w:spacing w:val="-9"/>
        </w:rPr>
        <w:t> </w:t>
      </w:r>
      <w:r>
        <w:rPr/>
        <w:t>Forest</w:t>
      </w:r>
      <w:r>
        <w:rPr>
          <w:spacing w:val="-7"/>
        </w:rPr>
        <w:t> </w:t>
      </w:r>
      <w:r>
        <w:rPr/>
        <w:t>System trails should be restored or blocked. Rock cairns or signs should be installed in areas with braided trails to reinforce the designated trail route.</w:t>
      </w:r>
    </w:p>
    <w:p>
      <w:pPr>
        <w:spacing w:before="235"/>
        <w:ind w:left="1151" w:right="0" w:firstLine="0"/>
        <w:jc w:val="left"/>
        <w:rPr>
          <w:rFonts w:ascii="Arial"/>
          <w:i/>
          <w:sz w:val="22"/>
        </w:rPr>
      </w:pPr>
      <w:bookmarkStart w:name="MA-GDL-KCRA-02. Communication Facilities" w:id="815"/>
      <w:bookmarkEnd w:id="815"/>
      <w:r>
        <w:rPr/>
      </w:r>
      <w:r>
        <w:rPr>
          <w:rFonts w:ascii="Arial"/>
          <w:i/>
          <w:sz w:val="22"/>
        </w:rPr>
        <w:t>MA-GDL-KCRA-02.</w:t>
      </w:r>
      <w:r>
        <w:rPr>
          <w:rFonts w:ascii="Arial"/>
          <w:i/>
          <w:spacing w:val="-14"/>
          <w:sz w:val="22"/>
        </w:rPr>
        <w:t> </w:t>
      </w:r>
      <w:r>
        <w:rPr>
          <w:rFonts w:ascii="Arial"/>
          <w:i/>
          <w:sz w:val="22"/>
        </w:rPr>
        <w:t>Communication</w:t>
      </w:r>
      <w:r>
        <w:rPr>
          <w:rFonts w:ascii="Arial"/>
          <w:i/>
          <w:spacing w:val="-12"/>
          <w:sz w:val="22"/>
        </w:rPr>
        <w:t> </w:t>
      </w:r>
      <w:r>
        <w:rPr>
          <w:rFonts w:ascii="Arial"/>
          <w:i/>
          <w:spacing w:val="-2"/>
          <w:sz w:val="22"/>
        </w:rPr>
        <w:t>Facilities</w:t>
      </w:r>
    </w:p>
    <w:p>
      <w:pPr>
        <w:pStyle w:val="BodyText"/>
        <w:spacing w:line="232" w:lineRule="auto" w:before="65"/>
        <w:ind w:left="1151" w:right="720"/>
      </w:pPr>
      <w:r>
        <w:rPr/>
        <w:t>Permanent Forest Service radio repeaters may be authorized in all ROS classes within the recreation area when radio dead zones cannot be serviced by locations outside of the</w:t>
      </w:r>
      <w:r>
        <w:rPr/>
        <w:t> recreation</w:t>
      </w:r>
      <w:r>
        <w:rPr>
          <w:spacing w:val="-7"/>
        </w:rPr>
        <w:t> </w:t>
      </w:r>
      <w:r>
        <w:rPr/>
        <w:t>area.</w:t>
      </w:r>
      <w:r>
        <w:rPr>
          <w:spacing w:val="-5"/>
        </w:rPr>
        <w:t> </w:t>
      </w:r>
      <w:r>
        <w:rPr/>
        <w:t>Repeaters</w:t>
      </w:r>
      <w:r>
        <w:rPr>
          <w:spacing w:val="-7"/>
        </w:rPr>
        <w:t> </w:t>
      </w:r>
      <w:r>
        <w:rPr/>
        <w:t>should</w:t>
      </w:r>
      <w:r>
        <w:rPr>
          <w:spacing w:val="-6"/>
        </w:rPr>
        <w:t> </w:t>
      </w:r>
      <w:r>
        <w:rPr/>
        <w:t>be</w:t>
      </w:r>
      <w:r>
        <w:rPr>
          <w:spacing w:val="-7"/>
        </w:rPr>
        <w:t> </w:t>
      </w:r>
      <w:r>
        <w:rPr/>
        <w:t>out</w:t>
      </w:r>
      <w:r>
        <w:rPr>
          <w:spacing w:val="-7"/>
        </w:rPr>
        <w:t> </w:t>
      </w:r>
      <w:r>
        <w:rPr/>
        <w:t>of</w:t>
      </w:r>
      <w:r>
        <w:rPr>
          <w:spacing w:val="-5"/>
        </w:rPr>
        <w:t> </w:t>
      </w:r>
      <w:r>
        <w:rPr/>
        <w:t>sight</w:t>
      </w:r>
      <w:r>
        <w:rPr>
          <w:spacing w:val="-7"/>
        </w:rPr>
        <w:t> </w:t>
      </w:r>
      <w:r>
        <w:rPr/>
        <w:t>of</w:t>
      </w:r>
      <w:r>
        <w:rPr>
          <w:spacing w:val="-7"/>
        </w:rPr>
        <w:t> </w:t>
      </w:r>
      <w:r>
        <w:rPr/>
        <w:t>trails</w:t>
      </w:r>
      <w:r>
        <w:rPr>
          <w:spacing w:val="-5"/>
        </w:rPr>
        <w:t> </w:t>
      </w:r>
      <w:r>
        <w:rPr/>
        <w:t>and</w:t>
      </w:r>
      <w:r>
        <w:rPr>
          <w:spacing w:val="-6"/>
        </w:rPr>
        <w:t> </w:t>
      </w:r>
      <w:r>
        <w:rPr/>
        <w:t>destination</w:t>
      </w:r>
      <w:r>
        <w:rPr>
          <w:spacing w:val="-6"/>
        </w:rPr>
        <w:t> </w:t>
      </w:r>
      <w:r>
        <w:rPr/>
        <w:t>areas.</w:t>
      </w:r>
      <w:r>
        <w:rPr>
          <w:spacing w:val="-7"/>
        </w:rPr>
        <w:t> </w:t>
      </w:r>
      <w:r>
        <w:rPr/>
        <w:t>Communication facilities essential for provisional uses may be co-located with Forest Service repeaters.</w:t>
      </w:r>
    </w:p>
    <w:p>
      <w:pPr>
        <w:spacing w:before="234"/>
        <w:ind w:left="1151" w:right="0" w:firstLine="0"/>
        <w:jc w:val="left"/>
        <w:rPr>
          <w:rFonts w:ascii="Arial"/>
          <w:i/>
          <w:sz w:val="22"/>
        </w:rPr>
      </w:pPr>
      <w:bookmarkStart w:name="MA-GDL-KCRA-03. Fire" w:id="816"/>
      <w:bookmarkEnd w:id="816"/>
      <w:r>
        <w:rPr/>
      </w:r>
      <w:r>
        <w:rPr>
          <w:rFonts w:ascii="Arial"/>
          <w:i/>
          <w:sz w:val="22"/>
        </w:rPr>
        <w:t>MA-GDL-KCRA-03.</w:t>
      </w:r>
      <w:r>
        <w:rPr>
          <w:rFonts w:ascii="Arial"/>
          <w:i/>
          <w:spacing w:val="-14"/>
          <w:sz w:val="22"/>
        </w:rPr>
        <w:t> </w:t>
      </w:r>
      <w:r>
        <w:rPr>
          <w:rFonts w:ascii="Arial"/>
          <w:i/>
          <w:spacing w:val="-4"/>
          <w:sz w:val="22"/>
        </w:rPr>
        <w:t>Fire</w:t>
      </w:r>
    </w:p>
    <w:p>
      <w:pPr>
        <w:pStyle w:val="BodyText"/>
        <w:spacing w:line="232" w:lineRule="auto" w:before="65"/>
        <w:ind w:left="1151" w:right="742"/>
      </w:pPr>
      <w:r>
        <w:rPr/>
        <w:t>Use of planned and management of unplanned fire ignitions may be authorized. Fire should be allowed to play its natural ecological role in the semi-primitive non-motorized and semi- primitive motorized ROS classes of the KCRA. The preferred strategy for managing unplanned fires</w:t>
      </w:r>
      <w:r>
        <w:rPr>
          <w:spacing w:val="-4"/>
        </w:rPr>
        <w:t> </w:t>
      </w:r>
      <w:r>
        <w:rPr/>
        <w:t>is</w:t>
      </w:r>
      <w:r>
        <w:rPr>
          <w:spacing w:val="-6"/>
        </w:rPr>
        <w:t> </w:t>
      </w:r>
      <w:r>
        <w:rPr/>
        <w:t>to</w:t>
      </w:r>
      <w:r>
        <w:rPr>
          <w:spacing w:val="-5"/>
        </w:rPr>
        <w:t> </w:t>
      </w:r>
      <w:r>
        <w:rPr/>
        <w:t>manage</w:t>
      </w:r>
      <w:r>
        <w:rPr>
          <w:spacing w:val="-6"/>
        </w:rPr>
        <w:t> </w:t>
      </w:r>
      <w:r>
        <w:rPr/>
        <w:t>for</w:t>
      </w:r>
      <w:r>
        <w:rPr>
          <w:spacing w:val="-6"/>
        </w:rPr>
        <w:t> </w:t>
      </w:r>
      <w:r>
        <w:rPr/>
        <w:t>the</w:t>
      </w:r>
      <w:r>
        <w:rPr>
          <w:spacing w:val="-3"/>
        </w:rPr>
        <w:t> </w:t>
      </w:r>
      <w:r>
        <w:rPr/>
        <w:t>benefit</w:t>
      </w:r>
      <w:r>
        <w:rPr>
          <w:spacing w:val="-6"/>
        </w:rPr>
        <w:t> </w:t>
      </w:r>
      <w:r>
        <w:rPr/>
        <w:t>of</w:t>
      </w:r>
      <w:r>
        <w:rPr>
          <w:spacing w:val="-4"/>
        </w:rPr>
        <w:t> </w:t>
      </w:r>
      <w:r>
        <w:rPr/>
        <w:t>resources.</w:t>
      </w:r>
      <w:r>
        <w:rPr>
          <w:spacing w:val="-4"/>
        </w:rPr>
        <w:t> </w:t>
      </w:r>
      <w:r>
        <w:rPr/>
        <w:t>A</w:t>
      </w:r>
      <w:r>
        <w:rPr>
          <w:spacing w:val="-7"/>
        </w:rPr>
        <w:t> </w:t>
      </w:r>
      <w:r>
        <w:rPr/>
        <w:t>full</w:t>
      </w:r>
      <w:r>
        <w:rPr>
          <w:spacing w:val="-4"/>
        </w:rPr>
        <w:t> </w:t>
      </w:r>
      <w:r>
        <w:rPr/>
        <w:t>suppression</w:t>
      </w:r>
      <w:r>
        <w:rPr>
          <w:spacing w:val="-5"/>
        </w:rPr>
        <w:t> </w:t>
      </w:r>
      <w:r>
        <w:rPr/>
        <w:t>strategy</w:t>
      </w:r>
      <w:r>
        <w:rPr>
          <w:spacing w:val="-5"/>
        </w:rPr>
        <w:t> </w:t>
      </w:r>
      <w:r>
        <w:rPr/>
        <w:t>may</w:t>
      </w:r>
      <w:r>
        <w:rPr>
          <w:spacing w:val="-3"/>
        </w:rPr>
        <w:t> </w:t>
      </w:r>
      <w:r>
        <w:rPr/>
        <w:t>be</w:t>
      </w:r>
      <w:r>
        <w:rPr>
          <w:spacing w:val="-6"/>
        </w:rPr>
        <w:t> </w:t>
      </w:r>
      <w:r>
        <w:rPr/>
        <w:t>used</w:t>
      </w:r>
      <w:r>
        <w:rPr>
          <w:spacing w:val="-5"/>
        </w:rPr>
        <w:t> </w:t>
      </w:r>
      <w:r>
        <w:rPr/>
        <w:t>where</w:t>
      </w:r>
      <w:r>
        <w:rPr>
          <w:spacing w:val="-6"/>
        </w:rPr>
        <w:t> </w:t>
      </w:r>
      <w:r>
        <w:rPr/>
        <w:t>or when a fire:</w:t>
      </w:r>
    </w:p>
    <w:p>
      <w:pPr>
        <w:pStyle w:val="ListParagraph"/>
        <w:numPr>
          <w:ilvl w:val="0"/>
          <w:numId w:val="22"/>
        </w:numPr>
        <w:tabs>
          <w:tab w:pos="1691" w:val="left" w:leader="none"/>
        </w:tabs>
        <w:spacing w:line="232" w:lineRule="auto" w:before="197" w:after="0"/>
        <w:ind w:left="1691" w:right="1303" w:hanging="360"/>
        <w:jc w:val="left"/>
        <w:rPr>
          <w:sz w:val="22"/>
        </w:rPr>
      </w:pPr>
      <w:r>
        <w:rPr>
          <w:sz w:val="22"/>
        </w:rPr>
        <w:t>has</w:t>
      </w:r>
      <w:r>
        <w:rPr>
          <w:spacing w:val="-5"/>
          <w:sz w:val="22"/>
        </w:rPr>
        <w:t> </w:t>
      </w:r>
      <w:r>
        <w:rPr>
          <w:sz w:val="22"/>
        </w:rPr>
        <w:t>a</w:t>
      </w:r>
      <w:r>
        <w:rPr>
          <w:spacing w:val="-5"/>
          <w:sz w:val="22"/>
        </w:rPr>
        <w:t> </w:t>
      </w:r>
      <w:r>
        <w:rPr>
          <w:sz w:val="22"/>
        </w:rPr>
        <w:t>high</w:t>
      </w:r>
      <w:r>
        <w:rPr>
          <w:spacing w:val="-6"/>
          <w:sz w:val="22"/>
        </w:rPr>
        <w:t> </w:t>
      </w:r>
      <w:r>
        <w:rPr>
          <w:sz w:val="22"/>
        </w:rPr>
        <w:t>potential</w:t>
      </w:r>
      <w:r>
        <w:rPr>
          <w:spacing w:val="-5"/>
          <w:sz w:val="22"/>
        </w:rPr>
        <w:t> </w:t>
      </w:r>
      <w:r>
        <w:rPr>
          <w:sz w:val="22"/>
        </w:rPr>
        <w:t>to</w:t>
      </w:r>
      <w:r>
        <w:rPr>
          <w:spacing w:val="-4"/>
          <w:sz w:val="22"/>
        </w:rPr>
        <w:t> </w:t>
      </w:r>
      <w:r>
        <w:rPr>
          <w:sz w:val="22"/>
        </w:rPr>
        <w:t>spread</w:t>
      </w:r>
      <w:r>
        <w:rPr>
          <w:spacing w:val="-6"/>
          <w:sz w:val="22"/>
        </w:rPr>
        <w:t> </w:t>
      </w:r>
      <w:r>
        <w:rPr>
          <w:sz w:val="22"/>
        </w:rPr>
        <w:t>outside</w:t>
      </w:r>
      <w:r>
        <w:rPr>
          <w:spacing w:val="-7"/>
          <w:sz w:val="22"/>
        </w:rPr>
        <w:t> </w:t>
      </w:r>
      <w:r>
        <w:rPr>
          <w:sz w:val="22"/>
        </w:rPr>
        <w:t>national</w:t>
      </w:r>
      <w:r>
        <w:rPr>
          <w:spacing w:val="-5"/>
          <w:sz w:val="22"/>
        </w:rPr>
        <w:t> </w:t>
      </w:r>
      <w:r>
        <w:rPr>
          <w:sz w:val="22"/>
        </w:rPr>
        <w:t>forest</w:t>
      </w:r>
      <w:r>
        <w:rPr>
          <w:spacing w:val="-4"/>
          <w:sz w:val="22"/>
        </w:rPr>
        <w:t> </w:t>
      </w:r>
      <w:r>
        <w:rPr>
          <w:sz w:val="22"/>
        </w:rPr>
        <w:t>boundaries,</w:t>
      </w:r>
      <w:r>
        <w:rPr>
          <w:spacing w:val="-7"/>
          <w:sz w:val="22"/>
        </w:rPr>
        <w:t> </w:t>
      </w:r>
      <w:r>
        <w:rPr>
          <w:sz w:val="22"/>
        </w:rPr>
        <w:t>or</w:t>
      </w:r>
      <w:r>
        <w:rPr>
          <w:spacing w:val="-5"/>
          <w:sz w:val="22"/>
        </w:rPr>
        <w:t> </w:t>
      </w:r>
      <w:r>
        <w:rPr>
          <w:sz w:val="22"/>
        </w:rPr>
        <w:t>into</w:t>
      </w:r>
      <w:r>
        <w:rPr>
          <w:spacing w:val="-4"/>
          <w:sz w:val="22"/>
        </w:rPr>
        <w:t> </w:t>
      </w:r>
      <w:r>
        <w:rPr>
          <w:sz w:val="22"/>
        </w:rPr>
        <w:t>areas</w:t>
      </w:r>
      <w:r>
        <w:rPr>
          <w:spacing w:val="-7"/>
          <w:sz w:val="22"/>
        </w:rPr>
        <w:t> </w:t>
      </w:r>
      <w:r>
        <w:rPr>
          <w:sz w:val="22"/>
        </w:rPr>
        <w:t>with extensive recreation or administrative developments;</w:t>
      </w:r>
    </w:p>
    <w:p>
      <w:pPr>
        <w:pStyle w:val="ListParagraph"/>
        <w:numPr>
          <w:ilvl w:val="0"/>
          <w:numId w:val="22"/>
        </w:numPr>
        <w:tabs>
          <w:tab w:pos="1691" w:val="left" w:leader="none"/>
        </w:tabs>
        <w:spacing w:line="240" w:lineRule="auto" w:before="111" w:after="0"/>
        <w:ind w:left="1691" w:right="0" w:hanging="359"/>
        <w:jc w:val="left"/>
        <w:rPr>
          <w:sz w:val="22"/>
        </w:rPr>
      </w:pPr>
      <w:r>
        <w:rPr>
          <w:sz w:val="22"/>
        </w:rPr>
        <w:t>is</w:t>
      </w:r>
      <w:r>
        <w:rPr>
          <w:spacing w:val="-6"/>
          <w:sz w:val="22"/>
        </w:rPr>
        <w:t> </w:t>
      </w:r>
      <w:r>
        <w:rPr>
          <w:sz w:val="22"/>
        </w:rPr>
        <w:t>not</w:t>
      </w:r>
      <w:r>
        <w:rPr>
          <w:spacing w:val="-7"/>
          <w:sz w:val="22"/>
        </w:rPr>
        <w:t> </w:t>
      </w:r>
      <w:r>
        <w:rPr>
          <w:sz w:val="22"/>
        </w:rPr>
        <w:t>meeting</w:t>
      </w:r>
      <w:r>
        <w:rPr>
          <w:spacing w:val="-6"/>
          <w:sz w:val="22"/>
        </w:rPr>
        <w:t> </w:t>
      </w:r>
      <w:r>
        <w:rPr>
          <w:sz w:val="22"/>
        </w:rPr>
        <w:t>resource</w:t>
      </w:r>
      <w:r>
        <w:rPr>
          <w:spacing w:val="-7"/>
          <w:sz w:val="22"/>
        </w:rPr>
        <w:t> </w:t>
      </w:r>
      <w:r>
        <w:rPr>
          <w:sz w:val="22"/>
        </w:rPr>
        <w:t>objectives;</w:t>
      </w:r>
      <w:r>
        <w:rPr>
          <w:spacing w:val="-6"/>
          <w:sz w:val="22"/>
        </w:rPr>
        <w:t> </w:t>
      </w:r>
      <w:r>
        <w:rPr>
          <w:spacing w:val="-5"/>
          <w:sz w:val="22"/>
        </w:rPr>
        <w:t>or</w:t>
      </w:r>
    </w:p>
    <w:p>
      <w:pPr>
        <w:pStyle w:val="ListParagraph"/>
        <w:numPr>
          <w:ilvl w:val="0"/>
          <w:numId w:val="22"/>
        </w:numPr>
        <w:tabs>
          <w:tab w:pos="1691" w:val="left" w:leader="none"/>
        </w:tabs>
        <w:spacing w:line="240" w:lineRule="auto" w:before="113" w:after="0"/>
        <w:ind w:left="1691" w:right="0" w:hanging="359"/>
        <w:jc w:val="left"/>
        <w:rPr>
          <w:sz w:val="22"/>
        </w:rPr>
      </w:pPr>
      <w:r>
        <w:rPr>
          <w:sz w:val="22"/>
        </w:rPr>
        <w:t>would</w:t>
      </w:r>
      <w:r>
        <w:rPr>
          <w:spacing w:val="-11"/>
          <w:sz w:val="22"/>
        </w:rPr>
        <w:t> </w:t>
      </w:r>
      <w:r>
        <w:rPr>
          <w:sz w:val="22"/>
        </w:rPr>
        <w:t>adversely</w:t>
      </w:r>
      <w:r>
        <w:rPr>
          <w:spacing w:val="-8"/>
          <w:sz w:val="22"/>
        </w:rPr>
        <w:t> </w:t>
      </w:r>
      <w:r>
        <w:rPr>
          <w:sz w:val="22"/>
        </w:rPr>
        <w:t>affect</w:t>
      </w:r>
      <w:r>
        <w:rPr>
          <w:spacing w:val="-8"/>
          <w:sz w:val="22"/>
        </w:rPr>
        <w:t> </w:t>
      </w:r>
      <w:r>
        <w:rPr>
          <w:sz w:val="22"/>
        </w:rPr>
        <w:t>the</w:t>
      </w:r>
      <w:r>
        <w:rPr>
          <w:spacing w:val="-7"/>
          <w:sz w:val="22"/>
        </w:rPr>
        <w:t> </w:t>
      </w:r>
      <w:r>
        <w:rPr>
          <w:sz w:val="22"/>
        </w:rPr>
        <w:t>long-term</w:t>
      </w:r>
      <w:r>
        <w:rPr>
          <w:spacing w:val="-6"/>
          <w:sz w:val="22"/>
        </w:rPr>
        <w:t> </w:t>
      </w:r>
      <w:r>
        <w:rPr>
          <w:sz w:val="22"/>
        </w:rPr>
        <w:t>recovery</w:t>
      </w:r>
      <w:r>
        <w:rPr>
          <w:spacing w:val="-8"/>
          <w:sz w:val="22"/>
        </w:rPr>
        <w:t> </w:t>
      </w:r>
      <w:r>
        <w:rPr>
          <w:sz w:val="22"/>
        </w:rPr>
        <w:t>of</w:t>
      </w:r>
      <w:r>
        <w:rPr>
          <w:spacing w:val="-8"/>
          <w:sz w:val="22"/>
        </w:rPr>
        <w:t> </w:t>
      </w:r>
      <w:r>
        <w:rPr>
          <w:sz w:val="22"/>
        </w:rPr>
        <w:t>ESA</w:t>
      </w:r>
      <w:r>
        <w:rPr>
          <w:spacing w:val="-7"/>
          <w:sz w:val="22"/>
        </w:rPr>
        <w:t> </w:t>
      </w:r>
      <w:r>
        <w:rPr>
          <w:sz w:val="22"/>
        </w:rPr>
        <w:t>listed</w:t>
      </w:r>
      <w:r>
        <w:rPr>
          <w:spacing w:val="-8"/>
          <w:sz w:val="22"/>
        </w:rPr>
        <w:t> </w:t>
      </w:r>
      <w:r>
        <w:rPr>
          <w:spacing w:val="-2"/>
          <w:sz w:val="22"/>
        </w:rPr>
        <w:t>species.</w:t>
      </w:r>
    </w:p>
    <w:p>
      <w:pPr>
        <w:spacing w:before="231"/>
        <w:ind w:left="1151" w:right="0" w:firstLine="0"/>
        <w:jc w:val="left"/>
        <w:rPr>
          <w:rFonts w:ascii="Arial"/>
          <w:i/>
          <w:sz w:val="22"/>
        </w:rPr>
      </w:pPr>
      <w:bookmarkStart w:name="MA-GDL-KCRA-04. Invasive Species" w:id="817"/>
      <w:bookmarkEnd w:id="817"/>
      <w:r>
        <w:rPr/>
      </w:r>
      <w:r>
        <w:rPr>
          <w:rFonts w:ascii="Arial"/>
          <w:i/>
          <w:sz w:val="22"/>
        </w:rPr>
        <w:t>MA-GDL-KCRA-04.</w:t>
      </w:r>
      <w:r>
        <w:rPr>
          <w:rFonts w:ascii="Arial"/>
          <w:i/>
          <w:spacing w:val="-11"/>
          <w:sz w:val="22"/>
        </w:rPr>
        <w:t> </w:t>
      </w:r>
      <w:r>
        <w:rPr>
          <w:rFonts w:ascii="Arial"/>
          <w:i/>
          <w:sz w:val="22"/>
        </w:rPr>
        <w:t>Invasive</w:t>
      </w:r>
      <w:r>
        <w:rPr>
          <w:rFonts w:ascii="Arial"/>
          <w:i/>
          <w:spacing w:val="-10"/>
          <w:sz w:val="22"/>
        </w:rPr>
        <w:t> </w:t>
      </w:r>
      <w:r>
        <w:rPr>
          <w:rFonts w:ascii="Arial"/>
          <w:i/>
          <w:spacing w:val="-2"/>
          <w:sz w:val="22"/>
        </w:rPr>
        <w:t>Species</w:t>
      </w:r>
    </w:p>
    <w:p>
      <w:pPr>
        <w:pStyle w:val="BodyText"/>
        <w:spacing w:line="232" w:lineRule="auto" w:before="65"/>
        <w:ind w:left="1151" w:right="742"/>
      </w:pPr>
      <w:r>
        <w:rPr/>
        <w:t>Manual,</w:t>
      </w:r>
      <w:r>
        <w:rPr>
          <w:spacing w:val="-7"/>
        </w:rPr>
        <w:t> </w:t>
      </w:r>
      <w:r>
        <w:rPr/>
        <w:t>biological,</w:t>
      </w:r>
      <w:r>
        <w:rPr>
          <w:spacing w:val="-7"/>
        </w:rPr>
        <w:t> </w:t>
      </w:r>
      <w:r>
        <w:rPr/>
        <w:t>cultural,</w:t>
      </w:r>
      <w:r>
        <w:rPr>
          <w:spacing w:val="-7"/>
        </w:rPr>
        <w:t> </w:t>
      </w:r>
      <w:r>
        <w:rPr/>
        <w:t>mechanical</w:t>
      </w:r>
      <w:r>
        <w:rPr>
          <w:spacing w:val="-7"/>
        </w:rPr>
        <w:t> </w:t>
      </w:r>
      <w:r>
        <w:rPr/>
        <w:t>or</w:t>
      </w:r>
      <w:r>
        <w:rPr>
          <w:spacing w:val="-7"/>
        </w:rPr>
        <w:t> </w:t>
      </w:r>
      <w:r>
        <w:rPr/>
        <w:t>chemical</w:t>
      </w:r>
      <w:r>
        <w:rPr>
          <w:spacing w:val="-9"/>
        </w:rPr>
        <w:t> </w:t>
      </w:r>
      <w:r>
        <w:rPr/>
        <w:t>treatments</w:t>
      </w:r>
      <w:r>
        <w:rPr>
          <w:spacing w:val="-8"/>
        </w:rPr>
        <w:t> </w:t>
      </w:r>
      <w:r>
        <w:rPr/>
        <w:t>may</w:t>
      </w:r>
      <w:r>
        <w:rPr>
          <w:spacing w:val="-7"/>
        </w:rPr>
        <w:t> </w:t>
      </w:r>
      <w:r>
        <w:rPr/>
        <w:t>be</w:t>
      </w:r>
      <w:r>
        <w:rPr>
          <w:spacing w:val="-6"/>
        </w:rPr>
        <w:t> </w:t>
      </w:r>
      <w:r>
        <w:rPr/>
        <w:t>authorized</w:t>
      </w:r>
      <w:r>
        <w:rPr>
          <w:spacing w:val="-7"/>
        </w:rPr>
        <w:t> </w:t>
      </w:r>
      <w:r>
        <w:rPr/>
        <w:t>to</w:t>
      </w:r>
      <w:r>
        <w:rPr>
          <w:spacing w:val="-7"/>
        </w:rPr>
        <w:t> </w:t>
      </w:r>
      <w:r>
        <w:rPr/>
        <w:t>eradicate, reduce, or control populations of invasive species within all ROS classes of the recreation area.</w:t>
      </w:r>
    </w:p>
    <w:p>
      <w:pPr>
        <w:spacing w:before="234"/>
        <w:ind w:left="1151" w:right="0" w:firstLine="0"/>
        <w:jc w:val="left"/>
        <w:rPr>
          <w:rFonts w:ascii="Arial"/>
          <w:i/>
          <w:sz w:val="22"/>
        </w:rPr>
      </w:pPr>
      <w:bookmarkStart w:name="MA-GDL-KCRA-05. Trail and Facility Maint" w:id="818"/>
      <w:bookmarkEnd w:id="818"/>
      <w:r>
        <w:rPr/>
      </w:r>
      <w:r>
        <w:rPr>
          <w:rFonts w:ascii="Arial"/>
          <w:i/>
          <w:sz w:val="22"/>
        </w:rPr>
        <w:t>MA-GDL-KCRA-05.</w:t>
      </w:r>
      <w:r>
        <w:rPr>
          <w:rFonts w:ascii="Arial"/>
          <w:i/>
          <w:spacing w:val="-8"/>
          <w:sz w:val="22"/>
        </w:rPr>
        <w:t> </w:t>
      </w:r>
      <w:r>
        <w:rPr>
          <w:rFonts w:ascii="Arial"/>
          <w:i/>
          <w:sz w:val="22"/>
        </w:rPr>
        <w:t>Trail</w:t>
      </w:r>
      <w:r>
        <w:rPr>
          <w:rFonts w:ascii="Arial"/>
          <w:i/>
          <w:spacing w:val="-9"/>
          <w:sz w:val="22"/>
        </w:rPr>
        <w:t> </w:t>
      </w:r>
      <w:r>
        <w:rPr>
          <w:rFonts w:ascii="Arial"/>
          <w:i/>
          <w:sz w:val="22"/>
        </w:rPr>
        <w:t>and</w:t>
      </w:r>
      <w:r>
        <w:rPr>
          <w:rFonts w:ascii="Arial"/>
          <w:i/>
          <w:spacing w:val="-7"/>
          <w:sz w:val="22"/>
        </w:rPr>
        <w:t> </w:t>
      </w:r>
      <w:r>
        <w:rPr>
          <w:rFonts w:ascii="Arial"/>
          <w:i/>
          <w:sz w:val="22"/>
        </w:rPr>
        <w:t>Facility</w:t>
      </w:r>
      <w:r>
        <w:rPr>
          <w:rFonts w:ascii="Arial"/>
          <w:i/>
          <w:spacing w:val="-5"/>
          <w:sz w:val="22"/>
        </w:rPr>
        <w:t> </w:t>
      </w:r>
      <w:r>
        <w:rPr>
          <w:rFonts w:ascii="Arial"/>
          <w:i/>
          <w:spacing w:val="-2"/>
          <w:sz w:val="22"/>
        </w:rPr>
        <w:t>Maintenance</w:t>
      </w:r>
    </w:p>
    <w:p>
      <w:pPr>
        <w:pStyle w:val="BodyText"/>
        <w:spacing w:line="232" w:lineRule="auto" w:before="65"/>
        <w:ind w:left="1151" w:right="801"/>
      </w:pPr>
      <w:r>
        <w:rPr/>
        <w:t>Motorized (chainsaws, toters, trail machines, motorcycles, etc.) and mechanized (mountain bikes, wheel barrels, etc.) equipment may be used to complete annual trail and facility maintenance</w:t>
      </w:r>
      <w:r>
        <w:rPr>
          <w:spacing w:val="-4"/>
        </w:rPr>
        <w:t> </w:t>
      </w:r>
      <w:r>
        <w:rPr/>
        <w:t>tasks</w:t>
      </w:r>
      <w:r>
        <w:rPr>
          <w:spacing w:val="-5"/>
        </w:rPr>
        <w:t> </w:t>
      </w:r>
      <w:r>
        <w:rPr/>
        <w:t>as</w:t>
      </w:r>
      <w:r>
        <w:rPr>
          <w:spacing w:val="-6"/>
        </w:rPr>
        <w:t> </w:t>
      </w:r>
      <w:r>
        <w:rPr/>
        <w:t>well</w:t>
      </w:r>
      <w:r>
        <w:rPr>
          <w:spacing w:val="-7"/>
        </w:rPr>
        <w:t> </w:t>
      </w:r>
      <w:r>
        <w:rPr/>
        <w:t>as</w:t>
      </w:r>
      <w:r>
        <w:rPr>
          <w:spacing w:val="-5"/>
        </w:rPr>
        <w:t> </w:t>
      </w:r>
      <w:r>
        <w:rPr/>
        <w:t>trail</w:t>
      </w:r>
      <w:r>
        <w:rPr>
          <w:spacing w:val="-5"/>
        </w:rPr>
        <w:t> </w:t>
      </w:r>
      <w:r>
        <w:rPr/>
        <w:t>and</w:t>
      </w:r>
      <w:r>
        <w:rPr>
          <w:spacing w:val="-6"/>
        </w:rPr>
        <w:t> </w:t>
      </w:r>
      <w:r>
        <w:rPr/>
        <w:t>facility</w:t>
      </w:r>
      <w:r>
        <w:rPr>
          <w:spacing w:val="-4"/>
        </w:rPr>
        <w:t> </w:t>
      </w:r>
      <w:r>
        <w:rPr/>
        <w:t>reconstruction</w:t>
      </w:r>
      <w:r>
        <w:rPr>
          <w:spacing w:val="-6"/>
        </w:rPr>
        <w:t> </w:t>
      </w:r>
      <w:r>
        <w:rPr/>
        <w:t>projects</w:t>
      </w:r>
      <w:r>
        <w:rPr>
          <w:spacing w:val="-6"/>
        </w:rPr>
        <w:t> </w:t>
      </w:r>
      <w:r>
        <w:rPr/>
        <w:t>in</w:t>
      </w:r>
      <w:r>
        <w:rPr>
          <w:spacing w:val="-6"/>
        </w:rPr>
        <w:t> </w:t>
      </w:r>
      <w:r>
        <w:rPr/>
        <w:t>all</w:t>
      </w:r>
      <w:r>
        <w:rPr>
          <w:spacing w:val="-5"/>
        </w:rPr>
        <w:t> </w:t>
      </w:r>
      <w:r>
        <w:rPr/>
        <w:t>ROS</w:t>
      </w:r>
      <w:r>
        <w:rPr>
          <w:spacing w:val="-6"/>
        </w:rPr>
        <w:t> </w:t>
      </w:r>
      <w:r>
        <w:rPr/>
        <w:t>classes</w:t>
      </w:r>
      <w:r>
        <w:rPr>
          <w:spacing w:val="-6"/>
        </w:rPr>
        <w:t> </w:t>
      </w:r>
      <w:r>
        <w:rPr/>
        <w:t>within the recreation area.</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pPr>
      <w:bookmarkStart w:name="Suitable Uses" w:id="819"/>
      <w:bookmarkEnd w:id="819"/>
      <w:r>
        <w:rPr/>
      </w:r>
      <w:bookmarkStart w:name="_bookmark247" w:id="820"/>
      <w:bookmarkEnd w:id="820"/>
      <w:r>
        <w:rPr/>
      </w:r>
      <w:r>
        <w:rPr/>
        <w:t>Suitable</w:t>
      </w:r>
      <w:r>
        <w:rPr>
          <w:spacing w:val="-5"/>
        </w:rPr>
        <w:t> </w:t>
      </w:r>
      <w:r>
        <w:rPr>
          <w:spacing w:val="-4"/>
        </w:rPr>
        <w:t>Uses</w:t>
      </w:r>
    </w:p>
    <w:p>
      <w:pPr>
        <w:spacing w:before="240"/>
        <w:ind w:left="360" w:right="0" w:firstLine="0"/>
        <w:jc w:val="left"/>
        <w:rPr>
          <w:rFonts w:ascii="Arial"/>
          <w:i/>
          <w:sz w:val="22"/>
        </w:rPr>
      </w:pPr>
      <w:bookmarkStart w:name="MA-SU-KCRA-01. Suitable Uses" w:id="821"/>
      <w:bookmarkEnd w:id="821"/>
      <w:r>
        <w:rPr/>
      </w:r>
      <w:r>
        <w:rPr>
          <w:rFonts w:ascii="Arial"/>
          <w:i/>
          <w:sz w:val="22"/>
        </w:rPr>
        <w:t>MA-SU-KCRA-01.</w:t>
      </w:r>
      <w:r>
        <w:rPr>
          <w:rFonts w:ascii="Arial"/>
          <w:i/>
          <w:spacing w:val="-10"/>
          <w:sz w:val="22"/>
        </w:rPr>
        <w:t> </w:t>
      </w:r>
      <w:r>
        <w:rPr>
          <w:rFonts w:ascii="Arial"/>
          <w:i/>
          <w:sz w:val="22"/>
        </w:rPr>
        <w:t>Suitable</w:t>
      </w:r>
      <w:r>
        <w:rPr>
          <w:rFonts w:ascii="Arial"/>
          <w:i/>
          <w:spacing w:val="-11"/>
          <w:sz w:val="22"/>
        </w:rPr>
        <w:t> </w:t>
      </w:r>
      <w:r>
        <w:rPr>
          <w:rFonts w:ascii="Arial"/>
          <w:i/>
          <w:spacing w:val="-4"/>
          <w:sz w:val="22"/>
        </w:rPr>
        <w:t>Uses</w:t>
      </w:r>
    </w:p>
    <w:p>
      <w:pPr>
        <w:pStyle w:val="BodyText"/>
        <w:spacing w:before="105"/>
        <w:rPr>
          <w:rFonts w:ascii="Arial"/>
          <w:i/>
        </w:rPr>
      </w:pPr>
    </w:p>
    <w:p>
      <w:pPr>
        <w:spacing w:before="0" w:after="42"/>
        <w:ind w:left="360" w:right="0" w:firstLine="0"/>
        <w:jc w:val="left"/>
        <w:rPr>
          <w:rFonts w:ascii="Arial"/>
          <w:b/>
          <w:sz w:val="18"/>
        </w:rPr>
      </w:pPr>
      <w:bookmarkStart w:name="_bookmark248" w:id="822"/>
      <w:bookmarkEnd w:id="822"/>
      <w:r>
        <w:rPr/>
      </w:r>
      <w:r>
        <w:rPr>
          <w:rFonts w:ascii="Arial"/>
          <w:b/>
          <w:sz w:val="18"/>
        </w:rPr>
        <w:t>Table</w:t>
      </w:r>
      <w:r>
        <w:rPr>
          <w:rFonts w:ascii="Arial"/>
          <w:b/>
          <w:spacing w:val="-5"/>
          <w:sz w:val="18"/>
        </w:rPr>
        <w:t> </w:t>
      </w:r>
      <w:r>
        <w:rPr>
          <w:rFonts w:ascii="Arial"/>
          <w:b/>
          <w:sz w:val="18"/>
        </w:rPr>
        <w:t>30.</w:t>
      </w:r>
      <w:r>
        <w:rPr>
          <w:rFonts w:ascii="Arial"/>
          <w:b/>
          <w:spacing w:val="-4"/>
          <w:sz w:val="18"/>
        </w:rPr>
        <w:t> </w:t>
      </w:r>
      <w:r>
        <w:rPr>
          <w:rFonts w:ascii="Arial"/>
          <w:b/>
          <w:sz w:val="18"/>
        </w:rPr>
        <w:t>Suitable</w:t>
      </w:r>
      <w:r>
        <w:rPr>
          <w:rFonts w:ascii="Arial"/>
          <w:b/>
          <w:spacing w:val="-5"/>
          <w:sz w:val="18"/>
        </w:rPr>
        <w:t> </w:t>
      </w:r>
      <w:r>
        <w:rPr>
          <w:rFonts w:ascii="Arial"/>
          <w:b/>
          <w:sz w:val="18"/>
        </w:rPr>
        <w:t>uses</w:t>
      </w:r>
      <w:r>
        <w:rPr>
          <w:rFonts w:ascii="Arial"/>
          <w:b/>
          <w:spacing w:val="-2"/>
          <w:sz w:val="18"/>
        </w:rPr>
        <w:t> </w:t>
      </w:r>
      <w:r>
        <w:rPr>
          <w:rFonts w:ascii="Arial"/>
          <w:b/>
          <w:sz w:val="18"/>
        </w:rPr>
        <w:t>for</w:t>
      </w:r>
      <w:r>
        <w:rPr>
          <w:rFonts w:ascii="Arial"/>
          <w:b/>
          <w:spacing w:val="-4"/>
          <w:sz w:val="18"/>
        </w:rPr>
        <w:t> </w:t>
      </w:r>
      <w:r>
        <w:rPr>
          <w:rFonts w:ascii="Arial"/>
          <w:b/>
          <w:sz w:val="18"/>
        </w:rPr>
        <w:t>Kettle</w:t>
      </w:r>
      <w:r>
        <w:rPr>
          <w:rFonts w:ascii="Arial"/>
          <w:b/>
          <w:spacing w:val="-2"/>
          <w:sz w:val="18"/>
        </w:rPr>
        <w:t> </w:t>
      </w:r>
      <w:r>
        <w:rPr>
          <w:rFonts w:ascii="Arial"/>
          <w:b/>
          <w:sz w:val="18"/>
        </w:rPr>
        <w:t>Crest</w:t>
      </w:r>
      <w:r>
        <w:rPr>
          <w:rFonts w:ascii="Arial"/>
          <w:b/>
          <w:spacing w:val="-3"/>
          <w:sz w:val="18"/>
        </w:rPr>
        <w:t> </w:t>
      </w:r>
      <w:r>
        <w:rPr>
          <w:rFonts w:ascii="Arial"/>
          <w:b/>
          <w:sz w:val="18"/>
        </w:rPr>
        <w:t>Recreation</w:t>
      </w:r>
      <w:r>
        <w:rPr>
          <w:rFonts w:ascii="Arial"/>
          <w:b/>
          <w:spacing w:val="-3"/>
          <w:sz w:val="18"/>
        </w:rPr>
        <w:t> </w:t>
      </w:r>
      <w:r>
        <w:rPr>
          <w:rFonts w:ascii="Arial"/>
          <w:b/>
          <w:sz w:val="18"/>
        </w:rPr>
        <w:t>Area</w:t>
      </w:r>
      <w:r>
        <w:rPr>
          <w:rFonts w:ascii="Arial"/>
          <w:b/>
          <w:spacing w:val="-3"/>
          <w:sz w:val="18"/>
        </w:rPr>
        <w:t> </w:t>
      </w:r>
      <w:r>
        <w:rPr>
          <w:rFonts w:ascii="Arial"/>
          <w:b/>
          <w:sz w:val="18"/>
        </w:rPr>
        <w:t>Management</w:t>
      </w:r>
      <w:r>
        <w:rPr>
          <w:rFonts w:ascii="Arial"/>
          <w:b/>
          <w:spacing w:val="-3"/>
          <w:sz w:val="18"/>
        </w:rPr>
        <w:t> </w:t>
      </w:r>
      <w:r>
        <w:rPr>
          <w:rFonts w:ascii="Arial"/>
          <w:b/>
          <w:spacing w:val="-4"/>
          <w:sz w:val="18"/>
        </w:rPr>
        <w:t>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941"/>
        <w:gridCol w:w="2533"/>
        <w:gridCol w:w="2075"/>
      </w:tblGrid>
      <w:tr>
        <w:trPr>
          <w:trHeight w:val="287" w:hRule="atLeast"/>
        </w:trPr>
        <w:tc>
          <w:tcPr>
            <w:tcW w:w="3941" w:type="dxa"/>
            <w:tcBorders>
              <w:right w:val="nil"/>
            </w:tcBorders>
            <w:shd w:val="clear" w:color="auto" w:fill="D5E2BB"/>
          </w:tcPr>
          <w:p>
            <w:pPr>
              <w:pStyle w:val="TableParagraph"/>
              <w:spacing w:before="42"/>
              <w:ind w:left="15"/>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533" w:type="dxa"/>
            <w:tcBorders>
              <w:left w:val="nil"/>
              <w:right w:val="nil"/>
            </w:tcBorders>
            <w:shd w:val="clear" w:color="auto" w:fill="D5E2BB"/>
          </w:tcPr>
          <w:p>
            <w:pPr>
              <w:pStyle w:val="TableParagraph"/>
              <w:spacing w:before="42"/>
              <w:ind w:left="30" w:right="4"/>
              <w:jc w:val="center"/>
              <w:rPr>
                <w:b/>
                <w:sz w:val="18"/>
              </w:rPr>
            </w:pPr>
            <w:r>
              <w:rPr>
                <w:b/>
                <w:sz w:val="18"/>
              </w:rPr>
              <w:t>May</w:t>
            </w:r>
            <w:r>
              <w:rPr>
                <w:b/>
                <w:spacing w:val="-9"/>
                <w:sz w:val="18"/>
              </w:rPr>
              <w:t> </w:t>
            </w:r>
            <w:r>
              <w:rPr>
                <w:b/>
                <w:spacing w:val="-2"/>
                <w:sz w:val="18"/>
              </w:rPr>
              <w:t>authorize</w:t>
            </w:r>
          </w:p>
        </w:tc>
        <w:tc>
          <w:tcPr>
            <w:tcW w:w="2075" w:type="dxa"/>
            <w:tcBorders>
              <w:left w:val="nil"/>
            </w:tcBorders>
            <w:shd w:val="clear" w:color="auto" w:fill="D5E2BB"/>
          </w:tcPr>
          <w:p>
            <w:pPr>
              <w:pStyle w:val="TableParagraph"/>
              <w:spacing w:before="42"/>
              <w:ind w:left="277"/>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3941"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2533" w:type="dxa"/>
            <w:tcBorders>
              <w:left w:val="nil"/>
              <w:right w:val="nil"/>
            </w:tcBorders>
          </w:tcPr>
          <w:p>
            <w:pPr>
              <w:pStyle w:val="TableParagraph"/>
              <w:spacing w:before="42"/>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533" w:type="dxa"/>
            <w:tcBorders>
              <w:left w:val="nil"/>
              <w:right w:val="nil"/>
            </w:tcBorders>
          </w:tcPr>
          <w:p>
            <w:pPr>
              <w:pStyle w:val="TableParagraph"/>
              <w:ind w:left="30" w:right="6"/>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620" w:hRule="atLeast"/>
        </w:trPr>
        <w:tc>
          <w:tcPr>
            <w:tcW w:w="3941"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 timber harvest)</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line="204" w:lineRule="exact" w:before="0"/>
              <w:ind w:left="26" w:right="6"/>
              <w:jc w:val="center"/>
              <w:rPr>
                <w:sz w:val="18"/>
              </w:rPr>
            </w:pPr>
            <w:r>
              <w:rPr>
                <w:spacing w:val="-10"/>
                <w:sz w:val="18"/>
              </w:rPr>
              <w:t>X</w:t>
            </w:r>
          </w:p>
          <w:p>
            <w:pPr>
              <w:pStyle w:val="TableParagraph"/>
              <w:spacing w:line="209" w:lineRule="exact" w:before="0"/>
              <w:ind w:left="26"/>
              <w:jc w:val="center"/>
              <w:rPr>
                <w:sz w:val="18"/>
              </w:rPr>
            </w:pPr>
            <w:r>
              <w:rPr>
                <w:sz w:val="18"/>
              </w:rPr>
              <w:t>(SPM</w:t>
            </w:r>
            <w:hyperlink w:history="true" w:anchor="_bookmark249">
              <w:r>
                <w:rPr>
                  <w:position w:val="6"/>
                  <w:sz w:val="12"/>
                </w:rPr>
                <w:t>32</w:t>
              </w:r>
            </w:hyperlink>
            <w:r>
              <w:rPr>
                <w:spacing w:val="21"/>
                <w:position w:val="6"/>
                <w:sz w:val="12"/>
              </w:rPr>
              <w:t> </w:t>
            </w:r>
            <w:r>
              <w:rPr>
                <w:sz w:val="18"/>
              </w:rPr>
              <w:t>and</w:t>
            </w:r>
            <w:r>
              <w:rPr>
                <w:spacing w:val="5"/>
                <w:sz w:val="18"/>
              </w:rPr>
              <w:t> </w:t>
            </w:r>
            <w:r>
              <w:rPr>
                <w:spacing w:val="-4"/>
                <w:sz w:val="18"/>
              </w:rPr>
              <w:t>SPNM</w:t>
            </w:r>
          </w:p>
          <w:p>
            <w:pPr>
              <w:pStyle w:val="TableParagraph"/>
              <w:spacing w:line="187" w:lineRule="exact" w:before="2"/>
              <w:ind w:left="26" w:right="4"/>
              <w:jc w:val="center"/>
              <w:rPr>
                <w:sz w:val="18"/>
              </w:rPr>
            </w:pPr>
            <w:r>
              <w:rPr>
                <w:sz w:val="18"/>
              </w:rPr>
              <w:t>ROS</w:t>
            </w:r>
            <w:r>
              <w:rPr>
                <w:spacing w:val="-4"/>
                <w:sz w:val="18"/>
              </w:rPr>
              <w:t> </w:t>
            </w:r>
            <w:r>
              <w:rPr>
                <w:spacing w:val="-2"/>
                <w:sz w:val="18"/>
              </w:rPr>
              <w:t>classes)</w:t>
            </w:r>
          </w:p>
        </w:tc>
      </w:tr>
      <w:tr>
        <w:trPr>
          <w:trHeight w:val="620" w:hRule="atLeast"/>
        </w:trPr>
        <w:tc>
          <w:tcPr>
            <w:tcW w:w="3941"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2533" w:type="dxa"/>
            <w:tcBorders>
              <w:left w:val="nil"/>
              <w:right w:val="nil"/>
            </w:tcBorders>
          </w:tcPr>
          <w:p>
            <w:pPr>
              <w:pStyle w:val="TableParagraph"/>
              <w:ind w:left="30" w:right="6"/>
              <w:jc w:val="center"/>
              <w:rPr>
                <w:sz w:val="18"/>
              </w:rPr>
            </w:pPr>
            <w:r>
              <w:rPr>
                <w:spacing w:val="-10"/>
                <w:sz w:val="18"/>
              </w:rPr>
              <w:t>X</w:t>
            </w:r>
          </w:p>
        </w:tc>
        <w:tc>
          <w:tcPr>
            <w:tcW w:w="2075" w:type="dxa"/>
            <w:tcBorders>
              <w:left w:val="nil"/>
            </w:tcBorders>
          </w:tcPr>
          <w:p>
            <w:pPr>
              <w:pStyle w:val="TableParagraph"/>
              <w:spacing w:line="205" w:lineRule="exact" w:before="0"/>
              <w:ind w:left="26" w:right="6"/>
              <w:jc w:val="center"/>
              <w:rPr>
                <w:sz w:val="18"/>
              </w:rPr>
            </w:pPr>
            <w:r>
              <w:rPr>
                <w:spacing w:val="-10"/>
                <w:sz w:val="18"/>
              </w:rPr>
              <w:t>X</w:t>
            </w:r>
          </w:p>
          <w:p>
            <w:pPr>
              <w:pStyle w:val="TableParagraph"/>
              <w:spacing w:line="207" w:lineRule="exact" w:before="0"/>
              <w:ind w:left="26" w:right="3"/>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187" w:lineRule="exact" w:before="2"/>
              <w:ind w:left="26" w:right="1"/>
              <w:jc w:val="center"/>
              <w:rPr>
                <w:sz w:val="18"/>
              </w:rPr>
            </w:pPr>
            <w:r>
              <w:rPr>
                <w:spacing w:val="-2"/>
                <w:sz w:val="18"/>
              </w:rPr>
              <w:t>classes)</w:t>
            </w:r>
          </w:p>
        </w:tc>
      </w:tr>
      <w:tr>
        <w:trPr>
          <w:trHeight w:val="493" w:hRule="atLeast"/>
        </w:trPr>
        <w:tc>
          <w:tcPr>
            <w:tcW w:w="3941" w:type="dxa"/>
            <w:tcBorders>
              <w:right w:val="nil"/>
            </w:tcBorders>
          </w:tcPr>
          <w:p>
            <w:pPr>
              <w:pStyle w:val="TableParagraph"/>
              <w:ind w:left="107"/>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2533" w:type="dxa"/>
            <w:tcBorders>
              <w:left w:val="nil"/>
              <w:right w:val="nil"/>
            </w:tcBorders>
          </w:tcPr>
          <w:p>
            <w:pPr>
              <w:pStyle w:val="TableParagraph"/>
              <w:ind w:left="30" w:right="6"/>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533" w:type="dxa"/>
            <w:tcBorders>
              <w:left w:val="nil"/>
              <w:right w:val="nil"/>
            </w:tcBorders>
          </w:tcPr>
          <w:p>
            <w:pPr>
              <w:pStyle w:val="TableParagraph"/>
              <w:ind w:left="30" w:right="6"/>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908" w:hRule="atLeast"/>
        </w:trPr>
        <w:tc>
          <w:tcPr>
            <w:tcW w:w="3941" w:type="dxa"/>
            <w:tcBorders>
              <w:right w:val="nil"/>
            </w:tcBorders>
          </w:tcPr>
          <w:p>
            <w:pPr>
              <w:pStyle w:val="TableParagraph"/>
              <w:ind w:left="107" w:right="62"/>
              <w:rPr>
                <w:b/>
                <w:sz w:val="18"/>
              </w:rPr>
            </w:pPr>
            <w:r>
              <w:rPr>
                <w:b/>
                <w:sz w:val="18"/>
              </w:rPr>
              <w:t>Infrastructure,</w:t>
            </w:r>
            <w:r>
              <w:rPr>
                <w:b/>
                <w:spacing w:val="-13"/>
                <w:sz w:val="18"/>
              </w:rPr>
              <w:t> </w:t>
            </w:r>
            <w:r>
              <w:rPr>
                <w:b/>
                <w:sz w:val="18"/>
              </w:rPr>
              <w:t>above</w:t>
            </w:r>
            <w:r>
              <w:rPr>
                <w:b/>
                <w:spacing w:val="-12"/>
                <w:sz w:val="18"/>
              </w:rPr>
              <w:t> </w:t>
            </w:r>
            <w:r>
              <w:rPr>
                <w:b/>
                <w:sz w:val="18"/>
              </w:rPr>
              <w:t>ground</w:t>
            </w:r>
            <w:r>
              <w:rPr>
                <w:b/>
                <w:spacing w:val="-13"/>
                <w:sz w:val="18"/>
              </w:rPr>
              <w:t> </w:t>
            </w:r>
            <w:r>
              <w:rPr>
                <w:b/>
                <w:sz w:val="18"/>
              </w:rPr>
              <w:t>infrastructure associated with special use permits, such as communication sites, energy developments, and/or utility lines</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line="206" w:lineRule="exact" w:before="0"/>
              <w:ind w:left="26" w:right="6"/>
              <w:jc w:val="center"/>
              <w:rPr>
                <w:sz w:val="18"/>
              </w:rPr>
            </w:pPr>
            <w:r>
              <w:rPr>
                <w:spacing w:val="-10"/>
                <w:sz w:val="18"/>
              </w:rPr>
              <w:t>X</w:t>
            </w:r>
          </w:p>
          <w:p>
            <w:pPr>
              <w:pStyle w:val="TableParagraph"/>
              <w:spacing w:line="207" w:lineRule="exact" w:before="2"/>
              <w:ind w:left="26" w:right="3"/>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207" w:lineRule="exact" w:before="0"/>
              <w:ind w:left="26" w:right="6"/>
              <w:jc w:val="center"/>
              <w:rPr>
                <w:sz w:val="18"/>
              </w:rPr>
            </w:pPr>
            <w:r>
              <w:rPr>
                <w:spacing w:val="-2"/>
                <w:sz w:val="18"/>
              </w:rPr>
              <w:t>classes)</w:t>
            </w:r>
          </w:p>
        </w:tc>
      </w:tr>
      <w:tr>
        <w:trPr>
          <w:trHeight w:val="284" w:hRule="atLeast"/>
        </w:trPr>
        <w:tc>
          <w:tcPr>
            <w:tcW w:w="3941" w:type="dxa"/>
            <w:tcBorders>
              <w:right w:val="nil"/>
            </w:tcBorders>
          </w:tcPr>
          <w:p>
            <w:pPr>
              <w:pStyle w:val="TableParagraph"/>
              <w:ind w:left="107"/>
              <w:rPr>
                <w:b/>
                <w:sz w:val="18"/>
              </w:rPr>
            </w:pPr>
            <w:r>
              <w:rPr>
                <w:b/>
                <w:sz w:val="18"/>
              </w:rPr>
              <w:t>Mechanized</w:t>
            </w:r>
            <w:r>
              <w:rPr>
                <w:b/>
                <w:spacing w:val="-13"/>
                <w:sz w:val="18"/>
              </w:rPr>
              <w:t> </w:t>
            </w:r>
            <w:r>
              <w:rPr>
                <w:b/>
                <w:sz w:val="18"/>
              </w:rPr>
              <w:t>recreation</w:t>
            </w:r>
            <w:r>
              <w:rPr>
                <w:b/>
                <w:spacing w:val="-12"/>
                <w:sz w:val="18"/>
              </w:rPr>
              <w:t> </w:t>
            </w:r>
            <w:r>
              <w:rPr>
                <w:b/>
                <w:sz w:val="18"/>
              </w:rPr>
              <w:t>use,</w:t>
            </w:r>
            <w:r>
              <w:rPr>
                <w:b/>
                <w:spacing w:val="-12"/>
                <w:sz w:val="18"/>
              </w:rPr>
              <w:t> </w:t>
            </w:r>
            <w:r>
              <w:rPr>
                <w:b/>
                <w:spacing w:val="-2"/>
                <w:sz w:val="18"/>
              </w:rPr>
              <w:t>summer</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spacing w:before="42"/>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2533" w:type="dxa"/>
            <w:tcBorders>
              <w:left w:val="nil"/>
              <w:right w:val="nil"/>
            </w:tcBorders>
          </w:tcPr>
          <w:p>
            <w:pPr>
              <w:pStyle w:val="TableParagraph"/>
              <w:spacing w:before="42"/>
              <w:ind w:left="30" w:right="5"/>
              <w:jc w:val="center"/>
              <w:rPr>
                <w:sz w:val="18"/>
              </w:rPr>
            </w:pPr>
            <w:r>
              <w:rPr>
                <w:spacing w:val="-5"/>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locatable</w:t>
            </w:r>
          </w:p>
        </w:tc>
        <w:tc>
          <w:tcPr>
            <w:tcW w:w="2533" w:type="dxa"/>
            <w:tcBorders>
              <w:left w:val="nil"/>
              <w:right w:val="nil"/>
            </w:tcBorders>
          </w:tcPr>
          <w:p>
            <w:pPr>
              <w:pStyle w:val="TableParagraph"/>
              <w:spacing w:before="42"/>
              <w:ind w:left="30" w:right="8"/>
              <w:jc w:val="center"/>
              <w:rPr>
                <w:sz w:val="18"/>
              </w:rPr>
            </w:pPr>
            <w:r>
              <w:rPr>
                <w:spacing w:val="-5"/>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salable</w:t>
            </w:r>
          </w:p>
        </w:tc>
        <w:tc>
          <w:tcPr>
            <w:tcW w:w="2533" w:type="dxa"/>
            <w:tcBorders>
              <w:left w:val="nil"/>
              <w:right w:val="nil"/>
            </w:tcBorders>
          </w:tcPr>
          <w:p>
            <w:pPr>
              <w:pStyle w:val="TableParagraph"/>
              <w:spacing w:before="42"/>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493" w:hRule="atLeast"/>
        </w:trPr>
        <w:tc>
          <w:tcPr>
            <w:tcW w:w="3941" w:type="dxa"/>
            <w:tcBorders>
              <w:right w:val="nil"/>
            </w:tcBorders>
          </w:tcPr>
          <w:p>
            <w:pPr>
              <w:pStyle w:val="TableParagraph"/>
              <w:ind w:left="107"/>
              <w:rPr>
                <w:b/>
                <w:sz w:val="18"/>
              </w:rPr>
            </w:pPr>
            <w:r>
              <w:rPr>
                <w:b/>
                <w:sz w:val="18"/>
              </w:rPr>
              <w:t>Motorized</w:t>
            </w:r>
            <w:r>
              <w:rPr>
                <w:b/>
                <w:spacing w:val="-7"/>
                <w:sz w:val="18"/>
              </w:rPr>
              <w:t> </w:t>
            </w:r>
            <w:r>
              <w:rPr>
                <w:b/>
                <w:sz w:val="18"/>
              </w:rPr>
              <w:t>recreation</w:t>
            </w:r>
            <w:r>
              <w:rPr>
                <w:b/>
                <w:spacing w:val="-9"/>
                <w:sz w:val="18"/>
              </w:rPr>
              <w:t> </w:t>
            </w:r>
            <w:r>
              <w:rPr>
                <w:b/>
                <w:sz w:val="18"/>
              </w:rPr>
              <w:t>use,</w:t>
            </w:r>
            <w:r>
              <w:rPr>
                <w:b/>
                <w:spacing w:val="-8"/>
                <w:sz w:val="18"/>
              </w:rPr>
              <w:t> </w:t>
            </w:r>
            <w:r>
              <w:rPr>
                <w:b/>
                <w:sz w:val="18"/>
              </w:rPr>
              <w:t>summer,</w:t>
            </w:r>
            <w:r>
              <w:rPr>
                <w:b/>
                <w:spacing w:val="-7"/>
                <w:sz w:val="18"/>
              </w:rPr>
              <w:t> </w:t>
            </w:r>
            <w:r>
              <w:rPr>
                <w:b/>
                <w:sz w:val="18"/>
              </w:rPr>
              <w:t>trails</w:t>
            </w:r>
            <w:r>
              <w:rPr>
                <w:b/>
                <w:spacing w:val="-6"/>
                <w:sz w:val="18"/>
              </w:rPr>
              <w:t> </w:t>
            </w:r>
            <w:r>
              <w:rPr>
                <w:b/>
                <w:sz w:val="18"/>
              </w:rPr>
              <w:t>or play</w:t>
            </w:r>
            <w:r>
              <w:rPr>
                <w:b/>
                <w:spacing w:val="-5"/>
                <w:sz w:val="18"/>
              </w:rPr>
              <w:t> </w:t>
            </w:r>
            <w:r>
              <w:rPr>
                <w:b/>
                <w:sz w:val="18"/>
              </w:rPr>
              <w:t>areas</w:t>
            </w:r>
          </w:p>
        </w:tc>
        <w:tc>
          <w:tcPr>
            <w:tcW w:w="2533" w:type="dxa"/>
            <w:tcBorders>
              <w:left w:val="nil"/>
              <w:right w:val="nil"/>
            </w:tcBorders>
          </w:tcPr>
          <w:p>
            <w:pPr>
              <w:pStyle w:val="TableParagraph"/>
              <w:spacing w:line="207" w:lineRule="exact"/>
              <w:ind w:left="30" w:right="6"/>
              <w:jc w:val="center"/>
              <w:rPr>
                <w:sz w:val="18"/>
              </w:rPr>
            </w:pPr>
            <w:r>
              <w:rPr>
                <w:spacing w:val="-10"/>
                <w:sz w:val="18"/>
              </w:rPr>
              <w:t>X</w:t>
            </w:r>
          </w:p>
          <w:p>
            <w:pPr>
              <w:pStyle w:val="TableParagraph"/>
              <w:spacing w:line="207" w:lineRule="exact" w:before="0"/>
              <w:ind w:left="30" w:right="3"/>
              <w:jc w:val="center"/>
              <w:rPr>
                <w:sz w:val="18"/>
              </w:rPr>
            </w:pPr>
            <w:r>
              <w:rPr>
                <w:sz w:val="18"/>
              </w:rPr>
              <w:t>(RN</w:t>
            </w:r>
            <w:r>
              <w:rPr>
                <w:spacing w:val="-3"/>
                <w:sz w:val="18"/>
              </w:rPr>
              <w:t> </w:t>
            </w:r>
            <w:r>
              <w:rPr>
                <w:sz w:val="18"/>
              </w:rPr>
              <w:t>and</w:t>
            </w:r>
            <w:r>
              <w:rPr>
                <w:spacing w:val="-1"/>
                <w:sz w:val="18"/>
              </w:rPr>
              <w:t> </w:t>
            </w:r>
            <w:r>
              <w:rPr>
                <w:sz w:val="18"/>
              </w:rPr>
              <w:t>SPM</w:t>
            </w:r>
            <w:r>
              <w:rPr>
                <w:spacing w:val="-6"/>
                <w:sz w:val="18"/>
              </w:rPr>
              <w:t> </w:t>
            </w:r>
            <w:r>
              <w:rPr>
                <w:sz w:val="18"/>
              </w:rPr>
              <w:t>ROS</w:t>
            </w:r>
            <w:r>
              <w:rPr>
                <w:spacing w:val="-2"/>
                <w:sz w:val="18"/>
              </w:rPr>
              <w:t> classes)</w:t>
            </w:r>
          </w:p>
        </w:tc>
        <w:tc>
          <w:tcPr>
            <w:tcW w:w="2075" w:type="dxa"/>
            <w:tcBorders>
              <w:left w:val="nil"/>
            </w:tcBorders>
          </w:tcPr>
          <w:p>
            <w:pPr>
              <w:pStyle w:val="TableParagraph"/>
              <w:spacing w:line="207" w:lineRule="exact"/>
              <w:ind w:left="26" w:right="6"/>
              <w:jc w:val="center"/>
              <w:rPr>
                <w:sz w:val="18"/>
              </w:rPr>
            </w:pPr>
            <w:r>
              <w:rPr>
                <w:spacing w:val="-10"/>
                <w:sz w:val="18"/>
              </w:rPr>
              <w:t>X</w:t>
            </w:r>
          </w:p>
          <w:p>
            <w:pPr>
              <w:pStyle w:val="TableParagraph"/>
              <w:spacing w:line="207" w:lineRule="exact" w:before="0"/>
              <w:ind w:left="26" w:right="4"/>
              <w:jc w:val="center"/>
              <w:rPr>
                <w:sz w:val="18"/>
              </w:rPr>
            </w:pPr>
            <w:r>
              <w:rPr>
                <w:sz w:val="18"/>
              </w:rPr>
              <w:t>(SPNM</w:t>
            </w:r>
            <w:r>
              <w:rPr>
                <w:spacing w:val="-8"/>
                <w:sz w:val="18"/>
              </w:rPr>
              <w:t> </w:t>
            </w:r>
            <w:r>
              <w:rPr>
                <w:sz w:val="18"/>
              </w:rPr>
              <w:t>ROS</w:t>
            </w:r>
            <w:r>
              <w:rPr>
                <w:spacing w:val="-2"/>
                <w:sz w:val="18"/>
              </w:rPr>
              <w:t> class)</w:t>
            </w:r>
          </w:p>
        </w:tc>
      </w:tr>
      <w:tr>
        <w:trPr>
          <w:trHeight w:val="495" w:hRule="atLeast"/>
        </w:trPr>
        <w:tc>
          <w:tcPr>
            <w:tcW w:w="3941" w:type="dxa"/>
            <w:tcBorders>
              <w:right w:val="nil"/>
            </w:tcBorders>
          </w:tcPr>
          <w:p>
            <w:pPr>
              <w:pStyle w:val="TableParagraph"/>
              <w:spacing w:before="42"/>
              <w:ind w:left="107" w:right="297"/>
              <w:rPr>
                <w:b/>
                <w:sz w:val="18"/>
              </w:rPr>
            </w:pPr>
            <w:r>
              <w:rPr>
                <w:b/>
                <w:sz w:val="18"/>
              </w:rPr>
              <w:t>Motorized</w:t>
            </w:r>
            <w:r>
              <w:rPr>
                <w:b/>
                <w:spacing w:val="-6"/>
                <w:sz w:val="18"/>
              </w:rPr>
              <w:t> </w:t>
            </w:r>
            <w:r>
              <w:rPr>
                <w:b/>
                <w:sz w:val="18"/>
              </w:rPr>
              <w:t>recreation</w:t>
            </w:r>
            <w:r>
              <w:rPr>
                <w:b/>
                <w:spacing w:val="-8"/>
                <w:sz w:val="18"/>
              </w:rPr>
              <w:t> </w:t>
            </w:r>
            <w:r>
              <w:rPr>
                <w:b/>
                <w:sz w:val="18"/>
              </w:rPr>
              <w:t>use,</w:t>
            </w:r>
            <w:r>
              <w:rPr>
                <w:b/>
                <w:spacing w:val="-10"/>
                <w:sz w:val="18"/>
              </w:rPr>
              <w:t> </w:t>
            </w:r>
            <w:r>
              <w:rPr>
                <w:b/>
                <w:sz w:val="18"/>
              </w:rPr>
              <w:t>winter,</w:t>
            </w:r>
            <w:r>
              <w:rPr>
                <w:b/>
                <w:spacing w:val="-5"/>
                <w:sz w:val="18"/>
              </w:rPr>
              <w:t> </w:t>
            </w:r>
            <w:r>
              <w:rPr>
                <w:b/>
                <w:sz w:val="18"/>
              </w:rPr>
              <w:t>trails</w:t>
            </w:r>
            <w:r>
              <w:rPr>
                <w:b/>
                <w:spacing w:val="-7"/>
                <w:sz w:val="18"/>
              </w:rPr>
              <w:t> </w:t>
            </w:r>
            <w:r>
              <w:rPr>
                <w:b/>
                <w:sz w:val="18"/>
              </w:rPr>
              <w:t>or </w:t>
            </w:r>
            <w:r>
              <w:rPr>
                <w:b/>
                <w:spacing w:val="-2"/>
                <w:sz w:val="18"/>
              </w:rPr>
              <w:t>cross-country</w:t>
            </w:r>
          </w:p>
        </w:tc>
        <w:tc>
          <w:tcPr>
            <w:tcW w:w="2533" w:type="dxa"/>
            <w:tcBorders>
              <w:left w:val="nil"/>
              <w:right w:val="nil"/>
            </w:tcBorders>
          </w:tcPr>
          <w:p>
            <w:pPr>
              <w:pStyle w:val="TableParagraph"/>
              <w:spacing w:line="207" w:lineRule="exact" w:before="42"/>
              <w:ind w:left="30" w:right="5"/>
              <w:jc w:val="center"/>
              <w:rPr>
                <w:sz w:val="18"/>
              </w:rPr>
            </w:pPr>
            <w:r>
              <w:rPr>
                <w:spacing w:val="-10"/>
                <w:sz w:val="18"/>
              </w:rPr>
              <w:t>X</w:t>
            </w:r>
          </w:p>
          <w:p>
            <w:pPr>
              <w:pStyle w:val="TableParagraph"/>
              <w:spacing w:line="207" w:lineRule="exact" w:before="0"/>
              <w:ind w:left="30" w:right="3"/>
              <w:jc w:val="center"/>
              <w:rPr>
                <w:sz w:val="18"/>
              </w:rPr>
            </w:pPr>
            <w:r>
              <w:rPr>
                <w:sz w:val="18"/>
              </w:rPr>
              <w:t>(RN</w:t>
            </w:r>
            <w:r>
              <w:rPr>
                <w:spacing w:val="-3"/>
                <w:sz w:val="18"/>
              </w:rPr>
              <w:t> </w:t>
            </w:r>
            <w:r>
              <w:rPr>
                <w:sz w:val="18"/>
              </w:rPr>
              <w:t>and</w:t>
            </w:r>
            <w:r>
              <w:rPr>
                <w:spacing w:val="-1"/>
                <w:sz w:val="18"/>
              </w:rPr>
              <w:t> </w:t>
            </w:r>
            <w:r>
              <w:rPr>
                <w:sz w:val="18"/>
              </w:rPr>
              <w:t>SPM</w:t>
            </w:r>
            <w:r>
              <w:rPr>
                <w:spacing w:val="-7"/>
                <w:sz w:val="18"/>
              </w:rPr>
              <w:t> </w:t>
            </w:r>
            <w:r>
              <w:rPr>
                <w:sz w:val="18"/>
              </w:rPr>
              <w:t>ROS</w:t>
            </w:r>
            <w:r>
              <w:rPr>
                <w:spacing w:val="-2"/>
                <w:sz w:val="18"/>
              </w:rPr>
              <w:t> classes)</w:t>
            </w:r>
          </w:p>
        </w:tc>
        <w:tc>
          <w:tcPr>
            <w:tcW w:w="2075" w:type="dxa"/>
            <w:tcBorders>
              <w:left w:val="nil"/>
            </w:tcBorders>
          </w:tcPr>
          <w:p>
            <w:pPr>
              <w:pStyle w:val="TableParagraph"/>
              <w:spacing w:line="207" w:lineRule="exact" w:before="42"/>
              <w:ind w:left="26" w:right="6"/>
              <w:jc w:val="center"/>
              <w:rPr>
                <w:sz w:val="18"/>
              </w:rPr>
            </w:pPr>
            <w:r>
              <w:rPr>
                <w:spacing w:val="-10"/>
                <w:sz w:val="18"/>
              </w:rPr>
              <w:t>X</w:t>
            </w:r>
          </w:p>
          <w:p>
            <w:pPr>
              <w:pStyle w:val="TableParagraph"/>
              <w:spacing w:line="207" w:lineRule="exact" w:before="0"/>
              <w:ind w:left="26" w:right="3"/>
              <w:jc w:val="center"/>
              <w:rPr>
                <w:sz w:val="18"/>
              </w:rPr>
            </w:pPr>
            <w:r>
              <w:rPr>
                <w:sz w:val="18"/>
              </w:rPr>
              <w:t>(SPNM</w:t>
            </w:r>
            <w:r>
              <w:rPr>
                <w:spacing w:val="-8"/>
                <w:sz w:val="18"/>
              </w:rPr>
              <w:t> </w:t>
            </w:r>
            <w:r>
              <w:rPr>
                <w:sz w:val="18"/>
              </w:rPr>
              <w:t>ROS</w:t>
            </w:r>
            <w:r>
              <w:rPr>
                <w:spacing w:val="-4"/>
                <w:sz w:val="18"/>
              </w:rPr>
              <w:t> </w:t>
            </w:r>
            <w:r>
              <w:rPr>
                <w:spacing w:val="-2"/>
                <w:sz w:val="18"/>
              </w:rPr>
              <w:t>class)</w:t>
            </w:r>
          </w:p>
        </w:tc>
      </w:tr>
      <w:tr>
        <w:trPr>
          <w:trHeight w:val="284" w:hRule="atLeast"/>
        </w:trPr>
        <w:tc>
          <w:tcPr>
            <w:tcW w:w="3941" w:type="dxa"/>
            <w:tcBorders>
              <w:right w:val="nil"/>
            </w:tcBorders>
          </w:tcPr>
          <w:p>
            <w:pPr>
              <w:pStyle w:val="TableParagraph"/>
              <w:ind w:left="107"/>
              <w:rPr>
                <w:b/>
                <w:sz w:val="18"/>
              </w:rPr>
            </w:pPr>
            <w:r>
              <w:rPr>
                <w:b/>
                <w:sz w:val="18"/>
              </w:rPr>
              <w:t>Non-motorized</w:t>
            </w:r>
            <w:r>
              <w:rPr>
                <w:b/>
                <w:spacing w:val="-5"/>
                <w:sz w:val="18"/>
              </w:rPr>
              <w:t> </w:t>
            </w:r>
            <w:r>
              <w:rPr>
                <w:b/>
                <w:sz w:val="18"/>
              </w:rPr>
              <w:t>recreation</w:t>
            </w:r>
            <w:r>
              <w:rPr>
                <w:b/>
                <w:spacing w:val="-6"/>
                <w:sz w:val="18"/>
              </w:rPr>
              <w:t> </w:t>
            </w:r>
            <w:r>
              <w:rPr>
                <w:b/>
                <w:sz w:val="18"/>
              </w:rPr>
              <w:t>use,</w:t>
            </w:r>
            <w:r>
              <w:rPr>
                <w:b/>
                <w:spacing w:val="-4"/>
                <w:sz w:val="18"/>
              </w:rPr>
              <w:t> </w:t>
            </w:r>
            <w:r>
              <w:rPr>
                <w:b/>
                <w:spacing w:val="-2"/>
                <w:sz w:val="18"/>
              </w:rPr>
              <w:t>summer</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spacing w:before="42"/>
              <w:ind w:left="107"/>
              <w:rPr>
                <w:b/>
                <w:sz w:val="18"/>
              </w:rPr>
            </w:pPr>
            <w:r>
              <w:rPr>
                <w:b/>
                <w:sz w:val="18"/>
              </w:rPr>
              <w:t>Non-motorized</w:t>
            </w:r>
            <w:r>
              <w:rPr>
                <w:b/>
                <w:spacing w:val="-5"/>
                <w:sz w:val="18"/>
              </w:rPr>
              <w:t> </w:t>
            </w:r>
            <w:r>
              <w:rPr>
                <w:b/>
                <w:sz w:val="18"/>
              </w:rPr>
              <w:t>recreation</w:t>
            </w:r>
            <w:r>
              <w:rPr>
                <w:b/>
                <w:spacing w:val="-6"/>
                <w:sz w:val="18"/>
              </w:rPr>
              <w:t> </w:t>
            </w:r>
            <w:r>
              <w:rPr>
                <w:b/>
                <w:sz w:val="18"/>
              </w:rPr>
              <w:t>use,</w:t>
            </w:r>
            <w:r>
              <w:rPr>
                <w:b/>
                <w:spacing w:val="-6"/>
                <w:sz w:val="18"/>
              </w:rPr>
              <w:t> </w:t>
            </w:r>
            <w:r>
              <w:rPr>
                <w:b/>
                <w:spacing w:val="-2"/>
                <w:sz w:val="18"/>
              </w:rPr>
              <w:t>winter</w:t>
            </w:r>
          </w:p>
        </w:tc>
        <w:tc>
          <w:tcPr>
            <w:tcW w:w="2533" w:type="dxa"/>
            <w:tcBorders>
              <w:left w:val="nil"/>
              <w:right w:val="nil"/>
            </w:tcBorders>
          </w:tcPr>
          <w:p>
            <w:pPr>
              <w:pStyle w:val="TableParagraph"/>
              <w:spacing w:before="42"/>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702" w:hRule="atLeast"/>
        </w:trPr>
        <w:tc>
          <w:tcPr>
            <w:tcW w:w="3941" w:type="dxa"/>
            <w:tcBorders>
              <w:right w:val="nil"/>
            </w:tcBorders>
          </w:tcPr>
          <w:p>
            <w:pPr>
              <w:pStyle w:val="TableParagraph"/>
              <w:spacing w:before="42"/>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533" w:type="dxa"/>
            <w:tcBorders>
              <w:left w:val="nil"/>
              <w:right w:val="nil"/>
            </w:tcBorders>
          </w:tcPr>
          <w:p>
            <w:pPr>
              <w:pStyle w:val="TableParagraph"/>
              <w:spacing w:line="207" w:lineRule="exact" w:before="42"/>
              <w:ind w:left="30" w:right="5"/>
              <w:jc w:val="center"/>
              <w:rPr>
                <w:sz w:val="18"/>
              </w:rPr>
            </w:pPr>
            <w:r>
              <w:rPr>
                <w:spacing w:val="-10"/>
                <w:sz w:val="18"/>
              </w:rPr>
              <w:t>X</w:t>
            </w:r>
          </w:p>
          <w:p>
            <w:pPr>
              <w:pStyle w:val="TableParagraph"/>
              <w:spacing w:line="207" w:lineRule="exact" w:before="0"/>
              <w:ind w:left="30"/>
              <w:jc w:val="center"/>
              <w:rPr>
                <w:sz w:val="18"/>
              </w:rPr>
            </w:pPr>
            <w:r>
              <w:rPr>
                <w:sz w:val="18"/>
              </w:rPr>
              <w:t>(RN</w:t>
            </w:r>
            <w:r>
              <w:rPr>
                <w:spacing w:val="-4"/>
                <w:sz w:val="18"/>
              </w:rPr>
              <w:t> </w:t>
            </w:r>
            <w:r>
              <w:rPr>
                <w:sz w:val="18"/>
              </w:rPr>
              <w:t>ROS</w:t>
            </w:r>
            <w:r>
              <w:rPr>
                <w:spacing w:val="-3"/>
                <w:sz w:val="18"/>
              </w:rPr>
              <w:t> </w:t>
            </w:r>
            <w:r>
              <w:rPr>
                <w:spacing w:val="-2"/>
                <w:sz w:val="18"/>
              </w:rPr>
              <w:t>class)</w:t>
            </w:r>
          </w:p>
        </w:tc>
        <w:tc>
          <w:tcPr>
            <w:tcW w:w="2075" w:type="dxa"/>
            <w:tcBorders>
              <w:left w:val="nil"/>
            </w:tcBorders>
          </w:tcPr>
          <w:p>
            <w:pPr>
              <w:pStyle w:val="TableParagraph"/>
              <w:spacing w:line="207" w:lineRule="exact" w:before="42"/>
              <w:ind w:left="26" w:right="5"/>
              <w:jc w:val="center"/>
              <w:rPr>
                <w:sz w:val="18"/>
              </w:rPr>
            </w:pPr>
            <w:r>
              <w:rPr>
                <w:spacing w:val="-10"/>
                <w:sz w:val="18"/>
              </w:rPr>
              <w:t>X</w:t>
            </w:r>
          </w:p>
          <w:p>
            <w:pPr>
              <w:pStyle w:val="TableParagraph"/>
              <w:spacing w:line="206" w:lineRule="exact" w:before="0"/>
              <w:ind w:left="26" w:right="3"/>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207" w:lineRule="exact" w:before="0"/>
              <w:ind w:left="26"/>
              <w:jc w:val="center"/>
              <w:rPr>
                <w:sz w:val="18"/>
              </w:rPr>
            </w:pPr>
            <w:r>
              <w:rPr>
                <w:spacing w:val="-2"/>
                <w:sz w:val="18"/>
              </w:rPr>
              <w:t>classes)</w:t>
            </w:r>
          </w:p>
        </w:tc>
      </w:tr>
      <w:tr>
        <w:trPr>
          <w:trHeight w:val="700" w:hRule="atLeast"/>
        </w:trPr>
        <w:tc>
          <w:tcPr>
            <w:tcW w:w="3941"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533" w:type="dxa"/>
            <w:tcBorders>
              <w:left w:val="nil"/>
              <w:right w:val="nil"/>
            </w:tcBorders>
          </w:tcPr>
          <w:p>
            <w:pPr>
              <w:pStyle w:val="TableParagraph"/>
              <w:spacing w:line="207" w:lineRule="exact"/>
              <w:ind w:left="30" w:right="6"/>
              <w:jc w:val="center"/>
              <w:rPr>
                <w:sz w:val="18"/>
              </w:rPr>
            </w:pPr>
            <w:r>
              <w:rPr>
                <w:spacing w:val="-10"/>
                <w:sz w:val="18"/>
              </w:rPr>
              <w:t>X</w:t>
            </w:r>
          </w:p>
          <w:p>
            <w:pPr>
              <w:pStyle w:val="TableParagraph"/>
              <w:spacing w:line="207" w:lineRule="exact" w:before="0"/>
              <w:ind w:left="30" w:right="1"/>
              <w:jc w:val="center"/>
              <w:rPr>
                <w:sz w:val="18"/>
              </w:rPr>
            </w:pPr>
            <w:r>
              <w:rPr>
                <w:sz w:val="18"/>
              </w:rPr>
              <w:t>(RN</w:t>
            </w:r>
            <w:r>
              <w:rPr>
                <w:spacing w:val="-4"/>
                <w:sz w:val="18"/>
              </w:rPr>
              <w:t> </w:t>
            </w:r>
            <w:r>
              <w:rPr>
                <w:sz w:val="18"/>
              </w:rPr>
              <w:t>ROS</w:t>
            </w:r>
            <w:r>
              <w:rPr>
                <w:spacing w:val="-3"/>
                <w:sz w:val="18"/>
              </w:rPr>
              <w:t> </w:t>
            </w:r>
            <w:r>
              <w:rPr>
                <w:spacing w:val="-2"/>
                <w:sz w:val="18"/>
              </w:rPr>
              <w:t>class)</w:t>
            </w:r>
          </w:p>
        </w:tc>
        <w:tc>
          <w:tcPr>
            <w:tcW w:w="2075" w:type="dxa"/>
            <w:tcBorders>
              <w:left w:val="nil"/>
            </w:tcBorders>
          </w:tcPr>
          <w:p>
            <w:pPr>
              <w:pStyle w:val="TableParagraph"/>
              <w:spacing w:line="207" w:lineRule="exact"/>
              <w:ind w:left="26" w:right="6"/>
              <w:jc w:val="center"/>
              <w:rPr>
                <w:sz w:val="18"/>
              </w:rPr>
            </w:pPr>
            <w:r>
              <w:rPr>
                <w:spacing w:val="-10"/>
                <w:sz w:val="18"/>
              </w:rPr>
              <w:t>X</w:t>
            </w:r>
          </w:p>
          <w:p>
            <w:pPr>
              <w:pStyle w:val="TableParagraph"/>
              <w:spacing w:line="206" w:lineRule="exact" w:before="0"/>
              <w:ind w:left="26" w:right="3"/>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207" w:lineRule="exact" w:before="0"/>
              <w:ind w:left="26" w:right="1"/>
              <w:jc w:val="center"/>
              <w:rPr>
                <w:sz w:val="18"/>
              </w:rPr>
            </w:pPr>
            <w:r>
              <w:rPr>
                <w:spacing w:val="-2"/>
                <w:sz w:val="18"/>
              </w:rPr>
              <w:t>classes)</w:t>
            </w:r>
          </w:p>
        </w:tc>
      </w:tr>
      <w:tr>
        <w:trPr>
          <w:trHeight w:val="287" w:hRule="atLeast"/>
        </w:trPr>
        <w:tc>
          <w:tcPr>
            <w:tcW w:w="3941" w:type="dxa"/>
            <w:tcBorders>
              <w:right w:val="nil"/>
            </w:tcBorders>
          </w:tcPr>
          <w:p>
            <w:pPr>
              <w:pStyle w:val="TableParagraph"/>
              <w:ind w:left="107"/>
              <w:rPr>
                <w:b/>
                <w:sz w:val="18"/>
              </w:rPr>
            </w:pPr>
            <w:r>
              <w:rPr>
                <w:b/>
                <w:sz w:val="18"/>
              </w:rPr>
              <w:t>Special</w:t>
            </w:r>
            <w:r>
              <w:rPr>
                <w:b/>
                <w:spacing w:val="-3"/>
                <w:sz w:val="18"/>
              </w:rPr>
              <w:t> </w:t>
            </w:r>
            <w:r>
              <w:rPr>
                <w:b/>
                <w:sz w:val="18"/>
              </w:rPr>
              <w:t>use</w:t>
            </w:r>
            <w:r>
              <w:rPr>
                <w:b/>
                <w:spacing w:val="-2"/>
                <w:sz w:val="18"/>
              </w:rPr>
              <w:t> permits</w:t>
            </w:r>
          </w:p>
        </w:tc>
        <w:tc>
          <w:tcPr>
            <w:tcW w:w="2533" w:type="dxa"/>
            <w:tcBorders>
              <w:left w:val="nil"/>
              <w:right w:val="nil"/>
            </w:tcBorders>
          </w:tcPr>
          <w:p>
            <w:pPr>
              <w:pStyle w:val="TableParagraph"/>
              <w:ind w:left="30" w:right="6"/>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287" w:hRule="atLeast"/>
        </w:trPr>
        <w:tc>
          <w:tcPr>
            <w:tcW w:w="3941"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533" w:type="dxa"/>
            <w:tcBorders>
              <w:left w:val="nil"/>
              <w:right w:val="nil"/>
            </w:tcBorders>
          </w:tcPr>
          <w:p>
            <w:pPr>
              <w:pStyle w:val="TableParagraph"/>
              <w:ind w:left="30" w:right="5"/>
              <w:jc w:val="center"/>
              <w:rPr>
                <w:sz w:val="18"/>
              </w:rPr>
            </w:pPr>
            <w:r>
              <w:rPr>
                <w:spacing w:val="-10"/>
                <w:sz w:val="18"/>
              </w:rPr>
              <w:t>X</w:t>
            </w:r>
          </w:p>
        </w:tc>
        <w:tc>
          <w:tcPr>
            <w:tcW w:w="2075" w:type="dxa"/>
            <w:tcBorders>
              <w:left w:val="nil"/>
            </w:tcBorders>
          </w:tcPr>
          <w:p>
            <w:pPr>
              <w:pStyle w:val="TableParagraph"/>
              <w:spacing w:before="0"/>
              <w:rPr>
                <w:rFonts w:ascii="Times New Roman"/>
                <w:sz w:val="18"/>
              </w:rPr>
            </w:pPr>
          </w:p>
        </w:tc>
      </w:tr>
      <w:tr>
        <w:trPr>
          <w:trHeight w:val="702" w:hRule="atLeast"/>
        </w:trPr>
        <w:tc>
          <w:tcPr>
            <w:tcW w:w="3941" w:type="dxa"/>
            <w:tcBorders>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533" w:type="dxa"/>
            <w:tcBorders>
              <w:left w:val="nil"/>
              <w:right w:val="nil"/>
            </w:tcBorders>
          </w:tcPr>
          <w:p>
            <w:pPr>
              <w:pStyle w:val="TableParagraph"/>
              <w:spacing w:line="207" w:lineRule="exact"/>
              <w:ind w:left="30" w:right="6"/>
              <w:jc w:val="center"/>
              <w:rPr>
                <w:sz w:val="18"/>
              </w:rPr>
            </w:pPr>
            <w:r>
              <w:rPr>
                <w:spacing w:val="-10"/>
                <w:sz w:val="18"/>
              </w:rPr>
              <w:t>X</w:t>
            </w:r>
          </w:p>
          <w:p>
            <w:pPr>
              <w:pStyle w:val="TableParagraph"/>
              <w:spacing w:line="207" w:lineRule="exact" w:before="0"/>
              <w:ind w:left="30" w:right="1"/>
              <w:jc w:val="center"/>
              <w:rPr>
                <w:sz w:val="18"/>
              </w:rPr>
            </w:pPr>
            <w:r>
              <w:rPr>
                <w:sz w:val="18"/>
              </w:rPr>
              <w:t>(RN</w:t>
            </w:r>
            <w:r>
              <w:rPr>
                <w:spacing w:val="-4"/>
                <w:sz w:val="18"/>
              </w:rPr>
              <w:t> </w:t>
            </w:r>
            <w:r>
              <w:rPr>
                <w:sz w:val="18"/>
              </w:rPr>
              <w:t>ROS</w:t>
            </w:r>
            <w:r>
              <w:rPr>
                <w:spacing w:val="-3"/>
                <w:sz w:val="18"/>
              </w:rPr>
              <w:t> </w:t>
            </w:r>
            <w:r>
              <w:rPr>
                <w:spacing w:val="-2"/>
                <w:sz w:val="18"/>
              </w:rPr>
              <w:t>class)</w:t>
            </w:r>
          </w:p>
        </w:tc>
        <w:tc>
          <w:tcPr>
            <w:tcW w:w="2075" w:type="dxa"/>
            <w:tcBorders>
              <w:left w:val="nil"/>
            </w:tcBorders>
          </w:tcPr>
          <w:p>
            <w:pPr>
              <w:pStyle w:val="TableParagraph"/>
              <w:spacing w:line="207" w:lineRule="exact"/>
              <w:ind w:left="26" w:right="6"/>
              <w:jc w:val="center"/>
              <w:rPr>
                <w:sz w:val="18"/>
              </w:rPr>
            </w:pPr>
            <w:r>
              <w:rPr>
                <w:spacing w:val="-10"/>
                <w:sz w:val="18"/>
              </w:rPr>
              <w:t>X</w:t>
            </w:r>
          </w:p>
          <w:p>
            <w:pPr>
              <w:pStyle w:val="TableParagraph"/>
              <w:spacing w:line="206" w:lineRule="exact" w:before="0"/>
              <w:ind w:left="26" w:right="3"/>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207" w:lineRule="exact" w:before="0"/>
              <w:ind w:left="26" w:right="1"/>
              <w:jc w:val="center"/>
              <w:rPr>
                <w:sz w:val="18"/>
              </w:rPr>
            </w:pPr>
            <w:r>
              <w:rPr>
                <w:spacing w:val="-2"/>
                <w:sz w:val="18"/>
              </w:rPr>
              <w:t>classes)</w:t>
            </w:r>
          </w:p>
        </w:tc>
      </w:tr>
    </w:tbl>
    <w:p>
      <w:pPr>
        <w:pStyle w:val="BodyText"/>
        <w:rPr>
          <w:rFonts w:ascii="Arial"/>
          <w:b/>
          <w:sz w:val="20"/>
        </w:rPr>
      </w:pPr>
    </w:p>
    <w:p>
      <w:pPr>
        <w:pStyle w:val="BodyText"/>
        <w:spacing w:before="21"/>
        <w:rPr>
          <w:rFonts w:ascii="Arial"/>
          <w:b/>
          <w:sz w:val="20"/>
        </w:rPr>
      </w:pPr>
      <w:r>
        <w:rPr>
          <w:rFonts w:ascii="Arial"/>
          <w:b/>
          <w:sz w:val="20"/>
        </w:rPr>
        <mc:AlternateContent>
          <mc:Choice Requires="wps">
            <w:drawing>
              <wp:anchor distT="0" distB="0" distL="0" distR="0" allowOverlap="1" layoutInCell="1" locked="0" behindDoc="1" simplePos="0" relativeHeight="487630848">
                <wp:simplePos x="0" y="0"/>
                <wp:positionH relativeFrom="page">
                  <wp:posOffset>914400</wp:posOffset>
                </wp:positionH>
                <wp:positionV relativeFrom="paragraph">
                  <wp:posOffset>175018</wp:posOffset>
                </wp:positionV>
                <wp:extent cx="1828800" cy="7620"/>
                <wp:effectExtent l="0" t="0" r="0" b="0"/>
                <wp:wrapTopAndBottom/>
                <wp:docPr id="220" name="Graphic 220"/>
                <wp:cNvGraphicFramePr>
                  <a:graphicFrameLocks/>
                </wp:cNvGraphicFramePr>
                <a:graphic>
                  <a:graphicData uri="http://schemas.microsoft.com/office/word/2010/wordprocessingShape">
                    <wps:wsp>
                      <wps:cNvPr id="220" name="Graphic 220"/>
                      <wps:cNvSpPr/>
                      <wps:spPr>
                        <a:xfrm>
                          <a:off x="0" y="0"/>
                          <a:ext cx="1828800" cy="7620"/>
                        </a:xfrm>
                        <a:custGeom>
                          <a:avLst/>
                          <a:gdLst/>
                          <a:ahLst/>
                          <a:cxnLst/>
                          <a:rect l="l" t="t" r="r" b="b"/>
                          <a:pathLst>
                            <a:path w="1828800" h="7620">
                              <a:moveTo>
                                <a:pt x="1828800" y="0"/>
                              </a:moveTo>
                              <a:lnTo>
                                <a:pt x="0" y="0"/>
                              </a:lnTo>
                              <a:lnTo>
                                <a:pt x="0" y="7620"/>
                              </a:lnTo>
                              <a:lnTo>
                                <a:pt x="1828800" y="7620"/>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3.780976pt;width:144pt;height:.6pt;mso-position-horizontal-relative:page;mso-position-vertical-relative:paragraph;z-index:-15685632;mso-wrap-distance-left:0;mso-wrap-distance-right:0" id="docshape208" filled="true" fillcolor="#000000" stroked="false">
                <v:fill type="solid"/>
                <w10:wrap type="topAndBottom"/>
              </v:rect>
            </w:pict>
          </mc:Fallback>
        </mc:AlternateContent>
      </w:r>
    </w:p>
    <w:p>
      <w:pPr>
        <w:spacing w:before="95"/>
        <w:ind w:left="360" w:right="1073" w:hanging="1"/>
        <w:jc w:val="left"/>
        <w:rPr>
          <w:sz w:val="18"/>
        </w:rPr>
      </w:pPr>
      <w:bookmarkStart w:name="_bookmark249" w:id="823"/>
      <w:bookmarkEnd w:id="823"/>
      <w:r>
        <w:rPr/>
      </w:r>
      <w:r>
        <w:rPr>
          <w:position w:val="5"/>
          <w:sz w:val="12"/>
        </w:rPr>
        <w:t>32</w:t>
      </w:r>
      <w:r>
        <w:rPr>
          <w:spacing w:val="9"/>
          <w:position w:val="5"/>
          <w:sz w:val="12"/>
        </w:rPr>
        <w:t> </w:t>
      </w:r>
      <w:r>
        <w:rPr>
          <w:sz w:val="18"/>
        </w:rPr>
        <w:t>ROS</w:t>
      </w:r>
      <w:r>
        <w:rPr>
          <w:spacing w:val="-4"/>
          <w:sz w:val="18"/>
        </w:rPr>
        <w:t> </w:t>
      </w:r>
      <w:r>
        <w:rPr>
          <w:sz w:val="18"/>
        </w:rPr>
        <w:t>(Recreation</w:t>
      </w:r>
      <w:r>
        <w:rPr>
          <w:spacing w:val="-4"/>
          <w:sz w:val="18"/>
        </w:rPr>
        <w:t> </w:t>
      </w:r>
      <w:r>
        <w:rPr>
          <w:sz w:val="18"/>
        </w:rPr>
        <w:t>Opportunity</w:t>
      </w:r>
      <w:r>
        <w:rPr>
          <w:spacing w:val="-1"/>
          <w:sz w:val="18"/>
        </w:rPr>
        <w:t> </w:t>
      </w:r>
      <w:r>
        <w:rPr>
          <w:sz w:val="18"/>
        </w:rPr>
        <w:t>Spectrum)</w:t>
      </w:r>
      <w:r>
        <w:rPr>
          <w:spacing w:val="-3"/>
          <w:sz w:val="18"/>
        </w:rPr>
        <w:t> </w:t>
      </w:r>
      <w:r>
        <w:rPr>
          <w:sz w:val="18"/>
        </w:rPr>
        <w:t>classes</w:t>
      </w:r>
      <w:r>
        <w:rPr>
          <w:spacing w:val="-4"/>
          <w:sz w:val="18"/>
        </w:rPr>
        <w:t> </w:t>
      </w:r>
      <w:r>
        <w:rPr>
          <w:sz w:val="18"/>
        </w:rPr>
        <w:t>referred</w:t>
      </w:r>
      <w:r>
        <w:rPr>
          <w:spacing w:val="-4"/>
          <w:sz w:val="18"/>
        </w:rPr>
        <w:t> </w:t>
      </w:r>
      <w:r>
        <w:rPr>
          <w:sz w:val="18"/>
        </w:rPr>
        <w:t>to</w:t>
      </w:r>
      <w:r>
        <w:rPr>
          <w:spacing w:val="-2"/>
          <w:sz w:val="18"/>
        </w:rPr>
        <w:t> </w:t>
      </w:r>
      <w:r>
        <w:rPr>
          <w:sz w:val="18"/>
        </w:rPr>
        <w:t>in</w:t>
      </w:r>
      <w:r>
        <w:rPr>
          <w:spacing w:val="-4"/>
          <w:sz w:val="18"/>
        </w:rPr>
        <w:t> </w:t>
      </w:r>
      <w:r>
        <w:rPr>
          <w:sz w:val="18"/>
        </w:rPr>
        <w:t>this</w:t>
      </w:r>
      <w:r>
        <w:rPr>
          <w:spacing w:val="-2"/>
          <w:sz w:val="18"/>
        </w:rPr>
        <w:t> </w:t>
      </w:r>
      <w:r>
        <w:rPr>
          <w:sz w:val="18"/>
        </w:rPr>
        <w:t>table</w:t>
      </w:r>
      <w:r>
        <w:rPr>
          <w:spacing w:val="-4"/>
          <w:sz w:val="18"/>
        </w:rPr>
        <w:t> </w:t>
      </w:r>
      <w:r>
        <w:rPr>
          <w:sz w:val="18"/>
        </w:rPr>
        <w:t>are</w:t>
      </w:r>
      <w:r>
        <w:rPr>
          <w:spacing w:val="-4"/>
          <w:sz w:val="18"/>
        </w:rPr>
        <w:t> </w:t>
      </w:r>
      <w:r>
        <w:rPr>
          <w:sz w:val="18"/>
        </w:rPr>
        <w:t>Roaded</w:t>
      </w:r>
      <w:r>
        <w:rPr>
          <w:spacing w:val="-4"/>
          <w:sz w:val="18"/>
        </w:rPr>
        <w:t> </w:t>
      </w:r>
      <w:r>
        <w:rPr>
          <w:sz w:val="18"/>
        </w:rPr>
        <w:t>Natural</w:t>
      </w:r>
      <w:r>
        <w:rPr>
          <w:spacing w:val="-4"/>
          <w:sz w:val="18"/>
        </w:rPr>
        <w:t> </w:t>
      </w:r>
      <w:r>
        <w:rPr>
          <w:sz w:val="18"/>
        </w:rPr>
        <w:t>(RN),</w:t>
      </w:r>
      <w:r>
        <w:rPr>
          <w:spacing w:val="-3"/>
          <w:sz w:val="18"/>
        </w:rPr>
        <w:t> </w:t>
      </w:r>
      <w:r>
        <w:rPr>
          <w:sz w:val="18"/>
        </w:rPr>
        <w:t>Semi-Primitive Motorized (SPM), and Semi-Primitive Non-Motorized (SPNM). ROS classes are mapped in appendix F.</w:t>
      </w:r>
    </w:p>
    <w:p>
      <w:pPr>
        <w:spacing w:after="0"/>
        <w:jc w:val="left"/>
        <w:rPr>
          <w:sz w:val="18"/>
        </w:rPr>
        <w:sectPr>
          <w:pgSz w:w="12240" w:h="15840"/>
          <w:pgMar w:header="725" w:footer="891" w:top="960" w:bottom="1080" w:left="1080" w:right="720"/>
        </w:sectPr>
      </w:pPr>
    </w:p>
    <w:p>
      <w:pPr>
        <w:pStyle w:val="BodyText"/>
        <w:spacing w:before="231"/>
        <w:rPr>
          <w:sz w:val="20"/>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602"/>
        <w:gridCol w:w="2606"/>
        <w:gridCol w:w="2340"/>
      </w:tblGrid>
      <w:tr>
        <w:trPr>
          <w:trHeight w:val="287" w:hRule="atLeast"/>
        </w:trPr>
        <w:tc>
          <w:tcPr>
            <w:tcW w:w="3602" w:type="dxa"/>
            <w:tcBorders>
              <w:right w:val="nil"/>
            </w:tcBorders>
            <w:shd w:val="clear" w:color="auto" w:fill="D5E2BB"/>
          </w:tcPr>
          <w:p>
            <w:pPr>
              <w:pStyle w:val="TableParagraph"/>
              <w:ind w:left="1353"/>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606" w:type="dxa"/>
            <w:tcBorders>
              <w:left w:val="nil"/>
              <w:right w:val="nil"/>
            </w:tcBorders>
            <w:shd w:val="clear" w:color="auto" w:fill="D5E2BB"/>
          </w:tcPr>
          <w:p>
            <w:pPr>
              <w:pStyle w:val="TableParagraph"/>
              <w:ind w:left="631"/>
              <w:jc w:val="center"/>
              <w:rPr>
                <w:b/>
                <w:sz w:val="18"/>
              </w:rPr>
            </w:pPr>
            <w:r>
              <w:rPr>
                <w:b/>
                <w:sz w:val="18"/>
              </w:rPr>
              <w:t>May</w:t>
            </w:r>
            <w:r>
              <w:rPr>
                <w:b/>
                <w:spacing w:val="-9"/>
                <w:sz w:val="18"/>
              </w:rPr>
              <w:t> </w:t>
            </w:r>
            <w:r>
              <w:rPr>
                <w:b/>
                <w:spacing w:val="-2"/>
                <w:sz w:val="18"/>
              </w:rPr>
              <w:t>authorize</w:t>
            </w:r>
          </w:p>
        </w:tc>
        <w:tc>
          <w:tcPr>
            <w:tcW w:w="2340" w:type="dxa"/>
            <w:tcBorders>
              <w:left w:val="nil"/>
            </w:tcBorders>
            <w:shd w:val="clear" w:color="auto" w:fill="D5E2BB"/>
          </w:tcPr>
          <w:p>
            <w:pPr>
              <w:pStyle w:val="TableParagraph"/>
              <w:ind w:left="543"/>
              <w:rPr>
                <w:b/>
                <w:sz w:val="18"/>
              </w:rPr>
            </w:pPr>
            <w:r>
              <w:rPr>
                <w:b/>
                <w:sz w:val="18"/>
              </w:rPr>
              <w:t>May</w:t>
            </w:r>
            <w:r>
              <w:rPr>
                <w:b/>
                <w:spacing w:val="-9"/>
                <w:sz w:val="18"/>
              </w:rPr>
              <w:t> </w:t>
            </w:r>
            <w:r>
              <w:rPr>
                <w:b/>
                <w:sz w:val="18"/>
              </w:rPr>
              <w:t>not</w:t>
            </w:r>
            <w:r>
              <w:rPr>
                <w:b/>
                <w:spacing w:val="-2"/>
                <w:sz w:val="18"/>
              </w:rPr>
              <w:t> authorize</w:t>
            </w:r>
          </w:p>
        </w:tc>
      </w:tr>
      <w:tr>
        <w:trPr>
          <w:trHeight w:val="620" w:hRule="atLeast"/>
        </w:trPr>
        <w:tc>
          <w:tcPr>
            <w:tcW w:w="3602" w:type="dxa"/>
            <w:tcBorders>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606" w:type="dxa"/>
            <w:tcBorders>
              <w:left w:val="nil"/>
              <w:right w:val="nil"/>
            </w:tcBorders>
          </w:tcPr>
          <w:p>
            <w:pPr>
              <w:pStyle w:val="TableParagraph"/>
              <w:ind w:left="631" w:right="2"/>
              <w:jc w:val="center"/>
              <w:rPr>
                <w:sz w:val="18"/>
              </w:rPr>
            </w:pPr>
            <w:r>
              <w:rPr>
                <w:spacing w:val="-10"/>
                <w:sz w:val="18"/>
              </w:rPr>
              <w:t>X</w:t>
            </w:r>
          </w:p>
        </w:tc>
        <w:tc>
          <w:tcPr>
            <w:tcW w:w="2340" w:type="dxa"/>
            <w:tcBorders>
              <w:left w:val="nil"/>
            </w:tcBorders>
          </w:tcPr>
          <w:p>
            <w:pPr>
              <w:pStyle w:val="TableParagraph"/>
              <w:spacing w:line="205" w:lineRule="exact" w:before="0"/>
              <w:ind w:left="292" w:right="5"/>
              <w:jc w:val="center"/>
              <w:rPr>
                <w:sz w:val="18"/>
              </w:rPr>
            </w:pPr>
            <w:r>
              <w:rPr>
                <w:spacing w:val="-10"/>
                <w:sz w:val="18"/>
              </w:rPr>
              <w:t>X</w:t>
            </w:r>
          </w:p>
          <w:p>
            <w:pPr>
              <w:pStyle w:val="TableParagraph"/>
              <w:spacing w:line="207" w:lineRule="exact" w:before="0"/>
              <w:ind w:left="292" w:right="2"/>
              <w:jc w:val="center"/>
              <w:rPr>
                <w:sz w:val="18"/>
              </w:rPr>
            </w:pPr>
            <w:r>
              <w:rPr>
                <w:sz w:val="18"/>
              </w:rPr>
              <w:t>(SPM</w:t>
            </w:r>
            <w:r>
              <w:rPr>
                <w:spacing w:val="-9"/>
                <w:sz w:val="18"/>
              </w:rPr>
              <w:t> </w:t>
            </w:r>
            <w:r>
              <w:rPr>
                <w:sz w:val="18"/>
              </w:rPr>
              <w:t>and</w:t>
            </w:r>
            <w:r>
              <w:rPr>
                <w:spacing w:val="-3"/>
                <w:sz w:val="18"/>
              </w:rPr>
              <w:t> </w:t>
            </w:r>
            <w:r>
              <w:rPr>
                <w:sz w:val="18"/>
              </w:rPr>
              <w:t>SPNM</w:t>
            </w:r>
            <w:r>
              <w:rPr>
                <w:spacing w:val="-9"/>
                <w:sz w:val="18"/>
              </w:rPr>
              <w:t> </w:t>
            </w:r>
            <w:r>
              <w:rPr>
                <w:spacing w:val="-5"/>
                <w:sz w:val="18"/>
              </w:rPr>
              <w:t>ROS</w:t>
            </w:r>
          </w:p>
          <w:p>
            <w:pPr>
              <w:pStyle w:val="TableParagraph"/>
              <w:spacing w:line="187" w:lineRule="exact" w:before="2"/>
              <w:ind w:left="292"/>
              <w:jc w:val="center"/>
              <w:rPr>
                <w:sz w:val="18"/>
              </w:rPr>
            </w:pPr>
            <w:r>
              <w:rPr>
                <w:spacing w:val="-2"/>
                <w:sz w:val="18"/>
              </w:rPr>
              <w:t>classes)</w:t>
            </w:r>
          </w:p>
        </w:tc>
      </w:tr>
    </w:tbl>
    <w:p>
      <w:pPr>
        <w:spacing w:before="39"/>
        <w:ind w:left="1151" w:right="801" w:firstLine="0"/>
        <w:jc w:val="left"/>
        <w:rPr>
          <w:rFonts w:ascii="Arial"/>
          <w:sz w:val="16"/>
        </w:rPr>
      </w:pPr>
      <w:r>
        <w:rPr>
          <w:rFonts w:ascii="Arial"/>
          <w:sz w:val="16"/>
        </w:rPr>
        <w:t>*</w:t>
      </w:r>
      <w:r>
        <w:rPr>
          <w:rFonts w:ascii="Arial"/>
          <w:spacing w:val="-2"/>
          <w:sz w:val="16"/>
        </w:rPr>
        <w:t> </w:t>
      </w:r>
      <w:r>
        <w:rPr>
          <w:rFonts w:ascii="Arial"/>
          <w:sz w:val="16"/>
        </w:rPr>
        <w:t>Forest</w:t>
      </w:r>
      <w:r>
        <w:rPr>
          <w:rFonts w:ascii="Arial"/>
          <w:spacing w:val="-3"/>
          <w:sz w:val="16"/>
        </w:rPr>
        <w:t> </w:t>
      </w:r>
      <w:r>
        <w:rPr>
          <w:rFonts w:ascii="Arial"/>
          <w:sz w:val="16"/>
        </w:rPr>
        <w:t>Service</w:t>
      </w:r>
      <w:r>
        <w:rPr>
          <w:rFonts w:ascii="Arial"/>
          <w:spacing w:val="-2"/>
          <w:sz w:val="16"/>
        </w:rPr>
        <w:t> </w:t>
      </w:r>
      <w:r>
        <w:rPr>
          <w:rFonts w:ascii="Arial"/>
          <w:sz w:val="16"/>
        </w:rPr>
        <w:t>has</w:t>
      </w:r>
      <w:r>
        <w:rPr>
          <w:rFonts w:ascii="Arial"/>
          <w:spacing w:val="-3"/>
          <w:sz w:val="16"/>
        </w:rPr>
        <w:t> </w:t>
      </w:r>
      <w:r>
        <w:rPr>
          <w:rFonts w:ascii="Arial"/>
          <w:sz w:val="16"/>
        </w:rPr>
        <w:t>consent authority</w:t>
      </w:r>
      <w:r>
        <w:rPr>
          <w:rFonts w:ascii="Arial"/>
          <w:spacing w:val="-2"/>
          <w:sz w:val="16"/>
        </w:rPr>
        <w:t> </w:t>
      </w:r>
      <w:r>
        <w:rPr>
          <w:rFonts w:ascii="Arial"/>
          <w:sz w:val="16"/>
        </w:rPr>
        <w:t>for</w:t>
      </w:r>
      <w:r>
        <w:rPr>
          <w:rFonts w:ascii="Arial"/>
          <w:spacing w:val="-2"/>
          <w:sz w:val="16"/>
        </w:rPr>
        <w:t> </w:t>
      </w:r>
      <w:r>
        <w:rPr>
          <w:rFonts w:ascii="Arial"/>
          <w:sz w:val="16"/>
        </w:rPr>
        <w:t>Leasable</w:t>
      </w:r>
      <w:r>
        <w:rPr>
          <w:rFonts w:ascii="Arial"/>
          <w:spacing w:val="-4"/>
          <w:sz w:val="16"/>
        </w:rPr>
        <w:t> </w:t>
      </w:r>
      <w:r>
        <w:rPr>
          <w:rFonts w:ascii="Arial"/>
          <w:sz w:val="16"/>
        </w:rPr>
        <w:t>minerals. The</w:t>
      </w:r>
      <w:r>
        <w:rPr>
          <w:rFonts w:ascii="Arial"/>
          <w:spacing w:val="-4"/>
          <w:sz w:val="16"/>
        </w:rPr>
        <w:t> </w:t>
      </w:r>
      <w:r>
        <w:rPr>
          <w:rFonts w:ascii="Arial"/>
          <w:sz w:val="16"/>
        </w:rPr>
        <w:t>Secretary</w:t>
      </w:r>
      <w:r>
        <w:rPr>
          <w:rFonts w:ascii="Arial"/>
          <w:spacing w:val="-2"/>
          <w:sz w:val="16"/>
        </w:rPr>
        <w:t> </w:t>
      </w:r>
      <w:r>
        <w:rPr>
          <w:rFonts w:ascii="Arial"/>
          <w:sz w:val="16"/>
        </w:rPr>
        <w:t>of</w:t>
      </w:r>
      <w:r>
        <w:rPr>
          <w:rFonts w:ascii="Arial"/>
          <w:spacing w:val="-3"/>
          <w:sz w:val="16"/>
        </w:rPr>
        <w:t> </w:t>
      </w:r>
      <w:r>
        <w:rPr>
          <w:rFonts w:ascii="Arial"/>
          <w:sz w:val="16"/>
        </w:rPr>
        <w:t>Interior</w:t>
      </w:r>
      <w:r>
        <w:rPr>
          <w:rFonts w:ascii="Arial"/>
          <w:spacing w:val="-2"/>
          <w:sz w:val="16"/>
        </w:rPr>
        <w:t> </w:t>
      </w:r>
      <w:r>
        <w:rPr>
          <w:rFonts w:ascii="Arial"/>
          <w:sz w:val="16"/>
        </w:rPr>
        <w:t>holds</w:t>
      </w:r>
      <w:r>
        <w:rPr>
          <w:rFonts w:ascii="Arial"/>
          <w:spacing w:val="-2"/>
          <w:sz w:val="16"/>
        </w:rPr>
        <w:t> </w:t>
      </w:r>
      <w:r>
        <w:rPr>
          <w:rFonts w:ascii="Arial"/>
          <w:sz w:val="16"/>
        </w:rPr>
        <w:t>authority</w:t>
      </w:r>
      <w:r>
        <w:rPr>
          <w:rFonts w:ascii="Arial"/>
          <w:spacing w:val="-5"/>
          <w:sz w:val="16"/>
        </w:rPr>
        <w:t> </w:t>
      </w:r>
      <w:r>
        <w:rPr>
          <w:rFonts w:ascii="Arial"/>
          <w:sz w:val="16"/>
        </w:rPr>
        <w:t>to</w:t>
      </w:r>
      <w:r>
        <w:rPr>
          <w:rFonts w:ascii="Arial"/>
          <w:spacing w:val="-2"/>
          <w:sz w:val="16"/>
        </w:rPr>
        <w:t> </w:t>
      </w:r>
      <w:r>
        <w:rPr>
          <w:rFonts w:ascii="Arial"/>
          <w:sz w:val="16"/>
        </w:rPr>
        <w:t>issue</w:t>
      </w:r>
      <w:r>
        <w:rPr>
          <w:rFonts w:ascii="Arial"/>
          <w:spacing w:val="-4"/>
          <w:sz w:val="16"/>
        </w:rPr>
        <w:t> </w:t>
      </w:r>
      <w:r>
        <w:rPr>
          <w:rFonts w:ascii="Arial"/>
          <w:sz w:val="16"/>
        </w:rPr>
        <w:t>permits and leases.</w:t>
      </w:r>
    </w:p>
    <w:p>
      <w:pPr>
        <w:spacing w:before="40"/>
        <w:ind w:left="1151" w:right="0" w:firstLine="0"/>
        <w:jc w:val="left"/>
        <w:rPr>
          <w:rFonts w:ascii="Arial"/>
          <w:sz w:val="16"/>
        </w:rPr>
      </w:pPr>
      <w:r>
        <w:rPr>
          <w:rFonts w:ascii="Arial"/>
          <w:sz w:val="16"/>
        </w:rPr>
        <w:t>**Locatable</w:t>
      </w:r>
      <w:r>
        <w:rPr>
          <w:rFonts w:ascii="Arial"/>
          <w:spacing w:val="-6"/>
          <w:sz w:val="16"/>
        </w:rPr>
        <w:t> </w:t>
      </w:r>
      <w:r>
        <w:rPr>
          <w:rFonts w:ascii="Arial"/>
          <w:sz w:val="16"/>
        </w:rPr>
        <w:t>minerals</w:t>
      </w:r>
      <w:r>
        <w:rPr>
          <w:rFonts w:ascii="Arial"/>
          <w:spacing w:val="-3"/>
          <w:sz w:val="16"/>
        </w:rPr>
        <w:t> </w:t>
      </w:r>
      <w:r>
        <w:rPr>
          <w:rFonts w:ascii="Arial"/>
          <w:sz w:val="16"/>
        </w:rPr>
        <w:t>are</w:t>
      </w:r>
      <w:r>
        <w:rPr>
          <w:rFonts w:ascii="Arial"/>
          <w:spacing w:val="-6"/>
          <w:sz w:val="16"/>
        </w:rPr>
        <w:t> </w:t>
      </w:r>
      <w:r>
        <w:rPr>
          <w:rFonts w:ascii="Arial"/>
          <w:sz w:val="16"/>
        </w:rPr>
        <w:t>suitable</w:t>
      </w:r>
      <w:r>
        <w:rPr>
          <w:rFonts w:ascii="Arial"/>
          <w:spacing w:val="-8"/>
          <w:sz w:val="16"/>
        </w:rPr>
        <w:t> </w:t>
      </w:r>
      <w:r>
        <w:rPr>
          <w:rFonts w:ascii="Arial"/>
          <w:sz w:val="16"/>
        </w:rPr>
        <w:t>unless</w:t>
      </w:r>
      <w:r>
        <w:rPr>
          <w:rFonts w:ascii="Arial"/>
          <w:spacing w:val="-3"/>
          <w:sz w:val="16"/>
        </w:rPr>
        <w:t> </w:t>
      </w:r>
      <w:r>
        <w:rPr>
          <w:rFonts w:ascii="Arial"/>
          <w:sz w:val="16"/>
        </w:rPr>
        <w:t>the</w:t>
      </w:r>
      <w:r>
        <w:rPr>
          <w:rFonts w:ascii="Arial"/>
          <w:spacing w:val="-6"/>
          <w:sz w:val="16"/>
        </w:rPr>
        <w:t> </w:t>
      </w:r>
      <w:r>
        <w:rPr>
          <w:rFonts w:ascii="Arial"/>
          <w:sz w:val="16"/>
        </w:rPr>
        <w:t>area</w:t>
      </w:r>
      <w:r>
        <w:rPr>
          <w:rFonts w:ascii="Arial"/>
          <w:spacing w:val="-3"/>
          <w:sz w:val="16"/>
        </w:rPr>
        <w:t> </w:t>
      </w:r>
      <w:r>
        <w:rPr>
          <w:rFonts w:ascii="Arial"/>
          <w:sz w:val="16"/>
        </w:rPr>
        <w:t>is</w:t>
      </w:r>
      <w:r>
        <w:rPr>
          <w:rFonts w:ascii="Arial"/>
          <w:spacing w:val="-4"/>
          <w:sz w:val="16"/>
        </w:rPr>
        <w:t> </w:t>
      </w:r>
      <w:r>
        <w:rPr>
          <w:rFonts w:ascii="Arial"/>
          <w:sz w:val="16"/>
        </w:rPr>
        <w:t>withdrawn</w:t>
      </w:r>
      <w:r>
        <w:rPr>
          <w:rFonts w:ascii="Arial"/>
          <w:spacing w:val="-3"/>
          <w:sz w:val="16"/>
        </w:rPr>
        <w:t> </w:t>
      </w:r>
      <w:r>
        <w:rPr>
          <w:rFonts w:ascii="Arial"/>
          <w:sz w:val="16"/>
        </w:rPr>
        <w:t>from</w:t>
      </w:r>
      <w:r>
        <w:rPr>
          <w:rFonts w:ascii="Arial"/>
          <w:spacing w:val="-3"/>
          <w:sz w:val="16"/>
        </w:rPr>
        <w:t> </w:t>
      </w:r>
      <w:r>
        <w:rPr>
          <w:rFonts w:ascii="Arial"/>
          <w:sz w:val="16"/>
        </w:rPr>
        <w:t>mineral</w:t>
      </w:r>
      <w:r>
        <w:rPr>
          <w:rFonts w:ascii="Arial"/>
          <w:spacing w:val="-2"/>
          <w:sz w:val="16"/>
        </w:rPr>
        <w:t> entry</w:t>
      </w:r>
    </w:p>
    <w:p>
      <w:pPr>
        <w:pStyle w:val="BodyText"/>
        <w:rPr>
          <w:rFonts w:ascii="Arial"/>
          <w:sz w:val="16"/>
        </w:rPr>
      </w:pPr>
    </w:p>
    <w:p>
      <w:pPr>
        <w:pStyle w:val="BodyText"/>
        <w:spacing w:before="116"/>
        <w:rPr>
          <w:rFonts w:ascii="Arial"/>
          <w:sz w:val="16"/>
        </w:rPr>
      </w:pPr>
    </w:p>
    <w:p>
      <w:pPr>
        <w:pStyle w:val="Heading3"/>
      </w:pPr>
      <w:bookmarkStart w:name="Wild and Scenic Rivers (WSR)" w:id="824"/>
      <w:bookmarkEnd w:id="824"/>
      <w:r>
        <w:rPr>
          <w:b w:val="0"/>
        </w:rPr>
      </w:r>
      <w:bookmarkStart w:name="_bookmark250" w:id="825"/>
      <w:bookmarkEnd w:id="825"/>
      <w:r>
        <w:rPr>
          <w:b w:val="0"/>
        </w:rPr>
      </w:r>
      <w:r>
        <w:rPr>
          <w:smallCaps/>
          <w:color w:val="475824"/>
        </w:rPr>
        <w:t>Wild</w:t>
      </w:r>
      <w:r>
        <w:rPr>
          <w:smallCaps/>
          <w:color w:val="475824"/>
          <w:spacing w:val="-5"/>
        </w:rPr>
        <w:t> </w:t>
      </w:r>
      <w:r>
        <w:rPr>
          <w:smallCaps/>
          <w:color w:val="475824"/>
        </w:rPr>
        <w:t>and</w:t>
      </w:r>
      <w:r>
        <w:rPr>
          <w:smallCaps/>
          <w:color w:val="475824"/>
          <w:spacing w:val="-4"/>
        </w:rPr>
        <w:t> </w:t>
      </w:r>
      <w:r>
        <w:rPr>
          <w:smallCaps/>
          <w:color w:val="475824"/>
        </w:rPr>
        <w:t>Scenic</w:t>
      </w:r>
      <w:r>
        <w:rPr>
          <w:smallCaps/>
          <w:color w:val="475824"/>
          <w:spacing w:val="-5"/>
        </w:rPr>
        <w:t> </w:t>
      </w:r>
      <w:r>
        <w:rPr>
          <w:smallCaps/>
          <w:color w:val="475824"/>
        </w:rPr>
        <w:t>Rivers</w:t>
      </w:r>
      <w:r>
        <w:rPr>
          <w:smallCaps/>
          <w:color w:val="475824"/>
          <w:spacing w:val="-4"/>
        </w:rPr>
        <w:t> (WSR)</w:t>
      </w:r>
    </w:p>
    <w:p>
      <w:pPr>
        <w:pStyle w:val="BodyText"/>
        <w:spacing w:before="117"/>
        <w:ind w:left="1512" w:right="801"/>
      </w:pPr>
      <w:r>
        <w:rPr/>
        <mc:AlternateContent>
          <mc:Choice Requires="wps">
            <w:drawing>
              <wp:anchor distT="0" distB="0" distL="0" distR="0" allowOverlap="1" layoutInCell="1" locked="0" behindDoc="1" simplePos="0" relativeHeight="474288128">
                <wp:simplePos x="0" y="0"/>
                <wp:positionH relativeFrom="page">
                  <wp:posOffset>1627632</wp:posOffset>
                </wp:positionH>
                <wp:positionV relativeFrom="paragraph">
                  <wp:posOffset>74932</wp:posOffset>
                </wp:positionV>
                <wp:extent cx="5248910" cy="5173980"/>
                <wp:effectExtent l="0" t="0" r="0" b="0"/>
                <wp:wrapNone/>
                <wp:docPr id="221" name="Graphic 221"/>
                <wp:cNvGraphicFramePr>
                  <a:graphicFrameLocks/>
                </wp:cNvGraphicFramePr>
                <a:graphic>
                  <a:graphicData uri="http://schemas.microsoft.com/office/word/2010/wordprocessingShape">
                    <wps:wsp>
                      <wps:cNvPr id="221" name="Graphic 221"/>
                      <wps:cNvSpPr/>
                      <wps:spPr>
                        <a:xfrm>
                          <a:off x="0" y="0"/>
                          <a:ext cx="5248910" cy="5173980"/>
                        </a:xfrm>
                        <a:custGeom>
                          <a:avLst/>
                          <a:gdLst/>
                          <a:ahLst/>
                          <a:cxnLst/>
                          <a:rect l="l" t="t" r="r" b="b"/>
                          <a:pathLst>
                            <a:path w="5248910" h="5173980">
                              <a:moveTo>
                                <a:pt x="5248643" y="0"/>
                              </a:moveTo>
                              <a:lnTo>
                                <a:pt x="0" y="0"/>
                              </a:lnTo>
                              <a:lnTo>
                                <a:pt x="0" y="170688"/>
                              </a:lnTo>
                              <a:lnTo>
                                <a:pt x="0" y="341376"/>
                              </a:lnTo>
                              <a:lnTo>
                                <a:pt x="0" y="5173980"/>
                              </a:lnTo>
                              <a:lnTo>
                                <a:pt x="5248643" y="5173980"/>
                              </a:lnTo>
                              <a:lnTo>
                                <a:pt x="5248643" y="170688"/>
                              </a:lnTo>
                              <a:lnTo>
                                <a:pt x="5248643"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style="position:absolute;margin-left:128.160004pt;margin-top:5.900197pt;width:413.3pt;height:407.4pt;mso-position-horizontal-relative:page;mso-position-vertical-relative:paragraph;z-index:-29028352" id="docshape209" coordorigin="2563,118" coordsize="8266,8148" path="m10829,118l2563,118,2563,387,2563,656,2563,8266,10829,8266,10829,387,10829,118xe" filled="true" fillcolor="#dfdfdf" stroked="false">
                <v:path arrowok="t"/>
                <v:fill type="solid"/>
                <w10:wrap type="none"/>
              </v:shape>
            </w:pict>
          </mc:Fallback>
        </mc:AlternateContent>
      </w:r>
      <w:r>
        <w:rPr/>
        <w:t>Congress designates wild and scenic rivers as part of the Wild and Scenic Rivers System under</w:t>
      </w:r>
      <w:r>
        <w:rPr>
          <w:spacing w:val="-2"/>
        </w:rPr>
        <w:t> </w:t>
      </w:r>
      <w:r>
        <w:rPr/>
        <w:t>the</w:t>
      </w:r>
      <w:r>
        <w:rPr>
          <w:spacing w:val="-1"/>
        </w:rPr>
        <w:t> </w:t>
      </w:r>
      <w:r>
        <w:rPr/>
        <w:t>authority</w:t>
      </w:r>
      <w:r>
        <w:rPr>
          <w:spacing w:val="-1"/>
        </w:rPr>
        <w:t> </w:t>
      </w:r>
      <w:r>
        <w:rPr/>
        <w:t>of</w:t>
      </w:r>
      <w:r>
        <w:rPr>
          <w:spacing w:val="-4"/>
        </w:rPr>
        <w:t> </w:t>
      </w:r>
      <w:r>
        <w:rPr/>
        <w:t>the</w:t>
      </w:r>
      <w:r>
        <w:rPr>
          <w:spacing w:val="-6"/>
        </w:rPr>
        <w:t> </w:t>
      </w:r>
      <w:r>
        <w:rPr/>
        <w:t>Wild</w:t>
      </w:r>
      <w:r>
        <w:rPr>
          <w:spacing w:val="-3"/>
        </w:rPr>
        <w:t> </w:t>
      </w:r>
      <w:r>
        <w:rPr/>
        <w:t>and</w:t>
      </w:r>
      <w:r>
        <w:rPr>
          <w:spacing w:val="-3"/>
        </w:rPr>
        <w:t> </w:t>
      </w:r>
      <w:r>
        <w:rPr/>
        <w:t>Scenic</w:t>
      </w:r>
      <w:r>
        <w:rPr>
          <w:spacing w:val="-4"/>
        </w:rPr>
        <w:t> </w:t>
      </w:r>
      <w:r>
        <w:rPr/>
        <w:t>Rivers</w:t>
      </w:r>
      <w:r>
        <w:rPr>
          <w:spacing w:val="-2"/>
        </w:rPr>
        <w:t> </w:t>
      </w:r>
      <w:r>
        <w:rPr/>
        <w:t>Act,</w:t>
      </w:r>
      <w:r>
        <w:rPr>
          <w:spacing w:val="-4"/>
        </w:rPr>
        <w:t> </w:t>
      </w:r>
      <w:r>
        <w:rPr/>
        <w:t>as</w:t>
      </w:r>
      <w:r>
        <w:rPr>
          <w:spacing w:val="-2"/>
        </w:rPr>
        <w:t> </w:t>
      </w:r>
      <w:r>
        <w:rPr/>
        <w:t>amended</w:t>
      </w:r>
      <w:r>
        <w:rPr>
          <w:spacing w:val="-3"/>
        </w:rPr>
        <w:t> </w:t>
      </w:r>
      <w:r>
        <w:rPr/>
        <w:t>(1968).</w:t>
      </w:r>
      <w:r>
        <w:rPr>
          <w:spacing w:val="-5"/>
        </w:rPr>
        <w:t> </w:t>
      </w:r>
      <w:r>
        <w:rPr/>
        <w:t>Currently,</w:t>
      </w:r>
      <w:r>
        <w:rPr>
          <w:spacing w:val="-2"/>
        </w:rPr>
        <w:t> </w:t>
      </w:r>
      <w:r>
        <w:rPr/>
        <w:t>there are no congressionally designated rivers on the Forest.</w:t>
      </w:r>
    </w:p>
    <w:p>
      <w:pPr>
        <w:pStyle w:val="BodyText"/>
        <w:spacing w:before="121"/>
        <w:ind w:left="1512" w:right="720"/>
      </w:pPr>
      <w:r>
        <w:rPr/>
        <w:t>Eligible rivers are free-flowing and have one or more outstandingly remarkable value of regional</w:t>
      </w:r>
      <w:r>
        <w:rPr>
          <w:spacing w:val="-5"/>
        </w:rPr>
        <w:t> </w:t>
      </w:r>
      <w:r>
        <w:rPr/>
        <w:t>or</w:t>
      </w:r>
      <w:r>
        <w:rPr>
          <w:spacing w:val="-3"/>
        </w:rPr>
        <w:t> </w:t>
      </w:r>
      <w:r>
        <w:rPr/>
        <w:t>national</w:t>
      </w:r>
      <w:r>
        <w:rPr>
          <w:spacing w:val="-3"/>
        </w:rPr>
        <w:t> </w:t>
      </w:r>
      <w:r>
        <w:rPr/>
        <w:t>significance.</w:t>
      </w:r>
      <w:r>
        <w:rPr>
          <w:spacing w:val="-3"/>
        </w:rPr>
        <w:t> </w:t>
      </w:r>
      <w:r>
        <w:rPr/>
        <w:t>Suitable</w:t>
      </w:r>
      <w:r>
        <w:rPr>
          <w:spacing w:val="-2"/>
        </w:rPr>
        <w:t> </w:t>
      </w:r>
      <w:r>
        <w:rPr/>
        <w:t>rivers</w:t>
      </w:r>
      <w:r>
        <w:rPr>
          <w:spacing w:val="-4"/>
        </w:rPr>
        <w:t> </w:t>
      </w:r>
      <w:r>
        <w:rPr/>
        <w:t>are</w:t>
      </w:r>
      <w:r>
        <w:rPr>
          <w:spacing w:val="-4"/>
        </w:rPr>
        <w:t> </w:t>
      </w:r>
      <w:r>
        <w:rPr/>
        <w:t>those</w:t>
      </w:r>
      <w:r>
        <w:rPr>
          <w:spacing w:val="-4"/>
        </w:rPr>
        <w:t> </w:t>
      </w:r>
      <w:r>
        <w:rPr/>
        <w:t>eligible</w:t>
      </w:r>
      <w:r>
        <w:rPr>
          <w:spacing w:val="-2"/>
        </w:rPr>
        <w:t> </w:t>
      </w:r>
      <w:r>
        <w:rPr/>
        <w:t>rivers</w:t>
      </w:r>
      <w:r>
        <w:rPr>
          <w:spacing w:val="-4"/>
        </w:rPr>
        <w:t> </w:t>
      </w:r>
      <w:r>
        <w:rPr/>
        <w:t>where</w:t>
      </w:r>
      <w:r>
        <w:rPr>
          <w:spacing w:val="-2"/>
        </w:rPr>
        <w:t> </w:t>
      </w:r>
      <w:r>
        <w:rPr/>
        <w:t>protection</w:t>
      </w:r>
      <w:r>
        <w:rPr>
          <w:spacing w:val="-5"/>
        </w:rPr>
        <w:t> </w:t>
      </w:r>
      <w:r>
        <w:rPr/>
        <w:t>of the outstandingly remarkable values is more important than other resource benefits and congressional designation is determined to be the best option for protecting the values of the river. Rivers found to be both eligible and suitable by the Forest Service may be recommended to Congress for designation. Eligible or suitable rivers are managed to preserve their eligibility. Management direction is the same for eligible, suitable, or recommended rivers. A Responsible Official may authorize site-specific projects and activities on National Forest System lands within legislatively mandated study river corridors, or within Forest Service identified eligible or suitable river corridors when the project and activities are consistent with the protection measures found in the current version</w:t>
      </w:r>
      <w:r>
        <w:rPr>
          <w:spacing w:val="-3"/>
        </w:rPr>
        <w:t> </w:t>
      </w:r>
      <w:r>
        <w:rPr/>
        <w:t>of Forest</w:t>
      </w:r>
      <w:r>
        <w:rPr>
          <w:spacing w:val="-2"/>
        </w:rPr>
        <w:t> </w:t>
      </w:r>
      <w:r>
        <w:rPr/>
        <w:t>Service Handbook</w:t>
      </w:r>
      <w:r>
        <w:rPr>
          <w:spacing w:val="-2"/>
        </w:rPr>
        <w:t> </w:t>
      </w:r>
      <w:r>
        <w:rPr/>
        <w:t>1909.12 Chapter</w:t>
      </w:r>
      <w:r>
        <w:rPr>
          <w:spacing w:val="-5"/>
        </w:rPr>
        <w:t> </w:t>
      </w:r>
      <w:r>
        <w:rPr/>
        <w:t>80.</w:t>
      </w:r>
      <w:r>
        <w:rPr>
          <w:spacing w:val="-2"/>
        </w:rPr>
        <w:t> </w:t>
      </w:r>
      <w:r>
        <w:rPr/>
        <w:t>The river</w:t>
      </w:r>
      <w:r>
        <w:rPr>
          <w:spacing w:val="-2"/>
        </w:rPr>
        <w:t> </w:t>
      </w:r>
      <w:r>
        <w:rPr/>
        <w:t>corridor is generally</w:t>
      </w:r>
      <w:r>
        <w:rPr>
          <w:spacing w:val="-1"/>
        </w:rPr>
        <w:t> </w:t>
      </w:r>
      <w:r>
        <w:rPr/>
        <w:t>one- quarter mile from either side of the riverbank. However, protection of outstandingly remarkable values may require encompassing a larger area.</w:t>
      </w:r>
    </w:p>
    <w:p>
      <w:pPr>
        <w:pStyle w:val="BodyText"/>
        <w:spacing w:before="118"/>
        <w:ind w:left="1512" w:right="742"/>
      </w:pPr>
      <w:r>
        <w:rPr/>
        <w:t>The</w:t>
      </w:r>
      <w:r>
        <w:rPr>
          <w:spacing w:val="-1"/>
        </w:rPr>
        <w:t> </w:t>
      </w:r>
      <w:r>
        <w:rPr/>
        <w:t>forest</w:t>
      </w:r>
      <w:r>
        <w:rPr>
          <w:spacing w:val="-4"/>
        </w:rPr>
        <w:t> </w:t>
      </w:r>
      <w:r>
        <w:rPr/>
        <w:t>is</w:t>
      </w:r>
      <w:r>
        <w:rPr>
          <w:spacing w:val="-2"/>
        </w:rPr>
        <w:t> </w:t>
      </w:r>
      <w:r>
        <w:rPr/>
        <w:t>committed</w:t>
      </w:r>
      <w:r>
        <w:rPr>
          <w:spacing w:val="-5"/>
        </w:rPr>
        <w:t> </w:t>
      </w:r>
      <w:r>
        <w:rPr/>
        <w:t>to</w:t>
      </w:r>
      <w:r>
        <w:rPr>
          <w:spacing w:val="-5"/>
        </w:rPr>
        <w:t> </w:t>
      </w:r>
      <w:r>
        <w:rPr/>
        <w:t>reviewing</w:t>
      </w:r>
      <w:r>
        <w:rPr>
          <w:spacing w:val="-3"/>
        </w:rPr>
        <w:t> </w:t>
      </w:r>
      <w:r>
        <w:rPr/>
        <w:t>whether</w:t>
      </w:r>
      <w:r>
        <w:rPr>
          <w:spacing w:val="-4"/>
        </w:rPr>
        <w:t> </w:t>
      </w:r>
      <w:r>
        <w:rPr/>
        <w:t>circumstances</w:t>
      </w:r>
      <w:r>
        <w:rPr>
          <w:spacing w:val="-2"/>
        </w:rPr>
        <w:t> </w:t>
      </w:r>
      <w:r>
        <w:rPr/>
        <w:t>change</w:t>
      </w:r>
      <w:r>
        <w:rPr>
          <w:spacing w:val="-4"/>
        </w:rPr>
        <w:t> </w:t>
      </w:r>
      <w:r>
        <w:rPr/>
        <w:t>sufficiently</w:t>
      </w:r>
      <w:r>
        <w:rPr>
          <w:spacing w:val="-3"/>
        </w:rPr>
        <w:t> </w:t>
      </w:r>
      <w:r>
        <w:rPr/>
        <w:t>on</w:t>
      </w:r>
      <w:r>
        <w:rPr>
          <w:spacing w:val="-3"/>
        </w:rPr>
        <w:t> </w:t>
      </w:r>
      <w:r>
        <w:rPr/>
        <w:t>Sullivan Creek below Sullivan Lake and above its confluence with the Pend Oreille River (after planned restoration and enhancement work is completed – estimated completion timeline is 8-10 years) to warrant an additional review of Sullivan Creek’s existing eligibility determination.</w:t>
      </w:r>
      <w:r>
        <w:rPr>
          <w:spacing w:val="40"/>
        </w:rPr>
        <w:t> </w:t>
      </w:r>
      <w:r>
        <w:rPr/>
        <w:t>Sullivan Creek was determined to be not eligible for wild and scenic river designation during a similar review completed as part of the forest plan revision process.</w:t>
      </w:r>
    </w:p>
    <w:p>
      <w:pPr>
        <w:pStyle w:val="BodyText"/>
        <w:spacing w:before="2"/>
        <w:ind w:left="1512" w:right="769"/>
      </w:pPr>
      <w:r>
        <w:rPr/>
        <w:t>However, the wild and scenic river review team determined that this river segment could be</w:t>
      </w:r>
      <w:r>
        <w:rPr>
          <w:spacing w:val="-2"/>
        </w:rPr>
        <w:t> </w:t>
      </w:r>
      <w:r>
        <w:rPr/>
        <w:t>found</w:t>
      </w:r>
      <w:r>
        <w:rPr>
          <w:spacing w:val="-4"/>
        </w:rPr>
        <w:t> </w:t>
      </w:r>
      <w:r>
        <w:rPr/>
        <w:t>eligible</w:t>
      </w:r>
      <w:r>
        <w:rPr>
          <w:spacing w:val="-5"/>
        </w:rPr>
        <w:t> </w:t>
      </w:r>
      <w:r>
        <w:rPr/>
        <w:t>in</w:t>
      </w:r>
      <w:r>
        <w:rPr>
          <w:spacing w:val="-4"/>
        </w:rPr>
        <w:t> </w:t>
      </w:r>
      <w:r>
        <w:rPr/>
        <w:t>the</w:t>
      </w:r>
      <w:r>
        <w:rPr>
          <w:spacing w:val="-2"/>
        </w:rPr>
        <w:t> </w:t>
      </w:r>
      <w:r>
        <w:rPr/>
        <w:t>future</w:t>
      </w:r>
      <w:r>
        <w:rPr>
          <w:spacing w:val="-2"/>
        </w:rPr>
        <w:t> </w:t>
      </w:r>
      <w:r>
        <w:rPr/>
        <w:t>pending</w:t>
      </w:r>
      <w:r>
        <w:rPr>
          <w:spacing w:val="-4"/>
        </w:rPr>
        <w:t> </w:t>
      </w:r>
      <w:r>
        <w:rPr/>
        <w:t>the</w:t>
      </w:r>
      <w:r>
        <w:rPr>
          <w:spacing w:val="-2"/>
        </w:rPr>
        <w:t> </w:t>
      </w:r>
      <w:r>
        <w:rPr/>
        <w:t>completion</w:t>
      </w:r>
      <w:r>
        <w:rPr>
          <w:spacing w:val="-4"/>
        </w:rPr>
        <w:t> </w:t>
      </w:r>
      <w:r>
        <w:rPr/>
        <w:t>of</w:t>
      </w:r>
      <w:r>
        <w:rPr>
          <w:spacing w:val="-3"/>
        </w:rPr>
        <w:t> </w:t>
      </w:r>
      <w:r>
        <w:rPr/>
        <w:t>planned</w:t>
      </w:r>
      <w:r>
        <w:rPr>
          <w:spacing w:val="-4"/>
        </w:rPr>
        <w:t> </w:t>
      </w:r>
      <w:r>
        <w:rPr/>
        <w:t>restoration</w:t>
      </w:r>
      <w:r>
        <w:rPr>
          <w:spacing w:val="-4"/>
        </w:rPr>
        <w:t> </w:t>
      </w:r>
      <w:r>
        <w:rPr/>
        <w:t>projects.</w:t>
      </w:r>
      <w:r>
        <w:rPr>
          <w:spacing w:val="-3"/>
        </w:rPr>
        <w:t> </w:t>
      </w:r>
      <w:r>
        <w:rPr/>
        <w:t>This review would determine whether changed circumstances warrant this segment of Sullivan Creek be identified as an eligible wild and scenic river.</w:t>
      </w:r>
    </w:p>
    <w:p>
      <w:pPr>
        <w:pStyle w:val="BodyText"/>
        <w:spacing w:before="118"/>
        <w:ind w:left="1512" w:right="801"/>
      </w:pPr>
      <w:hyperlink w:history="true" w:anchor="_bookmark251">
        <w:r>
          <w:rPr/>
          <w:t>Table</w:t>
        </w:r>
        <w:r>
          <w:rPr>
            <w:spacing w:val="-2"/>
          </w:rPr>
          <w:t> </w:t>
        </w:r>
        <w:r>
          <w:rPr/>
          <w:t>31</w:t>
        </w:r>
      </w:hyperlink>
      <w:r>
        <w:rPr>
          <w:spacing w:val="-2"/>
        </w:rPr>
        <w:t> </w:t>
      </w:r>
      <w:r>
        <w:rPr/>
        <w:t>shows</w:t>
      </w:r>
      <w:r>
        <w:rPr>
          <w:spacing w:val="-5"/>
        </w:rPr>
        <w:t> </w:t>
      </w:r>
      <w:r>
        <w:rPr/>
        <w:t>rivers</w:t>
      </w:r>
      <w:r>
        <w:rPr>
          <w:spacing w:val="-3"/>
        </w:rPr>
        <w:t> </w:t>
      </w:r>
      <w:r>
        <w:rPr/>
        <w:t>that</w:t>
      </w:r>
      <w:r>
        <w:rPr>
          <w:spacing w:val="-5"/>
        </w:rPr>
        <w:t> </w:t>
      </w:r>
      <w:r>
        <w:rPr/>
        <w:t>are</w:t>
      </w:r>
      <w:r>
        <w:rPr>
          <w:spacing w:val="-2"/>
        </w:rPr>
        <w:t> </w:t>
      </w:r>
      <w:r>
        <w:rPr/>
        <w:t>eligible.</w:t>
      </w:r>
      <w:r>
        <w:rPr>
          <w:spacing w:val="-4"/>
        </w:rPr>
        <w:t> </w:t>
      </w:r>
      <w:r>
        <w:rPr/>
        <w:t>No</w:t>
      </w:r>
      <w:r>
        <w:rPr>
          <w:spacing w:val="-2"/>
        </w:rPr>
        <w:t> </w:t>
      </w:r>
      <w:r>
        <w:rPr/>
        <w:t>suitability</w:t>
      </w:r>
      <w:r>
        <w:rPr>
          <w:spacing w:val="-2"/>
        </w:rPr>
        <w:t> </w:t>
      </w:r>
      <w:r>
        <w:rPr/>
        <w:t>determinations</w:t>
      </w:r>
      <w:r>
        <w:rPr>
          <w:spacing w:val="-3"/>
        </w:rPr>
        <w:t> </w:t>
      </w:r>
      <w:r>
        <w:rPr/>
        <w:t>have</w:t>
      </w:r>
      <w:r>
        <w:rPr>
          <w:spacing w:val="-2"/>
        </w:rPr>
        <w:t> </w:t>
      </w:r>
      <w:r>
        <w:rPr/>
        <w:t>been</w:t>
      </w:r>
      <w:r>
        <w:rPr>
          <w:spacing w:val="-6"/>
        </w:rPr>
        <w:t> </w:t>
      </w:r>
      <w:r>
        <w:rPr/>
        <w:t>made</w:t>
      </w:r>
      <w:r>
        <w:rPr>
          <w:spacing w:val="-5"/>
        </w:rPr>
        <w:t> </w:t>
      </w:r>
      <w:r>
        <w:rPr/>
        <w:t>on eligible rivers on the Colville National Forest.</w:t>
      </w:r>
    </w:p>
    <w:p>
      <w:pPr>
        <w:pStyle w:val="BodyText"/>
        <w:spacing w:before="92"/>
      </w:pPr>
    </w:p>
    <w:p>
      <w:pPr>
        <w:spacing w:before="0" w:after="42"/>
        <w:ind w:left="1512" w:right="0" w:firstLine="0"/>
        <w:jc w:val="left"/>
        <w:rPr>
          <w:rFonts w:ascii="Arial"/>
          <w:b/>
          <w:sz w:val="18"/>
        </w:rPr>
      </w:pPr>
      <w:bookmarkStart w:name="_bookmark251" w:id="826"/>
      <w:bookmarkEnd w:id="826"/>
      <w:r>
        <w:rPr/>
      </w:r>
      <w:r>
        <w:rPr>
          <w:rFonts w:ascii="Arial"/>
          <w:b/>
          <w:sz w:val="18"/>
        </w:rPr>
        <w:t>Table</w:t>
      </w:r>
      <w:r>
        <w:rPr>
          <w:rFonts w:ascii="Arial"/>
          <w:b/>
          <w:spacing w:val="-6"/>
          <w:sz w:val="18"/>
        </w:rPr>
        <w:t> </w:t>
      </w:r>
      <w:r>
        <w:rPr>
          <w:rFonts w:ascii="Arial"/>
          <w:b/>
          <w:sz w:val="18"/>
        </w:rPr>
        <w:t>31.</w:t>
      </w:r>
      <w:r>
        <w:rPr>
          <w:rFonts w:ascii="Arial"/>
          <w:b/>
          <w:spacing w:val="-1"/>
          <w:sz w:val="18"/>
        </w:rPr>
        <w:t> </w:t>
      </w:r>
      <w:r>
        <w:rPr>
          <w:rFonts w:ascii="Arial"/>
          <w:b/>
          <w:sz w:val="18"/>
        </w:rPr>
        <w:t>Eligible</w:t>
      </w:r>
      <w:r>
        <w:rPr>
          <w:rFonts w:ascii="Arial"/>
          <w:b/>
          <w:spacing w:val="-5"/>
          <w:sz w:val="18"/>
        </w:rPr>
        <w:t> </w:t>
      </w:r>
      <w:r>
        <w:rPr>
          <w:rFonts w:ascii="Arial"/>
          <w:b/>
          <w:sz w:val="18"/>
        </w:rPr>
        <w:t>wild</w:t>
      </w:r>
      <w:r>
        <w:rPr>
          <w:rFonts w:ascii="Arial"/>
          <w:b/>
          <w:spacing w:val="-1"/>
          <w:sz w:val="18"/>
        </w:rPr>
        <w:t> </w:t>
      </w:r>
      <w:r>
        <w:rPr>
          <w:rFonts w:ascii="Arial"/>
          <w:b/>
          <w:sz w:val="18"/>
        </w:rPr>
        <w:t>and</w:t>
      </w:r>
      <w:r>
        <w:rPr>
          <w:rFonts w:ascii="Arial"/>
          <w:b/>
          <w:spacing w:val="-1"/>
          <w:sz w:val="18"/>
        </w:rPr>
        <w:t> </w:t>
      </w:r>
      <w:r>
        <w:rPr>
          <w:rFonts w:ascii="Arial"/>
          <w:b/>
          <w:sz w:val="18"/>
        </w:rPr>
        <w:t>scenic rivers by</w:t>
      </w:r>
      <w:r>
        <w:rPr>
          <w:rFonts w:ascii="Arial"/>
          <w:b/>
          <w:spacing w:val="-10"/>
          <w:sz w:val="18"/>
        </w:rPr>
        <w:t> </w:t>
      </w:r>
      <w:r>
        <w:rPr>
          <w:rFonts w:ascii="Arial"/>
          <w:b/>
          <w:sz w:val="18"/>
        </w:rPr>
        <w:t>segment</w:t>
      </w:r>
      <w:r>
        <w:rPr>
          <w:rFonts w:ascii="Arial"/>
          <w:b/>
          <w:spacing w:val="-1"/>
          <w:sz w:val="18"/>
        </w:rPr>
        <w:t> </w:t>
      </w:r>
      <w:r>
        <w:rPr>
          <w:rFonts w:ascii="Arial"/>
          <w:b/>
          <w:sz w:val="18"/>
        </w:rPr>
        <w:t>and</w:t>
      </w:r>
      <w:r>
        <w:rPr>
          <w:rFonts w:ascii="Arial"/>
          <w:b/>
          <w:spacing w:val="-3"/>
          <w:sz w:val="18"/>
        </w:rPr>
        <w:t> </w:t>
      </w:r>
      <w:r>
        <w:rPr>
          <w:rFonts w:ascii="Arial"/>
          <w:b/>
          <w:spacing w:val="-2"/>
          <w:sz w:val="18"/>
        </w:rPr>
        <w:t>classification</w:t>
      </w:r>
    </w:p>
    <w:tbl>
      <w:tblPr>
        <w:tblW w:w="0" w:type="auto"/>
        <w:jc w:val="left"/>
        <w:tblInd w:w="155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463"/>
        <w:gridCol w:w="2008"/>
        <w:gridCol w:w="2449"/>
        <w:gridCol w:w="1251"/>
      </w:tblGrid>
      <w:tr>
        <w:trPr>
          <w:trHeight w:val="493" w:hRule="atLeast"/>
        </w:trPr>
        <w:tc>
          <w:tcPr>
            <w:tcW w:w="2463" w:type="dxa"/>
            <w:tcBorders>
              <w:right w:val="nil"/>
            </w:tcBorders>
            <w:shd w:val="clear" w:color="auto" w:fill="D5E2BB"/>
          </w:tcPr>
          <w:p>
            <w:pPr>
              <w:pStyle w:val="TableParagraph"/>
              <w:spacing w:before="142"/>
              <w:ind w:left="777"/>
              <w:rPr>
                <w:b/>
                <w:sz w:val="18"/>
              </w:rPr>
            </w:pPr>
            <w:r>
              <w:rPr>
                <w:b/>
                <w:sz w:val="18"/>
              </w:rPr>
              <w:t>River</w:t>
            </w:r>
            <w:r>
              <w:rPr>
                <w:b/>
                <w:spacing w:val="-6"/>
                <w:sz w:val="18"/>
              </w:rPr>
              <w:t> </w:t>
            </w:r>
            <w:r>
              <w:rPr>
                <w:b/>
                <w:spacing w:val="-4"/>
                <w:sz w:val="18"/>
              </w:rPr>
              <w:t>name</w:t>
            </w:r>
          </w:p>
        </w:tc>
        <w:tc>
          <w:tcPr>
            <w:tcW w:w="2008" w:type="dxa"/>
            <w:tcBorders>
              <w:left w:val="nil"/>
              <w:right w:val="nil"/>
            </w:tcBorders>
            <w:shd w:val="clear" w:color="auto" w:fill="D5E2BB"/>
          </w:tcPr>
          <w:p>
            <w:pPr>
              <w:pStyle w:val="TableParagraph"/>
              <w:ind w:left="323" w:right="249" w:hanging="3"/>
              <w:rPr>
                <w:b/>
                <w:sz w:val="18"/>
              </w:rPr>
            </w:pPr>
            <w:r>
              <w:rPr>
                <w:b/>
                <w:sz w:val="18"/>
              </w:rPr>
              <w:t>Found</w:t>
            </w:r>
            <w:r>
              <w:rPr>
                <w:b/>
                <w:spacing w:val="-15"/>
                <w:sz w:val="18"/>
              </w:rPr>
              <w:t> </w:t>
            </w:r>
            <w:r>
              <w:rPr>
                <w:b/>
                <w:sz w:val="18"/>
              </w:rPr>
              <w:t>eligible</w:t>
            </w:r>
            <w:r>
              <w:rPr>
                <w:b/>
                <w:spacing w:val="-12"/>
                <w:sz w:val="18"/>
              </w:rPr>
              <w:t> </w:t>
            </w:r>
            <w:r>
              <w:rPr>
                <w:b/>
                <w:sz w:val="18"/>
              </w:rPr>
              <w:t>in 1988</w:t>
            </w:r>
            <w:r>
              <w:rPr>
                <w:b/>
                <w:spacing w:val="-5"/>
                <w:sz w:val="18"/>
              </w:rPr>
              <w:t> </w:t>
            </w:r>
            <w:r>
              <w:rPr>
                <w:b/>
                <w:sz w:val="18"/>
              </w:rPr>
              <w:t>Forest</w:t>
            </w:r>
            <w:r>
              <w:rPr>
                <w:b/>
                <w:spacing w:val="-3"/>
                <w:sz w:val="18"/>
              </w:rPr>
              <w:t> </w:t>
            </w:r>
            <w:r>
              <w:rPr>
                <w:b/>
                <w:spacing w:val="-4"/>
                <w:sz w:val="18"/>
              </w:rPr>
              <w:t>Plan</w:t>
            </w:r>
          </w:p>
        </w:tc>
        <w:tc>
          <w:tcPr>
            <w:tcW w:w="2449" w:type="dxa"/>
            <w:tcBorders>
              <w:left w:val="nil"/>
              <w:right w:val="nil"/>
            </w:tcBorders>
            <w:shd w:val="clear" w:color="auto" w:fill="D5E2BB"/>
          </w:tcPr>
          <w:p>
            <w:pPr>
              <w:pStyle w:val="TableParagraph"/>
              <w:spacing w:before="142"/>
              <w:ind w:left="5" w:right="80"/>
              <w:jc w:val="center"/>
              <w:rPr>
                <w:b/>
                <w:sz w:val="18"/>
              </w:rPr>
            </w:pPr>
            <w:r>
              <w:rPr>
                <w:b/>
                <w:sz w:val="18"/>
              </w:rPr>
              <w:t>Eligible</w:t>
            </w:r>
            <w:r>
              <w:rPr>
                <w:b/>
                <w:spacing w:val="-2"/>
                <w:sz w:val="18"/>
              </w:rPr>
              <w:t> classification</w:t>
            </w:r>
          </w:p>
        </w:tc>
        <w:tc>
          <w:tcPr>
            <w:tcW w:w="1251" w:type="dxa"/>
            <w:tcBorders>
              <w:left w:val="nil"/>
            </w:tcBorders>
            <w:shd w:val="clear" w:color="auto" w:fill="D5E2BB"/>
          </w:tcPr>
          <w:p>
            <w:pPr>
              <w:pStyle w:val="TableParagraph"/>
              <w:spacing w:before="142"/>
              <w:ind w:left="2" w:right="60"/>
              <w:jc w:val="center"/>
              <w:rPr>
                <w:b/>
                <w:sz w:val="18"/>
              </w:rPr>
            </w:pPr>
            <w:r>
              <w:rPr>
                <w:b/>
                <w:spacing w:val="-2"/>
                <w:sz w:val="18"/>
              </w:rPr>
              <w:t>Miles</w:t>
            </w:r>
          </w:p>
        </w:tc>
      </w:tr>
      <w:tr>
        <w:trPr>
          <w:trHeight w:val="337" w:hRule="atLeast"/>
        </w:trPr>
        <w:tc>
          <w:tcPr>
            <w:tcW w:w="2463" w:type="dxa"/>
            <w:tcBorders>
              <w:bottom w:val="single" w:sz="4" w:space="0" w:color="9BBA58"/>
              <w:right w:val="nil"/>
            </w:tcBorders>
          </w:tcPr>
          <w:p>
            <w:pPr>
              <w:pStyle w:val="TableParagraph"/>
              <w:ind w:left="107"/>
              <w:rPr>
                <w:b/>
                <w:sz w:val="18"/>
              </w:rPr>
            </w:pPr>
            <w:r>
              <w:rPr>
                <w:b/>
                <w:sz w:val="18"/>
              </w:rPr>
              <w:t>South</w:t>
            </w:r>
            <w:r>
              <w:rPr>
                <w:b/>
                <w:spacing w:val="-2"/>
                <w:sz w:val="18"/>
              </w:rPr>
              <w:t> </w:t>
            </w:r>
            <w:r>
              <w:rPr>
                <w:b/>
                <w:sz w:val="18"/>
              </w:rPr>
              <w:t>Fork</w:t>
            </w:r>
            <w:r>
              <w:rPr>
                <w:b/>
                <w:spacing w:val="-1"/>
                <w:sz w:val="18"/>
              </w:rPr>
              <w:t> </w:t>
            </w:r>
            <w:r>
              <w:rPr>
                <w:b/>
                <w:sz w:val="18"/>
              </w:rPr>
              <w:t>Salmo</w:t>
            </w:r>
            <w:r>
              <w:rPr>
                <w:b/>
                <w:spacing w:val="-1"/>
                <w:sz w:val="18"/>
              </w:rPr>
              <w:t> </w:t>
            </w:r>
            <w:r>
              <w:rPr>
                <w:b/>
                <w:spacing w:val="-4"/>
                <w:sz w:val="18"/>
              </w:rPr>
              <w:t>River</w:t>
            </w:r>
          </w:p>
        </w:tc>
        <w:tc>
          <w:tcPr>
            <w:tcW w:w="2008" w:type="dxa"/>
            <w:tcBorders>
              <w:left w:val="nil"/>
              <w:bottom w:val="single" w:sz="4" w:space="0" w:color="9BBA58"/>
              <w:right w:val="nil"/>
            </w:tcBorders>
          </w:tcPr>
          <w:p>
            <w:pPr>
              <w:pStyle w:val="TableParagraph"/>
              <w:ind w:left="65"/>
              <w:jc w:val="center"/>
              <w:rPr>
                <w:sz w:val="18"/>
              </w:rPr>
            </w:pPr>
            <w:r>
              <w:rPr>
                <w:spacing w:val="-5"/>
                <w:sz w:val="18"/>
              </w:rPr>
              <w:t>Yes</w:t>
            </w:r>
          </w:p>
        </w:tc>
        <w:tc>
          <w:tcPr>
            <w:tcW w:w="2449" w:type="dxa"/>
            <w:tcBorders>
              <w:left w:val="nil"/>
              <w:bottom w:val="single" w:sz="4" w:space="0" w:color="9BBA58"/>
              <w:right w:val="nil"/>
            </w:tcBorders>
          </w:tcPr>
          <w:p>
            <w:pPr>
              <w:pStyle w:val="TableParagraph"/>
              <w:ind w:right="80"/>
              <w:jc w:val="center"/>
              <w:rPr>
                <w:sz w:val="18"/>
              </w:rPr>
            </w:pPr>
            <w:r>
              <w:rPr>
                <w:spacing w:val="-4"/>
                <w:sz w:val="18"/>
              </w:rPr>
              <w:t>Wild</w:t>
            </w:r>
          </w:p>
        </w:tc>
        <w:tc>
          <w:tcPr>
            <w:tcW w:w="1251" w:type="dxa"/>
            <w:tcBorders>
              <w:left w:val="nil"/>
              <w:bottom w:val="single" w:sz="4" w:space="0" w:color="9BBA58"/>
            </w:tcBorders>
          </w:tcPr>
          <w:p>
            <w:pPr>
              <w:pStyle w:val="TableParagraph"/>
              <w:ind w:right="60"/>
              <w:jc w:val="center"/>
              <w:rPr>
                <w:sz w:val="18"/>
              </w:rPr>
            </w:pPr>
            <w:r>
              <w:rPr>
                <w:spacing w:val="-10"/>
                <w:sz w:val="18"/>
              </w:rPr>
              <w:t>5</w:t>
            </w:r>
          </w:p>
        </w:tc>
      </w:tr>
      <w:tr>
        <w:trPr>
          <w:trHeight w:val="337" w:hRule="atLeast"/>
        </w:trPr>
        <w:tc>
          <w:tcPr>
            <w:tcW w:w="2463" w:type="dxa"/>
            <w:tcBorders>
              <w:top w:val="single" w:sz="4" w:space="0" w:color="9BBA58"/>
              <w:right w:val="nil"/>
            </w:tcBorders>
          </w:tcPr>
          <w:p>
            <w:pPr>
              <w:pStyle w:val="TableParagraph"/>
              <w:ind w:left="107"/>
              <w:rPr>
                <w:b/>
                <w:sz w:val="18"/>
              </w:rPr>
            </w:pPr>
            <w:r>
              <w:rPr>
                <w:b/>
                <w:sz w:val="18"/>
              </w:rPr>
              <w:t>Kettle</w:t>
            </w:r>
            <w:r>
              <w:rPr>
                <w:b/>
                <w:spacing w:val="-2"/>
                <w:sz w:val="18"/>
              </w:rPr>
              <w:t> River</w:t>
            </w:r>
          </w:p>
        </w:tc>
        <w:tc>
          <w:tcPr>
            <w:tcW w:w="2008" w:type="dxa"/>
            <w:tcBorders>
              <w:top w:val="single" w:sz="4" w:space="0" w:color="9BBA58"/>
              <w:left w:val="nil"/>
              <w:right w:val="nil"/>
            </w:tcBorders>
          </w:tcPr>
          <w:p>
            <w:pPr>
              <w:pStyle w:val="TableParagraph"/>
              <w:ind w:left="65"/>
              <w:jc w:val="center"/>
              <w:rPr>
                <w:sz w:val="18"/>
              </w:rPr>
            </w:pPr>
            <w:r>
              <w:rPr>
                <w:spacing w:val="-5"/>
                <w:sz w:val="18"/>
              </w:rPr>
              <w:t>Yes</w:t>
            </w:r>
          </w:p>
        </w:tc>
        <w:tc>
          <w:tcPr>
            <w:tcW w:w="2449" w:type="dxa"/>
            <w:tcBorders>
              <w:top w:val="single" w:sz="4" w:space="0" w:color="9BBA58"/>
              <w:left w:val="nil"/>
              <w:right w:val="nil"/>
            </w:tcBorders>
          </w:tcPr>
          <w:p>
            <w:pPr>
              <w:pStyle w:val="TableParagraph"/>
              <w:ind w:left="5" w:right="80"/>
              <w:jc w:val="center"/>
              <w:rPr>
                <w:sz w:val="18"/>
              </w:rPr>
            </w:pPr>
            <w:r>
              <w:rPr>
                <w:spacing w:val="-2"/>
                <w:sz w:val="18"/>
              </w:rPr>
              <w:t>Recreational</w:t>
            </w:r>
          </w:p>
        </w:tc>
        <w:tc>
          <w:tcPr>
            <w:tcW w:w="1251" w:type="dxa"/>
            <w:tcBorders>
              <w:top w:val="single" w:sz="4" w:space="0" w:color="9BBA58"/>
              <w:left w:val="nil"/>
            </w:tcBorders>
          </w:tcPr>
          <w:p>
            <w:pPr>
              <w:pStyle w:val="TableParagraph"/>
              <w:ind w:right="60"/>
              <w:jc w:val="center"/>
              <w:rPr>
                <w:sz w:val="18"/>
              </w:rPr>
            </w:pPr>
            <w:r>
              <w:rPr>
                <w:spacing w:val="-10"/>
                <w:sz w:val="18"/>
              </w:rPr>
              <w:t>3</w:t>
            </w:r>
          </w:p>
        </w:tc>
      </w:tr>
    </w:tbl>
    <w:p>
      <w:pPr>
        <w:pStyle w:val="TableParagraph"/>
        <w:spacing w:after="0"/>
        <w:jc w:val="center"/>
        <w:rPr>
          <w:sz w:val="18"/>
        </w:rPr>
        <w:sectPr>
          <w:pgSz w:w="12240" w:h="15840"/>
          <w:pgMar w:header="725" w:footer="891" w:top="960" w:bottom="1080" w:left="1080" w:right="720"/>
        </w:sectPr>
      </w:pPr>
    </w:p>
    <w:p>
      <w:pPr>
        <w:pStyle w:val="BodyText"/>
        <w:spacing w:before="199"/>
        <w:rPr>
          <w:rFonts w:ascii="Arial"/>
          <w:b/>
          <w:sz w:val="24"/>
        </w:rPr>
      </w:pPr>
    </w:p>
    <w:p>
      <w:pPr>
        <w:pStyle w:val="Heading4"/>
      </w:pPr>
      <w:bookmarkStart w:name="Desired Conditions" w:id="827"/>
      <w:bookmarkEnd w:id="827"/>
      <w:r>
        <w:rPr/>
      </w:r>
      <w:bookmarkStart w:name="_bookmark252" w:id="828"/>
      <w:bookmarkEnd w:id="828"/>
      <w:r>
        <w:rPr/>
      </w:r>
      <w:r>
        <w:rPr/>
        <w:t>Desired</w:t>
      </w:r>
      <w:r>
        <w:rPr>
          <w:spacing w:val="-4"/>
        </w:rPr>
        <w:t> </w:t>
      </w:r>
      <w:r>
        <w:rPr>
          <w:spacing w:val="-2"/>
        </w:rPr>
        <w:t>Conditions</w:t>
      </w:r>
    </w:p>
    <w:p>
      <w:pPr>
        <w:spacing w:before="240"/>
        <w:ind w:left="360" w:right="0" w:firstLine="0"/>
        <w:jc w:val="left"/>
        <w:rPr>
          <w:rFonts w:ascii="Arial"/>
          <w:i/>
          <w:sz w:val="22"/>
        </w:rPr>
      </w:pPr>
      <w:bookmarkStart w:name="MA-DC-WSR-01. Wild, Recreational, or Sce" w:id="829"/>
      <w:bookmarkEnd w:id="829"/>
      <w:r>
        <w:rPr/>
      </w:r>
      <w:r>
        <w:rPr>
          <w:rFonts w:ascii="Arial"/>
          <w:i/>
          <w:sz w:val="22"/>
        </w:rPr>
        <w:t>MA-DC-WSR-01.</w:t>
      </w:r>
      <w:r>
        <w:rPr>
          <w:rFonts w:ascii="Arial"/>
          <w:i/>
          <w:spacing w:val="-10"/>
          <w:sz w:val="22"/>
        </w:rPr>
        <w:t> </w:t>
      </w:r>
      <w:r>
        <w:rPr>
          <w:rFonts w:ascii="Arial"/>
          <w:i/>
          <w:sz w:val="22"/>
        </w:rPr>
        <w:t>Wild,</w:t>
      </w:r>
      <w:r>
        <w:rPr>
          <w:rFonts w:ascii="Arial"/>
          <w:i/>
          <w:spacing w:val="-9"/>
          <w:sz w:val="22"/>
        </w:rPr>
        <w:t> </w:t>
      </w:r>
      <w:r>
        <w:rPr>
          <w:rFonts w:ascii="Arial"/>
          <w:i/>
          <w:sz w:val="22"/>
        </w:rPr>
        <w:t>Recreational,</w:t>
      </w:r>
      <w:r>
        <w:rPr>
          <w:rFonts w:ascii="Arial"/>
          <w:i/>
          <w:spacing w:val="-5"/>
          <w:sz w:val="22"/>
        </w:rPr>
        <w:t> </w:t>
      </w:r>
      <w:r>
        <w:rPr>
          <w:rFonts w:ascii="Arial"/>
          <w:i/>
          <w:sz w:val="22"/>
        </w:rPr>
        <w:t>or</w:t>
      </w:r>
      <w:r>
        <w:rPr>
          <w:rFonts w:ascii="Arial"/>
          <w:i/>
          <w:spacing w:val="-5"/>
          <w:sz w:val="22"/>
        </w:rPr>
        <w:t> </w:t>
      </w:r>
      <w:r>
        <w:rPr>
          <w:rFonts w:ascii="Arial"/>
          <w:i/>
          <w:sz w:val="22"/>
        </w:rPr>
        <w:t>Scenic</w:t>
      </w:r>
      <w:r>
        <w:rPr>
          <w:rFonts w:ascii="Arial"/>
          <w:i/>
          <w:spacing w:val="-10"/>
          <w:sz w:val="22"/>
        </w:rPr>
        <w:t> </w:t>
      </w:r>
      <w:r>
        <w:rPr>
          <w:rFonts w:ascii="Arial"/>
          <w:i/>
          <w:spacing w:val="-2"/>
          <w:sz w:val="22"/>
        </w:rPr>
        <w:t>Rivers</w:t>
      </w:r>
    </w:p>
    <w:p>
      <w:pPr>
        <w:pStyle w:val="BodyText"/>
        <w:spacing w:line="232" w:lineRule="auto" w:before="65"/>
        <w:ind w:left="360" w:right="1621"/>
      </w:pPr>
      <w:r>
        <w:rPr/>
        <w:t>Prior to congressional designation, uses continue that do not compromise wild and scenic eligibility.</w:t>
      </w:r>
      <w:r>
        <w:rPr>
          <w:spacing w:val="-7"/>
        </w:rPr>
        <w:t> </w:t>
      </w:r>
      <w:r>
        <w:rPr/>
        <w:t>Eligible</w:t>
      </w:r>
      <w:r>
        <w:rPr>
          <w:spacing w:val="-6"/>
        </w:rPr>
        <w:t> </w:t>
      </w:r>
      <w:r>
        <w:rPr/>
        <w:t>rivers</w:t>
      </w:r>
      <w:r>
        <w:rPr>
          <w:spacing w:val="-7"/>
        </w:rPr>
        <w:t> </w:t>
      </w:r>
      <w:r>
        <w:rPr/>
        <w:t>and</w:t>
      </w:r>
      <w:r>
        <w:rPr>
          <w:spacing w:val="-7"/>
        </w:rPr>
        <w:t> </w:t>
      </w:r>
      <w:r>
        <w:rPr/>
        <w:t>adjacent</w:t>
      </w:r>
      <w:r>
        <w:rPr>
          <w:spacing w:val="-6"/>
        </w:rPr>
        <w:t> </w:t>
      </w:r>
      <w:r>
        <w:rPr/>
        <w:t>tributaries</w:t>
      </w:r>
      <w:r>
        <w:rPr>
          <w:spacing w:val="-8"/>
        </w:rPr>
        <w:t> </w:t>
      </w:r>
      <w:r>
        <w:rPr/>
        <w:t>remain</w:t>
      </w:r>
      <w:r>
        <w:rPr>
          <w:spacing w:val="-7"/>
        </w:rPr>
        <w:t> </w:t>
      </w:r>
      <w:r>
        <w:rPr/>
        <w:t>free-flowing,</w:t>
      </w:r>
      <w:r>
        <w:rPr>
          <w:spacing w:val="-8"/>
        </w:rPr>
        <w:t> </w:t>
      </w:r>
      <w:r>
        <w:rPr/>
        <w:t>retain</w:t>
      </w:r>
      <w:r>
        <w:rPr>
          <w:spacing w:val="-9"/>
        </w:rPr>
        <w:t> </w:t>
      </w:r>
      <w:r>
        <w:rPr/>
        <w:t>water</w:t>
      </w:r>
      <w:r>
        <w:rPr>
          <w:spacing w:val="-7"/>
        </w:rPr>
        <w:t> </w:t>
      </w:r>
      <w:r>
        <w:rPr/>
        <w:t>quality,</w:t>
      </w:r>
      <w:r>
        <w:rPr>
          <w:spacing w:val="-7"/>
        </w:rPr>
        <w:t> </w:t>
      </w:r>
      <w:r>
        <w:rPr/>
        <w:t>and preserve</w:t>
      </w:r>
      <w:r>
        <w:rPr>
          <w:spacing w:val="-8"/>
        </w:rPr>
        <w:t> </w:t>
      </w:r>
      <w:r>
        <w:rPr/>
        <w:t>their</w:t>
      </w:r>
      <w:r>
        <w:rPr>
          <w:spacing w:val="-8"/>
        </w:rPr>
        <w:t> </w:t>
      </w:r>
      <w:r>
        <w:rPr/>
        <w:t>outstandingly</w:t>
      </w:r>
      <w:r>
        <w:rPr>
          <w:spacing w:val="-5"/>
        </w:rPr>
        <w:t> </w:t>
      </w:r>
      <w:r>
        <w:rPr/>
        <w:t>remarkable</w:t>
      </w:r>
      <w:r>
        <w:rPr>
          <w:spacing w:val="-9"/>
        </w:rPr>
        <w:t> </w:t>
      </w:r>
      <w:r>
        <w:rPr/>
        <w:t>values.</w:t>
      </w:r>
      <w:r>
        <w:rPr>
          <w:spacing w:val="-8"/>
        </w:rPr>
        <w:t> </w:t>
      </w:r>
      <w:r>
        <w:rPr/>
        <w:t>These</w:t>
      </w:r>
      <w:r>
        <w:rPr>
          <w:spacing w:val="-8"/>
        </w:rPr>
        <w:t> </w:t>
      </w:r>
      <w:r>
        <w:rPr/>
        <w:t>river</w:t>
      </w:r>
      <w:r>
        <w:rPr>
          <w:spacing w:val="-8"/>
        </w:rPr>
        <w:t> </w:t>
      </w:r>
      <w:r>
        <w:rPr/>
        <w:t>segments</w:t>
      </w:r>
      <w:r>
        <w:rPr>
          <w:spacing w:val="-6"/>
        </w:rPr>
        <w:t> </w:t>
      </w:r>
      <w:r>
        <w:rPr/>
        <w:t>contribute</w:t>
      </w:r>
      <w:r>
        <w:rPr>
          <w:spacing w:val="-9"/>
        </w:rPr>
        <w:t> </w:t>
      </w:r>
      <w:r>
        <w:rPr/>
        <w:t>to</w:t>
      </w:r>
      <w:r>
        <w:rPr>
          <w:spacing w:val="-5"/>
        </w:rPr>
        <w:t> </w:t>
      </w:r>
      <w:r>
        <w:rPr/>
        <w:t>a</w:t>
      </w:r>
      <w:r>
        <w:rPr>
          <w:spacing w:val="-6"/>
        </w:rPr>
        <w:t> </w:t>
      </w:r>
      <w:r>
        <w:rPr/>
        <w:t>diversity of habitats within National Forest System lands.</w:t>
      </w:r>
    </w:p>
    <w:p>
      <w:pPr>
        <w:spacing w:before="234"/>
        <w:ind w:left="360" w:right="0" w:firstLine="0"/>
        <w:jc w:val="left"/>
        <w:rPr>
          <w:rFonts w:ascii="Arial"/>
          <w:i/>
          <w:sz w:val="22"/>
        </w:rPr>
      </w:pPr>
      <w:bookmarkStart w:name="MA-DC-WSR-02. Wild River Segments" w:id="830"/>
      <w:bookmarkEnd w:id="830"/>
      <w:r>
        <w:rPr/>
      </w:r>
      <w:r>
        <w:rPr>
          <w:rFonts w:ascii="Arial"/>
          <w:i/>
          <w:sz w:val="22"/>
        </w:rPr>
        <w:t>MA-DC-WSR-02.</w:t>
      </w:r>
      <w:r>
        <w:rPr>
          <w:rFonts w:ascii="Arial"/>
          <w:i/>
          <w:spacing w:val="-9"/>
          <w:sz w:val="22"/>
        </w:rPr>
        <w:t> </w:t>
      </w:r>
      <w:r>
        <w:rPr>
          <w:rFonts w:ascii="Arial"/>
          <w:i/>
          <w:sz w:val="22"/>
        </w:rPr>
        <w:t>Wild</w:t>
      </w:r>
      <w:r>
        <w:rPr>
          <w:rFonts w:ascii="Arial"/>
          <w:i/>
          <w:spacing w:val="-6"/>
          <w:sz w:val="22"/>
        </w:rPr>
        <w:t> </w:t>
      </w:r>
      <w:r>
        <w:rPr>
          <w:rFonts w:ascii="Arial"/>
          <w:i/>
          <w:sz w:val="22"/>
        </w:rPr>
        <w:t>River</w:t>
      </w:r>
      <w:r>
        <w:rPr>
          <w:rFonts w:ascii="Arial"/>
          <w:i/>
          <w:spacing w:val="-4"/>
          <w:sz w:val="22"/>
        </w:rPr>
        <w:t> </w:t>
      </w:r>
      <w:r>
        <w:rPr>
          <w:rFonts w:ascii="Arial"/>
          <w:i/>
          <w:spacing w:val="-2"/>
          <w:sz w:val="22"/>
        </w:rPr>
        <w:t>Segments</w:t>
      </w:r>
    </w:p>
    <w:p>
      <w:pPr>
        <w:pStyle w:val="BodyText"/>
        <w:spacing w:line="232" w:lineRule="auto" w:before="64"/>
        <w:ind w:left="359" w:right="1558"/>
      </w:pPr>
      <w:r>
        <w:rPr/>
        <w:t>Visitors</w:t>
      </w:r>
      <w:r>
        <w:rPr>
          <w:spacing w:val="-3"/>
        </w:rPr>
        <w:t> </w:t>
      </w:r>
      <w:r>
        <w:rPr/>
        <w:t>have</w:t>
      </w:r>
      <w:r>
        <w:rPr>
          <w:spacing w:val="-5"/>
        </w:rPr>
        <w:t> </w:t>
      </w:r>
      <w:r>
        <w:rPr/>
        <w:t>the</w:t>
      </w:r>
      <w:r>
        <w:rPr>
          <w:spacing w:val="-5"/>
        </w:rPr>
        <w:t> </w:t>
      </w:r>
      <w:r>
        <w:rPr/>
        <w:t>opportunity</w:t>
      </w:r>
      <w:r>
        <w:rPr>
          <w:spacing w:val="-2"/>
        </w:rPr>
        <w:t> </w:t>
      </w:r>
      <w:r>
        <w:rPr/>
        <w:t>to</w:t>
      </w:r>
      <w:r>
        <w:rPr>
          <w:spacing w:val="-2"/>
        </w:rPr>
        <w:t> </w:t>
      </w:r>
      <w:r>
        <w:rPr/>
        <w:t>interact</w:t>
      </w:r>
      <w:r>
        <w:rPr>
          <w:spacing w:val="-5"/>
        </w:rPr>
        <w:t> </w:t>
      </w:r>
      <w:r>
        <w:rPr/>
        <w:t>with</w:t>
      </w:r>
      <w:r>
        <w:rPr>
          <w:spacing w:val="-4"/>
        </w:rPr>
        <w:t> </w:t>
      </w:r>
      <w:r>
        <w:rPr/>
        <w:t>a</w:t>
      </w:r>
      <w:r>
        <w:rPr>
          <w:spacing w:val="-5"/>
        </w:rPr>
        <w:t> </w:t>
      </w:r>
      <w:r>
        <w:rPr/>
        <w:t>relatively</w:t>
      </w:r>
      <w:r>
        <w:rPr>
          <w:spacing w:val="-2"/>
        </w:rPr>
        <w:t> </w:t>
      </w:r>
      <w:r>
        <w:rPr/>
        <w:t>pristine</w:t>
      </w:r>
      <w:r>
        <w:rPr>
          <w:spacing w:val="-2"/>
        </w:rPr>
        <w:t> </w:t>
      </w:r>
      <w:r>
        <w:rPr/>
        <w:t>natural</w:t>
      </w:r>
      <w:r>
        <w:rPr>
          <w:spacing w:val="-3"/>
        </w:rPr>
        <w:t> </w:t>
      </w:r>
      <w:r>
        <w:rPr/>
        <w:t>environment</w:t>
      </w:r>
      <w:r>
        <w:rPr>
          <w:spacing w:val="-5"/>
        </w:rPr>
        <w:t> </w:t>
      </w:r>
      <w:r>
        <w:rPr/>
        <w:t>with</w:t>
      </w:r>
      <w:r>
        <w:rPr>
          <w:spacing w:val="-4"/>
        </w:rPr>
        <w:t> </w:t>
      </w:r>
      <w:r>
        <w:rPr/>
        <w:t>low to moderate likelihood of experiencing the sight and sound of other people. Eligible wild river segments display unaltered landscapes where generally only ecological changes occur (very</w:t>
      </w:r>
      <w:r>
        <w:rPr/>
        <w:t> high</w:t>
      </w:r>
      <w:r>
        <w:rPr>
          <w:spacing w:val="-7"/>
        </w:rPr>
        <w:t> </w:t>
      </w:r>
      <w:r>
        <w:rPr/>
        <w:t>scenic</w:t>
      </w:r>
      <w:r>
        <w:rPr>
          <w:spacing w:val="-6"/>
        </w:rPr>
        <w:t> </w:t>
      </w:r>
      <w:r>
        <w:rPr/>
        <w:t>integrity)</w:t>
      </w:r>
      <w:r>
        <w:rPr>
          <w:spacing w:val="-6"/>
        </w:rPr>
        <w:t> </w:t>
      </w:r>
      <w:r>
        <w:rPr/>
        <w:t>and</w:t>
      </w:r>
      <w:r>
        <w:rPr>
          <w:spacing w:val="-7"/>
        </w:rPr>
        <w:t> </w:t>
      </w:r>
      <w:r>
        <w:rPr/>
        <w:t>provide</w:t>
      </w:r>
      <w:r>
        <w:rPr>
          <w:spacing w:val="-8"/>
        </w:rPr>
        <w:t> </w:t>
      </w:r>
      <w:r>
        <w:rPr/>
        <w:t>pristine,</w:t>
      </w:r>
      <w:r>
        <w:rPr>
          <w:spacing w:val="-8"/>
        </w:rPr>
        <w:t> </w:t>
      </w:r>
      <w:r>
        <w:rPr/>
        <w:t>primitive</w:t>
      </w:r>
      <w:r>
        <w:rPr>
          <w:spacing w:val="-8"/>
        </w:rPr>
        <w:t> </w:t>
      </w:r>
      <w:r>
        <w:rPr/>
        <w:t>or</w:t>
      </w:r>
      <w:r>
        <w:rPr>
          <w:spacing w:val="-8"/>
        </w:rPr>
        <w:t> </w:t>
      </w:r>
      <w:r>
        <w:rPr/>
        <w:t>semi-primitive</w:t>
      </w:r>
      <w:r>
        <w:rPr>
          <w:spacing w:val="-5"/>
        </w:rPr>
        <w:t> </w:t>
      </w:r>
      <w:r>
        <w:rPr/>
        <w:t>non-motorized</w:t>
      </w:r>
      <w:r>
        <w:rPr>
          <w:spacing w:val="-7"/>
        </w:rPr>
        <w:t> </w:t>
      </w:r>
      <w:r>
        <w:rPr/>
        <w:t>recreation opportunities. Eligible wild river segments may be accessed by trail. Eligible wild rivers within designated wilderness meet the desired conditions for congressionally designated wilderness.</w:t>
      </w:r>
    </w:p>
    <w:p>
      <w:pPr>
        <w:spacing w:before="232"/>
        <w:ind w:left="359" w:right="0" w:firstLine="0"/>
        <w:jc w:val="left"/>
        <w:rPr>
          <w:rFonts w:ascii="Arial"/>
          <w:i/>
          <w:sz w:val="22"/>
        </w:rPr>
      </w:pPr>
      <w:bookmarkStart w:name="MA-DC-WSR-03. Recreational River Segment" w:id="831"/>
      <w:bookmarkEnd w:id="831"/>
      <w:r>
        <w:rPr/>
      </w:r>
      <w:r>
        <w:rPr>
          <w:rFonts w:ascii="Arial"/>
          <w:i/>
          <w:sz w:val="22"/>
        </w:rPr>
        <w:t>MA-DC-WSR-03.</w:t>
      </w:r>
      <w:r>
        <w:rPr>
          <w:rFonts w:ascii="Arial"/>
          <w:i/>
          <w:spacing w:val="-10"/>
          <w:sz w:val="22"/>
        </w:rPr>
        <w:t> </w:t>
      </w:r>
      <w:r>
        <w:rPr>
          <w:rFonts w:ascii="Arial"/>
          <w:i/>
          <w:sz w:val="22"/>
        </w:rPr>
        <w:t>Recreational</w:t>
      </w:r>
      <w:r>
        <w:rPr>
          <w:rFonts w:ascii="Arial"/>
          <w:i/>
          <w:spacing w:val="-9"/>
          <w:sz w:val="22"/>
        </w:rPr>
        <w:t> </w:t>
      </w:r>
      <w:r>
        <w:rPr>
          <w:rFonts w:ascii="Arial"/>
          <w:i/>
          <w:sz w:val="22"/>
        </w:rPr>
        <w:t>River</w:t>
      </w:r>
      <w:r>
        <w:rPr>
          <w:rFonts w:ascii="Arial"/>
          <w:i/>
          <w:spacing w:val="-7"/>
          <w:sz w:val="22"/>
        </w:rPr>
        <w:t> </w:t>
      </w:r>
      <w:r>
        <w:rPr>
          <w:rFonts w:ascii="Arial"/>
          <w:i/>
          <w:spacing w:val="-2"/>
          <w:sz w:val="22"/>
        </w:rPr>
        <w:t>Segments</w:t>
      </w:r>
    </w:p>
    <w:p>
      <w:pPr>
        <w:pStyle w:val="BodyText"/>
        <w:spacing w:line="232" w:lineRule="auto" w:before="67"/>
        <w:ind w:left="359" w:right="1445"/>
      </w:pPr>
      <w:r>
        <w:rPr/>
        <w:t>Eligible</w:t>
      </w:r>
      <w:r>
        <w:rPr>
          <w:spacing w:val="-5"/>
        </w:rPr>
        <w:t> </w:t>
      </w:r>
      <w:r>
        <w:rPr/>
        <w:t>recreational</w:t>
      </w:r>
      <w:r>
        <w:rPr>
          <w:spacing w:val="-6"/>
        </w:rPr>
        <w:t> </w:t>
      </w:r>
      <w:r>
        <w:rPr/>
        <w:t>river</w:t>
      </w:r>
      <w:r>
        <w:rPr>
          <w:spacing w:val="-6"/>
        </w:rPr>
        <w:t> </w:t>
      </w:r>
      <w:r>
        <w:rPr/>
        <w:t>segments</w:t>
      </w:r>
      <w:r>
        <w:rPr>
          <w:spacing w:val="-6"/>
        </w:rPr>
        <w:t> </w:t>
      </w:r>
      <w:r>
        <w:rPr/>
        <w:t>are</w:t>
      </w:r>
      <w:r>
        <w:rPr>
          <w:spacing w:val="-5"/>
        </w:rPr>
        <w:t> </w:t>
      </w:r>
      <w:r>
        <w:rPr/>
        <w:t>readily</w:t>
      </w:r>
      <w:r>
        <w:rPr>
          <w:spacing w:val="-5"/>
        </w:rPr>
        <w:t> </w:t>
      </w:r>
      <w:r>
        <w:rPr/>
        <w:t>accessible</w:t>
      </w:r>
      <w:r>
        <w:rPr>
          <w:spacing w:val="-5"/>
        </w:rPr>
        <w:t> </w:t>
      </w:r>
      <w:r>
        <w:rPr/>
        <w:t>by</w:t>
      </w:r>
      <w:r>
        <w:rPr>
          <w:spacing w:val="-7"/>
        </w:rPr>
        <w:t> </w:t>
      </w:r>
      <w:r>
        <w:rPr/>
        <w:t>roads,</w:t>
      </w:r>
      <w:r>
        <w:rPr>
          <w:spacing w:val="-6"/>
        </w:rPr>
        <w:t> </w:t>
      </w:r>
      <w:r>
        <w:rPr/>
        <w:t>display</w:t>
      </w:r>
      <w:r>
        <w:rPr>
          <w:spacing w:val="-5"/>
        </w:rPr>
        <w:t> </w:t>
      </w:r>
      <w:r>
        <w:rPr/>
        <w:t>landscapes</w:t>
      </w:r>
      <w:r>
        <w:rPr>
          <w:spacing w:val="-6"/>
        </w:rPr>
        <w:t> </w:t>
      </w:r>
      <w:r>
        <w:rPr/>
        <w:t>that</w:t>
      </w:r>
      <w:r>
        <w:rPr>
          <w:spacing w:val="-8"/>
        </w:rPr>
        <w:t> </w:t>
      </w:r>
      <w:r>
        <w:rPr/>
        <w:t>vary from moderately altered where human activities are evident (high scenic integrity) to slightly altered</w:t>
      </w:r>
      <w:r>
        <w:rPr>
          <w:spacing w:val="-3"/>
        </w:rPr>
        <w:t> </w:t>
      </w:r>
      <w:r>
        <w:rPr/>
        <w:t>where human</w:t>
      </w:r>
      <w:r>
        <w:rPr>
          <w:spacing w:val="-1"/>
        </w:rPr>
        <w:t> </w:t>
      </w:r>
      <w:r>
        <w:rPr/>
        <w:t>activities</w:t>
      </w:r>
      <w:r>
        <w:rPr>
          <w:spacing w:val="-2"/>
        </w:rPr>
        <w:t> </w:t>
      </w:r>
      <w:r>
        <w:rPr/>
        <w:t>may be seen</w:t>
      </w:r>
      <w:r>
        <w:rPr>
          <w:spacing w:val="-1"/>
        </w:rPr>
        <w:t> </w:t>
      </w:r>
      <w:r>
        <w:rPr/>
        <w:t>but do not attract attention</w:t>
      </w:r>
      <w:r>
        <w:rPr>
          <w:spacing w:val="-1"/>
        </w:rPr>
        <w:t> </w:t>
      </w:r>
      <w:r>
        <w:rPr/>
        <w:t>(high scenic integrity) and provide a roaded natural or semi-primitive motorized recreation opportunity.</w:t>
      </w:r>
    </w:p>
    <w:p>
      <w:pPr>
        <w:pStyle w:val="BodyText"/>
        <w:spacing w:line="232" w:lineRule="auto" w:before="196"/>
        <w:ind w:left="359" w:right="1621"/>
      </w:pPr>
      <w:r>
        <w:rPr/>
        <w:t>The</w:t>
      </w:r>
      <w:r>
        <w:rPr>
          <w:spacing w:val="-3"/>
        </w:rPr>
        <w:t> </w:t>
      </w:r>
      <w:r>
        <w:rPr/>
        <w:t>sights</w:t>
      </w:r>
      <w:r>
        <w:rPr>
          <w:spacing w:val="-4"/>
        </w:rPr>
        <w:t> </w:t>
      </w:r>
      <w:r>
        <w:rPr/>
        <w:t>and</w:t>
      </w:r>
      <w:r>
        <w:rPr>
          <w:spacing w:val="-5"/>
        </w:rPr>
        <w:t> </w:t>
      </w:r>
      <w:r>
        <w:rPr/>
        <w:t>sounds</w:t>
      </w:r>
      <w:r>
        <w:rPr>
          <w:spacing w:val="-6"/>
        </w:rPr>
        <w:t> </w:t>
      </w:r>
      <w:r>
        <w:rPr/>
        <w:t>of</w:t>
      </w:r>
      <w:r>
        <w:rPr>
          <w:spacing w:val="-6"/>
        </w:rPr>
        <w:t> </w:t>
      </w:r>
      <w:r>
        <w:rPr/>
        <w:t>other</w:t>
      </w:r>
      <w:r>
        <w:rPr>
          <w:spacing w:val="-4"/>
        </w:rPr>
        <w:t> </w:t>
      </w:r>
      <w:r>
        <w:rPr/>
        <w:t>visitors</w:t>
      </w:r>
      <w:r>
        <w:rPr>
          <w:spacing w:val="-4"/>
        </w:rPr>
        <w:t> </w:t>
      </w:r>
      <w:r>
        <w:rPr/>
        <w:t>are</w:t>
      </w:r>
      <w:r>
        <w:rPr>
          <w:spacing w:val="-6"/>
        </w:rPr>
        <w:t> </w:t>
      </w:r>
      <w:r>
        <w:rPr/>
        <w:t>evident,</w:t>
      </w:r>
      <w:r>
        <w:rPr>
          <w:spacing w:val="-4"/>
        </w:rPr>
        <w:t> </w:t>
      </w:r>
      <w:r>
        <w:rPr/>
        <w:t>and</w:t>
      </w:r>
      <w:r>
        <w:rPr>
          <w:spacing w:val="-5"/>
        </w:rPr>
        <w:t> </w:t>
      </w:r>
      <w:r>
        <w:rPr/>
        <w:t>the</w:t>
      </w:r>
      <w:r>
        <w:rPr>
          <w:spacing w:val="-3"/>
        </w:rPr>
        <w:t> </w:t>
      </w:r>
      <w:r>
        <w:rPr/>
        <w:t>likelihood</w:t>
      </w:r>
      <w:r>
        <w:rPr>
          <w:spacing w:val="-5"/>
        </w:rPr>
        <w:t> </w:t>
      </w:r>
      <w:r>
        <w:rPr/>
        <w:t>of</w:t>
      </w:r>
      <w:r>
        <w:rPr>
          <w:spacing w:val="-6"/>
        </w:rPr>
        <w:t> </w:t>
      </w:r>
      <w:r>
        <w:rPr/>
        <w:t>encounters</w:t>
      </w:r>
      <w:r>
        <w:rPr>
          <w:spacing w:val="-4"/>
        </w:rPr>
        <w:t> </w:t>
      </w:r>
      <w:r>
        <w:rPr/>
        <w:t>with</w:t>
      </w:r>
      <w:r>
        <w:rPr>
          <w:spacing w:val="-7"/>
        </w:rPr>
        <w:t> </w:t>
      </w:r>
      <w:r>
        <w:rPr/>
        <w:t>other visitors may be moderate to high. Visitors seeking solitude may find it difficult to achieve, particularly in peak use seasons. Trails and facilities may be highly developed, including hardened trails, campgrounds, and day use sites designed to serve persons of all abilities.</w:t>
      </w:r>
    </w:p>
    <w:p>
      <w:pPr>
        <w:pStyle w:val="Heading4"/>
        <w:spacing w:before="235"/>
      </w:pPr>
      <w:bookmarkStart w:name="Standards" w:id="832"/>
      <w:bookmarkEnd w:id="832"/>
      <w:r>
        <w:rPr/>
      </w:r>
      <w:bookmarkStart w:name="_bookmark253" w:id="833"/>
      <w:bookmarkEnd w:id="833"/>
      <w:r>
        <w:rPr/>
      </w:r>
      <w:r>
        <w:rPr>
          <w:spacing w:val="-2"/>
        </w:rPr>
        <w:t>Standards</w:t>
      </w:r>
    </w:p>
    <w:p>
      <w:pPr>
        <w:spacing w:before="239"/>
        <w:ind w:left="360" w:right="0" w:firstLine="0"/>
        <w:jc w:val="left"/>
        <w:rPr>
          <w:rFonts w:ascii="Arial"/>
          <w:i/>
          <w:sz w:val="22"/>
        </w:rPr>
      </w:pPr>
      <w:bookmarkStart w:name="MA-STD-WSR-01. Outstandingly Remarkable " w:id="834"/>
      <w:bookmarkEnd w:id="834"/>
      <w:r>
        <w:rPr/>
      </w:r>
      <w:r>
        <w:rPr>
          <w:rFonts w:ascii="Arial"/>
          <w:i/>
          <w:sz w:val="22"/>
        </w:rPr>
        <w:t>MA-STD-WSR-01.</w:t>
      </w:r>
      <w:r>
        <w:rPr>
          <w:rFonts w:ascii="Arial"/>
          <w:i/>
          <w:spacing w:val="-13"/>
          <w:sz w:val="22"/>
        </w:rPr>
        <w:t> </w:t>
      </w:r>
      <w:r>
        <w:rPr>
          <w:rFonts w:ascii="Arial"/>
          <w:i/>
          <w:sz w:val="22"/>
        </w:rPr>
        <w:t>Outstandingly</w:t>
      </w:r>
      <w:r>
        <w:rPr>
          <w:rFonts w:ascii="Arial"/>
          <w:i/>
          <w:spacing w:val="-10"/>
          <w:sz w:val="22"/>
        </w:rPr>
        <w:t> </w:t>
      </w:r>
      <w:r>
        <w:rPr>
          <w:rFonts w:ascii="Arial"/>
          <w:i/>
          <w:sz w:val="22"/>
        </w:rPr>
        <w:t>Remarkable</w:t>
      </w:r>
      <w:r>
        <w:rPr>
          <w:rFonts w:ascii="Arial"/>
          <w:i/>
          <w:spacing w:val="-11"/>
          <w:sz w:val="22"/>
        </w:rPr>
        <w:t> </w:t>
      </w:r>
      <w:r>
        <w:rPr>
          <w:rFonts w:ascii="Arial"/>
          <w:i/>
          <w:spacing w:val="-2"/>
          <w:sz w:val="22"/>
        </w:rPr>
        <w:t>Values</w:t>
      </w:r>
    </w:p>
    <w:p>
      <w:pPr>
        <w:pStyle w:val="BodyText"/>
        <w:spacing w:line="232" w:lineRule="auto" w:before="65"/>
        <w:ind w:left="359" w:right="1445"/>
      </w:pPr>
      <w:r>
        <w:rPr/>
        <w:t>Each</w:t>
      </w:r>
      <w:r>
        <w:rPr>
          <w:spacing w:val="-8"/>
        </w:rPr>
        <w:t> </w:t>
      </w:r>
      <w:r>
        <w:rPr/>
        <w:t>eligible</w:t>
      </w:r>
      <w:r>
        <w:rPr>
          <w:spacing w:val="-6"/>
        </w:rPr>
        <w:t> </w:t>
      </w:r>
      <w:r>
        <w:rPr/>
        <w:t>river’s</w:t>
      </w:r>
      <w:r>
        <w:rPr>
          <w:spacing w:val="-7"/>
        </w:rPr>
        <w:t> </w:t>
      </w:r>
      <w:r>
        <w:rPr/>
        <w:t>free-flowing</w:t>
      </w:r>
      <w:r>
        <w:rPr>
          <w:spacing w:val="-8"/>
        </w:rPr>
        <w:t> </w:t>
      </w:r>
      <w:r>
        <w:rPr/>
        <w:t>condition,</w:t>
      </w:r>
      <w:r>
        <w:rPr>
          <w:spacing w:val="-7"/>
        </w:rPr>
        <w:t> </w:t>
      </w:r>
      <w:r>
        <w:rPr/>
        <w:t>outstandingly</w:t>
      </w:r>
      <w:r>
        <w:rPr>
          <w:spacing w:val="-6"/>
        </w:rPr>
        <w:t> </w:t>
      </w:r>
      <w:r>
        <w:rPr/>
        <w:t>remarkable</w:t>
      </w:r>
      <w:r>
        <w:rPr>
          <w:spacing w:val="-9"/>
        </w:rPr>
        <w:t> </w:t>
      </w:r>
      <w:r>
        <w:rPr/>
        <w:t>values,</w:t>
      </w:r>
      <w:r>
        <w:rPr>
          <w:spacing w:val="-7"/>
        </w:rPr>
        <w:t> </w:t>
      </w:r>
      <w:r>
        <w:rPr/>
        <w:t>and</w:t>
      </w:r>
      <w:r>
        <w:rPr>
          <w:spacing w:val="-10"/>
        </w:rPr>
        <w:t> </w:t>
      </w:r>
      <w:r>
        <w:rPr/>
        <w:t>classification shall be sustained until a suitability study and determination is completed.</w:t>
      </w:r>
    </w:p>
    <w:p>
      <w:pPr>
        <w:spacing w:before="234"/>
        <w:ind w:left="359" w:right="0" w:firstLine="0"/>
        <w:jc w:val="left"/>
        <w:rPr>
          <w:rFonts w:ascii="Arial"/>
          <w:i/>
          <w:sz w:val="22"/>
        </w:rPr>
      </w:pPr>
      <w:bookmarkStart w:name="MA-STD-WSR-02. Recreation" w:id="835"/>
      <w:bookmarkEnd w:id="835"/>
      <w:r>
        <w:rPr/>
      </w:r>
      <w:r>
        <w:rPr>
          <w:rFonts w:ascii="Arial"/>
          <w:i/>
          <w:sz w:val="22"/>
        </w:rPr>
        <w:t>MA-STD-WSR-02.</w:t>
      </w:r>
      <w:r>
        <w:rPr>
          <w:rFonts w:ascii="Arial"/>
          <w:i/>
          <w:spacing w:val="-12"/>
          <w:sz w:val="22"/>
        </w:rPr>
        <w:t> </w:t>
      </w:r>
      <w:r>
        <w:rPr>
          <w:rFonts w:ascii="Arial"/>
          <w:i/>
          <w:spacing w:val="-2"/>
          <w:sz w:val="22"/>
        </w:rPr>
        <w:t>Recreation</w:t>
      </w:r>
    </w:p>
    <w:p>
      <w:pPr>
        <w:pStyle w:val="BodyText"/>
        <w:spacing w:line="232" w:lineRule="auto" w:before="65"/>
        <w:ind w:left="359" w:right="1445"/>
      </w:pPr>
      <w:r>
        <w:rPr/>
        <w:t>Proposed new uses, management actions, or facilities on National Forest System lands are not allowed</w:t>
      </w:r>
      <w:r>
        <w:rPr>
          <w:spacing w:val="-6"/>
        </w:rPr>
        <w:t> </w:t>
      </w:r>
      <w:r>
        <w:rPr/>
        <w:t>if</w:t>
      </w:r>
      <w:r>
        <w:rPr>
          <w:spacing w:val="-5"/>
        </w:rPr>
        <w:t> </w:t>
      </w:r>
      <w:r>
        <w:rPr/>
        <w:t>they</w:t>
      </w:r>
      <w:r>
        <w:rPr>
          <w:spacing w:val="-5"/>
        </w:rPr>
        <w:t> </w:t>
      </w:r>
      <w:r>
        <w:rPr/>
        <w:t>alter</w:t>
      </w:r>
      <w:r>
        <w:rPr>
          <w:spacing w:val="-5"/>
        </w:rPr>
        <w:t> </w:t>
      </w:r>
      <w:r>
        <w:rPr/>
        <w:t>the</w:t>
      </w:r>
      <w:r>
        <w:rPr>
          <w:spacing w:val="-7"/>
        </w:rPr>
        <w:t> </w:t>
      </w:r>
      <w:r>
        <w:rPr/>
        <w:t>recreational</w:t>
      </w:r>
      <w:r>
        <w:rPr>
          <w:spacing w:val="-8"/>
        </w:rPr>
        <w:t> </w:t>
      </w:r>
      <w:r>
        <w:rPr/>
        <w:t>characteristics</w:t>
      </w:r>
      <w:r>
        <w:rPr>
          <w:spacing w:val="-5"/>
        </w:rPr>
        <w:t> </w:t>
      </w:r>
      <w:r>
        <w:rPr/>
        <w:t>of</w:t>
      </w:r>
      <w:r>
        <w:rPr>
          <w:spacing w:val="-10"/>
        </w:rPr>
        <w:t> </w:t>
      </w:r>
      <w:r>
        <w:rPr/>
        <w:t>the</w:t>
      </w:r>
      <w:r>
        <w:rPr>
          <w:spacing w:val="-5"/>
        </w:rPr>
        <w:t> </w:t>
      </w:r>
      <w:r>
        <w:rPr/>
        <w:t>land</w:t>
      </w:r>
      <w:r>
        <w:rPr>
          <w:spacing w:val="-6"/>
        </w:rPr>
        <w:t> </w:t>
      </w:r>
      <w:r>
        <w:rPr/>
        <w:t>and</w:t>
      </w:r>
      <w:r>
        <w:rPr>
          <w:spacing w:val="-6"/>
        </w:rPr>
        <w:t> </w:t>
      </w:r>
      <w:r>
        <w:rPr/>
        <w:t>physical</w:t>
      </w:r>
      <w:r>
        <w:rPr>
          <w:spacing w:val="-5"/>
        </w:rPr>
        <w:t> </w:t>
      </w:r>
      <w:r>
        <w:rPr/>
        <w:t>resources,</w:t>
      </w:r>
      <w:r>
        <w:rPr>
          <w:spacing w:val="-7"/>
        </w:rPr>
        <w:t> </w:t>
      </w:r>
      <w:r>
        <w:rPr/>
        <w:t>or</w:t>
      </w:r>
      <w:r>
        <w:rPr>
          <w:spacing w:val="-7"/>
        </w:rPr>
        <w:t> </w:t>
      </w:r>
      <w:r>
        <w:rPr/>
        <w:t>affect the eligibility, potential classification, or potential suitability of the area.</w:t>
      </w:r>
    </w:p>
    <w:p>
      <w:pPr>
        <w:spacing w:before="233"/>
        <w:ind w:left="359" w:right="0" w:firstLine="0"/>
        <w:jc w:val="left"/>
        <w:rPr>
          <w:rFonts w:ascii="Arial"/>
          <w:i/>
          <w:sz w:val="22"/>
        </w:rPr>
      </w:pPr>
      <w:bookmarkStart w:name="MA-STD-WSR-03. Recreation" w:id="836"/>
      <w:bookmarkEnd w:id="836"/>
      <w:r>
        <w:rPr/>
      </w:r>
      <w:r>
        <w:rPr>
          <w:rFonts w:ascii="Arial"/>
          <w:i/>
          <w:sz w:val="22"/>
        </w:rPr>
        <w:t>MA-STD-WSR-03.</w:t>
      </w:r>
      <w:r>
        <w:rPr>
          <w:rFonts w:ascii="Arial"/>
          <w:i/>
          <w:spacing w:val="-12"/>
          <w:sz w:val="22"/>
        </w:rPr>
        <w:t> </w:t>
      </w:r>
      <w:r>
        <w:rPr>
          <w:rFonts w:ascii="Arial"/>
          <w:i/>
          <w:spacing w:val="-2"/>
          <w:sz w:val="22"/>
        </w:rPr>
        <w:t>Recreation</w:t>
      </w:r>
    </w:p>
    <w:p>
      <w:pPr>
        <w:pStyle w:val="BodyText"/>
        <w:spacing w:line="232" w:lineRule="auto" w:before="64"/>
        <w:ind w:left="359" w:right="1621"/>
      </w:pPr>
      <w:r>
        <w:rPr/>
        <w:t>To</w:t>
      </w:r>
      <w:r>
        <w:rPr>
          <w:spacing w:val="-8"/>
        </w:rPr>
        <w:t> </w:t>
      </w:r>
      <w:r>
        <w:rPr/>
        <w:t>the</w:t>
      </w:r>
      <w:r>
        <w:rPr>
          <w:spacing w:val="-9"/>
        </w:rPr>
        <w:t> </w:t>
      </w:r>
      <w:r>
        <w:rPr/>
        <w:t>extent</w:t>
      </w:r>
      <w:r>
        <w:rPr>
          <w:spacing w:val="-6"/>
        </w:rPr>
        <w:t> </w:t>
      </w:r>
      <w:r>
        <w:rPr/>
        <w:t>that</w:t>
      </w:r>
      <w:r>
        <w:rPr>
          <w:spacing w:val="-8"/>
        </w:rPr>
        <w:t> </w:t>
      </w:r>
      <w:r>
        <w:rPr/>
        <w:t>the</w:t>
      </w:r>
      <w:r>
        <w:rPr>
          <w:spacing w:val="-6"/>
        </w:rPr>
        <w:t> </w:t>
      </w:r>
      <w:r>
        <w:rPr/>
        <w:t>Forest</w:t>
      </w:r>
      <w:r>
        <w:rPr>
          <w:spacing w:val="-6"/>
        </w:rPr>
        <w:t> </w:t>
      </w:r>
      <w:r>
        <w:rPr/>
        <w:t>Service</w:t>
      </w:r>
      <w:r>
        <w:rPr>
          <w:spacing w:val="-9"/>
        </w:rPr>
        <w:t> </w:t>
      </w:r>
      <w:r>
        <w:rPr/>
        <w:t>is</w:t>
      </w:r>
      <w:r>
        <w:rPr>
          <w:spacing w:val="-7"/>
        </w:rPr>
        <w:t> </w:t>
      </w:r>
      <w:r>
        <w:rPr/>
        <w:t>authorized</w:t>
      </w:r>
      <w:r>
        <w:rPr>
          <w:spacing w:val="-8"/>
        </w:rPr>
        <w:t> </w:t>
      </w:r>
      <w:r>
        <w:rPr/>
        <w:t>under</w:t>
      </w:r>
      <w:r>
        <w:rPr>
          <w:spacing w:val="-7"/>
        </w:rPr>
        <w:t> </w:t>
      </w:r>
      <w:r>
        <w:rPr/>
        <w:t>law</w:t>
      </w:r>
      <w:r>
        <w:rPr>
          <w:spacing w:val="-6"/>
        </w:rPr>
        <w:t> </w:t>
      </w:r>
      <w:r>
        <w:rPr/>
        <w:t>to</w:t>
      </w:r>
      <w:r>
        <w:rPr>
          <w:spacing w:val="-6"/>
        </w:rPr>
        <w:t> </w:t>
      </w:r>
      <w:r>
        <w:rPr/>
        <w:t>control</w:t>
      </w:r>
      <w:r>
        <w:rPr>
          <w:spacing w:val="-7"/>
        </w:rPr>
        <w:t> </w:t>
      </w:r>
      <w:r>
        <w:rPr/>
        <w:t>stream</w:t>
      </w:r>
      <w:r>
        <w:rPr>
          <w:spacing w:val="-8"/>
        </w:rPr>
        <w:t> </w:t>
      </w:r>
      <w:r>
        <w:rPr/>
        <w:t>impoundments and diversions, the free-flowing characteristics of the river cannot be modified by new structures that were not part of the conditions when eligibility was determined.</w:t>
      </w:r>
    </w:p>
    <w:p>
      <w:pPr>
        <w:pStyle w:val="BodyText"/>
        <w:spacing w:after="0" w:line="232" w:lineRule="auto"/>
        <w:sectPr>
          <w:pgSz w:w="12240" w:h="15840"/>
          <w:pgMar w:header="725" w:footer="891" w:top="960" w:bottom="1080" w:left="1080" w:right="720"/>
        </w:sectPr>
      </w:pPr>
    </w:p>
    <w:p>
      <w:pPr>
        <w:pStyle w:val="BodyText"/>
        <w:spacing w:before="182"/>
        <w:rPr>
          <w:sz w:val="24"/>
        </w:rPr>
      </w:pPr>
    </w:p>
    <w:p>
      <w:pPr>
        <w:pStyle w:val="Heading4"/>
        <w:ind w:left="1151"/>
      </w:pPr>
      <w:bookmarkStart w:name="Suitable Uses" w:id="837"/>
      <w:bookmarkEnd w:id="837"/>
      <w:r>
        <w:rPr/>
      </w:r>
      <w:bookmarkStart w:name="_bookmark254" w:id="838"/>
      <w:bookmarkEnd w:id="838"/>
      <w:r>
        <w:rPr/>
      </w:r>
      <w:r>
        <w:rPr/>
        <w:t>Suitable</w:t>
      </w:r>
      <w:r>
        <w:rPr>
          <w:spacing w:val="-5"/>
        </w:rPr>
        <w:t> </w:t>
      </w:r>
      <w:r>
        <w:rPr>
          <w:spacing w:val="-4"/>
        </w:rPr>
        <w:t>Uses</w:t>
      </w:r>
    </w:p>
    <w:p>
      <w:pPr>
        <w:spacing w:before="240"/>
        <w:ind w:left="1151" w:right="0" w:firstLine="0"/>
        <w:jc w:val="left"/>
        <w:rPr>
          <w:rFonts w:ascii="Arial"/>
          <w:i/>
          <w:sz w:val="22"/>
        </w:rPr>
      </w:pPr>
      <w:bookmarkStart w:name="MA-SU-WSR-01. Suitable Uses" w:id="839"/>
      <w:bookmarkEnd w:id="839"/>
      <w:r>
        <w:rPr/>
      </w:r>
      <w:r>
        <w:rPr>
          <w:rFonts w:ascii="Arial"/>
          <w:i/>
          <w:sz w:val="22"/>
        </w:rPr>
        <w:t>MA-SU-WSR-01.</w:t>
      </w:r>
      <w:r>
        <w:rPr>
          <w:rFonts w:ascii="Arial"/>
          <w:i/>
          <w:spacing w:val="-10"/>
          <w:sz w:val="22"/>
        </w:rPr>
        <w:t> </w:t>
      </w:r>
      <w:r>
        <w:rPr>
          <w:rFonts w:ascii="Arial"/>
          <w:i/>
          <w:sz w:val="22"/>
        </w:rPr>
        <w:t>Suitable</w:t>
      </w:r>
      <w:r>
        <w:rPr>
          <w:rFonts w:ascii="Arial"/>
          <w:i/>
          <w:spacing w:val="-8"/>
          <w:sz w:val="22"/>
        </w:rPr>
        <w:t> </w:t>
      </w:r>
      <w:r>
        <w:rPr>
          <w:rFonts w:ascii="Arial"/>
          <w:i/>
          <w:spacing w:val="-4"/>
          <w:sz w:val="22"/>
        </w:rPr>
        <w:t>Uses</w:t>
      </w:r>
    </w:p>
    <w:p>
      <w:pPr>
        <w:pStyle w:val="BodyText"/>
        <w:spacing w:before="105"/>
        <w:rPr>
          <w:rFonts w:ascii="Arial"/>
          <w:i/>
        </w:rPr>
      </w:pPr>
    </w:p>
    <w:p>
      <w:pPr>
        <w:spacing w:before="0" w:after="42"/>
        <w:ind w:left="1151" w:right="0" w:firstLine="0"/>
        <w:jc w:val="left"/>
        <w:rPr>
          <w:rFonts w:ascii="Arial"/>
          <w:b/>
          <w:sz w:val="18"/>
        </w:rPr>
      </w:pPr>
      <w:bookmarkStart w:name="_bookmark255" w:id="840"/>
      <w:bookmarkEnd w:id="840"/>
      <w:r>
        <w:rPr/>
      </w:r>
      <w:r>
        <w:rPr>
          <w:rFonts w:ascii="Arial"/>
          <w:b/>
          <w:sz w:val="18"/>
        </w:rPr>
        <w:t>Table</w:t>
      </w:r>
      <w:r>
        <w:rPr>
          <w:rFonts w:ascii="Arial"/>
          <w:b/>
          <w:spacing w:val="-5"/>
          <w:sz w:val="18"/>
        </w:rPr>
        <w:t> </w:t>
      </w:r>
      <w:r>
        <w:rPr>
          <w:rFonts w:ascii="Arial"/>
          <w:b/>
          <w:sz w:val="18"/>
        </w:rPr>
        <w:t>32.</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1"/>
          <w:sz w:val="18"/>
        </w:rPr>
        <w:t> </w:t>
      </w:r>
      <w:r>
        <w:rPr>
          <w:rFonts w:ascii="Arial"/>
          <w:b/>
          <w:sz w:val="18"/>
        </w:rPr>
        <w:t>in</w:t>
      </w:r>
      <w:r>
        <w:rPr>
          <w:rFonts w:ascii="Arial"/>
          <w:b/>
          <w:spacing w:val="-3"/>
          <w:sz w:val="18"/>
        </w:rPr>
        <w:t> </w:t>
      </w:r>
      <w:r>
        <w:rPr>
          <w:rFonts w:ascii="Arial"/>
          <w:b/>
          <w:sz w:val="18"/>
        </w:rPr>
        <w:t>Wild</w:t>
      </w:r>
      <w:r>
        <w:rPr>
          <w:rFonts w:ascii="Arial"/>
          <w:b/>
          <w:spacing w:val="-2"/>
          <w:sz w:val="18"/>
        </w:rPr>
        <w:t> </w:t>
      </w:r>
      <w:r>
        <w:rPr>
          <w:rFonts w:ascii="Arial"/>
          <w:b/>
          <w:sz w:val="18"/>
        </w:rPr>
        <w:t>and</w:t>
      </w:r>
      <w:r>
        <w:rPr>
          <w:rFonts w:ascii="Arial"/>
          <w:b/>
          <w:spacing w:val="-2"/>
          <w:sz w:val="18"/>
        </w:rPr>
        <w:t> </w:t>
      </w:r>
      <w:r>
        <w:rPr>
          <w:rFonts w:ascii="Arial"/>
          <w:b/>
          <w:sz w:val="18"/>
        </w:rPr>
        <w:t>Scenic</w:t>
      </w:r>
      <w:r>
        <w:rPr>
          <w:rFonts w:ascii="Arial"/>
          <w:b/>
          <w:spacing w:val="-1"/>
          <w:sz w:val="18"/>
        </w:rPr>
        <w:t> </w:t>
      </w:r>
      <w:r>
        <w:rPr>
          <w:rFonts w:ascii="Arial"/>
          <w:b/>
          <w:sz w:val="18"/>
        </w:rPr>
        <w:t>River</w:t>
      </w:r>
      <w:r>
        <w:rPr>
          <w:rFonts w:ascii="Arial"/>
          <w:b/>
          <w:spacing w:val="-4"/>
          <w:sz w:val="18"/>
        </w:rPr>
        <w:t> </w:t>
      </w:r>
      <w:r>
        <w:rPr>
          <w:rFonts w:ascii="Arial"/>
          <w:b/>
          <w:sz w:val="18"/>
        </w:rPr>
        <w:t>Management</w:t>
      </w:r>
      <w:r>
        <w:rPr>
          <w:rFonts w:ascii="Arial"/>
          <w:b/>
          <w:spacing w:val="-2"/>
          <w:sz w:val="18"/>
        </w:rPr>
        <w:t> Areas</w:t>
      </w: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696"/>
        <w:gridCol w:w="2155"/>
        <w:gridCol w:w="2698"/>
      </w:tblGrid>
      <w:tr>
        <w:trPr>
          <w:trHeight w:val="287" w:hRule="atLeast"/>
        </w:trPr>
        <w:tc>
          <w:tcPr>
            <w:tcW w:w="3696" w:type="dxa"/>
            <w:tcBorders>
              <w:top w:val="nil"/>
              <w:bottom w:val="nil"/>
              <w:right w:val="nil"/>
            </w:tcBorders>
            <w:shd w:val="clear" w:color="auto" w:fill="D5E2BB"/>
          </w:tcPr>
          <w:p>
            <w:pPr>
              <w:pStyle w:val="TableParagraph"/>
              <w:spacing w:before="42"/>
              <w:ind w:left="1173"/>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155" w:type="dxa"/>
            <w:tcBorders>
              <w:left w:val="nil"/>
              <w:bottom w:val="nil"/>
              <w:right w:val="nil"/>
            </w:tcBorders>
            <w:shd w:val="clear" w:color="auto" w:fill="D5E2BB"/>
          </w:tcPr>
          <w:p>
            <w:pPr>
              <w:pStyle w:val="TableParagraph"/>
              <w:spacing w:before="42"/>
              <w:ind w:left="134" w:right="3"/>
              <w:jc w:val="center"/>
              <w:rPr>
                <w:b/>
                <w:sz w:val="18"/>
              </w:rPr>
            </w:pPr>
            <w:r>
              <w:rPr>
                <w:b/>
                <w:sz w:val="18"/>
              </w:rPr>
              <w:t>May</w:t>
            </w:r>
            <w:r>
              <w:rPr>
                <w:b/>
                <w:spacing w:val="-9"/>
                <w:sz w:val="18"/>
              </w:rPr>
              <w:t> </w:t>
            </w:r>
            <w:r>
              <w:rPr>
                <w:b/>
                <w:spacing w:val="-2"/>
                <w:sz w:val="18"/>
              </w:rPr>
              <w:t>authorize</w:t>
            </w:r>
          </w:p>
        </w:tc>
        <w:tc>
          <w:tcPr>
            <w:tcW w:w="2698" w:type="dxa"/>
            <w:tcBorders>
              <w:left w:val="nil"/>
              <w:bottom w:val="nil"/>
            </w:tcBorders>
            <w:shd w:val="clear" w:color="auto" w:fill="D5E2BB"/>
          </w:tcPr>
          <w:p>
            <w:pPr>
              <w:pStyle w:val="TableParagraph"/>
              <w:spacing w:before="42"/>
              <w:ind w:left="364" w:right="118"/>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3696" w:type="dxa"/>
            <w:tcBorders>
              <w:top w:val="nil"/>
              <w:right w:val="nil"/>
            </w:tcBorders>
          </w:tcPr>
          <w:p>
            <w:pPr>
              <w:pStyle w:val="TableParagraph"/>
              <w:spacing w:before="40"/>
              <w:ind w:left="107"/>
              <w:rPr>
                <w:b/>
                <w:sz w:val="18"/>
              </w:rPr>
            </w:pPr>
            <w:r>
              <w:rPr>
                <w:b/>
                <w:sz w:val="18"/>
              </w:rPr>
              <w:t>Facilities,</w:t>
            </w:r>
            <w:r>
              <w:rPr>
                <w:b/>
                <w:spacing w:val="-5"/>
                <w:sz w:val="18"/>
              </w:rPr>
              <w:t> </w:t>
            </w:r>
            <w:r>
              <w:rPr>
                <w:b/>
                <w:spacing w:val="-2"/>
                <w:sz w:val="18"/>
              </w:rPr>
              <w:t>administrative</w:t>
            </w:r>
          </w:p>
        </w:tc>
        <w:tc>
          <w:tcPr>
            <w:tcW w:w="2155" w:type="dxa"/>
            <w:tcBorders>
              <w:top w:val="nil"/>
              <w:left w:val="nil"/>
              <w:right w:val="nil"/>
            </w:tcBorders>
          </w:tcPr>
          <w:p>
            <w:pPr>
              <w:pStyle w:val="TableParagraph"/>
              <w:spacing w:before="40"/>
              <w:ind w:left="134" w:right="5"/>
              <w:jc w:val="center"/>
              <w:rPr>
                <w:sz w:val="18"/>
              </w:rPr>
            </w:pPr>
            <w:r>
              <w:rPr>
                <w:spacing w:val="-2"/>
                <w:sz w:val="18"/>
              </w:rPr>
              <w:t>Recreational</w:t>
            </w:r>
          </w:p>
        </w:tc>
        <w:tc>
          <w:tcPr>
            <w:tcW w:w="2698" w:type="dxa"/>
            <w:tcBorders>
              <w:top w:val="nil"/>
              <w:left w:val="nil"/>
            </w:tcBorders>
          </w:tcPr>
          <w:p>
            <w:pPr>
              <w:pStyle w:val="TableParagraph"/>
              <w:spacing w:before="40"/>
              <w:ind w:left="364" w:right="120"/>
              <w:jc w:val="center"/>
              <w:rPr>
                <w:sz w:val="18"/>
              </w:rPr>
            </w:pPr>
            <w:r>
              <w:rPr>
                <w:spacing w:val="-4"/>
                <w:sz w:val="18"/>
              </w:rPr>
              <w:t>Wild</w:t>
            </w:r>
          </w:p>
        </w:tc>
      </w:tr>
      <w:tr>
        <w:trPr>
          <w:trHeight w:val="287" w:hRule="atLeast"/>
        </w:trPr>
        <w:tc>
          <w:tcPr>
            <w:tcW w:w="3696"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r>
        <w:trPr>
          <w:trHeight w:val="287" w:hRule="atLeast"/>
        </w:trPr>
        <w:tc>
          <w:tcPr>
            <w:tcW w:w="3696"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287" w:hRule="atLeast"/>
        </w:trPr>
        <w:tc>
          <w:tcPr>
            <w:tcW w:w="3696"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493" w:hRule="atLeast"/>
        </w:trPr>
        <w:tc>
          <w:tcPr>
            <w:tcW w:w="3696"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 timber harvest)</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ind w:left="364" w:right="117"/>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493" w:hRule="atLeast"/>
        </w:trPr>
        <w:tc>
          <w:tcPr>
            <w:tcW w:w="3696" w:type="dxa"/>
            <w:tcBorders>
              <w:right w:val="nil"/>
            </w:tcBorders>
          </w:tcPr>
          <w:p>
            <w:pPr>
              <w:pStyle w:val="TableParagraph"/>
              <w:ind w:left="107" w:right="243"/>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commercial </w:t>
            </w:r>
            <w:r>
              <w:rPr>
                <w:b/>
                <w:spacing w:val="-4"/>
                <w:sz w:val="18"/>
              </w:rPr>
              <w:t>use</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ind w:left="364" w:right="117"/>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493" w:hRule="atLeast"/>
        </w:trPr>
        <w:tc>
          <w:tcPr>
            <w:tcW w:w="3696" w:type="dxa"/>
            <w:tcBorders>
              <w:right w:val="nil"/>
            </w:tcBorders>
          </w:tcPr>
          <w:p>
            <w:pPr>
              <w:pStyle w:val="TableParagraph"/>
              <w:ind w:left="107"/>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ind w:left="364" w:right="117"/>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287" w:hRule="atLeast"/>
        </w:trPr>
        <w:tc>
          <w:tcPr>
            <w:tcW w:w="3696"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287" w:hRule="atLeast"/>
        </w:trPr>
        <w:tc>
          <w:tcPr>
            <w:tcW w:w="3696"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1115" w:hRule="atLeast"/>
        </w:trPr>
        <w:tc>
          <w:tcPr>
            <w:tcW w:w="3696" w:type="dxa"/>
            <w:tcBorders>
              <w:right w:val="nil"/>
            </w:tcBorders>
          </w:tcPr>
          <w:p>
            <w:pPr>
              <w:pStyle w:val="TableParagraph"/>
              <w:ind w:left="107" w:right="243"/>
              <w:rPr>
                <w:b/>
                <w:sz w:val="18"/>
              </w:rPr>
            </w:pPr>
            <w:r>
              <w:rPr>
                <w:b/>
                <w:sz w:val="18"/>
              </w:rPr>
              <w:t>Infrastructure, above ground infrastructure</w:t>
            </w:r>
            <w:r>
              <w:rPr>
                <w:b/>
                <w:spacing w:val="-12"/>
                <w:sz w:val="18"/>
              </w:rPr>
              <w:t> </w:t>
            </w:r>
            <w:r>
              <w:rPr>
                <w:b/>
                <w:sz w:val="18"/>
              </w:rPr>
              <w:t>associated</w:t>
            </w:r>
            <w:r>
              <w:rPr>
                <w:b/>
                <w:spacing w:val="-12"/>
                <w:sz w:val="18"/>
              </w:rPr>
              <w:t> </w:t>
            </w:r>
            <w:r>
              <w:rPr>
                <w:b/>
                <w:sz w:val="18"/>
              </w:rPr>
              <w:t>with</w:t>
            </w:r>
            <w:r>
              <w:rPr>
                <w:b/>
                <w:spacing w:val="-11"/>
                <w:sz w:val="18"/>
              </w:rPr>
              <w:t> </w:t>
            </w:r>
            <w:r>
              <w:rPr>
                <w:b/>
                <w:sz w:val="18"/>
              </w:rPr>
              <w:t>special use permits, such as communication sites, energy developments, and/or utility</w:t>
            </w:r>
            <w:r>
              <w:rPr>
                <w:b/>
                <w:spacing w:val="-5"/>
                <w:sz w:val="18"/>
              </w:rPr>
              <w:t> </w:t>
            </w:r>
            <w:r>
              <w:rPr>
                <w:b/>
                <w:sz w:val="18"/>
              </w:rPr>
              <w:t>lines</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r>
        <w:trPr>
          <w:trHeight w:val="287" w:hRule="atLeast"/>
        </w:trPr>
        <w:tc>
          <w:tcPr>
            <w:tcW w:w="3696"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20"/>
              <w:jc w:val="center"/>
              <w:rPr>
                <w:sz w:val="18"/>
              </w:rPr>
            </w:pPr>
            <w:r>
              <w:rPr>
                <w:spacing w:val="-4"/>
                <w:sz w:val="18"/>
              </w:rPr>
              <w:t>Wild</w:t>
            </w:r>
          </w:p>
        </w:tc>
      </w:tr>
      <w:tr>
        <w:trPr>
          <w:trHeight w:val="284" w:hRule="atLeast"/>
        </w:trPr>
        <w:tc>
          <w:tcPr>
            <w:tcW w:w="3696" w:type="dxa"/>
            <w:tcBorders>
              <w:right w:val="nil"/>
            </w:tcBorders>
          </w:tcPr>
          <w:p>
            <w:pPr>
              <w:pStyle w:val="TableParagraph"/>
              <w:ind w:left="107"/>
              <w:rPr>
                <w:b/>
                <w:sz w:val="18"/>
              </w:rPr>
            </w:pPr>
            <w:r>
              <w:rPr>
                <w:b/>
                <w:sz w:val="18"/>
              </w:rPr>
              <w:t>Minerals,</w:t>
            </w:r>
            <w:r>
              <w:rPr>
                <w:b/>
                <w:spacing w:val="-4"/>
                <w:sz w:val="18"/>
              </w:rPr>
              <w:t> </w:t>
            </w:r>
            <w:r>
              <w:rPr>
                <w:b/>
                <w:sz w:val="18"/>
              </w:rPr>
              <w:t>leasable</w:t>
            </w:r>
            <w:r>
              <w:rPr>
                <w:b/>
                <w:spacing w:val="-3"/>
                <w:sz w:val="18"/>
              </w:rPr>
              <w:t> </w:t>
            </w:r>
            <w:r>
              <w:rPr>
                <w:b/>
                <w:sz w:val="18"/>
              </w:rPr>
              <w:t>-</w:t>
            </w:r>
            <w:r>
              <w:rPr>
                <w:b/>
                <w:spacing w:val="-6"/>
                <w:sz w:val="18"/>
              </w:rPr>
              <w:t> </w:t>
            </w:r>
            <w:r>
              <w:rPr>
                <w:b/>
                <w:sz w:val="18"/>
              </w:rPr>
              <w:t>surface</w:t>
            </w:r>
            <w:r>
              <w:rPr>
                <w:b/>
                <w:spacing w:val="-7"/>
                <w:sz w:val="18"/>
              </w:rPr>
              <w:t> </w:t>
            </w:r>
            <w:r>
              <w:rPr>
                <w:b/>
                <w:spacing w:val="-2"/>
                <w:sz w:val="18"/>
              </w:rPr>
              <w:t>occupancy</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ind w:left="364" w:right="118"/>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287" w:hRule="atLeast"/>
        </w:trPr>
        <w:tc>
          <w:tcPr>
            <w:tcW w:w="3696" w:type="dxa"/>
            <w:tcBorders>
              <w:right w:val="nil"/>
            </w:tcBorders>
          </w:tcPr>
          <w:p>
            <w:pPr>
              <w:pStyle w:val="TableParagraph"/>
              <w:spacing w:before="42"/>
              <w:ind w:left="107"/>
              <w:rPr>
                <w:b/>
                <w:sz w:val="18"/>
              </w:rPr>
            </w:pPr>
            <w:r>
              <w:rPr>
                <w:b/>
                <w:sz w:val="18"/>
              </w:rPr>
              <w:t>Minerals,</w:t>
            </w:r>
            <w:r>
              <w:rPr>
                <w:b/>
                <w:spacing w:val="-10"/>
                <w:sz w:val="18"/>
              </w:rPr>
              <w:t> </w:t>
            </w:r>
            <w:r>
              <w:rPr>
                <w:b/>
                <w:spacing w:val="-2"/>
                <w:sz w:val="18"/>
              </w:rPr>
              <w:t>locatable</w:t>
            </w:r>
          </w:p>
        </w:tc>
        <w:tc>
          <w:tcPr>
            <w:tcW w:w="2155" w:type="dxa"/>
            <w:tcBorders>
              <w:left w:val="nil"/>
              <w:right w:val="nil"/>
            </w:tcBorders>
          </w:tcPr>
          <w:p>
            <w:pPr>
              <w:pStyle w:val="TableParagraph"/>
              <w:spacing w:before="42"/>
              <w:ind w:left="134" w:right="4"/>
              <w:jc w:val="center"/>
              <w:rPr>
                <w:sz w:val="18"/>
              </w:rPr>
            </w:pPr>
            <w:r>
              <w:rPr>
                <w:spacing w:val="-2"/>
                <w:sz w:val="18"/>
              </w:rPr>
              <w:t>Recreational</w:t>
            </w:r>
          </w:p>
        </w:tc>
        <w:tc>
          <w:tcPr>
            <w:tcW w:w="2698" w:type="dxa"/>
            <w:tcBorders>
              <w:left w:val="nil"/>
            </w:tcBorders>
          </w:tcPr>
          <w:p>
            <w:pPr>
              <w:pStyle w:val="TableParagraph"/>
              <w:spacing w:before="42"/>
              <w:ind w:left="364" w:right="119"/>
              <w:jc w:val="center"/>
              <w:rPr>
                <w:sz w:val="18"/>
              </w:rPr>
            </w:pPr>
            <w:r>
              <w:rPr>
                <w:spacing w:val="-4"/>
                <w:sz w:val="18"/>
              </w:rPr>
              <w:t>Wild</w:t>
            </w:r>
          </w:p>
        </w:tc>
      </w:tr>
      <w:tr>
        <w:trPr>
          <w:trHeight w:val="287" w:hRule="atLeast"/>
        </w:trPr>
        <w:tc>
          <w:tcPr>
            <w:tcW w:w="3696" w:type="dxa"/>
            <w:tcBorders>
              <w:right w:val="nil"/>
            </w:tcBorders>
          </w:tcPr>
          <w:p>
            <w:pPr>
              <w:pStyle w:val="TableParagraph"/>
              <w:spacing w:before="42"/>
              <w:ind w:left="107"/>
              <w:rPr>
                <w:b/>
                <w:sz w:val="18"/>
              </w:rPr>
            </w:pPr>
            <w:r>
              <w:rPr>
                <w:b/>
                <w:sz w:val="18"/>
              </w:rPr>
              <w:t>Minerals,</w:t>
            </w:r>
            <w:r>
              <w:rPr>
                <w:b/>
                <w:spacing w:val="-10"/>
                <w:sz w:val="18"/>
              </w:rPr>
              <w:t> </w:t>
            </w:r>
            <w:r>
              <w:rPr>
                <w:b/>
                <w:spacing w:val="-2"/>
                <w:sz w:val="18"/>
              </w:rPr>
              <w:t>salable</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spacing w:before="42"/>
              <w:ind w:left="364" w:right="117"/>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493" w:hRule="atLeast"/>
        </w:trPr>
        <w:tc>
          <w:tcPr>
            <w:tcW w:w="3696" w:type="dxa"/>
            <w:tcBorders>
              <w:right w:val="nil"/>
            </w:tcBorders>
          </w:tcPr>
          <w:p>
            <w:pPr>
              <w:pStyle w:val="TableParagraph"/>
              <w:spacing w:before="42"/>
              <w:ind w:left="107" w:right="243"/>
              <w:rPr>
                <w:b/>
                <w:sz w:val="18"/>
              </w:rPr>
            </w:pPr>
            <w:r>
              <w:rPr>
                <w:b/>
                <w:sz w:val="18"/>
              </w:rPr>
              <w:t>Motorized</w:t>
            </w:r>
            <w:r>
              <w:rPr>
                <w:b/>
                <w:spacing w:val="-11"/>
                <w:sz w:val="18"/>
              </w:rPr>
              <w:t> </w:t>
            </w:r>
            <w:r>
              <w:rPr>
                <w:b/>
                <w:sz w:val="18"/>
              </w:rPr>
              <w:t>recreational</w:t>
            </w:r>
            <w:r>
              <w:rPr>
                <w:b/>
                <w:spacing w:val="-11"/>
                <w:sz w:val="18"/>
              </w:rPr>
              <w:t> </w:t>
            </w:r>
            <w:r>
              <w:rPr>
                <w:b/>
                <w:sz w:val="18"/>
              </w:rPr>
              <w:t>use,</w:t>
            </w:r>
            <w:r>
              <w:rPr>
                <w:b/>
                <w:spacing w:val="-13"/>
                <w:sz w:val="18"/>
              </w:rPr>
              <w:t> </w:t>
            </w:r>
            <w:r>
              <w:rPr>
                <w:b/>
                <w:sz w:val="18"/>
              </w:rPr>
              <w:t>summer, trails or play areas</w:t>
            </w:r>
          </w:p>
        </w:tc>
        <w:tc>
          <w:tcPr>
            <w:tcW w:w="2155" w:type="dxa"/>
            <w:tcBorders>
              <w:left w:val="nil"/>
              <w:right w:val="nil"/>
            </w:tcBorders>
          </w:tcPr>
          <w:p>
            <w:pPr>
              <w:pStyle w:val="TableParagraph"/>
              <w:spacing w:before="42"/>
              <w:ind w:left="134"/>
              <w:jc w:val="center"/>
              <w:rPr>
                <w:sz w:val="18"/>
              </w:rPr>
            </w:pPr>
            <w:r>
              <w:rPr>
                <w:spacing w:val="-2"/>
                <w:sz w:val="18"/>
              </w:rPr>
              <w:t>Recreational</w:t>
            </w:r>
          </w:p>
        </w:tc>
        <w:tc>
          <w:tcPr>
            <w:tcW w:w="2698" w:type="dxa"/>
            <w:tcBorders>
              <w:left w:val="nil"/>
            </w:tcBorders>
          </w:tcPr>
          <w:p>
            <w:pPr>
              <w:pStyle w:val="TableParagraph"/>
              <w:spacing w:before="42"/>
              <w:ind w:left="364" w:right="119"/>
              <w:jc w:val="center"/>
              <w:rPr>
                <w:sz w:val="18"/>
              </w:rPr>
            </w:pPr>
            <w:r>
              <w:rPr>
                <w:spacing w:val="-4"/>
                <w:sz w:val="18"/>
              </w:rPr>
              <w:t>Wild</w:t>
            </w:r>
          </w:p>
        </w:tc>
      </w:tr>
      <w:tr>
        <w:trPr>
          <w:trHeight w:val="495" w:hRule="atLeast"/>
        </w:trPr>
        <w:tc>
          <w:tcPr>
            <w:tcW w:w="3696" w:type="dxa"/>
            <w:tcBorders>
              <w:right w:val="nil"/>
            </w:tcBorders>
          </w:tcPr>
          <w:p>
            <w:pPr>
              <w:pStyle w:val="TableParagraph"/>
              <w:spacing w:before="42"/>
              <w:ind w:left="107" w:right="243"/>
              <w:rPr>
                <w:b/>
                <w:sz w:val="18"/>
              </w:rPr>
            </w:pPr>
            <w:r>
              <w:rPr>
                <w:b/>
                <w:sz w:val="18"/>
              </w:rPr>
              <w:t>Motorized</w:t>
            </w:r>
            <w:r>
              <w:rPr>
                <w:b/>
                <w:spacing w:val="-11"/>
                <w:sz w:val="18"/>
              </w:rPr>
              <w:t> </w:t>
            </w:r>
            <w:r>
              <w:rPr>
                <w:b/>
                <w:sz w:val="18"/>
              </w:rPr>
              <w:t>recreational</w:t>
            </w:r>
            <w:r>
              <w:rPr>
                <w:b/>
                <w:spacing w:val="-11"/>
                <w:sz w:val="18"/>
              </w:rPr>
              <w:t> </w:t>
            </w:r>
            <w:r>
              <w:rPr>
                <w:b/>
                <w:sz w:val="18"/>
              </w:rPr>
              <w:t>use,</w:t>
            </w:r>
            <w:r>
              <w:rPr>
                <w:b/>
                <w:spacing w:val="-13"/>
                <w:sz w:val="18"/>
              </w:rPr>
              <w:t> </w:t>
            </w:r>
            <w:r>
              <w:rPr>
                <w:b/>
                <w:sz w:val="18"/>
              </w:rPr>
              <w:t>winter, trails or cross country</w:t>
            </w:r>
          </w:p>
        </w:tc>
        <w:tc>
          <w:tcPr>
            <w:tcW w:w="2155" w:type="dxa"/>
            <w:tcBorders>
              <w:left w:val="nil"/>
              <w:right w:val="nil"/>
            </w:tcBorders>
          </w:tcPr>
          <w:p>
            <w:pPr>
              <w:pStyle w:val="TableParagraph"/>
              <w:spacing w:before="42"/>
              <w:ind w:left="134" w:right="5"/>
              <w:jc w:val="center"/>
              <w:rPr>
                <w:sz w:val="18"/>
              </w:rPr>
            </w:pPr>
            <w:r>
              <w:rPr>
                <w:spacing w:val="-2"/>
                <w:sz w:val="18"/>
              </w:rPr>
              <w:t>Recreational</w:t>
            </w:r>
          </w:p>
        </w:tc>
        <w:tc>
          <w:tcPr>
            <w:tcW w:w="2698" w:type="dxa"/>
            <w:tcBorders>
              <w:left w:val="nil"/>
            </w:tcBorders>
          </w:tcPr>
          <w:p>
            <w:pPr>
              <w:pStyle w:val="TableParagraph"/>
              <w:spacing w:before="42"/>
              <w:ind w:left="364" w:right="119"/>
              <w:jc w:val="center"/>
              <w:rPr>
                <w:sz w:val="18"/>
              </w:rPr>
            </w:pPr>
            <w:r>
              <w:rPr>
                <w:spacing w:val="-4"/>
                <w:sz w:val="18"/>
              </w:rPr>
              <w:t>Wild</w:t>
            </w:r>
          </w:p>
        </w:tc>
      </w:tr>
      <w:tr>
        <w:trPr>
          <w:trHeight w:val="493" w:hRule="atLeast"/>
        </w:trPr>
        <w:tc>
          <w:tcPr>
            <w:tcW w:w="3696" w:type="dxa"/>
            <w:tcBorders>
              <w:right w:val="nil"/>
            </w:tcBorders>
          </w:tcPr>
          <w:p>
            <w:pPr>
              <w:pStyle w:val="TableParagraph"/>
              <w:ind w:left="107" w:right="243"/>
              <w:rPr>
                <w:b/>
                <w:sz w:val="18"/>
              </w:rPr>
            </w:pPr>
            <w:r>
              <w:rPr>
                <w:b/>
                <w:sz w:val="18"/>
              </w:rPr>
              <w:t>Non-motorized</w:t>
            </w:r>
            <w:r>
              <w:rPr>
                <w:b/>
                <w:spacing w:val="-15"/>
                <w:sz w:val="18"/>
              </w:rPr>
              <w:t> </w:t>
            </w:r>
            <w:r>
              <w:rPr>
                <w:b/>
                <w:sz w:val="18"/>
              </w:rPr>
              <w:t>recreational</w:t>
            </w:r>
            <w:r>
              <w:rPr>
                <w:b/>
                <w:spacing w:val="-12"/>
                <w:sz w:val="18"/>
              </w:rPr>
              <w:t> </w:t>
            </w:r>
            <w:r>
              <w:rPr>
                <w:b/>
                <w:sz w:val="18"/>
              </w:rPr>
              <w:t>use, </w:t>
            </w:r>
            <w:r>
              <w:rPr>
                <w:b/>
                <w:spacing w:val="-2"/>
                <w:sz w:val="18"/>
              </w:rPr>
              <w:t>summer</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287" w:hRule="atLeast"/>
        </w:trPr>
        <w:tc>
          <w:tcPr>
            <w:tcW w:w="3696"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155" w:type="dxa"/>
            <w:tcBorders>
              <w:left w:val="nil"/>
              <w:right w:val="nil"/>
            </w:tcBorders>
          </w:tcPr>
          <w:p>
            <w:pPr>
              <w:pStyle w:val="TableParagraph"/>
              <w:ind w:left="134" w:right="3"/>
              <w:jc w:val="center"/>
              <w:rPr>
                <w:sz w:val="18"/>
              </w:rPr>
            </w:pPr>
            <w:r>
              <w:rPr>
                <w:sz w:val="18"/>
              </w:rPr>
              <w:t>Recreational</w:t>
            </w:r>
            <w:r>
              <w:rPr>
                <w:spacing w:val="-3"/>
                <w:sz w:val="18"/>
              </w:rPr>
              <w:t> </w:t>
            </w:r>
            <w:r>
              <w:rPr>
                <w:sz w:val="18"/>
              </w:rPr>
              <w:t>and</w:t>
            </w:r>
            <w:r>
              <w:rPr>
                <w:spacing w:val="-8"/>
                <w:sz w:val="18"/>
              </w:rPr>
              <w:t> </w:t>
            </w:r>
            <w:r>
              <w:rPr>
                <w:spacing w:val="-4"/>
                <w:sz w:val="18"/>
              </w:rPr>
              <w:t>Wild</w:t>
            </w:r>
          </w:p>
        </w:tc>
        <w:tc>
          <w:tcPr>
            <w:tcW w:w="2698" w:type="dxa"/>
            <w:tcBorders>
              <w:left w:val="nil"/>
            </w:tcBorders>
          </w:tcPr>
          <w:p>
            <w:pPr>
              <w:pStyle w:val="TableParagraph"/>
              <w:spacing w:before="0"/>
              <w:rPr>
                <w:rFonts w:ascii="Times New Roman"/>
                <w:sz w:val="18"/>
              </w:rPr>
            </w:pPr>
          </w:p>
        </w:tc>
      </w:tr>
      <w:tr>
        <w:trPr>
          <w:trHeight w:val="287" w:hRule="atLeast"/>
        </w:trPr>
        <w:tc>
          <w:tcPr>
            <w:tcW w:w="3696"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r>
        <w:trPr>
          <w:trHeight w:val="284" w:hRule="atLeast"/>
        </w:trPr>
        <w:tc>
          <w:tcPr>
            <w:tcW w:w="3696"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155" w:type="dxa"/>
            <w:tcBorders>
              <w:left w:val="nil"/>
              <w:right w:val="nil"/>
            </w:tcBorders>
          </w:tcPr>
          <w:p>
            <w:pPr>
              <w:pStyle w:val="TableParagraph"/>
              <w:ind w:left="134" w:right="5"/>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r>
        <w:trPr>
          <w:trHeight w:val="908" w:hRule="atLeast"/>
        </w:trPr>
        <w:tc>
          <w:tcPr>
            <w:tcW w:w="3696" w:type="dxa"/>
            <w:tcBorders>
              <w:right w:val="nil"/>
            </w:tcBorders>
          </w:tcPr>
          <w:p>
            <w:pPr>
              <w:pStyle w:val="TableParagraph"/>
              <w:spacing w:before="42"/>
              <w:ind w:left="107"/>
              <w:rPr>
                <w:b/>
                <w:sz w:val="18"/>
              </w:rPr>
            </w:pPr>
            <w:r>
              <w:rPr>
                <w:b/>
                <w:sz w:val="18"/>
              </w:rPr>
              <w:t>Special-use</w:t>
            </w:r>
            <w:r>
              <w:rPr>
                <w:b/>
                <w:spacing w:val="-3"/>
                <w:sz w:val="18"/>
              </w:rPr>
              <w:t> </w:t>
            </w:r>
            <w:r>
              <w:rPr>
                <w:b/>
                <w:spacing w:val="-2"/>
                <w:sz w:val="18"/>
              </w:rPr>
              <w:t>permits</w:t>
            </w:r>
          </w:p>
        </w:tc>
        <w:tc>
          <w:tcPr>
            <w:tcW w:w="2155" w:type="dxa"/>
            <w:tcBorders>
              <w:left w:val="nil"/>
              <w:right w:val="nil"/>
            </w:tcBorders>
          </w:tcPr>
          <w:p>
            <w:pPr>
              <w:pStyle w:val="TableParagraph"/>
              <w:spacing w:before="42"/>
              <w:ind w:left="134"/>
              <w:jc w:val="center"/>
              <w:rPr>
                <w:sz w:val="18"/>
              </w:rPr>
            </w:pPr>
            <w:r>
              <w:rPr>
                <w:spacing w:val="-2"/>
                <w:sz w:val="18"/>
              </w:rPr>
              <w:t>Recreational</w:t>
            </w:r>
          </w:p>
        </w:tc>
        <w:tc>
          <w:tcPr>
            <w:tcW w:w="2698" w:type="dxa"/>
            <w:tcBorders>
              <w:left w:val="nil"/>
            </w:tcBorders>
          </w:tcPr>
          <w:p>
            <w:pPr>
              <w:pStyle w:val="TableParagraph"/>
              <w:spacing w:line="207" w:lineRule="exact" w:before="42"/>
              <w:ind w:left="364" w:right="120"/>
              <w:jc w:val="center"/>
              <w:rPr>
                <w:sz w:val="18"/>
              </w:rPr>
            </w:pPr>
            <w:r>
              <w:rPr>
                <w:spacing w:val="-4"/>
                <w:sz w:val="18"/>
              </w:rPr>
              <w:t>Wild</w:t>
            </w:r>
          </w:p>
          <w:p>
            <w:pPr>
              <w:pStyle w:val="TableParagraph"/>
              <w:spacing w:before="0"/>
              <w:ind w:left="364" w:right="117"/>
              <w:jc w:val="center"/>
              <w:rPr>
                <w:sz w:val="18"/>
              </w:rPr>
            </w:pPr>
            <w:r>
              <w:rPr>
                <w:sz w:val="18"/>
              </w:rPr>
              <w:t>(May</w:t>
            </w:r>
            <w:r>
              <w:rPr>
                <w:spacing w:val="-12"/>
                <w:sz w:val="18"/>
              </w:rPr>
              <w:t> </w:t>
            </w:r>
            <w:r>
              <w:rPr>
                <w:sz w:val="18"/>
              </w:rPr>
              <w:t>not</w:t>
            </w:r>
            <w:r>
              <w:rPr>
                <w:spacing w:val="-12"/>
                <w:sz w:val="18"/>
              </w:rPr>
              <w:t> </w:t>
            </w:r>
            <w:r>
              <w:rPr>
                <w:sz w:val="18"/>
              </w:rPr>
              <w:t>authorize</w:t>
            </w:r>
            <w:r>
              <w:rPr>
                <w:spacing w:val="-12"/>
                <w:sz w:val="18"/>
              </w:rPr>
              <w:t> </w:t>
            </w:r>
            <w:r>
              <w:rPr>
                <w:sz w:val="18"/>
              </w:rPr>
              <w:t>except for outfitter and guide </w:t>
            </w:r>
            <w:r>
              <w:rPr>
                <w:spacing w:val="-2"/>
                <w:sz w:val="18"/>
              </w:rPr>
              <w:t>permits)</w:t>
            </w:r>
          </w:p>
        </w:tc>
      </w:tr>
      <w:tr>
        <w:trPr>
          <w:trHeight w:val="287" w:hRule="atLeast"/>
        </w:trPr>
        <w:tc>
          <w:tcPr>
            <w:tcW w:w="3696"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r>
        <w:trPr>
          <w:trHeight w:val="287" w:hRule="atLeast"/>
        </w:trPr>
        <w:tc>
          <w:tcPr>
            <w:tcW w:w="3696" w:type="dxa"/>
            <w:tcBorders>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155" w:type="dxa"/>
            <w:tcBorders>
              <w:left w:val="nil"/>
              <w:right w:val="nil"/>
            </w:tcBorders>
          </w:tcPr>
          <w:p>
            <w:pPr>
              <w:pStyle w:val="TableParagraph"/>
              <w:spacing w:before="0"/>
              <w:rPr>
                <w:rFonts w:ascii="Times New Roman"/>
                <w:sz w:val="18"/>
              </w:rPr>
            </w:pPr>
          </w:p>
        </w:tc>
        <w:tc>
          <w:tcPr>
            <w:tcW w:w="2698" w:type="dxa"/>
            <w:tcBorders>
              <w:left w:val="nil"/>
            </w:tcBorders>
          </w:tcPr>
          <w:p>
            <w:pPr>
              <w:pStyle w:val="TableParagraph"/>
              <w:ind w:left="364" w:right="117"/>
              <w:jc w:val="center"/>
              <w:rPr>
                <w:sz w:val="18"/>
              </w:rPr>
            </w:pPr>
            <w:r>
              <w:rPr>
                <w:sz w:val="18"/>
              </w:rPr>
              <w:t>Recreational</w:t>
            </w:r>
            <w:r>
              <w:rPr>
                <w:spacing w:val="-3"/>
                <w:sz w:val="18"/>
              </w:rPr>
              <w:t> </w:t>
            </w:r>
            <w:r>
              <w:rPr>
                <w:sz w:val="18"/>
              </w:rPr>
              <w:t>and</w:t>
            </w:r>
            <w:r>
              <w:rPr>
                <w:spacing w:val="-8"/>
                <w:sz w:val="18"/>
              </w:rPr>
              <w:t> </w:t>
            </w:r>
            <w:r>
              <w:rPr>
                <w:spacing w:val="-4"/>
                <w:sz w:val="18"/>
              </w:rPr>
              <w:t>Wild</w:t>
            </w:r>
          </w:p>
        </w:tc>
      </w:tr>
      <w:tr>
        <w:trPr>
          <w:trHeight w:val="287" w:hRule="atLeast"/>
        </w:trPr>
        <w:tc>
          <w:tcPr>
            <w:tcW w:w="3696" w:type="dxa"/>
            <w:tcBorders>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155" w:type="dxa"/>
            <w:tcBorders>
              <w:left w:val="nil"/>
              <w:right w:val="nil"/>
            </w:tcBorders>
          </w:tcPr>
          <w:p>
            <w:pPr>
              <w:pStyle w:val="TableParagraph"/>
              <w:ind w:left="134"/>
              <w:jc w:val="center"/>
              <w:rPr>
                <w:sz w:val="18"/>
              </w:rPr>
            </w:pPr>
            <w:r>
              <w:rPr>
                <w:spacing w:val="-2"/>
                <w:sz w:val="18"/>
              </w:rPr>
              <w:t>Recreational</w:t>
            </w:r>
          </w:p>
        </w:tc>
        <w:tc>
          <w:tcPr>
            <w:tcW w:w="2698" w:type="dxa"/>
            <w:tcBorders>
              <w:left w:val="nil"/>
            </w:tcBorders>
          </w:tcPr>
          <w:p>
            <w:pPr>
              <w:pStyle w:val="TableParagraph"/>
              <w:ind w:left="364" w:right="119"/>
              <w:jc w:val="center"/>
              <w:rPr>
                <w:sz w:val="18"/>
              </w:rPr>
            </w:pPr>
            <w:r>
              <w:rPr>
                <w:spacing w:val="-4"/>
                <w:sz w:val="18"/>
              </w:rPr>
              <w:t>Wild</w:t>
            </w:r>
          </w:p>
        </w:tc>
      </w:tr>
    </w:tbl>
    <w:p>
      <w:pPr>
        <w:pStyle w:val="TableParagraph"/>
        <w:spacing w:after="0"/>
        <w:jc w:val="center"/>
        <w:rPr>
          <w:sz w:val="18"/>
        </w:rPr>
        <w:sectPr>
          <w:pgSz w:w="12240" w:h="15840"/>
          <w:pgMar w:header="725" w:footer="891" w:top="960" w:bottom="1080" w:left="1080" w:right="720"/>
        </w:sectPr>
      </w:pPr>
    </w:p>
    <w:p>
      <w:pPr>
        <w:pStyle w:val="BodyText"/>
        <w:spacing w:before="223"/>
        <w:rPr>
          <w:rFonts w:ascii="Arial"/>
          <w:b/>
        </w:rPr>
      </w:pPr>
    </w:p>
    <w:p>
      <w:pPr>
        <w:pStyle w:val="Heading3"/>
        <w:ind w:left="360"/>
      </w:pPr>
      <w:bookmarkStart w:name="Wilderness – Congressionally Designated " w:id="841"/>
      <w:bookmarkEnd w:id="841"/>
      <w:r>
        <w:rPr>
          <w:b w:val="0"/>
        </w:rPr>
      </w:r>
      <w:bookmarkStart w:name="_bookmark256" w:id="842"/>
      <w:bookmarkEnd w:id="842"/>
      <w:r>
        <w:rPr>
          <w:b w:val="0"/>
        </w:rPr>
      </w:r>
      <w:r>
        <w:rPr>
          <w:smallCaps/>
          <w:color w:val="475824"/>
        </w:rPr>
        <w:t>Wilderness</w:t>
      </w:r>
      <w:r>
        <w:rPr>
          <w:smallCaps/>
          <w:color w:val="475824"/>
          <w:spacing w:val="-17"/>
        </w:rPr>
        <w:t> </w:t>
      </w:r>
      <w:r>
        <w:rPr>
          <w:smallCaps/>
          <w:color w:val="475824"/>
        </w:rPr>
        <w:t>–</w:t>
      </w:r>
      <w:r>
        <w:rPr>
          <w:smallCaps/>
          <w:color w:val="475824"/>
          <w:spacing w:val="-15"/>
        </w:rPr>
        <w:t> </w:t>
      </w:r>
      <w:r>
        <w:rPr>
          <w:smallCaps/>
          <w:color w:val="475824"/>
        </w:rPr>
        <w:t>Congressionally</w:t>
      </w:r>
      <w:r>
        <w:rPr>
          <w:smallCaps/>
          <w:color w:val="475824"/>
          <w:spacing w:val="-9"/>
        </w:rPr>
        <w:t> </w:t>
      </w:r>
      <w:r>
        <w:rPr>
          <w:smallCaps/>
          <w:color w:val="475824"/>
        </w:rPr>
        <w:t>Designated</w:t>
      </w:r>
      <w:r>
        <w:rPr>
          <w:smallCaps/>
          <w:color w:val="475824"/>
          <w:spacing w:val="-8"/>
        </w:rPr>
        <w:t> </w:t>
      </w:r>
      <w:r>
        <w:rPr>
          <w:smallCaps/>
          <w:color w:val="475824"/>
          <w:spacing w:val="-2"/>
        </w:rPr>
        <w:t>(WCD)</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31872">
                <wp:simplePos x="0" y="0"/>
                <wp:positionH relativeFrom="page">
                  <wp:posOffset>1124711</wp:posOffset>
                </wp:positionH>
                <wp:positionV relativeFrom="paragraph">
                  <wp:posOffset>75150</wp:posOffset>
                </wp:positionV>
                <wp:extent cx="5248910" cy="1024255"/>
                <wp:effectExtent l="0" t="0" r="0" b="0"/>
                <wp:wrapTopAndBottom/>
                <wp:docPr id="222" name="Textbox 222"/>
                <wp:cNvGraphicFramePr>
                  <a:graphicFrameLocks/>
                </wp:cNvGraphicFramePr>
                <a:graphic>
                  <a:graphicData uri="http://schemas.microsoft.com/office/word/2010/wordprocessingShape">
                    <wps:wsp>
                      <wps:cNvPr id="222" name="Textbox 222"/>
                      <wps:cNvSpPr txBox="1"/>
                      <wps:spPr>
                        <a:xfrm>
                          <a:off x="0" y="0"/>
                          <a:ext cx="5248910" cy="1024255"/>
                        </a:xfrm>
                        <a:prstGeom prst="rect">
                          <a:avLst/>
                        </a:prstGeom>
                        <a:solidFill>
                          <a:srgbClr val="DFDFDF"/>
                        </a:solidFill>
                      </wps:spPr>
                      <wps:txbx>
                        <w:txbxContent>
                          <w:p>
                            <w:pPr>
                              <w:pStyle w:val="BodyText"/>
                              <w:ind w:left="28"/>
                              <w:rPr>
                                <w:color w:val="000000"/>
                              </w:rPr>
                            </w:pPr>
                            <w:r>
                              <w:rPr>
                                <w:color w:val="000000"/>
                              </w:rPr>
                              <w:t>The</w:t>
                            </w:r>
                            <w:r>
                              <w:rPr>
                                <w:color w:val="000000"/>
                                <w:spacing w:val="-2"/>
                              </w:rPr>
                              <w:t> </w:t>
                            </w:r>
                            <w:r>
                              <w:rPr>
                                <w:color w:val="000000"/>
                              </w:rPr>
                              <w:t>Colville</w:t>
                            </w:r>
                            <w:r>
                              <w:rPr>
                                <w:color w:val="000000"/>
                                <w:spacing w:val="-4"/>
                              </w:rPr>
                              <w:t> </w:t>
                            </w:r>
                            <w:r>
                              <w:rPr>
                                <w:color w:val="000000"/>
                              </w:rPr>
                              <w:t>National</w:t>
                            </w:r>
                            <w:r>
                              <w:rPr>
                                <w:color w:val="000000"/>
                                <w:spacing w:val="-3"/>
                              </w:rPr>
                              <w:t> </w:t>
                            </w:r>
                            <w:r>
                              <w:rPr>
                                <w:color w:val="000000"/>
                              </w:rPr>
                              <w:t>Forest</w:t>
                            </w:r>
                            <w:r>
                              <w:rPr>
                                <w:color w:val="000000"/>
                                <w:spacing w:val="-4"/>
                              </w:rPr>
                              <w:t> </w:t>
                            </w:r>
                            <w:r>
                              <w:rPr>
                                <w:color w:val="000000"/>
                              </w:rPr>
                              <w:t>has</w:t>
                            </w:r>
                            <w:r>
                              <w:rPr>
                                <w:color w:val="000000"/>
                                <w:spacing w:val="-3"/>
                              </w:rPr>
                              <w:t> </w:t>
                            </w:r>
                            <w:r>
                              <w:rPr>
                                <w:color w:val="000000"/>
                              </w:rPr>
                              <w:t>one</w:t>
                            </w:r>
                            <w:r>
                              <w:rPr>
                                <w:color w:val="000000"/>
                                <w:spacing w:val="-4"/>
                              </w:rPr>
                              <w:t> </w:t>
                            </w:r>
                            <w:r>
                              <w:rPr>
                                <w:color w:val="000000"/>
                              </w:rPr>
                              <w:t>wilderness</w:t>
                            </w:r>
                            <w:r>
                              <w:rPr>
                                <w:color w:val="000000"/>
                                <w:spacing w:val="-3"/>
                              </w:rPr>
                              <w:t> </w:t>
                            </w:r>
                            <w:r>
                              <w:rPr>
                                <w:color w:val="000000"/>
                              </w:rPr>
                              <w:t>area,</w:t>
                            </w:r>
                            <w:r>
                              <w:rPr>
                                <w:color w:val="000000"/>
                                <w:spacing w:val="-4"/>
                              </w:rPr>
                              <w:t> </w:t>
                            </w:r>
                            <w:r>
                              <w:rPr>
                                <w:color w:val="000000"/>
                              </w:rPr>
                              <w:t>the</w:t>
                            </w:r>
                            <w:r>
                              <w:rPr>
                                <w:color w:val="000000"/>
                                <w:spacing w:val="-2"/>
                              </w:rPr>
                              <w:t> </w:t>
                            </w:r>
                            <w:r>
                              <w:rPr>
                                <w:color w:val="000000"/>
                              </w:rPr>
                              <w:t>Salmo-Priest.</w:t>
                            </w:r>
                            <w:r>
                              <w:rPr>
                                <w:color w:val="000000"/>
                                <w:spacing w:val="-5"/>
                              </w:rPr>
                              <w:t> </w:t>
                            </w:r>
                            <w:r>
                              <w:rPr>
                                <w:color w:val="000000"/>
                              </w:rPr>
                              <w:t>Wilderness</w:t>
                            </w:r>
                            <w:r>
                              <w:rPr>
                                <w:color w:val="000000"/>
                                <w:spacing w:val="-3"/>
                              </w:rPr>
                              <w:t> </w:t>
                            </w:r>
                            <w:r>
                              <w:rPr>
                                <w:color w:val="000000"/>
                              </w:rPr>
                              <w:t>areas</w:t>
                            </w:r>
                            <w:r>
                              <w:rPr>
                                <w:color w:val="000000"/>
                                <w:spacing w:val="-4"/>
                              </w:rPr>
                              <w:t> </w:t>
                            </w:r>
                            <w:r>
                              <w:rPr>
                                <w:color w:val="000000"/>
                              </w:rPr>
                              <w:t>are zoned using the Wilderness Resource Spectrum: pristine, primitive, semi-primitive and transition zones offer the spectrum of experiential and bio/physical settings typically found in wilderness.</w:t>
                            </w:r>
                            <w:r>
                              <w:rPr>
                                <w:color w:val="000000"/>
                                <w:spacing w:val="-1"/>
                              </w:rPr>
                              <w:t> </w:t>
                            </w:r>
                            <w:r>
                              <w:rPr>
                                <w:color w:val="000000"/>
                              </w:rPr>
                              <w:t>Due to the size, complexity, and use patterns of the Salmo-Priest</w:t>
                            </w:r>
                            <w:r>
                              <w:rPr>
                                <w:color w:val="000000"/>
                                <w:spacing w:val="-2"/>
                              </w:rPr>
                              <w:t> </w:t>
                            </w:r>
                            <w:r>
                              <w:rPr>
                                <w:color w:val="000000"/>
                              </w:rPr>
                              <w:t>Wilderness, the area administered by the Colville National Forest is designated as primitive and semi- primitive in the Wilderness Resource Spectrum (see appendix F).</w:t>
                            </w:r>
                          </w:p>
                        </w:txbxContent>
                      </wps:txbx>
                      <wps:bodyPr wrap="square" lIns="0" tIns="0" rIns="0" bIns="0" rtlCol="0">
                        <a:noAutofit/>
                      </wps:bodyPr>
                    </wps:wsp>
                  </a:graphicData>
                </a:graphic>
              </wp:anchor>
            </w:drawing>
          </mc:Choice>
          <mc:Fallback>
            <w:pict>
              <v:shape style="position:absolute;margin-left:88.559998pt;margin-top:5.917393pt;width:413.3pt;height:80.650pt;mso-position-horizontal-relative:page;mso-position-vertical-relative:paragraph;z-index:-15684608;mso-wrap-distance-left:0;mso-wrap-distance-right:0" type="#_x0000_t202" id="docshape210" filled="true" fillcolor="#dfdfdf" stroked="false">
                <v:textbox inset="0,0,0,0">
                  <w:txbxContent>
                    <w:p>
                      <w:pPr>
                        <w:pStyle w:val="BodyText"/>
                        <w:ind w:left="28"/>
                        <w:rPr>
                          <w:color w:val="000000"/>
                        </w:rPr>
                      </w:pPr>
                      <w:r>
                        <w:rPr>
                          <w:color w:val="000000"/>
                        </w:rPr>
                        <w:t>The</w:t>
                      </w:r>
                      <w:r>
                        <w:rPr>
                          <w:color w:val="000000"/>
                          <w:spacing w:val="-2"/>
                        </w:rPr>
                        <w:t> </w:t>
                      </w:r>
                      <w:r>
                        <w:rPr>
                          <w:color w:val="000000"/>
                        </w:rPr>
                        <w:t>Colville</w:t>
                      </w:r>
                      <w:r>
                        <w:rPr>
                          <w:color w:val="000000"/>
                          <w:spacing w:val="-4"/>
                        </w:rPr>
                        <w:t> </w:t>
                      </w:r>
                      <w:r>
                        <w:rPr>
                          <w:color w:val="000000"/>
                        </w:rPr>
                        <w:t>National</w:t>
                      </w:r>
                      <w:r>
                        <w:rPr>
                          <w:color w:val="000000"/>
                          <w:spacing w:val="-3"/>
                        </w:rPr>
                        <w:t> </w:t>
                      </w:r>
                      <w:r>
                        <w:rPr>
                          <w:color w:val="000000"/>
                        </w:rPr>
                        <w:t>Forest</w:t>
                      </w:r>
                      <w:r>
                        <w:rPr>
                          <w:color w:val="000000"/>
                          <w:spacing w:val="-4"/>
                        </w:rPr>
                        <w:t> </w:t>
                      </w:r>
                      <w:r>
                        <w:rPr>
                          <w:color w:val="000000"/>
                        </w:rPr>
                        <w:t>has</w:t>
                      </w:r>
                      <w:r>
                        <w:rPr>
                          <w:color w:val="000000"/>
                          <w:spacing w:val="-3"/>
                        </w:rPr>
                        <w:t> </w:t>
                      </w:r>
                      <w:r>
                        <w:rPr>
                          <w:color w:val="000000"/>
                        </w:rPr>
                        <w:t>one</w:t>
                      </w:r>
                      <w:r>
                        <w:rPr>
                          <w:color w:val="000000"/>
                          <w:spacing w:val="-4"/>
                        </w:rPr>
                        <w:t> </w:t>
                      </w:r>
                      <w:r>
                        <w:rPr>
                          <w:color w:val="000000"/>
                        </w:rPr>
                        <w:t>wilderness</w:t>
                      </w:r>
                      <w:r>
                        <w:rPr>
                          <w:color w:val="000000"/>
                          <w:spacing w:val="-3"/>
                        </w:rPr>
                        <w:t> </w:t>
                      </w:r>
                      <w:r>
                        <w:rPr>
                          <w:color w:val="000000"/>
                        </w:rPr>
                        <w:t>area,</w:t>
                      </w:r>
                      <w:r>
                        <w:rPr>
                          <w:color w:val="000000"/>
                          <w:spacing w:val="-4"/>
                        </w:rPr>
                        <w:t> </w:t>
                      </w:r>
                      <w:r>
                        <w:rPr>
                          <w:color w:val="000000"/>
                        </w:rPr>
                        <w:t>the</w:t>
                      </w:r>
                      <w:r>
                        <w:rPr>
                          <w:color w:val="000000"/>
                          <w:spacing w:val="-2"/>
                        </w:rPr>
                        <w:t> </w:t>
                      </w:r>
                      <w:r>
                        <w:rPr>
                          <w:color w:val="000000"/>
                        </w:rPr>
                        <w:t>Salmo-Priest.</w:t>
                      </w:r>
                      <w:r>
                        <w:rPr>
                          <w:color w:val="000000"/>
                          <w:spacing w:val="-5"/>
                        </w:rPr>
                        <w:t> </w:t>
                      </w:r>
                      <w:r>
                        <w:rPr>
                          <w:color w:val="000000"/>
                        </w:rPr>
                        <w:t>Wilderness</w:t>
                      </w:r>
                      <w:r>
                        <w:rPr>
                          <w:color w:val="000000"/>
                          <w:spacing w:val="-3"/>
                        </w:rPr>
                        <w:t> </w:t>
                      </w:r>
                      <w:r>
                        <w:rPr>
                          <w:color w:val="000000"/>
                        </w:rPr>
                        <w:t>areas</w:t>
                      </w:r>
                      <w:r>
                        <w:rPr>
                          <w:color w:val="000000"/>
                          <w:spacing w:val="-4"/>
                        </w:rPr>
                        <w:t> </w:t>
                      </w:r>
                      <w:r>
                        <w:rPr>
                          <w:color w:val="000000"/>
                        </w:rPr>
                        <w:t>are zoned using the Wilderness Resource Spectrum: pristine, primitive, semi-primitive and transition zones offer the spectrum of experiential and bio/physical settings typically found in wilderness.</w:t>
                      </w:r>
                      <w:r>
                        <w:rPr>
                          <w:color w:val="000000"/>
                          <w:spacing w:val="-1"/>
                        </w:rPr>
                        <w:t> </w:t>
                      </w:r>
                      <w:r>
                        <w:rPr>
                          <w:color w:val="000000"/>
                        </w:rPr>
                        <w:t>Due to the size, complexity, and use patterns of the Salmo-Priest</w:t>
                      </w:r>
                      <w:r>
                        <w:rPr>
                          <w:color w:val="000000"/>
                          <w:spacing w:val="-2"/>
                        </w:rPr>
                        <w:t> </w:t>
                      </w:r>
                      <w:r>
                        <w:rPr>
                          <w:color w:val="000000"/>
                        </w:rPr>
                        <w:t>Wilderness, the area administered by the Colville National Forest is designated as primitive and semi- primitive in the Wilderness Resource Spectrum (see appendix F).</w:t>
                      </w:r>
                    </w:p>
                  </w:txbxContent>
                </v:textbox>
                <v:fill type="solid"/>
                <w10:wrap type="topAndBottom"/>
              </v:shape>
            </w:pict>
          </mc:Fallback>
        </mc:AlternateContent>
      </w:r>
    </w:p>
    <w:p>
      <w:pPr>
        <w:pStyle w:val="BodyText"/>
        <w:spacing w:before="152"/>
        <w:rPr>
          <w:rFonts w:ascii="Arial"/>
          <w:b/>
          <w:sz w:val="18"/>
        </w:rPr>
      </w:pPr>
    </w:p>
    <w:p>
      <w:pPr>
        <w:spacing w:before="0" w:after="41"/>
        <w:ind w:left="720" w:right="0" w:firstLine="0"/>
        <w:jc w:val="left"/>
        <w:rPr>
          <w:rFonts w:ascii="Arial"/>
          <w:b/>
          <w:sz w:val="18"/>
        </w:rPr>
      </w:pPr>
      <w:bookmarkStart w:name="_bookmark257" w:id="843"/>
      <w:bookmarkEnd w:id="843"/>
      <w:r>
        <w:rPr/>
      </w:r>
      <w:r>
        <w:rPr>
          <w:rFonts w:ascii="Arial"/>
          <w:b/>
          <w:sz w:val="18"/>
        </w:rPr>
        <w:t>Table</w:t>
      </w:r>
      <w:r>
        <w:rPr>
          <w:rFonts w:ascii="Arial"/>
          <w:b/>
          <w:spacing w:val="-5"/>
          <w:sz w:val="18"/>
        </w:rPr>
        <w:t> </w:t>
      </w:r>
      <w:r>
        <w:rPr>
          <w:rFonts w:ascii="Arial"/>
          <w:b/>
          <w:sz w:val="18"/>
        </w:rPr>
        <w:t>33.</w:t>
      </w:r>
      <w:r>
        <w:rPr>
          <w:rFonts w:ascii="Arial"/>
          <w:b/>
          <w:spacing w:val="-3"/>
          <w:sz w:val="18"/>
        </w:rPr>
        <w:t> </w:t>
      </w:r>
      <w:r>
        <w:rPr>
          <w:rFonts w:ascii="Arial"/>
          <w:b/>
          <w:sz w:val="18"/>
        </w:rPr>
        <w:t>Congressionally</w:t>
      </w:r>
      <w:r>
        <w:rPr>
          <w:rFonts w:ascii="Arial"/>
          <w:b/>
          <w:spacing w:val="-11"/>
          <w:sz w:val="18"/>
        </w:rPr>
        <w:t> </w:t>
      </w:r>
      <w:r>
        <w:rPr>
          <w:rFonts w:ascii="Arial"/>
          <w:b/>
          <w:sz w:val="18"/>
        </w:rPr>
        <w:t>designated</w:t>
      </w:r>
      <w:r>
        <w:rPr>
          <w:rFonts w:ascii="Arial"/>
          <w:b/>
          <w:spacing w:val="-4"/>
          <w:sz w:val="18"/>
        </w:rPr>
        <w:t> </w:t>
      </w:r>
      <w:r>
        <w:rPr>
          <w:rFonts w:ascii="Arial"/>
          <w:b/>
          <w:sz w:val="18"/>
        </w:rPr>
        <w:t>wilderness</w:t>
      </w:r>
      <w:r>
        <w:rPr>
          <w:rFonts w:ascii="Arial"/>
          <w:b/>
          <w:spacing w:val="-5"/>
          <w:sz w:val="18"/>
        </w:rPr>
        <w:t> </w:t>
      </w:r>
      <w:r>
        <w:rPr>
          <w:rFonts w:ascii="Arial"/>
          <w:b/>
          <w:sz w:val="18"/>
        </w:rPr>
        <w:t>area</w:t>
      </w:r>
      <w:r>
        <w:rPr>
          <w:rFonts w:ascii="Arial"/>
          <w:b/>
          <w:spacing w:val="-3"/>
          <w:sz w:val="18"/>
        </w:rPr>
        <w:t> </w:t>
      </w:r>
      <w:r>
        <w:rPr>
          <w:rFonts w:ascii="Arial"/>
          <w:b/>
          <w:sz w:val="18"/>
        </w:rPr>
        <w:t>in</w:t>
      </w:r>
      <w:r>
        <w:rPr>
          <w:rFonts w:ascii="Arial"/>
          <w:b/>
          <w:spacing w:val="-4"/>
          <w:sz w:val="18"/>
        </w:rPr>
        <w:t> </w:t>
      </w:r>
      <w:r>
        <w:rPr>
          <w:rFonts w:ascii="Arial"/>
          <w:b/>
          <w:sz w:val="18"/>
        </w:rPr>
        <w:t>Colville</w:t>
      </w:r>
      <w:r>
        <w:rPr>
          <w:rFonts w:ascii="Arial"/>
          <w:b/>
          <w:spacing w:val="-2"/>
          <w:sz w:val="18"/>
        </w:rPr>
        <w:t> </w:t>
      </w:r>
      <w:r>
        <w:rPr>
          <w:rFonts w:ascii="Arial"/>
          <w:b/>
          <w:sz w:val="18"/>
        </w:rPr>
        <w:t>National</w:t>
      </w:r>
      <w:r>
        <w:rPr>
          <w:rFonts w:ascii="Arial"/>
          <w:b/>
          <w:spacing w:val="-2"/>
          <w:sz w:val="18"/>
        </w:rPr>
        <w:t> Forest</w:t>
      </w:r>
    </w:p>
    <w:tbl>
      <w:tblPr>
        <w:tblW w:w="0" w:type="auto"/>
        <w:jc w:val="left"/>
        <w:tblInd w:w="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24"/>
        <w:gridCol w:w="2680"/>
        <w:gridCol w:w="1240"/>
        <w:gridCol w:w="2368"/>
      </w:tblGrid>
      <w:tr>
        <w:trPr>
          <w:trHeight w:val="493" w:hRule="atLeast"/>
        </w:trPr>
        <w:tc>
          <w:tcPr>
            <w:tcW w:w="1924" w:type="dxa"/>
            <w:tcBorders>
              <w:top w:val="single" w:sz="8" w:space="0" w:color="9BBA58"/>
              <w:left w:val="single" w:sz="8" w:space="0" w:color="9BBA58"/>
            </w:tcBorders>
            <w:shd w:val="clear" w:color="auto" w:fill="D5E2BB"/>
          </w:tcPr>
          <w:p>
            <w:pPr>
              <w:pStyle w:val="TableParagraph"/>
              <w:spacing w:before="142"/>
              <w:ind w:left="68" w:right="2"/>
              <w:jc w:val="center"/>
              <w:rPr>
                <w:b/>
                <w:sz w:val="18"/>
              </w:rPr>
            </w:pPr>
            <w:r>
              <w:rPr>
                <w:b/>
                <w:sz w:val="18"/>
              </w:rPr>
              <mc:AlternateContent>
                <mc:Choice Requires="wps">
                  <w:drawing>
                    <wp:anchor distT="0" distB="0" distL="0" distR="0" allowOverlap="1" layoutInCell="1" locked="0" behindDoc="1" simplePos="0" relativeHeight="474289152">
                      <wp:simplePos x="0" y="0"/>
                      <wp:positionH relativeFrom="column">
                        <wp:posOffset>-6095</wp:posOffset>
                      </wp:positionH>
                      <wp:positionV relativeFrom="paragraph">
                        <wp:posOffset>313193</wp:posOffset>
                      </wp:positionV>
                      <wp:extent cx="3731260" cy="6350"/>
                      <wp:effectExtent l="0" t="0" r="0" b="0"/>
                      <wp:wrapNone/>
                      <wp:docPr id="223" name="Group 223"/>
                      <wp:cNvGraphicFramePr>
                        <a:graphicFrameLocks/>
                      </wp:cNvGraphicFramePr>
                      <a:graphic>
                        <a:graphicData uri="http://schemas.microsoft.com/office/word/2010/wordprocessingGroup">
                          <wpg:wgp>
                            <wpg:cNvPr id="223" name="Group 223"/>
                            <wpg:cNvGrpSpPr/>
                            <wpg:grpSpPr>
                              <a:xfrm>
                                <a:off x="0" y="0"/>
                                <a:ext cx="3731260" cy="6350"/>
                                <a:chExt cx="3731260" cy="6350"/>
                              </a:xfrm>
                            </wpg:grpSpPr>
                            <pic:pic>
                              <pic:nvPicPr>
                                <pic:cNvPr id="224" name="Image 224"/>
                                <pic:cNvPicPr/>
                              </pic:nvPicPr>
                              <pic:blipFill>
                                <a:blip r:embed="rId61" cstate="print"/>
                                <a:stretch>
                                  <a:fillRect/>
                                </a:stretch>
                              </pic:blipFill>
                              <pic:spPr>
                                <a:xfrm>
                                  <a:off x="0" y="0"/>
                                  <a:ext cx="3723131" cy="6108"/>
                                </a:xfrm>
                                <a:prstGeom prst="rect">
                                  <a:avLst/>
                                </a:prstGeom>
                              </pic:spPr>
                            </pic:pic>
                            <wps:wsp>
                              <wps:cNvPr id="225" name="Graphic 225"/>
                              <wps:cNvSpPr/>
                              <wps:spPr>
                                <a:xfrm>
                                  <a:off x="3723894" y="12"/>
                                  <a:ext cx="1270" cy="6350"/>
                                </a:xfrm>
                                <a:custGeom>
                                  <a:avLst/>
                                  <a:gdLst/>
                                  <a:ahLst/>
                                  <a:cxnLst/>
                                  <a:rect l="l" t="t" r="r" b="b"/>
                                  <a:pathLst>
                                    <a:path w="0" h="6350">
                                      <a:moveTo>
                                        <a:pt x="0" y="6096"/>
                                      </a:moveTo>
                                      <a:lnTo>
                                        <a:pt x="0" y="0"/>
                                      </a:lnTo>
                                    </a:path>
                                  </a:pathLst>
                                </a:custGeom>
                                <a:ln w="1523">
                                  <a:solidFill>
                                    <a:srgbClr val="9ABA58"/>
                                  </a:solidFill>
                                  <a:prstDash val="solid"/>
                                </a:ln>
                              </wps:spPr>
                              <wps:bodyPr wrap="square" lIns="0" tIns="0" rIns="0" bIns="0" rtlCol="0">
                                <a:prstTxWarp prst="textNoShape">
                                  <a:avLst/>
                                </a:prstTxWarp>
                                <a:noAutofit/>
                              </wps:bodyPr>
                            </wps:wsp>
                            <wps:wsp>
                              <wps:cNvPr id="226" name="Graphic 226"/>
                              <wps:cNvSpPr/>
                              <wps:spPr>
                                <a:xfrm>
                                  <a:off x="3727703" y="12"/>
                                  <a:ext cx="1270" cy="6350"/>
                                </a:xfrm>
                                <a:custGeom>
                                  <a:avLst/>
                                  <a:gdLst/>
                                  <a:ahLst/>
                                  <a:cxnLst/>
                                  <a:rect l="l" t="t" r="r" b="b"/>
                                  <a:pathLst>
                                    <a:path w="0" h="6350">
                                      <a:moveTo>
                                        <a:pt x="0" y="6096"/>
                                      </a:moveTo>
                                      <a:lnTo>
                                        <a:pt x="0" y="0"/>
                                      </a:lnTo>
                                    </a:path>
                                  </a:pathLst>
                                </a:custGeom>
                                <a:ln w="6095">
                                  <a:solidFill>
                                    <a:srgbClr val="9ABA5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pt;margin-top:24.660917pt;width:293.8pt;height:.5pt;mso-position-horizontal-relative:column;mso-position-vertical-relative:paragraph;z-index:-29027328" id="docshapegroup211" coordorigin="-10,493" coordsize="5876,10">
                      <v:shape style="position:absolute;left:-10;top:493;width:5864;height:10" type="#_x0000_t75" id="docshape212" stroked="false">
                        <v:imagedata r:id="rId61" o:title=""/>
                      </v:shape>
                      <v:line style="position:absolute" from="5855,503" to="5855,493" stroked="true" strokeweight=".119996pt" strokecolor="#9aba58">
                        <v:stroke dashstyle="solid"/>
                      </v:line>
                      <v:line style="position:absolute" from="5861,503" to="5861,493" stroked="true" strokeweight=".479992pt" strokecolor="#9aba58">
                        <v:stroke dashstyle="solid"/>
                      </v:line>
                      <w10:wrap type="none"/>
                    </v:group>
                  </w:pict>
                </mc:Fallback>
              </mc:AlternateContent>
            </w:r>
            <w:r>
              <w:rPr>
                <w:b/>
                <w:sz w:val="18"/>
              </w:rPr>
              <w:t>Wilderness</w:t>
            </w:r>
            <w:r>
              <w:rPr>
                <w:b/>
                <w:spacing w:val="-2"/>
                <w:sz w:val="18"/>
              </w:rPr>
              <w:t> </w:t>
            </w:r>
            <w:r>
              <w:rPr>
                <w:b/>
                <w:spacing w:val="-4"/>
                <w:sz w:val="18"/>
              </w:rPr>
              <w:t>name</w:t>
            </w:r>
          </w:p>
        </w:tc>
        <w:tc>
          <w:tcPr>
            <w:tcW w:w="2680" w:type="dxa"/>
            <w:tcBorders>
              <w:top w:val="single" w:sz="8" w:space="0" w:color="9BBA58"/>
            </w:tcBorders>
            <w:shd w:val="clear" w:color="auto" w:fill="D5E2BB"/>
          </w:tcPr>
          <w:p>
            <w:pPr>
              <w:pStyle w:val="TableParagraph"/>
              <w:ind w:left="797" w:right="647" w:hanging="82"/>
              <w:rPr>
                <w:b/>
                <w:sz w:val="18"/>
              </w:rPr>
            </w:pPr>
            <w:r>
              <w:rPr>
                <w:b/>
                <w:sz w:val="18"/>
              </w:rPr>
              <w:t>National</w:t>
            </w:r>
            <w:r>
              <w:rPr>
                <w:b/>
                <w:spacing w:val="-13"/>
                <w:sz w:val="18"/>
              </w:rPr>
              <w:t> </w:t>
            </w:r>
            <w:r>
              <w:rPr>
                <w:b/>
                <w:sz w:val="18"/>
              </w:rPr>
              <w:t>Forest </w:t>
            </w:r>
            <w:r>
              <w:rPr>
                <w:b/>
                <w:spacing w:val="-2"/>
                <w:sz w:val="18"/>
              </w:rPr>
              <w:t>administrator</w:t>
            </w:r>
          </w:p>
        </w:tc>
        <w:tc>
          <w:tcPr>
            <w:tcW w:w="1240" w:type="dxa"/>
            <w:tcBorders>
              <w:top w:val="single" w:sz="8" w:space="0" w:color="9BBA58"/>
            </w:tcBorders>
            <w:shd w:val="clear" w:color="auto" w:fill="D5E2BB"/>
          </w:tcPr>
          <w:p>
            <w:pPr>
              <w:pStyle w:val="TableParagraph"/>
              <w:spacing w:before="142"/>
              <w:ind w:left="24" w:right="1"/>
              <w:jc w:val="center"/>
              <w:rPr>
                <w:b/>
                <w:sz w:val="18"/>
              </w:rPr>
            </w:pPr>
            <w:r>
              <w:rPr>
                <w:b/>
                <w:sz w:val="18"/>
              </w:rPr>
              <w:t>Total </w:t>
            </w:r>
            <w:r>
              <w:rPr>
                <w:b/>
                <w:spacing w:val="-2"/>
                <w:sz w:val="18"/>
              </w:rPr>
              <w:t>acres</w:t>
            </w:r>
          </w:p>
        </w:tc>
        <w:tc>
          <w:tcPr>
            <w:tcW w:w="2368" w:type="dxa"/>
            <w:tcBorders>
              <w:top w:val="single" w:sz="8" w:space="0" w:color="9BBA58"/>
              <w:bottom w:val="dotted" w:sz="4" w:space="0" w:color="000000"/>
              <w:right w:val="single" w:sz="8" w:space="0" w:color="9BBA58"/>
            </w:tcBorders>
            <w:shd w:val="clear" w:color="auto" w:fill="D5E2BB"/>
          </w:tcPr>
          <w:p>
            <w:pPr>
              <w:pStyle w:val="TableParagraph"/>
              <w:ind w:left="199" w:hanging="44"/>
              <w:rPr>
                <w:b/>
                <w:sz w:val="18"/>
              </w:rPr>
            </w:pPr>
            <w:r>
              <w:rPr>
                <w:b/>
                <w:sz w:val="18"/>
              </w:rPr>
              <w:t>Percent</w:t>
            </w:r>
            <w:r>
              <w:rPr>
                <w:b/>
                <w:spacing w:val="-15"/>
                <w:sz w:val="18"/>
              </w:rPr>
              <w:t> </w:t>
            </w:r>
            <w:r>
              <w:rPr>
                <w:b/>
                <w:sz w:val="18"/>
              </w:rPr>
              <w:t>administered</w:t>
            </w:r>
            <w:r>
              <w:rPr>
                <w:b/>
                <w:spacing w:val="-12"/>
                <w:sz w:val="18"/>
              </w:rPr>
              <w:t> </w:t>
            </w:r>
            <w:r>
              <w:rPr>
                <w:b/>
                <w:sz w:val="18"/>
              </w:rPr>
              <w:t>by Colville National Forest</w:t>
            </w:r>
          </w:p>
        </w:tc>
      </w:tr>
      <w:tr>
        <w:trPr>
          <w:trHeight w:val="287" w:hRule="atLeast"/>
        </w:trPr>
        <w:tc>
          <w:tcPr>
            <w:tcW w:w="1924" w:type="dxa"/>
            <w:tcBorders>
              <w:left w:val="single" w:sz="8" w:space="0" w:color="9BBA58"/>
              <w:bottom w:val="single" w:sz="8" w:space="0" w:color="9BBA58"/>
            </w:tcBorders>
          </w:tcPr>
          <w:p>
            <w:pPr>
              <w:pStyle w:val="TableParagraph"/>
              <w:ind w:left="68"/>
              <w:jc w:val="center"/>
              <w:rPr>
                <w:b/>
                <w:sz w:val="18"/>
              </w:rPr>
            </w:pPr>
            <w:r>
              <w:rPr>
                <w:b/>
                <w:spacing w:val="-2"/>
                <w:sz w:val="18"/>
              </w:rPr>
              <w:t>Salmo-Priest</w:t>
            </w:r>
          </w:p>
        </w:tc>
        <w:tc>
          <w:tcPr>
            <w:tcW w:w="2680" w:type="dxa"/>
            <w:tcBorders>
              <w:bottom w:val="single" w:sz="8" w:space="0" w:color="9BBA58"/>
            </w:tcBorders>
          </w:tcPr>
          <w:p>
            <w:pPr>
              <w:pStyle w:val="TableParagraph"/>
              <w:ind w:left="202"/>
              <w:rPr>
                <w:sz w:val="18"/>
              </w:rPr>
            </w:pPr>
            <w:r>
              <w:rPr>
                <w:sz w:val="18"/>
              </w:rPr>
              <w:t>Colville</w:t>
            </w:r>
            <w:r>
              <w:rPr>
                <w:spacing w:val="-5"/>
                <w:sz w:val="18"/>
              </w:rPr>
              <w:t> </w:t>
            </w:r>
            <w:r>
              <w:rPr>
                <w:sz w:val="18"/>
              </w:rPr>
              <w:t>and</w:t>
            </w:r>
            <w:r>
              <w:rPr>
                <w:spacing w:val="-4"/>
                <w:sz w:val="18"/>
              </w:rPr>
              <w:t> </w:t>
            </w:r>
            <w:r>
              <w:rPr>
                <w:sz w:val="18"/>
              </w:rPr>
              <w:t>Idaho</w:t>
            </w:r>
            <w:r>
              <w:rPr>
                <w:spacing w:val="-1"/>
                <w:sz w:val="18"/>
              </w:rPr>
              <w:t> </w:t>
            </w:r>
            <w:r>
              <w:rPr>
                <w:spacing w:val="-2"/>
                <w:sz w:val="18"/>
              </w:rPr>
              <w:t>Panhandle</w:t>
            </w:r>
          </w:p>
        </w:tc>
        <w:tc>
          <w:tcPr>
            <w:tcW w:w="1240" w:type="dxa"/>
            <w:tcBorders>
              <w:bottom w:val="single" w:sz="8" w:space="0" w:color="9BBA58"/>
            </w:tcBorders>
          </w:tcPr>
          <w:p>
            <w:pPr>
              <w:pStyle w:val="TableParagraph"/>
              <w:ind w:left="24"/>
              <w:jc w:val="center"/>
              <w:rPr>
                <w:sz w:val="18"/>
              </w:rPr>
            </w:pPr>
            <w:r>
              <w:rPr>
                <w:spacing w:val="-2"/>
                <w:sz w:val="18"/>
              </w:rPr>
              <w:t>43,348</w:t>
            </w:r>
          </w:p>
        </w:tc>
        <w:tc>
          <w:tcPr>
            <w:tcW w:w="2368" w:type="dxa"/>
            <w:tcBorders>
              <w:top w:val="dotted" w:sz="4" w:space="0" w:color="000000"/>
              <w:bottom w:val="single" w:sz="8" w:space="0" w:color="9BBA58"/>
              <w:right w:val="single" w:sz="8" w:space="0" w:color="9BBA58"/>
            </w:tcBorders>
          </w:tcPr>
          <w:p>
            <w:pPr>
              <w:pStyle w:val="TableParagraph"/>
              <w:ind w:left="46"/>
              <w:jc w:val="center"/>
              <w:rPr>
                <w:sz w:val="18"/>
              </w:rPr>
            </w:pPr>
            <w:r>
              <w:rPr>
                <w:spacing w:val="-5"/>
                <w:sz w:val="18"/>
              </w:rPr>
              <w:t>72</w:t>
            </w:r>
          </w:p>
        </w:tc>
      </w:tr>
    </w:tbl>
    <w:p>
      <w:pPr>
        <w:pStyle w:val="BodyText"/>
        <w:rPr>
          <w:rFonts w:ascii="Arial"/>
          <w:b/>
          <w:sz w:val="18"/>
        </w:rPr>
      </w:pPr>
    </w:p>
    <w:p>
      <w:pPr>
        <w:pStyle w:val="BodyText"/>
        <w:spacing w:before="66"/>
        <w:rPr>
          <w:rFonts w:ascii="Arial"/>
          <w:b/>
          <w:sz w:val="18"/>
        </w:rPr>
      </w:pPr>
    </w:p>
    <w:p>
      <w:pPr>
        <w:pStyle w:val="Heading4"/>
        <w:spacing w:before="1"/>
      </w:pPr>
      <w:bookmarkStart w:name="Desired Conditions" w:id="844"/>
      <w:bookmarkEnd w:id="844"/>
      <w:r>
        <w:rPr/>
      </w:r>
      <w:bookmarkStart w:name="_bookmark258" w:id="845"/>
      <w:bookmarkEnd w:id="845"/>
      <w:r>
        <w:rPr/>
      </w:r>
      <w:r>
        <w:rPr/>
        <w:t>Desired</w:t>
      </w:r>
      <w:r>
        <w:rPr>
          <w:spacing w:val="-4"/>
        </w:rPr>
        <w:t> </w:t>
      </w:r>
      <w:r>
        <w:rPr>
          <w:spacing w:val="-2"/>
        </w:rPr>
        <w:t>Conditions</w:t>
      </w:r>
    </w:p>
    <w:p>
      <w:pPr>
        <w:spacing w:before="239"/>
        <w:ind w:left="360" w:right="0" w:firstLine="0"/>
        <w:jc w:val="left"/>
        <w:rPr>
          <w:rFonts w:ascii="Arial"/>
          <w:i/>
          <w:sz w:val="22"/>
        </w:rPr>
      </w:pPr>
      <w:bookmarkStart w:name="MA-DC-WCD-01. Wilderness Character" w:id="846"/>
      <w:bookmarkEnd w:id="846"/>
      <w:r>
        <w:rPr/>
      </w:r>
      <w:r>
        <w:rPr>
          <w:rFonts w:ascii="Arial"/>
          <w:i/>
          <w:sz w:val="22"/>
        </w:rPr>
        <w:t>MA-DC-WCD-01.</w:t>
      </w:r>
      <w:r>
        <w:rPr>
          <w:rFonts w:ascii="Arial"/>
          <w:i/>
          <w:spacing w:val="-13"/>
          <w:sz w:val="22"/>
        </w:rPr>
        <w:t> </w:t>
      </w:r>
      <w:r>
        <w:rPr>
          <w:rFonts w:ascii="Arial"/>
          <w:i/>
          <w:sz w:val="22"/>
        </w:rPr>
        <w:t>Wilderness</w:t>
      </w:r>
      <w:r>
        <w:rPr>
          <w:rFonts w:ascii="Arial"/>
          <w:i/>
          <w:spacing w:val="-9"/>
          <w:sz w:val="22"/>
        </w:rPr>
        <w:t> </w:t>
      </w:r>
      <w:r>
        <w:rPr>
          <w:rFonts w:ascii="Arial"/>
          <w:i/>
          <w:spacing w:val="-2"/>
          <w:sz w:val="22"/>
        </w:rPr>
        <w:t>Character</w:t>
      </w:r>
    </w:p>
    <w:p>
      <w:pPr>
        <w:pStyle w:val="BodyText"/>
        <w:spacing w:line="232" w:lineRule="auto" w:before="65"/>
        <w:ind w:left="360" w:right="1445"/>
      </w:pPr>
      <w:r>
        <w:rPr/>
        <w:t>Visitor</w:t>
      </w:r>
      <w:r>
        <w:rPr>
          <w:spacing w:val="-6"/>
        </w:rPr>
        <w:t> </w:t>
      </w:r>
      <w:r>
        <w:rPr/>
        <w:t>use</w:t>
      </w:r>
      <w:r>
        <w:rPr>
          <w:spacing w:val="-5"/>
        </w:rPr>
        <w:t> </w:t>
      </w:r>
      <w:r>
        <w:rPr/>
        <w:t>does</w:t>
      </w:r>
      <w:r>
        <w:rPr>
          <w:spacing w:val="-6"/>
        </w:rPr>
        <w:t> </w:t>
      </w:r>
      <w:r>
        <w:rPr/>
        <w:t>not</w:t>
      </w:r>
      <w:r>
        <w:rPr>
          <w:spacing w:val="-5"/>
        </w:rPr>
        <w:t> </w:t>
      </w:r>
      <w:r>
        <w:rPr/>
        <w:t>negatively</w:t>
      </w:r>
      <w:r>
        <w:rPr>
          <w:spacing w:val="-7"/>
        </w:rPr>
        <w:t> </w:t>
      </w:r>
      <w:r>
        <w:rPr/>
        <w:t>affect</w:t>
      </w:r>
      <w:r>
        <w:rPr>
          <w:spacing w:val="-7"/>
        </w:rPr>
        <w:t> </w:t>
      </w:r>
      <w:r>
        <w:rPr/>
        <w:t>the</w:t>
      </w:r>
      <w:r>
        <w:rPr>
          <w:spacing w:val="-5"/>
        </w:rPr>
        <w:t> </w:t>
      </w:r>
      <w:r>
        <w:rPr/>
        <w:t>five</w:t>
      </w:r>
      <w:r>
        <w:rPr>
          <w:spacing w:val="-7"/>
        </w:rPr>
        <w:t> </w:t>
      </w:r>
      <w:r>
        <w:rPr/>
        <w:t>qualities</w:t>
      </w:r>
      <w:r>
        <w:rPr>
          <w:spacing w:val="-7"/>
        </w:rPr>
        <w:t> </w:t>
      </w:r>
      <w:r>
        <w:rPr/>
        <w:t>of</w:t>
      </w:r>
      <w:r>
        <w:rPr>
          <w:spacing w:val="-7"/>
        </w:rPr>
        <w:t> </w:t>
      </w:r>
      <w:r>
        <w:rPr/>
        <w:t>wilderness</w:t>
      </w:r>
      <w:r>
        <w:rPr>
          <w:spacing w:val="-7"/>
        </w:rPr>
        <w:t> </w:t>
      </w:r>
      <w:r>
        <w:rPr/>
        <w:t>character</w:t>
      </w:r>
      <w:r>
        <w:rPr>
          <w:spacing w:val="-6"/>
        </w:rPr>
        <w:t> </w:t>
      </w:r>
      <w:r>
        <w:rPr/>
        <w:t>(untramelled, undeveloped, natural, opportunities for solitude or a primitive and unconfined type of recreation) or other features of value.</w:t>
      </w:r>
    </w:p>
    <w:p>
      <w:pPr>
        <w:pStyle w:val="BodyText"/>
        <w:spacing w:before="194"/>
        <w:ind w:left="360"/>
      </w:pPr>
      <w:r>
        <w:rPr/>
        <w:t>Wilderness</w:t>
      </w:r>
      <w:r>
        <w:rPr>
          <w:spacing w:val="-5"/>
        </w:rPr>
        <w:t> </w:t>
      </w:r>
      <w:r>
        <w:rPr/>
        <w:t>boundaries</w:t>
      </w:r>
      <w:r>
        <w:rPr>
          <w:spacing w:val="-5"/>
        </w:rPr>
        <w:t> </w:t>
      </w:r>
      <w:r>
        <w:rPr/>
        <w:t>are</w:t>
      </w:r>
      <w:r>
        <w:rPr>
          <w:spacing w:val="-6"/>
        </w:rPr>
        <w:t> </w:t>
      </w:r>
      <w:r>
        <w:rPr/>
        <w:t>posted</w:t>
      </w:r>
      <w:r>
        <w:rPr>
          <w:spacing w:val="-8"/>
        </w:rPr>
        <w:t> </w:t>
      </w:r>
      <w:r>
        <w:rPr/>
        <w:t>and</w:t>
      </w:r>
      <w:r>
        <w:rPr>
          <w:spacing w:val="-5"/>
        </w:rPr>
        <w:t> </w:t>
      </w:r>
      <w:r>
        <w:rPr/>
        <w:t>visible</w:t>
      </w:r>
      <w:r>
        <w:rPr>
          <w:spacing w:val="-7"/>
        </w:rPr>
        <w:t> </w:t>
      </w:r>
      <w:r>
        <w:rPr/>
        <w:t>to</w:t>
      </w:r>
      <w:r>
        <w:rPr>
          <w:spacing w:val="-5"/>
        </w:rPr>
        <w:t> </w:t>
      </w:r>
      <w:r>
        <w:rPr>
          <w:spacing w:val="-2"/>
        </w:rPr>
        <w:t>visitors.</w:t>
      </w:r>
    </w:p>
    <w:p>
      <w:pPr>
        <w:pStyle w:val="BodyText"/>
        <w:spacing w:line="232" w:lineRule="auto" w:before="196"/>
        <w:ind w:left="359" w:right="1445"/>
      </w:pPr>
      <w:r>
        <w:rPr/>
        <w:t>There are unconfined opportunities for exploration, solitude, risk, and challenge. The non- motorized</w:t>
      </w:r>
      <w:r>
        <w:rPr>
          <w:spacing w:val="-11"/>
        </w:rPr>
        <w:t> </w:t>
      </w:r>
      <w:r>
        <w:rPr/>
        <w:t>and</w:t>
      </w:r>
      <w:r>
        <w:rPr>
          <w:spacing w:val="-11"/>
        </w:rPr>
        <w:t> </w:t>
      </w:r>
      <w:r>
        <w:rPr/>
        <w:t>non-mechanized</w:t>
      </w:r>
      <w:r>
        <w:rPr>
          <w:spacing w:val="-11"/>
        </w:rPr>
        <w:t> </w:t>
      </w:r>
      <w:r>
        <w:rPr/>
        <w:t>trail</w:t>
      </w:r>
      <w:r>
        <w:rPr>
          <w:spacing w:val="-10"/>
        </w:rPr>
        <w:t> </w:t>
      </w:r>
      <w:r>
        <w:rPr/>
        <w:t>system</w:t>
      </w:r>
      <w:r>
        <w:rPr>
          <w:spacing w:val="-11"/>
        </w:rPr>
        <w:t> </w:t>
      </w:r>
      <w:r>
        <w:rPr/>
        <w:t>enhances</w:t>
      </w:r>
      <w:r>
        <w:rPr>
          <w:spacing w:val="-12"/>
        </w:rPr>
        <w:t> </w:t>
      </w:r>
      <w:r>
        <w:rPr/>
        <w:t>the</w:t>
      </w:r>
      <w:r>
        <w:rPr>
          <w:spacing w:val="-12"/>
        </w:rPr>
        <w:t> </w:t>
      </w:r>
      <w:r>
        <w:rPr/>
        <w:t>wilderness</w:t>
      </w:r>
      <w:r>
        <w:rPr>
          <w:spacing w:val="-12"/>
        </w:rPr>
        <w:t> </w:t>
      </w:r>
      <w:r>
        <w:rPr/>
        <w:t>character.</w:t>
      </w:r>
      <w:r>
        <w:rPr>
          <w:spacing w:val="-9"/>
        </w:rPr>
        <w:t> </w:t>
      </w:r>
      <w:r>
        <w:rPr/>
        <w:t>To</w:t>
      </w:r>
      <w:r>
        <w:rPr>
          <w:spacing w:val="-9"/>
        </w:rPr>
        <w:t> </w:t>
      </w:r>
      <w:r>
        <w:rPr/>
        <w:t>the</w:t>
      </w:r>
      <w:r>
        <w:rPr>
          <w:spacing w:val="-12"/>
        </w:rPr>
        <w:t> </w:t>
      </w:r>
      <w:r>
        <w:rPr/>
        <w:t>extent necessary, where there is public demand, outfitters and guides provide services to visitors seeking a wilderness experience.</w:t>
      </w:r>
    </w:p>
    <w:p>
      <w:pPr>
        <w:pStyle w:val="BodyText"/>
        <w:spacing w:line="232" w:lineRule="auto" w:before="199"/>
        <w:ind w:left="359" w:right="1073"/>
      </w:pPr>
      <w:r>
        <w:rPr/>
        <w:t>Wilderness</w:t>
      </w:r>
      <w:r>
        <w:rPr>
          <w:spacing w:val="-6"/>
        </w:rPr>
        <w:t> </w:t>
      </w:r>
      <w:r>
        <w:rPr/>
        <w:t>provides</w:t>
      </w:r>
      <w:r>
        <w:rPr>
          <w:spacing w:val="-7"/>
        </w:rPr>
        <w:t> </w:t>
      </w:r>
      <w:r>
        <w:rPr/>
        <w:t>outstanding</w:t>
      </w:r>
      <w:r>
        <w:rPr>
          <w:spacing w:val="-7"/>
        </w:rPr>
        <w:t> </w:t>
      </w:r>
      <w:r>
        <w:rPr/>
        <w:t>opportunities</w:t>
      </w:r>
      <w:r>
        <w:rPr>
          <w:spacing w:val="-7"/>
        </w:rPr>
        <w:t> </w:t>
      </w:r>
      <w:r>
        <w:rPr/>
        <w:t>for</w:t>
      </w:r>
      <w:r>
        <w:rPr>
          <w:spacing w:val="-8"/>
        </w:rPr>
        <w:t> </w:t>
      </w:r>
      <w:r>
        <w:rPr/>
        <w:t>solitude</w:t>
      </w:r>
      <w:r>
        <w:rPr>
          <w:spacing w:val="-5"/>
        </w:rPr>
        <w:t> </w:t>
      </w:r>
      <w:r>
        <w:rPr/>
        <w:t>and</w:t>
      </w:r>
      <w:r>
        <w:rPr>
          <w:spacing w:val="-7"/>
        </w:rPr>
        <w:t> </w:t>
      </w:r>
      <w:r>
        <w:rPr/>
        <w:t>isolation.</w:t>
      </w:r>
      <w:r>
        <w:rPr>
          <w:spacing w:val="-6"/>
        </w:rPr>
        <w:t> </w:t>
      </w:r>
      <w:r>
        <w:rPr/>
        <w:t>Encounters</w:t>
      </w:r>
      <w:r>
        <w:rPr>
          <w:spacing w:val="-6"/>
        </w:rPr>
        <w:t> </w:t>
      </w:r>
      <w:r>
        <w:rPr/>
        <w:t>with</w:t>
      </w:r>
      <w:r>
        <w:rPr>
          <w:spacing w:val="-7"/>
        </w:rPr>
        <w:t> </w:t>
      </w:r>
      <w:r>
        <w:rPr/>
        <w:t>small groups or individuals are infrequent.</w:t>
      </w:r>
    </w:p>
    <w:p>
      <w:pPr>
        <w:pStyle w:val="BodyText"/>
        <w:spacing w:line="232" w:lineRule="auto" w:before="199"/>
        <w:ind w:left="359" w:right="1445"/>
      </w:pPr>
      <w:r>
        <w:rPr/>
        <w:t>Wilderness areas maintain natural landscapes where generally only ecological changes occur (very</w:t>
      </w:r>
      <w:r>
        <w:rPr>
          <w:spacing w:val="-4"/>
        </w:rPr>
        <w:t> </w:t>
      </w:r>
      <w:r>
        <w:rPr/>
        <w:t>high</w:t>
      </w:r>
      <w:r>
        <w:rPr>
          <w:spacing w:val="-6"/>
        </w:rPr>
        <w:t> </w:t>
      </w:r>
      <w:r>
        <w:rPr/>
        <w:t>scenic</w:t>
      </w:r>
      <w:r>
        <w:rPr>
          <w:spacing w:val="-5"/>
        </w:rPr>
        <w:t> </w:t>
      </w:r>
      <w:r>
        <w:rPr/>
        <w:t>integrity)</w:t>
      </w:r>
      <w:r>
        <w:rPr>
          <w:spacing w:val="-9"/>
        </w:rPr>
        <w:t> </w:t>
      </w:r>
      <w:r>
        <w:rPr/>
        <w:t>and</w:t>
      </w:r>
      <w:r>
        <w:rPr>
          <w:spacing w:val="-6"/>
        </w:rPr>
        <w:t> </w:t>
      </w:r>
      <w:r>
        <w:rPr/>
        <w:t>provide</w:t>
      </w:r>
      <w:r>
        <w:rPr>
          <w:spacing w:val="-4"/>
        </w:rPr>
        <w:t> </w:t>
      </w:r>
      <w:r>
        <w:rPr/>
        <w:t>primitive</w:t>
      </w:r>
      <w:r>
        <w:rPr>
          <w:spacing w:val="-7"/>
        </w:rPr>
        <w:t> </w:t>
      </w:r>
      <w:r>
        <w:rPr/>
        <w:t>and/or</w:t>
      </w:r>
      <w:r>
        <w:rPr>
          <w:spacing w:val="-5"/>
        </w:rPr>
        <w:t> </w:t>
      </w:r>
      <w:r>
        <w:rPr/>
        <w:t>semi-primitive</w:t>
      </w:r>
      <w:r>
        <w:rPr>
          <w:spacing w:val="-4"/>
        </w:rPr>
        <w:t> </w:t>
      </w:r>
      <w:r>
        <w:rPr/>
        <w:t>non-motorized</w:t>
      </w:r>
      <w:r>
        <w:rPr>
          <w:spacing w:val="-6"/>
        </w:rPr>
        <w:t> </w:t>
      </w:r>
      <w:r>
        <w:rPr/>
        <w:t>and</w:t>
      </w:r>
      <w:r>
        <w:rPr>
          <w:spacing w:val="-6"/>
        </w:rPr>
        <w:t> </w:t>
      </w:r>
      <w:r>
        <w:rPr/>
        <w:t>non- mechanized recreation opportunities.</w:t>
      </w:r>
    </w:p>
    <w:p>
      <w:pPr>
        <w:pStyle w:val="BodyText"/>
        <w:spacing w:before="191"/>
        <w:ind w:left="359"/>
      </w:pPr>
      <w:r>
        <w:rPr/>
        <w:t>The</w:t>
      </w:r>
      <w:r>
        <w:rPr>
          <w:spacing w:val="-7"/>
        </w:rPr>
        <w:t> </w:t>
      </w:r>
      <w:r>
        <w:rPr/>
        <w:t>wilderness</w:t>
      </w:r>
      <w:r>
        <w:rPr>
          <w:spacing w:val="-6"/>
        </w:rPr>
        <w:t> </w:t>
      </w:r>
      <w:r>
        <w:rPr/>
        <w:t>areas</w:t>
      </w:r>
      <w:r>
        <w:rPr>
          <w:spacing w:val="-9"/>
        </w:rPr>
        <w:t> </w:t>
      </w:r>
      <w:r>
        <w:rPr/>
        <w:t>are</w:t>
      </w:r>
      <w:r>
        <w:rPr>
          <w:spacing w:val="-6"/>
        </w:rPr>
        <w:t> </w:t>
      </w:r>
      <w:r>
        <w:rPr/>
        <w:t>generally</w:t>
      </w:r>
      <w:r>
        <w:rPr>
          <w:spacing w:val="-6"/>
        </w:rPr>
        <w:t> </w:t>
      </w:r>
      <w:r>
        <w:rPr/>
        <w:t>free</w:t>
      </w:r>
      <w:r>
        <w:rPr>
          <w:spacing w:val="-9"/>
        </w:rPr>
        <w:t> </w:t>
      </w:r>
      <w:r>
        <w:rPr/>
        <w:t>of</w:t>
      </w:r>
      <w:r>
        <w:rPr>
          <w:spacing w:val="-9"/>
        </w:rPr>
        <w:t> </w:t>
      </w:r>
      <w:r>
        <w:rPr/>
        <w:t>invasive</w:t>
      </w:r>
      <w:r>
        <w:rPr>
          <w:spacing w:val="-6"/>
        </w:rPr>
        <w:t> </w:t>
      </w:r>
      <w:r>
        <w:rPr>
          <w:spacing w:val="-2"/>
        </w:rPr>
        <w:t>species.</w:t>
      </w:r>
    </w:p>
    <w:p>
      <w:pPr>
        <w:pStyle w:val="BodyText"/>
        <w:spacing w:line="232" w:lineRule="auto" w:before="199"/>
        <w:ind w:left="359" w:right="2002"/>
        <w:jc w:val="both"/>
      </w:pPr>
      <w:r>
        <w:rPr/>
        <w:t>Human-caused</w:t>
      </w:r>
      <w:r>
        <w:rPr>
          <w:spacing w:val="-4"/>
        </w:rPr>
        <w:t> </w:t>
      </w:r>
      <w:r>
        <w:rPr/>
        <w:t>impacts</w:t>
      </w:r>
      <w:r>
        <w:rPr>
          <w:spacing w:val="-5"/>
        </w:rPr>
        <w:t> </w:t>
      </w:r>
      <w:r>
        <w:rPr/>
        <w:t>are</w:t>
      </w:r>
      <w:r>
        <w:rPr>
          <w:spacing w:val="-5"/>
        </w:rPr>
        <w:t> </w:t>
      </w:r>
      <w:r>
        <w:rPr/>
        <w:t>limited</w:t>
      </w:r>
      <w:r>
        <w:rPr>
          <w:spacing w:val="-4"/>
        </w:rPr>
        <w:t> </w:t>
      </w:r>
      <w:r>
        <w:rPr/>
        <w:t>to</w:t>
      </w:r>
      <w:r>
        <w:rPr>
          <w:spacing w:val="-2"/>
        </w:rPr>
        <w:t> </w:t>
      </w:r>
      <w:r>
        <w:rPr/>
        <w:t>relatively</w:t>
      </w:r>
      <w:r>
        <w:rPr>
          <w:spacing w:val="-2"/>
        </w:rPr>
        <w:t> </w:t>
      </w:r>
      <w:r>
        <w:rPr/>
        <w:t>small</w:t>
      </w:r>
      <w:r>
        <w:rPr>
          <w:spacing w:val="-6"/>
        </w:rPr>
        <w:t> </w:t>
      </w:r>
      <w:r>
        <w:rPr/>
        <w:t>areas</w:t>
      </w:r>
      <w:r>
        <w:rPr>
          <w:spacing w:val="-3"/>
        </w:rPr>
        <w:t> </w:t>
      </w:r>
      <w:r>
        <w:rPr/>
        <w:t>along</w:t>
      </w:r>
      <w:r>
        <w:rPr>
          <w:spacing w:val="-4"/>
        </w:rPr>
        <w:t> </w:t>
      </w:r>
      <w:r>
        <w:rPr/>
        <w:t>trails</w:t>
      </w:r>
      <w:r>
        <w:rPr>
          <w:spacing w:val="-5"/>
        </w:rPr>
        <w:t> </w:t>
      </w:r>
      <w:r>
        <w:rPr/>
        <w:t>and</w:t>
      </w:r>
      <w:r>
        <w:rPr>
          <w:spacing w:val="-4"/>
        </w:rPr>
        <w:t> </w:t>
      </w:r>
      <w:r>
        <w:rPr/>
        <w:t>campsites.</w:t>
      </w:r>
      <w:r>
        <w:rPr>
          <w:spacing w:val="-3"/>
        </w:rPr>
        <w:t> </w:t>
      </w:r>
      <w:r>
        <w:rPr/>
        <w:t>The ecological,</w:t>
      </w:r>
      <w:r>
        <w:rPr>
          <w:spacing w:val="-6"/>
        </w:rPr>
        <w:t> </w:t>
      </w:r>
      <w:r>
        <w:rPr/>
        <w:t>geological,</w:t>
      </w:r>
      <w:r>
        <w:rPr>
          <w:spacing w:val="-7"/>
        </w:rPr>
        <w:t> </w:t>
      </w:r>
      <w:r>
        <w:rPr/>
        <w:t>scientific,</w:t>
      </w:r>
      <w:r>
        <w:rPr>
          <w:spacing w:val="-6"/>
        </w:rPr>
        <w:t> </w:t>
      </w:r>
      <w:r>
        <w:rPr/>
        <w:t>educational,</w:t>
      </w:r>
      <w:r>
        <w:rPr>
          <w:spacing w:val="-6"/>
        </w:rPr>
        <w:t> </w:t>
      </w:r>
      <w:r>
        <w:rPr/>
        <w:t>scenic,</w:t>
      </w:r>
      <w:r>
        <w:rPr>
          <w:spacing w:val="-6"/>
        </w:rPr>
        <w:t> </w:t>
      </w:r>
      <w:r>
        <w:rPr/>
        <w:t>and</w:t>
      </w:r>
      <w:r>
        <w:rPr>
          <w:spacing w:val="-6"/>
        </w:rPr>
        <w:t> </w:t>
      </w:r>
      <w:r>
        <w:rPr/>
        <w:t>historical</w:t>
      </w:r>
      <w:r>
        <w:rPr>
          <w:spacing w:val="-8"/>
        </w:rPr>
        <w:t> </w:t>
      </w:r>
      <w:r>
        <w:rPr/>
        <w:t>values</w:t>
      </w:r>
      <w:r>
        <w:rPr>
          <w:spacing w:val="-7"/>
        </w:rPr>
        <w:t> </w:t>
      </w:r>
      <w:r>
        <w:rPr/>
        <w:t>of</w:t>
      </w:r>
      <w:r>
        <w:rPr>
          <w:spacing w:val="-7"/>
        </w:rPr>
        <w:t> </w:t>
      </w:r>
      <w:r>
        <w:rPr/>
        <w:t>wilderness</w:t>
      </w:r>
      <w:r>
        <w:rPr>
          <w:spacing w:val="-6"/>
        </w:rPr>
        <w:t> </w:t>
      </w:r>
      <w:r>
        <w:rPr/>
        <w:t>are preserved and perpetuated.</w:t>
      </w:r>
    </w:p>
    <w:p>
      <w:pPr>
        <w:spacing w:before="233"/>
        <w:ind w:left="359" w:right="0" w:firstLine="0"/>
        <w:jc w:val="left"/>
        <w:rPr>
          <w:rFonts w:ascii="Arial"/>
          <w:i/>
          <w:sz w:val="22"/>
        </w:rPr>
      </w:pPr>
      <w:bookmarkStart w:name="MA-DC-WCD-02. Human Developments" w:id="847"/>
      <w:bookmarkEnd w:id="847"/>
      <w:r>
        <w:rPr/>
      </w:r>
      <w:r>
        <w:rPr>
          <w:rFonts w:ascii="Arial"/>
          <w:i/>
          <w:sz w:val="22"/>
        </w:rPr>
        <w:t>MA-DC-WCD-02.</w:t>
      </w:r>
      <w:r>
        <w:rPr>
          <w:rFonts w:ascii="Arial"/>
          <w:i/>
          <w:spacing w:val="-10"/>
          <w:sz w:val="22"/>
        </w:rPr>
        <w:t> </w:t>
      </w:r>
      <w:r>
        <w:rPr>
          <w:rFonts w:ascii="Arial"/>
          <w:i/>
          <w:sz w:val="22"/>
        </w:rPr>
        <w:t>Human</w:t>
      </w:r>
      <w:r>
        <w:rPr>
          <w:rFonts w:ascii="Arial"/>
          <w:i/>
          <w:spacing w:val="-9"/>
          <w:sz w:val="22"/>
        </w:rPr>
        <w:t> </w:t>
      </w:r>
      <w:r>
        <w:rPr>
          <w:rFonts w:ascii="Arial"/>
          <w:i/>
          <w:spacing w:val="-2"/>
          <w:sz w:val="22"/>
        </w:rPr>
        <w:t>Developments</w:t>
      </w:r>
    </w:p>
    <w:p>
      <w:pPr>
        <w:pStyle w:val="BodyText"/>
        <w:spacing w:line="232" w:lineRule="auto" w:before="64"/>
        <w:ind w:left="359" w:right="1621"/>
      </w:pPr>
      <w:r>
        <w:rPr/>
        <w:t>Wilderness</w:t>
      </w:r>
      <w:r>
        <w:rPr>
          <w:spacing w:val="-6"/>
        </w:rPr>
        <w:t> </w:t>
      </w:r>
      <w:r>
        <w:rPr/>
        <w:t>is</w:t>
      </w:r>
      <w:r>
        <w:rPr>
          <w:spacing w:val="-6"/>
        </w:rPr>
        <w:t> </w:t>
      </w:r>
      <w:r>
        <w:rPr/>
        <w:t>undeveloped</w:t>
      </w:r>
      <w:r>
        <w:rPr>
          <w:spacing w:val="-8"/>
        </w:rPr>
        <w:t> </w:t>
      </w:r>
      <w:r>
        <w:rPr/>
        <w:t>except</w:t>
      </w:r>
      <w:r>
        <w:rPr>
          <w:spacing w:val="-7"/>
        </w:rPr>
        <w:t> </w:t>
      </w:r>
      <w:r>
        <w:rPr/>
        <w:t>for</w:t>
      </w:r>
      <w:r>
        <w:rPr>
          <w:spacing w:val="-7"/>
        </w:rPr>
        <w:t> </w:t>
      </w:r>
      <w:r>
        <w:rPr/>
        <w:t>those</w:t>
      </w:r>
      <w:r>
        <w:rPr>
          <w:spacing w:val="-5"/>
        </w:rPr>
        <w:t> </w:t>
      </w:r>
      <w:r>
        <w:rPr/>
        <w:t>facilities</w:t>
      </w:r>
      <w:r>
        <w:rPr>
          <w:spacing w:val="-6"/>
        </w:rPr>
        <w:t> </w:t>
      </w:r>
      <w:r>
        <w:rPr/>
        <w:t>deemed</w:t>
      </w:r>
      <w:r>
        <w:rPr>
          <w:spacing w:val="-7"/>
        </w:rPr>
        <w:t> </w:t>
      </w:r>
      <w:r>
        <w:rPr/>
        <w:t>necessary</w:t>
      </w:r>
      <w:r>
        <w:rPr>
          <w:spacing w:val="-7"/>
        </w:rPr>
        <w:t> </w:t>
      </w:r>
      <w:r>
        <w:rPr/>
        <w:t>for</w:t>
      </w:r>
      <w:r>
        <w:rPr>
          <w:spacing w:val="-7"/>
        </w:rPr>
        <w:t> </w:t>
      </w:r>
      <w:r>
        <w:rPr/>
        <w:t>administration</w:t>
      </w:r>
      <w:r>
        <w:rPr>
          <w:spacing w:val="-8"/>
        </w:rPr>
        <w:t> </w:t>
      </w:r>
      <w:r>
        <w:rPr/>
        <w:t>of the area as wilderness or essential for accommodating provisional uses.</w:t>
      </w:r>
    </w:p>
    <w:p>
      <w:pPr>
        <w:pStyle w:val="BodyText"/>
        <w:spacing w:line="232" w:lineRule="auto" w:before="199"/>
        <w:ind w:left="359" w:right="1445"/>
      </w:pPr>
      <w:r>
        <w:rPr/>
        <w:t>There</w:t>
      </w:r>
      <w:r>
        <w:rPr>
          <w:spacing w:val="-3"/>
        </w:rPr>
        <w:t> </w:t>
      </w:r>
      <w:r>
        <w:rPr/>
        <w:t>is</w:t>
      </w:r>
      <w:r>
        <w:rPr>
          <w:spacing w:val="-4"/>
        </w:rPr>
        <w:t> </w:t>
      </w:r>
      <w:r>
        <w:rPr/>
        <w:t>little</w:t>
      </w:r>
      <w:r>
        <w:rPr>
          <w:spacing w:val="-6"/>
        </w:rPr>
        <w:t> </w:t>
      </w:r>
      <w:r>
        <w:rPr/>
        <w:t>evidence</w:t>
      </w:r>
      <w:r>
        <w:rPr>
          <w:spacing w:val="-6"/>
        </w:rPr>
        <w:t> </w:t>
      </w:r>
      <w:r>
        <w:rPr/>
        <w:t>of</w:t>
      </w:r>
      <w:r>
        <w:rPr>
          <w:spacing w:val="-6"/>
        </w:rPr>
        <w:t> </w:t>
      </w:r>
      <w:r>
        <w:rPr/>
        <w:t>human</w:t>
      </w:r>
      <w:r>
        <w:rPr>
          <w:spacing w:val="-5"/>
        </w:rPr>
        <w:t> </w:t>
      </w:r>
      <w:r>
        <w:rPr/>
        <w:t>developments</w:t>
      </w:r>
      <w:r>
        <w:rPr>
          <w:spacing w:val="-6"/>
        </w:rPr>
        <w:t> </w:t>
      </w:r>
      <w:r>
        <w:rPr/>
        <w:t>(such</w:t>
      </w:r>
      <w:r>
        <w:rPr>
          <w:spacing w:val="-7"/>
        </w:rPr>
        <w:t> </w:t>
      </w:r>
      <w:r>
        <w:rPr/>
        <w:t>as</w:t>
      </w:r>
      <w:r>
        <w:rPr>
          <w:spacing w:val="-3"/>
        </w:rPr>
        <w:t> </w:t>
      </w:r>
      <w:r>
        <w:rPr/>
        <w:t>signs,</w:t>
      </w:r>
      <w:r>
        <w:rPr>
          <w:spacing w:val="-4"/>
        </w:rPr>
        <w:t> </w:t>
      </w:r>
      <w:r>
        <w:rPr/>
        <w:t>stock</w:t>
      </w:r>
      <w:r>
        <w:rPr>
          <w:spacing w:val="-6"/>
        </w:rPr>
        <w:t> </w:t>
      </w:r>
      <w:r>
        <w:rPr/>
        <w:t>tanks,</w:t>
      </w:r>
      <w:r>
        <w:rPr>
          <w:spacing w:val="-6"/>
        </w:rPr>
        <w:t> </w:t>
      </w:r>
      <w:r>
        <w:rPr/>
        <w:t>stock</w:t>
      </w:r>
      <w:r>
        <w:rPr>
          <w:spacing w:val="-8"/>
        </w:rPr>
        <w:t> </w:t>
      </w:r>
      <w:r>
        <w:rPr/>
        <w:t>corrals,</w:t>
      </w:r>
      <w:r>
        <w:rPr>
          <w:spacing w:val="-4"/>
        </w:rPr>
        <w:t> </w:t>
      </w:r>
      <w:r>
        <w:rPr/>
        <w:t>and </w:t>
      </w:r>
      <w:r>
        <w:rPr>
          <w:spacing w:val="-2"/>
        </w:rPr>
        <w:t>fences).</w:t>
      </w:r>
    </w:p>
    <w:p>
      <w:pPr>
        <w:pStyle w:val="BodyText"/>
        <w:spacing w:line="232" w:lineRule="auto" w:before="199"/>
        <w:ind w:left="359" w:right="1966"/>
        <w:jc w:val="both"/>
      </w:pPr>
      <w:r>
        <w:rPr/>
        <w:t>There</w:t>
      </w:r>
      <w:r>
        <w:rPr>
          <w:spacing w:val="-4"/>
        </w:rPr>
        <w:t> </w:t>
      </w:r>
      <w:r>
        <w:rPr/>
        <w:t>is</w:t>
      </w:r>
      <w:r>
        <w:rPr>
          <w:spacing w:val="-5"/>
        </w:rPr>
        <w:t> </w:t>
      </w:r>
      <w:r>
        <w:rPr/>
        <w:t>little</w:t>
      </w:r>
      <w:r>
        <w:rPr>
          <w:spacing w:val="-7"/>
        </w:rPr>
        <w:t> </w:t>
      </w:r>
      <w:r>
        <w:rPr/>
        <w:t>or</w:t>
      </w:r>
      <w:r>
        <w:rPr>
          <w:spacing w:val="-5"/>
        </w:rPr>
        <w:t> </w:t>
      </w:r>
      <w:r>
        <w:rPr/>
        <w:t>no</w:t>
      </w:r>
      <w:r>
        <w:rPr>
          <w:spacing w:val="-6"/>
        </w:rPr>
        <w:t> </w:t>
      </w:r>
      <w:r>
        <w:rPr/>
        <w:t>evidence</w:t>
      </w:r>
      <w:r>
        <w:rPr>
          <w:spacing w:val="-4"/>
        </w:rPr>
        <w:t> </w:t>
      </w:r>
      <w:r>
        <w:rPr/>
        <w:t>of</w:t>
      </w:r>
      <w:r>
        <w:rPr>
          <w:spacing w:val="-7"/>
        </w:rPr>
        <w:t> </w:t>
      </w:r>
      <w:r>
        <w:rPr/>
        <w:t>camping</w:t>
      </w:r>
      <w:r>
        <w:rPr>
          <w:spacing w:val="-6"/>
        </w:rPr>
        <w:t> </w:t>
      </w:r>
      <w:r>
        <w:rPr/>
        <w:t>activity,</w:t>
      </w:r>
      <w:r>
        <w:rPr>
          <w:spacing w:val="-5"/>
        </w:rPr>
        <w:t> </w:t>
      </w:r>
      <w:r>
        <w:rPr/>
        <w:t>unauthorized</w:t>
      </w:r>
      <w:r>
        <w:rPr>
          <w:spacing w:val="-6"/>
        </w:rPr>
        <w:t> </w:t>
      </w:r>
      <w:r>
        <w:rPr/>
        <w:t>trails,</w:t>
      </w:r>
      <w:r>
        <w:rPr>
          <w:spacing w:val="-5"/>
        </w:rPr>
        <w:t> </w:t>
      </w:r>
      <w:r>
        <w:rPr/>
        <w:t>trash,</w:t>
      </w:r>
      <w:r>
        <w:rPr>
          <w:spacing w:val="-7"/>
        </w:rPr>
        <w:t> </w:t>
      </w:r>
      <w:r>
        <w:rPr/>
        <w:t>or</w:t>
      </w:r>
      <w:r>
        <w:rPr>
          <w:spacing w:val="-7"/>
        </w:rPr>
        <w:t> </w:t>
      </w:r>
      <w:r>
        <w:rPr/>
        <w:t>other</w:t>
      </w:r>
      <w:r>
        <w:rPr>
          <w:spacing w:val="-5"/>
        </w:rPr>
        <w:t> </w:t>
      </w:r>
      <w:r>
        <w:rPr/>
        <w:t>human impacts</w:t>
      </w:r>
      <w:r>
        <w:rPr>
          <w:spacing w:val="-6"/>
        </w:rPr>
        <w:t> </w:t>
      </w:r>
      <w:r>
        <w:rPr/>
        <w:t>on</w:t>
      </w:r>
      <w:r>
        <w:rPr>
          <w:spacing w:val="-7"/>
        </w:rPr>
        <w:t> </w:t>
      </w:r>
      <w:r>
        <w:rPr/>
        <w:t>the</w:t>
      </w:r>
      <w:r>
        <w:rPr>
          <w:spacing w:val="-6"/>
        </w:rPr>
        <w:t> </w:t>
      </w:r>
      <w:r>
        <w:rPr/>
        <w:t>environment.</w:t>
      </w:r>
      <w:r>
        <w:rPr>
          <w:spacing w:val="-4"/>
        </w:rPr>
        <w:t> </w:t>
      </w:r>
      <w:r>
        <w:rPr/>
        <w:t>Most</w:t>
      </w:r>
      <w:r>
        <w:rPr>
          <w:spacing w:val="-3"/>
        </w:rPr>
        <w:t> </w:t>
      </w:r>
      <w:r>
        <w:rPr/>
        <w:t>campsites</w:t>
      </w:r>
      <w:r>
        <w:rPr>
          <w:spacing w:val="-6"/>
        </w:rPr>
        <w:t> </w:t>
      </w:r>
      <w:r>
        <w:rPr/>
        <w:t>are</w:t>
      </w:r>
      <w:r>
        <w:rPr>
          <w:spacing w:val="-6"/>
        </w:rPr>
        <w:t> </w:t>
      </w:r>
      <w:r>
        <w:rPr/>
        <w:t>relatively</w:t>
      </w:r>
      <w:r>
        <w:rPr>
          <w:spacing w:val="-5"/>
        </w:rPr>
        <w:t> </w:t>
      </w:r>
      <w:r>
        <w:rPr/>
        <w:t>small</w:t>
      </w:r>
      <w:r>
        <w:rPr>
          <w:spacing w:val="-4"/>
        </w:rPr>
        <w:t> </w:t>
      </w:r>
      <w:r>
        <w:rPr/>
        <w:t>and</w:t>
      </w:r>
      <w:r>
        <w:rPr>
          <w:spacing w:val="-5"/>
        </w:rPr>
        <w:t> </w:t>
      </w:r>
      <w:r>
        <w:rPr/>
        <w:t>accommodate</w:t>
      </w:r>
      <w:r>
        <w:rPr>
          <w:spacing w:val="-6"/>
        </w:rPr>
        <w:t> </w:t>
      </w:r>
      <w:r>
        <w:rPr/>
        <w:t>one</w:t>
      </w:r>
      <w:r>
        <w:rPr>
          <w:spacing w:val="-3"/>
        </w:rPr>
        <w:t> </w:t>
      </w:r>
      <w:r>
        <w:rPr/>
        <w:t>to</w:t>
      </w:r>
    </w:p>
    <w:p>
      <w:pPr>
        <w:pStyle w:val="BodyText"/>
        <w:spacing w:after="0" w:line="232" w:lineRule="auto"/>
        <w:jc w:val="both"/>
        <w:sectPr>
          <w:pgSz w:w="12240" w:h="15840"/>
          <w:pgMar w:header="725" w:footer="891" w:top="960" w:bottom="1080" w:left="1080" w:right="720"/>
        </w:sectPr>
      </w:pPr>
    </w:p>
    <w:p>
      <w:pPr>
        <w:pStyle w:val="BodyText"/>
        <w:spacing w:before="212"/>
      </w:pPr>
    </w:p>
    <w:p>
      <w:pPr>
        <w:pStyle w:val="BodyText"/>
        <w:spacing w:line="232" w:lineRule="auto"/>
        <w:ind w:left="1151" w:right="1064"/>
        <w:jc w:val="both"/>
      </w:pPr>
      <w:r>
        <w:rPr/>
        <w:t>three</w:t>
      </w:r>
      <w:r>
        <w:rPr>
          <w:spacing w:val="-6"/>
        </w:rPr>
        <w:t> </w:t>
      </w:r>
      <w:r>
        <w:rPr/>
        <w:t>small</w:t>
      </w:r>
      <w:r>
        <w:rPr>
          <w:spacing w:val="-7"/>
        </w:rPr>
        <w:t> </w:t>
      </w:r>
      <w:r>
        <w:rPr/>
        <w:t>tents</w:t>
      </w:r>
      <w:r>
        <w:rPr>
          <w:spacing w:val="-6"/>
        </w:rPr>
        <w:t> </w:t>
      </w:r>
      <w:r>
        <w:rPr/>
        <w:t>or</w:t>
      </w:r>
      <w:r>
        <w:rPr>
          <w:spacing w:val="-6"/>
        </w:rPr>
        <w:t> </w:t>
      </w:r>
      <w:r>
        <w:rPr/>
        <w:t>one</w:t>
      </w:r>
      <w:r>
        <w:rPr>
          <w:spacing w:val="-3"/>
        </w:rPr>
        <w:t> </w:t>
      </w:r>
      <w:r>
        <w:rPr/>
        <w:t>large</w:t>
      </w:r>
      <w:r>
        <w:rPr>
          <w:spacing w:val="-3"/>
        </w:rPr>
        <w:t> </w:t>
      </w:r>
      <w:r>
        <w:rPr/>
        <w:t>tent.</w:t>
      </w:r>
      <w:r>
        <w:rPr>
          <w:spacing w:val="-7"/>
        </w:rPr>
        <w:t> </w:t>
      </w:r>
      <w:r>
        <w:rPr/>
        <w:t>Large</w:t>
      </w:r>
      <w:r>
        <w:rPr>
          <w:spacing w:val="-3"/>
        </w:rPr>
        <w:t> </w:t>
      </w:r>
      <w:r>
        <w:rPr/>
        <w:t>group</w:t>
      </w:r>
      <w:r>
        <w:rPr>
          <w:spacing w:val="-5"/>
        </w:rPr>
        <w:t> </w:t>
      </w:r>
      <w:r>
        <w:rPr/>
        <w:t>campsites</w:t>
      </w:r>
      <w:r>
        <w:rPr>
          <w:spacing w:val="-4"/>
        </w:rPr>
        <w:t> </w:t>
      </w:r>
      <w:r>
        <w:rPr/>
        <w:t>accommodate</w:t>
      </w:r>
      <w:r>
        <w:rPr>
          <w:spacing w:val="-3"/>
        </w:rPr>
        <w:t> </w:t>
      </w:r>
      <w:r>
        <w:rPr/>
        <w:t>the</w:t>
      </w:r>
      <w:r>
        <w:rPr>
          <w:spacing w:val="-6"/>
        </w:rPr>
        <w:t> </w:t>
      </w:r>
      <w:r>
        <w:rPr/>
        <w:t>needs</w:t>
      </w:r>
      <w:r>
        <w:rPr>
          <w:spacing w:val="-4"/>
        </w:rPr>
        <w:t> </w:t>
      </w:r>
      <w:r>
        <w:rPr/>
        <w:t>of</w:t>
      </w:r>
      <w:r>
        <w:rPr>
          <w:spacing w:val="-4"/>
        </w:rPr>
        <w:t> </w:t>
      </w:r>
      <w:r>
        <w:rPr/>
        <w:t>larger groups</w:t>
      </w:r>
      <w:r>
        <w:rPr>
          <w:spacing w:val="-5"/>
        </w:rPr>
        <w:t> </w:t>
      </w:r>
      <w:r>
        <w:rPr/>
        <w:t>up</w:t>
      </w:r>
      <w:r>
        <w:rPr>
          <w:spacing w:val="-4"/>
        </w:rPr>
        <w:t> </w:t>
      </w:r>
      <w:r>
        <w:rPr/>
        <w:t>to</w:t>
      </w:r>
      <w:r>
        <w:rPr>
          <w:spacing w:val="-4"/>
        </w:rPr>
        <w:t> </w:t>
      </w:r>
      <w:r>
        <w:rPr/>
        <w:t>the</w:t>
      </w:r>
      <w:r>
        <w:rPr>
          <w:spacing w:val="-5"/>
        </w:rPr>
        <w:t> </w:t>
      </w:r>
      <w:r>
        <w:rPr/>
        <w:t>maximum</w:t>
      </w:r>
      <w:r>
        <w:rPr>
          <w:spacing w:val="-4"/>
        </w:rPr>
        <w:t> </w:t>
      </w:r>
      <w:r>
        <w:rPr/>
        <w:t>group</w:t>
      </w:r>
      <w:r>
        <w:rPr>
          <w:spacing w:val="-4"/>
        </w:rPr>
        <w:t> </w:t>
      </w:r>
      <w:r>
        <w:rPr/>
        <w:t>size</w:t>
      </w:r>
      <w:r>
        <w:rPr>
          <w:spacing w:val="-3"/>
        </w:rPr>
        <w:t> </w:t>
      </w:r>
      <w:r>
        <w:rPr/>
        <w:t>limit,</w:t>
      </w:r>
      <w:r>
        <w:rPr>
          <w:spacing w:val="-4"/>
        </w:rPr>
        <w:t> </w:t>
      </w:r>
      <w:r>
        <w:rPr/>
        <w:t>and</w:t>
      </w:r>
      <w:r>
        <w:rPr>
          <w:spacing w:val="-6"/>
        </w:rPr>
        <w:t> </w:t>
      </w:r>
      <w:r>
        <w:rPr/>
        <w:t>these</w:t>
      </w:r>
      <w:r>
        <w:rPr>
          <w:spacing w:val="-7"/>
        </w:rPr>
        <w:t> </w:t>
      </w:r>
      <w:r>
        <w:rPr/>
        <w:t>sites</w:t>
      </w:r>
      <w:r>
        <w:rPr>
          <w:spacing w:val="-4"/>
        </w:rPr>
        <w:t> </w:t>
      </w:r>
      <w:r>
        <w:rPr/>
        <w:t>are</w:t>
      </w:r>
      <w:r>
        <w:rPr>
          <w:spacing w:val="-3"/>
        </w:rPr>
        <w:t> </w:t>
      </w:r>
      <w:r>
        <w:rPr/>
        <w:t>generally</w:t>
      </w:r>
      <w:r>
        <w:rPr>
          <w:spacing w:val="-4"/>
        </w:rPr>
        <w:t> </w:t>
      </w:r>
      <w:r>
        <w:rPr/>
        <w:t>out</w:t>
      </w:r>
      <w:r>
        <w:rPr>
          <w:spacing w:val="-5"/>
        </w:rPr>
        <w:t> </w:t>
      </w:r>
      <w:r>
        <w:rPr/>
        <w:t>of</w:t>
      </w:r>
      <w:r>
        <w:rPr>
          <w:spacing w:val="-6"/>
        </w:rPr>
        <w:t> </w:t>
      </w:r>
      <w:r>
        <w:rPr/>
        <w:t>view</w:t>
      </w:r>
      <w:r>
        <w:rPr>
          <w:spacing w:val="-5"/>
        </w:rPr>
        <w:t> </w:t>
      </w:r>
      <w:r>
        <w:rPr/>
        <w:t>of</w:t>
      </w:r>
      <w:r>
        <w:rPr>
          <w:spacing w:val="-5"/>
        </w:rPr>
        <w:t> </w:t>
      </w:r>
      <w:r>
        <w:rPr/>
        <w:t>focal areas such as where trails first arrive at a destination.</w:t>
      </w:r>
    </w:p>
    <w:p>
      <w:pPr>
        <w:pStyle w:val="ListParagraph"/>
        <w:numPr>
          <w:ilvl w:val="0"/>
          <w:numId w:val="23"/>
        </w:numPr>
        <w:tabs>
          <w:tab w:pos="1692" w:val="left" w:leader="none"/>
        </w:tabs>
        <w:spacing w:line="232" w:lineRule="auto" w:before="198" w:after="0"/>
        <w:ind w:left="1692" w:right="1088" w:hanging="360"/>
        <w:jc w:val="left"/>
        <w:rPr>
          <w:sz w:val="22"/>
        </w:rPr>
      </w:pPr>
      <w:r>
        <w:rPr>
          <w:sz w:val="22"/>
        </w:rPr>
        <w:t>Campsites</w:t>
      </w:r>
      <w:r>
        <w:rPr>
          <w:spacing w:val="-8"/>
          <w:sz w:val="22"/>
        </w:rPr>
        <w:t> </w:t>
      </w:r>
      <w:r>
        <w:rPr>
          <w:sz w:val="22"/>
        </w:rPr>
        <w:t>generally</w:t>
      </w:r>
      <w:r>
        <w:rPr>
          <w:spacing w:val="-7"/>
          <w:sz w:val="22"/>
        </w:rPr>
        <w:t> </w:t>
      </w:r>
      <w:r>
        <w:rPr>
          <w:sz w:val="22"/>
        </w:rPr>
        <w:t>have</w:t>
      </w:r>
      <w:r>
        <w:rPr>
          <w:spacing w:val="-7"/>
          <w:sz w:val="22"/>
        </w:rPr>
        <w:t> </w:t>
      </w:r>
      <w:r>
        <w:rPr>
          <w:sz w:val="22"/>
        </w:rPr>
        <w:t>at</w:t>
      </w:r>
      <w:r>
        <w:rPr>
          <w:spacing w:val="-7"/>
          <w:sz w:val="22"/>
        </w:rPr>
        <w:t> </w:t>
      </w:r>
      <w:r>
        <w:rPr>
          <w:sz w:val="22"/>
        </w:rPr>
        <w:t>least</w:t>
      </w:r>
      <w:r>
        <w:rPr>
          <w:spacing w:val="-10"/>
          <w:sz w:val="22"/>
        </w:rPr>
        <w:t> </w:t>
      </w:r>
      <w:r>
        <w:rPr>
          <w:sz w:val="22"/>
        </w:rPr>
        <w:t>partial</w:t>
      </w:r>
      <w:r>
        <w:rPr>
          <w:spacing w:val="-8"/>
          <w:sz w:val="22"/>
        </w:rPr>
        <w:t> </w:t>
      </w:r>
      <w:r>
        <w:rPr>
          <w:sz w:val="22"/>
        </w:rPr>
        <w:t>topographic</w:t>
      </w:r>
      <w:r>
        <w:rPr>
          <w:spacing w:val="-10"/>
          <w:sz w:val="22"/>
        </w:rPr>
        <w:t> </w:t>
      </w:r>
      <w:r>
        <w:rPr>
          <w:sz w:val="22"/>
        </w:rPr>
        <w:t>or</w:t>
      </w:r>
      <w:r>
        <w:rPr>
          <w:spacing w:val="-8"/>
          <w:sz w:val="22"/>
        </w:rPr>
        <w:t> </w:t>
      </w:r>
      <w:r>
        <w:rPr>
          <w:sz w:val="22"/>
        </w:rPr>
        <w:t>vegetative</w:t>
      </w:r>
      <w:r>
        <w:rPr>
          <w:spacing w:val="-7"/>
          <w:sz w:val="22"/>
        </w:rPr>
        <w:t> </w:t>
      </w:r>
      <w:r>
        <w:rPr>
          <w:sz w:val="22"/>
        </w:rPr>
        <w:t>screening</w:t>
      </w:r>
      <w:r>
        <w:rPr>
          <w:spacing w:val="-9"/>
          <w:sz w:val="22"/>
        </w:rPr>
        <w:t> </w:t>
      </w:r>
      <w:r>
        <w:rPr>
          <w:sz w:val="22"/>
        </w:rPr>
        <w:t>from</w:t>
      </w:r>
      <w:r>
        <w:rPr>
          <w:spacing w:val="-7"/>
          <w:sz w:val="22"/>
        </w:rPr>
        <w:t> </w:t>
      </w:r>
      <w:r>
        <w:rPr>
          <w:sz w:val="22"/>
        </w:rPr>
        <w:t>the trail, viewpoints, or other sites.</w:t>
      </w:r>
    </w:p>
    <w:p>
      <w:pPr>
        <w:pStyle w:val="ListParagraph"/>
        <w:numPr>
          <w:ilvl w:val="0"/>
          <w:numId w:val="23"/>
        </w:numPr>
        <w:tabs>
          <w:tab w:pos="1691" w:val="left" w:leader="none"/>
        </w:tabs>
        <w:spacing w:line="232" w:lineRule="auto" w:before="119" w:after="0"/>
        <w:ind w:left="1691" w:right="781" w:hanging="360"/>
        <w:jc w:val="left"/>
        <w:rPr>
          <w:sz w:val="22"/>
        </w:rPr>
      </w:pPr>
      <w:r>
        <w:rPr>
          <w:sz w:val="22"/>
        </w:rPr>
        <w:t>Vegetated</w:t>
      </w:r>
      <w:r>
        <w:rPr>
          <w:spacing w:val="-9"/>
          <w:sz w:val="22"/>
        </w:rPr>
        <w:t> </w:t>
      </w:r>
      <w:r>
        <w:rPr>
          <w:sz w:val="22"/>
        </w:rPr>
        <w:t>areas</w:t>
      </w:r>
      <w:r>
        <w:rPr>
          <w:spacing w:val="-7"/>
          <w:sz w:val="22"/>
        </w:rPr>
        <w:t> </w:t>
      </w:r>
      <w:r>
        <w:rPr>
          <w:sz w:val="22"/>
        </w:rPr>
        <w:t>(such</w:t>
      </w:r>
      <w:r>
        <w:rPr>
          <w:spacing w:val="-7"/>
          <w:sz w:val="22"/>
        </w:rPr>
        <w:t> </w:t>
      </w:r>
      <w:r>
        <w:rPr>
          <w:sz w:val="22"/>
        </w:rPr>
        <w:t>as</w:t>
      </w:r>
      <w:r>
        <w:rPr>
          <w:spacing w:val="-8"/>
          <w:sz w:val="22"/>
        </w:rPr>
        <w:t> </w:t>
      </w:r>
      <w:r>
        <w:rPr>
          <w:sz w:val="22"/>
        </w:rPr>
        <w:t>meadows)</w:t>
      </w:r>
      <w:r>
        <w:rPr>
          <w:spacing w:val="-8"/>
          <w:sz w:val="22"/>
        </w:rPr>
        <w:t> </w:t>
      </w:r>
      <w:r>
        <w:rPr>
          <w:sz w:val="22"/>
        </w:rPr>
        <w:t>outside</w:t>
      </w:r>
      <w:r>
        <w:rPr>
          <w:spacing w:val="-8"/>
          <w:sz w:val="22"/>
        </w:rPr>
        <w:t> </w:t>
      </w:r>
      <w:r>
        <w:rPr>
          <w:sz w:val="22"/>
        </w:rPr>
        <w:t>of</w:t>
      </w:r>
      <w:r>
        <w:rPr>
          <w:spacing w:val="-8"/>
          <w:sz w:val="22"/>
        </w:rPr>
        <w:t> </w:t>
      </w:r>
      <w:r>
        <w:rPr>
          <w:sz w:val="22"/>
        </w:rPr>
        <w:t>campsites</w:t>
      </w:r>
      <w:r>
        <w:rPr>
          <w:spacing w:val="-7"/>
          <w:sz w:val="22"/>
        </w:rPr>
        <w:t> </w:t>
      </w:r>
      <w:r>
        <w:rPr>
          <w:sz w:val="22"/>
        </w:rPr>
        <w:t>retain</w:t>
      </w:r>
      <w:r>
        <w:rPr>
          <w:spacing w:val="-9"/>
          <w:sz w:val="22"/>
        </w:rPr>
        <w:t> </w:t>
      </w:r>
      <w:r>
        <w:rPr>
          <w:sz w:val="22"/>
        </w:rPr>
        <w:t>native</w:t>
      </w:r>
      <w:r>
        <w:rPr>
          <w:spacing w:val="-8"/>
          <w:sz w:val="22"/>
        </w:rPr>
        <w:t> </w:t>
      </w:r>
      <w:r>
        <w:rPr>
          <w:sz w:val="22"/>
        </w:rPr>
        <w:t>plant</w:t>
      </w:r>
      <w:r>
        <w:rPr>
          <w:spacing w:val="-6"/>
          <w:sz w:val="22"/>
        </w:rPr>
        <w:t> </w:t>
      </w:r>
      <w:r>
        <w:rPr>
          <w:sz w:val="22"/>
        </w:rPr>
        <w:t>communities that are not impacted.</w:t>
      </w:r>
    </w:p>
    <w:p>
      <w:pPr>
        <w:pStyle w:val="ListParagraph"/>
        <w:numPr>
          <w:ilvl w:val="0"/>
          <w:numId w:val="23"/>
        </w:numPr>
        <w:tabs>
          <w:tab w:pos="1692" w:val="left" w:leader="none"/>
        </w:tabs>
        <w:spacing w:line="232" w:lineRule="auto" w:before="120" w:after="0"/>
        <w:ind w:left="1692" w:right="740" w:hanging="360"/>
        <w:jc w:val="left"/>
        <w:rPr>
          <w:sz w:val="22"/>
        </w:rPr>
      </w:pPr>
      <w:r>
        <w:rPr>
          <w:sz w:val="22"/>
        </w:rPr>
        <w:t>Social</w:t>
      </w:r>
      <w:r>
        <w:rPr>
          <w:spacing w:val="-7"/>
          <w:sz w:val="22"/>
        </w:rPr>
        <w:t> </w:t>
      </w:r>
      <w:r>
        <w:rPr>
          <w:sz w:val="22"/>
        </w:rPr>
        <w:t>trails</w:t>
      </w:r>
      <w:r>
        <w:rPr>
          <w:spacing w:val="-8"/>
          <w:sz w:val="22"/>
        </w:rPr>
        <w:t> </w:t>
      </w:r>
      <w:r>
        <w:rPr>
          <w:sz w:val="22"/>
        </w:rPr>
        <w:t>are</w:t>
      </w:r>
      <w:r>
        <w:rPr>
          <w:spacing w:val="-8"/>
          <w:sz w:val="22"/>
        </w:rPr>
        <w:t> </w:t>
      </w:r>
      <w:r>
        <w:rPr>
          <w:sz w:val="22"/>
        </w:rPr>
        <w:t>the</w:t>
      </w:r>
      <w:r>
        <w:rPr>
          <w:spacing w:val="-8"/>
          <w:sz w:val="22"/>
        </w:rPr>
        <w:t> </w:t>
      </w:r>
      <w:r>
        <w:rPr>
          <w:sz w:val="22"/>
        </w:rPr>
        <w:t>minimum</w:t>
      </w:r>
      <w:r>
        <w:rPr>
          <w:spacing w:val="-6"/>
          <w:sz w:val="22"/>
        </w:rPr>
        <w:t> </w:t>
      </w:r>
      <w:r>
        <w:rPr>
          <w:sz w:val="22"/>
        </w:rPr>
        <w:t>necessary</w:t>
      </w:r>
      <w:r>
        <w:rPr>
          <w:spacing w:val="-8"/>
          <w:sz w:val="22"/>
        </w:rPr>
        <w:t> </w:t>
      </w:r>
      <w:r>
        <w:rPr>
          <w:sz w:val="22"/>
        </w:rPr>
        <w:t>to</w:t>
      </w:r>
      <w:r>
        <w:rPr>
          <w:spacing w:val="-8"/>
          <w:sz w:val="22"/>
        </w:rPr>
        <w:t> </w:t>
      </w:r>
      <w:r>
        <w:rPr>
          <w:sz w:val="22"/>
        </w:rPr>
        <w:t>access</w:t>
      </w:r>
      <w:r>
        <w:rPr>
          <w:spacing w:val="-8"/>
          <w:sz w:val="22"/>
        </w:rPr>
        <w:t> </w:t>
      </w:r>
      <w:r>
        <w:rPr>
          <w:sz w:val="22"/>
        </w:rPr>
        <w:t>the</w:t>
      </w:r>
      <w:r>
        <w:rPr>
          <w:spacing w:val="-6"/>
          <w:sz w:val="22"/>
        </w:rPr>
        <w:t> </w:t>
      </w:r>
      <w:r>
        <w:rPr>
          <w:sz w:val="22"/>
        </w:rPr>
        <w:t>system</w:t>
      </w:r>
      <w:r>
        <w:rPr>
          <w:spacing w:val="-8"/>
          <w:sz w:val="22"/>
        </w:rPr>
        <w:t> </w:t>
      </w:r>
      <w:r>
        <w:rPr>
          <w:sz w:val="22"/>
        </w:rPr>
        <w:t>trail,</w:t>
      </w:r>
      <w:r>
        <w:rPr>
          <w:spacing w:val="-7"/>
          <w:sz w:val="22"/>
        </w:rPr>
        <w:t> </w:t>
      </w:r>
      <w:r>
        <w:rPr>
          <w:sz w:val="22"/>
        </w:rPr>
        <w:t>water,</w:t>
      </w:r>
      <w:r>
        <w:rPr>
          <w:spacing w:val="-8"/>
          <w:sz w:val="22"/>
        </w:rPr>
        <w:t> </w:t>
      </w:r>
      <w:r>
        <w:rPr>
          <w:sz w:val="22"/>
        </w:rPr>
        <w:t>other</w:t>
      </w:r>
      <w:r>
        <w:rPr>
          <w:spacing w:val="-8"/>
          <w:sz w:val="22"/>
        </w:rPr>
        <w:t> </w:t>
      </w:r>
      <w:r>
        <w:rPr>
          <w:sz w:val="22"/>
        </w:rPr>
        <w:t>campsites, and viewpoints.</w:t>
      </w:r>
    </w:p>
    <w:p>
      <w:pPr>
        <w:spacing w:before="232"/>
        <w:ind w:left="1152" w:right="0" w:firstLine="0"/>
        <w:jc w:val="left"/>
        <w:rPr>
          <w:rFonts w:ascii="Arial"/>
          <w:i/>
          <w:sz w:val="22"/>
        </w:rPr>
      </w:pPr>
      <w:bookmarkStart w:name="MA-DC-WCD-03. Ecological Processes" w:id="848"/>
      <w:bookmarkEnd w:id="848"/>
      <w:r>
        <w:rPr/>
      </w:r>
      <w:r>
        <w:rPr>
          <w:rFonts w:ascii="Arial"/>
          <w:i/>
          <w:sz w:val="22"/>
        </w:rPr>
        <w:t>MA-DC-WCD-03.</w:t>
      </w:r>
      <w:r>
        <w:rPr>
          <w:rFonts w:ascii="Arial"/>
          <w:i/>
          <w:spacing w:val="-12"/>
          <w:sz w:val="22"/>
        </w:rPr>
        <w:t> </w:t>
      </w:r>
      <w:r>
        <w:rPr>
          <w:rFonts w:ascii="Arial"/>
          <w:i/>
          <w:sz w:val="22"/>
        </w:rPr>
        <w:t>Ecological</w:t>
      </w:r>
      <w:r>
        <w:rPr>
          <w:rFonts w:ascii="Arial"/>
          <w:i/>
          <w:spacing w:val="-10"/>
          <w:sz w:val="22"/>
        </w:rPr>
        <w:t> </w:t>
      </w:r>
      <w:r>
        <w:rPr>
          <w:rFonts w:ascii="Arial"/>
          <w:i/>
          <w:spacing w:val="-2"/>
          <w:sz w:val="22"/>
        </w:rPr>
        <w:t>Processes</w:t>
      </w:r>
    </w:p>
    <w:p>
      <w:pPr>
        <w:pStyle w:val="BodyText"/>
        <w:spacing w:line="232" w:lineRule="auto" w:before="67"/>
        <w:ind w:left="1152" w:right="1073"/>
      </w:pPr>
      <w:r>
        <w:rPr/>
        <w:t>Ecological</w:t>
      </w:r>
      <w:r>
        <w:rPr>
          <w:spacing w:val="-8"/>
        </w:rPr>
        <w:t> </w:t>
      </w:r>
      <w:r>
        <w:rPr/>
        <w:t>conditions</w:t>
      </w:r>
      <w:r>
        <w:rPr>
          <w:spacing w:val="-8"/>
        </w:rPr>
        <w:t> </w:t>
      </w:r>
      <w:r>
        <w:rPr/>
        <w:t>are</w:t>
      </w:r>
      <w:r>
        <w:rPr>
          <w:spacing w:val="-7"/>
        </w:rPr>
        <w:t> </w:t>
      </w:r>
      <w:r>
        <w:rPr/>
        <w:t>affected</w:t>
      </w:r>
      <w:r>
        <w:rPr>
          <w:spacing w:val="-8"/>
        </w:rPr>
        <w:t> </w:t>
      </w:r>
      <w:r>
        <w:rPr/>
        <w:t>primarily</w:t>
      </w:r>
      <w:r>
        <w:rPr>
          <w:spacing w:val="-7"/>
        </w:rPr>
        <w:t> </w:t>
      </w:r>
      <w:r>
        <w:rPr/>
        <w:t>by</w:t>
      </w:r>
      <w:r>
        <w:rPr>
          <w:spacing w:val="-7"/>
        </w:rPr>
        <w:t> </w:t>
      </w:r>
      <w:r>
        <w:rPr/>
        <w:t>natural</w:t>
      </w:r>
      <w:r>
        <w:rPr>
          <w:spacing w:val="-10"/>
        </w:rPr>
        <w:t> </w:t>
      </w:r>
      <w:r>
        <w:rPr/>
        <w:t>ecological</w:t>
      </w:r>
      <w:r>
        <w:rPr>
          <w:spacing w:val="-8"/>
        </w:rPr>
        <w:t> </w:t>
      </w:r>
      <w:r>
        <w:rPr/>
        <w:t>processes,</w:t>
      </w:r>
      <w:r>
        <w:rPr>
          <w:spacing w:val="-9"/>
        </w:rPr>
        <w:t> </w:t>
      </w:r>
      <w:r>
        <w:rPr/>
        <w:t>with</w:t>
      </w:r>
      <w:r>
        <w:rPr>
          <w:spacing w:val="-10"/>
        </w:rPr>
        <w:t> </w:t>
      </w:r>
      <w:r>
        <w:rPr/>
        <w:t>the appearance of little or no human intervention.</w:t>
      </w:r>
    </w:p>
    <w:p>
      <w:pPr>
        <w:pStyle w:val="BodyText"/>
        <w:spacing w:before="193"/>
        <w:ind w:left="1152"/>
      </w:pPr>
      <w:r>
        <w:rPr/>
        <w:t>Fire</w:t>
      </w:r>
      <w:r>
        <w:rPr>
          <w:spacing w:val="-5"/>
        </w:rPr>
        <w:t> </w:t>
      </w:r>
      <w:r>
        <w:rPr/>
        <w:t>functions</w:t>
      </w:r>
      <w:r>
        <w:rPr>
          <w:spacing w:val="-6"/>
        </w:rPr>
        <w:t> </w:t>
      </w:r>
      <w:r>
        <w:rPr/>
        <w:t>as</w:t>
      </w:r>
      <w:r>
        <w:rPr>
          <w:spacing w:val="-5"/>
        </w:rPr>
        <w:t> </w:t>
      </w:r>
      <w:r>
        <w:rPr/>
        <w:t>a</w:t>
      </w:r>
      <w:r>
        <w:rPr>
          <w:spacing w:val="-8"/>
        </w:rPr>
        <w:t> </w:t>
      </w:r>
      <w:r>
        <w:rPr/>
        <w:t>natural</w:t>
      </w:r>
      <w:r>
        <w:rPr>
          <w:spacing w:val="-8"/>
        </w:rPr>
        <w:t> </w:t>
      </w:r>
      <w:r>
        <w:rPr/>
        <w:t>ecological</w:t>
      </w:r>
      <w:r>
        <w:rPr>
          <w:spacing w:val="-5"/>
        </w:rPr>
        <w:t> </w:t>
      </w:r>
      <w:r>
        <w:rPr>
          <w:spacing w:val="-2"/>
        </w:rPr>
        <w:t>process.</w:t>
      </w:r>
    </w:p>
    <w:p>
      <w:pPr>
        <w:pStyle w:val="BodyText"/>
        <w:spacing w:line="232" w:lineRule="auto" w:before="196"/>
        <w:ind w:left="1151" w:right="801"/>
      </w:pPr>
      <w:r>
        <w:rPr/>
        <w:t>Wilderness contributes to preserving natural behaviors and processes that sustain wildlife populations. Large remote areas with little human disturbance are retained and contribute habitats</w:t>
      </w:r>
      <w:r>
        <w:rPr>
          <w:spacing w:val="-5"/>
        </w:rPr>
        <w:t> </w:t>
      </w:r>
      <w:r>
        <w:rPr/>
        <w:t>for</w:t>
      </w:r>
      <w:r>
        <w:rPr>
          <w:spacing w:val="-7"/>
        </w:rPr>
        <w:t> </w:t>
      </w:r>
      <w:r>
        <w:rPr/>
        <w:t>species</w:t>
      </w:r>
      <w:r>
        <w:rPr>
          <w:spacing w:val="-7"/>
        </w:rPr>
        <w:t> </w:t>
      </w:r>
      <w:r>
        <w:rPr/>
        <w:t>with</w:t>
      </w:r>
      <w:r>
        <w:rPr>
          <w:spacing w:val="-6"/>
        </w:rPr>
        <w:t> </w:t>
      </w:r>
      <w:r>
        <w:rPr/>
        <w:t>large</w:t>
      </w:r>
      <w:r>
        <w:rPr>
          <w:spacing w:val="-4"/>
        </w:rPr>
        <w:t> </w:t>
      </w:r>
      <w:r>
        <w:rPr/>
        <w:t>home</w:t>
      </w:r>
      <w:r>
        <w:rPr>
          <w:spacing w:val="-4"/>
        </w:rPr>
        <w:t> </w:t>
      </w:r>
      <w:r>
        <w:rPr/>
        <w:t>ranges</w:t>
      </w:r>
      <w:r>
        <w:rPr>
          <w:spacing w:val="-7"/>
        </w:rPr>
        <w:t> </w:t>
      </w:r>
      <w:r>
        <w:rPr/>
        <w:t>such</w:t>
      </w:r>
      <w:r>
        <w:rPr>
          <w:spacing w:val="-6"/>
        </w:rPr>
        <w:t> </w:t>
      </w:r>
      <w:r>
        <w:rPr/>
        <w:t>as</w:t>
      </w:r>
      <w:r>
        <w:rPr>
          <w:spacing w:val="-7"/>
        </w:rPr>
        <w:t> </w:t>
      </w:r>
      <w:r>
        <w:rPr/>
        <w:t>wide-ranging</w:t>
      </w:r>
      <w:r>
        <w:rPr>
          <w:spacing w:val="-6"/>
        </w:rPr>
        <w:t> </w:t>
      </w:r>
      <w:r>
        <w:rPr/>
        <w:t>carnivores</w:t>
      </w:r>
      <w:r>
        <w:rPr>
          <w:spacing w:val="-5"/>
        </w:rPr>
        <w:t> </w:t>
      </w:r>
      <w:r>
        <w:rPr/>
        <w:t>(grizzly</w:t>
      </w:r>
      <w:r>
        <w:rPr>
          <w:spacing w:val="-4"/>
        </w:rPr>
        <w:t> </w:t>
      </w:r>
      <w:r>
        <w:rPr/>
        <w:t>bear)</w:t>
      </w:r>
      <w:r>
        <w:rPr>
          <w:spacing w:val="-7"/>
        </w:rPr>
        <w:t> </w:t>
      </w:r>
      <w:r>
        <w:rPr/>
        <w:t>and species found primarily in</w:t>
      </w:r>
      <w:r>
        <w:rPr>
          <w:spacing w:val="-2"/>
        </w:rPr>
        <w:t> </w:t>
      </w:r>
      <w:r>
        <w:rPr/>
        <w:t>these habitats. Habitat conditions</w:t>
      </w:r>
      <w:r>
        <w:rPr>
          <w:spacing w:val="-1"/>
        </w:rPr>
        <w:t> </w:t>
      </w:r>
      <w:r>
        <w:rPr/>
        <w:t>within these</w:t>
      </w:r>
      <w:r>
        <w:rPr>
          <w:spacing w:val="-1"/>
        </w:rPr>
        <w:t> </w:t>
      </w:r>
      <w:r>
        <w:rPr/>
        <w:t>management areas contribute to wildlife movement within and across the Forest.</w:t>
      </w:r>
    </w:p>
    <w:p>
      <w:pPr>
        <w:pStyle w:val="BodyText"/>
        <w:spacing w:before="191"/>
        <w:ind w:left="1151"/>
      </w:pPr>
      <w:r>
        <w:rPr/>
        <w:t>Wilderness</w:t>
      </w:r>
      <w:r>
        <w:rPr>
          <w:spacing w:val="-9"/>
        </w:rPr>
        <w:t> </w:t>
      </w:r>
      <w:r>
        <w:rPr/>
        <w:t>areas</w:t>
      </w:r>
      <w:r>
        <w:rPr>
          <w:spacing w:val="-8"/>
        </w:rPr>
        <w:t> </w:t>
      </w:r>
      <w:r>
        <w:rPr/>
        <w:t>are</w:t>
      </w:r>
      <w:r>
        <w:rPr>
          <w:spacing w:val="-8"/>
        </w:rPr>
        <w:t> </w:t>
      </w:r>
      <w:r>
        <w:rPr/>
        <w:t>free</w:t>
      </w:r>
      <w:r>
        <w:rPr>
          <w:spacing w:val="-8"/>
        </w:rPr>
        <w:t> </w:t>
      </w:r>
      <w:r>
        <w:rPr/>
        <w:t>of</w:t>
      </w:r>
      <w:r>
        <w:rPr>
          <w:spacing w:val="-6"/>
        </w:rPr>
        <w:t> </w:t>
      </w:r>
      <w:r>
        <w:rPr/>
        <w:t>invasive</w:t>
      </w:r>
      <w:r>
        <w:rPr>
          <w:spacing w:val="-5"/>
        </w:rPr>
        <w:t> </w:t>
      </w:r>
      <w:r>
        <w:rPr>
          <w:spacing w:val="-2"/>
        </w:rPr>
        <w:t>species.</w:t>
      </w:r>
    </w:p>
    <w:p>
      <w:pPr>
        <w:spacing w:before="234"/>
        <w:ind w:left="1151" w:right="0" w:firstLine="0"/>
        <w:jc w:val="left"/>
        <w:rPr>
          <w:rFonts w:ascii="Arial"/>
          <w:i/>
          <w:sz w:val="22"/>
        </w:rPr>
      </w:pPr>
      <w:bookmarkStart w:name="MA-DC-WCD-04. Air Quality" w:id="849"/>
      <w:bookmarkEnd w:id="849"/>
      <w:r>
        <w:rPr/>
      </w:r>
      <w:r>
        <w:rPr>
          <w:rFonts w:ascii="Arial"/>
          <w:i/>
          <w:sz w:val="22"/>
        </w:rPr>
        <w:t>MA-DC-WCD-04.</w:t>
      </w:r>
      <w:r>
        <w:rPr>
          <w:rFonts w:ascii="Arial"/>
          <w:i/>
          <w:spacing w:val="-9"/>
          <w:sz w:val="22"/>
        </w:rPr>
        <w:t> </w:t>
      </w:r>
      <w:r>
        <w:rPr>
          <w:rFonts w:ascii="Arial"/>
          <w:i/>
          <w:sz w:val="22"/>
        </w:rPr>
        <w:t>Air</w:t>
      </w:r>
      <w:r>
        <w:rPr>
          <w:rFonts w:ascii="Arial"/>
          <w:i/>
          <w:spacing w:val="-8"/>
          <w:sz w:val="22"/>
        </w:rPr>
        <w:t> </w:t>
      </w:r>
      <w:r>
        <w:rPr>
          <w:rFonts w:ascii="Arial"/>
          <w:i/>
          <w:spacing w:val="-2"/>
          <w:sz w:val="22"/>
        </w:rPr>
        <w:t>Quality</w:t>
      </w:r>
    </w:p>
    <w:p>
      <w:pPr>
        <w:pStyle w:val="BodyText"/>
        <w:spacing w:line="232" w:lineRule="auto" w:before="65"/>
        <w:ind w:left="1151" w:right="801"/>
      </w:pPr>
      <w:r>
        <w:rPr/>
        <w:t>Air</w:t>
      </w:r>
      <w:r>
        <w:rPr>
          <w:spacing w:val="-6"/>
        </w:rPr>
        <w:t> </w:t>
      </w:r>
      <w:r>
        <w:rPr/>
        <w:t>quality</w:t>
      </w:r>
      <w:r>
        <w:rPr>
          <w:spacing w:val="-5"/>
        </w:rPr>
        <w:t> </w:t>
      </w:r>
      <w:r>
        <w:rPr/>
        <w:t>is</w:t>
      </w:r>
      <w:r>
        <w:rPr>
          <w:spacing w:val="-6"/>
        </w:rPr>
        <w:t> </w:t>
      </w:r>
      <w:r>
        <w:rPr/>
        <w:t>good</w:t>
      </w:r>
      <w:r>
        <w:rPr>
          <w:spacing w:val="-7"/>
        </w:rPr>
        <w:t> </w:t>
      </w:r>
      <w:r>
        <w:rPr/>
        <w:t>and</w:t>
      </w:r>
      <w:r>
        <w:rPr>
          <w:spacing w:val="-9"/>
        </w:rPr>
        <w:t> </w:t>
      </w:r>
      <w:r>
        <w:rPr/>
        <w:t>the</w:t>
      </w:r>
      <w:r>
        <w:rPr>
          <w:spacing w:val="-8"/>
        </w:rPr>
        <w:t> </w:t>
      </w:r>
      <w:r>
        <w:rPr/>
        <w:t>air</w:t>
      </w:r>
      <w:r>
        <w:rPr>
          <w:spacing w:val="-6"/>
        </w:rPr>
        <w:t> </w:t>
      </w:r>
      <w:r>
        <w:rPr/>
        <w:t>quality</w:t>
      </w:r>
      <w:r>
        <w:rPr>
          <w:spacing w:val="-5"/>
        </w:rPr>
        <w:t> </w:t>
      </w:r>
      <w:r>
        <w:rPr/>
        <w:t>resource</w:t>
      </w:r>
      <w:r>
        <w:rPr>
          <w:spacing w:val="-10"/>
        </w:rPr>
        <w:t> </w:t>
      </w:r>
      <w:r>
        <w:rPr/>
        <w:t>values</w:t>
      </w:r>
      <w:r>
        <w:rPr>
          <w:spacing w:val="-8"/>
        </w:rPr>
        <w:t> </w:t>
      </w:r>
      <w:r>
        <w:rPr/>
        <w:t>(scenery,</w:t>
      </w:r>
      <w:r>
        <w:rPr>
          <w:spacing w:val="-6"/>
        </w:rPr>
        <w:t> </w:t>
      </w:r>
      <w:r>
        <w:rPr/>
        <w:t>aquatic</w:t>
      </w:r>
      <w:r>
        <w:rPr>
          <w:spacing w:val="-8"/>
        </w:rPr>
        <w:t> </w:t>
      </w:r>
      <w:r>
        <w:rPr/>
        <w:t>ecosystems,</w:t>
      </w:r>
      <w:r>
        <w:rPr>
          <w:spacing w:val="-6"/>
        </w:rPr>
        <w:t> </w:t>
      </w:r>
      <w:r>
        <w:rPr/>
        <w:t>vegetation, and wildlife) are protected.</w:t>
      </w:r>
    </w:p>
    <w:p>
      <w:pPr>
        <w:spacing w:before="234"/>
        <w:ind w:left="1151" w:right="0" w:firstLine="0"/>
        <w:jc w:val="left"/>
        <w:rPr>
          <w:rFonts w:ascii="Arial"/>
          <w:i/>
          <w:sz w:val="22"/>
        </w:rPr>
      </w:pPr>
      <w:bookmarkStart w:name="MA-DC-WCD-05. Historic Properties" w:id="850"/>
      <w:bookmarkEnd w:id="850"/>
      <w:r>
        <w:rPr/>
      </w:r>
      <w:r>
        <w:rPr>
          <w:rFonts w:ascii="Arial"/>
          <w:i/>
          <w:sz w:val="22"/>
        </w:rPr>
        <w:t>MA-DC-WCD-05.</w:t>
      </w:r>
      <w:r>
        <w:rPr>
          <w:rFonts w:ascii="Arial"/>
          <w:i/>
          <w:spacing w:val="-11"/>
          <w:sz w:val="22"/>
        </w:rPr>
        <w:t> </w:t>
      </w:r>
      <w:r>
        <w:rPr>
          <w:rFonts w:ascii="Arial"/>
          <w:i/>
          <w:sz w:val="22"/>
        </w:rPr>
        <w:t>Historic</w:t>
      </w:r>
      <w:r>
        <w:rPr>
          <w:rFonts w:ascii="Arial"/>
          <w:i/>
          <w:spacing w:val="-9"/>
          <w:sz w:val="22"/>
        </w:rPr>
        <w:t> </w:t>
      </w:r>
      <w:r>
        <w:rPr>
          <w:rFonts w:ascii="Arial"/>
          <w:i/>
          <w:spacing w:val="-2"/>
          <w:sz w:val="22"/>
        </w:rPr>
        <w:t>Properties</w:t>
      </w:r>
    </w:p>
    <w:p>
      <w:pPr>
        <w:pStyle w:val="BodyText"/>
        <w:spacing w:before="58"/>
        <w:ind w:left="1151"/>
      </w:pPr>
      <w:r>
        <w:rPr/>
        <w:t>Preservation</w:t>
      </w:r>
      <w:r>
        <w:rPr>
          <w:spacing w:val="-13"/>
        </w:rPr>
        <w:t> </w:t>
      </w:r>
      <w:r>
        <w:rPr/>
        <w:t>of</w:t>
      </w:r>
      <w:r>
        <w:rPr>
          <w:spacing w:val="-9"/>
        </w:rPr>
        <w:t> </w:t>
      </w:r>
      <w:r>
        <w:rPr/>
        <w:t>historic</w:t>
      </w:r>
      <w:r>
        <w:rPr>
          <w:spacing w:val="-8"/>
        </w:rPr>
        <w:t> </w:t>
      </w:r>
      <w:r>
        <w:rPr/>
        <w:t>properties</w:t>
      </w:r>
      <w:r>
        <w:rPr>
          <w:spacing w:val="-10"/>
        </w:rPr>
        <w:t> </w:t>
      </w:r>
      <w:r>
        <w:rPr/>
        <w:t>may</w:t>
      </w:r>
      <w:r>
        <w:rPr>
          <w:spacing w:val="-9"/>
        </w:rPr>
        <w:t> </w:t>
      </w:r>
      <w:r>
        <w:rPr/>
        <w:t>occur,</w:t>
      </w:r>
      <w:r>
        <w:rPr>
          <w:spacing w:val="-9"/>
        </w:rPr>
        <w:t> </w:t>
      </w:r>
      <w:r>
        <w:rPr/>
        <w:t>although</w:t>
      </w:r>
      <w:r>
        <w:rPr>
          <w:spacing w:val="-9"/>
        </w:rPr>
        <w:t> </w:t>
      </w:r>
      <w:r>
        <w:rPr/>
        <w:t>buildings</w:t>
      </w:r>
      <w:r>
        <w:rPr>
          <w:spacing w:val="-8"/>
        </w:rPr>
        <w:t> </w:t>
      </w:r>
      <w:r>
        <w:rPr/>
        <w:t>and</w:t>
      </w:r>
      <w:r>
        <w:rPr>
          <w:spacing w:val="-9"/>
        </w:rPr>
        <w:t> </w:t>
      </w:r>
      <w:r>
        <w:rPr/>
        <w:t>other</w:t>
      </w:r>
      <w:r>
        <w:rPr>
          <w:spacing w:val="-9"/>
        </w:rPr>
        <w:t> </w:t>
      </w:r>
      <w:r>
        <w:rPr/>
        <w:t>structures</w:t>
      </w:r>
      <w:r>
        <w:rPr>
          <w:spacing w:val="-8"/>
        </w:rPr>
        <w:t> </w:t>
      </w:r>
      <w:r>
        <w:rPr/>
        <w:t>are</w:t>
      </w:r>
      <w:r>
        <w:rPr>
          <w:spacing w:val="-7"/>
        </w:rPr>
        <w:t> </w:t>
      </w:r>
      <w:r>
        <w:rPr>
          <w:spacing w:val="-2"/>
        </w:rPr>
        <w:t>rare.</w:t>
      </w:r>
    </w:p>
    <w:p>
      <w:pPr>
        <w:pStyle w:val="BodyText"/>
        <w:spacing w:after="0"/>
        <w:sectPr>
          <w:pgSz w:w="12240" w:h="15840"/>
          <w:pgMar w:header="725" w:footer="891" w:top="960" w:bottom="1080" w:left="1080" w:right="720"/>
        </w:sectPr>
      </w:pPr>
    </w:p>
    <w:p>
      <w:pPr>
        <w:pStyle w:val="BodyText"/>
      </w:pPr>
    </w:p>
    <w:p>
      <w:pPr>
        <w:pStyle w:val="BodyText"/>
      </w:pPr>
    </w:p>
    <w:p>
      <w:pPr>
        <w:pStyle w:val="BodyText"/>
        <w:spacing w:before="53"/>
      </w:pPr>
    </w:p>
    <w:p>
      <w:pPr>
        <w:spacing w:before="0"/>
        <w:ind w:left="0" w:right="0" w:firstLine="0"/>
        <w:jc w:val="left"/>
        <w:rPr>
          <w:rFonts w:ascii="Arial"/>
          <w:i/>
          <w:sz w:val="22"/>
        </w:rPr>
      </w:pPr>
      <w:bookmarkStart w:name="MA-DC-WCD-06. Wilderness Resource Spectr" w:id="851"/>
      <w:bookmarkEnd w:id="851"/>
      <w:r>
        <w:rPr/>
      </w:r>
      <w:r>
        <w:rPr>
          <w:rFonts w:ascii="Arial"/>
          <w:i/>
          <w:sz w:val="22"/>
        </w:rPr>
        <w:t>MA-DC-WCD-06.</w:t>
      </w:r>
      <w:r>
        <w:rPr>
          <w:rFonts w:ascii="Arial"/>
          <w:i/>
          <w:spacing w:val="-12"/>
          <w:sz w:val="22"/>
        </w:rPr>
        <w:t> </w:t>
      </w:r>
      <w:r>
        <w:rPr>
          <w:rFonts w:ascii="Arial"/>
          <w:i/>
          <w:sz w:val="22"/>
        </w:rPr>
        <w:t>Wilderness</w:t>
      </w:r>
      <w:r>
        <w:rPr>
          <w:rFonts w:ascii="Arial"/>
          <w:i/>
          <w:spacing w:val="-8"/>
          <w:sz w:val="22"/>
        </w:rPr>
        <w:t> </w:t>
      </w:r>
      <w:r>
        <w:rPr>
          <w:rFonts w:ascii="Arial"/>
          <w:i/>
          <w:sz w:val="22"/>
        </w:rPr>
        <w:t>Resource</w:t>
      </w:r>
      <w:r>
        <w:rPr>
          <w:rFonts w:ascii="Arial"/>
          <w:i/>
          <w:spacing w:val="-9"/>
          <w:sz w:val="22"/>
        </w:rPr>
        <w:t> </w:t>
      </w:r>
      <w:r>
        <w:rPr>
          <w:rFonts w:ascii="Arial"/>
          <w:i/>
          <w:spacing w:val="-2"/>
          <w:sz w:val="22"/>
        </w:rPr>
        <w:t>Spectrum</w:t>
      </w:r>
    </w:p>
    <w:p>
      <w:pPr>
        <w:pStyle w:val="BodyText"/>
        <w:spacing w:before="105"/>
        <w:rPr>
          <w:rFonts w:ascii="Arial"/>
          <w:i/>
        </w:rPr>
      </w:pPr>
    </w:p>
    <w:p>
      <w:pPr>
        <w:spacing w:before="0" w:after="39"/>
        <w:ind w:left="0" w:right="0" w:firstLine="0"/>
        <w:jc w:val="left"/>
        <w:rPr>
          <w:rFonts w:ascii="Arial"/>
          <w:b/>
          <w:sz w:val="18"/>
        </w:rPr>
      </w:pPr>
      <w:bookmarkStart w:name="_bookmark259" w:id="852"/>
      <w:bookmarkEnd w:id="852"/>
      <w:r>
        <w:rPr/>
      </w:r>
      <w:r>
        <w:rPr>
          <w:rFonts w:ascii="Arial"/>
          <w:b/>
          <w:sz w:val="18"/>
        </w:rPr>
        <w:t>Table</w:t>
      </w:r>
      <w:r>
        <w:rPr>
          <w:rFonts w:ascii="Arial"/>
          <w:b/>
          <w:spacing w:val="-7"/>
          <w:sz w:val="18"/>
        </w:rPr>
        <w:t> </w:t>
      </w:r>
      <w:r>
        <w:rPr>
          <w:rFonts w:ascii="Arial"/>
          <w:b/>
          <w:sz w:val="18"/>
        </w:rPr>
        <w:t>34.</w:t>
      </w:r>
      <w:r>
        <w:rPr>
          <w:rFonts w:ascii="Arial"/>
          <w:b/>
          <w:spacing w:val="-3"/>
          <w:sz w:val="18"/>
        </w:rPr>
        <w:t> </w:t>
      </w:r>
      <w:r>
        <w:rPr>
          <w:rFonts w:ascii="Arial"/>
          <w:b/>
          <w:sz w:val="18"/>
        </w:rPr>
        <w:t>Wilderness</w:t>
      </w:r>
      <w:r>
        <w:rPr>
          <w:rFonts w:ascii="Arial"/>
          <w:b/>
          <w:spacing w:val="-2"/>
          <w:sz w:val="18"/>
        </w:rPr>
        <w:t> </w:t>
      </w:r>
      <w:r>
        <w:rPr>
          <w:rFonts w:ascii="Arial"/>
          <w:b/>
          <w:sz w:val="18"/>
        </w:rPr>
        <w:t>resource</w:t>
      </w:r>
      <w:r>
        <w:rPr>
          <w:rFonts w:ascii="Arial"/>
          <w:b/>
          <w:spacing w:val="-3"/>
          <w:sz w:val="18"/>
        </w:rPr>
        <w:t> </w:t>
      </w:r>
      <w:r>
        <w:rPr>
          <w:rFonts w:ascii="Arial"/>
          <w:b/>
          <w:sz w:val="18"/>
        </w:rPr>
        <w:t>spectrum</w:t>
      </w:r>
      <w:r>
        <w:rPr>
          <w:rFonts w:ascii="Arial"/>
          <w:b/>
          <w:spacing w:val="-4"/>
          <w:sz w:val="18"/>
        </w:rPr>
        <w:t> </w:t>
      </w:r>
      <w:r>
        <w:rPr>
          <w:rFonts w:ascii="Arial"/>
          <w:b/>
          <w:sz w:val="18"/>
        </w:rPr>
        <w:t>class</w:t>
      </w:r>
      <w:r>
        <w:rPr>
          <w:rFonts w:ascii="Arial"/>
          <w:b/>
          <w:spacing w:val="-2"/>
          <w:sz w:val="18"/>
        </w:rPr>
        <w:t> </w:t>
      </w:r>
      <w:r>
        <w:rPr>
          <w:rFonts w:ascii="Arial"/>
          <w:b/>
          <w:sz w:val="18"/>
        </w:rPr>
        <w:t>desired</w:t>
      </w:r>
      <w:r>
        <w:rPr>
          <w:rFonts w:ascii="Arial"/>
          <w:b/>
          <w:spacing w:val="-3"/>
          <w:sz w:val="18"/>
        </w:rPr>
        <w:t> </w:t>
      </w:r>
      <w:r>
        <w:rPr>
          <w:rFonts w:ascii="Arial"/>
          <w:b/>
          <w:spacing w:val="-2"/>
          <w:sz w:val="18"/>
        </w:rPr>
        <w:t>condition</w:t>
      </w: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879"/>
        <w:gridCol w:w="2433"/>
        <w:gridCol w:w="2517"/>
        <w:gridCol w:w="2791"/>
        <w:gridCol w:w="3319"/>
      </w:tblGrid>
      <w:tr>
        <w:trPr>
          <w:trHeight w:val="287" w:hRule="atLeast"/>
        </w:trPr>
        <w:tc>
          <w:tcPr>
            <w:tcW w:w="1879" w:type="dxa"/>
            <w:tcBorders>
              <w:right w:val="nil"/>
            </w:tcBorders>
            <w:shd w:val="clear" w:color="auto" w:fill="D5E2BB"/>
          </w:tcPr>
          <w:p>
            <w:pPr>
              <w:pStyle w:val="TableParagraph"/>
              <w:spacing w:before="0"/>
              <w:rPr>
                <w:rFonts w:ascii="Times New Roman"/>
                <w:sz w:val="18"/>
              </w:rPr>
            </w:pPr>
          </w:p>
        </w:tc>
        <w:tc>
          <w:tcPr>
            <w:tcW w:w="2433" w:type="dxa"/>
            <w:tcBorders>
              <w:left w:val="nil"/>
              <w:right w:val="nil"/>
            </w:tcBorders>
            <w:shd w:val="clear" w:color="auto" w:fill="D5E2BB"/>
          </w:tcPr>
          <w:p>
            <w:pPr>
              <w:pStyle w:val="TableParagraph"/>
              <w:spacing w:before="42"/>
              <w:ind w:left="19"/>
              <w:jc w:val="center"/>
              <w:rPr>
                <w:b/>
                <w:sz w:val="18"/>
              </w:rPr>
            </w:pPr>
            <w:r>
              <w:rPr>
                <w:b/>
                <w:spacing w:val="-2"/>
                <w:sz w:val="18"/>
              </w:rPr>
              <w:t>Pristine</w:t>
            </w:r>
          </w:p>
        </w:tc>
        <w:tc>
          <w:tcPr>
            <w:tcW w:w="2517" w:type="dxa"/>
            <w:tcBorders>
              <w:left w:val="nil"/>
              <w:right w:val="nil"/>
            </w:tcBorders>
            <w:shd w:val="clear" w:color="auto" w:fill="D5E2BB"/>
          </w:tcPr>
          <w:p>
            <w:pPr>
              <w:pStyle w:val="TableParagraph"/>
              <w:spacing w:before="42"/>
              <w:ind w:left="20"/>
              <w:jc w:val="center"/>
              <w:rPr>
                <w:b/>
                <w:sz w:val="18"/>
              </w:rPr>
            </w:pPr>
            <w:r>
              <w:rPr>
                <w:b/>
                <w:spacing w:val="-2"/>
                <w:sz w:val="18"/>
              </w:rPr>
              <w:t>Primitive</w:t>
            </w:r>
          </w:p>
        </w:tc>
        <w:tc>
          <w:tcPr>
            <w:tcW w:w="2791" w:type="dxa"/>
            <w:tcBorders>
              <w:left w:val="nil"/>
              <w:right w:val="nil"/>
            </w:tcBorders>
            <w:shd w:val="clear" w:color="auto" w:fill="D5E2BB"/>
          </w:tcPr>
          <w:p>
            <w:pPr>
              <w:pStyle w:val="TableParagraph"/>
              <w:spacing w:before="42"/>
              <w:ind w:left="783"/>
              <w:rPr>
                <w:b/>
                <w:sz w:val="18"/>
              </w:rPr>
            </w:pPr>
            <w:r>
              <w:rPr>
                <w:b/>
                <w:spacing w:val="-2"/>
                <w:sz w:val="18"/>
              </w:rPr>
              <w:t>Semi-primitive</w:t>
            </w:r>
          </w:p>
        </w:tc>
        <w:tc>
          <w:tcPr>
            <w:tcW w:w="3319" w:type="dxa"/>
            <w:tcBorders>
              <w:left w:val="nil"/>
            </w:tcBorders>
            <w:shd w:val="clear" w:color="auto" w:fill="D5E2BB"/>
          </w:tcPr>
          <w:p>
            <w:pPr>
              <w:pStyle w:val="TableParagraph"/>
              <w:spacing w:before="42"/>
              <w:ind w:left="29"/>
              <w:jc w:val="center"/>
              <w:rPr>
                <w:b/>
                <w:sz w:val="18"/>
              </w:rPr>
            </w:pPr>
            <w:r>
              <w:rPr>
                <w:b/>
                <w:spacing w:val="-2"/>
                <w:sz w:val="18"/>
              </w:rPr>
              <w:t>Transition</w:t>
            </w:r>
          </w:p>
        </w:tc>
      </w:tr>
      <w:tr>
        <w:trPr>
          <w:trHeight w:val="2358" w:hRule="atLeast"/>
        </w:trPr>
        <w:tc>
          <w:tcPr>
            <w:tcW w:w="1879" w:type="dxa"/>
          </w:tcPr>
          <w:p>
            <w:pPr>
              <w:pStyle w:val="TableParagraph"/>
              <w:spacing w:before="42"/>
              <w:ind w:left="107"/>
              <w:rPr>
                <w:b/>
                <w:sz w:val="18"/>
              </w:rPr>
            </w:pPr>
            <w:r>
              <w:rPr>
                <w:b/>
                <w:spacing w:val="-2"/>
                <w:sz w:val="18"/>
              </w:rPr>
              <w:t>Environment</w:t>
            </w:r>
          </w:p>
        </w:tc>
        <w:tc>
          <w:tcPr>
            <w:tcW w:w="2433" w:type="dxa"/>
          </w:tcPr>
          <w:p>
            <w:pPr>
              <w:pStyle w:val="TableParagraph"/>
              <w:spacing w:before="42"/>
              <w:ind w:left="107" w:right="108"/>
              <w:rPr>
                <w:sz w:val="18"/>
              </w:rPr>
            </w:pPr>
            <w:r>
              <w:rPr>
                <w:sz w:val="18"/>
              </w:rPr>
              <w:t>Extensive, virtually unmodified natural environment that offers a high degree of isolation from the sights, sounds, and the presence of other wilderness visitors and contributes</w:t>
            </w:r>
            <w:r>
              <w:rPr>
                <w:spacing w:val="-15"/>
                <w:sz w:val="18"/>
              </w:rPr>
              <w:t> </w:t>
            </w:r>
            <w:r>
              <w:rPr>
                <w:sz w:val="18"/>
              </w:rPr>
              <w:t>effective</w:t>
            </w:r>
            <w:r>
              <w:rPr>
                <w:spacing w:val="-12"/>
                <w:sz w:val="18"/>
              </w:rPr>
              <w:t> </w:t>
            </w:r>
            <w:r>
              <w:rPr>
                <w:sz w:val="18"/>
              </w:rPr>
              <w:t>habitat for species requiring large areas with minimal human </w:t>
            </w:r>
            <w:r>
              <w:rPr>
                <w:spacing w:val="-2"/>
                <w:sz w:val="18"/>
              </w:rPr>
              <w:t>disturbance.</w:t>
            </w:r>
          </w:p>
        </w:tc>
        <w:tc>
          <w:tcPr>
            <w:tcW w:w="2517" w:type="dxa"/>
          </w:tcPr>
          <w:p>
            <w:pPr>
              <w:pStyle w:val="TableParagraph"/>
              <w:spacing w:before="42"/>
              <w:ind w:left="108" w:right="110"/>
              <w:rPr>
                <w:sz w:val="18"/>
              </w:rPr>
            </w:pPr>
            <w:r>
              <w:rPr>
                <w:sz w:val="18"/>
              </w:rPr>
              <w:t>Substantially unmodified natural environment that offers a remote experience of isolation from sights, sounds,</w:t>
            </w:r>
            <w:r>
              <w:rPr>
                <w:spacing w:val="-9"/>
                <w:sz w:val="18"/>
              </w:rPr>
              <w:t> </w:t>
            </w:r>
            <w:r>
              <w:rPr>
                <w:sz w:val="18"/>
              </w:rPr>
              <w:t>and</w:t>
            </w:r>
            <w:r>
              <w:rPr>
                <w:spacing w:val="-9"/>
                <w:sz w:val="18"/>
              </w:rPr>
              <w:t> </w:t>
            </w:r>
            <w:r>
              <w:rPr>
                <w:sz w:val="18"/>
              </w:rPr>
              <w:t>the</w:t>
            </w:r>
            <w:r>
              <w:rPr>
                <w:spacing w:val="-9"/>
                <w:sz w:val="18"/>
              </w:rPr>
              <w:t> </w:t>
            </w:r>
            <w:r>
              <w:rPr>
                <w:sz w:val="18"/>
              </w:rPr>
              <w:t>presence</w:t>
            </w:r>
            <w:r>
              <w:rPr>
                <w:spacing w:val="-7"/>
                <w:sz w:val="18"/>
              </w:rPr>
              <w:t> </w:t>
            </w:r>
            <w:r>
              <w:rPr>
                <w:sz w:val="18"/>
              </w:rPr>
              <w:t>of other</w:t>
            </w:r>
            <w:r>
              <w:rPr>
                <w:spacing w:val="-12"/>
                <w:sz w:val="18"/>
              </w:rPr>
              <w:t> </w:t>
            </w:r>
            <w:r>
              <w:rPr>
                <w:sz w:val="18"/>
              </w:rPr>
              <w:t>wilderness</w:t>
            </w:r>
            <w:r>
              <w:rPr>
                <w:spacing w:val="-11"/>
                <w:sz w:val="18"/>
              </w:rPr>
              <w:t> </w:t>
            </w:r>
            <w:r>
              <w:rPr>
                <w:sz w:val="18"/>
              </w:rPr>
              <w:t>visitors</w:t>
            </w:r>
            <w:r>
              <w:rPr>
                <w:spacing w:val="-11"/>
                <w:sz w:val="18"/>
              </w:rPr>
              <w:t> </w:t>
            </w:r>
            <w:r>
              <w:rPr>
                <w:sz w:val="18"/>
              </w:rPr>
              <w:t>and contributes effective habitat for species requiring large areas with minimal human </w:t>
            </w:r>
            <w:r>
              <w:rPr>
                <w:spacing w:val="-2"/>
                <w:sz w:val="18"/>
              </w:rPr>
              <w:t>disturbance.</w:t>
            </w:r>
          </w:p>
        </w:tc>
        <w:tc>
          <w:tcPr>
            <w:tcW w:w="2791" w:type="dxa"/>
          </w:tcPr>
          <w:p>
            <w:pPr>
              <w:pStyle w:val="TableParagraph"/>
              <w:spacing w:before="43"/>
              <w:ind w:left="108" w:right="574"/>
              <w:rPr>
                <w:sz w:val="18"/>
              </w:rPr>
            </w:pPr>
            <w:r>
              <w:rPr>
                <w:sz w:val="18"/>
              </w:rPr>
              <w:t>Predominantly</w:t>
            </w:r>
            <w:r>
              <w:rPr>
                <w:spacing w:val="-13"/>
                <w:sz w:val="18"/>
              </w:rPr>
              <w:t> </w:t>
            </w:r>
            <w:r>
              <w:rPr>
                <w:sz w:val="18"/>
              </w:rPr>
              <w:t>unmodified natural environment.</w:t>
            </w:r>
          </w:p>
          <w:p>
            <w:pPr>
              <w:pStyle w:val="TableParagraph"/>
              <w:spacing w:before="0"/>
              <w:ind w:left="108" w:right="87"/>
              <w:rPr>
                <w:sz w:val="18"/>
              </w:rPr>
            </w:pPr>
            <w:r>
              <w:rPr>
                <w:sz w:val="18"/>
              </w:rPr>
              <w:t>Concentrations of visitors are low to moderate and impacts of human</w:t>
            </w:r>
            <w:r>
              <w:rPr>
                <w:spacing w:val="-9"/>
                <w:sz w:val="18"/>
              </w:rPr>
              <w:t> </w:t>
            </w:r>
            <w:r>
              <w:rPr>
                <w:sz w:val="18"/>
              </w:rPr>
              <w:t>use</w:t>
            </w:r>
            <w:r>
              <w:rPr>
                <w:spacing w:val="-9"/>
                <w:sz w:val="18"/>
              </w:rPr>
              <w:t> </w:t>
            </w:r>
            <w:r>
              <w:rPr>
                <w:sz w:val="18"/>
              </w:rPr>
              <w:t>are</w:t>
            </w:r>
            <w:r>
              <w:rPr>
                <w:spacing w:val="-9"/>
                <w:sz w:val="18"/>
              </w:rPr>
              <w:t> </w:t>
            </w:r>
            <w:r>
              <w:rPr>
                <w:sz w:val="18"/>
              </w:rPr>
              <w:t>generally</w:t>
            </w:r>
            <w:r>
              <w:rPr>
                <w:spacing w:val="-11"/>
                <w:sz w:val="18"/>
              </w:rPr>
              <w:t> </w:t>
            </w:r>
            <w:r>
              <w:rPr>
                <w:sz w:val="18"/>
              </w:rPr>
              <w:t>limited to system trails, user- established trails, and sites.</w:t>
            </w:r>
          </w:p>
        </w:tc>
        <w:tc>
          <w:tcPr>
            <w:tcW w:w="3319" w:type="dxa"/>
          </w:tcPr>
          <w:p>
            <w:pPr>
              <w:pStyle w:val="TableParagraph"/>
              <w:spacing w:before="43"/>
              <w:ind w:left="106" w:right="88"/>
              <w:rPr>
                <w:sz w:val="18"/>
              </w:rPr>
            </w:pPr>
            <w:r>
              <w:rPr>
                <w:sz w:val="18"/>
              </w:rPr>
              <w:t>Predominantly unmodified natural environment. Concentrations of</w:t>
            </w:r>
            <w:r>
              <w:rPr>
                <w:spacing w:val="40"/>
                <w:sz w:val="18"/>
              </w:rPr>
              <w:t> </w:t>
            </w:r>
            <w:r>
              <w:rPr>
                <w:sz w:val="18"/>
              </w:rPr>
              <w:t>visitors</w:t>
            </w:r>
            <w:r>
              <w:rPr>
                <w:spacing w:val="-6"/>
                <w:sz w:val="18"/>
              </w:rPr>
              <w:t> </w:t>
            </w:r>
            <w:r>
              <w:rPr>
                <w:sz w:val="18"/>
              </w:rPr>
              <w:t>are</w:t>
            </w:r>
            <w:r>
              <w:rPr>
                <w:spacing w:val="-8"/>
                <w:sz w:val="18"/>
              </w:rPr>
              <w:t> </w:t>
            </w:r>
            <w:r>
              <w:rPr>
                <w:sz w:val="18"/>
              </w:rPr>
              <w:t>moderate</w:t>
            </w:r>
            <w:r>
              <w:rPr>
                <w:spacing w:val="-6"/>
                <w:sz w:val="18"/>
              </w:rPr>
              <w:t> </w:t>
            </w:r>
            <w:r>
              <w:rPr>
                <w:sz w:val="18"/>
              </w:rPr>
              <w:t>to</w:t>
            </w:r>
            <w:r>
              <w:rPr>
                <w:spacing w:val="-8"/>
                <w:sz w:val="18"/>
              </w:rPr>
              <w:t> </w:t>
            </w:r>
            <w:r>
              <w:rPr>
                <w:sz w:val="18"/>
              </w:rPr>
              <w:t>high</w:t>
            </w:r>
            <w:r>
              <w:rPr>
                <w:spacing w:val="-6"/>
                <w:sz w:val="18"/>
              </w:rPr>
              <w:t> </w:t>
            </w:r>
            <w:r>
              <w:rPr>
                <w:sz w:val="18"/>
              </w:rPr>
              <w:t>at</w:t>
            </w:r>
            <w:r>
              <w:rPr>
                <w:spacing w:val="-6"/>
                <w:sz w:val="18"/>
              </w:rPr>
              <w:t> </w:t>
            </w:r>
            <w:r>
              <w:rPr>
                <w:sz w:val="18"/>
              </w:rPr>
              <w:t>various times and evidence of human use is likely.</w:t>
            </w:r>
            <w:r>
              <w:rPr>
                <w:spacing w:val="-6"/>
                <w:sz w:val="18"/>
              </w:rPr>
              <w:t> </w:t>
            </w:r>
            <w:r>
              <w:rPr>
                <w:sz w:val="18"/>
              </w:rPr>
              <w:t>Encounters</w:t>
            </w:r>
            <w:r>
              <w:rPr>
                <w:spacing w:val="-5"/>
                <w:sz w:val="18"/>
              </w:rPr>
              <w:t> </w:t>
            </w:r>
            <w:r>
              <w:rPr>
                <w:sz w:val="18"/>
              </w:rPr>
              <w:t>with</w:t>
            </w:r>
            <w:r>
              <w:rPr>
                <w:spacing w:val="-5"/>
                <w:sz w:val="18"/>
              </w:rPr>
              <w:t> </w:t>
            </w:r>
            <w:r>
              <w:rPr>
                <w:sz w:val="18"/>
              </w:rPr>
              <w:t>others</w:t>
            </w:r>
            <w:r>
              <w:rPr>
                <w:spacing w:val="-7"/>
                <w:sz w:val="18"/>
              </w:rPr>
              <w:t> </w:t>
            </w:r>
            <w:r>
              <w:rPr>
                <w:sz w:val="18"/>
              </w:rPr>
              <w:t>are</w:t>
            </w:r>
            <w:r>
              <w:rPr>
                <w:spacing w:val="-5"/>
                <w:sz w:val="18"/>
              </w:rPr>
              <w:t> </w:t>
            </w:r>
            <w:r>
              <w:rPr>
                <w:sz w:val="18"/>
              </w:rPr>
              <w:t>likely on trails and at sites.</w:t>
            </w:r>
          </w:p>
        </w:tc>
      </w:tr>
      <w:tr>
        <w:trPr>
          <w:trHeight w:val="1734" w:hRule="atLeast"/>
        </w:trPr>
        <w:tc>
          <w:tcPr>
            <w:tcW w:w="1879" w:type="dxa"/>
          </w:tcPr>
          <w:p>
            <w:pPr>
              <w:pStyle w:val="TableParagraph"/>
              <w:ind w:left="107"/>
              <w:rPr>
                <w:b/>
                <w:sz w:val="18"/>
              </w:rPr>
            </w:pPr>
            <w:r>
              <w:rPr>
                <w:b/>
                <w:sz w:val="18"/>
              </w:rPr>
              <w:t>Degree</w:t>
            </w:r>
            <w:r>
              <w:rPr>
                <w:b/>
                <w:spacing w:val="-1"/>
                <w:sz w:val="18"/>
              </w:rPr>
              <w:t> </w:t>
            </w:r>
            <w:r>
              <w:rPr>
                <w:b/>
                <w:sz w:val="18"/>
              </w:rPr>
              <w:t>of</w:t>
            </w:r>
            <w:r>
              <w:rPr>
                <w:b/>
                <w:spacing w:val="-2"/>
                <w:sz w:val="18"/>
              </w:rPr>
              <w:t> Solitude</w:t>
            </w:r>
          </w:p>
        </w:tc>
        <w:tc>
          <w:tcPr>
            <w:tcW w:w="2433" w:type="dxa"/>
          </w:tcPr>
          <w:p>
            <w:pPr>
              <w:pStyle w:val="TableParagraph"/>
              <w:ind w:left="107" w:right="108"/>
              <w:rPr>
                <w:sz w:val="18"/>
              </w:rPr>
            </w:pPr>
            <w:r>
              <w:rPr>
                <w:sz w:val="18"/>
              </w:rPr>
              <w:t>Encounters with other groups</w:t>
            </w:r>
            <w:r>
              <w:rPr>
                <w:spacing w:val="-3"/>
                <w:sz w:val="18"/>
              </w:rPr>
              <w:t> </w:t>
            </w:r>
            <w:r>
              <w:rPr>
                <w:sz w:val="18"/>
              </w:rPr>
              <w:t>are</w:t>
            </w:r>
            <w:r>
              <w:rPr>
                <w:spacing w:val="-6"/>
                <w:sz w:val="18"/>
              </w:rPr>
              <w:t> </w:t>
            </w:r>
            <w:r>
              <w:rPr>
                <w:sz w:val="18"/>
              </w:rPr>
              <w:t>very</w:t>
            </w:r>
            <w:r>
              <w:rPr>
                <w:spacing w:val="-5"/>
                <w:sz w:val="18"/>
              </w:rPr>
              <w:t> </w:t>
            </w:r>
            <w:r>
              <w:rPr>
                <w:sz w:val="18"/>
              </w:rPr>
              <w:t>infrequent. Visitors have a moderately high</w:t>
            </w:r>
            <w:r>
              <w:rPr>
                <w:spacing w:val="-10"/>
                <w:sz w:val="18"/>
              </w:rPr>
              <w:t> </w:t>
            </w:r>
            <w:r>
              <w:rPr>
                <w:sz w:val="18"/>
              </w:rPr>
              <w:t>likelihood</w:t>
            </w:r>
            <w:r>
              <w:rPr>
                <w:spacing w:val="-7"/>
                <w:sz w:val="18"/>
              </w:rPr>
              <w:t> </w:t>
            </w:r>
            <w:r>
              <w:rPr>
                <w:sz w:val="18"/>
              </w:rPr>
              <w:t>of</w:t>
            </w:r>
            <w:r>
              <w:rPr>
                <w:spacing w:val="-10"/>
                <w:sz w:val="18"/>
              </w:rPr>
              <w:t> </w:t>
            </w:r>
            <w:r>
              <w:rPr>
                <w:sz w:val="18"/>
              </w:rPr>
              <w:t>seeing</w:t>
            </w:r>
            <w:r>
              <w:rPr>
                <w:spacing w:val="-10"/>
                <w:sz w:val="18"/>
              </w:rPr>
              <w:t> </w:t>
            </w:r>
            <w:r>
              <w:rPr>
                <w:sz w:val="18"/>
              </w:rPr>
              <w:t>no other people on a given day. There is a very high degree of privacy and solitude when camped.</w:t>
            </w:r>
          </w:p>
        </w:tc>
        <w:tc>
          <w:tcPr>
            <w:tcW w:w="2517" w:type="dxa"/>
          </w:tcPr>
          <w:p>
            <w:pPr>
              <w:pStyle w:val="TableParagraph"/>
              <w:spacing w:before="40"/>
              <w:ind w:left="108" w:right="83"/>
              <w:rPr>
                <w:sz w:val="18"/>
              </w:rPr>
            </w:pPr>
            <w:r>
              <w:rPr>
                <w:sz w:val="18"/>
              </w:rPr>
              <w:t>Encounters with other</w:t>
            </w:r>
            <w:r>
              <w:rPr>
                <w:spacing w:val="40"/>
                <w:sz w:val="18"/>
              </w:rPr>
              <w:t> </w:t>
            </w:r>
            <w:r>
              <w:rPr>
                <w:sz w:val="18"/>
              </w:rPr>
              <w:t>groups are infrequent and primarily on trails and at campsites.</w:t>
            </w:r>
            <w:r>
              <w:rPr>
                <w:spacing w:val="-15"/>
                <w:sz w:val="18"/>
              </w:rPr>
              <w:t> </w:t>
            </w:r>
            <w:r>
              <w:rPr>
                <w:sz w:val="18"/>
              </w:rPr>
              <w:t>Overnight</w:t>
            </w:r>
            <w:r>
              <w:rPr>
                <w:spacing w:val="-12"/>
                <w:sz w:val="18"/>
              </w:rPr>
              <w:t> </w:t>
            </w:r>
            <w:r>
              <w:rPr>
                <w:sz w:val="18"/>
              </w:rPr>
              <w:t>visitors have a sense of seclusion from other</w:t>
            </w:r>
            <w:r>
              <w:rPr>
                <w:spacing w:val="-1"/>
                <w:sz w:val="18"/>
              </w:rPr>
              <w:t> </w:t>
            </w:r>
            <w:r>
              <w:rPr>
                <w:sz w:val="18"/>
              </w:rPr>
              <w:t>overnight groups.</w:t>
            </w:r>
          </w:p>
        </w:tc>
        <w:tc>
          <w:tcPr>
            <w:tcW w:w="2791" w:type="dxa"/>
          </w:tcPr>
          <w:p>
            <w:pPr>
              <w:pStyle w:val="TableParagraph"/>
              <w:spacing w:before="40"/>
              <w:ind w:left="109" w:right="87"/>
              <w:rPr>
                <w:sz w:val="18"/>
              </w:rPr>
            </w:pPr>
            <w:r>
              <w:rPr>
                <w:sz w:val="18"/>
              </w:rPr>
              <w:t>Encounters with other groups are fairly frequent. Visitors experience relatively long interludes</w:t>
            </w:r>
            <w:r>
              <w:rPr>
                <w:spacing w:val="-8"/>
                <w:sz w:val="18"/>
              </w:rPr>
              <w:t> </w:t>
            </w:r>
            <w:r>
              <w:rPr>
                <w:sz w:val="18"/>
              </w:rPr>
              <w:t>of</w:t>
            </w:r>
            <w:r>
              <w:rPr>
                <w:spacing w:val="-11"/>
                <w:sz w:val="18"/>
              </w:rPr>
              <w:t> </w:t>
            </w:r>
            <w:r>
              <w:rPr>
                <w:sz w:val="18"/>
              </w:rPr>
              <w:t>solitude</w:t>
            </w:r>
            <w:r>
              <w:rPr>
                <w:spacing w:val="-11"/>
                <w:sz w:val="18"/>
              </w:rPr>
              <w:t> </w:t>
            </w:r>
            <w:r>
              <w:rPr>
                <w:sz w:val="18"/>
              </w:rPr>
              <w:t>in</w:t>
            </w:r>
            <w:r>
              <w:rPr>
                <w:spacing w:val="-8"/>
                <w:sz w:val="18"/>
              </w:rPr>
              <w:t> </w:t>
            </w:r>
            <w:r>
              <w:rPr>
                <w:sz w:val="18"/>
              </w:rPr>
              <w:t>between encountering other groups.</w:t>
            </w:r>
          </w:p>
          <w:p>
            <w:pPr>
              <w:pStyle w:val="TableParagraph"/>
              <w:spacing w:before="0"/>
              <w:ind w:left="109"/>
              <w:rPr>
                <w:sz w:val="18"/>
              </w:rPr>
            </w:pPr>
            <w:r>
              <w:rPr>
                <w:sz w:val="18"/>
              </w:rPr>
              <w:t>Visitors</w:t>
            </w:r>
            <w:r>
              <w:rPr>
                <w:spacing w:val="-6"/>
                <w:sz w:val="18"/>
              </w:rPr>
              <w:t> </w:t>
            </w:r>
            <w:r>
              <w:rPr>
                <w:sz w:val="18"/>
              </w:rPr>
              <w:t>will</w:t>
            </w:r>
            <w:r>
              <w:rPr>
                <w:spacing w:val="-9"/>
                <w:sz w:val="18"/>
              </w:rPr>
              <w:t> </w:t>
            </w:r>
            <w:r>
              <w:rPr>
                <w:sz w:val="18"/>
              </w:rPr>
              <w:t>likely</w:t>
            </w:r>
            <w:r>
              <w:rPr>
                <w:spacing w:val="-8"/>
                <w:sz w:val="18"/>
              </w:rPr>
              <w:t> </w:t>
            </w:r>
            <w:r>
              <w:rPr>
                <w:sz w:val="18"/>
              </w:rPr>
              <w:t>see</w:t>
            </w:r>
            <w:r>
              <w:rPr>
                <w:spacing w:val="-6"/>
                <w:sz w:val="18"/>
              </w:rPr>
              <w:t> </w:t>
            </w:r>
            <w:r>
              <w:rPr>
                <w:sz w:val="18"/>
              </w:rPr>
              <w:t>and</w:t>
            </w:r>
            <w:r>
              <w:rPr>
                <w:spacing w:val="-6"/>
                <w:sz w:val="18"/>
              </w:rPr>
              <w:t> </w:t>
            </w:r>
            <w:r>
              <w:rPr>
                <w:sz w:val="18"/>
              </w:rPr>
              <w:t>hear other parties when camped.</w:t>
            </w:r>
          </w:p>
        </w:tc>
        <w:tc>
          <w:tcPr>
            <w:tcW w:w="3319" w:type="dxa"/>
          </w:tcPr>
          <w:p>
            <w:pPr>
              <w:pStyle w:val="TableParagraph"/>
              <w:spacing w:before="40"/>
              <w:ind w:left="106" w:right="88"/>
              <w:rPr>
                <w:sz w:val="18"/>
              </w:rPr>
            </w:pPr>
            <w:r>
              <w:rPr>
                <w:sz w:val="18"/>
              </w:rPr>
              <w:t>Encounters</w:t>
            </w:r>
            <w:r>
              <w:rPr>
                <w:spacing w:val="-7"/>
                <w:sz w:val="18"/>
              </w:rPr>
              <w:t> </w:t>
            </w:r>
            <w:r>
              <w:rPr>
                <w:sz w:val="18"/>
              </w:rPr>
              <w:t>with</w:t>
            </w:r>
            <w:r>
              <w:rPr>
                <w:spacing w:val="-7"/>
                <w:sz w:val="18"/>
              </w:rPr>
              <w:t> </w:t>
            </w:r>
            <w:r>
              <w:rPr>
                <w:sz w:val="18"/>
              </w:rPr>
              <w:t>other</w:t>
            </w:r>
            <w:r>
              <w:rPr>
                <w:spacing w:val="-7"/>
                <w:sz w:val="18"/>
              </w:rPr>
              <w:t> </w:t>
            </w:r>
            <w:r>
              <w:rPr>
                <w:sz w:val="18"/>
              </w:rPr>
              <w:t>groups</w:t>
            </w:r>
            <w:r>
              <w:rPr>
                <w:spacing w:val="-11"/>
                <w:sz w:val="18"/>
              </w:rPr>
              <w:t> </w:t>
            </w:r>
            <w:r>
              <w:rPr>
                <w:sz w:val="18"/>
              </w:rPr>
              <w:t>are</w:t>
            </w:r>
            <w:r>
              <w:rPr>
                <w:spacing w:val="-7"/>
                <w:sz w:val="18"/>
              </w:rPr>
              <w:t> </w:t>
            </w:r>
            <w:r>
              <w:rPr>
                <w:sz w:val="18"/>
              </w:rPr>
              <w:t>very frequent.</w:t>
            </w:r>
            <w:r>
              <w:rPr>
                <w:spacing w:val="-12"/>
                <w:sz w:val="18"/>
              </w:rPr>
              <w:t> </w:t>
            </w:r>
            <w:r>
              <w:rPr>
                <w:sz w:val="18"/>
              </w:rPr>
              <w:t>Visitors</w:t>
            </w:r>
            <w:r>
              <w:rPr>
                <w:spacing w:val="-12"/>
                <w:sz w:val="18"/>
              </w:rPr>
              <w:t> </w:t>
            </w:r>
            <w:r>
              <w:rPr>
                <w:sz w:val="18"/>
              </w:rPr>
              <w:t>experience</w:t>
            </w:r>
            <w:r>
              <w:rPr>
                <w:spacing w:val="-13"/>
                <w:sz w:val="18"/>
              </w:rPr>
              <w:t> </w:t>
            </w:r>
            <w:r>
              <w:rPr>
                <w:sz w:val="18"/>
              </w:rPr>
              <w:t>relatively short</w:t>
            </w:r>
            <w:r>
              <w:rPr>
                <w:spacing w:val="-4"/>
                <w:sz w:val="18"/>
              </w:rPr>
              <w:t> </w:t>
            </w:r>
            <w:r>
              <w:rPr>
                <w:sz w:val="18"/>
              </w:rPr>
              <w:t>interludes</w:t>
            </w:r>
            <w:r>
              <w:rPr>
                <w:spacing w:val="-3"/>
                <w:sz w:val="18"/>
              </w:rPr>
              <w:t> </w:t>
            </w:r>
            <w:r>
              <w:rPr>
                <w:sz w:val="18"/>
              </w:rPr>
              <w:t>of</w:t>
            </w:r>
            <w:r>
              <w:rPr>
                <w:spacing w:val="-2"/>
                <w:sz w:val="18"/>
              </w:rPr>
              <w:t> </w:t>
            </w:r>
            <w:r>
              <w:rPr>
                <w:sz w:val="18"/>
              </w:rPr>
              <w:t>solitude</w:t>
            </w:r>
            <w:r>
              <w:rPr>
                <w:spacing w:val="-4"/>
                <w:sz w:val="18"/>
              </w:rPr>
              <w:t> </w:t>
            </w:r>
            <w:r>
              <w:rPr>
                <w:sz w:val="18"/>
              </w:rPr>
              <w:t>in</w:t>
            </w:r>
            <w:r>
              <w:rPr>
                <w:spacing w:val="-4"/>
                <w:sz w:val="18"/>
              </w:rPr>
              <w:t> </w:t>
            </w:r>
            <w:r>
              <w:rPr>
                <w:sz w:val="18"/>
              </w:rPr>
              <w:t>between encountering other groups. Visitors regularly see and hear other parties when camped.</w:t>
            </w:r>
          </w:p>
        </w:tc>
      </w:tr>
      <w:tr>
        <w:trPr>
          <w:trHeight w:val="2564" w:hRule="atLeast"/>
        </w:trPr>
        <w:tc>
          <w:tcPr>
            <w:tcW w:w="1879" w:type="dxa"/>
          </w:tcPr>
          <w:p>
            <w:pPr>
              <w:pStyle w:val="TableParagraph"/>
              <w:spacing w:before="42"/>
              <w:ind w:left="107"/>
              <w:rPr>
                <w:b/>
                <w:sz w:val="18"/>
              </w:rPr>
            </w:pPr>
            <w:r>
              <w:rPr>
                <w:b/>
                <w:spacing w:val="-2"/>
                <w:sz w:val="18"/>
              </w:rPr>
              <w:t>Campsites</w:t>
            </w:r>
          </w:p>
        </w:tc>
        <w:tc>
          <w:tcPr>
            <w:tcW w:w="2433" w:type="dxa"/>
          </w:tcPr>
          <w:p>
            <w:pPr>
              <w:pStyle w:val="TableParagraph"/>
              <w:spacing w:before="42"/>
              <w:ind w:left="107" w:right="108"/>
              <w:rPr>
                <w:sz w:val="18"/>
              </w:rPr>
            </w:pPr>
            <w:r>
              <w:rPr>
                <w:sz w:val="18"/>
              </w:rPr>
              <w:t>Low density of small, discreet campsites, not visible</w:t>
            </w:r>
            <w:r>
              <w:rPr>
                <w:spacing w:val="-8"/>
                <w:sz w:val="18"/>
              </w:rPr>
              <w:t> </w:t>
            </w:r>
            <w:r>
              <w:rPr>
                <w:sz w:val="18"/>
              </w:rPr>
              <w:t>or</w:t>
            </w:r>
            <w:r>
              <w:rPr>
                <w:spacing w:val="-9"/>
                <w:sz w:val="18"/>
              </w:rPr>
              <w:t> </w:t>
            </w:r>
            <w:r>
              <w:rPr>
                <w:sz w:val="18"/>
              </w:rPr>
              <w:t>audible</w:t>
            </w:r>
            <w:r>
              <w:rPr>
                <w:spacing w:val="-11"/>
                <w:sz w:val="18"/>
              </w:rPr>
              <w:t> </w:t>
            </w:r>
            <w:r>
              <w:rPr>
                <w:sz w:val="18"/>
              </w:rPr>
              <w:t>to</w:t>
            </w:r>
            <w:r>
              <w:rPr>
                <w:spacing w:val="-8"/>
                <w:sz w:val="18"/>
              </w:rPr>
              <w:t> </w:t>
            </w:r>
            <w:r>
              <w:rPr>
                <w:sz w:val="18"/>
              </w:rPr>
              <w:t>each </w:t>
            </w:r>
            <w:r>
              <w:rPr>
                <w:spacing w:val="-2"/>
                <w:sz w:val="18"/>
              </w:rPr>
              <w:t>other.</w:t>
            </w:r>
          </w:p>
        </w:tc>
        <w:tc>
          <w:tcPr>
            <w:tcW w:w="2517" w:type="dxa"/>
          </w:tcPr>
          <w:p>
            <w:pPr>
              <w:pStyle w:val="TableParagraph"/>
              <w:spacing w:before="42"/>
              <w:ind w:left="108" w:right="104"/>
              <w:rPr>
                <w:sz w:val="18"/>
              </w:rPr>
            </w:pPr>
            <w:r>
              <w:rPr>
                <w:sz w:val="18"/>
              </w:rPr>
              <w:t>Low density of campsites generally not visible or audible to each other. Small discreet sites are available</w:t>
            </w:r>
            <w:r>
              <w:rPr>
                <w:spacing w:val="40"/>
                <w:sz w:val="18"/>
              </w:rPr>
              <w:t> </w:t>
            </w:r>
            <w:r>
              <w:rPr>
                <w:sz w:val="18"/>
              </w:rPr>
              <w:t>to accommodate smaller group</w:t>
            </w:r>
            <w:r>
              <w:rPr>
                <w:spacing w:val="-8"/>
                <w:sz w:val="18"/>
              </w:rPr>
              <w:t> </w:t>
            </w:r>
            <w:r>
              <w:rPr>
                <w:sz w:val="18"/>
              </w:rPr>
              <w:t>sizes.</w:t>
            </w:r>
            <w:r>
              <w:rPr>
                <w:spacing w:val="-7"/>
                <w:sz w:val="18"/>
              </w:rPr>
              <w:t> </w:t>
            </w:r>
            <w:r>
              <w:rPr>
                <w:sz w:val="18"/>
              </w:rPr>
              <w:t>There</w:t>
            </w:r>
            <w:r>
              <w:rPr>
                <w:spacing w:val="-8"/>
                <w:sz w:val="18"/>
              </w:rPr>
              <w:t> </w:t>
            </w:r>
            <w:r>
              <w:rPr>
                <w:sz w:val="18"/>
              </w:rPr>
              <w:t>may</w:t>
            </w:r>
            <w:r>
              <w:rPr>
                <w:spacing w:val="-8"/>
                <w:sz w:val="18"/>
              </w:rPr>
              <w:t> </w:t>
            </w:r>
            <w:r>
              <w:rPr>
                <w:sz w:val="18"/>
              </w:rPr>
              <w:t>be</w:t>
            </w:r>
            <w:r>
              <w:rPr>
                <w:spacing w:val="-6"/>
                <w:sz w:val="18"/>
              </w:rPr>
              <w:t> </w:t>
            </w:r>
            <w:r>
              <w:rPr>
                <w:sz w:val="18"/>
              </w:rPr>
              <w:t>a few larger resilient sites that can accommodate use from large groups.</w:t>
            </w:r>
          </w:p>
        </w:tc>
        <w:tc>
          <w:tcPr>
            <w:tcW w:w="2791" w:type="dxa"/>
          </w:tcPr>
          <w:p>
            <w:pPr>
              <w:pStyle w:val="TableParagraph"/>
              <w:spacing w:before="42"/>
              <w:ind w:left="109" w:right="87"/>
              <w:rPr>
                <w:sz w:val="18"/>
              </w:rPr>
            </w:pPr>
            <w:r>
              <w:rPr>
                <w:sz w:val="18"/>
              </w:rPr>
              <w:t>Moderate density of campsites that can absorb multiple groups in</w:t>
            </w:r>
            <w:r>
              <w:rPr>
                <w:spacing w:val="-5"/>
                <w:sz w:val="18"/>
              </w:rPr>
              <w:t> </w:t>
            </w:r>
            <w:r>
              <w:rPr>
                <w:sz w:val="18"/>
              </w:rPr>
              <w:t>a</w:t>
            </w:r>
            <w:r>
              <w:rPr>
                <w:spacing w:val="-8"/>
                <w:sz w:val="18"/>
              </w:rPr>
              <w:t> </w:t>
            </w:r>
            <w:r>
              <w:rPr>
                <w:sz w:val="18"/>
              </w:rPr>
              <w:t>given</w:t>
            </w:r>
            <w:r>
              <w:rPr>
                <w:spacing w:val="-5"/>
                <w:sz w:val="18"/>
              </w:rPr>
              <w:t> </w:t>
            </w:r>
            <w:r>
              <w:rPr>
                <w:sz w:val="18"/>
              </w:rPr>
              <w:t>location</w:t>
            </w:r>
            <w:r>
              <w:rPr>
                <w:spacing w:val="-5"/>
                <w:sz w:val="18"/>
              </w:rPr>
              <w:t> </w:t>
            </w:r>
            <w:r>
              <w:rPr>
                <w:sz w:val="18"/>
              </w:rPr>
              <w:t>but</w:t>
            </w:r>
            <w:r>
              <w:rPr>
                <w:spacing w:val="-8"/>
                <w:sz w:val="18"/>
              </w:rPr>
              <w:t> </w:t>
            </w:r>
            <w:r>
              <w:rPr>
                <w:sz w:val="18"/>
              </w:rPr>
              <w:t>still</w:t>
            </w:r>
            <w:r>
              <w:rPr>
                <w:spacing w:val="-8"/>
                <w:sz w:val="18"/>
              </w:rPr>
              <w:t> </w:t>
            </w:r>
            <w:r>
              <w:rPr>
                <w:sz w:val="18"/>
              </w:rPr>
              <w:t>afford a moderate degree of privacy when visitors are camped.</w:t>
            </w:r>
          </w:p>
          <w:p>
            <w:pPr>
              <w:pStyle w:val="TableParagraph"/>
              <w:spacing w:before="0"/>
              <w:ind w:left="109" w:right="90"/>
              <w:rPr>
                <w:sz w:val="18"/>
              </w:rPr>
            </w:pPr>
            <w:r>
              <w:rPr>
                <w:sz w:val="18"/>
              </w:rPr>
              <w:t>Small discreet sites are available to accommodate smaller group sizes. There may be a few larger resilient sites that</w:t>
            </w:r>
            <w:r>
              <w:rPr>
                <w:spacing w:val="-10"/>
                <w:sz w:val="18"/>
              </w:rPr>
              <w:t> </w:t>
            </w:r>
            <w:r>
              <w:rPr>
                <w:sz w:val="18"/>
              </w:rPr>
              <w:t>can</w:t>
            </w:r>
            <w:r>
              <w:rPr>
                <w:spacing w:val="-10"/>
                <w:sz w:val="18"/>
              </w:rPr>
              <w:t> </w:t>
            </w:r>
            <w:r>
              <w:rPr>
                <w:sz w:val="18"/>
              </w:rPr>
              <w:t>accommodate</w:t>
            </w:r>
            <w:r>
              <w:rPr>
                <w:spacing w:val="-10"/>
                <w:sz w:val="18"/>
              </w:rPr>
              <w:t> </w:t>
            </w:r>
            <w:r>
              <w:rPr>
                <w:sz w:val="18"/>
              </w:rPr>
              <w:t>use</w:t>
            </w:r>
            <w:r>
              <w:rPr>
                <w:spacing w:val="-10"/>
                <w:sz w:val="18"/>
              </w:rPr>
              <w:t> </w:t>
            </w:r>
            <w:r>
              <w:rPr>
                <w:sz w:val="18"/>
              </w:rPr>
              <w:t>from large groups.</w:t>
            </w:r>
          </w:p>
        </w:tc>
        <w:tc>
          <w:tcPr>
            <w:tcW w:w="3319" w:type="dxa"/>
          </w:tcPr>
          <w:p>
            <w:pPr>
              <w:pStyle w:val="TableParagraph"/>
              <w:spacing w:before="43"/>
              <w:ind w:left="106" w:right="101"/>
              <w:rPr>
                <w:sz w:val="18"/>
              </w:rPr>
            </w:pPr>
            <w:r>
              <w:rPr>
                <w:sz w:val="18"/>
              </w:rPr>
              <w:t>Moderate to high density. Sites are likely to be intervisible or interaudible</w:t>
            </w:r>
            <w:r>
              <w:rPr>
                <w:spacing w:val="40"/>
                <w:sz w:val="18"/>
              </w:rPr>
              <w:t> </w:t>
            </w:r>
            <w:r>
              <w:rPr>
                <w:sz w:val="18"/>
              </w:rPr>
              <w:t>in a given location, however visitors</w:t>
            </w:r>
            <w:r>
              <w:rPr>
                <w:spacing w:val="40"/>
                <w:sz w:val="18"/>
              </w:rPr>
              <w:t> </w:t>
            </w:r>
            <w:r>
              <w:rPr>
                <w:sz w:val="18"/>
              </w:rPr>
              <w:t>still have a sense of privacy afforded by</w:t>
            </w:r>
            <w:r>
              <w:rPr>
                <w:spacing w:val="-9"/>
                <w:sz w:val="18"/>
              </w:rPr>
              <w:t> </w:t>
            </w:r>
            <w:r>
              <w:rPr>
                <w:sz w:val="18"/>
              </w:rPr>
              <w:t>vegetation,</w:t>
            </w:r>
            <w:r>
              <w:rPr>
                <w:spacing w:val="-8"/>
                <w:sz w:val="18"/>
              </w:rPr>
              <w:t> </w:t>
            </w:r>
            <w:r>
              <w:rPr>
                <w:sz w:val="18"/>
              </w:rPr>
              <w:t>topography,</w:t>
            </w:r>
            <w:r>
              <w:rPr>
                <w:spacing w:val="-8"/>
                <w:sz w:val="18"/>
              </w:rPr>
              <w:t> </w:t>
            </w:r>
            <w:r>
              <w:rPr>
                <w:sz w:val="18"/>
              </w:rPr>
              <w:t>or</w:t>
            </w:r>
            <w:r>
              <w:rPr>
                <w:spacing w:val="-12"/>
                <w:sz w:val="18"/>
              </w:rPr>
              <w:t> </w:t>
            </w:r>
            <w:r>
              <w:rPr>
                <w:sz w:val="18"/>
              </w:rPr>
              <w:t>distance. Campsites are managed to accommodate constant use during peak use periods. Small discreet sites are available to accommodate smaller group sizes. There may be a few</w:t>
            </w:r>
            <w:r>
              <w:rPr>
                <w:spacing w:val="40"/>
                <w:sz w:val="18"/>
              </w:rPr>
              <w:t> </w:t>
            </w:r>
            <w:r>
              <w:rPr>
                <w:sz w:val="18"/>
              </w:rPr>
              <w:t>larger resilient sites that can accommodate use from large groups.</w:t>
            </w:r>
          </w:p>
        </w:tc>
      </w:tr>
    </w:tbl>
    <w:p>
      <w:pPr>
        <w:pStyle w:val="TableParagraph"/>
        <w:spacing w:after="0"/>
        <w:rPr>
          <w:sz w:val="18"/>
        </w:rPr>
        <w:sectPr>
          <w:headerReference w:type="even" r:id="rId62"/>
          <w:footerReference w:type="even" r:id="rId63"/>
          <w:pgSz w:w="15840" w:h="12240" w:orient="landscape"/>
          <w:pgMar w:header="725" w:footer="891" w:top="960" w:bottom="1080" w:left="1440" w:right="1440"/>
          <w:pgNumType w:start="142"/>
        </w:sectPr>
      </w:pPr>
    </w:p>
    <w:p>
      <w:pPr>
        <w:spacing w:before="79"/>
        <w:ind w:left="2" w:right="0" w:firstLine="0"/>
        <w:jc w:val="center"/>
        <w:rPr>
          <w:rFonts w:ascii="Arial"/>
          <w:b/>
          <w:sz w:val="18"/>
        </w:rPr>
      </w:pPr>
      <w:r>
        <w:rPr>
          <w:rFonts w:ascii="Arial"/>
          <w:b/>
          <w:sz w:val="18"/>
        </w:rPr>
        <mc:AlternateContent>
          <mc:Choice Requires="wps">
            <w:drawing>
              <wp:anchor distT="0" distB="0" distL="0" distR="0" allowOverlap="1" layoutInCell="1" locked="0" behindDoc="0" simplePos="0" relativeHeight="15773696">
                <wp:simplePos x="0" y="0"/>
                <wp:positionH relativeFrom="page">
                  <wp:posOffset>896111</wp:posOffset>
                </wp:positionH>
                <wp:positionV relativeFrom="paragraph">
                  <wp:posOffset>194055</wp:posOffset>
                </wp:positionV>
                <wp:extent cx="8266430" cy="12700"/>
                <wp:effectExtent l="0" t="0" r="0" b="0"/>
                <wp:wrapNone/>
                <wp:docPr id="231" name="Graphic 231"/>
                <wp:cNvGraphicFramePr>
                  <a:graphicFrameLocks/>
                </wp:cNvGraphicFramePr>
                <a:graphic>
                  <a:graphicData uri="http://schemas.microsoft.com/office/word/2010/wordprocessingShape">
                    <wps:wsp>
                      <wps:cNvPr id="231" name="Graphic 231"/>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15.28pt;width:650.88pt;height:.96pt;mso-position-horizontal-relative:page;mso-position-vertical-relative:paragraph;z-index:15773696" id="docshape217" filled="true" fillcolor="#283014" stroked="false">
                <v:fill type="solid"/>
                <w10:wrap type="none"/>
              </v:rect>
            </w:pict>
          </mc:Fallback>
        </mc:AlternateContent>
      </w: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p>
      <w:pPr>
        <w:pStyle w:val="BodyText"/>
        <w:rPr>
          <w:rFonts w:ascii="Arial"/>
          <w:b/>
          <w:sz w:val="20"/>
        </w:rPr>
      </w:pPr>
    </w:p>
    <w:p>
      <w:pPr>
        <w:pStyle w:val="BodyText"/>
        <w:rPr>
          <w:rFonts w:ascii="Arial"/>
          <w:b/>
          <w:sz w:val="20"/>
        </w:rPr>
      </w:pPr>
    </w:p>
    <w:p>
      <w:pPr>
        <w:pStyle w:val="BodyText"/>
        <w:spacing w:before="167"/>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879"/>
        <w:gridCol w:w="2433"/>
        <w:gridCol w:w="2517"/>
        <w:gridCol w:w="2791"/>
        <w:gridCol w:w="3319"/>
      </w:tblGrid>
      <w:tr>
        <w:trPr>
          <w:trHeight w:val="284" w:hRule="atLeast"/>
        </w:trPr>
        <w:tc>
          <w:tcPr>
            <w:tcW w:w="1879" w:type="dxa"/>
            <w:tcBorders>
              <w:right w:val="nil"/>
            </w:tcBorders>
            <w:shd w:val="clear" w:color="auto" w:fill="D5E2BB"/>
          </w:tcPr>
          <w:p>
            <w:pPr>
              <w:pStyle w:val="TableParagraph"/>
              <w:spacing w:before="0"/>
              <w:rPr>
                <w:rFonts w:ascii="Times New Roman"/>
                <w:sz w:val="18"/>
              </w:rPr>
            </w:pPr>
          </w:p>
        </w:tc>
        <w:tc>
          <w:tcPr>
            <w:tcW w:w="2433" w:type="dxa"/>
            <w:tcBorders>
              <w:left w:val="nil"/>
              <w:right w:val="nil"/>
            </w:tcBorders>
            <w:shd w:val="clear" w:color="auto" w:fill="D5E2BB"/>
          </w:tcPr>
          <w:p>
            <w:pPr>
              <w:pStyle w:val="TableParagraph"/>
              <w:ind w:left="19"/>
              <w:jc w:val="center"/>
              <w:rPr>
                <w:b/>
                <w:sz w:val="18"/>
              </w:rPr>
            </w:pPr>
            <w:r>
              <w:rPr>
                <w:b/>
                <w:spacing w:val="-2"/>
                <w:sz w:val="18"/>
              </w:rPr>
              <w:t>Pristine</w:t>
            </w:r>
          </w:p>
        </w:tc>
        <w:tc>
          <w:tcPr>
            <w:tcW w:w="2517" w:type="dxa"/>
            <w:tcBorders>
              <w:left w:val="nil"/>
              <w:right w:val="nil"/>
            </w:tcBorders>
            <w:shd w:val="clear" w:color="auto" w:fill="D5E2BB"/>
          </w:tcPr>
          <w:p>
            <w:pPr>
              <w:pStyle w:val="TableParagraph"/>
              <w:ind w:left="20"/>
              <w:jc w:val="center"/>
              <w:rPr>
                <w:b/>
                <w:sz w:val="18"/>
              </w:rPr>
            </w:pPr>
            <w:r>
              <w:rPr>
                <w:b/>
                <w:spacing w:val="-2"/>
                <w:sz w:val="18"/>
              </w:rPr>
              <w:t>Primitive</w:t>
            </w:r>
          </w:p>
        </w:tc>
        <w:tc>
          <w:tcPr>
            <w:tcW w:w="2791" w:type="dxa"/>
            <w:tcBorders>
              <w:left w:val="nil"/>
              <w:right w:val="nil"/>
            </w:tcBorders>
            <w:shd w:val="clear" w:color="auto" w:fill="D5E2BB"/>
          </w:tcPr>
          <w:p>
            <w:pPr>
              <w:pStyle w:val="TableParagraph"/>
              <w:ind w:left="783"/>
              <w:rPr>
                <w:b/>
                <w:sz w:val="18"/>
              </w:rPr>
            </w:pPr>
            <w:r>
              <w:rPr>
                <w:b/>
                <w:spacing w:val="-2"/>
                <w:sz w:val="18"/>
              </w:rPr>
              <w:t>Semi-primitive</w:t>
            </w:r>
          </w:p>
        </w:tc>
        <w:tc>
          <w:tcPr>
            <w:tcW w:w="3319" w:type="dxa"/>
            <w:tcBorders>
              <w:left w:val="nil"/>
            </w:tcBorders>
            <w:shd w:val="clear" w:color="auto" w:fill="D5E2BB"/>
          </w:tcPr>
          <w:p>
            <w:pPr>
              <w:pStyle w:val="TableParagraph"/>
              <w:ind w:left="29"/>
              <w:jc w:val="center"/>
              <w:rPr>
                <w:b/>
                <w:sz w:val="18"/>
              </w:rPr>
            </w:pPr>
            <w:r>
              <w:rPr>
                <w:b/>
                <w:spacing w:val="-2"/>
                <w:sz w:val="18"/>
              </w:rPr>
              <w:t>Transition</w:t>
            </w:r>
          </w:p>
        </w:tc>
      </w:tr>
      <w:tr>
        <w:trPr>
          <w:trHeight w:val="4633" w:hRule="atLeast"/>
        </w:trPr>
        <w:tc>
          <w:tcPr>
            <w:tcW w:w="1879" w:type="dxa"/>
          </w:tcPr>
          <w:p>
            <w:pPr>
              <w:pStyle w:val="TableParagraph"/>
              <w:spacing w:before="42"/>
              <w:ind w:left="107"/>
              <w:rPr>
                <w:b/>
                <w:sz w:val="18"/>
              </w:rPr>
            </w:pPr>
            <w:r>
              <w:rPr>
                <w:b/>
                <w:spacing w:val="-2"/>
                <w:sz w:val="18"/>
              </w:rPr>
              <w:t>Trails</w:t>
            </w:r>
          </w:p>
        </w:tc>
        <w:tc>
          <w:tcPr>
            <w:tcW w:w="2433" w:type="dxa"/>
          </w:tcPr>
          <w:p>
            <w:pPr>
              <w:pStyle w:val="TableParagraph"/>
              <w:spacing w:before="42"/>
              <w:ind w:left="107" w:right="118"/>
              <w:rPr>
                <w:sz w:val="18"/>
              </w:rPr>
            </w:pPr>
            <w:r>
              <w:rPr>
                <w:sz w:val="18"/>
              </w:rPr>
              <w:t>No system trails. Destination points accessed by cross-country travel. User established trails</w:t>
            </w:r>
            <w:r>
              <w:rPr>
                <w:spacing w:val="-10"/>
                <w:sz w:val="18"/>
              </w:rPr>
              <w:t> </w:t>
            </w:r>
            <w:r>
              <w:rPr>
                <w:sz w:val="18"/>
              </w:rPr>
              <w:t>discontinuous</w:t>
            </w:r>
            <w:r>
              <w:rPr>
                <w:spacing w:val="-12"/>
                <w:sz w:val="18"/>
              </w:rPr>
              <w:t> </w:t>
            </w:r>
            <w:r>
              <w:rPr>
                <w:sz w:val="18"/>
              </w:rPr>
              <w:t>and</w:t>
            </w:r>
            <w:r>
              <w:rPr>
                <w:spacing w:val="-13"/>
                <w:sz w:val="18"/>
              </w:rPr>
              <w:t> </w:t>
            </w:r>
            <w:r>
              <w:rPr>
                <w:sz w:val="18"/>
              </w:rPr>
              <w:t>not discernable. Social trails at destination areas are almost indiscernible.</w:t>
            </w:r>
          </w:p>
        </w:tc>
        <w:tc>
          <w:tcPr>
            <w:tcW w:w="2517" w:type="dxa"/>
          </w:tcPr>
          <w:p>
            <w:pPr>
              <w:pStyle w:val="TableParagraph"/>
              <w:spacing w:before="42"/>
              <w:ind w:left="108" w:right="132"/>
              <w:rPr>
                <w:sz w:val="18"/>
              </w:rPr>
            </w:pPr>
            <w:r>
              <w:rPr>
                <w:sz w:val="18"/>
              </w:rPr>
              <w:t>System</w:t>
            </w:r>
            <w:r>
              <w:rPr>
                <w:spacing w:val="-5"/>
                <w:sz w:val="18"/>
              </w:rPr>
              <w:t> </w:t>
            </w:r>
            <w:r>
              <w:rPr>
                <w:sz w:val="18"/>
              </w:rPr>
              <w:t>trails</w:t>
            </w:r>
            <w:r>
              <w:rPr>
                <w:spacing w:val="-5"/>
                <w:sz w:val="18"/>
              </w:rPr>
              <w:t> </w:t>
            </w:r>
            <w:r>
              <w:rPr>
                <w:sz w:val="18"/>
              </w:rPr>
              <w:t>present</w:t>
            </w:r>
            <w:r>
              <w:rPr>
                <w:spacing w:val="-6"/>
                <w:sz w:val="18"/>
              </w:rPr>
              <w:t> </w:t>
            </w:r>
            <w:r>
              <w:rPr>
                <w:sz w:val="18"/>
              </w:rPr>
              <w:t>in</w:t>
            </w:r>
            <w:r>
              <w:rPr>
                <w:spacing w:val="-8"/>
                <w:sz w:val="18"/>
              </w:rPr>
              <w:t> </w:t>
            </w:r>
            <w:r>
              <w:rPr>
                <w:sz w:val="18"/>
              </w:rPr>
              <w:t>this class are generally at low density. Main trails may be designed</w:t>
            </w:r>
            <w:r>
              <w:rPr>
                <w:spacing w:val="-12"/>
                <w:sz w:val="18"/>
              </w:rPr>
              <w:t> </w:t>
            </w:r>
            <w:r>
              <w:rPr>
                <w:sz w:val="18"/>
              </w:rPr>
              <w:t>and</w:t>
            </w:r>
            <w:r>
              <w:rPr>
                <w:spacing w:val="-12"/>
                <w:sz w:val="18"/>
              </w:rPr>
              <w:t> </w:t>
            </w:r>
            <w:r>
              <w:rPr>
                <w:sz w:val="18"/>
              </w:rPr>
              <w:t>maintained</w:t>
            </w:r>
            <w:r>
              <w:rPr>
                <w:spacing w:val="-12"/>
                <w:sz w:val="18"/>
              </w:rPr>
              <w:t> </w:t>
            </w:r>
            <w:r>
              <w:rPr>
                <w:sz w:val="18"/>
              </w:rPr>
              <w:t>to facilitate through-travel; however, challenging situations (fording streams and rivers) may exist. Side trails are generally more challenging to travel and receive less frequent maintenance when funding is limited. Some user- developed trails may exist, but are not encouraged for use and are only minimally maintained if essential for resource protection.</w:t>
            </w:r>
          </w:p>
          <w:p>
            <w:pPr>
              <w:pStyle w:val="TableParagraph"/>
              <w:spacing w:before="0"/>
              <w:ind w:left="108" w:right="47"/>
              <w:rPr>
                <w:sz w:val="18"/>
              </w:rPr>
            </w:pPr>
            <w:r>
              <w:rPr>
                <w:sz w:val="18"/>
              </w:rPr>
              <w:t>Proliferation</w:t>
            </w:r>
            <w:r>
              <w:rPr>
                <w:spacing w:val="-8"/>
                <w:sz w:val="18"/>
              </w:rPr>
              <w:t> </w:t>
            </w:r>
            <w:r>
              <w:rPr>
                <w:sz w:val="18"/>
              </w:rPr>
              <w:t>of</w:t>
            </w:r>
            <w:r>
              <w:rPr>
                <w:spacing w:val="-11"/>
                <w:sz w:val="18"/>
              </w:rPr>
              <w:t> </w:t>
            </w:r>
            <w:r>
              <w:rPr>
                <w:sz w:val="18"/>
              </w:rPr>
              <w:t>social</w:t>
            </w:r>
            <w:r>
              <w:rPr>
                <w:spacing w:val="-8"/>
                <w:sz w:val="18"/>
              </w:rPr>
              <w:t> </w:t>
            </w:r>
            <w:r>
              <w:rPr>
                <w:sz w:val="18"/>
              </w:rPr>
              <w:t>trails</w:t>
            </w:r>
            <w:r>
              <w:rPr>
                <w:spacing w:val="-8"/>
                <w:sz w:val="18"/>
              </w:rPr>
              <w:t> </w:t>
            </w:r>
            <w:r>
              <w:rPr>
                <w:sz w:val="18"/>
              </w:rPr>
              <w:t>at destination areas is minimized through active </w:t>
            </w:r>
            <w:r>
              <w:rPr>
                <w:spacing w:val="-2"/>
                <w:sz w:val="18"/>
              </w:rPr>
              <w:t>management.</w:t>
            </w:r>
          </w:p>
        </w:tc>
        <w:tc>
          <w:tcPr>
            <w:tcW w:w="2791" w:type="dxa"/>
          </w:tcPr>
          <w:p>
            <w:pPr>
              <w:pStyle w:val="TableParagraph"/>
              <w:spacing w:before="43"/>
              <w:ind w:left="109" w:right="97"/>
              <w:rPr>
                <w:sz w:val="18"/>
              </w:rPr>
            </w:pPr>
            <w:r>
              <w:rPr>
                <w:sz w:val="18"/>
              </w:rPr>
              <w:t>System trails present in this class are generally at low to moderate density. Trails are generally designed and maintained to facilitate high use levels; however, challenging situations (fording streams and rivers) or more primitive trails may exist. Some user- developed trails may exist, but are not encouraged for use and are only minimally maintained if essential for resource protection.</w:t>
            </w:r>
            <w:r>
              <w:rPr>
                <w:spacing w:val="-13"/>
                <w:sz w:val="18"/>
              </w:rPr>
              <w:t> </w:t>
            </w:r>
            <w:r>
              <w:rPr>
                <w:sz w:val="18"/>
              </w:rPr>
              <w:t>Proliferation</w:t>
            </w:r>
            <w:r>
              <w:rPr>
                <w:spacing w:val="-11"/>
                <w:sz w:val="18"/>
              </w:rPr>
              <w:t> </w:t>
            </w:r>
            <w:r>
              <w:rPr>
                <w:sz w:val="18"/>
              </w:rPr>
              <w:t>of</w:t>
            </w:r>
            <w:r>
              <w:rPr>
                <w:spacing w:val="-13"/>
                <w:sz w:val="18"/>
              </w:rPr>
              <w:t> </w:t>
            </w:r>
            <w:r>
              <w:rPr>
                <w:sz w:val="18"/>
              </w:rPr>
              <w:t>social trails at destination areas is minimized through active </w:t>
            </w:r>
            <w:r>
              <w:rPr>
                <w:spacing w:val="-2"/>
                <w:sz w:val="18"/>
              </w:rPr>
              <w:t>management.</w:t>
            </w:r>
          </w:p>
        </w:tc>
        <w:tc>
          <w:tcPr>
            <w:tcW w:w="3319" w:type="dxa"/>
          </w:tcPr>
          <w:p>
            <w:pPr>
              <w:pStyle w:val="TableParagraph"/>
              <w:spacing w:before="44"/>
              <w:ind w:left="106" w:right="139"/>
              <w:rPr>
                <w:sz w:val="18"/>
              </w:rPr>
            </w:pPr>
            <w:r>
              <w:rPr>
                <w:sz w:val="18"/>
              </w:rPr>
              <w:t>System trails present in this class are generally at a moderate to high density. Trails are generally designed and maintained to facilitate very high use levels and are generally less challenging. However in some locations</w:t>
            </w:r>
            <w:r>
              <w:rPr>
                <w:spacing w:val="-5"/>
                <w:sz w:val="18"/>
              </w:rPr>
              <w:t> </w:t>
            </w:r>
            <w:r>
              <w:rPr>
                <w:sz w:val="18"/>
              </w:rPr>
              <w:t>a</w:t>
            </w:r>
            <w:r>
              <w:rPr>
                <w:spacing w:val="-8"/>
                <w:sz w:val="18"/>
              </w:rPr>
              <w:t> </w:t>
            </w:r>
            <w:r>
              <w:rPr>
                <w:sz w:val="18"/>
              </w:rPr>
              <w:t>more</w:t>
            </w:r>
            <w:r>
              <w:rPr>
                <w:spacing w:val="-5"/>
                <w:sz w:val="18"/>
              </w:rPr>
              <w:t> </w:t>
            </w:r>
            <w:r>
              <w:rPr>
                <w:sz w:val="18"/>
              </w:rPr>
              <w:t>primitive</w:t>
            </w:r>
            <w:r>
              <w:rPr>
                <w:spacing w:val="-5"/>
                <w:sz w:val="18"/>
              </w:rPr>
              <w:t> </w:t>
            </w:r>
            <w:r>
              <w:rPr>
                <w:sz w:val="18"/>
              </w:rPr>
              <w:t>trail</w:t>
            </w:r>
            <w:r>
              <w:rPr>
                <w:spacing w:val="-8"/>
                <w:sz w:val="18"/>
              </w:rPr>
              <w:t> </w:t>
            </w:r>
            <w:r>
              <w:rPr>
                <w:sz w:val="18"/>
              </w:rPr>
              <w:t>may</w:t>
            </w:r>
            <w:r>
              <w:rPr>
                <w:spacing w:val="-7"/>
                <w:sz w:val="18"/>
              </w:rPr>
              <w:t> </w:t>
            </w:r>
            <w:r>
              <w:rPr>
                <w:sz w:val="18"/>
              </w:rPr>
              <w:t>be integral to the desired experience.</w:t>
            </w:r>
          </w:p>
          <w:p>
            <w:pPr>
              <w:pStyle w:val="TableParagraph"/>
              <w:spacing w:before="0"/>
              <w:ind w:left="106" w:right="139" w:hanging="1"/>
              <w:rPr>
                <w:sz w:val="18"/>
              </w:rPr>
            </w:pPr>
            <w:r>
              <w:rPr>
                <w:sz w:val="18"/>
              </w:rPr>
              <w:t>Some</w:t>
            </w:r>
            <w:r>
              <w:rPr>
                <w:spacing w:val="-11"/>
                <w:sz w:val="18"/>
              </w:rPr>
              <w:t> </w:t>
            </w:r>
            <w:r>
              <w:rPr>
                <w:sz w:val="18"/>
              </w:rPr>
              <w:t>user-developed</w:t>
            </w:r>
            <w:r>
              <w:rPr>
                <w:spacing w:val="-8"/>
                <w:sz w:val="18"/>
              </w:rPr>
              <w:t> </w:t>
            </w:r>
            <w:r>
              <w:rPr>
                <w:sz w:val="18"/>
              </w:rPr>
              <w:t>trails</w:t>
            </w:r>
            <w:r>
              <w:rPr>
                <w:spacing w:val="-10"/>
                <w:sz w:val="18"/>
              </w:rPr>
              <w:t> </w:t>
            </w:r>
            <w:r>
              <w:rPr>
                <w:sz w:val="18"/>
              </w:rPr>
              <w:t>may</w:t>
            </w:r>
            <w:r>
              <w:rPr>
                <w:spacing w:val="-10"/>
                <w:sz w:val="18"/>
              </w:rPr>
              <w:t> </w:t>
            </w:r>
            <w:r>
              <w:rPr>
                <w:sz w:val="18"/>
              </w:rPr>
              <w:t>exist, but are not encouraged for use and are only minimally maintained if essential for resource protection.</w:t>
            </w:r>
          </w:p>
          <w:p>
            <w:pPr>
              <w:pStyle w:val="TableParagraph"/>
              <w:spacing w:before="0"/>
              <w:ind w:left="106" w:right="88"/>
              <w:rPr>
                <w:sz w:val="18"/>
              </w:rPr>
            </w:pPr>
            <w:r>
              <w:rPr>
                <w:sz w:val="18"/>
              </w:rPr>
              <w:t>Proliferation of social trails at destination</w:t>
            </w:r>
            <w:r>
              <w:rPr>
                <w:spacing w:val="-10"/>
                <w:sz w:val="18"/>
              </w:rPr>
              <w:t> </w:t>
            </w:r>
            <w:r>
              <w:rPr>
                <w:sz w:val="18"/>
              </w:rPr>
              <w:t>areas</w:t>
            </w:r>
            <w:r>
              <w:rPr>
                <w:spacing w:val="-8"/>
                <w:sz w:val="18"/>
              </w:rPr>
              <w:t> </w:t>
            </w:r>
            <w:r>
              <w:rPr>
                <w:sz w:val="18"/>
              </w:rPr>
              <w:t>is</w:t>
            </w:r>
            <w:r>
              <w:rPr>
                <w:spacing w:val="-8"/>
                <w:sz w:val="18"/>
              </w:rPr>
              <w:t> </w:t>
            </w:r>
            <w:r>
              <w:rPr>
                <w:sz w:val="18"/>
              </w:rPr>
              <w:t>minimized</w:t>
            </w:r>
            <w:r>
              <w:rPr>
                <w:spacing w:val="-10"/>
                <w:sz w:val="18"/>
              </w:rPr>
              <w:t> </w:t>
            </w:r>
            <w:r>
              <w:rPr>
                <w:sz w:val="18"/>
              </w:rPr>
              <w:t>through active management.</w:t>
            </w:r>
          </w:p>
        </w:tc>
      </w:tr>
      <w:tr>
        <w:trPr>
          <w:trHeight w:val="2564" w:hRule="atLeast"/>
        </w:trPr>
        <w:tc>
          <w:tcPr>
            <w:tcW w:w="1879" w:type="dxa"/>
          </w:tcPr>
          <w:p>
            <w:pPr>
              <w:pStyle w:val="TableParagraph"/>
              <w:spacing w:before="42"/>
              <w:ind w:left="107"/>
              <w:rPr>
                <w:b/>
                <w:sz w:val="18"/>
              </w:rPr>
            </w:pPr>
            <w:r>
              <w:rPr>
                <w:b/>
                <w:spacing w:val="-2"/>
                <w:sz w:val="18"/>
              </w:rPr>
              <w:t>Structures</w:t>
            </w:r>
          </w:p>
        </w:tc>
        <w:tc>
          <w:tcPr>
            <w:tcW w:w="2433" w:type="dxa"/>
          </w:tcPr>
          <w:p>
            <w:pPr>
              <w:pStyle w:val="TableParagraph"/>
              <w:spacing w:before="42"/>
              <w:ind w:left="107" w:right="144"/>
              <w:rPr>
                <w:sz w:val="18"/>
              </w:rPr>
            </w:pPr>
            <w:r>
              <w:rPr>
                <w:sz w:val="18"/>
              </w:rPr>
              <w:t>Signs seldom used and only for emergency closures or to protect wilderness conditions. Other than cultural sites, there</w:t>
            </w:r>
            <w:r>
              <w:rPr>
                <w:spacing w:val="-9"/>
                <w:sz w:val="18"/>
              </w:rPr>
              <w:t> </w:t>
            </w:r>
            <w:r>
              <w:rPr>
                <w:sz w:val="18"/>
              </w:rPr>
              <w:t>are</w:t>
            </w:r>
            <w:r>
              <w:rPr>
                <w:spacing w:val="-9"/>
                <w:sz w:val="18"/>
              </w:rPr>
              <w:t> </w:t>
            </w:r>
            <w:r>
              <w:rPr>
                <w:sz w:val="18"/>
              </w:rPr>
              <w:t>no</w:t>
            </w:r>
            <w:r>
              <w:rPr>
                <w:spacing w:val="-9"/>
                <w:sz w:val="18"/>
              </w:rPr>
              <w:t> </w:t>
            </w:r>
            <w:r>
              <w:rPr>
                <w:sz w:val="18"/>
              </w:rPr>
              <w:t>structures</w:t>
            </w:r>
            <w:r>
              <w:rPr>
                <w:spacing w:val="-10"/>
                <w:sz w:val="18"/>
              </w:rPr>
              <w:t> </w:t>
            </w:r>
            <w:r>
              <w:rPr>
                <w:sz w:val="18"/>
              </w:rPr>
              <w:t>or visible evidence of management</w:t>
            </w:r>
            <w:r>
              <w:rPr>
                <w:spacing w:val="-9"/>
                <w:sz w:val="18"/>
              </w:rPr>
              <w:t> </w:t>
            </w:r>
            <w:r>
              <w:rPr>
                <w:sz w:val="18"/>
              </w:rPr>
              <w:t>activities</w:t>
            </w:r>
            <w:r>
              <w:rPr>
                <w:spacing w:val="-6"/>
                <w:sz w:val="18"/>
              </w:rPr>
              <w:t> </w:t>
            </w:r>
            <w:r>
              <w:rPr>
                <w:sz w:val="18"/>
              </w:rPr>
              <w:t>or special uses.</w:t>
            </w:r>
          </w:p>
        </w:tc>
        <w:tc>
          <w:tcPr>
            <w:tcW w:w="2517" w:type="dxa"/>
          </w:tcPr>
          <w:p>
            <w:pPr>
              <w:pStyle w:val="TableParagraph"/>
              <w:spacing w:before="42"/>
              <w:ind w:left="108" w:right="47"/>
              <w:rPr>
                <w:sz w:val="18"/>
              </w:rPr>
            </w:pPr>
            <w:r>
              <w:rPr>
                <w:sz w:val="18"/>
              </w:rPr>
              <w:t>Trail junctions are signed. Other</w:t>
            </w:r>
            <w:r>
              <w:rPr>
                <w:spacing w:val="-9"/>
                <w:sz w:val="18"/>
              </w:rPr>
              <w:t> </w:t>
            </w:r>
            <w:r>
              <w:rPr>
                <w:sz w:val="18"/>
              </w:rPr>
              <w:t>signs</w:t>
            </w:r>
            <w:r>
              <w:rPr>
                <w:spacing w:val="-9"/>
                <w:sz w:val="18"/>
              </w:rPr>
              <w:t> </w:t>
            </w:r>
            <w:r>
              <w:rPr>
                <w:sz w:val="18"/>
              </w:rPr>
              <w:t>are</w:t>
            </w:r>
            <w:r>
              <w:rPr>
                <w:spacing w:val="-10"/>
                <w:sz w:val="18"/>
              </w:rPr>
              <w:t> </w:t>
            </w:r>
            <w:r>
              <w:rPr>
                <w:sz w:val="18"/>
              </w:rPr>
              <w:t>seldom</w:t>
            </w:r>
            <w:r>
              <w:rPr>
                <w:spacing w:val="-8"/>
                <w:sz w:val="18"/>
              </w:rPr>
              <w:t> </w:t>
            </w:r>
            <w:r>
              <w:rPr>
                <w:sz w:val="18"/>
              </w:rPr>
              <w:t>used and only for emergency closures or to protect wilderness conditions.</w:t>
            </w:r>
          </w:p>
          <w:p>
            <w:pPr>
              <w:pStyle w:val="TableParagraph"/>
              <w:spacing w:before="0"/>
              <w:ind w:left="108" w:right="381"/>
              <w:rPr>
                <w:sz w:val="18"/>
              </w:rPr>
            </w:pPr>
            <w:r>
              <w:rPr>
                <w:sz w:val="18"/>
              </w:rPr>
              <w:t>Evidence of other permanent structures is limited to cultural sites, Forest Service administrative</w:t>
            </w:r>
            <w:r>
              <w:rPr>
                <w:spacing w:val="-13"/>
                <w:sz w:val="18"/>
              </w:rPr>
              <w:t> </w:t>
            </w:r>
            <w:r>
              <w:rPr>
                <w:sz w:val="18"/>
              </w:rPr>
              <w:t>structures, and those essential for provisional uses.</w:t>
            </w:r>
          </w:p>
        </w:tc>
        <w:tc>
          <w:tcPr>
            <w:tcW w:w="2791" w:type="dxa"/>
          </w:tcPr>
          <w:p>
            <w:pPr>
              <w:pStyle w:val="TableParagraph"/>
              <w:spacing w:before="43"/>
              <w:ind w:left="108" w:right="108"/>
              <w:rPr>
                <w:sz w:val="18"/>
              </w:rPr>
            </w:pPr>
            <w:r>
              <w:rPr>
                <w:sz w:val="18"/>
              </w:rPr>
              <w:t>Trail</w:t>
            </w:r>
            <w:r>
              <w:rPr>
                <w:spacing w:val="-8"/>
                <w:sz w:val="18"/>
              </w:rPr>
              <w:t> </w:t>
            </w:r>
            <w:r>
              <w:rPr>
                <w:sz w:val="18"/>
              </w:rPr>
              <w:t>junctions</w:t>
            </w:r>
            <w:r>
              <w:rPr>
                <w:spacing w:val="-9"/>
                <w:sz w:val="18"/>
              </w:rPr>
              <w:t> </w:t>
            </w:r>
            <w:r>
              <w:rPr>
                <w:sz w:val="18"/>
              </w:rPr>
              <w:t>are</w:t>
            </w:r>
            <w:r>
              <w:rPr>
                <w:spacing w:val="-10"/>
                <w:sz w:val="18"/>
              </w:rPr>
              <w:t> </w:t>
            </w:r>
            <w:r>
              <w:rPr>
                <w:sz w:val="18"/>
              </w:rPr>
              <w:t>signed.</w:t>
            </w:r>
            <w:r>
              <w:rPr>
                <w:spacing w:val="-10"/>
                <w:sz w:val="18"/>
              </w:rPr>
              <w:t> </w:t>
            </w:r>
            <w:r>
              <w:rPr>
                <w:sz w:val="18"/>
              </w:rPr>
              <w:t>Other signs may be used for emergency closures or to protect wilderness conditions. Evidence of other permanent structures is limited to cultural sites, Forest Service administrative structures, those essential for provisional uses, and recreational structures essential for resource</w:t>
            </w:r>
            <w:r>
              <w:rPr>
                <w:spacing w:val="40"/>
                <w:sz w:val="18"/>
              </w:rPr>
              <w:t> </w:t>
            </w:r>
            <w:r>
              <w:rPr>
                <w:spacing w:val="-2"/>
                <w:sz w:val="18"/>
              </w:rPr>
              <w:t>protection.</w:t>
            </w:r>
          </w:p>
        </w:tc>
        <w:tc>
          <w:tcPr>
            <w:tcW w:w="3319" w:type="dxa"/>
          </w:tcPr>
          <w:p>
            <w:pPr>
              <w:pStyle w:val="TableParagraph"/>
              <w:spacing w:before="43"/>
              <w:ind w:left="106" w:right="139"/>
              <w:rPr>
                <w:sz w:val="18"/>
              </w:rPr>
            </w:pPr>
            <w:r>
              <w:rPr>
                <w:sz w:val="18"/>
              </w:rPr>
              <w:t>Trail</w:t>
            </w:r>
            <w:r>
              <w:rPr>
                <w:spacing w:val="-6"/>
                <w:sz w:val="18"/>
              </w:rPr>
              <w:t> </w:t>
            </w:r>
            <w:r>
              <w:rPr>
                <w:sz w:val="18"/>
              </w:rPr>
              <w:t>junctions</w:t>
            </w:r>
            <w:r>
              <w:rPr>
                <w:spacing w:val="-8"/>
                <w:sz w:val="18"/>
              </w:rPr>
              <w:t> </w:t>
            </w:r>
            <w:r>
              <w:rPr>
                <w:sz w:val="18"/>
              </w:rPr>
              <w:t>are</w:t>
            </w:r>
            <w:r>
              <w:rPr>
                <w:spacing w:val="-8"/>
                <w:sz w:val="18"/>
              </w:rPr>
              <w:t> </w:t>
            </w:r>
            <w:r>
              <w:rPr>
                <w:sz w:val="18"/>
              </w:rPr>
              <w:t>signed.</w:t>
            </w:r>
            <w:r>
              <w:rPr>
                <w:spacing w:val="-8"/>
                <w:sz w:val="18"/>
              </w:rPr>
              <w:t> </w:t>
            </w:r>
            <w:r>
              <w:rPr>
                <w:sz w:val="18"/>
              </w:rPr>
              <w:t>Other</w:t>
            </w:r>
            <w:r>
              <w:rPr>
                <w:spacing w:val="-7"/>
                <w:sz w:val="18"/>
              </w:rPr>
              <w:t> </w:t>
            </w:r>
            <w:r>
              <w:rPr>
                <w:sz w:val="18"/>
              </w:rPr>
              <w:t>signs may be used for emergency closures or to protect wilderness conditions.</w:t>
            </w:r>
          </w:p>
          <w:p>
            <w:pPr>
              <w:pStyle w:val="TableParagraph"/>
              <w:spacing w:before="0"/>
              <w:ind w:left="106" w:right="139"/>
              <w:rPr>
                <w:sz w:val="18"/>
              </w:rPr>
            </w:pPr>
            <w:r>
              <w:rPr>
                <w:sz w:val="18"/>
              </w:rPr>
              <w:t>Evidence of other permanent structures</w:t>
            </w:r>
            <w:r>
              <w:rPr>
                <w:spacing w:val="-7"/>
                <w:sz w:val="18"/>
              </w:rPr>
              <w:t> </w:t>
            </w:r>
            <w:r>
              <w:rPr>
                <w:sz w:val="18"/>
              </w:rPr>
              <w:t>is</w:t>
            </w:r>
            <w:r>
              <w:rPr>
                <w:spacing w:val="-7"/>
                <w:sz w:val="18"/>
              </w:rPr>
              <w:t> </w:t>
            </w:r>
            <w:r>
              <w:rPr>
                <w:sz w:val="18"/>
              </w:rPr>
              <w:t>limited</w:t>
            </w:r>
            <w:r>
              <w:rPr>
                <w:spacing w:val="-7"/>
                <w:sz w:val="18"/>
              </w:rPr>
              <w:t> </w:t>
            </w:r>
            <w:r>
              <w:rPr>
                <w:sz w:val="18"/>
              </w:rPr>
              <w:t>to</w:t>
            </w:r>
            <w:r>
              <w:rPr>
                <w:spacing w:val="-7"/>
                <w:sz w:val="18"/>
              </w:rPr>
              <w:t> </w:t>
            </w:r>
            <w:r>
              <w:rPr>
                <w:sz w:val="18"/>
              </w:rPr>
              <w:t>cultural</w:t>
            </w:r>
            <w:r>
              <w:rPr>
                <w:spacing w:val="-9"/>
                <w:sz w:val="18"/>
              </w:rPr>
              <w:t> </w:t>
            </w:r>
            <w:r>
              <w:rPr>
                <w:sz w:val="18"/>
              </w:rPr>
              <w:t>sites, Forest Service administrative structures, those essential for provisional uses, and recreational structures essential for resource </w:t>
            </w:r>
            <w:r>
              <w:rPr>
                <w:spacing w:val="-2"/>
                <w:sz w:val="18"/>
              </w:rPr>
              <w:t>protection.</w:t>
            </w:r>
          </w:p>
        </w:tc>
      </w:tr>
    </w:tbl>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106"/>
        <w:rPr>
          <w:rFonts w:ascii="Arial"/>
          <w:b/>
          <w:sz w:val="18"/>
        </w:rPr>
      </w:pPr>
    </w:p>
    <w:p>
      <w:pPr>
        <w:spacing w:before="0"/>
        <w:ind w:left="4669" w:right="4667" w:firstLine="0"/>
        <w:jc w:val="center"/>
        <w:rPr>
          <w:rFonts w:ascii="Arial" w:hAnsi="Arial"/>
          <w:b/>
          <w:sz w:val="18"/>
        </w:rPr>
      </w:pPr>
      <w:r>
        <w:rPr>
          <w:rFonts w:ascii="Arial" w:hAnsi="Arial"/>
          <w:b/>
          <w:sz w:val="18"/>
        </w:rPr>
        <mc:AlternateContent>
          <mc:Choice Requires="wps">
            <w:drawing>
              <wp:anchor distT="0" distB="0" distL="0" distR="0" allowOverlap="1" layoutInCell="1" locked="0" behindDoc="0" simplePos="0" relativeHeight="15774208">
                <wp:simplePos x="0" y="0"/>
                <wp:positionH relativeFrom="page">
                  <wp:posOffset>896111</wp:posOffset>
                </wp:positionH>
                <wp:positionV relativeFrom="paragraph">
                  <wp:posOffset>-23666</wp:posOffset>
                </wp:positionV>
                <wp:extent cx="8266430" cy="12700"/>
                <wp:effectExtent l="0" t="0" r="0" b="0"/>
                <wp:wrapNone/>
                <wp:docPr id="232" name="Graphic 232"/>
                <wp:cNvGraphicFramePr>
                  <a:graphicFrameLocks/>
                </wp:cNvGraphicFramePr>
                <a:graphic>
                  <a:graphicData uri="http://schemas.microsoft.com/office/word/2010/wordprocessingShape">
                    <wps:wsp>
                      <wps:cNvPr id="232" name="Graphic 232"/>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1.863469pt;width:650.88pt;height:.96pt;mso-position-horizontal-relative:page;mso-position-vertical-relative:paragraph;z-index:15774208" id="docshape218" filled="true" fillcolor="#000000" stroked="false">
                <v:fill type="solid"/>
                <w10:wrap type="none"/>
              </v:rect>
            </w:pict>
          </mc:Fallback>
        </mc:AlternateContent>
      </w: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t>143</w:t>
      </w:r>
    </w:p>
    <w:p>
      <w:pPr>
        <w:spacing w:after="0"/>
        <w:jc w:val="center"/>
        <w:rPr>
          <w:rFonts w:ascii="Arial" w:hAnsi="Arial"/>
          <w:b/>
          <w:sz w:val="18"/>
        </w:rPr>
        <w:sectPr>
          <w:headerReference w:type="default" r:id="rId64"/>
          <w:footerReference w:type="default" r:id="rId65"/>
          <w:pgSz w:w="15840" w:h="12240" w:orient="landscape"/>
          <w:pgMar w:header="0" w:footer="0" w:top="640" w:bottom="280" w:left="1440" w:right="1440"/>
        </w:sectPr>
      </w:pPr>
    </w:p>
    <w:p>
      <w:pPr>
        <w:pStyle w:val="BodyText"/>
        <w:rPr>
          <w:rFonts w:ascii="Arial"/>
          <w:b/>
          <w:sz w:val="20"/>
        </w:rPr>
      </w:pPr>
    </w:p>
    <w:p>
      <w:pPr>
        <w:pStyle w:val="BodyText"/>
        <w:rPr>
          <w:rFonts w:ascii="Arial"/>
          <w:b/>
          <w:sz w:val="20"/>
        </w:rPr>
      </w:pPr>
    </w:p>
    <w:p>
      <w:pPr>
        <w:pStyle w:val="BodyText"/>
        <w:spacing w:before="128"/>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879"/>
        <w:gridCol w:w="2433"/>
        <w:gridCol w:w="2517"/>
        <w:gridCol w:w="2791"/>
        <w:gridCol w:w="3319"/>
      </w:tblGrid>
      <w:tr>
        <w:trPr>
          <w:trHeight w:val="284" w:hRule="atLeast"/>
        </w:trPr>
        <w:tc>
          <w:tcPr>
            <w:tcW w:w="1879" w:type="dxa"/>
            <w:tcBorders>
              <w:right w:val="nil"/>
            </w:tcBorders>
            <w:shd w:val="clear" w:color="auto" w:fill="D5E2BB"/>
          </w:tcPr>
          <w:p>
            <w:pPr>
              <w:pStyle w:val="TableParagraph"/>
              <w:spacing w:before="0"/>
              <w:rPr>
                <w:rFonts w:ascii="Times New Roman"/>
                <w:sz w:val="18"/>
              </w:rPr>
            </w:pPr>
          </w:p>
        </w:tc>
        <w:tc>
          <w:tcPr>
            <w:tcW w:w="2433" w:type="dxa"/>
            <w:tcBorders>
              <w:left w:val="nil"/>
              <w:right w:val="nil"/>
            </w:tcBorders>
            <w:shd w:val="clear" w:color="auto" w:fill="D5E2BB"/>
          </w:tcPr>
          <w:p>
            <w:pPr>
              <w:pStyle w:val="TableParagraph"/>
              <w:ind w:left="19"/>
              <w:jc w:val="center"/>
              <w:rPr>
                <w:b/>
                <w:sz w:val="18"/>
              </w:rPr>
            </w:pPr>
            <w:r>
              <w:rPr>
                <w:b/>
                <w:spacing w:val="-2"/>
                <w:sz w:val="18"/>
              </w:rPr>
              <w:t>Pristine</w:t>
            </w:r>
          </w:p>
        </w:tc>
        <w:tc>
          <w:tcPr>
            <w:tcW w:w="2517" w:type="dxa"/>
            <w:tcBorders>
              <w:left w:val="nil"/>
              <w:right w:val="nil"/>
            </w:tcBorders>
            <w:shd w:val="clear" w:color="auto" w:fill="D5E2BB"/>
          </w:tcPr>
          <w:p>
            <w:pPr>
              <w:pStyle w:val="TableParagraph"/>
              <w:ind w:left="20"/>
              <w:jc w:val="center"/>
              <w:rPr>
                <w:b/>
                <w:sz w:val="18"/>
              </w:rPr>
            </w:pPr>
            <w:r>
              <w:rPr>
                <w:b/>
                <w:spacing w:val="-2"/>
                <w:sz w:val="18"/>
              </w:rPr>
              <w:t>Primitive</w:t>
            </w:r>
          </w:p>
        </w:tc>
        <w:tc>
          <w:tcPr>
            <w:tcW w:w="2791" w:type="dxa"/>
            <w:tcBorders>
              <w:left w:val="nil"/>
              <w:right w:val="nil"/>
            </w:tcBorders>
            <w:shd w:val="clear" w:color="auto" w:fill="D5E2BB"/>
          </w:tcPr>
          <w:p>
            <w:pPr>
              <w:pStyle w:val="TableParagraph"/>
              <w:ind w:left="783"/>
              <w:rPr>
                <w:b/>
                <w:sz w:val="18"/>
              </w:rPr>
            </w:pPr>
            <w:r>
              <w:rPr>
                <w:b/>
                <w:spacing w:val="-2"/>
                <w:sz w:val="18"/>
              </w:rPr>
              <w:t>Semi-primitive</w:t>
            </w:r>
          </w:p>
        </w:tc>
        <w:tc>
          <w:tcPr>
            <w:tcW w:w="3319" w:type="dxa"/>
            <w:tcBorders>
              <w:left w:val="nil"/>
            </w:tcBorders>
            <w:shd w:val="clear" w:color="auto" w:fill="D5E2BB"/>
          </w:tcPr>
          <w:p>
            <w:pPr>
              <w:pStyle w:val="TableParagraph"/>
              <w:ind w:left="29"/>
              <w:jc w:val="center"/>
              <w:rPr>
                <w:b/>
                <w:sz w:val="18"/>
              </w:rPr>
            </w:pPr>
            <w:r>
              <w:rPr>
                <w:b/>
                <w:spacing w:val="-2"/>
                <w:sz w:val="18"/>
              </w:rPr>
              <w:t>Transition</w:t>
            </w:r>
          </w:p>
        </w:tc>
      </w:tr>
      <w:tr>
        <w:trPr>
          <w:trHeight w:val="4429" w:hRule="atLeast"/>
        </w:trPr>
        <w:tc>
          <w:tcPr>
            <w:tcW w:w="1879" w:type="dxa"/>
          </w:tcPr>
          <w:p>
            <w:pPr>
              <w:pStyle w:val="TableParagraph"/>
              <w:spacing w:before="42"/>
              <w:ind w:left="107"/>
              <w:rPr>
                <w:b/>
                <w:sz w:val="18"/>
              </w:rPr>
            </w:pPr>
            <w:r>
              <w:rPr>
                <w:b/>
                <w:sz w:val="18"/>
              </w:rPr>
              <w:t>Natural</w:t>
            </w:r>
            <w:r>
              <w:rPr>
                <w:b/>
                <w:spacing w:val="-4"/>
                <w:sz w:val="18"/>
              </w:rPr>
              <w:t> </w:t>
            </w:r>
            <w:r>
              <w:rPr>
                <w:b/>
                <w:spacing w:val="-2"/>
                <w:sz w:val="18"/>
              </w:rPr>
              <w:t>processes</w:t>
            </w:r>
          </w:p>
        </w:tc>
        <w:tc>
          <w:tcPr>
            <w:tcW w:w="2433" w:type="dxa"/>
          </w:tcPr>
          <w:p>
            <w:pPr>
              <w:pStyle w:val="TableParagraph"/>
              <w:spacing w:before="42"/>
              <w:ind w:left="107" w:right="144"/>
              <w:rPr>
                <w:sz w:val="18"/>
              </w:rPr>
            </w:pPr>
            <w:r>
              <w:rPr>
                <w:sz w:val="18"/>
              </w:rPr>
              <w:t>Natural</w:t>
            </w:r>
            <w:r>
              <w:rPr>
                <w:spacing w:val="-4"/>
                <w:sz w:val="18"/>
              </w:rPr>
              <w:t> </w:t>
            </w:r>
            <w:r>
              <w:rPr>
                <w:sz w:val="18"/>
              </w:rPr>
              <w:t>processes</w:t>
            </w:r>
            <w:r>
              <w:rPr>
                <w:spacing w:val="-1"/>
                <w:sz w:val="18"/>
              </w:rPr>
              <w:t> </w:t>
            </w:r>
            <w:r>
              <w:rPr>
                <w:sz w:val="18"/>
              </w:rPr>
              <w:t>and</w:t>
            </w:r>
            <w:r>
              <w:rPr>
                <w:spacing w:val="-1"/>
                <w:sz w:val="18"/>
              </w:rPr>
              <w:t> </w:t>
            </w:r>
            <w:r>
              <w:rPr>
                <w:sz w:val="18"/>
              </w:rPr>
              <w:t>the native flora and fauna are in pristine condition and function unencumbered and unaltered by human intervention. Unique and rare</w:t>
            </w:r>
            <w:r>
              <w:rPr>
                <w:spacing w:val="-11"/>
                <w:sz w:val="18"/>
              </w:rPr>
              <w:t> </w:t>
            </w:r>
            <w:r>
              <w:rPr>
                <w:sz w:val="18"/>
              </w:rPr>
              <w:t>plant</w:t>
            </w:r>
            <w:r>
              <w:rPr>
                <w:spacing w:val="-13"/>
                <w:sz w:val="18"/>
              </w:rPr>
              <w:t> </w:t>
            </w:r>
            <w:r>
              <w:rPr>
                <w:sz w:val="18"/>
              </w:rPr>
              <w:t>communities</w:t>
            </w:r>
            <w:r>
              <w:rPr>
                <w:spacing w:val="-12"/>
                <w:sz w:val="18"/>
              </w:rPr>
              <w:t> </w:t>
            </w:r>
            <w:r>
              <w:rPr>
                <w:sz w:val="18"/>
              </w:rPr>
              <w:t>are </w:t>
            </w:r>
            <w:r>
              <w:rPr>
                <w:spacing w:val="-2"/>
                <w:sz w:val="18"/>
              </w:rPr>
              <w:t>maintained.</w:t>
            </w:r>
          </w:p>
        </w:tc>
        <w:tc>
          <w:tcPr>
            <w:tcW w:w="2517" w:type="dxa"/>
          </w:tcPr>
          <w:p>
            <w:pPr>
              <w:pStyle w:val="TableParagraph"/>
              <w:spacing w:before="42"/>
              <w:ind w:left="108" w:right="132"/>
              <w:rPr>
                <w:sz w:val="18"/>
              </w:rPr>
            </w:pPr>
            <w:r>
              <w:rPr>
                <w:sz w:val="18"/>
              </w:rPr>
              <w:t>Natural processes and the native flora and fauna function generally unencumbered and unaltered by human intervention. Unique and rare plant communities are maintained. Small localized disturbances</w:t>
            </w:r>
            <w:r>
              <w:rPr>
                <w:spacing w:val="-11"/>
                <w:sz w:val="18"/>
              </w:rPr>
              <w:t> </w:t>
            </w:r>
            <w:r>
              <w:rPr>
                <w:sz w:val="18"/>
              </w:rPr>
              <w:t>may</w:t>
            </w:r>
            <w:r>
              <w:rPr>
                <w:spacing w:val="-13"/>
                <w:sz w:val="18"/>
              </w:rPr>
              <w:t> </w:t>
            </w:r>
            <w:r>
              <w:rPr>
                <w:sz w:val="18"/>
              </w:rPr>
              <w:t>occur</w:t>
            </w:r>
            <w:r>
              <w:rPr>
                <w:spacing w:val="-11"/>
                <w:sz w:val="18"/>
              </w:rPr>
              <w:t> </w:t>
            </w:r>
            <w:r>
              <w:rPr>
                <w:sz w:val="18"/>
              </w:rPr>
              <w:t>due to recreational or administrative activities.</w:t>
            </w:r>
          </w:p>
          <w:p>
            <w:pPr>
              <w:pStyle w:val="TableParagraph"/>
              <w:spacing w:before="0"/>
              <w:ind w:left="108" w:right="101"/>
              <w:rPr>
                <w:sz w:val="18"/>
              </w:rPr>
            </w:pPr>
            <w:r>
              <w:rPr>
                <w:sz w:val="18"/>
              </w:rPr>
              <w:t>Ecosystems with </w:t>
            </w:r>
            <w:r>
              <w:rPr>
                <w:spacing w:val="-2"/>
                <w:sz w:val="18"/>
              </w:rPr>
              <w:t>anthropogenic</w:t>
            </w:r>
            <w:r>
              <w:rPr>
                <w:spacing w:val="40"/>
                <w:sz w:val="18"/>
              </w:rPr>
              <w:t> </w:t>
            </w:r>
            <w:r>
              <w:rPr>
                <w:sz w:val="18"/>
              </w:rPr>
              <w:t>environmental changes are generally</w:t>
            </w:r>
            <w:r>
              <w:rPr>
                <w:spacing w:val="-12"/>
                <w:sz w:val="18"/>
              </w:rPr>
              <w:t> </w:t>
            </w:r>
            <w:r>
              <w:rPr>
                <w:sz w:val="18"/>
              </w:rPr>
              <w:t>restored</w:t>
            </w:r>
            <w:r>
              <w:rPr>
                <w:spacing w:val="-10"/>
                <w:sz w:val="18"/>
              </w:rPr>
              <w:t> </w:t>
            </w:r>
            <w:r>
              <w:rPr>
                <w:sz w:val="18"/>
              </w:rPr>
              <w:t>to</w:t>
            </w:r>
            <w:r>
              <w:rPr>
                <w:spacing w:val="-13"/>
                <w:sz w:val="18"/>
              </w:rPr>
              <w:t> </w:t>
            </w:r>
            <w:r>
              <w:rPr>
                <w:sz w:val="18"/>
              </w:rPr>
              <w:t>desired </w:t>
            </w:r>
            <w:r>
              <w:rPr>
                <w:spacing w:val="-2"/>
                <w:sz w:val="18"/>
              </w:rPr>
              <w:t>conditions.</w:t>
            </w:r>
          </w:p>
        </w:tc>
        <w:tc>
          <w:tcPr>
            <w:tcW w:w="2791" w:type="dxa"/>
          </w:tcPr>
          <w:p>
            <w:pPr>
              <w:pStyle w:val="TableParagraph"/>
              <w:spacing w:before="43"/>
              <w:ind w:left="109" w:right="138"/>
              <w:rPr>
                <w:sz w:val="18"/>
              </w:rPr>
            </w:pPr>
            <w:r>
              <w:rPr>
                <w:sz w:val="18"/>
              </w:rPr>
              <w:t>Natural process and the native flora and fauna function generally unencumbered and unaltered by human intervention. Unique and rare plant communities are maintained. Areas surrounding campsites and destination areas may have altered vegetation due to recreational activities, but native groundcover is generally un- impacted outside of sites. Use levels during the summer may be</w:t>
            </w:r>
            <w:r>
              <w:rPr>
                <w:spacing w:val="-7"/>
                <w:sz w:val="18"/>
              </w:rPr>
              <w:t> </w:t>
            </w:r>
            <w:r>
              <w:rPr>
                <w:sz w:val="18"/>
              </w:rPr>
              <w:t>high</w:t>
            </w:r>
            <w:r>
              <w:rPr>
                <w:spacing w:val="-7"/>
                <w:sz w:val="18"/>
              </w:rPr>
              <w:t> </w:t>
            </w:r>
            <w:r>
              <w:rPr>
                <w:sz w:val="18"/>
              </w:rPr>
              <w:t>enough</w:t>
            </w:r>
            <w:r>
              <w:rPr>
                <w:spacing w:val="-7"/>
                <w:sz w:val="18"/>
              </w:rPr>
              <w:t> </w:t>
            </w:r>
            <w:r>
              <w:rPr>
                <w:sz w:val="18"/>
              </w:rPr>
              <w:t>to</w:t>
            </w:r>
            <w:r>
              <w:rPr>
                <w:spacing w:val="-10"/>
                <w:sz w:val="18"/>
              </w:rPr>
              <w:t> </w:t>
            </w:r>
            <w:r>
              <w:rPr>
                <w:sz w:val="18"/>
              </w:rPr>
              <w:t>interfere</w:t>
            </w:r>
            <w:r>
              <w:rPr>
                <w:spacing w:val="-10"/>
                <w:sz w:val="18"/>
              </w:rPr>
              <w:t> </w:t>
            </w:r>
            <w:r>
              <w:rPr>
                <w:sz w:val="18"/>
              </w:rPr>
              <w:t>with those</w:t>
            </w:r>
            <w:r>
              <w:rPr>
                <w:spacing w:val="-6"/>
                <w:sz w:val="18"/>
              </w:rPr>
              <w:t> </w:t>
            </w:r>
            <w:r>
              <w:rPr>
                <w:sz w:val="18"/>
              </w:rPr>
              <w:t>species</w:t>
            </w:r>
            <w:r>
              <w:rPr>
                <w:spacing w:val="-7"/>
                <w:sz w:val="18"/>
              </w:rPr>
              <w:t> </w:t>
            </w:r>
            <w:r>
              <w:rPr>
                <w:sz w:val="18"/>
              </w:rPr>
              <w:t>that</w:t>
            </w:r>
            <w:r>
              <w:rPr>
                <w:spacing w:val="-8"/>
                <w:sz w:val="18"/>
              </w:rPr>
              <w:t> </w:t>
            </w:r>
            <w:r>
              <w:rPr>
                <w:sz w:val="18"/>
              </w:rPr>
              <w:t>require</w:t>
            </w:r>
            <w:r>
              <w:rPr>
                <w:spacing w:val="-8"/>
                <w:sz w:val="18"/>
              </w:rPr>
              <w:t> </w:t>
            </w:r>
            <w:r>
              <w:rPr>
                <w:sz w:val="18"/>
              </w:rPr>
              <w:t>large areas of low human use.</w:t>
            </w:r>
          </w:p>
          <w:p>
            <w:pPr>
              <w:pStyle w:val="TableParagraph"/>
              <w:spacing w:before="0"/>
              <w:ind w:left="109"/>
              <w:rPr>
                <w:sz w:val="18"/>
              </w:rPr>
            </w:pPr>
            <w:r>
              <w:rPr>
                <w:sz w:val="18"/>
              </w:rPr>
              <w:t>Ecosystems</w:t>
            </w:r>
            <w:r>
              <w:rPr>
                <w:spacing w:val="-15"/>
                <w:sz w:val="18"/>
              </w:rPr>
              <w:t> </w:t>
            </w:r>
            <w:r>
              <w:rPr>
                <w:sz w:val="18"/>
              </w:rPr>
              <w:t>with</w:t>
            </w:r>
            <w:r>
              <w:rPr>
                <w:spacing w:val="-12"/>
                <w:sz w:val="18"/>
              </w:rPr>
              <w:t> </w:t>
            </w:r>
            <w:r>
              <w:rPr>
                <w:sz w:val="18"/>
              </w:rPr>
              <w:t>anthropogenic environmental changes are generally restored to desired </w:t>
            </w:r>
            <w:r>
              <w:rPr>
                <w:spacing w:val="-2"/>
                <w:sz w:val="18"/>
              </w:rPr>
              <w:t>conditions.</w:t>
            </w:r>
          </w:p>
        </w:tc>
        <w:tc>
          <w:tcPr>
            <w:tcW w:w="3319" w:type="dxa"/>
          </w:tcPr>
          <w:p>
            <w:pPr>
              <w:pStyle w:val="TableParagraph"/>
              <w:spacing w:before="44"/>
              <w:ind w:left="106" w:right="101"/>
              <w:rPr>
                <w:sz w:val="18"/>
              </w:rPr>
            </w:pPr>
            <w:r>
              <w:rPr>
                <w:sz w:val="18"/>
              </w:rPr>
              <w:t>Natural process and the native flora and fauna function generally unencumbered and unaltered by human intervention. Unique and rare plant communities are maintained. Areas surrounding campsites and destination areas may have altered vegetation due to recreational activities, but native groundcover is generally</w:t>
            </w:r>
            <w:r>
              <w:rPr>
                <w:spacing w:val="-10"/>
                <w:sz w:val="18"/>
              </w:rPr>
              <w:t> </w:t>
            </w:r>
            <w:r>
              <w:rPr>
                <w:sz w:val="18"/>
              </w:rPr>
              <w:t>un-impacted</w:t>
            </w:r>
            <w:r>
              <w:rPr>
                <w:spacing w:val="-8"/>
                <w:sz w:val="18"/>
              </w:rPr>
              <w:t> </w:t>
            </w:r>
            <w:r>
              <w:rPr>
                <w:sz w:val="18"/>
              </w:rPr>
              <w:t>outside</w:t>
            </w:r>
            <w:r>
              <w:rPr>
                <w:spacing w:val="-10"/>
                <w:sz w:val="18"/>
              </w:rPr>
              <w:t> </w:t>
            </w:r>
            <w:r>
              <w:rPr>
                <w:sz w:val="18"/>
              </w:rPr>
              <w:t>of</w:t>
            </w:r>
            <w:r>
              <w:rPr>
                <w:spacing w:val="-9"/>
                <w:sz w:val="18"/>
              </w:rPr>
              <w:t> </w:t>
            </w:r>
            <w:r>
              <w:rPr>
                <w:sz w:val="18"/>
              </w:rPr>
              <w:t>sites. Use</w:t>
            </w:r>
            <w:r>
              <w:rPr>
                <w:spacing w:val="-5"/>
                <w:sz w:val="18"/>
              </w:rPr>
              <w:t> </w:t>
            </w:r>
            <w:r>
              <w:rPr>
                <w:sz w:val="18"/>
              </w:rPr>
              <w:t>levels</w:t>
            </w:r>
            <w:r>
              <w:rPr>
                <w:spacing w:val="-6"/>
                <w:sz w:val="18"/>
              </w:rPr>
              <w:t> </w:t>
            </w:r>
            <w:r>
              <w:rPr>
                <w:sz w:val="18"/>
              </w:rPr>
              <w:t>during</w:t>
            </w:r>
            <w:r>
              <w:rPr>
                <w:spacing w:val="-5"/>
                <w:sz w:val="18"/>
              </w:rPr>
              <w:t> </w:t>
            </w:r>
            <w:r>
              <w:rPr>
                <w:sz w:val="18"/>
              </w:rPr>
              <w:t>the</w:t>
            </w:r>
            <w:r>
              <w:rPr>
                <w:spacing w:val="-6"/>
                <w:sz w:val="18"/>
              </w:rPr>
              <w:t> </w:t>
            </w:r>
            <w:r>
              <w:rPr>
                <w:sz w:val="18"/>
              </w:rPr>
              <w:t>summer</w:t>
            </w:r>
            <w:r>
              <w:rPr>
                <w:spacing w:val="-8"/>
                <w:sz w:val="18"/>
              </w:rPr>
              <w:t> </w:t>
            </w:r>
            <w:r>
              <w:rPr>
                <w:sz w:val="18"/>
              </w:rPr>
              <w:t>may</w:t>
            </w:r>
            <w:r>
              <w:rPr>
                <w:spacing w:val="-7"/>
                <w:sz w:val="18"/>
              </w:rPr>
              <w:t> </w:t>
            </w:r>
            <w:r>
              <w:rPr>
                <w:sz w:val="18"/>
              </w:rPr>
              <w:t>not accommodate those species that require large areas of low</w:t>
            </w:r>
            <w:r>
              <w:rPr>
                <w:spacing w:val="-1"/>
                <w:sz w:val="18"/>
              </w:rPr>
              <w:t> </w:t>
            </w:r>
            <w:r>
              <w:rPr>
                <w:sz w:val="18"/>
              </w:rPr>
              <w:t>human use. Ecosystems with anthropogenic environmental changes are generally restored to desired conditions.</w:t>
            </w:r>
          </w:p>
        </w:tc>
      </w:tr>
    </w:tbl>
    <w:p>
      <w:pPr>
        <w:pStyle w:val="TableParagraph"/>
        <w:spacing w:after="0"/>
        <w:rPr>
          <w:sz w:val="18"/>
        </w:rPr>
        <w:sectPr>
          <w:headerReference w:type="even" r:id="rId66"/>
          <w:headerReference w:type="default" r:id="rId67"/>
          <w:footerReference w:type="even" r:id="rId68"/>
          <w:footerReference w:type="default" r:id="rId69"/>
          <w:pgSz w:w="15840" w:h="12240" w:orient="landscape"/>
          <w:pgMar w:header="725" w:footer="891" w:top="960" w:bottom="1080" w:left="1440" w:right="1440"/>
          <w:pgNumType w:start="144"/>
        </w:sectPr>
      </w:pPr>
    </w:p>
    <w:p>
      <w:pPr>
        <w:pStyle w:val="Heading4"/>
        <w:spacing w:before="264"/>
        <w:ind w:left="1151"/>
      </w:pPr>
      <w:bookmarkStart w:name="Objectives" w:id="853"/>
      <w:bookmarkEnd w:id="853"/>
      <w:r>
        <w:rPr/>
      </w:r>
      <w:bookmarkStart w:name="_bookmark260" w:id="854"/>
      <w:bookmarkEnd w:id="854"/>
      <w:r>
        <w:rPr/>
      </w:r>
      <w:r>
        <w:rPr>
          <w:spacing w:val="-2"/>
        </w:rPr>
        <w:t>Objectives</w:t>
      </w:r>
    </w:p>
    <w:p>
      <w:pPr>
        <w:spacing w:before="239"/>
        <w:ind w:left="1151" w:right="0" w:firstLine="0"/>
        <w:jc w:val="left"/>
        <w:rPr>
          <w:rFonts w:ascii="Arial" w:hAnsi="Arial"/>
          <w:i/>
          <w:sz w:val="22"/>
        </w:rPr>
      </w:pPr>
      <w:bookmarkStart w:name="MA-OBJ-WCD-01. Human Developments – Prim" w:id="855"/>
      <w:bookmarkEnd w:id="855"/>
      <w:r>
        <w:rPr/>
      </w:r>
      <w:r>
        <w:rPr>
          <w:rFonts w:ascii="Arial" w:hAnsi="Arial"/>
          <w:i/>
          <w:sz w:val="22"/>
        </w:rPr>
        <w:t>MA-OBJ-WCD-01.</w:t>
      </w:r>
      <w:r>
        <w:rPr>
          <w:rFonts w:ascii="Arial" w:hAnsi="Arial"/>
          <w:i/>
          <w:spacing w:val="-8"/>
          <w:sz w:val="22"/>
        </w:rPr>
        <w:t> </w:t>
      </w:r>
      <w:r>
        <w:rPr>
          <w:rFonts w:ascii="Arial" w:hAnsi="Arial"/>
          <w:i/>
          <w:sz w:val="22"/>
        </w:rPr>
        <w:t>Human</w:t>
      </w:r>
      <w:r>
        <w:rPr>
          <w:rFonts w:ascii="Arial" w:hAnsi="Arial"/>
          <w:i/>
          <w:spacing w:val="-7"/>
          <w:sz w:val="22"/>
        </w:rPr>
        <w:t> </w:t>
      </w:r>
      <w:r>
        <w:rPr>
          <w:rFonts w:ascii="Arial" w:hAnsi="Arial"/>
          <w:i/>
          <w:sz w:val="22"/>
        </w:rPr>
        <w:t>Developments</w:t>
      </w:r>
      <w:r>
        <w:rPr>
          <w:rFonts w:ascii="Arial" w:hAnsi="Arial"/>
          <w:i/>
          <w:spacing w:val="-7"/>
          <w:sz w:val="22"/>
        </w:rPr>
        <w:t> </w:t>
      </w:r>
      <w:r>
        <w:rPr>
          <w:rFonts w:ascii="Arial" w:hAnsi="Arial"/>
          <w:i/>
          <w:sz w:val="22"/>
        </w:rPr>
        <w:t>–</w:t>
      </w:r>
      <w:r>
        <w:rPr>
          <w:rFonts w:ascii="Arial" w:hAnsi="Arial"/>
          <w:i/>
          <w:spacing w:val="-9"/>
          <w:sz w:val="22"/>
        </w:rPr>
        <w:t> </w:t>
      </w:r>
      <w:r>
        <w:rPr>
          <w:rFonts w:ascii="Arial" w:hAnsi="Arial"/>
          <w:i/>
          <w:sz w:val="22"/>
        </w:rPr>
        <w:t>Primitive</w:t>
      </w:r>
      <w:r>
        <w:rPr>
          <w:rFonts w:ascii="Arial" w:hAnsi="Arial"/>
          <w:i/>
          <w:spacing w:val="-7"/>
          <w:sz w:val="22"/>
        </w:rPr>
        <w:t> </w:t>
      </w:r>
      <w:r>
        <w:rPr>
          <w:rFonts w:ascii="Arial" w:hAnsi="Arial"/>
          <w:i/>
          <w:spacing w:val="-4"/>
          <w:sz w:val="22"/>
        </w:rPr>
        <w:t>Zone</w:t>
      </w:r>
    </w:p>
    <w:p>
      <w:pPr>
        <w:pStyle w:val="BodyText"/>
        <w:spacing w:line="232" w:lineRule="auto" w:before="65"/>
        <w:ind w:left="1151" w:right="361"/>
      </w:pPr>
      <w:r>
        <w:rPr/>
        <w:t>Existing campsites will be inventoried within five years of plan implementation. Campsites that are</w:t>
      </w:r>
      <w:r>
        <w:rPr>
          <w:spacing w:val="-3"/>
        </w:rPr>
        <w:t> </w:t>
      </w:r>
      <w:r>
        <w:rPr/>
        <w:t>both</w:t>
      </w:r>
      <w:r>
        <w:rPr>
          <w:spacing w:val="-5"/>
        </w:rPr>
        <w:t> </w:t>
      </w:r>
      <w:r>
        <w:rPr/>
        <w:t>visible</w:t>
      </w:r>
      <w:r>
        <w:rPr>
          <w:spacing w:val="-3"/>
        </w:rPr>
        <w:t> </w:t>
      </w:r>
      <w:r>
        <w:rPr/>
        <w:t>and</w:t>
      </w:r>
      <w:r>
        <w:rPr>
          <w:spacing w:val="-5"/>
        </w:rPr>
        <w:t> </w:t>
      </w:r>
      <w:r>
        <w:rPr/>
        <w:t>audible</w:t>
      </w:r>
      <w:r>
        <w:rPr>
          <w:spacing w:val="-3"/>
        </w:rPr>
        <w:t> </w:t>
      </w:r>
      <w:r>
        <w:rPr/>
        <w:t>to</w:t>
      </w:r>
      <w:r>
        <w:rPr>
          <w:spacing w:val="-3"/>
        </w:rPr>
        <w:t> </w:t>
      </w:r>
      <w:r>
        <w:rPr/>
        <w:t>each</w:t>
      </w:r>
      <w:r>
        <w:rPr>
          <w:spacing w:val="-7"/>
        </w:rPr>
        <w:t> </w:t>
      </w:r>
      <w:r>
        <w:rPr/>
        <w:t>other</w:t>
      </w:r>
      <w:r>
        <w:rPr>
          <w:spacing w:val="-6"/>
        </w:rPr>
        <w:t> </w:t>
      </w:r>
      <w:r>
        <w:rPr/>
        <w:t>will</w:t>
      </w:r>
      <w:r>
        <w:rPr>
          <w:spacing w:val="-4"/>
        </w:rPr>
        <w:t> </w:t>
      </w:r>
      <w:r>
        <w:rPr/>
        <w:t>be</w:t>
      </w:r>
      <w:r>
        <w:rPr>
          <w:spacing w:val="-2"/>
        </w:rPr>
        <w:t> </w:t>
      </w:r>
      <w:r>
        <w:rPr/>
        <w:t>surveyed,</w:t>
      </w:r>
      <w:r>
        <w:rPr>
          <w:spacing w:val="-4"/>
        </w:rPr>
        <w:t> </w:t>
      </w:r>
      <w:r>
        <w:rPr/>
        <w:t>and</w:t>
      </w:r>
      <w:r>
        <w:rPr>
          <w:spacing w:val="-7"/>
        </w:rPr>
        <w:t> </w:t>
      </w:r>
      <w:r>
        <w:rPr/>
        <w:t>the</w:t>
      </w:r>
      <w:r>
        <w:rPr>
          <w:spacing w:val="-3"/>
        </w:rPr>
        <w:t> </w:t>
      </w:r>
      <w:r>
        <w:rPr/>
        <w:t>site</w:t>
      </w:r>
      <w:r>
        <w:rPr>
          <w:spacing w:val="-3"/>
        </w:rPr>
        <w:t> </w:t>
      </w:r>
      <w:r>
        <w:rPr/>
        <w:t>that</w:t>
      </w:r>
      <w:r>
        <w:rPr>
          <w:spacing w:val="-6"/>
        </w:rPr>
        <w:t> </w:t>
      </w:r>
      <w:r>
        <w:rPr/>
        <w:t>shows</w:t>
      </w:r>
      <w:r>
        <w:rPr>
          <w:spacing w:val="-4"/>
        </w:rPr>
        <w:t> </w:t>
      </w:r>
      <w:r>
        <w:rPr/>
        <w:t>the</w:t>
      </w:r>
      <w:r>
        <w:rPr>
          <w:spacing w:val="-3"/>
        </w:rPr>
        <w:t> </w:t>
      </w:r>
      <w:r>
        <w:rPr/>
        <w:t>greatest resilience</w:t>
      </w:r>
      <w:r>
        <w:rPr>
          <w:spacing w:val="-3"/>
        </w:rPr>
        <w:t> </w:t>
      </w:r>
      <w:r>
        <w:rPr/>
        <w:t>toward</w:t>
      </w:r>
      <w:r>
        <w:rPr>
          <w:spacing w:val="-5"/>
        </w:rPr>
        <w:t> </w:t>
      </w:r>
      <w:r>
        <w:rPr/>
        <w:t>future</w:t>
      </w:r>
      <w:r>
        <w:rPr>
          <w:spacing w:val="-3"/>
        </w:rPr>
        <w:t> </w:t>
      </w:r>
      <w:r>
        <w:rPr/>
        <w:t>resource</w:t>
      </w:r>
      <w:r>
        <w:rPr>
          <w:spacing w:val="-3"/>
        </w:rPr>
        <w:t> </w:t>
      </w:r>
      <w:r>
        <w:rPr/>
        <w:t>disturbance</w:t>
      </w:r>
      <w:r>
        <w:rPr>
          <w:spacing w:val="-6"/>
        </w:rPr>
        <w:t> </w:t>
      </w:r>
      <w:r>
        <w:rPr/>
        <w:t>(based</w:t>
      </w:r>
      <w:r>
        <w:rPr>
          <w:spacing w:val="-7"/>
        </w:rPr>
        <w:t> </w:t>
      </w:r>
      <w:r>
        <w:rPr/>
        <w:t>on</w:t>
      </w:r>
      <w:r>
        <w:rPr>
          <w:spacing w:val="-5"/>
        </w:rPr>
        <w:t> </w:t>
      </w:r>
      <w:r>
        <w:rPr/>
        <w:t>soil</w:t>
      </w:r>
      <w:r>
        <w:rPr>
          <w:spacing w:val="-4"/>
        </w:rPr>
        <w:t> </w:t>
      </w:r>
      <w:r>
        <w:rPr/>
        <w:t>and</w:t>
      </w:r>
      <w:r>
        <w:rPr>
          <w:spacing w:val="-5"/>
        </w:rPr>
        <w:t> </w:t>
      </w:r>
      <w:r>
        <w:rPr/>
        <w:t>vegetation</w:t>
      </w:r>
      <w:r>
        <w:rPr>
          <w:spacing w:val="-7"/>
        </w:rPr>
        <w:t> </w:t>
      </w:r>
      <w:r>
        <w:rPr/>
        <w:t>characteristics)</w:t>
      </w:r>
      <w:r>
        <w:rPr>
          <w:spacing w:val="-6"/>
        </w:rPr>
        <w:t> </w:t>
      </w:r>
      <w:r>
        <w:rPr/>
        <w:t>will be retained while the other site will be naturalized.</w:t>
      </w:r>
    </w:p>
    <w:p>
      <w:pPr>
        <w:spacing w:before="234"/>
        <w:ind w:left="1151" w:right="0" w:firstLine="0"/>
        <w:jc w:val="left"/>
        <w:rPr>
          <w:rFonts w:ascii="Arial" w:hAnsi="Arial"/>
          <w:i/>
          <w:sz w:val="22"/>
        </w:rPr>
      </w:pPr>
      <w:bookmarkStart w:name="MA-OBJ-WCD-02. Human Developments – Semi" w:id="856"/>
      <w:bookmarkEnd w:id="856"/>
      <w:r>
        <w:rPr/>
      </w:r>
      <w:r>
        <w:rPr>
          <w:rFonts w:ascii="Arial" w:hAnsi="Arial"/>
          <w:i/>
          <w:sz w:val="22"/>
        </w:rPr>
        <w:t>MA-OBJ-WCD-02.</w:t>
      </w:r>
      <w:r>
        <w:rPr>
          <w:rFonts w:ascii="Arial" w:hAnsi="Arial"/>
          <w:i/>
          <w:spacing w:val="-9"/>
          <w:sz w:val="22"/>
        </w:rPr>
        <w:t> </w:t>
      </w:r>
      <w:r>
        <w:rPr>
          <w:rFonts w:ascii="Arial" w:hAnsi="Arial"/>
          <w:i/>
          <w:sz w:val="22"/>
        </w:rPr>
        <w:t>Human</w:t>
      </w:r>
      <w:r>
        <w:rPr>
          <w:rFonts w:ascii="Arial" w:hAnsi="Arial"/>
          <w:i/>
          <w:spacing w:val="-8"/>
          <w:sz w:val="22"/>
        </w:rPr>
        <w:t> </w:t>
      </w:r>
      <w:r>
        <w:rPr>
          <w:rFonts w:ascii="Arial" w:hAnsi="Arial"/>
          <w:i/>
          <w:sz w:val="22"/>
        </w:rPr>
        <w:t>Developments</w:t>
      </w:r>
      <w:r>
        <w:rPr>
          <w:rFonts w:ascii="Arial" w:hAnsi="Arial"/>
          <w:i/>
          <w:spacing w:val="-8"/>
          <w:sz w:val="22"/>
        </w:rPr>
        <w:t> </w:t>
      </w:r>
      <w:r>
        <w:rPr>
          <w:rFonts w:ascii="Arial" w:hAnsi="Arial"/>
          <w:i/>
          <w:sz w:val="22"/>
        </w:rPr>
        <w:t>–</w:t>
      </w:r>
      <w:r>
        <w:rPr>
          <w:rFonts w:ascii="Arial" w:hAnsi="Arial"/>
          <w:i/>
          <w:spacing w:val="-9"/>
          <w:sz w:val="22"/>
        </w:rPr>
        <w:t> </w:t>
      </w:r>
      <w:r>
        <w:rPr>
          <w:rFonts w:ascii="Arial" w:hAnsi="Arial"/>
          <w:i/>
          <w:sz w:val="22"/>
        </w:rPr>
        <w:t>Semi-Primitive</w:t>
      </w:r>
      <w:r>
        <w:rPr>
          <w:rFonts w:ascii="Arial" w:hAnsi="Arial"/>
          <w:i/>
          <w:spacing w:val="-8"/>
          <w:sz w:val="22"/>
        </w:rPr>
        <w:t> </w:t>
      </w:r>
      <w:r>
        <w:rPr>
          <w:rFonts w:ascii="Arial" w:hAnsi="Arial"/>
          <w:i/>
          <w:spacing w:val="-4"/>
          <w:sz w:val="22"/>
        </w:rPr>
        <w:t>Zone</w:t>
      </w:r>
    </w:p>
    <w:p>
      <w:pPr>
        <w:pStyle w:val="BodyText"/>
        <w:spacing w:line="232" w:lineRule="auto" w:before="65"/>
        <w:ind w:left="1151" w:right="361"/>
      </w:pPr>
      <w:r>
        <w:rPr/>
        <w:t>Existing campsites within 200 feet of lakes, rivers, or streams will be inventoried within 5 years of</w:t>
      </w:r>
      <w:r>
        <w:rPr>
          <w:spacing w:val="-4"/>
        </w:rPr>
        <w:t> </w:t>
      </w:r>
      <w:r>
        <w:rPr/>
        <w:t>plan</w:t>
      </w:r>
      <w:r>
        <w:rPr>
          <w:spacing w:val="-5"/>
        </w:rPr>
        <w:t> </w:t>
      </w:r>
      <w:r>
        <w:rPr/>
        <w:t>implementation.</w:t>
      </w:r>
      <w:r>
        <w:rPr>
          <w:spacing w:val="-4"/>
        </w:rPr>
        <w:t> </w:t>
      </w:r>
      <w:r>
        <w:rPr/>
        <w:t>Campsites</w:t>
      </w:r>
      <w:r>
        <w:rPr>
          <w:spacing w:val="-6"/>
        </w:rPr>
        <w:t> </w:t>
      </w:r>
      <w:r>
        <w:rPr/>
        <w:t>that</w:t>
      </w:r>
      <w:r>
        <w:rPr>
          <w:spacing w:val="-4"/>
        </w:rPr>
        <w:t> </w:t>
      </w:r>
      <w:r>
        <w:rPr/>
        <w:t>can</w:t>
      </w:r>
      <w:r>
        <w:rPr>
          <w:spacing w:val="-5"/>
        </w:rPr>
        <w:t> </w:t>
      </w:r>
      <w:r>
        <w:rPr/>
        <w:t>absorb</w:t>
      </w:r>
      <w:r>
        <w:rPr>
          <w:spacing w:val="-7"/>
        </w:rPr>
        <w:t> </w:t>
      </w:r>
      <w:r>
        <w:rPr/>
        <w:t>the</w:t>
      </w:r>
      <w:r>
        <w:rPr>
          <w:spacing w:val="-4"/>
        </w:rPr>
        <w:t> </w:t>
      </w:r>
      <w:r>
        <w:rPr/>
        <w:t>impact</w:t>
      </w:r>
      <w:r>
        <w:rPr>
          <w:spacing w:val="-6"/>
        </w:rPr>
        <w:t> </w:t>
      </w:r>
      <w:r>
        <w:rPr/>
        <w:t>of</w:t>
      </w:r>
      <w:r>
        <w:rPr>
          <w:spacing w:val="-4"/>
        </w:rPr>
        <w:t> </w:t>
      </w:r>
      <w:r>
        <w:rPr/>
        <w:t>recurring</w:t>
      </w:r>
      <w:r>
        <w:rPr>
          <w:spacing w:val="-5"/>
        </w:rPr>
        <w:t> </w:t>
      </w:r>
      <w:r>
        <w:rPr/>
        <w:t>recreational</w:t>
      </w:r>
      <w:r>
        <w:rPr>
          <w:spacing w:val="-4"/>
        </w:rPr>
        <w:t> </w:t>
      </w:r>
      <w:r>
        <w:rPr/>
        <w:t>use</w:t>
      </w:r>
      <w:r>
        <w:rPr>
          <w:spacing w:val="-6"/>
        </w:rPr>
        <w:t> </w:t>
      </w:r>
      <w:r>
        <w:rPr/>
        <w:t>will be retained,</w:t>
      </w:r>
      <w:r>
        <w:rPr>
          <w:spacing w:val="-1"/>
        </w:rPr>
        <w:t> </w:t>
      </w:r>
      <w:r>
        <w:rPr/>
        <w:t>while</w:t>
      </w:r>
      <w:r>
        <w:rPr>
          <w:spacing w:val="-1"/>
        </w:rPr>
        <w:t> </w:t>
      </w:r>
      <w:r>
        <w:rPr/>
        <w:t>those campsites</w:t>
      </w:r>
      <w:r>
        <w:rPr>
          <w:spacing w:val="-1"/>
        </w:rPr>
        <w:t> </w:t>
      </w:r>
      <w:r>
        <w:rPr/>
        <w:t>that show</w:t>
      </w:r>
      <w:r>
        <w:rPr>
          <w:spacing w:val="-1"/>
        </w:rPr>
        <w:t> </w:t>
      </w:r>
      <w:r>
        <w:rPr/>
        <w:t>low</w:t>
      </w:r>
      <w:r>
        <w:rPr>
          <w:spacing w:val="-1"/>
        </w:rPr>
        <w:t> </w:t>
      </w:r>
      <w:r>
        <w:rPr/>
        <w:t>resiliency to repeated use</w:t>
      </w:r>
      <w:r>
        <w:rPr>
          <w:spacing w:val="-1"/>
        </w:rPr>
        <w:t> </w:t>
      </w:r>
      <w:r>
        <w:rPr/>
        <w:t>(based on impacts to</w:t>
      </w:r>
      <w:r>
        <w:rPr>
          <w:spacing w:val="-3"/>
        </w:rPr>
        <w:t> </w:t>
      </w:r>
      <w:r>
        <w:rPr/>
        <w:t>soil,</w:t>
      </w:r>
      <w:r>
        <w:rPr>
          <w:spacing w:val="-6"/>
        </w:rPr>
        <w:t> </w:t>
      </w:r>
      <w:r>
        <w:rPr/>
        <w:t>vegetation,</w:t>
      </w:r>
      <w:r>
        <w:rPr>
          <w:spacing w:val="-4"/>
        </w:rPr>
        <w:t> </w:t>
      </w:r>
      <w:r>
        <w:rPr/>
        <w:t>and</w:t>
      </w:r>
      <w:r>
        <w:rPr>
          <w:spacing w:val="-7"/>
        </w:rPr>
        <w:t> </w:t>
      </w:r>
      <w:r>
        <w:rPr/>
        <w:t>water</w:t>
      </w:r>
      <w:r>
        <w:rPr>
          <w:spacing w:val="-4"/>
        </w:rPr>
        <w:t> </w:t>
      </w:r>
      <w:r>
        <w:rPr/>
        <w:t>quality)</w:t>
      </w:r>
      <w:r>
        <w:rPr>
          <w:spacing w:val="-6"/>
        </w:rPr>
        <w:t> </w:t>
      </w:r>
      <w:r>
        <w:rPr/>
        <w:t>will</w:t>
      </w:r>
      <w:r>
        <w:rPr>
          <w:spacing w:val="-4"/>
        </w:rPr>
        <w:t> </w:t>
      </w:r>
      <w:r>
        <w:rPr/>
        <w:t>be</w:t>
      </w:r>
      <w:r>
        <w:rPr>
          <w:spacing w:val="-3"/>
        </w:rPr>
        <w:t> </w:t>
      </w:r>
      <w:r>
        <w:rPr/>
        <w:t>naturalized</w:t>
      </w:r>
      <w:r>
        <w:rPr>
          <w:spacing w:val="-5"/>
        </w:rPr>
        <w:t> </w:t>
      </w:r>
      <w:r>
        <w:rPr/>
        <w:t>within</w:t>
      </w:r>
      <w:r>
        <w:rPr>
          <w:spacing w:val="-7"/>
        </w:rPr>
        <w:t> </w:t>
      </w:r>
      <w:r>
        <w:rPr/>
        <w:t>5</w:t>
      </w:r>
      <w:r>
        <w:rPr>
          <w:spacing w:val="-5"/>
        </w:rPr>
        <w:t> </w:t>
      </w:r>
      <w:r>
        <w:rPr/>
        <w:t>years</w:t>
      </w:r>
      <w:r>
        <w:rPr>
          <w:spacing w:val="-6"/>
        </w:rPr>
        <w:t> </w:t>
      </w:r>
      <w:r>
        <w:rPr/>
        <w:t>of</w:t>
      </w:r>
      <w:r>
        <w:rPr>
          <w:spacing w:val="-4"/>
        </w:rPr>
        <w:t> </w:t>
      </w:r>
      <w:r>
        <w:rPr/>
        <w:t>plan</w:t>
      </w:r>
      <w:r>
        <w:rPr>
          <w:spacing w:val="-5"/>
        </w:rPr>
        <w:t> </w:t>
      </w:r>
      <w:r>
        <w:rPr/>
        <w:t>implementation.</w:t>
      </w:r>
    </w:p>
    <w:p>
      <w:pPr>
        <w:pStyle w:val="Heading4"/>
        <w:spacing w:before="234"/>
        <w:ind w:left="1151"/>
      </w:pPr>
      <w:bookmarkStart w:name="Standards" w:id="857"/>
      <w:bookmarkEnd w:id="857"/>
      <w:r>
        <w:rPr/>
      </w:r>
      <w:bookmarkStart w:name="_bookmark261" w:id="858"/>
      <w:bookmarkEnd w:id="858"/>
      <w:r>
        <w:rPr/>
      </w:r>
      <w:r>
        <w:rPr>
          <w:spacing w:val="-2"/>
        </w:rPr>
        <w:t>Standards</w:t>
      </w:r>
    </w:p>
    <w:p>
      <w:pPr>
        <w:spacing w:before="237"/>
        <w:ind w:left="1151" w:right="0" w:firstLine="0"/>
        <w:jc w:val="left"/>
        <w:rPr>
          <w:rFonts w:ascii="Arial"/>
          <w:i/>
          <w:sz w:val="22"/>
        </w:rPr>
      </w:pPr>
      <w:bookmarkStart w:name="MA-STD-WCD-01. Site Impacts" w:id="859"/>
      <w:bookmarkEnd w:id="859"/>
      <w:r>
        <w:rPr/>
      </w:r>
      <w:r>
        <w:rPr>
          <w:rFonts w:ascii="Arial"/>
          <w:i/>
          <w:sz w:val="22"/>
        </w:rPr>
        <w:t>MA-STD-WCD-01.</w:t>
      </w:r>
      <w:r>
        <w:rPr>
          <w:rFonts w:ascii="Arial"/>
          <w:i/>
          <w:spacing w:val="-9"/>
          <w:sz w:val="22"/>
        </w:rPr>
        <w:t> </w:t>
      </w:r>
      <w:r>
        <w:rPr>
          <w:rFonts w:ascii="Arial"/>
          <w:i/>
          <w:sz w:val="22"/>
        </w:rPr>
        <w:t>Site</w:t>
      </w:r>
      <w:r>
        <w:rPr>
          <w:rFonts w:ascii="Arial"/>
          <w:i/>
          <w:spacing w:val="-8"/>
          <w:sz w:val="22"/>
        </w:rPr>
        <w:t> </w:t>
      </w:r>
      <w:r>
        <w:rPr>
          <w:rFonts w:ascii="Arial"/>
          <w:i/>
          <w:spacing w:val="-2"/>
          <w:sz w:val="22"/>
        </w:rPr>
        <w:t>Impacts</w:t>
      </w:r>
    </w:p>
    <w:p>
      <w:pPr>
        <w:pStyle w:val="BodyText"/>
        <w:spacing w:line="232" w:lineRule="auto" w:before="67"/>
        <w:ind w:left="1151" w:right="365"/>
      </w:pPr>
      <w:r>
        <w:rPr/>
        <w:t>Human-caused</w:t>
      </w:r>
      <w:r>
        <w:rPr>
          <w:spacing w:val="-9"/>
        </w:rPr>
        <w:t> </w:t>
      </w:r>
      <w:r>
        <w:rPr/>
        <w:t>disturbed</w:t>
      </w:r>
      <w:r>
        <w:rPr>
          <w:spacing w:val="-9"/>
        </w:rPr>
        <w:t> </w:t>
      </w:r>
      <w:r>
        <w:rPr/>
        <w:t>areas</w:t>
      </w:r>
      <w:r>
        <w:rPr>
          <w:spacing w:val="-8"/>
        </w:rPr>
        <w:t> </w:t>
      </w:r>
      <w:r>
        <w:rPr/>
        <w:t>that</w:t>
      </w:r>
      <w:r>
        <w:rPr>
          <w:spacing w:val="-7"/>
        </w:rPr>
        <w:t> </w:t>
      </w:r>
      <w:r>
        <w:rPr/>
        <w:t>negatively</w:t>
      </w:r>
      <w:r>
        <w:rPr>
          <w:spacing w:val="-6"/>
        </w:rPr>
        <w:t> </w:t>
      </w:r>
      <w:r>
        <w:rPr/>
        <w:t>affect</w:t>
      </w:r>
      <w:r>
        <w:rPr>
          <w:spacing w:val="-9"/>
        </w:rPr>
        <w:t> </w:t>
      </w:r>
      <w:r>
        <w:rPr/>
        <w:t>wilderness</w:t>
      </w:r>
      <w:r>
        <w:rPr>
          <w:spacing w:val="-9"/>
        </w:rPr>
        <w:t> </w:t>
      </w:r>
      <w:r>
        <w:rPr/>
        <w:t>character</w:t>
      </w:r>
      <w:r>
        <w:rPr>
          <w:spacing w:val="-8"/>
        </w:rPr>
        <w:t> </w:t>
      </w:r>
      <w:r>
        <w:rPr/>
        <w:t>will</w:t>
      </w:r>
      <w:r>
        <w:rPr>
          <w:spacing w:val="-8"/>
        </w:rPr>
        <w:t> </w:t>
      </w:r>
      <w:r>
        <w:rPr/>
        <w:t>be</w:t>
      </w:r>
      <w:r>
        <w:rPr>
          <w:spacing w:val="-7"/>
        </w:rPr>
        <w:t> </w:t>
      </w:r>
      <w:r>
        <w:rPr/>
        <w:t>rehabilitated to a natural appearance, using species or other materials native to the area.</w:t>
      </w:r>
    </w:p>
    <w:p>
      <w:pPr>
        <w:spacing w:before="234"/>
        <w:ind w:left="1151" w:right="0" w:firstLine="0"/>
        <w:jc w:val="left"/>
        <w:rPr>
          <w:rFonts w:ascii="Arial"/>
          <w:i/>
          <w:sz w:val="22"/>
        </w:rPr>
      </w:pPr>
      <w:bookmarkStart w:name="MA-STD-WCD-02. Group Size" w:id="860"/>
      <w:bookmarkEnd w:id="860"/>
      <w:r>
        <w:rPr/>
      </w:r>
      <w:r>
        <w:rPr>
          <w:rFonts w:ascii="Arial"/>
          <w:i/>
          <w:sz w:val="22"/>
        </w:rPr>
        <w:t>MA-STD-WCD-02.</w:t>
      </w:r>
      <w:r>
        <w:rPr>
          <w:rFonts w:ascii="Arial"/>
          <w:i/>
          <w:spacing w:val="-10"/>
          <w:sz w:val="22"/>
        </w:rPr>
        <w:t> </w:t>
      </w:r>
      <w:r>
        <w:rPr>
          <w:rFonts w:ascii="Arial"/>
          <w:i/>
          <w:sz w:val="22"/>
        </w:rPr>
        <w:t>Group</w:t>
      </w:r>
      <w:r>
        <w:rPr>
          <w:rFonts w:ascii="Arial"/>
          <w:i/>
          <w:spacing w:val="-9"/>
          <w:sz w:val="22"/>
        </w:rPr>
        <w:t> </w:t>
      </w:r>
      <w:r>
        <w:rPr>
          <w:rFonts w:ascii="Arial"/>
          <w:i/>
          <w:spacing w:val="-4"/>
          <w:sz w:val="22"/>
        </w:rPr>
        <w:t>Size</w:t>
      </w:r>
    </w:p>
    <w:p>
      <w:pPr>
        <w:pStyle w:val="BodyText"/>
        <w:spacing w:line="232" w:lineRule="auto" w:before="65"/>
        <w:ind w:left="1151" w:right="361"/>
      </w:pPr>
      <w:r>
        <w:rPr/>
        <w:t>Do not authorize wilderness group sizes that exceed the physical capacity, the number of available campsites or the social capacity of the specific area of use. Keep the network of large group</w:t>
      </w:r>
      <w:r>
        <w:rPr>
          <w:spacing w:val="-6"/>
        </w:rPr>
        <w:t> </w:t>
      </w:r>
      <w:r>
        <w:rPr/>
        <w:t>campsites</w:t>
      </w:r>
      <w:r>
        <w:rPr>
          <w:spacing w:val="-5"/>
        </w:rPr>
        <w:t> </w:t>
      </w:r>
      <w:r>
        <w:rPr/>
        <w:t>at</w:t>
      </w:r>
      <w:r>
        <w:rPr>
          <w:spacing w:val="-4"/>
        </w:rPr>
        <w:t> </w:t>
      </w:r>
      <w:r>
        <w:rPr/>
        <w:t>a</w:t>
      </w:r>
      <w:r>
        <w:rPr>
          <w:spacing w:val="-7"/>
        </w:rPr>
        <w:t> </w:t>
      </w:r>
      <w:r>
        <w:rPr/>
        <w:t>minimum</w:t>
      </w:r>
      <w:r>
        <w:rPr>
          <w:spacing w:val="-6"/>
        </w:rPr>
        <w:t> </w:t>
      </w:r>
      <w:r>
        <w:rPr/>
        <w:t>necessary</w:t>
      </w:r>
      <w:r>
        <w:rPr>
          <w:spacing w:val="-4"/>
        </w:rPr>
        <w:t> </w:t>
      </w:r>
      <w:r>
        <w:rPr/>
        <w:t>to</w:t>
      </w:r>
      <w:r>
        <w:rPr>
          <w:spacing w:val="-4"/>
        </w:rPr>
        <w:t> </w:t>
      </w:r>
      <w:r>
        <w:rPr/>
        <w:t>provide</w:t>
      </w:r>
      <w:r>
        <w:rPr>
          <w:spacing w:val="-7"/>
        </w:rPr>
        <w:t> </w:t>
      </w:r>
      <w:r>
        <w:rPr/>
        <w:t>for</w:t>
      </w:r>
      <w:r>
        <w:rPr>
          <w:spacing w:val="-5"/>
        </w:rPr>
        <w:t> </w:t>
      </w:r>
      <w:r>
        <w:rPr/>
        <w:t>the</w:t>
      </w:r>
      <w:r>
        <w:rPr>
          <w:spacing w:val="-7"/>
        </w:rPr>
        <w:t> </w:t>
      </w:r>
      <w:r>
        <w:rPr/>
        <w:t>travel</w:t>
      </w:r>
      <w:r>
        <w:rPr>
          <w:spacing w:val="-8"/>
        </w:rPr>
        <w:t> </w:t>
      </w:r>
      <w:r>
        <w:rPr/>
        <w:t>patterns</w:t>
      </w:r>
      <w:r>
        <w:rPr>
          <w:spacing w:val="-7"/>
        </w:rPr>
        <w:t> </w:t>
      </w:r>
      <w:r>
        <w:rPr/>
        <w:t>of</w:t>
      </w:r>
      <w:r>
        <w:rPr>
          <w:spacing w:val="-5"/>
        </w:rPr>
        <w:t> </w:t>
      </w:r>
      <w:r>
        <w:rPr/>
        <w:t>large</w:t>
      </w:r>
      <w:r>
        <w:rPr>
          <w:spacing w:val="-4"/>
        </w:rPr>
        <w:t> </w:t>
      </w:r>
      <w:r>
        <w:rPr/>
        <w:t>groups</w:t>
      </w:r>
      <w:r>
        <w:rPr>
          <w:spacing w:val="-7"/>
        </w:rPr>
        <w:t> </w:t>
      </w:r>
      <w:r>
        <w:rPr/>
        <w:t>of</w:t>
      </w:r>
      <w:r>
        <w:rPr>
          <w:spacing w:val="-5"/>
        </w:rPr>
        <w:t> </w:t>
      </w:r>
      <w:r>
        <w:rPr/>
        <w:t>up to</w:t>
      </w:r>
      <w:r>
        <w:rPr>
          <w:spacing w:val="-1"/>
        </w:rPr>
        <w:t> </w:t>
      </w:r>
      <w:r>
        <w:rPr/>
        <w:t>the</w:t>
      </w:r>
      <w:r>
        <w:rPr>
          <w:spacing w:val="-1"/>
        </w:rPr>
        <w:t> </w:t>
      </w:r>
      <w:r>
        <w:rPr/>
        <w:t>standard</w:t>
      </w:r>
      <w:r>
        <w:rPr>
          <w:spacing w:val="-5"/>
        </w:rPr>
        <w:t> </w:t>
      </w:r>
      <w:r>
        <w:rPr/>
        <w:t>maximum</w:t>
      </w:r>
      <w:r>
        <w:rPr>
          <w:spacing w:val="-3"/>
        </w:rPr>
        <w:t> </w:t>
      </w:r>
      <w:r>
        <w:rPr/>
        <w:t>group</w:t>
      </w:r>
      <w:r>
        <w:rPr>
          <w:spacing w:val="-3"/>
        </w:rPr>
        <w:t> </w:t>
      </w:r>
      <w:r>
        <w:rPr/>
        <w:t>size</w:t>
      </w:r>
      <w:r>
        <w:rPr>
          <w:spacing w:val="-4"/>
        </w:rPr>
        <w:t> </w:t>
      </w:r>
      <w:r>
        <w:rPr/>
        <w:t>limit.</w:t>
      </w:r>
      <w:r>
        <w:rPr>
          <w:spacing w:val="-2"/>
        </w:rPr>
        <w:t> </w:t>
      </w:r>
      <w:r>
        <w:rPr/>
        <w:t>At</w:t>
      </w:r>
      <w:r>
        <w:rPr>
          <w:spacing w:val="-4"/>
        </w:rPr>
        <w:t> </w:t>
      </w:r>
      <w:r>
        <w:rPr/>
        <w:t>a</w:t>
      </w:r>
      <w:r>
        <w:rPr>
          <w:spacing w:val="-4"/>
        </w:rPr>
        <w:t> </w:t>
      </w:r>
      <w:r>
        <w:rPr/>
        <w:t>minimum,</w:t>
      </w:r>
      <w:r>
        <w:rPr>
          <w:spacing w:val="-2"/>
        </w:rPr>
        <w:t> </w:t>
      </w:r>
      <w:r>
        <w:rPr/>
        <w:t>partially</w:t>
      </w:r>
      <w:r>
        <w:rPr>
          <w:spacing w:val="-1"/>
        </w:rPr>
        <w:t> </w:t>
      </w:r>
      <w:r>
        <w:rPr/>
        <w:t>screen</w:t>
      </w:r>
      <w:r>
        <w:rPr>
          <w:spacing w:val="-5"/>
        </w:rPr>
        <w:t> </w:t>
      </w:r>
      <w:r>
        <w:rPr/>
        <w:t>these</w:t>
      </w:r>
      <w:r>
        <w:rPr>
          <w:spacing w:val="-1"/>
        </w:rPr>
        <w:t> </w:t>
      </w:r>
      <w:r>
        <w:rPr/>
        <w:t>sites</w:t>
      </w:r>
      <w:r>
        <w:rPr>
          <w:spacing w:val="-2"/>
        </w:rPr>
        <w:t> </w:t>
      </w:r>
      <w:r>
        <w:rPr/>
        <w:t>from</w:t>
      </w:r>
      <w:r>
        <w:rPr>
          <w:spacing w:val="-1"/>
        </w:rPr>
        <w:t> </w:t>
      </w:r>
      <w:r>
        <w:rPr/>
        <w:t>focal areas, such as where visitors first arrive at destinations. Allow no net increase in</w:t>
      </w:r>
      <w:r>
        <w:rPr>
          <w:spacing w:val="-1"/>
        </w:rPr>
        <w:t> </w:t>
      </w:r>
      <w:r>
        <w:rPr/>
        <w:t>the number of large group sites from the date this plan is implemented.</w:t>
      </w:r>
    </w:p>
    <w:p>
      <w:pPr>
        <w:pStyle w:val="BodyText"/>
        <w:spacing w:before="190"/>
        <w:ind w:left="1151"/>
      </w:pPr>
      <w:r>
        <w:rPr/>
        <w:t>Group</w:t>
      </w:r>
      <w:r>
        <w:rPr>
          <w:spacing w:val="-8"/>
        </w:rPr>
        <w:t> </w:t>
      </w:r>
      <w:r>
        <w:rPr/>
        <w:t>size</w:t>
      </w:r>
      <w:r>
        <w:rPr>
          <w:spacing w:val="-4"/>
        </w:rPr>
        <w:t> </w:t>
      </w:r>
      <w:r>
        <w:rPr/>
        <w:t>limit</w:t>
      </w:r>
      <w:r>
        <w:rPr>
          <w:spacing w:val="-6"/>
        </w:rPr>
        <w:t> </w:t>
      </w:r>
      <w:r>
        <w:rPr/>
        <w:t>within</w:t>
      </w:r>
      <w:r>
        <w:rPr>
          <w:spacing w:val="-6"/>
        </w:rPr>
        <w:t> </w:t>
      </w:r>
      <w:r>
        <w:rPr/>
        <w:t>the</w:t>
      </w:r>
      <w:r>
        <w:rPr>
          <w:spacing w:val="-8"/>
        </w:rPr>
        <w:t> </w:t>
      </w:r>
      <w:r>
        <w:rPr/>
        <w:t>Salmo-Priest</w:t>
      </w:r>
      <w:r>
        <w:rPr>
          <w:spacing w:val="-7"/>
        </w:rPr>
        <w:t> </w:t>
      </w:r>
      <w:r>
        <w:rPr/>
        <w:t>Wilderness</w:t>
      </w:r>
      <w:r>
        <w:rPr>
          <w:spacing w:val="-4"/>
        </w:rPr>
        <w:t> </w:t>
      </w:r>
      <w:r>
        <w:rPr/>
        <w:t>is</w:t>
      </w:r>
      <w:r>
        <w:rPr>
          <w:spacing w:val="-7"/>
        </w:rPr>
        <w:t> </w:t>
      </w:r>
      <w:r>
        <w:rPr/>
        <w:t>12</w:t>
      </w:r>
      <w:r>
        <w:rPr>
          <w:spacing w:val="-4"/>
        </w:rPr>
        <w:t> </w:t>
      </w:r>
      <w:r>
        <w:rPr/>
        <w:t>combined</w:t>
      </w:r>
      <w:r>
        <w:rPr>
          <w:spacing w:val="-5"/>
        </w:rPr>
        <w:t> </w:t>
      </w:r>
      <w:r>
        <w:rPr/>
        <w:t>people</w:t>
      </w:r>
      <w:r>
        <w:rPr>
          <w:spacing w:val="-4"/>
        </w:rPr>
        <w:t> </w:t>
      </w:r>
      <w:r>
        <w:rPr/>
        <w:t>and</w:t>
      </w:r>
      <w:r>
        <w:rPr>
          <w:spacing w:val="-5"/>
        </w:rPr>
        <w:t> </w:t>
      </w:r>
      <w:r>
        <w:rPr>
          <w:spacing w:val="-2"/>
        </w:rPr>
        <w:t>stock.</w:t>
      </w:r>
    </w:p>
    <w:p>
      <w:pPr>
        <w:spacing w:before="234"/>
        <w:ind w:left="1151" w:right="0" w:firstLine="0"/>
        <w:jc w:val="left"/>
        <w:rPr>
          <w:rFonts w:ascii="Arial"/>
          <w:i/>
          <w:sz w:val="22"/>
        </w:rPr>
      </w:pPr>
      <w:bookmarkStart w:name="MA-STD-WCD-03. Fire" w:id="861"/>
      <w:bookmarkEnd w:id="861"/>
      <w:r>
        <w:rPr/>
      </w:r>
      <w:r>
        <w:rPr>
          <w:rFonts w:ascii="Arial"/>
          <w:i/>
          <w:sz w:val="22"/>
        </w:rPr>
        <w:t>MA-STD-WCD-03.</w:t>
      </w:r>
      <w:r>
        <w:rPr>
          <w:rFonts w:ascii="Arial"/>
          <w:i/>
          <w:spacing w:val="-13"/>
          <w:sz w:val="22"/>
        </w:rPr>
        <w:t> </w:t>
      </w:r>
      <w:r>
        <w:rPr>
          <w:rFonts w:ascii="Arial"/>
          <w:i/>
          <w:spacing w:val="-4"/>
          <w:sz w:val="22"/>
        </w:rPr>
        <w:t>Fire</w:t>
      </w:r>
    </w:p>
    <w:p>
      <w:pPr>
        <w:pStyle w:val="BodyText"/>
        <w:spacing w:before="58"/>
        <w:ind w:left="1151"/>
      </w:pPr>
      <w:r>
        <w:rPr/>
        <w:t>Objective(s)</w:t>
      </w:r>
      <w:r>
        <w:rPr>
          <w:spacing w:val="-5"/>
        </w:rPr>
        <w:t> </w:t>
      </w:r>
      <w:r>
        <w:rPr/>
        <w:t>and</w:t>
      </w:r>
      <w:r>
        <w:rPr>
          <w:spacing w:val="-6"/>
        </w:rPr>
        <w:t> </w:t>
      </w:r>
      <w:r>
        <w:rPr/>
        <w:t>strategies</w:t>
      </w:r>
      <w:r>
        <w:rPr>
          <w:spacing w:val="-6"/>
        </w:rPr>
        <w:t> </w:t>
      </w:r>
      <w:r>
        <w:rPr/>
        <w:t>for</w:t>
      </w:r>
      <w:r>
        <w:rPr>
          <w:spacing w:val="-5"/>
        </w:rPr>
        <w:t> </w:t>
      </w:r>
      <w:r>
        <w:rPr/>
        <w:t>all</w:t>
      </w:r>
      <w:r>
        <w:rPr>
          <w:spacing w:val="-8"/>
        </w:rPr>
        <w:t> </w:t>
      </w:r>
      <w:r>
        <w:rPr/>
        <w:t>wildfires</w:t>
      </w:r>
      <w:r>
        <w:rPr>
          <w:spacing w:val="-6"/>
        </w:rPr>
        <w:t> </w:t>
      </w:r>
      <w:r>
        <w:rPr/>
        <w:t>shall</w:t>
      </w:r>
      <w:r>
        <w:rPr>
          <w:spacing w:val="-5"/>
        </w:rPr>
        <w:t> </w:t>
      </w:r>
      <w:r>
        <w:rPr/>
        <w:t>be</w:t>
      </w:r>
      <w:r>
        <w:rPr>
          <w:spacing w:val="-4"/>
        </w:rPr>
        <w:t> </w:t>
      </w:r>
      <w:r>
        <w:rPr/>
        <w:t>identified</w:t>
      </w:r>
      <w:r>
        <w:rPr>
          <w:spacing w:val="-5"/>
        </w:rPr>
        <w:t> </w:t>
      </w:r>
      <w:r>
        <w:rPr/>
        <w:t>at</w:t>
      </w:r>
      <w:r>
        <w:rPr>
          <w:spacing w:val="-4"/>
        </w:rPr>
        <w:t> </w:t>
      </w:r>
      <w:r>
        <w:rPr/>
        <w:t>the</w:t>
      </w:r>
      <w:r>
        <w:rPr>
          <w:spacing w:val="-7"/>
        </w:rPr>
        <w:t> </w:t>
      </w:r>
      <w:r>
        <w:rPr/>
        <w:t>time</w:t>
      </w:r>
      <w:r>
        <w:rPr>
          <w:spacing w:val="-6"/>
        </w:rPr>
        <w:t> </w:t>
      </w:r>
      <w:r>
        <w:rPr/>
        <w:t>of</w:t>
      </w:r>
      <w:r>
        <w:rPr>
          <w:spacing w:val="-7"/>
        </w:rPr>
        <w:t> </w:t>
      </w:r>
      <w:r>
        <w:rPr/>
        <w:t>the</w:t>
      </w:r>
      <w:r>
        <w:rPr>
          <w:spacing w:val="-3"/>
        </w:rPr>
        <w:t> </w:t>
      </w:r>
      <w:r>
        <w:rPr>
          <w:spacing w:val="-2"/>
        </w:rPr>
        <w:t>fire.</w:t>
      </w:r>
    </w:p>
    <w:p>
      <w:pPr>
        <w:pStyle w:val="BodyText"/>
        <w:spacing w:line="232" w:lineRule="auto" w:before="199"/>
        <w:ind w:left="1151" w:right="361"/>
      </w:pPr>
      <w:r>
        <w:rPr/>
        <w:t>Fire</w:t>
      </w:r>
      <w:r>
        <w:rPr>
          <w:spacing w:val="-6"/>
        </w:rPr>
        <w:t> </w:t>
      </w:r>
      <w:r>
        <w:rPr/>
        <w:t>management</w:t>
      </w:r>
      <w:r>
        <w:rPr>
          <w:spacing w:val="-3"/>
        </w:rPr>
        <w:t> </w:t>
      </w:r>
      <w:r>
        <w:rPr/>
        <w:t>activities</w:t>
      </w:r>
      <w:r>
        <w:rPr>
          <w:spacing w:val="-6"/>
        </w:rPr>
        <w:t> </w:t>
      </w:r>
      <w:r>
        <w:rPr/>
        <w:t>shall</w:t>
      </w:r>
      <w:r>
        <w:rPr>
          <w:spacing w:val="-4"/>
        </w:rPr>
        <w:t> </w:t>
      </w:r>
      <w:r>
        <w:rPr/>
        <w:t>be</w:t>
      </w:r>
      <w:r>
        <w:rPr>
          <w:spacing w:val="-3"/>
        </w:rPr>
        <w:t> </w:t>
      </w:r>
      <w:r>
        <w:rPr/>
        <w:t>conducted</w:t>
      </w:r>
      <w:r>
        <w:rPr>
          <w:spacing w:val="-5"/>
        </w:rPr>
        <w:t> </w:t>
      </w:r>
      <w:r>
        <w:rPr/>
        <w:t>in</w:t>
      </w:r>
      <w:r>
        <w:rPr>
          <w:spacing w:val="-5"/>
        </w:rPr>
        <w:t> </w:t>
      </w:r>
      <w:r>
        <w:rPr/>
        <w:t>a</w:t>
      </w:r>
      <w:r>
        <w:rPr>
          <w:spacing w:val="-6"/>
        </w:rPr>
        <w:t> </w:t>
      </w:r>
      <w:r>
        <w:rPr/>
        <w:t>manner</w:t>
      </w:r>
      <w:r>
        <w:rPr>
          <w:spacing w:val="-4"/>
        </w:rPr>
        <w:t> </w:t>
      </w:r>
      <w:r>
        <w:rPr/>
        <w:t>compatible</w:t>
      </w:r>
      <w:r>
        <w:rPr>
          <w:spacing w:val="-6"/>
        </w:rPr>
        <w:t> </w:t>
      </w:r>
      <w:r>
        <w:rPr/>
        <w:t>with</w:t>
      </w:r>
      <w:r>
        <w:rPr>
          <w:spacing w:val="-5"/>
        </w:rPr>
        <w:t> </w:t>
      </w:r>
      <w:r>
        <w:rPr/>
        <w:t>the</w:t>
      </w:r>
      <w:r>
        <w:rPr>
          <w:spacing w:val="-6"/>
        </w:rPr>
        <w:t> </w:t>
      </w:r>
      <w:r>
        <w:rPr/>
        <w:t>overall wilderness management objectives (minimum impact suppression tactics).</w:t>
      </w:r>
    </w:p>
    <w:p>
      <w:pPr>
        <w:pStyle w:val="BodyText"/>
        <w:spacing w:before="193"/>
        <w:ind w:left="1151"/>
      </w:pPr>
      <w:r>
        <w:rPr/>
        <w:t>Use</w:t>
      </w:r>
      <w:r>
        <w:rPr>
          <w:spacing w:val="-5"/>
        </w:rPr>
        <w:t> </w:t>
      </w:r>
      <w:r>
        <w:rPr/>
        <w:t>prescribed</w:t>
      </w:r>
      <w:r>
        <w:rPr>
          <w:spacing w:val="-5"/>
        </w:rPr>
        <w:t> </w:t>
      </w:r>
      <w:r>
        <w:rPr/>
        <w:t>fire</w:t>
      </w:r>
      <w:r>
        <w:rPr>
          <w:spacing w:val="-6"/>
        </w:rPr>
        <w:t> </w:t>
      </w:r>
      <w:r>
        <w:rPr/>
        <w:t>only</w:t>
      </w:r>
      <w:r>
        <w:rPr>
          <w:spacing w:val="-3"/>
        </w:rPr>
        <w:t> </w:t>
      </w:r>
      <w:r>
        <w:rPr/>
        <w:t>in</w:t>
      </w:r>
      <w:r>
        <w:rPr>
          <w:spacing w:val="-7"/>
        </w:rPr>
        <w:t> </w:t>
      </w:r>
      <w:r>
        <w:rPr/>
        <w:t>situations</w:t>
      </w:r>
      <w:r>
        <w:rPr>
          <w:spacing w:val="-6"/>
        </w:rPr>
        <w:t> </w:t>
      </w:r>
      <w:r>
        <w:rPr/>
        <w:t>that</w:t>
      </w:r>
      <w:r>
        <w:rPr>
          <w:spacing w:val="-5"/>
        </w:rPr>
        <w:t> </w:t>
      </w:r>
      <w:r>
        <w:rPr/>
        <w:t>meet</w:t>
      </w:r>
      <w:r>
        <w:rPr>
          <w:spacing w:val="-6"/>
        </w:rPr>
        <w:t> </w:t>
      </w:r>
      <w:r>
        <w:rPr/>
        <w:t>all</w:t>
      </w:r>
      <w:r>
        <w:rPr>
          <w:spacing w:val="-7"/>
        </w:rPr>
        <w:t> </w:t>
      </w:r>
      <w:r>
        <w:rPr/>
        <w:t>of</w:t>
      </w:r>
      <w:r>
        <w:rPr>
          <w:spacing w:val="-4"/>
        </w:rPr>
        <w:t> </w:t>
      </w:r>
      <w:r>
        <w:rPr/>
        <w:t>the</w:t>
      </w:r>
      <w:r>
        <w:rPr>
          <w:spacing w:val="-3"/>
        </w:rPr>
        <w:t> </w:t>
      </w:r>
      <w:r>
        <w:rPr/>
        <w:t>following</w:t>
      </w:r>
      <w:r>
        <w:rPr>
          <w:spacing w:val="-4"/>
        </w:rPr>
        <w:t> </w:t>
      </w:r>
      <w:r>
        <w:rPr>
          <w:spacing w:val="-2"/>
        </w:rPr>
        <w:t>criteria:</w:t>
      </w:r>
    </w:p>
    <w:p>
      <w:pPr>
        <w:pStyle w:val="ListParagraph"/>
        <w:numPr>
          <w:ilvl w:val="0"/>
          <w:numId w:val="24"/>
        </w:numPr>
        <w:tabs>
          <w:tab w:pos="1691" w:val="left" w:leader="none"/>
        </w:tabs>
        <w:spacing w:line="240" w:lineRule="auto" w:before="189" w:after="0"/>
        <w:ind w:left="1691" w:right="0" w:hanging="359"/>
        <w:jc w:val="both"/>
        <w:rPr>
          <w:sz w:val="22"/>
        </w:rPr>
      </w:pPr>
      <w:r>
        <w:rPr>
          <w:sz w:val="22"/>
        </w:rPr>
        <w:t>There</w:t>
      </w:r>
      <w:r>
        <w:rPr>
          <w:spacing w:val="-4"/>
          <w:sz w:val="22"/>
        </w:rPr>
        <w:t> </w:t>
      </w:r>
      <w:r>
        <w:rPr>
          <w:sz w:val="22"/>
        </w:rPr>
        <w:t>is</w:t>
      </w:r>
      <w:r>
        <w:rPr>
          <w:spacing w:val="-4"/>
          <w:sz w:val="22"/>
        </w:rPr>
        <w:t> </w:t>
      </w:r>
      <w:r>
        <w:rPr>
          <w:sz w:val="22"/>
        </w:rPr>
        <w:t>an</w:t>
      </w:r>
      <w:r>
        <w:rPr>
          <w:spacing w:val="-6"/>
          <w:sz w:val="22"/>
        </w:rPr>
        <w:t> </w:t>
      </w:r>
      <w:r>
        <w:rPr>
          <w:sz w:val="22"/>
        </w:rPr>
        <w:t>unnatural</w:t>
      </w:r>
      <w:r>
        <w:rPr>
          <w:spacing w:val="-4"/>
          <w:sz w:val="22"/>
        </w:rPr>
        <w:t> </w:t>
      </w:r>
      <w:r>
        <w:rPr>
          <w:sz w:val="22"/>
        </w:rPr>
        <w:t>buildup</w:t>
      </w:r>
      <w:r>
        <w:rPr>
          <w:spacing w:val="-5"/>
          <w:sz w:val="22"/>
        </w:rPr>
        <w:t> </w:t>
      </w:r>
      <w:r>
        <w:rPr>
          <w:sz w:val="22"/>
        </w:rPr>
        <w:t>of</w:t>
      </w:r>
      <w:r>
        <w:rPr>
          <w:spacing w:val="-4"/>
          <w:sz w:val="22"/>
        </w:rPr>
        <w:t> fuel.</w:t>
      </w:r>
    </w:p>
    <w:p>
      <w:pPr>
        <w:pStyle w:val="ListParagraph"/>
        <w:numPr>
          <w:ilvl w:val="0"/>
          <w:numId w:val="24"/>
        </w:numPr>
        <w:tabs>
          <w:tab w:pos="1692" w:val="left" w:leader="none"/>
        </w:tabs>
        <w:spacing w:line="232" w:lineRule="auto" w:before="119" w:after="0"/>
        <w:ind w:left="1692" w:right="688" w:hanging="360"/>
        <w:jc w:val="both"/>
        <w:rPr>
          <w:sz w:val="22"/>
        </w:rPr>
      </w:pPr>
      <w:r>
        <w:rPr>
          <w:sz w:val="22"/>
        </w:rPr>
        <w:t>The treatment</w:t>
      </w:r>
      <w:r>
        <w:rPr>
          <w:spacing w:val="-2"/>
          <w:sz w:val="22"/>
        </w:rPr>
        <w:t> </w:t>
      </w:r>
      <w:r>
        <w:rPr>
          <w:sz w:val="22"/>
        </w:rPr>
        <w:t>would</w:t>
      </w:r>
      <w:r>
        <w:rPr>
          <w:spacing w:val="-1"/>
          <w:sz w:val="22"/>
        </w:rPr>
        <w:t> </w:t>
      </w:r>
      <w:r>
        <w:rPr>
          <w:sz w:val="22"/>
        </w:rPr>
        <w:t>increase the</w:t>
      </w:r>
      <w:r>
        <w:rPr>
          <w:spacing w:val="-2"/>
          <w:sz w:val="22"/>
        </w:rPr>
        <w:t> </w:t>
      </w:r>
      <w:r>
        <w:rPr>
          <w:sz w:val="22"/>
        </w:rPr>
        <w:t>probability</w:t>
      </w:r>
      <w:r>
        <w:rPr>
          <w:spacing w:val="-1"/>
          <w:sz w:val="22"/>
        </w:rPr>
        <w:t> </w:t>
      </w:r>
      <w:r>
        <w:rPr>
          <w:sz w:val="22"/>
        </w:rPr>
        <w:t>of accepting</w:t>
      </w:r>
      <w:r>
        <w:rPr>
          <w:spacing w:val="-1"/>
          <w:sz w:val="22"/>
        </w:rPr>
        <w:t> </w:t>
      </w:r>
      <w:r>
        <w:rPr>
          <w:sz w:val="22"/>
        </w:rPr>
        <w:t>naturally</w:t>
      </w:r>
      <w:r>
        <w:rPr>
          <w:spacing w:val="-1"/>
          <w:sz w:val="22"/>
        </w:rPr>
        <w:t> </w:t>
      </w:r>
      <w:r>
        <w:rPr>
          <w:sz w:val="22"/>
        </w:rPr>
        <w:t>occurring</w:t>
      </w:r>
      <w:r>
        <w:rPr>
          <w:spacing w:val="-1"/>
          <w:sz w:val="22"/>
        </w:rPr>
        <w:t> </w:t>
      </w:r>
      <w:r>
        <w:rPr>
          <w:sz w:val="22"/>
        </w:rPr>
        <w:t>wildfire disturbance</w:t>
      </w:r>
      <w:r>
        <w:rPr>
          <w:spacing w:val="-3"/>
          <w:sz w:val="22"/>
        </w:rPr>
        <w:t> </w:t>
      </w:r>
      <w:r>
        <w:rPr>
          <w:sz w:val="22"/>
        </w:rPr>
        <w:t>in</w:t>
      </w:r>
      <w:r>
        <w:rPr>
          <w:spacing w:val="-5"/>
          <w:sz w:val="22"/>
        </w:rPr>
        <w:t> </w:t>
      </w:r>
      <w:r>
        <w:rPr>
          <w:sz w:val="22"/>
        </w:rPr>
        <w:t>wilderness</w:t>
      </w:r>
      <w:r>
        <w:rPr>
          <w:spacing w:val="-6"/>
          <w:sz w:val="22"/>
        </w:rPr>
        <w:t> </w:t>
      </w:r>
      <w:r>
        <w:rPr>
          <w:sz w:val="22"/>
        </w:rPr>
        <w:t>when</w:t>
      </w:r>
      <w:r>
        <w:rPr>
          <w:spacing w:val="-5"/>
          <w:sz w:val="22"/>
        </w:rPr>
        <w:t> </w:t>
      </w:r>
      <w:r>
        <w:rPr>
          <w:sz w:val="22"/>
        </w:rPr>
        <w:t>treating</w:t>
      </w:r>
      <w:r>
        <w:rPr>
          <w:spacing w:val="-5"/>
          <w:sz w:val="22"/>
        </w:rPr>
        <w:t> </w:t>
      </w:r>
      <w:r>
        <w:rPr>
          <w:sz w:val="22"/>
        </w:rPr>
        <w:t>areas</w:t>
      </w:r>
      <w:r>
        <w:rPr>
          <w:spacing w:val="-6"/>
          <w:sz w:val="22"/>
        </w:rPr>
        <w:t> </w:t>
      </w:r>
      <w:r>
        <w:rPr>
          <w:sz w:val="22"/>
        </w:rPr>
        <w:t>outside</w:t>
      </w:r>
      <w:r>
        <w:rPr>
          <w:spacing w:val="-3"/>
          <w:sz w:val="22"/>
        </w:rPr>
        <w:t> </w:t>
      </w:r>
      <w:r>
        <w:rPr>
          <w:sz w:val="22"/>
        </w:rPr>
        <w:t>the</w:t>
      </w:r>
      <w:r>
        <w:rPr>
          <w:spacing w:val="-6"/>
          <w:sz w:val="22"/>
        </w:rPr>
        <w:t> </w:t>
      </w:r>
      <w:r>
        <w:rPr>
          <w:sz w:val="22"/>
        </w:rPr>
        <w:t>wilderness</w:t>
      </w:r>
      <w:r>
        <w:rPr>
          <w:spacing w:val="-4"/>
          <w:sz w:val="22"/>
        </w:rPr>
        <w:t> </w:t>
      </w:r>
      <w:r>
        <w:rPr>
          <w:sz w:val="22"/>
        </w:rPr>
        <w:t>boundary</w:t>
      </w:r>
      <w:r>
        <w:rPr>
          <w:spacing w:val="-5"/>
          <w:sz w:val="22"/>
        </w:rPr>
        <w:t> </w:t>
      </w:r>
      <w:r>
        <w:rPr>
          <w:sz w:val="22"/>
        </w:rPr>
        <w:t>would not fully achieve this outcome.</w:t>
      </w:r>
    </w:p>
    <w:p>
      <w:pPr>
        <w:pStyle w:val="ListParagraph"/>
        <w:numPr>
          <w:ilvl w:val="0"/>
          <w:numId w:val="24"/>
        </w:numPr>
        <w:tabs>
          <w:tab w:pos="1692" w:val="left" w:leader="none"/>
        </w:tabs>
        <w:spacing w:line="232" w:lineRule="auto" w:before="119" w:after="0"/>
        <w:ind w:left="1692" w:right="1042" w:hanging="360"/>
        <w:jc w:val="both"/>
        <w:rPr>
          <w:sz w:val="22"/>
        </w:rPr>
      </w:pPr>
      <w:r>
        <w:rPr>
          <w:sz w:val="22"/>
        </w:rPr>
        <w:t>Strategies</w:t>
      </w:r>
      <w:r>
        <w:rPr>
          <w:spacing w:val="-6"/>
          <w:sz w:val="22"/>
        </w:rPr>
        <w:t> </w:t>
      </w:r>
      <w:r>
        <w:rPr>
          <w:sz w:val="22"/>
        </w:rPr>
        <w:t>use</w:t>
      </w:r>
      <w:r>
        <w:rPr>
          <w:spacing w:val="-8"/>
          <w:sz w:val="22"/>
        </w:rPr>
        <w:t> </w:t>
      </w:r>
      <w:r>
        <w:rPr>
          <w:sz w:val="22"/>
        </w:rPr>
        <w:t>minimum</w:t>
      </w:r>
      <w:r>
        <w:rPr>
          <w:spacing w:val="-5"/>
          <w:sz w:val="22"/>
        </w:rPr>
        <w:t> </w:t>
      </w:r>
      <w:r>
        <w:rPr>
          <w:sz w:val="22"/>
        </w:rPr>
        <w:t>suppression</w:t>
      </w:r>
      <w:r>
        <w:rPr>
          <w:spacing w:val="-9"/>
          <w:sz w:val="22"/>
        </w:rPr>
        <w:t> </w:t>
      </w:r>
      <w:r>
        <w:rPr>
          <w:sz w:val="22"/>
        </w:rPr>
        <w:t>techniques</w:t>
      </w:r>
      <w:r>
        <w:rPr>
          <w:spacing w:val="-6"/>
          <w:sz w:val="22"/>
        </w:rPr>
        <w:t> </w:t>
      </w:r>
      <w:r>
        <w:rPr>
          <w:sz w:val="22"/>
        </w:rPr>
        <w:t>and</w:t>
      </w:r>
      <w:r>
        <w:rPr>
          <w:spacing w:val="-7"/>
          <w:sz w:val="22"/>
        </w:rPr>
        <w:t> </w:t>
      </w:r>
      <w:r>
        <w:rPr>
          <w:sz w:val="22"/>
        </w:rPr>
        <w:t>are</w:t>
      </w:r>
      <w:r>
        <w:rPr>
          <w:spacing w:val="-5"/>
          <w:sz w:val="22"/>
        </w:rPr>
        <w:t> </w:t>
      </w:r>
      <w:r>
        <w:rPr>
          <w:sz w:val="22"/>
        </w:rPr>
        <w:t>designed</w:t>
      </w:r>
      <w:r>
        <w:rPr>
          <w:spacing w:val="-9"/>
          <w:sz w:val="22"/>
        </w:rPr>
        <w:t> </w:t>
      </w:r>
      <w:r>
        <w:rPr>
          <w:sz w:val="22"/>
        </w:rPr>
        <w:t>to</w:t>
      </w:r>
      <w:r>
        <w:rPr>
          <w:spacing w:val="-7"/>
          <w:sz w:val="22"/>
        </w:rPr>
        <w:t> </w:t>
      </w:r>
      <w:r>
        <w:rPr>
          <w:sz w:val="22"/>
        </w:rPr>
        <w:t>maintain</w:t>
      </w:r>
      <w:r>
        <w:rPr>
          <w:spacing w:val="-7"/>
          <w:sz w:val="22"/>
        </w:rPr>
        <w:t> </w:t>
      </w:r>
      <w:r>
        <w:rPr>
          <w:sz w:val="22"/>
        </w:rPr>
        <w:t>and restore the vegetation conditions that are characteristic of wilderness.</w:t>
      </w:r>
    </w:p>
    <w:p>
      <w:pPr>
        <w:spacing w:before="232"/>
        <w:ind w:left="1151" w:right="0" w:firstLine="0"/>
        <w:jc w:val="left"/>
        <w:rPr>
          <w:rFonts w:ascii="Arial"/>
          <w:i/>
          <w:sz w:val="22"/>
        </w:rPr>
      </w:pPr>
      <w:bookmarkStart w:name="MA-STD-WCD-04. Minimum Requirements Anal" w:id="862"/>
      <w:bookmarkEnd w:id="862"/>
      <w:r>
        <w:rPr/>
      </w:r>
      <w:r>
        <w:rPr>
          <w:rFonts w:ascii="Arial"/>
          <w:i/>
          <w:sz w:val="22"/>
        </w:rPr>
        <w:t>MA-STD-WCD-04.</w:t>
      </w:r>
      <w:r>
        <w:rPr>
          <w:rFonts w:ascii="Arial"/>
          <w:i/>
          <w:spacing w:val="-12"/>
          <w:sz w:val="22"/>
        </w:rPr>
        <w:t> </w:t>
      </w:r>
      <w:r>
        <w:rPr>
          <w:rFonts w:ascii="Arial"/>
          <w:i/>
          <w:sz w:val="22"/>
        </w:rPr>
        <w:t>Minimum</w:t>
      </w:r>
      <w:r>
        <w:rPr>
          <w:rFonts w:ascii="Arial"/>
          <w:i/>
          <w:spacing w:val="-11"/>
          <w:sz w:val="22"/>
        </w:rPr>
        <w:t> </w:t>
      </w:r>
      <w:r>
        <w:rPr>
          <w:rFonts w:ascii="Arial"/>
          <w:i/>
          <w:sz w:val="22"/>
        </w:rPr>
        <w:t>Requirements</w:t>
      </w:r>
      <w:r>
        <w:rPr>
          <w:rFonts w:ascii="Arial"/>
          <w:i/>
          <w:spacing w:val="-12"/>
          <w:sz w:val="22"/>
        </w:rPr>
        <w:t> </w:t>
      </w:r>
      <w:r>
        <w:rPr>
          <w:rFonts w:ascii="Arial"/>
          <w:i/>
          <w:spacing w:val="-2"/>
          <w:sz w:val="22"/>
        </w:rPr>
        <w:t>Analysis</w:t>
      </w:r>
    </w:p>
    <w:p>
      <w:pPr>
        <w:pStyle w:val="BodyText"/>
        <w:spacing w:line="232" w:lineRule="auto" w:before="67"/>
        <w:ind w:left="1151" w:right="361"/>
      </w:pPr>
      <w:r>
        <w:rPr/>
        <w:t>The</w:t>
      </w:r>
      <w:r>
        <w:rPr>
          <w:spacing w:val="-4"/>
        </w:rPr>
        <w:t> </w:t>
      </w:r>
      <w:r>
        <w:rPr/>
        <w:t>Minimum</w:t>
      </w:r>
      <w:r>
        <w:rPr>
          <w:spacing w:val="-4"/>
        </w:rPr>
        <w:t> </w:t>
      </w:r>
      <w:r>
        <w:rPr/>
        <w:t>Requirements</w:t>
      </w:r>
      <w:r>
        <w:rPr>
          <w:spacing w:val="-4"/>
        </w:rPr>
        <w:t> </w:t>
      </w:r>
      <w:r>
        <w:rPr/>
        <w:t>Decision</w:t>
      </w:r>
      <w:r>
        <w:rPr>
          <w:spacing w:val="-5"/>
        </w:rPr>
        <w:t> </w:t>
      </w:r>
      <w:r>
        <w:rPr/>
        <w:t>Guide</w:t>
      </w:r>
      <w:r>
        <w:rPr>
          <w:spacing w:val="-6"/>
        </w:rPr>
        <w:t> </w:t>
      </w:r>
      <w:r>
        <w:rPr/>
        <w:t>or</w:t>
      </w:r>
      <w:r>
        <w:rPr>
          <w:spacing w:val="-4"/>
        </w:rPr>
        <w:t> </w:t>
      </w:r>
      <w:r>
        <w:rPr/>
        <w:t>a</w:t>
      </w:r>
      <w:r>
        <w:rPr>
          <w:spacing w:val="-6"/>
        </w:rPr>
        <w:t> </w:t>
      </w:r>
      <w:r>
        <w:rPr/>
        <w:t>similar</w:t>
      </w:r>
      <w:r>
        <w:rPr>
          <w:spacing w:val="-4"/>
        </w:rPr>
        <w:t> </w:t>
      </w:r>
      <w:r>
        <w:rPr/>
        <w:t>minimum</w:t>
      </w:r>
      <w:r>
        <w:rPr>
          <w:spacing w:val="-5"/>
        </w:rPr>
        <w:t> </w:t>
      </w:r>
      <w:r>
        <w:rPr/>
        <w:t>requirements</w:t>
      </w:r>
      <w:r>
        <w:rPr>
          <w:spacing w:val="-6"/>
        </w:rPr>
        <w:t> </w:t>
      </w:r>
      <w:r>
        <w:rPr/>
        <w:t>analysis</w:t>
      </w:r>
      <w:r>
        <w:rPr>
          <w:spacing w:val="-4"/>
        </w:rPr>
        <w:t> </w:t>
      </w:r>
      <w:r>
        <w:rPr/>
        <w:t>will</w:t>
      </w:r>
      <w:r>
        <w:rPr>
          <w:spacing w:val="-4"/>
        </w:rPr>
        <w:t> </w:t>
      </w:r>
      <w:r>
        <w:rPr/>
        <w:t>be used to assist in making decisions regarding administrative actions in wilderness that may</w:t>
      </w:r>
    </w:p>
    <w:p>
      <w:pPr>
        <w:pStyle w:val="BodyText"/>
        <w:spacing w:after="0" w:line="232" w:lineRule="auto"/>
        <w:sectPr>
          <w:pgSz w:w="12240" w:h="15840"/>
          <w:pgMar w:header="725" w:footer="891" w:top="1340" w:bottom="1080" w:left="1080" w:right="1080"/>
        </w:sectPr>
      </w:pPr>
    </w:p>
    <w:p>
      <w:pPr>
        <w:pStyle w:val="BodyText"/>
        <w:spacing w:line="232" w:lineRule="auto" w:before="89"/>
        <w:ind w:left="359" w:right="1185"/>
      </w:pPr>
      <w:r>
        <w:rPr/>
        <w:t>involve</w:t>
      </w:r>
      <w:r>
        <w:rPr>
          <w:spacing w:val="-5"/>
        </w:rPr>
        <w:t> </w:t>
      </w:r>
      <w:r>
        <w:rPr/>
        <w:t>the</w:t>
      </w:r>
      <w:r>
        <w:rPr>
          <w:spacing w:val="-2"/>
        </w:rPr>
        <w:t> </w:t>
      </w:r>
      <w:r>
        <w:rPr/>
        <w:t>use</w:t>
      </w:r>
      <w:r>
        <w:rPr>
          <w:spacing w:val="-5"/>
        </w:rPr>
        <w:t> </w:t>
      </w:r>
      <w:r>
        <w:rPr/>
        <w:t>of</w:t>
      </w:r>
      <w:r>
        <w:rPr>
          <w:spacing w:val="-5"/>
        </w:rPr>
        <w:t> </w:t>
      </w:r>
      <w:r>
        <w:rPr/>
        <w:t>one</w:t>
      </w:r>
      <w:r>
        <w:rPr>
          <w:spacing w:val="-5"/>
        </w:rPr>
        <w:t> </w:t>
      </w:r>
      <w:r>
        <w:rPr/>
        <w:t>of</w:t>
      </w:r>
      <w:r>
        <w:rPr>
          <w:spacing w:val="-3"/>
        </w:rPr>
        <w:t> </w:t>
      </w:r>
      <w:r>
        <w:rPr/>
        <w:t>the</w:t>
      </w:r>
      <w:r>
        <w:rPr>
          <w:spacing w:val="-2"/>
        </w:rPr>
        <w:t> </w:t>
      </w:r>
      <w:r>
        <w:rPr/>
        <w:t>“prohibited</w:t>
      </w:r>
      <w:r>
        <w:rPr>
          <w:spacing w:val="-4"/>
        </w:rPr>
        <w:t> </w:t>
      </w:r>
      <w:r>
        <w:rPr/>
        <w:t>uses”</w:t>
      </w:r>
      <w:r>
        <w:rPr>
          <w:spacing w:val="-2"/>
        </w:rPr>
        <w:t> </w:t>
      </w:r>
      <w:r>
        <w:rPr/>
        <w:t>listed</w:t>
      </w:r>
      <w:r>
        <w:rPr>
          <w:spacing w:val="-4"/>
        </w:rPr>
        <w:t> </w:t>
      </w:r>
      <w:r>
        <w:rPr/>
        <w:t>in</w:t>
      </w:r>
      <w:r>
        <w:rPr>
          <w:spacing w:val="-4"/>
        </w:rPr>
        <w:t> </w:t>
      </w:r>
      <w:r>
        <w:rPr/>
        <w:t>Section</w:t>
      </w:r>
      <w:r>
        <w:rPr>
          <w:spacing w:val="-4"/>
        </w:rPr>
        <w:t> </w:t>
      </w:r>
      <w:r>
        <w:rPr/>
        <w:t>4(c)</w:t>
      </w:r>
      <w:r>
        <w:rPr>
          <w:spacing w:val="-5"/>
        </w:rPr>
        <w:t> </w:t>
      </w:r>
      <w:r>
        <w:rPr/>
        <w:t>of</w:t>
      </w:r>
      <w:r>
        <w:rPr>
          <w:spacing w:val="-3"/>
        </w:rPr>
        <w:t> </w:t>
      </w:r>
      <w:r>
        <w:rPr/>
        <w:t>the</w:t>
      </w:r>
      <w:r>
        <w:rPr>
          <w:spacing w:val="-2"/>
        </w:rPr>
        <w:t> </w:t>
      </w:r>
      <w:r>
        <w:rPr/>
        <w:t>Wilderness</w:t>
      </w:r>
      <w:r>
        <w:rPr>
          <w:spacing w:val="-3"/>
        </w:rPr>
        <w:t> </w:t>
      </w:r>
      <w:r>
        <w:rPr/>
        <w:t>Act</w:t>
      </w:r>
      <w:r>
        <w:rPr>
          <w:spacing w:val="-5"/>
        </w:rPr>
        <w:t> </w:t>
      </w:r>
      <w:r>
        <w:rPr/>
        <w:t>(such as motorized equipment, mechanical transport, or structures) to best preserve wilderness </w:t>
      </w:r>
      <w:r>
        <w:rPr>
          <w:spacing w:val="-2"/>
        </w:rPr>
        <w:t>character.</w:t>
      </w:r>
    </w:p>
    <w:p>
      <w:pPr>
        <w:spacing w:before="233"/>
        <w:ind w:left="359" w:right="0" w:firstLine="0"/>
        <w:jc w:val="left"/>
        <w:rPr>
          <w:rFonts w:ascii="Arial" w:hAnsi="Arial"/>
          <w:i/>
          <w:sz w:val="22"/>
        </w:rPr>
      </w:pPr>
      <w:bookmarkStart w:name="MA-STD-WCD-05. Human Developments – Prim" w:id="863"/>
      <w:bookmarkEnd w:id="863"/>
      <w:r>
        <w:rPr/>
      </w:r>
      <w:r>
        <w:rPr>
          <w:rFonts w:ascii="Arial" w:hAnsi="Arial"/>
          <w:i/>
          <w:sz w:val="22"/>
        </w:rPr>
        <w:t>MA-STD-WCD-05.</w:t>
      </w:r>
      <w:r>
        <w:rPr>
          <w:rFonts w:ascii="Arial" w:hAnsi="Arial"/>
          <w:i/>
          <w:spacing w:val="-9"/>
          <w:sz w:val="22"/>
        </w:rPr>
        <w:t> </w:t>
      </w:r>
      <w:r>
        <w:rPr>
          <w:rFonts w:ascii="Arial" w:hAnsi="Arial"/>
          <w:i/>
          <w:sz w:val="22"/>
        </w:rPr>
        <w:t>Human</w:t>
      </w:r>
      <w:r>
        <w:rPr>
          <w:rFonts w:ascii="Arial" w:hAnsi="Arial"/>
          <w:i/>
          <w:spacing w:val="-8"/>
          <w:sz w:val="22"/>
        </w:rPr>
        <w:t> </w:t>
      </w:r>
      <w:r>
        <w:rPr>
          <w:rFonts w:ascii="Arial" w:hAnsi="Arial"/>
          <w:i/>
          <w:sz w:val="22"/>
        </w:rPr>
        <w:t>Developments</w:t>
      </w:r>
      <w:r>
        <w:rPr>
          <w:rFonts w:ascii="Arial" w:hAnsi="Arial"/>
          <w:i/>
          <w:spacing w:val="-6"/>
          <w:sz w:val="22"/>
        </w:rPr>
        <w:t> </w:t>
      </w:r>
      <w:r>
        <w:rPr>
          <w:rFonts w:ascii="Arial" w:hAnsi="Arial"/>
          <w:i/>
          <w:sz w:val="22"/>
        </w:rPr>
        <w:t>–</w:t>
      </w:r>
      <w:r>
        <w:rPr>
          <w:rFonts w:ascii="Arial" w:hAnsi="Arial"/>
          <w:i/>
          <w:spacing w:val="-10"/>
          <w:sz w:val="22"/>
        </w:rPr>
        <w:t> </w:t>
      </w:r>
      <w:r>
        <w:rPr>
          <w:rFonts w:ascii="Arial" w:hAnsi="Arial"/>
          <w:i/>
          <w:sz w:val="22"/>
        </w:rPr>
        <w:t>Primitive</w:t>
      </w:r>
      <w:r>
        <w:rPr>
          <w:rFonts w:ascii="Arial" w:hAnsi="Arial"/>
          <w:i/>
          <w:spacing w:val="-7"/>
          <w:sz w:val="22"/>
        </w:rPr>
        <w:t> </w:t>
      </w:r>
      <w:r>
        <w:rPr>
          <w:rFonts w:ascii="Arial" w:hAnsi="Arial"/>
          <w:i/>
          <w:spacing w:val="-4"/>
          <w:sz w:val="22"/>
        </w:rPr>
        <w:t>Zone</w:t>
      </w:r>
    </w:p>
    <w:p>
      <w:pPr>
        <w:pStyle w:val="BodyText"/>
        <w:spacing w:line="232" w:lineRule="auto" w:before="64"/>
        <w:ind w:left="359" w:right="361"/>
      </w:pPr>
      <w:r>
        <w:rPr/>
        <w:t>No</w:t>
      </w:r>
      <w:r>
        <w:rPr>
          <w:spacing w:val="-5"/>
        </w:rPr>
        <w:t> </w:t>
      </w:r>
      <w:r>
        <w:rPr/>
        <w:t>user-created</w:t>
      </w:r>
      <w:r>
        <w:rPr>
          <w:spacing w:val="-7"/>
        </w:rPr>
        <w:t> </w:t>
      </w:r>
      <w:r>
        <w:rPr/>
        <w:t>human</w:t>
      </w:r>
      <w:r>
        <w:rPr>
          <w:spacing w:val="-7"/>
        </w:rPr>
        <w:t> </w:t>
      </w:r>
      <w:r>
        <w:rPr/>
        <w:t>developments</w:t>
      </w:r>
      <w:r>
        <w:rPr>
          <w:spacing w:val="-6"/>
        </w:rPr>
        <w:t> </w:t>
      </w:r>
      <w:r>
        <w:rPr/>
        <w:t>(such</w:t>
      </w:r>
      <w:r>
        <w:rPr>
          <w:spacing w:val="-9"/>
        </w:rPr>
        <w:t> </w:t>
      </w:r>
      <w:r>
        <w:rPr/>
        <w:t>as</w:t>
      </w:r>
      <w:r>
        <w:rPr>
          <w:spacing w:val="-6"/>
        </w:rPr>
        <w:t> </w:t>
      </w:r>
      <w:r>
        <w:rPr/>
        <w:t>game</w:t>
      </w:r>
      <w:r>
        <w:rPr>
          <w:spacing w:val="-8"/>
        </w:rPr>
        <w:t> </w:t>
      </w:r>
      <w:r>
        <w:rPr/>
        <w:t>hangers,</w:t>
      </w:r>
      <w:r>
        <w:rPr>
          <w:spacing w:val="-6"/>
        </w:rPr>
        <w:t> </w:t>
      </w:r>
      <w:r>
        <w:rPr/>
        <w:t>benches,</w:t>
      </w:r>
      <w:r>
        <w:rPr>
          <w:spacing w:val="-6"/>
        </w:rPr>
        <w:t> </w:t>
      </w:r>
      <w:r>
        <w:rPr/>
        <w:t>firepits,</w:t>
      </w:r>
      <w:r>
        <w:rPr>
          <w:spacing w:val="-8"/>
        </w:rPr>
        <w:t> </w:t>
      </w:r>
      <w:r>
        <w:rPr/>
        <w:t>tables)</w:t>
      </w:r>
      <w:r>
        <w:rPr>
          <w:spacing w:val="-8"/>
        </w:rPr>
        <w:t> </w:t>
      </w:r>
      <w:r>
        <w:rPr/>
        <w:t>may</w:t>
      </w:r>
      <w:r>
        <w:rPr>
          <w:spacing w:val="-7"/>
        </w:rPr>
        <w:t> </w:t>
      </w:r>
      <w:r>
        <w:rPr/>
        <w:t>be established in the primitive zone.</w:t>
      </w:r>
    </w:p>
    <w:p>
      <w:pPr>
        <w:pStyle w:val="Heading4"/>
        <w:spacing w:before="235"/>
      </w:pPr>
      <w:bookmarkStart w:name="Guidelines" w:id="864"/>
      <w:bookmarkEnd w:id="864"/>
      <w:r>
        <w:rPr/>
      </w:r>
      <w:bookmarkStart w:name="_bookmark262" w:id="865"/>
      <w:bookmarkEnd w:id="865"/>
      <w:r>
        <w:rPr/>
      </w:r>
      <w:r>
        <w:rPr>
          <w:spacing w:val="-2"/>
        </w:rPr>
        <w:t>Guidelines</w:t>
      </w:r>
    </w:p>
    <w:p>
      <w:pPr>
        <w:spacing w:before="240"/>
        <w:ind w:left="360" w:right="0" w:firstLine="0"/>
        <w:jc w:val="left"/>
        <w:rPr>
          <w:rFonts w:ascii="Arial"/>
          <w:i/>
          <w:sz w:val="22"/>
        </w:rPr>
      </w:pPr>
      <w:bookmarkStart w:name="MA-GDL-WCD-01. Campsite Development" w:id="866"/>
      <w:bookmarkEnd w:id="866"/>
      <w:r>
        <w:rPr/>
      </w:r>
      <w:r>
        <w:rPr>
          <w:rFonts w:ascii="Arial"/>
          <w:i/>
          <w:sz w:val="22"/>
        </w:rPr>
        <w:t>MA-GDL-WCD-01.</w:t>
      </w:r>
      <w:r>
        <w:rPr>
          <w:rFonts w:ascii="Arial"/>
          <w:i/>
          <w:spacing w:val="-10"/>
          <w:sz w:val="22"/>
        </w:rPr>
        <w:t> </w:t>
      </w:r>
      <w:r>
        <w:rPr>
          <w:rFonts w:ascii="Arial"/>
          <w:i/>
          <w:sz w:val="22"/>
        </w:rPr>
        <w:t>Campsite</w:t>
      </w:r>
      <w:r>
        <w:rPr>
          <w:rFonts w:ascii="Arial"/>
          <w:i/>
          <w:spacing w:val="-9"/>
          <w:sz w:val="22"/>
        </w:rPr>
        <w:t> </w:t>
      </w:r>
      <w:r>
        <w:rPr>
          <w:rFonts w:ascii="Arial"/>
          <w:i/>
          <w:spacing w:val="-2"/>
          <w:sz w:val="22"/>
        </w:rPr>
        <w:t>Development</w:t>
      </w:r>
    </w:p>
    <w:p>
      <w:pPr>
        <w:pStyle w:val="BodyText"/>
        <w:spacing w:line="232" w:lineRule="auto" w:before="64"/>
        <w:ind w:left="359" w:right="1185"/>
      </w:pPr>
      <w:r>
        <w:rPr/>
        <w:t>Areas appropriate for camping should only be designated if necessary in the semi-primitive zone</w:t>
      </w:r>
      <w:r>
        <w:rPr>
          <w:spacing w:val="-5"/>
        </w:rPr>
        <w:t> </w:t>
      </w:r>
      <w:r>
        <w:rPr/>
        <w:t>to</w:t>
      </w:r>
      <w:r>
        <w:rPr>
          <w:spacing w:val="-5"/>
        </w:rPr>
        <w:t> </w:t>
      </w:r>
      <w:r>
        <w:rPr/>
        <w:t>resolve</w:t>
      </w:r>
      <w:r>
        <w:rPr>
          <w:spacing w:val="-8"/>
        </w:rPr>
        <w:t> </w:t>
      </w:r>
      <w:r>
        <w:rPr/>
        <w:t>resource</w:t>
      </w:r>
      <w:r>
        <w:rPr>
          <w:spacing w:val="-5"/>
        </w:rPr>
        <w:t> </w:t>
      </w:r>
      <w:r>
        <w:rPr/>
        <w:t>issues</w:t>
      </w:r>
      <w:r>
        <w:rPr>
          <w:spacing w:val="-6"/>
        </w:rPr>
        <w:t> </w:t>
      </w:r>
      <w:r>
        <w:rPr/>
        <w:t>and</w:t>
      </w:r>
      <w:r>
        <w:rPr>
          <w:spacing w:val="-7"/>
        </w:rPr>
        <w:t> </w:t>
      </w:r>
      <w:r>
        <w:rPr/>
        <w:t>not</w:t>
      </w:r>
      <w:r>
        <w:rPr>
          <w:spacing w:val="-8"/>
        </w:rPr>
        <w:t> </w:t>
      </w:r>
      <w:r>
        <w:rPr/>
        <w:t>to</w:t>
      </w:r>
      <w:r>
        <w:rPr>
          <w:spacing w:val="-5"/>
        </w:rPr>
        <w:t> </w:t>
      </w:r>
      <w:r>
        <w:rPr/>
        <w:t>accommodate</w:t>
      </w:r>
      <w:r>
        <w:rPr>
          <w:spacing w:val="-5"/>
        </w:rPr>
        <w:t> </w:t>
      </w:r>
      <w:r>
        <w:rPr/>
        <w:t>increasing</w:t>
      </w:r>
      <w:r>
        <w:rPr>
          <w:spacing w:val="-7"/>
        </w:rPr>
        <w:t> </w:t>
      </w:r>
      <w:r>
        <w:rPr/>
        <w:t>levels</w:t>
      </w:r>
      <w:r>
        <w:rPr>
          <w:spacing w:val="-6"/>
        </w:rPr>
        <w:t> </w:t>
      </w:r>
      <w:r>
        <w:rPr/>
        <w:t>of</w:t>
      </w:r>
      <w:r>
        <w:rPr>
          <w:spacing w:val="-8"/>
        </w:rPr>
        <w:t> </w:t>
      </w:r>
      <w:r>
        <w:rPr/>
        <w:t>use.</w:t>
      </w:r>
      <w:r>
        <w:rPr>
          <w:spacing w:val="-8"/>
        </w:rPr>
        <w:t> </w:t>
      </w:r>
      <w:r>
        <w:rPr/>
        <w:t>Recreational site structures are generally limited to one fire ring and naturally occurring rock or log seats. Authorized</w:t>
      </w:r>
      <w:r>
        <w:rPr>
          <w:spacing w:val="-5"/>
        </w:rPr>
        <w:t> </w:t>
      </w:r>
      <w:r>
        <w:rPr/>
        <w:t>recreation</w:t>
      </w:r>
      <w:r>
        <w:rPr>
          <w:spacing w:val="-5"/>
        </w:rPr>
        <w:t> </w:t>
      </w:r>
      <w:r>
        <w:rPr/>
        <w:t>developments</w:t>
      </w:r>
      <w:r>
        <w:rPr>
          <w:spacing w:val="-4"/>
        </w:rPr>
        <w:t> </w:t>
      </w:r>
      <w:r>
        <w:rPr/>
        <w:t>(such</w:t>
      </w:r>
      <w:r>
        <w:rPr>
          <w:spacing w:val="-7"/>
        </w:rPr>
        <w:t> </w:t>
      </w:r>
      <w:r>
        <w:rPr/>
        <w:t>as</w:t>
      </w:r>
      <w:r>
        <w:rPr>
          <w:spacing w:val="-4"/>
        </w:rPr>
        <w:t> </w:t>
      </w:r>
      <w:r>
        <w:rPr/>
        <w:t>hitch-racks,</w:t>
      </w:r>
      <w:r>
        <w:rPr>
          <w:spacing w:val="-4"/>
        </w:rPr>
        <w:t> </w:t>
      </w:r>
      <w:r>
        <w:rPr/>
        <w:t>high-lines,</w:t>
      </w:r>
      <w:r>
        <w:rPr>
          <w:spacing w:val="-4"/>
        </w:rPr>
        <w:t> </w:t>
      </w:r>
      <w:r>
        <w:rPr/>
        <w:t>or</w:t>
      </w:r>
      <w:r>
        <w:rPr>
          <w:spacing w:val="-4"/>
        </w:rPr>
        <w:t> </w:t>
      </w:r>
      <w:r>
        <w:rPr/>
        <w:t>site</w:t>
      </w:r>
      <w:r>
        <w:rPr>
          <w:spacing w:val="-3"/>
        </w:rPr>
        <w:t> </w:t>
      </w:r>
      <w:r>
        <w:rPr/>
        <w:t>hardening)</w:t>
      </w:r>
      <w:r>
        <w:rPr>
          <w:spacing w:val="-4"/>
        </w:rPr>
        <w:t> </w:t>
      </w:r>
      <w:r>
        <w:rPr/>
        <w:t>should rarely be installed. These developments should only be used where they would reduce or eliminate a proliferation of resource impacts and only in locations where other less intrusive tactics</w:t>
      </w:r>
      <w:r>
        <w:rPr>
          <w:spacing w:val="-3"/>
        </w:rPr>
        <w:t> </w:t>
      </w:r>
      <w:r>
        <w:rPr/>
        <w:t>(i.e.,</w:t>
      </w:r>
      <w:r>
        <w:rPr>
          <w:spacing w:val="-3"/>
        </w:rPr>
        <w:t> </w:t>
      </w:r>
      <w:r>
        <w:rPr/>
        <w:t>education</w:t>
      </w:r>
      <w:r>
        <w:rPr>
          <w:spacing w:val="-2"/>
        </w:rPr>
        <w:t> </w:t>
      </w:r>
      <w:r>
        <w:rPr/>
        <w:t>and</w:t>
      </w:r>
      <w:r>
        <w:rPr>
          <w:spacing w:val="-4"/>
        </w:rPr>
        <w:t> </w:t>
      </w:r>
      <w:r>
        <w:rPr/>
        <w:t>enforcement)</w:t>
      </w:r>
      <w:r>
        <w:rPr>
          <w:spacing w:val="-1"/>
        </w:rPr>
        <w:t> </w:t>
      </w:r>
      <w:r>
        <w:rPr/>
        <w:t>would</w:t>
      </w:r>
      <w:r>
        <w:rPr>
          <w:spacing w:val="-2"/>
        </w:rPr>
        <w:t> </w:t>
      </w:r>
      <w:r>
        <w:rPr/>
        <w:t>not contain</w:t>
      </w:r>
      <w:r>
        <w:rPr>
          <w:spacing w:val="-2"/>
        </w:rPr>
        <w:t> </w:t>
      </w:r>
      <w:r>
        <w:rPr/>
        <w:t>the impacts.</w:t>
      </w:r>
      <w:r>
        <w:rPr>
          <w:spacing w:val="-4"/>
        </w:rPr>
        <w:t> </w:t>
      </w:r>
      <w:r>
        <w:rPr/>
        <w:t>Development</w:t>
      </w:r>
      <w:r>
        <w:rPr>
          <w:spacing w:val="-3"/>
        </w:rPr>
        <w:t> </w:t>
      </w:r>
      <w:r>
        <w:rPr/>
        <w:t>should be removed when no longer serviceable or needed.</w:t>
      </w:r>
    </w:p>
    <w:p>
      <w:pPr>
        <w:pStyle w:val="BodyText"/>
        <w:spacing w:before="82"/>
      </w:pPr>
    </w:p>
    <w:p>
      <w:pPr>
        <w:spacing w:before="0" w:after="41"/>
        <w:ind w:left="360" w:right="0" w:firstLine="0"/>
        <w:jc w:val="left"/>
        <w:rPr>
          <w:rFonts w:ascii="Arial"/>
          <w:b/>
          <w:sz w:val="18"/>
        </w:rPr>
      </w:pPr>
      <w:bookmarkStart w:name="_bookmark263" w:id="867"/>
      <w:bookmarkEnd w:id="867"/>
      <w:r>
        <w:rPr/>
      </w:r>
      <w:r>
        <w:rPr>
          <w:rFonts w:ascii="Arial"/>
          <w:b/>
          <w:sz w:val="18"/>
        </w:rPr>
        <w:t>Table</w:t>
      </w:r>
      <w:r>
        <w:rPr>
          <w:rFonts w:ascii="Arial"/>
          <w:b/>
          <w:spacing w:val="-5"/>
          <w:sz w:val="18"/>
        </w:rPr>
        <w:t> </w:t>
      </w:r>
      <w:r>
        <w:rPr>
          <w:rFonts w:ascii="Arial"/>
          <w:b/>
          <w:sz w:val="18"/>
        </w:rPr>
        <w:t>35.</w:t>
      </w:r>
      <w:r>
        <w:rPr>
          <w:rFonts w:ascii="Arial"/>
          <w:b/>
          <w:spacing w:val="-2"/>
          <w:sz w:val="18"/>
        </w:rPr>
        <w:t> </w:t>
      </w:r>
      <w:r>
        <w:rPr>
          <w:rFonts w:ascii="Arial"/>
          <w:b/>
          <w:sz w:val="18"/>
        </w:rPr>
        <w:t>Authorization</w:t>
      </w:r>
      <w:r>
        <w:rPr>
          <w:rFonts w:ascii="Arial"/>
          <w:b/>
          <w:spacing w:val="-2"/>
          <w:sz w:val="18"/>
        </w:rPr>
        <w:t> </w:t>
      </w:r>
      <w:r>
        <w:rPr>
          <w:rFonts w:ascii="Arial"/>
          <w:b/>
          <w:sz w:val="18"/>
        </w:rPr>
        <w:t>of</w:t>
      </w:r>
      <w:r>
        <w:rPr>
          <w:rFonts w:ascii="Arial"/>
          <w:b/>
          <w:spacing w:val="-4"/>
          <w:sz w:val="18"/>
        </w:rPr>
        <w:t> </w:t>
      </w:r>
      <w:r>
        <w:rPr>
          <w:rFonts w:ascii="Arial"/>
          <w:b/>
          <w:sz w:val="18"/>
        </w:rPr>
        <w:t>developments</w:t>
      </w:r>
      <w:r>
        <w:rPr>
          <w:rFonts w:ascii="Arial"/>
          <w:b/>
          <w:spacing w:val="-4"/>
          <w:sz w:val="18"/>
        </w:rPr>
        <w:t> </w:t>
      </w:r>
      <w:r>
        <w:rPr>
          <w:rFonts w:ascii="Arial"/>
          <w:b/>
          <w:sz w:val="18"/>
        </w:rPr>
        <w:t>in</w:t>
      </w:r>
      <w:r>
        <w:rPr>
          <w:rFonts w:ascii="Arial"/>
          <w:b/>
          <w:spacing w:val="-3"/>
          <w:sz w:val="18"/>
        </w:rPr>
        <w:t> </w:t>
      </w:r>
      <w:r>
        <w:rPr>
          <w:rFonts w:ascii="Arial"/>
          <w:b/>
          <w:sz w:val="18"/>
        </w:rPr>
        <w:t>congressionally</w:t>
      </w:r>
      <w:r>
        <w:rPr>
          <w:rFonts w:ascii="Arial"/>
          <w:b/>
          <w:spacing w:val="-9"/>
          <w:sz w:val="18"/>
        </w:rPr>
        <w:t> </w:t>
      </w:r>
      <w:r>
        <w:rPr>
          <w:rFonts w:ascii="Arial"/>
          <w:b/>
          <w:sz w:val="18"/>
        </w:rPr>
        <w:t>designated</w:t>
      </w:r>
      <w:r>
        <w:rPr>
          <w:rFonts w:ascii="Arial"/>
          <w:b/>
          <w:spacing w:val="-4"/>
          <w:sz w:val="18"/>
        </w:rPr>
        <w:t> </w:t>
      </w:r>
      <w:r>
        <w:rPr>
          <w:rFonts w:ascii="Arial"/>
          <w:b/>
          <w:spacing w:val="-2"/>
          <w:sz w:val="18"/>
        </w:rPr>
        <w:t>wilderness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35"/>
        <w:gridCol w:w="1699"/>
        <w:gridCol w:w="1704"/>
        <w:gridCol w:w="1699"/>
        <w:gridCol w:w="1711"/>
      </w:tblGrid>
      <w:tr>
        <w:trPr>
          <w:trHeight w:val="287" w:hRule="atLeast"/>
        </w:trPr>
        <w:tc>
          <w:tcPr>
            <w:tcW w:w="1735" w:type="dxa"/>
            <w:shd w:val="clear" w:color="auto" w:fill="D5E2BB"/>
          </w:tcPr>
          <w:p>
            <w:pPr>
              <w:pStyle w:val="TableParagraph"/>
              <w:spacing w:before="0"/>
              <w:rPr>
                <w:rFonts w:ascii="Times New Roman"/>
                <w:sz w:val="20"/>
              </w:rPr>
            </w:pPr>
          </w:p>
        </w:tc>
        <w:tc>
          <w:tcPr>
            <w:tcW w:w="1699" w:type="dxa"/>
            <w:shd w:val="clear" w:color="auto" w:fill="D5E2BB"/>
          </w:tcPr>
          <w:p>
            <w:pPr>
              <w:pStyle w:val="TableParagraph"/>
              <w:ind w:left="52" w:right="29"/>
              <w:jc w:val="center"/>
              <w:rPr>
                <w:b/>
                <w:sz w:val="18"/>
              </w:rPr>
            </w:pPr>
            <w:r>
              <w:rPr>
                <w:b/>
                <w:spacing w:val="-2"/>
                <w:sz w:val="18"/>
              </w:rPr>
              <w:t>Pristine</w:t>
            </w:r>
          </w:p>
        </w:tc>
        <w:tc>
          <w:tcPr>
            <w:tcW w:w="1704" w:type="dxa"/>
            <w:shd w:val="clear" w:color="auto" w:fill="D5E2BB"/>
          </w:tcPr>
          <w:p>
            <w:pPr>
              <w:pStyle w:val="TableParagraph"/>
              <w:ind w:left="470"/>
              <w:rPr>
                <w:b/>
                <w:sz w:val="18"/>
              </w:rPr>
            </w:pPr>
            <w:r>
              <w:rPr>
                <w:b/>
                <w:spacing w:val="-2"/>
                <w:sz w:val="18"/>
              </w:rPr>
              <w:t>Primitive</w:t>
            </w:r>
          </w:p>
        </w:tc>
        <w:tc>
          <w:tcPr>
            <w:tcW w:w="1699" w:type="dxa"/>
            <w:shd w:val="clear" w:color="auto" w:fill="D5E2BB"/>
          </w:tcPr>
          <w:p>
            <w:pPr>
              <w:pStyle w:val="TableParagraph"/>
              <w:ind w:left="230"/>
              <w:rPr>
                <w:b/>
                <w:sz w:val="18"/>
              </w:rPr>
            </w:pPr>
            <w:r>
              <w:rPr>
                <w:b/>
                <w:spacing w:val="-2"/>
                <w:sz w:val="18"/>
              </w:rPr>
              <w:t>Semi-primitive</w:t>
            </w:r>
          </w:p>
        </w:tc>
        <w:tc>
          <w:tcPr>
            <w:tcW w:w="1711" w:type="dxa"/>
            <w:shd w:val="clear" w:color="auto" w:fill="D5E2BB"/>
          </w:tcPr>
          <w:p>
            <w:pPr>
              <w:pStyle w:val="TableParagraph"/>
              <w:ind w:left="417"/>
              <w:rPr>
                <w:b/>
                <w:sz w:val="18"/>
              </w:rPr>
            </w:pPr>
            <w:r>
              <w:rPr>
                <w:b/>
                <w:spacing w:val="-2"/>
                <w:sz w:val="18"/>
              </w:rPr>
              <w:t>Transition</w:t>
            </w:r>
          </w:p>
        </w:tc>
      </w:tr>
      <w:tr>
        <w:trPr>
          <w:trHeight w:val="493" w:hRule="atLeast"/>
        </w:trPr>
        <w:tc>
          <w:tcPr>
            <w:tcW w:w="1735" w:type="dxa"/>
          </w:tcPr>
          <w:p>
            <w:pPr>
              <w:pStyle w:val="TableParagraph"/>
              <w:ind w:left="107"/>
              <w:rPr>
                <w:b/>
                <w:sz w:val="18"/>
              </w:rPr>
            </w:pPr>
            <w:r>
              <w:rPr>
                <w:b/>
                <w:spacing w:val="-2"/>
                <w:sz w:val="18"/>
              </w:rPr>
              <w:t>Developments</w:t>
            </w:r>
          </w:p>
        </w:tc>
        <w:tc>
          <w:tcPr>
            <w:tcW w:w="1699" w:type="dxa"/>
          </w:tcPr>
          <w:p>
            <w:pPr>
              <w:pStyle w:val="TableParagraph"/>
              <w:ind w:left="23" w:right="52"/>
              <w:jc w:val="center"/>
              <w:rPr>
                <w:sz w:val="18"/>
              </w:rPr>
            </w:pPr>
            <w:r>
              <w:rPr>
                <w:sz w:val="18"/>
              </w:rPr>
              <w:t>May</w:t>
            </w:r>
            <w:r>
              <w:rPr>
                <w:spacing w:val="-5"/>
                <w:sz w:val="18"/>
              </w:rPr>
              <w:t> </w:t>
            </w:r>
            <w:r>
              <w:rPr>
                <w:sz w:val="18"/>
              </w:rPr>
              <w:t>not</w:t>
            </w:r>
            <w:r>
              <w:rPr>
                <w:spacing w:val="-4"/>
                <w:sz w:val="18"/>
              </w:rPr>
              <w:t> </w:t>
            </w:r>
            <w:r>
              <w:rPr>
                <w:spacing w:val="-2"/>
                <w:sz w:val="18"/>
              </w:rPr>
              <w:t>authorize</w:t>
            </w:r>
          </w:p>
        </w:tc>
        <w:tc>
          <w:tcPr>
            <w:tcW w:w="1704" w:type="dxa"/>
          </w:tcPr>
          <w:p>
            <w:pPr>
              <w:pStyle w:val="TableParagraph"/>
              <w:ind w:left="108" w:right="438"/>
              <w:rPr>
                <w:sz w:val="18"/>
              </w:rPr>
            </w:pPr>
            <w:r>
              <w:rPr>
                <w:sz w:val="18"/>
              </w:rPr>
              <w:t>May</w:t>
            </w:r>
            <w:r>
              <w:rPr>
                <w:spacing w:val="-13"/>
                <w:sz w:val="18"/>
              </w:rPr>
              <w:t> </w:t>
            </w:r>
            <w:r>
              <w:rPr>
                <w:sz w:val="18"/>
              </w:rPr>
              <w:t>authorize with limits</w:t>
            </w:r>
          </w:p>
        </w:tc>
        <w:tc>
          <w:tcPr>
            <w:tcW w:w="1699" w:type="dxa"/>
          </w:tcPr>
          <w:p>
            <w:pPr>
              <w:pStyle w:val="TableParagraph"/>
              <w:ind w:left="107" w:right="434"/>
              <w:rPr>
                <w:sz w:val="18"/>
              </w:rPr>
            </w:pPr>
            <w:r>
              <w:rPr>
                <w:sz w:val="18"/>
              </w:rPr>
              <w:t>May</w:t>
            </w:r>
            <w:r>
              <w:rPr>
                <w:spacing w:val="-13"/>
                <w:sz w:val="18"/>
              </w:rPr>
              <w:t> </w:t>
            </w:r>
            <w:r>
              <w:rPr>
                <w:sz w:val="18"/>
              </w:rPr>
              <w:t>authorize with limits</w:t>
            </w:r>
          </w:p>
        </w:tc>
        <w:tc>
          <w:tcPr>
            <w:tcW w:w="1711" w:type="dxa"/>
          </w:tcPr>
          <w:p>
            <w:pPr>
              <w:pStyle w:val="TableParagraph"/>
              <w:ind w:left="108" w:right="445"/>
              <w:rPr>
                <w:sz w:val="18"/>
              </w:rPr>
            </w:pPr>
            <w:r>
              <w:rPr>
                <w:sz w:val="18"/>
              </w:rPr>
              <w:t>May</w:t>
            </w:r>
            <w:r>
              <w:rPr>
                <w:spacing w:val="-13"/>
                <w:sz w:val="18"/>
              </w:rPr>
              <w:t> </w:t>
            </w:r>
            <w:r>
              <w:rPr>
                <w:sz w:val="18"/>
              </w:rPr>
              <w:t>authorize with limits</w:t>
            </w:r>
          </w:p>
        </w:tc>
      </w:tr>
    </w:tbl>
    <w:p>
      <w:pPr>
        <w:pStyle w:val="BodyText"/>
        <w:spacing w:before="153"/>
        <w:rPr>
          <w:rFonts w:ascii="Arial"/>
          <w:b/>
          <w:sz w:val="18"/>
        </w:rPr>
      </w:pPr>
    </w:p>
    <w:p>
      <w:pPr>
        <w:spacing w:before="0"/>
        <w:ind w:left="360" w:right="0" w:firstLine="0"/>
        <w:jc w:val="left"/>
        <w:rPr>
          <w:rFonts w:ascii="Arial"/>
          <w:i/>
          <w:sz w:val="22"/>
        </w:rPr>
      </w:pPr>
      <w:bookmarkStart w:name="MA-GDL-WCD-02. Communication Facilities" w:id="868"/>
      <w:bookmarkEnd w:id="868"/>
      <w:r>
        <w:rPr/>
      </w:r>
      <w:r>
        <w:rPr>
          <w:rFonts w:ascii="Arial"/>
          <w:i/>
          <w:sz w:val="22"/>
        </w:rPr>
        <w:t>MA-GDL-WCD-02.</w:t>
      </w:r>
      <w:r>
        <w:rPr>
          <w:rFonts w:ascii="Arial"/>
          <w:i/>
          <w:spacing w:val="-12"/>
          <w:sz w:val="22"/>
        </w:rPr>
        <w:t> </w:t>
      </w:r>
      <w:r>
        <w:rPr>
          <w:rFonts w:ascii="Arial"/>
          <w:i/>
          <w:sz w:val="22"/>
        </w:rPr>
        <w:t>Communication</w:t>
      </w:r>
      <w:r>
        <w:rPr>
          <w:rFonts w:ascii="Arial"/>
          <w:i/>
          <w:spacing w:val="-12"/>
          <w:sz w:val="22"/>
        </w:rPr>
        <w:t> </w:t>
      </w:r>
      <w:r>
        <w:rPr>
          <w:rFonts w:ascii="Arial"/>
          <w:i/>
          <w:spacing w:val="-2"/>
          <w:sz w:val="22"/>
        </w:rPr>
        <w:t>Facilities</w:t>
      </w:r>
    </w:p>
    <w:p>
      <w:pPr>
        <w:pStyle w:val="BodyText"/>
        <w:spacing w:line="232" w:lineRule="auto" w:before="67"/>
        <w:ind w:left="359" w:right="1185"/>
      </w:pPr>
      <w:r>
        <w:rPr/>
        <w:t>Permanent</w:t>
      </w:r>
      <w:r>
        <w:rPr>
          <w:spacing w:val="-4"/>
        </w:rPr>
        <w:t> </w:t>
      </w:r>
      <w:r>
        <w:rPr/>
        <w:t>repeaters</w:t>
      </w:r>
      <w:r>
        <w:rPr>
          <w:spacing w:val="-5"/>
        </w:rPr>
        <w:t> </w:t>
      </w:r>
      <w:r>
        <w:rPr/>
        <w:t>should</w:t>
      </w:r>
      <w:r>
        <w:rPr>
          <w:spacing w:val="-6"/>
        </w:rPr>
        <w:t> </w:t>
      </w:r>
      <w:r>
        <w:rPr/>
        <w:t>not</w:t>
      </w:r>
      <w:r>
        <w:rPr>
          <w:spacing w:val="-4"/>
        </w:rPr>
        <w:t> </w:t>
      </w:r>
      <w:r>
        <w:rPr/>
        <w:t>be</w:t>
      </w:r>
      <w:r>
        <w:rPr>
          <w:spacing w:val="-7"/>
        </w:rPr>
        <w:t> </w:t>
      </w:r>
      <w:r>
        <w:rPr/>
        <w:t>authorized</w:t>
      </w:r>
      <w:r>
        <w:rPr>
          <w:spacing w:val="-6"/>
        </w:rPr>
        <w:t> </w:t>
      </w:r>
      <w:r>
        <w:rPr/>
        <w:t>in</w:t>
      </w:r>
      <w:r>
        <w:rPr>
          <w:spacing w:val="-6"/>
        </w:rPr>
        <w:t> </w:t>
      </w:r>
      <w:r>
        <w:rPr/>
        <w:t>pristine</w:t>
      </w:r>
      <w:r>
        <w:rPr>
          <w:spacing w:val="-4"/>
        </w:rPr>
        <w:t> </w:t>
      </w:r>
      <w:r>
        <w:rPr/>
        <w:t>wilderness</w:t>
      </w:r>
      <w:r>
        <w:rPr>
          <w:spacing w:val="-5"/>
        </w:rPr>
        <w:t> </w:t>
      </w:r>
      <w:r>
        <w:rPr/>
        <w:t>resource</w:t>
      </w:r>
      <w:r>
        <w:rPr>
          <w:spacing w:val="-7"/>
        </w:rPr>
        <w:t> </w:t>
      </w:r>
      <w:r>
        <w:rPr/>
        <w:t>spectrum</w:t>
      </w:r>
      <w:r>
        <w:rPr>
          <w:spacing w:val="-4"/>
        </w:rPr>
        <w:t> </w:t>
      </w:r>
      <w:r>
        <w:rPr/>
        <w:t>zones. Permanent Forest Service radio repeaters may be authorized in the primitive, semi-primitive, and transition wilderness resource spectrum zones when radio dead zones within the wilderness cannot be serviced by locations outside of wilderness, and other communication devices</w:t>
      </w:r>
      <w:r>
        <w:rPr>
          <w:spacing w:val="-9"/>
        </w:rPr>
        <w:t> </w:t>
      </w:r>
      <w:r>
        <w:rPr/>
        <w:t>are</w:t>
      </w:r>
      <w:r>
        <w:rPr>
          <w:spacing w:val="-8"/>
        </w:rPr>
        <w:t> </w:t>
      </w:r>
      <w:r>
        <w:rPr/>
        <w:t>ineffective</w:t>
      </w:r>
      <w:r>
        <w:rPr>
          <w:spacing w:val="-11"/>
        </w:rPr>
        <w:t> </w:t>
      </w:r>
      <w:r>
        <w:rPr/>
        <w:t>options</w:t>
      </w:r>
      <w:r>
        <w:rPr>
          <w:spacing w:val="-9"/>
        </w:rPr>
        <w:t> </w:t>
      </w:r>
      <w:r>
        <w:rPr/>
        <w:t>due</w:t>
      </w:r>
      <w:r>
        <w:rPr>
          <w:spacing w:val="-8"/>
        </w:rPr>
        <w:t> </w:t>
      </w:r>
      <w:r>
        <w:rPr/>
        <w:t>to</w:t>
      </w:r>
      <w:r>
        <w:rPr>
          <w:spacing w:val="-8"/>
        </w:rPr>
        <w:t> </w:t>
      </w:r>
      <w:r>
        <w:rPr/>
        <w:t>forest</w:t>
      </w:r>
      <w:r>
        <w:rPr>
          <w:spacing w:val="-8"/>
        </w:rPr>
        <w:t> </w:t>
      </w:r>
      <w:r>
        <w:rPr/>
        <w:t>cover</w:t>
      </w:r>
      <w:r>
        <w:rPr>
          <w:spacing w:val="-11"/>
        </w:rPr>
        <w:t> </w:t>
      </w:r>
      <w:r>
        <w:rPr/>
        <w:t>or</w:t>
      </w:r>
      <w:r>
        <w:rPr>
          <w:spacing w:val="-11"/>
        </w:rPr>
        <w:t> </w:t>
      </w:r>
      <w:r>
        <w:rPr/>
        <w:t>topography.</w:t>
      </w:r>
      <w:r>
        <w:rPr>
          <w:spacing w:val="-9"/>
        </w:rPr>
        <w:t> </w:t>
      </w:r>
      <w:r>
        <w:rPr/>
        <w:t>Installation</w:t>
      </w:r>
      <w:r>
        <w:rPr>
          <w:spacing w:val="-12"/>
        </w:rPr>
        <w:t> </w:t>
      </w:r>
      <w:r>
        <w:rPr/>
        <w:t>of</w:t>
      </w:r>
      <w:r>
        <w:rPr>
          <w:spacing w:val="-9"/>
        </w:rPr>
        <w:t> </w:t>
      </w:r>
      <w:r>
        <w:rPr/>
        <w:t>radio</w:t>
      </w:r>
      <w:r>
        <w:rPr>
          <w:spacing w:val="-8"/>
        </w:rPr>
        <w:t> </w:t>
      </w:r>
      <w:r>
        <w:rPr/>
        <w:t>repeaters should be considered only after other mitigation efforts have been tried and proved to be ineffective. Repeaters should be out of sight of trails and destination areas. Communication facilities essential for provisional uses may be co-located with Forest Service repeaters.</w:t>
      </w:r>
    </w:p>
    <w:p>
      <w:pPr>
        <w:spacing w:before="231"/>
        <w:ind w:left="359" w:right="0" w:firstLine="0"/>
        <w:jc w:val="left"/>
        <w:rPr>
          <w:rFonts w:ascii="Arial"/>
          <w:i/>
          <w:sz w:val="22"/>
        </w:rPr>
      </w:pPr>
      <w:bookmarkStart w:name="MA-GDL-WCD-03. Pets" w:id="869"/>
      <w:bookmarkEnd w:id="869"/>
      <w:r>
        <w:rPr/>
      </w:r>
      <w:r>
        <w:rPr>
          <w:rFonts w:ascii="Arial"/>
          <w:i/>
          <w:sz w:val="22"/>
        </w:rPr>
        <w:t>MA-GDL-WCD-03.</w:t>
      </w:r>
      <w:r>
        <w:rPr>
          <w:rFonts w:ascii="Arial"/>
          <w:i/>
          <w:spacing w:val="-14"/>
          <w:sz w:val="22"/>
        </w:rPr>
        <w:t> </w:t>
      </w:r>
      <w:r>
        <w:rPr>
          <w:rFonts w:ascii="Arial"/>
          <w:i/>
          <w:spacing w:val="-4"/>
          <w:sz w:val="22"/>
        </w:rPr>
        <w:t>Pets</w:t>
      </w:r>
    </w:p>
    <w:p>
      <w:pPr>
        <w:pStyle w:val="BodyText"/>
        <w:spacing w:line="232" w:lineRule="auto" w:before="65"/>
        <w:ind w:left="359" w:right="1185"/>
      </w:pPr>
      <w:r>
        <w:rPr/>
        <w:t>Pets (such as dogs or other domestic animals that are not categorized as stock) may be authorized</w:t>
      </w:r>
      <w:r>
        <w:rPr>
          <w:spacing w:val="-6"/>
        </w:rPr>
        <w:t> </w:t>
      </w:r>
      <w:r>
        <w:rPr/>
        <w:t>so</w:t>
      </w:r>
      <w:r>
        <w:rPr>
          <w:spacing w:val="-4"/>
        </w:rPr>
        <w:t> </w:t>
      </w:r>
      <w:r>
        <w:rPr/>
        <w:t>long</w:t>
      </w:r>
      <w:r>
        <w:rPr>
          <w:spacing w:val="-6"/>
        </w:rPr>
        <w:t> </w:t>
      </w:r>
      <w:r>
        <w:rPr/>
        <w:t>as</w:t>
      </w:r>
      <w:r>
        <w:rPr>
          <w:spacing w:val="-7"/>
        </w:rPr>
        <w:t> </w:t>
      </w:r>
      <w:r>
        <w:rPr/>
        <w:t>their</w:t>
      </w:r>
      <w:r>
        <w:rPr>
          <w:spacing w:val="-7"/>
        </w:rPr>
        <w:t> </w:t>
      </w:r>
      <w:r>
        <w:rPr/>
        <w:t>presence</w:t>
      </w:r>
      <w:r>
        <w:rPr>
          <w:spacing w:val="-7"/>
        </w:rPr>
        <w:t> </w:t>
      </w:r>
      <w:r>
        <w:rPr/>
        <w:t>does</w:t>
      </w:r>
      <w:r>
        <w:rPr>
          <w:spacing w:val="-5"/>
        </w:rPr>
        <w:t> </w:t>
      </w:r>
      <w:r>
        <w:rPr/>
        <w:t>not</w:t>
      </w:r>
      <w:r>
        <w:rPr>
          <w:spacing w:val="-4"/>
        </w:rPr>
        <w:t> </w:t>
      </w:r>
      <w:r>
        <w:rPr/>
        <w:t>interfere</w:t>
      </w:r>
      <w:r>
        <w:rPr>
          <w:spacing w:val="-4"/>
        </w:rPr>
        <w:t> </w:t>
      </w:r>
      <w:r>
        <w:rPr/>
        <w:t>with</w:t>
      </w:r>
      <w:r>
        <w:rPr>
          <w:spacing w:val="-8"/>
        </w:rPr>
        <w:t> </w:t>
      </w:r>
      <w:r>
        <w:rPr/>
        <w:t>wildlife</w:t>
      </w:r>
      <w:r>
        <w:rPr>
          <w:spacing w:val="-7"/>
        </w:rPr>
        <w:t> </w:t>
      </w:r>
      <w:r>
        <w:rPr/>
        <w:t>or</w:t>
      </w:r>
      <w:r>
        <w:rPr>
          <w:spacing w:val="-7"/>
        </w:rPr>
        <w:t> </w:t>
      </w:r>
      <w:r>
        <w:rPr/>
        <w:t>contribute</w:t>
      </w:r>
      <w:r>
        <w:rPr>
          <w:spacing w:val="-4"/>
        </w:rPr>
        <w:t> </w:t>
      </w:r>
      <w:r>
        <w:rPr/>
        <w:t>to</w:t>
      </w:r>
      <w:r>
        <w:rPr>
          <w:spacing w:val="-4"/>
        </w:rPr>
        <w:t> </w:t>
      </w:r>
      <w:r>
        <w:rPr/>
        <w:t>resource impacts or user conflicts. Pets should be fully controlled by their owner through voice commands, a leash, or other restraint (such as a shock collar).</w:t>
      </w:r>
    </w:p>
    <w:p>
      <w:pPr>
        <w:spacing w:before="234"/>
        <w:ind w:left="359" w:right="0" w:firstLine="0"/>
        <w:jc w:val="left"/>
        <w:rPr>
          <w:rFonts w:ascii="Arial"/>
          <w:i/>
          <w:sz w:val="22"/>
        </w:rPr>
      </w:pPr>
      <w:bookmarkStart w:name="MA-GDL-WCD-04. Research, Studies, and Da" w:id="870"/>
      <w:bookmarkEnd w:id="870"/>
      <w:r>
        <w:rPr/>
      </w:r>
      <w:r>
        <w:rPr>
          <w:rFonts w:ascii="Arial"/>
          <w:i/>
          <w:sz w:val="22"/>
        </w:rPr>
        <w:t>MA-GDL-WCD-04.</w:t>
      </w:r>
      <w:r>
        <w:rPr>
          <w:rFonts w:ascii="Arial"/>
          <w:i/>
          <w:spacing w:val="-6"/>
          <w:sz w:val="22"/>
        </w:rPr>
        <w:t> </w:t>
      </w:r>
      <w:r>
        <w:rPr>
          <w:rFonts w:ascii="Arial"/>
          <w:i/>
          <w:sz w:val="22"/>
        </w:rPr>
        <w:t>Research,</w:t>
      </w:r>
      <w:r>
        <w:rPr>
          <w:rFonts w:ascii="Arial"/>
          <w:i/>
          <w:spacing w:val="-6"/>
          <w:sz w:val="22"/>
        </w:rPr>
        <w:t> </w:t>
      </w:r>
      <w:r>
        <w:rPr>
          <w:rFonts w:ascii="Arial"/>
          <w:i/>
          <w:sz w:val="22"/>
        </w:rPr>
        <w:t>Studies,</w:t>
      </w:r>
      <w:r>
        <w:rPr>
          <w:rFonts w:ascii="Arial"/>
          <w:i/>
          <w:spacing w:val="-6"/>
          <w:sz w:val="22"/>
        </w:rPr>
        <w:t> </w:t>
      </w:r>
      <w:r>
        <w:rPr>
          <w:rFonts w:ascii="Arial"/>
          <w:i/>
          <w:sz w:val="22"/>
        </w:rPr>
        <w:t>and</w:t>
      </w:r>
      <w:r>
        <w:rPr>
          <w:rFonts w:ascii="Arial"/>
          <w:i/>
          <w:spacing w:val="-8"/>
          <w:sz w:val="22"/>
        </w:rPr>
        <w:t> </w:t>
      </w:r>
      <w:r>
        <w:rPr>
          <w:rFonts w:ascii="Arial"/>
          <w:i/>
          <w:sz w:val="22"/>
        </w:rPr>
        <w:t>Data</w:t>
      </w:r>
      <w:r>
        <w:rPr>
          <w:rFonts w:ascii="Arial"/>
          <w:i/>
          <w:spacing w:val="-7"/>
          <w:sz w:val="22"/>
        </w:rPr>
        <w:t> </w:t>
      </w:r>
      <w:r>
        <w:rPr>
          <w:rFonts w:ascii="Arial"/>
          <w:i/>
          <w:spacing w:val="-2"/>
          <w:sz w:val="22"/>
        </w:rPr>
        <w:t>Gathering</w:t>
      </w:r>
    </w:p>
    <w:p>
      <w:pPr>
        <w:pStyle w:val="BodyText"/>
        <w:spacing w:line="232" w:lineRule="auto" w:before="65"/>
        <w:ind w:left="359" w:right="1185"/>
      </w:pPr>
      <w:r>
        <w:rPr/>
        <w:t>Non-manipulative</w:t>
      </w:r>
      <w:r>
        <w:rPr>
          <w:spacing w:val="-4"/>
        </w:rPr>
        <w:t> </w:t>
      </w:r>
      <w:r>
        <w:rPr/>
        <w:t>research</w:t>
      </w:r>
      <w:r>
        <w:rPr>
          <w:spacing w:val="-7"/>
        </w:rPr>
        <w:t> </w:t>
      </w:r>
      <w:r>
        <w:rPr/>
        <w:t>or</w:t>
      </w:r>
      <w:r>
        <w:rPr>
          <w:spacing w:val="-5"/>
        </w:rPr>
        <w:t> </w:t>
      </w:r>
      <w:r>
        <w:rPr/>
        <w:t>data</w:t>
      </w:r>
      <w:r>
        <w:rPr>
          <w:spacing w:val="-5"/>
        </w:rPr>
        <w:t> </w:t>
      </w:r>
      <w:r>
        <w:rPr/>
        <w:t>gathering</w:t>
      </w:r>
      <w:r>
        <w:rPr>
          <w:spacing w:val="-7"/>
        </w:rPr>
        <w:t> </w:t>
      </w:r>
      <w:r>
        <w:rPr/>
        <w:t>may</w:t>
      </w:r>
      <w:r>
        <w:rPr>
          <w:spacing w:val="-4"/>
        </w:rPr>
        <w:t> </w:t>
      </w:r>
      <w:r>
        <w:rPr/>
        <w:t>be</w:t>
      </w:r>
      <w:r>
        <w:rPr>
          <w:spacing w:val="-7"/>
        </w:rPr>
        <w:t> </w:t>
      </w:r>
      <w:r>
        <w:rPr/>
        <w:t>authorized</w:t>
      </w:r>
      <w:r>
        <w:rPr>
          <w:spacing w:val="-6"/>
        </w:rPr>
        <w:t> </w:t>
      </w:r>
      <w:r>
        <w:rPr/>
        <w:t>where</w:t>
      </w:r>
      <w:r>
        <w:rPr>
          <w:spacing w:val="-7"/>
        </w:rPr>
        <w:t> </w:t>
      </w:r>
      <w:r>
        <w:rPr/>
        <w:t>such</w:t>
      </w:r>
      <w:r>
        <w:rPr>
          <w:spacing w:val="-6"/>
        </w:rPr>
        <w:t> </w:t>
      </w:r>
      <w:r>
        <w:rPr/>
        <w:t>use</w:t>
      </w:r>
      <w:r>
        <w:rPr>
          <w:spacing w:val="-7"/>
        </w:rPr>
        <w:t> </w:t>
      </w:r>
      <w:r>
        <w:rPr/>
        <w:t>is</w:t>
      </w:r>
      <w:r>
        <w:rPr>
          <w:spacing w:val="-5"/>
        </w:rPr>
        <w:t> </w:t>
      </w:r>
      <w:r>
        <w:rPr/>
        <w:t>reliant</w:t>
      </w:r>
      <w:r>
        <w:rPr>
          <w:spacing w:val="-7"/>
        </w:rPr>
        <w:t> </w:t>
      </w:r>
      <w:r>
        <w:rPr/>
        <w:t>on</w:t>
      </w:r>
      <w:r>
        <w:rPr>
          <w:spacing w:val="-6"/>
        </w:rPr>
        <w:t> </w:t>
      </w:r>
      <w:r>
        <w:rPr/>
        <w:t>a wilderness setting, and does not detract from wilderness character.</w:t>
      </w:r>
    </w:p>
    <w:p>
      <w:pPr>
        <w:pStyle w:val="BodyText"/>
        <w:spacing w:line="232" w:lineRule="auto" w:before="199"/>
        <w:ind w:left="359" w:right="1185"/>
      </w:pPr>
      <w:r>
        <w:rPr/>
        <w:t>Markings should be unobtrusive and not be viewed from trails or occupied areas. Permanent markings</w:t>
      </w:r>
      <w:r>
        <w:rPr>
          <w:spacing w:val="-4"/>
        </w:rPr>
        <w:t> </w:t>
      </w:r>
      <w:r>
        <w:rPr/>
        <w:t>should</w:t>
      </w:r>
      <w:r>
        <w:rPr>
          <w:spacing w:val="-4"/>
        </w:rPr>
        <w:t> </w:t>
      </w:r>
      <w:r>
        <w:rPr/>
        <w:t>only</w:t>
      </w:r>
      <w:r>
        <w:rPr>
          <w:spacing w:val="-3"/>
        </w:rPr>
        <w:t> </w:t>
      </w:r>
      <w:r>
        <w:rPr/>
        <w:t>be</w:t>
      </w:r>
      <w:r>
        <w:rPr>
          <w:spacing w:val="-5"/>
        </w:rPr>
        <w:t> </w:t>
      </w:r>
      <w:r>
        <w:rPr/>
        <w:t>authorized</w:t>
      </w:r>
      <w:r>
        <w:rPr>
          <w:spacing w:val="-6"/>
        </w:rPr>
        <w:t> </w:t>
      </w:r>
      <w:r>
        <w:rPr/>
        <w:t>when</w:t>
      </w:r>
      <w:r>
        <w:rPr>
          <w:spacing w:val="-4"/>
        </w:rPr>
        <w:t> </w:t>
      </w:r>
      <w:r>
        <w:rPr/>
        <w:t>there</w:t>
      </w:r>
      <w:r>
        <w:rPr>
          <w:spacing w:val="-3"/>
        </w:rPr>
        <w:t> </w:t>
      </w:r>
      <w:r>
        <w:rPr/>
        <w:t>is</w:t>
      </w:r>
      <w:r>
        <w:rPr>
          <w:spacing w:val="-5"/>
        </w:rPr>
        <w:t> </w:t>
      </w:r>
      <w:r>
        <w:rPr/>
        <w:t>a</w:t>
      </w:r>
      <w:r>
        <w:rPr>
          <w:spacing w:val="-4"/>
        </w:rPr>
        <w:t> </w:t>
      </w:r>
      <w:r>
        <w:rPr/>
        <w:t>long-term</w:t>
      </w:r>
      <w:r>
        <w:rPr>
          <w:spacing w:val="-3"/>
        </w:rPr>
        <w:t> </w:t>
      </w:r>
      <w:r>
        <w:rPr/>
        <w:t>need</w:t>
      </w:r>
      <w:r>
        <w:rPr>
          <w:spacing w:val="-4"/>
        </w:rPr>
        <w:t> </w:t>
      </w:r>
      <w:r>
        <w:rPr/>
        <w:t>to</w:t>
      </w:r>
      <w:r>
        <w:rPr>
          <w:spacing w:val="-3"/>
        </w:rPr>
        <w:t> </w:t>
      </w:r>
      <w:r>
        <w:rPr/>
        <w:t>relocate</w:t>
      </w:r>
      <w:r>
        <w:rPr>
          <w:spacing w:val="-5"/>
        </w:rPr>
        <w:t> </w:t>
      </w:r>
      <w:r>
        <w:rPr/>
        <w:t>the</w:t>
      </w:r>
      <w:r>
        <w:rPr>
          <w:spacing w:val="-3"/>
        </w:rPr>
        <w:t> </w:t>
      </w:r>
      <w:r>
        <w:rPr/>
        <w:t>site</w:t>
      </w:r>
      <w:r>
        <w:rPr>
          <w:spacing w:val="-5"/>
        </w:rPr>
        <w:t> </w:t>
      </w:r>
      <w:r>
        <w:rPr/>
        <w:t>with</w:t>
      </w:r>
      <w:r>
        <w:rPr>
          <w:spacing w:val="-4"/>
        </w:rPr>
        <w:t> </w:t>
      </w:r>
      <w:r>
        <w:rPr/>
        <w:t>a</w:t>
      </w:r>
    </w:p>
    <w:p>
      <w:pPr>
        <w:pStyle w:val="BodyText"/>
        <w:spacing w:after="0" w:line="232" w:lineRule="auto"/>
        <w:sectPr>
          <w:headerReference w:type="even" r:id="rId70"/>
          <w:headerReference w:type="default" r:id="rId71"/>
          <w:footerReference w:type="even" r:id="rId72"/>
          <w:footerReference w:type="default" r:id="rId73"/>
          <w:pgSz w:w="12240" w:h="15840"/>
          <w:pgMar w:header="725" w:footer="891" w:top="1340" w:bottom="1080" w:left="1080" w:right="1080"/>
          <w:pgNumType w:start="146"/>
        </w:sectPr>
      </w:pPr>
    </w:p>
    <w:p>
      <w:pPr>
        <w:pStyle w:val="BodyText"/>
        <w:spacing w:line="232" w:lineRule="auto" w:before="89"/>
        <w:ind w:left="1151" w:right="365"/>
      </w:pPr>
      <w:r>
        <w:rPr/>
        <w:t>high</w:t>
      </w:r>
      <w:r>
        <w:rPr>
          <w:spacing w:val="-5"/>
        </w:rPr>
        <w:t> </w:t>
      </w:r>
      <w:r>
        <w:rPr/>
        <w:t>degree</w:t>
      </w:r>
      <w:r>
        <w:rPr>
          <w:spacing w:val="-6"/>
        </w:rPr>
        <w:t> </w:t>
      </w:r>
      <w:r>
        <w:rPr/>
        <w:t>of</w:t>
      </w:r>
      <w:r>
        <w:rPr>
          <w:spacing w:val="-4"/>
        </w:rPr>
        <w:t> </w:t>
      </w:r>
      <w:r>
        <w:rPr/>
        <w:t>precision</w:t>
      </w:r>
      <w:r>
        <w:rPr>
          <w:spacing w:val="-5"/>
        </w:rPr>
        <w:t> </w:t>
      </w:r>
      <w:r>
        <w:rPr/>
        <w:t>where</w:t>
      </w:r>
      <w:r>
        <w:rPr>
          <w:spacing w:val="-6"/>
        </w:rPr>
        <w:t> </w:t>
      </w:r>
      <w:r>
        <w:rPr/>
        <w:t>other</w:t>
      </w:r>
      <w:r>
        <w:rPr>
          <w:spacing w:val="-6"/>
        </w:rPr>
        <w:t> </w:t>
      </w:r>
      <w:r>
        <w:rPr/>
        <w:t>technologies</w:t>
      </w:r>
      <w:r>
        <w:rPr>
          <w:spacing w:val="-4"/>
        </w:rPr>
        <w:t> </w:t>
      </w:r>
      <w:r>
        <w:rPr/>
        <w:t>are</w:t>
      </w:r>
      <w:r>
        <w:rPr>
          <w:spacing w:val="-3"/>
        </w:rPr>
        <w:t> </w:t>
      </w:r>
      <w:r>
        <w:rPr/>
        <w:t>not</w:t>
      </w:r>
      <w:r>
        <w:rPr>
          <w:spacing w:val="-6"/>
        </w:rPr>
        <w:t> </w:t>
      </w:r>
      <w:r>
        <w:rPr/>
        <w:t>sufficient.</w:t>
      </w:r>
      <w:r>
        <w:rPr>
          <w:spacing w:val="-7"/>
        </w:rPr>
        <w:t> </w:t>
      </w:r>
      <w:r>
        <w:rPr/>
        <w:t>Other</w:t>
      </w:r>
      <w:r>
        <w:rPr>
          <w:spacing w:val="-6"/>
        </w:rPr>
        <w:t> </w:t>
      </w:r>
      <w:r>
        <w:rPr/>
        <w:t>than</w:t>
      </w:r>
      <w:r>
        <w:rPr>
          <w:spacing w:val="-5"/>
        </w:rPr>
        <w:t> </w:t>
      </w:r>
      <w:r>
        <w:rPr/>
        <w:t>unobtrusive markings, permanent research installations should not be authorized.</w:t>
      </w:r>
    </w:p>
    <w:p>
      <w:pPr>
        <w:spacing w:before="234"/>
        <w:ind w:left="1151" w:right="0" w:firstLine="0"/>
        <w:jc w:val="left"/>
        <w:rPr>
          <w:rFonts w:ascii="Arial"/>
          <w:i/>
          <w:sz w:val="22"/>
        </w:rPr>
      </w:pPr>
      <w:bookmarkStart w:name="MA-GDL-WCD-05. Caching" w:id="871"/>
      <w:bookmarkEnd w:id="871"/>
      <w:r>
        <w:rPr/>
      </w:r>
      <w:r>
        <w:rPr>
          <w:rFonts w:ascii="Arial"/>
          <w:i/>
          <w:sz w:val="22"/>
        </w:rPr>
        <w:t>MA-GDL-WCD-05.</w:t>
      </w:r>
      <w:r>
        <w:rPr>
          <w:rFonts w:ascii="Arial"/>
          <w:i/>
          <w:spacing w:val="-12"/>
          <w:sz w:val="22"/>
        </w:rPr>
        <w:t> </w:t>
      </w:r>
      <w:r>
        <w:rPr>
          <w:rFonts w:ascii="Arial"/>
          <w:i/>
          <w:spacing w:val="-2"/>
          <w:sz w:val="22"/>
        </w:rPr>
        <w:t>Caching</w:t>
      </w:r>
    </w:p>
    <w:p>
      <w:pPr>
        <w:pStyle w:val="BodyText"/>
        <w:spacing w:line="232" w:lineRule="auto" w:before="65"/>
        <w:ind w:left="1151" w:right="361"/>
      </w:pPr>
      <w:r>
        <w:rPr/>
        <w:t>Caching</w:t>
      </w:r>
      <w:r>
        <w:rPr>
          <w:spacing w:val="-5"/>
        </w:rPr>
        <w:t> </w:t>
      </w:r>
      <w:r>
        <w:rPr/>
        <w:t>of</w:t>
      </w:r>
      <w:r>
        <w:rPr>
          <w:spacing w:val="-7"/>
        </w:rPr>
        <w:t> </w:t>
      </w:r>
      <w:r>
        <w:rPr/>
        <w:t>equipment</w:t>
      </w:r>
      <w:r>
        <w:rPr>
          <w:spacing w:val="-6"/>
        </w:rPr>
        <w:t> </w:t>
      </w:r>
      <w:r>
        <w:rPr/>
        <w:t>or</w:t>
      </w:r>
      <w:r>
        <w:rPr>
          <w:spacing w:val="-6"/>
        </w:rPr>
        <w:t> </w:t>
      </w:r>
      <w:r>
        <w:rPr/>
        <w:t>supplies</w:t>
      </w:r>
      <w:r>
        <w:rPr>
          <w:spacing w:val="-3"/>
        </w:rPr>
        <w:t> </w:t>
      </w:r>
      <w:r>
        <w:rPr/>
        <w:t>should</w:t>
      </w:r>
      <w:r>
        <w:rPr>
          <w:spacing w:val="-5"/>
        </w:rPr>
        <w:t> </w:t>
      </w:r>
      <w:r>
        <w:rPr/>
        <w:t>not</w:t>
      </w:r>
      <w:r>
        <w:rPr>
          <w:spacing w:val="-3"/>
        </w:rPr>
        <w:t> </w:t>
      </w:r>
      <w:r>
        <w:rPr/>
        <w:t>be</w:t>
      </w:r>
      <w:r>
        <w:rPr>
          <w:spacing w:val="-3"/>
        </w:rPr>
        <w:t> </w:t>
      </w:r>
      <w:r>
        <w:rPr/>
        <w:t>authorized</w:t>
      </w:r>
      <w:r>
        <w:rPr>
          <w:spacing w:val="-5"/>
        </w:rPr>
        <w:t> </w:t>
      </w:r>
      <w:r>
        <w:rPr/>
        <w:t>in</w:t>
      </w:r>
      <w:r>
        <w:rPr>
          <w:spacing w:val="-7"/>
        </w:rPr>
        <w:t> </w:t>
      </w:r>
      <w:r>
        <w:rPr/>
        <w:t>wilderness.</w:t>
      </w:r>
      <w:r>
        <w:rPr>
          <w:spacing w:val="-7"/>
        </w:rPr>
        <w:t> </w:t>
      </w:r>
      <w:r>
        <w:rPr/>
        <w:t>Waivers</w:t>
      </w:r>
      <w:r>
        <w:rPr>
          <w:spacing w:val="-4"/>
        </w:rPr>
        <w:t> </w:t>
      </w:r>
      <w:r>
        <w:rPr/>
        <w:t>to</w:t>
      </w:r>
      <w:r>
        <w:rPr>
          <w:spacing w:val="-3"/>
        </w:rPr>
        <w:t> </w:t>
      </w:r>
      <w:r>
        <w:rPr/>
        <w:t>this guideline may be given when all of the following criteria are met.</w:t>
      </w:r>
    </w:p>
    <w:p>
      <w:pPr>
        <w:pStyle w:val="ListParagraph"/>
        <w:numPr>
          <w:ilvl w:val="0"/>
          <w:numId w:val="24"/>
        </w:numPr>
        <w:tabs>
          <w:tab w:pos="1692" w:val="left" w:leader="none"/>
        </w:tabs>
        <w:spacing w:line="232" w:lineRule="auto" w:before="199" w:after="0"/>
        <w:ind w:left="1692" w:right="379" w:hanging="360"/>
        <w:jc w:val="left"/>
        <w:rPr>
          <w:sz w:val="22"/>
        </w:rPr>
      </w:pPr>
      <w:r>
        <w:rPr>
          <w:sz w:val="22"/>
        </w:rPr>
        <w:t>The</w:t>
      </w:r>
      <w:r>
        <w:rPr>
          <w:spacing w:val="-5"/>
          <w:sz w:val="22"/>
        </w:rPr>
        <w:t> </w:t>
      </w:r>
      <w:r>
        <w:rPr>
          <w:sz w:val="22"/>
        </w:rPr>
        <w:t>requested</w:t>
      </w:r>
      <w:r>
        <w:rPr>
          <w:spacing w:val="-6"/>
          <w:sz w:val="22"/>
        </w:rPr>
        <w:t> </w:t>
      </w:r>
      <w:r>
        <w:rPr>
          <w:sz w:val="22"/>
        </w:rPr>
        <w:t>cache</w:t>
      </w:r>
      <w:r>
        <w:rPr>
          <w:spacing w:val="-5"/>
          <w:sz w:val="22"/>
        </w:rPr>
        <w:t> </w:t>
      </w:r>
      <w:r>
        <w:rPr>
          <w:sz w:val="22"/>
        </w:rPr>
        <w:t>is</w:t>
      </w:r>
      <w:r>
        <w:rPr>
          <w:spacing w:val="-7"/>
          <w:sz w:val="22"/>
        </w:rPr>
        <w:t> </w:t>
      </w:r>
      <w:r>
        <w:rPr>
          <w:sz w:val="22"/>
        </w:rPr>
        <w:t>administratively</w:t>
      </w:r>
      <w:r>
        <w:rPr>
          <w:spacing w:val="-6"/>
          <w:sz w:val="22"/>
        </w:rPr>
        <w:t> </w:t>
      </w:r>
      <w:r>
        <w:rPr>
          <w:sz w:val="22"/>
        </w:rPr>
        <w:t>necessary</w:t>
      </w:r>
      <w:r>
        <w:rPr>
          <w:spacing w:val="-5"/>
          <w:sz w:val="22"/>
        </w:rPr>
        <w:t> </w:t>
      </w:r>
      <w:r>
        <w:rPr>
          <w:sz w:val="22"/>
        </w:rPr>
        <w:t>for</w:t>
      </w:r>
      <w:r>
        <w:rPr>
          <w:spacing w:val="-7"/>
          <w:sz w:val="22"/>
        </w:rPr>
        <w:t> </w:t>
      </w:r>
      <w:r>
        <w:rPr>
          <w:sz w:val="22"/>
        </w:rPr>
        <w:t>agency</w:t>
      </w:r>
      <w:r>
        <w:rPr>
          <w:spacing w:val="-5"/>
          <w:sz w:val="22"/>
        </w:rPr>
        <w:t> </w:t>
      </w:r>
      <w:r>
        <w:rPr>
          <w:sz w:val="22"/>
        </w:rPr>
        <w:t>use</w:t>
      </w:r>
      <w:r>
        <w:rPr>
          <w:spacing w:val="-7"/>
          <w:sz w:val="22"/>
        </w:rPr>
        <w:t> </w:t>
      </w:r>
      <w:r>
        <w:rPr>
          <w:sz w:val="22"/>
        </w:rPr>
        <w:t>or</w:t>
      </w:r>
      <w:r>
        <w:rPr>
          <w:spacing w:val="-5"/>
          <w:sz w:val="22"/>
        </w:rPr>
        <w:t> </w:t>
      </w:r>
      <w:r>
        <w:rPr>
          <w:sz w:val="22"/>
        </w:rPr>
        <w:t>to</w:t>
      </w:r>
      <w:r>
        <w:rPr>
          <w:spacing w:val="-5"/>
          <w:sz w:val="22"/>
        </w:rPr>
        <w:t> </w:t>
      </w:r>
      <w:r>
        <w:rPr>
          <w:sz w:val="22"/>
        </w:rPr>
        <w:t>support</w:t>
      </w:r>
      <w:r>
        <w:rPr>
          <w:spacing w:val="-5"/>
          <w:sz w:val="22"/>
        </w:rPr>
        <w:t> </w:t>
      </w:r>
      <w:r>
        <w:rPr>
          <w:sz w:val="22"/>
        </w:rPr>
        <w:t>a</w:t>
      </w:r>
      <w:r>
        <w:rPr>
          <w:spacing w:val="-7"/>
          <w:sz w:val="22"/>
        </w:rPr>
        <w:t> </w:t>
      </w:r>
      <w:r>
        <w:rPr>
          <w:sz w:val="22"/>
        </w:rPr>
        <w:t>scientific </w:t>
      </w:r>
      <w:r>
        <w:rPr>
          <w:spacing w:val="-2"/>
          <w:sz w:val="22"/>
        </w:rPr>
        <w:t>study</w:t>
      </w:r>
    </w:p>
    <w:p>
      <w:pPr>
        <w:pStyle w:val="ListParagraph"/>
        <w:numPr>
          <w:ilvl w:val="0"/>
          <w:numId w:val="24"/>
        </w:numPr>
        <w:tabs>
          <w:tab w:pos="1691" w:val="left" w:leader="none"/>
        </w:tabs>
        <w:spacing w:line="240" w:lineRule="auto" w:before="113" w:after="0"/>
        <w:ind w:left="1691" w:right="0" w:hanging="359"/>
        <w:jc w:val="left"/>
        <w:rPr>
          <w:sz w:val="22"/>
        </w:rPr>
      </w:pPr>
      <w:r>
        <w:rPr>
          <w:sz w:val="22"/>
        </w:rPr>
        <w:t>The</w:t>
      </w:r>
      <w:r>
        <w:rPr>
          <w:spacing w:val="-4"/>
          <w:sz w:val="22"/>
        </w:rPr>
        <w:t> </w:t>
      </w:r>
      <w:r>
        <w:rPr>
          <w:sz w:val="22"/>
        </w:rPr>
        <w:t>cache</w:t>
      </w:r>
      <w:r>
        <w:rPr>
          <w:spacing w:val="-6"/>
          <w:sz w:val="22"/>
        </w:rPr>
        <w:t> </w:t>
      </w:r>
      <w:r>
        <w:rPr>
          <w:sz w:val="22"/>
        </w:rPr>
        <w:t>location</w:t>
      </w:r>
      <w:r>
        <w:rPr>
          <w:spacing w:val="-5"/>
          <w:sz w:val="22"/>
        </w:rPr>
        <w:t> </w:t>
      </w:r>
      <w:r>
        <w:rPr>
          <w:sz w:val="22"/>
        </w:rPr>
        <w:t>is</w:t>
      </w:r>
      <w:r>
        <w:rPr>
          <w:spacing w:val="-5"/>
          <w:sz w:val="22"/>
        </w:rPr>
        <w:t> </w:t>
      </w:r>
      <w:r>
        <w:rPr>
          <w:sz w:val="22"/>
        </w:rPr>
        <w:t>hidden</w:t>
      </w:r>
      <w:r>
        <w:rPr>
          <w:spacing w:val="-5"/>
          <w:sz w:val="22"/>
        </w:rPr>
        <w:t> </w:t>
      </w:r>
      <w:r>
        <w:rPr>
          <w:sz w:val="22"/>
        </w:rPr>
        <w:t>from</w:t>
      </w:r>
      <w:r>
        <w:rPr>
          <w:spacing w:val="-4"/>
          <w:sz w:val="22"/>
        </w:rPr>
        <w:t> </w:t>
      </w:r>
      <w:r>
        <w:rPr>
          <w:sz w:val="22"/>
        </w:rPr>
        <w:t>public</w:t>
      </w:r>
      <w:r>
        <w:rPr>
          <w:spacing w:val="-6"/>
          <w:sz w:val="22"/>
        </w:rPr>
        <w:t> </w:t>
      </w:r>
      <w:r>
        <w:rPr>
          <w:sz w:val="22"/>
        </w:rPr>
        <w:t>view</w:t>
      </w:r>
      <w:r>
        <w:rPr>
          <w:spacing w:val="-5"/>
          <w:sz w:val="22"/>
        </w:rPr>
        <w:t> </w:t>
      </w:r>
      <w:r>
        <w:rPr>
          <w:sz w:val="22"/>
        </w:rPr>
        <w:t>and</w:t>
      </w:r>
      <w:r>
        <w:rPr>
          <w:spacing w:val="-5"/>
          <w:sz w:val="22"/>
        </w:rPr>
        <w:t> </w:t>
      </w:r>
      <w:r>
        <w:rPr>
          <w:sz w:val="22"/>
        </w:rPr>
        <w:t>is</w:t>
      </w:r>
      <w:r>
        <w:rPr>
          <w:spacing w:val="-4"/>
          <w:sz w:val="22"/>
        </w:rPr>
        <w:t> </w:t>
      </w:r>
      <w:r>
        <w:rPr>
          <w:sz w:val="22"/>
        </w:rPr>
        <w:t>non-</w:t>
      </w:r>
      <w:r>
        <w:rPr>
          <w:spacing w:val="-2"/>
          <w:sz w:val="22"/>
        </w:rPr>
        <w:t>damaging</w:t>
      </w:r>
    </w:p>
    <w:p>
      <w:pPr>
        <w:pStyle w:val="ListParagraph"/>
        <w:numPr>
          <w:ilvl w:val="0"/>
          <w:numId w:val="24"/>
        </w:numPr>
        <w:tabs>
          <w:tab w:pos="1691" w:val="left" w:leader="none"/>
        </w:tabs>
        <w:spacing w:line="240" w:lineRule="auto" w:before="111" w:after="0"/>
        <w:ind w:left="1691" w:right="0" w:hanging="359"/>
        <w:jc w:val="left"/>
        <w:rPr>
          <w:sz w:val="22"/>
        </w:rPr>
      </w:pPr>
      <w:r>
        <w:rPr>
          <w:sz w:val="22"/>
        </w:rPr>
        <w:t>The</w:t>
      </w:r>
      <w:r>
        <w:rPr>
          <w:spacing w:val="-6"/>
          <w:sz w:val="22"/>
        </w:rPr>
        <w:t> </w:t>
      </w:r>
      <w:r>
        <w:rPr>
          <w:sz w:val="22"/>
        </w:rPr>
        <w:t>cache</w:t>
      </w:r>
      <w:r>
        <w:rPr>
          <w:spacing w:val="-7"/>
          <w:sz w:val="22"/>
        </w:rPr>
        <w:t> </w:t>
      </w:r>
      <w:r>
        <w:rPr>
          <w:sz w:val="22"/>
        </w:rPr>
        <w:t>has</w:t>
      </w:r>
      <w:r>
        <w:rPr>
          <w:spacing w:val="-5"/>
          <w:sz w:val="22"/>
        </w:rPr>
        <w:t> </w:t>
      </w:r>
      <w:r>
        <w:rPr>
          <w:sz w:val="22"/>
        </w:rPr>
        <w:t>an</w:t>
      </w:r>
      <w:r>
        <w:rPr>
          <w:spacing w:val="-6"/>
          <w:sz w:val="22"/>
        </w:rPr>
        <w:t> </w:t>
      </w:r>
      <w:r>
        <w:rPr>
          <w:sz w:val="22"/>
        </w:rPr>
        <w:t>identified</w:t>
      </w:r>
      <w:r>
        <w:rPr>
          <w:spacing w:val="-7"/>
          <w:sz w:val="22"/>
        </w:rPr>
        <w:t> </w:t>
      </w:r>
      <w:r>
        <w:rPr>
          <w:sz w:val="22"/>
        </w:rPr>
        <w:t>date</w:t>
      </w:r>
      <w:r>
        <w:rPr>
          <w:spacing w:val="-4"/>
          <w:sz w:val="22"/>
        </w:rPr>
        <w:t> </w:t>
      </w:r>
      <w:r>
        <w:rPr>
          <w:sz w:val="22"/>
        </w:rPr>
        <w:t>for</w:t>
      </w:r>
      <w:r>
        <w:rPr>
          <w:spacing w:val="-5"/>
          <w:sz w:val="22"/>
        </w:rPr>
        <w:t> </w:t>
      </w:r>
      <w:r>
        <w:rPr>
          <w:sz w:val="22"/>
        </w:rPr>
        <w:t>removal</w:t>
      </w:r>
      <w:r>
        <w:rPr>
          <w:spacing w:val="-8"/>
          <w:sz w:val="22"/>
        </w:rPr>
        <w:t> </w:t>
      </w:r>
      <w:r>
        <w:rPr>
          <w:sz w:val="22"/>
        </w:rPr>
        <w:t>at</w:t>
      </w:r>
      <w:r>
        <w:rPr>
          <w:spacing w:val="-3"/>
          <w:sz w:val="22"/>
        </w:rPr>
        <w:t> </w:t>
      </w:r>
      <w:r>
        <w:rPr>
          <w:sz w:val="22"/>
        </w:rPr>
        <w:t>the</w:t>
      </w:r>
      <w:r>
        <w:rPr>
          <w:spacing w:val="-4"/>
          <w:sz w:val="22"/>
        </w:rPr>
        <w:t> </w:t>
      </w:r>
      <w:r>
        <w:rPr>
          <w:sz w:val="22"/>
        </w:rPr>
        <w:t>completion</w:t>
      </w:r>
      <w:r>
        <w:rPr>
          <w:spacing w:val="-8"/>
          <w:sz w:val="22"/>
        </w:rPr>
        <w:t> </w:t>
      </w:r>
      <w:r>
        <w:rPr>
          <w:sz w:val="22"/>
        </w:rPr>
        <w:t>of</w:t>
      </w:r>
      <w:r>
        <w:rPr>
          <w:spacing w:val="-7"/>
          <w:sz w:val="22"/>
        </w:rPr>
        <w:t> </w:t>
      </w:r>
      <w:r>
        <w:rPr>
          <w:sz w:val="22"/>
        </w:rPr>
        <w:t>the</w:t>
      </w:r>
      <w:r>
        <w:rPr>
          <w:spacing w:val="-3"/>
          <w:sz w:val="22"/>
        </w:rPr>
        <w:t> </w:t>
      </w:r>
      <w:r>
        <w:rPr>
          <w:spacing w:val="-2"/>
          <w:sz w:val="22"/>
        </w:rPr>
        <w:t>project</w:t>
      </w:r>
    </w:p>
    <w:p>
      <w:pPr>
        <w:spacing w:before="231"/>
        <w:ind w:left="1151" w:right="0" w:firstLine="0"/>
        <w:jc w:val="left"/>
        <w:rPr>
          <w:rFonts w:ascii="Arial"/>
          <w:i/>
          <w:sz w:val="22"/>
        </w:rPr>
      </w:pPr>
      <w:bookmarkStart w:name="MA-GDL-WCD-06. Fish and Wildlife" w:id="872"/>
      <w:bookmarkEnd w:id="872"/>
      <w:r>
        <w:rPr/>
      </w:r>
      <w:r>
        <w:rPr>
          <w:rFonts w:ascii="Arial"/>
          <w:i/>
          <w:sz w:val="22"/>
        </w:rPr>
        <w:t>MA-GDL-WCD-06.</w:t>
      </w:r>
      <w:r>
        <w:rPr>
          <w:rFonts w:ascii="Arial"/>
          <w:i/>
          <w:spacing w:val="-7"/>
          <w:sz w:val="22"/>
        </w:rPr>
        <w:t> </w:t>
      </w:r>
      <w:r>
        <w:rPr>
          <w:rFonts w:ascii="Arial"/>
          <w:i/>
          <w:sz w:val="22"/>
        </w:rPr>
        <w:t>Fish</w:t>
      </w:r>
      <w:r>
        <w:rPr>
          <w:rFonts w:ascii="Arial"/>
          <w:i/>
          <w:spacing w:val="-8"/>
          <w:sz w:val="22"/>
        </w:rPr>
        <w:t> </w:t>
      </w:r>
      <w:r>
        <w:rPr>
          <w:rFonts w:ascii="Arial"/>
          <w:i/>
          <w:sz w:val="22"/>
        </w:rPr>
        <w:t>and</w:t>
      </w:r>
      <w:r>
        <w:rPr>
          <w:rFonts w:ascii="Arial"/>
          <w:i/>
          <w:spacing w:val="-7"/>
          <w:sz w:val="22"/>
        </w:rPr>
        <w:t> </w:t>
      </w:r>
      <w:r>
        <w:rPr>
          <w:rFonts w:ascii="Arial"/>
          <w:i/>
          <w:spacing w:val="-2"/>
          <w:sz w:val="22"/>
        </w:rPr>
        <w:t>Wildlife</w:t>
      </w:r>
    </w:p>
    <w:p>
      <w:pPr>
        <w:pStyle w:val="BodyText"/>
        <w:spacing w:line="232" w:lineRule="auto" w:before="67"/>
        <w:ind w:left="1151" w:right="361"/>
      </w:pPr>
      <w:r>
        <w:rPr/>
        <w:t>Wilderness is generally not suitable for the introduction of non-indigenous wildlife species. Fishless</w:t>
      </w:r>
      <w:r>
        <w:rPr>
          <w:spacing w:val="-1"/>
        </w:rPr>
        <w:t> </w:t>
      </w:r>
      <w:r>
        <w:rPr/>
        <w:t>waters</w:t>
      </w:r>
      <w:r>
        <w:rPr>
          <w:spacing w:val="-1"/>
        </w:rPr>
        <w:t> </w:t>
      </w:r>
      <w:r>
        <w:rPr/>
        <w:t>should</w:t>
      </w:r>
      <w:r>
        <w:rPr>
          <w:spacing w:val="-2"/>
        </w:rPr>
        <w:t> </w:t>
      </w:r>
      <w:r>
        <w:rPr/>
        <w:t>not</w:t>
      </w:r>
      <w:r>
        <w:rPr>
          <w:spacing w:val="-3"/>
        </w:rPr>
        <w:t> </w:t>
      </w:r>
      <w:r>
        <w:rPr/>
        <w:t>be stocked.</w:t>
      </w:r>
      <w:r>
        <w:rPr>
          <w:spacing w:val="-1"/>
        </w:rPr>
        <w:t> </w:t>
      </w:r>
      <w:r>
        <w:rPr/>
        <w:t>Fish</w:t>
      </w:r>
      <w:r>
        <w:rPr>
          <w:spacing w:val="-4"/>
        </w:rPr>
        <w:t> </w:t>
      </w:r>
      <w:r>
        <w:rPr/>
        <w:t>stocking</w:t>
      </w:r>
      <w:r>
        <w:rPr>
          <w:spacing w:val="-2"/>
        </w:rPr>
        <w:t> </w:t>
      </w:r>
      <w:r>
        <w:rPr/>
        <w:t>can</w:t>
      </w:r>
      <w:r>
        <w:rPr>
          <w:spacing w:val="-2"/>
        </w:rPr>
        <w:t> </w:t>
      </w:r>
      <w:r>
        <w:rPr/>
        <w:t>continue</w:t>
      </w:r>
      <w:r>
        <w:rPr>
          <w:spacing w:val="-3"/>
        </w:rPr>
        <w:t> </w:t>
      </w:r>
      <w:r>
        <w:rPr/>
        <w:t>where</w:t>
      </w:r>
      <w:r>
        <w:rPr>
          <w:spacing w:val="-3"/>
        </w:rPr>
        <w:t> </w:t>
      </w:r>
      <w:r>
        <w:rPr/>
        <w:t>it</w:t>
      </w:r>
      <w:r>
        <w:rPr>
          <w:spacing w:val="-3"/>
        </w:rPr>
        <w:t> </w:t>
      </w:r>
      <w:r>
        <w:rPr/>
        <w:t>was</w:t>
      </w:r>
      <w:r>
        <w:rPr>
          <w:spacing w:val="-1"/>
        </w:rPr>
        <w:t> </w:t>
      </w:r>
      <w:r>
        <w:rPr/>
        <w:t>an</w:t>
      </w:r>
      <w:r>
        <w:rPr>
          <w:spacing w:val="-4"/>
        </w:rPr>
        <w:t> </w:t>
      </w:r>
      <w:r>
        <w:rPr/>
        <w:t>established practice prior to wilderness designation. Stocking should be coordinated with the state to protect</w:t>
      </w:r>
      <w:r>
        <w:rPr>
          <w:spacing w:val="-8"/>
        </w:rPr>
        <w:t> </w:t>
      </w:r>
      <w:r>
        <w:rPr/>
        <w:t>wilderness</w:t>
      </w:r>
      <w:r>
        <w:rPr>
          <w:spacing w:val="-6"/>
        </w:rPr>
        <w:t> </w:t>
      </w:r>
      <w:r>
        <w:rPr/>
        <w:t>character</w:t>
      </w:r>
      <w:r>
        <w:rPr>
          <w:spacing w:val="-6"/>
        </w:rPr>
        <w:t> </w:t>
      </w:r>
      <w:r>
        <w:rPr/>
        <w:t>including</w:t>
      </w:r>
      <w:r>
        <w:rPr>
          <w:spacing w:val="-7"/>
        </w:rPr>
        <w:t> </w:t>
      </w:r>
      <w:r>
        <w:rPr/>
        <w:t>preservation</w:t>
      </w:r>
      <w:r>
        <w:rPr>
          <w:spacing w:val="-9"/>
        </w:rPr>
        <w:t> </w:t>
      </w:r>
      <w:r>
        <w:rPr/>
        <w:t>of</w:t>
      </w:r>
      <w:r>
        <w:rPr>
          <w:spacing w:val="-6"/>
        </w:rPr>
        <w:t> </w:t>
      </w:r>
      <w:r>
        <w:rPr/>
        <w:t>downstream</w:t>
      </w:r>
      <w:r>
        <w:rPr>
          <w:spacing w:val="-7"/>
        </w:rPr>
        <w:t> </w:t>
      </w:r>
      <w:r>
        <w:rPr/>
        <w:t>native</w:t>
      </w:r>
      <w:r>
        <w:rPr>
          <w:spacing w:val="-5"/>
        </w:rPr>
        <w:t> </w:t>
      </w:r>
      <w:r>
        <w:rPr/>
        <w:t>fish</w:t>
      </w:r>
      <w:r>
        <w:rPr>
          <w:spacing w:val="-7"/>
        </w:rPr>
        <w:t> </w:t>
      </w:r>
      <w:r>
        <w:rPr/>
        <w:t>and</w:t>
      </w:r>
      <w:r>
        <w:rPr>
          <w:spacing w:val="-7"/>
        </w:rPr>
        <w:t> </w:t>
      </w:r>
      <w:r>
        <w:rPr/>
        <w:t>amphibian populations. Stocked fish that adversely affect native fish and wildlife populations may be removed from lakes, rivers and streams.</w:t>
      </w:r>
    </w:p>
    <w:p>
      <w:pPr>
        <w:spacing w:before="232"/>
        <w:ind w:left="1151" w:right="0" w:firstLine="0"/>
        <w:jc w:val="left"/>
        <w:rPr>
          <w:rFonts w:ascii="Arial"/>
          <w:i/>
          <w:sz w:val="22"/>
        </w:rPr>
      </w:pPr>
      <w:bookmarkStart w:name="MA-GDL-WCD-07. Wildland Fire" w:id="873"/>
      <w:bookmarkEnd w:id="873"/>
      <w:r>
        <w:rPr/>
      </w:r>
      <w:r>
        <w:rPr>
          <w:rFonts w:ascii="Arial"/>
          <w:i/>
          <w:sz w:val="22"/>
        </w:rPr>
        <w:t>MA-GDL-WCD-07.</w:t>
      </w:r>
      <w:r>
        <w:rPr>
          <w:rFonts w:ascii="Arial"/>
          <w:i/>
          <w:spacing w:val="-13"/>
          <w:sz w:val="22"/>
        </w:rPr>
        <w:t> </w:t>
      </w:r>
      <w:r>
        <w:rPr>
          <w:rFonts w:ascii="Arial"/>
          <w:i/>
          <w:sz w:val="22"/>
        </w:rPr>
        <w:t>Wildland</w:t>
      </w:r>
      <w:r>
        <w:rPr>
          <w:rFonts w:ascii="Arial"/>
          <w:i/>
          <w:spacing w:val="-9"/>
          <w:sz w:val="22"/>
        </w:rPr>
        <w:t> </w:t>
      </w:r>
      <w:r>
        <w:rPr>
          <w:rFonts w:ascii="Arial"/>
          <w:i/>
          <w:spacing w:val="-4"/>
          <w:sz w:val="22"/>
        </w:rPr>
        <w:t>Fire</w:t>
      </w:r>
    </w:p>
    <w:p>
      <w:pPr>
        <w:pStyle w:val="BodyText"/>
        <w:spacing w:line="232" w:lineRule="auto" w:before="64"/>
        <w:ind w:left="1151"/>
      </w:pPr>
      <w:r>
        <w:rPr/>
        <w:t>Fire</w:t>
      </w:r>
      <w:r>
        <w:rPr>
          <w:spacing w:val="-4"/>
        </w:rPr>
        <w:t> </w:t>
      </w:r>
      <w:r>
        <w:rPr/>
        <w:t>camps,</w:t>
      </w:r>
      <w:r>
        <w:rPr>
          <w:spacing w:val="-5"/>
        </w:rPr>
        <w:t> </w:t>
      </w:r>
      <w:r>
        <w:rPr/>
        <w:t>helispots,</w:t>
      </w:r>
      <w:r>
        <w:rPr>
          <w:spacing w:val="-5"/>
        </w:rPr>
        <w:t> </w:t>
      </w:r>
      <w:r>
        <w:rPr/>
        <w:t>and</w:t>
      </w:r>
      <w:r>
        <w:rPr>
          <w:spacing w:val="-7"/>
        </w:rPr>
        <w:t> </w:t>
      </w:r>
      <w:r>
        <w:rPr/>
        <w:t>other</w:t>
      </w:r>
      <w:r>
        <w:rPr>
          <w:spacing w:val="-7"/>
        </w:rPr>
        <w:t> </w:t>
      </w:r>
      <w:r>
        <w:rPr/>
        <w:t>temporary</w:t>
      </w:r>
      <w:r>
        <w:rPr>
          <w:spacing w:val="-4"/>
        </w:rPr>
        <w:t> </w:t>
      </w:r>
      <w:r>
        <w:rPr/>
        <w:t>facilities</w:t>
      </w:r>
      <w:r>
        <w:rPr>
          <w:spacing w:val="-5"/>
        </w:rPr>
        <w:t> </w:t>
      </w:r>
      <w:r>
        <w:rPr/>
        <w:t>should</w:t>
      </w:r>
      <w:r>
        <w:rPr>
          <w:spacing w:val="-6"/>
        </w:rPr>
        <w:t> </w:t>
      </w:r>
      <w:r>
        <w:rPr/>
        <w:t>be</w:t>
      </w:r>
      <w:r>
        <w:rPr>
          <w:spacing w:val="-4"/>
        </w:rPr>
        <w:t> </w:t>
      </w:r>
      <w:r>
        <w:rPr/>
        <w:t>located</w:t>
      </w:r>
      <w:r>
        <w:rPr>
          <w:spacing w:val="-7"/>
        </w:rPr>
        <w:t> </w:t>
      </w:r>
      <w:r>
        <w:rPr/>
        <w:t>outside</w:t>
      </w:r>
      <w:r>
        <w:rPr>
          <w:spacing w:val="-7"/>
        </w:rPr>
        <w:t> </w:t>
      </w:r>
      <w:r>
        <w:rPr/>
        <w:t>the</w:t>
      </w:r>
      <w:r>
        <w:rPr>
          <w:spacing w:val="-4"/>
        </w:rPr>
        <w:t> </w:t>
      </w:r>
      <w:r>
        <w:rPr/>
        <w:t>wilderness boundary to protect wilderness character.</w:t>
      </w:r>
    </w:p>
    <w:p>
      <w:pPr>
        <w:pStyle w:val="BodyText"/>
        <w:spacing w:line="232" w:lineRule="auto" w:before="199"/>
        <w:ind w:left="1151"/>
      </w:pPr>
      <w:r>
        <w:rPr/>
        <w:t>Firelines</w:t>
      </w:r>
      <w:r>
        <w:rPr>
          <w:spacing w:val="-4"/>
        </w:rPr>
        <w:t> </w:t>
      </w:r>
      <w:r>
        <w:rPr/>
        <w:t>and</w:t>
      </w:r>
      <w:r>
        <w:rPr>
          <w:spacing w:val="-5"/>
        </w:rPr>
        <w:t> </w:t>
      </w:r>
      <w:r>
        <w:rPr/>
        <w:t>spike</w:t>
      </w:r>
      <w:r>
        <w:rPr>
          <w:spacing w:val="-3"/>
        </w:rPr>
        <w:t> </w:t>
      </w:r>
      <w:r>
        <w:rPr/>
        <w:t>camps</w:t>
      </w:r>
      <w:r>
        <w:rPr>
          <w:spacing w:val="-6"/>
        </w:rPr>
        <w:t> </w:t>
      </w:r>
      <w:r>
        <w:rPr/>
        <w:t>(i.e.,</w:t>
      </w:r>
      <w:r>
        <w:rPr>
          <w:spacing w:val="-4"/>
        </w:rPr>
        <w:t> </w:t>
      </w:r>
      <w:r>
        <w:rPr/>
        <w:t>a</w:t>
      </w:r>
      <w:r>
        <w:rPr>
          <w:spacing w:val="-4"/>
        </w:rPr>
        <w:t> </w:t>
      </w:r>
      <w:r>
        <w:rPr/>
        <w:t>remote</w:t>
      </w:r>
      <w:r>
        <w:rPr>
          <w:spacing w:val="-3"/>
        </w:rPr>
        <w:t> </w:t>
      </w:r>
      <w:r>
        <w:rPr/>
        <w:t>camp</w:t>
      </w:r>
      <w:r>
        <w:rPr>
          <w:spacing w:val="-5"/>
        </w:rPr>
        <w:t> </w:t>
      </w:r>
      <w:r>
        <w:rPr/>
        <w:t>usually</w:t>
      </w:r>
      <w:r>
        <w:rPr>
          <w:spacing w:val="-5"/>
        </w:rPr>
        <w:t> </w:t>
      </w:r>
      <w:r>
        <w:rPr/>
        <w:t>near</w:t>
      </w:r>
      <w:r>
        <w:rPr>
          <w:spacing w:val="-4"/>
        </w:rPr>
        <w:t> </w:t>
      </w:r>
      <w:r>
        <w:rPr/>
        <w:t>a</w:t>
      </w:r>
      <w:r>
        <w:rPr>
          <w:spacing w:val="-4"/>
        </w:rPr>
        <w:t> </w:t>
      </w:r>
      <w:r>
        <w:rPr/>
        <w:t>fireline)</w:t>
      </w:r>
      <w:r>
        <w:rPr>
          <w:spacing w:val="-4"/>
        </w:rPr>
        <w:t> </w:t>
      </w:r>
      <w:r>
        <w:rPr/>
        <w:t>should</w:t>
      </w:r>
      <w:r>
        <w:rPr>
          <w:spacing w:val="-5"/>
        </w:rPr>
        <w:t> </w:t>
      </w:r>
      <w:r>
        <w:rPr/>
        <w:t>not</w:t>
      </w:r>
      <w:r>
        <w:rPr>
          <w:spacing w:val="-6"/>
        </w:rPr>
        <w:t> </w:t>
      </w:r>
      <w:r>
        <w:rPr/>
        <w:t>be</w:t>
      </w:r>
      <w:r>
        <w:rPr>
          <w:spacing w:val="-3"/>
        </w:rPr>
        <w:t> </w:t>
      </w:r>
      <w:r>
        <w:rPr/>
        <w:t>constructed adjacent to trails or camp areas to protect wilderness character.</w:t>
      </w:r>
    </w:p>
    <w:p>
      <w:pPr>
        <w:pStyle w:val="BodyText"/>
        <w:spacing w:line="232" w:lineRule="auto" w:before="199"/>
        <w:ind w:left="1151" w:right="361"/>
      </w:pPr>
      <w:r>
        <w:rPr/>
        <w:t>Planned</w:t>
      </w:r>
      <w:r>
        <w:rPr>
          <w:spacing w:val="-8"/>
        </w:rPr>
        <w:t> </w:t>
      </w:r>
      <w:r>
        <w:rPr/>
        <w:t>ignitions</w:t>
      </w:r>
      <w:r>
        <w:rPr>
          <w:spacing w:val="-9"/>
        </w:rPr>
        <w:t> </w:t>
      </w:r>
      <w:r>
        <w:rPr/>
        <w:t>should</w:t>
      </w:r>
      <w:r>
        <w:rPr>
          <w:spacing w:val="-8"/>
        </w:rPr>
        <w:t> </w:t>
      </w:r>
      <w:r>
        <w:rPr/>
        <w:t>be</w:t>
      </w:r>
      <w:r>
        <w:rPr>
          <w:spacing w:val="-6"/>
        </w:rPr>
        <w:t> </w:t>
      </w:r>
      <w:r>
        <w:rPr/>
        <w:t>considered</w:t>
      </w:r>
      <w:r>
        <w:rPr>
          <w:spacing w:val="-8"/>
        </w:rPr>
        <w:t> </w:t>
      </w:r>
      <w:r>
        <w:rPr/>
        <w:t>to</w:t>
      </w:r>
      <w:r>
        <w:rPr>
          <w:spacing w:val="-8"/>
        </w:rPr>
        <w:t> </w:t>
      </w:r>
      <w:r>
        <w:rPr/>
        <w:t>create</w:t>
      </w:r>
      <w:r>
        <w:rPr>
          <w:spacing w:val="-6"/>
        </w:rPr>
        <w:t> </w:t>
      </w:r>
      <w:r>
        <w:rPr/>
        <w:t>favorable</w:t>
      </w:r>
      <w:r>
        <w:rPr>
          <w:spacing w:val="-6"/>
        </w:rPr>
        <w:t> </w:t>
      </w:r>
      <w:r>
        <w:rPr/>
        <w:t>conditions</w:t>
      </w:r>
      <w:r>
        <w:rPr>
          <w:spacing w:val="-7"/>
        </w:rPr>
        <w:t> </w:t>
      </w:r>
      <w:r>
        <w:rPr/>
        <w:t>that</w:t>
      </w:r>
      <w:r>
        <w:rPr>
          <w:spacing w:val="-9"/>
        </w:rPr>
        <w:t> </w:t>
      </w:r>
      <w:r>
        <w:rPr/>
        <w:t>enable</w:t>
      </w:r>
      <w:r>
        <w:rPr>
          <w:spacing w:val="-6"/>
        </w:rPr>
        <w:t> </w:t>
      </w:r>
      <w:r>
        <w:rPr/>
        <w:t>naturally occurring fires to return to their historic role or to achieve wilderness desired conditions.</w:t>
      </w:r>
    </w:p>
    <w:p>
      <w:pPr>
        <w:pStyle w:val="BodyText"/>
        <w:spacing w:line="232" w:lineRule="auto" w:before="199"/>
        <w:ind w:left="1151" w:right="365"/>
      </w:pPr>
      <w:r>
        <w:rPr/>
        <w:t>Wildfires</w:t>
      </w:r>
      <w:r>
        <w:rPr>
          <w:spacing w:val="-5"/>
        </w:rPr>
        <w:t> </w:t>
      </w:r>
      <w:r>
        <w:rPr/>
        <w:t>should</w:t>
      </w:r>
      <w:r>
        <w:rPr>
          <w:spacing w:val="-6"/>
        </w:rPr>
        <w:t> </w:t>
      </w:r>
      <w:r>
        <w:rPr/>
        <w:t>be</w:t>
      </w:r>
      <w:r>
        <w:rPr>
          <w:spacing w:val="-7"/>
        </w:rPr>
        <w:t> </w:t>
      </w:r>
      <w:r>
        <w:rPr/>
        <w:t>managed</w:t>
      </w:r>
      <w:r>
        <w:rPr>
          <w:spacing w:val="-6"/>
        </w:rPr>
        <w:t> </w:t>
      </w:r>
      <w:r>
        <w:rPr/>
        <w:t>for</w:t>
      </w:r>
      <w:r>
        <w:rPr>
          <w:spacing w:val="-7"/>
        </w:rPr>
        <w:t> </w:t>
      </w:r>
      <w:r>
        <w:rPr/>
        <w:t>the</w:t>
      </w:r>
      <w:r>
        <w:rPr>
          <w:spacing w:val="-4"/>
        </w:rPr>
        <w:t> </w:t>
      </w:r>
      <w:r>
        <w:rPr/>
        <w:t>benefit</w:t>
      </w:r>
      <w:r>
        <w:rPr>
          <w:spacing w:val="-7"/>
        </w:rPr>
        <w:t> </w:t>
      </w:r>
      <w:r>
        <w:rPr/>
        <w:t>of</w:t>
      </w:r>
      <w:r>
        <w:rPr>
          <w:spacing w:val="-5"/>
        </w:rPr>
        <w:t> </w:t>
      </w:r>
      <w:r>
        <w:rPr/>
        <w:t>wilderness</w:t>
      </w:r>
      <w:r>
        <w:rPr>
          <w:spacing w:val="-5"/>
        </w:rPr>
        <w:t> </w:t>
      </w:r>
      <w:r>
        <w:rPr/>
        <w:t>resources.</w:t>
      </w:r>
      <w:r>
        <w:rPr>
          <w:spacing w:val="-5"/>
        </w:rPr>
        <w:t> </w:t>
      </w:r>
      <w:r>
        <w:rPr/>
        <w:t>A</w:t>
      </w:r>
      <w:r>
        <w:rPr>
          <w:spacing w:val="-8"/>
        </w:rPr>
        <w:t> </w:t>
      </w:r>
      <w:r>
        <w:rPr/>
        <w:t>full</w:t>
      </w:r>
      <w:r>
        <w:rPr>
          <w:spacing w:val="-5"/>
        </w:rPr>
        <w:t> </w:t>
      </w:r>
      <w:r>
        <w:rPr/>
        <w:t>suppression</w:t>
      </w:r>
      <w:r>
        <w:rPr>
          <w:spacing w:val="-8"/>
        </w:rPr>
        <w:t> </w:t>
      </w:r>
      <w:r>
        <w:rPr/>
        <w:t>strategy may be used where or when a wildfire:</w:t>
      </w:r>
    </w:p>
    <w:p>
      <w:pPr>
        <w:pStyle w:val="ListParagraph"/>
        <w:numPr>
          <w:ilvl w:val="0"/>
          <w:numId w:val="24"/>
        </w:numPr>
        <w:tabs>
          <w:tab w:pos="1692" w:val="left" w:leader="none"/>
        </w:tabs>
        <w:spacing w:line="232" w:lineRule="auto" w:before="199" w:after="0"/>
        <w:ind w:left="1692" w:right="943" w:hanging="360"/>
        <w:jc w:val="left"/>
        <w:rPr>
          <w:sz w:val="22"/>
        </w:rPr>
      </w:pPr>
      <w:r>
        <w:rPr>
          <w:sz w:val="22"/>
        </w:rPr>
        <w:t>has</w:t>
      </w:r>
      <w:r>
        <w:rPr>
          <w:spacing w:val="-5"/>
          <w:sz w:val="22"/>
        </w:rPr>
        <w:t> </w:t>
      </w:r>
      <w:r>
        <w:rPr>
          <w:sz w:val="22"/>
        </w:rPr>
        <w:t>a</w:t>
      </w:r>
      <w:r>
        <w:rPr>
          <w:spacing w:val="-5"/>
          <w:sz w:val="22"/>
        </w:rPr>
        <w:t> </w:t>
      </w:r>
      <w:r>
        <w:rPr>
          <w:sz w:val="22"/>
        </w:rPr>
        <w:t>high</w:t>
      </w:r>
      <w:r>
        <w:rPr>
          <w:spacing w:val="-6"/>
          <w:sz w:val="22"/>
        </w:rPr>
        <w:t> </w:t>
      </w:r>
      <w:r>
        <w:rPr>
          <w:sz w:val="22"/>
        </w:rPr>
        <w:t>potential</w:t>
      </w:r>
      <w:r>
        <w:rPr>
          <w:spacing w:val="-5"/>
          <w:sz w:val="22"/>
        </w:rPr>
        <w:t> </w:t>
      </w:r>
      <w:r>
        <w:rPr>
          <w:sz w:val="22"/>
        </w:rPr>
        <w:t>to</w:t>
      </w:r>
      <w:r>
        <w:rPr>
          <w:spacing w:val="-4"/>
          <w:sz w:val="22"/>
        </w:rPr>
        <w:t> </w:t>
      </w:r>
      <w:r>
        <w:rPr>
          <w:sz w:val="22"/>
        </w:rPr>
        <w:t>spread</w:t>
      </w:r>
      <w:r>
        <w:rPr>
          <w:spacing w:val="-6"/>
          <w:sz w:val="22"/>
        </w:rPr>
        <w:t> </w:t>
      </w:r>
      <w:r>
        <w:rPr>
          <w:sz w:val="22"/>
        </w:rPr>
        <w:t>outside</w:t>
      </w:r>
      <w:r>
        <w:rPr>
          <w:spacing w:val="-7"/>
          <w:sz w:val="22"/>
        </w:rPr>
        <w:t> </w:t>
      </w:r>
      <w:r>
        <w:rPr>
          <w:sz w:val="22"/>
        </w:rPr>
        <w:t>national</w:t>
      </w:r>
      <w:r>
        <w:rPr>
          <w:spacing w:val="-5"/>
          <w:sz w:val="22"/>
        </w:rPr>
        <w:t> </w:t>
      </w:r>
      <w:r>
        <w:rPr>
          <w:sz w:val="22"/>
        </w:rPr>
        <w:t>forest</w:t>
      </w:r>
      <w:r>
        <w:rPr>
          <w:spacing w:val="-4"/>
          <w:sz w:val="22"/>
        </w:rPr>
        <w:t> </w:t>
      </w:r>
      <w:r>
        <w:rPr>
          <w:sz w:val="22"/>
        </w:rPr>
        <w:t>boundaries,</w:t>
      </w:r>
      <w:r>
        <w:rPr>
          <w:spacing w:val="-7"/>
          <w:sz w:val="22"/>
        </w:rPr>
        <w:t> </w:t>
      </w:r>
      <w:r>
        <w:rPr>
          <w:sz w:val="22"/>
        </w:rPr>
        <w:t>or</w:t>
      </w:r>
      <w:r>
        <w:rPr>
          <w:spacing w:val="-5"/>
          <w:sz w:val="22"/>
        </w:rPr>
        <w:t> </w:t>
      </w:r>
      <w:r>
        <w:rPr>
          <w:sz w:val="22"/>
        </w:rPr>
        <w:t>into</w:t>
      </w:r>
      <w:r>
        <w:rPr>
          <w:spacing w:val="-4"/>
          <w:sz w:val="22"/>
        </w:rPr>
        <w:t> </w:t>
      </w:r>
      <w:r>
        <w:rPr>
          <w:sz w:val="22"/>
        </w:rPr>
        <w:t>areas</w:t>
      </w:r>
      <w:r>
        <w:rPr>
          <w:spacing w:val="-7"/>
          <w:sz w:val="22"/>
        </w:rPr>
        <w:t> </w:t>
      </w:r>
      <w:r>
        <w:rPr>
          <w:sz w:val="22"/>
        </w:rPr>
        <w:t>with extensive recreation or administrative developments.</w:t>
      </w:r>
    </w:p>
    <w:p>
      <w:pPr>
        <w:pStyle w:val="ListParagraph"/>
        <w:numPr>
          <w:ilvl w:val="0"/>
          <w:numId w:val="24"/>
        </w:numPr>
        <w:tabs>
          <w:tab w:pos="1691" w:val="left" w:leader="none"/>
        </w:tabs>
        <w:spacing w:line="240" w:lineRule="auto" w:before="114" w:after="0"/>
        <w:ind w:left="1691" w:right="0" w:hanging="359"/>
        <w:jc w:val="left"/>
        <w:rPr>
          <w:sz w:val="22"/>
        </w:rPr>
      </w:pPr>
      <w:r>
        <w:rPr>
          <w:sz w:val="22"/>
        </w:rPr>
        <w:t>is</w:t>
      </w:r>
      <w:r>
        <w:rPr>
          <w:spacing w:val="-4"/>
          <w:sz w:val="22"/>
        </w:rPr>
        <w:t> </w:t>
      </w:r>
      <w:r>
        <w:rPr>
          <w:sz w:val="22"/>
        </w:rPr>
        <w:t>not</w:t>
      </w:r>
      <w:r>
        <w:rPr>
          <w:spacing w:val="-6"/>
          <w:sz w:val="22"/>
        </w:rPr>
        <w:t> </w:t>
      </w:r>
      <w:r>
        <w:rPr>
          <w:sz w:val="22"/>
        </w:rPr>
        <w:t>meeting</w:t>
      </w:r>
      <w:r>
        <w:rPr>
          <w:spacing w:val="-5"/>
          <w:sz w:val="22"/>
        </w:rPr>
        <w:t> </w:t>
      </w:r>
      <w:r>
        <w:rPr>
          <w:sz w:val="22"/>
        </w:rPr>
        <w:t>wilderness</w:t>
      </w:r>
      <w:r>
        <w:rPr>
          <w:spacing w:val="-5"/>
          <w:sz w:val="22"/>
        </w:rPr>
        <w:t> </w:t>
      </w:r>
      <w:r>
        <w:rPr>
          <w:spacing w:val="-2"/>
          <w:sz w:val="22"/>
        </w:rPr>
        <w:t>objectives.</w:t>
      </w:r>
    </w:p>
    <w:p>
      <w:pPr>
        <w:pStyle w:val="ListParagraph"/>
        <w:numPr>
          <w:ilvl w:val="0"/>
          <w:numId w:val="24"/>
        </w:numPr>
        <w:tabs>
          <w:tab w:pos="1691" w:val="left" w:leader="none"/>
        </w:tabs>
        <w:spacing w:line="240" w:lineRule="auto" w:before="110" w:after="0"/>
        <w:ind w:left="1691" w:right="0" w:hanging="359"/>
        <w:jc w:val="left"/>
        <w:rPr>
          <w:sz w:val="22"/>
        </w:rPr>
      </w:pPr>
      <w:r>
        <w:rPr>
          <w:sz w:val="22"/>
        </w:rPr>
        <w:t>would</w:t>
      </w:r>
      <w:r>
        <w:rPr>
          <w:spacing w:val="-11"/>
          <w:sz w:val="22"/>
        </w:rPr>
        <w:t> </w:t>
      </w:r>
      <w:r>
        <w:rPr>
          <w:sz w:val="22"/>
        </w:rPr>
        <w:t>adversely</w:t>
      </w:r>
      <w:r>
        <w:rPr>
          <w:spacing w:val="-11"/>
          <w:sz w:val="22"/>
        </w:rPr>
        <w:t> </w:t>
      </w:r>
      <w:r>
        <w:rPr>
          <w:sz w:val="22"/>
        </w:rPr>
        <w:t>affect</w:t>
      </w:r>
      <w:r>
        <w:rPr>
          <w:spacing w:val="-11"/>
          <w:sz w:val="22"/>
        </w:rPr>
        <w:t> </w:t>
      </w:r>
      <w:r>
        <w:rPr>
          <w:sz w:val="22"/>
        </w:rPr>
        <w:t>an</w:t>
      </w:r>
      <w:r>
        <w:rPr>
          <w:spacing w:val="-11"/>
          <w:sz w:val="22"/>
        </w:rPr>
        <w:t> </w:t>
      </w:r>
      <w:r>
        <w:rPr>
          <w:sz w:val="22"/>
        </w:rPr>
        <w:t>ESA-listed</w:t>
      </w:r>
      <w:r>
        <w:rPr>
          <w:spacing w:val="-10"/>
          <w:sz w:val="22"/>
        </w:rPr>
        <w:t> </w:t>
      </w:r>
      <w:r>
        <w:rPr>
          <w:spacing w:val="-2"/>
          <w:sz w:val="22"/>
        </w:rPr>
        <w:t>species.</w:t>
      </w:r>
    </w:p>
    <w:p>
      <w:pPr>
        <w:spacing w:before="234"/>
        <w:ind w:left="1152" w:right="0" w:firstLine="0"/>
        <w:jc w:val="left"/>
        <w:rPr>
          <w:rFonts w:ascii="Arial"/>
          <w:i/>
          <w:sz w:val="22"/>
        </w:rPr>
      </w:pPr>
      <w:bookmarkStart w:name="MA-GDL-WCD-08. Use of Live Trees" w:id="874"/>
      <w:bookmarkEnd w:id="874"/>
      <w:r>
        <w:rPr/>
      </w:r>
      <w:r>
        <w:rPr>
          <w:rFonts w:ascii="Arial"/>
          <w:i/>
          <w:sz w:val="22"/>
        </w:rPr>
        <w:t>MA-GDL-WCD-08.</w:t>
      </w:r>
      <w:r>
        <w:rPr>
          <w:rFonts w:ascii="Arial"/>
          <w:i/>
          <w:spacing w:val="-5"/>
          <w:sz w:val="22"/>
        </w:rPr>
        <w:t> </w:t>
      </w:r>
      <w:r>
        <w:rPr>
          <w:rFonts w:ascii="Arial"/>
          <w:i/>
          <w:sz w:val="22"/>
        </w:rPr>
        <w:t>Use</w:t>
      </w:r>
      <w:r>
        <w:rPr>
          <w:rFonts w:ascii="Arial"/>
          <w:i/>
          <w:spacing w:val="-6"/>
          <w:sz w:val="22"/>
        </w:rPr>
        <w:t> </w:t>
      </w:r>
      <w:r>
        <w:rPr>
          <w:rFonts w:ascii="Arial"/>
          <w:i/>
          <w:sz w:val="22"/>
        </w:rPr>
        <w:t>of</w:t>
      </w:r>
      <w:r>
        <w:rPr>
          <w:rFonts w:ascii="Arial"/>
          <w:i/>
          <w:spacing w:val="-3"/>
          <w:sz w:val="22"/>
        </w:rPr>
        <w:t> </w:t>
      </w:r>
      <w:r>
        <w:rPr>
          <w:rFonts w:ascii="Arial"/>
          <w:i/>
          <w:sz w:val="22"/>
        </w:rPr>
        <w:t>Live</w:t>
      </w:r>
      <w:r>
        <w:rPr>
          <w:rFonts w:ascii="Arial"/>
          <w:i/>
          <w:spacing w:val="-4"/>
          <w:sz w:val="22"/>
        </w:rPr>
        <w:t> </w:t>
      </w:r>
      <w:r>
        <w:rPr>
          <w:rFonts w:ascii="Arial"/>
          <w:i/>
          <w:spacing w:val="-2"/>
          <w:sz w:val="22"/>
        </w:rPr>
        <w:t>Trees</w:t>
      </w:r>
    </w:p>
    <w:p>
      <w:pPr>
        <w:pStyle w:val="BodyText"/>
        <w:spacing w:line="232" w:lineRule="auto" w:before="65"/>
        <w:ind w:left="1151"/>
      </w:pPr>
      <w:r>
        <w:rPr/>
        <w:t>Live</w:t>
      </w:r>
      <w:r>
        <w:rPr>
          <w:spacing w:val="-7"/>
        </w:rPr>
        <w:t> </w:t>
      </w:r>
      <w:r>
        <w:rPr/>
        <w:t>trees</w:t>
      </w:r>
      <w:r>
        <w:rPr>
          <w:spacing w:val="-7"/>
        </w:rPr>
        <w:t> </w:t>
      </w:r>
      <w:r>
        <w:rPr/>
        <w:t>that</w:t>
      </w:r>
      <w:r>
        <w:rPr>
          <w:spacing w:val="-4"/>
        </w:rPr>
        <w:t> </w:t>
      </w:r>
      <w:r>
        <w:rPr/>
        <w:t>are</w:t>
      </w:r>
      <w:r>
        <w:rPr>
          <w:spacing w:val="-4"/>
        </w:rPr>
        <w:t> </w:t>
      </w:r>
      <w:r>
        <w:rPr/>
        <w:t>not</w:t>
      </w:r>
      <w:r>
        <w:rPr>
          <w:spacing w:val="-4"/>
        </w:rPr>
        <w:t> </w:t>
      </w:r>
      <w:r>
        <w:rPr/>
        <w:t>listed</w:t>
      </w:r>
      <w:r>
        <w:rPr>
          <w:spacing w:val="-6"/>
        </w:rPr>
        <w:t> </w:t>
      </w:r>
      <w:r>
        <w:rPr/>
        <w:t>as</w:t>
      </w:r>
      <w:r>
        <w:rPr>
          <w:spacing w:val="-5"/>
        </w:rPr>
        <w:t> </w:t>
      </w:r>
      <w:r>
        <w:rPr/>
        <w:t>a</w:t>
      </w:r>
      <w:r>
        <w:rPr>
          <w:spacing w:val="-5"/>
        </w:rPr>
        <w:t> </w:t>
      </w:r>
      <w:r>
        <w:rPr/>
        <w:t>threatened,</w:t>
      </w:r>
      <w:r>
        <w:rPr>
          <w:spacing w:val="-5"/>
        </w:rPr>
        <w:t> </w:t>
      </w:r>
      <w:r>
        <w:rPr/>
        <w:t>endangered,</w:t>
      </w:r>
      <w:r>
        <w:rPr>
          <w:spacing w:val="-7"/>
        </w:rPr>
        <w:t> </w:t>
      </w:r>
      <w:r>
        <w:rPr/>
        <w:t>or</w:t>
      </w:r>
      <w:r>
        <w:rPr>
          <w:spacing w:val="-5"/>
        </w:rPr>
        <w:t> </w:t>
      </w:r>
      <w:r>
        <w:rPr/>
        <w:t>sensitive</w:t>
      </w:r>
      <w:r>
        <w:rPr>
          <w:spacing w:val="-7"/>
        </w:rPr>
        <w:t> </w:t>
      </w:r>
      <w:r>
        <w:rPr/>
        <w:t>species</w:t>
      </w:r>
      <w:r>
        <w:rPr>
          <w:spacing w:val="-7"/>
        </w:rPr>
        <w:t> </w:t>
      </w:r>
      <w:r>
        <w:rPr/>
        <w:t>may</w:t>
      </w:r>
      <w:r>
        <w:rPr>
          <w:spacing w:val="-4"/>
        </w:rPr>
        <w:t> </w:t>
      </w:r>
      <w:r>
        <w:rPr/>
        <w:t>be</w:t>
      </w:r>
      <w:r>
        <w:rPr>
          <w:spacing w:val="-4"/>
        </w:rPr>
        <w:t> </w:t>
      </w:r>
      <w:r>
        <w:rPr/>
        <w:t>used</w:t>
      </w:r>
      <w:r>
        <w:rPr>
          <w:spacing w:val="-6"/>
        </w:rPr>
        <w:t> </w:t>
      </w:r>
      <w:r>
        <w:rPr/>
        <w:t>for administrative purposes such as trail bridge construction.</w:t>
      </w:r>
    </w:p>
    <w:p>
      <w:pPr>
        <w:spacing w:before="234"/>
        <w:ind w:left="1151" w:right="0" w:firstLine="0"/>
        <w:jc w:val="left"/>
        <w:rPr>
          <w:rFonts w:ascii="Arial"/>
          <w:i/>
          <w:sz w:val="22"/>
        </w:rPr>
      </w:pPr>
      <w:bookmarkStart w:name="MA-GDL-WCD-09. Invasive Plants" w:id="875"/>
      <w:bookmarkEnd w:id="875"/>
      <w:r>
        <w:rPr/>
      </w:r>
      <w:r>
        <w:rPr>
          <w:rFonts w:ascii="Arial"/>
          <w:i/>
          <w:sz w:val="22"/>
        </w:rPr>
        <w:t>MA-GDL-WCD-09.</w:t>
      </w:r>
      <w:r>
        <w:rPr>
          <w:rFonts w:ascii="Arial"/>
          <w:i/>
          <w:spacing w:val="-9"/>
          <w:sz w:val="22"/>
        </w:rPr>
        <w:t> </w:t>
      </w:r>
      <w:r>
        <w:rPr>
          <w:rFonts w:ascii="Arial"/>
          <w:i/>
          <w:sz w:val="22"/>
        </w:rPr>
        <w:t>Invasive</w:t>
      </w:r>
      <w:r>
        <w:rPr>
          <w:rFonts w:ascii="Arial"/>
          <w:i/>
          <w:spacing w:val="-9"/>
          <w:sz w:val="22"/>
        </w:rPr>
        <w:t> </w:t>
      </w:r>
      <w:r>
        <w:rPr>
          <w:rFonts w:ascii="Arial"/>
          <w:i/>
          <w:spacing w:val="-2"/>
          <w:sz w:val="22"/>
        </w:rPr>
        <w:t>Plants</w:t>
      </w:r>
    </w:p>
    <w:p>
      <w:pPr>
        <w:pStyle w:val="BodyText"/>
        <w:spacing w:line="232" w:lineRule="auto" w:before="65"/>
        <w:ind w:left="1151" w:right="365"/>
      </w:pPr>
      <w:r>
        <w:rPr/>
        <w:t>Manual,</w:t>
      </w:r>
      <w:r>
        <w:rPr>
          <w:spacing w:val="-6"/>
        </w:rPr>
        <w:t> </w:t>
      </w:r>
      <w:r>
        <w:rPr/>
        <w:t>biological,</w:t>
      </w:r>
      <w:r>
        <w:rPr>
          <w:spacing w:val="-6"/>
        </w:rPr>
        <w:t> </w:t>
      </w:r>
      <w:r>
        <w:rPr/>
        <w:t>cultural,</w:t>
      </w:r>
      <w:r>
        <w:rPr>
          <w:spacing w:val="-6"/>
        </w:rPr>
        <w:t> </w:t>
      </w:r>
      <w:r>
        <w:rPr/>
        <w:t>or</w:t>
      </w:r>
      <w:r>
        <w:rPr>
          <w:spacing w:val="-8"/>
        </w:rPr>
        <w:t> </w:t>
      </w:r>
      <w:r>
        <w:rPr/>
        <w:t>chemical</w:t>
      </w:r>
      <w:r>
        <w:rPr>
          <w:spacing w:val="-6"/>
        </w:rPr>
        <w:t> </w:t>
      </w:r>
      <w:r>
        <w:rPr/>
        <w:t>treatments</w:t>
      </w:r>
      <w:r>
        <w:rPr>
          <w:spacing w:val="-8"/>
        </w:rPr>
        <w:t> </w:t>
      </w:r>
      <w:r>
        <w:rPr/>
        <w:t>may</w:t>
      </w:r>
      <w:r>
        <w:rPr>
          <w:spacing w:val="-5"/>
        </w:rPr>
        <w:t> </w:t>
      </w:r>
      <w:r>
        <w:rPr/>
        <w:t>be</w:t>
      </w:r>
      <w:r>
        <w:rPr>
          <w:spacing w:val="-5"/>
        </w:rPr>
        <w:t> </w:t>
      </w:r>
      <w:r>
        <w:rPr/>
        <w:t>authorized</w:t>
      </w:r>
      <w:r>
        <w:rPr>
          <w:spacing w:val="-7"/>
        </w:rPr>
        <w:t> </w:t>
      </w:r>
      <w:r>
        <w:rPr/>
        <w:t>to</w:t>
      </w:r>
      <w:r>
        <w:rPr>
          <w:spacing w:val="-7"/>
        </w:rPr>
        <w:t> </w:t>
      </w:r>
      <w:r>
        <w:rPr/>
        <w:t>eradicate,</w:t>
      </w:r>
      <w:r>
        <w:rPr>
          <w:spacing w:val="-6"/>
        </w:rPr>
        <w:t> </w:t>
      </w:r>
      <w:r>
        <w:rPr/>
        <w:t>reduce,</w:t>
      </w:r>
      <w:r>
        <w:rPr>
          <w:spacing w:val="-8"/>
        </w:rPr>
        <w:t> </w:t>
      </w:r>
      <w:r>
        <w:rPr/>
        <w:t>or control populations of invasive plants. Treatments would need to be carried out by measures that have the least adverse impact on the wilderness resource and are compatible with wilderness management objectives.</w:t>
      </w:r>
    </w:p>
    <w:p>
      <w:pPr>
        <w:pStyle w:val="BodyText"/>
        <w:spacing w:after="0" w:line="232" w:lineRule="auto"/>
        <w:sectPr>
          <w:pgSz w:w="12240" w:h="15840"/>
          <w:pgMar w:header="725" w:footer="891" w:top="1340" w:bottom="1080" w:left="1080" w:right="1080"/>
        </w:sectPr>
      </w:pPr>
    </w:p>
    <w:p>
      <w:pPr>
        <w:spacing w:before="83"/>
        <w:ind w:left="360" w:right="0" w:firstLine="0"/>
        <w:jc w:val="left"/>
        <w:rPr>
          <w:rFonts w:ascii="Arial"/>
          <w:i/>
          <w:sz w:val="22"/>
        </w:rPr>
      </w:pPr>
      <w:bookmarkStart w:name="MA-GDL-WCD-10. Environmental Clean-up" w:id="876"/>
      <w:bookmarkEnd w:id="876"/>
      <w:r>
        <w:rPr/>
      </w:r>
      <w:r>
        <w:rPr>
          <w:rFonts w:ascii="Arial"/>
          <w:i/>
          <w:sz w:val="22"/>
        </w:rPr>
        <w:t>MA-GDL-WCD-10.</w:t>
      </w:r>
      <w:r>
        <w:rPr>
          <w:rFonts w:ascii="Arial"/>
          <w:i/>
          <w:spacing w:val="-14"/>
          <w:sz w:val="22"/>
        </w:rPr>
        <w:t> </w:t>
      </w:r>
      <w:r>
        <w:rPr>
          <w:rFonts w:ascii="Arial"/>
          <w:i/>
          <w:sz w:val="22"/>
        </w:rPr>
        <w:t>Environmental</w:t>
      </w:r>
      <w:r>
        <w:rPr>
          <w:rFonts w:ascii="Arial"/>
          <w:i/>
          <w:spacing w:val="-14"/>
          <w:sz w:val="22"/>
        </w:rPr>
        <w:t> </w:t>
      </w:r>
      <w:r>
        <w:rPr>
          <w:rFonts w:ascii="Arial"/>
          <w:i/>
          <w:sz w:val="22"/>
        </w:rPr>
        <w:t>Clean-</w:t>
      </w:r>
      <w:r>
        <w:rPr>
          <w:rFonts w:ascii="Arial"/>
          <w:i/>
          <w:spacing w:val="-5"/>
          <w:sz w:val="22"/>
        </w:rPr>
        <w:t>up</w:t>
      </w:r>
    </w:p>
    <w:p>
      <w:pPr>
        <w:pStyle w:val="BodyText"/>
        <w:spacing w:line="232" w:lineRule="auto" w:before="65"/>
        <w:ind w:left="359" w:right="1185"/>
      </w:pPr>
      <w:r>
        <w:rPr/>
        <w:t>Environmental clean-up projects (such as mine remediation, chemical spills, aircraft recovery, building</w:t>
      </w:r>
      <w:r>
        <w:rPr>
          <w:spacing w:val="-5"/>
        </w:rPr>
        <w:t> </w:t>
      </w:r>
      <w:r>
        <w:rPr/>
        <w:t>removal)</w:t>
      </w:r>
      <w:r>
        <w:rPr>
          <w:spacing w:val="-4"/>
        </w:rPr>
        <w:t> </w:t>
      </w:r>
      <w:r>
        <w:rPr/>
        <w:t>should</w:t>
      </w:r>
      <w:r>
        <w:rPr>
          <w:spacing w:val="-5"/>
        </w:rPr>
        <w:t> </w:t>
      </w:r>
      <w:r>
        <w:rPr/>
        <w:t>occur</w:t>
      </w:r>
      <w:r>
        <w:rPr>
          <w:spacing w:val="-4"/>
        </w:rPr>
        <w:t> </w:t>
      </w:r>
      <w:r>
        <w:rPr/>
        <w:t>promptly</w:t>
      </w:r>
      <w:r>
        <w:rPr>
          <w:spacing w:val="-5"/>
        </w:rPr>
        <w:t> </w:t>
      </w:r>
      <w:r>
        <w:rPr/>
        <w:t>following</w:t>
      </w:r>
      <w:r>
        <w:rPr>
          <w:spacing w:val="-5"/>
        </w:rPr>
        <w:t> </w:t>
      </w:r>
      <w:r>
        <w:rPr/>
        <w:t>an</w:t>
      </w:r>
      <w:r>
        <w:rPr>
          <w:spacing w:val="-7"/>
        </w:rPr>
        <w:t> </w:t>
      </w:r>
      <w:r>
        <w:rPr/>
        <w:t>activity</w:t>
      </w:r>
      <w:r>
        <w:rPr>
          <w:spacing w:val="-5"/>
        </w:rPr>
        <w:t> </w:t>
      </w:r>
      <w:r>
        <w:rPr/>
        <w:t>or</w:t>
      </w:r>
      <w:r>
        <w:rPr>
          <w:spacing w:val="-4"/>
        </w:rPr>
        <w:t> </w:t>
      </w:r>
      <w:r>
        <w:rPr/>
        <w:t>incident.</w:t>
      </w:r>
      <w:r>
        <w:rPr>
          <w:spacing w:val="-7"/>
        </w:rPr>
        <w:t> </w:t>
      </w:r>
      <w:r>
        <w:rPr/>
        <w:t>Project</w:t>
      </w:r>
      <w:r>
        <w:rPr>
          <w:spacing w:val="-8"/>
        </w:rPr>
        <w:t> </w:t>
      </w:r>
      <w:r>
        <w:rPr/>
        <w:t>design</w:t>
      </w:r>
      <w:r>
        <w:rPr>
          <w:spacing w:val="-5"/>
        </w:rPr>
        <w:t> </w:t>
      </w:r>
      <w:r>
        <w:rPr/>
        <w:t>should provide a greater long-term benefit than long-term impact.</w:t>
      </w:r>
    </w:p>
    <w:p>
      <w:pPr>
        <w:spacing w:before="235"/>
        <w:ind w:left="359" w:right="0" w:firstLine="0"/>
        <w:jc w:val="left"/>
        <w:rPr>
          <w:rFonts w:ascii="Arial"/>
          <w:i/>
          <w:sz w:val="22"/>
        </w:rPr>
      </w:pPr>
      <w:bookmarkStart w:name="MA-GDL-WCD-11. Trail Management" w:id="877"/>
      <w:bookmarkEnd w:id="877"/>
      <w:r>
        <w:rPr/>
      </w:r>
      <w:r>
        <w:rPr>
          <w:rFonts w:ascii="Arial"/>
          <w:i/>
          <w:sz w:val="22"/>
        </w:rPr>
        <w:t>MA-GDL-WCD-11.</w:t>
      </w:r>
      <w:r>
        <w:rPr>
          <w:rFonts w:ascii="Arial"/>
          <w:i/>
          <w:spacing w:val="-10"/>
          <w:sz w:val="22"/>
        </w:rPr>
        <w:t> </w:t>
      </w:r>
      <w:r>
        <w:rPr>
          <w:rFonts w:ascii="Arial"/>
          <w:i/>
          <w:sz w:val="22"/>
        </w:rPr>
        <w:t>Trail</w:t>
      </w:r>
      <w:r>
        <w:rPr>
          <w:rFonts w:ascii="Arial"/>
          <w:i/>
          <w:spacing w:val="-10"/>
          <w:sz w:val="22"/>
        </w:rPr>
        <w:t> </w:t>
      </w:r>
      <w:r>
        <w:rPr>
          <w:rFonts w:ascii="Arial"/>
          <w:i/>
          <w:spacing w:val="-2"/>
          <w:sz w:val="22"/>
        </w:rPr>
        <w:t>Management</w:t>
      </w:r>
    </w:p>
    <w:p>
      <w:pPr>
        <w:pStyle w:val="BodyText"/>
        <w:spacing w:line="232" w:lineRule="auto" w:before="65"/>
        <w:ind w:left="359" w:right="1090"/>
      </w:pPr>
      <w:r>
        <w:rPr/>
        <w:t>New trail construction may be considered if the objective is enhancement of the wilderness character (e.g., increase solitude opportunities, restore naturalness).Trails that have minimal use,</w:t>
      </w:r>
      <w:r>
        <w:rPr>
          <w:spacing w:val="-7"/>
        </w:rPr>
        <w:t> </w:t>
      </w:r>
      <w:r>
        <w:rPr/>
        <w:t>detract</w:t>
      </w:r>
      <w:r>
        <w:rPr>
          <w:spacing w:val="-9"/>
        </w:rPr>
        <w:t> </w:t>
      </w:r>
      <w:r>
        <w:rPr/>
        <w:t>from</w:t>
      </w:r>
      <w:r>
        <w:rPr>
          <w:spacing w:val="-6"/>
        </w:rPr>
        <w:t> </w:t>
      </w:r>
      <w:r>
        <w:rPr/>
        <w:t>the</w:t>
      </w:r>
      <w:r>
        <w:rPr>
          <w:spacing w:val="-9"/>
        </w:rPr>
        <w:t> </w:t>
      </w:r>
      <w:r>
        <w:rPr/>
        <w:t>wilderness</w:t>
      </w:r>
      <w:r>
        <w:rPr>
          <w:spacing w:val="-7"/>
        </w:rPr>
        <w:t> </w:t>
      </w:r>
      <w:r>
        <w:rPr/>
        <w:t>character,</w:t>
      </w:r>
      <w:r>
        <w:rPr>
          <w:spacing w:val="-9"/>
        </w:rPr>
        <w:t> </w:t>
      </w:r>
      <w:r>
        <w:rPr/>
        <w:t>or</w:t>
      </w:r>
      <w:r>
        <w:rPr>
          <w:spacing w:val="-7"/>
        </w:rPr>
        <w:t> </w:t>
      </w:r>
      <w:r>
        <w:rPr/>
        <w:t>cannot</w:t>
      </w:r>
      <w:r>
        <w:rPr>
          <w:spacing w:val="-9"/>
        </w:rPr>
        <w:t> </w:t>
      </w:r>
      <w:r>
        <w:rPr/>
        <w:t>practically</w:t>
      </w:r>
      <w:r>
        <w:rPr>
          <w:spacing w:val="-6"/>
        </w:rPr>
        <w:t> </w:t>
      </w:r>
      <w:r>
        <w:rPr/>
        <w:t>be</w:t>
      </w:r>
      <w:r>
        <w:rPr>
          <w:spacing w:val="-9"/>
        </w:rPr>
        <w:t> </w:t>
      </w:r>
      <w:r>
        <w:rPr/>
        <w:t>maintained</w:t>
      </w:r>
      <w:r>
        <w:rPr>
          <w:spacing w:val="-10"/>
        </w:rPr>
        <w:t> </w:t>
      </w:r>
      <w:r>
        <w:rPr/>
        <w:t>or</w:t>
      </w:r>
      <w:r>
        <w:rPr>
          <w:spacing w:val="-7"/>
        </w:rPr>
        <w:t> </w:t>
      </w:r>
      <w:r>
        <w:rPr/>
        <w:t>reconstructed should be obliterated.</w:t>
      </w:r>
    </w:p>
    <w:p>
      <w:pPr>
        <w:pStyle w:val="Heading4"/>
        <w:spacing w:before="232"/>
      </w:pPr>
      <w:bookmarkStart w:name="Suitable Uses" w:id="878"/>
      <w:bookmarkEnd w:id="878"/>
      <w:r>
        <w:rPr/>
      </w:r>
      <w:bookmarkStart w:name="_bookmark264" w:id="879"/>
      <w:bookmarkEnd w:id="879"/>
      <w:r>
        <w:rPr/>
      </w:r>
      <w:r>
        <w:rPr/>
        <w:t>Suitable</w:t>
      </w:r>
      <w:r>
        <w:rPr>
          <w:spacing w:val="-5"/>
        </w:rPr>
        <w:t> </w:t>
      </w:r>
      <w:r>
        <w:rPr>
          <w:spacing w:val="-4"/>
        </w:rPr>
        <w:t>Uses</w:t>
      </w:r>
    </w:p>
    <w:p>
      <w:pPr>
        <w:spacing w:before="239"/>
        <w:ind w:left="360" w:right="0" w:firstLine="0"/>
        <w:jc w:val="left"/>
        <w:rPr>
          <w:rFonts w:ascii="Arial"/>
          <w:i/>
          <w:sz w:val="22"/>
        </w:rPr>
      </w:pPr>
      <w:bookmarkStart w:name="MA-SU-WCD-01. Suitable Uses" w:id="880"/>
      <w:bookmarkEnd w:id="880"/>
      <w:r>
        <w:rPr/>
      </w:r>
      <w:r>
        <w:rPr>
          <w:rFonts w:ascii="Arial"/>
          <w:i/>
          <w:sz w:val="22"/>
        </w:rPr>
        <w:t>MA-SU-WCD-01.</w:t>
      </w:r>
      <w:r>
        <w:rPr>
          <w:rFonts w:ascii="Arial"/>
          <w:i/>
          <w:spacing w:val="-10"/>
          <w:sz w:val="22"/>
        </w:rPr>
        <w:t> </w:t>
      </w:r>
      <w:r>
        <w:rPr>
          <w:rFonts w:ascii="Arial"/>
          <w:i/>
          <w:sz w:val="22"/>
        </w:rPr>
        <w:t>Suitable</w:t>
      </w:r>
      <w:r>
        <w:rPr>
          <w:rFonts w:ascii="Arial"/>
          <w:i/>
          <w:spacing w:val="-9"/>
          <w:sz w:val="22"/>
        </w:rPr>
        <w:t> </w:t>
      </w:r>
      <w:r>
        <w:rPr>
          <w:rFonts w:ascii="Arial"/>
          <w:i/>
          <w:spacing w:val="-4"/>
          <w:sz w:val="22"/>
        </w:rPr>
        <w:t>Uses</w:t>
      </w:r>
    </w:p>
    <w:p>
      <w:pPr>
        <w:pStyle w:val="BodyText"/>
        <w:spacing w:before="108"/>
        <w:rPr>
          <w:rFonts w:ascii="Arial"/>
          <w:i/>
        </w:rPr>
      </w:pPr>
    </w:p>
    <w:p>
      <w:pPr>
        <w:spacing w:before="0" w:after="39"/>
        <w:ind w:left="360" w:right="0" w:firstLine="0"/>
        <w:jc w:val="left"/>
        <w:rPr>
          <w:rFonts w:ascii="Arial"/>
          <w:b/>
          <w:sz w:val="18"/>
        </w:rPr>
      </w:pPr>
      <w:bookmarkStart w:name="_bookmark265" w:id="881"/>
      <w:bookmarkEnd w:id="881"/>
      <w:r>
        <w:rPr/>
      </w:r>
      <w:r>
        <w:rPr>
          <w:rFonts w:ascii="Arial"/>
          <w:b/>
          <w:sz w:val="18"/>
        </w:rPr>
        <w:t>Table</w:t>
      </w:r>
      <w:r>
        <w:rPr>
          <w:rFonts w:ascii="Arial"/>
          <w:b/>
          <w:spacing w:val="-6"/>
          <w:sz w:val="18"/>
        </w:rPr>
        <w:t> </w:t>
      </w:r>
      <w:r>
        <w:rPr>
          <w:rFonts w:ascii="Arial"/>
          <w:b/>
          <w:sz w:val="18"/>
        </w:rPr>
        <w:t>36.</w:t>
      </w:r>
      <w:r>
        <w:rPr>
          <w:rFonts w:ascii="Arial"/>
          <w:b/>
          <w:spacing w:val="-2"/>
          <w:sz w:val="18"/>
        </w:rPr>
        <w:t> </w:t>
      </w:r>
      <w:r>
        <w:rPr>
          <w:rFonts w:ascii="Arial"/>
          <w:b/>
          <w:sz w:val="18"/>
        </w:rPr>
        <w:t>Suitable</w:t>
      </w:r>
      <w:r>
        <w:rPr>
          <w:rFonts w:ascii="Arial"/>
          <w:b/>
          <w:spacing w:val="-4"/>
          <w:sz w:val="18"/>
        </w:rPr>
        <w:t> </w:t>
      </w:r>
      <w:r>
        <w:rPr>
          <w:rFonts w:ascii="Arial"/>
          <w:b/>
          <w:sz w:val="18"/>
        </w:rPr>
        <w:t>uses</w:t>
      </w:r>
      <w:r>
        <w:rPr>
          <w:rFonts w:ascii="Arial"/>
          <w:b/>
          <w:spacing w:val="-1"/>
          <w:sz w:val="18"/>
        </w:rPr>
        <w:t> </w:t>
      </w:r>
      <w:r>
        <w:rPr>
          <w:rFonts w:ascii="Arial"/>
          <w:b/>
          <w:sz w:val="18"/>
        </w:rPr>
        <w:t>for</w:t>
      </w:r>
      <w:r>
        <w:rPr>
          <w:rFonts w:ascii="Arial"/>
          <w:b/>
          <w:spacing w:val="-3"/>
          <w:sz w:val="18"/>
        </w:rPr>
        <w:t> </w:t>
      </w:r>
      <w:r>
        <w:rPr>
          <w:rFonts w:ascii="Arial"/>
          <w:b/>
          <w:sz w:val="18"/>
        </w:rPr>
        <w:t>congressionally</w:t>
      </w:r>
      <w:r>
        <w:rPr>
          <w:rFonts w:ascii="Arial"/>
          <w:b/>
          <w:spacing w:val="-11"/>
          <w:sz w:val="18"/>
        </w:rPr>
        <w:t> </w:t>
      </w:r>
      <w:r>
        <w:rPr>
          <w:rFonts w:ascii="Arial"/>
          <w:b/>
          <w:sz w:val="18"/>
        </w:rPr>
        <w:t>designated</w:t>
      </w:r>
      <w:r>
        <w:rPr>
          <w:rFonts w:ascii="Arial"/>
          <w:b/>
          <w:spacing w:val="-4"/>
          <w:sz w:val="18"/>
        </w:rPr>
        <w:t> </w:t>
      </w:r>
      <w:r>
        <w:rPr>
          <w:rFonts w:ascii="Arial"/>
          <w:b/>
          <w:sz w:val="18"/>
        </w:rPr>
        <w:t>Wilderness</w:t>
      </w:r>
      <w:r>
        <w:rPr>
          <w:rFonts w:ascii="Arial"/>
          <w:b/>
          <w:spacing w:val="-4"/>
          <w:sz w:val="18"/>
        </w:rPr>
        <w:t> </w:t>
      </w:r>
      <w:r>
        <w:rPr>
          <w:rFonts w:ascii="Arial"/>
          <w:b/>
          <w:sz w:val="18"/>
        </w:rPr>
        <w:t>Management</w:t>
      </w:r>
      <w:r>
        <w:rPr>
          <w:rFonts w:ascii="Arial"/>
          <w:b/>
          <w:spacing w:val="-1"/>
          <w:sz w:val="18"/>
        </w:rPr>
        <w:t> </w:t>
      </w:r>
      <w:r>
        <w:rPr>
          <w:rFonts w:ascii="Arial"/>
          <w:b/>
          <w:spacing w:val="-4"/>
          <w:sz w:val="18"/>
        </w:rPr>
        <w:t>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583"/>
        <w:gridCol w:w="2334"/>
        <w:gridCol w:w="2632"/>
      </w:tblGrid>
      <w:tr>
        <w:trPr>
          <w:trHeight w:val="287" w:hRule="atLeast"/>
        </w:trPr>
        <w:tc>
          <w:tcPr>
            <w:tcW w:w="3583" w:type="dxa"/>
            <w:tcBorders>
              <w:right w:val="nil"/>
            </w:tcBorders>
            <w:shd w:val="clear" w:color="auto" w:fill="D5E2BB"/>
          </w:tcPr>
          <w:p>
            <w:pPr>
              <w:pStyle w:val="TableParagraph"/>
              <w:spacing w:before="42"/>
              <w:ind w:left="1173"/>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334" w:type="dxa"/>
            <w:tcBorders>
              <w:left w:val="nil"/>
              <w:right w:val="nil"/>
            </w:tcBorders>
            <w:shd w:val="clear" w:color="auto" w:fill="D5E2BB"/>
          </w:tcPr>
          <w:p>
            <w:pPr>
              <w:pStyle w:val="TableParagraph"/>
              <w:spacing w:before="42"/>
              <w:ind w:left="39"/>
              <w:jc w:val="center"/>
              <w:rPr>
                <w:b/>
                <w:sz w:val="18"/>
              </w:rPr>
            </w:pPr>
            <w:r>
              <w:rPr>
                <w:b/>
                <w:sz w:val="18"/>
              </w:rPr>
              <w:t>May</w:t>
            </w:r>
            <w:r>
              <w:rPr>
                <w:b/>
                <w:spacing w:val="-9"/>
                <w:sz w:val="18"/>
              </w:rPr>
              <w:t> </w:t>
            </w:r>
            <w:r>
              <w:rPr>
                <w:b/>
                <w:spacing w:val="-2"/>
                <w:sz w:val="18"/>
              </w:rPr>
              <w:t>authorize</w:t>
            </w:r>
          </w:p>
        </w:tc>
        <w:tc>
          <w:tcPr>
            <w:tcW w:w="2632" w:type="dxa"/>
            <w:tcBorders>
              <w:left w:val="nil"/>
            </w:tcBorders>
            <w:shd w:val="clear" w:color="auto" w:fill="D5E2BB"/>
          </w:tcPr>
          <w:p>
            <w:pPr>
              <w:pStyle w:val="TableParagraph"/>
              <w:spacing w:before="42"/>
              <w:ind w:left="41"/>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3583" w:type="dxa"/>
            <w:tcBorders>
              <w:right w:val="nil"/>
            </w:tcBorders>
          </w:tcPr>
          <w:p>
            <w:pPr>
              <w:pStyle w:val="TableParagraph"/>
              <w:spacing w:before="42"/>
              <w:ind w:left="107"/>
              <w:rPr>
                <w:b/>
                <w:sz w:val="18"/>
              </w:rPr>
            </w:pPr>
            <w:r>
              <w:rPr>
                <w:b/>
                <w:sz w:val="18"/>
              </w:rPr>
              <w:t>Facilities,</w:t>
            </w:r>
            <w:r>
              <w:rPr>
                <w:b/>
                <w:spacing w:val="-5"/>
                <w:sz w:val="18"/>
              </w:rPr>
              <w:t> </w:t>
            </w:r>
            <w:r>
              <w:rPr>
                <w:b/>
                <w:spacing w:val="-2"/>
                <w:sz w:val="18"/>
              </w:rPr>
              <w:t>administrative</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spacing w:before="42"/>
              <w:ind w:left="40"/>
              <w:jc w:val="center"/>
              <w:rPr>
                <w:sz w:val="18"/>
              </w:rPr>
            </w:pPr>
            <w:r>
              <w:rPr>
                <w:spacing w:val="-10"/>
                <w:sz w:val="18"/>
              </w:rPr>
              <w:t>X</w:t>
            </w:r>
          </w:p>
        </w:tc>
      </w:tr>
      <w:tr>
        <w:trPr>
          <w:trHeight w:val="287" w:hRule="atLeast"/>
        </w:trPr>
        <w:tc>
          <w:tcPr>
            <w:tcW w:w="3583" w:type="dxa"/>
            <w:tcBorders>
              <w:right w:val="nil"/>
            </w:tcBorders>
          </w:tcPr>
          <w:p>
            <w:pPr>
              <w:pStyle w:val="TableParagraph"/>
              <w:spacing w:before="42"/>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spacing w:before="42"/>
              <w:ind w:left="40"/>
              <w:jc w:val="center"/>
              <w:rPr>
                <w:sz w:val="18"/>
              </w:rPr>
            </w:pPr>
            <w:r>
              <w:rPr>
                <w:spacing w:val="-10"/>
                <w:sz w:val="18"/>
              </w:rPr>
              <w:t>X</w:t>
            </w:r>
          </w:p>
        </w:tc>
      </w:tr>
      <w:tr>
        <w:trPr>
          <w:trHeight w:val="287" w:hRule="atLeast"/>
        </w:trPr>
        <w:tc>
          <w:tcPr>
            <w:tcW w:w="3583" w:type="dxa"/>
            <w:tcBorders>
              <w:right w:val="nil"/>
            </w:tcBorders>
          </w:tcPr>
          <w:p>
            <w:pPr>
              <w:pStyle w:val="TableParagraph"/>
              <w:spacing w:before="42"/>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334" w:type="dxa"/>
            <w:tcBorders>
              <w:left w:val="nil"/>
              <w:right w:val="nil"/>
            </w:tcBorders>
          </w:tcPr>
          <w:p>
            <w:pPr>
              <w:pStyle w:val="TableParagraph"/>
              <w:spacing w:before="42"/>
              <w:ind w:left="39" w:right="2"/>
              <w:jc w:val="center"/>
              <w:rPr>
                <w:sz w:val="18"/>
              </w:rPr>
            </w:pPr>
            <w:r>
              <w:rPr>
                <w:spacing w:val="-10"/>
                <w:sz w:val="18"/>
              </w:rPr>
              <w:t>X</w:t>
            </w:r>
          </w:p>
        </w:tc>
        <w:tc>
          <w:tcPr>
            <w:tcW w:w="2632" w:type="dxa"/>
            <w:tcBorders>
              <w:left w:val="nil"/>
            </w:tcBorders>
          </w:tcPr>
          <w:p>
            <w:pPr>
              <w:pStyle w:val="TableParagraph"/>
              <w:spacing w:before="0"/>
              <w:rPr>
                <w:rFonts w:ascii="Times New Roman"/>
                <w:sz w:val="18"/>
              </w:rPr>
            </w:pPr>
          </w:p>
        </w:tc>
      </w:tr>
      <w:tr>
        <w:trPr>
          <w:trHeight w:val="287" w:hRule="atLeast"/>
        </w:trPr>
        <w:tc>
          <w:tcPr>
            <w:tcW w:w="3583"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334" w:type="dxa"/>
            <w:tcBorders>
              <w:left w:val="nil"/>
              <w:right w:val="nil"/>
            </w:tcBorders>
          </w:tcPr>
          <w:p>
            <w:pPr>
              <w:pStyle w:val="TableParagraph"/>
              <w:ind w:left="39" w:right="2"/>
              <w:jc w:val="center"/>
              <w:rPr>
                <w:sz w:val="18"/>
              </w:rPr>
            </w:pPr>
            <w:r>
              <w:rPr>
                <w:spacing w:val="-10"/>
                <w:sz w:val="18"/>
              </w:rPr>
              <w:t>X</w:t>
            </w:r>
          </w:p>
        </w:tc>
        <w:tc>
          <w:tcPr>
            <w:tcW w:w="2632" w:type="dxa"/>
            <w:tcBorders>
              <w:left w:val="nil"/>
            </w:tcBorders>
          </w:tcPr>
          <w:p>
            <w:pPr>
              <w:pStyle w:val="TableParagraph"/>
              <w:spacing w:before="0"/>
              <w:rPr>
                <w:rFonts w:ascii="Times New Roman"/>
                <w:sz w:val="18"/>
              </w:rPr>
            </w:pPr>
          </w:p>
        </w:tc>
      </w:tr>
      <w:tr>
        <w:trPr>
          <w:trHeight w:val="493" w:hRule="atLeast"/>
        </w:trPr>
        <w:tc>
          <w:tcPr>
            <w:tcW w:w="3583"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 timber harvest)</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493" w:hRule="atLeast"/>
        </w:trPr>
        <w:tc>
          <w:tcPr>
            <w:tcW w:w="3583" w:type="dxa"/>
            <w:tcBorders>
              <w:right w:val="nil"/>
            </w:tcBorders>
          </w:tcPr>
          <w:p>
            <w:pPr>
              <w:pStyle w:val="TableParagraph"/>
              <w:ind w:left="107"/>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commercial </w:t>
            </w:r>
            <w:r>
              <w:rPr>
                <w:b/>
                <w:spacing w:val="-4"/>
                <w:sz w:val="18"/>
              </w:rPr>
              <w:t>use</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493" w:hRule="atLeast"/>
        </w:trPr>
        <w:tc>
          <w:tcPr>
            <w:tcW w:w="3583" w:type="dxa"/>
            <w:tcBorders>
              <w:right w:val="nil"/>
            </w:tcBorders>
          </w:tcPr>
          <w:p>
            <w:pPr>
              <w:pStyle w:val="TableParagraph"/>
              <w:spacing w:before="42"/>
              <w:ind w:left="107"/>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spacing w:before="42"/>
              <w:ind w:left="40"/>
              <w:jc w:val="center"/>
              <w:rPr>
                <w:sz w:val="18"/>
              </w:rPr>
            </w:pPr>
            <w:r>
              <w:rPr>
                <w:spacing w:val="-10"/>
                <w:sz w:val="18"/>
              </w:rPr>
              <w:t>X</w:t>
            </w:r>
          </w:p>
        </w:tc>
      </w:tr>
      <w:tr>
        <w:trPr>
          <w:trHeight w:val="287" w:hRule="atLeast"/>
        </w:trPr>
        <w:tc>
          <w:tcPr>
            <w:tcW w:w="3583" w:type="dxa"/>
            <w:tcBorders>
              <w:right w:val="nil"/>
            </w:tcBorders>
          </w:tcPr>
          <w:p>
            <w:pPr>
              <w:pStyle w:val="TableParagraph"/>
              <w:spacing w:before="42"/>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334" w:type="dxa"/>
            <w:tcBorders>
              <w:left w:val="nil"/>
              <w:right w:val="nil"/>
            </w:tcBorders>
          </w:tcPr>
          <w:p>
            <w:pPr>
              <w:pStyle w:val="TableParagraph"/>
              <w:spacing w:before="42"/>
              <w:ind w:left="39" w:right="2"/>
              <w:jc w:val="center"/>
              <w:rPr>
                <w:sz w:val="18"/>
              </w:rPr>
            </w:pPr>
            <w:r>
              <w:rPr>
                <w:spacing w:val="-10"/>
                <w:sz w:val="18"/>
              </w:rPr>
              <w:t>X</w:t>
            </w:r>
          </w:p>
        </w:tc>
        <w:tc>
          <w:tcPr>
            <w:tcW w:w="2632" w:type="dxa"/>
            <w:tcBorders>
              <w:left w:val="nil"/>
            </w:tcBorders>
          </w:tcPr>
          <w:p>
            <w:pPr>
              <w:pStyle w:val="TableParagraph"/>
              <w:spacing w:before="0"/>
              <w:rPr>
                <w:rFonts w:ascii="Times New Roman"/>
                <w:sz w:val="18"/>
              </w:rPr>
            </w:pPr>
          </w:p>
        </w:tc>
      </w:tr>
      <w:tr>
        <w:trPr>
          <w:trHeight w:val="495" w:hRule="atLeast"/>
        </w:trPr>
        <w:tc>
          <w:tcPr>
            <w:tcW w:w="3583" w:type="dxa"/>
            <w:tcBorders>
              <w:right w:val="nil"/>
            </w:tcBorders>
          </w:tcPr>
          <w:p>
            <w:pPr>
              <w:pStyle w:val="TableParagraph"/>
              <w:spacing w:before="42"/>
              <w:ind w:left="107"/>
              <w:rPr>
                <w:b/>
                <w:sz w:val="18"/>
              </w:rPr>
            </w:pPr>
            <w:r>
              <w:rPr>
                <w:b/>
                <w:sz w:val="18"/>
              </w:rPr>
              <w:t>Grazing,</w:t>
            </w:r>
            <w:r>
              <w:rPr>
                <w:b/>
                <w:spacing w:val="-3"/>
                <w:sz w:val="18"/>
              </w:rPr>
              <w:t> </w:t>
            </w:r>
            <w:r>
              <w:rPr>
                <w:b/>
                <w:spacing w:val="-2"/>
                <w:sz w:val="18"/>
              </w:rPr>
              <w:t>permitted</w:t>
            </w:r>
          </w:p>
        </w:tc>
        <w:tc>
          <w:tcPr>
            <w:tcW w:w="2334" w:type="dxa"/>
            <w:tcBorders>
              <w:left w:val="nil"/>
              <w:right w:val="nil"/>
            </w:tcBorders>
          </w:tcPr>
          <w:p>
            <w:pPr>
              <w:pStyle w:val="TableParagraph"/>
              <w:spacing w:before="42"/>
              <w:ind w:left="39" w:right="2"/>
              <w:jc w:val="center"/>
              <w:rPr>
                <w:sz w:val="18"/>
              </w:rPr>
            </w:pPr>
            <w:r>
              <w:rPr>
                <w:spacing w:val="-10"/>
                <w:sz w:val="18"/>
              </w:rPr>
              <w:t>X</w:t>
            </w:r>
          </w:p>
        </w:tc>
        <w:tc>
          <w:tcPr>
            <w:tcW w:w="2632" w:type="dxa"/>
            <w:tcBorders>
              <w:left w:val="nil"/>
            </w:tcBorders>
          </w:tcPr>
          <w:p>
            <w:pPr>
              <w:pStyle w:val="TableParagraph"/>
              <w:spacing w:line="207" w:lineRule="exact" w:before="42"/>
              <w:ind w:left="40"/>
              <w:jc w:val="center"/>
              <w:rPr>
                <w:sz w:val="18"/>
              </w:rPr>
            </w:pPr>
            <w:r>
              <w:rPr>
                <w:spacing w:val="-10"/>
                <w:sz w:val="18"/>
              </w:rPr>
              <w:t>X</w:t>
            </w:r>
          </w:p>
          <w:p>
            <w:pPr>
              <w:pStyle w:val="TableParagraph"/>
              <w:spacing w:line="207" w:lineRule="exact" w:before="0"/>
              <w:ind w:left="147" w:right="108"/>
              <w:jc w:val="center"/>
              <w:rPr>
                <w:sz w:val="18"/>
              </w:rPr>
            </w:pPr>
            <w:r>
              <w:rPr>
                <w:spacing w:val="-2"/>
                <w:sz w:val="18"/>
              </w:rPr>
              <w:t>(Salmo-Priest)</w:t>
            </w:r>
          </w:p>
        </w:tc>
      </w:tr>
      <w:tr>
        <w:trPr>
          <w:trHeight w:val="1321" w:hRule="atLeast"/>
        </w:trPr>
        <w:tc>
          <w:tcPr>
            <w:tcW w:w="3583" w:type="dxa"/>
            <w:tcBorders>
              <w:right w:val="nil"/>
            </w:tcBorders>
          </w:tcPr>
          <w:p>
            <w:pPr>
              <w:pStyle w:val="TableParagraph"/>
              <w:ind w:left="107"/>
              <w:rPr>
                <w:b/>
                <w:sz w:val="18"/>
              </w:rPr>
            </w:pPr>
            <w:r>
              <w:rPr>
                <w:b/>
                <w:sz w:val="18"/>
              </w:rPr>
              <w:t>Infrastructure, above ground infrastructure</w:t>
            </w:r>
            <w:r>
              <w:rPr>
                <w:b/>
                <w:spacing w:val="-12"/>
                <w:sz w:val="18"/>
              </w:rPr>
              <w:t> </w:t>
            </w:r>
            <w:r>
              <w:rPr>
                <w:b/>
                <w:sz w:val="18"/>
              </w:rPr>
              <w:t>associated</w:t>
            </w:r>
            <w:r>
              <w:rPr>
                <w:b/>
                <w:spacing w:val="-12"/>
                <w:sz w:val="18"/>
              </w:rPr>
              <w:t> </w:t>
            </w:r>
            <w:r>
              <w:rPr>
                <w:b/>
                <w:sz w:val="18"/>
              </w:rPr>
              <w:t>with</w:t>
            </w:r>
            <w:r>
              <w:rPr>
                <w:b/>
                <w:spacing w:val="-11"/>
                <w:sz w:val="18"/>
              </w:rPr>
              <w:t> </w:t>
            </w:r>
            <w:r>
              <w:rPr>
                <w:b/>
                <w:sz w:val="18"/>
              </w:rPr>
              <w:t>special use permits, such as communication sites, energy developments, and/or utility</w:t>
            </w:r>
            <w:r>
              <w:rPr>
                <w:b/>
                <w:spacing w:val="-5"/>
                <w:sz w:val="18"/>
              </w:rPr>
              <w:t> </w:t>
            </w:r>
            <w:r>
              <w:rPr>
                <w:b/>
                <w:sz w:val="18"/>
              </w:rPr>
              <w:t>lines.</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spacing w:line="207" w:lineRule="exact"/>
              <w:ind w:left="40"/>
              <w:jc w:val="center"/>
              <w:rPr>
                <w:sz w:val="18"/>
              </w:rPr>
            </w:pPr>
            <w:r>
              <w:rPr>
                <w:spacing w:val="-10"/>
                <w:sz w:val="18"/>
              </w:rPr>
              <w:t>X</w:t>
            </w:r>
          </w:p>
          <w:p>
            <w:pPr>
              <w:pStyle w:val="TableParagraph"/>
              <w:spacing w:before="0"/>
              <w:ind w:left="147" w:right="108"/>
              <w:jc w:val="center"/>
              <w:rPr>
                <w:sz w:val="18"/>
              </w:rPr>
            </w:pPr>
            <w:r>
              <w:rPr>
                <w:sz w:val="18"/>
              </w:rPr>
              <w:t>(Except</w:t>
            </w:r>
            <w:r>
              <w:rPr>
                <w:spacing w:val="-12"/>
                <w:sz w:val="18"/>
              </w:rPr>
              <w:t> </w:t>
            </w:r>
            <w:r>
              <w:rPr>
                <w:sz w:val="18"/>
              </w:rPr>
              <w:t>where</w:t>
            </w:r>
            <w:r>
              <w:rPr>
                <w:spacing w:val="-11"/>
                <w:sz w:val="18"/>
              </w:rPr>
              <w:t> </w:t>
            </w:r>
            <w:r>
              <w:rPr>
                <w:sz w:val="18"/>
              </w:rPr>
              <w:t>Forest</w:t>
            </w:r>
            <w:r>
              <w:rPr>
                <w:spacing w:val="-12"/>
                <w:sz w:val="18"/>
              </w:rPr>
              <w:t> </w:t>
            </w:r>
            <w:r>
              <w:rPr>
                <w:sz w:val="18"/>
              </w:rPr>
              <w:t>Service radio repeaters or communication devices necessary for administration of wilderness)</w:t>
            </w:r>
          </w:p>
        </w:tc>
      </w:tr>
      <w:tr>
        <w:trPr>
          <w:trHeight w:val="287" w:hRule="atLeast"/>
        </w:trPr>
        <w:tc>
          <w:tcPr>
            <w:tcW w:w="3583"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284" w:hRule="atLeast"/>
        </w:trPr>
        <w:tc>
          <w:tcPr>
            <w:tcW w:w="3583" w:type="dxa"/>
            <w:tcBorders>
              <w:right w:val="nil"/>
            </w:tcBorders>
          </w:tcPr>
          <w:p>
            <w:pPr>
              <w:pStyle w:val="TableParagraph"/>
              <w:ind w:left="107"/>
              <w:rPr>
                <w:b/>
                <w:sz w:val="18"/>
              </w:rPr>
            </w:pPr>
            <w:r>
              <w:rPr>
                <w:b/>
                <w:sz w:val="18"/>
              </w:rPr>
              <w:t>Minerals,</w:t>
            </w:r>
            <w:r>
              <w:rPr>
                <w:b/>
                <w:spacing w:val="-9"/>
                <w:sz w:val="18"/>
              </w:rPr>
              <w:t> </w:t>
            </w:r>
            <w:r>
              <w:rPr>
                <w:b/>
                <w:spacing w:val="-2"/>
                <w:sz w:val="18"/>
              </w:rPr>
              <w:t>leasable</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908" w:hRule="atLeast"/>
        </w:trPr>
        <w:tc>
          <w:tcPr>
            <w:tcW w:w="3583" w:type="dxa"/>
            <w:tcBorders>
              <w:right w:val="nil"/>
            </w:tcBorders>
          </w:tcPr>
          <w:p>
            <w:pPr>
              <w:pStyle w:val="TableParagraph"/>
              <w:spacing w:before="42"/>
              <w:ind w:left="107"/>
              <w:rPr>
                <w:b/>
                <w:sz w:val="18"/>
              </w:rPr>
            </w:pPr>
            <w:r>
              <w:rPr>
                <w:b/>
                <w:sz w:val="18"/>
              </w:rPr>
              <w:t>Minerals,</w:t>
            </w:r>
            <w:r>
              <w:rPr>
                <w:b/>
                <w:spacing w:val="-9"/>
                <w:sz w:val="18"/>
              </w:rPr>
              <w:t> </w:t>
            </w:r>
            <w:r>
              <w:rPr>
                <w:b/>
                <w:spacing w:val="-2"/>
                <w:sz w:val="18"/>
              </w:rPr>
              <w:t>locatable</w:t>
            </w:r>
          </w:p>
        </w:tc>
        <w:tc>
          <w:tcPr>
            <w:tcW w:w="2334" w:type="dxa"/>
            <w:tcBorders>
              <w:left w:val="nil"/>
              <w:right w:val="nil"/>
            </w:tcBorders>
          </w:tcPr>
          <w:p>
            <w:pPr>
              <w:pStyle w:val="TableParagraph"/>
              <w:spacing w:line="207" w:lineRule="exact" w:before="42"/>
              <w:ind w:left="39" w:right="2"/>
              <w:jc w:val="center"/>
              <w:rPr>
                <w:sz w:val="18"/>
              </w:rPr>
            </w:pPr>
            <w:r>
              <w:rPr>
                <w:spacing w:val="-10"/>
                <w:sz w:val="18"/>
              </w:rPr>
              <w:t>X</w:t>
            </w:r>
          </w:p>
          <w:p>
            <w:pPr>
              <w:pStyle w:val="TableParagraph"/>
              <w:spacing w:before="0"/>
              <w:ind w:left="151" w:right="106" w:hanging="5"/>
              <w:jc w:val="center"/>
              <w:rPr>
                <w:sz w:val="18"/>
              </w:rPr>
            </w:pPr>
            <w:r>
              <w:rPr>
                <w:sz w:val="18"/>
              </w:rPr>
              <w:t>(Operations may be approved where valid existing</w:t>
            </w:r>
            <w:r>
              <w:rPr>
                <w:spacing w:val="-11"/>
                <w:sz w:val="18"/>
              </w:rPr>
              <w:t> </w:t>
            </w:r>
            <w:r>
              <w:rPr>
                <w:sz w:val="18"/>
              </w:rPr>
              <w:t>rights</w:t>
            </w:r>
            <w:r>
              <w:rPr>
                <w:spacing w:val="-12"/>
                <w:sz w:val="18"/>
              </w:rPr>
              <w:t> </w:t>
            </w:r>
            <w:r>
              <w:rPr>
                <w:sz w:val="18"/>
              </w:rPr>
              <w:t>are</w:t>
            </w:r>
            <w:r>
              <w:rPr>
                <w:spacing w:val="-13"/>
                <w:sz w:val="18"/>
              </w:rPr>
              <w:t> </w:t>
            </w:r>
            <w:r>
              <w:rPr>
                <w:sz w:val="18"/>
              </w:rPr>
              <w:t>proven)</w:t>
            </w:r>
          </w:p>
        </w:tc>
        <w:tc>
          <w:tcPr>
            <w:tcW w:w="2632" w:type="dxa"/>
            <w:tcBorders>
              <w:left w:val="nil"/>
            </w:tcBorders>
          </w:tcPr>
          <w:p>
            <w:pPr>
              <w:pStyle w:val="TableParagraph"/>
              <w:spacing w:before="0"/>
              <w:rPr>
                <w:rFonts w:ascii="Times New Roman"/>
                <w:sz w:val="18"/>
              </w:rPr>
            </w:pPr>
          </w:p>
        </w:tc>
      </w:tr>
      <w:tr>
        <w:trPr>
          <w:trHeight w:val="287" w:hRule="atLeast"/>
        </w:trPr>
        <w:tc>
          <w:tcPr>
            <w:tcW w:w="3583"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493" w:hRule="atLeast"/>
        </w:trPr>
        <w:tc>
          <w:tcPr>
            <w:tcW w:w="3583" w:type="dxa"/>
            <w:tcBorders>
              <w:right w:val="nil"/>
            </w:tcBorders>
          </w:tcPr>
          <w:p>
            <w:pPr>
              <w:pStyle w:val="TableParagraph"/>
              <w:ind w:left="107"/>
              <w:rPr>
                <w:b/>
                <w:sz w:val="18"/>
              </w:rPr>
            </w:pPr>
            <w:r>
              <w:rPr>
                <w:b/>
                <w:sz w:val="18"/>
              </w:rPr>
              <w:t>Motorized</w:t>
            </w:r>
            <w:r>
              <w:rPr>
                <w:b/>
                <w:spacing w:val="-11"/>
                <w:sz w:val="18"/>
              </w:rPr>
              <w:t> </w:t>
            </w:r>
            <w:r>
              <w:rPr>
                <w:b/>
                <w:sz w:val="18"/>
              </w:rPr>
              <w:t>recreational</w:t>
            </w:r>
            <w:r>
              <w:rPr>
                <w:b/>
                <w:spacing w:val="-11"/>
                <w:sz w:val="18"/>
              </w:rPr>
              <w:t> </w:t>
            </w:r>
            <w:r>
              <w:rPr>
                <w:b/>
                <w:sz w:val="18"/>
              </w:rPr>
              <w:t>use,</w:t>
            </w:r>
            <w:r>
              <w:rPr>
                <w:b/>
                <w:spacing w:val="-13"/>
                <w:sz w:val="18"/>
              </w:rPr>
              <w:t> </w:t>
            </w:r>
            <w:r>
              <w:rPr>
                <w:b/>
                <w:sz w:val="18"/>
              </w:rPr>
              <w:t>summer, trails or play areas</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493" w:hRule="atLeast"/>
        </w:trPr>
        <w:tc>
          <w:tcPr>
            <w:tcW w:w="3583" w:type="dxa"/>
            <w:tcBorders>
              <w:right w:val="nil"/>
            </w:tcBorders>
          </w:tcPr>
          <w:p>
            <w:pPr>
              <w:pStyle w:val="TableParagraph"/>
              <w:ind w:left="107" w:right="130"/>
              <w:rPr>
                <w:b/>
                <w:sz w:val="18"/>
              </w:rPr>
            </w:pPr>
            <w:r>
              <w:rPr>
                <w:b/>
                <w:sz w:val="18"/>
              </w:rPr>
              <w:t>Motorized</w:t>
            </w:r>
            <w:r>
              <w:rPr>
                <w:b/>
                <w:spacing w:val="-11"/>
                <w:sz w:val="18"/>
              </w:rPr>
              <w:t> </w:t>
            </w:r>
            <w:r>
              <w:rPr>
                <w:b/>
                <w:sz w:val="18"/>
              </w:rPr>
              <w:t>recreational</w:t>
            </w:r>
            <w:r>
              <w:rPr>
                <w:b/>
                <w:spacing w:val="-11"/>
                <w:sz w:val="18"/>
              </w:rPr>
              <w:t> </w:t>
            </w:r>
            <w:r>
              <w:rPr>
                <w:b/>
                <w:sz w:val="18"/>
              </w:rPr>
              <w:t>use,</w:t>
            </w:r>
            <w:r>
              <w:rPr>
                <w:b/>
                <w:spacing w:val="-13"/>
                <w:sz w:val="18"/>
              </w:rPr>
              <w:t> </w:t>
            </w:r>
            <w:r>
              <w:rPr>
                <w:b/>
                <w:sz w:val="18"/>
              </w:rPr>
              <w:t>winter, trails or cross-country</w:t>
            </w:r>
          </w:p>
        </w:tc>
        <w:tc>
          <w:tcPr>
            <w:tcW w:w="2334" w:type="dxa"/>
            <w:tcBorders>
              <w:left w:val="nil"/>
              <w:right w:val="nil"/>
            </w:tcBorders>
          </w:tcPr>
          <w:p>
            <w:pPr>
              <w:pStyle w:val="TableParagraph"/>
              <w:spacing w:before="0"/>
              <w:rPr>
                <w:rFonts w:ascii="Times New Roman"/>
                <w:sz w:val="18"/>
              </w:rPr>
            </w:pPr>
          </w:p>
        </w:tc>
        <w:tc>
          <w:tcPr>
            <w:tcW w:w="2632" w:type="dxa"/>
            <w:tcBorders>
              <w:left w:val="nil"/>
            </w:tcBorders>
          </w:tcPr>
          <w:p>
            <w:pPr>
              <w:pStyle w:val="TableParagraph"/>
              <w:ind w:left="40"/>
              <w:jc w:val="center"/>
              <w:rPr>
                <w:sz w:val="18"/>
              </w:rPr>
            </w:pPr>
            <w:r>
              <w:rPr>
                <w:spacing w:val="-10"/>
                <w:sz w:val="18"/>
              </w:rPr>
              <w:t>X</w:t>
            </w:r>
          </w:p>
        </w:tc>
      </w:tr>
      <w:tr>
        <w:trPr>
          <w:trHeight w:val="495" w:hRule="atLeast"/>
        </w:trPr>
        <w:tc>
          <w:tcPr>
            <w:tcW w:w="3583" w:type="dxa"/>
            <w:tcBorders>
              <w:right w:val="nil"/>
            </w:tcBorders>
          </w:tcPr>
          <w:p>
            <w:pPr>
              <w:pStyle w:val="TableParagraph"/>
              <w:spacing w:before="42"/>
              <w:ind w:left="107" w:right="130"/>
              <w:rPr>
                <w:b/>
                <w:sz w:val="18"/>
              </w:rPr>
            </w:pPr>
            <w:r>
              <w:rPr>
                <w:b/>
                <w:sz w:val="18"/>
              </w:rPr>
              <w:t>Non-motorized</w:t>
            </w:r>
            <w:r>
              <w:rPr>
                <w:b/>
                <w:spacing w:val="-15"/>
                <w:sz w:val="18"/>
              </w:rPr>
              <w:t> </w:t>
            </w:r>
            <w:r>
              <w:rPr>
                <w:b/>
                <w:sz w:val="18"/>
              </w:rPr>
              <w:t>recreational</w:t>
            </w:r>
            <w:r>
              <w:rPr>
                <w:b/>
                <w:spacing w:val="-12"/>
                <w:sz w:val="18"/>
              </w:rPr>
              <w:t> </w:t>
            </w:r>
            <w:r>
              <w:rPr>
                <w:b/>
                <w:sz w:val="18"/>
              </w:rPr>
              <w:t>use, </w:t>
            </w:r>
            <w:r>
              <w:rPr>
                <w:b/>
                <w:spacing w:val="-2"/>
                <w:sz w:val="18"/>
              </w:rPr>
              <w:t>summer</w:t>
            </w:r>
          </w:p>
        </w:tc>
        <w:tc>
          <w:tcPr>
            <w:tcW w:w="2334" w:type="dxa"/>
            <w:tcBorders>
              <w:left w:val="nil"/>
              <w:right w:val="nil"/>
            </w:tcBorders>
          </w:tcPr>
          <w:p>
            <w:pPr>
              <w:pStyle w:val="TableParagraph"/>
              <w:spacing w:before="42"/>
              <w:ind w:left="39" w:right="2"/>
              <w:jc w:val="center"/>
              <w:rPr>
                <w:sz w:val="18"/>
              </w:rPr>
            </w:pPr>
            <w:r>
              <w:rPr>
                <w:spacing w:val="-10"/>
                <w:sz w:val="18"/>
              </w:rPr>
              <w:t>X</w:t>
            </w:r>
          </w:p>
        </w:tc>
        <w:tc>
          <w:tcPr>
            <w:tcW w:w="2632" w:type="dxa"/>
            <w:tcBorders>
              <w:left w:val="nil"/>
            </w:tcBorders>
          </w:tcPr>
          <w:p>
            <w:pPr>
              <w:pStyle w:val="TableParagraph"/>
              <w:spacing w:before="0"/>
              <w:rPr>
                <w:rFonts w:ascii="Times New Roman"/>
                <w:sz w:val="18"/>
              </w:rPr>
            </w:pPr>
          </w:p>
        </w:tc>
      </w:tr>
    </w:tbl>
    <w:p>
      <w:pPr>
        <w:pStyle w:val="TableParagraph"/>
        <w:spacing w:after="0"/>
        <w:rPr>
          <w:rFonts w:ascii="Times New Roman"/>
          <w:sz w:val="18"/>
        </w:rPr>
        <w:sectPr>
          <w:pgSz w:w="12240" w:h="15840"/>
          <w:pgMar w:header="725" w:footer="891" w:top="1340" w:bottom="1080" w:left="1080" w:right="1080"/>
        </w:sectPr>
      </w:pPr>
    </w:p>
    <w:p>
      <w:pPr>
        <w:pStyle w:val="BodyText"/>
        <w:spacing w:before="3"/>
        <w:rPr>
          <w:rFonts w:ascii="Arial"/>
          <w:b/>
          <w:sz w:val="7"/>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801"/>
        <w:gridCol w:w="2116"/>
        <w:gridCol w:w="2632"/>
      </w:tblGrid>
      <w:tr>
        <w:trPr>
          <w:trHeight w:val="287" w:hRule="atLeast"/>
        </w:trPr>
        <w:tc>
          <w:tcPr>
            <w:tcW w:w="3801" w:type="dxa"/>
            <w:tcBorders>
              <w:right w:val="nil"/>
            </w:tcBorders>
            <w:shd w:val="clear" w:color="auto" w:fill="D5E2BB"/>
          </w:tcPr>
          <w:p>
            <w:pPr>
              <w:pStyle w:val="TableParagraph"/>
              <w:ind w:left="1173"/>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116" w:type="dxa"/>
            <w:tcBorders>
              <w:left w:val="nil"/>
              <w:right w:val="nil"/>
            </w:tcBorders>
            <w:shd w:val="clear" w:color="auto" w:fill="D5E2BB"/>
          </w:tcPr>
          <w:p>
            <w:pPr>
              <w:pStyle w:val="TableParagraph"/>
              <w:ind w:left="2" w:right="178"/>
              <w:jc w:val="center"/>
              <w:rPr>
                <w:b/>
                <w:sz w:val="18"/>
              </w:rPr>
            </w:pPr>
            <w:r>
              <w:rPr>
                <w:b/>
                <w:sz w:val="18"/>
              </w:rPr>
              <w:t>May</w:t>
            </w:r>
            <w:r>
              <w:rPr>
                <w:b/>
                <w:spacing w:val="-9"/>
                <w:sz w:val="18"/>
              </w:rPr>
              <w:t> </w:t>
            </w:r>
            <w:r>
              <w:rPr>
                <w:b/>
                <w:spacing w:val="-2"/>
                <w:sz w:val="18"/>
              </w:rPr>
              <w:t>authorize</w:t>
            </w:r>
          </w:p>
        </w:tc>
        <w:tc>
          <w:tcPr>
            <w:tcW w:w="2632" w:type="dxa"/>
            <w:tcBorders>
              <w:left w:val="nil"/>
            </w:tcBorders>
            <w:shd w:val="clear" w:color="auto" w:fill="D5E2BB"/>
          </w:tcPr>
          <w:p>
            <w:pPr>
              <w:pStyle w:val="TableParagraph"/>
              <w:ind w:left="41"/>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3801"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2116" w:type="dxa"/>
            <w:tcBorders>
              <w:left w:val="nil"/>
              <w:right w:val="nil"/>
            </w:tcBorders>
          </w:tcPr>
          <w:p>
            <w:pPr>
              <w:pStyle w:val="TableParagraph"/>
              <w:ind w:right="178"/>
              <w:jc w:val="center"/>
              <w:rPr>
                <w:sz w:val="18"/>
              </w:rPr>
            </w:pPr>
            <w:r>
              <w:rPr>
                <w:spacing w:val="-10"/>
                <w:sz w:val="18"/>
              </w:rPr>
              <w:t>X</w:t>
            </w:r>
          </w:p>
        </w:tc>
        <w:tc>
          <w:tcPr>
            <w:tcW w:w="2632" w:type="dxa"/>
            <w:tcBorders>
              <w:left w:val="nil"/>
            </w:tcBorders>
          </w:tcPr>
          <w:p>
            <w:pPr>
              <w:pStyle w:val="TableParagraph"/>
              <w:spacing w:before="0"/>
              <w:rPr>
                <w:rFonts w:ascii="Times New Roman"/>
                <w:sz w:val="20"/>
              </w:rPr>
            </w:pPr>
          </w:p>
        </w:tc>
      </w:tr>
      <w:tr>
        <w:trPr>
          <w:trHeight w:val="287" w:hRule="atLeast"/>
        </w:trPr>
        <w:tc>
          <w:tcPr>
            <w:tcW w:w="3801"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2116" w:type="dxa"/>
            <w:tcBorders>
              <w:left w:val="nil"/>
              <w:right w:val="nil"/>
            </w:tcBorders>
          </w:tcPr>
          <w:p>
            <w:pPr>
              <w:pStyle w:val="TableParagraph"/>
              <w:spacing w:before="0"/>
              <w:rPr>
                <w:rFonts w:ascii="Times New Roman"/>
                <w:sz w:val="20"/>
              </w:rPr>
            </w:pPr>
          </w:p>
        </w:tc>
        <w:tc>
          <w:tcPr>
            <w:tcW w:w="2632" w:type="dxa"/>
            <w:tcBorders>
              <w:left w:val="nil"/>
            </w:tcBorders>
          </w:tcPr>
          <w:p>
            <w:pPr>
              <w:pStyle w:val="TableParagraph"/>
              <w:ind w:left="40"/>
              <w:jc w:val="center"/>
              <w:rPr>
                <w:sz w:val="18"/>
              </w:rPr>
            </w:pPr>
            <w:r>
              <w:rPr>
                <w:spacing w:val="-10"/>
                <w:sz w:val="18"/>
              </w:rPr>
              <w:t>X</w:t>
            </w:r>
          </w:p>
        </w:tc>
      </w:tr>
      <w:tr>
        <w:trPr>
          <w:trHeight w:val="287" w:hRule="atLeast"/>
        </w:trPr>
        <w:tc>
          <w:tcPr>
            <w:tcW w:w="3801"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2116" w:type="dxa"/>
            <w:tcBorders>
              <w:left w:val="nil"/>
              <w:right w:val="nil"/>
            </w:tcBorders>
          </w:tcPr>
          <w:p>
            <w:pPr>
              <w:pStyle w:val="TableParagraph"/>
              <w:spacing w:before="0"/>
              <w:rPr>
                <w:rFonts w:ascii="Times New Roman"/>
                <w:sz w:val="20"/>
              </w:rPr>
            </w:pPr>
          </w:p>
        </w:tc>
        <w:tc>
          <w:tcPr>
            <w:tcW w:w="2632" w:type="dxa"/>
            <w:tcBorders>
              <w:left w:val="nil"/>
            </w:tcBorders>
          </w:tcPr>
          <w:p>
            <w:pPr>
              <w:pStyle w:val="TableParagraph"/>
              <w:ind w:left="40"/>
              <w:jc w:val="center"/>
              <w:rPr>
                <w:sz w:val="18"/>
              </w:rPr>
            </w:pPr>
            <w:r>
              <w:rPr>
                <w:spacing w:val="-10"/>
                <w:sz w:val="18"/>
              </w:rPr>
              <w:t>X</w:t>
            </w:r>
          </w:p>
        </w:tc>
      </w:tr>
      <w:tr>
        <w:trPr>
          <w:trHeight w:val="493" w:hRule="atLeast"/>
        </w:trPr>
        <w:tc>
          <w:tcPr>
            <w:tcW w:w="3801" w:type="dxa"/>
            <w:tcBorders>
              <w:right w:val="nil"/>
            </w:tcBorders>
          </w:tcPr>
          <w:p>
            <w:pPr>
              <w:pStyle w:val="TableParagraph"/>
              <w:ind w:left="107" w:right="14"/>
              <w:rPr>
                <w:b/>
                <w:sz w:val="18"/>
              </w:rPr>
            </w:pPr>
            <w:r>
              <w:rPr>
                <w:b/>
                <w:sz w:val="18"/>
              </w:rPr>
              <w:t>Special</w:t>
            </w:r>
            <w:r>
              <w:rPr>
                <w:b/>
                <w:spacing w:val="-10"/>
                <w:sz w:val="18"/>
              </w:rPr>
              <w:t> </w:t>
            </w:r>
            <w:r>
              <w:rPr>
                <w:b/>
                <w:sz w:val="18"/>
              </w:rPr>
              <w:t>use</w:t>
            </w:r>
            <w:r>
              <w:rPr>
                <w:b/>
                <w:spacing w:val="-10"/>
                <w:sz w:val="18"/>
              </w:rPr>
              <w:t> </w:t>
            </w:r>
            <w:r>
              <w:rPr>
                <w:b/>
                <w:sz w:val="18"/>
              </w:rPr>
              <w:t>permits,</w:t>
            </w:r>
            <w:r>
              <w:rPr>
                <w:b/>
                <w:spacing w:val="-8"/>
                <w:sz w:val="18"/>
              </w:rPr>
              <w:t> </w:t>
            </w:r>
            <w:r>
              <w:rPr>
                <w:b/>
                <w:sz w:val="18"/>
              </w:rPr>
              <w:t>recreational</w:t>
            </w:r>
            <w:r>
              <w:rPr>
                <w:b/>
                <w:spacing w:val="-8"/>
                <w:sz w:val="18"/>
              </w:rPr>
              <w:t> </w:t>
            </w:r>
            <w:r>
              <w:rPr>
                <w:b/>
                <w:sz w:val="18"/>
              </w:rPr>
              <w:t>&amp; </w:t>
            </w:r>
            <w:r>
              <w:rPr>
                <w:b/>
                <w:spacing w:val="-2"/>
                <w:sz w:val="18"/>
              </w:rPr>
              <w:t>research</w:t>
            </w:r>
          </w:p>
        </w:tc>
        <w:tc>
          <w:tcPr>
            <w:tcW w:w="2116" w:type="dxa"/>
            <w:tcBorders>
              <w:left w:val="nil"/>
              <w:right w:val="nil"/>
            </w:tcBorders>
          </w:tcPr>
          <w:p>
            <w:pPr>
              <w:pStyle w:val="TableParagraph"/>
              <w:ind w:right="178"/>
              <w:jc w:val="center"/>
              <w:rPr>
                <w:sz w:val="18"/>
              </w:rPr>
            </w:pPr>
            <w:r>
              <w:rPr>
                <w:spacing w:val="-10"/>
                <w:sz w:val="18"/>
              </w:rPr>
              <w:t>X</w:t>
            </w:r>
          </w:p>
        </w:tc>
        <w:tc>
          <w:tcPr>
            <w:tcW w:w="2632" w:type="dxa"/>
            <w:tcBorders>
              <w:left w:val="nil"/>
            </w:tcBorders>
          </w:tcPr>
          <w:p>
            <w:pPr>
              <w:pStyle w:val="TableParagraph"/>
              <w:spacing w:before="0"/>
              <w:rPr>
                <w:rFonts w:ascii="Times New Roman"/>
                <w:sz w:val="20"/>
              </w:rPr>
            </w:pPr>
          </w:p>
        </w:tc>
      </w:tr>
      <w:tr>
        <w:trPr>
          <w:trHeight w:val="287" w:hRule="atLeast"/>
        </w:trPr>
        <w:tc>
          <w:tcPr>
            <w:tcW w:w="3801"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2116" w:type="dxa"/>
            <w:tcBorders>
              <w:left w:val="nil"/>
              <w:right w:val="nil"/>
            </w:tcBorders>
          </w:tcPr>
          <w:p>
            <w:pPr>
              <w:pStyle w:val="TableParagraph"/>
              <w:spacing w:before="0"/>
              <w:rPr>
                <w:rFonts w:ascii="Times New Roman"/>
                <w:sz w:val="20"/>
              </w:rPr>
            </w:pPr>
          </w:p>
        </w:tc>
        <w:tc>
          <w:tcPr>
            <w:tcW w:w="2632" w:type="dxa"/>
            <w:tcBorders>
              <w:left w:val="nil"/>
            </w:tcBorders>
          </w:tcPr>
          <w:p>
            <w:pPr>
              <w:pStyle w:val="TableParagraph"/>
              <w:ind w:left="40"/>
              <w:jc w:val="center"/>
              <w:rPr>
                <w:sz w:val="18"/>
              </w:rPr>
            </w:pPr>
            <w:r>
              <w:rPr>
                <w:spacing w:val="-10"/>
                <w:sz w:val="18"/>
              </w:rPr>
              <w:t>X</w:t>
            </w:r>
          </w:p>
        </w:tc>
      </w:tr>
      <w:tr>
        <w:trPr>
          <w:trHeight w:val="287" w:hRule="atLeast"/>
        </w:trPr>
        <w:tc>
          <w:tcPr>
            <w:tcW w:w="3801" w:type="dxa"/>
            <w:tcBorders>
              <w:bottom w:val="single" w:sz="4" w:space="0" w:color="9BBA58"/>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2116" w:type="dxa"/>
            <w:tcBorders>
              <w:left w:val="nil"/>
              <w:bottom w:val="single" w:sz="4" w:space="0" w:color="9BBA58"/>
              <w:right w:val="nil"/>
            </w:tcBorders>
          </w:tcPr>
          <w:p>
            <w:pPr>
              <w:pStyle w:val="TableParagraph"/>
              <w:spacing w:before="0"/>
              <w:rPr>
                <w:rFonts w:ascii="Times New Roman"/>
                <w:sz w:val="20"/>
              </w:rPr>
            </w:pPr>
          </w:p>
        </w:tc>
        <w:tc>
          <w:tcPr>
            <w:tcW w:w="2632" w:type="dxa"/>
            <w:tcBorders>
              <w:left w:val="nil"/>
              <w:bottom w:val="single" w:sz="4" w:space="0" w:color="9BBA58"/>
            </w:tcBorders>
          </w:tcPr>
          <w:p>
            <w:pPr>
              <w:pStyle w:val="TableParagraph"/>
              <w:ind w:left="40"/>
              <w:jc w:val="center"/>
              <w:rPr>
                <w:sz w:val="18"/>
              </w:rPr>
            </w:pPr>
            <w:r>
              <w:rPr>
                <w:spacing w:val="-10"/>
                <w:sz w:val="18"/>
              </w:rPr>
              <w:t>X</w:t>
            </w:r>
          </w:p>
        </w:tc>
      </w:tr>
      <w:tr>
        <w:trPr>
          <w:trHeight w:val="287" w:hRule="atLeast"/>
        </w:trPr>
        <w:tc>
          <w:tcPr>
            <w:tcW w:w="3801" w:type="dxa"/>
            <w:tcBorders>
              <w:top w:val="single" w:sz="4" w:space="0" w:color="9BBA58"/>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2116" w:type="dxa"/>
            <w:tcBorders>
              <w:top w:val="single" w:sz="4" w:space="0" w:color="9BBA58"/>
              <w:left w:val="nil"/>
              <w:right w:val="nil"/>
            </w:tcBorders>
          </w:tcPr>
          <w:p>
            <w:pPr>
              <w:pStyle w:val="TableParagraph"/>
              <w:spacing w:before="0"/>
              <w:rPr>
                <w:rFonts w:ascii="Times New Roman"/>
                <w:sz w:val="20"/>
              </w:rPr>
            </w:pPr>
          </w:p>
        </w:tc>
        <w:tc>
          <w:tcPr>
            <w:tcW w:w="2632" w:type="dxa"/>
            <w:tcBorders>
              <w:top w:val="single" w:sz="4" w:space="0" w:color="9BBA58"/>
              <w:left w:val="nil"/>
            </w:tcBorders>
          </w:tcPr>
          <w:p>
            <w:pPr>
              <w:pStyle w:val="TableParagraph"/>
              <w:ind w:left="40"/>
              <w:jc w:val="center"/>
              <w:rPr>
                <w:sz w:val="18"/>
              </w:rPr>
            </w:pPr>
            <w:r>
              <w:rPr>
                <w:spacing w:val="-10"/>
                <w:sz w:val="18"/>
              </w:rPr>
              <w:t>X</w:t>
            </w:r>
          </w:p>
        </w:tc>
      </w:tr>
    </w:tbl>
    <w:p>
      <w:pPr>
        <w:pStyle w:val="BodyText"/>
        <w:spacing w:before="229"/>
        <w:rPr>
          <w:rFonts w:ascii="Arial"/>
          <w:b/>
        </w:rPr>
      </w:pPr>
    </w:p>
    <w:p>
      <w:pPr>
        <w:pStyle w:val="Heading3"/>
      </w:pPr>
      <w:bookmarkStart w:name="Wilderness – Recommended (RW)" w:id="882"/>
      <w:bookmarkEnd w:id="882"/>
      <w:r>
        <w:rPr>
          <w:b w:val="0"/>
        </w:rPr>
      </w:r>
      <w:bookmarkStart w:name="_bookmark266" w:id="883"/>
      <w:bookmarkEnd w:id="883"/>
      <w:r>
        <w:rPr>
          <w:b w:val="0"/>
        </w:rPr>
      </w:r>
      <w:r>
        <w:rPr>
          <w:smallCaps/>
          <w:color w:val="475824"/>
        </w:rPr>
        <w:t>Wilderness</w:t>
      </w:r>
      <w:r>
        <w:rPr>
          <w:smallCaps/>
          <w:color w:val="475824"/>
          <w:spacing w:val="-13"/>
        </w:rPr>
        <w:t> </w:t>
      </w:r>
      <w:r>
        <w:rPr>
          <w:smallCaps/>
          <w:color w:val="475824"/>
        </w:rPr>
        <w:t>–</w:t>
      </w:r>
      <w:r>
        <w:rPr>
          <w:smallCaps/>
          <w:color w:val="475824"/>
          <w:spacing w:val="-15"/>
        </w:rPr>
        <w:t> </w:t>
      </w:r>
      <w:r>
        <w:rPr>
          <w:smallCaps/>
          <w:color w:val="475824"/>
        </w:rPr>
        <w:t>Recommended</w:t>
      </w:r>
      <w:r>
        <w:rPr>
          <w:smallCaps/>
          <w:color w:val="475824"/>
          <w:spacing w:val="-7"/>
        </w:rPr>
        <w:t> </w:t>
      </w:r>
      <w:r>
        <w:rPr>
          <w:smallCaps/>
          <w:color w:val="475824"/>
          <w:spacing w:val="-4"/>
        </w:rPr>
        <w:t>(RW)</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33920">
                <wp:simplePos x="0" y="0"/>
                <wp:positionH relativeFrom="page">
                  <wp:posOffset>1627632</wp:posOffset>
                </wp:positionH>
                <wp:positionV relativeFrom="paragraph">
                  <wp:posOffset>75399</wp:posOffset>
                </wp:positionV>
                <wp:extent cx="5248910" cy="1022985"/>
                <wp:effectExtent l="0" t="0" r="0" b="0"/>
                <wp:wrapTopAndBottom/>
                <wp:docPr id="249" name="Textbox 249"/>
                <wp:cNvGraphicFramePr>
                  <a:graphicFrameLocks/>
                </wp:cNvGraphicFramePr>
                <a:graphic>
                  <a:graphicData uri="http://schemas.microsoft.com/office/word/2010/wordprocessingShape">
                    <wps:wsp>
                      <wps:cNvPr id="249" name="Textbox 249"/>
                      <wps:cNvSpPr txBox="1"/>
                      <wps:spPr>
                        <a:xfrm>
                          <a:off x="0" y="0"/>
                          <a:ext cx="5248910" cy="1022985"/>
                        </a:xfrm>
                        <a:prstGeom prst="rect">
                          <a:avLst/>
                        </a:prstGeom>
                        <a:solidFill>
                          <a:srgbClr val="DFDFDF"/>
                        </a:solidFill>
                      </wps:spPr>
                      <wps:txbx>
                        <w:txbxContent>
                          <w:p>
                            <w:pPr>
                              <w:pStyle w:val="BodyText"/>
                              <w:ind w:left="28" w:right="120"/>
                              <w:rPr>
                                <w:color w:val="000000"/>
                              </w:rPr>
                            </w:pPr>
                            <w:r>
                              <w:rPr>
                                <w:color w:val="000000"/>
                              </w:rPr>
                              <w:t>These areas are lands</w:t>
                            </w:r>
                            <w:r>
                              <w:rPr>
                                <w:color w:val="000000"/>
                                <w:spacing w:val="-2"/>
                              </w:rPr>
                              <w:t> </w:t>
                            </w:r>
                            <w:r>
                              <w:rPr>
                                <w:color w:val="000000"/>
                              </w:rPr>
                              <w:t>that</w:t>
                            </w:r>
                            <w:r>
                              <w:rPr>
                                <w:color w:val="000000"/>
                                <w:spacing w:val="-2"/>
                              </w:rPr>
                              <w:t> </w:t>
                            </w:r>
                            <w:r>
                              <w:rPr>
                                <w:color w:val="000000"/>
                              </w:rPr>
                              <w:t>have been</w:t>
                            </w:r>
                            <w:r>
                              <w:rPr>
                                <w:color w:val="000000"/>
                                <w:spacing w:val="-1"/>
                              </w:rPr>
                              <w:t> </w:t>
                            </w:r>
                            <w:r>
                              <w:rPr>
                                <w:color w:val="000000"/>
                              </w:rPr>
                              <w:t>identified</w:t>
                            </w:r>
                            <w:r>
                              <w:rPr>
                                <w:color w:val="000000"/>
                                <w:spacing w:val="-1"/>
                              </w:rPr>
                              <w:t> </w:t>
                            </w:r>
                            <w:r>
                              <w:rPr>
                                <w:color w:val="000000"/>
                              </w:rPr>
                              <w:t>and</w:t>
                            </w:r>
                            <w:r>
                              <w:rPr>
                                <w:color w:val="000000"/>
                                <w:spacing w:val="-1"/>
                              </w:rPr>
                              <w:t> </w:t>
                            </w:r>
                            <w:r>
                              <w:rPr>
                                <w:color w:val="000000"/>
                              </w:rPr>
                              <w:t>evaluated</w:t>
                            </w:r>
                            <w:r>
                              <w:rPr>
                                <w:color w:val="000000"/>
                                <w:spacing w:val="-3"/>
                              </w:rPr>
                              <w:t> </w:t>
                            </w:r>
                            <w:r>
                              <w:rPr>
                                <w:color w:val="000000"/>
                              </w:rPr>
                              <w:t>through</w:t>
                            </w:r>
                            <w:r>
                              <w:rPr>
                                <w:color w:val="000000"/>
                                <w:spacing w:val="-1"/>
                              </w:rPr>
                              <w:t> </w:t>
                            </w:r>
                            <w:r>
                              <w:rPr>
                                <w:color w:val="000000"/>
                              </w:rPr>
                              <w:t>the</w:t>
                            </w:r>
                            <w:r>
                              <w:rPr>
                                <w:color w:val="000000"/>
                                <w:spacing w:val="-2"/>
                              </w:rPr>
                              <w:t> </w:t>
                            </w:r>
                            <w:r>
                              <w:rPr>
                                <w:color w:val="000000"/>
                              </w:rPr>
                              <w:t>forest planning process</w:t>
                            </w:r>
                            <w:r>
                              <w:rPr>
                                <w:color w:val="000000"/>
                                <w:spacing w:val="-5"/>
                              </w:rPr>
                              <w:t> </w:t>
                            </w:r>
                            <w:r>
                              <w:rPr>
                                <w:color w:val="000000"/>
                              </w:rPr>
                              <w:t>as</w:t>
                            </w:r>
                            <w:r>
                              <w:rPr>
                                <w:color w:val="000000"/>
                                <w:spacing w:val="-3"/>
                              </w:rPr>
                              <w:t> </w:t>
                            </w:r>
                            <w:r>
                              <w:rPr>
                                <w:color w:val="000000"/>
                              </w:rPr>
                              <w:t>suited</w:t>
                            </w:r>
                            <w:r>
                              <w:rPr>
                                <w:color w:val="000000"/>
                                <w:spacing w:val="-4"/>
                              </w:rPr>
                              <w:t> </w:t>
                            </w:r>
                            <w:r>
                              <w:rPr>
                                <w:color w:val="000000"/>
                              </w:rPr>
                              <w:t>for</w:t>
                            </w:r>
                            <w:r>
                              <w:rPr>
                                <w:color w:val="000000"/>
                                <w:spacing w:val="-3"/>
                              </w:rPr>
                              <w:t> </w:t>
                            </w:r>
                            <w:r>
                              <w:rPr>
                                <w:color w:val="000000"/>
                              </w:rPr>
                              <w:t>recommendation</w:t>
                            </w:r>
                            <w:r>
                              <w:rPr>
                                <w:color w:val="000000"/>
                                <w:spacing w:val="-4"/>
                              </w:rPr>
                              <w:t> </w:t>
                            </w:r>
                            <w:r>
                              <w:rPr>
                                <w:color w:val="000000"/>
                              </w:rPr>
                              <w:t>for</w:t>
                            </w:r>
                            <w:r>
                              <w:rPr>
                                <w:color w:val="000000"/>
                                <w:spacing w:val="-3"/>
                              </w:rPr>
                              <w:t> </w:t>
                            </w:r>
                            <w:r>
                              <w:rPr>
                                <w:color w:val="000000"/>
                              </w:rPr>
                              <w:t>addition</w:t>
                            </w:r>
                            <w:r>
                              <w:rPr>
                                <w:color w:val="000000"/>
                                <w:spacing w:val="-4"/>
                              </w:rPr>
                              <w:t> </w:t>
                            </w:r>
                            <w:r>
                              <w:rPr>
                                <w:color w:val="000000"/>
                              </w:rPr>
                              <w:t>to</w:t>
                            </w:r>
                            <w:r>
                              <w:rPr>
                                <w:color w:val="000000"/>
                                <w:spacing w:val="-2"/>
                              </w:rPr>
                              <w:t> </w:t>
                            </w:r>
                            <w:r>
                              <w:rPr>
                                <w:color w:val="000000"/>
                              </w:rPr>
                              <w:t>the</w:t>
                            </w:r>
                            <w:r>
                              <w:rPr>
                                <w:color w:val="000000"/>
                                <w:spacing w:val="-2"/>
                              </w:rPr>
                              <w:t> </w:t>
                            </w:r>
                            <w:r>
                              <w:rPr>
                                <w:color w:val="000000"/>
                              </w:rPr>
                              <w:t>national</w:t>
                            </w:r>
                            <w:r>
                              <w:rPr>
                                <w:color w:val="000000"/>
                                <w:spacing w:val="-6"/>
                              </w:rPr>
                              <w:t> </w:t>
                            </w:r>
                            <w:r>
                              <w:rPr>
                                <w:color w:val="000000"/>
                              </w:rPr>
                              <w:t>wilderness</w:t>
                            </w:r>
                            <w:r>
                              <w:rPr>
                                <w:color w:val="000000"/>
                                <w:spacing w:val="-3"/>
                              </w:rPr>
                              <w:t> </w:t>
                            </w:r>
                            <w:r>
                              <w:rPr>
                                <w:color w:val="000000"/>
                              </w:rPr>
                              <w:t>preservation system. Wilderness characteristics are protected until</w:t>
                            </w:r>
                            <w:r>
                              <w:rPr>
                                <w:color w:val="000000"/>
                                <w:spacing w:val="-2"/>
                              </w:rPr>
                              <w:t> </w:t>
                            </w:r>
                            <w:r>
                              <w:rPr>
                                <w:color w:val="000000"/>
                              </w:rPr>
                              <w:t>Congress either designates the area as part of the National Wilderness Preservation System or the area is released from consideration. If Congress has not acted by the next planning effort, these areas may be further evaluated for wilderness designation.</w:t>
                            </w:r>
                          </w:p>
                        </w:txbxContent>
                      </wps:txbx>
                      <wps:bodyPr wrap="square" lIns="0" tIns="0" rIns="0" bIns="0" rtlCol="0">
                        <a:noAutofit/>
                      </wps:bodyPr>
                    </wps:wsp>
                  </a:graphicData>
                </a:graphic>
              </wp:anchor>
            </w:drawing>
          </mc:Choice>
          <mc:Fallback>
            <w:pict>
              <v:shape style="position:absolute;margin-left:128.160004pt;margin-top:5.936953pt;width:413.3pt;height:80.55pt;mso-position-horizontal-relative:page;mso-position-vertical-relative:paragraph;z-index:-15682560;mso-wrap-distance-left:0;mso-wrap-distance-right:0" type="#_x0000_t202" id="docshape235" filled="true" fillcolor="#dfdfdf" stroked="false">
                <v:textbox inset="0,0,0,0">
                  <w:txbxContent>
                    <w:p>
                      <w:pPr>
                        <w:pStyle w:val="BodyText"/>
                        <w:ind w:left="28" w:right="120"/>
                        <w:rPr>
                          <w:color w:val="000000"/>
                        </w:rPr>
                      </w:pPr>
                      <w:r>
                        <w:rPr>
                          <w:color w:val="000000"/>
                        </w:rPr>
                        <w:t>These areas are lands</w:t>
                      </w:r>
                      <w:r>
                        <w:rPr>
                          <w:color w:val="000000"/>
                          <w:spacing w:val="-2"/>
                        </w:rPr>
                        <w:t> </w:t>
                      </w:r>
                      <w:r>
                        <w:rPr>
                          <w:color w:val="000000"/>
                        </w:rPr>
                        <w:t>that</w:t>
                      </w:r>
                      <w:r>
                        <w:rPr>
                          <w:color w:val="000000"/>
                          <w:spacing w:val="-2"/>
                        </w:rPr>
                        <w:t> </w:t>
                      </w:r>
                      <w:r>
                        <w:rPr>
                          <w:color w:val="000000"/>
                        </w:rPr>
                        <w:t>have been</w:t>
                      </w:r>
                      <w:r>
                        <w:rPr>
                          <w:color w:val="000000"/>
                          <w:spacing w:val="-1"/>
                        </w:rPr>
                        <w:t> </w:t>
                      </w:r>
                      <w:r>
                        <w:rPr>
                          <w:color w:val="000000"/>
                        </w:rPr>
                        <w:t>identified</w:t>
                      </w:r>
                      <w:r>
                        <w:rPr>
                          <w:color w:val="000000"/>
                          <w:spacing w:val="-1"/>
                        </w:rPr>
                        <w:t> </w:t>
                      </w:r>
                      <w:r>
                        <w:rPr>
                          <w:color w:val="000000"/>
                        </w:rPr>
                        <w:t>and</w:t>
                      </w:r>
                      <w:r>
                        <w:rPr>
                          <w:color w:val="000000"/>
                          <w:spacing w:val="-1"/>
                        </w:rPr>
                        <w:t> </w:t>
                      </w:r>
                      <w:r>
                        <w:rPr>
                          <w:color w:val="000000"/>
                        </w:rPr>
                        <w:t>evaluated</w:t>
                      </w:r>
                      <w:r>
                        <w:rPr>
                          <w:color w:val="000000"/>
                          <w:spacing w:val="-3"/>
                        </w:rPr>
                        <w:t> </w:t>
                      </w:r>
                      <w:r>
                        <w:rPr>
                          <w:color w:val="000000"/>
                        </w:rPr>
                        <w:t>through</w:t>
                      </w:r>
                      <w:r>
                        <w:rPr>
                          <w:color w:val="000000"/>
                          <w:spacing w:val="-1"/>
                        </w:rPr>
                        <w:t> </w:t>
                      </w:r>
                      <w:r>
                        <w:rPr>
                          <w:color w:val="000000"/>
                        </w:rPr>
                        <w:t>the</w:t>
                      </w:r>
                      <w:r>
                        <w:rPr>
                          <w:color w:val="000000"/>
                          <w:spacing w:val="-2"/>
                        </w:rPr>
                        <w:t> </w:t>
                      </w:r>
                      <w:r>
                        <w:rPr>
                          <w:color w:val="000000"/>
                        </w:rPr>
                        <w:t>forest planning process</w:t>
                      </w:r>
                      <w:r>
                        <w:rPr>
                          <w:color w:val="000000"/>
                          <w:spacing w:val="-5"/>
                        </w:rPr>
                        <w:t> </w:t>
                      </w:r>
                      <w:r>
                        <w:rPr>
                          <w:color w:val="000000"/>
                        </w:rPr>
                        <w:t>as</w:t>
                      </w:r>
                      <w:r>
                        <w:rPr>
                          <w:color w:val="000000"/>
                          <w:spacing w:val="-3"/>
                        </w:rPr>
                        <w:t> </w:t>
                      </w:r>
                      <w:r>
                        <w:rPr>
                          <w:color w:val="000000"/>
                        </w:rPr>
                        <w:t>suited</w:t>
                      </w:r>
                      <w:r>
                        <w:rPr>
                          <w:color w:val="000000"/>
                          <w:spacing w:val="-4"/>
                        </w:rPr>
                        <w:t> </w:t>
                      </w:r>
                      <w:r>
                        <w:rPr>
                          <w:color w:val="000000"/>
                        </w:rPr>
                        <w:t>for</w:t>
                      </w:r>
                      <w:r>
                        <w:rPr>
                          <w:color w:val="000000"/>
                          <w:spacing w:val="-3"/>
                        </w:rPr>
                        <w:t> </w:t>
                      </w:r>
                      <w:r>
                        <w:rPr>
                          <w:color w:val="000000"/>
                        </w:rPr>
                        <w:t>recommendation</w:t>
                      </w:r>
                      <w:r>
                        <w:rPr>
                          <w:color w:val="000000"/>
                          <w:spacing w:val="-4"/>
                        </w:rPr>
                        <w:t> </w:t>
                      </w:r>
                      <w:r>
                        <w:rPr>
                          <w:color w:val="000000"/>
                        </w:rPr>
                        <w:t>for</w:t>
                      </w:r>
                      <w:r>
                        <w:rPr>
                          <w:color w:val="000000"/>
                          <w:spacing w:val="-3"/>
                        </w:rPr>
                        <w:t> </w:t>
                      </w:r>
                      <w:r>
                        <w:rPr>
                          <w:color w:val="000000"/>
                        </w:rPr>
                        <w:t>addition</w:t>
                      </w:r>
                      <w:r>
                        <w:rPr>
                          <w:color w:val="000000"/>
                          <w:spacing w:val="-4"/>
                        </w:rPr>
                        <w:t> </w:t>
                      </w:r>
                      <w:r>
                        <w:rPr>
                          <w:color w:val="000000"/>
                        </w:rPr>
                        <w:t>to</w:t>
                      </w:r>
                      <w:r>
                        <w:rPr>
                          <w:color w:val="000000"/>
                          <w:spacing w:val="-2"/>
                        </w:rPr>
                        <w:t> </w:t>
                      </w:r>
                      <w:r>
                        <w:rPr>
                          <w:color w:val="000000"/>
                        </w:rPr>
                        <w:t>the</w:t>
                      </w:r>
                      <w:r>
                        <w:rPr>
                          <w:color w:val="000000"/>
                          <w:spacing w:val="-2"/>
                        </w:rPr>
                        <w:t> </w:t>
                      </w:r>
                      <w:r>
                        <w:rPr>
                          <w:color w:val="000000"/>
                        </w:rPr>
                        <w:t>national</w:t>
                      </w:r>
                      <w:r>
                        <w:rPr>
                          <w:color w:val="000000"/>
                          <w:spacing w:val="-6"/>
                        </w:rPr>
                        <w:t> </w:t>
                      </w:r>
                      <w:r>
                        <w:rPr>
                          <w:color w:val="000000"/>
                        </w:rPr>
                        <w:t>wilderness</w:t>
                      </w:r>
                      <w:r>
                        <w:rPr>
                          <w:color w:val="000000"/>
                          <w:spacing w:val="-3"/>
                        </w:rPr>
                        <w:t> </w:t>
                      </w:r>
                      <w:r>
                        <w:rPr>
                          <w:color w:val="000000"/>
                        </w:rPr>
                        <w:t>preservation system. Wilderness characteristics are protected until</w:t>
                      </w:r>
                      <w:r>
                        <w:rPr>
                          <w:color w:val="000000"/>
                          <w:spacing w:val="-2"/>
                        </w:rPr>
                        <w:t> </w:t>
                      </w:r>
                      <w:r>
                        <w:rPr>
                          <w:color w:val="000000"/>
                        </w:rPr>
                        <w:t>Congress either designates the area as part of the National Wilderness Preservation System or the area is released from consideration. If Congress has not acted by the next planning effort, these areas may be further evaluated for wilderness designation.</w:t>
                      </w:r>
                    </w:p>
                  </w:txbxContent>
                </v:textbox>
                <v:fill type="solid"/>
                <w10:wrap type="topAndBottom"/>
              </v:shape>
            </w:pict>
          </mc:Fallback>
        </mc:AlternateContent>
      </w:r>
    </w:p>
    <w:p>
      <w:pPr>
        <w:pStyle w:val="BodyText"/>
        <w:spacing w:before="152"/>
        <w:rPr>
          <w:rFonts w:ascii="Arial"/>
          <w:b/>
          <w:sz w:val="18"/>
        </w:rPr>
      </w:pPr>
    </w:p>
    <w:p>
      <w:pPr>
        <w:spacing w:before="0" w:after="41"/>
        <w:ind w:left="1512" w:right="0" w:firstLine="0"/>
        <w:jc w:val="left"/>
        <w:rPr>
          <w:rFonts w:ascii="Arial"/>
          <w:b/>
          <w:sz w:val="18"/>
        </w:rPr>
      </w:pPr>
      <w:bookmarkStart w:name="_bookmark267" w:id="884"/>
      <w:bookmarkEnd w:id="884"/>
      <w:r>
        <w:rPr/>
      </w:r>
      <w:r>
        <w:rPr>
          <w:rFonts w:ascii="Arial"/>
          <w:b/>
          <w:sz w:val="18"/>
        </w:rPr>
        <w:t>Table</w:t>
      </w:r>
      <w:r>
        <w:rPr>
          <w:rFonts w:ascii="Arial"/>
          <w:b/>
          <w:spacing w:val="-4"/>
          <w:sz w:val="18"/>
        </w:rPr>
        <w:t> </w:t>
      </w:r>
      <w:r>
        <w:rPr>
          <w:rFonts w:ascii="Arial"/>
          <w:b/>
          <w:sz w:val="18"/>
        </w:rPr>
        <w:t>37.</w:t>
      </w:r>
      <w:r>
        <w:rPr>
          <w:rFonts w:ascii="Arial"/>
          <w:b/>
          <w:spacing w:val="-1"/>
          <w:sz w:val="18"/>
        </w:rPr>
        <w:t> </w:t>
      </w:r>
      <w:r>
        <w:rPr>
          <w:rFonts w:ascii="Arial"/>
          <w:b/>
          <w:sz w:val="18"/>
        </w:rPr>
        <w:t>Recommended</w:t>
      </w:r>
      <w:r>
        <w:rPr>
          <w:rFonts w:ascii="Arial"/>
          <w:b/>
          <w:spacing w:val="-5"/>
          <w:sz w:val="18"/>
        </w:rPr>
        <w:t> </w:t>
      </w:r>
      <w:r>
        <w:rPr>
          <w:rFonts w:ascii="Arial"/>
          <w:b/>
          <w:sz w:val="18"/>
        </w:rPr>
        <w:t>wilderness</w:t>
      </w:r>
      <w:r>
        <w:rPr>
          <w:rFonts w:ascii="Arial"/>
          <w:b/>
          <w:spacing w:val="-3"/>
          <w:sz w:val="18"/>
        </w:rPr>
        <w:t> </w:t>
      </w:r>
      <w:r>
        <w:rPr>
          <w:rFonts w:ascii="Arial"/>
          <w:b/>
          <w:sz w:val="18"/>
        </w:rPr>
        <w:t>by</w:t>
      </w:r>
      <w:r>
        <w:rPr>
          <w:rFonts w:ascii="Arial"/>
          <w:b/>
          <w:spacing w:val="-8"/>
          <w:sz w:val="18"/>
        </w:rPr>
        <w:t> </w:t>
      </w:r>
      <w:r>
        <w:rPr>
          <w:rFonts w:ascii="Arial"/>
          <w:b/>
          <w:sz w:val="18"/>
        </w:rPr>
        <w:t>name</w:t>
      </w:r>
      <w:r>
        <w:rPr>
          <w:rFonts w:ascii="Arial"/>
          <w:b/>
          <w:spacing w:val="-1"/>
          <w:sz w:val="18"/>
        </w:rPr>
        <w:t> </w:t>
      </w:r>
      <w:r>
        <w:rPr>
          <w:rFonts w:ascii="Arial"/>
          <w:b/>
          <w:sz w:val="18"/>
        </w:rPr>
        <w:t>and</w:t>
      </w:r>
      <w:r>
        <w:rPr>
          <w:rFonts w:ascii="Arial"/>
          <w:b/>
          <w:spacing w:val="-1"/>
          <w:sz w:val="18"/>
        </w:rPr>
        <w:t> </w:t>
      </w:r>
      <w:r>
        <w:rPr>
          <w:rFonts w:ascii="Arial"/>
          <w:b/>
          <w:spacing w:val="-2"/>
          <w:sz w:val="18"/>
        </w:rPr>
        <w:t>acreage</w:t>
      </w:r>
    </w:p>
    <w:tbl>
      <w:tblPr>
        <w:tblW w:w="0" w:type="auto"/>
        <w:jc w:val="left"/>
        <w:tblInd w:w="1548"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337"/>
        <w:gridCol w:w="3835"/>
      </w:tblGrid>
      <w:tr>
        <w:trPr>
          <w:trHeight w:val="287" w:hRule="atLeast"/>
        </w:trPr>
        <w:tc>
          <w:tcPr>
            <w:tcW w:w="4337" w:type="dxa"/>
            <w:shd w:val="clear" w:color="auto" w:fill="D5E2BB"/>
          </w:tcPr>
          <w:p>
            <w:pPr>
              <w:pStyle w:val="TableParagraph"/>
              <w:spacing w:before="42"/>
              <w:ind w:left="820"/>
              <w:rPr>
                <w:b/>
                <w:sz w:val="18"/>
              </w:rPr>
            </w:pPr>
            <w:r>
              <w:rPr>
                <w:b/>
                <w:sz w:val="18"/>
              </w:rPr>
              <w:t>Recommended</w:t>
            </w:r>
            <w:r>
              <w:rPr>
                <w:b/>
                <w:spacing w:val="-7"/>
                <w:sz w:val="18"/>
              </w:rPr>
              <w:t> </w:t>
            </w:r>
            <w:r>
              <w:rPr>
                <w:b/>
                <w:sz w:val="18"/>
              </w:rPr>
              <w:t>wilderness</w:t>
            </w:r>
            <w:r>
              <w:rPr>
                <w:b/>
                <w:spacing w:val="-3"/>
                <w:sz w:val="18"/>
              </w:rPr>
              <w:t> </w:t>
            </w:r>
            <w:r>
              <w:rPr>
                <w:b/>
                <w:spacing w:val="-4"/>
                <w:sz w:val="18"/>
              </w:rPr>
              <w:t>area</w:t>
            </w:r>
          </w:p>
        </w:tc>
        <w:tc>
          <w:tcPr>
            <w:tcW w:w="3835" w:type="dxa"/>
            <w:shd w:val="clear" w:color="auto" w:fill="D5E2BB"/>
          </w:tcPr>
          <w:p>
            <w:pPr>
              <w:pStyle w:val="TableParagraph"/>
              <w:spacing w:before="42"/>
              <w:ind w:left="18" w:right="2"/>
              <w:jc w:val="center"/>
              <w:rPr>
                <w:b/>
                <w:sz w:val="18"/>
              </w:rPr>
            </w:pPr>
            <w:r>
              <w:rPr>
                <w:b/>
                <w:sz w:val="18"/>
              </w:rPr>
              <w:t>Acres</w:t>
            </w:r>
            <w:r>
              <w:rPr>
                <w:b/>
                <w:spacing w:val="-2"/>
                <w:sz w:val="18"/>
              </w:rPr>
              <w:t> </w:t>
            </w:r>
            <w:r>
              <w:rPr>
                <w:b/>
                <w:sz w:val="18"/>
              </w:rPr>
              <w:t>of</w:t>
            </w:r>
            <w:r>
              <w:rPr>
                <w:b/>
                <w:spacing w:val="-3"/>
                <w:sz w:val="18"/>
              </w:rPr>
              <w:t> </w:t>
            </w:r>
            <w:r>
              <w:rPr>
                <w:b/>
                <w:sz w:val="18"/>
              </w:rPr>
              <w:t>recommended</w:t>
            </w:r>
            <w:r>
              <w:rPr>
                <w:b/>
                <w:spacing w:val="-5"/>
                <w:sz w:val="18"/>
              </w:rPr>
              <w:t> </w:t>
            </w:r>
            <w:r>
              <w:rPr>
                <w:b/>
                <w:spacing w:val="-2"/>
                <w:sz w:val="18"/>
              </w:rPr>
              <w:t>wilderness</w:t>
            </w:r>
          </w:p>
        </w:tc>
      </w:tr>
      <w:tr>
        <w:trPr>
          <w:trHeight w:val="287" w:hRule="atLeast"/>
        </w:trPr>
        <w:tc>
          <w:tcPr>
            <w:tcW w:w="4337" w:type="dxa"/>
          </w:tcPr>
          <w:p>
            <w:pPr>
              <w:pStyle w:val="TableParagraph"/>
              <w:spacing w:before="42"/>
              <w:ind w:left="107"/>
              <w:rPr>
                <w:b/>
                <w:sz w:val="18"/>
              </w:rPr>
            </w:pPr>
            <w:r>
              <w:rPr>
                <w:b/>
                <w:spacing w:val="-2"/>
                <w:sz w:val="18"/>
              </w:rPr>
              <w:t>Abercrombie-Hooknose</w:t>
            </w:r>
          </w:p>
        </w:tc>
        <w:tc>
          <w:tcPr>
            <w:tcW w:w="3835" w:type="dxa"/>
          </w:tcPr>
          <w:p>
            <w:pPr>
              <w:pStyle w:val="TableParagraph"/>
              <w:spacing w:before="42"/>
              <w:ind w:left="18"/>
              <w:jc w:val="center"/>
              <w:rPr>
                <w:sz w:val="18"/>
              </w:rPr>
            </w:pPr>
            <w:r>
              <w:rPr>
                <w:spacing w:val="-2"/>
                <w:sz w:val="18"/>
              </w:rPr>
              <w:t>29,330</w:t>
            </w:r>
          </w:p>
        </w:tc>
      </w:tr>
      <w:tr>
        <w:trPr>
          <w:trHeight w:val="287" w:hRule="atLeast"/>
        </w:trPr>
        <w:tc>
          <w:tcPr>
            <w:tcW w:w="4337" w:type="dxa"/>
          </w:tcPr>
          <w:p>
            <w:pPr>
              <w:pStyle w:val="TableParagraph"/>
              <w:ind w:left="107"/>
              <w:rPr>
                <w:b/>
                <w:sz w:val="18"/>
              </w:rPr>
            </w:pPr>
            <w:r>
              <w:rPr>
                <w:b/>
                <w:sz w:val="18"/>
              </w:rPr>
              <w:t>Bald</w:t>
            </w:r>
            <w:r>
              <w:rPr>
                <w:b/>
                <w:spacing w:val="-3"/>
                <w:sz w:val="18"/>
              </w:rPr>
              <w:t> </w:t>
            </w:r>
            <w:r>
              <w:rPr>
                <w:b/>
                <w:spacing w:val="-4"/>
                <w:sz w:val="18"/>
              </w:rPr>
              <w:t>Snow</w:t>
            </w:r>
          </w:p>
        </w:tc>
        <w:tc>
          <w:tcPr>
            <w:tcW w:w="3835" w:type="dxa"/>
          </w:tcPr>
          <w:p>
            <w:pPr>
              <w:pStyle w:val="TableParagraph"/>
              <w:ind w:left="18"/>
              <w:jc w:val="center"/>
              <w:rPr>
                <w:sz w:val="18"/>
              </w:rPr>
            </w:pPr>
            <w:r>
              <w:rPr>
                <w:spacing w:val="-2"/>
                <w:sz w:val="18"/>
              </w:rPr>
              <w:t>17,400</w:t>
            </w:r>
          </w:p>
        </w:tc>
      </w:tr>
      <w:tr>
        <w:trPr>
          <w:trHeight w:val="287" w:hRule="atLeast"/>
        </w:trPr>
        <w:tc>
          <w:tcPr>
            <w:tcW w:w="4337" w:type="dxa"/>
          </w:tcPr>
          <w:p>
            <w:pPr>
              <w:pStyle w:val="TableParagraph"/>
              <w:ind w:left="107"/>
              <w:rPr>
                <w:b/>
                <w:sz w:val="18"/>
              </w:rPr>
            </w:pPr>
            <w:r>
              <w:rPr>
                <w:b/>
                <w:sz w:val="18"/>
              </w:rPr>
              <w:t>Salmo-Priest</w:t>
            </w:r>
            <w:r>
              <w:rPr>
                <w:b/>
                <w:spacing w:val="-5"/>
                <w:sz w:val="18"/>
              </w:rPr>
              <w:t> </w:t>
            </w:r>
            <w:r>
              <w:rPr>
                <w:b/>
                <w:spacing w:val="-2"/>
                <w:sz w:val="18"/>
              </w:rPr>
              <w:t>Adjacent</w:t>
            </w:r>
          </w:p>
        </w:tc>
        <w:tc>
          <w:tcPr>
            <w:tcW w:w="3835" w:type="dxa"/>
          </w:tcPr>
          <w:p>
            <w:pPr>
              <w:pStyle w:val="TableParagraph"/>
              <w:ind w:left="18"/>
              <w:jc w:val="center"/>
              <w:rPr>
                <w:sz w:val="18"/>
              </w:rPr>
            </w:pPr>
            <w:r>
              <w:rPr>
                <w:spacing w:val="-2"/>
                <w:sz w:val="18"/>
              </w:rPr>
              <w:t>14,900</w:t>
            </w:r>
          </w:p>
        </w:tc>
      </w:tr>
    </w:tbl>
    <w:p>
      <w:pPr>
        <w:pStyle w:val="BodyText"/>
        <w:rPr>
          <w:rFonts w:ascii="Arial"/>
          <w:b/>
          <w:sz w:val="18"/>
        </w:rPr>
      </w:pPr>
    </w:p>
    <w:p>
      <w:pPr>
        <w:pStyle w:val="BodyText"/>
        <w:spacing w:before="66"/>
        <w:rPr>
          <w:rFonts w:ascii="Arial"/>
          <w:b/>
          <w:sz w:val="18"/>
        </w:rPr>
      </w:pPr>
    </w:p>
    <w:p>
      <w:pPr>
        <w:pStyle w:val="Heading4"/>
        <w:ind w:left="1151"/>
      </w:pPr>
      <w:bookmarkStart w:name="Desired Conditions" w:id="885"/>
      <w:bookmarkEnd w:id="885"/>
      <w:r>
        <w:rPr/>
      </w:r>
      <w:bookmarkStart w:name="_bookmark268" w:id="886"/>
      <w:bookmarkEnd w:id="886"/>
      <w:r>
        <w:rPr/>
      </w:r>
      <w:r>
        <w:rPr/>
        <w:t>Desired</w:t>
      </w:r>
      <w:r>
        <w:rPr>
          <w:spacing w:val="-4"/>
        </w:rPr>
        <w:t> </w:t>
      </w:r>
      <w:r>
        <w:rPr>
          <w:spacing w:val="-2"/>
        </w:rPr>
        <w:t>Conditions</w:t>
      </w:r>
    </w:p>
    <w:p>
      <w:pPr>
        <w:spacing w:before="240"/>
        <w:ind w:left="1151" w:right="0" w:firstLine="0"/>
        <w:jc w:val="left"/>
        <w:rPr>
          <w:rFonts w:ascii="Arial"/>
          <w:i/>
          <w:sz w:val="22"/>
        </w:rPr>
      </w:pPr>
      <w:bookmarkStart w:name="MA-DC-RW-01. Uses Prior to Congressional" w:id="887"/>
      <w:bookmarkEnd w:id="887"/>
      <w:r>
        <w:rPr/>
      </w:r>
      <w:r>
        <w:rPr>
          <w:rFonts w:ascii="Arial"/>
          <w:i/>
          <w:sz w:val="22"/>
        </w:rPr>
        <w:t>MA-DC-RW-01.</w:t>
      </w:r>
      <w:r>
        <w:rPr>
          <w:rFonts w:ascii="Arial"/>
          <w:i/>
          <w:spacing w:val="-7"/>
          <w:sz w:val="22"/>
        </w:rPr>
        <w:t> </w:t>
      </w:r>
      <w:r>
        <w:rPr>
          <w:rFonts w:ascii="Arial"/>
          <w:i/>
          <w:sz w:val="22"/>
        </w:rPr>
        <w:t>Uses</w:t>
      </w:r>
      <w:r>
        <w:rPr>
          <w:rFonts w:ascii="Arial"/>
          <w:i/>
          <w:spacing w:val="-8"/>
          <w:sz w:val="22"/>
        </w:rPr>
        <w:t> </w:t>
      </w:r>
      <w:r>
        <w:rPr>
          <w:rFonts w:ascii="Arial"/>
          <w:i/>
          <w:sz w:val="22"/>
        </w:rPr>
        <w:t>Prior</w:t>
      </w:r>
      <w:r>
        <w:rPr>
          <w:rFonts w:ascii="Arial"/>
          <w:i/>
          <w:spacing w:val="-7"/>
          <w:sz w:val="22"/>
        </w:rPr>
        <w:t> </w:t>
      </w:r>
      <w:r>
        <w:rPr>
          <w:rFonts w:ascii="Arial"/>
          <w:i/>
          <w:sz w:val="22"/>
        </w:rPr>
        <w:t>to</w:t>
      </w:r>
      <w:r>
        <w:rPr>
          <w:rFonts w:ascii="Arial"/>
          <w:i/>
          <w:spacing w:val="-6"/>
          <w:sz w:val="22"/>
        </w:rPr>
        <w:t> </w:t>
      </w:r>
      <w:r>
        <w:rPr>
          <w:rFonts w:ascii="Arial"/>
          <w:i/>
          <w:sz w:val="22"/>
        </w:rPr>
        <w:t>Congressional</w:t>
      </w:r>
      <w:r>
        <w:rPr>
          <w:rFonts w:ascii="Arial"/>
          <w:i/>
          <w:spacing w:val="-5"/>
          <w:sz w:val="22"/>
        </w:rPr>
        <w:t> </w:t>
      </w:r>
      <w:r>
        <w:rPr>
          <w:rFonts w:ascii="Arial"/>
          <w:i/>
          <w:spacing w:val="-2"/>
          <w:sz w:val="22"/>
        </w:rPr>
        <w:t>Designation</w:t>
      </w:r>
    </w:p>
    <w:p>
      <w:pPr>
        <w:pStyle w:val="BodyText"/>
        <w:spacing w:line="232" w:lineRule="auto" w:before="67"/>
        <w:ind w:left="1152" w:hanging="1"/>
      </w:pPr>
      <w:r>
        <w:rPr/>
        <w:t>Prior</w:t>
      </w:r>
      <w:r>
        <w:rPr>
          <w:spacing w:val="-7"/>
        </w:rPr>
        <w:t> </w:t>
      </w:r>
      <w:r>
        <w:rPr/>
        <w:t>to</w:t>
      </w:r>
      <w:r>
        <w:rPr>
          <w:spacing w:val="-6"/>
        </w:rPr>
        <w:t> </w:t>
      </w:r>
      <w:r>
        <w:rPr/>
        <w:t>congressional</w:t>
      </w:r>
      <w:r>
        <w:rPr>
          <w:spacing w:val="-5"/>
        </w:rPr>
        <w:t> </w:t>
      </w:r>
      <w:r>
        <w:rPr/>
        <w:t>designation,</w:t>
      </w:r>
      <w:r>
        <w:rPr>
          <w:spacing w:val="-7"/>
        </w:rPr>
        <w:t> </w:t>
      </w:r>
      <w:r>
        <w:rPr/>
        <w:t>mountain</w:t>
      </w:r>
      <w:r>
        <w:rPr>
          <w:spacing w:val="-6"/>
        </w:rPr>
        <w:t> </w:t>
      </w:r>
      <w:r>
        <w:rPr/>
        <w:t>bike</w:t>
      </w:r>
      <w:r>
        <w:rPr>
          <w:spacing w:val="-4"/>
        </w:rPr>
        <w:t> </w:t>
      </w:r>
      <w:r>
        <w:rPr/>
        <w:t>and</w:t>
      </w:r>
      <w:r>
        <w:rPr>
          <w:spacing w:val="-8"/>
        </w:rPr>
        <w:t> </w:t>
      </w:r>
      <w:r>
        <w:rPr/>
        <w:t>chainsaw</w:t>
      </w:r>
      <w:r>
        <w:rPr>
          <w:spacing w:val="-4"/>
        </w:rPr>
        <w:t> </w:t>
      </w:r>
      <w:r>
        <w:rPr/>
        <w:t>use</w:t>
      </w:r>
      <w:r>
        <w:rPr>
          <w:spacing w:val="-4"/>
        </w:rPr>
        <w:t> </w:t>
      </w:r>
      <w:r>
        <w:rPr/>
        <w:t>are</w:t>
      </w:r>
      <w:r>
        <w:rPr>
          <w:spacing w:val="-4"/>
        </w:rPr>
        <w:t> </w:t>
      </w:r>
      <w:r>
        <w:rPr/>
        <w:t>allowed</w:t>
      </w:r>
      <w:r>
        <w:rPr>
          <w:spacing w:val="-6"/>
        </w:rPr>
        <w:t> </w:t>
      </w:r>
      <w:r>
        <w:rPr/>
        <w:t>to</w:t>
      </w:r>
      <w:r>
        <w:rPr>
          <w:spacing w:val="-4"/>
        </w:rPr>
        <w:t> </w:t>
      </w:r>
      <w:r>
        <w:rPr/>
        <w:t>continue</w:t>
      </w:r>
      <w:r>
        <w:rPr>
          <w:spacing w:val="-6"/>
        </w:rPr>
        <w:t> </w:t>
      </w:r>
      <w:r>
        <w:rPr/>
        <w:t>on existing trails and as long as their use does not compromise wilderness eligibility.</w:t>
      </w:r>
    </w:p>
    <w:p>
      <w:pPr>
        <w:spacing w:before="234"/>
        <w:ind w:left="1152" w:right="0" w:firstLine="0"/>
        <w:jc w:val="left"/>
        <w:rPr>
          <w:rFonts w:ascii="Arial"/>
          <w:i/>
          <w:sz w:val="22"/>
        </w:rPr>
      </w:pPr>
      <w:bookmarkStart w:name="MA-DC-RW-02. Retention of Wilderness Cha" w:id="888"/>
      <w:bookmarkEnd w:id="888"/>
      <w:r>
        <w:rPr/>
      </w:r>
      <w:r>
        <w:rPr>
          <w:rFonts w:ascii="Arial"/>
          <w:i/>
          <w:sz w:val="22"/>
        </w:rPr>
        <w:t>MA-DC-RW-02.</w:t>
      </w:r>
      <w:r>
        <w:rPr>
          <w:rFonts w:ascii="Arial"/>
          <w:i/>
          <w:spacing w:val="-8"/>
          <w:sz w:val="22"/>
        </w:rPr>
        <w:t> </w:t>
      </w:r>
      <w:r>
        <w:rPr>
          <w:rFonts w:ascii="Arial"/>
          <w:i/>
          <w:sz w:val="22"/>
        </w:rPr>
        <w:t>Retention</w:t>
      </w:r>
      <w:r>
        <w:rPr>
          <w:rFonts w:ascii="Arial"/>
          <w:i/>
          <w:spacing w:val="-6"/>
          <w:sz w:val="22"/>
        </w:rPr>
        <w:t> </w:t>
      </w:r>
      <w:r>
        <w:rPr>
          <w:rFonts w:ascii="Arial"/>
          <w:i/>
          <w:sz w:val="22"/>
        </w:rPr>
        <w:t>of</w:t>
      </w:r>
      <w:r>
        <w:rPr>
          <w:rFonts w:ascii="Arial"/>
          <w:i/>
          <w:spacing w:val="-9"/>
          <w:sz w:val="22"/>
        </w:rPr>
        <w:t> </w:t>
      </w:r>
      <w:r>
        <w:rPr>
          <w:rFonts w:ascii="Arial"/>
          <w:i/>
          <w:sz w:val="22"/>
        </w:rPr>
        <w:t>Wilderness</w:t>
      </w:r>
      <w:r>
        <w:rPr>
          <w:rFonts w:ascii="Arial"/>
          <w:i/>
          <w:spacing w:val="-8"/>
          <w:sz w:val="22"/>
        </w:rPr>
        <w:t> </w:t>
      </w:r>
      <w:r>
        <w:rPr>
          <w:rFonts w:ascii="Arial"/>
          <w:i/>
          <w:spacing w:val="-2"/>
          <w:sz w:val="22"/>
        </w:rPr>
        <w:t>Characteristics</w:t>
      </w:r>
    </w:p>
    <w:p>
      <w:pPr>
        <w:pStyle w:val="BodyText"/>
        <w:spacing w:line="232" w:lineRule="auto" w:before="65"/>
        <w:ind w:left="1151" w:right="361"/>
      </w:pPr>
      <w:r>
        <w:rPr/>
        <w:t>Visitor use does not reduce the quality of wilderness character (untramelled, undeveloped, natural,</w:t>
      </w:r>
      <w:r>
        <w:rPr>
          <w:spacing w:val="-5"/>
        </w:rPr>
        <w:t> </w:t>
      </w:r>
      <w:r>
        <w:rPr/>
        <w:t>outstanding</w:t>
      </w:r>
      <w:r>
        <w:rPr>
          <w:spacing w:val="-6"/>
        </w:rPr>
        <w:t> </w:t>
      </w:r>
      <w:r>
        <w:rPr/>
        <w:t>opportunities</w:t>
      </w:r>
      <w:r>
        <w:rPr>
          <w:spacing w:val="-5"/>
        </w:rPr>
        <w:t> </w:t>
      </w:r>
      <w:r>
        <w:rPr/>
        <w:t>for</w:t>
      </w:r>
      <w:r>
        <w:rPr>
          <w:spacing w:val="-5"/>
        </w:rPr>
        <w:t> </w:t>
      </w:r>
      <w:r>
        <w:rPr/>
        <w:t>solitude</w:t>
      </w:r>
      <w:r>
        <w:rPr>
          <w:spacing w:val="-7"/>
        </w:rPr>
        <w:t> </w:t>
      </w:r>
      <w:r>
        <w:rPr/>
        <w:t>or</w:t>
      </w:r>
      <w:r>
        <w:rPr>
          <w:spacing w:val="-5"/>
        </w:rPr>
        <w:t> </w:t>
      </w:r>
      <w:r>
        <w:rPr/>
        <w:t>a</w:t>
      </w:r>
      <w:r>
        <w:rPr>
          <w:spacing w:val="-7"/>
        </w:rPr>
        <w:t> </w:t>
      </w:r>
      <w:r>
        <w:rPr/>
        <w:t>primitive</w:t>
      </w:r>
      <w:r>
        <w:rPr>
          <w:spacing w:val="-4"/>
        </w:rPr>
        <w:t> </w:t>
      </w:r>
      <w:r>
        <w:rPr/>
        <w:t>and</w:t>
      </w:r>
      <w:r>
        <w:rPr>
          <w:spacing w:val="-6"/>
        </w:rPr>
        <w:t> </w:t>
      </w:r>
      <w:r>
        <w:rPr/>
        <w:t>unconfined</w:t>
      </w:r>
      <w:r>
        <w:rPr>
          <w:spacing w:val="-6"/>
        </w:rPr>
        <w:t> </w:t>
      </w:r>
      <w:r>
        <w:rPr/>
        <w:t>type</w:t>
      </w:r>
      <w:r>
        <w:rPr>
          <w:spacing w:val="-7"/>
        </w:rPr>
        <w:t> </w:t>
      </w:r>
      <w:r>
        <w:rPr/>
        <w:t>of</w:t>
      </w:r>
      <w:r>
        <w:rPr>
          <w:spacing w:val="-5"/>
        </w:rPr>
        <w:t> </w:t>
      </w:r>
      <w:r>
        <w:rPr/>
        <w:t>recreation) or other features of value associated with the existing condition identified in the Forest Plan wilderness evaluations.</w:t>
      </w:r>
    </w:p>
    <w:p>
      <w:pPr>
        <w:pStyle w:val="BodyText"/>
        <w:spacing w:line="232" w:lineRule="auto" w:before="196"/>
        <w:ind w:left="1151" w:right="361"/>
      </w:pPr>
      <w:r>
        <w:rPr/>
        <w:t>There are unconfined opportunities for exploration, solitude, risk, and challenge. The non- motorized</w:t>
      </w:r>
      <w:r>
        <w:rPr>
          <w:spacing w:val="-12"/>
        </w:rPr>
        <w:t> </w:t>
      </w:r>
      <w:r>
        <w:rPr/>
        <w:t>trail</w:t>
      </w:r>
      <w:r>
        <w:rPr>
          <w:spacing w:val="-11"/>
        </w:rPr>
        <w:t> </w:t>
      </w:r>
      <w:r>
        <w:rPr/>
        <w:t>system</w:t>
      </w:r>
      <w:r>
        <w:rPr>
          <w:spacing w:val="-12"/>
        </w:rPr>
        <w:t> </w:t>
      </w:r>
      <w:r>
        <w:rPr/>
        <w:t>enhances</w:t>
      </w:r>
      <w:r>
        <w:rPr>
          <w:spacing w:val="-11"/>
        </w:rPr>
        <w:t> </w:t>
      </w:r>
      <w:r>
        <w:rPr/>
        <w:t>the</w:t>
      </w:r>
      <w:r>
        <w:rPr>
          <w:spacing w:val="-13"/>
        </w:rPr>
        <w:t> </w:t>
      </w:r>
      <w:r>
        <w:rPr/>
        <w:t>wilderness</w:t>
      </w:r>
      <w:r>
        <w:rPr>
          <w:spacing w:val="-10"/>
        </w:rPr>
        <w:t> </w:t>
      </w:r>
      <w:r>
        <w:rPr/>
        <w:t>character.</w:t>
      </w:r>
      <w:r>
        <w:rPr>
          <w:spacing w:val="-13"/>
        </w:rPr>
        <w:t> </w:t>
      </w:r>
      <w:r>
        <w:rPr/>
        <w:t>To</w:t>
      </w:r>
      <w:r>
        <w:rPr>
          <w:spacing w:val="-11"/>
        </w:rPr>
        <w:t> </w:t>
      </w:r>
      <w:r>
        <w:rPr/>
        <w:t>the</w:t>
      </w:r>
      <w:r>
        <w:rPr>
          <w:spacing w:val="-13"/>
        </w:rPr>
        <w:t> </w:t>
      </w:r>
      <w:r>
        <w:rPr/>
        <w:t>extent</w:t>
      </w:r>
      <w:r>
        <w:rPr>
          <w:spacing w:val="-10"/>
        </w:rPr>
        <w:t> </w:t>
      </w:r>
      <w:r>
        <w:rPr/>
        <w:t>necessary,</w:t>
      </w:r>
      <w:r>
        <w:rPr>
          <w:spacing w:val="-11"/>
        </w:rPr>
        <w:t> </w:t>
      </w:r>
      <w:r>
        <w:rPr/>
        <w:t>where</w:t>
      </w:r>
      <w:r>
        <w:rPr>
          <w:spacing w:val="-10"/>
        </w:rPr>
        <w:t> </w:t>
      </w:r>
      <w:r>
        <w:rPr/>
        <w:t>there is public demand, outfitters and guides provide services to visitors seeking a backcountry </w:t>
      </w:r>
      <w:r>
        <w:rPr>
          <w:spacing w:val="-2"/>
        </w:rPr>
        <w:t>experience.</w:t>
      </w:r>
    </w:p>
    <w:p>
      <w:pPr>
        <w:pStyle w:val="BodyText"/>
        <w:spacing w:before="193"/>
        <w:ind w:left="1151"/>
      </w:pPr>
      <w:r>
        <w:rPr/>
        <w:t>Recommended</w:t>
      </w:r>
      <w:r>
        <w:rPr>
          <w:spacing w:val="-12"/>
        </w:rPr>
        <w:t> </w:t>
      </w:r>
      <w:r>
        <w:rPr/>
        <w:t>wilderness</w:t>
      </w:r>
      <w:r>
        <w:rPr>
          <w:spacing w:val="-10"/>
        </w:rPr>
        <w:t> </w:t>
      </w:r>
      <w:r>
        <w:rPr/>
        <w:t>provides</w:t>
      </w:r>
      <w:r>
        <w:rPr>
          <w:spacing w:val="-10"/>
        </w:rPr>
        <w:t> </w:t>
      </w:r>
      <w:r>
        <w:rPr/>
        <w:t>outstanding</w:t>
      </w:r>
      <w:r>
        <w:rPr>
          <w:spacing w:val="-9"/>
        </w:rPr>
        <w:t> </w:t>
      </w:r>
      <w:r>
        <w:rPr/>
        <w:t>opportunities</w:t>
      </w:r>
      <w:r>
        <w:rPr>
          <w:spacing w:val="-8"/>
        </w:rPr>
        <w:t> </w:t>
      </w:r>
      <w:r>
        <w:rPr/>
        <w:t>for</w:t>
      </w:r>
      <w:r>
        <w:rPr>
          <w:spacing w:val="-9"/>
        </w:rPr>
        <w:t> </w:t>
      </w:r>
      <w:r>
        <w:rPr/>
        <w:t>solitude</w:t>
      </w:r>
      <w:r>
        <w:rPr>
          <w:spacing w:val="-7"/>
        </w:rPr>
        <w:t> </w:t>
      </w:r>
      <w:r>
        <w:rPr/>
        <w:t>and</w:t>
      </w:r>
      <w:r>
        <w:rPr>
          <w:spacing w:val="-9"/>
        </w:rPr>
        <w:t> </w:t>
      </w:r>
      <w:r>
        <w:rPr>
          <w:spacing w:val="-2"/>
        </w:rPr>
        <w:t>isolation.</w:t>
      </w:r>
    </w:p>
    <w:p>
      <w:pPr>
        <w:pStyle w:val="BodyText"/>
        <w:spacing w:after="0"/>
        <w:sectPr>
          <w:pgSz w:w="12240" w:h="15840"/>
          <w:pgMar w:header="725" w:footer="891" w:top="1340" w:bottom="1080" w:left="1080" w:right="1080"/>
        </w:sectPr>
      </w:pPr>
    </w:p>
    <w:p>
      <w:pPr>
        <w:pStyle w:val="BodyText"/>
        <w:spacing w:line="232" w:lineRule="auto" w:before="89"/>
        <w:ind w:left="360" w:right="1185"/>
      </w:pPr>
      <w:r>
        <w:rPr/>
        <w:t>Recommended</w:t>
      </w:r>
      <w:r>
        <w:rPr>
          <w:spacing w:val="-8"/>
        </w:rPr>
        <w:t> </w:t>
      </w:r>
      <w:r>
        <w:rPr/>
        <w:t>wilderness</w:t>
      </w:r>
      <w:r>
        <w:rPr>
          <w:spacing w:val="-9"/>
        </w:rPr>
        <w:t> </w:t>
      </w:r>
      <w:r>
        <w:rPr/>
        <w:t>areas</w:t>
      </w:r>
      <w:r>
        <w:rPr>
          <w:spacing w:val="-9"/>
        </w:rPr>
        <w:t> </w:t>
      </w:r>
      <w:r>
        <w:rPr/>
        <w:t>maintain</w:t>
      </w:r>
      <w:r>
        <w:rPr>
          <w:spacing w:val="-8"/>
        </w:rPr>
        <w:t> </w:t>
      </w:r>
      <w:r>
        <w:rPr/>
        <w:t>natural</w:t>
      </w:r>
      <w:r>
        <w:rPr>
          <w:spacing w:val="-8"/>
        </w:rPr>
        <w:t> </w:t>
      </w:r>
      <w:r>
        <w:rPr/>
        <w:t>landscapes</w:t>
      </w:r>
      <w:r>
        <w:rPr>
          <w:spacing w:val="-8"/>
        </w:rPr>
        <w:t> </w:t>
      </w:r>
      <w:r>
        <w:rPr/>
        <w:t>where</w:t>
      </w:r>
      <w:r>
        <w:rPr>
          <w:spacing w:val="-7"/>
        </w:rPr>
        <w:t> </w:t>
      </w:r>
      <w:r>
        <w:rPr/>
        <w:t>generally</w:t>
      </w:r>
      <w:r>
        <w:rPr>
          <w:spacing w:val="-8"/>
        </w:rPr>
        <w:t> </w:t>
      </w:r>
      <w:r>
        <w:rPr/>
        <w:t>only</w:t>
      </w:r>
      <w:r>
        <w:rPr>
          <w:spacing w:val="-7"/>
        </w:rPr>
        <w:t> </w:t>
      </w:r>
      <w:r>
        <w:rPr/>
        <w:t>ecological changes occur (very high scenic integrity) and provide primitive and/or semi-primitive non- motorized recreation opportunities.</w:t>
      </w:r>
    </w:p>
    <w:p>
      <w:pPr>
        <w:pStyle w:val="BodyText"/>
        <w:spacing w:before="191"/>
        <w:ind w:left="360"/>
      </w:pPr>
      <w:r>
        <w:rPr/>
        <w:t>Recommended</w:t>
      </w:r>
      <w:r>
        <w:rPr>
          <w:spacing w:val="-8"/>
        </w:rPr>
        <w:t> </w:t>
      </w:r>
      <w:r>
        <w:rPr/>
        <w:t>wilderness</w:t>
      </w:r>
      <w:r>
        <w:rPr>
          <w:spacing w:val="-7"/>
        </w:rPr>
        <w:t> </w:t>
      </w:r>
      <w:r>
        <w:rPr/>
        <w:t>areas</w:t>
      </w:r>
      <w:r>
        <w:rPr>
          <w:spacing w:val="-6"/>
        </w:rPr>
        <w:t> </w:t>
      </w:r>
      <w:r>
        <w:rPr/>
        <w:t>are</w:t>
      </w:r>
      <w:r>
        <w:rPr>
          <w:spacing w:val="-5"/>
        </w:rPr>
        <w:t> </w:t>
      </w:r>
      <w:r>
        <w:rPr/>
        <w:t>free</w:t>
      </w:r>
      <w:r>
        <w:rPr>
          <w:spacing w:val="-8"/>
        </w:rPr>
        <w:t> </w:t>
      </w:r>
      <w:r>
        <w:rPr/>
        <w:t>of</w:t>
      </w:r>
      <w:r>
        <w:rPr>
          <w:spacing w:val="-8"/>
        </w:rPr>
        <w:t> </w:t>
      </w:r>
      <w:r>
        <w:rPr/>
        <w:t>noxious</w:t>
      </w:r>
      <w:r>
        <w:rPr>
          <w:spacing w:val="-6"/>
        </w:rPr>
        <w:t> </w:t>
      </w:r>
      <w:r>
        <w:rPr/>
        <w:t>weed</w:t>
      </w:r>
      <w:r>
        <w:rPr>
          <w:spacing w:val="-7"/>
        </w:rPr>
        <w:t> </w:t>
      </w:r>
      <w:r>
        <w:rPr/>
        <w:t>species</w:t>
      </w:r>
      <w:r>
        <w:rPr>
          <w:spacing w:val="-6"/>
        </w:rPr>
        <w:t> </w:t>
      </w:r>
      <w:r>
        <w:rPr/>
        <w:t>and</w:t>
      </w:r>
      <w:r>
        <w:rPr>
          <w:spacing w:val="-9"/>
        </w:rPr>
        <w:t> </w:t>
      </w:r>
      <w:r>
        <w:rPr/>
        <w:t>other</w:t>
      </w:r>
      <w:r>
        <w:rPr>
          <w:spacing w:val="-6"/>
        </w:rPr>
        <w:t> </w:t>
      </w:r>
      <w:r>
        <w:rPr/>
        <w:t>invasive</w:t>
      </w:r>
      <w:r>
        <w:rPr>
          <w:spacing w:val="-5"/>
        </w:rPr>
        <w:t> </w:t>
      </w:r>
      <w:r>
        <w:rPr>
          <w:spacing w:val="-2"/>
        </w:rPr>
        <w:t>species.</w:t>
      </w:r>
    </w:p>
    <w:p>
      <w:pPr>
        <w:pStyle w:val="BodyText"/>
        <w:spacing w:before="193"/>
        <w:ind w:left="360" w:right="1602"/>
        <w:jc w:val="both"/>
      </w:pPr>
      <w:r>
        <w:rPr/>
        <w:t>Human-caused impacts</w:t>
      </w:r>
      <w:r>
        <w:rPr>
          <w:spacing w:val="-1"/>
        </w:rPr>
        <w:t> </w:t>
      </w:r>
      <w:r>
        <w:rPr/>
        <w:t>are</w:t>
      </w:r>
      <w:r>
        <w:rPr>
          <w:spacing w:val="-1"/>
        </w:rPr>
        <w:t> </w:t>
      </w:r>
      <w:r>
        <w:rPr/>
        <w:t>limited to relatively small</w:t>
      </w:r>
      <w:r>
        <w:rPr>
          <w:spacing w:val="-4"/>
        </w:rPr>
        <w:t> </w:t>
      </w:r>
      <w:r>
        <w:rPr/>
        <w:t>areas along trails</w:t>
      </w:r>
      <w:r>
        <w:rPr>
          <w:spacing w:val="-1"/>
        </w:rPr>
        <w:t> </w:t>
      </w:r>
      <w:r>
        <w:rPr/>
        <w:t>and campsites. The ecological,</w:t>
      </w:r>
      <w:r>
        <w:rPr>
          <w:spacing w:val="-3"/>
        </w:rPr>
        <w:t> </w:t>
      </w:r>
      <w:r>
        <w:rPr/>
        <w:t>geological,</w:t>
      </w:r>
      <w:r>
        <w:rPr>
          <w:spacing w:val="-5"/>
        </w:rPr>
        <w:t> </w:t>
      </w:r>
      <w:r>
        <w:rPr/>
        <w:t>scientific,</w:t>
      </w:r>
      <w:r>
        <w:rPr>
          <w:spacing w:val="-3"/>
        </w:rPr>
        <w:t> </w:t>
      </w:r>
      <w:r>
        <w:rPr/>
        <w:t>educational,</w:t>
      </w:r>
      <w:r>
        <w:rPr>
          <w:spacing w:val="-5"/>
        </w:rPr>
        <w:t> </w:t>
      </w:r>
      <w:r>
        <w:rPr/>
        <w:t>scenic,</w:t>
      </w:r>
      <w:r>
        <w:rPr>
          <w:spacing w:val="-5"/>
        </w:rPr>
        <w:t> </w:t>
      </w:r>
      <w:r>
        <w:rPr/>
        <w:t>and</w:t>
      </w:r>
      <w:r>
        <w:rPr>
          <w:spacing w:val="-4"/>
        </w:rPr>
        <w:t> </w:t>
      </w:r>
      <w:r>
        <w:rPr/>
        <w:t>historical</w:t>
      </w:r>
      <w:r>
        <w:rPr>
          <w:spacing w:val="-6"/>
        </w:rPr>
        <w:t> </w:t>
      </w:r>
      <w:r>
        <w:rPr/>
        <w:t>values</w:t>
      </w:r>
      <w:r>
        <w:rPr>
          <w:spacing w:val="-5"/>
        </w:rPr>
        <w:t> </w:t>
      </w:r>
      <w:r>
        <w:rPr/>
        <w:t>of</w:t>
      </w:r>
      <w:r>
        <w:rPr>
          <w:spacing w:val="-5"/>
        </w:rPr>
        <w:t> </w:t>
      </w:r>
      <w:r>
        <w:rPr/>
        <w:t>recommended wilderness areas are preserved and perpetuated.</w:t>
      </w:r>
    </w:p>
    <w:p>
      <w:pPr>
        <w:spacing w:before="241"/>
        <w:ind w:left="360" w:right="0" w:firstLine="0"/>
        <w:jc w:val="left"/>
        <w:rPr>
          <w:rFonts w:ascii="Arial"/>
          <w:i/>
          <w:sz w:val="22"/>
        </w:rPr>
      </w:pPr>
      <w:bookmarkStart w:name="MA-DC-RW-03. Natural Landscapes" w:id="889"/>
      <w:bookmarkEnd w:id="889"/>
      <w:r>
        <w:rPr/>
      </w:r>
      <w:r>
        <w:rPr>
          <w:rFonts w:ascii="Arial"/>
          <w:i/>
          <w:sz w:val="22"/>
        </w:rPr>
        <w:t>MA-DC-RW-03.</w:t>
      </w:r>
      <w:r>
        <w:rPr>
          <w:rFonts w:ascii="Arial"/>
          <w:i/>
          <w:spacing w:val="-10"/>
          <w:sz w:val="22"/>
        </w:rPr>
        <w:t> </w:t>
      </w:r>
      <w:r>
        <w:rPr>
          <w:rFonts w:ascii="Arial"/>
          <w:i/>
          <w:sz w:val="22"/>
        </w:rPr>
        <w:t>Natural</w:t>
      </w:r>
      <w:r>
        <w:rPr>
          <w:rFonts w:ascii="Arial"/>
          <w:i/>
          <w:spacing w:val="-10"/>
          <w:sz w:val="22"/>
        </w:rPr>
        <w:t> </w:t>
      </w:r>
      <w:r>
        <w:rPr>
          <w:rFonts w:ascii="Arial"/>
          <w:i/>
          <w:spacing w:val="-2"/>
          <w:sz w:val="22"/>
        </w:rPr>
        <w:t>Landscapes</w:t>
      </w:r>
    </w:p>
    <w:p>
      <w:pPr>
        <w:pStyle w:val="BodyText"/>
        <w:spacing w:line="232" w:lineRule="auto" w:before="64"/>
        <w:ind w:left="360" w:right="1185"/>
      </w:pPr>
      <w:r>
        <w:rPr/>
        <w:t>Recommended</w:t>
      </w:r>
      <w:r>
        <w:rPr>
          <w:spacing w:val="-9"/>
        </w:rPr>
        <w:t> </w:t>
      </w:r>
      <w:r>
        <w:rPr/>
        <w:t>wilderness</w:t>
      </w:r>
      <w:r>
        <w:rPr>
          <w:spacing w:val="-9"/>
        </w:rPr>
        <w:t> </w:t>
      </w:r>
      <w:r>
        <w:rPr/>
        <w:t>areas</w:t>
      </w:r>
      <w:r>
        <w:rPr>
          <w:spacing w:val="-8"/>
        </w:rPr>
        <w:t> </w:t>
      </w:r>
      <w:r>
        <w:rPr/>
        <w:t>display</w:t>
      </w:r>
      <w:r>
        <w:rPr>
          <w:spacing w:val="-9"/>
        </w:rPr>
        <w:t> </w:t>
      </w:r>
      <w:r>
        <w:rPr/>
        <w:t>natural</w:t>
      </w:r>
      <w:r>
        <w:rPr>
          <w:spacing w:val="-8"/>
        </w:rPr>
        <w:t> </w:t>
      </w:r>
      <w:r>
        <w:rPr/>
        <w:t>landscapes</w:t>
      </w:r>
      <w:r>
        <w:rPr>
          <w:spacing w:val="-8"/>
        </w:rPr>
        <w:t> </w:t>
      </w:r>
      <w:r>
        <w:rPr/>
        <w:t>where</w:t>
      </w:r>
      <w:r>
        <w:rPr>
          <w:spacing w:val="-7"/>
        </w:rPr>
        <w:t> </w:t>
      </w:r>
      <w:r>
        <w:rPr/>
        <w:t>generally</w:t>
      </w:r>
      <w:r>
        <w:rPr>
          <w:spacing w:val="-9"/>
        </w:rPr>
        <w:t> </w:t>
      </w:r>
      <w:r>
        <w:rPr/>
        <w:t>only</w:t>
      </w:r>
      <w:r>
        <w:rPr>
          <w:spacing w:val="-9"/>
        </w:rPr>
        <w:t> </w:t>
      </w:r>
      <w:r>
        <w:rPr/>
        <w:t>ecological changes occur (very high scenic integrity) and provide primitive or semi-primitive non- motorized recreation opportunities.</w:t>
      </w:r>
    </w:p>
    <w:p>
      <w:pPr>
        <w:spacing w:before="233"/>
        <w:ind w:left="359" w:right="0" w:firstLine="0"/>
        <w:jc w:val="left"/>
        <w:rPr>
          <w:rFonts w:ascii="Arial"/>
          <w:i/>
          <w:sz w:val="22"/>
        </w:rPr>
      </w:pPr>
      <w:bookmarkStart w:name="MA-DC-RW-04. Wildlife" w:id="890"/>
      <w:bookmarkEnd w:id="890"/>
      <w:r>
        <w:rPr/>
      </w:r>
      <w:r>
        <w:rPr>
          <w:rFonts w:ascii="Arial"/>
          <w:i/>
          <w:sz w:val="22"/>
        </w:rPr>
        <w:t>MA-DC-RW-04.</w:t>
      </w:r>
      <w:r>
        <w:rPr>
          <w:rFonts w:ascii="Arial"/>
          <w:i/>
          <w:spacing w:val="-13"/>
          <w:sz w:val="22"/>
        </w:rPr>
        <w:t> </w:t>
      </w:r>
      <w:r>
        <w:rPr>
          <w:rFonts w:ascii="Arial"/>
          <w:i/>
          <w:spacing w:val="-2"/>
          <w:sz w:val="22"/>
        </w:rPr>
        <w:t>Wildlife</w:t>
      </w:r>
    </w:p>
    <w:p>
      <w:pPr>
        <w:pStyle w:val="BodyText"/>
        <w:spacing w:line="232" w:lineRule="auto" w:before="67"/>
        <w:ind w:left="360" w:right="1185"/>
      </w:pPr>
      <w:r>
        <w:rPr/>
        <w:t>Recommended</w:t>
      </w:r>
      <w:r>
        <w:rPr>
          <w:spacing w:val="-8"/>
        </w:rPr>
        <w:t> </w:t>
      </w:r>
      <w:r>
        <w:rPr/>
        <w:t>wilderness</w:t>
      </w:r>
      <w:r>
        <w:rPr>
          <w:spacing w:val="-9"/>
        </w:rPr>
        <w:t> </w:t>
      </w:r>
      <w:r>
        <w:rPr/>
        <w:t>contributes</w:t>
      </w:r>
      <w:r>
        <w:rPr>
          <w:spacing w:val="-9"/>
        </w:rPr>
        <w:t> </w:t>
      </w:r>
      <w:r>
        <w:rPr/>
        <w:t>to</w:t>
      </w:r>
      <w:r>
        <w:rPr>
          <w:spacing w:val="-8"/>
        </w:rPr>
        <w:t> </w:t>
      </w:r>
      <w:r>
        <w:rPr/>
        <w:t>preserving</w:t>
      </w:r>
      <w:r>
        <w:rPr>
          <w:spacing w:val="-8"/>
        </w:rPr>
        <w:t> </w:t>
      </w:r>
      <w:r>
        <w:rPr/>
        <w:t>natural</w:t>
      </w:r>
      <w:r>
        <w:rPr>
          <w:spacing w:val="-7"/>
        </w:rPr>
        <w:t> </w:t>
      </w:r>
      <w:r>
        <w:rPr/>
        <w:t>behaviors</w:t>
      </w:r>
      <w:r>
        <w:rPr>
          <w:spacing w:val="-7"/>
        </w:rPr>
        <w:t> </w:t>
      </w:r>
      <w:r>
        <w:rPr/>
        <w:t>and</w:t>
      </w:r>
      <w:r>
        <w:rPr>
          <w:spacing w:val="-8"/>
        </w:rPr>
        <w:t> </w:t>
      </w:r>
      <w:r>
        <w:rPr/>
        <w:t>processes</w:t>
      </w:r>
      <w:r>
        <w:rPr>
          <w:spacing w:val="-7"/>
        </w:rPr>
        <w:t> </w:t>
      </w:r>
      <w:r>
        <w:rPr/>
        <w:t>that sustain native wildlife populations.</w:t>
      </w:r>
    </w:p>
    <w:p>
      <w:pPr>
        <w:pStyle w:val="Heading4"/>
        <w:spacing w:before="235"/>
      </w:pPr>
      <w:bookmarkStart w:name="Standards" w:id="891"/>
      <w:bookmarkEnd w:id="891"/>
      <w:r>
        <w:rPr/>
      </w:r>
      <w:bookmarkStart w:name="_bookmark269" w:id="892"/>
      <w:bookmarkEnd w:id="892"/>
      <w:r>
        <w:rPr/>
      </w:r>
      <w:r>
        <w:rPr>
          <w:spacing w:val="-2"/>
        </w:rPr>
        <w:t>Standards</w:t>
      </w:r>
    </w:p>
    <w:p>
      <w:pPr>
        <w:spacing w:before="237"/>
        <w:ind w:left="360" w:right="0" w:firstLine="0"/>
        <w:jc w:val="left"/>
        <w:rPr>
          <w:rFonts w:ascii="Arial"/>
          <w:i/>
          <w:sz w:val="22"/>
        </w:rPr>
      </w:pPr>
      <w:bookmarkStart w:name="MA-STD-RW-01. Existing and Proposed Uses" w:id="893"/>
      <w:bookmarkEnd w:id="893"/>
      <w:r>
        <w:rPr/>
      </w:r>
      <w:r>
        <w:rPr>
          <w:rFonts w:ascii="Arial"/>
          <w:i/>
          <w:sz w:val="22"/>
        </w:rPr>
        <w:t>MA-STD-RW-01.</w:t>
      </w:r>
      <w:r>
        <w:rPr>
          <w:rFonts w:ascii="Arial"/>
          <w:i/>
          <w:spacing w:val="-8"/>
          <w:sz w:val="22"/>
        </w:rPr>
        <w:t> </w:t>
      </w:r>
      <w:r>
        <w:rPr>
          <w:rFonts w:ascii="Arial"/>
          <w:i/>
          <w:sz w:val="22"/>
        </w:rPr>
        <w:t>Existing</w:t>
      </w:r>
      <w:r>
        <w:rPr>
          <w:rFonts w:ascii="Arial"/>
          <w:i/>
          <w:spacing w:val="-7"/>
          <w:sz w:val="22"/>
        </w:rPr>
        <w:t> </w:t>
      </w:r>
      <w:r>
        <w:rPr>
          <w:rFonts w:ascii="Arial"/>
          <w:i/>
          <w:sz w:val="22"/>
        </w:rPr>
        <w:t>and</w:t>
      </w:r>
      <w:r>
        <w:rPr>
          <w:rFonts w:ascii="Arial"/>
          <w:i/>
          <w:spacing w:val="-7"/>
          <w:sz w:val="22"/>
        </w:rPr>
        <w:t> </w:t>
      </w:r>
      <w:r>
        <w:rPr>
          <w:rFonts w:ascii="Arial"/>
          <w:i/>
          <w:sz w:val="22"/>
        </w:rPr>
        <w:t>Proposed</w:t>
      </w:r>
      <w:r>
        <w:rPr>
          <w:rFonts w:ascii="Arial"/>
          <w:i/>
          <w:spacing w:val="-6"/>
          <w:sz w:val="22"/>
        </w:rPr>
        <w:t> </w:t>
      </w:r>
      <w:r>
        <w:rPr>
          <w:rFonts w:ascii="Arial"/>
          <w:i/>
          <w:spacing w:val="-4"/>
          <w:sz w:val="22"/>
        </w:rPr>
        <w:t>Uses</w:t>
      </w:r>
    </w:p>
    <w:p>
      <w:pPr>
        <w:pStyle w:val="BodyText"/>
        <w:spacing w:line="232" w:lineRule="auto" w:before="67"/>
        <w:ind w:left="360" w:right="1299"/>
      </w:pPr>
      <w:r>
        <w:rPr/>
        <w:t>Management</w:t>
      </w:r>
      <w:r>
        <w:rPr>
          <w:spacing w:val="-5"/>
        </w:rPr>
        <w:t> </w:t>
      </w:r>
      <w:r>
        <w:rPr/>
        <w:t>actions</w:t>
      </w:r>
      <w:r>
        <w:rPr>
          <w:spacing w:val="-7"/>
        </w:rPr>
        <w:t> </w:t>
      </w:r>
      <w:r>
        <w:rPr/>
        <w:t>must</w:t>
      </w:r>
      <w:r>
        <w:rPr>
          <w:spacing w:val="-7"/>
        </w:rPr>
        <w:t> </w:t>
      </w:r>
      <w:r>
        <w:rPr/>
        <w:t>maintain</w:t>
      </w:r>
      <w:r>
        <w:rPr>
          <w:spacing w:val="-6"/>
        </w:rPr>
        <w:t> </w:t>
      </w:r>
      <w:r>
        <w:rPr/>
        <w:t>the</w:t>
      </w:r>
      <w:r>
        <w:rPr>
          <w:spacing w:val="-5"/>
        </w:rPr>
        <w:t> </w:t>
      </w:r>
      <w:r>
        <w:rPr/>
        <w:t>wilderness</w:t>
      </w:r>
      <w:r>
        <w:rPr>
          <w:spacing w:val="-6"/>
        </w:rPr>
        <w:t> </w:t>
      </w:r>
      <w:r>
        <w:rPr/>
        <w:t>character</w:t>
      </w:r>
      <w:r>
        <w:rPr>
          <w:spacing w:val="-7"/>
        </w:rPr>
        <w:t> </w:t>
      </w:r>
      <w:r>
        <w:rPr/>
        <w:t>of</w:t>
      </w:r>
      <w:r>
        <w:rPr>
          <w:spacing w:val="-8"/>
        </w:rPr>
        <w:t> </w:t>
      </w:r>
      <w:r>
        <w:rPr/>
        <w:t>the</w:t>
      </w:r>
      <w:r>
        <w:rPr>
          <w:spacing w:val="-5"/>
        </w:rPr>
        <w:t> </w:t>
      </w:r>
      <w:r>
        <w:rPr/>
        <w:t>recommended</w:t>
      </w:r>
      <w:r>
        <w:rPr>
          <w:spacing w:val="-6"/>
        </w:rPr>
        <w:t> </w:t>
      </w:r>
      <w:r>
        <w:rPr/>
        <w:t>wilderness areas that were identified in the 2009 wilderness</w:t>
      </w:r>
      <w:r>
        <w:rPr>
          <w:spacing w:val="-1"/>
        </w:rPr>
        <w:t> </w:t>
      </w:r>
      <w:r>
        <w:rPr/>
        <w:t>evaluations for the Abercrombie Hooknose, Salmo-Priest Adjacent, and Bald Snow recommended wilderness areas prior to designation or release from wilderness consideration by Congress.</w:t>
      </w:r>
    </w:p>
    <w:p>
      <w:pPr>
        <w:spacing w:before="232"/>
        <w:ind w:left="360" w:right="0" w:firstLine="0"/>
        <w:jc w:val="left"/>
        <w:rPr>
          <w:rFonts w:ascii="Arial"/>
          <w:i/>
          <w:sz w:val="22"/>
        </w:rPr>
      </w:pPr>
      <w:bookmarkStart w:name="MA-STD-RW-02. Trail Use" w:id="894"/>
      <w:bookmarkEnd w:id="894"/>
      <w:r>
        <w:rPr/>
      </w:r>
      <w:r>
        <w:rPr>
          <w:rFonts w:ascii="Arial"/>
          <w:i/>
          <w:sz w:val="22"/>
        </w:rPr>
        <w:t>MA-STD-RW-02.</w:t>
      </w:r>
      <w:r>
        <w:rPr>
          <w:rFonts w:ascii="Arial"/>
          <w:i/>
          <w:spacing w:val="-9"/>
          <w:sz w:val="22"/>
        </w:rPr>
        <w:t> </w:t>
      </w:r>
      <w:r>
        <w:rPr>
          <w:rFonts w:ascii="Arial"/>
          <w:i/>
          <w:sz w:val="22"/>
        </w:rPr>
        <w:t>Trail</w:t>
      </w:r>
      <w:r>
        <w:rPr>
          <w:rFonts w:ascii="Arial"/>
          <w:i/>
          <w:spacing w:val="-7"/>
          <w:sz w:val="22"/>
        </w:rPr>
        <w:t> </w:t>
      </w:r>
      <w:r>
        <w:rPr>
          <w:rFonts w:ascii="Arial"/>
          <w:i/>
          <w:spacing w:val="-5"/>
          <w:sz w:val="22"/>
        </w:rPr>
        <w:t>Use</w:t>
      </w:r>
    </w:p>
    <w:p>
      <w:pPr>
        <w:pStyle w:val="BodyText"/>
        <w:spacing w:line="232" w:lineRule="auto" w:before="65"/>
        <w:ind w:left="359" w:right="1185"/>
      </w:pPr>
      <w:r>
        <w:rPr/>
        <w:t>No newly constructed National Forest System Trails will be open to uses (mechanized or motorized)</w:t>
      </w:r>
      <w:r>
        <w:rPr>
          <w:spacing w:val="-7"/>
        </w:rPr>
        <w:t> </w:t>
      </w:r>
      <w:r>
        <w:rPr/>
        <w:t>that</w:t>
      </w:r>
      <w:r>
        <w:rPr>
          <w:spacing w:val="-9"/>
        </w:rPr>
        <w:t> </w:t>
      </w:r>
      <w:r>
        <w:rPr/>
        <w:t>are</w:t>
      </w:r>
      <w:r>
        <w:rPr>
          <w:spacing w:val="-6"/>
        </w:rPr>
        <w:t> </w:t>
      </w:r>
      <w:r>
        <w:rPr/>
        <w:t>inconsistent</w:t>
      </w:r>
      <w:r>
        <w:rPr>
          <w:spacing w:val="-9"/>
        </w:rPr>
        <w:t> </w:t>
      </w:r>
      <w:r>
        <w:rPr/>
        <w:t>with</w:t>
      </w:r>
      <w:r>
        <w:rPr>
          <w:spacing w:val="-8"/>
        </w:rPr>
        <w:t> </w:t>
      </w:r>
      <w:r>
        <w:rPr/>
        <w:t>wilderness</w:t>
      </w:r>
      <w:r>
        <w:rPr>
          <w:spacing w:val="-7"/>
        </w:rPr>
        <w:t> </w:t>
      </w:r>
      <w:r>
        <w:rPr/>
        <w:t>designation.</w:t>
      </w:r>
      <w:r>
        <w:rPr>
          <w:spacing w:val="-7"/>
        </w:rPr>
        <w:t> </w:t>
      </w:r>
      <w:r>
        <w:rPr/>
        <w:t>User-created</w:t>
      </w:r>
      <w:r>
        <w:rPr>
          <w:spacing w:val="-9"/>
        </w:rPr>
        <w:t> </w:t>
      </w:r>
      <w:r>
        <w:rPr/>
        <w:t>trails</w:t>
      </w:r>
      <w:r>
        <w:rPr>
          <w:spacing w:val="-9"/>
        </w:rPr>
        <w:t> </w:t>
      </w:r>
      <w:r>
        <w:rPr/>
        <w:t>will</w:t>
      </w:r>
      <w:r>
        <w:rPr>
          <w:spacing w:val="-7"/>
        </w:rPr>
        <w:t> </w:t>
      </w:r>
      <w:r>
        <w:rPr/>
        <w:t>be</w:t>
      </w:r>
      <w:r>
        <w:rPr>
          <w:spacing w:val="-6"/>
        </w:rPr>
        <w:t> </w:t>
      </w:r>
      <w:r>
        <w:rPr/>
        <w:t>closed and naturalized to prevent resource damage.</w:t>
      </w:r>
    </w:p>
    <w:p>
      <w:pPr>
        <w:spacing w:before="235"/>
        <w:ind w:left="359" w:right="0" w:firstLine="0"/>
        <w:jc w:val="left"/>
        <w:rPr>
          <w:rFonts w:ascii="Arial"/>
          <w:i/>
          <w:sz w:val="22"/>
        </w:rPr>
      </w:pPr>
      <w:bookmarkStart w:name="MA-STD-RW-03. Site Impacts" w:id="895"/>
      <w:bookmarkEnd w:id="895"/>
      <w:r>
        <w:rPr/>
      </w:r>
      <w:r>
        <w:rPr>
          <w:rFonts w:ascii="Arial"/>
          <w:i/>
          <w:sz w:val="22"/>
        </w:rPr>
        <w:t>MA-STD-RW-03.</w:t>
      </w:r>
      <w:r>
        <w:rPr>
          <w:rFonts w:ascii="Arial"/>
          <w:i/>
          <w:spacing w:val="-8"/>
          <w:sz w:val="22"/>
        </w:rPr>
        <w:t> </w:t>
      </w:r>
      <w:r>
        <w:rPr>
          <w:rFonts w:ascii="Arial"/>
          <w:i/>
          <w:sz w:val="22"/>
        </w:rPr>
        <w:t>Site</w:t>
      </w:r>
      <w:r>
        <w:rPr>
          <w:rFonts w:ascii="Arial"/>
          <w:i/>
          <w:spacing w:val="-8"/>
          <w:sz w:val="22"/>
        </w:rPr>
        <w:t> </w:t>
      </w:r>
      <w:r>
        <w:rPr>
          <w:rFonts w:ascii="Arial"/>
          <w:i/>
          <w:spacing w:val="-2"/>
          <w:sz w:val="22"/>
        </w:rPr>
        <w:t>Impacts</w:t>
      </w:r>
    </w:p>
    <w:p>
      <w:pPr>
        <w:pStyle w:val="BodyText"/>
        <w:spacing w:line="232" w:lineRule="auto" w:before="65"/>
        <w:ind w:left="359" w:right="1185"/>
      </w:pPr>
      <w:r>
        <w:rPr/>
        <w:t>Human-caused</w:t>
      </w:r>
      <w:r>
        <w:rPr>
          <w:spacing w:val="-8"/>
        </w:rPr>
        <w:t> </w:t>
      </w:r>
      <w:r>
        <w:rPr/>
        <w:t>disturbed</w:t>
      </w:r>
      <w:r>
        <w:rPr>
          <w:spacing w:val="-8"/>
        </w:rPr>
        <w:t> </w:t>
      </w:r>
      <w:r>
        <w:rPr/>
        <w:t>areas</w:t>
      </w:r>
      <w:r>
        <w:rPr>
          <w:spacing w:val="-8"/>
        </w:rPr>
        <w:t> </w:t>
      </w:r>
      <w:r>
        <w:rPr/>
        <w:t>that</w:t>
      </w:r>
      <w:r>
        <w:rPr>
          <w:spacing w:val="-7"/>
        </w:rPr>
        <w:t> </w:t>
      </w:r>
      <w:r>
        <w:rPr/>
        <w:t>negatively</w:t>
      </w:r>
      <w:r>
        <w:rPr>
          <w:spacing w:val="-6"/>
        </w:rPr>
        <w:t> </w:t>
      </w:r>
      <w:r>
        <w:rPr/>
        <w:t>affect</w:t>
      </w:r>
      <w:r>
        <w:rPr>
          <w:spacing w:val="-9"/>
        </w:rPr>
        <w:t> </w:t>
      </w:r>
      <w:r>
        <w:rPr/>
        <w:t>wilderness</w:t>
      </w:r>
      <w:r>
        <w:rPr>
          <w:spacing w:val="-9"/>
        </w:rPr>
        <w:t> </w:t>
      </w:r>
      <w:r>
        <w:rPr/>
        <w:t>character</w:t>
      </w:r>
      <w:r>
        <w:rPr>
          <w:spacing w:val="-8"/>
        </w:rPr>
        <w:t> </w:t>
      </w:r>
      <w:r>
        <w:rPr/>
        <w:t>shall</w:t>
      </w:r>
      <w:r>
        <w:rPr>
          <w:spacing w:val="-10"/>
        </w:rPr>
        <w:t> </w:t>
      </w:r>
      <w:r>
        <w:rPr/>
        <w:t>be</w:t>
      </w:r>
      <w:r>
        <w:rPr>
          <w:spacing w:val="-7"/>
        </w:rPr>
        <w:t> </w:t>
      </w:r>
      <w:r>
        <w:rPr/>
        <w:t>rehabilitated to a natural appearance, using species or other materials native to the area.</w:t>
      </w:r>
    </w:p>
    <w:p>
      <w:pPr>
        <w:spacing w:before="234"/>
        <w:ind w:left="359" w:right="0" w:firstLine="0"/>
        <w:jc w:val="left"/>
        <w:rPr>
          <w:rFonts w:ascii="Arial"/>
          <w:i/>
          <w:sz w:val="22"/>
        </w:rPr>
      </w:pPr>
      <w:bookmarkStart w:name="MA-STD-RW-04. Fire" w:id="896"/>
      <w:bookmarkEnd w:id="896"/>
      <w:r>
        <w:rPr/>
      </w:r>
      <w:r>
        <w:rPr>
          <w:rFonts w:ascii="Arial"/>
          <w:i/>
          <w:sz w:val="22"/>
        </w:rPr>
        <w:t>MA-STD-RW-04.</w:t>
      </w:r>
      <w:r>
        <w:rPr>
          <w:rFonts w:ascii="Arial"/>
          <w:i/>
          <w:spacing w:val="-14"/>
          <w:sz w:val="22"/>
        </w:rPr>
        <w:t> </w:t>
      </w:r>
      <w:r>
        <w:rPr>
          <w:rFonts w:ascii="Arial"/>
          <w:i/>
          <w:spacing w:val="-4"/>
          <w:sz w:val="22"/>
        </w:rPr>
        <w:t>Fire</w:t>
      </w:r>
    </w:p>
    <w:p>
      <w:pPr>
        <w:pStyle w:val="BodyText"/>
        <w:spacing w:before="58"/>
        <w:ind w:left="359"/>
      </w:pPr>
      <w:r>
        <w:rPr/>
        <w:t>Objectives</w:t>
      </w:r>
      <w:r>
        <w:rPr>
          <w:spacing w:val="-5"/>
        </w:rPr>
        <w:t> </w:t>
      </w:r>
      <w:r>
        <w:rPr/>
        <w:t>and</w:t>
      </w:r>
      <w:r>
        <w:rPr>
          <w:spacing w:val="-8"/>
        </w:rPr>
        <w:t> </w:t>
      </w:r>
      <w:r>
        <w:rPr/>
        <w:t>strategies</w:t>
      </w:r>
      <w:r>
        <w:rPr>
          <w:spacing w:val="-5"/>
        </w:rPr>
        <w:t> </w:t>
      </w:r>
      <w:r>
        <w:rPr/>
        <w:t>for</w:t>
      </w:r>
      <w:r>
        <w:rPr>
          <w:spacing w:val="-5"/>
        </w:rPr>
        <w:t> </w:t>
      </w:r>
      <w:r>
        <w:rPr/>
        <w:t>all</w:t>
      </w:r>
      <w:r>
        <w:rPr>
          <w:spacing w:val="-5"/>
        </w:rPr>
        <w:t> </w:t>
      </w:r>
      <w:r>
        <w:rPr/>
        <w:t>unplanned</w:t>
      </w:r>
      <w:r>
        <w:rPr>
          <w:spacing w:val="-5"/>
        </w:rPr>
        <w:t> </w:t>
      </w:r>
      <w:r>
        <w:rPr/>
        <w:t>ignitions</w:t>
      </w:r>
      <w:r>
        <w:rPr>
          <w:spacing w:val="-7"/>
        </w:rPr>
        <w:t> </w:t>
      </w:r>
      <w:r>
        <w:rPr/>
        <w:t>shall</w:t>
      </w:r>
      <w:r>
        <w:rPr>
          <w:spacing w:val="-5"/>
        </w:rPr>
        <w:t> </w:t>
      </w:r>
      <w:r>
        <w:rPr/>
        <w:t>be</w:t>
      </w:r>
      <w:r>
        <w:rPr>
          <w:spacing w:val="-4"/>
        </w:rPr>
        <w:t> </w:t>
      </w:r>
      <w:r>
        <w:rPr/>
        <w:t>identified</w:t>
      </w:r>
      <w:r>
        <w:rPr>
          <w:spacing w:val="-6"/>
        </w:rPr>
        <w:t> </w:t>
      </w:r>
      <w:r>
        <w:rPr/>
        <w:t>at</w:t>
      </w:r>
      <w:r>
        <w:rPr>
          <w:spacing w:val="-6"/>
        </w:rPr>
        <w:t> </w:t>
      </w:r>
      <w:r>
        <w:rPr/>
        <w:t>the</w:t>
      </w:r>
      <w:r>
        <w:rPr>
          <w:spacing w:val="-7"/>
        </w:rPr>
        <w:t> </w:t>
      </w:r>
      <w:r>
        <w:rPr/>
        <w:t>time</w:t>
      </w:r>
      <w:r>
        <w:rPr>
          <w:spacing w:val="-4"/>
        </w:rPr>
        <w:t> </w:t>
      </w:r>
      <w:r>
        <w:rPr/>
        <w:t>of</w:t>
      </w:r>
      <w:r>
        <w:rPr>
          <w:spacing w:val="-7"/>
        </w:rPr>
        <w:t> </w:t>
      </w:r>
      <w:r>
        <w:rPr/>
        <w:t>the</w:t>
      </w:r>
      <w:r>
        <w:rPr>
          <w:spacing w:val="-3"/>
        </w:rPr>
        <w:t> </w:t>
      </w:r>
      <w:r>
        <w:rPr>
          <w:spacing w:val="-2"/>
        </w:rPr>
        <w:t>fire.</w:t>
      </w:r>
    </w:p>
    <w:p>
      <w:pPr>
        <w:pStyle w:val="BodyText"/>
        <w:spacing w:line="232" w:lineRule="auto" w:before="196"/>
        <w:ind w:left="359" w:right="1185"/>
      </w:pPr>
      <w:r>
        <w:rPr/>
        <w:t>Fire</w:t>
      </w:r>
      <w:r>
        <w:rPr>
          <w:spacing w:val="-7"/>
        </w:rPr>
        <w:t> </w:t>
      </w:r>
      <w:r>
        <w:rPr/>
        <w:t>management</w:t>
      </w:r>
      <w:r>
        <w:rPr>
          <w:spacing w:val="-4"/>
        </w:rPr>
        <w:t> </w:t>
      </w:r>
      <w:r>
        <w:rPr/>
        <w:t>activities</w:t>
      </w:r>
      <w:r>
        <w:rPr>
          <w:spacing w:val="-7"/>
        </w:rPr>
        <w:t> </w:t>
      </w:r>
      <w:r>
        <w:rPr/>
        <w:t>shall</w:t>
      </w:r>
      <w:r>
        <w:rPr>
          <w:spacing w:val="-5"/>
        </w:rPr>
        <w:t> </w:t>
      </w:r>
      <w:r>
        <w:rPr/>
        <w:t>be</w:t>
      </w:r>
      <w:r>
        <w:rPr>
          <w:spacing w:val="-4"/>
        </w:rPr>
        <w:t> </w:t>
      </w:r>
      <w:r>
        <w:rPr/>
        <w:t>conducted</w:t>
      </w:r>
      <w:r>
        <w:rPr>
          <w:spacing w:val="-6"/>
        </w:rPr>
        <w:t> </w:t>
      </w:r>
      <w:r>
        <w:rPr/>
        <w:t>in</w:t>
      </w:r>
      <w:r>
        <w:rPr>
          <w:spacing w:val="-6"/>
        </w:rPr>
        <w:t> </w:t>
      </w:r>
      <w:r>
        <w:rPr/>
        <w:t>a</w:t>
      </w:r>
      <w:r>
        <w:rPr>
          <w:spacing w:val="-7"/>
        </w:rPr>
        <w:t> </w:t>
      </w:r>
      <w:r>
        <w:rPr/>
        <w:t>manner</w:t>
      </w:r>
      <w:r>
        <w:rPr>
          <w:spacing w:val="-5"/>
        </w:rPr>
        <w:t> </w:t>
      </w:r>
      <w:r>
        <w:rPr/>
        <w:t>compatible</w:t>
      </w:r>
      <w:r>
        <w:rPr>
          <w:spacing w:val="-7"/>
        </w:rPr>
        <w:t> </w:t>
      </w:r>
      <w:r>
        <w:rPr/>
        <w:t>with</w:t>
      </w:r>
      <w:r>
        <w:rPr>
          <w:spacing w:val="-7"/>
        </w:rPr>
        <w:t> </w:t>
      </w:r>
      <w:r>
        <w:rPr/>
        <w:t>maintaining wilderness characteristics (minimum impact suppression tactics).</w:t>
      </w:r>
    </w:p>
    <w:p>
      <w:pPr>
        <w:pStyle w:val="BodyText"/>
        <w:spacing w:before="193"/>
        <w:ind w:left="359"/>
        <w:jc w:val="both"/>
      </w:pPr>
      <w:r>
        <w:rPr/>
        <w:t>Use</w:t>
      </w:r>
      <w:r>
        <w:rPr>
          <w:spacing w:val="-5"/>
        </w:rPr>
        <w:t> </w:t>
      </w:r>
      <w:r>
        <w:rPr/>
        <w:t>planned</w:t>
      </w:r>
      <w:r>
        <w:rPr>
          <w:spacing w:val="-5"/>
        </w:rPr>
        <w:t> </w:t>
      </w:r>
      <w:r>
        <w:rPr/>
        <w:t>ignitions</w:t>
      </w:r>
      <w:r>
        <w:rPr>
          <w:spacing w:val="-4"/>
        </w:rPr>
        <w:t> </w:t>
      </w:r>
      <w:r>
        <w:rPr/>
        <w:t>only</w:t>
      </w:r>
      <w:r>
        <w:rPr>
          <w:spacing w:val="-5"/>
        </w:rPr>
        <w:t> </w:t>
      </w:r>
      <w:r>
        <w:rPr/>
        <w:t>in</w:t>
      </w:r>
      <w:r>
        <w:rPr>
          <w:spacing w:val="-4"/>
        </w:rPr>
        <w:t> </w:t>
      </w:r>
      <w:r>
        <w:rPr/>
        <w:t>situations</w:t>
      </w:r>
      <w:r>
        <w:rPr>
          <w:spacing w:val="-6"/>
        </w:rPr>
        <w:t> </w:t>
      </w:r>
      <w:r>
        <w:rPr/>
        <w:t>that</w:t>
      </w:r>
      <w:r>
        <w:rPr>
          <w:spacing w:val="-6"/>
        </w:rPr>
        <w:t> </w:t>
      </w:r>
      <w:r>
        <w:rPr/>
        <w:t>meet</w:t>
      </w:r>
      <w:r>
        <w:rPr>
          <w:spacing w:val="-5"/>
        </w:rPr>
        <w:t> </w:t>
      </w:r>
      <w:r>
        <w:rPr/>
        <w:t>all</w:t>
      </w:r>
      <w:r>
        <w:rPr>
          <w:spacing w:val="-7"/>
        </w:rPr>
        <w:t> </w:t>
      </w:r>
      <w:r>
        <w:rPr/>
        <w:t>of</w:t>
      </w:r>
      <w:r>
        <w:rPr>
          <w:spacing w:val="-4"/>
        </w:rPr>
        <w:t> </w:t>
      </w:r>
      <w:r>
        <w:rPr/>
        <w:t>the</w:t>
      </w:r>
      <w:r>
        <w:rPr>
          <w:spacing w:val="-3"/>
        </w:rPr>
        <w:t> </w:t>
      </w:r>
      <w:r>
        <w:rPr/>
        <w:t>following</w:t>
      </w:r>
      <w:r>
        <w:rPr>
          <w:spacing w:val="-4"/>
        </w:rPr>
        <w:t> </w:t>
      </w:r>
      <w:r>
        <w:rPr>
          <w:spacing w:val="-2"/>
        </w:rPr>
        <w:t>criteria:</w:t>
      </w:r>
    </w:p>
    <w:p>
      <w:pPr>
        <w:pStyle w:val="ListParagraph"/>
        <w:numPr>
          <w:ilvl w:val="0"/>
          <w:numId w:val="25"/>
        </w:numPr>
        <w:tabs>
          <w:tab w:pos="899" w:val="left" w:leader="none"/>
        </w:tabs>
        <w:spacing w:line="240" w:lineRule="auto" w:before="192" w:after="0"/>
        <w:ind w:left="899" w:right="0" w:hanging="359"/>
        <w:jc w:val="left"/>
        <w:rPr>
          <w:sz w:val="22"/>
        </w:rPr>
      </w:pPr>
      <w:r>
        <w:rPr>
          <w:sz w:val="22"/>
        </w:rPr>
        <w:t>There</w:t>
      </w:r>
      <w:r>
        <w:rPr>
          <w:spacing w:val="-4"/>
          <w:sz w:val="22"/>
        </w:rPr>
        <w:t> </w:t>
      </w:r>
      <w:r>
        <w:rPr>
          <w:sz w:val="22"/>
        </w:rPr>
        <w:t>is</w:t>
      </w:r>
      <w:r>
        <w:rPr>
          <w:spacing w:val="-4"/>
          <w:sz w:val="22"/>
        </w:rPr>
        <w:t> </w:t>
      </w:r>
      <w:r>
        <w:rPr>
          <w:sz w:val="22"/>
        </w:rPr>
        <w:t>an</w:t>
      </w:r>
      <w:r>
        <w:rPr>
          <w:spacing w:val="-6"/>
          <w:sz w:val="22"/>
        </w:rPr>
        <w:t> </w:t>
      </w:r>
      <w:r>
        <w:rPr>
          <w:sz w:val="22"/>
        </w:rPr>
        <w:t>unnatural</w:t>
      </w:r>
      <w:r>
        <w:rPr>
          <w:spacing w:val="-4"/>
          <w:sz w:val="22"/>
        </w:rPr>
        <w:t> </w:t>
      </w:r>
      <w:r>
        <w:rPr>
          <w:sz w:val="22"/>
        </w:rPr>
        <w:t>buildup</w:t>
      </w:r>
      <w:r>
        <w:rPr>
          <w:spacing w:val="-5"/>
          <w:sz w:val="22"/>
        </w:rPr>
        <w:t> </w:t>
      </w:r>
      <w:r>
        <w:rPr>
          <w:sz w:val="22"/>
        </w:rPr>
        <w:t>of</w:t>
      </w:r>
      <w:r>
        <w:rPr>
          <w:spacing w:val="-4"/>
          <w:sz w:val="22"/>
        </w:rPr>
        <w:t> fuel.</w:t>
      </w:r>
    </w:p>
    <w:p>
      <w:pPr>
        <w:pStyle w:val="ListParagraph"/>
        <w:numPr>
          <w:ilvl w:val="0"/>
          <w:numId w:val="25"/>
        </w:numPr>
        <w:tabs>
          <w:tab w:pos="899" w:val="left" w:leader="none"/>
        </w:tabs>
        <w:spacing w:line="240" w:lineRule="auto" w:before="111" w:after="0"/>
        <w:ind w:left="899" w:right="0" w:hanging="359"/>
        <w:jc w:val="left"/>
        <w:rPr>
          <w:sz w:val="22"/>
        </w:rPr>
      </w:pPr>
      <w:r>
        <w:rPr>
          <w:sz w:val="22"/>
        </w:rPr>
        <w:t>The</w:t>
      </w:r>
      <w:r>
        <w:rPr>
          <w:spacing w:val="-6"/>
          <w:sz w:val="22"/>
        </w:rPr>
        <w:t> </w:t>
      </w:r>
      <w:r>
        <w:rPr>
          <w:sz w:val="22"/>
        </w:rPr>
        <w:t>treatment</w:t>
      </w:r>
      <w:r>
        <w:rPr>
          <w:spacing w:val="-8"/>
          <w:sz w:val="22"/>
        </w:rPr>
        <w:t> </w:t>
      </w:r>
      <w:r>
        <w:rPr>
          <w:sz w:val="22"/>
        </w:rPr>
        <w:t>would</w:t>
      </w:r>
      <w:r>
        <w:rPr>
          <w:spacing w:val="-8"/>
          <w:sz w:val="22"/>
        </w:rPr>
        <w:t> </w:t>
      </w:r>
      <w:r>
        <w:rPr>
          <w:sz w:val="22"/>
        </w:rPr>
        <w:t>increase</w:t>
      </w:r>
      <w:r>
        <w:rPr>
          <w:spacing w:val="-5"/>
          <w:sz w:val="22"/>
        </w:rPr>
        <w:t> </w:t>
      </w:r>
      <w:r>
        <w:rPr>
          <w:sz w:val="22"/>
        </w:rPr>
        <w:t>the</w:t>
      </w:r>
      <w:r>
        <w:rPr>
          <w:spacing w:val="-9"/>
          <w:sz w:val="22"/>
        </w:rPr>
        <w:t> </w:t>
      </w:r>
      <w:r>
        <w:rPr>
          <w:sz w:val="22"/>
        </w:rPr>
        <w:t>probability</w:t>
      </w:r>
      <w:r>
        <w:rPr>
          <w:spacing w:val="-7"/>
          <w:sz w:val="22"/>
        </w:rPr>
        <w:t> </w:t>
      </w:r>
      <w:r>
        <w:rPr>
          <w:sz w:val="22"/>
        </w:rPr>
        <w:t>of</w:t>
      </w:r>
      <w:r>
        <w:rPr>
          <w:spacing w:val="-6"/>
          <w:sz w:val="22"/>
        </w:rPr>
        <w:t> </w:t>
      </w:r>
      <w:r>
        <w:rPr>
          <w:sz w:val="22"/>
        </w:rPr>
        <w:t>accepting</w:t>
      </w:r>
      <w:r>
        <w:rPr>
          <w:spacing w:val="-8"/>
          <w:sz w:val="22"/>
        </w:rPr>
        <w:t> </w:t>
      </w:r>
      <w:r>
        <w:rPr>
          <w:sz w:val="22"/>
        </w:rPr>
        <w:t>naturally</w:t>
      </w:r>
      <w:r>
        <w:rPr>
          <w:spacing w:val="-7"/>
          <w:sz w:val="22"/>
        </w:rPr>
        <w:t> </w:t>
      </w:r>
      <w:r>
        <w:rPr>
          <w:sz w:val="22"/>
        </w:rPr>
        <w:t>occurring</w:t>
      </w:r>
      <w:r>
        <w:rPr>
          <w:spacing w:val="-7"/>
          <w:sz w:val="22"/>
        </w:rPr>
        <w:t> </w:t>
      </w:r>
      <w:r>
        <w:rPr>
          <w:spacing w:val="-2"/>
          <w:sz w:val="22"/>
        </w:rPr>
        <w:t>fire.</w:t>
      </w:r>
    </w:p>
    <w:p>
      <w:pPr>
        <w:pStyle w:val="ListParagraph"/>
        <w:numPr>
          <w:ilvl w:val="0"/>
          <w:numId w:val="25"/>
        </w:numPr>
        <w:tabs>
          <w:tab w:pos="900" w:val="left" w:leader="none"/>
        </w:tabs>
        <w:spacing w:line="232" w:lineRule="auto" w:before="119" w:after="0"/>
        <w:ind w:left="900" w:right="1833" w:hanging="360"/>
        <w:jc w:val="left"/>
        <w:rPr>
          <w:sz w:val="22"/>
        </w:rPr>
      </w:pPr>
      <w:r>
        <w:rPr>
          <w:sz w:val="22"/>
        </w:rPr>
        <w:t>Strategies</w:t>
      </w:r>
      <w:r>
        <w:rPr>
          <w:spacing w:val="-6"/>
          <w:sz w:val="22"/>
        </w:rPr>
        <w:t> </w:t>
      </w:r>
      <w:r>
        <w:rPr>
          <w:sz w:val="22"/>
        </w:rPr>
        <w:t>use</w:t>
      </w:r>
      <w:r>
        <w:rPr>
          <w:spacing w:val="-7"/>
          <w:sz w:val="22"/>
        </w:rPr>
        <w:t> </w:t>
      </w:r>
      <w:r>
        <w:rPr>
          <w:sz w:val="22"/>
        </w:rPr>
        <w:t>minimum</w:t>
      </w:r>
      <w:r>
        <w:rPr>
          <w:spacing w:val="-5"/>
          <w:sz w:val="22"/>
        </w:rPr>
        <w:t> </w:t>
      </w:r>
      <w:r>
        <w:rPr>
          <w:sz w:val="22"/>
        </w:rPr>
        <w:t>suppression</w:t>
      </w:r>
      <w:r>
        <w:rPr>
          <w:spacing w:val="-9"/>
          <w:sz w:val="22"/>
        </w:rPr>
        <w:t> </w:t>
      </w:r>
      <w:r>
        <w:rPr>
          <w:sz w:val="22"/>
        </w:rPr>
        <w:t>techniques</w:t>
      </w:r>
      <w:r>
        <w:rPr>
          <w:spacing w:val="-6"/>
          <w:sz w:val="22"/>
        </w:rPr>
        <w:t> </w:t>
      </w:r>
      <w:r>
        <w:rPr>
          <w:sz w:val="22"/>
        </w:rPr>
        <w:t>and</w:t>
      </w:r>
      <w:r>
        <w:rPr>
          <w:spacing w:val="-7"/>
          <w:sz w:val="22"/>
        </w:rPr>
        <w:t> </w:t>
      </w:r>
      <w:r>
        <w:rPr>
          <w:sz w:val="22"/>
        </w:rPr>
        <w:t>are</w:t>
      </w:r>
      <w:r>
        <w:rPr>
          <w:spacing w:val="-5"/>
          <w:sz w:val="22"/>
        </w:rPr>
        <w:t> </w:t>
      </w:r>
      <w:r>
        <w:rPr>
          <w:sz w:val="22"/>
        </w:rPr>
        <w:t>designed</w:t>
      </w:r>
      <w:r>
        <w:rPr>
          <w:spacing w:val="-9"/>
          <w:sz w:val="22"/>
        </w:rPr>
        <w:t> </w:t>
      </w:r>
      <w:r>
        <w:rPr>
          <w:sz w:val="22"/>
        </w:rPr>
        <w:t>to</w:t>
      </w:r>
      <w:r>
        <w:rPr>
          <w:spacing w:val="-7"/>
          <w:sz w:val="22"/>
        </w:rPr>
        <w:t> </w:t>
      </w:r>
      <w:r>
        <w:rPr>
          <w:sz w:val="22"/>
        </w:rPr>
        <w:t>maintain</w:t>
      </w:r>
      <w:r>
        <w:rPr>
          <w:spacing w:val="-7"/>
          <w:sz w:val="22"/>
        </w:rPr>
        <w:t> </w:t>
      </w:r>
      <w:r>
        <w:rPr>
          <w:sz w:val="22"/>
        </w:rPr>
        <w:t>and restore the vegetation conditions that are characteristic of wilderness.</w:t>
      </w:r>
    </w:p>
    <w:p>
      <w:pPr>
        <w:pStyle w:val="ListParagraph"/>
        <w:spacing w:after="0" w:line="232" w:lineRule="auto"/>
        <w:jc w:val="left"/>
        <w:rPr>
          <w:sz w:val="22"/>
        </w:rPr>
        <w:sectPr>
          <w:pgSz w:w="12240" w:h="15840"/>
          <w:pgMar w:header="725" w:footer="891" w:top="1340" w:bottom="1080" w:left="1080" w:right="1080"/>
        </w:sectPr>
      </w:pPr>
    </w:p>
    <w:p>
      <w:pPr>
        <w:pStyle w:val="Heading4"/>
        <w:spacing w:before="84"/>
        <w:ind w:left="1151"/>
      </w:pPr>
      <w:bookmarkStart w:name="Guidelines" w:id="897"/>
      <w:bookmarkEnd w:id="897"/>
      <w:r>
        <w:rPr/>
      </w:r>
      <w:bookmarkStart w:name="_bookmark270" w:id="898"/>
      <w:bookmarkEnd w:id="898"/>
      <w:r>
        <w:rPr/>
      </w:r>
      <w:r>
        <w:rPr>
          <w:spacing w:val="-2"/>
        </w:rPr>
        <w:t>Guidelines</w:t>
      </w:r>
    </w:p>
    <w:p>
      <w:pPr>
        <w:spacing w:before="239"/>
        <w:ind w:left="1151" w:right="0" w:firstLine="0"/>
        <w:jc w:val="left"/>
        <w:rPr>
          <w:rFonts w:ascii="Arial"/>
          <w:i/>
          <w:sz w:val="22"/>
        </w:rPr>
      </w:pPr>
      <w:bookmarkStart w:name="MA-GDL-RW-01. Wilderness Characteristics" w:id="899"/>
      <w:bookmarkEnd w:id="899"/>
      <w:r>
        <w:rPr/>
      </w:r>
      <w:r>
        <w:rPr>
          <w:rFonts w:ascii="Arial"/>
          <w:i/>
          <w:sz w:val="22"/>
        </w:rPr>
        <w:t>MA-GDL-RW-01.</w:t>
      </w:r>
      <w:r>
        <w:rPr>
          <w:rFonts w:ascii="Arial"/>
          <w:i/>
          <w:spacing w:val="-13"/>
          <w:sz w:val="22"/>
        </w:rPr>
        <w:t> </w:t>
      </w:r>
      <w:r>
        <w:rPr>
          <w:rFonts w:ascii="Arial"/>
          <w:i/>
          <w:sz w:val="22"/>
        </w:rPr>
        <w:t>Wilderness</w:t>
      </w:r>
      <w:r>
        <w:rPr>
          <w:rFonts w:ascii="Arial"/>
          <w:i/>
          <w:spacing w:val="-8"/>
          <w:sz w:val="22"/>
        </w:rPr>
        <w:t> </w:t>
      </w:r>
      <w:r>
        <w:rPr>
          <w:rFonts w:ascii="Arial"/>
          <w:i/>
          <w:spacing w:val="-2"/>
          <w:sz w:val="22"/>
        </w:rPr>
        <w:t>Characteristics</w:t>
      </w:r>
    </w:p>
    <w:p>
      <w:pPr>
        <w:pStyle w:val="BodyText"/>
        <w:spacing w:line="232" w:lineRule="auto" w:before="65"/>
        <w:ind w:left="1151" w:right="398"/>
        <w:jc w:val="both"/>
      </w:pPr>
      <w:r>
        <w:rPr/>
        <w:t>The</w:t>
      </w:r>
      <w:r>
        <w:rPr>
          <w:spacing w:val="-6"/>
        </w:rPr>
        <w:t> </w:t>
      </w:r>
      <w:r>
        <w:rPr/>
        <w:t>wilderness</w:t>
      </w:r>
      <w:r>
        <w:rPr>
          <w:spacing w:val="-7"/>
        </w:rPr>
        <w:t> </w:t>
      </w:r>
      <w:r>
        <w:rPr/>
        <w:t>characteristics</w:t>
      </w:r>
      <w:r>
        <w:rPr>
          <w:spacing w:val="-7"/>
        </w:rPr>
        <w:t> </w:t>
      </w:r>
      <w:r>
        <w:rPr/>
        <w:t>(untramelled,</w:t>
      </w:r>
      <w:r>
        <w:rPr>
          <w:spacing w:val="-7"/>
        </w:rPr>
        <w:t> </w:t>
      </w:r>
      <w:r>
        <w:rPr/>
        <w:t>undeveloped,</w:t>
      </w:r>
      <w:r>
        <w:rPr>
          <w:spacing w:val="-7"/>
        </w:rPr>
        <w:t> </w:t>
      </w:r>
      <w:r>
        <w:rPr/>
        <w:t>natural,</w:t>
      </w:r>
      <w:r>
        <w:rPr>
          <w:spacing w:val="-7"/>
        </w:rPr>
        <w:t> </w:t>
      </w:r>
      <w:r>
        <w:rPr/>
        <w:t>opportunities</w:t>
      </w:r>
      <w:r>
        <w:rPr>
          <w:spacing w:val="-11"/>
        </w:rPr>
        <w:t> </w:t>
      </w:r>
      <w:r>
        <w:rPr/>
        <w:t>for</w:t>
      </w:r>
      <w:r>
        <w:rPr>
          <w:spacing w:val="-7"/>
        </w:rPr>
        <w:t> </w:t>
      </w:r>
      <w:r>
        <w:rPr/>
        <w:t>solitude</w:t>
      </w:r>
      <w:r>
        <w:rPr>
          <w:spacing w:val="-9"/>
        </w:rPr>
        <w:t> </w:t>
      </w:r>
      <w:r>
        <w:rPr/>
        <w:t>or a</w:t>
      </w:r>
      <w:r>
        <w:rPr>
          <w:spacing w:val="-4"/>
        </w:rPr>
        <w:t> </w:t>
      </w:r>
      <w:r>
        <w:rPr/>
        <w:t>primitive</w:t>
      </w:r>
      <w:r>
        <w:rPr>
          <w:spacing w:val="-3"/>
        </w:rPr>
        <w:t> </w:t>
      </w:r>
      <w:r>
        <w:rPr/>
        <w:t>and</w:t>
      </w:r>
      <w:r>
        <w:rPr>
          <w:spacing w:val="-4"/>
        </w:rPr>
        <w:t> </w:t>
      </w:r>
      <w:r>
        <w:rPr/>
        <w:t>unconfined</w:t>
      </w:r>
      <w:r>
        <w:rPr>
          <w:spacing w:val="-4"/>
        </w:rPr>
        <w:t> </w:t>
      </w:r>
      <w:r>
        <w:rPr/>
        <w:t>type</w:t>
      </w:r>
      <w:r>
        <w:rPr>
          <w:spacing w:val="-5"/>
        </w:rPr>
        <w:t> </w:t>
      </w:r>
      <w:r>
        <w:rPr/>
        <w:t>of</w:t>
      </w:r>
      <w:r>
        <w:rPr>
          <w:spacing w:val="-4"/>
        </w:rPr>
        <w:t> </w:t>
      </w:r>
      <w:r>
        <w:rPr/>
        <w:t>recreation)</w:t>
      </w:r>
      <w:r>
        <w:rPr>
          <w:spacing w:val="-5"/>
        </w:rPr>
        <w:t> </w:t>
      </w:r>
      <w:r>
        <w:rPr/>
        <w:t>of</w:t>
      </w:r>
      <w:r>
        <w:rPr>
          <w:spacing w:val="-4"/>
        </w:rPr>
        <w:t> </w:t>
      </w:r>
      <w:r>
        <w:rPr/>
        <w:t>each</w:t>
      </w:r>
      <w:r>
        <w:rPr>
          <w:spacing w:val="-6"/>
        </w:rPr>
        <w:t> </w:t>
      </w:r>
      <w:r>
        <w:rPr/>
        <w:t>recommended</w:t>
      </w:r>
      <w:r>
        <w:rPr>
          <w:spacing w:val="-6"/>
        </w:rPr>
        <w:t> </w:t>
      </w:r>
      <w:r>
        <w:rPr/>
        <w:t>wilderness</w:t>
      </w:r>
      <w:r>
        <w:rPr>
          <w:spacing w:val="-4"/>
        </w:rPr>
        <w:t> </w:t>
      </w:r>
      <w:r>
        <w:rPr/>
        <w:t>should</w:t>
      </w:r>
      <w:r>
        <w:rPr>
          <w:spacing w:val="-4"/>
        </w:rPr>
        <w:t> </w:t>
      </w:r>
      <w:r>
        <w:rPr/>
        <w:t>remain intact until a congressional decision on wilderness designation is made.</w:t>
      </w:r>
    </w:p>
    <w:p>
      <w:pPr>
        <w:spacing w:before="235"/>
        <w:ind w:left="1151" w:right="0" w:firstLine="0"/>
        <w:jc w:val="left"/>
        <w:rPr>
          <w:rFonts w:ascii="Arial"/>
          <w:i/>
          <w:sz w:val="22"/>
        </w:rPr>
      </w:pPr>
      <w:bookmarkStart w:name="MA-GDL-RW-02. Trail Use" w:id="900"/>
      <w:bookmarkEnd w:id="900"/>
      <w:r>
        <w:rPr/>
      </w:r>
      <w:r>
        <w:rPr>
          <w:rFonts w:ascii="Arial"/>
          <w:i/>
          <w:sz w:val="22"/>
        </w:rPr>
        <w:t>MA-GDL-RW-02.</w:t>
      </w:r>
      <w:r>
        <w:rPr>
          <w:rFonts w:ascii="Arial"/>
          <w:i/>
          <w:spacing w:val="-9"/>
          <w:sz w:val="22"/>
        </w:rPr>
        <w:t> </w:t>
      </w:r>
      <w:r>
        <w:rPr>
          <w:rFonts w:ascii="Arial"/>
          <w:i/>
          <w:sz w:val="22"/>
        </w:rPr>
        <w:t>Trail</w:t>
      </w:r>
      <w:r>
        <w:rPr>
          <w:rFonts w:ascii="Arial"/>
          <w:i/>
          <w:spacing w:val="-7"/>
          <w:sz w:val="22"/>
        </w:rPr>
        <w:t> </w:t>
      </w:r>
      <w:r>
        <w:rPr>
          <w:rFonts w:ascii="Arial"/>
          <w:i/>
          <w:spacing w:val="-5"/>
          <w:sz w:val="22"/>
        </w:rPr>
        <w:t>Use</w:t>
      </w:r>
    </w:p>
    <w:p>
      <w:pPr>
        <w:pStyle w:val="BodyText"/>
        <w:spacing w:line="232" w:lineRule="auto" w:before="65"/>
        <w:ind w:left="1150" w:right="365"/>
      </w:pPr>
      <w:r>
        <w:rPr/>
        <w:t>Mechanized (on trails existing at the time this plan is signed) and non-motorized travel may occur</w:t>
      </w:r>
      <w:r>
        <w:rPr>
          <w:spacing w:val="-3"/>
        </w:rPr>
        <w:t> </w:t>
      </w:r>
      <w:r>
        <w:rPr/>
        <w:t>in</w:t>
      </w:r>
      <w:r>
        <w:rPr>
          <w:spacing w:val="-6"/>
        </w:rPr>
        <w:t> </w:t>
      </w:r>
      <w:r>
        <w:rPr/>
        <w:t>recommended</w:t>
      </w:r>
      <w:r>
        <w:rPr>
          <w:spacing w:val="-4"/>
        </w:rPr>
        <w:t> </w:t>
      </w:r>
      <w:r>
        <w:rPr/>
        <w:t>wilderness,</w:t>
      </w:r>
      <w:r>
        <w:rPr>
          <w:spacing w:val="-3"/>
        </w:rPr>
        <w:t> </w:t>
      </w:r>
      <w:r>
        <w:rPr/>
        <w:t>as</w:t>
      </w:r>
      <w:r>
        <w:rPr>
          <w:spacing w:val="-5"/>
        </w:rPr>
        <w:t> </w:t>
      </w:r>
      <w:r>
        <w:rPr/>
        <w:t>long</w:t>
      </w:r>
      <w:r>
        <w:rPr>
          <w:spacing w:val="-4"/>
        </w:rPr>
        <w:t> </w:t>
      </w:r>
      <w:r>
        <w:rPr/>
        <w:t>as</w:t>
      </w:r>
      <w:r>
        <w:rPr>
          <w:spacing w:val="-5"/>
        </w:rPr>
        <w:t> </w:t>
      </w:r>
      <w:r>
        <w:rPr/>
        <w:t>wilderness</w:t>
      </w:r>
      <w:r>
        <w:rPr>
          <w:spacing w:val="-2"/>
        </w:rPr>
        <w:t> </w:t>
      </w:r>
      <w:r>
        <w:rPr/>
        <w:t>characteristics</w:t>
      </w:r>
      <w:r>
        <w:rPr>
          <w:spacing w:val="-3"/>
        </w:rPr>
        <w:t> </w:t>
      </w:r>
      <w:r>
        <w:rPr/>
        <w:t>remain</w:t>
      </w:r>
      <w:r>
        <w:rPr>
          <w:spacing w:val="-4"/>
        </w:rPr>
        <w:t> </w:t>
      </w:r>
      <w:r>
        <w:rPr/>
        <w:t>intact.</w:t>
      </w:r>
      <w:r>
        <w:rPr>
          <w:spacing w:val="-3"/>
        </w:rPr>
        <w:t> </w:t>
      </w:r>
      <w:r>
        <w:rPr/>
        <w:t>Use</w:t>
      </w:r>
      <w:r>
        <w:rPr>
          <w:spacing w:val="-2"/>
        </w:rPr>
        <w:t> </w:t>
      </w:r>
      <w:r>
        <w:rPr/>
        <w:t>of National</w:t>
      </w:r>
      <w:r>
        <w:rPr>
          <w:spacing w:val="-6"/>
        </w:rPr>
        <w:t> </w:t>
      </w:r>
      <w:r>
        <w:rPr/>
        <w:t>Forest</w:t>
      </w:r>
      <w:r>
        <w:rPr>
          <w:spacing w:val="-5"/>
        </w:rPr>
        <w:t> </w:t>
      </w:r>
      <w:r>
        <w:rPr/>
        <w:t>System</w:t>
      </w:r>
      <w:r>
        <w:rPr>
          <w:spacing w:val="-7"/>
        </w:rPr>
        <w:t> </w:t>
      </w:r>
      <w:r>
        <w:rPr/>
        <w:t>trails</w:t>
      </w:r>
      <w:r>
        <w:rPr>
          <w:spacing w:val="-6"/>
        </w:rPr>
        <w:t> </w:t>
      </w:r>
      <w:r>
        <w:rPr/>
        <w:t>closed</w:t>
      </w:r>
      <w:r>
        <w:rPr>
          <w:spacing w:val="-7"/>
        </w:rPr>
        <w:t> </w:t>
      </w:r>
      <w:r>
        <w:rPr/>
        <w:t>to</w:t>
      </w:r>
      <w:r>
        <w:rPr>
          <w:spacing w:val="-7"/>
        </w:rPr>
        <w:t> </w:t>
      </w:r>
      <w:r>
        <w:rPr/>
        <w:t>mountain</w:t>
      </w:r>
      <w:r>
        <w:rPr>
          <w:spacing w:val="-9"/>
        </w:rPr>
        <w:t> </w:t>
      </w:r>
      <w:r>
        <w:rPr/>
        <w:t>biking</w:t>
      </w:r>
      <w:r>
        <w:rPr>
          <w:spacing w:val="-7"/>
        </w:rPr>
        <w:t> </w:t>
      </w:r>
      <w:r>
        <w:rPr/>
        <w:t>or</w:t>
      </w:r>
      <w:r>
        <w:rPr>
          <w:spacing w:val="-8"/>
        </w:rPr>
        <w:t> </w:t>
      </w:r>
      <w:r>
        <w:rPr/>
        <w:t>off-trail</w:t>
      </w:r>
      <w:r>
        <w:rPr>
          <w:spacing w:val="-6"/>
        </w:rPr>
        <w:t> </w:t>
      </w:r>
      <w:r>
        <w:rPr/>
        <w:t>use</w:t>
      </w:r>
      <w:r>
        <w:rPr>
          <w:spacing w:val="-8"/>
        </w:rPr>
        <w:t> </w:t>
      </w:r>
      <w:r>
        <w:rPr/>
        <w:t>by</w:t>
      </w:r>
      <w:r>
        <w:rPr>
          <w:spacing w:val="-7"/>
        </w:rPr>
        <w:t> </w:t>
      </w:r>
      <w:r>
        <w:rPr/>
        <w:t>mountain</w:t>
      </w:r>
      <w:r>
        <w:rPr>
          <w:spacing w:val="-7"/>
        </w:rPr>
        <w:t> </w:t>
      </w:r>
      <w:r>
        <w:rPr/>
        <w:t>bikes</w:t>
      </w:r>
      <w:r>
        <w:rPr>
          <w:spacing w:val="-8"/>
        </w:rPr>
        <w:t> </w:t>
      </w:r>
      <w:r>
        <w:rPr/>
        <w:t>may result in the closure of the affected trail system or the entire recommended wilderness to mountain bike use.</w:t>
      </w:r>
    </w:p>
    <w:p>
      <w:pPr>
        <w:spacing w:before="233"/>
        <w:ind w:left="1150" w:right="0" w:firstLine="0"/>
        <w:jc w:val="left"/>
        <w:rPr>
          <w:rFonts w:ascii="Arial"/>
          <w:i/>
          <w:sz w:val="22"/>
        </w:rPr>
      </w:pPr>
      <w:bookmarkStart w:name="MA-GDL-RW-03. Motorized Equipment" w:id="901"/>
      <w:bookmarkEnd w:id="901"/>
      <w:r>
        <w:rPr/>
      </w:r>
      <w:r>
        <w:rPr>
          <w:rFonts w:ascii="Arial"/>
          <w:i/>
          <w:sz w:val="22"/>
        </w:rPr>
        <w:t>MA-GDL-RW-03.</w:t>
      </w:r>
      <w:r>
        <w:rPr>
          <w:rFonts w:ascii="Arial"/>
          <w:i/>
          <w:spacing w:val="-12"/>
          <w:sz w:val="22"/>
        </w:rPr>
        <w:t> </w:t>
      </w:r>
      <w:r>
        <w:rPr>
          <w:rFonts w:ascii="Arial"/>
          <w:i/>
          <w:sz w:val="22"/>
        </w:rPr>
        <w:t>Motorized</w:t>
      </w:r>
      <w:r>
        <w:rPr>
          <w:rFonts w:ascii="Arial"/>
          <w:i/>
          <w:spacing w:val="-10"/>
          <w:sz w:val="22"/>
        </w:rPr>
        <w:t> </w:t>
      </w:r>
      <w:r>
        <w:rPr>
          <w:rFonts w:ascii="Arial"/>
          <w:i/>
          <w:spacing w:val="-2"/>
          <w:sz w:val="22"/>
        </w:rPr>
        <w:t>Equipment</w:t>
      </w:r>
    </w:p>
    <w:p>
      <w:pPr>
        <w:pStyle w:val="BodyText"/>
        <w:spacing w:line="232" w:lineRule="auto" w:before="64"/>
        <w:ind w:left="1150"/>
      </w:pPr>
      <w:r>
        <w:rPr/>
        <w:t>Chainsaws</w:t>
      </w:r>
      <w:r>
        <w:rPr>
          <w:spacing w:val="-5"/>
        </w:rPr>
        <w:t> </w:t>
      </w:r>
      <w:r>
        <w:rPr/>
        <w:t>may</w:t>
      </w:r>
      <w:r>
        <w:rPr>
          <w:spacing w:val="-6"/>
        </w:rPr>
        <w:t> </w:t>
      </w:r>
      <w:r>
        <w:rPr/>
        <w:t>be</w:t>
      </w:r>
      <w:r>
        <w:rPr>
          <w:spacing w:val="-4"/>
        </w:rPr>
        <w:t> </w:t>
      </w:r>
      <w:r>
        <w:rPr/>
        <w:t>used</w:t>
      </w:r>
      <w:r>
        <w:rPr>
          <w:spacing w:val="-6"/>
        </w:rPr>
        <w:t> </w:t>
      </w:r>
      <w:r>
        <w:rPr/>
        <w:t>for</w:t>
      </w:r>
      <w:r>
        <w:rPr>
          <w:spacing w:val="-7"/>
        </w:rPr>
        <w:t> </w:t>
      </w:r>
      <w:r>
        <w:rPr/>
        <w:t>trail</w:t>
      </w:r>
      <w:r>
        <w:rPr>
          <w:spacing w:val="-8"/>
        </w:rPr>
        <w:t> </w:t>
      </w:r>
      <w:r>
        <w:rPr/>
        <w:t>maintenance</w:t>
      </w:r>
      <w:r>
        <w:rPr>
          <w:spacing w:val="-7"/>
        </w:rPr>
        <w:t> </w:t>
      </w:r>
      <w:r>
        <w:rPr/>
        <w:t>and</w:t>
      </w:r>
      <w:r>
        <w:rPr>
          <w:spacing w:val="-6"/>
        </w:rPr>
        <w:t> </w:t>
      </w:r>
      <w:r>
        <w:rPr/>
        <w:t>reconstruction</w:t>
      </w:r>
      <w:r>
        <w:rPr>
          <w:spacing w:val="-8"/>
        </w:rPr>
        <w:t> </w:t>
      </w:r>
      <w:r>
        <w:rPr/>
        <w:t>of</w:t>
      </w:r>
      <w:r>
        <w:rPr>
          <w:spacing w:val="-8"/>
        </w:rPr>
        <w:t> </w:t>
      </w:r>
      <w:r>
        <w:rPr/>
        <w:t>existing</w:t>
      </w:r>
      <w:r>
        <w:rPr>
          <w:spacing w:val="-6"/>
        </w:rPr>
        <w:t> </w:t>
      </w:r>
      <w:r>
        <w:rPr/>
        <w:t>trails,</w:t>
      </w:r>
      <w:r>
        <w:rPr>
          <w:spacing w:val="-7"/>
        </w:rPr>
        <w:t> </w:t>
      </w:r>
      <w:r>
        <w:rPr/>
        <w:t>to</w:t>
      </w:r>
      <w:r>
        <w:rPr>
          <w:spacing w:val="-6"/>
        </w:rPr>
        <w:t> </w:t>
      </w:r>
      <w:r>
        <w:rPr/>
        <w:t>retain wilderness character, as long as wilderness character remains intact.</w:t>
      </w:r>
    </w:p>
    <w:p>
      <w:pPr>
        <w:spacing w:before="235"/>
        <w:ind w:left="1150" w:right="0" w:firstLine="0"/>
        <w:jc w:val="left"/>
        <w:rPr>
          <w:rFonts w:ascii="Arial"/>
          <w:i/>
          <w:sz w:val="22"/>
        </w:rPr>
      </w:pPr>
      <w:bookmarkStart w:name="MA-GDL-RW-04. Campsite Development" w:id="902"/>
      <w:bookmarkEnd w:id="902"/>
      <w:r>
        <w:rPr/>
      </w:r>
      <w:r>
        <w:rPr>
          <w:rFonts w:ascii="Arial"/>
          <w:i/>
          <w:sz w:val="22"/>
        </w:rPr>
        <w:t>MA-GDL-RW-04.</w:t>
      </w:r>
      <w:r>
        <w:rPr>
          <w:rFonts w:ascii="Arial"/>
          <w:i/>
          <w:spacing w:val="-11"/>
          <w:sz w:val="22"/>
        </w:rPr>
        <w:t> </w:t>
      </w:r>
      <w:r>
        <w:rPr>
          <w:rFonts w:ascii="Arial"/>
          <w:i/>
          <w:sz w:val="22"/>
        </w:rPr>
        <w:t>Campsite</w:t>
      </w:r>
      <w:r>
        <w:rPr>
          <w:rFonts w:ascii="Arial"/>
          <w:i/>
          <w:spacing w:val="-9"/>
          <w:sz w:val="22"/>
        </w:rPr>
        <w:t> </w:t>
      </w:r>
      <w:r>
        <w:rPr>
          <w:rFonts w:ascii="Arial"/>
          <w:i/>
          <w:spacing w:val="-2"/>
          <w:sz w:val="22"/>
        </w:rPr>
        <w:t>Development</w:t>
      </w:r>
    </w:p>
    <w:p>
      <w:pPr>
        <w:pStyle w:val="BodyText"/>
        <w:spacing w:line="232" w:lineRule="auto" w:before="64"/>
        <w:ind w:left="1150" w:right="361"/>
      </w:pPr>
      <w:r>
        <w:rPr/>
        <w:t>Areas</w:t>
      </w:r>
      <w:r>
        <w:rPr>
          <w:spacing w:val="-5"/>
        </w:rPr>
        <w:t> </w:t>
      </w:r>
      <w:r>
        <w:rPr/>
        <w:t>appropriate</w:t>
      </w:r>
      <w:r>
        <w:rPr>
          <w:spacing w:val="-7"/>
        </w:rPr>
        <w:t> </w:t>
      </w:r>
      <w:r>
        <w:rPr/>
        <w:t>for</w:t>
      </w:r>
      <w:r>
        <w:rPr>
          <w:spacing w:val="-7"/>
        </w:rPr>
        <w:t> </w:t>
      </w:r>
      <w:r>
        <w:rPr/>
        <w:t>camping</w:t>
      </w:r>
      <w:r>
        <w:rPr>
          <w:spacing w:val="-6"/>
        </w:rPr>
        <w:t> </w:t>
      </w:r>
      <w:r>
        <w:rPr/>
        <w:t>should</w:t>
      </w:r>
      <w:r>
        <w:rPr>
          <w:spacing w:val="-6"/>
        </w:rPr>
        <w:t> </w:t>
      </w:r>
      <w:r>
        <w:rPr/>
        <w:t>only</w:t>
      </w:r>
      <w:r>
        <w:rPr>
          <w:spacing w:val="-6"/>
        </w:rPr>
        <w:t> </w:t>
      </w:r>
      <w:r>
        <w:rPr/>
        <w:t>be</w:t>
      </w:r>
      <w:r>
        <w:rPr>
          <w:spacing w:val="-4"/>
        </w:rPr>
        <w:t> </w:t>
      </w:r>
      <w:r>
        <w:rPr/>
        <w:t>designated</w:t>
      </w:r>
      <w:r>
        <w:rPr>
          <w:spacing w:val="-6"/>
        </w:rPr>
        <w:t> </w:t>
      </w:r>
      <w:r>
        <w:rPr/>
        <w:t>if</w:t>
      </w:r>
      <w:r>
        <w:rPr>
          <w:spacing w:val="-5"/>
        </w:rPr>
        <w:t> </w:t>
      </w:r>
      <w:r>
        <w:rPr/>
        <w:t>necessary</w:t>
      </w:r>
      <w:r>
        <w:rPr>
          <w:spacing w:val="-6"/>
        </w:rPr>
        <w:t> </w:t>
      </w:r>
      <w:r>
        <w:rPr/>
        <w:t>to</w:t>
      </w:r>
      <w:r>
        <w:rPr>
          <w:spacing w:val="-6"/>
        </w:rPr>
        <w:t> </w:t>
      </w:r>
      <w:r>
        <w:rPr/>
        <w:t>resolve</w:t>
      </w:r>
      <w:r>
        <w:rPr>
          <w:spacing w:val="-4"/>
        </w:rPr>
        <w:t> </w:t>
      </w:r>
      <w:r>
        <w:rPr/>
        <w:t>resource</w:t>
      </w:r>
      <w:r>
        <w:rPr>
          <w:spacing w:val="-4"/>
        </w:rPr>
        <w:t> </w:t>
      </w:r>
      <w:r>
        <w:rPr/>
        <w:t>issues and not to accommodate increasing levels of use. Recreational site structures are generally limited to one fire ring and naturally occurring rock or log seats. Authorized recreation developments (such as hitch-racks, high-lines, or site hardening) should rarely be installed.</w:t>
      </w:r>
    </w:p>
    <w:p>
      <w:pPr>
        <w:pStyle w:val="BodyText"/>
        <w:spacing w:line="232" w:lineRule="auto"/>
        <w:ind w:left="1149" w:right="411"/>
        <w:jc w:val="both"/>
      </w:pPr>
      <w:r>
        <w:rPr/>
        <w:t>These developments</w:t>
      </w:r>
      <w:r>
        <w:rPr>
          <w:spacing w:val="-1"/>
        </w:rPr>
        <w:t> </w:t>
      </w:r>
      <w:r>
        <w:rPr/>
        <w:t>should</w:t>
      </w:r>
      <w:r>
        <w:rPr>
          <w:spacing w:val="-2"/>
        </w:rPr>
        <w:t> </w:t>
      </w:r>
      <w:r>
        <w:rPr/>
        <w:t>only be used</w:t>
      </w:r>
      <w:r>
        <w:rPr>
          <w:spacing w:val="-4"/>
        </w:rPr>
        <w:t> </w:t>
      </w:r>
      <w:r>
        <w:rPr/>
        <w:t>where they</w:t>
      </w:r>
      <w:r>
        <w:rPr>
          <w:spacing w:val="-2"/>
        </w:rPr>
        <w:t> </w:t>
      </w:r>
      <w:r>
        <w:rPr/>
        <w:t>would</w:t>
      </w:r>
      <w:r>
        <w:rPr>
          <w:spacing w:val="-2"/>
        </w:rPr>
        <w:t> </w:t>
      </w:r>
      <w:r>
        <w:rPr/>
        <w:t>reduce</w:t>
      </w:r>
      <w:r>
        <w:rPr>
          <w:spacing w:val="-3"/>
        </w:rPr>
        <w:t> </w:t>
      </w:r>
      <w:r>
        <w:rPr/>
        <w:t>or</w:t>
      </w:r>
      <w:r>
        <w:rPr>
          <w:spacing w:val="-1"/>
        </w:rPr>
        <w:t> </w:t>
      </w:r>
      <w:r>
        <w:rPr/>
        <w:t>eliminate</w:t>
      </w:r>
      <w:r>
        <w:rPr>
          <w:spacing w:val="-3"/>
        </w:rPr>
        <w:t> </w:t>
      </w:r>
      <w:r>
        <w:rPr/>
        <w:t>a</w:t>
      </w:r>
      <w:r>
        <w:rPr>
          <w:spacing w:val="-1"/>
        </w:rPr>
        <w:t> </w:t>
      </w:r>
      <w:r>
        <w:rPr/>
        <w:t>proliferation of resource impacts and only in locations where other</w:t>
      </w:r>
      <w:r>
        <w:rPr>
          <w:spacing w:val="-1"/>
        </w:rPr>
        <w:t> </w:t>
      </w:r>
      <w:r>
        <w:rPr/>
        <w:t>less intrusive tactics (i.e., education and enforcement)</w:t>
      </w:r>
      <w:r>
        <w:rPr>
          <w:spacing w:val="-5"/>
        </w:rPr>
        <w:t> </w:t>
      </w:r>
      <w:r>
        <w:rPr/>
        <w:t>would</w:t>
      </w:r>
      <w:r>
        <w:rPr>
          <w:spacing w:val="-6"/>
        </w:rPr>
        <w:t> </w:t>
      </w:r>
      <w:r>
        <w:rPr/>
        <w:t>not</w:t>
      </w:r>
      <w:r>
        <w:rPr>
          <w:spacing w:val="-5"/>
        </w:rPr>
        <w:t> </w:t>
      </w:r>
      <w:r>
        <w:rPr/>
        <w:t>contain</w:t>
      </w:r>
      <w:r>
        <w:rPr>
          <w:spacing w:val="-6"/>
        </w:rPr>
        <w:t> </w:t>
      </w:r>
      <w:r>
        <w:rPr/>
        <w:t>the</w:t>
      </w:r>
      <w:r>
        <w:rPr>
          <w:spacing w:val="-5"/>
        </w:rPr>
        <w:t> </w:t>
      </w:r>
      <w:r>
        <w:rPr/>
        <w:t>impacts.</w:t>
      </w:r>
      <w:r>
        <w:rPr>
          <w:spacing w:val="-8"/>
        </w:rPr>
        <w:t> </w:t>
      </w:r>
      <w:r>
        <w:rPr/>
        <w:t>Development</w:t>
      </w:r>
      <w:r>
        <w:rPr>
          <w:spacing w:val="-7"/>
        </w:rPr>
        <w:t> </w:t>
      </w:r>
      <w:r>
        <w:rPr/>
        <w:t>should</w:t>
      </w:r>
      <w:r>
        <w:rPr>
          <w:spacing w:val="-6"/>
        </w:rPr>
        <w:t> </w:t>
      </w:r>
      <w:r>
        <w:rPr/>
        <w:t>be</w:t>
      </w:r>
      <w:r>
        <w:rPr>
          <w:spacing w:val="-7"/>
        </w:rPr>
        <w:t> </w:t>
      </w:r>
      <w:r>
        <w:rPr/>
        <w:t>removed</w:t>
      </w:r>
      <w:r>
        <w:rPr>
          <w:spacing w:val="-6"/>
        </w:rPr>
        <w:t> </w:t>
      </w:r>
      <w:r>
        <w:rPr/>
        <w:t>when</w:t>
      </w:r>
      <w:r>
        <w:rPr>
          <w:spacing w:val="-6"/>
        </w:rPr>
        <w:t> </w:t>
      </w:r>
      <w:r>
        <w:rPr/>
        <w:t>no</w:t>
      </w:r>
      <w:r>
        <w:rPr>
          <w:spacing w:val="-5"/>
        </w:rPr>
        <w:t> </w:t>
      </w:r>
      <w:r>
        <w:rPr/>
        <w:t>longer serviceable or needed.</w:t>
      </w:r>
    </w:p>
    <w:p>
      <w:pPr>
        <w:spacing w:before="232"/>
        <w:ind w:left="1149" w:right="0" w:firstLine="0"/>
        <w:jc w:val="left"/>
        <w:rPr>
          <w:rFonts w:ascii="Arial"/>
          <w:i/>
          <w:sz w:val="22"/>
        </w:rPr>
      </w:pPr>
      <w:bookmarkStart w:name="MA-GDL-RW-05. Pets" w:id="903"/>
      <w:bookmarkEnd w:id="903"/>
      <w:r>
        <w:rPr/>
      </w:r>
      <w:r>
        <w:rPr>
          <w:rFonts w:ascii="Arial"/>
          <w:i/>
          <w:sz w:val="22"/>
        </w:rPr>
        <w:t>MA-GDL-RW-05.</w:t>
      </w:r>
      <w:r>
        <w:rPr>
          <w:rFonts w:ascii="Arial"/>
          <w:i/>
          <w:spacing w:val="-12"/>
          <w:sz w:val="22"/>
        </w:rPr>
        <w:t> </w:t>
      </w:r>
      <w:r>
        <w:rPr>
          <w:rFonts w:ascii="Arial"/>
          <w:i/>
          <w:spacing w:val="-4"/>
          <w:sz w:val="22"/>
        </w:rPr>
        <w:t>Pets</w:t>
      </w:r>
    </w:p>
    <w:p>
      <w:pPr>
        <w:pStyle w:val="BodyText"/>
        <w:spacing w:line="232" w:lineRule="auto" w:before="64"/>
        <w:ind w:left="1149" w:right="361"/>
      </w:pPr>
      <w:r>
        <w:rPr/>
        <w:t>Pets</w:t>
      </w:r>
      <w:r>
        <w:rPr>
          <w:spacing w:val="-4"/>
        </w:rPr>
        <w:t> </w:t>
      </w:r>
      <w:r>
        <w:rPr/>
        <w:t>(such</w:t>
      </w:r>
      <w:r>
        <w:rPr>
          <w:spacing w:val="-7"/>
        </w:rPr>
        <w:t> </w:t>
      </w:r>
      <w:r>
        <w:rPr/>
        <w:t>as</w:t>
      </w:r>
      <w:r>
        <w:rPr>
          <w:spacing w:val="-4"/>
        </w:rPr>
        <w:t> </w:t>
      </w:r>
      <w:r>
        <w:rPr/>
        <w:t>dogs</w:t>
      </w:r>
      <w:r>
        <w:rPr>
          <w:spacing w:val="-6"/>
        </w:rPr>
        <w:t> </w:t>
      </w:r>
      <w:r>
        <w:rPr/>
        <w:t>or</w:t>
      </w:r>
      <w:r>
        <w:rPr>
          <w:spacing w:val="-4"/>
        </w:rPr>
        <w:t> </w:t>
      </w:r>
      <w:r>
        <w:rPr/>
        <w:t>other</w:t>
      </w:r>
      <w:r>
        <w:rPr>
          <w:spacing w:val="-6"/>
        </w:rPr>
        <w:t> </w:t>
      </w:r>
      <w:r>
        <w:rPr/>
        <w:t>domestic</w:t>
      </w:r>
      <w:r>
        <w:rPr>
          <w:spacing w:val="-6"/>
        </w:rPr>
        <w:t> </w:t>
      </w:r>
      <w:r>
        <w:rPr/>
        <w:t>animals</w:t>
      </w:r>
      <w:r>
        <w:rPr>
          <w:spacing w:val="-6"/>
        </w:rPr>
        <w:t> </w:t>
      </w:r>
      <w:r>
        <w:rPr/>
        <w:t>that</w:t>
      </w:r>
      <w:r>
        <w:rPr>
          <w:spacing w:val="-3"/>
        </w:rPr>
        <w:t> </w:t>
      </w:r>
      <w:r>
        <w:rPr/>
        <w:t>are</w:t>
      </w:r>
      <w:r>
        <w:rPr>
          <w:spacing w:val="-6"/>
        </w:rPr>
        <w:t> </w:t>
      </w:r>
      <w:r>
        <w:rPr/>
        <w:t>not</w:t>
      </w:r>
      <w:r>
        <w:rPr>
          <w:spacing w:val="-3"/>
        </w:rPr>
        <w:t> </w:t>
      </w:r>
      <w:r>
        <w:rPr/>
        <w:t>categorized</w:t>
      </w:r>
      <w:r>
        <w:rPr>
          <w:spacing w:val="-5"/>
        </w:rPr>
        <w:t> </w:t>
      </w:r>
      <w:r>
        <w:rPr/>
        <w:t>as</w:t>
      </w:r>
      <w:r>
        <w:rPr>
          <w:spacing w:val="-6"/>
        </w:rPr>
        <w:t> </w:t>
      </w:r>
      <w:r>
        <w:rPr/>
        <w:t>stock)</w:t>
      </w:r>
      <w:r>
        <w:rPr>
          <w:spacing w:val="-6"/>
        </w:rPr>
        <w:t> </w:t>
      </w:r>
      <w:r>
        <w:rPr/>
        <w:t>may</w:t>
      </w:r>
      <w:r>
        <w:rPr>
          <w:spacing w:val="-3"/>
        </w:rPr>
        <w:t> </w:t>
      </w:r>
      <w:r>
        <w:rPr/>
        <w:t>be</w:t>
      </w:r>
      <w:r>
        <w:rPr>
          <w:spacing w:val="-3"/>
        </w:rPr>
        <w:t> </w:t>
      </w:r>
      <w:r>
        <w:rPr/>
        <w:t>allowed in recommended wilderness so long as their presence does not interfere with wildlife or contribute to resource impacts or user conflicts.</w:t>
      </w:r>
      <w:r>
        <w:rPr>
          <w:spacing w:val="-1"/>
        </w:rPr>
        <w:t> </w:t>
      </w:r>
      <w:r>
        <w:rPr/>
        <w:t>Pets should be fully controlled by their owner through voice commands, a leash, or other restraint (such as a shock collar).</w:t>
      </w:r>
    </w:p>
    <w:p>
      <w:pPr>
        <w:spacing w:before="235"/>
        <w:ind w:left="1149" w:right="0" w:firstLine="0"/>
        <w:jc w:val="left"/>
        <w:rPr>
          <w:rFonts w:ascii="Arial"/>
          <w:i/>
          <w:sz w:val="22"/>
        </w:rPr>
      </w:pPr>
      <w:bookmarkStart w:name="MA-GDL-RW-06. Fire" w:id="904"/>
      <w:bookmarkEnd w:id="904"/>
      <w:r>
        <w:rPr/>
      </w:r>
      <w:r>
        <w:rPr>
          <w:rFonts w:ascii="Arial"/>
          <w:i/>
          <w:sz w:val="22"/>
        </w:rPr>
        <w:t>MA-GDL-RW-06.</w:t>
      </w:r>
      <w:r>
        <w:rPr>
          <w:rFonts w:ascii="Arial"/>
          <w:i/>
          <w:spacing w:val="-12"/>
          <w:sz w:val="22"/>
        </w:rPr>
        <w:t> </w:t>
      </w:r>
      <w:r>
        <w:rPr>
          <w:rFonts w:ascii="Arial"/>
          <w:i/>
          <w:spacing w:val="-4"/>
          <w:sz w:val="22"/>
        </w:rPr>
        <w:t>Fire</w:t>
      </w:r>
    </w:p>
    <w:p>
      <w:pPr>
        <w:pStyle w:val="BodyText"/>
        <w:spacing w:line="232" w:lineRule="auto" w:before="64"/>
        <w:ind w:left="1149" w:right="361"/>
      </w:pPr>
      <w:r>
        <w:rPr/>
        <w:t>Planned</w:t>
      </w:r>
      <w:r>
        <w:rPr>
          <w:spacing w:val="-8"/>
        </w:rPr>
        <w:t> </w:t>
      </w:r>
      <w:r>
        <w:rPr/>
        <w:t>ignitions</w:t>
      </w:r>
      <w:r>
        <w:rPr>
          <w:spacing w:val="-9"/>
        </w:rPr>
        <w:t> </w:t>
      </w:r>
      <w:r>
        <w:rPr/>
        <w:t>should</w:t>
      </w:r>
      <w:r>
        <w:rPr>
          <w:spacing w:val="-8"/>
        </w:rPr>
        <w:t> </w:t>
      </w:r>
      <w:r>
        <w:rPr/>
        <w:t>be</w:t>
      </w:r>
      <w:r>
        <w:rPr>
          <w:spacing w:val="-6"/>
        </w:rPr>
        <w:t> </w:t>
      </w:r>
      <w:r>
        <w:rPr/>
        <w:t>considered</w:t>
      </w:r>
      <w:r>
        <w:rPr>
          <w:spacing w:val="-8"/>
        </w:rPr>
        <w:t> </w:t>
      </w:r>
      <w:r>
        <w:rPr/>
        <w:t>to</w:t>
      </w:r>
      <w:r>
        <w:rPr>
          <w:spacing w:val="-8"/>
        </w:rPr>
        <w:t> </w:t>
      </w:r>
      <w:r>
        <w:rPr/>
        <w:t>create</w:t>
      </w:r>
      <w:r>
        <w:rPr>
          <w:spacing w:val="-6"/>
        </w:rPr>
        <w:t> </w:t>
      </w:r>
      <w:r>
        <w:rPr/>
        <w:t>favorable</w:t>
      </w:r>
      <w:r>
        <w:rPr>
          <w:spacing w:val="-6"/>
        </w:rPr>
        <w:t> </w:t>
      </w:r>
      <w:r>
        <w:rPr/>
        <w:t>conditions</w:t>
      </w:r>
      <w:r>
        <w:rPr>
          <w:spacing w:val="-7"/>
        </w:rPr>
        <w:t> </w:t>
      </w:r>
      <w:r>
        <w:rPr/>
        <w:t>that</w:t>
      </w:r>
      <w:r>
        <w:rPr>
          <w:spacing w:val="-9"/>
        </w:rPr>
        <w:t> </w:t>
      </w:r>
      <w:r>
        <w:rPr/>
        <w:t>enable</w:t>
      </w:r>
      <w:r>
        <w:rPr>
          <w:spacing w:val="-6"/>
        </w:rPr>
        <w:t> </w:t>
      </w:r>
      <w:r>
        <w:rPr/>
        <w:t>naturally occurring fires to return to their historic role.</w:t>
      </w:r>
    </w:p>
    <w:p>
      <w:pPr>
        <w:spacing w:before="234"/>
        <w:ind w:left="1149" w:right="0" w:firstLine="0"/>
        <w:jc w:val="left"/>
        <w:rPr>
          <w:rFonts w:ascii="Arial"/>
          <w:i/>
          <w:sz w:val="22"/>
        </w:rPr>
      </w:pPr>
      <w:bookmarkStart w:name="MA-GDL-RW-07. Use of Live Trees" w:id="905"/>
      <w:bookmarkEnd w:id="905"/>
      <w:r>
        <w:rPr/>
      </w:r>
      <w:r>
        <w:rPr>
          <w:rFonts w:ascii="Arial"/>
          <w:i/>
          <w:sz w:val="22"/>
        </w:rPr>
        <w:t>MA-GDL-RW-07.</w:t>
      </w:r>
      <w:r>
        <w:rPr>
          <w:rFonts w:ascii="Arial"/>
          <w:i/>
          <w:spacing w:val="-6"/>
          <w:sz w:val="22"/>
        </w:rPr>
        <w:t> </w:t>
      </w:r>
      <w:r>
        <w:rPr>
          <w:rFonts w:ascii="Arial"/>
          <w:i/>
          <w:sz w:val="22"/>
        </w:rPr>
        <w:t>Use</w:t>
      </w:r>
      <w:r>
        <w:rPr>
          <w:rFonts w:ascii="Arial"/>
          <w:i/>
          <w:spacing w:val="-5"/>
          <w:sz w:val="22"/>
        </w:rPr>
        <w:t> </w:t>
      </w:r>
      <w:r>
        <w:rPr>
          <w:rFonts w:ascii="Arial"/>
          <w:i/>
          <w:sz w:val="22"/>
        </w:rPr>
        <w:t>of</w:t>
      </w:r>
      <w:r>
        <w:rPr>
          <w:rFonts w:ascii="Arial"/>
          <w:i/>
          <w:spacing w:val="-6"/>
          <w:sz w:val="22"/>
        </w:rPr>
        <w:t> </w:t>
      </w:r>
      <w:r>
        <w:rPr>
          <w:rFonts w:ascii="Arial"/>
          <w:i/>
          <w:sz w:val="22"/>
        </w:rPr>
        <w:t>Live</w:t>
      </w:r>
      <w:r>
        <w:rPr>
          <w:rFonts w:ascii="Arial"/>
          <w:i/>
          <w:spacing w:val="-4"/>
          <w:sz w:val="22"/>
        </w:rPr>
        <w:t> </w:t>
      </w:r>
      <w:r>
        <w:rPr>
          <w:rFonts w:ascii="Arial"/>
          <w:i/>
          <w:spacing w:val="-2"/>
          <w:sz w:val="22"/>
        </w:rPr>
        <w:t>Trees</w:t>
      </w:r>
    </w:p>
    <w:p>
      <w:pPr>
        <w:pStyle w:val="BodyText"/>
        <w:spacing w:before="59"/>
        <w:ind w:left="1149"/>
      </w:pPr>
      <w:r>
        <w:rPr/>
        <w:t>Live</w:t>
      </w:r>
      <w:r>
        <w:rPr>
          <w:spacing w:val="-10"/>
        </w:rPr>
        <w:t> </w:t>
      </w:r>
      <w:r>
        <w:rPr/>
        <w:t>trees</w:t>
      </w:r>
      <w:r>
        <w:rPr>
          <w:spacing w:val="-8"/>
        </w:rPr>
        <w:t> </w:t>
      </w:r>
      <w:r>
        <w:rPr/>
        <w:t>may</w:t>
      </w:r>
      <w:r>
        <w:rPr>
          <w:spacing w:val="-6"/>
        </w:rPr>
        <w:t> </w:t>
      </w:r>
      <w:r>
        <w:rPr/>
        <w:t>be</w:t>
      </w:r>
      <w:r>
        <w:rPr>
          <w:spacing w:val="-5"/>
        </w:rPr>
        <w:t> </w:t>
      </w:r>
      <w:r>
        <w:rPr/>
        <w:t>cut</w:t>
      </w:r>
      <w:r>
        <w:rPr>
          <w:spacing w:val="-5"/>
        </w:rPr>
        <w:t> </w:t>
      </w:r>
      <w:r>
        <w:rPr/>
        <w:t>for</w:t>
      </w:r>
      <w:r>
        <w:rPr>
          <w:spacing w:val="-8"/>
        </w:rPr>
        <w:t> </w:t>
      </w:r>
      <w:r>
        <w:rPr/>
        <w:t>administrative</w:t>
      </w:r>
      <w:r>
        <w:rPr>
          <w:spacing w:val="-5"/>
        </w:rPr>
        <w:t> </w:t>
      </w:r>
      <w:r>
        <w:rPr/>
        <w:t>purposes</w:t>
      </w:r>
      <w:r>
        <w:rPr>
          <w:spacing w:val="-5"/>
        </w:rPr>
        <w:t> </w:t>
      </w:r>
      <w:r>
        <w:rPr/>
        <w:t>such</w:t>
      </w:r>
      <w:r>
        <w:rPr>
          <w:spacing w:val="-7"/>
        </w:rPr>
        <w:t> </w:t>
      </w:r>
      <w:r>
        <w:rPr/>
        <w:t>as</w:t>
      </w:r>
      <w:r>
        <w:rPr>
          <w:spacing w:val="-6"/>
        </w:rPr>
        <w:t> </w:t>
      </w:r>
      <w:r>
        <w:rPr/>
        <w:t>trail</w:t>
      </w:r>
      <w:r>
        <w:rPr>
          <w:spacing w:val="-6"/>
        </w:rPr>
        <w:t> </w:t>
      </w:r>
      <w:r>
        <w:rPr/>
        <w:t>bridge</w:t>
      </w:r>
      <w:r>
        <w:rPr>
          <w:spacing w:val="-4"/>
        </w:rPr>
        <w:t> </w:t>
      </w:r>
      <w:r>
        <w:rPr>
          <w:spacing w:val="-2"/>
        </w:rPr>
        <w:t>construction.</w:t>
      </w:r>
    </w:p>
    <w:p>
      <w:pPr>
        <w:spacing w:before="234"/>
        <w:ind w:left="1149" w:right="0" w:firstLine="0"/>
        <w:jc w:val="left"/>
        <w:rPr>
          <w:rFonts w:ascii="Arial"/>
          <w:i/>
          <w:sz w:val="22"/>
        </w:rPr>
      </w:pPr>
      <w:bookmarkStart w:name="MA-GDL-RW-08. Invasive Plants" w:id="906"/>
      <w:bookmarkEnd w:id="906"/>
      <w:r>
        <w:rPr/>
      </w:r>
      <w:r>
        <w:rPr>
          <w:rFonts w:ascii="Arial"/>
          <w:i/>
          <w:sz w:val="22"/>
        </w:rPr>
        <w:t>MA-GDL-RW-08.</w:t>
      </w:r>
      <w:r>
        <w:rPr>
          <w:rFonts w:ascii="Arial"/>
          <w:i/>
          <w:spacing w:val="-10"/>
          <w:sz w:val="22"/>
        </w:rPr>
        <w:t> </w:t>
      </w:r>
      <w:r>
        <w:rPr>
          <w:rFonts w:ascii="Arial"/>
          <w:i/>
          <w:sz w:val="22"/>
        </w:rPr>
        <w:t>Invasive</w:t>
      </w:r>
      <w:r>
        <w:rPr>
          <w:rFonts w:ascii="Arial"/>
          <w:i/>
          <w:spacing w:val="-8"/>
          <w:sz w:val="22"/>
        </w:rPr>
        <w:t> </w:t>
      </w:r>
      <w:r>
        <w:rPr>
          <w:rFonts w:ascii="Arial"/>
          <w:i/>
          <w:spacing w:val="-2"/>
          <w:sz w:val="22"/>
        </w:rPr>
        <w:t>Plants</w:t>
      </w:r>
    </w:p>
    <w:p>
      <w:pPr>
        <w:pStyle w:val="BodyText"/>
        <w:spacing w:line="232" w:lineRule="auto" w:before="64"/>
        <w:ind w:left="1148" w:right="361"/>
      </w:pPr>
      <w:r>
        <w:rPr/>
        <w:t>Manual,</w:t>
      </w:r>
      <w:r>
        <w:rPr>
          <w:spacing w:val="-5"/>
        </w:rPr>
        <w:t> </w:t>
      </w:r>
      <w:r>
        <w:rPr/>
        <w:t>biological,</w:t>
      </w:r>
      <w:r>
        <w:rPr>
          <w:spacing w:val="-5"/>
        </w:rPr>
        <w:t> </w:t>
      </w:r>
      <w:r>
        <w:rPr/>
        <w:t>cultural,</w:t>
      </w:r>
      <w:r>
        <w:rPr>
          <w:spacing w:val="-5"/>
        </w:rPr>
        <w:t> </w:t>
      </w:r>
      <w:r>
        <w:rPr/>
        <w:t>or</w:t>
      </w:r>
      <w:r>
        <w:rPr>
          <w:spacing w:val="-6"/>
        </w:rPr>
        <w:t> </w:t>
      </w:r>
      <w:r>
        <w:rPr/>
        <w:t>chemical</w:t>
      </w:r>
      <w:r>
        <w:rPr>
          <w:spacing w:val="-5"/>
        </w:rPr>
        <w:t> </w:t>
      </w:r>
      <w:r>
        <w:rPr/>
        <w:t>treatments</w:t>
      </w:r>
      <w:r>
        <w:rPr>
          <w:spacing w:val="-6"/>
        </w:rPr>
        <w:t> </w:t>
      </w:r>
      <w:r>
        <w:rPr/>
        <w:t>may</w:t>
      </w:r>
      <w:r>
        <w:rPr>
          <w:spacing w:val="-4"/>
        </w:rPr>
        <w:t> </w:t>
      </w:r>
      <w:r>
        <w:rPr/>
        <w:t>be</w:t>
      </w:r>
      <w:r>
        <w:rPr>
          <w:spacing w:val="-4"/>
        </w:rPr>
        <w:t> </w:t>
      </w:r>
      <w:r>
        <w:rPr/>
        <w:t>authorized</w:t>
      </w:r>
      <w:r>
        <w:rPr>
          <w:spacing w:val="-6"/>
        </w:rPr>
        <w:t> </w:t>
      </w:r>
      <w:r>
        <w:rPr/>
        <w:t>to</w:t>
      </w:r>
      <w:r>
        <w:rPr>
          <w:spacing w:val="-6"/>
        </w:rPr>
        <w:t> </w:t>
      </w:r>
      <w:r>
        <w:rPr/>
        <w:t>eradicate,</w:t>
      </w:r>
      <w:r>
        <w:rPr>
          <w:spacing w:val="-5"/>
        </w:rPr>
        <w:t> </w:t>
      </w:r>
      <w:r>
        <w:rPr/>
        <w:t>reduce,</w:t>
      </w:r>
      <w:r>
        <w:rPr>
          <w:spacing w:val="-6"/>
        </w:rPr>
        <w:t> </w:t>
      </w:r>
      <w:r>
        <w:rPr/>
        <w:t>or control</w:t>
      </w:r>
      <w:r>
        <w:rPr>
          <w:spacing w:val="-7"/>
        </w:rPr>
        <w:t> </w:t>
      </w:r>
      <w:r>
        <w:rPr/>
        <w:t>populations</w:t>
      </w:r>
      <w:r>
        <w:rPr>
          <w:spacing w:val="-9"/>
        </w:rPr>
        <w:t> </w:t>
      </w:r>
      <w:r>
        <w:rPr/>
        <w:t>of</w:t>
      </w:r>
      <w:r>
        <w:rPr>
          <w:spacing w:val="-7"/>
        </w:rPr>
        <w:t> </w:t>
      </w:r>
      <w:r>
        <w:rPr/>
        <w:t>invasive</w:t>
      </w:r>
      <w:r>
        <w:rPr>
          <w:spacing w:val="-6"/>
        </w:rPr>
        <w:t> </w:t>
      </w:r>
      <w:r>
        <w:rPr/>
        <w:t>plants.</w:t>
      </w:r>
      <w:r>
        <w:rPr>
          <w:spacing w:val="-7"/>
        </w:rPr>
        <w:t> </w:t>
      </w:r>
      <w:r>
        <w:rPr/>
        <w:t>Treatments</w:t>
      </w:r>
      <w:r>
        <w:rPr>
          <w:spacing w:val="-7"/>
        </w:rPr>
        <w:t> </w:t>
      </w:r>
      <w:r>
        <w:rPr/>
        <w:t>should</w:t>
      </w:r>
      <w:r>
        <w:rPr>
          <w:spacing w:val="-8"/>
        </w:rPr>
        <w:t> </w:t>
      </w:r>
      <w:r>
        <w:rPr/>
        <w:t>be</w:t>
      </w:r>
      <w:r>
        <w:rPr>
          <w:spacing w:val="-6"/>
        </w:rPr>
        <w:t> </w:t>
      </w:r>
      <w:r>
        <w:rPr/>
        <w:t>carried</w:t>
      </w:r>
      <w:r>
        <w:rPr>
          <w:spacing w:val="-10"/>
        </w:rPr>
        <w:t> </w:t>
      </w:r>
      <w:r>
        <w:rPr/>
        <w:t>out</w:t>
      </w:r>
      <w:r>
        <w:rPr>
          <w:spacing w:val="-6"/>
        </w:rPr>
        <w:t> </w:t>
      </w:r>
      <w:r>
        <w:rPr/>
        <w:t>by</w:t>
      </w:r>
      <w:r>
        <w:rPr>
          <w:spacing w:val="-8"/>
        </w:rPr>
        <w:t> </w:t>
      </w:r>
      <w:r>
        <w:rPr/>
        <w:t>measures</w:t>
      </w:r>
      <w:r>
        <w:rPr>
          <w:spacing w:val="-7"/>
        </w:rPr>
        <w:t> </w:t>
      </w:r>
      <w:r>
        <w:rPr/>
        <w:t>that</w:t>
      </w:r>
      <w:r>
        <w:rPr>
          <w:spacing w:val="-9"/>
        </w:rPr>
        <w:t> </w:t>
      </w:r>
      <w:r>
        <w:rPr/>
        <w:t>have the least adverse impact on the recommended wilderness resource and are compatible with potential wilderness designation.</w:t>
      </w:r>
    </w:p>
    <w:p>
      <w:pPr>
        <w:pStyle w:val="BodyText"/>
        <w:spacing w:after="0" w:line="232" w:lineRule="auto"/>
        <w:sectPr>
          <w:pgSz w:w="12240" w:h="15840"/>
          <w:pgMar w:header="725" w:footer="891" w:top="1340" w:bottom="1080" w:left="1080" w:right="1080"/>
        </w:sectPr>
      </w:pPr>
    </w:p>
    <w:p>
      <w:pPr>
        <w:spacing w:before="83"/>
        <w:ind w:left="360" w:right="0" w:firstLine="0"/>
        <w:jc w:val="left"/>
        <w:rPr>
          <w:rFonts w:ascii="Arial"/>
          <w:i/>
          <w:sz w:val="22"/>
        </w:rPr>
      </w:pPr>
      <w:bookmarkStart w:name="MA-GDL-RW-09. Environmental Clean-up" w:id="907"/>
      <w:bookmarkEnd w:id="907"/>
      <w:r>
        <w:rPr/>
      </w:r>
      <w:r>
        <w:rPr>
          <w:rFonts w:ascii="Arial"/>
          <w:i/>
          <w:sz w:val="22"/>
        </w:rPr>
        <w:t>MA-GDL-RW-09.</w:t>
      </w:r>
      <w:r>
        <w:rPr>
          <w:rFonts w:ascii="Arial"/>
          <w:i/>
          <w:spacing w:val="-15"/>
          <w:sz w:val="22"/>
        </w:rPr>
        <w:t> </w:t>
      </w:r>
      <w:r>
        <w:rPr>
          <w:rFonts w:ascii="Arial"/>
          <w:i/>
          <w:sz w:val="22"/>
        </w:rPr>
        <w:t>Environmental</w:t>
      </w:r>
      <w:r>
        <w:rPr>
          <w:rFonts w:ascii="Arial"/>
          <w:i/>
          <w:spacing w:val="-13"/>
          <w:sz w:val="22"/>
        </w:rPr>
        <w:t> </w:t>
      </w:r>
      <w:r>
        <w:rPr>
          <w:rFonts w:ascii="Arial"/>
          <w:i/>
          <w:sz w:val="22"/>
        </w:rPr>
        <w:t>Clean-</w:t>
      </w:r>
      <w:r>
        <w:rPr>
          <w:rFonts w:ascii="Arial"/>
          <w:i/>
          <w:spacing w:val="-5"/>
          <w:sz w:val="22"/>
        </w:rPr>
        <w:t>up</w:t>
      </w:r>
    </w:p>
    <w:p>
      <w:pPr>
        <w:pStyle w:val="BodyText"/>
        <w:spacing w:line="232" w:lineRule="auto" w:before="65"/>
        <w:ind w:left="360" w:right="1185"/>
      </w:pPr>
      <w:r>
        <w:rPr/>
        <w:t>Environmental clean-up projects (such as mine remediation, chemical spills, aircraft recovery, building</w:t>
      </w:r>
      <w:r>
        <w:rPr>
          <w:spacing w:val="-5"/>
        </w:rPr>
        <w:t> </w:t>
      </w:r>
      <w:r>
        <w:rPr/>
        <w:t>removal)</w:t>
      </w:r>
      <w:r>
        <w:rPr>
          <w:spacing w:val="-4"/>
        </w:rPr>
        <w:t> </w:t>
      </w:r>
      <w:r>
        <w:rPr/>
        <w:t>should</w:t>
      </w:r>
      <w:r>
        <w:rPr>
          <w:spacing w:val="-5"/>
        </w:rPr>
        <w:t> </w:t>
      </w:r>
      <w:r>
        <w:rPr/>
        <w:t>occur</w:t>
      </w:r>
      <w:r>
        <w:rPr>
          <w:spacing w:val="-4"/>
        </w:rPr>
        <w:t> </w:t>
      </w:r>
      <w:r>
        <w:rPr/>
        <w:t>promptly</w:t>
      </w:r>
      <w:r>
        <w:rPr>
          <w:spacing w:val="-5"/>
        </w:rPr>
        <w:t> </w:t>
      </w:r>
      <w:r>
        <w:rPr/>
        <w:t>following</w:t>
      </w:r>
      <w:r>
        <w:rPr>
          <w:spacing w:val="-5"/>
        </w:rPr>
        <w:t> </w:t>
      </w:r>
      <w:r>
        <w:rPr/>
        <w:t>an</w:t>
      </w:r>
      <w:r>
        <w:rPr>
          <w:spacing w:val="-7"/>
        </w:rPr>
        <w:t> </w:t>
      </w:r>
      <w:r>
        <w:rPr/>
        <w:t>activity</w:t>
      </w:r>
      <w:r>
        <w:rPr>
          <w:spacing w:val="-5"/>
        </w:rPr>
        <w:t> </w:t>
      </w:r>
      <w:r>
        <w:rPr/>
        <w:t>or</w:t>
      </w:r>
      <w:r>
        <w:rPr>
          <w:spacing w:val="-4"/>
        </w:rPr>
        <w:t> </w:t>
      </w:r>
      <w:r>
        <w:rPr/>
        <w:t>incident.</w:t>
      </w:r>
      <w:r>
        <w:rPr>
          <w:spacing w:val="-7"/>
        </w:rPr>
        <w:t> </w:t>
      </w:r>
      <w:r>
        <w:rPr/>
        <w:t>Project</w:t>
      </w:r>
      <w:r>
        <w:rPr>
          <w:spacing w:val="-8"/>
        </w:rPr>
        <w:t> </w:t>
      </w:r>
      <w:r>
        <w:rPr/>
        <w:t>design</w:t>
      </w:r>
      <w:r>
        <w:rPr>
          <w:spacing w:val="-5"/>
        </w:rPr>
        <w:t> </w:t>
      </w:r>
      <w:r>
        <w:rPr/>
        <w:t>should provide a greater long-term benefit than long-term impact.</w:t>
      </w:r>
    </w:p>
    <w:p>
      <w:pPr>
        <w:spacing w:before="235"/>
        <w:ind w:left="360" w:right="0" w:firstLine="0"/>
        <w:jc w:val="left"/>
        <w:rPr>
          <w:rFonts w:ascii="Arial"/>
          <w:i/>
          <w:sz w:val="22"/>
        </w:rPr>
      </w:pPr>
      <w:bookmarkStart w:name="MA-GDL-RW-10. Mineral Leasing" w:id="908"/>
      <w:bookmarkEnd w:id="908"/>
      <w:r>
        <w:rPr/>
      </w:r>
      <w:r>
        <w:rPr>
          <w:rFonts w:ascii="Arial"/>
          <w:i/>
          <w:sz w:val="22"/>
        </w:rPr>
        <w:t>MA-GDL-RW-10.</w:t>
      </w:r>
      <w:r>
        <w:rPr>
          <w:rFonts w:ascii="Arial"/>
          <w:i/>
          <w:spacing w:val="-11"/>
          <w:sz w:val="22"/>
        </w:rPr>
        <w:t> </w:t>
      </w:r>
      <w:r>
        <w:rPr>
          <w:rFonts w:ascii="Arial"/>
          <w:i/>
          <w:sz w:val="22"/>
        </w:rPr>
        <w:t>Mineral</w:t>
      </w:r>
      <w:r>
        <w:rPr>
          <w:rFonts w:ascii="Arial"/>
          <w:i/>
          <w:spacing w:val="-10"/>
          <w:sz w:val="22"/>
        </w:rPr>
        <w:t> </w:t>
      </w:r>
      <w:r>
        <w:rPr>
          <w:rFonts w:ascii="Arial"/>
          <w:i/>
          <w:spacing w:val="-2"/>
          <w:sz w:val="22"/>
        </w:rPr>
        <w:t>Leasing</w:t>
      </w:r>
    </w:p>
    <w:p>
      <w:pPr>
        <w:pStyle w:val="BodyText"/>
        <w:spacing w:line="232" w:lineRule="auto" w:before="65"/>
        <w:ind w:left="359" w:right="1090"/>
      </w:pPr>
      <w:r>
        <w:rPr/>
        <w:t>Mineral</w:t>
      </w:r>
      <w:r>
        <w:rPr>
          <w:spacing w:val="-5"/>
        </w:rPr>
        <w:t> </w:t>
      </w:r>
      <w:r>
        <w:rPr/>
        <w:t>leasing</w:t>
      </w:r>
      <w:r>
        <w:rPr>
          <w:spacing w:val="-6"/>
        </w:rPr>
        <w:t> </w:t>
      </w:r>
      <w:r>
        <w:rPr/>
        <w:t>would</w:t>
      </w:r>
      <w:r>
        <w:rPr>
          <w:spacing w:val="-6"/>
        </w:rPr>
        <w:t> </w:t>
      </w:r>
      <w:r>
        <w:rPr/>
        <w:t>be</w:t>
      </w:r>
      <w:r>
        <w:rPr>
          <w:spacing w:val="-4"/>
        </w:rPr>
        <w:t> </w:t>
      </w:r>
      <w:r>
        <w:rPr/>
        <w:t>subject</w:t>
      </w:r>
      <w:r>
        <w:rPr>
          <w:spacing w:val="-4"/>
        </w:rPr>
        <w:t> </w:t>
      </w:r>
      <w:r>
        <w:rPr/>
        <w:t>to</w:t>
      </w:r>
      <w:r>
        <w:rPr>
          <w:spacing w:val="-4"/>
        </w:rPr>
        <w:t> </w:t>
      </w:r>
      <w:r>
        <w:rPr/>
        <w:t>stipulations</w:t>
      </w:r>
      <w:r>
        <w:rPr>
          <w:spacing w:val="-5"/>
        </w:rPr>
        <w:t> </w:t>
      </w:r>
      <w:r>
        <w:rPr/>
        <w:t>developed</w:t>
      </w:r>
      <w:r>
        <w:rPr>
          <w:spacing w:val="-6"/>
        </w:rPr>
        <w:t> </w:t>
      </w:r>
      <w:r>
        <w:rPr/>
        <w:t>by</w:t>
      </w:r>
      <w:r>
        <w:rPr>
          <w:spacing w:val="-4"/>
        </w:rPr>
        <w:t> </w:t>
      </w:r>
      <w:r>
        <w:rPr/>
        <w:t>the</w:t>
      </w:r>
      <w:r>
        <w:rPr>
          <w:spacing w:val="-4"/>
        </w:rPr>
        <w:t> </w:t>
      </w:r>
      <w:r>
        <w:rPr/>
        <w:t>Forest</w:t>
      </w:r>
      <w:r>
        <w:rPr>
          <w:spacing w:val="-4"/>
        </w:rPr>
        <w:t> </w:t>
      </w:r>
      <w:r>
        <w:rPr/>
        <w:t>in</w:t>
      </w:r>
      <w:r>
        <w:rPr>
          <w:spacing w:val="-6"/>
        </w:rPr>
        <w:t> </w:t>
      </w:r>
      <w:r>
        <w:rPr/>
        <w:t>a</w:t>
      </w:r>
      <w:r>
        <w:rPr>
          <w:spacing w:val="-5"/>
        </w:rPr>
        <w:t> </w:t>
      </w:r>
      <w:r>
        <w:rPr/>
        <w:t>consent</w:t>
      </w:r>
      <w:r>
        <w:rPr>
          <w:spacing w:val="-5"/>
        </w:rPr>
        <w:t> </w:t>
      </w:r>
      <w:r>
        <w:rPr/>
        <w:t>analysis.</w:t>
      </w:r>
      <w:r>
        <w:rPr>
          <w:spacing w:val="-5"/>
        </w:rPr>
        <w:t> </w:t>
      </w:r>
      <w:r>
        <w:rPr/>
        <w:t>If the decision is made by the Department of the Interior to issue a lease in the recommended wilderness</w:t>
      </w:r>
      <w:r>
        <w:rPr>
          <w:spacing w:val="-8"/>
        </w:rPr>
        <w:t> </w:t>
      </w:r>
      <w:r>
        <w:rPr/>
        <w:t>area,</w:t>
      </w:r>
      <w:r>
        <w:rPr>
          <w:spacing w:val="-8"/>
        </w:rPr>
        <w:t> </w:t>
      </w:r>
      <w:r>
        <w:rPr/>
        <w:t>a</w:t>
      </w:r>
      <w:r>
        <w:rPr>
          <w:spacing w:val="-6"/>
        </w:rPr>
        <w:t> </w:t>
      </w:r>
      <w:r>
        <w:rPr>
          <w:i/>
        </w:rPr>
        <w:t>No</w:t>
      </w:r>
      <w:r>
        <w:rPr>
          <w:i/>
          <w:spacing w:val="-9"/>
        </w:rPr>
        <w:t> </w:t>
      </w:r>
      <w:r>
        <w:rPr>
          <w:i/>
        </w:rPr>
        <w:t>Surface</w:t>
      </w:r>
      <w:r>
        <w:rPr>
          <w:i/>
          <w:spacing w:val="-6"/>
        </w:rPr>
        <w:t> </w:t>
      </w:r>
      <w:r>
        <w:rPr>
          <w:i/>
        </w:rPr>
        <w:t>Occupancy</w:t>
      </w:r>
      <w:r>
        <w:rPr>
          <w:i/>
          <w:spacing w:val="-6"/>
        </w:rPr>
        <w:t> </w:t>
      </w:r>
      <w:r>
        <w:rPr/>
        <w:t>stipulation</w:t>
      </w:r>
      <w:r>
        <w:rPr>
          <w:spacing w:val="-7"/>
        </w:rPr>
        <w:t> </w:t>
      </w:r>
      <w:r>
        <w:rPr/>
        <w:t>may</w:t>
      </w:r>
      <w:r>
        <w:rPr>
          <w:spacing w:val="-5"/>
        </w:rPr>
        <w:t> </w:t>
      </w:r>
      <w:r>
        <w:rPr/>
        <w:t>be</w:t>
      </w:r>
      <w:r>
        <w:rPr>
          <w:spacing w:val="-7"/>
        </w:rPr>
        <w:t> </w:t>
      </w:r>
      <w:r>
        <w:rPr/>
        <w:t>made.</w:t>
      </w:r>
      <w:r>
        <w:rPr>
          <w:spacing w:val="-6"/>
        </w:rPr>
        <w:t> </w:t>
      </w:r>
      <w:r>
        <w:rPr/>
        <w:t>Alternatively,</w:t>
      </w:r>
      <w:r>
        <w:rPr>
          <w:spacing w:val="-8"/>
        </w:rPr>
        <w:t> </w:t>
      </w:r>
      <w:r>
        <w:rPr/>
        <w:t>the</w:t>
      </w:r>
      <w:r>
        <w:rPr>
          <w:spacing w:val="-5"/>
        </w:rPr>
        <w:t> </w:t>
      </w:r>
      <w:r>
        <w:rPr/>
        <w:t>Forest</w:t>
      </w:r>
      <w:r>
        <w:rPr>
          <w:spacing w:val="-7"/>
        </w:rPr>
        <w:t> </w:t>
      </w:r>
      <w:r>
        <w:rPr/>
        <w:t>may also recommend a </w:t>
      </w:r>
      <w:r>
        <w:rPr>
          <w:i/>
        </w:rPr>
        <w:t>No Leasing </w:t>
      </w:r>
      <w:r>
        <w:rPr/>
        <w:t>consent decision be made by the Department of the Interior for recommended wilderness.</w:t>
      </w:r>
    </w:p>
    <w:p>
      <w:pPr>
        <w:spacing w:before="233"/>
        <w:ind w:left="359" w:right="0" w:firstLine="0"/>
        <w:jc w:val="left"/>
        <w:rPr>
          <w:rFonts w:ascii="Arial"/>
          <w:i/>
          <w:sz w:val="22"/>
        </w:rPr>
      </w:pPr>
      <w:bookmarkStart w:name="MA-GDL-RW-11. Locatable Minerals" w:id="909"/>
      <w:bookmarkEnd w:id="909"/>
      <w:r>
        <w:rPr/>
      </w:r>
      <w:r>
        <w:rPr>
          <w:rFonts w:ascii="Arial"/>
          <w:i/>
          <w:sz w:val="22"/>
        </w:rPr>
        <w:t>MA-GDL-RW-11.</w:t>
      </w:r>
      <w:r>
        <w:rPr>
          <w:rFonts w:ascii="Arial"/>
          <w:i/>
          <w:spacing w:val="-11"/>
          <w:sz w:val="22"/>
        </w:rPr>
        <w:t> </w:t>
      </w:r>
      <w:r>
        <w:rPr>
          <w:rFonts w:ascii="Arial"/>
          <w:i/>
          <w:sz w:val="22"/>
        </w:rPr>
        <w:t>Locatable</w:t>
      </w:r>
      <w:r>
        <w:rPr>
          <w:rFonts w:ascii="Arial"/>
          <w:i/>
          <w:spacing w:val="-10"/>
          <w:sz w:val="22"/>
        </w:rPr>
        <w:t> </w:t>
      </w:r>
      <w:r>
        <w:rPr>
          <w:rFonts w:ascii="Arial"/>
          <w:i/>
          <w:spacing w:val="-2"/>
          <w:sz w:val="22"/>
        </w:rPr>
        <w:t>Minerals</w:t>
      </w:r>
    </w:p>
    <w:p>
      <w:pPr>
        <w:pStyle w:val="BodyText"/>
        <w:spacing w:line="232" w:lineRule="auto" w:before="64"/>
        <w:ind w:left="359" w:right="1185"/>
      </w:pPr>
      <w:r>
        <w:rPr/>
        <w:t>Mining</w:t>
      </w:r>
      <w:r>
        <w:rPr>
          <w:spacing w:val="-6"/>
        </w:rPr>
        <w:t> </w:t>
      </w:r>
      <w:r>
        <w:rPr/>
        <w:t>exploration</w:t>
      </w:r>
      <w:r>
        <w:rPr>
          <w:spacing w:val="-6"/>
        </w:rPr>
        <w:t> </w:t>
      </w:r>
      <w:r>
        <w:rPr/>
        <w:t>and</w:t>
      </w:r>
      <w:r>
        <w:rPr>
          <w:spacing w:val="-6"/>
        </w:rPr>
        <w:t> </w:t>
      </w:r>
      <w:r>
        <w:rPr/>
        <w:t>operations</w:t>
      </w:r>
      <w:r>
        <w:rPr>
          <w:spacing w:val="-7"/>
        </w:rPr>
        <w:t> </w:t>
      </w:r>
      <w:r>
        <w:rPr/>
        <w:t>must</w:t>
      </w:r>
      <w:r>
        <w:rPr>
          <w:spacing w:val="-7"/>
        </w:rPr>
        <w:t> </w:t>
      </w:r>
      <w:r>
        <w:rPr/>
        <w:t>be</w:t>
      </w:r>
      <w:r>
        <w:rPr>
          <w:spacing w:val="-4"/>
        </w:rPr>
        <w:t> </w:t>
      </w:r>
      <w:r>
        <w:rPr/>
        <w:t>conducted</w:t>
      </w:r>
      <w:r>
        <w:rPr>
          <w:spacing w:val="-6"/>
        </w:rPr>
        <w:t> </w:t>
      </w:r>
      <w:r>
        <w:rPr/>
        <w:t>to</w:t>
      </w:r>
      <w:r>
        <w:rPr>
          <w:spacing w:val="-4"/>
        </w:rPr>
        <w:t> </w:t>
      </w:r>
      <w:r>
        <w:rPr/>
        <w:t>protect</w:t>
      </w:r>
      <w:r>
        <w:rPr>
          <w:spacing w:val="-7"/>
        </w:rPr>
        <w:t> </w:t>
      </w:r>
      <w:r>
        <w:rPr/>
        <w:t>and</w:t>
      </w:r>
      <w:r>
        <w:rPr>
          <w:spacing w:val="-8"/>
        </w:rPr>
        <w:t> </w:t>
      </w:r>
      <w:r>
        <w:rPr/>
        <w:t>maintain</w:t>
      </w:r>
      <w:r>
        <w:rPr>
          <w:spacing w:val="-6"/>
        </w:rPr>
        <w:t> </w:t>
      </w:r>
      <w:r>
        <w:rPr/>
        <w:t>the</w:t>
      </w:r>
      <w:r>
        <w:rPr>
          <w:spacing w:val="-4"/>
        </w:rPr>
        <w:t> </w:t>
      </w:r>
      <w:r>
        <w:rPr/>
        <w:t>social</w:t>
      </w:r>
      <w:r>
        <w:rPr>
          <w:spacing w:val="-5"/>
        </w:rPr>
        <w:t> </w:t>
      </w:r>
      <w:r>
        <w:rPr/>
        <w:t>and ecological characteristics that provide the basis for wilderness.</w:t>
      </w:r>
    </w:p>
    <w:p>
      <w:pPr>
        <w:pStyle w:val="Heading4"/>
        <w:spacing w:before="235"/>
      </w:pPr>
      <w:bookmarkStart w:name="Suitable Uses" w:id="910"/>
      <w:bookmarkEnd w:id="910"/>
      <w:r>
        <w:rPr/>
      </w:r>
      <w:bookmarkStart w:name="_bookmark271" w:id="911"/>
      <w:bookmarkEnd w:id="911"/>
      <w:r>
        <w:rPr/>
      </w:r>
      <w:r>
        <w:rPr/>
        <w:t>Suitable</w:t>
      </w:r>
      <w:r>
        <w:rPr>
          <w:spacing w:val="-5"/>
        </w:rPr>
        <w:t> </w:t>
      </w:r>
      <w:r>
        <w:rPr>
          <w:spacing w:val="-4"/>
        </w:rPr>
        <w:t>Uses</w:t>
      </w:r>
    </w:p>
    <w:p>
      <w:pPr>
        <w:spacing w:before="239"/>
        <w:ind w:left="360" w:right="0" w:firstLine="0"/>
        <w:jc w:val="left"/>
        <w:rPr>
          <w:rFonts w:ascii="Arial"/>
          <w:i/>
          <w:sz w:val="22"/>
        </w:rPr>
      </w:pPr>
      <w:bookmarkStart w:name="MA-SU-RW-01. Suitable Uses" w:id="912"/>
      <w:bookmarkEnd w:id="912"/>
      <w:r>
        <w:rPr/>
      </w:r>
      <w:r>
        <w:rPr>
          <w:rFonts w:ascii="Arial"/>
          <w:i/>
          <w:sz w:val="22"/>
        </w:rPr>
        <w:t>MA-SU-RW-01.</w:t>
      </w:r>
      <w:r>
        <w:rPr>
          <w:rFonts w:ascii="Arial"/>
          <w:i/>
          <w:spacing w:val="-10"/>
          <w:sz w:val="22"/>
        </w:rPr>
        <w:t> </w:t>
      </w:r>
      <w:r>
        <w:rPr>
          <w:rFonts w:ascii="Arial"/>
          <w:i/>
          <w:sz w:val="22"/>
        </w:rPr>
        <w:t>Suitable</w:t>
      </w:r>
      <w:r>
        <w:rPr>
          <w:rFonts w:ascii="Arial"/>
          <w:i/>
          <w:spacing w:val="-10"/>
          <w:sz w:val="22"/>
        </w:rPr>
        <w:t> </w:t>
      </w:r>
      <w:r>
        <w:rPr>
          <w:rFonts w:ascii="Arial"/>
          <w:i/>
          <w:spacing w:val="-4"/>
          <w:sz w:val="22"/>
        </w:rPr>
        <w:t>Uses</w:t>
      </w:r>
    </w:p>
    <w:p>
      <w:pPr>
        <w:pStyle w:val="BodyText"/>
        <w:spacing w:before="105"/>
        <w:rPr>
          <w:rFonts w:ascii="Arial"/>
          <w:i/>
        </w:rPr>
      </w:pPr>
    </w:p>
    <w:p>
      <w:pPr>
        <w:spacing w:before="0" w:after="42"/>
        <w:ind w:left="360" w:right="0" w:firstLine="0"/>
        <w:jc w:val="left"/>
        <w:rPr>
          <w:rFonts w:ascii="Arial"/>
          <w:b/>
          <w:sz w:val="18"/>
        </w:rPr>
      </w:pPr>
      <w:bookmarkStart w:name="_bookmark272" w:id="913"/>
      <w:bookmarkEnd w:id="913"/>
      <w:r>
        <w:rPr/>
      </w:r>
      <w:r>
        <w:rPr>
          <w:rFonts w:ascii="Arial"/>
          <w:b/>
          <w:sz w:val="18"/>
        </w:rPr>
        <w:t>Table</w:t>
      </w:r>
      <w:r>
        <w:rPr>
          <w:rFonts w:ascii="Arial"/>
          <w:b/>
          <w:spacing w:val="-5"/>
          <w:sz w:val="18"/>
        </w:rPr>
        <w:t> </w:t>
      </w:r>
      <w:r>
        <w:rPr>
          <w:rFonts w:ascii="Arial"/>
          <w:b/>
          <w:sz w:val="18"/>
        </w:rPr>
        <w:t>38.</w:t>
      </w:r>
      <w:r>
        <w:rPr>
          <w:rFonts w:ascii="Arial"/>
          <w:b/>
          <w:spacing w:val="-3"/>
          <w:sz w:val="18"/>
        </w:rPr>
        <w:t> </w:t>
      </w:r>
      <w:r>
        <w:rPr>
          <w:rFonts w:ascii="Arial"/>
          <w:b/>
          <w:sz w:val="18"/>
        </w:rPr>
        <w:t>Suitable</w:t>
      </w:r>
      <w:r>
        <w:rPr>
          <w:rFonts w:ascii="Arial"/>
          <w:b/>
          <w:spacing w:val="-4"/>
          <w:sz w:val="18"/>
        </w:rPr>
        <w:t> </w:t>
      </w:r>
      <w:r>
        <w:rPr>
          <w:rFonts w:ascii="Arial"/>
          <w:b/>
          <w:sz w:val="18"/>
        </w:rPr>
        <w:t>uses</w:t>
      </w:r>
      <w:r>
        <w:rPr>
          <w:rFonts w:ascii="Arial"/>
          <w:b/>
          <w:spacing w:val="-2"/>
          <w:sz w:val="18"/>
        </w:rPr>
        <w:t> </w:t>
      </w:r>
      <w:r>
        <w:rPr>
          <w:rFonts w:ascii="Arial"/>
          <w:b/>
          <w:sz w:val="18"/>
        </w:rPr>
        <w:t>for</w:t>
      </w:r>
      <w:r>
        <w:rPr>
          <w:rFonts w:ascii="Arial"/>
          <w:b/>
          <w:spacing w:val="-3"/>
          <w:sz w:val="18"/>
        </w:rPr>
        <w:t> </w:t>
      </w:r>
      <w:r>
        <w:rPr>
          <w:rFonts w:ascii="Arial"/>
          <w:b/>
          <w:sz w:val="18"/>
        </w:rPr>
        <w:t>Recommended</w:t>
      </w:r>
      <w:r>
        <w:rPr>
          <w:rFonts w:ascii="Arial"/>
          <w:b/>
          <w:spacing w:val="-5"/>
          <w:sz w:val="18"/>
        </w:rPr>
        <w:t> </w:t>
      </w:r>
      <w:r>
        <w:rPr>
          <w:rFonts w:ascii="Arial"/>
          <w:b/>
          <w:sz w:val="18"/>
        </w:rPr>
        <w:t>Wilderness</w:t>
      </w:r>
      <w:r>
        <w:rPr>
          <w:rFonts w:ascii="Arial"/>
          <w:b/>
          <w:spacing w:val="-4"/>
          <w:sz w:val="18"/>
        </w:rPr>
        <w:t> </w:t>
      </w:r>
      <w:r>
        <w:rPr>
          <w:rFonts w:ascii="Arial"/>
          <w:b/>
          <w:sz w:val="18"/>
        </w:rPr>
        <w:t>Management</w:t>
      </w:r>
      <w:r>
        <w:rPr>
          <w:rFonts w:ascii="Arial"/>
          <w:b/>
          <w:spacing w:val="-3"/>
          <w:sz w:val="18"/>
        </w:rPr>
        <w:t> </w:t>
      </w:r>
      <w:r>
        <w:rPr>
          <w:rFonts w:ascii="Arial"/>
          <w:b/>
          <w:spacing w:val="-4"/>
          <w:sz w:val="18"/>
        </w:rPr>
        <w:t>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185"/>
        <w:gridCol w:w="2281"/>
        <w:gridCol w:w="2084"/>
      </w:tblGrid>
      <w:tr>
        <w:trPr>
          <w:trHeight w:val="287" w:hRule="atLeast"/>
        </w:trPr>
        <w:tc>
          <w:tcPr>
            <w:tcW w:w="4185" w:type="dxa"/>
            <w:tcBorders>
              <w:right w:val="nil"/>
            </w:tcBorders>
            <w:shd w:val="clear" w:color="auto" w:fill="D5E2BB"/>
          </w:tcPr>
          <w:p>
            <w:pPr>
              <w:pStyle w:val="TableParagraph"/>
              <w:ind w:right="44"/>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2281" w:type="dxa"/>
            <w:tcBorders>
              <w:left w:val="nil"/>
              <w:right w:val="nil"/>
            </w:tcBorders>
            <w:shd w:val="clear" w:color="auto" w:fill="D5E2BB"/>
          </w:tcPr>
          <w:p>
            <w:pPr>
              <w:pStyle w:val="TableParagraph"/>
              <w:ind w:left="72" w:right="82"/>
              <w:jc w:val="center"/>
              <w:rPr>
                <w:b/>
                <w:sz w:val="18"/>
              </w:rPr>
            </w:pPr>
            <w:r>
              <w:rPr>
                <w:b/>
                <w:sz w:val="18"/>
              </w:rPr>
              <w:t>May</w:t>
            </w:r>
            <w:r>
              <w:rPr>
                <w:b/>
                <w:spacing w:val="-9"/>
                <w:sz w:val="18"/>
              </w:rPr>
              <w:t> </w:t>
            </w:r>
            <w:r>
              <w:rPr>
                <w:b/>
                <w:spacing w:val="-2"/>
                <w:sz w:val="18"/>
              </w:rPr>
              <w:t>authorize</w:t>
            </w:r>
          </w:p>
        </w:tc>
        <w:tc>
          <w:tcPr>
            <w:tcW w:w="2084" w:type="dxa"/>
            <w:tcBorders>
              <w:left w:val="nil"/>
            </w:tcBorders>
            <w:shd w:val="clear" w:color="auto" w:fill="D5E2BB"/>
          </w:tcPr>
          <w:p>
            <w:pPr>
              <w:pStyle w:val="TableParagraph"/>
              <w:ind w:left="51" w:right="3"/>
              <w:jc w:val="center"/>
              <w:rPr>
                <w:b/>
                <w:sz w:val="18"/>
              </w:rPr>
            </w:pPr>
            <w:r>
              <w:rPr>
                <w:b/>
                <w:sz w:val="18"/>
              </w:rPr>
              <w:t>May</w:t>
            </w:r>
            <w:r>
              <w:rPr>
                <w:b/>
                <w:spacing w:val="-9"/>
                <w:sz w:val="18"/>
              </w:rPr>
              <w:t> </w:t>
            </w:r>
            <w:r>
              <w:rPr>
                <w:b/>
                <w:sz w:val="18"/>
              </w:rPr>
              <w:t>not</w:t>
            </w:r>
            <w:r>
              <w:rPr>
                <w:b/>
                <w:spacing w:val="-2"/>
                <w:sz w:val="18"/>
              </w:rPr>
              <w:t> authorize</w:t>
            </w:r>
          </w:p>
        </w:tc>
      </w:tr>
      <w:tr>
        <w:trPr>
          <w:trHeight w:val="287" w:hRule="atLeast"/>
        </w:trPr>
        <w:tc>
          <w:tcPr>
            <w:tcW w:w="4185" w:type="dxa"/>
            <w:tcBorders>
              <w:right w:val="nil"/>
            </w:tcBorders>
          </w:tcPr>
          <w:p>
            <w:pPr>
              <w:pStyle w:val="TableParagraph"/>
              <w:ind w:left="107"/>
              <w:rPr>
                <w:b/>
                <w:sz w:val="18"/>
              </w:rPr>
            </w:pPr>
            <w:r>
              <w:rPr>
                <w:b/>
                <w:sz w:val="18"/>
              </w:rPr>
              <w:t>Facilities,</w:t>
            </w:r>
            <w:r>
              <w:rPr>
                <w:b/>
                <w:spacing w:val="-5"/>
                <w:sz w:val="18"/>
              </w:rPr>
              <w:t> </w:t>
            </w:r>
            <w:r>
              <w:rPr>
                <w:b/>
                <w:spacing w:val="-2"/>
                <w:sz w:val="18"/>
              </w:rPr>
              <w:t>administrative</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ind w:left="51" w:right="5"/>
              <w:jc w:val="center"/>
              <w:rPr>
                <w:sz w:val="18"/>
              </w:rPr>
            </w:pPr>
            <w:r>
              <w:rPr>
                <w:spacing w:val="-10"/>
                <w:sz w:val="18"/>
              </w:rPr>
              <w:t>X</w:t>
            </w:r>
          </w:p>
        </w:tc>
      </w:tr>
      <w:tr>
        <w:trPr>
          <w:trHeight w:val="474" w:hRule="atLeast"/>
        </w:trPr>
        <w:tc>
          <w:tcPr>
            <w:tcW w:w="4185" w:type="dxa"/>
            <w:tcBorders>
              <w:right w:val="nil"/>
            </w:tcBorders>
          </w:tcPr>
          <w:p>
            <w:pPr>
              <w:pStyle w:val="TableParagraph"/>
              <w:ind w:left="107"/>
              <w:rPr>
                <w:b/>
                <w:sz w:val="18"/>
              </w:rPr>
            </w:pPr>
            <w:r>
              <w:rPr>
                <w:b/>
                <w:sz w:val="18"/>
              </w:rPr>
              <w:t>Facilities,</w:t>
            </w:r>
            <w:r>
              <w:rPr>
                <w:b/>
                <w:spacing w:val="-4"/>
                <w:sz w:val="18"/>
              </w:rPr>
              <w:t> </w:t>
            </w:r>
            <w:r>
              <w:rPr>
                <w:b/>
                <w:sz w:val="18"/>
              </w:rPr>
              <w:t>developed</w:t>
            </w:r>
            <w:r>
              <w:rPr>
                <w:b/>
                <w:spacing w:val="-5"/>
                <w:sz w:val="18"/>
              </w:rPr>
              <w:t> </w:t>
            </w:r>
            <w:r>
              <w:rPr>
                <w:b/>
                <w:spacing w:val="-2"/>
                <w:sz w:val="18"/>
              </w:rPr>
              <w:t>recreation</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ind w:left="51" w:right="5"/>
              <w:jc w:val="center"/>
              <w:rPr>
                <w:sz w:val="18"/>
              </w:rPr>
            </w:pPr>
            <w:r>
              <w:rPr>
                <w:spacing w:val="-10"/>
                <w:sz w:val="18"/>
              </w:rPr>
              <w:t>X</w:t>
            </w:r>
          </w:p>
        </w:tc>
      </w:tr>
      <w:tr>
        <w:trPr>
          <w:trHeight w:val="287" w:hRule="atLeast"/>
        </w:trPr>
        <w:tc>
          <w:tcPr>
            <w:tcW w:w="4185" w:type="dxa"/>
            <w:tcBorders>
              <w:right w:val="nil"/>
            </w:tcBorders>
          </w:tcPr>
          <w:p>
            <w:pPr>
              <w:pStyle w:val="TableParagraph"/>
              <w:ind w:left="107"/>
              <w:rPr>
                <w:b/>
                <w:sz w:val="18"/>
              </w:rPr>
            </w:pPr>
            <w:r>
              <w:rPr>
                <w:b/>
                <w:sz w:val="18"/>
              </w:rPr>
              <w:t>Fire,</w:t>
            </w:r>
            <w:r>
              <w:rPr>
                <w:b/>
                <w:spacing w:val="-2"/>
                <w:sz w:val="18"/>
              </w:rPr>
              <w:t> </w:t>
            </w:r>
            <w:r>
              <w:rPr>
                <w:b/>
                <w:sz w:val="18"/>
              </w:rPr>
              <w:t>planned</w:t>
            </w:r>
            <w:r>
              <w:rPr>
                <w:b/>
                <w:spacing w:val="-3"/>
                <w:sz w:val="18"/>
              </w:rPr>
              <w:t> </w:t>
            </w:r>
            <w:r>
              <w:rPr>
                <w:b/>
                <w:spacing w:val="-2"/>
                <w:sz w:val="18"/>
              </w:rPr>
              <w:t>ignition</w:t>
            </w:r>
          </w:p>
        </w:tc>
        <w:tc>
          <w:tcPr>
            <w:tcW w:w="2281" w:type="dxa"/>
            <w:tcBorders>
              <w:left w:val="nil"/>
              <w:right w:val="nil"/>
            </w:tcBorders>
          </w:tcPr>
          <w:p>
            <w:pPr>
              <w:pStyle w:val="TableParagraph"/>
              <w:ind w:left="70" w:right="82"/>
              <w:jc w:val="center"/>
              <w:rPr>
                <w:sz w:val="18"/>
              </w:rPr>
            </w:pPr>
            <w:r>
              <w:rPr>
                <w:spacing w:val="-10"/>
                <w:sz w:val="18"/>
              </w:rPr>
              <w:t>X</w:t>
            </w:r>
          </w:p>
        </w:tc>
        <w:tc>
          <w:tcPr>
            <w:tcW w:w="2084" w:type="dxa"/>
            <w:tcBorders>
              <w:left w:val="nil"/>
            </w:tcBorders>
          </w:tcPr>
          <w:p>
            <w:pPr>
              <w:pStyle w:val="TableParagraph"/>
              <w:spacing w:before="0"/>
              <w:rPr>
                <w:rFonts w:ascii="Times New Roman"/>
                <w:sz w:val="20"/>
              </w:rPr>
            </w:pPr>
          </w:p>
        </w:tc>
      </w:tr>
      <w:tr>
        <w:trPr>
          <w:trHeight w:val="287" w:hRule="atLeast"/>
        </w:trPr>
        <w:tc>
          <w:tcPr>
            <w:tcW w:w="4185" w:type="dxa"/>
            <w:tcBorders>
              <w:right w:val="nil"/>
            </w:tcBorders>
          </w:tcPr>
          <w:p>
            <w:pPr>
              <w:pStyle w:val="TableParagraph"/>
              <w:ind w:left="107"/>
              <w:rPr>
                <w:b/>
                <w:sz w:val="18"/>
              </w:rPr>
            </w:pPr>
            <w:r>
              <w:rPr>
                <w:b/>
                <w:sz w:val="18"/>
              </w:rPr>
              <w:t>Fire,</w:t>
            </w:r>
            <w:r>
              <w:rPr>
                <w:b/>
                <w:spacing w:val="-2"/>
                <w:sz w:val="18"/>
              </w:rPr>
              <w:t> </w:t>
            </w:r>
            <w:r>
              <w:rPr>
                <w:b/>
                <w:sz w:val="18"/>
              </w:rPr>
              <w:t>use</w:t>
            </w:r>
            <w:r>
              <w:rPr>
                <w:b/>
                <w:spacing w:val="-1"/>
                <w:sz w:val="18"/>
              </w:rPr>
              <w:t> </w:t>
            </w:r>
            <w:r>
              <w:rPr>
                <w:b/>
                <w:sz w:val="18"/>
              </w:rPr>
              <w:t>of</w:t>
            </w:r>
            <w:r>
              <w:rPr>
                <w:b/>
                <w:spacing w:val="-2"/>
                <w:sz w:val="18"/>
              </w:rPr>
              <w:t> </w:t>
            </w:r>
            <w:r>
              <w:rPr>
                <w:b/>
                <w:sz w:val="18"/>
              </w:rPr>
              <w:t>unplanned</w:t>
            </w:r>
            <w:r>
              <w:rPr>
                <w:b/>
                <w:spacing w:val="-1"/>
                <w:sz w:val="18"/>
              </w:rPr>
              <w:t> </w:t>
            </w:r>
            <w:r>
              <w:rPr>
                <w:b/>
                <w:spacing w:val="-2"/>
                <w:sz w:val="18"/>
              </w:rPr>
              <w:t>ignition</w:t>
            </w:r>
          </w:p>
        </w:tc>
        <w:tc>
          <w:tcPr>
            <w:tcW w:w="2281" w:type="dxa"/>
            <w:tcBorders>
              <w:left w:val="nil"/>
              <w:right w:val="nil"/>
            </w:tcBorders>
          </w:tcPr>
          <w:p>
            <w:pPr>
              <w:pStyle w:val="TableParagraph"/>
              <w:ind w:left="70" w:right="82"/>
              <w:jc w:val="center"/>
              <w:rPr>
                <w:sz w:val="18"/>
              </w:rPr>
            </w:pPr>
            <w:r>
              <w:rPr>
                <w:spacing w:val="-10"/>
                <w:sz w:val="18"/>
              </w:rPr>
              <w:t>X</w:t>
            </w:r>
          </w:p>
        </w:tc>
        <w:tc>
          <w:tcPr>
            <w:tcW w:w="2084" w:type="dxa"/>
            <w:tcBorders>
              <w:left w:val="nil"/>
            </w:tcBorders>
          </w:tcPr>
          <w:p>
            <w:pPr>
              <w:pStyle w:val="TableParagraph"/>
              <w:spacing w:before="0"/>
              <w:rPr>
                <w:rFonts w:ascii="Times New Roman"/>
                <w:sz w:val="20"/>
              </w:rPr>
            </w:pPr>
          </w:p>
        </w:tc>
      </w:tr>
      <w:tr>
        <w:trPr>
          <w:trHeight w:val="493" w:hRule="atLeast"/>
        </w:trPr>
        <w:tc>
          <w:tcPr>
            <w:tcW w:w="4185" w:type="dxa"/>
            <w:tcBorders>
              <w:right w:val="nil"/>
            </w:tcBorders>
          </w:tcPr>
          <w:p>
            <w:pPr>
              <w:pStyle w:val="TableParagraph"/>
              <w:ind w:left="107"/>
              <w:rPr>
                <w:b/>
                <w:sz w:val="18"/>
              </w:rPr>
            </w:pPr>
            <w:r>
              <w:rPr>
                <w:b/>
                <w:sz w:val="18"/>
              </w:rPr>
              <w:t>Forest</w:t>
            </w:r>
            <w:r>
              <w:rPr>
                <w:b/>
                <w:spacing w:val="-9"/>
                <w:sz w:val="18"/>
              </w:rPr>
              <w:t> </w:t>
            </w:r>
            <w:r>
              <w:rPr>
                <w:b/>
                <w:sz w:val="18"/>
              </w:rPr>
              <w:t>products,</w:t>
            </w:r>
            <w:r>
              <w:rPr>
                <w:b/>
                <w:spacing w:val="-10"/>
                <w:sz w:val="18"/>
              </w:rPr>
              <w:t> </w:t>
            </w:r>
            <w:r>
              <w:rPr>
                <w:b/>
                <w:sz w:val="18"/>
              </w:rPr>
              <w:t>commercial</w:t>
            </w:r>
            <w:r>
              <w:rPr>
                <w:b/>
                <w:spacing w:val="-9"/>
                <w:sz w:val="18"/>
              </w:rPr>
              <w:t> </w:t>
            </w:r>
            <w:r>
              <w:rPr>
                <w:b/>
                <w:sz w:val="18"/>
              </w:rPr>
              <w:t>use</w:t>
            </w:r>
            <w:r>
              <w:rPr>
                <w:b/>
                <w:spacing w:val="-8"/>
                <w:sz w:val="18"/>
              </w:rPr>
              <w:t> </w:t>
            </w:r>
            <w:r>
              <w:rPr>
                <w:b/>
                <w:sz w:val="18"/>
              </w:rPr>
              <w:t>(non-timber </w:t>
            </w:r>
            <w:r>
              <w:rPr>
                <w:b/>
                <w:spacing w:val="-2"/>
                <w:sz w:val="18"/>
              </w:rPr>
              <w:t>harvest)</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ind w:left="51" w:right="5"/>
              <w:jc w:val="center"/>
              <w:rPr>
                <w:sz w:val="18"/>
              </w:rPr>
            </w:pPr>
            <w:r>
              <w:rPr>
                <w:spacing w:val="-10"/>
                <w:sz w:val="18"/>
              </w:rPr>
              <w:t>X</w:t>
            </w:r>
          </w:p>
        </w:tc>
      </w:tr>
      <w:tr>
        <w:trPr>
          <w:trHeight w:val="287" w:hRule="atLeast"/>
        </w:trPr>
        <w:tc>
          <w:tcPr>
            <w:tcW w:w="4185" w:type="dxa"/>
            <w:tcBorders>
              <w:right w:val="nil"/>
            </w:tcBorders>
          </w:tcPr>
          <w:p>
            <w:pPr>
              <w:pStyle w:val="TableParagraph"/>
              <w:ind w:left="107"/>
              <w:rPr>
                <w:b/>
                <w:sz w:val="18"/>
              </w:rPr>
            </w:pPr>
            <w:r>
              <w:rPr>
                <w:b/>
                <w:sz w:val="18"/>
              </w:rPr>
              <w:t>Forest</w:t>
            </w:r>
            <w:r>
              <w:rPr>
                <w:b/>
                <w:spacing w:val="-4"/>
                <w:sz w:val="18"/>
              </w:rPr>
              <w:t> </w:t>
            </w:r>
            <w:r>
              <w:rPr>
                <w:b/>
                <w:sz w:val="18"/>
              </w:rPr>
              <w:t>products,</w:t>
            </w:r>
            <w:r>
              <w:rPr>
                <w:b/>
                <w:spacing w:val="-3"/>
                <w:sz w:val="18"/>
              </w:rPr>
              <w:t> </w:t>
            </w:r>
            <w:r>
              <w:rPr>
                <w:b/>
                <w:sz w:val="18"/>
              </w:rPr>
              <w:t>firewood,</w:t>
            </w:r>
            <w:r>
              <w:rPr>
                <w:b/>
                <w:spacing w:val="-4"/>
                <w:sz w:val="18"/>
              </w:rPr>
              <w:t> </w:t>
            </w:r>
            <w:r>
              <w:rPr>
                <w:b/>
                <w:sz w:val="18"/>
              </w:rPr>
              <w:t>commercial</w:t>
            </w:r>
            <w:r>
              <w:rPr>
                <w:b/>
                <w:spacing w:val="-3"/>
                <w:sz w:val="18"/>
              </w:rPr>
              <w:t> </w:t>
            </w:r>
            <w:r>
              <w:rPr>
                <w:b/>
                <w:spacing w:val="-5"/>
                <w:sz w:val="18"/>
              </w:rPr>
              <w:t>use</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ind w:left="51" w:right="5"/>
              <w:jc w:val="center"/>
              <w:rPr>
                <w:sz w:val="18"/>
              </w:rPr>
            </w:pPr>
            <w:r>
              <w:rPr>
                <w:spacing w:val="-10"/>
                <w:sz w:val="18"/>
              </w:rPr>
              <w:t>X</w:t>
            </w:r>
          </w:p>
        </w:tc>
      </w:tr>
      <w:tr>
        <w:trPr>
          <w:trHeight w:val="493" w:hRule="atLeast"/>
        </w:trPr>
        <w:tc>
          <w:tcPr>
            <w:tcW w:w="4185" w:type="dxa"/>
            <w:tcBorders>
              <w:right w:val="nil"/>
            </w:tcBorders>
          </w:tcPr>
          <w:p>
            <w:pPr>
              <w:pStyle w:val="TableParagraph"/>
              <w:ind w:left="107" w:right="233"/>
              <w:rPr>
                <w:b/>
                <w:sz w:val="18"/>
              </w:rPr>
            </w:pPr>
            <w:r>
              <w:rPr>
                <w:b/>
                <w:sz w:val="18"/>
              </w:rPr>
              <w:t>Forest</w:t>
            </w:r>
            <w:r>
              <w:rPr>
                <w:b/>
                <w:spacing w:val="-12"/>
                <w:sz w:val="18"/>
              </w:rPr>
              <w:t> </w:t>
            </w:r>
            <w:r>
              <w:rPr>
                <w:b/>
                <w:sz w:val="18"/>
              </w:rPr>
              <w:t>products,</w:t>
            </w:r>
            <w:r>
              <w:rPr>
                <w:b/>
                <w:spacing w:val="-12"/>
                <w:sz w:val="18"/>
              </w:rPr>
              <w:t> </w:t>
            </w:r>
            <w:r>
              <w:rPr>
                <w:b/>
                <w:sz w:val="18"/>
              </w:rPr>
              <w:t>firewood,</w:t>
            </w:r>
            <w:r>
              <w:rPr>
                <w:b/>
                <w:spacing w:val="-12"/>
                <w:sz w:val="18"/>
              </w:rPr>
              <w:t> </w:t>
            </w:r>
            <w:r>
              <w:rPr>
                <w:b/>
                <w:sz w:val="18"/>
              </w:rPr>
              <w:t>permitted personal use</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ind w:left="51" w:right="5"/>
              <w:jc w:val="center"/>
              <w:rPr>
                <w:sz w:val="18"/>
              </w:rPr>
            </w:pPr>
            <w:r>
              <w:rPr>
                <w:spacing w:val="-10"/>
                <w:sz w:val="18"/>
              </w:rPr>
              <w:t>X</w:t>
            </w:r>
          </w:p>
        </w:tc>
      </w:tr>
      <w:tr>
        <w:trPr>
          <w:trHeight w:val="287" w:hRule="atLeast"/>
        </w:trPr>
        <w:tc>
          <w:tcPr>
            <w:tcW w:w="4185" w:type="dxa"/>
            <w:tcBorders>
              <w:right w:val="nil"/>
            </w:tcBorders>
          </w:tcPr>
          <w:p>
            <w:pPr>
              <w:pStyle w:val="TableParagraph"/>
              <w:ind w:left="107"/>
              <w:rPr>
                <w:b/>
                <w:sz w:val="18"/>
              </w:rPr>
            </w:pPr>
            <w:r>
              <w:rPr>
                <w:b/>
                <w:sz w:val="18"/>
              </w:rPr>
              <w:t>Forest</w:t>
            </w:r>
            <w:r>
              <w:rPr>
                <w:b/>
                <w:spacing w:val="-3"/>
                <w:sz w:val="18"/>
              </w:rPr>
              <w:t> </w:t>
            </w:r>
            <w:r>
              <w:rPr>
                <w:b/>
                <w:sz w:val="18"/>
              </w:rPr>
              <w:t>products,</w:t>
            </w:r>
            <w:r>
              <w:rPr>
                <w:b/>
                <w:spacing w:val="-4"/>
                <w:sz w:val="18"/>
              </w:rPr>
              <w:t> </w:t>
            </w:r>
            <w:r>
              <w:rPr>
                <w:b/>
                <w:sz w:val="18"/>
              </w:rPr>
              <w:t>personal</w:t>
            </w:r>
            <w:r>
              <w:rPr>
                <w:b/>
                <w:spacing w:val="-2"/>
                <w:sz w:val="18"/>
              </w:rPr>
              <w:t> </w:t>
            </w:r>
            <w:r>
              <w:rPr>
                <w:b/>
                <w:spacing w:val="-5"/>
                <w:sz w:val="18"/>
              </w:rPr>
              <w:t>use</w:t>
            </w:r>
          </w:p>
        </w:tc>
        <w:tc>
          <w:tcPr>
            <w:tcW w:w="2281" w:type="dxa"/>
            <w:tcBorders>
              <w:left w:val="nil"/>
              <w:right w:val="nil"/>
            </w:tcBorders>
          </w:tcPr>
          <w:p>
            <w:pPr>
              <w:pStyle w:val="TableParagraph"/>
              <w:ind w:left="70" w:right="82"/>
              <w:jc w:val="center"/>
              <w:rPr>
                <w:sz w:val="18"/>
              </w:rPr>
            </w:pPr>
            <w:r>
              <w:rPr>
                <w:spacing w:val="-10"/>
                <w:sz w:val="18"/>
              </w:rPr>
              <w:t>X</w:t>
            </w:r>
          </w:p>
        </w:tc>
        <w:tc>
          <w:tcPr>
            <w:tcW w:w="2084" w:type="dxa"/>
            <w:tcBorders>
              <w:left w:val="nil"/>
            </w:tcBorders>
          </w:tcPr>
          <w:p>
            <w:pPr>
              <w:pStyle w:val="TableParagraph"/>
              <w:spacing w:before="0"/>
              <w:rPr>
                <w:rFonts w:ascii="Times New Roman"/>
                <w:sz w:val="20"/>
              </w:rPr>
            </w:pPr>
          </w:p>
        </w:tc>
      </w:tr>
      <w:tr>
        <w:trPr>
          <w:trHeight w:val="287" w:hRule="atLeast"/>
        </w:trPr>
        <w:tc>
          <w:tcPr>
            <w:tcW w:w="4185" w:type="dxa"/>
            <w:tcBorders>
              <w:right w:val="nil"/>
            </w:tcBorders>
          </w:tcPr>
          <w:p>
            <w:pPr>
              <w:pStyle w:val="TableParagraph"/>
              <w:ind w:left="107"/>
              <w:rPr>
                <w:b/>
                <w:sz w:val="18"/>
              </w:rPr>
            </w:pPr>
            <w:r>
              <w:rPr>
                <w:b/>
                <w:sz w:val="18"/>
              </w:rPr>
              <w:t>Grazing,</w:t>
            </w:r>
            <w:r>
              <w:rPr>
                <w:b/>
                <w:spacing w:val="-3"/>
                <w:sz w:val="18"/>
              </w:rPr>
              <w:t> </w:t>
            </w:r>
            <w:r>
              <w:rPr>
                <w:b/>
                <w:spacing w:val="-2"/>
                <w:sz w:val="18"/>
              </w:rPr>
              <w:t>permitted</w:t>
            </w:r>
          </w:p>
        </w:tc>
        <w:tc>
          <w:tcPr>
            <w:tcW w:w="2281" w:type="dxa"/>
            <w:tcBorders>
              <w:left w:val="nil"/>
              <w:right w:val="nil"/>
            </w:tcBorders>
          </w:tcPr>
          <w:p>
            <w:pPr>
              <w:pStyle w:val="TableParagraph"/>
              <w:ind w:left="70" w:right="82"/>
              <w:jc w:val="center"/>
              <w:rPr>
                <w:sz w:val="18"/>
              </w:rPr>
            </w:pPr>
            <w:r>
              <w:rPr>
                <w:spacing w:val="-10"/>
                <w:sz w:val="18"/>
              </w:rPr>
              <w:t>X</w:t>
            </w:r>
          </w:p>
        </w:tc>
        <w:tc>
          <w:tcPr>
            <w:tcW w:w="2084" w:type="dxa"/>
            <w:tcBorders>
              <w:left w:val="nil"/>
            </w:tcBorders>
          </w:tcPr>
          <w:p>
            <w:pPr>
              <w:pStyle w:val="TableParagraph"/>
              <w:spacing w:before="0"/>
              <w:rPr>
                <w:rFonts w:ascii="Times New Roman"/>
                <w:sz w:val="20"/>
              </w:rPr>
            </w:pPr>
          </w:p>
        </w:tc>
      </w:tr>
      <w:tr>
        <w:trPr>
          <w:trHeight w:val="1943" w:hRule="atLeast"/>
        </w:trPr>
        <w:tc>
          <w:tcPr>
            <w:tcW w:w="4185" w:type="dxa"/>
            <w:tcBorders>
              <w:right w:val="nil"/>
            </w:tcBorders>
          </w:tcPr>
          <w:p>
            <w:pPr>
              <w:pStyle w:val="TableParagraph"/>
              <w:ind w:left="107"/>
              <w:rPr>
                <w:b/>
                <w:sz w:val="18"/>
              </w:rPr>
            </w:pPr>
            <w:r>
              <w:rPr>
                <w:b/>
                <w:sz w:val="18"/>
              </w:rPr>
              <w:t>Infrastructure, above ground infrastructure associated</w:t>
            </w:r>
            <w:r>
              <w:rPr>
                <w:b/>
                <w:spacing w:val="-7"/>
                <w:sz w:val="18"/>
              </w:rPr>
              <w:t> </w:t>
            </w:r>
            <w:r>
              <w:rPr>
                <w:b/>
                <w:sz w:val="18"/>
              </w:rPr>
              <w:t>with</w:t>
            </w:r>
            <w:r>
              <w:rPr>
                <w:b/>
                <w:spacing w:val="-7"/>
                <w:sz w:val="18"/>
              </w:rPr>
              <w:t> </w:t>
            </w:r>
            <w:r>
              <w:rPr>
                <w:b/>
                <w:sz w:val="18"/>
              </w:rPr>
              <w:t>special-use</w:t>
            </w:r>
            <w:r>
              <w:rPr>
                <w:b/>
                <w:spacing w:val="-7"/>
                <w:sz w:val="18"/>
              </w:rPr>
              <w:t> </w:t>
            </w:r>
            <w:r>
              <w:rPr>
                <w:b/>
                <w:sz w:val="18"/>
              </w:rPr>
              <w:t>permits,</w:t>
            </w:r>
            <w:r>
              <w:rPr>
                <w:b/>
                <w:spacing w:val="-7"/>
                <w:sz w:val="18"/>
              </w:rPr>
              <w:t> </w:t>
            </w:r>
            <w:r>
              <w:rPr>
                <w:b/>
                <w:sz w:val="18"/>
              </w:rPr>
              <w:t>such</w:t>
            </w:r>
            <w:r>
              <w:rPr>
                <w:b/>
                <w:spacing w:val="-7"/>
                <w:sz w:val="18"/>
              </w:rPr>
              <w:t> </w:t>
            </w:r>
            <w:r>
              <w:rPr>
                <w:b/>
                <w:sz w:val="18"/>
              </w:rPr>
              <w:t>as communication sites, energy developments, and/or utility lines.</w:t>
            </w:r>
          </w:p>
        </w:tc>
        <w:tc>
          <w:tcPr>
            <w:tcW w:w="2281" w:type="dxa"/>
            <w:tcBorders>
              <w:left w:val="nil"/>
              <w:right w:val="nil"/>
            </w:tcBorders>
          </w:tcPr>
          <w:p>
            <w:pPr>
              <w:pStyle w:val="TableParagraph"/>
              <w:spacing w:before="0"/>
              <w:rPr>
                <w:rFonts w:ascii="Times New Roman"/>
                <w:sz w:val="20"/>
              </w:rPr>
            </w:pPr>
          </w:p>
        </w:tc>
        <w:tc>
          <w:tcPr>
            <w:tcW w:w="2084" w:type="dxa"/>
            <w:tcBorders>
              <w:left w:val="nil"/>
            </w:tcBorders>
          </w:tcPr>
          <w:p>
            <w:pPr>
              <w:pStyle w:val="TableParagraph"/>
              <w:spacing w:line="207" w:lineRule="exact"/>
              <w:ind w:left="51" w:right="5"/>
              <w:jc w:val="center"/>
              <w:rPr>
                <w:sz w:val="18"/>
              </w:rPr>
            </w:pPr>
            <w:r>
              <w:rPr>
                <w:spacing w:val="-10"/>
                <w:sz w:val="18"/>
              </w:rPr>
              <w:t>X</w:t>
            </w:r>
          </w:p>
          <w:p>
            <w:pPr>
              <w:pStyle w:val="TableParagraph"/>
              <w:spacing w:before="0"/>
              <w:ind w:left="189" w:right="139" w:hanging="2"/>
              <w:jc w:val="center"/>
              <w:rPr>
                <w:sz w:val="18"/>
              </w:rPr>
            </w:pPr>
            <w:r>
              <w:rPr>
                <w:sz w:val="18"/>
              </w:rPr>
              <w:t>(Except</w:t>
            </w:r>
            <w:r>
              <w:rPr>
                <w:spacing w:val="-2"/>
                <w:sz w:val="18"/>
              </w:rPr>
              <w:t> </w:t>
            </w:r>
            <w:r>
              <w:rPr>
                <w:sz w:val="18"/>
              </w:rPr>
              <w:t>where</w:t>
            </w:r>
            <w:r>
              <w:rPr>
                <w:spacing w:val="-1"/>
                <w:sz w:val="18"/>
              </w:rPr>
              <w:t> </w:t>
            </w:r>
            <w:r>
              <w:rPr>
                <w:sz w:val="18"/>
              </w:rPr>
              <w:t>Forest Service radio repeaters or </w:t>
            </w:r>
            <w:r>
              <w:rPr>
                <w:spacing w:val="-2"/>
                <w:sz w:val="18"/>
              </w:rPr>
              <w:t>communication </w:t>
            </w:r>
            <w:r>
              <w:rPr>
                <w:sz w:val="18"/>
              </w:rPr>
              <w:t>devices</w:t>
            </w:r>
            <w:r>
              <w:rPr>
                <w:spacing w:val="-15"/>
                <w:sz w:val="18"/>
              </w:rPr>
              <w:t> </w:t>
            </w:r>
            <w:r>
              <w:rPr>
                <w:sz w:val="18"/>
              </w:rPr>
              <w:t>necessary</w:t>
            </w:r>
            <w:r>
              <w:rPr>
                <w:spacing w:val="-12"/>
                <w:sz w:val="18"/>
              </w:rPr>
              <w:t> </w:t>
            </w:r>
            <w:r>
              <w:rPr>
                <w:sz w:val="18"/>
              </w:rPr>
              <w:t>for administration of </w:t>
            </w:r>
            <w:r>
              <w:rPr>
                <w:spacing w:val="-2"/>
                <w:sz w:val="18"/>
              </w:rPr>
              <w:t>recommended wilderness)</w:t>
            </w:r>
          </w:p>
        </w:tc>
      </w:tr>
      <w:tr>
        <w:trPr>
          <w:trHeight w:val="906" w:hRule="atLeast"/>
        </w:trPr>
        <w:tc>
          <w:tcPr>
            <w:tcW w:w="4185" w:type="dxa"/>
            <w:tcBorders>
              <w:right w:val="nil"/>
            </w:tcBorders>
          </w:tcPr>
          <w:p>
            <w:pPr>
              <w:pStyle w:val="TableParagraph"/>
              <w:ind w:left="107"/>
              <w:rPr>
                <w:b/>
                <w:sz w:val="18"/>
              </w:rPr>
            </w:pPr>
            <w:r>
              <w:rPr>
                <w:b/>
                <w:spacing w:val="-2"/>
                <w:sz w:val="18"/>
              </w:rPr>
              <w:t>Mechanized</w:t>
            </w:r>
            <w:r>
              <w:rPr>
                <w:b/>
                <w:spacing w:val="4"/>
                <w:sz w:val="18"/>
              </w:rPr>
              <w:t> </w:t>
            </w:r>
            <w:r>
              <w:rPr>
                <w:b/>
                <w:spacing w:val="-2"/>
                <w:sz w:val="18"/>
              </w:rPr>
              <w:t>recreational</w:t>
            </w:r>
            <w:r>
              <w:rPr>
                <w:b/>
                <w:spacing w:val="5"/>
                <w:sz w:val="18"/>
              </w:rPr>
              <w:t> </w:t>
            </w:r>
            <w:r>
              <w:rPr>
                <w:b/>
                <w:spacing w:val="-2"/>
                <w:sz w:val="18"/>
              </w:rPr>
              <w:t>use,</w:t>
            </w:r>
            <w:r>
              <w:rPr>
                <w:b/>
                <w:spacing w:val="5"/>
                <w:sz w:val="18"/>
              </w:rPr>
              <w:t> </w:t>
            </w:r>
            <w:r>
              <w:rPr>
                <w:b/>
                <w:spacing w:val="-2"/>
                <w:sz w:val="18"/>
              </w:rPr>
              <w:t>summer</w:t>
            </w:r>
          </w:p>
        </w:tc>
        <w:tc>
          <w:tcPr>
            <w:tcW w:w="2281" w:type="dxa"/>
            <w:tcBorders>
              <w:left w:val="nil"/>
              <w:right w:val="nil"/>
            </w:tcBorders>
          </w:tcPr>
          <w:p>
            <w:pPr>
              <w:pStyle w:val="TableParagraph"/>
              <w:spacing w:line="207" w:lineRule="exact"/>
              <w:ind w:left="70" w:right="82"/>
              <w:jc w:val="center"/>
              <w:rPr>
                <w:sz w:val="18"/>
              </w:rPr>
            </w:pPr>
            <w:r>
              <w:rPr>
                <w:spacing w:val="-10"/>
                <w:sz w:val="18"/>
              </w:rPr>
              <w:t>X</w:t>
            </w:r>
          </w:p>
          <w:p>
            <w:pPr>
              <w:pStyle w:val="TableParagraph"/>
              <w:spacing w:before="0"/>
              <w:ind w:left="69" w:right="82"/>
              <w:jc w:val="center"/>
              <w:rPr>
                <w:sz w:val="18"/>
              </w:rPr>
            </w:pPr>
            <w:r>
              <w:rPr>
                <w:sz w:val="18"/>
              </w:rPr>
              <w:t>(Existing</w:t>
            </w:r>
            <w:r>
              <w:rPr>
                <w:spacing w:val="-15"/>
                <w:sz w:val="18"/>
              </w:rPr>
              <w:t> </w:t>
            </w:r>
            <w:r>
              <w:rPr>
                <w:sz w:val="18"/>
              </w:rPr>
              <w:t>mountain</w:t>
            </w:r>
            <w:r>
              <w:rPr>
                <w:spacing w:val="-12"/>
                <w:sz w:val="18"/>
              </w:rPr>
              <w:t> </w:t>
            </w:r>
            <w:r>
              <w:rPr>
                <w:sz w:val="18"/>
              </w:rPr>
              <w:t>bike </w:t>
            </w:r>
            <w:r>
              <w:rPr>
                <w:spacing w:val="-4"/>
                <w:sz w:val="18"/>
              </w:rPr>
              <w:t>use)</w:t>
            </w:r>
          </w:p>
        </w:tc>
        <w:tc>
          <w:tcPr>
            <w:tcW w:w="2084" w:type="dxa"/>
            <w:tcBorders>
              <w:left w:val="nil"/>
            </w:tcBorders>
          </w:tcPr>
          <w:p>
            <w:pPr>
              <w:pStyle w:val="TableParagraph"/>
              <w:spacing w:line="207" w:lineRule="exact"/>
              <w:ind w:left="51"/>
              <w:jc w:val="center"/>
              <w:rPr>
                <w:sz w:val="18"/>
              </w:rPr>
            </w:pPr>
            <w:r>
              <w:rPr>
                <w:spacing w:val="-10"/>
                <w:sz w:val="18"/>
              </w:rPr>
              <w:t>X</w:t>
            </w:r>
          </w:p>
          <w:p>
            <w:pPr>
              <w:pStyle w:val="TableParagraph"/>
              <w:spacing w:before="0"/>
              <w:ind w:left="234" w:right="183" w:firstLine="2"/>
              <w:jc w:val="center"/>
              <w:rPr>
                <w:sz w:val="18"/>
              </w:rPr>
            </w:pPr>
            <w:r>
              <w:rPr>
                <w:sz w:val="18"/>
              </w:rPr>
              <w:t>(New or additional types</w:t>
            </w:r>
            <w:r>
              <w:rPr>
                <w:spacing w:val="-15"/>
                <w:sz w:val="18"/>
              </w:rPr>
              <w:t> </w:t>
            </w:r>
            <w:r>
              <w:rPr>
                <w:sz w:val="18"/>
              </w:rPr>
              <w:t>of</w:t>
            </w:r>
            <w:r>
              <w:rPr>
                <w:spacing w:val="-12"/>
                <w:sz w:val="18"/>
              </w:rPr>
              <w:t> </w:t>
            </w:r>
            <w:r>
              <w:rPr>
                <w:sz w:val="18"/>
              </w:rPr>
              <w:t>mechanized </w:t>
            </w:r>
            <w:r>
              <w:rPr>
                <w:spacing w:val="-2"/>
                <w:sz w:val="18"/>
              </w:rPr>
              <w:t>uses)</w:t>
            </w:r>
          </w:p>
        </w:tc>
      </w:tr>
      <w:tr>
        <w:trPr>
          <w:trHeight w:val="287" w:hRule="atLeast"/>
        </w:trPr>
        <w:tc>
          <w:tcPr>
            <w:tcW w:w="4185" w:type="dxa"/>
            <w:tcBorders>
              <w:right w:val="nil"/>
            </w:tcBorders>
          </w:tcPr>
          <w:p>
            <w:pPr>
              <w:pStyle w:val="TableParagraph"/>
              <w:spacing w:before="42"/>
              <w:ind w:left="107"/>
              <w:rPr>
                <w:b/>
                <w:sz w:val="18"/>
              </w:rPr>
            </w:pPr>
            <w:r>
              <w:rPr>
                <w:b/>
                <w:sz w:val="18"/>
              </w:rPr>
              <w:t>Minerals,</w:t>
            </w:r>
            <w:r>
              <w:rPr>
                <w:b/>
                <w:spacing w:val="-5"/>
                <w:sz w:val="18"/>
              </w:rPr>
              <w:t> </w:t>
            </w:r>
            <w:r>
              <w:rPr>
                <w:b/>
                <w:sz w:val="18"/>
              </w:rPr>
              <w:t>leasable</w:t>
            </w:r>
            <w:r>
              <w:rPr>
                <w:b/>
                <w:spacing w:val="-3"/>
                <w:sz w:val="18"/>
              </w:rPr>
              <w:t> </w:t>
            </w:r>
            <w:r>
              <w:rPr>
                <w:b/>
                <w:sz w:val="18"/>
              </w:rPr>
              <w:t>–</w:t>
            </w:r>
            <w:r>
              <w:rPr>
                <w:b/>
                <w:spacing w:val="-6"/>
                <w:sz w:val="18"/>
              </w:rPr>
              <w:t> </w:t>
            </w:r>
            <w:r>
              <w:rPr>
                <w:b/>
                <w:sz w:val="18"/>
              </w:rPr>
              <w:t>surface</w:t>
            </w:r>
            <w:r>
              <w:rPr>
                <w:b/>
                <w:spacing w:val="-6"/>
                <w:sz w:val="18"/>
              </w:rPr>
              <w:t> </w:t>
            </w:r>
            <w:r>
              <w:rPr>
                <w:b/>
                <w:spacing w:val="-2"/>
                <w:sz w:val="18"/>
              </w:rPr>
              <w:t>occupancy</w:t>
            </w:r>
          </w:p>
        </w:tc>
        <w:tc>
          <w:tcPr>
            <w:tcW w:w="2281" w:type="dxa"/>
            <w:tcBorders>
              <w:left w:val="nil"/>
              <w:right w:val="nil"/>
            </w:tcBorders>
          </w:tcPr>
          <w:p>
            <w:pPr>
              <w:pStyle w:val="TableParagraph"/>
              <w:spacing w:before="42"/>
              <w:ind w:left="69" w:right="85"/>
              <w:jc w:val="center"/>
              <w:rPr>
                <w:sz w:val="18"/>
              </w:rPr>
            </w:pPr>
            <w:r>
              <w:rPr>
                <w:spacing w:val="-5"/>
                <w:sz w:val="18"/>
              </w:rPr>
              <w:t>X*</w:t>
            </w:r>
          </w:p>
        </w:tc>
        <w:tc>
          <w:tcPr>
            <w:tcW w:w="2084" w:type="dxa"/>
            <w:tcBorders>
              <w:left w:val="nil"/>
            </w:tcBorders>
          </w:tcPr>
          <w:p>
            <w:pPr>
              <w:pStyle w:val="TableParagraph"/>
              <w:spacing w:before="0"/>
              <w:rPr>
                <w:rFonts w:ascii="Times New Roman"/>
                <w:sz w:val="20"/>
              </w:rPr>
            </w:pPr>
          </w:p>
        </w:tc>
      </w:tr>
      <w:tr>
        <w:trPr>
          <w:trHeight w:val="287" w:hRule="atLeast"/>
        </w:trPr>
        <w:tc>
          <w:tcPr>
            <w:tcW w:w="4185" w:type="dxa"/>
            <w:tcBorders>
              <w:right w:val="nil"/>
            </w:tcBorders>
          </w:tcPr>
          <w:p>
            <w:pPr>
              <w:pStyle w:val="TableParagraph"/>
              <w:spacing w:before="42"/>
              <w:ind w:left="107"/>
              <w:rPr>
                <w:b/>
                <w:sz w:val="18"/>
              </w:rPr>
            </w:pPr>
            <w:r>
              <w:rPr>
                <w:b/>
                <w:sz w:val="18"/>
              </w:rPr>
              <w:t>Minerals,</w:t>
            </w:r>
            <w:r>
              <w:rPr>
                <w:b/>
                <w:spacing w:val="-10"/>
                <w:sz w:val="18"/>
              </w:rPr>
              <w:t> </w:t>
            </w:r>
            <w:r>
              <w:rPr>
                <w:b/>
                <w:spacing w:val="-2"/>
                <w:sz w:val="18"/>
              </w:rPr>
              <w:t>locatable</w:t>
            </w:r>
          </w:p>
        </w:tc>
        <w:tc>
          <w:tcPr>
            <w:tcW w:w="2281" w:type="dxa"/>
            <w:tcBorders>
              <w:left w:val="nil"/>
              <w:right w:val="nil"/>
            </w:tcBorders>
          </w:tcPr>
          <w:p>
            <w:pPr>
              <w:pStyle w:val="TableParagraph"/>
              <w:spacing w:before="42"/>
              <w:ind w:left="70" w:right="82"/>
              <w:jc w:val="center"/>
              <w:rPr>
                <w:sz w:val="18"/>
              </w:rPr>
            </w:pPr>
            <w:r>
              <w:rPr>
                <w:spacing w:val="-10"/>
                <w:sz w:val="18"/>
              </w:rPr>
              <w:t>X</w:t>
            </w:r>
          </w:p>
        </w:tc>
        <w:tc>
          <w:tcPr>
            <w:tcW w:w="2084" w:type="dxa"/>
            <w:tcBorders>
              <w:left w:val="nil"/>
            </w:tcBorders>
          </w:tcPr>
          <w:p>
            <w:pPr>
              <w:pStyle w:val="TableParagraph"/>
              <w:spacing w:before="0"/>
              <w:rPr>
                <w:rFonts w:ascii="Times New Roman"/>
                <w:sz w:val="20"/>
              </w:rPr>
            </w:pPr>
          </w:p>
        </w:tc>
      </w:tr>
    </w:tbl>
    <w:p>
      <w:pPr>
        <w:pStyle w:val="TableParagraph"/>
        <w:spacing w:after="0"/>
        <w:rPr>
          <w:rFonts w:ascii="Times New Roman"/>
          <w:sz w:val="20"/>
        </w:rPr>
        <w:sectPr>
          <w:pgSz w:w="12240" w:h="15840"/>
          <w:pgMar w:header="725" w:footer="891" w:top="1340" w:bottom="1080" w:left="1080" w:right="1080"/>
        </w:sectPr>
      </w:pPr>
    </w:p>
    <w:p>
      <w:pPr>
        <w:pStyle w:val="BodyText"/>
        <w:spacing w:before="3"/>
        <w:rPr>
          <w:rFonts w:ascii="Arial"/>
          <w:b/>
          <w:sz w:val="7"/>
        </w:rPr>
      </w:pPr>
    </w:p>
    <w:tbl>
      <w:tblPr>
        <w:tblW w:w="0" w:type="auto"/>
        <w:jc w:val="left"/>
        <w:tblInd w:w="117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330"/>
        <w:gridCol w:w="1973"/>
        <w:gridCol w:w="2245"/>
      </w:tblGrid>
      <w:tr>
        <w:trPr>
          <w:trHeight w:val="287" w:hRule="atLeast"/>
        </w:trPr>
        <w:tc>
          <w:tcPr>
            <w:tcW w:w="4330" w:type="dxa"/>
            <w:tcBorders>
              <w:right w:val="nil"/>
            </w:tcBorders>
            <w:shd w:val="clear" w:color="auto" w:fill="D5E2BB"/>
          </w:tcPr>
          <w:p>
            <w:pPr>
              <w:pStyle w:val="TableParagraph"/>
              <w:ind w:right="189"/>
              <w:jc w:val="center"/>
              <w:rPr>
                <w:b/>
                <w:sz w:val="18"/>
              </w:rPr>
            </w:pPr>
            <w:r>
              <w:rPr>
                <w:b/>
                <w:sz w:val="18"/>
              </w:rPr>
              <w:t>Activity</w:t>
            </w:r>
            <w:r>
              <w:rPr>
                <w:b/>
                <w:spacing w:val="-6"/>
                <w:sz w:val="18"/>
              </w:rPr>
              <w:t> </w:t>
            </w:r>
            <w:r>
              <w:rPr>
                <w:b/>
                <w:sz w:val="18"/>
              </w:rPr>
              <w:t>or</w:t>
            </w:r>
            <w:r>
              <w:rPr>
                <w:b/>
                <w:spacing w:val="-1"/>
                <w:sz w:val="18"/>
              </w:rPr>
              <w:t> </w:t>
            </w:r>
            <w:r>
              <w:rPr>
                <w:b/>
                <w:spacing w:val="-5"/>
                <w:sz w:val="18"/>
              </w:rPr>
              <w:t>use</w:t>
            </w:r>
          </w:p>
        </w:tc>
        <w:tc>
          <w:tcPr>
            <w:tcW w:w="1973" w:type="dxa"/>
            <w:tcBorders>
              <w:left w:val="nil"/>
              <w:right w:val="nil"/>
            </w:tcBorders>
            <w:shd w:val="clear" w:color="auto" w:fill="D5E2BB"/>
          </w:tcPr>
          <w:p>
            <w:pPr>
              <w:pStyle w:val="TableParagraph"/>
              <w:ind w:left="5"/>
              <w:jc w:val="center"/>
              <w:rPr>
                <w:b/>
                <w:sz w:val="18"/>
              </w:rPr>
            </w:pPr>
            <w:r>
              <w:rPr>
                <w:b/>
                <w:sz w:val="18"/>
              </w:rPr>
              <w:t>May</w:t>
            </w:r>
            <w:r>
              <w:rPr>
                <w:b/>
                <w:spacing w:val="-9"/>
                <w:sz w:val="18"/>
              </w:rPr>
              <w:t> </w:t>
            </w:r>
            <w:r>
              <w:rPr>
                <w:b/>
                <w:spacing w:val="-2"/>
                <w:sz w:val="18"/>
              </w:rPr>
              <w:t>authorize</w:t>
            </w:r>
          </w:p>
        </w:tc>
        <w:tc>
          <w:tcPr>
            <w:tcW w:w="2245" w:type="dxa"/>
            <w:tcBorders>
              <w:left w:val="nil"/>
            </w:tcBorders>
            <w:shd w:val="clear" w:color="auto" w:fill="D5E2BB"/>
          </w:tcPr>
          <w:p>
            <w:pPr>
              <w:pStyle w:val="TableParagraph"/>
              <w:ind w:left="318" w:right="105"/>
              <w:jc w:val="center"/>
              <w:rPr>
                <w:b/>
                <w:sz w:val="18"/>
              </w:rPr>
            </w:pPr>
            <w:r>
              <w:rPr>
                <w:b/>
                <w:sz w:val="18"/>
              </w:rPr>
              <w:t>May</w:t>
            </w:r>
            <w:r>
              <w:rPr>
                <w:b/>
                <w:spacing w:val="-9"/>
                <w:sz w:val="18"/>
              </w:rPr>
              <w:t> </w:t>
            </w:r>
            <w:r>
              <w:rPr>
                <w:b/>
                <w:sz w:val="18"/>
              </w:rPr>
              <w:t>not</w:t>
            </w:r>
            <w:r>
              <w:rPr>
                <w:b/>
                <w:spacing w:val="-2"/>
                <w:sz w:val="18"/>
              </w:rPr>
              <w:t> authorize</w:t>
            </w:r>
          </w:p>
        </w:tc>
      </w:tr>
      <w:tr>
        <w:trPr>
          <w:trHeight w:val="313" w:hRule="atLeast"/>
        </w:trPr>
        <w:tc>
          <w:tcPr>
            <w:tcW w:w="4330" w:type="dxa"/>
            <w:tcBorders>
              <w:right w:val="nil"/>
            </w:tcBorders>
          </w:tcPr>
          <w:p>
            <w:pPr>
              <w:pStyle w:val="TableParagraph"/>
              <w:ind w:left="107"/>
              <w:rPr>
                <w:b/>
                <w:sz w:val="18"/>
              </w:rPr>
            </w:pPr>
            <w:r>
              <w:rPr>
                <w:b/>
                <w:sz w:val="18"/>
              </w:rPr>
              <w:t>Minerals,</w:t>
            </w:r>
            <w:r>
              <w:rPr>
                <w:b/>
                <w:spacing w:val="-9"/>
                <w:sz w:val="18"/>
              </w:rPr>
              <w:t> </w:t>
            </w:r>
            <w:r>
              <w:rPr>
                <w:b/>
                <w:spacing w:val="-2"/>
                <w:sz w:val="18"/>
              </w:rPr>
              <w:t>salable</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8" w:right="107"/>
              <w:jc w:val="center"/>
              <w:rPr>
                <w:sz w:val="18"/>
              </w:rPr>
            </w:pPr>
            <w:r>
              <w:rPr>
                <w:spacing w:val="-10"/>
                <w:sz w:val="18"/>
              </w:rPr>
              <w:t>X</w:t>
            </w:r>
          </w:p>
        </w:tc>
      </w:tr>
      <w:tr>
        <w:trPr>
          <w:trHeight w:val="493" w:hRule="atLeast"/>
        </w:trPr>
        <w:tc>
          <w:tcPr>
            <w:tcW w:w="4330" w:type="dxa"/>
            <w:tcBorders>
              <w:right w:val="nil"/>
            </w:tcBorders>
          </w:tcPr>
          <w:p>
            <w:pPr>
              <w:pStyle w:val="TableParagraph"/>
              <w:ind w:left="107" w:right="69"/>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summer,</w:t>
            </w:r>
            <w:r>
              <w:rPr>
                <w:b/>
                <w:spacing w:val="-8"/>
                <w:sz w:val="18"/>
              </w:rPr>
              <w:t> </w:t>
            </w:r>
            <w:r>
              <w:rPr>
                <w:b/>
                <w:sz w:val="18"/>
              </w:rPr>
              <w:t>trails</w:t>
            </w:r>
            <w:r>
              <w:rPr>
                <w:b/>
                <w:spacing w:val="-8"/>
                <w:sz w:val="18"/>
              </w:rPr>
              <w:t> </w:t>
            </w:r>
            <w:r>
              <w:rPr>
                <w:b/>
                <w:sz w:val="18"/>
              </w:rPr>
              <w:t>or play</w:t>
            </w:r>
            <w:r>
              <w:rPr>
                <w:b/>
                <w:spacing w:val="-5"/>
                <w:sz w:val="18"/>
              </w:rPr>
              <w:t> </w:t>
            </w:r>
            <w:r>
              <w:rPr>
                <w:b/>
                <w:sz w:val="18"/>
              </w:rPr>
              <w:t>areas</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8" w:right="102"/>
              <w:jc w:val="center"/>
              <w:rPr>
                <w:sz w:val="18"/>
              </w:rPr>
            </w:pPr>
            <w:r>
              <w:rPr>
                <w:spacing w:val="-10"/>
                <w:sz w:val="18"/>
              </w:rPr>
              <w:t>X</w:t>
            </w:r>
          </w:p>
        </w:tc>
      </w:tr>
      <w:tr>
        <w:trPr>
          <w:trHeight w:val="493" w:hRule="atLeast"/>
        </w:trPr>
        <w:tc>
          <w:tcPr>
            <w:tcW w:w="4330" w:type="dxa"/>
            <w:tcBorders>
              <w:right w:val="nil"/>
            </w:tcBorders>
          </w:tcPr>
          <w:p>
            <w:pPr>
              <w:pStyle w:val="TableParagraph"/>
              <w:ind w:left="107" w:right="537"/>
              <w:rPr>
                <w:b/>
                <w:sz w:val="18"/>
              </w:rPr>
            </w:pPr>
            <w:r>
              <w:rPr>
                <w:b/>
                <w:sz w:val="18"/>
              </w:rPr>
              <w:t>Motorized</w:t>
            </w:r>
            <w:r>
              <w:rPr>
                <w:b/>
                <w:spacing w:val="-7"/>
                <w:sz w:val="18"/>
              </w:rPr>
              <w:t> </w:t>
            </w:r>
            <w:r>
              <w:rPr>
                <w:b/>
                <w:sz w:val="18"/>
              </w:rPr>
              <w:t>recreational</w:t>
            </w:r>
            <w:r>
              <w:rPr>
                <w:b/>
                <w:spacing w:val="-7"/>
                <w:sz w:val="18"/>
              </w:rPr>
              <w:t> </w:t>
            </w:r>
            <w:r>
              <w:rPr>
                <w:b/>
                <w:sz w:val="18"/>
              </w:rPr>
              <w:t>use,</w:t>
            </w:r>
            <w:r>
              <w:rPr>
                <w:b/>
                <w:spacing w:val="-8"/>
                <w:sz w:val="18"/>
              </w:rPr>
              <w:t> </w:t>
            </w:r>
            <w:r>
              <w:rPr>
                <w:b/>
                <w:sz w:val="18"/>
              </w:rPr>
              <w:t>winter,</w:t>
            </w:r>
            <w:r>
              <w:rPr>
                <w:b/>
                <w:spacing w:val="-7"/>
                <w:sz w:val="18"/>
              </w:rPr>
              <w:t> </w:t>
            </w:r>
            <w:r>
              <w:rPr>
                <w:b/>
                <w:sz w:val="18"/>
              </w:rPr>
              <w:t>trails</w:t>
            </w:r>
            <w:r>
              <w:rPr>
                <w:b/>
                <w:spacing w:val="-8"/>
                <w:sz w:val="18"/>
              </w:rPr>
              <w:t> </w:t>
            </w:r>
            <w:r>
              <w:rPr>
                <w:b/>
                <w:sz w:val="18"/>
              </w:rPr>
              <w:t>or </w:t>
            </w:r>
            <w:r>
              <w:rPr>
                <w:b/>
                <w:spacing w:val="-2"/>
                <w:sz w:val="18"/>
              </w:rPr>
              <w:t>cross-country</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9" w:right="102"/>
              <w:jc w:val="center"/>
              <w:rPr>
                <w:sz w:val="18"/>
              </w:rPr>
            </w:pPr>
            <w:r>
              <w:rPr>
                <w:spacing w:val="-10"/>
                <w:sz w:val="18"/>
              </w:rPr>
              <w:t>X</w:t>
            </w:r>
          </w:p>
        </w:tc>
      </w:tr>
      <w:tr>
        <w:trPr>
          <w:trHeight w:val="287" w:hRule="atLeast"/>
        </w:trPr>
        <w:tc>
          <w:tcPr>
            <w:tcW w:w="433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4"/>
                <w:sz w:val="18"/>
              </w:rPr>
              <w:t> </w:t>
            </w:r>
            <w:r>
              <w:rPr>
                <w:b/>
                <w:spacing w:val="-2"/>
                <w:sz w:val="18"/>
              </w:rPr>
              <w:t>summer</w:t>
            </w:r>
          </w:p>
        </w:tc>
        <w:tc>
          <w:tcPr>
            <w:tcW w:w="1973" w:type="dxa"/>
            <w:tcBorders>
              <w:left w:val="nil"/>
              <w:right w:val="nil"/>
            </w:tcBorders>
          </w:tcPr>
          <w:p>
            <w:pPr>
              <w:pStyle w:val="TableParagraph"/>
              <w:ind w:left="5" w:right="2"/>
              <w:jc w:val="center"/>
              <w:rPr>
                <w:sz w:val="18"/>
              </w:rPr>
            </w:pPr>
            <w:r>
              <w:rPr>
                <w:spacing w:val="-10"/>
                <w:sz w:val="18"/>
              </w:rPr>
              <w:t>X</w:t>
            </w:r>
          </w:p>
        </w:tc>
        <w:tc>
          <w:tcPr>
            <w:tcW w:w="2245" w:type="dxa"/>
            <w:tcBorders>
              <w:left w:val="nil"/>
            </w:tcBorders>
          </w:tcPr>
          <w:p>
            <w:pPr>
              <w:pStyle w:val="TableParagraph"/>
              <w:spacing w:before="0"/>
              <w:rPr>
                <w:rFonts w:ascii="Times New Roman"/>
                <w:sz w:val="16"/>
              </w:rPr>
            </w:pPr>
          </w:p>
        </w:tc>
      </w:tr>
      <w:tr>
        <w:trPr>
          <w:trHeight w:val="287" w:hRule="atLeast"/>
        </w:trPr>
        <w:tc>
          <w:tcPr>
            <w:tcW w:w="4330" w:type="dxa"/>
            <w:tcBorders>
              <w:right w:val="nil"/>
            </w:tcBorders>
          </w:tcPr>
          <w:p>
            <w:pPr>
              <w:pStyle w:val="TableParagraph"/>
              <w:ind w:left="107"/>
              <w:rPr>
                <w:b/>
                <w:sz w:val="18"/>
              </w:rPr>
            </w:pPr>
            <w:r>
              <w:rPr>
                <w:b/>
                <w:sz w:val="18"/>
              </w:rPr>
              <w:t>Non-motorized</w:t>
            </w:r>
            <w:r>
              <w:rPr>
                <w:b/>
                <w:spacing w:val="-5"/>
                <w:sz w:val="18"/>
              </w:rPr>
              <w:t> </w:t>
            </w:r>
            <w:r>
              <w:rPr>
                <w:b/>
                <w:sz w:val="18"/>
              </w:rPr>
              <w:t>recreational</w:t>
            </w:r>
            <w:r>
              <w:rPr>
                <w:b/>
                <w:spacing w:val="-6"/>
                <w:sz w:val="18"/>
              </w:rPr>
              <w:t> </w:t>
            </w:r>
            <w:r>
              <w:rPr>
                <w:b/>
                <w:sz w:val="18"/>
              </w:rPr>
              <w:t>use,</w:t>
            </w:r>
            <w:r>
              <w:rPr>
                <w:b/>
                <w:spacing w:val="-6"/>
                <w:sz w:val="18"/>
              </w:rPr>
              <w:t> </w:t>
            </w:r>
            <w:r>
              <w:rPr>
                <w:b/>
                <w:spacing w:val="-2"/>
                <w:sz w:val="18"/>
              </w:rPr>
              <w:t>winter</w:t>
            </w:r>
          </w:p>
        </w:tc>
        <w:tc>
          <w:tcPr>
            <w:tcW w:w="1973" w:type="dxa"/>
            <w:tcBorders>
              <w:left w:val="nil"/>
              <w:right w:val="nil"/>
            </w:tcBorders>
          </w:tcPr>
          <w:p>
            <w:pPr>
              <w:pStyle w:val="TableParagraph"/>
              <w:ind w:left="5" w:right="2"/>
              <w:jc w:val="center"/>
              <w:rPr>
                <w:sz w:val="18"/>
              </w:rPr>
            </w:pPr>
            <w:r>
              <w:rPr>
                <w:spacing w:val="-10"/>
                <w:sz w:val="18"/>
              </w:rPr>
              <w:t>X</w:t>
            </w:r>
          </w:p>
        </w:tc>
        <w:tc>
          <w:tcPr>
            <w:tcW w:w="2245" w:type="dxa"/>
            <w:tcBorders>
              <w:left w:val="nil"/>
            </w:tcBorders>
          </w:tcPr>
          <w:p>
            <w:pPr>
              <w:pStyle w:val="TableParagraph"/>
              <w:spacing w:before="0"/>
              <w:rPr>
                <w:rFonts w:ascii="Times New Roman"/>
                <w:sz w:val="16"/>
              </w:rPr>
            </w:pPr>
          </w:p>
        </w:tc>
      </w:tr>
      <w:tr>
        <w:trPr>
          <w:trHeight w:val="287" w:hRule="atLeast"/>
        </w:trPr>
        <w:tc>
          <w:tcPr>
            <w:tcW w:w="4330"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permanent</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8" w:right="107"/>
              <w:jc w:val="center"/>
              <w:rPr>
                <w:sz w:val="18"/>
              </w:rPr>
            </w:pPr>
            <w:r>
              <w:rPr>
                <w:spacing w:val="-10"/>
                <w:sz w:val="18"/>
              </w:rPr>
              <w:t>X</w:t>
            </w:r>
          </w:p>
        </w:tc>
      </w:tr>
      <w:tr>
        <w:trPr>
          <w:trHeight w:val="287" w:hRule="atLeast"/>
        </w:trPr>
        <w:tc>
          <w:tcPr>
            <w:tcW w:w="4330" w:type="dxa"/>
            <w:tcBorders>
              <w:right w:val="nil"/>
            </w:tcBorders>
          </w:tcPr>
          <w:p>
            <w:pPr>
              <w:pStyle w:val="TableParagraph"/>
              <w:ind w:left="107"/>
              <w:rPr>
                <w:b/>
                <w:sz w:val="18"/>
              </w:rPr>
            </w:pPr>
            <w:r>
              <w:rPr>
                <w:b/>
                <w:sz w:val="18"/>
              </w:rPr>
              <w:t>Road</w:t>
            </w:r>
            <w:r>
              <w:rPr>
                <w:b/>
                <w:spacing w:val="-4"/>
                <w:sz w:val="18"/>
              </w:rPr>
              <w:t> </w:t>
            </w:r>
            <w:r>
              <w:rPr>
                <w:b/>
                <w:sz w:val="18"/>
              </w:rPr>
              <w:t>construction,</w:t>
            </w:r>
            <w:r>
              <w:rPr>
                <w:b/>
                <w:spacing w:val="-4"/>
                <w:sz w:val="18"/>
              </w:rPr>
              <w:t> </w:t>
            </w:r>
            <w:r>
              <w:rPr>
                <w:b/>
                <w:spacing w:val="-2"/>
                <w:sz w:val="18"/>
              </w:rPr>
              <w:t>temporary</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8" w:right="107"/>
              <w:jc w:val="center"/>
              <w:rPr>
                <w:sz w:val="18"/>
              </w:rPr>
            </w:pPr>
            <w:r>
              <w:rPr>
                <w:spacing w:val="-10"/>
                <w:sz w:val="18"/>
              </w:rPr>
              <w:t>X</w:t>
            </w:r>
          </w:p>
        </w:tc>
      </w:tr>
      <w:tr>
        <w:trPr>
          <w:trHeight w:val="1033" w:hRule="atLeast"/>
        </w:trPr>
        <w:tc>
          <w:tcPr>
            <w:tcW w:w="4330" w:type="dxa"/>
            <w:tcBorders>
              <w:right w:val="nil"/>
            </w:tcBorders>
          </w:tcPr>
          <w:p>
            <w:pPr>
              <w:pStyle w:val="TableParagraph"/>
              <w:ind w:left="107"/>
              <w:rPr>
                <w:b/>
                <w:sz w:val="18"/>
              </w:rPr>
            </w:pPr>
            <w:r>
              <w:rPr>
                <w:b/>
                <w:sz w:val="18"/>
              </w:rPr>
              <w:t>Special</w:t>
            </w:r>
            <w:r>
              <w:rPr>
                <w:b/>
                <w:spacing w:val="-5"/>
                <w:sz w:val="18"/>
              </w:rPr>
              <w:t> </w:t>
            </w:r>
            <w:r>
              <w:rPr>
                <w:b/>
                <w:sz w:val="18"/>
              </w:rPr>
              <w:t>use</w:t>
            </w:r>
            <w:r>
              <w:rPr>
                <w:b/>
                <w:spacing w:val="-4"/>
                <w:sz w:val="18"/>
              </w:rPr>
              <w:t> </w:t>
            </w:r>
            <w:r>
              <w:rPr>
                <w:b/>
                <w:sz w:val="18"/>
              </w:rPr>
              <w:t>permits,</w:t>
            </w:r>
            <w:r>
              <w:rPr>
                <w:b/>
                <w:spacing w:val="-2"/>
                <w:sz w:val="18"/>
              </w:rPr>
              <w:t> </w:t>
            </w:r>
            <w:r>
              <w:rPr>
                <w:b/>
                <w:sz w:val="18"/>
              </w:rPr>
              <w:t>recreational</w:t>
            </w:r>
            <w:r>
              <w:rPr>
                <w:b/>
                <w:spacing w:val="-2"/>
                <w:sz w:val="18"/>
              </w:rPr>
              <w:t> </w:t>
            </w:r>
            <w:r>
              <w:rPr>
                <w:b/>
                <w:sz w:val="18"/>
              </w:rPr>
              <w:t>&amp;</w:t>
            </w:r>
            <w:r>
              <w:rPr>
                <w:b/>
                <w:spacing w:val="-3"/>
                <w:sz w:val="18"/>
              </w:rPr>
              <w:t> </w:t>
            </w:r>
            <w:r>
              <w:rPr>
                <w:b/>
                <w:spacing w:val="-2"/>
                <w:sz w:val="18"/>
              </w:rPr>
              <w:t>research</w:t>
            </w:r>
          </w:p>
        </w:tc>
        <w:tc>
          <w:tcPr>
            <w:tcW w:w="1973" w:type="dxa"/>
            <w:tcBorders>
              <w:left w:val="nil"/>
              <w:right w:val="nil"/>
            </w:tcBorders>
          </w:tcPr>
          <w:p>
            <w:pPr>
              <w:pStyle w:val="TableParagraph"/>
              <w:ind w:left="5" w:right="2"/>
              <w:jc w:val="center"/>
              <w:rPr>
                <w:sz w:val="18"/>
              </w:rPr>
            </w:pPr>
            <w:r>
              <w:rPr>
                <w:spacing w:val="-10"/>
                <w:sz w:val="18"/>
              </w:rPr>
              <w:t>X</w:t>
            </w:r>
          </w:p>
        </w:tc>
        <w:tc>
          <w:tcPr>
            <w:tcW w:w="2245" w:type="dxa"/>
            <w:tcBorders>
              <w:left w:val="nil"/>
            </w:tcBorders>
          </w:tcPr>
          <w:p>
            <w:pPr>
              <w:pStyle w:val="TableParagraph"/>
              <w:spacing w:line="205" w:lineRule="exact" w:before="0"/>
              <w:ind w:left="318" w:right="107"/>
              <w:jc w:val="center"/>
              <w:rPr>
                <w:sz w:val="18"/>
              </w:rPr>
            </w:pPr>
            <w:r>
              <w:rPr>
                <w:spacing w:val="-10"/>
                <w:sz w:val="18"/>
              </w:rPr>
              <w:t>X</w:t>
            </w:r>
          </w:p>
          <w:p>
            <w:pPr>
              <w:pStyle w:val="TableParagraph"/>
              <w:spacing w:before="0"/>
              <w:ind w:left="402" w:right="186" w:hanging="2"/>
              <w:jc w:val="center"/>
              <w:rPr>
                <w:sz w:val="18"/>
              </w:rPr>
            </w:pPr>
            <w:r>
              <w:rPr>
                <w:sz w:val="18"/>
              </w:rPr>
              <w:t>(mechanized or motorized</w:t>
            </w:r>
            <w:r>
              <w:rPr>
                <w:spacing w:val="-13"/>
                <w:sz w:val="18"/>
              </w:rPr>
              <w:t> </w:t>
            </w:r>
            <w:r>
              <w:rPr>
                <w:sz w:val="18"/>
              </w:rPr>
              <w:t>recreation</w:t>
            </w:r>
          </w:p>
          <w:p>
            <w:pPr>
              <w:pStyle w:val="TableParagraph"/>
              <w:spacing w:line="206" w:lineRule="exact" w:before="0"/>
              <w:ind w:left="318" w:right="102"/>
              <w:jc w:val="center"/>
              <w:rPr>
                <w:sz w:val="18"/>
              </w:rPr>
            </w:pPr>
            <w:r>
              <w:rPr>
                <w:sz w:val="18"/>
              </w:rPr>
              <w:t>events</w:t>
            </w:r>
            <w:r>
              <w:rPr>
                <w:spacing w:val="-15"/>
                <w:sz w:val="18"/>
              </w:rPr>
              <w:t> </w:t>
            </w:r>
            <w:r>
              <w:rPr>
                <w:sz w:val="18"/>
              </w:rPr>
              <w:t>or</w:t>
            </w:r>
            <w:r>
              <w:rPr>
                <w:spacing w:val="-12"/>
                <w:sz w:val="18"/>
              </w:rPr>
              <w:t> </w:t>
            </w:r>
            <w:r>
              <w:rPr>
                <w:sz w:val="18"/>
              </w:rPr>
              <w:t>outfitter/ guide permits)</w:t>
            </w:r>
          </w:p>
        </w:tc>
      </w:tr>
      <w:tr>
        <w:trPr>
          <w:trHeight w:val="287" w:hRule="atLeast"/>
        </w:trPr>
        <w:tc>
          <w:tcPr>
            <w:tcW w:w="4330" w:type="dxa"/>
            <w:tcBorders>
              <w:right w:val="nil"/>
            </w:tcBorders>
          </w:tcPr>
          <w:p>
            <w:pPr>
              <w:pStyle w:val="TableParagraph"/>
              <w:ind w:left="107"/>
              <w:rPr>
                <w:b/>
                <w:sz w:val="18"/>
              </w:rPr>
            </w:pPr>
            <w:r>
              <w:rPr>
                <w:b/>
                <w:sz w:val="18"/>
              </w:rPr>
              <w:t>Timber</w:t>
            </w:r>
            <w:r>
              <w:rPr>
                <w:b/>
                <w:spacing w:val="-3"/>
                <w:sz w:val="18"/>
              </w:rPr>
              <w:t> </w:t>
            </w:r>
            <w:r>
              <w:rPr>
                <w:b/>
                <w:sz w:val="18"/>
              </w:rPr>
              <w:t>harvest</w:t>
            </w:r>
            <w:r>
              <w:rPr>
                <w:b/>
                <w:spacing w:val="-2"/>
                <w:sz w:val="18"/>
              </w:rPr>
              <w:t> </w:t>
            </w:r>
            <w:r>
              <w:rPr>
                <w:b/>
                <w:sz w:val="18"/>
              </w:rPr>
              <w:t>as</w:t>
            </w:r>
            <w:r>
              <w:rPr>
                <w:b/>
                <w:spacing w:val="-2"/>
                <w:sz w:val="18"/>
              </w:rPr>
              <w:t> </w:t>
            </w:r>
            <w:r>
              <w:rPr>
                <w:b/>
                <w:sz w:val="18"/>
              </w:rPr>
              <w:t>a</w:t>
            </w:r>
            <w:r>
              <w:rPr>
                <w:b/>
                <w:spacing w:val="-3"/>
                <w:sz w:val="18"/>
              </w:rPr>
              <w:t> </w:t>
            </w:r>
            <w:r>
              <w:rPr>
                <w:b/>
                <w:sz w:val="18"/>
              </w:rPr>
              <w:t>restoration</w:t>
            </w:r>
            <w:r>
              <w:rPr>
                <w:b/>
                <w:spacing w:val="-2"/>
                <w:sz w:val="18"/>
              </w:rPr>
              <w:t> </w:t>
            </w:r>
            <w:r>
              <w:rPr>
                <w:b/>
                <w:spacing w:val="-4"/>
                <w:sz w:val="18"/>
              </w:rPr>
              <w:t>tool</w:t>
            </w:r>
          </w:p>
        </w:tc>
        <w:tc>
          <w:tcPr>
            <w:tcW w:w="1973" w:type="dxa"/>
            <w:tcBorders>
              <w:left w:val="nil"/>
              <w:right w:val="nil"/>
            </w:tcBorders>
          </w:tcPr>
          <w:p>
            <w:pPr>
              <w:pStyle w:val="TableParagraph"/>
              <w:spacing w:before="0"/>
              <w:rPr>
                <w:rFonts w:ascii="Times New Roman"/>
                <w:sz w:val="16"/>
              </w:rPr>
            </w:pPr>
          </w:p>
        </w:tc>
        <w:tc>
          <w:tcPr>
            <w:tcW w:w="2245" w:type="dxa"/>
            <w:tcBorders>
              <w:left w:val="nil"/>
            </w:tcBorders>
          </w:tcPr>
          <w:p>
            <w:pPr>
              <w:pStyle w:val="TableParagraph"/>
              <w:ind w:left="318" w:right="107"/>
              <w:jc w:val="center"/>
              <w:rPr>
                <w:sz w:val="18"/>
              </w:rPr>
            </w:pPr>
            <w:r>
              <w:rPr>
                <w:spacing w:val="-10"/>
                <w:sz w:val="18"/>
              </w:rPr>
              <w:t>X</w:t>
            </w:r>
          </w:p>
        </w:tc>
      </w:tr>
      <w:tr>
        <w:trPr>
          <w:trHeight w:val="287" w:hRule="atLeast"/>
        </w:trPr>
        <w:tc>
          <w:tcPr>
            <w:tcW w:w="4330" w:type="dxa"/>
            <w:tcBorders>
              <w:bottom w:val="single" w:sz="4" w:space="0" w:color="9BBA58"/>
              <w:right w:val="nil"/>
            </w:tcBorders>
          </w:tcPr>
          <w:p>
            <w:pPr>
              <w:pStyle w:val="TableParagraph"/>
              <w:ind w:left="107"/>
              <w:rPr>
                <w:b/>
                <w:sz w:val="18"/>
              </w:rPr>
            </w:pPr>
            <w:r>
              <w:rPr>
                <w:b/>
                <w:sz w:val="18"/>
              </w:rPr>
              <w:t>Timber</w:t>
            </w:r>
            <w:r>
              <w:rPr>
                <w:b/>
                <w:spacing w:val="-4"/>
                <w:sz w:val="18"/>
              </w:rPr>
              <w:t> </w:t>
            </w:r>
            <w:r>
              <w:rPr>
                <w:b/>
                <w:sz w:val="18"/>
              </w:rPr>
              <w:t>harvest,</w:t>
            </w:r>
            <w:r>
              <w:rPr>
                <w:b/>
                <w:spacing w:val="-3"/>
                <w:sz w:val="18"/>
              </w:rPr>
              <w:t> </w:t>
            </w:r>
            <w:r>
              <w:rPr>
                <w:b/>
                <w:sz w:val="18"/>
              </w:rPr>
              <w:t>scheduled</w:t>
            </w:r>
            <w:r>
              <w:rPr>
                <w:b/>
                <w:spacing w:val="-3"/>
                <w:sz w:val="18"/>
              </w:rPr>
              <w:t> </w:t>
            </w:r>
            <w:r>
              <w:rPr>
                <w:b/>
                <w:spacing w:val="-2"/>
                <w:sz w:val="18"/>
              </w:rPr>
              <w:t>production</w:t>
            </w:r>
          </w:p>
        </w:tc>
        <w:tc>
          <w:tcPr>
            <w:tcW w:w="1973" w:type="dxa"/>
            <w:tcBorders>
              <w:left w:val="nil"/>
              <w:bottom w:val="single" w:sz="4" w:space="0" w:color="9BBA58"/>
              <w:right w:val="nil"/>
            </w:tcBorders>
          </w:tcPr>
          <w:p>
            <w:pPr>
              <w:pStyle w:val="TableParagraph"/>
              <w:spacing w:before="0"/>
              <w:rPr>
                <w:rFonts w:ascii="Times New Roman"/>
                <w:sz w:val="16"/>
              </w:rPr>
            </w:pPr>
          </w:p>
        </w:tc>
        <w:tc>
          <w:tcPr>
            <w:tcW w:w="2245" w:type="dxa"/>
            <w:tcBorders>
              <w:left w:val="nil"/>
              <w:bottom w:val="single" w:sz="4" w:space="0" w:color="9BBA58"/>
            </w:tcBorders>
          </w:tcPr>
          <w:p>
            <w:pPr>
              <w:pStyle w:val="TableParagraph"/>
              <w:ind w:left="318" w:right="107"/>
              <w:jc w:val="center"/>
              <w:rPr>
                <w:sz w:val="18"/>
              </w:rPr>
            </w:pPr>
            <w:r>
              <w:rPr>
                <w:spacing w:val="-10"/>
                <w:sz w:val="18"/>
              </w:rPr>
              <w:t>X</w:t>
            </w:r>
          </w:p>
        </w:tc>
      </w:tr>
      <w:tr>
        <w:trPr>
          <w:trHeight w:val="287" w:hRule="atLeast"/>
        </w:trPr>
        <w:tc>
          <w:tcPr>
            <w:tcW w:w="4330" w:type="dxa"/>
            <w:tcBorders>
              <w:top w:val="single" w:sz="4" w:space="0" w:color="9BBA58"/>
              <w:right w:val="nil"/>
            </w:tcBorders>
          </w:tcPr>
          <w:p>
            <w:pPr>
              <w:pStyle w:val="TableParagraph"/>
              <w:ind w:left="107"/>
              <w:rPr>
                <w:b/>
                <w:sz w:val="18"/>
              </w:rPr>
            </w:pPr>
            <w:r>
              <w:rPr>
                <w:b/>
                <w:sz w:val="18"/>
              </w:rPr>
              <w:t>Utility</w:t>
            </w:r>
            <w:r>
              <w:rPr>
                <w:b/>
                <w:spacing w:val="-8"/>
                <w:sz w:val="18"/>
              </w:rPr>
              <w:t> </w:t>
            </w:r>
            <w:r>
              <w:rPr>
                <w:b/>
                <w:spacing w:val="-2"/>
                <w:sz w:val="18"/>
              </w:rPr>
              <w:t>corridors</w:t>
            </w:r>
          </w:p>
        </w:tc>
        <w:tc>
          <w:tcPr>
            <w:tcW w:w="1973" w:type="dxa"/>
            <w:tcBorders>
              <w:top w:val="single" w:sz="4" w:space="0" w:color="9BBA58"/>
              <w:left w:val="nil"/>
              <w:right w:val="nil"/>
            </w:tcBorders>
          </w:tcPr>
          <w:p>
            <w:pPr>
              <w:pStyle w:val="TableParagraph"/>
              <w:spacing w:before="0"/>
              <w:rPr>
                <w:rFonts w:ascii="Times New Roman"/>
                <w:sz w:val="16"/>
              </w:rPr>
            </w:pPr>
          </w:p>
        </w:tc>
        <w:tc>
          <w:tcPr>
            <w:tcW w:w="2245" w:type="dxa"/>
            <w:tcBorders>
              <w:top w:val="single" w:sz="4" w:space="0" w:color="9BBA58"/>
              <w:left w:val="nil"/>
            </w:tcBorders>
          </w:tcPr>
          <w:p>
            <w:pPr>
              <w:pStyle w:val="TableParagraph"/>
              <w:ind w:left="318" w:right="107"/>
              <w:jc w:val="center"/>
              <w:rPr>
                <w:sz w:val="18"/>
              </w:rPr>
            </w:pPr>
            <w:r>
              <w:rPr>
                <w:spacing w:val="-10"/>
                <w:sz w:val="18"/>
              </w:rPr>
              <w:t>X</w:t>
            </w:r>
          </w:p>
        </w:tc>
      </w:tr>
    </w:tbl>
    <w:p>
      <w:pPr>
        <w:spacing w:before="43"/>
        <w:ind w:left="1151" w:right="365" w:firstLine="0"/>
        <w:jc w:val="left"/>
        <w:rPr>
          <w:rFonts w:ascii="Arial"/>
          <w:sz w:val="16"/>
        </w:rPr>
      </w:pPr>
      <w:r>
        <w:rPr>
          <w:rFonts w:ascii="Arial"/>
          <w:sz w:val="16"/>
        </w:rPr>
        <w:t>*Indicates</w:t>
      </w:r>
      <w:r>
        <w:rPr>
          <w:rFonts w:ascii="Arial"/>
          <w:spacing w:val="-3"/>
          <w:sz w:val="16"/>
        </w:rPr>
        <w:t> </w:t>
      </w:r>
      <w:r>
        <w:rPr>
          <w:rFonts w:ascii="Arial"/>
          <w:sz w:val="16"/>
        </w:rPr>
        <w:t>Forest</w:t>
      </w:r>
      <w:r>
        <w:rPr>
          <w:rFonts w:ascii="Arial"/>
          <w:spacing w:val="-3"/>
          <w:sz w:val="16"/>
        </w:rPr>
        <w:t> </w:t>
      </w:r>
      <w:r>
        <w:rPr>
          <w:rFonts w:ascii="Arial"/>
          <w:sz w:val="16"/>
        </w:rPr>
        <w:t>Service</w:t>
      </w:r>
      <w:r>
        <w:rPr>
          <w:rFonts w:ascii="Arial"/>
          <w:spacing w:val="-2"/>
          <w:sz w:val="16"/>
        </w:rPr>
        <w:t> </w:t>
      </w:r>
      <w:r>
        <w:rPr>
          <w:rFonts w:ascii="Arial"/>
          <w:sz w:val="16"/>
        </w:rPr>
        <w:t>has</w:t>
      </w:r>
      <w:r>
        <w:rPr>
          <w:rFonts w:ascii="Arial"/>
          <w:spacing w:val="-3"/>
          <w:sz w:val="16"/>
        </w:rPr>
        <w:t> </w:t>
      </w:r>
      <w:r>
        <w:rPr>
          <w:rFonts w:ascii="Arial"/>
          <w:sz w:val="16"/>
        </w:rPr>
        <w:t>consent authority</w:t>
      </w:r>
      <w:r>
        <w:rPr>
          <w:rFonts w:ascii="Arial"/>
          <w:spacing w:val="-5"/>
          <w:sz w:val="16"/>
        </w:rPr>
        <w:t> </w:t>
      </w:r>
      <w:r>
        <w:rPr>
          <w:rFonts w:ascii="Arial"/>
          <w:sz w:val="16"/>
        </w:rPr>
        <w:t>for</w:t>
      </w:r>
      <w:r>
        <w:rPr>
          <w:rFonts w:ascii="Arial"/>
          <w:spacing w:val="-2"/>
          <w:sz w:val="16"/>
        </w:rPr>
        <w:t> </w:t>
      </w:r>
      <w:r>
        <w:rPr>
          <w:rFonts w:ascii="Arial"/>
          <w:sz w:val="16"/>
        </w:rPr>
        <w:t>Leasable</w:t>
      </w:r>
      <w:r>
        <w:rPr>
          <w:rFonts w:ascii="Arial"/>
          <w:spacing w:val="-7"/>
          <w:sz w:val="16"/>
        </w:rPr>
        <w:t> </w:t>
      </w:r>
      <w:r>
        <w:rPr>
          <w:rFonts w:ascii="Arial"/>
          <w:sz w:val="16"/>
        </w:rPr>
        <w:t>minerals.</w:t>
      </w:r>
      <w:r>
        <w:rPr>
          <w:rFonts w:ascii="Arial"/>
          <w:spacing w:val="-3"/>
          <w:sz w:val="16"/>
        </w:rPr>
        <w:t> </w:t>
      </w:r>
      <w:r>
        <w:rPr>
          <w:rFonts w:ascii="Arial"/>
          <w:sz w:val="16"/>
        </w:rPr>
        <w:t>The</w:t>
      </w:r>
      <w:r>
        <w:rPr>
          <w:rFonts w:ascii="Arial"/>
          <w:spacing w:val="-4"/>
          <w:sz w:val="16"/>
        </w:rPr>
        <w:t> </w:t>
      </w:r>
      <w:r>
        <w:rPr>
          <w:rFonts w:ascii="Arial"/>
          <w:sz w:val="16"/>
        </w:rPr>
        <w:t>Secretary</w:t>
      </w:r>
      <w:r>
        <w:rPr>
          <w:rFonts w:ascii="Arial"/>
          <w:spacing w:val="-2"/>
          <w:sz w:val="16"/>
        </w:rPr>
        <w:t> </w:t>
      </w:r>
      <w:r>
        <w:rPr>
          <w:rFonts w:ascii="Arial"/>
          <w:sz w:val="16"/>
        </w:rPr>
        <w:t>of</w:t>
      </w:r>
      <w:r>
        <w:rPr>
          <w:rFonts w:ascii="Arial"/>
          <w:spacing w:val="-3"/>
          <w:sz w:val="16"/>
        </w:rPr>
        <w:t> </w:t>
      </w:r>
      <w:r>
        <w:rPr>
          <w:rFonts w:ascii="Arial"/>
          <w:sz w:val="16"/>
        </w:rPr>
        <w:t>Interior</w:t>
      </w:r>
      <w:r>
        <w:rPr>
          <w:rFonts w:ascii="Arial"/>
          <w:spacing w:val="-2"/>
          <w:sz w:val="16"/>
        </w:rPr>
        <w:t> </w:t>
      </w:r>
      <w:r>
        <w:rPr>
          <w:rFonts w:ascii="Arial"/>
          <w:sz w:val="16"/>
        </w:rPr>
        <w:t>holds authority</w:t>
      </w:r>
      <w:r>
        <w:rPr>
          <w:rFonts w:ascii="Arial"/>
          <w:spacing w:val="-2"/>
          <w:sz w:val="16"/>
        </w:rPr>
        <w:t> </w:t>
      </w:r>
      <w:r>
        <w:rPr>
          <w:rFonts w:ascii="Arial"/>
          <w:sz w:val="16"/>
        </w:rPr>
        <w:t>to</w:t>
      </w:r>
      <w:r>
        <w:rPr>
          <w:rFonts w:ascii="Arial"/>
          <w:spacing w:val="-4"/>
          <w:sz w:val="16"/>
        </w:rPr>
        <w:t> </w:t>
      </w:r>
      <w:r>
        <w:rPr>
          <w:rFonts w:ascii="Arial"/>
          <w:sz w:val="16"/>
        </w:rPr>
        <w:t>issue permits and leases.</w:t>
      </w:r>
    </w:p>
    <w:p>
      <w:pPr>
        <w:spacing w:after="0"/>
        <w:jc w:val="left"/>
        <w:rPr>
          <w:rFonts w:ascii="Arial"/>
          <w:sz w:val="16"/>
        </w:rPr>
        <w:sectPr>
          <w:pgSz w:w="12240" w:h="15840"/>
          <w:pgMar w:header="725" w:footer="891" w:top="1340" w:bottom="1080" w:left="1080" w:right="108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96"/>
        <w:rPr>
          <w:rFonts w:ascii="Arial"/>
        </w:rPr>
      </w:pPr>
    </w:p>
    <w:p>
      <w:pPr>
        <w:pStyle w:val="BodyText"/>
        <w:ind w:left="3194"/>
      </w:pPr>
      <w:r>
        <w:rPr/>
        <w:t>This</w:t>
      </w:r>
      <w:r>
        <w:rPr>
          <w:spacing w:val="-8"/>
        </w:rPr>
        <w:t> </w:t>
      </w:r>
      <w:r>
        <w:rPr/>
        <w:t>page</w:t>
      </w:r>
      <w:r>
        <w:rPr>
          <w:spacing w:val="-7"/>
        </w:rPr>
        <w:t> </w:t>
      </w:r>
      <w:r>
        <w:rPr/>
        <w:t>intentionally</w:t>
      </w:r>
      <w:r>
        <w:rPr>
          <w:spacing w:val="-7"/>
        </w:rPr>
        <w:t> </w:t>
      </w:r>
      <w:r>
        <w:rPr/>
        <w:t>left</w:t>
      </w:r>
      <w:r>
        <w:rPr>
          <w:spacing w:val="-9"/>
        </w:rPr>
        <w:t> </w:t>
      </w:r>
      <w:r>
        <w:rPr>
          <w:spacing w:val="-2"/>
        </w:rPr>
        <w:t>blank</w:t>
      </w:r>
    </w:p>
    <w:p>
      <w:pPr>
        <w:pStyle w:val="BodyText"/>
        <w:spacing w:after="0"/>
        <w:sectPr>
          <w:pgSz w:w="12240" w:h="15840"/>
          <w:pgMar w:header="725" w:footer="891" w:top="1340" w:bottom="1080" w:left="1080" w:right="1080"/>
        </w:sectPr>
      </w:pPr>
    </w:p>
    <w:p>
      <w:pPr>
        <w:pStyle w:val="BodyText"/>
        <w:spacing w:before="4"/>
        <w:rPr>
          <w:sz w:val="36"/>
        </w:rPr>
      </w:pPr>
    </w:p>
    <w:p>
      <w:pPr>
        <w:pStyle w:val="Heading1"/>
        <w:tabs>
          <w:tab w:pos="9748" w:val="left" w:leader="none"/>
        </w:tabs>
        <w:ind w:left="1151"/>
      </w:pPr>
      <w:bookmarkStart w:name="Chapter 4" w:id="914"/>
      <w:bookmarkEnd w:id="914"/>
      <w:r>
        <w:rPr>
          <w:b w:val="0"/>
        </w:rPr>
      </w:r>
      <w:bookmarkStart w:name="_bookmark273" w:id="915"/>
      <w:bookmarkEnd w:id="915"/>
      <w:r>
        <w:rPr>
          <w:b w:val="0"/>
        </w:rPr>
      </w:r>
      <w:r>
        <w:rPr>
          <w:color w:val="475824"/>
          <w:shd w:fill="C2D59B" w:color="auto" w:val="clear"/>
        </w:rPr>
        <w:t>Chapter</w:t>
      </w:r>
      <w:r>
        <w:rPr>
          <w:color w:val="475824"/>
          <w:spacing w:val="-9"/>
          <w:shd w:fill="C2D59B" w:color="auto" w:val="clear"/>
        </w:rPr>
        <w:t> </w:t>
      </w:r>
      <w:r>
        <w:rPr>
          <w:color w:val="475824"/>
          <w:spacing w:val="-10"/>
          <w:shd w:fill="C2D59B" w:color="auto" w:val="clear"/>
        </w:rPr>
        <w:t>4</w:t>
      </w:r>
      <w:r>
        <w:rPr>
          <w:color w:val="475824"/>
          <w:shd w:fill="C2D59B" w:color="auto" w:val="clear"/>
        </w:rPr>
        <w:tab/>
      </w:r>
    </w:p>
    <w:p>
      <w:pPr>
        <w:pStyle w:val="Heading2"/>
        <w:spacing w:before="238"/>
        <w:ind w:left="1151"/>
      </w:pPr>
      <w:bookmarkStart w:name="Monitoring" w:id="916"/>
      <w:bookmarkEnd w:id="916"/>
      <w:r>
        <w:rPr/>
      </w:r>
      <w:bookmarkStart w:name="_bookmark274" w:id="917"/>
      <w:bookmarkEnd w:id="917"/>
      <w:r>
        <w:rPr/>
      </w:r>
      <w:r>
        <w:rPr>
          <w:smallCaps/>
          <w:color w:val="475824"/>
          <w:spacing w:val="-2"/>
        </w:rPr>
        <w:t>Monitoring</w:t>
      </w:r>
    </w:p>
    <w:p>
      <w:pPr>
        <w:pStyle w:val="Heading3"/>
        <w:spacing w:before="243"/>
      </w:pPr>
      <w:bookmarkStart w:name="Introduction" w:id="918"/>
      <w:bookmarkEnd w:id="918"/>
      <w:r>
        <w:rPr>
          <w:b w:val="0"/>
        </w:rPr>
      </w:r>
      <w:bookmarkStart w:name="_bookmark275" w:id="919"/>
      <w:bookmarkEnd w:id="919"/>
      <w:r>
        <w:rPr>
          <w:b w:val="0"/>
        </w:rPr>
      </w:r>
      <w:r>
        <w:rPr>
          <w:smallCaps/>
          <w:color w:val="475824"/>
          <w:spacing w:val="-2"/>
        </w:rPr>
        <w:t>Introduction</w:t>
      </w:r>
    </w:p>
    <w:p>
      <w:pPr>
        <w:pStyle w:val="BodyText"/>
        <w:spacing w:line="232" w:lineRule="auto" w:before="64"/>
        <w:ind w:left="1151" w:right="361"/>
      </w:pPr>
      <w:r>
        <w:rPr/>
        <w:t>Monitoring includes testing assumptions, tracking changes, and measuring management effectiveness and progress toward achieving or maintaining the plan’s desired conditions or objectives. Monitoring information should enable the Forest to determine if a change in plan components</w:t>
      </w:r>
      <w:r>
        <w:rPr>
          <w:spacing w:val="-1"/>
        </w:rPr>
        <w:t> </w:t>
      </w:r>
      <w:r>
        <w:rPr/>
        <w:t>or</w:t>
      </w:r>
      <w:r>
        <w:rPr>
          <w:spacing w:val="-1"/>
        </w:rPr>
        <w:t> </w:t>
      </w:r>
      <w:r>
        <w:rPr/>
        <w:t>other plan</w:t>
      </w:r>
      <w:r>
        <w:rPr>
          <w:spacing w:val="-2"/>
        </w:rPr>
        <w:t> </w:t>
      </w:r>
      <w:r>
        <w:rPr/>
        <w:t>management guidance</w:t>
      </w:r>
      <w:r>
        <w:rPr>
          <w:spacing w:val="-1"/>
        </w:rPr>
        <w:t> </w:t>
      </w:r>
      <w:r>
        <w:rPr/>
        <w:t>may be needed, forming a basis for continual improvement and adaptive management. The plan monitoring program identifies the monitoring questions and associated indicators for monitoring the plan. The monitoring program</w:t>
      </w:r>
      <w:r>
        <w:rPr>
          <w:spacing w:val="-4"/>
        </w:rPr>
        <w:t> </w:t>
      </w:r>
      <w:r>
        <w:rPr/>
        <w:t>consists</w:t>
      </w:r>
      <w:r>
        <w:rPr>
          <w:spacing w:val="-7"/>
        </w:rPr>
        <w:t> </w:t>
      </w:r>
      <w:r>
        <w:rPr/>
        <w:t>of</w:t>
      </w:r>
      <w:r>
        <w:rPr>
          <w:spacing w:val="-5"/>
        </w:rPr>
        <w:t> </w:t>
      </w:r>
      <w:r>
        <w:rPr/>
        <w:t>a</w:t>
      </w:r>
      <w:r>
        <w:rPr>
          <w:spacing w:val="-7"/>
        </w:rPr>
        <w:t> </w:t>
      </w:r>
      <w:r>
        <w:rPr/>
        <w:t>set</w:t>
      </w:r>
      <w:r>
        <w:rPr>
          <w:spacing w:val="-7"/>
        </w:rPr>
        <w:t> </w:t>
      </w:r>
      <w:r>
        <w:rPr/>
        <w:t>of</w:t>
      </w:r>
      <w:r>
        <w:rPr>
          <w:spacing w:val="-7"/>
        </w:rPr>
        <w:t> </w:t>
      </w:r>
      <w:r>
        <w:rPr/>
        <w:t>monitoring</w:t>
      </w:r>
      <w:r>
        <w:rPr>
          <w:spacing w:val="-6"/>
        </w:rPr>
        <w:t> </w:t>
      </w:r>
      <w:r>
        <w:rPr/>
        <w:t>questions</w:t>
      </w:r>
      <w:r>
        <w:rPr>
          <w:spacing w:val="-7"/>
        </w:rPr>
        <w:t> </w:t>
      </w:r>
      <w:r>
        <w:rPr/>
        <w:t>and</w:t>
      </w:r>
      <w:r>
        <w:rPr>
          <w:spacing w:val="-8"/>
        </w:rPr>
        <w:t> </w:t>
      </w:r>
      <w:r>
        <w:rPr/>
        <w:t>associated</w:t>
      </w:r>
      <w:r>
        <w:rPr>
          <w:spacing w:val="-6"/>
        </w:rPr>
        <w:t> </w:t>
      </w:r>
      <w:r>
        <w:rPr/>
        <w:t>indicators</w:t>
      </w:r>
      <w:r>
        <w:rPr>
          <w:spacing w:val="-7"/>
        </w:rPr>
        <w:t> </w:t>
      </w:r>
      <w:r>
        <w:rPr/>
        <w:t>to</w:t>
      </w:r>
      <w:r>
        <w:rPr>
          <w:spacing w:val="-6"/>
        </w:rPr>
        <w:t> </w:t>
      </w:r>
      <w:r>
        <w:rPr/>
        <w:t>evaluate</w:t>
      </w:r>
      <w:r>
        <w:rPr>
          <w:spacing w:val="-4"/>
        </w:rPr>
        <w:t> </w:t>
      </w:r>
      <w:r>
        <w:rPr/>
        <w:t>whether plan components are effective and appropriate and whether management is effective in maintaining or achieving progress toward desired conditions and objectives for the plan area.</w:t>
      </w:r>
    </w:p>
    <w:p>
      <w:pPr>
        <w:pStyle w:val="BodyText"/>
        <w:spacing w:line="232" w:lineRule="auto" w:before="197"/>
        <w:ind w:left="1151" w:right="405"/>
      </w:pPr>
      <w:r>
        <w:rPr/>
        <w:t>The</w:t>
      </w:r>
      <w:r>
        <w:rPr>
          <w:spacing w:val="-8"/>
        </w:rPr>
        <w:t> </w:t>
      </w:r>
      <w:r>
        <w:rPr/>
        <w:t>monitoring</w:t>
      </w:r>
      <w:r>
        <w:rPr>
          <w:spacing w:val="-7"/>
        </w:rPr>
        <w:t> </w:t>
      </w:r>
      <w:r>
        <w:rPr/>
        <w:t>program</w:t>
      </w:r>
      <w:r>
        <w:rPr>
          <w:spacing w:val="-7"/>
        </w:rPr>
        <w:t> </w:t>
      </w:r>
      <w:r>
        <w:rPr/>
        <w:t>uses</w:t>
      </w:r>
      <w:r>
        <w:rPr>
          <w:spacing w:val="-6"/>
        </w:rPr>
        <w:t> </w:t>
      </w:r>
      <w:r>
        <w:rPr/>
        <w:t>two</w:t>
      </w:r>
      <w:r>
        <w:rPr>
          <w:spacing w:val="-7"/>
        </w:rPr>
        <w:t> </w:t>
      </w:r>
      <w:r>
        <w:rPr/>
        <w:t>monitoring</w:t>
      </w:r>
      <w:r>
        <w:rPr>
          <w:spacing w:val="-7"/>
        </w:rPr>
        <w:t> </w:t>
      </w:r>
      <w:r>
        <w:rPr/>
        <w:t>approaches,</w:t>
      </w:r>
      <w:r>
        <w:rPr>
          <w:spacing w:val="-6"/>
        </w:rPr>
        <w:t> </w:t>
      </w:r>
      <w:r>
        <w:rPr/>
        <w:t>implementation</w:t>
      </w:r>
      <w:r>
        <w:rPr>
          <w:spacing w:val="-7"/>
        </w:rPr>
        <w:t> </w:t>
      </w:r>
      <w:r>
        <w:rPr/>
        <w:t>and</w:t>
      </w:r>
      <w:r>
        <w:rPr>
          <w:spacing w:val="-7"/>
        </w:rPr>
        <w:t> </w:t>
      </w:r>
      <w:r>
        <w:rPr/>
        <w:t>effectiveness. Implementation monitoring determines if the practices, i.e., plan components, we said we would do were implemented. Effectiveness monitoring determines how well a particular practice</w:t>
      </w:r>
      <w:r>
        <w:rPr>
          <w:spacing w:val="-1"/>
        </w:rPr>
        <w:t> </w:t>
      </w:r>
      <w:r>
        <w:rPr/>
        <w:t>helps</w:t>
      </w:r>
      <w:r>
        <w:rPr>
          <w:spacing w:val="-2"/>
        </w:rPr>
        <w:t> </w:t>
      </w:r>
      <w:r>
        <w:rPr/>
        <w:t>to</w:t>
      </w:r>
      <w:r>
        <w:rPr>
          <w:spacing w:val="-1"/>
        </w:rPr>
        <w:t> </w:t>
      </w:r>
      <w:r>
        <w:rPr/>
        <w:t>achieve</w:t>
      </w:r>
      <w:r>
        <w:rPr>
          <w:spacing w:val="-1"/>
        </w:rPr>
        <w:t> </w:t>
      </w:r>
      <w:r>
        <w:rPr/>
        <w:t>a</w:t>
      </w:r>
      <w:r>
        <w:rPr>
          <w:spacing w:val="-7"/>
        </w:rPr>
        <w:t> </w:t>
      </w:r>
      <w:r>
        <w:rPr/>
        <w:t>project</w:t>
      </w:r>
      <w:r>
        <w:rPr>
          <w:spacing w:val="-4"/>
        </w:rPr>
        <w:t> </w:t>
      </w:r>
      <w:r>
        <w:rPr/>
        <w:t>objective</w:t>
      </w:r>
      <w:r>
        <w:rPr>
          <w:spacing w:val="-1"/>
        </w:rPr>
        <w:t> </w:t>
      </w:r>
      <w:r>
        <w:rPr/>
        <w:t>and</w:t>
      </w:r>
      <w:r>
        <w:rPr>
          <w:spacing w:val="-3"/>
        </w:rPr>
        <w:t> </w:t>
      </w:r>
      <w:r>
        <w:rPr/>
        <w:t>helps</w:t>
      </w:r>
      <w:r>
        <w:rPr>
          <w:spacing w:val="-4"/>
        </w:rPr>
        <w:t> </w:t>
      </w:r>
      <w:r>
        <w:rPr/>
        <w:t>to</w:t>
      </w:r>
      <w:r>
        <w:rPr>
          <w:spacing w:val="-1"/>
        </w:rPr>
        <w:t> </w:t>
      </w:r>
      <w:r>
        <w:rPr/>
        <w:t>determine</w:t>
      </w:r>
      <w:r>
        <w:rPr>
          <w:spacing w:val="-1"/>
        </w:rPr>
        <w:t> </w:t>
      </w:r>
      <w:r>
        <w:rPr/>
        <w:t>the</w:t>
      </w:r>
      <w:r>
        <w:rPr>
          <w:spacing w:val="-1"/>
        </w:rPr>
        <w:t> </w:t>
      </w:r>
      <w:r>
        <w:rPr/>
        <w:t>rate</w:t>
      </w:r>
      <w:r>
        <w:rPr>
          <w:spacing w:val="-4"/>
        </w:rPr>
        <w:t> </w:t>
      </w:r>
      <w:r>
        <w:rPr/>
        <w:t>at</w:t>
      </w:r>
      <w:r>
        <w:rPr>
          <w:spacing w:val="-4"/>
        </w:rPr>
        <w:t> </w:t>
      </w:r>
      <w:r>
        <w:rPr/>
        <w:t>which</w:t>
      </w:r>
      <w:r>
        <w:rPr>
          <w:spacing w:val="-3"/>
        </w:rPr>
        <w:t> </w:t>
      </w:r>
      <w:r>
        <w:rPr/>
        <w:t>desired conditions</w:t>
      </w:r>
      <w:r>
        <w:rPr>
          <w:spacing w:val="-8"/>
        </w:rPr>
        <w:t> </w:t>
      </w:r>
      <w:r>
        <w:rPr/>
        <w:t>are</w:t>
      </w:r>
      <w:r>
        <w:rPr>
          <w:spacing w:val="-6"/>
        </w:rPr>
        <w:t> </w:t>
      </w:r>
      <w:r>
        <w:rPr/>
        <w:t>being</w:t>
      </w:r>
      <w:r>
        <w:rPr>
          <w:spacing w:val="-7"/>
        </w:rPr>
        <w:t> </w:t>
      </w:r>
      <w:r>
        <w:rPr/>
        <w:t>achieved.</w:t>
      </w:r>
      <w:r>
        <w:rPr>
          <w:spacing w:val="-7"/>
        </w:rPr>
        <w:t> </w:t>
      </w:r>
      <w:r>
        <w:rPr/>
        <w:t>Implementation</w:t>
      </w:r>
      <w:r>
        <w:rPr>
          <w:spacing w:val="-9"/>
        </w:rPr>
        <w:t> </w:t>
      </w:r>
      <w:r>
        <w:rPr/>
        <w:t>and</w:t>
      </w:r>
      <w:r>
        <w:rPr>
          <w:spacing w:val="-7"/>
        </w:rPr>
        <w:t> </w:t>
      </w:r>
      <w:r>
        <w:rPr/>
        <w:t>effectiveness-type</w:t>
      </w:r>
      <w:r>
        <w:rPr>
          <w:spacing w:val="-8"/>
        </w:rPr>
        <w:t> </w:t>
      </w:r>
      <w:r>
        <w:rPr/>
        <w:t>monitoring</w:t>
      </w:r>
      <w:r>
        <w:rPr>
          <w:spacing w:val="-7"/>
        </w:rPr>
        <w:t> </w:t>
      </w:r>
      <w:r>
        <w:rPr/>
        <w:t>actions</w:t>
      </w:r>
      <w:r>
        <w:rPr>
          <w:spacing w:val="-7"/>
        </w:rPr>
        <w:t> </w:t>
      </w:r>
      <w:r>
        <w:rPr/>
        <w:t>will be used to determine whether the land management plan needs to be changed.</w:t>
      </w:r>
    </w:p>
    <w:p>
      <w:pPr>
        <w:pStyle w:val="BodyText"/>
        <w:spacing w:line="232" w:lineRule="auto" w:before="197"/>
        <w:ind w:left="1150" w:right="365"/>
      </w:pPr>
      <w:r>
        <w:rPr/>
        <w:t>Broader-scale monitoring information is used to address relevant plan monitoring questions that</w:t>
      </w:r>
      <w:r>
        <w:rPr>
          <w:spacing w:val="-6"/>
        </w:rPr>
        <w:t> </w:t>
      </w:r>
      <w:r>
        <w:rPr/>
        <w:t>are</w:t>
      </w:r>
      <w:r>
        <w:rPr>
          <w:spacing w:val="-8"/>
        </w:rPr>
        <w:t> </w:t>
      </w:r>
      <w:r>
        <w:rPr/>
        <w:t>best</w:t>
      </w:r>
      <w:r>
        <w:rPr>
          <w:spacing w:val="-8"/>
        </w:rPr>
        <w:t> </w:t>
      </w:r>
      <w:r>
        <w:rPr/>
        <w:t>answered</w:t>
      </w:r>
      <w:r>
        <w:rPr>
          <w:spacing w:val="-9"/>
        </w:rPr>
        <w:t> </w:t>
      </w:r>
      <w:r>
        <w:rPr/>
        <w:t>at</w:t>
      </w:r>
      <w:r>
        <w:rPr>
          <w:spacing w:val="-6"/>
        </w:rPr>
        <w:t> </w:t>
      </w:r>
      <w:r>
        <w:rPr/>
        <w:t>a</w:t>
      </w:r>
      <w:r>
        <w:rPr>
          <w:spacing w:val="-8"/>
        </w:rPr>
        <w:t> </w:t>
      </w:r>
      <w:r>
        <w:rPr/>
        <w:t>larger</w:t>
      </w:r>
      <w:r>
        <w:rPr>
          <w:spacing w:val="-7"/>
        </w:rPr>
        <w:t> </w:t>
      </w:r>
      <w:r>
        <w:rPr/>
        <w:t>geographic</w:t>
      </w:r>
      <w:r>
        <w:rPr>
          <w:spacing w:val="-7"/>
        </w:rPr>
        <w:t> </w:t>
      </w:r>
      <w:r>
        <w:rPr/>
        <w:t>scale.</w:t>
      </w:r>
      <w:r>
        <w:rPr>
          <w:spacing w:val="-7"/>
        </w:rPr>
        <w:t> </w:t>
      </w:r>
      <w:r>
        <w:rPr/>
        <w:t>Broader-scale</w:t>
      </w:r>
      <w:r>
        <w:rPr>
          <w:spacing w:val="-8"/>
        </w:rPr>
        <w:t> </w:t>
      </w:r>
      <w:r>
        <w:rPr/>
        <w:t>monitoring</w:t>
      </w:r>
      <w:r>
        <w:rPr>
          <w:spacing w:val="-8"/>
        </w:rPr>
        <w:t> </w:t>
      </w:r>
      <w:r>
        <w:rPr/>
        <w:t>strategies</w:t>
      </w:r>
      <w:r>
        <w:rPr>
          <w:spacing w:val="-8"/>
        </w:rPr>
        <w:t> </w:t>
      </w:r>
      <w:r>
        <w:rPr/>
        <w:t>may</w:t>
      </w:r>
      <w:r>
        <w:rPr>
          <w:spacing w:val="-8"/>
        </w:rPr>
        <w:t> </w:t>
      </w:r>
      <w:r>
        <w:rPr/>
        <w:t>be comprised of questions and indicators or may include a description of protocols, data management, responsibilities, and partnerships for the questions and indicators.</w:t>
      </w:r>
    </w:p>
    <w:p>
      <w:pPr>
        <w:pStyle w:val="BodyText"/>
        <w:spacing w:line="232" w:lineRule="auto" w:before="199"/>
        <w:ind w:left="1150"/>
      </w:pPr>
      <w:r>
        <w:rPr/>
        <w:t>The</w:t>
      </w:r>
      <w:r>
        <w:rPr>
          <w:spacing w:val="-7"/>
        </w:rPr>
        <w:t> </w:t>
      </w:r>
      <w:r>
        <w:rPr/>
        <w:t>plan</w:t>
      </w:r>
      <w:r>
        <w:rPr>
          <w:spacing w:val="-11"/>
        </w:rPr>
        <w:t> </w:t>
      </w:r>
      <w:r>
        <w:rPr/>
        <w:t>monitoring</w:t>
      </w:r>
      <w:r>
        <w:rPr>
          <w:spacing w:val="-9"/>
        </w:rPr>
        <w:t> </w:t>
      </w:r>
      <w:r>
        <w:rPr/>
        <w:t>program</w:t>
      </w:r>
      <w:r>
        <w:rPr>
          <w:spacing w:val="-9"/>
        </w:rPr>
        <w:t> </w:t>
      </w:r>
      <w:r>
        <w:rPr/>
        <w:t>will</w:t>
      </w:r>
      <w:r>
        <w:rPr>
          <w:spacing w:val="-8"/>
        </w:rPr>
        <w:t> </w:t>
      </w:r>
      <w:r>
        <w:rPr/>
        <w:t>be</w:t>
      </w:r>
      <w:r>
        <w:rPr>
          <w:spacing w:val="-7"/>
        </w:rPr>
        <w:t> </w:t>
      </w:r>
      <w:r>
        <w:rPr/>
        <w:t>coordinated</w:t>
      </w:r>
      <w:r>
        <w:rPr>
          <w:spacing w:val="-9"/>
        </w:rPr>
        <w:t> </w:t>
      </w:r>
      <w:r>
        <w:rPr/>
        <w:t>and</w:t>
      </w:r>
      <w:r>
        <w:rPr>
          <w:spacing w:val="-9"/>
        </w:rPr>
        <w:t> </w:t>
      </w:r>
      <w:r>
        <w:rPr/>
        <w:t>integrated</w:t>
      </w:r>
      <w:r>
        <w:rPr>
          <w:spacing w:val="-9"/>
        </w:rPr>
        <w:t> </w:t>
      </w:r>
      <w:r>
        <w:rPr/>
        <w:t>with</w:t>
      </w:r>
      <w:r>
        <w:rPr>
          <w:spacing w:val="-9"/>
        </w:rPr>
        <w:t> </w:t>
      </w:r>
      <w:r>
        <w:rPr/>
        <w:t>relevant</w:t>
      </w:r>
      <w:r>
        <w:rPr>
          <w:spacing w:val="-7"/>
        </w:rPr>
        <w:t> </w:t>
      </w:r>
      <w:r>
        <w:rPr/>
        <w:t>broader-scale monitoring strategies to ensure that monitoring is complementary and efficient, and that information is gathered at scales appropriate to the monitoring questions (36 CFR 219.12).</w:t>
      </w:r>
    </w:p>
    <w:p>
      <w:pPr>
        <w:pStyle w:val="BodyText"/>
        <w:spacing w:line="232" w:lineRule="auto" w:before="197"/>
        <w:ind w:left="1150" w:right="361"/>
      </w:pPr>
      <w:r>
        <w:rPr/>
        <w:t>The plan monitoring program addresses the most critical components for informed management of the Forest’s resources within the financial and technical capability of the agency. Every monitoring question links to one or more goals, desired conditions, objectives, standards,</w:t>
      </w:r>
      <w:r>
        <w:rPr>
          <w:spacing w:val="-9"/>
        </w:rPr>
        <w:t> </w:t>
      </w:r>
      <w:r>
        <w:rPr/>
        <w:t>or</w:t>
      </w:r>
      <w:r>
        <w:rPr>
          <w:spacing w:val="-7"/>
        </w:rPr>
        <w:t> </w:t>
      </w:r>
      <w:r>
        <w:rPr/>
        <w:t>guidelines.</w:t>
      </w:r>
      <w:r>
        <w:rPr>
          <w:spacing w:val="-7"/>
        </w:rPr>
        <w:t> </w:t>
      </w:r>
      <w:r>
        <w:rPr/>
        <w:t>However,</w:t>
      </w:r>
      <w:r>
        <w:rPr>
          <w:spacing w:val="-7"/>
        </w:rPr>
        <w:t> </w:t>
      </w:r>
      <w:r>
        <w:rPr/>
        <w:t>not</w:t>
      </w:r>
      <w:r>
        <w:rPr>
          <w:spacing w:val="-9"/>
        </w:rPr>
        <w:t> </w:t>
      </w:r>
      <w:r>
        <w:rPr/>
        <w:t>every</w:t>
      </w:r>
      <w:r>
        <w:rPr>
          <w:spacing w:val="-6"/>
        </w:rPr>
        <w:t> </w:t>
      </w:r>
      <w:r>
        <w:rPr/>
        <w:t>plan</w:t>
      </w:r>
      <w:r>
        <w:rPr>
          <w:spacing w:val="-8"/>
        </w:rPr>
        <w:t> </w:t>
      </w:r>
      <w:r>
        <w:rPr/>
        <w:t>component</w:t>
      </w:r>
      <w:r>
        <w:rPr>
          <w:spacing w:val="-9"/>
        </w:rPr>
        <w:t> </w:t>
      </w:r>
      <w:r>
        <w:rPr/>
        <w:t>has</w:t>
      </w:r>
      <w:r>
        <w:rPr>
          <w:spacing w:val="-7"/>
        </w:rPr>
        <w:t> </w:t>
      </w:r>
      <w:r>
        <w:rPr/>
        <w:t>a</w:t>
      </w:r>
      <w:r>
        <w:rPr>
          <w:spacing w:val="-7"/>
        </w:rPr>
        <w:t> </w:t>
      </w:r>
      <w:r>
        <w:rPr/>
        <w:t>corresponding</w:t>
      </w:r>
      <w:r>
        <w:rPr>
          <w:spacing w:val="-8"/>
        </w:rPr>
        <w:t> </w:t>
      </w:r>
      <w:r>
        <w:rPr/>
        <w:t>monitoring </w:t>
      </w:r>
      <w:r>
        <w:rPr>
          <w:spacing w:val="-2"/>
        </w:rPr>
        <w:t>question.</w:t>
      </w:r>
    </w:p>
    <w:p>
      <w:pPr>
        <w:pStyle w:val="BodyText"/>
        <w:spacing w:line="232" w:lineRule="auto" w:before="198"/>
        <w:ind w:left="1150" w:right="361"/>
      </w:pPr>
      <w:r>
        <w:rPr/>
        <w:t>This monitoring program is not intended to depict all monitoring, inventorying, and data gathering activities undertaken on the Forest; nor is it intended to limit monitoring to just the questions and indicators listed in </w:t>
      </w:r>
      <w:hyperlink w:history="true" w:anchor="_bookmark278">
        <w:r>
          <w:rPr/>
          <w:t>table 39.</w:t>
        </w:r>
      </w:hyperlink>
      <w:r>
        <w:rPr/>
        <w:t> Consideration and coordination with broad-scale monitoring strategies, multi-party monitoring collaboration, and cooperation with state agencies</w:t>
      </w:r>
      <w:r>
        <w:rPr>
          <w:spacing w:val="-1"/>
        </w:rPr>
        <w:t> </w:t>
      </w:r>
      <w:r>
        <w:rPr/>
        <w:t>where</w:t>
      </w:r>
      <w:r>
        <w:rPr>
          <w:spacing w:val="-3"/>
        </w:rPr>
        <w:t> </w:t>
      </w:r>
      <w:r>
        <w:rPr/>
        <w:t>practicable</w:t>
      </w:r>
      <w:r>
        <w:rPr>
          <w:spacing w:val="-3"/>
        </w:rPr>
        <w:t> </w:t>
      </w:r>
      <w:r>
        <w:rPr/>
        <w:t>will</w:t>
      </w:r>
      <w:r>
        <w:rPr>
          <w:spacing w:val="-1"/>
        </w:rPr>
        <w:t> </w:t>
      </w:r>
      <w:r>
        <w:rPr/>
        <w:t>increase</w:t>
      </w:r>
      <w:r>
        <w:rPr>
          <w:spacing w:val="-3"/>
        </w:rPr>
        <w:t> </w:t>
      </w:r>
      <w:r>
        <w:rPr/>
        <w:t>efficiencies</w:t>
      </w:r>
      <w:r>
        <w:rPr>
          <w:spacing w:val="-1"/>
        </w:rPr>
        <w:t> </w:t>
      </w:r>
      <w:r>
        <w:rPr/>
        <w:t>and</w:t>
      </w:r>
      <w:r>
        <w:rPr>
          <w:spacing w:val="-2"/>
        </w:rPr>
        <w:t> </w:t>
      </w:r>
      <w:r>
        <w:rPr/>
        <w:t>help</w:t>
      </w:r>
      <w:r>
        <w:rPr>
          <w:spacing w:val="-2"/>
        </w:rPr>
        <w:t> </w:t>
      </w:r>
      <w:r>
        <w:rPr/>
        <w:t>track</w:t>
      </w:r>
      <w:r>
        <w:rPr>
          <w:spacing w:val="-3"/>
        </w:rPr>
        <w:t> </w:t>
      </w:r>
      <w:r>
        <w:rPr/>
        <w:t>changing</w:t>
      </w:r>
      <w:r>
        <w:rPr>
          <w:spacing w:val="-2"/>
        </w:rPr>
        <w:t> </w:t>
      </w:r>
      <w:r>
        <w:rPr/>
        <w:t>conditions</w:t>
      </w:r>
      <w:r>
        <w:rPr>
          <w:spacing w:val="-1"/>
        </w:rPr>
        <w:t> </w:t>
      </w:r>
      <w:r>
        <w:rPr/>
        <w:t>beyond the</w:t>
      </w:r>
      <w:r>
        <w:rPr>
          <w:spacing w:val="-5"/>
        </w:rPr>
        <w:t> </w:t>
      </w:r>
      <w:r>
        <w:rPr/>
        <w:t>Forest</w:t>
      </w:r>
      <w:r>
        <w:rPr>
          <w:spacing w:val="-5"/>
        </w:rPr>
        <w:t> </w:t>
      </w:r>
      <w:r>
        <w:rPr/>
        <w:t>boundaries</w:t>
      </w:r>
      <w:r>
        <w:rPr>
          <w:spacing w:val="-6"/>
        </w:rPr>
        <w:t> </w:t>
      </w:r>
      <w:r>
        <w:rPr/>
        <w:t>to</w:t>
      </w:r>
      <w:r>
        <w:rPr>
          <w:spacing w:val="-5"/>
        </w:rPr>
        <w:t> </w:t>
      </w:r>
      <w:r>
        <w:rPr/>
        <w:t>improve</w:t>
      </w:r>
      <w:r>
        <w:rPr>
          <w:spacing w:val="-8"/>
        </w:rPr>
        <w:t> </w:t>
      </w:r>
      <w:r>
        <w:rPr/>
        <w:t>the</w:t>
      </w:r>
      <w:r>
        <w:rPr>
          <w:spacing w:val="-5"/>
        </w:rPr>
        <w:t> </w:t>
      </w:r>
      <w:r>
        <w:rPr/>
        <w:t>effectiveness</w:t>
      </w:r>
      <w:r>
        <w:rPr>
          <w:spacing w:val="-8"/>
        </w:rPr>
        <w:t> </w:t>
      </w:r>
      <w:r>
        <w:rPr/>
        <w:t>of</w:t>
      </w:r>
      <w:r>
        <w:rPr>
          <w:spacing w:val="-6"/>
        </w:rPr>
        <w:t> </w:t>
      </w:r>
      <w:r>
        <w:rPr/>
        <w:t>the</w:t>
      </w:r>
      <w:r>
        <w:rPr>
          <w:spacing w:val="-5"/>
        </w:rPr>
        <w:t> </w:t>
      </w:r>
      <w:r>
        <w:rPr/>
        <w:t>plan</w:t>
      </w:r>
      <w:r>
        <w:rPr>
          <w:spacing w:val="-9"/>
        </w:rPr>
        <w:t> </w:t>
      </w:r>
      <w:r>
        <w:rPr/>
        <w:t>monitoring</w:t>
      </w:r>
      <w:r>
        <w:rPr>
          <w:spacing w:val="-7"/>
        </w:rPr>
        <w:t> </w:t>
      </w:r>
      <w:r>
        <w:rPr/>
        <w:t>program.</w:t>
      </w:r>
      <w:r>
        <w:rPr>
          <w:spacing w:val="-6"/>
        </w:rPr>
        <w:t> </w:t>
      </w:r>
      <w:r>
        <w:rPr/>
        <w:t>In</w:t>
      </w:r>
      <w:r>
        <w:rPr>
          <w:spacing w:val="-7"/>
        </w:rPr>
        <w:t> </w:t>
      </w:r>
      <w:r>
        <w:rPr/>
        <w:t>addition, project and activity monitoring may be used to gather information for the plan monitoring program if it will provide relevant information to inform adaptive management.</w:t>
      </w:r>
    </w:p>
    <w:p>
      <w:pPr>
        <w:pStyle w:val="ListParagraph"/>
        <w:numPr>
          <w:ilvl w:val="0"/>
          <w:numId w:val="26"/>
        </w:numPr>
        <w:tabs>
          <w:tab w:pos="1692" w:val="left" w:leader="none"/>
        </w:tabs>
        <w:spacing w:line="232" w:lineRule="auto" w:before="195" w:after="0"/>
        <w:ind w:left="1692" w:right="1168" w:hanging="360"/>
        <w:jc w:val="left"/>
        <w:rPr>
          <w:sz w:val="22"/>
        </w:rPr>
      </w:pPr>
      <w:r>
        <w:rPr>
          <w:sz w:val="22"/>
        </w:rPr>
        <w:t>The monitoring program sets out the plan monitoring questions and associated indicators.</w:t>
      </w:r>
      <w:r>
        <w:rPr>
          <w:spacing w:val="-5"/>
          <w:sz w:val="22"/>
        </w:rPr>
        <w:t> </w:t>
      </w:r>
      <w:r>
        <w:rPr>
          <w:sz w:val="22"/>
        </w:rPr>
        <w:t>It</w:t>
      </w:r>
      <w:r>
        <w:rPr>
          <w:spacing w:val="-4"/>
          <w:sz w:val="22"/>
        </w:rPr>
        <w:t> </w:t>
      </w:r>
      <w:r>
        <w:rPr>
          <w:sz w:val="22"/>
        </w:rPr>
        <w:t>is</w:t>
      </w:r>
      <w:r>
        <w:rPr>
          <w:spacing w:val="-5"/>
          <w:sz w:val="22"/>
        </w:rPr>
        <w:t> </w:t>
      </w:r>
      <w:r>
        <w:rPr>
          <w:sz w:val="22"/>
        </w:rPr>
        <w:t>comprised</w:t>
      </w:r>
      <w:r>
        <w:rPr>
          <w:spacing w:val="-8"/>
          <w:sz w:val="22"/>
        </w:rPr>
        <w:t> </w:t>
      </w:r>
      <w:r>
        <w:rPr>
          <w:sz w:val="22"/>
        </w:rPr>
        <w:t>of</w:t>
      </w:r>
      <w:r>
        <w:rPr>
          <w:spacing w:val="-5"/>
          <w:sz w:val="22"/>
        </w:rPr>
        <w:t> </w:t>
      </w:r>
      <w:r>
        <w:rPr>
          <w:sz w:val="22"/>
        </w:rPr>
        <w:t>a</w:t>
      </w:r>
      <w:r>
        <w:rPr>
          <w:spacing w:val="-5"/>
          <w:sz w:val="22"/>
        </w:rPr>
        <w:t> </w:t>
      </w:r>
      <w:r>
        <w:rPr>
          <w:sz w:val="22"/>
        </w:rPr>
        <w:t>monitoring</w:t>
      </w:r>
      <w:r>
        <w:rPr>
          <w:spacing w:val="-6"/>
          <w:sz w:val="22"/>
        </w:rPr>
        <w:t> </w:t>
      </w:r>
      <w:r>
        <w:rPr>
          <w:sz w:val="22"/>
        </w:rPr>
        <w:t>guide</w:t>
      </w:r>
      <w:r>
        <w:rPr>
          <w:spacing w:val="-4"/>
          <w:sz w:val="22"/>
        </w:rPr>
        <w:t> </w:t>
      </w:r>
      <w:r>
        <w:rPr>
          <w:sz w:val="22"/>
        </w:rPr>
        <w:t>and</w:t>
      </w:r>
      <w:r>
        <w:rPr>
          <w:spacing w:val="-6"/>
          <w:sz w:val="22"/>
        </w:rPr>
        <w:t> </w:t>
      </w:r>
      <w:r>
        <w:rPr>
          <w:sz w:val="22"/>
        </w:rPr>
        <w:t>a</w:t>
      </w:r>
      <w:r>
        <w:rPr>
          <w:spacing w:val="-7"/>
          <w:sz w:val="22"/>
        </w:rPr>
        <w:t> </w:t>
      </w:r>
      <w:r>
        <w:rPr>
          <w:sz w:val="22"/>
        </w:rPr>
        <w:t>biennial</w:t>
      </w:r>
      <w:r>
        <w:rPr>
          <w:spacing w:val="-5"/>
          <w:sz w:val="22"/>
        </w:rPr>
        <w:t> </w:t>
      </w:r>
      <w:r>
        <w:rPr>
          <w:sz w:val="22"/>
        </w:rPr>
        <w:t>evaluation</w:t>
      </w:r>
      <w:r>
        <w:rPr>
          <w:spacing w:val="-6"/>
          <w:sz w:val="22"/>
        </w:rPr>
        <w:t> </w:t>
      </w:r>
      <w:r>
        <w:rPr>
          <w:sz w:val="22"/>
        </w:rPr>
        <w:t>report.</w:t>
      </w:r>
    </w:p>
    <w:p>
      <w:pPr>
        <w:pStyle w:val="ListParagraph"/>
        <w:spacing w:after="0" w:line="232" w:lineRule="auto"/>
        <w:jc w:val="left"/>
        <w:rPr>
          <w:sz w:val="22"/>
        </w:rPr>
        <w:sectPr>
          <w:headerReference w:type="default" r:id="rId74"/>
          <w:headerReference w:type="even" r:id="rId75"/>
          <w:footerReference w:type="default" r:id="rId76"/>
          <w:footerReference w:type="even" r:id="rId77"/>
          <w:pgSz w:w="12240" w:h="15840"/>
          <w:pgMar w:header="725" w:footer="891" w:top="1340" w:bottom="1080" w:left="1080" w:right="1080"/>
          <w:pgNumType w:start="155"/>
        </w:sectPr>
      </w:pPr>
    </w:p>
    <w:p>
      <w:pPr>
        <w:pStyle w:val="ListParagraph"/>
        <w:numPr>
          <w:ilvl w:val="0"/>
          <w:numId w:val="26"/>
        </w:numPr>
        <w:tabs>
          <w:tab w:pos="900" w:val="left" w:leader="none"/>
        </w:tabs>
        <w:spacing w:line="232" w:lineRule="auto" w:before="89" w:after="0"/>
        <w:ind w:left="900" w:right="1923" w:hanging="360"/>
        <w:jc w:val="left"/>
        <w:rPr>
          <w:sz w:val="22"/>
        </w:rPr>
      </w:pPr>
      <w:r>
        <w:rPr>
          <w:sz w:val="22"/>
        </w:rPr>
        <w:t>The</w:t>
      </w:r>
      <w:r>
        <w:rPr>
          <w:spacing w:val="-8"/>
          <w:sz w:val="22"/>
        </w:rPr>
        <w:t> </w:t>
      </w:r>
      <w:r>
        <w:rPr>
          <w:sz w:val="22"/>
        </w:rPr>
        <w:t>monitoring</w:t>
      </w:r>
      <w:r>
        <w:rPr>
          <w:spacing w:val="-7"/>
          <w:sz w:val="22"/>
        </w:rPr>
        <w:t> </w:t>
      </w:r>
      <w:r>
        <w:rPr>
          <w:sz w:val="22"/>
        </w:rPr>
        <w:t>guide</w:t>
      </w:r>
      <w:r>
        <w:rPr>
          <w:spacing w:val="-5"/>
          <w:sz w:val="22"/>
        </w:rPr>
        <w:t> </w:t>
      </w:r>
      <w:r>
        <w:rPr>
          <w:sz w:val="22"/>
        </w:rPr>
        <w:t>provides</w:t>
      </w:r>
      <w:r>
        <w:rPr>
          <w:spacing w:val="-6"/>
          <w:sz w:val="22"/>
        </w:rPr>
        <w:t> </w:t>
      </w:r>
      <w:r>
        <w:rPr>
          <w:sz w:val="22"/>
        </w:rPr>
        <w:t>detailed</w:t>
      </w:r>
      <w:r>
        <w:rPr>
          <w:spacing w:val="-7"/>
          <w:sz w:val="22"/>
        </w:rPr>
        <w:t> </w:t>
      </w:r>
      <w:r>
        <w:rPr>
          <w:sz w:val="22"/>
        </w:rPr>
        <w:t>information</w:t>
      </w:r>
      <w:r>
        <w:rPr>
          <w:spacing w:val="-9"/>
          <w:sz w:val="22"/>
        </w:rPr>
        <w:t> </w:t>
      </w:r>
      <w:r>
        <w:rPr>
          <w:sz w:val="22"/>
        </w:rPr>
        <w:t>on</w:t>
      </w:r>
      <w:r>
        <w:rPr>
          <w:spacing w:val="-7"/>
          <w:sz w:val="22"/>
        </w:rPr>
        <w:t> </w:t>
      </w:r>
      <w:r>
        <w:rPr>
          <w:sz w:val="22"/>
        </w:rPr>
        <w:t>the</w:t>
      </w:r>
      <w:r>
        <w:rPr>
          <w:spacing w:val="-8"/>
          <w:sz w:val="22"/>
        </w:rPr>
        <w:t> </w:t>
      </w:r>
      <w:r>
        <w:rPr>
          <w:sz w:val="22"/>
        </w:rPr>
        <w:t>monitoring</w:t>
      </w:r>
      <w:r>
        <w:rPr>
          <w:spacing w:val="-7"/>
          <w:sz w:val="22"/>
        </w:rPr>
        <w:t> </w:t>
      </w:r>
      <w:r>
        <w:rPr>
          <w:sz w:val="22"/>
        </w:rPr>
        <w:t>questions, indicators, frequency and reliability, priority, data sources and storage, and cost.</w:t>
      </w:r>
    </w:p>
    <w:p>
      <w:pPr>
        <w:pStyle w:val="BodyText"/>
        <w:spacing w:line="232" w:lineRule="auto" w:before="120"/>
        <w:ind w:left="359" w:right="1185"/>
      </w:pPr>
      <w:r>
        <w:rPr/>
        <w:t>Biennial monitoring evaluation reports will document whether a change to the plan or change to the</w:t>
      </w:r>
      <w:r>
        <w:rPr>
          <w:spacing w:val="-3"/>
        </w:rPr>
        <w:t> </w:t>
      </w:r>
      <w:r>
        <w:rPr/>
        <w:t>monitoring</w:t>
      </w:r>
      <w:r>
        <w:rPr>
          <w:spacing w:val="-2"/>
        </w:rPr>
        <w:t> </w:t>
      </w:r>
      <w:r>
        <w:rPr/>
        <w:t>program</w:t>
      </w:r>
      <w:r>
        <w:rPr>
          <w:spacing w:val="-2"/>
        </w:rPr>
        <w:t> </w:t>
      </w:r>
      <w:r>
        <w:rPr/>
        <w:t>is</w:t>
      </w:r>
      <w:r>
        <w:rPr>
          <w:spacing w:val="-1"/>
        </w:rPr>
        <w:t> </w:t>
      </w:r>
      <w:r>
        <w:rPr/>
        <w:t>warranted</w:t>
      </w:r>
      <w:r>
        <w:rPr>
          <w:spacing w:val="-2"/>
        </w:rPr>
        <w:t> </w:t>
      </w:r>
      <w:r>
        <w:rPr/>
        <w:t>based</w:t>
      </w:r>
      <w:r>
        <w:rPr>
          <w:spacing w:val="-4"/>
        </w:rPr>
        <w:t> </w:t>
      </w:r>
      <w:r>
        <w:rPr/>
        <w:t>on</w:t>
      </w:r>
      <w:r>
        <w:rPr>
          <w:spacing w:val="-2"/>
        </w:rPr>
        <w:t> </w:t>
      </w:r>
      <w:r>
        <w:rPr/>
        <w:t>new</w:t>
      </w:r>
      <w:r>
        <w:rPr>
          <w:spacing w:val="-3"/>
        </w:rPr>
        <w:t> </w:t>
      </w:r>
      <w:r>
        <w:rPr/>
        <w:t>information,</w:t>
      </w:r>
      <w:r>
        <w:rPr>
          <w:spacing w:val="-1"/>
        </w:rPr>
        <w:t> </w:t>
      </w:r>
      <w:r>
        <w:rPr/>
        <w:t>whether</w:t>
      </w:r>
      <w:r>
        <w:rPr>
          <w:spacing w:val="-1"/>
        </w:rPr>
        <w:t> </w:t>
      </w:r>
      <w:r>
        <w:rPr/>
        <w:t>a</w:t>
      </w:r>
      <w:r>
        <w:rPr>
          <w:spacing w:val="-1"/>
        </w:rPr>
        <w:t> </w:t>
      </w:r>
      <w:r>
        <w:rPr/>
        <w:t>new assessment may</w:t>
      </w:r>
      <w:r>
        <w:rPr>
          <w:spacing w:val="-3"/>
        </w:rPr>
        <w:t> </w:t>
      </w:r>
      <w:r>
        <w:rPr/>
        <w:t>be</w:t>
      </w:r>
      <w:r>
        <w:rPr>
          <w:spacing w:val="-3"/>
        </w:rPr>
        <w:t> </w:t>
      </w:r>
      <w:r>
        <w:rPr/>
        <w:t>needed,</w:t>
      </w:r>
      <w:r>
        <w:rPr>
          <w:spacing w:val="-6"/>
        </w:rPr>
        <w:t> </w:t>
      </w:r>
      <w:r>
        <w:rPr/>
        <w:t>or</w:t>
      </w:r>
      <w:r>
        <w:rPr>
          <w:spacing w:val="-4"/>
        </w:rPr>
        <w:t> </w:t>
      </w:r>
      <w:r>
        <w:rPr/>
        <w:t>whether</w:t>
      </w:r>
      <w:r>
        <w:rPr>
          <w:spacing w:val="-4"/>
        </w:rPr>
        <w:t> </w:t>
      </w:r>
      <w:r>
        <w:rPr/>
        <w:t>there</w:t>
      </w:r>
      <w:r>
        <w:rPr>
          <w:spacing w:val="-6"/>
        </w:rPr>
        <w:t> </w:t>
      </w:r>
      <w:r>
        <w:rPr/>
        <w:t>is</w:t>
      </w:r>
      <w:r>
        <w:rPr>
          <w:spacing w:val="-4"/>
        </w:rPr>
        <w:t> </w:t>
      </w:r>
      <w:r>
        <w:rPr/>
        <w:t>no</w:t>
      </w:r>
      <w:r>
        <w:rPr>
          <w:spacing w:val="-3"/>
        </w:rPr>
        <w:t> </w:t>
      </w:r>
      <w:r>
        <w:rPr/>
        <w:t>need</w:t>
      </w:r>
      <w:r>
        <w:rPr>
          <w:spacing w:val="-7"/>
        </w:rPr>
        <w:t> </w:t>
      </w:r>
      <w:r>
        <w:rPr/>
        <w:t>for</w:t>
      </w:r>
      <w:r>
        <w:rPr>
          <w:spacing w:val="-6"/>
        </w:rPr>
        <w:t> </w:t>
      </w:r>
      <w:r>
        <w:rPr/>
        <w:t>change</w:t>
      </w:r>
      <w:r>
        <w:rPr>
          <w:spacing w:val="-3"/>
        </w:rPr>
        <w:t> </w:t>
      </w:r>
      <w:r>
        <w:rPr/>
        <w:t>at</w:t>
      </w:r>
      <w:r>
        <w:rPr>
          <w:spacing w:val="-3"/>
        </w:rPr>
        <w:t> </w:t>
      </w:r>
      <w:r>
        <w:rPr/>
        <w:t>that</w:t>
      </w:r>
      <w:r>
        <w:rPr>
          <w:spacing w:val="-6"/>
        </w:rPr>
        <w:t> </w:t>
      </w:r>
      <w:r>
        <w:rPr/>
        <w:t>time.</w:t>
      </w:r>
      <w:r>
        <w:rPr>
          <w:spacing w:val="-4"/>
        </w:rPr>
        <w:t> </w:t>
      </w:r>
      <w:r>
        <w:rPr/>
        <w:t>The</w:t>
      </w:r>
      <w:r>
        <w:rPr>
          <w:spacing w:val="-6"/>
        </w:rPr>
        <w:t> </w:t>
      </w:r>
      <w:r>
        <w:rPr/>
        <w:t>monitoring</w:t>
      </w:r>
      <w:r>
        <w:rPr>
          <w:spacing w:val="-5"/>
        </w:rPr>
        <w:t> </w:t>
      </w:r>
      <w:r>
        <w:rPr/>
        <w:t>evaluation report will summarize plan monitoring results and will incorporate broad-scale monitoring information to answer the relevant monitoring and evaluation questions. The monitoring evaluation report is used to inform adaptive management of the plan area. The monitoring report will be made available to the public.</w:t>
      </w:r>
    </w:p>
    <w:p>
      <w:pPr>
        <w:pStyle w:val="BodyText"/>
        <w:spacing w:line="232" w:lineRule="auto" w:before="195"/>
        <w:ind w:left="359" w:right="1185"/>
      </w:pPr>
      <w:r>
        <w:rPr/>
        <w:t>Some kinds</w:t>
      </w:r>
      <w:r>
        <w:rPr>
          <w:spacing w:val="-1"/>
        </w:rPr>
        <w:t> </w:t>
      </w:r>
      <w:r>
        <w:rPr/>
        <w:t>of</w:t>
      </w:r>
      <w:r>
        <w:rPr>
          <w:spacing w:val="-2"/>
        </w:rPr>
        <w:t> </w:t>
      </w:r>
      <w:r>
        <w:rPr/>
        <w:t>monitoring indicators will require longer time frames</w:t>
      </w:r>
      <w:r>
        <w:rPr>
          <w:spacing w:val="-1"/>
        </w:rPr>
        <w:t> </w:t>
      </w:r>
      <w:r>
        <w:rPr/>
        <w:t>for</w:t>
      </w:r>
      <w:r>
        <w:rPr>
          <w:spacing w:val="-1"/>
        </w:rPr>
        <w:t> </w:t>
      </w:r>
      <w:r>
        <w:rPr/>
        <w:t>thorough</w:t>
      </w:r>
      <w:r>
        <w:rPr>
          <w:spacing w:val="-2"/>
        </w:rPr>
        <w:t> </w:t>
      </w:r>
      <w:r>
        <w:rPr/>
        <w:t>evaluation of results, but a biennial review of what information has been collected will ensure timely evaluation</w:t>
      </w:r>
      <w:r>
        <w:rPr>
          <w:spacing w:val="-6"/>
        </w:rPr>
        <w:t> </w:t>
      </w:r>
      <w:r>
        <w:rPr/>
        <w:t>to</w:t>
      </w:r>
      <w:r>
        <w:rPr>
          <w:spacing w:val="-6"/>
        </w:rPr>
        <w:t> </w:t>
      </w:r>
      <w:r>
        <w:rPr/>
        <w:t>inform</w:t>
      </w:r>
      <w:r>
        <w:rPr>
          <w:spacing w:val="-6"/>
        </w:rPr>
        <w:t> </w:t>
      </w:r>
      <w:r>
        <w:rPr/>
        <w:t>planning.</w:t>
      </w:r>
      <w:r>
        <w:rPr>
          <w:spacing w:val="-5"/>
        </w:rPr>
        <w:t> </w:t>
      </w:r>
      <w:r>
        <w:rPr/>
        <w:t>The</w:t>
      </w:r>
      <w:r>
        <w:rPr>
          <w:spacing w:val="-4"/>
        </w:rPr>
        <w:t> </w:t>
      </w:r>
      <w:r>
        <w:rPr/>
        <w:t>biennial</w:t>
      </w:r>
      <w:r>
        <w:rPr>
          <w:spacing w:val="-8"/>
        </w:rPr>
        <w:t> </w:t>
      </w:r>
      <w:r>
        <w:rPr/>
        <w:t>monitoring</w:t>
      </w:r>
      <w:r>
        <w:rPr>
          <w:spacing w:val="-6"/>
        </w:rPr>
        <w:t> </w:t>
      </w:r>
      <w:r>
        <w:rPr/>
        <w:t>evaluation</w:t>
      </w:r>
      <w:r>
        <w:rPr>
          <w:spacing w:val="-6"/>
        </w:rPr>
        <w:t> </w:t>
      </w:r>
      <w:r>
        <w:rPr/>
        <w:t>does</w:t>
      </w:r>
      <w:r>
        <w:rPr>
          <w:spacing w:val="-5"/>
        </w:rPr>
        <w:t> </w:t>
      </w:r>
      <w:r>
        <w:rPr/>
        <w:t>not</w:t>
      </w:r>
      <w:r>
        <w:rPr>
          <w:spacing w:val="-4"/>
        </w:rPr>
        <w:t> </w:t>
      </w:r>
      <w:r>
        <w:rPr/>
        <w:t>need</w:t>
      </w:r>
      <w:r>
        <w:rPr>
          <w:spacing w:val="-8"/>
        </w:rPr>
        <w:t> </w:t>
      </w:r>
      <w:r>
        <w:rPr/>
        <w:t>to</w:t>
      </w:r>
      <w:r>
        <w:rPr>
          <w:spacing w:val="-6"/>
        </w:rPr>
        <w:t> </w:t>
      </w:r>
      <w:r>
        <w:rPr/>
        <w:t>evaluate</w:t>
      </w:r>
      <w:r>
        <w:rPr>
          <w:spacing w:val="-4"/>
        </w:rPr>
        <w:t> </w:t>
      </w:r>
      <w:r>
        <w:rPr/>
        <w:t>all questions</w:t>
      </w:r>
      <w:r>
        <w:rPr>
          <w:spacing w:val="-5"/>
        </w:rPr>
        <w:t> </w:t>
      </w:r>
      <w:r>
        <w:rPr/>
        <w:t>or</w:t>
      </w:r>
      <w:r>
        <w:rPr>
          <w:spacing w:val="-3"/>
        </w:rPr>
        <w:t> </w:t>
      </w:r>
      <w:r>
        <w:rPr/>
        <w:t>indicators</w:t>
      </w:r>
      <w:r>
        <w:rPr>
          <w:spacing w:val="-3"/>
        </w:rPr>
        <w:t> </w:t>
      </w:r>
      <w:r>
        <w:rPr/>
        <w:t>on</w:t>
      </w:r>
      <w:r>
        <w:rPr>
          <w:spacing w:val="-8"/>
        </w:rPr>
        <w:t> </w:t>
      </w:r>
      <w:r>
        <w:rPr/>
        <w:t>a</w:t>
      </w:r>
      <w:r>
        <w:rPr>
          <w:spacing w:val="-3"/>
        </w:rPr>
        <w:t> </w:t>
      </w:r>
      <w:r>
        <w:rPr/>
        <w:t>biennial</w:t>
      </w:r>
      <w:r>
        <w:rPr>
          <w:spacing w:val="-3"/>
        </w:rPr>
        <w:t> </w:t>
      </w:r>
      <w:r>
        <w:rPr/>
        <w:t>basis,</w:t>
      </w:r>
      <w:r>
        <w:rPr>
          <w:spacing w:val="-3"/>
        </w:rPr>
        <w:t> </w:t>
      </w:r>
      <w:r>
        <w:rPr/>
        <w:t>but</w:t>
      </w:r>
      <w:r>
        <w:rPr>
          <w:spacing w:val="-5"/>
        </w:rPr>
        <w:t> </w:t>
      </w:r>
      <w:r>
        <w:rPr/>
        <w:t>must</w:t>
      </w:r>
      <w:r>
        <w:rPr>
          <w:spacing w:val="-5"/>
        </w:rPr>
        <w:t> </w:t>
      </w:r>
      <w:r>
        <w:rPr/>
        <w:t>focus</w:t>
      </w:r>
      <w:r>
        <w:rPr>
          <w:spacing w:val="-5"/>
        </w:rPr>
        <w:t> </w:t>
      </w:r>
      <w:r>
        <w:rPr/>
        <w:t>on</w:t>
      </w:r>
      <w:r>
        <w:rPr>
          <w:spacing w:val="-4"/>
        </w:rPr>
        <w:t> </w:t>
      </w:r>
      <w:r>
        <w:rPr/>
        <w:t>new</w:t>
      </w:r>
      <w:r>
        <w:rPr>
          <w:spacing w:val="-2"/>
        </w:rPr>
        <w:t> </w:t>
      </w:r>
      <w:r>
        <w:rPr/>
        <w:t>data</w:t>
      </w:r>
      <w:r>
        <w:rPr>
          <w:spacing w:val="-3"/>
        </w:rPr>
        <w:t> </w:t>
      </w:r>
      <w:r>
        <w:rPr/>
        <w:t>and</w:t>
      </w:r>
      <w:r>
        <w:rPr>
          <w:spacing w:val="-4"/>
        </w:rPr>
        <w:t> </w:t>
      </w:r>
      <w:r>
        <w:rPr/>
        <w:t>results</w:t>
      </w:r>
      <w:r>
        <w:rPr>
          <w:spacing w:val="-3"/>
        </w:rPr>
        <w:t> </w:t>
      </w:r>
      <w:r>
        <w:rPr/>
        <w:t>that</w:t>
      </w:r>
      <w:r>
        <w:rPr>
          <w:spacing w:val="-2"/>
        </w:rPr>
        <w:t> </w:t>
      </w:r>
      <w:r>
        <w:rPr/>
        <w:t>provide new information regarding management effectiveness, progress toward meeting desired conditions or objectives, changing conditions, or validation (or invalidation) of assumptions.</w:t>
      </w:r>
    </w:p>
    <w:p>
      <w:pPr>
        <w:pStyle w:val="BodyText"/>
        <w:spacing w:line="232" w:lineRule="auto" w:before="198"/>
        <w:ind w:left="359" w:right="1185"/>
      </w:pPr>
      <w:hyperlink w:history="true" w:anchor="_bookmark278">
        <w:r>
          <w:rPr/>
          <w:t>Table</w:t>
        </w:r>
        <w:r>
          <w:rPr>
            <w:spacing w:val="-6"/>
          </w:rPr>
          <w:t> </w:t>
        </w:r>
        <w:r>
          <w:rPr/>
          <w:t>39</w:t>
        </w:r>
      </w:hyperlink>
      <w:r>
        <w:rPr>
          <w:spacing w:val="-3"/>
        </w:rPr>
        <w:t> </w:t>
      </w:r>
      <w:r>
        <w:rPr/>
        <w:t>is</w:t>
      </w:r>
      <w:r>
        <w:rPr>
          <w:spacing w:val="-6"/>
        </w:rPr>
        <w:t> </w:t>
      </w:r>
      <w:r>
        <w:rPr/>
        <w:t>the</w:t>
      </w:r>
      <w:r>
        <w:rPr>
          <w:spacing w:val="-6"/>
        </w:rPr>
        <w:t> </w:t>
      </w:r>
      <w:r>
        <w:rPr/>
        <w:t>monitoring</w:t>
      </w:r>
      <w:r>
        <w:rPr>
          <w:spacing w:val="-7"/>
        </w:rPr>
        <w:t> </w:t>
      </w:r>
      <w:r>
        <w:rPr/>
        <w:t>program.</w:t>
      </w:r>
      <w:r>
        <w:rPr>
          <w:spacing w:val="-4"/>
        </w:rPr>
        <w:t> </w:t>
      </w:r>
      <w:r>
        <w:rPr/>
        <w:t>This</w:t>
      </w:r>
      <w:r>
        <w:rPr>
          <w:spacing w:val="-6"/>
        </w:rPr>
        <w:t> </w:t>
      </w:r>
      <w:r>
        <w:rPr/>
        <w:t>table</w:t>
      </w:r>
      <w:r>
        <w:rPr>
          <w:spacing w:val="-3"/>
        </w:rPr>
        <w:t> </w:t>
      </w:r>
      <w:r>
        <w:rPr/>
        <w:t>displays</w:t>
      </w:r>
      <w:r>
        <w:rPr>
          <w:spacing w:val="-4"/>
        </w:rPr>
        <w:t> </w:t>
      </w:r>
      <w:r>
        <w:rPr/>
        <w:t>the</w:t>
      </w:r>
      <w:r>
        <w:rPr>
          <w:spacing w:val="-6"/>
        </w:rPr>
        <w:t> </w:t>
      </w:r>
      <w:r>
        <w:rPr/>
        <w:t>monitoring</w:t>
      </w:r>
      <w:r>
        <w:rPr>
          <w:spacing w:val="-5"/>
        </w:rPr>
        <w:t> </w:t>
      </w:r>
      <w:r>
        <w:rPr/>
        <w:t>questions,</w:t>
      </w:r>
      <w:r>
        <w:rPr>
          <w:spacing w:val="-6"/>
        </w:rPr>
        <w:t> </w:t>
      </w:r>
      <w:r>
        <w:rPr/>
        <w:t>the</w:t>
      </w:r>
      <w:r>
        <w:rPr>
          <w:spacing w:val="-3"/>
        </w:rPr>
        <w:t> </w:t>
      </w:r>
      <w:r>
        <w:rPr/>
        <w:t>reference to forest plan direction, the indicator(s) for answering the monitoring question and the frequency of measure. Monitoring questions are used to evaluate whether management is moving</w:t>
      </w:r>
      <w:r>
        <w:rPr>
          <w:spacing w:val="-5"/>
        </w:rPr>
        <w:t> </w:t>
      </w:r>
      <w:r>
        <w:rPr/>
        <w:t>toward,</w:t>
      </w:r>
      <w:r>
        <w:rPr>
          <w:spacing w:val="-4"/>
        </w:rPr>
        <w:t> </w:t>
      </w:r>
      <w:r>
        <w:rPr/>
        <w:t>moving</w:t>
      </w:r>
      <w:r>
        <w:rPr>
          <w:spacing w:val="-3"/>
        </w:rPr>
        <w:t> </w:t>
      </w:r>
      <w:r>
        <w:rPr/>
        <w:t>away</w:t>
      </w:r>
      <w:r>
        <w:rPr>
          <w:spacing w:val="-1"/>
        </w:rPr>
        <w:t> </w:t>
      </w:r>
      <w:r>
        <w:rPr/>
        <w:t>from,</w:t>
      </w:r>
      <w:r>
        <w:rPr>
          <w:spacing w:val="-4"/>
        </w:rPr>
        <w:t> </w:t>
      </w:r>
      <w:r>
        <w:rPr/>
        <w:t>or</w:t>
      </w:r>
      <w:r>
        <w:rPr>
          <w:spacing w:val="-4"/>
        </w:rPr>
        <w:t> </w:t>
      </w:r>
      <w:r>
        <w:rPr/>
        <w:t>maintaining</w:t>
      </w:r>
      <w:r>
        <w:rPr>
          <w:spacing w:val="-3"/>
        </w:rPr>
        <w:t> </w:t>
      </w:r>
      <w:r>
        <w:rPr/>
        <w:t>desired</w:t>
      </w:r>
      <w:r>
        <w:rPr>
          <w:spacing w:val="-3"/>
        </w:rPr>
        <w:t> </w:t>
      </w:r>
      <w:r>
        <w:rPr/>
        <w:t>conditions.</w:t>
      </w:r>
      <w:r>
        <w:rPr>
          <w:spacing w:val="-2"/>
        </w:rPr>
        <w:t> </w:t>
      </w:r>
      <w:r>
        <w:rPr/>
        <w:t>The</w:t>
      </w:r>
      <w:r>
        <w:rPr>
          <w:spacing w:val="-1"/>
        </w:rPr>
        <w:t> </w:t>
      </w:r>
      <w:r>
        <w:rPr/>
        <w:t>references</w:t>
      </w:r>
      <w:r>
        <w:rPr>
          <w:spacing w:val="-2"/>
        </w:rPr>
        <w:t> </w:t>
      </w:r>
      <w:r>
        <w:rPr/>
        <w:t>to</w:t>
      </w:r>
      <w:r>
        <w:rPr>
          <w:spacing w:val="-1"/>
        </w:rPr>
        <w:t> </w:t>
      </w:r>
      <w:r>
        <w:rPr/>
        <w:t>forest plan direction provide a link between the monitoring question and the forest plan. The forest plan references may not include all relevant direction, but rather the primary direction that is addressed by the monitoring question. Indicators are the specific resource measures used in answering</w:t>
      </w:r>
      <w:r>
        <w:rPr>
          <w:spacing w:val="-6"/>
        </w:rPr>
        <w:t> </w:t>
      </w:r>
      <w:r>
        <w:rPr/>
        <w:t>the</w:t>
      </w:r>
      <w:r>
        <w:rPr>
          <w:spacing w:val="-7"/>
        </w:rPr>
        <w:t> </w:t>
      </w:r>
      <w:r>
        <w:rPr/>
        <w:t>monitoring</w:t>
      </w:r>
      <w:r>
        <w:rPr>
          <w:spacing w:val="-8"/>
        </w:rPr>
        <w:t> </w:t>
      </w:r>
      <w:r>
        <w:rPr/>
        <w:t>questions.</w:t>
      </w:r>
      <w:r>
        <w:rPr>
          <w:spacing w:val="-5"/>
        </w:rPr>
        <w:t> </w:t>
      </w:r>
      <w:r>
        <w:rPr/>
        <w:t>Frequency</w:t>
      </w:r>
      <w:r>
        <w:rPr>
          <w:spacing w:val="-6"/>
        </w:rPr>
        <w:t> </w:t>
      </w:r>
      <w:r>
        <w:rPr/>
        <w:t>of</w:t>
      </w:r>
      <w:r>
        <w:rPr>
          <w:spacing w:val="-7"/>
        </w:rPr>
        <w:t> </w:t>
      </w:r>
      <w:r>
        <w:rPr/>
        <w:t>measure</w:t>
      </w:r>
      <w:r>
        <w:rPr>
          <w:spacing w:val="-4"/>
        </w:rPr>
        <w:t> </w:t>
      </w:r>
      <w:r>
        <w:rPr/>
        <w:t>is</w:t>
      </w:r>
      <w:r>
        <w:rPr>
          <w:spacing w:val="-7"/>
        </w:rPr>
        <w:t> </w:t>
      </w:r>
      <w:r>
        <w:rPr/>
        <w:t>the</w:t>
      </w:r>
      <w:r>
        <w:rPr>
          <w:spacing w:val="-7"/>
        </w:rPr>
        <w:t> </w:t>
      </w:r>
      <w:r>
        <w:rPr/>
        <w:t>timeframe</w:t>
      </w:r>
      <w:r>
        <w:rPr>
          <w:spacing w:val="-4"/>
        </w:rPr>
        <w:t> </w:t>
      </w:r>
      <w:r>
        <w:rPr/>
        <w:t>for</w:t>
      </w:r>
      <w:r>
        <w:rPr>
          <w:spacing w:val="-7"/>
        </w:rPr>
        <w:t> </w:t>
      </w:r>
      <w:r>
        <w:rPr/>
        <w:t>collecting</w:t>
      </w:r>
      <w:r>
        <w:rPr>
          <w:spacing w:val="-6"/>
        </w:rPr>
        <w:t> </w:t>
      </w:r>
      <w:r>
        <w:rPr/>
        <w:t>data on each indicator. The associated evaluation process determines if the observed changes are consistent</w:t>
      </w:r>
      <w:r>
        <w:rPr>
          <w:spacing w:val="-6"/>
        </w:rPr>
        <w:t> </w:t>
      </w:r>
      <w:r>
        <w:rPr/>
        <w:t>with</w:t>
      </w:r>
      <w:r>
        <w:rPr>
          <w:spacing w:val="-7"/>
        </w:rPr>
        <w:t> </w:t>
      </w:r>
      <w:r>
        <w:rPr/>
        <w:t>the</w:t>
      </w:r>
      <w:r>
        <w:rPr>
          <w:spacing w:val="-4"/>
        </w:rPr>
        <w:t> </w:t>
      </w:r>
      <w:r>
        <w:rPr/>
        <w:t>forest</w:t>
      </w:r>
      <w:r>
        <w:rPr>
          <w:spacing w:val="-4"/>
        </w:rPr>
        <w:t> </w:t>
      </w:r>
      <w:r>
        <w:rPr/>
        <w:t>plan</w:t>
      </w:r>
      <w:r>
        <w:rPr>
          <w:spacing w:val="-5"/>
        </w:rPr>
        <w:t> </w:t>
      </w:r>
      <w:r>
        <w:rPr/>
        <w:t>and</w:t>
      </w:r>
      <w:r>
        <w:rPr>
          <w:spacing w:val="-5"/>
        </w:rPr>
        <w:t> </w:t>
      </w:r>
      <w:r>
        <w:rPr/>
        <w:t>the</w:t>
      </w:r>
      <w:r>
        <w:rPr>
          <w:spacing w:val="-4"/>
        </w:rPr>
        <w:t> </w:t>
      </w:r>
      <w:r>
        <w:rPr/>
        <w:t>effectiveness</w:t>
      </w:r>
      <w:r>
        <w:rPr>
          <w:spacing w:val="-6"/>
        </w:rPr>
        <w:t> </w:t>
      </w:r>
      <w:r>
        <w:rPr/>
        <w:t>of</w:t>
      </w:r>
      <w:r>
        <w:rPr>
          <w:spacing w:val="-6"/>
        </w:rPr>
        <w:t> </w:t>
      </w:r>
      <w:r>
        <w:rPr/>
        <w:t>implementation.</w:t>
      </w:r>
      <w:r>
        <w:rPr>
          <w:spacing w:val="-7"/>
        </w:rPr>
        <w:t> </w:t>
      </w:r>
      <w:r>
        <w:rPr/>
        <w:t>Evaluation</w:t>
      </w:r>
      <w:r>
        <w:rPr>
          <w:spacing w:val="-5"/>
        </w:rPr>
        <w:t> </w:t>
      </w:r>
      <w:r>
        <w:rPr/>
        <w:t>reports</w:t>
      </w:r>
      <w:r>
        <w:rPr>
          <w:spacing w:val="-5"/>
        </w:rPr>
        <w:t> </w:t>
      </w:r>
      <w:r>
        <w:rPr/>
        <w:t>will be produced</w:t>
      </w:r>
      <w:r>
        <w:rPr>
          <w:spacing w:val="-2"/>
        </w:rPr>
        <w:t> </w:t>
      </w:r>
      <w:r>
        <w:rPr/>
        <w:t>biennially</w:t>
      </w:r>
      <w:r>
        <w:rPr>
          <w:spacing w:val="-2"/>
        </w:rPr>
        <w:t> </w:t>
      </w:r>
      <w:r>
        <w:rPr/>
        <w:t>(as</w:t>
      </w:r>
      <w:r>
        <w:rPr>
          <w:spacing w:val="-3"/>
        </w:rPr>
        <w:t> </w:t>
      </w:r>
      <w:r>
        <w:rPr/>
        <w:t>per</w:t>
      </w:r>
      <w:r>
        <w:rPr>
          <w:spacing w:val="-1"/>
        </w:rPr>
        <w:t> </w:t>
      </w:r>
      <w:r>
        <w:rPr/>
        <w:t>2012 Rule,</w:t>
      </w:r>
      <w:r>
        <w:rPr>
          <w:spacing w:val="-3"/>
        </w:rPr>
        <w:t> </w:t>
      </w:r>
      <w:r>
        <w:rPr/>
        <w:t>36 CFR</w:t>
      </w:r>
      <w:r>
        <w:rPr>
          <w:spacing w:val="-3"/>
        </w:rPr>
        <w:t> </w:t>
      </w:r>
      <w:r>
        <w:rPr/>
        <w:t>219.12(d)).</w:t>
      </w:r>
      <w:r>
        <w:rPr>
          <w:spacing w:val="-1"/>
        </w:rPr>
        <w:t> </w:t>
      </w:r>
      <w:r>
        <w:rPr/>
        <w:t>Not</w:t>
      </w:r>
      <w:r>
        <w:rPr>
          <w:spacing w:val="-3"/>
        </w:rPr>
        <w:t> </w:t>
      </w:r>
      <w:r>
        <w:rPr/>
        <w:t>all</w:t>
      </w:r>
      <w:r>
        <w:rPr>
          <w:spacing w:val="-1"/>
        </w:rPr>
        <w:t> </w:t>
      </w:r>
      <w:r>
        <w:rPr/>
        <w:t>questions</w:t>
      </w:r>
      <w:r>
        <w:rPr>
          <w:spacing w:val="-3"/>
        </w:rPr>
        <w:t> </w:t>
      </w:r>
      <w:r>
        <w:rPr/>
        <w:t>or</w:t>
      </w:r>
      <w:r>
        <w:rPr>
          <w:spacing w:val="-3"/>
        </w:rPr>
        <w:t> </w:t>
      </w:r>
      <w:r>
        <w:rPr/>
        <w:t>indicators</w:t>
      </w:r>
      <w:r>
        <w:rPr>
          <w:spacing w:val="-1"/>
        </w:rPr>
        <w:t> </w:t>
      </w:r>
      <w:r>
        <w:rPr/>
        <w:t>will be reported in the biennial Monitoring Evaluation Report.</w:t>
      </w:r>
    </w:p>
    <w:p>
      <w:pPr>
        <w:pStyle w:val="BodyText"/>
        <w:spacing w:before="5"/>
        <w:rPr>
          <w:sz w:val="13"/>
        </w:rPr>
      </w:pPr>
      <w:r>
        <w:rPr>
          <w:sz w:val="13"/>
        </w:rPr>
        <w:drawing>
          <wp:anchor distT="0" distB="0" distL="0" distR="0" allowOverlap="1" layoutInCell="1" locked="0" behindDoc="1" simplePos="0" relativeHeight="487634432">
            <wp:simplePos x="0" y="0"/>
            <wp:positionH relativeFrom="page">
              <wp:posOffset>2010727</wp:posOffset>
            </wp:positionH>
            <wp:positionV relativeFrom="paragraph">
              <wp:posOffset>119403</wp:posOffset>
            </wp:positionV>
            <wp:extent cx="3238109" cy="3157537"/>
            <wp:effectExtent l="0" t="0" r="0" b="0"/>
            <wp:wrapTopAndBottom/>
            <wp:docPr id="258" name="Image 258" descr="Photo showing a forest visitor mountain biking along Kettle Crest"/>
            <wp:cNvGraphicFramePr>
              <a:graphicFrameLocks/>
            </wp:cNvGraphicFramePr>
            <a:graphic>
              <a:graphicData uri="http://schemas.openxmlformats.org/drawingml/2006/picture">
                <pic:pic>
                  <pic:nvPicPr>
                    <pic:cNvPr id="258" name="Image 258" descr="Photo showing a forest visitor mountain biking along Kettle Crest"/>
                    <pic:cNvPicPr/>
                  </pic:nvPicPr>
                  <pic:blipFill>
                    <a:blip r:embed="rId78" cstate="print"/>
                    <a:stretch>
                      <a:fillRect/>
                    </a:stretch>
                  </pic:blipFill>
                  <pic:spPr>
                    <a:xfrm>
                      <a:off x="0" y="0"/>
                      <a:ext cx="3238109" cy="3157537"/>
                    </a:xfrm>
                    <a:prstGeom prst="rect">
                      <a:avLst/>
                    </a:prstGeom>
                  </pic:spPr>
                </pic:pic>
              </a:graphicData>
            </a:graphic>
          </wp:anchor>
        </w:drawing>
      </w:r>
    </w:p>
    <w:p>
      <w:pPr>
        <w:spacing w:before="14"/>
        <w:ind w:left="3273" w:right="0" w:firstLine="0"/>
        <w:jc w:val="left"/>
        <w:rPr>
          <w:rFonts w:ascii="Arial"/>
          <w:sz w:val="18"/>
        </w:rPr>
      </w:pPr>
      <w:r>
        <w:rPr>
          <w:rFonts w:ascii="Arial"/>
          <w:sz w:val="18"/>
        </w:rPr>
        <w:t>Mountain</w:t>
      </w:r>
      <w:r>
        <w:rPr>
          <w:rFonts w:ascii="Arial"/>
          <w:spacing w:val="-9"/>
          <w:sz w:val="18"/>
        </w:rPr>
        <w:t> </w:t>
      </w:r>
      <w:r>
        <w:rPr>
          <w:rFonts w:ascii="Arial"/>
          <w:sz w:val="18"/>
        </w:rPr>
        <w:t>biking</w:t>
      </w:r>
      <w:r>
        <w:rPr>
          <w:rFonts w:ascii="Arial"/>
          <w:spacing w:val="-8"/>
          <w:sz w:val="18"/>
        </w:rPr>
        <w:t> </w:t>
      </w:r>
      <w:r>
        <w:rPr>
          <w:rFonts w:ascii="Arial"/>
          <w:sz w:val="18"/>
        </w:rPr>
        <w:t>along</w:t>
      </w:r>
      <w:r>
        <w:rPr>
          <w:rFonts w:ascii="Arial"/>
          <w:spacing w:val="-8"/>
          <w:sz w:val="18"/>
        </w:rPr>
        <w:t> </w:t>
      </w:r>
      <w:r>
        <w:rPr>
          <w:rFonts w:ascii="Arial"/>
          <w:sz w:val="18"/>
        </w:rPr>
        <w:t>Kettle</w:t>
      </w:r>
      <w:r>
        <w:rPr>
          <w:rFonts w:ascii="Arial"/>
          <w:spacing w:val="-9"/>
          <w:sz w:val="18"/>
        </w:rPr>
        <w:t> </w:t>
      </w:r>
      <w:r>
        <w:rPr>
          <w:rFonts w:ascii="Arial"/>
          <w:spacing w:val="-2"/>
          <w:sz w:val="18"/>
        </w:rPr>
        <w:t>Crest</w:t>
      </w:r>
    </w:p>
    <w:p>
      <w:pPr>
        <w:spacing w:after="0"/>
        <w:jc w:val="left"/>
        <w:rPr>
          <w:rFonts w:ascii="Arial"/>
          <w:sz w:val="18"/>
        </w:rPr>
        <w:sectPr>
          <w:pgSz w:w="12240" w:h="15840"/>
          <w:pgMar w:header="725" w:footer="891" w:top="1340" w:bottom="1080" w:left="1080" w:right="1080"/>
        </w:sectPr>
      </w:pPr>
    </w:p>
    <w:p>
      <w:pPr>
        <w:pStyle w:val="Heading3"/>
        <w:spacing w:before="84"/>
      </w:pPr>
      <w:bookmarkStart w:name="Monitoring and Evaluation" w:id="920"/>
      <w:bookmarkEnd w:id="920"/>
      <w:r>
        <w:rPr>
          <w:b w:val="0"/>
        </w:rPr>
      </w:r>
      <w:bookmarkStart w:name="_bookmark276" w:id="921"/>
      <w:bookmarkEnd w:id="921"/>
      <w:r>
        <w:rPr>
          <w:b w:val="0"/>
        </w:rPr>
      </w:r>
      <w:r>
        <w:rPr>
          <w:smallCaps/>
          <w:color w:val="475824"/>
        </w:rPr>
        <w:t>Monitoring</w:t>
      </w:r>
      <w:r>
        <w:rPr>
          <w:smallCaps/>
          <w:color w:val="475824"/>
          <w:spacing w:val="-6"/>
        </w:rPr>
        <w:t> </w:t>
      </w:r>
      <w:r>
        <w:rPr>
          <w:smallCaps/>
          <w:color w:val="475824"/>
        </w:rPr>
        <w:t>and</w:t>
      </w:r>
      <w:r>
        <w:rPr>
          <w:smallCaps/>
          <w:color w:val="475824"/>
          <w:spacing w:val="-10"/>
        </w:rPr>
        <w:t> </w:t>
      </w:r>
      <w:r>
        <w:rPr>
          <w:smallCaps/>
          <w:color w:val="475824"/>
          <w:spacing w:val="-2"/>
        </w:rPr>
        <w:t>Evaluation</w:t>
      </w:r>
    </w:p>
    <w:p>
      <w:pPr>
        <w:pStyle w:val="BodyText"/>
        <w:spacing w:before="2"/>
        <w:rPr>
          <w:rFonts w:ascii="Arial"/>
          <w:b/>
          <w:sz w:val="8"/>
        </w:rPr>
      </w:pPr>
      <w:r>
        <w:rPr>
          <w:rFonts w:ascii="Arial"/>
          <w:b/>
          <w:sz w:val="8"/>
        </w:rPr>
        <mc:AlternateContent>
          <mc:Choice Requires="wps">
            <w:drawing>
              <wp:anchor distT="0" distB="0" distL="0" distR="0" allowOverlap="1" layoutInCell="1" locked="0" behindDoc="1" simplePos="0" relativeHeight="487634944">
                <wp:simplePos x="0" y="0"/>
                <wp:positionH relativeFrom="page">
                  <wp:posOffset>1627632</wp:posOffset>
                </wp:positionH>
                <wp:positionV relativeFrom="paragraph">
                  <wp:posOffset>75317</wp:posOffset>
                </wp:positionV>
                <wp:extent cx="5248910" cy="1610995"/>
                <wp:effectExtent l="0" t="0" r="0" b="0"/>
                <wp:wrapTopAndBottom/>
                <wp:docPr id="259" name="Group 259"/>
                <wp:cNvGraphicFramePr>
                  <a:graphicFrameLocks/>
                </wp:cNvGraphicFramePr>
                <a:graphic>
                  <a:graphicData uri="http://schemas.microsoft.com/office/word/2010/wordprocessingGroup">
                    <wpg:wgp>
                      <wpg:cNvPr id="259" name="Group 259"/>
                      <wpg:cNvGrpSpPr/>
                      <wpg:grpSpPr>
                        <a:xfrm>
                          <a:off x="0" y="0"/>
                          <a:ext cx="5248910" cy="1610995"/>
                          <a:chExt cx="5248910" cy="1610995"/>
                        </a:xfrm>
                      </wpg:grpSpPr>
                      <wps:wsp>
                        <wps:cNvPr id="260" name="Graphic 260"/>
                        <wps:cNvSpPr/>
                        <wps:spPr>
                          <a:xfrm>
                            <a:off x="0" y="0"/>
                            <a:ext cx="5248910" cy="1610995"/>
                          </a:xfrm>
                          <a:custGeom>
                            <a:avLst/>
                            <a:gdLst/>
                            <a:ahLst/>
                            <a:cxnLst/>
                            <a:rect l="l" t="t" r="r" b="b"/>
                            <a:pathLst>
                              <a:path w="5248910" h="1610995">
                                <a:moveTo>
                                  <a:pt x="5248643" y="0"/>
                                </a:moveTo>
                                <a:lnTo>
                                  <a:pt x="0" y="0"/>
                                </a:lnTo>
                                <a:lnTo>
                                  <a:pt x="0" y="170688"/>
                                </a:lnTo>
                                <a:lnTo>
                                  <a:pt x="0" y="341376"/>
                                </a:lnTo>
                                <a:lnTo>
                                  <a:pt x="0" y="1610868"/>
                                </a:lnTo>
                                <a:lnTo>
                                  <a:pt x="5248643" y="1610868"/>
                                </a:lnTo>
                                <a:lnTo>
                                  <a:pt x="5248643" y="170688"/>
                                </a:lnTo>
                                <a:lnTo>
                                  <a:pt x="5248643" y="0"/>
                                </a:lnTo>
                                <a:close/>
                              </a:path>
                            </a:pathLst>
                          </a:custGeom>
                          <a:solidFill>
                            <a:srgbClr val="DFDFDF"/>
                          </a:solidFill>
                        </wps:spPr>
                        <wps:bodyPr wrap="square" lIns="0" tIns="0" rIns="0" bIns="0" rtlCol="0">
                          <a:prstTxWarp prst="textNoShape">
                            <a:avLst/>
                          </a:prstTxWarp>
                          <a:noAutofit/>
                        </wps:bodyPr>
                      </wps:wsp>
                      <wps:wsp>
                        <wps:cNvPr id="261" name="Textbox 261"/>
                        <wps:cNvSpPr txBox="1"/>
                        <wps:spPr>
                          <a:xfrm>
                            <a:off x="0" y="0"/>
                            <a:ext cx="5248910" cy="1610995"/>
                          </a:xfrm>
                          <a:prstGeom prst="rect">
                            <a:avLst/>
                          </a:prstGeom>
                        </wps:spPr>
                        <wps:txbx>
                          <w:txbxContent>
                            <w:p>
                              <w:pPr>
                                <w:spacing w:before="0"/>
                                <w:ind w:left="28" w:right="29" w:firstLine="0"/>
                                <w:jc w:val="left"/>
                                <w:rPr>
                                  <w:sz w:val="22"/>
                                </w:rPr>
                              </w:pPr>
                              <w:r>
                                <w:rPr>
                                  <w:sz w:val="22"/>
                                </w:rPr>
                                <w:t>Monitoring</w:t>
                              </w:r>
                              <w:r>
                                <w:rPr>
                                  <w:spacing w:val="-4"/>
                                  <w:sz w:val="22"/>
                                </w:rPr>
                                <w:t> </w:t>
                              </w:r>
                              <w:r>
                                <w:rPr>
                                  <w:sz w:val="22"/>
                                </w:rPr>
                                <w:t>Component:</w:t>
                              </w:r>
                              <w:r>
                                <w:rPr>
                                  <w:spacing w:val="-2"/>
                                  <w:sz w:val="22"/>
                                </w:rPr>
                                <w:t> </w:t>
                              </w:r>
                              <w:r>
                                <w:rPr>
                                  <w:sz w:val="22"/>
                                </w:rPr>
                                <w:t>this</w:t>
                              </w:r>
                              <w:r>
                                <w:rPr>
                                  <w:spacing w:val="-3"/>
                                  <w:sz w:val="22"/>
                                </w:rPr>
                                <w:t> </w:t>
                              </w:r>
                              <w:r>
                                <w:rPr>
                                  <w:sz w:val="22"/>
                                </w:rPr>
                                <w:t>provides</w:t>
                              </w:r>
                              <w:r>
                                <w:rPr>
                                  <w:spacing w:val="-3"/>
                                  <w:sz w:val="22"/>
                                </w:rPr>
                                <w:t> </w:t>
                              </w:r>
                              <w:r>
                                <w:rPr>
                                  <w:sz w:val="22"/>
                                </w:rPr>
                                <w:t>a</w:t>
                              </w:r>
                              <w:r>
                                <w:rPr>
                                  <w:spacing w:val="-4"/>
                                  <w:sz w:val="22"/>
                                </w:rPr>
                                <w:t> </w:t>
                              </w:r>
                              <w:r>
                                <w:rPr>
                                  <w:sz w:val="22"/>
                                </w:rPr>
                                <w:t>monitoring</w:t>
                              </w:r>
                              <w:r>
                                <w:rPr>
                                  <w:spacing w:val="-4"/>
                                  <w:sz w:val="22"/>
                                </w:rPr>
                                <w:t> </w:t>
                              </w:r>
                              <w:r>
                                <w:rPr>
                                  <w:sz w:val="22"/>
                                </w:rPr>
                                <w:t>program</w:t>
                              </w:r>
                              <w:r>
                                <w:rPr>
                                  <w:spacing w:val="-4"/>
                                  <w:sz w:val="22"/>
                                </w:rPr>
                                <w:t> </w:t>
                              </w:r>
                              <w:r>
                                <w:rPr>
                                  <w:sz w:val="22"/>
                                </w:rPr>
                                <w:t>that</w:t>
                              </w:r>
                              <w:r>
                                <w:rPr>
                                  <w:spacing w:val="-4"/>
                                  <w:sz w:val="22"/>
                                </w:rPr>
                                <w:t> </w:t>
                              </w:r>
                              <w:r>
                                <w:rPr>
                                  <w:sz w:val="22"/>
                                </w:rPr>
                                <w:t>evaluates</w:t>
                              </w:r>
                              <w:r>
                                <w:rPr>
                                  <w:spacing w:val="-4"/>
                                  <w:sz w:val="22"/>
                                </w:rPr>
                                <w:t> </w:t>
                              </w:r>
                              <w:r>
                                <w:rPr>
                                  <w:sz w:val="22"/>
                                </w:rPr>
                                <w:t>how</w:t>
                              </w:r>
                              <w:r>
                                <w:rPr>
                                  <w:spacing w:val="-6"/>
                                  <w:sz w:val="22"/>
                                </w:rPr>
                                <w:t> </w:t>
                              </w:r>
                              <w:r>
                                <w:rPr>
                                  <w:sz w:val="22"/>
                                </w:rPr>
                                <w:t>the</w:t>
                              </w:r>
                              <w:r>
                                <w:rPr>
                                  <w:spacing w:val="-2"/>
                                  <w:sz w:val="22"/>
                                </w:rPr>
                                <w:t> </w:t>
                              </w:r>
                              <w:r>
                                <w:rPr>
                                  <w:sz w:val="22"/>
                                </w:rPr>
                                <w:t>on-the- ground management is maintaining or making progress toward desired conditions and objectives of this plan. The</w:t>
                              </w:r>
                              <w:r>
                                <w:rPr>
                                  <w:spacing w:val="-2"/>
                                  <w:sz w:val="22"/>
                                </w:rPr>
                                <w:t> </w:t>
                              </w:r>
                              <w:r>
                                <w:rPr>
                                  <w:sz w:val="22"/>
                                </w:rPr>
                                <w:t>Plan</w:t>
                              </w:r>
                              <w:r>
                                <w:rPr>
                                  <w:spacing w:val="-1"/>
                                  <w:sz w:val="22"/>
                                </w:rPr>
                                <w:t> </w:t>
                              </w:r>
                              <w:r>
                                <w:rPr>
                                  <w:sz w:val="22"/>
                                </w:rPr>
                                <w:t>provides</w:t>
                              </w:r>
                              <w:r>
                                <w:rPr>
                                  <w:spacing w:val="-2"/>
                                  <w:sz w:val="22"/>
                                </w:rPr>
                                <w:t> </w:t>
                              </w:r>
                              <w:r>
                                <w:rPr>
                                  <w:sz w:val="22"/>
                                </w:rPr>
                                <w:t>the items to</w:t>
                              </w:r>
                              <w:r>
                                <w:rPr>
                                  <w:spacing w:val="-1"/>
                                  <w:sz w:val="22"/>
                                </w:rPr>
                                <w:t> </w:t>
                              </w:r>
                              <w:r>
                                <w:rPr>
                                  <w:sz w:val="22"/>
                                </w:rPr>
                                <w:t>be monitored</w:t>
                              </w:r>
                              <w:r>
                                <w:rPr>
                                  <w:spacing w:val="-1"/>
                                  <w:sz w:val="22"/>
                                </w:rPr>
                                <w:t> </w:t>
                              </w:r>
                              <w:r>
                                <w:rPr>
                                  <w:sz w:val="22"/>
                                </w:rPr>
                                <w:t>per</w:t>
                              </w:r>
                              <w:r>
                                <w:rPr>
                                  <w:spacing w:val="-2"/>
                                  <w:sz w:val="22"/>
                                </w:rPr>
                                <w:t> </w:t>
                              </w:r>
                              <w:r>
                                <w:rPr>
                                  <w:sz w:val="22"/>
                                </w:rPr>
                                <w:t>the</w:t>
                              </w:r>
                              <w:r>
                                <w:rPr>
                                  <w:spacing w:val="-2"/>
                                  <w:sz w:val="22"/>
                                </w:rPr>
                                <w:t> </w:t>
                              </w:r>
                              <w:r>
                                <w:rPr>
                                  <w:sz w:val="22"/>
                                </w:rPr>
                                <w:t>monitoring</w:t>
                              </w:r>
                              <w:r>
                                <w:rPr>
                                  <w:spacing w:val="-1"/>
                                  <w:sz w:val="22"/>
                                </w:rPr>
                                <w:t> </w:t>
                              </w:r>
                              <w:r>
                                <w:rPr>
                                  <w:sz w:val="22"/>
                                </w:rPr>
                                <w:t>and evaluation requirements found at 36 CFR 219.12 of the 2012 Rule.</w:t>
                              </w:r>
                              <w:r>
                                <w:rPr>
                                  <w:spacing w:val="-1"/>
                                  <w:sz w:val="22"/>
                                </w:rPr>
                                <w:t> </w:t>
                              </w:r>
                              <w:r>
                                <w:rPr>
                                  <w:sz w:val="22"/>
                                </w:rPr>
                                <w:t>Details on</w:t>
                              </w:r>
                              <w:r>
                                <w:rPr>
                                  <w:spacing w:val="-1"/>
                                  <w:sz w:val="22"/>
                                </w:rPr>
                                <w:t> </w:t>
                              </w:r>
                              <w:r>
                                <w:rPr>
                                  <w:sz w:val="22"/>
                                </w:rPr>
                                <w:t>methodology, data storage, and responsibility are not considered plan components and are not included in the plan.</w:t>
                              </w:r>
                            </w:p>
                            <w:p>
                              <w:pPr>
                                <w:spacing w:before="120"/>
                                <w:ind w:left="28" w:right="0" w:firstLine="0"/>
                                <w:jc w:val="left"/>
                                <w:rPr>
                                  <w:sz w:val="22"/>
                                </w:rPr>
                              </w:pPr>
                              <w:r>
                                <w:rPr>
                                  <w:sz w:val="22"/>
                                </w:rPr>
                                <w:t>Information, science, and unforeseen circumstances continually change over the life of a plan.</w:t>
                              </w:r>
                              <w:r>
                                <w:rPr>
                                  <w:spacing w:val="-3"/>
                                  <w:sz w:val="22"/>
                                </w:rPr>
                                <w:t> </w:t>
                              </w:r>
                              <w:r>
                                <w:rPr>
                                  <w:sz w:val="22"/>
                                </w:rPr>
                                <w:t>The</w:t>
                              </w:r>
                              <w:r>
                                <w:rPr>
                                  <w:spacing w:val="-2"/>
                                  <w:sz w:val="22"/>
                                </w:rPr>
                                <w:t> </w:t>
                              </w:r>
                              <w:r>
                                <w:rPr>
                                  <w:sz w:val="22"/>
                                </w:rPr>
                                <w:t>major</w:t>
                              </w:r>
                              <w:r>
                                <w:rPr>
                                  <w:spacing w:val="-5"/>
                                  <w:sz w:val="22"/>
                                </w:rPr>
                                <w:t> </w:t>
                              </w:r>
                              <w:r>
                                <w:rPr>
                                  <w:sz w:val="22"/>
                                </w:rPr>
                                <w:t>mechanism</w:t>
                              </w:r>
                              <w:r>
                                <w:rPr>
                                  <w:spacing w:val="-2"/>
                                  <w:sz w:val="22"/>
                                </w:rPr>
                                <w:t> </w:t>
                              </w:r>
                              <w:r>
                                <w:rPr>
                                  <w:sz w:val="22"/>
                                </w:rPr>
                                <w:t>for</w:t>
                              </w:r>
                              <w:r>
                                <w:rPr>
                                  <w:spacing w:val="-3"/>
                                  <w:sz w:val="22"/>
                                </w:rPr>
                                <w:t> </w:t>
                              </w:r>
                              <w:r>
                                <w:rPr>
                                  <w:sz w:val="22"/>
                                </w:rPr>
                                <w:t>reacting</w:t>
                              </w:r>
                              <w:r>
                                <w:rPr>
                                  <w:spacing w:val="-4"/>
                                  <w:sz w:val="22"/>
                                </w:rPr>
                                <w:t> </w:t>
                              </w:r>
                              <w:r>
                                <w:rPr>
                                  <w:sz w:val="22"/>
                                </w:rPr>
                                <w:t>swiftly</w:t>
                              </w:r>
                              <w:r>
                                <w:rPr>
                                  <w:spacing w:val="-4"/>
                                  <w:sz w:val="22"/>
                                </w:rPr>
                                <w:t> </w:t>
                              </w:r>
                              <w:r>
                                <w:rPr>
                                  <w:sz w:val="22"/>
                                </w:rPr>
                                <w:t>and</w:t>
                              </w:r>
                              <w:r>
                                <w:rPr>
                                  <w:spacing w:val="-4"/>
                                  <w:sz w:val="22"/>
                                </w:rPr>
                                <w:t> </w:t>
                              </w:r>
                              <w:r>
                                <w:rPr>
                                  <w:sz w:val="22"/>
                                </w:rPr>
                                <w:t>efficiently</w:t>
                              </w:r>
                              <w:r>
                                <w:rPr>
                                  <w:spacing w:val="-4"/>
                                  <w:sz w:val="22"/>
                                </w:rPr>
                                <w:t> </w:t>
                              </w:r>
                              <w:r>
                                <w:rPr>
                                  <w:sz w:val="22"/>
                                </w:rPr>
                                <w:t>to</w:t>
                              </w:r>
                              <w:r>
                                <w:rPr>
                                  <w:spacing w:val="-4"/>
                                  <w:sz w:val="22"/>
                                </w:rPr>
                                <w:t> </w:t>
                              </w:r>
                              <w:r>
                                <w:rPr>
                                  <w:sz w:val="22"/>
                                </w:rPr>
                                <w:t>new</w:t>
                              </w:r>
                              <w:r>
                                <w:rPr>
                                  <w:spacing w:val="-5"/>
                                  <w:sz w:val="22"/>
                                </w:rPr>
                                <w:t> </w:t>
                              </w:r>
                              <w:r>
                                <w:rPr>
                                  <w:sz w:val="22"/>
                                </w:rPr>
                                <w:t>information,</w:t>
                              </w:r>
                              <w:r>
                                <w:rPr>
                                  <w:spacing w:val="-3"/>
                                  <w:sz w:val="22"/>
                                </w:rPr>
                                <w:t> </w:t>
                              </w:r>
                              <w:r>
                                <w:rPr>
                                  <w:sz w:val="22"/>
                                </w:rPr>
                                <w:t>science, or circumstances is provided through a monitoring program for the plan. These include:</w:t>
                              </w:r>
                            </w:p>
                          </w:txbxContent>
                        </wps:txbx>
                        <wps:bodyPr wrap="square" lIns="0" tIns="0" rIns="0" bIns="0" rtlCol="0">
                          <a:noAutofit/>
                        </wps:bodyPr>
                      </wps:wsp>
                    </wpg:wgp>
                  </a:graphicData>
                </a:graphic>
              </wp:anchor>
            </w:drawing>
          </mc:Choice>
          <mc:Fallback>
            <w:pict>
              <v:group style="position:absolute;margin-left:128.160004pt;margin-top:5.930537pt;width:413.3pt;height:126.85pt;mso-position-horizontal-relative:page;mso-position-vertical-relative:paragraph;z-index:-15681536;mso-wrap-distance-left:0;mso-wrap-distance-right:0" id="docshapegroup244" coordorigin="2563,119" coordsize="8266,2537">
                <v:shape style="position:absolute;left:2563;top:118;width:8266;height:2537" id="docshape245" coordorigin="2563,119" coordsize="8266,2537" path="m10829,119l2563,119,2563,387,2563,656,2563,2655,10829,2655,10829,387,10829,119xe" filled="true" fillcolor="#dfdfdf" stroked="false">
                  <v:path arrowok="t"/>
                  <v:fill type="solid"/>
                </v:shape>
                <v:shape style="position:absolute;left:2563;top:118;width:8266;height:2537" type="#_x0000_t202" id="docshape246" filled="false" stroked="false">
                  <v:textbox inset="0,0,0,0">
                    <w:txbxContent>
                      <w:p>
                        <w:pPr>
                          <w:spacing w:before="0"/>
                          <w:ind w:left="28" w:right="29" w:firstLine="0"/>
                          <w:jc w:val="left"/>
                          <w:rPr>
                            <w:sz w:val="22"/>
                          </w:rPr>
                        </w:pPr>
                        <w:r>
                          <w:rPr>
                            <w:sz w:val="22"/>
                          </w:rPr>
                          <w:t>Monitoring</w:t>
                        </w:r>
                        <w:r>
                          <w:rPr>
                            <w:spacing w:val="-4"/>
                            <w:sz w:val="22"/>
                          </w:rPr>
                          <w:t> </w:t>
                        </w:r>
                        <w:r>
                          <w:rPr>
                            <w:sz w:val="22"/>
                          </w:rPr>
                          <w:t>Component:</w:t>
                        </w:r>
                        <w:r>
                          <w:rPr>
                            <w:spacing w:val="-2"/>
                            <w:sz w:val="22"/>
                          </w:rPr>
                          <w:t> </w:t>
                        </w:r>
                        <w:r>
                          <w:rPr>
                            <w:sz w:val="22"/>
                          </w:rPr>
                          <w:t>this</w:t>
                        </w:r>
                        <w:r>
                          <w:rPr>
                            <w:spacing w:val="-3"/>
                            <w:sz w:val="22"/>
                          </w:rPr>
                          <w:t> </w:t>
                        </w:r>
                        <w:r>
                          <w:rPr>
                            <w:sz w:val="22"/>
                          </w:rPr>
                          <w:t>provides</w:t>
                        </w:r>
                        <w:r>
                          <w:rPr>
                            <w:spacing w:val="-3"/>
                            <w:sz w:val="22"/>
                          </w:rPr>
                          <w:t> </w:t>
                        </w:r>
                        <w:r>
                          <w:rPr>
                            <w:sz w:val="22"/>
                          </w:rPr>
                          <w:t>a</w:t>
                        </w:r>
                        <w:r>
                          <w:rPr>
                            <w:spacing w:val="-4"/>
                            <w:sz w:val="22"/>
                          </w:rPr>
                          <w:t> </w:t>
                        </w:r>
                        <w:r>
                          <w:rPr>
                            <w:sz w:val="22"/>
                          </w:rPr>
                          <w:t>monitoring</w:t>
                        </w:r>
                        <w:r>
                          <w:rPr>
                            <w:spacing w:val="-4"/>
                            <w:sz w:val="22"/>
                          </w:rPr>
                          <w:t> </w:t>
                        </w:r>
                        <w:r>
                          <w:rPr>
                            <w:sz w:val="22"/>
                          </w:rPr>
                          <w:t>program</w:t>
                        </w:r>
                        <w:r>
                          <w:rPr>
                            <w:spacing w:val="-4"/>
                            <w:sz w:val="22"/>
                          </w:rPr>
                          <w:t> </w:t>
                        </w:r>
                        <w:r>
                          <w:rPr>
                            <w:sz w:val="22"/>
                          </w:rPr>
                          <w:t>that</w:t>
                        </w:r>
                        <w:r>
                          <w:rPr>
                            <w:spacing w:val="-4"/>
                            <w:sz w:val="22"/>
                          </w:rPr>
                          <w:t> </w:t>
                        </w:r>
                        <w:r>
                          <w:rPr>
                            <w:sz w:val="22"/>
                          </w:rPr>
                          <w:t>evaluates</w:t>
                        </w:r>
                        <w:r>
                          <w:rPr>
                            <w:spacing w:val="-4"/>
                            <w:sz w:val="22"/>
                          </w:rPr>
                          <w:t> </w:t>
                        </w:r>
                        <w:r>
                          <w:rPr>
                            <w:sz w:val="22"/>
                          </w:rPr>
                          <w:t>how</w:t>
                        </w:r>
                        <w:r>
                          <w:rPr>
                            <w:spacing w:val="-6"/>
                            <w:sz w:val="22"/>
                          </w:rPr>
                          <w:t> </w:t>
                        </w:r>
                        <w:r>
                          <w:rPr>
                            <w:sz w:val="22"/>
                          </w:rPr>
                          <w:t>the</w:t>
                        </w:r>
                        <w:r>
                          <w:rPr>
                            <w:spacing w:val="-2"/>
                            <w:sz w:val="22"/>
                          </w:rPr>
                          <w:t> </w:t>
                        </w:r>
                        <w:r>
                          <w:rPr>
                            <w:sz w:val="22"/>
                          </w:rPr>
                          <w:t>on-the- ground management is maintaining or making progress toward desired conditions and objectives of this plan. The</w:t>
                        </w:r>
                        <w:r>
                          <w:rPr>
                            <w:spacing w:val="-2"/>
                            <w:sz w:val="22"/>
                          </w:rPr>
                          <w:t> </w:t>
                        </w:r>
                        <w:r>
                          <w:rPr>
                            <w:sz w:val="22"/>
                          </w:rPr>
                          <w:t>Plan</w:t>
                        </w:r>
                        <w:r>
                          <w:rPr>
                            <w:spacing w:val="-1"/>
                            <w:sz w:val="22"/>
                          </w:rPr>
                          <w:t> </w:t>
                        </w:r>
                        <w:r>
                          <w:rPr>
                            <w:sz w:val="22"/>
                          </w:rPr>
                          <w:t>provides</w:t>
                        </w:r>
                        <w:r>
                          <w:rPr>
                            <w:spacing w:val="-2"/>
                            <w:sz w:val="22"/>
                          </w:rPr>
                          <w:t> </w:t>
                        </w:r>
                        <w:r>
                          <w:rPr>
                            <w:sz w:val="22"/>
                          </w:rPr>
                          <w:t>the items to</w:t>
                        </w:r>
                        <w:r>
                          <w:rPr>
                            <w:spacing w:val="-1"/>
                            <w:sz w:val="22"/>
                          </w:rPr>
                          <w:t> </w:t>
                        </w:r>
                        <w:r>
                          <w:rPr>
                            <w:sz w:val="22"/>
                          </w:rPr>
                          <w:t>be monitored</w:t>
                        </w:r>
                        <w:r>
                          <w:rPr>
                            <w:spacing w:val="-1"/>
                            <w:sz w:val="22"/>
                          </w:rPr>
                          <w:t> </w:t>
                        </w:r>
                        <w:r>
                          <w:rPr>
                            <w:sz w:val="22"/>
                          </w:rPr>
                          <w:t>per</w:t>
                        </w:r>
                        <w:r>
                          <w:rPr>
                            <w:spacing w:val="-2"/>
                            <w:sz w:val="22"/>
                          </w:rPr>
                          <w:t> </w:t>
                        </w:r>
                        <w:r>
                          <w:rPr>
                            <w:sz w:val="22"/>
                          </w:rPr>
                          <w:t>the</w:t>
                        </w:r>
                        <w:r>
                          <w:rPr>
                            <w:spacing w:val="-2"/>
                            <w:sz w:val="22"/>
                          </w:rPr>
                          <w:t> </w:t>
                        </w:r>
                        <w:r>
                          <w:rPr>
                            <w:sz w:val="22"/>
                          </w:rPr>
                          <w:t>monitoring</w:t>
                        </w:r>
                        <w:r>
                          <w:rPr>
                            <w:spacing w:val="-1"/>
                            <w:sz w:val="22"/>
                          </w:rPr>
                          <w:t> </w:t>
                        </w:r>
                        <w:r>
                          <w:rPr>
                            <w:sz w:val="22"/>
                          </w:rPr>
                          <w:t>and evaluation requirements found at 36 CFR 219.12 of the 2012 Rule.</w:t>
                        </w:r>
                        <w:r>
                          <w:rPr>
                            <w:spacing w:val="-1"/>
                            <w:sz w:val="22"/>
                          </w:rPr>
                          <w:t> </w:t>
                        </w:r>
                        <w:r>
                          <w:rPr>
                            <w:sz w:val="22"/>
                          </w:rPr>
                          <w:t>Details on</w:t>
                        </w:r>
                        <w:r>
                          <w:rPr>
                            <w:spacing w:val="-1"/>
                            <w:sz w:val="22"/>
                          </w:rPr>
                          <w:t> </w:t>
                        </w:r>
                        <w:r>
                          <w:rPr>
                            <w:sz w:val="22"/>
                          </w:rPr>
                          <w:t>methodology, data storage, and responsibility are not considered plan components and are not included in the plan.</w:t>
                        </w:r>
                      </w:p>
                      <w:p>
                        <w:pPr>
                          <w:spacing w:before="120"/>
                          <w:ind w:left="28" w:right="0" w:firstLine="0"/>
                          <w:jc w:val="left"/>
                          <w:rPr>
                            <w:sz w:val="22"/>
                          </w:rPr>
                        </w:pPr>
                        <w:r>
                          <w:rPr>
                            <w:sz w:val="22"/>
                          </w:rPr>
                          <w:t>Information, science, and unforeseen circumstances continually change over the life of a plan.</w:t>
                        </w:r>
                        <w:r>
                          <w:rPr>
                            <w:spacing w:val="-3"/>
                            <w:sz w:val="22"/>
                          </w:rPr>
                          <w:t> </w:t>
                        </w:r>
                        <w:r>
                          <w:rPr>
                            <w:sz w:val="22"/>
                          </w:rPr>
                          <w:t>The</w:t>
                        </w:r>
                        <w:r>
                          <w:rPr>
                            <w:spacing w:val="-2"/>
                            <w:sz w:val="22"/>
                          </w:rPr>
                          <w:t> </w:t>
                        </w:r>
                        <w:r>
                          <w:rPr>
                            <w:sz w:val="22"/>
                          </w:rPr>
                          <w:t>major</w:t>
                        </w:r>
                        <w:r>
                          <w:rPr>
                            <w:spacing w:val="-5"/>
                            <w:sz w:val="22"/>
                          </w:rPr>
                          <w:t> </w:t>
                        </w:r>
                        <w:r>
                          <w:rPr>
                            <w:sz w:val="22"/>
                          </w:rPr>
                          <w:t>mechanism</w:t>
                        </w:r>
                        <w:r>
                          <w:rPr>
                            <w:spacing w:val="-2"/>
                            <w:sz w:val="22"/>
                          </w:rPr>
                          <w:t> </w:t>
                        </w:r>
                        <w:r>
                          <w:rPr>
                            <w:sz w:val="22"/>
                          </w:rPr>
                          <w:t>for</w:t>
                        </w:r>
                        <w:r>
                          <w:rPr>
                            <w:spacing w:val="-3"/>
                            <w:sz w:val="22"/>
                          </w:rPr>
                          <w:t> </w:t>
                        </w:r>
                        <w:r>
                          <w:rPr>
                            <w:sz w:val="22"/>
                          </w:rPr>
                          <w:t>reacting</w:t>
                        </w:r>
                        <w:r>
                          <w:rPr>
                            <w:spacing w:val="-4"/>
                            <w:sz w:val="22"/>
                          </w:rPr>
                          <w:t> </w:t>
                        </w:r>
                        <w:r>
                          <w:rPr>
                            <w:sz w:val="22"/>
                          </w:rPr>
                          <w:t>swiftly</w:t>
                        </w:r>
                        <w:r>
                          <w:rPr>
                            <w:spacing w:val="-4"/>
                            <w:sz w:val="22"/>
                          </w:rPr>
                          <w:t> </w:t>
                        </w:r>
                        <w:r>
                          <w:rPr>
                            <w:sz w:val="22"/>
                          </w:rPr>
                          <w:t>and</w:t>
                        </w:r>
                        <w:r>
                          <w:rPr>
                            <w:spacing w:val="-4"/>
                            <w:sz w:val="22"/>
                          </w:rPr>
                          <w:t> </w:t>
                        </w:r>
                        <w:r>
                          <w:rPr>
                            <w:sz w:val="22"/>
                          </w:rPr>
                          <w:t>efficiently</w:t>
                        </w:r>
                        <w:r>
                          <w:rPr>
                            <w:spacing w:val="-4"/>
                            <w:sz w:val="22"/>
                          </w:rPr>
                          <w:t> </w:t>
                        </w:r>
                        <w:r>
                          <w:rPr>
                            <w:sz w:val="22"/>
                          </w:rPr>
                          <w:t>to</w:t>
                        </w:r>
                        <w:r>
                          <w:rPr>
                            <w:spacing w:val="-4"/>
                            <w:sz w:val="22"/>
                          </w:rPr>
                          <w:t> </w:t>
                        </w:r>
                        <w:r>
                          <w:rPr>
                            <w:sz w:val="22"/>
                          </w:rPr>
                          <w:t>new</w:t>
                        </w:r>
                        <w:r>
                          <w:rPr>
                            <w:spacing w:val="-5"/>
                            <w:sz w:val="22"/>
                          </w:rPr>
                          <w:t> </w:t>
                        </w:r>
                        <w:r>
                          <w:rPr>
                            <w:sz w:val="22"/>
                          </w:rPr>
                          <w:t>information,</w:t>
                        </w:r>
                        <w:r>
                          <w:rPr>
                            <w:spacing w:val="-3"/>
                            <w:sz w:val="22"/>
                          </w:rPr>
                          <w:t> </w:t>
                        </w:r>
                        <w:r>
                          <w:rPr>
                            <w:sz w:val="22"/>
                          </w:rPr>
                          <w:t>science, or circumstances is provided through a monitoring program for the plan. These include:</w:t>
                        </w:r>
                      </w:p>
                    </w:txbxContent>
                  </v:textbox>
                  <w10:wrap type="none"/>
                </v:shape>
                <w10:wrap type="topAndBottom"/>
              </v:group>
            </w:pict>
          </mc:Fallback>
        </mc:AlternateContent>
      </w:r>
      <w:r>
        <w:rPr>
          <w:rFonts w:ascii="Arial"/>
          <w:b/>
          <w:sz w:val="8"/>
        </w:rPr>
        <mc:AlternateContent>
          <mc:Choice Requires="wps">
            <w:drawing>
              <wp:anchor distT="0" distB="0" distL="0" distR="0" allowOverlap="1" layoutInCell="1" locked="0" behindDoc="1" simplePos="0" relativeHeight="487635456">
                <wp:simplePos x="0" y="0"/>
                <wp:positionH relativeFrom="page">
                  <wp:posOffset>1856232</wp:posOffset>
                </wp:positionH>
                <wp:positionV relativeFrom="paragraph">
                  <wp:posOffset>1762385</wp:posOffset>
                </wp:positionV>
                <wp:extent cx="5020310" cy="1594485"/>
                <wp:effectExtent l="0" t="0" r="0" b="0"/>
                <wp:wrapTopAndBottom/>
                <wp:docPr id="262" name="Group 262"/>
                <wp:cNvGraphicFramePr>
                  <a:graphicFrameLocks/>
                </wp:cNvGraphicFramePr>
                <a:graphic>
                  <a:graphicData uri="http://schemas.microsoft.com/office/word/2010/wordprocessingGroup">
                    <wpg:wgp>
                      <wpg:cNvPr id="262" name="Group 262"/>
                      <wpg:cNvGrpSpPr/>
                      <wpg:grpSpPr>
                        <a:xfrm>
                          <a:off x="0" y="0"/>
                          <a:ext cx="5020310" cy="1594485"/>
                          <a:chExt cx="5020310" cy="1594485"/>
                        </a:xfrm>
                      </wpg:grpSpPr>
                      <wps:wsp>
                        <wps:cNvPr id="263" name="Graphic 263"/>
                        <wps:cNvSpPr/>
                        <wps:spPr>
                          <a:xfrm>
                            <a:off x="0" y="0"/>
                            <a:ext cx="5020310" cy="1594485"/>
                          </a:xfrm>
                          <a:custGeom>
                            <a:avLst/>
                            <a:gdLst/>
                            <a:ahLst/>
                            <a:cxnLst/>
                            <a:rect l="l" t="t" r="r" b="b"/>
                            <a:pathLst>
                              <a:path w="5020310" h="1594485">
                                <a:moveTo>
                                  <a:pt x="5020043" y="0"/>
                                </a:moveTo>
                                <a:lnTo>
                                  <a:pt x="0" y="0"/>
                                </a:lnTo>
                                <a:lnTo>
                                  <a:pt x="0" y="170688"/>
                                </a:lnTo>
                                <a:lnTo>
                                  <a:pt x="0" y="417576"/>
                                </a:lnTo>
                                <a:lnTo>
                                  <a:pt x="0" y="1594104"/>
                                </a:lnTo>
                                <a:lnTo>
                                  <a:pt x="5020043" y="1594104"/>
                                </a:lnTo>
                                <a:lnTo>
                                  <a:pt x="5020043" y="170688"/>
                                </a:lnTo>
                                <a:lnTo>
                                  <a:pt x="5020043" y="0"/>
                                </a:lnTo>
                                <a:close/>
                              </a:path>
                            </a:pathLst>
                          </a:custGeom>
                          <a:solidFill>
                            <a:srgbClr val="DFDFDF"/>
                          </a:solidFill>
                        </wps:spPr>
                        <wps:bodyPr wrap="square" lIns="0" tIns="0" rIns="0" bIns="0" rtlCol="0">
                          <a:prstTxWarp prst="textNoShape">
                            <a:avLst/>
                          </a:prstTxWarp>
                          <a:noAutofit/>
                        </wps:bodyPr>
                      </wps:wsp>
                      <wps:wsp>
                        <wps:cNvPr id="264" name="Textbox 264"/>
                        <wps:cNvSpPr txBox="1"/>
                        <wps:spPr>
                          <a:xfrm>
                            <a:off x="0" y="0"/>
                            <a:ext cx="5020310" cy="1594485"/>
                          </a:xfrm>
                          <a:prstGeom prst="rect">
                            <a:avLst/>
                          </a:prstGeom>
                        </wps:spPr>
                        <wps:txbx>
                          <w:txbxContent>
                            <w:p>
                              <w:pPr>
                                <w:numPr>
                                  <w:ilvl w:val="0"/>
                                  <w:numId w:val="27"/>
                                </w:numPr>
                                <w:tabs>
                                  <w:tab w:pos="386" w:val="left" w:leader="none"/>
                                  <w:tab w:pos="388" w:val="left" w:leader="none"/>
                                </w:tabs>
                                <w:spacing w:before="0"/>
                                <w:ind w:left="388" w:right="318" w:hanging="360"/>
                                <w:jc w:val="left"/>
                                <w:rPr>
                                  <w:sz w:val="22"/>
                                </w:rPr>
                              </w:pPr>
                              <w:r>
                                <w:rPr>
                                  <w:sz w:val="22"/>
                                </w:rPr>
                                <w:t>Monitoring</w:t>
                              </w:r>
                              <w:r>
                                <w:rPr>
                                  <w:spacing w:val="-5"/>
                                  <w:sz w:val="22"/>
                                </w:rPr>
                                <w:t> </w:t>
                              </w:r>
                              <w:r>
                                <w:rPr>
                                  <w:sz w:val="22"/>
                                </w:rPr>
                                <w:t>to</w:t>
                              </w:r>
                              <w:r>
                                <w:rPr>
                                  <w:spacing w:val="-3"/>
                                  <w:sz w:val="22"/>
                                </w:rPr>
                                <w:t> </w:t>
                              </w:r>
                              <w:r>
                                <w:rPr>
                                  <w:sz w:val="22"/>
                                </w:rPr>
                                <w:t>determine</w:t>
                              </w:r>
                              <w:r>
                                <w:rPr>
                                  <w:spacing w:val="-6"/>
                                  <w:sz w:val="22"/>
                                </w:rPr>
                                <w:t> </w:t>
                              </w:r>
                              <w:r>
                                <w:rPr>
                                  <w:sz w:val="22"/>
                                </w:rPr>
                                <w:t>whether</w:t>
                              </w:r>
                              <w:r>
                                <w:rPr>
                                  <w:spacing w:val="-4"/>
                                  <w:sz w:val="22"/>
                                </w:rPr>
                                <w:t> </w:t>
                              </w:r>
                              <w:r>
                                <w:rPr>
                                  <w:sz w:val="22"/>
                                </w:rPr>
                                <w:t>plan</w:t>
                              </w:r>
                              <w:r>
                                <w:rPr>
                                  <w:spacing w:val="-5"/>
                                  <w:sz w:val="22"/>
                                </w:rPr>
                                <w:t> </w:t>
                              </w:r>
                              <w:r>
                                <w:rPr>
                                  <w:sz w:val="22"/>
                                </w:rPr>
                                <w:t>implementation</w:t>
                              </w:r>
                              <w:r>
                                <w:rPr>
                                  <w:spacing w:val="-5"/>
                                  <w:sz w:val="22"/>
                                </w:rPr>
                                <w:t> </w:t>
                              </w:r>
                              <w:r>
                                <w:rPr>
                                  <w:sz w:val="22"/>
                                </w:rPr>
                                <w:t>is</w:t>
                              </w:r>
                              <w:r>
                                <w:rPr>
                                  <w:spacing w:val="-4"/>
                                  <w:sz w:val="22"/>
                                </w:rPr>
                                <w:t> </w:t>
                              </w:r>
                              <w:r>
                                <w:rPr>
                                  <w:sz w:val="22"/>
                                </w:rPr>
                                <w:t>achieving</w:t>
                              </w:r>
                              <w:r>
                                <w:rPr>
                                  <w:spacing w:val="-5"/>
                                  <w:sz w:val="22"/>
                                </w:rPr>
                                <w:t> </w:t>
                              </w:r>
                              <w:r>
                                <w:rPr>
                                  <w:sz w:val="22"/>
                                </w:rPr>
                                <w:t>multiple</w:t>
                              </w:r>
                              <w:r>
                                <w:rPr>
                                  <w:spacing w:val="-3"/>
                                  <w:sz w:val="22"/>
                                </w:rPr>
                                <w:t> </w:t>
                              </w:r>
                              <w:r>
                                <w:rPr>
                                  <w:sz w:val="22"/>
                                </w:rPr>
                                <w:t>use </w:t>
                              </w:r>
                              <w:r>
                                <w:rPr>
                                  <w:spacing w:val="-2"/>
                                  <w:sz w:val="22"/>
                                </w:rPr>
                                <w:t>objectives;</w:t>
                              </w:r>
                            </w:p>
                            <w:p>
                              <w:pPr>
                                <w:numPr>
                                  <w:ilvl w:val="0"/>
                                  <w:numId w:val="27"/>
                                </w:numPr>
                                <w:tabs>
                                  <w:tab w:pos="386" w:val="left" w:leader="none"/>
                                  <w:tab w:pos="388" w:val="left" w:leader="none"/>
                                </w:tabs>
                                <w:spacing w:before="120"/>
                                <w:ind w:left="388" w:right="84" w:hanging="360"/>
                                <w:jc w:val="left"/>
                                <w:rPr>
                                  <w:sz w:val="22"/>
                                </w:rPr>
                              </w:pPr>
                              <w:r>
                                <w:rPr>
                                  <w:sz w:val="22"/>
                                </w:rPr>
                                <w:t>Monitoring</w:t>
                              </w:r>
                              <w:r>
                                <w:rPr>
                                  <w:spacing w:val="-4"/>
                                  <w:sz w:val="22"/>
                                </w:rPr>
                                <w:t> </w:t>
                              </w:r>
                              <w:r>
                                <w:rPr>
                                  <w:sz w:val="22"/>
                                </w:rPr>
                                <w:t>to</w:t>
                              </w:r>
                              <w:r>
                                <w:rPr>
                                  <w:spacing w:val="-2"/>
                                  <w:sz w:val="22"/>
                                </w:rPr>
                                <w:t> </w:t>
                              </w:r>
                              <w:r>
                                <w:rPr>
                                  <w:sz w:val="22"/>
                                </w:rPr>
                                <w:t>determine</w:t>
                              </w:r>
                              <w:r>
                                <w:rPr>
                                  <w:spacing w:val="-5"/>
                                  <w:sz w:val="22"/>
                                </w:rPr>
                                <w:t> </w:t>
                              </w:r>
                              <w:r>
                                <w:rPr>
                                  <w:sz w:val="22"/>
                                </w:rPr>
                                <w:t>the</w:t>
                              </w:r>
                              <w:r>
                                <w:rPr>
                                  <w:spacing w:val="-2"/>
                                  <w:sz w:val="22"/>
                                </w:rPr>
                                <w:t> </w:t>
                              </w:r>
                              <w:r>
                                <w:rPr>
                                  <w:sz w:val="22"/>
                                </w:rPr>
                                <w:t>effects</w:t>
                              </w:r>
                              <w:r>
                                <w:rPr>
                                  <w:spacing w:val="-5"/>
                                  <w:sz w:val="22"/>
                                </w:rPr>
                                <w:t> </w:t>
                              </w:r>
                              <w:r>
                                <w:rPr>
                                  <w:sz w:val="22"/>
                                </w:rPr>
                                <w:t>of</w:t>
                              </w:r>
                              <w:r>
                                <w:rPr>
                                  <w:spacing w:val="-5"/>
                                  <w:sz w:val="22"/>
                                </w:rPr>
                                <w:t> </w:t>
                              </w:r>
                              <w:r>
                                <w:rPr>
                                  <w:sz w:val="22"/>
                                </w:rPr>
                                <w:t>the</w:t>
                              </w:r>
                              <w:r>
                                <w:rPr>
                                  <w:spacing w:val="-5"/>
                                  <w:sz w:val="22"/>
                                </w:rPr>
                                <w:t> </w:t>
                              </w:r>
                              <w:r>
                                <w:rPr>
                                  <w:sz w:val="22"/>
                                </w:rPr>
                                <w:t>various</w:t>
                              </w:r>
                              <w:r>
                                <w:rPr>
                                  <w:spacing w:val="-5"/>
                                  <w:sz w:val="22"/>
                                </w:rPr>
                                <w:t> </w:t>
                              </w:r>
                              <w:r>
                                <w:rPr>
                                  <w:sz w:val="22"/>
                                </w:rPr>
                                <w:t>resource</w:t>
                              </w:r>
                              <w:r>
                                <w:rPr>
                                  <w:spacing w:val="-5"/>
                                  <w:sz w:val="22"/>
                                </w:rPr>
                                <w:t> </w:t>
                              </w:r>
                              <w:r>
                                <w:rPr>
                                  <w:sz w:val="22"/>
                                </w:rPr>
                                <w:t>management</w:t>
                              </w:r>
                              <w:r>
                                <w:rPr>
                                  <w:spacing w:val="-2"/>
                                  <w:sz w:val="22"/>
                                </w:rPr>
                                <w:t> </w:t>
                              </w:r>
                              <w:r>
                                <w:rPr>
                                  <w:sz w:val="22"/>
                                </w:rPr>
                                <w:t>activities within the plan area on the productivity of the land;</w:t>
                              </w:r>
                            </w:p>
                            <w:p>
                              <w:pPr>
                                <w:numPr>
                                  <w:ilvl w:val="0"/>
                                  <w:numId w:val="27"/>
                                </w:numPr>
                                <w:tabs>
                                  <w:tab w:pos="386" w:val="left" w:leader="none"/>
                                  <w:tab w:pos="388" w:val="left" w:leader="none"/>
                                </w:tabs>
                                <w:spacing w:before="120"/>
                                <w:ind w:left="388" w:right="293" w:hanging="360"/>
                                <w:jc w:val="left"/>
                                <w:rPr>
                                  <w:sz w:val="22"/>
                                </w:rPr>
                              </w:pPr>
                              <w:r>
                                <w:rPr>
                                  <w:sz w:val="22"/>
                                </w:rPr>
                                <w:t>Monitoring</w:t>
                              </w:r>
                              <w:r>
                                <w:rPr>
                                  <w:spacing w:val="-5"/>
                                  <w:sz w:val="22"/>
                                </w:rPr>
                                <w:t> </w:t>
                              </w:r>
                              <w:r>
                                <w:rPr>
                                  <w:sz w:val="22"/>
                                </w:rPr>
                                <w:t>of</w:t>
                              </w:r>
                              <w:r>
                                <w:rPr>
                                  <w:spacing w:val="-2"/>
                                  <w:sz w:val="22"/>
                                </w:rPr>
                                <w:t> </w:t>
                              </w:r>
                              <w:r>
                                <w:rPr>
                                  <w:sz w:val="22"/>
                                </w:rPr>
                                <w:t>the</w:t>
                              </w:r>
                              <w:r>
                                <w:rPr>
                                  <w:spacing w:val="-4"/>
                                  <w:sz w:val="22"/>
                                </w:rPr>
                                <w:t> </w:t>
                              </w:r>
                              <w:r>
                                <w:rPr>
                                  <w:sz w:val="22"/>
                                </w:rPr>
                                <w:t>degree</w:t>
                              </w:r>
                              <w:r>
                                <w:rPr>
                                  <w:spacing w:val="-1"/>
                                  <w:sz w:val="22"/>
                                </w:rPr>
                                <w:t> </w:t>
                              </w:r>
                              <w:r>
                                <w:rPr>
                                  <w:sz w:val="22"/>
                                </w:rPr>
                                <w:t>to</w:t>
                              </w:r>
                              <w:r>
                                <w:rPr>
                                  <w:spacing w:val="-1"/>
                                  <w:sz w:val="22"/>
                                </w:rPr>
                                <w:t> </w:t>
                              </w:r>
                              <w:r>
                                <w:rPr>
                                  <w:sz w:val="22"/>
                                </w:rPr>
                                <w:t>which</w:t>
                              </w:r>
                              <w:r>
                                <w:rPr>
                                  <w:spacing w:val="-5"/>
                                  <w:sz w:val="22"/>
                                </w:rPr>
                                <w:t> </w:t>
                              </w:r>
                              <w:r>
                                <w:rPr>
                                  <w:sz w:val="22"/>
                                </w:rPr>
                                <w:t>on-the-ground</w:t>
                              </w:r>
                              <w:r>
                                <w:rPr>
                                  <w:spacing w:val="-5"/>
                                  <w:sz w:val="22"/>
                                </w:rPr>
                                <w:t> </w:t>
                              </w:r>
                              <w:r>
                                <w:rPr>
                                  <w:sz w:val="22"/>
                                </w:rPr>
                                <w:t>management</w:t>
                              </w:r>
                              <w:r>
                                <w:rPr>
                                  <w:spacing w:val="-4"/>
                                  <w:sz w:val="22"/>
                                </w:rPr>
                                <w:t> </w:t>
                              </w:r>
                              <w:r>
                                <w:rPr>
                                  <w:sz w:val="22"/>
                                </w:rPr>
                                <w:t>is</w:t>
                              </w:r>
                              <w:r>
                                <w:rPr>
                                  <w:spacing w:val="-4"/>
                                  <w:sz w:val="22"/>
                                </w:rPr>
                                <w:t> </w:t>
                              </w:r>
                              <w:r>
                                <w:rPr>
                                  <w:sz w:val="22"/>
                                </w:rPr>
                                <w:t>maintaining</w:t>
                              </w:r>
                              <w:r>
                                <w:rPr>
                                  <w:spacing w:val="-5"/>
                                  <w:sz w:val="22"/>
                                </w:rPr>
                                <w:t> </w:t>
                              </w:r>
                              <w:r>
                                <w:rPr>
                                  <w:sz w:val="22"/>
                                </w:rPr>
                                <w:t>or making progress toward the desired conditions and objectives for the plan;</w:t>
                              </w:r>
                            </w:p>
                            <w:p>
                              <w:pPr>
                                <w:numPr>
                                  <w:ilvl w:val="0"/>
                                  <w:numId w:val="27"/>
                                </w:numPr>
                                <w:tabs>
                                  <w:tab w:pos="386" w:val="left" w:leader="none"/>
                                  <w:tab w:pos="388" w:val="left" w:leader="none"/>
                                </w:tabs>
                                <w:spacing w:before="120"/>
                                <w:ind w:left="388" w:right="1251" w:hanging="360"/>
                                <w:jc w:val="left"/>
                                <w:rPr>
                                  <w:sz w:val="22"/>
                                </w:rPr>
                              </w:pPr>
                              <w:r>
                                <w:rPr>
                                  <w:sz w:val="22"/>
                                </w:rPr>
                                <w:t>Adjustment</w:t>
                              </w:r>
                              <w:r>
                                <w:rPr>
                                  <w:spacing w:val="-5"/>
                                  <w:sz w:val="22"/>
                                </w:rPr>
                                <w:t> </w:t>
                              </w:r>
                              <w:r>
                                <w:rPr>
                                  <w:sz w:val="22"/>
                                </w:rPr>
                                <w:t>of</w:t>
                              </w:r>
                              <w:r>
                                <w:rPr>
                                  <w:spacing w:val="-5"/>
                                  <w:sz w:val="22"/>
                                </w:rPr>
                                <w:t> </w:t>
                              </w:r>
                              <w:r>
                                <w:rPr>
                                  <w:sz w:val="22"/>
                                </w:rPr>
                                <w:t>the</w:t>
                              </w:r>
                              <w:r>
                                <w:rPr>
                                  <w:spacing w:val="-5"/>
                                  <w:sz w:val="22"/>
                                </w:rPr>
                                <w:t> </w:t>
                              </w:r>
                              <w:r>
                                <w:rPr>
                                  <w:sz w:val="22"/>
                                </w:rPr>
                                <w:t>monitoring</w:t>
                              </w:r>
                              <w:r>
                                <w:rPr>
                                  <w:spacing w:val="-4"/>
                                  <w:sz w:val="22"/>
                                </w:rPr>
                                <w:t> </w:t>
                              </w:r>
                              <w:r>
                                <w:rPr>
                                  <w:sz w:val="22"/>
                                </w:rPr>
                                <w:t>program,</w:t>
                              </w:r>
                              <w:r>
                                <w:rPr>
                                  <w:spacing w:val="-5"/>
                                  <w:sz w:val="22"/>
                                </w:rPr>
                                <w:t> </w:t>
                              </w:r>
                              <w:r>
                                <w:rPr>
                                  <w:sz w:val="22"/>
                                </w:rPr>
                                <w:t>as</w:t>
                              </w:r>
                              <w:r>
                                <w:rPr>
                                  <w:spacing w:val="-3"/>
                                  <w:sz w:val="22"/>
                                </w:rPr>
                                <w:t> </w:t>
                              </w:r>
                              <w:r>
                                <w:rPr>
                                  <w:sz w:val="22"/>
                                </w:rPr>
                                <w:t>appropriate,</w:t>
                              </w:r>
                              <w:r>
                                <w:rPr>
                                  <w:spacing w:val="-3"/>
                                  <w:sz w:val="22"/>
                                </w:rPr>
                                <w:t> </w:t>
                              </w:r>
                              <w:r>
                                <w:rPr>
                                  <w:sz w:val="22"/>
                                </w:rPr>
                                <w:t>to</w:t>
                              </w:r>
                              <w:r>
                                <w:rPr>
                                  <w:spacing w:val="-4"/>
                                  <w:sz w:val="22"/>
                                </w:rPr>
                                <w:t> </w:t>
                              </w:r>
                              <w:r>
                                <w:rPr>
                                  <w:sz w:val="22"/>
                                </w:rPr>
                                <w:t>account</w:t>
                              </w:r>
                              <w:r>
                                <w:rPr>
                                  <w:spacing w:val="-2"/>
                                  <w:sz w:val="22"/>
                                </w:rPr>
                                <w:t> </w:t>
                              </w:r>
                              <w:r>
                                <w:rPr>
                                  <w:sz w:val="22"/>
                                </w:rPr>
                                <w:t>for unanticipated changes in conditions.</w:t>
                              </w:r>
                            </w:p>
                          </w:txbxContent>
                        </wps:txbx>
                        <wps:bodyPr wrap="square" lIns="0" tIns="0" rIns="0" bIns="0" rtlCol="0">
                          <a:noAutofit/>
                        </wps:bodyPr>
                      </wps:wsp>
                    </wpg:wgp>
                  </a:graphicData>
                </a:graphic>
              </wp:anchor>
            </w:drawing>
          </mc:Choice>
          <mc:Fallback>
            <w:pict>
              <v:group style="position:absolute;margin-left:146.160004pt;margin-top:138.770538pt;width:395.3pt;height:125.55pt;mso-position-horizontal-relative:page;mso-position-vertical-relative:paragraph;z-index:-15681024;mso-wrap-distance-left:0;mso-wrap-distance-right:0" id="docshapegroup247" coordorigin="2923,2775" coordsize="7906,2511">
                <v:shape style="position:absolute;left:2923;top:2775;width:7906;height:2511" id="docshape248" coordorigin="2923,2775" coordsize="7906,2511" path="m10829,2775l2923,2775,2923,3044,2923,3433,2923,5286,10829,5286,10829,3044,10829,2775xe" filled="true" fillcolor="#dfdfdf" stroked="false">
                  <v:path arrowok="t"/>
                  <v:fill type="solid"/>
                </v:shape>
                <v:shape style="position:absolute;left:2923;top:2775;width:7906;height:2511" type="#_x0000_t202" id="docshape249" filled="false" stroked="false">
                  <v:textbox inset="0,0,0,0">
                    <w:txbxContent>
                      <w:p>
                        <w:pPr>
                          <w:numPr>
                            <w:ilvl w:val="0"/>
                            <w:numId w:val="27"/>
                          </w:numPr>
                          <w:tabs>
                            <w:tab w:pos="386" w:val="left" w:leader="none"/>
                            <w:tab w:pos="388" w:val="left" w:leader="none"/>
                          </w:tabs>
                          <w:spacing w:before="0"/>
                          <w:ind w:left="388" w:right="318" w:hanging="360"/>
                          <w:jc w:val="left"/>
                          <w:rPr>
                            <w:sz w:val="22"/>
                          </w:rPr>
                        </w:pPr>
                        <w:r>
                          <w:rPr>
                            <w:sz w:val="22"/>
                          </w:rPr>
                          <w:t>Monitoring</w:t>
                        </w:r>
                        <w:r>
                          <w:rPr>
                            <w:spacing w:val="-5"/>
                            <w:sz w:val="22"/>
                          </w:rPr>
                          <w:t> </w:t>
                        </w:r>
                        <w:r>
                          <w:rPr>
                            <w:sz w:val="22"/>
                          </w:rPr>
                          <w:t>to</w:t>
                        </w:r>
                        <w:r>
                          <w:rPr>
                            <w:spacing w:val="-3"/>
                            <w:sz w:val="22"/>
                          </w:rPr>
                          <w:t> </w:t>
                        </w:r>
                        <w:r>
                          <w:rPr>
                            <w:sz w:val="22"/>
                          </w:rPr>
                          <w:t>determine</w:t>
                        </w:r>
                        <w:r>
                          <w:rPr>
                            <w:spacing w:val="-6"/>
                            <w:sz w:val="22"/>
                          </w:rPr>
                          <w:t> </w:t>
                        </w:r>
                        <w:r>
                          <w:rPr>
                            <w:sz w:val="22"/>
                          </w:rPr>
                          <w:t>whether</w:t>
                        </w:r>
                        <w:r>
                          <w:rPr>
                            <w:spacing w:val="-4"/>
                            <w:sz w:val="22"/>
                          </w:rPr>
                          <w:t> </w:t>
                        </w:r>
                        <w:r>
                          <w:rPr>
                            <w:sz w:val="22"/>
                          </w:rPr>
                          <w:t>plan</w:t>
                        </w:r>
                        <w:r>
                          <w:rPr>
                            <w:spacing w:val="-5"/>
                            <w:sz w:val="22"/>
                          </w:rPr>
                          <w:t> </w:t>
                        </w:r>
                        <w:r>
                          <w:rPr>
                            <w:sz w:val="22"/>
                          </w:rPr>
                          <w:t>implementation</w:t>
                        </w:r>
                        <w:r>
                          <w:rPr>
                            <w:spacing w:val="-5"/>
                            <w:sz w:val="22"/>
                          </w:rPr>
                          <w:t> </w:t>
                        </w:r>
                        <w:r>
                          <w:rPr>
                            <w:sz w:val="22"/>
                          </w:rPr>
                          <w:t>is</w:t>
                        </w:r>
                        <w:r>
                          <w:rPr>
                            <w:spacing w:val="-4"/>
                            <w:sz w:val="22"/>
                          </w:rPr>
                          <w:t> </w:t>
                        </w:r>
                        <w:r>
                          <w:rPr>
                            <w:sz w:val="22"/>
                          </w:rPr>
                          <w:t>achieving</w:t>
                        </w:r>
                        <w:r>
                          <w:rPr>
                            <w:spacing w:val="-5"/>
                            <w:sz w:val="22"/>
                          </w:rPr>
                          <w:t> </w:t>
                        </w:r>
                        <w:r>
                          <w:rPr>
                            <w:sz w:val="22"/>
                          </w:rPr>
                          <w:t>multiple</w:t>
                        </w:r>
                        <w:r>
                          <w:rPr>
                            <w:spacing w:val="-3"/>
                            <w:sz w:val="22"/>
                          </w:rPr>
                          <w:t> </w:t>
                        </w:r>
                        <w:r>
                          <w:rPr>
                            <w:sz w:val="22"/>
                          </w:rPr>
                          <w:t>use </w:t>
                        </w:r>
                        <w:r>
                          <w:rPr>
                            <w:spacing w:val="-2"/>
                            <w:sz w:val="22"/>
                          </w:rPr>
                          <w:t>objectives;</w:t>
                        </w:r>
                      </w:p>
                      <w:p>
                        <w:pPr>
                          <w:numPr>
                            <w:ilvl w:val="0"/>
                            <w:numId w:val="27"/>
                          </w:numPr>
                          <w:tabs>
                            <w:tab w:pos="386" w:val="left" w:leader="none"/>
                            <w:tab w:pos="388" w:val="left" w:leader="none"/>
                          </w:tabs>
                          <w:spacing w:before="120"/>
                          <w:ind w:left="388" w:right="84" w:hanging="360"/>
                          <w:jc w:val="left"/>
                          <w:rPr>
                            <w:sz w:val="22"/>
                          </w:rPr>
                        </w:pPr>
                        <w:r>
                          <w:rPr>
                            <w:sz w:val="22"/>
                          </w:rPr>
                          <w:t>Monitoring</w:t>
                        </w:r>
                        <w:r>
                          <w:rPr>
                            <w:spacing w:val="-4"/>
                            <w:sz w:val="22"/>
                          </w:rPr>
                          <w:t> </w:t>
                        </w:r>
                        <w:r>
                          <w:rPr>
                            <w:sz w:val="22"/>
                          </w:rPr>
                          <w:t>to</w:t>
                        </w:r>
                        <w:r>
                          <w:rPr>
                            <w:spacing w:val="-2"/>
                            <w:sz w:val="22"/>
                          </w:rPr>
                          <w:t> </w:t>
                        </w:r>
                        <w:r>
                          <w:rPr>
                            <w:sz w:val="22"/>
                          </w:rPr>
                          <w:t>determine</w:t>
                        </w:r>
                        <w:r>
                          <w:rPr>
                            <w:spacing w:val="-5"/>
                            <w:sz w:val="22"/>
                          </w:rPr>
                          <w:t> </w:t>
                        </w:r>
                        <w:r>
                          <w:rPr>
                            <w:sz w:val="22"/>
                          </w:rPr>
                          <w:t>the</w:t>
                        </w:r>
                        <w:r>
                          <w:rPr>
                            <w:spacing w:val="-2"/>
                            <w:sz w:val="22"/>
                          </w:rPr>
                          <w:t> </w:t>
                        </w:r>
                        <w:r>
                          <w:rPr>
                            <w:sz w:val="22"/>
                          </w:rPr>
                          <w:t>effects</w:t>
                        </w:r>
                        <w:r>
                          <w:rPr>
                            <w:spacing w:val="-5"/>
                            <w:sz w:val="22"/>
                          </w:rPr>
                          <w:t> </w:t>
                        </w:r>
                        <w:r>
                          <w:rPr>
                            <w:sz w:val="22"/>
                          </w:rPr>
                          <w:t>of</w:t>
                        </w:r>
                        <w:r>
                          <w:rPr>
                            <w:spacing w:val="-5"/>
                            <w:sz w:val="22"/>
                          </w:rPr>
                          <w:t> </w:t>
                        </w:r>
                        <w:r>
                          <w:rPr>
                            <w:sz w:val="22"/>
                          </w:rPr>
                          <w:t>the</w:t>
                        </w:r>
                        <w:r>
                          <w:rPr>
                            <w:spacing w:val="-5"/>
                            <w:sz w:val="22"/>
                          </w:rPr>
                          <w:t> </w:t>
                        </w:r>
                        <w:r>
                          <w:rPr>
                            <w:sz w:val="22"/>
                          </w:rPr>
                          <w:t>various</w:t>
                        </w:r>
                        <w:r>
                          <w:rPr>
                            <w:spacing w:val="-5"/>
                            <w:sz w:val="22"/>
                          </w:rPr>
                          <w:t> </w:t>
                        </w:r>
                        <w:r>
                          <w:rPr>
                            <w:sz w:val="22"/>
                          </w:rPr>
                          <w:t>resource</w:t>
                        </w:r>
                        <w:r>
                          <w:rPr>
                            <w:spacing w:val="-5"/>
                            <w:sz w:val="22"/>
                          </w:rPr>
                          <w:t> </w:t>
                        </w:r>
                        <w:r>
                          <w:rPr>
                            <w:sz w:val="22"/>
                          </w:rPr>
                          <w:t>management</w:t>
                        </w:r>
                        <w:r>
                          <w:rPr>
                            <w:spacing w:val="-2"/>
                            <w:sz w:val="22"/>
                          </w:rPr>
                          <w:t> </w:t>
                        </w:r>
                        <w:r>
                          <w:rPr>
                            <w:sz w:val="22"/>
                          </w:rPr>
                          <w:t>activities within the plan area on the productivity of the land;</w:t>
                        </w:r>
                      </w:p>
                      <w:p>
                        <w:pPr>
                          <w:numPr>
                            <w:ilvl w:val="0"/>
                            <w:numId w:val="27"/>
                          </w:numPr>
                          <w:tabs>
                            <w:tab w:pos="386" w:val="left" w:leader="none"/>
                            <w:tab w:pos="388" w:val="left" w:leader="none"/>
                          </w:tabs>
                          <w:spacing w:before="120"/>
                          <w:ind w:left="388" w:right="293" w:hanging="360"/>
                          <w:jc w:val="left"/>
                          <w:rPr>
                            <w:sz w:val="22"/>
                          </w:rPr>
                        </w:pPr>
                        <w:r>
                          <w:rPr>
                            <w:sz w:val="22"/>
                          </w:rPr>
                          <w:t>Monitoring</w:t>
                        </w:r>
                        <w:r>
                          <w:rPr>
                            <w:spacing w:val="-5"/>
                            <w:sz w:val="22"/>
                          </w:rPr>
                          <w:t> </w:t>
                        </w:r>
                        <w:r>
                          <w:rPr>
                            <w:sz w:val="22"/>
                          </w:rPr>
                          <w:t>of</w:t>
                        </w:r>
                        <w:r>
                          <w:rPr>
                            <w:spacing w:val="-2"/>
                            <w:sz w:val="22"/>
                          </w:rPr>
                          <w:t> </w:t>
                        </w:r>
                        <w:r>
                          <w:rPr>
                            <w:sz w:val="22"/>
                          </w:rPr>
                          <w:t>the</w:t>
                        </w:r>
                        <w:r>
                          <w:rPr>
                            <w:spacing w:val="-4"/>
                            <w:sz w:val="22"/>
                          </w:rPr>
                          <w:t> </w:t>
                        </w:r>
                        <w:r>
                          <w:rPr>
                            <w:sz w:val="22"/>
                          </w:rPr>
                          <w:t>degree</w:t>
                        </w:r>
                        <w:r>
                          <w:rPr>
                            <w:spacing w:val="-1"/>
                            <w:sz w:val="22"/>
                          </w:rPr>
                          <w:t> </w:t>
                        </w:r>
                        <w:r>
                          <w:rPr>
                            <w:sz w:val="22"/>
                          </w:rPr>
                          <w:t>to</w:t>
                        </w:r>
                        <w:r>
                          <w:rPr>
                            <w:spacing w:val="-1"/>
                            <w:sz w:val="22"/>
                          </w:rPr>
                          <w:t> </w:t>
                        </w:r>
                        <w:r>
                          <w:rPr>
                            <w:sz w:val="22"/>
                          </w:rPr>
                          <w:t>which</w:t>
                        </w:r>
                        <w:r>
                          <w:rPr>
                            <w:spacing w:val="-5"/>
                            <w:sz w:val="22"/>
                          </w:rPr>
                          <w:t> </w:t>
                        </w:r>
                        <w:r>
                          <w:rPr>
                            <w:sz w:val="22"/>
                          </w:rPr>
                          <w:t>on-the-ground</w:t>
                        </w:r>
                        <w:r>
                          <w:rPr>
                            <w:spacing w:val="-5"/>
                            <w:sz w:val="22"/>
                          </w:rPr>
                          <w:t> </w:t>
                        </w:r>
                        <w:r>
                          <w:rPr>
                            <w:sz w:val="22"/>
                          </w:rPr>
                          <w:t>management</w:t>
                        </w:r>
                        <w:r>
                          <w:rPr>
                            <w:spacing w:val="-4"/>
                            <w:sz w:val="22"/>
                          </w:rPr>
                          <w:t> </w:t>
                        </w:r>
                        <w:r>
                          <w:rPr>
                            <w:sz w:val="22"/>
                          </w:rPr>
                          <w:t>is</w:t>
                        </w:r>
                        <w:r>
                          <w:rPr>
                            <w:spacing w:val="-4"/>
                            <w:sz w:val="22"/>
                          </w:rPr>
                          <w:t> </w:t>
                        </w:r>
                        <w:r>
                          <w:rPr>
                            <w:sz w:val="22"/>
                          </w:rPr>
                          <w:t>maintaining</w:t>
                        </w:r>
                        <w:r>
                          <w:rPr>
                            <w:spacing w:val="-5"/>
                            <w:sz w:val="22"/>
                          </w:rPr>
                          <w:t> </w:t>
                        </w:r>
                        <w:r>
                          <w:rPr>
                            <w:sz w:val="22"/>
                          </w:rPr>
                          <w:t>or making progress toward the desired conditions and objectives for the plan;</w:t>
                        </w:r>
                      </w:p>
                      <w:p>
                        <w:pPr>
                          <w:numPr>
                            <w:ilvl w:val="0"/>
                            <w:numId w:val="27"/>
                          </w:numPr>
                          <w:tabs>
                            <w:tab w:pos="386" w:val="left" w:leader="none"/>
                            <w:tab w:pos="388" w:val="left" w:leader="none"/>
                          </w:tabs>
                          <w:spacing w:before="120"/>
                          <w:ind w:left="388" w:right="1251" w:hanging="360"/>
                          <w:jc w:val="left"/>
                          <w:rPr>
                            <w:sz w:val="22"/>
                          </w:rPr>
                        </w:pPr>
                        <w:r>
                          <w:rPr>
                            <w:sz w:val="22"/>
                          </w:rPr>
                          <w:t>Adjustment</w:t>
                        </w:r>
                        <w:r>
                          <w:rPr>
                            <w:spacing w:val="-5"/>
                            <w:sz w:val="22"/>
                          </w:rPr>
                          <w:t> </w:t>
                        </w:r>
                        <w:r>
                          <w:rPr>
                            <w:sz w:val="22"/>
                          </w:rPr>
                          <w:t>of</w:t>
                        </w:r>
                        <w:r>
                          <w:rPr>
                            <w:spacing w:val="-5"/>
                            <w:sz w:val="22"/>
                          </w:rPr>
                          <w:t> </w:t>
                        </w:r>
                        <w:r>
                          <w:rPr>
                            <w:sz w:val="22"/>
                          </w:rPr>
                          <w:t>the</w:t>
                        </w:r>
                        <w:r>
                          <w:rPr>
                            <w:spacing w:val="-5"/>
                            <w:sz w:val="22"/>
                          </w:rPr>
                          <w:t> </w:t>
                        </w:r>
                        <w:r>
                          <w:rPr>
                            <w:sz w:val="22"/>
                          </w:rPr>
                          <w:t>monitoring</w:t>
                        </w:r>
                        <w:r>
                          <w:rPr>
                            <w:spacing w:val="-4"/>
                            <w:sz w:val="22"/>
                          </w:rPr>
                          <w:t> </w:t>
                        </w:r>
                        <w:r>
                          <w:rPr>
                            <w:sz w:val="22"/>
                          </w:rPr>
                          <w:t>program,</w:t>
                        </w:r>
                        <w:r>
                          <w:rPr>
                            <w:spacing w:val="-5"/>
                            <w:sz w:val="22"/>
                          </w:rPr>
                          <w:t> </w:t>
                        </w:r>
                        <w:r>
                          <w:rPr>
                            <w:sz w:val="22"/>
                          </w:rPr>
                          <w:t>as</w:t>
                        </w:r>
                        <w:r>
                          <w:rPr>
                            <w:spacing w:val="-3"/>
                            <w:sz w:val="22"/>
                          </w:rPr>
                          <w:t> </w:t>
                        </w:r>
                        <w:r>
                          <w:rPr>
                            <w:sz w:val="22"/>
                          </w:rPr>
                          <w:t>appropriate,</w:t>
                        </w:r>
                        <w:r>
                          <w:rPr>
                            <w:spacing w:val="-3"/>
                            <w:sz w:val="22"/>
                          </w:rPr>
                          <w:t> </w:t>
                        </w:r>
                        <w:r>
                          <w:rPr>
                            <w:sz w:val="22"/>
                          </w:rPr>
                          <w:t>to</w:t>
                        </w:r>
                        <w:r>
                          <w:rPr>
                            <w:spacing w:val="-4"/>
                            <w:sz w:val="22"/>
                          </w:rPr>
                          <w:t> </w:t>
                        </w:r>
                        <w:r>
                          <w:rPr>
                            <w:sz w:val="22"/>
                          </w:rPr>
                          <w:t>account</w:t>
                        </w:r>
                        <w:r>
                          <w:rPr>
                            <w:spacing w:val="-2"/>
                            <w:sz w:val="22"/>
                          </w:rPr>
                          <w:t> </w:t>
                        </w:r>
                        <w:r>
                          <w:rPr>
                            <w:sz w:val="22"/>
                          </w:rPr>
                          <w:t>for unanticipated changes in conditions.</w:t>
                        </w:r>
                      </w:p>
                    </w:txbxContent>
                  </v:textbox>
                  <w10:wrap type="none"/>
                </v:shape>
                <w10:wrap type="topAndBottom"/>
              </v:group>
            </w:pict>
          </mc:Fallback>
        </mc:AlternateContent>
      </w:r>
      <w:r>
        <w:rPr>
          <w:rFonts w:ascii="Arial"/>
          <w:b/>
          <w:sz w:val="8"/>
        </w:rPr>
        <mc:AlternateContent>
          <mc:Choice Requires="wps">
            <w:drawing>
              <wp:anchor distT="0" distB="0" distL="0" distR="0" allowOverlap="1" layoutInCell="1" locked="0" behindDoc="1" simplePos="0" relativeHeight="487635968">
                <wp:simplePos x="0" y="0"/>
                <wp:positionH relativeFrom="page">
                  <wp:posOffset>1627632</wp:posOffset>
                </wp:positionH>
                <wp:positionV relativeFrom="paragraph">
                  <wp:posOffset>3432689</wp:posOffset>
                </wp:positionV>
                <wp:extent cx="5248910" cy="4378960"/>
                <wp:effectExtent l="0" t="0" r="0" b="0"/>
                <wp:wrapTopAndBottom/>
                <wp:docPr id="265" name="Group 265"/>
                <wp:cNvGraphicFramePr>
                  <a:graphicFrameLocks/>
                </wp:cNvGraphicFramePr>
                <a:graphic>
                  <a:graphicData uri="http://schemas.microsoft.com/office/word/2010/wordprocessingGroup">
                    <wpg:wgp>
                      <wpg:cNvPr id="265" name="Group 265"/>
                      <wpg:cNvGrpSpPr/>
                      <wpg:grpSpPr>
                        <a:xfrm>
                          <a:off x="0" y="0"/>
                          <a:ext cx="5248910" cy="4378960"/>
                          <a:chExt cx="5248910" cy="4378960"/>
                        </a:xfrm>
                      </wpg:grpSpPr>
                      <wps:wsp>
                        <wps:cNvPr id="266" name="Graphic 266"/>
                        <wps:cNvSpPr/>
                        <wps:spPr>
                          <a:xfrm>
                            <a:off x="0" y="0"/>
                            <a:ext cx="5248910" cy="4378960"/>
                          </a:xfrm>
                          <a:custGeom>
                            <a:avLst/>
                            <a:gdLst/>
                            <a:ahLst/>
                            <a:cxnLst/>
                            <a:rect l="l" t="t" r="r" b="b"/>
                            <a:pathLst>
                              <a:path w="5248910" h="4378960">
                                <a:moveTo>
                                  <a:pt x="5248643" y="3032772"/>
                                </a:moveTo>
                                <a:lnTo>
                                  <a:pt x="0" y="3032772"/>
                                </a:lnTo>
                                <a:lnTo>
                                  <a:pt x="0" y="3203448"/>
                                </a:lnTo>
                                <a:lnTo>
                                  <a:pt x="0" y="3374136"/>
                                </a:lnTo>
                                <a:lnTo>
                                  <a:pt x="0" y="4378452"/>
                                </a:lnTo>
                                <a:lnTo>
                                  <a:pt x="5248643" y="4378452"/>
                                </a:lnTo>
                                <a:lnTo>
                                  <a:pt x="5248643" y="3203448"/>
                                </a:lnTo>
                                <a:lnTo>
                                  <a:pt x="5248643" y="3032772"/>
                                </a:lnTo>
                                <a:close/>
                              </a:path>
                              <a:path w="5248910" h="4378960">
                                <a:moveTo>
                                  <a:pt x="5248643" y="170700"/>
                                </a:moveTo>
                                <a:lnTo>
                                  <a:pt x="0" y="170700"/>
                                </a:lnTo>
                                <a:lnTo>
                                  <a:pt x="0" y="339852"/>
                                </a:lnTo>
                                <a:lnTo>
                                  <a:pt x="0" y="586740"/>
                                </a:lnTo>
                                <a:lnTo>
                                  <a:pt x="0" y="3032760"/>
                                </a:lnTo>
                                <a:lnTo>
                                  <a:pt x="5248643" y="3032760"/>
                                </a:lnTo>
                                <a:lnTo>
                                  <a:pt x="5248643" y="339852"/>
                                </a:lnTo>
                                <a:lnTo>
                                  <a:pt x="5248643" y="170700"/>
                                </a:lnTo>
                                <a:close/>
                              </a:path>
                              <a:path w="5248910" h="4378960">
                                <a:moveTo>
                                  <a:pt x="5248643" y="0"/>
                                </a:moveTo>
                                <a:lnTo>
                                  <a:pt x="0" y="0"/>
                                </a:lnTo>
                                <a:lnTo>
                                  <a:pt x="0" y="170688"/>
                                </a:lnTo>
                                <a:lnTo>
                                  <a:pt x="5248643" y="170688"/>
                                </a:lnTo>
                                <a:lnTo>
                                  <a:pt x="5248643" y="0"/>
                                </a:lnTo>
                                <a:close/>
                              </a:path>
                            </a:pathLst>
                          </a:custGeom>
                          <a:solidFill>
                            <a:srgbClr val="DFDFDF"/>
                          </a:solidFill>
                        </wps:spPr>
                        <wps:bodyPr wrap="square" lIns="0" tIns="0" rIns="0" bIns="0" rtlCol="0">
                          <a:prstTxWarp prst="textNoShape">
                            <a:avLst/>
                          </a:prstTxWarp>
                          <a:noAutofit/>
                        </wps:bodyPr>
                      </wps:wsp>
                      <wps:wsp>
                        <wps:cNvPr id="267" name="Textbox 267"/>
                        <wps:cNvSpPr txBox="1"/>
                        <wps:spPr>
                          <a:xfrm>
                            <a:off x="0" y="0"/>
                            <a:ext cx="5248910" cy="4378960"/>
                          </a:xfrm>
                          <a:prstGeom prst="rect">
                            <a:avLst/>
                          </a:prstGeom>
                        </wps:spPr>
                        <wps:txbx>
                          <w:txbxContent>
                            <w:p>
                              <w:pPr>
                                <w:spacing w:line="240" w:lineRule="auto" w:before="0"/>
                                <w:ind w:left="28" w:right="135" w:firstLine="0"/>
                                <w:jc w:val="left"/>
                                <w:rPr>
                                  <w:sz w:val="22"/>
                                </w:rPr>
                              </w:pPr>
                              <w:r>
                                <w:rPr>
                                  <w:sz w:val="22"/>
                                </w:rPr>
                                <w:t>These</w:t>
                              </w:r>
                              <w:r>
                                <w:rPr>
                                  <w:spacing w:val="-4"/>
                                  <w:sz w:val="22"/>
                                </w:rPr>
                                <w:t> </w:t>
                              </w:r>
                              <w:r>
                                <w:rPr>
                                  <w:sz w:val="22"/>
                                </w:rPr>
                                <w:t>evaluations</w:t>
                              </w:r>
                              <w:r>
                                <w:rPr>
                                  <w:spacing w:val="-4"/>
                                  <w:sz w:val="22"/>
                                </w:rPr>
                                <w:t> </w:t>
                              </w:r>
                              <w:r>
                                <w:rPr>
                                  <w:sz w:val="22"/>
                                </w:rPr>
                                <w:t>are</w:t>
                              </w:r>
                              <w:r>
                                <w:rPr>
                                  <w:spacing w:val="-1"/>
                                  <w:sz w:val="22"/>
                                </w:rPr>
                                <w:t> </w:t>
                              </w:r>
                              <w:r>
                                <w:rPr>
                                  <w:sz w:val="22"/>
                                </w:rPr>
                                <w:t>an</w:t>
                              </w:r>
                              <w:r>
                                <w:rPr>
                                  <w:spacing w:val="-3"/>
                                  <w:sz w:val="22"/>
                                </w:rPr>
                                <w:t> </w:t>
                              </w:r>
                              <w:r>
                                <w:rPr>
                                  <w:sz w:val="22"/>
                                </w:rPr>
                                <w:t>integral</w:t>
                              </w:r>
                              <w:r>
                                <w:rPr>
                                  <w:spacing w:val="-2"/>
                                  <w:sz w:val="22"/>
                                </w:rPr>
                                <w:t> </w:t>
                              </w:r>
                              <w:r>
                                <w:rPr>
                                  <w:sz w:val="22"/>
                                </w:rPr>
                                <w:t>part</w:t>
                              </w:r>
                              <w:r>
                                <w:rPr>
                                  <w:spacing w:val="-4"/>
                                  <w:sz w:val="22"/>
                                </w:rPr>
                                <w:t> </w:t>
                              </w:r>
                              <w:r>
                                <w:rPr>
                                  <w:sz w:val="22"/>
                                </w:rPr>
                                <w:t>of</w:t>
                              </w:r>
                              <w:r>
                                <w:rPr>
                                  <w:spacing w:val="-2"/>
                                  <w:sz w:val="22"/>
                                </w:rPr>
                                <w:t> </w:t>
                              </w:r>
                              <w:r>
                                <w:rPr>
                                  <w:sz w:val="22"/>
                                </w:rPr>
                                <w:t>answering</w:t>
                              </w:r>
                              <w:r>
                                <w:rPr>
                                  <w:spacing w:val="-5"/>
                                  <w:sz w:val="22"/>
                                </w:rPr>
                                <w:t> </w:t>
                              </w:r>
                              <w:r>
                                <w:rPr>
                                  <w:sz w:val="22"/>
                                </w:rPr>
                                <w:t>key</w:t>
                              </w:r>
                              <w:r>
                                <w:rPr>
                                  <w:spacing w:val="-1"/>
                                  <w:sz w:val="22"/>
                                </w:rPr>
                                <w:t> </w:t>
                              </w:r>
                              <w:r>
                                <w:rPr>
                                  <w:sz w:val="22"/>
                                </w:rPr>
                                <w:t>planning</w:t>
                              </w:r>
                              <w:r>
                                <w:rPr>
                                  <w:spacing w:val="-3"/>
                                  <w:sz w:val="22"/>
                                </w:rPr>
                                <w:t> </w:t>
                              </w:r>
                              <w:r>
                                <w:rPr>
                                  <w:sz w:val="22"/>
                                </w:rPr>
                                <w:t>questions</w:t>
                              </w:r>
                              <w:r>
                                <w:rPr>
                                  <w:spacing w:val="-4"/>
                                  <w:sz w:val="22"/>
                                </w:rPr>
                                <w:t> </w:t>
                              </w:r>
                              <w:r>
                                <w:rPr>
                                  <w:sz w:val="22"/>
                                </w:rPr>
                                <w:t>such</w:t>
                              </w:r>
                              <w:r>
                                <w:rPr>
                                  <w:spacing w:val="-3"/>
                                  <w:sz w:val="22"/>
                                </w:rPr>
                                <w:t> </w:t>
                              </w:r>
                              <w:r>
                                <w:rPr>
                                  <w:sz w:val="22"/>
                                </w:rPr>
                                <w:t>as</w:t>
                              </w:r>
                              <w:r>
                                <w:rPr>
                                  <w:spacing w:val="-2"/>
                                  <w:sz w:val="22"/>
                                </w:rPr>
                                <w:t> </w:t>
                              </w:r>
                              <w:r>
                                <w:rPr>
                                  <w:sz w:val="22"/>
                                </w:rPr>
                                <w:t>the state of social, economic, and ecological conditions and trends, and the need for an amendment or revision.</w:t>
                              </w:r>
                            </w:p>
                            <w:p>
                              <w:pPr>
                                <w:spacing w:before="117"/>
                                <w:ind w:left="28" w:right="120" w:firstLine="0"/>
                                <w:jc w:val="left"/>
                                <w:rPr>
                                  <w:sz w:val="22"/>
                                </w:rPr>
                              </w:pPr>
                              <w:r>
                                <w:rPr>
                                  <w:sz w:val="22"/>
                                </w:rPr>
                                <w:t>Specific</w:t>
                              </w:r>
                              <w:r>
                                <w:rPr>
                                  <w:spacing w:val="-5"/>
                                  <w:sz w:val="22"/>
                                </w:rPr>
                                <w:t> </w:t>
                              </w:r>
                              <w:r>
                                <w:rPr>
                                  <w:sz w:val="22"/>
                                </w:rPr>
                                <w:t>monitoring</w:t>
                              </w:r>
                              <w:r>
                                <w:rPr>
                                  <w:spacing w:val="-4"/>
                                  <w:sz w:val="22"/>
                                </w:rPr>
                                <w:t> </w:t>
                              </w:r>
                              <w:r>
                                <w:rPr>
                                  <w:sz w:val="22"/>
                                </w:rPr>
                                <w:t>items,</w:t>
                              </w:r>
                              <w:r>
                                <w:rPr>
                                  <w:spacing w:val="-5"/>
                                  <w:sz w:val="22"/>
                                </w:rPr>
                                <w:t> </w:t>
                              </w:r>
                              <w:r>
                                <w:rPr>
                                  <w:sz w:val="22"/>
                                </w:rPr>
                                <w:t>such</w:t>
                              </w:r>
                              <w:r>
                                <w:rPr>
                                  <w:spacing w:val="-4"/>
                                  <w:sz w:val="22"/>
                                </w:rPr>
                                <w:t> </w:t>
                              </w:r>
                              <w:r>
                                <w:rPr>
                                  <w:sz w:val="22"/>
                                </w:rPr>
                                <w:t>as</w:t>
                              </w:r>
                              <w:r>
                                <w:rPr>
                                  <w:spacing w:val="-5"/>
                                  <w:sz w:val="22"/>
                                </w:rPr>
                                <w:t> </w:t>
                              </w:r>
                              <w:r>
                                <w:rPr>
                                  <w:sz w:val="22"/>
                                </w:rPr>
                                <w:t>measuring</w:t>
                              </w:r>
                              <w:r>
                                <w:rPr>
                                  <w:spacing w:val="-4"/>
                                  <w:sz w:val="22"/>
                                </w:rPr>
                                <w:t> </w:t>
                              </w:r>
                              <w:r>
                                <w:rPr>
                                  <w:sz w:val="22"/>
                                </w:rPr>
                                <w:t>frequencies,</w:t>
                              </w:r>
                              <w:r>
                                <w:rPr>
                                  <w:spacing w:val="-5"/>
                                  <w:sz w:val="22"/>
                                </w:rPr>
                                <w:t> </w:t>
                              </w:r>
                              <w:r>
                                <w:rPr>
                                  <w:sz w:val="22"/>
                                </w:rPr>
                                <w:t>methodologies,</w:t>
                              </w:r>
                              <w:r>
                                <w:rPr>
                                  <w:spacing w:val="-3"/>
                                  <w:sz w:val="22"/>
                                </w:rPr>
                                <w:t> </w:t>
                              </w:r>
                              <w:r>
                                <w:rPr>
                                  <w:sz w:val="22"/>
                                </w:rPr>
                                <w:t>precision,</w:t>
                              </w:r>
                              <w:r>
                                <w:rPr>
                                  <w:spacing w:val="-3"/>
                                  <w:sz w:val="22"/>
                                </w:rPr>
                                <w:t> </w:t>
                              </w:r>
                              <w:r>
                                <w:rPr>
                                  <w:sz w:val="22"/>
                                </w:rPr>
                                <w:t>and reliability are identified in the annual monitoring guide.</w:t>
                              </w:r>
                            </w:p>
                            <w:p>
                              <w:pPr>
                                <w:spacing w:before="121"/>
                                <w:ind w:left="28" w:right="0" w:firstLine="0"/>
                                <w:jc w:val="left"/>
                                <w:rPr>
                                  <w:sz w:val="22"/>
                                </w:rPr>
                              </w:pPr>
                              <w:r>
                                <w:rPr>
                                  <w:sz w:val="22"/>
                                </w:rPr>
                                <w:t>MONITORING</w:t>
                              </w:r>
                              <w:r>
                                <w:rPr>
                                  <w:spacing w:val="-7"/>
                                  <w:sz w:val="22"/>
                                </w:rPr>
                                <w:t> </w:t>
                              </w:r>
                              <w:r>
                                <w:rPr>
                                  <w:spacing w:val="-2"/>
                                  <w:sz w:val="22"/>
                                </w:rPr>
                                <w:t>QUESTIONS</w:t>
                              </w:r>
                            </w:p>
                            <w:p>
                              <w:pPr>
                                <w:spacing w:before="0"/>
                                <w:ind w:left="28" w:right="39" w:firstLine="0"/>
                                <w:jc w:val="left"/>
                                <w:rPr>
                                  <w:sz w:val="22"/>
                                </w:rPr>
                              </w:pPr>
                              <w:r>
                                <w:rPr>
                                  <w:sz w:val="22"/>
                                </w:rPr>
                                <w:t>Monitoring questions ask whether management in the plan area is maintaining or progressing toward desired conditions and meeting objectives. Monitoring questions may be</w:t>
                              </w:r>
                              <w:r>
                                <w:rPr>
                                  <w:spacing w:val="-1"/>
                                  <w:sz w:val="22"/>
                                </w:rPr>
                                <w:t> </w:t>
                              </w:r>
                              <w:r>
                                <w:rPr>
                                  <w:sz w:val="22"/>
                                </w:rPr>
                                <w:t>designed</w:t>
                              </w:r>
                              <w:r>
                                <w:rPr>
                                  <w:spacing w:val="-3"/>
                                  <w:sz w:val="22"/>
                                </w:rPr>
                                <w:t> </w:t>
                              </w:r>
                              <w:r>
                                <w:rPr>
                                  <w:sz w:val="22"/>
                                </w:rPr>
                                <w:t>to</w:t>
                              </w:r>
                              <w:r>
                                <w:rPr>
                                  <w:spacing w:val="-1"/>
                                  <w:sz w:val="22"/>
                                </w:rPr>
                                <w:t> </w:t>
                              </w:r>
                              <w:r>
                                <w:rPr>
                                  <w:sz w:val="22"/>
                                </w:rPr>
                                <w:t>pertain</w:t>
                              </w:r>
                              <w:r>
                                <w:rPr>
                                  <w:spacing w:val="-3"/>
                                  <w:sz w:val="22"/>
                                </w:rPr>
                                <w:t> </w:t>
                              </w:r>
                              <w:r>
                                <w:rPr>
                                  <w:sz w:val="22"/>
                                </w:rPr>
                                <w:t>directly</w:t>
                              </w:r>
                              <w:r>
                                <w:rPr>
                                  <w:spacing w:val="-3"/>
                                  <w:sz w:val="22"/>
                                </w:rPr>
                                <w:t> </w:t>
                              </w:r>
                              <w:r>
                                <w:rPr>
                                  <w:sz w:val="22"/>
                                </w:rPr>
                                <w:t>to</w:t>
                              </w:r>
                              <w:r>
                                <w:rPr>
                                  <w:spacing w:val="-1"/>
                                  <w:sz w:val="22"/>
                                </w:rPr>
                                <w:t> </w:t>
                              </w:r>
                              <w:r>
                                <w:rPr>
                                  <w:sz w:val="22"/>
                                </w:rPr>
                                <w:t>desired</w:t>
                              </w:r>
                              <w:r>
                                <w:rPr>
                                  <w:spacing w:val="-5"/>
                                  <w:sz w:val="22"/>
                                </w:rPr>
                                <w:t> </w:t>
                              </w:r>
                              <w:r>
                                <w:rPr>
                                  <w:sz w:val="22"/>
                                </w:rPr>
                                <w:t>conditions</w:t>
                              </w:r>
                              <w:r>
                                <w:rPr>
                                  <w:spacing w:val="-4"/>
                                  <w:sz w:val="22"/>
                                </w:rPr>
                                <w:t> </w:t>
                              </w:r>
                              <w:r>
                                <w:rPr>
                                  <w:sz w:val="22"/>
                                </w:rPr>
                                <w:t>or</w:t>
                              </w:r>
                              <w:r>
                                <w:rPr>
                                  <w:spacing w:val="-2"/>
                                  <w:sz w:val="22"/>
                                </w:rPr>
                                <w:t> </w:t>
                              </w:r>
                              <w:r>
                                <w:rPr>
                                  <w:sz w:val="22"/>
                                </w:rPr>
                                <w:t>to</w:t>
                              </w:r>
                              <w:r>
                                <w:rPr>
                                  <w:spacing w:val="-3"/>
                                  <w:sz w:val="22"/>
                                </w:rPr>
                                <w:t> </w:t>
                              </w:r>
                              <w:r>
                                <w:rPr>
                                  <w:sz w:val="22"/>
                                </w:rPr>
                                <w:t>relate</w:t>
                              </w:r>
                              <w:r>
                                <w:rPr>
                                  <w:spacing w:val="-1"/>
                                  <w:sz w:val="22"/>
                                </w:rPr>
                                <w:t> </w:t>
                              </w:r>
                              <w:r>
                                <w:rPr>
                                  <w:sz w:val="22"/>
                                </w:rPr>
                                <w:t>to</w:t>
                              </w:r>
                              <w:r>
                                <w:rPr>
                                  <w:spacing w:val="-3"/>
                                  <w:sz w:val="22"/>
                                </w:rPr>
                                <w:t> </w:t>
                              </w:r>
                              <w:r>
                                <w:rPr>
                                  <w:sz w:val="22"/>
                                </w:rPr>
                                <w:t>objectives</w:t>
                              </w:r>
                              <w:r>
                                <w:rPr>
                                  <w:spacing w:val="-4"/>
                                  <w:sz w:val="22"/>
                                </w:rPr>
                                <w:t> </w:t>
                              </w:r>
                              <w:r>
                                <w:rPr>
                                  <w:sz w:val="22"/>
                                </w:rPr>
                                <w:t>or</w:t>
                              </w:r>
                              <w:r>
                                <w:rPr>
                                  <w:spacing w:val="-4"/>
                                  <w:sz w:val="22"/>
                                </w:rPr>
                                <w:t> </w:t>
                              </w:r>
                              <w:r>
                                <w:rPr>
                                  <w:sz w:val="22"/>
                                </w:rPr>
                                <w:t>guidelines. Monitoring information in the plan set of documents may be changed or updated as appropriate. Such changes and updates require a plan amendment or revision.</w:t>
                              </w:r>
                            </w:p>
                            <w:p>
                              <w:pPr>
                                <w:spacing w:before="119"/>
                                <w:ind w:left="28" w:right="65" w:firstLine="0"/>
                                <w:jc w:val="left"/>
                                <w:rPr>
                                  <w:sz w:val="22"/>
                                </w:rPr>
                              </w:pPr>
                              <w:r>
                                <w:rPr>
                                  <w:sz w:val="22"/>
                                </w:rPr>
                                <w:t>Monitoring</w:t>
                              </w:r>
                              <w:r>
                                <w:rPr>
                                  <w:spacing w:val="-4"/>
                                  <w:sz w:val="22"/>
                                </w:rPr>
                                <w:t> </w:t>
                              </w:r>
                              <w:r>
                                <w:rPr>
                                  <w:sz w:val="22"/>
                                </w:rPr>
                                <w:t>questions</w:t>
                              </w:r>
                              <w:r>
                                <w:rPr>
                                  <w:spacing w:val="-5"/>
                                  <w:sz w:val="22"/>
                                </w:rPr>
                                <w:t> </w:t>
                              </w:r>
                              <w:r>
                                <w:rPr>
                                  <w:sz w:val="22"/>
                                </w:rPr>
                                <w:t>can</w:t>
                              </w:r>
                              <w:r>
                                <w:rPr>
                                  <w:spacing w:val="-4"/>
                                  <w:sz w:val="22"/>
                                </w:rPr>
                                <w:t> </w:t>
                              </w:r>
                              <w:r>
                                <w:rPr>
                                  <w:sz w:val="22"/>
                                </w:rPr>
                                <w:t>also</w:t>
                              </w:r>
                              <w:r>
                                <w:rPr>
                                  <w:spacing w:val="-2"/>
                                  <w:sz w:val="22"/>
                                </w:rPr>
                                <w:t> </w:t>
                              </w:r>
                              <w:r>
                                <w:rPr>
                                  <w:sz w:val="22"/>
                                </w:rPr>
                                <w:t>identify</w:t>
                              </w:r>
                              <w:r>
                                <w:rPr>
                                  <w:spacing w:val="-4"/>
                                  <w:sz w:val="22"/>
                                </w:rPr>
                                <w:t> </w:t>
                              </w:r>
                              <w:r>
                                <w:rPr>
                                  <w:sz w:val="22"/>
                                </w:rPr>
                                <w:t>or</w:t>
                              </w:r>
                              <w:r>
                                <w:rPr>
                                  <w:spacing w:val="-3"/>
                                  <w:sz w:val="22"/>
                                </w:rPr>
                                <w:t> </w:t>
                              </w:r>
                              <w:r>
                                <w:rPr>
                                  <w:sz w:val="22"/>
                                </w:rPr>
                                <w:t>enumerate</w:t>
                              </w:r>
                              <w:r>
                                <w:rPr>
                                  <w:spacing w:val="-5"/>
                                  <w:sz w:val="22"/>
                                </w:rPr>
                                <w:t> </w:t>
                              </w:r>
                              <w:r>
                                <w:rPr>
                                  <w:sz w:val="22"/>
                                </w:rPr>
                                <w:t>the</w:t>
                              </w:r>
                              <w:r>
                                <w:rPr>
                                  <w:spacing w:val="-2"/>
                                  <w:sz w:val="22"/>
                                </w:rPr>
                                <w:t> </w:t>
                              </w:r>
                              <w:r>
                                <w:rPr>
                                  <w:sz w:val="22"/>
                                </w:rPr>
                                <w:t>ties</w:t>
                              </w:r>
                              <w:r>
                                <w:rPr>
                                  <w:spacing w:val="-5"/>
                                  <w:sz w:val="22"/>
                                </w:rPr>
                                <w:t> </w:t>
                              </w:r>
                              <w:r>
                                <w:rPr>
                                  <w:sz w:val="22"/>
                                </w:rPr>
                                <w:t>between</w:t>
                              </w:r>
                              <w:r>
                                <w:rPr>
                                  <w:spacing w:val="-6"/>
                                  <w:sz w:val="22"/>
                                </w:rPr>
                                <w:t> </w:t>
                              </w:r>
                              <w:r>
                                <w:rPr>
                                  <w:sz w:val="22"/>
                                </w:rPr>
                                <w:t>ecosystem</w:t>
                              </w:r>
                              <w:r>
                                <w:rPr>
                                  <w:spacing w:val="-4"/>
                                  <w:sz w:val="22"/>
                                </w:rPr>
                                <w:t> </w:t>
                              </w:r>
                              <w:r>
                                <w:rPr>
                                  <w:sz w:val="22"/>
                                </w:rPr>
                                <w:t>resilience and ecosystem services. Ecosystem services are the products of functioning ecosystems that benefit people.</w:t>
                              </w:r>
                            </w:p>
                            <w:p>
                              <w:pPr>
                                <w:spacing w:before="121"/>
                                <w:ind w:left="28" w:right="33" w:firstLine="0"/>
                                <w:jc w:val="left"/>
                                <w:rPr>
                                  <w:sz w:val="22"/>
                                </w:rPr>
                              </w:pPr>
                              <w:r>
                                <w:rPr>
                                  <w:sz w:val="22"/>
                                </w:rPr>
                                <w:t>Monitoring questions identify specific Plan direction to monitor and evaluate. The monitoring questions specify the information that is essential for measuring Plan accomplishments</w:t>
                              </w:r>
                              <w:r>
                                <w:rPr>
                                  <w:spacing w:val="-6"/>
                                  <w:sz w:val="22"/>
                                </w:rPr>
                                <w:t> </w:t>
                              </w:r>
                              <w:r>
                                <w:rPr>
                                  <w:sz w:val="22"/>
                                </w:rPr>
                                <w:t>and</w:t>
                              </w:r>
                              <w:r>
                                <w:rPr>
                                  <w:spacing w:val="-5"/>
                                  <w:sz w:val="22"/>
                                </w:rPr>
                                <w:t> </w:t>
                              </w:r>
                              <w:r>
                                <w:rPr>
                                  <w:sz w:val="22"/>
                                </w:rPr>
                                <w:t>effectiveness.</w:t>
                              </w:r>
                              <w:r>
                                <w:rPr>
                                  <w:spacing w:val="-4"/>
                                  <w:sz w:val="22"/>
                                </w:rPr>
                                <w:t> </w:t>
                              </w:r>
                              <w:r>
                                <w:rPr>
                                  <w:sz w:val="22"/>
                                </w:rPr>
                                <w:t>The</w:t>
                              </w:r>
                              <w:r>
                                <w:rPr>
                                  <w:spacing w:val="-6"/>
                                  <w:sz w:val="22"/>
                                </w:rPr>
                                <w:t> </w:t>
                              </w:r>
                              <w:r>
                                <w:rPr>
                                  <w:sz w:val="22"/>
                                </w:rPr>
                                <w:t>associated</w:t>
                              </w:r>
                              <w:r>
                                <w:rPr>
                                  <w:spacing w:val="-5"/>
                                  <w:sz w:val="22"/>
                                </w:rPr>
                                <w:t> </w:t>
                              </w:r>
                              <w:r>
                                <w:rPr>
                                  <w:sz w:val="22"/>
                                </w:rPr>
                                <w:t>evaluation</w:t>
                              </w:r>
                              <w:r>
                                <w:rPr>
                                  <w:spacing w:val="-5"/>
                                  <w:sz w:val="22"/>
                                </w:rPr>
                                <w:t> </w:t>
                              </w:r>
                              <w:r>
                                <w:rPr>
                                  <w:sz w:val="22"/>
                                </w:rPr>
                                <w:t>process</w:t>
                              </w:r>
                              <w:r>
                                <w:rPr>
                                  <w:spacing w:val="-6"/>
                                  <w:sz w:val="22"/>
                                </w:rPr>
                                <w:t> </w:t>
                              </w:r>
                              <w:r>
                                <w:rPr>
                                  <w:sz w:val="22"/>
                                </w:rPr>
                                <w:t>determines</w:t>
                              </w:r>
                              <w:r>
                                <w:rPr>
                                  <w:spacing w:val="-4"/>
                                  <w:sz w:val="22"/>
                                </w:rPr>
                                <w:t> </w:t>
                              </w:r>
                              <w:r>
                                <w:rPr>
                                  <w:sz w:val="22"/>
                                </w:rPr>
                                <w:t>whether the observed changes are consistent with the desired conditions and what adjustments</w:t>
                              </w:r>
                              <w:r>
                                <w:rPr>
                                  <w:spacing w:val="40"/>
                                  <w:sz w:val="22"/>
                                </w:rPr>
                                <w:t> </w:t>
                              </w:r>
                              <w:r>
                                <w:rPr>
                                  <w:sz w:val="22"/>
                                </w:rPr>
                                <w:t>may be needed, if any.</w:t>
                              </w:r>
                            </w:p>
                            <w:p>
                              <w:pPr>
                                <w:spacing w:line="240" w:lineRule="auto" w:before="121"/>
                                <w:ind w:left="28" w:right="120" w:firstLine="0"/>
                                <w:jc w:val="left"/>
                                <w:rPr>
                                  <w:sz w:val="22"/>
                                </w:rPr>
                              </w:pPr>
                              <w:r>
                                <w:rPr>
                                  <w:sz w:val="22"/>
                                </w:rPr>
                                <w:t>Monitoring questions are designed to address the requirements at 36 CFR 219.12 (a)(5) which</w:t>
                              </w:r>
                              <w:r>
                                <w:rPr>
                                  <w:spacing w:val="-3"/>
                                  <w:sz w:val="22"/>
                                </w:rPr>
                                <w:t> </w:t>
                              </w:r>
                              <w:r>
                                <w:rPr>
                                  <w:sz w:val="22"/>
                                </w:rPr>
                                <w:t>states</w:t>
                              </w:r>
                              <w:r>
                                <w:rPr>
                                  <w:spacing w:val="-4"/>
                                  <w:sz w:val="22"/>
                                </w:rPr>
                                <w:t> </w:t>
                              </w:r>
                              <w:r>
                                <w:rPr>
                                  <w:sz w:val="22"/>
                                </w:rPr>
                                <w:t>that</w:t>
                              </w:r>
                              <w:r>
                                <w:rPr>
                                  <w:spacing w:val="-4"/>
                                  <w:sz w:val="22"/>
                                </w:rPr>
                                <w:t> </w:t>
                              </w:r>
                              <w:r>
                                <w:rPr>
                                  <w:sz w:val="22"/>
                                </w:rPr>
                                <w:t>monitoring</w:t>
                              </w:r>
                              <w:r>
                                <w:rPr>
                                  <w:spacing w:val="-3"/>
                                  <w:sz w:val="22"/>
                                </w:rPr>
                                <w:t> </w:t>
                              </w:r>
                              <w:r>
                                <w:rPr>
                                  <w:sz w:val="22"/>
                                </w:rPr>
                                <w:t>programs</w:t>
                              </w:r>
                              <w:r>
                                <w:rPr>
                                  <w:spacing w:val="-4"/>
                                  <w:sz w:val="22"/>
                                </w:rPr>
                                <w:t> </w:t>
                              </w:r>
                              <w:r>
                                <w:rPr>
                                  <w:sz w:val="22"/>
                                </w:rPr>
                                <w:t>must</w:t>
                              </w:r>
                              <w:r>
                                <w:rPr>
                                  <w:spacing w:val="-1"/>
                                  <w:sz w:val="22"/>
                                </w:rPr>
                                <w:t> </w:t>
                              </w:r>
                              <w:r>
                                <w:rPr>
                                  <w:sz w:val="22"/>
                                </w:rPr>
                                <w:t>contain</w:t>
                              </w:r>
                              <w:r>
                                <w:rPr>
                                  <w:spacing w:val="-5"/>
                                  <w:sz w:val="22"/>
                                </w:rPr>
                                <w:t> </w:t>
                              </w:r>
                              <w:r>
                                <w:rPr>
                                  <w:sz w:val="22"/>
                                </w:rPr>
                                <w:t>one</w:t>
                              </w:r>
                              <w:r>
                                <w:rPr>
                                  <w:spacing w:val="-4"/>
                                  <w:sz w:val="22"/>
                                </w:rPr>
                                <w:t> </w:t>
                              </w:r>
                              <w:r>
                                <w:rPr>
                                  <w:sz w:val="22"/>
                                </w:rPr>
                                <w:t>or</w:t>
                              </w:r>
                              <w:r>
                                <w:rPr>
                                  <w:spacing w:val="-4"/>
                                  <w:sz w:val="22"/>
                                </w:rPr>
                                <w:t> </w:t>
                              </w:r>
                              <w:r>
                                <w:rPr>
                                  <w:sz w:val="22"/>
                                </w:rPr>
                                <w:t>more</w:t>
                              </w:r>
                              <w:r>
                                <w:rPr>
                                  <w:spacing w:val="-4"/>
                                  <w:sz w:val="22"/>
                                </w:rPr>
                                <w:t> </w:t>
                              </w:r>
                              <w:r>
                                <w:rPr>
                                  <w:sz w:val="22"/>
                                </w:rPr>
                                <w:t>monitoring</w:t>
                              </w:r>
                              <w:r>
                                <w:rPr>
                                  <w:spacing w:val="-3"/>
                                  <w:sz w:val="22"/>
                                </w:rPr>
                                <w:t> </w:t>
                              </w:r>
                              <w:r>
                                <w:rPr>
                                  <w:sz w:val="22"/>
                                </w:rPr>
                                <w:t>questions</w:t>
                              </w:r>
                              <w:r>
                                <w:rPr>
                                  <w:spacing w:val="-4"/>
                                  <w:sz w:val="22"/>
                                </w:rPr>
                                <w:t> </w:t>
                              </w:r>
                              <w:r>
                                <w:rPr>
                                  <w:sz w:val="22"/>
                                </w:rPr>
                                <w:t>to address the following (see table 39):</w:t>
                              </w:r>
                            </w:p>
                            <w:p>
                              <w:pPr>
                                <w:spacing w:before="118"/>
                                <w:ind w:left="388" w:right="0" w:firstLine="0"/>
                                <w:jc w:val="left"/>
                                <w:rPr>
                                  <w:sz w:val="22"/>
                                </w:rPr>
                              </w:pPr>
                              <w:r>
                                <w:rPr>
                                  <w:sz w:val="22"/>
                                </w:rPr>
                                <w:t>(i)</w:t>
                              </w:r>
                              <w:r>
                                <w:rPr>
                                  <w:spacing w:val="46"/>
                                  <w:sz w:val="22"/>
                                </w:rPr>
                                <w:t> </w:t>
                              </w:r>
                              <w:r>
                                <w:rPr>
                                  <w:sz w:val="22"/>
                                </w:rPr>
                                <w:t>the</w:t>
                              </w:r>
                              <w:r>
                                <w:rPr>
                                  <w:spacing w:val="-4"/>
                                  <w:sz w:val="22"/>
                                </w:rPr>
                                <w:t> </w:t>
                              </w:r>
                              <w:r>
                                <w:rPr>
                                  <w:sz w:val="22"/>
                                </w:rPr>
                                <w:t>status</w:t>
                              </w:r>
                              <w:r>
                                <w:rPr>
                                  <w:spacing w:val="-2"/>
                                  <w:sz w:val="22"/>
                                </w:rPr>
                                <w:t> </w:t>
                              </w:r>
                              <w:r>
                                <w:rPr>
                                  <w:sz w:val="22"/>
                                </w:rPr>
                                <w:t>of</w:t>
                              </w:r>
                              <w:r>
                                <w:rPr>
                                  <w:spacing w:val="-4"/>
                                  <w:sz w:val="22"/>
                                </w:rPr>
                                <w:t> </w:t>
                              </w:r>
                              <w:r>
                                <w:rPr>
                                  <w:sz w:val="22"/>
                                </w:rPr>
                                <w:t>select</w:t>
                              </w:r>
                              <w:r>
                                <w:rPr>
                                  <w:spacing w:val="-4"/>
                                  <w:sz w:val="22"/>
                                </w:rPr>
                                <w:t> </w:t>
                              </w:r>
                              <w:r>
                                <w:rPr>
                                  <w:sz w:val="22"/>
                                </w:rPr>
                                <w:t>watershed</w:t>
                              </w:r>
                              <w:r>
                                <w:rPr>
                                  <w:spacing w:val="-2"/>
                                  <w:sz w:val="22"/>
                                </w:rPr>
                                <w:t> conditions.</w:t>
                              </w:r>
                            </w:p>
                          </w:txbxContent>
                        </wps:txbx>
                        <wps:bodyPr wrap="square" lIns="0" tIns="0" rIns="0" bIns="0" rtlCol="0">
                          <a:noAutofit/>
                        </wps:bodyPr>
                      </wps:wsp>
                    </wpg:wgp>
                  </a:graphicData>
                </a:graphic>
              </wp:anchor>
            </w:drawing>
          </mc:Choice>
          <mc:Fallback>
            <w:pict>
              <v:group style="position:absolute;margin-left:128.160004pt;margin-top:270.290527pt;width:413.3pt;height:344.8pt;mso-position-horizontal-relative:page;mso-position-vertical-relative:paragraph;z-index:-15680512;mso-wrap-distance-left:0;mso-wrap-distance-right:0" id="docshapegroup250" coordorigin="2563,5406" coordsize="8266,6896">
                <v:shape style="position:absolute;left:2563;top:5405;width:8266;height:6896" id="docshape251" coordorigin="2563,5406" coordsize="8266,6896" path="m10829,10182l2563,10182,2563,10451,2563,10719,2563,11108,2563,11377,2563,11643,2563,12032,2563,12301,10829,12301,10829,12032,10829,11643,10829,11377,10829,11108,10829,10719,10829,10451,10829,10182xm10829,5675l2563,5675,2563,5941,2563,6330,2563,6599,2563,6987,2563,7256,2563,7525,2563,7794,2563,8063,2563,8331,2563,8720,2563,8987,2563,9255,2563,9644,2563,9913,2563,10182,10829,10182,10829,9913,10829,9644,10829,9255,10829,8987,10829,8720,10829,8331,10829,8063,10829,7794,10829,7525,10829,7256,10829,6987,10829,6599,10829,6330,10829,5941,10829,5675xm10829,5406l2563,5406,2563,5675,10829,5675,10829,5406xe" filled="true" fillcolor="#dfdfdf" stroked="false">
                  <v:path arrowok="t"/>
                  <v:fill type="solid"/>
                </v:shape>
                <v:shape style="position:absolute;left:2563;top:5405;width:8266;height:6896" type="#_x0000_t202" id="docshape252" filled="false" stroked="false">
                  <v:textbox inset="0,0,0,0">
                    <w:txbxContent>
                      <w:p>
                        <w:pPr>
                          <w:spacing w:line="240" w:lineRule="auto" w:before="0"/>
                          <w:ind w:left="28" w:right="135" w:firstLine="0"/>
                          <w:jc w:val="left"/>
                          <w:rPr>
                            <w:sz w:val="22"/>
                          </w:rPr>
                        </w:pPr>
                        <w:r>
                          <w:rPr>
                            <w:sz w:val="22"/>
                          </w:rPr>
                          <w:t>These</w:t>
                        </w:r>
                        <w:r>
                          <w:rPr>
                            <w:spacing w:val="-4"/>
                            <w:sz w:val="22"/>
                          </w:rPr>
                          <w:t> </w:t>
                        </w:r>
                        <w:r>
                          <w:rPr>
                            <w:sz w:val="22"/>
                          </w:rPr>
                          <w:t>evaluations</w:t>
                        </w:r>
                        <w:r>
                          <w:rPr>
                            <w:spacing w:val="-4"/>
                            <w:sz w:val="22"/>
                          </w:rPr>
                          <w:t> </w:t>
                        </w:r>
                        <w:r>
                          <w:rPr>
                            <w:sz w:val="22"/>
                          </w:rPr>
                          <w:t>are</w:t>
                        </w:r>
                        <w:r>
                          <w:rPr>
                            <w:spacing w:val="-1"/>
                            <w:sz w:val="22"/>
                          </w:rPr>
                          <w:t> </w:t>
                        </w:r>
                        <w:r>
                          <w:rPr>
                            <w:sz w:val="22"/>
                          </w:rPr>
                          <w:t>an</w:t>
                        </w:r>
                        <w:r>
                          <w:rPr>
                            <w:spacing w:val="-3"/>
                            <w:sz w:val="22"/>
                          </w:rPr>
                          <w:t> </w:t>
                        </w:r>
                        <w:r>
                          <w:rPr>
                            <w:sz w:val="22"/>
                          </w:rPr>
                          <w:t>integral</w:t>
                        </w:r>
                        <w:r>
                          <w:rPr>
                            <w:spacing w:val="-2"/>
                            <w:sz w:val="22"/>
                          </w:rPr>
                          <w:t> </w:t>
                        </w:r>
                        <w:r>
                          <w:rPr>
                            <w:sz w:val="22"/>
                          </w:rPr>
                          <w:t>part</w:t>
                        </w:r>
                        <w:r>
                          <w:rPr>
                            <w:spacing w:val="-4"/>
                            <w:sz w:val="22"/>
                          </w:rPr>
                          <w:t> </w:t>
                        </w:r>
                        <w:r>
                          <w:rPr>
                            <w:sz w:val="22"/>
                          </w:rPr>
                          <w:t>of</w:t>
                        </w:r>
                        <w:r>
                          <w:rPr>
                            <w:spacing w:val="-2"/>
                            <w:sz w:val="22"/>
                          </w:rPr>
                          <w:t> </w:t>
                        </w:r>
                        <w:r>
                          <w:rPr>
                            <w:sz w:val="22"/>
                          </w:rPr>
                          <w:t>answering</w:t>
                        </w:r>
                        <w:r>
                          <w:rPr>
                            <w:spacing w:val="-5"/>
                            <w:sz w:val="22"/>
                          </w:rPr>
                          <w:t> </w:t>
                        </w:r>
                        <w:r>
                          <w:rPr>
                            <w:sz w:val="22"/>
                          </w:rPr>
                          <w:t>key</w:t>
                        </w:r>
                        <w:r>
                          <w:rPr>
                            <w:spacing w:val="-1"/>
                            <w:sz w:val="22"/>
                          </w:rPr>
                          <w:t> </w:t>
                        </w:r>
                        <w:r>
                          <w:rPr>
                            <w:sz w:val="22"/>
                          </w:rPr>
                          <w:t>planning</w:t>
                        </w:r>
                        <w:r>
                          <w:rPr>
                            <w:spacing w:val="-3"/>
                            <w:sz w:val="22"/>
                          </w:rPr>
                          <w:t> </w:t>
                        </w:r>
                        <w:r>
                          <w:rPr>
                            <w:sz w:val="22"/>
                          </w:rPr>
                          <w:t>questions</w:t>
                        </w:r>
                        <w:r>
                          <w:rPr>
                            <w:spacing w:val="-4"/>
                            <w:sz w:val="22"/>
                          </w:rPr>
                          <w:t> </w:t>
                        </w:r>
                        <w:r>
                          <w:rPr>
                            <w:sz w:val="22"/>
                          </w:rPr>
                          <w:t>such</w:t>
                        </w:r>
                        <w:r>
                          <w:rPr>
                            <w:spacing w:val="-3"/>
                            <w:sz w:val="22"/>
                          </w:rPr>
                          <w:t> </w:t>
                        </w:r>
                        <w:r>
                          <w:rPr>
                            <w:sz w:val="22"/>
                          </w:rPr>
                          <w:t>as</w:t>
                        </w:r>
                        <w:r>
                          <w:rPr>
                            <w:spacing w:val="-2"/>
                            <w:sz w:val="22"/>
                          </w:rPr>
                          <w:t> </w:t>
                        </w:r>
                        <w:r>
                          <w:rPr>
                            <w:sz w:val="22"/>
                          </w:rPr>
                          <w:t>the state of social, economic, and ecological conditions and trends, and the need for an amendment or revision.</w:t>
                        </w:r>
                      </w:p>
                      <w:p>
                        <w:pPr>
                          <w:spacing w:before="117"/>
                          <w:ind w:left="28" w:right="120" w:firstLine="0"/>
                          <w:jc w:val="left"/>
                          <w:rPr>
                            <w:sz w:val="22"/>
                          </w:rPr>
                        </w:pPr>
                        <w:r>
                          <w:rPr>
                            <w:sz w:val="22"/>
                          </w:rPr>
                          <w:t>Specific</w:t>
                        </w:r>
                        <w:r>
                          <w:rPr>
                            <w:spacing w:val="-5"/>
                            <w:sz w:val="22"/>
                          </w:rPr>
                          <w:t> </w:t>
                        </w:r>
                        <w:r>
                          <w:rPr>
                            <w:sz w:val="22"/>
                          </w:rPr>
                          <w:t>monitoring</w:t>
                        </w:r>
                        <w:r>
                          <w:rPr>
                            <w:spacing w:val="-4"/>
                            <w:sz w:val="22"/>
                          </w:rPr>
                          <w:t> </w:t>
                        </w:r>
                        <w:r>
                          <w:rPr>
                            <w:sz w:val="22"/>
                          </w:rPr>
                          <w:t>items,</w:t>
                        </w:r>
                        <w:r>
                          <w:rPr>
                            <w:spacing w:val="-5"/>
                            <w:sz w:val="22"/>
                          </w:rPr>
                          <w:t> </w:t>
                        </w:r>
                        <w:r>
                          <w:rPr>
                            <w:sz w:val="22"/>
                          </w:rPr>
                          <w:t>such</w:t>
                        </w:r>
                        <w:r>
                          <w:rPr>
                            <w:spacing w:val="-4"/>
                            <w:sz w:val="22"/>
                          </w:rPr>
                          <w:t> </w:t>
                        </w:r>
                        <w:r>
                          <w:rPr>
                            <w:sz w:val="22"/>
                          </w:rPr>
                          <w:t>as</w:t>
                        </w:r>
                        <w:r>
                          <w:rPr>
                            <w:spacing w:val="-5"/>
                            <w:sz w:val="22"/>
                          </w:rPr>
                          <w:t> </w:t>
                        </w:r>
                        <w:r>
                          <w:rPr>
                            <w:sz w:val="22"/>
                          </w:rPr>
                          <w:t>measuring</w:t>
                        </w:r>
                        <w:r>
                          <w:rPr>
                            <w:spacing w:val="-4"/>
                            <w:sz w:val="22"/>
                          </w:rPr>
                          <w:t> </w:t>
                        </w:r>
                        <w:r>
                          <w:rPr>
                            <w:sz w:val="22"/>
                          </w:rPr>
                          <w:t>frequencies,</w:t>
                        </w:r>
                        <w:r>
                          <w:rPr>
                            <w:spacing w:val="-5"/>
                            <w:sz w:val="22"/>
                          </w:rPr>
                          <w:t> </w:t>
                        </w:r>
                        <w:r>
                          <w:rPr>
                            <w:sz w:val="22"/>
                          </w:rPr>
                          <w:t>methodologies,</w:t>
                        </w:r>
                        <w:r>
                          <w:rPr>
                            <w:spacing w:val="-3"/>
                            <w:sz w:val="22"/>
                          </w:rPr>
                          <w:t> </w:t>
                        </w:r>
                        <w:r>
                          <w:rPr>
                            <w:sz w:val="22"/>
                          </w:rPr>
                          <w:t>precision,</w:t>
                        </w:r>
                        <w:r>
                          <w:rPr>
                            <w:spacing w:val="-3"/>
                            <w:sz w:val="22"/>
                          </w:rPr>
                          <w:t> </w:t>
                        </w:r>
                        <w:r>
                          <w:rPr>
                            <w:sz w:val="22"/>
                          </w:rPr>
                          <w:t>and reliability are identified in the annual monitoring guide.</w:t>
                        </w:r>
                      </w:p>
                      <w:p>
                        <w:pPr>
                          <w:spacing w:before="121"/>
                          <w:ind w:left="28" w:right="0" w:firstLine="0"/>
                          <w:jc w:val="left"/>
                          <w:rPr>
                            <w:sz w:val="22"/>
                          </w:rPr>
                        </w:pPr>
                        <w:r>
                          <w:rPr>
                            <w:sz w:val="22"/>
                          </w:rPr>
                          <w:t>MONITORING</w:t>
                        </w:r>
                        <w:r>
                          <w:rPr>
                            <w:spacing w:val="-7"/>
                            <w:sz w:val="22"/>
                          </w:rPr>
                          <w:t> </w:t>
                        </w:r>
                        <w:r>
                          <w:rPr>
                            <w:spacing w:val="-2"/>
                            <w:sz w:val="22"/>
                          </w:rPr>
                          <w:t>QUESTIONS</w:t>
                        </w:r>
                      </w:p>
                      <w:p>
                        <w:pPr>
                          <w:spacing w:before="0"/>
                          <w:ind w:left="28" w:right="39" w:firstLine="0"/>
                          <w:jc w:val="left"/>
                          <w:rPr>
                            <w:sz w:val="22"/>
                          </w:rPr>
                        </w:pPr>
                        <w:r>
                          <w:rPr>
                            <w:sz w:val="22"/>
                          </w:rPr>
                          <w:t>Monitoring questions ask whether management in the plan area is maintaining or progressing toward desired conditions and meeting objectives. Monitoring questions may be</w:t>
                        </w:r>
                        <w:r>
                          <w:rPr>
                            <w:spacing w:val="-1"/>
                            <w:sz w:val="22"/>
                          </w:rPr>
                          <w:t> </w:t>
                        </w:r>
                        <w:r>
                          <w:rPr>
                            <w:sz w:val="22"/>
                          </w:rPr>
                          <w:t>designed</w:t>
                        </w:r>
                        <w:r>
                          <w:rPr>
                            <w:spacing w:val="-3"/>
                            <w:sz w:val="22"/>
                          </w:rPr>
                          <w:t> </w:t>
                        </w:r>
                        <w:r>
                          <w:rPr>
                            <w:sz w:val="22"/>
                          </w:rPr>
                          <w:t>to</w:t>
                        </w:r>
                        <w:r>
                          <w:rPr>
                            <w:spacing w:val="-1"/>
                            <w:sz w:val="22"/>
                          </w:rPr>
                          <w:t> </w:t>
                        </w:r>
                        <w:r>
                          <w:rPr>
                            <w:sz w:val="22"/>
                          </w:rPr>
                          <w:t>pertain</w:t>
                        </w:r>
                        <w:r>
                          <w:rPr>
                            <w:spacing w:val="-3"/>
                            <w:sz w:val="22"/>
                          </w:rPr>
                          <w:t> </w:t>
                        </w:r>
                        <w:r>
                          <w:rPr>
                            <w:sz w:val="22"/>
                          </w:rPr>
                          <w:t>directly</w:t>
                        </w:r>
                        <w:r>
                          <w:rPr>
                            <w:spacing w:val="-3"/>
                            <w:sz w:val="22"/>
                          </w:rPr>
                          <w:t> </w:t>
                        </w:r>
                        <w:r>
                          <w:rPr>
                            <w:sz w:val="22"/>
                          </w:rPr>
                          <w:t>to</w:t>
                        </w:r>
                        <w:r>
                          <w:rPr>
                            <w:spacing w:val="-1"/>
                            <w:sz w:val="22"/>
                          </w:rPr>
                          <w:t> </w:t>
                        </w:r>
                        <w:r>
                          <w:rPr>
                            <w:sz w:val="22"/>
                          </w:rPr>
                          <w:t>desired</w:t>
                        </w:r>
                        <w:r>
                          <w:rPr>
                            <w:spacing w:val="-5"/>
                            <w:sz w:val="22"/>
                          </w:rPr>
                          <w:t> </w:t>
                        </w:r>
                        <w:r>
                          <w:rPr>
                            <w:sz w:val="22"/>
                          </w:rPr>
                          <w:t>conditions</w:t>
                        </w:r>
                        <w:r>
                          <w:rPr>
                            <w:spacing w:val="-4"/>
                            <w:sz w:val="22"/>
                          </w:rPr>
                          <w:t> </w:t>
                        </w:r>
                        <w:r>
                          <w:rPr>
                            <w:sz w:val="22"/>
                          </w:rPr>
                          <w:t>or</w:t>
                        </w:r>
                        <w:r>
                          <w:rPr>
                            <w:spacing w:val="-2"/>
                            <w:sz w:val="22"/>
                          </w:rPr>
                          <w:t> </w:t>
                        </w:r>
                        <w:r>
                          <w:rPr>
                            <w:sz w:val="22"/>
                          </w:rPr>
                          <w:t>to</w:t>
                        </w:r>
                        <w:r>
                          <w:rPr>
                            <w:spacing w:val="-3"/>
                            <w:sz w:val="22"/>
                          </w:rPr>
                          <w:t> </w:t>
                        </w:r>
                        <w:r>
                          <w:rPr>
                            <w:sz w:val="22"/>
                          </w:rPr>
                          <w:t>relate</w:t>
                        </w:r>
                        <w:r>
                          <w:rPr>
                            <w:spacing w:val="-1"/>
                            <w:sz w:val="22"/>
                          </w:rPr>
                          <w:t> </w:t>
                        </w:r>
                        <w:r>
                          <w:rPr>
                            <w:sz w:val="22"/>
                          </w:rPr>
                          <w:t>to</w:t>
                        </w:r>
                        <w:r>
                          <w:rPr>
                            <w:spacing w:val="-3"/>
                            <w:sz w:val="22"/>
                          </w:rPr>
                          <w:t> </w:t>
                        </w:r>
                        <w:r>
                          <w:rPr>
                            <w:sz w:val="22"/>
                          </w:rPr>
                          <w:t>objectives</w:t>
                        </w:r>
                        <w:r>
                          <w:rPr>
                            <w:spacing w:val="-4"/>
                            <w:sz w:val="22"/>
                          </w:rPr>
                          <w:t> </w:t>
                        </w:r>
                        <w:r>
                          <w:rPr>
                            <w:sz w:val="22"/>
                          </w:rPr>
                          <w:t>or</w:t>
                        </w:r>
                        <w:r>
                          <w:rPr>
                            <w:spacing w:val="-4"/>
                            <w:sz w:val="22"/>
                          </w:rPr>
                          <w:t> </w:t>
                        </w:r>
                        <w:r>
                          <w:rPr>
                            <w:sz w:val="22"/>
                          </w:rPr>
                          <w:t>guidelines. Monitoring information in the plan set of documents may be changed or updated as appropriate. Such changes and updates require a plan amendment or revision.</w:t>
                        </w:r>
                      </w:p>
                      <w:p>
                        <w:pPr>
                          <w:spacing w:before="119"/>
                          <w:ind w:left="28" w:right="65" w:firstLine="0"/>
                          <w:jc w:val="left"/>
                          <w:rPr>
                            <w:sz w:val="22"/>
                          </w:rPr>
                        </w:pPr>
                        <w:r>
                          <w:rPr>
                            <w:sz w:val="22"/>
                          </w:rPr>
                          <w:t>Monitoring</w:t>
                        </w:r>
                        <w:r>
                          <w:rPr>
                            <w:spacing w:val="-4"/>
                            <w:sz w:val="22"/>
                          </w:rPr>
                          <w:t> </w:t>
                        </w:r>
                        <w:r>
                          <w:rPr>
                            <w:sz w:val="22"/>
                          </w:rPr>
                          <w:t>questions</w:t>
                        </w:r>
                        <w:r>
                          <w:rPr>
                            <w:spacing w:val="-5"/>
                            <w:sz w:val="22"/>
                          </w:rPr>
                          <w:t> </w:t>
                        </w:r>
                        <w:r>
                          <w:rPr>
                            <w:sz w:val="22"/>
                          </w:rPr>
                          <w:t>can</w:t>
                        </w:r>
                        <w:r>
                          <w:rPr>
                            <w:spacing w:val="-4"/>
                            <w:sz w:val="22"/>
                          </w:rPr>
                          <w:t> </w:t>
                        </w:r>
                        <w:r>
                          <w:rPr>
                            <w:sz w:val="22"/>
                          </w:rPr>
                          <w:t>also</w:t>
                        </w:r>
                        <w:r>
                          <w:rPr>
                            <w:spacing w:val="-2"/>
                            <w:sz w:val="22"/>
                          </w:rPr>
                          <w:t> </w:t>
                        </w:r>
                        <w:r>
                          <w:rPr>
                            <w:sz w:val="22"/>
                          </w:rPr>
                          <w:t>identify</w:t>
                        </w:r>
                        <w:r>
                          <w:rPr>
                            <w:spacing w:val="-4"/>
                            <w:sz w:val="22"/>
                          </w:rPr>
                          <w:t> </w:t>
                        </w:r>
                        <w:r>
                          <w:rPr>
                            <w:sz w:val="22"/>
                          </w:rPr>
                          <w:t>or</w:t>
                        </w:r>
                        <w:r>
                          <w:rPr>
                            <w:spacing w:val="-3"/>
                            <w:sz w:val="22"/>
                          </w:rPr>
                          <w:t> </w:t>
                        </w:r>
                        <w:r>
                          <w:rPr>
                            <w:sz w:val="22"/>
                          </w:rPr>
                          <w:t>enumerate</w:t>
                        </w:r>
                        <w:r>
                          <w:rPr>
                            <w:spacing w:val="-5"/>
                            <w:sz w:val="22"/>
                          </w:rPr>
                          <w:t> </w:t>
                        </w:r>
                        <w:r>
                          <w:rPr>
                            <w:sz w:val="22"/>
                          </w:rPr>
                          <w:t>the</w:t>
                        </w:r>
                        <w:r>
                          <w:rPr>
                            <w:spacing w:val="-2"/>
                            <w:sz w:val="22"/>
                          </w:rPr>
                          <w:t> </w:t>
                        </w:r>
                        <w:r>
                          <w:rPr>
                            <w:sz w:val="22"/>
                          </w:rPr>
                          <w:t>ties</w:t>
                        </w:r>
                        <w:r>
                          <w:rPr>
                            <w:spacing w:val="-5"/>
                            <w:sz w:val="22"/>
                          </w:rPr>
                          <w:t> </w:t>
                        </w:r>
                        <w:r>
                          <w:rPr>
                            <w:sz w:val="22"/>
                          </w:rPr>
                          <w:t>between</w:t>
                        </w:r>
                        <w:r>
                          <w:rPr>
                            <w:spacing w:val="-6"/>
                            <w:sz w:val="22"/>
                          </w:rPr>
                          <w:t> </w:t>
                        </w:r>
                        <w:r>
                          <w:rPr>
                            <w:sz w:val="22"/>
                          </w:rPr>
                          <w:t>ecosystem</w:t>
                        </w:r>
                        <w:r>
                          <w:rPr>
                            <w:spacing w:val="-4"/>
                            <w:sz w:val="22"/>
                          </w:rPr>
                          <w:t> </w:t>
                        </w:r>
                        <w:r>
                          <w:rPr>
                            <w:sz w:val="22"/>
                          </w:rPr>
                          <w:t>resilience and ecosystem services. Ecosystem services are the products of functioning ecosystems that benefit people.</w:t>
                        </w:r>
                      </w:p>
                      <w:p>
                        <w:pPr>
                          <w:spacing w:before="121"/>
                          <w:ind w:left="28" w:right="33" w:firstLine="0"/>
                          <w:jc w:val="left"/>
                          <w:rPr>
                            <w:sz w:val="22"/>
                          </w:rPr>
                        </w:pPr>
                        <w:r>
                          <w:rPr>
                            <w:sz w:val="22"/>
                          </w:rPr>
                          <w:t>Monitoring questions identify specific Plan direction to monitor and evaluate. The monitoring questions specify the information that is essential for measuring Plan accomplishments</w:t>
                        </w:r>
                        <w:r>
                          <w:rPr>
                            <w:spacing w:val="-6"/>
                            <w:sz w:val="22"/>
                          </w:rPr>
                          <w:t> </w:t>
                        </w:r>
                        <w:r>
                          <w:rPr>
                            <w:sz w:val="22"/>
                          </w:rPr>
                          <w:t>and</w:t>
                        </w:r>
                        <w:r>
                          <w:rPr>
                            <w:spacing w:val="-5"/>
                            <w:sz w:val="22"/>
                          </w:rPr>
                          <w:t> </w:t>
                        </w:r>
                        <w:r>
                          <w:rPr>
                            <w:sz w:val="22"/>
                          </w:rPr>
                          <w:t>effectiveness.</w:t>
                        </w:r>
                        <w:r>
                          <w:rPr>
                            <w:spacing w:val="-4"/>
                            <w:sz w:val="22"/>
                          </w:rPr>
                          <w:t> </w:t>
                        </w:r>
                        <w:r>
                          <w:rPr>
                            <w:sz w:val="22"/>
                          </w:rPr>
                          <w:t>The</w:t>
                        </w:r>
                        <w:r>
                          <w:rPr>
                            <w:spacing w:val="-6"/>
                            <w:sz w:val="22"/>
                          </w:rPr>
                          <w:t> </w:t>
                        </w:r>
                        <w:r>
                          <w:rPr>
                            <w:sz w:val="22"/>
                          </w:rPr>
                          <w:t>associated</w:t>
                        </w:r>
                        <w:r>
                          <w:rPr>
                            <w:spacing w:val="-5"/>
                            <w:sz w:val="22"/>
                          </w:rPr>
                          <w:t> </w:t>
                        </w:r>
                        <w:r>
                          <w:rPr>
                            <w:sz w:val="22"/>
                          </w:rPr>
                          <w:t>evaluation</w:t>
                        </w:r>
                        <w:r>
                          <w:rPr>
                            <w:spacing w:val="-5"/>
                            <w:sz w:val="22"/>
                          </w:rPr>
                          <w:t> </w:t>
                        </w:r>
                        <w:r>
                          <w:rPr>
                            <w:sz w:val="22"/>
                          </w:rPr>
                          <w:t>process</w:t>
                        </w:r>
                        <w:r>
                          <w:rPr>
                            <w:spacing w:val="-6"/>
                            <w:sz w:val="22"/>
                          </w:rPr>
                          <w:t> </w:t>
                        </w:r>
                        <w:r>
                          <w:rPr>
                            <w:sz w:val="22"/>
                          </w:rPr>
                          <w:t>determines</w:t>
                        </w:r>
                        <w:r>
                          <w:rPr>
                            <w:spacing w:val="-4"/>
                            <w:sz w:val="22"/>
                          </w:rPr>
                          <w:t> </w:t>
                        </w:r>
                        <w:r>
                          <w:rPr>
                            <w:sz w:val="22"/>
                          </w:rPr>
                          <w:t>whether the observed changes are consistent with the desired conditions and what adjustments</w:t>
                        </w:r>
                        <w:r>
                          <w:rPr>
                            <w:spacing w:val="40"/>
                            <w:sz w:val="22"/>
                          </w:rPr>
                          <w:t> </w:t>
                        </w:r>
                        <w:r>
                          <w:rPr>
                            <w:sz w:val="22"/>
                          </w:rPr>
                          <w:t>may be needed, if any.</w:t>
                        </w:r>
                      </w:p>
                      <w:p>
                        <w:pPr>
                          <w:spacing w:line="240" w:lineRule="auto" w:before="121"/>
                          <w:ind w:left="28" w:right="120" w:firstLine="0"/>
                          <w:jc w:val="left"/>
                          <w:rPr>
                            <w:sz w:val="22"/>
                          </w:rPr>
                        </w:pPr>
                        <w:r>
                          <w:rPr>
                            <w:sz w:val="22"/>
                          </w:rPr>
                          <w:t>Monitoring questions are designed to address the requirements at 36 CFR 219.12 (a)(5) which</w:t>
                        </w:r>
                        <w:r>
                          <w:rPr>
                            <w:spacing w:val="-3"/>
                            <w:sz w:val="22"/>
                          </w:rPr>
                          <w:t> </w:t>
                        </w:r>
                        <w:r>
                          <w:rPr>
                            <w:sz w:val="22"/>
                          </w:rPr>
                          <w:t>states</w:t>
                        </w:r>
                        <w:r>
                          <w:rPr>
                            <w:spacing w:val="-4"/>
                            <w:sz w:val="22"/>
                          </w:rPr>
                          <w:t> </w:t>
                        </w:r>
                        <w:r>
                          <w:rPr>
                            <w:sz w:val="22"/>
                          </w:rPr>
                          <w:t>that</w:t>
                        </w:r>
                        <w:r>
                          <w:rPr>
                            <w:spacing w:val="-4"/>
                            <w:sz w:val="22"/>
                          </w:rPr>
                          <w:t> </w:t>
                        </w:r>
                        <w:r>
                          <w:rPr>
                            <w:sz w:val="22"/>
                          </w:rPr>
                          <w:t>monitoring</w:t>
                        </w:r>
                        <w:r>
                          <w:rPr>
                            <w:spacing w:val="-3"/>
                            <w:sz w:val="22"/>
                          </w:rPr>
                          <w:t> </w:t>
                        </w:r>
                        <w:r>
                          <w:rPr>
                            <w:sz w:val="22"/>
                          </w:rPr>
                          <w:t>programs</w:t>
                        </w:r>
                        <w:r>
                          <w:rPr>
                            <w:spacing w:val="-4"/>
                            <w:sz w:val="22"/>
                          </w:rPr>
                          <w:t> </w:t>
                        </w:r>
                        <w:r>
                          <w:rPr>
                            <w:sz w:val="22"/>
                          </w:rPr>
                          <w:t>must</w:t>
                        </w:r>
                        <w:r>
                          <w:rPr>
                            <w:spacing w:val="-1"/>
                            <w:sz w:val="22"/>
                          </w:rPr>
                          <w:t> </w:t>
                        </w:r>
                        <w:r>
                          <w:rPr>
                            <w:sz w:val="22"/>
                          </w:rPr>
                          <w:t>contain</w:t>
                        </w:r>
                        <w:r>
                          <w:rPr>
                            <w:spacing w:val="-5"/>
                            <w:sz w:val="22"/>
                          </w:rPr>
                          <w:t> </w:t>
                        </w:r>
                        <w:r>
                          <w:rPr>
                            <w:sz w:val="22"/>
                          </w:rPr>
                          <w:t>one</w:t>
                        </w:r>
                        <w:r>
                          <w:rPr>
                            <w:spacing w:val="-4"/>
                            <w:sz w:val="22"/>
                          </w:rPr>
                          <w:t> </w:t>
                        </w:r>
                        <w:r>
                          <w:rPr>
                            <w:sz w:val="22"/>
                          </w:rPr>
                          <w:t>or</w:t>
                        </w:r>
                        <w:r>
                          <w:rPr>
                            <w:spacing w:val="-4"/>
                            <w:sz w:val="22"/>
                          </w:rPr>
                          <w:t> </w:t>
                        </w:r>
                        <w:r>
                          <w:rPr>
                            <w:sz w:val="22"/>
                          </w:rPr>
                          <w:t>more</w:t>
                        </w:r>
                        <w:r>
                          <w:rPr>
                            <w:spacing w:val="-4"/>
                            <w:sz w:val="22"/>
                          </w:rPr>
                          <w:t> </w:t>
                        </w:r>
                        <w:r>
                          <w:rPr>
                            <w:sz w:val="22"/>
                          </w:rPr>
                          <w:t>monitoring</w:t>
                        </w:r>
                        <w:r>
                          <w:rPr>
                            <w:spacing w:val="-3"/>
                            <w:sz w:val="22"/>
                          </w:rPr>
                          <w:t> </w:t>
                        </w:r>
                        <w:r>
                          <w:rPr>
                            <w:sz w:val="22"/>
                          </w:rPr>
                          <w:t>questions</w:t>
                        </w:r>
                        <w:r>
                          <w:rPr>
                            <w:spacing w:val="-4"/>
                            <w:sz w:val="22"/>
                          </w:rPr>
                          <w:t> </w:t>
                        </w:r>
                        <w:r>
                          <w:rPr>
                            <w:sz w:val="22"/>
                          </w:rPr>
                          <w:t>to address the following (see table 39):</w:t>
                        </w:r>
                      </w:p>
                      <w:p>
                        <w:pPr>
                          <w:spacing w:before="118"/>
                          <w:ind w:left="388" w:right="0" w:firstLine="0"/>
                          <w:jc w:val="left"/>
                          <w:rPr>
                            <w:sz w:val="22"/>
                          </w:rPr>
                        </w:pPr>
                        <w:r>
                          <w:rPr>
                            <w:sz w:val="22"/>
                          </w:rPr>
                          <w:t>(i)</w:t>
                        </w:r>
                        <w:r>
                          <w:rPr>
                            <w:spacing w:val="46"/>
                            <w:sz w:val="22"/>
                          </w:rPr>
                          <w:t> </w:t>
                        </w:r>
                        <w:r>
                          <w:rPr>
                            <w:sz w:val="22"/>
                          </w:rPr>
                          <w:t>the</w:t>
                        </w:r>
                        <w:r>
                          <w:rPr>
                            <w:spacing w:val="-4"/>
                            <w:sz w:val="22"/>
                          </w:rPr>
                          <w:t> </w:t>
                        </w:r>
                        <w:r>
                          <w:rPr>
                            <w:sz w:val="22"/>
                          </w:rPr>
                          <w:t>status</w:t>
                        </w:r>
                        <w:r>
                          <w:rPr>
                            <w:spacing w:val="-2"/>
                            <w:sz w:val="22"/>
                          </w:rPr>
                          <w:t> </w:t>
                        </w:r>
                        <w:r>
                          <w:rPr>
                            <w:sz w:val="22"/>
                          </w:rPr>
                          <w:t>of</w:t>
                        </w:r>
                        <w:r>
                          <w:rPr>
                            <w:spacing w:val="-4"/>
                            <w:sz w:val="22"/>
                          </w:rPr>
                          <w:t> </w:t>
                        </w:r>
                        <w:r>
                          <w:rPr>
                            <w:sz w:val="22"/>
                          </w:rPr>
                          <w:t>select</w:t>
                        </w:r>
                        <w:r>
                          <w:rPr>
                            <w:spacing w:val="-4"/>
                            <w:sz w:val="22"/>
                          </w:rPr>
                          <w:t> </w:t>
                        </w:r>
                        <w:r>
                          <w:rPr>
                            <w:sz w:val="22"/>
                          </w:rPr>
                          <w:t>watershed</w:t>
                        </w:r>
                        <w:r>
                          <w:rPr>
                            <w:spacing w:val="-2"/>
                            <w:sz w:val="22"/>
                          </w:rPr>
                          <w:t> conditions.</w:t>
                        </w:r>
                      </w:p>
                    </w:txbxContent>
                  </v:textbox>
                  <w10:wrap type="none"/>
                </v:shape>
                <w10:wrap type="topAndBottom"/>
              </v:group>
            </w:pict>
          </mc:Fallback>
        </mc:AlternateContent>
      </w:r>
    </w:p>
    <w:p>
      <w:pPr>
        <w:pStyle w:val="BodyText"/>
        <w:spacing w:before="4"/>
        <w:rPr>
          <w:rFonts w:ascii="Arial"/>
          <w:b/>
          <w:sz w:val="8"/>
        </w:rPr>
      </w:pPr>
    </w:p>
    <w:p>
      <w:pPr>
        <w:pStyle w:val="BodyText"/>
        <w:spacing w:before="4"/>
        <w:rPr>
          <w:rFonts w:ascii="Arial"/>
          <w:b/>
          <w:sz w:val="8"/>
        </w:rPr>
      </w:pPr>
    </w:p>
    <w:p>
      <w:pPr>
        <w:pStyle w:val="BodyText"/>
        <w:spacing w:after="0"/>
        <w:rPr>
          <w:rFonts w:ascii="Arial"/>
          <w:b/>
          <w:sz w:val="8"/>
        </w:rPr>
        <w:sectPr>
          <w:pgSz w:w="12240" w:h="15840"/>
          <w:pgMar w:header="725" w:footer="891" w:top="1340" w:bottom="1080" w:left="1080" w:right="1080"/>
        </w:sectPr>
      </w:pPr>
    </w:p>
    <w:p>
      <w:pPr>
        <w:pStyle w:val="BodyText"/>
        <w:spacing w:before="3"/>
        <w:rPr>
          <w:rFonts w:ascii="Arial"/>
          <w:b/>
          <w:sz w:val="7"/>
        </w:rPr>
      </w:pPr>
    </w:p>
    <w:p>
      <w:pPr>
        <w:pStyle w:val="BodyText"/>
        <w:ind w:left="1051"/>
        <w:rPr>
          <w:rFonts w:ascii="Arial"/>
          <w:sz w:val="20"/>
        </w:rPr>
      </w:pPr>
      <w:r>
        <w:rPr>
          <w:rFonts w:ascii="Arial"/>
          <w:sz w:val="20"/>
        </w:rPr>
        <mc:AlternateContent>
          <mc:Choice Requires="wps">
            <w:drawing>
              <wp:inline distT="0" distB="0" distL="0" distR="0">
                <wp:extent cx="5020310" cy="341630"/>
                <wp:effectExtent l="0" t="0" r="0" b="0"/>
                <wp:docPr id="268" name="Textbox 268"/>
                <wp:cNvGraphicFramePr>
                  <a:graphicFrameLocks/>
                </wp:cNvGraphicFramePr>
                <a:graphic>
                  <a:graphicData uri="http://schemas.microsoft.com/office/word/2010/wordprocessingShape">
                    <wps:wsp>
                      <wps:cNvPr id="268" name="Textbox 268"/>
                      <wps:cNvSpPr txBox="1"/>
                      <wps:spPr>
                        <a:xfrm>
                          <a:off x="0" y="0"/>
                          <a:ext cx="5020310" cy="341630"/>
                        </a:xfrm>
                        <a:prstGeom prst="rect">
                          <a:avLst/>
                        </a:prstGeom>
                        <a:solidFill>
                          <a:srgbClr val="DFDFDF"/>
                        </a:solidFill>
                      </wps:spPr>
                      <wps:txbx>
                        <w:txbxContent>
                          <w:p>
                            <w:pPr>
                              <w:pStyle w:val="BodyText"/>
                              <w:ind w:left="28" w:right="49"/>
                              <w:rPr>
                                <w:color w:val="000000"/>
                              </w:rPr>
                            </w:pPr>
                            <w:r>
                              <w:rPr>
                                <w:color w:val="000000"/>
                              </w:rPr>
                              <w:t>(ii)</w:t>
                            </w:r>
                            <w:r>
                              <w:rPr>
                                <w:color w:val="000000"/>
                                <w:spacing w:val="40"/>
                              </w:rPr>
                              <w:t> </w:t>
                            </w:r>
                            <w:r>
                              <w:rPr>
                                <w:color w:val="000000"/>
                              </w:rPr>
                              <w:t>the</w:t>
                            </w:r>
                            <w:r>
                              <w:rPr>
                                <w:color w:val="000000"/>
                                <w:spacing w:val="-4"/>
                              </w:rPr>
                              <w:t> </w:t>
                            </w:r>
                            <w:r>
                              <w:rPr>
                                <w:color w:val="000000"/>
                              </w:rPr>
                              <w:t>status</w:t>
                            </w:r>
                            <w:r>
                              <w:rPr>
                                <w:color w:val="000000"/>
                                <w:spacing w:val="-4"/>
                              </w:rPr>
                              <w:t> </w:t>
                            </w:r>
                            <w:r>
                              <w:rPr>
                                <w:color w:val="000000"/>
                              </w:rPr>
                              <w:t>of</w:t>
                            </w:r>
                            <w:r>
                              <w:rPr>
                                <w:color w:val="000000"/>
                                <w:spacing w:val="-4"/>
                              </w:rPr>
                              <w:t> </w:t>
                            </w:r>
                            <w:r>
                              <w:rPr>
                                <w:color w:val="000000"/>
                              </w:rPr>
                              <w:t>select</w:t>
                            </w:r>
                            <w:r>
                              <w:rPr>
                                <w:color w:val="000000"/>
                                <w:spacing w:val="-4"/>
                              </w:rPr>
                              <w:t> </w:t>
                            </w:r>
                            <w:r>
                              <w:rPr>
                                <w:color w:val="000000"/>
                              </w:rPr>
                              <w:t>ecological</w:t>
                            </w:r>
                            <w:r>
                              <w:rPr>
                                <w:color w:val="000000"/>
                                <w:spacing w:val="-2"/>
                              </w:rPr>
                              <w:t> </w:t>
                            </w:r>
                            <w:r>
                              <w:rPr>
                                <w:color w:val="000000"/>
                              </w:rPr>
                              <w:t>conditions</w:t>
                            </w:r>
                            <w:r>
                              <w:rPr>
                                <w:color w:val="000000"/>
                                <w:spacing w:val="-4"/>
                              </w:rPr>
                              <w:t> </w:t>
                            </w:r>
                            <w:r>
                              <w:rPr>
                                <w:color w:val="000000"/>
                              </w:rPr>
                              <w:t>including</w:t>
                            </w:r>
                            <w:r>
                              <w:rPr>
                                <w:color w:val="000000"/>
                                <w:spacing w:val="-3"/>
                              </w:rPr>
                              <w:t> </w:t>
                            </w:r>
                            <w:r>
                              <w:rPr>
                                <w:color w:val="000000"/>
                              </w:rPr>
                              <w:t>key</w:t>
                            </w:r>
                            <w:r>
                              <w:rPr>
                                <w:color w:val="000000"/>
                                <w:spacing w:val="-3"/>
                              </w:rPr>
                              <w:t> </w:t>
                            </w:r>
                            <w:r>
                              <w:rPr>
                                <w:color w:val="000000"/>
                              </w:rPr>
                              <w:t>characteristics</w:t>
                            </w:r>
                            <w:r>
                              <w:rPr>
                                <w:color w:val="000000"/>
                                <w:spacing w:val="-4"/>
                              </w:rPr>
                              <w:t> </w:t>
                            </w:r>
                            <w:r>
                              <w:rPr>
                                <w:color w:val="000000"/>
                              </w:rPr>
                              <w:t>of</w:t>
                            </w:r>
                            <w:r>
                              <w:rPr>
                                <w:color w:val="000000"/>
                                <w:spacing w:val="-4"/>
                              </w:rPr>
                              <w:t> </w:t>
                            </w:r>
                            <w:r>
                              <w:rPr>
                                <w:color w:val="000000"/>
                              </w:rPr>
                              <w:t>terrestrial and aquatic ecosystems.</w:t>
                            </w:r>
                          </w:p>
                        </w:txbxContent>
                      </wps:txbx>
                      <wps:bodyPr wrap="square" lIns="0" tIns="0" rIns="0" bIns="0" rtlCol="0">
                        <a:noAutofit/>
                      </wps:bodyPr>
                    </wps:wsp>
                  </a:graphicData>
                </a:graphic>
              </wp:inline>
            </w:drawing>
          </mc:Choice>
          <mc:Fallback>
            <w:pict>
              <v:shape style="width:395.3pt;height:26.9pt;mso-position-horizontal-relative:char;mso-position-vertical-relative:line" type="#_x0000_t202" id="docshape253" filled="true" fillcolor="#dfdfdf" stroked="false">
                <w10:anchorlock/>
                <v:textbox inset="0,0,0,0">
                  <w:txbxContent>
                    <w:p>
                      <w:pPr>
                        <w:pStyle w:val="BodyText"/>
                        <w:ind w:left="28" w:right="49"/>
                        <w:rPr>
                          <w:color w:val="000000"/>
                        </w:rPr>
                      </w:pPr>
                      <w:r>
                        <w:rPr>
                          <w:color w:val="000000"/>
                        </w:rPr>
                        <w:t>(ii)</w:t>
                      </w:r>
                      <w:r>
                        <w:rPr>
                          <w:color w:val="000000"/>
                          <w:spacing w:val="40"/>
                        </w:rPr>
                        <w:t> </w:t>
                      </w:r>
                      <w:r>
                        <w:rPr>
                          <w:color w:val="000000"/>
                        </w:rPr>
                        <w:t>the</w:t>
                      </w:r>
                      <w:r>
                        <w:rPr>
                          <w:color w:val="000000"/>
                          <w:spacing w:val="-4"/>
                        </w:rPr>
                        <w:t> </w:t>
                      </w:r>
                      <w:r>
                        <w:rPr>
                          <w:color w:val="000000"/>
                        </w:rPr>
                        <w:t>status</w:t>
                      </w:r>
                      <w:r>
                        <w:rPr>
                          <w:color w:val="000000"/>
                          <w:spacing w:val="-4"/>
                        </w:rPr>
                        <w:t> </w:t>
                      </w:r>
                      <w:r>
                        <w:rPr>
                          <w:color w:val="000000"/>
                        </w:rPr>
                        <w:t>of</w:t>
                      </w:r>
                      <w:r>
                        <w:rPr>
                          <w:color w:val="000000"/>
                          <w:spacing w:val="-4"/>
                        </w:rPr>
                        <w:t> </w:t>
                      </w:r>
                      <w:r>
                        <w:rPr>
                          <w:color w:val="000000"/>
                        </w:rPr>
                        <w:t>select</w:t>
                      </w:r>
                      <w:r>
                        <w:rPr>
                          <w:color w:val="000000"/>
                          <w:spacing w:val="-4"/>
                        </w:rPr>
                        <w:t> </w:t>
                      </w:r>
                      <w:r>
                        <w:rPr>
                          <w:color w:val="000000"/>
                        </w:rPr>
                        <w:t>ecological</w:t>
                      </w:r>
                      <w:r>
                        <w:rPr>
                          <w:color w:val="000000"/>
                          <w:spacing w:val="-2"/>
                        </w:rPr>
                        <w:t> </w:t>
                      </w:r>
                      <w:r>
                        <w:rPr>
                          <w:color w:val="000000"/>
                        </w:rPr>
                        <w:t>conditions</w:t>
                      </w:r>
                      <w:r>
                        <w:rPr>
                          <w:color w:val="000000"/>
                          <w:spacing w:val="-4"/>
                        </w:rPr>
                        <w:t> </w:t>
                      </w:r>
                      <w:r>
                        <w:rPr>
                          <w:color w:val="000000"/>
                        </w:rPr>
                        <w:t>including</w:t>
                      </w:r>
                      <w:r>
                        <w:rPr>
                          <w:color w:val="000000"/>
                          <w:spacing w:val="-3"/>
                        </w:rPr>
                        <w:t> </w:t>
                      </w:r>
                      <w:r>
                        <w:rPr>
                          <w:color w:val="000000"/>
                        </w:rPr>
                        <w:t>key</w:t>
                      </w:r>
                      <w:r>
                        <w:rPr>
                          <w:color w:val="000000"/>
                          <w:spacing w:val="-3"/>
                        </w:rPr>
                        <w:t> </w:t>
                      </w:r>
                      <w:r>
                        <w:rPr>
                          <w:color w:val="000000"/>
                        </w:rPr>
                        <w:t>characteristics</w:t>
                      </w:r>
                      <w:r>
                        <w:rPr>
                          <w:color w:val="000000"/>
                          <w:spacing w:val="-4"/>
                        </w:rPr>
                        <w:t> </w:t>
                      </w:r>
                      <w:r>
                        <w:rPr>
                          <w:color w:val="000000"/>
                        </w:rPr>
                        <w:t>of</w:t>
                      </w:r>
                      <w:r>
                        <w:rPr>
                          <w:color w:val="000000"/>
                          <w:spacing w:val="-4"/>
                        </w:rPr>
                        <w:t> </w:t>
                      </w:r>
                      <w:r>
                        <w:rPr>
                          <w:color w:val="000000"/>
                        </w:rPr>
                        <w:t>terrestrial and aquatic ecosystems.</w:t>
                      </w:r>
                    </w:p>
                  </w:txbxContent>
                </v:textbox>
                <v:fill type="solid"/>
              </v:shape>
            </w:pict>
          </mc:Fallback>
        </mc:AlternateContent>
      </w:r>
      <w:r>
        <w:rPr>
          <w:rFonts w:ascii="Arial"/>
          <w:sz w:val="20"/>
        </w:rPr>
      </w:r>
    </w:p>
    <w:p>
      <w:pPr>
        <w:pStyle w:val="BodyText"/>
        <w:spacing w:before="9"/>
        <w:rPr>
          <w:rFonts w:ascii="Arial"/>
          <w:b/>
          <w:sz w:val="6"/>
        </w:rPr>
      </w:pPr>
      <w:r>
        <w:rPr>
          <w:rFonts w:ascii="Arial"/>
          <w:b/>
          <w:sz w:val="6"/>
        </w:rPr>
        <mc:AlternateContent>
          <mc:Choice Requires="wps">
            <w:drawing>
              <wp:anchor distT="0" distB="0" distL="0" distR="0" allowOverlap="1" layoutInCell="1" locked="0" behindDoc="1" simplePos="0" relativeHeight="487636992">
                <wp:simplePos x="0" y="0"/>
                <wp:positionH relativeFrom="page">
                  <wp:posOffset>1124711</wp:posOffset>
                </wp:positionH>
                <wp:positionV relativeFrom="paragraph">
                  <wp:posOffset>65145</wp:posOffset>
                </wp:positionV>
                <wp:extent cx="5248910" cy="2597150"/>
                <wp:effectExtent l="0" t="0" r="0" b="0"/>
                <wp:wrapTopAndBottom/>
                <wp:docPr id="269" name="Textbox 269"/>
                <wp:cNvGraphicFramePr>
                  <a:graphicFrameLocks/>
                </wp:cNvGraphicFramePr>
                <a:graphic>
                  <a:graphicData uri="http://schemas.microsoft.com/office/word/2010/wordprocessingShape">
                    <wps:wsp>
                      <wps:cNvPr id="269" name="Textbox 269"/>
                      <wps:cNvSpPr txBox="1"/>
                      <wps:spPr>
                        <a:xfrm>
                          <a:off x="0" y="0"/>
                          <a:ext cx="5248910" cy="2597150"/>
                        </a:xfrm>
                        <a:prstGeom prst="rect">
                          <a:avLst/>
                        </a:prstGeom>
                        <a:solidFill>
                          <a:srgbClr val="DFDFDF"/>
                        </a:solidFill>
                      </wps:spPr>
                      <wps:txbx>
                        <w:txbxContent>
                          <w:p>
                            <w:pPr>
                              <w:pStyle w:val="BodyText"/>
                              <w:numPr>
                                <w:ilvl w:val="0"/>
                                <w:numId w:val="28"/>
                              </w:numPr>
                              <w:tabs>
                                <w:tab w:pos="411" w:val="left" w:leader="none"/>
                              </w:tabs>
                              <w:spacing w:line="268" w:lineRule="exact" w:before="0" w:after="0"/>
                              <w:ind w:left="411" w:right="0" w:hanging="383"/>
                              <w:jc w:val="left"/>
                              <w:rPr>
                                <w:color w:val="000000"/>
                              </w:rPr>
                            </w:pPr>
                            <w:r>
                              <w:rPr>
                                <w:color w:val="000000"/>
                              </w:rPr>
                              <w:t>the</w:t>
                            </w:r>
                            <w:r>
                              <w:rPr>
                                <w:color w:val="000000"/>
                                <w:spacing w:val="-5"/>
                              </w:rPr>
                              <w:t> </w:t>
                            </w:r>
                            <w:r>
                              <w:rPr>
                                <w:color w:val="000000"/>
                              </w:rPr>
                              <w:t>status</w:t>
                            </w:r>
                            <w:r>
                              <w:rPr>
                                <w:color w:val="000000"/>
                                <w:spacing w:val="-5"/>
                              </w:rPr>
                              <w:t> </w:t>
                            </w:r>
                            <w:r>
                              <w:rPr>
                                <w:color w:val="000000"/>
                              </w:rPr>
                              <w:t>of</w:t>
                            </w:r>
                            <w:r>
                              <w:rPr>
                                <w:color w:val="000000"/>
                                <w:spacing w:val="-5"/>
                              </w:rPr>
                              <w:t> </w:t>
                            </w:r>
                            <w:r>
                              <w:rPr>
                                <w:color w:val="000000"/>
                              </w:rPr>
                              <w:t>focal</w:t>
                            </w:r>
                            <w:r>
                              <w:rPr>
                                <w:color w:val="000000"/>
                                <w:spacing w:val="-3"/>
                              </w:rPr>
                              <w:t> </w:t>
                            </w:r>
                            <w:r>
                              <w:rPr>
                                <w:color w:val="000000"/>
                              </w:rPr>
                              <w:t>species</w:t>
                            </w:r>
                            <w:r>
                              <w:rPr>
                                <w:color w:val="000000"/>
                                <w:spacing w:val="-3"/>
                              </w:rPr>
                              <w:t> </w:t>
                            </w:r>
                            <w:r>
                              <w:rPr>
                                <w:color w:val="000000"/>
                              </w:rPr>
                              <w:t>to</w:t>
                            </w:r>
                            <w:r>
                              <w:rPr>
                                <w:color w:val="000000"/>
                                <w:spacing w:val="-2"/>
                              </w:rPr>
                              <w:t> </w:t>
                            </w:r>
                            <w:r>
                              <w:rPr>
                                <w:color w:val="000000"/>
                              </w:rPr>
                              <w:t>assess</w:t>
                            </w:r>
                            <w:r>
                              <w:rPr>
                                <w:color w:val="000000"/>
                                <w:spacing w:val="-4"/>
                              </w:rPr>
                              <w:t> </w:t>
                            </w:r>
                            <w:r>
                              <w:rPr>
                                <w:color w:val="000000"/>
                              </w:rPr>
                              <w:t>the</w:t>
                            </w:r>
                            <w:r>
                              <w:rPr>
                                <w:color w:val="000000"/>
                                <w:spacing w:val="-2"/>
                              </w:rPr>
                              <w:t> </w:t>
                            </w:r>
                            <w:r>
                              <w:rPr>
                                <w:color w:val="000000"/>
                              </w:rPr>
                              <w:t>ecological</w:t>
                            </w:r>
                            <w:r>
                              <w:rPr>
                                <w:color w:val="000000"/>
                                <w:spacing w:val="-6"/>
                              </w:rPr>
                              <w:t> </w:t>
                            </w:r>
                            <w:r>
                              <w:rPr>
                                <w:color w:val="000000"/>
                              </w:rPr>
                              <w:t>conditions</w:t>
                            </w:r>
                            <w:r>
                              <w:rPr>
                                <w:color w:val="000000"/>
                                <w:spacing w:val="-5"/>
                              </w:rPr>
                              <w:t> </w:t>
                            </w:r>
                            <w:r>
                              <w:rPr>
                                <w:color w:val="000000"/>
                              </w:rPr>
                              <w:t>required</w:t>
                            </w:r>
                            <w:r>
                              <w:rPr>
                                <w:color w:val="000000"/>
                                <w:spacing w:val="-4"/>
                              </w:rPr>
                              <w:t> </w:t>
                            </w:r>
                            <w:r>
                              <w:rPr>
                                <w:color w:val="000000"/>
                              </w:rPr>
                              <w:t>under</w:t>
                            </w:r>
                            <w:r>
                              <w:rPr>
                                <w:color w:val="000000"/>
                                <w:spacing w:val="-5"/>
                              </w:rPr>
                              <w:t> </w:t>
                            </w:r>
                            <w:r>
                              <w:rPr>
                                <w:color w:val="000000"/>
                              </w:rPr>
                              <w:t>§</w:t>
                            </w:r>
                            <w:r>
                              <w:rPr>
                                <w:color w:val="000000"/>
                                <w:spacing w:val="-1"/>
                              </w:rPr>
                              <w:t> </w:t>
                            </w:r>
                            <w:r>
                              <w:rPr>
                                <w:color w:val="000000"/>
                                <w:spacing w:val="-2"/>
                              </w:rPr>
                              <w:t>219.9.</w:t>
                            </w:r>
                          </w:p>
                          <w:p>
                            <w:pPr>
                              <w:pStyle w:val="BodyText"/>
                              <w:numPr>
                                <w:ilvl w:val="0"/>
                                <w:numId w:val="28"/>
                              </w:numPr>
                              <w:tabs>
                                <w:tab w:pos="410" w:val="left" w:leader="none"/>
                              </w:tabs>
                              <w:spacing w:line="240" w:lineRule="auto" w:before="120" w:after="0"/>
                              <w:ind w:left="28" w:right="96" w:firstLine="0"/>
                              <w:jc w:val="left"/>
                              <w:rPr>
                                <w:color w:val="000000"/>
                              </w:rPr>
                            </w:pPr>
                            <w:r>
                              <w:rPr>
                                <w:color w:val="000000"/>
                              </w:rPr>
                              <w:t>the status of a select set of the ecological conditions required under § 219.9 to contribute</w:t>
                            </w:r>
                            <w:r>
                              <w:rPr>
                                <w:color w:val="000000"/>
                                <w:spacing w:val="-5"/>
                              </w:rPr>
                              <w:t> </w:t>
                            </w:r>
                            <w:r>
                              <w:rPr>
                                <w:color w:val="000000"/>
                              </w:rPr>
                              <w:t>to</w:t>
                            </w:r>
                            <w:r>
                              <w:rPr>
                                <w:color w:val="000000"/>
                                <w:spacing w:val="-2"/>
                              </w:rPr>
                              <w:t> </w:t>
                            </w:r>
                            <w:r>
                              <w:rPr>
                                <w:color w:val="000000"/>
                              </w:rPr>
                              <w:t>the</w:t>
                            </w:r>
                            <w:r>
                              <w:rPr>
                                <w:color w:val="000000"/>
                                <w:spacing w:val="-5"/>
                              </w:rPr>
                              <w:t> </w:t>
                            </w:r>
                            <w:r>
                              <w:rPr>
                                <w:color w:val="000000"/>
                              </w:rPr>
                              <w:t>recovery</w:t>
                            </w:r>
                            <w:r>
                              <w:rPr>
                                <w:color w:val="000000"/>
                                <w:spacing w:val="-4"/>
                              </w:rPr>
                              <w:t> </w:t>
                            </w:r>
                            <w:r>
                              <w:rPr>
                                <w:color w:val="000000"/>
                              </w:rPr>
                              <w:t>of</w:t>
                            </w:r>
                            <w:r>
                              <w:rPr>
                                <w:color w:val="000000"/>
                                <w:spacing w:val="-3"/>
                              </w:rPr>
                              <w:t> </w:t>
                            </w:r>
                            <w:r>
                              <w:rPr>
                                <w:color w:val="000000"/>
                              </w:rPr>
                              <w:t>federally</w:t>
                            </w:r>
                            <w:r>
                              <w:rPr>
                                <w:color w:val="000000"/>
                                <w:spacing w:val="-2"/>
                              </w:rPr>
                              <w:t> </w:t>
                            </w:r>
                            <w:r>
                              <w:rPr>
                                <w:color w:val="000000"/>
                              </w:rPr>
                              <w:t>listed</w:t>
                            </w:r>
                            <w:r>
                              <w:rPr>
                                <w:color w:val="000000"/>
                                <w:spacing w:val="-6"/>
                              </w:rPr>
                              <w:t> </w:t>
                            </w:r>
                            <w:r>
                              <w:rPr>
                                <w:color w:val="000000"/>
                              </w:rPr>
                              <w:t>threatened</w:t>
                            </w:r>
                            <w:r>
                              <w:rPr>
                                <w:color w:val="000000"/>
                                <w:spacing w:val="-4"/>
                              </w:rPr>
                              <w:t> </w:t>
                            </w:r>
                            <w:r>
                              <w:rPr>
                                <w:color w:val="000000"/>
                              </w:rPr>
                              <w:t>and</w:t>
                            </w:r>
                            <w:r>
                              <w:rPr>
                                <w:color w:val="000000"/>
                                <w:spacing w:val="-4"/>
                              </w:rPr>
                              <w:t> </w:t>
                            </w:r>
                            <w:r>
                              <w:rPr>
                                <w:color w:val="000000"/>
                              </w:rPr>
                              <w:t>endangered</w:t>
                            </w:r>
                            <w:r>
                              <w:rPr>
                                <w:color w:val="000000"/>
                                <w:spacing w:val="-4"/>
                              </w:rPr>
                              <w:t> </w:t>
                            </w:r>
                            <w:r>
                              <w:rPr>
                                <w:color w:val="000000"/>
                              </w:rPr>
                              <w:t>species,</w:t>
                            </w:r>
                            <w:r>
                              <w:rPr>
                                <w:color w:val="000000"/>
                                <w:spacing w:val="-3"/>
                              </w:rPr>
                              <w:t> </w:t>
                            </w:r>
                            <w:r>
                              <w:rPr>
                                <w:color w:val="000000"/>
                              </w:rPr>
                              <w:t>conserve proposed and candidate species, and maintain a viable population of each species of conservation concern.</w:t>
                            </w:r>
                          </w:p>
                          <w:p>
                            <w:pPr>
                              <w:pStyle w:val="BodyText"/>
                              <w:numPr>
                                <w:ilvl w:val="0"/>
                                <w:numId w:val="28"/>
                              </w:numPr>
                              <w:tabs>
                                <w:tab w:pos="361" w:val="left" w:leader="none"/>
                              </w:tabs>
                              <w:spacing w:line="240" w:lineRule="auto" w:before="119" w:after="0"/>
                              <w:ind w:left="28" w:right="365" w:firstLine="0"/>
                              <w:jc w:val="left"/>
                              <w:rPr>
                                <w:color w:val="000000"/>
                              </w:rPr>
                            </w:pPr>
                            <w:r>
                              <w:rPr>
                                <w:color w:val="000000"/>
                              </w:rPr>
                              <w:t>the</w:t>
                            </w:r>
                            <w:r>
                              <w:rPr>
                                <w:color w:val="000000"/>
                                <w:spacing w:val="-2"/>
                              </w:rPr>
                              <w:t> </w:t>
                            </w:r>
                            <w:r>
                              <w:rPr>
                                <w:color w:val="000000"/>
                              </w:rPr>
                              <w:t>status</w:t>
                            </w:r>
                            <w:r>
                              <w:rPr>
                                <w:color w:val="000000"/>
                                <w:spacing w:val="-5"/>
                              </w:rPr>
                              <w:t> </w:t>
                            </w:r>
                            <w:r>
                              <w:rPr>
                                <w:color w:val="000000"/>
                              </w:rPr>
                              <w:t>of</w:t>
                            </w:r>
                            <w:r>
                              <w:rPr>
                                <w:color w:val="000000"/>
                                <w:spacing w:val="-5"/>
                              </w:rPr>
                              <w:t> </w:t>
                            </w:r>
                            <w:r>
                              <w:rPr>
                                <w:color w:val="000000"/>
                              </w:rPr>
                              <w:t>visitor</w:t>
                            </w:r>
                            <w:r>
                              <w:rPr>
                                <w:color w:val="000000"/>
                                <w:spacing w:val="-3"/>
                              </w:rPr>
                              <w:t> </w:t>
                            </w:r>
                            <w:r>
                              <w:rPr>
                                <w:color w:val="000000"/>
                              </w:rPr>
                              <w:t>use,</w:t>
                            </w:r>
                            <w:r>
                              <w:rPr>
                                <w:color w:val="000000"/>
                                <w:spacing w:val="-3"/>
                              </w:rPr>
                              <w:t> </w:t>
                            </w:r>
                            <w:r>
                              <w:rPr>
                                <w:color w:val="000000"/>
                              </w:rPr>
                              <w:t>visitor</w:t>
                            </w:r>
                            <w:r>
                              <w:rPr>
                                <w:color w:val="000000"/>
                                <w:spacing w:val="-3"/>
                              </w:rPr>
                              <w:t> </w:t>
                            </w:r>
                            <w:r>
                              <w:rPr>
                                <w:color w:val="000000"/>
                              </w:rPr>
                              <w:t>satisfaction,</w:t>
                            </w:r>
                            <w:r>
                              <w:rPr>
                                <w:color w:val="000000"/>
                                <w:spacing w:val="-5"/>
                              </w:rPr>
                              <w:t> </w:t>
                            </w:r>
                            <w:r>
                              <w:rPr>
                                <w:color w:val="000000"/>
                              </w:rPr>
                              <w:t>and</w:t>
                            </w:r>
                            <w:r>
                              <w:rPr>
                                <w:color w:val="000000"/>
                                <w:spacing w:val="-4"/>
                              </w:rPr>
                              <w:t> </w:t>
                            </w:r>
                            <w:r>
                              <w:rPr>
                                <w:color w:val="000000"/>
                              </w:rPr>
                              <w:t>progress</w:t>
                            </w:r>
                            <w:r>
                              <w:rPr>
                                <w:color w:val="000000"/>
                                <w:spacing w:val="-5"/>
                              </w:rPr>
                              <w:t> </w:t>
                            </w:r>
                            <w:r>
                              <w:rPr>
                                <w:color w:val="000000"/>
                              </w:rPr>
                              <w:t>toward</w:t>
                            </w:r>
                            <w:r>
                              <w:rPr>
                                <w:color w:val="000000"/>
                                <w:spacing w:val="-5"/>
                              </w:rPr>
                              <w:t> </w:t>
                            </w:r>
                            <w:r>
                              <w:rPr>
                                <w:color w:val="000000"/>
                              </w:rPr>
                              <w:t>meeting</w:t>
                            </w:r>
                            <w:r>
                              <w:rPr>
                                <w:color w:val="000000"/>
                                <w:spacing w:val="-4"/>
                              </w:rPr>
                              <w:t> </w:t>
                            </w:r>
                            <w:r>
                              <w:rPr>
                                <w:color w:val="000000"/>
                              </w:rPr>
                              <w:t>recreation </w:t>
                            </w:r>
                            <w:r>
                              <w:rPr>
                                <w:color w:val="000000"/>
                                <w:spacing w:val="-2"/>
                              </w:rPr>
                              <w:t>objectives.</w:t>
                            </w:r>
                          </w:p>
                          <w:p>
                            <w:pPr>
                              <w:pStyle w:val="BodyText"/>
                              <w:numPr>
                                <w:ilvl w:val="0"/>
                                <w:numId w:val="28"/>
                              </w:numPr>
                              <w:tabs>
                                <w:tab w:pos="410" w:val="left" w:leader="none"/>
                              </w:tabs>
                              <w:spacing w:line="240" w:lineRule="auto" w:before="120" w:after="0"/>
                              <w:ind w:left="28" w:right="404" w:firstLine="0"/>
                              <w:jc w:val="left"/>
                              <w:rPr>
                                <w:color w:val="000000"/>
                              </w:rPr>
                            </w:pPr>
                            <w:r>
                              <w:rPr>
                                <w:color w:val="000000"/>
                              </w:rPr>
                              <w:t>measurable</w:t>
                            </w:r>
                            <w:r>
                              <w:rPr>
                                <w:color w:val="000000"/>
                                <w:spacing w:val="-4"/>
                              </w:rPr>
                              <w:t> </w:t>
                            </w:r>
                            <w:r>
                              <w:rPr>
                                <w:color w:val="000000"/>
                              </w:rPr>
                              <w:t>changes</w:t>
                            </w:r>
                            <w:r>
                              <w:rPr>
                                <w:color w:val="000000"/>
                                <w:spacing w:val="-4"/>
                              </w:rPr>
                              <w:t> </w:t>
                            </w:r>
                            <w:r>
                              <w:rPr>
                                <w:color w:val="000000"/>
                              </w:rPr>
                              <w:t>on</w:t>
                            </w:r>
                            <w:r>
                              <w:rPr>
                                <w:color w:val="000000"/>
                                <w:spacing w:val="-3"/>
                              </w:rPr>
                              <w:t> </w:t>
                            </w:r>
                            <w:r>
                              <w:rPr>
                                <w:color w:val="000000"/>
                              </w:rPr>
                              <w:t>the</w:t>
                            </w:r>
                            <w:r>
                              <w:rPr>
                                <w:color w:val="000000"/>
                                <w:spacing w:val="-1"/>
                              </w:rPr>
                              <w:t> </w:t>
                            </w:r>
                            <w:r>
                              <w:rPr>
                                <w:color w:val="000000"/>
                              </w:rPr>
                              <w:t>plan</w:t>
                            </w:r>
                            <w:r>
                              <w:rPr>
                                <w:color w:val="000000"/>
                                <w:spacing w:val="-3"/>
                              </w:rPr>
                              <w:t> </w:t>
                            </w:r>
                            <w:r>
                              <w:rPr>
                                <w:color w:val="000000"/>
                              </w:rPr>
                              <w:t>area</w:t>
                            </w:r>
                            <w:r>
                              <w:rPr>
                                <w:color w:val="000000"/>
                                <w:spacing w:val="-4"/>
                              </w:rPr>
                              <w:t> </w:t>
                            </w:r>
                            <w:r>
                              <w:rPr>
                                <w:color w:val="000000"/>
                              </w:rPr>
                              <w:t>related</w:t>
                            </w:r>
                            <w:r>
                              <w:rPr>
                                <w:color w:val="000000"/>
                                <w:spacing w:val="-3"/>
                              </w:rPr>
                              <w:t> </w:t>
                            </w:r>
                            <w:r>
                              <w:rPr>
                                <w:color w:val="000000"/>
                              </w:rPr>
                              <w:t>to</w:t>
                            </w:r>
                            <w:r>
                              <w:rPr>
                                <w:color w:val="000000"/>
                                <w:spacing w:val="-1"/>
                              </w:rPr>
                              <w:t> </w:t>
                            </w:r>
                            <w:r>
                              <w:rPr>
                                <w:color w:val="000000"/>
                              </w:rPr>
                              <w:t>climate</w:t>
                            </w:r>
                            <w:r>
                              <w:rPr>
                                <w:color w:val="000000"/>
                                <w:spacing w:val="-4"/>
                              </w:rPr>
                              <w:t> </w:t>
                            </w:r>
                            <w:r>
                              <w:rPr>
                                <w:color w:val="000000"/>
                              </w:rPr>
                              <w:t>change</w:t>
                            </w:r>
                            <w:r>
                              <w:rPr>
                                <w:color w:val="000000"/>
                                <w:spacing w:val="-1"/>
                              </w:rPr>
                              <w:t> </w:t>
                            </w:r>
                            <w:r>
                              <w:rPr>
                                <w:color w:val="000000"/>
                              </w:rPr>
                              <w:t>and</w:t>
                            </w:r>
                            <w:r>
                              <w:rPr>
                                <w:color w:val="000000"/>
                                <w:spacing w:val="-5"/>
                              </w:rPr>
                              <w:t> </w:t>
                            </w:r>
                            <w:r>
                              <w:rPr>
                                <w:color w:val="000000"/>
                              </w:rPr>
                              <w:t>other</w:t>
                            </w:r>
                            <w:r>
                              <w:rPr>
                                <w:color w:val="000000"/>
                                <w:spacing w:val="-4"/>
                              </w:rPr>
                              <w:t> </w:t>
                            </w:r>
                            <w:r>
                              <w:rPr>
                                <w:color w:val="000000"/>
                              </w:rPr>
                              <w:t>stressors that may be affecting the plan area.</w:t>
                            </w:r>
                          </w:p>
                          <w:p>
                            <w:pPr>
                              <w:pStyle w:val="BodyText"/>
                              <w:numPr>
                                <w:ilvl w:val="0"/>
                                <w:numId w:val="28"/>
                              </w:numPr>
                              <w:tabs>
                                <w:tab w:pos="460" w:val="left" w:leader="none"/>
                              </w:tabs>
                              <w:spacing w:line="240" w:lineRule="auto" w:before="121" w:after="0"/>
                              <w:ind w:left="28" w:right="249" w:firstLine="0"/>
                              <w:jc w:val="left"/>
                              <w:rPr>
                                <w:color w:val="000000"/>
                              </w:rPr>
                            </w:pPr>
                            <w:r>
                              <w:rPr>
                                <w:color w:val="000000"/>
                              </w:rPr>
                              <w:t>Progress</w:t>
                            </w:r>
                            <w:r>
                              <w:rPr>
                                <w:color w:val="000000"/>
                                <w:spacing w:val="-4"/>
                              </w:rPr>
                              <w:t> </w:t>
                            </w:r>
                            <w:r>
                              <w:rPr>
                                <w:color w:val="000000"/>
                              </w:rPr>
                              <w:t>toward</w:t>
                            </w:r>
                            <w:r>
                              <w:rPr>
                                <w:color w:val="000000"/>
                                <w:spacing w:val="-5"/>
                              </w:rPr>
                              <w:t> </w:t>
                            </w:r>
                            <w:r>
                              <w:rPr>
                                <w:color w:val="000000"/>
                              </w:rPr>
                              <w:t>meeting</w:t>
                            </w:r>
                            <w:r>
                              <w:rPr>
                                <w:color w:val="000000"/>
                                <w:spacing w:val="-3"/>
                              </w:rPr>
                              <w:t> </w:t>
                            </w:r>
                            <w:r>
                              <w:rPr>
                                <w:color w:val="000000"/>
                              </w:rPr>
                              <w:t>the</w:t>
                            </w:r>
                            <w:r>
                              <w:rPr>
                                <w:color w:val="000000"/>
                                <w:spacing w:val="-2"/>
                              </w:rPr>
                              <w:t> </w:t>
                            </w:r>
                            <w:r>
                              <w:rPr>
                                <w:color w:val="000000"/>
                              </w:rPr>
                              <w:t>desired</w:t>
                            </w:r>
                            <w:r>
                              <w:rPr>
                                <w:color w:val="000000"/>
                                <w:spacing w:val="-5"/>
                              </w:rPr>
                              <w:t> </w:t>
                            </w:r>
                            <w:r>
                              <w:rPr>
                                <w:color w:val="000000"/>
                              </w:rPr>
                              <w:t>conditions</w:t>
                            </w:r>
                            <w:r>
                              <w:rPr>
                                <w:color w:val="000000"/>
                                <w:spacing w:val="-4"/>
                              </w:rPr>
                              <w:t> </w:t>
                            </w:r>
                            <w:r>
                              <w:rPr>
                                <w:color w:val="000000"/>
                              </w:rPr>
                              <w:t>and</w:t>
                            </w:r>
                            <w:r>
                              <w:rPr>
                                <w:color w:val="000000"/>
                                <w:spacing w:val="-3"/>
                              </w:rPr>
                              <w:t> </w:t>
                            </w:r>
                            <w:r>
                              <w:rPr>
                                <w:color w:val="000000"/>
                              </w:rPr>
                              <w:t>objectives</w:t>
                            </w:r>
                            <w:r>
                              <w:rPr>
                                <w:color w:val="000000"/>
                                <w:spacing w:val="-2"/>
                              </w:rPr>
                              <w:t> </w:t>
                            </w:r>
                            <w:r>
                              <w:rPr>
                                <w:color w:val="000000"/>
                              </w:rPr>
                              <w:t>in</w:t>
                            </w:r>
                            <w:r>
                              <w:rPr>
                                <w:color w:val="000000"/>
                                <w:spacing w:val="-3"/>
                              </w:rPr>
                              <w:t> </w:t>
                            </w:r>
                            <w:r>
                              <w:rPr>
                                <w:color w:val="000000"/>
                              </w:rPr>
                              <w:t>the</w:t>
                            </w:r>
                            <w:r>
                              <w:rPr>
                                <w:color w:val="000000"/>
                                <w:spacing w:val="-4"/>
                              </w:rPr>
                              <w:t> </w:t>
                            </w:r>
                            <w:r>
                              <w:rPr>
                                <w:color w:val="000000"/>
                              </w:rPr>
                              <w:t>plan,</w:t>
                            </w:r>
                            <w:r>
                              <w:rPr>
                                <w:color w:val="000000"/>
                                <w:spacing w:val="-2"/>
                              </w:rPr>
                              <w:t> </w:t>
                            </w:r>
                            <w:r>
                              <w:rPr>
                                <w:color w:val="000000"/>
                              </w:rPr>
                              <w:t>including for providing multiple use opportunities.</w:t>
                            </w:r>
                          </w:p>
                          <w:p>
                            <w:pPr>
                              <w:pStyle w:val="BodyText"/>
                              <w:numPr>
                                <w:ilvl w:val="0"/>
                                <w:numId w:val="28"/>
                              </w:numPr>
                              <w:tabs>
                                <w:tab w:pos="510" w:val="left" w:leader="none"/>
                              </w:tabs>
                              <w:spacing w:line="240" w:lineRule="auto" w:before="119" w:after="0"/>
                              <w:ind w:left="28" w:right="230" w:firstLine="0"/>
                              <w:jc w:val="left"/>
                              <w:rPr>
                                <w:color w:val="000000"/>
                              </w:rPr>
                            </w:pPr>
                            <w:r>
                              <w:rPr>
                                <w:color w:val="000000"/>
                              </w:rPr>
                              <w:t>The</w:t>
                            </w:r>
                            <w:r>
                              <w:rPr>
                                <w:color w:val="000000"/>
                                <w:spacing w:val="-5"/>
                              </w:rPr>
                              <w:t> </w:t>
                            </w:r>
                            <w:r>
                              <w:rPr>
                                <w:color w:val="000000"/>
                              </w:rPr>
                              <w:t>effects</w:t>
                            </w:r>
                            <w:r>
                              <w:rPr>
                                <w:color w:val="000000"/>
                                <w:spacing w:val="-5"/>
                              </w:rPr>
                              <w:t> </w:t>
                            </w:r>
                            <w:r>
                              <w:rPr>
                                <w:color w:val="000000"/>
                              </w:rPr>
                              <w:t>of</w:t>
                            </w:r>
                            <w:r>
                              <w:rPr>
                                <w:color w:val="000000"/>
                                <w:spacing w:val="-3"/>
                              </w:rPr>
                              <w:t> </w:t>
                            </w:r>
                            <w:r>
                              <w:rPr>
                                <w:color w:val="000000"/>
                              </w:rPr>
                              <w:t>each</w:t>
                            </w:r>
                            <w:r>
                              <w:rPr>
                                <w:color w:val="000000"/>
                                <w:spacing w:val="-6"/>
                              </w:rPr>
                              <w:t> </w:t>
                            </w:r>
                            <w:r>
                              <w:rPr>
                                <w:color w:val="000000"/>
                              </w:rPr>
                              <w:t>management</w:t>
                            </w:r>
                            <w:r>
                              <w:rPr>
                                <w:color w:val="000000"/>
                                <w:spacing w:val="-2"/>
                              </w:rPr>
                              <w:t> </w:t>
                            </w:r>
                            <w:r>
                              <w:rPr>
                                <w:color w:val="000000"/>
                              </w:rPr>
                              <w:t>system</w:t>
                            </w:r>
                            <w:r>
                              <w:rPr>
                                <w:color w:val="000000"/>
                                <w:spacing w:val="-4"/>
                              </w:rPr>
                              <w:t> </w:t>
                            </w:r>
                            <w:r>
                              <w:rPr>
                                <w:color w:val="000000"/>
                              </w:rPr>
                              <w:t>to</w:t>
                            </w:r>
                            <w:r>
                              <w:rPr>
                                <w:color w:val="000000"/>
                                <w:spacing w:val="-4"/>
                              </w:rPr>
                              <w:t> </w:t>
                            </w:r>
                            <w:r>
                              <w:rPr>
                                <w:color w:val="000000"/>
                              </w:rPr>
                              <w:t>determine</w:t>
                            </w:r>
                            <w:r>
                              <w:rPr>
                                <w:color w:val="000000"/>
                                <w:spacing w:val="-5"/>
                              </w:rPr>
                              <w:t> </w:t>
                            </w:r>
                            <w:r>
                              <w:rPr>
                                <w:color w:val="000000"/>
                              </w:rPr>
                              <w:t>that</w:t>
                            </w:r>
                            <w:r>
                              <w:rPr>
                                <w:color w:val="000000"/>
                                <w:spacing w:val="-2"/>
                              </w:rPr>
                              <w:t> </w:t>
                            </w:r>
                            <w:r>
                              <w:rPr>
                                <w:color w:val="000000"/>
                              </w:rPr>
                              <w:t>they</w:t>
                            </w:r>
                            <w:r>
                              <w:rPr>
                                <w:color w:val="000000"/>
                                <w:spacing w:val="-2"/>
                              </w:rPr>
                              <w:t> </w:t>
                            </w:r>
                            <w:r>
                              <w:rPr>
                                <w:color w:val="000000"/>
                              </w:rPr>
                              <w:t>do</w:t>
                            </w:r>
                            <w:r>
                              <w:rPr>
                                <w:color w:val="000000"/>
                                <w:spacing w:val="-2"/>
                              </w:rPr>
                              <w:t> </w:t>
                            </w:r>
                            <w:r>
                              <w:rPr>
                                <w:color w:val="000000"/>
                              </w:rPr>
                              <w:t>not</w:t>
                            </w:r>
                            <w:r>
                              <w:rPr>
                                <w:color w:val="000000"/>
                                <w:spacing w:val="-2"/>
                              </w:rPr>
                              <w:t> </w:t>
                            </w:r>
                            <w:r>
                              <w:rPr>
                                <w:color w:val="000000"/>
                              </w:rPr>
                              <w:t>substantially and permanently impair the productivity of the land</w:t>
                            </w:r>
                          </w:p>
                        </w:txbxContent>
                      </wps:txbx>
                      <wps:bodyPr wrap="square" lIns="0" tIns="0" rIns="0" bIns="0" rtlCol="0">
                        <a:noAutofit/>
                      </wps:bodyPr>
                    </wps:wsp>
                  </a:graphicData>
                </a:graphic>
              </wp:anchor>
            </w:drawing>
          </mc:Choice>
          <mc:Fallback>
            <w:pict>
              <v:shape style="position:absolute;margin-left:88.559998pt;margin-top:5.129560pt;width:413.3pt;height:204.5pt;mso-position-horizontal-relative:page;mso-position-vertical-relative:paragraph;z-index:-15679488;mso-wrap-distance-left:0;mso-wrap-distance-right:0" type="#_x0000_t202" id="docshape254" filled="true" fillcolor="#dfdfdf" stroked="false">
                <v:textbox inset="0,0,0,0">
                  <w:txbxContent>
                    <w:p>
                      <w:pPr>
                        <w:pStyle w:val="BodyText"/>
                        <w:numPr>
                          <w:ilvl w:val="0"/>
                          <w:numId w:val="28"/>
                        </w:numPr>
                        <w:tabs>
                          <w:tab w:pos="411" w:val="left" w:leader="none"/>
                        </w:tabs>
                        <w:spacing w:line="268" w:lineRule="exact" w:before="0" w:after="0"/>
                        <w:ind w:left="411" w:right="0" w:hanging="383"/>
                        <w:jc w:val="left"/>
                        <w:rPr>
                          <w:color w:val="000000"/>
                        </w:rPr>
                      </w:pPr>
                      <w:r>
                        <w:rPr>
                          <w:color w:val="000000"/>
                        </w:rPr>
                        <w:t>the</w:t>
                      </w:r>
                      <w:r>
                        <w:rPr>
                          <w:color w:val="000000"/>
                          <w:spacing w:val="-5"/>
                        </w:rPr>
                        <w:t> </w:t>
                      </w:r>
                      <w:r>
                        <w:rPr>
                          <w:color w:val="000000"/>
                        </w:rPr>
                        <w:t>status</w:t>
                      </w:r>
                      <w:r>
                        <w:rPr>
                          <w:color w:val="000000"/>
                          <w:spacing w:val="-5"/>
                        </w:rPr>
                        <w:t> </w:t>
                      </w:r>
                      <w:r>
                        <w:rPr>
                          <w:color w:val="000000"/>
                        </w:rPr>
                        <w:t>of</w:t>
                      </w:r>
                      <w:r>
                        <w:rPr>
                          <w:color w:val="000000"/>
                          <w:spacing w:val="-5"/>
                        </w:rPr>
                        <w:t> </w:t>
                      </w:r>
                      <w:r>
                        <w:rPr>
                          <w:color w:val="000000"/>
                        </w:rPr>
                        <w:t>focal</w:t>
                      </w:r>
                      <w:r>
                        <w:rPr>
                          <w:color w:val="000000"/>
                          <w:spacing w:val="-3"/>
                        </w:rPr>
                        <w:t> </w:t>
                      </w:r>
                      <w:r>
                        <w:rPr>
                          <w:color w:val="000000"/>
                        </w:rPr>
                        <w:t>species</w:t>
                      </w:r>
                      <w:r>
                        <w:rPr>
                          <w:color w:val="000000"/>
                          <w:spacing w:val="-3"/>
                        </w:rPr>
                        <w:t> </w:t>
                      </w:r>
                      <w:r>
                        <w:rPr>
                          <w:color w:val="000000"/>
                        </w:rPr>
                        <w:t>to</w:t>
                      </w:r>
                      <w:r>
                        <w:rPr>
                          <w:color w:val="000000"/>
                          <w:spacing w:val="-2"/>
                        </w:rPr>
                        <w:t> </w:t>
                      </w:r>
                      <w:r>
                        <w:rPr>
                          <w:color w:val="000000"/>
                        </w:rPr>
                        <w:t>assess</w:t>
                      </w:r>
                      <w:r>
                        <w:rPr>
                          <w:color w:val="000000"/>
                          <w:spacing w:val="-4"/>
                        </w:rPr>
                        <w:t> </w:t>
                      </w:r>
                      <w:r>
                        <w:rPr>
                          <w:color w:val="000000"/>
                        </w:rPr>
                        <w:t>the</w:t>
                      </w:r>
                      <w:r>
                        <w:rPr>
                          <w:color w:val="000000"/>
                          <w:spacing w:val="-2"/>
                        </w:rPr>
                        <w:t> </w:t>
                      </w:r>
                      <w:r>
                        <w:rPr>
                          <w:color w:val="000000"/>
                        </w:rPr>
                        <w:t>ecological</w:t>
                      </w:r>
                      <w:r>
                        <w:rPr>
                          <w:color w:val="000000"/>
                          <w:spacing w:val="-6"/>
                        </w:rPr>
                        <w:t> </w:t>
                      </w:r>
                      <w:r>
                        <w:rPr>
                          <w:color w:val="000000"/>
                        </w:rPr>
                        <w:t>conditions</w:t>
                      </w:r>
                      <w:r>
                        <w:rPr>
                          <w:color w:val="000000"/>
                          <w:spacing w:val="-5"/>
                        </w:rPr>
                        <w:t> </w:t>
                      </w:r>
                      <w:r>
                        <w:rPr>
                          <w:color w:val="000000"/>
                        </w:rPr>
                        <w:t>required</w:t>
                      </w:r>
                      <w:r>
                        <w:rPr>
                          <w:color w:val="000000"/>
                          <w:spacing w:val="-4"/>
                        </w:rPr>
                        <w:t> </w:t>
                      </w:r>
                      <w:r>
                        <w:rPr>
                          <w:color w:val="000000"/>
                        </w:rPr>
                        <w:t>under</w:t>
                      </w:r>
                      <w:r>
                        <w:rPr>
                          <w:color w:val="000000"/>
                          <w:spacing w:val="-5"/>
                        </w:rPr>
                        <w:t> </w:t>
                      </w:r>
                      <w:r>
                        <w:rPr>
                          <w:color w:val="000000"/>
                        </w:rPr>
                        <w:t>§</w:t>
                      </w:r>
                      <w:r>
                        <w:rPr>
                          <w:color w:val="000000"/>
                          <w:spacing w:val="-1"/>
                        </w:rPr>
                        <w:t> </w:t>
                      </w:r>
                      <w:r>
                        <w:rPr>
                          <w:color w:val="000000"/>
                          <w:spacing w:val="-2"/>
                        </w:rPr>
                        <w:t>219.9.</w:t>
                      </w:r>
                    </w:p>
                    <w:p>
                      <w:pPr>
                        <w:pStyle w:val="BodyText"/>
                        <w:numPr>
                          <w:ilvl w:val="0"/>
                          <w:numId w:val="28"/>
                        </w:numPr>
                        <w:tabs>
                          <w:tab w:pos="410" w:val="left" w:leader="none"/>
                        </w:tabs>
                        <w:spacing w:line="240" w:lineRule="auto" w:before="120" w:after="0"/>
                        <w:ind w:left="28" w:right="96" w:firstLine="0"/>
                        <w:jc w:val="left"/>
                        <w:rPr>
                          <w:color w:val="000000"/>
                        </w:rPr>
                      </w:pPr>
                      <w:r>
                        <w:rPr>
                          <w:color w:val="000000"/>
                        </w:rPr>
                        <w:t>the status of a select set of the ecological conditions required under § 219.9 to contribute</w:t>
                      </w:r>
                      <w:r>
                        <w:rPr>
                          <w:color w:val="000000"/>
                          <w:spacing w:val="-5"/>
                        </w:rPr>
                        <w:t> </w:t>
                      </w:r>
                      <w:r>
                        <w:rPr>
                          <w:color w:val="000000"/>
                        </w:rPr>
                        <w:t>to</w:t>
                      </w:r>
                      <w:r>
                        <w:rPr>
                          <w:color w:val="000000"/>
                          <w:spacing w:val="-2"/>
                        </w:rPr>
                        <w:t> </w:t>
                      </w:r>
                      <w:r>
                        <w:rPr>
                          <w:color w:val="000000"/>
                        </w:rPr>
                        <w:t>the</w:t>
                      </w:r>
                      <w:r>
                        <w:rPr>
                          <w:color w:val="000000"/>
                          <w:spacing w:val="-5"/>
                        </w:rPr>
                        <w:t> </w:t>
                      </w:r>
                      <w:r>
                        <w:rPr>
                          <w:color w:val="000000"/>
                        </w:rPr>
                        <w:t>recovery</w:t>
                      </w:r>
                      <w:r>
                        <w:rPr>
                          <w:color w:val="000000"/>
                          <w:spacing w:val="-4"/>
                        </w:rPr>
                        <w:t> </w:t>
                      </w:r>
                      <w:r>
                        <w:rPr>
                          <w:color w:val="000000"/>
                        </w:rPr>
                        <w:t>of</w:t>
                      </w:r>
                      <w:r>
                        <w:rPr>
                          <w:color w:val="000000"/>
                          <w:spacing w:val="-3"/>
                        </w:rPr>
                        <w:t> </w:t>
                      </w:r>
                      <w:r>
                        <w:rPr>
                          <w:color w:val="000000"/>
                        </w:rPr>
                        <w:t>federally</w:t>
                      </w:r>
                      <w:r>
                        <w:rPr>
                          <w:color w:val="000000"/>
                          <w:spacing w:val="-2"/>
                        </w:rPr>
                        <w:t> </w:t>
                      </w:r>
                      <w:r>
                        <w:rPr>
                          <w:color w:val="000000"/>
                        </w:rPr>
                        <w:t>listed</w:t>
                      </w:r>
                      <w:r>
                        <w:rPr>
                          <w:color w:val="000000"/>
                          <w:spacing w:val="-6"/>
                        </w:rPr>
                        <w:t> </w:t>
                      </w:r>
                      <w:r>
                        <w:rPr>
                          <w:color w:val="000000"/>
                        </w:rPr>
                        <w:t>threatened</w:t>
                      </w:r>
                      <w:r>
                        <w:rPr>
                          <w:color w:val="000000"/>
                          <w:spacing w:val="-4"/>
                        </w:rPr>
                        <w:t> </w:t>
                      </w:r>
                      <w:r>
                        <w:rPr>
                          <w:color w:val="000000"/>
                        </w:rPr>
                        <w:t>and</w:t>
                      </w:r>
                      <w:r>
                        <w:rPr>
                          <w:color w:val="000000"/>
                          <w:spacing w:val="-4"/>
                        </w:rPr>
                        <w:t> </w:t>
                      </w:r>
                      <w:r>
                        <w:rPr>
                          <w:color w:val="000000"/>
                        </w:rPr>
                        <w:t>endangered</w:t>
                      </w:r>
                      <w:r>
                        <w:rPr>
                          <w:color w:val="000000"/>
                          <w:spacing w:val="-4"/>
                        </w:rPr>
                        <w:t> </w:t>
                      </w:r>
                      <w:r>
                        <w:rPr>
                          <w:color w:val="000000"/>
                        </w:rPr>
                        <w:t>species,</w:t>
                      </w:r>
                      <w:r>
                        <w:rPr>
                          <w:color w:val="000000"/>
                          <w:spacing w:val="-3"/>
                        </w:rPr>
                        <w:t> </w:t>
                      </w:r>
                      <w:r>
                        <w:rPr>
                          <w:color w:val="000000"/>
                        </w:rPr>
                        <w:t>conserve proposed and candidate species, and maintain a viable population of each species of conservation concern.</w:t>
                      </w:r>
                    </w:p>
                    <w:p>
                      <w:pPr>
                        <w:pStyle w:val="BodyText"/>
                        <w:numPr>
                          <w:ilvl w:val="0"/>
                          <w:numId w:val="28"/>
                        </w:numPr>
                        <w:tabs>
                          <w:tab w:pos="361" w:val="left" w:leader="none"/>
                        </w:tabs>
                        <w:spacing w:line="240" w:lineRule="auto" w:before="119" w:after="0"/>
                        <w:ind w:left="28" w:right="365" w:firstLine="0"/>
                        <w:jc w:val="left"/>
                        <w:rPr>
                          <w:color w:val="000000"/>
                        </w:rPr>
                      </w:pPr>
                      <w:r>
                        <w:rPr>
                          <w:color w:val="000000"/>
                        </w:rPr>
                        <w:t>the</w:t>
                      </w:r>
                      <w:r>
                        <w:rPr>
                          <w:color w:val="000000"/>
                          <w:spacing w:val="-2"/>
                        </w:rPr>
                        <w:t> </w:t>
                      </w:r>
                      <w:r>
                        <w:rPr>
                          <w:color w:val="000000"/>
                        </w:rPr>
                        <w:t>status</w:t>
                      </w:r>
                      <w:r>
                        <w:rPr>
                          <w:color w:val="000000"/>
                          <w:spacing w:val="-5"/>
                        </w:rPr>
                        <w:t> </w:t>
                      </w:r>
                      <w:r>
                        <w:rPr>
                          <w:color w:val="000000"/>
                        </w:rPr>
                        <w:t>of</w:t>
                      </w:r>
                      <w:r>
                        <w:rPr>
                          <w:color w:val="000000"/>
                          <w:spacing w:val="-5"/>
                        </w:rPr>
                        <w:t> </w:t>
                      </w:r>
                      <w:r>
                        <w:rPr>
                          <w:color w:val="000000"/>
                        </w:rPr>
                        <w:t>visitor</w:t>
                      </w:r>
                      <w:r>
                        <w:rPr>
                          <w:color w:val="000000"/>
                          <w:spacing w:val="-3"/>
                        </w:rPr>
                        <w:t> </w:t>
                      </w:r>
                      <w:r>
                        <w:rPr>
                          <w:color w:val="000000"/>
                        </w:rPr>
                        <w:t>use,</w:t>
                      </w:r>
                      <w:r>
                        <w:rPr>
                          <w:color w:val="000000"/>
                          <w:spacing w:val="-3"/>
                        </w:rPr>
                        <w:t> </w:t>
                      </w:r>
                      <w:r>
                        <w:rPr>
                          <w:color w:val="000000"/>
                        </w:rPr>
                        <w:t>visitor</w:t>
                      </w:r>
                      <w:r>
                        <w:rPr>
                          <w:color w:val="000000"/>
                          <w:spacing w:val="-3"/>
                        </w:rPr>
                        <w:t> </w:t>
                      </w:r>
                      <w:r>
                        <w:rPr>
                          <w:color w:val="000000"/>
                        </w:rPr>
                        <w:t>satisfaction,</w:t>
                      </w:r>
                      <w:r>
                        <w:rPr>
                          <w:color w:val="000000"/>
                          <w:spacing w:val="-5"/>
                        </w:rPr>
                        <w:t> </w:t>
                      </w:r>
                      <w:r>
                        <w:rPr>
                          <w:color w:val="000000"/>
                        </w:rPr>
                        <w:t>and</w:t>
                      </w:r>
                      <w:r>
                        <w:rPr>
                          <w:color w:val="000000"/>
                          <w:spacing w:val="-4"/>
                        </w:rPr>
                        <w:t> </w:t>
                      </w:r>
                      <w:r>
                        <w:rPr>
                          <w:color w:val="000000"/>
                        </w:rPr>
                        <w:t>progress</w:t>
                      </w:r>
                      <w:r>
                        <w:rPr>
                          <w:color w:val="000000"/>
                          <w:spacing w:val="-5"/>
                        </w:rPr>
                        <w:t> </w:t>
                      </w:r>
                      <w:r>
                        <w:rPr>
                          <w:color w:val="000000"/>
                        </w:rPr>
                        <w:t>toward</w:t>
                      </w:r>
                      <w:r>
                        <w:rPr>
                          <w:color w:val="000000"/>
                          <w:spacing w:val="-5"/>
                        </w:rPr>
                        <w:t> </w:t>
                      </w:r>
                      <w:r>
                        <w:rPr>
                          <w:color w:val="000000"/>
                        </w:rPr>
                        <w:t>meeting</w:t>
                      </w:r>
                      <w:r>
                        <w:rPr>
                          <w:color w:val="000000"/>
                          <w:spacing w:val="-4"/>
                        </w:rPr>
                        <w:t> </w:t>
                      </w:r>
                      <w:r>
                        <w:rPr>
                          <w:color w:val="000000"/>
                        </w:rPr>
                        <w:t>recreation </w:t>
                      </w:r>
                      <w:r>
                        <w:rPr>
                          <w:color w:val="000000"/>
                          <w:spacing w:val="-2"/>
                        </w:rPr>
                        <w:t>objectives.</w:t>
                      </w:r>
                    </w:p>
                    <w:p>
                      <w:pPr>
                        <w:pStyle w:val="BodyText"/>
                        <w:numPr>
                          <w:ilvl w:val="0"/>
                          <w:numId w:val="28"/>
                        </w:numPr>
                        <w:tabs>
                          <w:tab w:pos="410" w:val="left" w:leader="none"/>
                        </w:tabs>
                        <w:spacing w:line="240" w:lineRule="auto" w:before="120" w:after="0"/>
                        <w:ind w:left="28" w:right="404" w:firstLine="0"/>
                        <w:jc w:val="left"/>
                        <w:rPr>
                          <w:color w:val="000000"/>
                        </w:rPr>
                      </w:pPr>
                      <w:r>
                        <w:rPr>
                          <w:color w:val="000000"/>
                        </w:rPr>
                        <w:t>measurable</w:t>
                      </w:r>
                      <w:r>
                        <w:rPr>
                          <w:color w:val="000000"/>
                          <w:spacing w:val="-4"/>
                        </w:rPr>
                        <w:t> </w:t>
                      </w:r>
                      <w:r>
                        <w:rPr>
                          <w:color w:val="000000"/>
                        </w:rPr>
                        <w:t>changes</w:t>
                      </w:r>
                      <w:r>
                        <w:rPr>
                          <w:color w:val="000000"/>
                          <w:spacing w:val="-4"/>
                        </w:rPr>
                        <w:t> </w:t>
                      </w:r>
                      <w:r>
                        <w:rPr>
                          <w:color w:val="000000"/>
                        </w:rPr>
                        <w:t>on</w:t>
                      </w:r>
                      <w:r>
                        <w:rPr>
                          <w:color w:val="000000"/>
                          <w:spacing w:val="-3"/>
                        </w:rPr>
                        <w:t> </w:t>
                      </w:r>
                      <w:r>
                        <w:rPr>
                          <w:color w:val="000000"/>
                        </w:rPr>
                        <w:t>the</w:t>
                      </w:r>
                      <w:r>
                        <w:rPr>
                          <w:color w:val="000000"/>
                          <w:spacing w:val="-1"/>
                        </w:rPr>
                        <w:t> </w:t>
                      </w:r>
                      <w:r>
                        <w:rPr>
                          <w:color w:val="000000"/>
                        </w:rPr>
                        <w:t>plan</w:t>
                      </w:r>
                      <w:r>
                        <w:rPr>
                          <w:color w:val="000000"/>
                          <w:spacing w:val="-3"/>
                        </w:rPr>
                        <w:t> </w:t>
                      </w:r>
                      <w:r>
                        <w:rPr>
                          <w:color w:val="000000"/>
                        </w:rPr>
                        <w:t>area</w:t>
                      </w:r>
                      <w:r>
                        <w:rPr>
                          <w:color w:val="000000"/>
                          <w:spacing w:val="-4"/>
                        </w:rPr>
                        <w:t> </w:t>
                      </w:r>
                      <w:r>
                        <w:rPr>
                          <w:color w:val="000000"/>
                        </w:rPr>
                        <w:t>related</w:t>
                      </w:r>
                      <w:r>
                        <w:rPr>
                          <w:color w:val="000000"/>
                          <w:spacing w:val="-3"/>
                        </w:rPr>
                        <w:t> </w:t>
                      </w:r>
                      <w:r>
                        <w:rPr>
                          <w:color w:val="000000"/>
                        </w:rPr>
                        <w:t>to</w:t>
                      </w:r>
                      <w:r>
                        <w:rPr>
                          <w:color w:val="000000"/>
                          <w:spacing w:val="-1"/>
                        </w:rPr>
                        <w:t> </w:t>
                      </w:r>
                      <w:r>
                        <w:rPr>
                          <w:color w:val="000000"/>
                        </w:rPr>
                        <w:t>climate</w:t>
                      </w:r>
                      <w:r>
                        <w:rPr>
                          <w:color w:val="000000"/>
                          <w:spacing w:val="-4"/>
                        </w:rPr>
                        <w:t> </w:t>
                      </w:r>
                      <w:r>
                        <w:rPr>
                          <w:color w:val="000000"/>
                        </w:rPr>
                        <w:t>change</w:t>
                      </w:r>
                      <w:r>
                        <w:rPr>
                          <w:color w:val="000000"/>
                          <w:spacing w:val="-1"/>
                        </w:rPr>
                        <w:t> </w:t>
                      </w:r>
                      <w:r>
                        <w:rPr>
                          <w:color w:val="000000"/>
                        </w:rPr>
                        <w:t>and</w:t>
                      </w:r>
                      <w:r>
                        <w:rPr>
                          <w:color w:val="000000"/>
                          <w:spacing w:val="-5"/>
                        </w:rPr>
                        <w:t> </w:t>
                      </w:r>
                      <w:r>
                        <w:rPr>
                          <w:color w:val="000000"/>
                        </w:rPr>
                        <w:t>other</w:t>
                      </w:r>
                      <w:r>
                        <w:rPr>
                          <w:color w:val="000000"/>
                          <w:spacing w:val="-4"/>
                        </w:rPr>
                        <w:t> </w:t>
                      </w:r>
                      <w:r>
                        <w:rPr>
                          <w:color w:val="000000"/>
                        </w:rPr>
                        <w:t>stressors that may be affecting the plan area.</w:t>
                      </w:r>
                    </w:p>
                    <w:p>
                      <w:pPr>
                        <w:pStyle w:val="BodyText"/>
                        <w:numPr>
                          <w:ilvl w:val="0"/>
                          <w:numId w:val="28"/>
                        </w:numPr>
                        <w:tabs>
                          <w:tab w:pos="460" w:val="left" w:leader="none"/>
                        </w:tabs>
                        <w:spacing w:line="240" w:lineRule="auto" w:before="121" w:after="0"/>
                        <w:ind w:left="28" w:right="249" w:firstLine="0"/>
                        <w:jc w:val="left"/>
                        <w:rPr>
                          <w:color w:val="000000"/>
                        </w:rPr>
                      </w:pPr>
                      <w:r>
                        <w:rPr>
                          <w:color w:val="000000"/>
                        </w:rPr>
                        <w:t>Progress</w:t>
                      </w:r>
                      <w:r>
                        <w:rPr>
                          <w:color w:val="000000"/>
                          <w:spacing w:val="-4"/>
                        </w:rPr>
                        <w:t> </w:t>
                      </w:r>
                      <w:r>
                        <w:rPr>
                          <w:color w:val="000000"/>
                        </w:rPr>
                        <w:t>toward</w:t>
                      </w:r>
                      <w:r>
                        <w:rPr>
                          <w:color w:val="000000"/>
                          <w:spacing w:val="-5"/>
                        </w:rPr>
                        <w:t> </w:t>
                      </w:r>
                      <w:r>
                        <w:rPr>
                          <w:color w:val="000000"/>
                        </w:rPr>
                        <w:t>meeting</w:t>
                      </w:r>
                      <w:r>
                        <w:rPr>
                          <w:color w:val="000000"/>
                          <w:spacing w:val="-3"/>
                        </w:rPr>
                        <w:t> </w:t>
                      </w:r>
                      <w:r>
                        <w:rPr>
                          <w:color w:val="000000"/>
                        </w:rPr>
                        <w:t>the</w:t>
                      </w:r>
                      <w:r>
                        <w:rPr>
                          <w:color w:val="000000"/>
                          <w:spacing w:val="-2"/>
                        </w:rPr>
                        <w:t> </w:t>
                      </w:r>
                      <w:r>
                        <w:rPr>
                          <w:color w:val="000000"/>
                        </w:rPr>
                        <w:t>desired</w:t>
                      </w:r>
                      <w:r>
                        <w:rPr>
                          <w:color w:val="000000"/>
                          <w:spacing w:val="-5"/>
                        </w:rPr>
                        <w:t> </w:t>
                      </w:r>
                      <w:r>
                        <w:rPr>
                          <w:color w:val="000000"/>
                        </w:rPr>
                        <w:t>conditions</w:t>
                      </w:r>
                      <w:r>
                        <w:rPr>
                          <w:color w:val="000000"/>
                          <w:spacing w:val="-4"/>
                        </w:rPr>
                        <w:t> </w:t>
                      </w:r>
                      <w:r>
                        <w:rPr>
                          <w:color w:val="000000"/>
                        </w:rPr>
                        <w:t>and</w:t>
                      </w:r>
                      <w:r>
                        <w:rPr>
                          <w:color w:val="000000"/>
                          <w:spacing w:val="-3"/>
                        </w:rPr>
                        <w:t> </w:t>
                      </w:r>
                      <w:r>
                        <w:rPr>
                          <w:color w:val="000000"/>
                        </w:rPr>
                        <w:t>objectives</w:t>
                      </w:r>
                      <w:r>
                        <w:rPr>
                          <w:color w:val="000000"/>
                          <w:spacing w:val="-2"/>
                        </w:rPr>
                        <w:t> </w:t>
                      </w:r>
                      <w:r>
                        <w:rPr>
                          <w:color w:val="000000"/>
                        </w:rPr>
                        <w:t>in</w:t>
                      </w:r>
                      <w:r>
                        <w:rPr>
                          <w:color w:val="000000"/>
                          <w:spacing w:val="-3"/>
                        </w:rPr>
                        <w:t> </w:t>
                      </w:r>
                      <w:r>
                        <w:rPr>
                          <w:color w:val="000000"/>
                        </w:rPr>
                        <w:t>the</w:t>
                      </w:r>
                      <w:r>
                        <w:rPr>
                          <w:color w:val="000000"/>
                          <w:spacing w:val="-4"/>
                        </w:rPr>
                        <w:t> </w:t>
                      </w:r>
                      <w:r>
                        <w:rPr>
                          <w:color w:val="000000"/>
                        </w:rPr>
                        <w:t>plan,</w:t>
                      </w:r>
                      <w:r>
                        <w:rPr>
                          <w:color w:val="000000"/>
                          <w:spacing w:val="-2"/>
                        </w:rPr>
                        <w:t> </w:t>
                      </w:r>
                      <w:r>
                        <w:rPr>
                          <w:color w:val="000000"/>
                        </w:rPr>
                        <w:t>including for providing multiple use opportunities.</w:t>
                      </w:r>
                    </w:p>
                    <w:p>
                      <w:pPr>
                        <w:pStyle w:val="BodyText"/>
                        <w:numPr>
                          <w:ilvl w:val="0"/>
                          <w:numId w:val="28"/>
                        </w:numPr>
                        <w:tabs>
                          <w:tab w:pos="510" w:val="left" w:leader="none"/>
                        </w:tabs>
                        <w:spacing w:line="240" w:lineRule="auto" w:before="119" w:after="0"/>
                        <w:ind w:left="28" w:right="230" w:firstLine="0"/>
                        <w:jc w:val="left"/>
                        <w:rPr>
                          <w:color w:val="000000"/>
                        </w:rPr>
                      </w:pPr>
                      <w:r>
                        <w:rPr>
                          <w:color w:val="000000"/>
                        </w:rPr>
                        <w:t>The</w:t>
                      </w:r>
                      <w:r>
                        <w:rPr>
                          <w:color w:val="000000"/>
                          <w:spacing w:val="-5"/>
                        </w:rPr>
                        <w:t> </w:t>
                      </w:r>
                      <w:r>
                        <w:rPr>
                          <w:color w:val="000000"/>
                        </w:rPr>
                        <w:t>effects</w:t>
                      </w:r>
                      <w:r>
                        <w:rPr>
                          <w:color w:val="000000"/>
                          <w:spacing w:val="-5"/>
                        </w:rPr>
                        <w:t> </w:t>
                      </w:r>
                      <w:r>
                        <w:rPr>
                          <w:color w:val="000000"/>
                        </w:rPr>
                        <w:t>of</w:t>
                      </w:r>
                      <w:r>
                        <w:rPr>
                          <w:color w:val="000000"/>
                          <w:spacing w:val="-3"/>
                        </w:rPr>
                        <w:t> </w:t>
                      </w:r>
                      <w:r>
                        <w:rPr>
                          <w:color w:val="000000"/>
                        </w:rPr>
                        <w:t>each</w:t>
                      </w:r>
                      <w:r>
                        <w:rPr>
                          <w:color w:val="000000"/>
                          <w:spacing w:val="-6"/>
                        </w:rPr>
                        <w:t> </w:t>
                      </w:r>
                      <w:r>
                        <w:rPr>
                          <w:color w:val="000000"/>
                        </w:rPr>
                        <w:t>management</w:t>
                      </w:r>
                      <w:r>
                        <w:rPr>
                          <w:color w:val="000000"/>
                          <w:spacing w:val="-2"/>
                        </w:rPr>
                        <w:t> </w:t>
                      </w:r>
                      <w:r>
                        <w:rPr>
                          <w:color w:val="000000"/>
                        </w:rPr>
                        <w:t>system</w:t>
                      </w:r>
                      <w:r>
                        <w:rPr>
                          <w:color w:val="000000"/>
                          <w:spacing w:val="-4"/>
                        </w:rPr>
                        <w:t> </w:t>
                      </w:r>
                      <w:r>
                        <w:rPr>
                          <w:color w:val="000000"/>
                        </w:rPr>
                        <w:t>to</w:t>
                      </w:r>
                      <w:r>
                        <w:rPr>
                          <w:color w:val="000000"/>
                          <w:spacing w:val="-4"/>
                        </w:rPr>
                        <w:t> </w:t>
                      </w:r>
                      <w:r>
                        <w:rPr>
                          <w:color w:val="000000"/>
                        </w:rPr>
                        <w:t>determine</w:t>
                      </w:r>
                      <w:r>
                        <w:rPr>
                          <w:color w:val="000000"/>
                          <w:spacing w:val="-5"/>
                        </w:rPr>
                        <w:t> </w:t>
                      </w:r>
                      <w:r>
                        <w:rPr>
                          <w:color w:val="000000"/>
                        </w:rPr>
                        <w:t>that</w:t>
                      </w:r>
                      <w:r>
                        <w:rPr>
                          <w:color w:val="000000"/>
                          <w:spacing w:val="-2"/>
                        </w:rPr>
                        <w:t> </w:t>
                      </w:r>
                      <w:r>
                        <w:rPr>
                          <w:color w:val="000000"/>
                        </w:rPr>
                        <w:t>they</w:t>
                      </w:r>
                      <w:r>
                        <w:rPr>
                          <w:color w:val="000000"/>
                          <w:spacing w:val="-2"/>
                        </w:rPr>
                        <w:t> </w:t>
                      </w:r>
                      <w:r>
                        <w:rPr>
                          <w:color w:val="000000"/>
                        </w:rPr>
                        <w:t>do</w:t>
                      </w:r>
                      <w:r>
                        <w:rPr>
                          <w:color w:val="000000"/>
                          <w:spacing w:val="-2"/>
                        </w:rPr>
                        <w:t> </w:t>
                      </w:r>
                      <w:r>
                        <w:rPr>
                          <w:color w:val="000000"/>
                        </w:rPr>
                        <w:t>not</w:t>
                      </w:r>
                      <w:r>
                        <w:rPr>
                          <w:color w:val="000000"/>
                          <w:spacing w:val="-2"/>
                        </w:rPr>
                        <w:t> </w:t>
                      </w:r>
                      <w:r>
                        <w:rPr>
                          <w:color w:val="000000"/>
                        </w:rPr>
                        <w:t>substantially and permanently impair the productivity of the land</w:t>
                      </w:r>
                    </w:p>
                  </w:txbxContent>
                </v:textbox>
                <v:fill type="solid"/>
                <w10:wrap type="topAndBottom"/>
              </v:shape>
            </w:pict>
          </mc:Fallback>
        </mc:AlternateContent>
      </w:r>
      <w:r>
        <w:rPr>
          <w:rFonts w:ascii="Arial"/>
          <w:b/>
          <w:sz w:val="6"/>
        </w:rPr>
        <mc:AlternateContent>
          <mc:Choice Requires="wps">
            <w:drawing>
              <wp:anchor distT="0" distB="0" distL="0" distR="0" allowOverlap="1" layoutInCell="1" locked="0" behindDoc="1" simplePos="0" relativeHeight="487637504">
                <wp:simplePos x="0" y="0"/>
                <wp:positionH relativeFrom="page">
                  <wp:posOffset>896111</wp:posOffset>
                </wp:positionH>
                <wp:positionV relativeFrom="paragraph">
                  <wp:posOffset>2738241</wp:posOffset>
                </wp:positionV>
                <wp:extent cx="5477510" cy="1005840"/>
                <wp:effectExtent l="0" t="0" r="0" b="0"/>
                <wp:wrapTopAndBottom/>
                <wp:docPr id="270" name="Textbox 270"/>
                <wp:cNvGraphicFramePr>
                  <a:graphicFrameLocks/>
                </wp:cNvGraphicFramePr>
                <a:graphic>
                  <a:graphicData uri="http://schemas.microsoft.com/office/word/2010/wordprocessingShape">
                    <wps:wsp>
                      <wps:cNvPr id="270" name="Textbox 270"/>
                      <wps:cNvSpPr txBox="1"/>
                      <wps:spPr>
                        <a:xfrm>
                          <a:off x="0" y="0"/>
                          <a:ext cx="5477510" cy="1005840"/>
                        </a:xfrm>
                        <a:prstGeom prst="rect">
                          <a:avLst/>
                        </a:prstGeom>
                        <a:solidFill>
                          <a:srgbClr val="DFDFDF"/>
                        </a:solidFill>
                      </wps:spPr>
                      <wps:txbx>
                        <w:txbxContent>
                          <w:p>
                            <w:pPr>
                              <w:pStyle w:val="BodyText"/>
                              <w:ind w:left="28"/>
                              <w:rPr>
                                <w:color w:val="000000"/>
                              </w:rPr>
                            </w:pPr>
                            <w:r>
                              <w:rPr>
                                <w:color w:val="000000"/>
                              </w:rPr>
                              <w:t>Monitoring</w:t>
                            </w:r>
                            <w:r>
                              <w:rPr>
                                <w:color w:val="000000"/>
                                <w:spacing w:val="-3"/>
                              </w:rPr>
                              <w:t> </w:t>
                            </w:r>
                            <w:r>
                              <w:rPr>
                                <w:color w:val="000000"/>
                              </w:rPr>
                              <w:t>identified</w:t>
                            </w:r>
                            <w:r>
                              <w:rPr>
                                <w:color w:val="000000"/>
                                <w:spacing w:val="-3"/>
                              </w:rPr>
                              <w:t> </w:t>
                            </w:r>
                            <w:r>
                              <w:rPr>
                                <w:color w:val="000000"/>
                              </w:rPr>
                              <w:t>in</w:t>
                            </w:r>
                            <w:r>
                              <w:rPr>
                                <w:color w:val="000000"/>
                                <w:spacing w:val="-3"/>
                              </w:rPr>
                              <w:t> </w:t>
                            </w:r>
                            <w:r>
                              <w:rPr>
                                <w:color w:val="000000"/>
                              </w:rPr>
                              <w:t>this</w:t>
                            </w:r>
                            <w:r>
                              <w:rPr>
                                <w:color w:val="000000"/>
                                <w:spacing w:val="-2"/>
                              </w:rPr>
                              <w:t> </w:t>
                            </w:r>
                            <w:r>
                              <w:rPr>
                                <w:color w:val="000000"/>
                              </w:rPr>
                              <w:t>section</w:t>
                            </w:r>
                            <w:r>
                              <w:rPr>
                                <w:color w:val="000000"/>
                                <w:spacing w:val="-3"/>
                              </w:rPr>
                              <w:t> </w:t>
                            </w:r>
                            <w:r>
                              <w:rPr>
                                <w:color w:val="000000"/>
                              </w:rPr>
                              <w:t>does</w:t>
                            </w:r>
                            <w:r>
                              <w:rPr>
                                <w:color w:val="000000"/>
                                <w:spacing w:val="-4"/>
                              </w:rPr>
                              <w:t> </w:t>
                            </w:r>
                            <w:r>
                              <w:rPr>
                                <w:color w:val="000000"/>
                              </w:rPr>
                              <w:t>not</w:t>
                            </w:r>
                            <w:r>
                              <w:rPr>
                                <w:color w:val="000000"/>
                                <w:spacing w:val="-4"/>
                              </w:rPr>
                              <w:t> </w:t>
                            </w:r>
                            <w:r>
                              <w:rPr>
                                <w:color w:val="000000"/>
                              </w:rPr>
                              <w:t>include</w:t>
                            </w:r>
                            <w:r>
                              <w:rPr>
                                <w:color w:val="000000"/>
                                <w:spacing w:val="-4"/>
                              </w:rPr>
                              <w:t> </w:t>
                            </w:r>
                            <w:r>
                              <w:rPr>
                                <w:color w:val="000000"/>
                              </w:rPr>
                              <w:t>monitoring</w:t>
                            </w:r>
                            <w:r>
                              <w:rPr>
                                <w:color w:val="000000"/>
                                <w:spacing w:val="-3"/>
                              </w:rPr>
                              <w:t> </w:t>
                            </w:r>
                            <w:r>
                              <w:rPr>
                                <w:color w:val="000000"/>
                              </w:rPr>
                              <w:t>conducted</w:t>
                            </w:r>
                            <w:r>
                              <w:rPr>
                                <w:color w:val="000000"/>
                                <w:spacing w:val="-5"/>
                              </w:rPr>
                              <w:t> </w:t>
                            </w:r>
                            <w:r>
                              <w:rPr>
                                <w:color w:val="000000"/>
                              </w:rPr>
                              <w:t>in</w:t>
                            </w:r>
                            <w:r>
                              <w:rPr>
                                <w:color w:val="000000"/>
                                <w:spacing w:val="-3"/>
                              </w:rPr>
                              <w:t> </w:t>
                            </w:r>
                            <w:r>
                              <w:rPr>
                                <w:color w:val="000000"/>
                              </w:rPr>
                              <w:t>compliance</w:t>
                            </w:r>
                            <w:r>
                              <w:rPr>
                                <w:color w:val="000000"/>
                                <w:spacing w:val="-1"/>
                              </w:rPr>
                              <w:t> </w:t>
                            </w:r>
                            <w:r>
                              <w:rPr>
                                <w:color w:val="000000"/>
                              </w:rPr>
                              <w:t>with other laws, policies, and site-specific decisions.</w:t>
                            </w:r>
                          </w:p>
                          <w:p>
                            <w:pPr>
                              <w:pStyle w:val="BodyText"/>
                              <w:spacing w:before="120"/>
                              <w:ind w:left="28"/>
                              <w:rPr>
                                <w:color w:val="000000"/>
                              </w:rPr>
                            </w:pPr>
                            <w:r>
                              <w:rPr>
                                <w:color w:val="000000"/>
                                <w:spacing w:val="-2"/>
                              </w:rPr>
                              <w:t>EVALUATION</w:t>
                            </w:r>
                          </w:p>
                          <w:p>
                            <w:pPr>
                              <w:pStyle w:val="BodyText"/>
                              <w:spacing w:before="120"/>
                              <w:ind w:left="28" w:right="51"/>
                              <w:rPr>
                                <w:color w:val="000000"/>
                              </w:rPr>
                            </w:pPr>
                            <w:r>
                              <w:rPr>
                                <w:color w:val="000000"/>
                              </w:rPr>
                              <w:t>The</w:t>
                            </w:r>
                            <w:r>
                              <w:rPr>
                                <w:color w:val="000000"/>
                                <w:spacing w:val="-2"/>
                              </w:rPr>
                              <w:t> </w:t>
                            </w:r>
                            <w:r>
                              <w:rPr>
                                <w:color w:val="000000"/>
                              </w:rPr>
                              <w:t>information</w:t>
                            </w:r>
                            <w:r>
                              <w:rPr>
                                <w:color w:val="000000"/>
                                <w:spacing w:val="-4"/>
                              </w:rPr>
                              <w:t> </w:t>
                            </w:r>
                            <w:r>
                              <w:rPr>
                                <w:color w:val="000000"/>
                              </w:rPr>
                              <w:t>gained</w:t>
                            </w:r>
                            <w:r>
                              <w:rPr>
                                <w:color w:val="000000"/>
                                <w:spacing w:val="-5"/>
                              </w:rPr>
                              <w:t> </w:t>
                            </w:r>
                            <w:r>
                              <w:rPr>
                                <w:color w:val="000000"/>
                              </w:rPr>
                              <w:t>through</w:t>
                            </w:r>
                            <w:r>
                              <w:rPr>
                                <w:color w:val="000000"/>
                                <w:spacing w:val="-4"/>
                              </w:rPr>
                              <w:t> </w:t>
                            </w:r>
                            <w:r>
                              <w:rPr>
                                <w:color w:val="000000"/>
                              </w:rPr>
                              <w:t>monitoring</w:t>
                            </w:r>
                            <w:r>
                              <w:rPr>
                                <w:color w:val="000000"/>
                                <w:spacing w:val="-4"/>
                              </w:rPr>
                              <w:t> </w:t>
                            </w:r>
                            <w:r>
                              <w:rPr>
                                <w:color w:val="000000"/>
                              </w:rPr>
                              <w:t>and</w:t>
                            </w:r>
                            <w:r>
                              <w:rPr>
                                <w:color w:val="000000"/>
                                <w:spacing w:val="-4"/>
                              </w:rPr>
                              <w:t> </w:t>
                            </w:r>
                            <w:r>
                              <w:rPr>
                                <w:color w:val="000000"/>
                              </w:rPr>
                              <w:t>evaluation</w:t>
                            </w:r>
                            <w:r>
                              <w:rPr>
                                <w:color w:val="000000"/>
                                <w:spacing w:val="-5"/>
                              </w:rPr>
                              <w:t> </w:t>
                            </w:r>
                            <w:r>
                              <w:rPr>
                                <w:color w:val="000000"/>
                              </w:rPr>
                              <w:t>may</w:t>
                            </w:r>
                            <w:r>
                              <w:rPr>
                                <w:color w:val="000000"/>
                                <w:spacing w:val="-4"/>
                              </w:rPr>
                              <w:t> </w:t>
                            </w:r>
                            <w:r>
                              <w:rPr>
                                <w:color w:val="000000"/>
                              </w:rPr>
                              <w:t>be</w:t>
                            </w:r>
                            <w:r>
                              <w:rPr>
                                <w:color w:val="000000"/>
                                <w:spacing w:val="-4"/>
                              </w:rPr>
                              <w:t> </w:t>
                            </w:r>
                            <w:r>
                              <w:rPr>
                                <w:color w:val="000000"/>
                              </w:rPr>
                              <w:t>the</w:t>
                            </w:r>
                            <w:r>
                              <w:rPr>
                                <w:color w:val="000000"/>
                                <w:spacing w:val="-2"/>
                              </w:rPr>
                              <w:t> </w:t>
                            </w:r>
                            <w:r>
                              <w:rPr>
                                <w:color w:val="000000"/>
                              </w:rPr>
                              <w:t>catalyst</w:t>
                            </w:r>
                            <w:r>
                              <w:rPr>
                                <w:color w:val="000000"/>
                                <w:spacing w:val="-2"/>
                              </w:rPr>
                              <w:t> </w:t>
                            </w:r>
                            <w:r>
                              <w:rPr>
                                <w:color w:val="000000"/>
                              </w:rPr>
                              <w:t>for</w:t>
                            </w:r>
                            <w:r>
                              <w:rPr>
                                <w:color w:val="000000"/>
                                <w:spacing w:val="-3"/>
                              </w:rPr>
                              <w:t> </w:t>
                            </w:r>
                            <w:r>
                              <w:rPr>
                                <w:color w:val="000000"/>
                              </w:rPr>
                              <w:t>plan revisions or amendments.</w:t>
                            </w:r>
                          </w:p>
                        </w:txbxContent>
                      </wps:txbx>
                      <wps:bodyPr wrap="square" lIns="0" tIns="0" rIns="0" bIns="0" rtlCol="0">
                        <a:noAutofit/>
                      </wps:bodyPr>
                    </wps:wsp>
                  </a:graphicData>
                </a:graphic>
              </wp:anchor>
            </w:drawing>
          </mc:Choice>
          <mc:Fallback>
            <w:pict>
              <v:shape style="position:absolute;margin-left:70.559998pt;margin-top:215.609558pt;width:431.3pt;height:79.2pt;mso-position-horizontal-relative:page;mso-position-vertical-relative:paragraph;z-index:-15678976;mso-wrap-distance-left:0;mso-wrap-distance-right:0" type="#_x0000_t202" id="docshape255" filled="true" fillcolor="#dfdfdf" stroked="false">
                <v:textbox inset="0,0,0,0">
                  <w:txbxContent>
                    <w:p>
                      <w:pPr>
                        <w:pStyle w:val="BodyText"/>
                        <w:ind w:left="28"/>
                        <w:rPr>
                          <w:color w:val="000000"/>
                        </w:rPr>
                      </w:pPr>
                      <w:r>
                        <w:rPr>
                          <w:color w:val="000000"/>
                        </w:rPr>
                        <w:t>Monitoring</w:t>
                      </w:r>
                      <w:r>
                        <w:rPr>
                          <w:color w:val="000000"/>
                          <w:spacing w:val="-3"/>
                        </w:rPr>
                        <w:t> </w:t>
                      </w:r>
                      <w:r>
                        <w:rPr>
                          <w:color w:val="000000"/>
                        </w:rPr>
                        <w:t>identified</w:t>
                      </w:r>
                      <w:r>
                        <w:rPr>
                          <w:color w:val="000000"/>
                          <w:spacing w:val="-3"/>
                        </w:rPr>
                        <w:t> </w:t>
                      </w:r>
                      <w:r>
                        <w:rPr>
                          <w:color w:val="000000"/>
                        </w:rPr>
                        <w:t>in</w:t>
                      </w:r>
                      <w:r>
                        <w:rPr>
                          <w:color w:val="000000"/>
                          <w:spacing w:val="-3"/>
                        </w:rPr>
                        <w:t> </w:t>
                      </w:r>
                      <w:r>
                        <w:rPr>
                          <w:color w:val="000000"/>
                        </w:rPr>
                        <w:t>this</w:t>
                      </w:r>
                      <w:r>
                        <w:rPr>
                          <w:color w:val="000000"/>
                          <w:spacing w:val="-2"/>
                        </w:rPr>
                        <w:t> </w:t>
                      </w:r>
                      <w:r>
                        <w:rPr>
                          <w:color w:val="000000"/>
                        </w:rPr>
                        <w:t>section</w:t>
                      </w:r>
                      <w:r>
                        <w:rPr>
                          <w:color w:val="000000"/>
                          <w:spacing w:val="-3"/>
                        </w:rPr>
                        <w:t> </w:t>
                      </w:r>
                      <w:r>
                        <w:rPr>
                          <w:color w:val="000000"/>
                        </w:rPr>
                        <w:t>does</w:t>
                      </w:r>
                      <w:r>
                        <w:rPr>
                          <w:color w:val="000000"/>
                          <w:spacing w:val="-4"/>
                        </w:rPr>
                        <w:t> </w:t>
                      </w:r>
                      <w:r>
                        <w:rPr>
                          <w:color w:val="000000"/>
                        </w:rPr>
                        <w:t>not</w:t>
                      </w:r>
                      <w:r>
                        <w:rPr>
                          <w:color w:val="000000"/>
                          <w:spacing w:val="-4"/>
                        </w:rPr>
                        <w:t> </w:t>
                      </w:r>
                      <w:r>
                        <w:rPr>
                          <w:color w:val="000000"/>
                        </w:rPr>
                        <w:t>include</w:t>
                      </w:r>
                      <w:r>
                        <w:rPr>
                          <w:color w:val="000000"/>
                          <w:spacing w:val="-4"/>
                        </w:rPr>
                        <w:t> </w:t>
                      </w:r>
                      <w:r>
                        <w:rPr>
                          <w:color w:val="000000"/>
                        </w:rPr>
                        <w:t>monitoring</w:t>
                      </w:r>
                      <w:r>
                        <w:rPr>
                          <w:color w:val="000000"/>
                          <w:spacing w:val="-3"/>
                        </w:rPr>
                        <w:t> </w:t>
                      </w:r>
                      <w:r>
                        <w:rPr>
                          <w:color w:val="000000"/>
                        </w:rPr>
                        <w:t>conducted</w:t>
                      </w:r>
                      <w:r>
                        <w:rPr>
                          <w:color w:val="000000"/>
                          <w:spacing w:val="-5"/>
                        </w:rPr>
                        <w:t> </w:t>
                      </w:r>
                      <w:r>
                        <w:rPr>
                          <w:color w:val="000000"/>
                        </w:rPr>
                        <w:t>in</w:t>
                      </w:r>
                      <w:r>
                        <w:rPr>
                          <w:color w:val="000000"/>
                          <w:spacing w:val="-3"/>
                        </w:rPr>
                        <w:t> </w:t>
                      </w:r>
                      <w:r>
                        <w:rPr>
                          <w:color w:val="000000"/>
                        </w:rPr>
                        <w:t>compliance</w:t>
                      </w:r>
                      <w:r>
                        <w:rPr>
                          <w:color w:val="000000"/>
                          <w:spacing w:val="-1"/>
                        </w:rPr>
                        <w:t> </w:t>
                      </w:r>
                      <w:r>
                        <w:rPr>
                          <w:color w:val="000000"/>
                        </w:rPr>
                        <w:t>with other laws, policies, and site-specific decisions.</w:t>
                      </w:r>
                    </w:p>
                    <w:p>
                      <w:pPr>
                        <w:pStyle w:val="BodyText"/>
                        <w:spacing w:before="120"/>
                        <w:ind w:left="28"/>
                        <w:rPr>
                          <w:color w:val="000000"/>
                        </w:rPr>
                      </w:pPr>
                      <w:r>
                        <w:rPr>
                          <w:color w:val="000000"/>
                          <w:spacing w:val="-2"/>
                        </w:rPr>
                        <w:t>EVALUATION</w:t>
                      </w:r>
                    </w:p>
                    <w:p>
                      <w:pPr>
                        <w:pStyle w:val="BodyText"/>
                        <w:spacing w:before="120"/>
                        <w:ind w:left="28" w:right="51"/>
                        <w:rPr>
                          <w:color w:val="000000"/>
                        </w:rPr>
                      </w:pPr>
                      <w:r>
                        <w:rPr>
                          <w:color w:val="000000"/>
                        </w:rPr>
                        <w:t>The</w:t>
                      </w:r>
                      <w:r>
                        <w:rPr>
                          <w:color w:val="000000"/>
                          <w:spacing w:val="-2"/>
                        </w:rPr>
                        <w:t> </w:t>
                      </w:r>
                      <w:r>
                        <w:rPr>
                          <w:color w:val="000000"/>
                        </w:rPr>
                        <w:t>information</w:t>
                      </w:r>
                      <w:r>
                        <w:rPr>
                          <w:color w:val="000000"/>
                          <w:spacing w:val="-4"/>
                        </w:rPr>
                        <w:t> </w:t>
                      </w:r>
                      <w:r>
                        <w:rPr>
                          <w:color w:val="000000"/>
                        </w:rPr>
                        <w:t>gained</w:t>
                      </w:r>
                      <w:r>
                        <w:rPr>
                          <w:color w:val="000000"/>
                          <w:spacing w:val="-5"/>
                        </w:rPr>
                        <w:t> </w:t>
                      </w:r>
                      <w:r>
                        <w:rPr>
                          <w:color w:val="000000"/>
                        </w:rPr>
                        <w:t>through</w:t>
                      </w:r>
                      <w:r>
                        <w:rPr>
                          <w:color w:val="000000"/>
                          <w:spacing w:val="-4"/>
                        </w:rPr>
                        <w:t> </w:t>
                      </w:r>
                      <w:r>
                        <w:rPr>
                          <w:color w:val="000000"/>
                        </w:rPr>
                        <w:t>monitoring</w:t>
                      </w:r>
                      <w:r>
                        <w:rPr>
                          <w:color w:val="000000"/>
                          <w:spacing w:val="-4"/>
                        </w:rPr>
                        <w:t> </w:t>
                      </w:r>
                      <w:r>
                        <w:rPr>
                          <w:color w:val="000000"/>
                        </w:rPr>
                        <w:t>and</w:t>
                      </w:r>
                      <w:r>
                        <w:rPr>
                          <w:color w:val="000000"/>
                          <w:spacing w:val="-4"/>
                        </w:rPr>
                        <w:t> </w:t>
                      </w:r>
                      <w:r>
                        <w:rPr>
                          <w:color w:val="000000"/>
                        </w:rPr>
                        <w:t>evaluation</w:t>
                      </w:r>
                      <w:r>
                        <w:rPr>
                          <w:color w:val="000000"/>
                          <w:spacing w:val="-5"/>
                        </w:rPr>
                        <w:t> </w:t>
                      </w:r>
                      <w:r>
                        <w:rPr>
                          <w:color w:val="000000"/>
                        </w:rPr>
                        <w:t>may</w:t>
                      </w:r>
                      <w:r>
                        <w:rPr>
                          <w:color w:val="000000"/>
                          <w:spacing w:val="-4"/>
                        </w:rPr>
                        <w:t> </w:t>
                      </w:r>
                      <w:r>
                        <w:rPr>
                          <w:color w:val="000000"/>
                        </w:rPr>
                        <w:t>be</w:t>
                      </w:r>
                      <w:r>
                        <w:rPr>
                          <w:color w:val="000000"/>
                          <w:spacing w:val="-4"/>
                        </w:rPr>
                        <w:t> </w:t>
                      </w:r>
                      <w:r>
                        <w:rPr>
                          <w:color w:val="000000"/>
                        </w:rPr>
                        <w:t>the</w:t>
                      </w:r>
                      <w:r>
                        <w:rPr>
                          <w:color w:val="000000"/>
                          <w:spacing w:val="-2"/>
                        </w:rPr>
                        <w:t> </w:t>
                      </w:r>
                      <w:r>
                        <w:rPr>
                          <w:color w:val="000000"/>
                        </w:rPr>
                        <w:t>catalyst</w:t>
                      </w:r>
                      <w:r>
                        <w:rPr>
                          <w:color w:val="000000"/>
                          <w:spacing w:val="-2"/>
                        </w:rPr>
                        <w:t> </w:t>
                      </w:r>
                      <w:r>
                        <w:rPr>
                          <w:color w:val="000000"/>
                        </w:rPr>
                        <w:t>for</w:t>
                      </w:r>
                      <w:r>
                        <w:rPr>
                          <w:color w:val="000000"/>
                          <w:spacing w:val="-3"/>
                        </w:rPr>
                        <w:t> </w:t>
                      </w:r>
                      <w:r>
                        <w:rPr>
                          <w:color w:val="000000"/>
                        </w:rPr>
                        <w:t>plan revisions or amendments.</w:t>
                      </w:r>
                    </w:p>
                  </w:txbxContent>
                </v:textbox>
                <v:fill type="solid"/>
                <w10:wrap type="topAndBottom"/>
              </v:shape>
            </w:pict>
          </mc:Fallback>
        </mc:AlternateContent>
      </w:r>
    </w:p>
    <w:p>
      <w:pPr>
        <w:pStyle w:val="BodyText"/>
        <w:spacing w:before="4"/>
        <w:rPr>
          <w:rFonts w:ascii="Arial"/>
          <w:b/>
          <w:sz w:val="8"/>
        </w:rPr>
      </w:pPr>
    </w:p>
    <w:p>
      <w:pPr>
        <w:pStyle w:val="BodyText"/>
        <w:spacing w:after="0"/>
        <w:rPr>
          <w:rFonts w:ascii="Arial"/>
          <w:b/>
          <w:sz w:val="8"/>
        </w:rPr>
        <w:sectPr>
          <w:pgSz w:w="12240" w:h="15840"/>
          <w:pgMar w:header="725" w:footer="891" w:top="1340" w:bottom="1080" w:left="1080" w:right="1080"/>
        </w:sectPr>
      </w:pPr>
    </w:p>
    <w:p>
      <w:pPr>
        <w:pStyle w:val="BodyText"/>
        <w:spacing w:before="72"/>
        <w:rPr>
          <w:rFonts w:ascii="Arial"/>
          <w:b/>
        </w:rPr>
      </w:pPr>
    </w:p>
    <w:p>
      <w:pPr>
        <w:pStyle w:val="Heading3"/>
        <w:ind w:left="0"/>
      </w:pPr>
      <w:bookmarkStart w:name="Forest Plan Monitoring Questions" w:id="922"/>
      <w:bookmarkEnd w:id="922"/>
      <w:r>
        <w:rPr>
          <w:b w:val="0"/>
        </w:rPr>
      </w:r>
      <w:bookmarkStart w:name="_bookmark277" w:id="923"/>
      <w:bookmarkEnd w:id="923"/>
      <w:r>
        <w:rPr>
          <w:b w:val="0"/>
        </w:rPr>
      </w:r>
      <w:r>
        <w:rPr>
          <w:smallCaps/>
          <w:color w:val="475824"/>
        </w:rPr>
        <w:t>Forest</w:t>
      </w:r>
      <w:r>
        <w:rPr>
          <w:smallCaps/>
          <w:color w:val="475824"/>
          <w:spacing w:val="-7"/>
        </w:rPr>
        <w:t> </w:t>
      </w:r>
      <w:r>
        <w:rPr>
          <w:smallCaps/>
          <w:color w:val="475824"/>
        </w:rPr>
        <w:t>Plan</w:t>
      </w:r>
      <w:r>
        <w:rPr>
          <w:smallCaps/>
          <w:color w:val="475824"/>
          <w:spacing w:val="-5"/>
        </w:rPr>
        <w:t> </w:t>
      </w:r>
      <w:r>
        <w:rPr>
          <w:smallCaps/>
          <w:color w:val="475824"/>
        </w:rPr>
        <w:t>Monitoring</w:t>
      </w:r>
      <w:r>
        <w:rPr>
          <w:smallCaps/>
          <w:color w:val="475824"/>
          <w:spacing w:val="-6"/>
        </w:rPr>
        <w:t> </w:t>
      </w:r>
      <w:r>
        <w:rPr>
          <w:smallCaps/>
          <w:color w:val="475824"/>
          <w:spacing w:val="-2"/>
        </w:rPr>
        <w:t>Questions</w:t>
      </w:r>
    </w:p>
    <w:p>
      <w:pPr>
        <w:pStyle w:val="BodyText"/>
        <w:spacing w:before="104"/>
        <w:rPr>
          <w:rFonts w:ascii="Arial"/>
          <w:b/>
        </w:rPr>
      </w:pPr>
    </w:p>
    <w:p>
      <w:pPr>
        <w:spacing w:before="0" w:after="42"/>
        <w:ind w:left="0" w:right="0" w:firstLine="0"/>
        <w:jc w:val="left"/>
        <w:rPr>
          <w:rFonts w:ascii="Arial"/>
          <w:b/>
          <w:sz w:val="18"/>
        </w:rPr>
      </w:pPr>
      <w:bookmarkStart w:name="_bookmark278" w:id="924"/>
      <w:bookmarkEnd w:id="924"/>
      <w:r>
        <w:rPr/>
      </w:r>
      <w:r>
        <w:rPr>
          <w:rFonts w:ascii="Arial"/>
          <w:b/>
          <w:sz w:val="18"/>
        </w:rPr>
        <w:t>Table</w:t>
      </w:r>
      <w:r>
        <w:rPr>
          <w:rFonts w:ascii="Arial"/>
          <w:b/>
          <w:spacing w:val="-6"/>
          <w:sz w:val="18"/>
        </w:rPr>
        <w:t> </w:t>
      </w:r>
      <w:r>
        <w:rPr>
          <w:rFonts w:ascii="Arial"/>
          <w:b/>
          <w:sz w:val="18"/>
        </w:rPr>
        <w:t>39.</w:t>
      </w:r>
      <w:r>
        <w:rPr>
          <w:rFonts w:ascii="Arial"/>
          <w:b/>
          <w:spacing w:val="-4"/>
          <w:sz w:val="18"/>
        </w:rPr>
        <w:t> </w:t>
      </w:r>
      <w:r>
        <w:rPr>
          <w:rFonts w:ascii="Arial"/>
          <w:b/>
          <w:sz w:val="18"/>
        </w:rPr>
        <w:t>Monitoring</w:t>
      </w:r>
      <w:r>
        <w:rPr>
          <w:rFonts w:ascii="Arial"/>
          <w:b/>
          <w:spacing w:val="-1"/>
          <w:sz w:val="18"/>
        </w:rPr>
        <w:t> </w:t>
      </w:r>
      <w:r>
        <w:rPr>
          <w:rFonts w:ascii="Arial"/>
          <w:b/>
          <w:spacing w:val="-2"/>
          <w:sz w:val="18"/>
        </w:rPr>
        <w:t>questions</w:t>
      </w: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shd w:val="clear" w:color="auto" w:fill="D5E2BB"/>
          </w:tcPr>
          <w:p>
            <w:pPr>
              <w:pStyle w:val="TableParagraph"/>
              <w:spacing w:before="142"/>
              <w:ind w:left="438"/>
              <w:rPr>
                <w:b/>
                <w:sz w:val="18"/>
              </w:rPr>
            </w:pPr>
            <w:r>
              <w:rPr>
                <w:b/>
                <w:spacing w:val="-2"/>
                <w:sz w:val="18"/>
              </w:rPr>
              <w:t>Resource</w:t>
            </w:r>
          </w:p>
        </w:tc>
        <w:tc>
          <w:tcPr>
            <w:tcW w:w="3509" w:type="dxa"/>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shd w:val="clear" w:color="auto" w:fill="D5E2BB"/>
          </w:tcPr>
          <w:p>
            <w:pPr>
              <w:pStyle w:val="TableParagraph"/>
              <w:spacing w:before="142"/>
              <w:ind w:left="16"/>
              <w:jc w:val="center"/>
              <w:rPr>
                <w:b/>
                <w:sz w:val="18"/>
              </w:rPr>
            </w:pPr>
            <w:r>
              <w:rPr>
                <w:b/>
                <w:spacing w:val="-2"/>
                <w:sz w:val="18"/>
              </w:rPr>
              <w:t>Indicator</w:t>
            </w:r>
          </w:p>
        </w:tc>
        <w:tc>
          <w:tcPr>
            <w:tcW w:w="2059" w:type="dxa"/>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287" w:hRule="atLeast"/>
        </w:trPr>
        <w:tc>
          <w:tcPr>
            <w:tcW w:w="12941" w:type="dxa"/>
            <w:gridSpan w:val="5"/>
          </w:tcPr>
          <w:p>
            <w:pPr>
              <w:pStyle w:val="TableParagraph"/>
              <w:ind w:left="107"/>
              <w:rPr>
                <w:b/>
                <w:sz w:val="18"/>
              </w:rPr>
            </w:pPr>
            <w:r>
              <w:rPr>
                <w:b/>
                <w:sz w:val="18"/>
              </w:rPr>
              <w:t>Landscape</w:t>
            </w:r>
            <w:r>
              <w:rPr>
                <w:b/>
                <w:spacing w:val="-4"/>
                <w:sz w:val="18"/>
              </w:rPr>
              <w:t> </w:t>
            </w:r>
            <w:r>
              <w:rPr>
                <w:b/>
                <w:sz w:val="18"/>
              </w:rPr>
              <w:t>Features</w:t>
            </w:r>
            <w:r>
              <w:rPr>
                <w:b/>
                <w:spacing w:val="-1"/>
                <w:sz w:val="18"/>
              </w:rPr>
              <w:t> </w:t>
            </w:r>
            <w:r>
              <w:rPr>
                <w:b/>
                <w:sz w:val="18"/>
              </w:rPr>
              <w:t>and</w:t>
            </w:r>
            <w:r>
              <w:rPr>
                <w:b/>
                <w:spacing w:val="-3"/>
                <w:sz w:val="18"/>
              </w:rPr>
              <w:t> </w:t>
            </w:r>
            <w:r>
              <w:rPr>
                <w:b/>
                <w:spacing w:val="-2"/>
                <w:sz w:val="18"/>
              </w:rPr>
              <w:t>Dynamics</w:t>
            </w:r>
          </w:p>
        </w:tc>
      </w:tr>
      <w:tr>
        <w:trPr>
          <w:trHeight w:val="1273" w:hRule="atLeast"/>
        </w:trPr>
        <w:tc>
          <w:tcPr>
            <w:tcW w:w="1702" w:type="dxa"/>
            <w:vMerge w:val="restart"/>
          </w:tcPr>
          <w:p>
            <w:pPr>
              <w:pStyle w:val="TableParagraph"/>
              <w:ind w:left="107"/>
              <w:rPr>
                <w:b/>
                <w:sz w:val="18"/>
              </w:rPr>
            </w:pPr>
            <w:r>
              <w:rPr>
                <w:b/>
                <w:spacing w:val="-2"/>
                <w:sz w:val="18"/>
              </w:rPr>
              <w:t>Vegetation</w:t>
            </w:r>
          </w:p>
        </w:tc>
        <w:tc>
          <w:tcPr>
            <w:tcW w:w="3509" w:type="dxa"/>
            <w:tcBorders>
              <w:bottom w:val="nil"/>
            </w:tcBorders>
          </w:tcPr>
          <w:p>
            <w:pPr>
              <w:pStyle w:val="TableParagraph"/>
              <w:ind w:left="104"/>
              <w:rPr>
                <w:sz w:val="18"/>
              </w:rPr>
            </w:pPr>
            <w:r>
              <w:rPr>
                <w:b/>
                <w:sz w:val="18"/>
              </w:rPr>
              <w:t>MON-VEG-01</w:t>
            </w:r>
            <w:r>
              <w:rPr>
                <w:sz w:val="18"/>
              </w:rPr>
              <w:t>: To what extent are management activities and natural disturbance processes trending toward desired</w:t>
            </w:r>
            <w:r>
              <w:rPr>
                <w:spacing w:val="-12"/>
                <w:sz w:val="18"/>
              </w:rPr>
              <w:t> </w:t>
            </w:r>
            <w:r>
              <w:rPr>
                <w:sz w:val="18"/>
              </w:rPr>
              <w:t>conditions</w:t>
            </w:r>
            <w:r>
              <w:rPr>
                <w:spacing w:val="-11"/>
                <w:sz w:val="18"/>
              </w:rPr>
              <w:t> </w:t>
            </w:r>
            <w:r>
              <w:rPr>
                <w:sz w:val="18"/>
              </w:rPr>
              <w:t>for</w:t>
            </w:r>
            <w:r>
              <w:rPr>
                <w:spacing w:val="-12"/>
                <w:sz w:val="18"/>
              </w:rPr>
              <w:t> </w:t>
            </w:r>
            <w:r>
              <w:rPr>
                <w:sz w:val="18"/>
              </w:rPr>
              <w:t>structure/structural</w:t>
            </w:r>
          </w:p>
          <w:p>
            <w:pPr>
              <w:pStyle w:val="TableParagraph"/>
              <w:spacing w:line="206" w:lineRule="exact" w:before="0"/>
              <w:ind w:left="104" w:right="60" w:hanging="1"/>
              <w:rPr>
                <w:sz w:val="18"/>
              </w:rPr>
            </w:pPr>
            <w:r>
              <w:rPr>
                <w:sz w:val="18"/>
              </w:rPr>
              <w:t>stage and fire regime condition class (FRCC),</w:t>
            </w:r>
            <w:r>
              <w:rPr>
                <w:spacing w:val="-9"/>
                <w:sz w:val="18"/>
              </w:rPr>
              <w:t> </w:t>
            </w:r>
            <w:r>
              <w:rPr>
                <w:sz w:val="18"/>
              </w:rPr>
              <w:t>and</w:t>
            </w:r>
            <w:r>
              <w:rPr>
                <w:spacing w:val="-8"/>
                <w:sz w:val="18"/>
              </w:rPr>
              <w:t> </w:t>
            </w:r>
            <w:r>
              <w:rPr>
                <w:sz w:val="18"/>
              </w:rPr>
              <w:t>increasing</w:t>
            </w:r>
            <w:r>
              <w:rPr>
                <w:spacing w:val="-8"/>
                <w:sz w:val="18"/>
              </w:rPr>
              <w:t> </w:t>
            </w:r>
            <w:r>
              <w:rPr>
                <w:sz w:val="18"/>
              </w:rPr>
              <w:t>resistance</w:t>
            </w:r>
            <w:r>
              <w:rPr>
                <w:spacing w:val="-10"/>
                <w:sz w:val="18"/>
              </w:rPr>
              <w:t> </w:t>
            </w:r>
            <w:r>
              <w:rPr>
                <w:sz w:val="18"/>
              </w:rPr>
              <w:t>and</w:t>
            </w:r>
          </w:p>
        </w:tc>
        <w:tc>
          <w:tcPr>
            <w:tcW w:w="2880" w:type="dxa"/>
            <w:tcBorders>
              <w:bottom w:val="nil"/>
            </w:tcBorders>
          </w:tcPr>
          <w:p>
            <w:pPr>
              <w:pStyle w:val="TableParagraph"/>
              <w:spacing w:line="207" w:lineRule="exact"/>
              <w:ind w:left="107"/>
              <w:rPr>
                <w:sz w:val="18"/>
              </w:rPr>
            </w:pPr>
            <w:r>
              <w:rPr>
                <w:spacing w:val="-2"/>
                <w:sz w:val="18"/>
              </w:rPr>
              <w:t>FW-DC-VEG-02,</w:t>
            </w:r>
            <w:r>
              <w:rPr>
                <w:spacing w:val="23"/>
                <w:sz w:val="18"/>
              </w:rPr>
              <w:t> </w:t>
            </w:r>
            <w:r>
              <w:rPr>
                <w:spacing w:val="-2"/>
                <w:sz w:val="18"/>
              </w:rPr>
              <w:t>FW-DC-</w:t>
            </w:r>
            <w:r>
              <w:rPr>
                <w:spacing w:val="-4"/>
                <w:sz w:val="18"/>
              </w:rPr>
              <w:t>VEG-</w:t>
            </w:r>
          </w:p>
          <w:p>
            <w:pPr>
              <w:pStyle w:val="TableParagraph"/>
              <w:spacing w:line="206" w:lineRule="exact" w:before="0"/>
              <w:ind w:left="106"/>
              <w:rPr>
                <w:sz w:val="18"/>
              </w:rPr>
            </w:pPr>
            <w:r>
              <w:rPr>
                <w:sz w:val="18"/>
              </w:rPr>
              <w:t>03,</w:t>
            </w:r>
            <w:r>
              <w:rPr>
                <w:spacing w:val="-8"/>
                <w:sz w:val="18"/>
              </w:rPr>
              <w:t> </w:t>
            </w:r>
            <w:r>
              <w:rPr>
                <w:sz w:val="18"/>
              </w:rPr>
              <w:t>FW-DC-VEG-04,</w:t>
            </w:r>
            <w:r>
              <w:rPr>
                <w:spacing w:val="-8"/>
                <w:sz w:val="18"/>
              </w:rPr>
              <w:t> </w:t>
            </w:r>
            <w:r>
              <w:rPr>
                <w:sz w:val="18"/>
              </w:rPr>
              <w:t>FW-</w:t>
            </w:r>
            <w:r>
              <w:rPr>
                <w:spacing w:val="-5"/>
                <w:sz w:val="18"/>
              </w:rPr>
              <w:t>DC-</w:t>
            </w:r>
          </w:p>
          <w:p>
            <w:pPr>
              <w:pStyle w:val="TableParagraph"/>
              <w:spacing w:line="207" w:lineRule="exact" w:before="0"/>
              <w:ind w:left="106"/>
              <w:rPr>
                <w:sz w:val="18"/>
              </w:rPr>
            </w:pPr>
            <w:r>
              <w:rPr>
                <w:sz w:val="18"/>
              </w:rPr>
              <w:t>VEG-05,</w:t>
            </w:r>
            <w:r>
              <w:rPr>
                <w:spacing w:val="-8"/>
                <w:sz w:val="18"/>
              </w:rPr>
              <w:t> </w:t>
            </w:r>
            <w:r>
              <w:rPr>
                <w:sz w:val="18"/>
              </w:rPr>
              <w:t>FW-DC-VEG-11,</w:t>
            </w:r>
            <w:r>
              <w:rPr>
                <w:spacing w:val="-7"/>
                <w:sz w:val="18"/>
              </w:rPr>
              <w:t> </w:t>
            </w:r>
            <w:r>
              <w:rPr>
                <w:spacing w:val="-5"/>
                <w:sz w:val="18"/>
              </w:rPr>
              <w:t>FW-</w:t>
            </w:r>
          </w:p>
          <w:p>
            <w:pPr>
              <w:pStyle w:val="TableParagraph"/>
              <w:spacing w:line="206" w:lineRule="exact" w:before="0"/>
              <w:ind w:left="106" w:right="340"/>
              <w:rPr>
                <w:sz w:val="18"/>
              </w:rPr>
            </w:pPr>
            <w:r>
              <w:rPr>
                <w:sz w:val="18"/>
              </w:rPr>
              <w:t>DC-VEG-12,</w:t>
            </w:r>
            <w:r>
              <w:rPr>
                <w:spacing w:val="-13"/>
                <w:sz w:val="18"/>
              </w:rPr>
              <w:t> </w:t>
            </w:r>
            <w:r>
              <w:rPr>
                <w:sz w:val="18"/>
              </w:rPr>
              <w:t>FW-DC-VEG-</w:t>
            </w:r>
            <w:r>
              <w:rPr>
                <w:sz w:val="18"/>
              </w:rPr>
              <w:t>14; FW-OBJ-VEG-01, FW-OBJ- VEG-02, FW-OBJ-SCE-01;</w:t>
            </w:r>
          </w:p>
        </w:tc>
        <w:tc>
          <w:tcPr>
            <w:tcW w:w="2791" w:type="dxa"/>
            <w:tcBorders>
              <w:bottom w:val="nil"/>
            </w:tcBorders>
          </w:tcPr>
          <w:p>
            <w:pPr>
              <w:pStyle w:val="TableParagraph"/>
              <w:ind w:left="107" w:right="87"/>
              <w:rPr>
                <w:sz w:val="18"/>
              </w:rPr>
            </w:pPr>
            <w:r>
              <w:rPr>
                <w:b/>
                <w:sz w:val="18"/>
              </w:rPr>
              <w:t>MON-VEG-01-01</w:t>
            </w:r>
            <w:r>
              <w:rPr>
                <w:sz w:val="18"/>
              </w:rPr>
              <w:t>:</w:t>
            </w:r>
            <w:r>
              <w:rPr>
                <w:spacing w:val="-15"/>
                <w:sz w:val="18"/>
              </w:rPr>
              <w:t> </w:t>
            </w:r>
            <w:r>
              <w:rPr>
                <w:sz w:val="18"/>
              </w:rPr>
              <w:t>Acres</w:t>
            </w:r>
            <w:r>
              <w:rPr>
                <w:spacing w:val="-12"/>
                <w:sz w:val="18"/>
              </w:rPr>
              <w:t> </w:t>
            </w:r>
            <w:r>
              <w:rPr>
                <w:sz w:val="18"/>
              </w:rPr>
              <w:t>treated to meet FW-OBJ-VEG-01</w:t>
            </w:r>
          </w:p>
          <w:p>
            <w:pPr>
              <w:pStyle w:val="TableParagraph"/>
              <w:spacing w:before="1"/>
              <w:rPr>
                <w:b/>
                <w:sz w:val="18"/>
              </w:rPr>
            </w:pPr>
          </w:p>
          <w:p>
            <w:pPr>
              <w:pStyle w:val="TableParagraph"/>
              <w:spacing w:line="207" w:lineRule="exact" w:before="0"/>
              <w:ind w:left="106"/>
              <w:rPr>
                <w:sz w:val="18"/>
              </w:rPr>
            </w:pPr>
            <w:r>
              <w:rPr>
                <w:b/>
                <w:sz w:val="18"/>
              </w:rPr>
              <w:t>MON-VEG-01-01a</w:t>
            </w:r>
            <w:r>
              <w:rPr>
                <w:sz w:val="18"/>
              </w:rPr>
              <w:t>:</w:t>
            </w:r>
            <w:r>
              <w:rPr>
                <w:spacing w:val="-11"/>
                <w:sz w:val="18"/>
              </w:rPr>
              <w:t> </w:t>
            </w:r>
            <w:r>
              <w:rPr>
                <w:spacing w:val="-4"/>
                <w:sz w:val="18"/>
              </w:rPr>
              <w:t>Acres</w:t>
            </w:r>
          </w:p>
          <w:p>
            <w:pPr>
              <w:pStyle w:val="TableParagraph"/>
              <w:spacing w:line="206" w:lineRule="exact" w:before="0"/>
              <w:ind w:left="107"/>
              <w:rPr>
                <w:sz w:val="18"/>
              </w:rPr>
            </w:pPr>
            <w:r>
              <w:rPr>
                <w:sz w:val="18"/>
              </w:rPr>
              <w:t>treated</w:t>
            </w:r>
            <w:r>
              <w:rPr>
                <w:spacing w:val="-10"/>
                <w:sz w:val="18"/>
              </w:rPr>
              <w:t> </w:t>
            </w:r>
            <w:r>
              <w:rPr>
                <w:sz w:val="18"/>
              </w:rPr>
              <w:t>to</w:t>
            </w:r>
            <w:r>
              <w:rPr>
                <w:spacing w:val="-8"/>
                <w:sz w:val="18"/>
              </w:rPr>
              <w:t> </w:t>
            </w:r>
            <w:r>
              <w:rPr>
                <w:sz w:val="18"/>
              </w:rPr>
              <w:t>respond</w:t>
            </w:r>
            <w:r>
              <w:rPr>
                <w:spacing w:val="-10"/>
                <w:sz w:val="18"/>
              </w:rPr>
              <w:t> </w:t>
            </w:r>
            <w:r>
              <w:rPr>
                <w:sz w:val="18"/>
              </w:rPr>
              <w:t>to</w:t>
            </w:r>
            <w:r>
              <w:rPr>
                <w:spacing w:val="-8"/>
                <w:sz w:val="18"/>
              </w:rPr>
              <w:t> </w:t>
            </w:r>
            <w:r>
              <w:rPr>
                <w:sz w:val="18"/>
              </w:rPr>
              <w:t>forest disease pathogens.</w:t>
            </w:r>
          </w:p>
        </w:tc>
        <w:tc>
          <w:tcPr>
            <w:tcW w:w="2059" w:type="dxa"/>
            <w:tcBorders>
              <w:bottom w:val="nil"/>
            </w:tcBorders>
          </w:tcPr>
          <w:p>
            <w:pPr>
              <w:pStyle w:val="TableParagraph"/>
              <w:ind w:left="104"/>
              <w:rPr>
                <w:sz w:val="18"/>
              </w:rPr>
            </w:pPr>
            <w:r>
              <w:rPr>
                <w:spacing w:val="-2"/>
                <w:sz w:val="18"/>
              </w:rPr>
              <w:t>Annual</w:t>
            </w:r>
          </w:p>
        </w:tc>
      </w:tr>
      <w:tr>
        <w:trPr>
          <w:trHeight w:val="674" w:hRule="atLeast"/>
        </w:trPr>
        <w:tc>
          <w:tcPr>
            <w:tcW w:w="1702" w:type="dxa"/>
            <w:vMerge/>
            <w:tcBorders>
              <w:top w:val="nil"/>
            </w:tcBorders>
          </w:tcPr>
          <w:p>
            <w:pPr>
              <w:rPr>
                <w:sz w:val="2"/>
                <w:szCs w:val="2"/>
              </w:rPr>
            </w:pPr>
          </w:p>
        </w:tc>
        <w:tc>
          <w:tcPr>
            <w:tcW w:w="3509" w:type="dxa"/>
            <w:tcBorders>
              <w:top w:val="nil"/>
              <w:bottom w:val="nil"/>
            </w:tcBorders>
          </w:tcPr>
          <w:p>
            <w:pPr>
              <w:pStyle w:val="TableParagraph"/>
              <w:spacing w:before="21"/>
              <w:ind w:left="104" w:right="86"/>
              <w:jc w:val="both"/>
              <w:rPr>
                <w:sz w:val="18"/>
              </w:rPr>
            </w:pPr>
            <w:r>
              <w:rPr>
                <w:sz w:val="18"/>
              </w:rPr>
              <w:t>resiliency</w:t>
            </w:r>
            <w:r>
              <w:rPr>
                <w:spacing w:val="-7"/>
                <w:sz w:val="18"/>
              </w:rPr>
              <w:t> </w:t>
            </w:r>
            <w:r>
              <w:rPr>
                <w:sz w:val="18"/>
              </w:rPr>
              <w:t>to</w:t>
            </w:r>
            <w:r>
              <w:rPr>
                <w:spacing w:val="-5"/>
                <w:sz w:val="18"/>
              </w:rPr>
              <w:t> </w:t>
            </w:r>
            <w:r>
              <w:rPr>
                <w:sz w:val="18"/>
              </w:rPr>
              <w:t>disturbance</w:t>
            </w:r>
            <w:r>
              <w:rPr>
                <w:spacing w:val="-8"/>
                <w:sz w:val="18"/>
              </w:rPr>
              <w:t> </w:t>
            </w:r>
            <w:r>
              <w:rPr>
                <w:sz w:val="18"/>
              </w:rPr>
              <w:t>factors</w:t>
            </w:r>
            <w:r>
              <w:rPr>
                <w:spacing w:val="-5"/>
                <w:sz w:val="18"/>
              </w:rPr>
              <w:t> </w:t>
            </w:r>
            <w:r>
              <w:rPr>
                <w:sz w:val="18"/>
              </w:rPr>
              <w:t>including climate</w:t>
            </w:r>
            <w:r>
              <w:rPr>
                <w:spacing w:val="-10"/>
                <w:sz w:val="18"/>
              </w:rPr>
              <w:t> </w:t>
            </w:r>
            <w:r>
              <w:rPr>
                <w:sz w:val="18"/>
              </w:rPr>
              <w:t>change?</w:t>
            </w:r>
            <w:r>
              <w:rPr>
                <w:spacing w:val="-7"/>
                <w:sz w:val="18"/>
              </w:rPr>
              <w:t> </w:t>
            </w:r>
            <w:r>
              <w:rPr>
                <w:sz w:val="18"/>
              </w:rPr>
              <w:t>This</w:t>
            </w:r>
            <w:r>
              <w:rPr>
                <w:spacing w:val="-9"/>
                <w:sz w:val="18"/>
              </w:rPr>
              <w:t> </w:t>
            </w:r>
            <w:r>
              <w:rPr>
                <w:sz w:val="18"/>
              </w:rPr>
              <w:t>includes</w:t>
            </w:r>
            <w:r>
              <w:rPr>
                <w:spacing w:val="-9"/>
                <w:sz w:val="18"/>
              </w:rPr>
              <w:t> </w:t>
            </w:r>
            <w:r>
              <w:rPr>
                <w:sz w:val="18"/>
              </w:rPr>
              <w:t>vegetation size classes, down wood, snags.</w:t>
            </w:r>
          </w:p>
        </w:tc>
        <w:tc>
          <w:tcPr>
            <w:tcW w:w="2880" w:type="dxa"/>
            <w:tcBorders>
              <w:top w:val="nil"/>
              <w:bottom w:val="nil"/>
            </w:tcBorders>
          </w:tcPr>
          <w:p>
            <w:pPr>
              <w:pStyle w:val="TableParagraph"/>
              <w:spacing w:line="188" w:lineRule="exact" w:before="0"/>
              <w:ind w:left="107"/>
              <w:rPr>
                <w:sz w:val="18"/>
              </w:rPr>
            </w:pPr>
            <w:r>
              <w:rPr>
                <w:spacing w:val="-2"/>
                <w:sz w:val="18"/>
              </w:rPr>
              <w:t>MA-DC-FR-01;</w:t>
            </w:r>
            <w:r>
              <w:rPr>
                <w:spacing w:val="12"/>
                <w:sz w:val="18"/>
              </w:rPr>
              <w:t> </w:t>
            </w:r>
            <w:r>
              <w:rPr>
                <w:spacing w:val="-2"/>
                <w:sz w:val="18"/>
              </w:rPr>
              <w:t>MA-DC-GR-</w:t>
            </w:r>
            <w:r>
              <w:rPr>
                <w:spacing w:val="-5"/>
                <w:sz w:val="18"/>
              </w:rPr>
              <w:t>01</w:t>
            </w:r>
          </w:p>
        </w:tc>
        <w:tc>
          <w:tcPr>
            <w:tcW w:w="2791" w:type="dxa"/>
            <w:tcBorders>
              <w:top w:val="nil"/>
              <w:bottom w:val="nil"/>
            </w:tcBorders>
          </w:tcPr>
          <w:p>
            <w:pPr>
              <w:pStyle w:val="TableParagraph"/>
              <w:spacing w:before="21"/>
              <w:ind w:left="107"/>
              <w:rPr>
                <w:sz w:val="18"/>
              </w:rPr>
            </w:pPr>
            <w:r>
              <w:rPr>
                <w:b/>
                <w:sz w:val="18"/>
              </w:rPr>
              <w:t>MON-VEG-01-02</w:t>
            </w:r>
            <w:r>
              <w:rPr>
                <w:sz w:val="18"/>
              </w:rPr>
              <w:t>:</w:t>
            </w:r>
            <w:r>
              <w:rPr>
                <w:spacing w:val="-15"/>
                <w:sz w:val="18"/>
              </w:rPr>
              <w:t> </w:t>
            </w:r>
            <w:r>
              <w:rPr>
                <w:sz w:val="18"/>
              </w:rPr>
              <w:t>Acres</w:t>
            </w:r>
            <w:r>
              <w:rPr>
                <w:spacing w:val="-12"/>
                <w:sz w:val="18"/>
              </w:rPr>
              <w:t> </w:t>
            </w:r>
            <w:r>
              <w:rPr>
                <w:sz w:val="18"/>
              </w:rPr>
              <w:t>burned through prescribed and wild fire</w:t>
            </w:r>
          </w:p>
        </w:tc>
        <w:tc>
          <w:tcPr>
            <w:tcW w:w="2059" w:type="dxa"/>
            <w:tcBorders>
              <w:top w:val="nil"/>
              <w:bottom w:val="nil"/>
            </w:tcBorders>
          </w:tcPr>
          <w:p>
            <w:pPr>
              <w:pStyle w:val="TableParagraph"/>
              <w:spacing w:before="21"/>
              <w:ind w:left="104" w:right="177"/>
              <w:rPr>
                <w:sz w:val="18"/>
              </w:rPr>
            </w:pPr>
            <w:r>
              <w:rPr>
                <w:sz w:val="18"/>
              </w:rPr>
              <w:t>Every</w:t>
            </w:r>
            <w:r>
              <w:rPr>
                <w:spacing w:val="-13"/>
                <w:sz w:val="18"/>
              </w:rPr>
              <w:t> </w:t>
            </w:r>
            <w:r>
              <w:rPr>
                <w:sz w:val="18"/>
              </w:rPr>
              <w:t>5</w:t>
            </w:r>
            <w:r>
              <w:rPr>
                <w:spacing w:val="-11"/>
                <w:sz w:val="18"/>
              </w:rPr>
              <w:t> </w:t>
            </w:r>
            <w:r>
              <w:rPr>
                <w:sz w:val="18"/>
              </w:rPr>
              <w:t>years</w:t>
            </w:r>
            <w:r>
              <w:rPr>
                <w:spacing w:val="-11"/>
                <w:sz w:val="18"/>
              </w:rPr>
              <w:t> </w:t>
            </w:r>
            <w:r>
              <w:rPr>
                <w:sz w:val="18"/>
              </w:rPr>
              <w:t>(review of FRCC across the </w:t>
            </w:r>
            <w:r>
              <w:rPr>
                <w:spacing w:val="-2"/>
                <w:sz w:val="18"/>
              </w:rPr>
              <w:t>Forest)</w:t>
            </w:r>
          </w:p>
        </w:tc>
      </w:tr>
      <w:tr>
        <w:trPr>
          <w:trHeight w:val="929" w:hRule="atLeast"/>
        </w:trPr>
        <w:tc>
          <w:tcPr>
            <w:tcW w:w="1702" w:type="dxa"/>
            <w:vMerge/>
            <w:tcBorders>
              <w:top w:val="nil"/>
            </w:tcBorders>
          </w:tcPr>
          <w:p>
            <w:pPr>
              <w:rPr>
                <w:sz w:val="2"/>
                <w:szCs w:val="2"/>
              </w:rPr>
            </w:pPr>
          </w:p>
        </w:tc>
        <w:tc>
          <w:tcPr>
            <w:tcW w:w="3509" w:type="dxa"/>
            <w:tcBorders>
              <w:top w:val="nil"/>
              <w:bottom w:val="nil"/>
            </w:tcBorders>
          </w:tcPr>
          <w:p>
            <w:pPr>
              <w:pStyle w:val="TableParagraph"/>
              <w:spacing w:before="0"/>
              <w:rPr>
                <w:rFonts w:ascii="Times New Roman"/>
                <w:sz w:val="18"/>
              </w:rPr>
            </w:pPr>
          </w:p>
        </w:tc>
        <w:tc>
          <w:tcPr>
            <w:tcW w:w="2880" w:type="dxa"/>
            <w:tcBorders>
              <w:top w:val="nil"/>
              <w:bottom w:val="nil"/>
            </w:tcBorders>
          </w:tcPr>
          <w:p>
            <w:pPr>
              <w:pStyle w:val="TableParagraph"/>
              <w:spacing w:before="0"/>
              <w:rPr>
                <w:rFonts w:ascii="Times New Roman"/>
                <w:sz w:val="18"/>
              </w:rPr>
            </w:pPr>
          </w:p>
        </w:tc>
        <w:tc>
          <w:tcPr>
            <w:tcW w:w="2791" w:type="dxa"/>
            <w:tcBorders>
              <w:top w:val="nil"/>
              <w:bottom w:val="nil"/>
            </w:tcBorders>
          </w:tcPr>
          <w:p>
            <w:pPr>
              <w:pStyle w:val="TableParagraph"/>
              <w:spacing w:line="207" w:lineRule="exact" w:before="27"/>
              <w:ind w:left="107"/>
              <w:rPr>
                <w:sz w:val="18"/>
              </w:rPr>
            </w:pPr>
            <w:r>
              <w:rPr>
                <w:b/>
                <w:sz w:val="18"/>
              </w:rPr>
              <w:t>MON-VEG-01-03</w:t>
            </w:r>
            <w:r>
              <w:rPr>
                <w:sz w:val="18"/>
              </w:rPr>
              <w:t>:</w:t>
            </w:r>
            <w:r>
              <w:rPr>
                <w:spacing w:val="-6"/>
                <w:sz w:val="18"/>
              </w:rPr>
              <w:t> </w:t>
            </w:r>
            <w:r>
              <w:rPr>
                <w:sz w:val="18"/>
              </w:rPr>
              <w:t>Acres</w:t>
            </w:r>
            <w:r>
              <w:rPr>
                <w:spacing w:val="-7"/>
                <w:sz w:val="18"/>
              </w:rPr>
              <w:t> </w:t>
            </w:r>
            <w:r>
              <w:rPr>
                <w:spacing w:val="-5"/>
                <w:sz w:val="18"/>
              </w:rPr>
              <w:t>of</w:t>
            </w:r>
          </w:p>
          <w:p>
            <w:pPr>
              <w:pStyle w:val="TableParagraph"/>
              <w:spacing w:before="0"/>
              <w:ind w:left="107" w:right="87"/>
              <w:rPr>
                <w:sz w:val="18"/>
              </w:rPr>
            </w:pPr>
            <w:r>
              <w:rPr>
                <w:sz w:val="18"/>
              </w:rPr>
              <w:t>forest by structure and vegetation</w:t>
            </w:r>
            <w:r>
              <w:rPr>
                <w:spacing w:val="-8"/>
                <w:sz w:val="18"/>
              </w:rPr>
              <w:t> </w:t>
            </w:r>
            <w:r>
              <w:rPr>
                <w:sz w:val="18"/>
              </w:rPr>
              <w:t>type</w:t>
            </w:r>
            <w:r>
              <w:rPr>
                <w:spacing w:val="-11"/>
                <w:sz w:val="18"/>
              </w:rPr>
              <w:t> </w:t>
            </w:r>
            <w:r>
              <w:rPr>
                <w:sz w:val="18"/>
              </w:rPr>
              <w:t>compared</w:t>
            </w:r>
            <w:r>
              <w:rPr>
                <w:spacing w:val="-8"/>
                <w:sz w:val="18"/>
              </w:rPr>
              <w:t> </w:t>
            </w:r>
            <w:r>
              <w:rPr>
                <w:sz w:val="18"/>
              </w:rPr>
              <w:t>to</w:t>
            </w:r>
            <w:r>
              <w:rPr>
                <w:spacing w:val="-11"/>
                <w:sz w:val="18"/>
              </w:rPr>
              <w:t> </w:t>
            </w:r>
            <w:r>
              <w:rPr>
                <w:sz w:val="18"/>
              </w:rPr>
              <w:t>the desired condition</w:t>
            </w:r>
          </w:p>
        </w:tc>
        <w:tc>
          <w:tcPr>
            <w:tcW w:w="2059" w:type="dxa"/>
            <w:tcBorders>
              <w:top w:val="nil"/>
              <w:bottom w:val="nil"/>
            </w:tcBorders>
          </w:tcPr>
          <w:p>
            <w:pPr>
              <w:pStyle w:val="TableParagraph"/>
              <w:spacing w:before="27"/>
              <w:ind w:left="155"/>
              <w:rPr>
                <w:sz w:val="18"/>
              </w:rPr>
            </w:pPr>
            <w:r>
              <w:rPr>
                <w:sz w:val="18"/>
              </w:rPr>
              <w:t>Every</w:t>
            </w:r>
            <w:r>
              <w:rPr>
                <w:spacing w:val="-5"/>
                <w:sz w:val="18"/>
              </w:rPr>
              <w:t> </w:t>
            </w:r>
            <w:r>
              <w:rPr>
                <w:sz w:val="18"/>
              </w:rPr>
              <w:t>5</w:t>
            </w:r>
            <w:r>
              <w:rPr>
                <w:spacing w:val="-1"/>
                <w:sz w:val="18"/>
              </w:rPr>
              <w:t> </w:t>
            </w:r>
            <w:r>
              <w:rPr>
                <w:spacing w:val="-2"/>
                <w:sz w:val="18"/>
              </w:rPr>
              <w:t>years</w:t>
            </w:r>
          </w:p>
        </w:tc>
      </w:tr>
      <w:tr>
        <w:trPr>
          <w:trHeight w:val="554" w:hRule="atLeast"/>
        </w:trPr>
        <w:tc>
          <w:tcPr>
            <w:tcW w:w="1702" w:type="dxa"/>
            <w:vMerge/>
            <w:tcBorders>
              <w:top w:val="nil"/>
            </w:tcBorders>
          </w:tcPr>
          <w:p>
            <w:pPr>
              <w:rPr>
                <w:sz w:val="2"/>
                <w:szCs w:val="2"/>
              </w:rPr>
            </w:pPr>
          </w:p>
        </w:tc>
        <w:tc>
          <w:tcPr>
            <w:tcW w:w="3509" w:type="dxa"/>
            <w:tcBorders>
              <w:top w:val="nil"/>
              <w:bottom w:val="nil"/>
            </w:tcBorders>
          </w:tcPr>
          <w:p>
            <w:pPr>
              <w:pStyle w:val="TableParagraph"/>
              <w:spacing w:before="0"/>
              <w:rPr>
                <w:rFonts w:ascii="Times New Roman"/>
                <w:sz w:val="18"/>
              </w:rPr>
            </w:pPr>
          </w:p>
        </w:tc>
        <w:tc>
          <w:tcPr>
            <w:tcW w:w="2880" w:type="dxa"/>
            <w:tcBorders>
              <w:top w:val="nil"/>
              <w:bottom w:val="nil"/>
            </w:tcBorders>
          </w:tcPr>
          <w:p>
            <w:pPr>
              <w:pStyle w:val="TableParagraph"/>
              <w:spacing w:before="0"/>
              <w:rPr>
                <w:rFonts w:ascii="Times New Roman"/>
                <w:sz w:val="18"/>
              </w:rPr>
            </w:pPr>
          </w:p>
        </w:tc>
        <w:tc>
          <w:tcPr>
            <w:tcW w:w="2791" w:type="dxa"/>
            <w:tcBorders>
              <w:top w:val="nil"/>
              <w:bottom w:val="nil"/>
            </w:tcBorders>
          </w:tcPr>
          <w:p>
            <w:pPr>
              <w:pStyle w:val="TableParagraph"/>
              <w:spacing w:before="67"/>
              <w:ind w:left="107"/>
              <w:rPr>
                <w:sz w:val="18"/>
              </w:rPr>
            </w:pPr>
            <w:r>
              <w:rPr>
                <w:b/>
                <w:sz w:val="18"/>
              </w:rPr>
              <w:t>MON-VEG-01-04:</w:t>
            </w:r>
            <w:r>
              <w:rPr>
                <w:b/>
                <w:spacing w:val="-15"/>
                <w:sz w:val="18"/>
              </w:rPr>
              <w:t> </w:t>
            </w:r>
            <w:r>
              <w:rPr>
                <w:sz w:val="18"/>
              </w:rPr>
              <w:t>Snags</w:t>
            </w:r>
            <w:r>
              <w:rPr>
                <w:spacing w:val="-12"/>
                <w:sz w:val="18"/>
              </w:rPr>
              <w:t> </w:t>
            </w:r>
            <w:r>
              <w:rPr>
                <w:sz w:val="18"/>
              </w:rPr>
              <w:t>and down wood by watershed</w:t>
            </w:r>
          </w:p>
        </w:tc>
        <w:tc>
          <w:tcPr>
            <w:tcW w:w="2059" w:type="dxa"/>
            <w:tcBorders>
              <w:top w:val="nil"/>
              <w:bottom w:val="nil"/>
            </w:tcBorders>
          </w:tcPr>
          <w:p>
            <w:pPr>
              <w:pStyle w:val="TableParagraph"/>
              <w:spacing w:before="67"/>
              <w:ind w:left="104"/>
              <w:rPr>
                <w:sz w:val="18"/>
              </w:rPr>
            </w:pPr>
            <w:r>
              <w:rPr>
                <w:sz w:val="18"/>
              </w:rPr>
              <w:t>Every</w:t>
            </w:r>
            <w:r>
              <w:rPr>
                <w:spacing w:val="-5"/>
                <w:sz w:val="18"/>
              </w:rPr>
              <w:t> </w:t>
            </w:r>
            <w:r>
              <w:rPr>
                <w:sz w:val="18"/>
              </w:rPr>
              <w:t>5</w:t>
            </w:r>
            <w:r>
              <w:rPr>
                <w:spacing w:val="-1"/>
                <w:sz w:val="18"/>
              </w:rPr>
              <w:t> </w:t>
            </w:r>
            <w:r>
              <w:rPr>
                <w:spacing w:val="-2"/>
                <w:sz w:val="18"/>
              </w:rPr>
              <w:t>years</w:t>
            </w:r>
          </w:p>
        </w:tc>
      </w:tr>
      <w:tr>
        <w:trPr>
          <w:trHeight w:val="603" w:hRule="atLeast"/>
        </w:trPr>
        <w:tc>
          <w:tcPr>
            <w:tcW w:w="1702" w:type="dxa"/>
            <w:vMerge/>
            <w:tcBorders>
              <w:top w:val="nil"/>
            </w:tcBorders>
          </w:tcPr>
          <w:p>
            <w:pPr>
              <w:rPr>
                <w:sz w:val="2"/>
                <w:szCs w:val="2"/>
              </w:rPr>
            </w:pPr>
          </w:p>
        </w:tc>
        <w:tc>
          <w:tcPr>
            <w:tcW w:w="3509" w:type="dxa"/>
            <w:tcBorders>
              <w:top w:val="nil"/>
            </w:tcBorders>
          </w:tcPr>
          <w:p>
            <w:pPr>
              <w:pStyle w:val="TableParagraph"/>
              <w:spacing w:before="0"/>
              <w:rPr>
                <w:rFonts w:ascii="Times New Roman"/>
                <w:sz w:val="18"/>
              </w:rPr>
            </w:pPr>
          </w:p>
        </w:tc>
        <w:tc>
          <w:tcPr>
            <w:tcW w:w="2880" w:type="dxa"/>
            <w:tcBorders>
              <w:top w:val="nil"/>
            </w:tcBorders>
          </w:tcPr>
          <w:p>
            <w:pPr>
              <w:pStyle w:val="TableParagraph"/>
              <w:spacing w:before="0"/>
              <w:rPr>
                <w:rFonts w:ascii="Times New Roman"/>
                <w:sz w:val="18"/>
              </w:rPr>
            </w:pPr>
          </w:p>
        </w:tc>
        <w:tc>
          <w:tcPr>
            <w:tcW w:w="2791" w:type="dxa"/>
            <w:tcBorders>
              <w:top w:val="nil"/>
            </w:tcBorders>
          </w:tcPr>
          <w:p>
            <w:pPr>
              <w:pStyle w:val="TableParagraph"/>
              <w:spacing w:before="68"/>
              <w:ind w:left="107"/>
              <w:rPr>
                <w:sz w:val="18"/>
              </w:rPr>
            </w:pPr>
            <w:r>
              <w:rPr>
                <w:b/>
                <w:sz w:val="18"/>
              </w:rPr>
              <w:t>MON-VEG-01-05</w:t>
            </w:r>
            <w:r>
              <w:rPr>
                <w:sz w:val="18"/>
              </w:rPr>
              <w:t>:</w:t>
            </w:r>
            <w:r>
              <w:rPr>
                <w:spacing w:val="-15"/>
                <w:sz w:val="18"/>
              </w:rPr>
              <w:t> </w:t>
            </w:r>
            <w:r>
              <w:rPr>
                <w:sz w:val="18"/>
              </w:rPr>
              <w:t>Number</w:t>
            </w:r>
            <w:r>
              <w:rPr>
                <w:spacing w:val="-12"/>
                <w:sz w:val="18"/>
              </w:rPr>
              <w:t> </w:t>
            </w:r>
            <w:r>
              <w:rPr>
                <w:sz w:val="18"/>
              </w:rPr>
              <w:t>of acres influenced by insects</w:t>
            </w:r>
          </w:p>
        </w:tc>
        <w:tc>
          <w:tcPr>
            <w:tcW w:w="2059" w:type="dxa"/>
            <w:tcBorders>
              <w:top w:val="nil"/>
            </w:tcBorders>
          </w:tcPr>
          <w:p>
            <w:pPr>
              <w:pStyle w:val="TableParagraph"/>
              <w:spacing w:before="68"/>
              <w:ind w:left="104"/>
              <w:rPr>
                <w:sz w:val="18"/>
              </w:rPr>
            </w:pPr>
            <w:r>
              <w:rPr>
                <w:sz w:val="18"/>
              </w:rPr>
              <w:t>Every</w:t>
            </w:r>
            <w:r>
              <w:rPr>
                <w:spacing w:val="-5"/>
                <w:sz w:val="18"/>
              </w:rPr>
              <w:t> </w:t>
            </w:r>
            <w:r>
              <w:rPr>
                <w:sz w:val="18"/>
              </w:rPr>
              <w:t>5</w:t>
            </w:r>
            <w:r>
              <w:rPr>
                <w:spacing w:val="-1"/>
                <w:sz w:val="18"/>
              </w:rPr>
              <w:t> </w:t>
            </w:r>
            <w:r>
              <w:rPr>
                <w:spacing w:val="-2"/>
                <w:sz w:val="18"/>
              </w:rPr>
              <w:t>years</w:t>
            </w:r>
          </w:p>
        </w:tc>
      </w:tr>
      <w:tr>
        <w:trPr>
          <w:trHeight w:val="1400" w:hRule="atLeast"/>
        </w:trPr>
        <w:tc>
          <w:tcPr>
            <w:tcW w:w="1702" w:type="dxa"/>
          </w:tcPr>
          <w:p>
            <w:pPr>
              <w:pStyle w:val="TableParagraph"/>
              <w:ind w:left="107"/>
              <w:rPr>
                <w:b/>
                <w:sz w:val="18"/>
              </w:rPr>
            </w:pPr>
            <w:r>
              <w:rPr>
                <w:b/>
                <w:spacing w:val="-2"/>
                <w:sz w:val="18"/>
              </w:rPr>
              <w:t>Vegetation</w:t>
            </w:r>
          </w:p>
        </w:tc>
        <w:tc>
          <w:tcPr>
            <w:tcW w:w="3509" w:type="dxa"/>
          </w:tcPr>
          <w:p>
            <w:pPr>
              <w:pStyle w:val="TableParagraph"/>
              <w:ind w:left="104"/>
              <w:rPr>
                <w:sz w:val="18"/>
              </w:rPr>
            </w:pPr>
            <w:r>
              <w:rPr>
                <w:b/>
                <w:sz w:val="18"/>
              </w:rPr>
              <w:t>MON-VEG-02</w:t>
            </w:r>
            <w:r>
              <w:rPr>
                <w:sz w:val="18"/>
              </w:rPr>
              <w:t>: Have management activities</w:t>
            </w:r>
            <w:r>
              <w:rPr>
                <w:spacing w:val="-7"/>
                <w:sz w:val="18"/>
              </w:rPr>
              <w:t> </w:t>
            </w:r>
            <w:r>
              <w:rPr>
                <w:sz w:val="18"/>
              </w:rPr>
              <w:t>met</w:t>
            </w:r>
            <w:r>
              <w:rPr>
                <w:spacing w:val="-7"/>
                <w:sz w:val="18"/>
              </w:rPr>
              <w:t> </w:t>
            </w:r>
            <w:r>
              <w:rPr>
                <w:sz w:val="18"/>
              </w:rPr>
              <w:t>forest</w:t>
            </w:r>
            <w:r>
              <w:rPr>
                <w:spacing w:val="-8"/>
                <w:sz w:val="18"/>
              </w:rPr>
              <w:t> </w:t>
            </w:r>
            <w:r>
              <w:rPr>
                <w:sz w:val="18"/>
              </w:rPr>
              <w:t>plan</w:t>
            </w:r>
            <w:r>
              <w:rPr>
                <w:spacing w:val="-8"/>
                <w:sz w:val="18"/>
              </w:rPr>
              <w:t> </w:t>
            </w:r>
            <w:r>
              <w:rPr>
                <w:sz w:val="18"/>
              </w:rPr>
              <w:t>objectives</w:t>
            </w:r>
            <w:r>
              <w:rPr>
                <w:spacing w:val="-6"/>
                <w:sz w:val="18"/>
              </w:rPr>
              <w:t> </w:t>
            </w:r>
            <w:r>
              <w:rPr>
                <w:sz w:val="18"/>
              </w:rPr>
              <w:t>and trended toward desired conditions for invasive terrestrial plant species?</w:t>
            </w:r>
          </w:p>
        </w:tc>
        <w:tc>
          <w:tcPr>
            <w:tcW w:w="2880" w:type="dxa"/>
          </w:tcPr>
          <w:p>
            <w:pPr>
              <w:pStyle w:val="TableParagraph"/>
              <w:spacing w:line="207" w:lineRule="exact"/>
              <w:ind w:left="106"/>
              <w:rPr>
                <w:sz w:val="18"/>
              </w:rPr>
            </w:pPr>
            <w:r>
              <w:rPr>
                <w:spacing w:val="-2"/>
                <w:sz w:val="18"/>
              </w:rPr>
              <w:t>FW-DC-VEG-06,</w:t>
            </w:r>
            <w:r>
              <w:rPr>
                <w:spacing w:val="23"/>
                <w:sz w:val="18"/>
              </w:rPr>
              <w:t> </w:t>
            </w:r>
            <w:r>
              <w:rPr>
                <w:spacing w:val="-2"/>
                <w:sz w:val="18"/>
              </w:rPr>
              <w:t>FW-DC-</w:t>
            </w:r>
            <w:r>
              <w:rPr>
                <w:spacing w:val="-4"/>
                <w:sz w:val="18"/>
              </w:rPr>
              <w:t>VEG-</w:t>
            </w:r>
          </w:p>
          <w:p>
            <w:pPr>
              <w:pStyle w:val="TableParagraph"/>
              <w:spacing w:line="206" w:lineRule="exact" w:before="0"/>
              <w:ind w:left="106"/>
              <w:rPr>
                <w:sz w:val="18"/>
              </w:rPr>
            </w:pPr>
            <w:r>
              <w:rPr>
                <w:sz w:val="18"/>
              </w:rPr>
              <w:t>07,</w:t>
            </w:r>
            <w:r>
              <w:rPr>
                <w:spacing w:val="-10"/>
                <w:sz w:val="18"/>
              </w:rPr>
              <w:t> </w:t>
            </w:r>
            <w:r>
              <w:rPr>
                <w:sz w:val="18"/>
              </w:rPr>
              <w:t>FW-DC-IS-</w:t>
            </w:r>
            <w:r>
              <w:rPr>
                <w:spacing w:val="-5"/>
                <w:sz w:val="18"/>
              </w:rPr>
              <w:t>01;</w:t>
            </w:r>
          </w:p>
          <w:p>
            <w:pPr>
              <w:pStyle w:val="TableParagraph"/>
              <w:spacing w:before="0"/>
              <w:ind w:left="106" w:right="241"/>
              <w:rPr>
                <w:sz w:val="18"/>
              </w:rPr>
            </w:pPr>
            <w:r>
              <w:rPr>
                <w:sz w:val="18"/>
              </w:rPr>
              <w:t>FW-OBJ-IS-01,</w:t>
            </w:r>
            <w:r>
              <w:rPr>
                <w:spacing w:val="-13"/>
                <w:sz w:val="18"/>
              </w:rPr>
              <w:t> </w:t>
            </w:r>
            <w:r>
              <w:rPr>
                <w:sz w:val="18"/>
              </w:rPr>
              <w:t>FW-OBJ-IS-02, </w:t>
            </w:r>
            <w:r>
              <w:rPr>
                <w:spacing w:val="-2"/>
                <w:sz w:val="18"/>
              </w:rPr>
              <w:t>FW-OBJ-IS-03;</w:t>
            </w:r>
          </w:p>
          <w:p>
            <w:pPr>
              <w:pStyle w:val="TableParagraph"/>
              <w:spacing w:before="1"/>
              <w:ind w:left="106" w:right="200" w:hanging="1"/>
              <w:rPr>
                <w:sz w:val="18"/>
              </w:rPr>
            </w:pPr>
            <w:r>
              <w:rPr>
                <w:sz w:val="18"/>
              </w:rPr>
              <w:t>FW-GDL-IS-01,</w:t>
            </w:r>
            <w:r>
              <w:rPr>
                <w:spacing w:val="-13"/>
                <w:sz w:val="18"/>
              </w:rPr>
              <w:t> </w:t>
            </w:r>
            <w:r>
              <w:rPr>
                <w:sz w:val="18"/>
              </w:rPr>
              <w:t>FW-GDL-IS-02, </w:t>
            </w:r>
            <w:r>
              <w:rPr>
                <w:spacing w:val="-2"/>
                <w:sz w:val="18"/>
              </w:rPr>
              <w:t>FW-GDL-IS-03</w:t>
            </w:r>
          </w:p>
        </w:tc>
        <w:tc>
          <w:tcPr>
            <w:tcW w:w="2791" w:type="dxa"/>
          </w:tcPr>
          <w:p>
            <w:pPr>
              <w:pStyle w:val="TableParagraph"/>
              <w:spacing w:before="40"/>
              <w:ind w:left="106"/>
              <w:rPr>
                <w:sz w:val="18"/>
              </w:rPr>
            </w:pPr>
            <w:r>
              <w:rPr>
                <w:b/>
                <w:sz w:val="18"/>
              </w:rPr>
              <w:t>MON-VEG-02-01</w:t>
            </w:r>
            <w:r>
              <w:rPr>
                <w:sz w:val="18"/>
              </w:rPr>
              <w:t>:</w:t>
            </w:r>
            <w:r>
              <w:rPr>
                <w:spacing w:val="-12"/>
                <w:sz w:val="18"/>
              </w:rPr>
              <w:t> </w:t>
            </w:r>
            <w:r>
              <w:rPr>
                <w:sz w:val="18"/>
              </w:rPr>
              <w:t>Acres</w:t>
            </w:r>
            <w:r>
              <w:rPr>
                <w:spacing w:val="-13"/>
                <w:sz w:val="18"/>
              </w:rPr>
              <w:t> </w:t>
            </w:r>
            <w:r>
              <w:rPr>
                <w:sz w:val="18"/>
              </w:rPr>
              <w:t>of</w:t>
            </w:r>
            <w:r>
              <w:rPr>
                <w:spacing w:val="-12"/>
                <w:sz w:val="18"/>
              </w:rPr>
              <w:t> </w:t>
            </w:r>
            <w:r>
              <w:rPr>
                <w:sz w:val="18"/>
              </w:rPr>
              <w:t>non- native invasive plants treated</w:t>
            </w:r>
          </w:p>
          <w:p>
            <w:pPr>
              <w:pStyle w:val="TableParagraph"/>
              <w:spacing w:before="0"/>
              <w:rPr>
                <w:b/>
                <w:sz w:val="18"/>
              </w:rPr>
            </w:pPr>
          </w:p>
          <w:p>
            <w:pPr>
              <w:pStyle w:val="TableParagraph"/>
              <w:spacing w:before="0"/>
              <w:ind w:left="106"/>
              <w:rPr>
                <w:sz w:val="18"/>
              </w:rPr>
            </w:pPr>
            <w:r>
              <w:rPr>
                <w:b/>
                <w:sz w:val="18"/>
              </w:rPr>
              <w:t>MON-VEG-02-02</w:t>
            </w:r>
            <w:r>
              <w:rPr>
                <w:sz w:val="18"/>
              </w:rPr>
              <w:t>:</w:t>
            </w:r>
            <w:r>
              <w:rPr>
                <w:spacing w:val="-15"/>
                <w:sz w:val="18"/>
              </w:rPr>
              <w:t> </w:t>
            </w:r>
            <w:r>
              <w:rPr>
                <w:sz w:val="18"/>
              </w:rPr>
              <w:t>Extent</w:t>
            </w:r>
            <w:r>
              <w:rPr>
                <w:spacing w:val="-12"/>
                <w:sz w:val="18"/>
              </w:rPr>
              <w:t> </w:t>
            </w:r>
            <w:r>
              <w:rPr>
                <w:sz w:val="18"/>
              </w:rPr>
              <w:t>and number of sites of new non- native invasive plant species</w:t>
            </w:r>
          </w:p>
        </w:tc>
        <w:tc>
          <w:tcPr>
            <w:tcW w:w="2059" w:type="dxa"/>
          </w:tcPr>
          <w:p>
            <w:pPr>
              <w:pStyle w:val="TableParagraph"/>
              <w:spacing w:line="720" w:lineRule="auto" w:before="40"/>
              <w:ind w:left="104" w:right="1366"/>
              <w:rPr>
                <w:sz w:val="18"/>
              </w:rPr>
            </w:pPr>
            <w:r>
              <w:rPr>
                <w:spacing w:val="-2"/>
                <w:sz w:val="18"/>
              </w:rPr>
              <w:t>Annual Annual</w:t>
            </w:r>
          </w:p>
        </w:tc>
      </w:tr>
      <w:tr>
        <w:trPr>
          <w:trHeight w:val="908" w:hRule="atLeast"/>
        </w:trPr>
        <w:tc>
          <w:tcPr>
            <w:tcW w:w="1702" w:type="dxa"/>
          </w:tcPr>
          <w:p>
            <w:pPr>
              <w:pStyle w:val="TableParagraph"/>
              <w:spacing w:before="42"/>
              <w:ind w:left="107"/>
              <w:rPr>
                <w:b/>
                <w:sz w:val="18"/>
              </w:rPr>
            </w:pPr>
            <w:r>
              <w:rPr>
                <w:b/>
                <w:spacing w:val="-2"/>
                <w:sz w:val="18"/>
              </w:rPr>
              <w:t>Vegetation</w:t>
            </w:r>
          </w:p>
        </w:tc>
        <w:tc>
          <w:tcPr>
            <w:tcW w:w="3509" w:type="dxa"/>
          </w:tcPr>
          <w:p>
            <w:pPr>
              <w:pStyle w:val="TableParagraph"/>
              <w:spacing w:before="42"/>
              <w:ind w:left="104" w:right="143"/>
              <w:rPr>
                <w:sz w:val="18"/>
              </w:rPr>
            </w:pPr>
            <w:r>
              <w:rPr>
                <w:b/>
                <w:sz w:val="18"/>
              </w:rPr>
              <w:t>MON-VEG-03</w:t>
            </w:r>
            <w:r>
              <w:rPr>
                <w:sz w:val="18"/>
              </w:rPr>
              <w:t>:</w:t>
            </w:r>
            <w:r>
              <w:rPr>
                <w:spacing w:val="-10"/>
                <w:sz w:val="18"/>
              </w:rPr>
              <w:t> </w:t>
            </w:r>
            <w:r>
              <w:rPr>
                <w:sz w:val="18"/>
              </w:rPr>
              <w:t>To</w:t>
            </w:r>
            <w:r>
              <w:rPr>
                <w:spacing w:val="-9"/>
                <w:sz w:val="18"/>
              </w:rPr>
              <w:t> </w:t>
            </w:r>
            <w:r>
              <w:rPr>
                <w:sz w:val="18"/>
              </w:rPr>
              <w:t>what</w:t>
            </w:r>
            <w:r>
              <w:rPr>
                <w:spacing w:val="-10"/>
                <w:sz w:val="18"/>
              </w:rPr>
              <w:t> </w:t>
            </w:r>
            <w:r>
              <w:rPr>
                <w:sz w:val="18"/>
              </w:rPr>
              <w:t>extent</w:t>
            </w:r>
            <w:r>
              <w:rPr>
                <w:spacing w:val="-10"/>
                <w:sz w:val="18"/>
              </w:rPr>
              <w:t> </w:t>
            </w:r>
            <w:r>
              <w:rPr>
                <w:sz w:val="18"/>
              </w:rPr>
              <w:t>are management activities moving hazardous fuels toward desired conditions within WUI?</w:t>
            </w:r>
          </w:p>
        </w:tc>
        <w:tc>
          <w:tcPr>
            <w:tcW w:w="2880" w:type="dxa"/>
          </w:tcPr>
          <w:p>
            <w:pPr>
              <w:pStyle w:val="TableParagraph"/>
              <w:spacing w:line="207" w:lineRule="exact" w:before="42"/>
              <w:ind w:left="107"/>
              <w:rPr>
                <w:sz w:val="18"/>
              </w:rPr>
            </w:pPr>
            <w:r>
              <w:rPr>
                <w:spacing w:val="-2"/>
                <w:sz w:val="18"/>
              </w:rPr>
              <w:t>FW-DC-VEG-11,</w:t>
            </w:r>
            <w:r>
              <w:rPr>
                <w:spacing w:val="23"/>
                <w:sz w:val="18"/>
              </w:rPr>
              <w:t> </w:t>
            </w:r>
            <w:r>
              <w:rPr>
                <w:spacing w:val="-2"/>
                <w:sz w:val="18"/>
              </w:rPr>
              <w:t>FW-DC-</w:t>
            </w:r>
            <w:r>
              <w:rPr>
                <w:spacing w:val="-4"/>
                <w:sz w:val="18"/>
              </w:rPr>
              <w:t>VEG-</w:t>
            </w:r>
          </w:p>
          <w:p>
            <w:pPr>
              <w:pStyle w:val="TableParagraph"/>
              <w:spacing w:before="0"/>
              <w:ind w:left="106" w:right="389"/>
              <w:rPr>
                <w:sz w:val="18"/>
              </w:rPr>
            </w:pPr>
            <w:r>
              <w:rPr>
                <w:sz w:val="18"/>
              </w:rPr>
              <w:t>12,</w:t>
            </w:r>
            <w:r>
              <w:rPr>
                <w:spacing w:val="-15"/>
                <w:sz w:val="18"/>
              </w:rPr>
              <w:t> </w:t>
            </w:r>
            <w:r>
              <w:rPr>
                <w:sz w:val="18"/>
              </w:rPr>
              <w:t>FW-DC-VEG-13,</w:t>
            </w:r>
            <w:r>
              <w:rPr>
                <w:spacing w:val="-12"/>
                <w:sz w:val="18"/>
              </w:rPr>
              <w:t> </w:t>
            </w:r>
            <w:r>
              <w:rPr>
                <w:sz w:val="18"/>
              </w:rPr>
              <w:t>FW-DC- </w:t>
            </w:r>
            <w:r>
              <w:rPr>
                <w:spacing w:val="-2"/>
                <w:sz w:val="18"/>
              </w:rPr>
              <w:t>VEG-14;</w:t>
            </w:r>
          </w:p>
          <w:p>
            <w:pPr>
              <w:pStyle w:val="TableParagraph"/>
              <w:spacing w:line="206" w:lineRule="exact" w:before="0"/>
              <w:ind w:left="106"/>
              <w:rPr>
                <w:sz w:val="18"/>
              </w:rPr>
            </w:pPr>
            <w:r>
              <w:rPr>
                <w:spacing w:val="-2"/>
                <w:sz w:val="18"/>
              </w:rPr>
              <w:t>FW-STD-VEG-</w:t>
            </w:r>
            <w:r>
              <w:rPr>
                <w:spacing w:val="-5"/>
                <w:sz w:val="18"/>
              </w:rPr>
              <w:t>01</w:t>
            </w:r>
          </w:p>
        </w:tc>
        <w:tc>
          <w:tcPr>
            <w:tcW w:w="2791" w:type="dxa"/>
          </w:tcPr>
          <w:p>
            <w:pPr>
              <w:pStyle w:val="TableParagraph"/>
              <w:spacing w:line="207" w:lineRule="exact" w:before="42"/>
              <w:ind w:left="106"/>
              <w:rPr>
                <w:sz w:val="18"/>
              </w:rPr>
            </w:pPr>
            <w:r>
              <w:rPr>
                <w:b/>
                <w:sz w:val="18"/>
              </w:rPr>
              <w:t>MON-VEG-03-01</w:t>
            </w:r>
            <w:r>
              <w:rPr>
                <w:sz w:val="18"/>
              </w:rPr>
              <w:t>:</w:t>
            </w:r>
            <w:r>
              <w:rPr>
                <w:spacing w:val="-6"/>
                <w:sz w:val="18"/>
              </w:rPr>
              <w:t> </w:t>
            </w:r>
            <w:r>
              <w:rPr>
                <w:sz w:val="18"/>
              </w:rPr>
              <w:t>Acres</w:t>
            </w:r>
            <w:r>
              <w:rPr>
                <w:spacing w:val="-7"/>
                <w:sz w:val="18"/>
              </w:rPr>
              <w:t> </w:t>
            </w:r>
            <w:r>
              <w:rPr>
                <w:spacing w:val="-5"/>
                <w:sz w:val="18"/>
              </w:rPr>
              <w:t>of</w:t>
            </w:r>
          </w:p>
          <w:p>
            <w:pPr>
              <w:pStyle w:val="TableParagraph"/>
              <w:spacing w:before="0"/>
              <w:ind w:left="106" w:right="574"/>
              <w:rPr>
                <w:sz w:val="18"/>
              </w:rPr>
            </w:pPr>
            <w:r>
              <w:rPr>
                <w:sz w:val="18"/>
              </w:rPr>
              <w:t>hazardous</w:t>
            </w:r>
            <w:r>
              <w:rPr>
                <w:spacing w:val="-15"/>
                <w:sz w:val="18"/>
              </w:rPr>
              <w:t> </w:t>
            </w:r>
            <w:r>
              <w:rPr>
                <w:sz w:val="18"/>
              </w:rPr>
              <w:t>fuel</w:t>
            </w:r>
            <w:r>
              <w:rPr>
                <w:spacing w:val="-12"/>
                <w:sz w:val="18"/>
              </w:rPr>
              <w:t> </w:t>
            </w:r>
            <w:r>
              <w:rPr>
                <w:sz w:val="18"/>
              </w:rPr>
              <w:t>treatments within the WUI</w:t>
            </w:r>
          </w:p>
        </w:tc>
        <w:tc>
          <w:tcPr>
            <w:tcW w:w="2059" w:type="dxa"/>
          </w:tcPr>
          <w:p>
            <w:pPr>
              <w:pStyle w:val="TableParagraph"/>
              <w:spacing w:before="42"/>
              <w:ind w:left="104"/>
              <w:rPr>
                <w:sz w:val="18"/>
              </w:rPr>
            </w:pPr>
            <w:r>
              <w:rPr>
                <w:spacing w:val="-2"/>
                <w:sz w:val="18"/>
              </w:rPr>
              <w:t>Annual</w:t>
            </w:r>
          </w:p>
        </w:tc>
      </w:tr>
    </w:tbl>
    <w:p>
      <w:pPr>
        <w:pStyle w:val="TableParagraph"/>
        <w:spacing w:after="0"/>
        <w:rPr>
          <w:sz w:val="18"/>
        </w:rPr>
        <w:sectPr>
          <w:headerReference w:type="default" r:id="rId79"/>
          <w:headerReference w:type="even" r:id="rId80"/>
          <w:footerReference w:type="default" r:id="rId81"/>
          <w:footerReference w:type="even" r:id="rId82"/>
          <w:pgSz w:w="15840" w:h="12240" w:orient="landscape"/>
          <w:pgMar w:header="725" w:footer="891" w:top="1440" w:bottom="1080" w:left="1440" w:right="1440"/>
          <w:pgNumType w:start="159"/>
        </w:sectPr>
      </w:pPr>
    </w:p>
    <w:p>
      <w:pPr>
        <w:pStyle w:val="BodyText"/>
        <w:spacing w:before="94"/>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shd w:val="clear" w:color="auto" w:fill="D5E2BB"/>
          </w:tcPr>
          <w:p>
            <w:pPr>
              <w:pStyle w:val="TableParagraph"/>
              <w:spacing w:before="142"/>
              <w:ind w:left="438"/>
              <w:rPr>
                <w:b/>
                <w:sz w:val="18"/>
              </w:rPr>
            </w:pPr>
            <w:r>
              <w:rPr>
                <w:b/>
                <w:spacing w:val="-2"/>
                <w:sz w:val="18"/>
              </w:rPr>
              <w:t>Resource</w:t>
            </w:r>
          </w:p>
        </w:tc>
        <w:tc>
          <w:tcPr>
            <w:tcW w:w="3509" w:type="dxa"/>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shd w:val="clear" w:color="auto" w:fill="D5E2BB"/>
          </w:tcPr>
          <w:p>
            <w:pPr>
              <w:pStyle w:val="TableParagraph"/>
              <w:spacing w:before="142"/>
              <w:ind w:left="16"/>
              <w:jc w:val="center"/>
              <w:rPr>
                <w:b/>
                <w:sz w:val="18"/>
              </w:rPr>
            </w:pPr>
            <w:r>
              <w:rPr>
                <w:b/>
                <w:spacing w:val="-2"/>
                <w:sz w:val="18"/>
              </w:rPr>
              <w:t>Indicator</w:t>
            </w:r>
          </w:p>
        </w:tc>
        <w:tc>
          <w:tcPr>
            <w:tcW w:w="2059" w:type="dxa"/>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1115" w:hRule="atLeast"/>
        </w:trPr>
        <w:tc>
          <w:tcPr>
            <w:tcW w:w="1702" w:type="dxa"/>
          </w:tcPr>
          <w:p>
            <w:pPr>
              <w:pStyle w:val="TableParagraph"/>
              <w:ind w:left="107"/>
              <w:rPr>
                <w:b/>
                <w:sz w:val="18"/>
              </w:rPr>
            </w:pPr>
            <w:r>
              <w:rPr>
                <w:b/>
                <w:spacing w:val="-2"/>
                <w:sz w:val="18"/>
              </w:rPr>
              <w:t>Vegetation</w:t>
            </w:r>
          </w:p>
        </w:tc>
        <w:tc>
          <w:tcPr>
            <w:tcW w:w="3509" w:type="dxa"/>
          </w:tcPr>
          <w:p>
            <w:pPr>
              <w:pStyle w:val="TableParagraph"/>
              <w:ind w:left="104" w:right="13"/>
              <w:rPr>
                <w:sz w:val="18"/>
              </w:rPr>
            </w:pPr>
            <w:r>
              <w:rPr>
                <w:b/>
                <w:sz w:val="18"/>
              </w:rPr>
              <w:t>MON-VEG-04</w:t>
            </w:r>
            <w:r>
              <w:rPr>
                <w:sz w:val="18"/>
              </w:rPr>
              <w:t>: To what extent is the Forest</w:t>
            </w:r>
            <w:r>
              <w:rPr>
                <w:spacing w:val="-9"/>
                <w:sz w:val="18"/>
              </w:rPr>
              <w:t> </w:t>
            </w:r>
            <w:r>
              <w:rPr>
                <w:sz w:val="18"/>
              </w:rPr>
              <w:t>meeting</w:t>
            </w:r>
            <w:r>
              <w:rPr>
                <w:spacing w:val="-7"/>
                <w:sz w:val="18"/>
              </w:rPr>
              <w:t> </w:t>
            </w:r>
            <w:r>
              <w:rPr>
                <w:sz w:val="18"/>
              </w:rPr>
              <w:t>forest</w:t>
            </w:r>
            <w:r>
              <w:rPr>
                <w:spacing w:val="-9"/>
                <w:sz w:val="18"/>
              </w:rPr>
              <w:t> </w:t>
            </w:r>
            <w:r>
              <w:rPr>
                <w:sz w:val="18"/>
              </w:rPr>
              <w:t>plan</w:t>
            </w:r>
            <w:r>
              <w:rPr>
                <w:spacing w:val="-8"/>
                <w:sz w:val="18"/>
              </w:rPr>
              <w:t> </w:t>
            </w:r>
            <w:r>
              <w:rPr>
                <w:sz w:val="18"/>
              </w:rPr>
              <w:t>objectives</w:t>
            </w:r>
            <w:r>
              <w:rPr>
                <w:spacing w:val="-7"/>
                <w:sz w:val="18"/>
              </w:rPr>
              <w:t> </w:t>
            </w:r>
            <w:r>
              <w:rPr>
                <w:sz w:val="18"/>
              </w:rPr>
              <w:t>and trending toward desired conditions to provide a mix of timber products in response to market demands?</w:t>
            </w:r>
          </w:p>
        </w:tc>
        <w:tc>
          <w:tcPr>
            <w:tcW w:w="2880" w:type="dxa"/>
          </w:tcPr>
          <w:p>
            <w:pPr>
              <w:pStyle w:val="TableParagraph"/>
              <w:ind w:left="107"/>
              <w:rPr>
                <w:sz w:val="18"/>
              </w:rPr>
            </w:pPr>
            <w:r>
              <w:rPr>
                <w:spacing w:val="-2"/>
                <w:sz w:val="18"/>
              </w:rPr>
              <w:t>FW-OBJ-VEG-</w:t>
            </w:r>
            <w:r>
              <w:rPr>
                <w:spacing w:val="-5"/>
                <w:sz w:val="18"/>
              </w:rPr>
              <w:t>01</w:t>
            </w:r>
          </w:p>
        </w:tc>
        <w:tc>
          <w:tcPr>
            <w:tcW w:w="2791" w:type="dxa"/>
          </w:tcPr>
          <w:p>
            <w:pPr>
              <w:pStyle w:val="TableParagraph"/>
              <w:spacing w:line="207" w:lineRule="exact"/>
              <w:ind w:left="107"/>
              <w:rPr>
                <w:sz w:val="18"/>
              </w:rPr>
            </w:pPr>
            <w:r>
              <w:rPr>
                <w:b/>
                <w:sz w:val="18"/>
              </w:rPr>
              <w:t>MON-VEG-04-01</w:t>
            </w:r>
            <w:r>
              <w:rPr>
                <w:sz w:val="18"/>
              </w:rPr>
              <w:t>:</w:t>
            </w:r>
            <w:r>
              <w:rPr>
                <w:spacing w:val="-10"/>
                <w:sz w:val="18"/>
              </w:rPr>
              <w:t> </w:t>
            </w:r>
            <w:r>
              <w:rPr>
                <w:spacing w:val="-4"/>
                <w:sz w:val="18"/>
              </w:rPr>
              <w:t>MMBF</w:t>
            </w:r>
          </w:p>
          <w:p>
            <w:pPr>
              <w:pStyle w:val="TableParagraph"/>
              <w:spacing w:before="0"/>
              <w:ind w:left="107" w:right="574"/>
              <w:rPr>
                <w:sz w:val="18"/>
              </w:rPr>
            </w:pPr>
            <w:r>
              <w:rPr>
                <w:sz w:val="18"/>
              </w:rPr>
              <w:t>offered</w:t>
            </w:r>
            <w:r>
              <w:rPr>
                <w:spacing w:val="-13"/>
                <w:sz w:val="18"/>
              </w:rPr>
              <w:t> </w:t>
            </w:r>
            <w:r>
              <w:rPr>
                <w:sz w:val="18"/>
              </w:rPr>
              <w:t>and</w:t>
            </w:r>
            <w:r>
              <w:rPr>
                <w:spacing w:val="-12"/>
                <w:sz w:val="18"/>
              </w:rPr>
              <w:t> </w:t>
            </w:r>
            <w:r>
              <w:rPr>
                <w:sz w:val="18"/>
              </w:rPr>
              <w:t>MMBF</w:t>
            </w:r>
            <w:r>
              <w:rPr>
                <w:spacing w:val="-13"/>
                <w:sz w:val="18"/>
              </w:rPr>
              <w:t> </w:t>
            </w:r>
            <w:r>
              <w:rPr>
                <w:sz w:val="18"/>
              </w:rPr>
              <w:t>sold </w:t>
            </w:r>
            <w:r>
              <w:rPr>
                <w:spacing w:val="-2"/>
                <w:sz w:val="18"/>
              </w:rPr>
              <w:t>annually</w:t>
            </w:r>
          </w:p>
        </w:tc>
        <w:tc>
          <w:tcPr>
            <w:tcW w:w="2059" w:type="dxa"/>
          </w:tcPr>
          <w:p>
            <w:pPr>
              <w:pStyle w:val="TableParagraph"/>
              <w:spacing w:before="40"/>
              <w:ind w:left="104"/>
              <w:rPr>
                <w:sz w:val="18"/>
              </w:rPr>
            </w:pPr>
            <w:r>
              <w:rPr>
                <w:spacing w:val="-2"/>
                <w:sz w:val="18"/>
              </w:rPr>
              <w:t>Annual</w:t>
            </w:r>
          </w:p>
        </w:tc>
      </w:tr>
      <w:tr>
        <w:trPr>
          <w:trHeight w:val="906" w:hRule="atLeast"/>
        </w:trPr>
        <w:tc>
          <w:tcPr>
            <w:tcW w:w="1702" w:type="dxa"/>
          </w:tcPr>
          <w:p>
            <w:pPr>
              <w:pStyle w:val="TableParagraph"/>
              <w:ind w:left="107"/>
              <w:rPr>
                <w:b/>
                <w:sz w:val="18"/>
              </w:rPr>
            </w:pPr>
            <w:r>
              <w:rPr>
                <w:b/>
                <w:spacing w:val="-2"/>
                <w:sz w:val="18"/>
              </w:rPr>
              <w:t>Vegetation</w:t>
            </w:r>
          </w:p>
        </w:tc>
        <w:tc>
          <w:tcPr>
            <w:tcW w:w="3509" w:type="dxa"/>
          </w:tcPr>
          <w:p>
            <w:pPr>
              <w:pStyle w:val="TableParagraph"/>
              <w:ind w:left="104" w:right="143"/>
              <w:rPr>
                <w:sz w:val="18"/>
              </w:rPr>
            </w:pPr>
            <w:r>
              <w:rPr>
                <w:b/>
                <w:sz w:val="18"/>
              </w:rPr>
              <w:t>MON-VEG-05</w:t>
            </w:r>
            <w:r>
              <w:rPr>
                <w:sz w:val="18"/>
              </w:rPr>
              <w:t>: To what extent is the Forest</w:t>
            </w:r>
            <w:r>
              <w:rPr>
                <w:spacing w:val="-11"/>
                <w:sz w:val="18"/>
              </w:rPr>
              <w:t> </w:t>
            </w:r>
            <w:r>
              <w:rPr>
                <w:sz w:val="18"/>
              </w:rPr>
              <w:t>meeting</w:t>
            </w:r>
            <w:r>
              <w:rPr>
                <w:spacing w:val="-8"/>
                <w:sz w:val="18"/>
              </w:rPr>
              <w:t> </w:t>
            </w:r>
            <w:r>
              <w:rPr>
                <w:sz w:val="18"/>
              </w:rPr>
              <w:t>NFMA</w:t>
            </w:r>
            <w:r>
              <w:rPr>
                <w:spacing w:val="-10"/>
                <w:sz w:val="18"/>
              </w:rPr>
              <w:t> </w:t>
            </w:r>
            <w:r>
              <w:rPr>
                <w:sz w:val="18"/>
              </w:rPr>
              <w:t>requirements</w:t>
            </w:r>
            <w:r>
              <w:rPr>
                <w:spacing w:val="-9"/>
                <w:sz w:val="18"/>
              </w:rPr>
              <w:t> </w:t>
            </w:r>
            <w:r>
              <w:rPr>
                <w:sz w:val="18"/>
              </w:rPr>
              <w:t>and desired conditions on size of harvest </w:t>
            </w:r>
            <w:r>
              <w:rPr>
                <w:spacing w:val="-2"/>
                <w:sz w:val="18"/>
              </w:rPr>
              <w:t>openings?</w:t>
            </w:r>
          </w:p>
        </w:tc>
        <w:tc>
          <w:tcPr>
            <w:tcW w:w="2880" w:type="dxa"/>
          </w:tcPr>
          <w:p>
            <w:pPr>
              <w:pStyle w:val="TableParagraph"/>
              <w:ind w:left="106" w:right="490"/>
              <w:rPr>
                <w:sz w:val="18"/>
              </w:rPr>
            </w:pPr>
            <w:r>
              <w:rPr>
                <w:sz w:val="18"/>
              </w:rPr>
              <w:t>FW-STD-VEG-03,</w:t>
            </w:r>
            <w:r>
              <w:rPr>
                <w:spacing w:val="-13"/>
                <w:sz w:val="18"/>
              </w:rPr>
              <w:t> </w:t>
            </w:r>
            <w:r>
              <w:rPr>
                <w:sz w:val="18"/>
              </w:rPr>
              <w:t>FW-STD- </w:t>
            </w:r>
            <w:r>
              <w:rPr>
                <w:spacing w:val="-2"/>
                <w:sz w:val="18"/>
              </w:rPr>
              <w:t>VEG-04</w:t>
            </w:r>
          </w:p>
        </w:tc>
        <w:tc>
          <w:tcPr>
            <w:tcW w:w="2791" w:type="dxa"/>
          </w:tcPr>
          <w:p>
            <w:pPr>
              <w:pStyle w:val="TableParagraph"/>
              <w:ind w:left="106" w:right="108"/>
              <w:rPr>
                <w:sz w:val="18"/>
              </w:rPr>
            </w:pPr>
            <w:r>
              <w:rPr>
                <w:b/>
                <w:sz w:val="18"/>
              </w:rPr>
              <w:t>MON-VEG-05-01</w:t>
            </w:r>
            <w:r>
              <w:rPr>
                <w:sz w:val="18"/>
              </w:rPr>
              <w:t>: Number of even-aged</w:t>
            </w:r>
            <w:r>
              <w:rPr>
                <w:spacing w:val="-15"/>
                <w:sz w:val="18"/>
              </w:rPr>
              <w:t> </w:t>
            </w:r>
            <w:r>
              <w:rPr>
                <w:sz w:val="18"/>
              </w:rPr>
              <w:t>regeneration</w:t>
            </w:r>
            <w:r>
              <w:rPr>
                <w:spacing w:val="-12"/>
                <w:sz w:val="18"/>
              </w:rPr>
              <w:t> </w:t>
            </w:r>
            <w:r>
              <w:rPr>
                <w:sz w:val="18"/>
              </w:rPr>
              <w:t>harvest units</w:t>
            </w:r>
            <w:r>
              <w:rPr>
                <w:spacing w:val="-6"/>
                <w:sz w:val="18"/>
              </w:rPr>
              <w:t> </w:t>
            </w:r>
            <w:r>
              <w:rPr>
                <w:sz w:val="18"/>
              </w:rPr>
              <w:t>exceeding</w:t>
            </w:r>
            <w:r>
              <w:rPr>
                <w:spacing w:val="-6"/>
                <w:sz w:val="18"/>
              </w:rPr>
              <w:t> </w:t>
            </w:r>
            <w:r>
              <w:rPr>
                <w:sz w:val="18"/>
              </w:rPr>
              <w:t>40</w:t>
            </w:r>
            <w:r>
              <w:rPr>
                <w:spacing w:val="-9"/>
                <w:sz w:val="18"/>
              </w:rPr>
              <w:t> </w:t>
            </w:r>
            <w:r>
              <w:rPr>
                <w:sz w:val="18"/>
              </w:rPr>
              <w:t>acres</w:t>
            </w:r>
            <w:r>
              <w:rPr>
                <w:spacing w:val="-8"/>
                <w:sz w:val="18"/>
              </w:rPr>
              <w:t> </w:t>
            </w:r>
            <w:r>
              <w:rPr>
                <w:sz w:val="18"/>
              </w:rPr>
              <w:t>in</w:t>
            </w:r>
            <w:r>
              <w:rPr>
                <w:spacing w:val="-9"/>
                <w:sz w:val="18"/>
              </w:rPr>
              <w:t> </w:t>
            </w:r>
            <w:r>
              <w:rPr>
                <w:sz w:val="18"/>
              </w:rPr>
              <w:t>size and category for exceeding</w:t>
            </w:r>
          </w:p>
        </w:tc>
        <w:tc>
          <w:tcPr>
            <w:tcW w:w="2059" w:type="dxa"/>
          </w:tcPr>
          <w:p>
            <w:pPr>
              <w:pStyle w:val="TableParagraph"/>
              <w:spacing w:before="40"/>
              <w:ind w:left="104"/>
              <w:rPr>
                <w:sz w:val="18"/>
              </w:rPr>
            </w:pPr>
            <w:r>
              <w:rPr>
                <w:spacing w:val="-2"/>
                <w:sz w:val="18"/>
              </w:rPr>
              <w:t>Annual</w:t>
            </w:r>
          </w:p>
        </w:tc>
      </w:tr>
      <w:tr>
        <w:trPr>
          <w:trHeight w:val="1321" w:hRule="atLeast"/>
        </w:trPr>
        <w:tc>
          <w:tcPr>
            <w:tcW w:w="1702" w:type="dxa"/>
          </w:tcPr>
          <w:p>
            <w:pPr>
              <w:pStyle w:val="TableParagraph"/>
              <w:spacing w:before="42"/>
              <w:ind w:left="107"/>
              <w:rPr>
                <w:b/>
                <w:sz w:val="18"/>
              </w:rPr>
            </w:pPr>
            <w:r>
              <w:rPr>
                <w:b/>
                <w:spacing w:val="-2"/>
                <w:sz w:val="18"/>
              </w:rPr>
              <w:t>Vegetation</w:t>
            </w:r>
          </w:p>
        </w:tc>
        <w:tc>
          <w:tcPr>
            <w:tcW w:w="3509" w:type="dxa"/>
          </w:tcPr>
          <w:p>
            <w:pPr>
              <w:pStyle w:val="TableParagraph"/>
              <w:ind w:left="104"/>
              <w:rPr>
                <w:sz w:val="18"/>
              </w:rPr>
            </w:pPr>
            <w:r>
              <w:rPr>
                <w:b/>
                <w:sz w:val="18"/>
              </w:rPr>
              <w:t>MON-VEG- 06</w:t>
            </w:r>
            <w:r>
              <w:rPr>
                <w:sz w:val="18"/>
              </w:rPr>
              <w:t>: To what extent are regeneration units restocked to trend toward</w:t>
            </w:r>
            <w:r>
              <w:rPr>
                <w:spacing w:val="-11"/>
                <w:sz w:val="18"/>
              </w:rPr>
              <w:t> </w:t>
            </w:r>
            <w:r>
              <w:rPr>
                <w:sz w:val="18"/>
              </w:rPr>
              <w:t>vegetation</w:t>
            </w:r>
            <w:r>
              <w:rPr>
                <w:spacing w:val="-11"/>
                <w:sz w:val="18"/>
              </w:rPr>
              <w:t> </w:t>
            </w:r>
            <w:r>
              <w:rPr>
                <w:sz w:val="18"/>
              </w:rPr>
              <w:t>desired</w:t>
            </w:r>
            <w:r>
              <w:rPr>
                <w:spacing w:val="-13"/>
                <w:sz w:val="18"/>
              </w:rPr>
              <w:t> </w:t>
            </w:r>
            <w:r>
              <w:rPr>
                <w:sz w:val="18"/>
              </w:rPr>
              <w:t>conditions?</w:t>
            </w:r>
          </w:p>
        </w:tc>
        <w:tc>
          <w:tcPr>
            <w:tcW w:w="2880" w:type="dxa"/>
          </w:tcPr>
          <w:p>
            <w:pPr>
              <w:pStyle w:val="TableParagraph"/>
              <w:spacing w:before="42"/>
              <w:ind w:left="106"/>
              <w:rPr>
                <w:sz w:val="18"/>
              </w:rPr>
            </w:pPr>
            <w:r>
              <w:rPr>
                <w:spacing w:val="-2"/>
                <w:sz w:val="18"/>
              </w:rPr>
              <w:t>FW-STD-VEG-</w:t>
            </w:r>
            <w:r>
              <w:rPr>
                <w:spacing w:val="-5"/>
                <w:sz w:val="18"/>
              </w:rPr>
              <w:t>05</w:t>
            </w:r>
          </w:p>
        </w:tc>
        <w:tc>
          <w:tcPr>
            <w:tcW w:w="2791" w:type="dxa"/>
          </w:tcPr>
          <w:p>
            <w:pPr>
              <w:pStyle w:val="TableParagraph"/>
              <w:spacing w:line="207" w:lineRule="exact" w:before="40"/>
              <w:ind w:left="106"/>
              <w:rPr>
                <w:sz w:val="18"/>
              </w:rPr>
            </w:pPr>
            <w:r>
              <w:rPr>
                <w:b/>
                <w:sz w:val="18"/>
              </w:rPr>
              <w:t>MON-VEG-06-01</w:t>
            </w:r>
            <w:r>
              <w:rPr>
                <w:sz w:val="18"/>
              </w:rPr>
              <w:t>:</w:t>
            </w:r>
            <w:r>
              <w:rPr>
                <w:spacing w:val="-6"/>
                <w:sz w:val="18"/>
              </w:rPr>
              <w:t> </w:t>
            </w:r>
            <w:r>
              <w:rPr>
                <w:sz w:val="18"/>
              </w:rPr>
              <w:t>On</w:t>
            </w:r>
            <w:r>
              <w:rPr>
                <w:spacing w:val="-7"/>
                <w:sz w:val="18"/>
              </w:rPr>
              <w:t> </w:t>
            </w:r>
            <w:r>
              <w:rPr>
                <w:spacing w:val="-4"/>
                <w:sz w:val="18"/>
              </w:rPr>
              <w:t>lands</w:t>
            </w:r>
          </w:p>
          <w:p>
            <w:pPr>
              <w:pStyle w:val="TableParagraph"/>
              <w:spacing w:before="0"/>
              <w:ind w:left="106" w:right="87"/>
              <w:rPr>
                <w:sz w:val="18"/>
              </w:rPr>
            </w:pPr>
            <w:r>
              <w:rPr>
                <w:sz w:val="18"/>
              </w:rPr>
              <w:t>suitable</w:t>
            </w:r>
            <w:r>
              <w:rPr>
                <w:spacing w:val="-13"/>
                <w:sz w:val="18"/>
              </w:rPr>
              <w:t> </w:t>
            </w:r>
            <w:r>
              <w:rPr>
                <w:sz w:val="18"/>
              </w:rPr>
              <w:t>for</w:t>
            </w:r>
            <w:r>
              <w:rPr>
                <w:spacing w:val="-11"/>
                <w:sz w:val="18"/>
              </w:rPr>
              <w:t> </w:t>
            </w:r>
            <w:r>
              <w:rPr>
                <w:sz w:val="18"/>
              </w:rPr>
              <w:t>timber</w:t>
            </w:r>
            <w:r>
              <w:rPr>
                <w:spacing w:val="-11"/>
                <w:sz w:val="18"/>
              </w:rPr>
              <w:t> </w:t>
            </w:r>
            <w:r>
              <w:rPr>
                <w:sz w:val="18"/>
              </w:rPr>
              <w:t>production, percent of acres with regeneration harvest that are adequately</w:t>
            </w:r>
            <w:r>
              <w:rPr>
                <w:spacing w:val="-12"/>
                <w:sz w:val="18"/>
              </w:rPr>
              <w:t> </w:t>
            </w:r>
            <w:r>
              <w:rPr>
                <w:sz w:val="18"/>
              </w:rPr>
              <w:t>restocked</w:t>
            </w:r>
            <w:r>
              <w:rPr>
                <w:spacing w:val="-11"/>
                <w:sz w:val="18"/>
              </w:rPr>
              <w:t> </w:t>
            </w:r>
            <w:r>
              <w:rPr>
                <w:sz w:val="18"/>
              </w:rPr>
              <w:t>within</w:t>
            </w:r>
            <w:r>
              <w:rPr>
                <w:spacing w:val="-13"/>
                <w:sz w:val="18"/>
              </w:rPr>
              <w:t> </w:t>
            </w:r>
            <w:r>
              <w:rPr>
                <w:sz w:val="18"/>
              </w:rPr>
              <w:t>5 years of harvest</w:t>
            </w:r>
          </w:p>
        </w:tc>
        <w:tc>
          <w:tcPr>
            <w:tcW w:w="2059" w:type="dxa"/>
          </w:tcPr>
          <w:p>
            <w:pPr>
              <w:pStyle w:val="TableParagraph"/>
              <w:spacing w:before="42"/>
              <w:ind w:left="104"/>
              <w:rPr>
                <w:sz w:val="18"/>
              </w:rPr>
            </w:pPr>
            <w:r>
              <w:rPr>
                <w:spacing w:val="-2"/>
                <w:sz w:val="18"/>
              </w:rPr>
              <w:t>Annual</w:t>
            </w:r>
          </w:p>
        </w:tc>
      </w:tr>
      <w:tr>
        <w:trPr>
          <w:trHeight w:val="702" w:hRule="atLeast"/>
        </w:trPr>
        <w:tc>
          <w:tcPr>
            <w:tcW w:w="1702" w:type="dxa"/>
          </w:tcPr>
          <w:p>
            <w:pPr>
              <w:pStyle w:val="TableParagraph"/>
              <w:spacing w:before="42"/>
              <w:ind w:left="107"/>
              <w:rPr>
                <w:b/>
                <w:sz w:val="18"/>
              </w:rPr>
            </w:pPr>
            <w:r>
              <w:rPr>
                <w:b/>
                <w:spacing w:val="-2"/>
                <w:sz w:val="18"/>
              </w:rPr>
              <w:t>Vegetation</w:t>
            </w:r>
          </w:p>
        </w:tc>
        <w:tc>
          <w:tcPr>
            <w:tcW w:w="3509" w:type="dxa"/>
          </w:tcPr>
          <w:p>
            <w:pPr>
              <w:pStyle w:val="TableParagraph"/>
              <w:spacing w:before="42"/>
              <w:ind w:left="104"/>
              <w:rPr>
                <w:sz w:val="18"/>
              </w:rPr>
            </w:pPr>
            <w:r>
              <w:rPr>
                <w:b/>
                <w:sz w:val="18"/>
              </w:rPr>
              <w:t>MON-VEG-07</w:t>
            </w:r>
            <w:r>
              <w:rPr>
                <w:sz w:val="18"/>
              </w:rPr>
              <w:t>:</w:t>
            </w:r>
            <w:r>
              <w:rPr>
                <w:spacing w:val="-7"/>
                <w:sz w:val="18"/>
              </w:rPr>
              <w:t> </w:t>
            </w:r>
            <w:r>
              <w:rPr>
                <w:sz w:val="18"/>
              </w:rPr>
              <w:t>Have</w:t>
            </w:r>
            <w:r>
              <w:rPr>
                <w:spacing w:val="-7"/>
                <w:sz w:val="18"/>
              </w:rPr>
              <w:t> </w:t>
            </w:r>
            <w:r>
              <w:rPr>
                <w:sz w:val="18"/>
              </w:rPr>
              <w:t>lands</w:t>
            </w:r>
            <w:r>
              <w:rPr>
                <w:spacing w:val="-8"/>
                <w:sz w:val="18"/>
              </w:rPr>
              <w:t> </w:t>
            </w:r>
            <w:r>
              <w:rPr>
                <w:sz w:val="18"/>
              </w:rPr>
              <w:t>that</w:t>
            </w:r>
            <w:r>
              <w:rPr>
                <w:spacing w:val="-7"/>
                <w:sz w:val="18"/>
              </w:rPr>
              <w:t> </w:t>
            </w:r>
            <w:r>
              <w:rPr>
                <w:sz w:val="18"/>
              </w:rPr>
              <w:t>are</w:t>
            </w:r>
            <w:r>
              <w:rPr>
                <w:spacing w:val="-7"/>
                <w:sz w:val="18"/>
              </w:rPr>
              <w:t> </w:t>
            </w:r>
            <w:r>
              <w:rPr>
                <w:sz w:val="18"/>
              </w:rPr>
              <w:t>not suitable for timber production become </w:t>
            </w:r>
            <w:r>
              <w:rPr>
                <w:spacing w:val="-2"/>
                <w:sz w:val="18"/>
              </w:rPr>
              <w:t>suitable?</w:t>
            </w:r>
          </w:p>
        </w:tc>
        <w:tc>
          <w:tcPr>
            <w:tcW w:w="2880" w:type="dxa"/>
          </w:tcPr>
          <w:p>
            <w:pPr>
              <w:pStyle w:val="TableParagraph"/>
              <w:spacing w:before="42"/>
              <w:ind w:left="107" w:right="490"/>
              <w:rPr>
                <w:sz w:val="18"/>
              </w:rPr>
            </w:pPr>
            <w:r>
              <w:rPr>
                <w:sz w:val="18"/>
              </w:rPr>
              <w:t>FW-STD-VEG-03,</w:t>
            </w:r>
            <w:r>
              <w:rPr>
                <w:spacing w:val="-13"/>
                <w:sz w:val="18"/>
              </w:rPr>
              <w:t> </w:t>
            </w:r>
            <w:r>
              <w:rPr>
                <w:sz w:val="18"/>
              </w:rPr>
              <w:t>FW-STD- </w:t>
            </w:r>
            <w:r>
              <w:rPr>
                <w:spacing w:val="-2"/>
                <w:sz w:val="18"/>
              </w:rPr>
              <w:t>VEG-06</w:t>
            </w:r>
          </w:p>
        </w:tc>
        <w:tc>
          <w:tcPr>
            <w:tcW w:w="2791" w:type="dxa"/>
          </w:tcPr>
          <w:p>
            <w:pPr>
              <w:pStyle w:val="TableParagraph"/>
              <w:spacing w:line="207" w:lineRule="exact" w:before="42"/>
              <w:ind w:left="107"/>
              <w:rPr>
                <w:sz w:val="18"/>
              </w:rPr>
            </w:pPr>
            <w:r>
              <w:rPr>
                <w:b/>
                <w:sz w:val="18"/>
              </w:rPr>
              <w:t>MON-VEG-07-01</w:t>
            </w:r>
            <w:r>
              <w:rPr>
                <w:sz w:val="18"/>
              </w:rPr>
              <w:t>:</w:t>
            </w:r>
            <w:r>
              <w:rPr>
                <w:spacing w:val="42"/>
                <w:sz w:val="18"/>
              </w:rPr>
              <w:t> </w:t>
            </w:r>
            <w:r>
              <w:rPr>
                <w:sz w:val="18"/>
              </w:rPr>
              <w:t>Acres</w:t>
            </w:r>
            <w:r>
              <w:rPr>
                <w:spacing w:val="-4"/>
                <w:sz w:val="18"/>
              </w:rPr>
              <w:t> </w:t>
            </w:r>
            <w:r>
              <w:rPr>
                <w:spacing w:val="-5"/>
                <w:sz w:val="18"/>
              </w:rPr>
              <w:t>of</w:t>
            </w:r>
          </w:p>
          <w:p>
            <w:pPr>
              <w:pStyle w:val="TableParagraph"/>
              <w:spacing w:before="0"/>
              <w:ind w:left="107" w:right="574"/>
              <w:rPr>
                <w:sz w:val="18"/>
              </w:rPr>
            </w:pPr>
            <w:r>
              <w:rPr>
                <w:sz w:val="18"/>
              </w:rPr>
              <w:t>land</w:t>
            </w:r>
            <w:r>
              <w:rPr>
                <w:spacing w:val="-13"/>
                <w:sz w:val="18"/>
              </w:rPr>
              <w:t> </w:t>
            </w:r>
            <w:r>
              <w:rPr>
                <w:sz w:val="18"/>
              </w:rPr>
              <w:t>suitable</w:t>
            </w:r>
            <w:r>
              <w:rPr>
                <w:spacing w:val="-10"/>
                <w:sz w:val="18"/>
              </w:rPr>
              <w:t> </w:t>
            </w:r>
            <w:r>
              <w:rPr>
                <w:sz w:val="18"/>
              </w:rPr>
              <w:t>for</w:t>
            </w:r>
            <w:r>
              <w:rPr>
                <w:spacing w:val="-13"/>
                <w:sz w:val="18"/>
              </w:rPr>
              <w:t> </w:t>
            </w:r>
            <w:r>
              <w:rPr>
                <w:sz w:val="18"/>
              </w:rPr>
              <w:t>timber </w:t>
            </w:r>
            <w:r>
              <w:rPr>
                <w:spacing w:val="-2"/>
                <w:sz w:val="18"/>
              </w:rPr>
              <w:t>production.</w:t>
            </w:r>
          </w:p>
        </w:tc>
        <w:tc>
          <w:tcPr>
            <w:tcW w:w="2059" w:type="dxa"/>
          </w:tcPr>
          <w:p>
            <w:pPr>
              <w:pStyle w:val="TableParagraph"/>
              <w:spacing w:before="42"/>
              <w:ind w:left="104"/>
              <w:rPr>
                <w:sz w:val="18"/>
              </w:rPr>
            </w:pPr>
            <w:r>
              <w:rPr>
                <w:sz w:val="18"/>
              </w:rPr>
              <w:t>Every</w:t>
            </w:r>
            <w:r>
              <w:rPr>
                <w:spacing w:val="-6"/>
                <w:sz w:val="18"/>
              </w:rPr>
              <w:t> </w:t>
            </w:r>
            <w:r>
              <w:rPr>
                <w:sz w:val="18"/>
              </w:rPr>
              <w:t>10</w:t>
            </w:r>
            <w:r>
              <w:rPr>
                <w:spacing w:val="-1"/>
                <w:sz w:val="18"/>
              </w:rPr>
              <w:t> </w:t>
            </w:r>
            <w:r>
              <w:rPr>
                <w:spacing w:val="-2"/>
                <w:sz w:val="18"/>
              </w:rPr>
              <w:t>years</w:t>
            </w:r>
          </w:p>
        </w:tc>
      </w:tr>
      <w:tr>
        <w:trPr>
          <w:trHeight w:val="906" w:hRule="atLeast"/>
        </w:trPr>
        <w:tc>
          <w:tcPr>
            <w:tcW w:w="1702" w:type="dxa"/>
          </w:tcPr>
          <w:p>
            <w:pPr>
              <w:pStyle w:val="TableParagraph"/>
              <w:ind w:left="107"/>
              <w:rPr>
                <w:b/>
                <w:sz w:val="18"/>
              </w:rPr>
            </w:pPr>
            <w:r>
              <w:rPr>
                <w:b/>
                <w:spacing w:val="-2"/>
                <w:sz w:val="18"/>
              </w:rPr>
              <w:t>Vegetation</w:t>
            </w:r>
          </w:p>
        </w:tc>
        <w:tc>
          <w:tcPr>
            <w:tcW w:w="3509" w:type="dxa"/>
          </w:tcPr>
          <w:p>
            <w:pPr>
              <w:pStyle w:val="TableParagraph"/>
              <w:ind w:left="104"/>
              <w:rPr>
                <w:sz w:val="18"/>
              </w:rPr>
            </w:pPr>
            <w:r>
              <w:rPr>
                <w:b/>
                <w:sz w:val="18"/>
              </w:rPr>
              <w:t>MON-VEG-08</w:t>
            </w:r>
            <w:r>
              <w:rPr>
                <w:sz w:val="18"/>
              </w:rPr>
              <w:t>:</w:t>
            </w:r>
            <w:r>
              <w:rPr>
                <w:spacing w:val="-13"/>
                <w:sz w:val="18"/>
              </w:rPr>
              <w:t> </w:t>
            </w:r>
            <w:r>
              <w:rPr>
                <w:sz w:val="18"/>
              </w:rPr>
              <w:t>Have</w:t>
            </w:r>
            <w:r>
              <w:rPr>
                <w:spacing w:val="-12"/>
                <w:sz w:val="18"/>
              </w:rPr>
              <w:t> </w:t>
            </w:r>
            <w:r>
              <w:rPr>
                <w:sz w:val="18"/>
              </w:rPr>
              <w:t>destructive</w:t>
            </w:r>
            <w:r>
              <w:rPr>
                <w:spacing w:val="-12"/>
                <w:sz w:val="18"/>
              </w:rPr>
              <w:t> </w:t>
            </w:r>
            <w:r>
              <w:rPr>
                <w:sz w:val="18"/>
              </w:rPr>
              <w:t>insects and disease organisms increased to potentially damaging levels following management activities?</w:t>
            </w:r>
          </w:p>
        </w:tc>
        <w:tc>
          <w:tcPr>
            <w:tcW w:w="2880" w:type="dxa"/>
          </w:tcPr>
          <w:p>
            <w:pPr>
              <w:pStyle w:val="TableParagraph"/>
              <w:spacing w:line="207" w:lineRule="exact"/>
              <w:ind w:left="107"/>
              <w:rPr>
                <w:sz w:val="18"/>
              </w:rPr>
            </w:pPr>
            <w:r>
              <w:rPr>
                <w:spacing w:val="-2"/>
                <w:sz w:val="18"/>
              </w:rPr>
              <w:t>FW-DC-VEG-02,</w:t>
            </w:r>
            <w:r>
              <w:rPr>
                <w:spacing w:val="23"/>
                <w:sz w:val="18"/>
              </w:rPr>
              <w:t> </w:t>
            </w:r>
            <w:r>
              <w:rPr>
                <w:spacing w:val="-2"/>
                <w:sz w:val="18"/>
              </w:rPr>
              <w:t>FW-DC-</w:t>
            </w:r>
            <w:r>
              <w:rPr>
                <w:spacing w:val="-4"/>
                <w:sz w:val="18"/>
              </w:rPr>
              <w:t>VEG-</w:t>
            </w:r>
          </w:p>
          <w:p>
            <w:pPr>
              <w:pStyle w:val="TableParagraph"/>
              <w:spacing w:line="206" w:lineRule="exact" w:before="0"/>
              <w:ind w:left="106"/>
              <w:rPr>
                <w:sz w:val="18"/>
              </w:rPr>
            </w:pPr>
            <w:r>
              <w:rPr>
                <w:sz w:val="18"/>
              </w:rPr>
              <w:t>03,</w:t>
            </w:r>
            <w:r>
              <w:rPr>
                <w:spacing w:val="-11"/>
                <w:sz w:val="18"/>
              </w:rPr>
              <w:t> </w:t>
            </w:r>
            <w:r>
              <w:rPr>
                <w:sz w:val="18"/>
              </w:rPr>
              <w:t>FW-DC-IS-01,</w:t>
            </w:r>
            <w:r>
              <w:rPr>
                <w:spacing w:val="-10"/>
                <w:sz w:val="18"/>
              </w:rPr>
              <w:t> </w:t>
            </w:r>
            <w:r>
              <w:rPr>
                <w:sz w:val="18"/>
              </w:rPr>
              <w:t>FW-DC-</w:t>
            </w:r>
            <w:r>
              <w:rPr>
                <w:spacing w:val="-4"/>
                <w:sz w:val="18"/>
              </w:rPr>
              <w:t>IPM-</w:t>
            </w:r>
          </w:p>
          <w:p>
            <w:pPr>
              <w:pStyle w:val="TableParagraph"/>
              <w:spacing w:line="206" w:lineRule="exact" w:before="0"/>
              <w:ind w:left="106"/>
              <w:rPr>
                <w:sz w:val="18"/>
              </w:rPr>
            </w:pPr>
            <w:r>
              <w:rPr>
                <w:spacing w:val="-5"/>
                <w:sz w:val="18"/>
              </w:rPr>
              <w:t>01;</w:t>
            </w:r>
          </w:p>
          <w:p>
            <w:pPr>
              <w:pStyle w:val="TableParagraph"/>
              <w:spacing w:line="207" w:lineRule="exact" w:before="0"/>
              <w:ind w:left="106"/>
              <w:rPr>
                <w:sz w:val="18"/>
              </w:rPr>
            </w:pPr>
            <w:r>
              <w:rPr>
                <w:spacing w:val="-2"/>
                <w:sz w:val="18"/>
              </w:rPr>
              <w:t>FW-STD-IPM-</w:t>
            </w:r>
            <w:r>
              <w:rPr>
                <w:spacing w:val="-5"/>
                <w:sz w:val="18"/>
              </w:rPr>
              <w:t>01</w:t>
            </w:r>
          </w:p>
        </w:tc>
        <w:tc>
          <w:tcPr>
            <w:tcW w:w="2791" w:type="dxa"/>
          </w:tcPr>
          <w:p>
            <w:pPr>
              <w:pStyle w:val="TableParagraph"/>
              <w:spacing w:line="207" w:lineRule="exact" w:before="40"/>
              <w:ind w:left="106"/>
              <w:rPr>
                <w:sz w:val="18"/>
              </w:rPr>
            </w:pPr>
            <w:r>
              <w:rPr>
                <w:b/>
                <w:sz w:val="18"/>
              </w:rPr>
              <w:t>MON-VEG-08-01</w:t>
            </w:r>
            <w:r>
              <w:rPr>
                <w:sz w:val="18"/>
              </w:rPr>
              <w:t>:</w:t>
            </w:r>
            <w:r>
              <w:rPr>
                <w:spacing w:val="41"/>
                <w:sz w:val="18"/>
              </w:rPr>
              <w:t> </w:t>
            </w:r>
            <w:r>
              <w:rPr>
                <w:spacing w:val="-4"/>
                <w:sz w:val="18"/>
              </w:rPr>
              <w:t>Acres</w:t>
            </w:r>
          </w:p>
          <w:p>
            <w:pPr>
              <w:pStyle w:val="TableParagraph"/>
              <w:spacing w:before="0"/>
              <w:ind w:left="106"/>
              <w:rPr>
                <w:sz w:val="18"/>
              </w:rPr>
            </w:pPr>
            <w:r>
              <w:rPr>
                <w:sz w:val="18"/>
              </w:rPr>
              <w:t>affected</w:t>
            </w:r>
            <w:r>
              <w:rPr>
                <w:spacing w:val="-9"/>
                <w:sz w:val="18"/>
              </w:rPr>
              <w:t> </w:t>
            </w:r>
            <w:r>
              <w:rPr>
                <w:sz w:val="18"/>
              </w:rPr>
              <w:t>by</w:t>
            </w:r>
            <w:r>
              <w:rPr>
                <w:spacing w:val="-9"/>
                <w:sz w:val="18"/>
              </w:rPr>
              <w:t> </w:t>
            </w:r>
            <w:r>
              <w:rPr>
                <w:sz w:val="18"/>
              </w:rPr>
              <w:t>insect</w:t>
            </w:r>
            <w:r>
              <w:rPr>
                <w:spacing w:val="-9"/>
                <w:sz w:val="18"/>
              </w:rPr>
              <w:t> </w:t>
            </w:r>
            <w:r>
              <w:rPr>
                <w:sz w:val="18"/>
              </w:rPr>
              <w:t>and</w:t>
            </w:r>
            <w:r>
              <w:rPr>
                <w:spacing w:val="-9"/>
                <w:sz w:val="18"/>
              </w:rPr>
              <w:t> </w:t>
            </w:r>
            <w:r>
              <w:rPr>
                <w:sz w:val="18"/>
              </w:rPr>
              <w:t>disease </w:t>
            </w:r>
            <w:r>
              <w:rPr>
                <w:spacing w:val="-2"/>
                <w:sz w:val="18"/>
              </w:rPr>
              <w:t>organisms.</w:t>
            </w:r>
          </w:p>
        </w:tc>
        <w:tc>
          <w:tcPr>
            <w:tcW w:w="2059" w:type="dxa"/>
          </w:tcPr>
          <w:p>
            <w:pPr>
              <w:pStyle w:val="TableParagraph"/>
              <w:spacing w:before="40"/>
              <w:ind w:left="104"/>
              <w:rPr>
                <w:sz w:val="18"/>
              </w:rPr>
            </w:pPr>
            <w:r>
              <w:rPr>
                <w:sz w:val="18"/>
              </w:rPr>
              <w:t>Every</w:t>
            </w:r>
            <w:r>
              <w:rPr>
                <w:spacing w:val="-5"/>
                <w:sz w:val="18"/>
              </w:rPr>
              <w:t> </w:t>
            </w:r>
            <w:r>
              <w:rPr>
                <w:sz w:val="18"/>
              </w:rPr>
              <w:t>5</w:t>
            </w:r>
            <w:r>
              <w:rPr>
                <w:spacing w:val="-1"/>
                <w:sz w:val="18"/>
              </w:rPr>
              <w:t> </w:t>
            </w:r>
            <w:r>
              <w:rPr>
                <w:spacing w:val="-2"/>
                <w:sz w:val="18"/>
              </w:rPr>
              <w:t>years</w:t>
            </w:r>
          </w:p>
        </w:tc>
      </w:tr>
      <w:tr>
        <w:trPr>
          <w:trHeight w:val="1117" w:hRule="atLeast"/>
        </w:trPr>
        <w:tc>
          <w:tcPr>
            <w:tcW w:w="1702" w:type="dxa"/>
          </w:tcPr>
          <w:p>
            <w:pPr>
              <w:pStyle w:val="TableParagraph"/>
              <w:spacing w:before="42"/>
              <w:ind w:left="107"/>
              <w:rPr>
                <w:b/>
                <w:sz w:val="18"/>
              </w:rPr>
            </w:pPr>
            <w:r>
              <w:rPr>
                <w:b/>
                <w:spacing w:val="-2"/>
                <w:sz w:val="18"/>
              </w:rPr>
              <w:t>Vegetation</w:t>
            </w:r>
          </w:p>
        </w:tc>
        <w:tc>
          <w:tcPr>
            <w:tcW w:w="3509" w:type="dxa"/>
          </w:tcPr>
          <w:p>
            <w:pPr>
              <w:pStyle w:val="TableParagraph"/>
              <w:spacing w:before="42"/>
              <w:ind w:left="104" w:right="143"/>
              <w:rPr>
                <w:sz w:val="18"/>
              </w:rPr>
            </w:pPr>
            <w:r>
              <w:rPr>
                <w:b/>
                <w:sz w:val="18"/>
              </w:rPr>
              <w:t>MON-VEG-09</w:t>
            </w:r>
            <w:r>
              <w:rPr>
                <w:sz w:val="18"/>
              </w:rPr>
              <w:t>: Are actual outputs and services</w:t>
            </w:r>
            <w:r>
              <w:rPr>
                <w:spacing w:val="-9"/>
                <w:sz w:val="18"/>
              </w:rPr>
              <w:t> </w:t>
            </w:r>
            <w:r>
              <w:rPr>
                <w:sz w:val="18"/>
              </w:rPr>
              <w:t>consistent</w:t>
            </w:r>
            <w:r>
              <w:rPr>
                <w:spacing w:val="-10"/>
                <w:sz w:val="18"/>
              </w:rPr>
              <w:t> </w:t>
            </w:r>
            <w:r>
              <w:rPr>
                <w:sz w:val="18"/>
              </w:rPr>
              <w:t>with</w:t>
            </w:r>
            <w:r>
              <w:rPr>
                <w:spacing w:val="-7"/>
                <w:sz w:val="18"/>
              </w:rPr>
              <w:t> </w:t>
            </w:r>
            <w:r>
              <w:rPr>
                <w:sz w:val="18"/>
              </w:rPr>
              <w:t>those</w:t>
            </w:r>
            <w:r>
              <w:rPr>
                <w:spacing w:val="-10"/>
                <w:sz w:val="18"/>
              </w:rPr>
              <w:t> </w:t>
            </w:r>
            <w:r>
              <w:rPr>
                <w:sz w:val="18"/>
              </w:rPr>
              <w:t>projected by the plan?</w:t>
            </w:r>
          </w:p>
        </w:tc>
        <w:tc>
          <w:tcPr>
            <w:tcW w:w="2880" w:type="dxa"/>
          </w:tcPr>
          <w:p>
            <w:pPr>
              <w:pStyle w:val="TableParagraph"/>
              <w:spacing w:before="42"/>
              <w:ind w:left="106" w:right="1299"/>
              <w:jc w:val="both"/>
              <w:rPr>
                <w:sz w:val="18"/>
              </w:rPr>
            </w:pPr>
            <w:r>
              <w:rPr>
                <w:spacing w:val="-2"/>
                <w:sz w:val="18"/>
              </w:rPr>
              <w:t>FW-OBJ-VEG-01; FW-STD-VEG-</w:t>
            </w:r>
            <w:r>
              <w:rPr>
                <w:spacing w:val="-2"/>
                <w:sz w:val="18"/>
              </w:rPr>
              <w:t>03; FW-DC-RFP-02</w:t>
            </w:r>
          </w:p>
        </w:tc>
        <w:tc>
          <w:tcPr>
            <w:tcW w:w="2791" w:type="dxa"/>
          </w:tcPr>
          <w:p>
            <w:pPr>
              <w:pStyle w:val="TableParagraph"/>
              <w:spacing w:line="207" w:lineRule="exact" w:before="42"/>
              <w:ind w:left="106"/>
              <w:rPr>
                <w:sz w:val="18"/>
              </w:rPr>
            </w:pPr>
            <w:r>
              <w:rPr>
                <w:b/>
                <w:sz w:val="18"/>
              </w:rPr>
              <w:t>MON-VEG-09-01:</w:t>
            </w:r>
            <w:r>
              <w:rPr>
                <w:b/>
                <w:spacing w:val="-9"/>
                <w:sz w:val="18"/>
              </w:rPr>
              <w:t> </w:t>
            </w:r>
            <w:r>
              <w:rPr>
                <w:sz w:val="18"/>
              </w:rPr>
              <w:t>Acres</w:t>
            </w:r>
            <w:r>
              <w:rPr>
                <w:spacing w:val="-6"/>
                <w:sz w:val="18"/>
              </w:rPr>
              <w:t> </w:t>
            </w:r>
            <w:r>
              <w:rPr>
                <w:spacing w:val="-5"/>
                <w:sz w:val="18"/>
              </w:rPr>
              <w:t>of</w:t>
            </w:r>
          </w:p>
          <w:p>
            <w:pPr>
              <w:pStyle w:val="TableParagraph"/>
              <w:spacing w:line="207" w:lineRule="exact" w:before="0"/>
              <w:ind w:left="106"/>
              <w:rPr>
                <w:sz w:val="18"/>
              </w:rPr>
            </w:pPr>
            <w:r>
              <w:rPr>
                <w:sz w:val="18"/>
              </w:rPr>
              <w:t>active</w:t>
            </w:r>
            <w:r>
              <w:rPr>
                <w:spacing w:val="-3"/>
                <w:sz w:val="18"/>
              </w:rPr>
              <w:t> </w:t>
            </w:r>
            <w:r>
              <w:rPr>
                <w:spacing w:val="-2"/>
                <w:sz w:val="18"/>
              </w:rPr>
              <w:t>management.</w:t>
            </w:r>
          </w:p>
          <w:p>
            <w:pPr>
              <w:pStyle w:val="TableParagraph"/>
              <w:spacing w:line="207" w:lineRule="exact" w:before="206"/>
              <w:ind w:left="106"/>
              <w:rPr>
                <w:sz w:val="18"/>
              </w:rPr>
            </w:pPr>
            <w:r>
              <w:rPr>
                <w:b/>
                <w:sz w:val="18"/>
              </w:rPr>
              <w:t>MON-RFP-01-01</w:t>
            </w:r>
            <w:r>
              <w:rPr>
                <w:sz w:val="18"/>
              </w:rPr>
              <w:t>:</w:t>
            </w:r>
            <w:r>
              <w:rPr>
                <w:spacing w:val="32"/>
                <w:sz w:val="18"/>
              </w:rPr>
              <w:t> </w:t>
            </w:r>
            <w:r>
              <w:rPr>
                <w:spacing w:val="-4"/>
                <w:sz w:val="18"/>
              </w:rPr>
              <w:t>MMBF</w:t>
            </w:r>
          </w:p>
          <w:p>
            <w:pPr>
              <w:pStyle w:val="TableParagraph"/>
              <w:spacing w:line="207" w:lineRule="exact" w:before="0"/>
              <w:ind w:left="106"/>
              <w:rPr>
                <w:sz w:val="18"/>
              </w:rPr>
            </w:pPr>
            <w:r>
              <w:rPr>
                <w:sz w:val="18"/>
              </w:rPr>
              <w:t>offered</w:t>
            </w:r>
            <w:r>
              <w:rPr>
                <w:spacing w:val="-2"/>
                <w:sz w:val="18"/>
              </w:rPr>
              <w:t> annually.</w:t>
            </w:r>
          </w:p>
        </w:tc>
        <w:tc>
          <w:tcPr>
            <w:tcW w:w="2059" w:type="dxa"/>
          </w:tcPr>
          <w:p>
            <w:pPr>
              <w:pStyle w:val="TableParagraph"/>
              <w:spacing w:before="42"/>
              <w:ind w:left="104"/>
              <w:rPr>
                <w:sz w:val="18"/>
              </w:rPr>
            </w:pPr>
            <w:r>
              <w:rPr>
                <w:spacing w:val="-2"/>
                <w:sz w:val="18"/>
              </w:rPr>
              <w:t>Annual</w:t>
            </w:r>
          </w:p>
        </w:tc>
      </w:tr>
    </w:tbl>
    <w:p>
      <w:pPr>
        <w:pStyle w:val="TableParagraph"/>
        <w:spacing w:after="0"/>
        <w:rPr>
          <w:sz w:val="18"/>
        </w:rPr>
        <w:sectPr>
          <w:pgSz w:w="15840" w:h="12240" w:orient="landscape"/>
          <w:pgMar w:header="725" w:footer="891" w:top="1440" w:bottom="1080" w:left="1440" w:right="1440"/>
        </w:sectPr>
      </w:pPr>
    </w:p>
    <w:p>
      <w:pPr>
        <w:pStyle w:val="BodyText"/>
        <w:spacing w:before="94"/>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5254" w:hRule="atLeast"/>
        </w:trPr>
        <w:tc>
          <w:tcPr>
            <w:tcW w:w="1702" w:type="dxa"/>
            <w:tcBorders>
              <w:top w:val="single" w:sz="18" w:space="0" w:color="9BBA58"/>
            </w:tcBorders>
          </w:tcPr>
          <w:p>
            <w:pPr>
              <w:pStyle w:val="TableParagraph"/>
              <w:ind w:left="107"/>
              <w:rPr>
                <w:b/>
                <w:sz w:val="18"/>
              </w:rPr>
            </w:pPr>
            <w:r>
              <w:rPr>
                <w:b/>
                <w:spacing w:val="-2"/>
                <w:sz w:val="18"/>
              </w:rPr>
              <w:t>Watershed</w:t>
            </w:r>
          </w:p>
        </w:tc>
        <w:tc>
          <w:tcPr>
            <w:tcW w:w="3509" w:type="dxa"/>
            <w:tcBorders>
              <w:top w:val="single" w:sz="18" w:space="0" w:color="9BBA58"/>
            </w:tcBorders>
          </w:tcPr>
          <w:p>
            <w:pPr>
              <w:pStyle w:val="TableParagraph"/>
              <w:ind w:left="104" w:right="113"/>
              <w:rPr>
                <w:sz w:val="18"/>
              </w:rPr>
            </w:pPr>
            <w:r>
              <w:rPr>
                <w:b/>
                <w:sz w:val="18"/>
              </w:rPr>
              <w:t>MON-WTS-01</w:t>
            </w:r>
            <w:r>
              <w:rPr>
                <w:sz w:val="18"/>
              </w:rPr>
              <w:t>:</w:t>
            </w:r>
            <w:r>
              <w:rPr>
                <w:spacing w:val="-12"/>
                <w:sz w:val="18"/>
              </w:rPr>
              <w:t> </w:t>
            </w:r>
            <w:r>
              <w:rPr>
                <w:sz w:val="18"/>
              </w:rPr>
              <w:t>Are</w:t>
            </w:r>
            <w:r>
              <w:rPr>
                <w:spacing w:val="-11"/>
                <w:sz w:val="18"/>
              </w:rPr>
              <w:t> </w:t>
            </w:r>
            <w:r>
              <w:rPr>
                <w:sz w:val="18"/>
              </w:rPr>
              <w:t>management</w:t>
            </w:r>
            <w:r>
              <w:rPr>
                <w:spacing w:val="-12"/>
                <w:sz w:val="18"/>
              </w:rPr>
              <w:t> </w:t>
            </w:r>
            <w:r>
              <w:rPr>
                <w:sz w:val="18"/>
              </w:rPr>
              <w:t>actions contributing to improved watershed condition class within focus, key, and priority watersheds, and other watersheds identified for restoration?</w:t>
            </w:r>
          </w:p>
        </w:tc>
        <w:tc>
          <w:tcPr>
            <w:tcW w:w="2880" w:type="dxa"/>
            <w:tcBorders>
              <w:top w:val="single" w:sz="18" w:space="0" w:color="9BBA58"/>
            </w:tcBorders>
          </w:tcPr>
          <w:p>
            <w:pPr>
              <w:pStyle w:val="TableParagraph"/>
              <w:spacing w:line="207" w:lineRule="exact"/>
              <w:ind w:left="107"/>
              <w:rPr>
                <w:sz w:val="18"/>
              </w:rPr>
            </w:pPr>
            <w:r>
              <w:rPr>
                <w:spacing w:val="-2"/>
                <w:sz w:val="18"/>
              </w:rPr>
              <w:t>FW-DC-WR-01,</w:t>
            </w:r>
            <w:r>
              <w:rPr>
                <w:spacing w:val="15"/>
                <w:sz w:val="18"/>
              </w:rPr>
              <w:t> </w:t>
            </w:r>
            <w:r>
              <w:rPr>
                <w:spacing w:val="-2"/>
                <w:sz w:val="18"/>
              </w:rPr>
              <w:t>FW-DC-WR-</w:t>
            </w:r>
            <w:r>
              <w:rPr>
                <w:spacing w:val="-5"/>
                <w:sz w:val="18"/>
              </w:rPr>
              <w:t>02,</w:t>
            </w:r>
          </w:p>
          <w:p>
            <w:pPr>
              <w:pStyle w:val="TableParagraph"/>
              <w:spacing w:line="207" w:lineRule="exact" w:before="0"/>
              <w:ind w:left="106"/>
              <w:rPr>
                <w:sz w:val="18"/>
              </w:rPr>
            </w:pPr>
            <w:r>
              <w:rPr>
                <w:sz w:val="18"/>
              </w:rPr>
              <w:t>FW-DC-WR-03,</w:t>
            </w:r>
            <w:r>
              <w:rPr>
                <w:spacing w:val="-12"/>
                <w:sz w:val="18"/>
              </w:rPr>
              <w:t> </w:t>
            </w:r>
            <w:r>
              <w:rPr>
                <w:sz w:val="18"/>
              </w:rPr>
              <w:t>FW-DC-04,</w:t>
            </w:r>
            <w:r>
              <w:rPr>
                <w:spacing w:val="-12"/>
                <w:sz w:val="18"/>
              </w:rPr>
              <w:t> </w:t>
            </w:r>
            <w:r>
              <w:rPr>
                <w:spacing w:val="-5"/>
                <w:sz w:val="18"/>
              </w:rPr>
              <w:t>FW-</w:t>
            </w:r>
          </w:p>
          <w:p>
            <w:pPr>
              <w:pStyle w:val="TableParagraph"/>
              <w:spacing w:line="207" w:lineRule="exact" w:before="2"/>
              <w:ind w:left="106"/>
              <w:rPr>
                <w:sz w:val="18"/>
              </w:rPr>
            </w:pPr>
            <w:r>
              <w:rPr>
                <w:spacing w:val="-2"/>
                <w:sz w:val="18"/>
              </w:rPr>
              <w:t>DC-WR-05,</w:t>
            </w:r>
            <w:r>
              <w:rPr>
                <w:spacing w:val="5"/>
                <w:sz w:val="18"/>
              </w:rPr>
              <w:t> </w:t>
            </w:r>
            <w:r>
              <w:rPr>
                <w:spacing w:val="-2"/>
                <w:sz w:val="18"/>
              </w:rPr>
              <w:t>FW-DC-WR-06,</w:t>
            </w:r>
            <w:r>
              <w:rPr>
                <w:spacing w:val="8"/>
                <w:sz w:val="18"/>
              </w:rPr>
              <w:t> </w:t>
            </w:r>
            <w:r>
              <w:rPr>
                <w:spacing w:val="-5"/>
                <w:sz w:val="18"/>
              </w:rPr>
              <w:t>FW-</w:t>
            </w:r>
          </w:p>
          <w:p>
            <w:pPr>
              <w:pStyle w:val="TableParagraph"/>
              <w:spacing w:line="206" w:lineRule="exact" w:before="0"/>
              <w:ind w:left="106"/>
              <w:rPr>
                <w:sz w:val="18"/>
              </w:rPr>
            </w:pPr>
            <w:r>
              <w:rPr>
                <w:spacing w:val="-2"/>
                <w:sz w:val="18"/>
              </w:rPr>
              <w:t>DC-WR-07,</w:t>
            </w:r>
            <w:r>
              <w:rPr>
                <w:spacing w:val="5"/>
                <w:sz w:val="18"/>
              </w:rPr>
              <w:t> </w:t>
            </w:r>
            <w:r>
              <w:rPr>
                <w:spacing w:val="-2"/>
                <w:sz w:val="18"/>
              </w:rPr>
              <w:t>FW-DC-WR-08,</w:t>
            </w:r>
            <w:r>
              <w:rPr>
                <w:spacing w:val="8"/>
                <w:sz w:val="18"/>
              </w:rPr>
              <w:t> </w:t>
            </w:r>
            <w:r>
              <w:rPr>
                <w:spacing w:val="-5"/>
                <w:sz w:val="18"/>
              </w:rPr>
              <w:t>FW-</w:t>
            </w:r>
          </w:p>
          <w:p>
            <w:pPr>
              <w:pStyle w:val="TableParagraph"/>
              <w:spacing w:line="206" w:lineRule="exact" w:before="0"/>
              <w:ind w:left="106"/>
              <w:rPr>
                <w:sz w:val="18"/>
              </w:rPr>
            </w:pPr>
            <w:r>
              <w:rPr>
                <w:spacing w:val="-2"/>
                <w:sz w:val="18"/>
              </w:rPr>
              <w:t>DC-WR-18,</w:t>
            </w:r>
            <w:r>
              <w:rPr>
                <w:spacing w:val="11"/>
                <w:sz w:val="18"/>
              </w:rPr>
              <w:t> </w:t>
            </w:r>
            <w:r>
              <w:rPr>
                <w:spacing w:val="-2"/>
                <w:sz w:val="18"/>
              </w:rPr>
              <w:t>FW-DC-WR-</w:t>
            </w:r>
            <w:r>
              <w:rPr>
                <w:spacing w:val="-5"/>
                <w:sz w:val="18"/>
              </w:rPr>
              <w:t>19;</w:t>
            </w:r>
          </w:p>
          <w:p>
            <w:pPr>
              <w:pStyle w:val="TableParagraph"/>
              <w:spacing w:line="207" w:lineRule="exact" w:before="0"/>
              <w:ind w:left="106"/>
              <w:rPr>
                <w:sz w:val="18"/>
              </w:rPr>
            </w:pPr>
            <w:r>
              <w:rPr>
                <w:spacing w:val="-2"/>
                <w:sz w:val="18"/>
              </w:rPr>
              <w:t>FW-OBJ-WR-03,</w:t>
            </w:r>
            <w:r>
              <w:rPr>
                <w:spacing w:val="25"/>
                <w:sz w:val="18"/>
              </w:rPr>
              <w:t> </w:t>
            </w:r>
            <w:r>
              <w:rPr>
                <w:spacing w:val="-2"/>
                <w:sz w:val="18"/>
              </w:rPr>
              <w:t>FW-OBJ-</w:t>
            </w:r>
            <w:r>
              <w:rPr>
                <w:spacing w:val="-5"/>
                <w:sz w:val="18"/>
              </w:rPr>
              <w:t>WR-</w:t>
            </w:r>
          </w:p>
          <w:p>
            <w:pPr>
              <w:pStyle w:val="TableParagraph"/>
              <w:spacing w:line="207" w:lineRule="exact" w:before="1"/>
              <w:ind w:left="106"/>
              <w:rPr>
                <w:sz w:val="18"/>
              </w:rPr>
            </w:pPr>
            <w:r>
              <w:rPr>
                <w:sz w:val="18"/>
              </w:rPr>
              <w:t>04,</w:t>
            </w:r>
            <w:r>
              <w:rPr>
                <w:spacing w:val="-6"/>
                <w:sz w:val="18"/>
              </w:rPr>
              <w:t> </w:t>
            </w:r>
            <w:r>
              <w:rPr>
                <w:sz w:val="18"/>
              </w:rPr>
              <w:t>FW-OBJ-WR-05,</w:t>
            </w:r>
            <w:r>
              <w:rPr>
                <w:spacing w:val="-7"/>
                <w:sz w:val="18"/>
              </w:rPr>
              <w:t> </w:t>
            </w:r>
            <w:r>
              <w:rPr>
                <w:sz w:val="18"/>
              </w:rPr>
              <w:t>FW-</w:t>
            </w:r>
            <w:r>
              <w:rPr>
                <w:spacing w:val="-4"/>
                <w:sz w:val="18"/>
              </w:rPr>
              <w:t>OBJ-</w:t>
            </w:r>
          </w:p>
          <w:p>
            <w:pPr>
              <w:pStyle w:val="TableParagraph"/>
              <w:spacing w:line="206" w:lineRule="exact" w:before="0"/>
              <w:ind w:left="106"/>
              <w:rPr>
                <w:sz w:val="18"/>
              </w:rPr>
            </w:pPr>
            <w:r>
              <w:rPr>
                <w:sz w:val="18"/>
              </w:rPr>
              <w:t>WR-06,</w:t>
            </w:r>
            <w:r>
              <w:rPr>
                <w:spacing w:val="-7"/>
                <w:sz w:val="18"/>
              </w:rPr>
              <w:t> </w:t>
            </w:r>
            <w:r>
              <w:rPr>
                <w:sz w:val="18"/>
              </w:rPr>
              <w:t>FW-OBJ-WR-07,</w:t>
            </w:r>
            <w:r>
              <w:rPr>
                <w:spacing w:val="-8"/>
                <w:sz w:val="18"/>
              </w:rPr>
              <w:t> </w:t>
            </w:r>
            <w:r>
              <w:rPr>
                <w:spacing w:val="-5"/>
                <w:sz w:val="18"/>
              </w:rPr>
              <w:t>FW-</w:t>
            </w:r>
          </w:p>
          <w:p>
            <w:pPr>
              <w:pStyle w:val="TableParagraph"/>
              <w:spacing w:line="206" w:lineRule="exact" w:before="0"/>
              <w:ind w:left="106"/>
              <w:rPr>
                <w:sz w:val="18"/>
              </w:rPr>
            </w:pPr>
            <w:r>
              <w:rPr>
                <w:sz w:val="18"/>
              </w:rPr>
              <w:t>OBJ-WR-08,</w:t>
            </w:r>
            <w:r>
              <w:rPr>
                <w:spacing w:val="-9"/>
                <w:sz w:val="18"/>
              </w:rPr>
              <w:t> </w:t>
            </w:r>
            <w:r>
              <w:rPr>
                <w:sz w:val="18"/>
              </w:rPr>
              <w:t>FW-OBJ-WR-</w:t>
            </w:r>
            <w:r>
              <w:rPr>
                <w:spacing w:val="-5"/>
                <w:sz w:val="18"/>
              </w:rPr>
              <w:t>09,</w:t>
            </w:r>
          </w:p>
          <w:p>
            <w:pPr>
              <w:pStyle w:val="TableParagraph"/>
              <w:spacing w:before="0"/>
              <w:ind w:left="106" w:right="227"/>
              <w:rPr>
                <w:sz w:val="18"/>
              </w:rPr>
            </w:pPr>
            <w:r>
              <w:rPr>
                <w:sz w:val="18"/>
              </w:rPr>
              <w:t>FW-OBJ-WR-10,</w:t>
            </w:r>
            <w:r>
              <w:rPr>
                <w:spacing w:val="-13"/>
                <w:sz w:val="18"/>
              </w:rPr>
              <w:t> </w:t>
            </w:r>
            <w:r>
              <w:rPr>
                <w:sz w:val="18"/>
              </w:rPr>
              <w:t>FW-OBJ-WR- </w:t>
            </w:r>
            <w:r>
              <w:rPr>
                <w:spacing w:val="-4"/>
                <w:sz w:val="18"/>
              </w:rPr>
              <w:t>11;</w:t>
            </w:r>
          </w:p>
          <w:p>
            <w:pPr>
              <w:pStyle w:val="TableParagraph"/>
              <w:spacing w:line="207" w:lineRule="exact" w:before="1"/>
              <w:ind w:left="106"/>
              <w:jc w:val="both"/>
              <w:rPr>
                <w:sz w:val="18"/>
              </w:rPr>
            </w:pPr>
            <w:r>
              <w:rPr>
                <w:spacing w:val="-2"/>
                <w:sz w:val="18"/>
              </w:rPr>
              <w:t>FW-STD-WR-01,</w:t>
            </w:r>
            <w:r>
              <w:rPr>
                <w:spacing w:val="7"/>
                <w:sz w:val="18"/>
              </w:rPr>
              <w:t> </w:t>
            </w:r>
            <w:r>
              <w:rPr>
                <w:spacing w:val="-2"/>
                <w:sz w:val="18"/>
              </w:rPr>
              <w:t>FW-STD-</w:t>
            </w:r>
            <w:r>
              <w:rPr>
                <w:spacing w:val="-5"/>
                <w:sz w:val="18"/>
              </w:rPr>
              <w:t>WR-</w:t>
            </w:r>
          </w:p>
          <w:p>
            <w:pPr>
              <w:pStyle w:val="TableParagraph"/>
              <w:spacing w:before="0"/>
              <w:ind w:left="106" w:right="271" w:hanging="1"/>
              <w:jc w:val="both"/>
              <w:rPr>
                <w:sz w:val="18"/>
              </w:rPr>
            </w:pPr>
            <w:r>
              <w:rPr>
                <w:sz w:val="18"/>
              </w:rPr>
              <w:t>02,</w:t>
            </w:r>
            <w:r>
              <w:rPr>
                <w:spacing w:val="-15"/>
                <w:sz w:val="18"/>
              </w:rPr>
              <w:t> </w:t>
            </w:r>
            <w:r>
              <w:rPr>
                <w:sz w:val="18"/>
              </w:rPr>
              <w:t>FW-STD-WR-03,</w:t>
            </w:r>
            <w:r>
              <w:rPr>
                <w:spacing w:val="-12"/>
                <w:sz w:val="18"/>
              </w:rPr>
              <w:t> </w:t>
            </w:r>
            <w:r>
              <w:rPr>
                <w:sz w:val="18"/>
              </w:rPr>
              <w:t>FW-STD- </w:t>
            </w:r>
            <w:r>
              <w:rPr>
                <w:spacing w:val="-2"/>
                <w:sz w:val="18"/>
              </w:rPr>
              <w:t>WR-04;</w:t>
            </w:r>
          </w:p>
          <w:p>
            <w:pPr>
              <w:pStyle w:val="TableParagraph"/>
              <w:spacing w:before="0"/>
              <w:ind w:left="106" w:right="492"/>
              <w:jc w:val="both"/>
              <w:rPr>
                <w:sz w:val="18"/>
              </w:rPr>
            </w:pPr>
            <w:r>
              <w:rPr>
                <w:sz w:val="18"/>
              </w:rPr>
              <w:t>MA-OBJ-RMA-01,</w:t>
            </w:r>
            <w:r>
              <w:rPr>
                <w:spacing w:val="-13"/>
                <w:sz w:val="18"/>
              </w:rPr>
              <w:t> </w:t>
            </w:r>
            <w:r>
              <w:rPr>
                <w:sz w:val="18"/>
              </w:rPr>
              <w:t>MA-OBJ- RMA-02, MA-OBJ-RMA-03; MA-STD-RMA-03,</w:t>
            </w:r>
            <w:r>
              <w:rPr>
                <w:spacing w:val="-13"/>
                <w:sz w:val="18"/>
              </w:rPr>
              <w:t> </w:t>
            </w:r>
            <w:r>
              <w:rPr>
                <w:sz w:val="18"/>
              </w:rPr>
              <w:t>MA-</w:t>
            </w:r>
            <w:r>
              <w:rPr>
                <w:spacing w:val="-4"/>
                <w:sz w:val="18"/>
              </w:rPr>
              <w:t>STD-</w:t>
            </w:r>
          </w:p>
          <w:p>
            <w:pPr>
              <w:pStyle w:val="TableParagraph"/>
              <w:spacing w:before="0"/>
              <w:ind w:left="106" w:right="96"/>
              <w:jc w:val="both"/>
              <w:rPr>
                <w:sz w:val="18"/>
              </w:rPr>
            </w:pPr>
            <w:r>
              <w:rPr>
                <w:sz w:val="18"/>
              </w:rPr>
              <w:t>RMA-04,</w:t>
            </w:r>
            <w:r>
              <w:rPr>
                <w:spacing w:val="-15"/>
                <w:sz w:val="18"/>
              </w:rPr>
              <w:t> </w:t>
            </w:r>
            <w:r>
              <w:rPr>
                <w:sz w:val="18"/>
              </w:rPr>
              <w:t>MA-STD-RMA-05,</w:t>
            </w:r>
            <w:r>
              <w:rPr>
                <w:spacing w:val="-12"/>
                <w:sz w:val="18"/>
              </w:rPr>
              <w:t> </w:t>
            </w:r>
            <w:r>
              <w:rPr>
                <w:sz w:val="18"/>
              </w:rPr>
              <w:t>MW- STD-RMA-07,</w:t>
            </w:r>
            <w:r>
              <w:rPr>
                <w:spacing w:val="-13"/>
                <w:sz w:val="18"/>
              </w:rPr>
              <w:t> </w:t>
            </w:r>
            <w:r>
              <w:rPr>
                <w:sz w:val="18"/>
              </w:rPr>
              <w:t>MA-STD-RMA-07, </w:t>
            </w:r>
            <w:r>
              <w:rPr>
                <w:spacing w:val="-2"/>
                <w:sz w:val="18"/>
              </w:rPr>
              <w:t>MA-STD-RMA-08;</w:t>
            </w:r>
          </w:p>
          <w:p>
            <w:pPr>
              <w:pStyle w:val="TableParagraph"/>
              <w:spacing w:before="1"/>
              <w:ind w:left="106" w:right="89" w:hanging="1"/>
              <w:rPr>
                <w:sz w:val="18"/>
              </w:rPr>
            </w:pPr>
            <w:r>
              <w:rPr>
                <w:sz w:val="18"/>
              </w:rPr>
              <w:t>MA-GDL-RMA-03, MA-GDL- RMA-04, MA-GDL-RMA-05, MA- GDL-RMA-06,</w:t>
            </w:r>
            <w:r>
              <w:rPr>
                <w:spacing w:val="-13"/>
                <w:sz w:val="18"/>
              </w:rPr>
              <w:t> </w:t>
            </w:r>
            <w:r>
              <w:rPr>
                <w:sz w:val="18"/>
              </w:rPr>
              <w:t>MA-GDL-RMA-07, MA-GDL-RMA-08, MA-GDL- RMA-09, MA-GDL-RMA-10</w:t>
            </w:r>
          </w:p>
        </w:tc>
        <w:tc>
          <w:tcPr>
            <w:tcW w:w="2791" w:type="dxa"/>
            <w:tcBorders>
              <w:top w:val="single" w:sz="18" w:space="0" w:color="9BBA58"/>
            </w:tcBorders>
          </w:tcPr>
          <w:p>
            <w:pPr>
              <w:pStyle w:val="TableParagraph"/>
              <w:ind w:left="106"/>
              <w:rPr>
                <w:sz w:val="18"/>
              </w:rPr>
            </w:pPr>
            <w:r>
              <w:rPr>
                <w:b/>
                <w:sz w:val="18"/>
              </w:rPr>
              <w:t>MON-WTS-01-01</w:t>
            </w:r>
            <w:r>
              <w:rPr>
                <w:sz w:val="18"/>
              </w:rPr>
              <w:t>:</w:t>
            </w:r>
            <w:r>
              <w:rPr>
                <w:spacing w:val="-15"/>
                <w:sz w:val="18"/>
              </w:rPr>
              <w:t> </w:t>
            </w:r>
            <w:r>
              <w:rPr>
                <w:sz w:val="18"/>
              </w:rPr>
              <w:t>Change</w:t>
            </w:r>
            <w:r>
              <w:rPr>
                <w:spacing w:val="-12"/>
                <w:sz w:val="18"/>
              </w:rPr>
              <w:t> </w:t>
            </w:r>
            <w:r>
              <w:rPr>
                <w:sz w:val="18"/>
              </w:rPr>
              <w:t>in watershed condition class</w:t>
            </w:r>
          </w:p>
        </w:tc>
        <w:tc>
          <w:tcPr>
            <w:tcW w:w="2059" w:type="dxa"/>
            <w:tcBorders>
              <w:top w:val="single" w:sz="18" w:space="0" w:color="9BBA58"/>
            </w:tcBorders>
          </w:tcPr>
          <w:p>
            <w:pPr>
              <w:pStyle w:val="TableParagraph"/>
              <w:ind w:left="104"/>
              <w:rPr>
                <w:sz w:val="18"/>
              </w:rPr>
            </w:pPr>
            <w:r>
              <w:rPr>
                <w:sz w:val="18"/>
              </w:rPr>
              <w:t>Every</w:t>
            </w:r>
            <w:r>
              <w:rPr>
                <w:spacing w:val="-5"/>
                <w:sz w:val="18"/>
              </w:rPr>
              <w:t> </w:t>
            </w:r>
            <w:r>
              <w:rPr>
                <w:sz w:val="18"/>
              </w:rPr>
              <w:t>5</w:t>
            </w:r>
            <w:r>
              <w:rPr>
                <w:spacing w:val="-1"/>
                <w:sz w:val="18"/>
              </w:rPr>
              <w:t> </w:t>
            </w:r>
            <w:r>
              <w:rPr>
                <w:spacing w:val="-2"/>
                <w:sz w:val="18"/>
              </w:rPr>
              <w:t>years</w:t>
            </w:r>
          </w:p>
        </w:tc>
      </w:tr>
    </w:tbl>
    <w:p>
      <w:pPr>
        <w:pStyle w:val="TableParagraph"/>
        <w:spacing w:after="0"/>
        <w:rPr>
          <w:sz w:val="18"/>
        </w:rPr>
        <w:sectPr>
          <w:pgSz w:w="15840" w:h="12240" w:orient="landscape"/>
          <w:pgMar w:header="725" w:footer="891" w:top="1440" w:bottom="1080" w:left="1440" w:right="1440"/>
        </w:sectPr>
      </w:pPr>
    </w:p>
    <w:p>
      <w:pPr>
        <w:pStyle w:val="BodyText"/>
        <w:spacing w:before="82"/>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shd w:val="clear" w:color="auto" w:fill="D5E2BB"/>
          </w:tcPr>
          <w:p>
            <w:pPr>
              <w:pStyle w:val="TableParagraph"/>
              <w:spacing w:before="142"/>
              <w:ind w:left="438"/>
              <w:rPr>
                <w:b/>
                <w:sz w:val="18"/>
              </w:rPr>
            </w:pPr>
            <w:r>
              <w:rPr>
                <w:b/>
                <w:spacing w:val="-2"/>
                <w:sz w:val="18"/>
              </w:rPr>
              <w:t>Resource</w:t>
            </w:r>
          </w:p>
        </w:tc>
        <w:tc>
          <w:tcPr>
            <w:tcW w:w="3509" w:type="dxa"/>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shd w:val="clear" w:color="auto" w:fill="D5E2BB"/>
          </w:tcPr>
          <w:p>
            <w:pPr>
              <w:pStyle w:val="TableParagraph"/>
              <w:spacing w:before="142"/>
              <w:ind w:left="16"/>
              <w:jc w:val="center"/>
              <w:rPr>
                <w:b/>
                <w:sz w:val="18"/>
              </w:rPr>
            </w:pPr>
            <w:r>
              <w:rPr>
                <w:b/>
                <w:spacing w:val="-2"/>
                <w:sz w:val="18"/>
              </w:rPr>
              <w:t>Indicator</w:t>
            </w:r>
          </w:p>
        </w:tc>
        <w:tc>
          <w:tcPr>
            <w:tcW w:w="2059" w:type="dxa"/>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3183" w:hRule="atLeast"/>
        </w:trPr>
        <w:tc>
          <w:tcPr>
            <w:tcW w:w="1702" w:type="dxa"/>
          </w:tcPr>
          <w:p>
            <w:pPr>
              <w:pStyle w:val="TableParagraph"/>
              <w:ind w:left="107"/>
              <w:rPr>
                <w:b/>
                <w:sz w:val="18"/>
              </w:rPr>
            </w:pPr>
            <w:r>
              <w:rPr>
                <w:b/>
                <w:spacing w:val="-2"/>
                <w:sz w:val="18"/>
              </w:rPr>
              <w:t>Watershed</w:t>
            </w:r>
          </w:p>
        </w:tc>
        <w:tc>
          <w:tcPr>
            <w:tcW w:w="3509" w:type="dxa"/>
          </w:tcPr>
          <w:p>
            <w:pPr>
              <w:pStyle w:val="TableParagraph"/>
              <w:ind w:left="104"/>
              <w:rPr>
                <w:sz w:val="18"/>
              </w:rPr>
            </w:pPr>
            <w:r>
              <w:rPr>
                <w:b/>
                <w:sz w:val="18"/>
              </w:rPr>
              <w:t>MON-WTS-02</w:t>
            </w:r>
            <w:r>
              <w:rPr>
                <w:sz w:val="18"/>
              </w:rPr>
              <w:t>:</w:t>
            </w:r>
            <w:r>
              <w:rPr>
                <w:spacing w:val="-6"/>
                <w:sz w:val="18"/>
              </w:rPr>
              <w:t> </w:t>
            </w:r>
            <w:r>
              <w:rPr>
                <w:sz w:val="18"/>
              </w:rPr>
              <w:t>Are</w:t>
            </w:r>
            <w:r>
              <w:rPr>
                <w:spacing w:val="-5"/>
                <w:sz w:val="18"/>
              </w:rPr>
              <w:t> </w:t>
            </w:r>
            <w:r>
              <w:rPr>
                <w:sz w:val="18"/>
              </w:rPr>
              <w:t>management</w:t>
            </w:r>
            <w:r>
              <w:rPr>
                <w:spacing w:val="-6"/>
                <w:sz w:val="18"/>
              </w:rPr>
              <w:t> </w:t>
            </w:r>
            <w:r>
              <w:rPr>
                <w:sz w:val="18"/>
              </w:rPr>
              <w:t>actions reducing road impacts to watershed and aquatic</w:t>
            </w:r>
            <w:r>
              <w:rPr>
                <w:spacing w:val="-9"/>
                <w:sz w:val="18"/>
              </w:rPr>
              <w:t> </w:t>
            </w:r>
            <w:r>
              <w:rPr>
                <w:sz w:val="18"/>
              </w:rPr>
              <w:t>habitat</w:t>
            </w:r>
            <w:r>
              <w:rPr>
                <w:spacing w:val="-8"/>
                <w:sz w:val="18"/>
              </w:rPr>
              <w:t> </w:t>
            </w:r>
            <w:r>
              <w:rPr>
                <w:sz w:val="18"/>
              </w:rPr>
              <w:t>function</w:t>
            </w:r>
            <w:r>
              <w:rPr>
                <w:spacing w:val="-7"/>
                <w:sz w:val="18"/>
              </w:rPr>
              <w:t> </w:t>
            </w:r>
            <w:r>
              <w:rPr>
                <w:sz w:val="18"/>
              </w:rPr>
              <w:t>and</w:t>
            </w:r>
            <w:r>
              <w:rPr>
                <w:spacing w:val="-7"/>
                <w:sz w:val="18"/>
              </w:rPr>
              <w:t> </w:t>
            </w:r>
            <w:r>
              <w:rPr>
                <w:sz w:val="18"/>
              </w:rPr>
              <w:t>water</w:t>
            </w:r>
            <w:r>
              <w:rPr>
                <w:spacing w:val="-8"/>
                <w:sz w:val="18"/>
              </w:rPr>
              <w:t> </w:t>
            </w:r>
            <w:r>
              <w:rPr>
                <w:sz w:val="18"/>
              </w:rPr>
              <w:t>quality within all watersheds across the Forest? Within Key, Focus, and Priority </w:t>
            </w:r>
            <w:r>
              <w:rPr>
                <w:spacing w:val="-2"/>
                <w:sz w:val="18"/>
              </w:rPr>
              <w:t>Watersheds?</w:t>
            </w:r>
          </w:p>
        </w:tc>
        <w:tc>
          <w:tcPr>
            <w:tcW w:w="2880" w:type="dxa"/>
          </w:tcPr>
          <w:p>
            <w:pPr>
              <w:pStyle w:val="TableParagraph"/>
              <w:spacing w:line="207" w:lineRule="exact"/>
              <w:ind w:left="106"/>
              <w:rPr>
                <w:sz w:val="18"/>
              </w:rPr>
            </w:pPr>
            <w:r>
              <w:rPr>
                <w:spacing w:val="-2"/>
                <w:sz w:val="18"/>
              </w:rPr>
              <w:t>FW-DC-WR-</w:t>
            </w:r>
            <w:r>
              <w:rPr>
                <w:spacing w:val="-5"/>
                <w:sz w:val="18"/>
              </w:rPr>
              <w:t>17;</w:t>
            </w:r>
          </w:p>
          <w:p>
            <w:pPr>
              <w:pStyle w:val="TableParagraph"/>
              <w:spacing w:before="0"/>
              <w:ind w:left="106" w:right="227"/>
              <w:rPr>
                <w:sz w:val="18"/>
              </w:rPr>
            </w:pPr>
            <w:r>
              <w:rPr>
                <w:sz w:val="18"/>
              </w:rPr>
              <w:t>FW-OBJ-WR-03,</w:t>
            </w:r>
            <w:r>
              <w:rPr>
                <w:spacing w:val="-13"/>
                <w:sz w:val="18"/>
              </w:rPr>
              <w:t> </w:t>
            </w:r>
            <w:r>
              <w:rPr>
                <w:sz w:val="18"/>
              </w:rPr>
              <w:t>FW-OBJ-WR- </w:t>
            </w:r>
            <w:r>
              <w:rPr>
                <w:spacing w:val="-4"/>
                <w:sz w:val="18"/>
              </w:rPr>
              <w:t>06;</w:t>
            </w:r>
          </w:p>
          <w:p>
            <w:pPr>
              <w:pStyle w:val="TableParagraph"/>
              <w:spacing w:before="0"/>
              <w:ind w:left="107" w:right="207" w:hanging="1"/>
              <w:rPr>
                <w:sz w:val="18"/>
              </w:rPr>
            </w:pPr>
            <w:r>
              <w:rPr>
                <w:sz w:val="18"/>
              </w:rPr>
              <w:t>FW-STD-WR-04,</w:t>
            </w:r>
            <w:r>
              <w:rPr>
                <w:spacing w:val="-13"/>
                <w:sz w:val="18"/>
              </w:rPr>
              <w:t> </w:t>
            </w:r>
            <w:r>
              <w:rPr>
                <w:sz w:val="18"/>
              </w:rPr>
              <w:t>FW-STD-WR- </w:t>
            </w:r>
            <w:r>
              <w:rPr>
                <w:spacing w:val="-4"/>
                <w:sz w:val="18"/>
              </w:rPr>
              <w:t>05;</w:t>
            </w:r>
          </w:p>
          <w:p>
            <w:pPr>
              <w:pStyle w:val="TableParagraph"/>
              <w:spacing w:line="207" w:lineRule="exact" w:before="0"/>
              <w:ind w:left="107"/>
              <w:rPr>
                <w:sz w:val="18"/>
              </w:rPr>
            </w:pPr>
            <w:r>
              <w:rPr>
                <w:spacing w:val="-2"/>
                <w:sz w:val="18"/>
              </w:rPr>
              <w:t>FW-GDL-WR-</w:t>
            </w:r>
            <w:r>
              <w:rPr>
                <w:spacing w:val="-5"/>
                <w:sz w:val="18"/>
              </w:rPr>
              <w:t>04;</w:t>
            </w:r>
          </w:p>
          <w:p>
            <w:pPr>
              <w:pStyle w:val="TableParagraph"/>
              <w:spacing w:before="0"/>
              <w:ind w:left="106" w:right="1301"/>
              <w:rPr>
                <w:sz w:val="18"/>
              </w:rPr>
            </w:pPr>
            <w:r>
              <w:rPr>
                <w:spacing w:val="-2"/>
                <w:sz w:val="18"/>
              </w:rPr>
              <w:t>MA-DC-RMA-04; MA-OBJ-RMA-</w:t>
            </w:r>
            <w:r>
              <w:rPr>
                <w:spacing w:val="-5"/>
                <w:sz w:val="18"/>
              </w:rPr>
              <w:t>02;</w:t>
            </w:r>
          </w:p>
          <w:p>
            <w:pPr>
              <w:pStyle w:val="TableParagraph"/>
              <w:spacing w:before="1"/>
              <w:ind w:left="106" w:right="473"/>
              <w:jc w:val="both"/>
              <w:rPr>
                <w:sz w:val="18"/>
              </w:rPr>
            </w:pPr>
            <w:r>
              <w:rPr>
                <w:sz w:val="18"/>
              </w:rPr>
              <w:t>MA-STD-RMA-05,</w:t>
            </w:r>
            <w:r>
              <w:rPr>
                <w:spacing w:val="-13"/>
                <w:sz w:val="18"/>
              </w:rPr>
              <w:t> </w:t>
            </w:r>
            <w:r>
              <w:rPr>
                <w:sz w:val="18"/>
              </w:rPr>
              <w:t>MA-STD- RMA-06, MA-STD-RMA-07; </w:t>
            </w:r>
            <w:r>
              <w:rPr>
                <w:spacing w:val="-2"/>
                <w:sz w:val="18"/>
              </w:rPr>
              <w:t>MA-GDL-RMA-04,</w:t>
            </w:r>
            <w:r>
              <w:rPr>
                <w:spacing w:val="19"/>
                <w:sz w:val="18"/>
              </w:rPr>
              <w:t> </w:t>
            </w:r>
            <w:r>
              <w:rPr>
                <w:spacing w:val="-2"/>
                <w:sz w:val="18"/>
              </w:rPr>
              <w:t>MA-</w:t>
            </w:r>
            <w:r>
              <w:rPr>
                <w:spacing w:val="-4"/>
                <w:sz w:val="18"/>
              </w:rPr>
              <w:t>GDL-</w:t>
            </w:r>
          </w:p>
          <w:p>
            <w:pPr>
              <w:pStyle w:val="TableParagraph"/>
              <w:spacing w:before="0"/>
              <w:ind w:left="106" w:right="89"/>
              <w:rPr>
                <w:sz w:val="18"/>
              </w:rPr>
            </w:pPr>
            <w:r>
              <w:rPr>
                <w:sz w:val="18"/>
              </w:rPr>
              <w:t>RMA-05, MA-GDL-RMA-06, MA- GDL-RMA-07,</w:t>
            </w:r>
            <w:r>
              <w:rPr>
                <w:spacing w:val="-13"/>
                <w:sz w:val="18"/>
              </w:rPr>
              <w:t> </w:t>
            </w:r>
            <w:r>
              <w:rPr>
                <w:sz w:val="18"/>
              </w:rPr>
              <w:t>MA-GDL-RMA-08, MA-GDL-RMA-09, MA-GDL- </w:t>
            </w:r>
            <w:r>
              <w:rPr>
                <w:spacing w:val="-2"/>
                <w:sz w:val="18"/>
              </w:rPr>
              <w:t>RMA-10</w:t>
            </w:r>
          </w:p>
        </w:tc>
        <w:tc>
          <w:tcPr>
            <w:tcW w:w="2791" w:type="dxa"/>
          </w:tcPr>
          <w:p>
            <w:pPr>
              <w:pStyle w:val="TableParagraph"/>
              <w:spacing w:line="207" w:lineRule="exact" w:before="40"/>
              <w:ind w:left="107"/>
              <w:rPr>
                <w:sz w:val="18"/>
              </w:rPr>
            </w:pPr>
            <w:r>
              <w:rPr>
                <w:b/>
                <w:sz w:val="18"/>
              </w:rPr>
              <w:t>MON-WTS-02-01</w:t>
            </w:r>
            <w:r>
              <w:rPr>
                <w:sz w:val="18"/>
              </w:rPr>
              <w:t>:</w:t>
            </w:r>
            <w:r>
              <w:rPr>
                <w:spacing w:val="-10"/>
                <w:sz w:val="18"/>
              </w:rPr>
              <w:t> </w:t>
            </w:r>
            <w:r>
              <w:rPr>
                <w:sz w:val="18"/>
              </w:rPr>
              <w:t>Miles</w:t>
            </w:r>
            <w:r>
              <w:rPr>
                <w:spacing w:val="-7"/>
                <w:sz w:val="18"/>
              </w:rPr>
              <w:t> </w:t>
            </w:r>
            <w:r>
              <w:rPr>
                <w:spacing w:val="-5"/>
                <w:sz w:val="18"/>
              </w:rPr>
              <w:t>of</w:t>
            </w:r>
          </w:p>
          <w:p>
            <w:pPr>
              <w:pStyle w:val="TableParagraph"/>
              <w:spacing w:before="0"/>
              <w:ind w:left="106" w:right="316"/>
              <w:rPr>
                <w:sz w:val="18"/>
              </w:rPr>
            </w:pPr>
            <w:r>
              <w:rPr>
                <w:sz w:val="18"/>
              </w:rPr>
              <w:t>roads treated that are a high risk</w:t>
            </w:r>
            <w:r>
              <w:rPr>
                <w:spacing w:val="-9"/>
                <w:sz w:val="18"/>
              </w:rPr>
              <w:t> </w:t>
            </w:r>
            <w:r>
              <w:rPr>
                <w:sz w:val="18"/>
              </w:rPr>
              <w:t>to</w:t>
            </w:r>
            <w:r>
              <w:rPr>
                <w:spacing w:val="-7"/>
                <w:sz w:val="18"/>
              </w:rPr>
              <w:t> </w:t>
            </w:r>
            <w:r>
              <w:rPr>
                <w:sz w:val="18"/>
              </w:rPr>
              <w:t>watershed</w:t>
            </w:r>
            <w:r>
              <w:rPr>
                <w:spacing w:val="-10"/>
                <w:sz w:val="18"/>
              </w:rPr>
              <w:t> </w:t>
            </w:r>
            <w:r>
              <w:rPr>
                <w:sz w:val="18"/>
              </w:rPr>
              <w:t>and</w:t>
            </w:r>
            <w:r>
              <w:rPr>
                <w:spacing w:val="-10"/>
                <w:sz w:val="18"/>
              </w:rPr>
              <w:t> </w:t>
            </w:r>
            <w:r>
              <w:rPr>
                <w:sz w:val="18"/>
              </w:rPr>
              <w:t>aquatic habitat function.</w:t>
            </w:r>
          </w:p>
        </w:tc>
        <w:tc>
          <w:tcPr>
            <w:tcW w:w="2059" w:type="dxa"/>
          </w:tcPr>
          <w:p>
            <w:pPr>
              <w:pStyle w:val="TableParagraph"/>
              <w:spacing w:before="40"/>
              <w:ind w:left="104"/>
              <w:rPr>
                <w:sz w:val="18"/>
              </w:rPr>
            </w:pPr>
            <w:r>
              <w:rPr>
                <w:spacing w:val="-2"/>
                <w:sz w:val="18"/>
              </w:rPr>
              <w:t>Annual</w:t>
            </w:r>
          </w:p>
        </w:tc>
      </w:tr>
      <w:tr>
        <w:trPr>
          <w:trHeight w:val="881" w:hRule="atLeast"/>
        </w:trPr>
        <w:tc>
          <w:tcPr>
            <w:tcW w:w="1702" w:type="dxa"/>
            <w:vMerge w:val="restart"/>
          </w:tcPr>
          <w:p>
            <w:pPr>
              <w:pStyle w:val="TableParagraph"/>
              <w:ind w:left="107"/>
              <w:rPr>
                <w:b/>
                <w:sz w:val="18"/>
              </w:rPr>
            </w:pPr>
            <w:r>
              <w:rPr>
                <w:b/>
                <w:spacing w:val="-2"/>
                <w:sz w:val="18"/>
              </w:rPr>
              <w:t>Watershed</w:t>
            </w:r>
          </w:p>
        </w:tc>
        <w:tc>
          <w:tcPr>
            <w:tcW w:w="3509" w:type="dxa"/>
            <w:vMerge w:val="restart"/>
          </w:tcPr>
          <w:p>
            <w:pPr>
              <w:pStyle w:val="TableParagraph"/>
              <w:ind w:left="104" w:right="60"/>
              <w:rPr>
                <w:sz w:val="18"/>
              </w:rPr>
            </w:pPr>
            <w:r>
              <w:rPr>
                <w:b/>
                <w:sz w:val="18"/>
              </w:rPr>
              <w:t>MON-WTS-03</w:t>
            </w:r>
            <w:r>
              <w:rPr>
                <w:sz w:val="18"/>
              </w:rPr>
              <w:t>:</w:t>
            </w:r>
            <w:r>
              <w:rPr>
                <w:spacing w:val="-12"/>
                <w:sz w:val="18"/>
              </w:rPr>
              <w:t> </w:t>
            </w:r>
            <w:r>
              <w:rPr>
                <w:sz w:val="18"/>
              </w:rPr>
              <w:t>Are</w:t>
            </w:r>
            <w:r>
              <w:rPr>
                <w:spacing w:val="-11"/>
                <w:sz w:val="18"/>
              </w:rPr>
              <w:t> </w:t>
            </w:r>
            <w:r>
              <w:rPr>
                <w:sz w:val="18"/>
              </w:rPr>
              <w:t>management</w:t>
            </w:r>
            <w:r>
              <w:rPr>
                <w:spacing w:val="-12"/>
                <w:sz w:val="18"/>
              </w:rPr>
              <w:t> </w:t>
            </w:r>
            <w:r>
              <w:rPr>
                <w:sz w:val="18"/>
              </w:rPr>
              <w:t>actions improving key riparian processes within Riparian Management Areas?</w:t>
            </w:r>
          </w:p>
        </w:tc>
        <w:tc>
          <w:tcPr>
            <w:tcW w:w="2880" w:type="dxa"/>
            <w:tcBorders>
              <w:bottom w:val="nil"/>
            </w:tcBorders>
          </w:tcPr>
          <w:p>
            <w:pPr>
              <w:pStyle w:val="TableParagraph"/>
              <w:spacing w:line="207" w:lineRule="exact"/>
              <w:ind w:left="107"/>
              <w:rPr>
                <w:sz w:val="18"/>
              </w:rPr>
            </w:pPr>
            <w:r>
              <w:rPr>
                <w:spacing w:val="-2"/>
                <w:sz w:val="18"/>
              </w:rPr>
              <w:t>MA-DC-RMA-</w:t>
            </w:r>
            <w:r>
              <w:rPr>
                <w:spacing w:val="-5"/>
                <w:sz w:val="18"/>
              </w:rPr>
              <w:t>02;</w:t>
            </w:r>
          </w:p>
          <w:p>
            <w:pPr>
              <w:pStyle w:val="TableParagraph"/>
              <w:spacing w:before="0"/>
              <w:ind w:left="107" w:right="511"/>
              <w:rPr>
                <w:sz w:val="18"/>
              </w:rPr>
            </w:pPr>
            <w:r>
              <w:rPr>
                <w:sz w:val="18"/>
              </w:rPr>
              <w:t>MA-OBJ-RMA-01,</w:t>
            </w:r>
            <w:r>
              <w:rPr>
                <w:spacing w:val="-13"/>
                <w:sz w:val="18"/>
              </w:rPr>
              <w:t> </w:t>
            </w:r>
            <w:r>
              <w:rPr>
                <w:sz w:val="18"/>
              </w:rPr>
              <w:t>MA-</w:t>
            </w:r>
            <w:r>
              <w:rPr>
                <w:sz w:val="18"/>
              </w:rPr>
              <w:t>OBJ- RMA-02,</w:t>
            </w:r>
            <w:r>
              <w:rPr>
                <w:spacing w:val="-12"/>
                <w:sz w:val="18"/>
              </w:rPr>
              <w:t> </w:t>
            </w:r>
            <w:r>
              <w:rPr>
                <w:sz w:val="18"/>
              </w:rPr>
              <w:t>MA-OBJ-RMA-</w:t>
            </w:r>
            <w:r>
              <w:rPr>
                <w:spacing w:val="-5"/>
                <w:sz w:val="18"/>
              </w:rPr>
              <w:t>03;</w:t>
            </w:r>
          </w:p>
          <w:p>
            <w:pPr>
              <w:pStyle w:val="TableParagraph"/>
              <w:spacing w:line="200" w:lineRule="exact" w:before="1"/>
              <w:ind w:left="107"/>
              <w:rPr>
                <w:sz w:val="18"/>
              </w:rPr>
            </w:pPr>
            <w:r>
              <w:rPr>
                <w:sz w:val="18"/>
              </w:rPr>
              <w:t>MA-STD-RMA-01,</w:t>
            </w:r>
            <w:r>
              <w:rPr>
                <w:spacing w:val="-11"/>
                <w:sz w:val="18"/>
              </w:rPr>
              <w:t> </w:t>
            </w:r>
            <w:r>
              <w:rPr>
                <w:sz w:val="18"/>
              </w:rPr>
              <w:t>MA-</w:t>
            </w:r>
            <w:r>
              <w:rPr>
                <w:spacing w:val="-4"/>
                <w:sz w:val="18"/>
              </w:rPr>
              <w:t>STD-</w:t>
            </w:r>
          </w:p>
        </w:tc>
        <w:tc>
          <w:tcPr>
            <w:tcW w:w="2791" w:type="dxa"/>
            <w:tcBorders>
              <w:bottom w:val="nil"/>
            </w:tcBorders>
          </w:tcPr>
          <w:p>
            <w:pPr>
              <w:pStyle w:val="TableParagraph"/>
              <w:spacing w:line="207" w:lineRule="exact"/>
              <w:ind w:left="107"/>
              <w:rPr>
                <w:sz w:val="18"/>
              </w:rPr>
            </w:pPr>
            <w:r>
              <w:rPr>
                <w:b/>
                <w:sz w:val="18"/>
              </w:rPr>
              <w:t>MON-WTR-03-01</w:t>
            </w:r>
            <w:r>
              <w:rPr>
                <w:sz w:val="18"/>
              </w:rPr>
              <w:t>:</w:t>
            </w:r>
            <w:r>
              <w:rPr>
                <w:spacing w:val="-8"/>
                <w:sz w:val="18"/>
              </w:rPr>
              <w:t> </w:t>
            </w:r>
            <w:r>
              <w:rPr>
                <w:sz w:val="18"/>
              </w:rPr>
              <w:t>Acres</w:t>
            </w:r>
            <w:r>
              <w:rPr>
                <w:spacing w:val="-7"/>
                <w:sz w:val="18"/>
              </w:rPr>
              <w:t> </w:t>
            </w:r>
            <w:r>
              <w:rPr>
                <w:spacing w:val="-5"/>
                <w:sz w:val="18"/>
              </w:rPr>
              <w:t>or</w:t>
            </w:r>
          </w:p>
          <w:p>
            <w:pPr>
              <w:pStyle w:val="TableParagraph"/>
              <w:spacing w:before="0"/>
              <w:ind w:left="107"/>
              <w:rPr>
                <w:sz w:val="18"/>
              </w:rPr>
            </w:pPr>
            <w:r>
              <w:rPr>
                <w:sz w:val="18"/>
              </w:rPr>
              <w:t>miles</w:t>
            </w:r>
            <w:r>
              <w:rPr>
                <w:spacing w:val="-11"/>
                <w:sz w:val="18"/>
              </w:rPr>
              <w:t> </w:t>
            </w:r>
            <w:r>
              <w:rPr>
                <w:sz w:val="18"/>
              </w:rPr>
              <w:t>of</w:t>
            </w:r>
            <w:r>
              <w:rPr>
                <w:spacing w:val="-12"/>
                <w:sz w:val="18"/>
              </w:rPr>
              <w:t> </w:t>
            </w:r>
            <w:r>
              <w:rPr>
                <w:sz w:val="18"/>
              </w:rPr>
              <w:t>watershed</w:t>
            </w:r>
            <w:r>
              <w:rPr>
                <w:spacing w:val="-11"/>
                <w:sz w:val="18"/>
              </w:rPr>
              <w:t> </w:t>
            </w:r>
            <w:r>
              <w:rPr>
                <w:sz w:val="18"/>
              </w:rPr>
              <w:t>restoration activities accomplished, by</w:t>
            </w:r>
          </w:p>
          <w:p>
            <w:pPr>
              <w:pStyle w:val="TableParagraph"/>
              <w:spacing w:line="200" w:lineRule="exact" w:before="1"/>
              <w:ind w:left="107"/>
              <w:rPr>
                <w:sz w:val="18"/>
              </w:rPr>
            </w:pPr>
            <w:r>
              <w:rPr>
                <w:spacing w:val="-2"/>
                <w:sz w:val="18"/>
              </w:rPr>
              <w:t>subwatershed</w:t>
            </w:r>
          </w:p>
        </w:tc>
        <w:tc>
          <w:tcPr>
            <w:tcW w:w="2059" w:type="dxa"/>
            <w:tcBorders>
              <w:bottom w:val="nil"/>
            </w:tcBorders>
          </w:tcPr>
          <w:p>
            <w:pPr>
              <w:pStyle w:val="TableParagraph"/>
              <w:ind w:left="104"/>
              <w:rPr>
                <w:sz w:val="18"/>
              </w:rPr>
            </w:pPr>
            <w:r>
              <w:rPr>
                <w:spacing w:val="-2"/>
                <w:sz w:val="18"/>
              </w:rPr>
              <w:t>Annual</w:t>
            </w:r>
          </w:p>
        </w:tc>
      </w:tr>
      <w:tr>
        <w:trPr>
          <w:trHeight w:val="874" w:hRule="atLeast"/>
        </w:trPr>
        <w:tc>
          <w:tcPr>
            <w:tcW w:w="1702" w:type="dxa"/>
            <w:vMerge/>
            <w:tcBorders>
              <w:top w:val="nil"/>
            </w:tcBorders>
          </w:tcPr>
          <w:p>
            <w:pPr>
              <w:rPr>
                <w:sz w:val="2"/>
                <w:szCs w:val="2"/>
              </w:rPr>
            </w:pPr>
          </w:p>
        </w:tc>
        <w:tc>
          <w:tcPr>
            <w:tcW w:w="3509" w:type="dxa"/>
            <w:vMerge/>
            <w:tcBorders>
              <w:top w:val="nil"/>
            </w:tcBorders>
          </w:tcPr>
          <w:p>
            <w:pPr>
              <w:rPr>
                <w:sz w:val="2"/>
                <w:szCs w:val="2"/>
              </w:rPr>
            </w:pPr>
          </w:p>
        </w:tc>
        <w:tc>
          <w:tcPr>
            <w:tcW w:w="2880" w:type="dxa"/>
            <w:tcBorders>
              <w:top w:val="nil"/>
            </w:tcBorders>
          </w:tcPr>
          <w:p>
            <w:pPr>
              <w:pStyle w:val="TableParagraph"/>
              <w:spacing w:before="7"/>
              <w:ind w:left="106" w:right="151"/>
              <w:rPr>
                <w:sz w:val="18"/>
              </w:rPr>
            </w:pPr>
            <w:r>
              <w:rPr>
                <w:sz w:val="18"/>
              </w:rPr>
              <w:t>RMA-04,</w:t>
            </w:r>
            <w:r>
              <w:rPr>
                <w:spacing w:val="-15"/>
                <w:sz w:val="18"/>
              </w:rPr>
              <w:t> </w:t>
            </w:r>
            <w:r>
              <w:rPr>
                <w:sz w:val="18"/>
              </w:rPr>
              <w:t>MA-STD-RMA-05,</w:t>
            </w:r>
            <w:r>
              <w:rPr>
                <w:spacing w:val="-12"/>
                <w:sz w:val="18"/>
              </w:rPr>
              <w:t> </w:t>
            </w:r>
            <w:r>
              <w:rPr>
                <w:sz w:val="18"/>
              </w:rPr>
              <w:t>MA- </w:t>
            </w:r>
            <w:r>
              <w:rPr>
                <w:spacing w:val="-2"/>
                <w:sz w:val="18"/>
              </w:rPr>
              <w:t>STD-RMA-06,</w:t>
            </w:r>
            <w:r>
              <w:rPr>
                <w:spacing w:val="29"/>
                <w:sz w:val="18"/>
              </w:rPr>
              <w:t> </w:t>
            </w:r>
            <w:r>
              <w:rPr>
                <w:spacing w:val="-2"/>
                <w:sz w:val="18"/>
              </w:rPr>
              <w:t>MA-STD-RMA-</w:t>
            </w:r>
            <w:r>
              <w:rPr>
                <w:spacing w:val="-5"/>
                <w:sz w:val="18"/>
              </w:rPr>
              <w:t>07</w:t>
            </w:r>
          </w:p>
        </w:tc>
        <w:tc>
          <w:tcPr>
            <w:tcW w:w="2791" w:type="dxa"/>
            <w:tcBorders>
              <w:top w:val="nil"/>
            </w:tcBorders>
          </w:tcPr>
          <w:p>
            <w:pPr>
              <w:pStyle w:val="TableParagraph"/>
              <w:spacing w:before="7"/>
              <w:ind w:left="106" w:right="87"/>
              <w:rPr>
                <w:sz w:val="18"/>
              </w:rPr>
            </w:pPr>
            <w:r>
              <w:rPr>
                <w:b/>
                <w:sz w:val="18"/>
              </w:rPr>
              <w:t>MON-WTR-03-02</w:t>
            </w:r>
            <w:r>
              <w:rPr>
                <w:sz w:val="18"/>
              </w:rPr>
              <w:t>: Percent of subwatersheds</w:t>
            </w:r>
            <w:r>
              <w:rPr>
                <w:spacing w:val="-15"/>
                <w:sz w:val="18"/>
              </w:rPr>
              <w:t> </w:t>
            </w:r>
            <w:r>
              <w:rPr>
                <w:sz w:val="18"/>
              </w:rPr>
              <w:t>trended</w:t>
            </w:r>
            <w:r>
              <w:rPr>
                <w:spacing w:val="-12"/>
                <w:sz w:val="18"/>
              </w:rPr>
              <w:t> </w:t>
            </w:r>
            <w:r>
              <w:rPr>
                <w:sz w:val="18"/>
              </w:rPr>
              <w:t>toward an improved condition.</w:t>
            </w:r>
          </w:p>
        </w:tc>
        <w:tc>
          <w:tcPr>
            <w:tcW w:w="2059" w:type="dxa"/>
            <w:tcBorders>
              <w:top w:val="nil"/>
            </w:tcBorders>
          </w:tcPr>
          <w:p>
            <w:pPr>
              <w:pStyle w:val="TableParagraph"/>
              <w:spacing w:before="7"/>
              <w:ind w:left="104" w:right="259"/>
              <w:rPr>
                <w:sz w:val="18"/>
              </w:rPr>
            </w:pPr>
            <w:r>
              <w:rPr>
                <w:sz w:val="18"/>
              </w:rPr>
              <w:t>Every</w:t>
            </w:r>
            <w:r>
              <w:rPr>
                <w:spacing w:val="-3"/>
                <w:sz w:val="18"/>
              </w:rPr>
              <w:t> </w:t>
            </w:r>
            <w:r>
              <w:rPr>
                <w:sz w:val="18"/>
              </w:rPr>
              <w:t>5</w:t>
            </w:r>
            <w:r>
              <w:rPr>
                <w:spacing w:val="-1"/>
                <w:sz w:val="18"/>
              </w:rPr>
              <w:t> </w:t>
            </w:r>
            <w:r>
              <w:rPr>
                <w:sz w:val="18"/>
              </w:rPr>
              <w:t>years</w:t>
            </w:r>
            <w:r>
              <w:rPr>
                <w:spacing w:val="-1"/>
                <w:sz w:val="18"/>
              </w:rPr>
              <w:t> </w:t>
            </w:r>
            <w:r>
              <w:rPr>
                <w:sz w:val="18"/>
              </w:rPr>
              <w:t>(PIBO EM-comparison of reference</w:t>
            </w:r>
            <w:r>
              <w:rPr>
                <w:spacing w:val="-13"/>
                <w:sz w:val="18"/>
              </w:rPr>
              <w:t> </w:t>
            </w:r>
            <w:r>
              <w:rPr>
                <w:sz w:val="18"/>
              </w:rPr>
              <w:t>conditions, </w:t>
            </w:r>
            <w:r>
              <w:rPr>
                <w:spacing w:val="-4"/>
                <w:sz w:val="18"/>
              </w:rPr>
              <w:t>WCF)</w:t>
            </w:r>
          </w:p>
        </w:tc>
      </w:tr>
      <w:tr>
        <w:trPr>
          <w:trHeight w:val="1374" w:hRule="atLeast"/>
        </w:trPr>
        <w:tc>
          <w:tcPr>
            <w:tcW w:w="1702" w:type="dxa"/>
          </w:tcPr>
          <w:p>
            <w:pPr>
              <w:pStyle w:val="TableParagraph"/>
              <w:spacing w:before="42"/>
              <w:ind w:left="107"/>
              <w:rPr>
                <w:b/>
                <w:sz w:val="18"/>
              </w:rPr>
            </w:pPr>
            <w:r>
              <w:rPr>
                <w:b/>
                <w:spacing w:val="-2"/>
                <w:sz w:val="18"/>
              </w:rPr>
              <w:t>Watershed</w:t>
            </w:r>
          </w:p>
        </w:tc>
        <w:tc>
          <w:tcPr>
            <w:tcW w:w="3509" w:type="dxa"/>
          </w:tcPr>
          <w:p>
            <w:pPr>
              <w:pStyle w:val="TableParagraph"/>
              <w:ind w:left="104" w:right="99"/>
              <w:rPr>
                <w:sz w:val="18"/>
              </w:rPr>
            </w:pPr>
            <w:r>
              <w:rPr>
                <w:b/>
                <w:sz w:val="18"/>
              </w:rPr>
              <w:t>MON-WTS-04: </w:t>
            </w:r>
            <w:r>
              <w:rPr>
                <w:sz w:val="18"/>
              </w:rPr>
              <w:t>Are water resources and RMA standards, guidelines, and best management practices (BMPs) being implemented at project sites? Are standards, guidelines, and BMPs effective</w:t>
            </w:r>
            <w:r>
              <w:rPr>
                <w:spacing w:val="-8"/>
                <w:sz w:val="18"/>
              </w:rPr>
              <w:t> </w:t>
            </w:r>
            <w:r>
              <w:rPr>
                <w:sz w:val="18"/>
              </w:rPr>
              <w:t>at</w:t>
            </w:r>
            <w:r>
              <w:rPr>
                <w:spacing w:val="-11"/>
                <w:sz w:val="18"/>
              </w:rPr>
              <w:t> </w:t>
            </w:r>
            <w:r>
              <w:rPr>
                <w:sz w:val="18"/>
              </w:rPr>
              <w:t>achieving</w:t>
            </w:r>
            <w:r>
              <w:rPr>
                <w:spacing w:val="-8"/>
                <w:sz w:val="18"/>
              </w:rPr>
              <w:t> </w:t>
            </w:r>
            <w:r>
              <w:rPr>
                <w:sz w:val="18"/>
              </w:rPr>
              <w:t>desired</w:t>
            </w:r>
            <w:r>
              <w:rPr>
                <w:spacing w:val="-11"/>
                <w:sz w:val="18"/>
              </w:rPr>
              <w:t> </w:t>
            </w:r>
            <w:r>
              <w:rPr>
                <w:sz w:val="18"/>
              </w:rPr>
              <w:t>conditions?</w:t>
            </w:r>
          </w:p>
        </w:tc>
        <w:tc>
          <w:tcPr>
            <w:tcW w:w="2880" w:type="dxa"/>
          </w:tcPr>
          <w:p>
            <w:pPr>
              <w:pStyle w:val="TableParagraph"/>
              <w:spacing w:before="40"/>
              <w:ind w:left="106"/>
              <w:rPr>
                <w:sz w:val="18"/>
              </w:rPr>
            </w:pPr>
            <w:r>
              <w:rPr>
                <w:sz w:val="18"/>
              </w:rPr>
              <w:t>All</w:t>
            </w:r>
            <w:r>
              <w:rPr>
                <w:spacing w:val="-10"/>
                <w:sz w:val="18"/>
              </w:rPr>
              <w:t> </w:t>
            </w:r>
            <w:r>
              <w:rPr>
                <w:sz w:val="18"/>
              </w:rPr>
              <w:t>WR</w:t>
            </w:r>
            <w:r>
              <w:rPr>
                <w:spacing w:val="-9"/>
                <w:sz w:val="18"/>
              </w:rPr>
              <w:t> </w:t>
            </w:r>
            <w:r>
              <w:rPr>
                <w:sz w:val="18"/>
              </w:rPr>
              <w:t>and</w:t>
            </w:r>
            <w:r>
              <w:rPr>
                <w:spacing w:val="-6"/>
                <w:sz w:val="18"/>
              </w:rPr>
              <w:t> </w:t>
            </w:r>
            <w:r>
              <w:rPr>
                <w:sz w:val="18"/>
              </w:rPr>
              <w:t>RMA</w:t>
            </w:r>
            <w:r>
              <w:rPr>
                <w:spacing w:val="-7"/>
                <w:sz w:val="18"/>
              </w:rPr>
              <w:t> </w:t>
            </w:r>
            <w:r>
              <w:rPr>
                <w:sz w:val="18"/>
              </w:rPr>
              <w:t>standards</w:t>
            </w:r>
            <w:r>
              <w:rPr>
                <w:spacing w:val="-8"/>
                <w:sz w:val="18"/>
              </w:rPr>
              <w:t> </w:t>
            </w:r>
            <w:r>
              <w:rPr>
                <w:sz w:val="18"/>
              </w:rPr>
              <w:t>and </w:t>
            </w:r>
            <w:r>
              <w:rPr>
                <w:spacing w:val="-2"/>
                <w:sz w:val="18"/>
              </w:rPr>
              <w:t>guidelines</w:t>
            </w:r>
          </w:p>
        </w:tc>
        <w:tc>
          <w:tcPr>
            <w:tcW w:w="2791" w:type="dxa"/>
          </w:tcPr>
          <w:p>
            <w:pPr>
              <w:pStyle w:val="TableParagraph"/>
              <w:spacing w:before="40"/>
              <w:ind w:left="106" w:right="113"/>
              <w:rPr>
                <w:sz w:val="18"/>
              </w:rPr>
            </w:pPr>
            <w:r>
              <w:rPr>
                <w:b/>
                <w:sz w:val="18"/>
              </w:rPr>
              <w:t>MON-WTR-04-01</w:t>
            </w:r>
            <w:r>
              <w:rPr>
                <w:sz w:val="18"/>
              </w:rPr>
              <w:t>: Number of BMP evaluations completed</w:t>
            </w:r>
            <w:r>
              <w:rPr>
                <w:spacing w:val="40"/>
                <w:sz w:val="18"/>
              </w:rPr>
              <w:t> </w:t>
            </w:r>
            <w:r>
              <w:rPr>
                <w:sz w:val="18"/>
              </w:rPr>
              <w:t>and identification of BMPs that were</w:t>
            </w:r>
            <w:r>
              <w:rPr>
                <w:spacing w:val="-13"/>
                <w:sz w:val="18"/>
              </w:rPr>
              <w:t> </w:t>
            </w:r>
            <w:r>
              <w:rPr>
                <w:sz w:val="18"/>
              </w:rPr>
              <w:t>implemented</w:t>
            </w:r>
            <w:r>
              <w:rPr>
                <w:spacing w:val="-12"/>
                <w:sz w:val="18"/>
              </w:rPr>
              <w:t> </w:t>
            </w:r>
            <w:r>
              <w:rPr>
                <w:sz w:val="18"/>
              </w:rPr>
              <w:t>correctly</w:t>
            </w:r>
            <w:r>
              <w:rPr>
                <w:spacing w:val="-13"/>
                <w:sz w:val="18"/>
              </w:rPr>
              <w:t> </w:t>
            </w:r>
            <w:r>
              <w:rPr>
                <w:sz w:val="18"/>
              </w:rPr>
              <w:t>and incorrectly, and identification of BMP effectiveness</w:t>
            </w:r>
          </w:p>
        </w:tc>
        <w:tc>
          <w:tcPr>
            <w:tcW w:w="2059" w:type="dxa"/>
          </w:tcPr>
          <w:p>
            <w:pPr>
              <w:pStyle w:val="TableParagraph"/>
              <w:spacing w:before="42"/>
              <w:ind w:left="104"/>
              <w:rPr>
                <w:sz w:val="18"/>
              </w:rPr>
            </w:pPr>
            <w:r>
              <w:rPr>
                <w:sz w:val="18"/>
              </w:rPr>
              <w:t>BMP</w:t>
            </w:r>
            <w:r>
              <w:rPr>
                <w:spacing w:val="-2"/>
                <w:sz w:val="18"/>
              </w:rPr>
              <w:t> annual</w:t>
            </w:r>
          </w:p>
        </w:tc>
      </w:tr>
      <w:tr>
        <w:trPr>
          <w:trHeight w:val="1071" w:hRule="atLeast"/>
        </w:trPr>
        <w:tc>
          <w:tcPr>
            <w:tcW w:w="1702" w:type="dxa"/>
            <w:tcBorders>
              <w:bottom w:val="single" w:sz="18" w:space="0" w:color="9BBA58"/>
            </w:tcBorders>
          </w:tcPr>
          <w:p>
            <w:pPr>
              <w:pStyle w:val="TableParagraph"/>
              <w:spacing w:before="42"/>
              <w:ind w:left="107"/>
              <w:rPr>
                <w:b/>
                <w:sz w:val="18"/>
              </w:rPr>
            </w:pPr>
            <w:r>
              <w:rPr>
                <w:b/>
                <w:spacing w:val="-2"/>
                <w:sz w:val="18"/>
              </w:rPr>
              <w:t>Watershed</w:t>
            </w:r>
          </w:p>
        </w:tc>
        <w:tc>
          <w:tcPr>
            <w:tcW w:w="3509" w:type="dxa"/>
            <w:tcBorders>
              <w:bottom w:val="single" w:sz="18" w:space="0" w:color="9BBA58"/>
            </w:tcBorders>
          </w:tcPr>
          <w:p>
            <w:pPr>
              <w:pStyle w:val="TableParagraph"/>
              <w:spacing w:before="42"/>
              <w:ind w:left="104"/>
              <w:rPr>
                <w:sz w:val="18"/>
              </w:rPr>
            </w:pPr>
            <w:r>
              <w:rPr>
                <w:b/>
                <w:sz w:val="18"/>
              </w:rPr>
              <w:t>MON-WTS-05-01:</w:t>
            </w:r>
            <w:r>
              <w:rPr>
                <w:b/>
                <w:spacing w:val="-13"/>
                <w:sz w:val="18"/>
              </w:rPr>
              <w:t> </w:t>
            </w:r>
            <w:r>
              <w:rPr>
                <w:sz w:val="18"/>
              </w:rPr>
              <w:t>What</w:t>
            </w:r>
            <w:r>
              <w:rPr>
                <w:spacing w:val="-6"/>
                <w:sz w:val="18"/>
              </w:rPr>
              <w:t> </w:t>
            </w:r>
            <w:r>
              <w:rPr>
                <w:sz w:val="18"/>
              </w:rPr>
              <w:t>is</w:t>
            </w:r>
            <w:r>
              <w:rPr>
                <w:spacing w:val="-6"/>
                <w:sz w:val="18"/>
              </w:rPr>
              <w:t> </w:t>
            </w:r>
            <w:r>
              <w:rPr>
                <w:sz w:val="18"/>
              </w:rPr>
              <w:t>the</w:t>
            </w:r>
            <w:r>
              <w:rPr>
                <w:spacing w:val="-8"/>
                <w:sz w:val="18"/>
              </w:rPr>
              <w:t> </w:t>
            </w:r>
            <w:r>
              <w:rPr>
                <w:sz w:val="18"/>
              </w:rPr>
              <w:t>status</w:t>
            </w:r>
            <w:r>
              <w:rPr>
                <w:spacing w:val="-6"/>
                <w:sz w:val="18"/>
              </w:rPr>
              <w:t> </w:t>
            </w:r>
            <w:r>
              <w:rPr>
                <w:sz w:val="18"/>
              </w:rPr>
              <w:t>and trend of water quality?</w:t>
            </w:r>
          </w:p>
        </w:tc>
        <w:tc>
          <w:tcPr>
            <w:tcW w:w="2880" w:type="dxa"/>
            <w:tcBorders>
              <w:bottom w:val="single" w:sz="18" w:space="0" w:color="9BBA58"/>
            </w:tcBorders>
          </w:tcPr>
          <w:p>
            <w:pPr>
              <w:pStyle w:val="TableParagraph"/>
              <w:spacing w:line="207" w:lineRule="exact" w:before="42"/>
              <w:ind w:left="106"/>
              <w:rPr>
                <w:sz w:val="18"/>
              </w:rPr>
            </w:pPr>
            <w:r>
              <w:rPr>
                <w:sz w:val="18"/>
              </w:rPr>
              <w:t>FW-DC-WR-05,</w:t>
            </w:r>
            <w:r>
              <w:rPr>
                <w:spacing w:val="-4"/>
                <w:sz w:val="18"/>
              </w:rPr>
              <w:t> </w:t>
            </w:r>
            <w:r>
              <w:rPr>
                <w:sz w:val="18"/>
              </w:rPr>
              <w:t>All</w:t>
            </w:r>
            <w:r>
              <w:rPr>
                <w:spacing w:val="-7"/>
                <w:sz w:val="18"/>
              </w:rPr>
              <w:t> </w:t>
            </w:r>
            <w:r>
              <w:rPr>
                <w:sz w:val="18"/>
              </w:rPr>
              <w:t>WR</w:t>
            </w:r>
            <w:r>
              <w:rPr>
                <w:spacing w:val="-6"/>
                <w:sz w:val="18"/>
              </w:rPr>
              <w:t> </w:t>
            </w:r>
            <w:r>
              <w:rPr>
                <w:spacing w:val="-5"/>
                <w:sz w:val="18"/>
              </w:rPr>
              <w:t>and</w:t>
            </w:r>
          </w:p>
          <w:p>
            <w:pPr>
              <w:pStyle w:val="TableParagraph"/>
              <w:spacing w:line="207" w:lineRule="exact" w:before="0"/>
              <w:ind w:left="106"/>
              <w:rPr>
                <w:sz w:val="18"/>
              </w:rPr>
            </w:pPr>
            <w:r>
              <w:rPr>
                <w:sz w:val="18"/>
              </w:rPr>
              <w:t>RMA</w:t>
            </w:r>
            <w:r>
              <w:rPr>
                <w:spacing w:val="-7"/>
                <w:sz w:val="18"/>
              </w:rPr>
              <w:t> </w:t>
            </w:r>
            <w:r>
              <w:rPr>
                <w:sz w:val="18"/>
              </w:rPr>
              <w:t>standards</w:t>
            </w:r>
            <w:r>
              <w:rPr>
                <w:spacing w:val="-8"/>
                <w:sz w:val="18"/>
              </w:rPr>
              <w:t> </w:t>
            </w:r>
            <w:r>
              <w:rPr>
                <w:sz w:val="18"/>
              </w:rPr>
              <w:t>and</w:t>
            </w:r>
            <w:r>
              <w:rPr>
                <w:spacing w:val="-9"/>
                <w:sz w:val="18"/>
              </w:rPr>
              <w:t> </w:t>
            </w:r>
            <w:r>
              <w:rPr>
                <w:spacing w:val="-2"/>
                <w:sz w:val="18"/>
              </w:rPr>
              <w:t>guidelines</w:t>
            </w:r>
          </w:p>
        </w:tc>
        <w:tc>
          <w:tcPr>
            <w:tcW w:w="2791" w:type="dxa"/>
            <w:tcBorders>
              <w:bottom w:val="single" w:sz="18" w:space="0" w:color="9BBA58"/>
            </w:tcBorders>
          </w:tcPr>
          <w:p>
            <w:pPr>
              <w:pStyle w:val="TableParagraph"/>
              <w:spacing w:line="207" w:lineRule="exact" w:before="42"/>
              <w:ind w:left="106"/>
              <w:rPr>
                <w:sz w:val="18"/>
              </w:rPr>
            </w:pPr>
            <w:r>
              <w:rPr>
                <w:b/>
                <w:sz w:val="18"/>
              </w:rPr>
              <w:t>MON-WTR-05-01</w:t>
            </w:r>
            <w:r>
              <w:rPr>
                <w:sz w:val="18"/>
              </w:rPr>
              <w:t>:</w:t>
            </w:r>
            <w:r>
              <w:rPr>
                <w:spacing w:val="-9"/>
                <w:sz w:val="18"/>
              </w:rPr>
              <w:t> </w:t>
            </w:r>
            <w:r>
              <w:rPr>
                <w:sz w:val="18"/>
              </w:rPr>
              <w:t>Miles</w:t>
            </w:r>
            <w:r>
              <w:rPr>
                <w:spacing w:val="-8"/>
                <w:sz w:val="18"/>
              </w:rPr>
              <w:t> </w:t>
            </w:r>
            <w:r>
              <w:rPr>
                <w:spacing w:val="-5"/>
                <w:sz w:val="18"/>
              </w:rPr>
              <w:t>of</w:t>
            </w:r>
          </w:p>
          <w:p>
            <w:pPr>
              <w:pStyle w:val="TableParagraph"/>
              <w:spacing w:before="0"/>
              <w:ind w:left="106" w:right="87"/>
              <w:rPr>
                <w:sz w:val="18"/>
              </w:rPr>
            </w:pPr>
            <w:r>
              <w:rPr>
                <w:sz w:val="18"/>
              </w:rPr>
              <w:t>state-listed</w:t>
            </w:r>
            <w:r>
              <w:rPr>
                <w:spacing w:val="-15"/>
                <w:sz w:val="18"/>
              </w:rPr>
              <w:t> </w:t>
            </w:r>
            <w:r>
              <w:rPr>
                <w:sz w:val="18"/>
              </w:rPr>
              <w:t>impaired</w:t>
            </w:r>
            <w:r>
              <w:rPr>
                <w:spacing w:val="-12"/>
                <w:sz w:val="18"/>
              </w:rPr>
              <w:t> </w:t>
            </w:r>
            <w:r>
              <w:rPr>
                <w:sz w:val="18"/>
              </w:rPr>
              <w:t>waters, miles of waters under an approved</w:t>
            </w:r>
            <w:r>
              <w:rPr>
                <w:spacing w:val="-4"/>
                <w:sz w:val="18"/>
              </w:rPr>
              <w:t> </w:t>
            </w:r>
            <w:r>
              <w:rPr>
                <w:sz w:val="18"/>
              </w:rPr>
              <w:t>TMDL</w:t>
            </w:r>
            <w:r>
              <w:rPr>
                <w:spacing w:val="-4"/>
                <w:sz w:val="18"/>
              </w:rPr>
              <w:t> </w:t>
            </w:r>
            <w:r>
              <w:rPr>
                <w:sz w:val="18"/>
              </w:rPr>
              <w:t>and</w:t>
            </w:r>
            <w:r>
              <w:rPr>
                <w:spacing w:val="-8"/>
                <w:sz w:val="18"/>
              </w:rPr>
              <w:t> </w:t>
            </w:r>
            <w:r>
              <w:rPr>
                <w:sz w:val="18"/>
              </w:rPr>
              <w:t>WQIP.</w:t>
            </w:r>
          </w:p>
        </w:tc>
        <w:tc>
          <w:tcPr>
            <w:tcW w:w="2059" w:type="dxa"/>
            <w:tcBorders>
              <w:bottom w:val="single" w:sz="18" w:space="0" w:color="9BBA58"/>
            </w:tcBorders>
          </w:tcPr>
          <w:p>
            <w:pPr>
              <w:pStyle w:val="TableParagraph"/>
              <w:spacing w:before="42"/>
              <w:ind w:left="104" w:right="177"/>
              <w:rPr>
                <w:sz w:val="18"/>
              </w:rPr>
            </w:pPr>
            <w:r>
              <w:rPr>
                <w:sz w:val="18"/>
              </w:rPr>
              <w:t>Annual (WADoE 303(d) list, TMDLs, WQIP</w:t>
            </w:r>
            <w:r>
              <w:rPr>
                <w:spacing w:val="-13"/>
                <w:sz w:val="18"/>
              </w:rPr>
              <w:t> </w:t>
            </w:r>
            <w:r>
              <w:rPr>
                <w:sz w:val="18"/>
              </w:rPr>
              <w:t>implementation and monitoring.)</w:t>
            </w:r>
          </w:p>
        </w:tc>
      </w:tr>
    </w:tbl>
    <w:p>
      <w:pPr>
        <w:pStyle w:val="TableParagraph"/>
        <w:spacing w:after="0"/>
        <w:rPr>
          <w:sz w:val="18"/>
        </w:rPr>
        <w:sectPr>
          <w:pgSz w:w="15840" w:h="12240" w:orient="landscape"/>
          <w:pgMar w:header="725" w:footer="891" w:top="1440" w:bottom="1080" w:left="1440" w:right="1440"/>
        </w:sectPr>
      </w:pPr>
    </w:p>
    <w:p>
      <w:pPr>
        <w:pStyle w:val="BodyText"/>
        <w:spacing w:before="82"/>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3183" w:hRule="atLeast"/>
        </w:trPr>
        <w:tc>
          <w:tcPr>
            <w:tcW w:w="1702" w:type="dxa"/>
            <w:tcBorders>
              <w:top w:val="single" w:sz="18" w:space="0" w:color="9BBA58"/>
            </w:tcBorders>
          </w:tcPr>
          <w:p>
            <w:pPr>
              <w:pStyle w:val="TableParagraph"/>
              <w:ind w:left="107"/>
              <w:rPr>
                <w:b/>
                <w:sz w:val="18"/>
              </w:rPr>
            </w:pPr>
            <w:r>
              <w:rPr>
                <w:b/>
                <w:sz w:val="18"/>
              </w:rPr>
              <w:t>Aquatic</w:t>
            </w:r>
            <w:r>
              <w:rPr>
                <w:b/>
                <w:spacing w:val="-4"/>
                <w:sz w:val="18"/>
              </w:rPr>
              <w:t> </w:t>
            </w:r>
            <w:r>
              <w:rPr>
                <w:b/>
                <w:spacing w:val="-2"/>
                <w:sz w:val="18"/>
              </w:rPr>
              <w:t>Habitat</w:t>
            </w:r>
          </w:p>
        </w:tc>
        <w:tc>
          <w:tcPr>
            <w:tcW w:w="3509" w:type="dxa"/>
            <w:tcBorders>
              <w:top w:val="single" w:sz="18" w:space="0" w:color="9BBA58"/>
            </w:tcBorders>
          </w:tcPr>
          <w:p>
            <w:pPr>
              <w:pStyle w:val="TableParagraph"/>
              <w:ind w:left="104" w:right="178" w:hanging="1"/>
              <w:rPr>
                <w:sz w:val="18"/>
              </w:rPr>
            </w:pPr>
            <w:r>
              <w:rPr>
                <w:b/>
                <w:sz w:val="18"/>
              </w:rPr>
              <w:t>MON-AQH-01</w:t>
            </w:r>
            <w:r>
              <w:rPr>
                <w:sz w:val="18"/>
              </w:rPr>
              <w:t>: Are management activities</w:t>
            </w:r>
            <w:r>
              <w:rPr>
                <w:spacing w:val="-9"/>
                <w:sz w:val="18"/>
              </w:rPr>
              <w:t> </w:t>
            </w:r>
            <w:r>
              <w:rPr>
                <w:sz w:val="18"/>
              </w:rPr>
              <w:t>across</w:t>
            </w:r>
            <w:r>
              <w:rPr>
                <w:spacing w:val="-8"/>
                <w:sz w:val="18"/>
              </w:rPr>
              <w:t> </w:t>
            </w:r>
            <w:r>
              <w:rPr>
                <w:sz w:val="18"/>
              </w:rPr>
              <w:t>the</w:t>
            </w:r>
            <w:r>
              <w:rPr>
                <w:spacing w:val="-8"/>
                <w:sz w:val="18"/>
              </w:rPr>
              <w:t> </w:t>
            </w:r>
            <w:r>
              <w:rPr>
                <w:sz w:val="18"/>
              </w:rPr>
              <w:t>Forest</w:t>
            </w:r>
            <w:r>
              <w:rPr>
                <w:spacing w:val="-10"/>
                <w:sz w:val="18"/>
              </w:rPr>
              <w:t> </w:t>
            </w:r>
            <w:r>
              <w:rPr>
                <w:sz w:val="18"/>
              </w:rPr>
              <w:t>contributing to the viability of riparian and wetland- dependent TES and focal species?</w:t>
            </w:r>
          </w:p>
        </w:tc>
        <w:tc>
          <w:tcPr>
            <w:tcW w:w="2880" w:type="dxa"/>
            <w:tcBorders>
              <w:top w:val="single" w:sz="18" w:space="0" w:color="9BBA58"/>
            </w:tcBorders>
          </w:tcPr>
          <w:p>
            <w:pPr>
              <w:pStyle w:val="TableParagraph"/>
              <w:spacing w:line="207" w:lineRule="exact"/>
              <w:ind w:left="107"/>
              <w:rPr>
                <w:sz w:val="18"/>
              </w:rPr>
            </w:pPr>
            <w:r>
              <w:rPr>
                <w:spacing w:val="-2"/>
                <w:sz w:val="18"/>
              </w:rPr>
              <w:t>FW-DC-WR-02,</w:t>
            </w:r>
            <w:r>
              <w:rPr>
                <w:spacing w:val="15"/>
                <w:sz w:val="18"/>
              </w:rPr>
              <w:t> </w:t>
            </w:r>
            <w:r>
              <w:rPr>
                <w:spacing w:val="-2"/>
                <w:sz w:val="18"/>
              </w:rPr>
              <w:t>FW-DC-WR-</w:t>
            </w:r>
            <w:r>
              <w:rPr>
                <w:spacing w:val="-5"/>
                <w:sz w:val="18"/>
              </w:rPr>
              <w:t>03,</w:t>
            </w:r>
          </w:p>
          <w:p>
            <w:pPr>
              <w:pStyle w:val="TableParagraph"/>
              <w:spacing w:before="0"/>
              <w:ind w:left="106" w:right="161"/>
              <w:rPr>
                <w:sz w:val="18"/>
              </w:rPr>
            </w:pPr>
            <w:r>
              <w:rPr>
                <w:sz w:val="18"/>
              </w:rPr>
              <w:t>FW-DC-WR-05,</w:t>
            </w:r>
            <w:r>
              <w:rPr>
                <w:spacing w:val="-13"/>
                <w:sz w:val="18"/>
              </w:rPr>
              <w:t> </w:t>
            </w:r>
            <w:r>
              <w:rPr>
                <w:sz w:val="18"/>
              </w:rPr>
              <w:t>FW-DC-WR-12, </w:t>
            </w:r>
            <w:r>
              <w:rPr>
                <w:spacing w:val="-2"/>
                <w:sz w:val="18"/>
              </w:rPr>
              <w:t>FW-DC-WR-13;</w:t>
            </w:r>
          </w:p>
          <w:p>
            <w:pPr>
              <w:pStyle w:val="TableParagraph"/>
              <w:spacing w:line="207" w:lineRule="exact" w:before="1"/>
              <w:ind w:left="106"/>
              <w:rPr>
                <w:sz w:val="18"/>
              </w:rPr>
            </w:pPr>
            <w:r>
              <w:rPr>
                <w:spacing w:val="-2"/>
                <w:sz w:val="18"/>
              </w:rPr>
              <w:t>FW-OBJ-WR-01,</w:t>
            </w:r>
            <w:r>
              <w:rPr>
                <w:spacing w:val="25"/>
                <w:sz w:val="18"/>
              </w:rPr>
              <w:t> </w:t>
            </w:r>
            <w:r>
              <w:rPr>
                <w:spacing w:val="-2"/>
                <w:sz w:val="18"/>
              </w:rPr>
              <w:t>FW-OBJ-</w:t>
            </w:r>
            <w:r>
              <w:rPr>
                <w:spacing w:val="-5"/>
                <w:sz w:val="18"/>
              </w:rPr>
              <w:t>WR-</w:t>
            </w:r>
          </w:p>
          <w:p>
            <w:pPr>
              <w:pStyle w:val="TableParagraph"/>
              <w:spacing w:line="206" w:lineRule="exact" w:before="0"/>
              <w:ind w:left="106"/>
              <w:rPr>
                <w:sz w:val="18"/>
              </w:rPr>
            </w:pPr>
            <w:r>
              <w:rPr>
                <w:sz w:val="18"/>
              </w:rPr>
              <w:t>02,</w:t>
            </w:r>
            <w:r>
              <w:rPr>
                <w:spacing w:val="-6"/>
                <w:sz w:val="18"/>
              </w:rPr>
              <w:t> </w:t>
            </w:r>
            <w:r>
              <w:rPr>
                <w:sz w:val="18"/>
              </w:rPr>
              <w:t>FW-OBJ-WR-03,</w:t>
            </w:r>
            <w:r>
              <w:rPr>
                <w:spacing w:val="-7"/>
                <w:sz w:val="18"/>
              </w:rPr>
              <w:t> </w:t>
            </w:r>
            <w:r>
              <w:rPr>
                <w:sz w:val="18"/>
              </w:rPr>
              <w:t>FW-</w:t>
            </w:r>
            <w:r>
              <w:rPr>
                <w:spacing w:val="-4"/>
                <w:sz w:val="18"/>
              </w:rPr>
              <w:t>OBJ-</w:t>
            </w:r>
          </w:p>
          <w:p>
            <w:pPr>
              <w:pStyle w:val="TableParagraph"/>
              <w:spacing w:line="207" w:lineRule="exact" w:before="0"/>
              <w:ind w:left="106"/>
              <w:rPr>
                <w:sz w:val="18"/>
              </w:rPr>
            </w:pPr>
            <w:r>
              <w:rPr>
                <w:sz w:val="18"/>
              </w:rPr>
              <w:t>WR-04,</w:t>
            </w:r>
            <w:r>
              <w:rPr>
                <w:spacing w:val="-9"/>
                <w:sz w:val="18"/>
              </w:rPr>
              <w:t> </w:t>
            </w:r>
            <w:r>
              <w:rPr>
                <w:sz w:val="18"/>
              </w:rPr>
              <w:t>FW-OBJ-WR-05,</w:t>
            </w:r>
            <w:r>
              <w:rPr>
                <w:spacing w:val="-8"/>
                <w:sz w:val="18"/>
              </w:rPr>
              <w:t> </w:t>
            </w:r>
            <w:r>
              <w:rPr>
                <w:spacing w:val="-5"/>
                <w:sz w:val="18"/>
              </w:rPr>
              <w:t>FW-</w:t>
            </w:r>
          </w:p>
          <w:p>
            <w:pPr>
              <w:pStyle w:val="TableParagraph"/>
              <w:spacing w:line="207" w:lineRule="exact" w:before="2"/>
              <w:ind w:left="106"/>
              <w:rPr>
                <w:sz w:val="18"/>
              </w:rPr>
            </w:pPr>
            <w:r>
              <w:rPr>
                <w:sz w:val="18"/>
              </w:rPr>
              <w:t>OBJ-WR-06,</w:t>
            </w:r>
            <w:r>
              <w:rPr>
                <w:spacing w:val="-9"/>
                <w:sz w:val="18"/>
              </w:rPr>
              <w:t> </w:t>
            </w:r>
            <w:r>
              <w:rPr>
                <w:sz w:val="18"/>
              </w:rPr>
              <w:t>FW-OBJ-WR-</w:t>
            </w:r>
            <w:r>
              <w:rPr>
                <w:spacing w:val="-5"/>
                <w:sz w:val="18"/>
              </w:rPr>
              <w:t>07,</w:t>
            </w:r>
          </w:p>
          <w:p>
            <w:pPr>
              <w:pStyle w:val="TableParagraph"/>
              <w:spacing w:line="206" w:lineRule="exact" w:before="0"/>
              <w:ind w:left="106"/>
              <w:rPr>
                <w:sz w:val="18"/>
              </w:rPr>
            </w:pPr>
            <w:r>
              <w:rPr>
                <w:spacing w:val="-2"/>
                <w:sz w:val="18"/>
              </w:rPr>
              <w:t>FW-OBJ-WR-08,</w:t>
            </w:r>
            <w:r>
              <w:rPr>
                <w:spacing w:val="25"/>
                <w:sz w:val="18"/>
              </w:rPr>
              <w:t> </w:t>
            </w:r>
            <w:r>
              <w:rPr>
                <w:spacing w:val="-2"/>
                <w:sz w:val="18"/>
              </w:rPr>
              <w:t>FW-OBJ-</w:t>
            </w:r>
            <w:r>
              <w:rPr>
                <w:spacing w:val="-5"/>
                <w:sz w:val="18"/>
              </w:rPr>
              <w:t>WR-</w:t>
            </w:r>
          </w:p>
          <w:p>
            <w:pPr>
              <w:pStyle w:val="TableParagraph"/>
              <w:spacing w:before="0"/>
              <w:ind w:left="106" w:right="291"/>
              <w:rPr>
                <w:sz w:val="18"/>
              </w:rPr>
            </w:pPr>
            <w:r>
              <w:rPr>
                <w:sz w:val="18"/>
              </w:rPr>
              <w:t>09,</w:t>
            </w:r>
            <w:r>
              <w:rPr>
                <w:spacing w:val="-15"/>
                <w:sz w:val="18"/>
              </w:rPr>
              <w:t> </w:t>
            </w:r>
            <w:r>
              <w:rPr>
                <w:sz w:val="18"/>
              </w:rPr>
              <w:t>FW-OBJ-WR-10,</w:t>
            </w:r>
            <w:r>
              <w:rPr>
                <w:spacing w:val="-12"/>
                <w:sz w:val="18"/>
              </w:rPr>
              <w:t> </w:t>
            </w:r>
            <w:r>
              <w:rPr>
                <w:sz w:val="18"/>
              </w:rPr>
              <w:t>FW-OBJ- </w:t>
            </w:r>
            <w:r>
              <w:rPr>
                <w:spacing w:val="-2"/>
                <w:sz w:val="18"/>
              </w:rPr>
              <w:t>WR-11;</w:t>
            </w:r>
          </w:p>
          <w:p>
            <w:pPr>
              <w:pStyle w:val="TableParagraph"/>
              <w:spacing w:line="206" w:lineRule="exact" w:before="0"/>
              <w:ind w:left="106"/>
              <w:rPr>
                <w:sz w:val="18"/>
              </w:rPr>
            </w:pPr>
            <w:r>
              <w:rPr>
                <w:spacing w:val="-2"/>
                <w:sz w:val="18"/>
              </w:rPr>
              <w:t>FW-STD-WR-</w:t>
            </w:r>
            <w:r>
              <w:rPr>
                <w:spacing w:val="-5"/>
                <w:sz w:val="18"/>
              </w:rPr>
              <w:t>05;</w:t>
            </w:r>
          </w:p>
          <w:p>
            <w:pPr>
              <w:pStyle w:val="TableParagraph"/>
              <w:spacing w:line="207" w:lineRule="exact" w:before="1"/>
              <w:ind w:left="106"/>
              <w:rPr>
                <w:sz w:val="18"/>
              </w:rPr>
            </w:pPr>
            <w:r>
              <w:rPr>
                <w:spacing w:val="-2"/>
                <w:sz w:val="18"/>
              </w:rPr>
              <w:t>FW-GDL-WR-</w:t>
            </w:r>
            <w:r>
              <w:rPr>
                <w:spacing w:val="-5"/>
                <w:sz w:val="18"/>
              </w:rPr>
              <w:t>04;</w:t>
            </w:r>
          </w:p>
          <w:p>
            <w:pPr>
              <w:pStyle w:val="TableParagraph"/>
              <w:spacing w:before="0"/>
              <w:ind w:left="106" w:right="512"/>
              <w:jc w:val="both"/>
              <w:rPr>
                <w:sz w:val="18"/>
              </w:rPr>
            </w:pPr>
            <w:r>
              <w:rPr>
                <w:sz w:val="18"/>
              </w:rPr>
              <w:t>MA-OBJ-RMA-01,</w:t>
            </w:r>
            <w:r>
              <w:rPr>
                <w:spacing w:val="-13"/>
                <w:sz w:val="18"/>
              </w:rPr>
              <w:t> </w:t>
            </w:r>
            <w:r>
              <w:rPr>
                <w:sz w:val="18"/>
              </w:rPr>
              <w:t>MA-</w:t>
            </w:r>
            <w:r>
              <w:rPr>
                <w:sz w:val="18"/>
              </w:rPr>
              <w:t>OBJ- RMA-02,</w:t>
            </w:r>
            <w:r>
              <w:rPr>
                <w:spacing w:val="-9"/>
                <w:sz w:val="18"/>
              </w:rPr>
              <w:t> </w:t>
            </w:r>
            <w:r>
              <w:rPr>
                <w:sz w:val="18"/>
              </w:rPr>
              <w:t>MA-OBJ-RMA-03; </w:t>
            </w:r>
            <w:r>
              <w:rPr>
                <w:spacing w:val="-2"/>
                <w:sz w:val="18"/>
              </w:rPr>
              <w:t>MA-STD-RMA-07</w:t>
            </w:r>
          </w:p>
        </w:tc>
        <w:tc>
          <w:tcPr>
            <w:tcW w:w="2791" w:type="dxa"/>
            <w:tcBorders>
              <w:top w:val="single" w:sz="18" w:space="0" w:color="9BBA58"/>
            </w:tcBorders>
          </w:tcPr>
          <w:p>
            <w:pPr>
              <w:pStyle w:val="TableParagraph"/>
              <w:spacing w:line="207" w:lineRule="exact"/>
              <w:ind w:left="107"/>
              <w:rPr>
                <w:sz w:val="18"/>
              </w:rPr>
            </w:pPr>
            <w:r>
              <w:rPr>
                <w:b/>
                <w:sz w:val="18"/>
              </w:rPr>
              <w:t>MON-AQH-01-01</w:t>
            </w:r>
            <w:r>
              <w:rPr>
                <w:sz w:val="18"/>
              </w:rPr>
              <w:t>:</w:t>
            </w:r>
            <w:r>
              <w:rPr>
                <w:spacing w:val="-9"/>
                <w:sz w:val="18"/>
              </w:rPr>
              <w:t> </w:t>
            </w:r>
            <w:r>
              <w:rPr>
                <w:sz w:val="18"/>
              </w:rPr>
              <w:t>PIBO</w:t>
            </w:r>
            <w:r>
              <w:rPr>
                <w:spacing w:val="-9"/>
                <w:sz w:val="18"/>
              </w:rPr>
              <w:t> </w:t>
            </w:r>
            <w:r>
              <w:rPr>
                <w:spacing w:val="-5"/>
                <w:sz w:val="18"/>
              </w:rPr>
              <w:t>EM,</w:t>
            </w:r>
          </w:p>
          <w:p>
            <w:pPr>
              <w:pStyle w:val="TableParagraph"/>
              <w:spacing w:before="0"/>
              <w:ind w:left="106" w:right="87"/>
              <w:rPr>
                <w:sz w:val="18"/>
              </w:rPr>
            </w:pPr>
            <w:r>
              <w:rPr>
                <w:sz w:val="18"/>
              </w:rPr>
              <w:t>updated Aquatic Ecological Condition (AEC), Stream channel</w:t>
            </w:r>
            <w:r>
              <w:rPr>
                <w:spacing w:val="-13"/>
                <w:sz w:val="18"/>
              </w:rPr>
              <w:t> </w:t>
            </w:r>
            <w:r>
              <w:rPr>
                <w:sz w:val="18"/>
              </w:rPr>
              <w:t>morphology</w:t>
            </w:r>
            <w:r>
              <w:rPr>
                <w:spacing w:val="-12"/>
                <w:sz w:val="18"/>
              </w:rPr>
              <w:t> </w:t>
            </w:r>
            <w:r>
              <w:rPr>
                <w:sz w:val="18"/>
              </w:rPr>
              <w:t>surveys</w:t>
            </w:r>
            <w:r>
              <w:rPr>
                <w:spacing w:val="-12"/>
                <w:sz w:val="18"/>
              </w:rPr>
              <w:t> </w:t>
            </w:r>
            <w:r>
              <w:rPr>
                <w:sz w:val="18"/>
              </w:rPr>
              <w:t>in monumented reaches</w:t>
            </w:r>
          </w:p>
          <w:p>
            <w:pPr>
              <w:pStyle w:val="TableParagraph"/>
              <w:spacing w:before="1"/>
              <w:rPr>
                <w:b/>
                <w:sz w:val="18"/>
              </w:rPr>
            </w:pPr>
          </w:p>
          <w:p>
            <w:pPr>
              <w:pStyle w:val="TableParagraph"/>
              <w:spacing w:line="207" w:lineRule="exact" w:before="1"/>
              <w:ind w:left="106"/>
              <w:rPr>
                <w:sz w:val="18"/>
              </w:rPr>
            </w:pPr>
            <w:r>
              <w:rPr>
                <w:b/>
                <w:sz w:val="18"/>
              </w:rPr>
              <w:t>MON-AQH-01-02</w:t>
            </w:r>
            <w:r>
              <w:rPr>
                <w:sz w:val="18"/>
              </w:rPr>
              <w:t>:</w:t>
            </w:r>
            <w:r>
              <w:rPr>
                <w:spacing w:val="-10"/>
                <w:sz w:val="18"/>
              </w:rPr>
              <w:t> </w:t>
            </w:r>
            <w:r>
              <w:rPr>
                <w:sz w:val="18"/>
              </w:rPr>
              <w:t>Acres</w:t>
            </w:r>
            <w:r>
              <w:rPr>
                <w:spacing w:val="-10"/>
                <w:sz w:val="18"/>
              </w:rPr>
              <w:t> </w:t>
            </w:r>
            <w:r>
              <w:rPr>
                <w:spacing w:val="-5"/>
                <w:sz w:val="18"/>
              </w:rPr>
              <w:t>or</w:t>
            </w:r>
          </w:p>
          <w:p>
            <w:pPr>
              <w:pStyle w:val="TableParagraph"/>
              <w:spacing w:before="0"/>
              <w:ind w:left="106"/>
              <w:rPr>
                <w:sz w:val="18"/>
              </w:rPr>
            </w:pPr>
            <w:r>
              <w:rPr>
                <w:sz w:val="18"/>
              </w:rPr>
              <w:t>miles of treatments to improve hydrologic,</w:t>
            </w:r>
            <w:r>
              <w:rPr>
                <w:spacing w:val="-13"/>
                <w:sz w:val="18"/>
              </w:rPr>
              <w:t> </w:t>
            </w:r>
            <w:r>
              <w:rPr>
                <w:sz w:val="18"/>
              </w:rPr>
              <w:t>aquatic,</w:t>
            </w:r>
            <w:r>
              <w:rPr>
                <w:spacing w:val="-12"/>
                <w:sz w:val="18"/>
              </w:rPr>
              <w:t> </w:t>
            </w:r>
            <w:r>
              <w:rPr>
                <w:sz w:val="18"/>
              </w:rPr>
              <w:t>and</w:t>
            </w:r>
            <w:r>
              <w:rPr>
                <w:spacing w:val="-11"/>
                <w:sz w:val="18"/>
              </w:rPr>
              <w:t> </w:t>
            </w:r>
            <w:r>
              <w:rPr>
                <w:sz w:val="18"/>
              </w:rPr>
              <w:t>riparian </w:t>
            </w:r>
            <w:r>
              <w:rPr>
                <w:spacing w:val="-2"/>
                <w:sz w:val="18"/>
              </w:rPr>
              <w:t>function</w:t>
            </w:r>
          </w:p>
        </w:tc>
        <w:tc>
          <w:tcPr>
            <w:tcW w:w="2059" w:type="dxa"/>
            <w:tcBorders>
              <w:top w:val="single" w:sz="18" w:space="0" w:color="9BBA58"/>
            </w:tcBorders>
          </w:tcPr>
          <w:p>
            <w:pPr>
              <w:pStyle w:val="TableParagraph"/>
              <w:ind w:left="104" w:right="177"/>
              <w:rPr>
                <w:sz w:val="18"/>
              </w:rPr>
            </w:pPr>
            <w:r>
              <w:rPr>
                <w:sz w:val="18"/>
              </w:rPr>
              <w:t>Every</w:t>
            </w:r>
            <w:r>
              <w:rPr>
                <w:spacing w:val="-4"/>
                <w:sz w:val="18"/>
              </w:rPr>
              <w:t> </w:t>
            </w:r>
            <w:r>
              <w:rPr>
                <w:sz w:val="18"/>
              </w:rPr>
              <w:t>5</w:t>
            </w:r>
            <w:r>
              <w:rPr>
                <w:spacing w:val="-2"/>
                <w:sz w:val="18"/>
              </w:rPr>
              <w:t> </w:t>
            </w:r>
            <w:r>
              <w:rPr>
                <w:sz w:val="18"/>
              </w:rPr>
              <w:t>years</w:t>
            </w:r>
            <w:r>
              <w:rPr>
                <w:spacing w:val="-2"/>
                <w:sz w:val="18"/>
              </w:rPr>
              <w:t> </w:t>
            </w:r>
            <w:r>
              <w:rPr>
                <w:sz w:val="18"/>
              </w:rPr>
              <w:t>(PIBO EM,</w:t>
            </w:r>
            <w:r>
              <w:rPr>
                <w:spacing w:val="-15"/>
                <w:sz w:val="18"/>
              </w:rPr>
              <w:t> </w:t>
            </w:r>
            <w:r>
              <w:rPr>
                <w:sz w:val="18"/>
              </w:rPr>
              <w:t>updated</w:t>
            </w:r>
            <w:r>
              <w:rPr>
                <w:spacing w:val="-12"/>
                <w:sz w:val="18"/>
              </w:rPr>
              <w:t> </w:t>
            </w:r>
            <w:r>
              <w:rPr>
                <w:sz w:val="18"/>
              </w:rPr>
              <w:t>Aquatic Ecological Condition (AEC)), stream channel morphology surveys), invasive species database.</w:t>
            </w:r>
          </w:p>
          <w:p>
            <w:pPr>
              <w:pStyle w:val="TableParagraph"/>
              <w:spacing w:before="0"/>
              <w:rPr>
                <w:b/>
                <w:sz w:val="18"/>
              </w:rPr>
            </w:pPr>
          </w:p>
          <w:p>
            <w:pPr>
              <w:pStyle w:val="TableParagraph"/>
              <w:spacing w:before="0"/>
              <w:ind w:left="104"/>
              <w:rPr>
                <w:sz w:val="18"/>
              </w:rPr>
            </w:pPr>
            <w:r>
              <w:rPr>
                <w:spacing w:val="-2"/>
                <w:sz w:val="18"/>
              </w:rPr>
              <w:t>Annual</w:t>
            </w:r>
          </w:p>
        </w:tc>
      </w:tr>
      <w:tr>
        <w:trPr>
          <w:trHeight w:val="2156" w:hRule="atLeast"/>
        </w:trPr>
        <w:tc>
          <w:tcPr>
            <w:tcW w:w="1702" w:type="dxa"/>
          </w:tcPr>
          <w:p>
            <w:pPr>
              <w:pStyle w:val="TableParagraph"/>
              <w:spacing w:before="42"/>
              <w:ind w:left="107"/>
              <w:rPr>
                <w:b/>
                <w:sz w:val="18"/>
              </w:rPr>
            </w:pPr>
            <w:r>
              <w:rPr>
                <w:b/>
                <w:sz w:val="18"/>
              </w:rPr>
              <w:t>Aquatic</w:t>
            </w:r>
            <w:r>
              <w:rPr>
                <w:b/>
                <w:spacing w:val="-4"/>
                <w:sz w:val="18"/>
              </w:rPr>
              <w:t> </w:t>
            </w:r>
            <w:r>
              <w:rPr>
                <w:b/>
                <w:spacing w:val="-2"/>
                <w:sz w:val="18"/>
              </w:rPr>
              <w:t>Habitat</w:t>
            </w:r>
          </w:p>
        </w:tc>
        <w:tc>
          <w:tcPr>
            <w:tcW w:w="3509" w:type="dxa"/>
          </w:tcPr>
          <w:p>
            <w:pPr>
              <w:pStyle w:val="TableParagraph"/>
              <w:spacing w:before="42"/>
              <w:ind w:left="104"/>
              <w:rPr>
                <w:sz w:val="18"/>
              </w:rPr>
            </w:pPr>
            <w:r>
              <w:rPr>
                <w:b/>
                <w:sz w:val="18"/>
              </w:rPr>
              <w:t>MON-AQH-02</w:t>
            </w:r>
            <w:r>
              <w:rPr>
                <w:sz w:val="18"/>
              </w:rPr>
              <w:t>:</w:t>
            </w:r>
            <w:r>
              <w:rPr>
                <w:spacing w:val="-12"/>
                <w:sz w:val="18"/>
              </w:rPr>
              <w:t> </w:t>
            </w:r>
            <w:r>
              <w:rPr>
                <w:sz w:val="18"/>
              </w:rPr>
              <w:t>Are</w:t>
            </w:r>
            <w:r>
              <w:rPr>
                <w:spacing w:val="-11"/>
                <w:sz w:val="18"/>
              </w:rPr>
              <w:t> </w:t>
            </w:r>
            <w:r>
              <w:rPr>
                <w:sz w:val="18"/>
              </w:rPr>
              <w:t>management</w:t>
            </w:r>
            <w:r>
              <w:rPr>
                <w:spacing w:val="-12"/>
                <w:sz w:val="18"/>
              </w:rPr>
              <w:t> </w:t>
            </w:r>
            <w:r>
              <w:rPr>
                <w:sz w:val="18"/>
              </w:rPr>
              <w:t>actions improving conditions within Riparian Management Areas where livestock grazing is permitted?</w:t>
            </w:r>
          </w:p>
        </w:tc>
        <w:tc>
          <w:tcPr>
            <w:tcW w:w="2880" w:type="dxa"/>
          </w:tcPr>
          <w:p>
            <w:pPr>
              <w:pStyle w:val="TableParagraph"/>
              <w:spacing w:line="207" w:lineRule="exact" w:before="42"/>
              <w:ind w:left="107"/>
              <w:rPr>
                <w:sz w:val="18"/>
              </w:rPr>
            </w:pPr>
            <w:r>
              <w:rPr>
                <w:spacing w:val="-2"/>
                <w:sz w:val="18"/>
              </w:rPr>
              <w:t>FW-OBJ-WR-</w:t>
            </w:r>
            <w:r>
              <w:rPr>
                <w:spacing w:val="-5"/>
                <w:sz w:val="18"/>
              </w:rPr>
              <w:t>07;</w:t>
            </w:r>
          </w:p>
          <w:p>
            <w:pPr>
              <w:pStyle w:val="TableParagraph"/>
              <w:spacing w:line="206" w:lineRule="exact" w:before="0"/>
              <w:ind w:left="107"/>
              <w:rPr>
                <w:sz w:val="18"/>
              </w:rPr>
            </w:pPr>
            <w:r>
              <w:rPr>
                <w:spacing w:val="-2"/>
                <w:sz w:val="18"/>
              </w:rPr>
              <w:t>MA-DC-RMA-</w:t>
            </w:r>
            <w:r>
              <w:rPr>
                <w:spacing w:val="-5"/>
                <w:sz w:val="18"/>
              </w:rPr>
              <w:t>03;</w:t>
            </w:r>
          </w:p>
          <w:p>
            <w:pPr>
              <w:pStyle w:val="TableParagraph"/>
              <w:spacing w:before="0"/>
              <w:ind w:left="106" w:right="473"/>
              <w:jc w:val="both"/>
              <w:rPr>
                <w:sz w:val="18"/>
              </w:rPr>
            </w:pPr>
            <w:r>
              <w:rPr>
                <w:sz w:val="18"/>
              </w:rPr>
              <w:t>MA-STD-RMA-08,</w:t>
            </w:r>
            <w:r>
              <w:rPr>
                <w:spacing w:val="-13"/>
                <w:sz w:val="18"/>
              </w:rPr>
              <w:t> </w:t>
            </w:r>
            <w:r>
              <w:rPr>
                <w:sz w:val="18"/>
              </w:rPr>
              <w:t>MA-STD- RMA-09, MA-STD-RMA-10, MA-GDL-RMA-12,</w:t>
            </w:r>
            <w:r>
              <w:rPr>
                <w:spacing w:val="-13"/>
                <w:sz w:val="18"/>
              </w:rPr>
              <w:t> </w:t>
            </w:r>
            <w:r>
              <w:rPr>
                <w:sz w:val="18"/>
              </w:rPr>
              <w:t>MA-GDL- RMA-13, MA-GDL-RMA-14</w:t>
            </w:r>
          </w:p>
        </w:tc>
        <w:tc>
          <w:tcPr>
            <w:tcW w:w="2791" w:type="dxa"/>
          </w:tcPr>
          <w:p>
            <w:pPr>
              <w:pStyle w:val="TableParagraph"/>
              <w:spacing w:line="207" w:lineRule="exact" w:before="42"/>
              <w:ind w:left="107"/>
              <w:rPr>
                <w:sz w:val="18"/>
              </w:rPr>
            </w:pPr>
            <w:r>
              <w:rPr>
                <w:b/>
                <w:sz w:val="18"/>
              </w:rPr>
              <w:t>MON-AQH-02-01:</w:t>
            </w:r>
            <w:r>
              <w:rPr>
                <w:b/>
                <w:spacing w:val="-11"/>
                <w:sz w:val="18"/>
              </w:rPr>
              <w:t> </w:t>
            </w:r>
            <w:r>
              <w:rPr>
                <w:sz w:val="18"/>
              </w:rPr>
              <w:t>Acres</w:t>
            </w:r>
            <w:r>
              <w:rPr>
                <w:spacing w:val="-8"/>
                <w:sz w:val="18"/>
              </w:rPr>
              <w:t> </w:t>
            </w:r>
            <w:r>
              <w:rPr>
                <w:spacing w:val="-5"/>
                <w:sz w:val="18"/>
              </w:rPr>
              <w:t>of</w:t>
            </w:r>
          </w:p>
          <w:p>
            <w:pPr>
              <w:pStyle w:val="TableParagraph"/>
              <w:spacing w:before="0"/>
              <w:ind w:left="107"/>
              <w:rPr>
                <w:sz w:val="18"/>
              </w:rPr>
            </w:pPr>
            <w:r>
              <w:rPr>
                <w:sz w:val="18"/>
              </w:rPr>
              <w:t>improvement</w:t>
            </w:r>
            <w:r>
              <w:rPr>
                <w:spacing w:val="-15"/>
                <w:sz w:val="18"/>
              </w:rPr>
              <w:t> </w:t>
            </w:r>
            <w:r>
              <w:rPr>
                <w:sz w:val="18"/>
              </w:rPr>
              <w:t>within</w:t>
            </w:r>
            <w:r>
              <w:rPr>
                <w:spacing w:val="-12"/>
                <w:sz w:val="18"/>
              </w:rPr>
              <w:t> </w:t>
            </w:r>
            <w:r>
              <w:rPr>
                <w:sz w:val="18"/>
              </w:rPr>
              <w:t>designated monitoring area locations.</w:t>
            </w:r>
          </w:p>
          <w:p>
            <w:pPr>
              <w:pStyle w:val="TableParagraph"/>
              <w:spacing w:before="0"/>
              <w:rPr>
                <w:b/>
                <w:sz w:val="18"/>
              </w:rPr>
            </w:pPr>
          </w:p>
          <w:p>
            <w:pPr>
              <w:pStyle w:val="TableParagraph"/>
              <w:spacing w:before="0"/>
              <w:rPr>
                <w:b/>
                <w:sz w:val="18"/>
              </w:rPr>
            </w:pPr>
          </w:p>
          <w:p>
            <w:pPr>
              <w:pStyle w:val="TableParagraph"/>
              <w:spacing w:before="0"/>
              <w:ind w:left="107" w:right="316"/>
              <w:rPr>
                <w:sz w:val="18"/>
              </w:rPr>
            </w:pPr>
            <w:r>
              <w:rPr>
                <w:b/>
                <w:sz w:val="18"/>
              </w:rPr>
              <w:t>MON-AQH-02-02</w:t>
            </w:r>
            <w:r>
              <w:rPr>
                <w:sz w:val="18"/>
              </w:rPr>
              <w:t>:</w:t>
            </w:r>
            <w:r>
              <w:rPr>
                <w:spacing w:val="-13"/>
                <w:sz w:val="18"/>
              </w:rPr>
              <w:t> </w:t>
            </w:r>
            <w:r>
              <w:rPr>
                <w:sz w:val="18"/>
              </w:rPr>
              <w:t>Allotments meeting annual grazing management indicators</w:t>
            </w:r>
          </w:p>
        </w:tc>
        <w:tc>
          <w:tcPr>
            <w:tcW w:w="2059" w:type="dxa"/>
          </w:tcPr>
          <w:p>
            <w:pPr>
              <w:pStyle w:val="TableParagraph"/>
              <w:spacing w:before="42"/>
              <w:ind w:left="104" w:right="169"/>
              <w:rPr>
                <w:sz w:val="18"/>
              </w:rPr>
            </w:pPr>
            <w:r>
              <w:rPr>
                <w:sz w:val="18"/>
              </w:rPr>
              <w:t>Annual,</w:t>
            </w:r>
            <w:r>
              <w:rPr>
                <w:spacing w:val="-12"/>
                <w:sz w:val="18"/>
              </w:rPr>
              <w:t> </w:t>
            </w:r>
            <w:r>
              <w:rPr>
                <w:sz w:val="18"/>
              </w:rPr>
              <w:t>Every</w:t>
            </w:r>
            <w:r>
              <w:rPr>
                <w:spacing w:val="-13"/>
                <w:sz w:val="18"/>
              </w:rPr>
              <w:t> </w:t>
            </w:r>
            <w:r>
              <w:rPr>
                <w:sz w:val="18"/>
              </w:rPr>
              <w:t>5</w:t>
            </w:r>
            <w:r>
              <w:rPr>
                <w:spacing w:val="-11"/>
                <w:sz w:val="18"/>
              </w:rPr>
              <w:t> </w:t>
            </w:r>
            <w:r>
              <w:rPr>
                <w:sz w:val="18"/>
              </w:rPr>
              <w:t>years in conjunction with </w:t>
            </w:r>
            <w:r>
              <w:rPr>
                <w:spacing w:val="-2"/>
                <w:sz w:val="18"/>
              </w:rPr>
              <w:t>MON-WTR-03-02</w:t>
            </w:r>
          </w:p>
          <w:p>
            <w:pPr>
              <w:pStyle w:val="TableParagraph"/>
              <w:spacing w:before="0"/>
              <w:ind w:left="104" w:right="169"/>
              <w:rPr>
                <w:sz w:val="18"/>
              </w:rPr>
            </w:pPr>
            <w:r>
              <w:rPr>
                <w:sz w:val="18"/>
              </w:rPr>
              <w:t>above</w:t>
            </w:r>
            <w:r>
              <w:rPr>
                <w:spacing w:val="-9"/>
                <w:sz w:val="18"/>
              </w:rPr>
              <w:t> </w:t>
            </w:r>
            <w:r>
              <w:rPr>
                <w:sz w:val="18"/>
              </w:rPr>
              <w:t>(PIBO</w:t>
            </w:r>
            <w:r>
              <w:rPr>
                <w:spacing w:val="-10"/>
                <w:sz w:val="18"/>
              </w:rPr>
              <w:t> </w:t>
            </w:r>
            <w:r>
              <w:rPr>
                <w:sz w:val="18"/>
              </w:rPr>
              <w:t>EM</w:t>
            </w:r>
            <w:r>
              <w:rPr>
                <w:spacing w:val="-13"/>
                <w:sz w:val="18"/>
              </w:rPr>
              <w:t> </w:t>
            </w:r>
            <w:r>
              <w:rPr>
                <w:sz w:val="18"/>
              </w:rPr>
              <w:t>&amp;</w:t>
            </w:r>
            <w:r>
              <w:rPr>
                <w:spacing w:val="-9"/>
                <w:sz w:val="18"/>
              </w:rPr>
              <w:t> </w:t>
            </w:r>
            <w:r>
              <w:rPr>
                <w:sz w:val="18"/>
              </w:rPr>
              <w:t>R- 6 stream surveys)</w:t>
            </w:r>
          </w:p>
          <w:p>
            <w:pPr>
              <w:pStyle w:val="TableParagraph"/>
              <w:spacing w:before="207"/>
              <w:ind w:left="104"/>
              <w:rPr>
                <w:sz w:val="18"/>
              </w:rPr>
            </w:pPr>
            <w:r>
              <w:rPr>
                <w:sz w:val="18"/>
              </w:rPr>
              <w:t>Annual</w:t>
            </w:r>
            <w:r>
              <w:rPr>
                <w:spacing w:val="-13"/>
                <w:sz w:val="18"/>
              </w:rPr>
              <w:t> </w:t>
            </w:r>
            <w:r>
              <w:rPr>
                <w:sz w:val="18"/>
              </w:rPr>
              <w:t>(PIBO</w:t>
            </w:r>
            <w:r>
              <w:rPr>
                <w:spacing w:val="-11"/>
                <w:sz w:val="18"/>
              </w:rPr>
              <w:t> </w:t>
            </w:r>
            <w:r>
              <w:rPr>
                <w:sz w:val="18"/>
              </w:rPr>
              <w:t>&amp;</w:t>
            </w:r>
            <w:r>
              <w:rPr>
                <w:spacing w:val="-11"/>
                <w:sz w:val="18"/>
              </w:rPr>
              <w:t> </w:t>
            </w:r>
            <w:r>
              <w:rPr>
                <w:sz w:val="18"/>
              </w:rPr>
              <w:t>Forest monitored designated monitoring areas)</w:t>
            </w:r>
          </w:p>
        </w:tc>
      </w:tr>
      <w:tr>
        <w:trPr>
          <w:trHeight w:val="1736" w:hRule="atLeast"/>
        </w:trPr>
        <w:tc>
          <w:tcPr>
            <w:tcW w:w="1702" w:type="dxa"/>
            <w:tcBorders>
              <w:bottom w:val="single" w:sz="18" w:space="0" w:color="9BBA58"/>
            </w:tcBorders>
          </w:tcPr>
          <w:p>
            <w:pPr>
              <w:pStyle w:val="TableParagraph"/>
              <w:ind w:left="107"/>
              <w:rPr>
                <w:b/>
                <w:sz w:val="18"/>
              </w:rPr>
            </w:pPr>
            <w:r>
              <w:rPr>
                <w:b/>
                <w:sz w:val="18"/>
              </w:rPr>
              <w:t>Aquatic</w:t>
            </w:r>
            <w:r>
              <w:rPr>
                <w:b/>
                <w:spacing w:val="-4"/>
                <w:sz w:val="18"/>
              </w:rPr>
              <w:t> </w:t>
            </w:r>
            <w:r>
              <w:rPr>
                <w:b/>
                <w:spacing w:val="-2"/>
                <w:sz w:val="18"/>
              </w:rPr>
              <w:t>Habitat</w:t>
            </w:r>
          </w:p>
        </w:tc>
        <w:tc>
          <w:tcPr>
            <w:tcW w:w="3509" w:type="dxa"/>
            <w:tcBorders>
              <w:bottom w:val="single" w:sz="18" w:space="0" w:color="9BBA58"/>
            </w:tcBorders>
          </w:tcPr>
          <w:p>
            <w:pPr>
              <w:pStyle w:val="TableParagraph"/>
              <w:ind w:left="104" w:right="108" w:hanging="1"/>
              <w:jc w:val="both"/>
              <w:rPr>
                <w:sz w:val="18"/>
              </w:rPr>
            </w:pPr>
            <w:r>
              <w:rPr>
                <w:b/>
                <w:sz w:val="18"/>
              </w:rPr>
              <w:t>MON-AQH-03</w:t>
            </w:r>
            <w:r>
              <w:rPr>
                <w:sz w:val="18"/>
              </w:rPr>
              <w:t>:</w:t>
            </w:r>
            <w:r>
              <w:rPr>
                <w:spacing w:val="-2"/>
                <w:sz w:val="18"/>
              </w:rPr>
              <w:t> </w:t>
            </w:r>
            <w:r>
              <w:rPr>
                <w:sz w:val="18"/>
              </w:rPr>
              <w:t>Are</w:t>
            </w:r>
            <w:r>
              <w:rPr>
                <w:spacing w:val="-1"/>
                <w:sz w:val="18"/>
              </w:rPr>
              <w:t> </w:t>
            </w:r>
            <w:r>
              <w:rPr>
                <w:sz w:val="18"/>
              </w:rPr>
              <w:t>management</w:t>
            </w:r>
            <w:r>
              <w:rPr>
                <w:spacing w:val="-2"/>
                <w:sz w:val="18"/>
              </w:rPr>
              <w:t> </w:t>
            </w:r>
            <w:r>
              <w:rPr>
                <w:sz w:val="18"/>
              </w:rPr>
              <w:t>actions preventing</w:t>
            </w:r>
            <w:r>
              <w:rPr>
                <w:spacing w:val="-7"/>
                <w:sz w:val="18"/>
              </w:rPr>
              <w:t> </w:t>
            </w:r>
            <w:r>
              <w:rPr>
                <w:sz w:val="18"/>
              </w:rPr>
              <w:t>the</w:t>
            </w:r>
            <w:r>
              <w:rPr>
                <w:spacing w:val="-7"/>
                <w:sz w:val="18"/>
              </w:rPr>
              <w:t> </w:t>
            </w:r>
            <w:r>
              <w:rPr>
                <w:sz w:val="18"/>
              </w:rPr>
              <w:t>spread</w:t>
            </w:r>
            <w:r>
              <w:rPr>
                <w:spacing w:val="-9"/>
                <w:sz w:val="18"/>
              </w:rPr>
              <w:t> </w:t>
            </w:r>
            <w:r>
              <w:rPr>
                <w:sz w:val="18"/>
              </w:rPr>
              <w:t>of</w:t>
            </w:r>
            <w:r>
              <w:rPr>
                <w:spacing w:val="-8"/>
                <w:sz w:val="18"/>
              </w:rPr>
              <w:t> </w:t>
            </w:r>
            <w:r>
              <w:rPr>
                <w:sz w:val="18"/>
              </w:rPr>
              <w:t>aquatic</w:t>
            </w:r>
            <w:r>
              <w:rPr>
                <w:spacing w:val="-7"/>
                <w:sz w:val="18"/>
              </w:rPr>
              <w:t> </w:t>
            </w:r>
            <w:r>
              <w:rPr>
                <w:sz w:val="18"/>
              </w:rPr>
              <w:t>invasive </w:t>
            </w:r>
            <w:r>
              <w:rPr>
                <w:spacing w:val="-2"/>
                <w:sz w:val="18"/>
              </w:rPr>
              <w:t>species?</w:t>
            </w:r>
          </w:p>
        </w:tc>
        <w:tc>
          <w:tcPr>
            <w:tcW w:w="2880" w:type="dxa"/>
            <w:tcBorders>
              <w:bottom w:val="single" w:sz="18" w:space="0" w:color="9BBA58"/>
            </w:tcBorders>
          </w:tcPr>
          <w:p>
            <w:pPr>
              <w:pStyle w:val="TableParagraph"/>
              <w:spacing w:line="207" w:lineRule="exact"/>
              <w:ind w:left="107"/>
              <w:rPr>
                <w:sz w:val="18"/>
              </w:rPr>
            </w:pPr>
            <w:r>
              <w:rPr>
                <w:spacing w:val="-2"/>
                <w:sz w:val="18"/>
              </w:rPr>
              <w:t>FW-DC-WR-</w:t>
            </w:r>
            <w:r>
              <w:rPr>
                <w:spacing w:val="-5"/>
                <w:sz w:val="18"/>
              </w:rPr>
              <w:t>12;</w:t>
            </w:r>
          </w:p>
          <w:p>
            <w:pPr>
              <w:pStyle w:val="TableParagraph"/>
              <w:spacing w:before="0"/>
              <w:ind w:left="107" w:right="227" w:hanging="1"/>
              <w:rPr>
                <w:sz w:val="18"/>
              </w:rPr>
            </w:pPr>
            <w:r>
              <w:rPr>
                <w:sz w:val="18"/>
              </w:rPr>
              <w:t>FW-OBJ-WR-01,</w:t>
            </w:r>
            <w:r>
              <w:rPr>
                <w:spacing w:val="-13"/>
                <w:sz w:val="18"/>
              </w:rPr>
              <w:t> </w:t>
            </w:r>
            <w:r>
              <w:rPr>
                <w:sz w:val="18"/>
              </w:rPr>
              <w:t>FW-OBJ-WR- </w:t>
            </w:r>
            <w:r>
              <w:rPr>
                <w:spacing w:val="-4"/>
                <w:sz w:val="18"/>
              </w:rPr>
              <w:t>02;</w:t>
            </w:r>
          </w:p>
          <w:p>
            <w:pPr>
              <w:pStyle w:val="TableParagraph"/>
              <w:spacing w:before="0"/>
              <w:ind w:left="107" w:right="207" w:hanging="1"/>
              <w:rPr>
                <w:sz w:val="18"/>
              </w:rPr>
            </w:pPr>
            <w:r>
              <w:rPr>
                <w:sz w:val="18"/>
              </w:rPr>
              <w:t>FW-STD-WR-02,</w:t>
            </w:r>
            <w:r>
              <w:rPr>
                <w:spacing w:val="-13"/>
                <w:sz w:val="18"/>
              </w:rPr>
              <w:t> </w:t>
            </w:r>
            <w:r>
              <w:rPr>
                <w:sz w:val="18"/>
              </w:rPr>
              <w:t>FW-STD-WR- </w:t>
            </w:r>
            <w:r>
              <w:rPr>
                <w:spacing w:val="-4"/>
                <w:sz w:val="18"/>
              </w:rPr>
              <w:t>03;</w:t>
            </w:r>
          </w:p>
          <w:p>
            <w:pPr>
              <w:pStyle w:val="TableParagraph"/>
              <w:spacing w:before="0"/>
              <w:ind w:left="107" w:right="186"/>
              <w:rPr>
                <w:sz w:val="18"/>
              </w:rPr>
            </w:pPr>
            <w:r>
              <w:rPr>
                <w:sz w:val="18"/>
              </w:rPr>
              <w:t>FW-GDL-WR-02,</w:t>
            </w:r>
            <w:r>
              <w:rPr>
                <w:spacing w:val="-13"/>
                <w:sz w:val="18"/>
              </w:rPr>
              <w:t> </w:t>
            </w:r>
            <w:r>
              <w:rPr>
                <w:sz w:val="18"/>
              </w:rPr>
              <w:t>FW-GDL-WR- </w:t>
            </w:r>
            <w:r>
              <w:rPr>
                <w:spacing w:val="-4"/>
                <w:sz w:val="18"/>
              </w:rPr>
              <w:t>03;</w:t>
            </w:r>
          </w:p>
          <w:p>
            <w:pPr>
              <w:pStyle w:val="TableParagraph"/>
              <w:spacing w:line="206" w:lineRule="exact" w:before="0"/>
              <w:ind w:left="107"/>
              <w:rPr>
                <w:sz w:val="18"/>
              </w:rPr>
            </w:pPr>
            <w:r>
              <w:rPr>
                <w:spacing w:val="-2"/>
                <w:sz w:val="18"/>
              </w:rPr>
              <w:t>MA-GDL-RMA-</w:t>
            </w:r>
            <w:r>
              <w:rPr>
                <w:spacing w:val="-5"/>
                <w:sz w:val="18"/>
              </w:rPr>
              <w:t>11</w:t>
            </w:r>
          </w:p>
        </w:tc>
        <w:tc>
          <w:tcPr>
            <w:tcW w:w="2791" w:type="dxa"/>
            <w:tcBorders>
              <w:bottom w:val="single" w:sz="18" w:space="0" w:color="9BBA58"/>
            </w:tcBorders>
          </w:tcPr>
          <w:p>
            <w:pPr>
              <w:pStyle w:val="TableParagraph"/>
              <w:ind w:left="106"/>
              <w:rPr>
                <w:sz w:val="18"/>
              </w:rPr>
            </w:pPr>
            <w:r>
              <w:rPr>
                <w:b/>
                <w:sz w:val="18"/>
              </w:rPr>
              <w:t>MON-AQH-03-01</w:t>
            </w:r>
            <w:r>
              <w:rPr>
                <w:sz w:val="18"/>
              </w:rPr>
              <w:t>:</w:t>
            </w:r>
            <w:r>
              <w:rPr>
                <w:spacing w:val="-12"/>
                <w:sz w:val="18"/>
              </w:rPr>
              <w:t> </w:t>
            </w:r>
            <w:r>
              <w:rPr>
                <w:sz w:val="18"/>
              </w:rPr>
              <w:t>Acres</w:t>
            </w:r>
            <w:r>
              <w:rPr>
                <w:spacing w:val="-13"/>
                <w:sz w:val="18"/>
              </w:rPr>
              <w:t> </w:t>
            </w:r>
            <w:r>
              <w:rPr>
                <w:sz w:val="18"/>
              </w:rPr>
              <w:t>of</w:t>
            </w:r>
            <w:r>
              <w:rPr>
                <w:spacing w:val="-11"/>
                <w:sz w:val="18"/>
              </w:rPr>
              <w:t> </w:t>
            </w:r>
            <w:r>
              <w:rPr>
                <w:sz w:val="18"/>
              </w:rPr>
              <w:t>non- native invasive aquatic habitat </w:t>
            </w:r>
            <w:r>
              <w:rPr>
                <w:spacing w:val="-2"/>
                <w:sz w:val="18"/>
              </w:rPr>
              <w:t>treated</w:t>
            </w:r>
          </w:p>
          <w:p>
            <w:pPr>
              <w:pStyle w:val="TableParagraph"/>
              <w:spacing w:before="0"/>
              <w:rPr>
                <w:b/>
                <w:sz w:val="18"/>
              </w:rPr>
            </w:pPr>
          </w:p>
          <w:p>
            <w:pPr>
              <w:pStyle w:val="TableParagraph"/>
              <w:spacing w:before="1"/>
              <w:ind w:left="106"/>
              <w:rPr>
                <w:sz w:val="18"/>
              </w:rPr>
            </w:pPr>
            <w:r>
              <w:rPr>
                <w:b/>
                <w:sz w:val="18"/>
              </w:rPr>
              <w:t>MON-AQH-03-02</w:t>
            </w:r>
            <w:r>
              <w:rPr>
                <w:sz w:val="18"/>
              </w:rPr>
              <w:t>: Number of sites</w:t>
            </w:r>
            <w:r>
              <w:rPr>
                <w:spacing w:val="-8"/>
                <w:sz w:val="18"/>
              </w:rPr>
              <w:t> </w:t>
            </w:r>
            <w:r>
              <w:rPr>
                <w:sz w:val="18"/>
              </w:rPr>
              <w:t>of</w:t>
            </w:r>
            <w:r>
              <w:rPr>
                <w:spacing w:val="-11"/>
                <w:sz w:val="18"/>
              </w:rPr>
              <w:t> </w:t>
            </w:r>
            <w:r>
              <w:rPr>
                <w:sz w:val="18"/>
              </w:rPr>
              <w:t>new</w:t>
            </w:r>
            <w:r>
              <w:rPr>
                <w:spacing w:val="-12"/>
                <w:sz w:val="18"/>
              </w:rPr>
              <w:t> </w:t>
            </w:r>
            <w:r>
              <w:rPr>
                <w:sz w:val="18"/>
              </w:rPr>
              <w:t>non-native</w:t>
            </w:r>
            <w:r>
              <w:rPr>
                <w:spacing w:val="-8"/>
                <w:sz w:val="18"/>
              </w:rPr>
              <w:t> </w:t>
            </w:r>
            <w:r>
              <w:rPr>
                <w:sz w:val="18"/>
              </w:rPr>
              <w:t>invasive aquatic species</w:t>
            </w:r>
          </w:p>
        </w:tc>
        <w:tc>
          <w:tcPr>
            <w:tcW w:w="2059" w:type="dxa"/>
            <w:tcBorders>
              <w:bottom w:val="single" w:sz="18" w:space="0" w:color="9BBA58"/>
            </w:tcBorders>
          </w:tcPr>
          <w:p>
            <w:pPr>
              <w:pStyle w:val="TableParagraph"/>
              <w:ind w:left="104" w:right="51"/>
              <w:rPr>
                <w:sz w:val="18"/>
              </w:rPr>
            </w:pPr>
            <w:r>
              <w:rPr>
                <w:sz w:val="18"/>
              </w:rPr>
              <w:t>Annual</w:t>
            </w:r>
            <w:r>
              <w:rPr>
                <w:spacing w:val="-15"/>
                <w:sz w:val="18"/>
              </w:rPr>
              <w:t> </w:t>
            </w:r>
            <w:r>
              <w:rPr>
                <w:sz w:val="18"/>
              </w:rPr>
              <w:t>(R6</w:t>
            </w:r>
            <w:r>
              <w:rPr>
                <w:spacing w:val="-12"/>
                <w:sz w:val="18"/>
              </w:rPr>
              <w:t> </w:t>
            </w:r>
            <w:r>
              <w:rPr>
                <w:sz w:val="18"/>
              </w:rPr>
              <w:t>stream </w:t>
            </w:r>
            <w:r>
              <w:rPr>
                <w:spacing w:val="-2"/>
                <w:sz w:val="18"/>
              </w:rPr>
              <w:t>WIT);</w:t>
            </w:r>
          </w:p>
          <w:p>
            <w:pPr>
              <w:pStyle w:val="TableParagraph"/>
              <w:spacing w:before="0"/>
              <w:rPr>
                <w:b/>
                <w:sz w:val="18"/>
              </w:rPr>
            </w:pPr>
          </w:p>
          <w:p>
            <w:pPr>
              <w:pStyle w:val="TableParagraph"/>
              <w:spacing w:before="0"/>
              <w:rPr>
                <w:b/>
                <w:sz w:val="18"/>
              </w:rPr>
            </w:pPr>
          </w:p>
          <w:p>
            <w:pPr>
              <w:pStyle w:val="TableParagraph"/>
              <w:spacing w:before="1"/>
              <w:ind w:left="104" w:right="177"/>
              <w:rPr>
                <w:sz w:val="18"/>
              </w:rPr>
            </w:pPr>
            <w:r>
              <w:rPr>
                <w:sz w:val="18"/>
              </w:rPr>
              <w:t>Every</w:t>
            </w:r>
            <w:r>
              <w:rPr>
                <w:spacing w:val="-13"/>
                <w:sz w:val="18"/>
              </w:rPr>
              <w:t> </w:t>
            </w:r>
            <w:r>
              <w:rPr>
                <w:sz w:val="18"/>
              </w:rPr>
              <w:t>5</w:t>
            </w:r>
            <w:r>
              <w:rPr>
                <w:spacing w:val="-11"/>
                <w:sz w:val="18"/>
              </w:rPr>
              <w:t> </w:t>
            </w:r>
            <w:r>
              <w:rPr>
                <w:sz w:val="18"/>
              </w:rPr>
              <w:t>years</w:t>
            </w:r>
            <w:r>
              <w:rPr>
                <w:spacing w:val="-12"/>
                <w:sz w:val="18"/>
              </w:rPr>
              <w:t> </w:t>
            </w:r>
            <w:r>
              <w:rPr>
                <w:sz w:val="18"/>
              </w:rPr>
              <w:t>(PIBO </w:t>
            </w:r>
            <w:r>
              <w:rPr>
                <w:spacing w:val="-4"/>
                <w:sz w:val="18"/>
              </w:rPr>
              <w:t>EM)</w:t>
            </w:r>
          </w:p>
        </w:tc>
      </w:tr>
    </w:tbl>
    <w:p>
      <w:pPr>
        <w:pStyle w:val="TableParagraph"/>
        <w:spacing w:after="0"/>
        <w:rPr>
          <w:sz w:val="18"/>
        </w:rPr>
        <w:sectPr>
          <w:pgSz w:w="15840" w:h="12240" w:orient="landscape"/>
          <w:pgMar w:header="725" w:footer="891" w:top="1440" w:bottom="1080" w:left="1440" w:right="1440"/>
        </w:sectPr>
      </w:pPr>
    </w:p>
    <w:p>
      <w:pPr>
        <w:pStyle w:val="BodyText"/>
        <w:spacing w:before="82"/>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1361" w:hRule="atLeast"/>
        </w:trPr>
        <w:tc>
          <w:tcPr>
            <w:tcW w:w="1702" w:type="dxa"/>
            <w:tcBorders>
              <w:top w:val="single" w:sz="18" w:space="0" w:color="9BBA58"/>
              <w:bottom w:val="single" w:sz="18" w:space="0" w:color="9BBA58"/>
            </w:tcBorders>
          </w:tcPr>
          <w:p>
            <w:pPr>
              <w:pStyle w:val="TableParagraph"/>
              <w:ind w:left="107"/>
              <w:rPr>
                <w:b/>
                <w:sz w:val="18"/>
              </w:rPr>
            </w:pPr>
            <w:r>
              <w:rPr>
                <w:b/>
                <w:spacing w:val="-4"/>
                <w:sz w:val="18"/>
              </w:rPr>
              <w:t>Soil</w:t>
            </w:r>
          </w:p>
        </w:tc>
        <w:tc>
          <w:tcPr>
            <w:tcW w:w="3509" w:type="dxa"/>
            <w:tcBorders>
              <w:top w:val="single" w:sz="18" w:space="0" w:color="9BBA58"/>
              <w:bottom w:val="single" w:sz="18" w:space="0" w:color="9BBA58"/>
            </w:tcBorders>
          </w:tcPr>
          <w:p>
            <w:pPr>
              <w:pStyle w:val="TableParagraph"/>
              <w:ind w:left="104" w:right="60" w:hanging="1"/>
              <w:rPr>
                <w:sz w:val="18"/>
              </w:rPr>
            </w:pPr>
            <w:r>
              <w:rPr>
                <w:b/>
                <w:sz w:val="18"/>
              </w:rPr>
              <w:t>MON-SOIL-01</w:t>
            </w:r>
            <w:r>
              <w:rPr>
                <w:sz w:val="18"/>
              </w:rPr>
              <w:t>:</w:t>
            </w:r>
            <w:r>
              <w:rPr>
                <w:spacing w:val="-8"/>
                <w:sz w:val="18"/>
              </w:rPr>
              <w:t> </w:t>
            </w:r>
            <w:r>
              <w:rPr>
                <w:sz w:val="18"/>
              </w:rPr>
              <w:t>To</w:t>
            </w:r>
            <w:r>
              <w:rPr>
                <w:spacing w:val="-7"/>
                <w:sz w:val="18"/>
              </w:rPr>
              <w:t> </w:t>
            </w:r>
            <w:r>
              <w:rPr>
                <w:sz w:val="18"/>
              </w:rPr>
              <w:t>what</w:t>
            </w:r>
            <w:r>
              <w:rPr>
                <w:spacing w:val="-8"/>
                <w:sz w:val="18"/>
              </w:rPr>
              <w:t> </w:t>
            </w:r>
            <w:r>
              <w:rPr>
                <w:sz w:val="18"/>
              </w:rPr>
              <w:t>extent</w:t>
            </w:r>
            <w:r>
              <w:rPr>
                <w:spacing w:val="-8"/>
                <w:sz w:val="18"/>
              </w:rPr>
              <w:t> </w:t>
            </w:r>
            <w:r>
              <w:rPr>
                <w:sz w:val="18"/>
              </w:rPr>
              <w:t>have</w:t>
            </w:r>
            <w:r>
              <w:rPr>
                <w:spacing w:val="-7"/>
                <w:sz w:val="18"/>
              </w:rPr>
              <w:t> </w:t>
            </w:r>
            <w:r>
              <w:rPr>
                <w:sz w:val="18"/>
              </w:rPr>
              <w:t>plan components prevented irreversible damage to soil conditions?</w:t>
            </w:r>
          </w:p>
        </w:tc>
        <w:tc>
          <w:tcPr>
            <w:tcW w:w="2880" w:type="dxa"/>
            <w:tcBorders>
              <w:top w:val="single" w:sz="18" w:space="0" w:color="9BBA58"/>
              <w:bottom w:val="single" w:sz="18" w:space="0" w:color="9BBA58"/>
            </w:tcBorders>
          </w:tcPr>
          <w:p>
            <w:pPr>
              <w:pStyle w:val="TableParagraph"/>
              <w:spacing w:before="0"/>
              <w:ind w:left="107" w:right="186"/>
              <w:rPr>
                <w:sz w:val="18"/>
              </w:rPr>
            </w:pPr>
            <w:r>
              <w:rPr>
                <w:sz w:val="18"/>
              </w:rPr>
              <w:t>FW-DC-SOIL-01,</w:t>
            </w:r>
            <w:r>
              <w:rPr>
                <w:spacing w:val="-13"/>
                <w:sz w:val="18"/>
              </w:rPr>
              <w:t> </w:t>
            </w:r>
            <w:r>
              <w:rPr>
                <w:sz w:val="18"/>
              </w:rPr>
              <w:t>FW-DC-SOIL- </w:t>
            </w:r>
            <w:r>
              <w:rPr>
                <w:spacing w:val="-4"/>
                <w:sz w:val="18"/>
              </w:rPr>
              <w:t>02;</w:t>
            </w:r>
          </w:p>
          <w:p>
            <w:pPr>
              <w:pStyle w:val="TableParagraph"/>
              <w:spacing w:before="0"/>
              <w:ind w:left="107" w:right="1257"/>
              <w:rPr>
                <w:sz w:val="18"/>
              </w:rPr>
            </w:pPr>
            <w:r>
              <w:rPr>
                <w:spacing w:val="-2"/>
                <w:sz w:val="18"/>
              </w:rPr>
              <w:t>FW-OBJ-SOIL-01; FW-GDL-SOIL-</w:t>
            </w:r>
            <w:r>
              <w:rPr>
                <w:spacing w:val="-5"/>
                <w:sz w:val="18"/>
              </w:rPr>
              <w:t>01;</w:t>
            </w:r>
          </w:p>
        </w:tc>
        <w:tc>
          <w:tcPr>
            <w:tcW w:w="2791" w:type="dxa"/>
            <w:tcBorders>
              <w:top w:val="single" w:sz="18" w:space="0" w:color="9BBA58"/>
              <w:bottom w:val="single" w:sz="18" w:space="0" w:color="9BBA58"/>
            </w:tcBorders>
          </w:tcPr>
          <w:p>
            <w:pPr>
              <w:pStyle w:val="TableParagraph"/>
              <w:spacing w:before="0"/>
              <w:ind w:left="107"/>
              <w:rPr>
                <w:sz w:val="18"/>
              </w:rPr>
            </w:pPr>
            <w:r>
              <w:rPr>
                <w:b/>
                <w:sz w:val="18"/>
              </w:rPr>
              <w:t>MON-SOIL-01-01</w:t>
            </w:r>
            <w:r>
              <w:rPr>
                <w:sz w:val="18"/>
              </w:rPr>
              <w:t>: Number of harvest units surveyed and percent</w:t>
            </w:r>
            <w:r>
              <w:rPr>
                <w:spacing w:val="-10"/>
                <w:sz w:val="18"/>
              </w:rPr>
              <w:t> </w:t>
            </w:r>
            <w:r>
              <w:rPr>
                <w:sz w:val="18"/>
              </w:rPr>
              <w:t>that</w:t>
            </w:r>
            <w:r>
              <w:rPr>
                <w:spacing w:val="-11"/>
                <w:sz w:val="18"/>
              </w:rPr>
              <w:t> </w:t>
            </w:r>
            <w:r>
              <w:rPr>
                <w:sz w:val="18"/>
              </w:rPr>
              <w:t>meet</w:t>
            </w:r>
            <w:r>
              <w:rPr>
                <w:spacing w:val="-11"/>
                <w:sz w:val="18"/>
              </w:rPr>
              <w:t> </w:t>
            </w:r>
            <w:r>
              <w:rPr>
                <w:sz w:val="18"/>
              </w:rPr>
              <w:t>the</w:t>
            </w:r>
            <w:r>
              <w:rPr>
                <w:spacing w:val="-9"/>
                <w:sz w:val="18"/>
              </w:rPr>
              <w:t> </w:t>
            </w:r>
            <w:r>
              <w:rPr>
                <w:sz w:val="18"/>
              </w:rPr>
              <w:t>Regional Soil Quality Standard, post- harvest (FSM, R6 Supplement No. 2500.98-1)</w:t>
            </w:r>
          </w:p>
        </w:tc>
        <w:tc>
          <w:tcPr>
            <w:tcW w:w="2059" w:type="dxa"/>
            <w:tcBorders>
              <w:top w:val="single" w:sz="18" w:space="0" w:color="9BBA58"/>
              <w:bottom w:val="single" w:sz="18" w:space="0" w:color="9BBA58"/>
            </w:tcBorders>
          </w:tcPr>
          <w:p>
            <w:pPr>
              <w:pStyle w:val="TableParagraph"/>
              <w:ind w:left="104"/>
              <w:rPr>
                <w:sz w:val="18"/>
              </w:rPr>
            </w:pPr>
            <w:r>
              <w:rPr>
                <w:spacing w:val="-2"/>
                <w:sz w:val="18"/>
              </w:rPr>
              <w:t>Annual</w:t>
            </w:r>
          </w:p>
        </w:tc>
      </w:tr>
      <w:tr>
        <w:trPr>
          <w:trHeight w:val="1675" w:hRule="atLeast"/>
        </w:trPr>
        <w:tc>
          <w:tcPr>
            <w:tcW w:w="1702" w:type="dxa"/>
            <w:vMerge w:val="restart"/>
            <w:tcBorders>
              <w:top w:val="single" w:sz="18" w:space="0" w:color="9BBA58"/>
              <w:bottom w:val="single" w:sz="18" w:space="0" w:color="9BBA58"/>
            </w:tcBorders>
          </w:tcPr>
          <w:p>
            <w:pPr>
              <w:pStyle w:val="TableParagraph"/>
              <w:spacing w:line="300" w:lineRule="auto" w:before="41"/>
              <w:ind w:left="107" w:right="257"/>
              <w:rPr>
                <w:b/>
                <w:sz w:val="18"/>
              </w:rPr>
            </w:pPr>
            <w:r>
              <w:rPr>
                <w:b/>
                <w:sz w:val="18"/>
              </w:rPr>
              <w:t>Federally</w:t>
            </w:r>
            <w:r>
              <w:rPr>
                <w:b/>
                <w:spacing w:val="-13"/>
                <w:sz w:val="18"/>
              </w:rPr>
              <w:t> </w:t>
            </w:r>
            <w:r>
              <w:rPr>
                <w:b/>
                <w:sz w:val="18"/>
              </w:rPr>
              <w:t>listed </w:t>
            </w:r>
            <w:r>
              <w:rPr>
                <w:b/>
                <w:spacing w:val="-2"/>
                <w:sz w:val="18"/>
              </w:rPr>
              <w:t>species</w:t>
            </w:r>
          </w:p>
        </w:tc>
        <w:tc>
          <w:tcPr>
            <w:tcW w:w="3509" w:type="dxa"/>
            <w:vMerge w:val="restart"/>
            <w:tcBorders>
              <w:top w:val="single" w:sz="18" w:space="0" w:color="9BBA58"/>
              <w:bottom w:val="single" w:sz="18" w:space="0" w:color="9BBA58"/>
            </w:tcBorders>
          </w:tcPr>
          <w:p>
            <w:pPr>
              <w:pStyle w:val="TableParagraph"/>
              <w:spacing w:before="41"/>
              <w:ind w:left="104" w:right="60"/>
              <w:rPr>
                <w:sz w:val="18"/>
              </w:rPr>
            </w:pPr>
            <w:r>
              <w:rPr>
                <w:b/>
                <w:sz w:val="18"/>
              </w:rPr>
              <w:t>MON-FLS-01</w:t>
            </w:r>
            <w:r>
              <w:rPr>
                <w:sz w:val="18"/>
              </w:rPr>
              <w:t>: To what extent is forest management contributing to the conservation</w:t>
            </w:r>
            <w:r>
              <w:rPr>
                <w:spacing w:val="-8"/>
                <w:sz w:val="18"/>
              </w:rPr>
              <w:t> </w:t>
            </w:r>
            <w:r>
              <w:rPr>
                <w:sz w:val="18"/>
              </w:rPr>
              <w:t>of</w:t>
            </w:r>
            <w:r>
              <w:rPr>
                <w:spacing w:val="-10"/>
                <w:sz w:val="18"/>
              </w:rPr>
              <w:t> </w:t>
            </w:r>
            <w:r>
              <w:rPr>
                <w:sz w:val="18"/>
              </w:rPr>
              <w:t>federally</w:t>
            </w:r>
            <w:r>
              <w:rPr>
                <w:spacing w:val="-9"/>
                <w:sz w:val="18"/>
              </w:rPr>
              <w:t> </w:t>
            </w:r>
            <w:r>
              <w:rPr>
                <w:sz w:val="18"/>
              </w:rPr>
              <w:t>listed</w:t>
            </w:r>
            <w:r>
              <w:rPr>
                <w:spacing w:val="-10"/>
                <w:sz w:val="18"/>
              </w:rPr>
              <w:t> </w:t>
            </w:r>
            <w:r>
              <w:rPr>
                <w:sz w:val="18"/>
              </w:rPr>
              <w:t>species and</w:t>
            </w:r>
            <w:r>
              <w:rPr>
                <w:spacing w:val="-4"/>
                <w:sz w:val="18"/>
              </w:rPr>
              <w:t> </w:t>
            </w:r>
            <w:r>
              <w:rPr>
                <w:sz w:val="18"/>
              </w:rPr>
              <w:t>moving</w:t>
            </w:r>
            <w:r>
              <w:rPr>
                <w:spacing w:val="-3"/>
                <w:sz w:val="18"/>
              </w:rPr>
              <w:t> </w:t>
            </w:r>
            <w:r>
              <w:rPr>
                <w:sz w:val="18"/>
              </w:rPr>
              <w:t>toward</w:t>
            </w:r>
            <w:r>
              <w:rPr>
                <w:spacing w:val="-1"/>
                <w:sz w:val="18"/>
              </w:rPr>
              <w:t> </w:t>
            </w:r>
            <w:r>
              <w:rPr>
                <w:sz w:val="18"/>
              </w:rPr>
              <w:t>habitat</w:t>
            </w:r>
            <w:r>
              <w:rPr>
                <w:spacing w:val="-3"/>
                <w:sz w:val="18"/>
              </w:rPr>
              <w:t> </w:t>
            </w:r>
            <w:r>
              <w:rPr>
                <w:spacing w:val="-2"/>
                <w:sz w:val="18"/>
              </w:rPr>
              <w:t>objectives?</w:t>
            </w:r>
          </w:p>
        </w:tc>
        <w:tc>
          <w:tcPr>
            <w:tcW w:w="2880" w:type="dxa"/>
            <w:tcBorders>
              <w:top w:val="single" w:sz="18" w:space="0" w:color="9BBA58"/>
              <w:bottom w:val="nil"/>
            </w:tcBorders>
          </w:tcPr>
          <w:p>
            <w:pPr>
              <w:pStyle w:val="TableParagraph"/>
              <w:spacing w:line="207" w:lineRule="exact" w:before="0"/>
              <w:ind w:left="107"/>
              <w:rPr>
                <w:sz w:val="18"/>
              </w:rPr>
            </w:pPr>
            <w:r>
              <w:rPr>
                <w:spacing w:val="-2"/>
                <w:sz w:val="18"/>
              </w:rPr>
              <w:t>FW-DC-WL-02,</w:t>
            </w:r>
            <w:r>
              <w:rPr>
                <w:spacing w:val="19"/>
                <w:sz w:val="18"/>
              </w:rPr>
              <w:t> </w:t>
            </w:r>
            <w:r>
              <w:rPr>
                <w:spacing w:val="-2"/>
                <w:sz w:val="18"/>
              </w:rPr>
              <w:t>FW-DC-WL-</w:t>
            </w:r>
            <w:r>
              <w:rPr>
                <w:spacing w:val="-5"/>
                <w:sz w:val="18"/>
              </w:rPr>
              <w:t>03,</w:t>
            </w:r>
          </w:p>
          <w:p>
            <w:pPr>
              <w:pStyle w:val="TableParagraph"/>
              <w:spacing w:line="206" w:lineRule="exact" w:before="0"/>
              <w:ind w:left="107"/>
              <w:rPr>
                <w:sz w:val="18"/>
              </w:rPr>
            </w:pPr>
            <w:r>
              <w:rPr>
                <w:spacing w:val="-2"/>
                <w:sz w:val="18"/>
              </w:rPr>
              <w:t>FW-DC-WL-04,</w:t>
            </w:r>
            <w:r>
              <w:rPr>
                <w:spacing w:val="19"/>
                <w:sz w:val="18"/>
              </w:rPr>
              <w:t> </w:t>
            </w:r>
            <w:r>
              <w:rPr>
                <w:spacing w:val="-2"/>
                <w:sz w:val="18"/>
              </w:rPr>
              <w:t>FW-DC-WL-</w:t>
            </w:r>
            <w:r>
              <w:rPr>
                <w:spacing w:val="-5"/>
                <w:sz w:val="18"/>
              </w:rPr>
              <w:t>05,</w:t>
            </w:r>
          </w:p>
          <w:p>
            <w:pPr>
              <w:pStyle w:val="TableParagraph"/>
              <w:spacing w:line="206" w:lineRule="exact" w:before="0"/>
              <w:ind w:left="106"/>
              <w:rPr>
                <w:sz w:val="18"/>
              </w:rPr>
            </w:pPr>
            <w:r>
              <w:rPr>
                <w:spacing w:val="-2"/>
                <w:sz w:val="18"/>
              </w:rPr>
              <w:t>FW-DC-WL-06,</w:t>
            </w:r>
            <w:r>
              <w:rPr>
                <w:spacing w:val="19"/>
                <w:sz w:val="18"/>
              </w:rPr>
              <w:t> </w:t>
            </w:r>
            <w:r>
              <w:rPr>
                <w:spacing w:val="-2"/>
                <w:sz w:val="18"/>
              </w:rPr>
              <w:t>FW-DC-WL-</w:t>
            </w:r>
            <w:r>
              <w:rPr>
                <w:spacing w:val="-5"/>
                <w:sz w:val="18"/>
              </w:rPr>
              <w:t>07,</w:t>
            </w:r>
          </w:p>
          <w:p>
            <w:pPr>
              <w:pStyle w:val="TableParagraph"/>
              <w:spacing w:line="207" w:lineRule="exact" w:before="0"/>
              <w:ind w:left="106"/>
              <w:rPr>
                <w:sz w:val="18"/>
              </w:rPr>
            </w:pPr>
            <w:r>
              <w:rPr>
                <w:spacing w:val="-2"/>
                <w:sz w:val="18"/>
              </w:rPr>
              <w:t>FW-DC-WL-08,</w:t>
            </w:r>
            <w:r>
              <w:rPr>
                <w:spacing w:val="20"/>
                <w:sz w:val="18"/>
              </w:rPr>
              <w:t> </w:t>
            </w:r>
            <w:r>
              <w:rPr>
                <w:spacing w:val="-2"/>
                <w:sz w:val="18"/>
              </w:rPr>
              <w:t>FW-DC-WL-</w:t>
            </w:r>
            <w:r>
              <w:rPr>
                <w:spacing w:val="-5"/>
                <w:sz w:val="18"/>
              </w:rPr>
              <w:t>09;</w:t>
            </w:r>
          </w:p>
          <w:p>
            <w:pPr>
              <w:pStyle w:val="TableParagraph"/>
              <w:spacing w:before="2"/>
              <w:ind w:left="106" w:right="287"/>
              <w:rPr>
                <w:sz w:val="18"/>
              </w:rPr>
            </w:pPr>
            <w:r>
              <w:rPr>
                <w:sz w:val="18"/>
              </w:rPr>
              <w:t>FW-OBJ-WL-02,</w:t>
            </w:r>
            <w:r>
              <w:rPr>
                <w:spacing w:val="-13"/>
                <w:sz w:val="18"/>
              </w:rPr>
              <w:t> </w:t>
            </w:r>
            <w:r>
              <w:rPr>
                <w:sz w:val="18"/>
              </w:rPr>
              <w:t>FW-OBJ-WL- </w:t>
            </w:r>
            <w:r>
              <w:rPr>
                <w:spacing w:val="-4"/>
                <w:sz w:val="18"/>
              </w:rPr>
              <w:t>03;</w:t>
            </w:r>
          </w:p>
          <w:p>
            <w:pPr>
              <w:pStyle w:val="TableParagraph"/>
              <w:spacing w:line="206" w:lineRule="exact" w:before="0"/>
              <w:ind w:left="106"/>
              <w:rPr>
                <w:sz w:val="18"/>
              </w:rPr>
            </w:pPr>
            <w:r>
              <w:rPr>
                <w:spacing w:val="-2"/>
                <w:sz w:val="18"/>
              </w:rPr>
              <w:t>FW-STD-WL-02,</w:t>
            </w:r>
            <w:r>
              <w:rPr>
                <w:spacing w:val="11"/>
                <w:sz w:val="18"/>
              </w:rPr>
              <w:t> </w:t>
            </w:r>
            <w:r>
              <w:rPr>
                <w:spacing w:val="-2"/>
                <w:sz w:val="18"/>
              </w:rPr>
              <w:t>FW-STD-</w:t>
            </w:r>
            <w:r>
              <w:rPr>
                <w:spacing w:val="-5"/>
                <w:sz w:val="18"/>
              </w:rPr>
              <w:t>WL-</w:t>
            </w:r>
          </w:p>
          <w:p>
            <w:pPr>
              <w:pStyle w:val="TableParagraph"/>
              <w:spacing w:line="207" w:lineRule="exact" w:before="0"/>
              <w:ind w:left="106"/>
              <w:rPr>
                <w:sz w:val="18"/>
              </w:rPr>
            </w:pPr>
            <w:r>
              <w:rPr>
                <w:sz w:val="18"/>
              </w:rPr>
              <w:t>03,</w:t>
            </w:r>
            <w:r>
              <w:rPr>
                <w:spacing w:val="-11"/>
                <w:sz w:val="18"/>
              </w:rPr>
              <w:t> </w:t>
            </w:r>
            <w:r>
              <w:rPr>
                <w:sz w:val="18"/>
              </w:rPr>
              <w:t>FW-STD-WL-04,</w:t>
            </w:r>
            <w:r>
              <w:rPr>
                <w:spacing w:val="-11"/>
                <w:sz w:val="18"/>
              </w:rPr>
              <w:t> </w:t>
            </w:r>
            <w:r>
              <w:rPr>
                <w:sz w:val="18"/>
              </w:rPr>
              <w:t>FW-</w:t>
            </w:r>
            <w:r>
              <w:rPr>
                <w:spacing w:val="-4"/>
                <w:sz w:val="18"/>
              </w:rPr>
              <w:t>STD-</w:t>
            </w:r>
          </w:p>
        </w:tc>
        <w:tc>
          <w:tcPr>
            <w:tcW w:w="2791" w:type="dxa"/>
            <w:tcBorders>
              <w:top w:val="single" w:sz="18" w:space="0" w:color="9BBA58"/>
              <w:bottom w:val="nil"/>
            </w:tcBorders>
          </w:tcPr>
          <w:p>
            <w:pPr>
              <w:pStyle w:val="TableParagraph"/>
              <w:spacing w:before="41"/>
              <w:ind w:left="107" w:right="87"/>
              <w:rPr>
                <w:sz w:val="18"/>
              </w:rPr>
            </w:pPr>
            <w:r>
              <w:rPr>
                <w:b/>
                <w:sz w:val="18"/>
              </w:rPr>
              <w:t>MON-FLS-01-01</w:t>
            </w:r>
            <w:r>
              <w:rPr>
                <w:sz w:val="18"/>
              </w:rPr>
              <w:t>: Grizzly Bear: progress toward achieving and maintaining standards for percent core area, open motorized</w:t>
            </w:r>
            <w:r>
              <w:rPr>
                <w:spacing w:val="-5"/>
                <w:sz w:val="18"/>
              </w:rPr>
              <w:t> </w:t>
            </w:r>
            <w:r>
              <w:rPr>
                <w:sz w:val="18"/>
              </w:rPr>
              <w:t>road</w:t>
            </w:r>
            <w:r>
              <w:rPr>
                <w:spacing w:val="-5"/>
                <w:sz w:val="18"/>
              </w:rPr>
              <w:t> </w:t>
            </w:r>
            <w:r>
              <w:rPr>
                <w:sz w:val="18"/>
              </w:rPr>
              <w:t>density</w:t>
            </w:r>
            <w:r>
              <w:rPr>
                <w:spacing w:val="-7"/>
                <w:sz w:val="18"/>
              </w:rPr>
              <w:t> </w:t>
            </w:r>
            <w:r>
              <w:rPr>
                <w:sz w:val="18"/>
              </w:rPr>
              <w:t>(OMRD) and</w:t>
            </w:r>
            <w:r>
              <w:rPr>
                <w:spacing w:val="-7"/>
                <w:sz w:val="18"/>
              </w:rPr>
              <w:t> </w:t>
            </w:r>
            <w:r>
              <w:rPr>
                <w:sz w:val="18"/>
              </w:rPr>
              <w:t>total</w:t>
            </w:r>
            <w:r>
              <w:rPr>
                <w:spacing w:val="-8"/>
                <w:sz w:val="18"/>
              </w:rPr>
              <w:t> </w:t>
            </w:r>
            <w:r>
              <w:rPr>
                <w:sz w:val="18"/>
              </w:rPr>
              <w:t>motorized</w:t>
            </w:r>
            <w:r>
              <w:rPr>
                <w:spacing w:val="-7"/>
                <w:sz w:val="18"/>
              </w:rPr>
              <w:t> </w:t>
            </w:r>
            <w:r>
              <w:rPr>
                <w:sz w:val="18"/>
              </w:rPr>
              <w:t>road</w:t>
            </w:r>
            <w:r>
              <w:rPr>
                <w:spacing w:val="-8"/>
                <w:sz w:val="18"/>
              </w:rPr>
              <w:t> </w:t>
            </w:r>
            <w:r>
              <w:rPr>
                <w:spacing w:val="-2"/>
                <w:sz w:val="18"/>
              </w:rPr>
              <w:t>density</w:t>
            </w:r>
          </w:p>
          <w:p>
            <w:pPr>
              <w:pStyle w:val="TableParagraph"/>
              <w:spacing w:line="206" w:lineRule="exact" w:before="0"/>
              <w:ind w:left="107" w:right="316"/>
              <w:rPr>
                <w:sz w:val="18"/>
              </w:rPr>
            </w:pPr>
            <w:r>
              <w:rPr>
                <w:sz w:val="18"/>
              </w:rPr>
              <w:t>(TMRD)</w:t>
            </w:r>
            <w:r>
              <w:rPr>
                <w:spacing w:val="-13"/>
                <w:sz w:val="18"/>
              </w:rPr>
              <w:t> </w:t>
            </w:r>
            <w:r>
              <w:rPr>
                <w:sz w:val="18"/>
              </w:rPr>
              <w:t>within</w:t>
            </w:r>
            <w:r>
              <w:rPr>
                <w:spacing w:val="-12"/>
                <w:sz w:val="18"/>
              </w:rPr>
              <w:t> </w:t>
            </w:r>
            <w:r>
              <w:rPr>
                <w:sz w:val="18"/>
              </w:rPr>
              <w:t>each</w:t>
            </w:r>
            <w:r>
              <w:rPr>
                <w:spacing w:val="-13"/>
                <w:sz w:val="18"/>
              </w:rPr>
              <w:t> </w:t>
            </w:r>
            <w:r>
              <w:rPr>
                <w:sz w:val="18"/>
              </w:rPr>
              <w:t>Grizzly Bear Management Unit.</w:t>
            </w:r>
          </w:p>
        </w:tc>
        <w:tc>
          <w:tcPr>
            <w:tcW w:w="2059" w:type="dxa"/>
            <w:tcBorders>
              <w:top w:val="single" w:sz="18" w:space="0" w:color="9BBA58"/>
              <w:bottom w:val="nil"/>
            </w:tcBorders>
          </w:tcPr>
          <w:p>
            <w:pPr>
              <w:pStyle w:val="TableParagraph"/>
              <w:spacing w:before="41"/>
              <w:ind w:left="104"/>
              <w:rPr>
                <w:sz w:val="18"/>
              </w:rPr>
            </w:pPr>
            <w:r>
              <w:rPr>
                <w:spacing w:val="-2"/>
                <w:sz w:val="18"/>
              </w:rPr>
              <w:t>Annual</w:t>
            </w:r>
          </w:p>
        </w:tc>
      </w:tr>
      <w:tr>
        <w:trPr>
          <w:trHeight w:val="1943"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vMerge w:val="restart"/>
            <w:tcBorders>
              <w:top w:val="nil"/>
              <w:bottom w:val="nil"/>
            </w:tcBorders>
          </w:tcPr>
          <w:p>
            <w:pPr>
              <w:pStyle w:val="TableParagraph"/>
              <w:spacing w:line="162" w:lineRule="exact" w:before="0"/>
              <w:ind w:left="107"/>
              <w:rPr>
                <w:sz w:val="18"/>
              </w:rPr>
            </w:pPr>
            <w:r>
              <w:rPr>
                <w:sz w:val="18"/>
              </w:rPr>
              <w:t>WL-05,</w:t>
            </w:r>
            <w:r>
              <w:rPr>
                <w:spacing w:val="-13"/>
                <w:sz w:val="18"/>
              </w:rPr>
              <w:t> </w:t>
            </w:r>
            <w:r>
              <w:rPr>
                <w:sz w:val="18"/>
              </w:rPr>
              <w:t>FW-STD-WL-06,</w:t>
            </w:r>
            <w:r>
              <w:rPr>
                <w:spacing w:val="-11"/>
                <w:sz w:val="18"/>
              </w:rPr>
              <w:t> </w:t>
            </w:r>
            <w:r>
              <w:rPr>
                <w:spacing w:val="-5"/>
                <w:sz w:val="18"/>
              </w:rPr>
              <w:t>FW-</w:t>
            </w:r>
          </w:p>
          <w:p>
            <w:pPr>
              <w:pStyle w:val="TableParagraph"/>
              <w:spacing w:line="207" w:lineRule="exact" w:before="0"/>
              <w:ind w:left="107"/>
              <w:rPr>
                <w:sz w:val="18"/>
              </w:rPr>
            </w:pPr>
            <w:r>
              <w:rPr>
                <w:spacing w:val="-2"/>
                <w:sz w:val="18"/>
              </w:rPr>
              <w:t>STD-WL-07,</w:t>
            </w:r>
            <w:r>
              <w:rPr>
                <w:spacing w:val="19"/>
                <w:sz w:val="18"/>
              </w:rPr>
              <w:t> </w:t>
            </w:r>
            <w:r>
              <w:rPr>
                <w:spacing w:val="-2"/>
                <w:sz w:val="18"/>
              </w:rPr>
              <w:t>FW-STD-WL-</w:t>
            </w:r>
            <w:r>
              <w:rPr>
                <w:spacing w:val="-5"/>
                <w:sz w:val="18"/>
              </w:rPr>
              <w:t>08,</w:t>
            </w:r>
          </w:p>
          <w:p>
            <w:pPr>
              <w:pStyle w:val="TableParagraph"/>
              <w:spacing w:line="207" w:lineRule="exact" w:before="2"/>
              <w:ind w:left="107"/>
              <w:rPr>
                <w:sz w:val="18"/>
              </w:rPr>
            </w:pPr>
            <w:r>
              <w:rPr>
                <w:spacing w:val="-2"/>
                <w:sz w:val="18"/>
              </w:rPr>
              <w:t>FW-STD-WL-09,</w:t>
            </w:r>
            <w:r>
              <w:rPr>
                <w:spacing w:val="11"/>
                <w:sz w:val="18"/>
              </w:rPr>
              <w:t> </w:t>
            </w:r>
            <w:r>
              <w:rPr>
                <w:spacing w:val="-2"/>
                <w:sz w:val="18"/>
              </w:rPr>
              <w:t>FW-STD-</w:t>
            </w:r>
            <w:r>
              <w:rPr>
                <w:spacing w:val="-5"/>
                <w:sz w:val="18"/>
              </w:rPr>
              <w:t>WL-</w:t>
            </w:r>
          </w:p>
          <w:p>
            <w:pPr>
              <w:pStyle w:val="TableParagraph"/>
              <w:spacing w:line="206" w:lineRule="exact" w:before="0"/>
              <w:ind w:left="107"/>
              <w:rPr>
                <w:sz w:val="18"/>
              </w:rPr>
            </w:pPr>
            <w:r>
              <w:rPr>
                <w:spacing w:val="-2"/>
                <w:sz w:val="18"/>
              </w:rPr>
              <w:t>10,</w:t>
            </w:r>
            <w:r>
              <w:rPr>
                <w:spacing w:val="10"/>
                <w:sz w:val="18"/>
              </w:rPr>
              <w:t> </w:t>
            </w:r>
            <w:r>
              <w:rPr>
                <w:spacing w:val="-2"/>
                <w:sz w:val="18"/>
              </w:rPr>
              <w:t>FW-STD-WL-</w:t>
            </w:r>
            <w:r>
              <w:rPr>
                <w:spacing w:val="-5"/>
                <w:sz w:val="18"/>
              </w:rPr>
              <w:t>11;</w:t>
            </w:r>
          </w:p>
          <w:p>
            <w:pPr>
              <w:pStyle w:val="TableParagraph"/>
              <w:spacing w:line="206" w:lineRule="exact" w:before="0"/>
              <w:ind w:left="107"/>
              <w:rPr>
                <w:sz w:val="18"/>
              </w:rPr>
            </w:pPr>
            <w:r>
              <w:rPr>
                <w:spacing w:val="-2"/>
                <w:sz w:val="18"/>
              </w:rPr>
              <w:t>FW-GDL-WL-04,</w:t>
            </w:r>
            <w:r>
              <w:rPr>
                <w:spacing w:val="16"/>
                <w:sz w:val="18"/>
              </w:rPr>
              <w:t> </w:t>
            </w:r>
            <w:r>
              <w:rPr>
                <w:spacing w:val="-2"/>
                <w:sz w:val="18"/>
              </w:rPr>
              <w:t>FW-GDL-</w:t>
            </w:r>
            <w:r>
              <w:rPr>
                <w:spacing w:val="-5"/>
                <w:sz w:val="18"/>
              </w:rPr>
              <w:t>WL-</w:t>
            </w:r>
          </w:p>
          <w:p>
            <w:pPr>
              <w:pStyle w:val="TableParagraph"/>
              <w:spacing w:line="207" w:lineRule="exact" w:before="0"/>
              <w:ind w:left="107"/>
              <w:rPr>
                <w:sz w:val="18"/>
              </w:rPr>
            </w:pPr>
            <w:r>
              <w:rPr>
                <w:sz w:val="18"/>
              </w:rPr>
              <w:t>05,</w:t>
            </w:r>
            <w:r>
              <w:rPr>
                <w:spacing w:val="-9"/>
                <w:sz w:val="18"/>
              </w:rPr>
              <w:t> </w:t>
            </w:r>
            <w:r>
              <w:rPr>
                <w:sz w:val="18"/>
              </w:rPr>
              <w:t>FW-GDL-WL-06,</w:t>
            </w:r>
            <w:r>
              <w:rPr>
                <w:spacing w:val="-11"/>
                <w:sz w:val="18"/>
              </w:rPr>
              <w:t> </w:t>
            </w:r>
            <w:r>
              <w:rPr>
                <w:sz w:val="18"/>
              </w:rPr>
              <w:t>FW-</w:t>
            </w:r>
            <w:r>
              <w:rPr>
                <w:spacing w:val="-4"/>
                <w:sz w:val="18"/>
              </w:rPr>
              <w:t>GDL-</w:t>
            </w:r>
          </w:p>
          <w:p>
            <w:pPr>
              <w:pStyle w:val="TableParagraph"/>
              <w:spacing w:line="207" w:lineRule="exact" w:before="1"/>
              <w:ind w:left="106"/>
              <w:rPr>
                <w:sz w:val="18"/>
              </w:rPr>
            </w:pPr>
            <w:r>
              <w:rPr>
                <w:sz w:val="18"/>
              </w:rPr>
              <w:t>WL-07,</w:t>
            </w:r>
            <w:r>
              <w:rPr>
                <w:spacing w:val="-11"/>
                <w:sz w:val="18"/>
              </w:rPr>
              <w:t> </w:t>
            </w:r>
            <w:r>
              <w:rPr>
                <w:sz w:val="18"/>
              </w:rPr>
              <w:t>FW-GDL-WL-08,</w:t>
            </w:r>
            <w:r>
              <w:rPr>
                <w:spacing w:val="-9"/>
                <w:sz w:val="18"/>
              </w:rPr>
              <w:t> </w:t>
            </w:r>
            <w:r>
              <w:rPr>
                <w:spacing w:val="-5"/>
                <w:sz w:val="18"/>
              </w:rPr>
              <w:t>FW-</w:t>
            </w:r>
          </w:p>
          <w:p>
            <w:pPr>
              <w:pStyle w:val="TableParagraph"/>
              <w:spacing w:line="206" w:lineRule="exact" w:before="0"/>
              <w:ind w:left="106"/>
              <w:rPr>
                <w:sz w:val="18"/>
              </w:rPr>
            </w:pPr>
            <w:r>
              <w:rPr>
                <w:spacing w:val="-2"/>
                <w:sz w:val="18"/>
              </w:rPr>
              <w:t>GDL-WL-09,</w:t>
            </w:r>
            <w:r>
              <w:rPr>
                <w:spacing w:val="14"/>
                <w:sz w:val="18"/>
              </w:rPr>
              <w:t> </w:t>
            </w:r>
            <w:r>
              <w:rPr>
                <w:spacing w:val="-2"/>
                <w:sz w:val="18"/>
              </w:rPr>
              <w:t>FW-GDL-WL-</w:t>
            </w:r>
            <w:r>
              <w:rPr>
                <w:spacing w:val="-5"/>
                <w:sz w:val="18"/>
              </w:rPr>
              <w:t>10,</w:t>
            </w:r>
          </w:p>
          <w:p>
            <w:pPr>
              <w:pStyle w:val="TableParagraph"/>
              <w:spacing w:before="0"/>
              <w:ind w:left="107" w:right="247" w:hanging="1"/>
              <w:rPr>
                <w:sz w:val="18"/>
              </w:rPr>
            </w:pPr>
            <w:r>
              <w:rPr>
                <w:sz w:val="18"/>
              </w:rPr>
              <w:t>FW-GDL-WL-11,</w:t>
            </w:r>
            <w:r>
              <w:rPr>
                <w:spacing w:val="-13"/>
                <w:sz w:val="18"/>
              </w:rPr>
              <w:t> </w:t>
            </w:r>
            <w:r>
              <w:rPr>
                <w:sz w:val="18"/>
              </w:rPr>
              <w:t>FW-GDL-WL- </w:t>
            </w:r>
            <w:r>
              <w:rPr>
                <w:spacing w:val="-6"/>
                <w:sz w:val="18"/>
              </w:rPr>
              <w:t>12</w:t>
            </w:r>
          </w:p>
        </w:tc>
        <w:tc>
          <w:tcPr>
            <w:tcW w:w="2791" w:type="dxa"/>
            <w:tcBorders>
              <w:top w:val="nil"/>
              <w:bottom w:val="nil"/>
            </w:tcBorders>
          </w:tcPr>
          <w:p>
            <w:pPr>
              <w:pStyle w:val="TableParagraph"/>
              <w:spacing w:before="0"/>
              <w:ind w:left="107" w:right="109"/>
              <w:rPr>
                <w:sz w:val="18"/>
              </w:rPr>
            </w:pPr>
            <w:r>
              <w:rPr>
                <w:b/>
                <w:sz w:val="18"/>
              </w:rPr>
              <w:t>MON-FLS-01-02</w:t>
            </w:r>
            <w:r>
              <w:rPr>
                <w:sz w:val="18"/>
              </w:rPr>
              <w:t>: Canada lynx: changes in lynx habitat as a result of moving toward the desired conditions for</w:t>
            </w:r>
            <w:r>
              <w:rPr>
                <w:spacing w:val="40"/>
                <w:sz w:val="18"/>
              </w:rPr>
              <w:t> </w:t>
            </w:r>
            <w:r>
              <w:rPr>
                <w:sz w:val="18"/>
              </w:rPr>
              <w:t>vegetation through vegetation management,</w:t>
            </w:r>
            <w:r>
              <w:rPr>
                <w:spacing w:val="-13"/>
                <w:sz w:val="18"/>
              </w:rPr>
              <w:t> </w:t>
            </w:r>
            <w:r>
              <w:rPr>
                <w:sz w:val="18"/>
              </w:rPr>
              <w:t>prescribed</w:t>
            </w:r>
            <w:r>
              <w:rPr>
                <w:spacing w:val="-11"/>
                <w:sz w:val="18"/>
              </w:rPr>
              <w:t> </w:t>
            </w:r>
            <w:r>
              <w:rPr>
                <w:sz w:val="18"/>
              </w:rPr>
              <w:t>fire,</w:t>
            </w:r>
            <w:r>
              <w:rPr>
                <w:spacing w:val="-13"/>
                <w:sz w:val="18"/>
              </w:rPr>
              <w:t> </w:t>
            </w:r>
            <w:r>
              <w:rPr>
                <w:sz w:val="18"/>
              </w:rPr>
              <w:t>or natural disturbance that is consistent with the historical range of variability</w:t>
            </w:r>
          </w:p>
        </w:tc>
        <w:tc>
          <w:tcPr>
            <w:tcW w:w="2059" w:type="dxa"/>
            <w:tcBorders>
              <w:top w:val="nil"/>
              <w:bottom w:val="nil"/>
            </w:tcBorders>
          </w:tcPr>
          <w:p>
            <w:pPr>
              <w:pStyle w:val="TableParagraph"/>
              <w:spacing w:before="0"/>
              <w:ind w:left="104"/>
              <w:rPr>
                <w:sz w:val="18"/>
              </w:rPr>
            </w:pPr>
            <w:r>
              <w:rPr>
                <w:sz w:val="18"/>
              </w:rPr>
              <w:t>Every</w:t>
            </w:r>
            <w:r>
              <w:rPr>
                <w:spacing w:val="-10"/>
                <w:sz w:val="18"/>
              </w:rPr>
              <w:t> </w:t>
            </w:r>
            <w:r>
              <w:rPr>
                <w:sz w:val="18"/>
              </w:rPr>
              <w:t>5</w:t>
            </w:r>
            <w:r>
              <w:rPr>
                <w:spacing w:val="-9"/>
                <w:sz w:val="18"/>
              </w:rPr>
              <w:t> </w:t>
            </w:r>
            <w:r>
              <w:rPr>
                <w:sz w:val="18"/>
              </w:rPr>
              <w:t>years</w:t>
            </w:r>
            <w:r>
              <w:rPr>
                <w:spacing w:val="-9"/>
                <w:sz w:val="18"/>
              </w:rPr>
              <w:t> </w:t>
            </w:r>
            <w:r>
              <w:rPr>
                <w:sz w:val="18"/>
              </w:rPr>
              <w:t>by</w:t>
            </w:r>
            <w:r>
              <w:rPr>
                <w:spacing w:val="-10"/>
                <w:sz w:val="18"/>
              </w:rPr>
              <w:t> </w:t>
            </w:r>
            <w:r>
              <w:rPr>
                <w:sz w:val="18"/>
              </w:rPr>
              <w:t>lynx analysis unit</w:t>
            </w:r>
          </w:p>
        </w:tc>
      </w:tr>
      <w:tr>
        <w:trPr>
          <w:trHeight w:val="1366"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vMerge/>
            <w:tcBorders>
              <w:top w:val="nil"/>
              <w:bottom w:val="nil"/>
            </w:tcBorders>
          </w:tcPr>
          <w:p>
            <w:pPr>
              <w:rPr>
                <w:sz w:val="2"/>
                <w:szCs w:val="2"/>
              </w:rPr>
            </w:pPr>
          </w:p>
        </w:tc>
        <w:tc>
          <w:tcPr>
            <w:tcW w:w="2791" w:type="dxa"/>
            <w:tcBorders>
              <w:top w:val="nil"/>
              <w:bottom w:val="nil"/>
            </w:tcBorders>
          </w:tcPr>
          <w:p>
            <w:pPr>
              <w:pStyle w:val="TableParagraph"/>
              <w:spacing w:before="78"/>
              <w:ind w:left="107" w:right="117"/>
              <w:rPr>
                <w:sz w:val="18"/>
              </w:rPr>
            </w:pPr>
            <w:r>
              <w:rPr>
                <w:b/>
                <w:sz w:val="18"/>
              </w:rPr>
              <w:t>MON-FLS-01-03</w:t>
            </w:r>
            <w:r>
              <w:rPr>
                <w:sz w:val="18"/>
              </w:rPr>
              <w:t>:</w:t>
            </w:r>
            <w:r>
              <w:rPr>
                <w:spacing w:val="-1"/>
                <w:sz w:val="18"/>
              </w:rPr>
              <w:t> </w:t>
            </w:r>
            <w:r>
              <w:rPr>
                <w:sz w:val="18"/>
              </w:rPr>
              <w:t>Woodland caribou: maintenance of seasonal</w:t>
            </w:r>
            <w:r>
              <w:rPr>
                <w:spacing w:val="-11"/>
                <w:sz w:val="18"/>
              </w:rPr>
              <w:t> </w:t>
            </w:r>
            <w:r>
              <w:rPr>
                <w:sz w:val="18"/>
              </w:rPr>
              <w:t>habitat</w:t>
            </w:r>
            <w:r>
              <w:rPr>
                <w:spacing w:val="-12"/>
                <w:sz w:val="18"/>
              </w:rPr>
              <w:t> </w:t>
            </w:r>
            <w:r>
              <w:rPr>
                <w:sz w:val="18"/>
              </w:rPr>
              <w:t>components</w:t>
            </w:r>
            <w:r>
              <w:rPr>
                <w:spacing w:val="-13"/>
                <w:sz w:val="18"/>
              </w:rPr>
              <w:t> </w:t>
            </w:r>
            <w:r>
              <w:rPr>
                <w:sz w:val="18"/>
              </w:rPr>
              <w:t>of well-connected, large blocks of late-successional forest at or above current levels.</w:t>
            </w:r>
          </w:p>
        </w:tc>
        <w:tc>
          <w:tcPr>
            <w:tcW w:w="2059" w:type="dxa"/>
            <w:tcBorders>
              <w:top w:val="nil"/>
              <w:bottom w:val="nil"/>
            </w:tcBorders>
          </w:tcPr>
          <w:p>
            <w:pPr>
              <w:pStyle w:val="TableParagraph"/>
              <w:spacing w:before="78"/>
              <w:ind w:left="104"/>
              <w:rPr>
                <w:sz w:val="18"/>
              </w:rPr>
            </w:pPr>
            <w:r>
              <w:rPr>
                <w:sz w:val="18"/>
              </w:rPr>
              <w:t>Every</w:t>
            </w:r>
            <w:r>
              <w:rPr>
                <w:spacing w:val="-10"/>
                <w:sz w:val="18"/>
              </w:rPr>
              <w:t> </w:t>
            </w:r>
            <w:r>
              <w:rPr>
                <w:sz w:val="18"/>
              </w:rPr>
              <w:t>5</w:t>
            </w:r>
            <w:r>
              <w:rPr>
                <w:spacing w:val="-8"/>
                <w:sz w:val="18"/>
              </w:rPr>
              <w:t> </w:t>
            </w:r>
            <w:r>
              <w:rPr>
                <w:sz w:val="18"/>
              </w:rPr>
              <w:t>years</w:t>
            </w:r>
            <w:r>
              <w:rPr>
                <w:spacing w:val="-8"/>
                <w:sz w:val="18"/>
              </w:rPr>
              <w:t> </w:t>
            </w:r>
            <w:r>
              <w:rPr>
                <w:sz w:val="18"/>
              </w:rPr>
              <w:t>by</w:t>
            </w:r>
            <w:r>
              <w:rPr>
                <w:spacing w:val="-10"/>
                <w:sz w:val="18"/>
              </w:rPr>
              <w:t> </w:t>
            </w:r>
            <w:r>
              <w:rPr>
                <w:sz w:val="18"/>
              </w:rPr>
              <w:t>forest management projects proposed in recovery area, measured at the caribou management unit scale</w:t>
            </w:r>
          </w:p>
        </w:tc>
      </w:tr>
      <w:tr>
        <w:trPr>
          <w:trHeight w:val="1739"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tcBorders>
              <w:top w:val="nil"/>
              <w:bottom w:val="single" w:sz="18" w:space="0" w:color="9BBA58"/>
            </w:tcBorders>
          </w:tcPr>
          <w:p>
            <w:pPr>
              <w:pStyle w:val="TableParagraph"/>
              <w:spacing w:before="0"/>
              <w:rPr>
                <w:rFonts w:ascii="Times New Roman"/>
                <w:sz w:val="18"/>
              </w:rPr>
            </w:pPr>
          </w:p>
        </w:tc>
        <w:tc>
          <w:tcPr>
            <w:tcW w:w="2791" w:type="dxa"/>
            <w:tcBorders>
              <w:top w:val="nil"/>
              <w:bottom w:val="single" w:sz="18" w:space="0" w:color="9BBA58"/>
            </w:tcBorders>
          </w:tcPr>
          <w:p>
            <w:pPr>
              <w:pStyle w:val="TableParagraph"/>
              <w:spacing w:before="40"/>
              <w:ind w:left="107" w:right="152"/>
              <w:rPr>
                <w:sz w:val="18"/>
              </w:rPr>
            </w:pPr>
            <w:r>
              <w:rPr>
                <w:b/>
                <w:sz w:val="18"/>
              </w:rPr>
              <w:t>MON-FLS-01-04</w:t>
            </w:r>
            <w:r>
              <w:rPr>
                <w:sz w:val="18"/>
              </w:rPr>
              <w:t>:</w:t>
            </w:r>
            <w:r>
              <w:rPr>
                <w:spacing w:val="-1"/>
                <w:sz w:val="18"/>
              </w:rPr>
              <w:t> </w:t>
            </w:r>
            <w:r>
              <w:rPr>
                <w:sz w:val="18"/>
              </w:rPr>
              <w:t>Woodland caribou: management of motorized winter recreation at or below</w:t>
            </w:r>
            <w:r>
              <w:rPr>
                <w:spacing w:val="-2"/>
                <w:sz w:val="18"/>
              </w:rPr>
              <w:t> </w:t>
            </w:r>
            <w:r>
              <w:rPr>
                <w:sz w:val="18"/>
              </w:rPr>
              <w:t>current</w:t>
            </w:r>
            <w:r>
              <w:rPr>
                <w:spacing w:val="-1"/>
                <w:sz w:val="18"/>
              </w:rPr>
              <w:t> </w:t>
            </w:r>
            <w:r>
              <w:rPr>
                <w:sz w:val="18"/>
              </w:rPr>
              <w:t>levels so that woodland caribou are not displaced</w:t>
            </w:r>
            <w:r>
              <w:rPr>
                <w:spacing w:val="-12"/>
                <w:sz w:val="18"/>
              </w:rPr>
              <w:t> </w:t>
            </w:r>
            <w:r>
              <w:rPr>
                <w:sz w:val="18"/>
              </w:rPr>
              <w:t>from</w:t>
            </w:r>
            <w:r>
              <w:rPr>
                <w:spacing w:val="-13"/>
                <w:sz w:val="18"/>
              </w:rPr>
              <w:t> </w:t>
            </w:r>
            <w:r>
              <w:rPr>
                <w:sz w:val="18"/>
              </w:rPr>
              <w:t>suitable</w:t>
            </w:r>
            <w:r>
              <w:rPr>
                <w:spacing w:val="-11"/>
                <w:sz w:val="18"/>
              </w:rPr>
              <w:t> </w:t>
            </w:r>
            <w:r>
              <w:rPr>
                <w:sz w:val="18"/>
              </w:rPr>
              <w:t>habitat within the caribou recovery </w:t>
            </w:r>
            <w:r>
              <w:rPr>
                <w:spacing w:val="-2"/>
                <w:sz w:val="18"/>
              </w:rPr>
              <w:t>area.</w:t>
            </w:r>
          </w:p>
        </w:tc>
        <w:tc>
          <w:tcPr>
            <w:tcW w:w="2059" w:type="dxa"/>
            <w:tcBorders>
              <w:top w:val="nil"/>
              <w:bottom w:val="single" w:sz="18" w:space="0" w:color="9BBA58"/>
            </w:tcBorders>
          </w:tcPr>
          <w:p>
            <w:pPr>
              <w:pStyle w:val="TableParagraph"/>
              <w:spacing w:before="40"/>
              <w:ind w:left="104" w:right="497"/>
              <w:rPr>
                <w:sz w:val="18"/>
              </w:rPr>
            </w:pPr>
            <w:r>
              <w:rPr>
                <w:sz w:val="18"/>
              </w:rPr>
              <w:t>Annual (caribou habitat</w:t>
            </w:r>
            <w:r>
              <w:rPr>
                <w:spacing w:val="-13"/>
                <w:sz w:val="18"/>
              </w:rPr>
              <w:t> </w:t>
            </w:r>
            <w:r>
              <w:rPr>
                <w:sz w:val="18"/>
              </w:rPr>
              <w:t>monitoring </w:t>
            </w:r>
            <w:r>
              <w:rPr>
                <w:spacing w:val="-2"/>
                <w:sz w:val="18"/>
              </w:rPr>
              <w:t>report)</w:t>
            </w:r>
          </w:p>
        </w:tc>
      </w:tr>
    </w:tbl>
    <w:p>
      <w:pPr>
        <w:pStyle w:val="TableParagraph"/>
        <w:spacing w:after="0"/>
        <w:rPr>
          <w:sz w:val="18"/>
        </w:rPr>
        <w:sectPr>
          <w:pgSz w:w="15840" w:h="12240" w:orient="landscape"/>
          <w:pgMar w:header="725" w:footer="891" w:top="1440" w:bottom="1080" w:left="1440" w:right="1440"/>
        </w:sectPr>
      </w:pPr>
    </w:p>
    <w:p>
      <w:pPr>
        <w:pStyle w:val="BodyText"/>
        <w:spacing w:before="82"/>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1469" w:hRule="atLeast"/>
        </w:trPr>
        <w:tc>
          <w:tcPr>
            <w:tcW w:w="1702" w:type="dxa"/>
            <w:vMerge w:val="restart"/>
            <w:tcBorders>
              <w:top w:val="single" w:sz="18" w:space="0" w:color="9BBA58"/>
              <w:bottom w:val="single" w:sz="18" w:space="0" w:color="9BBA58"/>
            </w:tcBorders>
          </w:tcPr>
          <w:p>
            <w:pPr>
              <w:pStyle w:val="TableParagraph"/>
              <w:ind w:left="107"/>
              <w:rPr>
                <w:b/>
                <w:sz w:val="18"/>
              </w:rPr>
            </w:pPr>
            <w:r>
              <w:rPr>
                <w:b/>
                <w:sz w:val="18"/>
              </w:rPr>
              <w:t>Focal</w:t>
            </w:r>
            <w:r>
              <w:rPr>
                <w:b/>
                <w:spacing w:val="-2"/>
                <w:sz w:val="18"/>
              </w:rPr>
              <w:t> species</w:t>
            </w:r>
          </w:p>
        </w:tc>
        <w:tc>
          <w:tcPr>
            <w:tcW w:w="3509" w:type="dxa"/>
            <w:vMerge w:val="restart"/>
            <w:tcBorders>
              <w:top w:val="single" w:sz="18" w:space="0" w:color="9BBA58"/>
              <w:bottom w:val="single" w:sz="18" w:space="0" w:color="9BBA58"/>
            </w:tcBorders>
          </w:tcPr>
          <w:p>
            <w:pPr>
              <w:pStyle w:val="TableParagraph"/>
              <w:ind w:left="104" w:right="178" w:hanging="1"/>
              <w:rPr>
                <w:sz w:val="18"/>
              </w:rPr>
            </w:pPr>
            <w:r>
              <w:rPr>
                <w:b/>
                <w:sz w:val="18"/>
              </w:rPr>
              <w:t>MON-Focal-01</w:t>
            </w:r>
            <w:r>
              <w:rPr>
                <w:sz w:val="18"/>
              </w:rPr>
              <w:t>:</w:t>
            </w:r>
            <w:r>
              <w:rPr>
                <w:spacing w:val="-8"/>
                <w:sz w:val="18"/>
              </w:rPr>
              <w:t> </w:t>
            </w:r>
            <w:r>
              <w:rPr>
                <w:sz w:val="18"/>
              </w:rPr>
              <w:t>Are</w:t>
            </w:r>
            <w:r>
              <w:rPr>
                <w:spacing w:val="-10"/>
                <w:sz w:val="18"/>
              </w:rPr>
              <w:t> </w:t>
            </w:r>
            <w:r>
              <w:rPr>
                <w:sz w:val="18"/>
              </w:rPr>
              <w:t>habitat</w:t>
            </w:r>
            <w:r>
              <w:rPr>
                <w:spacing w:val="-10"/>
                <w:sz w:val="18"/>
              </w:rPr>
              <w:t> </w:t>
            </w:r>
            <w:r>
              <w:rPr>
                <w:sz w:val="18"/>
              </w:rPr>
              <w:t>trends</w:t>
            </w:r>
            <w:r>
              <w:rPr>
                <w:spacing w:val="-7"/>
                <w:sz w:val="18"/>
              </w:rPr>
              <w:t> </w:t>
            </w:r>
            <w:r>
              <w:rPr>
                <w:sz w:val="18"/>
              </w:rPr>
              <w:t>for Focal species consistent with the Desired Conditions and objectives?</w:t>
            </w:r>
          </w:p>
        </w:tc>
        <w:tc>
          <w:tcPr>
            <w:tcW w:w="2880" w:type="dxa"/>
            <w:tcBorders>
              <w:top w:val="single" w:sz="18" w:space="0" w:color="9BBA58"/>
              <w:bottom w:val="nil"/>
            </w:tcBorders>
          </w:tcPr>
          <w:p>
            <w:pPr>
              <w:pStyle w:val="TableParagraph"/>
              <w:spacing w:before="0"/>
              <w:ind w:left="107" w:right="246"/>
              <w:rPr>
                <w:sz w:val="18"/>
              </w:rPr>
            </w:pPr>
            <w:r>
              <w:rPr>
                <w:sz w:val="18"/>
              </w:rPr>
              <w:t>FW-DC-VEG-03,</w:t>
            </w:r>
            <w:r>
              <w:rPr>
                <w:spacing w:val="-13"/>
                <w:sz w:val="18"/>
              </w:rPr>
              <w:t> </w:t>
            </w:r>
            <w:r>
              <w:rPr>
                <w:sz w:val="18"/>
              </w:rPr>
              <w:t>FW-DC-VEG- </w:t>
            </w:r>
            <w:r>
              <w:rPr>
                <w:spacing w:val="-4"/>
                <w:sz w:val="18"/>
              </w:rPr>
              <w:t>04;</w:t>
            </w:r>
          </w:p>
          <w:p>
            <w:pPr>
              <w:pStyle w:val="TableParagraph"/>
              <w:spacing w:line="207" w:lineRule="exact" w:before="0"/>
              <w:ind w:left="107"/>
              <w:rPr>
                <w:sz w:val="18"/>
              </w:rPr>
            </w:pPr>
            <w:r>
              <w:rPr>
                <w:spacing w:val="-2"/>
                <w:sz w:val="18"/>
              </w:rPr>
              <w:t>FW-OBJ-WL-</w:t>
            </w:r>
            <w:r>
              <w:rPr>
                <w:spacing w:val="-5"/>
                <w:sz w:val="18"/>
              </w:rPr>
              <w:t>05;</w:t>
            </w:r>
          </w:p>
          <w:p>
            <w:pPr>
              <w:pStyle w:val="TableParagraph"/>
              <w:spacing w:before="0"/>
              <w:ind w:left="106" w:right="267"/>
              <w:rPr>
                <w:sz w:val="18"/>
              </w:rPr>
            </w:pPr>
            <w:r>
              <w:rPr>
                <w:sz w:val="18"/>
              </w:rPr>
              <w:t>FW-STD-WL-01,</w:t>
            </w:r>
            <w:r>
              <w:rPr>
                <w:spacing w:val="-13"/>
                <w:sz w:val="18"/>
              </w:rPr>
              <w:t> </w:t>
            </w:r>
            <w:r>
              <w:rPr>
                <w:sz w:val="18"/>
              </w:rPr>
              <w:t>FW-STD-WL- </w:t>
            </w:r>
            <w:r>
              <w:rPr>
                <w:spacing w:val="-4"/>
                <w:sz w:val="18"/>
              </w:rPr>
              <w:t>12;</w:t>
            </w:r>
          </w:p>
          <w:p>
            <w:pPr>
              <w:pStyle w:val="TableParagraph"/>
              <w:spacing w:line="207" w:lineRule="exact" w:before="0"/>
              <w:ind w:left="106"/>
              <w:rPr>
                <w:sz w:val="18"/>
              </w:rPr>
            </w:pPr>
            <w:r>
              <w:rPr>
                <w:spacing w:val="-2"/>
                <w:sz w:val="18"/>
              </w:rPr>
              <w:t>FW-GDL-WL-15,</w:t>
            </w:r>
            <w:r>
              <w:rPr>
                <w:spacing w:val="16"/>
                <w:sz w:val="18"/>
              </w:rPr>
              <w:t> </w:t>
            </w:r>
            <w:r>
              <w:rPr>
                <w:spacing w:val="-2"/>
                <w:sz w:val="18"/>
              </w:rPr>
              <w:t>FW-GDL-</w:t>
            </w:r>
            <w:r>
              <w:rPr>
                <w:spacing w:val="-5"/>
                <w:sz w:val="18"/>
              </w:rPr>
              <w:t>WL-</w:t>
            </w:r>
          </w:p>
          <w:p>
            <w:pPr>
              <w:pStyle w:val="TableParagraph"/>
              <w:spacing w:line="207" w:lineRule="exact" w:before="0"/>
              <w:ind w:left="106"/>
              <w:rPr>
                <w:sz w:val="18"/>
              </w:rPr>
            </w:pPr>
            <w:r>
              <w:rPr>
                <w:sz w:val="18"/>
              </w:rPr>
              <w:t>18,</w:t>
            </w:r>
            <w:r>
              <w:rPr>
                <w:spacing w:val="-13"/>
                <w:sz w:val="18"/>
              </w:rPr>
              <w:t> </w:t>
            </w:r>
            <w:r>
              <w:rPr>
                <w:sz w:val="18"/>
              </w:rPr>
              <w:t>FW-GDL-WL-</w:t>
            </w:r>
            <w:r>
              <w:rPr>
                <w:spacing w:val="-5"/>
                <w:sz w:val="18"/>
              </w:rPr>
              <w:t>19;</w:t>
            </w:r>
          </w:p>
        </w:tc>
        <w:tc>
          <w:tcPr>
            <w:tcW w:w="2791" w:type="dxa"/>
            <w:tcBorders>
              <w:top w:val="single" w:sz="18" w:space="0" w:color="9BBA58"/>
              <w:bottom w:val="nil"/>
            </w:tcBorders>
          </w:tcPr>
          <w:p>
            <w:pPr>
              <w:pStyle w:val="TableParagraph"/>
              <w:spacing w:line="207" w:lineRule="exact"/>
              <w:ind w:left="107"/>
              <w:rPr>
                <w:sz w:val="18"/>
              </w:rPr>
            </w:pPr>
            <w:r>
              <w:rPr>
                <w:b/>
                <w:spacing w:val="-2"/>
                <w:sz w:val="18"/>
              </w:rPr>
              <w:t>MON-FOCAL-01-01</w:t>
            </w:r>
            <w:r>
              <w:rPr>
                <w:spacing w:val="-2"/>
                <w:sz w:val="18"/>
              </w:rPr>
              <w:t>:</w:t>
            </w:r>
            <w:r>
              <w:rPr>
                <w:spacing w:val="8"/>
                <w:sz w:val="18"/>
              </w:rPr>
              <w:t> </w:t>
            </w:r>
            <w:r>
              <w:rPr>
                <w:spacing w:val="-2"/>
                <w:sz w:val="18"/>
              </w:rPr>
              <w:t>White-</w:t>
            </w:r>
          </w:p>
          <w:p>
            <w:pPr>
              <w:pStyle w:val="TableParagraph"/>
              <w:spacing w:before="0"/>
              <w:ind w:left="107"/>
              <w:rPr>
                <w:sz w:val="18"/>
              </w:rPr>
            </w:pPr>
            <w:r>
              <w:rPr>
                <w:sz w:val="18"/>
              </w:rPr>
              <w:t>headed</w:t>
            </w:r>
            <w:r>
              <w:rPr>
                <w:spacing w:val="-13"/>
                <w:sz w:val="18"/>
              </w:rPr>
              <w:t> </w:t>
            </w:r>
            <w:r>
              <w:rPr>
                <w:sz w:val="18"/>
              </w:rPr>
              <w:t>Woodpecker:</w:t>
            </w:r>
            <w:r>
              <w:rPr>
                <w:spacing w:val="-11"/>
                <w:sz w:val="18"/>
              </w:rPr>
              <w:t> </w:t>
            </w:r>
            <w:r>
              <w:rPr>
                <w:sz w:val="18"/>
              </w:rPr>
              <w:t>number</w:t>
            </w:r>
            <w:r>
              <w:rPr>
                <w:spacing w:val="-12"/>
                <w:sz w:val="18"/>
              </w:rPr>
              <w:t> </w:t>
            </w:r>
            <w:r>
              <w:rPr>
                <w:sz w:val="18"/>
              </w:rPr>
              <w:t>of acres treated to provide large diameter tree habitat and move toward desired vegetation</w:t>
            </w:r>
          </w:p>
          <w:p>
            <w:pPr>
              <w:pStyle w:val="TableParagraph"/>
              <w:spacing w:line="208" w:lineRule="exact" w:before="0"/>
              <w:ind w:left="107" w:right="87"/>
              <w:rPr>
                <w:sz w:val="18"/>
              </w:rPr>
            </w:pPr>
            <w:r>
              <w:rPr>
                <w:sz w:val="18"/>
              </w:rPr>
              <w:t>conditions</w:t>
            </w:r>
            <w:r>
              <w:rPr>
                <w:spacing w:val="-12"/>
                <w:sz w:val="18"/>
              </w:rPr>
              <w:t> </w:t>
            </w:r>
            <w:r>
              <w:rPr>
                <w:sz w:val="18"/>
              </w:rPr>
              <w:t>by</w:t>
            </w:r>
            <w:r>
              <w:rPr>
                <w:spacing w:val="-13"/>
                <w:sz w:val="18"/>
              </w:rPr>
              <w:t> </w:t>
            </w:r>
            <w:r>
              <w:rPr>
                <w:sz w:val="18"/>
              </w:rPr>
              <w:t>providing</w:t>
            </w:r>
            <w:r>
              <w:rPr>
                <w:spacing w:val="-10"/>
                <w:sz w:val="18"/>
              </w:rPr>
              <w:t> </w:t>
            </w:r>
            <w:r>
              <w:rPr>
                <w:sz w:val="18"/>
              </w:rPr>
              <w:t>late- open structure</w:t>
            </w:r>
          </w:p>
        </w:tc>
        <w:tc>
          <w:tcPr>
            <w:tcW w:w="2059" w:type="dxa"/>
            <w:tcBorders>
              <w:top w:val="single" w:sz="18" w:space="0" w:color="9BBA58"/>
              <w:bottom w:val="nil"/>
            </w:tcBorders>
          </w:tcPr>
          <w:p>
            <w:pPr>
              <w:pStyle w:val="TableParagraph"/>
              <w:ind w:left="104"/>
              <w:rPr>
                <w:sz w:val="18"/>
              </w:rPr>
            </w:pPr>
            <w:r>
              <w:rPr>
                <w:spacing w:val="-2"/>
                <w:sz w:val="18"/>
              </w:rPr>
              <w:t>Annual</w:t>
            </w:r>
          </w:p>
        </w:tc>
      </w:tr>
      <w:tr>
        <w:trPr>
          <w:trHeight w:val="595"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tcBorders>
              <w:top w:val="nil"/>
              <w:bottom w:val="nil"/>
            </w:tcBorders>
          </w:tcPr>
          <w:p>
            <w:pPr>
              <w:pStyle w:val="TableParagraph"/>
              <w:spacing w:line="161" w:lineRule="exact" w:before="0"/>
              <w:ind w:left="107"/>
              <w:rPr>
                <w:sz w:val="18"/>
              </w:rPr>
            </w:pPr>
            <w:r>
              <w:rPr>
                <w:spacing w:val="-2"/>
                <w:sz w:val="18"/>
              </w:rPr>
              <w:t>MA-DC-RMA-</w:t>
            </w:r>
            <w:r>
              <w:rPr>
                <w:spacing w:val="-5"/>
                <w:sz w:val="18"/>
              </w:rPr>
              <w:t>03;</w:t>
            </w:r>
          </w:p>
          <w:p>
            <w:pPr>
              <w:pStyle w:val="TableParagraph"/>
              <w:spacing w:before="0"/>
              <w:ind w:left="107" w:right="492"/>
              <w:rPr>
                <w:sz w:val="18"/>
              </w:rPr>
            </w:pPr>
            <w:r>
              <w:rPr>
                <w:sz w:val="18"/>
              </w:rPr>
              <w:t>MA-STD-RMA-08,</w:t>
            </w:r>
            <w:r>
              <w:rPr>
                <w:spacing w:val="-13"/>
                <w:sz w:val="18"/>
              </w:rPr>
              <w:t> </w:t>
            </w:r>
            <w:r>
              <w:rPr>
                <w:sz w:val="18"/>
              </w:rPr>
              <w:t>MA-STD- </w:t>
            </w:r>
            <w:r>
              <w:rPr>
                <w:spacing w:val="-2"/>
                <w:sz w:val="18"/>
              </w:rPr>
              <w:t>RMA-09,</w:t>
            </w:r>
            <w:r>
              <w:rPr>
                <w:spacing w:val="21"/>
                <w:sz w:val="18"/>
              </w:rPr>
              <w:t> </w:t>
            </w:r>
            <w:r>
              <w:rPr>
                <w:spacing w:val="-2"/>
                <w:sz w:val="18"/>
              </w:rPr>
              <w:t>MA-STD-RMA-</w:t>
            </w:r>
            <w:r>
              <w:rPr>
                <w:spacing w:val="-5"/>
                <w:sz w:val="18"/>
              </w:rPr>
              <w:t>10;</w:t>
            </w:r>
          </w:p>
        </w:tc>
        <w:tc>
          <w:tcPr>
            <w:tcW w:w="2791" w:type="dxa"/>
            <w:tcBorders>
              <w:top w:val="nil"/>
              <w:bottom w:val="nil"/>
            </w:tcBorders>
          </w:tcPr>
          <w:p>
            <w:pPr>
              <w:pStyle w:val="TableParagraph"/>
              <w:spacing w:line="202" w:lineRule="exact" w:before="0"/>
              <w:ind w:left="107"/>
              <w:rPr>
                <w:sz w:val="18"/>
              </w:rPr>
            </w:pPr>
            <w:r>
              <w:rPr>
                <w:b/>
                <w:spacing w:val="-2"/>
                <w:sz w:val="18"/>
              </w:rPr>
              <w:t>MON-FOCAL-01-02</w:t>
            </w:r>
            <w:r>
              <w:rPr>
                <w:spacing w:val="-2"/>
                <w:sz w:val="18"/>
              </w:rPr>
              <w:t>:</w:t>
            </w:r>
            <w:r>
              <w:rPr>
                <w:spacing w:val="13"/>
                <w:sz w:val="18"/>
              </w:rPr>
              <w:t> </w:t>
            </w:r>
            <w:r>
              <w:rPr>
                <w:spacing w:val="-2"/>
                <w:sz w:val="18"/>
              </w:rPr>
              <w:t>Northern</w:t>
            </w:r>
          </w:p>
          <w:p>
            <w:pPr>
              <w:pStyle w:val="TableParagraph"/>
              <w:spacing w:line="206" w:lineRule="exact" w:before="0"/>
              <w:ind w:left="107"/>
              <w:rPr>
                <w:sz w:val="18"/>
              </w:rPr>
            </w:pPr>
            <w:r>
              <w:rPr>
                <w:sz w:val="18"/>
              </w:rPr>
              <w:t>goshawk: number of acres surveyed</w:t>
            </w:r>
            <w:r>
              <w:rPr>
                <w:spacing w:val="-12"/>
                <w:sz w:val="18"/>
              </w:rPr>
              <w:t> </w:t>
            </w:r>
            <w:r>
              <w:rPr>
                <w:sz w:val="18"/>
              </w:rPr>
              <w:t>and</w:t>
            </w:r>
            <w:r>
              <w:rPr>
                <w:spacing w:val="-12"/>
                <w:sz w:val="18"/>
              </w:rPr>
              <w:t> </w:t>
            </w:r>
            <w:r>
              <w:rPr>
                <w:sz w:val="18"/>
              </w:rPr>
              <w:t>nests</w:t>
            </w:r>
            <w:r>
              <w:rPr>
                <w:spacing w:val="-12"/>
                <w:sz w:val="18"/>
              </w:rPr>
              <w:t> </w:t>
            </w:r>
            <w:r>
              <w:rPr>
                <w:sz w:val="18"/>
              </w:rPr>
              <w:t>located</w:t>
            </w:r>
          </w:p>
        </w:tc>
        <w:tc>
          <w:tcPr>
            <w:tcW w:w="2059" w:type="dxa"/>
            <w:tcBorders>
              <w:top w:val="nil"/>
              <w:bottom w:val="nil"/>
            </w:tcBorders>
          </w:tcPr>
          <w:p>
            <w:pPr>
              <w:pStyle w:val="TableParagraph"/>
              <w:spacing w:line="202" w:lineRule="exact" w:before="0"/>
              <w:ind w:left="104"/>
              <w:rPr>
                <w:sz w:val="18"/>
              </w:rPr>
            </w:pPr>
            <w:r>
              <w:rPr>
                <w:spacing w:val="-2"/>
                <w:sz w:val="18"/>
              </w:rPr>
              <w:t>Annual</w:t>
            </w:r>
          </w:p>
        </w:tc>
      </w:tr>
      <w:tr>
        <w:trPr>
          <w:trHeight w:val="885"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tcBorders>
              <w:top w:val="nil"/>
              <w:bottom w:val="nil"/>
            </w:tcBorders>
          </w:tcPr>
          <w:p>
            <w:pPr>
              <w:pStyle w:val="TableParagraph"/>
              <w:spacing w:line="162" w:lineRule="exact" w:before="0"/>
              <w:ind w:left="107"/>
              <w:rPr>
                <w:sz w:val="18"/>
              </w:rPr>
            </w:pPr>
            <w:r>
              <w:rPr>
                <w:spacing w:val="-2"/>
                <w:sz w:val="18"/>
              </w:rPr>
              <w:t>MA-GDL-RMA-12,</w:t>
            </w:r>
            <w:r>
              <w:rPr>
                <w:spacing w:val="19"/>
                <w:sz w:val="18"/>
              </w:rPr>
              <w:t> </w:t>
            </w:r>
            <w:r>
              <w:rPr>
                <w:spacing w:val="-2"/>
                <w:sz w:val="18"/>
              </w:rPr>
              <w:t>MA-</w:t>
            </w:r>
            <w:r>
              <w:rPr>
                <w:spacing w:val="-4"/>
                <w:sz w:val="18"/>
              </w:rPr>
              <w:t>GDL-</w:t>
            </w:r>
          </w:p>
          <w:p>
            <w:pPr>
              <w:pStyle w:val="TableParagraph"/>
              <w:spacing w:line="207" w:lineRule="exact" w:before="0"/>
              <w:ind w:left="107"/>
              <w:rPr>
                <w:sz w:val="18"/>
              </w:rPr>
            </w:pPr>
            <w:r>
              <w:rPr>
                <w:spacing w:val="-2"/>
                <w:sz w:val="18"/>
              </w:rPr>
              <w:t>RMA-</w:t>
            </w:r>
            <w:r>
              <w:rPr>
                <w:spacing w:val="-5"/>
                <w:sz w:val="18"/>
              </w:rPr>
              <w:t>13</w:t>
            </w:r>
          </w:p>
        </w:tc>
        <w:tc>
          <w:tcPr>
            <w:tcW w:w="2791" w:type="dxa"/>
            <w:tcBorders>
              <w:top w:val="nil"/>
              <w:bottom w:val="nil"/>
            </w:tcBorders>
          </w:tcPr>
          <w:p>
            <w:pPr>
              <w:pStyle w:val="TableParagraph"/>
              <w:spacing w:line="203" w:lineRule="exact" w:before="0"/>
              <w:ind w:left="107"/>
              <w:rPr>
                <w:sz w:val="18"/>
              </w:rPr>
            </w:pPr>
            <w:r>
              <w:rPr>
                <w:b/>
                <w:spacing w:val="-2"/>
                <w:sz w:val="18"/>
              </w:rPr>
              <w:t>MON-FOCAL-01-03</w:t>
            </w:r>
            <w:r>
              <w:rPr>
                <w:spacing w:val="-2"/>
                <w:sz w:val="18"/>
              </w:rPr>
              <w:t>:</w:t>
            </w:r>
            <w:r>
              <w:rPr>
                <w:spacing w:val="13"/>
                <w:sz w:val="18"/>
              </w:rPr>
              <w:t> </w:t>
            </w:r>
            <w:r>
              <w:rPr>
                <w:spacing w:val="-2"/>
                <w:sz w:val="18"/>
              </w:rPr>
              <w:t>Black-</w:t>
            </w:r>
          </w:p>
          <w:p>
            <w:pPr>
              <w:pStyle w:val="TableParagraph"/>
              <w:spacing w:before="0"/>
              <w:ind w:left="106" w:right="87"/>
              <w:rPr>
                <w:sz w:val="18"/>
              </w:rPr>
            </w:pPr>
            <w:r>
              <w:rPr>
                <w:sz w:val="18"/>
              </w:rPr>
              <w:t>backed woodpecker-Snag habitat:</w:t>
            </w:r>
            <w:r>
              <w:rPr>
                <w:spacing w:val="-10"/>
                <w:sz w:val="18"/>
              </w:rPr>
              <w:t> </w:t>
            </w:r>
            <w:r>
              <w:rPr>
                <w:sz w:val="18"/>
              </w:rPr>
              <w:t>snag</w:t>
            </w:r>
            <w:r>
              <w:rPr>
                <w:spacing w:val="-10"/>
                <w:sz w:val="18"/>
              </w:rPr>
              <w:t> </w:t>
            </w:r>
            <w:r>
              <w:rPr>
                <w:sz w:val="18"/>
              </w:rPr>
              <w:t>densities</w:t>
            </w:r>
            <w:r>
              <w:rPr>
                <w:spacing w:val="-8"/>
                <w:sz w:val="18"/>
              </w:rPr>
              <w:t> </w:t>
            </w:r>
            <w:r>
              <w:rPr>
                <w:sz w:val="18"/>
              </w:rPr>
              <w:t>by</w:t>
            </w:r>
            <w:r>
              <w:rPr>
                <w:spacing w:val="-10"/>
                <w:sz w:val="18"/>
              </w:rPr>
              <w:t> </w:t>
            </w:r>
            <w:r>
              <w:rPr>
                <w:sz w:val="18"/>
              </w:rPr>
              <w:t>size class and vegetation type</w:t>
            </w:r>
          </w:p>
        </w:tc>
        <w:tc>
          <w:tcPr>
            <w:tcW w:w="2059" w:type="dxa"/>
            <w:tcBorders>
              <w:top w:val="nil"/>
              <w:bottom w:val="nil"/>
            </w:tcBorders>
          </w:tcPr>
          <w:p>
            <w:pPr>
              <w:pStyle w:val="TableParagraph"/>
              <w:spacing w:before="0"/>
              <w:ind w:left="104" w:right="51"/>
              <w:rPr>
                <w:sz w:val="18"/>
              </w:rPr>
            </w:pPr>
            <w:r>
              <w:rPr>
                <w:sz w:val="18"/>
              </w:rPr>
              <w:t>Every 5 years by watershed</w:t>
            </w:r>
            <w:r>
              <w:rPr>
                <w:spacing w:val="-15"/>
                <w:sz w:val="18"/>
              </w:rPr>
              <w:t> </w:t>
            </w:r>
            <w:r>
              <w:rPr>
                <w:sz w:val="18"/>
              </w:rPr>
              <w:t>(5</w:t>
            </w:r>
            <w:r>
              <w:rPr>
                <w:sz w:val="18"/>
                <w:vertAlign w:val="superscript"/>
              </w:rPr>
              <w:t>th</w:t>
            </w:r>
            <w:r>
              <w:rPr>
                <w:spacing w:val="-12"/>
                <w:sz w:val="18"/>
                <w:vertAlign w:val="baseline"/>
              </w:rPr>
              <w:t> </w:t>
            </w:r>
            <w:r>
              <w:rPr>
                <w:sz w:val="18"/>
                <w:vertAlign w:val="baseline"/>
              </w:rPr>
              <w:t>field)</w:t>
            </w:r>
          </w:p>
        </w:tc>
      </w:tr>
      <w:tr>
        <w:trPr>
          <w:trHeight w:val="941"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tcBorders>
              <w:top w:val="nil"/>
              <w:bottom w:val="nil"/>
            </w:tcBorders>
          </w:tcPr>
          <w:p>
            <w:pPr>
              <w:pStyle w:val="TableParagraph"/>
              <w:spacing w:before="0"/>
              <w:rPr>
                <w:rFonts w:ascii="Times New Roman"/>
                <w:sz w:val="16"/>
              </w:rPr>
            </w:pPr>
          </w:p>
        </w:tc>
        <w:tc>
          <w:tcPr>
            <w:tcW w:w="2791" w:type="dxa"/>
            <w:tcBorders>
              <w:top w:val="nil"/>
              <w:bottom w:val="nil"/>
            </w:tcBorders>
          </w:tcPr>
          <w:p>
            <w:pPr>
              <w:pStyle w:val="TableParagraph"/>
              <w:spacing w:line="207" w:lineRule="exact" w:before="54"/>
              <w:ind w:left="107"/>
              <w:rPr>
                <w:b/>
                <w:sz w:val="18"/>
              </w:rPr>
            </w:pPr>
            <w:r>
              <w:rPr>
                <w:b/>
                <w:spacing w:val="-2"/>
                <w:sz w:val="18"/>
              </w:rPr>
              <w:t>MON-FOCAL-01-</w:t>
            </w:r>
            <w:r>
              <w:rPr>
                <w:b/>
                <w:spacing w:val="-5"/>
                <w:sz w:val="18"/>
              </w:rPr>
              <w:t>04:</w:t>
            </w:r>
          </w:p>
          <w:p>
            <w:pPr>
              <w:pStyle w:val="TableParagraph"/>
              <w:spacing w:before="0"/>
              <w:ind w:left="107" w:right="89"/>
              <w:rPr>
                <w:sz w:val="18"/>
              </w:rPr>
            </w:pPr>
            <w:r>
              <w:rPr>
                <w:sz w:val="18"/>
              </w:rPr>
              <w:t>MacGillivray’s</w:t>
            </w:r>
            <w:r>
              <w:rPr>
                <w:spacing w:val="-15"/>
                <w:sz w:val="18"/>
              </w:rPr>
              <w:t> </w:t>
            </w:r>
            <w:r>
              <w:rPr>
                <w:sz w:val="18"/>
              </w:rPr>
              <w:t>warbler:</w:t>
            </w:r>
            <w:r>
              <w:rPr>
                <w:spacing w:val="-12"/>
                <w:sz w:val="18"/>
              </w:rPr>
              <w:t> </w:t>
            </w:r>
            <w:r>
              <w:rPr>
                <w:sz w:val="18"/>
              </w:rPr>
              <w:t>condition of riparian habitats within grazing allotments.</w:t>
            </w:r>
          </w:p>
        </w:tc>
        <w:tc>
          <w:tcPr>
            <w:tcW w:w="2059" w:type="dxa"/>
            <w:tcBorders>
              <w:top w:val="nil"/>
              <w:bottom w:val="nil"/>
            </w:tcBorders>
          </w:tcPr>
          <w:p>
            <w:pPr>
              <w:pStyle w:val="TableParagraph"/>
              <w:spacing w:before="54"/>
              <w:ind w:left="104" w:right="51"/>
              <w:rPr>
                <w:sz w:val="18"/>
              </w:rPr>
            </w:pPr>
            <w:r>
              <w:rPr>
                <w:sz w:val="18"/>
              </w:rPr>
              <w:t>Every 5 years by watershed</w:t>
            </w:r>
            <w:r>
              <w:rPr>
                <w:spacing w:val="-15"/>
                <w:sz w:val="18"/>
              </w:rPr>
              <w:t> </w:t>
            </w:r>
            <w:r>
              <w:rPr>
                <w:sz w:val="18"/>
              </w:rPr>
              <w:t>(5</w:t>
            </w:r>
            <w:r>
              <w:rPr>
                <w:sz w:val="18"/>
                <w:vertAlign w:val="superscript"/>
              </w:rPr>
              <w:t>th</w:t>
            </w:r>
            <w:r>
              <w:rPr>
                <w:spacing w:val="-12"/>
                <w:sz w:val="18"/>
                <w:vertAlign w:val="baseline"/>
              </w:rPr>
              <w:t> </w:t>
            </w:r>
            <w:r>
              <w:rPr>
                <w:sz w:val="18"/>
                <w:vertAlign w:val="baseline"/>
              </w:rPr>
              <w:t>field)</w:t>
            </w:r>
          </w:p>
        </w:tc>
      </w:tr>
      <w:tr>
        <w:trPr>
          <w:trHeight w:val="1417" w:hRule="atLeast"/>
        </w:trPr>
        <w:tc>
          <w:tcPr>
            <w:tcW w:w="1702" w:type="dxa"/>
            <w:vMerge/>
            <w:tcBorders>
              <w:top w:val="nil"/>
              <w:bottom w:val="single" w:sz="18" w:space="0" w:color="9BBA58"/>
            </w:tcBorders>
          </w:tcPr>
          <w:p>
            <w:pPr>
              <w:rPr>
                <w:sz w:val="2"/>
                <w:szCs w:val="2"/>
              </w:rPr>
            </w:pPr>
          </w:p>
        </w:tc>
        <w:tc>
          <w:tcPr>
            <w:tcW w:w="3509" w:type="dxa"/>
            <w:vMerge/>
            <w:tcBorders>
              <w:top w:val="nil"/>
              <w:bottom w:val="single" w:sz="18" w:space="0" w:color="9BBA58"/>
            </w:tcBorders>
          </w:tcPr>
          <w:p>
            <w:pPr>
              <w:rPr>
                <w:sz w:val="2"/>
                <w:szCs w:val="2"/>
              </w:rPr>
            </w:pPr>
          </w:p>
        </w:tc>
        <w:tc>
          <w:tcPr>
            <w:tcW w:w="2880" w:type="dxa"/>
            <w:tcBorders>
              <w:top w:val="nil"/>
              <w:bottom w:val="single" w:sz="18" w:space="0" w:color="9BBA58"/>
            </w:tcBorders>
          </w:tcPr>
          <w:p>
            <w:pPr>
              <w:pStyle w:val="TableParagraph"/>
              <w:spacing w:before="0"/>
              <w:rPr>
                <w:rFonts w:ascii="Times New Roman"/>
                <w:sz w:val="16"/>
              </w:rPr>
            </w:pPr>
          </w:p>
        </w:tc>
        <w:tc>
          <w:tcPr>
            <w:tcW w:w="2791" w:type="dxa"/>
            <w:tcBorders>
              <w:top w:val="nil"/>
              <w:bottom w:val="single" w:sz="18" w:space="0" w:color="9BBA58"/>
            </w:tcBorders>
          </w:tcPr>
          <w:p>
            <w:pPr>
              <w:pStyle w:val="TableParagraph"/>
              <w:spacing w:line="207" w:lineRule="exact" w:before="54"/>
              <w:ind w:left="107"/>
              <w:rPr>
                <w:sz w:val="18"/>
              </w:rPr>
            </w:pPr>
            <w:r>
              <w:rPr>
                <w:b/>
                <w:spacing w:val="-2"/>
                <w:sz w:val="18"/>
              </w:rPr>
              <w:t>MON-FOCAL-01-</w:t>
            </w:r>
            <w:r>
              <w:rPr>
                <w:b/>
                <w:spacing w:val="-5"/>
                <w:sz w:val="18"/>
              </w:rPr>
              <w:t>05</w:t>
            </w:r>
            <w:r>
              <w:rPr>
                <w:spacing w:val="-5"/>
                <w:sz w:val="18"/>
              </w:rPr>
              <w:t>:</w:t>
            </w:r>
          </w:p>
          <w:p>
            <w:pPr>
              <w:pStyle w:val="TableParagraph"/>
              <w:spacing w:before="0"/>
              <w:ind w:left="107" w:right="87"/>
              <w:rPr>
                <w:sz w:val="18"/>
              </w:rPr>
            </w:pPr>
            <w:r>
              <w:rPr>
                <w:sz w:val="18"/>
              </w:rPr>
              <w:t>Wildlife General: Monitor progress</w:t>
            </w:r>
            <w:r>
              <w:rPr>
                <w:spacing w:val="-13"/>
                <w:sz w:val="18"/>
              </w:rPr>
              <w:t> </w:t>
            </w:r>
            <w:r>
              <w:rPr>
                <w:sz w:val="18"/>
              </w:rPr>
              <w:t>toward</w:t>
            </w:r>
            <w:r>
              <w:rPr>
                <w:spacing w:val="-12"/>
                <w:sz w:val="18"/>
              </w:rPr>
              <w:t> </w:t>
            </w:r>
            <w:r>
              <w:rPr>
                <w:sz w:val="18"/>
              </w:rPr>
              <w:t>meeting</w:t>
            </w:r>
            <w:r>
              <w:rPr>
                <w:spacing w:val="-12"/>
                <w:sz w:val="18"/>
              </w:rPr>
              <w:t> </w:t>
            </w:r>
            <w:r>
              <w:rPr>
                <w:sz w:val="18"/>
              </w:rPr>
              <w:t>road density desired conditions by watershed/grizzly bear management unit.</w:t>
            </w:r>
          </w:p>
        </w:tc>
        <w:tc>
          <w:tcPr>
            <w:tcW w:w="2059" w:type="dxa"/>
            <w:tcBorders>
              <w:top w:val="nil"/>
              <w:bottom w:val="single" w:sz="18" w:space="0" w:color="9BBA58"/>
            </w:tcBorders>
          </w:tcPr>
          <w:p>
            <w:pPr>
              <w:pStyle w:val="TableParagraph"/>
              <w:spacing w:before="54"/>
              <w:ind w:left="104"/>
              <w:rPr>
                <w:sz w:val="18"/>
              </w:rPr>
            </w:pPr>
            <w:r>
              <w:rPr>
                <w:sz w:val="18"/>
              </w:rPr>
              <w:t>Every</w:t>
            </w:r>
            <w:r>
              <w:rPr>
                <w:spacing w:val="-5"/>
                <w:sz w:val="18"/>
              </w:rPr>
              <w:t> </w:t>
            </w:r>
            <w:r>
              <w:rPr>
                <w:sz w:val="18"/>
              </w:rPr>
              <w:t>5</w:t>
            </w:r>
            <w:r>
              <w:rPr>
                <w:spacing w:val="-1"/>
                <w:sz w:val="18"/>
              </w:rPr>
              <w:t> </w:t>
            </w:r>
            <w:r>
              <w:rPr>
                <w:spacing w:val="-2"/>
                <w:sz w:val="18"/>
              </w:rPr>
              <w:t>years</w:t>
            </w:r>
          </w:p>
        </w:tc>
      </w:tr>
    </w:tbl>
    <w:p>
      <w:pPr>
        <w:pStyle w:val="TableParagraph"/>
        <w:spacing w:after="0"/>
        <w:rPr>
          <w:sz w:val="18"/>
        </w:rPr>
        <w:sectPr>
          <w:pgSz w:w="15840" w:h="12240" w:orient="landscape"/>
          <w:pgMar w:header="725" w:footer="891" w:top="1440" w:bottom="1080" w:left="1440" w:right="1440"/>
        </w:sectPr>
      </w:pPr>
    </w:p>
    <w:p>
      <w:pPr>
        <w:pStyle w:val="BodyText"/>
        <w:spacing w:before="82"/>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4140" w:hRule="atLeast"/>
        </w:trPr>
        <w:tc>
          <w:tcPr>
            <w:tcW w:w="1702" w:type="dxa"/>
            <w:tcBorders>
              <w:top w:val="single" w:sz="18" w:space="0" w:color="9BBA58"/>
              <w:bottom w:val="single" w:sz="18" w:space="0" w:color="9BBA58"/>
            </w:tcBorders>
          </w:tcPr>
          <w:p>
            <w:pPr>
              <w:pStyle w:val="TableParagraph"/>
              <w:ind w:left="107"/>
              <w:rPr>
                <w:b/>
                <w:sz w:val="18"/>
              </w:rPr>
            </w:pPr>
            <w:r>
              <w:rPr>
                <w:b/>
                <w:spacing w:val="-2"/>
                <w:sz w:val="18"/>
              </w:rPr>
              <w:t>Wildlife</w:t>
            </w:r>
          </w:p>
        </w:tc>
        <w:tc>
          <w:tcPr>
            <w:tcW w:w="3509" w:type="dxa"/>
            <w:tcBorders>
              <w:top w:val="single" w:sz="18" w:space="0" w:color="9BBA58"/>
              <w:bottom w:val="single" w:sz="18" w:space="0" w:color="9BBA58"/>
            </w:tcBorders>
          </w:tcPr>
          <w:p>
            <w:pPr>
              <w:pStyle w:val="TableParagraph"/>
              <w:ind w:left="104" w:right="143"/>
              <w:rPr>
                <w:sz w:val="18"/>
              </w:rPr>
            </w:pPr>
            <w:r>
              <w:rPr>
                <w:b/>
                <w:sz w:val="18"/>
              </w:rPr>
              <w:t>MON-WL-01: </w:t>
            </w:r>
            <w:r>
              <w:rPr>
                <w:sz w:val="18"/>
              </w:rPr>
              <w:t>Have management activities</w:t>
            </w:r>
            <w:r>
              <w:rPr>
                <w:spacing w:val="-7"/>
                <w:sz w:val="18"/>
              </w:rPr>
              <w:t> </w:t>
            </w:r>
            <w:r>
              <w:rPr>
                <w:sz w:val="18"/>
              </w:rPr>
              <w:t>met</w:t>
            </w:r>
            <w:r>
              <w:rPr>
                <w:spacing w:val="-7"/>
                <w:sz w:val="18"/>
              </w:rPr>
              <w:t> </w:t>
            </w:r>
            <w:r>
              <w:rPr>
                <w:sz w:val="18"/>
              </w:rPr>
              <w:t>forest</w:t>
            </w:r>
            <w:r>
              <w:rPr>
                <w:spacing w:val="-8"/>
                <w:sz w:val="18"/>
              </w:rPr>
              <w:t> </w:t>
            </w:r>
            <w:r>
              <w:rPr>
                <w:sz w:val="18"/>
              </w:rPr>
              <w:t>plan</w:t>
            </w:r>
            <w:r>
              <w:rPr>
                <w:spacing w:val="-8"/>
                <w:sz w:val="18"/>
              </w:rPr>
              <w:t> </w:t>
            </w:r>
            <w:r>
              <w:rPr>
                <w:sz w:val="18"/>
              </w:rPr>
              <w:t>objectives</w:t>
            </w:r>
            <w:r>
              <w:rPr>
                <w:spacing w:val="-6"/>
                <w:sz w:val="18"/>
              </w:rPr>
              <w:t> </w:t>
            </w:r>
            <w:r>
              <w:rPr>
                <w:sz w:val="18"/>
              </w:rPr>
              <w:t>and maintained or improved habitat to achieve desired terrestrial habitat </w:t>
            </w:r>
            <w:r>
              <w:rPr>
                <w:spacing w:val="-2"/>
                <w:sz w:val="18"/>
              </w:rPr>
              <w:t>conditions?</w:t>
            </w:r>
          </w:p>
        </w:tc>
        <w:tc>
          <w:tcPr>
            <w:tcW w:w="2880" w:type="dxa"/>
            <w:tcBorders>
              <w:top w:val="single" w:sz="18" w:space="0" w:color="9BBA58"/>
              <w:bottom w:val="single" w:sz="18" w:space="0" w:color="9BBA58"/>
            </w:tcBorders>
          </w:tcPr>
          <w:p>
            <w:pPr>
              <w:pStyle w:val="TableParagraph"/>
              <w:spacing w:line="205" w:lineRule="exact" w:before="0"/>
              <w:ind w:left="107"/>
              <w:rPr>
                <w:sz w:val="18"/>
              </w:rPr>
            </w:pPr>
            <w:r>
              <w:rPr>
                <w:spacing w:val="-2"/>
                <w:sz w:val="18"/>
              </w:rPr>
              <w:t>FW-DC-WL-02,</w:t>
            </w:r>
            <w:r>
              <w:rPr>
                <w:spacing w:val="19"/>
                <w:sz w:val="18"/>
              </w:rPr>
              <w:t> </w:t>
            </w:r>
            <w:r>
              <w:rPr>
                <w:spacing w:val="-2"/>
                <w:sz w:val="18"/>
              </w:rPr>
              <w:t>FW-DC-WL-</w:t>
            </w:r>
            <w:r>
              <w:rPr>
                <w:spacing w:val="-5"/>
                <w:sz w:val="18"/>
              </w:rPr>
              <w:t>03,</w:t>
            </w:r>
          </w:p>
          <w:p>
            <w:pPr>
              <w:pStyle w:val="TableParagraph"/>
              <w:spacing w:line="207" w:lineRule="exact" w:before="2"/>
              <w:ind w:left="107"/>
              <w:rPr>
                <w:sz w:val="18"/>
              </w:rPr>
            </w:pPr>
            <w:r>
              <w:rPr>
                <w:spacing w:val="-2"/>
                <w:sz w:val="18"/>
              </w:rPr>
              <w:t>FW-DC-WL-04,</w:t>
            </w:r>
            <w:r>
              <w:rPr>
                <w:spacing w:val="19"/>
                <w:sz w:val="18"/>
              </w:rPr>
              <w:t> </w:t>
            </w:r>
            <w:r>
              <w:rPr>
                <w:spacing w:val="-2"/>
                <w:sz w:val="18"/>
              </w:rPr>
              <w:t>FW-DC-WL-</w:t>
            </w:r>
            <w:r>
              <w:rPr>
                <w:spacing w:val="-5"/>
                <w:sz w:val="18"/>
              </w:rPr>
              <w:t>05,</w:t>
            </w:r>
          </w:p>
          <w:p>
            <w:pPr>
              <w:pStyle w:val="TableParagraph"/>
              <w:spacing w:line="206" w:lineRule="exact" w:before="0"/>
              <w:ind w:left="106"/>
              <w:rPr>
                <w:sz w:val="18"/>
              </w:rPr>
            </w:pPr>
            <w:r>
              <w:rPr>
                <w:spacing w:val="-2"/>
                <w:sz w:val="18"/>
              </w:rPr>
              <w:t>FW-DC-WL-06,</w:t>
            </w:r>
            <w:r>
              <w:rPr>
                <w:spacing w:val="19"/>
                <w:sz w:val="18"/>
              </w:rPr>
              <w:t> </w:t>
            </w:r>
            <w:r>
              <w:rPr>
                <w:spacing w:val="-2"/>
                <w:sz w:val="18"/>
              </w:rPr>
              <w:t>FW-DC-WL-</w:t>
            </w:r>
            <w:r>
              <w:rPr>
                <w:spacing w:val="-5"/>
                <w:sz w:val="18"/>
              </w:rPr>
              <w:t>07,</w:t>
            </w:r>
          </w:p>
          <w:p>
            <w:pPr>
              <w:pStyle w:val="TableParagraph"/>
              <w:spacing w:line="206" w:lineRule="exact" w:before="0"/>
              <w:ind w:left="106"/>
              <w:rPr>
                <w:sz w:val="18"/>
              </w:rPr>
            </w:pPr>
            <w:r>
              <w:rPr>
                <w:spacing w:val="-2"/>
                <w:sz w:val="18"/>
              </w:rPr>
              <w:t>FW-DC-WL-08,</w:t>
            </w:r>
            <w:r>
              <w:rPr>
                <w:spacing w:val="19"/>
                <w:sz w:val="18"/>
              </w:rPr>
              <w:t> </w:t>
            </w:r>
            <w:r>
              <w:rPr>
                <w:spacing w:val="-2"/>
                <w:sz w:val="18"/>
              </w:rPr>
              <w:t>FW-DC-WL-</w:t>
            </w:r>
            <w:r>
              <w:rPr>
                <w:spacing w:val="-5"/>
                <w:sz w:val="18"/>
              </w:rPr>
              <w:t>09,</w:t>
            </w:r>
          </w:p>
          <w:p>
            <w:pPr>
              <w:pStyle w:val="TableParagraph"/>
              <w:spacing w:before="0"/>
              <w:ind w:left="106" w:right="220"/>
              <w:rPr>
                <w:sz w:val="18"/>
              </w:rPr>
            </w:pPr>
            <w:r>
              <w:rPr>
                <w:sz w:val="18"/>
              </w:rPr>
              <w:t>FW-DC-WL-12,</w:t>
            </w:r>
            <w:r>
              <w:rPr>
                <w:spacing w:val="-13"/>
                <w:sz w:val="18"/>
              </w:rPr>
              <w:t> </w:t>
            </w:r>
            <w:r>
              <w:rPr>
                <w:sz w:val="18"/>
              </w:rPr>
              <w:t>FW-DC-WL-13, </w:t>
            </w:r>
            <w:r>
              <w:rPr>
                <w:spacing w:val="-2"/>
                <w:sz w:val="18"/>
              </w:rPr>
              <w:t>FW-DC-WL-14;</w:t>
            </w:r>
          </w:p>
          <w:p>
            <w:pPr>
              <w:pStyle w:val="TableParagraph"/>
              <w:spacing w:line="207" w:lineRule="exact" w:before="1"/>
              <w:ind w:left="106"/>
              <w:rPr>
                <w:sz w:val="18"/>
              </w:rPr>
            </w:pPr>
            <w:r>
              <w:rPr>
                <w:spacing w:val="-2"/>
                <w:sz w:val="18"/>
              </w:rPr>
              <w:t>FW-OBJ-WL-02,</w:t>
            </w:r>
            <w:r>
              <w:rPr>
                <w:spacing w:val="24"/>
                <w:sz w:val="18"/>
              </w:rPr>
              <w:t> </w:t>
            </w:r>
            <w:r>
              <w:rPr>
                <w:spacing w:val="-2"/>
                <w:sz w:val="18"/>
              </w:rPr>
              <w:t>FW-OBJ-</w:t>
            </w:r>
            <w:r>
              <w:rPr>
                <w:spacing w:val="-5"/>
                <w:sz w:val="18"/>
              </w:rPr>
              <w:t>WL-</w:t>
            </w:r>
          </w:p>
          <w:p>
            <w:pPr>
              <w:pStyle w:val="TableParagraph"/>
              <w:spacing w:line="206" w:lineRule="exact" w:before="0"/>
              <w:ind w:left="106"/>
              <w:rPr>
                <w:sz w:val="18"/>
              </w:rPr>
            </w:pPr>
            <w:r>
              <w:rPr>
                <w:sz w:val="18"/>
              </w:rPr>
              <w:t>03,</w:t>
            </w:r>
            <w:r>
              <w:rPr>
                <w:spacing w:val="-7"/>
                <w:sz w:val="18"/>
              </w:rPr>
              <w:t> </w:t>
            </w:r>
            <w:r>
              <w:rPr>
                <w:sz w:val="18"/>
              </w:rPr>
              <w:t>FW-OBJ-WL-04,</w:t>
            </w:r>
            <w:r>
              <w:rPr>
                <w:spacing w:val="-7"/>
                <w:sz w:val="18"/>
              </w:rPr>
              <w:t> </w:t>
            </w:r>
            <w:r>
              <w:rPr>
                <w:sz w:val="18"/>
              </w:rPr>
              <w:t>FW-</w:t>
            </w:r>
            <w:r>
              <w:rPr>
                <w:spacing w:val="-4"/>
                <w:sz w:val="18"/>
              </w:rPr>
              <w:t>OBJ-</w:t>
            </w:r>
          </w:p>
          <w:p>
            <w:pPr>
              <w:pStyle w:val="TableParagraph"/>
              <w:spacing w:line="207" w:lineRule="exact" w:before="0"/>
              <w:ind w:left="106"/>
              <w:rPr>
                <w:sz w:val="18"/>
              </w:rPr>
            </w:pPr>
            <w:r>
              <w:rPr>
                <w:sz w:val="18"/>
              </w:rPr>
              <w:t>WL-05,</w:t>
            </w:r>
            <w:r>
              <w:rPr>
                <w:spacing w:val="-12"/>
                <w:sz w:val="18"/>
              </w:rPr>
              <w:t> </w:t>
            </w:r>
            <w:r>
              <w:rPr>
                <w:sz w:val="18"/>
              </w:rPr>
              <w:t>FW-OBJ-WL-</w:t>
            </w:r>
            <w:r>
              <w:rPr>
                <w:spacing w:val="-5"/>
                <w:sz w:val="18"/>
              </w:rPr>
              <w:t>06;</w:t>
            </w:r>
          </w:p>
          <w:p>
            <w:pPr>
              <w:pStyle w:val="TableParagraph"/>
              <w:spacing w:line="207" w:lineRule="exact" w:before="1"/>
              <w:ind w:left="106"/>
              <w:rPr>
                <w:sz w:val="18"/>
              </w:rPr>
            </w:pPr>
            <w:r>
              <w:rPr>
                <w:spacing w:val="-2"/>
                <w:sz w:val="18"/>
              </w:rPr>
              <w:t>FW-STD-WL-02,</w:t>
            </w:r>
            <w:r>
              <w:rPr>
                <w:spacing w:val="11"/>
                <w:sz w:val="18"/>
              </w:rPr>
              <w:t> </w:t>
            </w:r>
            <w:r>
              <w:rPr>
                <w:spacing w:val="-2"/>
                <w:sz w:val="18"/>
              </w:rPr>
              <w:t>FW-STD-</w:t>
            </w:r>
            <w:r>
              <w:rPr>
                <w:spacing w:val="-5"/>
                <w:sz w:val="18"/>
              </w:rPr>
              <w:t>WL-</w:t>
            </w:r>
          </w:p>
          <w:p>
            <w:pPr>
              <w:pStyle w:val="TableParagraph"/>
              <w:spacing w:line="206" w:lineRule="exact" w:before="0"/>
              <w:ind w:left="106"/>
              <w:rPr>
                <w:sz w:val="18"/>
              </w:rPr>
            </w:pPr>
            <w:r>
              <w:rPr>
                <w:sz w:val="18"/>
              </w:rPr>
              <w:t>05,</w:t>
            </w:r>
            <w:r>
              <w:rPr>
                <w:spacing w:val="-11"/>
                <w:sz w:val="18"/>
              </w:rPr>
              <w:t> </w:t>
            </w:r>
            <w:r>
              <w:rPr>
                <w:sz w:val="18"/>
              </w:rPr>
              <w:t>FW-STD-WL-06,</w:t>
            </w:r>
            <w:r>
              <w:rPr>
                <w:spacing w:val="-10"/>
                <w:sz w:val="18"/>
              </w:rPr>
              <w:t> </w:t>
            </w:r>
            <w:r>
              <w:rPr>
                <w:sz w:val="18"/>
              </w:rPr>
              <w:t>FW-</w:t>
            </w:r>
            <w:r>
              <w:rPr>
                <w:spacing w:val="-4"/>
                <w:sz w:val="18"/>
              </w:rPr>
              <w:t>STD-</w:t>
            </w:r>
          </w:p>
          <w:p>
            <w:pPr>
              <w:pStyle w:val="TableParagraph"/>
              <w:spacing w:line="206" w:lineRule="exact" w:before="0"/>
              <w:ind w:left="106"/>
              <w:rPr>
                <w:sz w:val="18"/>
              </w:rPr>
            </w:pPr>
            <w:r>
              <w:rPr>
                <w:sz w:val="18"/>
              </w:rPr>
              <w:t>WL-07,</w:t>
            </w:r>
            <w:r>
              <w:rPr>
                <w:spacing w:val="-8"/>
                <w:sz w:val="18"/>
              </w:rPr>
              <w:t> </w:t>
            </w:r>
            <w:r>
              <w:rPr>
                <w:sz w:val="18"/>
              </w:rPr>
              <w:t>FS-STD-WL-08,</w:t>
            </w:r>
            <w:r>
              <w:rPr>
                <w:spacing w:val="-6"/>
                <w:sz w:val="18"/>
              </w:rPr>
              <w:t> </w:t>
            </w:r>
            <w:r>
              <w:rPr>
                <w:spacing w:val="-5"/>
                <w:sz w:val="18"/>
              </w:rPr>
              <w:t>FW-</w:t>
            </w:r>
          </w:p>
          <w:p>
            <w:pPr>
              <w:pStyle w:val="TableParagraph"/>
              <w:spacing w:before="0"/>
              <w:ind w:left="106" w:right="358" w:hanging="1"/>
              <w:rPr>
                <w:sz w:val="18"/>
              </w:rPr>
            </w:pPr>
            <w:r>
              <w:rPr>
                <w:sz w:val="18"/>
              </w:rPr>
              <w:t>STD-WL-09,</w:t>
            </w:r>
            <w:r>
              <w:rPr>
                <w:spacing w:val="-13"/>
                <w:sz w:val="18"/>
              </w:rPr>
              <w:t> </w:t>
            </w:r>
            <w:r>
              <w:rPr>
                <w:sz w:val="18"/>
              </w:rPr>
              <w:t>FW-STD-WL-10, </w:t>
            </w:r>
            <w:r>
              <w:rPr>
                <w:spacing w:val="-2"/>
                <w:sz w:val="18"/>
              </w:rPr>
              <w:t>FW-STD-WL-12;</w:t>
            </w:r>
          </w:p>
          <w:p>
            <w:pPr>
              <w:pStyle w:val="TableParagraph"/>
              <w:spacing w:line="207" w:lineRule="exact" w:before="1"/>
              <w:ind w:left="106"/>
              <w:rPr>
                <w:sz w:val="18"/>
              </w:rPr>
            </w:pPr>
            <w:r>
              <w:rPr>
                <w:spacing w:val="-2"/>
                <w:sz w:val="18"/>
              </w:rPr>
              <w:t>FW-GDL-WL-01,</w:t>
            </w:r>
            <w:r>
              <w:rPr>
                <w:spacing w:val="16"/>
                <w:sz w:val="18"/>
              </w:rPr>
              <w:t> </w:t>
            </w:r>
            <w:r>
              <w:rPr>
                <w:spacing w:val="-2"/>
                <w:sz w:val="18"/>
              </w:rPr>
              <w:t>FW-GDL-</w:t>
            </w:r>
            <w:r>
              <w:rPr>
                <w:spacing w:val="-5"/>
                <w:sz w:val="18"/>
              </w:rPr>
              <w:t>WL-</w:t>
            </w:r>
          </w:p>
          <w:p>
            <w:pPr>
              <w:pStyle w:val="TableParagraph"/>
              <w:spacing w:line="206" w:lineRule="exact" w:before="0"/>
              <w:ind w:left="106"/>
              <w:rPr>
                <w:sz w:val="18"/>
              </w:rPr>
            </w:pPr>
            <w:r>
              <w:rPr>
                <w:sz w:val="18"/>
              </w:rPr>
              <w:t>04,</w:t>
            </w:r>
            <w:r>
              <w:rPr>
                <w:spacing w:val="-9"/>
                <w:sz w:val="18"/>
              </w:rPr>
              <w:t> </w:t>
            </w:r>
            <w:r>
              <w:rPr>
                <w:sz w:val="18"/>
              </w:rPr>
              <w:t>FW-GDL-WL-05,</w:t>
            </w:r>
            <w:r>
              <w:rPr>
                <w:spacing w:val="-11"/>
                <w:sz w:val="18"/>
              </w:rPr>
              <w:t> </w:t>
            </w:r>
            <w:r>
              <w:rPr>
                <w:sz w:val="18"/>
              </w:rPr>
              <w:t>FW-</w:t>
            </w:r>
            <w:r>
              <w:rPr>
                <w:spacing w:val="-4"/>
                <w:sz w:val="18"/>
              </w:rPr>
              <w:t>GDL-</w:t>
            </w:r>
          </w:p>
          <w:p>
            <w:pPr>
              <w:pStyle w:val="TableParagraph"/>
              <w:spacing w:line="207" w:lineRule="exact" w:before="0"/>
              <w:ind w:left="106"/>
              <w:rPr>
                <w:sz w:val="18"/>
              </w:rPr>
            </w:pPr>
            <w:r>
              <w:rPr>
                <w:sz w:val="18"/>
              </w:rPr>
              <w:t>WL-06,</w:t>
            </w:r>
            <w:r>
              <w:rPr>
                <w:spacing w:val="-11"/>
                <w:sz w:val="18"/>
              </w:rPr>
              <w:t> </w:t>
            </w:r>
            <w:r>
              <w:rPr>
                <w:sz w:val="18"/>
              </w:rPr>
              <w:t>FW-GDL-WL-09,</w:t>
            </w:r>
            <w:r>
              <w:rPr>
                <w:spacing w:val="-9"/>
                <w:sz w:val="18"/>
              </w:rPr>
              <w:t> </w:t>
            </w:r>
            <w:r>
              <w:rPr>
                <w:spacing w:val="-5"/>
                <w:sz w:val="18"/>
              </w:rPr>
              <w:t>FW-</w:t>
            </w:r>
          </w:p>
          <w:p>
            <w:pPr>
              <w:pStyle w:val="TableParagraph"/>
              <w:spacing w:line="207" w:lineRule="exact" w:before="2"/>
              <w:ind w:left="106"/>
              <w:rPr>
                <w:sz w:val="18"/>
              </w:rPr>
            </w:pPr>
            <w:r>
              <w:rPr>
                <w:spacing w:val="-2"/>
                <w:sz w:val="18"/>
              </w:rPr>
              <w:t>GDL-WL-11,</w:t>
            </w:r>
            <w:r>
              <w:rPr>
                <w:spacing w:val="14"/>
                <w:sz w:val="18"/>
              </w:rPr>
              <w:t> </w:t>
            </w:r>
            <w:r>
              <w:rPr>
                <w:spacing w:val="-2"/>
                <w:sz w:val="18"/>
              </w:rPr>
              <w:t>FW-GDL-WL-</w:t>
            </w:r>
            <w:r>
              <w:rPr>
                <w:spacing w:val="-5"/>
                <w:sz w:val="18"/>
              </w:rPr>
              <w:t>13,</w:t>
            </w:r>
          </w:p>
          <w:p>
            <w:pPr>
              <w:pStyle w:val="TableParagraph"/>
              <w:spacing w:line="206" w:lineRule="exact" w:before="0"/>
              <w:ind w:left="107" w:right="247" w:hanging="1"/>
              <w:rPr>
                <w:sz w:val="18"/>
              </w:rPr>
            </w:pPr>
            <w:r>
              <w:rPr>
                <w:sz w:val="18"/>
              </w:rPr>
              <w:t>FW-GDL-WL-14,</w:t>
            </w:r>
            <w:r>
              <w:rPr>
                <w:spacing w:val="-13"/>
                <w:sz w:val="18"/>
              </w:rPr>
              <w:t> </w:t>
            </w:r>
            <w:r>
              <w:rPr>
                <w:sz w:val="18"/>
              </w:rPr>
              <w:t>FW-GDL-WL- 16, FW-GDL-WL-17</w:t>
            </w:r>
          </w:p>
        </w:tc>
        <w:tc>
          <w:tcPr>
            <w:tcW w:w="2791" w:type="dxa"/>
            <w:tcBorders>
              <w:top w:val="single" w:sz="18" w:space="0" w:color="9BBA58"/>
              <w:bottom w:val="single" w:sz="18" w:space="0" w:color="9BBA58"/>
            </w:tcBorders>
          </w:tcPr>
          <w:p>
            <w:pPr>
              <w:pStyle w:val="TableParagraph"/>
              <w:ind w:left="107" w:right="91"/>
              <w:rPr>
                <w:sz w:val="18"/>
              </w:rPr>
            </w:pPr>
            <w:r>
              <w:rPr>
                <w:b/>
                <w:sz w:val="18"/>
              </w:rPr>
              <w:t>MON-WL-01-01: </w:t>
            </w:r>
            <w:r>
              <w:rPr>
                <w:sz w:val="18"/>
              </w:rPr>
              <w:t>Acres of terrestrial habitat restored or enhanced. Also see results for MON-VEG-01-01</w:t>
            </w:r>
            <w:r>
              <w:rPr>
                <w:spacing w:val="-15"/>
                <w:sz w:val="18"/>
              </w:rPr>
              <w:t> </w:t>
            </w:r>
            <w:r>
              <w:rPr>
                <w:sz w:val="18"/>
              </w:rPr>
              <w:t>through</w:t>
            </w:r>
            <w:r>
              <w:rPr>
                <w:spacing w:val="-12"/>
                <w:sz w:val="18"/>
              </w:rPr>
              <w:t> </w:t>
            </w:r>
            <w:r>
              <w:rPr>
                <w:sz w:val="18"/>
              </w:rPr>
              <w:t>MON- </w:t>
            </w:r>
            <w:r>
              <w:rPr>
                <w:spacing w:val="-2"/>
                <w:sz w:val="18"/>
              </w:rPr>
              <w:t>VEG-01-05</w:t>
            </w:r>
          </w:p>
        </w:tc>
        <w:tc>
          <w:tcPr>
            <w:tcW w:w="2059" w:type="dxa"/>
            <w:tcBorders>
              <w:top w:val="single" w:sz="18" w:space="0" w:color="9BBA58"/>
              <w:bottom w:val="single" w:sz="18" w:space="0" w:color="9BBA58"/>
            </w:tcBorders>
          </w:tcPr>
          <w:p>
            <w:pPr>
              <w:pStyle w:val="TableParagraph"/>
              <w:ind w:left="104"/>
              <w:rPr>
                <w:sz w:val="18"/>
              </w:rPr>
            </w:pPr>
            <w:r>
              <w:rPr>
                <w:spacing w:val="-2"/>
                <w:sz w:val="18"/>
              </w:rPr>
              <w:t>Annual</w:t>
            </w:r>
          </w:p>
        </w:tc>
      </w:tr>
    </w:tbl>
    <w:p>
      <w:pPr>
        <w:pStyle w:val="TableParagraph"/>
        <w:spacing w:after="0"/>
        <w:rPr>
          <w:sz w:val="18"/>
        </w:rPr>
        <w:sectPr>
          <w:pgSz w:w="15840" w:h="12240" w:orient="landscape"/>
          <w:pgMar w:header="725" w:footer="891" w:top="1440" w:bottom="1080" w:left="1440" w:right="1440"/>
        </w:sectPr>
      </w:pPr>
    </w:p>
    <w:p>
      <w:pPr>
        <w:pStyle w:val="BodyText"/>
        <w:spacing w:before="94"/>
        <w:rPr>
          <w:rFonts w:ascii="Arial"/>
          <w:b/>
          <w:sz w:val="20"/>
        </w:rPr>
      </w:pPr>
    </w:p>
    <w:tbl>
      <w:tblPr>
        <w:tblW w:w="0" w:type="auto"/>
        <w:jc w:val="left"/>
        <w:tblInd w:w="1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3509"/>
        <w:gridCol w:w="2880"/>
        <w:gridCol w:w="2791"/>
        <w:gridCol w:w="2059"/>
      </w:tblGrid>
      <w:tr>
        <w:trPr>
          <w:trHeight w:val="493" w:hRule="atLeast"/>
        </w:trPr>
        <w:tc>
          <w:tcPr>
            <w:tcW w:w="1702" w:type="dxa"/>
            <w:tcBorders>
              <w:bottom w:val="single" w:sz="18" w:space="0" w:color="9BBA58"/>
            </w:tcBorders>
            <w:shd w:val="clear" w:color="auto" w:fill="D5E2BB"/>
          </w:tcPr>
          <w:p>
            <w:pPr>
              <w:pStyle w:val="TableParagraph"/>
              <w:spacing w:before="142"/>
              <w:ind w:left="438"/>
              <w:rPr>
                <w:b/>
                <w:sz w:val="18"/>
              </w:rPr>
            </w:pPr>
            <w:r>
              <w:rPr>
                <w:b/>
                <w:spacing w:val="-2"/>
                <w:sz w:val="18"/>
              </w:rPr>
              <w:t>Resource</w:t>
            </w:r>
          </w:p>
        </w:tc>
        <w:tc>
          <w:tcPr>
            <w:tcW w:w="3509" w:type="dxa"/>
            <w:tcBorders>
              <w:bottom w:val="single" w:sz="18" w:space="0" w:color="9BBA58"/>
            </w:tcBorders>
            <w:shd w:val="clear" w:color="auto" w:fill="D5E2BB"/>
          </w:tcPr>
          <w:p>
            <w:pPr>
              <w:pStyle w:val="TableParagraph"/>
              <w:spacing w:before="142"/>
              <w:ind w:left="884"/>
              <w:rPr>
                <w:b/>
                <w:sz w:val="18"/>
              </w:rPr>
            </w:pPr>
            <w:r>
              <w:rPr>
                <w:b/>
                <w:sz w:val="18"/>
              </w:rPr>
              <w:t>Monitoring</w:t>
            </w:r>
            <w:r>
              <w:rPr>
                <w:b/>
                <w:spacing w:val="-12"/>
                <w:sz w:val="18"/>
              </w:rPr>
              <w:t> </w:t>
            </w:r>
            <w:r>
              <w:rPr>
                <w:b/>
                <w:spacing w:val="-2"/>
                <w:sz w:val="18"/>
              </w:rPr>
              <w:t>question</w:t>
            </w:r>
          </w:p>
        </w:tc>
        <w:tc>
          <w:tcPr>
            <w:tcW w:w="2880" w:type="dxa"/>
            <w:tcBorders>
              <w:bottom w:val="single" w:sz="18" w:space="0" w:color="9BBA58"/>
            </w:tcBorders>
            <w:shd w:val="clear" w:color="auto" w:fill="D5E2BB"/>
          </w:tcPr>
          <w:p>
            <w:pPr>
              <w:pStyle w:val="TableParagraph"/>
              <w:ind w:left="1057" w:hanging="682"/>
              <w:rPr>
                <w:b/>
                <w:sz w:val="18"/>
              </w:rPr>
            </w:pPr>
            <w:r>
              <w:rPr>
                <w:b/>
                <w:sz w:val="18"/>
              </w:rPr>
              <w:t>Reference</w:t>
            </w:r>
            <w:r>
              <w:rPr>
                <w:b/>
                <w:spacing w:val="-11"/>
                <w:sz w:val="18"/>
              </w:rPr>
              <w:t> </w:t>
            </w:r>
            <w:r>
              <w:rPr>
                <w:b/>
                <w:sz w:val="18"/>
              </w:rPr>
              <w:t>to</w:t>
            </w:r>
            <w:r>
              <w:rPr>
                <w:b/>
                <w:spacing w:val="-12"/>
                <w:sz w:val="18"/>
              </w:rPr>
              <w:t> </w:t>
            </w:r>
            <w:r>
              <w:rPr>
                <w:b/>
                <w:sz w:val="18"/>
              </w:rPr>
              <w:t>Forest</w:t>
            </w:r>
            <w:r>
              <w:rPr>
                <w:b/>
                <w:spacing w:val="-12"/>
                <w:sz w:val="18"/>
              </w:rPr>
              <w:t> </w:t>
            </w:r>
            <w:r>
              <w:rPr>
                <w:b/>
                <w:sz w:val="18"/>
              </w:rPr>
              <w:t>Plan </w:t>
            </w:r>
            <w:r>
              <w:rPr>
                <w:b/>
                <w:spacing w:val="-2"/>
                <w:sz w:val="18"/>
              </w:rPr>
              <w:t>direction</w:t>
            </w:r>
          </w:p>
        </w:tc>
        <w:tc>
          <w:tcPr>
            <w:tcW w:w="2791" w:type="dxa"/>
            <w:tcBorders>
              <w:bottom w:val="single" w:sz="18" w:space="0" w:color="9BBA58"/>
            </w:tcBorders>
            <w:shd w:val="clear" w:color="auto" w:fill="D5E2BB"/>
          </w:tcPr>
          <w:p>
            <w:pPr>
              <w:pStyle w:val="TableParagraph"/>
              <w:spacing w:before="142"/>
              <w:ind w:left="16"/>
              <w:jc w:val="center"/>
              <w:rPr>
                <w:b/>
                <w:sz w:val="18"/>
              </w:rPr>
            </w:pPr>
            <w:r>
              <w:rPr>
                <w:b/>
                <w:spacing w:val="-2"/>
                <w:sz w:val="18"/>
              </w:rPr>
              <w:t>Indicator</w:t>
            </w:r>
          </w:p>
        </w:tc>
        <w:tc>
          <w:tcPr>
            <w:tcW w:w="2059" w:type="dxa"/>
            <w:tcBorders>
              <w:bottom w:val="single" w:sz="18" w:space="0" w:color="9BBA58"/>
            </w:tcBorders>
            <w:shd w:val="clear" w:color="auto" w:fill="D5E2BB"/>
          </w:tcPr>
          <w:p>
            <w:pPr>
              <w:pStyle w:val="TableParagraph"/>
              <w:ind w:left="654" w:right="439" w:hanging="192"/>
              <w:rPr>
                <w:b/>
                <w:sz w:val="18"/>
              </w:rPr>
            </w:pPr>
            <w:r>
              <w:rPr>
                <w:b/>
                <w:sz w:val="18"/>
              </w:rPr>
              <w:t>Frequency</w:t>
            </w:r>
            <w:r>
              <w:rPr>
                <w:b/>
                <w:spacing w:val="-13"/>
                <w:sz w:val="18"/>
              </w:rPr>
              <w:t> </w:t>
            </w:r>
            <w:r>
              <w:rPr>
                <w:b/>
                <w:sz w:val="18"/>
              </w:rPr>
              <w:t>of </w:t>
            </w:r>
            <w:r>
              <w:rPr>
                <w:b/>
                <w:spacing w:val="-2"/>
                <w:sz w:val="18"/>
              </w:rPr>
              <w:t>measure</w:t>
            </w:r>
          </w:p>
        </w:tc>
      </w:tr>
      <w:tr>
        <w:trPr>
          <w:trHeight w:val="459" w:hRule="atLeast"/>
        </w:trPr>
        <w:tc>
          <w:tcPr>
            <w:tcW w:w="12941" w:type="dxa"/>
            <w:gridSpan w:val="5"/>
            <w:tcBorders>
              <w:top w:val="single" w:sz="18" w:space="0" w:color="9BBA58"/>
            </w:tcBorders>
          </w:tcPr>
          <w:p>
            <w:pPr>
              <w:pStyle w:val="TableParagraph"/>
              <w:ind w:left="107"/>
              <w:rPr>
                <w:b/>
                <w:sz w:val="18"/>
              </w:rPr>
            </w:pPr>
            <w:r>
              <w:rPr>
                <w:b/>
                <w:sz w:val="18"/>
              </w:rPr>
              <w:t>Social</w:t>
            </w:r>
            <w:r>
              <w:rPr>
                <w:b/>
                <w:spacing w:val="-1"/>
                <w:sz w:val="18"/>
              </w:rPr>
              <w:t> </w:t>
            </w:r>
            <w:r>
              <w:rPr>
                <w:b/>
                <w:spacing w:val="-2"/>
                <w:sz w:val="18"/>
              </w:rPr>
              <w:t>Systems</w:t>
            </w:r>
          </w:p>
        </w:tc>
      </w:tr>
      <w:tr>
        <w:trPr>
          <w:trHeight w:val="2898" w:hRule="atLeast"/>
        </w:trPr>
        <w:tc>
          <w:tcPr>
            <w:tcW w:w="1702" w:type="dxa"/>
          </w:tcPr>
          <w:p>
            <w:pPr>
              <w:pStyle w:val="TableParagraph"/>
              <w:spacing w:line="302" w:lineRule="auto"/>
              <w:ind w:left="107" w:right="567"/>
              <w:rPr>
                <w:b/>
                <w:sz w:val="18"/>
              </w:rPr>
            </w:pPr>
            <w:r>
              <w:rPr>
                <w:b/>
                <w:sz w:val="18"/>
              </w:rPr>
              <w:t>Access</w:t>
            </w:r>
            <w:r>
              <w:rPr>
                <w:b/>
                <w:spacing w:val="-13"/>
                <w:sz w:val="18"/>
              </w:rPr>
              <w:t> </w:t>
            </w:r>
            <w:r>
              <w:rPr>
                <w:b/>
                <w:sz w:val="18"/>
              </w:rPr>
              <w:t>and </w:t>
            </w:r>
            <w:r>
              <w:rPr>
                <w:b/>
                <w:spacing w:val="-2"/>
                <w:sz w:val="18"/>
              </w:rPr>
              <w:t>Recreation</w:t>
            </w:r>
          </w:p>
        </w:tc>
        <w:tc>
          <w:tcPr>
            <w:tcW w:w="3509" w:type="dxa"/>
          </w:tcPr>
          <w:p>
            <w:pPr>
              <w:pStyle w:val="TableParagraph"/>
              <w:ind w:left="104"/>
              <w:rPr>
                <w:sz w:val="18"/>
              </w:rPr>
            </w:pPr>
            <w:r>
              <w:rPr>
                <w:b/>
                <w:sz w:val="18"/>
              </w:rPr>
              <w:t>MON-AR-01</w:t>
            </w:r>
            <w:r>
              <w:rPr>
                <w:sz w:val="18"/>
              </w:rPr>
              <w:t>: What are the trends in visitation forestwide, and are visitors satisfied with the facilities, access, services,</w:t>
            </w:r>
            <w:r>
              <w:rPr>
                <w:spacing w:val="-9"/>
                <w:sz w:val="18"/>
              </w:rPr>
              <w:t> </w:t>
            </w:r>
            <w:r>
              <w:rPr>
                <w:sz w:val="18"/>
              </w:rPr>
              <w:t>and</w:t>
            </w:r>
            <w:r>
              <w:rPr>
                <w:spacing w:val="-9"/>
                <w:sz w:val="18"/>
              </w:rPr>
              <w:t> </w:t>
            </w:r>
            <w:r>
              <w:rPr>
                <w:sz w:val="18"/>
              </w:rPr>
              <w:t>perception</w:t>
            </w:r>
            <w:r>
              <w:rPr>
                <w:spacing w:val="-6"/>
                <w:sz w:val="18"/>
              </w:rPr>
              <w:t> </w:t>
            </w:r>
            <w:r>
              <w:rPr>
                <w:sz w:val="18"/>
              </w:rPr>
              <w:t>of</w:t>
            </w:r>
            <w:r>
              <w:rPr>
                <w:spacing w:val="-7"/>
                <w:sz w:val="18"/>
              </w:rPr>
              <w:t> </w:t>
            </w:r>
            <w:r>
              <w:rPr>
                <w:sz w:val="18"/>
              </w:rPr>
              <w:t>their</w:t>
            </w:r>
            <w:r>
              <w:rPr>
                <w:spacing w:val="-7"/>
                <w:sz w:val="18"/>
              </w:rPr>
              <w:t> </w:t>
            </w:r>
            <w:r>
              <w:rPr>
                <w:sz w:val="18"/>
              </w:rPr>
              <w:t>safety?</w:t>
            </w:r>
          </w:p>
        </w:tc>
        <w:tc>
          <w:tcPr>
            <w:tcW w:w="2880" w:type="dxa"/>
          </w:tcPr>
          <w:p>
            <w:pPr>
              <w:pStyle w:val="TableParagraph"/>
              <w:spacing w:line="206" w:lineRule="exact" w:before="0"/>
              <w:ind w:left="107"/>
              <w:rPr>
                <w:sz w:val="18"/>
              </w:rPr>
            </w:pPr>
            <w:r>
              <w:rPr>
                <w:spacing w:val="-2"/>
                <w:sz w:val="18"/>
              </w:rPr>
              <w:t>FW-DC-AS-01,</w:t>
            </w:r>
            <w:r>
              <w:rPr>
                <w:spacing w:val="19"/>
                <w:sz w:val="18"/>
              </w:rPr>
              <w:t> </w:t>
            </w:r>
            <w:r>
              <w:rPr>
                <w:spacing w:val="-2"/>
                <w:sz w:val="18"/>
              </w:rPr>
              <w:t>FW-DC-AS-</w:t>
            </w:r>
            <w:r>
              <w:rPr>
                <w:spacing w:val="-5"/>
                <w:sz w:val="18"/>
              </w:rPr>
              <w:t>02,</w:t>
            </w:r>
          </w:p>
          <w:p>
            <w:pPr>
              <w:pStyle w:val="TableParagraph"/>
              <w:spacing w:line="207" w:lineRule="exact" w:before="2"/>
              <w:ind w:left="107"/>
              <w:rPr>
                <w:sz w:val="18"/>
              </w:rPr>
            </w:pPr>
            <w:r>
              <w:rPr>
                <w:spacing w:val="-2"/>
                <w:sz w:val="18"/>
              </w:rPr>
              <w:t>FW-DC-AS-03,</w:t>
            </w:r>
            <w:r>
              <w:rPr>
                <w:spacing w:val="28"/>
                <w:sz w:val="18"/>
              </w:rPr>
              <w:t> </w:t>
            </w:r>
            <w:r>
              <w:rPr>
                <w:spacing w:val="-2"/>
                <w:sz w:val="18"/>
              </w:rPr>
              <w:t>FW-DC-AS-</w:t>
            </w:r>
            <w:r>
              <w:rPr>
                <w:spacing w:val="-5"/>
                <w:sz w:val="18"/>
              </w:rPr>
              <w:t>04,</w:t>
            </w:r>
          </w:p>
          <w:p>
            <w:pPr>
              <w:pStyle w:val="TableParagraph"/>
              <w:spacing w:line="206" w:lineRule="exact" w:before="0"/>
              <w:ind w:left="106"/>
              <w:rPr>
                <w:sz w:val="18"/>
              </w:rPr>
            </w:pPr>
            <w:r>
              <w:rPr>
                <w:spacing w:val="-2"/>
                <w:sz w:val="18"/>
              </w:rPr>
              <w:t>FW-DC-AS-05,</w:t>
            </w:r>
            <w:r>
              <w:rPr>
                <w:spacing w:val="28"/>
                <w:sz w:val="18"/>
              </w:rPr>
              <w:t> </w:t>
            </w:r>
            <w:r>
              <w:rPr>
                <w:spacing w:val="-2"/>
                <w:sz w:val="18"/>
              </w:rPr>
              <w:t>FW-DC-AS-</w:t>
            </w:r>
            <w:r>
              <w:rPr>
                <w:spacing w:val="-5"/>
                <w:sz w:val="18"/>
              </w:rPr>
              <w:t>06;</w:t>
            </w:r>
          </w:p>
          <w:p>
            <w:pPr>
              <w:pStyle w:val="TableParagraph"/>
              <w:spacing w:before="0"/>
              <w:ind w:left="106" w:right="98" w:hanging="1"/>
              <w:rPr>
                <w:sz w:val="18"/>
              </w:rPr>
            </w:pPr>
            <w:r>
              <w:rPr>
                <w:sz w:val="18"/>
              </w:rPr>
              <w:t>FW-OBJ-AS-01,</w:t>
            </w:r>
            <w:r>
              <w:rPr>
                <w:spacing w:val="-13"/>
                <w:sz w:val="18"/>
              </w:rPr>
              <w:t> </w:t>
            </w:r>
            <w:r>
              <w:rPr>
                <w:sz w:val="18"/>
              </w:rPr>
              <w:t>FW-OBJ-AS-02, </w:t>
            </w:r>
            <w:r>
              <w:rPr>
                <w:spacing w:val="-2"/>
                <w:sz w:val="18"/>
              </w:rPr>
              <w:t>FW-OBJ-AS-03;</w:t>
            </w:r>
          </w:p>
          <w:p>
            <w:pPr>
              <w:pStyle w:val="TableParagraph"/>
              <w:spacing w:line="207" w:lineRule="exact" w:before="1"/>
              <w:ind w:left="106"/>
              <w:rPr>
                <w:sz w:val="18"/>
              </w:rPr>
            </w:pPr>
            <w:r>
              <w:rPr>
                <w:spacing w:val="-2"/>
                <w:sz w:val="18"/>
              </w:rPr>
              <w:t>FW-GDL-AS-</w:t>
            </w:r>
            <w:r>
              <w:rPr>
                <w:spacing w:val="-5"/>
                <w:sz w:val="18"/>
              </w:rPr>
              <w:t>05;</w:t>
            </w:r>
          </w:p>
          <w:p>
            <w:pPr>
              <w:pStyle w:val="TableParagraph"/>
              <w:spacing w:line="206" w:lineRule="exact" w:before="0"/>
              <w:ind w:left="107"/>
              <w:rPr>
                <w:sz w:val="18"/>
              </w:rPr>
            </w:pPr>
            <w:r>
              <w:rPr>
                <w:spacing w:val="-2"/>
                <w:sz w:val="18"/>
              </w:rPr>
              <w:t>MA-DC-ARS-01,</w:t>
            </w:r>
            <w:r>
              <w:rPr>
                <w:spacing w:val="9"/>
                <w:sz w:val="18"/>
              </w:rPr>
              <w:t> </w:t>
            </w:r>
            <w:r>
              <w:rPr>
                <w:spacing w:val="-2"/>
                <w:sz w:val="18"/>
              </w:rPr>
              <w:t>MA-DC-</w:t>
            </w:r>
            <w:r>
              <w:rPr>
                <w:spacing w:val="-4"/>
                <w:sz w:val="18"/>
              </w:rPr>
              <w:t>ARS-</w:t>
            </w:r>
          </w:p>
          <w:p>
            <w:pPr>
              <w:pStyle w:val="TableParagraph"/>
              <w:spacing w:line="206" w:lineRule="exact" w:before="0"/>
              <w:ind w:left="107"/>
              <w:rPr>
                <w:sz w:val="18"/>
              </w:rPr>
            </w:pPr>
            <w:r>
              <w:rPr>
                <w:spacing w:val="-2"/>
                <w:sz w:val="18"/>
              </w:rPr>
              <w:t>02,</w:t>
            </w:r>
            <w:r>
              <w:rPr>
                <w:spacing w:val="4"/>
                <w:sz w:val="18"/>
              </w:rPr>
              <w:t> </w:t>
            </w:r>
            <w:r>
              <w:rPr>
                <w:spacing w:val="-2"/>
                <w:sz w:val="18"/>
              </w:rPr>
              <w:t>MA-DC-ARS-03,</w:t>
            </w:r>
            <w:r>
              <w:rPr>
                <w:spacing w:val="7"/>
                <w:sz w:val="18"/>
              </w:rPr>
              <w:t> </w:t>
            </w:r>
            <w:r>
              <w:rPr>
                <w:spacing w:val="-2"/>
                <w:sz w:val="18"/>
              </w:rPr>
              <w:t>MA-</w:t>
            </w:r>
            <w:r>
              <w:rPr>
                <w:spacing w:val="-5"/>
                <w:sz w:val="18"/>
              </w:rPr>
              <w:t>DC-</w:t>
            </w:r>
          </w:p>
          <w:p>
            <w:pPr>
              <w:pStyle w:val="TableParagraph"/>
              <w:spacing w:line="207" w:lineRule="exact" w:before="0"/>
              <w:ind w:left="107"/>
              <w:rPr>
                <w:sz w:val="18"/>
              </w:rPr>
            </w:pPr>
            <w:r>
              <w:rPr>
                <w:spacing w:val="-2"/>
                <w:sz w:val="18"/>
              </w:rPr>
              <w:t>ARS-04,</w:t>
            </w:r>
            <w:r>
              <w:rPr>
                <w:spacing w:val="6"/>
                <w:sz w:val="18"/>
              </w:rPr>
              <w:t> </w:t>
            </w:r>
            <w:r>
              <w:rPr>
                <w:spacing w:val="-2"/>
                <w:sz w:val="18"/>
              </w:rPr>
              <w:t>MA-DC-ARS-05,</w:t>
            </w:r>
            <w:r>
              <w:rPr>
                <w:spacing w:val="8"/>
                <w:sz w:val="18"/>
              </w:rPr>
              <w:t> </w:t>
            </w:r>
            <w:r>
              <w:rPr>
                <w:spacing w:val="-5"/>
                <w:sz w:val="18"/>
              </w:rPr>
              <w:t>MA-</w:t>
            </w:r>
          </w:p>
          <w:p>
            <w:pPr>
              <w:pStyle w:val="TableParagraph"/>
              <w:spacing w:before="1"/>
              <w:ind w:left="106" w:right="111"/>
              <w:rPr>
                <w:sz w:val="18"/>
              </w:rPr>
            </w:pPr>
            <w:r>
              <w:rPr>
                <w:sz w:val="18"/>
              </w:rPr>
              <w:t>DC-ARS-06, MA-DC-ARS-07; MA-OBJ-ARS-01,</w:t>
            </w:r>
            <w:r>
              <w:rPr>
                <w:spacing w:val="-13"/>
                <w:sz w:val="18"/>
              </w:rPr>
              <w:t> </w:t>
            </w:r>
            <w:r>
              <w:rPr>
                <w:sz w:val="18"/>
              </w:rPr>
              <w:t>MA-OBJ-ARS- </w:t>
            </w:r>
            <w:r>
              <w:rPr>
                <w:spacing w:val="-4"/>
                <w:sz w:val="18"/>
              </w:rPr>
              <w:t>02;</w:t>
            </w:r>
          </w:p>
          <w:p>
            <w:pPr>
              <w:pStyle w:val="TableParagraph"/>
              <w:spacing w:line="208" w:lineRule="exact" w:before="0"/>
              <w:ind w:left="107" w:right="502" w:hanging="1"/>
              <w:rPr>
                <w:sz w:val="18"/>
              </w:rPr>
            </w:pPr>
            <w:r>
              <w:rPr>
                <w:sz w:val="18"/>
              </w:rPr>
              <w:t>MA-GDL-ARS-01,</w:t>
            </w:r>
            <w:r>
              <w:rPr>
                <w:spacing w:val="-13"/>
                <w:sz w:val="18"/>
              </w:rPr>
              <w:t> </w:t>
            </w:r>
            <w:r>
              <w:rPr>
                <w:sz w:val="18"/>
              </w:rPr>
              <w:t>MA-GDL- </w:t>
            </w:r>
            <w:r>
              <w:rPr>
                <w:spacing w:val="-2"/>
                <w:sz w:val="18"/>
              </w:rPr>
              <w:t>ARS-03</w:t>
            </w:r>
          </w:p>
        </w:tc>
        <w:tc>
          <w:tcPr>
            <w:tcW w:w="2791" w:type="dxa"/>
          </w:tcPr>
          <w:p>
            <w:pPr>
              <w:pStyle w:val="TableParagraph"/>
              <w:ind w:left="107"/>
              <w:rPr>
                <w:sz w:val="18"/>
              </w:rPr>
            </w:pPr>
            <w:r>
              <w:rPr>
                <w:b/>
                <w:sz w:val="18"/>
              </w:rPr>
              <w:t>MON-AR-01-01:</w:t>
            </w:r>
            <w:r>
              <w:rPr>
                <w:b/>
                <w:spacing w:val="-13"/>
                <w:sz w:val="18"/>
              </w:rPr>
              <w:t> </w:t>
            </w:r>
            <w:r>
              <w:rPr>
                <w:sz w:val="18"/>
              </w:rPr>
              <w:t>Visitor</w:t>
            </w:r>
            <w:r>
              <w:rPr>
                <w:spacing w:val="-12"/>
                <w:sz w:val="18"/>
              </w:rPr>
              <w:t> </w:t>
            </w:r>
            <w:r>
              <w:rPr>
                <w:sz w:val="18"/>
              </w:rPr>
              <w:t>use</w:t>
            </w:r>
            <w:r>
              <w:rPr>
                <w:spacing w:val="-11"/>
                <w:sz w:val="18"/>
              </w:rPr>
              <w:t> </w:t>
            </w:r>
            <w:r>
              <w:rPr>
                <w:sz w:val="18"/>
              </w:rPr>
              <w:t>and trends in use forestwide</w:t>
            </w:r>
          </w:p>
        </w:tc>
        <w:tc>
          <w:tcPr>
            <w:tcW w:w="2059" w:type="dxa"/>
          </w:tcPr>
          <w:p>
            <w:pPr>
              <w:pStyle w:val="TableParagraph"/>
              <w:ind w:left="104"/>
              <w:rPr>
                <w:sz w:val="18"/>
              </w:rPr>
            </w:pPr>
            <w:r>
              <w:rPr>
                <w:sz w:val="18"/>
              </w:rPr>
              <w:t>Every</w:t>
            </w:r>
            <w:r>
              <w:rPr>
                <w:spacing w:val="-5"/>
                <w:sz w:val="18"/>
              </w:rPr>
              <w:t> </w:t>
            </w:r>
            <w:r>
              <w:rPr>
                <w:sz w:val="18"/>
              </w:rPr>
              <w:t>5</w:t>
            </w:r>
            <w:r>
              <w:rPr>
                <w:spacing w:val="-1"/>
                <w:sz w:val="18"/>
              </w:rPr>
              <w:t> </w:t>
            </w:r>
            <w:r>
              <w:rPr>
                <w:sz w:val="18"/>
              </w:rPr>
              <w:t>years </w:t>
            </w:r>
            <w:r>
              <w:rPr>
                <w:spacing w:val="-2"/>
                <w:sz w:val="18"/>
              </w:rPr>
              <w:t>(NVUM)</w:t>
            </w:r>
          </w:p>
        </w:tc>
      </w:tr>
      <w:tr>
        <w:trPr>
          <w:trHeight w:val="3597" w:hRule="atLeast"/>
        </w:trPr>
        <w:tc>
          <w:tcPr>
            <w:tcW w:w="1702" w:type="dxa"/>
          </w:tcPr>
          <w:p>
            <w:pPr>
              <w:pStyle w:val="TableParagraph"/>
              <w:spacing w:line="300" w:lineRule="auto" w:before="37"/>
              <w:ind w:left="107" w:right="567"/>
              <w:rPr>
                <w:b/>
                <w:sz w:val="18"/>
              </w:rPr>
            </w:pPr>
            <w:r>
              <w:rPr>
                <w:b/>
                <w:sz w:val="18"/>
              </w:rPr>
              <w:t>Access</w:t>
            </w:r>
            <w:r>
              <w:rPr>
                <w:b/>
                <w:spacing w:val="-13"/>
                <w:sz w:val="18"/>
              </w:rPr>
              <w:t> </w:t>
            </w:r>
            <w:r>
              <w:rPr>
                <w:b/>
                <w:sz w:val="18"/>
              </w:rPr>
              <w:t>and </w:t>
            </w:r>
            <w:r>
              <w:rPr>
                <w:b/>
                <w:spacing w:val="-2"/>
                <w:sz w:val="18"/>
              </w:rPr>
              <w:t>Recreation</w:t>
            </w:r>
          </w:p>
        </w:tc>
        <w:tc>
          <w:tcPr>
            <w:tcW w:w="3509" w:type="dxa"/>
          </w:tcPr>
          <w:p>
            <w:pPr>
              <w:pStyle w:val="TableParagraph"/>
              <w:spacing w:before="37"/>
              <w:ind w:left="104" w:right="143"/>
              <w:rPr>
                <w:sz w:val="18"/>
              </w:rPr>
            </w:pPr>
            <w:r>
              <w:rPr>
                <w:b/>
                <w:sz w:val="18"/>
              </w:rPr>
              <w:t>MON-AR-02: </w:t>
            </w:r>
            <w:r>
              <w:rPr>
                <w:sz w:val="18"/>
              </w:rPr>
              <w:t>What is the trend in mountain bike use in recommended wilderness</w:t>
            </w:r>
            <w:r>
              <w:rPr>
                <w:spacing w:val="-6"/>
                <w:sz w:val="18"/>
              </w:rPr>
              <w:t> </w:t>
            </w:r>
            <w:r>
              <w:rPr>
                <w:sz w:val="18"/>
              </w:rPr>
              <w:t>and</w:t>
            </w:r>
            <w:r>
              <w:rPr>
                <w:spacing w:val="-6"/>
                <w:sz w:val="18"/>
              </w:rPr>
              <w:t> </w:t>
            </w:r>
            <w:r>
              <w:rPr>
                <w:sz w:val="18"/>
              </w:rPr>
              <w:t>is</w:t>
            </w:r>
            <w:r>
              <w:rPr>
                <w:spacing w:val="-6"/>
                <w:sz w:val="18"/>
              </w:rPr>
              <w:t> </w:t>
            </w:r>
            <w:r>
              <w:rPr>
                <w:sz w:val="18"/>
              </w:rPr>
              <w:t>that</w:t>
            </w:r>
            <w:r>
              <w:rPr>
                <w:spacing w:val="-7"/>
                <w:sz w:val="18"/>
              </w:rPr>
              <w:t> </w:t>
            </w:r>
            <w:r>
              <w:rPr>
                <w:sz w:val="18"/>
              </w:rPr>
              <w:t>use</w:t>
            </w:r>
            <w:r>
              <w:rPr>
                <w:spacing w:val="-6"/>
                <w:sz w:val="18"/>
              </w:rPr>
              <w:t> </w:t>
            </w:r>
            <w:r>
              <w:rPr>
                <w:sz w:val="18"/>
              </w:rPr>
              <w:t>impacting</w:t>
            </w:r>
            <w:r>
              <w:rPr>
                <w:spacing w:val="-6"/>
                <w:sz w:val="18"/>
              </w:rPr>
              <w:t> </w:t>
            </w:r>
            <w:r>
              <w:rPr>
                <w:sz w:val="18"/>
              </w:rPr>
              <w:t>the wilderness</w:t>
            </w:r>
            <w:r>
              <w:rPr>
                <w:spacing w:val="-6"/>
                <w:sz w:val="18"/>
              </w:rPr>
              <w:t> </w:t>
            </w:r>
            <w:r>
              <w:rPr>
                <w:sz w:val="18"/>
              </w:rPr>
              <w:t>characteristics</w:t>
            </w:r>
            <w:r>
              <w:rPr>
                <w:spacing w:val="-8"/>
                <w:sz w:val="18"/>
              </w:rPr>
              <w:t> </w:t>
            </w:r>
            <w:r>
              <w:rPr>
                <w:sz w:val="18"/>
              </w:rPr>
              <w:t>of</w:t>
            </w:r>
            <w:r>
              <w:rPr>
                <w:spacing w:val="-7"/>
                <w:sz w:val="18"/>
              </w:rPr>
              <w:t> </w:t>
            </w:r>
            <w:r>
              <w:rPr>
                <w:sz w:val="18"/>
              </w:rPr>
              <w:t>the</w:t>
            </w:r>
            <w:r>
              <w:rPr>
                <w:spacing w:val="-6"/>
                <w:sz w:val="18"/>
              </w:rPr>
              <w:t> </w:t>
            </w:r>
            <w:r>
              <w:rPr>
                <w:sz w:val="18"/>
              </w:rPr>
              <w:t>forest’s recommended wilderness areas.</w:t>
            </w:r>
          </w:p>
        </w:tc>
        <w:tc>
          <w:tcPr>
            <w:tcW w:w="2880" w:type="dxa"/>
          </w:tcPr>
          <w:p>
            <w:pPr>
              <w:pStyle w:val="TableParagraph"/>
              <w:spacing w:line="204" w:lineRule="exact" w:before="0"/>
              <w:ind w:left="107"/>
              <w:rPr>
                <w:sz w:val="18"/>
              </w:rPr>
            </w:pPr>
            <w:r>
              <w:rPr>
                <w:spacing w:val="-2"/>
                <w:sz w:val="18"/>
              </w:rPr>
              <w:t>MA-DC-RW-01,</w:t>
            </w:r>
            <w:r>
              <w:rPr>
                <w:spacing w:val="12"/>
                <w:sz w:val="18"/>
              </w:rPr>
              <w:t> </w:t>
            </w:r>
            <w:r>
              <w:rPr>
                <w:spacing w:val="-2"/>
                <w:sz w:val="18"/>
              </w:rPr>
              <w:t>MA-DC-RW-</w:t>
            </w:r>
            <w:r>
              <w:rPr>
                <w:spacing w:val="-5"/>
                <w:sz w:val="18"/>
              </w:rPr>
              <w:t>02,</w:t>
            </w:r>
          </w:p>
          <w:p>
            <w:pPr>
              <w:pStyle w:val="TableParagraph"/>
              <w:spacing w:line="207" w:lineRule="exact" w:before="0"/>
              <w:ind w:left="107"/>
              <w:rPr>
                <w:sz w:val="18"/>
              </w:rPr>
            </w:pPr>
            <w:r>
              <w:rPr>
                <w:spacing w:val="-2"/>
                <w:sz w:val="18"/>
              </w:rPr>
              <w:t>MA-DC-RW-03;</w:t>
            </w:r>
            <w:r>
              <w:rPr>
                <w:spacing w:val="7"/>
                <w:sz w:val="18"/>
              </w:rPr>
              <w:t> </w:t>
            </w:r>
            <w:r>
              <w:rPr>
                <w:spacing w:val="-2"/>
                <w:sz w:val="18"/>
              </w:rPr>
              <w:t>MA-STD-</w:t>
            </w:r>
            <w:r>
              <w:rPr>
                <w:spacing w:val="-5"/>
                <w:sz w:val="18"/>
              </w:rPr>
              <w:t>RW-</w:t>
            </w:r>
          </w:p>
          <w:p>
            <w:pPr>
              <w:pStyle w:val="TableParagraph"/>
              <w:spacing w:line="207" w:lineRule="exact" w:before="2"/>
              <w:ind w:left="107"/>
              <w:rPr>
                <w:sz w:val="18"/>
              </w:rPr>
            </w:pPr>
            <w:r>
              <w:rPr>
                <w:sz w:val="18"/>
              </w:rPr>
              <w:t>01,</w:t>
            </w:r>
            <w:r>
              <w:rPr>
                <w:spacing w:val="-12"/>
                <w:sz w:val="18"/>
              </w:rPr>
              <w:t> </w:t>
            </w:r>
            <w:r>
              <w:rPr>
                <w:sz w:val="18"/>
              </w:rPr>
              <w:t>MA-STD-RW-02,</w:t>
            </w:r>
            <w:r>
              <w:rPr>
                <w:spacing w:val="-9"/>
                <w:sz w:val="18"/>
              </w:rPr>
              <w:t> </w:t>
            </w:r>
            <w:r>
              <w:rPr>
                <w:sz w:val="18"/>
              </w:rPr>
              <w:t>MA-</w:t>
            </w:r>
            <w:r>
              <w:rPr>
                <w:spacing w:val="-4"/>
                <w:sz w:val="18"/>
              </w:rPr>
              <w:t>STD-</w:t>
            </w:r>
          </w:p>
          <w:p>
            <w:pPr>
              <w:pStyle w:val="TableParagraph"/>
              <w:spacing w:line="206" w:lineRule="exact" w:before="0"/>
              <w:ind w:left="107"/>
              <w:rPr>
                <w:sz w:val="18"/>
              </w:rPr>
            </w:pPr>
            <w:r>
              <w:rPr>
                <w:spacing w:val="-2"/>
                <w:sz w:val="18"/>
              </w:rPr>
              <w:t>RW-03,</w:t>
            </w:r>
            <w:r>
              <w:rPr>
                <w:spacing w:val="15"/>
                <w:sz w:val="18"/>
              </w:rPr>
              <w:t> </w:t>
            </w:r>
            <w:r>
              <w:rPr>
                <w:spacing w:val="-2"/>
                <w:sz w:val="18"/>
              </w:rPr>
              <w:t>MA-STD-RW-</w:t>
            </w:r>
            <w:r>
              <w:rPr>
                <w:spacing w:val="-5"/>
                <w:sz w:val="18"/>
              </w:rPr>
              <w:t>04;</w:t>
            </w:r>
          </w:p>
          <w:p>
            <w:pPr>
              <w:pStyle w:val="TableParagraph"/>
              <w:spacing w:before="0"/>
              <w:ind w:left="107" w:hanging="1"/>
              <w:rPr>
                <w:sz w:val="18"/>
              </w:rPr>
            </w:pPr>
            <w:r>
              <w:rPr>
                <w:sz w:val="18"/>
              </w:rPr>
              <w:t>MA-GDL-RW-01,</w:t>
            </w:r>
            <w:r>
              <w:rPr>
                <w:spacing w:val="-13"/>
                <w:sz w:val="18"/>
              </w:rPr>
              <w:t> </w:t>
            </w:r>
            <w:r>
              <w:rPr>
                <w:sz w:val="18"/>
              </w:rPr>
              <w:t>MA-GDL-RW- 02, MA-GDL-RW-03</w:t>
            </w:r>
          </w:p>
        </w:tc>
        <w:tc>
          <w:tcPr>
            <w:tcW w:w="2791" w:type="dxa"/>
          </w:tcPr>
          <w:p>
            <w:pPr>
              <w:pStyle w:val="TableParagraph"/>
              <w:spacing w:line="207" w:lineRule="exact" w:before="37"/>
              <w:ind w:left="107"/>
              <w:rPr>
                <w:sz w:val="18"/>
              </w:rPr>
            </w:pPr>
            <w:r>
              <w:rPr>
                <w:b/>
                <w:spacing w:val="-2"/>
                <w:sz w:val="18"/>
              </w:rPr>
              <w:t>MON-AR-02-01:</w:t>
            </w:r>
            <w:r>
              <w:rPr>
                <w:b/>
                <w:spacing w:val="7"/>
                <w:sz w:val="18"/>
              </w:rPr>
              <w:t> </w:t>
            </w:r>
            <w:r>
              <w:rPr>
                <w:spacing w:val="-2"/>
                <w:sz w:val="18"/>
              </w:rPr>
              <w:t>Assess</w:t>
            </w:r>
          </w:p>
          <w:p>
            <w:pPr>
              <w:pStyle w:val="TableParagraph"/>
              <w:spacing w:before="0"/>
              <w:ind w:left="107"/>
              <w:rPr>
                <w:sz w:val="18"/>
              </w:rPr>
            </w:pPr>
            <w:r>
              <w:rPr>
                <w:sz w:val="18"/>
              </w:rPr>
              <w:t>mountain</w:t>
            </w:r>
            <w:r>
              <w:rPr>
                <w:spacing w:val="-11"/>
                <w:sz w:val="18"/>
              </w:rPr>
              <w:t> </w:t>
            </w:r>
            <w:r>
              <w:rPr>
                <w:sz w:val="18"/>
              </w:rPr>
              <w:t>bike</w:t>
            </w:r>
            <w:r>
              <w:rPr>
                <w:spacing w:val="-9"/>
                <w:sz w:val="18"/>
              </w:rPr>
              <w:t> </w:t>
            </w:r>
            <w:r>
              <w:rPr>
                <w:sz w:val="18"/>
              </w:rPr>
              <w:t>use</w:t>
            </w:r>
            <w:r>
              <w:rPr>
                <w:spacing w:val="-11"/>
                <w:sz w:val="18"/>
              </w:rPr>
              <w:t> </w:t>
            </w:r>
            <w:r>
              <w:rPr>
                <w:sz w:val="18"/>
              </w:rPr>
              <w:t>through</w:t>
            </w:r>
            <w:r>
              <w:rPr>
                <w:spacing w:val="-9"/>
                <w:sz w:val="18"/>
              </w:rPr>
              <w:t> </w:t>
            </w:r>
            <w:r>
              <w:rPr>
                <w:sz w:val="18"/>
              </w:rPr>
              <w:t>trail registration trend analysis.</w:t>
            </w:r>
          </w:p>
          <w:p>
            <w:pPr>
              <w:pStyle w:val="TableParagraph"/>
              <w:spacing w:before="1"/>
              <w:rPr>
                <w:b/>
                <w:sz w:val="18"/>
              </w:rPr>
            </w:pPr>
          </w:p>
          <w:p>
            <w:pPr>
              <w:pStyle w:val="TableParagraph"/>
              <w:spacing w:before="0"/>
              <w:ind w:left="107" w:right="149"/>
              <w:rPr>
                <w:sz w:val="18"/>
              </w:rPr>
            </w:pPr>
            <w:r>
              <w:rPr>
                <w:b/>
                <w:sz w:val="18"/>
              </w:rPr>
              <w:t>MON-AR-02-02</w:t>
            </w:r>
            <w:r>
              <w:rPr>
                <w:sz w:val="18"/>
              </w:rPr>
              <w:t>: Identify new user-created mountain bike trails</w:t>
            </w:r>
            <w:r>
              <w:rPr>
                <w:spacing w:val="-2"/>
                <w:sz w:val="18"/>
              </w:rPr>
              <w:t> </w:t>
            </w:r>
            <w:r>
              <w:rPr>
                <w:sz w:val="18"/>
              </w:rPr>
              <w:t>or</w:t>
            </w:r>
            <w:r>
              <w:rPr>
                <w:spacing w:val="-5"/>
                <w:sz w:val="18"/>
              </w:rPr>
              <w:t> </w:t>
            </w:r>
            <w:r>
              <w:rPr>
                <w:sz w:val="18"/>
              </w:rPr>
              <w:t>impacts</w:t>
            </w:r>
            <w:r>
              <w:rPr>
                <w:spacing w:val="-2"/>
                <w:sz w:val="18"/>
              </w:rPr>
              <w:t> </w:t>
            </w:r>
            <w:r>
              <w:rPr>
                <w:sz w:val="18"/>
              </w:rPr>
              <w:t>(i.e.</w:t>
            </w:r>
            <w:r>
              <w:rPr>
                <w:spacing w:val="-3"/>
                <w:sz w:val="18"/>
              </w:rPr>
              <w:t> </w:t>
            </w:r>
            <w:r>
              <w:rPr>
                <w:sz w:val="18"/>
              </w:rPr>
              <w:t>hill</w:t>
            </w:r>
            <w:r>
              <w:rPr>
                <w:spacing w:val="-5"/>
                <w:sz w:val="18"/>
              </w:rPr>
              <w:t> </w:t>
            </w:r>
            <w:r>
              <w:rPr>
                <w:sz w:val="18"/>
              </w:rPr>
              <w:t>climbs, accelerated growth of banked turns) to natural or special features along existing trail systems in recommended wilderness</w:t>
            </w:r>
            <w:r>
              <w:rPr>
                <w:spacing w:val="-13"/>
                <w:sz w:val="18"/>
              </w:rPr>
              <w:t> </w:t>
            </w:r>
            <w:r>
              <w:rPr>
                <w:sz w:val="18"/>
              </w:rPr>
              <w:t>caused</w:t>
            </w:r>
            <w:r>
              <w:rPr>
                <w:spacing w:val="-12"/>
                <w:sz w:val="18"/>
              </w:rPr>
              <w:t> </w:t>
            </w:r>
            <w:r>
              <w:rPr>
                <w:sz w:val="18"/>
              </w:rPr>
              <w:t>by</w:t>
            </w:r>
            <w:r>
              <w:rPr>
                <w:spacing w:val="-12"/>
                <w:sz w:val="18"/>
              </w:rPr>
              <w:t> </w:t>
            </w:r>
            <w:r>
              <w:rPr>
                <w:sz w:val="18"/>
              </w:rPr>
              <w:t>mountain bike use.</w:t>
            </w:r>
          </w:p>
        </w:tc>
        <w:tc>
          <w:tcPr>
            <w:tcW w:w="2059" w:type="dxa"/>
          </w:tcPr>
          <w:p>
            <w:pPr>
              <w:pStyle w:val="TableParagraph"/>
              <w:spacing w:before="38"/>
              <w:ind w:left="104"/>
              <w:rPr>
                <w:sz w:val="18"/>
              </w:rPr>
            </w:pPr>
            <w:r>
              <w:rPr>
                <w:spacing w:val="-2"/>
                <w:sz w:val="18"/>
              </w:rPr>
              <w:t>Annual</w:t>
            </w:r>
          </w:p>
          <w:p>
            <w:pPr>
              <w:pStyle w:val="TableParagraph"/>
              <w:spacing w:before="0"/>
              <w:rPr>
                <w:b/>
                <w:sz w:val="18"/>
              </w:rPr>
            </w:pPr>
          </w:p>
          <w:p>
            <w:pPr>
              <w:pStyle w:val="TableParagraph"/>
              <w:spacing w:before="1"/>
              <w:rPr>
                <w:b/>
                <w:sz w:val="18"/>
              </w:rPr>
            </w:pPr>
          </w:p>
          <w:p>
            <w:pPr>
              <w:pStyle w:val="TableParagraph"/>
              <w:spacing w:before="0"/>
              <w:ind w:left="104" w:right="34"/>
              <w:rPr>
                <w:sz w:val="18"/>
              </w:rPr>
            </w:pPr>
            <w:r>
              <w:rPr>
                <w:sz w:val="18"/>
              </w:rPr>
              <w:t>20% of all trail miles open to mountain bike use within </w:t>
            </w:r>
            <w:r>
              <w:rPr>
                <w:spacing w:val="-2"/>
                <w:sz w:val="18"/>
              </w:rPr>
              <w:t>recommended </w:t>
            </w:r>
            <w:r>
              <w:rPr>
                <w:sz w:val="18"/>
              </w:rPr>
              <w:t>wilderness will be monitored annually for new or recurring impacts</w:t>
            </w:r>
            <w:r>
              <w:rPr>
                <w:spacing w:val="-15"/>
                <w:sz w:val="18"/>
              </w:rPr>
              <w:t> </w:t>
            </w:r>
            <w:r>
              <w:rPr>
                <w:sz w:val="18"/>
              </w:rPr>
              <w:t>from</w:t>
            </w:r>
            <w:r>
              <w:rPr>
                <w:spacing w:val="-12"/>
                <w:sz w:val="18"/>
              </w:rPr>
              <w:t> </w:t>
            </w:r>
            <w:r>
              <w:rPr>
                <w:sz w:val="18"/>
              </w:rPr>
              <w:t>mountain </w:t>
            </w:r>
            <w:r>
              <w:rPr>
                <w:spacing w:val="-2"/>
                <w:sz w:val="18"/>
              </w:rPr>
              <w:t>bikes.</w:t>
            </w:r>
          </w:p>
          <w:p>
            <w:pPr>
              <w:pStyle w:val="TableParagraph"/>
              <w:spacing w:before="0"/>
              <w:ind w:left="104" w:right="199"/>
              <w:rPr>
                <w:sz w:val="18"/>
              </w:rPr>
            </w:pPr>
            <w:r>
              <w:rPr>
                <w:sz w:val="18"/>
              </w:rPr>
              <w:t>Reported cases of user-created routes within recommended wilderness will be investigated</w:t>
            </w:r>
            <w:r>
              <w:rPr>
                <w:spacing w:val="-13"/>
                <w:sz w:val="18"/>
              </w:rPr>
              <w:t> </w:t>
            </w:r>
            <w:r>
              <w:rPr>
                <w:sz w:val="18"/>
              </w:rPr>
              <w:t>annually.</w:t>
            </w:r>
          </w:p>
        </w:tc>
      </w:tr>
    </w:tbl>
    <w:p>
      <w:pPr>
        <w:pStyle w:val="TableParagraph"/>
        <w:spacing w:after="0"/>
        <w:rPr>
          <w:sz w:val="18"/>
        </w:rPr>
        <w:sectPr>
          <w:pgSz w:w="15840" w:h="12240" w:orient="landscape"/>
          <w:pgMar w:header="725" w:footer="891" w:top="1440" w:bottom="1080" w:left="1440" w:right="1440"/>
        </w:sectPr>
      </w:pPr>
    </w:p>
    <w:p>
      <w:pPr>
        <w:pStyle w:val="BodyText"/>
        <w:rPr>
          <w:rFonts w:ascii="Arial"/>
          <w:b/>
          <w:sz w:val="7"/>
        </w:rPr>
      </w:pPr>
    </w:p>
    <w:p>
      <w:pPr>
        <w:pStyle w:val="BodyText"/>
        <w:ind w:left="360"/>
        <w:rPr>
          <w:rFonts w:ascii="Arial"/>
          <w:sz w:val="20"/>
        </w:rPr>
      </w:pPr>
      <w:r>
        <w:rPr>
          <w:rFonts w:ascii="Arial"/>
          <w:sz w:val="20"/>
        </w:rPr>
        <w:drawing>
          <wp:inline distT="0" distB="0" distL="0" distR="0">
            <wp:extent cx="5907404" cy="4059936"/>
            <wp:effectExtent l="0" t="0" r="0" b="0"/>
            <wp:docPr id="286" name="Image 286" descr="Photo of deer traveling through the forest"/>
            <wp:cNvGraphicFramePr>
              <a:graphicFrameLocks/>
            </wp:cNvGraphicFramePr>
            <a:graphic>
              <a:graphicData uri="http://schemas.openxmlformats.org/drawingml/2006/picture">
                <pic:pic>
                  <pic:nvPicPr>
                    <pic:cNvPr id="286" name="Image 286" descr="Photo of deer traveling through the forest"/>
                    <pic:cNvPicPr/>
                  </pic:nvPicPr>
                  <pic:blipFill>
                    <a:blip r:embed="rId87" cstate="print"/>
                    <a:stretch>
                      <a:fillRect/>
                    </a:stretch>
                  </pic:blipFill>
                  <pic:spPr>
                    <a:xfrm>
                      <a:off x="0" y="0"/>
                      <a:ext cx="5907404" cy="4059936"/>
                    </a:xfrm>
                    <a:prstGeom prst="rect">
                      <a:avLst/>
                    </a:prstGeom>
                  </pic:spPr>
                </pic:pic>
              </a:graphicData>
            </a:graphic>
          </wp:inline>
        </w:drawing>
      </w:r>
      <w:r>
        <w:rPr>
          <w:rFonts w:ascii="Arial"/>
          <w:sz w:val="20"/>
        </w:rPr>
      </w:r>
    </w:p>
    <w:p>
      <w:pPr>
        <w:spacing w:before="40"/>
        <w:ind w:left="360" w:right="0" w:firstLine="0"/>
        <w:jc w:val="left"/>
        <w:rPr>
          <w:rFonts w:ascii="Arial"/>
          <w:i/>
          <w:sz w:val="16"/>
        </w:rPr>
      </w:pPr>
      <w:r>
        <w:rPr>
          <w:rFonts w:ascii="Arial"/>
          <w:i/>
          <w:sz w:val="16"/>
        </w:rPr>
        <w:t>Photo</w:t>
      </w:r>
      <w:r>
        <w:rPr>
          <w:rFonts w:ascii="Arial"/>
          <w:i/>
          <w:spacing w:val="-7"/>
          <w:sz w:val="16"/>
        </w:rPr>
        <w:t> </w:t>
      </w:r>
      <w:r>
        <w:rPr>
          <w:rFonts w:ascii="Arial"/>
          <w:i/>
          <w:sz w:val="16"/>
        </w:rPr>
        <w:t>courtesy</w:t>
      </w:r>
      <w:r>
        <w:rPr>
          <w:rFonts w:ascii="Arial"/>
          <w:i/>
          <w:spacing w:val="-3"/>
          <w:sz w:val="16"/>
        </w:rPr>
        <w:t> </w:t>
      </w:r>
      <w:r>
        <w:rPr>
          <w:rFonts w:ascii="Arial"/>
          <w:i/>
          <w:sz w:val="16"/>
        </w:rPr>
        <w:t>of</w:t>
      </w:r>
      <w:r>
        <w:rPr>
          <w:rFonts w:ascii="Arial"/>
          <w:i/>
          <w:spacing w:val="-4"/>
          <w:sz w:val="16"/>
        </w:rPr>
        <w:t> </w:t>
      </w:r>
      <w:r>
        <w:rPr>
          <w:rFonts w:ascii="Arial"/>
          <w:i/>
          <w:sz w:val="16"/>
        </w:rPr>
        <w:t>Nils</w:t>
      </w:r>
      <w:r>
        <w:rPr>
          <w:rFonts w:ascii="Arial"/>
          <w:i/>
          <w:spacing w:val="-1"/>
          <w:sz w:val="16"/>
        </w:rPr>
        <w:t> </w:t>
      </w:r>
      <w:r>
        <w:rPr>
          <w:rFonts w:ascii="Arial"/>
          <w:i/>
          <w:spacing w:val="-2"/>
          <w:sz w:val="16"/>
        </w:rPr>
        <w:t>Larsen</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24"/>
        <w:rPr>
          <w:rFonts w:ascii="Arial"/>
          <w:i/>
          <w:sz w:val="20"/>
        </w:rPr>
      </w:pPr>
      <w:r>
        <w:rPr>
          <w:rFonts w:ascii="Arial"/>
          <w:i/>
          <w:sz w:val="20"/>
        </w:rPr>
        <mc:AlternateContent>
          <mc:Choice Requires="wps">
            <w:drawing>
              <wp:anchor distT="0" distB="0" distL="0" distR="0" allowOverlap="1" layoutInCell="1" locked="0" behindDoc="1" simplePos="0" relativeHeight="487638016">
                <wp:simplePos x="0" y="0"/>
                <wp:positionH relativeFrom="page">
                  <wp:posOffset>896111</wp:posOffset>
                </wp:positionH>
                <wp:positionV relativeFrom="paragraph">
                  <wp:posOffset>240017</wp:posOffset>
                </wp:positionV>
                <wp:extent cx="5706110" cy="12700"/>
                <wp:effectExtent l="0" t="0" r="0" b="0"/>
                <wp:wrapTopAndBottom/>
                <wp:docPr id="287" name="Graphic 287"/>
                <wp:cNvGraphicFramePr>
                  <a:graphicFrameLocks/>
                </wp:cNvGraphicFramePr>
                <a:graphic>
                  <a:graphicData uri="http://schemas.microsoft.com/office/word/2010/wordprocessingShape">
                    <wps:wsp>
                      <wps:cNvPr id="287" name="Graphic 287"/>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18.899023pt;width:449.28pt;height:.96pt;mso-position-horizontal-relative:page;mso-position-vertical-relative:paragraph;z-index:-15678464;mso-wrap-distance-left:0;mso-wrap-distance-right:0" id="docshape271" filled="true" fillcolor="#000000" stroked="false">
                <v:fill type="solid"/>
                <w10:wrap type="topAndBottom"/>
              </v:rect>
            </w:pict>
          </mc:Fallback>
        </mc:AlternateContent>
      </w:r>
    </w:p>
    <w:p>
      <w:pPr>
        <w:pStyle w:val="BodyText"/>
        <w:spacing w:after="0"/>
        <w:rPr>
          <w:rFonts w:ascii="Arial"/>
          <w:i/>
          <w:sz w:val="20"/>
        </w:rPr>
        <w:sectPr>
          <w:headerReference w:type="even" r:id="rId83"/>
          <w:headerReference w:type="default" r:id="rId84"/>
          <w:footerReference w:type="even" r:id="rId85"/>
          <w:footerReference w:type="default" r:id="rId86"/>
          <w:pgSz w:w="12240" w:h="15840"/>
          <w:pgMar w:header="725" w:footer="721" w:top="1340" w:bottom="920" w:left="1080" w:right="1080"/>
          <w:pgNumType w:start="168"/>
        </w:sectPr>
      </w:pPr>
    </w:p>
    <w:p>
      <w:pPr>
        <w:pStyle w:val="BodyText"/>
        <w:spacing w:before="28"/>
        <w:rPr>
          <w:rFonts w:ascii="Arial"/>
          <w:i/>
          <w:sz w:val="36"/>
        </w:rPr>
      </w:pPr>
    </w:p>
    <w:p>
      <w:pPr>
        <w:pStyle w:val="Heading1"/>
        <w:tabs>
          <w:tab w:pos="9748" w:val="left" w:leader="none"/>
        </w:tabs>
        <w:ind w:left="791"/>
      </w:pPr>
      <w:bookmarkStart w:name="Appendix A – Consistency with Plan Compo" w:id="925"/>
      <w:bookmarkEnd w:id="925"/>
      <w:r>
        <w:rPr>
          <w:b w:val="0"/>
        </w:rPr>
      </w:r>
      <w:bookmarkStart w:name="_bookmark279" w:id="926"/>
      <w:bookmarkEnd w:id="926"/>
      <w:r>
        <w:rPr>
          <w:b w:val="0"/>
        </w:rPr>
      </w:r>
      <w:r>
        <w:rPr>
          <w:color w:val="475824"/>
          <w:shd w:fill="C2D59B" w:color="auto" w:val="clear"/>
        </w:rPr>
        <w:t>Appendix</w:t>
      </w:r>
      <w:r>
        <w:rPr>
          <w:color w:val="475824"/>
          <w:spacing w:val="-14"/>
          <w:shd w:fill="C2D59B" w:color="auto" w:val="clear"/>
        </w:rPr>
        <w:t> </w:t>
      </w:r>
      <w:r>
        <w:rPr>
          <w:color w:val="475824"/>
          <w:shd w:fill="C2D59B" w:color="auto" w:val="clear"/>
        </w:rPr>
        <w:t>A</w:t>
      </w:r>
      <w:r>
        <w:rPr>
          <w:color w:val="475824"/>
          <w:spacing w:val="-23"/>
          <w:shd w:fill="C2D59B" w:color="auto" w:val="clear"/>
        </w:rPr>
        <w:t> </w:t>
      </w:r>
      <w:r>
        <w:rPr>
          <w:color w:val="475824"/>
          <w:shd w:fill="C2D59B" w:color="auto" w:val="clear"/>
        </w:rPr>
        <w:t>–</w:t>
      </w:r>
      <w:r>
        <w:rPr>
          <w:color w:val="475824"/>
          <w:spacing w:val="-2"/>
          <w:shd w:fill="C2D59B" w:color="auto" w:val="clear"/>
        </w:rPr>
        <w:t> </w:t>
      </w:r>
      <w:r>
        <w:rPr>
          <w:color w:val="475824"/>
          <w:shd w:fill="C2D59B" w:color="auto" w:val="clear"/>
        </w:rPr>
        <w:t>Consistency</w:t>
      </w:r>
      <w:r>
        <w:rPr>
          <w:color w:val="475824"/>
          <w:spacing w:val="-5"/>
          <w:shd w:fill="C2D59B" w:color="auto" w:val="clear"/>
        </w:rPr>
        <w:t> </w:t>
      </w:r>
      <w:r>
        <w:rPr>
          <w:color w:val="475824"/>
          <w:shd w:fill="C2D59B" w:color="auto" w:val="clear"/>
        </w:rPr>
        <w:t>with</w:t>
      </w:r>
      <w:r>
        <w:rPr>
          <w:color w:val="475824"/>
          <w:spacing w:val="-3"/>
          <w:shd w:fill="C2D59B" w:color="auto" w:val="clear"/>
        </w:rPr>
        <w:t> </w:t>
      </w:r>
      <w:r>
        <w:rPr>
          <w:color w:val="475824"/>
          <w:shd w:fill="C2D59B" w:color="auto" w:val="clear"/>
        </w:rPr>
        <w:t>Plan</w:t>
      </w:r>
      <w:r>
        <w:rPr>
          <w:color w:val="475824"/>
          <w:spacing w:val="-3"/>
          <w:shd w:fill="C2D59B" w:color="auto" w:val="clear"/>
        </w:rPr>
        <w:t> </w:t>
      </w:r>
      <w:r>
        <w:rPr>
          <w:color w:val="475824"/>
          <w:spacing w:val="-2"/>
          <w:shd w:fill="C2D59B" w:color="auto" w:val="clear"/>
        </w:rPr>
        <w:t>Components</w:t>
      </w:r>
      <w:r>
        <w:rPr>
          <w:color w:val="475824"/>
          <w:shd w:fill="C2D59B" w:color="auto" w:val="clear"/>
        </w:rPr>
        <w:tab/>
      </w:r>
    </w:p>
    <w:p>
      <w:pPr>
        <w:pStyle w:val="BodyText"/>
        <w:spacing w:line="232" w:lineRule="auto" w:before="124"/>
        <w:ind w:left="791" w:right="396"/>
      </w:pPr>
      <w:r>
        <w:rPr/>
        <w:t>As required by NFMA and the planning rule, all projects and activities authorized by the Forest Service must be consistent with the plan. A project or activity must be consistent with the plan (36 CFR 219.8(e)) by being consistent with applicable plan components (36 CFR 219.7(a)); 36 CFR 219.8(a). Direction in this Plan applies to all projects that have decisions made on or after the effective date of the final record of decision (ROD). The ROD specifies the transition strategy for short- and long-term ongoing actions. Plans may have other content, such as background, collaboration strategies, context, existing conditions, glossary, introduction, monitoring questions, other referenced information or guidance, performance history, performance measures, performance</w:t>
      </w:r>
      <w:r>
        <w:rPr>
          <w:spacing w:val="-7"/>
        </w:rPr>
        <w:t> </w:t>
      </w:r>
      <w:r>
        <w:rPr/>
        <w:t>risks,</w:t>
      </w:r>
      <w:r>
        <w:rPr>
          <w:spacing w:val="-6"/>
        </w:rPr>
        <w:t> </w:t>
      </w:r>
      <w:r>
        <w:rPr/>
        <w:t>program</w:t>
      </w:r>
      <w:r>
        <w:rPr>
          <w:spacing w:val="-5"/>
        </w:rPr>
        <w:t> </w:t>
      </w:r>
      <w:r>
        <w:rPr/>
        <w:t>emphasis,</w:t>
      </w:r>
      <w:r>
        <w:rPr>
          <w:spacing w:val="-7"/>
        </w:rPr>
        <w:t> </w:t>
      </w:r>
      <w:r>
        <w:rPr/>
        <w:t>program</w:t>
      </w:r>
      <w:r>
        <w:rPr>
          <w:spacing w:val="-7"/>
        </w:rPr>
        <w:t> </w:t>
      </w:r>
      <w:r>
        <w:rPr/>
        <w:t>guidance,</w:t>
      </w:r>
      <w:r>
        <w:rPr>
          <w:spacing w:val="-6"/>
        </w:rPr>
        <w:t> </w:t>
      </w:r>
      <w:r>
        <w:rPr/>
        <w:t>program</w:t>
      </w:r>
      <w:r>
        <w:rPr>
          <w:spacing w:val="-5"/>
        </w:rPr>
        <w:t> </w:t>
      </w:r>
      <w:r>
        <w:rPr/>
        <w:t>priorities,</w:t>
      </w:r>
      <w:r>
        <w:rPr>
          <w:spacing w:val="-7"/>
        </w:rPr>
        <w:t> </w:t>
      </w:r>
      <w:r>
        <w:rPr/>
        <w:t>possible</w:t>
      </w:r>
      <w:r>
        <w:rPr>
          <w:spacing w:val="-5"/>
        </w:rPr>
        <w:t> </w:t>
      </w:r>
      <w:r>
        <w:rPr/>
        <w:t>actions,</w:t>
      </w:r>
      <w:r>
        <w:rPr>
          <w:spacing w:val="-6"/>
        </w:rPr>
        <w:t> </w:t>
      </w:r>
      <w:r>
        <w:rPr/>
        <w:t>roles and</w:t>
      </w:r>
      <w:r>
        <w:rPr>
          <w:spacing w:val="-7"/>
        </w:rPr>
        <w:t> </w:t>
      </w:r>
      <w:r>
        <w:rPr/>
        <w:t>contributions,</w:t>
      </w:r>
      <w:r>
        <w:rPr>
          <w:spacing w:val="-8"/>
        </w:rPr>
        <w:t> </w:t>
      </w:r>
      <w:r>
        <w:rPr/>
        <w:t>management</w:t>
      </w:r>
      <w:r>
        <w:rPr>
          <w:spacing w:val="-8"/>
        </w:rPr>
        <w:t> </w:t>
      </w:r>
      <w:r>
        <w:rPr/>
        <w:t>challenges,</w:t>
      </w:r>
      <w:r>
        <w:rPr>
          <w:spacing w:val="-8"/>
        </w:rPr>
        <w:t> </w:t>
      </w:r>
      <w:r>
        <w:rPr/>
        <w:t>or</w:t>
      </w:r>
      <w:r>
        <w:rPr>
          <w:spacing w:val="-6"/>
        </w:rPr>
        <w:t> </w:t>
      </w:r>
      <w:r>
        <w:rPr/>
        <w:t>strategies,</w:t>
      </w:r>
      <w:r>
        <w:rPr>
          <w:spacing w:val="-6"/>
        </w:rPr>
        <w:t> </w:t>
      </w:r>
      <w:r>
        <w:rPr/>
        <w:t>but</w:t>
      </w:r>
      <w:r>
        <w:rPr>
          <w:spacing w:val="-5"/>
        </w:rPr>
        <w:t> </w:t>
      </w:r>
      <w:r>
        <w:rPr/>
        <w:t>such</w:t>
      </w:r>
      <w:r>
        <w:rPr>
          <w:spacing w:val="-9"/>
        </w:rPr>
        <w:t> </w:t>
      </w:r>
      <w:r>
        <w:rPr/>
        <w:t>other</w:t>
      </w:r>
      <w:r>
        <w:rPr>
          <w:spacing w:val="-6"/>
        </w:rPr>
        <w:t> </w:t>
      </w:r>
      <w:r>
        <w:rPr/>
        <w:t>content</w:t>
      </w:r>
      <w:r>
        <w:rPr>
          <w:spacing w:val="-8"/>
        </w:rPr>
        <w:t> </w:t>
      </w:r>
      <w:r>
        <w:rPr/>
        <w:t>are</w:t>
      </w:r>
      <w:r>
        <w:rPr>
          <w:spacing w:val="-5"/>
        </w:rPr>
        <w:t> </w:t>
      </w:r>
      <w:r>
        <w:rPr/>
        <w:t>not</w:t>
      </w:r>
      <w:r>
        <w:rPr>
          <w:spacing w:val="-8"/>
        </w:rPr>
        <w:t> </w:t>
      </w:r>
      <w:r>
        <w:rPr/>
        <w:t>matters</w:t>
      </w:r>
      <w:r>
        <w:rPr>
          <w:spacing w:val="-6"/>
        </w:rPr>
        <w:t> </w:t>
      </w:r>
      <w:r>
        <w:rPr/>
        <w:t>to which project consistency is required.</w:t>
      </w:r>
    </w:p>
    <w:p>
      <w:pPr>
        <w:pStyle w:val="BodyText"/>
        <w:spacing w:line="232" w:lineRule="auto" w:before="194"/>
        <w:ind w:left="791" w:right="361"/>
      </w:pPr>
      <w:r>
        <w:rPr>
          <w:b/>
        </w:rPr>
        <w:t>Ensuring Project or Activity Consistency with the Plan</w:t>
      </w:r>
      <w:r>
        <w:rPr/>
        <w:t>— A project or activity must be consistent with all applicable plan components; desired conditions, standards and guidelines. Where a proposed</w:t>
      </w:r>
      <w:r>
        <w:rPr>
          <w:spacing w:val="-5"/>
        </w:rPr>
        <w:t> </w:t>
      </w:r>
      <w:r>
        <w:rPr/>
        <w:t>project</w:t>
      </w:r>
      <w:r>
        <w:rPr>
          <w:spacing w:val="-6"/>
        </w:rPr>
        <w:t> </w:t>
      </w:r>
      <w:r>
        <w:rPr/>
        <w:t>or</w:t>
      </w:r>
      <w:r>
        <w:rPr>
          <w:spacing w:val="-4"/>
        </w:rPr>
        <w:t> </w:t>
      </w:r>
      <w:r>
        <w:rPr/>
        <w:t>activity</w:t>
      </w:r>
      <w:r>
        <w:rPr>
          <w:spacing w:val="-3"/>
        </w:rPr>
        <w:t> </w:t>
      </w:r>
      <w:r>
        <w:rPr/>
        <w:t>would</w:t>
      </w:r>
      <w:r>
        <w:rPr>
          <w:spacing w:val="-5"/>
        </w:rPr>
        <w:t> </w:t>
      </w:r>
      <w:r>
        <w:rPr/>
        <w:t>not</w:t>
      </w:r>
      <w:r>
        <w:rPr>
          <w:spacing w:val="-6"/>
        </w:rPr>
        <w:t> </w:t>
      </w:r>
      <w:r>
        <w:rPr/>
        <w:t>be</w:t>
      </w:r>
      <w:r>
        <w:rPr>
          <w:spacing w:val="-3"/>
        </w:rPr>
        <w:t> </w:t>
      </w:r>
      <w:r>
        <w:rPr/>
        <w:t>consistent</w:t>
      </w:r>
      <w:r>
        <w:rPr>
          <w:spacing w:val="-6"/>
        </w:rPr>
        <w:t> </w:t>
      </w:r>
      <w:r>
        <w:rPr/>
        <w:t>with</w:t>
      </w:r>
      <w:r>
        <w:rPr>
          <w:spacing w:val="-5"/>
        </w:rPr>
        <w:t> </w:t>
      </w:r>
      <w:r>
        <w:rPr/>
        <w:t>a</w:t>
      </w:r>
      <w:r>
        <w:rPr>
          <w:spacing w:val="-4"/>
        </w:rPr>
        <w:t> </w:t>
      </w:r>
      <w:r>
        <w:rPr/>
        <w:t>plan</w:t>
      </w:r>
      <w:r>
        <w:rPr>
          <w:spacing w:val="-5"/>
        </w:rPr>
        <w:t> </w:t>
      </w:r>
      <w:r>
        <w:rPr/>
        <w:t>component</w:t>
      </w:r>
      <w:r>
        <w:rPr>
          <w:spacing w:val="-6"/>
        </w:rPr>
        <w:t> </w:t>
      </w:r>
      <w:r>
        <w:rPr/>
        <w:t>the</w:t>
      </w:r>
      <w:r>
        <w:rPr>
          <w:spacing w:val="-6"/>
        </w:rPr>
        <w:t> </w:t>
      </w:r>
      <w:r>
        <w:rPr/>
        <w:t>responsible</w:t>
      </w:r>
      <w:r>
        <w:rPr>
          <w:spacing w:val="-6"/>
        </w:rPr>
        <w:t> </w:t>
      </w:r>
      <w:r>
        <w:rPr/>
        <w:t>official has the following options:</w:t>
      </w:r>
    </w:p>
    <w:p>
      <w:pPr>
        <w:pStyle w:val="ListParagraph"/>
        <w:numPr>
          <w:ilvl w:val="0"/>
          <w:numId w:val="29"/>
        </w:numPr>
        <w:tabs>
          <w:tab w:pos="1330" w:val="left" w:leader="none"/>
        </w:tabs>
        <w:spacing w:line="240" w:lineRule="auto" w:before="193" w:after="0"/>
        <w:ind w:left="1330" w:right="0" w:hanging="359"/>
        <w:jc w:val="both"/>
        <w:rPr>
          <w:sz w:val="22"/>
        </w:rPr>
      </w:pPr>
      <w:r>
        <w:rPr>
          <w:sz w:val="22"/>
        </w:rPr>
        <w:t>To</w:t>
      </w:r>
      <w:r>
        <w:rPr>
          <w:spacing w:val="-8"/>
          <w:sz w:val="22"/>
        </w:rPr>
        <w:t> </w:t>
      </w:r>
      <w:r>
        <w:rPr>
          <w:sz w:val="22"/>
        </w:rPr>
        <w:t>modify</w:t>
      </w:r>
      <w:r>
        <w:rPr>
          <w:spacing w:val="-4"/>
          <w:sz w:val="22"/>
        </w:rPr>
        <w:t> </w:t>
      </w:r>
      <w:r>
        <w:rPr>
          <w:sz w:val="22"/>
        </w:rPr>
        <w:t>the</w:t>
      </w:r>
      <w:r>
        <w:rPr>
          <w:spacing w:val="-7"/>
          <w:sz w:val="22"/>
        </w:rPr>
        <w:t> </w:t>
      </w:r>
      <w:r>
        <w:rPr>
          <w:sz w:val="22"/>
        </w:rPr>
        <w:t>proposal</w:t>
      </w:r>
      <w:r>
        <w:rPr>
          <w:spacing w:val="-5"/>
          <w:sz w:val="22"/>
        </w:rPr>
        <w:t> </w:t>
      </w:r>
      <w:r>
        <w:rPr>
          <w:sz w:val="22"/>
        </w:rPr>
        <w:t>so</w:t>
      </w:r>
      <w:r>
        <w:rPr>
          <w:spacing w:val="-4"/>
          <w:sz w:val="22"/>
        </w:rPr>
        <w:t> </w:t>
      </w:r>
      <w:r>
        <w:rPr>
          <w:sz w:val="22"/>
        </w:rPr>
        <w:t>that</w:t>
      </w:r>
      <w:r>
        <w:rPr>
          <w:spacing w:val="-4"/>
          <w:sz w:val="22"/>
        </w:rPr>
        <w:t> </w:t>
      </w:r>
      <w:r>
        <w:rPr>
          <w:sz w:val="22"/>
        </w:rPr>
        <w:t>the</w:t>
      </w:r>
      <w:r>
        <w:rPr>
          <w:spacing w:val="-4"/>
          <w:sz w:val="22"/>
        </w:rPr>
        <w:t> </w:t>
      </w:r>
      <w:r>
        <w:rPr>
          <w:sz w:val="22"/>
        </w:rPr>
        <w:t>project</w:t>
      </w:r>
      <w:r>
        <w:rPr>
          <w:spacing w:val="-6"/>
          <w:sz w:val="22"/>
        </w:rPr>
        <w:t> </w:t>
      </w:r>
      <w:r>
        <w:rPr>
          <w:sz w:val="22"/>
        </w:rPr>
        <w:t>or</w:t>
      </w:r>
      <w:r>
        <w:rPr>
          <w:spacing w:val="-5"/>
          <w:sz w:val="22"/>
        </w:rPr>
        <w:t> </w:t>
      </w:r>
      <w:r>
        <w:rPr>
          <w:sz w:val="22"/>
        </w:rPr>
        <w:t>activity</w:t>
      </w:r>
      <w:r>
        <w:rPr>
          <w:spacing w:val="-9"/>
          <w:sz w:val="22"/>
        </w:rPr>
        <w:t> </w:t>
      </w:r>
      <w:r>
        <w:rPr>
          <w:sz w:val="22"/>
        </w:rPr>
        <w:t>will</w:t>
      </w:r>
      <w:r>
        <w:rPr>
          <w:spacing w:val="-5"/>
          <w:sz w:val="22"/>
        </w:rPr>
        <w:t> </w:t>
      </w:r>
      <w:r>
        <w:rPr>
          <w:sz w:val="22"/>
        </w:rPr>
        <w:t>be</w:t>
      </w:r>
      <w:r>
        <w:rPr>
          <w:spacing w:val="-3"/>
          <w:sz w:val="22"/>
        </w:rPr>
        <w:t> </w:t>
      </w:r>
      <w:r>
        <w:rPr>
          <w:spacing w:val="-2"/>
          <w:sz w:val="22"/>
        </w:rPr>
        <w:t>consistent;</w:t>
      </w:r>
    </w:p>
    <w:p>
      <w:pPr>
        <w:pStyle w:val="ListParagraph"/>
        <w:numPr>
          <w:ilvl w:val="0"/>
          <w:numId w:val="29"/>
        </w:numPr>
        <w:tabs>
          <w:tab w:pos="1330" w:val="left" w:leader="none"/>
        </w:tabs>
        <w:spacing w:line="240" w:lineRule="auto" w:before="110" w:after="0"/>
        <w:ind w:left="1330" w:right="0" w:hanging="359"/>
        <w:jc w:val="both"/>
        <w:rPr>
          <w:sz w:val="22"/>
        </w:rPr>
      </w:pPr>
      <w:r>
        <w:rPr>
          <w:sz w:val="22"/>
        </w:rPr>
        <w:t>To</w:t>
      </w:r>
      <w:r>
        <w:rPr>
          <w:spacing w:val="-10"/>
          <w:sz w:val="22"/>
        </w:rPr>
        <w:t> </w:t>
      </w:r>
      <w:r>
        <w:rPr>
          <w:sz w:val="22"/>
        </w:rPr>
        <w:t>reject</w:t>
      </w:r>
      <w:r>
        <w:rPr>
          <w:spacing w:val="-11"/>
          <w:sz w:val="22"/>
        </w:rPr>
        <w:t> </w:t>
      </w:r>
      <w:r>
        <w:rPr>
          <w:sz w:val="22"/>
        </w:rPr>
        <w:t>the</w:t>
      </w:r>
      <w:r>
        <w:rPr>
          <w:spacing w:val="-9"/>
          <w:sz w:val="22"/>
        </w:rPr>
        <w:t> </w:t>
      </w:r>
      <w:r>
        <w:rPr>
          <w:sz w:val="22"/>
        </w:rPr>
        <w:t>proposal;</w:t>
      </w:r>
      <w:r>
        <w:rPr>
          <w:spacing w:val="-9"/>
          <w:sz w:val="22"/>
        </w:rPr>
        <w:t> </w:t>
      </w:r>
      <w:r>
        <w:rPr>
          <w:spacing w:val="-5"/>
          <w:sz w:val="22"/>
        </w:rPr>
        <w:t>or</w:t>
      </w:r>
    </w:p>
    <w:p>
      <w:pPr>
        <w:pStyle w:val="ListParagraph"/>
        <w:numPr>
          <w:ilvl w:val="0"/>
          <w:numId w:val="29"/>
        </w:numPr>
        <w:tabs>
          <w:tab w:pos="1332" w:val="left" w:leader="none"/>
        </w:tabs>
        <w:spacing w:line="232" w:lineRule="auto" w:before="120" w:after="0"/>
        <w:ind w:left="1332" w:right="411" w:hanging="360"/>
        <w:jc w:val="both"/>
        <w:rPr>
          <w:sz w:val="22"/>
        </w:rPr>
      </w:pPr>
      <w:r>
        <w:rPr>
          <w:sz w:val="22"/>
        </w:rPr>
        <w:t>To</w:t>
      </w:r>
      <w:r>
        <w:rPr>
          <w:spacing w:val="-4"/>
          <w:sz w:val="22"/>
        </w:rPr>
        <w:t> </w:t>
      </w:r>
      <w:r>
        <w:rPr>
          <w:sz w:val="22"/>
        </w:rPr>
        <w:t>amend</w:t>
      </w:r>
      <w:r>
        <w:rPr>
          <w:spacing w:val="-6"/>
          <w:sz w:val="22"/>
        </w:rPr>
        <w:t> </w:t>
      </w:r>
      <w:r>
        <w:rPr>
          <w:sz w:val="22"/>
        </w:rPr>
        <w:t>the</w:t>
      </w:r>
      <w:r>
        <w:rPr>
          <w:spacing w:val="-4"/>
          <w:sz w:val="22"/>
        </w:rPr>
        <w:t> </w:t>
      </w:r>
      <w:r>
        <w:rPr>
          <w:sz w:val="22"/>
        </w:rPr>
        <w:t>plan</w:t>
      </w:r>
      <w:r>
        <w:rPr>
          <w:spacing w:val="-6"/>
          <w:sz w:val="22"/>
        </w:rPr>
        <w:t> </w:t>
      </w:r>
      <w:r>
        <w:rPr>
          <w:sz w:val="22"/>
        </w:rPr>
        <w:t>contemporaneously</w:t>
      </w:r>
      <w:r>
        <w:rPr>
          <w:spacing w:val="-6"/>
          <w:sz w:val="22"/>
        </w:rPr>
        <w:t> </w:t>
      </w:r>
      <w:r>
        <w:rPr>
          <w:sz w:val="22"/>
        </w:rPr>
        <w:t>with</w:t>
      </w:r>
      <w:r>
        <w:rPr>
          <w:spacing w:val="-6"/>
          <w:sz w:val="22"/>
        </w:rPr>
        <w:t> </w:t>
      </w:r>
      <w:r>
        <w:rPr>
          <w:sz w:val="22"/>
        </w:rPr>
        <w:t>the</w:t>
      </w:r>
      <w:r>
        <w:rPr>
          <w:spacing w:val="-7"/>
          <w:sz w:val="22"/>
        </w:rPr>
        <w:t> </w:t>
      </w:r>
      <w:r>
        <w:rPr>
          <w:sz w:val="22"/>
        </w:rPr>
        <w:t>approval</w:t>
      </w:r>
      <w:r>
        <w:rPr>
          <w:spacing w:val="-7"/>
          <w:sz w:val="22"/>
        </w:rPr>
        <w:t> </w:t>
      </w:r>
      <w:r>
        <w:rPr>
          <w:sz w:val="22"/>
        </w:rPr>
        <w:t>of</w:t>
      </w:r>
      <w:r>
        <w:rPr>
          <w:spacing w:val="-7"/>
          <w:sz w:val="22"/>
        </w:rPr>
        <w:t> </w:t>
      </w:r>
      <w:r>
        <w:rPr>
          <w:sz w:val="22"/>
        </w:rPr>
        <w:t>the</w:t>
      </w:r>
      <w:r>
        <w:rPr>
          <w:spacing w:val="-4"/>
          <w:sz w:val="22"/>
        </w:rPr>
        <w:t> </w:t>
      </w:r>
      <w:r>
        <w:rPr>
          <w:sz w:val="22"/>
        </w:rPr>
        <w:t>project</w:t>
      </w:r>
      <w:r>
        <w:rPr>
          <w:spacing w:val="-7"/>
          <w:sz w:val="22"/>
        </w:rPr>
        <w:t> </w:t>
      </w:r>
      <w:r>
        <w:rPr>
          <w:sz w:val="22"/>
        </w:rPr>
        <w:t>or</w:t>
      </w:r>
      <w:r>
        <w:rPr>
          <w:spacing w:val="-5"/>
          <w:sz w:val="22"/>
        </w:rPr>
        <w:t> </w:t>
      </w:r>
      <w:r>
        <w:rPr>
          <w:sz w:val="22"/>
        </w:rPr>
        <w:t>activity</w:t>
      </w:r>
      <w:r>
        <w:rPr>
          <w:spacing w:val="-4"/>
          <w:sz w:val="22"/>
        </w:rPr>
        <w:t> </w:t>
      </w:r>
      <w:r>
        <w:rPr>
          <w:sz w:val="22"/>
        </w:rPr>
        <w:t>so</w:t>
      </w:r>
      <w:r>
        <w:rPr>
          <w:spacing w:val="-4"/>
          <w:sz w:val="22"/>
        </w:rPr>
        <w:t> </w:t>
      </w:r>
      <w:r>
        <w:rPr>
          <w:sz w:val="22"/>
        </w:rPr>
        <w:t>that</w:t>
      </w:r>
      <w:r>
        <w:rPr>
          <w:spacing w:val="-4"/>
          <w:sz w:val="22"/>
        </w:rPr>
        <w:t> </w:t>
      </w:r>
      <w:r>
        <w:rPr>
          <w:sz w:val="22"/>
        </w:rPr>
        <w:t>the project</w:t>
      </w:r>
      <w:r>
        <w:rPr>
          <w:spacing w:val="-3"/>
          <w:sz w:val="22"/>
        </w:rPr>
        <w:t> </w:t>
      </w:r>
      <w:r>
        <w:rPr>
          <w:sz w:val="22"/>
        </w:rPr>
        <w:t>or</w:t>
      </w:r>
      <w:r>
        <w:rPr>
          <w:spacing w:val="-1"/>
          <w:sz w:val="22"/>
        </w:rPr>
        <w:t> </w:t>
      </w:r>
      <w:r>
        <w:rPr>
          <w:sz w:val="22"/>
        </w:rPr>
        <w:t>activity is</w:t>
      </w:r>
      <w:r>
        <w:rPr>
          <w:spacing w:val="-1"/>
          <w:sz w:val="22"/>
        </w:rPr>
        <w:t> </w:t>
      </w:r>
      <w:r>
        <w:rPr>
          <w:sz w:val="22"/>
        </w:rPr>
        <w:t>consistent with</w:t>
      </w:r>
      <w:r>
        <w:rPr>
          <w:spacing w:val="-4"/>
          <w:sz w:val="22"/>
        </w:rPr>
        <w:t> </w:t>
      </w:r>
      <w:r>
        <w:rPr>
          <w:sz w:val="22"/>
        </w:rPr>
        <w:t>the plan</w:t>
      </w:r>
      <w:r>
        <w:rPr>
          <w:spacing w:val="-2"/>
          <w:sz w:val="22"/>
        </w:rPr>
        <w:t> </w:t>
      </w:r>
      <w:r>
        <w:rPr>
          <w:sz w:val="22"/>
        </w:rPr>
        <w:t>as</w:t>
      </w:r>
      <w:r>
        <w:rPr>
          <w:spacing w:val="-3"/>
          <w:sz w:val="22"/>
        </w:rPr>
        <w:t> </w:t>
      </w:r>
      <w:r>
        <w:rPr>
          <w:sz w:val="22"/>
        </w:rPr>
        <w:t>amended.</w:t>
      </w:r>
      <w:r>
        <w:rPr>
          <w:spacing w:val="-1"/>
          <w:sz w:val="22"/>
        </w:rPr>
        <w:t> </w:t>
      </w:r>
      <w:r>
        <w:rPr>
          <w:sz w:val="22"/>
        </w:rPr>
        <w:t>The amendment</w:t>
      </w:r>
      <w:r>
        <w:rPr>
          <w:spacing w:val="-3"/>
          <w:sz w:val="22"/>
        </w:rPr>
        <w:t> </w:t>
      </w:r>
      <w:r>
        <w:rPr>
          <w:sz w:val="22"/>
        </w:rPr>
        <w:t>may be limited</w:t>
      </w:r>
      <w:r>
        <w:rPr>
          <w:spacing w:val="-2"/>
          <w:sz w:val="22"/>
        </w:rPr>
        <w:t> </w:t>
      </w:r>
      <w:r>
        <w:rPr>
          <w:sz w:val="22"/>
        </w:rPr>
        <w:t>to apply only to the project or activity (36 CFR 219.8(e)).</w:t>
      </w:r>
    </w:p>
    <w:p>
      <w:pPr>
        <w:pStyle w:val="BodyText"/>
        <w:spacing w:line="232" w:lineRule="auto" w:before="118"/>
        <w:ind w:left="792" w:right="434"/>
        <w:jc w:val="both"/>
      </w:pPr>
      <w:r>
        <w:rPr/>
        <w:t>The</w:t>
      </w:r>
      <w:r>
        <w:rPr>
          <w:spacing w:val="-4"/>
        </w:rPr>
        <w:t> </w:t>
      </w:r>
      <w:r>
        <w:rPr/>
        <w:t>following</w:t>
      </w:r>
      <w:r>
        <w:rPr>
          <w:spacing w:val="-6"/>
        </w:rPr>
        <w:t> </w:t>
      </w:r>
      <w:r>
        <w:rPr/>
        <w:t>paragraphs</w:t>
      </w:r>
      <w:r>
        <w:rPr>
          <w:spacing w:val="-5"/>
        </w:rPr>
        <w:t> </w:t>
      </w:r>
      <w:r>
        <w:rPr/>
        <w:t>describe</w:t>
      </w:r>
      <w:r>
        <w:rPr>
          <w:spacing w:val="-4"/>
        </w:rPr>
        <w:t> </w:t>
      </w:r>
      <w:r>
        <w:rPr/>
        <w:t>how</w:t>
      </w:r>
      <w:r>
        <w:rPr>
          <w:spacing w:val="-4"/>
        </w:rPr>
        <w:t> </w:t>
      </w:r>
      <w:r>
        <w:rPr/>
        <w:t>a</w:t>
      </w:r>
      <w:r>
        <w:rPr>
          <w:spacing w:val="-5"/>
        </w:rPr>
        <w:t> </w:t>
      </w:r>
      <w:r>
        <w:rPr/>
        <w:t>project</w:t>
      </w:r>
      <w:r>
        <w:rPr>
          <w:spacing w:val="-7"/>
        </w:rPr>
        <w:t> </w:t>
      </w:r>
      <w:r>
        <w:rPr/>
        <w:t>or</w:t>
      </w:r>
      <w:r>
        <w:rPr>
          <w:spacing w:val="-7"/>
        </w:rPr>
        <w:t> </w:t>
      </w:r>
      <w:r>
        <w:rPr/>
        <w:t>activity</w:t>
      </w:r>
      <w:r>
        <w:rPr>
          <w:spacing w:val="-4"/>
        </w:rPr>
        <w:t> </w:t>
      </w:r>
      <w:r>
        <w:rPr/>
        <w:t>is</w:t>
      </w:r>
      <w:r>
        <w:rPr>
          <w:spacing w:val="-5"/>
        </w:rPr>
        <w:t> </w:t>
      </w:r>
      <w:r>
        <w:rPr/>
        <w:t>consistent</w:t>
      </w:r>
      <w:r>
        <w:rPr>
          <w:spacing w:val="-4"/>
        </w:rPr>
        <w:t> </w:t>
      </w:r>
      <w:r>
        <w:rPr/>
        <w:t>with</w:t>
      </w:r>
      <w:r>
        <w:rPr>
          <w:spacing w:val="-6"/>
        </w:rPr>
        <w:t> </w:t>
      </w:r>
      <w:r>
        <w:rPr/>
        <w:t>plan</w:t>
      </w:r>
      <w:r>
        <w:rPr>
          <w:spacing w:val="-6"/>
        </w:rPr>
        <w:t> </w:t>
      </w:r>
      <w:r>
        <w:rPr/>
        <w:t>components</w:t>
      </w:r>
      <w:r>
        <w:rPr>
          <w:spacing w:val="-7"/>
        </w:rPr>
        <w:t> </w:t>
      </w:r>
      <w:r>
        <w:rPr/>
        <w:t>and the requirements for documenting consistency.</w:t>
      </w:r>
    </w:p>
    <w:p>
      <w:pPr>
        <w:pStyle w:val="BodyText"/>
        <w:spacing w:line="232" w:lineRule="auto" w:before="199"/>
        <w:ind w:left="791" w:right="405"/>
      </w:pPr>
      <w:r>
        <w:rPr>
          <w:b/>
        </w:rPr>
        <w:t>Desired conditions </w:t>
      </w:r>
      <w:r>
        <w:rPr/>
        <w:t>(36 CFR 219.7(a)(2)(i)) — Because of the many types of projects and activities that can occur over the life of a plan, it is not likely that a project or activity can maintain or contribute to the attainment of all desired conditions. Most projects and activities are developed specifically</w:t>
      </w:r>
      <w:r>
        <w:rPr>
          <w:spacing w:val="-3"/>
        </w:rPr>
        <w:t> </w:t>
      </w:r>
      <w:r>
        <w:rPr/>
        <w:t>to</w:t>
      </w:r>
      <w:r>
        <w:rPr>
          <w:spacing w:val="-3"/>
        </w:rPr>
        <w:t> </w:t>
      </w:r>
      <w:r>
        <w:rPr/>
        <w:t>maintain</w:t>
      </w:r>
      <w:r>
        <w:rPr>
          <w:spacing w:val="-5"/>
        </w:rPr>
        <w:t> </w:t>
      </w:r>
      <w:r>
        <w:rPr/>
        <w:t>or</w:t>
      </w:r>
      <w:r>
        <w:rPr>
          <w:spacing w:val="-7"/>
        </w:rPr>
        <w:t> </w:t>
      </w:r>
      <w:r>
        <w:rPr/>
        <w:t>move</w:t>
      </w:r>
      <w:r>
        <w:rPr>
          <w:spacing w:val="-1"/>
        </w:rPr>
        <w:t> </w:t>
      </w:r>
      <w:r>
        <w:rPr/>
        <w:t>conditions</w:t>
      </w:r>
      <w:r>
        <w:rPr>
          <w:spacing w:val="-4"/>
        </w:rPr>
        <w:t> </w:t>
      </w:r>
      <w:r>
        <w:rPr/>
        <w:t>toward</w:t>
      </w:r>
      <w:r>
        <w:rPr>
          <w:spacing w:val="-3"/>
        </w:rPr>
        <w:t> </w:t>
      </w:r>
      <w:r>
        <w:rPr/>
        <w:t>one</w:t>
      </w:r>
      <w:r>
        <w:rPr>
          <w:spacing w:val="-1"/>
        </w:rPr>
        <w:t> </w:t>
      </w:r>
      <w:r>
        <w:rPr/>
        <w:t>or</w:t>
      </w:r>
      <w:r>
        <w:rPr>
          <w:spacing w:val="-4"/>
        </w:rPr>
        <w:t> </w:t>
      </w:r>
      <w:r>
        <w:rPr/>
        <w:t>more</w:t>
      </w:r>
      <w:r>
        <w:rPr>
          <w:spacing w:val="-4"/>
        </w:rPr>
        <w:t> </w:t>
      </w:r>
      <w:r>
        <w:rPr/>
        <w:t>of</w:t>
      </w:r>
      <w:r>
        <w:rPr>
          <w:spacing w:val="-2"/>
        </w:rPr>
        <w:t> </w:t>
      </w:r>
      <w:r>
        <w:rPr/>
        <w:t>the</w:t>
      </w:r>
      <w:r>
        <w:rPr>
          <w:spacing w:val="-4"/>
        </w:rPr>
        <w:t> </w:t>
      </w:r>
      <w:r>
        <w:rPr/>
        <w:t>desired</w:t>
      </w:r>
      <w:r>
        <w:rPr>
          <w:spacing w:val="-3"/>
        </w:rPr>
        <w:t> </w:t>
      </w:r>
      <w:r>
        <w:rPr/>
        <w:t>conditions</w:t>
      </w:r>
      <w:r>
        <w:rPr>
          <w:spacing w:val="-2"/>
        </w:rPr>
        <w:t> </w:t>
      </w:r>
      <w:r>
        <w:rPr/>
        <w:t>of</w:t>
      </w:r>
      <w:r>
        <w:rPr>
          <w:spacing w:val="-4"/>
        </w:rPr>
        <w:t> </w:t>
      </w:r>
      <w:r>
        <w:rPr/>
        <w:t>a</w:t>
      </w:r>
      <w:r>
        <w:rPr>
          <w:spacing w:val="-2"/>
        </w:rPr>
        <w:t> </w:t>
      </w:r>
      <w:r>
        <w:rPr/>
        <w:t>plan. It should not be expected that each project or activity will contribute to all desired conditions in a plan, but usually to one or a subset. However, it should not be expected that in every instance, a project could clearly point to a specific desired condition as the reason the project was proposed; for example, a powerline right-of-way to a private inholding. There will also be instances when negative effects related to a specific desired condition are appropriate, either for long-term progress toward that same desired condition, or for progress toward or maintenance of another desired</w:t>
      </w:r>
      <w:r>
        <w:rPr>
          <w:spacing w:val="-5"/>
        </w:rPr>
        <w:t> </w:t>
      </w:r>
      <w:r>
        <w:rPr/>
        <w:t>condition.</w:t>
      </w:r>
      <w:r>
        <w:rPr>
          <w:spacing w:val="-4"/>
        </w:rPr>
        <w:t> </w:t>
      </w:r>
      <w:r>
        <w:rPr/>
        <w:t>It</w:t>
      </w:r>
      <w:r>
        <w:rPr>
          <w:spacing w:val="-6"/>
        </w:rPr>
        <w:t> </w:t>
      </w:r>
      <w:r>
        <w:rPr/>
        <w:t>is</w:t>
      </w:r>
      <w:r>
        <w:rPr>
          <w:spacing w:val="-4"/>
        </w:rPr>
        <w:t> </w:t>
      </w:r>
      <w:r>
        <w:rPr/>
        <w:t>also</w:t>
      </w:r>
      <w:r>
        <w:rPr>
          <w:spacing w:val="-5"/>
        </w:rPr>
        <w:t> </w:t>
      </w:r>
      <w:r>
        <w:rPr/>
        <w:t>important</w:t>
      </w:r>
      <w:r>
        <w:rPr>
          <w:spacing w:val="-3"/>
        </w:rPr>
        <w:t> </w:t>
      </w:r>
      <w:r>
        <w:rPr/>
        <w:t>that</w:t>
      </w:r>
      <w:r>
        <w:rPr>
          <w:spacing w:val="-6"/>
        </w:rPr>
        <w:t> </w:t>
      </w:r>
      <w:r>
        <w:rPr/>
        <w:t>project</w:t>
      </w:r>
      <w:r>
        <w:rPr>
          <w:spacing w:val="-3"/>
        </w:rPr>
        <w:t> </w:t>
      </w:r>
      <w:r>
        <w:rPr/>
        <w:t>consistency</w:t>
      </w:r>
      <w:r>
        <w:rPr>
          <w:spacing w:val="-5"/>
        </w:rPr>
        <w:t> </w:t>
      </w:r>
      <w:r>
        <w:rPr/>
        <w:t>with</w:t>
      </w:r>
      <w:r>
        <w:rPr>
          <w:spacing w:val="-7"/>
        </w:rPr>
        <w:t> </w:t>
      </w:r>
      <w:r>
        <w:rPr/>
        <w:t>a</w:t>
      </w:r>
      <w:r>
        <w:rPr>
          <w:spacing w:val="-4"/>
        </w:rPr>
        <w:t> </w:t>
      </w:r>
      <w:r>
        <w:rPr/>
        <w:t>desired</w:t>
      </w:r>
      <w:r>
        <w:rPr>
          <w:spacing w:val="-5"/>
        </w:rPr>
        <w:t> </w:t>
      </w:r>
      <w:r>
        <w:rPr/>
        <w:t>condition</w:t>
      </w:r>
      <w:r>
        <w:rPr>
          <w:spacing w:val="-5"/>
        </w:rPr>
        <w:t> </w:t>
      </w:r>
      <w:r>
        <w:rPr/>
        <w:t>be</w:t>
      </w:r>
      <w:r>
        <w:rPr>
          <w:spacing w:val="-6"/>
        </w:rPr>
        <w:t> </w:t>
      </w:r>
      <w:r>
        <w:rPr/>
        <w:t>assessed at the appropriate scale. For example, if a desired condition addresses watershed functionality at the scale of a 5th field watershed, then the contribution of any proposal to that desired condition should be considered at that scale.</w:t>
      </w:r>
    </w:p>
    <w:p>
      <w:pPr>
        <w:pStyle w:val="BodyText"/>
        <w:spacing w:line="232" w:lineRule="auto" w:before="194"/>
        <w:ind w:left="791" w:right="365"/>
      </w:pPr>
      <w:r>
        <w:rPr/>
        <w:t>To</w:t>
      </w:r>
      <w:r>
        <w:rPr>
          <w:spacing w:val="-4"/>
        </w:rPr>
        <w:t> </w:t>
      </w:r>
      <w:r>
        <w:rPr/>
        <w:t>be</w:t>
      </w:r>
      <w:r>
        <w:rPr>
          <w:spacing w:val="-4"/>
        </w:rPr>
        <w:t> </w:t>
      </w:r>
      <w:r>
        <w:rPr/>
        <w:t>consistent</w:t>
      </w:r>
      <w:r>
        <w:rPr>
          <w:spacing w:val="-7"/>
        </w:rPr>
        <w:t> </w:t>
      </w:r>
      <w:r>
        <w:rPr/>
        <w:t>with</w:t>
      </w:r>
      <w:r>
        <w:rPr>
          <w:spacing w:val="-8"/>
        </w:rPr>
        <w:t> </w:t>
      </w:r>
      <w:r>
        <w:rPr/>
        <w:t>the</w:t>
      </w:r>
      <w:r>
        <w:rPr>
          <w:spacing w:val="-4"/>
        </w:rPr>
        <w:t> </w:t>
      </w:r>
      <w:r>
        <w:rPr/>
        <w:t>desired</w:t>
      </w:r>
      <w:r>
        <w:rPr>
          <w:spacing w:val="-6"/>
        </w:rPr>
        <w:t> </w:t>
      </w:r>
      <w:r>
        <w:rPr/>
        <w:t>conditions</w:t>
      </w:r>
      <w:r>
        <w:rPr>
          <w:spacing w:val="-7"/>
        </w:rPr>
        <w:t> </w:t>
      </w:r>
      <w:r>
        <w:rPr/>
        <w:t>of</w:t>
      </w:r>
      <w:r>
        <w:rPr>
          <w:spacing w:val="-7"/>
        </w:rPr>
        <w:t> </w:t>
      </w:r>
      <w:r>
        <w:rPr/>
        <w:t>the</w:t>
      </w:r>
      <w:r>
        <w:rPr>
          <w:spacing w:val="-4"/>
        </w:rPr>
        <w:t> </w:t>
      </w:r>
      <w:r>
        <w:rPr/>
        <w:t>plan,</w:t>
      </w:r>
      <w:r>
        <w:rPr>
          <w:spacing w:val="-5"/>
        </w:rPr>
        <w:t> </w:t>
      </w:r>
      <w:r>
        <w:rPr/>
        <w:t>a</w:t>
      </w:r>
      <w:r>
        <w:rPr>
          <w:spacing w:val="-5"/>
        </w:rPr>
        <w:t> </w:t>
      </w:r>
      <w:r>
        <w:rPr/>
        <w:t>project</w:t>
      </w:r>
      <w:r>
        <w:rPr>
          <w:spacing w:val="-7"/>
        </w:rPr>
        <w:t> </w:t>
      </w:r>
      <w:r>
        <w:rPr/>
        <w:t>or</w:t>
      </w:r>
      <w:r>
        <w:rPr>
          <w:spacing w:val="-5"/>
        </w:rPr>
        <w:t> </w:t>
      </w:r>
      <w:r>
        <w:rPr/>
        <w:t>activity,</w:t>
      </w:r>
      <w:r>
        <w:rPr>
          <w:spacing w:val="-7"/>
        </w:rPr>
        <w:t> </w:t>
      </w:r>
      <w:r>
        <w:rPr/>
        <w:t>when</w:t>
      </w:r>
      <w:r>
        <w:rPr>
          <w:spacing w:val="-6"/>
        </w:rPr>
        <w:t> </w:t>
      </w:r>
      <w:r>
        <w:rPr/>
        <w:t>assessed</w:t>
      </w:r>
      <w:r>
        <w:rPr>
          <w:spacing w:val="-6"/>
        </w:rPr>
        <w:t> </w:t>
      </w:r>
      <w:r>
        <w:rPr/>
        <w:t>at</w:t>
      </w:r>
      <w:r>
        <w:rPr>
          <w:spacing w:val="-4"/>
        </w:rPr>
        <w:t> </w:t>
      </w:r>
      <w:r>
        <w:rPr/>
        <w:t>the appropriate spatial scale described in the plan, must be designed to meet one or more of the following conditions:</w:t>
      </w:r>
    </w:p>
    <w:p>
      <w:pPr>
        <w:pStyle w:val="ListParagraph"/>
        <w:numPr>
          <w:ilvl w:val="0"/>
          <w:numId w:val="29"/>
        </w:numPr>
        <w:tabs>
          <w:tab w:pos="1331" w:val="left" w:leader="none"/>
        </w:tabs>
        <w:spacing w:line="232" w:lineRule="auto" w:before="197" w:after="0"/>
        <w:ind w:left="1331" w:right="661" w:hanging="360"/>
        <w:jc w:val="left"/>
        <w:rPr>
          <w:sz w:val="22"/>
        </w:rPr>
      </w:pPr>
      <w:r>
        <w:rPr>
          <w:sz w:val="22"/>
        </w:rPr>
        <w:t>Maintain</w:t>
      </w:r>
      <w:r>
        <w:rPr>
          <w:spacing w:val="-6"/>
          <w:sz w:val="22"/>
        </w:rPr>
        <w:t> </w:t>
      </w:r>
      <w:r>
        <w:rPr>
          <w:sz w:val="22"/>
        </w:rPr>
        <w:t>or</w:t>
      </w:r>
      <w:r>
        <w:rPr>
          <w:spacing w:val="-5"/>
          <w:sz w:val="22"/>
        </w:rPr>
        <w:t> </w:t>
      </w:r>
      <w:r>
        <w:rPr>
          <w:sz w:val="22"/>
        </w:rPr>
        <w:t>make</w:t>
      </w:r>
      <w:r>
        <w:rPr>
          <w:spacing w:val="-4"/>
          <w:sz w:val="22"/>
        </w:rPr>
        <w:t> </w:t>
      </w:r>
      <w:r>
        <w:rPr>
          <w:sz w:val="22"/>
        </w:rPr>
        <w:t>progress</w:t>
      </w:r>
      <w:r>
        <w:rPr>
          <w:spacing w:val="-8"/>
          <w:sz w:val="22"/>
        </w:rPr>
        <w:t> </w:t>
      </w:r>
      <w:r>
        <w:rPr>
          <w:sz w:val="22"/>
        </w:rPr>
        <w:t>toward</w:t>
      </w:r>
      <w:r>
        <w:rPr>
          <w:spacing w:val="-6"/>
          <w:sz w:val="22"/>
        </w:rPr>
        <w:t> </w:t>
      </w:r>
      <w:r>
        <w:rPr>
          <w:sz w:val="22"/>
        </w:rPr>
        <w:t>one</w:t>
      </w:r>
      <w:r>
        <w:rPr>
          <w:spacing w:val="-5"/>
          <w:sz w:val="22"/>
        </w:rPr>
        <w:t> </w:t>
      </w:r>
      <w:r>
        <w:rPr>
          <w:sz w:val="22"/>
        </w:rPr>
        <w:t>or</w:t>
      </w:r>
      <w:r>
        <w:rPr>
          <w:spacing w:val="-5"/>
          <w:sz w:val="22"/>
        </w:rPr>
        <w:t> </w:t>
      </w:r>
      <w:r>
        <w:rPr>
          <w:sz w:val="22"/>
        </w:rPr>
        <w:t>more</w:t>
      </w:r>
      <w:r>
        <w:rPr>
          <w:spacing w:val="-5"/>
          <w:sz w:val="22"/>
        </w:rPr>
        <w:t> </w:t>
      </w:r>
      <w:r>
        <w:rPr>
          <w:sz w:val="22"/>
        </w:rPr>
        <w:t>of</w:t>
      </w:r>
      <w:r>
        <w:rPr>
          <w:spacing w:val="-5"/>
          <w:sz w:val="22"/>
        </w:rPr>
        <w:t> </w:t>
      </w:r>
      <w:r>
        <w:rPr>
          <w:sz w:val="22"/>
        </w:rPr>
        <w:t>the</w:t>
      </w:r>
      <w:r>
        <w:rPr>
          <w:spacing w:val="-5"/>
          <w:sz w:val="22"/>
        </w:rPr>
        <w:t> </w:t>
      </w:r>
      <w:r>
        <w:rPr>
          <w:sz w:val="22"/>
        </w:rPr>
        <w:t>desired</w:t>
      </w:r>
      <w:r>
        <w:rPr>
          <w:spacing w:val="-4"/>
          <w:sz w:val="22"/>
        </w:rPr>
        <w:t> </w:t>
      </w:r>
      <w:r>
        <w:rPr>
          <w:sz w:val="22"/>
        </w:rPr>
        <w:t>conditions</w:t>
      </w:r>
      <w:r>
        <w:rPr>
          <w:spacing w:val="-5"/>
          <w:sz w:val="22"/>
        </w:rPr>
        <w:t> </w:t>
      </w:r>
      <w:r>
        <w:rPr>
          <w:sz w:val="22"/>
        </w:rPr>
        <w:t>of</w:t>
      </w:r>
      <w:r>
        <w:rPr>
          <w:spacing w:val="-5"/>
          <w:sz w:val="22"/>
        </w:rPr>
        <w:t> </w:t>
      </w:r>
      <w:r>
        <w:rPr>
          <w:sz w:val="22"/>
        </w:rPr>
        <w:t>a</w:t>
      </w:r>
      <w:r>
        <w:rPr>
          <w:spacing w:val="-3"/>
          <w:sz w:val="22"/>
        </w:rPr>
        <w:t> </w:t>
      </w:r>
      <w:r>
        <w:rPr>
          <w:sz w:val="22"/>
        </w:rPr>
        <w:t>plan</w:t>
      </w:r>
      <w:r>
        <w:rPr>
          <w:spacing w:val="-4"/>
          <w:sz w:val="22"/>
        </w:rPr>
        <w:t> </w:t>
      </w:r>
      <w:r>
        <w:rPr>
          <w:sz w:val="22"/>
        </w:rPr>
        <w:t>without adversely affecting progress toward, or maintenance of other desired conditions, or</w:t>
      </w:r>
    </w:p>
    <w:p>
      <w:pPr>
        <w:pStyle w:val="ListParagraph"/>
        <w:spacing w:after="0" w:line="232" w:lineRule="auto"/>
        <w:jc w:val="left"/>
        <w:rPr>
          <w:sz w:val="22"/>
        </w:rPr>
        <w:sectPr>
          <w:pgSz w:w="12240" w:h="15840"/>
          <w:pgMar w:header="725" w:footer="891" w:top="1340" w:bottom="1080" w:left="1080" w:right="1080"/>
        </w:sectPr>
      </w:pPr>
    </w:p>
    <w:p>
      <w:pPr>
        <w:pStyle w:val="ListParagraph"/>
        <w:numPr>
          <w:ilvl w:val="0"/>
          <w:numId w:val="29"/>
        </w:numPr>
        <w:tabs>
          <w:tab w:pos="899" w:val="left" w:leader="none"/>
        </w:tabs>
        <w:spacing w:line="240" w:lineRule="auto" w:before="80" w:after="0"/>
        <w:ind w:left="899" w:right="0" w:hanging="359"/>
        <w:jc w:val="both"/>
        <w:rPr>
          <w:sz w:val="22"/>
        </w:rPr>
      </w:pPr>
      <w:r>
        <w:rPr>
          <w:sz w:val="22"/>
        </w:rPr>
        <w:t>Be</w:t>
      </w:r>
      <w:r>
        <w:rPr>
          <w:spacing w:val="-9"/>
          <w:sz w:val="22"/>
        </w:rPr>
        <w:t> </w:t>
      </w:r>
      <w:r>
        <w:rPr>
          <w:sz w:val="22"/>
        </w:rPr>
        <w:t>neutral</w:t>
      </w:r>
      <w:r>
        <w:rPr>
          <w:spacing w:val="-10"/>
          <w:sz w:val="22"/>
        </w:rPr>
        <w:t> </w:t>
      </w:r>
      <w:r>
        <w:rPr>
          <w:sz w:val="22"/>
        </w:rPr>
        <w:t>with</w:t>
      </w:r>
      <w:r>
        <w:rPr>
          <w:spacing w:val="-9"/>
          <w:sz w:val="22"/>
        </w:rPr>
        <w:t> </w:t>
      </w:r>
      <w:r>
        <w:rPr>
          <w:sz w:val="22"/>
        </w:rPr>
        <w:t>regard</w:t>
      </w:r>
      <w:r>
        <w:rPr>
          <w:spacing w:val="-8"/>
          <w:sz w:val="22"/>
        </w:rPr>
        <w:t> </w:t>
      </w:r>
      <w:r>
        <w:rPr>
          <w:sz w:val="22"/>
        </w:rPr>
        <w:t>to</w:t>
      </w:r>
      <w:r>
        <w:rPr>
          <w:spacing w:val="-7"/>
          <w:sz w:val="22"/>
        </w:rPr>
        <w:t> </w:t>
      </w:r>
      <w:r>
        <w:rPr>
          <w:sz w:val="22"/>
        </w:rPr>
        <w:t>progress</w:t>
      </w:r>
      <w:r>
        <w:rPr>
          <w:spacing w:val="-7"/>
          <w:sz w:val="22"/>
        </w:rPr>
        <w:t> </w:t>
      </w:r>
      <w:r>
        <w:rPr>
          <w:sz w:val="22"/>
        </w:rPr>
        <w:t>toward</w:t>
      </w:r>
      <w:r>
        <w:rPr>
          <w:spacing w:val="-9"/>
          <w:sz w:val="22"/>
        </w:rPr>
        <w:t> </w:t>
      </w:r>
      <w:r>
        <w:rPr>
          <w:sz w:val="22"/>
        </w:rPr>
        <w:t>plan</w:t>
      </w:r>
      <w:r>
        <w:rPr>
          <w:spacing w:val="-8"/>
          <w:sz w:val="22"/>
        </w:rPr>
        <w:t> </w:t>
      </w:r>
      <w:r>
        <w:rPr>
          <w:sz w:val="22"/>
        </w:rPr>
        <w:t>desired</w:t>
      </w:r>
      <w:r>
        <w:rPr>
          <w:spacing w:val="-8"/>
          <w:sz w:val="22"/>
        </w:rPr>
        <w:t> </w:t>
      </w:r>
      <w:r>
        <w:rPr>
          <w:sz w:val="22"/>
        </w:rPr>
        <w:t>conditions,</w:t>
      </w:r>
      <w:r>
        <w:rPr>
          <w:spacing w:val="-9"/>
          <w:sz w:val="22"/>
        </w:rPr>
        <w:t> </w:t>
      </w:r>
      <w:r>
        <w:rPr>
          <w:spacing w:val="-5"/>
          <w:sz w:val="22"/>
        </w:rPr>
        <w:t>or</w:t>
      </w:r>
    </w:p>
    <w:p>
      <w:pPr>
        <w:pStyle w:val="ListParagraph"/>
        <w:numPr>
          <w:ilvl w:val="0"/>
          <w:numId w:val="29"/>
        </w:numPr>
        <w:tabs>
          <w:tab w:pos="899" w:val="left" w:leader="none"/>
        </w:tabs>
        <w:spacing w:line="232" w:lineRule="auto" w:before="117" w:after="0"/>
        <w:ind w:left="899" w:right="878" w:hanging="360"/>
        <w:jc w:val="both"/>
        <w:rPr>
          <w:sz w:val="22"/>
        </w:rPr>
      </w:pPr>
      <w:r>
        <w:rPr>
          <w:sz w:val="22"/>
        </w:rPr>
        <w:t>Maintain</w:t>
      </w:r>
      <w:r>
        <w:rPr>
          <w:spacing w:val="-6"/>
          <w:sz w:val="22"/>
        </w:rPr>
        <w:t> </w:t>
      </w:r>
      <w:r>
        <w:rPr>
          <w:sz w:val="22"/>
        </w:rPr>
        <w:t>or</w:t>
      </w:r>
      <w:r>
        <w:rPr>
          <w:spacing w:val="-5"/>
          <w:sz w:val="22"/>
        </w:rPr>
        <w:t> </w:t>
      </w:r>
      <w:r>
        <w:rPr>
          <w:sz w:val="22"/>
        </w:rPr>
        <w:t>make</w:t>
      </w:r>
      <w:r>
        <w:rPr>
          <w:spacing w:val="-5"/>
          <w:sz w:val="22"/>
        </w:rPr>
        <w:t> </w:t>
      </w:r>
      <w:r>
        <w:rPr>
          <w:sz w:val="22"/>
        </w:rPr>
        <w:t>progress</w:t>
      </w:r>
      <w:r>
        <w:rPr>
          <w:spacing w:val="-8"/>
          <w:sz w:val="22"/>
        </w:rPr>
        <w:t> </w:t>
      </w:r>
      <w:r>
        <w:rPr>
          <w:sz w:val="22"/>
        </w:rPr>
        <w:t>toward</w:t>
      </w:r>
      <w:r>
        <w:rPr>
          <w:spacing w:val="-6"/>
          <w:sz w:val="22"/>
        </w:rPr>
        <w:t> </w:t>
      </w:r>
      <w:r>
        <w:rPr>
          <w:sz w:val="22"/>
        </w:rPr>
        <w:t>one</w:t>
      </w:r>
      <w:r>
        <w:rPr>
          <w:spacing w:val="-5"/>
          <w:sz w:val="22"/>
        </w:rPr>
        <w:t> </w:t>
      </w:r>
      <w:r>
        <w:rPr>
          <w:sz w:val="22"/>
        </w:rPr>
        <w:t>or</w:t>
      </w:r>
      <w:r>
        <w:rPr>
          <w:spacing w:val="-5"/>
          <w:sz w:val="22"/>
        </w:rPr>
        <w:t> </w:t>
      </w:r>
      <w:r>
        <w:rPr>
          <w:sz w:val="22"/>
        </w:rPr>
        <w:t>more</w:t>
      </w:r>
      <w:r>
        <w:rPr>
          <w:spacing w:val="-5"/>
          <w:sz w:val="22"/>
        </w:rPr>
        <w:t> </w:t>
      </w:r>
      <w:r>
        <w:rPr>
          <w:sz w:val="22"/>
        </w:rPr>
        <w:t>of</w:t>
      </w:r>
      <w:r>
        <w:rPr>
          <w:spacing w:val="-5"/>
          <w:sz w:val="22"/>
        </w:rPr>
        <w:t> </w:t>
      </w:r>
      <w:r>
        <w:rPr>
          <w:sz w:val="22"/>
        </w:rPr>
        <w:t>the</w:t>
      </w:r>
      <w:r>
        <w:rPr>
          <w:spacing w:val="-5"/>
          <w:sz w:val="22"/>
        </w:rPr>
        <w:t> </w:t>
      </w:r>
      <w:r>
        <w:rPr>
          <w:sz w:val="22"/>
        </w:rPr>
        <w:t>desired</w:t>
      </w:r>
      <w:r>
        <w:rPr>
          <w:spacing w:val="-4"/>
          <w:sz w:val="22"/>
        </w:rPr>
        <w:t> </w:t>
      </w:r>
      <w:r>
        <w:rPr>
          <w:sz w:val="22"/>
        </w:rPr>
        <w:t>conditions</w:t>
      </w:r>
      <w:r>
        <w:rPr>
          <w:spacing w:val="-8"/>
          <w:sz w:val="22"/>
        </w:rPr>
        <w:t> </w:t>
      </w:r>
      <w:r>
        <w:rPr>
          <w:sz w:val="22"/>
        </w:rPr>
        <w:t>over</w:t>
      </w:r>
      <w:r>
        <w:rPr>
          <w:spacing w:val="-3"/>
          <w:sz w:val="22"/>
        </w:rPr>
        <w:t> </w:t>
      </w:r>
      <w:r>
        <w:rPr>
          <w:sz w:val="22"/>
        </w:rPr>
        <w:t>the</w:t>
      </w:r>
      <w:r>
        <w:rPr>
          <w:spacing w:val="-5"/>
          <w:sz w:val="22"/>
        </w:rPr>
        <w:t> </w:t>
      </w:r>
      <w:r>
        <w:rPr>
          <w:sz w:val="22"/>
        </w:rPr>
        <w:t>long-term, even</w:t>
      </w:r>
      <w:r>
        <w:rPr>
          <w:spacing w:val="-7"/>
          <w:sz w:val="22"/>
        </w:rPr>
        <w:t> </w:t>
      </w:r>
      <w:r>
        <w:rPr>
          <w:sz w:val="22"/>
        </w:rPr>
        <w:t>if</w:t>
      </w:r>
      <w:r>
        <w:rPr>
          <w:spacing w:val="-7"/>
          <w:sz w:val="22"/>
        </w:rPr>
        <w:t> </w:t>
      </w:r>
      <w:r>
        <w:rPr>
          <w:sz w:val="22"/>
        </w:rPr>
        <w:t>the</w:t>
      </w:r>
      <w:r>
        <w:rPr>
          <w:spacing w:val="-6"/>
          <w:sz w:val="22"/>
        </w:rPr>
        <w:t> </w:t>
      </w:r>
      <w:r>
        <w:rPr>
          <w:sz w:val="22"/>
        </w:rPr>
        <w:t>project</w:t>
      </w:r>
      <w:r>
        <w:rPr>
          <w:spacing w:val="-8"/>
          <w:sz w:val="22"/>
        </w:rPr>
        <w:t> </w:t>
      </w:r>
      <w:r>
        <w:rPr>
          <w:sz w:val="22"/>
        </w:rPr>
        <w:t>or</w:t>
      </w:r>
      <w:r>
        <w:rPr>
          <w:spacing w:val="-7"/>
          <w:sz w:val="22"/>
        </w:rPr>
        <w:t> </w:t>
      </w:r>
      <w:r>
        <w:rPr>
          <w:sz w:val="22"/>
        </w:rPr>
        <w:t>activity</w:t>
      </w:r>
      <w:r>
        <w:rPr>
          <w:spacing w:val="-6"/>
          <w:sz w:val="22"/>
        </w:rPr>
        <w:t> </w:t>
      </w:r>
      <w:r>
        <w:rPr>
          <w:sz w:val="22"/>
        </w:rPr>
        <w:t>would</w:t>
      </w:r>
      <w:r>
        <w:rPr>
          <w:spacing w:val="-7"/>
          <w:sz w:val="22"/>
        </w:rPr>
        <w:t> </w:t>
      </w:r>
      <w:r>
        <w:rPr>
          <w:sz w:val="22"/>
        </w:rPr>
        <w:t>adversely</w:t>
      </w:r>
      <w:r>
        <w:rPr>
          <w:spacing w:val="-7"/>
          <w:sz w:val="22"/>
        </w:rPr>
        <w:t> </w:t>
      </w:r>
      <w:r>
        <w:rPr>
          <w:sz w:val="22"/>
        </w:rPr>
        <w:t>affect</w:t>
      </w:r>
      <w:r>
        <w:rPr>
          <w:spacing w:val="-8"/>
          <w:sz w:val="22"/>
        </w:rPr>
        <w:t> </w:t>
      </w:r>
      <w:r>
        <w:rPr>
          <w:sz w:val="22"/>
        </w:rPr>
        <w:t>progress</w:t>
      </w:r>
      <w:r>
        <w:rPr>
          <w:spacing w:val="-7"/>
          <w:sz w:val="22"/>
        </w:rPr>
        <w:t> </w:t>
      </w:r>
      <w:r>
        <w:rPr>
          <w:sz w:val="22"/>
        </w:rPr>
        <w:t>toward,</w:t>
      </w:r>
      <w:r>
        <w:rPr>
          <w:spacing w:val="-8"/>
          <w:sz w:val="22"/>
        </w:rPr>
        <w:t> </w:t>
      </w:r>
      <w:r>
        <w:rPr>
          <w:sz w:val="22"/>
        </w:rPr>
        <w:t>or</w:t>
      </w:r>
      <w:r>
        <w:rPr>
          <w:spacing w:val="-8"/>
          <w:sz w:val="22"/>
        </w:rPr>
        <w:t> </w:t>
      </w:r>
      <w:r>
        <w:rPr>
          <w:sz w:val="22"/>
        </w:rPr>
        <w:t>maintenance</w:t>
      </w:r>
      <w:r>
        <w:rPr>
          <w:spacing w:val="-6"/>
          <w:sz w:val="22"/>
        </w:rPr>
        <w:t> </w:t>
      </w:r>
      <w:r>
        <w:rPr>
          <w:sz w:val="22"/>
        </w:rPr>
        <w:t>of,</w:t>
      </w:r>
      <w:r>
        <w:rPr>
          <w:spacing w:val="-8"/>
          <w:sz w:val="22"/>
        </w:rPr>
        <w:t> </w:t>
      </w:r>
      <w:r>
        <w:rPr>
          <w:sz w:val="22"/>
        </w:rPr>
        <w:t>one or more desired conditions in the short-term, or</w:t>
      </w:r>
    </w:p>
    <w:p>
      <w:pPr>
        <w:pStyle w:val="ListParagraph"/>
        <w:numPr>
          <w:ilvl w:val="0"/>
          <w:numId w:val="29"/>
        </w:numPr>
        <w:tabs>
          <w:tab w:pos="899" w:val="left" w:leader="none"/>
        </w:tabs>
        <w:spacing w:line="232" w:lineRule="auto" w:before="119" w:after="0"/>
        <w:ind w:left="899" w:right="823" w:hanging="360"/>
        <w:jc w:val="both"/>
        <w:rPr>
          <w:sz w:val="22"/>
        </w:rPr>
      </w:pPr>
      <w:r>
        <w:rPr>
          <w:sz w:val="22"/>
        </w:rPr>
        <w:t>Maintain</w:t>
      </w:r>
      <w:r>
        <w:rPr>
          <w:spacing w:val="-2"/>
          <w:sz w:val="22"/>
        </w:rPr>
        <w:t> </w:t>
      </w:r>
      <w:r>
        <w:rPr>
          <w:sz w:val="22"/>
        </w:rPr>
        <w:t>or</w:t>
      </w:r>
      <w:r>
        <w:rPr>
          <w:spacing w:val="-1"/>
          <w:sz w:val="22"/>
        </w:rPr>
        <w:t> </w:t>
      </w:r>
      <w:r>
        <w:rPr>
          <w:sz w:val="22"/>
        </w:rPr>
        <w:t>make</w:t>
      </w:r>
      <w:r>
        <w:rPr>
          <w:spacing w:val="-1"/>
          <w:sz w:val="22"/>
        </w:rPr>
        <w:t> </w:t>
      </w:r>
      <w:r>
        <w:rPr>
          <w:sz w:val="22"/>
        </w:rPr>
        <w:t>progress</w:t>
      </w:r>
      <w:r>
        <w:rPr>
          <w:spacing w:val="-4"/>
          <w:sz w:val="22"/>
        </w:rPr>
        <w:t> </w:t>
      </w:r>
      <w:r>
        <w:rPr>
          <w:sz w:val="22"/>
        </w:rPr>
        <w:t>toward</w:t>
      </w:r>
      <w:r>
        <w:rPr>
          <w:spacing w:val="-2"/>
          <w:sz w:val="22"/>
        </w:rPr>
        <w:t> </w:t>
      </w:r>
      <w:r>
        <w:rPr>
          <w:sz w:val="22"/>
        </w:rPr>
        <w:t>one</w:t>
      </w:r>
      <w:r>
        <w:rPr>
          <w:spacing w:val="-1"/>
          <w:sz w:val="22"/>
        </w:rPr>
        <w:t> </w:t>
      </w:r>
      <w:r>
        <w:rPr>
          <w:sz w:val="22"/>
        </w:rPr>
        <w:t>or</w:t>
      </w:r>
      <w:r>
        <w:rPr>
          <w:spacing w:val="-1"/>
          <w:sz w:val="22"/>
        </w:rPr>
        <w:t> </w:t>
      </w:r>
      <w:r>
        <w:rPr>
          <w:sz w:val="22"/>
        </w:rPr>
        <w:t>more</w:t>
      </w:r>
      <w:r>
        <w:rPr>
          <w:spacing w:val="-1"/>
          <w:sz w:val="22"/>
        </w:rPr>
        <w:t> </w:t>
      </w:r>
      <w:r>
        <w:rPr>
          <w:sz w:val="22"/>
        </w:rPr>
        <w:t>of</w:t>
      </w:r>
      <w:r>
        <w:rPr>
          <w:spacing w:val="-1"/>
          <w:sz w:val="22"/>
        </w:rPr>
        <w:t> </w:t>
      </w:r>
      <w:r>
        <w:rPr>
          <w:sz w:val="22"/>
        </w:rPr>
        <w:t>the</w:t>
      </w:r>
      <w:r>
        <w:rPr>
          <w:spacing w:val="-1"/>
          <w:sz w:val="22"/>
        </w:rPr>
        <w:t> </w:t>
      </w:r>
      <w:r>
        <w:rPr>
          <w:sz w:val="22"/>
        </w:rPr>
        <w:t>desired conditions</w:t>
      </w:r>
      <w:r>
        <w:rPr>
          <w:spacing w:val="-4"/>
          <w:sz w:val="22"/>
        </w:rPr>
        <w:t> </w:t>
      </w:r>
      <w:r>
        <w:rPr>
          <w:sz w:val="22"/>
        </w:rPr>
        <w:t>over the</w:t>
      </w:r>
      <w:r>
        <w:rPr>
          <w:spacing w:val="-1"/>
          <w:sz w:val="22"/>
        </w:rPr>
        <w:t> </w:t>
      </w:r>
      <w:r>
        <w:rPr>
          <w:sz w:val="22"/>
        </w:rPr>
        <w:t>long-term, even</w:t>
      </w:r>
      <w:r>
        <w:rPr>
          <w:spacing w:val="-7"/>
          <w:sz w:val="22"/>
        </w:rPr>
        <w:t> </w:t>
      </w:r>
      <w:r>
        <w:rPr>
          <w:sz w:val="22"/>
        </w:rPr>
        <w:t>if</w:t>
      </w:r>
      <w:r>
        <w:rPr>
          <w:spacing w:val="-6"/>
          <w:sz w:val="22"/>
        </w:rPr>
        <w:t> </w:t>
      </w:r>
      <w:r>
        <w:rPr>
          <w:sz w:val="22"/>
        </w:rPr>
        <w:t>the</w:t>
      </w:r>
      <w:r>
        <w:rPr>
          <w:spacing w:val="-5"/>
          <w:sz w:val="22"/>
        </w:rPr>
        <w:t> </w:t>
      </w:r>
      <w:r>
        <w:rPr>
          <w:sz w:val="22"/>
        </w:rPr>
        <w:t>project</w:t>
      </w:r>
      <w:r>
        <w:rPr>
          <w:spacing w:val="-8"/>
          <w:sz w:val="22"/>
        </w:rPr>
        <w:t> </w:t>
      </w:r>
      <w:r>
        <w:rPr>
          <w:sz w:val="22"/>
        </w:rPr>
        <w:t>or</w:t>
      </w:r>
      <w:r>
        <w:rPr>
          <w:spacing w:val="-6"/>
          <w:sz w:val="22"/>
        </w:rPr>
        <w:t> </w:t>
      </w:r>
      <w:r>
        <w:rPr>
          <w:sz w:val="22"/>
        </w:rPr>
        <w:t>activity</w:t>
      </w:r>
      <w:r>
        <w:rPr>
          <w:spacing w:val="-5"/>
          <w:sz w:val="22"/>
        </w:rPr>
        <w:t> </w:t>
      </w:r>
      <w:r>
        <w:rPr>
          <w:sz w:val="22"/>
        </w:rPr>
        <w:t>would</w:t>
      </w:r>
      <w:r>
        <w:rPr>
          <w:spacing w:val="-7"/>
          <w:sz w:val="22"/>
        </w:rPr>
        <w:t> </w:t>
      </w:r>
      <w:r>
        <w:rPr>
          <w:sz w:val="22"/>
        </w:rPr>
        <w:t>adversely</w:t>
      </w:r>
      <w:r>
        <w:rPr>
          <w:spacing w:val="-7"/>
          <w:sz w:val="22"/>
        </w:rPr>
        <w:t> </w:t>
      </w:r>
      <w:r>
        <w:rPr>
          <w:sz w:val="22"/>
        </w:rPr>
        <w:t>affect</w:t>
      </w:r>
      <w:r>
        <w:rPr>
          <w:spacing w:val="-8"/>
          <w:sz w:val="22"/>
        </w:rPr>
        <w:t> </w:t>
      </w:r>
      <w:r>
        <w:rPr>
          <w:sz w:val="22"/>
        </w:rPr>
        <w:t>progress</w:t>
      </w:r>
      <w:r>
        <w:rPr>
          <w:spacing w:val="-6"/>
          <w:sz w:val="22"/>
        </w:rPr>
        <w:t> </w:t>
      </w:r>
      <w:r>
        <w:rPr>
          <w:sz w:val="22"/>
        </w:rPr>
        <w:t>toward</w:t>
      </w:r>
      <w:r>
        <w:rPr>
          <w:spacing w:val="-9"/>
          <w:sz w:val="22"/>
        </w:rPr>
        <w:t> </w:t>
      </w:r>
      <w:r>
        <w:rPr>
          <w:sz w:val="22"/>
        </w:rPr>
        <w:t>other</w:t>
      </w:r>
      <w:r>
        <w:rPr>
          <w:spacing w:val="-6"/>
          <w:sz w:val="22"/>
        </w:rPr>
        <w:t> </w:t>
      </w:r>
      <w:r>
        <w:rPr>
          <w:sz w:val="22"/>
        </w:rPr>
        <w:t>desired</w:t>
      </w:r>
      <w:r>
        <w:rPr>
          <w:spacing w:val="-7"/>
          <w:sz w:val="22"/>
        </w:rPr>
        <w:t> </w:t>
      </w:r>
      <w:r>
        <w:rPr>
          <w:sz w:val="22"/>
        </w:rPr>
        <w:t>conditions in a negligible way over the long-term.</w:t>
      </w:r>
    </w:p>
    <w:p>
      <w:pPr>
        <w:pStyle w:val="BodyText"/>
        <w:spacing w:line="232" w:lineRule="auto" w:before="118"/>
        <w:ind w:left="359" w:right="804"/>
      </w:pPr>
      <w:r>
        <w:rPr/>
        <w:t>The</w:t>
      </w:r>
      <w:r>
        <w:rPr>
          <w:spacing w:val="-4"/>
        </w:rPr>
        <w:t> </w:t>
      </w:r>
      <w:r>
        <w:rPr/>
        <w:t>project</w:t>
      </w:r>
      <w:r>
        <w:rPr>
          <w:spacing w:val="-4"/>
        </w:rPr>
        <w:t> </w:t>
      </w:r>
      <w:r>
        <w:rPr/>
        <w:t>documentation</w:t>
      </w:r>
      <w:r>
        <w:rPr>
          <w:spacing w:val="-8"/>
        </w:rPr>
        <w:t> </w:t>
      </w:r>
      <w:r>
        <w:rPr/>
        <w:t>should</w:t>
      </w:r>
      <w:r>
        <w:rPr>
          <w:spacing w:val="-8"/>
        </w:rPr>
        <w:t> </w:t>
      </w:r>
      <w:r>
        <w:rPr/>
        <w:t>explain</w:t>
      </w:r>
      <w:r>
        <w:rPr>
          <w:spacing w:val="-6"/>
        </w:rPr>
        <w:t> </w:t>
      </w:r>
      <w:r>
        <w:rPr/>
        <w:t>how</w:t>
      </w:r>
      <w:r>
        <w:rPr>
          <w:spacing w:val="-7"/>
        </w:rPr>
        <w:t> </w:t>
      </w:r>
      <w:r>
        <w:rPr/>
        <w:t>the</w:t>
      </w:r>
      <w:r>
        <w:rPr>
          <w:spacing w:val="-4"/>
        </w:rPr>
        <w:t> </w:t>
      </w:r>
      <w:r>
        <w:rPr/>
        <w:t>project</w:t>
      </w:r>
      <w:r>
        <w:rPr>
          <w:spacing w:val="-4"/>
        </w:rPr>
        <w:t> </w:t>
      </w:r>
      <w:r>
        <w:rPr/>
        <w:t>is</w:t>
      </w:r>
      <w:r>
        <w:rPr>
          <w:spacing w:val="-5"/>
        </w:rPr>
        <w:t> </w:t>
      </w:r>
      <w:r>
        <w:rPr/>
        <w:t>consistent</w:t>
      </w:r>
      <w:r>
        <w:rPr>
          <w:spacing w:val="-4"/>
        </w:rPr>
        <w:t> </w:t>
      </w:r>
      <w:r>
        <w:rPr/>
        <w:t>with</w:t>
      </w:r>
      <w:r>
        <w:rPr>
          <w:spacing w:val="-6"/>
        </w:rPr>
        <w:t> </w:t>
      </w:r>
      <w:r>
        <w:rPr/>
        <w:t>desired</w:t>
      </w:r>
      <w:r>
        <w:rPr>
          <w:spacing w:val="-6"/>
        </w:rPr>
        <w:t> </w:t>
      </w:r>
      <w:r>
        <w:rPr/>
        <w:t>conditions</w:t>
      </w:r>
      <w:r>
        <w:rPr>
          <w:spacing w:val="-5"/>
        </w:rPr>
        <w:t> </w:t>
      </w:r>
      <w:r>
        <w:rPr/>
        <w:t>and describe any short-term, or negligible long-term, adverse effects the project may have on the maintenance or attainment of any desired condition. This description of the desired conditions for the Forest fulfills the requirement of</w:t>
      </w:r>
      <w:r>
        <w:rPr>
          <w:spacing w:val="-1"/>
        </w:rPr>
        <w:t> </w:t>
      </w:r>
      <w:r>
        <w:rPr/>
        <w:t>section</w:t>
      </w:r>
      <w:r>
        <w:rPr>
          <w:spacing w:val="-2"/>
        </w:rPr>
        <w:t> </w:t>
      </w:r>
      <w:r>
        <w:rPr/>
        <w:t>36 CFR</w:t>
      </w:r>
      <w:r>
        <w:rPr>
          <w:spacing w:val="-1"/>
        </w:rPr>
        <w:t> </w:t>
      </w:r>
      <w:r>
        <w:rPr/>
        <w:t>219.11(b)</w:t>
      </w:r>
      <w:r>
        <w:rPr>
          <w:spacing w:val="-1"/>
        </w:rPr>
        <w:t> </w:t>
      </w:r>
      <w:r>
        <w:rPr/>
        <w:t>of the</w:t>
      </w:r>
      <w:r>
        <w:rPr>
          <w:spacing w:val="-1"/>
        </w:rPr>
        <w:t> </w:t>
      </w:r>
      <w:r>
        <w:rPr/>
        <w:t>1982 planning regulations. If</w:t>
      </w:r>
      <w:r>
        <w:rPr>
          <w:spacing w:val="-1"/>
        </w:rPr>
        <w:t> </w:t>
      </w:r>
      <w:r>
        <w:rPr/>
        <w:t>a project will adversely affect progress toward one or more desired conditions in more than a negligible way or short-term way, a Plan Amendment is required.</w:t>
      </w:r>
    </w:p>
    <w:p>
      <w:pPr>
        <w:pStyle w:val="BodyText"/>
        <w:spacing w:line="232" w:lineRule="auto" w:before="199"/>
        <w:ind w:left="359" w:right="1185"/>
      </w:pPr>
      <w:r>
        <w:rPr>
          <w:b/>
        </w:rPr>
        <w:t>Objectives</w:t>
      </w:r>
      <w:r>
        <w:rPr>
          <w:b/>
          <w:spacing w:val="-5"/>
        </w:rPr>
        <w:t> </w:t>
      </w:r>
      <w:r>
        <w:rPr/>
        <w:t>—</w:t>
      </w:r>
      <w:r>
        <w:rPr>
          <w:spacing w:val="-4"/>
        </w:rPr>
        <w:t> </w:t>
      </w:r>
      <w:r>
        <w:rPr/>
        <w:t>A</w:t>
      </w:r>
      <w:r>
        <w:rPr>
          <w:spacing w:val="-3"/>
        </w:rPr>
        <w:t> </w:t>
      </w:r>
      <w:r>
        <w:rPr/>
        <w:t>project</w:t>
      </w:r>
      <w:r>
        <w:rPr>
          <w:spacing w:val="-5"/>
        </w:rPr>
        <w:t> </w:t>
      </w:r>
      <w:r>
        <w:rPr/>
        <w:t>or</w:t>
      </w:r>
      <w:r>
        <w:rPr>
          <w:spacing w:val="-5"/>
        </w:rPr>
        <w:t> </w:t>
      </w:r>
      <w:r>
        <w:rPr/>
        <w:t>activity</w:t>
      </w:r>
      <w:r>
        <w:rPr>
          <w:spacing w:val="-2"/>
        </w:rPr>
        <w:t> </w:t>
      </w:r>
      <w:r>
        <w:rPr/>
        <w:t>is</w:t>
      </w:r>
      <w:r>
        <w:rPr>
          <w:spacing w:val="-5"/>
        </w:rPr>
        <w:t> </w:t>
      </w:r>
      <w:r>
        <w:rPr/>
        <w:t>consistent</w:t>
      </w:r>
      <w:r>
        <w:rPr>
          <w:spacing w:val="-5"/>
        </w:rPr>
        <w:t> </w:t>
      </w:r>
      <w:r>
        <w:rPr/>
        <w:t>with</w:t>
      </w:r>
      <w:r>
        <w:rPr>
          <w:spacing w:val="-4"/>
        </w:rPr>
        <w:t> </w:t>
      </w:r>
      <w:r>
        <w:rPr/>
        <w:t>the</w:t>
      </w:r>
      <w:r>
        <w:rPr>
          <w:spacing w:val="-2"/>
        </w:rPr>
        <w:t> </w:t>
      </w:r>
      <w:r>
        <w:rPr/>
        <w:t>objectives</w:t>
      </w:r>
      <w:r>
        <w:rPr>
          <w:spacing w:val="-3"/>
        </w:rPr>
        <w:t> </w:t>
      </w:r>
      <w:r>
        <w:rPr/>
        <w:t>component</w:t>
      </w:r>
      <w:r>
        <w:rPr>
          <w:spacing w:val="-5"/>
        </w:rPr>
        <w:t> </w:t>
      </w:r>
      <w:r>
        <w:rPr/>
        <w:t>of</w:t>
      </w:r>
      <w:r>
        <w:rPr>
          <w:spacing w:val="-3"/>
        </w:rPr>
        <w:t> </w:t>
      </w:r>
      <w:r>
        <w:rPr/>
        <w:t>the</w:t>
      </w:r>
      <w:r>
        <w:rPr>
          <w:spacing w:val="-2"/>
        </w:rPr>
        <w:t> </w:t>
      </w:r>
      <w:r>
        <w:rPr/>
        <w:t>plan</w:t>
      </w:r>
      <w:r>
        <w:rPr>
          <w:spacing w:val="-4"/>
        </w:rPr>
        <w:t> </w:t>
      </w:r>
      <w:r>
        <w:rPr/>
        <w:t>if</w:t>
      </w:r>
      <w:r>
        <w:rPr>
          <w:spacing w:val="-3"/>
        </w:rPr>
        <w:t> </w:t>
      </w:r>
      <w:r>
        <w:rPr/>
        <w:t>it contributes to or does not prevent the attainment of any applicable objectives.</w:t>
      </w:r>
    </w:p>
    <w:p>
      <w:pPr>
        <w:pStyle w:val="BodyText"/>
        <w:spacing w:line="232" w:lineRule="auto" w:before="199"/>
        <w:ind w:left="359" w:right="804"/>
      </w:pPr>
      <w:r>
        <w:rPr/>
        <w:t>The project documentation should identify any applicable objective(s) to which the project contributes and document that the project does not prevent the attainment of any objectives. If there</w:t>
      </w:r>
      <w:r>
        <w:rPr>
          <w:spacing w:val="-6"/>
        </w:rPr>
        <w:t> </w:t>
      </w:r>
      <w:r>
        <w:rPr/>
        <w:t>are</w:t>
      </w:r>
      <w:r>
        <w:rPr>
          <w:spacing w:val="-3"/>
        </w:rPr>
        <w:t> </w:t>
      </w:r>
      <w:r>
        <w:rPr/>
        <w:t>no</w:t>
      </w:r>
      <w:r>
        <w:rPr>
          <w:spacing w:val="-3"/>
        </w:rPr>
        <w:t> </w:t>
      </w:r>
      <w:r>
        <w:rPr/>
        <w:t>applicable</w:t>
      </w:r>
      <w:r>
        <w:rPr>
          <w:spacing w:val="-6"/>
        </w:rPr>
        <w:t> </w:t>
      </w:r>
      <w:r>
        <w:rPr/>
        <w:t>objectives,</w:t>
      </w:r>
      <w:r>
        <w:rPr>
          <w:spacing w:val="-6"/>
        </w:rPr>
        <w:t> </w:t>
      </w:r>
      <w:r>
        <w:rPr/>
        <w:t>the</w:t>
      </w:r>
      <w:r>
        <w:rPr>
          <w:spacing w:val="-3"/>
        </w:rPr>
        <w:t> </w:t>
      </w:r>
      <w:r>
        <w:rPr/>
        <w:t>project</w:t>
      </w:r>
      <w:r>
        <w:rPr>
          <w:spacing w:val="-3"/>
        </w:rPr>
        <w:t> </w:t>
      </w:r>
      <w:r>
        <w:rPr/>
        <w:t>is</w:t>
      </w:r>
      <w:r>
        <w:rPr>
          <w:spacing w:val="-6"/>
        </w:rPr>
        <w:t> </w:t>
      </w:r>
      <w:r>
        <w:rPr/>
        <w:t>consistent</w:t>
      </w:r>
      <w:r>
        <w:rPr>
          <w:spacing w:val="-6"/>
        </w:rPr>
        <w:t> </w:t>
      </w:r>
      <w:r>
        <w:rPr/>
        <w:t>with</w:t>
      </w:r>
      <w:r>
        <w:rPr>
          <w:spacing w:val="-5"/>
        </w:rPr>
        <w:t> </w:t>
      </w:r>
      <w:r>
        <w:rPr/>
        <w:t>the</w:t>
      </w:r>
      <w:r>
        <w:rPr>
          <w:spacing w:val="-6"/>
        </w:rPr>
        <w:t> </w:t>
      </w:r>
      <w:r>
        <w:rPr/>
        <w:t>objectives</w:t>
      </w:r>
      <w:r>
        <w:rPr>
          <w:spacing w:val="-4"/>
        </w:rPr>
        <w:t> </w:t>
      </w:r>
      <w:r>
        <w:rPr/>
        <w:t>components</w:t>
      </w:r>
      <w:r>
        <w:rPr>
          <w:spacing w:val="-6"/>
        </w:rPr>
        <w:t> </w:t>
      </w:r>
      <w:r>
        <w:rPr/>
        <w:t>of</w:t>
      </w:r>
      <w:r>
        <w:rPr>
          <w:spacing w:val="-6"/>
        </w:rPr>
        <w:t> </w:t>
      </w:r>
      <w:r>
        <w:rPr/>
        <w:t>the plan, and the project documentation should state that fact.</w:t>
      </w:r>
    </w:p>
    <w:p>
      <w:pPr>
        <w:pStyle w:val="BodyText"/>
        <w:spacing w:line="232" w:lineRule="auto" w:before="197"/>
        <w:ind w:left="359" w:right="1090"/>
      </w:pPr>
      <w:r>
        <w:rPr>
          <w:b/>
        </w:rPr>
        <w:t>Guidelines</w:t>
      </w:r>
      <w:r>
        <w:rPr>
          <w:b/>
          <w:spacing w:val="-2"/>
        </w:rPr>
        <w:t> </w:t>
      </w:r>
      <w:r>
        <w:rPr/>
        <w:t>—</w:t>
      </w:r>
      <w:r>
        <w:rPr>
          <w:spacing w:val="-4"/>
        </w:rPr>
        <w:t> </w:t>
      </w:r>
      <w:r>
        <w:rPr/>
        <w:t>A</w:t>
      </w:r>
      <w:r>
        <w:rPr>
          <w:spacing w:val="-3"/>
        </w:rPr>
        <w:t> </w:t>
      </w:r>
      <w:r>
        <w:rPr/>
        <w:t>project</w:t>
      </w:r>
      <w:r>
        <w:rPr>
          <w:spacing w:val="-5"/>
        </w:rPr>
        <w:t> </w:t>
      </w:r>
      <w:r>
        <w:rPr/>
        <w:t>or</w:t>
      </w:r>
      <w:r>
        <w:rPr>
          <w:spacing w:val="-8"/>
        </w:rPr>
        <w:t> </w:t>
      </w:r>
      <w:r>
        <w:rPr/>
        <w:t>activity</w:t>
      </w:r>
      <w:r>
        <w:rPr>
          <w:spacing w:val="-4"/>
        </w:rPr>
        <w:t> </w:t>
      </w:r>
      <w:r>
        <w:rPr/>
        <w:t>must</w:t>
      </w:r>
      <w:r>
        <w:rPr>
          <w:spacing w:val="-5"/>
        </w:rPr>
        <w:t> </w:t>
      </w:r>
      <w:r>
        <w:rPr/>
        <w:t>be</w:t>
      </w:r>
      <w:r>
        <w:rPr>
          <w:spacing w:val="-2"/>
        </w:rPr>
        <w:t> </w:t>
      </w:r>
      <w:r>
        <w:rPr/>
        <w:t>consistent</w:t>
      </w:r>
      <w:r>
        <w:rPr>
          <w:spacing w:val="-7"/>
        </w:rPr>
        <w:t> </w:t>
      </w:r>
      <w:r>
        <w:rPr/>
        <w:t>with</w:t>
      </w:r>
      <w:r>
        <w:rPr>
          <w:spacing w:val="-4"/>
        </w:rPr>
        <w:t> </w:t>
      </w:r>
      <w:r>
        <w:rPr/>
        <w:t>all</w:t>
      </w:r>
      <w:r>
        <w:rPr>
          <w:spacing w:val="-3"/>
        </w:rPr>
        <w:t> </w:t>
      </w:r>
      <w:r>
        <w:rPr/>
        <w:t>guidelines</w:t>
      </w:r>
      <w:r>
        <w:rPr>
          <w:spacing w:val="-5"/>
        </w:rPr>
        <w:t> </w:t>
      </w:r>
      <w:r>
        <w:rPr/>
        <w:t>applicable</w:t>
      </w:r>
      <w:r>
        <w:rPr>
          <w:spacing w:val="-2"/>
        </w:rPr>
        <w:t> </w:t>
      </w:r>
      <w:r>
        <w:rPr/>
        <w:t>to</w:t>
      </w:r>
      <w:r>
        <w:rPr>
          <w:spacing w:val="-4"/>
        </w:rPr>
        <w:t> </w:t>
      </w:r>
      <w:r>
        <w:rPr/>
        <w:t>the</w:t>
      </w:r>
      <w:r>
        <w:rPr>
          <w:spacing w:val="-5"/>
        </w:rPr>
        <w:t> </w:t>
      </w:r>
      <w:r>
        <w:rPr/>
        <w:t>type</w:t>
      </w:r>
      <w:r>
        <w:rPr>
          <w:spacing w:val="-2"/>
        </w:rPr>
        <w:t> </w:t>
      </w:r>
      <w:r>
        <w:rPr/>
        <w:t>of project or activity and its location in the plan area. A project or activity can be consistent with a guideline in either of two ways—</w:t>
      </w:r>
    </w:p>
    <w:p>
      <w:pPr>
        <w:pStyle w:val="ListParagraph"/>
        <w:numPr>
          <w:ilvl w:val="0"/>
          <w:numId w:val="29"/>
        </w:numPr>
        <w:tabs>
          <w:tab w:pos="899" w:val="left" w:leader="none"/>
        </w:tabs>
        <w:spacing w:line="240" w:lineRule="auto" w:before="193" w:after="0"/>
        <w:ind w:left="899" w:right="0" w:hanging="359"/>
        <w:jc w:val="left"/>
        <w:rPr>
          <w:sz w:val="22"/>
        </w:rPr>
      </w:pPr>
      <w:r>
        <w:rPr>
          <w:sz w:val="22"/>
        </w:rPr>
        <w:t>The</w:t>
      </w:r>
      <w:r>
        <w:rPr>
          <w:spacing w:val="-6"/>
          <w:sz w:val="22"/>
        </w:rPr>
        <w:t> </w:t>
      </w:r>
      <w:r>
        <w:rPr>
          <w:sz w:val="22"/>
        </w:rPr>
        <w:t>project</w:t>
      </w:r>
      <w:r>
        <w:rPr>
          <w:spacing w:val="-7"/>
          <w:sz w:val="22"/>
        </w:rPr>
        <w:t> </w:t>
      </w:r>
      <w:r>
        <w:rPr>
          <w:sz w:val="22"/>
        </w:rPr>
        <w:t>or</w:t>
      </w:r>
      <w:r>
        <w:rPr>
          <w:spacing w:val="-5"/>
          <w:sz w:val="22"/>
        </w:rPr>
        <w:t> </w:t>
      </w:r>
      <w:r>
        <w:rPr>
          <w:sz w:val="22"/>
        </w:rPr>
        <w:t>activity</w:t>
      </w:r>
      <w:r>
        <w:rPr>
          <w:spacing w:val="-4"/>
          <w:sz w:val="22"/>
        </w:rPr>
        <w:t> </w:t>
      </w:r>
      <w:r>
        <w:rPr>
          <w:sz w:val="22"/>
        </w:rPr>
        <w:t>is</w:t>
      </w:r>
      <w:r>
        <w:rPr>
          <w:spacing w:val="-6"/>
          <w:sz w:val="22"/>
        </w:rPr>
        <w:t> </w:t>
      </w:r>
      <w:r>
        <w:rPr>
          <w:sz w:val="22"/>
        </w:rPr>
        <w:t>designed</w:t>
      </w:r>
      <w:r>
        <w:rPr>
          <w:spacing w:val="-6"/>
          <w:sz w:val="22"/>
        </w:rPr>
        <w:t> </w:t>
      </w:r>
      <w:r>
        <w:rPr>
          <w:sz w:val="22"/>
        </w:rPr>
        <w:t>exactly</w:t>
      </w:r>
      <w:r>
        <w:rPr>
          <w:spacing w:val="-4"/>
          <w:sz w:val="22"/>
        </w:rPr>
        <w:t> </w:t>
      </w:r>
      <w:r>
        <w:rPr>
          <w:sz w:val="22"/>
        </w:rPr>
        <w:t>in</w:t>
      </w:r>
      <w:r>
        <w:rPr>
          <w:spacing w:val="-8"/>
          <w:sz w:val="22"/>
        </w:rPr>
        <w:t> </w:t>
      </w:r>
      <w:r>
        <w:rPr>
          <w:sz w:val="22"/>
        </w:rPr>
        <w:t>accord</w:t>
      </w:r>
      <w:r>
        <w:rPr>
          <w:spacing w:val="-5"/>
          <w:sz w:val="22"/>
        </w:rPr>
        <w:t> </w:t>
      </w:r>
      <w:r>
        <w:rPr>
          <w:sz w:val="22"/>
        </w:rPr>
        <w:t>with</w:t>
      </w:r>
      <w:r>
        <w:rPr>
          <w:spacing w:val="-6"/>
          <w:sz w:val="22"/>
        </w:rPr>
        <w:t> </w:t>
      </w:r>
      <w:r>
        <w:rPr>
          <w:sz w:val="22"/>
        </w:rPr>
        <w:t>the</w:t>
      </w:r>
      <w:r>
        <w:rPr>
          <w:spacing w:val="-4"/>
          <w:sz w:val="22"/>
        </w:rPr>
        <w:t> </w:t>
      </w:r>
      <w:r>
        <w:rPr>
          <w:sz w:val="22"/>
        </w:rPr>
        <w:t>guideline,</w:t>
      </w:r>
      <w:r>
        <w:rPr>
          <w:spacing w:val="-6"/>
          <w:sz w:val="22"/>
        </w:rPr>
        <w:t> </w:t>
      </w:r>
      <w:r>
        <w:rPr>
          <w:spacing w:val="-5"/>
          <w:sz w:val="22"/>
        </w:rPr>
        <w:t>or</w:t>
      </w:r>
    </w:p>
    <w:p>
      <w:pPr>
        <w:pStyle w:val="ListParagraph"/>
        <w:numPr>
          <w:ilvl w:val="0"/>
          <w:numId w:val="29"/>
        </w:numPr>
        <w:tabs>
          <w:tab w:pos="900" w:val="left" w:leader="none"/>
        </w:tabs>
        <w:spacing w:line="232" w:lineRule="auto" w:before="117" w:after="0"/>
        <w:ind w:left="900" w:right="1010" w:hanging="360"/>
        <w:jc w:val="left"/>
        <w:rPr>
          <w:sz w:val="22"/>
        </w:rPr>
      </w:pPr>
      <w:r>
        <w:rPr>
          <w:sz w:val="22"/>
        </w:rPr>
        <w:t>A</w:t>
      </w:r>
      <w:r>
        <w:rPr>
          <w:spacing w:val="-4"/>
          <w:sz w:val="22"/>
        </w:rPr>
        <w:t> </w:t>
      </w:r>
      <w:r>
        <w:rPr>
          <w:sz w:val="22"/>
        </w:rPr>
        <w:t>project</w:t>
      </w:r>
      <w:r>
        <w:rPr>
          <w:spacing w:val="-6"/>
          <w:sz w:val="22"/>
        </w:rPr>
        <w:t> </w:t>
      </w:r>
      <w:r>
        <w:rPr>
          <w:sz w:val="22"/>
        </w:rPr>
        <w:t>or</w:t>
      </w:r>
      <w:r>
        <w:rPr>
          <w:spacing w:val="-6"/>
          <w:sz w:val="22"/>
        </w:rPr>
        <w:t> </w:t>
      </w:r>
      <w:r>
        <w:rPr>
          <w:sz w:val="22"/>
        </w:rPr>
        <w:t>activity</w:t>
      </w:r>
      <w:r>
        <w:rPr>
          <w:spacing w:val="-5"/>
          <w:sz w:val="22"/>
        </w:rPr>
        <w:t> </w:t>
      </w:r>
      <w:r>
        <w:rPr>
          <w:sz w:val="22"/>
        </w:rPr>
        <w:t>design</w:t>
      </w:r>
      <w:r>
        <w:rPr>
          <w:spacing w:val="-6"/>
          <w:sz w:val="22"/>
        </w:rPr>
        <w:t> </w:t>
      </w:r>
      <w:r>
        <w:rPr>
          <w:sz w:val="22"/>
        </w:rPr>
        <w:t>varies</w:t>
      </w:r>
      <w:r>
        <w:rPr>
          <w:spacing w:val="-4"/>
          <w:sz w:val="22"/>
        </w:rPr>
        <w:t> </w:t>
      </w:r>
      <w:r>
        <w:rPr>
          <w:sz w:val="22"/>
        </w:rPr>
        <w:t>from</w:t>
      </w:r>
      <w:r>
        <w:rPr>
          <w:spacing w:val="-3"/>
          <w:sz w:val="22"/>
        </w:rPr>
        <w:t> </w:t>
      </w:r>
      <w:r>
        <w:rPr>
          <w:sz w:val="22"/>
        </w:rPr>
        <w:t>the</w:t>
      </w:r>
      <w:r>
        <w:rPr>
          <w:spacing w:val="-6"/>
          <w:sz w:val="22"/>
        </w:rPr>
        <w:t> </w:t>
      </w:r>
      <w:r>
        <w:rPr>
          <w:sz w:val="22"/>
        </w:rPr>
        <w:t>exact</w:t>
      </w:r>
      <w:r>
        <w:rPr>
          <w:spacing w:val="-6"/>
          <w:sz w:val="22"/>
        </w:rPr>
        <w:t> </w:t>
      </w:r>
      <w:r>
        <w:rPr>
          <w:sz w:val="22"/>
        </w:rPr>
        <w:t>words</w:t>
      </w:r>
      <w:r>
        <w:rPr>
          <w:spacing w:val="-4"/>
          <w:sz w:val="22"/>
        </w:rPr>
        <w:t> </w:t>
      </w:r>
      <w:r>
        <w:rPr>
          <w:sz w:val="22"/>
        </w:rPr>
        <w:t>of</w:t>
      </w:r>
      <w:r>
        <w:rPr>
          <w:spacing w:val="-6"/>
          <w:sz w:val="22"/>
        </w:rPr>
        <w:t> </w:t>
      </w:r>
      <w:r>
        <w:rPr>
          <w:sz w:val="22"/>
        </w:rPr>
        <w:t>the</w:t>
      </w:r>
      <w:r>
        <w:rPr>
          <w:spacing w:val="-3"/>
          <w:sz w:val="22"/>
        </w:rPr>
        <w:t> </w:t>
      </w:r>
      <w:r>
        <w:rPr>
          <w:sz w:val="22"/>
        </w:rPr>
        <w:t>guideline</w:t>
      </w:r>
      <w:r>
        <w:rPr>
          <w:spacing w:val="-3"/>
          <w:sz w:val="22"/>
        </w:rPr>
        <w:t> </w:t>
      </w:r>
      <w:r>
        <w:rPr>
          <w:sz w:val="22"/>
        </w:rPr>
        <w:t>but</w:t>
      </w:r>
      <w:r>
        <w:rPr>
          <w:spacing w:val="-6"/>
          <w:sz w:val="22"/>
        </w:rPr>
        <w:t> </w:t>
      </w:r>
      <w:r>
        <w:rPr>
          <w:sz w:val="22"/>
        </w:rPr>
        <w:t>is</w:t>
      </w:r>
      <w:r>
        <w:rPr>
          <w:spacing w:val="-4"/>
          <w:sz w:val="22"/>
        </w:rPr>
        <w:t> </w:t>
      </w:r>
      <w:r>
        <w:rPr>
          <w:sz w:val="22"/>
        </w:rPr>
        <w:t>as</w:t>
      </w:r>
      <w:r>
        <w:rPr>
          <w:spacing w:val="-8"/>
          <w:sz w:val="22"/>
        </w:rPr>
        <w:t> </w:t>
      </w:r>
      <w:r>
        <w:rPr>
          <w:sz w:val="22"/>
        </w:rPr>
        <w:t>effective</w:t>
      </w:r>
      <w:r>
        <w:rPr>
          <w:spacing w:val="-3"/>
          <w:sz w:val="22"/>
        </w:rPr>
        <w:t> </w:t>
      </w:r>
      <w:r>
        <w:rPr>
          <w:sz w:val="22"/>
        </w:rPr>
        <w:t>in meeting the purpose of the guideline to contribute to the maintenance or attainment of relevant desired conditions and objectives.</w:t>
      </w:r>
    </w:p>
    <w:p>
      <w:pPr>
        <w:pStyle w:val="BodyText"/>
        <w:spacing w:line="232" w:lineRule="auto" w:before="119"/>
        <w:ind w:left="359" w:right="804"/>
      </w:pPr>
      <w:r>
        <w:rPr/>
        <w:t>The</w:t>
      </w:r>
      <w:r>
        <w:rPr>
          <w:spacing w:val="-4"/>
        </w:rPr>
        <w:t> </w:t>
      </w:r>
      <w:r>
        <w:rPr/>
        <w:t>project</w:t>
      </w:r>
      <w:r>
        <w:rPr>
          <w:spacing w:val="-4"/>
        </w:rPr>
        <w:t> </w:t>
      </w:r>
      <w:r>
        <w:rPr/>
        <w:t>documentation</w:t>
      </w:r>
      <w:r>
        <w:rPr>
          <w:spacing w:val="-7"/>
        </w:rPr>
        <w:t> </w:t>
      </w:r>
      <w:r>
        <w:rPr/>
        <w:t>should</w:t>
      </w:r>
      <w:r>
        <w:rPr>
          <w:spacing w:val="-6"/>
        </w:rPr>
        <w:t> </w:t>
      </w:r>
      <w:r>
        <w:rPr/>
        <w:t>describe</w:t>
      </w:r>
      <w:r>
        <w:rPr>
          <w:spacing w:val="-4"/>
        </w:rPr>
        <w:t> </w:t>
      </w:r>
      <w:r>
        <w:rPr/>
        <w:t>how</w:t>
      </w:r>
      <w:r>
        <w:rPr>
          <w:spacing w:val="-7"/>
        </w:rPr>
        <w:t> </w:t>
      </w:r>
      <w:r>
        <w:rPr/>
        <w:t>the</w:t>
      </w:r>
      <w:r>
        <w:rPr>
          <w:spacing w:val="-4"/>
        </w:rPr>
        <w:t> </w:t>
      </w:r>
      <w:r>
        <w:rPr/>
        <w:t>project</w:t>
      </w:r>
      <w:r>
        <w:rPr>
          <w:spacing w:val="-4"/>
        </w:rPr>
        <w:t> </w:t>
      </w:r>
      <w:r>
        <w:rPr/>
        <w:t>is</w:t>
      </w:r>
      <w:r>
        <w:rPr>
          <w:spacing w:val="-5"/>
        </w:rPr>
        <w:t> </w:t>
      </w:r>
      <w:r>
        <w:rPr/>
        <w:t>consistent</w:t>
      </w:r>
      <w:r>
        <w:rPr>
          <w:spacing w:val="-7"/>
        </w:rPr>
        <w:t> </w:t>
      </w:r>
      <w:r>
        <w:rPr/>
        <w:t>with</w:t>
      </w:r>
      <w:r>
        <w:rPr>
          <w:spacing w:val="-7"/>
        </w:rPr>
        <w:t> </w:t>
      </w:r>
      <w:r>
        <w:rPr/>
        <w:t>the</w:t>
      </w:r>
      <w:r>
        <w:rPr>
          <w:spacing w:val="-4"/>
        </w:rPr>
        <w:t> </w:t>
      </w:r>
      <w:r>
        <w:rPr/>
        <w:t>guidelines.</w:t>
      </w:r>
      <w:r>
        <w:rPr>
          <w:spacing w:val="-5"/>
        </w:rPr>
        <w:t> </w:t>
      </w:r>
      <w:r>
        <w:rPr/>
        <w:t>When the project varies from the exact words of the guideline, the documentation must specifically explain how the project design is as effective in contributing to the maintenance or attainment of relevant desired conditions and objectives.</w:t>
      </w:r>
    </w:p>
    <w:p>
      <w:pPr>
        <w:pStyle w:val="BodyText"/>
        <w:spacing w:line="232" w:lineRule="auto" w:before="199"/>
        <w:ind w:left="359" w:right="804"/>
      </w:pPr>
      <w:r>
        <w:rPr>
          <w:b/>
        </w:rPr>
        <w:t>Standards</w:t>
      </w:r>
      <w:r>
        <w:rPr/>
        <w:t>—A</w:t>
      </w:r>
      <w:r>
        <w:rPr>
          <w:spacing w:val="-4"/>
        </w:rPr>
        <w:t> </w:t>
      </w:r>
      <w:r>
        <w:rPr/>
        <w:t>project</w:t>
      </w:r>
      <w:r>
        <w:rPr>
          <w:spacing w:val="-6"/>
        </w:rPr>
        <w:t> </w:t>
      </w:r>
      <w:r>
        <w:rPr/>
        <w:t>or</w:t>
      </w:r>
      <w:r>
        <w:rPr>
          <w:spacing w:val="-4"/>
        </w:rPr>
        <w:t> </w:t>
      </w:r>
      <w:r>
        <w:rPr/>
        <w:t>activity</w:t>
      </w:r>
      <w:r>
        <w:rPr>
          <w:spacing w:val="-3"/>
        </w:rPr>
        <w:t> </w:t>
      </w:r>
      <w:r>
        <w:rPr/>
        <w:t>is</w:t>
      </w:r>
      <w:r>
        <w:rPr>
          <w:spacing w:val="-4"/>
        </w:rPr>
        <w:t> </w:t>
      </w:r>
      <w:r>
        <w:rPr/>
        <w:t>consistent</w:t>
      </w:r>
      <w:r>
        <w:rPr>
          <w:spacing w:val="-3"/>
        </w:rPr>
        <w:t> </w:t>
      </w:r>
      <w:r>
        <w:rPr/>
        <w:t>with</w:t>
      </w:r>
      <w:r>
        <w:rPr>
          <w:spacing w:val="-5"/>
        </w:rPr>
        <w:t> </w:t>
      </w:r>
      <w:r>
        <w:rPr/>
        <w:t>a</w:t>
      </w:r>
      <w:r>
        <w:rPr>
          <w:spacing w:val="-4"/>
        </w:rPr>
        <w:t> </w:t>
      </w:r>
      <w:r>
        <w:rPr/>
        <w:t>standard</w:t>
      </w:r>
      <w:r>
        <w:rPr>
          <w:spacing w:val="-5"/>
        </w:rPr>
        <w:t> </w:t>
      </w:r>
      <w:r>
        <w:rPr/>
        <w:t>if</w:t>
      </w:r>
      <w:r>
        <w:rPr>
          <w:spacing w:val="-4"/>
        </w:rPr>
        <w:t> </w:t>
      </w:r>
      <w:r>
        <w:rPr/>
        <w:t>the</w:t>
      </w:r>
      <w:r>
        <w:rPr>
          <w:spacing w:val="-3"/>
        </w:rPr>
        <w:t> </w:t>
      </w:r>
      <w:r>
        <w:rPr/>
        <w:t>project</w:t>
      </w:r>
      <w:r>
        <w:rPr>
          <w:spacing w:val="-6"/>
        </w:rPr>
        <w:t> </w:t>
      </w:r>
      <w:r>
        <w:rPr/>
        <w:t>or</w:t>
      </w:r>
      <w:r>
        <w:rPr>
          <w:spacing w:val="-6"/>
        </w:rPr>
        <w:t> </w:t>
      </w:r>
      <w:r>
        <w:rPr/>
        <w:t>activity</w:t>
      </w:r>
      <w:r>
        <w:rPr>
          <w:spacing w:val="-5"/>
        </w:rPr>
        <w:t> </w:t>
      </w:r>
      <w:r>
        <w:rPr/>
        <w:t>is</w:t>
      </w:r>
      <w:r>
        <w:rPr>
          <w:spacing w:val="-4"/>
        </w:rPr>
        <w:t> </w:t>
      </w:r>
      <w:r>
        <w:rPr/>
        <w:t>designed</w:t>
      </w:r>
      <w:r>
        <w:rPr>
          <w:spacing w:val="-7"/>
        </w:rPr>
        <w:t> </w:t>
      </w:r>
      <w:r>
        <w:rPr/>
        <w:t>in exact accord with the standard.</w:t>
      </w:r>
    </w:p>
    <w:p>
      <w:pPr>
        <w:pStyle w:val="BodyText"/>
        <w:spacing w:before="192"/>
        <w:ind w:left="359"/>
      </w:pPr>
      <w:r>
        <w:rPr/>
        <w:t>The</w:t>
      </w:r>
      <w:r>
        <w:rPr>
          <w:spacing w:val="-7"/>
        </w:rPr>
        <w:t> </w:t>
      </w:r>
      <w:r>
        <w:rPr/>
        <w:t>project</w:t>
      </w:r>
      <w:r>
        <w:rPr>
          <w:spacing w:val="-7"/>
        </w:rPr>
        <w:t> </w:t>
      </w:r>
      <w:r>
        <w:rPr/>
        <w:t>documentation</w:t>
      </w:r>
      <w:r>
        <w:rPr>
          <w:spacing w:val="-10"/>
        </w:rPr>
        <w:t> </w:t>
      </w:r>
      <w:r>
        <w:rPr/>
        <w:t>should</w:t>
      </w:r>
      <w:r>
        <w:rPr>
          <w:spacing w:val="-9"/>
        </w:rPr>
        <w:t> </w:t>
      </w:r>
      <w:r>
        <w:rPr/>
        <w:t>confirm</w:t>
      </w:r>
      <w:r>
        <w:rPr>
          <w:spacing w:val="-7"/>
        </w:rPr>
        <w:t> </w:t>
      </w:r>
      <w:r>
        <w:rPr/>
        <w:t>that</w:t>
      </w:r>
      <w:r>
        <w:rPr>
          <w:spacing w:val="-9"/>
        </w:rPr>
        <w:t> </w:t>
      </w:r>
      <w:r>
        <w:rPr/>
        <w:t>the</w:t>
      </w:r>
      <w:r>
        <w:rPr>
          <w:spacing w:val="-7"/>
        </w:rPr>
        <w:t> </w:t>
      </w:r>
      <w:r>
        <w:rPr/>
        <w:t>project</w:t>
      </w:r>
      <w:r>
        <w:rPr>
          <w:spacing w:val="-7"/>
        </w:rPr>
        <w:t> </w:t>
      </w:r>
      <w:r>
        <w:rPr/>
        <w:t>is</w:t>
      </w:r>
      <w:r>
        <w:rPr>
          <w:spacing w:val="-7"/>
        </w:rPr>
        <w:t> </w:t>
      </w:r>
      <w:r>
        <w:rPr/>
        <w:t>consistent</w:t>
      </w:r>
      <w:r>
        <w:rPr>
          <w:spacing w:val="-7"/>
        </w:rPr>
        <w:t> </w:t>
      </w:r>
      <w:r>
        <w:rPr/>
        <w:t>with</w:t>
      </w:r>
      <w:r>
        <w:rPr>
          <w:spacing w:val="-9"/>
        </w:rPr>
        <w:t> </w:t>
      </w:r>
      <w:r>
        <w:rPr/>
        <w:t>applicable</w:t>
      </w:r>
      <w:r>
        <w:rPr>
          <w:spacing w:val="-6"/>
        </w:rPr>
        <w:t> </w:t>
      </w:r>
      <w:r>
        <w:rPr>
          <w:spacing w:val="-2"/>
        </w:rPr>
        <w:t>standards.</w:t>
      </w:r>
    </w:p>
    <w:p>
      <w:pPr>
        <w:pStyle w:val="BodyText"/>
        <w:spacing w:line="232" w:lineRule="auto" w:before="196"/>
        <w:ind w:left="359" w:right="804"/>
      </w:pPr>
      <w:r>
        <w:rPr>
          <w:b/>
        </w:rPr>
        <w:t>Suitability of areas</w:t>
      </w:r>
      <w:r>
        <w:rPr/>
        <w:t>—A project with the purpose of timber production may only occur in an area identified</w:t>
      </w:r>
      <w:r>
        <w:rPr>
          <w:spacing w:val="-6"/>
        </w:rPr>
        <w:t> </w:t>
      </w:r>
      <w:r>
        <w:rPr/>
        <w:t>as</w:t>
      </w:r>
      <w:r>
        <w:rPr>
          <w:spacing w:val="-5"/>
        </w:rPr>
        <w:t> </w:t>
      </w:r>
      <w:r>
        <w:rPr/>
        <w:t>suitable</w:t>
      </w:r>
      <w:r>
        <w:rPr>
          <w:spacing w:val="-4"/>
        </w:rPr>
        <w:t> </w:t>
      </w:r>
      <w:r>
        <w:rPr/>
        <w:t>for</w:t>
      </w:r>
      <w:r>
        <w:rPr>
          <w:spacing w:val="-5"/>
        </w:rPr>
        <w:t> </w:t>
      </w:r>
      <w:r>
        <w:rPr/>
        <w:t>timber</w:t>
      </w:r>
      <w:r>
        <w:rPr>
          <w:spacing w:val="-5"/>
        </w:rPr>
        <w:t> </w:t>
      </w:r>
      <w:r>
        <w:rPr/>
        <w:t>production</w:t>
      </w:r>
      <w:r>
        <w:rPr>
          <w:spacing w:val="-6"/>
        </w:rPr>
        <w:t> </w:t>
      </w:r>
      <w:r>
        <w:rPr/>
        <w:t>(16</w:t>
      </w:r>
      <w:r>
        <w:rPr>
          <w:spacing w:val="-4"/>
        </w:rPr>
        <w:t> </w:t>
      </w:r>
      <w:r>
        <w:rPr/>
        <w:t>United</w:t>
      </w:r>
      <w:r>
        <w:rPr>
          <w:spacing w:val="-6"/>
        </w:rPr>
        <w:t> </w:t>
      </w:r>
      <w:r>
        <w:rPr/>
        <w:t>States</w:t>
      </w:r>
      <w:r>
        <w:rPr>
          <w:spacing w:val="-7"/>
        </w:rPr>
        <w:t> </w:t>
      </w:r>
      <w:r>
        <w:rPr/>
        <w:t>Code</w:t>
      </w:r>
      <w:r>
        <w:rPr>
          <w:spacing w:val="-6"/>
        </w:rPr>
        <w:t> </w:t>
      </w:r>
      <w:r>
        <w:rPr/>
        <w:t>1604(k)).</w:t>
      </w:r>
      <w:r>
        <w:rPr>
          <w:spacing w:val="-5"/>
        </w:rPr>
        <w:t> </w:t>
      </w:r>
      <w:r>
        <w:rPr/>
        <w:t>The</w:t>
      </w:r>
      <w:r>
        <w:rPr>
          <w:spacing w:val="-7"/>
        </w:rPr>
        <w:t> </w:t>
      </w:r>
      <w:r>
        <w:rPr/>
        <w:t>documentation</w:t>
      </w:r>
      <w:r>
        <w:rPr>
          <w:spacing w:val="-6"/>
        </w:rPr>
        <w:t> </w:t>
      </w:r>
      <w:r>
        <w:rPr/>
        <w:t>for the project should confirm the project area meets the suitability for timber production criteria set out in FSH 1909.12 section 61.</w:t>
      </w:r>
    </w:p>
    <w:p>
      <w:pPr>
        <w:pStyle w:val="BodyText"/>
        <w:spacing w:line="232" w:lineRule="auto" w:before="199"/>
        <w:ind w:left="359" w:right="804"/>
      </w:pPr>
      <w:r>
        <w:rPr/>
        <w:t>Except</w:t>
      </w:r>
      <w:r>
        <w:rPr>
          <w:spacing w:val="-3"/>
        </w:rPr>
        <w:t> </w:t>
      </w:r>
      <w:r>
        <w:rPr/>
        <w:t>for</w:t>
      </w:r>
      <w:r>
        <w:rPr>
          <w:spacing w:val="-4"/>
        </w:rPr>
        <w:t> </w:t>
      </w:r>
      <w:r>
        <w:rPr/>
        <w:t>projects</w:t>
      </w:r>
      <w:r>
        <w:rPr>
          <w:spacing w:val="-6"/>
        </w:rPr>
        <w:t> </w:t>
      </w:r>
      <w:r>
        <w:rPr/>
        <w:t>with</w:t>
      </w:r>
      <w:r>
        <w:rPr>
          <w:spacing w:val="-5"/>
        </w:rPr>
        <w:t> </w:t>
      </w:r>
      <w:r>
        <w:rPr/>
        <w:t>a</w:t>
      </w:r>
      <w:r>
        <w:rPr>
          <w:spacing w:val="-6"/>
        </w:rPr>
        <w:t> </w:t>
      </w:r>
      <w:r>
        <w:rPr/>
        <w:t>purpose</w:t>
      </w:r>
      <w:r>
        <w:rPr>
          <w:spacing w:val="-6"/>
        </w:rPr>
        <w:t> </w:t>
      </w:r>
      <w:r>
        <w:rPr/>
        <w:t>of</w:t>
      </w:r>
      <w:r>
        <w:rPr>
          <w:spacing w:val="-4"/>
        </w:rPr>
        <w:t> </w:t>
      </w:r>
      <w:r>
        <w:rPr/>
        <w:t>timber</w:t>
      </w:r>
      <w:r>
        <w:rPr>
          <w:spacing w:val="-6"/>
        </w:rPr>
        <w:t> </w:t>
      </w:r>
      <w:r>
        <w:rPr/>
        <w:t>production,</w:t>
      </w:r>
      <w:r>
        <w:rPr>
          <w:spacing w:val="-4"/>
        </w:rPr>
        <w:t> </w:t>
      </w:r>
      <w:r>
        <w:rPr/>
        <w:t>a</w:t>
      </w:r>
      <w:r>
        <w:rPr>
          <w:spacing w:val="-4"/>
        </w:rPr>
        <w:t> </w:t>
      </w:r>
      <w:r>
        <w:rPr/>
        <w:t>project</w:t>
      </w:r>
      <w:r>
        <w:rPr>
          <w:spacing w:val="-6"/>
        </w:rPr>
        <w:t> </w:t>
      </w:r>
      <w:r>
        <w:rPr/>
        <w:t>or</w:t>
      </w:r>
      <w:r>
        <w:rPr>
          <w:spacing w:val="-4"/>
        </w:rPr>
        <w:t> </w:t>
      </w:r>
      <w:r>
        <w:rPr/>
        <w:t>activity</w:t>
      </w:r>
      <w:r>
        <w:rPr>
          <w:spacing w:val="-3"/>
        </w:rPr>
        <w:t> </w:t>
      </w:r>
      <w:r>
        <w:rPr/>
        <w:t>can</w:t>
      </w:r>
      <w:r>
        <w:rPr>
          <w:spacing w:val="-7"/>
        </w:rPr>
        <w:t> </w:t>
      </w:r>
      <w:r>
        <w:rPr/>
        <w:t>be</w:t>
      </w:r>
      <w:r>
        <w:rPr>
          <w:spacing w:val="-3"/>
        </w:rPr>
        <w:t> </w:t>
      </w:r>
      <w:r>
        <w:rPr/>
        <w:t>consistent</w:t>
      </w:r>
      <w:r>
        <w:rPr>
          <w:spacing w:val="-6"/>
        </w:rPr>
        <w:t> </w:t>
      </w:r>
      <w:r>
        <w:rPr/>
        <w:t>with plan suitability determinations in either of two ways:</w:t>
      </w:r>
    </w:p>
    <w:p>
      <w:pPr>
        <w:pStyle w:val="BodyText"/>
        <w:rPr>
          <w:sz w:val="20"/>
        </w:rPr>
      </w:pPr>
    </w:p>
    <w:p>
      <w:pPr>
        <w:pStyle w:val="BodyText"/>
        <w:rPr>
          <w:sz w:val="20"/>
        </w:rPr>
      </w:pPr>
    </w:p>
    <w:p>
      <w:pPr>
        <w:pStyle w:val="BodyText"/>
        <w:spacing w:before="126"/>
        <w:rPr>
          <w:sz w:val="20"/>
        </w:rPr>
      </w:pPr>
      <w:r>
        <w:rPr>
          <w:sz w:val="20"/>
        </w:rPr>
        <mc:AlternateContent>
          <mc:Choice Requires="wps">
            <w:drawing>
              <wp:anchor distT="0" distB="0" distL="0" distR="0" allowOverlap="1" layoutInCell="1" locked="0" behindDoc="1" simplePos="0" relativeHeight="487638528">
                <wp:simplePos x="0" y="0"/>
                <wp:positionH relativeFrom="page">
                  <wp:posOffset>896111</wp:posOffset>
                </wp:positionH>
                <wp:positionV relativeFrom="paragraph">
                  <wp:posOffset>250440</wp:posOffset>
                </wp:positionV>
                <wp:extent cx="5706110" cy="12700"/>
                <wp:effectExtent l="0" t="0" r="0" b="0"/>
                <wp:wrapTopAndBottom/>
                <wp:docPr id="288" name="Graphic 288"/>
                <wp:cNvGraphicFramePr>
                  <a:graphicFrameLocks/>
                </wp:cNvGraphicFramePr>
                <a:graphic>
                  <a:graphicData uri="http://schemas.microsoft.com/office/word/2010/wordprocessingShape">
                    <wps:wsp>
                      <wps:cNvPr id="288" name="Graphic 288"/>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19.719746pt;width:449.28pt;height:.96pt;mso-position-horizontal-relative:page;mso-position-vertical-relative:paragraph;z-index:-15677952;mso-wrap-distance-left:0;mso-wrap-distance-right:0" id="docshape272" filled="true" fillcolor="#000000" stroked="false">
                <v:fill type="solid"/>
                <w10:wrap type="topAndBottom"/>
              </v:rect>
            </w:pict>
          </mc:Fallback>
        </mc:AlternateContent>
      </w:r>
    </w:p>
    <w:p>
      <w:pPr>
        <w:spacing w:before="18"/>
        <w:ind w:left="2692" w:right="0" w:firstLine="0"/>
        <w:jc w:val="left"/>
        <w:rPr>
          <w:rFonts w:ascii="Arial" w:hAnsi="Arial"/>
          <w:b/>
          <w:sz w:val="18"/>
        </w:rPr>
      </w:pPr>
      <w:r>
        <w:rPr>
          <w:rFonts w:ascii="Arial" w:hAnsi="Arial"/>
          <w:b/>
          <w:color w:val="003300"/>
          <w:sz w:val="18"/>
        </w:rPr>
        <w:t>Appendix</w:t>
      </w:r>
      <w:r>
        <w:rPr>
          <w:rFonts w:ascii="Arial" w:hAnsi="Arial"/>
          <w:b/>
          <w:color w:val="003300"/>
          <w:spacing w:val="-1"/>
          <w:sz w:val="18"/>
        </w:rPr>
        <w:t> </w:t>
      </w:r>
      <w:r>
        <w:rPr>
          <w:rFonts w:ascii="Arial" w:hAnsi="Arial"/>
          <w:b/>
          <w:color w:val="003300"/>
          <w:sz w:val="18"/>
        </w:rPr>
        <w:t>A</w:t>
      </w:r>
      <w:r>
        <w:rPr>
          <w:rFonts w:ascii="Arial" w:hAnsi="Arial"/>
          <w:b/>
          <w:color w:val="003300"/>
          <w:spacing w:val="-5"/>
          <w:sz w:val="18"/>
        </w:rPr>
        <w:t> </w:t>
      </w:r>
      <w:r>
        <w:rPr>
          <w:rFonts w:ascii="Arial" w:hAnsi="Arial"/>
          <w:b/>
          <w:color w:val="003300"/>
          <w:sz w:val="18"/>
        </w:rPr>
        <w:t>–</w:t>
      </w:r>
      <w:r>
        <w:rPr>
          <w:rFonts w:ascii="Arial" w:hAnsi="Arial"/>
          <w:b/>
          <w:color w:val="003300"/>
          <w:spacing w:val="-1"/>
          <w:sz w:val="18"/>
        </w:rPr>
        <w:t> </w:t>
      </w:r>
      <w:r>
        <w:rPr>
          <w:rFonts w:ascii="Arial" w:hAnsi="Arial"/>
          <w:b/>
          <w:color w:val="003300"/>
          <w:sz w:val="18"/>
        </w:rPr>
        <w:t>Consistency</w:t>
      </w:r>
      <w:r>
        <w:rPr>
          <w:rFonts w:ascii="Arial" w:hAnsi="Arial"/>
          <w:b/>
          <w:color w:val="003300"/>
          <w:spacing w:val="-6"/>
          <w:sz w:val="18"/>
        </w:rPr>
        <w:t> </w:t>
      </w:r>
      <w:r>
        <w:rPr>
          <w:rFonts w:ascii="Arial" w:hAnsi="Arial"/>
          <w:b/>
          <w:color w:val="003300"/>
          <w:sz w:val="18"/>
        </w:rPr>
        <w:t>with</w:t>
      </w:r>
      <w:r>
        <w:rPr>
          <w:rFonts w:ascii="Arial" w:hAnsi="Arial"/>
          <w:b/>
          <w:color w:val="003300"/>
          <w:spacing w:val="-2"/>
          <w:sz w:val="18"/>
        </w:rPr>
        <w:t> </w:t>
      </w:r>
      <w:r>
        <w:rPr>
          <w:rFonts w:ascii="Arial" w:hAnsi="Arial"/>
          <w:b/>
          <w:color w:val="003300"/>
          <w:sz w:val="18"/>
        </w:rPr>
        <w:t>Plan</w:t>
      </w:r>
      <w:r>
        <w:rPr>
          <w:rFonts w:ascii="Arial" w:hAnsi="Arial"/>
          <w:b/>
          <w:color w:val="003300"/>
          <w:spacing w:val="-1"/>
          <w:sz w:val="18"/>
        </w:rPr>
        <w:t> </w:t>
      </w:r>
      <w:r>
        <w:rPr>
          <w:rFonts w:ascii="Arial" w:hAnsi="Arial"/>
          <w:b/>
          <w:color w:val="003300"/>
          <w:spacing w:val="-2"/>
          <w:sz w:val="18"/>
        </w:rPr>
        <w:t>Components</w:t>
      </w:r>
    </w:p>
    <w:p>
      <w:pPr>
        <w:spacing w:after="0"/>
        <w:jc w:val="left"/>
        <w:rPr>
          <w:rFonts w:ascii="Arial" w:hAnsi="Arial"/>
          <w:b/>
          <w:sz w:val="18"/>
        </w:rPr>
        <w:sectPr>
          <w:pgSz w:w="12240" w:h="15840"/>
          <w:pgMar w:header="725" w:footer="721" w:top="1340" w:bottom="840" w:left="1080" w:right="1080"/>
        </w:sectPr>
      </w:pPr>
    </w:p>
    <w:p>
      <w:pPr>
        <w:pStyle w:val="ListParagraph"/>
        <w:numPr>
          <w:ilvl w:val="1"/>
          <w:numId w:val="29"/>
        </w:numPr>
        <w:tabs>
          <w:tab w:pos="1332" w:val="left" w:leader="none"/>
        </w:tabs>
        <w:spacing w:line="232" w:lineRule="auto" w:before="87" w:after="0"/>
        <w:ind w:left="1332" w:right="899" w:hanging="360"/>
        <w:jc w:val="left"/>
        <w:rPr>
          <w:sz w:val="22"/>
        </w:rPr>
      </w:pPr>
      <w:r>
        <w:rPr>
          <w:sz w:val="22"/>
        </w:rPr>
        <w:t>The</w:t>
      </w:r>
      <w:r>
        <w:rPr>
          <w:spacing w:val="-3"/>
          <w:sz w:val="22"/>
        </w:rPr>
        <w:t> </w:t>
      </w:r>
      <w:r>
        <w:rPr>
          <w:sz w:val="22"/>
        </w:rPr>
        <w:t>project</w:t>
      </w:r>
      <w:r>
        <w:rPr>
          <w:spacing w:val="-5"/>
          <w:sz w:val="22"/>
        </w:rPr>
        <w:t> </w:t>
      </w:r>
      <w:r>
        <w:rPr>
          <w:sz w:val="22"/>
        </w:rPr>
        <w:t>or</w:t>
      </w:r>
      <w:r>
        <w:rPr>
          <w:spacing w:val="-4"/>
          <w:sz w:val="22"/>
        </w:rPr>
        <w:t> </w:t>
      </w:r>
      <w:r>
        <w:rPr>
          <w:sz w:val="22"/>
        </w:rPr>
        <w:t>activity</w:t>
      </w:r>
      <w:r>
        <w:rPr>
          <w:spacing w:val="-3"/>
          <w:sz w:val="22"/>
        </w:rPr>
        <w:t> </w:t>
      </w:r>
      <w:r>
        <w:rPr>
          <w:sz w:val="22"/>
        </w:rPr>
        <w:t>is</w:t>
      </w:r>
      <w:r>
        <w:rPr>
          <w:spacing w:val="-5"/>
          <w:sz w:val="22"/>
        </w:rPr>
        <w:t> </w:t>
      </w:r>
      <w:r>
        <w:rPr>
          <w:sz w:val="22"/>
        </w:rPr>
        <w:t>a</w:t>
      </w:r>
      <w:r>
        <w:rPr>
          <w:spacing w:val="-5"/>
          <w:sz w:val="22"/>
        </w:rPr>
        <w:t> </w:t>
      </w:r>
      <w:r>
        <w:rPr>
          <w:sz w:val="22"/>
        </w:rPr>
        <w:t>use</w:t>
      </w:r>
      <w:r>
        <w:rPr>
          <w:spacing w:val="-3"/>
          <w:sz w:val="22"/>
        </w:rPr>
        <w:t> </w:t>
      </w:r>
      <w:r>
        <w:rPr>
          <w:sz w:val="22"/>
        </w:rPr>
        <w:t>identified</w:t>
      </w:r>
      <w:r>
        <w:rPr>
          <w:spacing w:val="-5"/>
          <w:sz w:val="22"/>
        </w:rPr>
        <w:t> </w:t>
      </w:r>
      <w:r>
        <w:rPr>
          <w:sz w:val="22"/>
        </w:rPr>
        <w:t>in</w:t>
      </w:r>
      <w:r>
        <w:rPr>
          <w:spacing w:val="-6"/>
          <w:sz w:val="22"/>
        </w:rPr>
        <w:t> </w:t>
      </w:r>
      <w:r>
        <w:rPr>
          <w:sz w:val="22"/>
        </w:rPr>
        <w:t>the</w:t>
      </w:r>
      <w:r>
        <w:rPr>
          <w:spacing w:val="-3"/>
          <w:sz w:val="22"/>
        </w:rPr>
        <w:t> </w:t>
      </w:r>
      <w:r>
        <w:rPr>
          <w:sz w:val="22"/>
        </w:rPr>
        <w:t>plan</w:t>
      </w:r>
      <w:r>
        <w:rPr>
          <w:spacing w:val="-5"/>
          <w:sz w:val="22"/>
        </w:rPr>
        <w:t> </w:t>
      </w:r>
      <w:r>
        <w:rPr>
          <w:sz w:val="22"/>
        </w:rPr>
        <w:t>as</w:t>
      </w:r>
      <w:r>
        <w:rPr>
          <w:spacing w:val="-4"/>
          <w:sz w:val="22"/>
        </w:rPr>
        <w:t> </w:t>
      </w:r>
      <w:r>
        <w:rPr>
          <w:sz w:val="22"/>
        </w:rPr>
        <w:t>generally</w:t>
      </w:r>
      <w:r>
        <w:rPr>
          <w:spacing w:val="-3"/>
          <w:sz w:val="22"/>
        </w:rPr>
        <w:t> </w:t>
      </w:r>
      <w:r>
        <w:rPr>
          <w:sz w:val="22"/>
        </w:rPr>
        <w:t>suitable</w:t>
      </w:r>
      <w:r>
        <w:rPr>
          <w:spacing w:val="-3"/>
          <w:sz w:val="22"/>
        </w:rPr>
        <w:t> </w:t>
      </w:r>
      <w:r>
        <w:rPr>
          <w:sz w:val="22"/>
        </w:rPr>
        <w:t>for</w:t>
      </w:r>
      <w:r>
        <w:rPr>
          <w:spacing w:val="-4"/>
          <w:sz w:val="22"/>
        </w:rPr>
        <w:t> </w:t>
      </w:r>
      <w:r>
        <w:rPr>
          <w:sz w:val="22"/>
        </w:rPr>
        <w:t>the</w:t>
      </w:r>
      <w:r>
        <w:rPr>
          <w:spacing w:val="-5"/>
          <w:sz w:val="22"/>
        </w:rPr>
        <w:t> </w:t>
      </w:r>
      <w:r>
        <w:rPr>
          <w:sz w:val="22"/>
        </w:rPr>
        <w:t>location where the project or activity is to occur, or</w:t>
      </w:r>
    </w:p>
    <w:p>
      <w:pPr>
        <w:pStyle w:val="ListParagraph"/>
        <w:numPr>
          <w:ilvl w:val="1"/>
          <w:numId w:val="29"/>
        </w:numPr>
        <w:tabs>
          <w:tab w:pos="1331" w:val="left" w:leader="none"/>
        </w:tabs>
        <w:spacing w:line="232" w:lineRule="auto" w:before="120" w:after="0"/>
        <w:ind w:left="1331" w:right="546" w:hanging="360"/>
        <w:jc w:val="left"/>
        <w:rPr>
          <w:sz w:val="22"/>
        </w:rPr>
      </w:pPr>
      <w:r>
        <w:rPr>
          <w:sz w:val="22"/>
        </w:rPr>
        <w:t>The</w:t>
      </w:r>
      <w:r>
        <w:rPr>
          <w:spacing w:val="-2"/>
          <w:sz w:val="22"/>
        </w:rPr>
        <w:t> </w:t>
      </w:r>
      <w:r>
        <w:rPr>
          <w:sz w:val="22"/>
        </w:rPr>
        <w:t>project</w:t>
      </w:r>
      <w:r>
        <w:rPr>
          <w:spacing w:val="-5"/>
          <w:sz w:val="22"/>
        </w:rPr>
        <w:t> </w:t>
      </w:r>
      <w:r>
        <w:rPr>
          <w:sz w:val="22"/>
        </w:rPr>
        <w:t>or</w:t>
      </w:r>
      <w:r>
        <w:rPr>
          <w:spacing w:val="-3"/>
          <w:sz w:val="22"/>
        </w:rPr>
        <w:t> </w:t>
      </w:r>
      <w:r>
        <w:rPr>
          <w:sz w:val="22"/>
        </w:rPr>
        <w:t>activity</w:t>
      </w:r>
      <w:r>
        <w:rPr>
          <w:spacing w:val="-2"/>
          <w:sz w:val="22"/>
        </w:rPr>
        <w:t> </w:t>
      </w:r>
      <w:r>
        <w:rPr>
          <w:sz w:val="22"/>
        </w:rPr>
        <w:t>is</w:t>
      </w:r>
      <w:r>
        <w:rPr>
          <w:spacing w:val="-5"/>
          <w:sz w:val="22"/>
        </w:rPr>
        <w:t> </w:t>
      </w:r>
      <w:r>
        <w:rPr>
          <w:sz w:val="22"/>
        </w:rPr>
        <w:t>not</w:t>
      </w:r>
      <w:r>
        <w:rPr>
          <w:spacing w:val="-2"/>
          <w:sz w:val="22"/>
        </w:rPr>
        <w:t> </w:t>
      </w:r>
      <w:r>
        <w:rPr>
          <w:sz w:val="22"/>
        </w:rPr>
        <w:t>a</w:t>
      </w:r>
      <w:r>
        <w:rPr>
          <w:spacing w:val="-3"/>
          <w:sz w:val="22"/>
        </w:rPr>
        <w:t> </w:t>
      </w:r>
      <w:r>
        <w:rPr>
          <w:sz w:val="22"/>
        </w:rPr>
        <w:t>use</w:t>
      </w:r>
      <w:r>
        <w:rPr>
          <w:spacing w:val="-5"/>
          <w:sz w:val="22"/>
        </w:rPr>
        <w:t> </w:t>
      </w:r>
      <w:r>
        <w:rPr>
          <w:sz w:val="22"/>
        </w:rPr>
        <w:t>identified</w:t>
      </w:r>
      <w:r>
        <w:rPr>
          <w:spacing w:val="-4"/>
          <w:sz w:val="22"/>
        </w:rPr>
        <w:t> </w:t>
      </w:r>
      <w:r>
        <w:rPr>
          <w:sz w:val="22"/>
        </w:rPr>
        <w:t>in</w:t>
      </w:r>
      <w:r>
        <w:rPr>
          <w:spacing w:val="-6"/>
          <w:sz w:val="22"/>
        </w:rPr>
        <w:t> </w:t>
      </w:r>
      <w:r>
        <w:rPr>
          <w:sz w:val="22"/>
        </w:rPr>
        <w:t>the</w:t>
      </w:r>
      <w:r>
        <w:rPr>
          <w:spacing w:val="-2"/>
          <w:sz w:val="22"/>
        </w:rPr>
        <w:t> </w:t>
      </w:r>
      <w:r>
        <w:rPr>
          <w:sz w:val="22"/>
        </w:rPr>
        <w:t>plan</w:t>
      </w:r>
      <w:r>
        <w:rPr>
          <w:spacing w:val="-4"/>
          <w:sz w:val="22"/>
        </w:rPr>
        <w:t> </w:t>
      </w:r>
      <w:r>
        <w:rPr>
          <w:sz w:val="22"/>
        </w:rPr>
        <w:t>as</w:t>
      </w:r>
      <w:r>
        <w:rPr>
          <w:spacing w:val="-3"/>
          <w:sz w:val="22"/>
        </w:rPr>
        <w:t> </w:t>
      </w:r>
      <w:r>
        <w:rPr>
          <w:sz w:val="22"/>
        </w:rPr>
        <w:t>generally</w:t>
      </w:r>
      <w:r>
        <w:rPr>
          <w:spacing w:val="-4"/>
          <w:sz w:val="22"/>
        </w:rPr>
        <w:t> </w:t>
      </w:r>
      <w:r>
        <w:rPr>
          <w:sz w:val="22"/>
        </w:rPr>
        <w:t>suitable</w:t>
      </w:r>
      <w:r>
        <w:rPr>
          <w:spacing w:val="-2"/>
          <w:sz w:val="22"/>
        </w:rPr>
        <w:t> </w:t>
      </w:r>
      <w:r>
        <w:rPr>
          <w:sz w:val="22"/>
        </w:rPr>
        <w:t>for</w:t>
      </w:r>
      <w:r>
        <w:rPr>
          <w:spacing w:val="-5"/>
          <w:sz w:val="22"/>
        </w:rPr>
        <w:t> </w:t>
      </w:r>
      <w:r>
        <w:rPr>
          <w:sz w:val="22"/>
        </w:rPr>
        <w:t>the</w:t>
      </w:r>
      <w:r>
        <w:rPr>
          <w:spacing w:val="-2"/>
          <w:sz w:val="22"/>
        </w:rPr>
        <w:t> </w:t>
      </w:r>
      <w:r>
        <w:rPr>
          <w:sz w:val="22"/>
        </w:rPr>
        <w:t>location (the plan is silent on the use), but the responsible official determines that the use to be appropriate for that location’s desired conditions and objectives. If a project or activity is specified in the plan as not suitable for the area, an amendment to the Forest Plan is </w:t>
      </w:r>
      <w:r>
        <w:rPr>
          <w:spacing w:val="-2"/>
          <w:sz w:val="22"/>
        </w:rPr>
        <w:t>required.</w:t>
      </w:r>
    </w:p>
    <w:p>
      <w:pPr>
        <w:pStyle w:val="BodyText"/>
        <w:spacing w:line="232" w:lineRule="auto" w:before="116"/>
        <w:ind w:left="791" w:right="361"/>
      </w:pPr>
      <w:r>
        <w:rPr/>
        <w:t>The project documentation should describe that the project or activity is either (1) a use for which the</w:t>
      </w:r>
      <w:r>
        <w:rPr>
          <w:spacing w:val="-2"/>
        </w:rPr>
        <w:t> </w:t>
      </w:r>
      <w:r>
        <w:rPr/>
        <w:t>area</w:t>
      </w:r>
      <w:r>
        <w:rPr>
          <w:spacing w:val="-3"/>
        </w:rPr>
        <w:t> </w:t>
      </w:r>
      <w:r>
        <w:rPr/>
        <w:t>is</w:t>
      </w:r>
      <w:r>
        <w:rPr>
          <w:spacing w:val="-3"/>
        </w:rPr>
        <w:t> </w:t>
      </w:r>
      <w:r>
        <w:rPr/>
        <w:t>specifically</w:t>
      </w:r>
      <w:r>
        <w:rPr>
          <w:spacing w:val="-4"/>
        </w:rPr>
        <w:t> </w:t>
      </w:r>
      <w:r>
        <w:rPr/>
        <w:t>identified</w:t>
      </w:r>
      <w:r>
        <w:rPr>
          <w:spacing w:val="-4"/>
        </w:rPr>
        <w:t> </w:t>
      </w:r>
      <w:r>
        <w:rPr/>
        <w:t>in</w:t>
      </w:r>
      <w:r>
        <w:rPr>
          <w:spacing w:val="-4"/>
        </w:rPr>
        <w:t> </w:t>
      </w:r>
      <w:r>
        <w:rPr/>
        <w:t>the</w:t>
      </w:r>
      <w:r>
        <w:rPr>
          <w:spacing w:val="-5"/>
        </w:rPr>
        <w:t> </w:t>
      </w:r>
      <w:r>
        <w:rPr/>
        <w:t>plan</w:t>
      </w:r>
      <w:r>
        <w:rPr>
          <w:spacing w:val="-4"/>
        </w:rPr>
        <w:t> </w:t>
      </w:r>
      <w:r>
        <w:rPr/>
        <w:t>as</w:t>
      </w:r>
      <w:r>
        <w:rPr>
          <w:spacing w:val="-3"/>
        </w:rPr>
        <w:t> </w:t>
      </w:r>
      <w:r>
        <w:rPr/>
        <w:t>generally</w:t>
      </w:r>
      <w:r>
        <w:rPr>
          <w:spacing w:val="-2"/>
        </w:rPr>
        <w:t> </w:t>
      </w:r>
      <w:r>
        <w:rPr/>
        <w:t>suitable,</w:t>
      </w:r>
      <w:r>
        <w:rPr>
          <w:spacing w:val="-5"/>
        </w:rPr>
        <w:t> </w:t>
      </w:r>
      <w:r>
        <w:rPr/>
        <w:t>or</w:t>
      </w:r>
      <w:r>
        <w:rPr>
          <w:spacing w:val="-5"/>
        </w:rPr>
        <w:t> </w:t>
      </w:r>
      <w:r>
        <w:rPr/>
        <w:t>(2)</w:t>
      </w:r>
      <w:r>
        <w:rPr>
          <w:spacing w:val="-3"/>
        </w:rPr>
        <w:t> </w:t>
      </w:r>
      <w:r>
        <w:rPr/>
        <w:t>not</w:t>
      </w:r>
      <w:r>
        <w:rPr>
          <w:spacing w:val="-2"/>
        </w:rPr>
        <w:t> </w:t>
      </w:r>
      <w:r>
        <w:rPr/>
        <w:t>a</w:t>
      </w:r>
      <w:r>
        <w:rPr>
          <w:spacing w:val="-3"/>
        </w:rPr>
        <w:t> </w:t>
      </w:r>
      <w:r>
        <w:rPr/>
        <w:t>use</w:t>
      </w:r>
      <w:r>
        <w:rPr>
          <w:spacing w:val="-5"/>
        </w:rPr>
        <w:t> </w:t>
      </w:r>
      <w:r>
        <w:rPr/>
        <w:t>for</w:t>
      </w:r>
      <w:r>
        <w:rPr>
          <w:spacing w:val="-3"/>
        </w:rPr>
        <w:t> </w:t>
      </w:r>
      <w:r>
        <w:rPr/>
        <w:t>which</w:t>
      </w:r>
      <w:r>
        <w:rPr>
          <w:spacing w:val="-6"/>
        </w:rPr>
        <w:t> </w:t>
      </w:r>
      <w:r>
        <w:rPr/>
        <w:t>the</w:t>
      </w:r>
      <w:r>
        <w:rPr>
          <w:spacing w:val="-2"/>
        </w:rPr>
        <w:t> </w:t>
      </w:r>
      <w:r>
        <w:rPr/>
        <w:t>area is specifically identified in the plan as general suitable, but is nonetheless appropriate for that </w:t>
      </w:r>
      <w:r>
        <w:rPr>
          <w:spacing w:val="-2"/>
        </w:rPr>
        <w:t>location.</w:t>
      </w:r>
    </w:p>
    <w:p>
      <w:pPr>
        <w:pStyle w:val="BodyText"/>
        <w:spacing w:after="0" w:line="232" w:lineRule="auto"/>
        <w:sectPr>
          <w:pgSz w:w="12240" w:h="15840"/>
          <w:pgMar w:header="725" w:footer="891" w:top="1340" w:bottom="1080" w:left="1080" w:right="1080"/>
        </w:sectPr>
      </w:pPr>
    </w:p>
    <w:p>
      <w:pPr>
        <w:pStyle w:val="BodyText"/>
        <w:spacing w:before="7" w:after="1"/>
        <w:rPr>
          <w:sz w:val="19"/>
        </w:rPr>
      </w:pPr>
    </w:p>
    <w:p>
      <w:pPr>
        <w:pStyle w:val="BodyText"/>
        <w:ind w:left="331"/>
        <w:rPr>
          <w:sz w:val="20"/>
        </w:rPr>
      </w:pPr>
      <w:r>
        <w:rPr>
          <w:sz w:val="20"/>
        </w:rPr>
        <mc:AlternateContent>
          <mc:Choice Requires="wps">
            <w:drawing>
              <wp:inline distT="0" distB="0" distL="0" distR="0">
                <wp:extent cx="5706110" cy="528955"/>
                <wp:effectExtent l="0" t="0" r="0" b="0"/>
                <wp:docPr id="297" name="Textbox 297"/>
                <wp:cNvGraphicFramePr>
                  <a:graphicFrameLocks/>
                </wp:cNvGraphicFramePr>
                <a:graphic>
                  <a:graphicData uri="http://schemas.microsoft.com/office/word/2010/wordprocessingShape">
                    <wps:wsp>
                      <wps:cNvPr id="297" name="Textbox 297"/>
                      <wps:cNvSpPr txBox="1"/>
                      <wps:spPr>
                        <a:xfrm>
                          <a:off x="0" y="0"/>
                          <a:ext cx="5706110" cy="528955"/>
                        </a:xfrm>
                        <a:prstGeom prst="rect">
                          <a:avLst/>
                        </a:prstGeom>
                        <a:solidFill>
                          <a:srgbClr val="C2D59B"/>
                        </a:solidFill>
                      </wps:spPr>
                      <wps:txbx>
                        <w:txbxContent>
                          <w:p>
                            <w:pPr>
                              <w:spacing w:before="0"/>
                              <w:ind w:left="28" w:right="142" w:firstLine="0"/>
                              <w:jc w:val="left"/>
                              <w:rPr>
                                <w:rFonts w:ascii="Arial" w:hAnsi="Arial"/>
                                <w:b/>
                                <w:color w:val="000000"/>
                                <w:sz w:val="36"/>
                              </w:rPr>
                            </w:pPr>
                            <w:bookmarkStart w:name="Appendix B – Proposed and Possible Manag" w:id="927"/>
                            <w:bookmarkEnd w:id="927"/>
                            <w:r>
                              <w:rPr>
                                <w:color w:val="000000"/>
                              </w:rPr>
                            </w:r>
                            <w:bookmarkStart w:name="_bookmark280" w:id="928"/>
                            <w:bookmarkEnd w:id="928"/>
                            <w:r>
                              <w:rPr>
                                <w:color w:val="000000"/>
                              </w:rPr>
                            </w:r>
                            <w:r>
                              <w:rPr>
                                <w:rFonts w:ascii="Arial" w:hAnsi="Arial"/>
                                <w:b/>
                                <w:color w:val="475824"/>
                                <w:sz w:val="36"/>
                              </w:rPr>
                              <w:t>Appendix</w:t>
                            </w:r>
                            <w:r>
                              <w:rPr>
                                <w:rFonts w:ascii="Arial" w:hAnsi="Arial"/>
                                <w:b/>
                                <w:color w:val="475824"/>
                                <w:spacing w:val="-8"/>
                                <w:sz w:val="36"/>
                              </w:rPr>
                              <w:t> </w:t>
                            </w:r>
                            <w:r>
                              <w:rPr>
                                <w:rFonts w:ascii="Arial" w:hAnsi="Arial"/>
                                <w:b/>
                                <w:color w:val="475824"/>
                                <w:sz w:val="36"/>
                              </w:rPr>
                              <w:t>B</w:t>
                            </w:r>
                            <w:r>
                              <w:rPr>
                                <w:rFonts w:ascii="Arial" w:hAnsi="Arial"/>
                                <w:b/>
                                <w:color w:val="475824"/>
                                <w:spacing w:val="-8"/>
                                <w:sz w:val="36"/>
                              </w:rPr>
                              <w:t> </w:t>
                            </w:r>
                            <w:r>
                              <w:rPr>
                                <w:rFonts w:ascii="Arial" w:hAnsi="Arial"/>
                                <w:b/>
                                <w:color w:val="475824"/>
                                <w:sz w:val="36"/>
                              </w:rPr>
                              <w:t>–</w:t>
                            </w:r>
                            <w:r>
                              <w:rPr>
                                <w:rFonts w:ascii="Arial" w:hAnsi="Arial"/>
                                <w:b/>
                                <w:color w:val="475824"/>
                                <w:spacing w:val="-8"/>
                                <w:sz w:val="36"/>
                              </w:rPr>
                              <w:t> </w:t>
                            </w:r>
                            <w:r>
                              <w:rPr>
                                <w:rFonts w:ascii="Arial" w:hAnsi="Arial"/>
                                <w:b/>
                                <w:color w:val="475824"/>
                                <w:sz w:val="36"/>
                              </w:rPr>
                              <w:t>Proposed</w:t>
                            </w:r>
                            <w:r>
                              <w:rPr>
                                <w:rFonts w:ascii="Arial" w:hAnsi="Arial"/>
                                <w:b/>
                                <w:color w:val="475824"/>
                                <w:spacing w:val="-6"/>
                                <w:sz w:val="36"/>
                              </w:rPr>
                              <w:t> </w:t>
                            </w:r>
                            <w:r>
                              <w:rPr>
                                <w:rFonts w:ascii="Arial" w:hAnsi="Arial"/>
                                <w:b/>
                                <w:color w:val="475824"/>
                                <w:sz w:val="36"/>
                              </w:rPr>
                              <w:t>and</w:t>
                            </w:r>
                            <w:r>
                              <w:rPr>
                                <w:rFonts w:ascii="Arial" w:hAnsi="Arial"/>
                                <w:b/>
                                <w:color w:val="475824"/>
                                <w:spacing w:val="-8"/>
                                <w:sz w:val="36"/>
                              </w:rPr>
                              <w:t> </w:t>
                            </w:r>
                            <w:r>
                              <w:rPr>
                                <w:rFonts w:ascii="Arial" w:hAnsi="Arial"/>
                                <w:b/>
                                <w:color w:val="475824"/>
                                <w:sz w:val="36"/>
                              </w:rPr>
                              <w:t>Possible</w:t>
                            </w:r>
                            <w:r>
                              <w:rPr>
                                <w:rFonts w:ascii="Arial" w:hAnsi="Arial"/>
                                <w:b/>
                                <w:color w:val="475824"/>
                                <w:spacing w:val="-8"/>
                                <w:sz w:val="36"/>
                              </w:rPr>
                              <w:t> </w:t>
                            </w:r>
                            <w:r>
                              <w:rPr>
                                <w:rFonts w:ascii="Arial" w:hAnsi="Arial"/>
                                <w:b/>
                                <w:color w:val="475824"/>
                                <w:sz w:val="36"/>
                              </w:rPr>
                              <w:t>Management </w:t>
                            </w:r>
                            <w:r>
                              <w:rPr>
                                <w:rFonts w:ascii="Arial" w:hAnsi="Arial"/>
                                <w:b/>
                                <w:color w:val="475824"/>
                                <w:spacing w:val="-2"/>
                                <w:sz w:val="36"/>
                              </w:rPr>
                              <w:t>Actions</w:t>
                            </w:r>
                          </w:p>
                        </w:txbxContent>
                      </wps:txbx>
                      <wps:bodyPr wrap="square" lIns="0" tIns="0" rIns="0" bIns="0" rtlCol="0">
                        <a:noAutofit/>
                      </wps:bodyPr>
                    </wps:wsp>
                  </a:graphicData>
                </a:graphic>
              </wp:inline>
            </w:drawing>
          </mc:Choice>
          <mc:Fallback>
            <w:pict>
              <v:shape style="width:449.3pt;height:41.65pt;mso-position-horizontal-relative:char;mso-position-vertical-relative:line" type="#_x0000_t202" id="docshape281" filled="true" fillcolor="#c2d59b" stroked="false">
                <w10:anchorlock/>
                <v:textbox inset="0,0,0,0">
                  <w:txbxContent>
                    <w:p>
                      <w:pPr>
                        <w:spacing w:before="0"/>
                        <w:ind w:left="28" w:right="142" w:firstLine="0"/>
                        <w:jc w:val="left"/>
                        <w:rPr>
                          <w:rFonts w:ascii="Arial" w:hAnsi="Arial"/>
                          <w:b/>
                          <w:color w:val="000000"/>
                          <w:sz w:val="36"/>
                        </w:rPr>
                      </w:pPr>
                      <w:bookmarkStart w:name="Appendix B – Proposed and Possible Manag" w:id="929"/>
                      <w:bookmarkEnd w:id="929"/>
                      <w:r>
                        <w:rPr>
                          <w:color w:val="000000"/>
                        </w:rPr>
                      </w:r>
                      <w:bookmarkStart w:name="_bookmark280" w:id="930"/>
                      <w:bookmarkEnd w:id="930"/>
                      <w:r>
                        <w:rPr>
                          <w:color w:val="000000"/>
                        </w:rPr>
                      </w:r>
                      <w:r>
                        <w:rPr>
                          <w:rFonts w:ascii="Arial" w:hAnsi="Arial"/>
                          <w:b/>
                          <w:color w:val="475824"/>
                          <w:sz w:val="36"/>
                        </w:rPr>
                        <w:t>Appendix</w:t>
                      </w:r>
                      <w:r>
                        <w:rPr>
                          <w:rFonts w:ascii="Arial" w:hAnsi="Arial"/>
                          <w:b/>
                          <w:color w:val="475824"/>
                          <w:spacing w:val="-8"/>
                          <w:sz w:val="36"/>
                        </w:rPr>
                        <w:t> </w:t>
                      </w:r>
                      <w:r>
                        <w:rPr>
                          <w:rFonts w:ascii="Arial" w:hAnsi="Arial"/>
                          <w:b/>
                          <w:color w:val="475824"/>
                          <w:sz w:val="36"/>
                        </w:rPr>
                        <w:t>B</w:t>
                      </w:r>
                      <w:r>
                        <w:rPr>
                          <w:rFonts w:ascii="Arial" w:hAnsi="Arial"/>
                          <w:b/>
                          <w:color w:val="475824"/>
                          <w:spacing w:val="-8"/>
                          <w:sz w:val="36"/>
                        </w:rPr>
                        <w:t> </w:t>
                      </w:r>
                      <w:r>
                        <w:rPr>
                          <w:rFonts w:ascii="Arial" w:hAnsi="Arial"/>
                          <w:b/>
                          <w:color w:val="475824"/>
                          <w:sz w:val="36"/>
                        </w:rPr>
                        <w:t>–</w:t>
                      </w:r>
                      <w:r>
                        <w:rPr>
                          <w:rFonts w:ascii="Arial" w:hAnsi="Arial"/>
                          <w:b/>
                          <w:color w:val="475824"/>
                          <w:spacing w:val="-8"/>
                          <w:sz w:val="36"/>
                        </w:rPr>
                        <w:t> </w:t>
                      </w:r>
                      <w:r>
                        <w:rPr>
                          <w:rFonts w:ascii="Arial" w:hAnsi="Arial"/>
                          <w:b/>
                          <w:color w:val="475824"/>
                          <w:sz w:val="36"/>
                        </w:rPr>
                        <w:t>Proposed</w:t>
                      </w:r>
                      <w:r>
                        <w:rPr>
                          <w:rFonts w:ascii="Arial" w:hAnsi="Arial"/>
                          <w:b/>
                          <w:color w:val="475824"/>
                          <w:spacing w:val="-6"/>
                          <w:sz w:val="36"/>
                        </w:rPr>
                        <w:t> </w:t>
                      </w:r>
                      <w:r>
                        <w:rPr>
                          <w:rFonts w:ascii="Arial" w:hAnsi="Arial"/>
                          <w:b/>
                          <w:color w:val="475824"/>
                          <w:sz w:val="36"/>
                        </w:rPr>
                        <w:t>and</w:t>
                      </w:r>
                      <w:r>
                        <w:rPr>
                          <w:rFonts w:ascii="Arial" w:hAnsi="Arial"/>
                          <w:b/>
                          <w:color w:val="475824"/>
                          <w:spacing w:val="-8"/>
                          <w:sz w:val="36"/>
                        </w:rPr>
                        <w:t> </w:t>
                      </w:r>
                      <w:r>
                        <w:rPr>
                          <w:rFonts w:ascii="Arial" w:hAnsi="Arial"/>
                          <w:b/>
                          <w:color w:val="475824"/>
                          <w:sz w:val="36"/>
                        </w:rPr>
                        <w:t>Possible</w:t>
                      </w:r>
                      <w:r>
                        <w:rPr>
                          <w:rFonts w:ascii="Arial" w:hAnsi="Arial"/>
                          <w:b/>
                          <w:color w:val="475824"/>
                          <w:spacing w:val="-8"/>
                          <w:sz w:val="36"/>
                        </w:rPr>
                        <w:t> </w:t>
                      </w:r>
                      <w:r>
                        <w:rPr>
                          <w:rFonts w:ascii="Arial" w:hAnsi="Arial"/>
                          <w:b/>
                          <w:color w:val="475824"/>
                          <w:sz w:val="36"/>
                        </w:rPr>
                        <w:t>Management </w:t>
                      </w:r>
                      <w:r>
                        <w:rPr>
                          <w:rFonts w:ascii="Arial" w:hAnsi="Arial"/>
                          <w:b/>
                          <w:color w:val="475824"/>
                          <w:spacing w:val="-2"/>
                          <w:sz w:val="36"/>
                        </w:rPr>
                        <w:t>Actions</w:t>
                      </w:r>
                    </w:p>
                  </w:txbxContent>
                </v:textbox>
                <v:fill type="solid"/>
              </v:shape>
            </w:pict>
          </mc:Fallback>
        </mc:AlternateContent>
      </w:r>
      <w:r>
        <w:rPr>
          <w:sz w:val="20"/>
        </w:rPr>
      </w:r>
    </w:p>
    <w:p>
      <w:pPr>
        <w:pStyle w:val="Heading2"/>
        <w:spacing w:before="215"/>
      </w:pPr>
      <w:bookmarkStart w:name="Introduction" w:id="931"/>
      <w:bookmarkEnd w:id="931"/>
      <w:r>
        <w:rPr/>
      </w:r>
      <w:bookmarkStart w:name="_bookmark281" w:id="932"/>
      <w:bookmarkEnd w:id="932"/>
      <w:r>
        <w:rPr/>
      </w:r>
      <w:r>
        <w:rPr>
          <w:smallCaps/>
          <w:color w:val="475824"/>
          <w:spacing w:val="-2"/>
        </w:rPr>
        <w:t>Introduction</w:t>
      </w:r>
    </w:p>
    <w:p>
      <w:pPr>
        <w:pStyle w:val="BodyText"/>
        <w:spacing w:line="232" w:lineRule="auto" w:before="65"/>
        <w:ind w:left="360" w:right="804"/>
      </w:pPr>
      <w:r>
        <w:rPr/>
        <w:t>This appendix describes possible actions that may take place on the Colville National Forest at the project</w:t>
      </w:r>
      <w:r>
        <w:rPr>
          <w:spacing w:val="-8"/>
        </w:rPr>
        <w:t> </w:t>
      </w:r>
      <w:r>
        <w:rPr/>
        <w:t>or</w:t>
      </w:r>
      <w:r>
        <w:rPr>
          <w:spacing w:val="-6"/>
        </w:rPr>
        <w:t> </w:t>
      </w:r>
      <w:r>
        <w:rPr/>
        <w:t>activity-level</w:t>
      </w:r>
      <w:r>
        <w:rPr>
          <w:spacing w:val="-6"/>
        </w:rPr>
        <w:t> </w:t>
      </w:r>
      <w:r>
        <w:rPr/>
        <w:t>to</w:t>
      </w:r>
      <w:r>
        <w:rPr>
          <w:spacing w:val="-5"/>
        </w:rPr>
        <w:t> </w:t>
      </w:r>
      <w:r>
        <w:rPr/>
        <w:t>help</w:t>
      </w:r>
      <w:r>
        <w:rPr>
          <w:spacing w:val="-7"/>
        </w:rPr>
        <w:t> </w:t>
      </w:r>
      <w:r>
        <w:rPr/>
        <w:t>maintain</w:t>
      </w:r>
      <w:r>
        <w:rPr>
          <w:spacing w:val="-9"/>
        </w:rPr>
        <w:t> </w:t>
      </w:r>
      <w:r>
        <w:rPr/>
        <w:t>existing</w:t>
      </w:r>
      <w:r>
        <w:rPr>
          <w:spacing w:val="-7"/>
        </w:rPr>
        <w:t> </w:t>
      </w:r>
      <w:r>
        <w:rPr/>
        <w:t>conditions</w:t>
      </w:r>
      <w:r>
        <w:rPr>
          <w:spacing w:val="-8"/>
        </w:rPr>
        <w:t> </w:t>
      </w:r>
      <w:r>
        <w:rPr/>
        <w:t>or</w:t>
      </w:r>
      <w:r>
        <w:rPr>
          <w:spacing w:val="-8"/>
        </w:rPr>
        <w:t> </w:t>
      </w:r>
      <w:r>
        <w:rPr/>
        <w:t>move</w:t>
      </w:r>
      <w:r>
        <w:rPr>
          <w:spacing w:val="-5"/>
        </w:rPr>
        <w:t> </w:t>
      </w:r>
      <w:r>
        <w:rPr/>
        <w:t>toward</w:t>
      </w:r>
      <w:r>
        <w:rPr>
          <w:spacing w:val="-7"/>
        </w:rPr>
        <w:t> </w:t>
      </w:r>
      <w:r>
        <w:rPr/>
        <w:t>the</w:t>
      </w:r>
      <w:r>
        <w:rPr>
          <w:spacing w:val="-5"/>
        </w:rPr>
        <w:t> </w:t>
      </w:r>
      <w:r>
        <w:rPr/>
        <w:t>desired</w:t>
      </w:r>
      <w:r>
        <w:rPr>
          <w:spacing w:val="-7"/>
        </w:rPr>
        <w:t> </w:t>
      </w:r>
      <w:r>
        <w:rPr/>
        <w:t>conditions. Because the Plan is a strategic document that provides general management guidance, the following</w:t>
      </w:r>
      <w:r>
        <w:rPr>
          <w:spacing w:val="-4"/>
        </w:rPr>
        <w:t> </w:t>
      </w:r>
      <w:r>
        <w:rPr/>
        <w:t>items</w:t>
      </w:r>
      <w:r>
        <w:rPr>
          <w:spacing w:val="-5"/>
        </w:rPr>
        <w:t> </w:t>
      </w:r>
      <w:r>
        <w:rPr/>
        <w:t>include</w:t>
      </w:r>
      <w:r>
        <w:rPr>
          <w:spacing w:val="-2"/>
        </w:rPr>
        <w:t> </w:t>
      </w:r>
      <w:r>
        <w:rPr/>
        <w:t>program</w:t>
      </w:r>
      <w:r>
        <w:rPr>
          <w:spacing w:val="-2"/>
        </w:rPr>
        <w:t> </w:t>
      </w:r>
      <w:r>
        <w:rPr/>
        <w:t>strategies</w:t>
      </w:r>
      <w:r>
        <w:rPr>
          <w:spacing w:val="-5"/>
        </w:rPr>
        <w:t> </w:t>
      </w:r>
      <w:r>
        <w:rPr/>
        <w:t>anticipated</w:t>
      </w:r>
      <w:r>
        <w:rPr>
          <w:spacing w:val="-6"/>
        </w:rPr>
        <w:t> </w:t>
      </w:r>
      <w:r>
        <w:rPr/>
        <w:t>during</w:t>
      </w:r>
      <w:r>
        <w:rPr>
          <w:spacing w:val="-4"/>
        </w:rPr>
        <w:t> </w:t>
      </w:r>
      <w:r>
        <w:rPr/>
        <w:t>the</w:t>
      </w:r>
      <w:r>
        <w:rPr>
          <w:spacing w:val="-2"/>
        </w:rPr>
        <w:t> </w:t>
      </w:r>
      <w:r>
        <w:rPr/>
        <w:t>next</w:t>
      </w:r>
      <w:r>
        <w:rPr>
          <w:spacing w:val="-2"/>
        </w:rPr>
        <w:t> </w:t>
      </w:r>
      <w:r>
        <w:rPr/>
        <w:t>15</w:t>
      </w:r>
      <w:r>
        <w:rPr>
          <w:spacing w:val="-4"/>
        </w:rPr>
        <w:t> </w:t>
      </w:r>
      <w:r>
        <w:rPr/>
        <w:t>years.</w:t>
      </w:r>
      <w:r>
        <w:rPr>
          <w:spacing w:val="-6"/>
        </w:rPr>
        <w:t> </w:t>
      </w:r>
      <w:r>
        <w:rPr/>
        <w:t>The</w:t>
      </w:r>
      <w:r>
        <w:rPr>
          <w:spacing w:val="-2"/>
        </w:rPr>
        <w:t> </w:t>
      </w:r>
      <w:r>
        <w:rPr/>
        <w:t>list</w:t>
      </w:r>
      <w:r>
        <w:rPr>
          <w:spacing w:val="-5"/>
        </w:rPr>
        <w:t> </w:t>
      </w:r>
      <w:r>
        <w:rPr/>
        <w:t>of</w:t>
      </w:r>
      <w:r>
        <w:rPr>
          <w:spacing w:val="-3"/>
        </w:rPr>
        <w:t> </w:t>
      </w:r>
      <w:r>
        <w:rPr/>
        <w:t>possible actions is not intended to be all-inclusive, nor are they intended to be decisions. They are simply projections of what actions may take place in the future.</w:t>
      </w:r>
    </w:p>
    <w:p>
      <w:pPr>
        <w:pStyle w:val="BodyText"/>
        <w:spacing w:line="232" w:lineRule="auto" w:before="196"/>
        <w:ind w:left="359" w:right="804"/>
      </w:pPr>
      <w:r>
        <w:rPr/>
        <w:t>This</w:t>
      </w:r>
      <w:r>
        <w:rPr>
          <w:spacing w:val="-4"/>
        </w:rPr>
        <w:t> </w:t>
      </w:r>
      <w:r>
        <w:rPr/>
        <w:t>information</w:t>
      </w:r>
      <w:r>
        <w:rPr>
          <w:spacing w:val="-5"/>
        </w:rPr>
        <w:t> </w:t>
      </w:r>
      <w:r>
        <w:rPr/>
        <w:t>is</w:t>
      </w:r>
      <w:r>
        <w:rPr>
          <w:spacing w:val="-6"/>
        </w:rPr>
        <w:t> </w:t>
      </w:r>
      <w:r>
        <w:rPr/>
        <w:t>not</w:t>
      </w:r>
      <w:r>
        <w:rPr>
          <w:spacing w:val="-6"/>
        </w:rPr>
        <w:t> </w:t>
      </w:r>
      <w:r>
        <w:rPr/>
        <w:t>a</w:t>
      </w:r>
      <w:r>
        <w:rPr>
          <w:spacing w:val="-4"/>
        </w:rPr>
        <w:t> </w:t>
      </w:r>
      <w:r>
        <w:rPr/>
        <w:t>commitment</w:t>
      </w:r>
      <w:r>
        <w:rPr>
          <w:spacing w:val="-3"/>
        </w:rPr>
        <w:t> </w:t>
      </w:r>
      <w:r>
        <w:rPr/>
        <w:t>to</w:t>
      </w:r>
      <w:r>
        <w:rPr>
          <w:spacing w:val="-5"/>
        </w:rPr>
        <w:t> </w:t>
      </w:r>
      <w:r>
        <w:rPr/>
        <w:t>take</w:t>
      </w:r>
      <w:r>
        <w:rPr>
          <w:spacing w:val="-6"/>
        </w:rPr>
        <w:t> </w:t>
      </w:r>
      <w:r>
        <w:rPr/>
        <w:t>any</w:t>
      </w:r>
      <w:r>
        <w:rPr>
          <w:spacing w:val="-3"/>
        </w:rPr>
        <w:t> </w:t>
      </w:r>
      <w:r>
        <w:rPr/>
        <w:t>action</w:t>
      </w:r>
      <w:r>
        <w:rPr>
          <w:spacing w:val="-5"/>
        </w:rPr>
        <w:t> </w:t>
      </w:r>
      <w:r>
        <w:rPr/>
        <w:t>and</w:t>
      </w:r>
      <w:r>
        <w:rPr>
          <w:spacing w:val="-5"/>
        </w:rPr>
        <w:t> </w:t>
      </w:r>
      <w:r>
        <w:rPr/>
        <w:t>is</w:t>
      </w:r>
      <w:r>
        <w:rPr>
          <w:spacing w:val="-4"/>
        </w:rPr>
        <w:t> </w:t>
      </w:r>
      <w:r>
        <w:rPr/>
        <w:t>not</w:t>
      </w:r>
      <w:r>
        <w:rPr>
          <w:spacing w:val="-3"/>
        </w:rPr>
        <w:t> </w:t>
      </w:r>
      <w:r>
        <w:rPr/>
        <w:t>a</w:t>
      </w:r>
      <w:r>
        <w:rPr>
          <w:spacing w:val="-6"/>
        </w:rPr>
        <w:t> </w:t>
      </w:r>
      <w:r>
        <w:rPr/>
        <w:t>“proposal”</w:t>
      </w:r>
      <w:r>
        <w:rPr>
          <w:spacing w:val="-5"/>
        </w:rPr>
        <w:t> </w:t>
      </w:r>
      <w:r>
        <w:rPr/>
        <w:t>as</w:t>
      </w:r>
      <w:r>
        <w:rPr>
          <w:spacing w:val="-4"/>
        </w:rPr>
        <w:t> </w:t>
      </w:r>
      <w:r>
        <w:rPr/>
        <w:t>defined</w:t>
      </w:r>
      <w:r>
        <w:rPr>
          <w:spacing w:val="-5"/>
        </w:rPr>
        <w:t> </w:t>
      </w:r>
      <w:r>
        <w:rPr/>
        <w:t>by</w:t>
      </w:r>
      <w:r>
        <w:rPr>
          <w:spacing w:val="-3"/>
        </w:rPr>
        <w:t> </w:t>
      </w:r>
      <w:r>
        <w:rPr/>
        <w:t>the Council on Environmental Quality regulations for implementing the NEPA (40 CFR 1508.23, 42 United States Code 4322(2)C)). Including this information is done under National Forest Management Act of 1976, 16 United States Code 1604(f).</w:t>
      </w:r>
    </w:p>
    <w:p>
      <w:pPr>
        <w:pStyle w:val="BodyText"/>
        <w:spacing w:line="232" w:lineRule="auto" w:before="199"/>
        <w:ind w:left="359" w:right="1185"/>
      </w:pPr>
      <w:r>
        <w:rPr/>
        <w:t>A</w:t>
      </w:r>
      <w:r>
        <w:rPr>
          <w:spacing w:val="-4"/>
        </w:rPr>
        <w:t> </w:t>
      </w:r>
      <w:r>
        <w:rPr/>
        <w:t>Plan</w:t>
      </w:r>
      <w:r>
        <w:rPr>
          <w:spacing w:val="-5"/>
        </w:rPr>
        <w:t> </w:t>
      </w:r>
      <w:r>
        <w:rPr/>
        <w:t>amendment</w:t>
      </w:r>
      <w:r>
        <w:rPr>
          <w:spacing w:val="-3"/>
        </w:rPr>
        <w:t> </w:t>
      </w:r>
      <w:r>
        <w:rPr/>
        <w:t>is</w:t>
      </w:r>
      <w:r>
        <w:rPr>
          <w:spacing w:val="-5"/>
        </w:rPr>
        <w:t> </w:t>
      </w:r>
      <w:r>
        <w:rPr/>
        <w:t>not</w:t>
      </w:r>
      <w:r>
        <w:rPr>
          <w:spacing w:val="-3"/>
        </w:rPr>
        <w:t> </w:t>
      </w:r>
      <w:r>
        <w:rPr/>
        <w:t>required</w:t>
      </w:r>
      <w:r>
        <w:rPr>
          <w:spacing w:val="-5"/>
        </w:rPr>
        <w:t> </w:t>
      </w:r>
      <w:r>
        <w:rPr/>
        <w:t>to</w:t>
      </w:r>
      <w:r>
        <w:rPr>
          <w:spacing w:val="-3"/>
        </w:rPr>
        <w:t> </w:t>
      </w:r>
      <w:r>
        <w:rPr/>
        <w:t>change</w:t>
      </w:r>
      <w:r>
        <w:rPr>
          <w:spacing w:val="-5"/>
        </w:rPr>
        <w:t> </w:t>
      </w:r>
      <w:r>
        <w:rPr/>
        <w:t>or</w:t>
      </w:r>
      <w:r>
        <w:rPr>
          <w:spacing w:val="-5"/>
        </w:rPr>
        <w:t> </w:t>
      </w:r>
      <w:r>
        <w:rPr/>
        <w:t>modify</w:t>
      </w:r>
      <w:r>
        <w:rPr>
          <w:spacing w:val="-3"/>
        </w:rPr>
        <w:t> </w:t>
      </w:r>
      <w:r>
        <w:rPr/>
        <w:t>the</w:t>
      </w:r>
      <w:r>
        <w:rPr>
          <w:spacing w:val="-5"/>
        </w:rPr>
        <w:t> </w:t>
      </w:r>
      <w:r>
        <w:rPr/>
        <w:t>proposed</w:t>
      </w:r>
      <w:r>
        <w:rPr>
          <w:spacing w:val="-5"/>
        </w:rPr>
        <w:t> </w:t>
      </w:r>
      <w:r>
        <w:rPr/>
        <w:t>or</w:t>
      </w:r>
      <w:r>
        <w:rPr>
          <w:spacing w:val="-5"/>
        </w:rPr>
        <w:t> </w:t>
      </w:r>
      <w:r>
        <w:rPr/>
        <w:t>possible</w:t>
      </w:r>
      <w:r>
        <w:rPr>
          <w:spacing w:val="-5"/>
        </w:rPr>
        <w:t> </w:t>
      </w:r>
      <w:r>
        <w:rPr/>
        <w:t>management actions. In accord with the National Forest System Land Management Planning Rule these projections can be updated at any time through an administrative change of the Plan.</w:t>
      </w:r>
    </w:p>
    <w:p>
      <w:pPr>
        <w:pStyle w:val="Heading3"/>
        <w:spacing w:before="234"/>
        <w:ind w:left="360"/>
      </w:pPr>
      <w:bookmarkStart w:name="Proposed Management Actions" w:id="933"/>
      <w:bookmarkEnd w:id="933"/>
      <w:r>
        <w:rPr>
          <w:b w:val="0"/>
        </w:rPr>
      </w:r>
      <w:bookmarkStart w:name="_bookmark282" w:id="934"/>
      <w:bookmarkEnd w:id="934"/>
      <w:r>
        <w:rPr>
          <w:b w:val="0"/>
        </w:rPr>
      </w:r>
      <w:r>
        <w:rPr>
          <w:smallCaps/>
          <w:color w:val="475824"/>
        </w:rPr>
        <w:t>Proposed</w:t>
      </w:r>
      <w:r>
        <w:rPr>
          <w:smallCaps/>
          <w:color w:val="475824"/>
          <w:spacing w:val="-10"/>
        </w:rPr>
        <w:t> </w:t>
      </w:r>
      <w:r>
        <w:rPr>
          <w:smallCaps/>
          <w:color w:val="475824"/>
        </w:rPr>
        <w:t>Management</w:t>
      </w:r>
      <w:r>
        <w:rPr>
          <w:smallCaps/>
          <w:color w:val="475824"/>
          <w:spacing w:val="-3"/>
        </w:rPr>
        <w:t> </w:t>
      </w:r>
      <w:r>
        <w:rPr>
          <w:smallCaps/>
          <w:color w:val="475824"/>
          <w:spacing w:val="-2"/>
        </w:rPr>
        <w:t>Actions</w:t>
      </w:r>
    </w:p>
    <w:p>
      <w:pPr>
        <w:pStyle w:val="BodyText"/>
        <w:spacing w:line="232" w:lineRule="auto" w:before="64"/>
        <w:ind w:left="360" w:right="894"/>
        <w:jc w:val="both"/>
      </w:pPr>
      <w:r>
        <w:rPr/>
        <w:t>The</w:t>
      </w:r>
      <w:r>
        <w:rPr>
          <w:spacing w:val="-3"/>
        </w:rPr>
        <w:t> </w:t>
      </w:r>
      <w:r>
        <w:rPr/>
        <w:t>objectives</w:t>
      </w:r>
      <w:r>
        <w:rPr>
          <w:spacing w:val="-6"/>
        </w:rPr>
        <w:t> </w:t>
      </w:r>
      <w:r>
        <w:rPr/>
        <w:t>in</w:t>
      </w:r>
      <w:r>
        <w:rPr>
          <w:spacing w:val="-5"/>
        </w:rPr>
        <w:t> </w:t>
      </w:r>
      <w:r>
        <w:rPr/>
        <w:t>chapter</w:t>
      </w:r>
      <w:r>
        <w:rPr>
          <w:spacing w:val="-6"/>
        </w:rPr>
        <w:t> </w:t>
      </w:r>
      <w:r>
        <w:rPr/>
        <w:t>2</w:t>
      </w:r>
      <w:r>
        <w:rPr>
          <w:spacing w:val="-5"/>
        </w:rPr>
        <w:t> </w:t>
      </w:r>
      <w:r>
        <w:rPr/>
        <w:t>of</w:t>
      </w:r>
      <w:r>
        <w:rPr>
          <w:spacing w:val="-4"/>
        </w:rPr>
        <w:t> </w:t>
      </w:r>
      <w:r>
        <w:rPr/>
        <w:t>the</w:t>
      </w:r>
      <w:r>
        <w:rPr>
          <w:spacing w:val="-6"/>
        </w:rPr>
        <w:t> </w:t>
      </w:r>
      <w:r>
        <w:rPr/>
        <w:t>plan</w:t>
      </w:r>
      <w:r>
        <w:rPr>
          <w:spacing w:val="-5"/>
        </w:rPr>
        <w:t> </w:t>
      </w:r>
      <w:r>
        <w:rPr/>
        <w:t>represent</w:t>
      </w:r>
      <w:r>
        <w:rPr>
          <w:spacing w:val="-6"/>
        </w:rPr>
        <w:t> </w:t>
      </w:r>
      <w:r>
        <w:rPr/>
        <w:t>projects</w:t>
      </w:r>
      <w:r>
        <w:rPr>
          <w:spacing w:val="-6"/>
        </w:rPr>
        <w:t> </w:t>
      </w:r>
      <w:r>
        <w:rPr/>
        <w:t>or</w:t>
      </w:r>
      <w:r>
        <w:rPr>
          <w:spacing w:val="-4"/>
        </w:rPr>
        <w:t> </w:t>
      </w:r>
      <w:r>
        <w:rPr/>
        <w:t>activities</w:t>
      </w:r>
      <w:r>
        <w:rPr>
          <w:spacing w:val="-4"/>
        </w:rPr>
        <w:t> </w:t>
      </w:r>
      <w:r>
        <w:rPr/>
        <w:t>intended</w:t>
      </w:r>
      <w:r>
        <w:rPr>
          <w:spacing w:val="-6"/>
        </w:rPr>
        <w:t> </w:t>
      </w:r>
      <w:r>
        <w:rPr/>
        <w:t>to</w:t>
      </w:r>
      <w:r>
        <w:rPr>
          <w:spacing w:val="-5"/>
        </w:rPr>
        <w:t> </w:t>
      </w:r>
      <w:r>
        <w:rPr/>
        <w:t>be</w:t>
      </w:r>
      <w:r>
        <w:rPr>
          <w:spacing w:val="-3"/>
        </w:rPr>
        <w:t> </w:t>
      </w:r>
      <w:r>
        <w:rPr/>
        <w:t>accomplished during</w:t>
      </w:r>
      <w:r>
        <w:rPr>
          <w:spacing w:val="-4"/>
        </w:rPr>
        <w:t> </w:t>
      </w:r>
      <w:r>
        <w:rPr/>
        <w:t>the</w:t>
      </w:r>
      <w:r>
        <w:rPr>
          <w:spacing w:val="-2"/>
        </w:rPr>
        <w:t> </w:t>
      </w:r>
      <w:r>
        <w:rPr/>
        <w:t>planning</w:t>
      </w:r>
      <w:r>
        <w:rPr>
          <w:spacing w:val="-4"/>
        </w:rPr>
        <w:t> </w:t>
      </w:r>
      <w:r>
        <w:rPr/>
        <w:t>period.</w:t>
      </w:r>
      <w:r>
        <w:rPr>
          <w:spacing w:val="-3"/>
        </w:rPr>
        <w:t> </w:t>
      </w:r>
      <w:r>
        <w:rPr/>
        <w:t>The</w:t>
      </w:r>
      <w:r>
        <w:rPr>
          <w:spacing w:val="-2"/>
        </w:rPr>
        <w:t> </w:t>
      </w:r>
      <w:r>
        <w:rPr/>
        <w:t>timeframe</w:t>
      </w:r>
      <w:r>
        <w:rPr>
          <w:spacing w:val="-2"/>
        </w:rPr>
        <w:t> </w:t>
      </w:r>
      <w:r>
        <w:rPr/>
        <w:t>for</w:t>
      </w:r>
      <w:r>
        <w:rPr>
          <w:spacing w:val="-5"/>
        </w:rPr>
        <w:t> </w:t>
      </w:r>
      <w:r>
        <w:rPr/>
        <w:t>completing</w:t>
      </w:r>
      <w:r>
        <w:rPr>
          <w:spacing w:val="-4"/>
        </w:rPr>
        <w:t> </w:t>
      </w:r>
      <w:r>
        <w:rPr/>
        <w:t>the</w:t>
      </w:r>
      <w:r>
        <w:rPr>
          <w:spacing w:val="-2"/>
        </w:rPr>
        <w:t> </w:t>
      </w:r>
      <w:r>
        <w:rPr/>
        <w:t>objectives</w:t>
      </w:r>
      <w:r>
        <w:rPr>
          <w:spacing w:val="-5"/>
        </w:rPr>
        <w:t> </w:t>
      </w:r>
      <w:r>
        <w:rPr/>
        <w:t>varies</w:t>
      </w:r>
      <w:r>
        <w:rPr>
          <w:spacing w:val="-5"/>
        </w:rPr>
        <w:t> </w:t>
      </w:r>
      <w:r>
        <w:rPr/>
        <w:t>by</w:t>
      </w:r>
      <w:r>
        <w:rPr>
          <w:spacing w:val="-4"/>
        </w:rPr>
        <w:t> </w:t>
      </w:r>
      <w:r>
        <w:rPr/>
        <w:t>objective.</w:t>
      </w:r>
      <w:r>
        <w:rPr>
          <w:spacing w:val="-3"/>
        </w:rPr>
        <w:t> </w:t>
      </w:r>
      <w:r>
        <w:rPr/>
        <w:t>These are listed in the table below.</w:t>
      </w:r>
    </w:p>
    <w:p>
      <w:pPr>
        <w:pStyle w:val="BodyText"/>
        <w:spacing w:before="85"/>
      </w:pPr>
    </w:p>
    <w:p>
      <w:pPr>
        <w:spacing w:before="0" w:after="39"/>
        <w:ind w:left="360" w:right="0" w:firstLine="0"/>
        <w:jc w:val="both"/>
        <w:rPr>
          <w:rFonts w:ascii="Arial"/>
          <w:b/>
          <w:sz w:val="18"/>
        </w:rPr>
      </w:pPr>
      <w:bookmarkStart w:name="_bookmark283" w:id="935"/>
      <w:bookmarkEnd w:id="935"/>
      <w:r>
        <w:rPr/>
      </w:r>
      <w:r>
        <w:rPr>
          <w:rFonts w:ascii="Arial"/>
          <w:b/>
          <w:sz w:val="18"/>
        </w:rPr>
        <w:t>Table</w:t>
      </w:r>
      <w:r>
        <w:rPr>
          <w:rFonts w:ascii="Arial"/>
          <w:b/>
          <w:spacing w:val="-1"/>
          <w:sz w:val="18"/>
        </w:rPr>
        <w:t> </w:t>
      </w:r>
      <w:r>
        <w:rPr>
          <w:rFonts w:ascii="Arial"/>
          <w:b/>
          <w:sz w:val="18"/>
        </w:rPr>
        <w:t>B-1.</w:t>
      </w:r>
      <w:r>
        <w:rPr>
          <w:rFonts w:ascii="Arial"/>
          <w:b/>
          <w:spacing w:val="-2"/>
          <w:sz w:val="18"/>
        </w:rPr>
        <w:t> </w:t>
      </w:r>
      <w:r>
        <w:rPr>
          <w:rFonts w:ascii="Arial"/>
          <w:b/>
          <w:sz w:val="18"/>
        </w:rPr>
        <w:t>List</w:t>
      </w:r>
      <w:r>
        <w:rPr>
          <w:rFonts w:ascii="Arial"/>
          <w:b/>
          <w:spacing w:val="-4"/>
          <w:sz w:val="18"/>
        </w:rPr>
        <w:t> </w:t>
      </w:r>
      <w:r>
        <w:rPr>
          <w:rFonts w:ascii="Arial"/>
          <w:b/>
          <w:sz w:val="18"/>
        </w:rPr>
        <w:t>of</w:t>
      </w:r>
      <w:r>
        <w:rPr>
          <w:rFonts w:ascii="Arial"/>
          <w:b/>
          <w:spacing w:val="-2"/>
          <w:sz w:val="18"/>
        </w:rPr>
        <w:t> </w:t>
      </w:r>
      <w:r>
        <w:rPr>
          <w:rFonts w:ascii="Arial"/>
          <w:b/>
          <w:sz w:val="18"/>
        </w:rPr>
        <w:t>proposed</w:t>
      </w:r>
      <w:r>
        <w:rPr>
          <w:rFonts w:ascii="Arial"/>
          <w:b/>
          <w:spacing w:val="-4"/>
          <w:sz w:val="18"/>
        </w:rPr>
        <w:t> </w:t>
      </w:r>
      <w:r>
        <w:rPr>
          <w:rFonts w:ascii="Arial"/>
          <w:b/>
          <w:sz w:val="18"/>
        </w:rPr>
        <w:t>management</w:t>
      </w:r>
      <w:r>
        <w:rPr>
          <w:rFonts w:ascii="Arial"/>
          <w:b/>
          <w:spacing w:val="-4"/>
          <w:sz w:val="18"/>
        </w:rPr>
        <w:t> </w:t>
      </w:r>
      <w:r>
        <w:rPr>
          <w:rFonts w:ascii="Arial"/>
          <w:b/>
          <w:sz w:val="18"/>
        </w:rPr>
        <w:t>actions</w:t>
      </w:r>
      <w:r>
        <w:rPr>
          <w:rFonts w:ascii="Arial"/>
          <w:b/>
          <w:spacing w:val="-1"/>
          <w:sz w:val="18"/>
        </w:rPr>
        <w:t> </w:t>
      </w:r>
      <w:r>
        <w:rPr>
          <w:rFonts w:ascii="Arial"/>
          <w:b/>
          <w:sz w:val="18"/>
        </w:rPr>
        <w:t>(plan</w:t>
      </w:r>
      <w:r>
        <w:rPr>
          <w:rFonts w:ascii="Arial"/>
          <w:b/>
          <w:spacing w:val="-1"/>
          <w:sz w:val="18"/>
        </w:rPr>
        <w:t> </w:t>
      </w:r>
      <w:r>
        <w:rPr>
          <w:rFonts w:ascii="Arial"/>
          <w:b/>
          <w:spacing w:val="-2"/>
          <w:sz w:val="18"/>
        </w:rPr>
        <w:t>objectives)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5067"/>
        <w:gridCol w:w="2377"/>
      </w:tblGrid>
      <w:tr>
        <w:trPr>
          <w:trHeight w:val="294" w:hRule="atLeast"/>
        </w:trPr>
        <w:tc>
          <w:tcPr>
            <w:tcW w:w="1702" w:type="dxa"/>
            <w:shd w:val="clear" w:color="auto" w:fill="D5E2BB"/>
          </w:tcPr>
          <w:p>
            <w:pPr>
              <w:pStyle w:val="TableParagraph"/>
              <w:spacing w:before="42"/>
              <w:ind w:left="458"/>
              <w:rPr>
                <w:b/>
                <w:sz w:val="18"/>
              </w:rPr>
            </w:pPr>
            <w:r>
              <w:rPr>
                <w:b/>
                <w:spacing w:val="-2"/>
                <w:sz w:val="18"/>
              </w:rPr>
              <w:t>Category</w:t>
            </w:r>
          </w:p>
        </w:tc>
        <w:tc>
          <w:tcPr>
            <w:tcW w:w="5067" w:type="dxa"/>
            <w:shd w:val="clear" w:color="auto" w:fill="D5E2BB"/>
          </w:tcPr>
          <w:p>
            <w:pPr>
              <w:pStyle w:val="TableParagraph"/>
              <w:spacing w:before="42"/>
              <w:ind w:left="24" w:right="5"/>
              <w:jc w:val="center"/>
              <w:rPr>
                <w:b/>
                <w:sz w:val="18"/>
              </w:rPr>
            </w:pPr>
            <w:r>
              <w:rPr>
                <w:b/>
                <w:spacing w:val="-2"/>
                <w:sz w:val="18"/>
              </w:rPr>
              <w:t>Project/Activity</w:t>
            </w:r>
          </w:p>
        </w:tc>
        <w:tc>
          <w:tcPr>
            <w:tcW w:w="2377" w:type="dxa"/>
            <w:shd w:val="clear" w:color="auto" w:fill="D5E2BB"/>
          </w:tcPr>
          <w:p>
            <w:pPr>
              <w:pStyle w:val="TableParagraph"/>
              <w:spacing w:before="42"/>
              <w:ind w:left="200"/>
              <w:rPr>
                <w:b/>
                <w:sz w:val="18"/>
              </w:rPr>
            </w:pPr>
            <w:r>
              <w:rPr>
                <w:b/>
                <w:sz w:val="18"/>
              </w:rPr>
              <w:t>Timeframe</w:t>
            </w:r>
            <w:r>
              <w:rPr>
                <w:b/>
                <w:spacing w:val="-3"/>
                <w:sz w:val="18"/>
              </w:rPr>
              <w:t> </w:t>
            </w:r>
            <w:r>
              <w:rPr>
                <w:b/>
                <w:sz w:val="18"/>
              </w:rPr>
              <w:t>to</w:t>
            </w:r>
            <w:r>
              <w:rPr>
                <w:b/>
                <w:spacing w:val="-1"/>
                <w:sz w:val="18"/>
              </w:rPr>
              <w:t> </w:t>
            </w:r>
            <w:r>
              <w:rPr>
                <w:b/>
                <w:spacing w:val="-2"/>
                <w:sz w:val="18"/>
              </w:rPr>
              <w:t>complete</w:t>
            </w:r>
          </w:p>
        </w:tc>
      </w:tr>
      <w:tr>
        <w:trPr>
          <w:trHeight w:val="496" w:hRule="atLeast"/>
        </w:trPr>
        <w:tc>
          <w:tcPr>
            <w:tcW w:w="1702" w:type="dxa"/>
          </w:tcPr>
          <w:p>
            <w:pPr>
              <w:pStyle w:val="TableParagraph"/>
              <w:spacing w:before="42"/>
              <w:ind w:left="107"/>
              <w:rPr>
                <w:b/>
                <w:sz w:val="18"/>
              </w:rPr>
            </w:pPr>
            <w:r>
              <w:rPr>
                <w:b/>
                <w:spacing w:val="-4"/>
                <w:sz w:val="18"/>
              </w:rPr>
              <w:t>Soil</w:t>
            </w:r>
          </w:p>
        </w:tc>
        <w:tc>
          <w:tcPr>
            <w:tcW w:w="5067" w:type="dxa"/>
          </w:tcPr>
          <w:p>
            <w:pPr>
              <w:pStyle w:val="TableParagraph"/>
              <w:spacing w:before="42"/>
              <w:ind w:left="104" w:right="167"/>
              <w:rPr>
                <w:sz w:val="18"/>
              </w:rPr>
            </w:pPr>
            <w:r>
              <w:rPr>
                <w:sz w:val="18"/>
              </w:rPr>
              <w:t>Annually stabilize, rehabilitate,</w:t>
            </w:r>
            <w:r>
              <w:rPr>
                <w:spacing w:val="-1"/>
                <w:sz w:val="18"/>
              </w:rPr>
              <w:t> </w:t>
            </w:r>
            <w:r>
              <w:rPr>
                <w:sz w:val="18"/>
              </w:rPr>
              <w:t>or restore</w:t>
            </w:r>
            <w:r>
              <w:rPr>
                <w:spacing w:val="-1"/>
                <w:sz w:val="18"/>
              </w:rPr>
              <w:t> </w:t>
            </w:r>
            <w:r>
              <w:rPr>
                <w:sz w:val="18"/>
              </w:rPr>
              <w:t>natural processes that</w:t>
            </w:r>
            <w:r>
              <w:rPr>
                <w:spacing w:val="-5"/>
                <w:sz w:val="18"/>
              </w:rPr>
              <w:t> </w:t>
            </w:r>
            <w:r>
              <w:rPr>
                <w:sz w:val="18"/>
              </w:rPr>
              <w:t>support</w:t>
            </w:r>
            <w:r>
              <w:rPr>
                <w:spacing w:val="-5"/>
                <w:sz w:val="18"/>
              </w:rPr>
              <w:t> </w:t>
            </w:r>
            <w:r>
              <w:rPr>
                <w:sz w:val="18"/>
              </w:rPr>
              <w:t>soil</w:t>
            </w:r>
            <w:r>
              <w:rPr>
                <w:spacing w:val="-5"/>
                <w:sz w:val="18"/>
              </w:rPr>
              <w:t> </w:t>
            </w:r>
            <w:r>
              <w:rPr>
                <w:sz w:val="18"/>
              </w:rPr>
              <w:t>productivity</w:t>
            </w:r>
            <w:r>
              <w:rPr>
                <w:spacing w:val="-4"/>
                <w:sz w:val="18"/>
              </w:rPr>
              <w:t> </w:t>
            </w:r>
            <w:r>
              <w:rPr>
                <w:sz w:val="18"/>
              </w:rPr>
              <w:t>and</w:t>
            </w:r>
            <w:r>
              <w:rPr>
                <w:spacing w:val="-3"/>
                <w:sz w:val="18"/>
              </w:rPr>
              <w:t> </w:t>
            </w:r>
            <w:r>
              <w:rPr>
                <w:sz w:val="18"/>
              </w:rPr>
              <w:t>function</w:t>
            </w:r>
            <w:r>
              <w:rPr>
                <w:spacing w:val="-3"/>
                <w:sz w:val="18"/>
              </w:rPr>
              <w:t> </w:t>
            </w:r>
            <w:r>
              <w:rPr>
                <w:sz w:val="18"/>
              </w:rPr>
              <w:t>on</w:t>
            </w:r>
            <w:r>
              <w:rPr>
                <w:spacing w:val="-3"/>
                <w:sz w:val="18"/>
              </w:rPr>
              <w:t> </w:t>
            </w:r>
            <w:r>
              <w:rPr>
                <w:sz w:val="18"/>
              </w:rPr>
              <w:t>20</w:t>
            </w:r>
            <w:r>
              <w:rPr>
                <w:spacing w:val="-5"/>
                <w:sz w:val="18"/>
              </w:rPr>
              <w:t> </w:t>
            </w:r>
            <w:r>
              <w:rPr>
                <w:sz w:val="18"/>
              </w:rPr>
              <w:t>to</w:t>
            </w:r>
            <w:r>
              <w:rPr>
                <w:spacing w:val="-5"/>
                <w:sz w:val="18"/>
              </w:rPr>
              <w:t> </w:t>
            </w:r>
            <w:r>
              <w:rPr>
                <w:sz w:val="18"/>
              </w:rPr>
              <w:t>30</w:t>
            </w:r>
            <w:r>
              <w:rPr>
                <w:spacing w:val="-3"/>
                <w:sz w:val="18"/>
              </w:rPr>
              <w:t> </w:t>
            </w:r>
            <w:r>
              <w:rPr>
                <w:sz w:val="18"/>
              </w:rPr>
              <w:t>acres.</w:t>
            </w:r>
          </w:p>
        </w:tc>
        <w:tc>
          <w:tcPr>
            <w:tcW w:w="2377" w:type="dxa"/>
          </w:tcPr>
          <w:p>
            <w:pPr>
              <w:pStyle w:val="TableParagraph"/>
              <w:spacing w:before="42"/>
              <w:ind w:left="106"/>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w:t>
            </w:r>
            <w:r>
              <w:rPr>
                <w:spacing w:val="-2"/>
                <w:sz w:val="18"/>
              </w:rPr>
              <w:t>implementation</w:t>
            </w:r>
          </w:p>
        </w:tc>
      </w:tr>
      <w:tr>
        <w:trPr>
          <w:trHeight w:val="1528" w:hRule="atLeast"/>
        </w:trPr>
        <w:tc>
          <w:tcPr>
            <w:tcW w:w="1702" w:type="dxa"/>
          </w:tcPr>
          <w:p>
            <w:pPr>
              <w:pStyle w:val="TableParagraph"/>
              <w:ind w:left="107"/>
              <w:rPr>
                <w:b/>
                <w:sz w:val="18"/>
              </w:rPr>
            </w:pPr>
            <w:r>
              <w:rPr>
                <w:b/>
                <w:spacing w:val="-2"/>
                <w:sz w:val="18"/>
              </w:rPr>
              <w:t>Vegetation</w:t>
            </w:r>
          </w:p>
        </w:tc>
        <w:tc>
          <w:tcPr>
            <w:tcW w:w="5067" w:type="dxa"/>
          </w:tcPr>
          <w:p>
            <w:pPr>
              <w:pStyle w:val="TableParagraph"/>
              <w:ind w:left="104" w:right="167"/>
              <w:rPr>
                <w:sz w:val="18"/>
              </w:rPr>
            </w:pPr>
            <w:r>
              <w:rPr>
                <w:sz w:val="18"/>
              </w:rPr>
              <w:t>Initiate active management activities on 18 to 25 thousand acres</w:t>
            </w:r>
            <w:r>
              <w:rPr>
                <w:spacing w:val="-3"/>
                <w:sz w:val="18"/>
              </w:rPr>
              <w:t> </w:t>
            </w:r>
            <w:r>
              <w:rPr>
                <w:sz w:val="18"/>
              </w:rPr>
              <w:t>per</w:t>
            </w:r>
            <w:r>
              <w:rPr>
                <w:spacing w:val="-6"/>
                <w:sz w:val="18"/>
              </w:rPr>
              <w:t> </w:t>
            </w:r>
            <w:r>
              <w:rPr>
                <w:sz w:val="18"/>
              </w:rPr>
              <w:t>year</w:t>
            </w:r>
            <w:r>
              <w:rPr>
                <w:spacing w:val="-4"/>
                <w:sz w:val="18"/>
              </w:rPr>
              <w:t> </w:t>
            </w:r>
            <w:r>
              <w:rPr>
                <w:sz w:val="18"/>
              </w:rPr>
              <w:t>to</w:t>
            </w:r>
            <w:r>
              <w:rPr>
                <w:spacing w:val="-6"/>
                <w:sz w:val="18"/>
              </w:rPr>
              <w:t> </w:t>
            </w:r>
            <w:r>
              <w:rPr>
                <w:sz w:val="18"/>
              </w:rPr>
              <w:t>move</w:t>
            </w:r>
            <w:r>
              <w:rPr>
                <w:spacing w:val="-6"/>
                <w:sz w:val="18"/>
              </w:rPr>
              <w:t> </w:t>
            </w:r>
            <w:r>
              <w:rPr>
                <w:sz w:val="18"/>
              </w:rPr>
              <w:t>structure</w:t>
            </w:r>
            <w:r>
              <w:rPr>
                <w:spacing w:val="-3"/>
                <w:sz w:val="18"/>
              </w:rPr>
              <w:t> </w:t>
            </w:r>
            <w:r>
              <w:rPr>
                <w:sz w:val="18"/>
              </w:rPr>
              <w:t>toward</w:t>
            </w:r>
            <w:r>
              <w:rPr>
                <w:spacing w:val="-3"/>
                <w:sz w:val="18"/>
              </w:rPr>
              <w:t> </w:t>
            </w:r>
            <w:r>
              <w:rPr>
                <w:sz w:val="18"/>
              </w:rPr>
              <w:t>desired</w:t>
            </w:r>
            <w:r>
              <w:rPr>
                <w:spacing w:val="-6"/>
                <w:sz w:val="18"/>
              </w:rPr>
              <w:t> </w:t>
            </w:r>
            <w:r>
              <w:rPr>
                <w:sz w:val="18"/>
              </w:rPr>
              <w:t>conditions at landscape scales to move the forest toward desired vegetative conditions and have landscapes dominated by Fire Regime Condition Class I, with the remainder in Fire Regime Condition Class II trending toward Fire Regime Condition Class I.</w:t>
            </w:r>
          </w:p>
        </w:tc>
        <w:tc>
          <w:tcPr>
            <w:tcW w:w="2377" w:type="dxa"/>
          </w:tcPr>
          <w:p>
            <w:pPr>
              <w:pStyle w:val="TableParagraph"/>
              <w:spacing w:before="40"/>
              <w:ind w:left="106"/>
              <w:rPr>
                <w:sz w:val="18"/>
              </w:rPr>
            </w:pPr>
            <w:r>
              <w:rPr>
                <w:sz w:val="18"/>
              </w:rPr>
              <w:t>Over</w:t>
            </w:r>
            <w:r>
              <w:rPr>
                <w:spacing w:val="-5"/>
                <w:sz w:val="18"/>
              </w:rPr>
              <w:t> </w:t>
            </w:r>
            <w:r>
              <w:rPr>
                <w:sz w:val="18"/>
              </w:rPr>
              <w:t>the</w:t>
            </w:r>
            <w:r>
              <w:rPr>
                <w:spacing w:val="-1"/>
                <w:sz w:val="18"/>
              </w:rPr>
              <w:t> </w:t>
            </w:r>
            <w:r>
              <w:rPr>
                <w:sz w:val="18"/>
              </w:rPr>
              <w:t>next</w:t>
            </w:r>
            <w:r>
              <w:rPr>
                <w:spacing w:val="-2"/>
                <w:sz w:val="18"/>
              </w:rPr>
              <w:t> </w:t>
            </w:r>
            <w:r>
              <w:rPr>
                <w:sz w:val="18"/>
              </w:rPr>
              <w:t>15</w:t>
            </w:r>
            <w:r>
              <w:rPr>
                <w:spacing w:val="-1"/>
                <w:sz w:val="18"/>
              </w:rPr>
              <w:t> </w:t>
            </w:r>
            <w:r>
              <w:rPr>
                <w:spacing w:val="-2"/>
                <w:sz w:val="18"/>
              </w:rPr>
              <w:t>years</w:t>
            </w:r>
          </w:p>
        </w:tc>
      </w:tr>
      <w:tr>
        <w:trPr>
          <w:trHeight w:val="1115" w:hRule="atLeast"/>
        </w:trPr>
        <w:tc>
          <w:tcPr>
            <w:tcW w:w="1702" w:type="dxa"/>
          </w:tcPr>
          <w:p>
            <w:pPr>
              <w:pStyle w:val="TableParagraph"/>
              <w:ind w:left="107"/>
              <w:rPr>
                <w:b/>
                <w:sz w:val="18"/>
              </w:rPr>
            </w:pPr>
            <w:r>
              <w:rPr>
                <w:b/>
                <w:spacing w:val="-2"/>
                <w:sz w:val="18"/>
              </w:rPr>
              <w:t>Vegetation</w:t>
            </w:r>
          </w:p>
        </w:tc>
        <w:tc>
          <w:tcPr>
            <w:tcW w:w="5067" w:type="dxa"/>
          </w:tcPr>
          <w:p>
            <w:pPr>
              <w:pStyle w:val="TableParagraph"/>
              <w:ind w:left="104" w:right="167"/>
              <w:rPr>
                <w:sz w:val="18"/>
              </w:rPr>
            </w:pPr>
            <w:r>
              <w:rPr>
                <w:sz w:val="18"/>
              </w:rPr>
              <w:t>Initiate fuel reduction activities on 5,000 acres per year to reduce hazardous fuel accumulations in both activity and natural fuels to</w:t>
            </w:r>
            <w:r>
              <w:rPr>
                <w:spacing w:val="-1"/>
                <w:sz w:val="18"/>
              </w:rPr>
              <w:t> </w:t>
            </w:r>
            <w:r>
              <w:rPr>
                <w:sz w:val="18"/>
              </w:rPr>
              <w:t>move toward desired vegetative</w:t>
            </w:r>
            <w:r>
              <w:rPr>
                <w:spacing w:val="-1"/>
                <w:sz w:val="18"/>
              </w:rPr>
              <w:t> </w:t>
            </w:r>
            <w:r>
              <w:rPr>
                <w:sz w:val="18"/>
              </w:rPr>
              <w:t>conditions and</w:t>
            </w:r>
            <w:r>
              <w:rPr>
                <w:spacing w:val="-5"/>
                <w:sz w:val="18"/>
              </w:rPr>
              <w:t> </w:t>
            </w:r>
            <w:r>
              <w:rPr>
                <w:sz w:val="18"/>
              </w:rPr>
              <w:t>have</w:t>
            </w:r>
            <w:r>
              <w:rPr>
                <w:spacing w:val="-5"/>
                <w:sz w:val="18"/>
              </w:rPr>
              <w:t> </w:t>
            </w:r>
            <w:r>
              <w:rPr>
                <w:sz w:val="18"/>
              </w:rPr>
              <w:t>landscapes</w:t>
            </w:r>
            <w:r>
              <w:rPr>
                <w:spacing w:val="-6"/>
                <w:sz w:val="18"/>
              </w:rPr>
              <w:t> </w:t>
            </w:r>
            <w:r>
              <w:rPr>
                <w:sz w:val="18"/>
              </w:rPr>
              <w:t>dominated</w:t>
            </w:r>
            <w:r>
              <w:rPr>
                <w:spacing w:val="-5"/>
                <w:sz w:val="18"/>
              </w:rPr>
              <w:t> </w:t>
            </w:r>
            <w:r>
              <w:rPr>
                <w:sz w:val="18"/>
              </w:rPr>
              <w:t>by</w:t>
            </w:r>
            <w:r>
              <w:rPr>
                <w:spacing w:val="-6"/>
                <w:sz w:val="18"/>
              </w:rPr>
              <w:t> </w:t>
            </w:r>
            <w:r>
              <w:rPr>
                <w:sz w:val="18"/>
              </w:rPr>
              <w:t>Fire</w:t>
            </w:r>
            <w:r>
              <w:rPr>
                <w:spacing w:val="-5"/>
                <w:sz w:val="18"/>
              </w:rPr>
              <w:t> </w:t>
            </w:r>
            <w:r>
              <w:rPr>
                <w:sz w:val="18"/>
              </w:rPr>
              <w:t>Regime</w:t>
            </w:r>
            <w:r>
              <w:rPr>
                <w:spacing w:val="-5"/>
                <w:sz w:val="18"/>
              </w:rPr>
              <w:t> </w:t>
            </w:r>
            <w:r>
              <w:rPr>
                <w:sz w:val="18"/>
              </w:rPr>
              <w:t>Condition Class I.</w:t>
            </w:r>
          </w:p>
        </w:tc>
        <w:tc>
          <w:tcPr>
            <w:tcW w:w="2377" w:type="dxa"/>
          </w:tcPr>
          <w:p>
            <w:pPr>
              <w:pStyle w:val="TableParagraph"/>
              <w:ind w:left="106"/>
              <w:rPr>
                <w:sz w:val="18"/>
              </w:rPr>
            </w:pPr>
            <w:r>
              <w:rPr>
                <w:sz w:val="18"/>
              </w:rPr>
              <w:t>Over</w:t>
            </w:r>
            <w:r>
              <w:rPr>
                <w:spacing w:val="-5"/>
                <w:sz w:val="18"/>
              </w:rPr>
              <w:t> </w:t>
            </w:r>
            <w:r>
              <w:rPr>
                <w:sz w:val="18"/>
              </w:rPr>
              <w:t>the</w:t>
            </w:r>
            <w:r>
              <w:rPr>
                <w:spacing w:val="-1"/>
                <w:sz w:val="18"/>
              </w:rPr>
              <w:t> </w:t>
            </w:r>
            <w:r>
              <w:rPr>
                <w:sz w:val="18"/>
              </w:rPr>
              <w:t>next</w:t>
            </w:r>
            <w:r>
              <w:rPr>
                <w:spacing w:val="-2"/>
                <w:sz w:val="18"/>
              </w:rPr>
              <w:t> </w:t>
            </w:r>
            <w:r>
              <w:rPr>
                <w:sz w:val="18"/>
              </w:rPr>
              <w:t>15</w:t>
            </w:r>
            <w:r>
              <w:rPr>
                <w:spacing w:val="-1"/>
                <w:sz w:val="18"/>
              </w:rPr>
              <w:t> </w:t>
            </w:r>
            <w:r>
              <w:rPr>
                <w:spacing w:val="-2"/>
                <w:sz w:val="18"/>
              </w:rPr>
              <w:t>years</w:t>
            </w:r>
          </w:p>
        </w:tc>
      </w:tr>
      <w:tr>
        <w:trPr>
          <w:trHeight w:val="493" w:hRule="atLeast"/>
        </w:trPr>
        <w:tc>
          <w:tcPr>
            <w:tcW w:w="1702" w:type="dxa"/>
          </w:tcPr>
          <w:p>
            <w:pPr>
              <w:pStyle w:val="TableParagraph"/>
              <w:ind w:left="107"/>
              <w:rPr>
                <w:b/>
                <w:sz w:val="18"/>
              </w:rPr>
            </w:pPr>
            <w:r>
              <w:rPr>
                <w:b/>
                <w:spacing w:val="-2"/>
                <w:sz w:val="18"/>
              </w:rPr>
              <w:t>Vegetation</w:t>
            </w:r>
          </w:p>
        </w:tc>
        <w:tc>
          <w:tcPr>
            <w:tcW w:w="5067" w:type="dxa"/>
          </w:tcPr>
          <w:p>
            <w:pPr>
              <w:pStyle w:val="TableParagraph"/>
              <w:ind w:left="104" w:right="167"/>
              <w:rPr>
                <w:sz w:val="18"/>
              </w:rPr>
            </w:pPr>
            <w:r>
              <w:rPr>
                <w:sz w:val="18"/>
              </w:rPr>
              <w:t>Five</w:t>
            </w:r>
            <w:r>
              <w:rPr>
                <w:spacing w:val="-3"/>
                <w:sz w:val="18"/>
              </w:rPr>
              <w:t> </w:t>
            </w:r>
            <w:r>
              <w:rPr>
                <w:sz w:val="18"/>
              </w:rPr>
              <w:t>to</w:t>
            </w:r>
            <w:r>
              <w:rPr>
                <w:spacing w:val="-3"/>
                <w:sz w:val="18"/>
              </w:rPr>
              <w:t> </w:t>
            </w:r>
            <w:r>
              <w:rPr>
                <w:sz w:val="18"/>
              </w:rPr>
              <w:t>10</w:t>
            </w:r>
            <w:r>
              <w:rPr>
                <w:spacing w:val="-3"/>
                <w:sz w:val="18"/>
              </w:rPr>
              <w:t> </w:t>
            </w:r>
            <w:r>
              <w:rPr>
                <w:sz w:val="18"/>
              </w:rPr>
              <w:t>acres</w:t>
            </w:r>
            <w:r>
              <w:rPr>
                <w:spacing w:val="-5"/>
                <w:sz w:val="18"/>
              </w:rPr>
              <w:t> </w:t>
            </w:r>
            <w:r>
              <w:rPr>
                <w:sz w:val="18"/>
              </w:rPr>
              <w:t>of</w:t>
            </w:r>
            <w:r>
              <w:rPr>
                <w:spacing w:val="-6"/>
                <w:sz w:val="18"/>
              </w:rPr>
              <w:t> </w:t>
            </w:r>
            <w:r>
              <w:rPr>
                <w:sz w:val="18"/>
              </w:rPr>
              <w:t>special</w:t>
            </w:r>
            <w:r>
              <w:rPr>
                <w:spacing w:val="-3"/>
                <w:sz w:val="18"/>
              </w:rPr>
              <w:t> </w:t>
            </w:r>
            <w:r>
              <w:rPr>
                <w:sz w:val="18"/>
              </w:rPr>
              <w:t>and</w:t>
            </w:r>
            <w:r>
              <w:rPr>
                <w:spacing w:val="-6"/>
                <w:sz w:val="18"/>
              </w:rPr>
              <w:t> </w:t>
            </w:r>
            <w:r>
              <w:rPr>
                <w:sz w:val="18"/>
              </w:rPr>
              <w:t>unique</w:t>
            </w:r>
            <w:r>
              <w:rPr>
                <w:spacing w:val="-3"/>
                <w:sz w:val="18"/>
              </w:rPr>
              <w:t> </w:t>
            </w:r>
            <w:r>
              <w:rPr>
                <w:sz w:val="18"/>
              </w:rPr>
              <w:t>habitats</w:t>
            </w:r>
            <w:r>
              <w:rPr>
                <w:spacing w:val="-5"/>
                <w:sz w:val="18"/>
              </w:rPr>
              <w:t> </w:t>
            </w:r>
            <w:r>
              <w:rPr>
                <w:sz w:val="18"/>
              </w:rPr>
              <w:t>are</w:t>
            </w:r>
            <w:r>
              <w:rPr>
                <w:spacing w:val="-3"/>
                <w:sz w:val="18"/>
              </w:rPr>
              <w:t> </w:t>
            </w:r>
            <w:r>
              <w:rPr>
                <w:sz w:val="18"/>
              </w:rPr>
              <w:t>treated </w:t>
            </w:r>
            <w:r>
              <w:rPr>
                <w:spacing w:val="-2"/>
                <w:sz w:val="18"/>
              </w:rPr>
              <w:t>annually.</w:t>
            </w:r>
          </w:p>
        </w:tc>
        <w:tc>
          <w:tcPr>
            <w:tcW w:w="2377" w:type="dxa"/>
          </w:tcPr>
          <w:p>
            <w:pPr>
              <w:pStyle w:val="TableParagraph"/>
              <w:ind w:left="106"/>
              <w:rPr>
                <w:sz w:val="18"/>
              </w:rPr>
            </w:pPr>
            <w:r>
              <w:rPr>
                <w:sz w:val="18"/>
              </w:rPr>
              <w:t>Over</w:t>
            </w:r>
            <w:r>
              <w:rPr>
                <w:spacing w:val="-7"/>
                <w:sz w:val="18"/>
              </w:rPr>
              <w:t> </w:t>
            </w:r>
            <w:r>
              <w:rPr>
                <w:sz w:val="18"/>
              </w:rPr>
              <w:t>the</w:t>
            </w:r>
            <w:r>
              <w:rPr>
                <w:spacing w:val="-6"/>
                <w:sz w:val="18"/>
              </w:rPr>
              <w:t> </w:t>
            </w:r>
            <w:r>
              <w:rPr>
                <w:sz w:val="18"/>
              </w:rPr>
              <w:t>15-year</w:t>
            </w:r>
            <w:r>
              <w:rPr>
                <w:spacing w:val="-9"/>
                <w:sz w:val="18"/>
              </w:rPr>
              <w:t> </w:t>
            </w:r>
            <w:r>
              <w:rPr>
                <w:sz w:val="18"/>
              </w:rPr>
              <w:t>life</w:t>
            </w:r>
            <w:r>
              <w:rPr>
                <w:spacing w:val="-9"/>
                <w:sz w:val="18"/>
              </w:rPr>
              <w:t> </w:t>
            </w:r>
            <w:r>
              <w:rPr>
                <w:sz w:val="18"/>
              </w:rPr>
              <w:t>of</w:t>
            </w:r>
            <w:r>
              <w:rPr>
                <w:spacing w:val="-7"/>
                <w:sz w:val="18"/>
              </w:rPr>
              <w:t> </w:t>
            </w:r>
            <w:r>
              <w:rPr>
                <w:sz w:val="18"/>
              </w:rPr>
              <w:t>the </w:t>
            </w:r>
            <w:r>
              <w:rPr>
                <w:spacing w:val="-4"/>
                <w:sz w:val="18"/>
              </w:rPr>
              <w:t>Plan</w:t>
            </w:r>
          </w:p>
        </w:tc>
      </w:tr>
      <w:tr>
        <w:trPr>
          <w:trHeight w:val="1283" w:hRule="atLeast"/>
        </w:trPr>
        <w:tc>
          <w:tcPr>
            <w:tcW w:w="1702" w:type="dxa"/>
          </w:tcPr>
          <w:p>
            <w:pPr>
              <w:pStyle w:val="TableParagraph"/>
              <w:ind w:left="107"/>
              <w:rPr>
                <w:b/>
                <w:sz w:val="18"/>
              </w:rPr>
            </w:pPr>
            <w:r>
              <w:rPr>
                <w:b/>
                <w:sz w:val="18"/>
              </w:rPr>
              <w:t>Water</w:t>
            </w:r>
            <w:r>
              <w:rPr>
                <w:b/>
                <w:spacing w:val="-1"/>
                <w:sz w:val="18"/>
              </w:rPr>
              <w:t> </w:t>
            </w:r>
            <w:r>
              <w:rPr>
                <w:b/>
                <w:spacing w:val="-2"/>
                <w:sz w:val="18"/>
              </w:rPr>
              <w:t>Resources</w:t>
            </w:r>
          </w:p>
        </w:tc>
        <w:tc>
          <w:tcPr>
            <w:tcW w:w="5067" w:type="dxa"/>
          </w:tcPr>
          <w:p>
            <w:pPr>
              <w:pStyle w:val="TableParagraph"/>
              <w:ind w:left="104" w:right="118"/>
              <w:jc w:val="both"/>
              <w:rPr>
                <w:sz w:val="18"/>
              </w:rPr>
            </w:pPr>
            <w:r>
              <w:rPr>
                <w:sz w:val="18"/>
              </w:rPr>
              <w:t>Implement aquatic invasive species prevention measures at all</w:t>
            </w:r>
            <w:r>
              <w:rPr>
                <w:spacing w:val="-1"/>
                <w:sz w:val="18"/>
              </w:rPr>
              <w:t> </w:t>
            </w:r>
            <w:r>
              <w:rPr>
                <w:sz w:val="18"/>
              </w:rPr>
              <w:t>developed</w:t>
            </w:r>
            <w:r>
              <w:rPr>
                <w:spacing w:val="-1"/>
                <w:sz w:val="18"/>
              </w:rPr>
              <w:t> </w:t>
            </w:r>
            <w:r>
              <w:rPr>
                <w:sz w:val="18"/>
              </w:rPr>
              <w:t>recreation</w:t>
            </w:r>
            <w:r>
              <w:rPr>
                <w:spacing w:val="-1"/>
                <w:sz w:val="18"/>
              </w:rPr>
              <w:t> </w:t>
            </w:r>
            <w:r>
              <w:rPr>
                <w:sz w:val="18"/>
              </w:rPr>
              <w:t>sites</w:t>
            </w:r>
            <w:r>
              <w:rPr>
                <w:spacing w:val="-3"/>
                <w:sz w:val="18"/>
              </w:rPr>
              <w:t> </w:t>
            </w:r>
            <w:r>
              <w:rPr>
                <w:sz w:val="18"/>
              </w:rPr>
              <w:t>providing</w:t>
            </w:r>
            <w:r>
              <w:rPr>
                <w:spacing w:val="-1"/>
                <w:sz w:val="18"/>
              </w:rPr>
              <w:t> </w:t>
            </w:r>
            <w:r>
              <w:rPr>
                <w:sz w:val="18"/>
              </w:rPr>
              <w:t>direct</w:t>
            </w:r>
            <w:r>
              <w:rPr>
                <w:spacing w:val="-4"/>
                <w:sz w:val="18"/>
              </w:rPr>
              <w:t> </w:t>
            </w:r>
            <w:r>
              <w:rPr>
                <w:sz w:val="18"/>
              </w:rPr>
              <w:t>and/or</w:t>
            </w:r>
            <w:r>
              <w:rPr>
                <w:spacing w:val="-2"/>
                <w:sz w:val="18"/>
              </w:rPr>
              <w:t> </w:t>
            </w:r>
            <w:r>
              <w:rPr>
                <w:sz w:val="18"/>
              </w:rPr>
              <w:t>indirect access to water bodies, such as boat ramps, campgrounds, and</w:t>
            </w:r>
            <w:r>
              <w:rPr>
                <w:spacing w:val="-2"/>
                <w:sz w:val="18"/>
              </w:rPr>
              <w:t> </w:t>
            </w:r>
            <w:r>
              <w:rPr>
                <w:sz w:val="18"/>
              </w:rPr>
              <w:t>day</w:t>
            </w:r>
            <w:r>
              <w:rPr>
                <w:spacing w:val="-3"/>
                <w:sz w:val="18"/>
              </w:rPr>
              <w:t> </w:t>
            </w:r>
            <w:r>
              <w:rPr>
                <w:sz w:val="18"/>
              </w:rPr>
              <w:t>use</w:t>
            </w:r>
            <w:r>
              <w:rPr>
                <w:spacing w:val="-4"/>
                <w:sz w:val="18"/>
              </w:rPr>
              <w:t> </w:t>
            </w:r>
            <w:r>
              <w:rPr>
                <w:sz w:val="18"/>
              </w:rPr>
              <w:t>areas</w:t>
            </w:r>
            <w:r>
              <w:rPr>
                <w:spacing w:val="-1"/>
                <w:sz w:val="18"/>
              </w:rPr>
              <w:t> </w:t>
            </w:r>
            <w:r>
              <w:rPr>
                <w:sz w:val="18"/>
              </w:rPr>
              <w:t>that</w:t>
            </w:r>
            <w:r>
              <w:rPr>
                <w:spacing w:val="-3"/>
                <w:sz w:val="18"/>
              </w:rPr>
              <w:t> </w:t>
            </w:r>
            <w:r>
              <w:rPr>
                <w:sz w:val="18"/>
              </w:rPr>
              <w:t>provide</w:t>
            </w:r>
            <w:r>
              <w:rPr>
                <w:spacing w:val="-1"/>
                <w:sz w:val="18"/>
              </w:rPr>
              <w:t> </w:t>
            </w:r>
            <w:r>
              <w:rPr>
                <w:sz w:val="18"/>
              </w:rPr>
              <w:t>portal</w:t>
            </w:r>
            <w:r>
              <w:rPr>
                <w:spacing w:val="-1"/>
                <w:sz w:val="18"/>
              </w:rPr>
              <w:t> </w:t>
            </w:r>
            <w:r>
              <w:rPr>
                <w:sz w:val="18"/>
              </w:rPr>
              <w:t>zones</w:t>
            </w:r>
            <w:r>
              <w:rPr>
                <w:spacing w:val="-1"/>
                <w:sz w:val="18"/>
              </w:rPr>
              <w:t> </w:t>
            </w:r>
            <w:r>
              <w:rPr>
                <w:sz w:val="18"/>
              </w:rPr>
              <w:t>for</w:t>
            </w:r>
            <w:r>
              <w:rPr>
                <w:spacing w:val="-4"/>
                <w:sz w:val="18"/>
              </w:rPr>
              <w:t> </w:t>
            </w:r>
            <w:r>
              <w:rPr>
                <w:sz w:val="18"/>
              </w:rPr>
              <w:t>hand-</w:t>
            </w:r>
            <w:r>
              <w:rPr>
                <w:spacing w:val="-2"/>
                <w:sz w:val="18"/>
              </w:rPr>
              <w:t>carried</w:t>
            </w:r>
          </w:p>
          <w:p>
            <w:pPr>
              <w:pStyle w:val="TableParagraph"/>
              <w:spacing w:line="206" w:lineRule="exact" w:before="0"/>
              <w:ind w:left="104" w:right="324"/>
              <w:jc w:val="both"/>
              <w:rPr>
                <w:sz w:val="18"/>
              </w:rPr>
            </w:pPr>
            <w:r>
              <w:rPr>
                <w:sz w:val="18"/>
              </w:rPr>
              <w:t>watercraft.</w:t>
            </w:r>
            <w:r>
              <w:rPr>
                <w:spacing w:val="-7"/>
                <w:sz w:val="18"/>
              </w:rPr>
              <w:t> </w:t>
            </w:r>
            <w:r>
              <w:rPr>
                <w:sz w:val="18"/>
              </w:rPr>
              <w:t>Implement</w:t>
            </w:r>
            <w:r>
              <w:rPr>
                <w:spacing w:val="-7"/>
                <w:sz w:val="18"/>
              </w:rPr>
              <w:t> </w:t>
            </w:r>
            <w:r>
              <w:rPr>
                <w:sz w:val="18"/>
              </w:rPr>
              <w:t>aquatic</w:t>
            </w:r>
            <w:r>
              <w:rPr>
                <w:spacing w:val="-8"/>
                <w:sz w:val="18"/>
              </w:rPr>
              <w:t> </w:t>
            </w:r>
            <w:r>
              <w:rPr>
                <w:sz w:val="18"/>
              </w:rPr>
              <w:t>invasive</w:t>
            </w:r>
            <w:r>
              <w:rPr>
                <w:spacing w:val="-6"/>
                <w:sz w:val="18"/>
              </w:rPr>
              <w:t> </w:t>
            </w:r>
            <w:r>
              <w:rPr>
                <w:sz w:val="18"/>
              </w:rPr>
              <w:t>species</w:t>
            </w:r>
            <w:r>
              <w:rPr>
                <w:spacing w:val="-6"/>
                <w:sz w:val="18"/>
              </w:rPr>
              <w:t> </w:t>
            </w:r>
            <w:r>
              <w:rPr>
                <w:sz w:val="18"/>
              </w:rPr>
              <w:t>prevention measures as part of all aquatic survey and inventory</w:t>
            </w:r>
          </w:p>
        </w:tc>
        <w:tc>
          <w:tcPr>
            <w:tcW w:w="2377" w:type="dxa"/>
          </w:tcPr>
          <w:p>
            <w:pPr>
              <w:pStyle w:val="TableParagraph"/>
              <w:ind w:left="106"/>
              <w:rPr>
                <w:sz w:val="18"/>
              </w:rPr>
            </w:pPr>
            <w:r>
              <w:rPr>
                <w:sz w:val="18"/>
              </w:rPr>
              <w:t>Within</w:t>
            </w:r>
            <w:r>
              <w:rPr>
                <w:spacing w:val="-4"/>
                <w:sz w:val="18"/>
              </w:rPr>
              <w:t> </w:t>
            </w:r>
            <w:r>
              <w:rPr>
                <w:sz w:val="18"/>
              </w:rPr>
              <w:t>the</w:t>
            </w:r>
            <w:r>
              <w:rPr>
                <w:spacing w:val="-2"/>
                <w:sz w:val="18"/>
              </w:rPr>
              <w:t> </w:t>
            </w:r>
            <w:r>
              <w:rPr>
                <w:sz w:val="18"/>
              </w:rPr>
              <w:t>next</w:t>
            </w:r>
            <w:r>
              <w:rPr>
                <w:spacing w:val="-2"/>
                <w:sz w:val="18"/>
              </w:rPr>
              <w:t> </w:t>
            </w:r>
            <w:r>
              <w:rPr>
                <w:sz w:val="18"/>
              </w:rPr>
              <w:t>15</w:t>
            </w:r>
            <w:r>
              <w:rPr>
                <w:spacing w:val="-1"/>
                <w:sz w:val="18"/>
              </w:rPr>
              <w:t> </w:t>
            </w:r>
            <w:r>
              <w:rPr>
                <w:spacing w:val="-2"/>
                <w:sz w:val="18"/>
              </w:rPr>
              <w:t>years</w:t>
            </w:r>
          </w:p>
        </w:tc>
      </w:tr>
    </w:tbl>
    <w:p>
      <w:pPr>
        <w:pStyle w:val="TableParagraph"/>
        <w:spacing w:after="0"/>
        <w:rPr>
          <w:sz w:val="18"/>
        </w:rPr>
        <w:sectPr>
          <w:headerReference w:type="even" r:id="rId88"/>
          <w:headerReference w:type="default" r:id="rId89"/>
          <w:footerReference w:type="even" r:id="rId90"/>
          <w:footerReference w:type="default" r:id="rId91"/>
          <w:pgSz w:w="12240" w:h="15840"/>
          <w:pgMar w:header="725" w:footer="891" w:top="1340" w:bottom="1080" w:left="1080" w:right="1080"/>
          <w:pgNumType w:start="172"/>
        </w:sectPr>
      </w:pPr>
    </w:p>
    <w:p>
      <w:pPr>
        <w:pStyle w:val="BodyText"/>
        <w:rPr>
          <w:rFonts w:ascii="Arial"/>
          <w:b/>
          <w:sz w:val="7"/>
        </w:rPr>
      </w:pPr>
    </w:p>
    <w:tbl>
      <w:tblPr>
        <w:tblW w:w="0" w:type="auto"/>
        <w:jc w:val="left"/>
        <w:tblInd w:w="81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5067"/>
        <w:gridCol w:w="2377"/>
      </w:tblGrid>
      <w:tr>
        <w:trPr>
          <w:trHeight w:val="294" w:hRule="atLeast"/>
        </w:trPr>
        <w:tc>
          <w:tcPr>
            <w:tcW w:w="1702" w:type="dxa"/>
            <w:shd w:val="clear" w:color="auto" w:fill="D5E2BB"/>
          </w:tcPr>
          <w:p>
            <w:pPr>
              <w:pStyle w:val="TableParagraph"/>
              <w:ind w:left="82" w:right="64"/>
              <w:jc w:val="center"/>
              <w:rPr>
                <w:b/>
                <w:sz w:val="18"/>
              </w:rPr>
            </w:pPr>
            <w:r>
              <w:rPr>
                <w:b/>
                <w:spacing w:val="-2"/>
                <w:sz w:val="18"/>
              </w:rPr>
              <w:t>Category</w:t>
            </w:r>
          </w:p>
        </w:tc>
        <w:tc>
          <w:tcPr>
            <w:tcW w:w="5067" w:type="dxa"/>
            <w:shd w:val="clear" w:color="auto" w:fill="D5E2BB"/>
          </w:tcPr>
          <w:p>
            <w:pPr>
              <w:pStyle w:val="TableParagraph"/>
              <w:ind w:left="24"/>
              <w:jc w:val="center"/>
              <w:rPr>
                <w:b/>
                <w:sz w:val="18"/>
              </w:rPr>
            </w:pPr>
            <w:r>
              <w:rPr>
                <w:b/>
                <w:spacing w:val="-2"/>
                <w:sz w:val="18"/>
              </w:rPr>
              <w:t>Project/Activity</w:t>
            </w:r>
          </w:p>
        </w:tc>
        <w:tc>
          <w:tcPr>
            <w:tcW w:w="2377" w:type="dxa"/>
            <w:shd w:val="clear" w:color="auto" w:fill="D5E2BB"/>
          </w:tcPr>
          <w:p>
            <w:pPr>
              <w:pStyle w:val="TableParagraph"/>
              <w:ind w:left="200"/>
              <w:rPr>
                <w:b/>
                <w:sz w:val="18"/>
              </w:rPr>
            </w:pPr>
            <w:r>
              <w:rPr>
                <w:b/>
                <w:sz w:val="18"/>
              </w:rPr>
              <w:t>Timeframe</w:t>
            </w:r>
            <w:r>
              <w:rPr>
                <w:b/>
                <w:spacing w:val="-3"/>
                <w:sz w:val="18"/>
              </w:rPr>
              <w:t> </w:t>
            </w:r>
            <w:r>
              <w:rPr>
                <w:b/>
                <w:sz w:val="18"/>
              </w:rPr>
              <w:t>to</w:t>
            </w:r>
            <w:r>
              <w:rPr>
                <w:b/>
                <w:spacing w:val="-1"/>
                <w:sz w:val="18"/>
              </w:rPr>
              <w:t> </w:t>
            </w:r>
            <w:r>
              <w:rPr>
                <w:b/>
                <w:spacing w:val="-2"/>
                <w:sz w:val="18"/>
              </w:rPr>
              <w:t>complete</w:t>
            </w:r>
          </w:p>
        </w:tc>
      </w:tr>
      <w:tr>
        <w:trPr>
          <w:trHeight w:val="455" w:hRule="atLeast"/>
        </w:trPr>
        <w:tc>
          <w:tcPr>
            <w:tcW w:w="1702" w:type="dxa"/>
          </w:tcPr>
          <w:p>
            <w:pPr>
              <w:pStyle w:val="TableParagraph"/>
              <w:spacing w:before="0"/>
              <w:rPr>
                <w:rFonts w:ascii="Times New Roman"/>
                <w:sz w:val="18"/>
              </w:rPr>
            </w:pPr>
          </w:p>
        </w:tc>
        <w:tc>
          <w:tcPr>
            <w:tcW w:w="5067" w:type="dxa"/>
          </w:tcPr>
          <w:p>
            <w:pPr>
              <w:pStyle w:val="TableParagraph"/>
              <w:spacing w:before="1"/>
              <w:ind w:left="107" w:right="167"/>
              <w:rPr>
                <w:sz w:val="18"/>
              </w:rPr>
            </w:pPr>
            <w:r>
              <w:rPr>
                <w:sz w:val="18"/>
              </w:rPr>
              <w:t>procedures</w:t>
            </w:r>
            <w:r>
              <w:rPr>
                <w:spacing w:val="-4"/>
                <w:sz w:val="18"/>
              </w:rPr>
              <w:t> </w:t>
            </w:r>
            <w:r>
              <w:rPr>
                <w:sz w:val="18"/>
              </w:rPr>
              <w:t>and</w:t>
            </w:r>
            <w:r>
              <w:rPr>
                <w:spacing w:val="-4"/>
                <w:sz w:val="18"/>
              </w:rPr>
              <w:t> </w:t>
            </w:r>
            <w:r>
              <w:rPr>
                <w:sz w:val="18"/>
              </w:rPr>
              <w:t>other</w:t>
            </w:r>
            <w:r>
              <w:rPr>
                <w:spacing w:val="-7"/>
                <w:sz w:val="18"/>
              </w:rPr>
              <w:t> </w:t>
            </w:r>
            <w:r>
              <w:rPr>
                <w:sz w:val="18"/>
              </w:rPr>
              <w:t>management</w:t>
            </w:r>
            <w:r>
              <w:rPr>
                <w:spacing w:val="-7"/>
                <w:sz w:val="18"/>
              </w:rPr>
              <w:t> </w:t>
            </w:r>
            <w:r>
              <w:rPr>
                <w:sz w:val="18"/>
              </w:rPr>
              <w:t>activities</w:t>
            </w:r>
            <w:r>
              <w:rPr>
                <w:spacing w:val="-4"/>
                <w:sz w:val="18"/>
              </w:rPr>
              <w:t> </w:t>
            </w:r>
            <w:r>
              <w:rPr>
                <w:sz w:val="18"/>
              </w:rPr>
              <w:t>that</w:t>
            </w:r>
            <w:r>
              <w:rPr>
                <w:spacing w:val="-5"/>
                <w:sz w:val="18"/>
              </w:rPr>
              <w:t> </w:t>
            </w:r>
            <w:r>
              <w:rPr>
                <w:sz w:val="18"/>
              </w:rPr>
              <w:t>pose</w:t>
            </w:r>
            <w:r>
              <w:rPr>
                <w:spacing w:val="-7"/>
                <w:sz w:val="18"/>
              </w:rPr>
              <w:t> </w:t>
            </w:r>
            <w:r>
              <w:rPr>
                <w:sz w:val="18"/>
              </w:rPr>
              <w:t>high potential for invasion vectors to occur.</w:t>
            </w:r>
          </w:p>
        </w:tc>
        <w:tc>
          <w:tcPr>
            <w:tcW w:w="2377" w:type="dxa"/>
          </w:tcPr>
          <w:p>
            <w:pPr>
              <w:pStyle w:val="TableParagraph"/>
              <w:spacing w:before="0"/>
              <w:rPr>
                <w:rFonts w:ascii="Times New Roman"/>
                <w:sz w:val="18"/>
              </w:rPr>
            </w:pPr>
          </w:p>
        </w:tc>
      </w:tr>
      <w:tr>
        <w:trPr>
          <w:trHeight w:val="1115"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13"/>
              <w:rPr>
                <w:sz w:val="18"/>
              </w:rPr>
            </w:pPr>
            <w:r>
              <w:rPr>
                <w:sz w:val="18"/>
              </w:rPr>
              <w:t>Implement aquatic invasive species control and eradication at</w:t>
            </w:r>
            <w:r>
              <w:rPr>
                <w:spacing w:val="-5"/>
                <w:sz w:val="18"/>
              </w:rPr>
              <w:t> </w:t>
            </w:r>
            <w:r>
              <w:rPr>
                <w:sz w:val="18"/>
              </w:rPr>
              <w:t>15</w:t>
            </w:r>
            <w:r>
              <w:rPr>
                <w:spacing w:val="-4"/>
                <w:sz w:val="18"/>
              </w:rPr>
              <w:t> </w:t>
            </w:r>
            <w:r>
              <w:rPr>
                <w:sz w:val="18"/>
              </w:rPr>
              <w:t>waterbodies</w:t>
            </w:r>
            <w:r>
              <w:rPr>
                <w:spacing w:val="-4"/>
                <w:sz w:val="18"/>
              </w:rPr>
              <w:t> </w:t>
            </w:r>
            <w:r>
              <w:rPr>
                <w:sz w:val="18"/>
              </w:rPr>
              <w:t>(streams</w:t>
            </w:r>
            <w:r>
              <w:rPr>
                <w:spacing w:val="-6"/>
                <w:sz w:val="18"/>
              </w:rPr>
              <w:t> </w:t>
            </w:r>
            <w:r>
              <w:rPr>
                <w:sz w:val="18"/>
              </w:rPr>
              <w:t>and</w:t>
            </w:r>
            <w:r>
              <w:rPr>
                <w:spacing w:val="-4"/>
                <w:sz w:val="18"/>
              </w:rPr>
              <w:t> </w:t>
            </w:r>
            <w:r>
              <w:rPr>
                <w:sz w:val="18"/>
              </w:rPr>
              <w:t>lakes)</w:t>
            </w:r>
            <w:r>
              <w:rPr>
                <w:spacing w:val="-7"/>
                <w:sz w:val="18"/>
              </w:rPr>
              <w:t> </w:t>
            </w:r>
            <w:r>
              <w:rPr>
                <w:sz w:val="18"/>
              </w:rPr>
              <w:t>where</w:t>
            </w:r>
            <w:r>
              <w:rPr>
                <w:spacing w:val="-4"/>
                <w:sz w:val="18"/>
              </w:rPr>
              <w:t> </w:t>
            </w:r>
            <w:r>
              <w:rPr>
                <w:sz w:val="18"/>
              </w:rPr>
              <w:t>such</w:t>
            </w:r>
            <w:r>
              <w:rPr>
                <w:spacing w:val="-4"/>
                <w:sz w:val="18"/>
              </w:rPr>
              <w:t> </w:t>
            </w:r>
            <w:r>
              <w:rPr>
                <w:sz w:val="18"/>
              </w:rPr>
              <w:t>invasions have become established and prevent attainment of listed fish recovery plan goals and/or effects to social, economic, and ecological systems are determined to be unacceptable.</w:t>
            </w:r>
          </w:p>
        </w:tc>
        <w:tc>
          <w:tcPr>
            <w:tcW w:w="2377" w:type="dxa"/>
          </w:tcPr>
          <w:p>
            <w:pPr>
              <w:pStyle w:val="TableParagraph"/>
              <w:ind w:left="106"/>
              <w:rPr>
                <w:sz w:val="18"/>
              </w:rPr>
            </w:pPr>
            <w:r>
              <w:rPr>
                <w:sz w:val="18"/>
              </w:rPr>
              <w:t>Within</w:t>
            </w:r>
            <w:r>
              <w:rPr>
                <w:spacing w:val="-4"/>
                <w:sz w:val="18"/>
              </w:rPr>
              <w:t> </w:t>
            </w:r>
            <w:r>
              <w:rPr>
                <w:sz w:val="18"/>
              </w:rPr>
              <w:t>the</w:t>
            </w:r>
            <w:r>
              <w:rPr>
                <w:spacing w:val="-2"/>
                <w:sz w:val="18"/>
              </w:rPr>
              <w:t> </w:t>
            </w:r>
            <w:r>
              <w:rPr>
                <w:sz w:val="18"/>
              </w:rPr>
              <w:t>next</w:t>
            </w:r>
            <w:r>
              <w:rPr>
                <w:spacing w:val="-2"/>
                <w:sz w:val="18"/>
              </w:rPr>
              <w:t> </w:t>
            </w:r>
            <w:r>
              <w:rPr>
                <w:sz w:val="18"/>
              </w:rPr>
              <w:t>15</w:t>
            </w:r>
            <w:r>
              <w:rPr>
                <w:spacing w:val="-1"/>
                <w:sz w:val="18"/>
              </w:rPr>
              <w:t> </w:t>
            </w:r>
            <w:r>
              <w:rPr>
                <w:spacing w:val="-2"/>
                <w:sz w:val="18"/>
              </w:rPr>
              <w:t>years</w:t>
            </w:r>
          </w:p>
        </w:tc>
      </w:tr>
      <w:tr>
        <w:trPr>
          <w:trHeight w:val="2149"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67"/>
              <w:rPr>
                <w:sz w:val="18"/>
              </w:rPr>
            </w:pPr>
            <w:r>
              <w:rPr>
                <w:sz w:val="18"/>
              </w:rPr>
              <w:t>Decrease</w:t>
            </w:r>
            <w:r>
              <w:rPr>
                <w:spacing w:val="-7"/>
                <w:sz w:val="18"/>
              </w:rPr>
              <w:t> </w:t>
            </w:r>
            <w:r>
              <w:rPr>
                <w:sz w:val="18"/>
              </w:rPr>
              <w:t>sediment</w:t>
            </w:r>
            <w:r>
              <w:rPr>
                <w:spacing w:val="-6"/>
                <w:sz w:val="18"/>
              </w:rPr>
              <w:t> </w:t>
            </w:r>
            <w:r>
              <w:rPr>
                <w:sz w:val="18"/>
              </w:rPr>
              <w:t>delivery</w:t>
            </w:r>
            <w:r>
              <w:rPr>
                <w:spacing w:val="-6"/>
                <w:sz w:val="18"/>
              </w:rPr>
              <w:t> </w:t>
            </w:r>
            <w:r>
              <w:rPr>
                <w:sz w:val="18"/>
              </w:rPr>
              <w:t>from</w:t>
            </w:r>
            <w:r>
              <w:rPr>
                <w:spacing w:val="-5"/>
                <w:sz w:val="18"/>
              </w:rPr>
              <w:t> </w:t>
            </w:r>
            <w:r>
              <w:rPr>
                <w:sz w:val="18"/>
              </w:rPr>
              <w:t>management</w:t>
            </w:r>
            <w:r>
              <w:rPr>
                <w:spacing w:val="-7"/>
                <w:sz w:val="18"/>
              </w:rPr>
              <w:t> </w:t>
            </w:r>
            <w:r>
              <w:rPr>
                <w:sz w:val="18"/>
              </w:rPr>
              <w:t>activities</w:t>
            </w:r>
            <w:r>
              <w:rPr>
                <w:spacing w:val="-5"/>
                <w:sz w:val="18"/>
              </w:rPr>
              <w:t> </w:t>
            </w:r>
            <w:r>
              <w:rPr>
                <w:sz w:val="18"/>
              </w:rPr>
              <w:t>on 1,000 acres including but not limited to roads, livestock, unauthorized off-highway vehicle use, vegetation management, and dispersed and developed campsites.</w:t>
            </w:r>
          </w:p>
          <w:p>
            <w:pPr>
              <w:pStyle w:val="TableParagraph"/>
              <w:spacing w:before="1"/>
              <w:ind w:left="107" w:right="167"/>
              <w:rPr>
                <w:sz w:val="18"/>
              </w:rPr>
            </w:pPr>
            <w:r>
              <w:rPr>
                <w:sz w:val="18"/>
              </w:rPr>
              <w:t>Restore</w:t>
            </w:r>
            <w:r>
              <w:rPr>
                <w:spacing w:val="-7"/>
                <w:sz w:val="18"/>
              </w:rPr>
              <w:t> </w:t>
            </w:r>
            <w:r>
              <w:rPr>
                <w:sz w:val="18"/>
              </w:rPr>
              <w:t>hydrologic,</w:t>
            </w:r>
            <w:r>
              <w:rPr>
                <w:spacing w:val="-6"/>
                <w:sz w:val="18"/>
              </w:rPr>
              <w:t> </w:t>
            </w:r>
            <w:r>
              <w:rPr>
                <w:sz w:val="18"/>
              </w:rPr>
              <w:t>aquatic</w:t>
            </w:r>
            <w:r>
              <w:rPr>
                <w:spacing w:val="-7"/>
                <w:sz w:val="18"/>
              </w:rPr>
              <w:t> </w:t>
            </w:r>
            <w:r>
              <w:rPr>
                <w:sz w:val="18"/>
              </w:rPr>
              <w:t>and</w:t>
            </w:r>
            <w:r>
              <w:rPr>
                <w:spacing w:val="-5"/>
                <w:sz w:val="18"/>
              </w:rPr>
              <w:t> </w:t>
            </w:r>
            <w:r>
              <w:rPr>
                <w:sz w:val="18"/>
              </w:rPr>
              <w:t>riparian</w:t>
            </w:r>
            <w:r>
              <w:rPr>
                <w:spacing w:val="-7"/>
                <w:sz w:val="18"/>
              </w:rPr>
              <w:t> </w:t>
            </w:r>
            <w:r>
              <w:rPr>
                <w:sz w:val="18"/>
              </w:rPr>
              <w:t>processes</w:t>
            </w:r>
            <w:r>
              <w:rPr>
                <w:spacing w:val="-5"/>
                <w:sz w:val="18"/>
              </w:rPr>
              <w:t> </w:t>
            </w:r>
            <w:r>
              <w:rPr>
                <w:sz w:val="18"/>
              </w:rPr>
              <w:t>through activities that stabilize streambank erosion, and other accelerated channel destabilizing processes (i.e., headcutting), improve lateral and vertical hydrologic connectivity, and improve stream channel and floodplain function on 10 miles of streams.</w:t>
            </w:r>
          </w:p>
        </w:tc>
        <w:tc>
          <w:tcPr>
            <w:tcW w:w="2377" w:type="dxa"/>
          </w:tcPr>
          <w:p>
            <w:pPr>
              <w:pStyle w:val="TableParagraph"/>
              <w:spacing w:before="40"/>
              <w:ind w:left="106"/>
              <w:rPr>
                <w:sz w:val="18"/>
              </w:rPr>
            </w:pPr>
            <w:r>
              <w:rPr>
                <w:sz w:val="18"/>
              </w:rPr>
              <w:t>Within</w:t>
            </w:r>
            <w:r>
              <w:rPr>
                <w:spacing w:val="-4"/>
                <w:sz w:val="18"/>
              </w:rPr>
              <w:t> </w:t>
            </w:r>
            <w:r>
              <w:rPr>
                <w:sz w:val="18"/>
              </w:rPr>
              <w:t>the</w:t>
            </w:r>
            <w:r>
              <w:rPr>
                <w:spacing w:val="-2"/>
                <w:sz w:val="18"/>
              </w:rPr>
              <w:t> </w:t>
            </w:r>
            <w:r>
              <w:rPr>
                <w:sz w:val="18"/>
              </w:rPr>
              <w:t>next</w:t>
            </w:r>
            <w:r>
              <w:rPr>
                <w:spacing w:val="-2"/>
                <w:sz w:val="18"/>
              </w:rPr>
              <w:t> </w:t>
            </w:r>
            <w:r>
              <w:rPr>
                <w:sz w:val="18"/>
              </w:rPr>
              <w:t>15</w:t>
            </w:r>
            <w:r>
              <w:rPr>
                <w:spacing w:val="-1"/>
                <w:sz w:val="18"/>
              </w:rPr>
              <w:t> </w:t>
            </w:r>
            <w:r>
              <w:rPr>
                <w:spacing w:val="-2"/>
                <w:sz w:val="18"/>
              </w:rPr>
              <w:t>years</w:t>
            </w:r>
          </w:p>
        </w:tc>
      </w:tr>
      <w:tr>
        <w:trPr>
          <w:trHeight w:val="1734"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42"/>
              <w:rPr>
                <w:sz w:val="18"/>
              </w:rPr>
            </w:pPr>
            <w:r>
              <w:rPr>
                <w:sz w:val="18"/>
              </w:rPr>
              <w:t>Restore aquatic organism passage for all life stages of native species at 45 road/stream crossings and man-made instream structures such as water diversions and dams outside of key watersheds. Culverts and other passage improvements are to be designed to restore and maintain hydrologic and aquatic habitat function and stream channel resiliency</w:t>
            </w:r>
            <w:r>
              <w:rPr>
                <w:spacing w:val="-5"/>
                <w:sz w:val="18"/>
              </w:rPr>
              <w:t> </w:t>
            </w:r>
            <w:r>
              <w:rPr>
                <w:sz w:val="18"/>
              </w:rPr>
              <w:t>to</w:t>
            </w:r>
            <w:r>
              <w:rPr>
                <w:spacing w:val="-3"/>
                <w:sz w:val="18"/>
              </w:rPr>
              <w:t> </w:t>
            </w:r>
            <w:r>
              <w:rPr>
                <w:sz w:val="18"/>
              </w:rPr>
              <w:t>a</w:t>
            </w:r>
            <w:r>
              <w:rPr>
                <w:spacing w:val="-6"/>
                <w:sz w:val="18"/>
              </w:rPr>
              <w:t> </w:t>
            </w:r>
            <w:r>
              <w:rPr>
                <w:sz w:val="18"/>
              </w:rPr>
              <w:t>range</w:t>
            </w:r>
            <w:r>
              <w:rPr>
                <w:spacing w:val="-3"/>
                <w:sz w:val="18"/>
              </w:rPr>
              <w:t> </w:t>
            </w:r>
            <w:r>
              <w:rPr>
                <w:sz w:val="18"/>
              </w:rPr>
              <w:t>of</w:t>
            </w:r>
            <w:r>
              <w:rPr>
                <w:spacing w:val="-6"/>
                <w:sz w:val="18"/>
              </w:rPr>
              <w:t> </w:t>
            </w:r>
            <w:r>
              <w:rPr>
                <w:sz w:val="18"/>
              </w:rPr>
              <w:t>flows</w:t>
            </w:r>
            <w:r>
              <w:rPr>
                <w:spacing w:val="-3"/>
                <w:sz w:val="18"/>
              </w:rPr>
              <w:t> </w:t>
            </w:r>
            <w:r>
              <w:rPr>
                <w:sz w:val="18"/>
              </w:rPr>
              <w:t>through</w:t>
            </w:r>
            <w:r>
              <w:rPr>
                <w:spacing w:val="-6"/>
                <w:sz w:val="18"/>
              </w:rPr>
              <w:t> </w:t>
            </w:r>
            <w:r>
              <w:rPr>
                <w:sz w:val="18"/>
              </w:rPr>
              <w:t>natural</w:t>
            </w:r>
            <w:r>
              <w:rPr>
                <w:spacing w:val="-6"/>
                <w:sz w:val="18"/>
              </w:rPr>
              <w:t> </w:t>
            </w:r>
            <w:r>
              <w:rPr>
                <w:sz w:val="18"/>
              </w:rPr>
              <w:t>channel</w:t>
            </w:r>
            <w:r>
              <w:rPr>
                <w:spacing w:val="-3"/>
                <w:sz w:val="18"/>
              </w:rPr>
              <w:t> </w:t>
            </w:r>
            <w:r>
              <w:rPr>
                <w:sz w:val="18"/>
              </w:rPr>
              <w:t>design and other acceptable treatment measures</w:t>
            </w:r>
          </w:p>
        </w:tc>
        <w:tc>
          <w:tcPr>
            <w:tcW w:w="2377" w:type="dxa"/>
          </w:tcPr>
          <w:p>
            <w:pPr>
              <w:pStyle w:val="TableParagraph"/>
              <w:spacing w:before="40"/>
              <w:ind w:left="106"/>
              <w:rPr>
                <w:sz w:val="18"/>
              </w:rPr>
            </w:pPr>
            <w:r>
              <w:rPr>
                <w:sz w:val="18"/>
              </w:rPr>
              <w:t>Within</w:t>
            </w:r>
            <w:r>
              <w:rPr>
                <w:spacing w:val="-4"/>
                <w:sz w:val="18"/>
              </w:rPr>
              <w:t> </w:t>
            </w:r>
            <w:r>
              <w:rPr>
                <w:sz w:val="18"/>
              </w:rPr>
              <w:t>15</w:t>
            </w:r>
            <w:r>
              <w:rPr>
                <w:spacing w:val="-3"/>
                <w:sz w:val="18"/>
              </w:rPr>
              <w:t> </w:t>
            </w:r>
            <w:r>
              <w:rPr>
                <w:spacing w:val="-2"/>
                <w:sz w:val="18"/>
              </w:rPr>
              <w:t>years</w:t>
            </w:r>
          </w:p>
        </w:tc>
      </w:tr>
      <w:tr>
        <w:trPr>
          <w:trHeight w:val="1115" w:hRule="atLeast"/>
        </w:trPr>
        <w:tc>
          <w:tcPr>
            <w:tcW w:w="1702" w:type="dxa"/>
          </w:tcPr>
          <w:p>
            <w:pPr>
              <w:pStyle w:val="TableParagraph"/>
              <w:spacing w:before="42"/>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spacing w:before="42"/>
              <w:ind w:left="107" w:right="102"/>
              <w:rPr>
                <w:sz w:val="18"/>
              </w:rPr>
            </w:pPr>
            <w:r>
              <w:rPr>
                <w:sz w:val="18"/>
              </w:rPr>
              <w:t>Management in key watersheds focuses on restoration or preservation</w:t>
            </w:r>
            <w:r>
              <w:rPr>
                <w:spacing w:val="-7"/>
                <w:sz w:val="18"/>
              </w:rPr>
              <w:t> </w:t>
            </w:r>
            <w:r>
              <w:rPr>
                <w:sz w:val="18"/>
              </w:rPr>
              <w:t>of</w:t>
            </w:r>
            <w:r>
              <w:rPr>
                <w:spacing w:val="-6"/>
                <w:sz w:val="18"/>
              </w:rPr>
              <w:t> </w:t>
            </w:r>
            <w:r>
              <w:rPr>
                <w:sz w:val="18"/>
              </w:rPr>
              <w:t>watershed,</w:t>
            </w:r>
            <w:r>
              <w:rPr>
                <w:spacing w:val="-7"/>
                <w:sz w:val="18"/>
              </w:rPr>
              <w:t> </w:t>
            </w:r>
            <w:r>
              <w:rPr>
                <w:sz w:val="18"/>
              </w:rPr>
              <w:t>aquatic,</w:t>
            </w:r>
            <w:r>
              <w:rPr>
                <w:spacing w:val="-5"/>
                <w:sz w:val="18"/>
              </w:rPr>
              <w:t> </w:t>
            </w:r>
            <w:r>
              <w:rPr>
                <w:sz w:val="18"/>
              </w:rPr>
              <w:t>and</w:t>
            </w:r>
            <w:r>
              <w:rPr>
                <w:spacing w:val="-4"/>
                <w:sz w:val="18"/>
              </w:rPr>
              <w:t> </w:t>
            </w:r>
            <w:r>
              <w:rPr>
                <w:sz w:val="18"/>
              </w:rPr>
              <w:t>riparian</w:t>
            </w:r>
            <w:r>
              <w:rPr>
                <w:spacing w:val="-4"/>
                <w:sz w:val="18"/>
              </w:rPr>
              <w:t> </w:t>
            </w:r>
            <w:r>
              <w:rPr>
                <w:sz w:val="18"/>
              </w:rPr>
              <w:t>function</w:t>
            </w:r>
            <w:r>
              <w:rPr>
                <w:spacing w:val="-7"/>
                <w:sz w:val="18"/>
              </w:rPr>
              <w:t> </w:t>
            </w:r>
            <w:r>
              <w:rPr>
                <w:sz w:val="18"/>
              </w:rPr>
              <w:t>and recovery of threatened and endangered species. Improve watershed condition class in key watersheds that are a priority for restoration.</w:t>
            </w:r>
          </w:p>
        </w:tc>
        <w:tc>
          <w:tcPr>
            <w:tcW w:w="2377" w:type="dxa"/>
          </w:tcPr>
          <w:p>
            <w:pPr>
              <w:pStyle w:val="TableParagraph"/>
              <w:spacing w:before="42"/>
              <w:ind w:left="106" w:right="142"/>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forest plan implementation</w:t>
            </w:r>
          </w:p>
        </w:tc>
      </w:tr>
      <w:tr>
        <w:trPr>
          <w:trHeight w:val="1115" w:hRule="atLeast"/>
        </w:trPr>
        <w:tc>
          <w:tcPr>
            <w:tcW w:w="1702" w:type="dxa"/>
          </w:tcPr>
          <w:p>
            <w:pPr>
              <w:pStyle w:val="TableParagraph"/>
              <w:spacing w:before="42"/>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67"/>
              <w:rPr>
                <w:sz w:val="18"/>
              </w:rPr>
            </w:pPr>
            <w:r>
              <w:rPr>
                <w:sz w:val="18"/>
              </w:rPr>
              <w:t>Reduce</w:t>
            </w:r>
            <w:r>
              <w:rPr>
                <w:spacing w:val="-9"/>
                <w:sz w:val="18"/>
              </w:rPr>
              <w:t> </w:t>
            </w:r>
            <w:r>
              <w:rPr>
                <w:sz w:val="18"/>
              </w:rPr>
              <w:t>road-hydrologic</w:t>
            </w:r>
            <w:r>
              <w:rPr>
                <w:spacing w:val="-6"/>
                <w:sz w:val="18"/>
              </w:rPr>
              <w:t> </w:t>
            </w:r>
            <w:r>
              <w:rPr>
                <w:sz w:val="18"/>
              </w:rPr>
              <w:t>connectivity</w:t>
            </w:r>
            <w:r>
              <w:rPr>
                <w:spacing w:val="-8"/>
                <w:sz w:val="18"/>
              </w:rPr>
              <w:t> </w:t>
            </w:r>
            <w:r>
              <w:rPr>
                <w:sz w:val="18"/>
              </w:rPr>
              <w:t>and</w:t>
            </w:r>
            <w:r>
              <w:rPr>
                <w:spacing w:val="-6"/>
                <w:sz w:val="18"/>
              </w:rPr>
              <w:t> </w:t>
            </w:r>
            <w:r>
              <w:rPr>
                <w:sz w:val="18"/>
              </w:rPr>
              <w:t>sediment</w:t>
            </w:r>
            <w:r>
              <w:rPr>
                <w:spacing w:val="-9"/>
                <w:sz w:val="18"/>
              </w:rPr>
              <w:t> </w:t>
            </w:r>
            <w:r>
              <w:rPr>
                <w:sz w:val="18"/>
              </w:rPr>
              <w:t>delivery on roads through storm damage risk reduction treatments, full hydrologic decommissioning, and other accepted treatment measures on 116 miles of hydrologically connected road.</w:t>
            </w:r>
          </w:p>
        </w:tc>
        <w:tc>
          <w:tcPr>
            <w:tcW w:w="2377" w:type="dxa"/>
          </w:tcPr>
          <w:p>
            <w:pPr>
              <w:pStyle w:val="TableParagraph"/>
              <w:spacing w:before="40"/>
              <w:ind w:left="106" w:right="142"/>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forest plan implementation</w:t>
            </w:r>
          </w:p>
        </w:tc>
      </w:tr>
      <w:tr>
        <w:trPr>
          <w:trHeight w:val="1527"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13"/>
              <w:rPr>
                <w:sz w:val="18"/>
              </w:rPr>
            </w:pPr>
            <w:r>
              <w:rPr>
                <w:sz w:val="18"/>
              </w:rPr>
              <w:t>Restore</w:t>
            </w:r>
            <w:r>
              <w:rPr>
                <w:spacing w:val="-2"/>
                <w:sz w:val="18"/>
              </w:rPr>
              <w:t> </w:t>
            </w:r>
            <w:r>
              <w:rPr>
                <w:sz w:val="18"/>
              </w:rPr>
              <w:t>or</w:t>
            </w:r>
            <w:r>
              <w:rPr>
                <w:spacing w:val="-2"/>
                <w:sz w:val="18"/>
              </w:rPr>
              <w:t> </w:t>
            </w:r>
            <w:r>
              <w:rPr>
                <w:sz w:val="18"/>
              </w:rPr>
              <w:t>maintain</w:t>
            </w:r>
            <w:r>
              <w:rPr>
                <w:spacing w:val="-2"/>
                <w:sz w:val="18"/>
              </w:rPr>
              <w:t> </w:t>
            </w:r>
            <w:r>
              <w:rPr>
                <w:sz w:val="18"/>
              </w:rPr>
              <w:t>aquatic organism</w:t>
            </w:r>
            <w:r>
              <w:rPr>
                <w:spacing w:val="-1"/>
                <w:sz w:val="18"/>
              </w:rPr>
              <w:t> </w:t>
            </w:r>
            <w:r>
              <w:rPr>
                <w:sz w:val="18"/>
              </w:rPr>
              <w:t>passage and improve hydrologic and aquatic habitat function at 53 road/stream crossings for all native aquatic species,</w:t>
            </w:r>
            <w:r>
              <w:rPr>
                <w:spacing w:val="-1"/>
                <w:sz w:val="18"/>
              </w:rPr>
              <w:t> </w:t>
            </w:r>
            <w:r>
              <w:rPr>
                <w:sz w:val="18"/>
              </w:rPr>
              <w:t>seasons, flows, and life</w:t>
            </w:r>
            <w:r>
              <w:rPr>
                <w:spacing w:val="-6"/>
                <w:sz w:val="18"/>
              </w:rPr>
              <w:t> </w:t>
            </w:r>
            <w:r>
              <w:rPr>
                <w:sz w:val="18"/>
              </w:rPr>
              <w:t>stages</w:t>
            </w:r>
            <w:r>
              <w:rPr>
                <w:spacing w:val="-5"/>
                <w:sz w:val="18"/>
              </w:rPr>
              <w:t> </w:t>
            </w:r>
            <w:r>
              <w:rPr>
                <w:sz w:val="18"/>
              </w:rPr>
              <w:t>in</w:t>
            </w:r>
            <w:r>
              <w:rPr>
                <w:spacing w:val="-6"/>
                <w:sz w:val="18"/>
              </w:rPr>
              <w:t> </w:t>
            </w:r>
            <w:r>
              <w:rPr>
                <w:sz w:val="18"/>
              </w:rPr>
              <w:t>key</w:t>
            </w:r>
            <w:r>
              <w:rPr>
                <w:spacing w:val="-5"/>
                <w:sz w:val="18"/>
              </w:rPr>
              <w:t> </w:t>
            </w:r>
            <w:r>
              <w:rPr>
                <w:sz w:val="18"/>
              </w:rPr>
              <w:t>watersheds</w:t>
            </w:r>
            <w:r>
              <w:rPr>
                <w:spacing w:val="-3"/>
                <w:sz w:val="18"/>
              </w:rPr>
              <w:t> </w:t>
            </w:r>
            <w:r>
              <w:rPr>
                <w:sz w:val="18"/>
              </w:rPr>
              <w:t>through</w:t>
            </w:r>
            <w:r>
              <w:rPr>
                <w:spacing w:val="-6"/>
                <w:sz w:val="18"/>
              </w:rPr>
              <w:t> </w:t>
            </w:r>
            <w:r>
              <w:rPr>
                <w:sz w:val="18"/>
              </w:rPr>
              <w:t>culvert</w:t>
            </w:r>
            <w:r>
              <w:rPr>
                <w:spacing w:val="-4"/>
                <w:sz w:val="18"/>
              </w:rPr>
              <w:t> </w:t>
            </w:r>
            <w:r>
              <w:rPr>
                <w:sz w:val="18"/>
              </w:rPr>
              <w:t>replacement</w:t>
            </w:r>
            <w:r>
              <w:rPr>
                <w:spacing w:val="-6"/>
                <w:sz w:val="18"/>
              </w:rPr>
              <w:t> </w:t>
            </w:r>
            <w:r>
              <w:rPr>
                <w:sz w:val="18"/>
              </w:rPr>
              <w:t>or crossing improvement and natural channel design or other acceptable treatment measures that provide for natural stream channel function at all flows</w:t>
            </w:r>
          </w:p>
        </w:tc>
        <w:tc>
          <w:tcPr>
            <w:tcW w:w="2377" w:type="dxa"/>
          </w:tcPr>
          <w:p>
            <w:pPr>
              <w:pStyle w:val="TableParagraph"/>
              <w:ind w:left="106" w:right="142" w:hanging="1"/>
              <w:rPr>
                <w:sz w:val="18"/>
              </w:rPr>
            </w:pPr>
            <w:r>
              <w:rPr>
                <w:sz w:val="18"/>
              </w:rPr>
              <w:t>Within</w:t>
            </w:r>
            <w:r>
              <w:rPr>
                <w:spacing w:val="-7"/>
                <w:sz w:val="18"/>
              </w:rPr>
              <w:t> </w:t>
            </w:r>
            <w:r>
              <w:rPr>
                <w:sz w:val="18"/>
              </w:rPr>
              <w:t>15</w:t>
            </w:r>
            <w:r>
              <w:rPr>
                <w:spacing w:val="-10"/>
                <w:sz w:val="18"/>
              </w:rPr>
              <w:t> </w:t>
            </w:r>
            <w:r>
              <w:rPr>
                <w:sz w:val="18"/>
              </w:rPr>
              <w:t>years</w:t>
            </w:r>
            <w:r>
              <w:rPr>
                <w:spacing w:val="-9"/>
                <w:sz w:val="18"/>
              </w:rPr>
              <w:t> </w:t>
            </w:r>
            <w:r>
              <w:rPr>
                <w:sz w:val="18"/>
              </w:rPr>
              <w:t>of</w:t>
            </w:r>
            <w:r>
              <w:rPr>
                <w:spacing w:val="-8"/>
                <w:sz w:val="18"/>
              </w:rPr>
              <w:t> </w:t>
            </w:r>
            <w:r>
              <w:rPr>
                <w:sz w:val="18"/>
              </w:rPr>
              <w:t>forest plan implementation</w:t>
            </w:r>
          </w:p>
        </w:tc>
      </w:tr>
      <w:tr>
        <w:trPr>
          <w:trHeight w:val="908" w:hRule="atLeast"/>
        </w:trPr>
        <w:tc>
          <w:tcPr>
            <w:tcW w:w="1702" w:type="dxa"/>
          </w:tcPr>
          <w:p>
            <w:pPr>
              <w:pStyle w:val="TableParagraph"/>
              <w:spacing w:before="42"/>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spacing w:before="42"/>
              <w:ind w:left="107" w:right="167"/>
              <w:rPr>
                <w:sz w:val="18"/>
              </w:rPr>
            </w:pPr>
            <w:r>
              <w:rPr>
                <w:sz w:val="18"/>
              </w:rPr>
              <w:t>Improve hydrologic and aquatic function through range infrastructure improvements, including riparian fencing, movement</w:t>
            </w:r>
            <w:r>
              <w:rPr>
                <w:spacing w:val="-5"/>
                <w:sz w:val="18"/>
              </w:rPr>
              <w:t> </w:t>
            </w:r>
            <w:r>
              <w:rPr>
                <w:sz w:val="18"/>
              </w:rPr>
              <w:t>and</w:t>
            </w:r>
            <w:r>
              <w:rPr>
                <w:spacing w:val="-5"/>
                <w:sz w:val="18"/>
              </w:rPr>
              <w:t> </w:t>
            </w:r>
            <w:r>
              <w:rPr>
                <w:sz w:val="18"/>
              </w:rPr>
              <w:t>improvement</w:t>
            </w:r>
            <w:r>
              <w:rPr>
                <w:spacing w:val="-7"/>
                <w:sz w:val="18"/>
              </w:rPr>
              <w:t> </w:t>
            </w:r>
            <w:r>
              <w:rPr>
                <w:sz w:val="18"/>
              </w:rPr>
              <w:t>of</w:t>
            </w:r>
            <w:r>
              <w:rPr>
                <w:spacing w:val="-5"/>
                <w:sz w:val="18"/>
              </w:rPr>
              <w:t> </w:t>
            </w:r>
            <w:r>
              <w:rPr>
                <w:sz w:val="18"/>
              </w:rPr>
              <w:t>watering</w:t>
            </w:r>
            <w:r>
              <w:rPr>
                <w:spacing w:val="-5"/>
                <w:sz w:val="18"/>
              </w:rPr>
              <w:t> </w:t>
            </w:r>
            <w:r>
              <w:rPr>
                <w:sz w:val="18"/>
              </w:rPr>
              <w:t>troughs,</w:t>
            </w:r>
            <w:r>
              <w:rPr>
                <w:spacing w:val="-5"/>
                <w:sz w:val="18"/>
              </w:rPr>
              <w:t> </w:t>
            </w:r>
            <w:r>
              <w:rPr>
                <w:sz w:val="18"/>
              </w:rPr>
              <w:t>and</w:t>
            </w:r>
            <w:r>
              <w:rPr>
                <w:spacing w:val="-5"/>
                <w:sz w:val="18"/>
              </w:rPr>
              <w:t> </w:t>
            </w:r>
            <w:r>
              <w:rPr>
                <w:sz w:val="18"/>
              </w:rPr>
              <w:t>other acceptable treatments over 240 acres.</w:t>
            </w:r>
          </w:p>
        </w:tc>
        <w:tc>
          <w:tcPr>
            <w:tcW w:w="2377" w:type="dxa"/>
          </w:tcPr>
          <w:p>
            <w:pPr>
              <w:pStyle w:val="TableParagraph"/>
              <w:spacing w:before="42"/>
              <w:ind w:left="106" w:right="142"/>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forest plan implementation</w:t>
            </w:r>
          </w:p>
        </w:tc>
      </w:tr>
      <w:tr>
        <w:trPr>
          <w:trHeight w:val="700"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7" w:right="167"/>
              <w:rPr>
                <w:sz w:val="18"/>
              </w:rPr>
            </w:pPr>
            <w:r>
              <w:rPr>
                <w:sz w:val="18"/>
              </w:rPr>
              <w:t>Move</w:t>
            </w:r>
            <w:r>
              <w:rPr>
                <w:spacing w:val="-6"/>
                <w:sz w:val="18"/>
              </w:rPr>
              <w:t> </w:t>
            </w:r>
            <w:r>
              <w:rPr>
                <w:sz w:val="18"/>
              </w:rPr>
              <w:t>upland</w:t>
            </w:r>
            <w:r>
              <w:rPr>
                <w:spacing w:val="-6"/>
                <w:sz w:val="18"/>
              </w:rPr>
              <w:t> </w:t>
            </w:r>
            <w:r>
              <w:rPr>
                <w:sz w:val="18"/>
              </w:rPr>
              <w:t>vegetation</w:t>
            </w:r>
            <w:r>
              <w:rPr>
                <w:spacing w:val="-6"/>
                <w:sz w:val="18"/>
              </w:rPr>
              <w:t> </w:t>
            </w:r>
            <w:r>
              <w:rPr>
                <w:sz w:val="18"/>
              </w:rPr>
              <w:t>within</w:t>
            </w:r>
            <w:r>
              <w:rPr>
                <w:spacing w:val="-8"/>
                <w:sz w:val="18"/>
              </w:rPr>
              <w:t> </w:t>
            </w:r>
            <w:r>
              <w:rPr>
                <w:sz w:val="18"/>
              </w:rPr>
              <w:t>Riparian</w:t>
            </w:r>
            <w:r>
              <w:rPr>
                <w:spacing w:val="-5"/>
                <w:sz w:val="18"/>
              </w:rPr>
              <w:t> </w:t>
            </w:r>
            <w:r>
              <w:rPr>
                <w:sz w:val="18"/>
              </w:rPr>
              <w:t>Management</w:t>
            </w:r>
            <w:r>
              <w:rPr>
                <w:spacing w:val="-6"/>
                <w:sz w:val="18"/>
              </w:rPr>
              <w:t> </w:t>
            </w:r>
            <w:r>
              <w:rPr>
                <w:sz w:val="18"/>
              </w:rPr>
              <w:t>Areas in key watersheds toward historical range of variability on 1,500 acres.</w:t>
            </w:r>
          </w:p>
        </w:tc>
        <w:tc>
          <w:tcPr>
            <w:tcW w:w="2377" w:type="dxa"/>
          </w:tcPr>
          <w:p>
            <w:pPr>
              <w:pStyle w:val="TableParagraph"/>
              <w:ind w:left="106" w:right="142"/>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forest plan implementation</w:t>
            </w:r>
          </w:p>
        </w:tc>
      </w:tr>
      <w:tr>
        <w:trPr>
          <w:trHeight w:val="1115" w:hRule="atLeast"/>
        </w:trPr>
        <w:tc>
          <w:tcPr>
            <w:tcW w:w="1702" w:type="dxa"/>
          </w:tcPr>
          <w:p>
            <w:pPr>
              <w:pStyle w:val="TableParagraph"/>
              <w:spacing w:before="42"/>
              <w:ind w:left="70" w:right="64"/>
              <w:jc w:val="center"/>
              <w:rPr>
                <w:b/>
                <w:sz w:val="18"/>
              </w:rPr>
            </w:pPr>
            <w:r>
              <w:rPr>
                <w:b/>
                <w:sz w:val="18"/>
              </w:rPr>
              <w:t>Water </w:t>
            </w:r>
            <w:r>
              <w:rPr>
                <w:b/>
                <w:spacing w:val="-2"/>
                <w:sz w:val="18"/>
              </w:rPr>
              <w:t>Resources</w:t>
            </w:r>
          </w:p>
        </w:tc>
        <w:tc>
          <w:tcPr>
            <w:tcW w:w="5067" w:type="dxa"/>
          </w:tcPr>
          <w:p>
            <w:pPr>
              <w:pStyle w:val="TableParagraph"/>
              <w:spacing w:before="42"/>
              <w:ind w:left="107" w:right="167"/>
              <w:rPr>
                <w:sz w:val="18"/>
              </w:rPr>
            </w:pPr>
            <w:r>
              <w:rPr>
                <w:sz w:val="18"/>
              </w:rPr>
              <w:t>Restore hydrologic, geomorphic, and riparian process and function on 81 miles of stream through activities including streambank stabilization, restoration of lateral and vertical hydrologic</w:t>
            </w:r>
            <w:r>
              <w:rPr>
                <w:spacing w:val="-6"/>
                <w:sz w:val="18"/>
              </w:rPr>
              <w:t> </w:t>
            </w:r>
            <w:r>
              <w:rPr>
                <w:sz w:val="18"/>
              </w:rPr>
              <w:t>connectivity</w:t>
            </w:r>
            <w:r>
              <w:rPr>
                <w:spacing w:val="-6"/>
                <w:sz w:val="18"/>
              </w:rPr>
              <w:t> </w:t>
            </w:r>
            <w:r>
              <w:rPr>
                <w:sz w:val="18"/>
              </w:rPr>
              <w:t>and</w:t>
            </w:r>
            <w:r>
              <w:rPr>
                <w:spacing w:val="-7"/>
                <w:sz w:val="18"/>
              </w:rPr>
              <w:t> </w:t>
            </w:r>
            <w:r>
              <w:rPr>
                <w:sz w:val="18"/>
              </w:rPr>
              <w:t>improvement</w:t>
            </w:r>
            <w:r>
              <w:rPr>
                <w:spacing w:val="-5"/>
                <w:sz w:val="18"/>
              </w:rPr>
              <w:t> </w:t>
            </w:r>
            <w:r>
              <w:rPr>
                <w:sz w:val="18"/>
              </w:rPr>
              <w:t>of</w:t>
            </w:r>
            <w:r>
              <w:rPr>
                <w:spacing w:val="-7"/>
                <w:sz w:val="18"/>
              </w:rPr>
              <w:t> </w:t>
            </w:r>
            <w:r>
              <w:rPr>
                <w:sz w:val="18"/>
              </w:rPr>
              <w:t>stream</w:t>
            </w:r>
            <w:r>
              <w:rPr>
                <w:spacing w:val="-6"/>
                <w:sz w:val="18"/>
              </w:rPr>
              <w:t> </w:t>
            </w:r>
            <w:r>
              <w:rPr>
                <w:sz w:val="18"/>
              </w:rPr>
              <w:t>channel and floodplain function.</w:t>
            </w:r>
          </w:p>
        </w:tc>
        <w:tc>
          <w:tcPr>
            <w:tcW w:w="2377" w:type="dxa"/>
          </w:tcPr>
          <w:p>
            <w:pPr>
              <w:pStyle w:val="TableParagraph"/>
              <w:spacing w:before="42"/>
              <w:ind w:left="106" w:right="142"/>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forest plan implementation</w:t>
            </w:r>
          </w:p>
        </w:tc>
      </w:tr>
      <w:tr>
        <w:trPr>
          <w:trHeight w:val="455" w:hRule="atLeast"/>
        </w:trPr>
        <w:tc>
          <w:tcPr>
            <w:tcW w:w="1702" w:type="dxa"/>
          </w:tcPr>
          <w:p>
            <w:pPr>
              <w:pStyle w:val="TableParagraph"/>
              <w:spacing w:before="42"/>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spacing w:line="206" w:lineRule="exact" w:before="23"/>
              <w:ind w:left="107" w:right="113"/>
              <w:rPr>
                <w:sz w:val="18"/>
              </w:rPr>
            </w:pPr>
            <w:r>
              <w:rPr>
                <w:sz w:val="18"/>
              </w:rPr>
              <w:t>Implement the watershed condition framework through completion</w:t>
            </w:r>
            <w:r>
              <w:rPr>
                <w:spacing w:val="-8"/>
                <w:sz w:val="18"/>
              </w:rPr>
              <w:t> </w:t>
            </w:r>
            <w:r>
              <w:rPr>
                <w:sz w:val="18"/>
              </w:rPr>
              <w:t>of</w:t>
            </w:r>
            <w:r>
              <w:rPr>
                <w:spacing w:val="-6"/>
                <w:sz w:val="18"/>
              </w:rPr>
              <w:t> </w:t>
            </w:r>
            <w:r>
              <w:rPr>
                <w:sz w:val="18"/>
              </w:rPr>
              <w:t>essential</w:t>
            </w:r>
            <w:r>
              <w:rPr>
                <w:spacing w:val="-5"/>
                <w:sz w:val="18"/>
              </w:rPr>
              <w:t> </w:t>
            </w:r>
            <w:r>
              <w:rPr>
                <w:sz w:val="18"/>
              </w:rPr>
              <w:t>projects</w:t>
            </w:r>
            <w:r>
              <w:rPr>
                <w:spacing w:val="-5"/>
                <w:sz w:val="18"/>
              </w:rPr>
              <w:t> </w:t>
            </w:r>
            <w:r>
              <w:rPr>
                <w:sz w:val="18"/>
              </w:rPr>
              <w:t>outlined</w:t>
            </w:r>
            <w:r>
              <w:rPr>
                <w:spacing w:val="-5"/>
                <w:sz w:val="18"/>
              </w:rPr>
              <w:t> </w:t>
            </w:r>
            <w:r>
              <w:rPr>
                <w:sz w:val="18"/>
              </w:rPr>
              <w:t>in</w:t>
            </w:r>
            <w:r>
              <w:rPr>
                <w:spacing w:val="-5"/>
                <w:sz w:val="18"/>
              </w:rPr>
              <w:t> </w:t>
            </w:r>
            <w:r>
              <w:rPr>
                <w:sz w:val="18"/>
              </w:rPr>
              <w:t>watershed</w:t>
            </w:r>
            <w:r>
              <w:rPr>
                <w:spacing w:val="-5"/>
                <w:sz w:val="18"/>
              </w:rPr>
              <w:t> </w:t>
            </w:r>
            <w:r>
              <w:rPr>
                <w:sz w:val="18"/>
              </w:rPr>
              <w:t>action</w:t>
            </w:r>
          </w:p>
        </w:tc>
        <w:tc>
          <w:tcPr>
            <w:tcW w:w="2377" w:type="dxa"/>
          </w:tcPr>
          <w:p>
            <w:pPr>
              <w:pStyle w:val="TableParagraph"/>
              <w:spacing w:before="42"/>
              <w:ind w:left="106"/>
              <w:rPr>
                <w:sz w:val="18"/>
              </w:rPr>
            </w:pPr>
            <w:r>
              <w:rPr>
                <w:sz w:val="18"/>
              </w:rPr>
              <w:t>Over</w:t>
            </w:r>
            <w:r>
              <w:rPr>
                <w:spacing w:val="-5"/>
                <w:sz w:val="18"/>
              </w:rPr>
              <w:t> </w:t>
            </w:r>
            <w:r>
              <w:rPr>
                <w:sz w:val="18"/>
              </w:rPr>
              <w:t>15</w:t>
            </w:r>
            <w:r>
              <w:rPr>
                <w:spacing w:val="-1"/>
                <w:sz w:val="18"/>
              </w:rPr>
              <w:t> </w:t>
            </w:r>
            <w:r>
              <w:rPr>
                <w:spacing w:val="-2"/>
                <w:sz w:val="18"/>
              </w:rPr>
              <w:t>years</w:t>
            </w:r>
          </w:p>
        </w:tc>
      </w:tr>
    </w:tbl>
    <w:p>
      <w:pPr>
        <w:pStyle w:val="TableParagraph"/>
        <w:spacing w:after="0"/>
        <w:rPr>
          <w:sz w:val="18"/>
        </w:rPr>
        <w:sectPr>
          <w:pgSz w:w="12240" w:h="15840"/>
          <w:pgMar w:header="725" w:footer="891" w:top="1340" w:bottom="1080" w:left="1080" w:right="1080"/>
        </w:sectPr>
      </w:pPr>
    </w:p>
    <w:p>
      <w:pPr>
        <w:pStyle w:val="BodyText"/>
        <w:rPr>
          <w:rFonts w:ascii="Arial"/>
          <w:b/>
          <w:sz w:val="7"/>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5067"/>
        <w:gridCol w:w="2377"/>
      </w:tblGrid>
      <w:tr>
        <w:trPr>
          <w:trHeight w:val="294" w:hRule="atLeast"/>
        </w:trPr>
        <w:tc>
          <w:tcPr>
            <w:tcW w:w="1702" w:type="dxa"/>
            <w:shd w:val="clear" w:color="auto" w:fill="D5E2BB"/>
          </w:tcPr>
          <w:p>
            <w:pPr>
              <w:pStyle w:val="TableParagraph"/>
              <w:ind w:left="82" w:right="64"/>
              <w:jc w:val="center"/>
              <w:rPr>
                <w:b/>
                <w:sz w:val="18"/>
              </w:rPr>
            </w:pPr>
            <w:r>
              <w:rPr>
                <w:b/>
                <w:spacing w:val="-2"/>
                <w:sz w:val="18"/>
              </w:rPr>
              <w:t>Category</w:t>
            </w:r>
          </w:p>
        </w:tc>
        <w:tc>
          <w:tcPr>
            <w:tcW w:w="5067" w:type="dxa"/>
            <w:shd w:val="clear" w:color="auto" w:fill="D5E2BB"/>
          </w:tcPr>
          <w:p>
            <w:pPr>
              <w:pStyle w:val="TableParagraph"/>
              <w:ind w:left="24" w:right="5"/>
              <w:jc w:val="center"/>
              <w:rPr>
                <w:b/>
                <w:sz w:val="18"/>
              </w:rPr>
            </w:pPr>
            <w:r>
              <w:rPr>
                <w:b/>
                <w:spacing w:val="-2"/>
                <w:sz w:val="18"/>
              </w:rPr>
              <w:t>Project/Activity</w:t>
            </w:r>
          </w:p>
        </w:tc>
        <w:tc>
          <w:tcPr>
            <w:tcW w:w="2377" w:type="dxa"/>
            <w:shd w:val="clear" w:color="auto" w:fill="D5E2BB"/>
          </w:tcPr>
          <w:p>
            <w:pPr>
              <w:pStyle w:val="TableParagraph"/>
              <w:ind w:left="200"/>
              <w:rPr>
                <w:b/>
                <w:sz w:val="18"/>
              </w:rPr>
            </w:pPr>
            <w:r>
              <w:rPr>
                <w:b/>
                <w:sz w:val="18"/>
              </w:rPr>
              <w:t>Timeframe</w:t>
            </w:r>
            <w:r>
              <w:rPr>
                <w:b/>
                <w:spacing w:val="-3"/>
                <w:sz w:val="18"/>
              </w:rPr>
              <w:t> </w:t>
            </w:r>
            <w:r>
              <w:rPr>
                <w:b/>
                <w:sz w:val="18"/>
              </w:rPr>
              <w:t>to</w:t>
            </w:r>
            <w:r>
              <w:rPr>
                <w:b/>
                <w:spacing w:val="-1"/>
                <w:sz w:val="18"/>
              </w:rPr>
              <w:t> </w:t>
            </w:r>
            <w:r>
              <w:rPr>
                <w:b/>
                <w:spacing w:val="-2"/>
                <w:sz w:val="18"/>
              </w:rPr>
              <w:t>complete</w:t>
            </w:r>
          </w:p>
        </w:tc>
      </w:tr>
      <w:tr>
        <w:trPr>
          <w:trHeight w:val="455" w:hRule="atLeast"/>
        </w:trPr>
        <w:tc>
          <w:tcPr>
            <w:tcW w:w="1702" w:type="dxa"/>
          </w:tcPr>
          <w:p>
            <w:pPr>
              <w:pStyle w:val="TableParagraph"/>
              <w:spacing w:before="0"/>
              <w:rPr>
                <w:rFonts w:ascii="Times New Roman"/>
                <w:sz w:val="18"/>
              </w:rPr>
            </w:pPr>
          </w:p>
        </w:tc>
        <w:tc>
          <w:tcPr>
            <w:tcW w:w="5067" w:type="dxa"/>
          </w:tcPr>
          <w:p>
            <w:pPr>
              <w:pStyle w:val="TableParagraph"/>
              <w:spacing w:before="1"/>
              <w:ind w:left="104" w:right="167"/>
              <w:rPr>
                <w:sz w:val="18"/>
              </w:rPr>
            </w:pPr>
            <w:r>
              <w:rPr>
                <w:sz w:val="18"/>
              </w:rPr>
              <w:t>plans</w:t>
            </w:r>
            <w:r>
              <w:rPr>
                <w:spacing w:val="-3"/>
                <w:sz w:val="18"/>
              </w:rPr>
              <w:t> </w:t>
            </w:r>
            <w:r>
              <w:rPr>
                <w:sz w:val="18"/>
              </w:rPr>
              <w:t>in</w:t>
            </w:r>
            <w:r>
              <w:rPr>
                <w:spacing w:val="-6"/>
                <w:sz w:val="18"/>
              </w:rPr>
              <w:t> </w:t>
            </w:r>
            <w:r>
              <w:rPr>
                <w:sz w:val="18"/>
              </w:rPr>
              <w:t>existing</w:t>
            </w:r>
            <w:r>
              <w:rPr>
                <w:spacing w:val="-6"/>
                <w:sz w:val="18"/>
              </w:rPr>
              <w:t> </w:t>
            </w:r>
            <w:r>
              <w:rPr>
                <w:sz w:val="18"/>
              </w:rPr>
              <w:t>focus</w:t>
            </w:r>
            <w:r>
              <w:rPr>
                <w:spacing w:val="-5"/>
                <w:sz w:val="18"/>
              </w:rPr>
              <w:t> </w:t>
            </w:r>
            <w:r>
              <w:rPr>
                <w:sz w:val="18"/>
              </w:rPr>
              <w:t>and</w:t>
            </w:r>
            <w:r>
              <w:rPr>
                <w:spacing w:val="-6"/>
                <w:sz w:val="18"/>
              </w:rPr>
              <w:t> </w:t>
            </w:r>
            <w:r>
              <w:rPr>
                <w:sz w:val="18"/>
              </w:rPr>
              <w:t>priority</w:t>
            </w:r>
            <w:r>
              <w:rPr>
                <w:spacing w:val="-5"/>
                <w:sz w:val="18"/>
              </w:rPr>
              <w:t> </w:t>
            </w:r>
            <w:r>
              <w:rPr>
                <w:sz w:val="18"/>
              </w:rPr>
              <w:t>watersheds</w:t>
            </w:r>
            <w:r>
              <w:rPr>
                <w:spacing w:val="-3"/>
                <w:sz w:val="18"/>
              </w:rPr>
              <w:t> </w:t>
            </w:r>
            <w:r>
              <w:rPr>
                <w:sz w:val="18"/>
              </w:rPr>
              <w:t>to</w:t>
            </w:r>
            <w:r>
              <w:rPr>
                <w:spacing w:val="-3"/>
                <w:sz w:val="18"/>
              </w:rPr>
              <w:t> </w:t>
            </w:r>
            <w:r>
              <w:rPr>
                <w:sz w:val="18"/>
              </w:rPr>
              <w:t>improve watershed condition class.</w:t>
            </w:r>
          </w:p>
        </w:tc>
        <w:tc>
          <w:tcPr>
            <w:tcW w:w="2377" w:type="dxa"/>
          </w:tcPr>
          <w:p>
            <w:pPr>
              <w:pStyle w:val="TableParagraph"/>
              <w:spacing w:before="0"/>
              <w:rPr>
                <w:rFonts w:ascii="Times New Roman"/>
                <w:sz w:val="18"/>
              </w:rPr>
            </w:pPr>
          </w:p>
        </w:tc>
      </w:tr>
      <w:tr>
        <w:trPr>
          <w:trHeight w:val="1734" w:hRule="atLeast"/>
        </w:trPr>
        <w:tc>
          <w:tcPr>
            <w:tcW w:w="1702" w:type="dxa"/>
          </w:tcPr>
          <w:p>
            <w:pPr>
              <w:pStyle w:val="TableParagraph"/>
              <w:ind w:left="70" w:right="64"/>
              <w:jc w:val="center"/>
              <w:rPr>
                <w:b/>
                <w:sz w:val="18"/>
              </w:rPr>
            </w:pPr>
            <w:r>
              <w:rPr>
                <w:b/>
                <w:sz w:val="18"/>
              </w:rPr>
              <w:t>Water</w:t>
            </w:r>
            <w:r>
              <w:rPr>
                <w:b/>
                <w:spacing w:val="-1"/>
                <w:sz w:val="18"/>
              </w:rPr>
              <w:t> </w:t>
            </w:r>
            <w:r>
              <w:rPr>
                <w:b/>
                <w:spacing w:val="-2"/>
                <w:sz w:val="18"/>
              </w:rPr>
              <w:t>Resources</w:t>
            </w:r>
          </w:p>
        </w:tc>
        <w:tc>
          <w:tcPr>
            <w:tcW w:w="5067" w:type="dxa"/>
          </w:tcPr>
          <w:p>
            <w:pPr>
              <w:pStyle w:val="TableParagraph"/>
              <w:ind w:left="104" w:right="167"/>
              <w:rPr>
                <w:sz w:val="18"/>
              </w:rPr>
            </w:pPr>
            <w:r>
              <w:rPr>
                <w:sz w:val="18"/>
              </w:rPr>
              <w:t>Complete or update watershed analyses for 5 subwatersheds. Criteria for selecting subwatershed for watershed analysis include: Key Watersheds, Priority Watersheds,</w:t>
            </w:r>
            <w:r>
              <w:rPr>
                <w:spacing w:val="-3"/>
                <w:sz w:val="18"/>
              </w:rPr>
              <w:t> </w:t>
            </w:r>
            <w:r>
              <w:rPr>
                <w:sz w:val="18"/>
              </w:rPr>
              <w:t>watersheds</w:t>
            </w:r>
            <w:r>
              <w:rPr>
                <w:spacing w:val="-2"/>
                <w:sz w:val="18"/>
              </w:rPr>
              <w:t> </w:t>
            </w:r>
            <w:r>
              <w:rPr>
                <w:sz w:val="18"/>
              </w:rPr>
              <w:t>that</w:t>
            </w:r>
            <w:r>
              <w:rPr>
                <w:spacing w:val="-5"/>
                <w:sz w:val="18"/>
              </w:rPr>
              <w:t> </w:t>
            </w:r>
            <w:r>
              <w:rPr>
                <w:sz w:val="18"/>
              </w:rPr>
              <w:t>support</w:t>
            </w:r>
            <w:r>
              <w:rPr>
                <w:spacing w:val="-3"/>
                <w:sz w:val="18"/>
              </w:rPr>
              <w:t> </w:t>
            </w:r>
            <w:r>
              <w:rPr>
                <w:sz w:val="18"/>
              </w:rPr>
              <w:t>designated</w:t>
            </w:r>
            <w:r>
              <w:rPr>
                <w:spacing w:val="-5"/>
                <w:sz w:val="18"/>
              </w:rPr>
              <w:t> </w:t>
            </w:r>
            <w:r>
              <w:rPr>
                <w:sz w:val="18"/>
              </w:rPr>
              <w:t>critical habitat,</w:t>
            </w:r>
            <w:r>
              <w:rPr>
                <w:spacing w:val="-5"/>
                <w:sz w:val="18"/>
              </w:rPr>
              <w:t> </w:t>
            </w:r>
            <w:r>
              <w:rPr>
                <w:sz w:val="18"/>
              </w:rPr>
              <w:t>or</w:t>
            </w:r>
            <w:r>
              <w:rPr>
                <w:spacing w:val="-7"/>
                <w:sz w:val="18"/>
              </w:rPr>
              <w:t> </w:t>
            </w:r>
            <w:r>
              <w:rPr>
                <w:sz w:val="18"/>
              </w:rPr>
              <w:t>support</w:t>
            </w:r>
            <w:r>
              <w:rPr>
                <w:spacing w:val="-7"/>
                <w:sz w:val="18"/>
              </w:rPr>
              <w:t> </w:t>
            </w:r>
            <w:r>
              <w:rPr>
                <w:sz w:val="18"/>
              </w:rPr>
              <w:t>listed</w:t>
            </w:r>
            <w:r>
              <w:rPr>
                <w:spacing w:val="-7"/>
                <w:sz w:val="18"/>
              </w:rPr>
              <w:t> </w:t>
            </w:r>
            <w:r>
              <w:rPr>
                <w:sz w:val="18"/>
              </w:rPr>
              <w:t>species,</w:t>
            </w:r>
            <w:r>
              <w:rPr>
                <w:spacing w:val="-5"/>
                <w:sz w:val="18"/>
              </w:rPr>
              <w:t> </w:t>
            </w:r>
            <w:r>
              <w:rPr>
                <w:sz w:val="18"/>
              </w:rPr>
              <w:t>and</w:t>
            </w:r>
            <w:r>
              <w:rPr>
                <w:spacing w:val="-4"/>
                <w:sz w:val="18"/>
              </w:rPr>
              <w:t> </w:t>
            </w:r>
            <w:r>
              <w:rPr>
                <w:sz w:val="18"/>
              </w:rPr>
              <w:t>watersheds</w:t>
            </w:r>
            <w:r>
              <w:rPr>
                <w:spacing w:val="-4"/>
                <w:sz w:val="18"/>
              </w:rPr>
              <w:t> </w:t>
            </w:r>
            <w:r>
              <w:rPr>
                <w:sz w:val="18"/>
              </w:rPr>
              <w:t>where management</w:t>
            </w:r>
            <w:r>
              <w:rPr>
                <w:spacing w:val="-4"/>
                <w:sz w:val="18"/>
              </w:rPr>
              <w:t> </w:t>
            </w:r>
            <w:r>
              <w:rPr>
                <w:sz w:val="18"/>
              </w:rPr>
              <w:t>activities</w:t>
            </w:r>
            <w:r>
              <w:rPr>
                <w:spacing w:val="-1"/>
                <w:sz w:val="18"/>
              </w:rPr>
              <w:t> </w:t>
            </w:r>
            <w:r>
              <w:rPr>
                <w:sz w:val="18"/>
              </w:rPr>
              <w:t>are</w:t>
            </w:r>
            <w:r>
              <w:rPr>
                <w:spacing w:val="-1"/>
                <w:sz w:val="18"/>
              </w:rPr>
              <w:t> </w:t>
            </w:r>
            <w:r>
              <w:rPr>
                <w:sz w:val="18"/>
              </w:rPr>
              <w:t>likely</w:t>
            </w:r>
            <w:r>
              <w:rPr>
                <w:spacing w:val="-3"/>
                <w:sz w:val="18"/>
              </w:rPr>
              <w:t> </w:t>
            </w:r>
            <w:r>
              <w:rPr>
                <w:sz w:val="18"/>
              </w:rPr>
              <w:t>to</w:t>
            </w:r>
            <w:r>
              <w:rPr>
                <w:spacing w:val="-1"/>
                <w:sz w:val="18"/>
              </w:rPr>
              <w:t> </w:t>
            </w:r>
            <w:r>
              <w:rPr>
                <w:sz w:val="18"/>
              </w:rPr>
              <w:t>occur</w:t>
            </w:r>
            <w:r>
              <w:rPr>
                <w:spacing w:val="-4"/>
                <w:sz w:val="18"/>
              </w:rPr>
              <w:t> </w:t>
            </w:r>
            <w:r>
              <w:rPr>
                <w:sz w:val="18"/>
              </w:rPr>
              <w:t>that</w:t>
            </w:r>
            <w:r>
              <w:rPr>
                <w:spacing w:val="-4"/>
                <w:sz w:val="18"/>
              </w:rPr>
              <w:t> </w:t>
            </w:r>
            <w:r>
              <w:rPr>
                <w:sz w:val="18"/>
              </w:rPr>
              <w:t>may</w:t>
            </w:r>
            <w:r>
              <w:rPr>
                <w:spacing w:val="-3"/>
                <w:sz w:val="18"/>
              </w:rPr>
              <w:t> </w:t>
            </w:r>
            <w:r>
              <w:rPr>
                <w:sz w:val="18"/>
              </w:rPr>
              <w:t>affect aquatic resources (due to their</w:t>
            </w:r>
            <w:r>
              <w:rPr>
                <w:spacing w:val="-3"/>
                <w:sz w:val="18"/>
              </w:rPr>
              <w:t> </w:t>
            </w:r>
            <w:r>
              <w:rPr>
                <w:sz w:val="18"/>
              </w:rPr>
              <w:t>inherent</w:t>
            </w:r>
            <w:r>
              <w:rPr>
                <w:spacing w:val="-3"/>
                <w:sz w:val="18"/>
              </w:rPr>
              <w:t> </w:t>
            </w:r>
            <w:r>
              <w:rPr>
                <w:sz w:val="18"/>
              </w:rPr>
              <w:t>nature,</w:t>
            </w:r>
            <w:r>
              <w:rPr>
                <w:spacing w:val="-1"/>
                <w:sz w:val="18"/>
              </w:rPr>
              <w:t> </w:t>
            </w:r>
            <w:r>
              <w:rPr>
                <w:sz w:val="18"/>
              </w:rPr>
              <w:t>location, timing, or scale).</w:t>
            </w:r>
          </w:p>
        </w:tc>
        <w:tc>
          <w:tcPr>
            <w:tcW w:w="2377" w:type="dxa"/>
          </w:tcPr>
          <w:p>
            <w:pPr>
              <w:pStyle w:val="TableParagraph"/>
              <w:spacing w:before="40"/>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2149" w:hRule="atLeast"/>
        </w:trPr>
        <w:tc>
          <w:tcPr>
            <w:tcW w:w="1702" w:type="dxa"/>
          </w:tcPr>
          <w:p>
            <w:pPr>
              <w:pStyle w:val="TableParagraph"/>
              <w:spacing w:before="42"/>
              <w:ind w:left="18" w:right="82"/>
              <w:jc w:val="center"/>
              <w:rPr>
                <w:b/>
                <w:sz w:val="18"/>
              </w:rPr>
            </w:pPr>
            <w:r>
              <w:rPr>
                <w:b/>
                <w:sz w:val="18"/>
              </w:rPr>
              <w:t>Wildlife</w:t>
            </w:r>
            <w:r>
              <w:rPr>
                <w:b/>
                <w:spacing w:val="-2"/>
                <w:sz w:val="18"/>
              </w:rPr>
              <w:t> Habitats</w:t>
            </w:r>
          </w:p>
        </w:tc>
        <w:tc>
          <w:tcPr>
            <w:tcW w:w="5067" w:type="dxa"/>
          </w:tcPr>
          <w:p>
            <w:pPr>
              <w:pStyle w:val="TableParagraph"/>
              <w:spacing w:before="42"/>
              <w:ind w:left="104" w:right="235"/>
              <w:rPr>
                <w:sz w:val="18"/>
              </w:rPr>
            </w:pPr>
            <w:r>
              <w:rPr>
                <w:sz w:val="18"/>
              </w:rPr>
              <w:t>Address any food or garbage storage problem areas promptly to avoid habituation of grizzly bears or other wildlife. Maintain the wildlife-resistant garbage storage devices installed in all developed campgrounds on the Colville National Forest, as needed. Install at least 15 wildlife-resistant food storage lockers at developed campgrounds</w:t>
            </w:r>
            <w:r>
              <w:rPr>
                <w:spacing w:val="-5"/>
                <w:sz w:val="18"/>
              </w:rPr>
              <w:t> </w:t>
            </w:r>
            <w:r>
              <w:rPr>
                <w:sz w:val="18"/>
              </w:rPr>
              <w:t>or</w:t>
            </w:r>
            <w:r>
              <w:rPr>
                <w:spacing w:val="-6"/>
                <w:sz w:val="18"/>
              </w:rPr>
              <w:t> </w:t>
            </w:r>
            <w:r>
              <w:rPr>
                <w:sz w:val="18"/>
              </w:rPr>
              <w:t>heavily</w:t>
            </w:r>
            <w:r>
              <w:rPr>
                <w:spacing w:val="-7"/>
                <w:sz w:val="18"/>
              </w:rPr>
              <w:t> </w:t>
            </w:r>
            <w:r>
              <w:rPr>
                <w:sz w:val="18"/>
              </w:rPr>
              <w:t>used</w:t>
            </w:r>
            <w:r>
              <w:rPr>
                <w:spacing w:val="-8"/>
                <w:sz w:val="18"/>
              </w:rPr>
              <w:t> </w:t>
            </w:r>
            <w:r>
              <w:rPr>
                <w:sz w:val="18"/>
              </w:rPr>
              <w:t>dispersed</w:t>
            </w:r>
            <w:r>
              <w:rPr>
                <w:spacing w:val="-5"/>
                <w:sz w:val="18"/>
              </w:rPr>
              <w:t> </w:t>
            </w:r>
            <w:r>
              <w:rPr>
                <w:sz w:val="18"/>
              </w:rPr>
              <w:t>campsites.</w:t>
            </w:r>
            <w:r>
              <w:rPr>
                <w:spacing w:val="-8"/>
                <w:sz w:val="18"/>
              </w:rPr>
              <w:t> </w:t>
            </w:r>
            <w:r>
              <w:rPr>
                <w:sz w:val="18"/>
              </w:rPr>
              <w:t>Priority will be given to sites within or adjacent to the grizzly bear recovery area, or to areas with documented black bear or grizzly bear food or human interactions.</w:t>
            </w:r>
          </w:p>
        </w:tc>
        <w:tc>
          <w:tcPr>
            <w:tcW w:w="2377" w:type="dxa"/>
          </w:tcPr>
          <w:p>
            <w:pPr>
              <w:pStyle w:val="TableParagraph"/>
              <w:spacing w:before="42"/>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702" w:hRule="atLeast"/>
        </w:trPr>
        <w:tc>
          <w:tcPr>
            <w:tcW w:w="1702" w:type="dxa"/>
          </w:tcPr>
          <w:p>
            <w:pPr>
              <w:pStyle w:val="TableParagraph"/>
              <w:spacing w:before="42"/>
              <w:ind w:left="18" w:right="82"/>
              <w:jc w:val="center"/>
              <w:rPr>
                <w:b/>
                <w:sz w:val="18"/>
              </w:rPr>
            </w:pPr>
            <w:r>
              <w:rPr>
                <w:b/>
                <w:sz w:val="18"/>
              </w:rPr>
              <w:t>Wildlife</w:t>
            </w:r>
            <w:r>
              <w:rPr>
                <w:b/>
                <w:spacing w:val="-2"/>
                <w:sz w:val="18"/>
              </w:rPr>
              <w:t> Habitats</w:t>
            </w:r>
          </w:p>
        </w:tc>
        <w:tc>
          <w:tcPr>
            <w:tcW w:w="5067" w:type="dxa"/>
          </w:tcPr>
          <w:p>
            <w:pPr>
              <w:pStyle w:val="TableParagraph"/>
              <w:spacing w:before="42"/>
              <w:ind w:left="104" w:right="167"/>
              <w:rPr>
                <w:sz w:val="18"/>
              </w:rPr>
            </w:pPr>
            <w:r>
              <w:rPr>
                <w:sz w:val="18"/>
              </w:rPr>
              <w:t>Restore an average of 100 acres/year of snowshoe hare and/or</w:t>
            </w:r>
            <w:r>
              <w:rPr>
                <w:spacing w:val="-4"/>
                <w:sz w:val="18"/>
              </w:rPr>
              <w:t> </w:t>
            </w:r>
            <w:r>
              <w:rPr>
                <w:sz w:val="18"/>
              </w:rPr>
              <w:t>lynx</w:t>
            </w:r>
            <w:r>
              <w:rPr>
                <w:spacing w:val="-6"/>
                <w:sz w:val="18"/>
              </w:rPr>
              <w:t> </w:t>
            </w:r>
            <w:r>
              <w:rPr>
                <w:sz w:val="18"/>
              </w:rPr>
              <w:t>habitat</w:t>
            </w:r>
            <w:r>
              <w:rPr>
                <w:spacing w:val="-2"/>
                <w:sz w:val="18"/>
              </w:rPr>
              <w:t> </w:t>
            </w:r>
            <w:r>
              <w:rPr>
                <w:sz w:val="18"/>
              </w:rPr>
              <w:t>within</w:t>
            </w:r>
            <w:r>
              <w:rPr>
                <w:spacing w:val="-4"/>
                <w:sz w:val="18"/>
              </w:rPr>
              <w:t> </w:t>
            </w:r>
            <w:r>
              <w:rPr>
                <w:sz w:val="18"/>
              </w:rPr>
              <w:t>the</w:t>
            </w:r>
            <w:r>
              <w:rPr>
                <w:spacing w:val="-4"/>
                <w:sz w:val="18"/>
              </w:rPr>
              <w:t> </w:t>
            </w:r>
            <w:r>
              <w:rPr>
                <w:sz w:val="18"/>
              </w:rPr>
              <w:t>lynx</w:t>
            </w:r>
            <w:r>
              <w:rPr>
                <w:spacing w:val="-6"/>
                <w:sz w:val="18"/>
              </w:rPr>
              <w:t> </w:t>
            </w:r>
            <w:r>
              <w:rPr>
                <w:sz w:val="18"/>
              </w:rPr>
              <w:t>analysis</w:t>
            </w:r>
            <w:r>
              <w:rPr>
                <w:spacing w:val="-3"/>
                <w:sz w:val="18"/>
              </w:rPr>
              <w:t> </w:t>
            </w:r>
            <w:r>
              <w:rPr>
                <w:sz w:val="18"/>
              </w:rPr>
              <w:t>units</w:t>
            </w:r>
            <w:r>
              <w:rPr>
                <w:spacing w:val="-3"/>
                <w:sz w:val="18"/>
              </w:rPr>
              <w:t> </w:t>
            </w:r>
            <w:r>
              <w:rPr>
                <w:sz w:val="18"/>
              </w:rPr>
              <w:t>located</w:t>
            </w:r>
            <w:r>
              <w:rPr>
                <w:spacing w:val="-4"/>
                <w:sz w:val="18"/>
              </w:rPr>
              <w:t> </w:t>
            </w:r>
            <w:r>
              <w:rPr>
                <w:sz w:val="18"/>
              </w:rPr>
              <w:t>in the Kettle-Wedge core area.</w:t>
            </w:r>
          </w:p>
        </w:tc>
        <w:tc>
          <w:tcPr>
            <w:tcW w:w="2377" w:type="dxa"/>
          </w:tcPr>
          <w:p>
            <w:pPr>
              <w:pStyle w:val="TableParagraph"/>
              <w:spacing w:before="42"/>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700" w:hRule="atLeast"/>
        </w:trPr>
        <w:tc>
          <w:tcPr>
            <w:tcW w:w="1702" w:type="dxa"/>
          </w:tcPr>
          <w:p>
            <w:pPr>
              <w:pStyle w:val="TableParagraph"/>
              <w:ind w:left="18" w:right="82"/>
              <w:jc w:val="center"/>
              <w:rPr>
                <w:b/>
                <w:sz w:val="18"/>
              </w:rPr>
            </w:pPr>
            <w:r>
              <w:rPr>
                <w:b/>
                <w:sz w:val="18"/>
              </w:rPr>
              <w:t>Wildlife</w:t>
            </w:r>
            <w:r>
              <w:rPr>
                <w:b/>
                <w:spacing w:val="-2"/>
                <w:sz w:val="18"/>
              </w:rPr>
              <w:t> Habitats</w:t>
            </w:r>
          </w:p>
        </w:tc>
        <w:tc>
          <w:tcPr>
            <w:tcW w:w="5067" w:type="dxa"/>
          </w:tcPr>
          <w:p>
            <w:pPr>
              <w:pStyle w:val="TableParagraph"/>
              <w:ind w:left="104" w:right="167"/>
              <w:rPr>
                <w:sz w:val="18"/>
              </w:rPr>
            </w:pPr>
            <w:r>
              <w:rPr>
                <w:sz w:val="18"/>
              </w:rPr>
              <w:t>Maintain</w:t>
            </w:r>
            <w:r>
              <w:rPr>
                <w:spacing w:val="-3"/>
                <w:sz w:val="18"/>
              </w:rPr>
              <w:t> </w:t>
            </w:r>
            <w:r>
              <w:rPr>
                <w:sz w:val="18"/>
              </w:rPr>
              <w:t>or</w:t>
            </w:r>
            <w:r>
              <w:rPr>
                <w:spacing w:val="-4"/>
                <w:sz w:val="18"/>
              </w:rPr>
              <w:t> </w:t>
            </w:r>
            <w:r>
              <w:rPr>
                <w:sz w:val="18"/>
              </w:rPr>
              <w:t>restore</w:t>
            </w:r>
            <w:r>
              <w:rPr>
                <w:spacing w:val="-3"/>
                <w:sz w:val="18"/>
              </w:rPr>
              <w:t> </w:t>
            </w:r>
            <w:r>
              <w:rPr>
                <w:sz w:val="18"/>
              </w:rPr>
              <w:t>grizzly</w:t>
            </w:r>
            <w:r>
              <w:rPr>
                <w:spacing w:val="-5"/>
                <w:sz w:val="18"/>
              </w:rPr>
              <w:t> </w:t>
            </w:r>
            <w:r>
              <w:rPr>
                <w:sz w:val="18"/>
              </w:rPr>
              <w:t>bear</w:t>
            </w:r>
            <w:r>
              <w:rPr>
                <w:spacing w:val="-4"/>
                <w:sz w:val="18"/>
              </w:rPr>
              <w:t> </w:t>
            </w:r>
            <w:r>
              <w:rPr>
                <w:sz w:val="18"/>
              </w:rPr>
              <w:t>seasonal</w:t>
            </w:r>
            <w:r>
              <w:rPr>
                <w:spacing w:val="-3"/>
                <w:sz w:val="18"/>
              </w:rPr>
              <w:t> </w:t>
            </w:r>
            <w:r>
              <w:rPr>
                <w:sz w:val="18"/>
              </w:rPr>
              <w:t>habitats</w:t>
            </w:r>
            <w:r>
              <w:rPr>
                <w:spacing w:val="-5"/>
                <w:sz w:val="18"/>
              </w:rPr>
              <w:t> </w:t>
            </w:r>
            <w:r>
              <w:rPr>
                <w:sz w:val="18"/>
              </w:rPr>
              <w:t>on</w:t>
            </w:r>
            <w:r>
              <w:rPr>
                <w:spacing w:val="-6"/>
                <w:sz w:val="18"/>
              </w:rPr>
              <w:t> </w:t>
            </w:r>
            <w:r>
              <w:rPr>
                <w:sz w:val="18"/>
              </w:rPr>
              <w:t>a</w:t>
            </w:r>
            <w:r>
              <w:rPr>
                <w:spacing w:val="-3"/>
                <w:sz w:val="18"/>
              </w:rPr>
              <w:t> </w:t>
            </w:r>
            <w:r>
              <w:rPr>
                <w:sz w:val="18"/>
              </w:rPr>
              <w:t>total of 900 acres.</w:t>
            </w:r>
          </w:p>
        </w:tc>
        <w:tc>
          <w:tcPr>
            <w:tcW w:w="2377" w:type="dxa"/>
          </w:tcPr>
          <w:p>
            <w:pPr>
              <w:pStyle w:val="TableParagraph"/>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1115" w:hRule="atLeast"/>
        </w:trPr>
        <w:tc>
          <w:tcPr>
            <w:tcW w:w="1702" w:type="dxa"/>
          </w:tcPr>
          <w:p>
            <w:pPr>
              <w:pStyle w:val="TableParagraph"/>
              <w:spacing w:before="42"/>
              <w:ind w:left="18" w:right="82"/>
              <w:jc w:val="center"/>
              <w:rPr>
                <w:b/>
                <w:sz w:val="18"/>
              </w:rPr>
            </w:pPr>
            <w:r>
              <w:rPr>
                <w:b/>
                <w:sz w:val="18"/>
              </w:rPr>
              <w:t>Wildlife</w:t>
            </w:r>
            <w:r>
              <w:rPr>
                <w:b/>
                <w:spacing w:val="-2"/>
                <w:sz w:val="18"/>
              </w:rPr>
              <w:t> Habitats</w:t>
            </w:r>
          </w:p>
        </w:tc>
        <w:tc>
          <w:tcPr>
            <w:tcW w:w="5067" w:type="dxa"/>
          </w:tcPr>
          <w:p>
            <w:pPr>
              <w:pStyle w:val="TableParagraph"/>
              <w:ind w:left="104" w:right="167"/>
              <w:rPr>
                <w:sz w:val="18"/>
              </w:rPr>
            </w:pPr>
            <w:r>
              <w:rPr>
                <w:sz w:val="18"/>
              </w:rPr>
              <w:t>Restore western hemlock/western red cedar vegetation types</w:t>
            </w:r>
            <w:r>
              <w:rPr>
                <w:spacing w:val="-4"/>
                <w:sz w:val="18"/>
              </w:rPr>
              <w:t> </w:t>
            </w:r>
            <w:r>
              <w:rPr>
                <w:sz w:val="18"/>
              </w:rPr>
              <w:t>within</w:t>
            </w:r>
            <w:r>
              <w:rPr>
                <w:spacing w:val="-7"/>
                <w:sz w:val="18"/>
              </w:rPr>
              <w:t> </w:t>
            </w:r>
            <w:r>
              <w:rPr>
                <w:sz w:val="18"/>
              </w:rPr>
              <w:t>late-successional</w:t>
            </w:r>
            <w:r>
              <w:rPr>
                <w:spacing w:val="-7"/>
                <w:sz w:val="18"/>
              </w:rPr>
              <w:t> </w:t>
            </w:r>
            <w:r>
              <w:rPr>
                <w:sz w:val="18"/>
              </w:rPr>
              <w:t>forest</w:t>
            </w:r>
            <w:r>
              <w:rPr>
                <w:spacing w:val="-7"/>
                <w:sz w:val="18"/>
              </w:rPr>
              <w:t> </w:t>
            </w:r>
            <w:r>
              <w:rPr>
                <w:sz w:val="18"/>
              </w:rPr>
              <w:t>habitats</w:t>
            </w:r>
            <w:r>
              <w:rPr>
                <w:spacing w:val="-4"/>
                <w:sz w:val="18"/>
              </w:rPr>
              <w:t> </w:t>
            </w:r>
            <w:r>
              <w:rPr>
                <w:sz w:val="18"/>
              </w:rPr>
              <w:t>for</w:t>
            </w:r>
            <w:r>
              <w:rPr>
                <w:spacing w:val="-7"/>
                <w:sz w:val="18"/>
              </w:rPr>
              <w:t> </w:t>
            </w:r>
            <w:r>
              <w:rPr>
                <w:sz w:val="18"/>
              </w:rPr>
              <w:t>surrogate wildlife</w:t>
            </w:r>
            <w:r>
              <w:rPr>
                <w:spacing w:val="-1"/>
                <w:sz w:val="18"/>
              </w:rPr>
              <w:t> </w:t>
            </w:r>
            <w:r>
              <w:rPr>
                <w:sz w:val="18"/>
              </w:rPr>
              <w:t>species on</w:t>
            </w:r>
            <w:r>
              <w:rPr>
                <w:spacing w:val="-1"/>
                <w:sz w:val="18"/>
              </w:rPr>
              <w:t> </w:t>
            </w:r>
            <w:r>
              <w:rPr>
                <w:sz w:val="18"/>
              </w:rPr>
              <w:t>1,400 acres. Generally focus activity in previously treated areas that are now early to mid- successional forest to enhance large tree development</w:t>
            </w:r>
          </w:p>
        </w:tc>
        <w:tc>
          <w:tcPr>
            <w:tcW w:w="2377" w:type="dxa"/>
          </w:tcPr>
          <w:p>
            <w:pPr>
              <w:pStyle w:val="TableParagraph"/>
              <w:spacing w:before="40"/>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702" w:hRule="atLeast"/>
        </w:trPr>
        <w:tc>
          <w:tcPr>
            <w:tcW w:w="1702" w:type="dxa"/>
          </w:tcPr>
          <w:p>
            <w:pPr>
              <w:pStyle w:val="TableParagraph"/>
              <w:ind w:left="18" w:right="82"/>
              <w:jc w:val="center"/>
              <w:rPr>
                <w:b/>
                <w:sz w:val="18"/>
              </w:rPr>
            </w:pPr>
            <w:r>
              <w:rPr>
                <w:b/>
                <w:sz w:val="18"/>
              </w:rPr>
              <w:t>Wildlife</w:t>
            </w:r>
            <w:r>
              <w:rPr>
                <w:b/>
                <w:spacing w:val="-2"/>
                <w:sz w:val="18"/>
              </w:rPr>
              <w:t> Habitats</w:t>
            </w:r>
          </w:p>
        </w:tc>
        <w:tc>
          <w:tcPr>
            <w:tcW w:w="5067" w:type="dxa"/>
          </w:tcPr>
          <w:p>
            <w:pPr>
              <w:pStyle w:val="TableParagraph"/>
              <w:ind w:left="104" w:right="167"/>
              <w:rPr>
                <w:sz w:val="18"/>
              </w:rPr>
            </w:pPr>
            <w:r>
              <w:rPr>
                <w:sz w:val="18"/>
              </w:rPr>
              <w:t>Restore or move toward restoration of late structure ponderosa</w:t>
            </w:r>
            <w:r>
              <w:rPr>
                <w:spacing w:val="-4"/>
                <w:sz w:val="18"/>
              </w:rPr>
              <w:t> </w:t>
            </w:r>
            <w:r>
              <w:rPr>
                <w:sz w:val="18"/>
              </w:rPr>
              <w:t>pine</w:t>
            </w:r>
            <w:r>
              <w:rPr>
                <w:spacing w:val="-4"/>
                <w:sz w:val="18"/>
              </w:rPr>
              <w:t> </w:t>
            </w:r>
            <w:r>
              <w:rPr>
                <w:sz w:val="18"/>
              </w:rPr>
              <w:t>forest</w:t>
            </w:r>
            <w:r>
              <w:rPr>
                <w:spacing w:val="-6"/>
                <w:sz w:val="18"/>
              </w:rPr>
              <w:t> </w:t>
            </w:r>
            <w:r>
              <w:rPr>
                <w:sz w:val="18"/>
              </w:rPr>
              <w:t>habitat</w:t>
            </w:r>
            <w:r>
              <w:rPr>
                <w:spacing w:val="-9"/>
                <w:sz w:val="18"/>
              </w:rPr>
              <w:t> </w:t>
            </w:r>
            <w:r>
              <w:rPr>
                <w:sz w:val="18"/>
              </w:rPr>
              <w:t>on</w:t>
            </w:r>
            <w:r>
              <w:rPr>
                <w:spacing w:val="-4"/>
                <w:sz w:val="18"/>
              </w:rPr>
              <w:t> </w:t>
            </w:r>
            <w:r>
              <w:rPr>
                <w:sz w:val="18"/>
              </w:rPr>
              <w:t>500</w:t>
            </w:r>
            <w:r>
              <w:rPr>
                <w:spacing w:val="-4"/>
                <w:sz w:val="18"/>
              </w:rPr>
              <w:t> </w:t>
            </w:r>
            <w:r>
              <w:rPr>
                <w:sz w:val="18"/>
              </w:rPr>
              <w:t>acres</w:t>
            </w:r>
            <w:r>
              <w:rPr>
                <w:spacing w:val="-5"/>
                <w:sz w:val="18"/>
              </w:rPr>
              <w:t> </w:t>
            </w:r>
            <w:r>
              <w:rPr>
                <w:sz w:val="18"/>
              </w:rPr>
              <w:t>per</w:t>
            </w:r>
            <w:r>
              <w:rPr>
                <w:spacing w:val="-5"/>
                <w:sz w:val="18"/>
              </w:rPr>
              <w:t> </w:t>
            </w:r>
            <w:r>
              <w:rPr>
                <w:sz w:val="18"/>
              </w:rPr>
              <w:t>year.</w:t>
            </w:r>
          </w:p>
        </w:tc>
        <w:tc>
          <w:tcPr>
            <w:tcW w:w="2377" w:type="dxa"/>
          </w:tcPr>
          <w:p>
            <w:pPr>
              <w:pStyle w:val="TableParagraph"/>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700" w:hRule="atLeast"/>
        </w:trPr>
        <w:tc>
          <w:tcPr>
            <w:tcW w:w="1702" w:type="dxa"/>
          </w:tcPr>
          <w:p>
            <w:pPr>
              <w:pStyle w:val="TableParagraph"/>
              <w:ind w:left="18" w:right="81"/>
              <w:jc w:val="center"/>
              <w:rPr>
                <w:b/>
                <w:sz w:val="18"/>
              </w:rPr>
            </w:pPr>
            <w:r>
              <w:rPr>
                <w:b/>
                <w:sz w:val="18"/>
              </w:rPr>
              <w:t>Wildlife</w:t>
            </w:r>
            <w:r>
              <w:rPr>
                <w:b/>
                <w:spacing w:val="-2"/>
                <w:sz w:val="18"/>
              </w:rPr>
              <w:t> Habitats</w:t>
            </w:r>
          </w:p>
        </w:tc>
        <w:tc>
          <w:tcPr>
            <w:tcW w:w="5067" w:type="dxa"/>
          </w:tcPr>
          <w:p>
            <w:pPr>
              <w:pStyle w:val="TableParagraph"/>
              <w:ind w:left="104" w:right="364"/>
              <w:jc w:val="both"/>
              <w:rPr>
                <w:sz w:val="18"/>
              </w:rPr>
            </w:pPr>
            <w:r>
              <w:rPr>
                <w:sz w:val="18"/>
              </w:rPr>
              <w:t>Restore (i.e., application of prescribed fire, invasive plant management,</w:t>
            </w:r>
            <w:r>
              <w:rPr>
                <w:spacing w:val="-6"/>
                <w:sz w:val="18"/>
              </w:rPr>
              <w:t> </w:t>
            </w:r>
            <w:r>
              <w:rPr>
                <w:sz w:val="18"/>
              </w:rPr>
              <w:t>etc.)</w:t>
            </w:r>
            <w:r>
              <w:rPr>
                <w:spacing w:val="-4"/>
                <w:sz w:val="18"/>
              </w:rPr>
              <w:t> </w:t>
            </w:r>
            <w:r>
              <w:rPr>
                <w:sz w:val="18"/>
              </w:rPr>
              <w:t>habitat</w:t>
            </w:r>
            <w:r>
              <w:rPr>
                <w:spacing w:val="-4"/>
                <w:sz w:val="18"/>
              </w:rPr>
              <w:t> </w:t>
            </w:r>
            <w:r>
              <w:rPr>
                <w:sz w:val="18"/>
              </w:rPr>
              <w:t>on</w:t>
            </w:r>
            <w:r>
              <w:rPr>
                <w:spacing w:val="-6"/>
                <w:sz w:val="18"/>
              </w:rPr>
              <w:t> </w:t>
            </w:r>
            <w:r>
              <w:rPr>
                <w:sz w:val="18"/>
              </w:rPr>
              <w:t>1,000</w:t>
            </w:r>
            <w:r>
              <w:rPr>
                <w:spacing w:val="-6"/>
                <w:sz w:val="18"/>
              </w:rPr>
              <w:t> </w:t>
            </w:r>
            <w:r>
              <w:rPr>
                <w:sz w:val="18"/>
              </w:rPr>
              <w:t>acres</w:t>
            </w:r>
            <w:r>
              <w:rPr>
                <w:spacing w:val="-3"/>
                <w:sz w:val="18"/>
              </w:rPr>
              <w:t> </w:t>
            </w:r>
            <w:r>
              <w:rPr>
                <w:sz w:val="18"/>
              </w:rPr>
              <w:t>of</w:t>
            </w:r>
            <w:r>
              <w:rPr>
                <w:spacing w:val="-4"/>
                <w:sz w:val="18"/>
              </w:rPr>
              <w:t> </w:t>
            </w:r>
            <w:r>
              <w:rPr>
                <w:sz w:val="18"/>
              </w:rPr>
              <w:t>deer</w:t>
            </w:r>
            <w:r>
              <w:rPr>
                <w:spacing w:val="-4"/>
                <w:sz w:val="18"/>
              </w:rPr>
              <w:t> </w:t>
            </w:r>
            <w:r>
              <w:rPr>
                <w:sz w:val="18"/>
              </w:rPr>
              <w:t>and</w:t>
            </w:r>
            <w:r>
              <w:rPr>
                <w:spacing w:val="-3"/>
                <w:sz w:val="18"/>
              </w:rPr>
              <w:t> </w:t>
            </w:r>
            <w:r>
              <w:rPr>
                <w:sz w:val="18"/>
              </w:rPr>
              <w:t>elk winter range.</w:t>
            </w:r>
          </w:p>
        </w:tc>
        <w:tc>
          <w:tcPr>
            <w:tcW w:w="2377" w:type="dxa"/>
          </w:tcPr>
          <w:p>
            <w:pPr>
              <w:pStyle w:val="TableParagraph"/>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1321" w:hRule="atLeast"/>
        </w:trPr>
        <w:tc>
          <w:tcPr>
            <w:tcW w:w="1702" w:type="dxa"/>
          </w:tcPr>
          <w:p>
            <w:pPr>
              <w:pStyle w:val="TableParagraph"/>
              <w:ind w:left="42" w:right="64"/>
              <w:jc w:val="center"/>
              <w:rPr>
                <w:b/>
                <w:sz w:val="18"/>
              </w:rPr>
            </w:pPr>
            <w:r>
              <w:rPr>
                <w:b/>
                <w:sz w:val="18"/>
              </w:rPr>
              <w:t>Invasive</w:t>
            </w:r>
            <w:r>
              <w:rPr>
                <w:b/>
                <w:spacing w:val="-3"/>
                <w:sz w:val="18"/>
              </w:rPr>
              <w:t> </w:t>
            </w:r>
            <w:r>
              <w:rPr>
                <w:b/>
                <w:spacing w:val="-2"/>
                <w:sz w:val="18"/>
              </w:rPr>
              <w:t>Species</w:t>
            </w:r>
          </w:p>
        </w:tc>
        <w:tc>
          <w:tcPr>
            <w:tcW w:w="5067" w:type="dxa"/>
          </w:tcPr>
          <w:p>
            <w:pPr>
              <w:pStyle w:val="TableParagraph"/>
              <w:ind w:left="104" w:right="167"/>
              <w:rPr>
                <w:sz w:val="18"/>
              </w:rPr>
            </w:pPr>
            <w:r>
              <w:rPr>
                <w:sz w:val="18"/>
              </w:rPr>
              <w:t>Reduce the density or extent of invasive plants by treating an average of 2,000 acres per year. Actively restore an annual average of 50 acres of native vegetation by mulching, seeding, or planting to promote revegetation of native</w:t>
            </w:r>
            <w:r>
              <w:rPr>
                <w:spacing w:val="-4"/>
                <w:sz w:val="18"/>
              </w:rPr>
              <w:t> </w:t>
            </w:r>
            <w:r>
              <w:rPr>
                <w:sz w:val="18"/>
              </w:rPr>
              <w:t>plants</w:t>
            </w:r>
            <w:r>
              <w:rPr>
                <w:spacing w:val="-4"/>
                <w:sz w:val="18"/>
              </w:rPr>
              <w:t> </w:t>
            </w:r>
            <w:r>
              <w:rPr>
                <w:sz w:val="18"/>
              </w:rPr>
              <w:t>to</w:t>
            </w:r>
            <w:r>
              <w:rPr>
                <w:spacing w:val="-7"/>
                <w:sz w:val="18"/>
              </w:rPr>
              <w:t> </w:t>
            </w:r>
            <w:r>
              <w:rPr>
                <w:sz w:val="18"/>
              </w:rPr>
              <w:t>help</w:t>
            </w:r>
            <w:r>
              <w:rPr>
                <w:spacing w:val="-4"/>
                <w:sz w:val="18"/>
              </w:rPr>
              <w:t> </w:t>
            </w:r>
            <w:r>
              <w:rPr>
                <w:sz w:val="18"/>
              </w:rPr>
              <w:t>resist</w:t>
            </w:r>
            <w:r>
              <w:rPr>
                <w:spacing w:val="-5"/>
                <w:sz w:val="18"/>
              </w:rPr>
              <w:t> </w:t>
            </w:r>
            <w:r>
              <w:rPr>
                <w:sz w:val="18"/>
              </w:rPr>
              <w:t>introduction,</w:t>
            </w:r>
            <w:r>
              <w:rPr>
                <w:spacing w:val="-5"/>
                <w:sz w:val="18"/>
              </w:rPr>
              <w:t> </w:t>
            </w:r>
            <w:r>
              <w:rPr>
                <w:sz w:val="18"/>
              </w:rPr>
              <w:t>establishment,</w:t>
            </w:r>
            <w:r>
              <w:rPr>
                <w:spacing w:val="-7"/>
                <w:sz w:val="18"/>
              </w:rPr>
              <w:t> </w:t>
            </w:r>
            <w:r>
              <w:rPr>
                <w:sz w:val="18"/>
              </w:rPr>
              <w:t>and spread of invasive plant species.</w:t>
            </w:r>
          </w:p>
        </w:tc>
        <w:tc>
          <w:tcPr>
            <w:tcW w:w="2377" w:type="dxa"/>
          </w:tcPr>
          <w:p>
            <w:pPr>
              <w:pStyle w:val="TableParagraph"/>
              <w:ind w:left="106" w:right="142"/>
              <w:rPr>
                <w:sz w:val="18"/>
              </w:rPr>
            </w:pPr>
            <w:r>
              <w:rPr>
                <w:sz w:val="18"/>
              </w:rPr>
              <w:t>During</w:t>
            </w:r>
            <w:r>
              <w:rPr>
                <w:spacing w:val="-12"/>
                <w:sz w:val="18"/>
              </w:rPr>
              <w:t> </w:t>
            </w:r>
            <w:r>
              <w:rPr>
                <w:sz w:val="18"/>
              </w:rPr>
              <w:t>the</w:t>
            </w:r>
            <w:r>
              <w:rPr>
                <w:spacing w:val="-12"/>
                <w:sz w:val="18"/>
              </w:rPr>
              <w:t> </w:t>
            </w:r>
            <w:r>
              <w:rPr>
                <w:sz w:val="18"/>
              </w:rPr>
              <w:t>expected</w:t>
            </w:r>
            <w:r>
              <w:rPr>
                <w:spacing w:val="-12"/>
                <w:sz w:val="18"/>
              </w:rPr>
              <w:t> </w:t>
            </w:r>
            <w:r>
              <w:rPr>
                <w:sz w:val="18"/>
              </w:rPr>
              <w:t>15 years of plan </w:t>
            </w:r>
            <w:r>
              <w:rPr>
                <w:spacing w:val="-2"/>
                <w:sz w:val="18"/>
              </w:rPr>
              <w:t>implementation</w:t>
            </w:r>
          </w:p>
        </w:tc>
      </w:tr>
      <w:tr>
        <w:trPr>
          <w:trHeight w:val="493" w:hRule="atLeast"/>
        </w:trPr>
        <w:tc>
          <w:tcPr>
            <w:tcW w:w="1702" w:type="dxa"/>
          </w:tcPr>
          <w:p>
            <w:pPr>
              <w:pStyle w:val="TableParagraph"/>
              <w:ind w:left="42" w:right="64"/>
              <w:jc w:val="center"/>
              <w:rPr>
                <w:b/>
                <w:sz w:val="18"/>
              </w:rPr>
            </w:pPr>
            <w:r>
              <w:rPr>
                <w:b/>
                <w:sz w:val="18"/>
              </w:rPr>
              <w:t>Invasive</w:t>
            </w:r>
            <w:r>
              <w:rPr>
                <w:b/>
                <w:spacing w:val="-3"/>
                <w:sz w:val="18"/>
              </w:rPr>
              <w:t> </w:t>
            </w:r>
            <w:r>
              <w:rPr>
                <w:b/>
                <w:spacing w:val="-2"/>
                <w:sz w:val="18"/>
              </w:rPr>
              <w:t>Species</w:t>
            </w:r>
          </w:p>
        </w:tc>
        <w:tc>
          <w:tcPr>
            <w:tcW w:w="5067" w:type="dxa"/>
          </w:tcPr>
          <w:p>
            <w:pPr>
              <w:pStyle w:val="TableParagraph"/>
              <w:ind w:left="104" w:right="167"/>
              <w:rPr>
                <w:sz w:val="18"/>
              </w:rPr>
            </w:pPr>
            <w:r>
              <w:rPr>
                <w:sz w:val="18"/>
              </w:rPr>
              <w:t>Address</w:t>
            </w:r>
            <w:r>
              <w:rPr>
                <w:spacing w:val="-5"/>
                <w:sz w:val="18"/>
              </w:rPr>
              <w:t> </w:t>
            </w:r>
            <w:r>
              <w:rPr>
                <w:sz w:val="18"/>
              </w:rPr>
              <w:t>treatment</w:t>
            </w:r>
            <w:r>
              <w:rPr>
                <w:spacing w:val="-8"/>
                <w:sz w:val="18"/>
              </w:rPr>
              <w:t> </w:t>
            </w:r>
            <w:r>
              <w:rPr>
                <w:sz w:val="18"/>
              </w:rPr>
              <w:t>of</w:t>
            </w:r>
            <w:r>
              <w:rPr>
                <w:spacing w:val="-6"/>
                <w:sz w:val="18"/>
              </w:rPr>
              <w:t> </w:t>
            </w:r>
            <w:r>
              <w:rPr>
                <w:sz w:val="18"/>
              </w:rPr>
              <w:t>priority</w:t>
            </w:r>
            <w:r>
              <w:rPr>
                <w:spacing w:val="-7"/>
                <w:sz w:val="18"/>
              </w:rPr>
              <w:t> </w:t>
            </w:r>
            <w:r>
              <w:rPr>
                <w:sz w:val="18"/>
              </w:rPr>
              <w:t>non-native,</w:t>
            </w:r>
            <w:r>
              <w:rPr>
                <w:spacing w:val="-6"/>
                <w:sz w:val="18"/>
              </w:rPr>
              <w:t> </w:t>
            </w:r>
            <w:r>
              <w:rPr>
                <w:sz w:val="18"/>
              </w:rPr>
              <w:t>invasive</w:t>
            </w:r>
            <w:r>
              <w:rPr>
                <w:spacing w:val="-5"/>
                <w:sz w:val="18"/>
              </w:rPr>
              <w:t> </w:t>
            </w:r>
            <w:r>
              <w:rPr>
                <w:sz w:val="18"/>
              </w:rPr>
              <w:t>vertebrate species and their impacts in terrestrial habitats.</w:t>
            </w:r>
          </w:p>
        </w:tc>
        <w:tc>
          <w:tcPr>
            <w:tcW w:w="2377" w:type="dxa"/>
          </w:tcPr>
          <w:p>
            <w:pPr>
              <w:pStyle w:val="TableParagraph"/>
              <w:ind w:left="106" w:right="142"/>
              <w:rPr>
                <w:sz w:val="18"/>
              </w:rPr>
            </w:pPr>
            <w:r>
              <w:rPr>
                <w:sz w:val="18"/>
              </w:rPr>
              <w:t>Within</w:t>
            </w:r>
            <w:r>
              <w:rPr>
                <w:spacing w:val="-11"/>
                <w:sz w:val="18"/>
              </w:rPr>
              <w:t> </w:t>
            </w:r>
            <w:r>
              <w:rPr>
                <w:sz w:val="18"/>
              </w:rPr>
              <w:t>one</w:t>
            </w:r>
            <w:r>
              <w:rPr>
                <w:spacing w:val="-11"/>
                <w:sz w:val="18"/>
              </w:rPr>
              <w:t> </w:t>
            </w:r>
            <w:r>
              <w:rPr>
                <w:sz w:val="18"/>
              </w:rPr>
              <w:t>year</w:t>
            </w:r>
            <w:r>
              <w:rPr>
                <w:spacing w:val="-12"/>
                <w:sz w:val="18"/>
              </w:rPr>
              <w:t> </w:t>
            </w:r>
            <w:r>
              <w:rPr>
                <w:sz w:val="18"/>
              </w:rPr>
              <w:t>of </w:t>
            </w:r>
            <w:r>
              <w:rPr>
                <w:spacing w:val="-2"/>
                <w:sz w:val="18"/>
              </w:rPr>
              <w:t>detection</w:t>
            </w:r>
          </w:p>
        </w:tc>
      </w:tr>
      <w:tr>
        <w:trPr>
          <w:trHeight w:val="493" w:hRule="atLeast"/>
        </w:trPr>
        <w:tc>
          <w:tcPr>
            <w:tcW w:w="1702" w:type="dxa"/>
          </w:tcPr>
          <w:p>
            <w:pPr>
              <w:pStyle w:val="TableParagraph"/>
              <w:spacing w:before="42"/>
              <w:ind w:left="42" w:right="64"/>
              <w:jc w:val="center"/>
              <w:rPr>
                <w:b/>
                <w:sz w:val="18"/>
              </w:rPr>
            </w:pPr>
            <w:r>
              <w:rPr>
                <w:b/>
                <w:sz w:val="18"/>
              </w:rPr>
              <w:t>Invasive</w:t>
            </w:r>
            <w:r>
              <w:rPr>
                <w:b/>
                <w:spacing w:val="-3"/>
                <w:sz w:val="18"/>
              </w:rPr>
              <w:t> </w:t>
            </w:r>
            <w:r>
              <w:rPr>
                <w:b/>
                <w:spacing w:val="-2"/>
                <w:sz w:val="18"/>
              </w:rPr>
              <w:t>Species</w:t>
            </w:r>
          </w:p>
        </w:tc>
        <w:tc>
          <w:tcPr>
            <w:tcW w:w="5067" w:type="dxa"/>
          </w:tcPr>
          <w:p>
            <w:pPr>
              <w:pStyle w:val="TableParagraph"/>
              <w:ind w:left="104" w:right="113"/>
              <w:rPr>
                <w:sz w:val="18"/>
              </w:rPr>
            </w:pPr>
            <w:r>
              <w:rPr>
                <w:sz w:val="18"/>
              </w:rPr>
              <w:t>Address</w:t>
            </w:r>
            <w:r>
              <w:rPr>
                <w:spacing w:val="-4"/>
                <w:sz w:val="18"/>
              </w:rPr>
              <w:t> </w:t>
            </w:r>
            <w:r>
              <w:rPr>
                <w:sz w:val="18"/>
              </w:rPr>
              <w:t>treatment</w:t>
            </w:r>
            <w:r>
              <w:rPr>
                <w:spacing w:val="-7"/>
                <w:sz w:val="18"/>
              </w:rPr>
              <w:t> </w:t>
            </w:r>
            <w:r>
              <w:rPr>
                <w:sz w:val="18"/>
              </w:rPr>
              <w:t>of</w:t>
            </w:r>
            <w:r>
              <w:rPr>
                <w:spacing w:val="-5"/>
                <w:sz w:val="18"/>
              </w:rPr>
              <w:t> </w:t>
            </w:r>
            <w:r>
              <w:rPr>
                <w:sz w:val="18"/>
              </w:rPr>
              <w:t>priority</w:t>
            </w:r>
            <w:r>
              <w:rPr>
                <w:spacing w:val="-6"/>
                <w:sz w:val="18"/>
              </w:rPr>
              <w:t> </w:t>
            </w:r>
            <w:r>
              <w:rPr>
                <w:sz w:val="18"/>
              </w:rPr>
              <w:t>non-native,</w:t>
            </w:r>
            <w:r>
              <w:rPr>
                <w:spacing w:val="-5"/>
                <w:sz w:val="18"/>
              </w:rPr>
              <w:t> </w:t>
            </w:r>
            <w:r>
              <w:rPr>
                <w:sz w:val="18"/>
              </w:rPr>
              <w:t>invasive</w:t>
            </w:r>
            <w:r>
              <w:rPr>
                <w:spacing w:val="-4"/>
                <w:sz w:val="18"/>
              </w:rPr>
              <w:t> </w:t>
            </w:r>
            <w:r>
              <w:rPr>
                <w:sz w:val="18"/>
              </w:rPr>
              <w:t>insect</w:t>
            </w:r>
            <w:r>
              <w:rPr>
                <w:spacing w:val="-5"/>
                <w:sz w:val="18"/>
              </w:rPr>
              <w:t> </w:t>
            </w:r>
            <w:r>
              <w:rPr>
                <w:sz w:val="18"/>
              </w:rPr>
              <w:t>and disease pathogens and their impacts.</w:t>
            </w:r>
          </w:p>
        </w:tc>
        <w:tc>
          <w:tcPr>
            <w:tcW w:w="2377" w:type="dxa"/>
          </w:tcPr>
          <w:p>
            <w:pPr>
              <w:pStyle w:val="TableParagraph"/>
              <w:ind w:left="106" w:right="142"/>
              <w:rPr>
                <w:sz w:val="18"/>
              </w:rPr>
            </w:pPr>
            <w:r>
              <w:rPr>
                <w:sz w:val="18"/>
              </w:rPr>
              <w:t>Within</w:t>
            </w:r>
            <w:r>
              <w:rPr>
                <w:spacing w:val="-11"/>
                <w:sz w:val="18"/>
              </w:rPr>
              <w:t> </w:t>
            </w:r>
            <w:r>
              <w:rPr>
                <w:sz w:val="18"/>
              </w:rPr>
              <w:t>one</w:t>
            </w:r>
            <w:r>
              <w:rPr>
                <w:spacing w:val="-11"/>
                <w:sz w:val="18"/>
              </w:rPr>
              <w:t> </w:t>
            </w:r>
            <w:r>
              <w:rPr>
                <w:sz w:val="18"/>
              </w:rPr>
              <w:t>year</w:t>
            </w:r>
            <w:r>
              <w:rPr>
                <w:spacing w:val="-12"/>
                <w:sz w:val="18"/>
              </w:rPr>
              <w:t> </w:t>
            </w:r>
            <w:r>
              <w:rPr>
                <w:sz w:val="18"/>
              </w:rPr>
              <w:t>of </w:t>
            </w:r>
            <w:r>
              <w:rPr>
                <w:spacing w:val="-2"/>
                <w:sz w:val="18"/>
              </w:rPr>
              <w:t>detection</w:t>
            </w:r>
          </w:p>
        </w:tc>
      </w:tr>
      <w:tr>
        <w:trPr>
          <w:trHeight w:val="1698" w:hRule="atLeast"/>
        </w:trPr>
        <w:tc>
          <w:tcPr>
            <w:tcW w:w="1702" w:type="dxa"/>
          </w:tcPr>
          <w:p>
            <w:pPr>
              <w:pStyle w:val="TableParagraph"/>
              <w:spacing w:before="42"/>
              <w:ind w:left="107" w:right="250"/>
              <w:rPr>
                <w:b/>
                <w:sz w:val="18"/>
              </w:rPr>
            </w:pPr>
            <w:r>
              <w:rPr>
                <w:b/>
                <w:spacing w:val="-2"/>
                <w:sz w:val="18"/>
              </w:rPr>
              <w:t>Forest Transportation </w:t>
            </w:r>
            <w:r>
              <w:rPr>
                <w:b/>
                <w:sz w:val="18"/>
              </w:rPr>
              <w:t>Access</w:t>
            </w:r>
            <w:r>
              <w:rPr>
                <w:b/>
                <w:spacing w:val="-4"/>
                <w:sz w:val="18"/>
              </w:rPr>
              <w:t> </w:t>
            </w:r>
            <w:r>
              <w:rPr>
                <w:b/>
                <w:spacing w:val="-2"/>
                <w:sz w:val="18"/>
              </w:rPr>
              <w:t>System</w:t>
            </w:r>
          </w:p>
        </w:tc>
        <w:tc>
          <w:tcPr>
            <w:tcW w:w="5067" w:type="dxa"/>
          </w:tcPr>
          <w:p>
            <w:pPr>
              <w:pStyle w:val="TableParagraph"/>
              <w:spacing w:before="42"/>
              <w:ind w:left="104" w:right="113"/>
              <w:rPr>
                <w:sz w:val="18"/>
              </w:rPr>
            </w:pPr>
            <w:r>
              <w:rPr>
                <w:sz w:val="18"/>
              </w:rPr>
              <w:t>Motorized</w:t>
            </w:r>
            <w:r>
              <w:rPr>
                <w:spacing w:val="-5"/>
                <w:sz w:val="18"/>
              </w:rPr>
              <w:t> </w:t>
            </w:r>
            <w:r>
              <w:rPr>
                <w:sz w:val="18"/>
              </w:rPr>
              <w:t>mixed-use</w:t>
            </w:r>
            <w:r>
              <w:rPr>
                <w:spacing w:val="-5"/>
                <w:sz w:val="18"/>
              </w:rPr>
              <w:t> </w:t>
            </w:r>
            <w:r>
              <w:rPr>
                <w:sz w:val="18"/>
              </w:rPr>
              <w:t>road</w:t>
            </w:r>
            <w:r>
              <w:rPr>
                <w:spacing w:val="-5"/>
                <w:sz w:val="18"/>
              </w:rPr>
              <w:t> </w:t>
            </w:r>
            <w:r>
              <w:rPr>
                <w:sz w:val="18"/>
              </w:rPr>
              <w:t>designations</w:t>
            </w:r>
            <w:r>
              <w:rPr>
                <w:spacing w:val="-5"/>
                <w:sz w:val="18"/>
              </w:rPr>
              <w:t> </w:t>
            </w:r>
            <w:r>
              <w:rPr>
                <w:sz w:val="18"/>
              </w:rPr>
              <w:t>are</w:t>
            </w:r>
            <w:r>
              <w:rPr>
                <w:spacing w:val="-5"/>
                <w:sz w:val="18"/>
              </w:rPr>
              <w:t> </w:t>
            </w:r>
            <w:r>
              <w:rPr>
                <w:sz w:val="18"/>
              </w:rPr>
              <w:t>reviewed</w:t>
            </w:r>
            <w:r>
              <w:rPr>
                <w:spacing w:val="-5"/>
                <w:sz w:val="18"/>
              </w:rPr>
              <w:t> </w:t>
            </w:r>
            <w:r>
              <w:rPr>
                <w:sz w:val="18"/>
              </w:rPr>
              <w:t>and</w:t>
            </w:r>
            <w:r>
              <w:rPr>
                <w:spacing w:val="-5"/>
                <w:sz w:val="18"/>
              </w:rPr>
              <w:t> </w:t>
            </w:r>
            <w:r>
              <w:rPr>
                <w:sz w:val="18"/>
              </w:rPr>
              <w:t>an average of one new off-highway vehicle route is designated to achieve one or more of the following objectives: create loop-riding opportunities, connect camping areas, access destination overlooks, move routes away from ecologically</w:t>
            </w:r>
            <w:r>
              <w:rPr>
                <w:spacing w:val="40"/>
                <w:sz w:val="18"/>
              </w:rPr>
              <w:t> </w:t>
            </w:r>
            <w:r>
              <w:rPr>
                <w:sz w:val="18"/>
              </w:rPr>
              <w:t>or culturally sensitive areas, and connect communities</w:t>
            </w:r>
          </w:p>
          <w:p>
            <w:pPr>
              <w:pStyle w:val="TableParagraph"/>
              <w:spacing w:line="206" w:lineRule="exact" w:before="0"/>
              <w:ind w:left="104" w:right="167"/>
              <w:rPr>
                <w:sz w:val="18"/>
              </w:rPr>
            </w:pPr>
            <w:r>
              <w:rPr>
                <w:sz w:val="18"/>
              </w:rPr>
              <w:t>through and to the forest. Coordinate designations with a community</w:t>
            </w:r>
            <w:r>
              <w:rPr>
                <w:spacing w:val="-7"/>
                <w:sz w:val="18"/>
              </w:rPr>
              <w:t> </w:t>
            </w:r>
            <w:r>
              <w:rPr>
                <w:sz w:val="18"/>
              </w:rPr>
              <w:t>collaborative</w:t>
            </w:r>
            <w:r>
              <w:rPr>
                <w:spacing w:val="-5"/>
                <w:sz w:val="18"/>
              </w:rPr>
              <w:t> </w:t>
            </w:r>
            <w:r>
              <w:rPr>
                <w:sz w:val="18"/>
              </w:rPr>
              <w:t>that</w:t>
            </w:r>
            <w:r>
              <w:rPr>
                <w:spacing w:val="-7"/>
                <w:sz w:val="18"/>
              </w:rPr>
              <w:t> </w:t>
            </w:r>
            <w:r>
              <w:rPr>
                <w:sz w:val="18"/>
              </w:rPr>
              <w:t>could</w:t>
            </w:r>
            <w:r>
              <w:rPr>
                <w:spacing w:val="-7"/>
                <w:sz w:val="18"/>
              </w:rPr>
              <w:t> </w:t>
            </w:r>
            <w:r>
              <w:rPr>
                <w:sz w:val="18"/>
              </w:rPr>
              <w:t>include</w:t>
            </w:r>
            <w:r>
              <w:rPr>
                <w:spacing w:val="-5"/>
                <w:sz w:val="18"/>
              </w:rPr>
              <w:t> </w:t>
            </w:r>
            <w:r>
              <w:rPr>
                <w:sz w:val="18"/>
              </w:rPr>
              <w:t>local</w:t>
            </w:r>
            <w:r>
              <w:rPr>
                <w:spacing w:val="-5"/>
                <w:sz w:val="18"/>
              </w:rPr>
              <w:t> </w:t>
            </w:r>
            <w:r>
              <w:rPr>
                <w:sz w:val="18"/>
              </w:rPr>
              <w:t>motorized</w:t>
            </w:r>
          </w:p>
        </w:tc>
        <w:tc>
          <w:tcPr>
            <w:tcW w:w="2377" w:type="dxa"/>
          </w:tcPr>
          <w:p>
            <w:pPr>
              <w:pStyle w:val="TableParagraph"/>
              <w:spacing w:before="42"/>
              <w:ind w:left="106"/>
              <w:rPr>
                <w:sz w:val="18"/>
              </w:rPr>
            </w:pPr>
            <w:r>
              <w:rPr>
                <w:spacing w:val="-2"/>
                <w:sz w:val="18"/>
              </w:rPr>
              <w:t>Annually</w:t>
            </w:r>
          </w:p>
        </w:tc>
      </w:tr>
    </w:tbl>
    <w:p>
      <w:pPr>
        <w:pStyle w:val="TableParagraph"/>
        <w:spacing w:after="0"/>
        <w:rPr>
          <w:sz w:val="18"/>
        </w:rPr>
        <w:sectPr>
          <w:pgSz w:w="12240" w:h="15840"/>
          <w:pgMar w:header="725" w:footer="891" w:top="1340" w:bottom="1080" w:left="1080" w:right="1080"/>
        </w:sectPr>
      </w:pPr>
    </w:p>
    <w:p>
      <w:pPr>
        <w:pStyle w:val="BodyText"/>
        <w:rPr>
          <w:rFonts w:ascii="Arial"/>
          <w:b/>
          <w:sz w:val="7"/>
        </w:rPr>
      </w:pPr>
    </w:p>
    <w:tbl>
      <w:tblPr>
        <w:tblW w:w="0" w:type="auto"/>
        <w:jc w:val="left"/>
        <w:tblInd w:w="811"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5067"/>
        <w:gridCol w:w="2377"/>
      </w:tblGrid>
      <w:tr>
        <w:trPr>
          <w:trHeight w:val="294" w:hRule="atLeast"/>
        </w:trPr>
        <w:tc>
          <w:tcPr>
            <w:tcW w:w="1702" w:type="dxa"/>
            <w:shd w:val="clear" w:color="auto" w:fill="D5E2BB"/>
          </w:tcPr>
          <w:p>
            <w:pPr>
              <w:pStyle w:val="TableParagraph"/>
              <w:ind w:left="458"/>
              <w:rPr>
                <w:b/>
                <w:sz w:val="18"/>
              </w:rPr>
            </w:pPr>
            <w:r>
              <w:rPr>
                <w:b/>
                <w:spacing w:val="-2"/>
                <w:sz w:val="18"/>
              </w:rPr>
              <w:t>Category</w:t>
            </w:r>
          </w:p>
        </w:tc>
        <w:tc>
          <w:tcPr>
            <w:tcW w:w="5067" w:type="dxa"/>
            <w:shd w:val="clear" w:color="auto" w:fill="D5E2BB"/>
          </w:tcPr>
          <w:p>
            <w:pPr>
              <w:pStyle w:val="TableParagraph"/>
              <w:ind w:left="24"/>
              <w:jc w:val="center"/>
              <w:rPr>
                <w:b/>
                <w:sz w:val="18"/>
              </w:rPr>
            </w:pPr>
            <w:r>
              <w:rPr>
                <w:b/>
                <w:spacing w:val="-2"/>
                <w:sz w:val="18"/>
              </w:rPr>
              <w:t>Project/Activity</w:t>
            </w:r>
          </w:p>
        </w:tc>
        <w:tc>
          <w:tcPr>
            <w:tcW w:w="2377" w:type="dxa"/>
            <w:shd w:val="clear" w:color="auto" w:fill="D5E2BB"/>
          </w:tcPr>
          <w:p>
            <w:pPr>
              <w:pStyle w:val="TableParagraph"/>
              <w:ind w:left="200"/>
              <w:rPr>
                <w:b/>
                <w:sz w:val="18"/>
              </w:rPr>
            </w:pPr>
            <w:r>
              <w:rPr>
                <w:b/>
                <w:sz w:val="18"/>
              </w:rPr>
              <w:t>Timeframe</w:t>
            </w:r>
            <w:r>
              <w:rPr>
                <w:b/>
                <w:spacing w:val="-3"/>
                <w:sz w:val="18"/>
              </w:rPr>
              <w:t> </w:t>
            </w:r>
            <w:r>
              <w:rPr>
                <w:b/>
                <w:sz w:val="18"/>
              </w:rPr>
              <w:t>to</w:t>
            </w:r>
            <w:r>
              <w:rPr>
                <w:b/>
                <w:spacing w:val="-1"/>
                <w:sz w:val="18"/>
              </w:rPr>
              <w:t> </w:t>
            </w:r>
            <w:r>
              <w:rPr>
                <w:b/>
                <w:spacing w:val="-2"/>
                <w:sz w:val="18"/>
              </w:rPr>
              <w:t>complete</w:t>
            </w:r>
          </w:p>
        </w:tc>
      </w:tr>
      <w:tr>
        <w:trPr>
          <w:trHeight w:val="661" w:hRule="atLeast"/>
        </w:trPr>
        <w:tc>
          <w:tcPr>
            <w:tcW w:w="1702" w:type="dxa"/>
          </w:tcPr>
          <w:p>
            <w:pPr>
              <w:pStyle w:val="TableParagraph"/>
              <w:spacing w:before="0"/>
              <w:rPr>
                <w:rFonts w:ascii="Times New Roman"/>
                <w:sz w:val="18"/>
              </w:rPr>
            </w:pPr>
          </w:p>
        </w:tc>
        <w:tc>
          <w:tcPr>
            <w:tcW w:w="5067" w:type="dxa"/>
          </w:tcPr>
          <w:p>
            <w:pPr>
              <w:pStyle w:val="TableParagraph"/>
              <w:spacing w:before="1"/>
              <w:ind w:left="107" w:right="167"/>
              <w:rPr>
                <w:sz w:val="18"/>
              </w:rPr>
            </w:pPr>
            <w:r>
              <w:rPr>
                <w:sz w:val="18"/>
              </w:rPr>
              <w:t>recreation</w:t>
            </w:r>
            <w:r>
              <w:rPr>
                <w:spacing w:val="-8"/>
                <w:sz w:val="18"/>
              </w:rPr>
              <w:t> </w:t>
            </w:r>
            <w:r>
              <w:rPr>
                <w:sz w:val="18"/>
              </w:rPr>
              <w:t>groups,</w:t>
            </w:r>
            <w:r>
              <w:rPr>
                <w:spacing w:val="-8"/>
                <w:sz w:val="18"/>
              </w:rPr>
              <w:t> </w:t>
            </w:r>
            <w:r>
              <w:rPr>
                <w:sz w:val="18"/>
              </w:rPr>
              <w:t>counties</w:t>
            </w:r>
            <w:r>
              <w:rPr>
                <w:spacing w:val="-7"/>
                <w:sz w:val="18"/>
              </w:rPr>
              <w:t> </w:t>
            </w:r>
            <w:r>
              <w:rPr>
                <w:sz w:val="18"/>
              </w:rPr>
              <w:t>and</w:t>
            </w:r>
            <w:r>
              <w:rPr>
                <w:spacing w:val="-5"/>
                <w:sz w:val="18"/>
              </w:rPr>
              <w:t> </w:t>
            </w:r>
            <w:r>
              <w:rPr>
                <w:sz w:val="18"/>
              </w:rPr>
              <w:t>conservation</w:t>
            </w:r>
            <w:r>
              <w:rPr>
                <w:spacing w:val="-8"/>
                <w:sz w:val="18"/>
              </w:rPr>
              <w:t> </w:t>
            </w:r>
            <w:r>
              <w:rPr>
                <w:sz w:val="18"/>
              </w:rPr>
              <w:t>groups</w:t>
            </w:r>
            <w:r>
              <w:rPr>
                <w:spacing w:val="-5"/>
                <w:sz w:val="18"/>
              </w:rPr>
              <w:t> </w:t>
            </w:r>
            <w:r>
              <w:rPr>
                <w:sz w:val="18"/>
              </w:rPr>
              <w:t>to determine priority areas for selection, designation and </w:t>
            </w:r>
            <w:r>
              <w:rPr>
                <w:spacing w:val="-2"/>
                <w:sz w:val="18"/>
              </w:rPr>
              <w:t>monitoring.</w:t>
            </w:r>
          </w:p>
        </w:tc>
        <w:tc>
          <w:tcPr>
            <w:tcW w:w="2377" w:type="dxa"/>
          </w:tcPr>
          <w:p>
            <w:pPr>
              <w:pStyle w:val="TableParagraph"/>
              <w:spacing w:before="0"/>
              <w:rPr>
                <w:rFonts w:ascii="Times New Roman"/>
                <w:sz w:val="18"/>
              </w:rPr>
            </w:pPr>
          </w:p>
        </w:tc>
      </w:tr>
      <w:tr>
        <w:trPr>
          <w:trHeight w:val="700" w:hRule="atLeast"/>
        </w:trPr>
        <w:tc>
          <w:tcPr>
            <w:tcW w:w="1702" w:type="dxa"/>
          </w:tcPr>
          <w:p>
            <w:pPr>
              <w:pStyle w:val="TableParagraph"/>
              <w:ind w:left="107" w:right="250"/>
              <w:rPr>
                <w:b/>
                <w:sz w:val="18"/>
              </w:rPr>
            </w:pPr>
            <w:r>
              <w:rPr>
                <w:b/>
                <w:spacing w:val="-2"/>
                <w:sz w:val="18"/>
              </w:rPr>
              <w:t>Forest Transportation </w:t>
            </w:r>
            <w:r>
              <w:rPr>
                <w:b/>
                <w:sz w:val="18"/>
              </w:rPr>
              <w:t>Access</w:t>
            </w:r>
            <w:r>
              <w:rPr>
                <w:b/>
                <w:spacing w:val="-4"/>
                <w:sz w:val="18"/>
              </w:rPr>
              <w:t> </w:t>
            </w:r>
            <w:r>
              <w:rPr>
                <w:b/>
                <w:spacing w:val="-2"/>
                <w:sz w:val="18"/>
              </w:rPr>
              <w:t>System</w:t>
            </w:r>
          </w:p>
        </w:tc>
        <w:tc>
          <w:tcPr>
            <w:tcW w:w="5067" w:type="dxa"/>
          </w:tcPr>
          <w:p>
            <w:pPr>
              <w:pStyle w:val="TableParagraph"/>
              <w:ind w:left="107" w:right="167"/>
              <w:rPr>
                <w:sz w:val="18"/>
              </w:rPr>
            </w:pPr>
            <w:r>
              <w:rPr>
                <w:sz w:val="18"/>
              </w:rPr>
              <w:t>Improve drainage, water crossing and trail layout on 5 percent</w:t>
            </w:r>
            <w:r>
              <w:rPr>
                <w:spacing w:val="-4"/>
                <w:sz w:val="18"/>
              </w:rPr>
              <w:t> </w:t>
            </w:r>
            <w:r>
              <w:rPr>
                <w:sz w:val="18"/>
              </w:rPr>
              <w:t>of</w:t>
            </w:r>
            <w:r>
              <w:rPr>
                <w:spacing w:val="-6"/>
                <w:sz w:val="18"/>
              </w:rPr>
              <w:t> </w:t>
            </w:r>
            <w:r>
              <w:rPr>
                <w:sz w:val="18"/>
              </w:rPr>
              <w:t>the</w:t>
            </w:r>
            <w:r>
              <w:rPr>
                <w:spacing w:val="-6"/>
                <w:sz w:val="18"/>
              </w:rPr>
              <w:t> </w:t>
            </w:r>
            <w:r>
              <w:rPr>
                <w:sz w:val="18"/>
              </w:rPr>
              <w:t>Forest’s</w:t>
            </w:r>
            <w:r>
              <w:rPr>
                <w:spacing w:val="-4"/>
                <w:sz w:val="18"/>
              </w:rPr>
              <w:t> </w:t>
            </w:r>
            <w:r>
              <w:rPr>
                <w:sz w:val="18"/>
              </w:rPr>
              <w:t>trail</w:t>
            </w:r>
            <w:r>
              <w:rPr>
                <w:spacing w:val="-6"/>
                <w:sz w:val="18"/>
              </w:rPr>
              <w:t> </w:t>
            </w:r>
            <w:r>
              <w:rPr>
                <w:sz w:val="18"/>
              </w:rPr>
              <w:t>system</w:t>
            </w:r>
            <w:r>
              <w:rPr>
                <w:spacing w:val="-4"/>
                <w:sz w:val="18"/>
              </w:rPr>
              <w:t> </w:t>
            </w:r>
            <w:r>
              <w:rPr>
                <w:sz w:val="18"/>
              </w:rPr>
              <w:t>designed</w:t>
            </w:r>
            <w:r>
              <w:rPr>
                <w:spacing w:val="-4"/>
                <w:sz w:val="18"/>
              </w:rPr>
              <w:t> </w:t>
            </w:r>
            <w:r>
              <w:rPr>
                <w:sz w:val="18"/>
              </w:rPr>
              <w:t>for</w:t>
            </w:r>
            <w:r>
              <w:rPr>
                <w:spacing w:val="-6"/>
                <w:sz w:val="18"/>
              </w:rPr>
              <w:t> </w:t>
            </w:r>
            <w:r>
              <w:rPr>
                <w:sz w:val="18"/>
              </w:rPr>
              <w:t>mountain bikes, motorized use, and pack stock.</w:t>
            </w:r>
          </w:p>
        </w:tc>
        <w:tc>
          <w:tcPr>
            <w:tcW w:w="2377" w:type="dxa"/>
          </w:tcPr>
          <w:p>
            <w:pPr>
              <w:pStyle w:val="TableParagraph"/>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702" w:hRule="atLeast"/>
        </w:trPr>
        <w:tc>
          <w:tcPr>
            <w:tcW w:w="1702" w:type="dxa"/>
          </w:tcPr>
          <w:p>
            <w:pPr>
              <w:pStyle w:val="TableParagraph"/>
              <w:spacing w:before="42"/>
              <w:ind w:left="107" w:right="250"/>
              <w:rPr>
                <w:b/>
                <w:sz w:val="18"/>
              </w:rPr>
            </w:pPr>
            <w:r>
              <w:rPr>
                <w:b/>
                <w:spacing w:val="-2"/>
                <w:sz w:val="18"/>
              </w:rPr>
              <w:t>Forest Transportation </w:t>
            </w:r>
            <w:r>
              <w:rPr>
                <w:b/>
                <w:sz w:val="18"/>
              </w:rPr>
              <w:t>Access</w:t>
            </w:r>
            <w:r>
              <w:rPr>
                <w:b/>
                <w:spacing w:val="-4"/>
                <w:sz w:val="18"/>
              </w:rPr>
              <w:t> </w:t>
            </w:r>
            <w:r>
              <w:rPr>
                <w:b/>
                <w:spacing w:val="-2"/>
                <w:sz w:val="18"/>
              </w:rPr>
              <w:t>System</w:t>
            </w:r>
          </w:p>
        </w:tc>
        <w:tc>
          <w:tcPr>
            <w:tcW w:w="5067" w:type="dxa"/>
          </w:tcPr>
          <w:p>
            <w:pPr>
              <w:pStyle w:val="TableParagraph"/>
              <w:spacing w:before="42"/>
              <w:ind w:left="107" w:right="341"/>
              <w:rPr>
                <w:sz w:val="18"/>
              </w:rPr>
            </w:pPr>
            <w:r>
              <w:rPr>
                <w:sz w:val="18"/>
              </w:rPr>
              <w:t>Maintain</w:t>
            </w:r>
            <w:r>
              <w:rPr>
                <w:spacing w:val="-3"/>
                <w:sz w:val="18"/>
              </w:rPr>
              <w:t> </w:t>
            </w:r>
            <w:r>
              <w:rPr>
                <w:sz w:val="18"/>
              </w:rPr>
              <w:t>at</w:t>
            </w:r>
            <w:r>
              <w:rPr>
                <w:spacing w:val="-6"/>
                <w:sz w:val="18"/>
              </w:rPr>
              <w:t> </w:t>
            </w:r>
            <w:r>
              <w:rPr>
                <w:sz w:val="18"/>
              </w:rPr>
              <w:t>least</w:t>
            </w:r>
            <w:r>
              <w:rPr>
                <w:spacing w:val="-4"/>
                <w:sz w:val="18"/>
              </w:rPr>
              <w:t> </w:t>
            </w:r>
            <w:r>
              <w:rPr>
                <w:sz w:val="18"/>
              </w:rPr>
              <w:t>20</w:t>
            </w:r>
            <w:r>
              <w:rPr>
                <w:spacing w:val="-3"/>
                <w:sz w:val="18"/>
              </w:rPr>
              <w:t> </w:t>
            </w:r>
            <w:r>
              <w:rPr>
                <w:sz w:val="18"/>
              </w:rPr>
              <w:t>percent</w:t>
            </w:r>
            <w:r>
              <w:rPr>
                <w:spacing w:val="-4"/>
                <w:sz w:val="18"/>
              </w:rPr>
              <w:t> </w:t>
            </w:r>
            <w:r>
              <w:rPr>
                <w:sz w:val="18"/>
              </w:rPr>
              <w:t>of</w:t>
            </w:r>
            <w:r>
              <w:rPr>
                <w:spacing w:val="-6"/>
                <w:sz w:val="18"/>
              </w:rPr>
              <w:t> </w:t>
            </w:r>
            <w:r>
              <w:rPr>
                <w:sz w:val="18"/>
              </w:rPr>
              <w:t>the</w:t>
            </w:r>
            <w:r>
              <w:rPr>
                <w:spacing w:val="-3"/>
                <w:sz w:val="18"/>
              </w:rPr>
              <w:t> </w:t>
            </w:r>
            <w:r>
              <w:rPr>
                <w:sz w:val="18"/>
              </w:rPr>
              <w:t>Forest’s</w:t>
            </w:r>
            <w:r>
              <w:rPr>
                <w:spacing w:val="-5"/>
                <w:sz w:val="18"/>
              </w:rPr>
              <w:t> </w:t>
            </w:r>
            <w:r>
              <w:rPr>
                <w:sz w:val="18"/>
              </w:rPr>
              <w:t>motorized</w:t>
            </w:r>
            <w:r>
              <w:rPr>
                <w:spacing w:val="-6"/>
                <w:sz w:val="18"/>
              </w:rPr>
              <w:t> </w:t>
            </w:r>
            <w:r>
              <w:rPr>
                <w:sz w:val="18"/>
              </w:rPr>
              <w:t>and non-motorized trail system.</w:t>
            </w:r>
          </w:p>
        </w:tc>
        <w:tc>
          <w:tcPr>
            <w:tcW w:w="2377" w:type="dxa"/>
          </w:tcPr>
          <w:p>
            <w:pPr>
              <w:pStyle w:val="TableParagraph"/>
              <w:spacing w:before="42"/>
              <w:ind w:left="106"/>
              <w:rPr>
                <w:sz w:val="18"/>
              </w:rPr>
            </w:pPr>
            <w:r>
              <w:rPr>
                <w:spacing w:val="-2"/>
                <w:sz w:val="18"/>
              </w:rPr>
              <w:t>Annually</w:t>
            </w:r>
          </w:p>
        </w:tc>
      </w:tr>
      <w:tr>
        <w:trPr>
          <w:trHeight w:val="700" w:hRule="atLeast"/>
        </w:trPr>
        <w:tc>
          <w:tcPr>
            <w:tcW w:w="1702" w:type="dxa"/>
          </w:tcPr>
          <w:p>
            <w:pPr>
              <w:pStyle w:val="TableParagraph"/>
              <w:ind w:left="107"/>
              <w:rPr>
                <w:b/>
                <w:sz w:val="18"/>
              </w:rPr>
            </w:pPr>
            <w:r>
              <w:rPr>
                <w:b/>
                <w:sz w:val="18"/>
              </w:rPr>
              <w:t>American Indian Rights</w:t>
            </w:r>
            <w:r>
              <w:rPr>
                <w:b/>
                <w:spacing w:val="-1"/>
                <w:sz w:val="18"/>
              </w:rPr>
              <w:t> </w:t>
            </w:r>
            <w:r>
              <w:rPr>
                <w:b/>
                <w:sz w:val="18"/>
              </w:rPr>
              <w:t>&amp;</w:t>
            </w:r>
            <w:r>
              <w:rPr>
                <w:b/>
                <w:spacing w:val="-2"/>
                <w:sz w:val="18"/>
              </w:rPr>
              <w:t> </w:t>
            </w:r>
            <w:r>
              <w:rPr>
                <w:b/>
                <w:spacing w:val="-2"/>
                <w:sz w:val="18"/>
              </w:rPr>
              <w:t>Interest</w:t>
            </w:r>
          </w:p>
        </w:tc>
        <w:tc>
          <w:tcPr>
            <w:tcW w:w="5067" w:type="dxa"/>
          </w:tcPr>
          <w:p>
            <w:pPr>
              <w:pStyle w:val="TableParagraph"/>
              <w:ind w:left="107" w:right="167"/>
              <w:rPr>
                <w:sz w:val="18"/>
              </w:rPr>
            </w:pPr>
            <w:r>
              <w:rPr>
                <w:sz w:val="18"/>
              </w:rPr>
              <w:t>A</w:t>
            </w:r>
            <w:r>
              <w:rPr>
                <w:spacing w:val="-7"/>
                <w:sz w:val="18"/>
              </w:rPr>
              <w:t> </w:t>
            </w:r>
            <w:r>
              <w:rPr>
                <w:sz w:val="18"/>
              </w:rPr>
              <w:t>cooperatively</w:t>
            </w:r>
            <w:r>
              <w:rPr>
                <w:spacing w:val="-8"/>
                <w:sz w:val="18"/>
              </w:rPr>
              <w:t> </w:t>
            </w:r>
            <w:r>
              <w:rPr>
                <w:sz w:val="18"/>
              </w:rPr>
              <w:t>developed</w:t>
            </w:r>
            <w:r>
              <w:rPr>
                <w:spacing w:val="-9"/>
                <w:sz w:val="18"/>
              </w:rPr>
              <w:t> </w:t>
            </w:r>
            <w:r>
              <w:rPr>
                <w:sz w:val="18"/>
              </w:rPr>
              <w:t>communication</w:t>
            </w:r>
            <w:r>
              <w:rPr>
                <w:spacing w:val="-6"/>
                <w:sz w:val="18"/>
              </w:rPr>
              <w:t> </w:t>
            </w:r>
            <w:r>
              <w:rPr>
                <w:sz w:val="18"/>
              </w:rPr>
              <w:t>plan</w:t>
            </w:r>
            <w:r>
              <w:rPr>
                <w:spacing w:val="-9"/>
                <w:sz w:val="18"/>
              </w:rPr>
              <w:t> </w:t>
            </w:r>
            <w:r>
              <w:rPr>
                <w:sz w:val="18"/>
              </w:rPr>
              <w:t>establishes coordination with each federally recognized Tribe with historical or treaty interests in CNF lands.</w:t>
            </w:r>
          </w:p>
        </w:tc>
        <w:tc>
          <w:tcPr>
            <w:tcW w:w="2377" w:type="dxa"/>
          </w:tcPr>
          <w:p>
            <w:pPr>
              <w:pStyle w:val="TableParagraph"/>
              <w:ind w:left="106"/>
              <w:rPr>
                <w:sz w:val="18"/>
              </w:rPr>
            </w:pPr>
            <w:r>
              <w:rPr>
                <w:sz w:val="18"/>
              </w:rPr>
              <w:t>Over</w:t>
            </w:r>
            <w:r>
              <w:rPr>
                <w:spacing w:val="-2"/>
                <w:sz w:val="18"/>
              </w:rPr>
              <w:t> </w:t>
            </w:r>
            <w:r>
              <w:rPr>
                <w:sz w:val="18"/>
              </w:rPr>
              <w:t>the life of</w:t>
            </w:r>
            <w:r>
              <w:rPr>
                <w:spacing w:val="-3"/>
                <w:sz w:val="18"/>
              </w:rPr>
              <w:t> </w:t>
            </w:r>
            <w:r>
              <w:rPr>
                <w:sz w:val="18"/>
              </w:rPr>
              <w:t>the</w:t>
            </w:r>
            <w:r>
              <w:rPr>
                <w:spacing w:val="-3"/>
                <w:sz w:val="18"/>
              </w:rPr>
              <w:t> </w:t>
            </w:r>
            <w:r>
              <w:rPr>
                <w:spacing w:val="-4"/>
                <w:sz w:val="18"/>
              </w:rPr>
              <w:t>plan</w:t>
            </w:r>
          </w:p>
        </w:tc>
      </w:tr>
      <w:tr>
        <w:trPr>
          <w:trHeight w:val="908" w:hRule="atLeast"/>
        </w:trPr>
        <w:tc>
          <w:tcPr>
            <w:tcW w:w="1702" w:type="dxa"/>
          </w:tcPr>
          <w:p>
            <w:pPr>
              <w:pStyle w:val="TableParagraph"/>
              <w:ind w:left="107"/>
              <w:rPr>
                <w:b/>
                <w:sz w:val="18"/>
              </w:rPr>
            </w:pPr>
            <w:r>
              <w:rPr>
                <w:b/>
                <w:sz w:val="18"/>
              </w:rPr>
              <w:t>American Indian Rights</w:t>
            </w:r>
            <w:r>
              <w:rPr>
                <w:b/>
                <w:spacing w:val="-1"/>
                <w:sz w:val="18"/>
              </w:rPr>
              <w:t> </w:t>
            </w:r>
            <w:r>
              <w:rPr>
                <w:b/>
                <w:sz w:val="18"/>
              </w:rPr>
              <w:t>&amp;</w:t>
            </w:r>
            <w:r>
              <w:rPr>
                <w:b/>
                <w:spacing w:val="-2"/>
                <w:sz w:val="18"/>
              </w:rPr>
              <w:t> </w:t>
            </w:r>
            <w:r>
              <w:rPr>
                <w:b/>
                <w:spacing w:val="-2"/>
                <w:sz w:val="18"/>
              </w:rPr>
              <w:t>Interest</w:t>
            </w:r>
          </w:p>
        </w:tc>
        <w:tc>
          <w:tcPr>
            <w:tcW w:w="5067" w:type="dxa"/>
          </w:tcPr>
          <w:p>
            <w:pPr>
              <w:pStyle w:val="TableParagraph"/>
              <w:ind w:left="107" w:right="167"/>
              <w:rPr>
                <w:sz w:val="18"/>
              </w:rPr>
            </w:pPr>
            <w:r>
              <w:rPr>
                <w:sz w:val="18"/>
              </w:rPr>
              <w:t>Consult</w:t>
            </w:r>
            <w:r>
              <w:rPr>
                <w:spacing w:val="-6"/>
                <w:sz w:val="18"/>
              </w:rPr>
              <w:t> </w:t>
            </w:r>
            <w:r>
              <w:rPr>
                <w:sz w:val="18"/>
              </w:rPr>
              <w:t>with</w:t>
            </w:r>
            <w:r>
              <w:rPr>
                <w:spacing w:val="-5"/>
                <w:sz w:val="18"/>
              </w:rPr>
              <w:t> </w:t>
            </w:r>
            <w:r>
              <w:rPr>
                <w:sz w:val="18"/>
              </w:rPr>
              <w:t>Tribes</w:t>
            </w:r>
            <w:r>
              <w:rPr>
                <w:spacing w:val="-5"/>
                <w:sz w:val="18"/>
              </w:rPr>
              <w:t> </w:t>
            </w:r>
            <w:r>
              <w:rPr>
                <w:sz w:val="18"/>
              </w:rPr>
              <w:t>when</w:t>
            </w:r>
            <w:r>
              <w:rPr>
                <w:spacing w:val="-5"/>
                <w:sz w:val="18"/>
              </w:rPr>
              <w:t> </w:t>
            </w:r>
            <w:r>
              <w:rPr>
                <w:sz w:val="18"/>
              </w:rPr>
              <w:t>forest</w:t>
            </w:r>
            <w:r>
              <w:rPr>
                <w:spacing w:val="-6"/>
                <w:sz w:val="18"/>
              </w:rPr>
              <w:t> </w:t>
            </w:r>
            <w:r>
              <w:rPr>
                <w:sz w:val="18"/>
              </w:rPr>
              <w:t>management</w:t>
            </w:r>
            <w:r>
              <w:rPr>
                <w:spacing w:val="-6"/>
                <w:sz w:val="18"/>
              </w:rPr>
              <w:t> </w:t>
            </w:r>
            <w:r>
              <w:rPr>
                <w:sz w:val="18"/>
              </w:rPr>
              <w:t>activities</w:t>
            </w:r>
            <w:r>
              <w:rPr>
                <w:spacing w:val="-5"/>
                <w:sz w:val="18"/>
              </w:rPr>
              <w:t> </w:t>
            </w:r>
            <w:r>
              <w:rPr>
                <w:sz w:val="18"/>
              </w:rPr>
              <w:t>may impact treaty rights and/or cultural sites and cultural use, according to individual Tribal communication plans, consultation protocols, or policies.</w:t>
            </w:r>
          </w:p>
        </w:tc>
        <w:tc>
          <w:tcPr>
            <w:tcW w:w="2377" w:type="dxa"/>
          </w:tcPr>
          <w:p>
            <w:pPr>
              <w:pStyle w:val="TableParagraph"/>
              <w:ind w:left="106"/>
              <w:rPr>
                <w:sz w:val="18"/>
              </w:rPr>
            </w:pPr>
            <w:r>
              <w:rPr>
                <w:sz w:val="18"/>
              </w:rPr>
              <w:t>Over</w:t>
            </w:r>
            <w:r>
              <w:rPr>
                <w:spacing w:val="-2"/>
                <w:sz w:val="18"/>
              </w:rPr>
              <w:t> </w:t>
            </w:r>
            <w:r>
              <w:rPr>
                <w:sz w:val="18"/>
              </w:rPr>
              <w:t>the life of</w:t>
            </w:r>
            <w:r>
              <w:rPr>
                <w:spacing w:val="-3"/>
                <w:sz w:val="18"/>
              </w:rPr>
              <w:t> </w:t>
            </w:r>
            <w:r>
              <w:rPr>
                <w:sz w:val="18"/>
              </w:rPr>
              <w:t>the</w:t>
            </w:r>
            <w:r>
              <w:rPr>
                <w:spacing w:val="-3"/>
                <w:sz w:val="18"/>
              </w:rPr>
              <w:t> </w:t>
            </w:r>
            <w:r>
              <w:rPr>
                <w:spacing w:val="-4"/>
                <w:sz w:val="18"/>
              </w:rPr>
              <w:t>plan</w:t>
            </w:r>
          </w:p>
        </w:tc>
      </w:tr>
      <w:tr>
        <w:trPr>
          <w:trHeight w:val="2149" w:hRule="atLeast"/>
        </w:trPr>
        <w:tc>
          <w:tcPr>
            <w:tcW w:w="1702" w:type="dxa"/>
          </w:tcPr>
          <w:p>
            <w:pPr>
              <w:pStyle w:val="TableParagraph"/>
              <w:ind w:left="107" w:right="257"/>
              <w:rPr>
                <w:b/>
                <w:sz w:val="18"/>
              </w:rPr>
            </w:pPr>
            <w:r>
              <w:rPr>
                <w:b/>
                <w:spacing w:val="-2"/>
                <w:sz w:val="18"/>
              </w:rPr>
              <w:t>Livestock Grazing</w:t>
            </w:r>
          </w:p>
        </w:tc>
        <w:tc>
          <w:tcPr>
            <w:tcW w:w="5067" w:type="dxa"/>
          </w:tcPr>
          <w:p>
            <w:pPr>
              <w:pStyle w:val="TableParagraph"/>
              <w:ind w:left="106" w:right="102"/>
              <w:rPr>
                <w:sz w:val="18"/>
              </w:rPr>
            </w:pPr>
            <w:r>
              <w:rPr>
                <w:sz w:val="18"/>
              </w:rPr>
              <w:t>Recondition or reconstruct an average of 1 to 4 percent of the existing range infrastructure on National Forest System lands annually. Such range infrastructure would include water developments, hardened fords, livestock handling facilities, and fences. Within 5 years of a decision being made</w:t>
            </w:r>
            <w:r>
              <w:rPr>
                <w:spacing w:val="-7"/>
                <w:sz w:val="18"/>
              </w:rPr>
              <w:t> </w:t>
            </w:r>
            <w:r>
              <w:rPr>
                <w:sz w:val="18"/>
              </w:rPr>
              <w:t>to</w:t>
            </w:r>
            <w:r>
              <w:rPr>
                <w:spacing w:val="-4"/>
                <w:sz w:val="18"/>
              </w:rPr>
              <w:t> </w:t>
            </w:r>
            <w:r>
              <w:rPr>
                <w:sz w:val="18"/>
              </w:rPr>
              <w:t>implement</w:t>
            </w:r>
            <w:r>
              <w:rPr>
                <w:spacing w:val="-7"/>
                <w:sz w:val="18"/>
              </w:rPr>
              <w:t> </w:t>
            </w:r>
            <w:r>
              <w:rPr>
                <w:sz w:val="18"/>
              </w:rPr>
              <w:t>an</w:t>
            </w:r>
            <w:r>
              <w:rPr>
                <w:spacing w:val="-4"/>
                <w:sz w:val="18"/>
              </w:rPr>
              <w:t> </w:t>
            </w:r>
            <w:r>
              <w:rPr>
                <w:sz w:val="18"/>
              </w:rPr>
              <w:t>Allotment</w:t>
            </w:r>
            <w:r>
              <w:rPr>
                <w:spacing w:val="-5"/>
                <w:sz w:val="18"/>
              </w:rPr>
              <w:t> </w:t>
            </w:r>
            <w:r>
              <w:rPr>
                <w:sz w:val="18"/>
              </w:rPr>
              <w:t>Management</w:t>
            </w:r>
            <w:r>
              <w:rPr>
                <w:spacing w:val="-5"/>
                <w:sz w:val="18"/>
              </w:rPr>
              <w:t> </w:t>
            </w:r>
            <w:r>
              <w:rPr>
                <w:sz w:val="18"/>
              </w:rPr>
              <w:t>Plan,</w:t>
            </w:r>
            <w:r>
              <w:rPr>
                <w:spacing w:val="-5"/>
                <w:sz w:val="18"/>
              </w:rPr>
              <w:t> </w:t>
            </w:r>
            <w:r>
              <w:rPr>
                <w:sz w:val="18"/>
              </w:rPr>
              <w:t>relocate or reconstruct, at least 75 percent of the identified range infrastructure (for example, water developments, fences, loading chutes, and holding structures) that has become</w:t>
            </w:r>
          </w:p>
          <w:p>
            <w:pPr>
              <w:pStyle w:val="TableParagraph"/>
              <w:spacing w:before="0"/>
              <w:ind w:left="107"/>
              <w:rPr>
                <w:sz w:val="18"/>
              </w:rPr>
            </w:pPr>
            <w:r>
              <w:rPr>
                <w:sz w:val="18"/>
              </w:rPr>
              <w:t>non-functional</w:t>
            </w:r>
            <w:r>
              <w:rPr>
                <w:spacing w:val="-1"/>
                <w:sz w:val="18"/>
              </w:rPr>
              <w:t> </w:t>
            </w:r>
            <w:r>
              <w:rPr>
                <w:sz w:val="18"/>
              </w:rPr>
              <w:t>or</w:t>
            </w:r>
            <w:r>
              <w:rPr>
                <w:spacing w:val="-3"/>
                <w:sz w:val="18"/>
              </w:rPr>
              <w:t> </w:t>
            </w:r>
            <w:r>
              <w:rPr>
                <w:sz w:val="18"/>
              </w:rPr>
              <w:t>in</w:t>
            </w:r>
            <w:r>
              <w:rPr>
                <w:spacing w:val="-1"/>
                <w:sz w:val="18"/>
              </w:rPr>
              <w:t> </w:t>
            </w:r>
            <w:r>
              <w:rPr>
                <w:sz w:val="18"/>
              </w:rPr>
              <w:t>need</w:t>
            </w:r>
            <w:r>
              <w:rPr>
                <w:spacing w:val="-3"/>
                <w:sz w:val="18"/>
              </w:rPr>
              <w:t> </w:t>
            </w:r>
            <w:r>
              <w:rPr>
                <w:sz w:val="18"/>
              </w:rPr>
              <w:t>of</w:t>
            </w:r>
            <w:r>
              <w:rPr>
                <w:spacing w:val="-1"/>
                <w:sz w:val="18"/>
              </w:rPr>
              <w:t> </w:t>
            </w:r>
            <w:r>
              <w:rPr>
                <w:spacing w:val="-2"/>
                <w:sz w:val="18"/>
              </w:rPr>
              <w:t>replacement.</w:t>
            </w:r>
          </w:p>
        </w:tc>
        <w:tc>
          <w:tcPr>
            <w:tcW w:w="2377" w:type="dxa"/>
          </w:tcPr>
          <w:p>
            <w:pPr>
              <w:pStyle w:val="TableParagraph"/>
              <w:spacing w:before="40"/>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1115" w:hRule="atLeast"/>
        </w:trPr>
        <w:tc>
          <w:tcPr>
            <w:tcW w:w="1702" w:type="dxa"/>
          </w:tcPr>
          <w:p>
            <w:pPr>
              <w:pStyle w:val="TableParagraph"/>
              <w:ind w:left="107" w:right="257"/>
              <w:rPr>
                <w:b/>
                <w:sz w:val="18"/>
              </w:rPr>
            </w:pPr>
            <w:r>
              <w:rPr>
                <w:b/>
                <w:spacing w:val="-2"/>
                <w:sz w:val="18"/>
              </w:rPr>
              <w:t>Livestock Grazing</w:t>
            </w:r>
          </w:p>
        </w:tc>
        <w:tc>
          <w:tcPr>
            <w:tcW w:w="5067" w:type="dxa"/>
          </w:tcPr>
          <w:p>
            <w:pPr>
              <w:pStyle w:val="TableParagraph"/>
              <w:ind w:left="107" w:right="113"/>
              <w:rPr>
                <w:sz w:val="18"/>
              </w:rPr>
            </w:pPr>
            <w:r>
              <w:rPr>
                <w:sz w:val="18"/>
              </w:rPr>
              <w:t>Install reassurance markers on 75 percent of trails that are difficult to follow as a result of braiding caused by trailing cattle,</w:t>
            </w:r>
            <w:r>
              <w:rPr>
                <w:spacing w:val="-3"/>
                <w:sz w:val="18"/>
              </w:rPr>
              <w:t> </w:t>
            </w:r>
            <w:r>
              <w:rPr>
                <w:sz w:val="18"/>
              </w:rPr>
              <w:t>to</w:t>
            </w:r>
            <w:r>
              <w:rPr>
                <w:spacing w:val="-5"/>
                <w:sz w:val="18"/>
              </w:rPr>
              <w:t> </w:t>
            </w:r>
            <w:r>
              <w:rPr>
                <w:sz w:val="18"/>
              </w:rPr>
              <w:t>ensure</w:t>
            </w:r>
            <w:r>
              <w:rPr>
                <w:spacing w:val="-5"/>
                <w:sz w:val="18"/>
              </w:rPr>
              <w:t> </w:t>
            </w:r>
            <w:r>
              <w:rPr>
                <w:sz w:val="18"/>
              </w:rPr>
              <w:t>trail</w:t>
            </w:r>
            <w:r>
              <w:rPr>
                <w:spacing w:val="-2"/>
                <w:sz w:val="18"/>
              </w:rPr>
              <w:t> </w:t>
            </w:r>
            <w:r>
              <w:rPr>
                <w:sz w:val="18"/>
              </w:rPr>
              <w:t>users</w:t>
            </w:r>
            <w:r>
              <w:rPr>
                <w:spacing w:val="-4"/>
                <w:sz w:val="18"/>
              </w:rPr>
              <w:t> </w:t>
            </w:r>
            <w:r>
              <w:rPr>
                <w:sz w:val="18"/>
              </w:rPr>
              <w:t>are</w:t>
            </w:r>
            <w:r>
              <w:rPr>
                <w:spacing w:val="-5"/>
                <w:sz w:val="18"/>
              </w:rPr>
              <w:t> </w:t>
            </w:r>
            <w:r>
              <w:rPr>
                <w:sz w:val="18"/>
              </w:rPr>
              <w:t>able</w:t>
            </w:r>
            <w:r>
              <w:rPr>
                <w:spacing w:val="-5"/>
                <w:sz w:val="18"/>
              </w:rPr>
              <w:t> </w:t>
            </w:r>
            <w:r>
              <w:rPr>
                <w:sz w:val="18"/>
              </w:rPr>
              <w:t>to</w:t>
            </w:r>
            <w:r>
              <w:rPr>
                <w:spacing w:val="-2"/>
                <w:sz w:val="18"/>
              </w:rPr>
              <w:t> </w:t>
            </w:r>
            <w:r>
              <w:rPr>
                <w:sz w:val="18"/>
              </w:rPr>
              <w:t>follow</w:t>
            </w:r>
            <w:r>
              <w:rPr>
                <w:spacing w:val="-6"/>
                <w:sz w:val="18"/>
              </w:rPr>
              <w:t> </w:t>
            </w:r>
            <w:r>
              <w:rPr>
                <w:sz w:val="18"/>
              </w:rPr>
              <w:t>the</w:t>
            </w:r>
            <w:r>
              <w:rPr>
                <w:spacing w:val="-2"/>
                <w:sz w:val="18"/>
              </w:rPr>
              <w:t> </w:t>
            </w:r>
            <w:r>
              <w:rPr>
                <w:sz w:val="18"/>
              </w:rPr>
              <w:t>established trail tread and decrease an existing source of conflict between recreationists and livestock.</w:t>
            </w:r>
          </w:p>
        </w:tc>
        <w:tc>
          <w:tcPr>
            <w:tcW w:w="2377" w:type="dxa"/>
          </w:tcPr>
          <w:p>
            <w:pPr>
              <w:pStyle w:val="TableParagraph"/>
              <w:ind w:left="106" w:right="142"/>
              <w:rPr>
                <w:sz w:val="18"/>
              </w:rPr>
            </w:pPr>
            <w:r>
              <w:rPr>
                <w:sz w:val="18"/>
              </w:rPr>
              <w:t>During</w:t>
            </w:r>
            <w:r>
              <w:rPr>
                <w:spacing w:val="-12"/>
                <w:sz w:val="18"/>
              </w:rPr>
              <w:t> </w:t>
            </w:r>
            <w:r>
              <w:rPr>
                <w:sz w:val="18"/>
              </w:rPr>
              <w:t>the</w:t>
            </w:r>
            <w:r>
              <w:rPr>
                <w:spacing w:val="-12"/>
                <w:sz w:val="18"/>
              </w:rPr>
              <w:t> </w:t>
            </w:r>
            <w:r>
              <w:rPr>
                <w:sz w:val="18"/>
              </w:rPr>
              <w:t>expected</w:t>
            </w:r>
            <w:r>
              <w:rPr>
                <w:spacing w:val="-12"/>
                <w:sz w:val="18"/>
              </w:rPr>
              <w:t> </w:t>
            </w:r>
            <w:r>
              <w:rPr>
                <w:sz w:val="18"/>
              </w:rPr>
              <w:t>15 years of plan </w:t>
            </w:r>
            <w:r>
              <w:rPr>
                <w:spacing w:val="-2"/>
                <w:sz w:val="18"/>
              </w:rPr>
              <w:t>implementation</w:t>
            </w:r>
          </w:p>
        </w:tc>
      </w:tr>
      <w:tr>
        <w:trPr>
          <w:trHeight w:val="1321" w:hRule="atLeast"/>
        </w:trPr>
        <w:tc>
          <w:tcPr>
            <w:tcW w:w="1702" w:type="dxa"/>
          </w:tcPr>
          <w:p>
            <w:pPr>
              <w:pStyle w:val="TableParagraph"/>
              <w:ind w:left="107"/>
              <w:rPr>
                <w:b/>
                <w:sz w:val="18"/>
              </w:rPr>
            </w:pPr>
            <w:r>
              <w:rPr>
                <w:b/>
                <w:spacing w:val="-2"/>
                <w:sz w:val="18"/>
              </w:rPr>
              <w:t>Scenery</w:t>
            </w:r>
          </w:p>
        </w:tc>
        <w:tc>
          <w:tcPr>
            <w:tcW w:w="5067" w:type="dxa"/>
          </w:tcPr>
          <w:p>
            <w:pPr>
              <w:pStyle w:val="TableParagraph"/>
              <w:ind w:left="107" w:right="113"/>
              <w:rPr>
                <w:sz w:val="18"/>
              </w:rPr>
            </w:pPr>
            <w:r>
              <w:rPr>
                <w:sz w:val="18"/>
              </w:rPr>
              <w:t>Evaluate scenery management monitoring results and implement appropriate management adjustments with the emphasis on improving the sustainability of desired landscape character in landscape areas of highest expectations</w:t>
            </w:r>
            <w:r>
              <w:rPr>
                <w:spacing w:val="-3"/>
                <w:sz w:val="18"/>
              </w:rPr>
              <w:t> </w:t>
            </w:r>
            <w:r>
              <w:rPr>
                <w:sz w:val="18"/>
              </w:rPr>
              <w:t>for</w:t>
            </w:r>
            <w:r>
              <w:rPr>
                <w:spacing w:val="-6"/>
                <w:sz w:val="18"/>
              </w:rPr>
              <w:t> </w:t>
            </w:r>
            <w:r>
              <w:rPr>
                <w:sz w:val="18"/>
              </w:rPr>
              <w:t>scenic</w:t>
            </w:r>
            <w:r>
              <w:rPr>
                <w:spacing w:val="-5"/>
                <w:sz w:val="18"/>
              </w:rPr>
              <w:t> </w:t>
            </w:r>
            <w:r>
              <w:rPr>
                <w:sz w:val="18"/>
              </w:rPr>
              <w:t>integrity</w:t>
            </w:r>
            <w:r>
              <w:rPr>
                <w:spacing w:val="-5"/>
                <w:sz w:val="18"/>
              </w:rPr>
              <w:t> </w:t>
            </w:r>
            <w:r>
              <w:rPr>
                <w:sz w:val="18"/>
              </w:rPr>
              <w:t>levels</w:t>
            </w:r>
            <w:r>
              <w:rPr>
                <w:spacing w:val="-3"/>
                <w:sz w:val="18"/>
              </w:rPr>
              <w:t> </w:t>
            </w:r>
            <w:r>
              <w:rPr>
                <w:sz w:val="18"/>
              </w:rPr>
              <w:t>in</w:t>
            </w:r>
            <w:r>
              <w:rPr>
                <w:spacing w:val="-3"/>
                <w:sz w:val="18"/>
              </w:rPr>
              <w:t> </w:t>
            </w:r>
            <w:r>
              <w:rPr>
                <w:sz w:val="18"/>
              </w:rPr>
              <w:t>concern</w:t>
            </w:r>
            <w:r>
              <w:rPr>
                <w:spacing w:val="-3"/>
                <w:sz w:val="18"/>
              </w:rPr>
              <w:t> </w:t>
            </w:r>
            <w:r>
              <w:rPr>
                <w:sz w:val="18"/>
              </w:rPr>
              <w:t>level</w:t>
            </w:r>
            <w:r>
              <w:rPr>
                <w:spacing w:val="-3"/>
                <w:sz w:val="18"/>
              </w:rPr>
              <w:t> </w:t>
            </w:r>
            <w:r>
              <w:rPr>
                <w:sz w:val="18"/>
              </w:rPr>
              <w:t>1</w:t>
            </w:r>
            <w:r>
              <w:rPr>
                <w:spacing w:val="-6"/>
                <w:sz w:val="18"/>
              </w:rPr>
              <w:t> </w:t>
            </w:r>
            <w:r>
              <w:rPr>
                <w:sz w:val="18"/>
              </w:rPr>
              <w:t>and concern level 2 scenic viewsheds.</w:t>
            </w:r>
          </w:p>
        </w:tc>
        <w:tc>
          <w:tcPr>
            <w:tcW w:w="2377" w:type="dxa"/>
          </w:tcPr>
          <w:p>
            <w:pPr>
              <w:pStyle w:val="TableParagraph"/>
              <w:ind w:left="106" w:right="516"/>
              <w:jc w:val="both"/>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approval,</w:t>
            </w:r>
            <w:r>
              <w:rPr>
                <w:spacing w:val="-13"/>
                <w:sz w:val="18"/>
              </w:rPr>
              <w:t> </w:t>
            </w:r>
            <w:r>
              <w:rPr>
                <w:sz w:val="18"/>
              </w:rPr>
              <w:t>and</w:t>
            </w:r>
            <w:r>
              <w:rPr>
                <w:spacing w:val="-12"/>
                <w:sz w:val="18"/>
              </w:rPr>
              <w:t> </w:t>
            </w:r>
            <w:r>
              <w:rPr>
                <w:sz w:val="18"/>
              </w:rPr>
              <w:t>every</w:t>
            </w:r>
            <w:r>
              <w:rPr>
                <w:spacing w:val="-12"/>
                <w:sz w:val="18"/>
              </w:rPr>
              <w:t> </w:t>
            </w:r>
            <w:r>
              <w:rPr>
                <w:sz w:val="18"/>
              </w:rPr>
              <w:t>5 years after</w:t>
            </w:r>
          </w:p>
        </w:tc>
      </w:tr>
      <w:tr>
        <w:trPr>
          <w:trHeight w:val="700" w:hRule="atLeast"/>
        </w:trPr>
        <w:tc>
          <w:tcPr>
            <w:tcW w:w="1702" w:type="dxa"/>
          </w:tcPr>
          <w:p>
            <w:pPr>
              <w:pStyle w:val="TableParagraph"/>
              <w:ind w:left="107"/>
              <w:rPr>
                <w:b/>
                <w:sz w:val="18"/>
              </w:rPr>
            </w:pPr>
            <w:r>
              <w:rPr>
                <w:b/>
                <w:spacing w:val="-2"/>
                <w:sz w:val="18"/>
              </w:rPr>
              <w:t>Scenery</w:t>
            </w:r>
          </w:p>
        </w:tc>
        <w:tc>
          <w:tcPr>
            <w:tcW w:w="5067" w:type="dxa"/>
          </w:tcPr>
          <w:p>
            <w:pPr>
              <w:pStyle w:val="TableParagraph"/>
              <w:ind w:left="107" w:right="148" w:hanging="1"/>
              <w:rPr>
                <w:sz w:val="18"/>
              </w:rPr>
            </w:pPr>
            <w:r>
              <w:rPr>
                <w:sz w:val="18"/>
              </w:rPr>
              <w:t>Move 10 percent of travel route scenic viewsheds foreground and middleground areas of concern level 1 or concern</w:t>
            </w:r>
            <w:r>
              <w:rPr>
                <w:spacing w:val="-7"/>
                <w:sz w:val="18"/>
              </w:rPr>
              <w:t> </w:t>
            </w:r>
            <w:r>
              <w:rPr>
                <w:sz w:val="18"/>
              </w:rPr>
              <w:t>level</w:t>
            </w:r>
            <w:r>
              <w:rPr>
                <w:spacing w:val="-7"/>
                <w:sz w:val="18"/>
              </w:rPr>
              <w:t> </w:t>
            </w:r>
            <w:r>
              <w:rPr>
                <w:sz w:val="18"/>
              </w:rPr>
              <w:t>2</w:t>
            </w:r>
            <w:r>
              <w:rPr>
                <w:spacing w:val="-5"/>
                <w:sz w:val="18"/>
              </w:rPr>
              <w:t> </w:t>
            </w:r>
            <w:r>
              <w:rPr>
                <w:sz w:val="18"/>
              </w:rPr>
              <w:t>toward</w:t>
            </w:r>
            <w:r>
              <w:rPr>
                <w:spacing w:val="-5"/>
                <w:sz w:val="18"/>
              </w:rPr>
              <w:t> </w:t>
            </w:r>
            <w:r>
              <w:rPr>
                <w:sz w:val="18"/>
              </w:rPr>
              <w:t>meeting</w:t>
            </w:r>
            <w:r>
              <w:rPr>
                <w:spacing w:val="-5"/>
                <w:sz w:val="18"/>
              </w:rPr>
              <w:t> </w:t>
            </w:r>
            <w:r>
              <w:rPr>
                <w:sz w:val="18"/>
              </w:rPr>
              <w:t>scenic</w:t>
            </w:r>
            <w:r>
              <w:rPr>
                <w:spacing w:val="-5"/>
                <w:sz w:val="18"/>
              </w:rPr>
              <w:t> </w:t>
            </w:r>
            <w:r>
              <w:rPr>
                <w:sz w:val="18"/>
              </w:rPr>
              <w:t>integrity</w:t>
            </w:r>
            <w:r>
              <w:rPr>
                <w:spacing w:val="-6"/>
                <w:sz w:val="18"/>
              </w:rPr>
              <w:t> </w:t>
            </w:r>
            <w:r>
              <w:rPr>
                <w:sz w:val="18"/>
              </w:rPr>
              <w:t>objectives.</w:t>
            </w:r>
          </w:p>
        </w:tc>
        <w:tc>
          <w:tcPr>
            <w:tcW w:w="2377" w:type="dxa"/>
          </w:tcPr>
          <w:p>
            <w:pPr>
              <w:pStyle w:val="TableParagraph"/>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908" w:hRule="atLeast"/>
        </w:trPr>
        <w:tc>
          <w:tcPr>
            <w:tcW w:w="1702" w:type="dxa"/>
          </w:tcPr>
          <w:p>
            <w:pPr>
              <w:pStyle w:val="TableParagraph"/>
              <w:spacing w:before="42"/>
              <w:ind w:left="107" w:right="267"/>
              <w:rPr>
                <w:b/>
                <w:sz w:val="18"/>
              </w:rPr>
            </w:pPr>
            <w:r>
              <w:rPr>
                <w:b/>
                <w:sz w:val="18"/>
              </w:rPr>
              <w:t>Integrated</w:t>
            </w:r>
            <w:r>
              <w:rPr>
                <w:b/>
                <w:spacing w:val="-13"/>
                <w:sz w:val="18"/>
              </w:rPr>
              <w:t> </w:t>
            </w:r>
            <w:r>
              <w:rPr>
                <w:b/>
                <w:sz w:val="18"/>
              </w:rPr>
              <w:t>Pest </w:t>
            </w:r>
            <w:r>
              <w:rPr>
                <w:b/>
                <w:spacing w:val="-2"/>
                <w:sz w:val="18"/>
              </w:rPr>
              <w:t>Management</w:t>
            </w:r>
          </w:p>
        </w:tc>
        <w:tc>
          <w:tcPr>
            <w:tcW w:w="5067" w:type="dxa"/>
          </w:tcPr>
          <w:p>
            <w:pPr>
              <w:pStyle w:val="TableParagraph"/>
              <w:spacing w:before="42"/>
              <w:ind w:left="107" w:right="167"/>
              <w:rPr>
                <w:sz w:val="18"/>
              </w:rPr>
            </w:pPr>
            <w:r>
              <w:rPr>
                <w:sz w:val="18"/>
              </w:rPr>
              <w:t>Damaging plant, animal, insect and plant and animal disease pest outbreaks are prevented, suppressed, contained,</w:t>
            </w:r>
            <w:r>
              <w:rPr>
                <w:spacing w:val="-6"/>
                <w:sz w:val="18"/>
              </w:rPr>
              <w:t> </w:t>
            </w:r>
            <w:r>
              <w:rPr>
                <w:sz w:val="18"/>
              </w:rPr>
              <w:t>controlled</w:t>
            </w:r>
            <w:r>
              <w:rPr>
                <w:spacing w:val="-3"/>
                <w:sz w:val="18"/>
              </w:rPr>
              <w:t> </w:t>
            </w:r>
            <w:r>
              <w:rPr>
                <w:sz w:val="18"/>
              </w:rPr>
              <w:t>or</w:t>
            </w:r>
            <w:r>
              <w:rPr>
                <w:spacing w:val="-6"/>
                <w:sz w:val="18"/>
              </w:rPr>
              <w:t> </w:t>
            </w:r>
            <w:r>
              <w:rPr>
                <w:sz w:val="18"/>
              </w:rPr>
              <w:t>eradicated</w:t>
            </w:r>
            <w:r>
              <w:rPr>
                <w:spacing w:val="-6"/>
                <w:sz w:val="18"/>
              </w:rPr>
              <w:t> </w:t>
            </w:r>
            <w:r>
              <w:rPr>
                <w:sz w:val="18"/>
              </w:rPr>
              <w:t>in</w:t>
            </w:r>
            <w:r>
              <w:rPr>
                <w:spacing w:val="-3"/>
                <w:sz w:val="18"/>
              </w:rPr>
              <w:t> </w:t>
            </w:r>
            <w:r>
              <w:rPr>
                <w:sz w:val="18"/>
              </w:rPr>
              <w:t>a</w:t>
            </w:r>
            <w:r>
              <w:rPr>
                <w:spacing w:val="-6"/>
                <w:sz w:val="18"/>
              </w:rPr>
              <w:t> </w:t>
            </w:r>
            <w:r>
              <w:rPr>
                <w:sz w:val="18"/>
              </w:rPr>
              <w:t>timely</w:t>
            </w:r>
            <w:r>
              <w:rPr>
                <w:spacing w:val="-5"/>
                <w:sz w:val="18"/>
              </w:rPr>
              <w:t> </w:t>
            </w:r>
            <w:r>
              <w:rPr>
                <w:sz w:val="18"/>
              </w:rPr>
              <w:t>manner</w:t>
            </w:r>
            <w:r>
              <w:rPr>
                <w:spacing w:val="-6"/>
                <w:sz w:val="18"/>
              </w:rPr>
              <w:t> </w:t>
            </w:r>
            <w:r>
              <w:rPr>
                <w:sz w:val="18"/>
              </w:rPr>
              <w:t>in accordance with proactive pest response plans.</w:t>
            </w:r>
          </w:p>
        </w:tc>
        <w:tc>
          <w:tcPr>
            <w:tcW w:w="2377" w:type="dxa"/>
          </w:tcPr>
          <w:p>
            <w:pPr>
              <w:pStyle w:val="TableParagraph"/>
              <w:spacing w:before="42"/>
              <w:ind w:left="106" w:right="142"/>
              <w:rPr>
                <w:sz w:val="18"/>
              </w:rPr>
            </w:pPr>
            <w:r>
              <w:rPr>
                <w:sz w:val="18"/>
              </w:rPr>
              <w:t>New outbreaks are addressed</w:t>
            </w:r>
            <w:r>
              <w:rPr>
                <w:spacing w:val="-11"/>
                <w:sz w:val="18"/>
              </w:rPr>
              <w:t> </w:t>
            </w:r>
            <w:r>
              <w:rPr>
                <w:sz w:val="18"/>
              </w:rPr>
              <w:t>within</w:t>
            </w:r>
            <w:r>
              <w:rPr>
                <w:spacing w:val="-13"/>
                <w:sz w:val="18"/>
              </w:rPr>
              <w:t> </w:t>
            </w:r>
            <w:r>
              <w:rPr>
                <w:sz w:val="18"/>
              </w:rPr>
              <w:t>one</w:t>
            </w:r>
            <w:r>
              <w:rPr>
                <w:spacing w:val="-10"/>
                <w:sz w:val="18"/>
              </w:rPr>
              <w:t> </w:t>
            </w:r>
            <w:r>
              <w:rPr>
                <w:sz w:val="18"/>
              </w:rPr>
              <w:t>year of detection through the life of the plan</w:t>
            </w:r>
          </w:p>
        </w:tc>
      </w:tr>
      <w:tr>
        <w:trPr>
          <w:trHeight w:val="700" w:hRule="atLeast"/>
        </w:trPr>
        <w:tc>
          <w:tcPr>
            <w:tcW w:w="1702" w:type="dxa"/>
          </w:tcPr>
          <w:p>
            <w:pPr>
              <w:pStyle w:val="TableParagraph"/>
              <w:ind w:left="107" w:right="267"/>
              <w:rPr>
                <w:b/>
                <w:sz w:val="18"/>
              </w:rPr>
            </w:pPr>
            <w:r>
              <w:rPr>
                <w:b/>
                <w:spacing w:val="-2"/>
                <w:sz w:val="18"/>
              </w:rPr>
              <w:t>Administrative </w:t>
            </w:r>
            <w:r>
              <w:rPr>
                <w:b/>
                <w:sz w:val="18"/>
              </w:rPr>
              <w:t>and</w:t>
            </w:r>
            <w:r>
              <w:rPr>
                <w:b/>
                <w:spacing w:val="-13"/>
                <w:sz w:val="18"/>
              </w:rPr>
              <w:t> </w:t>
            </w:r>
            <w:r>
              <w:rPr>
                <w:b/>
                <w:sz w:val="18"/>
              </w:rPr>
              <w:t>Recreation </w:t>
            </w:r>
            <w:r>
              <w:rPr>
                <w:b/>
                <w:spacing w:val="-2"/>
                <w:sz w:val="18"/>
              </w:rPr>
              <w:t>Sites</w:t>
            </w:r>
          </w:p>
        </w:tc>
        <w:tc>
          <w:tcPr>
            <w:tcW w:w="5067" w:type="dxa"/>
          </w:tcPr>
          <w:p>
            <w:pPr>
              <w:pStyle w:val="TableParagraph"/>
              <w:ind w:left="107" w:right="167"/>
              <w:rPr>
                <w:sz w:val="18"/>
              </w:rPr>
            </w:pPr>
            <w:r>
              <w:rPr>
                <w:sz w:val="18"/>
              </w:rPr>
              <w:t>Provide a minimum of one large (100+ person capacity) group</w:t>
            </w:r>
            <w:r>
              <w:rPr>
                <w:spacing w:val="-5"/>
                <w:sz w:val="18"/>
              </w:rPr>
              <w:t> </w:t>
            </w:r>
            <w:r>
              <w:rPr>
                <w:sz w:val="18"/>
              </w:rPr>
              <w:t>site</w:t>
            </w:r>
            <w:r>
              <w:rPr>
                <w:spacing w:val="-2"/>
                <w:sz w:val="18"/>
              </w:rPr>
              <w:t> </w:t>
            </w:r>
            <w:r>
              <w:rPr>
                <w:sz w:val="18"/>
              </w:rPr>
              <w:t>for</w:t>
            </w:r>
            <w:r>
              <w:rPr>
                <w:spacing w:val="-5"/>
                <w:sz w:val="18"/>
              </w:rPr>
              <w:t> </w:t>
            </w:r>
            <w:r>
              <w:rPr>
                <w:sz w:val="18"/>
              </w:rPr>
              <w:t>day</w:t>
            </w:r>
            <w:r>
              <w:rPr>
                <w:spacing w:val="-4"/>
                <w:sz w:val="18"/>
              </w:rPr>
              <w:t> </w:t>
            </w:r>
            <w:r>
              <w:rPr>
                <w:sz w:val="18"/>
              </w:rPr>
              <w:t>or</w:t>
            </w:r>
            <w:r>
              <w:rPr>
                <w:spacing w:val="-3"/>
                <w:sz w:val="18"/>
              </w:rPr>
              <w:t> </w:t>
            </w:r>
            <w:r>
              <w:rPr>
                <w:sz w:val="18"/>
              </w:rPr>
              <w:t>overnight</w:t>
            </w:r>
            <w:r>
              <w:rPr>
                <w:spacing w:val="-5"/>
                <w:sz w:val="18"/>
              </w:rPr>
              <w:t> </w:t>
            </w:r>
            <w:r>
              <w:rPr>
                <w:sz w:val="18"/>
              </w:rPr>
              <w:t>use</w:t>
            </w:r>
            <w:r>
              <w:rPr>
                <w:spacing w:val="-5"/>
                <w:sz w:val="18"/>
              </w:rPr>
              <w:t> </w:t>
            </w:r>
            <w:r>
              <w:rPr>
                <w:sz w:val="18"/>
              </w:rPr>
              <w:t>in</w:t>
            </w:r>
            <w:r>
              <w:rPr>
                <w:spacing w:val="-2"/>
                <w:sz w:val="18"/>
              </w:rPr>
              <w:t> </w:t>
            </w:r>
            <w:r>
              <w:rPr>
                <w:sz w:val="18"/>
              </w:rPr>
              <w:t>a</w:t>
            </w:r>
            <w:r>
              <w:rPr>
                <w:spacing w:val="-5"/>
                <w:sz w:val="18"/>
              </w:rPr>
              <w:t> </w:t>
            </w:r>
            <w:r>
              <w:rPr>
                <w:sz w:val="18"/>
              </w:rPr>
              <w:t>location</w:t>
            </w:r>
            <w:r>
              <w:rPr>
                <w:spacing w:val="-2"/>
                <w:sz w:val="18"/>
              </w:rPr>
              <w:t> </w:t>
            </w:r>
            <w:r>
              <w:rPr>
                <w:sz w:val="18"/>
              </w:rPr>
              <w:t>where</w:t>
            </w:r>
            <w:r>
              <w:rPr>
                <w:spacing w:val="-2"/>
                <w:sz w:val="18"/>
              </w:rPr>
              <w:t> </w:t>
            </w:r>
            <w:r>
              <w:rPr>
                <w:sz w:val="18"/>
              </w:rPr>
              <w:t>there is a demonstrated need identified through public demand.</w:t>
            </w:r>
          </w:p>
        </w:tc>
        <w:tc>
          <w:tcPr>
            <w:tcW w:w="2377" w:type="dxa"/>
          </w:tcPr>
          <w:p>
            <w:pPr>
              <w:pStyle w:val="TableParagraph"/>
              <w:spacing w:before="40"/>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702" w:hRule="atLeast"/>
        </w:trPr>
        <w:tc>
          <w:tcPr>
            <w:tcW w:w="1702" w:type="dxa"/>
          </w:tcPr>
          <w:p>
            <w:pPr>
              <w:pStyle w:val="TableParagraph"/>
              <w:spacing w:before="42"/>
              <w:ind w:left="107" w:right="267"/>
              <w:rPr>
                <w:b/>
                <w:sz w:val="18"/>
              </w:rPr>
            </w:pPr>
            <w:r>
              <w:rPr>
                <w:b/>
                <w:spacing w:val="-2"/>
                <w:sz w:val="18"/>
              </w:rPr>
              <w:t>Administrative </w:t>
            </w:r>
            <w:r>
              <w:rPr>
                <w:b/>
                <w:sz w:val="18"/>
              </w:rPr>
              <w:t>and</w:t>
            </w:r>
            <w:r>
              <w:rPr>
                <w:b/>
                <w:spacing w:val="-13"/>
                <w:sz w:val="18"/>
              </w:rPr>
              <w:t> </w:t>
            </w:r>
            <w:r>
              <w:rPr>
                <w:b/>
                <w:sz w:val="18"/>
              </w:rPr>
              <w:t>Recreation </w:t>
            </w:r>
            <w:r>
              <w:rPr>
                <w:b/>
                <w:spacing w:val="-2"/>
                <w:sz w:val="18"/>
              </w:rPr>
              <w:t>Sites</w:t>
            </w:r>
          </w:p>
        </w:tc>
        <w:tc>
          <w:tcPr>
            <w:tcW w:w="5067" w:type="dxa"/>
          </w:tcPr>
          <w:p>
            <w:pPr>
              <w:pStyle w:val="TableParagraph"/>
              <w:spacing w:before="42"/>
              <w:ind w:left="107" w:right="102"/>
              <w:rPr>
                <w:sz w:val="18"/>
              </w:rPr>
            </w:pPr>
            <w:r>
              <w:rPr>
                <w:sz w:val="18"/>
              </w:rPr>
              <w:t>Increase</w:t>
            </w:r>
            <w:r>
              <w:rPr>
                <w:spacing w:val="-6"/>
                <w:sz w:val="18"/>
              </w:rPr>
              <w:t> </w:t>
            </w:r>
            <w:r>
              <w:rPr>
                <w:sz w:val="18"/>
              </w:rPr>
              <w:t>parking</w:t>
            </w:r>
            <w:r>
              <w:rPr>
                <w:spacing w:val="-6"/>
                <w:sz w:val="18"/>
              </w:rPr>
              <w:t> </w:t>
            </w:r>
            <w:r>
              <w:rPr>
                <w:sz w:val="18"/>
              </w:rPr>
              <w:t>capacity</w:t>
            </w:r>
            <w:r>
              <w:rPr>
                <w:spacing w:val="-5"/>
                <w:sz w:val="18"/>
              </w:rPr>
              <w:t> </w:t>
            </w:r>
            <w:r>
              <w:rPr>
                <w:sz w:val="18"/>
              </w:rPr>
              <w:t>at</w:t>
            </w:r>
            <w:r>
              <w:rPr>
                <w:spacing w:val="-6"/>
                <w:sz w:val="18"/>
              </w:rPr>
              <w:t> </w:t>
            </w:r>
            <w:r>
              <w:rPr>
                <w:sz w:val="18"/>
              </w:rPr>
              <w:t>one</w:t>
            </w:r>
            <w:r>
              <w:rPr>
                <w:spacing w:val="-3"/>
                <w:sz w:val="18"/>
              </w:rPr>
              <w:t> </w:t>
            </w:r>
            <w:r>
              <w:rPr>
                <w:sz w:val="18"/>
              </w:rPr>
              <w:t>Sno-Park</w:t>
            </w:r>
            <w:r>
              <w:rPr>
                <w:spacing w:val="-5"/>
                <w:sz w:val="18"/>
              </w:rPr>
              <w:t> </w:t>
            </w:r>
            <w:r>
              <w:rPr>
                <w:sz w:val="18"/>
              </w:rPr>
              <w:t>and</w:t>
            </w:r>
            <w:r>
              <w:rPr>
                <w:spacing w:val="-6"/>
                <w:sz w:val="18"/>
              </w:rPr>
              <w:t> </w:t>
            </w:r>
            <w:r>
              <w:rPr>
                <w:sz w:val="18"/>
              </w:rPr>
              <w:t>one</w:t>
            </w:r>
            <w:r>
              <w:rPr>
                <w:spacing w:val="-3"/>
                <w:sz w:val="18"/>
              </w:rPr>
              <w:t> </w:t>
            </w:r>
            <w:r>
              <w:rPr>
                <w:sz w:val="18"/>
              </w:rPr>
              <w:t>trailhead where use exceeds designed parking lot capacity on more than 25 percent of weekends.</w:t>
            </w:r>
          </w:p>
        </w:tc>
        <w:tc>
          <w:tcPr>
            <w:tcW w:w="2377" w:type="dxa"/>
          </w:tcPr>
          <w:p>
            <w:pPr>
              <w:pStyle w:val="TableParagraph"/>
              <w:spacing w:before="42"/>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700" w:hRule="atLeast"/>
        </w:trPr>
        <w:tc>
          <w:tcPr>
            <w:tcW w:w="1702" w:type="dxa"/>
          </w:tcPr>
          <w:p>
            <w:pPr>
              <w:pStyle w:val="TableParagraph"/>
              <w:ind w:left="107" w:right="257"/>
              <w:rPr>
                <w:b/>
                <w:sz w:val="18"/>
              </w:rPr>
            </w:pPr>
            <w:r>
              <w:rPr>
                <w:b/>
                <w:spacing w:val="-2"/>
                <w:sz w:val="18"/>
              </w:rPr>
              <w:t>Nationally Designated Trails</w:t>
            </w:r>
          </w:p>
        </w:tc>
        <w:tc>
          <w:tcPr>
            <w:tcW w:w="5067" w:type="dxa"/>
          </w:tcPr>
          <w:p>
            <w:pPr>
              <w:pStyle w:val="TableParagraph"/>
              <w:ind w:left="107" w:right="148" w:hanging="1"/>
              <w:rPr>
                <w:sz w:val="18"/>
              </w:rPr>
            </w:pPr>
            <w:r>
              <w:rPr>
                <w:sz w:val="18"/>
              </w:rPr>
              <w:t>Relocate</w:t>
            </w:r>
            <w:r>
              <w:rPr>
                <w:spacing w:val="-3"/>
                <w:sz w:val="18"/>
              </w:rPr>
              <w:t> </w:t>
            </w:r>
            <w:r>
              <w:rPr>
                <w:sz w:val="18"/>
              </w:rPr>
              <w:t>10</w:t>
            </w:r>
            <w:r>
              <w:rPr>
                <w:spacing w:val="-3"/>
                <w:sz w:val="18"/>
              </w:rPr>
              <w:t> </w:t>
            </w:r>
            <w:r>
              <w:rPr>
                <w:sz w:val="18"/>
              </w:rPr>
              <w:t>to</w:t>
            </w:r>
            <w:r>
              <w:rPr>
                <w:spacing w:val="-6"/>
                <w:sz w:val="18"/>
              </w:rPr>
              <w:t> </w:t>
            </w:r>
            <w:r>
              <w:rPr>
                <w:sz w:val="18"/>
              </w:rPr>
              <w:t>15</w:t>
            </w:r>
            <w:r>
              <w:rPr>
                <w:spacing w:val="-3"/>
                <w:sz w:val="18"/>
              </w:rPr>
              <w:t> </w:t>
            </w:r>
            <w:r>
              <w:rPr>
                <w:sz w:val="18"/>
              </w:rPr>
              <w:t>percent</w:t>
            </w:r>
            <w:r>
              <w:rPr>
                <w:spacing w:val="-4"/>
                <w:sz w:val="18"/>
              </w:rPr>
              <w:t> </w:t>
            </w:r>
            <w:r>
              <w:rPr>
                <w:sz w:val="18"/>
              </w:rPr>
              <w:t>of</w:t>
            </w:r>
            <w:r>
              <w:rPr>
                <w:spacing w:val="-4"/>
                <w:sz w:val="18"/>
              </w:rPr>
              <w:t> </w:t>
            </w:r>
            <w:r>
              <w:rPr>
                <w:sz w:val="18"/>
              </w:rPr>
              <w:t>the</w:t>
            </w:r>
            <w:r>
              <w:rPr>
                <w:spacing w:val="-3"/>
                <w:sz w:val="18"/>
              </w:rPr>
              <w:t> </w:t>
            </w:r>
            <w:r>
              <w:rPr>
                <w:sz w:val="18"/>
              </w:rPr>
              <w:t>trail</w:t>
            </w:r>
            <w:r>
              <w:rPr>
                <w:spacing w:val="-6"/>
                <w:sz w:val="18"/>
              </w:rPr>
              <w:t> </w:t>
            </w:r>
            <w:r>
              <w:rPr>
                <w:sz w:val="18"/>
              </w:rPr>
              <w:t>miles</w:t>
            </w:r>
            <w:r>
              <w:rPr>
                <w:spacing w:val="-5"/>
                <w:sz w:val="18"/>
              </w:rPr>
              <w:t> </w:t>
            </w:r>
            <w:r>
              <w:rPr>
                <w:sz w:val="18"/>
              </w:rPr>
              <w:t>currently</w:t>
            </w:r>
            <w:r>
              <w:rPr>
                <w:spacing w:val="-5"/>
                <w:sz w:val="18"/>
              </w:rPr>
              <w:t> </w:t>
            </w:r>
            <w:r>
              <w:rPr>
                <w:sz w:val="18"/>
              </w:rPr>
              <w:t>located on roads into a non-motorized trail setting.</w:t>
            </w:r>
          </w:p>
        </w:tc>
        <w:tc>
          <w:tcPr>
            <w:tcW w:w="2377" w:type="dxa"/>
          </w:tcPr>
          <w:p>
            <w:pPr>
              <w:pStyle w:val="TableParagraph"/>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bl>
    <w:p>
      <w:pPr>
        <w:pStyle w:val="TableParagraph"/>
        <w:spacing w:after="0"/>
        <w:rPr>
          <w:sz w:val="18"/>
        </w:rPr>
        <w:sectPr>
          <w:pgSz w:w="12240" w:h="15840"/>
          <w:pgMar w:header="725" w:footer="891" w:top="1340" w:bottom="1080" w:left="1080" w:right="1080"/>
        </w:sectPr>
      </w:pPr>
    </w:p>
    <w:p>
      <w:pPr>
        <w:pStyle w:val="BodyText"/>
        <w:rPr>
          <w:rFonts w:ascii="Arial"/>
          <w:b/>
          <w:sz w:val="7"/>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1702"/>
        <w:gridCol w:w="5067"/>
        <w:gridCol w:w="2377"/>
      </w:tblGrid>
      <w:tr>
        <w:trPr>
          <w:trHeight w:val="294" w:hRule="atLeast"/>
        </w:trPr>
        <w:tc>
          <w:tcPr>
            <w:tcW w:w="1702" w:type="dxa"/>
            <w:shd w:val="clear" w:color="auto" w:fill="D5E2BB"/>
          </w:tcPr>
          <w:p>
            <w:pPr>
              <w:pStyle w:val="TableParagraph"/>
              <w:ind w:left="458"/>
              <w:rPr>
                <w:b/>
                <w:sz w:val="18"/>
              </w:rPr>
            </w:pPr>
            <w:r>
              <w:rPr>
                <w:b/>
                <w:spacing w:val="-2"/>
                <w:sz w:val="18"/>
              </w:rPr>
              <w:t>Category</w:t>
            </w:r>
          </w:p>
        </w:tc>
        <w:tc>
          <w:tcPr>
            <w:tcW w:w="5067" w:type="dxa"/>
            <w:shd w:val="clear" w:color="auto" w:fill="D5E2BB"/>
          </w:tcPr>
          <w:p>
            <w:pPr>
              <w:pStyle w:val="TableParagraph"/>
              <w:ind w:left="24" w:right="5"/>
              <w:jc w:val="center"/>
              <w:rPr>
                <w:b/>
                <w:sz w:val="18"/>
              </w:rPr>
            </w:pPr>
            <w:r>
              <w:rPr>
                <w:b/>
                <w:spacing w:val="-2"/>
                <w:sz w:val="18"/>
              </w:rPr>
              <w:t>Project/Activity</w:t>
            </w:r>
          </w:p>
        </w:tc>
        <w:tc>
          <w:tcPr>
            <w:tcW w:w="2377" w:type="dxa"/>
            <w:shd w:val="clear" w:color="auto" w:fill="D5E2BB"/>
          </w:tcPr>
          <w:p>
            <w:pPr>
              <w:pStyle w:val="TableParagraph"/>
              <w:ind w:left="200"/>
              <w:rPr>
                <w:b/>
                <w:sz w:val="18"/>
              </w:rPr>
            </w:pPr>
            <w:r>
              <w:rPr>
                <w:b/>
                <w:sz w:val="18"/>
              </w:rPr>
              <w:t>Timeframe</w:t>
            </w:r>
            <w:r>
              <w:rPr>
                <w:b/>
                <w:spacing w:val="-3"/>
                <w:sz w:val="18"/>
              </w:rPr>
              <w:t> </w:t>
            </w:r>
            <w:r>
              <w:rPr>
                <w:b/>
                <w:sz w:val="18"/>
              </w:rPr>
              <w:t>to</w:t>
            </w:r>
            <w:r>
              <w:rPr>
                <w:b/>
                <w:spacing w:val="-1"/>
                <w:sz w:val="18"/>
              </w:rPr>
              <w:t> </w:t>
            </w:r>
            <w:r>
              <w:rPr>
                <w:b/>
                <w:spacing w:val="-2"/>
                <w:sz w:val="18"/>
              </w:rPr>
              <w:t>complete</w:t>
            </w:r>
          </w:p>
        </w:tc>
      </w:tr>
      <w:tr>
        <w:trPr>
          <w:trHeight w:val="493" w:hRule="atLeast"/>
        </w:trPr>
        <w:tc>
          <w:tcPr>
            <w:tcW w:w="1702" w:type="dxa"/>
          </w:tcPr>
          <w:p>
            <w:pPr>
              <w:pStyle w:val="TableParagraph"/>
              <w:ind w:left="107" w:right="87"/>
              <w:rPr>
                <w:b/>
                <w:sz w:val="18"/>
              </w:rPr>
            </w:pPr>
            <w:r>
              <w:rPr>
                <w:b/>
                <w:sz w:val="18"/>
              </w:rPr>
              <w:t>Research</w:t>
            </w:r>
            <w:r>
              <w:rPr>
                <w:b/>
                <w:spacing w:val="-13"/>
                <w:sz w:val="18"/>
              </w:rPr>
              <w:t> </w:t>
            </w:r>
            <w:r>
              <w:rPr>
                <w:b/>
                <w:sz w:val="18"/>
              </w:rPr>
              <w:t>Natural </w:t>
            </w:r>
            <w:r>
              <w:rPr>
                <w:b/>
                <w:spacing w:val="-2"/>
                <w:sz w:val="18"/>
              </w:rPr>
              <w:t>Areas</w:t>
            </w:r>
          </w:p>
        </w:tc>
        <w:tc>
          <w:tcPr>
            <w:tcW w:w="5067" w:type="dxa"/>
          </w:tcPr>
          <w:p>
            <w:pPr>
              <w:pStyle w:val="TableParagraph"/>
              <w:ind w:left="104" w:right="113"/>
              <w:rPr>
                <w:sz w:val="18"/>
              </w:rPr>
            </w:pPr>
            <w:r>
              <w:rPr>
                <w:sz w:val="18"/>
              </w:rPr>
              <w:t>Complete</w:t>
            </w:r>
            <w:r>
              <w:rPr>
                <w:spacing w:val="-5"/>
                <w:sz w:val="18"/>
              </w:rPr>
              <w:t> </w:t>
            </w:r>
            <w:r>
              <w:rPr>
                <w:sz w:val="18"/>
              </w:rPr>
              <w:t>the</w:t>
            </w:r>
            <w:r>
              <w:rPr>
                <w:spacing w:val="-5"/>
                <w:sz w:val="18"/>
              </w:rPr>
              <w:t> </w:t>
            </w:r>
            <w:r>
              <w:rPr>
                <w:sz w:val="18"/>
              </w:rPr>
              <w:t>establishment</w:t>
            </w:r>
            <w:r>
              <w:rPr>
                <w:spacing w:val="-6"/>
                <w:sz w:val="18"/>
              </w:rPr>
              <w:t> </w:t>
            </w:r>
            <w:r>
              <w:rPr>
                <w:sz w:val="18"/>
              </w:rPr>
              <w:t>record</w:t>
            </w:r>
            <w:r>
              <w:rPr>
                <w:spacing w:val="-7"/>
                <w:sz w:val="18"/>
              </w:rPr>
              <w:t> </w:t>
            </w:r>
            <w:r>
              <w:rPr>
                <w:sz w:val="18"/>
              </w:rPr>
              <w:t>on</w:t>
            </w:r>
            <w:r>
              <w:rPr>
                <w:spacing w:val="-5"/>
                <w:sz w:val="18"/>
              </w:rPr>
              <w:t> </w:t>
            </w:r>
            <w:r>
              <w:rPr>
                <w:sz w:val="18"/>
              </w:rPr>
              <w:t>all</w:t>
            </w:r>
            <w:r>
              <w:rPr>
                <w:spacing w:val="-5"/>
                <w:sz w:val="18"/>
              </w:rPr>
              <w:t> </w:t>
            </w:r>
            <w:r>
              <w:rPr>
                <w:sz w:val="18"/>
              </w:rPr>
              <w:t>proposed</w:t>
            </w:r>
            <w:r>
              <w:rPr>
                <w:spacing w:val="-7"/>
                <w:sz w:val="18"/>
              </w:rPr>
              <w:t> </w:t>
            </w:r>
            <w:r>
              <w:rPr>
                <w:sz w:val="18"/>
              </w:rPr>
              <w:t>research natural areas.</w:t>
            </w:r>
          </w:p>
        </w:tc>
        <w:tc>
          <w:tcPr>
            <w:tcW w:w="2377" w:type="dxa"/>
          </w:tcPr>
          <w:p>
            <w:pPr>
              <w:pStyle w:val="TableParagraph"/>
              <w:ind w:left="106"/>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w:t>
            </w:r>
            <w:r>
              <w:rPr>
                <w:spacing w:val="-2"/>
                <w:sz w:val="18"/>
              </w:rPr>
              <w:t>implementation</w:t>
            </w:r>
          </w:p>
        </w:tc>
      </w:tr>
      <w:tr>
        <w:trPr>
          <w:trHeight w:val="496" w:hRule="atLeast"/>
        </w:trPr>
        <w:tc>
          <w:tcPr>
            <w:tcW w:w="1702" w:type="dxa"/>
          </w:tcPr>
          <w:p>
            <w:pPr>
              <w:pStyle w:val="TableParagraph"/>
              <w:spacing w:before="42"/>
              <w:ind w:left="107" w:right="87"/>
              <w:rPr>
                <w:b/>
                <w:sz w:val="18"/>
              </w:rPr>
            </w:pPr>
            <w:r>
              <w:rPr>
                <w:b/>
                <w:sz w:val="18"/>
              </w:rPr>
              <w:t>Research</w:t>
            </w:r>
            <w:r>
              <w:rPr>
                <w:b/>
                <w:spacing w:val="-13"/>
                <w:sz w:val="18"/>
              </w:rPr>
              <w:t> </w:t>
            </w:r>
            <w:r>
              <w:rPr>
                <w:b/>
                <w:sz w:val="18"/>
              </w:rPr>
              <w:t>Natural </w:t>
            </w:r>
            <w:r>
              <w:rPr>
                <w:b/>
                <w:spacing w:val="-2"/>
                <w:sz w:val="18"/>
              </w:rPr>
              <w:t>Areas</w:t>
            </w:r>
          </w:p>
        </w:tc>
        <w:tc>
          <w:tcPr>
            <w:tcW w:w="5067" w:type="dxa"/>
          </w:tcPr>
          <w:p>
            <w:pPr>
              <w:pStyle w:val="TableParagraph"/>
              <w:spacing w:before="42"/>
              <w:ind w:left="104" w:right="167"/>
              <w:rPr>
                <w:sz w:val="18"/>
              </w:rPr>
            </w:pPr>
            <w:r>
              <w:rPr>
                <w:sz w:val="18"/>
              </w:rPr>
              <w:t>Treat</w:t>
            </w:r>
            <w:r>
              <w:rPr>
                <w:spacing w:val="-5"/>
                <w:sz w:val="18"/>
              </w:rPr>
              <w:t> </w:t>
            </w:r>
            <w:r>
              <w:rPr>
                <w:sz w:val="18"/>
              </w:rPr>
              <w:t>populations</w:t>
            </w:r>
            <w:r>
              <w:rPr>
                <w:spacing w:val="-5"/>
                <w:sz w:val="18"/>
              </w:rPr>
              <w:t> </w:t>
            </w:r>
            <w:r>
              <w:rPr>
                <w:sz w:val="18"/>
              </w:rPr>
              <w:t>of</w:t>
            </w:r>
            <w:r>
              <w:rPr>
                <w:spacing w:val="-6"/>
                <w:sz w:val="18"/>
              </w:rPr>
              <w:t> </w:t>
            </w:r>
            <w:r>
              <w:rPr>
                <w:sz w:val="18"/>
              </w:rPr>
              <w:t>invasive,</w:t>
            </w:r>
            <w:r>
              <w:rPr>
                <w:spacing w:val="-8"/>
                <w:sz w:val="18"/>
              </w:rPr>
              <w:t> </w:t>
            </w:r>
            <w:r>
              <w:rPr>
                <w:sz w:val="18"/>
              </w:rPr>
              <w:t>non-native</w:t>
            </w:r>
            <w:r>
              <w:rPr>
                <w:spacing w:val="-4"/>
                <w:sz w:val="18"/>
              </w:rPr>
              <w:t> </w:t>
            </w:r>
            <w:r>
              <w:rPr>
                <w:sz w:val="18"/>
              </w:rPr>
              <w:t>species</w:t>
            </w:r>
            <w:r>
              <w:rPr>
                <w:spacing w:val="-4"/>
                <w:sz w:val="18"/>
              </w:rPr>
              <w:t> </w:t>
            </w:r>
            <w:r>
              <w:rPr>
                <w:sz w:val="18"/>
              </w:rPr>
              <w:t>on</w:t>
            </w:r>
            <w:r>
              <w:rPr>
                <w:spacing w:val="-6"/>
                <w:sz w:val="18"/>
              </w:rPr>
              <w:t> </w:t>
            </w:r>
            <w:r>
              <w:rPr>
                <w:sz w:val="18"/>
              </w:rPr>
              <w:t>an average of 10 acres annually.</w:t>
            </w:r>
          </w:p>
        </w:tc>
        <w:tc>
          <w:tcPr>
            <w:tcW w:w="2377" w:type="dxa"/>
          </w:tcPr>
          <w:p>
            <w:pPr>
              <w:pStyle w:val="TableParagraph"/>
              <w:spacing w:before="42"/>
              <w:ind w:left="106"/>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w:t>
            </w:r>
            <w:r>
              <w:rPr>
                <w:spacing w:val="-2"/>
                <w:sz w:val="18"/>
              </w:rPr>
              <w:t>implementation</w:t>
            </w:r>
          </w:p>
        </w:tc>
      </w:tr>
      <w:tr>
        <w:trPr>
          <w:trHeight w:val="1321" w:hRule="atLeast"/>
        </w:trPr>
        <w:tc>
          <w:tcPr>
            <w:tcW w:w="1702" w:type="dxa"/>
          </w:tcPr>
          <w:p>
            <w:pPr>
              <w:pStyle w:val="TableParagraph"/>
              <w:ind w:left="107" w:right="257"/>
              <w:rPr>
                <w:b/>
                <w:sz w:val="18"/>
              </w:rPr>
            </w:pPr>
            <w:r>
              <w:rPr>
                <w:b/>
                <w:spacing w:val="-2"/>
                <w:sz w:val="18"/>
              </w:rPr>
              <w:t>Riparian Management Areas</w:t>
            </w:r>
          </w:p>
        </w:tc>
        <w:tc>
          <w:tcPr>
            <w:tcW w:w="5067" w:type="dxa"/>
          </w:tcPr>
          <w:p>
            <w:pPr>
              <w:pStyle w:val="TableParagraph"/>
              <w:ind w:left="104" w:right="113"/>
              <w:rPr>
                <w:sz w:val="18"/>
              </w:rPr>
            </w:pPr>
            <w:r>
              <w:rPr>
                <w:sz w:val="18"/>
              </w:rPr>
              <w:t>Restore</w:t>
            </w:r>
            <w:r>
              <w:rPr>
                <w:spacing w:val="-7"/>
                <w:sz w:val="18"/>
              </w:rPr>
              <w:t> </w:t>
            </w:r>
            <w:r>
              <w:rPr>
                <w:sz w:val="18"/>
              </w:rPr>
              <w:t>riparian</w:t>
            </w:r>
            <w:r>
              <w:rPr>
                <w:spacing w:val="-7"/>
                <w:sz w:val="18"/>
              </w:rPr>
              <w:t> </w:t>
            </w:r>
            <w:r>
              <w:rPr>
                <w:sz w:val="18"/>
              </w:rPr>
              <w:t>processes</w:t>
            </w:r>
            <w:r>
              <w:rPr>
                <w:spacing w:val="-4"/>
                <w:sz w:val="18"/>
              </w:rPr>
              <w:t> </w:t>
            </w:r>
            <w:r>
              <w:rPr>
                <w:sz w:val="18"/>
              </w:rPr>
              <w:t>and</w:t>
            </w:r>
            <w:r>
              <w:rPr>
                <w:spacing w:val="-4"/>
                <w:sz w:val="18"/>
              </w:rPr>
              <w:t> </w:t>
            </w:r>
            <w:r>
              <w:rPr>
                <w:sz w:val="18"/>
              </w:rPr>
              <w:t>balance</w:t>
            </w:r>
            <w:r>
              <w:rPr>
                <w:spacing w:val="-4"/>
                <w:sz w:val="18"/>
              </w:rPr>
              <w:t> </w:t>
            </w:r>
            <w:r>
              <w:rPr>
                <w:sz w:val="18"/>
              </w:rPr>
              <w:t>need</w:t>
            </w:r>
            <w:r>
              <w:rPr>
                <w:spacing w:val="-4"/>
                <w:sz w:val="18"/>
              </w:rPr>
              <w:t> </w:t>
            </w:r>
            <w:r>
              <w:rPr>
                <w:sz w:val="18"/>
              </w:rPr>
              <w:t>for</w:t>
            </w:r>
            <w:r>
              <w:rPr>
                <w:spacing w:val="-5"/>
                <w:sz w:val="18"/>
              </w:rPr>
              <w:t> </w:t>
            </w:r>
            <w:r>
              <w:rPr>
                <w:sz w:val="18"/>
              </w:rPr>
              <w:t>occupancy and access to water at 75 dispersed and developed recreation sites, through education, enforcement, and engineering</w:t>
            </w:r>
            <w:r>
              <w:rPr>
                <w:spacing w:val="-1"/>
                <w:sz w:val="18"/>
              </w:rPr>
              <w:t> </w:t>
            </w:r>
            <w:r>
              <w:rPr>
                <w:sz w:val="18"/>
              </w:rPr>
              <w:t>where</w:t>
            </w:r>
            <w:r>
              <w:rPr>
                <w:spacing w:val="-1"/>
                <w:sz w:val="18"/>
              </w:rPr>
              <w:t> </w:t>
            </w:r>
            <w:r>
              <w:rPr>
                <w:sz w:val="18"/>
              </w:rPr>
              <w:t>recreational</w:t>
            </w:r>
            <w:r>
              <w:rPr>
                <w:spacing w:val="-1"/>
                <w:sz w:val="18"/>
              </w:rPr>
              <w:t> </w:t>
            </w:r>
            <w:r>
              <w:rPr>
                <w:sz w:val="18"/>
              </w:rPr>
              <w:t>use</w:t>
            </w:r>
            <w:r>
              <w:rPr>
                <w:spacing w:val="-1"/>
                <w:sz w:val="18"/>
              </w:rPr>
              <w:t> </w:t>
            </w:r>
            <w:r>
              <w:rPr>
                <w:sz w:val="18"/>
              </w:rPr>
              <w:t>results</w:t>
            </w:r>
            <w:r>
              <w:rPr>
                <w:spacing w:val="-1"/>
                <w:sz w:val="18"/>
              </w:rPr>
              <w:t> </w:t>
            </w:r>
            <w:r>
              <w:rPr>
                <w:sz w:val="18"/>
              </w:rPr>
              <w:t>in</w:t>
            </w:r>
            <w:r>
              <w:rPr>
                <w:spacing w:val="-1"/>
                <w:sz w:val="18"/>
              </w:rPr>
              <w:t> </w:t>
            </w:r>
            <w:r>
              <w:rPr>
                <w:sz w:val="18"/>
              </w:rPr>
              <w:t>bank</w:t>
            </w:r>
            <w:r>
              <w:rPr>
                <w:spacing w:val="-3"/>
                <w:sz w:val="18"/>
              </w:rPr>
              <w:t> </w:t>
            </w:r>
            <w:r>
              <w:rPr>
                <w:sz w:val="18"/>
              </w:rPr>
              <w:t>damage, reduction in water quality, and/or a reduction in stream </w:t>
            </w:r>
            <w:r>
              <w:rPr>
                <w:spacing w:val="-2"/>
                <w:sz w:val="18"/>
              </w:rPr>
              <w:t>shade.</w:t>
            </w:r>
          </w:p>
        </w:tc>
        <w:tc>
          <w:tcPr>
            <w:tcW w:w="2377" w:type="dxa"/>
          </w:tcPr>
          <w:p>
            <w:pPr>
              <w:pStyle w:val="TableParagraph"/>
              <w:spacing w:before="40"/>
              <w:ind w:left="106"/>
              <w:rPr>
                <w:sz w:val="18"/>
              </w:rPr>
            </w:pPr>
            <w:r>
              <w:rPr>
                <w:sz w:val="18"/>
              </w:rPr>
              <w:t>Over</w:t>
            </w:r>
            <w:r>
              <w:rPr>
                <w:spacing w:val="-5"/>
                <w:sz w:val="18"/>
              </w:rPr>
              <w:t> </w:t>
            </w:r>
            <w:r>
              <w:rPr>
                <w:sz w:val="18"/>
              </w:rPr>
              <w:t>the</w:t>
            </w:r>
            <w:r>
              <w:rPr>
                <w:spacing w:val="-1"/>
                <w:sz w:val="18"/>
              </w:rPr>
              <w:t> </w:t>
            </w:r>
            <w:r>
              <w:rPr>
                <w:sz w:val="18"/>
              </w:rPr>
              <w:t>next</w:t>
            </w:r>
            <w:r>
              <w:rPr>
                <w:spacing w:val="-2"/>
                <w:sz w:val="18"/>
              </w:rPr>
              <w:t> </w:t>
            </w:r>
            <w:r>
              <w:rPr>
                <w:sz w:val="18"/>
              </w:rPr>
              <w:t>15</w:t>
            </w:r>
            <w:r>
              <w:rPr>
                <w:spacing w:val="-1"/>
                <w:sz w:val="18"/>
              </w:rPr>
              <w:t> </w:t>
            </w:r>
            <w:r>
              <w:rPr>
                <w:spacing w:val="-2"/>
                <w:sz w:val="18"/>
              </w:rPr>
              <w:t>years</w:t>
            </w:r>
          </w:p>
        </w:tc>
      </w:tr>
      <w:tr>
        <w:trPr>
          <w:trHeight w:val="700" w:hRule="atLeast"/>
        </w:trPr>
        <w:tc>
          <w:tcPr>
            <w:tcW w:w="1702" w:type="dxa"/>
          </w:tcPr>
          <w:p>
            <w:pPr>
              <w:pStyle w:val="TableParagraph"/>
              <w:ind w:left="107" w:right="257"/>
              <w:rPr>
                <w:b/>
                <w:sz w:val="18"/>
              </w:rPr>
            </w:pPr>
            <w:r>
              <w:rPr>
                <w:b/>
                <w:spacing w:val="-2"/>
                <w:sz w:val="18"/>
              </w:rPr>
              <w:t>Riparian Management Areas</w:t>
            </w:r>
          </w:p>
        </w:tc>
        <w:tc>
          <w:tcPr>
            <w:tcW w:w="5067" w:type="dxa"/>
          </w:tcPr>
          <w:p>
            <w:pPr>
              <w:pStyle w:val="TableParagraph"/>
              <w:ind w:left="104" w:right="113"/>
              <w:rPr>
                <w:sz w:val="18"/>
              </w:rPr>
            </w:pPr>
            <w:r>
              <w:rPr>
                <w:sz w:val="18"/>
              </w:rPr>
              <w:t>Restore</w:t>
            </w:r>
            <w:r>
              <w:rPr>
                <w:spacing w:val="-8"/>
                <w:sz w:val="18"/>
              </w:rPr>
              <w:t> </w:t>
            </w:r>
            <w:r>
              <w:rPr>
                <w:sz w:val="18"/>
              </w:rPr>
              <w:t>hydrologic</w:t>
            </w:r>
            <w:r>
              <w:rPr>
                <w:spacing w:val="-5"/>
                <w:sz w:val="18"/>
              </w:rPr>
              <w:t> </w:t>
            </w:r>
            <w:r>
              <w:rPr>
                <w:sz w:val="18"/>
              </w:rPr>
              <w:t>and</w:t>
            </w:r>
            <w:r>
              <w:rPr>
                <w:spacing w:val="-5"/>
                <w:sz w:val="18"/>
              </w:rPr>
              <w:t> </w:t>
            </w:r>
            <w:r>
              <w:rPr>
                <w:sz w:val="18"/>
              </w:rPr>
              <w:t>riparian</w:t>
            </w:r>
            <w:r>
              <w:rPr>
                <w:spacing w:val="-5"/>
                <w:sz w:val="18"/>
              </w:rPr>
              <w:t> </w:t>
            </w:r>
            <w:r>
              <w:rPr>
                <w:sz w:val="18"/>
              </w:rPr>
              <w:t>habitat</w:t>
            </w:r>
            <w:r>
              <w:rPr>
                <w:spacing w:val="-8"/>
                <w:sz w:val="18"/>
              </w:rPr>
              <w:t> </w:t>
            </w:r>
            <w:r>
              <w:rPr>
                <w:sz w:val="18"/>
              </w:rPr>
              <w:t>function</w:t>
            </w:r>
            <w:r>
              <w:rPr>
                <w:spacing w:val="-5"/>
                <w:sz w:val="18"/>
              </w:rPr>
              <w:t> </w:t>
            </w:r>
            <w:r>
              <w:rPr>
                <w:sz w:val="18"/>
              </w:rPr>
              <w:t>within</w:t>
            </w:r>
            <w:r>
              <w:rPr>
                <w:spacing w:val="-5"/>
                <w:sz w:val="18"/>
              </w:rPr>
              <w:t> </w:t>
            </w:r>
            <w:r>
              <w:rPr>
                <w:sz w:val="18"/>
              </w:rPr>
              <w:t>RMAs in non-key watersheds by reducing road-related impacts on 80 miles of road.</w:t>
            </w:r>
          </w:p>
        </w:tc>
        <w:tc>
          <w:tcPr>
            <w:tcW w:w="2377" w:type="dxa"/>
          </w:tcPr>
          <w:p>
            <w:pPr>
              <w:pStyle w:val="TableParagraph"/>
              <w:spacing w:before="40"/>
              <w:ind w:left="106"/>
              <w:rPr>
                <w:sz w:val="18"/>
              </w:rPr>
            </w:pPr>
            <w:r>
              <w:rPr>
                <w:sz w:val="18"/>
              </w:rPr>
              <w:t>Within</w:t>
            </w:r>
            <w:r>
              <w:rPr>
                <w:spacing w:val="-4"/>
                <w:sz w:val="18"/>
              </w:rPr>
              <w:t> </w:t>
            </w:r>
            <w:r>
              <w:rPr>
                <w:sz w:val="18"/>
              </w:rPr>
              <w:t>15</w:t>
            </w:r>
            <w:r>
              <w:rPr>
                <w:spacing w:val="-3"/>
                <w:sz w:val="18"/>
              </w:rPr>
              <w:t> </w:t>
            </w:r>
            <w:r>
              <w:rPr>
                <w:spacing w:val="-2"/>
                <w:sz w:val="18"/>
              </w:rPr>
              <w:t>years</w:t>
            </w:r>
          </w:p>
        </w:tc>
      </w:tr>
      <w:tr>
        <w:trPr>
          <w:trHeight w:val="700" w:hRule="atLeast"/>
        </w:trPr>
        <w:tc>
          <w:tcPr>
            <w:tcW w:w="1702" w:type="dxa"/>
          </w:tcPr>
          <w:p>
            <w:pPr>
              <w:pStyle w:val="TableParagraph"/>
              <w:ind w:left="107" w:right="257"/>
              <w:rPr>
                <w:b/>
                <w:sz w:val="18"/>
              </w:rPr>
            </w:pPr>
            <w:r>
              <w:rPr>
                <w:b/>
                <w:spacing w:val="-2"/>
                <w:sz w:val="18"/>
              </w:rPr>
              <w:t>Riparian Management Areas</w:t>
            </w:r>
          </w:p>
        </w:tc>
        <w:tc>
          <w:tcPr>
            <w:tcW w:w="5067" w:type="dxa"/>
          </w:tcPr>
          <w:p>
            <w:pPr>
              <w:pStyle w:val="TableParagraph"/>
              <w:ind w:left="104" w:right="167"/>
              <w:rPr>
                <w:sz w:val="18"/>
              </w:rPr>
            </w:pPr>
            <w:r>
              <w:rPr>
                <w:sz w:val="18"/>
              </w:rPr>
              <w:t>Move</w:t>
            </w:r>
            <w:r>
              <w:rPr>
                <w:spacing w:val="-6"/>
                <w:sz w:val="18"/>
              </w:rPr>
              <w:t> </w:t>
            </w:r>
            <w:r>
              <w:rPr>
                <w:sz w:val="18"/>
              </w:rPr>
              <w:t>upland</w:t>
            </w:r>
            <w:r>
              <w:rPr>
                <w:spacing w:val="-6"/>
                <w:sz w:val="18"/>
              </w:rPr>
              <w:t> </w:t>
            </w:r>
            <w:r>
              <w:rPr>
                <w:sz w:val="18"/>
              </w:rPr>
              <w:t>vegetation</w:t>
            </w:r>
            <w:r>
              <w:rPr>
                <w:spacing w:val="-6"/>
                <w:sz w:val="18"/>
              </w:rPr>
              <w:t> </w:t>
            </w:r>
            <w:r>
              <w:rPr>
                <w:sz w:val="18"/>
              </w:rPr>
              <w:t>within</w:t>
            </w:r>
            <w:r>
              <w:rPr>
                <w:spacing w:val="-8"/>
                <w:sz w:val="18"/>
              </w:rPr>
              <w:t> </w:t>
            </w:r>
            <w:r>
              <w:rPr>
                <w:sz w:val="18"/>
              </w:rPr>
              <w:t>Riparian</w:t>
            </w:r>
            <w:r>
              <w:rPr>
                <w:spacing w:val="-5"/>
                <w:sz w:val="18"/>
              </w:rPr>
              <w:t> </w:t>
            </w:r>
            <w:r>
              <w:rPr>
                <w:sz w:val="18"/>
              </w:rPr>
              <w:t>Management</w:t>
            </w:r>
            <w:r>
              <w:rPr>
                <w:spacing w:val="-6"/>
                <w:sz w:val="18"/>
              </w:rPr>
              <w:t> </w:t>
            </w:r>
            <w:r>
              <w:rPr>
                <w:sz w:val="18"/>
              </w:rPr>
              <w:t>Areas outside of key watersheds toward historical range of variability on 500 acres.</w:t>
            </w:r>
          </w:p>
        </w:tc>
        <w:tc>
          <w:tcPr>
            <w:tcW w:w="2377" w:type="dxa"/>
          </w:tcPr>
          <w:p>
            <w:pPr>
              <w:pStyle w:val="TableParagraph"/>
              <w:ind w:left="106"/>
              <w:rPr>
                <w:sz w:val="18"/>
              </w:rPr>
            </w:pPr>
            <w:r>
              <w:rPr>
                <w:sz w:val="18"/>
              </w:rPr>
              <w:t>Within</w:t>
            </w:r>
            <w:r>
              <w:rPr>
                <w:spacing w:val="-8"/>
                <w:sz w:val="18"/>
              </w:rPr>
              <w:t> </w:t>
            </w:r>
            <w:r>
              <w:rPr>
                <w:sz w:val="18"/>
              </w:rPr>
              <w:t>15</w:t>
            </w:r>
            <w:r>
              <w:rPr>
                <w:spacing w:val="-11"/>
                <w:sz w:val="18"/>
              </w:rPr>
              <w:t> </w:t>
            </w:r>
            <w:r>
              <w:rPr>
                <w:sz w:val="18"/>
              </w:rPr>
              <w:t>years</w:t>
            </w:r>
            <w:r>
              <w:rPr>
                <w:spacing w:val="-10"/>
                <w:sz w:val="18"/>
              </w:rPr>
              <w:t> </w:t>
            </w:r>
            <w:r>
              <w:rPr>
                <w:sz w:val="18"/>
              </w:rPr>
              <w:t>of</w:t>
            </w:r>
            <w:r>
              <w:rPr>
                <w:spacing w:val="-9"/>
                <w:sz w:val="18"/>
              </w:rPr>
              <w:t> </w:t>
            </w:r>
            <w:r>
              <w:rPr>
                <w:sz w:val="18"/>
              </w:rPr>
              <w:t>plan </w:t>
            </w:r>
            <w:r>
              <w:rPr>
                <w:spacing w:val="-2"/>
                <w:sz w:val="18"/>
              </w:rPr>
              <w:t>implementation</w:t>
            </w:r>
          </w:p>
        </w:tc>
      </w:tr>
      <w:tr>
        <w:trPr>
          <w:trHeight w:val="1115" w:hRule="atLeast"/>
        </w:trPr>
        <w:tc>
          <w:tcPr>
            <w:tcW w:w="1702" w:type="dxa"/>
          </w:tcPr>
          <w:p>
            <w:pPr>
              <w:pStyle w:val="TableParagraph"/>
              <w:spacing w:before="42"/>
              <w:ind w:left="107"/>
              <w:rPr>
                <w:b/>
                <w:sz w:val="18"/>
              </w:rPr>
            </w:pPr>
            <w:r>
              <w:rPr>
                <w:b/>
                <w:sz w:val="18"/>
              </w:rPr>
              <w:t>Scenic</w:t>
            </w:r>
            <w:r>
              <w:rPr>
                <w:b/>
                <w:spacing w:val="-2"/>
                <w:sz w:val="18"/>
              </w:rPr>
              <w:t> Byways</w:t>
            </w:r>
          </w:p>
        </w:tc>
        <w:tc>
          <w:tcPr>
            <w:tcW w:w="5067" w:type="dxa"/>
          </w:tcPr>
          <w:p>
            <w:pPr>
              <w:pStyle w:val="TableParagraph"/>
              <w:spacing w:before="42"/>
              <w:ind w:left="104" w:right="167"/>
              <w:rPr>
                <w:sz w:val="18"/>
              </w:rPr>
            </w:pPr>
            <w:r>
              <w:rPr>
                <w:sz w:val="18"/>
              </w:rPr>
              <w:t>Move</w:t>
            </w:r>
            <w:r>
              <w:rPr>
                <w:spacing w:val="-3"/>
                <w:sz w:val="18"/>
              </w:rPr>
              <w:t> </w:t>
            </w:r>
            <w:r>
              <w:rPr>
                <w:sz w:val="18"/>
              </w:rPr>
              <w:t>10</w:t>
            </w:r>
            <w:r>
              <w:rPr>
                <w:spacing w:val="-2"/>
                <w:sz w:val="18"/>
              </w:rPr>
              <w:t> </w:t>
            </w:r>
            <w:r>
              <w:rPr>
                <w:sz w:val="18"/>
              </w:rPr>
              <w:t>percent</w:t>
            </w:r>
            <w:r>
              <w:rPr>
                <w:spacing w:val="-5"/>
                <w:sz w:val="18"/>
              </w:rPr>
              <w:t> </w:t>
            </w:r>
            <w:r>
              <w:rPr>
                <w:sz w:val="18"/>
              </w:rPr>
              <w:t>of</w:t>
            </w:r>
            <w:r>
              <w:rPr>
                <w:spacing w:val="-3"/>
                <w:sz w:val="18"/>
              </w:rPr>
              <w:t> </w:t>
            </w:r>
            <w:r>
              <w:rPr>
                <w:sz w:val="18"/>
              </w:rPr>
              <w:t>the</w:t>
            </w:r>
            <w:r>
              <w:rPr>
                <w:spacing w:val="-2"/>
                <w:sz w:val="18"/>
              </w:rPr>
              <w:t> </w:t>
            </w:r>
            <w:r>
              <w:rPr>
                <w:sz w:val="18"/>
              </w:rPr>
              <w:t>foreground</w:t>
            </w:r>
            <w:r>
              <w:rPr>
                <w:spacing w:val="-5"/>
                <w:sz w:val="18"/>
              </w:rPr>
              <w:t> </w:t>
            </w:r>
            <w:r>
              <w:rPr>
                <w:sz w:val="18"/>
              </w:rPr>
              <w:t>and</w:t>
            </w:r>
            <w:r>
              <w:rPr>
                <w:spacing w:val="-5"/>
                <w:sz w:val="18"/>
              </w:rPr>
              <w:t> </w:t>
            </w:r>
            <w:r>
              <w:rPr>
                <w:sz w:val="18"/>
              </w:rPr>
              <w:t>middle</w:t>
            </w:r>
            <w:r>
              <w:rPr>
                <w:spacing w:val="-5"/>
                <w:sz w:val="18"/>
              </w:rPr>
              <w:t> </w:t>
            </w:r>
            <w:r>
              <w:rPr>
                <w:sz w:val="18"/>
              </w:rPr>
              <w:t>ground</w:t>
            </w:r>
            <w:r>
              <w:rPr>
                <w:spacing w:val="-5"/>
                <w:sz w:val="18"/>
              </w:rPr>
              <w:t> </w:t>
            </w:r>
            <w:r>
              <w:rPr>
                <w:sz w:val="18"/>
              </w:rPr>
              <w:t>seen areas of national scenic byways toward meeting scenic integrity objectives. Priority for rehabilitation and enhancement of desired landscape character includes the Sherman Pass Scenic Byway.</w:t>
            </w:r>
          </w:p>
        </w:tc>
        <w:tc>
          <w:tcPr>
            <w:tcW w:w="2377" w:type="dxa"/>
          </w:tcPr>
          <w:p>
            <w:pPr>
              <w:pStyle w:val="TableParagraph"/>
              <w:spacing w:before="42"/>
              <w:ind w:left="106" w:right="486"/>
              <w:rPr>
                <w:sz w:val="18"/>
              </w:rPr>
            </w:pPr>
            <w:r>
              <w:rPr>
                <w:sz w:val="18"/>
              </w:rPr>
              <w:t>During</w:t>
            </w:r>
            <w:r>
              <w:rPr>
                <w:spacing w:val="-15"/>
                <w:sz w:val="18"/>
              </w:rPr>
              <w:t> </w:t>
            </w:r>
            <w:r>
              <w:rPr>
                <w:sz w:val="18"/>
              </w:rPr>
              <w:t>the</w:t>
            </w:r>
            <w:r>
              <w:rPr>
                <w:spacing w:val="-12"/>
                <w:sz w:val="18"/>
              </w:rPr>
              <w:t> </w:t>
            </w:r>
            <w:r>
              <w:rPr>
                <w:sz w:val="18"/>
              </w:rPr>
              <w:t>expected 15 years of plan </w:t>
            </w:r>
            <w:r>
              <w:rPr>
                <w:spacing w:val="-2"/>
                <w:sz w:val="18"/>
              </w:rPr>
              <w:t>implementation</w:t>
            </w:r>
          </w:p>
        </w:tc>
      </w:tr>
      <w:tr>
        <w:trPr>
          <w:trHeight w:val="908" w:hRule="atLeast"/>
        </w:trPr>
        <w:tc>
          <w:tcPr>
            <w:tcW w:w="1702" w:type="dxa"/>
          </w:tcPr>
          <w:p>
            <w:pPr>
              <w:pStyle w:val="TableParagraph"/>
              <w:spacing w:before="42"/>
              <w:ind w:left="107" w:right="187"/>
              <w:rPr>
                <w:b/>
                <w:sz w:val="18"/>
              </w:rPr>
            </w:pPr>
            <w:r>
              <w:rPr>
                <w:b/>
                <w:sz w:val="18"/>
              </w:rPr>
              <w:t>Kettle Crest Recreation</w:t>
            </w:r>
            <w:r>
              <w:rPr>
                <w:b/>
                <w:spacing w:val="-13"/>
                <w:sz w:val="18"/>
              </w:rPr>
              <w:t> </w:t>
            </w:r>
            <w:r>
              <w:rPr>
                <w:b/>
                <w:sz w:val="18"/>
              </w:rPr>
              <w:t>Area</w:t>
            </w:r>
          </w:p>
        </w:tc>
        <w:tc>
          <w:tcPr>
            <w:tcW w:w="5067" w:type="dxa"/>
          </w:tcPr>
          <w:p>
            <w:pPr>
              <w:pStyle w:val="TableParagraph"/>
              <w:spacing w:before="42"/>
              <w:ind w:left="104" w:right="235"/>
              <w:rPr>
                <w:sz w:val="18"/>
              </w:rPr>
            </w:pPr>
            <w:r>
              <w:rPr>
                <w:sz w:val="18"/>
              </w:rPr>
              <w:t>Construct</w:t>
            </w:r>
            <w:r>
              <w:rPr>
                <w:spacing w:val="-5"/>
                <w:sz w:val="18"/>
              </w:rPr>
              <w:t> </w:t>
            </w:r>
            <w:r>
              <w:rPr>
                <w:sz w:val="18"/>
              </w:rPr>
              <w:t>at</w:t>
            </w:r>
            <w:r>
              <w:rPr>
                <w:spacing w:val="-5"/>
                <w:sz w:val="18"/>
              </w:rPr>
              <w:t> </w:t>
            </w:r>
            <w:r>
              <w:rPr>
                <w:sz w:val="18"/>
              </w:rPr>
              <w:t>least</w:t>
            </w:r>
            <w:r>
              <w:rPr>
                <w:spacing w:val="-7"/>
                <w:sz w:val="18"/>
              </w:rPr>
              <w:t> </w:t>
            </w:r>
            <w:r>
              <w:rPr>
                <w:sz w:val="18"/>
              </w:rPr>
              <w:t>one</w:t>
            </w:r>
            <w:r>
              <w:rPr>
                <w:spacing w:val="-7"/>
                <w:sz w:val="18"/>
              </w:rPr>
              <w:t> </w:t>
            </w:r>
            <w:r>
              <w:rPr>
                <w:sz w:val="18"/>
              </w:rPr>
              <w:t>trailhead</w:t>
            </w:r>
            <w:r>
              <w:rPr>
                <w:spacing w:val="-4"/>
                <w:sz w:val="18"/>
              </w:rPr>
              <w:t> </w:t>
            </w:r>
            <w:r>
              <w:rPr>
                <w:sz w:val="18"/>
              </w:rPr>
              <w:t>for</w:t>
            </w:r>
            <w:r>
              <w:rPr>
                <w:spacing w:val="-5"/>
                <w:sz w:val="18"/>
              </w:rPr>
              <w:t> </w:t>
            </w:r>
            <w:r>
              <w:rPr>
                <w:sz w:val="18"/>
              </w:rPr>
              <w:t>the</w:t>
            </w:r>
            <w:r>
              <w:rPr>
                <w:spacing w:val="-4"/>
                <w:sz w:val="18"/>
              </w:rPr>
              <w:t> </w:t>
            </w:r>
            <w:r>
              <w:rPr>
                <w:sz w:val="18"/>
              </w:rPr>
              <w:t>motorized</w:t>
            </w:r>
            <w:r>
              <w:rPr>
                <w:spacing w:val="-4"/>
                <w:sz w:val="18"/>
              </w:rPr>
              <w:t> </w:t>
            </w:r>
            <w:r>
              <w:rPr>
                <w:sz w:val="18"/>
              </w:rPr>
              <w:t>trail system that accesses the Backcountry Motorized Management Area associated with the Twin Sisters Inventoried Roadless Area.</w:t>
            </w:r>
          </w:p>
        </w:tc>
        <w:tc>
          <w:tcPr>
            <w:tcW w:w="2377" w:type="dxa"/>
          </w:tcPr>
          <w:p>
            <w:pPr>
              <w:pStyle w:val="TableParagraph"/>
              <w:spacing w:before="42"/>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1321" w:hRule="atLeast"/>
        </w:trPr>
        <w:tc>
          <w:tcPr>
            <w:tcW w:w="1702" w:type="dxa"/>
          </w:tcPr>
          <w:p>
            <w:pPr>
              <w:pStyle w:val="TableParagraph"/>
              <w:ind w:left="107" w:right="187"/>
              <w:rPr>
                <w:b/>
                <w:sz w:val="18"/>
              </w:rPr>
            </w:pPr>
            <w:r>
              <w:rPr>
                <w:b/>
                <w:sz w:val="18"/>
              </w:rPr>
              <w:t>Kettle Crest Recreation</w:t>
            </w:r>
            <w:r>
              <w:rPr>
                <w:b/>
                <w:spacing w:val="-13"/>
                <w:sz w:val="18"/>
              </w:rPr>
              <w:t> </w:t>
            </w:r>
            <w:r>
              <w:rPr>
                <w:b/>
                <w:sz w:val="18"/>
              </w:rPr>
              <w:t>Area</w:t>
            </w:r>
          </w:p>
        </w:tc>
        <w:tc>
          <w:tcPr>
            <w:tcW w:w="5067" w:type="dxa"/>
          </w:tcPr>
          <w:p>
            <w:pPr>
              <w:pStyle w:val="TableParagraph"/>
              <w:ind w:left="104" w:right="167"/>
              <w:rPr>
                <w:sz w:val="18"/>
              </w:rPr>
            </w:pPr>
            <w:r>
              <w:rPr>
                <w:sz w:val="18"/>
              </w:rPr>
              <w:t>Design and construct at least one motorized loop trail opportunity within the Backcountry Motorized Management Area</w:t>
            </w:r>
            <w:r>
              <w:rPr>
                <w:spacing w:val="-6"/>
                <w:sz w:val="18"/>
              </w:rPr>
              <w:t> </w:t>
            </w:r>
            <w:r>
              <w:rPr>
                <w:sz w:val="18"/>
              </w:rPr>
              <w:t>associated</w:t>
            </w:r>
            <w:r>
              <w:rPr>
                <w:spacing w:val="-6"/>
                <w:sz w:val="18"/>
              </w:rPr>
              <w:t> </w:t>
            </w:r>
            <w:r>
              <w:rPr>
                <w:sz w:val="18"/>
              </w:rPr>
              <w:t>with</w:t>
            </w:r>
            <w:r>
              <w:rPr>
                <w:spacing w:val="-6"/>
                <w:sz w:val="18"/>
              </w:rPr>
              <w:t> </w:t>
            </w:r>
            <w:r>
              <w:rPr>
                <w:sz w:val="18"/>
              </w:rPr>
              <w:t>the</w:t>
            </w:r>
            <w:r>
              <w:rPr>
                <w:spacing w:val="-6"/>
                <w:sz w:val="18"/>
              </w:rPr>
              <w:t> </w:t>
            </w:r>
            <w:r>
              <w:rPr>
                <w:sz w:val="18"/>
              </w:rPr>
              <w:t>Twin</w:t>
            </w:r>
            <w:r>
              <w:rPr>
                <w:spacing w:val="-6"/>
                <w:sz w:val="18"/>
              </w:rPr>
              <w:t> </w:t>
            </w:r>
            <w:r>
              <w:rPr>
                <w:sz w:val="18"/>
              </w:rPr>
              <w:t>Sisters</w:t>
            </w:r>
            <w:r>
              <w:rPr>
                <w:spacing w:val="-6"/>
                <w:sz w:val="18"/>
              </w:rPr>
              <w:t> </w:t>
            </w:r>
            <w:r>
              <w:rPr>
                <w:sz w:val="18"/>
              </w:rPr>
              <w:t>Inventoried</w:t>
            </w:r>
            <w:r>
              <w:rPr>
                <w:spacing w:val="-6"/>
                <w:sz w:val="18"/>
              </w:rPr>
              <w:t> </w:t>
            </w:r>
            <w:r>
              <w:rPr>
                <w:sz w:val="18"/>
              </w:rPr>
              <w:t>Roadless Area and at least one non-motorized loop trail opportunity within the Backcountry Management Area associated with the Profanity Inventoried Roadless Area.</w:t>
            </w:r>
          </w:p>
        </w:tc>
        <w:tc>
          <w:tcPr>
            <w:tcW w:w="2377" w:type="dxa"/>
          </w:tcPr>
          <w:p>
            <w:pPr>
              <w:pStyle w:val="TableParagraph"/>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702" w:hRule="atLeast"/>
        </w:trPr>
        <w:tc>
          <w:tcPr>
            <w:tcW w:w="1702" w:type="dxa"/>
          </w:tcPr>
          <w:p>
            <w:pPr>
              <w:pStyle w:val="TableParagraph"/>
              <w:ind w:left="107" w:right="187"/>
              <w:rPr>
                <w:b/>
                <w:sz w:val="18"/>
              </w:rPr>
            </w:pPr>
            <w:r>
              <w:rPr>
                <w:b/>
                <w:sz w:val="18"/>
              </w:rPr>
              <w:t>Kettle Crest Recreation</w:t>
            </w:r>
            <w:r>
              <w:rPr>
                <w:b/>
                <w:spacing w:val="-13"/>
                <w:sz w:val="18"/>
              </w:rPr>
              <w:t> </w:t>
            </w:r>
            <w:r>
              <w:rPr>
                <w:b/>
                <w:sz w:val="18"/>
              </w:rPr>
              <w:t>Area</w:t>
            </w:r>
          </w:p>
        </w:tc>
        <w:tc>
          <w:tcPr>
            <w:tcW w:w="5067" w:type="dxa"/>
          </w:tcPr>
          <w:p>
            <w:pPr>
              <w:pStyle w:val="TableParagraph"/>
              <w:ind w:left="104" w:right="113"/>
              <w:rPr>
                <w:b/>
                <w:sz w:val="18"/>
              </w:rPr>
            </w:pPr>
            <w:r>
              <w:rPr>
                <w:sz w:val="18"/>
              </w:rPr>
              <w:t>Move or reconstruct the over-snow vehicle sno-park located on</w:t>
            </w:r>
            <w:r>
              <w:rPr>
                <w:spacing w:val="-4"/>
                <w:sz w:val="18"/>
              </w:rPr>
              <w:t> </w:t>
            </w:r>
            <w:r>
              <w:rPr>
                <w:sz w:val="18"/>
              </w:rPr>
              <w:t>the</w:t>
            </w:r>
            <w:r>
              <w:rPr>
                <w:spacing w:val="-7"/>
                <w:sz w:val="18"/>
              </w:rPr>
              <w:t> </w:t>
            </w:r>
            <w:r>
              <w:rPr>
                <w:sz w:val="18"/>
              </w:rPr>
              <w:t>Albian</w:t>
            </w:r>
            <w:r>
              <w:rPr>
                <w:spacing w:val="-4"/>
                <w:sz w:val="18"/>
              </w:rPr>
              <w:t> </w:t>
            </w:r>
            <w:r>
              <w:rPr>
                <w:sz w:val="18"/>
              </w:rPr>
              <w:t>Hill</w:t>
            </w:r>
            <w:r>
              <w:rPr>
                <w:spacing w:val="-4"/>
                <w:sz w:val="18"/>
              </w:rPr>
              <w:t> </w:t>
            </w:r>
            <w:r>
              <w:rPr>
                <w:sz w:val="18"/>
              </w:rPr>
              <w:t>Road</w:t>
            </w:r>
            <w:r>
              <w:rPr>
                <w:spacing w:val="-4"/>
                <w:sz w:val="18"/>
              </w:rPr>
              <w:t> </w:t>
            </w:r>
            <w:r>
              <w:rPr>
                <w:sz w:val="18"/>
              </w:rPr>
              <w:t>(Forest</w:t>
            </w:r>
            <w:r>
              <w:rPr>
                <w:spacing w:val="-6"/>
                <w:sz w:val="18"/>
              </w:rPr>
              <w:t> </w:t>
            </w:r>
            <w:r>
              <w:rPr>
                <w:sz w:val="18"/>
              </w:rPr>
              <w:t>Road</w:t>
            </w:r>
            <w:r>
              <w:rPr>
                <w:spacing w:val="-4"/>
                <w:sz w:val="18"/>
              </w:rPr>
              <w:t> </w:t>
            </w:r>
            <w:r>
              <w:rPr>
                <w:sz w:val="18"/>
              </w:rPr>
              <w:t>2030)</w:t>
            </w:r>
            <w:r>
              <w:rPr>
                <w:spacing w:val="-5"/>
                <w:sz w:val="18"/>
              </w:rPr>
              <w:t> </w:t>
            </w:r>
            <w:r>
              <w:rPr>
                <w:sz w:val="18"/>
              </w:rPr>
              <w:t>to</w:t>
            </w:r>
            <w:r>
              <w:rPr>
                <w:spacing w:val="-4"/>
                <w:sz w:val="18"/>
              </w:rPr>
              <w:t> </w:t>
            </w:r>
            <w:r>
              <w:rPr>
                <w:sz w:val="18"/>
              </w:rPr>
              <w:t>accommodate at least twice the existing capacity</w:t>
            </w:r>
            <w:r>
              <w:rPr>
                <w:b/>
                <w:sz w:val="18"/>
              </w:rPr>
              <w:t>.</w:t>
            </w:r>
          </w:p>
        </w:tc>
        <w:tc>
          <w:tcPr>
            <w:tcW w:w="2377" w:type="dxa"/>
          </w:tcPr>
          <w:p>
            <w:pPr>
              <w:pStyle w:val="TableParagraph"/>
              <w:ind w:left="106"/>
              <w:rPr>
                <w:sz w:val="18"/>
              </w:rPr>
            </w:pPr>
            <w:r>
              <w:rPr>
                <w:sz w:val="18"/>
              </w:rPr>
              <w:t>Within</w:t>
            </w:r>
            <w:r>
              <w:rPr>
                <w:spacing w:val="-8"/>
                <w:sz w:val="18"/>
              </w:rPr>
              <w:t> </w:t>
            </w:r>
            <w:r>
              <w:rPr>
                <w:sz w:val="18"/>
              </w:rPr>
              <w:t>15</w:t>
            </w:r>
            <w:r>
              <w:rPr>
                <w:spacing w:val="-10"/>
                <w:sz w:val="18"/>
              </w:rPr>
              <w:t> </w:t>
            </w:r>
            <w:r>
              <w:rPr>
                <w:sz w:val="18"/>
              </w:rPr>
              <w:t>years</w:t>
            </w:r>
            <w:r>
              <w:rPr>
                <w:spacing w:val="-9"/>
                <w:sz w:val="18"/>
              </w:rPr>
              <w:t> </w:t>
            </w:r>
            <w:r>
              <w:rPr>
                <w:sz w:val="18"/>
              </w:rPr>
              <w:t>of</w:t>
            </w:r>
            <w:r>
              <w:rPr>
                <w:spacing w:val="-9"/>
                <w:sz w:val="18"/>
              </w:rPr>
              <w:t> </w:t>
            </w:r>
            <w:r>
              <w:rPr>
                <w:sz w:val="18"/>
              </w:rPr>
              <w:t>plan </w:t>
            </w:r>
            <w:r>
              <w:rPr>
                <w:spacing w:val="-2"/>
                <w:sz w:val="18"/>
              </w:rPr>
              <w:t>implementation</w:t>
            </w:r>
          </w:p>
        </w:tc>
      </w:tr>
      <w:tr>
        <w:trPr>
          <w:trHeight w:val="1321" w:hRule="atLeast"/>
        </w:trPr>
        <w:tc>
          <w:tcPr>
            <w:tcW w:w="1702" w:type="dxa"/>
          </w:tcPr>
          <w:p>
            <w:pPr>
              <w:pStyle w:val="TableParagraph"/>
              <w:ind w:left="107"/>
              <w:rPr>
                <w:b/>
                <w:sz w:val="18"/>
              </w:rPr>
            </w:pPr>
            <w:r>
              <w:rPr>
                <w:b/>
                <w:spacing w:val="-2"/>
                <w:sz w:val="18"/>
              </w:rPr>
              <w:t>Wilderness- Congressionally Designated</w:t>
            </w:r>
          </w:p>
        </w:tc>
        <w:tc>
          <w:tcPr>
            <w:tcW w:w="5067" w:type="dxa"/>
          </w:tcPr>
          <w:p>
            <w:pPr>
              <w:pStyle w:val="TableParagraph"/>
              <w:ind w:left="104" w:right="167"/>
              <w:rPr>
                <w:sz w:val="18"/>
              </w:rPr>
            </w:pPr>
            <w:r>
              <w:rPr>
                <w:sz w:val="18"/>
              </w:rPr>
              <w:t>Existing campsites will be inventoried. Campsites that are both</w:t>
            </w:r>
            <w:r>
              <w:rPr>
                <w:spacing w:val="-3"/>
                <w:sz w:val="18"/>
              </w:rPr>
              <w:t> </w:t>
            </w:r>
            <w:r>
              <w:rPr>
                <w:sz w:val="18"/>
              </w:rPr>
              <w:t>visible</w:t>
            </w:r>
            <w:r>
              <w:rPr>
                <w:spacing w:val="-3"/>
                <w:sz w:val="18"/>
              </w:rPr>
              <w:t> </w:t>
            </w:r>
            <w:r>
              <w:rPr>
                <w:sz w:val="18"/>
              </w:rPr>
              <w:t>and</w:t>
            </w:r>
            <w:r>
              <w:rPr>
                <w:spacing w:val="-3"/>
                <w:sz w:val="18"/>
              </w:rPr>
              <w:t> </w:t>
            </w:r>
            <w:r>
              <w:rPr>
                <w:sz w:val="18"/>
              </w:rPr>
              <w:t>audible</w:t>
            </w:r>
            <w:r>
              <w:rPr>
                <w:spacing w:val="-3"/>
                <w:sz w:val="18"/>
              </w:rPr>
              <w:t> </w:t>
            </w:r>
            <w:r>
              <w:rPr>
                <w:sz w:val="18"/>
              </w:rPr>
              <w:t>to</w:t>
            </w:r>
            <w:r>
              <w:rPr>
                <w:spacing w:val="-3"/>
                <w:sz w:val="18"/>
              </w:rPr>
              <w:t> </w:t>
            </w:r>
            <w:r>
              <w:rPr>
                <w:sz w:val="18"/>
              </w:rPr>
              <w:t>each</w:t>
            </w:r>
            <w:r>
              <w:rPr>
                <w:spacing w:val="-3"/>
                <w:sz w:val="18"/>
              </w:rPr>
              <w:t> </w:t>
            </w:r>
            <w:r>
              <w:rPr>
                <w:sz w:val="18"/>
              </w:rPr>
              <w:t>other</w:t>
            </w:r>
            <w:r>
              <w:rPr>
                <w:spacing w:val="-6"/>
                <w:sz w:val="18"/>
              </w:rPr>
              <w:t> </w:t>
            </w:r>
            <w:r>
              <w:rPr>
                <w:sz w:val="18"/>
              </w:rPr>
              <w:t>will</w:t>
            </w:r>
            <w:r>
              <w:rPr>
                <w:spacing w:val="-3"/>
                <w:sz w:val="18"/>
              </w:rPr>
              <w:t> </w:t>
            </w:r>
            <w:r>
              <w:rPr>
                <w:sz w:val="18"/>
              </w:rPr>
              <w:t>be</w:t>
            </w:r>
            <w:r>
              <w:rPr>
                <w:spacing w:val="-6"/>
                <w:sz w:val="18"/>
              </w:rPr>
              <w:t> </w:t>
            </w:r>
            <w:r>
              <w:rPr>
                <w:sz w:val="18"/>
              </w:rPr>
              <w:t>surveyed</w:t>
            </w:r>
            <w:r>
              <w:rPr>
                <w:spacing w:val="-3"/>
                <w:sz w:val="18"/>
              </w:rPr>
              <w:t> </w:t>
            </w:r>
            <w:r>
              <w:rPr>
                <w:sz w:val="18"/>
              </w:rPr>
              <w:t>and the site that shows the greatest resilience toward future resource disturbance (based on soil and vegetation characteristics) will be retained while the other site will be </w:t>
            </w:r>
            <w:r>
              <w:rPr>
                <w:spacing w:val="-2"/>
                <w:sz w:val="18"/>
              </w:rPr>
              <w:t>naturalized.</w:t>
            </w:r>
          </w:p>
        </w:tc>
        <w:tc>
          <w:tcPr>
            <w:tcW w:w="2377" w:type="dxa"/>
          </w:tcPr>
          <w:p>
            <w:pPr>
              <w:pStyle w:val="TableParagraph"/>
              <w:spacing w:before="40"/>
              <w:ind w:left="106"/>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w:t>
            </w:r>
            <w:r>
              <w:rPr>
                <w:spacing w:val="-2"/>
                <w:sz w:val="18"/>
              </w:rPr>
              <w:t>implementation</w:t>
            </w:r>
          </w:p>
        </w:tc>
      </w:tr>
      <w:tr>
        <w:trPr>
          <w:trHeight w:val="1321" w:hRule="atLeast"/>
        </w:trPr>
        <w:tc>
          <w:tcPr>
            <w:tcW w:w="1702" w:type="dxa"/>
          </w:tcPr>
          <w:p>
            <w:pPr>
              <w:pStyle w:val="TableParagraph"/>
              <w:ind w:left="107"/>
              <w:rPr>
                <w:b/>
                <w:sz w:val="18"/>
              </w:rPr>
            </w:pPr>
            <w:r>
              <w:rPr>
                <w:b/>
                <w:spacing w:val="-2"/>
                <w:sz w:val="18"/>
              </w:rPr>
              <w:t>Wilderness- Congressionally Designated</w:t>
            </w:r>
          </w:p>
        </w:tc>
        <w:tc>
          <w:tcPr>
            <w:tcW w:w="5067" w:type="dxa"/>
          </w:tcPr>
          <w:p>
            <w:pPr>
              <w:pStyle w:val="TableParagraph"/>
              <w:ind w:left="104" w:right="167"/>
              <w:rPr>
                <w:sz w:val="18"/>
              </w:rPr>
            </w:pPr>
            <w:r>
              <w:rPr>
                <w:sz w:val="18"/>
              </w:rPr>
              <w:t>Existing campsites within 200 feet of lakes, rivers, or streams will be inventoried. Campsites that can absorb the impact of recurring recreational use will be retained while those campsites that show low resiliency to repeated use (based</w:t>
            </w:r>
            <w:r>
              <w:rPr>
                <w:spacing w:val="-4"/>
                <w:sz w:val="18"/>
              </w:rPr>
              <w:t> </w:t>
            </w:r>
            <w:r>
              <w:rPr>
                <w:sz w:val="18"/>
              </w:rPr>
              <w:t>on</w:t>
            </w:r>
            <w:r>
              <w:rPr>
                <w:spacing w:val="-7"/>
                <w:sz w:val="18"/>
              </w:rPr>
              <w:t> </w:t>
            </w:r>
            <w:r>
              <w:rPr>
                <w:sz w:val="18"/>
              </w:rPr>
              <w:t>impacts</w:t>
            </w:r>
            <w:r>
              <w:rPr>
                <w:spacing w:val="-4"/>
                <w:sz w:val="18"/>
              </w:rPr>
              <w:t> </w:t>
            </w:r>
            <w:r>
              <w:rPr>
                <w:sz w:val="18"/>
              </w:rPr>
              <w:t>to</w:t>
            </w:r>
            <w:r>
              <w:rPr>
                <w:spacing w:val="-4"/>
                <w:sz w:val="18"/>
              </w:rPr>
              <w:t> </w:t>
            </w:r>
            <w:r>
              <w:rPr>
                <w:sz w:val="18"/>
              </w:rPr>
              <w:t>soil,</w:t>
            </w:r>
            <w:r>
              <w:rPr>
                <w:spacing w:val="-5"/>
                <w:sz w:val="18"/>
              </w:rPr>
              <w:t> </w:t>
            </w:r>
            <w:r>
              <w:rPr>
                <w:sz w:val="18"/>
              </w:rPr>
              <w:t>vegetation,</w:t>
            </w:r>
            <w:r>
              <w:rPr>
                <w:spacing w:val="-5"/>
                <w:sz w:val="18"/>
              </w:rPr>
              <w:t> </w:t>
            </w:r>
            <w:r>
              <w:rPr>
                <w:sz w:val="18"/>
              </w:rPr>
              <w:t>and</w:t>
            </w:r>
            <w:r>
              <w:rPr>
                <w:spacing w:val="-4"/>
                <w:sz w:val="18"/>
              </w:rPr>
              <w:t> </w:t>
            </w:r>
            <w:r>
              <w:rPr>
                <w:sz w:val="18"/>
              </w:rPr>
              <w:t>water</w:t>
            </w:r>
            <w:r>
              <w:rPr>
                <w:spacing w:val="-5"/>
                <w:sz w:val="18"/>
              </w:rPr>
              <w:t> </w:t>
            </w:r>
            <w:r>
              <w:rPr>
                <w:sz w:val="18"/>
              </w:rPr>
              <w:t>quality)</w:t>
            </w:r>
            <w:r>
              <w:rPr>
                <w:spacing w:val="-5"/>
                <w:sz w:val="18"/>
              </w:rPr>
              <w:t> </w:t>
            </w:r>
            <w:r>
              <w:rPr>
                <w:sz w:val="18"/>
              </w:rPr>
              <w:t>will be naturalized.</w:t>
            </w:r>
          </w:p>
        </w:tc>
        <w:tc>
          <w:tcPr>
            <w:tcW w:w="2377" w:type="dxa"/>
          </w:tcPr>
          <w:p>
            <w:pPr>
              <w:pStyle w:val="TableParagraph"/>
              <w:spacing w:before="40"/>
              <w:ind w:left="106"/>
              <w:rPr>
                <w:sz w:val="18"/>
              </w:rPr>
            </w:pPr>
            <w:r>
              <w:rPr>
                <w:sz w:val="18"/>
              </w:rPr>
              <w:t>Within</w:t>
            </w:r>
            <w:r>
              <w:rPr>
                <w:spacing w:val="-9"/>
                <w:sz w:val="18"/>
              </w:rPr>
              <w:t> </w:t>
            </w:r>
            <w:r>
              <w:rPr>
                <w:sz w:val="18"/>
              </w:rPr>
              <w:t>5</w:t>
            </w:r>
            <w:r>
              <w:rPr>
                <w:spacing w:val="-9"/>
                <w:sz w:val="18"/>
              </w:rPr>
              <w:t> </w:t>
            </w:r>
            <w:r>
              <w:rPr>
                <w:sz w:val="18"/>
              </w:rPr>
              <w:t>years</w:t>
            </w:r>
            <w:r>
              <w:rPr>
                <w:spacing w:val="-9"/>
                <w:sz w:val="18"/>
              </w:rPr>
              <w:t> </w:t>
            </w:r>
            <w:r>
              <w:rPr>
                <w:sz w:val="18"/>
              </w:rPr>
              <w:t>of</w:t>
            </w:r>
            <w:r>
              <w:rPr>
                <w:spacing w:val="-11"/>
                <w:sz w:val="18"/>
              </w:rPr>
              <w:t> </w:t>
            </w:r>
            <w:r>
              <w:rPr>
                <w:sz w:val="18"/>
              </w:rPr>
              <w:t>plan </w:t>
            </w:r>
            <w:r>
              <w:rPr>
                <w:spacing w:val="-2"/>
                <w:sz w:val="18"/>
              </w:rPr>
              <w:t>implementation</w:t>
            </w:r>
          </w:p>
        </w:tc>
      </w:tr>
    </w:tbl>
    <w:p>
      <w:pPr>
        <w:pStyle w:val="TableParagraph"/>
        <w:spacing w:after="0"/>
        <w:rPr>
          <w:sz w:val="18"/>
        </w:rPr>
        <w:sectPr>
          <w:pgSz w:w="12240" w:h="15840"/>
          <w:pgMar w:header="725" w:footer="891" w:top="1340" w:bottom="1080" w:left="1080" w:right="1080"/>
        </w:sectPr>
      </w:pPr>
    </w:p>
    <w:p>
      <w:pPr>
        <w:pStyle w:val="Heading2"/>
        <w:spacing w:before="81"/>
        <w:ind w:left="791"/>
      </w:pPr>
      <w:bookmarkStart w:name="Possible Management Actions" w:id="936"/>
      <w:bookmarkEnd w:id="936"/>
      <w:r>
        <w:rPr/>
      </w:r>
      <w:bookmarkStart w:name="_bookmark284" w:id="937"/>
      <w:bookmarkEnd w:id="937"/>
      <w:r>
        <w:rPr/>
      </w:r>
      <w:r>
        <w:rPr>
          <w:smallCaps/>
          <w:color w:val="475824"/>
        </w:rPr>
        <w:t>Possible</w:t>
      </w:r>
      <w:r>
        <w:rPr>
          <w:smallCaps/>
          <w:color w:val="475824"/>
          <w:spacing w:val="-15"/>
        </w:rPr>
        <w:t> </w:t>
      </w:r>
      <w:r>
        <w:rPr>
          <w:smallCaps/>
          <w:color w:val="475824"/>
        </w:rPr>
        <w:t>Management</w:t>
      </w:r>
      <w:r>
        <w:rPr>
          <w:smallCaps/>
          <w:color w:val="475824"/>
          <w:spacing w:val="-17"/>
        </w:rPr>
        <w:t> </w:t>
      </w:r>
      <w:r>
        <w:rPr>
          <w:smallCaps/>
          <w:color w:val="475824"/>
          <w:spacing w:val="-2"/>
        </w:rPr>
        <w:t>Actions</w:t>
      </w:r>
    </w:p>
    <w:p>
      <w:pPr>
        <w:pStyle w:val="BodyText"/>
        <w:spacing w:line="232" w:lineRule="auto" w:before="65"/>
        <w:ind w:left="791" w:right="361"/>
      </w:pPr>
      <w:r>
        <w:rPr/>
        <w:t>Chapters</w:t>
      </w:r>
      <w:r>
        <w:rPr>
          <w:spacing w:val="-5"/>
        </w:rPr>
        <w:t> </w:t>
      </w:r>
      <w:r>
        <w:rPr/>
        <w:t>2</w:t>
      </w:r>
      <w:r>
        <w:rPr>
          <w:spacing w:val="-2"/>
        </w:rPr>
        <w:t> </w:t>
      </w:r>
      <w:r>
        <w:rPr/>
        <w:t>and</w:t>
      </w:r>
      <w:r>
        <w:rPr>
          <w:spacing w:val="-4"/>
        </w:rPr>
        <w:t> </w:t>
      </w:r>
      <w:r>
        <w:rPr/>
        <w:t>3</w:t>
      </w:r>
      <w:r>
        <w:rPr>
          <w:spacing w:val="-4"/>
        </w:rPr>
        <w:t> </w:t>
      </w:r>
      <w:r>
        <w:rPr/>
        <w:t>of</w:t>
      </w:r>
      <w:r>
        <w:rPr>
          <w:spacing w:val="-5"/>
        </w:rPr>
        <w:t> </w:t>
      </w:r>
      <w:r>
        <w:rPr/>
        <w:t>the</w:t>
      </w:r>
      <w:r>
        <w:rPr>
          <w:spacing w:val="-4"/>
        </w:rPr>
        <w:t> </w:t>
      </w:r>
      <w:r>
        <w:rPr/>
        <w:t>Plan</w:t>
      </w:r>
      <w:r>
        <w:rPr>
          <w:spacing w:val="-4"/>
        </w:rPr>
        <w:t> </w:t>
      </w:r>
      <w:r>
        <w:rPr/>
        <w:t>describe</w:t>
      </w:r>
      <w:r>
        <w:rPr>
          <w:spacing w:val="-2"/>
        </w:rPr>
        <w:t> </w:t>
      </w:r>
      <w:r>
        <w:rPr/>
        <w:t>some</w:t>
      </w:r>
      <w:r>
        <w:rPr>
          <w:spacing w:val="-5"/>
        </w:rPr>
        <w:t> </w:t>
      </w:r>
      <w:r>
        <w:rPr/>
        <w:t>of</w:t>
      </w:r>
      <w:r>
        <w:rPr>
          <w:spacing w:val="-5"/>
        </w:rPr>
        <w:t> </w:t>
      </w:r>
      <w:r>
        <w:rPr/>
        <w:t>the</w:t>
      </w:r>
      <w:r>
        <w:rPr>
          <w:spacing w:val="-2"/>
        </w:rPr>
        <w:t> </w:t>
      </w:r>
      <w:r>
        <w:rPr/>
        <w:t>possible</w:t>
      </w:r>
      <w:r>
        <w:rPr>
          <w:spacing w:val="-2"/>
        </w:rPr>
        <w:t> </w:t>
      </w:r>
      <w:r>
        <w:rPr/>
        <w:t>management</w:t>
      </w:r>
      <w:r>
        <w:rPr>
          <w:spacing w:val="-5"/>
        </w:rPr>
        <w:t> </w:t>
      </w:r>
      <w:r>
        <w:rPr/>
        <w:t>actions</w:t>
      </w:r>
      <w:r>
        <w:rPr>
          <w:spacing w:val="-3"/>
        </w:rPr>
        <w:t> </w:t>
      </w:r>
      <w:r>
        <w:rPr/>
        <w:t>for</w:t>
      </w:r>
      <w:r>
        <w:rPr>
          <w:spacing w:val="-3"/>
        </w:rPr>
        <w:t> </w:t>
      </w:r>
      <w:r>
        <w:rPr/>
        <w:t>achieving desired conditions and objectives. These are summarized in the following sections.</w:t>
      </w:r>
    </w:p>
    <w:p>
      <w:pPr>
        <w:pStyle w:val="Heading3"/>
        <w:spacing w:before="235"/>
        <w:ind w:left="791"/>
      </w:pPr>
      <w:bookmarkStart w:name="Terrestrial Ecosystems" w:id="938"/>
      <w:bookmarkEnd w:id="938"/>
      <w:r>
        <w:rPr>
          <w:b w:val="0"/>
        </w:rPr>
      </w:r>
      <w:bookmarkStart w:name="_bookmark285" w:id="939"/>
      <w:bookmarkEnd w:id="939"/>
      <w:r>
        <w:rPr>
          <w:b w:val="0"/>
        </w:rPr>
      </w:r>
      <w:r>
        <w:rPr>
          <w:smallCaps/>
          <w:color w:val="475824"/>
        </w:rPr>
        <w:t>Terrestrial</w:t>
      </w:r>
      <w:r>
        <w:rPr>
          <w:smallCaps/>
          <w:color w:val="475824"/>
          <w:spacing w:val="-13"/>
        </w:rPr>
        <w:t> </w:t>
      </w:r>
      <w:r>
        <w:rPr>
          <w:smallCaps/>
          <w:color w:val="475824"/>
          <w:spacing w:val="-2"/>
        </w:rPr>
        <w:t>Ecosystems</w:t>
      </w:r>
    </w:p>
    <w:p>
      <w:pPr>
        <w:pStyle w:val="Heading4"/>
        <w:spacing w:before="239"/>
        <w:ind w:left="791"/>
      </w:pPr>
      <w:bookmarkStart w:name="Vegetation" w:id="940"/>
      <w:bookmarkEnd w:id="940"/>
      <w:r>
        <w:rPr/>
      </w:r>
      <w:bookmarkStart w:name="_bookmark286" w:id="941"/>
      <w:bookmarkEnd w:id="941"/>
      <w:r>
        <w:rPr/>
      </w:r>
      <w:r>
        <w:rPr>
          <w:spacing w:val="-2"/>
        </w:rPr>
        <w:t>Vegetation</w:t>
      </w:r>
    </w:p>
    <w:p>
      <w:pPr>
        <w:pStyle w:val="BodyText"/>
        <w:spacing w:line="232" w:lineRule="auto" w:before="65"/>
        <w:ind w:left="791" w:right="361"/>
      </w:pPr>
      <w:r>
        <w:rPr/>
        <w:t>Vegetation management includes those activities that actively move vegetation toward desired conditions. Vegetation management might include activities that would maintain or increase representation of early seral, shade-intolerant, drought and fire tolerant, insect/disease resistant species dominance types. Activities could treat areas to maintain or improve forest resilience, natural</w:t>
      </w:r>
      <w:r>
        <w:rPr>
          <w:spacing w:val="-8"/>
        </w:rPr>
        <w:t> </w:t>
      </w:r>
      <w:r>
        <w:rPr/>
        <w:t>diversity,</w:t>
      </w:r>
      <w:r>
        <w:rPr>
          <w:spacing w:val="-8"/>
        </w:rPr>
        <w:t> </w:t>
      </w:r>
      <w:r>
        <w:rPr/>
        <w:t>and</w:t>
      </w:r>
      <w:r>
        <w:rPr>
          <w:spacing w:val="-9"/>
        </w:rPr>
        <w:t> </w:t>
      </w:r>
      <w:r>
        <w:rPr/>
        <w:t>productivity,</w:t>
      </w:r>
      <w:r>
        <w:rPr>
          <w:spacing w:val="-8"/>
        </w:rPr>
        <w:t> </w:t>
      </w:r>
      <w:r>
        <w:rPr/>
        <w:t>and</w:t>
      </w:r>
      <w:r>
        <w:rPr>
          <w:spacing w:val="-9"/>
        </w:rPr>
        <w:t> </w:t>
      </w:r>
      <w:r>
        <w:rPr/>
        <w:t>to</w:t>
      </w:r>
      <w:r>
        <w:rPr>
          <w:spacing w:val="-8"/>
        </w:rPr>
        <w:t> </w:t>
      </w:r>
      <w:r>
        <w:rPr/>
        <w:t>reduce</w:t>
      </w:r>
      <w:r>
        <w:rPr>
          <w:spacing w:val="-8"/>
        </w:rPr>
        <w:t> </w:t>
      </w:r>
      <w:r>
        <w:rPr/>
        <w:t>negative</w:t>
      </w:r>
      <w:r>
        <w:rPr>
          <w:spacing w:val="-8"/>
        </w:rPr>
        <w:t> </w:t>
      </w:r>
      <w:r>
        <w:rPr/>
        <w:t>impacts</w:t>
      </w:r>
      <w:r>
        <w:rPr>
          <w:spacing w:val="-10"/>
        </w:rPr>
        <w:t> </w:t>
      </w:r>
      <w:r>
        <w:rPr/>
        <w:t>of</w:t>
      </w:r>
      <w:r>
        <w:rPr>
          <w:spacing w:val="-10"/>
        </w:rPr>
        <w:t> </w:t>
      </w:r>
      <w:r>
        <w:rPr/>
        <w:t>non-native</w:t>
      </w:r>
      <w:r>
        <w:rPr>
          <w:spacing w:val="-10"/>
        </w:rPr>
        <w:t> </w:t>
      </w:r>
      <w:r>
        <w:rPr/>
        <w:t>organisms</w:t>
      </w:r>
      <w:r>
        <w:rPr>
          <w:spacing w:val="-10"/>
        </w:rPr>
        <w:t> </w:t>
      </w:r>
      <w:r>
        <w:rPr/>
        <w:t>over</w:t>
      </w:r>
      <w:r>
        <w:rPr>
          <w:spacing w:val="-10"/>
        </w:rPr>
        <w:t> </w:t>
      </w:r>
      <w:r>
        <w:rPr/>
        <w:t>the life of the Plan. Specifically, the following types of actions are likely to occur:</w:t>
      </w:r>
    </w:p>
    <w:p>
      <w:pPr>
        <w:pStyle w:val="ListParagraph"/>
        <w:numPr>
          <w:ilvl w:val="0"/>
          <w:numId w:val="30"/>
        </w:numPr>
        <w:tabs>
          <w:tab w:pos="1331" w:val="left" w:leader="none"/>
        </w:tabs>
        <w:spacing w:line="240" w:lineRule="auto" w:before="192" w:after="0"/>
        <w:ind w:left="1331" w:right="0" w:hanging="360"/>
        <w:jc w:val="left"/>
        <w:rPr>
          <w:sz w:val="22"/>
        </w:rPr>
      </w:pPr>
      <w:r>
        <w:rPr>
          <w:sz w:val="22"/>
        </w:rPr>
        <w:t>Planting</w:t>
      </w:r>
      <w:r>
        <w:rPr>
          <w:spacing w:val="-10"/>
          <w:sz w:val="22"/>
        </w:rPr>
        <w:t> </w:t>
      </w:r>
      <w:r>
        <w:rPr>
          <w:sz w:val="22"/>
        </w:rPr>
        <w:t>white</w:t>
      </w:r>
      <w:r>
        <w:rPr>
          <w:spacing w:val="-6"/>
          <w:sz w:val="22"/>
        </w:rPr>
        <w:t> </w:t>
      </w:r>
      <w:r>
        <w:rPr>
          <w:sz w:val="22"/>
        </w:rPr>
        <w:t>pine</w:t>
      </w:r>
      <w:r>
        <w:rPr>
          <w:spacing w:val="-7"/>
          <w:sz w:val="22"/>
        </w:rPr>
        <w:t> </w:t>
      </w:r>
      <w:r>
        <w:rPr>
          <w:sz w:val="22"/>
        </w:rPr>
        <w:t>blister</w:t>
      </w:r>
      <w:r>
        <w:rPr>
          <w:spacing w:val="-7"/>
          <w:sz w:val="22"/>
        </w:rPr>
        <w:t> </w:t>
      </w:r>
      <w:r>
        <w:rPr>
          <w:sz w:val="22"/>
        </w:rPr>
        <w:t>rust</w:t>
      </w:r>
      <w:r>
        <w:rPr>
          <w:spacing w:val="-6"/>
          <w:sz w:val="22"/>
        </w:rPr>
        <w:t> </w:t>
      </w:r>
      <w:r>
        <w:rPr>
          <w:sz w:val="22"/>
        </w:rPr>
        <w:t>resistant</w:t>
      </w:r>
      <w:r>
        <w:rPr>
          <w:spacing w:val="-9"/>
          <w:sz w:val="22"/>
        </w:rPr>
        <w:t> </w:t>
      </w:r>
      <w:r>
        <w:rPr>
          <w:sz w:val="22"/>
        </w:rPr>
        <w:t>western</w:t>
      </w:r>
      <w:r>
        <w:rPr>
          <w:spacing w:val="-8"/>
          <w:sz w:val="22"/>
        </w:rPr>
        <w:t> </w:t>
      </w:r>
      <w:r>
        <w:rPr>
          <w:sz w:val="22"/>
        </w:rPr>
        <w:t>white</w:t>
      </w:r>
      <w:r>
        <w:rPr>
          <w:spacing w:val="-9"/>
          <w:sz w:val="22"/>
        </w:rPr>
        <w:t> </w:t>
      </w:r>
      <w:r>
        <w:rPr>
          <w:sz w:val="22"/>
        </w:rPr>
        <w:t>pine</w:t>
      </w:r>
      <w:r>
        <w:rPr>
          <w:spacing w:val="-6"/>
          <w:sz w:val="22"/>
        </w:rPr>
        <w:t> </w:t>
      </w:r>
      <w:r>
        <w:rPr>
          <w:sz w:val="22"/>
        </w:rPr>
        <w:t>or</w:t>
      </w:r>
      <w:r>
        <w:rPr>
          <w:spacing w:val="-9"/>
          <w:sz w:val="22"/>
        </w:rPr>
        <w:t> </w:t>
      </w:r>
      <w:r>
        <w:rPr>
          <w:sz w:val="22"/>
        </w:rPr>
        <w:t>whitebark</w:t>
      </w:r>
      <w:r>
        <w:rPr>
          <w:spacing w:val="-6"/>
          <w:sz w:val="22"/>
        </w:rPr>
        <w:t> </w:t>
      </w:r>
      <w:r>
        <w:rPr>
          <w:spacing w:val="-2"/>
          <w:sz w:val="22"/>
        </w:rPr>
        <w:t>pine;</w:t>
      </w:r>
    </w:p>
    <w:p>
      <w:pPr>
        <w:pStyle w:val="ListParagraph"/>
        <w:numPr>
          <w:ilvl w:val="0"/>
          <w:numId w:val="30"/>
        </w:numPr>
        <w:tabs>
          <w:tab w:pos="1331" w:val="left" w:leader="none"/>
        </w:tabs>
        <w:spacing w:line="240" w:lineRule="auto" w:before="111" w:after="0"/>
        <w:ind w:left="1331" w:right="0" w:hanging="360"/>
        <w:jc w:val="left"/>
        <w:rPr>
          <w:sz w:val="22"/>
        </w:rPr>
      </w:pPr>
      <w:r>
        <w:rPr>
          <w:sz w:val="22"/>
        </w:rPr>
        <w:t>Pruning</w:t>
      </w:r>
      <w:r>
        <w:rPr>
          <w:spacing w:val="-7"/>
          <w:sz w:val="22"/>
        </w:rPr>
        <w:t> </w:t>
      </w:r>
      <w:r>
        <w:rPr>
          <w:sz w:val="22"/>
        </w:rPr>
        <w:t>of</w:t>
      </w:r>
      <w:r>
        <w:rPr>
          <w:spacing w:val="-8"/>
          <w:sz w:val="22"/>
        </w:rPr>
        <w:t> </w:t>
      </w:r>
      <w:r>
        <w:rPr>
          <w:sz w:val="22"/>
        </w:rPr>
        <w:t>western</w:t>
      </w:r>
      <w:r>
        <w:rPr>
          <w:spacing w:val="-5"/>
          <w:sz w:val="22"/>
        </w:rPr>
        <w:t> </w:t>
      </w:r>
      <w:r>
        <w:rPr>
          <w:sz w:val="22"/>
        </w:rPr>
        <w:t>white</w:t>
      </w:r>
      <w:r>
        <w:rPr>
          <w:spacing w:val="-5"/>
          <w:sz w:val="22"/>
        </w:rPr>
        <w:t> </w:t>
      </w:r>
      <w:r>
        <w:rPr>
          <w:sz w:val="22"/>
        </w:rPr>
        <w:t>pine</w:t>
      </w:r>
      <w:r>
        <w:rPr>
          <w:spacing w:val="-5"/>
          <w:sz w:val="22"/>
        </w:rPr>
        <w:t> </w:t>
      </w:r>
      <w:r>
        <w:rPr>
          <w:sz w:val="22"/>
        </w:rPr>
        <w:t>to</w:t>
      </w:r>
      <w:r>
        <w:rPr>
          <w:spacing w:val="-7"/>
          <w:sz w:val="22"/>
        </w:rPr>
        <w:t> </w:t>
      </w:r>
      <w:r>
        <w:rPr>
          <w:sz w:val="22"/>
        </w:rPr>
        <w:t>reduce</w:t>
      </w:r>
      <w:r>
        <w:rPr>
          <w:spacing w:val="-4"/>
          <w:sz w:val="22"/>
        </w:rPr>
        <w:t> </w:t>
      </w:r>
      <w:r>
        <w:rPr>
          <w:sz w:val="22"/>
        </w:rPr>
        <w:t>vulnerability</w:t>
      </w:r>
      <w:r>
        <w:rPr>
          <w:spacing w:val="-7"/>
          <w:sz w:val="22"/>
        </w:rPr>
        <w:t> </w:t>
      </w:r>
      <w:r>
        <w:rPr>
          <w:sz w:val="22"/>
        </w:rPr>
        <w:t>to</w:t>
      </w:r>
      <w:r>
        <w:rPr>
          <w:spacing w:val="-7"/>
          <w:sz w:val="22"/>
        </w:rPr>
        <w:t> </w:t>
      </w:r>
      <w:r>
        <w:rPr>
          <w:sz w:val="22"/>
        </w:rPr>
        <w:t>white</w:t>
      </w:r>
      <w:r>
        <w:rPr>
          <w:spacing w:val="-5"/>
          <w:sz w:val="22"/>
        </w:rPr>
        <w:t> </w:t>
      </w:r>
      <w:r>
        <w:rPr>
          <w:sz w:val="22"/>
        </w:rPr>
        <w:t>pine</w:t>
      </w:r>
      <w:r>
        <w:rPr>
          <w:spacing w:val="-7"/>
          <w:sz w:val="22"/>
        </w:rPr>
        <w:t> </w:t>
      </w:r>
      <w:r>
        <w:rPr>
          <w:sz w:val="22"/>
        </w:rPr>
        <w:t>blister</w:t>
      </w:r>
      <w:r>
        <w:rPr>
          <w:spacing w:val="-7"/>
          <w:sz w:val="22"/>
        </w:rPr>
        <w:t> </w:t>
      </w:r>
      <w:r>
        <w:rPr>
          <w:spacing w:val="-2"/>
          <w:sz w:val="22"/>
        </w:rPr>
        <w:t>rust;</w:t>
      </w:r>
    </w:p>
    <w:p>
      <w:pPr>
        <w:pStyle w:val="ListParagraph"/>
        <w:numPr>
          <w:ilvl w:val="0"/>
          <w:numId w:val="30"/>
        </w:numPr>
        <w:tabs>
          <w:tab w:pos="1331" w:val="left" w:leader="none"/>
        </w:tabs>
        <w:spacing w:line="240" w:lineRule="auto" w:before="111" w:after="0"/>
        <w:ind w:left="1331" w:right="0" w:hanging="360"/>
        <w:jc w:val="left"/>
        <w:rPr>
          <w:sz w:val="22"/>
        </w:rPr>
      </w:pPr>
      <w:r>
        <w:rPr>
          <w:sz w:val="22"/>
        </w:rPr>
        <w:t>Pruning</w:t>
      </w:r>
      <w:r>
        <w:rPr>
          <w:spacing w:val="-6"/>
          <w:sz w:val="22"/>
        </w:rPr>
        <w:t> </w:t>
      </w:r>
      <w:r>
        <w:rPr>
          <w:sz w:val="22"/>
        </w:rPr>
        <w:t>or</w:t>
      </w:r>
      <w:r>
        <w:rPr>
          <w:spacing w:val="-6"/>
          <w:sz w:val="22"/>
        </w:rPr>
        <w:t> </w:t>
      </w:r>
      <w:r>
        <w:rPr>
          <w:sz w:val="22"/>
        </w:rPr>
        <w:t>girdling</w:t>
      </w:r>
      <w:r>
        <w:rPr>
          <w:spacing w:val="-7"/>
          <w:sz w:val="22"/>
        </w:rPr>
        <w:t> </w:t>
      </w:r>
      <w:r>
        <w:rPr>
          <w:sz w:val="22"/>
        </w:rPr>
        <w:t>trees</w:t>
      </w:r>
      <w:r>
        <w:rPr>
          <w:spacing w:val="-6"/>
          <w:sz w:val="22"/>
        </w:rPr>
        <w:t> </w:t>
      </w:r>
      <w:r>
        <w:rPr>
          <w:sz w:val="22"/>
        </w:rPr>
        <w:t>to</w:t>
      </w:r>
      <w:r>
        <w:rPr>
          <w:spacing w:val="-7"/>
          <w:sz w:val="22"/>
        </w:rPr>
        <w:t> </w:t>
      </w:r>
      <w:r>
        <w:rPr>
          <w:sz w:val="22"/>
        </w:rPr>
        <w:t>reduce</w:t>
      </w:r>
      <w:r>
        <w:rPr>
          <w:spacing w:val="-5"/>
          <w:sz w:val="22"/>
        </w:rPr>
        <w:t> </w:t>
      </w:r>
      <w:r>
        <w:rPr>
          <w:sz w:val="22"/>
        </w:rPr>
        <w:t>dwarf</w:t>
      </w:r>
      <w:r>
        <w:rPr>
          <w:spacing w:val="-8"/>
          <w:sz w:val="22"/>
        </w:rPr>
        <w:t> </w:t>
      </w:r>
      <w:r>
        <w:rPr>
          <w:sz w:val="22"/>
        </w:rPr>
        <w:t>mistletoe</w:t>
      </w:r>
      <w:r>
        <w:rPr>
          <w:spacing w:val="-7"/>
          <w:sz w:val="22"/>
        </w:rPr>
        <w:t> </w:t>
      </w:r>
      <w:r>
        <w:rPr>
          <w:spacing w:val="-2"/>
          <w:sz w:val="22"/>
        </w:rPr>
        <w:t>infections;</w:t>
      </w:r>
    </w:p>
    <w:p>
      <w:pPr>
        <w:pStyle w:val="ListParagraph"/>
        <w:numPr>
          <w:ilvl w:val="0"/>
          <w:numId w:val="30"/>
        </w:numPr>
        <w:tabs>
          <w:tab w:pos="1331" w:val="left" w:leader="none"/>
        </w:tabs>
        <w:spacing w:line="240" w:lineRule="auto" w:before="113" w:after="0"/>
        <w:ind w:left="1331" w:right="0" w:hanging="360"/>
        <w:jc w:val="left"/>
        <w:rPr>
          <w:sz w:val="22"/>
        </w:rPr>
      </w:pPr>
      <w:r>
        <w:rPr>
          <w:sz w:val="22"/>
        </w:rPr>
        <w:t>Maintenance</w:t>
      </w:r>
      <w:r>
        <w:rPr>
          <w:spacing w:val="-11"/>
          <w:sz w:val="22"/>
        </w:rPr>
        <w:t> </w:t>
      </w:r>
      <w:r>
        <w:rPr>
          <w:sz w:val="22"/>
        </w:rPr>
        <w:t>or</w:t>
      </w:r>
      <w:r>
        <w:rPr>
          <w:spacing w:val="-9"/>
          <w:sz w:val="22"/>
        </w:rPr>
        <w:t> </w:t>
      </w:r>
      <w:r>
        <w:rPr>
          <w:sz w:val="22"/>
        </w:rPr>
        <w:t>restoration</w:t>
      </w:r>
      <w:r>
        <w:rPr>
          <w:spacing w:val="-9"/>
          <w:sz w:val="22"/>
        </w:rPr>
        <w:t> </w:t>
      </w:r>
      <w:r>
        <w:rPr>
          <w:sz w:val="22"/>
        </w:rPr>
        <w:t>of</w:t>
      </w:r>
      <w:r>
        <w:rPr>
          <w:spacing w:val="-7"/>
          <w:sz w:val="22"/>
        </w:rPr>
        <w:t> </w:t>
      </w:r>
      <w:r>
        <w:rPr>
          <w:sz w:val="22"/>
        </w:rPr>
        <w:t>rare</w:t>
      </w:r>
      <w:r>
        <w:rPr>
          <w:spacing w:val="-7"/>
          <w:sz w:val="22"/>
        </w:rPr>
        <w:t> </w:t>
      </w:r>
      <w:r>
        <w:rPr>
          <w:sz w:val="22"/>
        </w:rPr>
        <w:t>plant</w:t>
      </w:r>
      <w:r>
        <w:rPr>
          <w:spacing w:val="-6"/>
          <w:sz w:val="22"/>
        </w:rPr>
        <w:t> </w:t>
      </w:r>
      <w:r>
        <w:rPr>
          <w:sz w:val="22"/>
        </w:rPr>
        <w:t>habitat</w:t>
      </w:r>
      <w:r>
        <w:rPr>
          <w:spacing w:val="-6"/>
          <w:sz w:val="22"/>
        </w:rPr>
        <w:t> </w:t>
      </w:r>
      <w:r>
        <w:rPr>
          <w:sz w:val="22"/>
        </w:rPr>
        <w:t>and</w:t>
      </w:r>
      <w:r>
        <w:rPr>
          <w:spacing w:val="-8"/>
          <w:sz w:val="22"/>
        </w:rPr>
        <w:t> </w:t>
      </w:r>
      <w:r>
        <w:rPr>
          <w:sz w:val="22"/>
        </w:rPr>
        <w:t>special</w:t>
      </w:r>
      <w:r>
        <w:rPr>
          <w:spacing w:val="-7"/>
          <w:sz w:val="22"/>
        </w:rPr>
        <w:t> </w:t>
      </w:r>
      <w:r>
        <w:rPr>
          <w:sz w:val="22"/>
        </w:rPr>
        <w:t>and</w:t>
      </w:r>
      <w:r>
        <w:rPr>
          <w:spacing w:val="-7"/>
          <w:sz w:val="22"/>
        </w:rPr>
        <w:t> </w:t>
      </w:r>
      <w:r>
        <w:rPr>
          <w:sz w:val="22"/>
        </w:rPr>
        <w:t>unique</w:t>
      </w:r>
      <w:r>
        <w:rPr>
          <w:spacing w:val="-7"/>
          <w:sz w:val="22"/>
        </w:rPr>
        <w:t> </w:t>
      </w:r>
      <w:r>
        <w:rPr>
          <w:sz w:val="22"/>
        </w:rPr>
        <w:t>natural</w:t>
      </w:r>
      <w:r>
        <w:rPr>
          <w:spacing w:val="-6"/>
          <w:sz w:val="22"/>
        </w:rPr>
        <w:t> </w:t>
      </w:r>
      <w:r>
        <w:rPr>
          <w:spacing w:val="-2"/>
          <w:sz w:val="22"/>
        </w:rPr>
        <w:t>communities;</w:t>
      </w:r>
    </w:p>
    <w:p>
      <w:pPr>
        <w:pStyle w:val="ListParagraph"/>
        <w:numPr>
          <w:ilvl w:val="0"/>
          <w:numId w:val="30"/>
        </w:numPr>
        <w:tabs>
          <w:tab w:pos="1331" w:val="left" w:leader="none"/>
        </w:tabs>
        <w:spacing w:line="240" w:lineRule="auto" w:before="110" w:after="0"/>
        <w:ind w:left="1331" w:right="0" w:hanging="360"/>
        <w:jc w:val="left"/>
        <w:rPr>
          <w:sz w:val="22"/>
        </w:rPr>
      </w:pPr>
      <w:r>
        <w:rPr>
          <w:spacing w:val="-2"/>
          <w:sz w:val="22"/>
        </w:rPr>
        <w:t>Planting</w:t>
      </w:r>
      <w:r>
        <w:rPr>
          <w:spacing w:val="3"/>
          <w:sz w:val="22"/>
        </w:rPr>
        <w:t> </w:t>
      </w:r>
      <w:r>
        <w:rPr>
          <w:spacing w:val="-2"/>
          <w:sz w:val="22"/>
        </w:rPr>
        <w:t>shade-intolerant,</w:t>
      </w:r>
      <w:r>
        <w:rPr>
          <w:spacing w:val="7"/>
          <w:sz w:val="22"/>
        </w:rPr>
        <w:t> </w:t>
      </w:r>
      <w:r>
        <w:rPr>
          <w:spacing w:val="-2"/>
          <w:sz w:val="22"/>
        </w:rPr>
        <w:t>fire-adapted,</w:t>
      </w:r>
      <w:r>
        <w:rPr>
          <w:spacing w:val="5"/>
          <w:sz w:val="22"/>
        </w:rPr>
        <w:t> </w:t>
      </w:r>
      <w:r>
        <w:rPr>
          <w:spacing w:val="-2"/>
          <w:sz w:val="22"/>
        </w:rPr>
        <w:t>drought</w:t>
      </w:r>
      <w:r>
        <w:rPr>
          <w:spacing w:val="8"/>
          <w:sz w:val="22"/>
        </w:rPr>
        <w:t> </w:t>
      </w:r>
      <w:r>
        <w:rPr>
          <w:spacing w:val="-2"/>
          <w:sz w:val="22"/>
        </w:rPr>
        <w:t>resistant</w:t>
      </w:r>
      <w:r>
        <w:rPr>
          <w:spacing w:val="8"/>
          <w:sz w:val="22"/>
        </w:rPr>
        <w:t> </w:t>
      </w:r>
      <w:r>
        <w:rPr>
          <w:spacing w:val="-2"/>
          <w:sz w:val="22"/>
        </w:rPr>
        <w:t>species;</w:t>
      </w:r>
    </w:p>
    <w:p>
      <w:pPr>
        <w:pStyle w:val="ListParagraph"/>
        <w:numPr>
          <w:ilvl w:val="0"/>
          <w:numId w:val="30"/>
        </w:numPr>
        <w:tabs>
          <w:tab w:pos="1331" w:val="left" w:leader="none"/>
        </w:tabs>
        <w:spacing w:line="232" w:lineRule="auto" w:before="117" w:after="0"/>
        <w:ind w:left="1331" w:right="1126" w:hanging="360"/>
        <w:jc w:val="left"/>
        <w:rPr>
          <w:sz w:val="22"/>
        </w:rPr>
      </w:pPr>
      <w:r>
        <w:rPr>
          <w:sz w:val="22"/>
        </w:rPr>
        <w:t>Managing</w:t>
      </w:r>
      <w:r>
        <w:rPr>
          <w:spacing w:val="-7"/>
          <w:sz w:val="22"/>
        </w:rPr>
        <w:t> </w:t>
      </w:r>
      <w:r>
        <w:rPr>
          <w:sz w:val="22"/>
        </w:rPr>
        <w:t>stands</w:t>
      </w:r>
      <w:r>
        <w:rPr>
          <w:spacing w:val="-6"/>
          <w:sz w:val="22"/>
        </w:rPr>
        <w:t> </w:t>
      </w:r>
      <w:r>
        <w:rPr>
          <w:sz w:val="22"/>
        </w:rPr>
        <w:t>to</w:t>
      </w:r>
      <w:r>
        <w:rPr>
          <w:spacing w:val="-7"/>
          <w:sz w:val="22"/>
        </w:rPr>
        <w:t> </w:t>
      </w:r>
      <w:r>
        <w:rPr>
          <w:sz w:val="22"/>
        </w:rPr>
        <w:t>retain</w:t>
      </w:r>
      <w:r>
        <w:rPr>
          <w:spacing w:val="-9"/>
          <w:sz w:val="22"/>
        </w:rPr>
        <w:t> </w:t>
      </w:r>
      <w:r>
        <w:rPr>
          <w:sz w:val="22"/>
        </w:rPr>
        <w:t>or</w:t>
      </w:r>
      <w:r>
        <w:rPr>
          <w:spacing w:val="-8"/>
          <w:sz w:val="22"/>
        </w:rPr>
        <w:t> </w:t>
      </w:r>
      <w:r>
        <w:rPr>
          <w:sz w:val="22"/>
        </w:rPr>
        <w:t>move</w:t>
      </w:r>
      <w:r>
        <w:rPr>
          <w:spacing w:val="-5"/>
          <w:sz w:val="22"/>
        </w:rPr>
        <w:t> </w:t>
      </w:r>
      <w:r>
        <w:rPr>
          <w:sz w:val="22"/>
        </w:rPr>
        <w:t>toward</w:t>
      </w:r>
      <w:r>
        <w:rPr>
          <w:spacing w:val="-7"/>
          <w:sz w:val="22"/>
        </w:rPr>
        <w:t> </w:t>
      </w:r>
      <w:r>
        <w:rPr>
          <w:sz w:val="22"/>
        </w:rPr>
        <w:t>late</w:t>
      </w:r>
      <w:r>
        <w:rPr>
          <w:spacing w:val="-5"/>
          <w:sz w:val="22"/>
        </w:rPr>
        <w:t> </w:t>
      </w:r>
      <w:r>
        <w:rPr>
          <w:sz w:val="22"/>
        </w:rPr>
        <w:t>seral</w:t>
      </w:r>
      <w:r>
        <w:rPr>
          <w:spacing w:val="-6"/>
          <w:sz w:val="22"/>
        </w:rPr>
        <w:t> </w:t>
      </w:r>
      <w:r>
        <w:rPr>
          <w:sz w:val="22"/>
        </w:rPr>
        <w:t>structure</w:t>
      </w:r>
      <w:r>
        <w:rPr>
          <w:spacing w:val="-8"/>
          <w:sz w:val="22"/>
        </w:rPr>
        <w:t> </w:t>
      </w:r>
      <w:r>
        <w:rPr>
          <w:sz w:val="22"/>
        </w:rPr>
        <w:t>where</w:t>
      </w:r>
      <w:r>
        <w:rPr>
          <w:spacing w:val="-5"/>
          <w:sz w:val="22"/>
        </w:rPr>
        <w:t> </w:t>
      </w:r>
      <w:r>
        <w:rPr>
          <w:sz w:val="22"/>
        </w:rPr>
        <w:t>the</w:t>
      </w:r>
      <w:r>
        <w:rPr>
          <w:spacing w:val="-5"/>
          <w:sz w:val="22"/>
        </w:rPr>
        <w:t> </w:t>
      </w:r>
      <w:r>
        <w:rPr>
          <w:sz w:val="22"/>
        </w:rPr>
        <w:t>landscape</w:t>
      </w:r>
      <w:r>
        <w:rPr>
          <w:spacing w:val="-5"/>
          <w:sz w:val="22"/>
        </w:rPr>
        <w:t> </w:t>
      </w:r>
      <w:r>
        <w:rPr>
          <w:sz w:val="22"/>
        </w:rPr>
        <w:t>is deficient in late seral structure (below HRV);</w:t>
      </w:r>
    </w:p>
    <w:p>
      <w:pPr>
        <w:pStyle w:val="ListParagraph"/>
        <w:numPr>
          <w:ilvl w:val="0"/>
          <w:numId w:val="30"/>
        </w:numPr>
        <w:tabs>
          <w:tab w:pos="1331" w:val="left" w:leader="none"/>
        </w:tabs>
        <w:spacing w:line="232" w:lineRule="auto" w:before="120" w:after="0"/>
        <w:ind w:left="1331" w:right="1108" w:hanging="360"/>
        <w:jc w:val="left"/>
        <w:rPr>
          <w:sz w:val="22"/>
        </w:rPr>
      </w:pPr>
      <w:r>
        <w:rPr>
          <w:sz w:val="22"/>
        </w:rPr>
        <w:t>Management</w:t>
      </w:r>
      <w:r>
        <w:rPr>
          <w:spacing w:val="-8"/>
          <w:sz w:val="22"/>
        </w:rPr>
        <w:t> </w:t>
      </w:r>
      <w:r>
        <w:rPr>
          <w:sz w:val="22"/>
        </w:rPr>
        <w:t>or</w:t>
      </w:r>
      <w:r>
        <w:rPr>
          <w:spacing w:val="-6"/>
          <w:sz w:val="22"/>
        </w:rPr>
        <w:t> </w:t>
      </w:r>
      <w:r>
        <w:rPr>
          <w:sz w:val="22"/>
        </w:rPr>
        <w:t>treatment</w:t>
      </w:r>
      <w:r>
        <w:rPr>
          <w:spacing w:val="-10"/>
          <w:sz w:val="22"/>
        </w:rPr>
        <w:t> </w:t>
      </w:r>
      <w:r>
        <w:rPr>
          <w:sz w:val="22"/>
        </w:rPr>
        <w:t>of</w:t>
      </w:r>
      <w:r>
        <w:rPr>
          <w:spacing w:val="-5"/>
          <w:sz w:val="22"/>
        </w:rPr>
        <w:t> </w:t>
      </w:r>
      <w:r>
        <w:rPr>
          <w:sz w:val="22"/>
        </w:rPr>
        <w:t>insects</w:t>
      </w:r>
      <w:r>
        <w:rPr>
          <w:spacing w:val="-6"/>
          <w:sz w:val="22"/>
        </w:rPr>
        <w:t> </w:t>
      </w:r>
      <w:r>
        <w:rPr>
          <w:sz w:val="22"/>
        </w:rPr>
        <w:t>and</w:t>
      </w:r>
      <w:r>
        <w:rPr>
          <w:spacing w:val="-7"/>
          <w:sz w:val="22"/>
        </w:rPr>
        <w:t> </w:t>
      </w:r>
      <w:r>
        <w:rPr>
          <w:sz w:val="22"/>
        </w:rPr>
        <w:t>diseases</w:t>
      </w:r>
      <w:r>
        <w:rPr>
          <w:spacing w:val="-8"/>
          <w:sz w:val="22"/>
        </w:rPr>
        <w:t> </w:t>
      </w:r>
      <w:r>
        <w:rPr>
          <w:sz w:val="22"/>
        </w:rPr>
        <w:t>using</w:t>
      </w:r>
      <w:r>
        <w:rPr>
          <w:spacing w:val="-7"/>
          <w:sz w:val="22"/>
        </w:rPr>
        <w:t> </w:t>
      </w:r>
      <w:r>
        <w:rPr>
          <w:sz w:val="22"/>
        </w:rPr>
        <w:t>integrated</w:t>
      </w:r>
      <w:r>
        <w:rPr>
          <w:spacing w:val="-7"/>
          <w:sz w:val="22"/>
        </w:rPr>
        <w:t> </w:t>
      </w:r>
      <w:r>
        <w:rPr>
          <w:sz w:val="22"/>
        </w:rPr>
        <w:t>pest</w:t>
      </w:r>
      <w:r>
        <w:rPr>
          <w:spacing w:val="-8"/>
          <w:sz w:val="22"/>
        </w:rPr>
        <w:t> </w:t>
      </w:r>
      <w:r>
        <w:rPr>
          <w:sz w:val="22"/>
        </w:rPr>
        <w:t>management </w:t>
      </w:r>
      <w:r>
        <w:rPr>
          <w:spacing w:val="-2"/>
          <w:sz w:val="22"/>
        </w:rPr>
        <w:t>techniques;</w:t>
      </w:r>
    </w:p>
    <w:p>
      <w:pPr>
        <w:pStyle w:val="ListParagraph"/>
        <w:numPr>
          <w:ilvl w:val="0"/>
          <w:numId w:val="30"/>
        </w:numPr>
        <w:tabs>
          <w:tab w:pos="1332" w:val="left" w:leader="none"/>
        </w:tabs>
        <w:spacing w:line="232" w:lineRule="auto" w:before="120" w:after="0"/>
        <w:ind w:left="1332" w:right="1040" w:hanging="361"/>
        <w:jc w:val="left"/>
        <w:rPr>
          <w:sz w:val="22"/>
        </w:rPr>
      </w:pPr>
      <w:r>
        <w:rPr>
          <w:sz w:val="22"/>
        </w:rPr>
        <w:t>Commercial</w:t>
      </w:r>
      <w:r>
        <w:rPr>
          <w:spacing w:val="-10"/>
          <w:sz w:val="22"/>
        </w:rPr>
        <w:t> </w:t>
      </w:r>
      <w:r>
        <w:rPr>
          <w:sz w:val="22"/>
        </w:rPr>
        <w:t>timber</w:t>
      </w:r>
      <w:r>
        <w:rPr>
          <w:spacing w:val="-8"/>
          <w:sz w:val="22"/>
        </w:rPr>
        <w:t> </w:t>
      </w:r>
      <w:r>
        <w:rPr>
          <w:sz w:val="22"/>
        </w:rPr>
        <w:t>harvest</w:t>
      </w:r>
      <w:r>
        <w:rPr>
          <w:spacing w:val="-10"/>
          <w:sz w:val="22"/>
        </w:rPr>
        <w:t> </w:t>
      </w:r>
      <w:r>
        <w:rPr>
          <w:sz w:val="22"/>
        </w:rPr>
        <w:t>to</w:t>
      </w:r>
      <w:r>
        <w:rPr>
          <w:spacing w:val="-9"/>
          <w:sz w:val="22"/>
        </w:rPr>
        <w:t> </w:t>
      </w:r>
      <w:r>
        <w:rPr>
          <w:sz w:val="22"/>
        </w:rPr>
        <w:t>move</w:t>
      </w:r>
      <w:r>
        <w:rPr>
          <w:spacing w:val="-10"/>
          <w:sz w:val="22"/>
        </w:rPr>
        <w:t> </w:t>
      </w:r>
      <w:r>
        <w:rPr>
          <w:sz w:val="22"/>
        </w:rPr>
        <w:t>toward</w:t>
      </w:r>
      <w:r>
        <w:rPr>
          <w:spacing w:val="-11"/>
          <w:sz w:val="22"/>
        </w:rPr>
        <w:t> </w:t>
      </w:r>
      <w:r>
        <w:rPr>
          <w:sz w:val="22"/>
        </w:rPr>
        <w:t>HRV,</w:t>
      </w:r>
      <w:r>
        <w:rPr>
          <w:spacing w:val="-10"/>
          <w:sz w:val="22"/>
        </w:rPr>
        <w:t> </w:t>
      </w:r>
      <w:r>
        <w:rPr>
          <w:sz w:val="22"/>
        </w:rPr>
        <w:t>improve</w:t>
      </w:r>
      <w:r>
        <w:rPr>
          <w:spacing w:val="-10"/>
          <w:sz w:val="22"/>
        </w:rPr>
        <w:t> </w:t>
      </w:r>
      <w:r>
        <w:rPr>
          <w:sz w:val="22"/>
        </w:rPr>
        <w:t>wildlife</w:t>
      </w:r>
      <w:r>
        <w:rPr>
          <w:spacing w:val="-7"/>
          <w:sz w:val="22"/>
        </w:rPr>
        <w:t> </w:t>
      </w:r>
      <w:r>
        <w:rPr>
          <w:sz w:val="22"/>
        </w:rPr>
        <w:t>habitat,</w:t>
      </w:r>
      <w:r>
        <w:rPr>
          <w:spacing w:val="-8"/>
          <w:sz w:val="22"/>
        </w:rPr>
        <w:t> </w:t>
      </w:r>
      <w:r>
        <w:rPr>
          <w:sz w:val="22"/>
        </w:rPr>
        <w:t>and</w:t>
      </w:r>
      <w:r>
        <w:rPr>
          <w:spacing w:val="-9"/>
          <w:sz w:val="22"/>
        </w:rPr>
        <w:t> </w:t>
      </w:r>
      <w:r>
        <w:rPr>
          <w:sz w:val="22"/>
        </w:rPr>
        <w:t>achieve desired conditions.</w:t>
      </w:r>
    </w:p>
    <w:p>
      <w:pPr>
        <w:pStyle w:val="Heading4"/>
        <w:spacing w:before="232"/>
        <w:ind w:left="791"/>
      </w:pPr>
      <w:bookmarkStart w:name="Fire Management" w:id="942"/>
      <w:bookmarkEnd w:id="942"/>
      <w:r>
        <w:rPr/>
      </w:r>
      <w:bookmarkStart w:name="_bookmark287" w:id="943"/>
      <w:bookmarkEnd w:id="943"/>
      <w:r>
        <w:rPr/>
      </w:r>
      <w:r>
        <w:rPr/>
        <w:t>Fire</w:t>
      </w:r>
      <w:r>
        <w:rPr>
          <w:spacing w:val="-2"/>
        </w:rPr>
        <w:t> Management</w:t>
      </w:r>
    </w:p>
    <w:p>
      <w:pPr>
        <w:pStyle w:val="BodyText"/>
        <w:spacing w:before="59"/>
        <w:ind w:left="791"/>
      </w:pPr>
      <w:r>
        <w:rPr/>
        <w:t>Actions</w:t>
      </w:r>
      <w:r>
        <w:rPr>
          <w:spacing w:val="-8"/>
        </w:rPr>
        <w:t> </w:t>
      </w:r>
      <w:r>
        <w:rPr/>
        <w:t>related</w:t>
      </w:r>
      <w:r>
        <w:rPr>
          <w:spacing w:val="-6"/>
        </w:rPr>
        <w:t> </w:t>
      </w:r>
      <w:r>
        <w:rPr/>
        <w:t>to</w:t>
      </w:r>
      <w:r>
        <w:rPr>
          <w:spacing w:val="-5"/>
        </w:rPr>
        <w:t> </w:t>
      </w:r>
      <w:r>
        <w:rPr/>
        <w:t>treatment</w:t>
      </w:r>
      <w:r>
        <w:rPr>
          <w:spacing w:val="-4"/>
        </w:rPr>
        <w:t> </w:t>
      </w:r>
      <w:r>
        <w:rPr/>
        <w:t>of</w:t>
      </w:r>
      <w:r>
        <w:rPr>
          <w:spacing w:val="-6"/>
        </w:rPr>
        <w:t> </w:t>
      </w:r>
      <w:r>
        <w:rPr/>
        <w:t>fuels</w:t>
      </w:r>
      <w:r>
        <w:rPr>
          <w:spacing w:val="-5"/>
        </w:rPr>
        <w:t> </w:t>
      </w:r>
      <w:r>
        <w:rPr/>
        <w:t>will</w:t>
      </w:r>
      <w:r>
        <w:rPr>
          <w:spacing w:val="-6"/>
        </w:rPr>
        <w:t> </w:t>
      </w:r>
      <w:r>
        <w:rPr/>
        <w:t>include</w:t>
      </w:r>
      <w:r>
        <w:rPr>
          <w:spacing w:val="-4"/>
        </w:rPr>
        <w:t> </w:t>
      </w:r>
      <w:r>
        <w:rPr/>
        <w:t>the</w:t>
      </w:r>
      <w:r>
        <w:rPr>
          <w:spacing w:val="-7"/>
        </w:rPr>
        <w:t> </w:t>
      </w:r>
      <w:r>
        <w:rPr>
          <w:spacing w:val="-2"/>
        </w:rPr>
        <w:t>following:</w:t>
      </w:r>
    </w:p>
    <w:p>
      <w:pPr>
        <w:pStyle w:val="ListParagraph"/>
        <w:numPr>
          <w:ilvl w:val="0"/>
          <w:numId w:val="30"/>
        </w:numPr>
        <w:tabs>
          <w:tab w:pos="1331" w:val="left" w:leader="none"/>
        </w:tabs>
        <w:spacing w:line="240" w:lineRule="auto" w:before="192" w:after="0"/>
        <w:ind w:left="1331" w:right="0" w:hanging="360"/>
        <w:jc w:val="left"/>
        <w:rPr>
          <w:sz w:val="22"/>
        </w:rPr>
      </w:pPr>
      <w:r>
        <w:rPr>
          <w:sz w:val="22"/>
        </w:rPr>
        <w:t>Planned</w:t>
      </w:r>
      <w:r>
        <w:rPr>
          <w:spacing w:val="-4"/>
          <w:sz w:val="22"/>
        </w:rPr>
        <w:t> </w:t>
      </w:r>
      <w:r>
        <w:rPr>
          <w:spacing w:val="-2"/>
          <w:sz w:val="22"/>
        </w:rPr>
        <w:t>ignitions;</w:t>
      </w:r>
    </w:p>
    <w:p>
      <w:pPr>
        <w:pStyle w:val="ListParagraph"/>
        <w:numPr>
          <w:ilvl w:val="0"/>
          <w:numId w:val="30"/>
        </w:numPr>
        <w:tabs>
          <w:tab w:pos="1332" w:val="left" w:leader="none"/>
        </w:tabs>
        <w:spacing w:line="232" w:lineRule="auto" w:before="117" w:after="0"/>
        <w:ind w:left="1332" w:right="607" w:hanging="360"/>
        <w:jc w:val="left"/>
        <w:rPr>
          <w:sz w:val="22"/>
        </w:rPr>
      </w:pPr>
      <w:r>
        <w:rPr>
          <w:sz w:val="22"/>
        </w:rPr>
        <w:t>Mechanical</w:t>
      </w:r>
      <w:r>
        <w:rPr>
          <w:spacing w:val="-10"/>
          <w:sz w:val="22"/>
        </w:rPr>
        <w:t> </w:t>
      </w:r>
      <w:r>
        <w:rPr>
          <w:sz w:val="22"/>
        </w:rPr>
        <w:t>treatments,</w:t>
      </w:r>
      <w:r>
        <w:rPr>
          <w:spacing w:val="-7"/>
          <w:sz w:val="22"/>
        </w:rPr>
        <w:t> </w:t>
      </w:r>
      <w:r>
        <w:rPr>
          <w:sz w:val="22"/>
        </w:rPr>
        <w:t>including</w:t>
      </w:r>
      <w:r>
        <w:rPr>
          <w:spacing w:val="-8"/>
          <w:sz w:val="22"/>
        </w:rPr>
        <w:t> </w:t>
      </w:r>
      <w:r>
        <w:rPr>
          <w:sz w:val="22"/>
        </w:rPr>
        <w:t>commercial</w:t>
      </w:r>
      <w:r>
        <w:rPr>
          <w:spacing w:val="-7"/>
          <w:sz w:val="22"/>
        </w:rPr>
        <w:t> </w:t>
      </w:r>
      <w:r>
        <w:rPr>
          <w:sz w:val="22"/>
        </w:rPr>
        <w:t>timber</w:t>
      </w:r>
      <w:r>
        <w:rPr>
          <w:spacing w:val="-9"/>
          <w:sz w:val="22"/>
        </w:rPr>
        <w:t> </w:t>
      </w:r>
      <w:r>
        <w:rPr>
          <w:sz w:val="22"/>
        </w:rPr>
        <w:t>sales</w:t>
      </w:r>
      <w:r>
        <w:rPr>
          <w:spacing w:val="-7"/>
          <w:sz w:val="22"/>
        </w:rPr>
        <w:t> </w:t>
      </w:r>
      <w:r>
        <w:rPr>
          <w:sz w:val="22"/>
        </w:rPr>
        <w:t>and</w:t>
      </w:r>
      <w:r>
        <w:rPr>
          <w:spacing w:val="-8"/>
          <w:sz w:val="22"/>
        </w:rPr>
        <w:t> </w:t>
      </w:r>
      <w:r>
        <w:rPr>
          <w:sz w:val="22"/>
        </w:rPr>
        <w:t>noncommercial</w:t>
      </w:r>
      <w:r>
        <w:rPr>
          <w:spacing w:val="-10"/>
          <w:sz w:val="22"/>
        </w:rPr>
        <w:t> </w:t>
      </w:r>
      <w:r>
        <w:rPr>
          <w:sz w:val="22"/>
        </w:rPr>
        <w:t>treatments; </w:t>
      </w:r>
      <w:r>
        <w:rPr>
          <w:spacing w:val="-4"/>
          <w:sz w:val="22"/>
        </w:rPr>
        <w:t>and</w:t>
      </w:r>
    </w:p>
    <w:p>
      <w:pPr>
        <w:pStyle w:val="ListParagraph"/>
        <w:numPr>
          <w:ilvl w:val="0"/>
          <w:numId w:val="30"/>
        </w:numPr>
        <w:tabs>
          <w:tab w:pos="1331" w:val="left" w:leader="none"/>
        </w:tabs>
        <w:spacing w:line="240" w:lineRule="auto" w:before="114" w:after="0"/>
        <w:ind w:left="1331" w:right="0" w:hanging="360"/>
        <w:jc w:val="left"/>
        <w:rPr>
          <w:sz w:val="22"/>
        </w:rPr>
      </w:pPr>
      <w:r>
        <w:rPr>
          <w:sz w:val="22"/>
        </w:rPr>
        <w:t>Unplanned</w:t>
      </w:r>
      <w:r>
        <w:rPr>
          <w:spacing w:val="-8"/>
          <w:sz w:val="22"/>
        </w:rPr>
        <w:t> </w:t>
      </w:r>
      <w:r>
        <w:rPr>
          <w:spacing w:val="-2"/>
          <w:sz w:val="22"/>
        </w:rPr>
        <w:t>ignitions.</w:t>
      </w:r>
    </w:p>
    <w:p>
      <w:pPr>
        <w:pStyle w:val="Heading4"/>
        <w:spacing w:before="231"/>
        <w:ind w:left="791"/>
      </w:pPr>
      <w:bookmarkStart w:name="Forest Products" w:id="944"/>
      <w:bookmarkEnd w:id="944"/>
      <w:r>
        <w:rPr/>
      </w:r>
      <w:bookmarkStart w:name="_bookmark288" w:id="945"/>
      <w:bookmarkEnd w:id="945"/>
      <w:r>
        <w:rPr/>
      </w:r>
      <w:r>
        <w:rPr/>
        <w:t>Forest</w:t>
      </w:r>
      <w:r>
        <w:rPr>
          <w:spacing w:val="-3"/>
        </w:rPr>
        <w:t> </w:t>
      </w:r>
      <w:r>
        <w:rPr>
          <w:spacing w:val="-2"/>
        </w:rPr>
        <w:t>Products</w:t>
      </w:r>
    </w:p>
    <w:p>
      <w:pPr>
        <w:pStyle w:val="BodyText"/>
        <w:spacing w:before="59"/>
        <w:ind w:left="791"/>
      </w:pPr>
      <w:r>
        <w:rPr/>
        <w:t>Actions</w:t>
      </w:r>
      <w:r>
        <w:rPr>
          <w:spacing w:val="-2"/>
        </w:rPr>
        <w:t> include:</w:t>
      </w:r>
    </w:p>
    <w:p>
      <w:pPr>
        <w:pStyle w:val="ListParagraph"/>
        <w:numPr>
          <w:ilvl w:val="0"/>
          <w:numId w:val="30"/>
        </w:numPr>
        <w:tabs>
          <w:tab w:pos="1332" w:val="left" w:leader="none"/>
        </w:tabs>
        <w:spacing w:line="232" w:lineRule="auto" w:before="199" w:after="0"/>
        <w:ind w:left="1332" w:right="1207" w:hanging="360"/>
        <w:jc w:val="left"/>
        <w:rPr>
          <w:sz w:val="22"/>
        </w:rPr>
      </w:pPr>
      <w:r>
        <w:rPr>
          <w:sz w:val="22"/>
        </w:rPr>
        <w:t>Use</w:t>
      </w:r>
      <w:r>
        <w:rPr>
          <w:spacing w:val="-5"/>
          <w:sz w:val="22"/>
        </w:rPr>
        <w:t> </w:t>
      </w:r>
      <w:r>
        <w:rPr>
          <w:sz w:val="22"/>
        </w:rPr>
        <w:t>timber</w:t>
      </w:r>
      <w:r>
        <w:rPr>
          <w:spacing w:val="-8"/>
          <w:sz w:val="22"/>
        </w:rPr>
        <w:t> </w:t>
      </w:r>
      <w:r>
        <w:rPr>
          <w:sz w:val="22"/>
        </w:rPr>
        <w:t>production</w:t>
      </w:r>
      <w:r>
        <w:rPr>
          <w:spacing w:val="-9"/>
          <w:sz w:val="22"/>
        </w:rPr>
        <w:t> </w:t>
      </w:r>
      <w:r>
        <w:rPr>
          <w:sz w:val="22"/>
        </w:rPr>
        <w:t>and</w:t>
      </w:r>
      <w:r>
        <w:rPr>
          <w:spacing w:val="-7"/>
          <w:sz w:val="22"/>
        </w:rPr>
        <w:t> </w:t>
      </w:r>
      <w:r>
        <w:rPr>
          <w:sz w:val="22"/>
        </w:rPr>
        <w:t>tree</w:t>
      </w:r>
      <w:r>
        <w:rPr>
          <w:spacing w:val="-5"/>
          <w:sz w:val="22"/>
        </w:rPr>
        <w:t> </w:t>
      </w:r>
      <w:r>
        <w:rPr>
          <w:sz w:val="22"/>
        </w:rPr>
        <w:t>cutting</w:t>
      </w:r>
      <w:r>
        <w:rPr>
          <w:spacing w:val="-7"/>
          <w:sz w:val="22"/>
        </w:rPr>
        <w:t> </w:t>
      </w:r>
      <w:r>
        <w:rPr>
          <w:sz w:val="22"/>
        </w:rPr>
        <w:t>to</w:t>
      </w:r>
      <w:r>
        <w:rPr>
          <w:spacing w:val="-5"/>
          <w:sz w:val="22"/>
        </w:rPr>
        <w:t> </w:t>
      </w:r>
      <w:r>
        <w:rPr>
          <w:sz w:val="22"/>
        </w:rPr>
        <w:t>achieve</w:t>
      </w:r>
      <w:r>
        <w:rPr>
          <w:spacing w:val="-5"/>
          <w:sz w:val="22"/>
        </w:rPr>
        <w:t> </w:t>
      </w:r>
      <w:r>
        <w:rPr>
          <w:sz w:val="22"/>
        </w:rPr>
        <w:t>vegetation</w:t>
      </w:r>
      <w:r>
        <w:rPr>
          <w:spacing w:val="-7"/>
          <w:sz w:val="22"/>
        </w:rPr>
        <w:t> </w:t>
      </w:r>
      <w:r>
        <w:rPr>
          <w:sz w:val="22"/>
        </w:rPr>
        <w:t>desired</w:t>
      </w:r>
      <w:r>
        <w:rPr>
          <w:spacing w:val="-7"/>
          <w:sz w:val="22"/>
        </w:rPr>
        <w:t> </w:t>
      </w:r>
      <w:r>
        <w:rPr>
          <w:sz w:val="22"/>
        </w:rPr>
        <w:t>conditions</w:t>
      </w:r>
      <w:r>
        <w:rPr>
          <w:spacing w:val="-8"/>
          <w:sz w:val="22"/>
        </w:rPr>
        <w:t> </w:t>
      </w:r>
      <w:r>
        <w:rPr>
          <w:sz w:val="22"/>
        </w:rPr>
        <w:t>and contribute to the local and regional economy;</w:t>
      </w:r>
    </w:p>
    <w:p>
      <w:pPr>
        <w:pStyle w:val="ListParagraph"/>
        <w:numPr>
          <w:ilvl w:val="0"/>
          <w:numId w:val="30"/>
        </w:numPr>
        <w:tabs>
          <w:tab w:pos="1331" w:val="left" w:leader="none"/>
        </w:tabs>
        <w:spacing w:line="240" w:lineRule="auto" w:before="113" w:after="0"/>
        <w:ind w:left="1331" w:right="0" w:hanging="360"/>
        <w:jc w:val="left"/>
        <w:rPr>
          <w:sz w:val="22"/>
        </w:rPr>
      </w:pPr>
      <w:r>
        <w:rPr>
          <w:sz w:val="22"/>
        </w:rPr>
        <w:t>Intermediate</w:t>
      </w:r>
      <w:r>
        <w:rPr>
          <w:spacing w:val="-12"/>
          <w:sz w:val="22"/>
        </w:rPr>
        <w:t> </w:t>
      </w:r>
      <w:r>
        <w:rPr>
          <w:sz w:val="22"/>
        </w:rPr>
        <w:t>timber</w:t>
      </w:r>
      <w:r>
        <w:rPr>
          <w:spacing w:val="-12"/>
          <w:sz w:val="22"/>
        </w:rPr>
        <w:t> </w:t>
      </w:r>
      <w:r>
        <w:rPr>
          <w:sz w:val="22"/>
        </w:rPr>
        <w:t>harvest</w:t>
      </w:r>
      <w:r>
        <w:rPr>
          <w:spacing w:val="-9"/>
          <w:sz w:val="22"/>
        </w:rPr>
        <w:t> </w:t>
      </w:r>
      <w:r>
        <w:rPr>
          <w:sz w:val="22"/>
        </w:rPr>
        <w:t>(commercial</w:t>
      </w:r>
      <w:r>
        <w:rPr>
          <w:spacing w:val="-12"/>
          <w:sz w:val="22"/>
        </w:rPr>
        <w:t> </w:t>
      </w:r>
      <w:r>
        <w:rPr>
          <w:sz w:val="22"/>
        </w:rPr>
        <w:t>thinning,</w:t>
      </w:r>
      <w:r>
        <w:rPr>
          <w:spacing w:val="-10"/>
          <w:sz w:val="22"/>
        </w:rPr>
        <w:t> </w:t>
      </w:r>
      <w:r>
        <w:rPr>
          <w:sz w:val="22"/>
        </w:rPr>
        <w:t>improvement</w:t>
      </w:r>
      <w:r>
        <w:rPr>
          <w:spacing w:val="-12"/>
          <w:sz w:val="22"/>
        </w:rPr>
        <w:t> </w:t>
      </w:r>
      <w:r>
        <w:rPr>
          <w:sz w:val="22"/>
        </w:rPr>
        <w:t>cutting,</w:t>
      </w:r>
      <w:r>
        <w:rPr>
          <w:spacing w:val="-11"/>
          <w:sz w:val="22"/>
        </w:rPr>
        <w:t> </w:t>
      </w:r>
      <w:r>
        <w:rPr>
          <w:spacing w:val="-2"/>
          <w:sz w:val="22"/>
        </w:rPr>
        <w:t>etc.);</w:t>
      </w:r>
    </w:p>
    <w:p>
      <w:pPr>
        <w:pStyle w:val="ListParagraph"/>
        <w:numPr>
          <w:ilvl w:val="0"/>
          <w:numId w:val="30"/>
        </w:numPr>
        <w:tabs>
          <w:tab w:pos="1331" w:val="left" w:leader="none"/>
        </w:tabs>
        <w:spacing w:line="232" w:lineRule="auto" w:before="117" w:after="0"/>
        <w:ind w:left="1331" w:right="966" w:hanging="360"/>
        <w:jc w:val="left"/>
        <w:rPr>
          <w:sz w:val="22"/>
        </w:rPr>
      </w:pPr>
      <w:r>
        <w:rPr>
          <w:sz w:val="22"/>
        </w:rPr>
        <w:t>Regeneration</w:t>
      </w:r>
      <w:r>
        <w:rPr>
          <w:spacing w:val="-8"/>
          <w:sz w:val="22"/>
        </w:rPr>
        <w:t> </w:t>
      </w:r>
      <w:r>
        <w:rPr>
          <w:sz w:val="22"/>
        </w:rPr>
        <w:t>harvest</w:t>
      </w:r>
      <w:r>
        <w:rPr>
          <w:spacing w:val="-9"/>
          <w:sz w:val="22"/>
        </w:rPr>
        <w:t> </w:t>
      </w:r>
      <w:r>
        <w:rPr>
          <w:sz w:val="22"/>
        </w:rPr>
        <w:t>with</w:t>
      </w:r>
      <w:r>
        <w:rPr>
          <w:spacing w:val="-9"/>
          <w:sz w:val="22"/>
        </w:rPr>
        <w:t> </w:t>
      </w:r>
      <w:r>
        <w:rPr>
          <w:sz w:val="22"/>
        </w:rPr>
        <w:t>treatments</w:t>
      </w:r>
      <w:r>
        <w:rPr>
          <w:spacing w:val="-9"/>
          <w:sz w:val="22"/>
        </w:rPr>
        <w:t> </w:t>
      </w:r>
      <w:r>
        <w:rPr>
          <w:sz w:val="22"/>
        </w:rPr>
        <w:t>that</w:t>
      </w:r>
      <w:r>
        <w:rPr>
          <w:spacing w:val="-6"/>
          <w:sz w:val="22"/>
        </w:rPr>
        <w:t> </w:t>
      </w:r>
      <w:r>
        <w:rPr>
          <w:sz w:val="22"/>
        </w:rPr>
        <w:t>are</w:t>
      </w:r>
      <w:r>
        <w:rPr>
          <w:spacing w:val="-9"/>
          <w:sz w:val="22"/>
        </w:rPr>
        <w:t> </w:t>
      </w:r>
      <w:r>
        <w:rPr>
          <w:sz w:val="22"/>
        </w:rPr>
        <w:t>even-age</w:t>
      </w:r>
      <w:r>
        <w:rPr>
          <w:spacing w:val="-6"/>
          <w:sz w:val="22"/>
        </w:rPr>
        <w:t> </w:t>
      </w:r>
      <w:r>
        <w:rPr>
          <w:sz w:val="22"/>
        </w:rPr>
        <w:t>in</w:t>
      </w:r>
      <w:r>
        <w:rPr>
          <w:spacing w:val="-8"/>
          <w:sz w:val="22"/>
        </w:rPr>
        <w:t> </w:t>
      </w:r>
      <w:r>
        <w:rPr>
          <w:sz w:val="22"/>
        </w:rPr>
        <w:t>nature</w:t>
      </w:r>
      <w:r>
        <w:rPr>
          <w:spacing w:val="-6"/>
          <w:sz w:val="22"/>
        </w:rPr>
        <w:t> </w:t>
      </w:r>
      <w:r>
        <w:rPr>
          <w:sz w:val="22"/>
        </w:rPr>
        <w:t>(clearcut,</w:t>
      </w:r>
      <w:r>
        <w:rPr>
          <w:spacing w:val="-9"/>
          <w:sz w:val="22"/>
        </w:rPr>
        <w:t> </w:t>
      </w:r>
      <w:r>
        <w:rPr>
          <w:sz w:val="22"/>
        </w:rPr>
        <w:t>or</w:t>
      </w:r>
      <w:r>
        <w:rPr>
          <w:spacing w:val="-7"/>
          <w:sz w:val="22"/>
        </w:rPr>
        <w:t> </w:t>
      </w:r>
      <w:r>
        <w:rPr>
          <w:sz w:val="22"/>
        </w:rPr>
        <w:t>two-age regeneration), or uneven-age (group selection or single tree selection); and</w:t>
      </w:r>
    </w:p>
    <w:p>
      <w:pPr>
        <w:pStyle w:val="ListParagraph"/>
        <w:numPr>
          <w:ilvl w:val="0"/>
          <w:numId w:val="30"/>
        </w:numPr>
        <w:tabs>
          <w:tab w:pos="1331" w:val="left" w:leader="none"/>
        </w:tabs>
        <w:spacing w:line="240" w:lineRule="auto" w:before="114" w:after="0"/>
        <w:ind w:left="1331" w:right="0" w:hanging="360"/>
        <w:jc w:val="left"/>
        <w:rPr>
          <w:sz w:val="22"/>
        </w:rPr>
      </w:pPr>
      <w:r>
        <w:rPr>
          <w:sz w:val="22"/>
        </w:rPr>
        <w:t>Salvage</w:t>
      </w:r>
      <w:r>
        <w:rPr>
          <w:spacing w:val="-5"/>
          <w:sz w:val="22"/>
        </w:rPr>
        <w:t> </w:t>
      </w:r>
      <w:r>
        <w:rPr>
          <w:sz w:val="22"/>
        </w:rPr>
        <w:t>of</w:t>
      </w:r>
      <w:r>
        <w:rPr>
          <w:spacing w:val="-3"/>
          <w:sz w:val="22"/>
        </w:rPr>
        <w:t> </w:t>
      </w:r>
      <w:r>
        <w:rPr>
          <w:sz w:val="22"/>
        </w:rPr>
        <w:t>dead</w:t>
      </w:r>
      <w:r>
        <w:rPr>
          <w:spacing w:val="-5"/>
          <w:sz w:val="22"/>
        </w:rPr>
        <w:t> </w:t>
      </w:r>
      <w:r>
        <w:rPr>
          <w:sz w:val="22"/>
        </w:rPr>
        <w:t>or</w:t>
      </w:r>
      <w:r>
        <w:rPr>
          <w:spacing w:val="-5"/>
          <w:sz w:val="22"/>
        </w:rPr>
        <w:t> </w:t>
      </w:r>
      <w:r>
        <w:rPr>
          <w:sz w:val="22"/>
        </w:rPr>
        <w:t>dying</w:t>
      </w:r>
      <w:r>
        <w:rPr>
          <w:spacing w:val="-3"/>
          <w:sz w:val="22"/>
        </w:rPr>
        <w:t> </w:t>
      </w:r>
      <w:r>
        <w:rPr>
          <w:spacing w:val="-2"/>
          <w:sz w:val="22"/>
        </w:rPr>
        <w:t>timber.</w:t>
      </w:r>
    </w:p>
    <w:p>
      <w:pPr>
        <w:pStyle w:val="ListParagraph"/>
        <w:spacing w:after="0" w:line="240" w:lineRule="auto"/>
        <w:jc w:val="left"/>
        <w:rPr>
          <w:sz w:val="22"/>
        </w:rPr>
        <w:sectPr>
          <w:pgSz w:w="12240" w:h="15840"/>
          <w:pgMar w:header="725" w:footer="891" w:top="1340" w:bottom="1080" w:left="1080" w:right="1080"/>
        </w:sectPr>
      </w:pPr>
    </w:p>
    <w:p>
      <w:pPr>
        <w:pStyle w:val="ListParagraph"/>
        <w:numPr>
          <w:ilvl w:val="0"/>
          <w:numId w:val="30"/>
        </w:numPr>
        <w:tabs>
          <w:tab w:pos="899" w:val="left" w:leader="none"/>
        </w:tabs>
        <w:spacing w:line="240" w:lineRule="auto" w:before="80" w:after="0"/>
        <w:ind w:left="899" w:right="0" w:hanging="359"/>
        <w:jc w:val="left"/>
        <w:rPr>
          <w:sz w:val="22"/>
        </w:rPr>
      </w:pPr>
      <w:r>
        <w:rPr>
          <w:sz w:val="22"/>
        </w:rPr>
        <w:t>Gathering</w:t>
      </w:r>
      <w:r>
        <w:rPr>
          <w:spacing w:val="-10"/>
          <w:sz w:val="22"/>
        </w:rPr>
        <w:t> </w:t>
      </w:r>
      <w:r>
        <w:rPr>
          <w:sz w:val="22"/>
        </w:rPr>
        <w:t>of</w:t>
      </w:r>
      <w:r>
        <w:rPr>
          <w:spacing w:val="-8"/>
          <w:sz w:val="22"/>
        </w:rPr>
        <w:t> </w:t>
      </w:r>
      <w:r>
        <w:rPr>
          <w:sz w:val="22"/>
        </w:rPr>
        <w:t>firewood,</w:t>
      </w:r>
      <w:r>
        <w:rPr>
          <w:spacing w:val="-6"/>
          <w:sz w:val="22"/>
        </w:rPr>
        <w:t> </w:t>
      </w:r>
      <w:r>
        <w:rPr>
          <w:sz w:val="22"/>
        </w:rPr>
        <w:t>huckleberries,</w:t>
      </w:r>
      <w:r>
        <w:rPr>
          <w:spacing w:val="-7"/>
          <w:sz w:val="22"/>
        </w:rPr>
        <w:t> </w:t>
      </w:r>
      <w:r>
        <w:rPr>
          <w:sz w:val="22"/>
        </w:rPr>
        <w:t>and</w:t>
      </w:r>
      <w:r>
        <w:rPr>
          <w:spacing w:val="-9"/>
          <w:sz w:val="22"/>
        </w:rPr>
        <w:t> </w:t>
      </w:r>
      <w:r>
        <w:rPr>
          <w:sz w:val="22"/>
        </w:rPr>
        <w:t>other</w:t>
      </w:r>
      <w:r>
        <w:rPr>
          <w:spacing w:val="-8"/>
          <w:sz w:val="22"/>
        </w:rPr>
        <w:t> </w:t>
      </w:r>
      <w:r>
        <w:rPr>
          <w:sz w:val="22"/>
        </w:rPr>
        <w:t>special</w:t>
      </w:r>
      <w:r>
        <w:rPr>
          <w:spacing w:val="-6"/>
          <w:sz w:val="22"/>
        </w:rPr>
        <w:t> </w:t>
      </w:r>
      <w:r>
        <w:rPr>
          <w:sz w:val="22"/>
        </w:rPr>
        <w:t>forest</w:t>
      </w:r>
      <w:r>
        <w:rPr>
          <w:spacing w:val="-5"/>
          <w:sz w:val="22"/>
        </w:rPr>
        <w:t> </w:t>
      </w:r>
      <w:r>
        <w:rPr>
          <w:spacing w:val="-2"/>
          <w:sz w:val="22"/>
        </w:rPr>
        <w:t>products.</w:t>
      </w:r>
    </w:p>
    <w:p>
      <w:pPr>
        <w:pStyle w:val="ListParagraph"/>
        <w:numPr>
          <w:ilvl w:val="0"/>
          <w:numId w:val="30"/>
        </w:numPr>
        <w:tabs>
          <w:tab w:pos="899" w:val="left" w:leader="none"/>
        </w:tabs>
        <w:spacing w:line="232" w:lineRule="auto" w:before="117" w:after="0"/>
        <w:ind w:left="899" w:right="868" w:hanging="360"/>
        <w:jc w:val="left"/>
        <w:rPr>
          <w:sz w:val="22"/>
        </w:rPr>
      </w:pPr>
      <w:r>
        <w:rPr>
          <w:sz w:val="22"/>
        </w:rPr>
        <w:t>Offer the projected wood sale quantity (PWSQ), which is an average of 62 million board feet per year. The PWSQ represents the</w:t>
      </w:r>
      <w:r>
        <w:rPr>
          <w:spacing w:val="-2"/>
          <w:sz w:val="22"/>
        </w:rPr>
        <w:t> </w:t>
      </w:r>
      <w:r>
        <w:rPr>
          <w:sz w:val="22"/>
        </w:rPr>
        <w:t>amount</w:t>
      </w:r>
      <w:r>
        <w:rPr>
          <w:spacing w:val="-2"/>
          <w:sz w:val="22"/>
        </w:rPr>
        <w:t> </w:t>
      </w:r>
      <w:r>
        <w:rPr>
          <w:sz w:val="22"/>
        </w:rPr>
        <w:t>of timber</w:t>
      </w:r>
      <w:r>
        <w:rPr>
          <w:spacing w:val="-4"/>
          <w:sz w:val="22"/>
        </w:rPr>
        <w:t> </w:t>
      </w:r>
      <w:r>
        <w:rPr>
          <w:sz w:val="22"/>
        </w:rPr>
        <w:t>and</w:t>
      </w:r>
      <w:r>
        <w:rPr>
          <w:spacing w:val="-1"/>
          <w:sz w:val="22"/>
        </w:rPr>
        <w:t> </w:t>
      </w:r>
      <w:r>
        <w:rPr>
          <w:sz w:val="22"/>
        </w:rPr>
        <w:t>all other wood</w:t>
      </w:r>
      <w:r>
        <w:rPr>
          <w:spacing w:val="-3"/>
          <w:sz w:val="22"/>
        </w:rPr>
        <w:t> </w:t>
      </w:r>
      <w:r>
        <w:rPr>
          <w:sz w:val="22"/>
        </w:rPr>
        <w:t>products, including firewood, that are expected to be sold during the plan period from harvests for any purpose (except</w:t>
      </w:r>
      <w:r>
        <w:rPr>
          <w:spacing w:val="-6"/>
          <w:sz w:val="22"/>
        </w:rPr>
        <w:t> </w:t>
      </w:r>
      <w:r>
        <w:rPr>
          <w:sz w:val="22"/>
        </w:rPr>
        <w:t>salvage</w:t>
      </w:r>
      <w:r>
        <w:rPr>
          <w:spacing w:val="-4"/>
          <w:sz w:val="22"/>
        </w:rPr>
        <w:t> </w:t>
      </w:r>
      <w:r>
        <w:rPr>
          <w:sz w:val="22"/>
        </w:rPr>
        <w:t>harvest</w:t>
      </w:r>
      <w:r>
        <w:rPr>
          <w:spacing w:val="-6"/>
          <w:sz w:val="22"/>
        </w:rPr>
        <w:t> </w:t>
      </w:r>
      <w:r>
        <w:rPr>
          <w:sz w:val="22"/>
        </w:rPr>
        <w:t>or</w:t>
      </w:r>
      <w:r>
        <w:rPr>
          <w:spacing w:val="-4"/>
          <w:sz w:val="22"/>
        </w:rPr>
        <w:t> </w:t>
      </w:r>
      <w:r>
        <w:rPr>
          <w:sz w:val="22"/>
        </w:rPr>
        <w:t>sanitation</w:t>
      </w:r>
      <w:r>
        <w:rPr>
          <w:spacing w:val="-5"/>
          <w:sz w:val="22"/>
        </w:rPr>
        <w:t> </w:t>
      </w:r>
      <w:r>
        <w:rPr>
          <w:sz w:val="22"/>
        </w:rPr>
        <w:t>harvest)</w:t>
      </w:r>
      <w:r>
        <w:rPr>
          <w:spacing w:val="-6"/>
          <w:sz w:val="22"/>
        </w:rPr>
        <w:t> </w:t>
      </w:r>
      <w:r>
        <w:rPr>
          <w:sz w:val="22"/>
        </w:rPr>
        <w:t>on</w:t>
      </w:r>
      <w:r>
        <w:rPr>
          <w:spacing w:val="-4"/>
          <w:sz w:val="22"/>
        </w:rPr>
        <w:t> </w:t>
      </w:r>
      <w:r>
        <w:rPr>
          <w:sz w:val="22"/>
        </w:rPr>
        <w:t>all</w:t>
      </w:r>
      <w:r>
        <w:rPr>
          <w:spacing w:val="-4"/>
          <w:sz w:val="22"/>
        </w:rPr>
        <w:t> </w:t>
      </w:r>
      <w:r>
        <w:rPr>
          <w:sz w:val="22"/>
        </w:rPr>
        <w:t>lands</w:t>
      </w:r>
      <w:r>
        <w:rPr>
          <w:spacing w:val="-4"/>
          <w:sz w:val="22"/>
        </w:rPr>
        <w:t> </w:t>
      </w:r>
      <w:r>
        <w:rPr>
          <w:sz w:val="22"/>
        </w:rPr>
        <w:t>in</w:t>
      </w:r>
      <w:r>
        <w:rPr>
          <w:spacing w:val="-5"/>
          <w:sz w:val="22"/>
        </w:rPr>
        <w:t> </w:t>
      </w:r>
      <w:r>
        <w:rPr>
          <w:sz w:val="22"/>
        </w:rPr>
        <w:t>the</w:t>
      </w:r>
      <w:r>
        <w:rPr>
          <w:spacing w:val="-4"/>
          <w:sz w:val="22"/>
        </w:rPr>
        <w:t> </w:t>
      </w:r>
      <w:r>
        <w:rPr>
          <w:sz w:val="22"/>
        </w:rPr>
        <w:t>planning</w:t>
      </w:r>
      <w:r>
        <w:rPr>
          <w:spacing w:val="-5"/>
          <w:sz w:val="22"/>
        </w:rPr>
        <w:t> </w:t>
      </w:r>
      <w:r>
        <w:rPr>
          <w:sz w:val="22"/>
        </w:rPr>
        <w:t>area.</w:t>
      </w:r>
      <w:r>
        <w:rPr>
          <w:spacing w:val="-7"/>
          <w:sz w:val="22"/>
        </w:rPr>
        <w:t> </w:t>
      </w:r>
      <w:r>
        <w:rPr>
          <w:sz w:val="22"/>
        </w:rPr>
        <w:t>Actual</w:t>
      </w:r>
      <w:r>
        <w:rPr>
          <w:spacing w:val="-4"/>
          <w:sz w:val="22"/>
        </w:rPr>
        <w:t> </w:t>
      </w:r>
      <w:r>
        <w:rPr>
          <w:sz w:val="22"/>
        </w:rPr>
        <w:t>volume offered in an individual year may vary due to budget or regulatory conditions.</w:t>
      </w:r>
    </w:p>
    <w:p>
      <w:pPr>
        <w:pStyle w:val="BodyText"/>
        <w:spacing w:before="113"/>
        <w:ind w:left="359"/>
      </w:pPr>
      <w:r>
        <w:rPr/>
        <w:t>Vegetation</w:t>
      </w:r>
      <w:r>
        <w:rPr>
          <w:spacing w:val="-11"/>
        </w:rPr>
        <w:t> </w:t>
      </w:r>
      <w:r>
        <w:rPr/>
        <w:t>treatments</w:t>
      </w:r>
      <w:r>
        <w:rPr>
          <w:spacing w:val="-11"/>
        </w:rPr>
        <w:t> </w:t>
      </w:r>
      <w:r>
        <w:rPr/>
        <w:t>as</w:t>
      </w:r>
      <w:r>
        <w:rPr>
          <w:spacing w:val="-11"/>
        </w:rPr>
        <w:t> </w:t>
      </w:r>
      <w:r>
        <w:rPr/>
        <w:t>modelled</w:t>
      </w:r>
      <w:r>
        <w:rPr>
          <w:spacing w:val="-11"/>
        </w:rPr>
        <w:t> </w:t>
      </w:r>
      <w:r>
        <w:rPr/>
        <w:t>for</w:t>
      </w:r>
      <w:r>
        <w:rPr>
          <w:spacing w:val="-9"/>
        </w:rPr>
        <w:t> </w:t>
      </w:r>
      <w:r>
        <w:rPr/>
        <w:t>determination</w:t>
      </w:r>
      <w:r>
        <w:rPr>
          <w:spacing w:val="-11"/>
        </w:rPr>
        <w:t> </w:t>
      </w:r>
      <w:r>
        <w:rPr/>
        <w:t>of</w:t>
      </w:r>
      <w:r>
        <w:rPr>
          <w:spacing w:val="-9"/>
        </w:rPr>
        <w:t> </w:t>
      </w:r>
      <w:r>
        <w:rPr>
          <w:spacing w:val="-2"/>
        </w:rPr>
        <w:t>effects:</w:t>
      </w:r>
    </w:p>
    <w:p>
      <w:pPr>
        <w:pStyle w:val="BodyText"/>
        <w:spacing w:line="232" w:lineRule="auto" w:before="198"/>
        <w:ind w:left="359" w:right="405"/>
      </w:pPr>
      <w:hyperlink w:history="true" w:anchor="_bookmark289">
        <w:r>
          <w:rPr/>
          <w:t>Table</w:t>
        </w:r>
        <w:r>
          <w:rPr>
            <w:spacing w:val="-5"/>
          </w:rPr>
          <w:t> </w:t>
        </w:r>
        <w:r>
          <w:rPr/>
          <w:t>B-2</w:t>
        </w:r>
      </w:hyperlink>
      <w:r>
        <w:rPr>
          <w:spacing w:val="-5"/>
        </w:rPr>
        <w:t> </w:t>
      </w:r>
      <w:r>
        <w:rPr/>
        <w:t>shows</w:t>
      </w:r>
      <w:r>
        <w:rPr>
          <w:spacing w:val="-8"/>
        </w:rPr>
        <w:t> </w:t>
      </w:r>
      <w:r>
        <w:rPr/>
        <w:t>what</w:t>
      </w:r>
      <w:r>
        <w:rPr>
          <w:spacing w:val="-8"/>
        </w:rPr>
        <w:t> </w:t>
      </w:r>
      <w:r>
        <w:rPr/>
        <w:t>treatments</w:t>
      </w:r>
      <w:r>
        <w:rPr>
          <w:spacing w:val="-8"/>
        </w:rPr>
        <w:t> </w:t>
      </w:r>
      <w:r>
        <w:rPr/>
        <w:t>were</w:t>
      </w:r>
      <w:r>
        <w:rPr>
          <w:spacing w:val="-5"/>
        </w:rPr>
        <w:t> </w:t>
      </w:r>
      <w:r>
        <w:rPr/>
        <w:t>proposed</w:t>
      </w:r>
      <w:r>
        <w:rPr>
          <w:spacing w:val="-7"/>
        </w:rPr>
        <w:t> </w:t>
      </w:r>
      <w:r>
        <w:rPr/>
        <w:t>and</w:t>
      </w:r>
      <w:r>
        <w:rPr>
          <w:spacing w:val="-7"/>
        </w:rPr>
        <w:t> </w:t>
      </w:r>
      <w:r>
        <w:rPr/>
        <w:t>included</w:t>
      </w:r>
      <w:r>
        <w:rPr>
          <w:spacing w:val="-7"/>
        </w:rPr>
        <w:t> </w:t>
      </w:r>
      <w:r>
        <w:rPr/>
        <w:t>by</w:t>
      </w:r>
      <w:r>
        <w:rPr>
          <w:spacing w:val="-7"/>
        </w:rPr>
        <w:t> </w:t>
      </w:r>
      <w:r>
        <w:rPr/>
        <w:t>management</w:t>
      </w:r>
      <w:r>
        <w:rPr>
          <w:spacing w:val="-8"/>
        </w:rPr>
        <w:t> </w:t>
      </w:r>
      <w:r>
        <w:rPr/>
        <w:t>area</w:t>
      </w:r>
      <w:r>
        <w:rPr>
          <w:spacing w:val="-6"/>
        </w:rPr>
        <w:t> </w:t>
      </w:r>
      <w:r>
        <w:rPr/>
        <w:t>for</w:t>
      </w:r>
      <w:r>
        <w:rPr>
          <w:spacing w:val="-8"/>
        </w:rPr>
        <w:t> </w:t>
      </w:r>
      <w:r>
        <w:rPr/>
        <w:t>modelling vegetation changes in ST-SIM related to the revised land management plan. If a treatment is not included</w:t>
      </w:r>
      <w:r>
        <w:rPr>
          <w:spacing w:val="-1"/>
        </w:rPr>
        <w:t> </w:t>
      </w:r>
      <w:r>
        <w:rPr/>
        <w:t>within</w:t>
      </w:r>
      <w:r>
        <w:rPr>
          <w:spacing w:val="-1"/>
        </w:rPr>
        <w:t> </w:t>
      </w:r>
      <w:r>
        <w:rPr/>
        <w:t>a</w:t>
      </w:r>
      <w:r>
        <w:rPr>
          <w:spacing w:val="-2"/>
        </w:rPr>
        <w:t> </w:t>
      </w:r>
      <w:r>
        <w:rPr/>
        <w:t>management area,</w:t>
      </w:r>
      <w:r>
        <w:rPr>
          <w:spacing w:val="-2"/>
        </w:rPr>
        <w:t> </w:t>
      </w:r>
      <w:r>
        <w:rPr/>
        <w:t>the</w:t>
      </w:r>
      <w:r>
        <w:rPr>
          <w:spacing w:val="-2"/>
        </w:rPr>
        <w:t> </w:t>
      </w:r>
      <w:r>
        <w:rPr/>
        <w:t>treatment is not prohibited, but</w:t>
      </w:r>
      <w:r>
        <w:rPr>
          <w:spacing w:val="-2"/>
        </w:rPr>
        <w:t> </w:t>
      </w:r>
      <w:r>
        <w:rPr/>
        <w:t>was not considered</w:t>
      </w:r>
      <w:r>
        <w:rPr>
          <w:spacing w:val="-1"/>
        </w:rPr>
        <w:t> </w:t>
      </w:r>
      <w:r>
        <w:rPr/>
        <w:t>as a primary management tool.</w:t>
      </w:r>
    </w:p>
    <w:p>
      <w:pPr>
        <w:pStyle w:val="BodyText"/>
        <w:spacing w:after="0" w:line="232" w:lineRule="auto"/>
        <w:sectPr>
          <w:pgSz w:w="12240" w:h="15840"/>
          <w:pgMar w:header="725" w:footer="891" w:top="1340" w:bottom="1080" w:left="1080" w:right="1080"/>
        </w:sectPr>
      </w:pPr>
    </w:p>
    <w:p>
      <w:pPr>
        <w:spacing w:before="79"/>
        <w:ind w:left="362" w:right="0" w:firstLine="0"/>
        <w:jc w:val="center"/>
        <w:rPr>
          <w:rFonts w:ascii="Arial"/>
          <w:b/>
          <w:sz w:val="18"/>
        </w:rPr>
      </w:pPr>
      <w:r>
        <w:rPr>
          <w:rFonts w:ascii="Arial"/>
          <w:b/>
          <w:sz w:val="18"/>
        </w:rPr>
        <mc:AlternateContent>
          <mc:Choice Requires="wps">
            <w:drawing>
              <wp:anchor distT="0" distB="0" distL="0" distR="0" allowOverlap="1" layoutInCell="1" locked="0" behindDoc="0" simplePos="0" relativeHeight="15780352">
                <wp:simplePos x="0" y="0"/>
                <wp:positionH relativeFrom="page">
                  <wp:posOffset>896111</wp:posOffset>
                </wp:positionH>
                <wp:positionV relativeFrom="paragraph">
                  <wp:posOffset>194055</wp:posOffset>
                </wp:positionV>
                <wp:extent cx="8266430" cy="1270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15.28pt;width:650.88pt;height:.96pt;mso-position-horizontal-relative:page;mso-position-vertical-relative:paragraph;z-index:15780352" id="docshape282" filled="true" fillcolor="#283014" stroked="false">
                <v:fill type="solid"/>
                <w10:wrap type="none"/>
              </v:rect>
            </w:pict>
          </mc:Fallback>
        </mc:AlternateContent>
      </w: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71"/>
        <w:rPr>
          <w:rFonts w:ascii="Arial"/>
          <w:b/>
          <w:sz w:val="18"/>
        </w:rPr>
      </w:pPr>
    </w:p>
    <w:p>
      <w:pPr>
        <w:spacing w:before="0" w:after="41"/>
        <w:ind w:left="360" w:right="0" w:firstLine="0"/>
        <w:jc w:val="left"/>
        <w:rPr>
          <w:rFonts w:ascii="Arial"/>
          <w:b/>
          <w:sz w:val="18"/>
        </w:rPr>
      </w:pPr>
      <w:bookmarkStart w:name="_bookmark289" w:id="946"/>
      <w:bookmarkEnd w:id="946"/>
      <w:r>
        <w:rPr/>
      </w:r>
      <w:r>
        <w:rPr>
          <w:rFonts w:ascii="Arial"/>
          <w:b/>
          <w:sz w:val="18"/>
        </w:rPr>
        <w:t>Table</w:t>
      </w:r>
      <w:r>
        <w:rPr>
          <w:rFonts w:ascii="Arial"/>
          <w:b/>
          <w:spacing w:val="-2"/>
          <w:sz w:val="18"/>
        </w:rPr>
        <w:t> </w:t>
      </w:r>
      <w:r>
        <w:rPr>
          <w:rFonts w:ascii="Arial"/>
          <w:b/>
          <w:sz w:val="18"/>
        </w:rPr>
        <w:t>B-2.</w:t>
      </w:r>
      <w:r>
        <w:rPr>
          <w:rFonts w:ascii="Arial"/>
          <w:b/>
          <w:spacing w:val="-3"/>
          <w:sz w:val="18"/>
        </w:rPr>
        <w:t> </w:t>
      </w:r>
      <w:r>
        <w:rPr>
          <w:rFonts w:ascii="Arial"/>
          <w:b/>
          <w:sz w:val="18"/>
        </w:rPr>
        <w:t>Modelled</w:t>
      </w:r>
      <w:r>
        <w:rPr>
          <w:rFonts w:ascii="Arial"/>
          <w:b/>
          <w:spacing w:val="-2"/>
          <w:sz w:val="18"/>
        </w:rPr>
        <w:t> </w:t>
      </w:r>
      <w:r>
        <w:rPr>
          <w:rFonts w:ascii="Arial"/>
          <w:b/>
          <w:sz w:val="18"/>
        </w:rPr>
        <w:t>vegetation</w:t>
      </w:r>
      <w:r>
        <w:rPr>
          <w:rFonts w:ascii="Arial"/>
          <w:b/>
          <w:spacing w:val="-3"/>
          <w:sz w:val="18"/>
        </w:rPr>
        <w:t> </w:t>
      </w:r>
      <w:r>
        <w:rPr>
          <w:rFonts w:ascii="Arial"/>
          <w:b/>
          <w:sz w:val="18"/>
        </w:rPr>
        <w:t>treatments</w:t>
      </w:r>
      <w:r>
        <w:rPr>
          <w:rFonts w:ascii="Arial"/>
          <w:b/>
          <w:spacing w:val="-1"/>
          <w:sz w:val="18"/>
        </w:rPr>
        <w:t> </w:t>
      </w:r>
      <w:r>
        <w:rPr>
          <w:rFonts w:ascii="Arial"/>
          <w:b/>
          <w:sz w:val="18"/>
        </w:rPr>
        <w:t>by</w:t>
      </w:r>
      <w:r>
        <w:rPr>
          <w:rFonts w:ascii="Arial"/>
          <w:b/>
          <w:spacing w:val="-11"/>
          <w:sz w:val="18"/>
        </w:rPr>
        <w:t> </w:t>
      </w:r>
      <w:r>
        <w:rPr>
          <w:rFonts w:ascii="Arial"/>
          <w:b/>
          <w:sz w:val="18"/>
        </w:rPr>
        <w:t>management</w:t>
      </w:r>
      <w:r>
        <w:rPr>
          <w:rFonts w:ascii="Arial"/>
          <w:b/>
          <w:spacing w:val="-3"/>
          <w:sz w:val="18"/>
        </w:rPr>
        <w:t> </w:t>
      </w:r>
      <w:r>
        <w:rPr>
          <w:rFonts w:ascii="Arial"/>
          <w:b/>
          <w:sz w:val="18"/>
        </w:rPr>
        <w:t>area</w:t>
      </w:r>
      <w:r>
        <w:rPr>
          <w:rFonts w:ascii="Arial"/>
          <w:b/>
          <w:spacing w:val="-1"/>
          <w:sz w:val="18"/>
        </w:rPr>
        <w:t> </w:t>
      </w:r>
      <w:r>
        <w:rPr>
          <w:rFonts w:ascii="Arial"/>
          <w:b/>
          <w:sz w:val="18"/>
        </w:rPr>
        <w:t>and</w:t>
      </w:r>
      <w:r>
        <w:rPr>
          <w:rFonts w:ascii="Arial"/>
          <w:b/>
          <w:spacing w:val="-3"/>
          <w:sz w:val="18"/>
        </w:rPr>
        <w:t> </w:t>
      </w:r>
      <w:r>
        <w:rPr>
          <w:rFonts w:ascii="Arial"/>
          <w:b/>
          <w:sz w:val="18"/>
        </w:rPr>
        <w:t>vegetation</w:t>
      </w:r>
      <w:r>
        <w:rPr>
          <w:rFonts w:ascii="Arial"/>
          <w:b/>
          <w:spacing w:val="-2"/>
          <w:sz w:val="18"/>
        </w:rPr>
        <w:t> </w:t>
      </w:r>
      <w:r>
        <w:rPr>
          <w:rFonts w:ascii="Arial"/>
          <w:b/>
          <w:spacing w:val="-4"/>
          <w:sz w:val="18"/>
        </w:rPr>
        <w:t>type</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3139"/>
        <w:gridCol w:w="3734"/>
        <w:gridCol w:w="504"/>
        <w:gridCol w:w="504"/>
        <w:gridCol w:w="506"/>
        <w:gridCol w:w="504"/>
        <w:gridCol w:w="674"/>
        <w:gridCol w:w="439"/>
        <w:gridCol w:w="413"/>
        <w:gridCol w:w="507"/>
        <w:gridCol w:w="406"/>
        <w:gridCol w:w="444"/>
        <w:gridCol w:w="677"/>
        <w:gridCol w:w="490"/>
      </w:tblGrid>
      <w:tr>
        <w:trPr>
          <w:trHeight w:val="359" w:hRule="atLeast"/>
        </w:trPr>
        <w:tc>
          <w:tcPr>
            <w:tcW w:w="3139" w:type="dxa"/>
            <w:vMerge w:val="restart"/>
            <w:shd w:val="clear" w:color="auto" w:fill="C2D59B"/>
          </w:tcPr>
          <w:p>
            <w:pPr>
              <w:pStyle w:val="TableParagraph"/>
              <w:spacing w:before="0"/>
              <w:rPr>
                <w:b/>
                <w:sz w:val="18"/>
              </w:rPr>
            </w:pPr>
          </w:p>
          <w:p>
            <w:pPr>
              <w:pStyle w:val="TableParagraph"/>
              <w:spacing w:before="4"/>
              <w:rPr>
                <w:b/>
                <w:sz w:val="18"/>
              </w:rPr>
            </w:pPr>
          </w:p>
          <w:p>
            <w:pPr>
              <w:pStyle w:val="TableParagraph"/>
              <w:spacing w:before="0"/>
              <w:ind w:left="107"/>
              <w:rPr>
                <w:b/>
                <w:sz w:val="18"/>
              </w:rPr>
            </w:pPr>
            <w:r>
              <w:rPr>
                <w:b/>
                <w:sz w:val="18"/>
              </w:rPr>
              <w:t>Management</w:t>
            </w:r>
            <w:r>
              <w:rPr>
                <w:b/>
                <w:spacing w:val="-10"/>
                <w:sz w:val="18"/>
              </w:rPr>
              <w:t> </w:t>
            </w:r>
            <w:r>
              <w:rPr>
                <w:b/>
                <w:sz w:val="18"/>
              </w:rPr>
              <w:t>area</w:t>
            </w:r>
            <w:r>
              <w:rPr>
                <w:b/>
                <w:spacing w:val="-11"/>
                <w:sz w:val="18"/>
              </w:rPr>
              <w:t> </w:t>
            </w:r>
            <w:r>
              <w:rPr>
                <w:b/>
                <w:sz w:val="18"/>
              </w:rPr>
              <w:t>(model</w:t>
            </w:r>
            <w:r>
              <w:rPr>
                <w:b/>
                <w:spacing w:val="-10"/>
                <w:sz w:val="18"/>
              </w:rPr>
              <w:t> </w:t>
            </w:r>
            <w:r>
              <w:rPr>
                <w:b/>
                <w:spacing w:val="-2"/>
                <w:sz w:val="18"/>
              </w:rPr>
              <w:t>zone)</w:t>
            </w:r>
          </w:p>
        </w:tc>
        <w:tc>
          <w:tcPr>
            <w:tcW w:w="3734" w:type="dxa"/>
            <w:vMerge w:val="restart"/>
            <w:shd w:val="clear" w:color="auto" w:fill="C2D59B"/>
          </w:tcPr>
          <w:p>
            <w:pPr>
              <w:pStyle w:val="TableParagraph"/>
              <w:spacing w:before="0"/>
              <w:rPr>
                <w:b/>
                <w:sz w:val="18"/>
              </w:rPr>
            </w:pPr>
          </w:p>
          <w:p>
            <w:pPr>
              <w:pStyle w:val="TableParagraph"/>
              <w:spacing w:before="4"/>
              <w:rPr>
                <w:b/>
                <w:sz w:val="18"/>
              </w:rPr>
            </w:pPr>
          </w:p>
          <w:p>
            <w:pPr>
              <w:pStyle w:val="TableParagraph"/>
              <w:spacing w:before="0"/>
              <w:ind w:left="107"/>
              <w:rPr>
                <w:b/>
                <w:sz w:val="18"/>
              </w:rPr>
            </w:pPr>
            <w:r>
              <w:rPr>
                <w:b/>
                <w:sz w:val="18"/>
              </w:rPr>
              <w:t>Vegetation</w:t>
            </w:r>
            <w:r>
              <w:rPr>
                <w:b/>
                <w:spacing w:val="-6"/>
                <w:sz w:val="18"/>
              </w:rPr>
              <w:t> </w:t>
            </w:r>
            <w:r>
              <w:rPr>
                <w:b/>
                <w:spacing w:val="-4"/>
                <w:sz w:val="18"/>
              </w:rPr>
              <w:t>type</w:t>
            </w:r>
          </w:p>
        </w:tc>
        <w:tc>
          <w:tcPr>
            <w:tcW w:w="1514" w:type="dxa"/>
            <w:gridSpan w:val="3"/>
            <w:shd w:val="clear" w:color="auto" w:fill="C2D59B"/>
          </w:tcPr>
          <w:p>
            <w:pPr>
              <w:pStyle w:val="TableParagraph"/>
              <w:spacing w:line="267" w:lineRule="exact" w:before="0"/>
              <w:ind w:left="108"/>
              <w:rPr>
                <w:rFonts w:ascii="Calibri"/>
                <w:b/>
                <w:sz w:val="22"/>
              </w:rPr>
            </w:pPr>
            <w:r>
              <w:rPr>
                <w:rFonts w:ascii="Calibri"/>
                <w:b/>
                <w:spacing w:val="-4"/>
                <w:sz w:val="22"/>
              </w:rPr>
              <w:t>Fire</w:t>
            </w:r>
          </w:p>
        </w:tc>
        <w:tc>
          <w:tcPr>
            <w:tcW w:w="2537" w:type="dxa"/>
            <w:gridSpan w:val="5"/>
            <w:shd w:val="clear" w:color="auto" w:fill="C2D59B"/>
          </w:tcPr>
          <w:p>
            <w:pPr>
              <w:pStyle w:val="TableParagraph"/>
              <w:spacing w:line="267" w:lineRule="exact" w:before="0"/>
              <w:ind w:left="108"/>
              <w:rPr>
                <w:rFonts w:ascii="Calibri"/>
                <w:b/>
                <w:sz w:val="22"/>
              </w:rPr>
            </w:pPr>
            <w:r>
              <w:rPr>
                <w:rFonts w:ascii="Calibri"/>
                <w:b/>
                <w:sz w:val="22"/>
              </w:rPr>
              <w:t>Stand</w:t>
            </w:r>
            <w:r>
              <w:rPr>
                <w:rFonts w:ascii="Calibri"/>
                <w:b/>
                <w:spacing w:val="-8"/>
                <w:sz w:val="22"/>
              </w:rPr>
              <w:t> </w:t>
            </w:r>
            <w:r>
              <w:rPr>
                <w:rFonts w:ascii="Calibri"/>
                <w:b/>
                <w:spacing w:val="-2"/>
                <w:sz w:val="22"/>
              </w:rPr>
              <w:t>improvement</w:t>
            </w:r>
          </w:p>
        </w:tc>
        <w:tc>
          <w:tcPr>
            <w:tcW w:w="2017" w:type="dxa"/>
            <w:gridSpan w:val="4"/>
            <w:shd w:val="clear" w:color="auto" w:fill="C2D59B"/>
          </w:tcPr>
          <w:p>
            <w:pPr>
              <w:pStyle w:val="TableParagraph"/>
              <w:spacing w:line="267" w:lineRule="exact" w:before="0"/>
              <w:ind w:left="108"/>
              <w:rPr>
                <w:rFonts w:ascii="Calibri"/>
                <w:b/>
                <w:sz w:val="22"/>
              </w:rPr>
            </w:pPr>
            <w:r>
              <w:rPr>
                <w:rFonts w:ascii="Calibri"/>
                <w:b/>
                <w:sz w:val="22"/>
              </w:rPr>
              <w:t>Final</w:t>
            </w:r>
            <w:r>
              <w:rPr>
                <w:rFonts w:ascii="Calibri"/>
                <w:b/>
                <w:spacing w:val="-4"/>
                <w:sz w:val="22"/>
              </w:rPr>
              <w:t> </w:t>
            </w:r>
            <w:r>
              <w:rPr>
                <w:rFonts w:ascii="Calibri"/>
                <w:b/>
                <w:spacing w:val="-2"/>
                <w:sz w:val="22"/>
              </w:rPr>
              <w:t>harvest</w:t>
            </w:r>
          </w:p>
        </w:tc>
      </w:tr>
      <w:tr>
        <w:trPr>
          <w:trHeight w:val="2519" w:hRule="atLeast"/>
        </w:trPr>
        <w:tc>
          <w:tcPr>
            <w:tcW w:w="3139" w:type="dxa"/>
            <w:vMerge/>
            <w:tcBorders>
              <w:top w:val="nil"/>
            </w:tcBorders>
            <w:shd w:val="clear" w:color="auto" w:fill="C2D59B"/>
          </w:tcPr>
          <w:p>
            <w:pPr>
              <w:rPr>
                <w:sz w:val="2"/>
                <w:szCs w:val="2"/>
              </w:rPr>
            </w:pPr>
          </w:p>
        </w:tc>
        <w:tc>
          <w:tcPr>
            <w:tcW w:w="3734" w:type="dxa"/>
            <w:vMerge/>
            <w:tcBorders>
              <w:top w:val="nil"/>
            </w:tcBorders>
            <w:shd w:val="clear" w:color="auto" w:fill="C2D59B"/>
          </w:tcPr>
          <w:p>
            <w:pPr>
              <w:rPr>
                <w:sz w:val="2"/>
                <w:szCs w:val="2"/>
              </w:rPr>
            </w:pPr>
          </w:p>
        </w:tc>
        <w:tc>
          <w:tcPr>
            <w:tcW w:w="504" w:type="dxa"/>
            <w:shd w:val="clear" w:color="auto" w:fill="C2D59B"/>
            <w:textDirection w:val="btLr"/>
          </w:tcPr>
          <w:p>
            <w:pPr>
              <w:pStyle w:val="TableParagraph"/>
              <w:spacing w:before="148"/>
              <w:ind w:left="143"/>
              <w:rPr>
                <w:b/>
                <w:sz w:val="18"/>
              </w:rPr>
            </w:pPr>
            <w:r>
              <w:rPr>
                <w:b/>
                <w:sz w:val="18"/>
              </w:rPr>
              <w:t>Prescribed</w:t>
            </w:r>
            <w:r>
              <w:rPr>
                <w:b/>
                <w:spacing w:val="-4"/>
                <w:sz w:val="18"/>
              </w:rPr>
              <w:t> </w:t>
            </w:r>
            <w:r>
              <w:rPr>
                <w:b/>
                <w:sz w:val="18"/>
              </w:rPr>
              <w:t>fire</w:t>
            </w:r>
            <w:r>
              <w:rPr>
                <w:b/>
                <w:spacing w:val="-2"/>
                <w:sz w:val="18"/>
              </w:rPr>
              <w:t> (light)</w:t>
            </w:r>
          </w:p>
        </w:tc>
        <w:tc>
          <w:tcPr>
            <w:tcW w:w="504" w:type="dxa"/>
            <w:shd w:val="clear" w:color="auto" w:fill="C2D59B"/>
            <w:textDirection w:val="btLr"/>
          </w:tcPr>
          <w:p>
            <w:pPr>
              <w:pStyle w:val="TableParagraph"/>
              <w:spacing w:before="148"/>
              <w:ind w:left="143"/>
              <w:rPr>
                <w:b/>
                <w:sz w:val="18"/>
              </w:rPr>
            </w:pPr>
            <w:r>
              <w:rPr>
                <w:b/>
                <w:sz w:val="18"/>
              </w:rPr>
              <w:t>Prescribed</w:t>
            </w:r>
            <w:r>
              <w:rPr>
                <w:b/>
                <w:spacing w:val="-4"/>
                <w:sz w:val="18"/>
              </w:rPr>
              <w:t> </w:t>
            </w:r>
            <w:r>
              <w:rPr>
                <w:b/>
                <w:sz w:val="18"/>
              </w:rPr>
              <w:t>fire</w:t>
            </w:r>
            <w:r>
              <w:rPr>
                <w:b/>
                <w:spacing w:val="-2"/>
                <w:sz w:val="18"/>
              </w:rPr>
              <w:t> (mixed)</w:t>
            </w:r>
          </w:p>
        </w:tc>
        <w:tc>
          <w:tcPr>
            <w:tcW w:w="506" w:type="dxa"/>
            <w:shd w:val="clear" w:color="auto" w:fill="C2D59B"/>
            <w:textDirection w:val="btLr"/>
          </w:tcPr>
          <w:p>
            <w:pPr>
              <w:pStyle w:val="TableParagraph"/>
              <w:spacing w:before="148"/>
              <w:ind w:left="143"/>
              <w:rPr>
                <w:b/>
                <w:sz w:val="18"/>
              </w:rPr>
            </w:pPr>
            <w:r>
              <w:rPr>
                <w:b/>
                <w:sz w:val="18"/>
              </w:rPr>
              <w:t>Prescribed</w:t>
            </w:r>
            <w:r>
              <w:rPr>
                <w:b/>
                <w:spacing w:val="-4"/>
                <w:sz w:val="18"/>
              </w:rPr>
              <w:t> </w:t>
            </w:r>
            <w:r>
              <w:rPr>
                <w:b/>
                <w:sz w:val="18"/>
              </w:rPr>
              <w:t>fire</w:t>
            </w:r>
            <w:r>
              <w:rPr>
                <w:b/>
                <w:spacing w:val="-2"/>
                <w:sz w:val="18"/>
              </w:rPr>
              <w:t> (severe)</w:t>
            </w:r>
          </w:p>
        </w:tc>
        <w:tc>
          <w:tcPr>
            <w:tcW w:w="504" w:type="dxa"/>
            <w:shd w:val="clear" w:color="auto" w:fill="C2D59B"/>
            <w:textDirection w:val="btLr"/>
          </w:tcPr>
          <w:p>
            <w:pPr>
              <w:pStyle w:val="TableParagraph"/>
              <w:spacing w:before="148"/>
              <w:ind w:left="143"/>
              <w:rPr>
                <w:b/>
                <w:sz w:val="18"/>
              </w:rPr>
            </w:pPr>
            <w:r>
              <w:rPr>
                <w:b/>
                <w:sz w:val="18"/>
              </w:rPr>
              <w:t>Precommercial</w:t>
            </w:r>
            <w:r>
              <w:rPr>
                <w:b/>
                <w:spacing w:val="-5"/>
                <w:sz w:val="18"/>
              </w:rPr>
              <w:t> </w:t>
            </w:r>
            <w:r>
              <w:rPr>
                <w:b/>
                <w:spacing w:val="-2"/>
                <w:sz w:val="18"/>
              </w:rPr>
              <w:t>thinning</w:t>
            </w:r>
          </w:p>
        </w:tc>
        <w:tc>
          <w:tcPr>
            <w:tcW w:w="674" w:type="dxa"/>
            <w:shd w:val="clear" w:color="auto" w:fill="C2D59B"/>
            <w:textDirection w:val="btLr"/>
          </w:tcPr>
          <w:p>
            <w:pPr>
              <w:pStyle w:val="TableParagraph"/>
              <w:spacing w:line="260" w:lineRule="atLeast" w:before="95"/>
              <w:ind w:left="143" w:right="732"/>
              <w:rPr>
                <w:b/>
                <w:sz w:val="18"/>
              </w:rPr>
            </w:pPr>
            <w:r>
              <w:rPr>
                <w:b/>
                <w:sz w:val="18"/>
              </w:rPr>
              <w:t>Thinning</w:t>
            </w:r>
            <w:r>
              <w:rPr>
                <w:b/>
                <w:spacing w:val="-15"/>
                <w:sz w:val="18"/>
              </w:rPr>
              <w:t> </w:t>
            </w:r>
            <w:r>
              <w:rPr>
                <w:b/>
                <w:sz w:val="18"/>
              </w:rPr>
              <w:t>small</w:t>
            </w:r>
            <w:r>
              <w:rPr>
                <w:b/>
                <w:spacing w:val="-12"/>
                <w:sz w:val="18"/>
              </w:rPr>
              <w:t> </w:t>
            </w:r>
            <w:r>
              <w:rPr>
                <w:b/>
                <w:sz w:val="18"/>
              </w:rPr>
              <w:t>and </w:t>
            </w:r>
            <w:r>
              <w:rPr>
                <w:b/>
                <w:spacing w:val="-2"/>
                <w:sz w:val="18"/>
              </w:rPr>
              <w:t>medium</w:t>
            </w:r>
          </w:p>
        </w:tc>
        <w:tc>
          <w:tcPr>
            <w:tcW w:w="439" w:type="dxa"/>
            <w:shd w:val="clear" w:color="auto" w:fill="C2D59B"/>
            <w:textDirection w:val="btLr"/>
          </w:tcPr>
          <w:p>
            <w:pPr>
              <w:pStyle w:val="TableParagraph"/>
              <w:spacing w:before="149"/>
              <w:ind w:left="143"/>
              <w:rPr>
                <w:b/>
                <w:sz w:val="18"/>
              </w:rPr>
            </w:pPr>
            <w:r>
              <w:rPr>
                <w:b/>
                <w:sz w:val="18"/>
              </w:rPr>
              <w:t>Partial</w:t>
            </w:r>
            <w:r>
              <w:rPr>
                <w:b/>
                <w:spacing w:val="-3"/>
                <w:sz w:val="18"/>
              </w:rPr>
              <w:t> </w:t>
            </w:r>
            <w:r>
              <w:rPr>
                <w:b/>
                <w:sz w:val="18"/>
              </w:rPr>
              <w:t>harvest</w:t>
            </w:r>
            <w:r>
              <w:rPr>
                <w:b/>
                <w:spacing w:val="-2"/>
                <w:sz w:val="18"/>
              </w:rPr>
              <w:t> poles</w:t>
            </w:r>
          </w:p>
        </w:tc>
        <w:tc>
          <w:tcPr>
            <w:tcW w:w="413" w:type="dxa"/>
            <w:shd w:val="clear" w:color="auto" w:fill="C2D59B"/>
            <w:textDirection w:val="btLr"/>
          </w:tcPr>
          <w:p>
            <w:pPr>
              <w:pStyle w:val="TableParagraph"/>
              <w:spacing w:before="149"/>
              <w:ind w:left="143"/>
              <w:rPr>
                <w:b/>
                <w:sz w:val="18"/>
              </w:rPr>
            </w:pPr>
            <w:r>
              <w:rPr>
                <w:b/>
                <w:sz w:val="18"/>
              </w:rPr>
              <w:t>Partial</w:t>
            </w:r>
            <w:r>
              <w:rPr>
                <w:b/>
                <w:spacing w:val="-3"/>
                <w:sz w:val="18"/>
              </w:rPr>
              <w:t> </w:t>
            </w:r>
            <w:r>
              <w:rPr>
                <w:b/>
                <w:sz w:val="18"/>
              </w:rPr>
              <w:t>harvest</w:t>
            </w:r>
            <w:r>
              <w:rPr>
                <w:b/>
                <w:spacing w:val="-2"/>
                <w:sz w:val="18"/>
              </w:rPr>
              <w:t> small</w:t>
            </w:r>
          </w:p>
        </w:tc>
        <w:tc>
          <w:tcPr>
            <w:tcW w:w="507" w:type="dxa"/>
            <w:shd w:val="clear" w:color="auto" w:fill="C2D59B"/>
            <w:textDirection w:val="btLr"/>
          </w:tcPr>
          <w:p>
            <w:pPr>
              <w:pStyle w:val="TableParagraph"/>
              <w:spacing w:before="149"/>
              <w:ind w:left="143"/>
              <w:rPr>
                <w:b/>
                <w:sz w:val="18"/>
              </w:rPr>
            </w:pPr>
            <w:r>
              <w:rPr>
                <w:b/>
                <w:sz w:val="18"/>
              </w:rPr>
              <w:t>Partial</w:t>
            </w:r>
            <w:r>
              <w:rPr>
                <w:b/>
                <w:spacing w:val="-3"/>
                <w:sz w:val="18"/>
              </w:rPr>
              <w:t> </w:t>
            </w:r>
            <w:r>
              <w:rPr>
                <w:b/>
                <w:sz w:val="18"/>
              </w:rPr>
              <w:t>harvest</w:t>
            </w:r>
            <w:r>
              <w:rPr>
                <w:b/>
                <w:spacing w:val="-2"/>
                <w:sz w:val="18"/>
              </w:rPr>
              <w:t> medium</w:t>
            </w:r>
          </w:p>
        </w:tc>
        <w:tc>
          <w:tcPr>
            <w:tcW w:w="406" w:type="dxa"/>
            <w:shd w:val="clear" w:color="auto" w:fill="C2D59B"/>
            <w:textDirection w:val="btLr"/>
          </w:tcPr>
          <w:p>
            <w:pPr>
              <w:pStyle w:val="TableParagraph"/>
              <w:spacing w:before="148"/>
              <w:ind w:left="143"/>
              <w:rPr>
                <w:b/>
                <w:sz w:val="18"/>
              </w:rPr>
            </w:pPr>
            <w:r>
              <w:rPr>
                <w:b/>
                <w:sz w:val="18"/>
              </w:rPr>
              <w:t>Variable</w:t>
            </w:r>
            <w:r>
              <w:rPr>
                <w:b/>
                <w:spacing w:val="-3"/>
                <w:sz w:val="18"/>
              </w:rPr>
              <w:t> </w:t>
            </w:r>
            <w:r>
              <w:rPr>
                <w:b/>
                <w:sz w:val="18"/>
              </w:rPr>
              <w:t>density</w:t>
            </w:r>
            <w:r>
              <w:rPr>
                <w:b/>
                <w:spacing w:val="-2"/>
                <w:sz w:val="18"/>
              </w:rPr>
              <w:t> thinning</w:t>
            </w:r>
          </w:p>
        </w:tc>
        <w:tc>
          <w:tcPr>
            <w:tcW w:w="444" w:type="dxa"/>
            <w:shd w:val="clear" w:color="auto" w:fill="C2D59B"/>
            <w:textDirection w:val="btLr"/>
          </w:tcPr>
          <w:p>
            <w:pPr>
              <w:pStyle w:val="TableParagraph"/>
              <w:spacing w:before="148"/>
              <w:ind w:left="143"/>
              <w:rPr>
                <w:b/>
                <w:sz w:val="18"/>
              </w:rPr>
            </w:pPr>
            <w:r>
              <w:rPr>
                <w:b/>
                <w:sz w:val="18"/>
              </w:rPr>
              <w:t>Shelterwood</w:t>
            </w:r>
            <w:r>
              <w:rPr>
                <w:b/>
                <w:spacing w:val="-2"/>
                <w:sz w:val="18"/>
              </w:rPr>
              <w:t> </w:t>
            </w:r>
            <w:r>
              <w:rPr>
                <w:b/>
                <w:sz w:val="18"/>
              </w:rPr>
              <w:t>w/</w:t>
            </w:r>
            <w:r>
              <w:rPr>
                <w:b/>
                <w:spacing w:val="-2"/>
                <w:sz w:val="18"/>
              </w:rPr>
              <w:t> reserves</w:t>
            </w:r>
          </w:p>
        </w:tc>
        <w:tc>
          <w:tcPr>
            <w:tcW w:w="677" w:type="dxa"/>
            <w:shd w:val="clear" w:color="auto" w:fill="C2D59B"/>
            <w:textDirection w:val="btLr"/>
          </w:tcPr>
          <w:p>
            <w:pPr>
              <w:pStyle w:val="TableParagraph"/>
              <w:spacing w:line="260" w:lineRule="atLeast" w:before="95"/>
              <w:ind w:left="143"/>
              <w:rPr>
                <w:b/>
                <w:sz w:val="18"/>
              </w:rPr>
            </w:pPr>
            <w:r>
              <w:rPr>
                <w:b/>
                <w:sz w:val="18"/>
              </w:rPr>
              <w:t>Regeneration</w:t>
            </w:r>
            <w:r>
              <w:rPr>
                <w:b/>
                <w:spacing w:val="-15"/>
                <w:sz w:val="18"/>
              </w:rPr>
              <w:t> </w:t>
            </w:r>
            <w:r>
              <w:rPr>
                <w:b/>
                <w:sz w:val="18"/>
              </w:rPr>
              <w:t>small</w:t>
            </w:r>
            <w:r>
              <w:rPr>
                <w:b/>
                <w:spacing w:val="-12"/>
                <w:sz w:val="18"/>
              </w:rPr>
              <w:t> </w:t>
            </w:r>
            <w:r>
              <w:rPr>
                <w:b/>
                <w:sz w:val="18"/>
              </w:rPr>
              <w:t>and </w:t>
            </w:r>
            <w:r>
              <w:rPr>
                <w:b/>
                <w:spacing w:val="-2"/>
                <w:sz w:val="18"/>
              </w:rPr>
              <w:t>medium</w:t>
            </w:r>
          </w:p>
        </w:tc>
        <w:tc>
          <w:tcPr>
            <w:tcW w:w="490" w:type="dxa"/>
            <w:shd w:val="clear" w:color="auto" w:fill="C2D59B"/>
            <w:textDirection w:val="btLr"/>
          </w:tcPr>
          <w:p>
            <w:pPr>
              <w:pStyle w:val="TableParagraph"/>
              <w:spacing w:before="147"/>
              <w:ind w:left="143"/>
              <w:rPr>
                <w:b/>
                <w:sz w:val="18"/>
              </w:rPr>
            </w:pPr>
            <w:r>
              <w:rPr>
                <w:b/>
                <w:spacing w:val="-2"/>
                <w:sz w:val="18"/>
              </w:rPr>
              <w:t>Salvage</w:t>
            </w:r>
          </w:p>
        </w:tc>
      </w:tr>
      <w:tr>
        <w:trPr>
          <w:trHeight w:val="277" w:hRule="atLeast"/>
        </w:trPr>
        <w:tc>
          <w:tcPr>
            <w:tcW w:w="3139" w:type="dxa"/>
            <w:vMerge w:val="restart"/>
          </w:tcPr>
          <w:p>
            <w:pPr>
              <w:pStyle w:val="TableParagraph"/>
              <w:spacing w:before="42"/>
              <w:ind w:left="107"/>
              <w:rPr>
                <w:b/>
                <w:sz w:val="18"/>
              </w:rPr>
            </w:pPr>
            <w:r>
              <w:rPr>
                <w:b/>
                <w:sz w:val="18"/>
              </w:rPr>
              <w:t>Focused</w:t>
            </w:r>
            <w:r>
              <w:rPr>
                <w:b/>
                <w:spacing w:val="-2"/>
                <w:sz w:val="18"/>
              </w:rPr>
              <w:t> </w:t>
            </w:r>
            <w:r>
              <w:rPr>
                <w:b/>
                <w:sz w:val="18"/>
              </w:rPr>
              <w:t>&amp;</w:t>
            </w:r>
            <w:r>
              <w:rPr>
                <w:b/>
                <w:spacing w:val="-2"/>
                <w:sz w:val="18"/>
              </w:rPr>
              <w:t> </w:t>
            </w:r>
            <w:r>
              <w:rPr>
                <w:b/>
                <w:sz w:val="18"/>
              </w:rPr>
              <w:t>General</w:t>
            </w:r>
            <w:r>
              <w:rPr>
                <w:b/>
                <w:spacing w:val="-4"/>
                <w:sz w:val="18"/>
              </w:rPr>
              <w:t> </w:t>
            </w:r>
            <w:r>
              <w:rPr>
                <w:b/>
                <w:spacing w:val="-2"/>
                <w:sz w:val="18"/>
              </w:rPr>
              <w:t>Restoration</w:t>
            </w:r>
          </w:p>
        </w:tc>
        <w:tc>
          <w:tcPr>
            <w:tcW w:w="3734" w:type="dxa"/>
          </w:tcPr>
          <w:p>
            <w:pPr>
              <w:pStyle w:val="TableParagraph"/>
              <w:spacing w:before="42"/>
              <w:ind w:left="107"/>
              <w:rPr>
                <w:sz w:val="18"/>
              </w:rPr>
            </w:pPr>
            <w:r>
              <w:rPr>
                <w:sz w:val="18"/>
              </w:rPr>
              <w:t>Douglas-fir</w:t>
            </w:r>
            <w:r>
              <w:rPr>
                <w:spacing w:val="-6"/>
                <w:sz w:val="18"/>
              </w:rPr>
              <w:t> </w:t>
            </w:r>
            <w:r>
              <w:rPr>
                <w:spacing w:val="-5"/>
                <w:sz w:val="18"/>
              </w:rPr>
              <w:t>dry</w:t>
            </w:r>
          </w:p>
        </w:tc>
        <w:tc>
          <w:tcPr>
            <w:tcW w:w="504" w:type="dxa"/>
          </w:tcPr>
          <w:p>
            <w:pPr>
              <w:pStyle w:val="TableParagraph"/>
              <w:spacing w:before="42"/>
              <w:ind w:left="108"/>
              <w:rPr>
                <w:sz w:val="18"/>
              </w:rPr>
            </w:pPr>
            <w:r>
              <w:rPr>
                <w:spacing w:val="-10"/>
                <w:sz w:val="18"/>
              </w:rPr>
              <w:t>X</w:t>
            </w: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42"/>
              <w:ind w:left="108"/>
              <w:rPr>
                <w:sz w:val="18"/>
              </w:rPr>
            </w:pPr>
            <w:r>
              <w:rPr>
                <w:spacing w:val="-10"/>
                <w:sz w:val="18"/>
              </w:rPr>
              <w:t>X</w:t>
            </w:r>
          </w:p>
        </w:tc>
        <w:tc>
          <w:tcPr>
            <w:tcW w:w="674" w:type="dxa"/>
          </w:tcPr>
          <w:p>
            <w:pPr>
              <w:pStyle w:val="TableParagraph"/>
              <w:spacing w:before="0"/>
              <w:rPr>
                <w:rFonts w:ascii="Times New Roman"/>
                <w:sz w:val="18"/>
              </w:rPr>
            </w:pPr>
          </w:p>
        </w:tc>
        <w:tc>
          <w:tcPr>
            <w:tcW w:w="439" w:type="dxa"/>
          </w:tcPr>
          <w:p>
            <w:pPr>
              <w:pStyle w:val="TableParagraph"/>
              <w:spacing w:before="42"/>
              <w:ind w:left="109"/>
              <w:rPr>
                <w:sz w:val="18"/>
              </w:rPr>
            </w:pPr>
            <w:r>
              <w:rPr>
                <w:spacing w:val="-10"/>
                <w:sz w:val="18"/>
              </w:rPr>
              <w:t>X</w:t>
            </w:r>
          </w:p>
        </w:tc>
        <w:tc>
          <w:tcPr>
            <w:tcW w:w="413" w:type="dxa"/>
          </w:tcPr>
          <w:p>
            <w:pPr>
              <w:pStyle w:val="TableParagraph"/>
              <w:spacing w:before="0"/>
              <w:rPr>
                <w:rFonts w:ascii="Times New Roman"/>
                <w:sz w:val="18"/>
              </w:rPr>
            </w:pPr>
          </w:p>
        </w:tc>
        <w:tc>
          <w:tcPr>
            <w:tcW w:w="507" w:type="dxa"/>
          </w:tcPr>
          <w:p>
            <w:pPr>
              <w:pStyle w:val="TableParagraph"/>
              <w:spacing w:before="42"/>
              <w:ind w:left="108"/>
              <w:rPr>
                <w:sz w:val="18"/>
              </w:rPr>
            </w:pPr>
            <w:r>
              <w:rPr>
                <w:spacing w:val="-10"/>
                <w:sz w:val="18"/>
              </w:rPr>
              <w:t>X</w:t>
            </w:r>
          </w:p>
        </w:tc>
        <w:tc>
          <w:tcPr>
            <w:tcW w:w="406" w:type="dxa"/>
          </w:tcPr>
          <w:p>
            <w:pPr>
              <w:pStyle w:val="TableParagraph"/>
              <w:spacing w:before="42"/>
              <w:ind w:right="47"/>
              <w:jc w:val="center"/>
              <w:rPr>
                <w:sz w:val="18"/>
              </w:rPr>
            </w:pPr>
            <w:r>
              <w:rPr>
                <w:spacing w:val="-10"/>
                <w:sz w:val="18"/>
              </w:rPr>
              <w:t>X</w:t>
            </w: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5" w:hRule="atLeast"/>
        </w:trPr>
        <w:tc>
          <w:tcPr>
            <w:tcW w:w="3139" w:type="dxa"/>
            <w:vMerge/>
            <w:tcBorders>
              <w:top w:val="nil"/>
            </w:tcBorders>
          </w:tcPr>
          <w:p>
            <w:pPr>
              <w:rPr>
                <w:sz w:val="2"/>
                <w:szCs w:val="2"/>
              </w:rPr>
            </w:pPr>
          </w:p>
        </w:tc>
        <w:tc>
          <w:tcPr>
            <w:tcW w:w="3734" w:type="dxa"/>
          </w:tcPr>
          <w:p>
            <w:pPr>
              <w:pStyle w:val="TableParagraph"/>
              <w:ind w:left="107"/>
              <w:rPr>
                <w:sz w:val="18"/>
              </w:rPr>
            </w:pPr>
            <w:r>
              <w:rPr>
                <w:sz w:val="18"/>
              </w:rPr>
              <w:t>Northern</w:t>
            </w:r>
            <w:r>
              <w:rPr>
                <w:spacing w:val="-3"/>
                <w:sz w:val="18"/>
              </w:rPr>
              <w:t> </w:t>
            </w:r>
            <w:r>
              <w:rPr>
                <w:sz w:val="18"/>
              </w:rPr>
              <w:t>Rocky</w:t>
            </w:r>
            <w:r>
              <w:rPr>
                <w:spacing w:val="-5"/>
                <w:sz w:val="18"/>
              </w:rPr>
              <w:t> </w:t>
            </w:r>
            <w:r>
              <w:rPr>
                <w:sz w:val="18"/>
              </w:rPr>
              <w:t>Mountain</w:t>
            </w:r>
            <w:r>
              <w:rPr>
                <w:spacing w:val="-2"/>
                <w:sz w:val="18"/>
              </w:rPr>
              <w:t> </w:t>
            </w:r>
            <w:r>
              <w:rPr>
                <w:sz w:val="18"/>
              </w:rPr>
              <w:t>mixed</w:t>
            </w:r>
            <w:r>
              <w:rPr>
                <w:spacing w:val="-3"/>
                <w:sz w:val="18"/>
              </w:rPr>
              <w:t> </w:t>
            </w:r>
            <w:r>
              <w:rPr>
                <w:spacing w:val="-2"/>
                <w:sz w:val="18"/>
              </w:rPr>
              <w:t>conifer</w:t>
            </w:r>
          </w:p>
        </w:tc>
        <w:tc>
          <w:tcPr>
            <w:tcW w:w="504" w:type="dxa"/>
          </w:tcPr>
          <w:p>
            <w:pPr>
              <w:pStyle w:val="TableParagraph"/>
              <w:spacing w:before="0"/>
              <w:rPr>
                <w:rFonts w:ascii="Times New Roman"/>
                <w:sz w:val="18"/>
              </w:rPr>
            </w:pPr>
          </w:p>
        </w:tc>
        <w:tc>
          <w:tcPr>
            <w:tcW w:w="504" w:type="dxa"/>
          </w:tcPr>
          <w:p>
            <w:pPr>
              <w:pStyle w:val="TableParagraph"/>
              <w:ind w:left="108"/>
              <w:rPr>
                <w:sz w:val="18"/>
              </w:rPr>
            </w:pPr>
            <w:r>
              <w:rPr>
                <w:spacing w:val="-10"/>
                <w:sz w:val="18"/>
              </w:rPr>
              <w:t>X</w:t>
            </w: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ind w:right="47"/>
              <w:jc w:val="center"/>
              <w:rPr>
                <w:sz w:val="18"/>
              </w:rPr>
            </w:pPr>
            <w:r>
              <w:rPr>
                <w:spacing w:val="-10"/>
                <w:sz w:val="18"/>
              </w:rPr>
              <w:t>X</w:t>
            </w: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5" w:hRule="atLeast"/>
        </w:trPr>
        <w:tc>
          <w:tcPr>
            <w:tcW w:w="3139" w:type="dxa"/>
            <w:vMerge/>
            <w:tcBorders>
              <w:top w:val="nil"/>
            </w:tcBorders>
          </w:tcPr>
          <w:p>
            <w:pPr>
              <w:rPr>
                <w:sz w:val="2"/>
                <w:szCs w:val="2"/>
              </w:rPr>
            </w:pPr>
          </w:p>
        </w:tc>
        <w:tc>
          <w:tcPr>
            <w:tcW w:w="3734" w:type="dxa"/>
          </w:tcPr>
          <w:p>
            <w:pPr>
              <w:pStyle w:val="TableParagraph"/>
              <w:ind w:left="107"/>
              <w:rPr>
                <w:sz w:val="18"/>
              </w:rPr>
            </w:pPr>
            <w:r>
              <w:rPr>
                <w:sz w:val="18"/>
              </w:rPr>
              <w:t>Western</w:t>
            </w:r>
            <w:r>
              <w:rPr>
                <w:spacing w:val="1"/>
                <w:sz w:val="18"/>
              </w:rPr>
              <w:t> </w:t>
            </w:r>
            <w:r>
              <w:rPr>
                <w:sz w:val="18"/>
              </w:rPr>
              <w:t>red</w:t>
            </w:r>
            <w:r>
              <w:rPr>
                <w:spacing w:val="-2"/>
                <w:sz w:val="18"/>
              </w:rPr>
              <w:t> </w:t>
            </w:r>
            <w:r>
              <w:rPr>
                <w:sz w:val="18"/>
              </w:rPr>
              <w:t>cedar /</w:t>
            </w:r>
            <w:r>
              <w:rPr>
                <w:spacing w:val="-7"/>
                <w:sz w:val="18"/>
              </w:rPr>
              <w:t> </w:t>
            </w:r>
            <w:r>
              <w:rPr>
                <w:sz w:val="18"/>
              </w:rPr>
              <w:t>Western</w:t>
            </w:r>
            <w:r>
              <w:rPr>
                <w:spacing w:val="-2"/>
                <w:sz w:val="18"/>
              </w:rPr>
              <w:t> hemlock</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7" w:hRule="atLeast"/>
        </w:trPr>
        <w:tc>
          <w:tcPr>
            <w:tcW w:w="3139" w:type="dxa"/>
            <w:vMerge/>
            <w:tcBorders>
              <w:top w:val="nil"/>
            </w:tcBorders>
          </w:tcPr>
          <w:p>
            <w:pPr>
              <w:rPr>
                <w:sz w:val="2"/>
                <w:szCs w:val="2"/>
              </w:rPr>
            </w:pPr>
          </w:p>
        </w:tc>
        <w:tc>
          <w:tcPr>
            <w:tcW w:w="3734" w:type="dxa"/>
          </w:tcPr>
          <w:p>
            <w:pPr>
              <w:pStyle w:val="TableParagraph"/>
              <w:spacing w:before="42"/>
              <w:ind w:left="107"/>
              <w:rPr>
                <w:sz w:val="18"/>
              </w:rPr>
            </w:pPr>
            <w:r>
              <w:rPr>
                <w:sz w:val="18"/>
              </w:rPr>
              <w:t>Subalpine</w:t>
            </w:r>
            <w:r>
              <w:rPr>
                <w:spacing w:val="-4"/>
                <w:sz w:val="18"/>
              </w:rPr>
              <w:t> </w:t>
            </w:r>
            <w:r>
              <w:rPr>
                <w:sz w:val="18"/>
              </w:rPr>
              <w:t>fir</w:t>
            </w:r>
            <w:r>
              <w:rPr>
                <w:spacing w:val="-2"/>
                <w:sz w:val="18"/>
              </w:rPr>
              <w:t> </w:t>
            </w:r>
            <w:r>
              <w:rPr>
                <w:sz w:val="18"/>
              </w:rPr>
              <w:t>/</w:t>
            </w:r>
            <w:r>
              <w:rPr>
                <w:spacing w:val="-4"/>
                <w:sz w:val="18"/>
              </w:rPr>
              <w:t> </w:t>
            </w:r>
            <w:r>
              <w:rPr>
                <w:sz w:val="18"/>
              </w:rPr>
              <w:t>Lodgepole</w:t>
            </w:r>
            <w:r>
              <w:rPr>
                <w:spacing w:val="-3"/>
                <w:sz w:val="18"/>
              </w:rPr>
              <w:t> </w:t>
            </w:r>
            <w:r>
              <w:rPr>
                <w:spacing w:val="-4"/>
                <w:sz w:val="18"/>
              </w:rPr>
              <w:t>pine</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42"/>
              <w:ind w:left="108"/>
              <w:rPr>
                <w:sz w:val="18"/>
              </w:rPr>
            </w:pPr>
            <w:r>
              <w:rPr>
                <w:spacing w:val="-10"/>
                <w:sz w:val="18"/>
              </w:rPr>
              <w:t>X</w:t>
            </w: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42"/>
              <w:ind w:left="107"/>
              <w:rPr>
                <w:sz w:val="18"/>
              </w:rPr>
            </w:pPr>
            <w:r>
              <w:rPr>
                <w:spacing w:val="-10"/>
                <w:sz w:val="18"/>
              </w:rPr>
              <w:t>X</w:t>
            </w: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5" w:hRule="atLeast"/>
        </w:trPr>
        <w:tc>
          <w:tcPr>
            <w:tcW w:w="3139" w:type="dxa"/>
            <w:vMerge/>
            <w:tcBorders>
              <w:top w:val="nil"/>
            </w:tcBorders>
          </w:tcPr>
          <w:p>
            <w:pPr>
              <w:rPr>
                <w:sz w:val="2"/>
                <w:szCs w:val="2"/>
              </w:rPr>
            </w:pPr>
          </w:p>
        </w:tc>
        <w:tc>
          <w:tcPr>
            <w:tcW w:w="3734" w:type="dxa"/>
          </w:tcPr>
          <w:p>
            <w:pPr>
              <w:pStyle w:val="TableParagraph"/>
              <w:ind w:left="107"/>
              <w:rPr>
                <w:sz w:val="18"/>
              </w:rPr>
            </w:pPr>
            <w:r>
              <w:rPr>
                <w:sz w:val="18"/>
              </w:rPr>
              <w:t>Spruce</w:t>
            </w:r>
            <w:r>
              <w:rPr>
                <w:spacing w:val="-4"/>
                <w:sz w:val="18"/>
              </w:rPr>
              <w:t> </w:t>
            </w:r>
            <w:r>
              <w:rPr>
                <w:sz w:val="18"/>
              </w:rPr>
              <w:t>/</w:t>
            </w:r>
            <w:r>
              <w:rPr>
                <w:spacing w:val="-2"/>
                <w:sz w:val="18"/>
              </w:rPr>
              <w:t> </w:t>
            </w:r>
            <w:r>
              <w:rPr>
                <w:sz w:val="18"/>
              </w:rPr>
              <w:t>Subalpine</w:t>
            </w:r>
            <w:r>
              <w:rPr>
                <w:spacing w:val="-3"/>
                <w:sz w:val="18"/>
              </w:rPr>
              <w:t> </w:t>
            </w:r>
            <w:r>
              <w:rPr>
                <w:spacing w:val="-5"/>
                <w:sz w:val="18"/>
              </w:rPr>
              <w:t>fir</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5" w:hRule="atLeast"/>
        </w:trPr>
        <w:tc>
          <w:tcPr>
            <w:tcW w:w="3139" w:type="dxa"/>
            <w:vMerge w:val="restart"/>
          </w:tcPr>
          <w:p>
            <w:pPr>
              <w:pStyle w:val="TableParagraph"/>
              <w:ind w:left="107"/>
              <w:rPr>
                <w:b/>
                <w:sz w:val="18"/>
              </w:rPr>
            </w:pPr>
            <w:r>
              <w:rPr>
                <w:b/>
                <w:sz w:val="18"/>
              </w:rPr>
              <w:t>Wilderness</w:t>
            </w:r>
            <w:r>
              <w:rPr>
                <w:b/>
                <w:spacing w:val="-1"/>
                <w:sz w:val="18"/>
              </w:rPr>
              <w:t> </w:t>
            </w:r>
            <w:r>
              <w:rPr>
                <w:b/>
                <w:sz w:val="18"/>
              </w:rPr>
              <w:t>/</w:t>
            </w:r>
            <w:r>
              <w:rPr>
                <w:b/>
                <w:spacing w:val="-1"/>
                <w:sz w:val="18"/>
              </w:rPr>
              <w:t> </w:t>
            </w:r>
            <w:r>
              <w:rPr>
                <w:b/>
                <w:spacing w:val="-4"/>
                <w:sz w:val="18"/>
              </w:rPr>
              <w:t>Other</w:t>
            </w:r>
          </w:p>
        </w:tc>
        <w:tc>
          <w:tcPr>
            <w:tcW w:w="3734" w:type="dxa"/>
          </w:tcPr>
          <w:p>
            <w:pPr>
              <w:pStyle w:val="TableParagraph"/>
              <w:ind w:left="107"/>
              <w:rPr>
                <w:sz w:val="18"/>
              </w:rPr>
            </w:pPr>
            <w:r>
              <w:rPr>
                <w:sz w:val="18"/>
              </w:rPr>
              <w:t>Douglas-fir</w:t>
            </w:r>
            <w:r>
              <w:rPr>
                <w:spacing w:val="-6"/>
                <w:sz w:val="18"/>
              </w:rPr>
              <w:t> </w:t>
            </w:r>
            <w:r>
              <w:rPr>
                <w:spacing w:val="-5"/>
                <w:sz w:val="18"/>
              </w:rPr>
              <w:t>dry</w:t>
            </w:r>
          </w:p>
        </w:tc>
        <w:tc>
          <w:tcPr>
            <w:tcW w:w="504" w:type="dxa"/>
          </w:tcPr>
          <w:p>
            <w:pPr>
              <w:pStyle w:val="TableParagraph"/>
              <w:ind w:left="108"/>
              <w:rPr>
                <w:sz w:val="18"/>
              </w:rPr>
            </w:pPr>
            <w:r>
              <w:rPr>
                <w:spacing w:val="-10"/>
                <w:sz w:val="18"/>
              </w:rPr>
              <w:t>X</w:t>
            </w: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94" w:hRule="atLeast"/>
        </w:trPr>
        <w:tc>
          <w:tcPr>
            <w:tcW w:w="3139" w:type="dxa"/>
            <w:vMerge/>
            <w:tcBorders>
              <w:top w:val="nil"/>
            </w:tcBorders>
          </w:tcPr>
          <w:p>
            <w:pPr>
              <w:rPr>
                <w:sz w:val="2"/>
                <w:szCs w:val="2"/>
              </w:rPr>
            </w:pPr>
          </w:p>
        </w:tc>
        <w:tc>
          <w:tcPr>
            <w:tcW w:w="3734" w:type="dxa"/>
          </w:tcPr>
          <w:p>
            <w:pPr>
              <w:pStyle w:val="TableParagraph"/>
              <w:spacing w:before="42"/>
              <w:ind w:left="107"/>
              <w:rPr>
                <w:sz w:val="18"/>
              </w:rPr>
            </w:pPr>
            <w:r>
              <w:rPr>
                <w:sz w:val="18"/>
              </w:rPr>
              <w:t>Northern</w:t>
            </w:r>
            <w:r>
              <w:rPr>
                <w:spacing w:val="-3"/>
                <w:sz w:val="18"/>
              </w:rPr>
              <w:t> </w:t>
            </w:r>
            <w:r>
              <w:rPr>
                <w:sz w:val="18"/>
              </w:rPr>
              <w:t>Rocky</w:t>
            </w:r>
            <w:r>
              <w:rPr>
                <w:spacing w:val="-5"/>
                <w:sz w:val="18"/>
              </w:rPr>
              <w:t> </w:t>
            </w:r>
            <w:r>
              <w:rPr>
                <w:sz w:val="18"/>
              </w:rPr>
              <w:t>Mountain</w:t>
            </w:r>
            <w:r>
              <w:rPr>
                <w:spacing w:val="-2"/>
                <w:sz w:val="18"/>
              </w:rPr>
              <w:t> </w:t>
            </w:r>
            <w:r>
              <w:rPr>
                <w:sz w:val="18"/>
              </w:rPr>
              <w:t>mixed</w:t>
            </w:r>
            <w:r>
              <w:rPr>
                <w:spacing w:val="-3"/>
                <w:sz w:val="18"/>
              </w:rPr>
              <w:t> </w:t>
            </w:r>
            <w:r>
              <w:rPr>
                <w:spacing w:val="-2"/>
                <w:sz w:val="18"/>
              </w:rPr>
              <w:t>conifer</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7" w:hRule="atLeast"/>
        </w:trPr>
        <w:tc>
          <w:tcPr>
            <w:tcW w:w="3139" w:type="dxa"/>
            <w:vMerge/>
            <w:tcBorders>
              <w:top w:val="nil"/>
            </w:tcBorders>
          </w:tcPr>
          <w:p>
            <w:pPr>
              <w:rPr>
                <w:sz w:val="2"/>
                <w:szCs w:val="2"/>
              </w:rPr>
            </w:pPr>
          </w:p>
        </w:tc>
        <w:tc>
          <w:tcPr>
            <w:tcW w:w="3734" w:type="dxa"/>
          </w:tcPr>
          <w:p>
            <w:pPr>
              <w:pStyle w:val="TableParagraph"/>
              <w:spacing w:before="42"/>
              <w:ind w:left="107"/>
              <w:rPr>
                <w:sz w:val="18"/>
              </w:rPr>
            </w:pPr>
            <w:r>
              <w:rPr>
                <w:sz w:val="18"/>
              </w:rPr>
              <w:t>Western</w:t>
            </w:r>
            <w:r>
              <w:rPr>
                <w:spacing w:val="1"/>
                <w:sz w:val="18"/>
              </w:rPr>
              <w:t> </w:t>
            </w:r>
            <w:r>
              <w:rPr>
                <w:sz w:val="18"/>
              </w:rPr>
              <w:t>red</w:t>
            </w:r>
            <w:r>
              <w:rPr>
                <w:spacing w:val="-2"/>
                <w:sz w:val="18"/>
              </w:rPr>
              <w:t> </w:t>
            </w:r>
            <w:r>
              <w:rPr>
                <w:sz w:val="18"/>
              </w:rPr>
              <w:t>cedar /</w:t>
            </w:r>
            <w:r>
              <w:rPr>
                <w:spacing w:val="-7"/>
                <w:sz w:val="18"/>
              </w:rPr>
              <w:t> </w:t>
            </w:r>
            <w:r>
              <w:rPr>
                <w:sz w:val="18"/>
              </w:rPr>
              <w:t>Western</w:t>
            </w:r>
            <w:r>
              <w:rPr>
                <w:spacing w:val="-2"/>
                <w:sz w:val="18"/>
              </w:rPr>
              <w:t> hemlock</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75" w:hRule="atLeast"/>
        </w:trPr>
        <w:tc>
          <w:tcPr>
            <w:tcW w:w="3139" w:type="dxa"/>
            <w:vMerge/>
            <w:tcBorders>
              <w:top w:val="nil"/>
            </w:tcBorders>
          </w:tcPr>
          <w:p>
            <w:pPr>
              <w:rPr>
                <w:sz w:val="2"/>
                <w:szCs w:val="2"/>
              </w:rPr>
            </w:pPr>
          </w:p>
        </w:tc>
        <w:tc>
          <w:tcPr>
            <w:tcW w:w="3734" w:type="dxa"/>
          </w:tcPr>
          <w:p>
            <w:pPr>
              <w:pStyle w:val="TableParagraph"/>
              <w:ind w:left="107"/>
              <w:rPr>
                <w:sz w:val="18"/>
              </w:rPr>
            </w:pPr>
            <w:r>
              <w:rPr>
                <w:sz w:val="18"/>
              </w:rPr>
              <w:t>Subalpine</w:t>
            </w:r>
            <w:r>
              <w:rPr>
                <w:spacing w:val="-4"/>
                <w:sz w:val="18"/>
              </w:rPr>
              <w:t> </w:t>
            </w:r>
            <w:r>
              <w:rPr>
                <w:sz w:val="18"/>
              </w:rPr>
              <w:t>fir</w:t>
            </w:r>
            <w:r>
              <w:rPr>
                <w:spacing w:val="-2"/>
                <w:sz w:val="18"/>
              </w:rPr>
              <w:t> </w:t>
            </w:r>
            <w:r>
              <w:rPr>
                <w:sz w:val="18"/>
              </w:rPr>
              <w:t>/</w:t>
            </w:r>
            <w:r>
              <w:rPr>
                <w:spacing w:val="-4"/>
                <w:sz w:val="18"/>
              </w:rPr>
              <w:t> </w:t>
            </w:r>
            <w:r>
              <w:rPr>
                <w:sz w:val="18"/>
              </w:rPr>
              <w:t>Lodgepole</w:t>
            </w:r>
            <w:r>
              <w:rPr>
                <w:spacing w:val="-3"/>
                <w:sz w:val="18"/>
              </w:rPr>
              <w:t> </w:t>
            </w:r>
            <w:r>
              <w:rPr>
                <w:spacing w:val="-4"/>
                <w:sz w:val="18"/>
              </w:rPr>
              <w:t>pine</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ind w:left="108"/>
              <w:rPr>
                <w:sz w:val="18"/>
              </w:rPr>
            </w:pPr>
            <w:r>
              <w:rPr>
                <w:spacing w:val="-10"/>
                <w:sz w:val="18"/>
              </w:rPr>
              <w:t>X</w:t>
            </w: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r>
        <w:trPr>
          <w:trHeight w:val="289" w:hRule="atLeast"/>
        </w:trPr>
        <w:tc>
          <w:tcPr>
            <w:tcW w:w="3139" w:type="dxa"/>
            <w:vMerge/>
            <w:tcBorders>
              <w:top w:val="nil"/>
            </w:tcBorders>
          </w:tcPr>
          <w:p>
            <w:pPr>
              <w:rPr>
                <w:sz w:val="2"/>
                <w:szCs w:val="2"/>
              </w:rPr>
            </w:pPr>
          </w:p>
        </w:tc>
        <w:tc>
          <w:tcPr>
            <w:tcW w:w="3734" w:type="dxa"/>
          </w:tcPr>
          <w:p>
            <w:pPr>
              <w:pStyle w:val="TableParagraph"/>
              <w:ind w:left="107"/>
              <w:rPr>
                <w:sz w:val="18"/>
              </w:rPr>
            </w:pPr>
            <w:r>
              <w:rPr>
                <w:sz w:val="18"/>
              </w:rPr>
              <w:t>Spruce</w:t>
            </w:r>
            <w:r>
              <w:rPr>
                <w:spacing w:val="-4"/>
                <w:sz w:val="18"/>
              </w:rPr>
              <w:t> </w:t>
            </w:r>
            <w:r>
              <w:rPr>
                <w:sz w:val="18"/>
              </w:rPr>
              <w:t>/</w:t>
            </w:r>
            <w:r>
              <w:rPr>
                <w:spacing w:val="-2"/>
                <w:sz w:val="18"/>
              </w:rPr>
              <w:t> </w:t>
            </w:r>
            <w:r>
              <w:rPr>
                <w:sz w:val="18"/>
              </w:rPr>
              <w:t>Subalpine</w:t>
            </w:r>
            <w:r>
              <w:rPr>
                <w:spacing w:val="-3"/>
                <w:sz w:val="18"/>
              </w:rPr>
              <w:t> </w:t>
            </w:r>
            <w:r>
              <w:rPr>
                <w:spacing w:val="-5"/>
                <w:sz w:val="18"/>
              </w:rPr>
              <w:t>fir</w:t>
            </w:r>
          </w:p>
        </w:tc>
        <w:tc>
          <w:tcPr>
            <w:tcW w:w="504"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506" w:type="dxa"/>
          </w:tcPr>
          <w:p>
            <w:pPr>
              <w:pStyle w:val="TableParagraph"/>
              <w:spacing w:before="0"/>
              <w:rPr>
                <w:rFonts w:ascii="Times New Roman"/>
                <w:sz w:val="18"/>
              </w:rPr>
            </w:pPr>
          </w:p>
        </w:tc>
        <w:tc>
          <w:tcPr>
            <w:tcW w:w="504" w:type="dxa"/>
          </w:tcPr>
          <w:p>
            <w:pPr>
              <w:pStyle w:val="TableParagraph"/>
              <w:spacing w:before="0"/>
              <w:rPr>
                <w:rFonts w:ascii="Times New Roman"/>
                <w:sz w:val="18"/>
              </w:rPr>
            </w:pPr>
          </w:p>
        </w:tc>
        <w:tc>
          <w:tcPr>
            <w:tcW w:w="674" w:type="dxa"/>
          </w:tcPr>
          <w:p>
            <w:pPr>
              <w:pStyle w:val="TableParagraph"/>
              <w:spacing w:before="0"/>
              <w:rPr>
                <w:rFonts w:ascii="Times New Roman"/>
                <w:sz w:val="18"/>
              </w:rPr>
            </w:pPr>
          </w:p>
        </w:tc>
        <w:tc>
          <w:tcPr>
            <w:tcW w:w="439" w:type="dxa"/>
          </w:tcPr>
          <w:p>
            <w:pPr>
              <w:pStyle w:val="TableParagraph"/>
              <w:spacing w:before="0"/>
              <w:rPr>
                <w:rFonts w:ascii="Times New Roman"/>
                <w:sz w:val="18"/>
              </w:rPr>
            </w:pPr>
          </w:p>
        </w:tc>
        <w:tc>
          <w:tcPr>
            <w:tcW w:w="413" w:type="dxa"/>
          </w:tcPr>
          <w:p>
            <w:pPr>
              <w:pStyle w:val="TableParagraph"/>
              <w:spacing w:before="0"/>
              <w:rPr>
                <w:rFonts w:ascii="Times New Roman"/>
                <w:sz w:val="18"/>
              </w:rPr>
            </w:pPr>
          </w:p>
        </w:tc>
        <w:tc>
          <w:tcPr>
            <w:tcW w:w="507" w:type="dxa"/>
          </w:tcPr>
          <w:p>
            <w:pPr>
              <w:pStyle w:val="TableParagraph"/>
              <w:spacing w:before="0"/>
              <w:rPr>
                <w:rFonts w:ascii="Times New Roman"/>
                <w:sz w:val="18"/>
              </w:rPr>
            </w:pPr>
          </w:p>
        </w:tc>
        <w:tc>
          <w:tcPr>
            <w:tcW w:w="406" w:type="dxa"/>
          </w:tcPr>
          <w:p>
            <w:pPr>
              <w:pStyle w:val="TableParagraph"/>
              <w:spacing w:before="0"/>
              <w:rPr>
                <w:rFonts w:ascii="Times New Roman"/>
                <w:sz w:val="18"/>
              </w:rPr>
            </w:pPr>
          </w:p>
        </w:tc>
        <w:tc>
          <w:tcPr>
            <w:tcW w:w="444" w:type="dxa"/>
          </w:tcPr>
          <w:p>
            <w:pPr>
              <w:pStyle w:val="TableParagraph"/>
              <w:spacing w:before="0"/>
              <w:rPr>
                <w:rFonts w:ascii="Times New Roman"/>
                <w:sz w:val="18"/>
              </w:rPr>
            </w:pPr>
          </w:p>
        </w:tc>
        <w:tc>
          <w:tcPr>
            <w:tcW w:w="677" w:type="dxa"/>
          </w:tcPr>
          <w:p>
            <w:pPr>
              <w:pStyle w:val="TableParagraph"/>
              <w:spacing w:before="0"/>
              <w:rPr>
                <w:rFonts w:ascii="Times New Roman"/>
                <w:sz w:val="18"/>
              </w:rPr>
            </w:pPr>
          </w:p>
        </w:tc>
        <w:tc>
          <w:tcPr>
            <w:tcW w:w="490" w:type="dxa"/>
          </w:tcPr>
          <w:p>
            <w:pPr>
              <w:pStyle w:val="TableParagraph"/>
              <w:spacing w:before="0"/>
              <w:rPr>
                <w:rFonts w:ascii="Times New Roman"/>
                <w:sz w:val="18"/>
              </w:rPr>
            </w:pPr>
          </w:p>
        </w:tc>
      </w:tr>
    </w:tbl>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1"/>
        <w:rPr>
          <w:rFonts w:ascii="Arial"/>
          <w:b/>
          <w:sz w:val="18"/>
        </w:rPr>
      </w:pPr>
    </w:p>
    <w:p>
      <w:pPr>
        <w:spacing w:before="0"/>
        <w:ind w:left="6688" w:right="3729" w:hanging="2376"/>
        <w:jc w:val="left"/>
        <w:rPr>
          <w:rFonts w:ascii="Arial" w:hAnsi="Arial"/>
          <w:b/>
          <w:sz w:val="18"/>
        </w:rPr>
      </w:pPr>
      <w:r>
        <w:rPr>
          <w:rFonts w:ascii="Arial" w:hAnsi="Arial"/>
          <w:b/>
          <w:sz w:val="18"/>
        </w:rPr>
        <mc:AlternateContent>
          <mc:Choice Requires="wps">
            <w:drawing>
              <wp:anchor distT="0" distB="0" distL="0" distR="0" allowOverlap="1" layoutInCell="1" locked="0" behindDoc="0" simplePos="0" relativeHeight="15780864">
                <wp:simplePos x="0" y="0"/>
                <wp:positionH relativeFrom="page">
                  <wp:posOffset>896111</wp:posOffset>
                </wp:positionH>
                <wp:positionV relativeFrom="paragraph">
                  <wp:posOffset>-23478</wp:posOffset>
                </wp:positionV>
                <wp:extent cx="8266430" cy="1270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1.848695pt;width:650.88pt;height:.96pt;mso-position-horizontal-relative:page;mso-position-vertical-relative:paragraph;z-index:15780864" id="docshape283" filled="true" fillcolor="#000000" stroked="false">
                <v:fill type="solid"/>
                <w10:wrap type="none"/>
              </v:rect>
            </w:pict>
          </mc:Fallback>
        </mc:AlternateContent>
      </w: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t>179</w:t>
      </w:r>
    </w:p>
    <w:p>
      <w:pPr>
        <w:spacing w:after="0"/>
        <w:jc w:val="left"/>
        <w:rPr>
          <w:rFonts w:ascii="Arial" w:hAnsi="Arial"/>
          <w:b/>
          <w:sz w:val="18"/>
        </w:rPr>
        <w:sectPr>
          <w:headerReference w:type="default" r:id="rId92"/>
          <w:footerReference w:type="default" r:id="rId93"/>
          <w:pgSz w:w="15840" w:h="12240" w:orient="landscape"/>
          <w:pgMar w:header="0" w:footer="0" w:top="640" w:bottom="280" w:left="1080" w:right="1440"/>
        </w:sectPr>
      </w:pPr>
    </w:p>
    <w:p>
      <w:pPr>
        <w:pStyle w:val="Heading4"/>
        <w:spacing w:before="123"/>
      </w:pPr>
      <w:bookmarkStart w:name="Invasive Species" w:id="947"/>
      <w:bookmarkEnd w:id="947"/>
      <w:r>
        <w:rPr/>
      </w:r>
      <w:bookmarkStart w:name="_bookmark290" w:id="948"/>
      <w:bookmarkEnd w:id="948"/>
      <w:r>
        <w:rPr/>
      </w:r>
      <w:r>
        <w:rPr/>
        <w:t>Invasive</w:t>
      </w:r>
      <w:r>
        <w:rPr>
          <w:spacing w:val="-6"/>
        </w:rPr>
        <w:t> </w:t>
      </w:r>
      <w:r>
        <w:rPr>
          <w:spacing w:val="-2"/>
        </w:rPr>
        <w:t>Species</w:t>
      </w:r>
    </w:p>
    <w:p>
      <w:pPr>
        <w:pStyle w:val="ListParagraph"/>
        <w:numPr>
          <w:ilvl w:val="0"/>
          <w:numId w:val="30"/>
        </w:numPr>
        <w:tabs>
          <w:tab w:pos="899" w:val="left" w:leader="none"/>
        </w:tabs>
        <w:spacing w:line="232" w:lineRule="auto" w:before="65" w:after="0"/>
        <w:ind w:left="899" w:right="906" w:hanging="360"/>
        <w:jc w:val="left"/>
        <w:rPr>
          <w:sz w:val="22"/>
        </w:rPr>
      </w:pPr>
      <w:r>
        <w:rPr>
          <w:sz w:val="22"/>
        </w:rPr>
        <w:t>Use an array of tools (chemical, biological, manual, mechanical, and cultural) to suppress, contain,</w:t>
      </w:r>
      <w:r>
        <w:rPr>
          <w:spacing w:val="-8"/>
          <w:sz w:val="22"/>
        </w:rPr>
        <w:t> </w:t>
      </w:r>
      <w:r>
        <w:rPr>
          <w:sz w:val="22"/>
        </w:rPr>
        <w:t>control</w:t>
      </w:r>
      <w:r>
        <w:rPr>
          <w:spacing w:val="-11"/>
          <w:sz w:val="22"/>
        </w:rPr>
        <w:t> </w:t>
      </w:r>
      <w:r>
        <w:rPr>
          <w:sz w:val="22"/>
        </w:rPr>
        <w:t>or</w:t>
      </w:r>
      <w:r>
        <w:rPr>
          <w:spacing w:val="-8"/>
          <w:sz w:val="22"/>
        </w:rPr>
        <w:t> </w:t>
      </w:r>
      <w:r>
        <w:rPr>
          <w:sz w:val="22"/>
        </w:rPr>
        <w:t>eradicate</w:t>
      </w:r>
      <w:r>
        <w:rPr>
          <w:spacing w:val="-8"/>
          <w:sz w:val="22"/>
        </w:rPr>
        <w:t> </w:t>
      </w:r>
      <w:r>
        <w:rPr>
          <w:sz w:val="22"/>
        </w:rPr>
        <w:t>invasive</w:t>
      </w:r>
      <w:r>
        <w:rPr>
          <w:spacing w:val="-8"/>
          <w:sz w:val="22"/>
        </w:rPr>
        <w:t> </w:t>
      </w:r>
      <w:r>
        <w:rPr>
          <w:sz w:val="22"/>
        </w:rPr>
        <w:t>species.</w:t>
      </w:r>
      <w:r>
        <w:rPr>
          <w:spacing w:val="-8"/>
          <w:sz w:val="22"/>
        </w:rPr>
        <w:t> </w:t>
      </w:r>
      <w:r>
        <w:rPr>
          <w:sz w:val="22"/>
        </w:rPr>
        <w:t>An</w:t>
      </w:r>
      <w:r>
        <w:rPr>
          <w:spacing w:val="-11"/>
          <w:sz w:val="22"/>
        </w:rPr>
        <w:t> </w:t>
      </w:r>
      <w:r>
        <w:rPr>
          <w:sz w:val="22"/>
        </w:rPr>
        <w:t>integrated</w:t>
      </w:r>
      <w:r>
        <w:rPr>
          <w:spacing w:val="-9"/>
          <w:sz w:val="22"/>
        </w:rPr>
        <w:t> </w:t>
      </w:r>
      <w:r>
        <w:rPr>
          <w:sz w:val="22"/>
        </w:rPr>
        <w:t>pest</w:t>
      </w:r>
      <w:r>
        <w:rPr>
          <w:spacing w:val="-10"/>
          <w:sz w:val="22"/>
        </w:rPr>
        <w:t> </w:t>
      </w:r>
      <w:r>
        <w:rPr>
          <w:sz w:val="22"/>
        </w:rPr>
        <w:t>management</w:t>
      </w:r>
      <w:r>
        <w:rPr>
          <w:spacing w:val="-8"/>
          <w:sz w:val="22"/>
        </w:rPr>
        <w:t> </w:t>
      </w:r>
      <w:r>
        <w:rPr>
          <w:sz w:val="22"/>
        </w:rPr>
        <w:t>approach</w:t>
      </w:r>
      <w:r>
        <w:rPr>
          <w:spacing w:val="-11"/>
          <w:sz w:val="22"/>
        </w:rPr>
        <w:t> </w:t>
      </w:r>
      <w:r>
        <w:rPr>
          <w:sz w:val="22"/>
        </w:rPr>
        <w:t>that minimizes adverse effects of treatment will be favored. Integrated pest management is appropriate within all management areas, however there are limitations for mechanical treatment within wilderness.</w:t>
      </w:r>
    </w:p>
    <w:p>
      <w:pPr>
        <w:pStyle w:val="ListParagraph"/>
        <w:numPr>
          <w:ilvl w:val="0"/>
          <w:numId w:val="30"/>
        </w:numPr>
        <w:tabs>
          <w:tab w:pos="899" w:val="left" w:leader="none"/>
        </w:tabs>
        <w:spacing w:line="240" w:lineRule="auto" w:before="109" w:after="0"/>
        <w:ind w:left="899" w:right="0" w:hanging="359"/>
        <w:jc w:val="left"/>
        <w:rPr>
          <w:sz w:val="22"/>
        </w:rPr>
      </w:pPr>
      <w:r>
        <w:rPr>
          <w:sz w:val="22"/>
        </w:rPr>
        <w:t>Provide</w:t>
      </w:r>
      <w:r>
        <w:rPr>
          <w:spacing w:val="-11"/>
          <w:sz w:val="22"/>
        </w:rPr>
        <w:t> </w:t>
      </w:r>
      <w:r>
        <w:rPr>
          <w:sz w:val="22"/>
        </w:rPr>
        <w:t>education</w:t>
      </w:r>
      <w:r>
        <w:rPr>
          <w:spacing w:val="-9"/>
          <w:sz w:val="22"/>
        </w:rPr>
        <w:t> </w:t>
      </w:r>
      <w:r>
        <w:rPr>
          <w:sz w:val="22"/>
        </w:rPr>
        <w:t>and</w:t>
      </w:r>
      <w:r>
        <w:rPr>
          <w:spacing w:val="-9"/>
          <w:sz w:val="22"/>
        </w:rPr>
        <w:t> </w:t>
      </w:r>
      <w:r>
        <w:rPr>
          <w:sz w:val="22"/>
        </w:rPr>
        <w:t>outreach</w:t>
      </w:r>
      <w:r>
        <w:rPr>
          <w:spacing w:val="-9"/>
          <w:sz w:val="22"/>
        </w:rPr>
        <w:t> </w:t>
      </w:r>
      <w:r>
        <w:rPr>
          <w:sz w:val="22"/>
        </w:rPr>
        <w:t>programs</w:t>
      </w:r>
      <w:r>
        <w:rPr>
          <w:spacing w:val="-7"/>
          <w:sz w:val="22"/>
        </w:rPr>
        <w:t> </w:t>
      </w:r>
      <w:r>
        <w:rPr>
          <w:sz w:val="22"/>
        </w:rPr>
        <w:t>designed</w:t>
      </w:r>
      <w:r>
        <w:rPr>
          <w:spacing w:val="-10"/>
          <w:sz w:val="22"/>
        </w:rPr>
        <w:t> </w:t>
      </w:r>
      <w:r>
        <w:rPr>
          <w:sz w:val="22"/>
        </w:rPr>
        <w:t>to</w:t>
      </w:r>
      <w:r>
        <w:rPr>
          <w:spacing w:val="-8"/>
          <w:sz w:val="22"/>
        </w:rPr>
        <w:t> </w:t>
      </w:r>
      <w:r>
        <w:rPr>
          <w:sz w:val="22"/>
        </w:rPr>
        <w:t>increase</w:t>
      </w:r>
      <w:r>
        <w:rPr>
          <w:spacing w:val="-6"/>
          <w:sz w:val="22"/>
        </w:rPr>
        <w:t> </w:t>
      </w:r>
      <w:r>
        <w:rPr>
          <w:sz w:val="22"/>
        </w:rPr>
        <w:t>awareness</w:t>
      </w:r>
      <w:r>
        <w:rPr>
          <w:spacing w:val="-9"/>
          <w:sz w:val="22"/>
        </w:rPr>
        <w:t> </w:t>
      </w:r>
      <w:r>
        <w:rPr>
          <w:sz w:val="22"/>
        </w:rPr>
        <w:t>of</w:t>
      </w:r>
      <w:r>
        <w:rPr>
          <w:spacing w:val="-9"/>
          <w:sz w:val="22"/>
        </w:rPr>
        <w:t> </w:t>
      </w:r>
      <w:r>
        <w:rPr>
          <w:sz w:val="22"/>
        </w:rPr>
        <w:t>invasive</w:t>
      </w:r>
      <w:r>
        <w:rPr>
          <w:spacing w:val="-6"/>
          <w:sz w:val="22"/>
        </w:rPr>
        <w:t> </w:t>
      </w:r>
      <w:r>
        <w:rPr>
          <w:spacing w:val="-2"/>
          <w:sz w:val="22"/>
        </w:rPr>
        <w:t>species.</w:t>
      </w:r>
    </w:p>
    <w:p>
      <w:pPr>
        <w:pStyle w:val="ListParagraph"/>
        <w:numPr>
          <w:ilvl w:val="0"/>
          <w:numId w:val="30"/>
        </w:numPr>
        <w:tabs>
          <w:tab w:pos="899" w:val="left" w:leader="none"/>
        </w:tabs>
        <w:spacing w:line="232" w:lineRule="auto" w:before="120" w:after="0"/>
        <w:ind w:left="899" w:right="879" w:hanging="360"/>
        <w:jc w:val="left"/>
        <w:rPr>
          <w:sz w:val="22"/>
        </w:rPr>
      </w:pPr>
      <w:r>
        <w:rPr>
          <w:sz w:val="22"/>
        </w:rPr>
        <w:t>Implement preventative measures (e.g., pre- and post-work equipment sanitation, requiring certified</w:t>
      </w:r>
      <w:r>
        <w:rPr>
          <w:spacing w:val="-9"/>
          <w:sz w:val="22"/>
        </w:rPr>
        <w:t> </w:t>
      </w:r>
      <w:r>
        <w:rPr>
          <w:sz w:val="22"/>
        </w:rPr>
        <w:t>weed-free</w:t>
      </w:r>
      <w:r>
        <w:rPr>
          <w:spacing w:val="-6"/>
          <w:sz w:val="22"/>
        </w:rPr>
        <w:t> </w:t>
      </w:r>
      <w:r>
        <w:rPr>
          <w:sz w:val="22"/>
        </w:rPr>
        <w:t>seed,</w:t>
      </w:r>
      <w:r>
        <w:rPr>
          <w:spacing w:val="-7"/>
          <w:sz w:val="22"/>
        </w:rPr>
        <w:t> </w:t>
      </w:r>
      <w:r>
        <w:rPr>
          <w:sz w:val="22"/>
        </w:rPr>
        <w:t>hay,</w:t>
      </w:r>
      <w:r>
        <w:rPr>
          <w:spacing w:val="-7"/>
          <w:sz w:val="22"/>
        </w:rPr>
        <w:t> </w:t>
      </w:r>
      <w:r>
        <w:rPr>
          <w:sz w:val="22"/>
        </w:rPr>
        <w:t>and</w:t>
      </w:r>
      <w:r>
        <w:rPr>
          <w:spacing w:val="-8"/>
          <w:sz w:val="22"/>
        </w:rPr>
        <w:t> </w:t>
      </w:r>
      <w:r>
        <w:rPr>
          <w:sz w:val="22"/>
        </w:rPr>
        <w:t>gravel</w:t>
      </w:r>
      <w:r>
        <w:rPr>
          <w:spacing w:val="-7"/>
          <w:sz w:val="22"/>
        </w:rPr>
        <w:t> </w:t>
      </w:r>
      <w:r>
        <w:rPr>
          <w:sz w:val="22"/>
        </w:rPr>
        <w:t>if</w:t>
      </w:r>
      <w:r>
        <w:rPr>
          <w:spacing w:val="-7"/>
          <w:sz w:val="22"/>
        </w:rPr>
        <w:t> </w:t>
      </w:r>
      <w:r>
        <w:rPr>
          <w:sz w:val="22"/>
        </w:rPr>
        <w:t>available,</w:t>
      </w:r>
      <w:r>
        <w:rPr>
          <w:spacing w:val="-7"/>
          <w:sz w:val="22"/>
        </w:rPr>
        <w:t> </w:t>
      </w:r>
      <w:r>
        <w:rPr>
          <w:sz w:val="22"/>
        </w:rPr>
        <w:t>sequencing</w:t>
      </w:r>
      <w:r>
        <w:rPr>
          <w:spacing w:val="-8"/>
          <w:sz w:val="22"/>
        </w:rPr>
        <w:t> </w:t>
      </w:r>
      <w:r>
        <w:rPr>
          <w:sz w:val="22"/>
        </w:rPr>
        <w:t>of</w:t>
      </w:r>
      <w:r>
        <w:rPr>
          <w:spacing w:val="-7"/>
          <w:sz w:val="22"/>
        </w:rPr>
        <w:t> </w:t>
      </w:r>
      <w:r>
        <w:rPr>
          <w:sz w:val="22"/>
        </w:rPr>
        <w:t>activities)</w:t>
      </w:r>
      <w:r>
        <w:rPr>
          <w:spacing w:val="-7"/>
          <w:sz w:val="22"/>
        </w:rPr>
        <w:t> </w:t>
      </w:r>
      <w:r>
        <w:rPr>
          <w:sz w:val="22"/>
        </w:rPr>
        <w:t>through</w:t>
      </w:r>
      <w:r>
        <w:rPr>
          <w:spacing w:val="-8"/>
          <w:sz w:val="22"/>
        </w:rPr>
        <w:t> </w:t>
      </w:r>
      <w:r>
        <w:rPr>
          <w:sz w:val="22"/>
        </w:rPr>
        <w:t>annual operating instructions, permitting, contracting, and other forest administrative processes.</w:t>
      </w:r>
    </w:p>
    <w:p>
      <w:pPr>
        <w:pStyle w:val="ListParagraph"/>
        <w:numPr>
          <w:ilvl w:val="0"/>
          <w:numId w:val="30"/>
        </w:numPr>
        <w:tabs>
          <w:tab w:pos="900" w:val="left" w:leader="none"/>
        </w:tabs>
        <w:spacing w:line="232" w:lineRule="auto" w:before="118" w:after="0"/>
        <w:ind w:left="900" w:right="1424" w:hanging="360"/>
        <w:jc w:val="left"/>
        <w:rPr>
          <w:sz w:val="22"/>
        </w:rPr>
      </w:pPr>
      <w:r>
        <w:rPr>
          <w:sz w:val="22"/>
        </w:rPr>
        <w:t>Collaborate</w:t>
      </w:r>
      <w:r>
        <w:rPr>
          <w:spacing w:val="-7"/>
          <w:sz w:val="22"/>
        </w:rPr>
        <w:t> </w:t>
      </w:r>
      <w:r>
        <w:rPr>
          <w:sz w:val="22"/>
        </w:rPr>
        <w:t>with</w:t>
      </w:r>
      <w:r>
        <w:rPr>
          <w:spacing w:val="-8"/>
          <w:sz w:val="22"/>
        </w:rPr>
        <w:t> </w:t>
      </w:r>
      <w:r>
        <w:rPr>
          <w:sz w:val="22"/>
        </w:rPr>
        <w:t>other</w:t>
      </w:r>
      <w:r>
        <w:rPr>
          <w:spacing w:val="-5"/>
          <w:sz w:val="22"/>
        </w:rPr>
        <w:t> </w:t>
      </w:r>
      <w:r>
        <w:rPr>
          <w:sz w:val="22"/>
        </w:rPr>
        <w:t>agencies</w:t>
      </w:r>
      <w:r>
        <w:rPr>
          <w:spacing w:val="-5"/>
          <w:sz w:val="22"/>
        </w:rPr>
        <w:t> </w:t>
      </w:r>
      <w:r>
        <w:rPr>
          <w:sz w:val="22"/>
        </w:rPr>
        <w:t>and</w:t>
      </w:r>
      <w:r>
        <w:rPr>
          <w:spacing w:val="-6"/>
          <w:sz w:val="22"/>
        </w:rPr>
        <w:t> </w:t>
      </w:r>
      <w:r>
        <w:rPr>
          <w:sz w:val="22"/>
        </w:rPr>
        <w:t>entities</w:t>
      </w:r>
      <w:r>
        <w:rPr>
          <w:spacing w:val="-5"/>
          <w:sz w:val="22"/>
        </w:rPr>
        <w:t> </w:t>
      </w:r>
      <w:r>
        <w:rPr>
          <w:sz w:val="22"/>
        </w:rPr>
        <w:t>to</w:t>
      </w:r>
      <w:r>
        <w:rPr>
          <w:spacing w:val="-6"/>
          <w:sz w:val="22"/>
        </w:rPr>
        <w:t> </w:t>
      </w:r>
      <w:r>
        <w:rPr>
          <w:sz w:val="22"/>
        </w:rPr>
        <w:t>replace</w:t>
      </w:r>
      <w:r>
        <w:rPr>
          <w:spacing w:val="-4"/>
          <w:sz w:val="22"/>
        </w:rPr>
        <w:t> </w:t>
      </w:r>
      <w:r>
        <w:rPr>
          <w:sz w:val="22"/>
        </w:rPr>
        <w:t>non-native</w:t>
      </w:r>
      <w:r>
        <w:rPr>
          <w:spacing w:val="-4"/>
          <w:sz w:val="22"/>
        </w:rPr>
        <w:t> </w:t>
      </w:r>
      <w:r>
        <w:rPr>
          <w:sz w:val="22"/>
        </w:rPr>
        <w:t>aquatic</w:t>
      </w:r>
      <w:r>
        <w:rPr>
          <w:spacing w:val="-7"/>
          <w:sz w:val="22"/>
        </w:rPr>
        <w:t> </w:t>
      </w:r>
      <w:r>
        <w:rPr>
          <w:sz w:val="22"/>
        </w:rPr>
        <w:t>species</w:t>
      </w:r>
      <w:r>
        <w:rPr>
          <w:spacing w:val="-5"/>
          <w:sz w:val="22"/>
        </w:rPr>
        <w:t> </w:t>
      </w:r>
      <w:r>
        <w:rPr>
          <w:sz w:val="22"/>
        </w:rPr>
        <w:t>with </w:t>
      </w:r>
      <w:r>
        <w:rPr>
          <w:spacing w:val="-2"/>
          <w:sz w:val="22"/>
        </w:rPr>
        <w:t>natives.</w:t>
      </w:r>
    </w:p>
    <w:p>
      <w:pPr>
        <w:pStyle w:val="ListParagraph"/>
        <w:numPr>
          <w:ilvl w:val="0"/>
          <w:numId w:val="30"/>
        </w:numPr>
        <w:tabs>
          <w:tab w:pos="900" w:val="left" w:leader="none"/>
        </w:tabs>
        <w:spacing w:line="232" w:lineRule="auto" w:before="118" w:after="0"/>
        <w:ind w:left="900" w:right="1214" w:hanging="360"/>
        <w:jc w:val="left"/>
        <w:rPr>
          <w:sz w:val="22"/>
        </w:rPr>
      </w:pPr>
      <w:r>
        <w:rPr>
          <w:sz w:val="22"/>
        </w:rPr>
        <w:t>Cooperate</w:t>
      </w:r>
      <w:r>
        <w:rPr>
          <w:spacing w:val="-11"/>
          <w:sz w:val="22"/>
        </w:rPr>
        <w:t> </w:t>
      </w:r>
      <w:r>
        <w:rPr>
          <w:sz w:val="22"/>
        </w:rPr>
        <w:t>with</w:t>
      </w:r>
      <w:r>
        <w:rPr>
          <w:spacing w:val="-11"/>
          <w:sz w:val="22"/>
        </w:rPr>
        <w:t> </w:t>
      </w:r>
      <w:r>
        <w:rPr>
          <w:sz w:val="22"/>
        </w:rPr>
        <w:t>Washington</w:t>
      </w:r>
      <w:r>
        <w:rPr>
          <w:spacing w:val="-10"/>
          <w:sz w:val="22"/>
        </w:rPr>
        <w:t> </w:t>
      </w:r>
      <w:r>
        <w:rPr>
          <w:sz w:val="22"/>
        </w:rPr>
        <w:t>State</w:t>
      </w:r>
      <w:r>
        <w:rPr>
          <w:spacing w:val="-8"/>
          <w:sz w:val="22"/>
        </w:rPr>
        <w:t> </w:t>
      </w:r>
      <w:r>
        <w:rPr>
          <w:sz w:val="22"/>
        </w:rPr>
        <w:t>agencies,</w:t>
      </w:r>
      <w:r>
        <w:rPr>
          <w:spacing w:val="-9"/>
          <w:sz w:val="22"/>
        </w:rPr>
        <w:t> </w:t>
      </w:r>
      <w:r>
        <w:rPr>
          <w:sz w:val="22"/>
        </w:rPr>
        <w:t>local</w:t>
      </w:r>
      <w:r>
        <w:rPr>
          <w:spacing w:val="-9"/>
          <w:sz w:val="22"/>
        </w:rPr>
        <w:t> </w:t>
      </w:r>
      <w:r>
        <w:rPr>
          <w:sz w:val="22"/>
        </w:rPr>
        <w:t>governments</w:t>
      </w:r>
      <w:r>
        <w:rPr>
          <w:spacing w:val="-11"/>
          <w:sz w:val="22"/>
        </w:rPr>
        <w:t> </w:t>
      </w:r>
      <w:r>
        <w:rPr>
          <w:sz w:val="22"/>
        </w:rPr>
        <w:t>and</w:t>
      </w:r>
      <w:r>
        <w:rPr>
          <w:spacing w:val="-10"/>
          <w:sz w:val="22"/>
        </w:rPr>
        <w:t> </w:t>
      </w:r>
      <w:r>
        <w:rPr>
          <w:sz w:val="22"/>
        </w:rPr>
        <w:t>other</w:t>
      </w:r>
      <w:r>
        <w:rPr>
          <w:spacing w:val="-11"/>
          <w:sz w:val="22"/>
        </w:rPr>
        <w:t> </w:t>
      </w:r>
      <w:r>
        <w:rPr>
          <w:sz w:val="22"/>
        </w:rPr>
        <w:t>organizations</w:t>
      </w:r>
      <w:r>
        <w:rPr>
          <w:spacing w:val="-9"/>
          <w:sz w:val="22"/>
        </w:rPr>
        <w:t> </w:t>
      </w:r>
      <w:r>
        <w:rPr>
          <w:sz w:val="22"/>
        </w:rPr>
        <w:t>to support a</w:t>
      </w:r>
      <w:r>
        <w:rPr>
          <w:spacing w:val="-1"/>
          <w:sz w:val="22"/>
        </w:rPr>
        <w:t> </w:t>
      </w:r>
      <w:r>
        <w:rPr>
          <w:sz w:val="22"/>
        </w:rPr>
        <w:t>successful</w:t>
      </w:r>
      <w:r>
        <w:rPr>
          <w:spacing w:val="-1"/>
          <w:sz w:val="22"/>
        </w:rPr>
        <w:t> </w:t>
      </w:r>
      <w:r>
        <w:rPr>
          <w:sz w:val="22"/>
        </w:rPr>
        <w:t>invasive species</w:t>
      </w:r>
      <w:r>
        <w:rPr>
          <w:spacing w:val="-3"/>
          <w:sz w:val="22"/>
        </w:rPr>
        <w:t> </w:t>
      </w:r>
      <w:r>
        <w:rPr>
          <w:sz w:val="22"/>
        </w:rPr>
        <w:t>management program.</w:t>
      </w:r>
      <w:r>
        <w:rPr>
          <w:spacing w:val="-1"/>
          <w:sz w:val="22"/>
        </w:rPr>
        <w:t> </w:t>
      </w:r>
      <w:r>
        <w:rPr>
          <w:sz w:val="22"/>
        </w:rPr>
        <w:t>Prepare</w:t>
      </w:r>
      <w:r>
        <w:rPr>
          <w:spacing w:val="-3"/>
          <w:sz w:val="22"/>
        </w:rPr>
        <w:t> </w:t>
      </w:r>
      <w:r>
        <w:rPr>
          <w:sz w:val="22"/>
        </w:rPr>
        <w:t>or</w:t>
      </w:r>
      <w:r>
        <w:rPr>
          <w:spacing w:val="-1"/>
          <w:sz w:val="22"/>
        </w:rPr>
        <w:t> </w:t>
      </w:r>
      <w:r>
        <w:rPr>
          <w:sz w:val="22"/>
        </w:rPr>
        <w:t>review proactive invasive species response plans.</w:t>
      </w:r>
    </w:p>
    <w:p>
      <w:pPr>
        <w:pStyle w:val="Heading4"/>
        <w:spacing w:before="233"/>
      </w:pPr>
      <w:bookmarkStart w:name="Wildlife" w:id="949"/>
      <w:bookmarkEnd w:id="949"/>
      <w:r>
        <w:rPr/>
      </w:r>
      <w:bookmarkStart w:name="_bookmark291" w:id="950"/>
      <w:bookmarkEnd w:id="950"/>
      <w:r>
        <w:rPr/>
      </w:r>
      <w:r>
        <w:rPr>
          <w:spacing w:val="-2"/>
        </w:rPr>
        <w:t>Wildlife</w:t>
      </w:r>
    </w:p>
    <w:p>
      <w:pPr>
        <w:pStyle w:val="BodyText"/>
        <w:spacing w:line="232" w:lineRule="auto" w:before="65"/>
        <w:ind w:left="359" w:right="1185"/>
      </w:pPr>
      <w:r>
        <w:rPr/>
        <w:t>Wildlife</w:t>
      </w:r>
      <w:r>
        <w:rPr>
          <w:spacing w:val="-8"/>
        </w:rPr>
        <w:t> </w:t>
      </w:r>
      <w:r>
        <w:rPr/>
        <w:t>habitat</w:t>
      </w:r>
      <w:r>
        <w:rPr>
          <w:spacing w:val="-11"/>
        </w:rPr>
        <w:t> </w:t>
      </w:r>
      <w:r>
        <w:rPr/>
        <w:t>management</w:t>
      </w:r>
      <w:r>
        <w:rPr>
          <w:spacing w:val="-8"/>
        </w:rPr>
        <w:t> </w:t>
      </w:r>
      <w:r>
        <w:rPr/>
        <w:t>involves</w:t>
      </w:r>
      <w:r>
        <w:rPr>
          <w:spacing w:val="-9"/>
        </w:rPr>
        <w:t> </w:t>
      </w:r>
      <w:r>
        <w:rPr/>
        <w:t>establishing</w:t>
      </w:r>
      <w:r>
        <w:rPr>
          <w:spacing w:val="-10"/>
        </w:rPr>
        <w:t> </w:t>
      </w:r>
      <w:r>
        <w:rPr/>
        <w:t>and</w:t>
      </w:r>
      <w:r>
        <w:rPr>
          <w:spacing w:val="-9"/>
        </w:rPr>
        <w:t> </w:t>
      </w:r>
      <w:r>
        <w:rPr/>
        <w:t>maintaining</w:t>
      </w:r>
      <w:r>
        <w:rPr>
          <w:spacing w:val="-10"/>
        </w:rPr>
        <w:t> </w:t>
      </w:r>
      <w:r>
        <w:rPr/>
        <w:t>the</w:t>
      </w:r>
      <w:r>
        <w:rPr>
          <w:spacing w:val="-8"/>
        </w:rPr>
        <w:t> </w:t>
      </w:r>
      <w:r>
        <w:rPr/>
        <w:t>vegetation</w:t>
      </w:r>
      <w:r>
        <w:rPr>
          <w:spacing w:val="-12"/>
        </w:rPr>
        <w:t> </w:t>
      </w:r>
      <w:r>
        <w:rPr/>
        <w:t>diversity necessary</w:t>
      </w:r>
      <w:r>
        <w:rPr>
          <w:spacing w:val="-1"/>
        </w:rPr>
        <w:t> </w:t>
      </w:r>
      <w:r>
        <w:rPr/>
        <w:t>to</w:t>
      </w:r>
      <w:r>
        <w:rPr>
          <w:spacing w:val="-1"/>
        </w:rPr>
        <w:t> </w:t>
      </w:r>
      <w:r>
        <w:rPr/>
        <w:t>provide food,</w:t>
      </w:r>
      <w:r>
        <w:rPr>
          <w:spacing w:val="-5"/>
        </w:rPr>
        <w:t> </w:t>
      </w:r>
      <w:r>
        <w:rPr/>
        <w:t>cover, and</w:t>
      </w:r>
      <w:r>
        <w:rPr>
          <w:spacing w:val="-1"/>
        </w:rPr>
        <w:t> </w:t>
      </w:r>
      <w:r>
        <w:rPr/>
        <w:t>security for all</w:t>
      </w:r>
      <w:r>
        <w:rPr>
          <w:spacing w:val="-3"/>
        </w:rPr>
        <w:t> </w:t>
      </w:r>
      <w:r>
        <w:rPr/>
        <w:t>wildlife species native to</w:t>
      </w:r>
      <w:r>
        <w:rPr>
          <w:spacing w:val="-1"/>
        </w:rPr>
        <w:t> </w:t>
      </w:r>
      <w:r>
        <w:rPr/>
        <w:t>the</w:t>
      </w:r>
      <w:r>
        <w:rPr>
          <w:spacing w:val="-2"/>
        </w:rPr>
        <w:t> </w:t>
      </w:r>
      <w:r>
        <w:rPr/>
        <w:t>Forest in cooperation with federal, state, and other organizations. Activities might include:</w:t>
      </w:r>
    </w:p>
    <w:p>
      <w:pPr>
        <w:pStyle w:val="ListParagraph"/>
        <w:numPr>
          <w:ilvl w:val="0"/>
          <w:numId w:val="30"/>
        </w:numPr>
        <w:tabs>
          <w:tab w:pos="899" w:val="left" w:leader="none"/>
        </w:tabs>
        <w:spacing w:line="240" w:lineRule="auto" w:before="194" w:after="0"/>
        <w:ind w:left="899" w:right="0" w:hanging="359"/>
        <w:jc w:val="left"/>
        <w:rPr>
          <w:sz w:val="22"/>
        </w:rPr>
      </w:pPr>
      <w:r>
        <w:rPr>
          <w:sz w:val="22"/>
        </w:rPr>
        <w:t>maintenance</w:t>
      </w:r>
      <w:r>
        <w:rPr>
          <w:spacing w:val="-8"/>
          <w:sz w:val="22"/>
        </w:rPr>
        <w:t> </w:t>
      </w:r>
      <w:r>
        <w:rPr>
          <w:sz w:val="22"/>
        </w:rPr>
        <w:t>or</w:t>
      </w:r>
      <w:r>
        <w:rPr>
          <w:spacing w:val="-8"/>
          <w:sz w:val="22"/>
        </w:rPr>
        <w:t> </w:t>
      </w:r>
      <w:r>
        <w:rPr>
          <w:sz w:val="22"/>
        </w:rPr>
        <w:t>restoration</w:t>
      </w:r>
      <w:r>
        <w:rPr>
          <w:spacing w:val="-11"/>
          <w:sz w:val="22"/>
        </w:rPr>
        <w:t> </w:t>
      </w:r>
      <w:r>
        <w:rPr>
          <w:sz w:val="22"/>
        </w:rPr>
        <w:t>of</w:t>
      </w:r>
      <w:r>
        <w:rPr>
          <w:spacing w:val="-10"/>
          <w:sz w:val="22"/>
        </w:rPr>
        <w:t> </w:t>
      </w:r>
      <w:r>
        <w:rPr>
          <w:sz w:val="22"/>
        </w:rPr>
        <w:t>wildlife</w:t>
      </w:r>
      <w:r>
        <w:rPr>
          <w:spacing w:val="-8"/>
          <w:sz w:val="22"/>
        </w:rPr>
        <w:t> </w:t>
      </w:r>
      <w:r>
        <w:rPr>
          <w:sz w:val="22"/>
        </w:rPr>
        <w:t>habitat</w:t>
      </w:r>
      <w:r>
        <w:rPr>
          <w:spacing w:val="-7"/>
          <w:sz w:val="22"/>
        </w:rPr>
        <w:t> </w:t>
      </w:r>
      <w:r>
        <w:rPr>
          <w:sz w:val="22"/>
        </w:rPr>
        <w:t>(e.g.,</w:t>
      </w:r>
      <w:r>
        <w:rPr>
          <w:spacing w:val="-8"/>
          <w:sz w:val="22"/>
        </w:rPr>
        <w:t> </w:t>
      </w:r>
      <w:r>
        <w:rPr>
          <w:spacing w:val="-2"/>
          <w:sz w:val="22"/>
        </w:rPr>
        <w:t>burning);</w:t>
      </w:r>
    </w:p>
    <w:p>
      <w:pPr>
        <w:pStyle w:val="ListParagraph"/>
        <w:numPr>
          <w:ilvl w:val="0"/>
          <w:numId w:val="30"/>
        </w:numPr>
        <w:tabs>
          <w:tab w:pos="900" w:val="left" w:leader="none"/>
        </w:tabs>
        <w:spacing w:line="232" w:lineRule="auto" w:before="117" w:after="0"/>
        <w:ind w:left="900" w:right="980" w:hanging="360"/>
        <w:jc w:val="left"/>
        <w:rPr>
          <w:sz w:val="22"/>
        </w:rPr>
      </w:pPr>
      <w:r>
        <w:rPr>
          <w:sz w:val="22"/>
        </w:rPr>
        <w:t>site-specific</w:t>
      </w:r>
      <w:r>
        <w:rPr>
          <w:spacing w:val="-9"/>
          <w:sz w:val="22"/>
        </w:rPr>
        <w:t> </w:t>
      </w:r>
      <w:r>
        <w:rPr>
          <w:sz w:val="22"/>
        </w:rPr>
        <w:t>improvement</w:t>
      </w:r>
      <w:r>
        <w:rPr>
          <w:spacing w:val="-9"/>
          <w:sz w:val="22"/>
        </w:rPr>
        <w:t> </w:t>
      </w:r>
      <w:r>
        <w:rPr>
          <w:sz w:val="22"/>
        </w:rPr>
        <w:t>of</w:t>
      </w:r>
      <w:r>
        <w:rPr>
          <w:spacing w:val="-9"/>
          <w:sz w:val="22"/>
        </w:rPr>
        <w:t> </w:t>
      </w:r>
      <w:r>
        <w:rPr>
          <w:sz w:val="22"/>
        </w:rPr>
        <w:t>motorized</w:t>
      </w:r>
      <w:r>
        <w:rPr>
          <w:spacing w:val="-10"/>
          <w:sz w:val="22"/>
        </w:rPr>
        <w:t> </w:t>
      </w:r>
      <w:r>
        <w:rPr>
          <w:sz w:val="22"/>
        </w:rPr>
        <w:t>access</w:t>
      </w:r>
      <w:r>
        <w:rPr>
          <w:spacing w:val="-7"/>
          <w:sz w:val="22"/>
        </w:rPr>
        <w:t> </w:t>
      </w:r>
      <w:r>
        <w:rPr>
          <w:sz w:val="22"/>
        </w:rPr>
        <w:t>densities</w:t>
      </w:r>
      <w:r>
        <w:rPr>
          <w:spacing w:val="-7"/>
          <w:sz w:val="22"/>
        </w:rPr>
        <w:t> </w:t>
      </w:r>
      <w:r>
        <w:rPr>
          <w:sz w:val="22"/>
        </w:rPr>
        <w:t>and</w:t>
      </w:r>
      <w:r>
        <w:rPr>
          <w:spacing w:val="-8"/>
          <w:sz w:val="22"/>
        </w:rPr>
        <w:t> </w:t>
      </w:r>
      <w:r>
        <w:rPr>
          <w:sz w:val="22"/>
        </w:rPr>
        <w:t>secure</w:t>
      </w:r>
      <w:r>
        <w:rPr>
          <w:spacing w:val="-6"/>
          <w:sz w:val="22"/>
        </w:rPr>
        <w:t> </w:t>
      </w:r>
      <w:r>
        <w:rPr>
          <w:sz w:val="22"/>
        </w:rPr>
        <w:t>core</w:t>
      </w:r>
      <w:r>
        <w:rPr>
          <w:spacing w:val="-6"/>
          <w:sz w:val="22"/>
        </w:rPr>
        <w:t> </w:t>
      </w:r>
      <w:r>
        <w:rPr>
          <w:sz w:val="22"/>
        </w:rPr>
        <w:t>habitat</w:t>
      </w:r>
      <w:r>
        <w:rPr>
          <w:spacing w:val="-11"/>
          <w:sz w:val="22"/>
        </w:rPr>
        <w:t> </w:t>
      </w:r>
      <w:r>
        <w:rPr>
          <w:sz w:val="22"/>
        </w:rPr>
        <w:t>parameters within Grizzly Bear Management subunits;</w:t>
      </w:r>
    </w:p>
    <w:p>
      <w:pPr>
        <w:pStyle w:val="ListParagraph"/>
        <w:numPr>
          <w:ilvl w:val="0"/>
          <w:numId w:val="30"/>
        </w:numPr>
        <w:tabs>
          <w:tab w:pos="899" w:val="left" w:leader="none"/>
        </w:tabs>
        <w:spacing w:line="240" w:lineRule="auto" w:before="113" w:after="0"/>
        <w:ind w:left="899" w:right="0" w:hanging="359"/>
        <w:jc w:val="left"/>
        <w:rPr>
          <w:sz w:val="22"/>
        </w:rPr>
      </w:pPr>
      <w:r>
        <w:rPr>
          <w:sz w:val="22"/>
        </w:rPr>
        <w:t>road</w:t>
      </w:r>
      <w:r>
        <w:rPr>
          <w:spacing w:val="-10"/>
          <w:sz w:val="22"/>
        </w:rPr>
        <w:t> </w:t>
      </w:r>
      <w:r>
        <w:rPr>
          <w:sz w:val="22"/>
        </w:rPr>
        <w:t>closures</w:t>
      </w:r>
      <w:r>
        <w:rPr>
          <w:spacing w:val="-8"/>
          <w:sz w:val="22"/>
        </w:rPr>
        <w:t> </w:t>
      </w:r>
      <w:r>
        <w:rPr>
          <w:sz w:val="22"/>
        </w:rPr>
        <w:t>(permanent</w:t>
      </w:r>
      <w:r>
        <w:rPr>
          <w:spacing w:val="-9"/>
          <w:sz w:val="22"/>
        </w:rPr>
        <w:t> </w:t>
      </w:r>
      <w:r>
        <w:rPr>
          <w:sz w:val="22"/>
        </w:rPr>
        <w:t>and/or</w:t>
      </w:r>
      <w:r>
        <w:rPr>
          <w:spacing w:val="-7"/>
          <w:sz w:val="22"/>
        </w:rPr>
        <w:t> </w:t>
      </w:r>
      <w:r>
        <w:rPr>
          <w:sz w:val="22"/>
        </w:rPr>
        <w:t>seasonal)</w:t>
      </w:r>
      <w:r>
        <w:rPr>
          <w:spacing w:val="-9"/>
          <w:sz w:val="22"/>
        </w:rPr>
        <w:t> </w:t>
      </w:r>
      <w:r>
        <w:rPr>
          <w:sz w:val="22"/>
        </w:rPr>
        <w:t>to</w:t>
      </w:r>
      <w:r>
        <w:rPr>
          <w:spacing w:val="-7"/>
          <w:sz w:val="22"/>
        </w:rPr>
        <w:t> </w:t>
      </w:r>
      <w:r>
        <w:rPr>
          <w:sz w:val="22"/>
        </w:rPr>
        <w:t>improve</w:t>
      </w:r>
      <w:r>
        <w:rPr>
          <w:spacing w:val="-6"/>
          <w:sz w:val="22"/>
        </w:rPr>
        <w:t> </w:t>
      </w:r>
      <w:r>
        <w:rPr>
          <w:sz w:val="22"/>
        </w:rPr>
        <w:t>deer/elk</w:t>
      </w:r>
      <w:r>
        <w:rPr>
          <w:spacing w:val="-9"/>
          <w:sz w:val="22"/>
        </w:rPr>
        <w:t> </w:t>
      </w:r>
      <w:r>
        <w:rPr>
          <w:sz w:val="22"/>
        </w:rPr>
        <w:t>winter</w:t>
      </w:r>
      <w:r>
        <w:rPr>
          <w:spacing w:val="-9"/>
          <w:sz w:val="22"/>
        </w:rPr>
        <w:t> </w:t>
      </w:r>
      <w:r>
        <w:rPr>
          <w:spacing w:val="-2"/>
          <w:sz w:val="22"/>
        </w:rPr>
        <w:t>range.</w:t>
      </w:r>
    </w:p>
    <w:p>
      <w:pPr>
        <w:pStyle w:val="Heading3"/>
        <w:spacing w:before="233"/>
        <w:ind w:left="360"/>
      </w:pPr>
      <w:bookmarkStart w:name="Aquatic and Riparian Ecosystems" w:id="951"/>
      <w:bookmarkEnd w:id="951"/>
      <w:r>
        <w:rPr>
          <w:b w:val="0"/>
        </w:rPr>
      </w:r>
      <w:bookmarkStart w:name="_bookmark292" w:id="952"/>
      <w:bookmarkEnd w:id="952"/>
      <w:r>
        <w:rPr>
          <w:b w:val="0"/>
        </w:rPr>
      </w:r>
      <w:r>
        <w:rPr>
          <w:smallCaps/>
          <w:color w:val="475824"/>
        </w:rPr>
        <w:t>Aquatic</w:t>
      </w:r>
      <w:r>
        <w:rPr>
          <w:smallCaps/>
          <w:color w:val="475824"/>
          <w:spacing w:val="-6"/>
        </w:rPr>
        <w:t> </w:t>
      </w:r>
      <w:r>
        <w:rPr>
          <w:smallCaps/>
          <w:color w:val="475824"/>
        </w:rPr>
        <w:t>and</w:t>
      </w:r>
      <w:r>
        <w:rPr>
          <w:smallCaps/>
          <w:color w:val="475824"/>
          <w:spacing w:val="-8"/>
        </w:rPr>
        <w:t> </w:t>
      </w:r>
      <w:r>
        <w:rPr>
          <w:smallCaps/>
          <w:color w:val="475824"/>
        </w:rPr>
        <w:t>Riparian</w:t>
      </w:r>
      <w:r>
        <w:rPr>
          <w:smallCaps/>
          <w:color w:val="475824"/>
          <w:spacing w:val="-5"/>
        </w:rPr>
        <w:t> </w:t>
      </w:r>
      <w:r>
        <w:rPr>
          <w:smallCaps/>
          <w:color w:val="475824"/>
          <w:spacing w:val="-2"/>
        </w:rPr>
        <w:t>Ecosystems</w:t>
      </w:r>
    </w:p>
    <w:p>
      <w:pPr>
        <w:pStyle w:val="BodyText"/>
        <w:spacing w:line="232" w:lineRule="auto" w:before="64"/>
        <w:ind w:left="359" w:right="804"/>
      </w:pPr>
      <w:r>
        <w:rPr/>
        <w:t>Management</w:t>
      </w:r>
      <w:r>
        <w:rPr>
          <w:spacing w:val="-5"/>
        </w:rPr>
        <w:t> </w:t>
      </w:r>
      <w:r>
        <w:rPr/>
        <w:t>activities</w:t>
      </w:r>
      <w:r>
        <w:rPr>
          <w:spacing w:val="-6"/>
        </w:rPr>
        <w:t> </w:t>
      </w:r>
      <w:r>
        <w:rPr/>
        <w:t>include</w:t>
      </w:r>
      <w:r>
        <w:rPr>
          <w:spacing w:val="-5"/>
        </w:rPr>
        <w:t> </w:t>
      </w:r>
      <w:r>
        <w:rPr/>
        <w:t>both</w:t>
      </w:r>
      <w:r>
        <w:rPr>
          <w:spacing w:val="-7"/>
        </w:rPr>
        <w:t> </w:t>
      </w:r>
      <w:r>
        <w:rPr/>
        <w:t>passive</w:t>
      </w:r>
      <w:r>
        <w:rPr>
          <w:spacing w:val="-8"/>
        </w:rPr>
        <w:t> </w:t>
      </w:r>
      <w:r>
        <w:rPr/>
        <w:t>and</w:t>
      </w:r>
      <w:r>
        <w:rPr>
          <w:spacing w:val="-7"/>
        </w:rPr>
        <w:t> </w:t>
      </w:r>
      <w:r>
        <w:rPr/>
        <w:t>active</w:t>
      </w:r>
      <w:r>
        <w:rPr>
          <w:spacing w:val="-5"/>
        </w:rPr>
        <w:t> </w:t>
      </w:r>
      <w:r>
        <w:rPr/>
        <w:t>restoration</w:t>
      </w:r>
      <w:r>
        <w:rPr>
          <w:spacing w:val="-7"/>
        </w:rPr>
        <w:t> </w:t>
      </w:r>
      <w:r>
        <w:rPr/>
        <w:t>to</w:t>
      </w:r>
      <w:r>
        <w:rPr>
          <w:spacing w:val="-7"/>
        </w:rPr>
        <w:t> </w:t>
      </w:r>
      <w:r>
        <w:rPr/>
        <w:t>maintain</w:t>
      </w:r>
      <w:r>
        <w:rPr>
          <w:spacing w:val="-7"/>
        </w:rPr>
        <w:t> </w:t>
      </w:r>
      <w:r>
        <w:rPr/>
        <w:t>and</w:t>
      </w:r>
      <w:r>
        <w:rPr>
          <w:spacing w:val="-7"/>
        </w:rPr>
        <w:t> </w:t>
      </w:r>
      <w:r>
        <w:rPr/>
        <w:t>improve</w:t>
      </w:r>
      <w:r>
        <w:rPr>
          <w:spacing w:val="-5"/>
        </w:rPr>
        <w:t> </w:t>
      </w:r>
      <w:r>
        <w:rPr/>
        <w:t>habitat and ecological conditions capable of supporting ground &amp; surface hydrologic function and self- sustaining</w:t>
      </w:r>
      <w:r>
        <w:rPr>
          <w:spacing w:val="-7"/>
        </w:rPr>
        <w:t> </w:t>
      </w:r>
      <w:r>
        <w:rPr/>
        <w:t>populations</w:t>
      </w:r>
      <w:r>
        <w:rPr>
          <w:spacing w:val="-8"/>
        </w:rPr>
        <w:t> </w:t>
      </w:r>
      <w:r>
        <w:rPr/>
        <w:t>of</w:t>
      </w:r>
      <w:r>
        <w:rPr>
          <w:spacing w:val="-8"/>
        </w:rPr>
        <w:t> </w:t>
      </w:r>
      <w:r>
        <w:rPr/>
        <w:t>native</w:t>
      </w:r>
      <w:r>
        <w:rPr>
          <w:spacing w:val="-5"/>
        </w:rPr>
        <w:t> </w:t>
      </w:r>
      <w:r>
        <w:rPr/>
        <w:t>riparian-dependent</w:t>
      </w:r>
      <w:r>
        <w:rPr>
          <w:spacing w:val="-5"/>
        </w:rPr>
        <w:t> </w:t>
      </w:r>
      <w:r>
        <w:rPr/>
        <w:t>plant</w:t>
      </w:r>
      <w:r>
        <w:rPr>
          <w:spacing w:val="-5"/>
        </w:rPr>
        <w:t> </w:t>
      </w:r>
      <w:r>
        <w:rPr/>
        <w:t>and</w:t>
      </w:r>
      <w:r>
        <w:rPr>
          <w:spacing w:val="-7"/>
        </w:rPr>
        <w:t> </w:t>
      </w:r>
      <w:r>
        <w:rPr/>
        <w:t>animal</w:t>
      </w:r>
      <w:r>
        <w:rPr>
          <w:spacing w:val="-6"/>
        </w:rPr>
        <w:t> </w:t>
      </w:r>
      <w:r>
        <w:rPr/>
        <w:t>species.</w:t>
      </w:r>
      <w:r>
        <w:rPr>
          <w:spacing w:val="-8"/>
        </w:rPr>
        <w:t> </w:t>
      </w:r>
      <w:r>
        <w:rPr/>
        <w:t>Passive</w:t>
      </w:r>
      <w:r>
        <w:rPr>
          <w:spacing w:val="-8"/>
        </w:rPr>
        <w:t> </w:t>
      </w:r>
      <w:r>
        <w:rPr/>
        <w:t>restoration</w:t>
      </w:r>
      <w:r>
        <w:rPr>
          <w:spacing w:val="-7"/>
        </w:rPr>
        <w:t> </w:t>
      </w:r>
      <w:r>
        <w:rPr/>
        <w:t>is the broad-scale natural recovery of the aquatic ecosystem and includes implementation of best management practices, key watersheds and designation of riparian management areas. Active restoration includes management activities with the specific goal of restoring the processes that improve aquatic and riparian habitat function.</w:t>
      </w:r>
    </w:p>
    <w:p>
      <w:pPr>
        <w:pStyle w:val="BodyText"/>
        <w:spacing w:before="191"/>
        <w:ind w:left="359"/>
      </w:pPr>
      <w:r>
        <w:rPr/>
        <w:t>Activities</w:t>
      </w:r>
      <w:r>
        <w:rPr>
          <w:spacing w:val="-7"/>
        </w:rPr>
        <w:t> </w:t>
      </w:r>
      <w:r>
        <w:rPr/>
        <w:t>may</w:t>
      </w:r>
      <w:r>
        <w:rPr>
          <w:spacing w:val="-3"/>
        </w:rPr>
        <w:t> </w:t>
      </w:r>
      <w:r>
        <w:rPr>
          <w:spacing w:val="-2"/>
        </w:rPr>
        <w:t>include:</w:t>
      </w:r>
    </w:p>
    <w:p>
      <w:pPr>
        <w:pStyle w:val="ListParagraph"/>
        <w:numPr>
          <w:ilvl w:val="0"/>
          <w:numId w:val="30"/>
        </w:numPr>
        <w:tabs>
          <w:tab w:pos="900" w:val="left" w:leader="none"/>
        </w:tabs>
        <w:spacing w:line="232" w:lineRule="auto" w:before="198" w:after="0"/>
        <w:ind w:left="900" w:right="890" w:hanging="360"/>
        <w:jc w:val="left"/>
        <w:rPr>
          <w:sz w:val="22"/>
        </w:rPr>
      </w:pPr>
      <w:r>
        <w:rPr>
          <w:sz w:val="22"/>
        </w:rPr>
        <w:t>Active</w:t>
      </w:r>
      <w:r>
        <w:rPr>
          <w:spacing w:val="-9"/>
          <w:sz w:val="22"/>
        </w:rPr>
        <w:t> </w:t>
      </w:r>
      <w:r>
        <w:rPr>
          <w:sz w:val="22"/>
        </w:rPr>
        <w:t>stream</w:t>
      </w:r>
      <w:r>
        <w:rPr>
          <w:spacing w:val="-7"/>
          <w:sz w:val="22"/>
        </w:rPr>
        <w:t> </w:t>
      </w:r>
      <w:r>
        <w:rPr>
          <w:sz w:val="22"/>
        </w:rPr>
        <w:t>restoration</w:t>
      </w:r>
      <w:r>
        <w:rPr>
          <w:spacing w:val="-9"/>
          <w:sz w:val="22"/>
        </w:rPr>
        <w:t> </w:t>
      </w:r>
      <w:r>
        <w:rPr>
          <w:sz w:val="22"/>
        </w:rPr>
        <w:t>actions</w:t>
      </w:r>
      <w:r>
        <w:rPr>
          <w:spacing w:val="-8"/>
          <w:sz w:val="22"/>
        </w:rPr>
        <w:t> </w:t>
      </w:r>
      <w:r>
        <w:rPr>
          <w:sz w:val="22"/>
        </w:rPr>
        <w:t>at</w:t>
      </w:r>
      <w:r>
        <w:rPr>
          <w:spacing w:val="-7"/>
          <w:sz w:val="22"/>
        </w:rPr>
        <w:t> </w:t>
      </w:r>
      <w:r>
        <w:rPr>
          <w:sz w:val="22"/>
        </w:rPr>
        <w:t>selected</w:t>
      </w:r>
      <w:r>
        <w:rPr>
          <w:spacing w:val="-9"/>
          <w:sz w:val="22"/>
        </w:rPr>
        <w:t> </w:t>
      </w:r>
      <w:r>
        <w:rPr>
          <w:sz w:val="22"/>
        </w:rPr>
        <w:t>stream</w:t>
      </w:r>
      <w:r>
        <w:rPr>
          <w:spacing w:val="-7"/>
          <w:sz w:val="22"/>
        </w:rPr>
        <w:t> </w:t>
      </w:r>
      <w:r>
        <w:rPr>
          <w:sz w:val="22"/>
        </w:rPr>
        <w:t>reaches</w:t>
      </w:r>
      <w:r>
        <w:rPr>
          <w:spacing w:val="-9"/>
          <w:sz w:val="22"/>
        </w:rPr>
        <w:t> </w:t>
      </w:r>
      <w:r>
        <w:rPr>
          <w:sz w:val="22"/>
        </w:rPr>
        <w:t>to</w:t>
      </w:r>
      <w:r>
        <w:rPr>
          <w:spacing w:val="-7"/>
          <w:sz w:val="22"/>
        </w:rPr>
        <w:t> </w:t>
      </w:r>
      <w:r>
        <w:rPr>
          <w:sz w:val="22"/>
        </w:rPr>
        <w:t>improve</w:t>
      </w:r>
      <w:r>
        <w:rPr>
          <w:spacing w:val="-9"/>
          <w:sz w:val="22"/>
        </w:rPr>
        <w:t> </w:t>
      </w:r>
      <w:r>
        <w:rPr>
          <w:sz w:val="22"/>
        </w:rPr>
        <w:t>degraded</w:t>
      </w:r>
      <w:r>
        <w:rPr>
          <w:spacing w:val="-9"/>
          <w:sz w:val="22"/>
        </w:rPr>
        <w:t> </w:t>
      </w:r>
      <w:r>
        <w:rPr>
          <w:sz w:val="22"/>
        </w:rPr>
        <w:t>conditions and stream channel stability (e.g., adding large woody debris to streams);</w:t>
      </w:r>
    </w:p>
    <w:p>
      <w:pPr>
        <w:pStyle w:val="ListParagraph"/>
        <w:numPr>
          <w:ilvl w:val="0"/>
          <w:numId w:val="30"/>
        </w:numPr>
        <w:tabs>
          <w:tab w:pos="899" w:val="left" w:leader="none"/>
        </w:tabs>
        <w:spacing w:line="240" w:lineRule="auto" w:before="111" w:after="0"/>
        <w:ind w:left="899" w:right="0" w:hanging="359"/>
        <w:jc w:val="left"/>
        <w:rPr>
          <w:sz w:val="22"/>
        </w:rPr>
      </w:pPr>
      <w:r>
        <w:rPr>
          <w:sz w:val="22"/>
        </w:rPr>
        <w:t>Planting</w:t>
      </w:r>
      <w:r>
        <w:rPr>
          <w:spacing w:val="-9"/>
          <w:sz w:val="22"/>
        </w:rPr>
        <w:t> </w:t>
      </w:r>
      <w:r>
        <w:rPr>
          <w:sz w:val="22"/>
        </w:rPr>
        <w:t>riparian</w:t>
      </w:r>
      <w:r>
        <w:rPr>
          <w:spacing w:val="-9"/>
          <w:sz w:val="22"/>
        </w:rPr>
        <w:t> </w:t>
      </w:r>
      <w:r>
        <w:rPr>
          <w:sz w:val="22"/>
        </w:rPr>
        <w:t>vegetation</w:t>
      </w:r>
      <w:r>
        <w:rPr>
          <w:spacing w:val="-8"/>
          <w:sz w:val="22"/>
        </w:rPr>
        <w:t> </w:t>
      </w:r>
      <w:r>
        <w:rPr>
          <w:sz w:val="22"/>
        </w:rPr>
        <w:t>for</w:t>
      </w:r>
      <w:r>
        <w:rPr>
          <w:spacing w:val="-8"/>
          <w:sz w:val="22"/>
        </w:rPr>
        <w:t> </w:t>
      </w:r>
      <w:r>
        <w:rPr>
          <w:sz w:val="22"/>
        </w:rPr>
        <w:t>bank</w:t>
      </w:r>
      <w:r>
        <w:rPr>
          <w:spacing w:val="-9"/>
          <w:sz w:val="22"/>
        </w:rPr>
        <w:t> </w:t>
      </w:r>
      <w:r>
        <w:rPr>
          <w:sz w:val="22"/>
        </w:rPr>
        <w:t>stability</w:t>
      </w:r>
      <w:r>
        <w:rPr>
          <w:spacing w:val="-7"/>
          <w:sz w:val="22"/>
        </w:rPr>
        <w:t> </w:t>
      </w:r>
      <w:r>
        <w:rPr>
          <w:sz w:val="22"/>
        </w:rPr>
        <w:t>and</w:t>
      </w:r>
      <w:r>
        <w:rPr>
          <w:spacing w:val="-8"/>
          <w:sz w:val="22"/>
        </w:rPr>
        <w:t> </w:t>
      </w:r>
      <w:r>
        <w:rPr>
          <w:spacing w:val="-2"/>
          <w:sz w:val="22"/>
        </w:rPr>
        <w:t>shade;</w:t>
      </w:r>
    </w:p>
    <w:p>
      <w:pPr>
        <w:pStyle w:val="ListParagraph"/>
        <w:numPr>
          <w:ilvl w:val="0"/>
          <w:numId w:val="30"/>
        </w:numPr>
        <w:tabs>
          <w:tab w:pos="900" w:val="left" w:leader="none"/>
        </w:tabs>
        <w:spacing w:line="232" w:lineRule="auto" w:before="120" w:after="0"/>
        <w:ind w:left="900" w:right="1232" w:hanging="360"/>
        <w:jc w:val="left"/>
        <w:rPr>
          <w:sz w:val="22"/>
        </w:rPr>
      </w:pPr>
      <w:r>
        <w:rPr>
          <w:sz w:val="22"/>
        </w:rPr>
        <w:t>Treating</w:t>
      </w:r>
      <w:r>
        <w:rPr>
          <w:spacing w:val="-9"/>
          <w:sz w:val="22"/>
        </w:rPr>
        <w:t> </w:t>
      </w:r>
      <w:r>
        <w:rPr>
          <w:sz w:val="22"/>
        </w:rPr>
        <w:t>invasive</w:t>
      </w:r>
      <w:r>
        <w:rPr>
          <w:spacing w:val="-10"/>
          <w:sz w:val="22"/>
        </w:rPr>
        <w:t> </w:t>
      </w:r>
      <w:r>
        <w:rPr>
          <w:sz w:val="22"/>
        </w:rPr>
        <w:t>terrestrial</w:t>
      </w:r>
      <w:r>
        <w:rPr>
          <w:spacing w:val="-11"/>
          <w:sz w:val="22"/>
        </w:rPr>
        <w:t> </w:t>
      </w:r>
      <w:r>
        <w:rPr>
          <w:sz w:val="22"/>
        </w:rPr>
        <w:t>plant</w:t>
      </w:r>
      <w:r>
        <w:rPr>
          <w:spacing w:val="-7"/>
          <w:sz w:val="22"/>
        </w:rPr>
        <w:t> </w:t>
      </w:r>
      <w:r>
        <w:rPr>
          <w:sz w:val="22"/>
        </w:rPr>
        <w:t>species</w:t>
      </w:r>
      <w:r>
        <w:rPr>
          <w:spacing w:val="-8"/>
          <w:sz w:val="22"/>
        </w:rPr>
        <w:t> </w:t>
      </w:r>
      <w:r>
        <w:rPr>
          <w:sz w:val="22"/>
        </w:rPr>
        <w:t>in</w:t>
      </w:r>
      <w:r>
        <w:rPr>
          <w:spacing w:val="-9"/>
          <w:sz w:val="22"/>
        </w:rPr>
        <w:t> </w:t>
      </w:r>
      <w:r>
        <w:rPr>
          <w:sz w:val="22"/>
        </w:rPr>
        <w:t>riparian</w:t>
      </w:r>
      <w:r>
        <w:rPr>
          <w:spacing w:val="-9"/>
          <w:sz w:val="22"/>
        </w:rPr>
        <w:t> </w:t>
      </w:r>
      <w:r>
        <w:rPr>
          <w:sz w:val="22"/>
        </w:rPr>
        <w:t>areas</w:t>
      </w:r>
      <w:r>
        <w:rPr>
          <w:spacing w:val="-8"/>
          <w:sz w:val="22"/>
        </w:rPr>
        <w:t> </w:t>
      </w:r>
      <w:r>
        <w:rPr>
          <w:sz w:val="22"/>
        </w:rPr>
        <w:t>to</w:t>
      </w:r>
      <w:r>
        <w:rPr>
          <w:spacing w:val="-7"/>
          <w:sz w:val="22"/>
        </w:rPr>
        <w:t> </w:t>
      </w:r>
      <w:r>
        <w:rPr>
          <w:sz w:val="22"/>
        </w:rPr>
        <w:t>improve</w:t>
      </w:r>
      <w:r>
        <w:rPr>
          <w:spacing w:val="-7"/>
          <w:sz w:val="22"/>
        </w:rPr>
        <w:t> </w:t>
      </w:r>
      <w:r>
        <w:rPr>
          <w:sz w:val="22"/>
        </w:rPr>
        <w:t>riparian</w:t>
      </w:r>
      <w:r>
        <w:rPr>
          <w:spacing w:val="-9"/>
          <w:sz w:val="22"/>
        </w:rPr>
        <w:t> </w:t>
      </w:r>
      <w:r>
        <w:rPr>
          <w:sz w:val="22"/>
        </w:rPr>
        <w:t>community </w:t>
      </w:r>
      <w:r>
        <w:rPr>
          <w:spacing w:val="-2"/>
          <w:sz w:val="22"/>
        </w:rPr>
        <w:t>structure;</w:t>
      </w:r>
    </w:p>
    <w:p>
      <w:pPr>
        <w:pStyle w:val="ListParagraph"/>
        <w:numPr>
          <w:ilvl w:val="0"/>
          <w:numId w:val="30"/>
        </w:numPr>
        <w:tabs>
          <w:tab w:pos="900" w:val="left" w:leader="none"/>
        </w:tabs>
        <w:spacing w:line="232" w:lineRule="auto" w:before="117" w:after="0"/>
        <w:ind w:left="900" w:right="1373" w:hanging="360"/>
        <w:jc w:val="left"/>
        <w:rPr>
          <w:sz w:val="22"/>
        </w:rPr>
      </w:pPr>
      <w:r>
        <w:rPr>
          <w:sz w:val="22"/>
        </w:rPr>
        <w:t>Removal,</w:t>
      </w:r>
      <w:r>
        <w:rPr>
          <w:spacing w:val="-8"/>
          <w:sz w:val="22"/>
        </w:rPr>
        <w:t> </w:t>
      </w:r>
      <w:r>
        <w:rPr>
          <w:sz w:val="22"/>
        </w:rPr>
        <w:t>reconstruction,</w:t>
      </w:r>
      <w:r>
        <w:rPr>
          <w:spacing w:val="-8"/>
          <w:sz w:val="22"/>
        </w:rPr>
        <w:t> </w:t>
      </w:r>
      <w:r>
        <w:rPr>
          <w:sz w:val="22"/>
        </w:rPr>
        <w:t>or</w:t>
      </w:r>
      <w:r>
        <w:rPr>
          <w:spacing w:val="-7"/>
          <w:sz w:val="22"/>
        </w:rPr>
        <w:t> </w:t>
      </w:r>
      <w:r>
        <w:rPr>
          <w:sz w:val="22"/>
        </w:rPr>
        <w:t>improved</w:t>
      </w:r>
      <w:r>
        <w:rPr>
          <w:spacing w:val="-9"/>
          <w:sz w:val="22"/>
        </w:rPr>
        <w:t> </w:t>
      </w:r>
      <w:r>
        <w:rPr>
          <w:sz w:val="22"/>
        </w:rPr>
        <w:t>maintenance</w:t>
      </w:r>
      <w:r>
        <w:rPr>
          <w:spacing w:val="-8"/>
          <w:sz w:val="22"/>
        </w:rPr>
        <w:t> </w:t>
      </w:r>
      <w:r>
        <w:rPr>
          <w:sz w:val="22"/>
        </w:rPr>
        <w:t>of</w:t>
      </w:r>
      <w:r>
        <w:rPr>
          <w:spacing w:val="-8"/>
          <w:sz w:val="22"/>
        </w:rPr>
        <w:t> </w:t>
      </w:r>
      <w:r>
        <w:rPr>
          <w:sz w:val="22"/>
        </w:rPr>
        <w:t>roads</w:t>
      </w:r>
      <w:r>
        <w:rPr>
          <w:spacing w:val="-7"/>
          <w:sz w:val="22"/>
        </w:rPr>
        <w:t> </w:t>
      </w:r>
      <w:r>
        <w:rPr>
          <w:sz w:val="22"/>
        </w:rPr>
        <w:t>located</w:t>
      </w:r>
      <w:r>
        <w:rPr>
          <w:spacing w:val="-8"/>
          <w:sz w:val="22"/>
        </w:rPr>
        <w:t> </w:t>
      </w:r>
      <w:r>
        <w:rPr>
          <w:sz w:val="22"/>
        </w:rPr>
        <w:t>in</w:t>
      </w:r>
      <w:r>
        <w:rPr>
          <w:spacing w:val="-8"/>
          <w:sz w:val="22"/>
        </w:rPr>
        <w:t> </w:t>
      </w:r>
      <w:r>
        <w:rPr>
          <w:sz w:val="22"/>
        </w:rPr>
        <w:t>riparian</w:t>
      </w:r>
      <w:r>
        <w:rPr>
          <w:spacing w:val="-8"/>
          <w:sz w:val="22"/>
        </w:rPr>
        <w:t> </w:t>
      </w:r>
      <w:r>
        <w:rPr>
          <w:sz w:val="22"/>
        </w:rPr>
        <w:t>areas</w:t>
      </w:r>
      <w:r>
        <w:rPr>
          <w:spacing w:val="-7"/>
          <w:sz w:val="22"/>
        </w:rPr>
        <w:t> </w:t>
      </w:r>
      <w:r>
        <w:rPr>
          <w:sz w:val="22"/>
        </w:rPr>
        <w:t>to improve watershed health and reduce sediment delivery to the aquatic ecosystem;</w:t>
      </w:r>
    </w:p>
    <w:p>
      <w:pPr>
        <w:pStyle w:val="ListParagraph"/>
        <w:spacing w:after="0" w:line="232" w:lineRule="auto"/>
        <w:jc w:val="left"/>
        <w:rPr>
          <w:sz w:val="22"/>
        </w:rPr>
        <w:sectPr>
          <w:headerReference w:type="even" r:id="rId94"/>
          <w:headerReference w:type="default" r:id="rId95"/>
          <w:footerReference w:type="even" r:id="rId96"/>
          <w:footerReference w:type="default" r:id="rId97"/>
          <w:pgSz w:w="12240" w:h="15840"/>
          <w:pgMar w:header="725" w:footer="891" w:top="1340" w:bottom="1080" w:left="1080" w:right="1080"/>
          <w:pgNumType w:start="180"/>
        </w:sectPr>
      </w:pPr>
    </w:p>
    <w:p>
      <w:pPr>
        <w:pStyle w:val="ListParagraph"/>
        <w:numPr>
          <w:ilvl w:val="1"/>
          <w:numId w:val="30"/>
        </w:numPr>
        <w:tabs>
          <w:tab w:pos="1331" w:val="left" w:leader="none"/>
        </w:tabs>
        <w:spacing w:line="240" w:lineRule="auto" w:before="81" w:after="0"/>
        <w:ind w:left="1331" w:right="0" w:hanging="360"/>
        <w:jc w:val="left"/>
        <w:rPr>
          <w:sz w:val="22"/>
        </w:rPr>
      </w:pPr>
      <w:r>
        <w:rPr>
          <w:sz w:val="22"/>
        </w:rPr>
        <w:t>Treating</w:t>
      </w:r>
      <w:r>
        <w:rPr>
          <w:spacing w:val="-11"/>
          <w:sz w:val="22"/>
        </w:rPr>
        <w:t> </w:t>
      </w:r>
      <w:r>
        <w:rPr>
          <w:sz w:val="22"/>
        </w:rPr>
        <w:t>upland</w:t>
      </w:r>
      <w:r>
        <w:rPr>
          <w:spacing w:val="-10"/>
          <w:sz w:val="22"/>
        </w:rPr>
        <w:t> </w:t>
      </w:r>
      <w:r>
        <w:rPr>
          <w:sz w:val="22"/>
        </w:rPr>
        <w:t>roads</w:t>
      </w:r>
      <w:r>
        <w:rPr>
          <w:spacing w:val="-10"/>
          <w:sz w:val="22"/>
        </w:rPr>
        <w:t> </w:t>
      </w:r>
      <w:r>
        <w:rPr>
          <w:sz w:val="22"/>
        </w:rPr>
        <w:t>to</w:t>
      </w:r>
      <w:r>
        <w:rPr>
          <w:spacing w:val="-8"/>
          <w:sz w:val="22"/>
        </w:rPr>
        <w:t> </w:t>
      </w:r>
      <w:r>
        <w:rPr>
          <w:sz w:val="22"/>
        </w:rPr>
        <w:t>reduce</w:t>
      </w:r>
      <w:r>
        <w:rPr>
          <w:spacing w:val="-9"/>
          <w:sz w:val="22"/>
        </w:rPr>
        <w:t> </w:t>
      </w:r>
      <w:r>
        <w:rPr>
          <w:sz w:val="22"/>
        </w:rPr>
        <w:t>water</w:t>
      </w:r>
      <w:r>
        <w:rPr>
          <w:spacing w:val="-9"/>
          <w:sz w:val="22"/>
        </w:rPr>
        <w:t> </w:t>
      </w:r>
      <w:r>
        <w:rPr>
          <w:spacing w:val="-2"/>
          <w:sz w:val="22"/>
        </w:rPr>
        <w:t>interception;</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Culvert</w:t>
      </w:r>
      <w:r>
        <w:rPr>
          <w:spacing w:val="-12"/>
          <w:sz w:val="22"/>
        </w:rPr>
        <w:t> </w:t>
      </w:r>
      <w:r>
        <w:rPr>
          <w:sz w:val="22"/>
        </w:rPr>
        <w:t>replacement</w:t>
      </w:r>
      <w:r>
        <w:rPr>
          <w:spacing w:val="-9"/>
          <w:sz w:val="22"/>
        </w:rPr>
        <w:t> </w:t>
      </w:r>
      <w:r>
        <w:rPr>
          <w:sz w:val="22"/>
        </w:rPr>
        <w:t>or</w:t>
      </w:r>
      <w:r>
        <w:rPr>
          <w:spacing w:val="-8"/>
          <w:sz w:val="22"/>
        </w:rPr>
        <w:t> </w:t>
      </w:r>
      <w:r>
        <w:rPr>
          <w:sz w:val="22"/>
        </w:rPr>
        <w:t>removal</w:t>
      </w:r>
      <w:r>
        <w:rPr>
          <w:spacing w:val="-8"/>
          <w:sz w:val="22"/>
        </w:rPr>
        <w:t> </w:t>
      </w:r>
      <w:r>
        <w:rPr>
          <w:sz w:val="22"/>
        </w:rPr>
        <w:t>to</w:t>
      </w:r>
      <w:r>
        <w:rPr>
          <w:spacing w:val="-7"/>
          <w:sz w:val="22"/>
        </w:rPr>
        <w:t> </w:t>
      </w:r>
      <w:r>
        <w:rPr>
          <w:sz w:val="22"/>
        </w:rPr>
        <w:t>improve</w:t>
      </w:r>
      <w:r>
        <w:rPr>
          <w:spacing w:val="-9"/>
          <w:sz w:val="22"/>
        </w:rPr>
        <w:t> </w:t>
      </w:r>
      <w:r>
        <w:rPr>
          <w:sz w:val="22"/>
        </w:rPr>
        <w:t>passage</w:t>
      </w:r>
      <w:r>
        <w:rPr>
          <w:spacing w:val="-7"/>
          <w:sz w:val="22"/>
        </w:rPr>
        <w:t> </w:t>
      </w:r>
      <w:r>
        <w:rPr>
          <w:sz w:val="22"/>
        </w:rPr>
        <w:t>for</w:t>
      </w:r>
      <w:r>
        <w:rPr>
          <w:spacing w:val="-8"/>
          <w:sz w:val="22"/>
        </w:rPr>
        <w:t> </w:t>
      </w:r>
      <w:r>
        <w:rPr>
          <w:sz w:val="22"/>
        </w:rPr>
        <w:t>native</w:t>
      </w:r>
      <w:r>
        <w:rPr>
          <w:spacing w:val="-7"/>
          <w:sz w:val="22"/>
        </w:rPr>
        <w:t> </w:t>
      </w:r>
      <w:r>
        <w:rPr>
          <w:sz w:val="22"/>
        </w:rPr>
        <w:t>species,</w:t>
      </w:r>
      <w:r>
        <w:rPr>
          <w:spacing w:val="-10"/>
          <w:sz w:val="22"/>
        </w:rPr>
        <w:t> </w:t>
      </w:r>
      <w:r>
        <w:rPr>
          <w:sz w:val="22"/>
        </w:rPr>
        <w:t>where</w:t>
      </w:r>
      <w:r>
        <w:rPr>
          <w:spacing w:val="-6"/>
          <w:sz w:val="22"/>
        </w:rPr>
        <w:t> </w:t>
      </w:r>
      <w:r>
        <w:rPr>
          <w:spacing w:val="-2"/>
          <w:sz w:val="22"/>
        </w:rPr>
        <w:t>appropriate;</w:t>
      </w:r>
    </w:p>
    <w:p>
      <w:pPr>
        <w:pStyle w:val="ListParagraph"/>
        <w:numPr>
          <w:ilvl w:val="1"/>
          <w:numId w:val="30"/>
        </w:numPr>
        <w:tabs>
          <w:tab w:pos="1331" w:val="left" w:leader="none"/>
        </w:tabs>
        <w:spacing w:line="240" w:lineRule="auto" w:before="113" w:after="0"/>
        <w:ind w:left="1331" w:right="0" w:hanging="360"/>
        <w:jc w:val="left"/>
        <w:rPr>
          <w:sz w:val="22"/>
        </w:rPr>
      </w:pPr>
      <w:r>
        <w:rPr>
          <w:sz w:val="22"/>
        </w:rPr>
        <w:t>Culvert</w:t>
      </w:r>
      <w:r>
        <w:rPr>
          <w:spacing w:val="-12"/>
          <w:sz w:val="22"/>
        </w:rPr>
        <w:t> </w:t>
      </w:r>
      <w:r>
        <w:rPr>
          <w:sz w:val="22"/>
        </w:rPr>
        <w:t>replacement</w:t>
      </w:r>
      <w:r>
        <w:rPr>
          <w:spacing w:val="-10"/>
          <w:sz w:val="22"/>
        </w:rPr>
        <w:t> </w:t>
      </w:r>
      <w:r>
        <w:rPr>
          <w:sz w:val="22"/>
        </w:rPr>
        <w:t>or</w:t>
      </w:r>
      <w:r>
        <w:rPr>
          <w:spacing w:val="-8"/>
          <w:sz w:val="22"/>
        </w:rPr>
        <w:t> </w:t>
      </w:r>
      <w:r>
        <w:rPr>
          <w:sz w:val="22"/>
        </w:rPr>
        <w:t>removal</w:t>
      </w:r>
      <w:r>
        <w:rPr>
          <w:spacing w:val="-9"/>
          <w:sz w:val="22"/>
        </w:rPr>
        <w:t> </w:t>
      </w:r>
      <w:r>
        <w:rPr>
          <w:sz w:val="22"/>
        </w:rPr>
        <w:t>to</w:t>
      </w:r>
      <w:r>
        <w:rPr>
          <w:spacing w:val="-7"/>
          <w:sz w:val="22"/>
        </w:rPr>
        <w:t> </w:t>
      </w:r>
      <w:r>
        <w:rPr>
          <w:sz w:val="22"/>
        </w:rPr>
        <w:t>improve</w:t>
      </w:r>
      <w:r>
        <w:rPr>
          <w:spacing w:val="-10"/>
          <w:sz w:val="22"/>
        </w:rPr>
        <w:t> </w:t>
      </w:r>
      <w:r>
        <w:rPr>
          <w:sz w:val="22"/>
        </w:rPr>
        <w:t>hydrologic</w:t>
      </w:r>
      <w:r>
        <w:rPr>
          <w:spacing w:val="-8"/>
          <w:sz w:val="22"/>
        </w:rPr>
        <w:t> </w:t>
      </w:r>
      <w:r>
        <w:rPr>
          <w:sz w:val="22"/>
        </w:rPr>
        <w:t>function</w:t>
      </w:r>
      <w:r>
        <w:rPr>
          <w:spacing w:val="-11"/>
          <w:sz w:val="22"/>
        </w:rPr>
        <w:t> </w:t>
      </w:r>
      <w:r>
        <w:rPr>
          <w:sz w:val="22"/>
        </w:rPr>
        <w:t>and</w:t>
      </w:r>
      <w:r>
        <w:rPr>
          <w:spacing w:val="-9"/>
          <w:sz w:val="22"/>
        </w:rPr>
        <w:t> </w:t>
      </w:r>
      <w:r>
        <w:rPr>
          <w:sz w:val="22"/>
        </w:rPr>
        <w:t>sediment</w:t>
      </w:r>
      <w:r>
        <w:rPr>
          <w:spacing w:val="-9"/>
          <w:sz w:val="22"/>
        </w:rPr>
        <w:t> </w:t>
      </w:r>
      <w:r>
        <w:rPr>
          <w:sz w:val="22"/>
        </w:rPr>
        <w:t>transport;</w:t>
      </w:r>
      <w:r>
        <w:rPr>
          <w:spacing w:val="-9"/>
          <w:sz w:val="22"/>
        </w:rPr>
        <w:t> </w:t>
      </w:r>
      <w:r>
        <w:rPr>
          <w:spacing w:val="-5"/>
          <w:sz w:val="22"/>
        </w:rPr>
        <w:t>and</w:t>
      </w:r>
    </w:p>
    <w:p>
      <w:pPr>
        <w:pStyle w:val="ListParagraph"/>
        <w:numPr>
          <w:ilvl w:val="1"/>
          <w:numId w:val="30"/>
        </w:numPr>
        <w:tabs>
          <w:tab w:pos="1331" w:val="left" w:leader="none"/>
        </w:tabs>
        <w:spacing w:line="240" w:lineRule="auto" w:before="111" w:after="0"/>
        <w:ind w:left="1331" w:right="0" w:hanging="360"/>
        <w:jc w:val="left"/>
        <w:rPr>
          <w:sz w:val="22"/>
        </w:rPr>
      </w:pPr>
      <w:r>
        <w:rPr>
          <w:sz w:val="22"/>
        </w:rPr>
        <w:t>Riparian</w:t>
      </w:r>
      <w:r>
        <w:rPr>
          <w:spacing w:val="-7"/>
          <w:sz w:val="22"/>
        </w:rPr>
        <w:t> </w:t>
      </w:r>
      <w:r>
        <w:rPr>
          <w:sz w:val="22"/>
        </w:rPr>
        <w:t>area</w:t>
      </w:r>
      <w:r>
        <w:rPr>
          <w:spacing w:val="-7"/>
          <w:sz w:val="22"/>
        </w:rPr>
        <w:t> </w:t>
      </w:r>
      <w:r>
        <w:rPr>
          <w:spacing w:val="-2"/>
          <w:sz w:val="22"/>
        </w:rPr>
        <w:t>fencing.</w:t>
      </w:r>
    </w:p>
    <w:p>
      <w:pPr>
        <w:pStyle w:val="Heading3"/>
        <w:spacing w:before="232"/>
        <w:ind w:left="791"/>
      </w:pPr>
      <w:bookmarkStart w:name="Social Systems" w:id="953"/>
      <w:bookmarkEnd w:id="953"/>
      <w:r>
        <w:rPr>
          <w:b w:val="0"/>
        </w:rPr>
      </w:r>
      <w:bookmarkStart w:name="_bookmark293" w:id="954"/>
      <w:bookmarkEnd w:id="954"/>
      <w:r>
        <w:rPr>
          <w:b w:val="0"/>
        </w:rPr>
      </w:r>
      <w:r>
        <w:rPr>
          <w:smallCaps/>
          <w:color w:val="475824"/>
        </w:rPr>
        <w:t>Social</w:t>
      </w:r>
      <w:r>
        <w:rPr>
          <w:smallCaps/>
          <w:color w:val="475824"/>
          <w:spacing w:val="-8"/>
        </w:rPr>
        <w:t> </w:t>
      </w:r>
      <w:r>
        <w:rPr>
          <w:smallCaps/>
          <w:color w:val="475824"/>
          <w:spacing w:val="-2"/>
        </w:rPr>
        <w:t>Systems</w:t>
      </w:r>
    </w:p>
    <w:p>
      <w:pPr>
        <w:pStyle w:val="Heading4"/>
        <w:spacing w:before="241"/>
        <w:ind w:left="791"/>
      </w:pPr>
      <w:bookmarkStart w:name="Access and Recreation" w:id="955"/>
      <w:bookmarkEnd w:id="955"/>
      <w:r>
        <w:rPr/>
      </w:r>
      <w:bookmarkStart w:name="_bookmark294" w:id="956"/>
      <w:bookmarkEnd w:id="956"/>
      <w:r>
        <w:rPr/>
      </w:r>
      <w:r>
        <w:rPr/>
        <w:t>Access</w:t>
      </w:r>
      <w:r>
        <w:rPr>
          <w:spacing w:val="-1"/>
        </w:rPr>
        <w:t> </w:t>
      </w:r>
      <w:r>
        <w:rPr/>
        <w:t>and </w:t>
      </w:r>
      <w:r>
        <w:rPr>
          <w:spacing w:val="-2"/>
        </w:rPr>
        <w:t>Recreation</w:t>
      </w:r>
    </w:p>
    <w:p>
      <w:pPr>
        <w:pStyle w:val="BodyText"/>
        <w:spacing w:line="232" w:lineRule="auto" w:before="66"/>
        <w:ind w:left="791"/>
      </w:pPr>
      <w:r>
        <w:rPr/>
        <w:t>Recreation</w:t>
      </w:r>
      <w:r>
        <w:rPr>
          <w:spacing w:val="-8"/>
        </w:rPr>
        <w:t> </w:t>
      </w:r>
      <w:r>
        <w:rPr/>
        <w:t>management</w:t>
      </w:r>
      <w:r>
        <w:rPr>
          <w:spacing w:val="-5"/>
        </w:rPr>
        <w:t> </w:t>
      </w:r>
      <w:r>
        <w:rPr/>
        <w:t>includes</w:t>
      </w:r>
      <w:r>
        <w:rPr>
          <w:spacing w:val="-6"/>
        </w:rPr>
        <w:t> </w:t>
      </w:r>
      <w:r>
        <w:rPr/>
        <w:t>those</w:t>
      </w:r>
      <w:r>
        <w:rPr>
          <w:spacing w:val="-5"/>
        </w:rPr>
        <w:t> </w:t>
      </w:r>
      <w:r>
        <w:rPr/>
        <w:t>activities</w:t>
      </w:r>
      <w:r>
        <w:rPr>
          <w:spacing w:val="-7"/>
        </w:rPr>
        <w:t> </w:t>
      </w:r>
      <w:r>
        <w:rPr/>
        <w:t>that</w:t>
      </w:r>
      <w:r>
        <w:rPr>
          <w:spacing w:val="-7"/>
        </w:rPr>
        <w:t> </w:t>
      </w:r>
      <w:r>
        <w:rPr/>
        <w:t>assist</w:t>
      </w:r>
      <w:r>
        <w:rPr>
          <w:spacing w:val="-5"/>
        </w:rPr>
        <w:t> </w:t>
      </w:r>
      <w:r>
        <w:rPr/>
        <w:t>in</w:t>
      </w:r>
      <w:r>
        <w:rPr>
          <w:spacing w:val="-7"/>
        </w:rPr>
        <w:t> </w:t>
      </w:r>
      <w:r>
        <w:rPr/>
        <w:t>providing</w:t>
      </w:r>
      <w:r>
        <w:rPr>
          <w:spacing w:val="-7"/>
        </w:rPr>
        <w:t> </w:t>
      </w:r>
      <w:r>
        <w:rPr/>
        <w:t>a</w:t>
      </w:r>
      <w:r>
        <w:rPr>
          <w:spacing w:val="-6"/>
        </w:rPr>
        <w:t> </w:t>
      </w:r>
      <w:r>
        <w:rPr/>
        <w:t>range</w:t>
      </w:r>
      <w:r>
        <w:rPr>
          <w:spacing w:val="-7"/>
        </w:rPr>
        <w:t> </w:t>
      </w:r>
      <w:r>
        <w:rPr/>
        <w:t>of</w:t>
      </w:r>
      <w:r>
        <w:rPr>
          <w:spacing w:val="-6"/>
        </w:rPr>
        <w:t> </w:t>
      </w:r>
      <w:r>
        <w:rPr/>
        <w:t>recreation opportunities</w:t>
      </w:r>
      <w:r>
        <w:rPr>
          <w:spacing w:val="-1"/>
        </w:rPr>
        <w:t> </w:t>
      </w:r>
      <w:r>
        <w:rPr/>
        <w:t>across</w:t>
      </w:r>
      <w:r>
        <w:rPr>
          <w:spacing w:val="-1"/>
        </w:rPr>
        <w:t> </w:t>
      </w:r>
      <w:r>
        <w:rPr/>
        <w:t>the Forest.</w:t>
      </w:r>
      <w:r>
        <w:rPr>
          <w:spacing w:val="-1"/>
        </w:rPr>
        <w:t> </w:t>
      </w:r>
      <w:r>
        <w:rPr/>
        <w:t>Specifically,</w:t>
      </w:r>
      <w:r>
        <w:rPr>
          <w:spacing w:val="-1"/>
        </w:rPr>
        <w:t> </w:t>
      </w:r>
      <w:r>
        <w:rPr/>
        <w:t>the</w:t>
      </w:r>
      <w:r>
        <w:rPr>
          <w:spacing w:val="-3"/>
        </w:rPr>
        <w:t> </w:t>
      </w:r>
      <w:r>
        <w:rPr/>
        <w:t>following</w:t>
      </w:r>
      <w:r>
        <w:rPr>
          <w:spacing w:val="-2"/>
        </w:rPr>
        <w:t> </w:t>
      </w:r>
      <w:r>
        <w:rPr/>
        <w:t>types</w:t>
      </w:r>
      <w:r>
        <w:rPr>
          <w:spacing w:val="-3"/>
        </w:rPr>
        <w:t> </w:t>
      </w:r>
      <w:r>
        <w:rPr/>
        <w:t>of</w:t>
      </w:r>
      <w:r>
        <w:rPr>
          <w:spacing w:val="-1"/>
        </w:rPr>
        <w:t> </w:t>
      </w:r>
      <w:r>
        <w:rPr/>
        <w:t>actions</w:t>
      </w:r>
      <w:r>
        <w:rPr>
          <w:spacing w:val="-1"/>
        </w:rPr>
        <w:t> </w:t>
      </w:r>
      <w:r>
        <w:rPr/>
        <w:t>are likely to</w:t>
      </w:r>
      <w:r>
        <w:rPr>
          <w:spacing w:val="-2"/>
        </w:rPr>
        <w:t> </w:t>
      </w:r>
      <w:r>
        <w:rPr/>
        <w:t>occur:</w:t>
      </w:r>
    </w:p>
    <w:p>
      <w:pPr>
        <w:pStyle w:val="ListParagraph"/>
        <w:numPr>
          <w:ilvl w:val="1"/>
          <w:numId w:val="30"/>
        </w:numPr>
        <w:tabs>
          <w:tab w:pos="1331" w:val="left" w:leader="none"/>
        </w:tabs>
        <w:spacing w:line="240" w:lineRule="auto" w:before="192" w:after="0"/>
        <w:ind w:left="1331" w:right="0" w:hanging="360"/>
        <w:jc w:val="left"/>
        <w:rPr>
          <w:sz w:val="22"/>
        </w:rPr>
      </w:pPr>
      <w:r>
        <w:rPr>
          <w:spacing w:val="-2"/>
          <w:sz w:val="22"/>
        </w:rPr>
        <w:t>Trail</w:t>
      </w:r>
      <w:r>
        <w:rPr>
          <w:spacing w:val="4"/>
          <w:sz w:val="22"/>
        </w:rPr>
        <w:t> </w:t>
      </w:r>
      <w:r>
        <w:rPr>
          <w:spacing w:val="-2"/>
          <w:sz w:val="22"/>
        </w:rPr>
        <w:t>construction,</w:t>
      </w:r>
      <w:r>
        <w:rPr>
          <w:spacing w:val="4"/>
          <w:sz w:val="22"/>
        </w:rPr>
        <w:t> </w:t>
      </w:r>
      <w:r>
        <w:rPr>
          <w:spacing w:val="-2"/>
          <w:sz w:val="22"/>
        </w:rPr>
        <w:t>reconstruction,</w:t>
      </w:r>
      <w:r>
        <w:rPr>
          <w:spacing w:val="5"/>
          <w:sz w:val="22"/>
        </w:rPr>
        <w:t> </w:t>
      </w:r>
      <w:r>
        <w:rPr>
          <w:spacing w:val="-2"/>
          <w:sz w:val="22"/>
        </w:rPr>
        <w:t>maintenance,</w:t>
      </w:r>
      <w:r>
        <w:rPr>
          <w:spacing w:val="6"/>
          <w:sz w:val="22"/>
        </w:rPr>
        <w:t> </w:t>
      </w:r>
      <w:r>
        <w:rPr>
          <w:spacing w:val="-2"/>
          <w:sz w:val="22"/>
        </w:rPr>
        <w:t>and</w:t>
      </w:r>
      <w:r>
        <w:rPr>
          <w:spacing w:val="6"/>
          <w:sz w:val="22"/>
        </w:rPr>
        <w:t> </w:t>
      </w:r>
      <w:r>
        <w:rPr>
          <w:spacing w:val="-2"/>
          <w:sz w:val="22"/>
        </w:rPr>
        <w:t>relocation;</w:t>
      </w:r>
    </w:p>
    <w:p>
      <w:pPr>
        <w:pStyle w:val="ListParagraph"/>
        <w:numPr>
          <w:ilvl w:val="1"/>
          <w:numId w:val="30"/>
        </w:numPr>
        <w:tabs>
          <w:tab w:pos="1332" w:val="left" w:leader="none"/>
        </w:tabs>
        <w:spacing w:line="232" w:lineRule="auto" w:before="117" w:after="0"/>
        <w:ind w:left="1332" w:right="545" w:hanging="360"/>
        <w:jc w:val="left"/>
        <w:rPr>
          <w:sz w:val="22"/>
        </w:rPr>
      </w:pPr>
      <w:r>
        <w:rPr>
          <w:sz w:val="22"/>
        </w:rPr>
        <w:t>Construction</w:t>
      </w:r>
      <w:r>
        <w:rPr>
          <w:spacing w:val="-8"/>
          <w:sz w:val="22"/>
        </w:rPr>
        <w:t> </w:t>
      </w:r>
      <w:r>
        <w:rPr>
          <w:sz w:val="22"/>
        </w:rPr>
        <w:t>of</w:t>
      </w:r>
      <w:r>
        <w:rPr>
          <w:spacing w:val="-6"/>
          <w:sz w:val="22"/>
        </w:rPr>
        <w:t> </w:t>
      </w:r>
      <w:r>
        <w:rPr>
          <w:sz w:val="22"/>
        </w:rPr>
        <w:t>facilities</w:t>
      </w:r>
      <w:r>
        <w:rPr>
          <w:spacing w:val="-6"/>
          <w:sz w:val="22"/>
        </w:rPr>
        <w:t> </w:t>
      </w:r>
      <w:r>
        <w:rPr>
          <w:sz w:val="22"/>
        </w:rPr>
        <w:t>such</w:t>
      </w:r>
      <w:r>
        <w:rPr>
          <w:spacing w:val="-6"/>
          <w:sz w:val="22"/>
        </w:rPr>
        <w:t> </w:t>
      </w:r>
      <w:r>
        <w:rPr>
          <w:sz w:val="22"/>
        </w:rPr>
        <w:t>as</w:t>
      </w:r>
      <w:r>
        <w:rPr>
          <w:spacing w:val="-6"/>
          <w:sz w:val="22"/>
        </w:rPr>
        <w:t> </w:t>
      </w:r>
      <w:r>
        <w:rPr>
          <w:sz w:val="22"/>
        </w:rPr>
        <w:t>parking</w:t>
      </w:r>
      <w:r>
        <w:rPr>
          <w:spacing w:val="-6"/>
          <w:sz w:val="22"/>
        </w:rPr>
        <w:t> </w:t>
      </w:r>
      <w:r>
        <w:rPr>
          <w:sz w:val="22"/>
        </w:rPr>
        <w:t>areas,</w:t>
      </w:r>
      <w:r>
        <w:rPr>
          <w:spacing w:val="-7"/>
          <w:sz w:val="22"/>
        </w:rPr>
        <w:t> </w:t>
      </w:r>
      <w:r>
        <w:rPr>
          <w:sz w:val="22"/>
        </w:rPr>
        <w:t>toilets,</w:t>
      </w:r>
      <w:r>
        <w:rPr>
          <w:spacing w:val="-7"/>
          <w:sz w:val="22"/>
        </w:rPr>
        <w:t> </w:t>
      </w:r>
      <w:r>
        <w:rPr>
          <w:sz w:val="22"/>
        </w:rPr>
        <w:t>trailheads,</w:t>
      </w:r>
      <w:r>
        <w:rPr>
          <w:spacing w:val="-6"/>
          <w:sz w:val="22"/>
        </w:rPr>
        <w:t> </w:t>
      </w:r>
      <w:r>
        <w:rPr>
          <w:sz w:val="22"/>
        </w:rPr>
        <w:t>information</w:t>
      </w:r>
      <w:r>
        <w:rPr>
          <w:spacing w:val="-6"/>
          <w:sz w:val="22"/>
        </w:rPr>
        <w:t> </w:t>
      </w:r>
      <w:r>
        <w:rPr>
          <w:sz w:val="22"/>
        </w:rPr>
        <w:t>kiosks,</w:t>
      </w:r>
      <w:r>
        <w:rPr>
          <w:spacing w:val="-6"/>
          <w:sz w:val="22"/>
        </w:rPr>
        <w:t> </w:t>
      </w:r>
      <w:r>
        <w:rPr>
          <w:sz w:val="22"/>
        </w:rPr>
        <w:t>fishing access, and boating access points;</w:t>
      </w:r>
    </w:p>
    <w:p>
      <w:pPr>
        <w:pStyle w:val="ListParagraph"/>
        <w:numPr>
          <w:ilvl w:val="1"/>
          <w:numId w:val="30"/>
        </w:numPr>
        <w:tabs>
          <w:tab w:pos="1331" w:val="left" w:leader="none"/>
        </w:tabs>
        <w:spacing w:line="232" w:lineRule="auto" w:before="120" w:after="0"/>
        <w:ind w:left="1331" w:right="595" w:hanging="360"/>
        <w:jc w:val="left"/>
        <w:rPr>
          <w:sz w:val="22"/>
        </w:rPr>
      </w:pPr>
      <w:r>
        <w:rPr>
          <w:sz w:val="22"/>
        </w:rPr>
        <w:t>Maintain</w:t>
      </w:r>
      <w:r>
        <w:rPr>
          <w:spacing w:val="-4"/>
          <w:sz w:val="22"/>
        </w:rPr>
        <w:t> </w:t>
      </w:r>
      <w:r>
        <w:rPr>
          <w:sz w:val="22"/>
        </w:rPr>
        <w:t>and</w:t>
      </w:r>
      <w:r>
        <w:rPr>
          <w:spacing w:val="-4"/>
          <w:sz w:val="22"/>
        </w:rPr>
        <w:t> </w:t>
      </w:r>
      <w:r>
        <w:rPr>
          <w:sz w:val="22"/>
        </w:rPr>
        <w:t>upgrade</w:t>
      </w:r>
      <w:r>
        <w:rPr>
          <w:spacing w:val="-2"/>
          <w:sz w:val="22"/>
        </w:rPr>
        <w:t> </w:t>
      </w:r>
      <w:r>
        <w:rPr>
          <w:sz w:val="22"/>
        </w:rPr>
        <w:t>facilities</w:t>
      </w:r>
      <w:r>
        <w:rPr>
          <w:spacing w:val="-3"/>
          <w:sz w:val="22"/>
        </w:rPr>
        <w:t> </w:t>
      </w:r>
      <w:r>
        <w:rPr>
          <w:sz w:val="22"/>
        </w:rPr>
        <w:t>such</w:t>
      </w:r>
      <w:r>
        <w:rPr>
          <w:spacing w:val="-4"/>
          <w:sz w:val="22"/>
        </w:rPr>
        <w:t> </w:t>
      </w:r>
      <w:r>
        <w:rPr>
          <w:sz w:val="22"/>
        </w:rPr>
        <w:t>as</w:t>
      </w:r>
      <w:r>
        <w:rPr>
          <w:spacing w:val="-3"/>
          <w:sz w:val="22"/>
        </w:rPr>
        <w:t> </w:t>
      </w:r>
      <w:r>
        <w:rPr>
          <w:sz w:val="22"/>
        </w:rPr>
        <w:t>campgrounds,</w:t>
      </w:r>
      <w:r>
        <w:rPr>
          <w:spacing w:val="-5"/>
          <w:sz w:val="22"/>
        </w:rPr>
        <w:t> </w:t>
      </w:r>
      <w:r>
        <w:rPr>
          <w:sz w:val="22"/>
        </w:rPr>
        <w:t>picnic</w:t>
      </w:r>
      <w:r>
        <w:rPr>
          <w:spacing w:val="-3"/>
          <w:sz w:val="22"/>
        </w:rPr>
        <w:t> </w:t>
      </w:r>
      <w:r>
        <w:rPr>
          <w:sz w:val="22"/>
        </w:rPr>
        <w:t>areas,</w:t>
      </w:r>
      <w:r>
        <w:rPr>
          <w:spacing w:val="-5"/>
          <w:sz w:val="22"/>
        </w:rPr>
        <w:t> </w:t>
      </w:r>
      <w:r>
        <w:rPr>
          <w:sz w:val="22"/>
        </w:rPr>
        <w:t>toilets,</w:t>
      </w:r>
      <w:r>
        <w:rPr>
          <w:spacing w:val="-3"/>
          <w:sz w:val="22"/>
        </w:rPr>
        <w:t> </w:t>
      </w:r>
      <w:r>
        <w:rPr>
          <w:sz w:val="22"/>
        </w:rPr>
        <w:t>and</w:t>
      </w:r>
      <w:r>
        <w:rPr>
          <w:spacing w:val="-4"/>
          <w:sz w:val="22"/>
        </w:rPr>
        <w:t> </w:t>
      </w:r>
      <w:r>
        <w:rPr>
          <w:sz w:val="22"/>
        </w:rPr>
        <w:t>parking</w:t>
      </w:r>
      <w:r>
        <w:rPr>
          <w:spacing w:val="-4"/>
          <w:sz w:val="22"/>
        </w:rPr>
        <w:t> </w:t>
      </w:r>
      <w:r>
        <w:rPr>
          <w:sz w:val="22"/>
        </w:rPr>
        <w:t>lots; Identification</w:t>
      </w:r>
      <w:r>
        <w:rPr>
          <w:spacing w:val="-7"/>
          <w:sz w:val="22"/>
        </w:rPr>
        <w:t> </w:t>
      </w:r>
      <w:r>
        <w:rPr>
          <w:sz w:val="22"/>
        </w:rPr>
        <w:t>and</w:t>
      </w:r>
      <w:r>
        <w:rPr>
          <w:spacing w:val="-7"/>
          <w:sz w:val="22"/>
        </w:rPr>
        <w:t> </w:t>
      </w:r>
      <w:r>
        <w:rPr>
          <w:sz w:val="22"/>
        </w:rPr>
        <w:t>abatement</w:t>
      </w:r>
      <w:r>
        <w:rPr>
          <w:spacing w:val="-6"/>
          <w:sz w:val="22"/>
        </w:rPr>
        <w:t> </w:t>
      </w:r>
      <w:r>
        <w:rPr>
          <w:sz w:val="22"/>
        </w:rPr>
        <w:t>of</w:t>
      </w:r>
      <w:r>
        <w:rPr>
          <w:spacing w:val="-7"/>
          <w:sz w:val="22"/>
        </w:rPr>
        <w:t> </w:t>
      </w:r>
      <w:r>
        <w:rPr>
          <w:sz w:val="22"/>
        </w:rPr>
        <w:t>natural</w:t>
      </w:r>
      <w:r>
        <w:rPr>
          <w:spacing w:val="-7"/>
          <w:sz w:val="22"/>
        </w:rPr>
        <w:t> </w:t>
      </w:r>
      <w:r>
        <w:rPr>
          <w:sz w:val="22"/>
        </w:rPr>
        <w:t>and</w:t>
      </w:r>
      <w:r>
        <w:rPr>
          <w:spacing w:val="-7"/>
          <w:sz w:val="22"/>
        </w:rPr>
        <w:t> </w:t>
      </w:r>
      <w:r>
        <w:rPr>
          <w:sz w:val="22"/>
        </w:rPr>
        <w:t>human-caused</w:t>
      </w:r>
      <w:r>
        <w:rPr>
          <w:spacing w:val="-7"/>
          <w:sz w:val="22"/>
        </w:rPr>
        <w:t> </w:t>
      </w:r>
      <w:r>
        <w:rPr>
          <w:sz w:val="22"/>
        </w:rPr>
        <w:t>hazards</w:t>
      </w:r>
      <w:r>
        <w:rPr>
          <w:spacing w:val="-7"/>
          <w:sz w:val="22"/>
        </w:rPr>
        <w:t> </w:t>
      </w:r>
      <w:r>
        <w:rPr>
          <w:sz w:val="22"/>
        </w:rPr>
        <w:t>(i.e.</w:t>
      </w:r>
      <w:r>
        <w:rPr>
          <w:spacing w:val="-7"/>
          <w:sz w:val="22"/>
        </w:rPr>
        <w:t> </w:t>
      </w:r>
      <w:r>
        <w:rPr>
          <w:sz w:val="22"/>
        </w:rPr>
        <w:t>removal</w:t>
      </w:r>
      <w:r>
        <w:rPr>
          <w:spacing w:val="-11"/>
          <w:sz w:val="22"/>
        </w:rPr>
        <w:t> </w:t>
      </w:r>
      <w:r>
        <w:rPr>
          <w:sz w:val="22"/>
        </w:rPr>
        <w:t>of</w:t>
      </w:r>
      <w:r>
        <w:rPr>
          <w:spacing w:val="-7"/>
          <w:sz w:val="22"/>
        </w:rPr>
        <w:t> </w:t>
      </w:r>
      <w:r>
        <w:rPr>
          <w:sz w:val="22"/>
        </w:rPr>
        <w:t>stinging insects, removal of exposed nails, replacement of broken infrastructure such as tables or benches)</w:t>
      </w:r>
      <w:r>
        <w:rPr>
          <w:spacing w:val="-3"/>
          <w:sz w:val="22"/>
        </w:rPr>
        <w:t> </w:t>
      </w:r>
      <w:r>
        <w:rPr>
          <w:sz w:val="22"/>
        </w:rPr>
        <w:t>at</w:t>
      </w:r>
      <w:r>
        <w:rPr>
          <w:spacing w:val="-5"/>
          <w:sz w:val="22"/>
        </w:rPr>
        <w:t> </w:t>
      </w:r>
      <w:r>
        <w:rPr>
          <w:sz w:val="22"/>
        </w:rPr>
        <w:t>developed</w:t>
      </w:r>
      <w:r>
        <w:rPr>
          <w:spacing w:val="-4"/>
          <w:sz w:val="22"/>
        </w:rPr>
        <w:t> </w:t>
      </w:r>
      <w:r>
        <w:rPr>
          <w:sz w:val="22"/>
        </w:rPr>
        <w:t>recreation</w:t>
      </w:r>
      <w:r>
        <w:rPr>
          <w:spacing w:val="-4"/>
          <w:sz w:val="22"/>
        </w:rPr>
        <w:t> </w:t>
      </w:r>
      <w:r>
        <w:rPr>
          <w:sz w:val="22"/>
        </w:rPr>
        <w:t>facilities</w:t>
      </w:r>
      <w:r>
        <w:rPr>
          <w:spacing w:val="-5"/>
          <w:sz w:val="22"/>
        </w:rPr>
        <w:t> </w:t>
      </w:r>
      <w:r>
        <w:rPr>
          <w:sz w:val="22"/>
        </w:rPr>
        <w:t>such</w:t>
      </w:r>
      <w:r>
        <w:rPr>
          <w:spacing w:val="-4"/>
          <w:sz w:val="22"/>
        </w:rPr>
        <w:t> </w:t>
      </w:r>
      <w:r>
        <w:rPr>
          <w:sz w:val="22"/>
        </w:rPr>
        <w:t>as</w:t>
      </w:r>
      <w:r>
        <w:rPr>
          <w:spacing w:val="-3"/>
          <w:sz w:val="22"/>
        </w:rPr>
        <w:t> </w:t>
      </w:r>
      <w:r>
        <w:rPr>
          <w:sz w:val="22"/>
        </w:rPr>
        <w:t>campgrounds,</w:t>
      </w:r>
      <w:r>
        <w:rPr>
          <w:spacing w:val="-3"/>
          <w:sz w:val="22"/>
        </w:rPr>
        <w:t> </w:t>
      </w:r>
      <w:r>
        <w:rPr>
          <w:sz w:val="22"/>
        </w:rPr>
        <w:t>day-use</w:t>
      </w:r>
      <w:r>
        <w:rPr>
          <w:spacing w:val="-2"/>
          <w:sz w:val="22"/>
        </w:rPr>
        <w:t> </w:t>
      </w:r>
      <w:r>
        <w:rPr>
          <w:sz w:val="22"/>
        </w:rPr>
        <w:t>areas,</w:t>
      </w:r>
      <w:r>
        <w:rPr>
          <w:spacing w:val="-8"/>
          <w:sz w:val="22"/>
        </w:rPr>
        <w:t> </w:t>
      </w:r>
      <w:r>
        <w:rPr>
          <w:sz w:val="22"/>
        </w:rPr>
        <w:t>trailheads, boat ramps, and rental cabins;</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Hazard</w:t>
      </w:r>
      <w:r>
        <w:rPr>
          <w:spacing w:val="-10"/>
          <w:sz w:val="22"/>
        </w:rPr>
        <w:t> </w:t>
      </w:r>
      <w:r>
        <w:rPr>
          <w:sz w:val="22"/>
        </w:rPr>
        <w:t>tree</w:t>
      </w:r>
      <w:r>
        <w:rPr>
          <w:spacing w:val="-9"/>
          <w:sz w:val="22"/>
        </w:rPr>
        <w:t> </w:t>
      </w:r>
      <w:r>
        <w:rPr>
          <w:sz w:val="22"/>
        </w:rPr>
        <w:t>removal</w:t>
      </w:r>
      <w:r>
        <w:rPr>
          <w:spacing w:val="-10"/>
          <w:sz w:val="22"/>
        </w:rPr>
        <w:t> </w:t>
      </w:r>
      <w:r>
        <w:rPr>
          <w:sz w:val="22"/>
        </w:rPr>
        <w:t>within</w:t>
      </w:r>
      <w:r>
        <w:rPr>
          <w:spacing w:val="-7"/>
          <w:sz w:val="22"/>
        </w:rPr>
        <w:t> </w:t>
      </w:r>
      <w:r>
        <w:rPr>
          <w:sz w:val="22"/>
        </w:rPr>
        <w:t>developed</w:t>
      </w:r>
      <w:r>
        <w:rPr>
          <w:spacing w:val="-8"/>
          <w:sz w:val="22"/>
        </w:rPr>
        <w:t> </w:t>
      </w:r>
      <w:r>
        <w:rPr>
          <w:sz w:val="22"/>
        </w:rPr>
        <w:t>recreation</w:t>
      </w:r>
      <w:r>
        <w:rPr>
          <w:spacing w:val="-8"/>
          <w:sz w:val="22"/>
        </w:rPr>
        <w:t> </w:t>
      </w:r>
      <w:r>
        <w:rPr>
          <w:sz w:val="22"/>
        </w:rPr>
        <w:t>sites</w:t>
      </w:r>
      <w:r>
        <w:rPr>
          <w:spacing w:val="-9"/>
          <w:sz w:val="22"/>
        </w:rPr>
        <w:t> </w:t>
      </w:r>
      <w:r>
        <w:rPr>
          <w:sz w:val="22"/>
        </w:rPr>
        <w:t>and</w:t>
      </w:r>
      <w:r>
        <w:rPr>
          <w:spacing w:val="-8"/>
          <w:sz w:val="22"/>
        </w:rPr>
        <w:t> </w:t>
      </w:r>
      <w:r>
        <w:rPr>
          <w:sz w:val="22"/>
        </w:rPr>
        <w:t>along</w:t>
      </w:r>
      <w:r>
        <w:rPr>
          <w:spacing w:val="-7"/>
          <w:sz w:val="22"/>
        </w:rPr>
        <w:t> </w:t>
      </w:r>
      <w:r>
        <w:rPr>
          <w:spacing w:val="-2"/>
          <w:sz w:val="22"/>
        </w:rPr>
        <w:t>roadways;</w:t>
      </w:r>
    </w:p>
    <w:p>
      <w:pPr>
        <w:pStyle w:val="ListParagraph"/>
        <w:numPr>
          <w:ilvl w:val="1"/>
          <w:numId w:val="30"/>
        </w:numPr>
        <w:tabs>
          <w:tab w:pos="1332" w:val="left" w:leader="none"/>
        </w:tabs>
        <w:spacing w:line="232" w:lineRule="auto" w:before="119" w:after="0"/>
        <w:ind w:left="1332" w:right="553" w:hanging="360"/>
        <w:jc w:val="left"/>
        <w:rPr>
          <w:sz w:val="22"/>
        </w:rPr>
      </w:pPr>
      <w:r>
        <w:rPr>
          <w:sz w:val="22"/>
        </w:rPr>
        <w:t>Implement</w:t>
      </w:r>
      <w:r>
        <w:rPr>
          <w:spacing w:val="-8"/>
          <w:sz w:val="22"/>
        </w:rPr>
        <w:t> </w:t>
      </w:r>
      <w:r>
        <w:rPr>
          <w:sz w:val="22"/>
        </w:rPr>
        <w:t>education</w:t>
      </w:r>
      <w:r>
        <w:rPr>
          <w:spacing w:val="-7"/>
          <w:sz w:val="22"/>
        </w:rPr>
        <w:t> </w:t>
      </w:r>
      <w:r>
        <w:rPr>
          <w:sz w:val="22"/>
        </w:rPr>
        <w:t>and</w:t>
      </w:r>
      <w:r>
        <w:rPr>
          <w:spacing w:val="-7"/>
          <w:sz w:val="22"/>
        </w:rPr>
        <w:t> </w:t>
      </w:r>
      <w:r>
        <w:rPr>
          <w:sz w:val="22"/>
        </w:rPr>
        <w:t>signing</w:t>
      </w:r>
      <w:r>
        <w:rPr>
          <w:spacing w:val="-7"/>
          <w:sz w:val="22"/>
        </w:rPr>
        <w:t> </w:t>
      </w:r>
      <w:r>
        <w:rPr>
          <w:sz w:val="22"/>
        </w:rPr>
        <w:t>measures</w:t>
      </w:r>
      <w:r>
        <w:rPr>
          <w:spacing w:val="-6"/>
          <w:sz w:val="22"/>
        </w:rPr>
        <w:t> </w:t>
      </w:r>
      <w:r>
        <w:rPr>
          <w:sz w:val="22"/>
        </w:rPr>
        <w:t>to</w:t>
      </w:r>
      <w:r>
        <w:rPr>
          <w:spacing w:val="-6"/>
          <w:sz w:val="22"/>
        </w:rPr>
        <w:t> </w:t>
      </w:r>
      <w:r>
        <w:rPr>
          <w:sz w:val="22"/>
        </w:rPr>
        <w:t>inform</w:t>
      </w:r>
      <w:r>
        <w:rPr>
          <w:spacing w:val="-7"/>
          <w:sz w:val="22"/>
        </w:rPr>
        <w:t> </w:t>
      </w:r>
      <w:r>
        <w:rPr>
          <w:sz w:val="22"/>
        </w:rPr>
        <w:t>users</w:t>
      </w:r>
      <w:r>
        <w:rPr>
          <w:spacing w:val="-6"/>
          <w:sz w:val="22"/>
        </w:rPr>
        <w:t> </w:t>
      </w:r>
      <w:r>
        <w:rPr>
          <w:sz w:val="22"/>
        </w:rPr>
        <w:t>of</w:t>
      </w:r>
      <w:r>
        <w:rPr>
          <w:spacing w:val="-6"/>
          <w:sz w:val="22"/>
        </w:rPr>
        <w:t> </w:t>
      </w:r>
      <w:r>
        <w:rPr>
          <w:sz w:val="22"/>
        </w:rPr>
        <w:t>potential</w:t>
      </w:r>
      <w:r>
        <w:rPr>
          <w:spacing w:val="-6"/>
          <w:sz w:val="22"/>
        </w:rPr>
        <w:t> </w:t>
      </w:r>
      <w:r>
        <w:rPr>
          <w:sz w:val="22"/>
        </w:rPr>
        <w:t>natural</w:t>
      </w:r>
      <w:r>
        <w:rPr>
          <w:spacing w:val="-6"/>
          <w:sz w:val="22"/>
        </w:rPr>
        <w:t> </w:t>
      </w:r>
      <w:r>
        <w:rPr>
          <w:sz w:val="22"/>
        </w:rPr>
        <w:t>hazards</w:t>
      </w:r>
      <w:r>
        <w:rPr>
          <w:spacing w:val="-6"/>
          <w:sz w:val="22"/>
        </w:rPr>
        <w:t> </w:t>
      </w:r>
      <w:r>
        <w:rPr>
          <w:sz w:val="22"/>
        </w:rPr>
        <w:t>(i.e. seasonal flooding, hazard trees, wildfire), how to identify potentially hazardous conditions, and what to do in an emergency situation (who to contact, egress routes, etc.);</w:t>
      </w:r>
    </w:p>
    <w:p>
      <w:pPr>
        <w:pStyle w:val="ListParagraph"/>
        <w:numPr>
          <w:ilvl w:val="1"/>
          <w:numId w:val="30"/>
        </w:numPr>
        <w:tabs>
          <w:tab w:pos="1331" w:val="left" w:leader="none"/>
        </w:tabs>
        <w:spacing w:line="232" w:lineRule="auto" w:before="118" w:after="0"/>
        <w:ind w:left="1331" w:right="911" w:hanging="360"/>
        <w:jc w:val="left"/>
        <w:rPr>
          <w:sz w:val="22"/>
        </w:rPr>
      </w:pPr>
      <w:r>
        <w:rPr>
          <w:sz w:val="22"/>
        </w:rPr>
        <w:t>Implement</w:t>
      </w:r>
      <w:r>
        <w:rPr>
          <w:spacing w:val="-10"/>
          <w:sz w:val="22"/>
        </w:rPr>
        <w:t> </w:t>
      </w:r>
      <w:r>
        <w:rPr>
          <w:sz w:val="22"/>
        </w:rPr>
        <w:t>environmental</w:t>
      </w:r>
      <w:r>
        <w:rPr>
          <w:spacing w:val="-11"/>
          <w:sz w:val="22"/>
        </w:rPr>
        <w:t> </w:t>
      </w:r>
      <w:r>
        <w:rPr>
          <w:sz w:val="22"/>
        </w:rPr>
        <w:t>education</w:t>
      </w:r>
      <w:r>
        <w:rPr>
          <w:spacing w:val="-9"/>
          <w:sz w:val="22"/>
        </w:rPr>
        <w:t> </w:t>
      </w:r>
      <w:r>
        <w:rPr>
          <w:sz w:val="22"/>
        </w:rPr>
        <w:t>and</w:t>
      </w:r>
      <w:r>
        <w:rPr>
          <w:spacing w:val="-9"/>
          <w:sz w:val="22"/>
        </w:rPr>
        <w:t> </w:t>
      </w:r>
      <w:r>
        <w:rPr>
          <w:sz w:val="22"/>
        </w:rPr>
        <w:t>interpretive</w:t>
      </w:r>
      <w:r>
        <w:rPr>
          <w:spacing w:val="-12"/>
          <w:sz w:val="22"/>
        </w:rPr>
        <w:t> </w:t>
      </w:r>
      <w:r>
        <w:rPr>
          <w:sz w:val="22"/>
        </w:rPr>
        <w:t>programs</w:t>
      </w:r>
      <w:r>
        <w:rPr>
          <w:spacing w:val="-9"/>
          <w:sz w:val="22"/>
        </w:rPr>
        <w:t> </w:t>
      </w:r>
      <w:r>
        <w:rPr>
          <w:sz w:val="22"/>
        </w:rPr>
        <w:t>to</w:t>
      </w:r>
      <w:r>
        <w:rPr>
          <w:spacing w:val="-9"/>
          <w:sz w:val="22"/>
        </w:rPr>
        <w:t> </w:t>
      </w:r>
      <w:r>
        <w:rPr>
          <w:sz w:val="22"/>
        </w:rPr>
        <w:t>encourage</w:t>
      </w:r>
      <w:r>
        <w:rPr>
          <w:spacing w:val="-10"/>
          <w:sz w:val="22"/>
        </w:rPr>
        <w:t> </w:t>
      </w:r>
      <w:r>
        <w:rPr>
          <w:sz w:val="22"/>
        </w:rPr>
        <w:t>youth</w:t>
      </w:r>
      <w:r>
        <w:rPr>
          <w:spacing w:val="-9"/>
          <w:sz w:val="22"/>
        </w:rPr>
        <w:t> </w:t>
      </w:r>
      <w:r>
        <w:rPr>
          <w:sz w:val="22"/>
        </w:rPr>
        <w:t>and families to recreate on their national forests;</w:t>
      </w:r>
    </w:p>
    <w:p>
      <w:pPr>
        <w:pStyle w:val="ListParagraph"/>
        <w:numPr>
          <w:ilvl w:val="1"/>
          <w:numId w:val="30"/>
        </w:numPr>
        <w:tabs>
          <w:tab w:pos="1331" w:val="left" w:leader="none"/>
        </w:tabs>
        <w:spacing w:line="240" w:lineRule="auto" w:before="112" w:after="0"/>
        <w:ind w:left="1331" w:right="0" w:hanging="360"/>
        <w:jc w:val="left"/>
        <w:rPr>
          <w:sz w:val="22"/>
        </w:rPr>
      </w:pPr>
      <w:r>
        <w:rPr>
          <w:sz w:val="22"/>
        </w:rPr>
        <w:t>Maintain</w:t>
      </w:r>
      <w:r>
        <w:rPr>
          <w:spacing w:val="-10"/>
          <w:sz w:val="22"/>
        </w:rPr>
        <w:t> </w:t>
      </w:r>
      <w:r>
        <w:rPr>
          <w:sz w:val="22"/>
        </w:rPr>
        <w:t>and</w:t>
      </w:r>
      <w:r>
        <w:rPr>
          <w:spacing w:val="-10"/>
          <w:sz w:val="22"/>
        </w:rPr>
        <w:t> </w:t>
      </w:r>
      <w:r>
        <w:rPr>
          <w:sz w:val="22"/>
        </w:rPr>
        <w:t>modify</w:t>
      </w:r>
      <w:r>
        <w:rPr>
          <w:spacing w:val="-7"/>
          <w:sz w:val="22"/>
        </w:rPr>
        <w:t> </w:t>
      </w:r>
      <w:r>
        <w:rPr>
          <w:sz w:val="22"/>
        </w:rPr>
        <w:t>dispersed</w:t>
      </w:r>
      <w:r>
        <w:rPr>
          <w:spacing w:val="-8"/>
          <w:sz w:val="22"/>
        </w:rPr>
        <w:t> </w:t>
      </w:r>
      <w:r>
        <w:rPr>
          <w:sz w:val="22"/>
        </w:rPr>
        <w:t>recreation</w:t>
      </w:r>
      <w:r>
        <w:rPr>
          <w:spacing w:val="-8"/>
          <w:sz w:val="22"/>
        </w:rPr>
        <w:t> </w:t>
      </w:r>
      <w:r>
        <w:rPr>
          <w:sz w:val="22"/>
        </w:rPr>
        <w:t>sites</w:t>
      </w:r>
      <w:r>
        <w:rPr>
          <w:spacing w:val="-6"/>
          <w:sz w:val="22"/>
        </w:rPr>
        <w:t> </w:t>
      </w:r>
      <w:r>
        <w:rPr>
          <w:sz w:val="22"/>
        </w:rPr>
        <w:t>to</w:t>
      </w:r>
      <w:r>
        <w:rPr>
          <w:spacing w:val="-6"/>
          <w:sz w:val="22"/>
        </w:rPr>
        <w:t> </w:t>
      </w:r>
      <w:r>
        <w:rPr>
          <w:sz w:val="22"/>
        </w:rPr>
        <w:t>reduce</w:t>
      </w:r>
      <w:r>
        <w:rPr>
          <w:spacing w:val="-6"/>
          <w:sz w:val="22"/>
        </w:rPr>
        <w:t> </w:t>
      </w:r>
      <w:r>
        <w:rPr>
          <w:sz w:val="22"/>
        </w:rPr>
        <w:t>or</w:t>
      </w:r>
      <w:r>
        <w:rPr>
          <w:spacing w:val="-9"/>
          <w:sz w:val="22"/>
        </w:rPr>
        <w:t> </w:t>
      </w:r>
      <w:r>
        <w:rPr>
          <w:sz w:val="22"/>
        </w:rPr>
        <w:t>eliminate</w:t>
      </w:r>
      <w:r>
        <w:rPr>
          <w:spacing w:val="-9"/>
          <w:sz w:val="22"/>
        </w:rPr>
        <w:t> </w:t>
      </w:r>
      <w:r>
        <w:rPr>
          <w:sz w:val="22"/>
        </w:rPr>
        <w:t>resource</w:t>
      </w:r>
      <w:r>
        <w:rPr>
          <w:spacing w:val="-5"/>
          <w:sz w:val="22"/>
        </w:rPr>
        <w:t> </w:t>
      </w:r>
      <w:r>
        <w:rPr>
          <w:spacing w:val="-2"/>
          <w:sz w:val="22"/>
        </w:rPr>
        <w:t>concerns;</w:t>
      </w:r>
    </w:p>
    <w:p>
      <w:pPr>
        <w:pStyle w:val="ListParagraph"/>
        <w:numPr>
          <w:ilvl w:val="1"/>
          <w:numId w:val="30"/>
        </w:numPr>
        <w:tabs>
          <w:tab w:pos="1331" w:val="left" w:leader="none"/>
        </w:tabs>
        <w:spacing w:line="240" w:lineRule="auto" w:before="113" w:after="0"/>
        <w:ind w:left="1331" w:right="0" w:hanging="360"/>
        <w:jc w:val="left"/>
        <w:rPr>
          <w:sz w:val="22"/>
        </w:rPr>
      </w:pPr>
      <w:r>
        <w:rPr>
          <w:sz w:val="22"/>
        </w:rPr>
        <w:t>Implement</w:t>
      </w:r>
      <w:r>
        <w:rPr>
          <w:spacing w:val="-10"/>
          <w:sz w:val="22"/>
        </w:rPr>
        <w:t> </w:t>
      </w:r>
      <w:r>
        <w:rPr>
          <w:sz w:val="22"/>
        </w:rPr>
        <w:t>the</w:t>
      </w:r>
      <w:r>
        <w:rPr>
          <w:spacing w:val="-6"/>
          <w:sz w:val="22"/>
        </w:rPr>
        <w:t> </w:t>
      </w:r>
      <w:r>
        <w:rPr>
          <w:sz w:val="22"/>
        </w:rPr>
        <w:t>Scenery</w:t>
      </w:r>
      <w:r>
        <w:rPr>
          <w:spacing w:val="-8"/>
          <w:sz w:val="22"/>
        </w:rPr>
        <w:t> </w:t>
      </w:r>
      <w:r>
        <w:rPr>
          <w:sz w:val="22"/>
        </w:rPr>
        <w:t>Management</w:t>
      </w:r>
      <w:r>
        <w:rPr>
          <w:spacing w:val="-7"/>
          <w:sz w:val="22"/>
        </w:rPr>
        <w:t> </w:t>
      </w:r>
      <w:r>
        <w:rPr>
          <w:sz w:val="22"/>
        </w:rPr>
        <w:t>System</w:t>
      </w:r>
      <w:r>
        <w:rPr>
          <w:spacing w:val="-8"/>
          <w:sz w:val="22"/>
        </w:rPr>
        <w:t> </w:t>
      </w:r>
      <w:r>
        <w:rPr>
          <w:sz w:val="22"/>
        </w:rPr>
        <w:t>across</w:t>
      </w:r>
      <w:r>
        <w:rPr>
          <w:spacing w:val="-9"/>
          <w:sz w:val="22"/>
        </w:rPr>
        <w:t> </w:t>
      </w:r>
      <w:r>
        <w:rPr>
          <w:sz w:val="22"/>
        </w:rPr>
        <w:t>the</w:t>
      </w:r>
      <w:r>
        <w:rPr>
          <w:spacing w:val="-6"/>
          <w:sz w:val="22"/>
        </w:rPr>
        <w:t> </w:t>
      </w:r>
      <w:r>
        <w:rPr>
          <w:spacing w:val="-2"/>
          <w:sz w:val="22"/>
        </w:rPr>
        <w:t>Forest;</w:t>
      </w:r>
    </w:p>
    <w:p>
      <w:pPr>
        <w:pStyle w:val="ListParagraph"/>
        <w:numPr>
          <w:ilvl w:val="1"/>
          <w:numId w:val="30"/>
        </w:numPr>
        <w:tabs>
          <w:tab w:pos="1332" w:val="left" w:leader="none"/>
        </w:tabs>
        <w:spacing w:line="232" w:lineRule="auto" w:before="117" w:after="0"/>
        <w:ind w:left="1332" w:right="355" w:hanging="360"/>
        <w:jc w:val="left"/>
        <w:rPr>
          <w:sz w:val="22"/>
        </w:rPr>
      </w:pPr>
      <w:r>
        <w:rPr>
          <w:sz w:val="22"/>
        </w:rPr>
        <w:t>Maintain (e.g., clearing, grading, brushing, providing functioning water structures) and improve</w:t>
      </w:r>
      <w:r>
        <w:rPr>
          <w:spacing w:val="-5"/>
          <w:sz w:val="22"/>
        </w:rPr>
        <w:t> </w:t>
      </w:r>
      <w:r>
        <w:rPr>
          <w:sz w:val="22"/>
        </w:rPr>
        <w:t>(e.g.,</w:t>
      </w:r>
      <w:r>
        <w:rPr>
          <w:spacing w:val="-6"/>
          <w:sz w:val="22"/>
        </w:rPr>
        <w:t> </w:t>
      </w:r>
      <w:r>
        <w:rPr>
          <w:sz w:val="22"/>
        </w:rPr>
        <w:t>realignment,</w:t>
      </w:r>
      <w:r>
        <w:rPr>
          <w:spacing w:val="-8"/>
          <w:sz w:val="22"/>
        </w:rPr>
        <w:t> </w:t>
      </w:r>
      <w:r>
        <w:rPr>
          <w:sz w:val="22"/>
        </w:rPr>
        <w:t>resurface,</w:t>
      </w:r>
      <w:r>
        <w:rPr>
          <w:spacing w:val="-6"/>
          <w:sz w:val="22"/>
        </w:rPr>
        <w:t> </w:t>
      </w:r>
      <w:r>
        <w:rPr>
          <w:sz w:val="22"/>
        </w:rPr>
        <w:t>new</w:t>
      </w:r>
      <w:r>
        <w:rPr>
          <w:spacing w:val="-6"/>
          <w:sz w:val="22"/>
        </w:rPr>
        <w:t> </w:t>
      </w:r>
      <w:r>
        <w:rPr>
          <w:sz w:val="22"/>
        </w:rPr>
        <w:t>bridges</w:t>
      </w:r>
      <w:r>
        <w:rPr>
          <w:spacing w:val="-6"/>
          <w:sz w:val="22"/>
        </w:rPr>
        <w:t> </w:t>
      </w:r>
      <w:r>
        <w:rPr>
          <w:sz w:val="22"/>
        </w:rPr>
        <w:t>and</w:t>
      </w:r>
      <w:r>
        <w:rPr>
          <w:spacing w:val="-7"/>
          <w:sz w:val="22"/>
        </w:rPr>
        <w:t> </w:t>
      </w:r>
      <w:r>
        <w:rPr>
          <w:sz w:val="22"/>
        </w:rPr>
        <w:t>water</w:t>
      </w:r>
      <w:r>
        <w:rPr>
          <w:spacing w:val="-8"/>
          <w:sz w:val="22"/>
        </w:rPr>
        <w:t> </w:t>
      </w:r>
      <w:r>
        <w:rPr>
          <w:sz w:val="22"/>
        </w:rPr>
        <w:t>structures)</w:t>
      </w:r>
      <w:r>
        <w:rPr>
          <w:spacing w:val="-8"/>
          <w:sz w:val="22"/>
        </w:rPr>
        <w:t> </w:t>
      </w:r>
      <w:r>
        <w:rPr>
          <w:sz w:val="22"/>
        </w:rPr>
        <w:t>the</w:t>
      </w:r>
      <w:r>
        <w:rPr>
          <w:spacing w:val="-8"/>
          <w:sz w:val="22"/>
        </w:rPr>
        <w:t> </w:t>
      </w:r>
      <w:r>
        <w:rPr>
          <w:sz w:val="22"/>
        </w:rPr>
        <w:t>existing</w:t>
      </w:r>
      <w:r>
        <w:rPr>
          <w:spacing w:val="-7"/>
          <w:sz w:val="22"/>
        </w:rPr>
        <w:t> </w:t>
      </w:r>
      <w:r>
        <w:rPr>
          <w:sz w:val="22"/>
        </w:rPr>
        <w:t>road</w:t>
      </w:r>
      <w:r>
        <w:rPr>
          <w:spacing w:val="-8"/>
          <w:sz w:val="22"/>
        </w:rPr>
        <w:t> </w:t>
      </w:r>
      <w:r>
        <w:rPr>
          <w:sz w:val="22"/>
        </w:rPr>
        <w:t>and trail system and construct new roads and trails when needed;</w:t>
      </w:r>
    </w:p>
    <w:p>
      <w:pPr>
        <w:pStyle w:val="ListParagraph"/>
        <w:numPr>
          <w:ilvl w:val="1"/>
          <w:numId w:val="30"/>
        </w:numPr>
        <w:tabs>
          <w:tab w:pos="1331" w:val="left" w:leader="none"/>
        </w:tabs>
        <w:spacing w:line="240" w:lineRule="auto" w:before="112" w:after="0"/>
        <w:ind w:left="1331" w:right="0" w:hanging="360"/>
        <w:jc w:val="left"/>
        <w:rPr>
          <w:sz w:val="22"/>
        </w:rPr>
      </w:pPr>
      <w:r>
        <w:rPr>
          <w:sz w:val="22"/>
        </w:rPr>
        <w:t>Manage</w:t>
      </w:r>
      <w:r>
        <w:rPr>
          <w:spacing w:val="-6"/>
          <w:sz w:val="22"/>
        </w:rPr>
        <w:t> </w:t>
      </w:r>
      <w:r>
        <w:rPr>
          <w:sz w:val="22"/>
        </w:rPr>
        <w:t>designations</w:t>
      </w:r>
      <w:r>
        <w:rPr>
          <w:spacing w:val="-7"/>
          <w:sz w:val="22"/>
        </w:rPr>
        <w:t> </w:t>
      </w:r>
      <w:r>
        <w:rPr>
          <w:sz w:val="22"/>
        </w:rPr>
        <w:t>of</w:t>
      </w:r>
      <w:r>
        <w:rPr>
          <w:spacing w:val="-6"/>
          <w:sz w:val="22"/>
        </w:rPr>
        <w:t> </w:t>
      </w:r>
      <w:r>
        <w:rPr>
          <w:sz w:val="22"/>
        </w:rPr>
        <w:t>roads,</w:t>
      </w:r>
      <w:r>
        <w:rPr>
          <w:spacing w:val="-6"/>
          <w:sz w:val="22"/>
        </w:rPr>
        <w:t> </w:t>
      </w:r>
      <w:r>
        <w:rPr>
          <w:sz w:val="22"/>
        </w:rPr>
        <w:t>trails</w:t>
      </w:r>
      <w:r>
        <w:rPr>
          <w:spacing w:val="-6"/>
          <w:sz w:val="22"/>
        </w:rPr>
        <w:t> </w:t>
      </w:r>
      <w:r>
        <w:rPr>
          <w:sz w:val="22"/>
        </w:rPr>
        <w:t>and</w:t>
      </w:r>
      <w:r>
        <w:rPr>
          <w:spacing w:val="-7"/>
          <w:sz w:val="22"/>
        </w:rPr>
        <w:t> </w:t>
      </w:r>
      <w:r>
        <w:rPr>
          <w:sz w:val="22"/>
        </w:rPr>
        <w:t>areas</w:t>
      </w:r>
      <w:r>
        <w:rPr>
          <w:spacing w:val="-6"/>
          <w:sz w:val="22"/>
        </w:rPr>
        <w:t> </w:t>
      </w:r>
      <w:r>
        <w:rPr>
          <w:sz w:val="22"/>
        </w:rPr>
        <w:t>for</w:t>
      </w:r>
      <w:r>
        <w:rPr>
          <w:spacing w:val="-8"/>
          <w:sz w:val="22"/>
        </w:rPr>
        <w:t> </w:t>
      </w:r>
      <w:r>
        <w:rPr>
          <w:sz w:val="22"/>
        </w:rPr>
        <w:t>motor</w:t>
      </w:r>
      <w:r>
        <w:rPr>
          <w:spacing w:val="-8"/>
          <w:sz w:val="22"/>
        </w:rPr>
        <w:t> </w:t>
      </w:r>
      <w:r>
        <w:rPr>
          <w:sz w:val="22"/>
        </w:rPr>
        <w:t>vehicle</w:t>
      </w:r>
      <w:r>
        <w:rPr>
          <w:spacing w:val="-7"/>
          <w:sz w:val="22"/>
        </w:rPr>
        <w:t> </w:t>
      </w:r>
      <w:r>
        <w:rPr>
          <w:spacing w:val="-4"/>
          <w:sz w:val="22"/>
        </w:rPr>
        <w:t>use;</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Identify</w:t>
      </w:r>
      <w:r>
        <w:rPr>
          <w:spacing w:val="-8"/>
          <w:sz w:val="22"/>
        </w:rPr>
        <w:t> </w:t>
      </w:r>
      <w:r>
        <w:rPr>
          <w:sz w:val="22"/>
        </w:rPr>
        <w:t>areas</w:t>
      </w:r>
      <w:r>
        <w:rPr>
          <w:spacing w:val="-8"/>
          <w:sz w:val="22"/>
        </w:rPr>
        <w:t> </w:t>
      </w:r>
      <w:r>
        <w:rPr>
          <w:sz w:val="22"/>
        </w:rPr>
        <w:t>and</w:t>
      </w:r>
      <w:r>
        <w:rPr>
          <w:spacing w:val="-7"/>
          <w:sz w:val="22"/>
        </w:rPr>
        <w:t> </w:t>
      </w:r>
      <w:r>
        <w:rPr>
          <w:sz w:val="22"/>
        </w:rPr>
        <w:t>trails</w:t>
      </w:r>
      <w:r>
        <w:rPr>
          <w:spacing w:val="-6"/>
          <w:sz w:val="22"/>
        </w:rPr>
        <w:t> </w:t>
      </w:r>
      <w:r>
        <w:rPr>
          <w:sz w:val="22"/>
        </w:rPr>
        <w:t>for</w:t>
      </w:r>
      <w:r>
        <w:rPr>
          <w:spacing w:val="-8"/>
          <w:sz w:val="22"/>
        </w:rPr>
        <w:t> </w:t>
      </w:r>
      <w:r>
        <w:rPr>
          <w:sz w:val="22"/>
        </w:rPr>
        <w:t>motorized</w:t>
      </w:r>
      <w:r>
        <w:rPr>
          <w:spacing w:val="-7"/>
          <w:sz w:val="22"/>
        </w:rPr>
        <w:t> </w:t>
      </w:r>
      <w:r>
        <w:rPr>
          <w:sz w:val="22"/>
        </w:rPr>
        <w:t>and</w:t>
      </w:r>
      <w:r>
        <w:rPr>
          <w:spacing w:val="-7"/>
          <w:sz w:val="22"/>
        </w:rPr>
        <w:t> </w:t>
      </w:r>
      <w:r>
        <w:rPr>
          <w:sz w:val="22"/>
        </w:rPr>
        <w:t>non-motorized</w:t>
      </w:r>
      <w:r>
        <w:rPr>
          <w:spacing w:val="-7"/>
          <w:sz w:val="22"/>
        </w:rPr>
        <w:t> </w:t>
      </w:r>
      <w:r>
        <w:rPr>
          <w:sz w:val="22"/>
        </w:rPr>
        <w:t>winter</w:t>
      </w:r>
      <w:r>
        <w:rPr>
          <w:spacing w:val="-8"/>
          <w:sz w:val="22"/>
        </w:rPr>
        <w:t> </w:t>
      </w:r>
      <w:r>
        <w:rPr>
          <w:sz w:val="22"/>
        </w:rPr>
        <w:t>uses</w:t>
      </w:r>
      <w:r>
        <w:rPr>
          <w:spacing w:val="-8"/>
          <w:sz w:val="22"/>
        </w:rPr>
        <w:t> </w:t>
      </w:r>
      <w:r>
        <w:rPr>
          <w:sz w:val="22"/>
        </w:rPr>
        <w:t>on</w:t>
      </w:r>
      <w:r>
        <w:rPr>
          <w:spacing w:val="-7"/>
          <w:sz w:val="22"/>
        </w:rPr>
        <w:t> </w:t>
      </w:r>
      <w:r>
        <w:rPr>
          <w:sz w:val="22"/>
        </w:rPr>
        <w:t>the</w:t>
      </w:r>
      <w:r>
        <w:rPr>
          <w:spacing w:val="-5"/>
          <w:sz w:val="22"/>
        </w:rPr>
        <w:t> </w:t>
      </w:r>
      <w:r>
        <w:rPr>
          <w:spacing w:val="-2"/>
          <w:sz w:val="22"/>
        </w:rPr>
        <w:t>Forest;</w:t>
      </w:r>
    </w:p>
    <w:p>
      <w:pPr>
        <w:pStyle w:val="ListParagraph"/>
        <w:numPr>
          <w:ilvl w:val="1"/>
          <w:numId w:val="30"/>
        </w:numPr>
        <w:tabs>
          <w:tab w:pos="1332" w:val="left" w:leader="none"/>
        </w:tabs>
        <w:spacing w:line="232" w:lineRule="auto" w:before="120" w:after="0"/>
        <w:ind w:left="1332" w:right="601" w:hanging="360"/>
        <w:jc w:val="left"/>
        <w:rPr>
          <w:sz w:val="22"/>
        </w:rPr>
      </w:pPr>
      <w:r>
        <w:rPr>
          <w:sz w:val="22"/>
        </w:rPr>
        <w:t>Implement</w:t>
      </w:r>
      <w:r>
        <w:rPr>
          <w:spacing w:val="-9"/>
          <w:sz w:val="22"/>
        </w:rPr>
        <w:t> </w:t>
      </w:r>
      <w:r>
        <w:rPr>
          <w:sz w:val="22"/>
        </w:rPr>
        <w:t>measures</w:t>
      </w:r>
      <w:r>
        <w:rPr>
          <w:spacing w:val="-9"/>
          <w:sz w:val="22"/>
        </w:rPr>
        <w:t> </w:t>
      </w:r>
      <w:r>
        <w:rPr>
          <w:sz w:val="22"/>
        </w:rPr>
        <w:t>(e.g.,</w:t>
      </w:r>
      <w:r>
        <w:rPr>
          <w:spacing w:val="-9"/>
          <w:sz w:val="22"/>
        </w:rPr>
        <w:t> </w:t>
      </w:r>
      <w:r>
        <w:rPr>
          <w:sz w:val="22"/>
        </w:rPr>
        <w:t>education,</w:t>
      </w:r>
      <w:r>
        <w:rPr>
          <w:spacing w:val="-7"/>
          <w:sz w:val="22"/>
        </w:rPr>
        <w:t> </w:t>
      </w:r>
      <w:r>
        <w:rPr>
          <w:sz w:val="22"/>
        </w:rPr>
        <w:t>signage,</w:t>
      </w:r>
      <w:r>
        <w:rPr>
          <w:spacing w:val="-7"/>
          <w:sz w:val="22"/>
        </w:rPr>
        <w:t> </w:t>
      </w:r>
      <w:r>
        <w:rPr>
          <w:sz w:val="22"/>
        </w:rPr>
        <w:t>law</w:t>
      </w:r>
      <w:r>
        <w:rPr>
          <w:spacing w:val="-6"/>
          <w:sz w:val="22"/>
        </w:rPr>
        <w:t> </w:t>
      </w:r>
      <w:r>
        <w:rPr>
          <w:sz w:val="22"/>
        </w:rPr>
        <w:t>enforcement,</w:t>
      </w:r>
      <w:r>
        <w:rPr>
          <w:spacing w:val="-7"/>
          <w:sz w:val="22"/>
        </w:rPr>
        <w:t> </w:t>
      </w:r>
      <w:r>
        <w:rPr>
          <w:sz w:val="22"/>
        </w:rPr>
        <w:t>seasonal</w:t>
      </w:r>
      <w:r>
        <w:rPr>
          <w:spacing w:val="-7"/>
          <w:sz w:val="22"/>
        </w:rPr>
        <w:t> </w:t>
      </w:r>
      <w:r>
        <w:rPr>
          <w:sz w:val="22"/>
        </w:rPr>
        <w:t>road</w:t>
      </w:r>
      <w:r>
        <w:rPr>
          <w:spacing w:val="-8"/>
          <w:sz w:val="22"/>
        </w:rPr>
        <w:t> </w:t>
      </w:r>
      <w:r>
        <w:rPr>
          <w:sz w:val="22"/>
        </w:rPr>
        <w:t>closures)</w:t>
      </w:r>
      <w:r>
        <w:rPr>
          <w:spacing w:val="-7"/>
          <w:sz w:val="22"/>
        </w:rPr>
        <w:t> </w:t>
      </w:r>
      <w:r>
        <w:rPr>
          <w:sz w:val="22"/>
        </w:rPr>
        <w:t>to discourage encroachment of motorized vehicles into non-motorized areas;</w:t>
      </w:r>
    </w:p>
    <w:p>
      <w:pPr>
        <w:pStyle w:val="ListParagraph"/>
        <w:numPr>
          <w:ilvl w:val="1"/>
          <w:numId w:val="30"/>
        </w:numPr>
        <w:tabs>
          <w:tab w:pos="1331" w:val="left" w:leader="none"/>
        </w:tabs>
        <w:spacing w:line="232" w:lineRule="auto" w:before="117" w:after="0"/>
        <w:ind w:left="1331" w:right="602" w:hanging="360"/>
        <w:jc w:val="left"/>
        <w:rPr>
          <w:sz w:val="22"/>
        </w:rPr>
      </w:pPr>
      <w:r>
        <w:rPr>
          <w:sz w:val="22"/>
        </w:rPr>
        <w:t>Use</w:t>
      </w:r>
      <w:r>
        <w:rPr>
          <w:spacing w:val="-5"/>
          <w:sz w:val="22"/>
        </w:rPr>
        <w:t> </w:t>
      </w:r>
      <w:r>
        <w:rPr>
          <w:sz w:val="22"/>
        </w:rPr>
        <w:t>educational</w:t>
      </w:r>
      <w:r>
        <w:rPr>
          <w:spacing w:val="-6"/>
          <w:sz w:val="22"/>
        </w:rPr>
        <w:t> </w:t>
      </w:r>
      <w:r>
        <w:rPr>
          <w:sz w:val="22"/>
        </w:rPr>
        <w:t>techniques</w:t>
      </w:r>
      <w:r>
        <w:rPr>
          <w:spacing w:val="-6"/>
          <w:sz w:val="22"/>
        </w:rPr>
        <w:t> </w:t>
      </w:r>
      <w:r>
        <w:rPr>
          <w:sz w:val="22"/>
        </w:rPr>
        <w:t>(e.g.,</w:t>
      </w:r>
      <w:r>
        <w:rPr>
          <w:spacing w:val="-6"/>
          <w:sz w:val="22"/>
        </w:rPr>
        <w:t> </w:t>
      </w:r>
      <w:r>
        <w:rPr>
          <w:sz w:val="22"/>
        </w:rPr>
        <w:t>brochures,</w:t>
      </w:r>
      <w:r>
        <w:rPr>
          <w:spacing w:val="-6"/>
          <w:sz w:val="22"/>
        </w:rPr>
        <w:t> </w:t>
      </w:r>
      <w:r>
        <w:rPr>
          <w:sz w:val="22"/>
        </w:rPr>
        <w:t>signs)</w:t>
      </w:r>
      <w:r>
        <w:rPr>
          <w:spacing w:val="-8"/>
          <w:sz w:val="22"/>
        </w:rPr>
        <w:t> </w:t>
      </w:r>
      <w:r>
        <w:rPr>
          <w:sz w:val="22"/>
        </w:rPr>
        <w:t>to</w:t>
      </w:r>
      <w:r>
        <w:rPr>
          <w:spacing w:val="-9"/>
          <w:sz w:val="22"/>
        </w:rPr>
        <w:t> </w:t>
      </w:r>
      <w:r>
        <w:rPr>
          <w:sz w:val="22"/>
        </w:rPr>
        <w:t>help</w:t>
      </w:r>
      <w:r>
        <w:rPr>
          <w:spacing w:val="-7"/>
          <w:sz w:val="22"/>
        </w:rPr>
        <w:t> </w:t>
      </w:r>
      <w:r>
        <w:rPr>
          <w:sz w:val="22"/>
        </w:rPr>
        <w:t>users</w:t>
      </w:r>
      <w:r>
        <w:rPr>
          <w:spacing w:val="-6"/>
          <w:sz w:val="22"/>
        </w:rPr>
        <w:t> </w:t>
      </w:r>
      <w:r>
        <w:rPr>
          <w:sz w:val="22"/>
        </w:rPr>
        <w:t>understand</w:t>
      </w:r>
      <w:r>
        <w:rPr>
          <w:spacing w:val="-9"/>
          <w:sz w:val="22"/>
        </w:rPr>
        <w:t> </w:t>
      </w:r>
      <w:r>
        <w:rPr>
          <w:sz w:val="22"/>
        </w:rPr>
        <w:t>motorized</w:t>
      </w:r>
      <w:r>
        <w:rPr>
          <w:spacing w:val="-7"/>
          <w:sz w:val="22"/>
        </w:rPr>
        <w:t> </w:t>
      </w:r>
      <w:r>
        <w:rPr>
          <w:sz w:val="22"/>
        </w:rPr>
        <w:t>and non-motorized use etiquette;</w:t>
      </w:r>
    </w:p>
    <w:p>
      <w:pPr>
        <w:pStyle w:val="ListParagraph"/>
        <w:numPr>
          <w:ilvl w:val="1"/>
          <w:numId w:val="30"/>
        </w:numPr>
        <w:tabs>
          <w:tab w:pos="1331" w:val="left" w:leader="none"/>
        </w:tabs>
        <w:spacing w:line="232" w:lineRule="auto" w:before="120" w:after="0"/>
        <w:ind w:left="1331" w:right="885" w:hanging="360"/>
        <w:jc w:val="left"/>
        <w:rPr>
          <w:sz w:val="22"/>
        </w:rPr>
      </w:pPr>
      <w:r>
        <w:rPr>
          <w:sz w:val="22"/>
        </w:rPr>
        <w:t>Issue</w:t>
      </w:r>
      <w:r>
        <w:rPr>
          <w:spacing w:val="-5"/>
          <w:sz w:val="22"/>
        </w:rPr>
        <w:t> </w:t>
      </w:r>
      <w:r>
        <w:rPr>
          <w:sz w:val="22"/>
        </w:rPr>
        <w:t>and</w:t>
      </w:r>
      <w:r>
        <w:rPr>
          <w:spacing w:val="-7"/>
          <w:sz w:val="22"/>
        </w:rPr>
        <w:t> </w:t>
      </w:r>
      <w:r>
        <w:rPr>
          <w:sz w:val="22"/>
        </w:rPr>
        <w:t>administer</w:t>
      </w:r>
      <w:r>
        <w:rPr>
          <w:spacing w:val="-6"/>
          <w:sz w:val="22"/>
        </w:rPr>
        <w:t> </w:t>
      </w:r>
      <w:r>
        <w:rPr>
          <w:sz w:val="22"/>
        </w:rPr>
        <w:t>special</w:t>
      </w:r>
      <w:r>
        <w:rPr>
          <w:spacing w:val="-6"/>
          <w:sz w:val="22"/>
        </w:rPr>
        <w:t> </w:t>
      </w:r>
      <w:r>
        <w:rPr>
          <w:sz w:val="22"/>
        </w:rPr>
        <w:t>use</w:t>
      </w:r>
      <w:r>
        <w:rPr>
          <w:spacing w:val="-5"/>
          <w:sz w:val="22"/>
        </w:rPr>
        <w:t> </w:t>
      </w:r>
      <w:r>
        <w:rPr>
          <w:sz w:val="22"/>
        </w:rPr>
        <w:t>permits</w:t>
      </w:r>
      <w:r>
        <w:rPr>
          <w:spacing w:val="-8"/>
          <w:sz w:val="22"/>
        </w:rPr>
        <w:t> </w:t>
      </w:r>
      <w:r>
        <w:rPr>
          <w:sz w:val="22"/>
        </w:rPr>
        <w:t>for</w:t>
      </w:r>
      <w:r>
        <w:rPr>
          <w:spacing w:val="-8"/>
          <w:sz w:val="22"/>
        </w:rPr>
        <w:t> </w:t>
      </w:r>
      <w:r>
        <w:rPr>
          <w:sz w:val="22"/>
        </w:rPr>
        <w:t>commercial</w:t>
      </w:r>
      <w:r>
        <w:rPr>
          <w:spacing w:val="-6"/>
          <w:sz w:val="22"/>
        </w:rPr>
        <w:t> </w:t>
      </w:r>
      <w:r>
        <w:rPr>
          <w:sz w:val="22"/>
        </w:rPr>
        <w:t>and</w:t>
      </w:r>
      <w:r>
        <w:rPr>
          <w:spacing w:val="-7"/>
          <w:sz w:val="22"/>
        </w:rPr>
        <w:t> </w:t>
      </w:r>
      <w:r>
        <w:rPr>
          <w:sz w:val="22"/>
        </w:rPr>
        <w:t>non-commercial</w:t>
      </w:r>
      <w:r>
        <w:rPr>
          <w:spacing w:val="-6"/>
          <w:sz w:val="22"/>
        </w:rPr>
        <w:t> </w:t>
      </w:r>
      <w:r>
        <w:rPr>
          <w:sz w:val="22"/>
        </w:rPr>
        <w:t>recreation opportunities (e.g., resorts, ski areas, outfitter and guides, special events);</w:t>
      </w:r>
    </w:p>
    <w:p>
      <w:pPr>
        <w:pStyle w:val="ListParagraph"/>
        <w:numPr>
          <w:ilvl w:val="1"/>
          <w:numId w:val="30"/>
        </w:numPr>
        <w:tabs>
          <w:tab w:pos="1332" w:val="left" w:leader="none"/>
        </w:tabs>
        <w:spacing w:line="232" w:lineRule="auto" w:before="120" w:after="0"/>
        <w:ind w:left="1332" w:right="456" w:hanging="360"/>
        <w:jc w:val="left"/>
        <w:rPr>
          <w:sz w:val="22"/>
        </w:rPr>
      </w:pPr>
      <w:r>
        <w:rPr>
          <w:sz w:val="22"/>
        </w:rPr>
        <w:t>Repair</w:t>
      </w:r>
      <w:r>
        <w:rPr>
          <w:spacing w:val="-7"/>
          <w:sz w:val="22"/>
        </w:rPr>
        <w:t> </w:t>
      </w:r>
      <w:r>
        <w:rPr>
          <w:sz w:val="22"/>
        </w:rPr>
        <w:t>and</w:t>
      </w:r>
      <w:r>
        <w:rPr>
          <w:spacing w:val="-7"/>
          <w:sz w:val="22"/>
        </w:rPr>
        <w:t> </w:t>
      </w:r>
      <w:r>
        <w:rPr>
          <w:sz w:val="22"/>
        </w:rPr>
        <w:t>maintenance</w:t>
      </w:r>
      <w:r>
        <w:rPr>
          <w:spacing w:val="-7"/>
          <w:sz w:val="22"/>
        </w:rPr>
        <w:t> </w:t>
      </w:r>
      <w:r>
        <w:rPr>
          <w:sz w:val="22"/>
        </w:rPr>
        <w:t>of</w:t>
      </w:r>
      <w:r>
        <w:rPr>
          <w:spacing w:val="-9"/>
          <w:sz w:val="22"/>
        </w:rPr>
        <w:t> </w:t>
      </w:r>
      <w:r>
        <w:rPr>
          <w:sz w:val="22"/>
        </w:rPr>
        <w:t>administrative</w:t>
      </w:r>
      <w:r>
        <w:rPr>
          <w:spacing w:val="-6"/>
          <w:sz w:val="22"/>
        </w:rPr>
        <w:t> </w:t>
      </w:r>
      <w:r>
        <w:rPr>
          <w:sz w:val="22"/>
        </w:rPr>
        <w:t>facilities</w:t>
      </w:r>
      <w:r>
        <w:rPr>
          <w:spacing w:val="-9"/>
          <w:sz w:val="22"/>
        </w:rPr>
        <w:t> </w:t>
      </w:r>
      <w:r>
        <w:rPr>
          <w:sz w:val="22"/>
        </w:rPr>
        <w:t>including</w:t>
      </w:r>
      <w:r>
        <w:rPr>
          <w:spacing w:val="-7"/>
          <w:sz w:val="22"/>
        </w:rPr>
        <w:t> </w:t>
      </w:r>
      <w:r>
        <w:rPr>
          <w:sz w:val="22"/>
        </w:rPr>
        <w:t>annual</w:t>
      </w:r>
      <w:r>
        <w:rPr>
          <w:spacing w:val="-7"/>
          <w:sz w:val="22"/>
        </w:rPr>
        <w:t> </w:t>
      </w:r>
      <w:r>
        <w:rPr>
          <w:sz w:val="22"/>
        </w:rPr>
        <w:t>maintenance</w:t>
      </w:r>
      <w:r>
        <w:rPr>
          <w:spacing w:val="-8"/>
          <w:sz w:val="22"/>
        </w:rPr>
        <w:t> </w:t>
      </w:r>
      <w:r>
        <w:rPr>
          <w:sz w:val="22"/>
        </w:rPr>
        <w:t>tasks</w:t>
      </w:r>
      <w:r>
        <w:rPr>
          <w:spacing w:val="-8"/>
          <w:sz w:val="22"/>
        </w:rPr>
        <w:t> </w:t>
      </w:r>
      <w:r>
        <w:rPr>
          <w:sz w:val="22"/>
        </w:rPr>
        <w:t>(lawn mowing, brushing, painting, sign replacement, etc.) and deferred maintenance (roof replacement, asphalt patching and sealing, electrical upgrades, etc.);</w:t>
      </w:r>
    </w:p>
    <w:p>
      <w:pPr>
        <w:pStyle w:val="ListParagraph"/>
        <w:spacing w:after="0" w:line="232" w:lineRule="auto"/>
        <w:jc w:val="left"/>
        <w:rPr>
          <w:sz w:val="22"/>
        </w:rPr>
        <w:sectPr>
          <w:pgSz w:w="12240" w:h="15840"/>
          <w:pgMar w:header="725" w:footer="891" w:top="1340" w:bottom="1080" w:left="1080" w:right="1080"/>
        </w:sectPr>
      </w:pPr>
    </w:p>
    <w:p>
      <w:pPr>
        <w:pStyle w:val="ListParagraph"/>
        <w:numPr>
          <w:ilvl w:val="0"/>
          <w:numId w:val="30"/>
        </w:numPr>
        <w:tabs>
          <w:tab w:pos="900" w:val="left" w:leader="none"/>
        </w:tabs>
        <w:spacing w:line="232" w:lineRule="auto" w:before="87" w:after="0"/>
        <w:ind w:left="900" w:right="1152" w:hanging="360"/>
        <w:jc w:val="left"/>
        <w:rPr>
          <w:sz w:val="22"/>
        </w:rPr>
      </w:pPr>
      <w:r>
        <w:rPr>
          <w:sz w:val="22"/>
        </w:rPr>
        <w:t>Improvements</w:t>
      </w:r>
      <w:r>
        <w:rPr>
          <w:spacing w:val="-9"/>
          <w:sz w:val="22"/>
        </w:rPr>
        <w:t> </w:t>
      </w:r>
      <w:r>
        <w:rPr>
          <w:sz w:val="22"/>
        </w:rPr>
        <w:t>to</w:t>
      </w:r>
      <w:r>
        <w:rPr>
          <w:spacing w:val="-8"/>
          <w:sz w:val="22"/>
        </w:rPr>
        <w:t> </w:t>
      </w:r>
      <w:r>
        <w:rPr>
          <w:sz w:val="22"/>
        </w:rPr>
        <w:t>infrastructure</w:t>
      </w:r>
      <w:r>
        <w:rPr>
          <w:spacing w:val="-6"/>
          <w:sz w:val="22"/>
        </w:rPr>
        <w:t> </w:t>
      </w:r>
      <w:r>
        <w:rPr>
          <w:sz w:val="22"/>
        </w:rPr>
        <w:t>to</w:t>
      </w:r>
      <w:r>
        <w:rPr>
          <w:spacing w:val="-8"/>
          <w:sz w:val="22"/>
        </w:rPr>
        <w:t> </w:t>
      </w:r>
      <w:r>
        <w:rPr>
          <w:sz w:val="22"/>
        </w:rPr>
        <w:t>meet</w:t>
      </w:r>
      <w:r>
        <w:rPr>
          <w:spacing w:val="-9"/>
          <w:sz w:val="22"/>
        </w:rPr>
        <w:t> </w:t>
      </w:r>
      <w:r>
        <w:rPr>
          <w:sz w:val="22"/>
        </w:rPr>
        <w:t>increased</w:t>
      </w:r>
      <w:r>
        <w:rPr>
          <w:spacing w:val="-8"/>
          <w:sz w:val="22"/>
        </w:rPr>
        <w:t> </w:t>
      </w:r>
      <w:r>
        <w:rPr>
          <w:sz w:val="22"/>
        </w:rPr>
        <w:t>health</w:t>
      </w:r>
      <w:r>
        <w:rPr>
          <w:spacing w:val="-8"/>
          <w:sz w:val="22"/>
        </w:rPr>
        <w:t> </w:t>
      </w:r>
      <w:r>
        <w:rPr>
          <w:sz w:val="22"/>
        </w:rPr>
        <w:t>and</w:t>
      </w:r>
      <w:r>
        <w:rPr>
          <w:spacing w:val="-8"/>
          <w:sz w:val="22"/>
        </w:rPr>
        <w:t> </w:t>
      </w:r>
      <w:r>
        <w:rPr>
          <w:sz w:val="22"/>
        </w:rPr>
        <w:t>safety</w:t>
      </w:r>
      <w:r>
        <w:rPr>
          <w:spacing w:val="-8"/>
          <w:sz w:val="22"/>
        </w:rPr>
        <w:t> </w:t>
      </w:r>
      <w:r>
        <w:rPr>
          <w:sz w:val="22"/>
        </w:rPr>
        <w:t>requirements</w:t>
      </w:r>
      <w:r>
        <w:rPr>
          <w:spacing w:val="-7"/>
          <w:sz w:val="22"/>
        </w:rPr>
        <w:t> </w:t>
      </w:r>
      <w:r>
        <w:rPr>
          <w:sz w:val="22"/>
        </w:rPr>
        <w:t>such</w:t>
      </w:r>
      <w:r>
        <w:rPr>
          <w:spacing w:val="-8"/>
          <w:sz w:val="22"/>
        </w:rPr>
        <w:t> </w:t>
      </w:r>
      <w:r>
        <w:rPr>
          <w:sz w:val="22"/>
        </w:rPr>
        <w:t>as those associated with new drinking water or sewage treatment regulations;</w:t>
      </w:r>
    </w:p>
    <w:p>
      <w:pPr>
        <w:pStyle w:val="ListParagraph"/>
        <w:numPr>
          <w:ilvl w:val="0"/>
          <w:numId w:val="30"/>
        </w:numPr>
        <w:tabs>
          <w:tab w:pos="900" w:val="left" w:leader="none"/>
        </w:tabs>
        <w:spacing w:line="232" w:lineRule="auto" w:before="120" w:after="0"/>
        <w:ind w:left="900" w:right="1033" w:hanging="360"/>
        <w:jc w:val="left"/>
        <w:rPr>
          <w:sz w:val="22"/>
        </w:rPr>
      </w:pPr>
      <w:r>
        <w:rPr>
          <w:sz w:val="22"/>
        </w:rPr>
        <w:t>Improvements</w:t>
      </w:r>
      <w:r>
        <w:rPr>
          <w:spacing w:val="-9"/>
          <w:sz w:val="22"/>
        </w:rPr>
        <w:t> </w:t>
      </w:r>
      <w:r>
        <w:rPr>
          <w:sz w:val="22"/>
        </w:rPr>
        <w:t>to</w:t>
      </w:r>
      <w:r>
        <w:rPr>
          <w:spacing w:val="-9"/>
          <w:sz w:val="22"/>
        </w:rPr>
        <w:t> </w:t>
      </w:r>
      <w:r>
        <w:rPr>
          <w:sz w:val="22"/>
        </w:rPr>
        <w:t>reduce</w:t>
      </w:r>
      <w:r>
        <w:rPr>
          <w:spacing w:val="-7"/>
          <w:sz w:val="22"/>
        </w:rPr>
        <w:t> </w:t>
      </w:r>
      <w:r>
        <w:rPr>
          <w:sz w:val="22"/>
        </w:rPr>
        <w:t>operation</w:t>
      </w:r>
      <w:r>
        <w:rPr>
          <w:spacing w:val="-9"/>
          <w:sz w:val="22"/>
        </w:rPr>
        <w:t> </w:t>
      </w:r>
      <w:r>
        <w:rPr>
          <w:sz w:val="22"/>
        </w:rPr>
        <w:t>and</w:t>
      </w:r>
      <w:r>
        <w:rPr>
          <w:spacing w:val="-10"/>
          <w:sz w:val="22"/>
        </w:rPr>
        <w:t> </w:t>
      </w:r>
      <w:r>
        <w:rPr>
          <w:sz w:val="22"/>
        </w:rPr>
        <w:t>maintenance</w:t>
      </w:r>
      <w:r>
        <w:rPr>
          <w:spacing w:val="-9"/>
          <w:sz w:val="22"/>
        </w:rPr>
        <w:t> </w:t>
      </w:r>
      <w:r>
        <w:rPr>
          <w:sz w:val="22"/>
        </w:rPr>
        <w:t>costs</w:t>
      </w:r>
      <w:r>
        <w:rPr>
          <w:spacing w:val="-9"/>
          <w:sz w:val="22"/>
        </w:rPr>
        <w:t> </w:t>
      </w:r>
      <w:r>
        <w:rPr>
          <w:sz w:val="22"/>
        </w:rPr>
        <w:t>of</w:t>
      </w:r>
      <w:r>
        <w:rPr>
          <w:spacing w:val="-9"/>
          <w:sz w:val="22"/>
        </w:rPr>
        <w:t> </w:t>
      </w:r>
      <w:r>
        <w:rPr>
          <w:sz w:val="22"/>
        </w:rPr>
        <w:t>recreation</w:t>
      </w:r>
      <w:r>
        <w:rPr>
          <w:spacing w:val="-8"/>
          <w:sz w:val="22"/>
        </w:rPr>
        <w:t> </w:t>
      </w:r>
      <w:r>
        <w:rPr>
          <w:sz w:val="22"/>
        </w:rPr>
        <w:t>and</w:t>
      </w:r>
      <w:r>
        <w:rPr>
          <w:spacing w:val="-9"/>
          <w:sz w:val="22"/>
        </w:rPr>
        <w:t> </w:t>
      </w:r>
      <w:r>
        <w:rPr>
          <w:sz w:val="22"/>
        </w:rPr>
        <w:t>administrative facilities (improve energy efficiency);</w:t>
      </w:r>
    </w:p>
    <w:p>
      <w:pPr>
        <w:pStyle w:val="ListParagraph"/>
        <w:numPr>
          <w:ilvl w:val="0"/>
          <w:numId w:val="30"/>
        </w:numPr>
        <w:tabs>
          <w:tab w:pos="899" w:val="left" w:leader="none"/>
        </w:tabs>
        <w:spacing w:line="240" w:lineRule="auto" w:before="111" w:after="0"/>
        <w:ind w:left="899" w:right="0" w:hanging="359"/>
        <w:jc w:val="left"/>
        <w:rPr>
          <w:sz w:val="22"/>
        </w:rPr>
      </w:pPr>
      <w:r>
        <w:rPr>
          <w:sz w:val="22"/>
        </w:rPr>
        <w:t>Emergency</w:t>
      </w:r>
      <w:r>
        <w:rPr>
          <w:spacing w:val="-10"/>
          <w:sz w:val="22"/>
        </w:rPr>
        <w:t> </w:t>
      </w:r>
      <w:r>
        <w:rPr>
          <w:sz w:val="22"/>
        </w:rPr>
        <w:t>repairs</w:t>
      </w:r>
      <w:r>
        <w:rPr>
          <w:spacing w:val="-9"/>
          <w:sz w:val="22"/>
        </w:rPr>
        <w:t> </w:t>
      </w:r>
      <w:r>
        <w:rPr>
          <w:sz w:val="22"/>
        </w:rPr>
        <w:t>caused</w:t>
      </w:r>
      <w:r>
        <w:rPr>
          <w:spacing w:val="-11"/>
          <w:sz w:val="22"/>
        </w:rPr>
        <w:t> </w:t>
      </w:r>
      <w:r>
        <w:rPr>
          <w:sz w:val="22"/>
        </w:rPr>
        <w:t>by</w:t>
      </w:r>
      <w:r>
        <w:rPr>
          <w:spacing w:val="-8"/>
          <w:sz w:val="22"/>
        </w:rPr>
        <w:t> </w:t>
      </w:r>
      <w:r>
        <w:rPr>
          <w:sz w:val="22"/>
        </w:rPr>
        <w:t>natural</w:t>
      </w:r>
      <w:r>
        <w:rPr>
          <w:spacing w:val="-11"/>
          <w:sz w:val="22"/>
        </w:rPr>
        <w:t> </w:t>
      </w:r>
      <w:r>
        <w:rPr>
          <w:sz w:val="22"/>
        </w:rPr>
        <w:t>events;</w:t>
      </w:r>
      <w:r>
        <w:rPr>
          <w:spacing w:val="-7"/>
          <w:sz w:val="22"/>
        </w:rPr>
        <w:t> </w:t>
      </w:r>
      <w:r>
        <w:rPr>
          <w:spacing w:val="-5"/>
          <w:sz w:val="22"/>
        </w:rPr>
        <w:t>and</w:t>
      </w:r>
    </w:p>
    <w:p>
      <w:pPr>
        <w:pStyle w:val="ListParagraph"/>
        <w:numPr>
          <w:ilvl w:val="0"/>
          <w:numId w:val="30"/>
        </w:numPr>
        <w:tabs>
          <w:tab w:pos="899" w:val="left" w:leader="none"/>
        </w:tabs>
        <w:spacing w:line="240" w:lineRule="auto" w:before="113" w:after="0"/>
        <w:ind w:left="899" w:right="0" w:hanging="359"/>
        <w:jc w:val="left"/>
        <w:rPr>
          <w:sz w:val="22"/>
        </w:rPr>
      </w:pPr>
      <w:r>
        <w:rPr>
          <w:sz w:val="22"/>
        </w:rPr>
        <w:t>Building</w:t>
      </w:r>
      <w:r>
        <w:rPr>
          <w:spacing w:val="-10"/>
          <w:sz w:val="22"/>
        </w:rPr>
        <w:t> </w:t>
      </w:r>
      <w:r>
        <w:rPr>
          <w:sz w:val="22"/>
        </w:rPr>
        <w:t>and</w:t>
      </w:r>
      <w:r>
        <w:rPr>
          <w:spacing w:val="-7"/>
          <w:sz w:val="22"/>
        </w:rPr>
        <w:t> </w:t>
      </w:r>
      <w:r>
        <w:rPr>
          <w:sz w:val="22"/>
        </w:rPr>
        <w:t>road</w:t>
      </w:r>
      <w:r>
        <w:rPr>
          <w:spacing w:val="-8"/>
          <w:sz w:val="22"/>
        </w:rPr>
        <w:t> </w:t>
      </w:r>
      <w:r>
        <w:rPr>
          <w:sz w:val="22"/>
        </w:rPr>
        <w:t>decommissioning</w:t>
      </w:r>
      <w:r>
        <w:rPr>
          <w:spacing w:val="-6"/>
          <w:sz w:val="22"/>
        </w:rPr>
        <w:t> </w:t>
      </w:r>
      <w:r>
        <w:rPr>
          <w:sz w:val="22"/>
        </w:rPr>
        <w:t>to</w:t>
      </w:r>
      <w:r>
        <w:rPr>
          <w:spacing w:val="-8"/>
          <w:sz w:val="22"/>
        </w:rPr>
        <w:t> </w:t>
      </w:r>
      <w:r>
        <w:rPr>
          <w:sz w:val="22"/>
        </w:rPr>
        <w:t>move</w:t>
      </w:r>
      <w:r>
        <w:rPr>
          <w:spacing w:val="-8"/>
          <w:sz w:val="22"/>
        </w:rPr>
        <w:t> </w:t>
      </w:r>
      <w:r>
        <w:rPr>
          <w:sz w:val="22"/>
        </w:rPr>
        <w:t>toward</w:t>
      </w:r>
      <w:r>
        <w:rPr>
          <w:spacing w:val="-9"/>
          <w:sz w:val="22"/>
        </w:rPr>
        <w:t> </w:t>
      </w:r>
      <w:r>
        <w:rPr>
          <w:sz w:val="22"/>
        </w:rPr>
        <w:t>Desired</w:t>
      </w:r>
      <w:r>
        <w:rPr>
          <w:spacing w:val="-7"/>
          <w:sz w:val="22"/>
        </w:rPr>
        <w:t> </w:t>
      </w:r>
      <w:r>
        <w:rPr>
          <w:spacing w:val="-2"/>
          <w:sz w:val="22"/>
        </w:rPr>
        <w:t>Conditions.</w:t>
      </w:r>
    </w:p>
    <w:p>
      <w:pPr>
        <w:pStyle w:val="Heading4"/>
        <w:spacing w:before="232"/>
      </w:pPr>
      <w:bookmarkStart w:name="Air Quality" w:id="957"/>
      <w:bookmarkEnd w:id="957"/>
      <w:r>
        <w:rPr/>
      </w:r>
      <w:bookmarkStart w:name="_bookmark295" w:id="958"/>
      <w:bookmarkEnd w:id="958"/>
      <w:r>
        <w:rPr/>
      </w:r>
      <w:r>
        <w:rPr/>
        <w:t>Air</w:t>
      </w:r>
      <w:r>
        <w:rPr>
          <w:spacing w:val="-4"/>
        </w:rPr>
        <w:t> </w:t>
      </w:r>
      <w:r>
        <w:rPr>
          <w:spacing w:val="-2"/>
        </w:rPr>
        <w:t>Quality</w:t>
      </w:r>
    </w:p>
    <w:p>
      <w:pPr>
        <w:pStyle w:val="BodyText"/>
        <w:spacing w:line="232" w:lineRule="auto" w:before="65"/>
        <w:ind w:left="360" w:right="1185"/>
      </w:pPr>
      <w:r>
        <w:rPr/>
        <w:t>The main</w:t>
      </w:r>
      <w:r>
        <w:rPr>
          <w:spacing w:val="-1"/>
        </w:rPr>
        <w:t> </w:t>
      </w:r>
      <w:r>
        <w:rPr/>
        <w:t>management action taken by the Forest that could affect air quality is fire. Planned ignitions</w:t>
      </w:r>
      <w:r>
        <w:rPr>
          <w:spacing w:val="-6"/>
        </w:rPr>
        <w:t> </w:t>
      </w:r>
      <w:r>
        <w:rPr/>
        <w:t>will</w:t>
      </w:r>
      <w:r>
        <w:rPr>
          <w:spacing w:val="-6"/>
        </w:rPr>
        <w:t> </w:t>
      </w:r>
      <w:r>
        <w:rPr/>
        <w:t>follow</w:t>
      </w:r>
      <w:r>
        <w:rPr>
          <w:spacing w:val="-8"/>
        </w:rPr>
        <w:t> </w:t>
      </w:r>
      <w:r>
        <w:rPr/>
        <w:t>all</w:t>
      </w:r>
      <w:r>
        <w:rPr>
          <w:spacing w:val="-8"/>
        </w:rPr>
        <w:t> </w:t>
      </w:r>
      <w:r>
        <w:rPr/>
        <w:t>Washington</w:t>
      </w:r>
      <w:r>
        <w:rPr>
          <w:spacing w:val="-7"/>
        </w:rPr>
        <w:t> </w:t>
      </w:r>
      <w:r>
        <w:rPr/>
        <w:t>State</w:t>
      </w:r>
      <w:r>
        <w:rPr>
          <w:spacing w:val="-5"/>
        </w:rPr>
        <w:t> </w:t>
      </w:r>
      <w:r>
        <w:rPr/>
        <w:t>smoke</w:t>
      </w:r>
      <w:r>
        <w:rPr>
          <w:spacing w:val="-8"/>
        </w:rPr>
        <w:t> </w:t>
      </w:r>
      <w:r>
        <w:rPr/>
        <w:t>regulations</w:t>
      </w:r>
      <w:r>
        <w:rPr>
          <w:spacing w:val="-6"/>
        </w:rPr>
        <w:t> </w:t>
      </w:r>
      <w:r>
        <w:rPr/>
        <w:t>to</w:t>
      </w:r>
      <w:r>
        <w:rPr>
          <w:spacing w:val="-7"/>
        </w:rPr>
        <w:t> </w:t>
      </w:r>
      <w:r>
        <w:rPr/>
        <w:t>reduce</w:t>
      </w:r>
      <w:r>
        <w:rPr>
          <w:spacing w:val="-8"/>
        </w:rPr>
        <w:t> </w:t>
      </w:r>
      <w:r>
        <w:rPr/>
        <w:t>the</w:t>
      </w:r>
      <w:r>
        <w:rPr>
          <w:spacing w:val="-5"/>
        </w:rPr>
        <w:t> </w:t>
      </w:r>
      <w:r>
        <w:rPr/>
        <w:t>potential</w:t>
      </w:r>
      <w:r>
        <w:rPr>
          <w:spacing w:val="-6"/>
        </w:rPr>
        <w:t> </w:t>
      </w:r>
      <w:r>
        <w:rPr/>
        <w:t>impacts</w:t>
      </w:r>
      <w:r>
        <w:rPr>
          <w:spacing w:val="-8"/>
        </w:rPr>
        <w:t> </w:t>
      </w:r>
      <w:r>
        <w:rPr/>
        <w:t>of </w:t>
      </w:r>
      <w:r>
        <w:rPr>
          <w:spacing w:val="-2"/>
        </w:rPr>
        <w:t>smoke.</w:t>
      </w:r>
    </w:p>
    <w:p>
      <w:pPr>
        <w:pStyle w:val="Heading4"/>
        <w:spacing w:before="233"/>
      </w:pPr>
      <w:bookmarkStart w:name="Heritage Resources" w:id="959"/>
      <w:bookmarkEnd w:id="959"/>
      <w:r>
        <w:rPr/>
      </w:r>
      <w:bookmarkStart w:name="_bookmark296" w:id="960"/>
      <w:bookmarkEnd w:id="960"/>
      <w:r>
        <w:rPr/>
      </w:r>
      <w:r>
        <w:rPr/>
        <w:t>Heritage</w:t>
      </w:r>
      <w:r>
        <w:rPr>
          <w:spacing w:val="-6"/>
        </w:rPr>
        <w:t> </w:t>
      </w:r>
      <w:r>
        <w:rPr>
          <w:spacing w:val="-2"/>
        </w:rPr>
        <w:t>Resources</w:t>
      </w:r>
    </w:p>
    <w:p>
      <w:pPr>
        <w:pStyle w:val="BodyText"/>
        <w:spacing w:before="59"/>
        <w:ind w:left="360"/>
      </w:pPr>
      <w:r>
        <w:rPr/>
        <w:t>Heritage</w:t>
      </w:r>
      <w:r>
        <w:rPr>
          <w:spacing w:val="-9"/>
        </w:rPr>
        <w:t> </w:t>
      </w:r>
      <w:r>
        <w:rPr/>
        <w:t>resources</w:t>
      </w:r>
      <w:r>
        <w:rPr>
          <w:spacing w:val="-10"/>
        </w:rPr>
        <w:t> </w:t>
      </w:r>
      <w:r>
        <w:rPr/>
        <w:t>activities</w:t>
      </w:r>
      <w:r>
        <w:rPr>
          <w:spacing w:val="-9"/>
        </w:rPr>
        <w:t> </w:t>
      </w:r>
      <w:r>
        <w:rPr/>
        <w:t>will</w:t>
      </w:r>
      <w:r>
        <w:rPr>
          <w:spacing w:val="-10"/>
        </w:rPr>
        <w:t> </w:t>
      </w:r>
      <w:r>
        <w:rPr/>
        <w:t>likely</w:t>
      </w:r>
      <w:r>
        <w:rPr>
          <w:spacing w:val="-8"/>
        </w:rPr>
        <w:t> </w:t>
      </w:r>
      <w:r>
        <w:rPr/>
        <w:t>consist</w:t>
      </w:r>
      <w:r>
        <w:rPr>
          <w:spacing w:val="-10"/>
        </w:rPr>
        <w:t> </w:t>
      </w:r>
      <w:r>
        <w:rPr>
          <w:spacing w:val="-5"/>
        </w:rPr>
        <w:t>of:</w:t>
      </w:r>
    </w:p>
    <w:p>
      <w:pPr>
        <w:pStyle w:val="ListParagraph"/>
        <w:numPr>
          <w:ilvl w:val="0"/>
          <w:numId w:val="30"/>
        </w:numPr>
        <w:tabs>
          <w:tab w:pos="900" w:val="left" w:leader="none"/>
        </w:tabs>
        <w:spacing w:line="232" w:lineRule="auto" w:before="199" w:after="0"/>
        <w:ind w:left="900" w:right="1109" w:hanging="360"/>
        <w:jc w:val="left"/>
        <w:rPr>
          <w:sz w:val="22"/>
        </w:rPr>
      </w:pPr>
      <w:r>
        <w:rPr>
          <w:sz w:val="22"/>
        </w:rPr>
        <w:t>Conducting</w:t>
      </w:r>
      <w:r>
        <w:rPr>
          <w:spacing w:val="-7"/>
          <w:sz w:val="22"/>
        </w:rPr>
        <w:t> </w:t>
      </w:r>
      <w:r>
        <w:rPr>
          <w:sz w:val="22"/>
        </w:rPr>
        <w:t>surveys</w:t>
      </w:r>
      <w:r>
        <w:rPr>
          <w:spacing w:val="-6"/>
          <w:sz w:val="22"/>
        </w:rPr>
        <w:t> </w:t>
      </w:r>
      <w:r>
        <w:rPr>
          <w:sz w:val="22"/>
        </w:rPr>
        <w:t>to</w:t>
      </w:r>
      <w:r>
        <w:rPr>
          <w:spacing w:val="-5"/>
          <w:sz w:val="22"/>
        </w:rPr>
        <w:t> </w:t>
      </w:r>
      <w:r>
        <w:rPr>
          <w:sz w:val="22"/>
        </w:rPr>
        <w:t>identify</w:t>
      </w:r>
      <w:r>
        <w:rPr>
          <w:spacing w:val="-5"/>
          <w:sz w:val="22"/>
        </w:rPr>
        <w:t> </w:t>
      </w:r>
      <w:r>
        <w:rPr>
          <w:sz w:val="22"/>
        </w:rPr>
        <w:t>significant</w:t>
      </w:r>
      <w:r>
        <w:rPr>
          <w:spacing w:val="-5"/>
          <w:sz w:val="22"/>
        </w:rPr>
        <w:t> </w:t>
      </w:r>
      <w:r>
        <w:rPr>
          <w:sz w:val="22"/>
        </w:rPr>
        <w:t>sites,</w:t>
      </w:r>
      <w:r>
        <w:rPr>
          <w:spacing w:val="-6"/>
          <w:sz w:val="22"/>
        </w:rPr>
        <w:t> </w:t>
      </w:r>
      <w:r>
        <w:rPr>
          <w:sz w:val="22"/>
        </w:rPr>
        <w:t>and</w:t>
      </w:r>
      <w:r>
        <w:rPr>
          <w:spacing w:val="-7"/>
          <w:sz w:val="22"/>
        </w:rPr>
        <w:t> </w:t>
      </w:r>
      <w:r>
        <w:rPr>
          <w:sz w:val="22"/>
        </w:rPr>
        <w:t>follow-up</w:t>
      </w:r>
      <w:r>
        <w:rPr>
          <w:spacing w:val="-7"/>
          <w:sz w:val="22"/>
        </w:rPr>
        <w:t> </w:t>
      </w:r>
      <w:r>
        <w:rPr>
          <w:sz w:val="22"/>
        </w:rPr>
        <w:t>actions</w:t>
      </w:r>
      <w:r>
        <w:rPr>
          <w:spacing w:val="-8"/>
          <w:sz w:val="22"/>
        </w:rPr>
        <w:t> </w:t>
      </w:r>
      <w:r>
        <w:rPr>
          <w:sz w:val="22"/>
        </w:rPr>
        <w:t>necessary</w:t>
      </w:r>
      <w:r>
        <w:rPr>
          <w:spacing w:val="-7"/>
          <w:sz w:val="22"/>
        </w:rPr>
        <w:t> </w:t>
      </w:r>
      <w:r>
        <w:rPr>
          <w:sz w:val="22"/>
        </w:rPr>
        <w:t>to</w:t>
      </w:r>
      <w:r>
        <w:rPr>
          <w:spacing w:val="-5"/>
          <w:sz w:val="22"/>
        </w:rPr>
        <w:t> </w:t>
      </w:r>
      <w:r>
        <w:rPr>
          <w:sz w:val="22"/>
        </w:rPr>
        <w:t>protect, stabilize, or salvage sites;</w:t>
      </w:r>
    </w:p>
    <w:p>
      <w:pPr>
        <w:pStyle w:val="ListParagraph"/>
        <w:numPr>
          <w:ilvl w:val="0"/>
          <w:numId w:val="30"/>
        </w:numPr>
        <w:tabs>
          <w:tab w:pos="899" w:val="left" w:leader="none"/>
        </w:tabs>
        <w:spacing w:line="240" w:lineRule="auto" w:before="111" w:after="0"/>
        <w:ind w:left="899" w:right="0" w:hanging="359"/>
        <w:jc w:val="left"/>
        <w:rPr>
          <w:sz w:val="22"/>
        </w:rPr>
      </w:pPr>
      <w:r>
        <w:rPr>
          <w:sz w:val="22"/>
        </w:rPr>
        <w:t>Identifying</w:t>
      </w:r>
      <w:r>
        <w:rPr>
          <w:spacing w:val="-11"/>
          <w:sz w:val="22"/>
        </w:rPr>
        <w:t> </w:t>
      </w:r>
      <w:r>
        <w:rPr>
          <w:sz w:val="22"/>
        </w:rPr>
        <w:t>and</w:t>
      </w:r>
      <w:r>
        <w:rPr>
          <w:spacing w:val="-9"/>
          <w:sz w:val="22"/>
        </w:rPr>
        <w:t> </w:t>
      </w:r>
      <w:r>
        <w:rPr>
          <w:sz w:val="22"/>
        </w:rPr>
        <w:t>evaluating</w:t>
      </w:r>
      <w:r>
        <w:rPr>
          <w:spacing w:val="-10"/>
          <w:sz w:val="22"/>
        </w:rPr>
        <w:t> </w:t>
      </w:r>
      <w:r>
        <w:rPr>
          <w:sz w:val="22"/>
        </w:rPr>
        <w:t>heritage</w:t>
      </w:r>
      <w:r>
        <w:rPr>
          <w:spacing w:val="-7"/>
          <w:sz w:val="22"/>
        </w:rPr>
        <w:t> </w:t>
      </w:r>
      <w:r>
        <w:rPr>
          <w:sz w:val="22"/>
        </w:rPr>
        <w:t>resources</w:t>
      </w:r>
      <w:r>
        <w:rPr>
          <w:spacing w:val="-9"/>
          <w:sz w:val="22"/>
        </w:rPr>
        <w:t> </w:t>
      </w:r>
      <w:r>
        <w:rPr>
          <w:sz w:val="22"/>
        </w:rPr>
        <w:t>for</w:t>
      </w:r>
      <w:r>
        <w:rPr>
          <w:spacing w:val="-10"/>
          <w:sz w:val="22"/>
        </w:rPr>
        <w:t> </w:t>
      </w:r>
      <w:r>
        <w:rPr>
          <w:sz w:val="22"/>
        </w:rPr>
        <w:t>the</w:t>
      </w:r>
      <w:r>
        <w:rPr>
          <w:spacing w:val="-9"/>
          <w:sz w:val="22"/>
        </w:rPr>
        <w:t> </w:t>
      </w:r>
      <w:r>
        <w:rPr>
          <w:sz w:val="22"/>
        </w:rPr>
        <w:t>National</w:t>
      </w:r>
      <w:r>
        <w:rPr>
          <w:spacing w:val="-8"/>
          <w:sz w:val="22"/>
        </w:rPr>
        <w:t> </w:t>
      </w:r>
      <w:r>
        <w:rPr>
          <w:sz w:val="22"/>
        </w:rPr>
        <w:t>Register</w:t>
      </w:r>
      <w:r>
        <w:rPr>
          <w:spacing w:val="-9"/>
          <w:sz w:val="22"/>
        </w:rPr>
        <w:t> </w:t>
      </w:r>
      <w:r>
        <w:rPr>
          <w:sz w:val="22"/>
        </w:rPr>
        <w:t>of</w:t>
      </w:r>
      <w:r>
        <w:rPr>
          <w:spacing w:val="-8"/>
          <w:sz w:val="22"/>
        </w:rPr>
        <w:t> </w:t>
      </w:r>
      <w:r>
        <w:rPr>
          <w:sz w:val="22"/>
        </w:rPr>
        <w:t>Historic</w:t>
      </w:r>
      <w:r>
        <w:rPr>
          <w:spacing w:val="-7"/>
          <w:sz w:val="22"/>
        </w:rPr>
        <w:t> </w:t>
      </w:r>
      <w:r>
        <w:rPr>
          <w:spacing w:val="-2"/>
          <w:sz w:val="22"/>
        </w:rPr>
        <w:t>Places;</w:t>
      </w:r>
    </w:p>
    <w:p>
      <w:pPr>
        <w:pStyle w:val="ListParagraph"/>
        <w:numPr>
          <w:ilvl w:val="0"/>
          <w:numId w:val="30"/>
        </w:numPr>
        <w:tabs>
          <w:tab w:pos="899" w:val="left" w:leader="none"/>
        </w:tabs>
        <w:spacing w:line="240" w:lineRule="auto" w:before="113" w:after="0"/>
        <w:ind w:left="899" w:right="0" w:hanging="359"/>
        <w:jc w:val="left"/>
        <w:rPr>
          <w:sz w:val="22"/>
        </w:rPr>
      </w:pPr>
      <w:r>
        <w:rPr>
          <w:sz w:val="22"/>
        </w:rPr>
        <w:t>Stabilizing,</w:t>
      </w:r>
      <w:r>
        <w:rPr>
          <w:spacing w:val="-12"/>
          <w:sz w:val="22"/>
        </w:rPr>
        <w:t> </w:t>
      </w:r>
      <w:r>
        <w:rPr>
          <w:sz w:val="22"/>
        </w:rPr>
        <w:t>rehabilitating,</w:t>
      </w:r>
      <w:r>
        <w:rPr>
          <w:spacing w:val="-9"/>
          <w:sz w:val="22"/>
        </w:rPr>
        <w:t> </w:t>
      </w:r>
      <w:r>
        <w:rPr>
          <w:sz w:val="22"/>
        </w:rPr>
        <w:t>restoring,</w:t>
      </w:r>
      <w:r>
        <w:rPr>
          <w:spacing w:val="-11"/>
          <w:sz w:val="22"/>
        </w:rPr>
        <w:t> </w:t>
      </w:r>
      <w:r>
        <w:rPr>
          <w:sz w:val="22"/>
        </w:rPr>
        <w:t>and</w:t>
      </w:r>
      <w:r>
        <w:rPr>
          <w:spacing w:val="-10"/>
          <w:sz w:val="22"/>
        </w:rPr>
        <w:t> </w:t>
      </w:r>
      <w:r>
        <w:rPr>
          <w:sz w:val="22"/>
        </w:rPr>
        <w:t>caring</w:t>
      </w:r>
      <w:r>
        <w:rPr>
          <w:spacing w:val="-10"/>
          <w:sz w:val="22"/>
        </w:rPr>
        <w:t> </w:t>
      </w:r>
      <w:r>
        <w:rPr>
          <w:sz w:val="22"/>
        </w:rPr>
        <w:t>for</w:t>
      </w:r>
      <w:r>
        <w:rPr>
          <w:spacing w:val="-9"/>
          <w:sz w:val="22"/>
        </w:rPr>
        <w:t> </w:t>
      </w:r>
      <w:r>
        <w:rPr>
          <w:sz w:val="22"/>
        </w:rPr>
        <w:t>heritage</w:t>
      </w:r>
      <w:r>
        <w:rPr>
          <w:spacing w:val="-8"/>
          <w:sz w:val="22"/>
        </w:rPr>
        <w:t> </w:t>
      </w:r>
      <w:r>
        <w:rPr>
          <w:spacing w:val="-2"/>
          <w:sz w:val="22"/>
        </w:rPr>
        <w:t>resources;</w:t>
      </w:r>
    </w:p>
    <w:p>
      <w:pPr>
        <w:pStyle w:val="ListParagraph"/>
        <w:numPr>
          <w:ilvl w:val="0"/>
          <w:numId w:val="30"/>
        </w:numPr>
        <w:tabs>
          <w:tab w:pos="899" w:val="left" w:leader="none"/>
        </w:tabs>
        <w:spacing w:line="240" w:lineRule="auto" w:before="110" w:after="0"/>
        <w:ind w:left="899" w:right="0" w:hanging="359"/>
        <w:jc w:val="left"/>
        <w:rPr>
          <w:sz w:val="22"/>
        </w:rPr>
      </w:pPr>
      <w:r>
        <w:rPr>
          <w:sz w:val="22"/>
        </w:rPr>
        <w:t>Conducting</w:t>
      </w:r>
      <w:r>
        <w:rPr>
          <w:spacing w:val="-11"/>
          <w:sz w:val="22"/>
        </w:rPr>
        <w:t> </w:t>
      </w:r>
      <w:r>
        <w:rPr>
          <w:sz w:val="22"/>
        </w:rPr>
        <w:t>deferred</w:t>
      </w:r>
      <w:r>
        <w:rPr>
          <w:spacing w:val="-12"/>
          <w:sz w:val="22"/>
        </w:rPr>
        <w:t> </w:t>
      </w:r>
      <w:r>
        <w:rPr>
          <w:sz w:val="22"/>
        </w:rPr>
        <w:t>maintenance</w:t>
      </w:r>
      <w:r>
        <w:rPr>
          <w:spacing w:val="-9"/>
          <w:sz w:val="22"/>
        </w:rPr>
        <w:t> </w:t>
      </w:r>
      <w:r>
        <w:rPr>
          <w:sz w:val="22"/>
        </w:rPr>
        <w:t>to</w:t>
      </w:r>
      <w:r>
        <w:rPr>
          <w:spacing w:val="-9"/>
          <w:sz w:val="22"/>
        </w:rPr>
        <w:t> </w:t>
      </w:r>
      <w:r>
        <w:rPr>
          <w:sz w:val="22"/>
        </w:rPr>
        <w:t>historic</w:t>
      </w:r>
      <w:r>
        <w:rPr>
          <w:spacing w:val="-9"/>
          <w:sz w:val="22"/>
        </w:rPr>
        <w:t> </w:t>
      </w:r>
      <w:r>
        <w:rPr>
          <w:spacing w:val="-2"/>
          <w:sz w:val="22"/>
        </w:rPr>
        <w:t>facilities;</w:t>
      </w:r>
    </w:p>
    <w:p>
      <w:pPr>
        <w:pStyle w:val="ListParagraph"/>
        <w:numPr>
          <w:ilvl w:val="0"/>
          <w:numId w:val="30"/>
        </w:numPr>
        <w:tabs>
          <w:tab w:pos="900" w:val="left" w:leader="none"/>
        </w:tabs>
        <w:spacing w:line="232" w:lineRule="auto" w:before="117" w:after="0"/>
        <w:ind w:left="900" w:right="962" w:hanging="360"/>
        <w:jc w:val="left"/>
        <w:rPr>
          <w:sz w:val="22"/>
        </w:rPr>
      </w:pPr>
      <w:r>
        <w:rPr>
          <w:sz w:val="22"/>
        </w:rPr>
        <w:t>Promoting</w:t>
      </w:r>
      <w:r>
        <w:rPr>
          <w:spacing w:val="-10"/>
          <w:sz w:val="22"/>
        </w:rPr>
        <w:t> </w:t>
      </w:r>
      <w:r>
        <w:rPr>
          <w:sz w:val="22"/>
        </w:rPr>
        <w:t>heritage</w:t>
      </w:r>
      <w:r>
        <w:rPr>
          <w:spacing w:val="-10"/>
          <w:sz w:val="22"/>
        </w:rPr>
        <w:t> </w:t>
      </w:r>
      <w:r>
        <w:rPr>
          <w:sz w:val="22"/>
        </w:rPr>
        <w:t>values</w:t>
      </w:r>
      <w:r>
        <w:rPr>
          <w:spacing w:val="-10"/>
          <w:sz w:val="22"/>
        </w:rPr>
        <w:t> </w:t>
      </w:r>
      <w:r>
        <w:rPr>
          <w:sz w:val="22"/>
        </w:rPr>
        <w:t>through</w:t>
      </w:r>
      <w:r>
        <w:rPr>
          <w:spacing w:val="-10"/>
          <w:sz w:val="22"/>
        </w:rPr>
        <w:t> </w:t>
      </w:r>
      <w:r>
        <w:rPr>
          <w:sz w:val="22"/>
        </w:rPr>
        <w:t>public</w:t>
      </w:r>
      <w:r>
        <w:rPr>
          <w:spacing w:val="-9"/>
          <w:sz w:val="22"/>
        </w:rPr>
        <w:t> </w:t>
      </w:r>
      <w:r>
        <w:rPr>
          <w:sz w:val="22"/>
        </w:rPr>
        <w:t>education,</w:t>
      </w:r>
      <w:r>
        <w:rPr>
          <w:spacing w:val="-10"/>
          <w:sz w:val="22"/>
        </w:rPr>
        <w:t> </w:t>
      </w:r>
      <w:r>
        <w:rPr>
          <w:sz w:val="22"/>
        </w:rPr>
        <w:t>outreach,</w:t>
      </w:r>
      <w:r>
        <w:rPr>
          <w:spacing w:val="-9"/>
          <w:sz w:val="22"/>
        </w:rPr>
        <w:t> </w:t>
      </w:r>
      <w:r>
        <w:rPr>
          <w:sz w:val="22"/>
        </w:rPr>
        <w:t>and</w:t>
      </w:r>
      <w:r>
        <w:rPr>
          <w:spacing w:val="-10"/>
          <w:sz w:val="22"/>
        </w:rPr>
        <w:t> </w:t>
      </w:r>
      <w:r>
        <w:rPr>
          <w:sz w:val="22"/>
        </w:rPr>
        <w:t>interpretative</w:t>
      </w:r>
      <w:r>
        <w:rPr>
          <w:spacing w:val="-8"/>
          <w:sz w:val="22"/>
        </w:rPr>
        <w:t> </w:t>
      </w:r>
      <w:r>
        <w:rPr>
          <w:sz w:val="22"/>
        </w:rPr>
        <w:t>programs; </w:t>
      </w:r>
      <w:r>
        <w:rPr>
          <w:spacing w:val="-4"/>
          <w:sz w:val="22"/>
        </w:rPr>
        <w:t>and</w:t>
      </w:r>
    </w:p>
    <w:p>
      <w:pPr>
        <w:pStyle w:val="ListParagraph"/>
        <w:numPr>
          <w:ilvl w:val="0"/>
          <w:numId w:val="30"/>
        </w:numPr>
        <w:tabs>
          <w:tab w:pos="899" w:val="left" w:leader="none"/>
        </w:tabs>
        <w:spacing w:line="240" w:lineRule="auto" w:before="114" w:after="0"/>
        <w:ind w:left="899" w:right="0" w:hanging="359"/>
        <w:jc w:val="left"/>
        <w:rPr>
          <w:sz w:val="22"/>
        </w:rPr>
      </w:pPr>
      <w:r>
        <w:rPr>
          <w:sz w:val="22"/>
        </w:rPr>
        <w:t>Conducting</w:t>
      </w:r>
      <w:r>
        <w:rPr>
          <w:spacing w:val="-9"/>
          <w:sz w:val="22"/>
        </w:rPr>
        <w:t> </w:t>
      </w:r>
      <w:r>
        <w:rPr>
          <w:sz w:val="22"/>
        </w:rPr>
        <w:t>scientific</w:t>
      </w:r>
      <w:r>
        <w:rPr>
          <w:spacing w:val="-7"/>
          <w:sz w:val="22"/>
        </w:rPr>
        <w:t> </w:t>
      </w:r>
      <w:r>
        <w:rPr>
          <w:sz w:val="22"/>
        </w:rPr>
        <w:t>and</w:t>
      </w:r>
      <w:r>
        <w:rPr>
          <w:spacing w:val="-8"/>
          <w:sz w:val="22"/>
        </w:rPr>
        <w:t> </w:t>
      </w:r>
      <w:r>
        <w:rPr>
          <w:sz w:val="22"/>
        </w:rPr>
        <w:t>historic</w:t>
      </w:r>
      <w:r>
        <w:rPr>
          <w:spacing w:val="-9"/>
          <w:sz w:val="22"/>
        </w:rPr>
        <w:t> </w:t>
      </w:r>
      <w:r>
        <w:rPr>
          <w:sz w:val="22"/>
        </w:rPr>
        <w:t>research</w:t>
      </w:r>
      <w:r>
        <w:rPr>
          <w:spacing w:val="-9"/>
          <w:sz w:val="22"/>
        </w:rPr>
        <w:t> </w:t>
      </w:r>
      <w:r>
        <w:rPr>
          <w:sz w:val="22"/>
        </w:rPr>
        <w:t>on</w:t>
      </w:r>
      <w:r>
        <w:rPr>
          <w:spacing w:val="-8"/>
          <w:sz w:val="22"/>
        </w:rPr>
        <w:t> </w:t>
      </w:r>
      <w:r>
        <w:rPr>
          <w:sz w:val="22"/>
        </w:rPr>
        <w:t>heritage</w:t>
      </w:r>
      <w:r>
        <w:rPr>
          <w:spacing w:val="-8"/>
          <w:sz w:val="22"/>
        </w:rPr>
        <w:t> </w:t>
      </w:r>
      <w:r>
        <w:rPr>
          <w:spacing w:val="-2"/>
          <w:sz w:val="22"/>
        </w:rPr>
        <w:t>sites.</w:t>
      </w:r>
    </w:p>
    <w:p>
      <w:pPr>
        <w:pStyle w:val="Heading4"/>
        <w:spacing w:before="232"/>
      </w:pPr>
      <w:bookmarkStart w:name="American Indian Rights and Interests" w:id="961"/>
      <w:bookmarkEnd w:id="961"/>
      <w:r>
        <w:rPr/>
      </w:r>
      <w:bookmarkStart w:name="_bookmark297" w:id="962"/>
      <w:bookmarkEnd w:id="962"/>
      <w:r>
        <w:rPr/>
      </w:r>
      <w:r>
        <w:rPr/>
        <w:t>American</w:t>
      </w:r>
      <w:r>
        <w:rPr>
          <w:spacing w:val="-2"/>
        </w:rPr>
        <w:t> </w:t>
      </w:r>
      <w:r>
        <w:rPr/>
        <w:t>Indian</w:t>
      </w:r>
      <w:r>
        <w:rPr>
          <w:spacing w:val="-4"/>
        </w:rPr>
        <w:t> </w:t>
      </w:r>
      <w:r>
        <w:rPr/>
        <w:t>Rights</w:t>
      </w:r>
      <w:r>
        <w:rPr>
          <w:spacing w:val="-3"/>
        </w:rPr>
        <w:t> </w:t>
      </w:r>
      <w:r>
        <w:rPr/>
        <w:t>and</w:t>
      </w:r>
      <w:r>
        <w:rPr>
          <w:spacing w:val="-3"/>
        </w:rPr>
        <w:t> </w:t>
      </w:r>
      <w:r>
        <w:rPr>
          <w:spacing w:val="-2"/>
        </w:rPr>
        <w:t>Interests</w:t>
      </w:r>
    </w:p>
    <w:p>
      <w:pPr>
        <w:pStyle w:val="BodyText"/>
        <w:spacing w:before="59"/>
        <w:ind w:left="360"/>
      </w:pPr>
      <w:r>
        <w:rPr/>
        <w:t>Activities</w:t>
      </w:r>
      <w:r>
        <w:rPr>
          <w:spacing w:val="-9"/>
        </w:rPr>
        <w:t> </w:t>
      </w:r>
      <w:r>
        <w:rPr/>
        <w:t>will</w:t>
      </w:r>
      <w:r>
        <w:rPr>
          <w:spacing w:val="-7"/>
        </w:rPr>
        <w:t> </w:t>
      </w:r>
      <w:r>
        <w:rPr/>
        <w:t>likely</w:t>
      </w:r>
      <w:r>
        <w:rPr>
          <w:spacing w:val="-7"/>
        </w:rPr>
        <w:t> </w:t>
      </w:r>
      <w:r>
        <w:rPr/>
        <w:t>consist</w:t>
      </w:r>
      <w:r>
        <w:rPr>
          <w:spacing w:val="-8"/>
        </w:rPr>
        <w:t> </w:t>
      </w:r>
      <w:r>
        <w:rPr>
          <w:spacing w:val="-5"/>
        </w:rPr>
        <w:t>of:</w:t>
      </w:r>
    </w:p>
    <w:p>
      <w:pPr>
        <w:pStyle w:val="ListParagraph"/>
        <w:numPr>
          <w:ilvl w:val="0"/>
          <w:numId w:val="30"/>
        </w:numPr>
        <w:tabs>
          <w:tab w:pos="899" w:val="left" w:leader="none"/>
        </w:tabs>
        <w:spacing w:line="232" w:lineRule="auto" w:before="198" w:after="0"/>
        <w:ind w:left="899" w:right="807" w:hanging="360"/>
        <w:jc w:val="left"/>
        <w:rPr>
          <w:sz w:val="22"/>
        </w:rPr>
      </w:pPr>
      <w:r>
        <w:rPr>
          <w:sz w:val="22"/>
        </w:rPr>
        <w:t>Ongoing</w:t>
      </w:r>
      <w:r>
        <w:rPr>
          <w:spacing w:val="-12"/>
          <w:sz w:val="22"/>
        </w:rPr>
        <w:t> </w:t>
      </w:r>
      <w:r>
        <w:rPr>
          <w:sz w:val="22"/>
        </w:rPr>
        <w:t>government-to-government</w:t>
      </w:r>
      <w:r>
        <w:rPr>
          <w:spacing w:val="-10"/>
          <w:sz w:val="22"/>
        </w:rPr>
        <w:t> </w:t>
      </w:r>
      <w:r>
        <w:rPr>
          <w:sz w:val="22"/>
        </w:rPr>
        <w:t>and</w:t>
      </w:r>
      <w:r>
        <w:rPr>
          <w:spacing w:val="-12"/>
          <w:sz w:val="22"/>
        </w:rPr>
        <w:t> </w:t>
      </w:r>
      <w:r>
        <w:rPr>
          <w:sz w:val="22"/>
        </w:rPr>
        <w:t>staff</w:t>
      </w:r>
      <w:r>
        <w:rPr>
          <w:spacing w:val="-11"/>
          <w:sz w:val="22"/>
        </w:rPr>
        <w:t> </w:t>
      </w:r>
      <w:r>
        <w:rPr>
          <w:sz w:val="22"/>
        </w:rPr>
        <w:t>consultation</w:t>
      </w:r>
      <w:r>
        <w:rPr>
          <w:spacing w:val="-12"/>
          <w:sz w:val="22"/>
        </w:rPr>
        <w:t> </w:t>
      </w:r>
      <w:r>
        <w:rPr>
          <w:sz w:val="22"/>
        </w:rPr>
        <w:t>for</w:t>
      </w:r>
      <w:r>
        <w:rPr>
          <w:spacing w:val="-11"/>
          <w:sz w:val="22"/>
        </w:rPr>
        <w:t> </w:t>
      </w:r>
      <w:r>
        <w:rPr>
          <w:sz w:val="22"/>
        </w:rPr>
        <w:t>each</w:t>
      </w:r>
      <w:r>
        <w:rPr>
          <w:spacing w:val="-12"/>
          <w:sz w:val="22"/>
        </w:rPr>
        <w:t> </w:t>
      </w:r>
      <w:r>
        <w:rPr>
          <w:sz w:val="22"/>
        </w:rPr>
        <w:t>federally</w:t>
      </w:r>
      <w:r>
        <w:rPr>
          <w:spacing w:val="-12"/>
          <w:sz w:val="22"/>
        </w:rPr>
        <w:t> </w:t>
      </w:r>
      <w:r>
        <w:rPr>
          <w:sz w:val="22"/>
        </w:rPr>
        <w:t>recognized</w:t>
      </w:r>
      <w:r>
        <w:rPr>
          <w:spacing w:val="-12"/>
          <w:sz w:val="22"/>
        </w:rPr>
        <w:t> </w:t>
      </w:r>
      <w:r>
        <w:rPr>
          <w:sz w:val="22"/>
        </w:rPr>
        <w:t>tribe with historical or treaty interests in forest land, through a cooperatively established communication policy;</w:t>
      </w:r>
    </w:p>
    <w:p>
      <w:pPr>
        <w:pStyle w:val="ListParagraph"/>
        <w:numPr>
          <w:ilvl w:val="0"/>
          <w:numId w:val="30"/>
        </w:numPr>
        <w:tabs>
          <w:tab w:pos="899" w:val="left" w:leader="none"/>
        </w:tabs>
        <w:spacing w:line="232" w:lineRule="auto" w:before="119" w:after="0"/>
        <w:ind w:left="899" w:right="1102" w:hanging="360"/>
        <w:jc w:val="left"/>
        <w:rPr>
          <w:sz w:val="22"/>
        </w:rPr>
      </w:pPr>
      <w:r>
        <w:rPr>
          <w:sz w:val="22"/>
        </w:rPr>
        <w:t>Develop</w:t>
      </w:r>
      <w:r>
        <w:rPr>
          <w:spacing w:val="-9"/>
          <w:sz w:val="22"/>
        </w:rPr>
        <w:t> </w:t>
      </w:r>
      <w:r>
        <w:rPr>
          <w:sz w:val="22"/>
        </w:rPr>
        <w:t>and</w:t>
      </w:r>
      <w:r>
        <w:rPr>
          <w:spacing w:val="-11"/>
          <w:sz w:val="22"/>
        </w:rPr>
        <w:t> </w:t>
      </w:r>
      <w:r>
        <w:rPr>
          <w:sz w:val="22"/>
        </w:rPr>
        <w:t>maintain</w:t>
      </w:r>
      <w:r>
        <w:rPr>
          <w:spacing w:val="-9"/>
          <w:sz w:val="22"/>
        </w:rPr>
        <w:t> </w:t>
      </w:r>
      <w:r>
        <w:rPr>
          <w:sz w:val="22"/>
        </w:rPr>
        <w:t>effective</w:t>
      </w:r>
      <w:r>
        <w:rPr>
          <w:spacing w:val="-10"/>
          <w:sz w:val="22"/>
        </w:rPr>
        <w:t> </w:t>
      </w:r>
      <w:r>
        <w:rPr>
          <w:sz w:val="22"/>
        </w:rPr>
        <w:t>working</w:t>
      </w:r>
      <w:r>
        <w:rPr>
          <w:spacing w:val="-9"/>
          <w:sz w:val="22"/>
        </w:rPr>
        <w:t> </w:t>
      </w:r>
      <w:r>
        <w:rPr>
          <w:sz w:val="22"/>
        </w:rPr>
        <w:t>relationships</w:t>
      </w:r>
      <w:r>
        <w:rPr>
          <w:spacing w:val="-10"/>
          <w:sz w:val="22"/>
        </w:rPr>
        <w:t> </w:t>
      </w:r>
      <w:r>
        <w:rPr>
          <w:sz w:val="22"/>
        </w:rPr>
        <w:t>and</w:t>
      </w:r>
      <w:r>
        <w:rPr>
          <w:spacing w:val="-9"/>
          <w:sz w:val="22"/>
        </w:rPr>
        <w:t> </w:t>
      </w:r>
      <w:r>
        <w:rPr>
          <w:sz w:val="22"/>
        </w:rPr>
        <w:t>recognize</w:t>
      </w:r>
      <w:r>
        <w:rPr>
          <w:spacing w:val="-8"/>
          <w:sz w:val="22"/>
        </w:rPr>
        <w:t> </w:t>
      </w:r>
      <w:r>
        <w:rPr>
          <w:sz w:val="22"/>
        </w:rPr>
        <w:t>American</w:t>
      </w:r>
      <w:r>
        <w:rPr>
          <w:spacing w:val="-9"/>
          <w:sz w:val="22"/>
        </w:rPr>
        <w:t> </w:t>
      </w:r>
      <w:r>
        <w:rPr>
          <w:sz w:val="22"/>
        </w:rPr>
        <w:t>Indian</w:t>
      </w:r>
      <w:r>
        <w:rPr>
          <w:spacing w:val="-9"/>
          <w:sz w:val="22"/>
        </w:rPr>
        <w:t> </w:t>
      </w:r>
      <w:r>
        <w:rPr>
          <w:sz w:val="22"/>
        </w:rPr>
        <w:t>Tribal </w:t>
      </w:r>
      <w:r>
        <w:rPr>
          <w:spacing w:val="-2"/>
          <w:sz w:val="22"/>
        </w:rPr>
        <w:t>viewpoints.</w:t>
      </w:r>
    </w:p>
    <w:p>
      <w:pPr>
        <w:pStyle w:val="Heading4"/>
        <w:spacing w:before="234"/>
      </w:pPr>
      <w:bookmarkStart w:name="Lands and Special Uses" w:id="963"/>
      <w:bookmarkEnd w:id="963"/>
      <w:r>
        <w:rPr/>
      </w:r>
      <w:bookmarkStart w:name="_bookmark298" w:id="964"/>
      <w:bookmarkEnd w:id="964"/>
      <w:r>
        <w:rPr/>
      </w:r>
      <w:r>
        <w:rPr/>
        <w:t>Lands</w:t>
      </w:r>
      <w:r>
        <w:rPr>
          <w:spacing w:val="-7"/>
        </w:rPr>
        <w:t> </w:t>
      </w:r>
      <w:r>
        <w:rPr/>
        <w:t>and</w:t>
      </w:r>
      <w:r>
        <w:rPr>
          <w:spacing w:val="-6"/>
        </w:rPr>
        <w:t> </w:t>
      </w:r>
      <w:r>
        <w:rPr/>
        <w:t>Special</w:t>
      </w:r>
      <w:r>
        <w:rPr>
          <w:spacing w:val="-5"/>
        </w:rPr>
        <w:t> </w:t>
      </w:r>
      <w:r>
        <w:rPr>
          <w:spacing w:val="-4"/>
        </w:rPr>
        <w:t>Uses</w:t>
      </w:r>
    </w:p>
    <w:p>
      <w:pPr>
        <w:pStyle w:val="BodyText"/>
        <w:spacing w:before="59"/>
        <w:ind w:left="360"/>
      </w:pPr>
      <w:r>
        <w:rPr/>
        <w:t>Lands</w:t>
      </w:r>
      <w:r>
        <w:rPr>
          <w:spacing w:val="-7"/>
        </w:rPr>
        <w:t> </w:t>
      </w:r>
      <w:r>
        <w:rPr/>
        <w:t>program</w:t>
      </w:r>
      <w:r>
        <w:rPr>
          <w:spacing w:val="-7"/>
        </w:rPr>
        <w:t> </w:t>
      </w:r>
      <w:r>
        <w:rPr/>
        <w:t>actions</w:t>
      </w:r>
      <w:r>
        <w:rPr>
          <w:spacing w:val="-7"/>
        </w:rPr>
        <w:t> </w:t>
      </w:r>
      <w:r>
        <w:rPr/>
        <w:t>are</w:t>
      </w:r>
      <w:r>
        <w:rPr>
          <w:spacing w:val="-5"/>
        </w:rPr>
        <w:t> </w:t>
      </w:r>
      <w:r>
        <w:rPr/>
        <w:t>likely</w:t>
      </w:r>
      <w:r>
        <w:rPr>
          <w:spacing w:val="-8"/>
        </w:rPr>
        <w:t> </w:t>
      </w:r>
      <w:r>
        <w:rPr/>
        <w:t>to</w:t>
      </w:r>
      <w:r>
        <w:rPr>
          <w:spacing w:val="-5"/>
        </w:rPr>
        <w:t> </w:t>
      </w:r>
      <w:r>
        <w:rPr>
          <w:spacing w:val="-2"/>
        </w:rPr>
        <w:t>include:</w:t>
      </w:r>
    </w:p>
    <w:p>
      <w:pPr>
        <w:pStyle w:val="ListParagraph"/>
        <w:numPr>
          <w:ilvl w:val="0"/>
          <w:numId w:val="30"/>
        </w:numPr>
        <w:tabs>
          <w:tab w:pos="900" w:val="left" w:leader="none"/>
        </w:tabs>
        <w:spacing w:line="232" w:lineRule="auto" w:before="196" w:after="0"/>
        <w:ind w:left="900" w:right="1743" w:hanging="360"/>
        <w:jc w:val="left"/>
        <w:rPr>
          <w:sz w:val="22"/>
        </w:rPr>
      </w:pPr>
      <w:r>
        <w:rPr>
          <w:sz w:val="22"/>
        </w:rPr>
        <w:t>Maintaining</w:t>
      </w:r>
      <w:r>
        <w:rPr>
          <w:spacing w:val="-7"/>
          <w:sz w:val="22"/>
        </w:rPr>
        <w:t> </w:t>
      </w:r>
      <w:r>
        <w:rPr>
          <w:sz w:val="22"/>
        </w:rPr>
        <w:t>landlines</w:t>
      </w:r>
      <w:r>
        <w:rPr>
          <w:spacing w:val="-6"/>
          <w:sz w:val="22"/>
        </w:rPr>
        <w:t> </w:t>
      </w:r>
      <w:r>
        <w:rPr>
          <w:sz w:val="22"/>
        </w:rPr>
        <w:t>and</w:t>
      </w:r>
      <w:r>
        <w:rPr>
          <w:spacing w:val="-9"/>
          <w:sz w:val="22"/>
        </w:rPr>
        <w:t> </w:t>
      </w:r>
      <w:r>
        <w:rPr>
          <w:sz w:val="22"/>
        </w:rPr>
        <w:t>actions</w:t>
      </w:r>
      <w:r>
        <w:rPr>
          <w:spacing w:val="-8"/>
          <w:sz w:val="22"/>
        </w:rPr>
        <w:t> </w:t>
      </w:r>
      <w:r>
        <w:rPr>
          <w:sz w:val="22"/>
        </w:rPr>
        <w:t>associated</w:t>
      </w:r>
      <w:r>
        <w:rPr>
          <w:spacing w:val="-9"/>
          <w:sz w:val="22"/>
        </w:rPr>
        <w:t> </w:t>
      </w:r>
      <w:r>
        <w:rPr>
          <w:sz w:val="22"/>
        </w:rPr>
        <w:t>with</w:t>
      </w:r>
      <w:r>
        <w:rPr>
          <w:spacing w:val="-7"/>
          <w:sz w:val="22"/>
        </w:rPr>
        <w:t> </w:t>
      </w:r>
      <w:r>
        <w:rPr>
          <w:sz w:val="22"/>
        </w:rPr>
        <w:t>adjusting</w:t>
      </w:r>
      <w:r>
        <w:rPr>
          <w:spacing w:val="-7"/>
          <w:sz w:val="22"/>
        </w:rPr>
        <w:t> </w:t>
      </w:r>
      <w:r>
        <w:rPr>
          <w:sz w:val="22"/>
        </w:rPr>
        <w:t>NFS</w:t>
      </w:r>
      <w:r>
        <w:rPr>
          <w:spacing w:val="-7"/>
          <w:sz w:val="22"/>
        </w:rPr>
        <w:t> </w:t>
      </w:r>
      <w:r>
        <w:rPr>
          <w:sz w:val="22"/>
        </w:rPr>
        <w:t>ownership</w:t>
      </w:r>
      <w:r>
        <w:rPr>
          <w:spacing w:val="-7"/>
          <w:sz w:val="22"/>
        </w:rPr>
        <w:t> </w:t>
      </w:r>
      <w:r>
        <w:rPr>
          <w:sz w:val="22"/>
        </w:rPr>
        <w:t>through purchases, exchanges, or other conveyances;</w:t>
      </w:r>
    </w:p>
    <w:p>
      <w:pPr>
        <w:pStyle w:val="ListParagraph"/>
        <w:numPr>
          <w:ilvl w:val="0"/>
          <w:numId w:val="30"/>
        </w:numPr>
        <w:tabs>
          <w:tab w:pos="899" w:val="left" w:leader="none"/>
        </w:tabs>
        <w:spacing w:line="240" w:lineRule="auto" w:before="114" w:after="0"/>
        <w:ind w:left="899" w:right="0" w:hanging="359"/>
        <w:jc w:val="left"/>
        <w:rPr>
          <w:sz w:val="22"/>
        </w:rPr>
      </w:pPr>
      <w:r>
        <w:rPr>
          <w:spacing w:val="-2"/>
          <w:sz w:val="22"/>
        </w:rPr>
        <w:t>Conveyance;</w:t>
      </w:r>
    </w:p>
    <w:p>
      <w:pPr>
        <w:pStyle w:val="ListParagraph"/>
        <w:numPr>
          <w:ilvl w:val="0"/>
          <w:numId w:val="30"/>
        </w:numPr>
        <w:tabs>
          <w:tab w:pos="899" w:val="left" w:leader="none"/>
        </w:tabs>
        <w:spacing w:line="240" w:lineRule="auto" w:before="110" w:after="0"/>
        <w:ind w:left="899" w:right="0" w:hanging="359"/>
        <w:jc w:val="left"/>
        <w:rPr>
          <w:sz w:val="22"/>
        </w:rPr>
      </w:pPr>
      <w:r>
        <w:rPr>
          <w:sz w:val="22"/>
        </w:rPr>
        <w:t>Land</w:t>
      </w:r>
      <w:r>
        <w:rPr>
          <w:spacing w:val="-5"/>
          <w:sz w:val="22"/>
        </w:rPr>
        <w:t> </w:t>
      </w:r>
      <w:r>
        <w:rPr>
          <w:spacing w:val="-2"/>
          <w:sz w:val="22"/>
        </w:rPr>
        <w:t>exchange;</w:t>
      </w:r>
    </w:p>
    <w:p>
      <w:pPr>
        <w:pStyle w:val="ListParagraph"/>
        <w:numPr>
          <w:ilvl w:val="0"/>
          <w:numId w:val="30"/>
        </w:numPr>
        <w:tabs>
          <w:tab w:pos="899" w:val="left" w:leader="none"/>
        </w:tabs>
        <w:spacing w:line="240" w:lineRule="auto" w:before="114" w:after="0"/>
        <w:ind w:left="899" w:right="0" w:hanging="359"/>
        <w:jc w:val="left"/>
        <w:rPr>
          <w:sz w:val="22"/>
        </w:rPr>
      </w:pPr>
      <w:r>
        <w:rPr>
          <w:sz w:val="22"/>
        </w:rPr>
        <w:t>Right-of-way</w:t>
      </w:r>
      <w:r>
        <w:rPr>
          <w:spacing w:val="-12"/>
          <w:sz w:val="22"/>
        </w:rPr>
        <w:t> </w:t>
      </w:r>
      <w:r>
        <w:rPr>
          <w:sz w:val="22"/>
        </w:rPr>
        <w:t>and</w:t>
      </w:r>
      <w:r>
        <w:rPr>
          <w:spacing w:val="-12"/>
          <w:sz w:val="22"/>
        </w:rPr>
        <w:t> </w:t>
      </w:r>
      <w:r>
        <w:rPr>
          <w:sz w:val="22"/>
        </w:rPr>
        <w:t>land</w:t>
      </w:r>
      <w:r>
        <w:rPr>
          <w:spacing w:val="-12"/>
          <w:sz w:val="22"/>
        </w:rPr>
        <w:t> </w:t>
      </w:r>
      <w:r>
        <w:rPr>
          <w:spacing w:val="-2"/>
          <w:sz w:val="22"/>
        </w:rPr>
        <w:t>acquisition;</w:t>
      </w:r>
    </w:p>
    <w:p>
      <w:pPr>
        <w:pStyle w:val="ListParagraph"/>
        <w:numPr>
          <w:ilvl w:val="0"/>
          <w:numId w:val="30"/>
        </w:numPr>
        <w:tabs>
          <w:tab w:pos="900" w:val="left" w:leader="none"/>
        </w:tabs>
        <w:spacing w:line="232" w:lineRule="auto" w:before="116" w:after="0"/>
        <w:ind w:left="900" w:right="814" w:hanging="360"/>
        <w:jc w:val="left"/>
        <w:rPr>
          <w:sz w:val="22"/>
        </w:rPr>
      </w:pPr>
      <w:r>
        <w:rPr>
          <w:sz w:val="22"/>
        </w:rPr>
        <w:t>Permitting</w:t>
      </w:r>
      <w:r>
        <w:rPr>
          <w:spacing w:val="-6"/>
          <w:sz w:val="22"/>
        </w:rPr>
        <w:t> </w:t>
      </w:r>
      <w:r>
        <w:rPr>
          <w:sz w:val="22"/>
        </w:rPr>
        <w:t>land</w:t>
      </w:r>
      <w:r>
        <w:rPr>
          <w:spacing w:val="-6"/>
          <w:sz w:val="22"/>
        </w:rPr>
        <w:t> </w:t>
      </w:r>
      <w:r>
        <w:rPr>
          <w:sz w:val="22"/>
        </w:rPr>
        <w:t>and</w:t>
      </w:r>
      <w:r>
        <w:rPr>
          <w:spacing w:val="-6"/>
          <w:sz w:val="22"/>
        </w:rPr>
        <w:t> </w:t>
      </w:r>
      <w:r>
        <w:rPr>
          <w:sz w:val="22"/>
        </w:rPr>
        <w:t>recreation</w:t>
      </w:r>
      <w:r>
        <w:rPr>
          <w:spacing w:val="-6"/>
          <w:sz w:val="22"/>
        </w:rPr>
        <w:t> </w:t>
      </w:r>
      <w:r>
        <w:rPr>
          <w:sz w:val="22"/>
        </w:rPr>
        <w:t>special</w:t>
      </w:r>
      <w:r>
        <w:rPr>
          <w:spacing w:val="-8"/>
          <w:sz w:val="22"/>
        </w:rPr>
        <w:t> </w:t>
      </w:r>
      <w:r>
        <w:rPr>
          <w:sz w:val="22"/>
        </w:rPr>
        <w:t>uses</w:t>
      </w:r>
      <w:r>
        <w:rPr>
          <w:spacing w:val="-7"/>
          <w:sz w:val="22"/>
        </w:rPr>
        <w:t> </w:t>
      </w:r>
      <w:r>
        <w:rPr>
          <w:sz w:val="22"/>
        </w:rPr>
        <w:t>(e.g.,</w:t>
      </w:r>
      <w:r>
        <w:rPr>
          <w:spacing w:val="-5"/>
          <w:sz w:val="22"/>
        </w:rPr>
        <w:t> </w:t>
      </w:r>
      <w:r>
        <w:rPr>
          <w:sz w:val="22"/>
        </w:rPr>
        <w:t>easements),</w:t>
      </w:r>
      <w:r>
        <w:rPr>
          <w:spacing w:val="-5"/>
          <w:sz w:val="22"/>
        </w:rPr>
        <w:t> </w:t>
      </w:r>
      <w:r>
        <w:rPr>
          <w:sz w:val="22"/>
        </w:rPr>
        <w:t>structures</w:t>
      </w:r>
      <w:r>
        <w:rPr>
          <w:spacing w:val="-7"/>
          <w:sz w:val="22"/>
        </w:rPr>
        <w:t> </w:t>
      </w:r>
      <w:r>
        <w:rPr>
          <w:sz w:val="22"/>
        </w:rPr>
        <w:t>(e.g.,</w:t>
      </w:r>
      <w:r>
        <w:rPr>
          <w:spacing w:val="-5"/>
          <w:sz w:val="22"/>
        </w:rPr>
        <w:t> </w:t>
      </w:r>
      <w:r>
        <w:rPr>
          <w:sz w:val="22"/>
        </w:rPr>
        <w:t>communication towers), outfitter/guides, and special events; and</w:t>
      </w:r>
    </w:p>
    <w:p>
      <w:pPr>
        <w:pStyle w:val="ListParagraph"/>
        <w:spacing w:after="0" w:line="232" w:lineRule="auto"/>
        <w:jc w:val="left"/>
        <w:rPr>
          <w:sz w:val="22"/>
        </w:rPr>
        <w:sectPr>
          <w:pgSz w:w="12240" w:h="15840"/>
          <w:pgMar w:header="725" w:footer="891" w:top="1340" w:bottom="1080" w:left="1080" w:right="1080"/>
        </w:sectPr>
      </w:pPr>
    </w:p>
    <w:p>
      <w:pPr>
        <w:pStyle w:val="ListParagraph"/>
        <w:numPr>
          <w:ilvl w:val="1"/>
          <w:numId w:val="30"/>
        </w:numPr>
        <w:tabs>
          <w:tab w:pos="1331" w:val="left" w:leader="none"/>
        </w:tabs>
        <w:spacing w:line="240" w:lineRule="auto" w:before="81" w:after="0"/>
        <w:ind w:left="1331" w:right="0" w:hanging="360"/>
        <w:jc w:val="left"/>
        <w:rPr>
          <w:sz w:val="22"/>
        </w:rPr>
      </w:pPr>
      <w:r>
        <w:rPr>
          <w:sz w:val="22"/>
        </w:rPr>
        <w:t>Initiating</w:t>
      </w:r>
      <w:r>
        <w:rPr>
          <w:spacing w:val="-12"/>
          <w:sz w:val="22"/>
        </w:rPr>
        <w:t> </w:t>
      </w:r>
      <w:r>
        <w:rPr>
          <w:sz w:val="22"/>
        </w:rPr>
        <w:t>requests</w:t>
      </w:r>
      <w:r>
        <w:rPr>
          <w:spacing w:val="-10"/>
          <w:sz w:val="22"/>
        </w:rPr>
        <w:t> </w:t>
      </w:r>
      <w:r>
        <w:rPr>
          <w:sz w:val="22"/>
        </w:rPr>
        <w:t>for</w:t>
      </w:r>
      <w:r>
        <w:rPr>
          <w:spacing w:val="-10"/>
          <w:sz w:val="22"/>
        </w:rPr>
        <w:t> </w:t>
      </w:r>
      <w:r>
        <w:rPr>
          <w:sz w:val="22"/>
        </w:rPr>
        <w:t>new</w:t>
      </w:r>
      <w:r>
        <w:rPr>
          <w:spacing w:val="-10"/>
          <w:sz w:val="22"/>
        </w:rPr>
        <w:t> </w:t>
      </w:r>
      <w:r>
        <w:rPr>
          <w:sz w:val="22"/>
        </w:rPr>
        <w:t>withdrawals</w:t>
      </w:r>
      <w:r>
        <w:rPr>
          <w:spacing w:val="-9"/>
          <w:sz w:val="22"/>
        </w:rPr>
        <w:t> </w:t>
      </w:r>
      <w:r>
        <w:rPr>
          <w:sz w:val="22"/>
        </w:rPr>
        <w:t>and/or</w:t>
      </w:r>
      <w:r>
        <w:rPr>
          <w:spacing w:val="-8"/>
          <w:sz w:val="22"/>
        </w:rPr>
        <w:t> </w:t>
      </w:r>
      <w:r>
        <w:rPr>
          <w:sz w:val="22"/>
        </w:rPr>
        <w:t>revocations</w:t>
      </w:r>
      <w:r>
        <w:rPr>
          <w:spacing w:val="-10"/>
          <w:sz w:val="22"/>
        </w:rPr>
        <w:t> </w:t>
      </w:r>
      <w:r>
        <w:rPr>
          <w:sz w:val="22"/>
        </w:rPr>
        <w:t>of</w:t>
      </w:r>
      <w:r>
        <w:rPr>
          <w:spacing w:val="-11"/>
          <w:sz w:val="22"/>
        </w:rPr>
        <w:t> </w:t>
      </w:r>
      <w:r>
        <w:rPr>
          <w:sz w:val="22"/>
        </w:rPr>
        <w:t>existing</w:t>
      </w:r>
      <w:r>
        <w:rPr>
          <w:spacing w:val="-9"/>
          <w:sz w:val="22"/>
        </w:rPr>
        <w:t> </w:t>
      </w:r>
      <w:r>
        <w:rPr>
          <w:spacing w:val="-2"/>
          <w:sz w:val="22"/>
        </w:rPr>
        <w:t>withdrawals.</w:t>
      </w:r>
    </w:p>
    <w:p>
      <w:pPr>
        <w:pStyle w:val="Heading4"/>
        <w:spacing w:before="231"/>
        <w:ind w:left="791"/>
      </w:pPr>
      <w:bookmarkStart w:name="Livestock Grazing" w:id="965"/>
      <w:bookmarkEnd w:id="965"/>
      <w:r>
        <w:rPr/>
      </w:r>
      <w:bookmarkStart w:name="_bookmark299" w:id="966"/>
      <w:bookmarkEnd w:id="966"/>
      <w:r>
        <w:rPr/>
      </w:r>
      <w:r>
        <w:rPr/>
        <w:t>Livestock</w:t>
      </w:r>
      <w:r>
        <w:rPr>
          <w:spacing w:val="-6"/>
        </w:rPr>
        <w:t> </w:t>
      </w:r>
      <w:r>
        <w:rPr>
          <w:spacing w:val="-2"/>
        </w:rPr>
        <w:t>Grazing</w:t>
      </w:r>
    </w:p>
    <w:p>
      <w:pPr>
        <w:pStyle w:val="BodyText"/>
        <w:spacing w:line="232" w:lineRule="auto" w:before="66"/>
        <w:ind w:left="791" w:right="361"/>
      </w:pPr>
      <w:r>
        <w:rPr/>
        <w:t>Management activities relating to livestock grazing on the national forest can include building fences,</w:t>
      </w:r>
      <w:r>
        <w:rPr>
          <w:spacing w:val="-10"/>
        </w:rPr>
        <w:t> </w:t>
      </w:r>
      <w:r>
        <w:rPr/>
        <w:t>constructing</w:t>
      </w:r>
      <w:r>
        <w:rPr>
          <w:spacing w:val="-9"/>
        </w:rPr>
        <w:t> </w:t>
      </w:r>
      <w:r>
        <w:rPr/>
        <w:t>and</w:t>
      </w:r>
      <w:r>
        <w:rPr>
          <w:spacing w:val="-11"/>
        </w:rPr>
        <w:t> </w:t>
      </w:r>
      <w:r>
        <w:rPr/>
        <w:t>maintaining</w:t>
      </w:r>
      <w:r>
        <w:rPr>
          <w:spacing w:val="-9"/>
        </w:rPr>
        <w:t> </w:t>
      </w:r>
      <w:r>
        <w:rPr/>
        <w:t>water</w:t>
      </w:r>
      <w:r>
        <w:rPr>
          <w:spacing w:val="-8"/>
        </w:rPr>
        <w:t> </w:t>
      </w:r>
      <w:r>
        <w:rPr/>
        <w:t>developments,</w:t>
      </w:r>
      <w:r>
        <w:rPr>
          <w:spacing w:val="-10"/>
        </w:rPr>
        <w:t> </w:t>
      </w:r>
      <w:r>
        <w:rPr/>
        <w:t>managing</w:t>
      </w:r>
      <w:r>
        <w:rPr>
          <w:spacing w:val="-9"/>
        </w:rPr>
        <w:t> </w:t>
      </w:r>
      <w:r>
        <w:rPr/>
        <w:t>invasive</w:t>
      </w:r>
      <w:r>
        <w:rPr>
          <w:spacing w:val="-7"/>
        </w:rPr>
        <w:t> </w:t>
      </w:r>
      <w:r>
        <w:rPr/>
        <w:t>plants,</w:t>
      </w:r>
      <w:r>
        <w:rPr>
          <w:spacing w:val="-8"/>
        </w:rPr>
        <w:t> </w:t>
      </w:r>
      <w:r>
        <w:rPr/>
        <w:t>implementing deferred or rest-rotation grazing systems, and improving livestock distribution. Activities will likely consist of:</w:t>
      </w:r>
    </w:p>
    <w:p>
      <w:pPr>
        <w:pStyle w:val="ListParagraph"/>
        <w:numPr>
          <w:ilvl w:val="1"/>
          <w:numId w:val="30"/>
        </w:numPr>
        <w:tabs>
          <w:tab w:pos="1332" w:val="left" w:leader="none"/>
        </w:tabs>
        <w:spacing w:line="232" w:lineRule="auto" w:before="198" w:after="0"/>
        <w:ind w:left="1332" w:right="426" w:hanging="360"/>
        <w:jc w:val="left"/>
        <w:rPr>
          <w:sz w:val="22"/>
        </w:rPr>
      </w:pPr>
      <w:r>
        <w:rPr>
          <w:sz w:val="22"/>
        </w:rPr>
        <w:t>Complete environmental analysis and assess and update allotment management plans to improve</w:t>
      </w:r>
      <w:r>
        <w:rPr>
          <w:spacing w:val="-5"/>
          <w:sz w:val="22"/>
        </w:rPr>
        <w:t> </w:t>
      </w:r>
      <w:r>
        <w:rPr>
          <w:sz w:val="22"/>
        </w:rPr>
        <w:t>allotment</w:t>
      </w:r>
      <w:r>
        <w:rPr>
          <w:spacing w:val="-8"/>
          <w:sz w:val="22"/>
        </w:rPr>
        <w:t> </w:t>
      </w:r>
      <w:r>
        <w:rPr>
          <w:sz w:val="22"/>
        </w:rPr>
        <w:t>management</w:t>
      </w:r>
      <w:r>
        <w:rPr>
          <w:spacing w:val="-5"/>
          <w:sz w:val="22"/>
        </w:rPr>
        <w:t> </w:t>
      </w:r>
      <w:r>
        <w:rPr>
          <w:sz w:val="22"/>
        </w:rPr>
        <w:t>and</w:t>
      </w:r>
      <w:r>
        <w:rPr>
          <w:spacing w:val="-7"/>
          <w:sz w:val="22"/>
        </w:rPr>
        <w:t> </w:t>
      </w:r>
      <w:r>
        <w:rPr>
          <w:sz w:val="22"/>
        </w:rPr>
        <w:t>protect</w:t>
      </w:r>
      <w:r>
        <w:rPr>
          <w:spacing w:val="-5"/>
          <w:sz w:val="22"/>
        </w:rPr>
        <w:t> </w:t>
      </w:r>
      <w:r>
        <w:rPr>
          <w:sz w:val="22"/>
        </w:rPr>
        <w:t>and</w:t>
      </w:r>
      <w:r>
        <w:rPr>
          <w:spacing w:val="-9"/>
          <w:sz w:val="22"/>
        </w:rPr>
        <w:t> </w:t>
      </w:r>
      <w:r>
        <w:rPr>
          <w:sz w:val="22"/>
        </w:rPr>
        <w:t>manage</w:t>
      </w:r>
      <w:r>
        <w:rPr>
          <w:spacing w:val="-5"/>
          <w:sz w:val="22"/>
        </w:rPr>
        <w:t> </w:t>
      </w:r>
      <w:r>
        <w:rPr>
          <w:sz w:val="22"/>
        </w:rPr>
        <w:t>the</w:t>
      </w:r>
      <w:r>
        <w:rPr>
          <w:spacing w:val="-5"/>
          <w:sz w:val="22"/>
        </w:rPr>
        <w:t> </w:t>
      </w:r>
      <w:r>
        <w:rPr>
          <w:sz w:val="22"/>
        </w:rPr>
        <w:t>resources</w:t>
      </w:r>
      <w:r>
        <w:rPr>
          <w:spacing w:val="-6"/>
          <w:sz w:val="22"/>
        </w:rPr>
        <w:t> </w:t>
      </w:r>
      <w:r>
        <w:rPr>
          <w:sz w:val="22"/>
        </w:rPr>
        <w:t>present</w:t>
      </w:r>
      <w:r>
        <w:rPr>
          <w:spacing w:val="-8"/>
          <w:sz w:val="22"/>
        </w:rPr>
        <w:t> </w:t>
      </w:r>
      <w:r>
        <w:rPr>
          <w:sz w:val="22"/>
        </w:rPr>
        <w:t>within</w:t>
      </w:r>
      <w:r>
        <w:rPr>
          <w:spacing w:val="-7"/>
          <w:sz w:val="22"/>
        </w:rPr>
        <w:t> </w:t>
      </w:r>
      <w:r>
        <w:rPr>
          <w:sz w:val="22"/>
        </w:rPr>
        <w:t>them;</w:t>
      </w:r>
    </w:p>
    <w:p>
      <w:pPr>
        <w:pStyle w:val="ListParagraph"/>
        <w:numPr>
          <w:ilvl w:val="1"/>
          <w:numId w:val="30"/>
        </w:numPr>
        <w:tabs>
          <w:tab w:pos="1332" w:val="left" w:leader="none"/>
        </w:tabs>
        <w:spacing w:line="232" w:lineRule="auto" w:before="120" w:after="0"/>
        <w:ind w:left="1332" w:right="381" w:hanging="360"/>
        <w:jc w:val="left"/>
        <w:rPr>
          <w:sz w:val="22"/>
        </w:rPr>
      </w:pPr>
      <w:r>
        <w:rPr>
          <w:sz w:val="22"/>
        </w:rPr>
        <w:t>Consider</w:t>
      </w:r>
      <w:r>
        <w:rPr>
          <w:spacing w:val="-6"/>
          <w:sz w:val="22"/>
        </w:rPr>
        <w:t> </w:t>
      </w:r>
      <w:r>
        <w:rPr>
          <w:sz w:val="22"/>
        </w:rPr>
        <w:t>grazing</w:t>
      </w:r>
      <w:r>
        <w:rPr>
          <w:spacing w:val="-6"/>
          <w:sz w:val="22"/>
        </w:rPr>
        <w:t> </w:t>
      </w:r>
      <w:r>
        <w:rPr>
          <w:sz w:val="22"/>
        </w:rPr>
        <w:t>in</w:t>
      </w:r>
      <w:r>
        <w:rPr>
          <w:spacing w:val="-6"/>
          <w:sz w:val="22"/>
        </w:rPr>
        <w:t> </w:t>
      </w:r>
      <w:r>
        <w:rPr>
          <w:sz w:val="22"/>
        </w:rPr>
        <w:t>the</w:t>
      </w:r>
      <w:r>
        <w:rPr>
          <w:spacing w:val="-7"/>
          <w:sz w:val="22"/>
        </w:rPr>
        <w:t> </w:t>
      </w:r>
      <w:r>
        <w:rPr>
          <w:sz w:val="22"/>
        </w:rPr>
        <w:t>context</w:t>
      </w:r>
      <w:r>
        <w:rPr>
          <w:spacing w:val="-7"/>
          <w:sz w:val="22"/>
        </w:rPr>
        <w:t> </w:t>
      </w:r>
      <w:r>
        <w:rPr>
          <w:sz w:val="22"/>
        </w:rPr>
        <w:t>of</w:t>
      </w:r>
      <w:r>
        <w:rPr>
          <w:spacing w:val="-7"/>
          <w:sz w:val="22"/>
        </w:rPr>
        <w:t> </w:t>
      </w:r>
      <w:r>
        <w:rPr>
          <w:sz w:val="22"/>
        </w:rPr>
        <w:t>timing,</w:t>
      </w:r>
      <w:r>
        <w:rPr>
          <w:spacing w:val="-6"/>
          <w:sz w:val="22"/>
        </w:rPr>
        <w:t> </w:t>
      </w:r>
      <w:r>
        <w:rPr>
          <w:sz w:val="22"/>
        </w:rPr>
        <w:t>intensity,</w:t>
      </w:r>
      <w:r>
        <w:rPr>
          <w:spacing w:val="-7"/>
          <w:sz w:val="22"/>
        </w:rPr>
        <w:t> </w:t>
      </w:r>
      <w:r>
        <w:rPr>
          <w:sz w:val="22"/>
        </w:rPr>
        <w:t>and</w:t>
      </w:r>
      <w:r>
        <w:rPr>
          <w:spacing w:val="-6"/>
          <w:sz w:val="22"/>
        </w:rPr>
        <w:t> </w:t>
      </w:r>
      <w:r>
        <w:rPr>
          <w:sz w:val="22"/>
        </w:rPr>
        <w:t>duration</w:t>
      </w:r>
      <w:r>
        <w:rPr>
          <w:spacing w:val="-6"/>
          <w:sz w:val="22"/>
        </w:rPr>
        <w:t> </w:t>
      </w:r>
      <w:r>
        <w:rPr>
          <w:sz w:val="22"/>
        </w:rPr>
        <w:t>of</w:t>
      </w:r>
      <w:r>
        <w:rPr>
          <w:spacing w:val="-7"/>
          <w:sz w:val="22"/>
        </w:rPr>
        <w:t> </w:t>
      </w:r>
      <w:r>
        <w:rPr>
          <w:sz w:val="22"/>
        </w:rPr>
        <w:t>use</w:t>
      </w:r>
      <w:r>
        <w:rPr>
          <w:spacing w:val="-5"/>
          <w:sz w:val="22"/>
        </w:rPr>
        <w:t> </w:t>
      </w:r>
      <w:r>
        <w:rPr>
          <w:sz w:val="22"/>
        </w:rPr>
        <w:t>and</w:t>
      </w:r>
      <w:r>
        <w:rPr>
          <w:spacing w:val="-6"/>
          <w:sz w:val="22"/>
        </w:rPr>
        <w:t> </w:t>
      </w:r>
      <w:r>
        <w:rPr>
          <w:sz w:val="22"/>
        </w:rPr>
        <w:t>adjust</w:t>
      </w:r>
      <w:r>
        <w:rPr>
          <w:spacing w:val="-5"/>
          <w:sz w:val="22"/>
        </w:rPr>
        <w:t> </w:t>
      </w:r>
      <w:r>
        <w:rPr>
          <w:sz w:val="22"/>
        </w:rPr>
        <w:t>accordingly to respond to changing resource conditions;</w:t>
      </w:r>
    </w:p>
    <w:p>
      <w:pPr>
        <w:pStyle w:val="ListParagraph"/>
        <w:numPr>
          <w:ilvl w:val="1"/>
          <w:numId w:val="30"/>
        </w:numPr>
        <w:tabs>
          <w:tab w:pos="1332" w:val="left" w:leader="none"/>
        </w:tabs>
        <w:spacing w:line="232" w:lineRule="auto" w:before="118" w:after="0"/>
        <w:ind w:left="1332" w:right="940" w:hanging="360"/>
        <w:jc w:val="left"/>
        <w:rPr>
          <w:sz w:val="22"/>
        </w:rPr>
      </w:pPr>
      <w:r>
        <w:rPr>
          <w:sz w:val="22"/>
        </w:rPr>
        <w:t>Work</w:t>
      </w:r>
      <w:r>
        <w:rPr>
          <w:spacing w:val="-8"/>
          <w:sz w:val="22"/>
        </w:rPr>
        <w:t> </w:t>
      </w:r>
      <w:r>
        <w:rPr>
          <w:sz w:val="22"/>
        </w:rPr>
        <w:t>with</w:t>
      </w:r>
      <w:r>
        <w:rPr>
          <w:spacing w:val="-7"/>
          <w:sz w:val="22"/>
        </w:rPr>
        <w:t> </w:t>
      </w:r>
      <w:r>
        <w:rPr>
          <w:sz w:val="22"/>
        </w:rPr>
        <w:t>permittees,</w:t>
      </w:r>
      <w:r>
        <w:rPr>
          <w:spacing w:val="-8"/>
          <w:sz w:val="22"/>
        </w:rPr>
        <w:t> </w:t>
      </w:r>
      <w:r>
        <w:rPr>
          <w:sz w:val="22"/>
        </w:rPr>
        <w:t>the</w:t>
      </w:r>
      <w:r>
        <w:rPr>
          <w:spacing w:val="-8"/>
          <w:sz w:val="22"/>
        </w:rPr>
        <w:t> </w:t>
      </w:r>
      <w:r>
        <w:rPr>
          <w:sz w:val="22"/>
        </w:rPr>
        <w:t>State,</w:t>
      </w:r>
      <w:r>
        <w:rPr>
          <w:spacing w:val="-8"/>
          <w:sz w:val="22"/>
        </w:rPr>
        <w:t> </w:t>
      </w:r>
      <w:r>
        <w:rPr>
          <w:sz w:val="22"/>
        </w:rPr>
        <w:t>tribes,</w:t>
      </w:r>
      <w:r>
        <w:rPr>
          <w:spacing w:val="-6"/>
          <w:sz w:val="22"/>
        </w:rPr>
        <w:t> </w:t>
      </w:r>
      <w:r>
        <w:rPr>
          <w:sz w:val="22"/>
        </w:rPr>
        <w:t>and</w:t>
      </w:r>
      <w:r>
        <w:rPr>
          <w:spacing w:val="-9"/>
          <w:sz w:val="22"/>
        </w:rPr>
        <w:t> </w:t>
      </w:r>
      <w:r>
        <w:rPr>
          <w:sz w:val="22"/>
        </w:rPr>
        <w:t>other</w:t>
      </w:r>
      <w:r>
        <w:rPr>
          <w:spacing w:val="-8"/>
          <w:sz w:val="22"/>
        </w:rPr>
        <w:t> </w:t>
      </w:r>
      <w:r>
        <w:rPr>
          <w:sz w:val="22"/>
        </w:rPr>
        <w:t>organizations</w:t>
      </w:r>
      <w:r>
        <w:rPr>
          <w:spacing w:val="-6"/>
          <w:sz w:val="22"/>
        </w:rPr>
        <w:t> </w:t>
      </w:r>
      <w:r>
        <w:rPr>
          <w:sz w:val="22"/>
        </w:rPr>
        <w:t>to</w:t>
      </w:r>
      <w:r>
        <w:rPr>
          <w:spacing w:val="-7"/>
          <w:sz w:val="22"/>
        </w:rPr>
        <w:t> </w:t>
      </w:r>
      <w:r>
        <w:rPr>
          <w:sz w:val="22"/>
        </w:rPr>
        <w:t>maintain</w:t>
      </w:r>
      <w:r>
        <w:rPr>
          <w:spacing w:val="-9"/>
          <w:sz w:val="22"/>
        </w:rPr>
        <w:t> </w:t>
      </w:r>
      <w:r>
        <w:rPr>
          <w:sz w:val="22"/>
        </w:rPr>
        <w:t>or</w:t>
      </w:r>
      <w:r>
        <w:rPr>
          <w:spacing w:val="-6"/>
          <w:sz w:val="22"/>
        </w:rPr>
        <w:t> </w:t>
      </w:r>
      <w:r>
        <w:rPr>
          <w:sz w:val="22"/>
        </w:rPr>
        <w:t>improve rangeland conditions;</w:t>
      </w:r>
    </w:p>
    <w:p>
      <w:pPr>
        <w:pStyle w:val="ListParagraph"/>
        <w:numPr>
          <w:ilvl w:val="1"/>
          <w:numId w:val="30"/>
        </w:numPr>
        <w:tabs>
          <w:tab w:pos="1331" w:val="left" w:leader="none"/>
        </w:tabs>
        <w:spacing w:line="232" w:lineRule="auto" w:before="119" w:after="0"/>
        <w:ind w:left="1331" w:right="1155" w:hanging="360"/>
        <w:jc w:val="left"/>
        <w:rPr>
          <w:sz w:val="22"/>
        </w:rPr>
      </w:pPr>
      <w:r>
        <w:rPr>
          <w:sz w:val="22"/>
        </w:rPr>
        <w:t>Develop,</w:t>
      </w:r>
      <w:r>
        <w:rPr>
          <w:spacing w:val="-8"/>
          <w:sz w:val="22"/>
        </w:rPr>
        <w:t> </w:t>
      </w:r>
      <w:r>
        <w:rPr>
          <w:sz w:val="22"/>
        </w:rPr>
        <w:t>re-develop</w:t>
      </w:r>
      <w:r>
        <w:rPr>
          <w:spacing w:val="-8"/>
          <w:sz w:val="22"/>
        </w:rPr>
        <w:t> </w:t>
      </w:r>
      <w:r>
        <w:rPr>
          <w:sz w:val="22"/>
        </w:rPr>
        <w:t>and</w:t>
      </w:r>
      <w:r>
        <w:rPr>
          <w:spacing w:val="-10"/>
          <w:sz w:val="22"/>
        </w:rPr>
        <w:t> </w:t>
      </w:r>
      <w:r>
        <w:rPr>
          <w:sz w:val="22"/>
        </w:rPr>
        <w:t>maintain</w:t>
      </w:r>
      <w:r>
        <w:rPr>
          <w:spacing w:val="-8"/>
          <w:sz w:val="22"/>
        </w:rPr>
        <w:t> </w:t>
      </w:r>
      <w:r>
        <w:rPr>
          <w:sz w:val="22"/>
        </w:rPr>
        <w:t>range</w:t>
      </w:r>
      <w:r>
        <w:rPr>
          <w:spacing w:val="-7"/>
          <w:sz w:val="22"/>
        </w:rPr>
        <w:t> </w:t>
      </w:r>
      <w:r>
        <w:rPr>
          <w:sz w:val="22"/>
        </w:rPr>
        <w:t>developments</w:t>
      </w:r>
      <w:r>
        <w:rPr>
          <w:spacing w:val="-8"/>
          <w:sz w:val="22"/>
        </w:rPr>
        <w:t> </w:t>
      </w:r>
      <w:r>
        <w:rPr>
          <w:sz w:val="22"/>
        </w:rPr>
        <w:t>(e.g.,</w:t>
      </w:r>
      <w:r>
        <w:rPr>
          <w:spacing w:val="-8"/>
          <w:sz w:val="22"/>
        </w:rPr>
        <w:t> </w:t>
      </w:r>
      <w:r>
        <w:rPr>
          <w:sz w:val="22"/>
        </w:rPr>
        <w:t>fence,</w:t>
      </w:r>
      <w:r>
        <w:rPr>
          <w:spacing w:val="-9"/>
          <w:sz w:val="22"/>
        </w:rPr>
        <w:t> </w:t>
      </w:r>
      <w:r>
        <w:rPr>
          <w:sz w:val="22"/>
        </w:rPr>
        <w:t>corrals</w:t>
      </w:r>
      <w:r>
        <w:rPr>
          <w:spacing w:val="-9"/>
          <w:sz w:val="22"/>
        </w:rPr>
        <w:t> </w:t>
      </w:r>
      <w:r>
        <w:rPr>
          <w:sz w:val="22"/>
        </w:rPr>
        <w:t>and</w:t>
      </w:r>
      <w:r>
        <w:rPr>
          <w:spacing w:val="-8"/>
          <w:sz w:val="22"/>
        </w:rPr>
        <w:t> </w:t>
      </w:r>
      <w:r>
        <w:rPr>
          <w:sz w:val="22"/>
        </w:rPr>
        <w:t>water </w:t>
      </w:r>
      <w:r>
        <w:rPr>
          <w:spacing w:val="-2"/>
          <w:sz w:val="22"/>
        </w:rPr>
        <w:t>developments).</w:t>
      </w:r>
    </w:p>
    <w:p>
      <w:pPr>
        <w:pStyle w:val="Heading4"/>
        <w:spacing w:before="235"/>
        <w:ind w:left="791"/>
      </w:pPr>
      <w:bookmarkStart w:name="Minerals and Energy" w:id="967"/>
      <w:bookmarkEnd w:id="967"/>
      <w:r>
        <w:rPr/>
      </w:r>
      <w:bookmarkStart w:name="_bookmark300" w:id="968"/>
      <w:bookmarkEnd w:id="968"/>
      <w:r>
        <w:rPr/>
      </w:r>
      <w:r>
        <w:rPr/>
        <w:t>Minerals</w:t>
      </w:r>
      <w:r>
        <w:rPr>
          <w:spacing w:val="-10"/>
        </w:rPr>
        <w:t> </w:t>
      </w:r>
      <w:r>
        <w:rPr/>
        <w:t>and</w:t>
      </w:r>
      <w:r>
        <w:rPr>
          <w:spacing w:val="-10"/>
        </w:rPr>
        <w:t> </w:t>
      </w:r>
      <w:r>
        <w:rPr>
          <w:spacing w:val="-2"/>
        </w:rPr>
        <w:t>Energy</w:t>
      </w:r>
    </w:p>
    <w:p>
      <w:pPr>
        <w:pStyle w:val="BodyText"/>
        <w:spacing w:line="232" w:lineRule="auto" w:before="65"/>
        <w:ind w:left="791"/>
      </w:pPr>
      <w:r>
        <w:rPr/>
        <w:t>Management activities relating to mineral activities can include requiring prior authorization for collection</w:t>
      </w:r>
      <w:r>
        <w:rPr>
          <w:spacing w:val="-8"/>
        </w:rPr>
        <w:t> </w:t>
      </w:r>
      <w:r>
        <w:rPr/>
        <w:t>of</w:t>
      </w:r>
      <w:r>
        <w:rPr>
          <w:spacing w:val="-5"/>
        </w:rPr>
        <w:t> </w:t>
      </w:r>
      <w:r>
        <w:rPr/>
        <w:t>salable</w:t>
      </w:r>
      <w:r>
        <w:rPr>
          <w:spacing w:val="-7"/>
        </w:rPr>
        <w:t> </w:t>
      </w:r>
      <w:r>
        <w:rPr/>
        <w:t>minerals,</w:t>
      </w:r>
      <w:r>
        <w:rPr>
          <w:spacing w:val="-5"/>
        </w:rPr>
        <w:t> </w:t>
      </w:r>
      <w:r>
        <w:rPr/>
        <w:t>and</w:t>
      </w:r>
      <w:r>
        <w:rPr>
          <w:spacing w:val="-6"/>
        </w:rPr>
        <w:t> </w:t>
      </w:r>
      <w:r>
        <w:rPr/>
        <w:t>prior</w:t>
      </w:r>
      <w:r>
        <w:rPr>
          <w:spacing w:val="-5"/>
        </w:rPr>
        <w:t> </w:t>
      </w:r>
      <w:r>
        <w:rPr/>
        <w:t>authorization</w:t>
      </w:r>
      <w:r>
        <w:rPr>
          <w:spacing w:val="-6"/>
        </w:rPr>
        <w:t> </w:t>
      </w:r>
      <w:r>
        <w:rPr/>
        <w:t>for</w:t>
      </w:r>
      <w:r>
        <w:rPr>
          <w:spacing w:val="-7"/>
        </w:rPr>
        <w:t> </w:t>
      </w:r>
      <w:r>
        <w:rPr/>
        <w:t>exploration</w:t>
      </w:r>
      <w:r>
        <w:rPr>
          <w:spacing w:val="-6"/>
        </w:rPr>
        <w:t> </w:t>
      </w:r>
      <w:r>
        <w:rPr/>
        <w:t>and</w:t>
      </w:r>
      <w:r>
        <w:rPr>
          <w:spacing w:val="-6"/>
        </w:rPr>
        <w:t> </w:t>
      </w:r>
      <w:r>
        <w:rPr/>
        <w:t>development</w:t>
      </w:r>
      <w:r>
        <w:rPr>
          <w:spacing w:val="-7"/>
        </w:rPr>
        <w:t> </w:t>
      </w:r>
      <w:r>
        <w:rPr/>
        <w:t>of</w:t>
      </w:r>
      <w:r>
        <w:rPr>
          <w:spacing w:val="-7"/>
        </w:rPr>
        <w:t> </w:t>
      </w:r>
      <w:r>
        <w:rPr/>
        <w:t>salable minerals. Activities will likely consist of:</w:t>
      </w:r>
    </w:p>
    <w:p>
      <w:pPr>
        <w:pStyle w:val="ListParagraph"/>
        <w:numPr>
          <w:ilvl w:val="1"/>
          <w:numId w:val="30"/>
        </w:numPr>
        <w:tabs>
          <w:tab w:pos="1331" w:val="left" w:leader="none"/>
        </w:tabs>
        <w:spacing w:line="240" w:lineRule="auto" w:before="192" w:after="0"/>
        <w:ind w:left="1331" w:right="0" w:hanging="360"/>
        <w:jc w:val="left"/>
        <w:rPr>
          <w:sz w:val="22"/>
        </w:rPr>
      </w:pPr>
      <w:r>
        <w:rPr>
          <w:sz w:val="22"/>
        </w:rPr>
        <w:t>Mineral</w:t>
      </w:r>
      <w:r>
        <w:rPr>
          <w:spacing w:val="-12"/>
          <w:sz w:val="22"/>
        </w:rPr>
        <w:t> </w:t>
      </w:r>
      <w:r>
        <w:rPr>
          <w:sz w:val="22"/>
        </w:rPr>
        <w:t>materials</w:t>
      </w:r>
      <w:r>
        <w:rPr>
          <w:spacing w:val="-9"/>
          <w:sz w:val="22"/>
        </w:rPr>
        <w:t> </w:t>
      </w:r>
      <w:r>
        <w:rPr>
          <w:spacing w:val="-2"/>
          <w:sz w:val="22"/>
        </w:rPr>
        <w:t>development;</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Abandoned</w:t>
      </w:r>
      <w:r>
        <w:rPr>
          <w:spacing w:val="-5"/>
          <w:sz w:val="22"/>
        </w:rPr>
        <w:t> </w:t>
      </w:r>
      <w:r>
        <w:rPr>
          <w:sz w:val="22"/>
        </w:rPr>
        <w:t>mine</w:t>
      </w:r>
      <w:r>
        <w:rPr>
          <w:spacing w:val="-4"/>
          <w:sz w:val="22"/>
        </w:rPr>
        <w:t> </w:t>
      </w:r>
      <w:r>
        <w:rPr>
          <w:spacing w:val="-2"/>
          <w:sz w:val="22"/>
        </w:rPr>
        <w:t>reclamation;</w:t>
      </w:r>
    </w:p>
    <w:p>
      <w:pPr>
        <w:pStyle w:val="ListParagraph"/>
        <w:numPr>
          <w:ilvl w:val="1"/>
          <w:numId w:val="30"/>
        </w:numPr>
        <w:tabs>
          <w:tab w:pos="1331" w:val="left" w:leader="none"/>
        </w:tabs>
        <w:spacing w:line="240" w:lineRule="auto" w:before="113" w:after="0"/>
        <w:ind w:left="1331" w:right="0" w:hanging="360"/>
        <w:jc w:val="left"/>
        <w:rPr>
          <w:sz w:val="22"/>
        </w:rPr>
      </w:pPr>
      <w:r>
        <w:rPr>
          <w:sz w:val="22"/>
        </w:rPr>
        <w:t>Locatable</w:t>
      </w:r>
      <w:r>
        <w:rPr>
          <w:spacing w:val="-8"/>
          <w:sz w:val="22"/>
        </w:rPr>
        <w:t> </w:t>
      </w:r>
      <w:r>
        <w:rPr>
          <w:sz w:val="22"/>
        </w:rPr>
        <w:t>and</w:t>
      </w:r>
      <w:r>
        <w:rPr>
          <w:spacing w:val="-9"/>
          <w:sz w:val="22"/>
        </w:rPr>
        <w:t> </w:t>
      </w:r>
      <w:r>
        <w:rPr>
          <w:sz w:val="22"/>
        </w:rPr>
        <w:t>leasable</w:t>
      </w:r>
      <w:r>
        <w:rPr>
          <w:spacing w:val="-10"/>
          <w:sz w:val="22"/>
        </w:rPr>
        <w:t> </w:t>
      </w:r>
      <w:r>
        <w:rPr>
          <w:sz w:val="22"/>
        </w:rPr>
        <w:t>minerals</w:t>
      </w:r>
      <w:r>
        <w:rPr>
          <w:spacing w:val="-9"/>
          <w:sz w:val="22"/>
        </w:rPr>
        <w:t> </w:t>
      </w:r>
      <w:r>
        <w:rPr>
          <w:sz w:val="22"/>
        </w:rPr>
        <w:t>exploration</w:t>
      </w:r>
      <w:r>
        <w:rPr>
          <w:spacing w:val="-9"/>
          <w:sz w:val="22"/>
        </w:rPr>
        <w:t> </w:t>
      </w:r>
      <w:r>
        <w:rPr>
          <w:sz w:val="22"/>
        </w:rPr>
        <w:t>and</w:t>
      </w:r>
      <w:r>
        <w:rPr>
          <w:spacing w:val="-9"/>
          <w:sz w:val="22"/>
        </w:rPr>
        <w:t> </w:t>
      </w:r>
      <w:r>
        <w:rPr>
          <w:spacing w:val="-2"/>
          <w:sz w:val="22"/>
        </w:rPr>
        <w:t>development;</w:t>
      </w:r>
    </w:p>
    <w:p>
      <w:pPr>
        <w:pStyle w:val="ListParagraph"/>
        <w:numPr>
          <w:ilvl w:val="1"/>
          <w:numId w:val="30"/>
        </w:numPr>
        <w:tabs>
          <w:tab w:pos="1331" w:val="left" w:leader="none"/>
        </w:tabs>
        <w:spacing w:line="240" w:lineRule="auto" w:before="111" w:after="0"/>
        <w:ind w:left="1331" w:right="0" w:hanging="360"/>
        <w:jc w:val="left"/>
        <w:rPr>
          <w:sz w:val="22"/>
        </w:rPr>
      </w:pPr>
      <w:r>
        <w:rPr>
          <w:sz w:val="22"/>
        </w:rPr>
        <w:t>Monitoring</w:t>
      </w:r>
      <w:r>
        <w:rPr>
          <w:spacing w:val="-8"/>
          <w:sz w:val="22"/>
        </w:rPr>
        <w:t> </w:t>
      </w:r>
      <w:r>
        <w:rPr>
          <w:sz w:val="22"/>
        </w:rPr>
        <w:t>approved</w:t>
      </w:r>
      <w:r>
        <w:rPr>
          <w:spacing w:val="-7"/>
          <w:sz w:val="22"/>
        </w:rPr>
        <w:t> </w:t>
      </w:r>
      <w:r>
        <w:rPr>
          <w:sz w:val="22"/>
        </w:rPr>
        <w:t>plans</w:t>
      </w:r>
      <w:r>
        <w:rPr>
          <w:spacing w:val="-8"/>
          <w:sz w:val="22"/>
        </w:rPr>
        <w:t> </w:t>
      </w:r>
      <w:r>
        <w:rPr>
          <w:sz w:val="22"/>
        </w:rPr>
        <w:t>of</w:t>
      </w:r>
      <w:r>
        <w:rPr>
          <w:spacing w:val="-8"/>
          <w:sz w:val="22"/>
        </w:rPr>
        <w:t> </w:t>
      </w:r>
      <w:r>
        <w:rPr>
          <w:sz w:val="22"/>
        </w:rPr>
        <w:t>operation</w:t>
      </w:r>
      <w:r>
        <w:rPr>
          <w:spacing w:val="-8"/>
          <w:sz w:val="22"/>
        </w:rPr>
        <w:t> </w:t>
      </w:r>
      <w:r>
        <w:rPr>
          <w:sz w:val="22"/>
        </w:rPr>
        <w:t>and</w:t>
      </w:r>
      <w:r>
        <w:rPr>
          <w:spacing w:val="-9"/>
          <w:sz w:val="22"/>
        </w:rPr>
        <w:t> </w:t>
      </w:r>
      <w:r>
        <w:rPr>
          <w:sz w:val="22"/>
        </w:rPr>
        <w:t>operating</w:t>
      </w:r>
      <w:r>
        <w:rPr>
          <w:spacing w:val="-9"/>
          <w:sz w:val="22"/>
        </w:rPr>
        <w:t> </w:t>
      </w:r>
      <w:r>
        <w:rPr>
          <w:sz w:val="22"/>
        </w:rPr>
        <w:t>permits</w:t>
      </w:r>
      <w:r>
        <w:rPr>
          <w:spacing w:val="-6"/>
          <w:sz w:val="22"/>
        </w:rPr>
        <w:t> </w:t>
      </w:r>
      <w:r>
        <w:rPr>
          <w:sz w:val="22"/>
        </w:rPr>
        <w:t>for</w:t>
      </w:r>
      <w:r>
        <w:rPr>
          <w:spacing w:val="-6"/>
          <w:sz w:val="22"/>
        </w:rPr>
        <w:t> </w:t>
      </w:r>
      <w:r>
        <w:rPr>
          <w:spacing w:val="-2"/>
          <w:sz w:val="22"/>
        </w:rPr>
        <w:t>compliance;</w:t>
      </w:r>
    </w:p>
    <w:p>
      <w:pPr>
        <w:pStyle w:val="ListParagraph"/>
        <w:numPr>
          <w:ilvl w:val="1"/>
          <w:numId w:val="30"/>
        </w:numPr>
        <w:tabs>
          <w:tab w:pos="1382" w:val="left" w:leader="none"/>
        </w:tabs>
        <w:spacing w:line="240" w:lineRule="auto" w:before="111" w:after="0"/>
        <w:ind w:left="1382" w:right="0" w:hanging="411"/>
        <w:jc w:val="left"/>
        <w:rPr>
          <w:sz w:val="22"/>
        </w:rPr>
      </w:pPr>
      <w:r>
        <w:rPr>
          <w:sz w:val="22"/>
        </w:rPr>
        <w:t>Take</w:t>
      </w:r>
      <w:r>
        <w:rPr>
          <w:spacing w:val="-9"/>
          <w:sz w:val="22"/>
        </w:rPr>
        <w:t> </w:t>
      </w:r>
      <w:r>
        <w:rPr>
          <w:sz w:val="22"/>
        </w:rPr>
        <w:t>action</w:t>
      </w:r>
      <w:r>
        <w:rPr>
          <w:spacing w:val="-9"/>
          <w:sz w:val="22"/>
        </w:rPr>
        <w:t> </w:t>
      </w:r>
      <w:r>
        <w:rPr>
          <w:sz w:val="22"/>
        </w:rPr>
        <w:t>to</w:t>
      </w:r>
      <w:r>
        <w:rPr>
          <w:spacing w:val="-10"/>
          <w:sz w:val="22"/>
        </w:rPr>
        <w:t> </w:t>
      </w:r>
      <w:r>
        <w:rPr>
          <w:sz w:val="22"/>
        </w:rPr>
        <w:t>ensure</w:t>
      </w:r>
      <w:r>
        <w:rPr>
          <w:spacing w:val="-8"/>
          <w:sz w:val="22"/>
        </w:rPr>
        <w:t> </w:t>
      </w:r>
      <w:r>
        <w:rPr>
          <w:sz w:val="22"/>
        </w:rPr>
        <w:t>plan</w:t>
      </w:r>
      <w:r>
        <w:rPr>
          <w:spacing w:val="-11"/>
          <w:sz w:val="22"/>
        </w:rPr>
        <w:t> </w:t>
      </w:r>
      <w:r>
        <w:rPr>
          <w:spacing w:val="-2"/>
          <w:sz w:val="22"/>
        </w:rPr>
        <w:t>compliance;</w:t>
      </w:r>
    </w:p>
    <w:p>
      <w:pPr>
        <w:pStyle w:val="ListParagraph"/>
        <w:numPr>
          <w:ilvl w:val="1"/>
          <w:numId w:val="30"/>
        </w:numPr>
        <w:tabs>
          <w:tab w:pos="1331" w:val="left" w:leader="none"/>
        </w:tabs>
        <w:spacing w:line="240" w:lineRule="auto" w:before="113" w:after="0"/>
        <w:ind w:left="1331" w:right="0" w:hanging="360"/>
        <w:jc w:val="left"/>
        <w:rPr>
          <w:sz w:val="22"/>
        </w:rPr>
      </w:pPr>
      <w:r>
        <w:rPr>
          <w:sz w:val="22"/>
        </w:rPr>
        <w:t>Ensure</w:t>
      </w:r>
      <w:r>
        <w:rPr>
          <w:spacing w:val="-8"/>
          <w:sz w:val="22"/>
        </w:rPr>
        <w:t> </w:t>
      </w:r>
      <w:r>
        <w:rPr>
          <w:sz w:val="22"/>
        </w:rPr>
        <w:t>installation</w:t>
      </w:r>
      <w:r>
        <w:rPr>
          <w:spacing w:val="-7"/>
          <w:sz w:val="22"/>
        </w:rPr>
        <w:t> </w:t>
      </w:r>
      <w:r>
        <w:rPr>
          <w:sz w:val="22"/>
        </w:rPr>
        <w:t>and</w:t>
      </w:r>
      <w:r>
        <w:rPr>
          <w:spacing w:val="-8"/>
          <w:sz w:val="22"/>
        </w:rPr>
        <w:t> </w:t>
      </w:r>
      <w:r>
        <w:rPr>
          <w:sz w:val="22"/>
        </w:rPr>
        <w:t>function</w:t>
      </w:r>
      <w:r>
        <w:rPr>
          <w:spacing w:val="-9"/>
          <w:sz w:val="22"/>
        </w:rPr>
        <w:t> </w:t>
      </w:r>
      <w:r>
        <w:rPr>
          <w:sz w:val="22"/>
        </w:rPr>
        <w:t>of</w:t>
      </w:r>
      <w:r>
        <w:rPr>
          <w:spacing w:val="-6"/>
          <w:sz w:val="22"/>
        </w:rPr>
        <w:t> </w:t>
      </w:r>
      <w:r>
        <w:rPr>
          <w:sz w:val="22"/>
        </w:rPr>
        <w:t>best</w:t>
      </w:r>
      <w:r>
        <w:rPr>
          <w:spacing w:val="-8"/>
          <w:sz w:val="22"/>
        </w:rPr>
        <w:t> </w:t>
      </w:r>
      <w:r>
        <w:rPr>
          <w:sz w:val="22"/>
        </w:rPr>
        <w:t>management</w:t>
      </w:r>
      <w:r>
        <w:rPr>
          <w:spacing w:val="-9"/>
          <w:sz w:val="22"/>
        </w:rPr>
        <w:t> </w:t>
      </w:r>
      <w:r>
        <w:rPr>
          <w:sz w:val="22"/>
        </w:rPr>
        <w:t>practices</w:t>
      </w:r>
      <w:r>
        <w:rPr>
          <w:spacing w:val="-8"/>
          <w:sz w:val="22"/>
        </w:rPr>
        <w:t> </w:t>
      </w:r>
      <w:r>
        <w:rPr>
          <w:sz w:val="22"/>
        </w:rPr>
        <w:t>(BMP)</w:t>
      </w:r>
      <w:r>
        <w:rPr>
          <w:spacing w:val="-8"/>
          <w:sz w:val="22"/>
        </w:rPr>
        <w:t> </w:t>
      </w:r>
      <w:r>
        <w:rPr>
          <w:sz w:val="22"/>
        </w:rPr>
        <w:t>and</w:t>
      </w:r>
      <w:r>
        <w:rPr>
          <w:spacing w:val="-7"/>
          <w:sz w:val="22"/>
        </w:rPr>
        <w:t> </w:t>
      </w:r>
      <w:r>
        <w:rPr>
          <w:sz w:val="22"/>
        </w:rPr>
        <w:t>mitigation;</w:t>
      </w:r>
      <w:r>
        <w:rPr>
          <w:spacing w:val="-7"/>
          <w:sz w:val="22"/>
        </w:rPr>
        <w:t> </w:t>
      </w:r>
      <w:r>
        <w:rPr>
          <w:spacing w:val="-5"/>
          <w:sz w:val="22"/>
        </w:rPr>
        <w:t>and</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Exercise</w:t>
      </w:r>
      <w:r>
        <w:rPr>
          <w:spacing w:val="-12"/>
          <w:sz w:val="22"/>
        </w:rPr>
        <w:t> </w:t>
      </w:r>
      <w:r>
        <w:rPr>
          <w:sz w:val="22"/>
        </w:rPr>
        <w:t>consent</w:t>
      </w:r>
      <w:r>
        <w:rPr>
          <w:spacing w:val="-6"/>
          <w:sz w:val="22"/>
        </w:rPr>
        <w:t> </w:t>
      </w:r>
      <w:r>
        <w:rPr>
          <w:sz w:val="22"/>
        </w:rPr>
        <w:t>authority</w:t>
      </w:r>
      <w:r>
        <w:rPr>
          <w:spacing w:val="-7"/>
          <w:sz w:val="22"/>
        </w:rPr>
        <w:t> </w:t>
      </w:r>
      <w:r>
        <w:rPr>
          <w:sz w:val="22"/>
        </w:rPr>
        <w:t>in</w:t>
      </w:r>
      <w:r>
        <w:rPr>
          <w:spacing w:val="-8"/>
          <w:sz w:val="22"/>
        </w:rPr>
        <w:t> </w:t>
      </w:r>
      <w:r>
        <w:rPr>
          <w:sz w:val="22"/>
        </w:rPr>
        <w:t>response</w:t>
      </w:r>
      <w:r>
        <w:rPr>
          <w:spacing w:val="-7"/>
          <w:sz w:val="22"/>
        </w:rPr>
        <w:t> </w:t>
      </w:r>
      <w:r>
        <w:rPr>
          <w:sz w:val="22"/>
        </w:rPr>
        <w:t>to</w:t>
      </w:r>
      <w:r>
        <w:rPr>
          <w:spacing w:val="-9"/>
          <w:sz w:val="22"/>
        </w:rPr>
        <w:t> </w:t>
      </w:r>
      <w:r>
        <w:rPr>
          <w:sz w:val="22"/>
        </w:rPr>
        <w:t>mineral</w:t>
      </w:r>
      <w:r>
        <w:rPr>
          <w:spacing w:val="-7"/>
          <w:sz w:val="22"/>
        </w:rPr>
        <w:t> </w:t>
      </w:r>
      <w:r>
        <w:rPr>
          <w:sz w:val="22"/>
        </w:rPr>
        <w:t>leasing</w:t>
      </w:r>
      <w:r>
        <w:rPr>
          <w:spacing w:val="-8"/>
          <w:sz w:val="22"/>
        </w:rPr>
        <w:t> </w:t>
      </w:r>
      <w:r>
        <w:rPr>
          <w:spacing w:val="-2"/>
          <w:sz w:val="22"/>
        </w:rPr>
        <w:t>applications.</w:t>
      </w:r>
    </w:p>
    <w:p>
      <w:pPr>
        <w:pStyle w:val="Heading4"/>
        <w:spacing w:before="232"/>
        <w:ind w:left="791"/>
      </w:pPr>
      <w:bookmarkStart w:name="Road Construction" w:id="969"/>
      <w:bookmarkEnd w:id="969"/>
      <w:r>
        <w:rPr/>
      </w:r>
      <w:bookmarkStart w:name="_bookmark301" w:id="970"/>
      <w:bookmarkEnd w:id="970"/>
      <w:r>
        <w:rPr/>
      </w:r>
      <w:r>
        <w:rPr/>
        <w:t>Road</w:t>
      </w:r>
      <w:r>
        <w:rPr>
          <w:spacing w:val="-2"/>
        </w:rPr>
        <w:t> Construction</w:t>
      </w:r>
    </w:p>
    <w:p>
      <w:pPr>
        <w:pStyle w:val="ListParagraph"/>
        <w:numPr>
          <w:ilvl w:val="1"/>
          <w:numId w:val="30"/>
        </w:numPr>
        <w:tabs>
          <w:tab w:pos="1331" w:val="left" w:leader="none"/>
        </w:tabs>
        <w:spacing w:line="240" w:lineRule="auto" w:before="59" w:after="0"/>
        <w:ind w:left="1331" w:right="0" w:hanging="360"/>
        <w:jc w:val="left"/>
        <w:rPr>
          <w:sz w:val="22"/>
        </w:rPr>
      </w:pPr>
      <w:r>
        <w:rPr>
          <w:sz w:val="22"/>
        </w:rPr>
        <w:t>Road</w:t>
      </w:r>
      <w:r>
        <w:rPr>
          <w:spacing w:val="-11"/>
          <w:sz w:val="22"/>
        </w:rPr>
        <w:t> </w:t>
      </w:r>
      <w:r>
        <w:rPr>
          <w:sz w:val="22"/>
        </w:rPr>
        <w:t>reconstruction</w:t>
      </w:r>
      <w:r>
        <w:rPr>
          <w:spacing w:val="-9"/>
          <w:sz w:val="22"/>
        </w:rPr>
        <w:t> </w:t>
      </w:r>
      <w:r>
        <w:rPr>
          <w:sz w:val="22"/>
        </w:rPr>
        <w:t>(includes</w:t>
      </w:r>
      <w:r>
        <w:rPr>
          <w:spacing w:val="-8"/>
          <w:sz w:val="22"/>
        </w:rPr>
        <w:t> </w:t>
      </w:r>
      <w:r>
        <w:rPr>
          <w:sz w:val="22"/>
        </w:rPr>
        <w:t>work</w:t>
      </w:r>
      <w:r>
        <w:rPr>
          <w:spacing w:val="-7"/>
          <w:sz w:val="22"/>
        </w:rPr>
        <w:t> </w:t>
      </w:r>
      <w:r>
        <w:rPr>
          <w:sz w:val="22"/>
        </w:rPr>
        <w:t>to</w:t>
      </w:r>
      <w:r>
        <w:rPr>
          <w:spacing w:val="-7"/>
          <w:sz w:val="22"/>
        </w:rPr>
        <w:t> </w:t>
      </w:r>
      <w:r>
        <w:rPr>
          <w:sz w:val="22"/>
        </w:rPr>
        <w:t>implement</w:t>
      </w:r>
      <w:r>
        <w:rPr>
          <w:spacing w:val="-9"/>
          <w:sz w:val="22"/>
        </w:rPr>
        <w:t> </w:t>
      </w:r>
      <w:r>
        <w:rPr>
          <w:sz w:val="22"/>
        </w:rPr>
        <w:t>best</w:t>
      </w:r>
      <w:r>
        <w:rPr>
          <w:spacing w:val="-7"/>
          <w:sz w:val="22"/>
        </w:rPr>
        <w:t> </w:t>
      </w:r>
      <w:r>
        <w:rPr>
          <w:sz w:val="22"/>
        </w:rPr>
        <w:t>management</w:t>
      </w:r>
      <w:r>
        <w:rPr>
          <w:spacing w:val="-10"/>
          <w:sz w:val="22"/>
        </w:rPr>
        <w:t> </w:t>
      </w:r>
      <w:r>
        <w:rPr>
          <w:sz w:val="22"/>
        </w:rPr>
        <w:t>practices</w:t>
      </w:r>
      <w:r>
        <w:rPr>
          <w:spacing w:val="-8"/>
          <w:sz w:val="22"/>
        </w:rPr>
        <w:t> </w:t>
      </w:r>
      <w:r>
        <w:rPr>
          <w:sz w:val="22"/>
        </w:rPr>
        <w:t>(BMP)</w:t>
      </w:r>
      <w:r>
        <w:rPr>
          <w:spacing w:val="-9"/>
          <w:sz w:val="22"/>
        </w:rPr>
        <w:t> </w:t>
      </w:r>
      <w:r>
        <w:rPr>
          <w:spacing w:val="-2"/>
          <w:sz w:val="22"/>
        </w:rPr>
        <w:t>work);</w:t>
      </w:r>
    </w:p>
    <w:p>
      <w:pPr>
        <w:pStyle w:val="ListParagraph"/>
        <w:numPr>
          <w:ilvl w:val="1"/>
          <w:numId w:val="30"/>
        </w:numPr>
        <w:tabs>
          <w:tab w:pos="1331" w:val="left" w:leader="none"/>
        </w:tabs>
        <w:spacing w:line="240" w:lineRule="auto" w:before="113" w:after="0"/>
        <w:ind w:left="1331" w:right="0" w:hanging="360"/>
        <w:jc w:val="left"/>
        <w:rPr>
          <w:sz w:val="22"/>
        </w:rPr>
      </w:pPr>
      <w:r>
        <w:rPr>
          <w:spacing w:val="-2"/>
          <w:sz w:val="22"/>
        </w:rPr>
        <w:t>Temporary</w:t>
      </w:r>
      <w:r>
        <w:rPr>
          <w:spacing w:val="-4"/>
          <w:sz w:val="22"/>
        </w:rPr>
        <w:t> </w:t>
      </w:r>
      <w:r>
        <w:rPr>
          <w:spacing w:val="-2"/>
          <w:sz w:val="22"/>
        </w:rPr>
        <w:t>road</w:t>
      </w:r>
      <w:r>
        <w:rPr>
          <w:spacing w:val="-4"/>
          <w:sz w:val="22"/>
        </w:rPr>
        <w:t> </w:t>
      </w:r>
      <w:r>
        <w:rPr>
          <w:spacing w:val="-2"/>
          <w:sz w:val="22"/>
        </w:rPr>
        <w:t>construction;</w:t>
      </w:r>
    </w:p>
    <w:p>
      <w:pPr>
        <w:pStyle w:val="ListParagraph"/>
        <w:numPr>
          <w:ilvl w:val="1"/>
          <w:numId w:val="30"/>
        </w:numPr>
        <w:tabs>
          <w:tab w:pos="1331" w:val="left" w:leader="none"/>
        </w:tabs>
        <w:spacing w:line="240" w:lineRule="auto" w:before="111" w:after="0"/>
        <w:ind w:left="1331" w:right="0" w:hanging="360"/>
        <w:jc w:val="left"/>
        <w:rPr>
          <w:sz w:val="22"/>
        </w:rPr>
      </w:pPr>
      <w:r>
        <w:rPr>
          <w:sz w:val="22"/>
        </w:rPr>
        <w:t>Annual</w:t>
      </w:r>
      <w:r>
        <w:rPr>
          <w:spacing w:val="-5"/>
          <w:sz w:val="22"/>
        </w:rPr>
        <w:t> </w:t>
      </w:r>
      <w:r>
        <w:rPr>
          <w:sz w:val="22"/>
        </w:rPr>
        <w:t>road</w:t>
      </w:r>
      <w:r>
        <w:rPr>
          <w:spacing w:val="-6"/>
          <w:sz w:val="22"/>
        </w:rPr>
        <w:t> </w:t>
      </w:r>
      <w:r>
        <w:rPr>
          <w:spacing w:val="-2"/>
          <w:sz w:val="22"/>
        </w:rPr>
        <w:t>maintenance;</w:t>
      </w:r>
    </w:p>
    <w:p>
      <w:pPr>
        <w:pStyle w:val="ListParagraph"/>
        <w:numPr>
          <w:ilvl w:val="1"/>
          <w:numId w:val="30"/>
        </w:numPr>
        <w:tabs>
          <w:tab w:pos="1331" w:val="left" w:leader="none"/>
        </w:tabs>
        <w:spacing w:line="240" w:lineRule="auto" w:before="110" w:after="0"/>
        <w:ind w:left="1331" w:right="0" w:hanging="360"/>
        <w:jc w:val="left"/>
        <w:rPr>
          <w:sz w:val="22"/>
        </w:rPr>
      </w:pPr>
      <w:r>
        <w:rPr>
          <w:sz w:val="22"/>
        </w:rPr>
        <w:t>Deferred</w:t>
      </w:r>
      <w:r>
        <w:rPr>
          <w:spacing w:val="-13"/>
          <w:sz w:val="22"/>
        </w:rPr>
        <w:t> </w:t>
      </w:r>
      <w:r>
        <w:rPr>
          <w:sz w:val="22"/>
        </w:rPr>
        <w:t>road</w:t>
      </w:r>
      <w:r>
        <w:rPr>
          <w:spacing w:val="-10"/>
          <w:sz w:val="22"/>
        </w:rPr>
        <w:t> </w:t>
      </w:r>
      <w:r>
        <w:rPr>
          <w:spacing w:val="-2"/>
          <w:sz w:val="22"/>
        </w:rPr>
        <w:t>maintenance;</w:t>
      </w:r>
    </w:p>
    <w:p>
      <w:pPr>
        <w:pStyle w:val="ListParagraph"/>
        <w:numPr>
          <w:ilvl w:val="1"/>
          <w:numId w:val="30"/>
        </w:numPr>
        <w:tabs>
          <w:tab w:pos="1331" w:val="left" w:leader="none"/>
        </w:tabs>
        <w:spacing w:line="240" w:lineRule="auto" w:before="113" w:after="0"/>
        <w:ind w:left="1331" w:right="0" w:hanging="360"/>
        <w:jc w:val="left"/>
        <w:rPr>
          <w:sz w:val="22"/>
        </w:rPr>
      </w:pPr>
      <w:r>
        <w:rPr>
          <w:sz w:val="22"/>
        </w:rPr>
        <w:t>Drainage</w:t>
      </w:r>
      <w:r>
        <w:rPr>
          <w:spacing w:val="-9"/>
          <w:sz w:val="22"/>
        </w:rPr>
        <w:t> </w:t>
      </w:r>
      <w:r>
        <w:rPr>
          <w:sz w:val="22"/>
        </w:rPr>
        <w:t>structure</w:t>
      </w:r>
      <w:r>
        <w:rPr>
          <w:spacing w:val="-10"/>
          <w:sz w:val="22"/>
        </w:rPr>
        <w:t> </w:t>
      </w:r>
      <w:r>
        <w:rPr>
          <w:sz w:val="22"/>
        </w:rPr>
        <w:t>repair</w:t>
      </w:r>
      <w:r>
        <w:rPr>
          <w:spacing w:val="-9"/>
          <w:sz w:val="22"/>
        </w:rPr>
        <w:t> </w:t>
      </w:r>
      <w:r>
        <w:rPr>
          <w:sz w:val="22"/>
        </w:rPr>
        <w:t>and</w:t>
      </w:r>
      <w:r>
        <w:rPr>
          <w:spacing w:val="-9"/>
          <w:sz w:val="22"/>
        </w:rPr>
        <w:t> </w:t>
      </w:r>
      <w:r>
        <w:rPr>
          <w:spacing w:val="-2"/>
          <w:sz w:val="22"/>
        </w:rPr>
        <w:t>replacement;</w:t>
      </w:r>
    </w:p>
    <w:p>
      <w:pPr>
        <w:pStyle w:val="ListParagraph"/>
        <w:numPr>
          <w:ilvl w:val="1"/>
          <w:numId w:val="30"/>
        </w:numPr>
        <w:tabs>
          <w:tab w:pos="1331" w:val="left" w:leader="none"/>
        </w:tabs>
        <w:spacing w:line="240" w:lineRule="auto" w:before="111" w:after="0"/>
        <w:ind w:left="1331" w:right="0" w:hanging="360"/>
        <w:jc w:val="left"/>
        <w:rPr>
          <w:sz w:val="22"/>
        </w:rPr>
      </w:pPr>
      <w:r>
        <w:rPr>
          <w:sz w:val="22"/>
        </w:rPr>
        <w:t>Road</w:t>
      </w:r>
      <w:r>
        <w:rPr>
          <w:spacing w:val="-13"/>
          <w:sz w:val="22"/>
        </w:rPr>
        <w:t> </w:t>
      </w:r>
      <w:r>
        <w:rPr>
          <w:sz w:val="22"/>
        </w:rPr>
        <w:t>decommissioning;</w:t>
      </w:r>
      <w:r>
        <w:rPr>
          <w:spacing w:val="-10"/>
          <w:sz w:val="22"/>
        </w:rPr>
        <w:t> </w:t>
      </w:r>
      <w:r>
        <w:rPr>
          <w:spacing w:val="-5"/>
          <w:sz w:val="22"/>
        </w:rPr>
        <w:t>and</w:t>
      </w:r>
    </w:p>
    <w:p>
      <w:pPr>
        <w:pStyle w:val="ListParagraph"/>
        <w:numPr>
          <w:ilvl w:val="1"/>
          <w:numId w:val="30"/>
        </w:numPr>
        <w:tabs>
          <w:tab w:pos="1331" w:val="left" w:leader="none"/>
        </w:tabs>
        <w:spacing w:line="240" w:lineRule="auto" w:before="111" w:after="0"/>
        <w:ind w:left="1331" w:right="0" w:hanging="360"/>
        <w:jc w:val="left"/>
        <w:rPr>
          <w:sz w:val="22"/>
        </w:rPr>
      </w:pPr>
      <w:r>
        <w:rPr>
          <w:sz w:val="22"/>
        </w:rPr>
        <w:t>Emergency</w:t>
      </w:r>
      <w:r>
        <w:rPr>
          <w:spacing w:val="-10"/>
          <w:sz w:val="22"/>
        </w:rPr>
        <w:t> </w:t>
      </w:r>
      <w:r>
        <w:rPr>
          <w:sz w:val="22"/>
        </w:rPr>
        <w:t>repairs</w:t>
      </w:r>
      <w:r>
        <w:rPr>
          <w:spacing w:val="-8"/>
          <w:sz w:val="22"/>
        </w:rPr>
        <w:t> </w:t>
      </w:r>
      <w:r>
        <w:rPr>
          <w:sz w:val="22"/>
        </w:rPr>
        <w:t>caused</w:t>
      </w:r>
      <w:r>
        <w:rPr>
          <w:spacing w:val="-10"/>
          <w:sz w:val="22"/>
        </w:rPr>
        <w:t> </w:t>
      </w:r>
      <w:r>
        <w:rPr>
          <w:sz w:val="22"/>
        </w:rPr>
        <w:t>by</w:t>
      </w:r>
      <w:r>
        <w:rPr>
          <w:spacing w:val="-8"/>
          <w:sz w:val="22"/>
        </w:rPr>
        <w:t> </w:t>
      </w:r>
      <w:r>
        <w:rPr>
          <w:sz w:val="22"/>
        </w:rPr>
        <w:t>natural</w:t>
      </w:r>
      <w:r>
        <w:rPr>
          <w:spacing w:val="-10"/>
          <w:sz w:val="22"/>
        </w:rPr>
        <w:t> </w:t>
      </w:r>
      <w:r>
        <w:rPr>
          <w:spacing w:val="-2"/>
          <w:sz w:val="22"/>
        </w:rPr>
        <w:t>events.</w:t>
      </w:r>
    </w:p>
    <w:p>
      <w:pPr>
        <w:pStyle w:val="ListParagraph"/>
        <w:spacing w:after="0" w:line="240" w:lineRule="auto"/>
        <w:jc w:val="left"/>
        <w:rPr>
          <w:sz w:val="22"/>
        </w:rPr>
        <w:sectPr>
          <w:pgSz w:w="12240" w:h="15840"/>
          <w:pgMar w:header="725" w:footer="891" w:top="1340" w:bottom="1080" w:left="1080" w:right="1080"/>
        </w:sectPr>
      </w:pPr>
    </w:p>
    <w:p>
      <w:pPr>
        <w:pStyle w:val="Heading4"/>
        <w:spacing w:before="82"/>
      </w:pPr>
      <w:bookmarkStart w:name="Scenery" w:id="971"/>
      <w:bookmarkEnd w:id="971"/>
      <w:r>
        <w:rPr/>
      </w:r>
      <w:bookmarkStart w:name="_bookmark302" w:id="972"/>
      <w:bookmarkEnd w:id="972"/>
      <w:r>
        <w:rPr/>
      </w:r>
      <w:r>
        <w:rPr>
          <w:spacing w:val="-2"/>
        </w:rPr>
        <w:t>Scenery</w:t>
      </w:r>
    </w:p>
    <w:p>
      <w:pPr>
        <w:pStyle w:val="BodyText"/>
        <w:spacing w:before="59"/>
        <w:ind w:left="360"/>
      </w:pPr>
      <w:r>
        <w:rPr/>
        <w:t>Scenery</w:t>
      </w:r>
      <w:r>
        <w:rPr>
          <w:spacing w:val="-10"/>
        </w:rPr>
        <w:t> </w:t>
      </w:r>
      <w:r>
        <w:rPr/>
        <w:t>management</w:t>
      </w:r>
      <w:r>
        <w:rPr>
          <w:spacing w:val="-6"/>
        </w:rPr>
        <w:t> </w:t>
      </w:r>
      <w:r>
        <w:rPr/>
        <w:t>tools</w:t>
      </w:r>
      <w:r>
        <w:rPr>
          <w:spacing w:val="-8"/>
        </w:rPr>
        <w:t> </w:t>
      </w:r>
      <w:r>
        <w:rPr/>
        <w:t>and</w:t>
      </w:r>
      <w:r>
        <w:rPr>
          <w:spacing w:val="-8"/>
        </w:rPr>
        <w:t> </w:t>
      </w:r>
      <w:r>
        <w:rPr/>
        <w:t>techniques</w:t>
      </w:r>
      <w:r>
        <w:rPr>
          <w:spacing w:val="-6"/>
        </w:rPr>
        <w:t> </w:t>
      </w:r>
      <w:r>
        <w:rPr/>
        <w:t>are</w:t>
      </w:r>
      <w:r>
        <w:rPr>
          <w:spacing w:val="-9"/>
        </w:rPr>
        <w:t> </w:t>
      </w:r>
      <w:r>
        <w:rPr/>
        <w:t>mostly</w:t>
      </w:r>
      <w:r>
        <w:rPr>
          <w:spacing w:val="-7"/>
        </w:rPr>
        <w:t> </w:t>
      </w:r>
      <w:r>
        <w:rPr/>
        <w:t>accomplished</w:t>
      </w:r>
      <w:r>
        <w:rPr>
          <w:spacing w:val="-7"/>
        </w:rPr>
        <w:t> </w:t>
      </w:r>
      <w:r>
        <w:rPr>
          <w:spacing w:val="-2"/>
        </w:rPr>
        <w:t>through:</w:t>
      </w:r>
    </w:p>
    <w:p>
      <w:pPr>
        <w:pStyle w:val="ListParagraph"/>
        <w:numPr>
          <w:ilvl w:val="0"/>
          <w:numId w:val="30"/>
        </w:numPr>
        <w:tabs>
          <w:tab w:pos="900" w:val="left" w:leader="none"/>
        </w:tabs>
        <w:spacing w:line="232" w:lineRule="auto" w:before="198" w:after="0"/>
        <w:ind w:left="900" w:right="832" w:hanging="360"/>
        <w:jc w:val="left"/>
        <w:rPr>
          <w:sz w:val="22"/>
        </w:rPr>
      </w:pPr>
      <w:r>
        <w:rPr>
          <w:sz w:val="22"/>
        </w:rPr>
        <w:t>Maintenance,</w:t>
      </w:r>
      <w:r>
        <w:rPr>
          <w:spacing w:val="-6"/>
          <w:sz w:val="22"/>
        </w:rPr>
        <w:t> </w:t>
      </w:r>
      <w:r>
        <w:rPr>
          <w:sz w:val="22"/>
        </w:rPr>
        <w:t>restoration,</w:t>
      </w:r>
      <w:r>
        <w:rPr>
          <w:spacing w:val="-7"/>
          <w:sz w:val="22"/>
        </w:rPr>
        <w:t> </w:t>
      </w:r>
      <w:r>
        <w:rPr>
          <w:sz w:val="22"/>
        </w:rPr>
        <w:t>or</w:t>
      </w:r>
      <w:r>
        <w:rPr>
          <w:spacing w:val="-6"/>
          <w:sz w:val="22"/>
        </w:rPr>
        <w:t> </w:t>
      </w:r>
      <w:r>
        <w:rPr>
          <w:sz w:val="22"/>
        </w:rPr>
        <w:t>enhancement</w:t>
      </w:r>
      <w:r>
        <w:rPr>
          <w:spacing w:val="-7"/>
          <w:sz w:val="22"/>
        </w:rPr>
        <w:t> </w:t>
      </w:r>
      <w:r>
        <w:rPr>
          <w:sz w:val="22"/>
        </w:rPr>
        <w:t>of</w:t>
      </w:r>
      <w:r>
        <w:rPr>
          <w:spacing w:val="-6"/>
          <w:sz w:val="22"/>
        </w:rPr>
        <w:t> </w:t>
      </w:r>
      <w:r>
        <w:rPr>
          <w:sz w:val="22"/>
        </w:rPr>
        <w:t>the</w:t>
      </w:r>
      <w:r>
        <w:rPr>
          <w:spacing w:val="-7"/>
          <w:sz w:val="22"/>
        </w:rPr>
        <w:t> </w:t>
      </w:r>
      <w:r>
        <w:rPr>
          <w:sz w:val="22"/>
        </w:rPr>
        <w:t>natural</w:t>
      </w:r>
      <w:r>
        <w:rPr>
          <w:spacing w:val="-6"/>
          <w:sz w:val="22"/>
        </w:rPr>
        <w:t> </w:t>
      </w:r>
      <w:r>
        <w:rPr>
          <w:sz w:val="22"/>
        </w:rPr>
        <w:t>landscape.</w:t>
      </w:r>
      <w:r>
        <w:rPr>
          <w:spacing w:val="-6"/>
          <w:sz w:val="22"/>
        </w:rPr>
        <w:t> </w:t>
      </w:r>
      <w:r>
        <w:rPr>
          <w:sz w:val="22"/>
        </w:rPr>
        <w:t>This</w:t>
      </w:r>
      <w:r>
        <w:rPr>
          <w:spacing w:val="-6"/>
          <w:sz w:val="22"/>
        </w:rPr>
        <w:t> </w:t>
      </w:r>
      <w:r>
        <w:rPr>
          <w:sz w:val="22"/>
        </w:rPr>
        <w:t>is</w:t>
      </w:r>
      <w:r>
        <w:rPr>
          <w:spacing w:val="-6"/>
          <w:sz w:val="22"/>
        </w:rPr>
        <w:t> </w:t>
      </w:r>
      <w:r>
        <w:rPr>
          <w:sz w:val="22"/>
        </w:rPr>
        <w:t>done</w:t>
      </w:r>
      <w:r>
        <w:rPr>
          <w:spacing w:val="-7"/>
          <w:sz w:val="22"/>
        </w:rPr>
        <w:t> </w:t>
      </w:r>
      <w:r>
        <w:rPr>
          <w:sz w:val="22"/>
        </w:rPr>
        <w:t>through</w:t>
      </w:r>
      <w:r>
        <w:rPr>
          <w:spacing w:val="-6"/>
          <w:sz w:val="22"/>
        </w:rPr>
        <w:t> </w:t>
      </w:r>
      <w:r>
        <w:rPr>
          <w:sz w:val="22"/>
        </w:rPr>
        <w:t>use of</w:t>
      </w:r>
      <w:r>
        <w:rPr>
          <w:spacing w:val="-3"/>
          <w:sz w:val="22"/>
        </w:rPr>
        <w:t> </w:t>
      </w:r>
      <w:r>
        <w:rPr>
          <w:sz w:val="22"/>
        </w:rPr>
        <w:t>the</w:t>
      </w:r>
      <w:r>
        <w:rPr>
          <w:spacing w:val="-5"/>
          <w:sz w:val="22"/>
        </w:rPr>
        <w:t> </w:t>
      </w:r>
      <w:r>
        <w:rPr>
          <w:sz w:val="22"/>
        </w:rPr>
        <w:t>vegetation,</w:t>
      </w:r>
      <w:r>
        <w:rPr>
          <w:spacing w:val="-5"/>
          <w:sz w:val="22"/>
        </w:rPr>
        <w:t> </w:t>
      </w:r>
      <w:r>
        <w:rPr>
          <w:sz w:val="22"/>
        </w:rPr>
        <w:t>wildlife</w:t>
      </w:r>
      <w:r>
        <w:rPr>
          <w:spacing w:val="-5"/>
          <w:sz w:val="22"/>
        </w:rPr>
        <w:t> </w:t>
      </w:r>
      <w:r>
        <w:rPr>
          <w:sz w:val="22"/>
        </w:rPr>
        <w:t>and</w:t>
      </w:r>
      <w:r>
        <w:rPr>
          <w:spacing w:val="-4"/>
          <w:sz w:val="22"/>
        </w:rPr>
        <w:t> </w:t>
      </w:r>
      <w:r>
        <w:rPr>
          <w:sz w:val="22"/>
        </w:rPr>
        <w:t>the</w:t>
      </w:r>
      <w:r>
        <w:rPr>
          <w:spacing w:val="-2"/>
          <w:sz w:val="22"/>
        </w:rPr>
        <w:t> </w:t>
      </w:r>
      <w:r>
        <w:rPr>
          <w:sz w:val="22"/>
        </w:rPr>
        <w:t>aquatic</w:t>
      </w:r>
      <w:r>
        <w:rPr>
          <w:spacing w:val="-3"/>
          <w:sz w:val="22"/>
        </w:rPr>
        <w:t> </w:t>
      </w:r>
      <w:r>
        <w:rPr>
          <w:sz w:val="22"/>
        </w:rPr>
        <w:t>and</w:t>
      </w:r>
      <w:r>
        <w:rPr>
          <w:spacing w:val="-4"/>
          <w:sz w:val="22"/>
        </w:rPr>
        <w:t> </w:t>
      </w:r>
      <w:r>
        <w:rPr>
          <w:sz w:val="22"/>
        </w:rPr>
        <w:t>riparian</w:t>
      </w:r>
      <w:r>
        <w:rPr>
          <w:spacing w:val="-6"/>
          <w:sz w:val="22"/>
        </w:rPr>
        <w:t> </w:t>
      </w:r>
      <w:r>
        <w:rPr>
          <w:sz w:val="22"/>
        </w:rPr>
        <w:t>tools</w:t>
      </w:r>
      <w:r>
        <w:rPr>
          <w:spacing w:val="-3"/>
          <w:sz w:val="22"/>
        </w:rPr>
        <w:t> </w:t>
      </w:r>
      <w:r>
        <w:rPr>
          <w:sz w:val="22"/>
        </w:rPr>
        <w:t>and</w:t>
      </w:r>
      <w:r>
        <w:rPr>
          <w:spacing w:val="-4"/>
          <w:sz w:val="22"/>
        </w:rPr>
        <w:t> </w:t>
      </w:r>
      <w:r>
        <w:rPr>
          <w:sz w:val="22"/>
        </w:rPr>
        <w:t>techniques</w:t>
      </w:r>
      <w:r>
        <w:rPr>
          <w:spacing w:val="-3"/>
          <w:sz w:val="22"/>
        </w:rPr>
        <w:t> </w:t>
      </w:r>
      <w:r>
        <w:rPr>
          <w:sz w:val="22"/>
        </w:rPr>
        <w:t>described</w:t>
      </w:r>
      <w:r>
        <w:rPr>
          <w:spacing w:val="-4"/>
          <w:sz w:val="22"/>
        </w:rPr>
        <w:t> </w:t>
      </w:r>
      <w:r>
        <w:rPr>
          <w:sz w:val="22"/>
        </w:rPr>
        <w:t>above.</w:t>
      </w:r>
    </w:p>
    <w:p>
      <w:pPr>
        <w:pStyle w:val="Heading4"/>
        <w:spacing w:before="233"/>
      </w:pPr>
      <w:bookmarkStart w:name="Social and Economic Systems" w:id="973"/>
      <w:bookmarkEnd w:id="973"/>
      <w:r>
        <w:rPr/>
      </w:r>
      <w:bookmarkStart w:name="_bookmark303" w:id="974"/>
      <w:bookmarkEnd w:id="974"/>
      <w:r>
        <w:rPr/>
      </w:r>
      <w:r>
        <w:rPr/>
        <w:t>Social</w:t>
      </w:r>
      <w:r>
        <w:rPr>
          <w:spacing w:val="-3"/>
        </w:rPr>
        <w:t> </w:t>
      </w:r>
      <w:r>
        <w:rPr/>
        <w:t>and</w:t>
      </w:r>
      <w:r>
        <w:rPr>
          <w:spacing w:val="-2"/>
        </w:rPr>
        <w:t> </w:t>
      </w:r>
      <w:r>
        <w:rPr/>
        <w:t>Economic</w:t>
      </w:r>
      <w:r>
        <w:rPr>
          <w:spacing w:val="-4"/>
        </w:rPr>
        <w:t> </w:t>
      </w:r>
      <w:r>
        <w:rPr>
          <w:spacing w:val="-2"/>
        </w:rPr>
        <w:t>Systems</w:t>
      </w:r>
    </w:p>
    <w:p>
      <w:pPr>
        <w:pStyle w:val="ListParagraph"/>
        <w:numPr>
          <w:ilvl w:val="0"/>
          <w:numId w:val="30"/>
        </w:numPr>
        <w:tabs>
          <w:tab w:pos="900" w:val="left" w:leader="none"/>
        </w:tabs>
        <w:spacing w:line="232" w:lineRule="auto" w:before="65" w:after="0"/>
        <w:ind w:left="900" w:right="1105" w:hanging="360"/>
        <w:jc w:val="left"/>
        <w:rPr>
          <w:sz w:val="22"/>
        </w:rPr>
      </w:pPr>
      <w:r>
        <w:rPr>
          <w:sz w:val="22"/>
        </w:rPr>
        <w:t>Contribute</w:t>
      </w:r>
      <w:r>
        <w:rPr>
          <w:spacing w:val="-6"/>
          <w:sz w:val="22"/>
        </w:rPr>
        <w:t> </w:t>
      </w:r>
      <w:r>
        <w:rPr>
          <w:sz w:val="22"/>
        </w:rPr>
        <w:t>to</w:t>
      </w:r>
      <w:r>
        <w:rPr>
          <w:spacing w:val="-5"/>
          <w:sz w:val="22"/>
        </w:rPr>
        <w:t> </w:t>
      </w:r>
      <w:r>
        <w:rPr>
          <w:sz w:val="22"/>
        </w:rPr>
        <w:t>and</w:t>
      </w:r>
      <w:r>
        <w:rPr>
          <w:spacing w:val="-5"/>
          <w:sz w:val="22"/>
        </w:rPr>
        <w:t> </w:t>
      </w:r>
      <w:r>
        <w:rPr>
          <w:sz w:val="22"/>
        </w:rPr>
        <w:t>support</w:t>
      </w:r>
      <w:r>
        <w:rPr>
          <w:spacing w:val="-3"/>
          <w:sz w:val="22"/>
        </w:rPr>
        <w:t> </w:t>
      </w:r>
      <w:r>
        <w:rPr>
          <w:sz w:val="22"/>
        </w:rPr>
        <w:t>local</w:t>
      </w:r>
      <w:r>
        <w:rPr>
          <w:spacing w:val="-4"/>
          <w:sz w:val="22"/>
        </w:rPr>
        <w:t> </w:t>
      </w:r>
      <w:r>
        <w:rPr>
          <w:sz w:val="22"/>
        </w:rPr>
        <w:t>jobs</w:t>
      </w:r>
      <w:r>
        <w:rPr>
          <w:spacing w:val="-4"/>
          <w:sz w:val="22"/>
        </w:rPr>
        <w:t> </w:t>
      </w:r>
      <w:r>
        <w:rPr>
          <w:sz w:val="22"/>
        </w:rPr>
        <w:t>and</w:t>
      </w:r>
      <w:r>
        <w:rPr>
          <w:spacing w:val="-5"/>
          <w:sz w:val="22"/>
        </w:rPr>
        <w:t> </w:t>
      </w:r>
      <w:r>
        <w:rPr>
          <w:sz w:val="22"/>
        </w:rPr>
        <w:t>labor</w:t>
      </w:r>
      <w:r>
        <w:rPr>
          <w:spacing w:val="-4"/>
          <w:sz w:val="22"/>
        </w:rPr>
        <w:t> </w:t>
      </w:r>
      <w:r>
        <w:rPr>
          <w:sz w:val="22"/>
        </w:rPr>
        <w:t>income</w:t>
      </w:r>
      <w:r>
        <w:rPr>
          <w:spacing w:val="-6"/>
          <w:sz w:val="22"/>
        </w:rPr>
        <w:t> </w:t>
      </w:r>
      <w:r>
        <w:rPr>
          <w:sz w:val="22"/>
        </w:rPr>
        <w:t>within</w:t>
      </w:r>
      <w:r>
        <w:rPr>
          <w:spacing w:val="-5"/>
          <w:sz w:val="22"/>
        </w:rPr>
        <w:t> </w:t>
      </w:r>
      <w:r>
        <w:rPr>
          <w:sz w:val="22"/>
        </w:rPr>
        <w:t>the</w:t>
      </w:r>
      <w:r>
        <w:rPr>
          <w:spacing w:val="-3"/>
          <w:sz w:val="22"/>
        </w:rPr>
        <w:t> </w:t>
      </w:r>
      <w:r>
        <w:rPr>
          <w:sz w:val="22"/>
        </w:rPr>
        <w:t>counties</w:t>
      </w:r>
      <w:r>
        <w:rPr>
          <w:spacing w:val="-6"/>
          <w:sz w:val="22"/>
        </w:rPr>
        <w:t> </w:t>
      </w:r>
      <w:r>
        <w:rPr>
          <w:sz w:val="22"/>
        </w:rPr>
        <w:t>surrounding</w:t>
      </w:r>
      <w:r>
        <w:rPr>
          <w:spacing w:val="-5"/>
          <w:sz w:val="22"/>
        </w:rPr>
        <w:t> </w:t>
      </w:r>
      <w:r>
        <w:rPr>
          <w:sz w:val="22"/>
        </w:rPr>
        <w:t>the forest through anticipated outputs associated with management activities;</w:t>
      </w:r>
    </w:p>
    <w:p>
      <w:pPr>
        <w:pStyle w:val="ListParagraph"/>
        <w:numPr>
          <w:ilvl w:val="0"/>
          <w:numId w:val="30"/>
        </w:numPr>
        <w:tabs>
          <w:tab w:pos="899" w:val="left" w:leader="none"/>
        </w:tabs>
        <w:spacing w:line="240" w:lineRule="auto" w:before="113" w:after="0"/>
        <w:ind w:left="899" w:right="0" w:hanging="359"/>
        <w:jc w:val="left"/>
        <w:rPr>
          <w:sz w:val="22"/>
        </w:rPr>
      </w:pPr>
      <w:r>
        <w:rPr>
          <w:sz w:val="22"/>
        </w:rPr>
        <w:t>Coordinate</w:t>
      </w:r>
      <w:r>
        <w:rPr>
          <w:spacing w:val="-12"/>
          <w:sz w:val="22"/>
        </w:rPr>
        <w:t> </w:t>
      </w:r>
      <w:r>
        <w:rPr>
          <w:sz w:val="22"/>
        </w:rPr>
        <w:t>management</w:t>
      </w:r>
      <w:r>
        <w:rPr>
          <w:spacing w:val="-7"/>
          <w:sz w:val="22"/>
        </w:rPr>
        <w:t> </w:t>
      </w:r>
      <w:r>
        <w:rPr>
          <w:sz w:val="22"/>
        </w:rPr>
        <w:t>plans</w:t>
      </w:r>
      <w:r>
        <w:rPr>
          <w:spacing w:val="-7"/>
          <w:sz w:val="22"/>
        </w:rPr>
        <w:t> </w:t>
      </w:r>
      <w:r>
        <w:rPr>
          <w:sz w:val="22"/>
        </w:rPr>
        <w:t>and</w:t>
      </w:r>
      <w:r>
        <w:rPr>
          <w:spacing w:val="-9"/>
          <w:sz w:val="22"/>
        </w:rPr>
        <w:t> </w:t>
      </w:r>
      <w:r>
        <w:rPr>
          <w:sz w:val="22"/>
        </w:rPr>
        <w:t>activities</w:t>
      </w:r>
      <w:r>
        <w:rPr>
          <w:spacing w:val="-9"/>
          <w:sz w:val="22"/>
        </w:rPr>
        <w:t> </w:t>
      </w:r>
      <w:r>
        <w:rPr>
          <w:sz w:val="22"/>
        </w:rPr>
        <w:t>with</w:t>
      </w:r>
      <w:r>
        <w:rPr>
          <w:spacing w:val="-10"/>
          <w:sz w:val="22"/>
        </w:rPr>
        <w:t> </w:t>
      </w:r>
      <w:r>
        <w:rPr>
          <w:sz w:val="22"/>
        </w:rPr>
        <w:t>state,</w:t>
      </w:r>
      <w:r>
        <w:rPr>
          <w:spacing w:val="-8"/>
          <w:sz w:val="22"/>
        </w:rPr>
        <w:t> </w:t>
      </w:r>
      <w:r>
        <w:rPr>
          <w:sz w:val="22"/>
        </w:rPr>
        <w:t>local</w:t>
      </w:r>
      <w:r>
        <w:rPr>
          <w:spacing w:val="-10"/>
          <w:sz w:val="22"/>
        </w:rPr>
        <w:t> </w:t>
      </w:r>
      <w:r>
        <w:rPr>
          <w:sz w:val="22"/>
        </w:rPr>
        <w:t>and</w:t>
      </w:r>
      <w:r>
        <w:rPr>
          <w:spacing w:val="-9"/>
          <w:sz w:val="22"/>
        </w:rPr>
        <w:t> </w:t>
      </w:r>
      <w:r>
        <w:rPr>
          <w:sz w:val="22"/>
        </w:rPr>
        <w:t>Tribal</w:t>
      </w:r>
      <w:r>
        <w:rPr>
          <w:spacing w:val="-6"/>
          <w:sz w:val="22"/>
        </w:rPr>
        <w:t> </w:t>
      </w:r>
      <w:r>
        <w:rPr>
          <w:spacing w:val="-2"/>
          <w:sz w:val="22"/>
        </w:rPr>
        <w:t>governments.</w:t>
      </w:r>
    </w:p>
    <w:p>
      <w:pPr>
        <w:pStyle w:val="ListParagraph"/>
        <w:spacing w:after="0" w:line="240" w:lineRule="auto"/>
        <w:jc w:val="left"/>
        <w:rPr>
          <w:sz w:val="22"/>
        </w:rPr>
        <w:sectPr>
          <w:pgSz w:w="12240" w:h="15840"/>
          <w:pgMar w:header="725" w:footer="891" w:top="1340" w:bottom="1080" w:left="1080" w:right="1080"/>
        </w:sectPr>
      </w:pPr>
    </w:p>
    <w:p>
      <w:pPr>
        <w:pStyle w:val="BodyText"/>
        <w:spacing w:before="75"/>
        <w:rPr>
          <w:sz w:val="20"/>
        </w:rPr>
      </w:pPr>
    </w:p>
    <w:p>
      <w:pPr>
        <w:pStyle w:val="BodyText"/>
        <w:ind w:left="763"/>
        <w:rPr>
          <w:sz w:val="20"/>
        </w:rPr>
      </w:pPr>
      <w:r>
        <w:rPr>
          <w:sz w:val="20"/>
        </w:rPr>
        <mc:AlternateContent>
          <mc:Choice Requires="wps">
            <w:drawing>
              <wp:inline distT="0" distB="0" distL="0" distR="0">
                <wp:extent cx="5706110" cy="528955"/>
                <wp:effectExtent l="0" t="0" r="0" b="0"/>
                <wp:docPr id="316" name="Textbox 316"/>
                <wp:cNvGraphicFramePr>
                  <a:graphicFrameLocks/>
                </wp:cNvGraphicFramePr>
                <a:graphic>
                  <a:graphicData uri="http://schemas.microsoft.com/office/word/2010/wordprocessingShape">
                    <wps:wsp>
                      <wps:cNvPr id="316" name="Textbox 316"/>
                      <wps:cNvSpPr txBox="1"/>
                      <wps:spPr>
                        <a:xfrm>
                          <a:off x="0" y="0"/>
                          <a:ext cx="5706110" cy="528955"/>
                        </a:xfrm>
                        <a:prstGeom prst="rect">
                          <a:avLst/>
                        </a:prstGeom>
                        <a:solidFill>
                          <a:srgbClr val="C2D59B"/>
                        </a:solidFill>
                      </wps:spPr>
                      <wps:txbx>
                        <w:txbxContent>
                          <w:p>
                            <w:pPr>
                              <w:spacing w:before="0"/>
                              <w:ind w:left="28" w:right="142" w:firstLine="0"/>
                              <w:jc w:val="left"/>
                              <w:rPr>
                                <w:rFonts w:ascii="Arial" w:hAnsi="Arial"/>
                                <w:b/>
                                <w:color w:val="000000"/>
                                <w:sz w:val="36"/>
                              </w:rPr>
                            </w:pPr>
                            <w:bookmarkStart w:name="Appendix C – Wildlife, Fish, and Plant S" w:id="975"/>
                            <w:bookmarkEnd w:id="975"/>
                            <w:r>
                              <w:rPr>
                                <w:color w:val="000000"/>
                              </w:rPr>
                            </w:r>
                            <w:bookmarkStart w:name="_bookmark304" w:id="976"/>
                            <w:bookmarkEnd w:id="976"/>
                            <w:r>
                              <w:rPr>
                                <w:color w:val="000000"/>
                              </w:rPr>
                            </w:r>
                            <w:r>
                              <w:rPr>
                                <w:rFonts w:ascii="Arial" w:hAnsi="Arial"/>
                                <w:b/>
                                <w:color w:val="475824"/>
                                <w:sz w:val="36"/>
                              </w:rPr>
                              <w:t>Appendix</w:t>
                            </w:r>
                            <w:r>
                              <w:rPr>
                                <w:rFonts w:ascii="Arial" w:hAnsi="Arial"/>
                                <w:b/>
                                <w:color w:val="475824"/>
                                <w:spacing w:val="-6"/>
                                <w:sz w:val="36"/>
                              </w:rPr>
                              <w:t> </w:t>
                            </w:r>
                            <w:r>
                              <w:rPr>
                                <w:rFonts w:ascii="Arial" w:hAnsi="Arial"/>
                                <w:b/>
                                <w:color w:val="475824"/>
                                <w:sz w:val="36"/>
                              </w:rPr>
                              <w:t>C</w:t>
                            </w:r>
                            <w:r>
                              <w:rPr>
                                <w:rFonts w:ascii="Arial" w:hAnsi="Arial"/>
                                <w:b/>
                                <w:color w:val="475824"/>
                                <w:spacing w:val="-6"/>
                                <w:sz w:val="36"/>
                              </w:rPr>
                              <w:t> </w:t>
                            </w:r>
                            <w:r>
                              <w:rPr>
                                <w:rFonts w:ascii="Arial" w:hAnsi="Arial"/>
                                <w:b/>
                                <w:color w:val="475824"/>
                                <w:sz w:val="36"/>
                              </w:rPr>
                              <w:t>–</w:t>
                            </w:r>
                            <w:r>
                              <w:rPr>
                                <w:rFonts w:ascii="Arial" w:hAnsi="Arial"/>
                                <w:b/>
                                <w:color w:val="475824"/>
                                <w:spacing w:val="-6"/>
                                <w:sz w:val="36"/>
                              </w:rPr>
                              <w:t> </w:t>
                            </w:r>
                            <w:r>
                              <w:rPr>
                                <w:rFonts w:ascii="Arial" w:hAnsi="Arial"/>
                                <w:b/>
                                <w:color w:val="475824"/>
                                <w:sz w:val="36"/>
                              </w:rPr>
                              <w:t>Wildlife,</w:t>
                            </w:r>
                            <w:r>
                              <w:rPr>
                                <w:rFonts w:ascii="Arial" w:hAnsi="Arial"/>
                                <w:b/>
                                <w:color w:val="475824"/>
                                <w:spacing w:val="-6"/>
                                <w:sz w:val="36"/>
                              </w:rPr>
                              <w:t> </w:t>
                            </w:r>
                            <w:r>
                              <w:rPr>
                                <w:rFonts w:ascii="Arial" w:hAnsi="Arial"/>
                                <w:b/>
                                <w:color w:val="475824"/>
                                <w:sz w:val="36"/>
                              </w:rPr>
                              <w:t>Fish,</w:t>
                            </w:r>
                            <w:r>
                              <w:rPr>
                                <w:rFonts w:ascii="Arial" w:hAnsi="Arial"/>
                                <w:b/>
                                <w:color w:val="475824"/>
                                <w:spacing w:val="-7"/>
                                <w:sz w:val="36"/>
                              </w:rPr>
                              <w:t> </w:t>
                            </w:r>
                            <w:r>
                              <w:rPr>
                                <w:rFonts w:ascii="Arial" w:hAnsi="Arial"/>
                                <w:b/>
                                <w:color w:val="475824"/>
                                <w:sz w:val="36"/>
                              </w:rPr>
                              <w:t>and</w:t>
                            </w:r>
                            <w:r>
                              <w:rPr>
                                <w:rFonts w:ascii="Arial" w:hAnsi="Arial"/>
                                <w:b/>
                                <w:color w:val="475824"/>
                                <w:spacing w:val="-4"/>
                                <w:sz w:val="36"/>
                              </w:rPr>
                              <w:t> </w:t>
                            </w:r>
                            <w:r>
                              <w:rPr>
                                <w:rFonts w:ascii="Arial" w:hAnsi="Arial"/>
                                <w:b/>
                                <w:color w:val="475824"/>
                                <w:sz w:val="36"/>
                              </w:rPr>
                              <w:t>Plant</w:t>
                            </w:r>
                            <w:r>
                              <w:rPr>
                                <w:rFonts w:ascii="Arial" w:hAnsi="Arial"/>
                                <w:b/>
                                <w:color w:val="475824"/>
                                <w:spacing w:val="-5"/>
                                <w:sz w:val="36"/>
                              </w:rPr>
                              <w:t> </w:t>
                            </w:r>
                            <w:r>
                              <w:rPr>
                                <w:rFonts w:ascii="Arial" w:hAnsi="Arial"/>
                                <w:b/>
                                <w:color w:val="475824"/>
                                <w:sz w:val="36"/>
                              </w:rPr>
                              <w:t>Species</w:t>
                            </w:r>
                            <w:r>
                              <w:rPr>
                                <w:rFonts w:ascii="Arial" w:hAnsi="Arial"/>
                                <w:b/>
                                <w:color w:val="475824"/>
                                <w:spacing w:val="-6"/>
                                <w:sz w:val="36"/>
                              </w:rPr>
                              <w:t> </w:t>
                            </w:r>
                            <w:r>
                              <w:rPr>
                                <w:rFonts w:ascii="Arial" w:hAnsi="Arial"/>
                                <w:b/>
                                <w:color w:val="475824"/>
                                <w:sz w:val="36"/>
                              </w:rPr>
                              <w:t>of the Colville National Forest</w:t>
                            </w:r>
                          </w:p>
                        </w:txbxContent>
                      </wps:txbx>
                      <wps:bodyPr wrap="square" lIns="0" tIns="0" rIns="0" bIns="0" rtlCol="0">
                        <a:noAutofit/>
                      </wps:bodyPr>
                    </wps:wsp>
                  </a:graphicData>
                </a:graphic>
              </wp:inline>
            </w:drawing>
          </mc:Choice>
          <mc:Fallback>
            <w:pict>
              <v:shape style="width:449.3pt;height:41.65pt;mso-position-horizontal-relative:char;mso-position-vertical-relative:line" type="#_x0000_t202" id="docshape300" filled="true" fillcolor="#c2d59b" stroked="false">
                <w10:anchorlock/>
                <v:textbox inset="0,0,0,0">
                  <w:txbxContent>
                    <w:p>
                      <w:pPr>
                        <w:spacing w:before="0"/>
                        <w:ind w:left="28" w:right="142" w:firstLine="0"/>
                        <w:jc w:val="left"/>
                        <w:rPr>
                          <w:rFonts w:ascii="Arial" w:hAnsi="Arial"/>
                          <w:b/>
                          <w:color w:val="000000"/>
                          <w:sz w:val="36"/>
                        </w:rPr>
                      </w:pPr>
                      <w:bookmarkStart w:name="Appendix C – Wildlife, Fish, and Plant S" w:id="977"/>
                      <w:bookmarkEnd w:id="977"/>
                      <w:r>
                        <w:rPr>
                          <w:color w:val="000000"/>
                        </w:rPr>
                      </w:r>
                      <w:bookmarkStart w:name="_bookmark304" w:id="978"/>
                      <w:bookmarkEnd w:id="978"/>
                      <w:r>
                        <w:rPr>
                          <w:color w:val="000000"/>
                        </w:rPr>
                      </w:r>
                      <w:r>
                        <w:rPr>
                          <w:rFonts w:ascii="Arial" w:hAnsi="Arial"/>
                          <w:b/>
                          <w:color w:val="475824"/>
                          <w:sz w:val="36"/>
                        </w:rPr>
                        <w:t>Appendix</w:t>
                      </w:r>
                      <w:r>
                        <w:rPr>
                          <w:rFonts w:ascii="Arial" w:hAnsi="Arial"/>
                          <w:b/>
                          <w:color w:val="475824"/>
                          <w:spacing w:val="-6"/>
                          <w:sz w:val="36"/>
                        </w:rPr>
                        <w:t> </w:t>
                      </w:r>
                      <w:r>
                        <w:rPr>
                          <w:rFonts w:ascii="Arial" w:hAnsi="Arial"/>
                          <w:b/>
                          <w:color w:val="475824"/>
                          <w:sz w:val="36"/>
                        </w:rPr>
                        <w:t>C</w:t>
                      </w:r>
                      <w:r>
                        <w:rPr>
                          <w:rFonts w:ascii="Arial" w:hAnsi="Arial"/>
                          <w:b/>
                          <w:color w:val="475824"/>
                          <w:spacing w:val="-6"/>
                          <w:sz w:val="36"/>
                        </w:rPr>
                        <w:t> </w:t>
                      </w:r>
                      <w:r>
                        <w:rPr>
                          <w:rFonts w:ascii="Arial" w:hAnsi="Arial"/>
                          <w:b/>
                          <w:color w:val="475824"/>
                          <w:sz w:val="36"/>
                        </w:rPr>
                        <w:t>–</w:t>
                      </w:r>
                      <w:r>
                        <w:rPr>
                          <w:rFonts w:ascii="Arial" w:hAnsi="Arial"/>
                          <w:b/>
                          <w:color w:val="475824"/>
                          <w:spacing w:val="-6"/>
                          <w:sz w:val="36"/>
                        </w:rPr>
                        <w:t> </w:t>
                      </w:r>
                      <w:r>
                        <w:rPr>
                          <w:rFonts w:ascii="Arial" w:hAnsi="Arial"/>
                          <w:b/>
                          <w:color w:val="475824"/>
                          <w:sz w:val="36"/>
                        </w:rPr>
                        <w:t>Wildlife,</w:t>
                      </w:r>
                      <w:r>
                        <w:rPr>
                          <w:rFonts w:ascii="Arial" w:hAnsi="Arial"/>
                          <w:b/>
                          <w:color w:val="475824"/>
                          <w:spacing w:val="-6"/>
                          <w:sz w:val="36"/>
                        </w:rPr>
                        <w:t> </w:t>
                      </w:r>
                      <w:r>
                        <w:rPr>
                          <w:rFonts w:ascii="Arial" w:hAnsi="Arial"/>
                          <w:b/>
                          <w:color w:val="475824"/>
                          <w:sz w:val="36"/>
                        </w:rPr>
                        <w:t>Fish,</w:t>
                      </w:r>
                      <w:r>
                        <w:rPr>
                          <w:rFonts w:ascii="Arial" w:hAnsi="Arial"/>
                          <w:b/>
                          <w:color w:val="475824"/>
                          <w:spacing w:val="-7"/>
                          <w:sz w:val="36"/>
                        </w:rPr>
                        <w:t> </w:t>
                      </w:r>
                      <w:r>
                        <w:rPr>
                          <w:rFonts w:ascii="Arial" w:hAnsi="Arial"/>
                          <w:b/>
                          <w:color w:val="475824"/>
                          <w:sz w:val="36"/>
                        </w:rPr>
                        <w:t>and</w:t>
                      </w:r>
                      <w:r>
                        <w:rPr>
                          <w:rFonts w:ascii="Arial" w:hAnsi="Arial"/>
                          <w:b/>
                          <w:color w:val="475824"/>
                          <w:spacing w:val="-4"/>
                          <w:sz w:val="36"/>
                        </w:rPr>
                        <w:t> </w:t>
                      </w:r>
                      <w:r>
                        <w:rPr>
                          <w:rFonts w:ascii="Arial" w:hAnsi="Arial"/>
                          <w:b/>
                          <w:color w:val="475824"/>
                          <w:sz w:val="36"/>
                        </w:rPr>
                        <w:t>Plant</w:t>
                      </w:r>
                      <w:r>
                        <w:rPr>
                          <w:rFonts w:ascii="Arial" w:hAnsi="Arial"/>
                          <w:b/>
                          <w:color w:val="475824"/>
                          <w:spacing w:val="-5"/>
                          <w:sz w:val="36"/>
                        </w:rPr>
                        <w:t> </w:t>
                      </w:r>
                      <w:r>
                        <w:rPr>
                          <w:rFonts w:ascii="Arial" w:hAnsi="Arial"/>
                          <w:b/>
                          <w:color w:val="475824"/>
                          <w:sz w:val="36"/>
                        </w:rPr>
                        <w:t>Species</w:t>
                      </w:r>
                      <w:r>
                        <w:rPr>
                          <w:rFonts w:ascii="Arial" w:hAnsi="Arial"/>
                          <w:b/>
                          <w:color w:val="475824"/>
                          <w:spacing w:val="-6"/>
                          <w:sz w:val="36"/>
                        </w:rPr>
                        <w:t> </w:t>
                      </w:r>
                      <w:r>
                        <w:rPr>
                          <w:rFonts w:ascii="Arial" w:hAnsi="Arial"/>
                          <w:b/>
                          <w:color w:val="475824"/>
                          <w:sz w:val="36"/>
                        </w:rPr>
                        <w:t>of the Colville National Forest</w:t>
                      </w:r>
                    </w:p>
                  </w:txbxContent>
                </v:textbox>
                <v:fill type="solid"/>
              </v:shape>
            </w:pict>
          </mc:Fallback>
        </mc:AlternateContent>
      </w:r>
      <w:r>
        <w:rPr>
          <w:sz w:val="20"/>
        </w:rPr>
      </w:r>
    </w:p>
    <w:p>
      <w:pPr>
        <w:pStyle w:val="Heading2"/>
        <w:spacing w:before="215"/>
        <w:ind w:left="791"/>
      </w:pPr>
      <w:bookmarkStart w:name="Introduction" w:id="979"/>
      <w:bookmarkEnd w:id="979"/>
      <w:r>
        <w:rPr/>
      </w:r>
      <w:bookmarkStart w:name="_bookmark305" w:id="980"/>
      <w:bookmarkEnd w:id="980"/>
      <w:r>
        <w:rPr/>
      </w:r>
      <w:r>
        <w:rPr>
          <w:smallCaps/>
          <w:color w:val="475824"/>
          <w:spacing w:val="-2"/>
        </w:rPr>
        <w:t>Introduction</w:t>
      </w:r>
    </w:p>
    <w:p>
      <w:pPr>
        <w:pStyle w:val="BodyText"/>
        <w:spacing w:line="232" w:lineRule="auto" w:before="65"/>
        <w:ind w:left="791" w:right="361"/>
      </w:pPr>
      <w:r>
        <w:rPr/>
        <w:t>Threatened, endangered,</w:t>
      </w:r>
      <w:r>
        <w:rPr>
          <w:spacing w:val="-2"/>
        </w:rPr>
        <w:t> </w:t>
      </w:r>
      <w:r>
        <w:rPr/>
        <w:t>and</w:t>
      </w:r>
      <w:r>
        <w:rPr>
          <w:spacing w:val="-1"/>
        </w:rPr>
        <w:t> </w:t>
      </w:r>
      <w:r>
        <w:rPr/>
        <w:t>proposed</w:t>
      </w:r>
      <w:r>
        <w:rPr>
          <w:spacing w:val="-3"/>
        </w:rPr>
        <w:t> </w:t>
      </w:r>
      <w:r>
        <w:rPr/>
        <w:t>or candidate</w:t>
      </w:r>
      <w:r>
        <w:rPr>
          <w:spacing w:val="-2"/>
        </w:rPr>
        <w:t> </w:t>
      </w:r>
      <w:r>
        <w:rPr/>
        <w:t>species are designated</w:t>
      </w:r>
      <w:r>
        <w:rPr>
          <w:spacing w:val="-1"/>
        </w:rPr>
        <w:t> </w:t>
      </w:r>
      <w:r>
        <w:rPr/>
        <w:t>under the ESA by the USDI</w:t>
      </w:r>
      <w:r>
        <w:rPr>
          <w:spacing w:val="-3"/>
        </w:rPr>
        <w:t> </w:t>
      </w:r>
      <w:r>
        <w:rPr/>
        <w:t>Fish</w:t>
      </w:r>
      <w:r>
        <w:rPr>
          <w:spacing w:val="-4"/>
        </w:rPr>
        <w:t> </w:t>
      </w:r>
      <w:r>
        <w:rPr/>
        <w:t>and</w:t>
      </w:r>
      <w:r>
        <w:rPr>
          <w:spacing w:val="-4"/>
        </w:rPr>
        <w:t> </w:t>
      </w:r>
      <w:r>
        <w:rPr/>
        <w:t>Wildlife</w:t>
      </w:r>
      <w:r>
        <w:rPr>
          <w:spacing w:val="-2"/>
        </w:rPr>
        <w:t> </w:t>
      </w:r>
      <w:r>
        <w:rPr/>
        <w:t>Service.</w:t>
      </w:r>
      <w:r>
        <w:rPr>
          <w:spacing w:val="-3"/>
        </w:rPr>
        <w:t> </w:t>
      </w:r>
      <w:r>
        <w:rPr/>
        <w:t>Sensitive</w:t>
      </w:r>
      <w:r>
        <w:rPr>
          <w:spacing w:val="-5"/>
        </w:rPr>
        <w:t> </w:t>
      </w:r>
      <w:r>
        <w:rPr/>
        <w:t>species</w:t>
      </w:r>
      <w:r>
        <w:rPr>
          <w:spacing w:val="-5"/>
        </w:rPr>
        <w:t> </w:t>
      </w:r>
      <w:r>
        <w:rPr/>
        <w:t>are</w:t>
      </w:r>
      <w:r>
        <w:rPr>
          <w:spacing w:val="-4"/>
        </w:rPr>
        <w:t> </w:t>
      </w:r>
      <w:r>
        <w:rPr/>
        <w:t>designated</w:t>
      </w:r>
      <w:r>
        <w:rPr>
          <w:spacing w:val="-4"/>
        </w:rPr>
        <w:t> </w:t>
      </w:r>
      <w:r>
        <w:rPr/>
        <w:t>by</w:t>
      </w:r>
      <w:r>
        <w:rPr>
          <w:spacing w:val="-4"/>
        </w:rPr>
        <w:t> </w:t>
      </w:r>
      <w:r>
        <w:rPr/>
        <w:t>the</w:t>
      </w:r>
      <w:r>
        <w:rPr>
          <w:spacing w:val="-2"/>
        </w:rPr>
        <w:t> </w:t>
      </w:r>
      <w:r>
        <w:rPr/>
        <w:t>Forest</w:t>
      </w:r>
      <w:r>
        <w:rPr>
          <w:spacing w:val="-5"/>
        </w:rPr>
        <w:t> </w:t>
      </w:r>
      <w:r>
        <w:rPr/>
        <w:t>Service</w:t>
      </w:r>
      <w:r>
        <w:rPr>
          <w:spacing w:val="-2"/>
        </w:rPr>
        <w:t> </w:t>
      </w:r>
      <w:r>
        <w:rPr/>
        <w:t>and</w:t>
      </w:r>
      <w:r>
        <w:rPr>
          <w:spacing w:val="-4"/>
        </w:rPr>
        <w:t> </w:t>
      </w:r>
      <w:r>
        <w:rPr/>
        <w:t>based</w:t>
      </w:r>
      <w:r>
        <w:rPr>
          <w:spacing w:val="-6"/>
        </w:rPr>
        <w:t> </w:t>
      </w:r>
      <w:r>
        <w:rPr/>
        <w:t>on the Region 6 Regional Forester’s Sensitive Species list for this Forest Plan (USDA Forest Service 2015e). The status of species identified in this appendix may change during the life of the Forest Plan due to changes in ESA listings and periodic updates to the Region 6 Regional Forester’s sensitive species list.</w:t>
      </w:r>
    </w:p>
    <w:p>
      <w:pPr>
        <w:pStyle w:val="BodyText"/>
        <w:spacing w:line="232" w:lineRule="auto" w:before="199"/>
        <w:ind w:left="792" w:right="361"/>
      </w:pPr>
      <w:r>
        <w:rPr/>
        <w:t>This</w:t>
      </w:r>
      <w:r>
        <w:rPr>
          <w:spacing w:val="-5"/>
        </w:rPr>
        <w:t> </w:t>
      </w:r>
      <w:r>
        <w:rPr/>
        <w:t>appendix</w:t>
      </w:r>
      <w:r>
        <w:rPr>
          <w:spacing w:val="-5"/>
        </w:rPr>
        <w:t> </w:t>
      </w:r>
      <w:r>
        <w:rPr/>
        <w:t>identifies</w:t>
      </w:r>
      <w:r>
        <w:rPr>
          <w:spacing w:val="-5"/>
        </w:rPr>
        <w:t> </w:t>
      </w:r>
      <w:r>
        <w:rPr/>
        <w:t>plant,</w:t>
      </w:r>
      <w:r>
        <w:rPr>
          <w:spacing w:val="-5"/>
        </w:rPr>
        <w:t> </w:t>
      </w:r>
      <w:r>
        <w:rPr/>
        <w:t>wildlife,</w:t>
      </w:r>
      <w:r>
        <w:rPr>
          <w:spacing w:val="-7"/>
        </w:rPr>
        <w:t> </w:t>
      </w:r>
      <w:r>
        <w:rPr/>
        <w:t>and</w:t>
      </w:r>
      <w:r>
        <w:rPr>
          <w:spacing w:val="-6"/>
        </w:rPr>
        <w:t> </w:t>
      </w:r>
      <w:r>
        <w:rPr/>
        <w:t>fish</w:t>
      </w:r>
      <w:r>
        <w:rPr>
          <w:spacing w:val="-6"/>
        </w:rPr>
        <w:t> </w:t>
      </w:r>
      <w:r>
        <w:rPr/>
        <w:t>species</w:t>
      </w:r>
      <w:r>
        <w:rPr>
          <w:spacing w:val="-7"/>
        </w:rPr>
        <w:t> </w:t>
      </w:r>
      <w:r>
        <w:rPr/>
        <w:t>listed</w:t>
      </w:r>
      <w:r>
        <w:rPr>
          <w:spacing w:val="-6"/>
        </w:rPr>
        <w:t> </w:t>
      </w:r>
      <w:r>
        <w:rPr/>
        <w:t>as</w:t>
      </w:r>
      <w:r>
        <w:rPr>
          <w:spacing w:val="-7"/>
        </w:rPr>
        <w:t> </w:t>
      </w:r>
      <w:r>
        <w:rPr/>
        <w:t>threatened,</w:t>
      </w:r>
      <w:r>
        <w:rPr>
          <w:spacing w:val="-7"/>
        </w:rPr>
        <w:t> </w:t>
      </w:r>
      <w:r>
        <w:rPr/>
        <w:t>endangered,</w:t>
      </w:r>
      <w:r>
        <w:rPr>
          <w:spacing w:val="-5"/>
        </w:rPr>
        <w:t> </w:t>
      </w:r>
      <w:r>
        <w:rPr/>
        <w:t>proposed or candidate under the Endangered Species Act (ESA), as well as species classified as Region 6 sensitive, management indicator species/focal, or surrogate species found on</w:t>
      </w:r>
      <w:r>
        <w:rPr>
          <w:spacing w:val="-1"/>
        </w:rPr>
        <w:t> </w:t>
      </w:r>
      <w:r>
        <w:rPr/>
        <w:t>the Colville National Forest (Table C-1).</w:t>
      </w:r>
    </w:p>
    <w:p>
      <w:pPr>
        <w:pStyle w:val="BodyText"/>
        <w:spacing w:line="232" w:lineRule="auto" w:before="196"/>
        <w:ind w:left="791" w:right="361"/>
      </w:pPr>
      <w:r>
        <w:rPr/>
        <w:t>Surrogate</w:t>
      </w:r>
      <w:r>
        <w:rPr>
          <w:spacing w:val="-5"/>
        </w:rPr>
        <w:t> </w:t>
      </w:r>
      <w:r>
        <w:rPr/>
        <w:t>species</w:t>
      </w:r>
      <w:r>
        <w:rPr>
          <w:spacing w:val="-8"/>
        </w:rPr>
        <w:t> </w:t>
      </w:r>
      <w:r>
        <w:rPr/>
        <w:t>were</w:t>
      </w:r>
      <w:r>
        <w:rPr>
          <w:spacing w:val="-5"/>
        </w:rPr>
        <w:t> </w:t>
      </w:r>
      <w:r>
        <w:rPr/>
        <w:t>identified</w:t>
      </w:r>
      <w:r>
        <w:rPr>
          <w:spacing w:val="-7"/>
        </w:rPr>
        <w:t> </w:t>
      </w:r>
      <w:r>
        <w:rPr/>
        <w:t>for</w:t>
      </w:r>
      <w:r>
        <w:rPr>
          <w:spacing w:val="-8"/>
        </w:rPr>
        <w:t> </w:t>
      </w:r>
      <w:r>
        <w:rPr/>
        <w:t>the</w:t>
      </w:r>
      <w:r>
        <w:rPr>
          <w:spacing w:val="-5"/>
        </w:rPr>
        <w:t> </w:t>
      </w:r>
      <w:r>
        <w:rPr/>
        <w:t>Colville</w:t>
      </w:r>
      <w:r>
        <w:rPr>
          <w:spacing w:val="-5"/>
        </w:rPr>
        <w:t> </w:t>
      </w:r>
      <w:r>
        <w:rPr/>
        <w:t>National</w:t>
      </w:r>
      <w:r>
        <w:rPr>
          <w:spacing w:val="-6"/>
        </w:rPr>
        <w:t> </w:t>
      </w:r>
      <w:r>
        <w:rPr/>
        <w:t>Forest</w:t>
      </w:r>
      <w:r>
        <w:rPr>
          <w:spacing w:val="-5"/>
        </w:rPr>
        <w:t> </w:t>
      </w:r>
      <w:r>
        <w:rPr/>
        <w:t>and</w:t>
      </w:r>
      <w:r>
        <w:rPr>
          <w:spacing w:val="-6"/>
        </w:rPr>
        <w:t> </w:t>
      </w:r>
      <w:r>
        <w:rPr/>
        <w:t>represent</w:t>
      </w:r>
      <w:r>
        <w:rPr>
          <w:spacing w:val="-8"/>
        </w:rPr>
        <w:t> </w:t>
      </w:r>
      <w:r>
        <w:rPr/>
        <w:t>other</w:t>
      </w:r>
      <w:r>
        <w:rPr>
          <w:spacing w:val="-8"/>
        </w:rPr>
        <w:t> </w:t>
      </w:r>
      <w:r>
        <w:rPr/>
        <w:t>species</w:t>
      </w:r>
      <w:r>
        <w:rPr>
          <w:spacing w:val="-6"/>
        </w:rPr>
        <w:t> </w:t>
      </w:r>
      <w:r>
        <w:rPr/>
        <w:t>that share similar habitat and risk factors, including Region</w:t>
      </w:r>
      <w:r>
        <w:rPr>
          <w:spacing w:val="-1"/>
        </w:rPr>
        <w:t> </w:t>
      </w:r>
      <w:r>
        <w:rPr/>
        <w:t>6 sensitive species, state-listed species, or other species for which the published literature has identified a concern for their viability. Focal species are a subset of the surrogate species that will be used for monitoring (see chapter 4).</w:t>
      </w:r>
    </w:p>
    <w:p>
      <w:pPr>
        <w:pStyle w:val="BodyText"/>
        <w:spacing w:line="262" w:lineRule="exact"/>
        <w:ind w:left="791"/>
      </w:pPr>
      <w:r>
        <w:rPr/>
        <w:t>Species</w:t>
      </w:r>
      <w:r>
        <w:rPr>
          <w:spacing w:val="-7"/>
        </w:rPr>
        <w:t> </w:t>
      </w:r>
      <w:r>
        <w:rPr/>
        <w:t>of</w:t>
      </w:r>
      <w:r>
        <w:rPr>
          <w:spacing w:val="-7"/>
        </w:rPr>
        <w:t> </w:t>
      </w:r>
      <w:r>
        <w:rPr/>
        <w:t>management</w:t>
      </w:r>
      <w:r>
        <w:rPr>
          <w:spacing w:val="-4"/>
        </w:rPr>
        <w:t> </w:t>
      </w:r>
      <w:r>
        <w:rPr/>
        <w:t>interest</w:t>
      </w:r>
      <w:r>
        <w:rPr>
          <w:spacing w:val="-7"/>
        </w:rPr>
        <w:t> </w:t>
      </w:r>
      <w:r>
        <w:rPr/>
        <w:t>are</w:t>
      </w:r>
      <w:r>
        <w:rPr>
          <w:spacing w:val="-7"/>
        </w:rPr>
        <w:t> </w:t>
      </w:r>
      <w:r>
        <w:rPr/>
        <w:t>big</w:t>
      </w:r>
      <w:r>
        <w:rPr>
          <w:spacing w:val="-6"/>
        </w:rPr>
        <w:t> </w:t>
      </w:r>
      <w:r>
        <w:rPr/>
        <w:t>game</w:t>
      </w:r>
      <w:r>
        <w:rPr>
          <w:spacing w:val="-7"/>
        </w:rPr>
        <w:t> </w:t>
      </w:r>
      <w:r>
        <w:rPr/>
        <w:t>species</w:t>
      </w:r>
      <w:r>
        <w:rPr>
          <w:spacing w:val="-7"/>
        </w:rPr>
        <w:t> </w:t>
      </w:r>
      <w:r>
        <w:rPr/>
        <w:t>that</w:t>
      </w:r>
      <w:r>
        <w:rPr>
          <w:spacing w:val="-4"/>
        </w:rPr>
        <w:t> </w:t>
      </w:r>
      <w:r>
        <w:rPr/>
        <w:t>are</w:t>
      </w:r>
      <w:r>
        <w:rPr>
          <w:spacing w:val="-7"/>
        </w:rPr>
        <w:t> </w:t>
      </w:r>
      <w:r>
        <w:rPr/>
        <w:t>of</w:t>
      </w:r>
      <w:r>
        <w:rPr>
          <w:spacing w:val="-6"/>
        </w:rPr>
        <w:t> </w:t>
      </w:r>
      <w:r>
        <w:rPr/>
        <w:t>high</w:t>
      </w:r>
      <w:r>
        <w:rPr>
          <w:spacing w:val="-6"/>
        </w:rPr>
        <w:t> </w:t>
      </w:r>
      <w:r>
        <w:rPr/>
        <w:t>interest</w:t>
      </w:r>
      <w:r>
        <w:rPr>
          <w:spacing w:val="-4"/>
        </w:rPr>
        <w:t> </w:t>
      </w:r>
      <w:r>
        <w:rPr/>
        <w:t>to</w:t>
      </w:r>
      <w:r>
        <w:rPr>
          <w:spacing w:val="-6"/>
        </w:rPr>
        <w:t> </w:t>
      </w:r>
      <w:r>
        <w:rPr/>
        <w:t>the</w:t>
      </w:r>
      <w:r>
        <w:rPr>
          <w:spacing w:val="-4"/>
        </w:rPr>
        <w:t> </w:t>
      </w:r>
      <w:r>
        <w:rPr>
          <w:spacing w:val="-2"/>
        </w:rPr>
        <w:t>public.</w:t>
      </w:r>
    </w:p>
    <w:p>
      <w:pPr>
        <w:pStyle w:val="BodyText"/>
        <w:spacing w:line="232" w:lineRule="auto" w:before="196"/>
        <w:ind w:left="791" w:right="361"/>
      </w:pPr>
      <w:r>
        <w:rPr/>
        <w:t>Washington State rank (WNHP 2015) characterizes the relative rarity or endangerment of plants within</w:t>
      </w:r>
      <w:r>
        <w:rPr>
          <w:spacing w:val="-3"/>
        </w:rPr>
        <w:t> </w:t>
      </w:r>
      <w:r>
        <w:rPr/>
        <w:t>the</w:t>
      </w:r>
      <w:r>
        <w:rPr>
          <w:spacing w:val="-4"/>
        </w:rPr>
        <w:t> </w:t>
      </w:r>
      <w:r>
        <w:rPr/>
        <w:t>state</w:t>
      </w:r>
      <w:r>
        <w:rPr>
          <w:spacing w:val="-4"/>
        </w:rPr>
        <w:t> </w:t>
      </w:r>
      <w:r>
        <w:rPr/>
        <w:t>of</w:t>
      </w:r>
      <w:r>
        <w:rPr>
          <w:spacing w:val="-2"/>
        </w:rPr>
        <w:t> </w:t>
      </w:r>
      <w:r>
        <w:rPr/>
        <w:t>Washington.</w:t>
      </w:r>
      <w:r>
        <w:rPr>
          <w:spacing w:val="-2"/>
        </w:rPr>
        <w:t> </w:t>
      </w:r>
      <w:r>
        <w:rPr/>
        <w:t>Factors</w:t>
      </w:r>
      <w:r>
        <w:rPr>
          <w:spacing w:val="-2"/>
        </w:rPr>
        <w:t> </w:t>
      </w:r>
      <w:r>
        <w:rPr/>
        <w:t>including,</w:t>
      </w:r>
      <w:r>
        <w:rPr>
          <w:spacing w:val="-2"/>
        </w:rPr>
        <w:t> </w:t>
      </w:r>
      <w:r>
        <w:rPr/>
        <w:t>but</w:t>
      </w:r>
      <w:r>
        <w:rPr>
          <w:spacing w:val="-4"/>
        </w:rPr>
        <w:t> </w:t>
      </w:r>
      <w:r>
        <w:rPr/>
        <w:t>not</w:t>
      </w:r>
      <w:r>
        <w:rPr>
          <w:spacing w:val="-1"/>
        </w:rPr>
        <w:t> </w:t>
      </w:r>
      <w:r>
        <w:rPr/>
        <w:t>limited</w:t>
      </w:r>
      <w:r>
        <w:rPr>
          <w:spacing w:val="-5"/>
        </w:rPr>
        <w:t> </w:t>
      </w:r>
      <w:r>
        <w:rPr/>
        <w:t>to,</w:t>
      </w:r>
      <w:r>
        <w:rPr>
          <w:spacing w:val="-2"/>
        </w:rPr>
        <w:t> </w:t>
      </w:r>
      <w:r>
        <w:rPr/>
        <w:t>number</w:t>
      </w:r>
      <w:r>
        <w:rPr>
          <w:spacing w:val="-4"/>
        </w:rPr>
        <w:t> </w:t>
      </w:r>
      <w:r>
        <w:rPr/>
        <w:t>of</w:t>
      </w:r>
      <w:r>
        <w:rPr>
          <w:spacing w:val="-4"/>
        </w:rPr>
        <w:t> </w:t>
      </w:r>
      <w:r>
        <w:rPr/>
        <w:t>known</w:t>
      </w:r>
      <w:r>
        <w:rPr>
          <w:spacing w:val="-5"/>
        </w:rPr>
        <w:t> </w:t>
      </w:r>
      <w:r>
        <w:rPr/>
        <w:t>occurrences are</w:t>
      </w:r>
      <w:r>
        <w:rPr>
          <w:spacing w:val="-5"/>
        </w:rPr>
        <w:t> </w:t>
      </w:r>
      <w:r>
        <w:rPr/>
        <w:t>considered</w:t>
      </w:r>
      <w:r>
        <w:rPr>
          <w:spacing w:val="-8"/>
        </w:rPr>
        <w:t> </w:t>
      </w:r>
      <w:r>
        <w:rPr/>
        <w:t>when</w:t>
      </w:r>
      <w:r>
        <w:rPr>
          <w:spacing w:val="-7"/>
        </w:rPr>
        <w:t> </w:t>
      </w:r>
      <w:r>
        <w:rPr/>
        <w:t>assigning</w:t>
      </w:r>
      <w:r>
        <w:rPr>
          <w:spacing w:val="-7"/>
        </w:rPr>
        <w:t> </w:t>
      </w:r>
      <w:r>
        <w:rPr/>
        <w:t>a</w:t>
      </w:r>
      <w:r>
        <w:rPr>
          <w:spacing w:val="-6"/>
        </w:rPr>
        <w:t> </w:t>
      </w:r>
      <w:r>
        <w:rPr/>
        <w:t>rank.</w:t>
      </w:r>
      <w:r>
        <w:rPr>
          <w:spacing w:val="-6"/>
        </w:rPr>
        <w:t> </w:t>
      </w:r>
      <w:r>
        <w:rPr/>
        <w:t>Two</w:t>
      </w:r>
      <w:r>
        <w:rPr>
          <w:spacing w:val="-5"/>
        </w:rPr>
        <w:t> </w:t>
      </w:r>
      <w:r>
        <w:rPr/>
        <w:t>codes</w:t>
      </w:r>
      <w:r>
        <w:rPr>
          <w:spacing w:val="-6"/>
        </w:rPr>
        <w:t> </w:t>
      </w:r>
      <w:r>
        <w:rPr/>
        <w:t>together</w:t>
      </w:r>
      <w:r>
        <w:rPr>
          <w:spacing w:val="-8"/>
        </w:rPr>
        <w:t> </w:t>
      </w:r>
      <w:r>
        <w:rPr/>
        <w:t>represent</w:t>
      </w:r>
      <w:r>
        <w:rPr>
          <w:spacing w:val="-8"/>
        </w:rPr>
        <w:t> </w:t>
      </w:r>
      <w:r>
        <w:rPr/>
        <w:t>an</w:t>
      </w:r>
      <w:r>
        <w:rPr>
          <w:spacing w:val="-7"/>
        </w:rPr>
        <w:t> </w:t>
      </w:r>
      <w:r>
        <w:rPr/>
        <w:t>inexact</w:t>
      </w:r>
      <w:r>
        <w:rPr>
          <w:spacing w:val="-8"/>
        </w:rPr>
        <w:t> </w:t>
      </w:r>
      <w:r>
        <w:rPr/>
        <w:t>range</w:t>
      </w:r>
      <w:r>
        <w:rPr>
          <w:spacing w:val="-5"/>
        </w:rPr>
        <w:t> </w:t>
      </w:r>
      <w:r>
        <w:rPr/>
        <w:t>(e.g.,</w:t>
      </w:r>
      <w:r>
        <w:rPr>
          <w:spacing w:val="-6"/>
        </w:rPr>
        <w:t> </w:t>
      </w:r>
      <w:r>
        <w:rPr/>
        <w:t>S1S2)</w:t>
      </w:r>
      <w:r>
        <w:rPr>
          <w:spacing w:val="-8"/>
        </w:rPr>
        <w:t> </w:t>
      </w:r>
      <w:r>
        <w:rPr/>
        <w:t>or different ranks for breeding and non-breeding populations (e.g., S1B, S3N) (Washington Natural Heritage Program State Rank (NatureServe 2017)). Values and their definitions:</w:t>
      </w:r>
    </w:p>
    <w:p>
      <w:pPr>
        <w:pStyle w:val="ListParagraph"/>
        <w:numPr>
          <w:ilvl w:val="0"/>
          <w:numId w:val="31"/>
        </w:numPr>
        <w:tabs>
          <w:tab w:pos="1511" w:val="left" w:leader="none"/>
        </w:tabs>
        <w:spacing w:line="232" w:lineRule="auto" w:before="186" w:after="0"/>
        <w:ind w:left="1511" w:right="412" w:hanging="361"/>
        <w:jc w:val="left"/>
        <w:rPr>
          <w:sz w:val="22"/>
        </w:rPr>
      </w:pPr>
      <w:r>
        <w:rPr>
          <w:sz w:val="22"/>
        </w:rPr>
        <w:t>S1 = Critically imperiled in the state because of extreme rarity or other factors making it especially</w:t>
      </w:r>
      <w:r>
        <w:rPr>
          <w:spacing w:val="-7"/>
          <w:sz w:val="22"/>
        </w:rPr>
        <w:t> </w:t>
      </w:r>
      <w:r>
        <w:rPr>
          <w:sz w:val="22"/>
        </w:rPr>
        <w:t>vulnerable</w:t>
      </w:r>
      <w:r>
        <w:rPr>
          <w:spacing w:val="-5"/>
          <w:sz w:val="22"/>
        </w:rPr>
        <w:t> </w:t>
      </w:r>
      <w:r>
        <w:rPr>
          <w:sz w:val="22"/>
        </w:rPr>
        <w:t>to</w:t>
      </w:r>
      <w:r>
        <w:rPr>
          <w:spacing w:val="-7"/>
          <w:sz w:val="22"/>
        </w:rPr>
        <w:t> </w:t>
      </w:r>
      <w:r>
        <w:rPr>
          <w:sz w:val="22"/>
        </w:rPr>
        <w:t>extirpation</w:t>
      </w:r>
      <w:r>
        <w:rPr>
          <w:spacing w:val="-7"/>
          <w:sz w:val="22"/>
        </w:rPr>
        <w:t> </w:t>
      </w:r>
      <w:r>
        <w:rPr>
          <w:sz w:val="22"/>
        </w:rPr>
        <w:t>from</w:t>
      </w:r>
      <w:r>
        <w:rPr>
          <w:spacing w:val="-5"/>
          <w:sz w:val="22"/>
        </w:rPr>
        <w:t> </w:t>
      </w:r>
      <w:r>
        <w:rPr>
          <w:sz w:val="22"/>
        </w:rPr>
        <w:t>the</w:t>
      </w:r>
      <w:r>
        <w:rPr>
          <w:spacing w:val="-5"/>
          <w:sz w:val="22"/>
        </w:rPr>
        <w:t> </w:t>
      </w:r>
      <w:r>
        <w:rPr>
          <w:sz w:val="22"/>
        </w:rPr>
        <w:t>state.</w:t>
      </w:r>
      <w:r>
        <w:rPr>
          <w:spacing w:val="-6"/>
          <w:sz w:val="22"/>
        </w:rPr>
        <w:t> </w:t>
      </w:r>
      <w:r>
        <w:rPr>
          <w:sz w:val="22"/>
        </w:rPr>
        <w:t>(Typically</w:t>
      </w:r>
      <w:r>
        <w:rPr>
          <w:spacing w:val="-5"/>
          <w:sz w:val="22"/>
        </w:rPr>
        <w:t> </w:t>
      </w:r>
      <w:r>
        <w:rPr>
          <w:sz w:val="22"/>
        </w:rPr>
        <w:t>5</w:t>
      </w:r>
      <w:r>
        <w:rPr>
          <w:spacing w:val="-7"/>
          <w:sz w:val="22"/>
        </w:rPr>
        <w:t> </w:t>
      </w:r>
      <w:r>
        <w:rPr>
          <w:sz w:val="22"/>
        </w:rPr>
        <w:t>or</w:t>
      </w:r>
      <w:r>
        <w:rPr>
          <w:spacing w:val="-8"/>
          <w:sz w:val="22"/>
        </w:rPr>
        <w:t> </w:t>
      </w:r>
      <w:r>
        <w:rPr>
          <w:sz w:val="22"/>
        </w:rPr>
        <w:t>fewer</w:t>
      </w:r>
      <w:r>
        <w:rPr>
          <w:spacing w:val="-8"/>
          <w:sz w:val="22"/>
        </w:rPr>
        <w:t> </w:t>
      </w:r>
      <w:r>
        <w:rPr>
          <w:sz w:val="22"/>
        </w:rPr>
        <w:t>occurrences</w:t>
      </w:r>
      <w:r>
        <w:rPr>
          <w:spacing w:val="-8"/>
          <w:sz w:val="22"/>
        </w:rPr>
        <w:t> </w:t>
      </w:r>
      <w:r>
        <w:rPr>
          <w:sz w:val="22"/>
        </w:rPr>
        <w:t>or</w:t>
      </w:r>
      <w:r>
        <w:rPr>
          <w:spacing w:val="-8"/>
          <w:sz w:val="22"/>
        </w:rPr>
        <w:t> </w:t>
      </w:r>
      <w:r>
        <w:rPr>
          <w:sz w:val="22"/>
        </w:rPr>
        <w:t>very few remaining individuals or acres)</w:t>
      </w:r>
    </w:p>
    <w:p>
      <w:pPr>
        <w:pStyle w:val="ListParagraph"/>
        <w:numPr>
          <w:ilvl w:val="0"/>
          <w:numId w:val="31"/>
        </w:numPr>
        <w:tabs>
          <w:tab w:pos="1509" w:val="left" w:leader="none"/>
          <w:tab w:pos="1511" w:val="left" w:leader="none"/>
        </w:tabs>
        <w:spacing w:line="232" w:lineRule="auto" w:before="189" w:after="0"/>
        <w:ind w:left="1511" w:right="708" w:hanging="361"/>
        <w:jc w:val="both"/>
        <w:rPr>
          <w:sz w:val="22"/>
        </w:rPr>
      </w:pPr>
      <w:r>
        <w:rPr>
          <w:sz w:val="22"/>
        </w:rPr>
        <w:t>S2</w:t>
      </w:r>
      <w:r>
        <w:rPr>
          <w:spacing w:val="-3"/>
          <w:sz w:val="22"/>
        </w:rPr>
        <w:t> </w:t>
      </w:r>
      <w:r>
        <w:rPr>
          <w:sz w:val="22"/>
        </w:rPr>
        <w:t>=</w:t>
      </w:r>
      <w:r>
        <w:rPr>
          <w:spacing w:val="-3"/>
          <w:sz w:val="22"/>
        </w:rPr>
        <w:t> </w:t>
      </w:r>
      <w:r>
        <w:rPr>
          <w:sz w:val="22"/>
        </w:rPr>
        <w:t>Imperiled</w:t>
      </w:r>
      <w:r>
        <w:rPr>
          <w:spacing w:val="-5"/>
          <w:sz w:val="22"/>
        </w:rPr>
        <w:t> </w:t>
      </w:r>
      <w:r>
        <w:rPr>
          <w:sz w:val="22"/>
        </w:rPr>
        <w:t>in</w:t>
      </w:r>
      <w:r>
        <w:rPr>
          <w:spacing w:val="-5"/>
          <w:sz w:val="22"/>
        </w:rPr>
        <w:t> </w:t>
      </w:r>
      <w:r>
        <w:rPr>
          <w:sz w:val="22"/>
        </w:rPr>
        <w:t>the</w:t>
      </w:r>
      <w:r>
        <w:rPr>
          <w:spacing w:val="-6"/>
          <w:sz w:val="22"/>
        </w:rPr>
        <w:t> </w:t>
      </w:r>
      <w:r>
        <w:rPr>
          <w:sz w:val="22"/>
        </w:rPr>
        <w:t>state</w:t>
      </w:r>
      <w:r>
        <w:rPr>
          <w:spacing w:val="-6"/>
          <w:sz w:val="22"/>
        </w:rPr>
        <w:t> </w:t>
      </w:r>
      <w:r>
        <w:rPr>
          <w:sz w:val="22"/>
        </w:rPr>
        <w:t>because</w:t>
      </w:r>
      <w:r>
        <w:rPr>
          <w:spacing w:val="-6"/>
          <w:sz w:val="22"/>
        </w:rPr>
        <w:t> </w:t>
      </w:r>
      <w:r>
        <w:rPr>
          <w:sz w:val="22"/>
        </w:rPr>
        <w:t>of</w:t>
      </w:r>
      <w:r>
        <w:rPr>
          <w:spacing w:val="-4"/>
          <w:sz w:val="22"/>
        </w:rPr>
        <w:t> </w:t>
      </w:r>
      <w:r>
        <w:rPr>
          <w:sz w:val="22"/>
        </w:rPr>
        <w:t>rarity</w:t>
      </w:r>
      <w:r>
        <w:rPr>
          <w:spacing w:val="-5"/>
          <w:sz w:val="22"/>
        </w:rPr>
        <w:t> </w:t>
      </w:r>
      <w:r>
        <w:rPr>
          <w:sz w:val="22"/>
        </w:rPr>
        <w:t>or</w:t>
      </w:r>
      <w:r>
        <w:rPr>
          <w:spacing w:val="-6"/>
          <w:sz w:val="22"/>
        </w:rPr>
        <w:t> </w:t>
      </w:r>
      <w:r>
        <w:rPr>
          <w:sz w:val="22"/>
        </w:rPr>
        <w:t>other</w:t>
      </w:r>
      <w:r>
        <w:rPr>
          <w:spacing w:val="-4"/>
          <w:sz w:val="22"/>
        </w:rPr>
        <w:t> </w:t>
      </w:r>
      <w:r>
        <w:rPr>
          <w:sz w:val="22"/>
        </w:rPr>
        <w:t>factors</w:t>
      </w:r>
      <w:r>
        <w:rPr>
          <w:spacing w:val="-6"/>
          <w:sz w:val="22"/>
        </w:rPr>
        <w:t> </w:t>
      </w:r>
      <w:r>
        <w:rPr>
          <w:sz w:val="22"/>
        </w:rPr>
        <w:t>making</w:t>
      </w:r>
      <w:r>
        <w:rPr>
          <w:spacing w:val="-5"/>
          <w:sz w:val="22"/>
        </w:rPr>
        <w:t> </w:t>
      </w:r>
      <w:r>
        <w:rPr>
          <w:sz w:val="22"/>
        </w:rPr>
        <w:t>it</w:t>
      </w:r>
      <w:r>
        <w:rPr>
          <w:spacing w:val="-3"/>
          <w:sz w:val="22"/>
        </w:rPr>
        <w:t> </w:t>
      </w:r>
      <w:r>
        <w:rPr>
          <w:sz w:val="22"/>
        </w:rPr>
        <w:t>very</w:t>
      </w:r>
      <w:r>
        <w:rPr>
          <w:spacing w:val="-5"/>
          <w:sz w:val="22"/>
        </w:rPr>
        <w:t> </w:t>
      </w:r>
      <w:r>
        <w:rPr>
          <w:sz w:val="22"/>
        </w:rPr>
        <w:t>vulnerable</w:t>
      </w:r>
      <w:r>
        <w:rPr>
          <w:spacing w:val="-3"/>
          <w:sz w:val="22"/>
        </w:rPr>
        <w:t> </w:t>
      </w:r>
      <w:r>
        <w:rPr>
          <w:sz w:val="22"/>
        </w:rPr>
        <w:t>to extirpation</w:t>
      </w:r>
      <w:r>
        <w:rPr>
          <w:spacing w:val="-6"/>
          <w:sz w:val="22"/>
        </w:rPr>
        <w:t> </w:t>
      </w:r>
      <w:r>
        <w:rPr>
          <w:sz w:val="22"/>
        </w:rPr>
        <w:t>from</w:t>
      </w:r>
      <w:r>
        <w:rPr>
          <w:spacing w:val="-5"/>
          <w:sz w:val="22"/>
        </w:rPr>
        <w:t> </w:t>
      </w:r>
      <w:r>
        <w:rPr>
          <w:sz w:val="22"/>
        </w:rPr>
        <w:t>the</w:t>
      </w:r>
      <w:r>
        <w:rPr>
          <w:spacing w:val="-5"/>
          <w:sz w:val="22"/>
        </w:rPr>
        <w:t> </w:t>
      </w:r>
      <w:r>
        <w:rPr>
          <w:sz w:val="22"/>
        </w:rPr>
        <w:t>state.</w:t>
      </w:r>
      <w:r>
        <w:rPr>
          <w:spacing w:val="-8"/>
          <w:sz w:val="22"/>
        </w:rPr>
        <w:t> </w:t>
      </w:r>
      <w:r>
        <w:rPr>
          <w:sz w:val="22"/>
        </w:rPr>
        <w:t>(Typically</w:t>
      </w:r>
      <w:r>
        <w:rPr>
          <w:spacing w:val="-5"/>
          <w:sz w:val="22"/>
        </w:rPr>
        <w:t> </w:t>
      </w:r>
      <w:r>
        <w:rPr>
          <w:sz w:val="22"/>
        </w:rPr>
        <w:t>6</w:t>
      </w:r>
      <w:r>
        <w:rPr>
          <w:spacing w:val="-6"/>
          <w:sz w:val="22"/>
        </w:rPr>
        <w:t> </w:t>
      </w:r>
      <w:r>
        <w:rPr>
          <w:sz w:val="22"/>
        </w:rPr>
        <w:t>to</w:t>
      </w:r>
      <w:r>
        <w:rPr>
          <w:spacing w:val="-6"/>
          <w:sz w:val="22"/>
        </w:rPr>
        <w:t> </w:t>
      </w:r>
      <w:r>
        <w:rPr>
          <w:sz w:val="22"/>
        </w:rPr>
        <w:t>20</w:t>
      </w:r>
      <w:r>
        <w:rPr>
          <w:spacing w:val="-6"/>
          <w:sz w:val="22"/>
        </w:rPr>
        <w:t> </w:t>
      </w:r>
      <w:r>
        <w:rPr>
          <w:sz w:val="22"/>
        </w:rPr>
        <w:t>occurrences</w:t>
      </w:r>
      <w:r>
        <w:rPr>
          <w:spacing w:val="-5"/>
          <w:sz w:val="22"/>
        </w:rPr>
        <w:t> </w:t>
      </w:r>
      <w:r>
        <w:rPr>
          <w:sz w:val="22"/>
        </w:rPr>
        <w:t>or</w:t>
      </w:r>
      <w:r>
        <w:rPr>
          <w:spacing w:val="-5"/>
          <w:sz w:val="22"/>
        </w:rPr>
        <w:t> </w:t>
      </w:r>
      <w:r>
        <w:rPr>
          <w:sz w:val="22"/>
        </w:rPr>
        <w:t>few</w:t>
      </w:r>
      <w:r>
        <w:rPr>
          <w:spacing w:val="-7"/>
          <w:sz w:val="22"/>
        </w:rPr>
        <w:t> </w:t>
      </w:r>
      <w:r>
        <w:rPr>
          <w:sz w:val="22"/>
        </w:rPr>
        <w:t>remaining</w:t>
      </w:r>
      <w:r>
        <w:rPr>
          <w:spacing w:val="-6"/>
          <w:sz w:val="22"/>
        </w:rPr>
        <w:t> </w:t>
      </w:r>
      <w:r>
        <w:rPr>
          <w:sz w:val="22"/>
        </w:rPr>
        <w:t>individuals</w:t>
      </w:r>
      <w:r>
        <w:rPr>
          <w:spacing w:val="-5"/>
          <w:sz w:val="22"/>
        </w:rPr>
        <w:t> </w:t>
      </w:r>
      <w:r>
        <w:rPr>
          <w:sz w:val="22"/>
        </w:rPr>
        <w:t>or </w:t>
      </w:r>
      <w:r>
        <w:rPr>
          <w:spacing w:val="-2"/>
          <w:sz w:val="22"/>
        </w:rPr>
        <w:t>acres)</w:t>
      </w:r>
    </w:p>
    <w:p>
      <w:pPr>
        <w:pStyle w:val="ListParagraph"/>
        <w:numPr>
          <w:ilvl w:val="0"/>
          <w:numId w:val="31"/>
        </w:numPr>
        <w:tabs>
          <w:tab w:pos="1511" w:val="left" w:leader="none"/>
        </w:tabs>
        <w:spacing w:line="240" w:lineRule="auto" w:before="180" w:after="0"/>
        <w:ind w:left="1511" w:right="0" w:hanging="360"/>
        <w:jc w:val="left"/>
        <w:rPr>
          <w:sz w:val="22"/>
        </w:rPr>
      </w:pPr>
      <w:r>
        <w:rPr>
          <w:sz w:val="22"/>
        </w:rPr>
        <w:t>S3</w:t>
      </w:r>
      <w:r>
        <w:rPr>
          <w:spacing w:val="-7"/>
          <w:sz w:val="22"/>
        </w:rPr>
        <w:t> </w:t>
      </w:r>
      <w:r>
        <w:rPr>
          <w:sz w:val="22"/>
        </w:rPr>
        <w:t>=</w:t>
      </w:r>
      <w:r>
        <w:rPr>
          <w:spacing w:val="-6"/>
          <w:sz w:val="22"/>
        </w:rPr>
        <w:t> </w:t>
      </w:r>
      <w:r>
        <w:rPr>
          <w:sz w:val="22"/>
        </w:rPr>
        <w:t>Rare</w:t>
      </w:r>
      <w:r>
        <w:rPr>
          <w:spacing w:val="-7"/>
          <w:sz w:val="22"/>
        </w:rPr>
        <w:t> </w:t>
      </w:r>
      <w:r>
        <w:rPr>
          <w:sz w:val="22"/>
        </w:rPr>
        <w:t>or</w:t>
      </w:r>
      <w:r>
        <w:rPr>
          <w:spacing w:val="-5"/>
          <w:sz w:val="22"/>
        </w:rPr>
        <w:t> </w:t>
      </w:r>
      <w:r>
        <w:rPr>
          <w:sz w:val="22"/>
        </w:rPr>
        <w:t>uncommon</w:t>
      </w:r>
      <w:r>
        <w:rPr>
          <w:spacing w:val="-6"/>
          <w:sz w:val="22"/>
        </w:rPr>
        <w:t> </w:t>
      </w:r>
      <w:r>
        <w:rPr>
          <w:sz w:val="22"/>
        </w:rPr>
        <w:t>in</w:t>
      </w:r>
      <w:r>
        <w:rPr>
          <w:spacing w:val="-8"/>
          <w:sz w:val="22"/>
        </w:rPr>
        <w:t> </w:t>
      </w:r>
      <w:r>
        <w:rPr>
          <w:sz w:val="22"/>
        </w:rPr>
        <w:t>the</w:t>
      </w:r>
      <w:r>
        <w:rPr>
          <w:spacing w:val="-4"/>
          <w:sz w:val="22"/>
        </w:rPr>
        <w:t> </w:t>
      </w:r>
      <w:r>
        <w:rPr>
          <w:sz w:val="22"/>
        </w:rPr>
        <w:t>state.</w:t>
      </w:r>
      <w:r>
        <w:rPr>
          <w:spacing w:val="-5"/>
          <w:sz w:val="22"/>
        </w:rPr>
        <w:t> </w:t>
      </w:r>
      <w:r>
        <w:rPr>
          <w:sz w:val="22"/>
        </w:rPr>
        <w:t>(Typically</w:t>
      </w:r>
      <w:r>
        <w:rPr>
          <w:spacing w:val="-4"/>
          <w:sz w:val="22"/>
        </w:rPr>
        <w:t> </w:t>
      </w:r>
      <w:r>
        <w:rPr>
          <w:sz w:val="22"/>
        </w:rPr>
        <w:t>21</w:t>
      </w:r>
      <w:r>
        <w:rPr>
          <w:spacing w:val="-4"/>
          <w:sz w:val="22"/>
        </w:rPr>
        <w:t> </w:t>
      </w:r>
      <w:r>
        <w:rPr>
          <w:sz w:val="22"/>
        </w:rPr>
        <w:t>to</w:t>
      </w:r>
      <w:r>
        <w:rPr>
          <w:spacing w:val="-6"/>
          <w:sz w:val="22"/>
        </w:rPr>
        <w:t> </w:t>
      </w:r>
      <w:r>
        <w:rPr>
          <w:sz w:val="22"/>
        </w:rPr>
        <w:t>100</w:t>
      </w:r>
      <w:r>
        <w:rPr>
          <w:spacing w:val="-5"/>
          <w:sz w:val="22"/>
        </w:rPr>
        <w:t> </w:t>
      </w:r>
      <w:r>
        <w:rPr>
          <w:spacing w:val="-2"/>
          <w:sz w:val="22"/>
        </w:rPr>
        <w:t>occurrences)</w:t>
      </w:r>
    </w:p>
    <w:p>
      <w:pPr>
        <w:pStyle w:val="ListParagraph"/>
        <w:numPr>
          <w:ilvl w:val="0"/>
          <w:numId w:val="31"/>
        </w:numPr>
        <w:tabs>
          <w:tab w:pos="1509" w:val="left" w:leader="none"/>
          <w:tab w:pos="1511" w:val="left" w:leader="none"/>
        </w:tabs>
        <w:spacing w:line="232" w:lineRule="auto" w:before="186" w:after="0"/>
        <w:ind w:left="1511" w:right="707" w:hanging="361"/>
        <w:jc w:val="both"/>
        <w:rPr>
          <w:sz w:val="22"/>
        </w:rPr>
      </w:pPr>
      <w:r>
        <w:rPr>
          <w:sz w:val="22"/>
        </w:rPr>
        <w:t>SNR</w:t>
      </w:r>
      <w:r>
        <w:rPr>
          <w:spacing w:val="-5"/>
          <w:sz w:val="22"/>
        </w:rPr>
        <w:t> </w:t>
      </w:r>
      <w:r>
        <w:rPr>
          <w:sz w:val="22"/>
        </w:rPr>
        <w:t>=</w:t>
      </w:r>
      <w:r>
        <w:rPr>
          <w:spacing w:val="-4"/>
          <w:sz w:val="22"/>
        </w:rPr>
        <w:t> </w:t>
      </w:r>
      <w:r>
        <w:rPr>
          <w:sz w:val="22"/>
        </w:rPr>
        <w:t>Not</w:t>
      </w:r>
      <w:r>
        <w:rPr>
          <w:spacing w:val="-4"/>
          <w:sz w:val="22"/>
        </w:rPr>
        <w:t> </w:t>
      </w:r>
      <w:r>
        <w:rPr>
          <w:sz w:val="22"/>
        </w:rPr>
        <w:t>yet</w:t>
      </w:r>
      <w:r>
        <w:rPr>
          <w:spacing w:val="-4"/>
          <w:sz w:val="22"/>
        </w:rPr>
        <w:t> </w:t>
      </w:r>
      <w:r>
        <w:rPr>
          <w:sz w:val="22"/>
        </w:rPr>
        <w:t>ranked.</w:t>
      </w:r>
      <w:r>
        <w:rPr>
          <w:spacing w:val="-5"/>
          <w:sz w:val="22"/>
        </w:rPr>
        <w:t> </w:t>
      </w:r>
      <w:r>
        <w:rPr>
          <w:sz w:val="22"/>
        </w:rPr>
        <w:t>Sufficient</w:t>
      </w:r>
      <w:r>
        <w:rPr>
          <w:spacing w:val="-4"/>
          <w:sz w:val="22"/>
        </w:rPr>
        <w:t> </w:t>
      </w:r>
      <w:r>
        <w:rPr>
          <w:sz w:val="22"/>
        </w:rPr>
        <w:t>time</w:t>
      </w:r>
      <w:r>
        <w:rPr>
          <w:spacing w:val="-7"/>
          <w:sz w:val="22"/>
        </w:rPr>
        <w:t> </w:t>
      </w:r>
      <w:r>
        <w:rPr>
          <w:sz w:val="22"/>
        </w:rPr>
        <w:t>and</w:t>
      </w:r>
      <w:r>
        <w:rPr>
          <w:spacing w:val="-6"/>
          <w:sz w:val="22"/>
        </w:rPr>
        <w:t> </w:t>
      </w:r>
      <w:r>
        <w:rPr>
          <w:sz w:val="22"/>
        </w:rPr>
        <w:t>effort</w:t>
      </w:r>
      <w:r>
        <w:rPr>
          <w:spacing w:val="-4"/>
          <w:sz w:val="22"/>
        </w:rPr>
        <w:t> </w:t>
      </w:r>
      <w:r>
        <w:rPr>
          <w:sz w:val="22"/>
        </w:rPr>
        <w:t>have</w:t>
      </w:r>
      <w:r>
        <w:rPr>
          <w:spacing w:val="-7"/>
          <w:sz w:val="22"/>
        </w:rPr>
        <w:t> </w:t>
      </w:r>
      <w:r>
        <w:rPr>
          <w:sz w:val="22"/>
        </w:rPr>
        <w:t>not</w:t>
      </w:r>
      <w:r>
        <w:rPr>
          <w:spacing w:val="-7"/>
          <w:sz w:val="22"/>
        </w:rPr>
        <w:t> </w:t>
      </w:r>
      <w:r>
        <w:rPr>
          <w:sz w:val="22"/>
        </w:rPr>
        <w:t>yet</w:t>
      </w:r>
      <w:r>
        <w:rPr>
          <w:spacing w:val="-4"/>
          <w:sz w:val="22"/>
        </w:rPr>
        <w:t> </w:t>
      </w:r>
      <w:r>
        <w:rPr>
          <w:sz w:val="22"/>
        </w:rPr>
        <w:t>been</w:t>
      </w:r>
      <w:r>
        <w:rPr>
          <w:spacing w:val="-6"/>
          <w:sz w:val="22"/>
        </w:rPr>
        <w:t> </w:t>
      </w:r>
      <w:r>
        <w:rPr>
          <w:sz w:val="22"/>
        </w:rPr>
        <w:t>devoted</w:t>
      </w:r>
      <w:r>
        <w:rPr>
          <w:spacing w:val="-8"/>
          <w:sz w:val="22"/>
        </w:rPr>
        <w:t> </w:t>
      </w:r>
      <w:r>
        <w:rPr>
          <w:sz w:val="22"/>
        </w:rPr>
        <w:t>to</w:t>
      </w:r>
      <w:r>
        <w:rPr>
          <w:spacing w:val="-6"/>
          <w:sz w:val="22"/>
        </w:rPr>
        <w:t> </w:t>
      </w:r>
      <w:r>
        <w:rPr>
          <w:sz w:val="22"/>
        </w:rPr>
        <w:t>ranking</w:t>
      </w:r>
      <w:r>
        <w:rPr>
          <w:spacing w:val="-6"/>
          <w:sz w:val="22"/>
        </w:rPr>
        <w:t> </w:t>
      </w:r>
      <w:r>
        <w:rPr>
          <w:sz w:val="22"/>
        </w:rPr>
        <w:t>of this taxon</w:t>
      </w:r>
    </w:p>
    <w:p>
      <w:pPr>
        <w:pStyle w:val="ListParagraph"/>
        <w:spacing w:after="0" w:line="232" w:lineRule="auto"/>
        <w:jc w:val="both"/>
        <w:rPr>
          <w:sz w:val="22"/>
        </w:rPr>
        <w:sectPr>
          <w:headerReference w:type="default" r:id="rId98"/>
          <w:headerReference w:type="even" r:id="rId99"/>
          <w:footerReference w:type="default" r:id="rId100"/>
          <w:footerReference w:type="even" r:id="rId101"/>
          <w:pgSz w:w="12240" w:h="15840"/>
          <w:pgMar w:header="725" w:footer="891" w:top="1340" w:bottom="1080" w:left="1080" w:right="1080"/>
          <w:pgNumType w:start="185"/>
        </w:sectPr>
      </w:pPr>
    </w:p>
    <w:p>
      <w:pPr>
        <w:pStyle w:val="BodyText"/>
        <w:rPr>
          <w:sz w:val="18"/>
        </w:rPr>
      </w:pPr>
    </w:p>
    <w:p>
      <w:pPr>
        <w:pStyle w:val="BodyText"/>
        <w:rPr>
          <w:sz w:val="18"/>
        </w:rPr>
      </w:pPr>
    </w:p>
    <w:p>
      <w:pPr>
        <w:pStyle w:val="BodyText"/>
        <w:spacing w:before="113"/>
        <w:rPr>
          <w:sz w:val="18"/>
        </w:rPr>
      </w:pPr>
    </w:p>
    <w:p>
      <w:pPr>
        <w:spacing w:before="0" w:after="41"/>
        <w:ind w:left="0" w:right="0" w:firstLine="0"/>
        <w:jc w:val="left"/>
        <w:rPr>
          <w:rFonts w:ascii="Arial"/>
          <w:b/>
          <w:sz w:val="18"/>
        </w:rPr>
      </w:pPr>
      <w:bookmarkStart w:name="_bookmark306" w:id="981"/>
      <w:bookmarkEnd w:id="981"/>
      <w:r>
        <w:rPr/>
      </w:r>
      <w:r>
        <w:rPr>
          <w:rFonts w:ascii="Arial"/>
          <w:b/>
          <w:sz w:val="18"/>
        </w:rPr>
        <w:t>Table</w:t>
      </w:r>
      <w:r>
        <w:rPr>
          <w:rFonts w:ascii="Arial"/>
          <w:b/>
          <w:spacing w:val="-2"/>
          <w:sz w:val="18"/>
        </w:rPr>
        <w:t> </w:t>
      </w:r>
      <w:r>
        <w:rPr>
          <w:rFonts w:ascii="Arial"/>
          <w:b/>
          <w:sz w:val="18"/>
        </w:rPr>
        <w:t>C-1.</w:t>
      </w:r>
      <w:r>
        <w:rPr>
          <w:rFonts w:ascii="Arial"/>
          <w:b/>
          <w:spacing w:val="-2"/>
          <w:sz w:val="18"/>
        </w:rPr>
        <w:t> </w:t>
      </w:r>
      <w:r>
        <w:rPr>
          <w:rFonts w:ascii="Arial"/>
          <w:b/>
          <w:sz w:val="18"/>
        </w:rPr>
        <w:t>Wildlife,</w:t>
      </w:r>
      <w:r>
        <w:rPr>
          <w:rFonts w:ascii="Arial"/>
          <w:b/>
          <w:spacing w:val="-3"/>
          <w:sz w:val="18"/>
        </w:rPr>
        <w:t> </w:t>
      </w:r>
      <w:r>
        <w:rPr>
          <w:rFonts w:ascii="Arial"/>
          <w:b/>
          <w:sz w:val="18"/>
        </w:rPr>
        <w:t>fish,</w:t>
      </w:r>
      <w:r>
        <w:rPr>
          <w:rFonts w:ascii="Arial"/>
          <w:b/>
          <w:spacing w:val="-4"/>
          <w:sz w:val="18"/>
        </w:rPr>
        <w:t> </w:t>
      </w:r>
      <w:r>
        <w:rPr>
          <w:rFonts w:ascii="Arial"/>
          <w:b/>
          <w:sz w:val="18"/>
        </w:rPr>
        <w:t>and</w:t>
      </w:r>
      <w:r>
        <w:rPr>
          <w:rFonts w:ascii="Arial"/>
          <w:b/>
          <w:spacing w:val="-4"/>
          <w:sz w:val="18"/>
        </w:rPr>
        <w:t> </w:t>
      </w:r>
      <w:r>
        <w:rPr>
          <w:rFonts w:ascii="Arial"/>
          <w:b/>
          <w:sz w:val="18"/>
        </w:rPr>
        <w:t>plant</w:t>
      </w:r>
      <w:r>
        <w:rPr>
          <w:rFonts w:ascii="Arial"/>
          <w:b/>
          <w:spacing w:val="-3"/>
          <w:sz w:val="18"/>
        </w:rPr>
        <w:t> </w:t>
      </w:r>
      <w:r>
        <w:rPr>
          <w:rFonts w:ascii="Arial"/>
          <w:b/>
          <w:sz w:val="18"/>
        </w:rPr>
        <w:t>species</w:t>
      </w:r>
      <w:r>
        <w:rPr>
          <w:rFonts w:ascii="Arial"/>
          <w:b/>
          <w:spacing w:val="-1"/>
          <w:sz w:val="18"/>
        </w:rPr>
        <w:t> </w:t>
      </w:r>
      <w:r>
        <w:rPr>
          <w:rFonts w:ascii="Arial"/>
          <w:b/>
          <w:sz w:val="18"/>
        </w:rPr>
        <w:t>found</w:t>
      </w:r>
      <w:r>
        <w:rPr>
          <w:rFonts w:ascii="Arial"/>
          <w:b/>
          <w:spacing w:val="-2"/>
          <w:sz w:val="18"/>
        </w:rPr>
        <w:t> </w:t>
      </w:r>
      <w:r>
        <w:rPr>
          <w:rFonts w:ascii="Arial"/>
          <w:b/>
          <w:sz w:val="18"/>
        </w:rPr>
        <w:t>on</w:t>
      </w:r>
      <w:r>
        <w:rPr>
          <w:rFonts w:ascii="Arial"/>
          <w:b/>
          <w:spacing w:val="-3"/>
          <w:sz w:val="18"/>
        </w:rPr>
        <w:t> </w:t>
      </w:r>
      <w:r>
        <w:rPr>
          <w:rFonts w:ascii="Arial"/>
          <w:b/>
          <w:sz w:val="18"/>
        </w:rPr>
        <w:t>the</w:t>
      </w:r>
      <w:r>
        <w:rPr>
          <w:rFonts w:ascii="Arial"/>
          <w:b/>
          <w:spacing w:val="-4"/>
          <w:sz w:val="18"/>
        </w:rPr>
        <w:t> </w:t>
      </w:r>
      <w:r>
        <w:rPr>
          <w:rFonts w:ascii="Arial"/>
          <w:b/>
          <w:sz w:val="18"/>
        </w:rPr>
        <w:t>Colville</w:t>
      </w:r>
      <w:r>
        <w:rPr>
          <w:rFonts w:ascii="Arial"/>
          <w:b/>
          <w:spacing w:val="-2"/>
          <w:sz w:val="18"/>
        </w:rPr>
        <w:t> </w:t>
      </w:r>
      <w:r>
        <w:rPr>
          <w:rFonts w:ascii="Arial"/>
          <w:b/>
          <w:sz w:val="18"/>
        </w:rPr>
        <w:t>National</w:t>
      </w:r>
      <w:r>
        <w:rPr>
          <w:rFonts w:ascii="Arial"/>
          <w:b/>
          <w:spacing w:val="-2"/>
          <w:sz w:val="18"/>
        </w:rPr>
        <w:t> Forest</w:t>
      </w: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14" w:right="3"/>
              <w:jc w:val="center"/>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287" w:hRule="atLeast"/>
        </w:trPr>
        <w:tc>
          <w:tcPr>
            <w:tcW w:w="12951" w:type="dxa"/>
            <w:gridSpan w:val="7"/>
          </w:tcPr>
          <w:p>
            <w:pPr>
              <w:pStyle w:val="TableParagraph"/>
              <w:ind w:left="722"/>
              <w:rPr>
                <w:b/>
                <w:sz w:val="18"/>
              </w:rPr>
            </w:pPr>
            <w:r>
              <w:rPr>
                <w:b/>
                <w:sz w:val="18"/>
              </w:rPr>
              <w:t>Terrestrial</w:t>
            </w:r>
            <w:r>
              <w:rPr>
                <w:b/>
                <w:spacing w:val="-3"/>
                <w:sz w:val="18"/>
              </w:rPr>
              <w:t> </w:t>
            </w:r>
            <w:r>
              <w:rPr>
                <w:b/>
                <w:spacing w:val="-2"/>
                <w:sz w:val="18"/>
              </w:rPr>
              <w:t>Wildlife</w:t>
            </w:r>
          </w:p>
        </w:tc>
      </w:tr>
      <w:tr>
        <w:trPr>
          <w:trHeight w:val="494" w:hRule="atLeast"/>
        </w:trPr>
        <w:tc>
          <w:tcPr>
            <w:tcW w:w="3017" w:type="dxa"/>
          </w:tcPr>
          <w:p>
            <w:pPr>
              <w:pStyle w:val="TableParagraph"/>
              <w:spacing w:line="207" w:lineRule="exact"/>
              <w:ind w:left="107"/>
              <w:rPr>
                <w:sz w:val="18"/>
              </w:rPr>
            </w:pPr>
            <w:r>
              <w:rPr>
                <w:sz w:val="18"/>
              </w:rPr>
              <w:t>American</w:t>
            </w:r>
            <w:r>
              <w:rPr>
                <w:spacing w:val="-3"/>
                <w:sz w:val="18"/>
              </w:rPr>
              <w:t> </w:t>
            </w:r>
            <w:r>
              <w:rPr>
                <w:spacing w:val="-2"/>
                <w:sz w:val="18"/>
              </w:rPr>
              <w:t>marten</w:t>
            </w:r>
          </w:p>
          <w:p>
            <w:pPr>
              <w:pStyle w:val="TableParagraph"/>
              <w:spacing w:line="207" w:lineRule="exact" w:before="0"/>
              <w:ind w:left="107"/>
              <w:rPr>
                <w:i/>
                <w:sz w:val="18"/>
              </w:rPr>
            </w:pPr>
            <w:r>
              <w:rPr>
                <w:i/>
                <w:sz w:val="18"/>
              </w:rPr>
              <w:t>Martes</w:t>
            </w:r>
            <w:r>
              <w:rPr>
                <w:i/>
                <w:spacing w:val="-11"/>
                <w:sz w:val="18"/>
              </w:rPr>
              <w:t> </w:t>
            </w:r>
            <w:r>
              <w:rPr>
                <w:i/>
                <w:spacing w:val="-2"/>
                <w:sz w:val="18"/>
              </w:rPr>
              <w:t>americana</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Bald </w:t>
            </w:r>
            <w:r>
              <w:rPr>
                <w:spacing w:val="-2"/>
                <w:sz w:val="18"/>
              </w:rPr>
              <w:t>eagle</w:t>
            </w:r>
          </w:p>
          <w:p>
            <w:pPr>
              <w:pStyle w:val="TableParagraph"/>
              <w:spacing w:line="207" w:lineRule="exact" w:before="0"/>
              <w:ind w:left="107"/>
              <w:rPr>
                <w:i/>
                <w:sz w:val="18"/>
              </w:rPr>
            </w:pPr>
            <w:r>
              <w:rPr>
                <w:i/>
                <w:sz w:val="18"/>
              </w:rPr>
              <w:t>Haliaeetus</w:t>
            </w:r>
            <w:r>
              <w:rPr>
                <w:i/>
                <w:spacing w:val="-6"/>
                <w:sz w:val="18"/>
              </w:rPr>
              <w:t> </w:t>
            </w:r>
            <w:r>
              <w:rPr>
                <w:i/>
                <w:spacing w:val="-2"/>
                <w:sz w:val="18"/>
              </w:rPr>
              <w:t>leucocephalus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Bighorn</w:t>
            </w:r>
            <w:r>
              <w:rPr>
                <w:spacing w:val="-3"/>
                <w:sz w:val="18"/>
              </w:rPr>
              <w:t> </w:t>
            </w:r>
            <w:r>
              <w:rPr>
                <w:spacing w:val="-2"/>
                <w:sz w:val="18"/>
              </w:rPr>
              <w:t>sheep</w:t>
            </w:r>
          </w:p>
          <w:p>
            <w:pPr>
              <w:pStyle w:val="TableParagraph"/>
              <w:spacing w:line="207" w:lineRule="exact" w:before="0"/>
              <w:ind w:left="107"/>
              <w:rPr>
                <w:i/>
                <w:sz w:val="18"/>
              </w:rPr>
            </w:pPr>
            <w:r>
              <w:rPr>
                <w:i/>
                <w:sz w:val="18"/>
              </w:rPr>
              <w:t>Ovis</w:t>
            </w:r>
            <w:r>
              <w:rPr>
                <w:i/>
                <w:spacing w:val="-1"/>
                <w:sz w:val="18"/>
              </w:rPr>
              <w:t> </w:t>
            </w:r>
            <w:r>
              <w:rPr>
                <w:i/>
                <w:spacing w:val="-2"/>
                <w:sz w:val="18"/>
              </w:rPr>
              <w:t>canadensis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Black-backed</w:t>
            </w:r>
            <w:r>
              <w:rPr>
                <w:spacing w:val="-3"/>
                <w:sz w:val="18"/>
              </w:rPr>
              <w:t> </w:t>
            </w:r>
            <w:r>
              <w:rPr>
                <w:spacing w:val="-2"/>
                <w:sz w:val="18"/>
              </w:rPr>
              <w:t>woodpecker</w:t>
            </w:r>
          </w:p>
          <w:p>
            <w:pPr>
              <w:pStyle w:val="TableParagraph"/>
              <w:spacing w:line="207" w:lineRule="exact" w:before="0"/>
              <w:ind w:left="107"/>
              <w:rPr>
                <w:i/>
                <w:sz w:val="18"/>
              </w:rPr>
            </w:pPr>
            <w:r>
              <w:rPr>
                <w:i/>
                <w:sz w:val="18"/>
              </w:rPr>
              <w:t>Picoides</w:t>
            </w:r>
            <w:r>
              <w:rPr>
                <w:i/>
                <w:spacing w:val="-5"/>
                <w:sz w:val="18"/>
              </w:rPr>
              <w:t> </w:t>
            </w:r>
            <w:r>
              <w:rPr>
                <w:i/>
                <w:spacing w:val="-2"/>
                <w:sz w:val="18"/>
              </w:rPr>
              <w:t>arcticus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570"/>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Canada</w:t>
            </w:r>
            <w:r>
              <w:rPr>
                <w:spacing w:val="-5"/>
                <w:sz w:val="18"/>
              </w:rPr>
              <w:t> </w:t>
            </w:r>
            <w:r>
              <w:rPr>
                <w:spacing w:val="-4"/>
                <w:sz w:val="18"/>
              </w:rPr>
              <w:t>lynx</w:t>
            </w:r>
          </w:p>
          <w:p>
            <w:pPr>
              <w:pStyle w:val="TableParagraph"/>
              <w:spacing w:line="207" w:lineRule="exact" w:before="0"/>
              <w:ind w:left="107"/>
              <w:rPr>
                <w:i/>
                <w:sz w:val="18"/>
              </w:rPr>
            </w:pPr>
            <w:r>
              <w:rPr>
                <w:i/>
                <w:sz w:val="18"/>
              </w:rPr>
              <w:t>Lynx</w:t>
            </w:r>
            <w:r>
              <w:rPr>
                <w:i/>
                <w:spacing w:val="-3"/>
                <w:sz w:val="18"/>
              </w:rPr>
              <w:t> </w:t>
            </w:r>
            <w:r>
              <w:rPr>
                <w:i/>
                <w:spacing w:val="-2"/>
                <w:sz w:val="18"/>
              </w:rPr>
              <w:t>canadensis</w:t>
            </w:r>
          </w:p>
        </w:tc>
        <w:tc>
          <w:tcPr>
            <w:tcW w:w="1721" w:type="dxa"/>
          </w:tcPr>
          <w:p>
            <w:pPr>
              <w:pStyle w:val="TableParagraph"/>
              <w:ind w:left="14" w:right="1"/>
              <w:jc w:val="center"/>
              <w:rPr>
                <w:sz w:val="18"/>
              </w:rPr>
            </w:pPr>
            <w:r>
              <w:rPr>
                <w:spacing w:val="-2"/>
                <w:sz w:val="18"/>
              </w:rPr>
              <w:t>Threatened</w:t>
            </w: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Cassin’s</w:t>
            </w:r>
            <w:r>
              <w:rPr>
                <w:spacing w:val="-4"/>
                <w:sz w:val="18"/>
              </w:rPr>
              <w:t> </w:t>
            </w:r>
            <w:r>
              <w:rPr>
                <w:spacing w:val="-2"/>
                <w:sz w:val="18"/>
              </w:rPr>
              <w:t>finch</w:t>
            </w:r>
          </w:p>
          <w:p>
            <w:pPr>
              <w:pStyle w:val="TableParagraph"/>
              <w:spacing w:line="207" w:lineRule="exact" w:before="0"/>
              <w:ind w:left="107"/>
              <w:rPr>
                <w:i/>
                <w:sz w:val="18"/>
              </w:rPr>
            </w:pPr>
            <w:r>
              <w:rPr>
                <w:i/>
                <w:sz w:val="18"/>
              </w:rPr>
              <w:t>Haemorhous</w:t>
            </w:r>
            <w:r>
              <w:rPr>
                <w:i/>
                <w:spacing w:val="-6"/>
                <w:sz w:val="18"/>
              </w:rPr>
              <w:t> </w:t>
            </w:r>
            <w:r>
              <w:rPr>
                <w:i/>
                <w:spacing w:val="-2"/>
                <w:sz w:val="18"/>
              </w:rPr>
              <w:t>cassinii</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Columbia</w:t>
            </w:r>
            <w:r>
              <w:rPr>
                <w:spacing w:val="-5"/>
                <w:sz w:val="18"/>
              </w:rPr>
              <w:t> </w:t>
            </w:r>
            <w:r>
              <w:rPr>
                <w:sz w:val="18"/>
              </w:rPr>
              <w:t>spotted</w:t>
            </w:r>
            <w:r>
              <w:rPr>
                <w:spacing w:val="-5"/>
                <w:sz w:val="18"/>
              </w:rPr>
              <w:t> </w:t>
            </w:r>
            <w:r>
              <w:rPr>
                <w:spacing w:val="-4"/>
                <w:sz w:val="18"/>
              </w:rPr>
              <w:t>frog</w:t>
            </w:r>
          </w:p>
          <w:p>
            <w:pPr>
              <w:pStyle w:val="TableParagraph"/>
              <w:spacing w:line="207" w:lineRule="exact" w:before="0"/>
              <w:ind w:left="107"/>
              <w:rPr>
                <w:i/>
                <w:sz w:val="18"/>
              </w:rPr>
            </w:pPr>
            <w:r>
              <w:rPr>
                <w:i/>
                <w:sz w:val="18"/>
              </w:rPr>
              <w:t>Rana</w:t>
            </w:r>
            <w:r>
              <w:rPr>
                <w:i/>
                <w:spacing w:val="-2"/>
                <w:sz w:val="18"/>
              </w:rPr>
              <w:t> luteiventris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Common</w:t>
            </w:r>
            <w:r>
              <w:rPr>
                <w:spacing w:val="-2"/>
                <w:sz w:val="18"/>
              </w:rPr>
              <w:t> </w:t>
            </w:r>
            <w:r>
              <w:rPr>
                <w:spacing w:val="-4"/>
                <w:sz w:val="18"/>
              </w:rPr>
              <w:t>loon</w:t>
            </w:r>
          </w:p>
          <w:p>
            <w:pPr>
              <w:pStyle w:val="TableParagraph"/>
              <w:spacing w:line="207" w:lineRule="exact" w:before="0"/>
              <w:ind w:left="107"/>
              <w:rPr>
                <w:i/>
                <w:sz w:val="18"/>
              </w:rPr>
            </w:pPr>
            <w:r>
              <w:rPr>
                <w:i/>
                <w:sz w:val="18"/>
              </w:rPr>
              <w:t>Gavia</w:t>
            </w:r>
            <w:r>
              <w:rPr>
                <w:i/>
                <w:spacing w:val="-2"/>
                <w:sz w:val="18"/>
              </w:rPr>
              <w:t> </w:t>
            </w:r>
            <w:r>
              <w:rPr>
                <w:i/>
                <w:spacing w:val="-4"/>
                <w:sz w:val="18"/>
              </w:rPr>
              <w:t>immer</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Eared </w:t>
            </w:r>
            <w:r>
              <w:rPr>
                <w:spacing w:val="-2"/>
                <w:sz w:val="18"/>
              </w:rPr>
              <w:t>grebe</w:t>
            </w:r>
          </w:p>
          <w:p>
            <w:pPr>
              <w:pStyle w:val="TableParagraph"/>
              <w:spacing w:line="207" w:lineRule="exact" w:before="0"/>
              <w:ind w:left="107"/>
              <w:rPr>
                <w:i/>
                <w:sz w:val="18"/>
              </w:rPr>
            </w:pPr>
            <w:r>
              <w:rPr>
                <w:i/>
                <w:sz w:val="18"/>
              </w:rPr>
              <w:t>Podiceps</w:t>
            </w:r>
            <w:r>
              <w:rPr>
                <w:i/>
                <w:spacing w:val="-4"/>
                <w:sz w:val="18"/>
              </w:rPr>
              <w:t> </w:t>
            </w:r>
            <w:r>
              <w:rPr>
                <w:i/>
                <w:spacing w:val="-2"/>
                <w:sz w:val="18"/>
              </w:rPr>
              <w:t>nigricollis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Eastern</w:t>
            </w:r>
            <w:r>
              <w:rPr>
                <w:spacing w:val="-3"/>
                <w:sz w:val="18"/>
              </w:rPr>
              <w:t> </w:t>
            </w:r>
            <w:r>
              <w:rPr>
                <w:sz w:val="18"/>
              </w:rPr>
              <w:t>tailed</w:t>
            </w:r>
            <w:r>
              <w:rPr>
                <w:spacing w:val="-4"/>
                <w:sz w:val="18"/>
              </w:rPr>
              <w:t> blue</w:t>
            </w:r>
          </w:p>
          <w:p>
            <w:pPr>
              <w:pStyle w:val="TableParagraph"/>
              <w:spacing w:line="207" w:lineRule="exact" w:before="0"/>
              <w:ind w:left="107"/>
              <w:rPr>
                <w:i/>
                <w:sz w:val="18"/>
              </w:rPr>
            </w:pPr>
            <w:r>
              <w:rPr>
                <w:i/>
                <w:sz w:val="18"/>
              </w:rPr>
              <w:t>Cupido</w:t>
            </w:r>
            <w:r>
              <w:rPr>
                <w:i/>
                <w:spacing w:val="-5"/>
                <w:sz w:val="18"/>
              </w:rPr>
              <w:t> </w:t>
            </w:r>
            <w:r>
              <w:rPr>
                <w:i/>
                <w:spacing w:val="-2"/>
                <w:sz w:val="18"/>
              </w:rPr>
              <w:t>comyntas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Fir</w:t>
            </w:r>
            <w:r>
              <w:rPr>
                <w:spacing w:val="-2"/>
                <w:sz w:val="18"/>
              </w:rPr>
              <w:t> pinwheel</w:t>
            </w:r>
          </w:p>
          <w:p>
            <w:pPr>
              <w:pStyle w:val="TableParagraph"/>
              <w:spacing w:line="207" w:lineRule="exact" w:before="0"/>
              <w:ind w:left="107"/>
              <w:rPr>
                <w:i/>
                <w:sz w:val="18"/>
              </w:rPr>
            </w:pPr>
            <w:r>
              <w:rPr>
                <w:i/>
                <w:sz w:val="18"/>
              </w:rPr>
              <w:t>Radiodiscus</w:t>
            </w:r>
            <w:r>
              <w:rPr>
                <w:i/>
                <w:spacing w:val="-7"/>
                <w:sz w:val="18"/>
              </w:rPr>
              <w:t> </w:t>
            </w:r>
            <w:r>
              <w:rPr>
                <w:i/>
                <w:spacing w:val="-2"/>
                <w:sz w:val="18"/>
              </w:rPr>
              <w:t>abietum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Fox</w:t>
            </w:r>
            <w:r>
              <w:rPr>
                <w:spacing w:val="-4"/>
                <w:sz w:val="18"/>
              </w:rPr>
              <w:t> </w:t>
            </w:r>
            <w:r>
              <w:rPr>
                <w:spacing w:val="-2"/>
                <w:sz w:val="18"/>
              </w:rPr>
              <w:t>sparrow</w:t>
            </w:r>
          </w:p>
          <w:p>
            <w:pPr>
              <w:pStyle w:val="TableParagraph"/>
              <w:spacing w:line="207" w:lineRule="exact" w:before="0"/>
              <w:ind w:left="107"/>
              <w:rPr>
                <w:i/>
                <w:sz w:val="18"/>
              </w:rPr>
            </w:pPr>
            <w:r>
              <w:rPr>
                <w:i/>
                <w:sz w:val="18"/>
              </w:rPr>
              <w:t>Passerella</w:t>
            </w:r>
            <w:r>
              <w:rPr>
                <w:i/>
                <w:spacing w:val="-5"/>
                <w:sz w:val="18"/>
              </w:rPr>
              <w:t> </w:t>
            </w:r>
            <w:r>
              <w:rPr>
                <w:i/>
                <w:spacing w:val="-2"/>
                <w:sz w:val="18"/>
              </w:rPr>
              <w:t>iliaca</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Fringed</w:t>
            </w:r>
            <w:r>
              <w:rPr>
                <w:spacing w:val="-3"/>
                <w:sz w:val="18"/>
              </w:rPr>
              <w:t> </w:t>
            </w:r>
            <w:r>
              <w:rPr>
                <w:spacing w:val="-2"/>
                <w:sz w:val="18"/>
              </w:rPr>
              <w:t>myotis</w:t>
            </w:r>
          </w:p>
          <w:p>
            <w:pPr>
              <w:pStyle w:val="TableParagraph"/>
              <w:spacing w:line="207" w:lineRule="exact" w:before="0"/>
              <w:ind w:left="107"/>
              <w:rPr>
                <w:i/>
                <w:sz w:val="18"/>
              </w:rPr>
            </w:pPr>
            <w:r>
              <w:rPr>
                <w:i/>
                <w:sz w:val="18"/>
              </w:rPr>
              <w:t>Myotis</w:t>
            </w:r>
            <w:r>
              <w:rPr>
                <w:i/>
                <w:spacing w:val="-8"/>
                <w:sz w:val="18"/>
              </w:rPr>
              <w:t> </w:t>
            </w:r>
            <w:r>
              <w:rPr>
                <w:i/>
                <w:spacing w:val="-2"/>
                <w:sz w:val="18"/>
              </w:rPr>
              <w:t>thysanodes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Golden</w:t>
            </w:r>
            <w:r>
              <w:rPr>
                <w:spacing w:val="-5"/>
                <w:sz w:val="18"/>
              </w:rPr>
              <w:t> </w:t>
            </w:r>
            <w:r>
              <w:rPr>
                <w:spacing w:val="-2"/>
                <w:sz w:val="18"/>
              </w:rPr>
              <w:t>eagle</w:t>
            </w:r>
          </w:p>
          <w:p>
            <w:pPr>
              <w:pStyle w:val="TableParagraph"/>
              <w:spacing w:line="207" w:lineRule="exact" w:before="0"/>
              <w:ind w:left="107"/>
              <w:rPr>
                <w:i/>
                <w:sz w:val="18"/>
              </w:rPr>
            </w:pPr>
            <w:r>
              <w:rPr>
                <w:i/>
                <w:sz w:val="18"/>
              </w:rPr>
              <w:t>Aquila</w:t>
            </w:r>
            <w:r>
              <w:rPr>
                <w:i/>
                <w:spacing w:val="-3"/>
                <w:sz w:val="18"/>
              </w:rPr>
              <w:t> </w:t>
            </w:r>
            <w:r>
              <w:rPr>
                <w:i/>
                <w:spacing w:val="-2"/>
                <w:sz w:val="18"/>
              </w:rPr>
              <w:t>chrysaetos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bl>
    <w:p>
      <w:pPr>
        <w:pStyle w:val="TableParagraph"/>
        <w:spacing w:after="0"/>
        <w:rPr>
          <w:rFonts w:ascii="Times New Roman"/>
          <w:sz w:val="18"/>
        </w:rPr>
        <w:sectPr>
          <w:pgSz w:w="15840" w:h="12240" w:orient="landscape"/>
          <w:pgMar w:header="725" w:footer="891" w:top="1440" w:bottom="1080" w:left="1440" w:right="1440"/>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14" w:right="3"/>
              <w:jc w:val="center"/>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Gray </w:t>
            </w:r>
            <w:r>
              <w:rPr>
                <w:spacing w:val="-4"/>
                <w:sz w:val="18"/>
              </w:rPr>
              <w:t>wolf</w:t>
            </w:r>
          </w:p>
          <w:p>
            <w:pPr>
              <w:pStyle w:val="TableParagraph"/>
              <w:spacing w:line="207" w:lineRule="exact" w:before="0"/>
              <w:ind w:left="107"/>
              <w:rPr>
                <w:i/>
                <w:sz w:val="18"/>
              </w:rPr>
            </w:pPr>
            <w:r>
              <w:rPr>
                <w:i/>
                <w:sz w:val="18"/>
              </w:rPr>
              <w:t>Canis</w:t>
            </w:r>
            <w:r>
              <w:rPr>
                <w:i/>
                <w:spacing w:val="-4"/>
                <w:sz w:val="18"/>
              </w:rPr>
              <w:t> </w:t>
            </w:r>
            <w:r>
              <w:rPr>
                <w:i/>
                <w:spacing w:val="-2"/>
                <w:sz w:val="18"/>
              </w:rPr>
              <w:t>lupus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Great</w:t>
            </w:r>
            <w:r>
              <w:rPr>
                <w:spacing w:val="-1"/>
                <w:sz w:val="18"/>
              </w:rPr>
              <w:t> </w:t>
            </w:r>
            <w:r>
              <w:rPr>
                <w:sz w:val="18"/>
              </w:rPr>
              <w:t>gray</w:t>
            </w:r>
            <w:r>
              <w:rPr>
                <w:spacing w:val="-1"/>
                <w:sz w:val="18"/>
              </w:rPr>
              <w:t> </w:t>
            </w:r>
            <w:r>
              <w:rPr>
                <w:spacing w:val="-5"/>
                <w:sz w:val="18"/>
              </w:rPr>
              <w:t>owl</w:t>
            </w:r>
          </w:p>
          <w:p>
            <w:pPr>
              <w:pStyle w:val="TableParagraph"/>
              <w:spacing w:line="207" w:lineRule="exact" w:before="0"/>
              <w:ind w:left="107"/>
              <w:rPr>
                <w:i/>
                <w:sz w:val="18"/>
              </w:rPr>
            </w:pPr>
            <w:r>
              <w:rPr>
                <w:i/>
                <w:sz w:val="18"/>
              </w:rPr>
              <w:t>Strix </w:t>
            </w:r>
            <w:r>
              <w:rPr>
                <w:i/>
                <w:spacing w:val="-2"/>
                <w:sz w:val="18"/>
              </w:rPr>
              <w:t>nebulosa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Grizzly</w:t>
            </w:r>
            <w:r>
              <w:rPr>
                <w:spacing w:val="-6"/>
                <w:sz w:val="18"/>
              </w:rPr>
              <w:t> </w:t>
            </w:r>
            <w:r>
              <w:rPr>
                <w:spacing w:val="-4"/>
                <w:sz w:val="18"/>
              </w:rPr>
              <w:t>bear</w:t>
            </w:r>
          </w:p>
          <w:p>
            <w:pPr>
              <w:pStyle w:val="TableParagraph"/>
              <w:spacing w:line="207" w:lineRule="exact" w:before="0"/>
              <w:ind w:left="107"/>
              <w:rPr>
                <w:i/>
                <w:sz w:val="18"/>
              </w:rPr>
            </w:pPr>
            <w:r>
              <w:rPr>
                <w:i/>
                <w:sz w:val="18"/>
              </w:rPr>
              <w:t>Ursus</w:t>
            </w:r>
            <w:r>
              <w:rPr>
                <w:i/>
                <w:spacing w:val="-3"/>
                <w:sz w:val="18"/>
              </w:rPr>
              <w:t> </w:t>
            </w:r>
            <w:r>
              <w:rPr>
                <w:i/>
                <w:spacing w:val="-2"/>
                <w:sz w:val="18"/>
              </w:rPr>
              <w:t>arctos</w:t>
            </w:r>
          </w:p>
        </w:tc>
        <w:tc>
          <w:tcPr>
            <w:tcW w:w="1721" w:type="dxa"/>
          </w:tcPr>
          <w:p>
            <w:pPr>
              <w:pStyle w:val="TableParagraph"/>
              <w:ind w:left="14" w:right="1"/>
              <w:jc w:val="center"/>
              <w:rPr>
                <w:sz w:val="18"/>
              </w:rPr>
            </w:pPr>
            <w:r>
              <w:rPr>
                <w:spacing w:val="-2"/>
                <w:sz w:val="18"/>
              </w:rPr>
              <w:t>Threatened</w:t>
            </w: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Harlequin</w:t>
            </w:r>
            <w:r>
              <w:rPr>
                <w:spacing w:val="-4"/>
                <w:sz w:val="18"/>
              </w:rPr>
              <w:t> duck</w:t>
            </w:r>
          </w:p>
          <w:p>
            <w:pPr>
              <w:pStyle w:val="TableParagraph"/>
              <w:spacing w:line="207" w:lineRule="exact" w:before="0"/>
              <w:ind w:left="107"/>
              <w:rPr>
                <w:i/>
                <w:sz w:val="18"/>
              </w:rPr>
            </w:pPr>
            <w:r>
              <w:rPr>
                <w:i/>
                <w:sz w:val="18"/>
              </w:rPr>
              <w:t>Histrionicus</w:t>
            </w:r>
            <w:r>
              <w:rPr>
                <w:i/>
                <w:spacing w:val="-6"/>
                <w:sz w:val="18"/>
              </w:rPr>
              <w:t> </w:t>
            </w:r>
            <w:r>
              <w:rPr>
                <w:i/>
                <w:spacing w:val="-2"/>
                <w:sz w:val="18"/>
              </w:rPr>
              <w:t>histrionicus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Lark</w:t>
            </w:r>
            <w:r>
              <w:rPr>
                <w:spacing w:val="-4"/>
                <w:sz w:val="18"/>
              </w:rPr>
              <w:t> </w:t>
            </w:r>
            <w:r>
              <w:rPr>
                <w:spacing w:val="-2"/>
                <w:sz w:val="18"/>
              </w:rPr>
              <w:t>sparrow</w:t>
            </w:r>
          </w:p>
          <w:p>
            <w:pPr>
              <w:pStyle w:val="TableParagraph"/>
              <w:spacing w:line="207" w:lineRule="exact" w:before="0"/>
              <w:ind w:left="107"/>
              <w:rPr>
                <w:i/>
                <w:sz w:val="18"/>
              </w:rPr>
            </w:pPr>
            <w:r>
              <w:rPr>
                <w:i/>
                <w:sz w:val="18"/>
              </w:rPr>
              <w:t>Chondestes</w:t>
            </w:r>
            <w:r>
              <w:rPr>
                <w:i/>
                <w:spacing w:val="-5"/>
                <w:sz w:val="18"/>
              </w:rPr>
              <w:t> </w:t>
            </w:r>
            <w:r>
              <w:rPr>
                <w:i/>
                <w:spacing w:val="-2"/>
                <w:sz w:val="18"/>
              </w:rPr>
              <w:t>grammacus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Lewis’</w:t>
            </w:r>
            <w:r>
              <w:rPr>
                <w:spacing w:val="-8"/>
                <w:sz w:val="18"/>
              </w:rPr>
              <w:t> </w:t>
            </w:r>
            <w:r>
              <w:rPr>
                <w:spacing w:val="-2"/>
                <w:sz w:val="18"/>
              </w:rPr>
              <w:t>woodpecker</w:t>
            </w:r>
          </w:p>
          <w:p>
            <w:pPr>
              <w:pStyle w:val="TableParagraph"/>
              <w:spacing w:line="207" w:lineRule="exact" w:before="0"/>
              <w:ind w:left="107"/>
              <w:rPr>
                <w:i/>
                <w:sz w:val="18"/>
              </w:rPr>
            </w:pPr>
            <w:r>
              <w:rPr>
                <w:i/>
                <w:spacing w:val="-2"/>
                <w:sz w:val="18"/>
              </w:rPr>
              <w:t>Melanerpes</w:t>
            </w:r>
            <w:r>
              <w:rPr>
                <w:i/>
                <w:spacing w:val="5"/>
                <w:sz w:val="18"/>
              </w:rPr>
              <w:t> </w:t>
            </w:r>
            <w:r>
              <w:rPr>
                <w:i/>
                <w:spacing w:val="-2"/>
                <w:sz w:val="18"/>
              </w:rPr>
              <w:t>lewis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Little</w:t>
            </w:r>
            <w:r>
              <w:rPr>
                <w:spacing w:val="-4"/>
                <w:sz w:val="18"/>
              </w:rPr>
              <w:t> </w:t>
            </w:r>
            <w:r>
              <w:rPr>
                <w:sz w:val="18"/>
              </w:rPr>
              <w:t>brown</w:t>
            </w:r>
            <w:r>
              <w:rPr>
                <w:spacing w:val="-2"/>
                <w:sz w:val="18"/>
              </w:rPr>
              <w:t> myotis</w:t>
            </w:r>
          </w:p>
          <w:p>
            <w:pPr>
              <w:pStyle w:val="TableParagraph"/>
              <w:spacing w:line="207" w:lineRule="exact" w:before="0"/>
              <w:ind w:left="107"/>
              <w:rPr>
                <w:i/>
                <w:sz w:val="18"/>
              </w:rPr>
            </w:pPr>
            <w:r>
              <w:rPr>
                <w:i/>
                <w:sz w:val="18"/>
              </w:rPr>
              <w:t>Myotis</w:t>
            </w:r>
            <w:r>
              <w:rPr>
                <w:i/>
                <w:spacing w:val="-8"/>
                <w:sz w:val="18"/>
              </w:rPr>
              <w:t> </w:t>
            </w:r>
            <w:r>
              <w:rPr>
                <w:i/>
                <w:spacing w:val="-2"/>
                <w:sz w:val="18"/>
              </w:rPr>
              <w:t>lucifugus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MacGillivray’s</w:t>
            </w:r>
            <w:r>
              <w:rPr>
                <w:spacing w:val="-12"/>
                <w:sz w:val="18"/>
              </w:rPr>
              <w:t> </w:t>
            </w:r>
            <w:r>
              <w:rPr>
                <w:spacing w:val="-2"/>
                <w:sz w:val="18"/>
              </w:rPr>
              <w:t>warbler</w:t>
            </w:r>
          </w:p>
          <w:p>
            <w:pPr>
              <w:pStyle w:val="TableParagraph"/>
              <w:spacing w:line="207" w:lineRule="exact" w:before="0"/>
              <w:ind w:left="107"/>
              <w:rPr>
                <w:i/>
                <w:sz w:val="18"/>
              </w:rPr>
            </w:pPr>
            <w:r>
              <w:rPr>
                <w:i/>
                <w:sz w:val="18"/>
              </w:rPr>
              <w:t>Oporornis</w:t>
            </w:r>
            <w:r>
              <w:rPr>
                <w:i/>
                <w:spacing w:val="-4"/>
                <w:sz w:val="18"/>
              </w:rPr>
              <w:t> </w:t>
            </w:r>
            <w:r>
              <w:rPr>
                <w:i/>
                <w:spacing w:val="-2"/>
                <w:sz w:val="18"/>
              </w:rPr>
              <w:t>tolmiei</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14" w:right="7"/>
              <w:jc w:val="center"/>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Magnum</w:t>
            </w:r>
            <w:r>
              <w:rPr>
                <w:spacing w:val="-11"/>
                <w:sz w:val="18"/>
              </w:rPr>
              <w:t> </w:t>
            </w:r>
            <w:r>
              <w:rPr>
                <w:spacing w:val="-2"/>
                <w:sz w:val="18"/>
              </w:rPr>
              <w:t>mantleslug</w:t>
            </w:r>
          </w:p>
          <w:p>
            <w:pPr>
              <w:pStyle w:val="TableParagraph"/>
              <w:spacing w:line="207" w:lineRule="exact" w:before="0"/>
              <w:ind w:left="107"/>
              <w:rPr>
                <w:i/>
                <w:sz w:val="18"/>
              </w:rPr>
            </w:pPr>
            <w:r>
              <w:rPr>
                <w:i/>
                <w:sz w:val="18"/>
              </w:rPr>
              <w:t>Magnipelta</w:t>
            </w:r>
            <w:r>
              <w:rPr>
                <w:i/>
                <w:spacing w:val="-13"/>
                <w:sz w:val="18"/>
              </w:rPr>
              <w:t> </w:t>
            </w:r>
            <w:r>
              <w:rPr>
                <w:i/>
                <w:spacing w:val="-2"/>
                <w:sz w:val="18"/>
              </w:rPr>
              <w:t>mycophaga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Marsh</w:t>
            </w:r>
            <w:r>
              <w:rPr>
                <w:spacing w:val="-8"/>
                <w:sz w:val="18"/>
              </w:rPr>
              <w:t> </w:t>
            </w:r>
            <w:r>
              <w:rPr>
                <w:spacing w:val="-4"/>
                <w:sz w:val="18"/>
              </w:rPr>
              <w:t>wren</w:t>
            </w:r>
          </w:p>
          <w:p>
            <w:pPr>
              <w:pStyle w:val="TableParagraph"/>
              <w:spacing w:line="207" w:lineRule="exact" w:before="0"/>
              <w:ind w:left="107"/>
              <w:rPr>
                <w:i/>
                <w:sz w:val="18"/>
              </w:rPr>
            </w:pPr>
            <w:r>
              <w:rPr>
                <w:i/>
                <w:sz w:val="18"/>
              </w:rPr>
              <w:t>Cistothorus</w:t>
            </w:r>
            <w:r>
              <w:rPr>
                <w:i/>
                <w:spacing w:val="-5"/>
                <w:sz w:val="18"/>
              </w:rPr>
              <w:t> </w:t>
            </w:r>
            <w:r>
              <w:rPr>
                <w:i/>
                <w:spacing w:val="-2"/>
                <w:sz w:val="18"/>
              </w:rPr>
              <w:t>palustris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Meadow</w:t>
            </w:r>
            <w:r>
              <w:rPr>
                <w:spacing w:val="-12"/>
                <w:sz w:val="18"/>
              </w:rPr>
              <w:t> </w:t>
            </w:r>
            <w:r>
              <w:rPr>
                <w:spacing w:val="-2"/>
                <w:sz w:val="18"/>
              </w:rPr>
              <w:t>fritillary</w:t>
            </w:r>
          </w:p>
          <w:p>
            <w:pPr>
              <w:pStyle w:val="TableParagraph"/>
              <w:spacing w:line="207" w:lineRule="exact" w:before="0"/>
              <w:ind w:left="107"/>
              <w:rPr>
                <w:i/>
                <w:sz w:val="18"/>
              </w:rPr>
            </w:pPr>
            <w:r>
              <w:rPr>
                <w:i/>
                <w:sz w:val="18"/>
              </w:rPr>
              <w:t>Boloria</w:t>
            </w:r>
            <w:r>
              <w:rPr>
                <w:i/>
                <w:spacing w:val="-3"/>
                <w:sz w:val="18"/>
              </w:rPr>
              <w:t> </w:t>
            </w:r>
            <w:r>
              <w:rPr>
                <w:i/>
                <w:sz w:val="18"/>
              </w:rPr>
              <w:t>Bellona</w:t>
            </w:r>
            <w:r>
              <w:rPr>
                <w:i/>
                <w:spacing w:val="-4"/>
                <w:sz w:val="18"/>
              </w:rPr>
              <w:t> </w:t>
            </w:r>
            <w:r>
              <w:rPr>
                <w:i/>
                <w:spacing w:val="-2"/>
                <w:sz w:val="18"/>
              </w:rPr>
              <w:t>toddi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700" w:hRule="atLeast"/>
        </w:trPr>
        <w:tc>
          <w:tcPr>
            <w:tcW w:w="3017" w:type="dxa"/>
          </w:tcPr>
          <w:p>
            <w:pPr>
              <w:pStyle w:val="TableParagraph"/>
              <w:ind w:left="107"/>
              <w:rPr>
                <w:i/>
                <w:sz w:val="18"/>
              </w:rPr>
            </w:pPr>
            <w:r>
              <w:rPr>
                <w:sz w:val="18"/>
              </w:rPr>
              <w:t>Mule</w:t>
            </w:r>
            <w:r>
              <w:rPr>
                <w:spacing w:val="-8"/>
                <w:sz w:val="18"/>
              </w:rPr>
              <w:t> </w:t>
            </w:r>
            <w:r>
              <w:rPr>
                <w:sz w:val="18"/>
              </w:rPr>
              <w:t>deer</w:t>
            </w:r>
            <w:r>
              <w:rPr>
                <w:spacing w:val="-9"/>
                <w:sz w:val="18"/>
              </w:rPr>
              <w:t> </w:t>
            </w:r>
            <w:r>
              <w:rPr>
                <w:sz w:val="18"/>
              </w:rPr>
              <w:t>and</w:t>
            </w:r>
            <w:r>
              <w:rPr>
                <w:spacing w:val="-10"/>
                <w:sz w:val="18"/>
              </w:rPr>
              <w:t> </w:t>
            </w:r>
            <w:r>
              <w:rPr>
                <w:sz w:val="18"/>
              </w:rPr>
              <w:t>white-tailed</w:t>
            </w:r>
            <w:r>
              <w:rPr>
                <w:spacing w:val="-10"/>
                <w:sz w:val="18"/>
              </w:rPr>
              <w:t> </w:t>
            </w:r>
            <w:r>
              <w:rPr>
                <w:sz w:val="18"/>
              </w:rPr>
              <w:t>deer </w:t>
            </w:r>
            <w:r>
              <w:rPr>
                <w:i/>
                <w:sz w:val="18"/>
              </w:rPr>
              <w:t>Odocoileus hemionus and</w:t>
            </w:r>
            <w:r>
              <w:rPr>
                <w:i/>
                <w:sz w:val="18"/>
              </w:rPr>
              <w:t> Odocoileus virginianus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40"/>
              <w:ind w:left="6"/>
              <w:jc w:val="center"/>
              <w:rPr>
                <w:sz w:val="18"/>
              </w:rPr>
            </w:pPr>
            <w:r>
              <w:rPr>
                <w:spacing w:val="-5"/>
                <w:sz w:val="18"/>
              </w:rPr>
              <w:t>Yes</w:t>
            </w: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Northern</w:t>
            </w:r>
            <w:r>
              <w:rPr>
                <w:spacing w:val="-4"/>
                <w:sz w:val="18"/>
              </w:rPr>
              <w:t> </w:t>
            </w:r>
            <w:r>
              <w:rPr>
                <w:sz w:val="18"/>
              </w:rPr>
              <w:t>bog</w:t>
            </w:r>
            <w:r>
              <w:rPr>
                <w:spacing w:val="-3"/>
                <w:sz w:val="18"/>
              </w:rPr>
              <w:t> </w:t>
            </w:r>
            <w:r>
              <w:rPr>
                <w:spacing w:val="-2"/>
                <w:sz w:val="18"/>
              </w:rPr>
              <w:t>lemming</w:t>
            </w:r>
          </w:p>
          <w:p>
            <w:pPr>
              <w:pStyle w:val="TableParagraph"/>
              <w:spacing w:line="207" w:lineRule="exact" w:before="0"/>
              <w:ind w:left="107"/>
              <w:rPr>
                <w:i/>
                <w:sz w:val="18"/>
              </w:rPr>
            </w:pPr>
            <w:r>
              <w:rPr>
                <w:i/>
                <w:sz w:val="18"/>
              </w:rPr>
              <w:t>Synaptomys</w:t>
            </w:r>
            <w:r>
              <w:rPr>
                <w:i/>
                <w:spacing w:val="-4"/>
                <w:sz w:val="18"/>
              </w:rPr>
              <w:t> </w:t>
            </w:r>
            <w:r>
              <w:rPr>
                <w:i/>
                <w:spacing w:val="-2"/>
                <w:sz w:val="18"/>
              </w:rPr>
              <w:t>borealis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Northern</w:t>
            </w:r>
            <w:r>
              <w:rPr>
                <w:spacing w:val="-5"/>
                <w:sz w:val="18"/>
              </w:rPr>
              <w:t> </w:t>
            </w:r>
            <w:r>
              <w:rPr>
                <w:spacing w:val="-2"/>
                <w:sz w:val="18"/>
              </w:rPr>
              <w:t>goshawk</w:t>
            </w:r>
          </w:p>
          <w:p>
            <w:pPr>
              <w:pStyle w:val="TableParagraph"/>
              <w:spacing w:line="207" w:lineRule="exact" w:before="0"/>
              <w:ind w:left="107"/>
              <w:rPr>
                <w:i/>
                <w:sz w:val="18"/>
              </w:rPr>
            </w:pPr>
            <w:r>
              <w:rPr>
                <w:i/>
                <w:sz w:val="18"/>
              </w:rPr>
              <w:t>Accipiter</w:t>
            </w:r>
            <w:r>
              <w:rPr>
                <w:i/>
                <w:spacing w:val="-5"/>
                <w:sz w:val="18"/>
              </w:rPr>
              <w:t> </w:t>
            </w:r>
            <w:r>
              <w:rPr>
                <w:i/>
                <w:spacing w:val="-2"/>
                <w:sz w:val="18"/>
              </w:rPr>
              <w:t>gentilis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14" w:right="7"/>
              <w:jc w:val="center"/>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Northern</w:t>
            </w:r>
            <w:r>
              <w:rPr>
                <w:spacing w:val="-5"/>
                <w:sz w:val="18"/>
              </w:rPr>
              <w:t> </w:t>
            </w:r>
            <w:r>
              <w:rPr>
                <w:spacing w:val="-2"/>
                <w:sz w:val="18"/>
              </w:rPr>
              <w:t>harrier</w:t>
            </w:r>
          </w:p>
          <w:p>
            <w:pPr>
              <w:pStyle w:val="TableParagraph"/>
              <w:spacing w:line="207" w:lineRule="exact" w:before="0"/>
              <w:ind w:left="107"/>
              <w:rPr>
                <w:i/>
                <w:sz w:val="18"/>
              </w:rPr>
            </w:pPr>
            <w:r>
              <w:rPr>
                <w:i/>
                <w:sz w:val="18"/>
              </w:rPr>
              <w:t>Circus</w:t>
            </w:r>
            <w:r>
              <w:rPr>
                <w:i/>
                <w:spacing w:val="-3"/>
                <w:sz w:val="18"/>
              </w:rPr>
              <w:t> </w:t>
            </w:r>
            <w:r>
              <w:rPr>
                <w:i/>
                <w:spacing w:val="-2"/>
                <w:sz w:val="18"/>
              </w:rPr>
              <w:t>hudsonius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bl>
    <w:p>
      <w:pPr>
        <w:pStyle w:val="TableParagraph"/>
        <w:spacing w:after="0"/>
        <w:rPr>
          <w:rFonts w:ascii="Times New Roman"/>
          <w:sz w:val="18"/>
        </w:rPr>
        <w:sectPr>
          <w:headerReference w:type="default" r:id="rId102"/>
          <w:headerReference w:type="even" r:id="rId103"/>
          <w:footerReference w:type="default" r:id="rId104"/>
          <w:footerReference w:type="even" r:id="rId105"/>
          <w:pgSz w:w="15840" w:h="12240" w:orient="landscape"/>
          <w:pgMar w:header="725" w:footer="891" w:top="1440" w:bottom="1080" w:left="1440" w:right="1440"/>
          <w:pgNumType w:start="187"/>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386"/>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Pallid</w:t>
            </w:r>
            <w:r>
              <w:rPr>
                <w:spacing w:val="-2"/>
                <w:sz w:val="18"/>
              </w:rPr>
              <w:t> </w:t>
            </w:r>
            <w:r>
              <w:rPr>
                <w:spacing w:val="-5"/>
                <w:sz w:val="18"/>
              </w:rPr>
              <w:t>bat</w:t>
            </w:r>
          </w:p>
          <w:p>
            <w:pPr>
              <w:pStyle w:val="TableParagraph"/>
              <w:spacing w:line="207" w:lineRule="exact" w:before="0"/>
              <w:ind w:left="107"/>
              <w:rPr>
                <w:i/>
                <w:sz w:val="18"/>
              </w:rPr>
            </w:pPr>
            <w:r>
              <w:rPr>
                <w:i/>
                <w:sz w:val="18"/>
              </w:rPr>
              <w:t>Antrozous</w:t>
            </w:r>
            <w:r>
              <w:rPr>
                <w:i/>
                <w:spacing w:val="-5"/>
                <w:sz w:val="18"/>
              </w:rPr>
              <w:t> </w:t>
            </w:r>
            <w:r>
              <w:rPr>
                <w:i/>
                <w:spacing w:val="-2"/>
                <w:sz w:val="18"/>
              </w:rPr>
              <w:t>pallidus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Peck’s</w:t>
            </w:r>
            <w:r>
              <w:rPr>
                <w:spacing w:val="-4"/>
                <w:sz w:val="18"/>
              </w:rPr>
              <w:t> </w:t>
            </w:r>
            <w:r>
              <w:rPr>
                <w:spacing w:val="-2"/>
                <w:sz w:val="18"/>
              </w:rPr>
              <w:t>skipper</w:t>
            </w:r>
          </w:p>
          <w:p>
            <w:pPr>
              <w:pStyle w:val="TableParagraph"/>
              <w:spacing w:line="207" w:lineRule="exact" w:before="0"/>
              <w:ind w:left="107"/>
              <w:rPr>
                <w:i/>
                <w:sz w:val="18"/>
              </w:rPr>
            </w:pPr>
            <w:r>
              <w:rPr>
                <w:i/>
                <w:sz w:val="18"/>
              </w:rPr>
              <w:t>Polites</w:t>
            </w:r>
            <w:r>
              <w:rPr>
                <w:i/>
                <w:spacing w:val="-2"/>
                <w:sz w:val="18"/>
              </w:rPr>
              <w:t> peckius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Peregrine</w:t>
            </w:r>
            <w:r>
              <w:rPr>
                <w:spacing w:val="-4"/>
                <w:sz w:val="18"/>
              </w:rPr>
              <w:t> </w:t>
            </w:r>
            <w:r>
              <w:rPr>
                <w:spacing w:val="-2"/>
                <w:sz w:val="18"/>
              </w:rPr>
              <w:t>falcon</w:t>
            </w:r>
          </w:p>
          <w:p>
            <w:pPr>
              <w:pStyle w:val="TableParagraph"/>
              <w:spacing w:line="207" w:lineRule="exact" w:before="0"/>
              <w:ind w:left="107"/>
              <w:rPr>
                <w:i/>
                <w:sz w:val="18"/>
              </w:rPr>
            </w:pPr>
            <w:r>
              <w:rPr>
                <w:i/>
                <w:sz w:val="18"/>
              </w:rPr>
              <w:t>Falco</w:t>
            </w:r>
            <w:r>
              <w:rPr>
                <w:i/>
                <w:spacing w:val="-1"/>
                <w:sz w:val="18"/>
              </w:rPr>
              <w:t> </w:t>
            </w:r>
            <w:r>
              <w:rPr>
                <w:i/>
                <w:spacing w:val="-2"/>
                <w:sz w:val="18"/>
              </w:rPr>
              <w:t>peregrinus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Pileated</w:t>
            </w:r>
            <w:r>
              <w:rPr>
                <w:spacing w:val="-2"/>
                <w:sz w:val="18"/>
              </w:rPr>
              <w:t> woodpecker</w:t>
            </w:r>
          </w:p>
          <w:p>
            <w:pPr>
              <w:pStyle w:val="TableParagraph"/>
              <w:spacing w:line="207" w:lineRule="exact" w:before="0"/>
              <w:ind w:left="107"/>
              <w:rPr>
                <w:i/>
                <w:sz w:val="18"/>
              </w:rPr>
            </w:pPr>
            <w:r>
              <w:rPr>
                <w:i/>
                <w:sz w:val="18"/>
              </w:rPr>
              <w:t>Dryocopus</w:t>
            </w:r>
            <w:r>
              <w:rPr>
                <w:i/>
                <w:spacing w:val="-4"/>
                <w:sz w:val="18"/>
              </w:rPr>
              <w:t> </w:t>
            </w:r>
            <w:r>
              <w:rPr>
                <w:i/>
                <w:spacing w:val="-2"/>
                <w:sz w:val="18"/>
              </w:rPr>
              <w:t>pileatus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Pygmy</w:t>
            </w:r>
            <w:r>
              <w:rPr>
                <w:spacing w:val="-3"/>
                <w:sz w:val="18"/>
              </w:rPr>
              <w:t> </w:t>
            </w:r>
            <w:r>
              <w:rPr>
                <w:spacing w:val="-2"/>
                <w:sz w:val="18"/>
              </w:rPr>
              <w:t>shrew</w:t>
            </w:r>
          </w:p>
          <w:p>
            <w:pPr>
              <w:pStyle w:val="TableParagraph"/>
              <w:spacing w:line="207" w:lineRule="exact" w:before="0"/>
              <w:ind w:left="107"/>
              <w:rPr>
                <w:i/>
                <w:sz w:val="18"/>
              </w:rPr>
            </w:pPr>
            <w:r>
              <w:rPr>
                <w:i/>
                <w:sz w:val="18"/>
              </w:rPr>
              <w:t>Sorex</w:t>
            </w:r>
            <w:r>
              <w:rPr>
                <w:i/>
                <w:spacing w:val="-2"/>
                <w:sz w:val="18"/>
              </w:rPr>
              <w:t> </w:t>
            </w:r>
            <w:r>
              <w:rPr>
                <w:i/>
                <w:spacing w:val="-4"/>
                <w:sz w:val="18"/>
              </w:rPr>
              <w:t>hoyi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Red-tailed</w:t>
            </w:r>
            <w:r>
              <w:rPr>
                <w:spacing w:val="-8"/>
                <w:sz w:val="18"/>
              </w:rPr>
              <w:t> </w:t>
            </w:r>
            <w:r>
              <w:rPr>
                <w:spacing w:val="-2"/>
                <w:sz w:val="18"/>
              </w:rPr>
              <w:t>chipmunk</w:t>
            </w:r>
          </w:p>
          <w:p>
            <w:pPr>
              <w:pStyle w:val="TableParagraph"/>
              <w:spacing w:line="207" w:lineRule="exact" w:before="0"/>
              <w:ind w:left="107"/>
              <w:rPr>
                <w:i/>
                <w:sz w:val="18"/>
              </w:rPr>
            </w:pPr>
            <w:r>
              <w:rPr>
                <w:i/>
                <w:sz w:val="18"/>
              </w:rPr>
              <w:t>Neotamias</w:t>
            </w:r>
            <w:r>
              <w:rPr>
                <w:i/>
                <w:spacing w:val="-6"/>
                <w:sz w:val="18"/>
              </w:rPr>
              <w:t> </w:t>
            </w:r>
            <w:r>
              <w:rPr>
                <w:i/>
                <w:spacing w:val="-2"/>
                <w:sz w:val="18"/>
              </w:rPr>
              <w:t>ruficaudus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Rocky</w:t>
            </w:r>
            <w:r>
              <w:rPr>
                <w:spacing w:val="-4"/>
                <w:sz w:val="18"/>
              </w:rPr>
              <w:t> </w:t>
            </w:r>
            <w:r>
              <w:rPr>
                <w:sz w:val="18"/>
              </w:rPr>
              <w:t>Mountain</w:t>
            </w:r>
            <w:r>
              <w:rPr>
                <w:spacing w:val="-4"/>
                <w:sz w:val="18"/>
              </w:rPr>
              <w:t> </w:t>
            </w:r>
            <w:r>
              <w:rPr>
                <w:spacing w:val="-5"/>
                <w:sz w:val="18"/>
              </w:rPr>
              <w:t>elk</w:t>
            </w:r>
          </w:p>
          <w:p>
            <w:pPr>
              <w:pStyle w:val="TableParagraph"/>
              <w:spacing w:line="207" w:lineRule="exact" w:before="0"/>
              <w:ind w:left="107"/>
              <w:rPr>
                <w:i/>
                <w:sz w:val="18"/>
              </w:rPr>
            </w:pPr>
            <w:r>
              <w:rPr>
                <w:i/>
                <w:sz w:val="18"/>
              </w:rPr>
              <w:t>Cervus</w:t>
            </w:r>
            <w:r>
              <w:rPr>
                <w:i/>
                <w:spacing w:val="-3"/>
                <w:sz w:val="18"/>
              </w:rPr>
              <w:t> </w:t>
            </w:r>
            <w:r>
              <w:rPr>
                <w:i/>
                <w:spacing w:val="-2"/>
                <w:sz w:val="18"/>
              </w:rPr>
              <w:t>canadensis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ind w:left="6"/>
              <w:jc w:val="center"/>
              <w:rPr>
                <w:sz w:val="18"/>
              </w:rPr>
            </w:pPr>
            <w:r>
              <w:rPr>
                <w:spacing w:val="-5"/>
                <w:sz w:val="18"/>
              </w:rPr>
              <w:t>Yes</w:t>
            </w: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Rosner’s</w:t>
            </w:r>
            <w:r>
              <w:rPr>
                <w:spacing w:val="-4"/>
                <w:sz w:val="18"/>
              </w:rPr>
              <w:t> </w:t>
            </w:r>
            <w:r>
              <w:rPr>
                <w:spacing w:val="-2"/>
                <w:sz w:val="18"/>
              </w:rPr>
              <w:t>hairstreak</w:t>
            </w:r>
          </w:p>
          <w:p>
            <w:pPr>
              <w:pStyle w:val="TableParagraph"/>
              <w:spacing w:line="207" w:lineRule="exact" w:before="0"/>
              <w:ind w:left="107"/>
              <w:rPr>
                <w:i/>
                <w:sz w:val="18"/>
              </w:rPr>
            </w:pPr>
            <w:r>
              <w:rPr>
                <w:i/>
                <w:sz w:val="18"/>
              </w:rPr>
              <w:t>Callophrys</w:t>
            </w:r>
            <w:r>
              <w:rPr>
                <w:i/>
                <w:spacing w:val="-5"/>
                <w:sz w:val="18"/>
              </w:rPr>
              <w:t> </w:t>
            </w:r>
            <w:r>
              <w:rPr>
                <w:i/>
                <w:sz w:val="18"/>
              </w:rPr>
              <w:t>nelsoni</w:t>
            </w:r>
            <w:r>
              <w:rPr>
                <w:i/>
                <w:spacing w:val="-4"/>
                <w:sz w:val="18"/>
              </w:rPr>
              <w:t> </w:t>
            </w:r>
            <w:r>
              <w:rPr>
                <w:i/>
                <w:spacing w:val="-2"/>
                <w:sz w:val="18"/>
              </w:rPr>
              <w:t>rosneri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Sage </w:t>
            </w:r>
            <w:r>
              <w:rPr>
                <w:spacing w:val="-2"/>
                <w:sz w:val="18"/>
              </w:rPr>
              <w:t>thrasher</w:t>
            </w:r>
          </w:p>
          <w:p>
            <w:pPr>
              <w:pStyle w:val="TableParagraph"/>
              <w:spacing w:line="207" w:lineRule="exact" w:before="0"/>
              <w:ind w:left="107"/>
              <w:rPr>
                <w:i/>
                <w:sz w:val="18"/>
              </w:rPr>
            </w:pPr>
            <w:r>
              <w:rPr>
                <w:i/>
                <w:sz w:val="18"/>
              </w:rPr>
              <w:t>Oreoscoptes</w:t>
            </w:r>
            <w:r>
              <w:rPr>
                <w:i/>
                <w:spacing w:val="-3"/>
                <w:sz w:val="18"/>
              </w:rPr>
              <w:t> </w:t>
            </w:r>
            <w:r>
              <w:rPr>
                <w:i/>
                <w:spacing w:val="-2"/>
                <w:sz w:val="18"/>
              </w:rPr>
              <w:t>montanus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Sandhill</w:t>
            </w:r>
            <w:r>
              <w:rPr>
                <w:spacing w:val="-5"/>
                <w:sz w:val="18"/>
              </w:rPr>
              <w:t> </w:t>
            </w:r>
            <w:r>
              <w:rPr>
                <w:spacing w:val="-2"/>
                <w:sz w:val="18"/>
              </w:rPr>
              <w:t>crane</w:t>
            </w:r>
          </w:p>
          <w:p>
            <w:pPr>
              <w:pStyle w:val="TableParagraph"/>
              <w:spacing w:line="207" w:lineRule="exact" w:before="0"/>
              <w:ind w:left="107"/>
              <w:rPr>
                <w:i/>
                <w:sz w:val="18"/>
              </w:rPr>
            </w:pPr>
            <w:r>
              <w:rPr>
                <w:i/>
                <w:sz w:val="18"/>
              </w:rPr>
              <w:t>Grus</w:t>
            </w:r>
            <w:r>
              <w:rPr>
                <w:i/>
                <w:spacing w:val="-4"/>
                <w:sz w:val="18"/>
              </w:rPr>
              <w:t> </w:t>
            </w:r>
            <w:r>
              <w:rPr>
                <w:i/>
                <w:sz w:val="18"/>
              </w:rPr>
              <w:t>canadensis</w:t>
            </w:r>
            <w:r>
              <w:rPr>
                <w:i/>
                <w:spacing w:val="-2"/>
                <w:sz w:val="18"/>
              </w:rPr>
              <w:t> tabida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Tawny-edged</w:t>
            </w:r>
            <w:r>
              <w:rPr>
                <w:spacing w:val="-3"/>
                <w:sz w:val="18"/>
              </w:rPr>
              <w:t> </w:t>
            </w:r>
            <w:r>
              <w:rPr>
                <w:spacing w:val="-2"/>
                <w:sz w:val="18"/>
              </w:rPr>
              <w:t>skipper</w:t>
            </w:r>
          </w:p>
          <w:p>
            <w:pPr>
              <w:pStyle w:val="TableParagraph"/>
              <w:spacing w:line="207" w:lineRule="exact" w:before="0"/>
              <w:ind w:left="107"/>
              <w:rPr>
                <w:i/>
                <w:sz w:val="18"/>
              </w:rPr>
            </w:pPr>
            <w:r>
              <w:rPr>
                <w:i/>
                <w:sz w:val="18"/>
              </w:rPr>
              <w:t>Polites</w:t>
            </w:r>
            <w:r>
              <w:rPr>
                <w:i/>
                <w:spacing w:val="-2"/>
                <w:sz w:val="18"/>
              </w:rPr>
              <w:t> themistocles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Tiger</w:t>
            </w:r>
            <w:r>
              <w:rPr>
                <w:spacing w:val="-2"/>
                <w:sz w:val="18"/>
              </w:rPr>
              <w:t> salamander</w:t>
            </w:r>
          </w:p>
          <w:p>
            <w:pPr>
              <w:pStyle w:val="TableParagraph"/>
              <w:spacing w:line="207" w:lineRule="exact" w:before="0"/>
              <w:ind w:left="107"/>
              <w:rPr>
                <w:i/>
                <w:sz w:val="18"/>
              </w:rPr>
            </w:pPr>
            <w:r>
              <w:rPr>
                <w:i/>
                <w:sz w:val="18"/>
              </w:rPr>
              <w:t>Ambystoma</w:t>
            </w:r>
            <w:r>
              <w:rPr>
                <w:i/>
                <w:spacing w:val="-2"/>
                <w:sz w:val="18"/>
              </w:rPr>
              <w:t> tigrinum</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Townsend’s</w:t>
            </w:r>
            <w:r>
              <w:rPr>
                <w:spacing w:val="-3"/>
                <w:sz w:val="18"/>
              </w:rPr>
              <w:t> </w:t>
            </w:r>
            <w:r>
              <w:rPr>
                <w:sz w:val="18"/>
              </w:rPr>
              <w:t>big-eared</w:t>
            </w:r>
            <w:r>
              <w:rPr>
                <w:spacing w:val="-3"/>
                <w:sz w:val="18"/>
              </w:rPr>
              <w:t> </w:t>
            </w:r>
            <w:r>
              <w:rPr>
                <w:spacing w:val="-5"/>
                <w:sz w:val="18"/>
              </w:rPr>
              <w:t>bat</w:t>
            </w:r>
          </w:p>
          <w:p>
            <w:pPr>
              <w:pStyle w:val="TableParagraph"/>
              <w:spacing w:line="207" w:lineRule="exact" w:before="0"/>
              <w:ind w:left="107"/>
              <w:rPr>
                <w:i/>
                <w:sz w:val="18"/>
              </w:rPr>
            </w:pPr>
            <w:r>
              <w:rPr>
                <w:i/>
                <w:sz w:val="18"/>
              </w:rPr>
              <w:t>Corynorhinus</w:t>
            </w:r>
            <w:r>
              <w:rPr>
                <w:i/>
                <w:spacing w:val="-6"/>
                <w:sz w:val="18"/>
              </w:rPr>
              <w:t> </w:t>
            </w:r>
            <w:r>
              <w:rPr>
                <w:i/>
                <w:spacing w:val="-2"/>
                <w:sz w:val="18"/>
              </w:rPr>
              <w:t>townsendii</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Western</w:t>
            </w:r>
            <w:r>
              <w:rPr>
                <w:spacing w:val="-1"/>
                <w:sz w:val="18"/>
              </w:rPr>
              <w:t> </w:t>
            </w:r>
            <w:r>
              <w:rPr>
                <w:spacing w:val="-2"/>
                <w:sz w:val="18"/>
              </w:rPr>
              <w:t>bluebird</w:t>
            </w:r>
          </w:p>
          <w:p>
            <w:pPr>
              <w:pStyle w:val="TableParagraph"/>
              <w:spacing w:line="207" w:lineRule="exact" w:before="0"/>
              <w:ind w:left="107"/>
              <w:rPr>
                <w:i/>
                <w:sz w:val="18"/>
              </w:rPr>
            </w:pPr>
            <w:r>
              <w:rPr>
                <w:i/>
                <w:sz w:val="18"/>
              </w:rPr>
              <w:t>Sialia</w:t>
            </w:r>
            <w:r>
              <w:rPr>
                <w:i/>
                <w:spacing w:val="-4"/>
                <w:sz w:val="18"/>
              </w:rPr>
              <w:t> </w:t>
            </w:r>
            <w:r>
              <w:rPr>
                <w:i/>
                <w:spacing w:val="-2"/>
                <w:sz w:val="18"/>
              </w:rPr>
              <w:t>mexicana</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Western</w:t>
            </w:r>
            <w:r>
              <w:rPr>
                <w:spacing w:val="-1"/>
                <w:sz w:val="18"/>
              </w:rPr>
              <w:t> </w:t>
            </w:r>
            <w:r>
              <w:rPr>
                <w:spacing w:val="-2"/>
                <w:sz w:val="18"/>
              </w:rPr>
              <w:t>bumblebee</w:t>
            </w:r>
          </w:p>
          <w:p>
            <w:pPr>
              <w:pStyle w:val="TableParagraph"/>
              <w:spacing w:line="207" w:lineRule="exact" w:before="0"/>
              <w:ind w:left="107"/>
              <w:rPr>
                <w:i/>
                <w:sz w:val="18"/>
              </w:rPr>
            </w:pPr>
            <w:r>
              <w:rPr>
                <w:i/>
                <w:sz w:val="18"/>
              </w:rPr>
              <w:t>Bombus</w:t>
            </w:r>
            <w:r>
              <w:rPr>
                <w:i/>
                <w:spacing w:val="-4"/>
                <w:sz w:val="18"/>
              </w:rPr>
              <w:t> </w:t>
            </w:r>
            <w:r>
              <w:rPr>
                <w:i/>
                <w:spacing w:val="-2"/>
                <w:sz w:val="18"/>
              </w:rPr>
              <w:t>occidentalis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White-headed</w:t>
            </w:r>
            <w:r>
              <w:rPr>
                <w:spacing w:val="-3"/>
                <w:sz w:val="18"/>
              </w:rPr>
              <w:t> </w:t>
            </w:r>
            <w:r>
              <w:rPr>
                <w:spacing w:val="-2"/>
                <w:sz w:val="18"/>
              </w:rPr>
              <w:t>woodpecker</w:t>
            </w:r>
          </w:p>
          <w:p>
            <w:pPr>
              <w:pStyle w:val="TableParagraph"/>
              <w:spacing w:line="207" w:lineRule="exact" w:before="0"/>
              <w:ind w:left="107"/>
              <w:rPr>
                <w:i/>
                <w:sz w:val="18"/>
              </w:rPr>
            </w:pPr>
            <w:r>
              <w:rPr>
                <w:i/>
                <w:sz w:val="18"/>
              </w:rPr>
              <w:t>Picoides</w:t>
            </w:r>
            <w:r>
              <w:rPr>
                <w:i/>
                <w:spacing w:val="-3"/>
                <w:sz w:val="18"/>
              </w:rPr>
              <w:t> </w:t>
            </w:r>
            <w:r>
              <w:rPr>
                <w:i/>
                <w:spacing w:val="-2"/>
                <w:sz w:val="18"/>
              </w:rPr>
              <w:t>albolarvatus</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570"/>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bl>
    <w:p>
      <w:pPr>
        <w:pStyle w:val="TableParagraph"/>
        <w:spacing w:after="0"/>
        <w:rPr>
          <w:rFonts w:ascii="Times New Roman"/>
          <w:sz w:val="18"/>
        </w:rPr>
        <w:sectPr>
          <w:pgSz w:w="15840" w:h="12240" w:orient="landscape"/>
          <w:pgMar w:header="725" w:footer="891" w:top="1440" w:bottom="1080" w:left="1440" w:right="1440"/>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14" w:right="3"/>
              <w:jc w:val="center"/>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Wilson’s</w:t>
            </w:r>
            <w:r>
              <w:rPr>
                <w:spacing w:val="-4"/>
                <w:sz w:val="18"/>
              </w:rPr>
              <w:t> </w:t>
            </w:r>
            <w:r>
              <w:rPr>
                <w:spacing w:val="-2"/>
                <w:sz w:val="18"/>
              </w:rPr>
              <w:t>snipe</w:t>
            </w:r>
          </w:p>
          <w:p>
            <w:pPr>
              <w:pStyle w:val="TableParagraph"/>
              <w:spacing w:line="207" w:lineRule="exact" w:before="0"/>
              <w:ind w:left="107"/>
              <w:rPr>
                <w:i/>
                <w:sz w:val="18"/>
              </w:rPr>
            </w:pPr>
            <w:r>
              <w:rPr>
                <w:i/>
                <w:sz w:val="18"/>
              </w:rPr>
              <w:t>Gallinago</w:t>
            </w:r>
            <w:r>
              <w:rPr>
                <w:i/>
                <w:spacing w:val="-5"/>
                <w:sz w:val="18"/>
              </w:rPr>
              <w:t> </w:t>
            </w:r>
            <w:r>
              <w:rPr>
                <w:i/>
                <w:spacing w:val="-2"/>
                <w:sz w:val="18"/>
              </w:rPr>
              <w:t>delicata</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pacing w:val="-2"/>
                <w:sz w:val="18"/>
              </w:rPr>
              <w:t>Wolverine</w:t>
            </w:r>
          </w:p>
          <w:p>
            <w:pPr>
              <w:pStyle w:val="TableParagraph"/>
              <w:spacing w:line="207" w:lineRule="exact" w:before="0"/>
              <w:ind w:left="107"/>
              <w:rPr>
                <w:i/>
                <w:sz w:val="18"/>
              </w:rPr>
            </w:pPr>
            <w:r>
              <w:rPr>
                <w:i/>
                <w:sz w:val="18"/>
              </w:rPr>
              <w:t>Gulo </w:t>
            </w:r>
            <w:r>
              <w:rPr>
                <w:i/>
                <w:spacing w:val="-4"/>
                <w:sz w:val="18"/>
              </w:rPr>
              <w:t>gulo</w:t>
            </w:r>
          </w:p>
        </w:tc>
        <w:tc>
          <w:tcPr>
            <w:tcW w:w="1721" w:type="dxa"/>
          </w:tcPr>
          <w:p>
            <w:pPr>
              <w:pStyle w:val="TableParagraph"/>
              <w:ind w:left="14" w:right="3"/>
              <w:jc w:val="center"/>
              <w:rPr>
                <w:sz w:val="18"/>
              </w:rPr>
            </w:pPr>
            <w:r>
              <w:rPr>
                <w:spacing w:val="-2"/>
                <w:sz w:val="18"/>
              </w:rPr>
              <w:t>Proposed</w:t>
            </w: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Wood</w:t>
            </w:r>
            <w:r>
              <w:rPr>
                <w:spacing w:val="-1"/>
                <w:sz w:val="18"/>
              </w:rPr>
              <w:t> </w:t>
            </w:r>
            <w:r>
              <w:rPr>
                <w:spacing w:val="-4"/>
                <w:sz w:val="18"/>
              </w:rPr>
              <w:t>duck</w:t>
            </w:r>
          </w:p>
          <w:p>
            <w:pPr>
              <w:pStyle w:val="TableParagraph"/>
              <w:spacing w:line="207" w:lineRule="exact" w:before="0"/>
              <w:ind w:left="107"/>
              <w:rPr>
                <w:i/>
                <w:sz w:val="18"/>
              </w:rPr>
            </w:pPr>
            <w:r>
              <w:rPr>
                <w:i/>
                <w:sz w:val="18"/>
              </w:rPr>
              <w:t>Aix </w:t>
            </w:r>
            <w:r>
              <w:rPr>
                <w:i/>
                <w:spacing w:val="-2"/>
                <w:sz w:val="18"/>
              </w:rPr>
              <w:t>sponsa</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Woodland</w:t>
            </w:r>
            <w:r>
              <w:rPr>
                <w:spacing w:val="-3"/>
                <w:sz w:val="18"/>
              </w:rPr>
              <w:t> </w:t>
            </w:r>
            <w:r>
              <w:rPr>
                <w:spacing w:val="-2"/>
                <w:sz w:val="18"/>
              </w:rPr>
              <w:t>caribou</w:t>
            </w:r>
          </w:p>
          <w:p>
            <w:pPr>
              <w:pStyle w:val="TableParagraph"/>
              <w:spacing w:line="207" w:lineRule="exact" w:before="0"/>
              <w:ind w:left="107"/>
              <w:rPr>
                <w:i/>
                <w:sz w:val="18"/>
              </w:rPr>
            </w:pPr>
            <w:r>
              <w:rPr>
                <w:i/>
                <w:sz w:val="18"/>
              </w:rPr>
              <w:t>Rangifer</w:t>
            </w:r>
            <w:r>
              <w:rPr>
                <w:i/>
                <w:spacing w:val="-6"/>
                <w:sz w:val="18"/>
              </w:rPr>
              <w:t> </w:t>
            </w:r>
            <w:r>
              <w:rPr>
                <w:i/>
                <w:sz w:val="18"/>
              </w:rPr>
              <w:t>tarandus</w:t>
            </w:r>
            <w:r>
              <w:rPr>
                <w:i/>
                <w:spacing w:val="-2"/>
                <w:sz w:val="18"/>
              </w:rPr>
              <w:t> caribou</w:t>
            </w:r>
          </w:p>
        </w:tc>
        <w:tc>
          <w:tcPr>
            <w:tcW w:w="1721" w:type="dxa"/>
          </w:tcPr>
          <w:p>
            <w:pPr>
              <w:pStyle w:val="TableParagraph"/>
              <w:ind w:left="14" w:right="3"/>
              <w:jc w:val="center"/>
              <w:rPr>
                <w:sz w:val="18"/>
              </w:rPr>
            </w:pPr>
            <w:r>
              <w:rPr>
                <w:spacing w:val="-2"/>
                <w:sz w:val="18"/>
              </w:rPr>
              <w:t>Endangered</w:t>
            </w: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Yellow-billed</w:t>
            </w:r>
            <w:r>
              <w:rPr>
                <w:spacing w:val="-9"/>
                <w:sz w:val="18"/>
              </w:rPr>
              <w:t> </w:t>
            </w:r>
            <w:r>
              <w:rPr>
                <w:spacing w:val="-2"/>
                <w:sz w:val="18"/>
              </w:rPr>
              <w:t>cuckoo</w:t>
            </w:r>
          </w:p>
          <w:p>
            <w:pPr>
              <w:pStyle w:val="TableParagraph"/>
              <w:spacing w:line="207" w:lineRule="exact" w:before="0"/>
              <w:ind w:left="107"/>
              <w:rPr>
                <w:i/>
                <w:sz w:val="18"/>
              </w:rPr>
            </w:pPr>
            <w:r>
              <w:rPr>
                <w:i/>
                <w:sz w:val="18"/>
              </w:rPr>
              <w:t>Coccyzus</w:t>
            </w:r>
            <w:r>
              <w:rPr>
                <w:i/>
                <w:spacing w:val="-6"/>
                <w:sz w:val="18"/>
              </w:rPr>
              <w:t> </w:t>
            </w:r>
            <w:r>
              <w:rPr>
                <w:i/>
                <w:spacing w:val="-2"/>
                <w:sz w:val="18"/>
              </w:rPr>
              <w:t>americanus</w:t>
            </w:r>
          </w:p>
        </w:tc>
        <w:tc>
          <w:tcPr>
            <w:tcW w:w="1721" w:type="dxa"/>
          </w:tcPr>
          <w:p>
            <w:pPr>
              <w:pStyle w:val="TableParagraph"/>
              <w:ind w:left="14"/>
              <w:jc w:val="center"/>
              <w:rPr>
                <w:sz w:val="18"/>
              </w:rPr>
            </w:pPr>
            <w:r>
              <w:rPr>
                <w:spacing w:val="-2"/>
                <w:sz w:val="18"/>
              </w:rPr>
              <w:t>Threatened</w:t>
            </w: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287" w:hRule="atLeast"/>
        </w:trPr>
        <w:tc>
          <w:tcPr>
            <w:tcW w:w="12951" w:type="dxa"/>
            <w:gridSpan w:val="7"/>
          </w:tcPr>
          <w:p>
            <w:pPr>
              <w:pStyle w:val="TableParagraph"/>
              <w:ind w:left="1238"/>
              <w:rPr>
                <w:b/>
                <w:sz w:val="18"/>
              </w:rPr>
            </w:pPr>
            <w:r>
              <w:rPr>
                <w:b/>
                <w:spacing w:val="-2"/>
                <w:sz w:val="18"/>
              </w:rPr>
              <w:t>Plants</w:t>
            </w:r>
          </w:p>
        </w:tc>
      </w:tr>
      <w:tr>
        <w:trPr>
          <w:trHeight w:val="493" w:hRule="atLeast"/>
        </w:trPr>
        <w:tc>
          <w:tcPr>
            <w:tcW w:w="3017" w:type="dxa"/>
          </w:tcPr>
          <w:p>
            <w:pPr>
              <w:pStyle w:val="TableParagraph"/>
              <w:spacing w:line="207" w:lineRule="exact"/>
              <w:ind w:left="107"/>
              <w:rPr>
                <w:sz w:val="18"/>
              </w:rPr>
            </w:pPr>
            <w:r>
              <w:rPr>
                <w:sz w:val="18"/>
              </w:rPr>
              <w:t>Arctic</w:t>
            </w:r>
            <w:r>
              <w:rPr>
                <w:spacing w:val="-1"/>
                <w:sz w:val="18"/>
              </w:rPr>
              <w:t> </w:t>
            </w:r>
            <w:r>
              <w:rPr>
                <w:spacing w:val="-2"/>
                <w:sz w:val="18"/>
              </w:rPr>
              <w:t>aster</w:t>
            </w:r>
          </w:p>
          <w:p>
            <w:pPr>
              <w:pStyle w:val="TableParagraph"/>
              <w:spacing w:line="207" w:lineRule="exact" w:before="0"/>
              <w:ind w:left="107"/>
              <w:rPr>
                <w:i/>
                <w:sz w:val="18"/>
              </w:rPr>
            </w:pPr>
            <w:r>
              <w:rPr>
                <w:i/>
                <w:sz w:val="18"/>
              </w:rPr>
              <w:t>Eurybia</w:t>
            </w:r>
            <w:r>
              <w:rPr>
                <w:i/>
                <w:spacing w:val="-3"/>
                <w:sz w:val="18"/>
              </w:rPr>
              <w:t> </w:t>
            </w:r>
            <w:r>
              <w:rPr>
                <w:i/>
                <w:spacing w:val="-2"/>
                <w:sz w:val="18"/>
              </w:rPr>
              <w:t>merita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6"/>
              <w:jc w:val="center"/>
              <w:rPr>
                <w:sz w:val="18"/>
              </w:rPr>
            </w:pPr>
            <w:r>
              <w:rPr>
                <w:spacing w:val="-4"/>
                <w:sz w:val="18"/>
              </w:rPr>
              <w:t>S1S2</w:t>
            </w:r>
          </w:p>
        </w:tc>
      </w:tr>
      <w:tr>
        <w:trPr>
          <w:trHeight w:val="493" w:hRule="atLeast"/>
        </w:trPr>
        <w:tc>
          <w:tcPr>
            <w:tcW w:w="3017" w:type="dxa"/>
          </w:tcPr>
          <w:p>
            <w:pPr>
              <w:pStyle w:val="TableParagraph"/>
              <w:spacing w:line="207" w:lineRule="exact"/>
              <w:ind w:left="107"/>
              <w:rPr>
                <w:sz w:val="18"/>
              </w:rPr>
            </w:pPr>
            <w:r>
              <w:rPr>
                <w:sz w:val="18"/>
              </w:rPr>
              <w:t>Beaked</w:t>
            </w:r>
            <w:r>
              <w:rPr>
                <w:spacing w:val="-3"/>
                <w:sz w:val="18"/>
              </w:rPr>
              <w:t> </w:t>
            </w:r>
            <w:r>
              <w:rPr>
                <w:spacing w:val="-2"/>
                <w:sz w:val="18"/>
              </w:rPr>
              <w:t>sedge</w:t>
            </w:r>
          </w:p>
          <w:p>
            <w:pPr>
              <w:pStyle w:val="TableParagraph"/>
              <w:spacing w:line="207" w:lineRule="exact" w:before="0"/>
              <w:ind w:left="107"/>
              <w:rPr>
                <w:i/>
                <w:sz w:val="18"/>
              </w:rPr>
            </w:pPr>
            <w:r>
              <w:rPr>
                <w:i/>
                <w:sz w:val="18"/>
              </w:rPr>
              <w:t>Carex</w:t>
            </w:r>
            <w:r>
              <w:rPr>
                <w:i/>
                <w:spacing w:val="-3"/>
                <w:sz w:val="18"/>
              </w:rPr>
              <w:t> </w:t>
            </w:r>
            <w:r>
              <w:rPr>
                <w:i/>
                <w:spacing w:val="-2"/>
                <w:sz w:val="18"/>
              </w:rPr>
              <w:t>rostrata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3" w:hRule="atLeast"/>
        </w:trPr>
        <w:tc>
          <w:tcPr>
            <w:tcW w:w="3017" w:type="dxa"/>
          </w:tcPr>
          <w:p>
            <w:pPr>
              <w:pStyle w:val="TableParagraph"/>
              <w:spacing w:line="207" w:lineRule="exact"/>
              <w:ind w:left="107"/>
              <w:rPr>
                <w:sz w:val="18"/>
              </w:rPr>
            </w:pPr>
            <w:r>
              <w:rPr>
                <w:sz w:val="18"/>
              </w:rPr>
              <w:t>Black</w:t>
            </w:r>
            <w:r>
              <w:rPr>
                <w:spacing w:val="-6"/>
                <w:sz w:val="18"/>
              </w:rPr>
              <w:t> </w:t>
            </w:r>
            <w:r>
              <w:rPr>
                <w:sz w:val="18"/>
              </w:rPr>
              <w:t>snake-</w:t>
            </w:r>
            <w:r>
              <w:rPr>
                <w:spacing w:val="-4"/>
                <w:sz w:val="18"/>
              </w:rPr>
              <w:t>root</w:t>
            </w:r>
          </w:p>
          <w:p>
            <w:pPr>
              <w:pStyle w:val="TableParagraph"/>
              <w:spacing w:line="207" w:lineRule="exact" w:before="0"/>
              <w:ind w:left="107"/>
              <w:rPr>
                <w:i/>
                <w:sz w:val="18"/>
              </w:rPr>
            </w:pPr>
            <w:r>
              <w:rPr>
                <w:i/>
                <w:sz w:val="18"/>
              </w:rPr>
              <w:t>Sanicula</w:t>
            </w:r>
            <w:r>
              <w:rPr>
                <w:i/>
                <w:spacing w:val="-2"/>
                <w:sz w:val="18"/>
              </w:rPr>
              <w:t> marilandica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4" w:hRule="atLeast"/>
        </w:trPr>
        <w:tc>
          <w:tcPr>
            <w:tcW w:w="3017" w:type="dxa"/>
          </w:tcPr>
          <w:p>
            <w:pPr>
              <w:pStyle w:val="TableParagraph"/>
              <w:spacing w:line="207" w:lineRule="exact"/>
              <w:ind w:left="107"/>
              <w:rPr>
                <w:sz w:val="18"/>
              </w:rPr>
            </w:pPr>
            <w:r>
              <w:rPr>
                <w:sz w:val="18"/>
              </w:rPr>
              <w:t>Bristly</w:t>
            </w:r>
            <w:r>
              <w:rPr>
                <w:spacing w:val="-1"/>
                <w:sz w:val="18"/>
              </w:rPr>
              <w:t> </w:t>
            </w:r>
            <w:r>
              <w:rPr>
                <w:spacing w:val="-2"/>
                <w:sz w:val="18"/>
              </w:rPr>
              <w:t>sedge</w:t>
            </w:r>
          </w:p>
          <w:p>
            <w:pPr>
              <w:pStyle w:val="TableParagraph"/>
              <w:spacing w:line="207" w:lineRule="exact" w:before="0"/>
              <w:ind w:left="107"/>
              <w:rPr>
                <w:i/>
                <w:sz w:val="18"/>
              </w:rPr>
            </w:pPr>
            <w:r>
              <w:rPr>
                <w:i/>
                <w:sz w:val="18"/>
              </w:rPr>
              <w:t>Carex</w:t>
            </w:r>
            <w:r>
              <w:rPr>
                <w:i/>
                <w:spacing w:val="-4"/>
                <w:sz w:val="18"/>
              </w:rPr>
              <w:t> </w:t>
            </w:r>
            <w:r>
              <w:rPr>
                <w:i/>
                <w:spacing w:val="-2"/>
                <w:sz w:val="18"/>
              </w:rPr>
              <w:t>comosa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Bulb-bearing</w:t>
            </w:r>
            <w:r>
              <w:rPr>
                <w:spacing w:val="-8"/>
                <w:sz w:val="18"/>
              </w:rPr>
              <w:t> </w:t>
            </w:r>
            <w:r>
              <w:rPr>
                <w:sz w:val="18"/>
              </w:rPr>
              <w:t>water-</w:t>
            </w:r>
            <w:r>
              <w:rPr>
                <w:spacing w:val="-2"/>
                <w:sz w:val="18"/>
              </w:rPr>
              <w:t>hemlock</w:t>
            </w:r>
          </w:p>
          <w:p>
            <w:pPr>
              <w:pStyle w:val="TableParagraph"/>
              <w:spacing w:line="207" w:lineRule="exact" w:before="0"/>
              <w:ind w:left="107"/>
              <w:rPr>
                <w:i/>
                <w:sz w:val="18"/>
              </w:rPr>
            </w:pPr>
            <w:r>
              <w:rPr>
                <w:i/>
                <w:sz w:val="18"/>
              </w:rPr>
              <w:t>Cicuta</w:t>
            </w:r>
            <w:r>
              <w:rPr>
                <w:i/>
                <w:spacing w:val="-4"/>
                <w:sz w:val="18"/>
              </w:rPr>
              <w:t> </w:t>
            </w:r>
            <w:r>
              <w:rPr>
                <w:i/>
                <w:spacing w:val="-2"/>
                <w:sz w:val="18"/>
              </w:rPr>
              <w:t>bulbifera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Cartilage</w:t>
            </w:r>
            <w:r>
              <w:rPr>
                <w:spacing w:val="-4"/>
                <w:sz w:val="18"/>
              </w:rPr>
              <w:t> </w:t>
            </w:r>
            <w:r>
              <w:rPr>
                <w:spacing w:val="-2"/>
                <w:sz w:val="18"/>
              </w:rPr>
              <w:t>lichen</w:t>
            </w:r>
          </w:p>
          <w:p>
            <w:pPr>
              <w:pStyle w:val="TableParagraph"/>
              <w:spacing w:line="207" w:lineRule="exact" w:before="0"/>
              <w:ind w:left="107"/>
              <w:rPr>
                <w:i/>
                <w:sz w:val="18"/>
              </w:rPr>
            </w:pPr>
            <w:r>
              <w:rPr>
                <w:i/>
                <w:sz w:val="18"/>
              </w:rPr>
              <w:t>Ramalina</w:t>
            </w:r>
            <w:r>
              <w:rPr>
                <w:i/>
                <w:spacing w:val="-4"/>
                <w:sz w:val="18"/>
              </w:rPr>
              <w:t> </w:t>
            </w:r>
            <w:r>
              <w:rPr>
                <w:i/>
                <w:spacing w:val="-2"/>
                <w:sz w:val="18"/>
              </w:rPr>
              <w:t>thrausta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Creeping</w:t>
            </w:r>
            <w:r>
              <w:rPr>
                <w:spacing w:val="-4"/>
                <w:sz w:val="18"/>
              </w:rPr>
              <w:t> </w:t>
            </w:r>
            <w:r>
              <w:rPr>
                <w:spacing w:val="-2"/>
                <w:sz w:val="18"/>
              </w:rPr>
              <w:t>snowberry</w:t>
            </w:r>
          </w:p>
          <w:p>
            <w:pPr>
              <w:pStyle w:val="TableParagraph"/>
              <w:spacing w:line="207" w:lineRule="exact" w:before="0"/>
              <w:ind w:left="107"/>
              <w:rPr>
                <w:i/>
                <w:sz w:val="18"/>
              </w:rPr>
            </w:pPr>
            <w:r>
              <w:rPr>
                <w:i/>
                <w:sz w:val="18"/>
              </w:rPr>
              <w:t>Gaultheria</w:t>
            </w:r>
            <w:r>
              <w:rPr>
                <w:i/>
                <w:spacing w:val="-5"/>
                <w:sz w:val="18"/>
              </w:rPr>
              <w:t> </w:t>
            </w:r>
            <w:r>
              <w:rPr>
                <w:i/>
                <w:spacing w:val="-2"/>
                <w:sz w:val="18"/>
              </w:rPr>
              <w:t>hispidula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4" w:hRule="atLeast"/>
        </w:trPr>
        <w:tc>
          <w:tcPr>
            <w:tcW w:w="3017" w:type="dxa"/>
          </w:tcPr>
          <w:p>
            <w:pPr>
              <w:pStyle w:val="TableParagraph"/>
              <w:spacing w:line="207" w:lineRule="exact"/>
              <w:ind w:left="107"/>
              <w:rPr>
                <w:sz w:val="18"/>
              </w:rPr>
            </w:pPr>
            <w:r>
              <w:rPr>
                <w:sz w:val="18"/>
              </w:rPr>
              <w:t>Crenulate</w:t>
            </w:r>
            <w:r>
              <w:rPr>
                <w:spacing w:val="-4"/>
                <w:sz w:val="18"/>
              </w:rPr>
              <w:t> </w:t>
            </w:r>
            <w:r>
              <w:rPr>
                <w:spacing w:val="-2"/>
                <w:sz w:val="18"/>
              </w:rPr>
              <w:t>moonwort</w:t>
            </w:r>
          </w:p>
          <w:p>
            <w:pPr>
              <w:pStyle w:val="TableParagraph"/>
              <w:spacing w:line="207" w:lineRule="exact" w:before="0"/>
              <w:ind w:left="107"/>
              <w:rPr>
                <w:i/>
                <w:sz w:val="18"/>
              </w:rPr>
            </w:pPr>
            <w:r>
              <w:rPr>
                <w:i/>
                <w:sz w:val="18"/>
              </w:rPr>
              <w:t>Botrychium</w:t>
            </w:r>
            <w:r>
              <w:rPr>
                <w:i/>
                <w:spacing w:val="-8"/>
                <w:sz w:val="18"/>
              </w:rPr>
              <w:t> </w:t>
            </w:r>
            <w:r>
              <w:rPr>
                <w:i/>
                <w:spacing w:val="-2"/>
                <w:sz w:val="18"/>
              </w:rPr>
              <w:t>crenulatum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S3</w:t>
            </w:r>
          </w:p>
        </w:tc>
      </w:tr>
      <w:tr>
        <w:trPr>
          <w:trHeight w:val="493" w:hRule="atLeast"/>
        </w:trPr>
        <w:tc>
          <w:tcPr>
            <w:tcW w:w="3017" w:type="dxa"/>
          </w:tcPr>
          <w:p>
            <w:pPr>
              <w:pStyle w:val="TableParagraph"/>
              <w:spacing w:line="207" w:lineRule="exact"/>
              <w:ind w:left="107"/>
              <w:rPr>
                <w:sz w:val="18"/>
              </w:rPr>
            </w:pPr>
            <w:r>
              <w:rPr>
                <w:sz w:val="18"/>
              </w:rPr>
              <w:t>Crested</w:t>
            </w:r>
            <w:r>
              <w:rPr>
                <w:spacing w:val="-4"/>
                <w:sz w:val="18"/>
              </w:rPr>
              <w:t> </w:t>
            </w:r>
            <w:r>
              <w:rPr>
                <w:spacing w:val="-2"/>
                <w:sz w:val="18"/>
              </w:rPr>
              <w:t>woodfern</w:t>
            </w:r>
          </w:p>
          <w:p>
            <w:pPr>
              <w:pStyle w:val="TableParagraph"/>
              <w:spacing w:line="207" w:lineRule="exact" w:before="0"/>
              <w:ind w:left="107"/>
              <w:rPr>
                <w:i/>
                <w:sz w:val="18"/>
              </w:rPr>
            </w:pPr>
            <w:r>
              <w:rPr>
                <w:i/>
                <w:sz w:val="18"/>
              </w:rPr>
              <w:t>Dryopteris</w:t>
            </w:r>
            <w:r>
              <w:rPr>
                <w:i/>
                <w:spacing w:val="-6"/>
                <w:sz w:val="18"/>
              </w:rPr>
              <w:t> </w:t>
            </w:r>
            <w:r>
              <w:rPr>
                <w:i/>
                <w:spacing w:val="-2"/>
                <w:sz w:val="18"/>
              </w:rPr>
              <w:t>cristata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700" w:hRule="atLeast"/>
        </w:trPr>
        <w:tc>
          <w:tcPr>
            <w:tcW w:w="3017" w:type="dxa"/>
          </w:tcPr>
          <w:p>
            <w:pPr>
              <w:pStyle w:val="TableParagraph"/>
              <w:ind w:left="107" w:right="542"/>
              <w:rPr>
                <w:i/>
                <w:sz w:val="18"/>
              </w:rPr>
            </w:pPr>
            <w:r>
              <w:rPr>
                <w:sz w:val="18"/>
              </w:rPr>
              <w:t>Drummond’s</w:t>
            </w:r>
            <w:r>
              <w:rPr>
                <w:spacing w:val="-13"/>
                <w:sz w:val="18"/>
              </w:rPr>
              <w:t> </w:t>
            </w:r>
            <w:r>
              <w:rPr>
                <w:sz w:val="18"/>
              </w:rPr>
              <w:t>mountain-avens </w:t>
            </w:r>
            <w:r>
              <w:rPr>
                <w:i/>
                <w:sz w:val="18"/>
              </w:rPr>
              <w:t>Dryas drummondii var.</w:t>
            </w:r>
            <w:r>
              <w:rPr>
                <w:i/>
                <w:sz w:val="18"/>
              </w:rPr>
              <w:t> </w:t>
            </w:r>
            <w:r>
              <w:rPr>
                <w:i/>
                <w:spacing w:val="-2"/>
                <w:sz w:val="18"/>
              </w:rPr>
              <w:t>drummondii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0"/>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0"/>
              <w:ind w:left="92" w:right="85"/>
              <w:jc w:val="center"/>
              <w:rPr>
                <w:sz w:val="18"/>
              </w:rPr>
            </w:pPr>
            <w:r>
              <w:rPr>
                <w:spacing w:val="-5"/>
                <w:sz w:val="18"/>
              </w:rPr>
              <w:t>S2</w:t>
            </w:r>
          </w:p>
        </w:tc>
      </w:tr>
    </w:tbl>
    <w:p>
      <w:pPr>
        <w:pStyle w:val="TableParagraph"/>
        <w:spacing w:after="0"/>
        <w:jc w:val="center"/>
        <w:rPr>
          <w:sz w:val="18"/>
        </w:rPr>
        <w:sectPr>
          <w:pgSz w:w="15840" w:h="12240" w:orient="landscape"/>
          <w:pgMar w:header="725" w:footer="891" w:top="1440" w:bottom="1080" w:left="1440" w:right="1440"/>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386"/>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False</w:t>
            </w:r>
            <w:r>
              <w:rPr>
                <w:spacing w:val="-2"/>
                <w:sz w:val="18"/>
              </w:rPr>
              <w:t> </w:t>
            </w:r>
            <w:r>
              <w:rPr>
                <w:sz w:val="18"/>
              </w:rPr>
              <w:t>mountain</w:t>
            </w:r>
            <w:r>
              <w:rPr>
                <w:spacing w:val="-2"/>
                <w:sz w:val="18"/>
              </w:rPr>
              <w:t> willow</w:t>
            </w:r>
          </w:p>
          <w:p>
            <w:pPr>
              <w:pStyle w:val="TableParagraph"/>
              <w:spacing w:line="207" w:lineRule="exact" w:before="0"/>
              <w:ind w:left="107"/>
              <w:rPr>
                <w:i/>
                <w:sz w:val="18"/>
              </w:rPr>
            </w:pPr>
            <w:r>
              <w:rPr>
                <w:i/>
                <w:sz w:val="18"/>
              </w:rPr>
              <w:t>Salix</w:t>
            </w:r>
            <w:r>
              <w:rPr>
                <w:i/>
                <w:spacing w:val="-2"/>
                <w:sz w:val="18"/>
              </w:rPr>
              <w:t> pseudomonticola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3" w:hRule="atLeast"/>
        </w:trPr>
        <w:tc>
          <w:tcPr>
            <w:tcW w:w="3017" w:type="dxa"/>
          </w:tcPr>
          <w:p>
            <w:pPr>
              <w:pStyle w:val="TableParagraph"/>
              <w:spacing w:line="207" w:lineRule="exact"/>
              <w:ind w:left="107"/>
              <w:rPr>
                <w:sz w:val="18"/>
              </w:rPr>
            </w:pPr>
            <w:r>
              <w:rPr>
                <w:sz w:val="18"/>
              </w:rPr>
              <w:t>Flat-top</w:t>
            </w:r>
            <w:r>
              <w:rPr>
                <w:spacing w:val="-3"/>
                <w:sz w:val="18"/>
              </w:rPr>
              <w:t> </w:t>
            </w:r>
            <w:r>
              <w:rPr>
                <w:spacing w:val="-2"/>
                <w:sz w:val="18"/>
              </w:rPr>
              <w:t>pussytoes</w:t>
            </w:r>
          </w:p>
          <w:p>
            <w:pPr>
              <w:pStyle w:val="TableParagraph"/>
              <w:spacing w:line="207" w:lineRule="exact" w:before="0"/>
              <w:ind w:left="107"/>
              <w:rPr>
                <w:i/>
                <w:sz w:val="18"/>
              </w:rPr>
            </w:pPr>
            <w:r>
              <w:rPr>
                <w:i/>
                <w:sz w:val="18"/>
              </w:rPr>
              <w:t>Antennaria</w:t>
            </w:r>
            <w:r>
              <w:rPr>
                <w:i/>
                <w:spacing w:val="-5"/>
                <w:sz w:val="18"/>
              </w:rPr>
              <w:t> </w:t>
            </w:r>
            <w:r>
              <w:rPr>
                <w:i/>
                <w:spacing w:val="-2"/>
                <w:sz w:val="18"/>
              </w:rPr>
              <w:t>corymbosa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3" w:hRule="atLeast"/>
        </w:trPr>
        <w:tc>
          <w:tcPr>
            <w:tcW w:w="3017" w:type="dxa"/>
          </w:tcPr>
          <w:p>
            <w:pPr>
              <w:pStyle w:val="TableParagraph"/>
              <w:spacing w:line="207" w:lineRule="exact"/>
              <w:ind w:left="107"/>
              <w:rPr>
                <w:sz w:val="18"/>
              </w:rPr>
            </w:pPr>
            <w:r>
              <w:rPr>
                <w:sz w:val="18"/>
              </w:rPr>
              <w:t>Green-keeled</w:t>
            </w:r>
            <w:r>
              <w:rPr>
                <w:spacing w:val="-3"/>
                <w:sz w:val="18"/>
              </w:rPr>
              <w:t> </w:t>
            </w:r>
            <w:r>
              <w:rPr>
                <w:spacing w:val="-2"/>
                <w:sz w:val="18"/>
              </w:rPr>
              <w:t>cottongrass</w:t>
            </w:r>
          </w:p>
          <w:p>
            <w:pPr>
              <w:pStyle w:val="TableParagraph"/>
              <w:spacing w:line="207" w:lineRule="exact" w:before="0"/>
              <w:ind w:left="107"/>
              <w:rPr>
                <w:i/>
                <w:sz w:val="18"/>
              </w:rPr>
            </w:pPr>
            <w:r>
              <w:rPr>
                <w:i/>
                <w:sz w:val="18"/>
              </w:rPr>
              <w:t>Eriophorum</w:t>
            </w:r>
            <w:r>
              <w:rPr>
                <w:i/>
                <w:spacing w:val="-5"/>
                <w:sz w:val="18"/>
              </w:rPr>
              <w:t> </w:t>
            </w:r>
            <w:r>
              <w:rPr>
                <w:i/>
                <w:spacing w:val="-2"/>
                <w:sz w:val="18"/>
              </w:rPr>
              <w:t>viridicarinatum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Hair-like</w:t>
            </w:r>
            <w:r>
              <w:rPr>
                <w:spacing w:val="-7"/>
                <w:sz w:val="18"/>
              </w:rPr>
              <w:t> </w:t>
            </w:r>
            <w:r>
              <w:rPr>
                <w:spacing w:val="-2"/>
                <w:sz w:val="18"/>
              </w:rPr>
              <w:t>sedge</w:t>
            </w:r>
          </w:p>
          <w:p>
            <w:pPr>
              <w:pStyle w:val="TableParagraph"/>
              <w:spacing w:line="207" w:lineRule="exact" w:before="0"/>
              <w:ind w:left="107"/>
              <w:rPr>
                <w:i/>
                <w:sz w:val="18"/>
              </w:rPr>
            </w:pPr>
            <w:r>
              <w:rPr>
                <w:i/>
                <w:sz w:val="18"/>
              </w:rPr>
              <w:t>Carex</w:t>
            </w:r>
            <w:r>
              <w:rPr>
                <w:i/>
                <w:spacing w:val="-4"/>
                <w:sz w:val="18"/>
              </w:rPr>
              <w:t> </w:t>
            </w:r>
            <w:r>
              <w:rPr>
                <w:i/>
                <w:spacing w:val="-2"/>
                <w:sz w:val="18"/>
              </w:rPr>
              <w:t>capillaris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4" w:hRule="atLeast"/>
        </w:trPr>
        <w:tc>
          <w:tcPr>
            <w:tcW w:w="3017" w:type="dxa"/>
          </w:tcPr>
          <w:p>
            <w:pPr>
              <w:pStyle w:val="TableParagraph"/>
              <w:spacing w:line="207" w:lineRule="exact"/>
              <w:ind w:left="107"/>
              <w:rPr>
                <w:sz w:val="18"/>
              </w:rPr>
            </w:pPr>
            <w:r>
              <w:rPr>
                <w:sz w:val="18"/>
              </w:rPr>
              <w:t>Hoary</w:t>
            </w:r>
            <w:r>
              <w:rPr>
                <w:spacing w:val="-4"/>
                <w:sz w:val="18"/>
              </w:rPr>
              <w:t> </w:t>
            </w:r>
            <w:r>
              <w:rPr>
                <w:spacing w:val="-2"/>
                <w:sz w:val="18"/>
              </w:rPr>
              <w:t>willow</w:t>
            </w:r>
          </w:p>
          <w:p>
            <w:pPr>
              <w:pStyle w:val="TableParagraph"/>
              <w:spacing w:line="207" w:lineRule="exact" w:before="0"/>
              <w:ind w:left="107"/>
              <w:rPr>
                <w:i/>
                <w:sz w:val="18"/>
              </w:rPr>
            </w:pPr>
            <w:r>
              <w:rPr>
                <w:i/>
                <w:sz w:val="18"/>
              </w:rPr>
              <w:t>Salix</w:t>
            </w:r>
            <w:r>
              <w:rPr>
                <w:i/>
                <w:spacing w:val="-4"/>
                <w:sz w:val="18"/>
              </w:rPr>
              <w:t> </w:t>
            </w:r>
            <w:r>
              <w:rPr>
                <w:i/>
                <w:spacing w:val="-2"/>
                <w:sz w:val="18"/>
              </w:rPr>
              <w:t>candida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700" w:hRule="atLeast"/>
        </w:trPr>
        <w:tc>
          <w:tcPr>
            <w:tcW w:w="3017" w:type="dxa"/>
          </w:tcPr>
          <w:p>
            <w:pPr>
              <w:pStyle w:val="TableParagraph"/>
              <w:spacing w:line="207" w:lineRule="exact"/>
              <w:ind w:left="107"/>
              <w:rPr>
                <w:sz w:val="18"/>
              </w:rPr>
            </w:pPr>
            <w:r>
              <w:rPr>
                <w:sz w:val="18"/>
              </w:rPr>
              <w:t>Idaho</w:t>
            </w:r>
            <w:r>
              <w:rPr>
                <w:spacing w:val="-2"/>
                <w:sz w:val="18"/>
              </w:rPr>
              <w:t> gooseberry</w:t>
            </w:r>
          </w:p>
          <w:p>
            <w:pPr>
              <w:pStyle w:val="TableParagraph"/>
              <w:spacing w:line="206" w:lineRule="exact" w:before="0"/>
              <w:ind w:left="107"/>
              <w:rPr>
                <w:sz w:val="18"/>
              </w:rPr>
            </w:pPr>
            <w:r>
              <w:rPr>
                <w:i/>
                <w:sz w:val="18"/>
              </w:rPr>
              <w:t>Ribes</w:t>
            </w:r>
            <w:r>
              <w:rPr>
                <w:i/>
                <w:spacing w:val="-6"/>
                <w:sz w:val="18"/>
              </w:rPr>
              <w:t> </w:t>
            </w:r>
            <w:r>
              <w:rPr>
                <w:i/>
                <w:sz w:val="18"/>
              </w:rPr>
              <w:t>oxyacanthoides</w:t>
            </w:r>
            <w:r>
              <w:rPr>
                <w:i/>
                <w:spacing w:val="-7"/>
                <w:sz w:val="18"/>
              </w:rPr>
              <w:t> </w:t>
            </w:r>
            <w:r>
              <w:rPr>
                <w:spacing w:val="-4"/>
                <w:sz w:val="18"/>
              </w:rPr>
              <w:t>ssp.</w:t>
            </w:r>
          </w:p>
          <w:p>
            <w:pPr>
              <w:pStyle w:val="TableParagraph"/>
              <w:spacing w:line="207" w:lineRule="exact" w:before="0"/>
              <w:ind w:left="107"/>
              <w:rPr>
                <w:i/>
                <w:sz w:val="18"/>
              </w:rPr>
            </w:pPr>
            <w:r>
              <w:rPr>
                <w:i/>
                <w:spacing w:val="-2"/>
                <w:sz w:val="18"/>
              </w:rPr>
              <w:t>irriguum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0"/>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0"/>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Kidney-leaved</w:t>
            </w:r>
            <w:r>
              <w:rPr>
                <w:spacing w:val="-8"/>
                <w:sz w:val="18"/>
              </w:rPr>
              <w:t> </w:t>
            </w:r>
            <w:r>
              <w:rPr>
                <w:spacing w:val="-2"/>
                <w:sz w:val="18"/>
              </w:rPr>
              <w:t>violet</w:t>
            </w:r>
          </w:p>
          <w:p>
            <w:pPr>
              <w:pStyle w:val="TableParagraph"/>
              <w:spacing w:line="207" w:lineRule="exact" w:before="0"/>
              <w:ind w:left="107"/>
              <w:rPr>
                <w:i/>
                <w:sz w:val="18"/>
              </w:rPr>
            </w:pPr>
            <w:r>
              <w:rPr>
                <w:i/>
                <w:sz w:val="18"/>
              </w:rPr>
              <w:t>Viola</w:t>
            </w:r>
            <w:r>
              <w:rPr>
                <w:i/>
                <w:spacing w:val="-2"/>
                <w:sz w:val="18"/>
              </w:rPr>
              <w:t> renifolia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2"/>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2"/>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Least</w:t>
            </w:r>
            <w:r>
              <w:rPr>
                <w:spacing w:val="-12"/>
                <w:sz w:val="18"/>
              </w:rPr>
              <w:t> </w:t>
            </w:r>
            <w:r>
              <w:rPr>
                <w:sz w:val="18"/>
              </w:rPr>
              <w:t>bladdery</w:t>
            </w:r>
            <w:r>
              <w:rPr>
                <w:spacing w:val="-13"/>
                <w:sz w:val="18"/>
              </w:rPr>
              <w:t> </w:t>
            </w:r>
            <w:r>
              <w:rPr>
                <w:sz w:val="18"/>
              </w:rPr>
              <w:t>milk-</w:t>
            </w:r>
            <w:r>
              <w:rPr>
                <w:spacing w:val="-2"/>
                <w:sz w:val="18"/>
              </w:rPr>
              <w:t>vetch</w:t>
            </w:r>
          </w:p>
          <w:p>
            <w:pPr>
              <w:pStyle w:val="TableParagraph"/>
              <w:spacing w:line="207" w:lineRule="exact" w:before="0"/>
              <w:ind w:left="107"/>
              <w:rPr>
                <w:i/>
                <w:sz w:val="18"/>
              </w:rPr>
            </w:pPr>
            <w:r>
              <w:rPr>
                <w:i/>
                <w:sz w:val="18"/>
              </w:rPr>
              <w:t>Astragalus</w:t>
            </w:r>
            <w:r>
              <w:rPr>
                <w:i/>
                <w:spacing w:val="-3"/>
                <w:sz w:val="18"/>
              </w:rPr>
              <w:t> </w:t>
            </w:r>
            <w:r>
              <w:rPr>
                <w:i/>
                <w:spacing w:val="-2"/>
                <w:sz w:val="18"/>
              </w:rPr>
              <w:t>microcystis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2"/>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2"/>
              <w:ind w:left="92" w:right="85"/>
              <w:jc w:val="center"/>
              <w:rPr>
                <w:sz w:val="18"/>
              </w:rPr>
            </w:pPr>
            <w:r>
              <w:rPr>
                <w:spacing w:val="-5"/>
                <w:sz w:val="18"/>
              </w:rPr>
              <w:t>S2</w:t>
            </w:r>
          </w:p>
        </w:tc>
      </w:tr>
      <w:tr>
        <w:trPr>
          <w:trHeight w:val="494" w:hRule="atLeast"/>
        </w:trPr>
        <w:tc>
          <w:tcPr>
            <w:tcW w:w="3017" w:type="dxa"/>
          </w:tcPr>
          <w:p>
            <w:pPr>
              <w:pStyle w:val="TableParagraph"/>
              <w:spacing w:line="207" w:lineRule="exact"/>
              <w:ind w:left="107"/>
              <w:rPr>
                <w:sz w:val="18"/>
              </w:rPr>
            </w:pPr>
            <w:r>
              <w:rPr>
                <w:sz w:val="18"/>
              </w:rPr>
              <w:t>McCall’s</w:t>
            </w:r>
            <w:r>
              <w:rPr>
                <w:spacing w:val="-9"/>
                <w:sz w:val="18"/>
              </w:rPr>
              <w:t> </w:t>
            </w:r>
            <w:r>
              <w:rPr>
                <w:spacing w:val="-2"/>
                <w:sz w:val="18"/>
              </w:rPr>
              <w:t>willow</w:t>
            </w:r>
          </w:p>
          <w:p>
            <w:pPr>
              <w:pStyle w:val="TableParagraph"/>
              <w:spacing w:line="207" w:lineRule="exact" w:before="0"/>
              <w:ind w:left="107"/>
              <w:rPr>
                <w:i/>
                <w:sz w:val="18"/>
              </w:rPr>
            </w:pPr>
            <w:r>
              <w:rPr>
                <w:i/>
                <w:sz w:val="18"/>
              </w:rPr>
              <w:t>Salix</w:t>
            </w:r>
            <w:r>
              <w:rPr>
                <w:i/>
                <w:spacing w:val="-4"/>
                <w:sz w:val="18"/>
              </w:rPr>
              <w:t> </w:t>
            </w:r>
            <w:r>
              <w:rPr>
                <w:i/>
                <w:spacing w:val="-2"/>
                <w:sz w:val="18"/>
              </w:rPr>
              <w:t>maccalliana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2"/>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2"/>
              <w:ind w:left="92" w:right="85"/>
              <w:jc w:val="center"/>
              <w:rPr>
                <w:sz w:val="18"/>
              </w:rPr>
            </w:pPr>
            <w:r>
              <w:rPr>
                <w:spacing w:val="-5"/>
                <w:sz w:val="18"/>
              </w:rPr>
              <w:t>S1</w:t>
            </w:r>
          </w:p>
        </w:tc>
      </w:tr>
      <w:tr>
        <w:trPr>
          <w:trHeight w:val="702" w:hRule="atLeast"/>
        </w:trPr>
        <w:tc>
          <w:tcPr>
            <w:tcW w:w="3017" w:type="dxa"/>
          </w:tcPr>
          <w:p>
            <w:pPr>
              <w:pStyle w:val="TableParagraph"/>
              <w:ind w:left="107" w:right="628"/>
              <w:rPr>
                <w:i/>
                <w:sz w:val="18"/>
              </w:rPr>
            </w:pPr>
            <w:r>
              <w:rPr>
                <w:sz w:val="18"/>
              </w:rPr>
              <w:t>Mexican muhly </w:t>
            </w:r>
            <w:r>
              <w:rPr>
                <w:i/>
                <w:sz w:val="18"/>
              </w:rPr>
              <w:t>Muhlenbergia</w:t>
            </w:r>
            <w:r>
              <w:rPr>
                <w:i/>
                <w:spacing w:val="-15"/>
                <w:sz w:val="18"/>
              </w:rPr>
              <w:t> </w:t>
            </w:r>
            <w:r>
              <w:rPr>
                <w:i/>
                <w:sz w:val="18"/>
              </w:rPr>
              <w:t>mexicana</w:t>
            </w:r>
            <w:r>
              <w:rPr>
                <w:i/>
                <w:spacing w:val="-12"/>
                <w:sz w:val="18"/>
              </w:rPr>
              <w:t> </w:t>
            </w:r>
            <w:r>
              <w:rPr>
                <w:sz w:val="18"/>
              </w:rPr>
              <w:t>var. </w:t>
            </w:r>
            <w:r>
              <w:rPr>
                <w:i/>
                <w:spacing w:val="-2"/>
                <w:sz w:val="18"/>
              </w:rPr>
              <w:t>mexicana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spacing w:before="42"/>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42"/>
              <w:ind w:left="92" w:right="84"/>
              <w:jc w:val="center"/>
              <w:rPr>
                <w:sz w:val="18"/>
              </w:rPr>
            </w:pPr>
            <w:r>
              <w:rPr>
                <w:spacing w:val="-5"/>
                <w:sz w:val="18"/>
              </w:rPr>
              <w:t>SNR</w:t>
            </w:r>
          </w:p>
        </w:tc>
      </w:tr>
      <w:tr>
        <w:trPr>
          <w:trHeight w:val="493" w:hRule="atLeast"/>
        </w:trPr>
        <w:tc>
          <w:tcPr>
            <w:tcW w:w="3017" w:type="dxa"/>
          </w:tcPr>
          <w:p>
            <w:pPr>
              <w:pStyle w:val="TableParagraph"/>
              <w:spacing w:line="207" w:lineRule="exact"/>
              <w:ind w:left="107"/>
              <w:rPr>
                <w:sz w:val="18"/>
              </w:rPr>
            </w:pPr>
            <w:r>
              <w:rPr>
                <w:sz w:val="18"/>
              </w:rPr>
              <w:t>Northern</w:t>
            </w:r>
            <w:r>
              <w:rPr>
                <w:spacing w:val="-5"/>
                <w:sz w:val="18"/>
              </w:rPr>
              <w:t> </w:t>
            </w:r>
            <w:r>
              <w:rPr>
                <w:spacing w:val="-2"/>
                <w:sz w:val="18"/>
              </w:rPr>
              <w:t>adderstongue</w:t>
            </w:r>
          </w:p>
          <w:p>
            <w:pPr>
              <w:pStyle w:val="TableParagraph"/>
              <w:spacing w:line="207" w:lineRule="exact" w:before="0"/>
              <w:ind w:left="107"/>
              <w:rPr>
                <w:i/>
                <w:sz w:val="18"/>
              </w:rPr>
            </w:pPr>
            <w:r>
              <w:rPr>
                <w:i/>
                <w:sz w:val="18"/>
              </w:rPr>
              <w:t>Ophioglossum</w:t>
            </w:r>
            <w:r>
              <w:rPr>
                <w:i/>
                <w:spacing w:val="-5"/>
                <w:sz w:val="18"/>
              </w:rPr>
              <w:t> </w:t>
            </w:r>
            <w:r>
              <w:rPr>
                <w:i/>
                <w:spacing w:val="-2"/>
                <w:sz w:val="18"/>
              </w:rPr>
              <w:t>pusillum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6"/>
              <w:jc w:val="center"/>
              <w:rPr>
                <w:sz w:val="18"/>
              </w:rPr>
            </w:pPr>
            <w:r>
              <w:rPr>
                <w:spacing w:val="-4"/>
                <w:sz w:val="18"/>
              </w:rPr>
              <w:t>S1S2</w:t>
            </w:r>
          </w:p>
        </w:tc>
      </w:tr>
      <w:tr>
        <w:trPr>
          <w:trHeight w:val="493" w:hRule="atLeast"/>
        </w:trPr>
        <w:tc>
          <w:tcPr>
            <w:tcW w:w="3017" w:type="dxa"/>
          </w:tcPr>
          <w:p>
            <w:pPr>
              <w:pStyle w:val="TableParagraph"/>
              <w:spacing w:line="207" w:lineRule="exact"/>
              <w:ind w:left="107"/>
              <w:rPr>
                <w:sz w:val="18"/>
              </w:rPr>
            </w:pPr>
            <w:r>
              <w:rPr>
                <w:sz w:val="18"/>
              </w:rPr>
              <w:t>Poor</w:t>
            </w:r>
            <w:r>
              <w:rPr>
                <w:spacing w:val="-1"/>
                <w:sz w:val="18"/>
              </w:rPr>
              <w:t> </w:t>
            </w:r>
            <w:r>
              <w:rPr>
                <w:spacing w:val="-2"/>
                <w:sz w:val="18"/>
              </w:rPr>
              <w:t>sedge</w:t>
            </w:r>
          </w:p>
          <w:p>
            <w:pPr>
              <w:pStyle w:val="TableParagraph"/>
              <w:spacing w:line="207" w:lineRule="exact" w:before="0"/>
              <w:ind w:left="107"/>
              <w:rPr>
                <w:i/>
                <w:sz w:val="18"/>
              </w:rPr>
            </w:pPr>
            <w:r>
              <w:rPr>
                <w:i/>
                <w:sz w:val="18"/>
              </w:rPr>
              <w:t>Carex</w:t>
            </w:r>
            <w:r>
              <w:rPr>
                <w:i/>
                <w:spacing w:val="-3"/>
                <w:sz w:val="18"/>
              </w:rPr>
              <w:t> </w:t>
            </w:r>
            <w:r>
              <w:rPr>
                <w:i/>
                <w:sz w:val="18"/>
              </w:rPr>
              <w:t>magellanica</w:t>
            </w:r>
            <w:r>
              <w:rPr>
                <w:i/>
                <w:spacing w:val="-2"/>
                <w:sz w:val="18"/>
              </w:rPr>
              <w:t> </w:t>
            </w:r>
            <w:r>
              <w:rPr>
                <w:sz w:val="18"/>
              </w:rPr>
              <w:t>ssp</w:t>
            </w:r>
            <w:r>
              <w:rPr>
                <w:i/>
                <w:sz w:val="18"/>
              </w:rPr>
              <w:t>.</w:t>
            </w:r>
            <w:r>
              <w:rPr>
                <w:i/>
                <w:spacing w:val="-6"/>
                <w:sz w:val="18"/>
              </w:rPr>
              <w:t> </w:t>
            </w:r>
            <w:r>
              <w:rPr>
                <w:i/>
                <w:spacing w:val="-2"/>
                <w:sz w:val="18"/>
              </w:rPr>
              <w:t>irrigua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6"/>
              <w:jc w:val="center"/>
              <w:rPr>
                <w:sz w:val="18"/>
              </w:rPr>
            </w:pPr>
            <w:r>
              <w:rPr>
                <w:spacing w:val="-4"/>
                <w:sz w:val="18"/>
              </w:rPr>
              <w:t>S2S3</w:t>
            </w:r>
          </w:p>
        </w:tc>
      </w:tr>
      <w:tr>
        <w:trPr>
          <w:trHeight w:val="494" w:hRule="atLeast"/>
        </w:trPr>
        <w:tc>
          <w:tcPr>
            <w:tcW w:w="3017" w:type="dxa"/>
          </w:tcPr>
          <w:p>
            <w:pPr>
              <w:pStyle w:val="TableParagraph"/>
              <w:spacing w:line="207" w:lineRule="exact"/>
              <w:ind w:left="107"/>
              <w:rPr>
                <w:sz w:val="18"/>
              </w:rPr>
            </w:pPr>
            <w:r>
              <w:rPr>
                <w:sz w:val="18"/>
              </w:rPr>
              <w:t>Prairie</w:t>
            </w:r>
            <w:r>
              <w:rPr>
                <w:spacing w:val="-5"/>
                <w:sz w:val="18"/>
              </w:rPr>
              <w:t> </w:t>
            </w:r>
            <w:r>
              <w:rPr>
                <w:spacing w:val="-2"/>
                <w:sz w:val="18"/>
              </w:rPr>
              <w:t>cordgrass</w:t>
            </w:r>
          </w:p>
          <w:p>
            <w:pPr>
              <w:pStyle w:val="TableParagraph"/>
              <w:spacing w:line="207" w:lineRule="exact" w:before="0"/>
              <w:ind w:left="107"/>
              <w:rPr>
                <w:i/>
                <w:sz w:val="18"/>
              </w:rPr>
            </w:pPr>
            <w:r>
              <w:rPr>
                <w:i/>
                <w:sz w:val="18"/>
              </w:rPr>
              <w:t>Spartina</w:t>
            </w:r>
            <w:r>
              <w:rPr>
                <w:i/>
                <w:spacing w:val="-2"/>
                <w:sz w:val="18"/>
              </w:rPr>
              <w:t> pectinata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Quill</w:t>
            </w:r>
            <w:r>
              <w:rPr>
                <w:spacing w:val="-5"/>
                <w:sz w:val="18"/>
              </w:rPr>
              <w:t> </w:t>
            </w:r>
            <w:r>
              <w:rPr>
                <w:spacing w:val="-2"/>
                <w:sz w:val="18"/>
              </w:rPr>
              <w:t>sedge</w:t>
            </w:r>
          </w:p>
          <w:p>
            <w:pPr>
              <w:pStyle w:val="TableParagraph"/>
              <w:spacing w:line="207" w:lineRule="exact" w:before="0"/>
              <w:ind w:left="107"/>
              <w:rPr>
                <w:i/>
                <w:sz w:val="18"/>
              </w:rPr>
            </w:pPr>
            <w:r>
              <w:rPr>
                <w:i/>
                <w:sz w:val="18"/>
              </w:rPr>
              <w:t>Carex</w:t>
            </w:r>
            <w:r>
              <w:rPr>
                <w:i/>
                <w:spacing w:val="-2"/>
                <w:sz w:val="18"/>
              </w:rPr>
              <w:t> tenera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4" w:hRule="atLeast"/>
        </w:trPr>
        <w:tc>
          <w:tcPr>
            <w:tcW w:w="3017" w:type="dxa"/>
          </w:tcPr>
          <w:p>
            <w:pPr>
              <w:pStyle w:val="TableParagraph"/>
              <w:spacing w:line="207" w:lineRule="exact"/>
              <w:ind w:left="107"/>
              <w:rPr>
                <w:sz w:val="18"/>
              </w:rPr>
            </w:pPr>
            <w:r>
              <w:rPr>
                <w:sz w:val="18"/>
              </w:rPr>
              <w:t>Sandberg’s</w:t>
            </w:r>
            <w:r>
              <w:rPr>
                <w:spacing w:val="-11"/>
                <w:sz w:val="18"/>
              </w:rPr>
              <w:t> </w:t>
            </w:r>
            <w:r>
              <w:rPr>
                <w:sz w:val="18"/>
              </w:rPr>
              <w:t>desert-</w:t>
            </w:r>
            <w:r>
              <w:rPr>
                <w:spacing w:val="-2"/>
                <w:sz w:val="18"/>
              </w:rPr>
              <w:t>parsley</w:t>
            </w:r>
          </w:p>
          <w:p>
            <w:pPr>
              <w:pStyle w:val="TableParagraph"/>
              <w:spacing w:line="207" w:lineRule="exact" w:before="0"/>
              <w:ind w:left="107"/>
              <w:rPr>
                <w:i/>
                <w:sz w:val="18"/>
              </w:rPr>
            </w:pPr>
            <w:r>
              <w:rPr>
                <w:i/>
                <w:sz w:val="18"/>
              </w:rPr>
              <w:t>Lomatium</w:t>
            </w:r>
            <w:r>
              <w:rPr>
                <w:i/>
                <w:spacing w:val="-12"/>
                <w:sz w:val="18"/>
              </w:rPr>
              <w:t> </w:t>
            </w:r>
            <w:r>
              <w:rPr>
                <w:i/>
                <w:spacing w:val="-2"/>
                <w:sz w:val="18"/>
              </w:rPr>
              <w:t>sandbergii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bl>
    <w:p>
      <w:pPr>
        <w:pStyle w:val="TableParagraph"/>
        <w:spacing w:after="0"/>
        <w:jc w:val="center"/>
        <w:rPr>
          <w:sz w:val="18"/>
        </w:rPr>
        <w:sectPr>
          <w:pgSz w:w="15840" w:h="12240" w:orient="landscape"/>
          <w:pgMar w:header="725" w:footer="891" w:top="1440" w:bottom="1080" w:left="1440" w:right="1440"/>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14" w:right="3"/>
              <w:jc w:val="center"/>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Slender</w:t>
            </w:r>
            <w:r>
              <w:rPr>
                <w:spacing w:val="-5"/>
                <w:sz w:val="18"/>
              </w:rPr>
              <w:t> </w:t>
            </w:r>
            <w:r>
              <w:rPr>
                <w:spacing w:val="-2"/>
                <w:sz w:val="18"/>
              </w:rPr>
              <w:t>moonwort</w:t>
            </w:r>
          </w:p>
          <w:p>
            <w:pPr>
              <w:pStyle w:val="TableParagraph"/>
              <w:spacing w:line="207" w:lineRule="exact" w:before="0"/>
              <w:ind w:left="107"/>
              <w:rPr>
                <w:i/>
                <w:sz w:val="18"/>
              </w:rPr>
            </w:pPr>
            <w:r>
              <w:rPr>
                <w:i/>
                <w:sz w:val="18"/>
              </w:rPr>
              <w:t>Botrychium</w:t>
            </w:r>
            <w:r>
              <w:rPr>
                <w:i/>
                <w:spacing w:val="-3"/>
                <w:sz w:val="18"/>
              </w:rPr>
              <w:t> </w:t>
            </w:r>
            <w:r>
              <w:rPr>
                <w:i/>
                <w:spacing w:val="-2"/>
                <w:sz w:val="18"/>
              </w:rPr>
              <w:t>lineare</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3" w:hRule="atLeast"/>
        </w:trPr>
        <w:tc>
          <w:tcPr>
            <w:tcW w:w="3017" w:type="dxa"/>
          </w:tcPr>
          <w:p>
            <w:pPr>
              <w:pStyle w:val="TableParagraph"/>
              <w:spacing w:line="207" w:lineRule="exact"/>
              <w:ind w:left="107"/>
              <w:rPr>
                <w:sz w:val="18"/>
              </w:rPr>
            </w:pPr>
            <w:r>
              <w:rPr>
                <w:sz w:val="18"/>
              </w:rPr>
              <w:t>Small</w:t>
            </w:r>
            <w:r>
              <w:rPr>
                <w:spacing w:val="-7"/>
                <w:sz w:val="18"/>
              </w:rPr>
              <w:t> </w:t>
            </w:r>
            <w:r>
              <w:rPr>
                <w:sz w:val="18"/>
              </w:rPr>
              <w:t>northern</w:t>
            </w:r>
            <w:r>
              <w:rPr>
                <w:spacing w:val="-4"/>
                <w:sz w:val="18"/>
              </w:rPr>
              <w:t> </w:t>
            </w:r>
            <w:r>
              <w:rPr>
                <w:sz w:val="18"/>
              </w:rPr>
              <w:t>bog-</w:t>
            </w:r>
            <w:r>
              <w:rPr>
                <w:spacing w:val="-2"/>
                <w:sz w:val="18"/>
              </w:rPr>
              <w:t>orchid</w:t>
            </w:r>
          </w:p>
          <w:p>
            <w:pPr>
              <w:pStyle w:val="TableParagraph"/>
              <w:spacing w:line="207" w:lineRule="exact" w:before="0"/>
              <w:ind w:left="107"/>
              <w:rPr>
                <w:i/>
                <w:sz w:val="18"/>
              </w:rPr>
            </w:pPr>
            <w:r>
              <w:rPr>
                <w:i/>
                <w:sz w:val="18"/>
              </w:rPr>
              <w:t>Platanthera</w:t>
            </w:r>
            <w:r>
              <w:rPr>
                <w:i/>
                <w:spacing w:val="-5"/>
                <w:sz w:val="18"/>
              </w:rPr>
              <w:t> </w:t>
            </w:r>
            <w:r>
              <w:rPr>
                <w:i/>
                <w:spacing w:val="-2"/>
                <w:sz w:val="18"/>
              </w:rPr>
              <w:t>obtusata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Smoky</w:t>
            </w:r>
            <w:r>
              <w:rPr>
                <w:spacing w:val="-3"/>
                <w:sz w:val="18"/>
              </w:rPr>
              <w:t> </w:t>
            </w:r>
            <w:r>
              <w:rPr>
                <w:sz w:val="18"/>
              </w:rPr>
              <w:t>Mountain</w:t>
            </w:r>
            <w:r>
              <w:rPr>
                <w:spacing w:val="-3"/>
                <w:sz w:val="18"/>
              </w:rPr>
              <w:t> </w:t>
            </w:r>
            <w:r>
              <w:rPr>
                <w:spacing w:val="-4"/>
                <w:sz w:val="18"/>
              </w:rPr>
              <w:t>sedge</w:t>
            </w:r>
          </w:p>
          <w:p>
            <w:pPr>
              <w:pStyle w:val="TableParagraph"/>
              <w:spacing w:line="207" w:lineRule="exact" w:before="0"/>
              <w:ind w:left="107"/>
              <w:rPr>
                <w:i/>
                <w:sz w:val="18"/>
              </w:rPr>
            </w:pPr>
            <w:r>
              <w:rPr>
                <w:i/>
                <w:sz w:val="18"/>
              </w:rPr>
              <w:t>Carex</w:t>
            </w:r>
            <w:r>
              <w:rPr>
                <w:i/>
                <w:spacing w:val="-2"/>
                <w:sz w:val="18"/>
              </w:rPr>
              <w:t> proposita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Sparse</w:t>
            </w:r>
            <w:r>
              <w:rPr>
                <w:spacing w:val="-4"/>
                <w:sz w:val="18"/>
              </w:rPr>
              <w:t> </w:t>
            </w:r>
            <w:r>
              <w:rPr>
                <w:sz w:val="18"/>
              </w:rPr>
              <w:t>flowered</w:t>
            </w:r>
            <w:r>
              <w:rPr>
                <w:spacing w:val="-3"/>
                <w:sz w:val="18"/>
              </w:rPr>
              <w:t> </w:t>
            </w:r>
            <w:r>
              <w:rPr>
                <w:spacing w:val="-4"/>
                <w:sz w:val="18"/>
              </w:rPr>
              <w:t>sedge</w:t>
            </w:r>
          </w:p>
          <w:p>
            <w:pPr>
              <w:pStyle w:val="TableParagraph"/>
              <w:spacing w:line="207" w:lineRule="exact" w:before="0"/>
              <w:ind w:left="107"/>
              <w:rPr>
                <w:i/>
                <w:sz w:val="18"/>
              </w:rPr>
            </w:pPr>
            <w:r>
              <w:rPr>
                <w:i/>
                <w:sz w:val="18"/>
              </w:rPr>
              <w:t>Carex</w:t>
            </w:r>
            <w:r>
              <w:rPr>
                <w:i/>
                <w:spacing w:val="-2"/>
                <w:sz w:val="18"/>
              </w:rPr>
              <w:t> tenuiflora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4" w:hRule="atLeast"/>
        </w:trPr>
        <w:tc>
          <w:tcPr>
            <w:tcW w:w="3017" w:type="dxa"/>
          </w:tcPr>
          <w:p>
            <w:pPr>
              <w:pStyle w:val="TableParagraph"/>
              <w:spacing w:line="207" w:lineRule="exact"/>
              <w:ind w:left="107"/>
              <w:rPr>
                <w:sz w:val="18"/>
              </w:rPr>
            </w:pPr>
            <w:r>
              <w:rPr>
                <w:sz w:val="18"/>
              </w:rPr>
              <w:t>Spiked</w:t>
            </w:r>
            <w:r>
              <w:rPr>
                <w:spacing w:val="-1"/>
                <w:sz w:val="18"/>
              </w:rPr>
              <w:t> </w:t>
            </w:r>
            <w:r>
              <w:rPr>
                <w:spacing w:val="-2"/>
                <w:sz w:val="18"/>
              </w:rPr>
              <w:t>muhly</w:t>
            </w:r>
          </w:p>
          <w:p>
            <w:pPr>
              <w:pStyle w:val="TableParagraph"/>
              <w:spacing w:line="207" w:lineRule="exact" w:before="0"/>
              <w:ind w:left="107"/>
              <w:rPr>
                <w:i/>
                <w:sz w:val="18"/>
              </w:rPr>
            </w:pPr>
            <w:r>
              <w:rPr>
                <w:i/>
                <w:spacing w:val="-2"/>
                <w:sz w:val="18"/>
              </w:rPr>
              <w:t>Muhlenbergia</w:t>
            </w:r>
            <w:r>
              <w:rPr>
                <w:i/>
                <w:spacing w:val="6"/>
                <w:sz w:val="18"/>
              </w:rPr>
              <w:t> </w:t>
            </w:r>
            <w:r>
              <w:rPr>
                <w:i/>
                <w:spacing w:val="-2"/>
                <w:sz w:val="18"/>
              </w:rPr>
              <w:t>glomerata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4"/>
                <w:sz w:val="18"/>
              </w:rPr>
              <w:t>S1S2</w:t>
            </w:r>
          </w:p>
        </w:tc>
      </w:tr>
      <w:tr>
        <w:trPr>
          <w:trHeight w:val="493" w:hRule="atLeast"/>
        </w:trPr>
        <w:tc>
          <w:tcPr>
            <w:tcW w:w="3017" w:type="dxa"/>
          </w:tcPr>
          <w:p>
            <w:pPr>
              <w:pStyle w:val="TableParagraph"/>
              <w:spacing w:line="207" w:lineRule="exact"/>
              <w:ind w:left="107"/>
              <w:rPr>
                <w:sz w:val="18"/>
              </w:rPr>
            </w:pPr>
            <w:r>
              <w:rPr>
                <w:sz w:val="18"/>
              </w:rPr>
              <w:t>Stalked</w:t>
            </w:r>
            <w:r>
              <w:rPr>
                <w:spacing w:val="-5"/>
                <w:sz w:val="18"/>
              </w:rPr>
              <w:t> </w:t>
            </w:r>
            <w:r>
              <w:rPr>
                <w:spacing w:val="-2"/>
                <w:sz w:val="18"/>
              </w:rPr>
              <w:t>moonwort</w:t>
            </w:r>
          </w:p>
          <w:p>
            <w:pPr>
              <w:pStyle w:val="TableParagraph"/>
              <w:spacing w:line="207" w:lineRule="exact" w:before="0"/>
              <w:ind w:left="107"/>
              <w:rPr>
                <w:i/>
                <w:sz w:val="18"/>
              </w:rPr>
            </w:pPr>
            <w:r>
              <w:rPr>
                <w:i/>
                <w:sz w:val="18"/>
              </w:rPr>
              <w:t>Botrychium</w:t>
            </w:r>
            <w:r>
              <w:rPr>
                <w:i/>
                <w:spacing w:val="-3"/>
                <w:sz w:val="18"/>
              </w:rPr>
              <w:t> </w:t>
            </w:r>
            <w:r>
              <w:rPr>
                <w:i/>
                <w:spacing w:val="-2"/>
                <w:sz w:val="18"/>
              </w:rPr>
              <w:t>pedunculosum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Steller’s</w:t>
            </w:r>
            <w:r>
              <w:rPr>
                <w:spacing w:val="-4"/>
                <w:sz w:val="18"/>
              </w:rPr>
              <w:t> </w:t>
            </w:r>
            <w:r>
              <w:rPr>
                <w:spacing w:val="-2"/>
                <w:sz w:val="18"/>
              </w:rPr>
              <w:t>rockbrake</w:t>
            </w:r>
          </w:p>
          <w:p>
            <w:pPr>
              <w:pStyle w:val="TableParagraph"/>
              <w:spacing w:line="207" w:lineRule="exact" w:before="0"/>
              <w:ind w:left="107"/>
              <w:rPr>
                <w:i/>
                <w:sz w:val="18"/>
              </w:rPr>
            </w:pPr>
            <w:r>
              <w:rPr>
                <w:i/>
                <w:sz w:val="18"/>
              </w:rPr>
              <w:t>Cryptogramma</w:t>
            </w:r>
            <w:r>
              <w:rPr>
                <w:i/>
                <w:spacing w:val="-8"/>
                <w:sz w:val="18"/>
              </w:rPr>
              <w:t> </w:t>
            </w:r>
            <w:r>
              <w:rPr>
                <w:i/>
                <w:spacing w:val="-2"/>
                <w:sz w:val="18"/>
              </w:rPr>
              <w:t>stelleri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4"/>
                <w:sz w:val="18"/>
              </w:rPr>
              <w:t>S1S2</w:t>
            </w:r>
          </w:p>
        </w:tc>
      </w:tr>
      <w:tr>
        <w:trPr>
          <w:trHeight w:val="493" w:hRule="atLeast"/>
        </w:trPr>
        <w:tc>
          <w:tcPr>
            <w:tcW w:w="3017" w:type="dxa"/>
          </w:tcPr>
          <w:p>
            <w:pPr>
              <w:pStyle w:val="TableParagraph"/>
              <w:spacing w:line="207" w:lineRule="exact"/>
              <w:ind w:left="107"/>
              <w:rPr>
                <w:sz w:val="18"/>
              </w:rPr>
            </w:pPr>
            <w:r>
              <w:rPr>
                <w:sz w:val="18"/>
              </w:rPr>
              <w:t>Strict</w:t>
            </w:r>
            <w:r>
              <w:rPr>
                <w:spacing w:val="-6"/>
                <w:sz w:val="18"/>
              </w:rPr>
              <w:t> </w:t>
            </w:r>
            <w:r>
              <w:rPr>
                <w:sz w:val="18"/>
              </w:rPr>
              <w:t>blue-eyed</w:t>
            </w:r>
            <w:r>
              <w:rPr>
                <w:spacing w:val="-1"/>
                <w:sz w:val="18"/>
              </w:rPr>
              <w:t> </w:t>
            </w:r>
            <w:r>
              <w:rPr>
                <w:spacing w:val="-4"/>
                <w:sz w:val="18"/>
              </w:rPr>
              <w:t>grass</w:t>
            </w:r>
          </w:p>
          <w:p>
            <w:pPr>
              <w:pStyle w:val="TableParagraph"/>
              <w:spacing w:line="207" w:lineRule="exact" w:before="0"/>
              <w:ind w:left="107"/>
              <w:rPr>
                <w:i/>
                <w:sz w:val="18"/>
              </w:rPr>
            </w:pPr>
            <w:r>
              <w:rPr>
                <w:i/>
                <w:sz w:val="18"/>
              </w:rPr>
              <w:t>Sisyrinchium</w:t>
            </w:r>
            <w:r>
              <w:rPr>
                <w:i/>
                <w:spacing w:val="-5"/>
                <w:sz w:val="18"/>
              </w:rPr>
              <w:t> </w:t>
            </w:r>
            <w:r>
              <w:rPr>
                <w:i/>
                <w:spacing w:val="-2"/>
                <w:sz w:val="18"/>
              </w:rPr>
              <w:t>montanum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4" w:hRule="atLeast"/>
        </w:trPr>
        <w:tc>
          <w:tcPr>
            <w:tcW w:w="3017" w:type="dxa"/>
          </w:tcPr>
          <w:p>
            <w:pPr>
              <w:pStyle w:val="TableParagraph"/>
              <w:spacing w:line="207" w:lineRule="exact"/>
              <w:ind w:left="107"/>
              <w:rPr>
                <w:sz w:val="18"/>
              </w:rPr>
            </w:pPr>
            <w:r>
              <w:rPr>
                <w:sz w:val="18"/>
              </w:rPr>
              <w:t>Treelike</w:t>
            </w:r>
            <w:r>
              <w:rPr>
                <w:spacing w:val="-3"/>
                <w:sz w:val="18"/>
              </w:rPr>
              <w:t> </w:t>
            </w:r>
            <w:r>
              <w:rPr>
                <w:spacing w:val="-2"/>
                <w:sz w:val="18"/>
              </w:rPr>
              <w:t>clubmoss</w:t>
            </w:r>
          </w:p>
          <w:p>
            <w:pPr>
              <w:pStyle w:val="TableParagraph"/>
              <w:spacing w:line="207" w:lineRule="exact" w:before="0"/>
              <w:ind w:left="107"/>
              <w:rPr>
                <w:i/>
                <w:sz w:val="18"/>
              </w:rPr>
            </w:pPr>
            <w:r>
              <w:rPr>
                <w:i/>
                <w:sz w:val="18"/>
              </w:rPr>
              <w:t>Lycopodium</w:t>
            </w:r>
            <w:r>
              <w:rPr>
                <w:i/>
                <w:spacing w:val="-6"/>
                <w:sz w:val="18"/>
              </w:rPr>
              <w:t> </w:t>
            </w:r>
            <w:r>
              <w:rPr>
                <w:i/>
                <w:spacing w:val="-2"/>
                <w:sz w:val="18"/>
              </w:rPr>
              <w:t>dendroideum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Twin-spiked</w:t>
            </w:r>
            <w:r>
              <w:rPr>
                <w:spacing w:val="-6"/>
                <w:sz w:val="18"/>
              </w:rPr>
              <w:t> </w:t>
            </w:r>
            <w:r>
              <w:rPr>
                <w:spacing w:val="-2"/>
                <w:sz w:val="18"/>
              </w:rPr>
              <w:t>moonwort</w:t>
            </w:r>
          </w:p>
          <w:p>
            <w:pPr>
              <w:pStyle w:val="TableParagraph"/>
              <w:spacing w:line="207" w:lineRule="exact" w:before="0"/>
              <w:ind w:left="107"/>
              <w:rPr>
                <w:i/>
                <w:sz w:val="18"/>
              </w:rPr>
            </w:pPr>
            <w:r>
              <w:rPr>
                <w:i/>
                <w:sz w:val="18"/>
              </w:rPr>
              <w:t>Botrychium</w:t>
            </w:r>
            <w:r>
              <w:rPr>
                <w:i/>
                <w:spacing w:val="-3"/>
                <w:sz w:val="18"/>
              </w:rPr>
              <w:t> </w:t>
            </w:r>
            <w:r>
              <w:rPr>
                <w:i/>
                <w:spacing w:val="-2"/>
                <w:sz w:val="18"/>
              </w:rPr>
              <w:t>paradoxum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Upward-lobed</w:t>
            </w:r>
            <w:r>
              <w:rPr>
                <w:spacing w:val="-8"/>
                <w:sz w:val="18"/>
              </w:rPr>
              <w:t> </w:t>
            </w:r>
            <w:r>
              <w:rPr>
                <w:spacing w:val="-2"/>
                <w:sz w:val="18"/>
              </w:rPr>
              <w:t>moonwort</w:t>
            </w:r>
          </w:p>
          <w:p>
            <w:pPr>
              <w:pStyle w:val="TableParagraph"/>
              <w:spacing w:line="207" w:lineRule="exact" w:before="0"/>
              <w:ind w:left="107"/>
              <w:rPr>
                <w:i/>
                <w:sz w:val="18"/>
              </w:rPr>
            </w:pPr>
            <w:r>
              <w:rPr>
                <w:i/>
                <w:sz w:val="18"/>
              </w:rPr>
              <w:t>Botrychium</w:t>
            </w:r>
            <w:r>
              <w:rPr>
                <w:i/>
                <w:spacing w:val="-5"/>
                <w:sz w:val="18"/>
              </w:rPr>
              <w:t> </w:t>
            </w:r>
            <w:r>
              <w:rPr>
                <w:i/>
                <w:spacing w:val="-2"/>
                <w:sz w:val="18"/>
              </w:rPr>
              <w:t>ascendens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493" w:hRule="atLeast"/>
        </w:trPr>
        <w:tc>
          <w:tcPr>
            <w:tcW w:w="3017" w:type="dxa"/>
          </w:tcPr>
          <w:p>
            <w:pPr>
              <w:pStyle w:val="TableParagraph"/>
              <w:spacing w:line="207" w:lineRule="exact"/>
              <w:ind w:left="107"/>
              <w:rPr>
                <w:sz w:val="18"/>
              </w:rPr>
            </w:pPr>
            <w:r>
              <w:rPr>
                <w:sz w:val="18"/>
              </w:rPr>
              <w:t>Water</w:t>
            </w:r>
            <w:r>
              <w:rPr>
                <w:spacing w:val="1"/>
                <w:sz w:val="18"/>
              </w:rPr>
              <w:t> </w:t>
            </w:r>
            <w:r>
              <w:rPr>
                <w:spacing w:val="-2"/>
                <w:sz w:val="18"/>
              </w:rPr>
              <w:t>avens</w:t>
            </w:r>
          </w:p>
          <w:p>
            <w:pPr>
              <w:pStyle w:val="TableParagraph"/>
              <w:spacing w:line="207" w:lineRule="exact" w:before="0"/>
              <w:ind w:left="107"/>
              <w:rPr>
                <w:i/>
                <w:sz w:val="18"/>
              </w:rPr>
            </w:pPr>
            <w:r>
              <w:rPr>
                <w:i/>
                <w:sz w:val="18"/>
              </w:rPr>
              <w:t>Geum</w:t>
            </w:r>
            <w:r>
              <w:rPr>
                <w:i/>
                <w:spacing w:val="-2"/>
                <w:sz w:val="18"/>
              </w:rPr>
              <w:t> rivale</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4"/>
                <w:sz w:val="18"/>
              </w:rPr>
              <w:t>S2S3</w:t>
            </w:r>
          </w:p>
        </w:tc>
      </w:tr>
      <w:tr>
        <w:trPr>
          <w:trHeight w:val="493" w:hRule="atLeast"/>
        </w:trPr>
        <w:tc>
          <w:tcPr>
            <w:tcW w:w="3017" w:type="dxa"/>
          </w:tcPr>
          <w:p>
            <w:pPr>
              <w:pStyle w:val="TableParagraph"/>
              <w:spacing w:line="207" w:lineRule="exact"/>
              <w:ind w:left="107"/>
              <w:rPr>
                <w:sz w:val="18"/>
              </w:rPr>
            </w:pPr>
            <w:r>
              <w:rPr>
                <w:sz w:val="18"/>
              </w:rPr>
              <w:t>Western</w:t>
            </w:r>
            <w:r>
              <w:rPr>
                <w:spacing w:val="-1"/>
                <w:sz w:val="18"/>
              </w:rPr>
              <w:t> </w:t>
            </w:r>
            <w:r>
              <w:rPr>
                <w:spacing w:val="-2"/>
                <w:sz w:val="18"/>
              </w:rPr>
              <w:t>moonwort</w:t>
            </w:r>
          </w:p>
          <w:p>
            <w:pPr>
              <w:pStyle w:val="TableParagraph"/>
              <w:spacing w:line="207" w:lineRule="exact" w:before="0"/>
              <w:ind w:left="107"/>
              <w:rPr>
                <w:i/>
                <w:sz w:val="18"/>
              </w:rPr>
            </w:pPr>
            <w:r>
              <w:rPr>
                <w:i/>
                <w:sz w:val="18"/>
              </w:rPr>
              <w:t>Botrychium</w:t>
            </w:r>
            <w:r>
              <w:rPr>
                <w:i/>
                <w:spacing w:val="-5"/>
                <w:sz w:val="18"/>
              </w:rPr>
              <w:t> </w:t>
            </w:r>
            <w:r>
              <w:rPr>
                <w:i/>
                <w:spacing w:val="-2"/>
                <w:sz w:val="18"/>
              </w:rPr>
              <w:t>hesperium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S1</w:t>
            </w:r>
          </w:p>
        </w:tc>
      </w:tr>
      <w:tr>
        <w:trPr>
          <w:trHeight w:val="494" w:hRule="atLeast"/>
        </w:trPr>
        <w:tc>
          <w:tcPr>
            <w:tcW w:w="3017" w:type="dxa"/>
          </w:tcPr>
          <w:p>
            <w:pPr>
              <w:pStyle w:val="TableParagraph"/>
              <w:spacing w:line="207" w:lineRule="exact"/>
              <w:ind w:left="107"/>
              <w:rPr>
                <w:sz w:val="18"/>
              </w:rPr>
            </w:pPr>
            <w:r>
              <w:rPr>
                <w:sz w:val="18"/>
              </w:rPr>
              <w:t>Wheeler’s</w:t>
            </w:r>
            <w:r>
              <w:rPr>
                <w:spacing w:val="-4"/>
                <w:sz w:val="18"/>
              </w:rPr>
              <w:t> </w:t>
            </w:r>
            <w:r>
              <w:rPr>
                <w:spacing w:val="-2"/>
                <w:sz w:val="18"/>
              </w:rPr>
              <w:t>bluegrass</w:t>
            </w:r>
          </w:p>
          <w:p>
            <w:pPr>
              <w:pStyle w:val="TableParagraph"/>
              <w:spacing w:line="207" w:lineRule="exact" w:before="0"/>
              <w:ind w:left="107"/>
              <w:rPr>
                <w:i/>
                <w:sz w:val="18"/>
              </w:rPr>
            </w:pPr>
            <w:r>
              <w:rPr>
                <w:i/>
                <w:sz w:val="18"/>
              </w:rPr>
              <w:t>Poa </w:t>
            </w:r>
            <w:r>
              <w:rPr>
                <w:i/>
                <w:spacing w:val="-2"/>
                <w:sz w:val="18"/>
              </w:rPr>
              <w:t>nervosa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700" w:hRule="atLeast"/>
        </w:trPr>
        <w:tc>
          <w:tcPr>
            <w:tcW w:w="3017" w:type="dxa"/>
          </w:tcPr>
          <w:p>
            <w:pPr>
              <w:pStyle w:val="TableParagraph"/>
              <w:spacing w:line="207" w:lineRule="exact"/>
              <w:ind w:left="107"/>
              <w:rPr>
                <w:sz w:val="18"/>
              </w:rPr>
            </w:pPr>
            <w:r>
              <w:rPr>
                <w:sz w:val="18"/>
              </w:rPr>
              <w:t>Whitebark</w:t>
            </w:r>
            <w:r>
              <w:rPr>
                <w:spacing w:val="-2"/>
                <w:sz w:val="18"/>
              </w:rPr>
              <w:t> </w:t>
            </w:r>
            <w:r>
              <w:rPr>
                <w:spacing w:val="-4"/>
                <w:sz w:val="18"/>
              </w:rPr>
              <w:t>pine</w:t>
            </w:r>
          </w:p>
          <w:p>
            <w:pPr>
              <w:pStyle w:val="TableParagraph"/>
              <w:spacing w:line="207" w:lineRule="exact" w:before="0"/>
              <w:ind w:left="107"/>
              <w:rPr>
                <w:i/>
                <w:sz w:val="18"/>
              </w:rPr>
            </w:pPr>
            <w:r>
              <w:rPr>
                <w:i/>
                <w:sz w:val="18"/>
              </w:rPr>
              <w:t>Pinus</w:t>
            </w:r>
            <w:r>
              <w:rPr>
                <w:i/>
                <w:spacing w:val="-2"/>
                <w:sz w:val="18"/>
              </w:rPr>
              <w:t> albicaulis</w:t>
            </w:r>
          </w:p>
        </w:tc>
        <w:tc>
          <w:tcPr>
            <w:tcW w:w="1721" w:type="dxa"/>
          </w:tcPr>
          <w:p>
            <w:pPr>
              <w:pStyle w:val="TableParagraph"/>
              <w:ind w:left="14" w:right="1"/>
              <w:jc w:val="center"/>
              <w:rPr>
                <w:sz w:val="18"/>
              </w:rPr>
            </w:pPr>
            <w:r>
              <w:rPr>
                <w:spacing w:val="-2"/>
                <w:sz w:val="18"/>
              </w:rPr>
              <w:t>Candidate</w:t>
            </w: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178" w:right="170" w:hanging="2"/>
              <w:jc w:val="center"/>
              <w:rPr>
                <w:sz w:val="18"/>
              </w:rPr>
            </w:pPr>
            <w:r>
              <w:rPr>
                <w:spacing w:val="-2"/>
                <w:sz w:val="18"/>
              </w:rPr>
              <w:t>Federal </w:t>
            </w:r>
            <w:r>
              <w:rPr>
                <w:sz w:val="18"/>
              </w:rPr>
              <w:t>Candidate,</w:t>
            </w:r>
            <w:r>
              <w:rPr>
                <w:spacing w:val="-13"/>
                <w:sz w:val="18"/>
              </w:rPr>
              <w:t> </w:t>
            </w:r>
            <w:r>
              <w:rPr>
                <w:sz w:val="18"/>
              </w:rPr>
              <w:t>not state ranked</w:t>
            </w:r>
          </w:p>
        </w:tc>
      </w:tr>
    </w:tbl>
    <w:p>
      <w:pPr>
        <w:pStyle w:val="TableParagraph"/>
        <w:spacing w:after="0"/>
        <w:jc w:val="center"/>
        <w:rPr>
          <w:sz w:val="18"/>
        </w:rPr>
        <w:sectPr>
          <w:pgSz w:w="15840" w:h="12240" w:orient="landscape"/>
          <w:pgMar w:header="725" w:footer="891" w:top="1440" w:bottom="1080" w:left="1440" w:right="1440"/>
        </w:sectPr>
      </w:pPr>
    </w:p>
    <w:p>
      <w:pPr>
        <w:pStyle w:val="BodyText"/>
        <w:spacing w:before="183"/>
        <w:rPr>
          <w:rFonts w:ascii="Arial"/>
          <w:b/>
          <w:sz w:val="20"/>
        </w:rPr>
      </w:pP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3017"/>
        <w:gridCol w:w="1721"/>
        <w:gridCol w:w="1618"/>
        <w:gridCol w:w="1721"/>
        <w:gridCol w:w="1723"/>
        <w:gridCol w:w="1615"/>
        <w:gridCol w:w="1536"/>
      </w:tblGrid>
      <w:tr>
        <w:trPr>
          <w:trHeight w:val="700" w:hRule="atLeast"/>
        </w:trPr>
        <w:tc>
          <w:tcPr>
            <w:tcW w:w="3017" w:type="dxa"/>
            <w:shd w:val="clear" w:color="auto" w:fill="D5E2BB"/>
          </w:tcPr>
          <w:p>
            <w:pPr>
              <w:pStyle w:val="TableParagraph"/>
              <w:rPr>
                <w:b/>
                <w:sz w:val="18"/>
              </w:rPr>
            </w:pPr>
          </w:p>
          <w:p>
            <w:pPr>
              <w:pStyle w:val="TableParagraph"/>
              <w:spacing w:before="0"/>
              <w:ind w:left="9"/>
              <w:jc w:val="center"/>
              <w:rPr>
                <w:b/>
                <w:sz w:val="18"/>
              </w:rPr>
            </w:pPr>
            <w:r>
              <w:rPr>
                <w:b/>
                <w:spacing w:val="-2"/>
                <w:sz w:val="18"/>
              </w:rPr>
              <w:t>Species</w:t>
            </w:r>
          </w:p>
        </w:tc>
        <w:tc>
          <w:tcPr>
            <w:tcW w:w="1721" w:type="dxa"/>
            <w:shd w:val="clear" w:color="auto" w:fill="D5E2BB"/>
          </w:tcPr>
          <w:p>
            <w:pPr>
              <w:pStyle w:val="TableParagraph"/>
              <w:rPr>
                <w:b/>
                <w:sz w:val="18"/>
              </w:rPr>
            </w:pPr>
          </w:p>
          <w:p>
            <w:pPr>
              <w:pStyle w:val="TableParagraph"/>
              <w:spacing w:before="0"/>
              <w:ind w:left="14" w:right="3"/>
              <w:jc w:val="center"/>
              <w:rPr>
                <w:b/>
                <w:sz w:val="18"/>
              </w:rPr>
            </w:pPr>
            <w:r>
              <w:rPr>
                <w:b/>
                <w:sz w:val="18"/>
              </w:rPr>
              <w:t>ESA</w:t>
            </w:r>
            <w:r>
              <w:rPr>
                <w:b/>
                <w:spacing w:val="-8"/>
                <w:sz w:val="18"/>
              </w:rPr>
              <w:t> </w:t>
            </w:r>
            <w:r>
              <w:rPr>
                <w:b/>
                <w:spacing w:val="-2"/>
                <w:sz w:val="18"/>
              </w:rPr>
              <w:t>listing</w:t>
            </w:r>
          </w:p>
        </w:tc>
        <w:tc>
          <w:tcPr>
            <w:tcW w:w="1618" w:type="dxa"/>
            <w:shd w:val="clear" w:color="auto" w:fill="D5E2BB"/>
          </w:tcPr>
          <w:p>
            <w:pPr>
              <w:pStyle w:val="TableParagraph"/>
              <w:spacing w:before="143"/>
              <w:ind w:left="477" w:right="226" w:hanging="243"/>
              <w:rPr>
                <w:b/>
                <w:sz w:val="18"/>
              </w:rPr>
            </w:pPr>
            <w:r>
              <w:rPr>
                <w:b/>
                <w:sz w:val="18"/>
              </w:rPr>
              <w:t>Surrogate</w:t>
            </w:r>
            <w:r>
              <w:rPr>
                <w:b/>
                <w:spacing w:val="-13"/>
                <w:sz w:val="18"/>
              </w:rPr>
              <w:t> </w:t>
            </w:r>
            <w:r>
              <w:rPr>
                <w:b/>
                <w:sz w:val="18"/>
              </w:rPr>
              <w:t>(S) </w:t>
            </w:r>
            <w:r>
              <w:rPr>
                <w:b/>
                <w:spacing w:val="-2"/>
                <w:sz w:val="18"/>
              </w:rPr>
              <w:t>species</w:t>
            </w:r>
          </w:p>
        </w:tc>
        <w:tc>
          <w:tcPr>
            <w:tcW w:w="1721" w:type="dxa"/>
            <w:shd w:val="clear" w:color="auto" w:fill="D5E2BB"/>
          </w:tcPr>
          <w:p>
            <w:pPr>
              <w:pStyle w:val="TableParagraph"/>
              <w:ind w:left="114" w:right="101" w:hanging="3"/>
              <w:jc w:val="center"/>
              <w:rPr>
                <w:b/>
                <w:sz w:val="18"/>
              </w:rPr>
            </w:pPr>
            <w:r>
              <w:rPr>
                <w:b/>
                <w:spacing w:val="-2"/>
                <w:sz w:val="18"/>
              </w:rPr>
              <w:t>Management </w:t>
            </w:r>
            <w:r>
              <w:rPr>
                <w:b/>
                <w:sz w:val="18"/>
              </w:rPr>
              <w:t>Indicator</w:t>
            </w:r>
            <w:r>
              <w:rPr>
                <w:b/>
                <w:spacing w:val="-13"/>
                <w:sz w:val="18"/>
              </w:rPr>
              <w:t> </w:t>
            </w:r>
            <w:r>
              <w:rPr>
                <w:b/>
                <w:sz w:val="18"/>
              </w:rPr>
              <w:t>Species (MIS)/ Focal (F)</w:t>
            </w:r>
          </w:p>
        </w:tc>
        <w:tc>
          <w:tcPr>
            <w:tcW w:w="1723" w:type="dxa"/>
            <w:shd w:val="clear" w:color="auto" w:fill="D5E2BB"/>
          </w:tcPr>
          <w:p>
            <w:pPr>
              <w:pStyle w:val="TableParagraph"/>
              <w:spacing w:before="143"/>
              <w:ind w:left="529" w:right="313" w:hanging="207"/>
              <w:rPr>
                <w:b/>
                <w:sz w:val="18"/>
              </w:rPr>
            </w:pPr>
            <w:r>
              <w:rPr>
                <w:b/>
                <w:sz w:val="18"/>
              </w:rPr>
              <w:t>R6</w:t>
            </w:r>
            <w:r>
              <w:rPr>
                <w:b/>
                <w:spacing w:val="-13"/>
                <w:sz w:val="18"/>
              </w:rPr>
              <w:t> </w:t>
            </w:r>
            <w:r>
              <w:rPr>
                <w:b/>
                <w:sz w:val="18"/>
              </w:rPr>
              <w:t>Sensitive </w:t>
            </w:r>
            <w:r>
              <w:rPr>
                <w:b/>
                <w:spacing w:val="-2"/>
                <w:sz w:val="18"/>
              </w:rPr>
              <w:t>species</w:t>
            </w:r>
          </w:p>
        </w:tc>
        <w:tc>
          <w:tcPr>
            <w:tcW w:w="1615" w:type="dxa"/>
            <w:shd w:val="clear" w:color="auto" w:fill="D5E2BB"/>
          </w:tcPr>
          <w:p>
            <w:pPr>
              <w:pStyle w:val="TableParagraph"/>
              <w:spacing w:before="143"/>
              <w:ind w:left="481" w:hanging="226"/>
              <w:rPr>
                <w:b/>
                <w:sz w:val="18"/>
              </w:rPr>
            </w:pPr>
            <w:r>
              <w:rPr>
                <w:b/>
                <w:spacing w:val="-2"/>
                <w:sz w:val="18"/>
              </w:rPr>
              <w:t>Management interest</w:t>
            </w:r>
          </w:p>
        </w:tc>
        <w:tc>
          <w:tcPr>
            <w:tcW w:w="1536" w:type="dxa"/>
            <w:shd w:val="clear" w:color="auto" w:fill="D5E2BB"/>
          </w:tcPr>
          <w:p>
            <w:pPr>
              <w:pStyle w:val="TableParagraph"/>
              <w:ind w:left="92" w:right="82"/>
              <w:jc w:val="center"/>
              <w:rPr>
                <w:b/>
                <w:sz w:val="18"/>
              </w:rPr>
            </w:pPr>
            <w:r>
              <w:rPr>
                <w:b/>
                <w:sz w:val="18"/>
              </w:rPr>
              <w:t>Federal</w:t>
            </w:r>
            <w:r>
              <w:rPr>
                <w:b/>
                <w:spacing w:val="-7"/>
                <w:sz w:val="18"/>
              </w:rPr>
              <w:t> </w:t>
            </w:r>
            <w:r>
              <w:rPr>
                <w:b/>
                <w:sz w:val="18"/>
              </w:rPr>
              <w:t>and WNHP</w:t>
            </w:r>
            <w:r>
              <w:rPr>
                <w:b/>
                <w:spacing w:val="-13"/>
                <w:sz w:val="18"/>
              </w:rPr>
              <w:t> </w:t>
            </w:r>
            <w:r>
              <w:rPr>
                <w:b/>
                <w:sz w:val="18"/>
              </w:rPr>
              <w:t>State </w:t>
            </w:r>
            <w:r>
              <w:rPr>
                <w:b/>
                <w:spacing w:val="-4"/>
                <w:sz w:val="18"/>
              </w:rPr>
              <w:t>rank</w:t>
            </w:r>
          </w:p>
        </w:tc>
      </w:tr>
      <w:tr>
        <w:trPr>
          <w:trHeight w:val="493" w:hRule="atLeast"/>
        </w:trPr>
        <w:tc>
          <w:tcPr>
            <w:tcW w:w="3017" w:type="dxa"/>
          </w:tcPr>
          <w:p>
            <w:pPr>
              <w:pStyle w:val="TableParagraph"/>
              <w:spacing w:line="207" w:lineRule="exact"/>
              <w:ind w:left="107"/>
              <w:rPr>
                <w:sz w:val="18"/>
              </w:rPr>
            </w:pPr>
            <w:r>
              <w:rPr>
                <w:sz w:val="18"/>
              </w:rPr>
              <w:t>Yellow</w:t>
            </w:r>
            <w:r>
              <w:rPr>
                <w:spacing w:val="-6"/>
                <w:sz w:val="18"/>
              </w:rPr>
              <w:t> </w:t>
            </w:r>
            <w:r>
              <w:rPr>
                <w:sz w:val="18"/>
              </w:rPr>
              <w:t>lady’s</w:t>
            </w:r>
            <w:r>
              <w:rPr>
                <w:spacing w:val="-2"/>
                <w:sz w:val="18"/>
              </w:rPr>
              <w:t> slipper</w:t>
            </w:r>
          </w:p>
          <w:p>
            <w:pPr>
              <w:pStyle w:val="TableParagraph"/>
              <w:spacing w:line="207" w:lineRule="exact" w:before="0"/>
              <w:ind w:left="107"/>
              <w:rPr>
                <w:i/>
                <w:sz w:val="18"/>
              </w:rPr>
            </w:pPr>
            <w:r>
              <w:rPr>
                <w:i/>
                <w:sz w:val="18"/>
              </w:rPr>
              <w:t>Cypripedium</w:t>
            </w:r>
            <w:r>
              <w:rPr>
                <w:i/>
                <w:spacing w:val="-5"/>
                <w:sz w:val="18"/>
              </w:rPr>
              <w:t> </w:t>
            </w:r>
            <w:r>
              <w:rPr>
                <w:i/>
                <w:spacing w:val="-2"/>
                <w:sz w:val="18"/>
              </w:rPr>
              <w:t>parviflorum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ind w:left="92" w:right="85"/>
              <w:jc w:val="center"/>
              <w:rPr>
                <w:sz w:val="18"/>
              </w:rPr>
            </w:pPr>
            <w:r>
              <w:rPr>
                <w:spacing w:val="-5"/>
                <w:sz w:val="18"/>
              </w:rPr>
              <w:t>S2</w:t>
            </w:r>
          </w:p>
        </w:tc>
      </w:tr>
      <w:tr>
        <w:trPr>
          <w:trHeight w:val="287" w:hRule="atLeast"/>
        </w:trPr>
        <w:tc>
          <w:tcPr>
            <w:tcW w:w="12951" w:type="dxa"/>
            <w:gridSpan w:val="7"/>
          </w:tcPr>
          <w:p>
            <w:pPr>
              <w:pStyle w:val="TableParagraph"/>
              <w:ind w:left="191"/>
              <w:rPr>
                <w:b/>
                <w:sz w:val="18"/>
              </w:rPr>
            </w:pPr>
            <w:r>
              <w:rPr>
                <w:b/>
                <w:sz w:val="18"/>
              </w:rPr>
              <w:t>Fish</w:t>
            </w:r>
            <w:r>
              <w:rPr>
                <w:b/>
                <w:spacing w:val="-3"/>
                <w:sz w:val="18"/>
              </w:rPr>
              <w:t> </w:t>
            </w:r>
            <w:r>
              <w:rPr>
                <w:b/>
                <w:sz w:val="18"/>
              </w:rPr>
              <w:t>and</w:t>
            </w:r>
            <w:r>
              <w:rPr>
                <w:b/>
                <w:spacing w:val="-2"/>
                <w:sz w:val="18"/>
              </w:rPr>
              <w:t> </w:t>
            </w:r>
            <w:r>
              <w:rPr>
                <w:b/>
                <w:sz w:val="18"/>
              </w:rPr>
              <w:t>Aquatic</w:t>
            </w:r>
            <w:r>
              <w:rPr>
                <w:b/>
                <w:spacing w:val="-1"/>
                <w:sz w:val="18"/>
              </w:rPr>
              <w:t> </w:t>
            </w:r>
            <w:r>
              <w:rPr>
                <w:b/>
                <w:spacing w:val="-2"/>
                <w:sz w:val="18"/>
              </w:rPr>
              <w:t>Invertebrates</w:t>
            </w:r>
          </w:p>
        </w:tc>
      </w:tr>
      <w:tr>
        <w:trPr>
          <w:trHeight w:val="493" w:hRule="atLeast"/>
        </w:trPr>
        <w:tc>
          <w:tcPr>
            <w:tcW w:w="3017" w:type="dxa"/>
          </w:tcPr>
          <w:p>
            <w:pPr>
              <w:pStyle w:val="TableParagraph"/>
              <w:spacing w:line="207" w:lineRule="exact"/>
              <w:ind w:left="107"/>
              <w:rPr>
                <w:sz w:val="18"/>
              </w:rPr>
            </w:pPr>
            <w:r>
              <w:rPr>
                <w:sz w:val="18"/>
              </w:rPr>
              <w:t>Bull </w:t>
            </w:r>
            <w:r>
              <w:rPr>
                <w:spacing w:val="-2"/>
                <w:sz w:val="18"/>
              </w:rPr>
              <w:t>trout</w:t>
            </w:r>
          </w:p>
          <w:p>
            <w:pPr>
              <w:pStyle w:val="TableParagraph"/>
              <w:spacing w:line="207" w:lineRule="exact" w:before="0"/>
              <w:ind w:left="107"/>
              <w:rPr>
                <w:i/>
                <w:sz w:val="18"/>
              </w:rPr>
            </w:pPr>
            <w:r>
              <w:rPr>
                <w:i/>
                <w:sz w:val="18"/>
              </w:rPr>
              <w:t>Salvelinus</w:t>
            </w:r>
            <w:r>
              <w:rPr>
                <w:i/>
                <w:spacing w:val="-5"/>
                <w:sz w:val="18"/>
              </w:rPr>
              <w:t> </w:t>
            </w:r>
            <w:r>
              <w:rPr>
                <w:i/>
                <w:spacing w:val="-2"/>
                <w:sz w:val="18"/>
              </w:rPr>
              <w:t>confluentus</w:t>
            </w:r>
          </w:p>
        </w:tc>
        <w:tc>
          <w:tcPr>
            <w:tcW w:w="1721" w:type="dxa"/>
          </w:tcPr>
          <w:p>
            <w:pPr>
              <w:pStyle w:val="TableParagraph"/>
              <w:ind w:left="14"/>
              <w:jc w:val="center"/>
              <w:rPr>
                <w:sz w:val="18"/>
              </w:rPr>
            </w:pPr>
            <w:r>
              <w:rPr>
                <w:spacing w:val="-2"/>
                <w:sz w:val="18"/>
              </w:rPr>
              <w:t>Threatened</w:t>
            </w:r>
          </w:p>
        </w:tc>
        <w:tc>
          <w:tcPr>
            <w:tcW w:w="1618" w:type="dxa"/>
          </w:tcPr>
          <w:p>
            <w:pPr>
              <w:pStyle w:val="TableParagraph"/>
              <w:ind w:left="3"/>
              <w:jc w:val="center"/>
              <w:rPr>
                <w:sz w:val="18"/>
              </w:rPr>
            </w:pPr>
            <w:r>
              <w:rPr>
                <w:spacing w:val="-10"/>
                <w:sz w:val="18"/>
              </w:rPr>
              <w:t>S</w:t>
            </w:r>
          </w:p>
        </w:tc>
        <w:tc>
          <w:tcPr>
            <w:tcW w:w="1721" w:type="dxa"/>
          </w:tcPr>
          <w:p>
            <w:pPr>
              <w:pStyle w:val="TableParagraph"/>
              <w:ind w:left="14" w:right="7"/>
              <w:jc w:val="center"/>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spacing w:before="0"/>
              <w:rPr>
                <w:rFonts w:ascii="Times New Roman"/>
                <w:sz w:val="18"/>
              </w:rPr>
            </w:pP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Delicate</w:t>
            </w:r>
            <w:r>
              <w:rPr>
                <w:spacing w:val="-4"/>
                <w:sz w:val="18"/>
              </w:rPr>
              <w:t> </w:t>
            </w:r>
            <w:r>
              <w:rPr>
                <w:spacing w:val="-2"/>
                <w:sz w:val="18"/>
              </w:rPr>
              <w:t>emerald</w:t>
            </w:r>
          </w:p>
          <w:p>
            <w:pPr>
              <w:pStyle w:val="TableParagraph"/>
              <w:spacing w:line="207" w:lineRule="exact" w:before="0"/>
              <w:ind w:left="107"/>
              <w:rPr>
                <w:i/>
                <w:sz w:val="18"/>
              </w:rPr>
            </w:pPr>
            <w:r>
              <w:rPr>
                <w:i/>
                <w:sz w:val="18"/>
              </w:rPr>
              <w:t>Somatochlora</w:t>
            </w:r>
            <w:r>
              <w:rPr>
                <w:i/>
                <w:spacing w:val="-6"/>
                <w:sz w:val="18"/>
              </w:rPr>
              <w:t> </w:t>
            </w:r>
            <w:r>
              <w:rPr>
                <w:i/>
                <w:spacing w:val="-2"/>
                <w:sz w:val="18"/>
              </w:rPr>
              <w:t>franklini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Lake</w:t>
            </w:r>
            <w:r>
              <w:rPr>
                <w:spacing w:val="-6"/>
                <w:sz w:val="18"/>
              </w:rPr>
              <w:t> </w:t>
            </w:r>
            <w:r>
              <w:rPr>
                <w:spacing w:val="-4"/>
                <w:sz w:val="18"/>
              </w:rPr>
              <w:t>chub</w:t>
            </w:r>
          </w:p>
          <w:p>
            <w:pPr>
              <w:pStyle w:val="TableParagraph"/>
              <w:spacing w:line="207" w:lineRule="exact" w:before="0"/>
              <w:ind w:left="107"/>
              <w:rPr>
                <w:i/>
                <w:sz w:val="18"/>
              </w:rPr>
            </w:pPr>
            <w:r>
              <w:rPr>
                <w:i/>
                <w:sz w:val="18"/>
              </w:rPr>
              <w:t>Couesius</w:t>
            </w:r>
            <w:r>
              <w:rPr>
                <w:i/>
                <w:spacing w:val="-6"/>
                <w:sz w:val="18"/>
              </w:rPr>
              <w:t> </w:t>
            </w:r>
            <w:r>
              <w:rPr>
                <w:i/>
                <w:spacing w:val="-2"/>
                <w:sz w:val="18"/>
              </w:rPr>
              <w:t>plumbeus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Pygmy</w:t>
            </w:r>
            <w:r>
              <w:rPr>
                <w:spacing w:val="-3"/>
                <w:sz w:val="18"/>
              </w:rPr>
              <w:t> </w:t>
            </w:r>
            <w:r>
              <w:rPr>
                <w:spacing w:val="-2"/>
                <w:sz w:val="18"/>
              </w:rPr>
              <w:t>whitefish</w:t>
            </w:r>
          </w:p>
          <w:p>
            <w:pPr>
              <w:pStyle w:val="TableParagraph"/>
              <w:spacing w:line="207" w:lineRule="exact" w:before="0"/>
              <w:ind w:left="107"/>
              <w:rPr>
                <w:i/>
                <w:sz w:val="18"/>
              </w:rPr>
            </w:pPr>
            <w:r>
              <w:rPr>
                <w:i/>
                <w:sz w:val="18"/>
              </w:rPr>
              <w:t>Prosopium</w:t>
            </w:r>
            <w:r>
              <w:rPr>
                <w:i/>
                <w:spacing w:val="-3"/>
                <w:sz w:val="18"/>
              </w:rPr>
              <w:t> </w:t>
            </w:r>
            <w:r>
              <w:rPr>
                <w:i/>
                <w:spacing w:val="-2"/>
                <w:sz w:val="18"/>
              </w:rPr>
              <w:t>coulteri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Redband/rainbow</w:t>
            </w:r>
            <w:r>
              <w:rPr>
                <w:spacing w:val="-10"/>
                <w:sz w:val="18"/>
              </w:rPr>
              <w:t> </w:t>
            </w:r>
            <w:r>
              <w:rPr>
                <w:spacing w:val="-2"/>
                <w:sz w:val="18"/>
              </w:rPr>
              <w:t>trout</w:t>
            </w:r>
          </w:p>
          <w:p>
            <w:pPr>
              <w:pStyle w:val="TableParagraph"/>
              <w:spacing w:line="207" w:lineRule="exact" w:before="0"/>
              <w:ind w:left="107"/>
              <w:rPr>
                <w:i/>
                <w:sz w:val="18"/>
              </w:rPr>
            </w:pPr>
            <w:r>
              <w:rPr>
                <w:i/>
                <w:sz w:val="18"/>
              </w:rPr>
              <w:t>Oncorhynchus</w:t>
            </w:r>
            <w:r>
              <w:rPr>
                <w:i/>
                <w:spacing w:val="-3"/>
                <w:sz w:val="18"/>
              </w:rPr>
              <w:t> </w:t>
            </w:r>
            <w:r>
              <w:rPr>
                <w:i/>
                <w:sz w:val="18"/>
              </w:rPr>
              <w:t>mykiss</w:t>
            </w:r>
            <w:r>
              <w:rPr>
                <w:i/>
                <w:spacing w:val="-3"/>
                <w:sz w:val="18"/>
              </w:rPr>
              <w:t> </w:t>
            </w:r>
            <w:r>
              <w:rPr>
                <w:i/>
                <w:spacing w:val="-2"/>
                <w:sz w:val="18"/>
              </w:rPr>
              <w:t>gairdneri</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14" w:right="7"/>
              <w:jc w:val="center"/>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Subarctic</w:t>
            </w:r>
            <w:r>
              <w:rPr>
                <w:spacing w:val="-4"/>
                <w:sz w:val="18"/>
              </w:rPr>
              <w:t> blue</w:t>
            </w:r>
          </w:p>
          <w:p>
            <w:pPr>
              <w:pStyle w:val="TableParagraph"/>
              <w:spacing w:line="207" w:lineRule="exact" w:before="0"/>
              <w:ind w:left="107"/>
              <w:rPr>
                <w:i/>
                <w:sz w:val="18"/>
              </w:rPr>
            </w:pPr>
            <w:r>
              <w:rPr>
                <w:i/>
                <w:sz w:val="18"/>
              </w:rPr>
              <w:t>Coenagrion</w:t>
            </w:r>
            <w:r>
              <w:rPr>
                <w:i/>
                <w:spacing w:val="-8"/>
                <w:sz w:val="18"/>
              </w:rPr>
              <w:t> </w:t>
            </w:r>
            <w:r>
              <w:rPr>
                <w:i/>
                <w:spacing w:val="-2"/>
                <w:sz w:val="18"/>
              </w:rPr>
              <w:t>interrogatum</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Subarctic</w:t>
            </w:r>
            <w:r>
              <w:rPr>
                <w:spacing w:val="-4"/>
                <w:sz w:val="18"/>
              </w:rPr>
              <w:t> </w:t>
            </w:r>
            <w:r>
              <w:rPr>
                <w:spacing w:val="-2"/>
                <w:sz w:val="18"/>
              </w:rPr>
              <w:t>darner</w:t>
            </w:r>
          </w:p>
          <w:p>
            <w:pPr>
              <w:pStyle w:val="TableParagraph"/>
              <w:spacing w:line="207" w:lineRule="exact" w:before="0"/>
              <w:ind w:left="107"/>
              <w:rPr>
                <w:i/>
                <w:sz w:val="18"/>
              </w:rPr>
            </w:pPr>
            <w:r>
              <w:rPr>
                <w:i/>
                <w:sz w:val="18"/>
              </w:rPr>
              <w:t>Aeshna</w:t>
            </w:r>
            <w:r>
              <w:rPr>
                <w:i/>
                <w:spacing w:val="-1"/>
                <w:sz w:val="18"/>
              </w:rPr>
              <w:t> </w:t>
            </w:r>
            <w:r>
              <w:rPr>
                <w:i/>
                <w:spacing w:val="-2"/>
                <w:sz w:val="18"/>
              </w:rPr>
              <w:t>subarctica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4" w:hRule="atLeast"/>
        </w:trPr>
        <w:tc>
          <w:tcPr>
            <w:tcW w:w="3017" w:type="dxa"/>
          </w:tcPr>
          <w:p>
            <w:pPr>
              <w:pStyle w:val="TableParagraph"/>
              <w:spacing w:line="207" w:lineRule="exact"/>
              <w:ind w:left="107"/>
              <w:rPr>
                <w:sz w:val="18"/>
              </w:rPr>
            </w:pPr>
            <w:r>
              <w:rPr>
                <w:sz w:val="18"/>
              </w:rPr>
              <w:t>Umatilla</w:t>
            </w:r>
            <w:r>
              <w:rPr>
                <w:spacing w:val="-6"/>
                <w:sz w:val="18"/>
              </w:rPr>
              <w:t> </w:t>
            </w:r>
            <w:r>
              <w:rPr>
                <w:spacing w:val="-4"/>
                <w:sz w:val="18"/>
              </w:rPr>
              <w:t>dace</w:t>
            </w:r>
          </w:p>
          <w:p>
            <w:pPr>
              <w:pStyle w:val="TableParagraph"/>
              <w:spacing w:line="207" w:lineRule="exact" w:before="0"/>
              <w:ind w:left="107"/>
              <w:rPr>
                <w:i/>
                <w:sz w:val="18"/>
              </w:rPr>
            </w:pPr>
            <w:r>
              <w:rPr>
                <w:i/>
                <w:sz w:val="18"/>
              </w:rPr>
              <w:t>Rhinichthys</w:t>
            </w:r>
            <w:r>
              <w:rPr>
                <w:i/>
                <w:spacing w:val="-6"/>
                <w:sz w:val="18"/>
              </w:rPr>
              <w:t> </w:t>
            </w:r>
            <w:r>
              <w:rPr>
                <w:i/>
                <w:spacing w:val="-2"/>
                <w:sz w:val="18"/>
              </w:rPr>
              <w:t>umatilla</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Westslope</w:t>
            </w:r>
            <w:r>
              <w:rPr>
                <w:spacing w:val="-2"/>
                <w:sz w:val="18"/>
              </w:rPr>
              <w:t> cutthroat</w:t>
            </w:r>
          </w:p>
          <w:p>
            <w:pPr>
              <w:pStyle w:val="TableParagraph"/>
              <w:spacing w:line="207" w:lineRule="exact" w:before="0"/>
              <w:ind w:left="107"/>
              <w:rPr>
                <w:i/>
                <w:sz w:val="18"/>
              </w:rPr>
            </w:pPr>
            <w:r>
              <w:rPr>
                <w:i/>
                <w:sz w:val="18"/>
              </w:rPr>
              <w:t>Oncorhynchus</w:t>
            </w:r>
            <w:r>
              <w:rPr>
                <w:i/>
                <w:spacing w:val="-4"/>
                <w:sz w:val="18"/>
              </w:rPr>
              <w:t> </w:t>
            </w:r>
            <w:r>
              <w:rPr>
                <w:i/>
                <w:sz w:val="18"/>
              </w:rPr>
              <w:t>clarkii</w:t>
            </w:r>
            <w:r>
              <w:rPr>
                <w:i/>
                <w:spacing w:val="-2"/>
                <w:sz w:val="18"/>
              </w:rPr>
              <w:t> lewisi</w:t>
            </w:r>
          </w:p>
        </w:tc>
        <w:tc>
          <w:tcPr>
            <w:tcW w:w="1721" w:type="dxa"/>
          </w:tcPr>
          <w:p>
            <w:pPr>
              <w:pStyle w:val="TableParagraph"/>
              <w:spacing w:before="0"/>
              <w:rPr>
                <w:rFonts w:ascii="Times New Roman"/>
                <w:sz w:val="18"/>
              </w:rPr>
            </w:pPr>
          </w:p>
        </w:tc>
        <w:tc>
          <w:tcPr>
            <w:tcW w:w="1618" w:type="dxa"/>
          </w:tcPr>
          <w:p>
            <w:pPr>
              <w:pStyle w:val="TableParagraph"/>
              <w:ind w:left="3"/>
              <w:jc w:val="center"/>
              <w:rPr>
                <w:sz w:val="18"/>
              </w:rPr>
            </w:pPr>
            <w:r>
              <w:rPr>
                <w:spacing w:val="-10"/>
                <w:sz w:val="18"/>
              </w:rPr>
              <w:t>S</w:t>
            </w:r>
          </w:p>
        </w:tc>
        <w:tc>
          <w:tcPr>
            <w:tcW w:w="1721" w:type="dxa"/>
          </w:tcPr>
          <w:p>
            <w:pPr>
              <w:pStyle w:val="TableParagraph"/>
              <w:ind w:left="14" w:right="7"/>
              <w:jc w:val="center"/>
              <w:rPr>
                <w:sz w:val="18"/>
              </w:rPr>
            </w:pPr>
            <w:r>
              <w:rPr>
                <w:sz w:val="18"/>
              </w:rPr>
              <w:t>MIS</w:t>
            </w:r>
            <w:r>
              <w:rPr>
                <w:spacing w:val="-3"/>
                <w:sz w:val="18"/>
              </w:rPr>
              <w:t> </w:t>
            </w:r>
            <w:r>
              <w:rPr>
                <w:sz w:val="18"/>
              </w:rPr>
              <w:t>/</w:t>
            </w:r>
            <w:r>
              <w:rPr>
                <w:spacing w:val="-3"/>
                <w:sz w:val="18"/>
              </w:rPr>
              <w:t> </w:t>
            </w:r>
            <w:r>
              <w:rPr>
                <w:spacing w:val="-10"/>
                <w:sz w:val="18"/>
              </w:rPr>
              <w:t>F</w:t>
            </w:r>
          </w:p>
        </w:tc>
        <w:tc>
          <w:tcPr>
            <w:tcW w:w="1723" w:type="dxa"/>
          </w:tcPr>
          <w:p>
            <w:pPr>
              <w:pStyle w:val="TableParagraph"/>
              <w:ind w:left="4"/>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Whitehouse</w:t>
            </w:r>
            <w:r>
              <w:rPr>
                <w:spacing w:val="-1"/>
                <w:sz w:val="18"/>
              </w:rPr>
              <w:t> </w:t>
            </w:r>
            <w:r>
              <w:rPr>
                <w:spacing w:val="-2"/>
                <w:sz w:val="18"/>
              </w:rPr>
              <w:t>emerald</w:t>
            </w:r>
          </w:p>
          <w:p>
            <w:pPr>
              <w:pStyle w:val="TableParagraph"/>
              <w:spacing w:line="207" w:lineRule="exact" w:before="0"/>
              <w:ind w:left="107"/>
              <w:rPr>
                <w:i/>
                <w:sz w:val="18"/>
              </w:rPr>
            </w:pPr>
            <w:r>
              <w:rPr>
                <w:i/>
                <w:sz w:val="18"/>
              </w:rPr>
              <w:t>Somatochlora</w:t>
            </w:r>
            <w:r>
              <w:rPr>
                <w:i/>
                <w:spacing w:val="-3"/>
                <w:sz w:val="18"/>
              </w:rPr>
              <w:t> </w:t>
            </w:r>
            <w:r>
              <w:rPr>
                <w:i/>
                <w:spacing w:val="-2"/>
                <w:sz w:val="18"/>
              </w:rPr>
              <w:t>whitehousei</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r>
        <w:trPr>
          <w:trHeight w:val="493" w:hRule="atLeast"/>
        </w:trPr>
        <w:tc>
          <w:tcPr>
            <w:tcW w:w="3017" w:type="dxa"/>
          </w:tcPr>
          <w:p>
            <w:pPr>
              <w:pStyle w:val="TableParagraph"/>
              <w:spacing w:line="207" w:lineRule="exact"/>
              <w:ind w:left="107"/>
              <w:rPr>
                <w:sz w:val="18"/>
              </w:rPr>
            </w:pPr>
            <w:r>
              <w:rPr>
                <w:sz w:val="18"/>
              </w:rPr>
              <w:t>Zigzag</w:t>
            </w:r>
            <w:r>
              <w:rPr>
                <w:spacing w:val="-1"/>
                <w:sz w:val="18"/>
              </w:rPr>
              <w:t> </w:t>
            </w:r>
            <w:r>
              <w:rPr>
                <w:spacing w:val="-2"/>
                <w:sz w:val="18"/>
              </w:rPr>
              <w:t>darner</w:t>
            </w:r>
          </w:p>
          <w:p>
            <w:pPr>
              <w:pStyle w:val="TableParagraph"/>
              <w:spacing w:line="207" w:lineRule="exact" w:before="0"/>
              <w:ind w:left="107"/>
              <w:rPr>
                <w:i/>
                <w:sz w:val="18"/>
              </w:rPr>
            </w:pPr>
            <w:r>
              <w:rPr>
                <w:i/>
                <w:sz w:val="18"/>
              </w:rPr>
              <w:t>Aeshna</w:t>
            </w:r>
            <w:r>
              <w:rPr>
                <w:i/>
                <w:spacing w:val="-3"/>
                <w:sz w:val="18"/>
              </w:rPr>
              <w:t> </w:t>
            </w:r>
            <w:r>
              <w:rPr>
                <w:i/>
                <w:spacing w:val="-2"/>
                <w:sz w:val="18"/>
              </w:rPr>
              <w:t>sitchensis</w:t>
            </w:r>
          </w:p>
        </w:tc>
        <w:tc>
          <w:tcPr>
            <w:tcW w:w="1721" w:type="dxa"/>
          </w:tcPr>
          <w:p>
            <w:pPr>
              <w:pStyle w:val="TableParagraph"/>
              <w:spacing w:before="0"/>
              <w:rPr>
                <w:rFonts w:ascii="Times New Roman"/>
                <w:sz w:val="18"/>
              </w:rPr>
            </w:pPr>
          </w:p>
        </w:tc>
        <w:tc>
          <w:tcPr>
            <w:tcW w:w="1618" w:type="dxa"/>
          </w:tcPr>
          <w:p>
            <w:pPr>
              <w:pStyle w:val="TableParagraph"/>
              <w:spacing w:before="0"/>
              <w:rPr>
                <w:rFonts w:ascii="Times New Roman"/>
                <w:sz w:val="18"/>
              </w:rPr>
            </w:pPr>
          </w:p>
        </w:tc>
        <w:tc>
          <w:tcPr>
            <w:tcW w:w="1721" w:type="dxa"/>
          </w:tcPr>
          <w:p>
            <w:pPr>
              <w:pStyle w:val="TableParagraph"/>
              <w:spacing w:before="0"/>
              <w:rPr>
                <w:rFonts w:ascii="Times New Roman"/>
                <w:sz w:val="18"/>
              </w:rPr>
            </w:pPr>
          </w:p>
        </w:tc>
        <w:tc>
          <w:tcPr>
            <w:tcW w:w="1723" w:type="dxa"/>
          </w:tcPr>
          <w:p>
            <w:pPr>
              <w:pStyle w:val="TableParagraph"/>
              <w:ind w:left="4" w:right="1"/>
              <w:jc w:val="center"/>
              <w:rPr>
                <w:sz w:val="18"/>
              </w:rPr>
            </w:pPr>
            <w:r>
              <w:rPr>
                <w:spacing w:val="-5"/>
                <w:sz w:val="18"/>
              </w:rPr>
              <w:t>Yes</w:t>
            </w:r>
          </w:p>
        </w:tc>
        <w:tc>
          <w:tcPr>
            <w:tcW w:w="1615" w:type="dxa"/>
          </w:tcPr>
          <w:p>
            <w:pPr>
              <w:pStyle w:val="TableParagraph"/>
              <w:spacing w:before="0"/>
              <w:rPr>
                <w:rFonts w:ascii="Times New Roman"/>
                <w:sz w:val="18"/>
              </w:rPr>
            </w:pPr>
          </w:p>
        </w:tc>
        <w:tc>
          <w:tcPr>
            <w:tcW w:w="1536" w:type="dxa"/>
          </w:tcPr>
          <w:p>
            <w:pPr>
              <w:pStyle w:val="TableParagraph"/>
              <w:spacing w:before="0"/>
              <w:rPr>
                <w:rFonts w:ascii="Times New Roman"/>
                <w:sz w:val="18"/>
              </w:rPr>
            </w:pPr>
          </w:p>
        </w:tc>
      </w:tr>
    </w:tbl>
    <w:p>
      <w:pPr>
        <w:pStyle w:val="TableParagraph"/>
        <w:spacing w:after="0"/>
        <w:rPr>
          <w:rFonts w:ascii="Times New Roman"/>
          <w:sz w:val="18"/>
        </w:rPr>
        <w:sectPr>
          <w:pgSz w:w="15840" w:h="12240" w:orient="landscape"/>
          <w:pgMar w:header="725" w:footer="891" w:top="1440" w:bottom="1080" w:left="1440" w:right="1440"/>
        </w:sectPr>
      </w:pPr>
    </w:p>
    <w:p>
      <w:pPr>
        <w:spacing w:before="79"/>
        <w:ind w:left="2" w:right="0" w:firstLine="0"/>
        <w:jc w:val="center"/>
        <w:rPr>
          <w:rFonts w:ascii="Arial"/>
          <w:b/>
          <w:sz w:val="18"/>
        </w:rPr>
      </w:pPr>
      <w:r>
        <w:rPr>
          <w:rFonts w:ascii="Arial"/>
          <w:b/>
          <w:sz w:val="18"/>
        </w:rPr>
        <mc:AlternateContent>
          <mc:Choice Requires="wps">
            <w:drawing>
              <wp:anchor distT="0" distB="0" distL="0" distR="0" allowOverlap="1" layoutInCell="1" locked="0" behindDoc="1" simplePos="0" relativeHeight="487641088">
                <wp:simplePos x="0" y="0"/>
                <wp:positionH relativeFrom="page">
                  <wp:posOffset>896111</wp:posOffset>
                </wp:positionH>
                <wp:positionV relativeFrom="paragraph">
                  <wp:posOffset>194055</wp:posOffset>
                </wp:positionV>
                <wp:extent cx="5980430" cy="12700"/>
                <wp:effectExtent l="0" t="0" r="0" b="0"/>
                <wp:wrapTopAndBottom/>
                <wp:docPr id="328" name="Graphic 328"/>
                <wp:cNvGraphicFramePr>
                  <a:graphicFrameLocks/>
                </wp:cNvGraphicFramePr>
                <a:graphic>
                  <a:graphicData uri="http://schemas.microsoft.com/office/word/2010/wordprocessingShape">
                    <wps:wsp>
                      <wps:cNvPr id="328" name="Graphic 328"/>
                      <wps:cNvSpPr/>
                      <wps:spPr>
                        <a:xfrm>
                          <a:off x="0" y="0"/>
                          <a:ext cx="5980430" cy="12700"/>
                        </a:xfrm>
                        <a:custGeom>
                          <a:avLst/>
                          <a:gdLst/>
                          <a:ahLst/>
                          <a:cxnLst/>
                          <a:rect l="l" t="t" r="r" b="b"/>
                          <a:pathLst>
                            <a:path w="5980430" h="12700">
                              <a:moveTo>
                                <a:pt x="5980176" y="0"/>
                              </a:moveTo>
                              <a:lnTo>
                                <a:pt x="0" y="0"/>
                              </a:lnTo>
                              <a:lnTo>
                                <a:pt x="0" y="12192"/>
                              </a:lnTo>
                              <a:lnTo>
                                <a:pt x="5980176" y="12192"/>
                              </a:lnTo>
                              <a:lnTo>
                                <a:pt x="5980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15.28pt;width:470.88pt;height:.96pt;mso-position-horizontal-relative:page;mso-position-vertical-relative:paragraph;z-index:-15675392;mso-wrap-distance-left:0;mso-wrap-distance-right:0" id="docshape312" filled="true" fillcolor="#283014" stroked="false">
                <v:fill type="solid"/>
                <w10:wrap type="topAndBottom"/>
              </v:rect>
            </w:pict>
          </mc:Fallback>
        </mc:AlternateContent>
      </w: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p>
      <w:pPr>
        <w:pStyle w:val="BodyText"/>
        <w:spacing w:before="222"/>
        <w:rPr>
          <w:rFonts w:ascii="Arial"/>
          <w:b/>
          <w:sz w:val="36"/>
        </w:rPr>
      </w:pPr>
    </w:p>
    <w:p>
      <w:pPr>
        <w:pStyle w:val="Heading1"/>
        <w:tabs>
          <w:tab w:pos="9748" w:val="left" w:leader="none"/>
        </w:tabs>
      </w:pPr>
      <w:bookmarkStart w:name="Appendix D – Scenic Integrity Objectives" w:id="982"/>
      <w:bookmarkEnd w:id="982"/>
      <w:r>
        <w:rPr>
          <w:b w:val="0"/>
        </w:rPr>
      </w:r>
      <w:bookmarkStart w:name="_bookmark307" w:id="983"/>
      <w:bookmarkEnd w:id="983"/>
      <w:r>
        <w:rPr>
          <w:b w:val="0"/>
        </w:rPr>
      </w:r>
      <w:r>
        <w:rPr>
          <w:color w:val="475824"/>
          <w:shd w:fill="C2D59B" w:color="auto" w:val="clear"/>
        </w:rPr>
        <w:t>Appendix</w:t>
      </w:r>
      <w:r>
        <w:rPr>
          <w:color w:val="475824"/>
          <w:spacing w:val="-6"/>
          <w:shd w:fill="C2D59B" w:color="auto" w:val="clear"/>
        </w:rPr>
        <w:t> </w:t>
      </w:r>
      <w:r>
        <w:rPr>
          <w:color w:val="475824"/>
          <w:shd w:fill="C2D59B" w:color="auto" w:val="clear"/>
        </w:rPr>
        <w:t>D</w:t>
      </w:r>
      <w:r>
        <w:rPr>
          <w:color w:val="475824"/>
          <w:spacing w:val="-5"/>
          <w:shd w:fill="C2D59B" w:color="auto" w:val="clear"/>
        </w:rPr>
        <w:t> </w:t>
      </w:r>
      <w:r>
        <w:rPr>
          <w:color w:val="475824"/>
          <w:shd w:fill="C2D59B" w:color="auto" w:val="clear"/>
        </w:rPr>
        <w:t>–</w:t>
      </w:r>
      <w:r>
        <w:rPr>
          <w:color w:val="475824"/>
          <w:spacing w:val="-5"/>
          <w:shd w:fill="C2D59B" w:color="auto" w:val="clear"/>
        </w:rPr>
        <w:t> </w:t>
      </w:r>
      <w:r>
        <w:rPr>
          <w:color w:val="475824"/>
          <w:shd w:fill="C2D59B" w:color="auto" w:val="clear"/>
        </w:rPr>
        <w:t>Scenic</w:t>
      </w:r>
      <w:r>
        <w:rPr>
          <w:color w:val="475824"/>
          <w:spacing w:val="-5"/>
          <w:shd w:fill="C2D59B" w:color="auto" w:val="clear"/>
        </w:rPr>
        <w:t> </w:t>
      </w:r>
      <w:r>
        <w:rPr>
          <w:color w:val="475824"/>
          <w:shd w:fill="C2D59B" w:color="auto" w:val="clear"/>
        </w:rPr>
        <w:t>Integrity</w:t>
      </w:r>
      <w:r>
        <w:rPr>
          <w:color w:val="475824"/>
          <w:spacing w:val="-7"/>
          <w:shd w:fill="C2D59B" w:color="auto" w:val="clear"/>
        </w:rPr>
        <w:t> </w:t>
      </w:r>
      <w:r>
        <w:rPr>
          <w:color w:val="475824"/>
          <w:spacing w:val="-2"/>
          <w:shd w:fill="C2D59B" w:color="auto" w:val="clear"/>
        </w:rPr>
        <w:t>Objectives</w:t>
      </w:r>
      <w:r>
        <w:rPr>
          <w:color w:val="475824"/>
          <w:shd w:fill="C2D59B" w:color="auto" w:val="clear"/>
        </w:rPr>
        <w:tab/>
      </w:r>
    </w:p>
    <w:p>
      <w:pPr>
        <w:pStyle w:val="BodyText"/>
        <w:spacing w:line="232" w:lineRule="auto" w:before="124"/>
        <w:ind w:left="360" w:right="361"/>
      </w:pPr>
      <w:r>
        <w:rPr/>
        <w:t>This Forest Plan incorporates the Scenery Management System (SMS). SMS presents a vocabulary for managing scenery and a systematic approach for determining the relative value and importance of scenery in a national forest. The system is to be used in the context of ecosystem management to inventory</w:t>
      </w:r>
      <w:r>
        <w:rPr>
          <w:spacing w:val="-5"/>
        </w:rPr>
        <w:t> </w:t>
      </w:r>
      <w:r>
        <w:rPr/>
        <w:t>and</w:t>
      </w:r>
      <w:r>
        <w:rPr>
          <w:spacing w:val="-7"/>
        </w:rPr>
        <w:t> </w:t>
      </w:r>
      <w:r>
        <w:rPr/>
        <w:t>analyze</w:t>
      </w:r>
      <w:r>
        <w:rPr>
          <w:spacing w:val="-5"/>
        </w:rPr>
        <w:t> </w:t>
      </w:r>
      <w:r>
        <w:rPr/>
        <w:t>scenery</w:t>
      </w:r>
      <w:r>
        <w:rPr>
          <w:spacing w:val="-5"/>
        </w:rPr>
        <w:t> </w:t>
      </w:r>
      <w:r>
        <w:rPr/>
        <w:t>in</w:t>
      </w:r>
      <w:r>
        <w:rPr>
          <w:spacing w:val="-7"/>
        </w:rPr>
        <w:t> </w:t>
      </w:r>
      <w:r>
        <w:rPr/>
        <w:t>a</w:t>
      </w:r>
      <w:r>
        <w:rPr>
          <w:spacing w:val="-6"/>
        </w:rPr>
        <w:t> </w:t>
      </w:r>
      <w:r>
        <w:rPr/>
        <w:t>national</w:t>
      </w:r>
      <w:r>
        <w:rPr>
          <w:spacing w:val="-6"/>
        </w:rPr>
        <w:t> </w:t>
      </w:r>
      <w:r>
        <w:rPr/>
        <w:t>forest,</w:t>
      </w:r>
      <w:r>
        <w:rPr>
          <w:spacing w:val="-6"/>
        </w:rPr>
        <w:t> </w:t>
      </w:r>
      <w:r>
        <w:rPr/>
        <w:t>to</w:t>
      </w:r>
      <w:r>
        <w:rPr>
          <w:spacing w:val="-5"/>
        </w:rPr>
        <w:t> </w:t>
      </w:r>
      <w:r>
        <w:rPr/>
        <w:t>assist</w:t>
      </w:r>
      <w:r>
        <w:rPr>
          <w:spacing w:val="-5"/>
        </w:rPr>
        <w:t> </w:t>
      </w:r>
      <w:r>
        <w:rPr/>
        <w:t>in</w:t>
      </w:r>
      <w:r>
        <w:rPr>
          <w:spacing w:val="-7"/>
        </w:rPr>
        <w:t> </w:t>
      </w:r>
      <w:r>
        <w:rPr/>
        <w:t>the</w:t>
      </w:r>
      <w:r>
        <w:rPr>
          <w:spacing w:val="-5"/>
        </w:rPr>
        <w:t> </w:t>
      </w:r>
      <w:r>
        <w:rPr/>
        <w:t>establishment</w:t>
      </w:r>
      <w:r>
        <w:rPr>
          <w:spacing w:val="-8"/>
        </w:rPr>
        <w:t> </w:t>
      </w:r>
      <w:r>
        <w:rPr/>
        <w:t>of</w:t>
      </w:r>
      <w:r>
        <w:rPr>
          <w:spacing w:val="-6"/>
        </w:rPr>
        <w:t> </w:t>
      </w:r>
      <w:r>
        <w:rPr/>
        <w:t>overall</w:t>
      </w:r>
      <w:r>
        <w:rPr>
          <w:spacing w:val="-9"/>
        </w:rPr>
        <w:t> </w:t>
      </w:r>
      <w:r>
        <w:rPr/>
        <w:t>resource</w:t>
      </w:r>
      <w:r>
        <w:rPr>
          <w:spacing w:val="-5"/>
        </w:rPr>
        <w:t> </w:t>
      </w:r>
      <w:r>
        <w:rPr/>
        <w:t>goals and</w:t>
      </w:r>
      <w:r>
        <w:rPr>
          <w:spacing w:val="-9"/>
        </w:rPr>
        <w:t> </w:t>
      </w:r>
      <w:r>
        <w:rPr/>
        <w:t>objectives,</w:t>
      </w:r>
      <w:r>
        <w:rPr>
          <w:spacing w:val="-5"/>
        </w:rPr>
        <w:t> </w:t>
      </w:r>
      <w:r>
        <w:rPr/>
        <w:t>to</w:t>
      </w:r>
      <w:r>
        <w:rPr>
          <w:spacing w:val="-6"/>
        </w:rPr>
        <w:t> </w:t>
      </w:r>
      <w:r>
        <w:rPr/>
        <w:t>monitor</w:t>
      </w:r>
      <w:r>
        <w:rPr>
          <w:spacing w:val="-8"/>
        </w:rPr>
        <w:t> </w:t>
      </w:r>
      <w:r>
        <w:rPr/>
        <w:t>the</w:t>
      </w:r>
      <w:r>
        <w:rPr>
          <w:spacing w:val="-4"/>
        </w:rPr>
        <w:t> </w:t>
      </w:r>
      <w:r>
        <w:rPr/>
        <w:t>scenic</w:t>
      </w:r>
      <w:r>
        <w:rPr>
          <w:spacing w:val="-5"/>
        </w:rPr>
        <w:t> </w:t>
      </w:r>
      <w:r>
        <w:rPr/>
        <w:t>resource,</w:t>
      </w:r>
      <w:r>
        <w:rPr>
          <w:spacing w:val="-7"/>
        </w:rPr>
        <w:t> </w:t>
      </w:r>
      <w:r>
        <w:rPr/>
        <w:t>and</w:t>
      </w:r>
      <w:r>
        <w:rPr>
          <w:spacing w:val="-7"/>
        </w:rPr>
        <w:t> </w:t>
      </w:r>
      <w:r>
        <w:rPr/>
        <w:t>to</w:t>
      </w:r>
      <w:r>
        <w:rPr>
          <w:spacing w:val="-8"/>
        </w:rPr>
        <w:t> </w:t>
      </w:r>
      <w:r>
        <w:rPr/>
        <w:t>ensure</w:t>
      </w:r>
      <w:r>
        <w:rPr>
          <w:spacing w:val="-4"/>
        </w:rPr>
        <w:t> </w:t>
      </w:r>
      <w:r>
        <w:rPr/>
        <w:t>high-quality</w:t>
      </w:r>
      <w:r>
        <w:rPr>
          <w:spacing w:val="-5"/>
        </w:rPr>
        <w:t> </w:t>
      </w:r>
      <w:r>
        <w:rPr/>
        <w:t>scenery</w:t>
      </w:r>
      <w:r>
        <w:rPr>
          <w:spacing w:val="-4"/>
        </w:rPr>
        <w:t> </w:t>
      </w:r>
      <w:r>
        <w:rPr/>
        <w:t>for</w:t>
      </w:r>
      <w:r>
        <w:rPr>
          <w:spacing w:val="-7"/>
        </w:rPr>
        <w:t> </w:t>
      </w:r>
      <w:r>
        <w:rPr/>
        <w:t>future</w:t>
      </w:r>
      <w:r>
        <w:rPr>
          <w:spacing w:val="-7"/>
        </w:rPr>
        <w:t> </w:t>
      </w:r>
      <w:r>
        <w:rPr>
          <w:spacing w:val="-2"/>
        </w:rPr>
        <w:t>generations</w:t>
      </w:r>
    </w:p>
    <w:p>
      <w:pPr>
        <w:pStyle w:val="BodyText"/>
        <w:spacing w:line="232" w:lineRule="auto" w:before="198"/>
        <w:ind w:left="359" w:right="361"/>
      </w:pPr>
      <w:r>
        <w:rPr/>
        <w:t>The SMS provides an overall framework for the inventory, analysis and management of scenery. The system</w:t>
      </w:r>
      <w:r>
        <w:rPr>
          <w:spacing w:val="-5"/>
        </w:rPr>
        <w:t> </w:t>
      </w:r>
      <w:r>
        <w:rPr/>
        <w:t>applies</w:t>
      </w:r>
      <w:r>
        <w:rPr>
          <w:spacing w:val="-8"/>
        </w:rPr>
        <w:t> </w:t>
      </w:r>
      <w:r>
        <w:rPr/>
        <w:t>to</w:t>
      </w:r>
      <w:r>
        <w:rPr>
          <w:spacing w:val="-7"/>
        </w:rPr>
        <w:t> </w:t>
      </w:r>
      <w:r>
        <w:rPr/>
        <w:t>every</w:t>
      </w:r>
      <w:r>
        <w:rPr>
          <w:spacing w:val="-7"/>
        </w:rPr>
        <w:t> </w:t>
      </w:r>
      <w:r>
        <w:rPr/>
        <w:t>acre</w:t>
      </w:r>
      <w:r>
        <w:rPr>
          <w:spacing w:val="-5"/>
        </w:rPr>
        <w:t> </w:t>
      </w:r>
      <w:r>
        <w:rPr/>
        <w:t>of</w:t>
      </w:r>
      <w:r>
        <w:rPr>
          <w:spacing w:val="-8"/>
        </w:rPr>
        <w:t> </w:t>
      </w:r>
      <w:r>
        <w:rPr/>
        <w:t>national</w:t>
      </w:r>
      <w:r>
        <w:rPr>
          <w:spacing w:val="-6"/>
        </w:rPr>
        <w:t> </w:t>
      </w:r>
      <w:r>
        <w:rPr/>
        <w:t>forest</w:t>
      </w:r>
      <w:r>
        <w:rPr>
          <w:spacing w:val="-8"/>
        </w:rPr>
        <w:t> </w:t>
      </w:r>
      <w:r>
        <w:rPr/>
        <w:t>and</w:t>
      </w:r>
      <w:r>
        <w:rPr>
          <w:spacing w:val="-7"/>
        </w:rPr>
        <w:t> </w:t>
      </w:r>
      <w:r>
        <w:rPr/>
        <w:t>national</w:t>
      </w:r>
      <w:r>
        <w:rPr>
          <w:spacing w:val="-6"/>
        </w:rPr>
        <w:t> </w:t>
      </w:r>
      <w:r>
        <w:rPr/>
        <w:t>grassland</w:t>
      </w:r>
      <w:r>
        <w:rPr>
          <w:spacing w:val="-7"/>
        </w:rPr>
        <w:t> </w:t>
      </w:r>
      <w:r>
        <w:rPr/>
        <w:t>administered</w:t>
      </w:r>
      <w:r>
        <w:rPr>
          <w:spacing w:val="-7"/>
        </w:rPr>
        <w:t> </w:t>
      </w:r>
      <w:r>
        <w:rPr/>
        <w:t>by</w:t>
      </w:r>
      <w:r>
        <w:rPr>
          <w:spacing w:val="-5"/>
        </w:rPr>
        <w:t> </w:t>
      </w:r>
      <w:r>
        <w:rPr/>
        <w:t>the</w:t>
      </w:r>
      <w:r>
        <w:rPr>
          <w:spacing w:val="-5"/>
        </w:rPr>
        <w:t> </w:t>
      </w:r>
      <w:r>
        <w:rPr/>
        <w:t>Forest</w:t>
      </w:r>
      <w:r>
        <w:rPr>
          <w:spacing w:val="-5"/>
        </w:rPr>
        <w:t> </w:t>
      </w:r>
      <w:r>
        <w:rPr/>
        <w:t>Service and to all Forest Service activities, including timber harvesting, road building, stream improvements, special use developments, utility line construction, recreation developments, and fuels management.</w:t>
      </w:r>
    </w:p>
    <w:p>
      <w:pPr>
        <w:pStyle w:val="BodyText"/>
        <w:spacing w:line="260" w:lineRule="exact"/>
        <w:ind w:left="359"/>
      </w:pPr>
      <w:r>
        <w:rPr/>
        <w:t>The</w:t>
      </w:r>
      <w:r>
        <w:rPr>
          <w:spacing w:val="-3"/>
        </w:rPr>
        <w:t> </w:t>
      </w:r>
      <w:r>
        <w:rPr/>
        <w:t>SMS</w:t>
      </w:r>
      <w:r>
        <w:rPr>
          <w:spacing w:val="-4"/>
        </w:rPr>
        <w:t> </w:t>
      </w:r>
      <w:r>
        <w:rPr/>
        <w:t>is</w:t>
      </w:r>
      <w:r>
        <w:rPr>
          <w:spacing w:val="-4"/>
        </w:rPr>
        <w:t> </w:t>
      </w:r>
      <w:r>
        <w:rPr/>
        <w:t>used</w:t>
      </w:r>
      <w:r>
        <w:rPr>
          <w:spacing w:val="-6"/>
        </w:rPr>
        <w:t> </w:t>
      </w:r>
      <w:r>
        <w:rPr/>
        <w:t>to</w:t>
      </w:r>
      <w:r>
        <w:rPr>
          <w:spacing w:val="-5"/>
        </w:rPr>
        <w:t> </w:t>
      </w:r>
      <w:r>
        <w:rPr/>
        <w:t>support</w:t>
      </w:r>
      <w:r>
        <w:rPr>
          <w:spacing w:val="-6"/>
        </w:rPr>
        <w:t> </w:t>
      </w:r>
      <w:r>
        <w:rPr/>
        <w:t>and</w:t>
      </w:r>
      <w:r>
        <w:rPr>
          <w:spacing w:val="-4"/>
        </w:rPr>
        <w:t> </w:t>
      </w:r>
      <w:r>
        <w:rPr/>
        <w:t>complement</w:t>
      </w:r>
      <w:r>
        <w:rPr>
          <w:spacing w:val="-3"/>
        </w:rPr>
        <w:t> </w:t>
      </w:r>
      <w:r>
        <w:rPr/>
        <w:t>all</w:t>
      </w:r>
      <w:r>
        <w:rPr>
          <w:spacing w:val="-7"/>
        </w:rPr>
        <w:t> </w:t>
      </w:r>
      <w:r>
        <w:rPr/>
        <w:t>management</w:t>
      </w:r>
      <w:r>
        <w:rPr>
          <w:spacing w:val="-2"/>
        </w:rPr>
        <w:t> activities.</w:t>
      </w:r>
    </w:p>
    <w:p>
      <w:pPr>
        <w:pStyle w:val="Heading2"/>
        <w:spacing w:before="233"/>
      </w:pPr>
      <w:bookmarkStart w:name="Scenic Integrity" w:id="984"/>
      <w:bookmarkEnd w:id="984"/>
      <w:r>
        <w:rPr/>
      </w:r>
      <w:bookmarkStart w:name="_bookmark308" w:id="985"/>
      <w:bookmarkEnd w:id="985"/>
      <w:r>
        <w:rPr/>
      </w:r>
      <w:r>
        <w:rPr>
          <w:smallCaps/>
          <w:color w:val="475824"/>
        </w:rPr>
        <w:t>Scenic</w:t>
      </w:r>
      <w:r>
        <w:rPr>
          <w:smallCaps/>
          <w:color w:val="475824"/>
          <w:spacing w:val="-12"/>
        </w:rPr>
        <w:t> </w:t>
      </w:r>
      <w:r>
        <w:rPr>
          <w:smallCaps/>
          <w:color w:val="475824"/>
          <w:spacing w:val="-2"/>
        </w:rPr>
        <w:t>Integrity</w:t>
      </w:r>
    </w:p>
    <w:p>
      <w:pPr>
        <w:pStyle w:val="BodyText"/>
        <w:spacing w:line="232" w:lineRule="auto" w:before="65"/>
        <w:ind w:left="359" w:right="405"/>
      </w:pPr>
      <w:r>
        <w:rPr/>
        <w:t>The concept of scenic integrity was developed as a way to measure the amount of visual disturbance that contrasts with and/or detracts from the natural or socially valued appearance in a landscape. It provides</w:t>
      </w:r>
      <w:r>
        <w:rPr>
          <w:spacing w:val="-1"/>
        </w:rPr>
        <w:t> </w:t>
      </w:r>
      <w:r>
        <w:rPr/>
        <w:t>a contextual</w:t>
      </w:r>
      <w:r>
        <w:rPr>
          <w:spacing w:val="-2"/>
        </w:rPr>
        <w:t> </w:t>
      </w:r>
      <w:r>
        <w:rPr/>
        <w:t>measurement</w:t>
      </w:r>
      <w:r>
        <w:rPr>
          <w:spacing w:val="-1"/>
        </w:rPr>
        <w:t> </w:t>
      </w:r>
      <w:r>
        <w:rPr/>
        <w:t>of the</w:t>
      </w:r>
      <w:r>
        <w:rPr>
          <w:spacing w:val="-1"/>
        </w:rPr>
        <w:t> </w:t>
      </w:r>
      <w:r>
        <w:rPr/>
        <w:t>presence, intensity and dominance</w:t>
      </w:r>
      <w:r>
        <w:rPr>
          <w:spacing w:val="-1"/>
        </w:rPr>
        <w:t> </w:t>
      </w:r>
      <w:r>
        <w:rPr/>
        <w:t>of</w:t>
      </w:r>
      <w:r>
        <w:rPr>
          <w:spacing w:val="-1"/>
        </w:rPr>
        <w:t> </w:t>
      </w:r>
      <w:r>
        <w:rPr/>
        <w:t>human-caused visual disturbances</w:t>
      </w:r>
      <w:r>
        <w:rPr>
          <w:spacing w:val="-4"/>
        </w:rPr>
        <w:t> </w:t>
      </w:r>
      <w:r>
        <w:rPr/>
        <w:t>in</w:t>
      </w:r>
      <w:r>
        <w:rPr>
          <w:spacing w:val="-5"/>
        </w:rPr>
        <w:t> </w:t>
      </w:r>
      <w:r>
        <w:rPr/>
        <w:t>the</w:t>
      </w:r>
      <w:r>
        <w:rPr>
          <w:spacing w:val="-3"/>
        </w:rPr>
        <w:t> </w:t>
      </w:r>
      <w:r>
        <w:rPr/>
        <w:t>landscape.</w:t>
      </w:r>
      <w:r>
        <w:rPr>
          <w:spacing w:val="-4"/>
        </w:rPr>
        <w:t> </w:t>
      </w:r>
      <w:r>
        <w:rPr/>
        <w:t>Within</w:t>
      </w:r>
      <w:r>
        <w:rPr>
          <w:spacing w:val="-5"/>
        </w:rPr>
        <w:t> </w:t>
      </w:r>
      <w:r>
        <w:rPr/>
        <w:t>a</w:t>
      </w:r>
      <w:r>
        <w:rPr>
          <w:spacing w:val="-4"/>
        </w:rPr>
        <w:t> </w:t>
      </w:r>
      <w:r>
        <w:rPr/>
        <w:t>natural</w:t>
      </w:r>
      <w:r>
        <w:rPr>
          <w:spacing w:val="-7"/>
        </w:rPr>
        <w:t> </w:t>
      </w:r>
      <w:r>
        <w:rPr/>
        <w:t>resources</w:t>
      </w:r>
      <w:r>
        <w:rPr>
          <w:spacing w:val="-4"/>
        </w:rPr>
        <w:t> </w:t>
      </w:r>
      <w:r>
        <w:rPr/>
        <w:t>setting,</w:t>
      </w:r>
      <w:r>
        <w:rPr>
          <w:spacing w:val="-4"/>
        </w:rPr>
        <w:t> </w:t>
      </w:r>
      <w:r>
        <w:rPr/>
        <w:t>these</w:t>
      </w:r>
      <w:r>
        <w:rPr>
          <w:spacing w:val="-6"/>
        </w:rPr>
        <w:t> </w:t>
      </w:r>
      <w:r>
        <w:rPr/>
        <w:t>visual</w:t>
      </w:r>
      <w:r>
        <w:rPr>
          <w:spacing w:val="-4"/>
        </w:rPr>
        <w:t> </w:t>
      </w:r>
      <w:r>
        <w:rPr/>
        <w:t>disturbances</w:t>
      </w:r>
      <w:r>
        <w:rPr>
          <w:spacing w:val="-4"/>
        </w:rPr>
        <w:t> </w:t>
      </w:r>
      <w:r>
        <w:rPr/>
        <w:t>can</w:t>
      </w:r>
      <w:r>
        <w:rPr>
          <w:spacing w:val="-5"/>
        </w:rPr>
        <w:t> </w:t>
      </w:r>
      <w:r>
        <w:rPr/>
        <w:t>include timber harvest, road construction, mining, utilities development, recreational facilities, ski areas, and other special uses.</w:t>
      </w:r>
    </w:p>
    <w:p>
      <w:pPr>
        <w:pStyle w:val="BodyText"/>
        <w:spacing w:line="232" w:lineRule="auto" w:before="196"/>
        <w:ind w:left="358" w:right="358"/>
      </w:pPr>
      <w:r>
        <w:rPr/>
        <w:t>Scenic integrity changes based on the amount of human caused deviation in form, line, color, and</w:t>
      </w:r>
      <w:r>
        <w:rPr/>
        <w:t> texture</w:t>
      </w:r>
      <w:r>
        <w:rPr>
          <w:spacing w:val="-4"/>
        </w:rPr>
        <w:t> </w:t>
      </w:r>
      <w:r>
        <w:rPr/>
        <w:t>of</w:t>
      </w:r>
      <w:r>
        <w:rPr>
          <w:spacing w:val="-2"/>
        </w:rPr>
        <w:t> </w:t>
      </w:r>
      <w:r>
        <w:rPr/>
        <w:t>a</w:t>
      </w:r>
      <w:r>
        <w:rPr>
          <w:spacing w:val="-2"/>
        </w:rPr>
        <w:t> </w:t>
      </w:r>
      <w:r>
        <w:rPr/>
        <w:t>landscape.</w:t>
      </w:r>
      <w:r>
        <w:rPr>
          <w:spacing w:val="-2"/>
        </w:rPr>
        <w:t> </w:t>
      </w:r>
      <w:r>
        <w:rPr/>
        <w:t>It</w:t>
      </w:r>
      <w:r>
        <w:rPr>
          <w:spacing w:val="-1"/>
        </w:rPr>
        <w:t> </w:t>
      </w:r>
      <w:r>
        <w:rPr/>
        <w:t>is</w:t>
      </w:r>
      <w:r>
        <w:rPr>
          <w:spacing w:val="-7"/>
        </w:rPr>
        <w:t> </w:t>
      </w:r>
      <w:r>
        <w:rPr/>
        <w:t>measured</w:t>
      </w:r>
      <w:r>
        <w:rPr>
          <w:spacing w:val="-3"/>
        </w:rPr>
        <w:t> </w:t>
      </w:r>
      <w:r>
        <w:rPr/>
        <w:t>as</w:t>
      </w:r>
      <w:r>
        <w:rPr>
          <w:spacing w:val="-4"/>
        </w:rPr>
        <w:t> </w:t>
      </w:r>
      <w:r>
        <w:rPr/>
        <w:t>the</w:t>
      </w:r>
      <w:r>
        <w:rPr>
          <w:spacing w:val="-1"/>
        </w:rPr>
        <w:t> </w:t>
      </w:r>
      <w:r>
        <w:rPr/>
        <w:t>amount</w:t>
      </w:r>
      <w:r>
        <w:rPr>
          <w:spacing w:val="-4"/>
        </w:rPr>
        <w:t> </w:t>
      </w:r>
      <w:r>
        <w:rPr/>
        <w:t>of</w:t>
      </w:r>
      <w:r>
        <w:rPr>
          <w:spacing w:val="-2"/>
        </w:rPr>
        <w:t> </w:t>
      </w:r>
      <w:r>
        <w:rPr/>
        <w:t>deviation</w:t>
      </w:r>
      <w:r>
        <w:rPr>
          <w:spacing w:val="-5"/>
        </w:rPr>
        <w:t> </w:t>
      </w:r>
      <w:r>
        <w:rPr/>
        <w:t>a</w:t>
      </w:r>
      <w:r>
        <w:rPr>
          <w:spacing w:val="-2"/>
        </w:rPr>
        <w:t> </w:t>
      </w:r>
      <w:r>
        <w:rPr/>
        <w:t>viewer</w:t>
      </w:r>
      <w:r>
        <w:rPr>
          <w:spacing w:val="-2"/>
        </w:rPr>
        <w:t> </w:t>
      </w:r>
      <w:r>
        <w:rPr/>
        <w:t>can</w:t>
      </w:r>
      <w:r>
        <w:rPr>
          <w:spacing w:val="-5"/>
        </w:rPr>
        <w:t> </w:t>
      </w:r>
      <w:r>
        <w:rPr/>
        <w:t>see</w:t>
      </w:r>
      <w:r>
        <w:rPr>
          <w:spacing w:val="-1"/>
        </w:rPr>
        <w:t> </w:t>
      </w:r>
      <w:r>
        <w:rPr/>
        <w:t>from</w:t>
      </w:r>
      <w:r>
        <w:rPr>
          <w:spacing w:val="-1"/>
        </w:rPr>
        <w:t> </w:t>
      </w:r>
      <w:r>
        <w:rPr/>
        <w:t>a</w:t>
      </w:r>
      <w:r>
        <w:rPr>
          <w:spacing w:val="-2"/>
        </w:rPr>
        <w:t> </w:t>
      </w:r>
      <w:r>
        <w:rPr/>
        <w:t>concern</w:t>
      </w:r>
      <w:r>
        <w:rPr>
          <w:spacing w:val="-5"/>
        </w:rPr>
        <w:t> </w:t>
      </w:r>
      <w:r>
        <w:rPr/>
        <w:t>level</w:t>
      </w:r>
      <w:r>
        <w:rPr>
          <w:spacing w:val="-5"/>
        </w:rPr>
        <w:t> </w:t>
      </w:r>
      <w:r>
        <w:rPr/>
        <w:t>1 or</w:t>
      </w:r>
      <w:r>
        <w:rPr>
          <w:spacing w:val="-3"/>
        </w:rPr>
        <w:t> </w:t>
      </w:r>
      <w:r>
        <w:rPr/>
        <w:t>concern</w:t>
      </w:r>
      <w:r>
        <w:rPr>
          <w:spacing w:val="-4"/>
        </w:rPr>
        <w:t> </w:t>
      </w:r>
      <w:r>
        <w:rPr/>
        <w:t>level</w:t>
      </w:r>
      <w:r>
        <w:rPr>
          <w:spacing w:val="-6"/>
        </w:rPr>
        <w:t> </w:t>
      </w:r>
      <w:r>
        <w:rPr/>
        <w:t>2</w:t>
      </w:r>
      <w:r>
        <w:rPr>
          <w:spacing w:val="-2"/>
        </w:rPr>
        <w:t> </w:t>
      </w:r>
      <w:r>
        <w:rPr/>
        <w:t>route</w:t>
      </w:r>
      <w:r>
        <w:rPr>
          <w:spacing w:val="-3"/>
        </w:rPr>
        <w:t> </w:t>
      </w:r>
      <w:r>
        <w:rPr/>
        <w:t>(see</w:t>
      </w:r>
      <w:r>
        <w:rPr>
          <w:spacing w:val="-2"/>
        </w:rPr>
        <w:t> </w:t>
      </w:r>
      <w:r>
        <w:rPr/>
        <w:t>figures</w:t>
      </w:r>
      <w:r>
        <w:rPr>
          <w:spacing w:val="-5"/>
        </w:rPr>
        <w:t> </w:t>
      </w:r>
      <w:r>
        <w:rPr/>
        <w:t>D-1</w:t>
      </w:r>
      <w:r>
        <w:rPr>
          <w:spacing w:val="-4"/>
        </w:rPr>
        <w:t> </w:t>
      </w:r>
      <w:r>
        <w:rPr/>
        <w:t>through</w:t>
      </w:r>
      <w:r>
        <w:rPr>
          <w:spacing w:val="-4"/>
        </w:rPr>
        <w:t> </w:t>
      </w:r>
      <w:r>
        <w:rPr/>
        <w:t>D-7,</w:t>
      </w:r>
      <w:r>
        <w:rPr>
          <w:spacing w:val="-5"/>
        </w:rPr>
        <w:t> </w:t>
      </w:r>
      <w:r>
        <w:rPr/>
        <w:t>and</w:t>
      </w:r>
      <w:r>
        <w:rPr>
          <w:spacing w:val="-4"/>
        </w:rPr>
        <w:t> </w:t>
      </w:r>
      <w:r>
        <w:rPr/>
        <w:t>tables</w:t>
      </w:r>
      <w:r>
        <w:rPr>
          <w:spacing w:val="-5"/>
        </w:rPr>
        <w:t> </w:t>
      </w:r>
      <w:r>
        <w:rPr/>
        <w:t>D-3</w:t>
      </w:r>
      <w:r>
        <w:rPr>
          <w:spacing w:val="-4"/>
        </w:rPr>
        <w:t> </w:t>
      </w:r>
      <w:r>
        <w:rPr/>
        <w:t>through</w:t>
      </w:r>
      <w:r>
        <w:rPr>
          <w:spacing w:val="-4"/>
        </w:rPr>
        <w:t> </w:t>
      </w:r>
      <w:r>
        <w:rPr/>
        <w:t>D-6).</w:t>
      </w:r>
      <w:r>
        <w:rPr>
          <w:spacing w:val="-3"/>
        </w:rPr>
        <w:t> </w:t>
      </w:r>
      <w:r>
        <w:rPr/>
        <w:t>Scenic</w:t>
      </w:r>
      <w:r>
        <w:rPr>
          <w:spacing w:val="-3"/>
        </w:rPr>
        <w:t> </w:t>
      </w:r>
      <w:r>
        <w:rPr/>
        <w:t>integrity</w:t>
      </w:r>
      <w:r>
        <w:rPr>
          <w:spacing w:val="-4"/>
        </w:rPr>
        <w:t> </w:t>
      </w:r>
      <w:r>
        <w:rPr/>
        <w:t>serves as a frame of reference for measuring scenic integrity levels based on the valued attributes of the existing landscape character being viewed. The degrees of integrity</w:t>
      </w:r>
      <w:r>
        <w:rPr>
          <w:spacing w:val="-1"/>
        </w:rPr>
        <w:t> </w:t>
      </w:r>
      <w:r>
        <w:rPr/>
        <w:t>vary from VERY HIGH to VERY LOW. Scenic integrity also applies to extreme scenic disturbances caused by natural events whenever these events</w:t>
      </w:r>
      <w:r>
        <w:rPr>
          <w:spacing w:val="-6"/>
        </w:rPr>
        <w:t> </w:t>
      </w:r>
      <w:r>
        <w:rPr/>
        <w:t>are</w:t>
      </w:r>
      <w:r>
        <w:rPr>
          <w:spacing w:val="-7"/>
        </w:rPr>
        <w:t> </w:t>
      </w:r>
      <w:r>
        <w:rPr/>
        <w:t>outside</w:t>
      </w:r>
      <w:r>
        <w:rPr>
          <w:spacing w:val="-7"/>
        </w:rPr>
        <w:t> </w:t>
      </w:r>
      <w:r>
        <w:rPr/>
        <w:t>the</w:t>
      </w:r>
      <w:r>
        <w:rPr>
          <w:spacing w:val="-5"/>
        </w:rPr>
        <w:t> </w:t>
      </w:r>
      <w:r>
        <w:rPr/>
        <w:t>historical</w:t>
      </w:r>
      <w:r>
        <w:rPr>
          <w:spacing w:val="-6"/>
        </w:rPr>
        <w:t> </w:t>
      </w:r>
      <w:r>
        <w:rPr/>
        <w:t>range</w:t>
      </w:r>
      <w:r>
        <w:rPr>
          <w:spacing w:val="-7"/>
        </w:rPr>
        <w:t> </w:t>
      </w:r>
      <w:r>
        <w:rPr/>
        <w:t>of</w:t>
      </w:r>
      <w:r>
        <w:rPr>
          <w:spacing w:val="-7"/>
        </w:rPr>
        <w:t> </w:t>
      </w:r>
      <w:r>
        <w:rPr/>
        <w:t>variability</w:t>
      </w:r>
      <w:r>
        <w:rPr>
          <w:spacing w:val="-5"/>
        </w:rPr>
        <w:t> </w:t>
      </w:r>
      <w:r>
        <w:rPr/>
        <w:t>(HRV)</w:t>
      </w:r>
      <w:r>
        <w:rPr>
          <w:spacing w:val="-6"/>
        </w:rPr>
        <w:t> </w:t>
      </w:r>
      <w:r>
        <w:rPr/>
        <w:t>for</w:t>
      </w:r>
      <w:r>
        <w:rPr>
          <w:spacing w:val="-6"/>
        </w:rPr>
        <w:t> </w:t>
      </w:r>
      <w:r>
        <w:rPr/>
        <w:t>the</w:t>
      </w:r>
      <w:r>
        <w:rPr>
          <w:spacing w:val="-7"/>
        </w:rPr>
        <w:t> </w:t>
      </w:r>
      <w:r>
        <w:rPr/>
        <w:t>landscape</w:t>
      </w:r>
      <w:r>
        <w:rPr>
          <w:spacing w:val="-5"/>
        </w:rPr>
        <w:t> </w:t>
      </w:r>
      <w:r>
        <w:rPr/>
        <w:t>character.</w:t>
      </w:r>
      <w:r>
        <w:rPr>
          <w:spacing w:val="-8"/>
        </w:rPr>
        <w:t> </w:t>
      </w:r>
      <w:r>
        <w:rPr/>
        <w:t>Large</w:t>
      </w:r>
      <w:r>
        <w:rPr>
          <w:spacing w:val="-7"/>
        </w:rPr>
        <w:t> </w:t>
      </w:r>
      <w:r>
        <w:rPr/>
        <w:t>scale</w:t>
      </w:r>
      <w:r>
        <w:rPr>
          <w:spacing w:val="-7"/>
        </w:rPr>
        <w:t> </w:t>
      </w:r>
      <w:r>
        <w:rPr/>
        <w:t>or</w:t>
      </w:r>
      <w:r>
        <w:rPr>
          <w:spacing w:val="-6"/>
        </w:rPr>
        <w:t> </w:t>
      </w:r>
      <w:r>
        <w:rPr/>
        <w:t>high intensity events, such as catastrophic wildfires, insect and disease disturbances that exceed the HRV are considered negative visual disturbances to the valued landscape character, while those within the HRV are considered neutral or beneficial elements functioning within the ecosystem’s parameters.</w:t>
      </w:r>
    </w:p>
    <w:p>
      <w:pPr>
        <w:pStyle w:val="BodyText"/>
        <w:spacing w:before="86"/>
      </w:pPr>
    </w:p>
    <w:p>
      <w:pPr>
        <w:pStyle w:val="BodyText"/>
        <w:spacing w:line="232" w:lineRule="auto"/>
        <w:ind w:left="358" w:right="361"/>
      </w:pPr>
      <w:r>
        <w:rPr/>
        <w:t>Table</w:t>
      </w:r>
      <w:r>
        <w:rPr>
          <w:spacing w:val="-7"/>
        </w:rPr>
        <w:t> </w:t>
      </w:r>
      <w:r>
        <w:rPr/>
        <w:t>D-1</w:t>
      </w:r>
      <w:r>
        <w:rPr>
          <w:spacing w:val="-4"/>
        </w:rPr>
        <w:t> </w:t>
      </w:r>
      <w:r>
        <w:rPr/>
        <w:t>displays</w:t>
      </w:r>
      <w:r>
        <w:rPr>
          <w:spacing w:val="-7"/>
        </w:rPr>
        <w:t> </w:t>
      </w:r>
      <w:r>
        <w:rPr/>
        <w:t>the</w:t>
      </w:r>
      <w:r>
        <w:rPr>
          <w:spacing w:val="-7"/>
        </w:rPr>
        <w:t> </w:t>
      </w:r>
      <w:r>
        <w:rPr/>
        <w:t>six</w:t>
      </w:r>
      <w:r>
        <w:rPr>
          <w:spacing w:val="-5"/>
        </w:rPr>
        <w:t> </w:t>
      </w:r>
      <w:r>
        <w:rPr/>
        <w:t>scenic</w:t>
      </w:r>
      <w:r>
        <w:rPr>
          <w:spacing w:val="-5"/>
        </w:rPr>
        <w:t> </w:t>
      </w:r>
      <w:r>
        <w:rPr/>
        <w:t>integrity</w:t>
      </w:r>
      <w:r>
        <w:rPr>
          <w:spacing w:val="-6"/>
        </w:rPr>
        <w:t> </w:t>
      </w:r>
      <w:r>
        <w:rPr/>
        <w:t>objective</w:t>
      </w:r>
      <w:r>
        <w:rPr>
          <w:spacing w:val="-6"/>
        </w:rPr>
        <w:t> </w:t>
      </w:r>
      <w:r>
        <w:rPr/>
        <w:t>(SIO)</w:t>
      </w:r>
      <w:r>
        <w:rPr>
          <w:spacing w:val="-5"/>
        </w:rPr>
        <w:t> </w:t>
      </w:r>
      <w:r>
        <w:rPr/>
        <w:t>levels</w:t>
      </w:r>
      <w:r>
        <w:rPr>
          <w:spacing w:val="-7"/>
        </w:rPr>
        <w:t> </w:t>
      </w:r>
      <w:r>
        <w:rPr/>
        <w:t>and</w:t>
      </w:r>
      <w:r>
        <w:rPr>
          <w:spacing w:val="-6"/>
        </w:rPr>
        <w:t> </w:t>
      </w:r>
      <w:r>
        <w:rPr/>
        <w:t>the</w:t>
      </w:r>
      <w:r>
        <w:rPr>
          <w:spacing w:val="-4"/>
        </w:rPr>
        <w:t> </w:t>
      </w:r>
      <w:r>
        <w:rPr/>
        <w:t>landscape</w:t>
      </w:r>
      <w:r>
        <w:rPr>
          <w:spacing w:val="-4"/>
        </w:rPr>
        <w:t> </w:t>
      </w:r>
      <w:r>
        <w:rPr/>
        <w:t>conditions</w:t>
      </w:r>
      <w:r>
        <w:rPr>
          <w:spacing w:val="-7"/>
        </w:rPr>
        <w:t> </w:t>
      </w:r>
      <w:r>
        <w:rPr/>
        <w:t>associated with each level (how people perceive them, as viewed from a concern level 1 or concern level 2 travel route)(USDA</w:t>
      </w:r>
      <w:r>
        <w:rPr>
          <w:spacing w:val="-1"/>
        </w:rPr>
        <w:t> </w:t>
      </w:r>
      <w:r>
        <w:rPr/>
        <w:t>Forest Service</w:t>
      </w:r>
      <w:r>
        <w:rPr>
          <w:spacing w:val="-3"/>
        </w:rPr>
        <w:t> </w:t>
      </w:r>
      <w:r>
        <w:rPr/>
        <w:t>1995c,</w:t>
      </w:r>
      <w:r>
        <w:rPr>
          <w:spacing w:val="-3"/>
        </w:rPr>
        <w:t> </w:t>
      </w:r>
      <w:r>
        <w:rPr/>
        <w:t>Landscape Aesthetics,</w:t>
      </w:r>
      <w:r>
        <w:rPr>
          <w:spacing w:val="-1"/>
        </w:rPr>
        <w:t> </w:t>
      </w:r>
      <w:r>
        <w:rPr/>
        <w:t>p</w:t>
      </w:r>
      <w:r>
        <w:rPr>
          <w:spacing w:val="-2"/>
        </w:rPr>
        <w:t> </w:t>
      </w:r>
      <w:r>
        <w:rPr/>
        <w:t>A-1,</w:t>
      </w:r>
      <w:r>
        <w:rPr>
          <w:spacing w:val="-3"/>
        </w:rPr>
        <w:t> </w:t>
      </w:r>
      <w:r>
        <w:rPr/>
        <w:t>2-4).</w:t>
      </w:r>
      <w:r>
        <w:rPr>
          <w:spacing w:val="-1"/>
        </w:rPr>
        <w:t> </w:t>
      </w:r>
      <w:r>
        <w:rPr/>
        <w:t>The</w:t>
      </w:r>
      <w:r>
        <w:rPr>
          <w:spacing w:val="-3"/>
        </w:rPr>
        <w:t> </w:t>
      </w:r>
      <w:r>
        <w:rPr/>
        <w:t>Colville</w:t>
      </w:r>
      <w:r>
        <w:rPr>
          <w:spacing w:val="-3"/>
        </w:rPr>
        <w:t> </w:t>
      </w:r>
      <w:r>
        <w:rPr/>
        <w:t>National</w:t>
      </w:r>
      <w:r>
        <w:rPr>
          <w:spacing w:val="-1"/>
        </w:rPr>
        <w:t> </w:t>
      </w:r>
      <w:r>
        <w:rPr/>
        <w:t>Forest has</w:t>
      </w:r>
      <w:r>
        <w:rPr>
          <w:spacing w:val="-1"/>
        </w:rPr>
        <w:t> </w:t>
      </w:r>
      <w:r>
        <w:rPr/>
        <w:t>a full range of scenic integrity objective levels from Very High, to High, Moderate, Low and Very Low; Wilderness</w:t>
      </w:r>
      <w:r>
        <w:rPr>
          <w:spacing w:val="-7"/>
        </w:rPr>
        <w:t> </w:t>
      </w:r>
      <w:r>
        <w:rPr/>
        <w:t>and</w:t>
      </w:r>
      <w:r>
        <w:rPr>
          <w:spacing w:val="-6"/>
        </w:rPr>
        <w:t> </w:t>
      </w:r>
      <w:r>
        <w:rPr/>
        <w:t>Recommended</w:t>
      </w:r>
      <w:r>
        <w:rPr>
          <w:spacing w:val="-6"/>
        </w:rPr>
        <w:t> </w:t>
      </w:r>
      <w:r>
        <w:rPr/>
        <w:t>Wilderness</w:t>
      </w:r>
      <w:r>
        <w:rPr>
          <w:spacing w:val="-7"/>
        </w:rPr>
        <w:t> </w:t>
      </w:r>
      <w:r>
        <w:rPr/>
        <w:t>is</w:t>
      </w:r>
      <w:r>
        <w:rPr>
          <w:spacing w:val="-5"/>
        </w:rPr>
        <w:t> </w:t>
      </w:r>
      <w:r>
        <w:rPr/>
        <w:t>Very</w:t>
      </w:r>
      <w:r>
        <w:rPr>
          <w:spacing w:val="-4"/>
        </w:rPr>
        <w:t> </w:t>
      </w:r>
      <w:r>
        <w:rPr/>
        <w:t>High.</w:t>
      </w:r>
      <w:r>
        <w:rPr>
          <w:spacing w:val="-5"/>
        </w:rPr>
        <w:t> </w:t>
      </w:r>
      <w:r>
        <w:rPr/>
        <w:t>Table</w:t>
      </w:r>
      <w:r>
        <w:rPr>
          <w:spacing w:val="-7"/>
        </w:rPr>
        <w:t> </w:t>
      </w:r>
      <w:r>
        <w:rPr/>
        <w:t>D-2</w:t>
      </w:r>
      <w:r>
        <w:rPr>
          <w:spacing w:val="-4"/>
        </w:rPr>
        <w:t> </w:t>
      </w:r>
      <w:r>
        <w:rPr/>
        <w:t>shows</w:t>
      </w:r>
      <w:r>
        <w:rPr>
          <w:spacing w:val="-5"/>
        </w:rPr>
        <w:t> </w:t>
      </w:r>
      <w:r>
        <w:rPr/>
        <w:t>the</w:t>
      </w:r>
      <w:r>
        <w:rPr>
          <w:spacing w:val="-4"/>
        </w:rPr>
        <w:t> </w:t>
      </w:r>
      <w:r>
        <w:rPr/>
        <w:t>SIO</w:t>
      </w:r>
      <w:r>
        <w:rPr>
          <w:spacing w:val="-7"/>
        </w:rPr>
        <w:t> </w:t>
      </w:r>
      <w:r>
        <w:rPr/>
        <w:t>level(s)</w:t>
      </w:r>
      <w:r>
        <w:rPr>
          <w:spacing w:val="-5"/>
        </w:rPr>
        <w:t> </w:t>
      </w:r>
      <w:r>
        <w:rPr/>
        <w:t>prescribed</w:t>
      </w:r>
      <w:r>
        <w:rPr>
          <w:spacing w:val="-6"/>
        </w:rPr>
        <w:t> </w:t>
      </w:r>
      <w:r>
        <w:rPr/>
        <w:t>for each Forest Plan management area.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0"/>
        <w:rPr>
          <w:sz w:val="20"/>
        </w:rPr>
      </w:pPr>
      <w:r>
        <w:rPr>
          <w:sz w:val="20"/>
        </w:rPr>
        <mc:AlternateContent>
          <mc:Choice Requires="wps">
            <w:drawing>
              <wp:anchor distT="0" distB="0" distL="0" distR="0" allowOverlap="1" layoutInCell="1" locked="0" behindDoc="1" simplePos="0" relativeHeight="487641600">
                <wp:simplePos x="0" y="0"/>
                <wp:positionH relativeFrom="page">
                  <wp:posOffset>896111</wp:posOffset>
                </wp:positionH>
                <wp:positionV relativeFrom="paragraph">
                  <wp:posOffset>214719</wp:posOffset>
                </wp:positionV>
                <wp:extent cx="5980430" cy="12700"/>
                <wp:effectExtent l="0" t="0" r="0" b="0"/>
                <wp:wrapTopAndBottom/>
                <wp:docPr id="329" name="Graphic 329"/>
                <wp:cNvGraphicFramePr>
                  <a:graphicFrameLocks/>
                </wp:cNvGraphicFramePr>
                <a:graphic>
                  <a:graphicData uri="http://schemas.microsoft.com/office/word/2010/wordprocessingShape">
                    <wps:wsp>
                      <wps:cNvPr id="329" name="Graphic 329"/>
                      <wps:cNvSpPr/>
                      <wps:spPr>
                        <a:xfrm>
                          <a:off x="0" y="0"/>
                          <a:ext cx="5980430" cy="12700"/>
                        </a:xfrm>
                        <a:custGeom>
                          <a:avLst/>
                          <a:gdLst/>
                          <a:ahLst/>
                          <a:cxnLst/>
                          <a:rect l="l" t="t" r="r" b="b"/>
                          <a:pathLst>
                            <a:path w="5980430" h="12700">
                              <a:moveTo>
                                <a:pt x="5980176" y="0"/>
                              </a:moveTo>
                              <a:lnTo>
                                <a:pt x="0" y="0"/>
                              </a:lnTo>
                              <a:lnTo>
                                <a:pt x="0" y="12191"/>
                              </a:lnTo>
                              <a:lnTo>
                                <a:pt x="5980176" y="12191"/>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16.907032pt;width:470.88pt;height:.96pt;mso-position-horizontal-relative:page;mso-position-vertical-relative:paragraph;z-index:-15674880;mso-wrap-distance-left:0;mso-wrap-distance-right:0" id="docshape313" filled="true" fillcolor="#000000" stroked="false">
                <v:fill type="solid"/>
                <w10:wrap type="topAndBottom"/>
              </v:rect>
            </w:pict>
          </mc:Fallback>
        </mc:AlternateContent>
      </w:r>
    </w:p>
    <w:p>
      <w:pPr>
        <w:pStyle w:val="BodyText"/>
        <w:spacing w:after="0"/>
        <w:rPr>
          <w:sz w:val="20"/>
        </w:rPr>
        <w:sectPr>
          <w:headerReference w:type="default" r:id="rId106"/>
          <w:footerReference w:type="default" r:id="rId107"/>
          <w:footerReference w:type="even" r:id="rId108"/>
          <w:pgSz w:w="12240" w:h="15840"/>
          <w:pgMar w:header="0" w:footer="928" w:top="640" w:bottom="1120" w:left="1080" w:right="1080"/>
          <w:pgNumType w:start="193"/>
        </w:sectPr>
      </w:pPr>
    </w:p>
    <w:p>
      <w:pPr>
        <w:pStyle w:val="BodyText"/>
        <w:rPr>
          <w:sz w:val="18"/>
        </w:rPr>
      </w:pPr>
    </w:p>
    <w:p>
      <w:pPr>
        <w:pStyle w:val="BodyText"/>
        <w:spacing w:before="34"/>
        <w:rPr>
          <w:sz w:val="18"/>
        </w:rPr>
      </w:pPr>
    </w:p>
    <w:p>
      <w:pPr>
        <w:spacing w:before="1" w:after="41"/>
        <w:ind w:left="360" w:right="0" w:firstLine="0"/>
        <w:jc w:val="left"/>
        <w:rPr>
          <w:rFonts w:ascii="Arial"/>
          <w:b/>
          <w:sz w:val="18"/>
        </w:rPr>
      </w:pPr>
      <w:bookmarkStart w:name="_bookmark309" w:id="986"/>
      <w:bookmarkEnd w:id="986"/>
      <w:r>
        <w:rPr/>
      </w:r>
      <w:r>
        <w:rPr>
          <w:rFonts w:ascii="Arial"/>
          <w:b/>
          <w:sz w:val="18"/>
        </w:rPr>
        <w:t>Table</w:t>
      </w:r>
      <w:r>
        <w:rPr>
          <w:rFonts w:ascii="Arial"/>
          <w:b/>
          <w:spacing w:val="-2"/>
          <w:sz w:val="18"/>
        </w:rPr>
        <w:t> </w:t>
      </w:r>
      <w:r>
        <w:rPr>
          <w:rFonts w:ascii="Arial"/>
          <w:b/>
          <w:sz w:val="18"/>
        </w:rPr>
        <w:t>D-1.</w:t>
      </w:r>
      <w:r>
        <w:rPr>
          <w:rFonts w:ascii="Arial"/>
          <w:b/>
          <w:spacing w:val="-2"/>
          <w:sz w:val="18"/>
        </w:rPr>
        <w:t> </w:t>
      </w:r>
      <w:r>
        <w:rPr>
          <w:rFonts w:ascii="Arial"/>
          <w:b/>
          <w:sz w:val="18"/>
        </w:rPr>
        <w:t>Scenic</w:t>
      </w:r>
      <w:r>
        <w:rPr>
          <w:rFonts w:ascii="Arial"/>
          <w:b/>
          <w:spacing w:val="-1"/>
          <w:sz w:val="18"/>
        </w:rPr>
        <w:t> </w:t>
      </w:r>
      <w:r>
        <w:rPr>
          <w:rFonts w:ascii="Arial"/>
          <w:b/>
          <w:sz w:val="18"/>
        </w:rPr>
        <w:t>integrity</w:t>
      </w:r>
      <w:r>
        <w:rPr>
          <w:rFonts w:ascii="Arial"/>
          <w:b/>
          <w:spacing w:val="-9"/>
          <w:sz w:val="18"/>
        </w:rPr>
        <w:t> </w:t>
      </w:r>
      <w:r>
        <w:rPr>
          <w:rFonts w:ascii="Arial"/>
          <w:b/>
          <w:sz w:val="18"/>
        </w:rPr>
        <w:t>and</w:t>
      </w:r>
      <w:r>
        <w:rPr>
          <w:rFonts w:ascii="Arial"/>
          <w:b/>
          <w:spacing w:val="-2"/>
          <w:sz w:val="18"/>
        </w:rPr>
        <w:t> </w:t>
      </w:r>
      <w:r>
        <w:rPr>
          <w:rFonts w:ascii="Arial"/>
          <w:b/>
          <w:sz w:val="18"/>
        </w:rPr>
        <w:t>condition</w:t>
      </w:r>
      <w:r>
        <w:rPr>
          <w:rFonts w:ascii="Arial"/>
          <w:b/>
          <w:spacing w:val="-2"/>
          <w:sz w:val="18"/>
        </w:rPr>
        <w:t> definitions</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2551"/>
        <w:gridCol w:w="6790"/>
      </w:tblGrid>
      <w:tr>
        <w:trPr>
          <w:trHeight w:val="493" w:hRule="atLeast"/>
        </w:trPr>
        <w:tc>
          <w:tcPr>
            <w:tcW w:w="2551" w:type="dxa"/>
            <w:tcBorders>
              <w:right w:val="nil"/>
            </w:tcBorders>
            <w:shd w:val="clear" w:color="auto" w:fill="D5E2BB"/>
          </w:tcPr>
          <w:p>
            <w:pPr>
              <w:pStyle w:val="TableParagraph"/>
              <w:ind w:left="1038" w:hanging="869"/>
              <w:rPr>
                <w:b/>
                <w:sz w:val="18"/>
              </w:rPr>
            </w:pPr>
            <w:r>
              <w:rPr>
                <w:b/>
                <w:sz w:val="18"/>
              </w:rPr>
              <w:t>Scenic</w:t>
            </w:r>
            <w:r>
              <w:rPr>
                <w:b/>
                <w:spacing w:val="-15"/>
                <w:sz w:val="18"/>
              </w:rPr>
              <w:t> </w:t>
            </w:r>
            <w:r>
              <w:rPr>
                <w:b/>
                <w:sz w:val="18"/>
              </w:rPr>
              <w:t>integrity</w:t>
            </w:r>
            <w:r>
              <w:rPr>
                <w:b/>
                <w:spacing w:val="-12"/>
                <w:sz w:val="18"/>
              </w:rPr>
              <w:t> </w:t>
            </w:r>
            <w:r>
              <w:rPr>
                <w:b/>
                <w:sz w:val="18"/>
              </w:rPr>
              <w:t>objective </w:t>
            </w:r>
            <w:r>
              <w:rPr>
                <w:b/>
                <w:spacing w:val="-2"/>
                <w:sz w:val="18"/>
              </w:rPr>
              <w:t>(SIO)</w:t>
            </w:r>
          </w:p>
        </w:tc>
        <w:tc>
          <w:tcPr>
            <w:tcW w:w="6790" w:type="dxa"/>
            <w:tcBorders>
              <w:left w:val="nil"/>
            </w:tcBorders>
            <w:shd w:val="clear" w:color="auto" w:fill="D5E2BB"/>
          </w:tcPr>
          <w:p>
            <w:pPr>
              <w:pStyle w:val="TableParagraph"/>
              <w:ind w:right="12"/>
              <w:jc w:val="center"/>
              <w:rPr>
                <w:b/>
                <w:sz w:val="18"/>
              </w:rPr>
            </w:pPr>
            <w:r>
              <w:rPr>
                <w:b/>
                <w:spacing w:val="-2"/>
                <w:sz w:val="18"/>
              </w:rPr>
              <w:t>Definition</w:t>
            </w:r>
          </w:p>
        </w:tc>
      </w:tr>
      <w:tr>
        <w:trPr>
          <w:trHeight w:val="1155" w:hRule="atLeast"/>
        </w:trPr>
        <w:tc>
          <w:tcPr>
            <w:tcW w:w="2551" w:type="dxa"/>
            <w:tcBorders>
              <w:right w:val="nil"/>
            </w:tcBorders>
          </w:tcPr>
          <w:p>
            <w:pPr>
              <w:pStyle w:val="TableParagraph"/>
              <w:spacing w:before="58"/>
              <w:ind w:left="107"/>
              <w:rPr>
                <w:b/>
                <w:sz w:val="18"/>
              </w:rPr>
            </w:pPr>
            <w:r>
              <w:rPr>
                <w:b/>
                <w:sz w:val="18"/>
              </w:rPr>
              <w:t>VERY</w:t>
            </w:r>
            <w:r>
              <w:rPr>
                <w:b/>
                <w:spacing w:val="-15"/>
                <w:sz w:val="18"/>
              </w:rPr>
              <w:t> </w:t>
            </w:r>
            <w:r>
              <w:rPr>
                <w:b/>
                <w:sz w:val="18"/>
              </w:rPr>
              <w:t>HIGH</w:t>
            </w:r>
            <w:r>
              <w:rPr>
                <w:b/>
                <w:spacing w:val="-12"/>
                <w:sz w:val="18"/>
              </w:rPr>
              <w:t> </w:t>
            </w:r>
            <w:r>
              <w:rPr>
                <w:b/>
                <w:sz w:val="18"/>
              </w:rPr>
              <w:t>(Preservation </w:t>
            </w:r>
            <w:r>
              <w:rPr>
                <w:b/>
                <w:spacing w:val="-4"/>
                <w:sz w:val="18"/>
              </w:rPr>
              <w:t>VQO)</w:t>
            </w:r>
          </w:p>
        </w:tc>
        <w:tc>
          <w:tcPr>
            <w:tcW w:w="6790" w:type="dxa"/>
            <w:tcBorders>
              <w:left w:val="nil"/>
            </w:tcBorders>
          </w:tcPr>
          <w:p>
            <w:pPr>
              <w:pStyle w:val="TableParagraph"/>
              <w:spacing w:before="58"/>
              <w:ind w:left="221" w:right="65" w:hanging="1"/>
              <w:rPr>
                <w:sz w:val="18"/>
              </w:rPr>
            </w:pPr>
            <w:r>
              <w:rPr>
                <w:b/>
                <w:sz w:val="18"/>
              </w:rPr>
              <w:t>Unaltered</w:t>
            </w:r>
            <w:r>
              <w:rPr>
                <w:sz w:val="18"/>
              </w:rPr>
              <w:t>. Landscape is intact with only minor changes from the valued landscape character associated with significant scenic landscapes. This SIO is typically</w:t>
            </w:r>
            <w:r>
              <w:rPr>
                <w:spacing w:val="-4"/>
                <w:sz w:val="18"/>
              </w:rPr>
              <w:t> </w:t>
            </w:r>
            <w:r>
              <w:rPr>
                <w:sz w:val="18"/>
              </w:rPr>
              <w:t>(but</w:t>
            </w:r>
            <w:r>
              <w:rPr>
                <w:spacing w:val="-5"/>
                <w:sz w:val="18"/>
              </w:rPr>
              <w:t> </w:t>
            </w:r>
            <w:r>
              <w:rPr>
                <w:sz w:val="18"/>
              </w:rPr>
              <w:t>not</w:t>
            </w:r>
            <w:r>
              <w:rPr>
                <w:spacing w:val="-4"/>
                <w:sz w:val="18"/>
              </w:rPr>
              <w:t> </w:t>
            </w:r>
            <w:r>
              <w:rPr>
                <w:sz w:val="18"/>
              </w:rPr>
              <w:t>exclusively)</w:t>
            </w:r>
            <w:r>
              <w:rPr>
                <w:spacing w:val="-4"/>
                <w:sz w:val="18"/>
              </w:rPr>
              <w:t> </w:t>
            </w:r>
            <w:r>
              <w:rPr>
                <w:sz w:val="18"/>
              </w:rPr>
              <w:t>associated</w:t>
            </w:r>
            <w:r>
              <w:rPr>
                <w:spacing w:val="-3"/>
                <w:sz w:val="18"/>
              </w:rPr>
              <w:t> </w:t>
            </w:r>
            <w:r>
              <w:rPr>
                <w:sz w:val="18"/>
              </w:rPr>
              <w:t>with</w:t>
            </w:r>
            <w:r>
              <w:rPr>
                <w:spacing w:val="-5"/>
                <w:sz w:val="18"/>
              </w:rPr>
              <w:t> </w:t>
            </w:r>
            <w:r>
              <w:rPr>
                <w:sz w:val="18"/>
              </w:rPr>
              <w:t>specially</w:t>
            </w:r>
            <w:r>
              <w:rPr>
                <w:spacing w:val="-4"/>
                <w:sz w:val="18"/>
              </w:rPr>
              <w:t> </w:t>
            </w:r>
            <w:r>
              <w:rPr>
                <w:sz w:val="18"/>
              </w:rPr>
              <w:t>designated</w:t>
            </w:r>
            <w:r>
              <w:rPr>
                <w:spacing w:val="-3"/>
                <w:sz w:val="18"/>
              </w:rPr>
              <w:t> </w:t>
            </w:r>
            <w:r>
              <w:rPr>
                <w:sz w:val="18"/>
              </w:rPr>
              <w:t>areas</w:t>
            </w:r>
            <w:r>
              <w:rPr>
                <w:spacing w:val="-3"/>
                <w:sz w:val="18"/>
              </w:rPr>
              <w:t> </w:t>
            </w:r>
            <w:r>
              <w:rPr>
                <w:sz w:val="18"/>
              </w:rPr>
              <w:t>such</w:t>
            </w:r>
            <w:r>
              <w:rPr>
                <w:spacing w:val="-5"/>
                <w:sz w:val="18"/>
              </w:rPr>
              <w:t> </w:t>
            </w:r>
            <w:r>
              <w:rPr>
                <w:sz w:val="18"/>
              </w:rPr>
              <w:t>as wilderness or other designations that imply the landscape is natural-appearing and only ecological changes occur.</w:t>
            </w:r>
          </w:p>
        </w:tc>
      </w:tr>
      <w:tr>
        <w:trPr>
          <w:trHeight w:val="532" w:hRule="atLeast"/>
        </w:trPr>
        <w:tc>
          <w:tcPr>
            <w:tcW w:w="2551" w:type="dxa"/>
            <w:tcBorders>
              <w:right w:val="nil"/>
            </w:tcBorders>
          </w:tcPr>
          <w:p>
            <w:pPr>
              <w:pStyle w:val="TableParagraph"/>
              <w:spacing w:line="207" w:lineRule="exact" w:before="58"/>
              <w:ind w:left="107"/>
              <w:rPr>
                <w:b/>
                <w:sz w:val="18"/>
              </w:rPr>
            </w:pPr>
            <w:r>
              <w:rPr>
                <w:b/>
                <w:spacing w:val="-4"/>
                <w:sz w:val="18"/>
              </w:rPr>
              <w:t>HIGH</w:t>
            </w:r>
          </w:p>
          <w:p>
            <w:pPr>
              <w:pStyle w:val="TableParagraph"/>
              <w:spacing w:line="207" w:lineRule="exact" w:before="0"/>
              <w:ind w:left="107"/>
              <w:rPr>
                <w:b/>
                <w:sz w:val="18"/>
              </w:rPr>
            </w:pPr>
            <w:r>
              <w:rPr>
                <w:b/>
                <w:sz w:val="18"/>
              </w:rPr>
              <w:t>(Retention</w:t>
            </w:r>
            <w:r>
              <w:rPr>
                <w:b/>
                <w:spacing w:val="-4"/>
                <w:sz w:val="18"/>
              </w:rPr>
              <w:t> VQO)</w:t>
            </w:r>
          </w:p>
        </w:tc>
        <w:tc>
          <w:tcPr>
            <w:tcW w:w="6790" w:type="dxa"/>
            <w:tcBorders>
              <w:left w:val="nil"/>
            </w:tcBorders>
          </w:tcPr>
          <w:p>
            <w:pPr>
              <w:pStyle w:val="TableParagraph"/>
              <w:spacing w:before="58"/>
              <w:ind w:left="220" w:right="65"/>
              <w:rPr>
                <w:sz w:val="18"/>
              </w:rPr>
            </w:pPr>
            <w:r>
              <w:rPr>
                <w:b/>
                <w:sz w:val="18"/>
              </w:rPr>
              <w:t>Appears</w:t>
            </w:r>
            <w:r>
              <w:rPr>
                <w:b/>
                <w:spacing w:val="-4"/>
                <w:sz w:val="18"/>
              </w:rPr>
              <w:t> </w:t>
            </w:r>
            <w:r>
              <w:rPr>
                <w:b/>
                <w:sz w:val="18"/>
              </w:rPr>
              <w:t>Unaltered</w:t>
            </w:r>
            <w:r>
              <w:rPr>
                <w:sz w:val="18"/>
              </w:rPr>
              <w:t>.</w:t>
            </w:r>
            <w:r>
              <w:rPr>
                <w:spacing w:val="-5"/>
                <w:sz w:val="18"/>
              </w:rPr>
              <w:t> </w:t>
            </w:r>
            <w:r>
              <w:rPr>
                <w:sz w:val="18"/>
              </w:rPr>
              <w:t>Management</w:t>
            </w:r>
            <w:r>
              <w:rPr>
                <w:spacing w:val="-6"/>
                <w:sz w:val="18"/>
              </w:rPr>
              <w:t> </w:t>
            </w:r>
            <w:r>
              <w:rPr>
                <w:sz w:val="18"/>
              </w:rPr>
              <w:t>activities</w:t>
            </w:r>
            <w:r>
              <w:rPr>
                <w:spacing w:val="-4"/>
                <w:sz w:val="18"/>
              </w:rPr>
              <w:t> </w:t>
            </w:r>
            <w:r>
              <w:rPr>
                <w:sz w:val="18"/>
              </w:rPr>
              <w:t>are</w:t>
            </w:r>
            <w:r>
              <w:rPr>
                <w:spacing w:val="-4"/>
                <w:sz w:val="18"/>
              </w:rPr>
              <w:t> </w:t>
            </w:r>
            <w:r>
              <w:rPr>
                <w:sz w:val="18"/>
              </w:rPr>
              <w:t>unnoticed</w:t>
            </w:r>
            <w:r>
              <w:rPr>
                <w:spacing w:val="-6"/>
                <w:sz w:val="18"/>
              </w:rPr>
              <w:t> </w:t>
            </w:r>
            <w:r>
              <w:rPr>
                <w:sz w:val="18"/>
              </w:rPr>
              <w:t>and</w:t>
            </w:r>
            <w:r>
              <w:rPr>
                <w:spacing w:val="-4"/>
                <w:sz w:val="18"/>
              </w:rPr>
              <w:t> </w:t>
            </w:r>
            <w:r>
              <w:rPr>
                <w:sz w:val="18"/>
              </w:rPr>
              <w:t>the</w:t>
            </w:r>
            <w:r>
              <w:rPr>
                <w:spacing w:val="-6"/>
                <w:sz w:val="18"/>
              </w:rPr>
              <w:t> </w:t>
            </w:r>
            <w:r>
              <w:rPr>
                <w:sz w:val="18"/>
              </w:rPr>
              <w:t>landscape character </w:t>
            </w:r>
            <w:r>
              <w:rPr>
                <w:i/>
                <w:sz w:val="18"/>
              </w:rPr>
              <w:t>appears </w:t>
            </w:r>
            <w:r>
              <w:rPr>
                <w:sz w:val="18"/>
              </w:rPr>
              <w:t>unaltered.</w:t>
            </w:r>
          </w:p>
        </w:tc>
      </w:tr>
      <w:tr>
        <w:trPr>
          <w:trHeight w:val="534" w:hRule="atLeast"/>
        </w:trPr>
        <w:tc>
          <w:tcPr>
            <w:tcW w:w="2551" w:type="dxa"/>
            <w:tcBorders>
              <w:right w:val="nil"/>
            </w:tcBorders>
          </w:tcPr>
          <w:p>
            <w:pPr>
              <w:pStyle w:val="TableParagraph"/>
              <w:spacing w:line="207" w:lineRule="exact" w:before="61"/>
              <w:ind w:left="107"/>
              <w:rPr>
                <w:b/>
                <w:sz w:val="18"/>
              </w:rPr>
            </w:pPr>
            <w:r>
              <w:rPr>
                <w:b/>
                <w:spacing w:val="-2"/>
                <w:sz w:val="18"/>
              </w:rPr>
              <w:t>MODERATE</w:t>
            </w:r>
          </w:p>
          <w:p>
            <w:pPr>
              <w:pStyle w:val="TableParagraph"/>
              <w:spacing w:line="207" w:lineRule="exact" w:before="0"/>
              <w:ind w:left="107"/>
              <w:rPr>
                <w:b/>
                <w:sz w:val="18"/>
              </w:rPr>
            </w:pPr>
            <w:r>
              <w:rPr>
                <w:b/>
                <w:sz w:val="18"/>
              </w:rPr>
              <w:t>(Partial</w:t>
            </w:r>
            <w:r>
              <w:rPr>
                <w:b/>
                <w:spacing w:val="-5"/>
                <w:sz w:val="18"/>
              </w:rPr>
              <w:t> </w:t>
            </w:r>
            <w:r>
              <w:rPr>
                <w:b/>
                <w:sz w:val="18"/>
              </w:rPr>
              <w:t>Retention</w:t>
            </w:r>
            <w:r>
              <w:rPr>
                <w:b/>
                <w:spacing w:val="-4"/>
                <w:sz w:val="18"/>
              </w:rPr>
              <w:t> VQO)</w:t>
            </w:r>
          </w:p>
        </w:tc>
        <w:tc>
          <w:tcPr>
            <w:tcW w:w="6790" w:type="dxa"/>
            <w:tcBorders>
              <w:left w:val="nil"/>
            </w:tcBorders>
          </w:tcPr>
          <w:p>
            <w:pPr>
              <w:pStyle w:val="TableParagraph"/>
              <w:spacing w:before="61"/>
              <w:ind w:left="221" w:right="178"/>
              <w:rPr>
                <w:sz w:val="18"/>
              </w:rPr>
            </w:pPr>
            <w:r>
              <w:rPr>
                <w:b/>
                <w:sz w:val="18"/>
              </w:rPr>
              <w:t>Slightly</w:t>
            </w:r>
            <w:r>
              <w:rPr>
                <w:b/>
                <w:spacing w:val="-8"/>
                <w:sz w:val="18"/>
              </w:rPr>
              <w:t> </w:t>
            </w:r>
            <w:r>
              <w:rPr>
                <w:b/>
                <w:sz w:val="18"/>
              </w:rPr>
              <w:t>Altered</w:t>
            </w:r>
            <w:r>
              <w:rPr>
                <w:sz w:val="18"/>
              </w:rPr>
              <w:t>.</w:t>
            </w:r>
            <w:r>
              <w:rPr>
                <w:spacing w:val="-4"/>
                <w:sz w:val="18"/>
              </w:rPr>
              <w:t> </w:t>
            </w:r>
            <w:r>
              <w:rPr>
                <w:sz w:val="18"/>
              </w:rPr>
              <w:t>Management</w:t>
            </w:r>
            <w:r>
              <w:rPr>
                <w:spacing w:val="-4"/>
                <w:sz w:val="18"/>
              </w:rPr>
              <w:t> </w:t>
            </w:r>
            <w:r>
              <w:rPr>
                <w:sz w:val="18"/>
              </w:rPr>
              <w:t>activities</w:t>
            </w:r>
            <w:r>
              <w:rPr>
                <w:spacing w:val="-3"/>
                <w:sz w:val="18"/>
              </w:rPr>
              <w:t> </w:t>
            </w:r>
            <w:r>
              <w:rPr>
                <w:sz w:val="18"/>
              </w:rPr>
              <w:t>are</w:t>
            </w:r>
            <w:r>
              <w:rPr>
                <w:spacing w:val="-6"/>
                <w:sz w:val="18"/>
              </w:rPr>
              <w:t> </w:t>
            </w:r>
            <w:r>
              <w:rPr>
                <w:sz w:val="18"/>
              </w:rPr>
              <w:t>noticeable</w:t>
            </w:r>
            <w:r>
              <w:rPr>
                <w:spacing w:val="-3"/>
                <w:sz w:val="18"/>
              </w:rPr>
              <w:t> </w:t>
            </w:r>
            <w:r>
              <w:rPr>
                <w:sz w:val="18"/>
              </w:rPr>
              <w:t>but</w:t>
            </w:r>
            <w:r>
              <w:rPr>
                <w:spacing w:val="-4"/>
                <w:sz w:val="18"/>
              </w:rPr>
              <w:t> </w:t>
            </w:r>
            <w:r>
              <w:rPr>
                <w:sz w:val="18"/>
              </w:rPr>
              <w:t>are</w:t>
            </w:r>
            <w:r>
              <w:rPr>
                <w:spacing w:val="-3"/>
                <w:sz w:val="18"/>
              </w:rPr>
              <w:t> </w:t>
            </w:r>
            <w:r>
              <w:rPr>
                <w:sz w:val="18"/>
              </w:rPr>
              <w:t>subordinate</w:t>
            </w:r>
            <w:r>
              <w:rPr>
                <w:spacing w:val="-6"/>
                <w:sz w:val="18"/>
              </w:rPr>
              <w:t> </w:t>
            </w:r>
            <w:r>
              <w:rPr>
                <w:sz w:val="18"/>
              </w:rPr>
              <w:t>to the landscape character. The landscape appears slightly altered.</w:t>
            </w:r>
          </w:p>
        </w:tc>
      </w:tr>
      <w:tr>
        <w:trPr>
          <w:trHeight w:val="949" w:hRule="atLeast"/>
        </w:trPr>
        <w:tc>
          <w:tcPr>
            <w:tcW w:w="2551" w:type="dxa"/>
            <w:tcBorders>
              <w:right w:val="nil"/>
            </w:tcBorders>
          </w:tcPr>
          <w:p>
            <w:pPr>
              <w:pStyle w:val="TableParagraph"/>
              <w:spacing w:line="207" w:lineRule="exact" w:before="61"/>
              <w:ind w:left="107"/>
              <w:rPr>
                <w:b/>
                <w:sz w:val="18"/>
              </w:rPr>
            </w:pPr>
            <w:r>
              <w:rPr>
                <w:b/>
                <w:spacing w:val="-5"/>
                <w:sz w:val="18"/>
              </w:rPr>
              <w:t>LOW</w:t>
            </w:r>
          </w:p>
          <w:p>
            <w:pPr>
              <w:pStyle w:val="TableParagraph"/>
              <w:spacing w:line="207" w:lineRule="exact" w:before="0"/>
              <w:ind w:left="107"/>
              <w:rPr>
                <w:b/>
                <w:sz w:val="18"/>
              </w:rPr>
            </w:pPr>
            <w:r>
              <w:rPr>
                <w:b/>
                <w:spacing w:val="-2"/>
                <w:sz w:val="18"/>
              </w:rPr>
              <w:t>(Modification</w:t>
            </w:r>
            <w:r>
              <w:rPr>
                <w:b/>
                <w:spacing w:val="11"/>
                <w:sz w:val="18"/>
              </w:rPr>
              <w:t> </w:t>
            </w:r>
            <w:r>
              <w:rPr>
                <w:b/>
                <w:spacing w:val="-4"/>
                <w:sz w:val="18"/>
              </w:rPr>
              <w:t>VQO)</w:t>
            </w:r>
          </w:p>
        </w:tc>
        <w:tc>
          <w:tcPr>
            <w:tcW w:w="6790" w:type="dxa"/>
            <w:tcBorders>
              <w:left w:val="nil"/>
            </w:tcBorders>
          </w:tcPr>
          <w:p>
            <w:pPr>
              <w:pStyle w:val="TableParagraph"/>
              <w:spacing w:before="61"/>
              <w:ind w:left="221" w:right="178"/>
              <w:rPr>
                <w:sz w:val="18"/>
              </w:rPr>
            </w:pPr>
            <w:r>
              <w:rPr>
                <w:b/>
                <w:sz w:val="18"/>
              </w:rPr>
              <w:t>Moderately Altered</w:t>
            </w:r>
            <w:r>
              <w:rPr>
                <w:sz w:val="18"/>
              </w:rPr>
              <w:t>. Management activities are evident and sometimes dominate</w:t>
            </w:r>
            <w:r>
              <w:rPr>
                <w:spacing w:val="-6"/>
                <w:sz w:val="18"/>
              </w:rPr>
              <w:t> </w:t>
            </w:r>
            <w:r>
              <w:rPr>
                <w:sz w:val="18"/>
              </w:rPr>
              <w:t>the</w:t>
            </w:r>
            <w:r>
              <w:rPr>
                <w:spacing w:val="-6"/>
                <w:sz w:val="18"/>
              </w:rPr>
              <w:t> </w:t>
            </w:r>
            <w:r>
              <w:rPr>
                <w:sz w:val="18"/>
              </w:rPr>
              <w:t>landscape</w:t>
            </w:r>
            <w:r>
              <w:rPr>
                <w:spacing w:val="-3"/>
                <w:sz w:val="18"/>
              </w:rPr>
              <w:t> </w:t>
            </w:r>
            <w:r>
              <w:rPr>
                <w:sz w:val="18"/>
              </w:rPr>
              <w:t>character</w:t>
            </w:r>
            <w:r>
              <w:rPr>
                <w:spacing w:val="-4"/>
                <w:sz w:val="18"/>
              </w:rPr>
              <w:t> </w:t>
            </w:r>
            <w:r>
              <w:rPr>
                <w:sz w:val="18"/>
              </w:rPr>
              <w:t>but</w:t>
            </w:r>
            <w:r>
              <w:rPr>
                <w:spacing w:val="-4"/>
                <w:sz w:val="18"/>
              </w:rPr>
              <w:t> </w:t>
            </w:r>
            <w:r>
              <w:rPr>
                <w:sz w:val="18"/>
              </w:rPr>
              <w:t>are</w:t>
            </w:r>
            <w:r>
              <w:rPr>
                <w:spacing w:val="-3"/>
                <w:sz w:val="18"/>
              </w:rPr>
              <w:t> </w:t>
            </w:r>
            <w:r>
              <w:rPr>
                <w:sz w:val="18"/>
              </w:rPr>
              <w:t>designed</w:t>
            </w:r>
            <w:r>
              <w:rPr>
                <w:spacing w:val="-6"/>
                <w:sz w:val="18"/>
              </w:rPr>
              <w:t> </w:t>
            </w:r>
            <w:r>
              <w:rPr>
                <w:sz w:val="18"/>
              </w:rPr>
              <w:t>to</w:t>
            </w:r>
            <w:r>
              <w:rPr>
                <w:spacing w:val="-3"/>
                <w:sz w:val="18"/>
              </w:rPr>
              <w:t> </w:t>
            </w:r>
            <w:r>
              <w:rPr>
                <w:sz w:val="18"/>
              </w:rPr>
              <w:t>blend</w:t>
            </w:r>
            <w:r>
              <w:rPr>
                <w:spacing w:val="-6"/>
                <w:sz w:val="18"/>
              </w:rPr>
              <w:t> </w:t>
            </w:r>
            <w:r>
              <w:rPr>
                <w:sz w:val="18"/>
              </w:rPr>
              <w:t>with</w:t>
            </w:r>
            <w:r>
              <w:rPr>
                <w:spacing w:val="-3"/>
                <w:sz w:val="18"/>
              </w:rPr>
              <w:t> </w:t>
            </w:r>
            <w:r>
              <w:rPr>
                <w:sz w:val="18"/>
              </w:rPr>
              <w:t>surroundings by repeating line, form, color, texture of landscape character attributes. The landscape appears altered.</w:t>
            </w:r>
          </w:p>
        </w:tc>
      </w:tr>
      <w:tr>
        <w:trPr>
          <w:trHeight w:val="740" w:hRule="atLeast"/>
        </w:trPr>
        <w:tc>
          <w:tcPr>
            <w:tcW w:w="2551" w:type="dxa"/>
            <w:tcBorders>
              <w:right w:val="nil"/>
            </w:tcBorders>
          </w:tcPr>
          <w:p>
            <w:pPr>
              <w:pStyle w:val="TableParagraph"/>
              <w:spacing w:line="207" w:lineRule="exact" w:before="58"/>
              <w:ind w:left="107"/>
              <w:rPr>
                <w:b/>
                <w:sz w:val="18"/>
              </w:rPr>
            </w:pPr>
            <w:r>
              <w:rPr>
                <w:b/>
                <w:sz w:val="18"/>
              </w:rPr>
              <w:t>VERY</w:t>
            </w:r>
            <w:r>
              <w:rPr>
                <w:b/>
                <w:spacing w:val="-7"/>
                <w:sz w:val="18"/>
              </w:rPr>
              <w:t> </w:t>
            </w:r>
            <w:r>
              <w:rPr>
                <w:b/>
                <w:spacing w:val="-5"/>
                <w:sz w:val="18"/>
              </w:rPr>
              <w:t>LOW</w:t>
            </w:r>
          </w:p>
          <w:p>
            <w:pPr>
              <w:pStyle w:val="TableParagraph"/>
              <w:spacing w:before="0"/>
              <w:ind w:left="107" w:right="426"/>
              <w:rPr>
                <w:b/>
                <w:sz w:val="18"/>
              </w:rPr>
            </w:pPr>
            <w:r>
              <w:rPr>
                <w:b/>
                <w:sz w:val="18"/>
              </w:rPr>
              <w:t>(Maximum</w:t>
            </w:r>
            <w:r>
              <w:rPr>
                <w:b/>
                <w:spacing w:val="-13"/>
                <w:sz w:val="18"/>
              </w:rPr>
              <w:t> </w:t>
            </w:r>
            <w:r>
              <w:rPr>
                <w:b/>
                <w:sz w:val="18"/>
              </w:rPr>
              <w:t>Modification </w:t>
            </w:r>
            <w:r>
              <w:rPr>
                <w:b/>
                <w:spacing w:val="-4"/>
                <w:sz w:val="18"/>
              </w:rPr>
              <w:t>VQO)</w:t>
            </w:r>
          </w:p>
        </w:tc>
        <w:tc>
          <w:tcPr>
            <w:tcW w:w="6790" w:type="dxa"/>
            <w:tcBorders>
              <w:left w:val="nil"/>
            </w:tcBorders>
          </w:tcPr>
          <w:p>
            <w:pPr>
              <w:pStyle w:val="TableParagraph"/>
              <w:spacing w:before="59"/>
              <w:ind w:left="221" w:right="65"/>
              <w:rPr>
                <w:sz w:val="18"/>
              </w:rPr>
            </w:pPr>
            <w:r>
              <w:rPr>
                <w:b/>
                <w:sz w:val="18"/>
              </w:rPr>
              <w:t>Heavily</w:t>
            </w:r>
            <w:r>
              <w:rPr>
                <w:b/>
                <w:spacing w:val="-8"/>
                <w:sz w:val="18"/>
              </w:rPr>
              <w:t> </w:t>
            </w:r>
            <w:r>
              <w:rPr>
                <w:b/>
                <w:sz w:val="18"/>
              </w:rPr>
              <w:t>Altered</w:t>
            </w:r>
            <w:r>
              <w:rPr>
                <w:sz w:val="18"/>
              </w:rPr>
              <w:t>.</w:t>
            </w:r>
            <w:r>
              <w:rPr>
                <w:spacing w:val="-4"/>
                <w:sz w:val="18"/>
              </w:rPr>
              <w:t> </w:t>
            </w:r>
            <w:r>
              <w:rPr>
                <w:sz w:val="18"/>
              </w:rPr>
              <w:t>Management</w:t>
            </w:r>
            <w:r>
              <w:rPr>
                <w:spacing w:val="-6"/>
                <w:sz w:val="18"/>
              </w:rPr>
              <w:t> </w:t>
            </w:r>
            <w:r>
              <w:rPr>
                <w:sz w:val="18"/>
              </w:rPr>
              <w:t>activities</w:t>
            </w:r>
            <w:r>
              <w:rPr>
                <w:spacing w:val="-3"/>
                <w:sz w:val="18"/>
              </w:rPr>
              <w:t> </w:t>
            </w:r>
            <w:r>
              <w:rPr>
                <w:sz w:val="18"/>
              </w:rPr>
              <w:t>create</w:t>
            </w:r>
            <w:r>
              <w:rPr>
                <w:spacing w:val="-6"/>
                <w:sz w:val="18"/>
              </w:rPr>
              <w:t> </w:t>
            </w:r>
            <w:r>
              <w:rPr>
                <w:sz w:val="18"/>
              </w:rPr>
              <w:t>a</w:t>
            </w:r>
            <w:r>
              <w:rPr>
                <w:spacing w:val="-3"/>
                <w:sz w:val="18"/>
              </w:rPr>
              <w:t> </w:t>
            </w:r>
            <w:r>
              <w:rPr>
                <w:sz w:val="18"/>
              </w:rPr>
              <w:t>“heavily</w:t>
            </w:r>
            <w:r>
              <w:rPr>
                <w:spacing w:val="-5"/>
                <w:sz w:val="18"/>
              </w:rPr>
              <w:t> </w:t>
            </w:r>
            <w:r>
              <w:rPr>
                <w:sz w:val="18"/>
              </w:rPr>
              <w:t>altered</w:t>
            </w:r>
            <w:r>
              <w:rPr>
                <w:spacing w:val="-4"/>
                <w:sz w:val="18"/>
              </w:rPr>
              <w:t> </w:t>
            </w:r>
            <w:r>
              <w:rPr>
                <w:sz w:val="18"/>
              </w:rPr>
              <w:t>landscape.” Changes may strongly dominate the landscape.</w:t>
            </w:r>
          </w:p>
        </w:tc>
      </w:tr>
      <w:tr>
        <w:trPr>
          <w:trHeight w:val="947" w:hRule="atLeast"/>
        </w:trPr>
        <w:tc>
          <w:tcPr>
            <w:tcW w:w="2551" w:type="dxa"/>
            <w:tcBorders>
              <w:right w:val="nil"/>
            </w:tcBorders>
          </w:tcPr>
          <w:p>
            <w:pPr>
              <w:pStyle w:val="TableParagraph"/>
              <w:spacing w:line="207" w:lineRule="exact" w:before="58"/>
              <w:ind w:left="107"/>
              <w:jc w:val="both"/>
              <w:rPr>
                <w:b/>
                <w:sz w:val="18"/>
              </w:rPr>
            </w:pPr>
            <w:r>
              <w:rPr>
                <w:b/>
                <w:spacing w:val="-2"/>
                <w:sz w:val="18"/>
              </w:rPr>
              <w:t>UNACCEPTABLY</w:t>
            </w:r>
            <w:r>
              <w:rPr>
                <w:b/>
                <w:spacing w:val="2"/>
                <w:sz w:val="18"/>
              </w:rPr>
              <w:t> </w:t>
            </w:r>
            <w:r>
              <w:rPr>
                <w:b/>
                <w:spacing w:val="-5"/>
                <w:sz w:val="18"/>
              </w:rPr>
              <w:t>LOW</w:t>
            </w:r>
          </w:p>
          <w:p>
            <w:pPr>
              <w:pStyle w:val="TableParagraph"/>
              <w:spacing w:before="0"/>
              <w:ind w:left="107" w:right="367"/>
              <w:jc w:val="both"/>
              <w:rPr>
                <w:b/>
                <w:sz w:val="18"/>
              </w:rPr>
            </w:pPr>
            <w:r>
              <w:rPr>
                <w:b/>
                <w:sz w:val="18"/>
              </w:rPr>
              <w:t>(for inventory</w:t>
            </w:r>
            <w:r>
              <w:rPr>
                <w:b/>
                <w:spacing w:val="-1"/>
                <w:sz w:val="18"/>
              </w:rPr>
              <w:t> </w:t>
            </w:r>
            <w:r>
              <w:rPr>
                <w:b/>
                <w:sz w:val="18"/>
              </w:rPr>
              <w:t>purposes only,</w:t>
            </w:r>
            <w:r>
              <w:rPr>
                <w:b/>
                <w:spacing w:val="-12"/>
                <w:sz w:val="18"/>
              </w:rPr>
              <w:t> </w:t>
            </w:r>
            <w:r>
              <w:rPr>
                <w:b/>
                <w:sz w:val="18"/>
              </w:rPr>
              <w:t>not</w:t>
            </w:r>
            <w:r>
              <w:rPr>
                <w:b/>
                <w:spacing w:val="-12"/>
                <w:sz w:val="18"/>
              </w:rPr>
              <w:t> </w:t>
            </w:r>
            <w:r>
              <w:rPr>
                <w:b/>
                <w:sz w:val="18"/>
              </w:rPr>
              <w:t>a</w:t>
            </w:r>
            <w:r>
              <w:rPr>
                <w:b/>
                <w:spacing w:val="-11"/>
                <w:sz w:val="18"/>
              </w:rPr>
              <w:t> </w:t>
            </w:r>
            <w:r>
              <w:rPr>
                <w:b/>
                <w:sz w:val="18"/>
              </w:rPr>
              <w:t>management </w:t>
            </w:r>
            <w:r>
              <w:rPr>
                <w:b/>
                <w:spacing w:val="-2"/>
                <w:sz w:val="18"/>
              </w:rPr>
              <w:t>objective)</w:t>
            </w:r>
          </w:p>
        </w:tc>
        <w:tc>
          <w:tcPr>
            <w:tcW w:w="6790" w:type="dxa"/>
            <w:tcBorders>
              <w:left w:val="nil"/>
            </w:tcBorders>
          </w:tcPr>
          <w:p>
            <w:pPr>
              <w:pStyle w:val="TableParagraph"/>
              <w:spacing w:before="59"/>
              <w:ind w:left="221" w:right="65"/>
              <w:rPr>
                <w:sz w:val="18"/>
              </w:rPr>
            </w:pPr>
            <w:r>
              <w:rPr>
                <w:b/>
                <w:sz w:val="18"/>
              </w:rPr>
              <w:t>Unacceptable</w:t>
            </w:r>
            <w:r>
              <w:rPr>
                <w:b/>
                <w:spacing w:val="-6"/>
                <w:sz w:val="18"/>
              </w:rPr>
              <w:t> </w:t>
            </w:r>
            <w:r>
              <w:rPr>
                <w:b/>
                <w:sz w:val="18"/>
              </w:rPr>
              <w:t>Modification</w:t>
            </w:r>
            <w:r>
              <w:rPr>
                <w:sz w:val="18"/>
              </w:rPr>
              <w:t>.</w:t>
            </w:r>
            <w:r>
              <w:rPr>
                <w:spacing w:val="-6"/>
                <w:sz w:val="18"/>
              </w:rPr>
              <w:t> </w:t>
            </w:r>
            <w:r>
              <w:rPr>
                <w:sz w:val="18"/>
              </w:rPr>
              <w:t>Management</w:t>
            </w:r>
            <w:r>
              <w:rPr>
                <w:spacing w:val="-6"/>
                <w:sz w:val="18"/>
              </w:rPr>
              <w:t> </w:t>
            </w:r>
            <w:r>
              <w:rPr>
                <w:sz w:val="18"/>
              </w:rPr>
              <w:t>activities</w:t>
            </w:r>
            <w:r>
              <w:rPr>
                <w:spacing w:val="-3"/>
                <w:sz w:val="18"/>
              </w:rPr>
              <w:t> </w:t>
            </w:r>
            <w:r>
              <w:rPr>
                <w:sz w:val="18"/>
              </w:rPr>
              <w:t>create</w:t>
            </w:r>
            <w:r>
              <w:rPr>
                <w:spacing w:val="-8"/>
                <w:sz w:val="18"/>
              </w:rPr>
              <w:t> </w:t>
            </w:r>
            <w:r>
              <w:rPr>
                <w:sz w:val="18"/>
              </w:rPr>
              <w:t>an</w:t>
            </w:r>
            <w:r>
              <w:rPr>
                <w:spacing w:val="-3"/>
                <w:sz w:val="18"/>
              </w:rPr>
              <w:t> </w:t>
            </w:r>
            <w:r>
              <w:rPr>
                <w:sz w:val="18"/>
              </w:rPr>
              <w:t>extremely</w:t>
            </w:r>
            <w:r>
              <w:rPr>
                <w:spacing w:val="-5"/>
                <w:sz w:val="18"/>
              </w:rPr>
              <w:t> </w:t>
            </w:r>
            <w:r>
              <w:rPr>
                <w:sz w:val="18"/>
              </w:rPr>
              <w:t>altered landscape. Deviations are extremely dominant and borrow little if any form, line, color, texture, pattern</w:t>
            </w:r>
            <w:r>
              <w:rPr>
                <w:spacing w:val="-1"/>
                <w:sz w:val="18"/>
              </w:rPr>
              <w:t> </w:t>
            </w:r>
            <w:r>
              <w:rPr>
                <w:sz w:val="18"/>
              </w:rPr>
              <w:t>or scale</w:t>
            </w:r>
            <w:r>
              <w:rPr>
                <w:spacing w:val="-1"/>
                <w:sz w:val="18"/>
              </w:rPr>
              <w:t> </w:t>
            </w:r>
            <w:r>
              <w:rPr>
                <w:sz w:val="18"/>
              </w:rPr>
              <w:t>from the landscape</w:t>
            </w:r>
            <w:r>
              <w:rPr>
                <w:spacing w:val="-1"/>
                <w:sz w:val="18"/>
              </w:rPr>
              <w:t> </w:t>
            </w:r>
            <w:r>
              <w:rPr>
                <w:sz w:val="18"/>
              </w:rPr>
              <w:t>character.</w:t>
            </w:r>
            <w:r>
              <w:rPr>
                <w:spacing w:val="-1"/>
                <w:sz w:val="18"/>
              </w:rPr>
              <w:t> </w:t>
            </w:r>
            <w:r>
              <w:rPr>
                <w:sz w:val="18"/>
              </w:rPr>
              <w:t>Landscapes at this level of integrity need rehabilitation.</w:t>
            </w:r>
          </w:p>
        </w:tc>
      </w:tr>
    </w:tbl>
    <w:p>
      <w:pPr>
        <w:pStyle w:val="BodyText"/>
        <w:spacing w:before="154"/>
        <w:rPr>
          <w:rFonts w:ascii="Arial"/>
          <w:b/>
          <w:sz w:val="18"/>
        </w:rPr>
      </w:pPr>
    </w:p>
    <w:p>
      <w:pPr>
        <w:spacing w:before="1" w:after="41"/>
        <w:ind w:left="360" w:right="0" w:firstLine="0"/>
        <w:jc w:val="left"/>
        <w:rPr>
          <w:rFonts w:ascii="Arial"/>
          <w:b/>
          <w:sz w:val="18"/>
        </w:rPr>
      </w:pPr>
      <w:bookmarkStart w:name="_bookmark310" w:id="987"/>
      <w:bookmarkEnd w:id="987"/>
      <w:r>
        <w:rPr/>
      </w:r>
      <w:r>
        <w:rPr>
          <w:rFonts w:ascii="Arial"/>
          <w:b/>
          <w:sz w:val="18"/>
        </w:rPr>
        <w:t>Table</w:t>
      </w:r>
      <w:r>
        <w:rPr>
          <w:rFonts w:ascii="Arial"/>
          <w:b/>
          <w:spacing w:val="-1"/>
          <w:sz w:val="18"/>
        </w:rPr>
        <w:t> </w:t>
      </w:r>
      <w:r>
        <w:rPr>
          <w:rFonts w:ascii="Arial"/>
          <w:b/>
          <w:sz w:val="18"/>
        </w:rPr>
        <w:t>D-2.</w:t>
      </w:r>
      <w:r>
        <w:rPr>
          <w:rFonts w:ascii="Arial"/>
          <w:b/>
          <w:spacing w:val="-2"/>
          <w:sz w:val="18"/>
        </w:rPr>
        <w:t> </w:t>
      </w:r>
      <w:r>
        <w:rPr>
          <w:rFonts w:ascii="Arial"/>
          <w:b/>
          <w:sz w:val="18"/>
        </w:rPr>
        <w:t>Scenic</w:t>
      </w:r>
      <w:r>
        <w:rPr>
          <w:rFonts w:ascii="Arial"/>
          <w:b/>
          <w:spacing w:val="-1"/>
          <w:sz w:val="18"/>
        </w:rPr>
        <w:t> </w:t>
      </w:r>
      <w:r>
        <w:rPr>
          <w:rFonts w:ascii="Arial"/>
          <w:b/>
          <w:sz w:val="18"/>
        </w:rPr>
        <w:t>integrity</w:t>
      </w:r>
      <w:r>
        <w:rPr>
          <w:rFonts w:ascii="Arial"/>
          <w:b/>
          <w:spacing w:val="-9"/>
          <w:sz w:val="18"/>
        </w:rPr>
        <w:t> </w:t>
      </w:r>
      <w:r>
        <w:rPr>
          <w:rFonts w:ascii="Arial"/>
          <w:b/>
          <w:sz w:val="18"/>
        </w:rPr>
        <w:t>objective</w:t>
      </w:r>
      <w:r>
        <w:rPr>
          <w:rFonts w:ascii="Arial"/>
          <w:b/>
          <w:spacing w:val="-1"/>
          <w:sz w:val="18"/>
        </w:rPr>
        <w:t> </w:t>
      </w:r>
      <w:r>
        <w:rPr>
          <w:rFonts w:ascii="Arial"/>
          <w:b/>
          <w:sz w:val="18"/>
        </w:rPr>
        <w:t>by</w:t>
      </w:r>
      <w:r>
        <w:rPr>
          <w:rFonts w:ascii="Arial"/>
          <w:b/>
          <w:spacing w:val="-8"/>
          <w:sz w:val="18"/>
        </w:rPr>
        <w:t> </w:t>
      </w:r>
      <w:r>
        <w:rPr>
          <w:rFonts w:ascii="Arial"/>
          <w:b/>
          <w:sz w:val="18"/>
        </w:rPr>
        <w:t>management</w:t>
      </w:r>
      <w:r>
        <w:rPr>
          <w:rFonts w:ascii="Arial"/>
          <w:b/>
          <w:spacing w:val="-2"/>
          <w:sz w:val="18"/>
        </w:rPr>
        <w:t> </w:t>
      </w:r>
      <w:r>
        <w:rPr>
          <w:rFonts w:ascii="Arial"/>
          <w:b/>
          <w:spacing w:val="-4"/>
          <w:sz w:val="18"/>
        </w:rPr>
        <w:t>area</w:t>
      </w: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4181"/>
        <w:gridCol w:w="5170"/>
      </w:tblGrid>
      <w:tr>
        <w:trPr>
          <w:trHeight w:val="287" w:hRule="atLeast"/>
        </w:trPr>
        <w:tc>
          <w:tcPr>
            <w:tcW w:w="4181" w:type="dxa"/>
            <w:shd w:val="clear" w:color="auto" w:fill="D5E2BB"/>
          </w:tcPr>
          <w:p>
            <w:pPr>
              <w:pStyle w:val="TableParagraph"/>
              <w:ind w:left="1103"/>
              <w:rPr>
                <w:b/>
                <w:sz w:val="18"/>
              </w:rPr>
            </w:pPr>
            <w:r>
              <w:rPr>
                <w:b/>
                <w:sz w:val="18"/>
              </w:rPr>
              <w:t>Management</w:t>
            </w:r>
            <w:r>
              <w:rPr>
                <w:b/>
                <w:spacing w:val="-11"/>
                <w:sz w:val="18"/>
              </w:rPr>
              <w:t> </w:t>
            </w:r>
            <w:r>
              <w:rPr>
                <w:b/>
                <w:sz w:val="18"/>
              </w:rPr>
              <w:t>area</w:t>
            </w:r>
            <w:r>
              <w:rPr>
                <w:b/>
                <w:spacing w:val="-11"/>
                <w:sz w:val="18"/>
              </w:rPr>
              <w:t> </w:t>
            </w:r>
            <w:r>
              <w:rPr>
                <w:b/>
                <w:spacing w:val="-4"/>
                <w:sz w:val="18"/>
              </w:rPr>
              <w:t>(MA)</w:t>
            </w:r>
          </w:p>
        </w:tc>
        <w:tc>
          <w:tcPr>
            <w:tcW w:w="5170" w:type="dxa"/>
            <w:shd w:val="clear" w:color="auto" w:fill="D5E2BB"/>
          </w:tcPr>
          <w:p>
            <w:pPr>
              <w:pStyle w:val="TableParagraph"/>
              <w:ind w:left="11" w:right="3"/>
              <w:jc w:val="center"/>
              <w:rPr>
                <w:b/>
                <w:sz w:val="18"/>
              </w:rPr>
            </w:pPr>
            <w:r>
              <w:rPr>
                <w:b/>
                <w:sz w:val="18"/>
              </w:rPr>
              <w:t>Scenic</w:t>
            </w:r>
            <w:r>
              <w:rPr>
                <w:b/>
                <w:spacing w:val="-2"/>
                <w:sz w:val="18"/>
              </w:rPr>
              <w:t> </w:t>
            </w:r>
            <w:r>
              <w:rPr>
                <w:b/>
                <w:sz w:val="18"/>
              </w:rPr>
              <w:t>integrity</w:t>
            </w:r>
            <w:r>
              <w:rPr>
                <w:b/>
                <w:spacing w:val="-9"/>
                <w:sz w:val="18"/>
              </w:rPr>
              <w:t> </w:t>
            </w:r>
            <w:r>
              <w:rPr>
                <w:b/>
                <w:sz w:val="18"/>
              </w:rPr>
              <w:t>objective </w:t>
            </w:r>
            <w:r>
              <w:rPr>
                <w:b/>
                <w:spacing w:val="-2"/>
                <w:sz w:val="18"/>
              </w:rPr>
              <w:t>(SIO)</w:t>
            </w:r>
          </w:p>
        </w:tc>
      </w:tr>
      <w:tr>
        <w:trPr>
          <w:trHeight w:val="287" w:hRule="atLeast"/>
        </w:trPr>
        <w:tc>
          <w:tcPr>
            <w:tcW w:w="4181" w:type="dxa"/>
          </w:tcPr>
          <w:p>
            <w:pPr>
              <w:pStyle w:val="TableParagraph"/>
              <w:ind w:left="107"/>
              <w:rPr>
                <w:sz w:val="18"/>
              </w:rPr>
            </w:pPr>
            <w:r>
              <w:rPr>
                <w:sz w:val="18"/>
              </w:rPr>
              <w:t>Focused</w:t>
            </w:r>
            <w:r>
              <w:rPr>
                <w:spacing w:val="-3"/>
                <w:sz w:val="18"/>
              </w:rPr>
              <w:t> </w:t>
            </w:r>
            <w:r>
              <w:rPr>
                <w:sz w:val="18"/>
              </w:rPr>
              <w:t>Restoration</w:t>
            </w:r>
            <w:r>
              <w:rPr>
                <w:spacing w:val="-3"/>
                <w:sz w:val="18"/>
              </w:rPr>
              <w:t> </w:t>
            </w:r>
            <w:r>
              <w:rPr>
                <w:spacing w:val="-4"/>
                <w:sz w:val="18"/>
              </w:rPr>
              <w:t>(FR)</w:t>
            </w:r>
          </w:p>
        </w:tc>
        <w:tc>
          <w:tcPr>
            <w:tcW w:w="5170" w:type="dxa"/>
          </w:tcPr>
          <w:p>
            <w:pPr>
              <w:pStyle w:val="TableParagraph"/>
              <w:ind w:left="11" w:right="1"/>
              <w:jc w:val="center"/>
              <w:rPr>
                <w:sz w:val="18"/>
              </w:rPr>
            </w:pPr>
            <w:r>
              <w:rPr>
                <w:spacing w:val="-2"/>
                <w:sz w:val="18"/>
              </w:rPr>
              <w:t>Low/Moderate/High</w:t>
            </w:r>
          </w:p>
        </w:tc>
      </w:tr>
      <w:tr>
        <w:trPr>
          <w:trHeight w:val="285" w:hRule="atLeast"/>
        </w:trPr>
        <w:tc>
          <w:tcPr>
            <w:tcW w:w="4181" w:type="dxa"/>
          </w:tcPr>
          <w:p>
            <w:pPr>
              <w:pStyle w:val="TableParagraph"/>
              <w:ind w:left="107"/>
              <w:rPr>
                <w:sz w:val="18"/>
              </w:rPr>
            </w:pPr>
            <w:r>
              <w:rPr>
                <w:sz w:val="18"/>
              </w:rPr>
              <w:t>General</w:t>
            </w:r>
            <w:r>
              <w:rPr>
                <w:spacing w:val="-4"/>
                <w:sz w:val="18"/>
              </w:rPr>
              <w:t> </w:t>
            </w:r>
            <w:r>
              <w:rPr>
                <w:sz w:val="18"/>
              </w:rPr>
              <w:t>Restoration</w:t>
            </w:r>
            <w:r>
              <w:rPr>
                <w:spacing w:val="-4"/>
                <w:sz w:val="18"/>
              </w:rPr>
              <w:t> (GR)</w:t>
            </w:r>
          </w:p>
        </w:tc>
        <w:tc>
          <w:tcPr>
            <w:tcW w:w="5170" w:type="dxa"/>
          </w:tcPr>
          <w:p>
            <w:pPr>
              <w:pStyle w:val="TableParagraph"/>
              <w:ind w:left="11" w:right="1"/>
              <w:jc w:val="center"/>
              <w:rPr>
                <w:sz w:val="18"/>
              </w:rPr>
            </w:pPr>
            <w:r>
              <w:rPr>
                <w:spacing w:val="-2"/>
                <w:sz w:val="18"/>
              </w:rPr>
              <w:t>Low/Moderate/High</w:t>
            </w:r>
          </w:p>
        </w:tc>
      </w:tr>
      <w:tr>
        <w:trPr>
          <w:trHeight w:val="287" w:hRule="atLeast"/>
        </w:trPr>
        <w:tc>
          <w:tcPr>
            <w:tcW w:w="4181" w:type="dxa"/>
          </w:tcPr>
          <w:p>
            <w:pPr>
              <w:pStyle w:val="TableParagraph"/>
              <w:spacing w:before="42"/>
              <w:ind w:left="107"/>
              <w:rPr>
                <w:sz w:val="18"/>
              </w:rPr>
            </w:pPr>
            <w:r>
              <w:rPr>
                <w:sz w:val="18"/>
              </w:rPr>
              <w:t>Backcountry</w:t>
            </w:r>
            <w:r>
              <w:rPr>
                <w:spacing w:val="-4"/>
                <w:sz w:val="18"/>
              </w:rPr>
              <w:t> (BC)</w:t>
            </w:r>
          </w:p>
        </w:tc>
        <w:tc>
          <w:tcPr>
            <w:tcW w:w="5170" w:type="dxa"/>
          </w:tcPr>
          <w:p>
            <w:pPr>
              <w:pStyle w:val="TableParagraph"/>
              <w:spacing w:before="42"/>
              <w:ind w:left="11"/>
              <w:jc w:val="center"/>
              <w:rPr>
                <w:sz w:val="18"/>
              </w:rPr>
            </w:pPr>
            <w:r>
              <w:rPr>
                <w:spacing w:val="-4"/>
                <w:sz w:val="18"/>
              </w:rPr>
              <w:t>High</w:t>
            </w:r>
          </w:p>
        </w:tc>
      </w:tr>
      <w:tr>
        <w:trPr>
          <w:trHeight w:val="287" w:hRule="atLeast"/>
        </w:trPr>
        <w:tc>
          <w:tcPr>
            <w:tcW w:w="4181" w:type="dxa"/>
          </w:tcPr>
          <w:p>
            <w:pPr>
              <w:pStyle w:val="TableParagraph"/>
              <w:ind w:left="107"/>
              <w:rPr>
                <w:sz w:val="18"/>
              </w:rPr>
            </w:pPr>
            <w:r>
              <w:rPr>
                <w:sz w:val="18"/>
              </w:rPr>
              <w:t>Backcountry</w:t>
            </w:r>
            <w:r>
              <w:rPr>
                <w:spacing w:val="-8"/>
                <w:sz w:val="18"/>
              </w:rPr>
              <w:t> </w:t>
            </w:r>
            <w:r>
              <w:rPr>
                <w:sz w:val="18"/>
              </w:rPr>
              <w:t>Motorized</w:t>
            </w:r>
            <w:r>
              <w:rPr>
                <w:spacing w:val="-3"/>
                <w:sz w:val="18"/>
              </w:rPr>
              <w:t> </w:t>
            </w:r>
            <w:r>
              <w:rPr>
                <w:spacing w:val="-4"/>
                <w:sz w:val="18"/>
              </w:rPr>
              <w:t>(BCM)</w:t>
            </w:r>
          </w:p>
        </w:tc>
        <w:tc>
          <w:tcPr>
            <w:tcW w:w="5170" w:type="dxa"/>
          </w:tcPr>
          <w:p>
            <w:pPr>
              <w:pStyle w:val="TableParagraph"/>
              <w:ind w:left="11" w:right="1"/>
              <w:jc w:val="center"/>
              <w:rPr>
                <w:sz w:val="18"/>
              </w:rPr>
            </w:pPr>
            <w:r>
              <w:rPr>
                <w:spacing w:val="-4"/>
                <w:sz w:val="18"/>
              </w:rPr>
              <w:t>High</w:t>
            </w:r>
          </w:p>
        </w:tc>
      </w:tr>
      <w:tr>
        <w:trPr>
          <w:trHeight w:val="287" w:hRule="atLeast"/>
        </w:trPr>
        <w:tc>
          <w:tcPr>
            <w:tcW w:w="4181" w:type="dxa"/>
          </w:tcPr>
          <w:p>
            <w:pPr>
              <w:pStyle w:val="TableParagraph"/>
              <w:ind w:left="107"/>
              <w:rPr>
                <w:sz w:val="18"/>
              </w:rPr>
            </w:pPr>
            <w:r>
              <w:rPr>
                <w:sz w:val="18"/>
              </w:rPr>
              <w:t>Research</w:t>
            </w:r>
            <w:r>
              <w:rPr>
                <w:spacing w:val="-3"/>
                <w:sz w:val="18"/>
              </w:rPr>
              <w:t> </w:t>
            </w:r>
            <w:r>
              <w:rPr>
                <w:sz w:val="18"/>
              </w:rPr>
              <w:t>Natural</w:t>
            </w:r>
            <w:r>
              <w:rPr>
                <w:spacing w:val="-5"/>
                <w:sz w:val="18"/>
              </w:rPr>
              <w:t> </w:t>
            </w:r>
            <w:r>
              <w:rPr>
                <w:sz w:val="18"/>
              </w:rPr>
              <w:t>Areas</w:t>
            </w:r>
            <w:r>
              <w:rPr>
                <w:spacing w:val="-3"/>
                <w:sz w:val="18"/>
              </w:rPr>
              <w:t> </w:t>
            </w:r>
            <w:r>
              <w:rPr>
                <w:spacing w:val="-2"/>
                <w:sz w:val="18"/>
              </w:rPr>
              <w:t>(RNA)</w:t>
            </w:r>
          </w:p>
        </w:tc>
        <w:tc>
          <w:tcPr>
            <w:tcW w:w="5170" w:type="dxa"/>
          </w:tcPr>
          <w:p>
            <w:pPr>
              <w:pStyle w:val="TableParagraph"/>
              <w:ind w:left="11"/>
              <w:jc w:val="center"/>
              <w:rPr>
                <w:sz w:val="18"/>
              </w:rPr>
            </w:pPr>
            <w:r>
              <w:rPr>
                <w:spacing w:val="-4"/>
                <w:sz w:val="18"/>
              </w:rPr>
              <w:t>High</w:t>
            </w:r>
          </w:p>
        </w:tc>
      </w:tr>
      <w:tr>
        <w:trPr>
          <w:trHeight w:val="285" w:hRule="atLeast"/>
        </w:trPr>
        <w:tc>
          <w:tcPr>
            <w:tcW w:w="4181" w:type="dxa"/>
          </w:tcPr>
          <w:p>
            <w:pPr>
              <w:pStyle w:val="TableParagraph"/>
              <w:ind w:left="107"/>
              <w:rPr>
                <w:sz w:val="18"/>
              </w:rPr>
            </w:pPr>
            <w:r>
              <w:rPr>
                <w:sz w:val="18"/>
              </w:rPr>
              <w:t>Kettle</w:t>
            </w:r>
            <w:r>
              <w:rPr>
                <w:spacing w:val="-3"/>
                <w:sz w:val="18"/>
              </w:rPr>
              <w:t> </w:t>
            </w:r>
            <w:r>
              <w:rPr>
                <w:sz w:val="18"/>
              </w:rPr>
              <w:t>Crest</w:t>
            </w:r>
            <w:r>
              <w:rPr>
                <w:spacing w:val="-3"/>
                <w:sz w:val="18"/>
              </w:rPr>
              <w:t> </w:t>
            </w:r>
            <w:r>
              <w:rPr>
                <w:sz w:val="18"/>
              </w:rPr>
              <w:t>Recreation</w:t>
            </w:r>
            <w:r>
              <w:rPr>
                <w:spacing w:val="-3"/>
                <w:sz w:val="18"/>
              </w:rPr>
              <w:t> </w:t>
            </w:r>
            <w:r>
              <w:rPr>
                <w:sz w:val="18"/>
              </w:rPr>
              <w:t>Area</w:t>
            </w:r>
            <w:r>
              <w:rPr>
                <w:spacing w:val="-5"/>
                <w:sz w:val="18"/>
              </w:rPr>
              <w:t> </w:t>
            </w:r>
            <w:r>
              <w:rPr>
                <w:spacing w:val="-2"/>
                <w:sz w:val="18"/>
              </w:rPr>
              <w:t>(KCRA)</w:t>
            </w:r>
          </w:p>
        </w:tc>
        <w:tc>
          <w:tcPr>
            <w:tcW w:w="5170" w:type="dxa"/>
          </w:tcPr>
          <w:p>
            <w:pPr>
              <w:pStyle w:val="TableParagraph"/>
              <w:ind w:left="11" w:right="1"/>
              <w:jc w:val="center"/>
              <w:rPr>
                <w:sz w:val="18"/>
              </w:rPr>
            </w:pPr>
            <w:r>
              <w:rPr>
                <w:spacing w:val="-4"/>
                <w:sz w:val="18"/>
              </w:rPr>
              <w:t>High</w:t>
            </w:r>
          </w:p>
        </w:tc>
      </w:tr>
      <w:tr>
        <w:trPr>
          <w:trHeight w:val="287" w:hRule="atLeast"/>
        </w:trPr>
        <w:tc>
          <w:tcPr>
            <w:tcW w:w="4181" w:type="dxa"/>
          </w:tcPr>
          <w:p>
            <w:pPr>
              <w:pStyle w:val="TableParagraph"/>
              <w:spacing w:before="42"/>
              <w:ind w:left="107"/>
              <w:rPr>
                <w:sz w:val="18"/>
              </w:rPr>
            </w:pPr>
            <w:r>
              <w:rPr>
                <w:sz w:val="18"/>
              </w:rPr>
              <w:t>Scenic</w:t>
            </w:r>
            <w:r>
              <w:rPr>
                <w:spacing w:val="-3"/>
                <w:sz w:val="18"/>
              </w:rPr>
              <w:t> </w:t>
            </w:r>
            <w:r>
              <w:rPr>
                <w:sz w:val="18"/>
              </w:rPr>
              <w:t>Byways</w:t>
            </w:r>
            <w:r>
              <w:rPr>
                <w:spacing w:val="-3"/>
                <w:sz w:val="18"/>
              </w:rPr>
              <w:t> </w:t>
            </w:r>
            <w:r>
              <w:rPr>
                <w:spacing w:val="-4"/>
                <w:sz w:val="18"/>
              </w:rPr>
              <w:t>(SB)</w:t>
            </w:r>
          </w:p>
        </w:tc>
        <w:tc>
          <w:tcPr>
            <w:tcW w:w="5170" w:type="dxa"/>
          </w:tcPr>
          <w:p>
            <w:pPr>
              <w:pStyle w:val="TableParagraph"/>
              <w:spacing w:before="42"/>
              <w:ind w:left="11" w:right="1"/>
              <w:jc w:val="center"/>
              <w:rPr>
                <w:sz w:val="18"/>
              </w:rPr>
            </w:pPr>
            <w:r>
              <w:rPr>
                <w:spacing w:val="-4"/>
                <w:sz w:val="18"/>
              </w:rPr>
              <w:t>High</w:t>
            </w:r>
          </w:p>
        </w:tc>
      </w:tr>
      <w:tr>
        <w:trPr>
          <w:trHeight w:val="287" w:hRule="atLeast"/>
        </w:trPr>
        <w:tc>
          <w:tcPr>
            <w:tcW w:w="4181" w:type="dxa"/>
          </w:tcPr>
          <w:p>
            <w:pPr>
              <w:pStyle w:val="TableParagraph"/>
              <w:ind w:left="107"/>
              <w:rPr>
                <w:sz w:val="18"/>
              </w:rPr>
            </w:pPr>
            <w:r>
              <w:rPr>
                <w:sz w:val="18"/>
              </w:rPr>
              <w:t>Wilderness</w:t>
            </w:r>
            <w:r>
              <w:rPr>
                <w:spacing w:val="-4"/>
                <w:sz w:val="18"/>
              </w:rPr>
              <w:t> </w:t>
            </w:r>
            <w:r>
              <w:rPr>
                <w:sz w:val="18"/>
              </w:rPr>
              <w:t>–</w:t>
            </w:r>
            <w:r>
              <w:rPr>
                <w:spacing w:val="-6"/>
                <w:sz w:val="18"/>
              </w:rPr>
              <w:t> </w:t>
            </w:r>
            <w:r>
              <w:rPr>
                <w:sz w:val="18"/>
              </w:rPr>
              <w:t>Congressionally</w:t>
            </w:r>
            <w:r>
              <w:rPr>
                <w:spacing w:val="-9"/>
                <w:sz w:val="18"/>
              </w:rPr>
              <w:t> </w:t>
            </w:r>
            <w:r>
              <w:rPr>
                <w:sz w:val="18"/>
              </w:rPr>
              <w:t>Designated</w:t>
            </w:r>
            <w:r>
              <w:rPr>
                <w:spacing w:val="-3"/>
                <w:sz w:val="18"/>
              </w:rPr>
              <w:t> </w:t>
            </w:r>
            <w:r>
              <w:rPr>
                <w:spacing w:val="-5"/>
                <w:sz w:val="18"/>
              </w:rPr>
              <w:t>(W)</w:t>
            </w:r>
          </w:p>
        </w:tc>
        <w:tc>
          <w:tcPr>
            <w:tcW w:w="5170" w:type="dxa"/>
          </w:tcPr>
          <w:p>
            <w:pPr>
              <w:pStyle w:val="TableParagraph"/>
              <w:ind w:left="11" w:right="3"/>
              <w:jc w:val="center"/>
              <w:rPr>
                <w:sz w:val="18"/>
              </w:rPr>
            </w:pPr>
            <w:r>
              <w:rPr>
                <w:sz w:val="18"/>
              </w:rPr>
              <w:t>Very</w:t>
            </w:r>
            <w:r>
              <w:rPr>
                <w:spacing w:val="-2"/>
                <w:sz w:val="18"/>
              </w:rPr>
              <w:t> </w:t>
            </w:r>
            <w:r>
              <w:rPr>
                <w:spacing w:val="-4"/>
                <w:sz w:val="18"/>
              </w:rPr>
              <w:t>High</w:t>
            </w:r>
          </w:p>
        </w:tc>
      </w:tr>
      <w:tr>
        <w:trPr>
          <w:trHeight w:val="287" w:hRule="atLeast"/>
        </w:trPr>
        <w:tc>
          <w:tcPr>
            <w:tcW w:w="4181" w:type="dxa"/>
          </w:tcPr>
          <w:p>
            <w:pPr>
              <w:pStyle w:val="TableParagraph"/>
              <w:ind w:left="107"/>
              <w:rPr>
                <w:sz w:val="18"/>
              </w:rPr>
            </w:pPr>
            <w:r>
              <w:rPr>
                <w:sz w:val="18"/>
              </w:rPr>
              <w:t>Recommended</w:t>
            </w:r>
            <w:r>
              <w:rPr>
                <w:spacing w:val="41"/>
                <w:sz w:val="18"/>
              </w:rPr>
              <w:t> </w:t>
            </w:r>
            <w:r>
              <w:rPr>
                <w:sz w:val="18"/>
              </w:rPr>
              <w:t>Wilderness</w:t>
            </w:r>
            <w:r>
              <w:rPr>
                <w:spacing w:val="48"/>
                <w:sz w:val="18"/>
              </w:rPr>
              <w:t> </w:t>
            </w:r>
            <w:r>
              <w:rPr>
                <w:spacing w:val="-4"/>
                <w:sz w:val="18"/>
              </w:rPr>
              <w:t>(RW)</w:t>
            </w:r>
          </w:p>
        </w:tc>
        <w:tc>
          <w:tcPr>
            <w:tcW w:w="5170" w:type="dxa"/>
          </w:tcPr>
          <w:p>
            <w:pPr>
              <w:pStyle w:val="TableParagraph"/>
              <w:ind w:left="11" w:right="4"/>
              <w:jc w:val="center"/>
              <w:rPr>
                <w:sz w:val="18"/>
              </w:rPr>
            </w:pPr>
            <w:r>
              <w:rPr>
                <w:sz w:val="18"/>
              </w:rPr>
              <w:t>Very</w:t>
            </w:r>
            <w:r>
              <w:rPr>
                <w:spacing w:val="-2"/>
                <w:sz w:val="18"/>
              </w:rPr>
              <w:t> </w:t>
            </w:r>
            <w:r>
              <w:rPr>
                <w:spacing w:val="-4"/>
                <w:sz w:val="18"/>
              </w:rPr>
              <w:t>High</w:t>
            </w:r>
          </w:p>
        </w:tc>
      </w:tr>
      <w:tr>
        <w:trPr>
          <w:trHeight w:val="285" w:hRule="atLeast"/>
        </w:trPr>
        <w:tc>
          <w:tcPr>
            <w:tcW w:w="4181" w:type="dxa"/>
          </w:tcPr>
          <w:p>
            <w:pPr>
              <w:pStyle w:val="TableParagraph"/>
              <w:ind w:left="107"/>
              <w:rPr>
                <w:sz w:val="18"/>
              </w:rPr>
            </w:pPr>
            <w:r>
              <w:rPr>
                <w:sz w:val="18"/>
              </w:rPr>
              <w:t>Administrative</w:t>
            </w:r>
            <w:r>
              <w:rPr>
                <w:spacing w:val="-3"/>
                <w:sz w:val="18"/>
              </w:rPr>
              <w:t> </w:t>
            </w:r>
            <w:r>
              <w:rPr>
                <w:sz w:val="18"/>
              </w:rPr>
              <w:t>and</w:t>
            </w:r>
            <w:r>
              <w:rPr>
                <w:spacing w:val="-3"/>
                <w:sz w:val="18"/>
              </w:rPr>
              <w:t> </w:t>
            </w:r>
            <w:r>
              <w:rPr>
                <w:sz w:val="18"/>
              </w:rPr>
              <w:t>Recreation</w:t>
            </w:r>
            <w:r>
              <w:rPr>
                <w:spacing w:val="-7"/>
                <w:sz w:val="18"/>
              </w:rPr>
              <w:t> </w:t>
            </w:r>
            <w:r>
              <w:rPr>
                <w:sz w:val="18"/>
              </w:rPr>
              <w:t>Sites</w:t>
            </w:r>
            <w:r>
              <w:rPr>
                <w:spacing w:val="-3"/>
                <w:sz w:val="18"/>
              </w:rPr>
              <w:t> </w:t>
            </w:r>
            <w:r>
              <w:rPr>
                <w:spacing w:val="-4"/>
                <w:sz w:val="18"/>
              </w:rPr>
              <w:t>(ARS)</w:t>
            </w:r>
          </w:p>
        </w:tc>
        <w:tc>
          <w:tcPr>
            <w:tcW w:w="5170" w:type="dxa"/>
          </w:tcPr>
          <w:p>
            <w:pPr>
              <w:pStyle w:val="TableParagraph"/>
              <w:ind w:left="11" w:right="1"/>
              <w:jc w:val="center"/>
              <w:rPr>
                <w:sz w:val="18"/>
              </w:rPr>
            </w:pPr>
            <w:r>
              <w:rPr>
                <w:spacing w:val="-2"/>
                <w:sz w:val="18"/>
              </w:rPr>
              <w:t>Low/Moderate/High</w:t>
            </w:r>
          </w:p>
        </w:tc>
      </w:tr>
      <w:tr>
        <w:trPr>
          <w:trHeight w:val="287" w:hRule="atLeast"/>
        </w:trPr>
        <w:tc>
          <w:tcPr>
            <w:tcW w:w="4181" w:type="dxa"/>
          </w:tcPr>
          <w:p>
            <w:pPr>
              <w:pStyle w:val="TableParagraph"/>
              <w:ind w:left="107"/>
              <w:rPr>
                <w:sz w:val="18"/>
              </w:rPr>
            </w:pPr>
            <w:r>
              <w:rPr>
                <w:sz w:val="18"/>
              </w:rPr>
              <w:t>Nationally</w:t>
            </w:r>
            <w:r>
              <w:rPr>
                <w:spacing w:val="-6"/>
                <w:sz w:val="18"/>
              </w:rPr>
              <w:t> </w:t>
            </w:r>
            <w:r>
              <w:rPr>
                <w:sz w:val="18"/>
              </w:rPr>
              <w:t>Designated</w:t>
            </w:r>
            <w:r>
              <w:rPr>
                <w:spacing w:val="-6"/>
                <w:sz w:val="18"/>
              </w:rPr>
              <w:t> </w:t>
            </w:r>
            <w:r>
              <w:rPr>
                <w:sz w:val="18"/>
              </w:rPr>
              <w:t>Trails</w:t>
            </w:r>
            <w:r>
              <w:rPr>
                <w:spacing w:val="-3"/>
                <w:sz w:val="18"/>
              </w:rPr>
              <w:t> </w:t>
            </w:r>
            <w:r>
              <w:rPr>
                <w:spacing w:val="-4"/>
                <w:sz w:val="18"/>
              </w:rPr>
              <w:t>(NT)</w:t>
            </w:r>
          </w:p>
        </w:tc>
        <w:tc>
          <w:tcPr>
            <w:tcW w:w="5170" w:type="dxa"/>
          </w:tcPr>
          <w:p>
            <w:pPr>
              <w:pStyle w:val="TableParagraph"/>
              <w:ind w:left="11" w:right="1"/>
              <w:jc w:val="center"/>
              <w:rPr>
                <w:sz w:val="18"/>
              </w:rPr>
            </w:pPr>
            <w:r>
              <w:rPr>
                <w:spacing w:val="-4"/>
                <w:sz w:val="18"/>
              </w:rPr>
              <w:t>High</w:t>
            </w:r>
          </w:p>
        </w:tc>
      </w:tr>
      <w:tr>
        <w:trPr>
          <w:trHeight w:val="287" w:hRule="atLeast"/>
        </w:trPr>
        <w:tc>
          <w:tcPr>
            <w:tcW w:w="4181" w:type="dxa"/>
          </w:tcPr>
          <w:p>
            <w:pPr>
              <w:pStyle w:val="TableParagraph"/>
              <w:ind w:left="107"/>
              <w:rPr>
                <w:sz w:val="18"/>
              </w:rPr>
            </w:pPr>
            <w:r>
              <w:rPr>
                <w:sz w:val="18"/>
              </w:rPr>
              <w:t>Riparian</w:t>
            </w:r>
            <w:r>
              <w:rPr>
                <w:spacing w:val="-4"/>
                <w:sz w:val="18"/>
              </w:rPr>
              <w:t> </w:t>
            </w:r>
            <w:r>
              <w:rPr>
                <w:sz w:val="18"/>
              </w:rPr>
              <w:t>Management</w:t>
            </w:r>
            <w:r>
              <w:rPr>
                <w:spacing w:val="-4"/>
                <w:sz w:val="18"/>
              </w:rPr>
              <w:t> </w:t>
            </w:r>
            <w:r>
              <w:rPr>
                <w:sz w:val="18"/>
              </w:rPr>
              <w:t>Area</w:t>
            </w:r>
            <w:r>
              <w:rPr>
                <w:spacing w:val="-4"/>
                <w:sz w:val="18"/>
              </w:rPr>
              <w:t> (RMA)</w:t>
            </w:r>
          </w:p>
        </w:tc>
        <w:tc>
          <w:tcPr>
            <w:tcW w:w="5170" w:type="dxa"/>
          </w:tcPr>
          <w:p>
            <w:pPr>
              <w:pStyle w:val="TableParagraph"/>
              <w:ind w:left="11" w:right="1"/>
              <w:jc w:val="center"/>
              <w:rPr>
                <w:sz w:val="18"/>
              </w:rPr>
            </w:pPr>
            <w:r>
              <w:rPr>
                <w:spacing w:val="-2"/>
                <w:sz w:val="18"/>
              </w:rPr>
              <w:t>Low/Moderate/High</w:t>
            </w:r>
          </w:p>
        </w:tc>
      </w:tr>
      <w:tr>
        <w:trPr>
          <w:trHeight w:val="287" w:hRule="atLeast"/>
        </w:trPr>
        <w:tc>
          <w:tcPr>
            <w:tcW w:w="4181" w:type="dxa"/>
          </w:tcPr>
          <w:p>
            <w:pPr>
              <w:pStyle w:val="TableParagraph"/>
              <w:ind w:left="107"/>
              <w:rPr>
                <w:sz w:val="18"/>
              </w:rPr>
            </w:pPr>
            <w:r>
              <w:rPr>
                <w:sz w:val="18"/>
              </w:rPr>
              <w:t>Wild</w:t>
            </w:r>
            <w:r>
              <w:rPr>
                <w:spacing w:val="-5"/>
                <w:sz w:val="18"/>
              </w:rPr>
              <w:t> </w:t>
            </w:r>
            <w:r>
              <w:rPr>
                <w:sz w:val="18"/>
              </w:rPr>
              <w:t>and</w:t>
            </w:r>
            <w:r>
              <w:rPr>
                <w:spacing w:val="-3"/>
                <w:sz w:val="18"/>
              </w:rPr>
              <w:t> </w:t>
            </w:r>
            <w:r>
              <w:rPr>
                <w:sz w:val="18"/>
              </w:rPr>
              <w:t>Scenic</w:t>
            </w:r>
            <w:r>
              <w:rPr>
                <w:spacing w:val="-2"/>
                <w:sz w:val="18"/>
              </w:rPr>
              <w:t> </w:t>
            </w:r>
            <w:r>
              <w:rPr>
                <w:sz w:val="18"/>
              </w:rPr>
              <w:t>Rivers</w:t>
            </w:r>
            <w:r>
              <w:rPr>
                <w:spacing w:val="-2"/>
                <w:sz w:val="18"/>
              </w:rPr>
              <w:t> </w:t>
            </w:r>
            <w:r>
              <w:rPr>
                <w:sz w:val="18"/>
              </w:rPr>
              <w:t>(eligible)</w:t>
            </w:r>
            <w:r>
              <w:rPr>
                <w:spacing w:val="-3"/>
                <w:sz w:val="18"/>
              </w:rPr>
              <w:t> </w:t>
            </w:r>
            <w:r>
              <w:rPr>
                <w:spacing w:val="-4"/>
                <w:sz w:val="18"/>
              </w:rPr>
              <w:t>(WSR)</w:t>
            </w:r>
          </w:p>
        </w:tc>
        <w:tc>
          <w:tcPr>
            <w:tcW w:w="5170" w:type="dxa"/>
          </w:tcPr>
          <w:p>
            <w:pPr>
              <w:pStyle w:val="TableParagraph"/>
              <w:ind w:left="11"/>
              <w:jc w:val="center"/>
              <w:rPr>
                <w:i/>
                <w:sz w:val="18"/>
              </w:rPr>
            </w:pPr>
            <w:r>
              <w:rPr>
                <w:i/>
                <w:sz w:val="18"/>
              </w:rPr>
              <w:t>(see</w:t>
            </w:r>
            <w:r>
              <w:rPr>
                <w:i/>
                <w:spacing w:val="-7"/>
                <w:sz w:val="18"/>
              </w:rPr>
              <w:t> </w:t>
            </w:r>
            <w:r>
              <w:rPr>
                <w:i/>
                <w:spacing w:val="-2"/>
                <w:sz w:val="18"/>
              </w:rPr>
              <w:t>below)</w:t>
            </w:r>
          </w:p>
        </w:tc>
      </w:tr>
      <w:tr>
        <w:trPr>
          <w:trHeight w:val="285" w:hRule="atLeast"/>
        </w:trPr>
        <w:tc>
          <w:tcPr>
            <w:tcW w:w="4181" w:type="dxa"/>
          </w:tcPr>
          <w:p>
            <w:pPr>
              <w:pStyle w:val="TableParagraph"/>
              <w:ind w:left="719"/>
              <w:rPr>
                <w:sz w:val="18"/>
              </w:rPr>
            </w:pPr>
            <w:r>
              <w:rPr>
                <w:sz w:val="18"/>
              </w:rPr>
              <w:t>Wild</w:t>
            </w:r>
            <w:r>
              <w:rPr>
                <w:spacing w:val="2"/>
                <w:sz w:val="18"/>
              </w:rPr>
              <w:t> </w:t>
            </w:r>
            <w:r>
              <w:rPr>
                <w:spacing w:val="-2"/>
                <w:sz w:val="18"/>
              </w:rPr>
              <w:t>Segment</w:t>
            </w:r>
          </w:p>
        </w:tc>
        <w:tc>
          <w:tcPr>
            <w:tcW w:w="5170" w:type="dxa"/>
          </w:tcPr>
          <w:p>
            <w:pPr>
              <w:pStyle w:val="TableParagraph"/>
              <w:ind w:left="11" w:right="3"/>
              <w:jc w:val="center"/>
              <w:rPr>
                <w:sz w:val="18"/>
              </w:rPr>
            </w:pPr>
            <w:r>
              <w:rPr>
                <w:sz w:val="18"/>
              </w:rPr>
              <w:t>Very</w:t>
            </w:r>
            <w:r>
              <w:rPr>
                <w:spacing w:val="-2"/>
                <w:sz w:val="18"/>
              </w:rPr>
              <w:t> </w:t>
            </w:r>
            <w:r>
              <w:rPr>
                <w:spacing w:val="-4"/>
                <w:sz w:val="18"/>
              </w:rPr>
              <w:t>High</w:t>
            </w:r>
          </w:p>
        </w:tc>
      </w:tr>
      <w:tr>
        <w:trPr>
          <w:trHeight w:val="287" w:hRule="atLeast"/>
        </w:trPr>
        <w:tc>
          <w:tcPr>
            <w:tcW w:w="4181" w:type="dxa"/>
          </w:tcPr>
          <w:p>
            <w:pPr>
              <w:pStyle w:val="TableParagraph"/>
              <w:ind w:left="719"/>
              <w:rPr>
                <w:sz w:val="18"/>
              </w:rPr>
            </w:pPr>
            <w:r>
              <w:rPr>
                <w:sz w:val="18"/>
              </w:rPr>
              <w:t>Scenic</w:t>
            </w:r>
            <w:r>
              <w:rPr>
                <w:spacing w:val="-3"/>
                <w:sz w:val="18"/>
              </w:rPr>
              <w:t> </w:t>
            </w:r>
            <w:r>
              <w:rPr>
                <w:sz w:val="18"/>
              </w:rPr>
              <w:t>Segment</w:t>
            </w:r>
            <w:r>
              <w:rPr>
                <w:spacing w:val="-3"/>
                <w:sz w:val="18"/>
              </w:rPr>
              <w:t> </w:t>
            </w:r>
            <w:r>
              <w:rPr>
                <w:sz w:val="18"/>
              </w:rPr>
              <w:t>(None</w:t>
            </w:r>
            <w:r>
              <w:rPr>
                <w:spacing w:val="-3"/>
                <w:sz w:val="18"/>
              </w:rPr>
              <w:t> </w:t>
            </w:r>
            <w:r>
              <w:rPr>
                <w:spacing w:val="-2"/>
                <w:sz w:val="18"/>
              </w:rPr>
              <w:t>Proposed)</w:t>
            </w:r>
          </w:p>
        </w:tc>
        <w:tc>
          <w:tcPr>
            <w:tcW w:w="5170" w:type="dxa"/>
          </w:tcPr>
          <w:p>
            <w:pPr>
              <w:pStyle w:val="TableParagraph"/>
              <w:ind w:left="11" w:right="1"/>
              <w:jc w:val="center"/>
              <w:rPr>
                <w:sz w:val="18"/>
              </w:rPr>
            </w:pPr>
            <w:r>
              <w:rPr>
                <w:spacing w:val="-4"/>
                <w:sz w:val="18"/>
              </w:rPr>
              <w:t>High</w:t>
            </w:r>
          </w:p>
        </w:tc>
      </w:tr>
      <w:tr>
        <w:trPr>
          <w:trHeight w:val="287" w:hRule="atLeast"/>
        </w:trPr>
        <w:tc>
          <w:tcPr>
            <w:tcW w:w="4181" w:type="dxa"/>
          </w:tcPr>
          <w:p>
            <w:pPr>
              <w:pStyle w:val="TableParagraph"/>
              <w:ind w:left="712"/>
              <w:rPr>
                <w:sz w:val="18"/>
              </w:rPr>
            </w:pPr>
            <w:r>
              <w:rPr>
                <w:sz w:val="18"/>
              </w:rPr>
              <w:t>Recreation</w:t>
            </w:r>
            <w:r>
              <w:rPr>
                <w:spacing w:val="-3"/>
                <w:sz w:val="18"/>
              </w:rPr>
              <w:t> </w:t>
            </w:r>
            <w:r>
              <w:rPr>
                <w:spacing w:val="-2"/>
                <w:sz w:val="18"/>
              </w:rPr>
              <w:t>Segment</w:t>
            </w:r>
          </w:p>
        </w:tc>
        <w:tc>
          <w:tcPr>
            <w:tcW w:w="5170" w:type="dxa"/>
          </w:tcPr>
          <w:p>
            <w:pPr>
              <w:pStyle w:val="TableParagraph"/>
              <w:ind w:left="11" w:right="1"/>
              <w:jc w:val="center"/>
              <w:rPr>
                <w:sz w:val="18"/>
              </w:rPr>
            </w:pPr>
            <w:r>
              <w:rPr>
                <w:spacing w:val="-4"/>
                <w:sz w:val="18"/>
              </w:rPr>
              <w:t>High</w:t>
            </w:r>
          </w:p>
        </w:tc>
      </w:tr>
    </w:tbl>
    <w:p>
      <w:pPr>
        <w:pStyle w:val="TableParagraph"/>
        <w:spacing w:after="0"/>
        <w:jc w:val="center"/>
        <w:rPr>
          <w:sz w:val="18"/>
        </w:rPr>
        <w:sectPr>
          <w:headerReference w:type="even" r:id="rId109"/>
          <w:pgSz w:w="12240" w:h="15840"/>
          <w:pgMar w:header="725" w:footer="0" w:top="960" w:bottom="1080" w:left="1080" w:right="1080"/>
        </w:sectPr>
      </w:pPr>
    </w:p>
    <w:p>
      <w:pPr>
        <w:spacing w:before="79"/>
        <w:ind w:left="4809" w:right="0" w:firstLine="0"/>
        <w:jc w:val="left"/>
        <w:rPr>
          <w:rFonts w:ascii="Arial"/>
          <w:b/>
          <w:sz w:val="18"/>
        </w:rPr>
      </w:pPr>
      <w:r>
        <w:rPr>
          <w:rFonts w:ascii="Arial"/>
          <w:b/>
          <w:sz w:val="18"/>
        </w:rPr>
        <mc:AlternateContent>
          <mc:Choice Requires="wps">
            <w:drawing>
              <wp:anchor distT="0" distB="0" distL="0" distR="0" allowOverlap="1" layoutInCell="1" locked="0" behindDoc="0" simplePos="0" relativeHeight="15783424">
                <wp:simplePos x="0" y="0"/>
                <wp:positionH relativeFrom="page">
                  <wp:posOffset>896111</wp:posOffset>
                </wp:positionH>
                <wp:positionV relativeFrom="page">
                  <wp:posOffset>600455</wp:posOffset>
                </wp:positionV>
                <wp:extent cx="8266430" cy="12700"/>
                <wp:effectExtent l="0" t="0" r="0" b="0"/>
                <wp:wrapNone/>
                <wp:docPr id="335" name="Graphic 335"/>
                <wp:cNvGraphicFramePr>
                  <a:graphicFrameLocks/>
                </wp:cNvGraphicFramePr>
                <a:graphic>
                  <a:graphicData uri="http://schemas.microsoft.com/office/word/2010/wordprocessingShape">
                    <wps:wsp>
                      <wps:cNvPr id="335" name="Graphic 335"/>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15783424" id="docshape319" filled="true" fillcolor="#283014" stroked="false">
                <v:fill type="solid"/>
                <w10:wrap type="none"/>
              </v:rect>
            </w:pict>
          </mc:Fallback>
        </mc:AlternateContent>
      </w:r>
      <w:r>
        <w:rPr>
          <w:rFonts w:ascii="Arial"/>
          <w:b/>
          <w:sz w:val="18"/>
        </w:rPr>
        <mc:AlternateContent>
          <mc:Choice Requires="wps">
            <w:drawing>
              <wp:anchor distT="0" distB="0" distL="0" distR="0" allowOverlap="1" layoutInCell="1" locked="0" behindDoc="0" simplePos="0" relativeHeight="15783936">
                <wp:simplePos x="0" y="0"/>
                <wp:positionH relativeFrom="page">
                  <wp:posOffset>896111</wp:posOffset>
                </wp:positionH>
                <wp:positionV relativeFrom="page">
                  <wp:posOffset>7028688</wp:posOffset>
                </wp:positionV>
                <wp:extent cx="8266430" cy="12700"/>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15783936" id="docshape320" filled="true" fillcolor="#000000" stroked="false">
                <v:fill type="solid"/>
                <w10:wrap type="none"/>
              </v:rect>
            </w:pict>
          </mc:Fallback>
        </mc:AlternateContent>
      </w: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p>
      <w:pPr>
        <w:pStyle w:val="BodyText"/>
        <w:rPr>
          <w:rFonts w:ascii="Arial"/>
          <w:b/>
          <w:sz w:val="20"/>
        </w:rPr>
      </w:pPr>
    </w:p>
    <w:p>
      <w:pPr>
        <w:pStyle w:val="BodyText"/>
        <w:spacing w:before="30"/>
        <w:rPr>
          <w:rFonts w:ascii="Arial"/>
          <w:b/>
          <w:sz w:val="20"/>
        </w:rPr>
      </w:pPr>
      <w:r>
        <w:rPr>
          <w:rFonts w:ascii="Arial"/>
          <w:b/>
          <w:sz w:val="20"/>
        </w:rPr>
        <w:drawing>
          <wp:anchor distT="0" distB="0" distL="0" distR="0" allowOverlap="1" layoutInCell="1" locked="0" behindDoc="1" simplePos="0" relativeHeight="487642112">
            <wp:simplePos x="0" y="0"/>
            <wp:positionH relativeFrom="page">
              <wp:posOffset>914400</wp:posOffset>
            </wp:positionH>
            <wp:positionV relativeFrom="paragraph">
              <wp:posOffset>180363</wp:posOffset>
            </wp:positionV>
            <wp:extent cx="7227660" cy="5726620"/>
            <wp:effectExtent l="0" t="0" r="0" b="0"/>
            <wp:wrapTopAndBottom/>
            <wp:docPr id="337" name="Image 337" descr="Map showing Colville National Forest scenic integrity objectives"/>
            <wp:cNvGraphicFramePr>
              <a:graphicFrameLocks/>
            </wp:cNvGraphicFramePr>
            <a:graphic>
              <a:graphicData uri="http://schemas.openxmlformats.org/drawingml/2006/picture">
                <pic:pic>
                  <pic:nvPicPr>
                    <pic:cNvPr id="337" name="Image 337" descr="Map showing Colville National Forest scenic integrity objectives"/>
                    <pic:cNvPicPr/>
                  </pic:nvPicPr>
                  <pic:blipFill>
                    <a:blip r:embed="rId113" cstate="print"/>
                    <a:stretch>
                      <a:fillRect/>
                    </a:stretch>
                  </pic:blipFill>
                  <pic:spPr>
                    <a:xfrm>
                      <a:off x="0" y="0"/>
                      <a:ext cx="7227660" cy="5726620"/>
                    </a:xfrm>
                    <a:prstGeom prst="rect">
                      <a:avLst/>
                    </a:prstGeom>
                  </pic:spPr>
                </pic:pic>
              </a:graphicData>
            </a:graphic>
          </wp:anchor>
        </w:drawing>
      </w:r>
    </w:p>
    <w:p>
      <w:pPr>
        <w:spacing w:before="36"/>
        <w:ind w:left="360" w:right="0" w:firstLine="0"/>
        <w:jc w:val="left"/>
        <w:rPr>
          <w:rFonts w:ascii="Arial"/>
          <w:b/>
          <w:sz w:val="18"/>
        </w:rPr>
      </w:pPr>
      <w:bookmarkStart w:name="_bookmark311" w:id="988"/>
      <w:bookmarkEnd w:id="988"/>
      <w:r>
        <w:rPr/>
      </w:r>
      <w:r>
        <w:rPr>
          <w:rFonts w:ascii="Arial"/>
          <w:b/>
          <w:color w:val="283014"/>
          <w:sz w:val="18"/>
        </w:rPr>
        <w:t>Figure</w:t>
      </w:r>
      <w:r>
        <w:rPr>
          <w:rFonts w:ascii="Arial"/>
          <w:b/>
          <w:color w:val="283014"/>
          <w:spacing w:val="-2"/>
          <w:sz w:val="18"/>
        </w:rPr>
        <w:t> </w:t>
      </w:r>
      <w:r>
        <w:rPr>
          <w:rFonts w:ascii="Arial"/>
          <w:b/>
          <w:color w:val="283014"/>
          <w:sz w:val="18"/>
        </w:rPr>
        <w:t>D-1.</w:t>
      </w:r>
      <w:r>
        <w:rPr>
          <w:rFonts w:ascii="Arial"/>
          <w:b/>
          <w:color w:val="283014"/>
          <w:spacing w:val="-3"/>
          <w:sz w:val="18"/>
        </w:rPr>
        <w:t> </w:t>
      </w:r>
      <w:r>
        <w:rPr>
          <w:rFonts w:ascii="Arial"/>
          <w:b/>
          <w:color w:val="283014"/>
          <w:sz w:val="18"/>
        </w:rPr>
        <w:t>Colville</w:t>
      </w:r>
      <w:r>
        <w:rPr>
          <w:rFonts w:ascii="Arial"/>
          <w:b/>
          <w:color w:val="283014"/>
          <w:spacing w:val="-1"/>
          <w:sz w:val="18"/>
        </w:rPr>
        <w:t> </w:t>
      </w:r>
      <w:r>
        <w:rPr>
          <w:rFonts w:ascii="Arial"/>
          <w:b/>
          <w:color w:val="283014"/>
          <w:sz w:val="18"/>
        </w:rPr>
        <w:t>National</w:t>
      </w:r>
      <w:r>
        <w:rPr>
          <w:rFonts w:ascii="Arial"/>
          <w:b/>
          <w:color w:val="283014"/>
          <w:spacing w:val="-5"/>
          <w:sz w:val="18"/>
        </w:rPr>
        <w:t> </w:t>
      </w:r>
      <w:r>
        <w:rPr>
          <w:rFonts w:ascii="Arial"/>
          <w:b/>
          <w:color w:val="283014"/>
          <w:sz w:val="18"/>
        </w:rPr>
        <w:t>Forest</w:t>
      </w:r>
      <w:r>
        <w:rPr>
          <w:rFonts w:ascii="Arial"/>
          <w:b/>
          <w:color w:val="283014"/>
          <w:spacing w:val="-2"/>
          <w:sz w:val="18"/>
        </w:rPr>
        <w:t> </w:t>
      </w:r>
      <w:r>
        <w:rPr>
          <w:rFonts w:ascii="Arial"/>
          <w:b/>
          <w:color w:val="283014"/>
          <w:sz w:val="18"/>
        </w:rPr>
        <w:t>scenic</w:t>
      </w:r>
      <w:r>
        <w:rPr>
          <w:rFonts w:ascii="Arial"/>
          <w:b/>
          <w:color w:val="283014"/>
          <w:spacing w:val="-5"/>
          <w:sz w:val="18"/>
        </w:rPr>
        <w:t> </w:t>
      </w:r>
      <w:r>
        <w:rPr>
          <w:rFonts w:ascii="Arial"/>
          <w:b/>
          <w:color w:val="283014"/>
          <w:sz w:val="18"/>
        </w:rPr>
        <w:t>integrity</w:t>
      </w:r>
      <w:r>
        <w:rPr>
          <w:rFonts w:ascii="Arial"/>
          <w:b/>
          <w:color w:val="283014"/>
          <w:spacing w:val="-11"/>
          <w:sz w:val="18"/>
        </w:rPr>
        <w:t> </w:t>
      </w:r>
      <w:r>
        <w:rPr>
          <w:rFonts w:ascii="Arial"/>
          <w:b/>
          <w:color w:val="283014"/>
          <w:spacing w:val="-2"/>
          <w:sz w:val="18"/>
        </w:rPr>
        <w:t>objectives</w:t>
      </w:r>
    </w:p>
    <w:p>
      <w:pPr>
        <w:spacing w:after="0"/>
        <w:jc w:val="left"/>
        <w:rPr>
          <w:rFonts w:ascii="Arial"/>
          <w:b/>
          <w:sz w:val="18"/>
        </w:rPr>
        <w:sectPr>
          <w:headerReference w:type="default" r:id="rId110"/>
          <w:footerReference w:type="default" r:id="rId111"/>
          <w:footerReference w:type="even" r:id="rId112"/>
          <w:pgSz w:w="15840" w:h="12240" w:orient="landscape"/>
          <w:pgMar w:header="0" w:footer="928" w:top="640" w:bottom="1120" w:left="1080" w:right="2160"/>
          <w:pgNumType w:start="195"/>
        </w:sectPr>
      </w:pPr>
    </w:p>
    <w:p>
      <w:pPr>
        <w:pStyle w:val="BodyText"/>
        <w:spacing w:before="4"/>
        <w:rPr>
          <w:rFonts w:ascii="Arial"/>
          <w:b/>
          <w:sz w:val="7"/>
        </w:rPr>
      </w:pPr>
    </w:p>
    <w:p>
      <w:pPr>
        <w:pStyle w:val="BodyText"/>
        <w:rPr>
          <w:rFonts w:ascii="Arial"/>
          <w:sz w:val="20"/>
        </w:rPr>
      </w:pPr>
      <w:r>
        <w:rPr>
          <w:rFonts w:ascii="Arial"/>
          <w:sz w:val="20"/>
        </w:rPr>
        <w:drawing>
          <wp:inline distT="0" distB="0" distL="0" distR="0">
            <wp:extent cx="5633746" cy="7936992"/>
            <wp:effectExtent l="0" t="0" r="0" b="0"/>
            <wp:docPr id="342" name="Image 342" descr="Map showing Republic Ranger District scenic integrity objectives"/>
            <wp:cNvGraphicFramePr>
              <a:graphicFrameLocks/>
            </wp:cNvGraphicFramePr>
            <a:graphic>
              <a:graphicData uri="http://schemas.openxmlformats.org/drawingml/2006/picture">
                <pic:pic>
                  <pic:nvPicPr>
                    <pic:cNvPr id="342" name="Image 342" descr="Map showing Republic Ranger District scenic integrity objectives"/>
                    <pic:cNvPicPr/>
                  </pic:nvPicPr>
                  <pic:blipFill>
                    <a:blip r:embed="rId116" cstate="print"/>
                    <a:stretch>
                      <a:fillRect/>
                    </a:stretch>
                  </pic:blipFill>
                  <pic:spPr>
                    <a:xfrm>
                      <a:off x="0" y="0"/>
                      <a:ext cx="5633746" cy="7936992"/>
                    </a:xfrm>
                    <a:prstGeom prst="rect">
                      <a:avLst/>
                    </a:prstGeom>
                  </pic:spPr>
                </pic:pic>
              </a:graphicData>
            </a:graphic>
          </wp:inline>
        </w:drawing>
      </w:r>
      <w:r>
        <w:rPr>
          <w:rFonts w:ascii="Arial"/>
          <w:sz w:val="20"/>
        </w:rPr>
      </w:r>
    </w:p>
    <w:p>
      <w:pPr>
        <w:spacing w:before="32"/>
        <w:ind w:left="0" w:right="0" w:firstLine="0"/>
        <w:jc w:val="left"/>
        <w:rPr>
          <w:rFonts w:ascii="Arial"/>
          <w:b/>
          <w:sz w:val="18"/>
        </w:rPr>
      </w:pPr>
      <w:bookmarkStart w:name="_bookmark312" w:id="989"/>
      <w:bookmarkEnd w:id="989"/>
      <w:r>
        <w:rPr/>
      </w:r>
      <w:r>
        <w:rPr>
          <w:rFonts w:ascii="Arial"/>
          <w:b/>
          <w:color w:val="283014"/>
          <w:sz w:val="18"/>
        </w:rPr>
        <w:t>Figure</w:t>
      </w:r>
      <w:r>
        <w:rPr>
          <w:rFonts w:ascii="Arial"/>
          <w:b/>
          <w:color w:val="283014"/>
          <w:spacing w:val="-3"/>
          <w:sz w:val="18"/>
        </w:rPr>
        <w:t> </w:t>
      </w:r>
      <w:r>
        <w:rPr>
          <w:rFonts w:ascii="Arial"/>
          <w:b/>
          <w:color w:val="283014"/>
          <w:sz w:val="18"/>
        </w:rPr>
        <w:t>D-2.</w:t>
      </w:r>
      <w:r>
        <w:rPr>
          <w:rFonts w:ascii="Arial"/>
          <w:b/>
          <w:color w:val="283014"/>
          <w:spacing w:val="-3"/>
          <w:sz w:val="18"/>
        </w:rPr>
        <w:t> </w:t>
      </w:r>
      <w:r>
        <w:rPr>
          <w:rFonts w:ascii="Arial"/>
          <w:b/>
          <w:color w:val="283014"/>
          <w:sz w:val="18"/>
        </w:rPr>
        <w:t>Republic</w:t>
      </w:r>
      <w:r>
        <w:rPr>
          <w:rFonts w:ascii="Arial"/>
          <w:b/>
          <w:color w:val="283014"/>
          <w:spacing w:val="-2"/>
          <w:sz w:val="18"/>
        </w:rPr>
        <w:t> </w:t>
      </w:r>
      <w:r>
        <w:rPr>
          <w:rFonts w:ascii="Arial"/>
          <w:b/>
          <w:color w:val="283014"/>
          <w:sz w:val="18"/>
        </w:rPr>
        <w:t>Ranger</w:t>
      </w:r>
      <w:r>
        <w:rPr>
          <w:rFonts w:ascii="Arial"/>
          <w:b/>
          <w:color w:val="283014"/>
          <w:spacing w:val="-4"/>
          <w:sz w:val="18"/>
        </w:rPr>
        <w:t> </w:t>
      </w:r>
      <w:r>
        <w:rPr>
          <w:rFonts w:ascii="Arial"/>
          <w:b/>
          <w:color w:val="283014"/>
          <w:sz w:val="18"/>
        </w:rPr>
        <w:t>District</w:t>
      </w:r>
      <w:r>
        <w:rPr>
          <w:rFonts w:ascii="Arial"/>
          <w:b/>
          <w:color w:val="283014"/>
          <w:spacing w:val="-3"/>
          <w:sz w:val="18"/>
        </w:rPr>
        <w:t> </w:t>
      </w:r>
      <w:r>
        <w:rPr>
          <w:rFonts w:ascii="Arial"/>
          <w:b/>
          <w:color w:val="283014"/>
          <w:sz w:val="18"/>
        </w:rPr>
        <w:t>scenic</w:t>
      </w:r>
      <w:r>
        <w:rPr>
          <w:rFonts w:ascii="Arial"/>
          <w:b/>
          <w:color w:val="283014"/>
          <w:spacing w:val="-5"/>
          <w:sz w:val="18"/>
        </w:rPr>
        <w:t> </w:t>
      </w:r>
      <w:r>
        <w:rPr>
          <w:rFonts w:ascii="Arial"/>
          <w:b/>
          <w:color w:val="283014"/>
          <w:sz w:val="18"/>
        </w:rPr>
        <w:t>integrity</w:t>
      </w:r>
      <w:r>
        <w:rPr>
          <w:rFonts w:ascii="Arial"/>
          <w:b/>
          <w:color w:val="283014"/>
          <w:spacing w:val="-11"/>
          <w:sz w:val="18"/>
        </w:rPr>
        <w:t> </w:t>
      </w:r>
      <w:r>
        <w:rPr>
          <w:rFonts w:ascii="Arial"/>
          <w:b/>
          <w:color w:val="283014"/>
          <w:spacing w:val="-2"/>
          <w:sz w:val="18"/>
        </w:rPr>
        <w:t>objectives</w:t>
      </w:r>
    </w:p>
    <w:p>
      <w:pPr>
        <w:spacing w:after="0"/>
        <w:jc w:val="left"/>
        <w:rPr>
          <w:rFonts w:ascii="Arial"/>
          <w:b/>
          <w:sz w:val="18"/>
        </w:rPr>
        <w:sectPr>
          <w:headerReference w:type="even" r:id="rId114"/>
          <w:headerReference w:type="default" r:id="rId115"/>
          <w:pgSz w:w="12240" w:h="15840"/>
          <w:pgMar w:header="725" w:footer="0" w:top="1340" w:bottom="1080" w:left="1440" w:right="1440"/>
        </w:sectPr>
      </w:pPr>
    </w:p>
    <w:p>
      <w:pPr>
        <w:spacing w:before="84" w:after="41"/>
        <w:ind w:left="0" w:right="0" w:firstLine="0"/>
        <w:jc w:val="left"/>
        <w:rPr>
          <w:rFonts w:ascii="Arial"/>
          <w:b/>
          <w:sz w:val="18"/>
        </w:rPr>
      </w:pPr>
      <w:r>
        <w:rPr>
          <w:rFonts w:ascii="Arial"/>
          <w:b/>
          <w:sz w:val="18"/>
        </w:rPr>
        <mc:AlternateContent>
          <mc:Choice Requires="wps">
            <w:drawing>
              <wp:anchor distT="0" distB="0" distL="0" distR="0" allowOverlap="1" layoutInCell="1" locked="0" behindDoc="0" simplePos="0" relativeHeight="15784448">
                <wp:simplePos x="0" y="0"/>
                <wp:positionH relativeFrom="page">
                  <wp:posOffset>984758</wp:posOffset>
                </wp:positionH>
                <wp:positionV relativeFrom="page">
                  <wp:posOffset>2828163</wp:posOffset>
                </wp:positionV>
                <wp:extent cx="2314575" cy="2221229"/>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a:off x="0" y="0"/>
                          <a:ext cx="2314575" cy="2221229"/>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80"/>
                              <w:gridCol w:w="2545"/>
                            </w:tblGrid>
                            <w:tr>
                              <w:trPr>
                                <w:trHeight w:val="249"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249"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bl>
                          <w:p>
                            <w:pPr>
                              <w:pStyle w:val="BodyText"/>
                            </w:pPr>
                          </w:p>
                        </w:txbxContent>
                      </wps:txbx>
                      <wps:bodyPr wrap="square" lIns="0" tIns="0" rIns="0" bIns="0" rtlCol="0">
                        <a:noAutofit/>
                      </wps:bodyPr>
                    </wps:wsp>
                  </a:graphicData>
                </a:graphic>
              </wp:anchor>
            </w:drawing>
          </mc:Choice>
          <mc:Fallback>
            <w:pict>
              <v:shape style="position:absolute;margin-left:77.540001pt;margin-top:222.690002pt;width:182.25pt;height:174.9pt;mso-position-horizontal-relative:page;mso-position-vertical-relative:page;z-index:15784448" type="#_x0000_t202" id="docshape329"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80"/>
                        <w:gridCol w:w="2545"/>
                      </w:tblGrid>
                      <w:tr>
                        <w:trPr>
                          <w:trHeight w:val="249"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300"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r>
                        <w:trPr>
                          <w:trHeight w:val="249" w:hRule="atLeast"/>
                        </w:trPr>
                        <w:tc>
                          <w:tcPr>
                            <w:tcW w:w="980" w:type="dxa"/>
                          </w:tcPr>
                          <w:p>
                            <w:pPr>
                              <w:pStyle w:val="TableParagraph"/>
                              <w:spacing w:before="0"/>
                              <w:rPr>
                                <w:rFonts w:ascii="Times New Roman"/>
                                <w:sz w:val="18"/>
                              </w:rPr>
                            </w:pPr>
                          </w:p>
                        </w:tc>
                        <w:tc>
                          <w:tcPr>
                            <w:tcW w:w="2545" w:type="dxa"/>
                          </w:tcPr>
                          <w:p>
                            <w:pPr>
                              <w:pStyle w:val="TableParagraph"/>
                              <w:spacing w:before="0"/>
                              <w:rPr>
                                <w:rFonts w:ascii="Times New Roman"/>
                                <w:sz w:val="18"/>
                              </w:rPr>
                            </w:pPr>
                          </w:p>
                        </w:tc>
                      </w:tr>
                    </w:tbl>
                    <w:p>
                      <w:pPr>
                        <w:pStyle w:val="BodyText"/>
                      </w:pPr>
                    </w:p>
                  </w:txbxContent>
                </v:textbox>
                <w10:wrap type="none"/>
              </v:shape>
            </w:pict>
          </mc:Fallback>
        </mc:AlternateContent>
      </w:r>
      <w:bookmarkStart w:name="_bookmark313" w:id="990"/>
      <w:bookmarkEnd w:id="990"/>
      <w:r>
        <w:rPr/>
      </w:r>
      <w:r>
        <w:rPr>
          <w:rFonts w:ascii="Arial"/>
          <w:b/>
          <w:sz w:val="18"/>
        </w:rPr>
        <w:t>Table</w:t>
      </w:r>
      <w:r>
        <w:rPr>
          <w:rFonts w:ascii="Arial"/>
          <w:b/>
          <w:spacing w:val="-3"/>
          <w:sz w:val="18"/>
        </w:rPr>
        <w:t> </w:t>
      </w:r>
      <w:r>
        <w:rPr>
          <w:rFonts w:ascii="Arial"/>
          <w:b/>
          <w:sz w:val="18"/>
        </w:rPr>
        <w:t>D-3.</w:t>
      </w:r>
      <w:r>
        <w:rPr>
          <w:rFonts w:ascii="Arial"/>
          <w:b/>
          <w:spacing w:val="-3"/>
          <w:sz w:val="18"/>
        </w:rPr>
        <w:t> </w:t>
      </w:r>
      <w:r>
        <w:rPr>
          <w:rFonts w:ascii="Arial"/>
          <w:b/>
          <w:sz w:val="18"/>
        </w:rPr>
        <w:t>Republic</w:t>
      </w:r>
      <w:r>
        <w:rPr>
          <w:rFonts w:ascii="Arial"/>
          <w:b/>
          <w:spacing w:val="-3"/>
          <w:sz w:val="18"/>
        </w:rPr>
        <w:t> </w:t>
      </w:r>
      <w:r>
        <w:rPr>
          <w:rFonts w:ascii="Arial"/>
          <w:b/>
          <w:sz w:val="18"/>
        </w:rPr>
        <w:t>Ranger</w:t>
      </w:r>
      <w:r>
        <w:rPr>
          <w:rFonts w:ascii="Arial"/>
          <w:b/>
          <w:spacing w:val="-6"/>
          <w:sz w:val="18"/>
        </w:rPr>
        <w:t> </w:t>
      </w:r>
      <w:r>
        <w:rPr>
          <w:rFonts w:ascii="Arial"/>
          <w:b/>
          <w:sz w:val="18"/>
        </w:rPr>
        <w:t>District</w:t>
      </w:r>
      <w:r>
        <w:rPr>
          <w:rFonts w:ascii="Arial"/>
          <w:b/>
          <w:spacing w:val="-3"/>
          <w:sz w:val="18"/>
        </w:rPr>
        <w:t> </w:t>
      </w:r>
      <w:r>
        <w:rPr>
          <w:rFonts w:ascii="Arial"/>
          <w:b/>
          <w:sz w:val="18"/>
        </w:rPr>
        <w:t>scenic</w:t>
      </w:r>
      <w:r>
        <w:rPr>
          <w:rFonts w:ascii="Arial"/>
          <w:b/>
          <w:spacing w:val="-2"/>
          <w:sz w:val="18"/>
        </w:rPr>
        <w:t> viewsheds</w:t>
      </w: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4500"/>
        <w:gridCol w:w="4320"/>
      </w:tblGrid>
      <w:tr>
        <w:trPr>
          <w:trHeight w:val="1115" w:hRule="atLeast"/>
        </w:trPr>
        <w:tc>
          <w:tcPr>
            <w:tcW w:w="4500" w:type="dxa"/>
            <w:shd w:val="clear" w:color="auto" w:fill="E6E6E6"/>
          </w:tcPr>
          <w:p>
            <w:pPr>
              <w:pStyle w:val="TableParagraph"/>
              <w:spacing w:line="207" w:lineRule="exact"/>
              <w:ind w:left="107"/>
              <w:rPr>
                <w:b/>
                <w:sz w:val="18"/>
              </w:rPr>
            </w:pPr>
            <w:r>
              <w:rPr>
                <w:b/>
                <w:sz w:val="18"/>
              </w:rPr>
              <w:t>Scenic </w:t>
            </w:r>
            <w:r>
              <w:rPr>
                <w:b/>
                <w:spacing w:val="-2"/>
                <w:sz w:val="18"/>
              </w:rPr>
              <w:t>Viewsheds</w:t>
            </w:r>
          </w:p>
          <w:p>
            <w:pPr>
              <w:pStyle w:val="TableParagraph"/>
              <w:spacing w:before="0"/>
              <w:ind w:left="107" w:right="160"/>
              <w:rPr>
                <w:sz w:val="18"/>
              </w:rPr>
            </w:pPr>
            <w:r>
              <w:rPr>
                <w:sz w:val="18"/>
              </w:rPr>
              <w:t>Concern level 1 travel route and nationally designated</w:t>
            </w:r>
            <w:r>
              <w:rPr>
                <w:spacing w:val="-7"/>
                <w:sz w:val="18"/>
              </w:rPr>
              <w:t> </w:t>
            </w:r>
            <w:r>
              <w:rPr>
                <w:sz w:val="18"/>
              </w:rPr>
              <w:t>recreation</w:t>
            </w:r>
            <w:r>
              <w:rPr>
                <w:spacing w:val="-7"/>
                <w:sz w:val="18"/>
              </w:rPr>
              <w:t> </w:t>
            </w:r>
            <w:r>
              <w:rPr>
                <w:sz w:val="18"/>
              </w:rPr>
              <w:t>or</w:t>
            </w:r>
            <w:r>
              <w:rPr>
                <w:spacing w:val="-9"/>
                <w:sz w:val="18"/>
              </w:rPr>
              <w:t> </w:t>
            </w:r>
            <w:r>
              <w:rPr>
                <w:sz w:val="18"/>
              </w:rPr>
              <w:t>scenic</w:t>
            </w:r>
            <w:r>
              <w:rPr>
                <w:spacing w:val="-7"/>
                <w:sz w:val="18"/>
              </w:rPr>
              <w:t> </w:t>
            </w:r>
            <w:r>
              <w:rPr>
                <w:sz w:val="18"/>
              </w:rPr>
              <w:t>trail</w:t>
            </w:r>
            <w:r>
              <w:rPr>
                <w:spacing w:val="-7"/>
                <w:sz w:val="18"/>
              </w:rPr>
              <w:t> </w:t>
            </w:r>
            <w:r>
              <w:rPr>
                <w:sz w:val="18"/>
              </w:rPr>
              <w:t>Viewsheds Concern level 2 travel route viewsheds</w:t>
            </w:r>
          </w:p>
        </w:tc>
        <w:tc>
          <w:tcPr>
            <w:tcW w:w="4320" w:type="dxa"/>
            <w:shd w:val="clear" w:color="auto" w:fill="E6E6E6"/>
          </w:tcPr>
          <w:p>
            <w:pPr>
              <w:pStyle w:val="TableParagraph"/>
              <w:spacing w:line="207" w:lineRule="exact"/>
              <w:ind w:left="107"/>
              <w:rPr>
                <w:b/>
                <w:sz w:val="18"/>
              </w:rPr>
            </w:pPr>
            <w:r>
              <w:rPr>
                <w:b/>
                <w:sz w:val="18"/>
              </w:rPr>
              <w:t>Scenic</w:t>
            </w:r>
            <w:r>
              <w:rPr>
                <w:b/>
                <w:spacing w:val="-2"/>
                <w:sz w:val="18"/>
              </w:rPr>
              <w:t> </w:t>
            </w:r>
            <w:r>
              <w:rPr>
                <w:b/>
                <w:sz w:val="18"/>
              </w:rPr>
              <w:t>Integrity</w:t>
            </w:r>
            <w:r>
              <w:rPr>
                <w:b/>
                <w:spacing w:val="-8"/>
                <w:sz w:val="18"/>
              </w:rPr>
              <w:t> </w:t>
            </w:r>
            <w:r>
              <w:rPr>
                <w:b/>
                <w:sz w:val="18"/>
              </w:rPr>
              <w:t>Objectives</w:t>
            </w:r>
            <w:r>
              <w:rPr>
                <w:b/>
                <w:spacing w:val="-1"/>
                <w:sz w:val="18"/>
              </w:rPr>
              <w:t> </w:t>
            </w:r>
            <w:r>
              <w:rPr>
                <w:b/>
                <w:spacing w:val="-2"/>
                <w:sz w:val="18"/>
              </w:rPr>
              <w:t>Prescribed</w:t>
            </w:r>
          </w:p>
          <w:p>
            <w:pPr>
              <w:pStyle w:val="TableParagraph"/>
              <w:spacing w:before="0"/>
              <w:ind w:left="107" w:right="1712"/>
              <w:rPr>
                <w:sz w:val="18"/>
              </w:rPr>
            </w:pPr>
            <w:r>
              <w:rPr>
                <w:sz w:val="18"/>
              </w:rPr>
              <w:t>Very High SIO (Unaltered)</w:t>
            </w:r>
            <w:r>
              <w:rPr>
                <w:spacing w:val="40"/>
                <w:sz w:val="18"/>
              </w:rPr>
              <w:t> </w:t>
            </w:r>
            <w:r>
              <w:rPr>
                <w:sz w:val="18"/>
              </w:rPr>
              <w:t>High SIO (Appears Unaltered) Moderate</w:t>
            </w:r>
            <w:r>
              <w:rPr>
                <w:spacing w:val="-12"/>
                <w:sz w:val="18"/>
              </w:rPr>
              <w:t> </w:t>
            </w:r>
            <w:r>
              <w:rPr>
                <w:sz w:val="18"/>
              </w:rPr>
              <w:t>SIO</w:t>
            </w:r>
            <w:r>
              <w:rPr>
                <w:spacing w:val="-12"/>
                <w:sz w:val="18"/>
              </w:rPr>
              <w:t> </w:t>
            </w:r>
            <w:r>
              <w:rPr>
                <w:sz w:val="18"/>
              </w:rPr>
              <w:t>(Slightly</w:t>
            </w:r>
            <w:r>
              <w:rPr>
                <w:spacing w:val="-13"/>
                <w:sz w:val="18"/>
              </w:rPr>
              <w:t> </w:t>
            </w:r>
            <w:r>
              <w:rPr>
                <w:sz w:val="18"/>
              </w:rPr>
              <w:t>Altered) Low SIO (Moderately Altered)</w:t>
            </w:r>
          </w:p>
        </w:tc>
      </w:tr>
      <w:tr>
        <w:trPr>
          <w:trHeight w:val="1034" w:hRule="atLeast"/>
        </w:trPr>
        <w:tc>
          <w:tcPr>
            <w:tcW w:w="8820" w:type="dxa"/>
            <w:gridSpan w:val="2"/>
            <w:shd w:val="clear" w:color="auto" w:fill="E6E6E6"/>
          </w:tcPr>
          <w:p>
            <w:pPr>
              <w:pStyle w:val="TableParagraph"/>
              <w:spacing w:line="206" w:lineRule="exact" w:before="0"/>
              <w:ind w:left="270"/>
              <w:rPr>
                <w:b/>
                <w:sz w:val="18"/>
              </w:rPr>
            </w:pPr>
            <w:r>
              <w:rPr>
                <w:b/>
                <w:sz w:val="18"/>
              </w:rPr>
              <w:t>Distance</w:t>
            </w:r>
            <w:r>
              <w:rPr>
                <w:b/>
                <w:spacing w:val="-5"/>
                <w:sz w:val="18"/>
              </w:rPr>
              <w:t> </w:t>
            </w:r>
            <w:r>
              <w:rPr>
                <w:b/>
                <w:spacing w:val="-2"/>
                <w:sz w:val="18"/>
              </w:rPr>
              <w:t>Zones</w:t>
            </w:r>
          </w:p>
          <w:p>
            <w:pPr>
              <w:pStyle w:val="TableParagraph"/>
              <w:spacing w:before="0"/>
              <w:ind w:left="270" w:right="2526"/>
              <w:rPr>
                <w:sz w:val="18"/>
              </w:rPr>
            </w:pPr>
            <w:r>
              <w:rPr>
                <w:sz w:val="18"/>
              </w:rPr>
              <w:t>Immediate Foreground High SIO - distance zone is 0 to 300 feet Foreground High SIO (FG) - distance zone is 300 feet to ½ mile Middleground</w:t>
            </w:r>
            <w:r>
              <w:rPr>
                <w:spacing w:val="-4"/>
                <w:sz w:val="18"/>
              </w:rPr>
              <w:t> </w:t>
            </w:r>
            <w:r>
              <w:rPr>
                <w:sz w:val="18"/>
              </w:rPr>
              <w:t>High</w:t>
            </w:r>
            <w:r>
              <w:rPr>
                <w:spacing w:val="-4"/>
                <w:sz w:val="18"/>
              </w:rPr>
              <w:t> </w:t>
            </w:r>
            <w:r>
              <w:rPr>
                <w:sz w:val="18"/>
              </w:rPr>
              <w:t>SIO</w:t>
            </w:r>
            <w:r>
              <w:rPr>
                <w:spacing w:val="-3"/>
                <w:sz w:val="18"/>
              </w:rPr>
              <w:t> </w:t>
            </w:r>
            <w:r>
              <w:rPr>
                <w:sz w:val="18"/>
              </w:rPr>
              <w:t>(MG)</w:t>
            </w:r>
            <w:r>
              <w:rPr>
                <w:spacing w:val="-3"/>
                <w:sz w:val="18"/>
              </w:rPr>
              <w:t> </w:t>
            </w:r>
            <w:r>
              <w:rPr>
                <w:sz w:val="18"/>
              </w:rPr>
              <w:t>-</w:t>
            </w:r>
            <w:r>
              <w:rPr>
                <w:spacing w:val="-1"/>
                <w:sz w:val="18"/>
              </w:rPr>
              <w:t> </w:t>
            </w:r>
            <w:r>
              <w:rPr>
                <w:sz w:val="18"/>
              </w:rPr>
              <w:t>distance</w:t>
            </w:r>
            <w:r>
              <w:rPr>
                <w:spacing w:val="-2"/>
                <w:sz w:val="18"/>
              </w:rPr>
              <w:t> </w:t>
            </w:r>
            <w:r>
              <w:rPr>
                <w:sz w:val="18"/>
              </w:rPr>
              <w:t>zone</w:t>
            </w:r>
            <w:r>
              <w:rPr>
                <w:spacing w:val="-5"/>
                <w:sz w:val="18"/>
              </w:rPr>
              <w:t> </w:t>
            </w:r>
            <w:r>
              <w:rPr>
                <w:sz w:val="18"/>
              </w:rPr>
              <w:t>is</w:t>
            </w:r>
            <w:r>
              <w:rPr>
                <w:spacing w:val="-4"/>
                <w:sz w:val="18"/>
              </w:rPr>
              <w:t> </w:t>
            </w:r>
            <w:r>
              <w:rPr>
                <w:sz w:val="18"/>
              </w:rPr>
              <w:t>½</w:t>
            </w:r>
            <w:r>
              <w:rPr>
                <w:spacing w:val="-4"/>
                <w:sz w:val="18"/>
              </w:rPr>
              <w:t> </w:t>
            </w:r>
            <w:r>
              <w:rPr>
                <w:sz w:val="18"/>
              </w:rPr>
              <w:t>mile</w:t>
            </w:r>
            <w:r>
              <w:rPr>
                <w:spacing w:val="-2"/>
                <w:sz w:val="18"/>
              </w:rPr>
              <w:t> </w:t>
            </w:r>
            <w:r>
              <w:rPr>
                <w:sz w:val="18"/>
              </w:rPr>
              <w:t>to</w:t>
            </w:r>
            <w:r>
              <w:rPr>
                <w:spacing w:val="-5"/>
                <w:sz w:val="18"/>
              </w:rPr>
              <w:t> </w:t>
            </w:r>
            <w:r>
              <w:rPr>
                <w:sz w:val="18"/>
              </w:rPr>
              <w:t>4</w:t>
            </w:r>
            <w:r>
              <w:rPr>
                <w:spacing w:val="-4"/>
                <w:sz w:val="18"/>
              </w:rPr>
              <w:t> </w:t>
            </w:r>
            <w:r>
              <w:rPr>
                <w:sz w:val="18"/>
              </w:rPr>
              <w:t>miles</w:t>
            </w:r>
          </w:p>
          <w:p>
            <w:pPr>
              <w:pStyle w:val="TableParagraph"/>
              <w:spacing w:line="187" w:lineRule="exact" w:before="0"/>
              <w:ind w:left="270"/>
              <w:rPr>
                <w:sz w:val="18"/>
              </w:rPr>
            </w:pPr>
            <w:r>
              <w:rPr>
                <w:sz w:val="18"/>
              </w:rPr>
              <w:t>Background</w:t>
            </w:r>
            <w:r>
              <w:rPr>
                <w:spacing w:val="-3"/>
                <w:sz w:val="18"/>
              </w:rPr>
              <w:t> </w:t>
            </w:r>
            <w:r>
              <w:rPr>
                <w:sz w:val="18"/>
              </w:rPr>
              <w:t>Moderate</w:t>
            </w:r>
            <w:r>
              <w:rPr>
                <w:spacing w:val="-3"/>
                <w:sz w:val="18"/>
              </w:rPr>
              <w:t> </w:t>
            </w:r>
            <w:r>
              <w:rPr>
                <w:sz w:val="18"/>
              </w:rPr>
              <w:t>SIO</w:t>
            </w:r>
            <w:r>
              <w:rPr>
                <w:spacing w:val="-4"/>
                <w:sz w:val="18"/>
              </w:rPr>
              <w:t> </w:t>
            </w:r>
            <w:r>
              <w:rPr>
                <w:sz w:val="18"/>
              </w:rPr>
              <w:t>(BG)</w:t>
            </w:r>
            <w:r>
              <w:rPr>
                <w:spacing w:val="-4"/>
                <w:sz w:val="18"/>
              </w:rPr>
              <w:t> </w:t>
            </w:r>
            <w:r>
              <w:rPr>
                <w:sz w:val="18"/>
              </w:rPr>
              <w:t>-</w:t>
            </w:r>
            <w:r>
              <w:rPr>
                <w:spacing w:val="-4"/>
                <w:sz w:val="18"/>
              </w:rPr>
              <w:t> </w:t>
            </w:r>
            <w:r>
              <w:rPr>
                <w:sz w:val="18"/>
              </w:rPr>
              <w:t>distance</w:t>
            </w:r>
            <w:r>
              <w:rPr>
                <w:spacing w:val="-3"/>
                <w:sz w:val="18"/>
              </w:rPr>
              <w:t> </w:t>
            </w:r>
            <w:r>
              <w:rPr>
                <w:sz w:val="18"/>
              </w:rPr>
              <w:t>zone</w:t>
            </w:r>
            <w:r>
              <w:rPr>
                <w:spacing w:val="-6"/>
                <w:sz w:val="18"/>
              </w:rPr>
              <w:t> </w:t>
            </w:r>
            <w:r>
              <w:rPr>
                <w:sz w:val="18"/>
              </w:rPr>
              <w:t>4</w:t>
            </w:r>
            <w:r>
              <w:rPr>
                <w:spacing w:val="-2"/>
                <w:sz w:val="18"/>
              </w:rPr>
              <w:t> </w:t>
            </w:r>
            <w:r>
              <w:rPr>
                <w:sz w:val="18"/>
              </w:rPr>
              <w:t>miles</w:t>
            </w:r>
            <w:r>
              <w:rPr>
                <w:spacing w:val="-3"/>
                <w:sz w:val="18"/>
              </w:rPr>
              <w:t> </w:t>
            </w:r>
            <w:r>
              <w:rPr>
                <w:sz w:val="18"/>
              </w:rPr>
              <w:t>to</w:t>
            </w:r>
            <w:r>
              <w:rPr>
                <w:spacing w:val="-5"/>
                <w:sz w:val="18"/>
              </w:rPr>
              <w:t> </w:t>
            </w:r>
            <w:r>
              <w:rPr>
                <w:spacing w:val="-2"/>
                <w:sz w:val="18"/>
              </w:rPr>
              <w:t>horizon</w:t>
            </w:r>
          </w:p>
        </w:tc>
      </w:tr>
      <w:tr>
        <w:trPr>
          <w:trHeight w:val="8893" w:hRule="atLeast"/>
        </w:trPr>
        <w:tc>
          <w:tcPr>
            <w:tcW w:w="4500" w:type="dxa"/>
          </w:tcPr>
          <w:p>
            <w:pPr>
              <w:pStyle w:val="TableParagraph"/>
              <w:spacing w:before="1"/>
              <w:ind w:left="107" w:right="847"/>
              <w:rPr>
                <w:rFonts w:ascii="Calibri Light"/>
                <w:b w:val="0"/>
                <w:sz w:val="20"/>
              </w:rPr>
            </w:pPr>
            <w:r>
              <w:rPr>
                <w:rFonts w:ascii="Calibri Light"/>
                <w:b w:val="0"/>
                <w:spacing w:val="-2"/>
                <w:sz w:val="20"/>
              </w:rPr>
              <w:t>Concern</w:t>
            </w:r>
            <w:r>
              <w:rPr>
                <w:rFonts w:ascii="Calibri Light"/>
                <w:b w:val="0"/>
                <w:spacing w:val="-7"/>
                <w:sz w:val="20"/>
              </w:rPr>
              <w:t> </w:t>
            </w:r>
            <w:r>
              <w:rPr>
                <w:rFonts w:ascii="Calibri Light"/>
                <w:b w:val="0"/>
                <w:spacing w:val="-2"/>
                <w:sz w:val="20"/>
              </w:rPr>
              <w:t>Level</w:t>
            </w:r>
            <w:r>
              <w:rPr>
                <w:rFonts w:ascii="Calibri Light"/>
                <w:b w:val="0"/>
                <w:spacing w:val="-7"/>
                <w:sz w:val="20"/>
              </w:rPr>
              <w:t> </w:t>
            </w:r>
            <w:r>
              <w:rPr>
                <w:rFonts w:ascii="Calibri Light"/>
                <w:b w:val="0"/>
                <w:spacing w:val="-2"/>
                <w:sz w:val="20"/>
              </w:rPr>
              <w:t>1</w:t>
            </w:r>
            <w:r>
              <w:rPr>
                <w:rFonts w:ascii="Calibri Light"/>
                <w:b w:val="0"/>
                <w:spacing w:val="-7"/>
                <w:sz w:val="20"/>
              </w:rPr>
              <w:t> </w:t>
            </w:r>
            <w:r>
              <w:rPr>
                <w:rFonts w:ascii="Calibri Light"/>
                <w:b w:val="0"/>
                <w:spacing w:val="-2"/>
                <w:sz w:val="20"/>
              </w:rPr>
              <w:t>Travel</w:t>
            </w:r>
            <w:r>
              <w:rPr>
                <w:rFonts w:ascii="Calibri Light"/>
                <w:b w:val="0"/>
                <w:spacing w:val="-7"/>
                <w:sz w:val="20"/>
              </w:rPr>
              <w:t> </w:t>
            </w:r>
            <w:r>
              <w:rPr>
                <w:rFonts w:ascii="Calibri Light"/>
                <w:b w:val="0"/>
                <w:spacing w:val="-2"/>
                <w:sz w:val="20"/>
              </w:rPr>
              <w:t>Route</w:t>
            </w:r>
            <w:r>
              <w:rPr>
                <w:rFonts w:ascii="Calibri Light"/>
                <w:b w:val="0"/>
                <w:spacing w:val="-4"/>
                <w:sz w:val="20"/>
              </w:rPr>
              <w:t> </w:t>
            </w:r>
            <w:r>
              <w:rPr>
                <w:rFonts w:ascii="Calibri Light"/>
                <w:b w:val="0"/>
                <w:spacing w:val="-2"/>
                <w:sz w:val="20"/>
              </w:rPr>
              <w:t>Viewsheds </w:t>
            </w:r>
            <w:r>
              <w:rPr>
                <w:rFonts w:ascii="Calibri Light"/>
                <w:b w:val="0"/>
                <w:sz w:val="20"/>
              </w:rPr>
              <w:t>(High SIO FG, High MG Seen Area)</w:t>
            </w:r>
          </w:p>
          <w:p>
            <w:pPr>
              <w:pStyle w:val="TableParagraph"/>
              <w:tabs>
                <w:tab w:pos="1367" w:val="left" w:leader="none"/>
              </w:tabs>
              <w:spacing w:before="57"/>
              <w:ind w:left="215"/>
              <w:rPr>
                <w:rFonts w:ascii="Calibri Light"/>
                <w:b w:val="0"/>
                <w:sz w:val="20"/>
              </w:rPr>
            </w:pPr>
            <w:r>
              <w:rPr>
                <w:rFonts w:ascii="Calibri Light"/>
                <w:b w:val="0"/>
                <w:spacing w:val="-2"/>
                <w:sz w:val="20"/>
              </w:rPr>
              <w:t>RTE_NO</w:t>
            </w:r>
            <w:r>
              <w:rPr>
                <w:rFonts w:ascii="Calibri Light"/>
                <w:b w:val="0"/>
                <w:sz w:val="20"/>
              </w:rPr>
              <w:tab/>
            </w:r>
            <w:r>
              <w:rPr>
                <w:rFonts w:ascii="Calibri Light"/>
                <w:b w:val="0"/>
                <w:spacing w:val="-4"/>
                <w:sz w:val="20"/>
              </w:rPr>
              <w:t>NAME</w:t>
            </w:r>
          </w:p>
          <w:p>
            <w:pPr>
              <w:pStyle w:val="TableParagraph"/>
              <w:tabs>
                <w:tab w:pos="1367" w:val="left" w:leader="none"/>
              </w:tabs>
              <w:spacing w:line="295" w:lineRule="auto" w:before="55"/>
              <w:ind w:left="215" w:right="847"/>
              <w:rPr>
                <w:rFonts w:ascii="Calibri Light"/>
                <w:b w:val="0"/>
                <w:sz w:val="20"/>
              </w:rPr>
            </w:pPr>
            <w:r>
              <w:rPr>
                <w:rFonts w:ascii="Calibri Light"/>
                <w:b w:val="0"/>
                <w:spacing w:val="-4"/>
                <w:sz w:val="20"/>
              </w:rPr>
              <w:t>C602</w:t>
            </w:r>
            <w:r>
              <w:rPr>
                <w:rFonts w:ascii="Calibri Light"/>
                <w:b w:val="0"/>
                <w:sz w:val="20"/>
              </w:rPr>
              <w:tab/>
              <w:t>BOULDER</w:t>
            </w:r>
            <w:r>
              <w:rPr>
                <w:rFonts w:ascii="Calibri Light"/>
                <w:b w:val="0"/>
                <w:spacing w:val="-12"/>
                <w:sz w:val="20"/>
              </w:rPr>
              <w:t> </w:t>
            </w:r>
            <w:r>
              <w:rPr>
                <w:rFonts w:ascii="Calibri Light"/>
                <w:b w:val="0"/>
                <w:sz w:val="20"/>
              </w:rPr>
              <w:t>DEER</w:t>
            </w:r>
            <w:r>
              <w:rPr>
                <w:rFonts w:ascii="Calibri Light"/>
                <w:b w:val="0"/>
                <w:spacing w:val="-11"/>
                <w:sz w:val="20"/>
              </w:rPr>
              <w:t> </w:t>
            </w:r>
            <w:r>
              <w:rPr>
                <w:rFonts w:ascii="Calibri Light"/>
                <w:b w:val="0"/>
                <w:sz w:val="20"/>
              </w:rPr>
              <w:t>CREEK/6100 </w:t>
            </w:r>
            <w:r>
              <w:rPr>
                <w:rFonts w:ascii="Calibri Light"/>
                <w:b w:val="0"/>
                <w:spacing w:val="-2"/>
                <w:sz w:val="20"/>
              </w:rPr>
              <w:t>5330130</w:t>
            </w:r>
            <w:r>
              <w:rPr>
                <w:rFonts w:ascii="Calibri Light"/>
                <w:b w:val="0"/>
                <w:sz w:val="20"/>
              </w:rPr>
              <w:tab/>
              <w:t>FERRY LAKE CAMPGROUND </w:t>
            </w:r>
            <w:r>
              <w:rPr>
                <w:rFonts w:ascii="Calibri Light"/>
                <w:b w:val="0"/>
                <w:spacing w:val="-4"/>
                <w:sz w:val="20"/>
              </w:rPr>
              <w:t>C270</w:t>
            </w:r>
            <w:r>
              <w:rPr>
                <w:rFonts w:ascii="Calibri Light"/>
                <w:b w:val="0"/>
                <w:sz w:val="20"/>
              </w:rPr>
              <w:tab/>
            </w:r>
            <w:r>
              <w:rPr>
                <w:rFonts w:ascii="Calibri Light"/>
                <w:b w:val="0"/>
                <w:spacing w:val="-2"/>
                <w:sz w:val="20"/>
              </w:rPr>
              <w:t>KLONDIKE</w:t>
            </w:r>
          </w:p>
          <w:p>
            <w:pPr>
              <w:pStyle w:val="TableParagraph"/>
              <w:tabs>
                <w:tab w:pos="1367" w:val="left" w:leader="none"/>
              </w:tabs>
              <w:spacing w:line="243" w:lineRule="exact" w:before="0"/>
              <w:ind w:left="215"/>
              <w:rPr>
                <w:rFonts w:ascii="Calibri Light"/>
                <w:b w:val="0"/>
                <w:sz w:val="20"/>
              </w:rPr>
            </w:pPr>
            <w:r>
              <w:rPr>
                <w:rFonts w:ascii="Calibri Light"/>
                <w:b w:val="0"/>
                <w:spacing w:val="-2"/>
                <w:sz w:val="20"/>
              </w:rPr>
              <w:t>5300400</w:t>
            </w:r>
            <w:r>
              <w:rPr>
                <w:rFonts w:ascii="Calibri Light"/>
                <w:b w:val="0"/>
                <w:sz w:val="20"/>
              </w:rPr>
              <w:tab/>
              <w:t>LONG</w:t>
            </w:r>
            <w:r>
              <w:rPr>
                <w:rFonts w:ascii="Calibri Light"/>
                <w:b w:val="0"/>
                <w:spacing w:val="-5"/>
                <w:sz w:val="20"/>
              </w:rPr>
              <w:t> </w:t>
            </w:r>
            <w:r>
              <w:rPr>
                <w:rFonts w:ascii="Calibri Light"/>
                <w:b w:val="0"/>
                <w:sz w:val="20"/>
              </w:rPr>
              <w:t>LAKE</w:t>
            </w:r>
            <w:r>
              <w:rPr>
                <w:rFonts w:ascii="Calibri Light"/>
                <w:b w:val="0"/>
                <w:spacing w:val="-4"/>
                <w:sz w:val="20"/>
              </w:rPr>
              <w:t> </w:t>
            </w:r>
            <w:r>
              <w:rPr>
                <w:rFonts w:ascii="Calibri Light"/>
                <w:b w:val="0"/>
                <w:sz w:val="20"/>
              </w:rPr>
              <w:t>BOAT</w:t>
            </w:r>
            <w:r>
              <w:rPr>
                <w:rFonts w:ascii="Calibri Light"/>
                <w:b w:val="0"/>
                <w:spacing w:val="-5"/>
                <w:sz w:val="20"/>
              </w:rPr>
              <w:t> </w:t>
            </w:r>
            <w:r>
              <w:rPr>
                <w:rFonts w:ascii="Calibri Light"/>
                <w:b w:val="0"/>
                <w:spacing w:val="-2"/>
                <w:sz w:val="20"/>
              </w:rPr>
              <w:t>LAUNCH</w:t>
            </w:r>
          </w:p>
          <w:p>
            <w:pPr>
              <w:pStyle w:val="TableParagraph"/>
              <w:tabs>
                <w:tab w:pos="1367" w:val="left" w:leader="none"/>
              </w:tabs>
              <w:spacing w:before="56"/>
              <w:ind w:left="215"/>
              <w:rPr>
                <w:rFonts w:ascii="Calibri Light"/>
                <w:b w:val="0"/>
                <w:sz w:val="20"/>
              </w:rPr>
            </w:pPr>
            <w:r>
              <w:rPr>
                <w:rFonts w:ascii="Calibri Light"/>
                <w:b w:val="0"/>
                <w:spacing w:val="-2"/>
                <w:sz w:val="20"/>
              </w:rPr>
              <w:t>5300460</w:t>
            </w:r>
            <w:r>
              <w:rPr>
                <w:rFonts w:ascii="Calibri Light"/>
                <w:b w:val="0"/>
                <w:sz w:val="20"/>
              </w:rPr>
              <w:tab/>
              <w:t>LONG</w:t>
            </w:r>
            <w:r>
              <w:rPr>
                <w:rFonts w:ascii="Calibri Light"/>
                <w:b w:val="0"/>
                <w:spacing w:val="-5"/>
                <w:sz w:val="20"/>
              </w:rPr>
              <w:t> </w:t>
            </w:r>
            <w:r>
              <w:rPr>
                <w:rFonts w:ascii="Calibri Light"/>
                <w:b w:val="0"/>
                <w:sz w:val="20"/>
              </w:rPr>
              <w:t>LAKE</w:t>
            </w:r>
            <w:r>
              <w:rPr>
                <w:rFonts w:ascii="Calibri Light"/>
                <w:b w:val="0"/>
                <w:spacing w:val="-4"/>
                <w:sz w:val="20"/>
              </w:rPr>
              <w:t> </w:t>
            </w:r>
            <w:r>
              <w:rPr>
                <w:rFonts w:ascii="Calibri Light"/>
                <w:b w:val="0"/>
                <w:spacing w:val="-2"/>
                <w:sz w:val="20"/>
              </w:rPr>
              <w:t>CAMPGROUND</w:t>
            </w:r>
          </w:p>
          <w:p>
            <w:pPr>
              <w:pStyle w:val="TableParagraph"/>
              <w:tabs>
                <w:tab w:pos="1367" w:val="left" w:leader="none"/>
              </w:tabs>
              <w:spacing w:before="56"/>
              <w:ind w:left="215"/>
              <w:rPr>
                <w:rFonts w:ascii="Calibri Light"/>
                <w:b w:val="0"/>
                <w:sz w:val="20"/>
              </w:rPr>
            </w:pPr>
            <w:r>
              <w:rPr>
                <w:rFonts w:ascii="Calibri Light"/>
                <w:b w:val="0"/>
                <w:spacing w:val="-2"/>
                <w:sz w:val="20"/>
              </w:rPr>
              <w:t>5330100</w:t>
            </w:r>
            <w:r>
              <w:rPr>
                <w:rFonts w:ascii="Calibri Light"/>
                <w:b w:val="0"/>
                <w:sz w:val="20"/>
              </w:rPr>
              <w:tab/>
              <w:t>OLD</w:t>
            </w:r>
            <w:r>
              <w:rPr>
                <w:rFonts w:ascii="Calibri Light"/>
                <w:b w:val="0"/>
                <w:spacing w:val="-6"/>
                <w:sz w:val="20"/>
              </w:rPr>
              <w:t> </w:t>
            </w:r>
            <w:r>
              <w:rPr>
                <w:rFonts w:ascii="Calibri Light"/>
                <w:b w:val="0"/>
                <w:sz w:val="20"/>
              </w:rPr>
              <w:t>SWAN</w:t>
            </w:r>
            <w:r>
              <w:rPr>
                <w:rFonts w:ascii="Calibri Light"/>
                <w:b w:val="0"/>
                <w:spacing w:val="-4"/>
                <w:sz w:val="20"/>
              </w:rPr>
              <w:t> </w:t>
            </w:r>
            <w:r>
              <w:rPr>
                <w:rFonts w:ascii="Calibri Light"/>
                <w:b w:val="0"/>
                <w:sz w:val="20"/>
              </w:rPr>
              <w:t>LAKE</w:t>
            </w:r>
            <w:r>
              <w:rPr>
                <w:rFonts w:ascii="Calibri Light"/>
                <w:b w:val="0"/>
                <w:spacing w:val="-4"/>
                <w:sz w:val="20"/>
              </w:rPr>
              <w:t> ROAD</w:t>
            </w:r>
          </w:p>
          <w:p>
            <w:pPr>
              <w:pStyle w:val="TableParagraph"/>
              <w:tabs>
                <w:tab w:pos="1367" w:val="left" w:leader="none"/>
              </w:tabs>
              <w:spacing w:before="56"/>
              <w:ind w:left="215"/>
              <w:rPr>
                <w:rFonts w:ascii="Calibri Light"/>
                <w:b w:val="0"/>
                <w:sz w:val="20"/>
              </w:rPr>
            </w:pPr>
            <w:r>
              <w:rPr>
                <w:rFonts w:ascii="Calibri Light"/>
                <w:b w:val="0"/>
                <w:spacing w:val="-2"/>
                <w:sz w:val="20"/>
              </w:rPr>
              <w:t>5300000</w:t>
            </w:r>
            <w:r>
              <w:rPr>
                <w:rFonts w:ascii="Calibri Light"/>
                <w:b w:val="0"/>
                <w:sz w:val="20"/>
              </w:rPr>
              <w:tab/>
              <w:t>SCATTER</w:t>
            </w:r>
            <w:r>
              <w:rPr>
                <w:rFonts w:ascii="Calibri Light"/>
                <w:b w:val="0"/>
                <w:spacing w:val="-12"/>
                <w:sz w:val="20"/>
              </w:rPr>
              <w:t> </w:t>
            </w:r>
            <w:r>
              <w:rPr>
                <w:rFonts w:ascii="Calibri Light"/>
                <w:b w:val="0"/>
                <w:spacing w:val="-4"/>
                <w:sz w:val="20"/>
              </w:rPr>
              <w:t>CREEK</w:t>
            </w:r>
          </w:p>
          <w:p>
            <w:pPr>
              <w:pStyle w:val="TableParagraph"/>
              <w:tabs>
                <w:tab w:pos="1367" w:val="left" w:leader="none"/>
              </w:tabs>
              <w:spacing w:before="56"/>
              <w:ind w:left="215"/>
              <w:rPr>
                <w:rFonts w:ascii="Calibri Light"/>
                <w:b w:val="0"/>
                <w:sz w:val="20"/>
              </w:rPr>
            </w:pPr>
            <w:r>
              <w:rPr>
                <w:rFonts w:ascii="Calibri Light"/>
                <w:b w:val="0"/>
                <w:spacing w:val="-2"/>
                <w:sz w:val="20"/>
              </w:rPr>
              <w:t>WA-</w:t>
            </w:r>
            <w:r>
              <w:rPr>
                <w:rFonts w:ascii="Calibri Light"/>
                <w:b w:val="0"/>
                <w:spacing w:val="-5"/>
                <w:sz w:val="20"/>
              </w:rPr>
              <w:t>20</w:t>
            </w:r>
            <w:r>
              <w:rPr>
                <w:rFonts w:ascii="Calibri Light"/>
                <w:b w:val="0"/>
                <w:sz w:val="20"/>
              </w:rPr>
              <w:tab/>
              <w:t>STATE</w:t>
            </w:r>
            <w:r>
              <w:rPr>
                <w:rFonts w:ascii="Calibri Light"/>
                <w:b w:val="0"/>
                <w:spacing w:val="-7"/>
                <w:sz w:val="20"/>
              </w:rPr>
              <w:t> </w:t>
            </w:r>
            <w:r>
              <w:rPr>
                <w:rFonts w:ascii="Calibri Light"/>
                <w:b w:val="0"/>
                <w:sz w:val="20"/>
              </w:rPr>
              <w:t>ROUTE</w:t>
            </w:r>
            <w:r>
              <w:rPr>
                <w:rFonts w:ascii="Calibri Light"/>
                <w:b w:val="0"/>
                <w:spacing w:val="-6"/>
                <w:sz w:val="20"/>
              </w:rPr>
              <w:t> </w:t>
            </w:r>
            <w:r>
              <w:rPr>
                <w:rFonts w:ascii="Calibri Light"/>
                <w:b w:val="0"/>
                <w:spacing w:val="-2"/>
                <w:sz w:val="20"/>
              </w:rPr>
              <w:t>20/2000</w:t>
            </w:r>
          </w:p>
          <w:p>
            <w:pPr>
              <w:pStyle w:val="TableParagraph"/>
              <w:tabs>
                <w:tab w:pos="1367" w:val="left" w:leader="none"/>
              </w:tabs>
              <w:spacing w:before="56"/>
              <w:ind w:left="215"/>
              <w:rPr>
                <w:rFonts w:ascii="Calibri Light"/>
                <w:b w:val="0"/>
                <w:sz w:val="20"/>
              </w:rPr>
            </w:pPr>
            <w:r>
              <w:rPr>
                <w:rFonts w:ascii="Calibri Light"/>
                <w:b w:val="0"/>
                <w:spacing w:val="-2"/>
                <w:sz w:val="20"/>
              </w:rPr>
              <w:t>WA-</w:t>
            </w:r>
            <w:r>
              <w:rPr>
                <w:rFonts w:ascii="Calibri Light"/>
                <w:b w:val="0"/>
                <w:spacing w:val="-5"/>
                <w:sz w:val="20"/>
              </w:rPr>
              <w:t>21</w:t>
            </w:r>
            <w:r>
              <w:rPr>
                <w:rFonts w:ascii="Calibri Light"/>
                <w:b w:val="0"/>
                <w:sz w:val="20"/>
              </w:rPr>
              <w:tab/>
              <w:t>STATE</w:t>
            </w:r>
            <w:r>
              <w:rPr>
                <w:rFonts w:ascii="Calibri Light"/>
                <w:b w:val="0"/>
                <w:spacing w:val="-7"/>
                <w:sz w:val="20"/>
              </w:rPr>
              <w:t> </w:t>
            </w:r>
            <w:r>
              <w:rPr>
                <w:rFonts w:ascii="Calibri Light"/>
                <w:b w:val="0"/>
                <w:sz w:val="20"/>
              </w:rPr>
              <w:t>ROUTE</w:t>
            </w:r>
            <w:r>
              <w:rPr>
                <w:rFonts w:ascii="Calibri Light"/>
                <w:b w:val="0"/>
                <w:spacing w:val="-6"/>
                <w:sz w:val="20"/>
              </w:rPr>
              <w:t> </w:t>
            </w:r>
            <w:r>
              <w:rPr>
                <w:rFonts w:ascii="Calibri Light"/>
                <w:b w:val="0"/>
                <w:spacing w:val="-5"/>
                <w:sz w:val="20"/>
              </w:rPr>
              <w:t>21</w:t>
            </w:r>
          </w:p>
          <w:p>
            <w:pPr>
              <w:pStyle w:val="TableParagraph"/>
              <w:tabs>
                <w:tab w:pos="1367" w:val="left" w:leader="none"/>
              </w:tabs>
              <w:spacing w:before="56"/>
              <w:ind w:left="215"/>
              <w:rPr>
                <w:rFonts w:ascii="Calibri Light"/>
                <w:b w:val="0"/>
                <w:sz w:val="20"/>
              </w:rPr>
            </w:pPr>
            <w:r>
              <w:rPr>
                <w:rFonts w:ascii="Calibri Light"/>
                <w:b w:val="0"/>
                <w:spacing w:val="-4"/>
                <w:sz w:val="20"/>
              </w:rPr>
              <w:t>C502</w:t>
            </w:r>
            <w:r>
              <w:rPr>
                <w:rFonts w:ascii="Calibri Light"/>
                <w:b w:val="0"/>
                <w:sz w:val="20"/>
              </w:rPr>
              <w:tab/>
              <w:t>TORODA</w:t>
            </w:r>
            <w:r>
              <w:rPr>
                <w:rFonts w:ascii="Calibri Light"/>
                <w:b w:val="0"/>
                <w:spacing w:val="-7"/>
                <w:sz w:val="20"/>
              </w:rPr>
              <w:t> </w:t>
            </w:r>
            <w:r>
              <w:rPr>
                <w:rFonts w:ascii="Calibri Light"/>
                <w:b w:val="0"/>
                <w:spacing w:val="-2"/>
                <w:sz w:val="20"/>
              </w:rPr>
              <w:t>CREEK</w:t>
            </w:r>
          </w:p>
          <w:p>
            <w:pPr>
              <w:pStyle w:val="TableParagraph"/>
              <w:tabs>
                <w:tab w:pos="1367" w:val="left" w:leader="none"/>
              </w:tabs>
              <w:spacing w:before="55"/>
              <w:ind w:left="215"/>
              <w:rPr>
                <w:rFonts w:ascii="Calibri Light"/>
                <w:b w:val="0"/>
                <w:sz w:val="20"/>
              </w:rPr>
            </w:pPr>
            <w:r>
              <w:rPr>
                <w:rFonts w:ascii="Calibri Light"/>
                <w:b w:val="0"/>
                <w:spacing w:val="-4"/>
                <w:sz w:val="20"/>
              </w:rPr>
              <w:t>C501</w:t>
            </w:r>
            <w:r>
              <w:rPr>
                <w:rFonts w:ascii="Calibri Light"/>
                <w:b w:val="0"/>
                <w:sz w:val="20"/>
              </w:rPr>
              <w:tab/>
              <w:t>WEST</w:t>
            </w:r>
            <w:r>
              <w:rPr>
                <w:rFonts w:ascii="Calibri Light"/>
                <w:b w:val="0"/>
                <w:spacing w:val="-7"/>
                <w:sz w:val="20"/>
              </w:rPr>
              <w:t> </w:t>
            </w:r>
            <w:r>
              <w:rPr>
                <w:rFonts w:ascii="Calibri Light"/>
                <w:b w:val="0"/>
                <w:sz w:val="20"/>
              </w:rPr>
              <w:t>KETTLE</w:t>
            </w:r>
            <w:r>
              <w:rPr>
                <w:rFonts w:ascii="Calibri Light"/>
                <w:b w:val="0"/>
                <w:spacing w:val="-5"/>
                <w:sz w:val="20"/>
              </w:rPr>
              <w:t> </w:t>
            </w:r>
            <w:r>
              <w:rPr>
                <w:rFonts w:ascii="Calibri Light"/>
                <w:b w:val="0"/>
                <w:sz w:val="20"/>
              </w:rPr>
              <w:t>RIVER</w:t>
            </w:r>
            <w:r>
              <w:rPr>
                <w:rFonts w:ascii="Calibri Light"/>
                <w:b w:val="0"/>
                <w:spacing w:val="-7"/>
                <w:sz w:val="20"/>
              </w:rPr>
              <w:t> </w:t>
            </w:r>
            <w:r>
              <w:rPr>
                <w:rFonts w:ascii="Calibri Light"/>
                <w:b w:val="0"/>
                <w:spacing w:val="-5"/>
                <w:sz w:val="20"/>
              </w:rPr>
              <w:t>RD</w:t>
            </w:r>
          </w:p>
        </w:tc>
        <w:tc>
          <w:tcPr>
            <w:tcW w:w="4320" w:type="dxa"/>
          </w:tcPr>
          <w:p>
            <w:pPr>
              <w:pStyle w:val="TableParagraph"/>
              <w:spacing w:before="1"/>
              <w:ind w:left="254" w:right="515"/>
              <w:rPr>
                <w:rFonts w:ascii="Calibri Light"/>
                <w:b w:val="0"/>
                <w:sz w:val="20"/>
              </w:rPr>
            </w:pPr>
            <w:r>
              <w:rPr>
                <w:rFonts w:ascii="Calibri Light"/>
                <w:b w:val="0"/>
                <w:spacing w:val="-2"/>
                <w:sz w:val="20"/>
              </w:rPr>
              <w:t>Concern</w:t>
            </w:r>
            <w:r>
              <w:rPr>
                <w:rFonts w:ascii="Calibri Light"/>
                <w:b w:val="0"/>
                <w:spacing w:val="-6"/>
                <w:sz w:val="20"/>
              </w:rPr>
              <w:t> </w:t>
            </w:r>
            <w:r>
              <w:rPr>
                <w:rFonts w:ascii="Calibri Light"/>
                <w:b w:val="0"/>
                <w:spacing w:val="-2"/>
                <w:sz w:val="20"/>
              </w:rPr>
              <w:t>Level</w:t>
            </w:r>
            <w:r>
              <w:rPr>
                <w:rFonts w:ascii="Calibri Light"/>
                <w:b w:val="0"/>
                <w:spacing w:val="-6"/>
                <w:sz w:val="20"/>
              </w:rPr>
              <w:t> </w:t>
            </w:r>
            <w:r>
              <w:rPr>
                <w:rFonts w:ascii="Calibri Light"/>
                <w:b w:val="0"/>
                <w:spacing w:val="-2"/>
                <w:sz w:val="20"/>
              </w:rPr>
              <w:t>2</w:t>
            </w:r>
            <w:r>
              <w:rPr>
                <w:rFonts w:ascii="Calibri Light"/>
                <w:b w:val="0"/>
                <w:spacing w:val="-6"/>
                <w:sz w:val="20"/>
              </w:rPr>
              <w:t> </w:t>
            </w:r>
            <w:r>
              <w:rPr>
                <w:rFonts w:ascii="Calibri Light"/>
                <w:b w:val="0"/>
                <w:spacing w:val="-2"/>
                <w:sz w:val="20"/>
              </w:rPr>
              <w:t>Travel</w:t>
            </w:r>
            <w:r>
              <w:rPr>
                <w:rFonts w:ascii="Calibri Light"/>
                <w:b w:val="0"/>
                <w:spacing w:val="-6"/>
                <w:sz w:val="20"/>
              </w:rPr>
              <w:t> </w:t>
            </w:r>
            <w:r>
              <w:rPr>
                <w:rFonts w:ascii="Calibri Light"/>
                <w:b w:val="0"/>
                <w:spacing w:val="-2"/>
                <w:sz w:val="20"/>
              </w:rPr>
              <w:t>Route</w:t>
            </w:r>
            <w:r>
              <w:rPr>
                <w:rFonts w:ascii="Calibri Light"/>
                <w:b w:val="0"/>
                <w:spacing w:val="-3"/>
                <w:sz w:val="20"/>
              </w:rPr>
              <w:t> </w:t>
            </w:r>
            <w:r>
              <w:rPr>
                <w:rFonts w:ascii="Calibri Light"/>
                <w:b w:val="0"/>
                <w:spacing w:val="-2"/>
                <w:sz w:val="20"/>
              </w:rPr>
              <w:t>Viewsheds (High</w:t>
            </w:r>
            <w:r>
              <w:rPr>
                <w:rFonts w:ascii="Calibri Light"/>
                <w:b w:val="0"/>
                <w:spacing w:val="-5"/>
                <w:sz w:val="20"/>
              </w:rPr>
              <w:t> </w:t>
            </w:r>
            <w:r>
              <w:rPr>
                <w:rFonts w:ascii="Calibri Light"/>
                <w:b w:val="0"/>
                <w:spacing w:val="-2"/>
                <w:sz w:val="20"/>
              </w:rPr>
              <w:t>SIO</w:t>
            </w:r>
            <w:r>
              <w:rPr>
                <w:rFonts w:ascii="Calibri Light"/>
                <w:b w:val="0"/>
                <w:spacing w:val="-5"/>
                <w:sz w:val="20"/>
              </w:rPr>
              <w:t> </w:t>
            </w:r>
            <w:r>
              <w:rPr>
                <w:rFonts w:ascii="Calibri Light"/>
                <w:b w:val="0"/>
                <w:spacing w:val="-2"/>
                <w:sz w:val="20"/>
              </w:rPr>
              <w:t>FG, High</w:t>
            </w:r>
            <w:r>
              <w:rPr>
                <w:rFonts w:ascii="Calibri Light"/>
                <w:b w:val="0"/>
                <w:spacing w:val="-5"/>
                <w:sz w:val="20"/>
              </w:rPr>
              <w:t> </w:t>
            </w:r>
            <w:r>
              <w:rPr>
                <w:rFonts w:ascii="Calibri Light"/>
                <w:b w:val="0"/>
                <w:spacing w:val="-2"/>
                <w:sz w:val="20"/>
              </w:rPr>
              <w:t>to</w:t>
            </w:r>
            <w:r>
              <w:rPr>
                <w:rFonts w:ascii="Calibri Light"/>
                <w:b w:val="0"/>
                <w:spacing w:val="-4"/>
                <w:sz w:val="20"/>
              </w:rPr>
              <w:t> </w:t>
            </w:r>
            <w:r>
              <w:rPr>
                <w:rFonts w:ascii="Calibri Light"/>
                <w:b w:val="0"/>
                <w:spacing w:val="-2"/>
                <w:sz w:val="20"/>
              </w:rPr>
              <w:t>Moderate MG</w:t>
            </w:r>
            <w:r>
              <w:rPr>
                <w:rFonts w:ascii="Calibri Light"/>
                <w:b w:val="0"/>
                <w:spacing w:val="-4"/>
                <w:sz w:val="20"/>
              </w:rPr>
              <w:t> SIO)</w:t>
            </w:r>
          </w:p>
          <w:p>
            <w:pPr>
              <w:pStyle w:val="TableParagraph"/>
              <w:tabs>
                <w:tab w:pos="1278" w:val="left" w:leader="none"/>
              </w:tabs>
              <w:spacing w:line="295" w:lineRule="auto" w:before="57"/>
              <w:ind w:left="215" w:right="2530"/>
              <w:rPr>
                <w:rFonts w:ascii="Calibri Light"/>
                <w:b w:val="0"/>
                <w:sz w:val="20"/>
              </w:rPr>
            </w:pPr>
            <w:r>
              <w:rPr>
                <w:rFonts w:ascii="Calibri Light"/>
                <w:b w:val="0"/>
                <w:spacing w:val="-2"/>
                <w:sz w:val="20"/>
              </w:rPr>
              <w:t>RTE_NO</w:t>
            </w:r>
            <w:r>
              <w:rPr>
                <w:rFonts w:ascii="Calibri Light"/>
                <w:b w:val="0"/>
                <w:sz w:val="20"/>
              </w:rPr>
              <w:tab/>
            </w:r>
            <w:r>
              <w:rPr>
                <w:rFonts w:ascii="Calibri Light"/>
                <w:b w:val="0"/>
                <w:spacing w:val="-4"/>
                <w:sz w:val="20"/>
              </w:rPr>
              <w:t>NAME </w:t>
            </w:r>
            <w:r>
              <w:rPr>
                <w:rFonts w:ascii="Calibri Light"/>
                <w:b w:val="0"/>
                <w:spacing w:val="-2"/>
                <w:sz w:val="20"/>
              </w:rPr>
              <w:t>2053000</w:t>
            </w:r>
          </w:p>
          <w:p>
            <w:pPr>
              <w:pStyle w:val="TableParagraph"/>
              <w:spacing w:line="186" w:lineRule="exact" w:before="0"/>
              <w:ind w:left="215"/>
              <w:rPr>
                <w:rFonts w:ascii="Calibri Light"/>
                <w:b w:val="0"/>
                <w:sz w:val="20"/>
              </w:rPr>
            </w:pPr>
            <w:r>
              <w:rPr>
                <w:rFonts w:ascii="Calibri Light"/>
                <w:b w:val="0"/>
                <w:spacing w:val="-2"/>
                <w:sz w:val="20"/>
              </w:rPr>
              <w:t>2086000</w:t>
            </w:r>
          </w:p>
          <w:p>
            <w:pPr>
              <w:pStyle w:val="TableParagraph"/>
              <w:spacing w:before="0"/>
              <w:ind w:left="215"/>
              <w:rPr>
                <w:rFonts w:ascii="Calibri Light"/>
                <w:b w:val="0"/>
                <w:sz w:val="20"/>
              </w:rPr>
            </w:pPr>
            <w:r>
              <w:rPr>
                <w:rFonts w:ascii="Calibri Light"/>
                <w:b w:val="0"/>
                <w:spacing w:val="-2"/>
                <w:sz w:val="20"/>
              </w:rPr>
              <w:t>2086480</w:t>
            </w:r>
          </w:p>
          <w:p>
            <w:pPr>
              <w:pStyle w:val="TableParagraph"/>
              <w:spacing w:before="1"/>
              <w:ind w:left="215"/>
              <w:rPr>
                <w:rFonts w:ascii="Calibri Light"/>
                <w:b w:val="0"/>
                <w:sz w:val="20"/>
              </w:rPr>
            </w:pPr>
            <w:r>
              <w:rPr>
                <w:rFonts w:ascii="Calibri Light"/>
                <w:b w:val="0"/>
                <w:spacing w:val="-2"/>
                <w:sz w:val="20"/>
              </w:rPr>
              <w:t>2148000</w:t>
            </w:r>
          </w:p>
          <w:p>
            <w:pPr>
              <w:pStyle w:val="TableParagraph"/>
              <w:spacing w:before="1"/>
              <w:ind w:left="215" w:right="3269"/>
              <w:rPr>
                <w:rFonts w:ascii="Calibri Light"/>
                <w:b w:val="0"/>
                <w:sz w:val="20"/>
              </w:rPr>
            </w:pPr>
            <w:r>
              <w:rPr>
                <w:rFonts w:ascii="Calibri Light"/>
                <w:b w:val="0"/>
                <w:spacing w:val="-4"/>
                <w:sz w:val="20"/>
              </w:rPr>
              <w:t>C201</w:t>
            </w:r>
            <w:r>
              <w:rPr>
                <w:rFonts w:ascii="Calibri Light"/>
                <w:b w:val="0"/>
                <w:spacing w:val="40"/>
                <w:sz w:val="20"/>
              </w:rPr>
              <w:t> </w:t>
            </w:r>
            <w:r>
              <w:rPr>
                <w:rFonts w:ascii="Calibri Light"/>
                <w:b w:val="0"/>
                <w:spacing w:val="-4"/>
                <w:sz w:val="20"/>
              </w:rPr>
              <w:t>C212 </w:t>
            </w:r>
            <w:r>
              <w:rPr>
                <w:rFonts w:ascii="Calibri Light"/>
                <w:b w:val="0"/>
                <w:spacing w:val="-2"/>
                <w:sz w:val="20"/>
              </w:rPr>
              <w:t>C514-</w:t>
            </w:r>
            <w:r>
              <w:rPr>
                <w:rFonts w:ascii="Calibri Light"/>
                <w:b w:val="0"/>
                <w:spacing w:val="-2"/>
                <w:sz w:val="20"/>
              </w:rPr>
              <w:t>08.3</w:t>
            </w:r>
          </w:p>
          <w:p>
            <w:pPr>
              <w:pStyle w:val="TableParagraph"/>
              <w:tabs>
                <w:tab w:pos="1278" w:val="left" w:leader="none"/>
              </w:tabs>
              <w:spacing w:before="0"/>
              <w:ind w:left="1278" w:right="456" w:hanging="1064"/>
              <w:rPr>
                <w:rFonts w:ascii="Calibri Light"/>
                <w:b w:val="0"/>
                <w:sz w:val="20"/>
              </w:rPr>
            </w:pPr>
            <w:r>
              <w:rPr>
                <w:rFonts w:ascii="Calibri Light"/>
                <w:b w:val="0"/>
                <w:spacing w:val="-4"/>
                <w:sz w:val="20"/>
              </w:rPr>
              <w:t>C514</w:t>
            </w:r>
            <w:r>
              <w:rPr>
                <w:rFonts w:ascii="Calibri Light"/>
                <w:b w:val="0"/>
                <w:sz w:val="20"/>
              </w:rPr>
              <w:tab/>
              <w:t>2086/WEST</w:t>
            </w:r>
            <w:r>
              <w:rPr>
                <w:rFonts w:ascii="Calibri Light"/>
                <w:b w:val="0"/>
                <w:spacing w:val="-12"/>
                <w:sz w:val="20"/>
              </w:rPr>
              <w:t> </w:t>
            </w:r>
            <w:r>
              <w:rPr>
                <w:rFonts w:ascii="Calibri Light"/>
                <w:b w:val="0"/>
                <w:sz w:val="20"/>
              </w:rPr>
              <w:t>FORK</w:t>
            </w:r>
            <w:r>
              <w:rPr>
                <w:rFonts w:ascii="Calibri Light"/>
                <w:b w:val="0"/>
                <w:spacing w:val="-11"/>
                <w:sz w:val="20"/>
              </w:rPr>
              <w:t> </w:t>
            </w:r>
            <w:r>
              <w:rPr>
                <w:rFonts w:ascii="Calibri Light"/>
                <w:b w:val="0"/>
                <w:sz w:val="20"/>
              </w:rPr>
              <w:t>TROUT</w:t>
            </w:r>
            <w:r>
              <w:rPr>
                <w:rFonts w:ascii="Calibri Light"/>
                <w:b w:val="0"/>
                <w:spacing w:val="-11"/>
                <w:sz w:val="20"/>
              </w:rPr>
              <w:t> </w:t>
            </w:r>
            <w:r>
              <w:rPr>
                <w:rFonts w:ascii="Calibri Light"/>
                <w:b w:val="0"/>
                <w:sz w:val="20"/>
              </w:rPr>
              <w:t>CREEK DEER CREEK SUMMIT NORTH DEER CREEK SUMMIT SOUTH</w:t>
            </w:r>
          </w:p>
          <w:p>
            <w:pPr>
              <w:pStyle w:val="TableParagraph"/>
              <w:tabs>
                <w:tab w:pos="1278" w:val="left" w:leader="none"/>
              </w:tabs>
              <w:spacing w:before="54"/>
              <w:ind w:left="215"/>
              <w:rPr>
                <w:rFonts w:ascii="Calibri Light"/>
                <w:b w:val="0"/>
                <w:sz w:val="20"/>
              </w:rPr>
            </w:pPr>
            <w:r>
              <w:rPr>
                <w:rFonts w:ascii="Calibri Light"/>
                <w:b w:val="0"/>
                <w:spacing w:val="-2"/>
                <w:sz w:val="20"/>
              </w:rPr>
              <w:t>2050600</w:t>
            </w:r>
            <w:r>
              <w:rPr>
                <w:rFonts w:ascii="Calibri Light"/>
                <w:b w:val="0"/>
                <w:sz w:val="20"/>
              </w:rPr>
              <w:tab/>
              <w:t>EAST</w:t>
            </w:r>
            <w:r>
              <w:rPr>
                <w:rFonts w:ascii="Calibri Light"/>
                <w:b w:val="0"/>
                <w:spacing w:val="-5"/>
                <w:sz w:val="20"/>
              </w:rPr>
              <w:t> </w:t>
            </w:r>
            <w:r>
              <w:rPr>
                <w:rFonts w:ascii="Calibri Light"/>
                <w:b w:val="0"/>
                <w:sz w:val="20"/>
              </w:rPr>
              <w:t>FORK</w:t>
            </w:r>
            <w:r>
              <w:rPr>
                <w:rFonts w:ascii="Calibri Light"/>
                <w:b w:val="0"/>
                <w:spacing w:val="-5"/>
                <w:sz w:val="20"/>
              </w:rPr>
              <w:t> </w:t>
            </w:r>
            <w:r>
              <w:rPr>
                <w:rFonts w:ascii="Calibri Light"/>
                <w:b w:val="0"/>
                <w:sz w:val="20"/>
              </w:rPr>
              <w:t>HALL</w:t>
            </w:r>
            <w:r>
              <w:rPr>
                <w:rFonts w:ascii="Calibri Light"/>
                <w:b w:val="0"/>
                <w:spacing w:val="-4"/>
                <w:sz w:val="20"/>
              </w:rPr>
              <w:t> </w:t>
            </w:r>
            <w:r>
              <w:rPr>
                <w:rFonts w:ascii="Calibri Light"/>
                <w:b w:val="0"/>
                <w:spacing w:val="-2"/>
                <w:sz w:val="20"/>
              </w:rPr>
              <w:t>CREEK</w:t>
            </w:r>
          </w:p>
          <w:p>
            <w:pPr>
              <w:pStyle w:val="TableParagraph"/>
              <w:tabs>
                <w:tab w:pos="1278" w:val="left" w:leader="none"/>
              </w:tabs>
              <w:spacing w:before="1"/>
              <w:ind w:left="215"/>
              <w:rPr>
                <w:rFonts w:ascii="Calibri Light"/>
                <w:b w:val="0"/>
                <w:sz w:val="20"/>
              </w:rPr>
            </w:pPr>
            <w:r>
              <w:rPr>
                <w:rFonts w:ascii="Calibri Light"/>
                <w:b w:val="0"/>
                <w:spacing w:val="-2"/>
                <w:sz w:val="20"/>
              </w:rPr>
              <w:t>2150000</w:t>
            </w:r>
            <w:r>
              <w:rPr>
                <w:rFonts w:ascii="Calibri Light"/>
                <w:b w:val="0"/>
                <w:sz w:val="20"/>
              </w:rPr>
              <w:tab/>
            </w:r>
            <w:r>
              <w:rPr>
                <w:rFonts w:ascii="Calibri Light"/>
                <w:b w:val="0"/>
                <w:spacing w:val="-2"/>
                <w:sz w:val="20"/>
              </w:rPr>
              <w:t>EMPIRE</w:t>
            </w:r>
          </w:p>
          <w:p>
            <w:pPr>
              <w:pStyle w:val="TableParagraph"/>
              <w:tabs>
                <w:tab w:pos="1278" w:val="left" w:leader="none"/>
              </w:tabs>
              <w:spacing w:before="55"/>
              <w:ind w:left="215"/>
              <w:rPr>
                <w:rFonts w:ascii="Calibri Light"/>
                <w:b w:val="0"/>
                <w:sz w:val="20"/>
              </w:rPr>
            </w:pPr>
            <w:r>
              <w:rPr>
                <w:rFonts w:ascii="Calibri Light"/>
                <w:b w:val="0"/>
                <w:spacing w:val="-2"/>
                <w:sz w:val="20"/>
              </w:rPr>
              <w:t>5330000</w:t>
            </w:r>
            <w:r>
              <w:rPr>
                <w:rFonts w:ascii="Calibri Light"/>
                <w:b w:val="0"/>
                <w:sz w:val="20"/>
              </w:rPr>
              <w:tab/>
            </w:r>
            <w:r>
              <w:rPr>
                <w:rFonts w:ascii="Calibri Light"/>
                <w:b w:val="0"/>
                <w:spacing w:val="-2"/>
                <w:sz w:val="20"/>
              </w:rPr>
              <w:t>GAFFNEY</w:t>
            </w:r>
          </w:p>
          <w:p>
            <w:pPr>
              <w:pStyle w:val="TableParagraph"/>
              <w:tabs>
                <w:tab w:pos="1278" w:val="left" w:leader="none"/>
              </w:tabs>
              <w:spacing w:before="56"/>
              <w:ind w:left="215"/>
              <w:rPr>
                <w:rFonts w:ascii="Calibri Light"/>
                <w:b w:val="0"/>
                <w:sz w:val="20"/>
              </w:rPr>
            </w:pPr>
            <w:r>
              <w:rPr>
                <w:rFonts w:ascii="Calibri Light"/>
                <w:b w:val="0"/>
                <w:spacing w:val="-2"/>
                <w:sz w:val="20"/>
              </w:rPr>
              <w:t>3125000</w:t>
            </w:r>
            <w:r>
              <w:rPr>
                <w:rFonts w:ascii="Calibri Light"/>
                <w:b w:val="0"/>
                <w:sz w:val="20"/>
              </w:rPr>
              <w:tab/>
            </w:r>
            <w:r>
              <w:rPr>
                <w:rFonts w:ascii="Calibri Light"/>
                <w:b w:val="0"/>
                <w:spacing w:val="-2"/>
                <w:sz w:val="20"/>
              </w:rPr>
              <w:t>GARDNER</w:t>
            </w:r>
          </w:p>
          <w:p>
            <w:pPr>
              <w:pStyle w:val="TableParagraph"/>
              <w:tabs>
                <w:tab w:pos="1278" w:val="left" w:leader="none"/>
              </w:tabs>
              <w:spacing w:line="295" w:lineRule="auto" w:before="56"/>
              <w:ind w:left="215" w:right="1924"/>
              <w:rPr>
                <w:rFonts w:ascii="Calibri Light"/>
                <w:b w:val="0"/>
                <w:sz w:val="20"/>
              </w:rPr>
            </w:pPr>
            <w:r>
              <w:rPr>
                <w:rFonts w:ascii="Calibri Light"/>
                <w:b w:val="0"/>
                <w:spacing w:val="-2"/>
                <w:sz w:val="20"/>
              </w:rPr>
              <w:t>2149000</w:t>
            </w:r>
            <w:r>
              <w:rPr>
                <w:rFonts w:ascii="Calibri Light"/>
                <w:b w:val="0"/>
                <w:sz w:val="20"/>
              </w:rPr>
              <w:tab/>
            </w:r>
            <w:r>
              <w:rPr>
                <w:rFonts w:ascii="Calibri Light"/>
                <w:b w:val="0"/>
                <w:spacing w:val="-2"/>
                <w:sz w:val="20"/>
              </w:rPr>
              <w:t>GOODRICH </w:t>
            </w:r>
            <w:r>
              <w:rPr>
                <w:rFonts w:ascii="Calibri Light"/>
                <w:b w:val="0"/>
                <w:spacing w:val="-4"/>
                <w:sz w:val="20"/>
              </w:rPr>
              <w:t>C99</w:t>
            </w:r>
            <w:r>
              <w:rPr>
                <w:rFonts w:ascii="Calibri Light"/>
                <w:b w:val="0"/>
                <w:sz w:val="20"/>
              </w:rPr>
              <w:tab/>
              <w:t>HALL CREEK </w:t>
            </w:r>
            <w:r>
              <w:rPr>
                <w:rFonts w:ascii="Calibri Light"/>
                <w:b w:val="0"/>
                <w:spacing w:val="-2"/>
                <w:sz w:val="20"/>
              </w:rPr>
              <w:t>2149600</w:t>
            </w:r>
            <w:r>
              <w:rPr>
                <w:rFonts w:ascii="Calibri Light"/>
                <w:b w:val="0"/>
                <w:sz w:val="20"/>
              </w:rPr>
              <w:tab/>
              <w:t>HENRY</w:t>
            </w:r>
            <w:r>
              <w:rPr>
                <w:rFonts w:ascii="Calibri Light"/>
                <w:b w:val="0"/>
                <w:spacing w:val="-12"/>
                <w:sz w:val="20"/>
              </w:rPr>
              <w:t> </w:t>
            </w:r>
            <w:r>
              <w:rPr>
                <w:rFonts w:ascii="Calibri Light"/>
                <w:b w:val="0"/>
                <w:sz w:val="20"/>
              </w:rPr>
              <w:t>CREEK</w:t>
            </w:r>
          </w:p>
          <w:p>
            <w:pPr>
              <w:pStyle w:val="TableParagraph"/>
              <w:tabs>
                <w:tab w:pos="1278" w:val="left" w:leader="none"/>
              </w:tabs>
              <w:spacing w:line="243" w:lineRule="exact" w:before="0"/>
              <w:ind w:left="215"/>
              <w:rPr>
                <w:rFonts w:ascii="Calibri Light"/>
                <w:b w:val="0"/>
                <w:sz w:val="20"/>
              </w:rPr>
            </w:pPr>
            <w:r>
              <w:rPr>
                <w:rFonts w:ascii="Calibri Light"/>
                <w:b w:val="0"/>
                <w:spacing w:val="-2"/>
                <w:sz w:val="20"/>
              </w:rPr>
              <w:t>2149700</w:t>
            </w:r>
            <w:r>
              <w:rPr>
                <w:rFonts w:ascii="Calibri Light"/>
                <w:b w:val="0"/>
                <w:sz w:val="20"/>
              </w:rPr>
              <w:tab/>
            </w:r>
            <w:r>
              <w:rPr>
                <w:rFonts w:ascii="Calibri Light"/>
                <w:b w:val="0"/>
                <w:spacing w:val="-2"/>
                <w:sz w:val="20"/>
              </w:rPr>
              <w:t>KELLY</w:t>
            </w:r>
          </w:p>
          <w:p>
            <w:pPr>
              <w:pStyle w:val="TableParagraph"/>
              <w:tabs>
                <w:tab w:pos="1278" w:val="left" w:leader="none"/>
              </w:tabs>
              <w:spacing w:before="56"/>
              <w:ind w:left="215"/>
              <w:rPr>
                <w:rFonts w:ascii="Calibri Light"/>
                <w:b w:val="0"/>
                <w:sz w:val="20"/>
              </w:rPr>
            </w:pPr>
            <w:r>
              <w:rPr>
                <w:rFonts w:ascii="Calibri Light"/>
                <w:b w:val="0"/>
                <w:spacing w:val="-2"/>
                <w:sz w:val="20"/>
              </w:rPr>
              <w:t>2114000</w:t>
            </w:r>
            <w:r>
              <w:rPr>
                <w:rFonts w:ascii="Calibri Light"/>
                <w:b w:val="0"/>
                <w:sz w:val="20"/>
              </w:rPr>
              <w:tab/>
              <w:t>LITTLE</w:t>
            </w:r>
            <w:r>
              <w:rPr>
                <w:rFonts w:ascii="Calibri Light"/>
                <w:b w:val="0"/>
                <w:spacing w:val="-8"/>
                <w:sz w:val="20"/>
              </w:rPr>
              <w:t> </w:t>
            </w:r>
            <w:r>
              <w:rPr>
                <w:rFonts w:ascii="Calibri Light"/>
                <w:b w:val="0"/>
                <w:spacing w:val="-2"/>
                <w:sz w:val="20"/>
              </w:rPr>
              <w:t>VULCAN</w:t>
            </w:r>
          </w:p>
          <w:p>
            <w:pPr>
              <w:pStyle w:val="TableParagraph"/>
              <w:tabs>
                <w:tab w:pos="1278" w:val="left" w:leader="none"/>
              </w:tabs>
              <w:spacing w:before="1"/>
              <w:ind w:left="215" w:right="1280"/>
              <w:rPr>
                <w:rFonts w:ascii="Calibri Light"/>
                <w:b w:val="0"/>
                <w:sz w:val="20"/>
              </w:rPr>
            </w:pPr>
            <w:r>
              <w:rPr>
                <w:rFonts w:ascii="Calibri Light"/>
                <w:b w:val="0"/>
                <w:spacing w:val="-4"/>
                <w:sz w:val="20"/>
              </w:rPr>
              <w:t>C570</w:t>
            </w:r>
            <w:r>
              <w:rPr>
                <w:rFonts w:ascii="Calibri Light"/>
                <w:b w:val="0"/>
                <w:sz w:val="20"/>
              </w:rPr>
              <w:tab/>
              <w:t>LUNDIMO</w:t>
            </w:r>
            <w:r>
              <w:rPr>
                <w:rFonts w:ascii="Calibri Light"/>
                <w:b w:val="0"/>
                <w:spacing w:val="-12"/>
                <w:sz w:val="20"/>
              </w:rPr>
              <w:t> </w:t>
            </w:r>
            <w:r>
              <w:rPr>
                <w:rFonts w:ascii="Calibri Light"/>
                <w:b w:val="0"/>
                <w:sz w:val="20"/>
              </w:rPr>
              <w:t>MEADOWS </w:t>
            </w:r>
            <w:r>
              <w:rPr>
                <w:rFonts w:ascii="Calibri Light"/>
                <w:b w:val="0"/>
                <w:spacing w:val="-2"/>
                <w:sz w:val="20"/>
              </w:rPr>
              <w:t>3575000</w:t>
            </w:r>
            <w:r>
              <w:rPr>
                <w:rFonts w:ascii="Calibri Light"/>
                <w:b w:val="0"/>
                <w:sz w:val="20"/>
              </w:rPr>
              <w:tab/>
              <w:t>NICHOLSON CR</w:t>
            </w:r>
          </w:p>
          <w:p>
            <w:pPr>
              <w:pStyle w:val="TableParagraph"/>
              <w:tabs>
                <w:tab w:pos="1278" w:val="left" w:leader="none"/>
              </w:tabs>
              <w:spacing w:line="295" w:lineRule="auto" w:before="54"/>
              <w:ind w:left="215" w:right="811"/>
              <w:rPr>
                <w:rFonts w:ascii="Calibri Light"/>
                <w:b w:val="0"/>
                <w:sz w:val="20"/>
              </w:rPr>
            </w:pPr>
            <w:r>
              <w:rPr>
                <w:rFonts w:ascii="Calibri Light"/>
                <w:b w:val="0"/>
                <w:spacing w:val="-4"/>
                <w:sz w:val="20"/>
              </w:rPr>
              <w:t>C517</w:t>
            </w:r>
            <w:r>
              <w:rPr>
                <w:rFonts w:ascii="Calibri Light"/>
                <w:b w:val="0"/>
                <w:sz w:val="20"/>
              </w:rPr>
              <w:tab/>
              <w:t>NORTH</w:t>
            </w:r>
            <w:r>
              <w:rPr>
                <w:rFonts w:ascii="Calibri Light"/>
                <w:b w:val="0"/>
                <w:spacing w:val="-12"/>
                <w:sz w:val="20"/>
              </w:rPr>
              <w:t> </w:t>
            </w:r>
            <w:r>
              <w:rPr>
                <w:rFonts w:ascii="Calibri Light"/>
                <w:b w:val="0"/>
                <w:sz w:val="20"/>
              </w:rPr>
              <w:t>FORK</w:t>
            </w:r>
            <w:r>
              <w:rPr>
                <w:rFonts w:ascii="Calibri Light"/>
                <w:b w:val="0"/>
                <w:spacing w:val="-11"/>
                <w:sz w:val="20"/>
              </w:rPr>
              <w:t> </w:t>
            </w:r>
            <w:r>
              <w:rPr>
                <w:rFonts w:ascii="Calibri Light"/>
                <w:b w:val="0"/>
                <w:sz w:val="20"/>
              </w:rPr>
              <w:t>TROUT</w:t>
            </w:r>
            <w:r>
              <w:rPr>
                <w:rFonts w:ascii="Calibri Light"/>
                <w:b w:val="0"/>
                <w:spacing w:val="-11"/>
                <w:sz w:val="20"/>
              </w:rPr>
              <w:t> </w:t>
            </w:r>
            <w:r>
              <w:rPr>
                <w:rFonts w:ascii="Calibri Light"/>
                <w:b w:val="0"/>
                <w:sz w:val="20"/>
              </w:rPr>
              <w:t>CREEK </w:t>
            </w:r>
            <w:r>
              <w:rPr>
                <w:rFonts w:ascii="Calibri Light"/>
                <w:b w:val="0"/>
                <w:spacing w:val="-2"/>
                <w:sz w:val="20"/>
              </w:rPr>
              <w:t>5320000</w:t>
            </w:r>
            <w:r>
              <w:rPr>
                <w:rFonts w:ascii="Calibri Light"/>
                <w:b w:val="0"/>
                <w:sz w:val="20"/>
              </w:rPr>
              <w:tab/>
            </w:r>
            <w:r>
              <w:rPr>
                <w:rFonts w:ascii="Calibri Light"/>
                <w:b w:val="0"/>
                <w:spacing w:val="-2"/>
                <w:sz w:val="20"/>
              </w:rPr>
              <w:t>RATTLESNAKE</w:t>
            </w:r>
          </w:p>
          <w:p>
            <w:pPr>
              <w:pStyle w:val="TableParagraph"/>
              <w:tabs>
                <w:tab w:pos="1278" w:val="left" w:leader="none"/>
              </w:tabs>
              <w:spacing w:line="188" w:lineRule="exact" w:before="0"/>
              <w:ind w:left="215"/>
              <w:rPr>
                <w:rFonts w:ascii="Calibri Light"/>
                <w:b w:val="0"/>
                <w:sz w:val="20"/>
              </w:rPr>
            </w:pPr>
            <w:r>
              <w:rPr>
                <w:rFonts w:ascii="Calibri Light"/>
                <w:b w:val="0"/>
                <w:spacing w:val="-4"/>
                <w:sz w:val="20"/>
              </w:rPr>
              <w:t>C233</w:t>
            </w:r>
            <w:r>
              <w:rPr>
                <w:rFonts w:ascii="Calibri Light"/>
                <w:b w:val="0"/>
                <w:sz w:val="20"/>
              </w:rPr>
              <w:tab/>
            </w:r>
            <w:r>
              <w:rPr>
                <w:rFonts w:ascii="Calibri Light"/>
                <w:b w:val="0"/>
                <w:spacing w:val="-2"/>
                <w:sz w:val="20"/>
              </w:rPr>
              <w:t>REFRIGERATOR</w:t>
            </w:r>
            <w:r>
              <w:rPr>
                <w:rFonts w:ascii="Calibri Light"/>
                <w:b w:val="0"/>
                <w:spacing w:val="8"/>
                <w:sz w:val="20"/>
              </w:rPr>
              <w:t> </w:t>
            </w:r>
            <w:r>
              <w:rPr>
                <w:rFonts w:ascii="Calibri Light"/>
                <w:b w:val="0"/>
                <w:spacing w:val="-2"/>
                <w:sz w:val="20"/>
              </w:rPr>
              <w:t>CANYON</w:t>
            </w:r>
          </w:p>
          <w:p>
            <w:pPr>
              <w:pStyle w:val="TableParagraph"/>
              <w:tabs>
                <w:tab w:pos="1278" w:val="left" w:leader="none"/>
              </w:tabs>
              <w:spacing w:before="56"/>
              <w:ind w:left="215"/>
              <w:rPr>
                <w:rFonts w:ascii="Calibri Light"/>
                <w:b w:val="0"/>
                <w:sz w:val="20"/>
              </w:rPr>
            </w:pPr>
            <w:r>
              <w:rPr>
                <w:rFonts w:ascii="Calibri Light"/>
                <w:b w:val="0"/>
                <w:spacing w:val="-4"/>
                <w:sz w:val="20"/>
              </w:rPr>
              <w:t>C253</w:t>
            </w:r>
            <w:r>
              <w:rPr>
                <w:rFonts w:ascii="Calibri Light"/>
                <w:b w:val="0"/>
                <w:sz w:val="20"/>
              </w:rPr>
              <w:tab/>
            </w:r>
            <w:r>
              <w:rPr>
                <w:rFonts w:ascii="Calibri Light"/>
                <w:b w:val="0"/>
                <w:spacing w:val="-2"/>
                <w:sz w:val="20"/>
              </w:rPr>
              <w:t>SHERIDAN</w:t>
            </w:r>
          </w:p>
          <w:p>
            <w:pPr>
              <w:pStyle w:val="TableParagraph"/>
              <w:tabs>
                <w:tab w:pos="1278" w:val="left" w:leader="none"/>
              </w:tabs>
              <w:spacing w:before="56"/>
              <w:ind w:left="215" w:right="1679"/>
              <w:rPr>
                <w:rFonts w:ascii="Calibri Light"/>
                <w:b w:val="0"/>
                <w:sz w:val="20"/>
              </w:rPr>
            </w:pPr>
            <w:r>
              <w:rPr>
                <w:rFonts w:ascii="Calibri Light"/>
                <w:b w:val="0"/>
                <w:spacing w:val="-4"/>
                <w:sz w:val="20"/>
              </w:rPr>
              <w:t>C257</w:t>
            </w:r>
            <w:r>
              <w:rPr>
                <w:rFonts w:ascii="Calibri Light"/>
                <w:b w:val="0"/>
                <w:sz w:val="20"/>
              </w:rPr>
              <w:tab/>
              <w:t>SWAMP CREEK </w:t>
            </w:r>
            <w:r>
              <w:rPr>
                <w:rFonts w:ascii="Calibri Light"/>
                <w:b w:val="0"/>
                <w:spacing w:val="-2"/>
                <w:sz w:val="20"/>
              </w:rPr>
              <w:t>5314000</w:t>
            </w:r>
            <w:r>
              <w:rPr>
                <w:rFonts w:ascii="Calibri Light"/>
                <w:b w:val="0"/>
                <w:sz w:val="20"/>
              </w:rPr>
              <w:tab/>
              <w:t>SWAN</w:t>
            </w:r>
            <w:r>
              <w:rPr>
                <w:rFonts w:ascii="Calibri Light"/>
                <w:b w:val="0"/>
                <w:spacing w:val="-12"/>
                <w:sz w:val="20"/>
              </w:rPr>
              <w:t> </w:t>
            </w:r>
            <w:r>
              <w:rPr>
                <w:rFonts w:ascii="Calibri Light"/>
                <w:b w:val="0"/>
                <w:sz w:val="20"/>
              </w:rPr>
              <w:t>BUTTE</w:t>
            </w:r>
            <w:r>
              <w:rPr>
                <w:rFonts w:ascii="Calibri Light"/>
                <w:b w:val="0"/>
                <w:spacing w:val="-11"/>
                <w:sz w:val="20"/>
              </w:rPr>
              <w:t> </w:t>
            </w:r>
            <w:r>
              <w:rPr>
                <w:rFonts w:ascii="Calibri Light"/>
                <w:b w:val="0"/>
                <w:sz w:val="20"/>
              </w:rPr>
              <w:t>RD</w:t>
            </w:r>
          </w:p>
          <w:p>
            <w:pPr>
              <w:pStyle w:val="TableParagraph"/>
              <w:tabs>
                <w:tab w:pos="1278" w:val="left" w:leader="none"/>
              </w:tabs>
              <w:spacing w:line="243" w:lineRule="exact" w:before="56"/>
              <w:ind w:left="215"/>
              <w:rPr>
                <w:rFonts w:ascii="Calibri Light"/>
                <w:b w:val="0"/>
                <w:sz w:val="20"/>
              </w:rPr>
            </w:pPr>
            <w:r>
              <w:rPr>
                <w:rFonts w:ascii="Calibri Light"/>
                <w:b w:val="0"/>
                <w:spacing w:val="-2"/>
                <w:sz w:val="20"/>
              </w:rPr>
              <w:t>2113000</w:t>
            </w:r>
            <w:r>
              <w:rPr>
                <w:rFonts w:ascii="Calibri Light"/>
                <w:b w:val="0"/>
                <w:sz w:val="20"/>
              </w:rPr>
              <w:tab/>
            </w:r>
            <w:r>
              <w:rPr>
                <w:rFonts w:ascii="Calibri Light"/>
                <w:b w:val="0"/>
                <w:spacing w:val="-2"/>
                <w:sz w:val="20"/>
              </w:rPr>
              <w:t>VULCAN</w:t>
            </w:r>
          </w:p>
          <w:p>
            <w:pPr>
              <w:pStyle w:val="TableParagraph"/>
              <w:tabs>
                <w:tab w:pos="1278" w:val="left" w:leader="none"/>
              </w:tabs>
              <w:spacing w:line="243" w:lineRule="exact" w:before="0"/>
              <w:ind w:left="215"/>
              <w:rPr>
                <w:rFonts w:ascii="Calibri Light"/>
                <w:b w:val="0"/>
                <w:sz w:val="20"/>
              </w:rPr>
            </w:pPr>
            <w:r>
              <w:rPr>
                <w:rFonts w:ascii="Calibri Light"/>
                <w:b w:val="0"/>
                <w:spacing w:val="-4"/>
                <w:sz w:val="20"/>
              </w:rPr>
              <w:t>C615</w:t>
            </w:r>
            <w:r>
              <w:rPr>
                <w:rFonts w:ascii="Calibri Light"/>
                <w:b w:val="0"/>
                <w:sz w:val="20"/>
              </w:rPr>
              <w:tab/>
              <w:t>VULCAN</w:t>
            </w:r>
            <w:r>
              <w:rPr>
                <w:rFonts w:ascii="Calibri Light"/>
                <w:b w:val="0"/>
                <w:spacing w:val="-8"/>
                <w:sz w:val="20"/>
              </w:rPr>
              <w:t> </w:t>
            </w:r>
            <w:r>
              <w:rPr>
                <w:rFonts w:ascii="Calibri Light"/>
                <w:b w:val="0"/>
                <w:spacing w:val="-2"/>
                <w:sz w:val="20"/>
              </w:rPr>
              <w:t>MOUNTAIN</w:t>
            </w:r>
          </w:p>
          <w:p>
            <w:pPr>
              <w:pStyle w:val="TableParagraph"/>
              <w:tabs>
                <w:tab w:pos="1278" w:val="left" w:leader="none"/>
              </w:tabs>
              <w:spacing w:line="223" w:lineRule="exact" w:before="1"/>
              <w:ind w:left="215"/>
              <w:rPr>
                <w:rFonts w:ascii="Calibri Light"/>
                <w:b w:val="0"/>
                <w:sz w:val="20"/>
              </w:rPr>
            </w:pPr>
            <w:r>
              <w:rPr>
                <w:rFonts w:ascii="Calibri Light"/>
                <w:b w:val="0"/>
                <w:spacing w:val="-2"/>
                <w:sz w:val="20"/>
              </w:rPr>
              <w:t>2100500</w:t>
            </w:r>
            <w:r>
              <w:rPr>
                <w:rFonts w:ascii="Calibri Light"/>
                <w:b w:val="0"/>
                <w:sz w:val="20"/>
              </w:rPr>
              <w:tab/>
            </w:r>
            <w:r>
              <w:rPr>
                <w:rFonts w:ascii="Calibri Light"/>
                <w:b w:val="0"/>
                <w:spacing w:val="-2"/>
                <w:sz w:val="20"/>
              </w:rPr>
              <w:t>MCMANN/QUARTZ</w:t>
            </w:r>
          </w:p>
        </w:tc>
      </w:tr>
      <w:tr>
        <w:trPr>
          <w:trHeight w:val="1089" w:hRule="atLeast"/>
        </w:trPr>
        <w:tc>
          <w:tcPr>
            <w:tcW w:w="4500" w:type="dxa"/>
          </w:tcPr>
          <w:p>
            <w:pPr>
              <w:pStyle w:val="TableParagraph"/>
              <w:spacing w:before="1"/>
              <w:ind w:left="107"/>
              <w:rPr>
                <w:rFonts w:ascii="Calibri Light"/>
                <w:b w:val="0"/>
                <w:sz w:val="20"/>
              </w:rPr>
            </w:pPr>
            <w:r>
              <w:rPr>
                <w:rFonts w:ascii="Calibri Light"/>
                <w:b w:val="0"/>
                <w:spacing w:val="-2"/>
                <w:sz w:val="20"/>
              </w:rPr>
              <w:t>Concern</w:t>
            </w:r>
            <w:r>
              <w:rPr>
                <w:rFonts w:ascii="Calibri Light"/>
                <w:b w:val="0"/>
                <w:spacing w:val="-5"/>
                <w:sz w:val="20"/>
              </w:rPr>
              <w:t> </w:t>
            </w:r>
            <w:r>
              <w:rPr>
                <w:rFonts w:ascii="Calibri Light"/>
                <w:b w:val="0"/>
                <w:spacing w:val="-2"/>
                <w:sz w:val="20"/>
              </w:rPr>
              <w:t>Level</w:t>
            </w:r>
            <w:r>
              <w:rPr>
                <w:rFonts w:ascii="Calibri Light"/>
                <w:b w:val="0"/>
                <w:spacing w:val="-5"/>
                <w:sz w:val="20"/>
              </w:rPr>
              <w:t> </w:t>
            </w:r>
            <w:r>
              <w:rPr>
                <w:rFonts w:ascii="Calibri Light"/>
                <w:b w:val="0"/>
                <w:spacing w:val="-2"/>
                <w:sz w:val="20"/>
              </w:rPr>
              <w:t>1 Nationally</w:t>
            </w:r>
            <w:r>
              <w:rPr>
                <w:rFonts w:ascii="Calibri Light"/>
                <w:b w:val="0"/>
                <w:spacing w:val="-4"/>
                <w:sz w:val="20"/>
              </w:rPr>
              <w:t> </w:t>
            </w:r>
            <w:r>
              <w:rPr>
                <w:rFonts w:ascii="Calibri Light"/>
                <w:b w:val="0"/>
                <w:spacing w:val="-2"/>
                <w:sz w:val="20"/>
              </w:rPr>
              <w:t>Designated</w:t>
            </w:r>
            <w:r>
              <w:rPr>
                <w:rFonts w:ascii="Calibri Light"/>
                <w:b w:val="0"/>
                <w:spacing w:val="-5"/>
                <w:sz w:val="20"/>
              </w:rPr>
              <w:t> </w:t>
            </w:r>
            <w:r>
              <w:rPr>
                <w:rFonts w:ascii="Calibri Light"/>
                <w:b w:val="0"/>
                <w:spacing w:val="-2"/>
                <w:sz w:val="20"/>
              </w:rPr>
              <w:t>Recreation</w:t>
            </w:r>
            <w:r>
              <w:rPr>
                <w:rFonts w:ascii="Calibri Light"/>
                <w:b w:val="0"/>
                <w:spacing w:val="-5"/>
                <w:sz w:val="20"/>
              </w:rPr>
              <w:t> </w:t>
            </w:r>
            <w:r>
              <w:rPr>
                <w:rFonts w:ascii="Calibri Light"/>
                <w:b w:val="0"/>
                <w:spacing w:val="-2"/>
                <w:sz w:val="20"/>
              </w:rPr>
              <w:t>or </w:t>
            </w:r>
            <w:r>
              <w:rPr>
                <w:rFonts w:ascii="Calibri Light"/>
                <w:b w:val="0"/>
                <w:sz w:val="20"/>
              </w:rPr>
              <w:t>Scenic Trail Viewsheds</w:t>
            </w:r>
          </w:p>
          <w:p>
            <w:pPr>
              <w:pStyle w:val="TableParagraph"/>
              <w:spacing w:line="300" w:lineRule="atLeast" w:before="0"/>
              <w:ind w:left="1458" w:right="847"/>
              <w:rPr>
                <w:rFonts w:ascii="Calibri Light"/>
                <w:b w:val="0"/>
                <w:sz w:val="20"/>
              </w:rPr>
            </w:pPr>
            <w:r>
              <w:rPr>
                <w:rFonts w:ascii="Calibri Light"/>
                <w:b w:val="0"/>
                <w:sz w:val="20"/>
              </w:rPr>
              <w:t>Pacific</w:t>
            </w:r>
            <w:r>
              <w:rPr>
                <w:rFonts w:ascii="Calibri Light"/>
                <w:b w:val="0"/>
                <w:spacing w:val="-12"/>
                <w:sz w:val="20"/>
              </w:rPr>
              <w:t> </w:t>
            </w:r>
            <w:r>
              <w:rPr>
                <w:rFonts w:ascii="Calibri Light"/>
                <w:b w:val="0"/>
                <w:sz w:val="20"/>
              </w:rPr>
              <w:t>Northwest</w:t>
            </w:r>
            <w:r>
              <w:rPr>
                <w:rFonts w:ascii="Calibri Light"/>
                <w:b w:val="0"/>
                <w:spacing w:val="-11"/>
                <w:sz w:val="20"/>
              </w:rPr>
              <w:t> </w:t>
            </w:r>
            <w:r>
              <w:rPr>
                <w:rFonts w:ascii="Calibri Light"/>
                <w:b w:val="0"/>
                <w:sz w:val="20"/>
              </w:rPr>
              <w:t>Trail Kettle Crest North</w:t>
            </w:r>
          </w:p>
        </w:tc>
        <w:tc>
          <w:tcPr>
            <w:tcW w:w="4320" w:type="dxa"/>
          </w:tcPr>
          <w:p>
            <w:pPr>
              <w:pStyle w:val="TableParagraph"/>
              <w:spacing w:before="1"/>
              <w:ind w:left="107" w:right="515"/>
              <w:rPr>
                <w:rFonts w:ascii="Calibri Light"/>
                <w:b w:val="0"/>
                <w:sz w:val="20"/>
              </w:rPr>
            </w:pPr>
            <w:r>
              <w:rPr>
                <w:rFonts w:ascii="Calibri Light"/>
                <w:b w:val="0"/>
                <w:sz w:val="20"/>
              </w:rPr>
              <w:t>Foreground or seen area High SIO Middleground</w:t>
            </w:r>
            <w:r>
              <w:rPr>
                <w:rFonts w:ascii="Calibri Light"/>
                <w:b w:val="0"/>
                <w:spacing w:val="-10"/>
                <w:sz w:val="20"/>
              </w:rPr>
              <w:t> </w:t>
            </w:r>
            <w:r>
              <w:rPr>
                <w:rFonts w:ascii="Calibri Light"/>
                <w:b w:val="0"/>
                <w:sz w:val="20"/>
              </w:rPr>
              <w:t>assumes</w:t>
            </w:r>
            <w:r>
              <w:rPr>
                <w:rFonts w:ascii="Calibri Light"/>
                <w:b w:val="0"/>
                <w:spacing w:val="-10"/>
                <w:sz w:val="20"/>
              </w:rPr>
              <w:t> </w:t>
            </w:r>
            <w:r>
              <w:rPr>
                <w:rFonts w:ascii="Calibri Light"/>
                <w:b w:val="0"/>
                <w:sz w:val="20"/>
              </w:rPr>
              <w:t>the</w:t>
            </w:r>
            <w:r>
              <w:rPr>
                <w:rFonts w:ascii="Calibri Light"/>
                <w:b w:val="0"/>
                <w:spacing w:val="-10"/>
                <w:sz w:val="20"/>
              </w:rPr>
              <w:t> </w:t>
            </w:r>
            <w:r>
              <w:rPr>
                <w:rFonts w:ascii="Calibri Light"/>
                <w:b w:val="0"/>
                <w:sz w:val="20"/>
              </w:rPr>
              <w:t>Forest</w:t>
            </w:r>
            <w:r>
              <w:rPr>
                <w:rFonts w:ascii="Calibri Light"/>
                <w:b w:val="0"/>
                <w:spacing w:val="-10"/>
                <w:sz w:val="20"/>
              </w:rPr>
              <w:t> </w:t>
            </w:r>
            <w:r>
              <w:rPr>
                <w:rFonts w:ascii="Calibri Light"/>
                <w:b w:val="0"/>
                <w:sz w:val="20"/>
              </w:rPr>
              <w:t>Wide Management Area SIO</w:t>
            </w:r>
          </w:p>
        </w:tc>
      </w:tr>
    </w:tbl>
    <w:p>
      <w:pPr>
        <w:pStyle w:val="TableParagraph"/>
        <w:spacing w:after="0"/>
        <w:rPr>
          <w:rFonts w:ascii="Calibri Light"/>
          <w:b w:val="0"/>
          <w:sz w:val="20"/>
        </w:rPr>
        <w:sectPr>
          <w:footerReference w:type="default" r:id="rId117"/>
          <w:footerReference w:type="even" r:id="rId118"/>
          <w:pgSz w:w="12240" w:h="15840"/>
          <w:pgMar w:header="0" w:footer="891" w:top="1340" w:bottom="1080" w:left="1440" w:right="1440"/>
          <w:pgNumType w:start="197"/>
        </w:sectPr>
      </w:pPr>
    </w:p>
    <w:p>
      <w:pPr>
        <w:pStyle w:val="BodyText"/>
        <w:spacing w:before="4"/>
        <w:rPr>
          <w:rFonts w:ascii="Arial"/>
          <w:b/>
          <w:sz w:val="7"/>
        </w:rPr>
      </w:pPr>
    </w:p>
    <w:p>
      <w:pPr>
        <w:pStyle w:val="BodyText"/>
        <w:rPr>
          <w:rFonts w:ascii="Arial"/>
          <w:sz w:val="20"/>
        </w:rPr>
      </w:pPr>
      <w:r>
        <w:rPr>
          <w:rFonts w:ascii="Arial"/>
          <w:sz w:val="20"/>
        </w:rPr>
        <w:drawing>
          <wp:inline distT="0" distB="0" distL="0" distR="0">
            <wp:extent cx="5562764" cy="7967472"/>
            <wp:effectExtent l="0" t="0" r="0" b="0"/>
            <wp:docPr id="348" name="Image 348" descr="Map showing Three Rivers Ranger District scenic integrity objectives (map 1 of 3)"/>
            <wp:cNvGraphicFramePr>
              <a:graphicFrameLocks/>
            </wp:cNvGraphicFramePr>
            <a:graphic>
              <a:graphicData uri="http://schemas.openxmlformats.org/drawingml/2006/picture">
                <pic:pic>
                  <pic:nvPicPr>
                    <pic:cNvPr id="348" name="Image 348" descr="Map showing Three Rivers Ranger District scenic integrity objectives (map 1 of 3)"/>
                    <pic:cNvPicPr/>
                  </pic:nvPicPr>
                  <pic:blipFill>
                    <a:blip r:embed="rId119" cstate="print"/>
                    <a:stretch>
                      <a:fillRect/>
                    </a:stretch>
                  </pic:blipFill>
                  <pic:spPr>
                    <a:xfrm>
                      <a:off x="0" y="0"/>
                      <a:ext cx="5562764" cy="7967472"/>
                    </a:xfrm>
                    <a:prstGeom prst="rect">
                      <a:avLst/>
                    </a:prstGeom>
                  </pic:spPr>
                </pic:pic>
              </a:graphicData>
            </a:graphic>
          </wp:inline>
        </w:drawing>
      </w:r>
      <w:r>
        <w:rPr>
          <w:rFonts w:ascii="Arial"/>
          <w:sz w:val="20"/>
        </w:rPr>
      </w:r>
    </w:p>
    <w:p>
      <w:pPr>
        <w:spacing w:before="32"/>
        <w:ind w:left="0" w:right="0" w:firstLine="0"/>
        <w:jc w:val="left"/>
        <w:rPr>
          <w:rFonts w:ascii="Arial"/>
          <w:b/>
          <w:sz w:val="18"/>
        </w:rPr>
      </w:pPr>
      <w:bookmarkStart w:name="_bookmark314" w:id="991"/>
      <w:bookmarkEnd w:id="991"/>
      <w:r>
        <w:rPr/>
      </w:r>
      <w:r>
        <w:rPr>
          <w:rFonts w:ascii="Arial"/>
          <w:b/>
          <w:color w:val="283014"/>
          <w:sz w:val="18"/>
        </w:rPr>
        <w:t>Figure</w:t>
      </w:r>
      <w:r>
        <w:rPr>
          <w:rFonts w:ascii="Arial"/>
          <w:b/>
          <w:color w:val="283014"/>
          <w:spacing w:val="-2"/>
          <w:sz w:val="18"/>
        </w:rPr>
        <w:t> </w:t>
      </w:r>
      <w:r>
        <w:rPr>
          <w:rFonts w:ascii="Arial"/>
          <w:b/>
          <w:color w:val="283014"/>
          <w:sz w:val="18"/>
        </w:rPr>
        <w:t>D-3.</w:t>
      </w:r>
      <w:r>
        <w:rPr>
          <w:rFonts w:ascii="Arial"/>
          <w:b/>
          <w:color w:val="283014"/>
          <w:spacing w:val="-5"/>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3"/>
          <w:sz w:val="18"/>
        </w:rPr>
        <w:t> </w:t>
      </w:r>
      <w:r>
        <w:rPr>
          <w:rFonts w:ascii="Arial"/>
          <w:b/>
          <w:color w:val="283014"/>
          <w:sz w:val="18"/>
        </w:rPr>
        <w:t>District</w:t>
      </w:r>
      <w:r>
        <w:rPr>
          <w:rFonts w:ascii="Arial"/>
          <w:b/>
          <w:color w:val="283014"/>
          <w:spacing w:val="-5"/>
          <w:sz w:val="18"/>
        </w:rPr>
        <w:t> </w:t>
      </w:r>
      <w:r>
        <w:rPr>
          <w:rFonts w:ascii="Arial"/>
          <w:b/>
          <w:color w:val="283014"/>
          <w:sz w:val="18"/>
        </w:rPr>
        <w:t>scenic</w:t>
      </w:r>
      <w:r>
        <w:rPr>
          <w:rFonts w:ascii="Arial"/>
          <w:b/>
          <w:color w:val="283014"/>
          <w:spacing w:val="-2"/>
          <w:sz w:val="18"/>
        </w:rPr>
        <w:t> </w:t>
      </w:r>
      <w:r>
        <w:rPr>
          <w:rFonts w:ascii="Arial"/>
          <w:b/>
          <w:color w:val="283014"/>
          <w:sz w:val="18"/>
        </w:rPr>
        <w:t>integrity</w:t>
      </w:r>
      <w:r>
        <w:rPr>
          <w:rFonts w:ascii="Arial"/>
          <w:b/>
          <w:color w:val="283014"/>
          <w:spacing w:val="-6"/>
          <w:sz w:val="18"/>
        </w:rPr>
        <w:t> </w:t>
      </w:r>
      <w:r>
        <w:rPr>
          <w:rFonts w:ascii="Arial"/>
          <w:b/>
          <w:color w:val="283014"/>
          <w:sz w:val="18"/>
        </w:rPr>
        <w:t>objectives</w:t>
      </w:r>
      <w:r>
        <w:rPr>
          <w:rFonts w:ascii="Arial"/>
          <w:b/>
          <w:color w:val="283014"/>
          <w:spacing w:val="-2"/>
          <w:sz w:val="18"/>
        </w:rPr>
        <w:t> </w:t>
      </w:r>
      <w:r>
        <w:rPr>
          <w:rFonts w:ascii="Arial"/>
          <w:b/>
          <w:color w:val="283014"/>
          <w:sz w:val="18"/>
        </w:rPr>
        <w:t>(map</w:t>
      </w:r>
      <w:r>
        <w:rPr>
          <w:rFonts w:ascii="Arial"/>
          <w:b/>
          <w:color w:val="283014"/>
          <w:spacing w:val="-4"/>
          <w:sz w:val="18"/>
        </w:rPr>
        <w:t> </w:t>
      </w:r>
      <w:r>
        <w:rPr>
          <w:rFonts w:ascii="Arial"/>
          <w:b/>
          <w:color w:val="283014"/>
          <w:sz w:val="18"/>
        </w:rPr>
        <w:t>1</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0" w:footer="891" w:top="1340" w:bottom="1080" w:left="1440" w:right="1440"/>
        </w:sectPr>
      </w:pPr>
    </w:p>
    <w:p>
      <w:pPr>
        <w:pStyle w:val="BodyText"/>
        <w:rPr>
          <w:rFonts w:ascii="Arial"/>
          <w:b/>
          <w:sz w:val="20"/>
        </w:rPr>
      </w:pPr>
    </w:p>
    <w:p>
      <w:pPr>
        <w:pStyle w:val="BodyText"/>
        <w:spacing w:before="85"/>
        <w:rPr>
          <w:rFonts w:ascii="Arial"/>
          <w:b/>
          <w:sz w:val="20"/>
        </w:rPr>
      </w:pPr>
    </w:p>
    <w:p>
      <w:pPr>
        <w:pStyle w:val="BodyText"/>
        <w:rPr>
          <w:rFonts w:ascii="Arial"/>
          <w:sz w:val="20"/>
        </w:rPr>
      </w:pPr>
      <w:r>
        <w:rPr>
          <w:rFonts w:ascii="Arial"/>
          <w:sz w:val="20"/>
        </w:rPr>
        <w:drawing>
          <wp:inline distT="0" distB="0" distL="0" distR="0">
            <wp:extent cx="5375101" cy="7665529"/>
            <wp:effectExtent l="0" t="0" r="0" b="0"/>
            <wp:docPr id="349" name="Image 349" descr="Map showing Three Rivers Ranger District scenic integrity objectives (map 2 of 3)"/>
            <wp:cNvGraphicFramePr>
              <a:graphicFrameLocks/>
            </wp:cNvGraphicFramePr>
            <a:graphic>
              <a:graphicData uri="http://schemas.openxmlformats.org/drawingml/2006/picture">
                <pic:pic>
                  <pic:nvPicPr>
                    <pic:cNvPr id="349" name="Image 349" descr="Map showing Three Rivers Ranger District scenic integrity objectives (map 2 of 3)"/>
                    <pic:cNvPicPr/>
                  </pic:nvPicPr>
                  <pic:blipFill>
                    <a:blip r:embed="rId120" cstate="print"/>
                    <a:stretch>
                      <a:fillRect/>
                    </a:stretch>
                  </pic:blipFill>
                  <pic:spPr>
                    <a:xfrm>
                      <a:off x="0" y="0"/>
                      <a:ext cx="5375101" cy="7665529"/>
                    </a:xfrm>
                    <a:prstGeom prst="rect">
                      <a:avLst/>
                    </a:prstGeom>
                  </pic:spPr>
                </pic:pic>
              </a:graphicData>
            </a:graphic>
          </wp:inline>
        </w:drawing>
      </w:r>
      <w:r>
        <w:rPr>
          <w:rFonts w:ascii="Arial"/>
          <w:sz w:val="20"/>
        </w:rPr>
      </w:r>
    </w:p>
    <w:p>
      <w:pPr>
        <w:spacing w:before="121"/>
        <w:ind w:left="0" w:right="0" w:firstLine="0"/>
        <w:jc w:val="left"/>
        <w:rPr>
          <w:rFonts w:ascii="Arial"/>
          <w:b/>
          <w:sz w:val="18"/>
        </w:rPr>
      </w:pPr>
      <w:bookmarkStart w:name="_bookmark315" w:id="992"/>
      <w:bookmarkEnd w:id="992"/>
      <w:r>
        <w:rPr/>
      </w:r>
      <w:r>
        <w:rPr>
          <w:rFonts w:ascii="Arial"/>
          <w:b/>
          <w:color w:val="283014"/>
          <w:sz w:val="18"/>
        </w:rPr>
        <w:t>Figure</w:t>
      </w:r>
      <w:r>
        <w:rPr>
          <w:rFonts w:ascii="Arial"/>
          <w:b/>
          <w:color w:val="283014"/>
          <w:spacing w:val="-2"/>
          <w:sz w:val="18"/>
        </w:rPr>
        <w:t> </w:t>
      </w:r>
      <w:r>
        <w:rPr>
          <w:rFonts w:ascii="Arial"/>
          <w:b/>
          <w:color w:val="283014"/>
          <w:sz w:val="18"/>
        </w:rPr>
        <w:t>D-4.</w:t>
      </w:r>
      <w:r>
        <w:rPr>
          <w:rFonts w:ascii="Arial"/>
          <w:b/>
          <w:color w:val="283014"/>
          <w:spacing w:val="-5"/>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3"/>
          <w:sz w:val="18"/>
        </w:rPr>
        <w:t> </w:t>
      </w:r>
      <w:r>
        <w:rPr>
          <w:rFonts w:ascii="Arial"/>
          <w:b/>
          <w:color w:val="283014"/>
          <w:sz w:val="18"/>
        </w:rPr>
        <w:t>District</w:t>
      </w:r>
      <w:r>
        <w:rPr>
          <w:rFonts w:ascii="Arial"/>
          <w:b/>
          <w:color w:val="283014"/>
          <w:spacing w:val="-5"/>
          <w:sz w:val="18"/>
        </w:rPr>
        <w:t> </w:t>
      </w:r>
      <w:r>
        <w:rPr>
          <w:rFonts w:ascii="Arial"/>
          <w:b/>
          <w:color w:val="283014"/>
          <w:sz w:val="18"/>
        </w:rPr>
        <w:t>scenic</w:t>
      </w:r>
      <w:r>
        <w:rPr>
          <w:rFonts w:ascii="Arial"/>
          <w:b/>
          <w:color w:val="283014"/>
          <w:spacing w:val="-2"/>
          <w:sz w:val="18"/>
        </w:rPr>
        <w:t> </w:t>
      </w:r>
      <w:r>
        <w:rPr>
          <w:rFonts w:ascii="Arial"/>
          <w:b/>
          <w:color w:val="283014"/>
          <w:sz w:val="18"/>
        </w:rPr>
        <w:t>integrity</w:t>
      </w:r>
      <w:r>
        <w:rPr>
          <w:rFonts w:ascii="Arial"/>
          <w:b/>
          <w:color w:val="283014"/>
          <w:spacing w:val="-6"/>
          <w:sz w:val="18"/>
        </w:rPr>
        <w:t> </w:t>
      </w:r>
      <w:r>
        <w:rPr>
          <w:rFonts w:ascii="Arial"/>
          <w:b/>
          <w:color w:val="283014"/>
          <w:sz w:val="18"/>
        </w:rPr>
        <w:t>objectives</w:t>
      </w:r>
      <w:r>
        <w:rPr>
          <w:rFonts w:ascii="Arial"/>
          <w:b/>
          <w:color w:val="283014"/>
          <w:spacing w:val="-2"/>
          <w:sz w:val="18"/>
        </w:rPr>
        <w:t> </w:t>
      </w:r>
      <w:r>
        <w:rPr>
          <w:rFonts w:ascii="Arial"/>
          <w:b/>
          <w:color w:val="283014"/>
          <w:sz w:val="18"/>
        </w:rPr>
        <w:t>(map</w:t>
      </w:r>
      <w:r>
        <w:rPr>
          <w:rFonts w:ascii="Arial"/>
          <w:b/>
          <w:color w:val="283014"/>
          <w:spacing w:val="-4"/>
          <w:sz w:val="18"/>
        </w:rPr>
        <w:t> </w:t>
      </w:r>
      <w:r>
        <w:rPr>
          <w:rFonts w:ascii="Arial"/>
          <w:b/>
          <w:color w:val="283014"/>
          <w:sz w:val="18"/>
        </w:rPr>
        <w:t>2</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0" w:footer="891" w:top="1340" w:bottom="1080" w:left="1440" w:right="1440"/>
        </w:sectPr>
      </w:pPr>
    </w:p>
    <w:p>
      <w:pPr>
        <w:pStyle w:val="BodyText"/>
        <w:spacing w:before="4"/>
        <w:rPr>
          <w:rFonts w:ascii="Arial"/>
          <w:b/>
          <w:sz w:val="7"/>
        </w:rPr>
      </w:pPr>
    </w:p>
    <w:p>
      <w:pPr>
        <w:pStyle w:val="BodyText"/>
        <w:rPr>
          <w:rFonts w:ascii="Arial"/>
          <w:sz w:val="20"/>
        </w:rPr>
      </w:pPr>
      <w:r>
        <w:rPr>
          <w:rFonts w:ascii="Arial"/>
          <w:sz w:val="20"/>
        </w:rPr>
        <w:drawing>
          <wp:inline distT="0" distB="0" distL="0" distR="0">
            <wp:extent cx="5649509" cy="8028432"/>
            <wp:effectExtent l="0" t="0" r="0" b="0"/>
            <wp:docPr id="350" name="Image 350" descr="Map showing Three Rivers Ranger District Scenic Integrity Objectives (Map 3 of 3)"/>
            <wp:cNvGraphicFramePr>
              <a:graphicFrameLocks/>
            </wp:cNvGraphicFramePr>
            <a:graphic>
              <a:graphicData uri="http://schemas.openxmlformats.org/drawingml/2006/picture">
                <pic:pic>
                  <pic:nvPicPr>
                    <pic:cNvPr id="350" name="Image 350" descr="Map showing Three Rivers Ranger District Scenic Integrity Objectives (Map 3 of 3)"/>
                    <pic:cNvPicPr/>
                  </pic:nvPicPr>
                  <pic:blipFill>
                    <a:blip r:embed="rId121" cstate="print"/>
                    <a:stretch>
                      <a:fillRect/>
                    </a:stretch>
                  </pic:blipFill>
                  <pic:spPr>
                    <a:xfrm>
                      <a:off x="0" y="0"/>
                      <a:ext cx="5649509" cy="8028432"/>
                    </a:xfrm>
                    <a:prstGeom prst="rect">
                      <a:avLst/>
                    </a:prstGeom>
                  </pic:spPr>
                </pic:pic>
              </a:graphicData>
            </a:graphic>
          </wp:inline>
        </w:drawing>
      </w:r>
      <w:r>
        <w:rPr>
          <w:rFonts w:ascii="Arial"/>
          <w:sz w:val="20"/>
        </w:rPr>
      </w:r>
    </w:p>
    <w:p>
      <w:pPr>
        <w:spacing w:before="39"/>
        <w:ind w:left="0" w:right="0" w:firstLine="0"/>
        <w:jc w:val="left"/>
        <w:rPr>
          <w:rFonts w:ascii="Arial"/>
          <w:b/>
          <w:sz w:val="18"/>
        </w:rPr>
      </w:pPr>
      <w:bookmarkStart w:name="_bookmark316" w:id="993"/>
      <w:bookmarkEnd w:id="993"/>
      <w:r>
        <w:rPr/>
      </w:r>
      <w:r>
        <w:rPr>
          <w:rFonts w:ascii="Arial"/>
          <w:b/>
          <w:color w:val="283014"/>
          <w:sz w:val="18"/>
        </w:rPr>
        <w:t>Figure</w:t>
      </w:r>
      <w:r>
        <w:rPr>
          <w:rFonts w:ascii="Arial"/>
          <w:b/>
          <w:color w:val="283014"/>
          <w:spacing w:val="-2"/>
          <w:sz w:val="18"/>
        </w:rPr>
        <w:t> </w:t>
      </w:r>
      <w:r>
        <w:rPr>
          <w:rFonts w:ascii="Arial"/>
          <w:b/>
          <w:color w:val="283014"/>
          <w:sz w:val="18"/>
        </w:rPr>
        <w:t>D-5.</w:t>
      </w:r>
      <w:r>
        <w:rPr>
          <w:rFonts w:ascii="Arial"/>
          <w:b/>
          <w:color w:val="283014"/>
          <w:spacing w:val="-5"/>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3"/>
          <w:sz w:val="18"/>
        </w:rPr>
        <w:t> </w:t>
      </w:r>
      <w:r>
        <w:rPr>
          <w:rFonts w:ascii="Arial"/>
          <w:b/>
          <w:color w:val="283014"/>
          <w:sz w:val="18"/>
        </w:rPr>
        <w:t>District</w:t>
      </w:r>
      <w:r>
        <w:rPr>
          <w:rFonts w:ascii="Arial"/>
          <w:b/>
          <w:color w:val="283014"/>
          <w:spacing w:val="-5"/>
          <w:sz w:val="18"/>
        </w:rPr>
        <w:t> </w:t>
      </w:r>
      <w:r>
        <w:rPr>
          <w:rFonts w:ascii="Arial"/>
          <w:b/>
          <w:color w:val="283014"/>
          <w:sz w:val="18"/>
        </w:rPr>
        <w:t>scenic</w:t>
      </w:r>
      <w:r>
        <w:rPr>
          <w:rFonts w:ascii="Arial"/>
          <w:b/>
          <w:color w:val="283014"/>
          <w:spacing w:val="-2"/>
          <w:sz w:val="18"/>
        </w:rPr>
        <w:t> </w:t>
      </w:r>
      <w:r>
        <w:rPr>
          <w:rFonts w:ascii="Arial"/>
          <w:b/>
          <w:color w:val="283014"/>
          <w:sz w:val="18"/>
        </w:rPr>
        <w:t>integrity</w:t>
      </w:r>
      <w:r>
        <w:rPr>
          <w:rFonts w:ascii="Arial"/>
          <w:b/>
          <w:color w:val="283014"/>
          <w:spacing w:val="-6"/>
          <w:sz w:val="18"/>
        </w:rPr>
        <w:t> </w:t>
      </w:r>
      <w:r>
        <w:rPr>
          <w:rFonts w:ascii="Arial"/>
          <w:b/>
          <w:color w:val="283014"/>
          <w:sz w:val="18"/>
        </w:rPr>
        <w:t>objectives</w:t>
      </w:r>
      <w:r>
        <w:rPr>
          <w:rFonts w:ascii="Arial"/>
          <w:b/>
          <w:color w:val="283014"/>
          <w:spacing w:val="-2"/>
          <w:sz w:val="18"/>
        </w:rPr>
        <w:t> </w:t>
      </w:r>
      <w:r>
        <w:rPr>
          <w:rFonts w:ascii="Arial"/>
          <w:b/>
          <w:color w:val="283014"/>
          <w:sz w:val="18"/>
        </w:rPr>
        <w:t>(map</w:t>
      </w:r>
      <w:r>
        <w:rPr>
          <w:rFonts w:ascii="Arial"/>
          <w:b/>
          <w:color w:val="283014"/>
          <w:spacing w:val="-4"/>
          <w:sz w:val="18"/>
        </w:rPr>
        <w:t> </w:t>
      </w:r>
      <w:r>
        <w:rPr>
          <w:rFonts w:ascii="Arial"/>
          <w:b/>
          <w:color w:val="283014"/>
          <w:sz w:val="18"/>
        </w:rPr>
        <w:t>3</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0" w:footer="891" w:top="1340" w:bottom="1080" w:left="1440" w:right="1440"/>
        </w:sectPr>
      </w:pPr>
    </w:p>
    <w:p>
      <w:pPr>
        <w:spacing w:before="84" w:after="41"/>
        <w:ind w:left="0" w:right="0" w:firstLine="0"/>
        <w:jc w:val="left"/>
        <w:rPr>
          <w:rFonts w:ascii="Arial"/>
          <w:b/>
          <w:sz w:val="18"/>
        </w:rPr>
      </w:pPr>
      <w:r>
        <w:rPr>
          <w:rFonts w:ascii="Arial"/>
          <w:b/>
          <w:sz w:val="18"/>
        </w:rPr>
        <mc:AlternateContent>
          <mc:Choice Requires="wps">
            <w:drawing>
              <wp:anchor distT="0" distB="0" distL="0" distR="0" allowOverlap="1" layoutInCell="1" locked="0" behindDoc="0" simplePos="0" relativeHeight="15784960">
                <wp:simplePos x="0" y="0"/>
                <wp:positionH relativeFrom="page">
                  <wp:posOffset>984758</wp:posOffset>
                </wp:positionH>
                <wp:positionV relativeFrom="page">
                  <wp:posOffset>2706242</wp:posOffset>
                </wp:positionV>
                <wp:extent cx="2609850" cy="4845049"/>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2609850" cy="4845049"/>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6"/>
                              <w:gridCol w:w="2994"/>
                            </w:tblGrid>
                            <w:tr>
                              <w:trPr>
                                <w:trHeight w:val="200" w:hRule="atLeast"/>
                              </w:trPr>
                              <w:tc>
                                <w:tcPr>
                                  <w:tcW w:w="996" w:type="dxa"/>
                                </w:tcPr>
                                <w:p>
                                  <w:pPr>
                                    <w:pStyle w:val="TableParagraph"/>
                                    <w:spacing w:before="0"/>
                                    <w:rPr>
                                      <w:rFonts w:ascii="Times New Roman"/>
                                      <w:sz w:val="12"/>
                                    </w:rPr>
                                  </w:pPr>
                                </w:p>
                              </w:tc>
                              <w:tc>
                                <w:tcPr>
                                  <w:tcW w:w="2994" w:type="dxa"/>
                                </w:tcPr>
                                <w:p>
                                  <w:pPr>
                                    <w:pStyle w:val="TableParagraph"/>
                                    <w:spacing w:before="0"/>
                                    <w:rPr>
                                      <w:rFonts w:ascii="Times New Roman"/>
                                      <w:sz w:val="12"/>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199" w:hRule="atLeast"/>
                              </w:trPr>
                              <w:tc>
                                <w:tcPr>
                                  <w:tcW w:w="996" w:type="dxa"/>
                                </w:tcPr>
                                <w:p>
                                  <w:pPr>
                                    <w:pStyle w:val="TableParagraph"/>
                                    <w:spacing w:before="0"/>
                                    <w:rPr>
                                      <w:rFonts w:ascii="Times New Roman"/>
                                      <w:sz w:val="12"/>
                                    </w:rPr>
                                  </w:pPr>
                                </w:p>
                              </w:tc>
                              <w:tc>
                                <w:tcPr>
                                  <w:tcW w:w="2994" w:type="dxa"/>
                                </w:tcPr>
                                <w:p>
                                  <w:pPr>
                                    <w:pStyle w:val="TableParagraph"/>
                                    <w:spacing w:before="0"/>
                                    <w:rPr>
                                      <w:rFonts w:ascii="Times New Roman"/>
                                      <w:sz w:val="12"/>
                                    </w:rPr>
                                  </w:pPr>
                                </w:p>
                              </w:tc>
                            </w:tr>
                          </w:tbl>
                          <w:p>
                            <w:pPr>
                              <w:pStyle w:val="BodyText"/>
                            </w:pPr>
                          </w:p>
                        </w:txbxContent>
                      </wps:txbx>
                      <wps:bodyPr wrap="square" lIns="0" tIns="0" rIns="0" bIns="0" rtlCol="0">
                        <a:noAutofit/>
                      </wps:bodyPr>
                    </wps:wsp>
                  </a:graphicData>
                </a:graphic>
              </wp:anchor>
            </w:drawing>
          </mc:Choice>
          <mc:Fallback>
            <w:pict>
              <v:shape style="position:absolute;margin-left:77.540001pt;margin-top:213.089996pt;width:205.5pt;height:381.5pt;mso-position-horizontal-relative:page;mso-position-vertical-relative:page;z-index:15784960" type="#_x0000_t202" id="docshape33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96"/>
                        <w:gridCol w:w="2994"/>
                      </w:tblGrid>
                      <w:tr>
                        <w:trPr>
                          <w:trHeight w:val="200" w:hRule="atLeast"/>
                        </w:trPr>
                        <w:tc>
                          <w:tcPr>
                            <w:tcW w:w="996" w:type="dxa"/>
                          </w:tcPr>
                          <w:p>
                            <w:pPr>
                              <w:pStyle w:val="TableParagraph"/>
                              <w:spacing w:before="0"/>
                              <w:rPr>
                                <w:rFonts w:ascii="Times New Roman"/>
                                <w:sz w:val="12"/>
                              </w:rPr>
                            </w:pPr>
                          </w:p>
                        </w:tc>
                        <w:tc>
                          <w:tcPr>
                            <w:tcW w:w="2994" w:type="dxa"/>
                          </w:tcPr>
                          <w:p>
                            <w:pPr>
                              <w:pStyle w:val="TableParagraph"/>
                              <w:spacing w:before="0"/>
                              <w:rPr>
                                <w:rFonts w:ascii="Times New Roman"/>
                                <w:sz w:val="12"/>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20"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219" w:hRule="atLeast"/>
                        </w:trPr>
                        <w:tc>
                          <w:tcPr>
                            <w:tcW w:w="996" w:type="dxa"/>
                          </w:tcPr>
                          <w:p>
                            <w:pPr>
                              <w:pStyle w:val="TableParagraph"/>
                              <w:spacing w:before="0"/>
                              <w:rPr>
                                <w:rFonts w:ascii="Times New Roman"/>
                                <w:sz w:val="14"/>
                              </w:rPr>
                            </w:pPr>
                          </w:p>
                        </w:tc>
                        <w:tc>
                          <w:tcPr>
                            <w:tcW w:w="2994" w:type="dxa"/>
                          </w:tcPr>
                          <w:p>
                            <w:pPr>
                              <w:pStyle w:val="TableParagraph"/>
                              <w:spacing w:before="0"/>
                              <w:rPr>
                                <w:rFonts w:ascii="Times New Roman"/>
                                <w:sz w:val="14"/>
                              </w:rPr>
                            </w:pPr>
                          </w:p>
                        </w:tc>
                      </w:tr>
                      <w:tr>
                        <w:trPr>
                          <w:trHeight w:val="199" w:hRule="atLeast"/>
                        </w:trPr>
                        <w:tc>
                          <w:tcPr>
                            <w:tcW w:w="996" w:type="dxa"/>
                          </w:tcPr>
                          <w:p>
                            <w:pPr>
                              <w:pStyle w:val="TableParagraph"/>
                              <w:spacing w:before="0"/>
                              <w:rPr>
                                <w:rFonts w:ascii="Times New Roman"/>
                                <w:sz w:val="12"/>
                              </w:rPr>
                            </w:pPr>
                          </w:p>
                        </w:tc>
                        <w:tc>
                          <w:tcPr>
                            <w:tcW w:w="2994" w:type="dxa"/>
                          </w:tcPr>
                          <w:p>
                            <w:pPr>
                              <w:pStyle w:val="TableParagraph"/>
                              <w:spacing w:before="0"/>
                              <w:rPr>
                                <w:rFonts w:ascii="Times New Roman"/>
                                <w:sz w:val="12"/>
                              </w:rPr>
                            </w:pPr>
                          </w:p>
                        </w:tc>
                      </w:tr>
                    </w:tbl>
                    <w:p>
                      <w:pPr>
                        <w:pStyle w:val="BodyText"/>
                      </w:pPr>
                    </w:p>
                  </w:txbxContent>
                </v:textbox>
                <w10:wrap type="none"/>
              </v:shape>
            </w:pict>
          </mc:Fallback>
        </mc:AlternateContent>
      </w:r>
      <w:bookmarkStart w:name="_bookmark317" w:id="994"/>
      <w:bookmarkEnd w:id="994"/>
      <w:r>
        <w:rPr/>
      </w:r>
      <w:r>
        <w:rPr>
          <w:rFonts w:ascii="Arial"/>
          <w:b/>
          <w:sz w:val="18"/>
        </w:rPr>
        <w:t>Table</w:t>
      </w:r>
      <w:r>
        <w:rPr>
          <w:rFonts w:ascii="Arial"/>
          <w:b/>
          <w:spacing w:val="-3"/>
          <w:sz w:val="18"/>
        </w:rPr>
        <w:t> </w:t>
      </w:r>
      <w:r>
        <w:rPr>
          <w:rFonts w:ascii="Arial"/>
          <w:b/>
          <w:sz w:val="18"/>
        </w:rPr>
        <w:t>D-4.</w:t>
      </w:r>
      <w:r>
        <w:rPr>
          <w:rFonts w:ascii="Arial"/>
          <w:b/>
          <w:spacing w:val="-4"/>
          <w:sz w:val="18"/>
        </w:rPr>
        <w:t> </w:t>
      </w:r>
      <w:r>
        <w:rPr>
          <w:rFonts w:ascii="Arial"/>
          <w:b/>
          <w:sz w:val="18"/>
        </w:rPr>
        <w:t>Three</w:t>
      </w:r>
      <w:r>
        <w:rPr>
          <w:rFonts w:ascii="Arial"/>
          <w:b/>
          <w:spacing w:val="-5"/>
          <w:sz w:val="18"/>
        </w:rPr>
        <w:t> </w:t>
      </w:r>
      <w:r>
        <w:rPr>
          <w:rFonts w:ascii="Arial"/>
          <w:b/>
          <w:sz w:val="18"/>
        </w:rPr>
        <w:t>Rivers</w:t>
      </w:r>
      <w:r>
        <w:rPr>
          <w:rFonts w:ascii="Arial"/>
          <w:b/>
          <w:spacing w:val="-3"/>
          <w:sz w:val="18"/>
        </w:rPr>
        <w:t> </w:t>
      </w:r>
      <w:r>
        <w:rPr>
          <w:rFonts w:ascii="Arial"/>
          <w:b/>
          <w:sz w:val="18"/>
        </w:rPr>
        <w:t>Ranger</w:t>
      </w:r>
      <w:r>
        <w:rPr>
          <w:rFonts w:ascii="Arial"/>
          <w:b/>
          <w:spacing w:val="-4"/>
          <w:sz w:val="18"/>
        </w:rPr>
        <w:t> </w:t>
      </w:r>
      <w:r>
        <w:rPr>
          <w:rFonts w:ascii="Arial"/>
          <w:b/>
          <w:sz w:val="18"/>
        </w:rPr>
        <w:t>District</w:t>
      </w:r>
      <w:r>
        <w:rPr>
          <w:rFonts w:ascii="Arial"/>
          <w:b/>
          <w:spacing w:val="-4"/>
          <w:sz w:val="18"/>
        </w:rPr>
        <w:t> </w:t>
      </w:r>
      <w:r>
        <w:rPr>
          <w:rFonts w:ascii="Arial"/>
          <w:b/>
          <w:sz w:val="18"/>
        </w:rPr>
        <w:t>scenic</w:t>
      </w:r>
      <w:r>
        <w:rPr>
          <w:rFonts w:ascii="Arial"/>
          <w:b/>
          <w:spacing w:val="-2"/>
          <w:sz w:val="18"/>
        </w:rPr>
        <w:t> viewsheds</w:t>
      </w: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4939"/>
        <w:gridCol w:w="4411"/>
      </w:tblGrid>
      <w:tr>
        <w:trPr>
          <w:trHeight w:val="1033" w:hRule="atLeast"/>
        </w:trPr>
        <w:tc>
          <w:tcPr>
            <w:tcW w:w="4939" w:type="dxa"/>
            <w:shd w:val="clear" w:color="auto" w:fill="E6E6E6"/>
          </w:tcPr>
          <w:p>
            <w:pPr>
              <w:pStyle w:val="TableParagraph"/>
              <w:spacing w:line="206" w:lineRule="exact" w:before="0"/>
              <w:ind w:left="270"/>
              <w:rPr>
                <w:b/>
                <w:sz w:val="18"/>
              </w:rPr>
            </w:pPr>
            <w:r>
              <w:rPr>
                <w:b/>
                <w:sz w:val="18"/>
              </w:rPr>
              <w:t>Scenic</w:t>
            </w:r>
            <w:r>
              <w:rPr>
                <w:b/>
                <w:spacing w:val="-3"/>
                <w:sz w:val="18"/>
              </w:rPr>
              <w:t> </w:t>
            </w:r>
            <w:r>
              <w:rPr>
                <w:b/>
                <w:spacing w:val="-2"/>
                <w:sz w:val="18"/>
              </w:rPr>
              <w:t>Viewsheds</w:t>
            </w:r>
          </w:p>
          <w:p>
            <w:pPr>
              <w:pStyle w:val="TableParagraph"/>
              <w:spacing w:before="0"/>
              <w:ind w:left="270"/>
              <w:rPr>
                <w:sz w:val="18"/>
              </w:rPr>
            </w:pPr>
            <w:r>
              <w:rPr>
                <w:sz w:val="18"/>
              </w:rPr>
              <w:t>Concern</w:t>
            </w:r>
            <w:r>
              <w:rPr>
                <w:spacing w:val="-7"/>
                <w:sz w:val="18"/>
              </w:rPr>
              <w:t> </w:t>
            </w:r>
            <w:r>
              <w:rPr>
                <w:sz w:val="18"/>
              </w:rPr>
              <w:t>level</w:t>
            </w:r>
            <w:r>
              <w:rPr>
                <w:spacing w:val="-7"/>
                <w:sz w:val="18"/>
              </w:rPr>
              <w:t> </w:t>
            </w:r>
            <w:r>
              <w:rPr>
                <w:sz w:val="18"/>
              </w:rPr>
              <w:t>1</w:t>
            </w:r>
            <w:r>
              <w:rPr>
                <w:spacing w:val="-5"/>
                <w:sz w:val="18"/>
              </w:rPr>
              <w:t> </w:t>
            </w:r>
            <w:r>
              <w:rPr>
                <w:sz w:val="18"/>
              </w:rPr>
              <w:t>travel</w:t>
            </w:r>
            <w:r>
              <w:rPr>
                <w:spacing w:val="-5"/>
                <w:sz w:val="18"/>
              </w:rPr>
              <w:t> </w:t>
            </w:r>
            <w:r>
              <w:rPr>
                <w:sz w:val="18"/>
              </w:rPr>
              <w:t>route</w:t>
            </w:r>
            <w:r>
              <w:rPr>
                <w:spacing w:val="-5"/>
                <w:sz w:val="18"/>
              </w:rPr>
              <w:t> </w:t>
            </w:r>
            <w:r>
              <w:rPr>
                <w:sz w:val="18"/>
              </w:rPr>
              <w:t>and</w:t>
            </w:r>
            <w:r>
              <w:rPr>
                <w:spacing w:val="-5"/>
                <w:sz w:val="18"/>
              </w:rPr>
              <w:t> </w:t>
            </w:r>
            <w:r>
              <w:rPr>
                <w:sz w:val="18"/>
              </w:rPr>
              <w:t>nationally</w:t>
            </w:r>
            <w:r>
              <w:rPr>
                <w:spacing w:val="-6"/>
                <w:sz w:val="18"/>
              </w:rPr>
              <w:t> </w:t>
            </w:r>
            <w:r>
              <w:rPr>
                <w:sz w:val="18"/>
              </w:rPr>
              <w:t>designated recreation or scenic trail viewsheds</w:t>
            </w:r>
          </w:p>
          <w:p>
            <w:pPr>
              <w:pStyle w:val="TableParagraph"/>
              <w:spacing w:before="1"/>
              <w:ind w:left="270"/>
              <w:rPr>
                <w:sz w:val="18"/>
              </w:rPr>
            </w:pPr>
            <w:r>
              <w:rPr>
                <w:sz w:val="18"/>
              </w:rPr>
              <w:t>Concern</w:t>
            </w:r>
            <w:r>
              <w:rPr>
                <w:spacing w:val="-4"/>
                <w:sz w:val="18"/>
              </w:rPr>
              <w:t> </w:t>
            </w:r>
            <w:r>
              <w:rPr>
                <w:sz w:val="18"/>
              </w:rPr>
              <w:t>level</w:t>
            </w:r>
            <w:r>
              <w:rPr>
                <w:spacing w:val="-4"/>
                <w:sz w:val="18"/>
              </w:rPr>
              <w:t> </w:t>
            </w:r>
            <w:r>
              <w:rPr>
                <w:sz w:val="18"/>
              </w:rPr>
              <w:t>2</w:t>
            </w:r>
            <w:r>
              <w:rPr>
                <w:spacing w:val="-2"/>
                <w:sz w:val="18"/>
              </w:rPr>
              <w:t> </w:t>
            </w:r>
            <w:r>
              <w:rPr>
                <w:sz w:val="18"/>
              </w:rPr>
              <w:t>travel</w:t>
            </w:r>
            <w:r>
              <w:rPr>
                <w:spacing w:val="-1"/>
                <w:sz w:val="18"/>
              </w:rPr>
              <w:t> </w:t>
            </w:r>
            <w:r>
              <w:rPr>
                <w:sz w:val="18"/>
              </w:rPr>
              <w:t>route</w:t>
            </w:r>
            <w:r>
              <w:rPr>
                <w:spacing w:val="-1"/>
                <w:sz w:val="18"/>
              </w:rPr>
              <w:t> </w:t>
            </w:r>
            <w:r>
              <w:rPr>
                <w:spacing w:val="-2"/>
                <w:sz w:val="18"/>
              </w:rPr>
              <w:t>viewsheds</w:t>
            </w:r>
          </w:p>
        </w:tc>
        <w:tc>
          <w:tcPr>
            <w:tcW w:w="4411" w:type="dxa"/>
            <w:shd w:val="clear" w:color="auto" w:fill="E6E6E6"/>
          </w:tcPr>
          <w:p>
            <w:pPr>
              <w:pStyle w:val="TableParagraph"/>
              <w:spacing w:line="206" w:lineRule="exact" w:before="0"/>
              <w:ind w:left="108"/>
              <w:rPr>
                <w:b/>
                <w:sz w:val="18"/>
              </w:rPr>
            </w:pPr>
            <w:r>
              <w:rPr>
                <w:b/>
                <w:sz w:val="18"/>
              </w:rPr>
              <w:t>Scenic</w:t>
            </w:r>
            <w:r>
              <w:rPr>
                <w:b/>
                <w:spacing w:val="-2"/>
                <w:sz w:val="18"/>
              </w:rPr>
              <w:t> </w:t>
            </w:r>
            <w:r>
              <w:rPr>
                <w:b/>
                <w:sz w:val="18"/>
              </w:rPr>
              <w:t>Integrity</w:t>
            </w:r>
            <w:r>
              <w:rPr>
                <w:b/>
                <w:spacing w:val="-8"/>
                <w:sz w:val="18"/>
              </w:rPr>
              <w:t> </w:t>
            </w:r>
            <w:r>
              <w:rPr>
                <w:b/>
                <w:sz w:val="18"/>
              </w:rPr>
              <w:t>Objectives</w:t>
            </w:r>
            <w:r>
              <w:rPr>
                <w:b/>
                <w:spacing w:val="-1"/>
                <w:sz w:val="18"/>
              </w:rPr>
              <w:t> </w:t>
            </w:r>
            <w:r>
              <w:rPr>
                <w:b/>
                <w:spacing w:val="-2"/>
                <w:sz w:val="18"/>
              </w:rPr>
              <w:t>Prescribed</w:t>
            </w:r>
          </w:p>
          <w:p>
            <w:pPr>
              <w:pStyle w:val="TableParagraph"/>
              <w:spacing w:before="0"/>
              <w:ind w:left="108" w:right="1822"/>
              <w:rPr>
                <w:sz w:val="18"/>
              </w:rPr>
            </w:pPr>
            <w:r>
              <w:rPr>
                <w:sz w:val="18"/>
              </w:rPr>
              <w:t>Very High SIO (Unaltered)</w:t>
            </w:r>
            <w:r>
              <w:rPr>
                <w:spacing w:val="40"/>
                <w:sz w:val="18"/>
              </w:rPr>
              <w:t> </w:t>
            </w:r>
            <w:r>
              <w:rPr>
                <w:sz w:val="18"/>
              </w:rPr>
              <w:t>High SIO (Appears Unaltered)</w:t>
            </w:r>
          </w:p>
          <w:p>
            <w:pPr>
              <w:pStyle w:val="TableParagraph"/>
              <w:spacing w:line="206" w:lineRule="exact" w:before="0"/>
              <w:ind w:left="108" w:right="1590"/>
              <w:rPr>
                <w:sz w:val="18"/>
              </w:rPr>
            </w:pPr>
            <w:r>
              <w:rPr>
                <w:sz w:val="18"/>
              </w:rPr>
              <w:t>Moderate</w:t>
            </w:r>
            <w:r>
              <w:rPr>
                <w:spacing w:val="-13"/>
                <w:sz w:val="18"/>
              </w:rPr>
              <w:t> </w:t>
            </w:r>
            <w:r>
              <w:rPr>
                <w:sz w:val="18"/>
              </w:rPr>
              <w:t>SIO</w:t>
            </w:r>
            <w:r>
              <w:rPr>
                <w:spacing w:val="-12"/>
                <w:sz w:val="18"/>
              </w:rPr>
              <w:t> </w:t>
            </w:r>
            <w:r>
              <w:rPr>
                <w:sz w:val="18"/>
              </w:rPr>
              <w:t>(Slightly</w:t>
            </w:r>
            <w:r>
              <w:rPr>
                <w:spacing w:val="-13"/>
                <w:sz w:val="18"/>
              </w:rPr>
              <w:t> </w:t>
            </w:r>
            <w:r>
              <w:rPr>
                <w:sz w:val="18"/>
              </w:rPr>
              <w:t>Altered) Low SIO (Moderately Altered)</w:t>
            </w:r>
          </w:p>
        </w:tc>
      </w:tr>
      <w:tr>
        <w:trPr>
          <w:trHeight w:val="1036" w:hRule="atLeast"/>
        </w:trPr>
        <w:tc>
          <w:tcPr>
            <w:tcW w:w="9350" w:type="dxa"/>
            <w:gridSpan w:val="2"/>
            <w:shd w:val="clear" w:color="auto" w:fill="E6E6E6"/>
          </w:tcPr>
          <w:p>
            <w:pPr>
              <w:pStyle w:val="TableParagraph"/>
              <w:spacing w:line="206" w:lineRule="exact" w:before="0"/>
              <w:ind w:left="270"/>
              <w:rPr>
                <w:b/>
                <w:sz w:val="18"/>
              </w:rPr>
            </w:pPr>
            <w:r>
              <w:rPr>
                <w:b/>
                <w:sz w:val="18"/>
              </w:rPr>
              <w:t>Distance</w:t>
            </w:r>
            <w:r>
              <w:rPr>
                <w:b/>
                <w:spacing w:val="-5"/>
                <w:sz w:val="18"/>
              </w:rPr>
              <w:t> </w:t>
            </w:r>
            <w:r>
              <w:rPr>
                <w:b/>
                <w:spacing w:val="-2"/>
                <w:sz w:val="18"/>
              </w:rPr>
              <w:t>Zones</w:t>
            </w:r>
          </w:p>
          <w:p>
            <w:pPr>
              <w:pStyle w:val="TableParagraph"/>
              <w:spacing w:line="206" w:lineRule="exact" w:before="0"/>
              <w:ind w:left="270" w:right="3056"/>
              <w:rPr>
                <w:sz w:val="18"/>
              </w:rPr>
            </w:pPr>
            <w:r>
              <w:rPr>
                <w:sz w:val="18"/>
              </w:rPr>
              <w:t>Immediate Foreground High SIO - distance zone is 0 to 300 feet Foreground High SIO (FG) - distance zone is 300 feet to ½ mile Middleground High SIO (MG) - distance zone is ½ mile to 4 miles Background</w:t>
            </w:r>
            <w:r>
              <w:rPr>
                <w:spacing w:val="-3"/>
                <w:sz w:val="18"/>
              </w:rPr>
              <w:t> </w:t>
            </w:r>
            <w:r>
              <w:rPr>
                <w:sz w:val="18"/>
              </w:rPr>
              <w:t>Moderate</w:t>
            </w:r>
            <w:r>
              <w:rPr>
                <w:spacing w:val="-3"/>
                <w:sz w:val="18"/>
              </w:rPr>
              <w:t> </w:t>
            </w:r>
            <w:r>
              <w:rPr>
                <w:sz w:val="18"/>
              </w:rPr>
              <w:t>SIO</w:t>
            </w:r>
            <w:r>
              <w:rPr>
                <w:spacing w:val="-5"/>
                <w:sz w:val="18"/>
              </w:rPr>
              <w:t> </w:t>
            </w:r>
            <w:r>
              <w:rPr>
                <w:sz w:val="18"/>
              </w:rPr>
              <w:t>(BG)</w:t>
            </w:r>
            <w:r>
              <w:rPr>
                <w:spacing w:val="-4"/>
                <w:sz w:val="18"/>
              </w:rPr>
              <w:t> </w:t>
            </w:r>
            <w:r>
              <w:rPr>
                <w:sz w:val="18"/>
              </w:rPr>
              <w:t>-</w:t>
            </w:r>
            <w:r>
              <w:rPr>
                <w:spacing w:val="-4"/>
                <w:sz w:val="18"/>
              </w:rPr>
              <w:t> </w:t>
            </w:r>
            <w:r>
              <w:rPr>
                <w:sz w:val="18"/>
              </w:rPr>
              <w:t>distance</w:t>
            </w:r>
            <w:r>
              <w:rPr>
                <w:spacing w:val="-3"/>
                <w:sz w:val="18"/>
              </w:rPr>
              <w:t> </w:t>
            </w:r>
            <w:r>
              <w:rPr>
                <w:sz w:val="18"/>
              </w:rPr>
              <w:t>zone</w:t>
            </w:r>
            <w:r>
              <w:rPr>
                <w:spacing w:val="-6"/>
                <w:sz w:val="18"/>
              </w:rPr>
              <w:t> </w:t>
            </w:r>
            <w:r>
              <w:rPr>
                <w:sz w:val="18"/>
              </w:rPr>
              <w:t>4</w:t>
            </w:r>
            <w:r>
              <w:rPr>
                <w:spacing w:val="-3"/>
                <w:sz w:val="18"/>
              </w:rPr>
              <w:t> </w:t>
            </w:r>
            <w:r>
              <w:rPr>
                <w:sz w:val="18"/>
              </w:rPr>
              <w:t>miles</w:t>
            </w:r>
            <w:r>
              <w:rPr>
                <w:spacing w:val="-3"/>
                <w:sz w:val="18"/>
              </w:rPr>
              <w:t> </w:t>
            </w:r>
            <w:r>
              <w:rPr>
                <w:sz w:val="18"/>
              </w:rPr>
              <w:t>to</w:t>
            </w:r>
            <w:r>
              <w:rPr>
                <w:spacing w:val="-6"/>
                <w:sz w:val="18"/>
              </w:rPr>
              <w:t> </w:t>
            </w:r>
            <w:r>
              <w:rPr>
                <w:sz w:val="18"/>
              </w:rPr>
              <w:t>horizon</w:t>
            </w:r>
          </w:p>
        </w:tc>
      </w:tr>
      <w:tr>
        <w:trPr>
          <w:trHeight w:val="8339" w:hRule="atLeast"/>
        </w:trPr>
        <w:tc>
          <w:tcPr>
            <w:tcW w:w="4939" w:type="dxa"/>
          </w:tcPr>
          <w:p>
            <w:pPr>
              <w:pStyle w:val="TableParagraph"/>
              <w:tabs>
                <w:tab w:pos="1259" w:val="left" w:leader="none"/>
              </w:tabs>
              <w:spacing w:before="0"/>
              <w:ind w:left="107" w:right="1958"/>
              <w:rPr>
                <w:rFonts w:ascii="Calibri Light"/>
                <w:b w:val="0"/>
                <w:sz w:val="18"/>
              </w:rPr>
            </w:pPr>
            <w:r>
              <w:rPr>
                <w:rFonts w:ascii="Calibri Light"/>
                <w:b w:val="0"/>
                <w:spacing w:val="-2"/>
                <w:sz w:val="18"/>
              </w:rPr>
              <w:t>Concern</w:t>
            </w:r>
            <w:r>
              <w:rPr>
                <w:rFonts w:ascii="Calibri Light"/>
                <w:b w:val="0"/>
                <w:spacing w:val="-5"/>
                <w:sz w:val="18"/>
              </w:rPr>
              <w:t> </w:t>
            </w:r>
            <w:r>
              <w:rPr>
                <w:rFonts w:ascii="Calibri Light"/>
                <w:b w:val="0"/>
                <w:spacing w:val="-2"/>
                <w:sz w:val="18"/>
              </w:rPr>
              <w:t>Level</w:t>
            </w:r>
            <w:r>
              <w:rPr>
                <w:rFonts w:ascii="Calibri Light"/>
                <w:b w:val="0"/>
                <w:spacing w:val="-6"/>
                <w:sz w:val="18"/>
              </w:rPr>
              <w:t> </w:t>
            </w:r>
            <w:r>
              <w:rPr>
                <w:rFonts w:ascii="Calibri Light"/>
                <w:b w:val="0"/>
                <w:spacing w:val="-2"/>
                <w:sz w:val="18"/>
              </w:rPr>
              <w:t>1</w:t>
            </w:r>
            <w:r>
              <w:rPr>
                <w:rFonts w:ascii="Calibri Light"/>
                <w:b w:val="0"/>
                <w:spacing w:val="-5"/>
                <w:sz w:val="18"/>
              </w:rPr>
              <w:t> </w:t>
            </w:r>
            <w:r>
              <w:rPr>
                <w:rFonts w:ascii="Calibri Light"/>
                <w:b w:val="0"/>
                <w:spacing w:val="-2"/>
                <w:sz w:val="18"/>
              </w:rPr>
              <w:t>Travel</w:t>
            </w:r>
            <w:r>
              <w:rPr>
                <w:rFonts w:ascii="Calibri Light"/>
                <w:b w:val="0"/>
                <w:spacing w:val="-4"/>
                <w:sz w:val="18"/>
              </w:rPr>
              <w:t> </w:t>
            </w:r>
            <w:r>
              <w:rPr>
                <w:rFonts w:ascii="Calibri Light"/>
                <w:b w:val="0"/>
                <w:spacing w:val="-2"/>
                <w:sz w:val="18"/>
              </w:rPr>
              <w:t>Route</w:t>
            </w:r>
            <w:r>
              <w:rPr>
                <w:rFonts w:ascii="Calibri Light"/>
                <w:b w:val="0"/>
                <w:spacing w:val="-5"/>
                <w:sz w:val="18"/>
              </w:rPr>
              <w:t> </w:t>
            </w:r>
            <w:r>
              <w:rPr>
                <w:rFonts w:ascii="Calibri Light"/>
                <w:b w:val="0"/>
                <w:spacing w:val="-2"/>
                <w:sz w:val="18"/>
              </w:rPr>
              <w:t>Viewsheds</w:t>
            </w:r>
            <w:r>
              <w:rPr>
                <w:rFonts w:ascii="Calibri Light"/>
                <w:b w:val="0"/>
                <w:sz w:val="18"/>
              </w:rPr>
              <w:t> (High SIO FG, High MG Seen Area) </w:t>
            </w:r>
            <w:r>
              <w:rPr>
                <w:rFonts w:ascii="Calibri Light"/>
                <w:b w:val="0"/>
                <w:spacing w:val="-2"/>
                <w:sz w:val="18"/>
              </w:rPr>
              <w:t>RTE_NO</w:t>
            </w:r>
            <w:r>
              <w:rPr>
                <w:rFonts w:ascii="Calibri Light"/>
                <w:b w:val="0"/>
                <w:sz w:val="18"/>
              </w:rPr>
              <w:tab/>
            </w:r>
            <w:r>
              <w:rPr>
                <w:rFonts w:ascii="Calibri Light"/>
                <w:b w:val="0"/>
                <w:spacing w:val="-4"/>
                <w:sz w:val="18"/>
              </w:rPr>
              <w:t>NAME</w:t>
            </w:r>
          </w:p>
          <w:p>
            <w:pPr>
              <w:pStyle w:val="TableParagraph"/>
              <w:spacing w:before="0"/>
              <w:ind w:left="215"/>
              <w:rPr>
                <w:rFonts w:ascii="Calibri Light"/>
                <w:b w:val="0"/>
                <w:sz w:val="18"/>
              </w:rPr>
            </w:pPr>
            <w:r>
              <w:rPr>
                <w:rFonts w:ascii="Calibri Light"/>
                <w:b w:val="0"/>
                <w:sz w:val="18"/>
              </w:rPr>
              <w:t>US-</w:t>
            </w:r>
            <w:r>
              <w:rPr>
                <w:rFonts w:ascii="Calibri Light"/>
                <w:b w:val="0"/>
                <w:spacing w:val="-5"/>
                <w:sz w:val="18"/>
              </w:rPr>
              <w:t>395</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C9435</w:t>
            </w:r>
            <w:r>
              <w:rPr>
                <w:rFonts w:ascii="Calibri Light"/>
                <w:b w:val="0"/>
                <w:sz w:val="18"/>
              </w:rPr>
              <w:tab/>
            </w:r>
            <w:r>
              <w:rPr>
                <w:rFonts w:ascii="Calibri Light"/>
                <w:b w:val="0"/>
                <w:spacing w:val="-2"/>
                <w:sz w:val="18"/>
              </w:rPr>
              <w:t>ALADDIN</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1700426</w:t>
            </w:r>
            <w:r>
              <w:rPr>
                <w:rFonts w:ascii="Calibri Light"/>
                <w:b w:val="0"/>
                <w:sz w:val="18"/>
              </w:rPr>
              <w:tab/>
              <w:t>BIG</w:t>
            </w:r>
            <w:r>
              <w:rPr>
                <w:rFonts w:ascii="Calibri Light"/>
                <w:b w:val="0"/>
                <w:spacing w:val="-3"/>
                <w:sz w:val="18"/>
              </w:rPr>
              <w:t> </w:t>
            </w:r>
            <w:r>
              <w:rPr>
                <w:rFonts w:ascii="Calibri Light"/>
                <w:b w:val="0"/>
                <w:sz w:val="18"/>
              </w:rPr>
              <w:t>MEADOW</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z w:val="18"/>
              </w:rPr>
              <w:t>BOAT</w:t>
            </w:r>
            <w:r>
              <w:rPr>
                <w:rFonts w:ascii="Calibri Light"/>
                <w:b w:val="0"/>
                <w:spacing w:val="-1"/>
                <w:sz w:val="18"/>
              </w:rPr>
              <w:t> </w:t>
            </w:r>
            <w:r>
              <w:rPr>
                <w:rFonts w:ascii="Calibri Light"/>
                <w:b w:val="0"/>
                <w:spacing w:val="-2"/>
                <w:sz w:val="18"/>
              </w:rPr>
              <w:t>LAUNCH</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1700424</w:t>
            </w:r>
            <w:r>
              <w:rPr>
                <w:rFonts w:ascii="Calibri Light"/>
                <w:b w:val="0"/>
                <w:sz w:val="18"/>
              </w:rPr>
              <w:tab/>
              <w:t>BIG</w:t>
            </w:r>
            <w:r>
              <w:rPr>
                <w:rFonts w:ascii="Calibri Light"/>
                <w:b w:val="0"/>
                <w:spacing w:val="-3"/>
                <w:sz w:val="18"/>
              </w:rPr>
              <w:t> </w:t>
            </w:r>
            <w:r>
              <w:rPr>
                <w:rFonts w:ascii="Calibri Light"/>
                <w:b w:val="0"/>
                <w:sz w:val="18"/>
              </w:rPr>
              <w:t>MEADOW</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z w:val="18"/>
              </w:rPr>
              <w:t>BOAT</w:t>
            </w:r>
            <w:r>
              <w:rPr>
                <w:rFonts w:ascii="Calibri Light"/>
                <w:b w:val="0"/>
                <w:spacing w:val="-3"/>
                <w:sz w:val="18"/>
              </w:rPr>
              <w:t> </w:t>
            </w:r>
            <w:r>
              <w:rPr>
                <w:rFonts w:ascii="Calibri Light"/>
                <w:b w:val="0"/>
                <w:spacing w:val="-2"/>
                <w:sz w:val="18"/>
              </w:rPr>
              <w:t>PARKING</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1700423</w:t>
            </w:r>
            <w:r>
              <w:rPr>
                <w:rFonts w:ascii="Calibri Light"/>
                <w:b w:val="0"/>
                <w:sz w:val="18"/>
              </w:rPr>
              <w:tab/>
              <w:t>BIG</w:t>
            </w:r>
            <w:r>
              <w:rPr>
                <w:rFonts w:ascii="Calibri Light"/>
                <w:b w:val="0"/>
                <w:spacing w:val="-2"/>
                <w:sz w:val="18"/>
              </w:rPr>
              <w:t> </w:t>
            </w:r>
            <w:r>
              <w:rPr>
                <w:rFonts w:ascii="Calibri Light"/>
                <w:b w:val="0"/>
                <w:sz w:val="18"/>
              </w:rPr>
              <w:t>MEADOW</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CAMPGROUND</w:t>
            </w:r>
          </w:p>
          <w:p>
            <w:pPr>
              <w:pStyle w:val="TableParagraph"/>
              <w:tabs>
                <w:tab w:pos="1367" w:val="left" w:leader="none"/>
              </w:tabs>
              <w:spacing w:line="219" w:lineRule="exact" w:before="2"/>
              <w:ind w:left="215"/>
              <w:rPr>
                <w:rFonts w:ascii="Calibri Light"/>
                <w:b w:val="0"/>
                <w:sz w:val="18"/>
              </w:rPr>
            </w:pPr>
            <w:r>
              <w:rPr>
                <w:rFonts w:ascii="Calibri Light"/>
                <w:b w:val="0"/>
                <w:spacing w:val="-2"/>
                <w:sz w:val="18"/>
              </w:rPr>
              <w:t>1700425</w:t>
            </w:r>
            <w:r>
              <w:rPr>
                <w:rFonts w:ascii="Calibri Light"/>
                <w:b w:val="0"/>
                <w:sz w:val="18"/>
              </w:rPr>
              <w:tab/>
              <w:t>BIG</w:t>
            </w:r>
            <w:r>
              <w:rPr>
                <w:rFonts w:ascii="Calibri Light"/>
                <w:b w:val="0"/>
                <w:spacing w:val="-2"/>
                <w:sz w:val="18"/>
              </w:rPr>
              <w:t> </w:t>
            </w:r>
            <w:r>
              <w:rPr>
                <w:rFonts w:ascii="Calibri Light"/>
                <w:b w:val="0"/>
                <w:sz w:val="18"/>
              </w:rPr>
              <w:t>MEADOW</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CAMPGROUND</w:t>
            </w:r>
          </w:p>
          <w:p>
            <w:pPr>
              <w:pStyle w:val="TableParagraph"/>
              <w:tabs>
                <w:tab w:pos="1367" w:val="left" w:leader="none"/>
              </w:tabs>
              <w:spacing w:before="0"/>
              <w:ind w:left="215" w:right="994"/>
              <w:rPr>
                <w:rFonts w:ascii="Calibri Light"/>
                <w:b w:val="0"/>
                <w:sz w:val="18"/>
              </w:rPr>
            </w:pPr>
            <w:r>
              <w:rPr>
                <w:rFonts w:ascii="Calibri Light"/>
                <w:b w:val="0"/>
                <w:spacing w:val="-2"/>
                <w:sz w:val="18"/>
              </w:rPr>
              <w:t>1700429</w:t>
            </w:r>
            <w:r>
              <w:rPr>
                <w:rFonts w:ascii="Calibri Light"/>
                <w:b w:val="0"/>
                <w:sz w:val="18"/>
              </w:rPr>
              <w:tab/>
              <w:t>BIG</w:t>
            </w:r>
            <w:r>
              <w:rPr>
                <w:rFonts w:ascii="Calibri Light"/>
                <w:b w:val="0"/>
                <w:spacing w:val="-11"/>
                <w:sz w:val="18"/>
              </w:rPr>
              <w:t> </w:t>
            </w:r>
            <w:r>
              <w:rPr>
                <w:rFonts w:ascii="Calibri Light"/>
                <w:b w:val="0"/>
                <w:sz w:val="18"/>
              </w:rPr>
              <w:t>MEADOW</w:t>
            </w:r>
            <w:r>
              <w:rPr>
                <w:rFonts w:ascii="Calibri Light"/>
                <w:b w:val="0"/>
                <w:spacing w:val="-10"/>
                <w:sz w:val="18"/>
              </w:rPr>
              <w:t> </w:t>
            </w:r>
            <w:r>
              <w:rPr>
                <w:rFonts w:ascii="Calibri Light"/>
                <w:b w:val="0"/>
                <w:sz w:val="18"/>
              </w:rPr>
              <w:t>LAKE</w:t>
            </w:r>
            <w:r>
              <w:rPr>
                <w:rFonts w:ascii="Calibri Light"/>
                <w:b w:val="0"/>
                <w:spacing w:val="-10"/>
                <w:sz w:val="18"/>
              </w:rPr>
              <w:t> </w:t>
            </w:r>
            <w:r>
              <w:rPr>
                <w:rFonts w:ascii="Calibri Light"/>
                <w:b w:val="0"/>
                <w:sz w:val="18"/>
              </w:rPr>
              <w:t>CAMPGROUND </w:t>
            </w:r>
            <w:r>
              <w:rPr>
                <w:rFonts w:ascii="Calibri Light"/>
                <w:b w:val="0"/>
                <w:spacing w:val="-4"/>
                <w:sz w:val="18"/>
              </w:rPr>
              <w:t>C602</w:t>
            </w:r>
            <w:r>
              <w:rPr>
                <w:rFonts w:ascii="Calibri Light"/>
                <w:b w:val="0"/>
                <w:sz w:val="18"/>
              </w:rPr>
              <w:tab/>
              <w:t>BOULDER DEER CREEK/6100 </w:t>
            </w:r>
            <w:r>
              <w:rPr>
                <w:rFonts w:ascii="Calibri Light"/>
                <w:b w:val="0"/>
                <w:spacing w:val="-2"/>
                <w:sz w:val="18"/>
              </w:rPr>
              <w:t>2000138</w:t>
            </w:r>
            <w:r>
              <w:rPr>
                <w:rFonts w:ascii="Calibri Light"/>
                <w:b w:val="0"/>
                <w:sz w:val="18"/>
              </w:rPr>
              <w:tab/>
              <w:t>CANYON CREEK CAMPGROUND </w:t>
            </w:r>
            <w:r>
              <w:rPr>
                <w:rFonts w:ascii="Calibri Light"/>
                <w:b w:val="0"/>
                <w:spacing w:val="-2"/>
                <w:sz w:val="18"/>
              </w:rPr>
              <w:t>C9445</w:t>
            </w:r>
            <w:r>
              <w:rPr>
                <w:rFonts w:ascii="Calibri Light"/>
                <w:b w:val="0"/>
                <w:sz w:val="18"/>
              </w:rPr>
              <w:tab/>
              <w:t>DEEP LAKE BOUNDARY</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9411130</w:t>
            </w:r>
            <w:r>
              <w:rPr>
                <w:rFonts w:ascii="Calibri Light"/>
                <w:b w:val="0"/>
                <w:sz w:val="18"/>
              </w:rPr>
              <w:tab/>
              <w:t>DOMINION</w:t>
            </w:r>
            <w:r>
              <w:rPr>
                <w:rFonts w:ascii="Calibri Light"/>
                <w:b w:val="0"/>
                <w:spacing w:val="-4"/>
                <w:sz w:val="18"/>
              </w:rPr>
              <w:t> </w:t>
            </w:r>
            <w:r>
              <w:rPr>
                <w:rFonts w:ascii="Calibri Light"/>
                <w:b w:val="0"/>
                <w:spacing w:val="-5"/>
                <w:sz w:val="18"/>
              </w:rPr>
              <w:t>MTN</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C2902</w:t>
            </w:r>
            <w:r>
              <w:rPr>
                <w:rFonts w:ascii="Calibri Light"/>
                <w:b w:val="0"/>
                <w:sz w:val="18"/>
              </w:rPr>
              <w:tab/>
              <w:t>FLOWERY</w:t>
            </w:r>
            <w:r>
              <w:rPr>
                <w:rFonts w:ascii="Calibri Light"/>
                <w:b w:val="0"/>
                <w:spacing w:val="-4"/>
                <w:sz w:val="18"/>
              </w:rPr>
              <w:t> </w:t>
            </w:r>
            <w:r>
              <w:rPr>
                <w:rFonts w:ascii="Calibri Light"/>
                <w:b w:val="0"/>
                <w:sz w:val="18"/>
              </w:rPr>
              <w:t>TRAIL</w:t>
            </w:r>
            <w:r>
              <w:rPr>
                <w:rFonts w:ascii="Calibri Light"/>
                <w:b w:val="0"/>
                <w:spacing w:val="-4"/>
                <w:sz w:val="18"/>
              </w:rPr>
              <w:t> </w:t>
            </w:r>
            <w:r>
              <w:rPr>
                <w:rFonts w:ascii="Calibri Light"/>
                <w:b w:val="0"/>
                <w:spacing w:val="-2"/>
                <w:sz w:val="18"/>
              </w:rPr>
              <w:t>(WEST)/4300</w:t>
            </w:r>
          </w:p>
          <w:p>
            <w:pPr>
              <w:pStyle w:val="TableParagraph"/>
              <w:tabs>
                <w:tab w:pos="1367" w:val="left" w:leader="none"/>
              </w:tabs>
              <w:spacing w:line="219" w:lineRule="exact" w:before="1"/>
              <w:ind w:left="215"/>
              <w:rPr>
                <w:rFonts w:ascii="Calibri Light"/>
                <w:b w:val="0"/>
                <w:sz w:val="18"/>
              </w:rPr>
            </w:pPr>
            <w:r>
              <w:rPr>
                <w:rFonts w:ascii="Calibri Light"/>
                <w:b w:val="0"/>
                <w:spacing w:val="-5"/>
                <w:sz w:val="18"/>
              </w:rPr>
              <w:t>C3</w:t>
            </w:r>
            <w:r>
              <w:rPr>
                <w:rFonts w:ascii="Calibri Light"/>
                <w:b w:val="0"/>
                <w:sz w:val="18"/>
              </w:rPr>
              <w:tab/>
              <w:t>INCHELIUM</w:t>
            </w:r>
            <w:r>
              <w:rPr>
                <w:rFonts w:ascii="Calibri Light"/>
                <w:b w:val="0"/>
                <w:spacing w:val="-6"/>
                <w:sz w:val="18"/>
              </w:rPr>
              <w:t> </w:t>
            </w:r>
            <w:r>
              <w:rPr>
                <w:rFonts w:ascii="Calibri Light"/>
                <w:b w:val="0"/>
                <w:spacing w:val="-5"/>
                <w:sz w:val="18"/>
              </w:rPr>
              <w:t>HWY</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2014017</w:t>
            </w:r>
            <w:r>
              <w:rPr>
                <w:rFonts w:ascii="Calibri Light"/>
                <w:b w:val="0"/>
                <w:sz w:val="18"/>
              </w:rPr>
              <w:tab/>
              <w:t>LAKE</w:t>
            </w:r>
            <w:r>
              <w:rPr>
                <w:rFonts w:ascii="Calibri Light"/>
                <w:b w:val="0"/>
                <w:spacing w:val="-3"/>
                <w:sz w:val="18"/>
              </w:rPr>
              <w:t> </w:t>
            </w:r>
            <w:r>
              <w:rPr>
                <w:rFonts w:ascii="Calibri Light"/>
                <w:b w:val="0"/>
                <w:sz w:val="18"/>
              </w:rPr>
              <w:t>ELLEN</w:t>
            </w:r>
            <w:r>
              <w:rPr>
                <w:rFonts w:ascii="Calibri Light"/>
                <w:b w:val="0"/>
                <w:spacing w:val="-2"/>
                <w:sz w:val="18"/>
              </w:rPr>
              <w:t> </w:t>
            </w:r>
            <w:r>
              <w:rPr>
                <w:rFonts w:ascii="Calibri Light"/>
                <w:b w:val="0"/>
                <w:sz w:val="18"/>
              </w:rPr>
              <w:t>BOAT</w:t>
            </w:r>
            <w:r>
              <w:rPr>
                <w:rFonts w:ascii="Calibri Light"/>
                <w:b w:val="0"/>
                <w:spacing w:val="-4"/>
                <w:sz w:val="18"/>
              </w:rPr>
              <w:t> </w:t>
            </w:r>
            <w:r>
              <w:rPr>
                <w:rFonts w:ascii="Calibri Light"/>
                <w:b w:val="0"/>
                <w:sz w:val="18"/>
              </w:rPr>
              <w:t>WEST</w:t>
            </w:r>
            <w:r>
              <w:rPr>
                <w:rFonts w:ascii="Calibri Light"/>
                <w:b w:val="0"/>
                <w:spacing w:val="-3"/>
                <w:sz w:val="18"/>
              </w:rPr>
              <w:t> </w:t>
            </w:r>
            <w:r>
              <w:rPr>
                <w:rFonts w:ascii="Calibri Light"/>
                <w:b w:val="0"/>
                <w:sz w:val="18"/>
              </w:rPr>
              <w:t>AND</w:t>
            </w:r>
            <w:r>
              <w:rPr>
                <w:rFonts w:ascii="Calibri Light"/>
                <w:b w:val="0"/>
                <w:spacing w:val="-1"/>
                <w:sz w:val="18"/>
              </w:rPr>
              <w:t> </w:t>
            </w:r>
            <w:r>
              <w:rPr>
                <w:rFonts w:ascii="Calibri Light"/>
                <w:b w:val="0"/>
                <w:spacing w:val="-4"/>
                <w:sz w:val="18"/>
              </w:rPr>
              <w:t>BOAT</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9413160</w:t>
            </w:r>
            <w:r>
              <w:rPr>
                <w:rFonts w:ascii="Calibri Light"/>
                <w:b w:val="0"/>
                <w:sz w:val="18"/>
              </w:rPr>
              <w:tab/>
              <w:t>LITTLE</w:t>
            </w:r>
            <w:r>
              <w:rPr>
                <w:rFonts w:ascii="Calibri Light"/>
                <w:b w:val="0"/>
                <w:spacing w:val="-4"/>
                <w:sz w:val="18"/>
              </w:rPr>
              <w:t> </w:t>
            </w:r>
            <w:r>
              <w:rPr>
                <w:rFonts w:ascii="Calibri Light"/>
                <w:b w:val="0"/>
                <w:sz w:val="18"/>
              </w:rPr>
              <w:t>TWIN</w:t>
            </w:r>
            <w:r>
              <w:rPr>
                <w:rFonts w:ascii="Calibri Light"/>
                <w:b w:val="0"/>
                <w:spacing w:val="-3"/>
                <w:sz w:val="18"/>
              </w:rPr>
              <w:t> </w:t>
            </w:r>
            <w:r>
              <w:rPr>
                <w:rFonts w:ascii="Calibri Light"/>
                <w:b w:val="0"/>
                <w:spacing w:val="-2"/>
                <w:sz w:val="18"/>
              </w:rPr>
              <w:t>BEACH</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9413165</w:t>
            </w:r>
            <w:r>
              <w:rPr>
                <w:rFonts w:ascii="Calibri Light"/>
                <w:b w:val="0"/>
                <w:sz w:val="18"/>
              </w:rPr>
              <w:tab/>
              <w:t>LITTLE</w:t>
            </w:r>
            <w:r>
              <w:rPr>
                <w:rFonts w:ascii="Calibri Light"/>
                <w:b w:val="0"/>
                <w:spacing w:val="-3"/>
                <w:sz w:val="18"/>
              </w:rPr>
              <w:t> </w:t>
            </w:r>
            <w:r>
              <w:rPr>
                <w:rFonts w:ascii="Calibri Light"/>
                <w:b w:val="0"/>
                <w:sz w:val="18"/>
              </w:rPr>
              <w:t>TWIN</w:t>
            </w:r>
            <w:r>
              <w:rPr>
                <w:rFonts w:ascii="Calibri Light"/>
                <w:b w:val="0"/>
                <w:spacing w:val="-4"/>
                <w:sz w:val="18"/>
              </w:rPr>
              <w:t> </w:t>
            </w:r>
            <w:r>
              <w:rPr>
                <w:rFonts w:ascii="Calibri Light"/>
                <w:b w:val="0"/>
                <w:sz w:val="18"/>
              </w:rPr>
              <w:t>BOAT</w:t>
            </w:r>
            <w:r>
              <w:rPr>
                <w:rFonts w:ascii="Calibri Light"/>
                <w:b w:val="0"/>
                <w:spacing w:val="-2"/>
                <w:sz w:val="18"/>
              </w:rPr>
              <w:t> LAUNCH</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9413170</w:t>
            </w:r>
            <w:r>
              <w:rPr>
                <w:rFonts w:ascii="Calibri Light"/>
                <w:b w:val="0"/>
                <w:sz w:val="18"/>
              </w:rPr>
              <w:tab/>
              <w:t>LITTLE</w:t>
            </w:r>
            <w:r>
              <w:rPr>
                <w:rFonts w:ascii="Calibri Light"/>
                <w:b w:val="0"/>
                <w:spacing w:val="-4"/>
                <w:sz w:val="18"/>
              </w:rPr>
              <w:t> </w:t>
            </w:r>
            <w:r>
              <w:rPr>
                <w:rFonts w:ascii="Calibri Light"/>
                <w:b w:val="0"/>
                <w:sz w:val="18"/>
              </w:rPr>
              <w:t>TWIN</w:t>
            </w:r>
            <w:r>
              <w:rPr>
                <w:rFonts w:ascii="Calibri Light"/>
                <w:b w:val="0"/>
                <w:spacing w:val="-3"/>
                <w:sz w:val="18"/>
              </w:rPr>
              <w:t> </w:t>
            </w:r>
            <w:r>
              <w:rPr>
                <w:rFonts w:ascii="Calibri Light"/>
                <w:b w:val="0"/>
                <w:spacing w:val="-2"/>
                <w:sz w:val="18"/>
              </w:rPr>
              <w:t>CAMPGROUND</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9413150</w:t>
            </w:r>
            <w:r>
              <w:rPr>
                <w:rFonts w:ascii="Calibri Light"/>
                <w:b w:val="0"/>
                <w:sz w:val="18"/>
              </w:rPr>
              <w:tab/>
              <w:t>LITTLE</w:t>
            </w:r>
            <w:r>
              <w:rPr>
                <w:rFonts w:ascii="Calibri Light"/>
                <w:b w:val="0"/>
                <w:spacing w:val="-4"/>
                <w:sz w:val="18"/>
              </w:rPr>
              <w:t> </w:t>
            </w:r>
            <w:r>
              <w:rPr>
                <w:rFonts w:ascii="Calibri Light"/>
                <w:b w:val="0"/>
                <w:sz w:val="18"/>
              </w:rPr>
              <w:t>TWIN</w:t>
            </w:r>
            <w:r>
              <w:rPr>
                <w:rFonts w:ascii="Calibri Light"/>
                <w:b w:val="0"/>
                <w:spacing w:val="-3"/>
                <w:sz w:val="18"/>
              </w:rPr>
              <w:t> </w:t>
            </w:r>
            <w:r>
              <w:rPr>
                <w:rFonts w:ascii="Calibri Light"/>
                <w:b w:val="0"/>
                <w:sz w:val="18"/>
              </w:rPr>
              <w:t>CAMPGROUND</w:t>
            </w:r>
            <w:r>
              <w:rPr>
                <w:rFonts w:ascii="Calibri Light"/>
                <w:b w:val="0"/>
                <w:spacing w:val="-3"/>
                <w:sz w:val="18"/>
              </w:rPr>
              <w:t> </w:t>
            </w:r>
            <w:r>
              <w:rPr>
                <w:rFonts w:ascii="Calibri Light"/>
                <w:b w:val="0"/>
                <w:spacing w:val="-4"/>
                <w:sz w:val="18"/>
              </w:rPr>
              <w:t>DRIVE</w:t>
            </w:r>
          </w:p>
          <w:p>
            <w:pPr>
              <w:pStyle w:val="TableParagraph"/>
              <w:tabs>
                <w:tab w:pos="1367" w:val="left" w:leader="none"/>
              </w:tabs>
              <w:spacing w:before="1"/>
              <w:ind w:left="215"/>
              <w:rPr>
                <w:rFonts w:ascii="Calibri Light"/>
                <w:b w:val="0"/>
                <w:sz w:val="18"/>
              </w:rPr>
            </w:pPr>
            <w:r>
              <w:rPr>
                <w:rFonts w:ascii="Calibri Light"/>
                <w:b w:val="0"/>
                <w:spacing w:val="-2"/>
                <w:sz w:val="18"/>
              </w:rPr>
              <w:t>9400160</w:t>
            </w:r>
            <w:r>
              <w:rPr>
                <w:rFonts w:ascii="Calibri Light"/>
                <w:b w:val="0"/>
                <w:sz w:val="18"/>
              </w:rPr>
              <w:tab/>
              <w:t>LK</w:t>
            </w:r>
            <w:r>
              <w:rPr>
                <w:rFonts w:ascii="Calibri Light"/>
                <w:b w:val="0"/>
                <w:spacing w:val="-4"/>
                <w:sz w:val="18"/>
              </w:rPr>
              <w:t> </w:t>
            </w:r>
            <w:r>
              <w:rPr>
                <w:rFonts w:ascii="Calibri Light"/>
                <w:b w:val="0"/>
                <w:sz w:val="18"/>
              </w:rPr>
              <w:t>GILLETTE</w:t>
            </w:r>
            <w:r>
              <w:rPr>
                <w:rFonts w:ascii="Calibri Light"/>
                <w:b w:val="0"/>
                <w:spacing w:val="-3"/>
                <w:sz w:val="18"/>
              </w:rPr>
              <w:t> </w:t>
            </w:r>
            <w:r>
              <w:rPr>
                <w:rFonts w:ascii="Calibri Light"/>
                <w:b w:val="0"/>
                <w:sz w:val="18"/>
              </w:rPr>
              <w:t>BOAT</w:t>
            </w:r>
            <w:r>
              <w:rPr>
                <w:rFonts w:ascii="Calibri Light"/>
                <w:b w:val="0"/>
                <w:spacing w:val="-4"/>
                <w:sz w:val="18"/>
              </w:rPr>
              <w:t> </w:t>
            </w:r>
            <w:r>
              <w:rPr>
                <w:rFonts w:ascii="Calibri Light"/>
                <w:b w:val="0"/>
                <w:spacing w:val="-2"/>
                <w:sz w:val="18"/>
              </w:rPr>
              <w:t>LAUNCH</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9400170</w:t>
            </w:r>
            <w:r>
              <w:rPr>
                <w:rFonts w:ascii="Calibri Light"/>
                <w:b w:val="0"/>
                <w:sz w:val="18"/>
              </w:rPr>
              <w:tab/>
              <w:t>LK</w:t>
            </w:r>
            <w:r>
              <w:rPr>
                <w:rFonts w:ascii="Calibri Light"/>
                <w:b w:val="0"/>
                <w:spacing w:val="-4"/>
                <w:sz w:val="18"/>
              </w:rPr>
              <w:t> </w:t>
            </w:r>
            <w:r>
              <w:rPr>
                <w:rFonts w:ascii="Calibri Light"/>
                <w:b w:val="0"/>
                <w:sz w:val="18"/>
              </w:rPr>
              <w:t>GILLETTE</w:t>
            </w:r>
            <w:r>
              <w:rPr>
                <w:rFonts w:ascii="Calibri Light"/>
                <w:b w:val="0"/>
                <w:spacing w:val="-3"/>
                <w:sz w:val="18"/>
              </w:rPr>
              <w:t> </w:t>
            </w:r>
            <w:r>
              <w:rPr>
                <w:rFonts w:ascii="Calibri Light"/>
                <w:b w:val="0"/>
                <w:spacing w:val="-2"/>
                <w:sz w:val="18"/>
              </w:rPr>
              <w:t>CAMPGROUND</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9400165</w:t>
            </w:r>
            <w:r>
              <w:rPr>
                <w:rFonts w:ascii="Calibri Light"/>
                <w:b w:val="0"/>
                <w:sz w:val="18"/>
              </w:rPr>
              <w:tab/>
              <w:t>LK</w:t>
            </w:r>
            <w:r>
              <w:rPr>
                <w:rFonts w:ascii="Calibri Light"/>
                <w:b w:val="0"/>
                <w:spacing w:val="-4"/>
                <w:sz w:val="18"/>
              </w:rPr>
              <w:t> </w:t>
            </w:r>
            <w:r>
              <w:rPr>
                <w:rFonts w:ascii="Calibri Light"/>
                <w:b w:val="0"/>
                <w:sz w:val="18"/>
              </w:rPr>
              <w:t>GILLETTE</w:t>
            </w:r>
            <w:r>
              <w:rPr>
                <w:rFonts w:ascii="Calibri Light"/>
                <w:b w:val="0"/>
                <w:spacing w:val="-4"/>
                <w:sz w:val="18"/>
              </w:rPr>
              <w:t> </w:t>
            </w:r>
            <w:r>
              <w:rPr>
                <w:rFonts w:ascii="Calibri Light"/>
                <w:b w:val="0"/>
                <w:sz w:val="18"/>
              </w:rPr>
              <w:t>PICNIC</w:t>
            </w:r>
            <w:r>
              <w:rPr>
                <w:rFonts w:ascii="Calibri Light"/>
                <w:b w:val="0"/>
                <w:spacing w:val="-4"/>
                <w:sz w:val="18"/>
              </w:rPr>
              <w:t> </w:t>
            </w:r>
            <w:r>
              <w:rPr>
                <w:rFonts w:ascii="Calibri Light"/>
                <w:b w:val="0"/>
                <w:spacing w:val="-2"/>
                <w:sz w:val="18"/>
              </w:rPr>
              <w:t>CAMPGROUND</w:t>
            </w:r>
          </w:p>
          <w:p>
            <w:pPr>
              <w:pStyle w:val="TableParagraph"/>
              <w:tabs>
                <w:tab w:pos="1367" w:val="left" w:leader="none"/>
              </w:tabs>
              <w:spacing w:before="1"/>
              <w:ind w:left="215" w:right="973"/>
              <w:rPr>
                <w:rFonts w:ascii="Calibri Light"/>
                <w:b w:val="0"/>
                <w:sz w:val="18"/>
              </w:rPr>
            </w:pPr>
            <w:r>
              <w:rPr>
                <w:rFonts w:ascii="Calibri Light"/>
                <w:b w:val="0"/>
                <w:spacing w:val="-2"/>
                <w:sz w:val="18"/>
              </w:rPr>
              <w:t>2000134</w:t>
            </w:r>
            <w:r>
              <w:rPr>
                <w:rFonts w:ascii="Calibri Light"/>
                <w:b w:val="0"/>
                <w:sz w:val="18"/>
              </w:rPr>
              <w:tab/>
              <w:t>LOG</w:t>
            </w:r>
            <w:r>
              <w:rPr>
                <w:rFonts w:ascii="Calibri Light"/>
                <w:b w:val="0"/>
                <w:spacing w:val="-10"/>
                <w:sz w:val="18"/>
              </w:rPr>
              <w:t> </w:t>
            </w:r>
            <w:r>
              <w:rPr>
                <w:rFonts w:ascii="Calibri Light"/>
                <w:b w:val="0"/>
                <w:sz w:val="18"/>
              </w:rPr>
              <w:t>FLUME</w:t>
            </w:r>
            <w:r>
              <w:rPr>
                <w:rFonts w:ascii="Calibri Light"/>
                <w:b w:val="0"/>
                <w:spacing w:val="-10"/>
                <w:sz w:val="18"/>
              </w:rPr>
              <w:t> </w:t>
            </w:r>
            <w:r>
              <w:rPr>
                <w:rFonts w:ascii="Calibri Light"/>
                <w:b w:val="0"/>
                <w:sz w:val="18"/>
              </w:rPr>
              <w:t>HERITAGE</w:t>
            </w:r>
            <w:r>
              <w:rPr>
                <w:rFonts w:ascii="Calibri Light"/>
                <w:b w:val="0"/>
                <w:spacing w:val="-10"/>
                <w:sz w:val="18"/>
              </w:rPr>
              <w:t> </w:t>
            </w:r>
            <w:r>
              <w:rPr>
                <w:rFonts w:ascii="Calibri Light"/>
                <w:b w:val="0"/>
                <w:sz w:val="18"/>
              </w:rPr>
              <w:t>SITE</w:t>
            </w:r>
            <w:r>
              <w:rPr>
                <w:rFonts w:ascii="Calibri Light"/>
                <w:b w:val="0"/>
                <w:spacing w:val="-10"/>
                <w:sz w:val="18"/>
              </w:rPr>
              <w:t> </w:t>
            </w:r>
            <w:r>
              <w:rPr>
                <w:rFonts w:ascii="Calibri Light"/>
                <w:b w:val="0"/>
                <w:sz w:val="18"/>
              </w:rPr>
              <w:t>-ADMIN </w:t>
            </w:r>
            <w:r>
              <w:rPr>
                <w:rFonts w:ascii="Calibri Light"/>
                <w:b w:val="0"/>
                <w:spacing w:val="-2"/>
                <w:sz w:val="18"/>
              </w:rPr>
              <w:t>C4987</w:t>
            </w:r>
            <w:r>
              <w:rPr>
                <w:rFonts w:ascii="Calibri Light"/>
                <w:b w:val="0"/>
                <w:sz w:val="18"/>
              </w:rPr>
              <w:tab/>
              <w:t>PEND ORIELLE LAKE</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C4015</w:t>
            </w:r>
            <w:r>
              <w:rPr>
                <w:rFonts w:ascii="Calibri Light"/>
                <w:b w:val="0"/>
                <w:sz w:val="18"/>
              </w:rPr>
              <w:tab/>
              <w:t>PIERRE</w:t>
            </w:r>
            <w:r>
              <w:rPr>
                <w:rFonts w:ascii="Calibri Light"/>
                <w:b w:val="0"/>
                <w:spacing w:val="-3"/>
                <w:sz w:val="18"/>
              </w:rPr>
              <w:t> </w:t>
            </w:r>
            <w:r>
              <w:rPr>
                <w:rFonts w:ascii="Calibri Light"/>
                <w:b w:val="0"/>
                <w:spacing w:val="-4"/>
                <w:sz w:val="18"/>
              </w:rPr>
              <w:t>LAKE</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1500020</w:t>
            </w:r>
            <w:r>
              <w:rPr>
                <w:rFonts w:ascii="Calibri Light"/>
                <w:b w:val="0"/>
                <w:sz w:val="18"/>
              </w:rPr>
              <w:tab/>
              <w:t>PIERRE</w:t>
            </w:r>
            <w:r>
              <w:rPr>
                <w:rFonts w:ascii="Calibri Light"/>
                <w:b w:val="0"/>
                <w:spacing w:val="-3"/>
                <w:sz w:val="18"/>
              </w:rPr>
              <w:t> </w:t>
            </w:r>
            <w:r>
              <w:rPr>
                <w:rFonts w:ascii="Calibri Light"/>
                <w:b w:val="0"/>
                <w:sz w:val="18"/>
              </w:rPr>
              <w:t>LAKE</w:t>
            </w:r>
            <w:r>
              <w:rPr>
                <w:rFonts w:ascii="Calibri Light"/>
                <w:b w:val="0"/>
                <w:spacing w:val="-2"/>
                <w:sz w:val="18"/>
              </w:rPr>
              <w:t> </w:t>
            </w:r>
            <w:r>
              <w:rPr>
                <w:rFonts w:ascii="Calibri Light"/>
                <w:b w:val="0"/>
                <w:sz w:val="18"/>
              </w:rPr>
              <w:t>BOAT</w:t>
            </w:r>
            <w:r>
              <w:rPr>
                <w:rFonts w:ascii="Calibri Light"/>
                <w:b w:val="0"/>
                <w:spacing w:val="-3"/>
                <w:sz w:val="18"/>
              </w:rPr>
              <w:t> </w:t>
            </w:r>
            <w:r>
              <w:rPr>
                <w:rFonts w:ascii="Calibri Light"/>
                <w:b w:val="0"/>
                <w:spacing w:val="-2"/>
                <w:sz w:val="18"/>
              </w:rPr>
              <w:t>LAUNCH</w:t>
            </w:r>
          </w:p>
          <w:p>
            <w:pPr>
              <w:pStyle w:val="TableParagraph"/>
              <w:tabs>
                <w:tab w:pos="1367" w:val="left" w:leader="none"/>
              </w:tabs>
              <w:spacing w:line="219" w:lineRule="exact" w:before="1"/>
              <w:ind w:left="215"/>
              <w:rPr>
                <w:rFonts w:ascii="Calibri Light"/>
                <w:b w:val="0"/>
                <w:sz w:val="18"/>
              </w:rPr>
            </w:pPr>
            <w:r>
              <w:rPr>
                <w:rFonts w:ascii="Calibri Light"/>
                <w:b w:val="0"/>
                <w:spacing w:val="-2"/>
                <w:sz w:val="18"/>
              </w:rPr>
              <w:t>1500016</w:t>
            </w:r>
            <w:r>
              <w:rPr>
                <w:rFonts w:ascii="Calibri Light"/>
                <w:b w:val="0"/>
                <w:sz w:val="18"/>
              </w:rPr>
              <w:tab/>
              <w:t>PIERRE</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CAMPGROUND</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1500022</w:t>
            </w:r>
            <w:r>
              <w:rPr>
                <w:rFonts w:ascii="Calibri Light"/>
                <w:b w:val="0"/>
                <w:sz w:val="18"/>
              </w:rPr>
              <w:tab/>
              <w:t>PIERRE</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CAMPGROUND</w:t>
            </w:r>
          </w:p>
          <w:p>
            <w:pPr>
              <w:pStyle w:val="TableParagraph"/>
              <w:tabs>
                <w:tab w:pos="1367" w:val="left" w:leader="none"/>
              </w:tabs>
              <w:spacing w:before="1"/>
              <w:ind w:left="215"/>
              <w:rPr>
                <w:rFonts w:ascii="Calibri Light"/>
                <w:b w:val="0"/>
                <w:sz w:val="18"/>
              </w:rPr>
            </w:pPr>
            <w:r>
              <w:rPr>
                <w:rFonts w:ascii="Calibri Light"/>
                <w:b w:val="0"/>
                <w:spacing w:val="-2"/>
                <w:sz w:val="18"/>
              </w:rPr>
              <w:t>2000493</w:t>
            </w:r>
            <w:r>
              <w:rPr>
                <w:rFonts w:ascii="Calibri Light"/>
                <w:b w:val="0"/>
                <w:sz w:val="18"/>
              </w:rPr>
              <w:tab/>
              <w:t>SHERMAN</w:t>
            </w:r>
            <w:r>
              <w:rPr>
                <w:rFonts w:ascii="Calibri Light"/>
                <w:b w:val="0"/>
                <w:spacing w:val="-4"/>
                <w:sz w:val="18"/>
              </w:rPr>
              <w:t> </w:t>
            </w:r>
            <w:r>
              <w:rPr>
                <w:rFonts w:ascii="Calibri Light"/>
                <w:b w:val="0"/>
                <w:sz w:val="18"/>
              </w:rPr>
              <w:t>OVERLOOK</w:t>
            </w:r>
            <w:r>
              <w:rPr>
                <w:rFonts w:ascii="Calibri Light"/>
                <w:b w:val="0"/>
                <w:spacing w:val="-3"/>
                <w:sz w:val="18"/>
              </w:rPr>
              <w:t> </w:t>
            </w:r>
            <w:r>
              <w:rPr>
                <w:rFonts w:ascii="Calibri Light"/>
                <w:b w:val="0"/>
                <w:spacing w:val="-2"/>
                <w:sz w:val="18"/>
              </w:rPr>
              <w:t>CAMPGROUND</w:t>
            </w:r>
          </w:p>
          <w:p>
            <w:pPr>
              <w:pStyle w:val="TableParagraph"/>
              <w:tabs>
                <w:tab w:pos="1367" w:val="left" w:leader="none"/>
              </w:tabs>
              <w:spacing w:before="1"/>
              <w:ind w:left="215" w:right="822"/>
              <w:rPr>
                <w:rFonts w:ascii="Calibri Light"/>
                <w:b w:val="0"/>
                <w:sz w:val="18"/>
              </w:rPr>
            </w:pPr>
            <w:r>
              <w:rPr>
                <w:rFonts w:ascii="Calibri Light"/>
                <w:b w:val="0"/>
                <w:spacing w:val="-2"/>
                <w:sz w:val="18"/>
              </w:rPr>
              <w:t>2000493A</w:t>
            </w:r>
            <w:r>
              <w:rPr>
                <w:rFonts w:ascii="Calibri Light"/>
                <w:b w:val="0"/>
                <w:sz w:val="18"/>
              </w:rPr>
              <w:tab/>
              <w:t>SHERMAN</w:t>
            </w:r>
            <w:r>
              <w:rPr>
                <w:rFonts w:ascii="Calibri Light"/>
                <w:b w:val="0"/>
                <w:spacing w:val="-11"/>
                <w:sz w:val="18"/>
              </w:rPr>
              <w:t> </w:t>
            </w:r>
            <w:r>
              <w:rPr>
                <w:rFonts w:ascii="Calibri Light"/>
                <w:b w:val="0"/>
                <w:sz w:val="18"/>
              </w:rPr>
              <w:t>OVERLOOK</w:t>
            </w:r>
            <w:r>
              <w:rPr>
                <w:rFonts w:ascii="Calibri Light"/>
                <w:b w:val="0"/>
                <w:spacing w:val="-10"/>
                <w:sz w:val="18"/>
              </w:rPr>
              <w:t> </w:t>
            </w:r>
            <w:r>
              <w:rPr>
                <w:rFonts w:ascii="Calibri Light"/>
                <w:b w:val="0"/>
                <w:sz w:val="18"/>
              </w:rPr>
              <w:t>CAMPGROUND </w:t>
            </w:r>
            <w:r>
              <w:rPr>
                <w:rFonts w:ascii="Calibri Light"/>
                <w:b w:val="0"/>
                <w:spacing w:val="-2"/>
                <w:sz w:val="18"/>
              </w:rPr>
              <w:t>WA-20</w:t>
            </w:r>
            <w:r>
              <w:rPr>
                <w:rFonts w:ascii="Calibri Light"/>
                <w:b w:val="0"/>
                <w:sz w:val="18"/>
              </w:rPr>
              <w:tab/>
              <w:t>STATE ROUTE 20/2000</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WA-</w:t>
            </w:r>
            <w:r>
              <w:rPr>
                <w:rFonts w:ascii="Calibri Light"/>
                <w:b w:val="0"/>
                <w:spacing w:val="-7"/>
                <w:sz w:val="18"/>
              </w:rPr>
              <w:t>25</w:t>
            </w:r>
            <w:r>
              <w:rPr>
                <w:rFonts w:ascii="Calibri Light"/>
                <w:b w:val="0"/>
                <w:sz w:val="18"/>
              </w:rPr>
              <w:tab/>
              <w:t>STATE</w:t>
            </w:r>
            <w:r>
              <w:rPr>
                <w:rFonts w:ascii="Calibri Light"/>
                <w:b w:val="0"/>
                <w:spacing w:val="-3"/>
                <w:sz w:val="18"/>
              </w:rPr>
              <w:t> </w:t>
            </w:r>
            <w:r>
              <w:rPr>
                <w:rFonts w:ascii="Calibri Light"/>
                <w:b w:val="0"/>
                <w:sz w:val="18"/>
              </w:rPr>
              <w:t>ROUTE</w:t>
            </w:r>
            <w:r>
              <w:rPr>
                <w:rFonts w:ascii="Calibri Light"/>
                <w:b w:val="0"/>
                <w:spacing w:val="-2"/>
                <w:sz w:val="18"/>
              </w:rPr>
              <w:t> </w:t>
            </w:r>
            <w:r>
              <w:rPr>
                <w:rFonts w:ascii="Calibri Light"/>
                <w:b w:val="0"/>
                <w:spacing w:val="-5"/>
                <w:sz w:val="18"/>
              </w:rPr>
              <w:t>25</w:t>
            </w:r>
          </w:p>
          <w:p>
            <w:pPr>
              <w:pStyle w:val="TableParagraph"/>
              <w:tabs>
                <w:tab w:pos="1367" w:val="left" w:leader="none"/>
              </w:tabs>
              <w:spacing w:line="219" w:lineRule="exact" w:before="0"/>
              <w:ind w:left="215"/>
              <w:rPr>
                <w:rFonts w:ascii="Calibri Light"/>
                <w:b w:val="0"/>
                <w:sz w:val="18"/>
              </w:rPr>
            </w:pPr>
            <w:r>
              <w:rPr>
                <w:rFonts w:ascii="Calibri Light"/>
                <w:b w:val="0"/>
                <w:spacing w:val="-2"/>
                <w:sz w:val="18"/>
              </w:rPr>
              <w:t>9400205</w:t>
            </w:r>
            <w:r>
              <w:rPr>
                <w:rFonts w:ascii="Calibri Light"/>
                <w:b w:val="0"/>
                <w:sz w:val="18"/>
              </w:rPr>
              <w:tab/>
              <w:t>THOMAS</w:t>
            </w:r>
            <w:r>
              <w:rPr>
                <w:rFonts w:ascii="Calibri Light"/>
                <w:b w:val="0"/>
                <w:spacing w:val="-3"/>
                <w:sz w:val="18"/>
              </w:rPr>
              <w:t> </w:t>
            </w:r>
            <w:r>
              <w:rPr>
                <w:rFonts w:ascii="Calibri Light"/>
                <w:b w:val="0"/>
                <w:sz w:val="18"/>
              </w:rPr>
              <w:t>LAKE</w:t>
            </w:r>
            <w:r>
              <w:rPr>
                <w:rFonts w:ascii="Calibri Light"/>
                <w:b w:val="0"/>
                <w:spacing w:val="-3"/>
                <w:sz w:val="18"/>
              </w:rPr>
              <w:t> </w:t>
            </w:r>
            <w:r>
              <w:rPr>
                <w:rFonts w:ascii="Calibri Light"/>
                <w:b w:val="0"/>
                <w:spacing w:val="-2"/>
                <w:sz w:val="18"/>
              </w:rPr>
              <w:t>CAMPGROUND</w:t>
            </w:r>
          </w:p>
          <w:p>
            <w:pPr>
              <w:pStyle w:val="TableParagraph"/>
              <w:tabs>
                <w:tab w:pos="1367" w:val="left" w:leader="none"/>
              </w:tabs>
              <w:spacing w:before="2"/>
              <w:ind w:left="215" w:right="1366"/>
              <w:rPr>
                <w:rFonts w:ascii="Calibri Light"/>
                <w:b w:val="0"/>
                <w:sz w:val="18"/>
              </w:rPr>
            </w:pPr>
            <w:r>
              <w:rPr>
                <w:rFonts w:ascii="Calibri Light"/>
                <w:b w:val="0"/>
                <w:spacing w:val="-2"/>
                <w:sz w:val="18"/>
              </w:rPr>
              <w:t>9400206</w:t>
            </w:r>
            <w:r>
              <w:rPr>
                <w:rFonts w:ascii="Calibri Light"/>
                <w:b w:val="0"/>
                <w:sz w:val="18"/>
              </w:rPr>
              <w:tab/>
              <w:t>THOMAS</w:t>
            </w:r>
            <w:r>
              <w:rPr>
                <w:rFonts w:ascii="Calibri Light"/>
                <w:b w:val="0"/>
                <w:spacing w:val="-11"/>
                <w:sz w:val="18"/>
              </w:rPr>
              <w:t> </w:t>
            </w:r>
            <w:r>
              <w:rPr>
                <w:rFonts w:ascii="Calibri Light"/>
                <w:b w:val="0"/>
                <w:sz w:val="18"/>
              </w:rPr>
              <w:t>LAKE</w:t>
            </w:r>
            <w:r>
              <w:rPr>
                <w:rFonts w:ascii="Calibri Light"/>
                <w:b w:val="0"/>
                <w:spacing w:val="-10"/>
                <w:sz w:val="18"/>
              </w:rPr>
              <w:t> </w:t>
            </w:r>
            <w:r>
              <w:rPr>
                <w:rFonts w:ascii="Calibri Light"/>
                <w:b w:val="0"/>
                <w:sz w:val="18"/>
              </w:rPr>
              <w:t>CAMPGROUND </w:t>
            </w:r>
            <w:r>
              <w:rPr>
                <w:rFonts w:ascii="Calibri Light"/>
                <w:b w:val="0"/>
                <w:spacing w:val="-2"/>
                <w:sz w:val="18"/>
              </w:rPr>
              <w:t>C4980</w:t>
            </w:r>
            <w:r>
              <w:rPr>
                <w:rFonts w:ascii="Calibri Light"/>
                <w:b w:val="0"/>
                <w:sz w:val="18"/>
              </w:rPr>
              <w:tab/>
            </w:r>
            <w:r>
              <w:rPr>
                <w:rFonts w:ascii="Calibri Light"/>
                <w:b w:val="0"/>
                <w:spacing w:val="-2"/>
                <w:sz w:val="18"/>
              </w:rPr>
              <w:t>YOUNG</w:t>
            </w:r>
          </w:p>
        </w:tc>
        <w:tc>
          <w:tcPr>
            <w:tcW w:w="4411" w:type="dxa"/>
          </w:tcPr>
          <w:p>
            <w:pPr>
              <w:pStyle w:val="TableParagraph"/>
              <w:spacing w:before="0"/>
              <w:ind w:left="254" w:right="577"/>
              <w:rPr>
                <w:rFonts w:ascii="Calibri Light"/>
                <w:b w:val="0"/>
                <w:sz w:val="18"/>
              </w:rPr>
            </w:pPr>
            <w:r>
              <w:rPr>
                <w:rFonts w:ascii="Calibri Light"/>
                <w:b w:val="0"/>
                <w:sz w:val="18"/>
              </w:rPr>
              <w:t>Concern</w:t>
            </w:r>
            <w:r>
              <w:rPr>
                <w:rFonts w:ascii="Calibri Light"/>
                <w:b w:val="0"/>
                <w:spacing w:val="-11"/>
                <w:sz w:val="18"/>
              </w:rPr>
              <w:t> </w:t>
            </w:r>
            <w:r>
              <w:rPr>
                <w:rFonts w:ascii="Calibri Light"/>
                <w:b w:val="0"/>
                <w:sz w:val="18"/>
              </w:rPr>
              <w:t>Level</w:t>
            </w:r>
            <w:r>
              <w:rPr>
                <w:rFonts w:ascii="Calibri Light"/>
                <w:b w:val="0"/>
                <w:spacing w:val="-10"/>
                <w:sz w:val="18"/>
              </w:rPr>
              <w:t> </w:t>
            </w:r>
            <w:r>
              <w:rPr>
                <w:rFonts w:ascii="Calibri Light"/>
                <w:b w:val="0"/>
                <w:sz w:val="18"/>
              </w:rPr>
              <w:t>2</w:t>
            </w:r>
            <w:r>
              <w:rPr>
                <w:rFonts w:ascii="Calibri Light"/>
                <w:b w:val="0"/>
                <w:spacing w:val="-10"/>
                <w:sz w:val="18"/>
              </w:rPr>
              <w:t> </w:t>
            </w:r>
            <w:r>
              <w:rPr>
                <w:rFonts w:ascii="Calibri Light"/>
                <w:b w:val="0"/>
                <w:sz w:val="18"/>
              </w:rPr>
              <w:t>Travel</w:t>
            </w:r>
            <w:r>
              <w:rPr>
                <w:rFonts w:ascii="Calibri Light"/>
                <w:b w:val="0"/>
                <w:spacing w:val="-10"/>
                <w:sz w:val="18"/>
              </w:rPr>
              <w:t> </w:t>
            </w:r>
            <w:r>
              <w:rPr>
                <w:rFonts w:ascii="Calibri Light"/>
                <w:b w:val="0"/>
                <w:sz w:val="18"/>
              </w:rPr>
              <w:t>Route</w:t>
            </w:r>
            <w:r>
              <w:rPr>
                <w:rFonts w:ascii="Calibri Light"/>
                <w:b w:val="0"/>
                <w:spacing w:val="-10"/>
                <w:sz w:val="18"/>
              </w:rPr>
              <w:t> </w:t>
            </w:r>
            <w:r>
              <w:rPr>
                <w:rFonts w:ascii="Calibri Light"/>
                <w:b w:val="0"/>
                <w:sz w:val="18"/>
              </w:rPr>
              <w:t>Viewsheds</w:t>
            </w:r>
            <w:r>
              <w:rPr>
                <w:rFonts w:ascii="Calibri Light"/>
                <w:b w:val="0"/>
                <w:spacing w:val="-11"/>
                <w:sz w:val="18"/>
              </w:rPr>
              <w:t> </w:t>
            </w:r>
            <w:r>
              <w:rPr>
                <w:rFonts w:ascii="Calibri Light"/>
                <w:b w:val="0"/>
                <w:sz w:val="18"/>
              </w:rPr>
              <w:t>(High</w:t>
            </w:r>
            <w:r>
              <w:rPr>
                <w:rFonts w:ascii="Calibri Light"/>
                <w:b w:val="0"/>
                <w:spacing w:val="-10"/>
                <w:sz w:val="18"/>
              </w:rPr>
              <w:t> </w:t>
            </w:r>
            <w:r>
              <w:rPr>
                <w:rFonts w:ascii="Calibri Light"/>
                <w:b w:val="0"/>
                <w:sz w:val="18"/>
              </w:rPr>
              <w:t>SIO FG, High to Moderate MG SIO)</w:t>
            </w:r>
          </w:p>
          <w:p>
            <w:pPr>
              <w:pStyle w:val="TableParagraph"/>
              <w:tabs>
                <w:tab w:pos="1223" w:val="left" w:leader="none"/>
              </w:tabs>
              <w:spacing w:before="0"/>
              <w:ind w:left="216" w:right="2295"/>
              <w:rPr>
                <w:rFonts w:ascii="Calibri Light"/>
                <w:b w:val="0"/>
                <w:sz w:val="18"/>
              </w:rPr>
            </w:pPr>
            <w:r>
              <w:rPr>
                <w:rFonts w:ascii="Calibri Light"/>
                <w:b w:val="0"/>
                <w:spacing w:val="-2"/>
                <w:sz w:val="18"/>
              </w:rPr>
              <w:t>RTE_NO</w:t>
            </w:r>
            <w:r>
              <w:rPr>
                <w:rFonts w:ascii="Calibri Light"/>
                <w:b w:val="0"/>
                <w:sz w:val="18"/>
              </w:rPr>
              <w:tab/>
            </w:r>
            <w:r>
              <w:rPr>
                <w:rFonts w:ascii="Calibri Light"/>
                <w:b w:val="0"/>
                <w:spacing w:val="-4"/>
                <w:sz w:val="18"/>
              </w:rPr>
              <w:t>NAME</w:t>
            </w:r>
            <w:r>
              <w:rPr>
                <w:rFonts w:ascii="Calibri Light"/>
                <w:b w:val="0"/>
                <w:sz w:val="18"/>
              </w:rPr>
              <w:t> </w:t>
            </w:r>
            <w:r>
              <w:rPr>
                <w:rFonts w:ascii="Calibri Light"/>
                <w:b w:val="0"/>
                <w:spacing w:val="-2"/>
                <w:sz w:val="18"/>
              </w:rPr>
              <w:t>2030000</w:t>
            </w:r>
            <w:r>
              <w:rPr>
                <w:rFonts w:ascii="Calibri Light"/>
                <w:b w:val="0"/>
                <w:sz w:val="18"/>
              </w:rPr>
              <w:tab/>
              <w:t>ALBIAN</w:t>
            </w:r>
            <w:r>
              <w:rPr>
                <w:rFonts w:ascii="Calibri Light"/>
                <w:b w:val="0"/>
                <w:spacing w:val="-6"/>
                <w:sz w:val="18"/>
              </w:rPr>
              <w:t> </w:t>
            </w:r>
            <w:r>
              <w:rPr>
                <w:rFonts w:ascii="Calibri Light"/>
                <w:b w:val="0"/>
                <w:spacing w:val="-4"/>
                <w:sz w:val="18"/>
              </w:rPr>
              <w:t>HILL</w:t>
            </w:r>
          </w:p>
          <w:p>
            <w:pPr>
              <w:pStyle w:val="TableParagraph"/>
              <w:tabs>
                <w:tab w:pos="1223" w:val="left" w:leader="none"/>
              </w:tabs>
              <w:spacing w:line="219" w:lineRule="exact" w:before="0"/>
              <w:ind w:left="216"/>
              <w:rPr>
                <w:rFonts w:ascii="Calibri Light"/>
                <w:b w:val="0"/>
                <w:sz w:val="18"/>
              </w:rPr>
            </w:pPr>
            <w:r>
              <w:rPr>
                <w:rFonts w:ascii="Calibri Light"/>
                <w:b w:val="0"/>
                <w:spacing w:val="-2"/>
                <w:sz w:val="18"/>
              </w:rPr>
              <w:t>2000136</w:t>
            </w:r>
            <w:r>
              <w:rPr>
                <w:rFonts w:ascii="Calibri Light"/>
                <w:b w:val="0"/>
                <w:sz w:val="18"/>
              </w:rPr>
              <w:tab/>
              <w:t>BANGS</w:t>
            </w:r>
            <w:r>
              <w:rPr>
                <w:rFonts w:ascii="Calibri Light"/>
                <w:b w:val="0"/>
                <w:spacing w:val="-3"/>
                <w:sz w:val="18"/>
              </w:rPr>
              <w:t> </w:t>
            </w:r>
            <w:r>
              <w:rPr>
                <w:rFonts w:ascii="Calibri Light"/>
                <w:b w:val="0"/>
                <w:spacing w:val="-5"/>
                <w:sz w:val="18"/>
              </w:rPr>
              <w:t>MTN</w:t>
            </w:r>
          </w:p>
          <w:p>
            <w:pPr>
              <w:pStyle w:val="TableParagraph"/>
              <w:tabs>
                <w:tab w:pos="1223" w:val="left" w:leader="none"/>
              </w:tabs>
              <w:spacing w:before="0"/>
              <w:ind w:left="216" w:right="1984"/>
              <w:rPr>
                <w:rFonts w:ascii="Calibri Light"/>
                <w:b w:val="0"/>
                <w:sz w:val="18"/>
              </w:rPr>
            </w:pPr>
            <w:r>
              <w:rPr>
                <w:rFonts w:ascii="Calibri Light"/>
                <w:b w:val="0"/>
                <w:spacing w:val="-2"/>
                <w:sz w:val="18"/>
              </w:rPr>
              <w:t>2014000</w:t>
            </w:r>
            <w:r>
              <w:rPr>
                <w:rFonts w:ascii="Calibri Light"/>
                <w:b w:val="0"/>
                <w:sz w:val="18"/>
              </w:rPr>
              <w:tab/>
              <w:t>BARNABY</w:t>
            </w:r>
            <w:r>
              <w:rPr>
                <w:rFonts w:ascii="Calibri Light"/>
                <w:b w:val="0"/>
                <w:spacing w:val="-11"/>
                <w:sz w:val="18"/>
              </w:rPr>
              <w:t> </w:t>
            </w:r>
            <w:r>
              <w:rPr>
                <w:rFonts w:ascii="Calibri Light"/>
                <w:b w:val="0"/>
                <w:sz w:val="18"/>
              </w:rPr>
              <w:t>CREEK </w:t>
            </w:r>
            <w:r>
              <w:rPr>
                <w:rFonts w:ascii="Calibri Light"/>
                <w:b w:val="0"/>
                <w:spacing w:val="-2"/>
                <w:sz w:val="18"/>
              </w:rPr>
              <w:t>C4939</w:t>
            </w:r>
            <w:r>
              <w:rPr>
                <w:rFonts w:ascii="Calibri Light"/>
                <w:b w:val="0"/>
                <w:sz w:val="18"/>
              </w:rPr>
              <w:tab/>
              <w:t>BLACK LAKE </w:t>
            </w:r>
            <w:r>
              <w:rPr>
                <w:rFonts w:ascii="Calibri Light"/>
                <w:b w:val="0"/>
                <w:spacing w:val="-2"/>
                <w:sz w:val="18"/>
              </w:rPr>
              <w:t>1500030</w:t>
            </w:r>
            <w:r>
              <w:rPr>
                <w:rFonts w:ascii="Calibri Light"/>
                <w:b w:val="0"/>
                <w:sz w:val="18"/>
              </w:rPr>
              <w:tab/>
              <w:t>BOX CANYON</w:t>
            </w:r>
          </w:p>
          <w:p>
            <w:pPr>
              <w:pStyle w:val="TableParagraph"/>
              <w:tabs>
                <w:tab w:pos="1223" w:val="left" w:leader="none"/>
              </w:tabs>
              <w:spacing w:before="1"/>
              <w:ind w:left="216" w:right="1982"/>
              <w:rPr>
                <w:rFonts w:ascii="Calibri Light"/>
                <w:b w:val="0"/>
                <w:sz w:val="18"/>
              </w:rPr>
            </w:pPr>
            <w:r>
              <w:rPr>
                <w:rFonts w:ascii="Calibri Light"/>
                <w:b w:val="0"/>
                <w:spacing w:val="-2"/>
                <w:sz w:val="18"/>
              </w:rPr>
              <w:t>6113000</w:t>
            </w:r>
            <w:r>
              <w:rPr>
                <w:rFonts w:ascii="Calibri Light"/>
                <w:b w:val="0"/>
                <w:sz w:val="18"/>
              </w:rPr>
              <w:tab/>
              <w:t>BULLDOG</w:t>
            </w:r>
            <w:r>
              <w:rPr>
                <w:rFonts w:ascii="Calibri Light"/>
                <w:b w:val="0"/>
                <w:spacing w:val="-11"/>
                <w:sz w:val="18"/>
              </w:rPr>
              <w:t> </w:t>
            </w:r>
            <w:r>
              <w:rPr>
                <w:rFonts w:ascii="Calibri Light"/>
                <w:b w:val="0"/>
                <w:sz w:val="18"/>
              </w:rPr>
              <w:t>CABIN </w:t>
            </w:r>
            <w:r>
              <w:rPr>
                <w:rFonts w:ascii="Calibri Light"/>
                <w:b w:val="0"/>
                <w:spacing w:val="-2"/>
                <w:sz w:val="18"/>
              </w:rPr>
              <w:t>C2978</w:t>
            </w:r>
            <w:r>
              <w:rPr>
                <w:rFonts w:ascii="Calibri Light"/>
                <w:b w:val="0"/>
                <w:sz w:val="18"/>
              </w:rPr>
              <w:tab/>
              <w:t>BURNT</w:t>
            </w:r>
            <w:r>
              <w:rPr>
                <w:rFonts w:ascii="Calibri Light"/>
                <w:b w:val="0"/>
                <w:spacing w:val="-2"/>
                <w:sz w:val="18"/>
              </w:rPr>
              <w:t> </w:t>
            </w:r>
            <w:r>
              <w:rPr>
                <w:rFonts w:ascii="Calibri Light"/>
                <w:b w:val="0"/>
                <w:sz w:val="18"/>
              </w:rPr>
              <w:t>VALLEY</w:t>
            </w:r>
          </w:p>
          <w:p>
            <w:pPr>
              <w:pStyle w:val="TableParagraph"/>
              <w:tabs>
                <w:tab w:pos="1223" w:val="left" w:leader="none"/>
              </w:tabs>
              <w:spacing w:line="219" w:lineRule="exact" w:before="0"/>
              <w:ind w:left="216"/>
              <w:rPr>
                <w:rFonts w:ascii="Calibri Light"/>
                <w:b w:val="0"/>
                <w:sz w:val="18"/>
              </w:rPr>
            </w:pPr>
            <w:r>
              <w:rPr>
                <w:rFonts w:ascii="Calibri Light"/>
                <w:b w:val="0"/>
                <w:spacing w:val="-2"/>
                <w:sz w:val="18"/>
              </w:rPr>
              <w:t>9565080</w:t>
            </w:r>
            <w:r>
              <w:rPr>
                <w:rFonts w:ascii="Calibri Light"/>
                <w:b w:val="0"/>
                <w:sz w:val="18"/>
              </w:rPr>
              <w:tab/>
              <w:t>DAVIS</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CAMPGROUND</w:t>
            </w:r>
          </w:p>
          <w:p>
            <w:pPr>
              <w:pStyle w:val="TableParagraph"/>
              <w:tabs>
                <w:tab w:pos="1223" w:val="left" w:leader="none"/>
              </w:tabs>
              <w:spacing w:line="219" w:lineRule="exact" w:before="0"/>
              <w:ind w:left="216"/>
              <w:rPr>
                <w:rFonts w:ascii="Calibri Light"/>
                <w:b w:val="0"/>
                <w:sz w:val="18"/>
              </w:rPr>
            </w:pPr>
            <w:r>
              <w:rPr>
                <w:rFonts w:ascii="Calibri Light"/>
                <w:b w:val="0"/>
                <w:spacing w:val="-2"/>
                <w:sz w:val="18"/>
              </w:rPr>
              <w:t>9565000</w:t>
            </w:r>
            <w:r>
              <w:rPr>
                <w:rFonts w:ascii="Calibri Light"/>
                <w:b w:val="0"/>
                <w:sz w:val="18"/>
              </w:rPr>
              <w:tab/>
            </w:r>
            <w:r>
              <w:rPr>
                <w:rFonts w:ascii="Calibri Light"/>
                <w:b w:val="0"/>
                <w:spacing w:val="-2"/>
                <w:sz w:val="18"/>
              </w:rPr>
              <w:t>DEADMAN</w:t>
            </w:r>
          </w:p>
          <w:p>
            <w:pPr>
              <w:pStyle w:val="TableParagraph"/>
              <w:tabs>
                <w:tab w:pos="1223" w:val="left" w:leader="none"/>
              </w:tabs>
              <w:spacing w:before="1"/>
              <w:ind w:left="216"/>
              <w:rPr>
                <w:rFonts w:ascii="Calibri Light"/>
                <w:b w:val="0"/>
                <w:sz w:val="18"/>
              </w:rPr>
            </w:pPr>
            <w:r>
              <w:rPr>
                <w:rFonts w:ascii="Calibri Light"/>
                <w:b w:val="0"/>
                <w:spacing w:val="-4"/>
                <w:sz w:val="18"/>
              </w:rPr>
              <w:t>C460</w:t>
            </w:r>
            <w:r>
              <w:rPr>
                <w:rFonts w:ascii="Calibri Light"/>
                <w:b w:val="0"/>
                <w:sz w:val="18"/>
              </w:rPr>
              <w:tab/>
              <w:t>DEADMAN</w:t>
            </w:r>
            <w:r>
              <w:rPr>
                <w:rFonts w:ascii="Calibri Light"/>
                <w:b w:val="0"/>
                <w:spacing w:val="-1"/>
                <w:sz w:val="18"/>
              </w:rPr>
              <w:t> </w:t>
            </w:r>
            <w:r>
              <w:rPr>
                <w:rFonts w:ascii="Calibri Light"/>
                <w:b w:val="0"/>
                <w:spacing w:val="-2"/>
                <w:sz w:val="18"/>
              </w:rPr>
              <w:t>CREEK</w:t>
            </w:r>
          </w:p>
          <w:p>
            <w:pPr>
              <w:pStyle w:val="TableParagraph"/>
              <w:tabs>
                <w:tab w:pos="1223" w:val="left" w:leader="none"/>
              </w:tabs>
              <w:spacing w:line="219" w:lineRule="exact" w:before="1"/>
              <w:ind w:left="216"/>
              <w:rPr>
                <w:rFonts w:ascii="Calibri Light"/>
                <w:b w:val="0"/>
                <w:sz w:val="18"/>
              </w:rPr>
            </w:pPr>
            <w:r>
              <w:rPr>
                <w:rFonts w:ascii="Calibri Light"/>
                <w:b w:val="0"/>
                <w:spacing w:val="-2"/>
                <w:sz w:val="18"/>
              </w:rPr>
              <w:t>C9445</w:t>
            </w:r>
            <w:r>
              <w:rPr>
                <w:rFonts w:ascii="Calibri Light"/>
                <w:b w:val="0"/>
                <w:sz w:val="18"/>
              </w:rPr>
              <w:tab/>
              <w:t>DEEP</w:t>
            </w:r>
            <w:r>
              <w:rPr>
                <w:rFonts w:ascii="Calibri Light"/>
                <w:b w:val="0"/>
                <w:spacing w:val="-2"/>
                <w:sz w:val="18"/>
              </w:rPr>
              <w:t> </w:t>
            </w:r>
            <w:r>
              <w:rPr>
                <w:rFonts w:ascii="Calibri Light"/>
                <w:b w:val="0"/>
                <w:sz w:val="18"/>
              </w:rPr>
              <w:t>LAKE</w:t>
            </w:r>
            <w:r>
              <w:rPr>
                <w:rFonts w:ascii="Calibri Light"/>
                <w:b w:val="0"/>
                <w:spacing w:val="-1"/>
                <w:sz w:val="18"/>
              </w:rPr>
              <w:t> </w:t>
            </w:r>
            <w:r>
              <w:rPr>
                <w:rFonts w:ascii="Calibri Light"/>
                <w:b w:val="0"/>
                <w:spacing w:val="-2"/>
                <w:sz w:val="18"/>
              </w:rPr>
              <w:t>BOUNDARY</w:t>
            </w:r>
          </w:p>
          <w:p>
            <w:pPr>
              <w:pStyle w:val="TableParagraph"/>
              <w:tabs>
                <w:tab w:pos="1223" w:val="left" w:leader="none"/>
              </w:tabs>
              <w:spacing w:line="219" w:lineRule="exact" w:before="0"/>
              <w:ind w:left="216"/>
              <w:rPr>
                <w:rFonts w:ascii="Calibri Light"/>
                <w:b w:val="0"/>
                <w:sz w:val="18"/>
              </w:rPr>
            </w:pPr>
            <w:r>
              <w:rPr>
                <w:rFonts w:ascii="Calibri Light"/>
                <w:b w:val="0"/>
                <w:spacing w:val="-2"/>
                <w:sz w:val="18"/>
              </w:rPr>
              <w:t>9411000</w:t>
            </w:r>
            <w:r>
              <w:rPr>
                <w:rFonts w:ascii="Calibri Light"/>
                <w:b w:val="0"/>
                <w:sz w:val="18"/>
              </w:rPr>
              <w:tab/>
            </w:r>
            <w:r>
              <w:rPr>
                <w:rFonts w:ascii="Calibri Light"/>
                <w:b w:val="0"/>
                <w:spacing w:val="-2"/>
                <w:sz w:val="18"/>
              </w:rPr>
              <w:t>DOMINION</w:t>
            </w:r>
          </w:p>
          <w:p>
            <w:pPr>
              <w:pStyle w:val="TableParagraph"/>
              <w:tabs>
                <w:tab w:pos="1223" w:val="left" w:leader="none"/>
              </w:tabs>
              <w:spacing w:line="219" w:lineRule="exact" w:before="44"/>
              <w:ind w:left="216"/>
              <w:rPr>
                <w:rFonts w:ascii="Calibri Light"/>
                <w:b w:val="0"/>
                <w:sz w:val="18"/>
              </w:rPr>
            </w:pPr>
            <w:r>
              <w:rPr>
                <w:rFonts w:ascii="Calibri Light"/>
                <w:b w:val="0"/>
                <w:spacing w:val="-2"/>
                <w:sz w:val="18"/>
              </w:rPr>
              <w:t>C3630</w:t>
            </w:r>
            <w:r>
              <w:rPr>
                <w:rFonts w:ascii="Calibri Light"/>
                <w:b w:val="0"/>
                <w:sz w:val="18"/>
              </w:rPr>
              <w:tab/>
            </w:r>
            <w:r>
              <w:rPr>
                <w:rFonts w:ascii="Calibri Light"/>
                <w:b w:val="0"/>
                <w:spacing w:val="-2"/>
                <w:sz w:val="18"/>
              </w:rPr>
              <w:t>IMMEL</w:t>
            </w:r>
          </w:p>
          <w:p>
            <w:pPr>
              <w:pStyle w:val="TableParagraph"/>
              <w:tabs>
                <w:tab w:pos="1223" w:val="left" w:leader="none"/>
              </w:tabs>
              <w:spacing w:line="219" w:lineRule="exact" w:before="0"/>
              <w:ind w:left="216"/>
              <w:rPr>
                <w:rFonts w:ascii="Calibri Light"/>
                <w:b w:val="0"/>
                <w:sz w:val="18"/>
              </w:rPr>
            </w:pPr>
            <w:r>
              <w:rPr>
                <w:rFonts w:ascii="Calibri Light"/>
                <w:b w:val="0"/>
                <w:spacing w:val="-4"/>
                <w:sz w:val="18"/>
              </w:rPr>
              <w:t>C465</w:t>
            </w:r>
            <w:r>
              <w:rPr>
                <w:rFonts w:ascii="Calibri Light"/>
                <w:b w:val="0"/>
                <w:sz w:val="18"/>
              </w:rPr>
              <w:tab/>
            </w:r>
            <w:r>
              <w:rPr>
                <w:rFonts w:ascii="Calibri Light"/>
                <w:b w:val="0"/>
                <w:spacing w:val="-2"/>
                <w:sz w:val="18"/>
              </w:rPr>
              <w:t>JACKNIFE</w:t>
            </w:r>
          </w:p>
          <w:p>
            <w:pPr>
              <w:pStyle w:val="TableParagraph"/>
              <w:tabs>
                <w:tab w:pos="1223" w:val="left" w:leader="none"/>
              </w:tabs>
              <w:spacing w:line="219" w:lineRule="exact" w:before="44"/>
              <w:ind w:left="216"/>
              <w:rPr>
                <w:rFonts w:ascii="Calibri Light"/>
                <w:b w:val="0"/>
                <w:sz w:val="18"/>
              </w:rPr>
            </w:pPr>
            <w:r>
              <w:rPr>
                <w:rFonts w:ascii="Calibri Light"/>
                <w:b w:val="0"/>
                <w:spacing w:val="-4"/>
                <w:sz w:val="18"/>
              </w:rPr>
              <w:t>C412</w:t>
            </w:r>
            <w:r>
              <w:rPr>
                <w:rFonts w:ascii="Calibri Light"/>
                <w:b w:val="0"/>
                <w:sz w:val="18"/>
              </w:rPr>
              <w:tab/>
              <w:t>LAKE</w:t>
            </w:r>
            <w:r>
              <w:rPr>
                <w:rFonts w:ascii="Calibri Light"/>
                <w:b w:val="0"/>
                <w:spacing w:val="-5"/>
                <w:sz w:val="18"/>
              </w:rPr>
              <w:t> </w:t>
            </w:r>
            <w:r>
              <w:rPr>
                <w:rFonts w:ascii="Calibri Light"/>
                <w:b w:val="0"/>
                <w:spacing w:val="-2"/>
                <w:sz w:val="18"/>
              </w:rPr>
              <w:t>ELLEN</w:t>
            </w:r>
          </w:p>
          <w:p>
            <w:pPr>
              <w:pStyle w:val="TableParagraph"/>
              <w:tabs>
                <w:tab w:pos="1223" w:val="left" w:leader="none"/>
              </w:tabs>
              <w:spacing w:line="219" w:lineRule="exact" w:before="0"/>
              <w:ind w:left="216"/>
              <w:rPr>
                <w:rFonts w:ascii="Calibri Light"/>
                <w:b w:val="0"/>
                <w:sz w:val="18"/>
              </w:rPr>
            </w:pPr>
            <w:r>
              <w:rPr>
                <w:rFonts w:ascii="Calibri Light"/>
                <w:b w:val="0"/>
                <w:spacing w:val="-2"/>
                <w:sz w:val="18"/>
              </w:rPr>
              <w:t>1500000</w:t>
            </w:r>
            <w:r>
              <w:rPr>
                <w:rFonts w:ascii="Calibri Light"/>
                <w:b w:val="0"/>
                <w:sz w:val="18"/>
              </w:rPr>
              <w:tab/>
              <w:t>LIMESTONE</w:t>
            </w:r>
            <w:r>
              <w:rPr>
                <w:rFonts w:ascii="Calibri Light"/>
                <w:b w:val="0"/>
                <w:spacing w:val="-6"/>
                <w:sz w:val="18"/>
              </w:rPr>
              <w:t> </w:t>
            </w:r>
            <w:r>
              <w:rPr>
                <w:rFonts w:ascii="Calibri Light"/>
                <w:b w:val="0"/>
                <w:spacing w:val="-2"/>
                <w:sz w:val="18"/>
              </w:rPr>
              <w:t>CHURCHILL</w:t>
            </w:r>
          </w:p>
          <w:p>
            <w:pPr>
              <w:pStyle w:val="TableParagraph"/>
              <w:spacing w:before="1"/>
              <w:ind w:left="1223"/>
              <w:rPr>
                <w:rFonts w:ascii="Calibri Light"/>
                <w:b w:val="0"/>
                <w:sz w:val="18"/>
              </w:rPr>
            </w:pPr>
            <w:r>
              <w:rPr>
                <w:rFonts w:ascii="Calibri Light"/>
                <w:b w:val="0"/>
                <w:sz w:val="18"/>
              </w:rPr>
              <w:t>LITTLE</w:t>
            </w:r>
            <w:r>
              <w:rPr>
                <w:rFonts w:ascii="Calibri Light"/>
                <w:b w:val="0"/>
                <w:spacing w:val="-4"/>
                <w:sz w:val="18"/>
              </w:rPr>
              <w:t> </w:t>
            </w:r>
            <w:r>
              <w:rPr>
                <w:rFonts w:ascii="Calibri Light"/>
                <w:b w:val="0"/>
                <w:sz w:val="18"/>
              </w:rPr>
              <w:t>PEND</w:t>
            </w:r>
            <w:r>
              <w:rPr>
                <w:rFonts w:ascii="Calibri Light"/>
                <w:b w:val="0"/>
                <w:spacing w:val="-4"/>
                <w:sz w:val="18"/>
              </w:rPr>
              <w:t> </w:t>
            </w:r>
            <w:r>
              <w:rPr>
                <w:rFonts w:ascii="Calibri Light"/>
                <w:b w:val="0"/>
                <w:sz w:val="18"/>
              </w:rPr>
              <w:t>OREILLE</w:t>
            </w:r>
            <w:r>
              <w:rPr>
                <w:rFonts w:ascii="Calibri Light"/>
                <w:b w:val="0"/>
                <w:spacing w:val="-3"/>
                <w:sz w:val="18"/>
              </w:rPr>
              <w:t> </w:t>
            </w:r>
            <w:r>
              <w:rPr>
                <w:rFonts w:ascii="Calibri Light"/>
                <w:b w:val="0"/>
                <w:spacing w:val="-5"/>
                <w:sz w:val="18"/>
              </w:rPr>
              <w:t>ORV</w:t>
            </w:r>
          </w:p>
          <w:p>
            <w:pPr>
              <w:pStyle w:val="TableParagraph"/>
              <w:tabs>
                <w:tab w:pos="1223" w:val="left" w:leader="none"/>
              </w:tabs>
              <w:spacing w:before="1"/>
              <w:ind w:left="216"/>
              <w:rPr>
                <w:rFonts w:ascii="Calibri Light"/>
                <w:b w:val="0"/>
                <w:sz w:val="18"/>
              </w:rPr>
            </w:pPr>
            <w:r>
              <w:rPr>
                <w:rFonts w:ascii="Calibri Light"/>
                <w:b w:val="0"/>
                <w:spacing w:val="-2"/>
                <w:sz w:val="18"/>
              </w:rPr>
              <w:t>C4920</w:t>
            </w:r>
            <w:r>
              <w:rPr>
                <w:rFonts w:ascii="Calibri Light"/>
                <w:b w:val="0"/>
                <w:sz w:val="18"/>
              </w:rPr>
              <w:tab/>
              <w:t>LITTLE</w:t>
            </w:r>
            <w:r>
              <w:rPr>
                <w:rFonts w:ascii="Calibri Light"/>
                <w:b w:val="0"/>
                <w:spacing w:val="-4"/>
                <w:sz w:val="18"/>
              </w:rPr>
              <w:t> </w:t>
            </w:r>
            <w:r>
              <w:rPr>
                <w:rFonts w:ascii="Calibri Light"/>
                <w:b w:val="0"/>
                <w:sz w:val="18"/>
              </w:rPr>
              <w:t>TWIN</w:t>
            </w:r>
            <w:r>
              <w:rPr>
                <w:rFonts w:ascii="Calibri Light"/>
                <w:b w:val="0"/>
                <w:spacing w:val="-4"/>
                <w:sz w:val="18"/>
              </w:rPr>
              <w:t> LAKES</w:t>
            </w:r>
          </w:p>
          <w:p>
            <w:pPr>
              <w:pStyle w:val="TableParagraph"/>
              <w:tabs>
                <w:tab w:pos="1223" w:val="left" w:leader="none"/>
              </w:tabs>
              <w:spacing w:before="42"/>
              <w:ind w:left="216"/>
              <w:rPr>
                <w:rFonts w:ascii="Calibri Light"/>
                <w:b w:val="0"/>
                <w:sz w:val="18"/>
              </w:rPr>
            </w:pPr>
            <w:r>
              <w:rPr>
                <w:rFonts w:ascii="Calibri Light"/>
                <w:b w:val="0"/>
                <w:spacing w:val="-2"/>
                <w:sz w:val="18"/>
              </w:rPr>
              <w:t>C2695</w:t>
            </w:r>
            <w:r>
              <w:rPr>
                <w:rFonts w:ascii="Calibri Light"/>
                <w:b w:val="0"/>
                <w:sz w:val="18"/>
              </w:rPr>
              <w:tab/>
              <w:t>MEADOW</w:t>
            </w:r>
            <w:r>
              <w:rPr>
                <w:rFonts w:ascii="Calibri Light"/>
                <w:b w:val="0"/>
                <w:spacing w:val="-2"/>
                <w:sz w:val="18"/>
              </w:rPr>
              <w:t> CREEK/1700</w:t>
            </w:r>
          </w:p>
          <w:p>
            <w:pPr>
              <w:pStyle w:val="TableParagraph"/>
              <w:tabs>
                <w:tab w:pos="1223" w:val="left" w:leader="none"/>
              </w:tabs>
              <w:spacing w:line="288" w:lineRule="auto" w:before="45"/>
              <w:ind w:left="216" w:right="849"/>
              <w:rPr>
                <w:rFonts w:ascii="Calibri Light"/>
                <w:b w:val="0"/>
                <w:sz w:val="18"/>
              </w:rPr>
            </w:pPr>
            <w:r>
              <w:rPr>
                <w:rFonts w:ascii="Calibri Light"/>
                <w:b w:val="0"/>
                <w:spacing w:val="-2"/>
                <w:sz w:val="18"/>
              </w:rPr>
              <w:t>C4702</w:t>
            </w:r>
            <w:r>
              <w:rPr>
                <w:rFonts w:ascii="Calibri Light"/>
                <w:b w:val="0"/>
                <w:sz w:val="18"/>
              </w:rPr>
              <w:tab/>
              <w:t>MEADOW CREEK/1700</w:t>
            </w:r>
            <w:r>
              <w:rPr>
                <w:rFonts w:ascii="Calibri Light"/>
                <w:b w:val="0"/>
                <w:spacing w:val="80"/>
                <w:sz w:val="18"/>
              </w:rPr>
              <w:t> </w:t>
            </w:r>
            <w:r>
              <w:rPr>
                <w:rFonts w:ascii="Calibri Light"/>
                <w:b w:val="0"/>
                <w:spacing w:val="-2"/>
                <w:sz w:val="18"/>
              </w:rPr>
              <w:t>9521000</w:t>
            </w:r>
            <w:r>
              <w:rPr>
                <w:rFonts w:ascii="Calibri Light"/>
                <w:b w:val="0"/>
                <w:sz w:val="18"/>
              </w:rPr>
              <w:tab/>
              <w:t>NORTH</w:t>
            </w:r>
            <w:r>
              <w:rPr>
                <w:rFonts w:ascii="Calibri Light"/>
                <w:b w:val="0"/>
                <w:spacing w:val="-11"/>
                <w:sz w:val="18"/>
              </w:rPr>
              <w:t> </w:t>
            </w:r>
            <w:r>
              <w:rPr>
                <w:rFonts w:ascii="Calibri Light"/>
                <w:b w:val="0"/>
                <w:sz w:val="18"/>
              </w:rPr>
              <w:t>FORK</w:t>
            </w:r>
            <w:r>
              <w:rPr>
                <w:rFonts w:ascii="Calibri Light"/>
                <w:b w:val="0"/>
                <w:spacing w:val="-10"/>
                <w:sz w:val="18"/>
              </w:rPr>
              <w:t> </w:t>
            </w:r>
            <w:r>
              <w:rPr>
                <w:rFonts w:ascii="Calibri Light"/>
                <w:b w:val="0"/>
                <w:sz w:val="18"/>
              </w:rPr>
              <w:t>CHEWELAH</w:t>
            </w:r>
            <w:r>
              <w:rPr>
                <w:rFonts w:ascii="Calibri Light"/>
                <w:b w:val="0"/>
                <w:spacing w:val="-10"/>
                <w:sz w:val="18"/>
              </w:rPr>
              <w:t> </w:t>
            </w:r>
            <w:r>
              <w:rPr>
                <w:rFonts w:ascii="Calibri Light"/>
                <w:b w:val="0"/>
                <w:sz w:val="18"/>
              </w:rPr>
              <w:t>CREEK </w:t>
            </w:r>
            <w:r>
              <w:rPr>
                <w:rFonts w:ascii="Calibri Light"/>
                <w:b w:val="0"/>
                <w:spacing w:val="-2"/>
                <w:sz w:val="18"/>
              </w:rPr>
              <w:t>C4015</w:t>
            </w:r>
            <w:r>
              <w:rPr>
                <w:rFonts w:ascii="Calibri Light"/>
                <w:b w:val="0"/>
                <w:sz w:val="18"/>
              </w:rPr>
              <w:tab/>
              <w:t>PIERRE LAKE</w:t>
            </w:r>
          </w:p>
          <w:p>
            <w:pPr>
              <w:pStyle w:val="TableParagraph"/>
              <w:spacing w:line="216" w:lineRule="exact" w:before="0"/>
              <w:ind w:left="1223"/>
              <w:rPr>
                <w:rFonts w:ascii="Calibri Light"/>
                <w:b w:val="0"/>
                <w:sz w:val="18"/>
              </w:rPr>
            </w:pPr>
            <w:r>
              <w:rPr>
                <w:rFonts w:ascii="Calibri Light"/>
                <w:b w:val="0"/>
                <w:spacing w:val="-2"/>
                <w:sz w:val="18"/>
              </w:rPr>
              <w:t>RUFUS</w:t>
            </w:r>
          </w:p>
          <w:p>
            <w:pPr>
              <w:pStyle w:val="TableParagraph"/>
              <w:tabs>
                <w:tab w:pos="1223" w:val="left" w:leader="none"/>
              </w:tabs>
              <w:spacing w:line="288" w:lineRule="auto" w:before="44"/>
              <w:ind w:left="216" w:right="1924"/>
              <w:rPr>
                <w:rFonts w:ascii="Calibri Light"/>
                <w:b w:val="0"/>
                <w:sz w:val="18"/>
              </w:rPr>
            </w:pPr>
            <w:r>
              <w:rPr>
                <w:rFonts w:ascii="Calibri Light"/>
                <w:b w:val="0"/>
                <w:spacing w:val="-2"/>
                <w:sz w:val="18"/>
              </w:rPr>
              <w:t>C2998</w:t>
            </w:r>
            <w:r>
              <w:rPr>
                <w:rFonts w:ascii="Calibri Light"/>
                <w:b w:val="0"/>
                <w:sz w:val="18"/>
              </w:rPr>
              <w:tab/>
              <w:t>SAND CANYON </w:t>
            </w:r>
            <w:r>
              <w:rPr>
                <w:rFonts w:ascii="Calibri Light"/>
                <w:b w:val="0"/>
                <w:spacing w:val="-2"/>
                <w:sz w:val="18"/>
              </w:rPr>
              <w:t>6110000</w:t>
            </w:r>
            <w:r>
              <w:rPr>
                <w:rFonts w:ascii="Calibri Light"/>
                <w:b w:val="0"/>
                <w:sz w:val="18"/>
              </w:rPr>
              <w:tab/>
              <w:t>SOUTH</w:t>
            </w:r>
            <w:r>
              <w:rPr>
                <w:rFonts w:ascii="Calibri Light"/>
                <w:b w:val="0"/>
                <w:spacing w:val="-11"/>
                <w:sz w:val="18"/>
              </w:rPr>
              <w:t> </w:t>
            </w:r>
            <w:r>
              <w:rPr>
                <w:rFonts w:ascii="Calibri Light"/>
                <w:b w:val="0"/>
                <w:sz w:val="18"/>
              </w:rPr>
              <w:t>BOULDER</w:t>
            </w:r>
          </w:p>
          <w:p>
            <w:pPr>
              <w:pStyle w:val="TableParagraph"/>
              <w:tabs>
                <w:tab w:pos="1223" w:val="left" w:leader="none"/>
              </w:tabs>
              <w:spacing w:line="288" w:lineRule="auto" w:before="0"/>
              <w:ind w:left="216" w:right="923"/>
              <w:rPr>
                <w:rFonts w:ascii="Calibri Light"/>
                <w:b w:val="0"/>
                <w:sz w:val="18"/>
              </w:rPr>
            </w:pPr>
            <w:r>
              <w:rPr>
                <w:rFonts w:ascii="Calibri Light"/>
                <w:b w:val="0"/>
                <w:spacing w:val="-2"/>
                <w:sz w:val="18"/>
              </w:rPr>
              <w:t>C4954</w:t>
            </w:r>
            <w:r>
              <w:rPr>
                <w:rFonts w:ascii="Calibri Light"/>
                <w:b w:val="0"/>
                <w:sz w:val="18"/>
              </w:rPr>
              <w:tab/>
              <w:t>SOUTH</w:t>
            </w:r>
            <w:r>
              <w:rPr>
                <w:rFonts w:ascii="Calibri Light"/>
                <w:b w:val="0"/>
                <w:spacing w:val="-11"/>
                <w:sz w:val="18"/>
              </w:rPr>
              <w:t> </w:t>
            </w:r>
            <w:r>
              <w:rPr>
                <w:rFonts w:ascii="Calibri Light"/>
                <w:b w:val="0"/>
                <w:sz w:val="18"/>
              </w:rPr>
              <w:t>FORK</w:t>
            </w:r>
            <w:r>
              <w:rPr>
                <w:rFonts w:ascii="Calibri Light"/>
                <w:b w:val="0"/>
                <w:spacing w:val="-10"/>
                <w:sz w:val="18"/>
              </w:rPr>
              <w:t> </w:t>
            </w:r>
            <w:r>
              <w:rPr>
                <w:rFonts w:ascii="Calibri Light"/>
                <w:b w:val="0"/>
                <w:sz w:val="18"/>
              </w:rPr>
              <w:t>MILL</w:t>
            </w:r>
            <w:r>
              <w:rPr>
                <w:rFonts w:ascii="Calibri Light"/>
                <w:b w:val="0"/>
                <w:spacing w:val="-10"/>
                <w:sz w:val="18"/>
              </w:rPr>
              <w:t> </w:t>
            </w:r>
            <w:r>
              <w:rPr>
                <w:rFonts w:ascii="Calibri Light"/>
                <w:b w:val="0"/>
                <w:sz w:val="18"/>
              </w:rPr>
              <w:t>CREEK/SR20 </w:t>
            </w:r>
            <w:r>
              <w:rPr>
                <w:rFonts w:ascii="Calibri Light"/>
                <w:b w:val="0"/>
                <w:spacing w:val="-2"/>
                <w:sz w:val="18"/>
              </w:rPr>
              <w:t>2020000</w:t>
            </w:r>
            <w:r>
              <w:rPr>
                <w:rFonts w:ascii="Calibri Light"/>
                <w:b w:val="0"/>
                <w:sz w:val="18"/>
              </w:rPr>
              <w:tab/>
              <w:t>SOUTH</w:t>
            </w:r>
            <w:r>
              <w:rPr>
                <w:rFonts w:ascii="Calibri Light"/>
                <w:b w:val="0"/>
                <w:spacing w:val="-2"/>
                <w:sz w:val="18"/>
              </w:rPr>
              <w:t> </w:t>
            </w:r>
            <w:r>
              <w:rPr>
                <w:rFonts w:ascii="Calibri Light"/>
                <w:b w:val="0"/>
                <w:sz w:val="18"/>
              </w:rPr>
              <w:t>SHERMAN</w:t>
            </w:r>
          </w:p>
          <w:p>
            <w:pPr>
              <w:pStyle w:val="TableParagraph"/>
              <w:tabs>
                <w:tab w:pos="1223" w:val="left" w:leader="none"/>
              </w:tabs>
              <w:spacing w:line="288" w:lineRule="auto" w:before="0"/>
              <w:ind w:left="216" w:right="1590"/>
              <w:rPr>
                <w:rFonts w:ascii="Calibri Light"/>
                <w:b w:val="0"/>
                <w:sz w:val="18"/>
              </w:rPr>
            </w:pPr>
            <w:r>
              <w:rPr>
                <w:rFonts w:ascii="Calibri Light"/>
                <w:b w:val="0"/>
                <w:spacing w:val="-2"/>
                <w:sz w:val="18"/>
              </w:rPr>
              <w:t>C2389</w:t>
            </w:r>
            <w:r>
              <w:rPr>
                <w:rFonts w:ascii="Calibri Light"/>
                <w:b w:val="0"/>
                <w:sz w:val="18"/>
              </w:rPr>
              <w:tab/>
              <w:t>TACOMA</w:t>
            </w:r>
            <w:r>
              <w:rPr>
                <w:rFonts w:ascii="Calibri Light"/>
                <w:b w:val="0"/>
                <w:spacing w:val="-11"/>
                <w:sz w:val="18"/>
              </w:rPr>
              <w:t> </w:t>
            </w:r>
            <w:r>
              <w:rPr>
                <w:rFonts w:ascii="Calibri Light"/>
                <w:b w:val="0"/>
                <w:sz w:val="18"/>
              </w:rPr>
              <w:t>CREEK/2600 </w:t>
            </w:r>
            <w:r>
              <w:rPr>
                <w:rFonts w:ascii="Calibri Light"/>
                <w:b w:val="0"/>
                <w:spacing w:val="-2"/>
                <w:sz w:val="18"/>
              </w:rPr>
              <w:t>2712000</w:t>
            </w:r>
            <w:r>
              <w:rPr>
                <w:rFonts w:ascii="Calibri Light"/>
                <w:b w:val="0"/>
                <w:sz w:val="18"/>
              </w:rPr>
              <w:tab/>
              <w:t>TACOMA</w:t>
            </w:r>
            <w:r>
              <w:rPr>
                <w:rFonts w:ascii="Calibri Light"/>
                <w:b w:val="0"/>
                <w:spacing w:val="-2"/>
                <w:sz w:val="18"/>
              </w:rPr>
              <w:t> </w:t>
            </w:r>
            <w:r>
              <w:rPr>
                <w:rFonts w:ascii="Calibri Light"/>
                <w:b w:val="0"/>
                <w:sz w:val="18"/>
              </w:rPr>
              <w:t>DIVIDE</w:t>
            </w:r>
          </w:p>
          <w:p>
            <w:pPr>
              <w:pStyle w:val="TableParagraph"/>
              <w:tabs>
                <w:tab w:pos="1223" w:val="left" w:leader="none"/>
              </w:tabs>
              <w:spacing w:line="218" w:lineRule="exact" w:before="0"/>
              <w:ind w:left="216"/>
              <w:rPr>
                <w:rFonts w:ascii="Calibri Light"/>
                <w:b w:val="0"/>
                <w:sz w:val="18"/>
              </w:rPr>
            </w:pPr>
            <w:r>
              <w:rPr>
                <w:rFonts w:ascii="Calibri Light"/>
                <w:b w:val="0"/>
                <w:spacing w:val="-2"/>
                <w:sz w:val="18"/>
              </w:rPr>
              <w:t>9517000</w:t>
            </w:r>
            <w:r>
              <w:rPr>
                <w:rFonts w:ascii="Calibri Light"/>
                <w:b w:val="0"/>
                <w:sz w:val="18"/>
              </w:rPr>
              <w:tab/>
            </w:r>
            <w:r>
              <w:rPr>
                <w:rFonts w:ascii="Calibri Light"/>
                <w:b w:val="0"/>
                <w:spacing w:val="-2"/>
                <w:sz w:val="18"/>
              </w:rPr>
              <w:t>TOWER</w:t>
            </w:r>
          </w:p>
          <w:p>
            <w:pPr>
              <w:pStyle w:val="TableParagraph"/>
              <w:tabs>
                <w:tab w:pos="1223" w:val="left" w:leader="none"/>
              </w:tabs>
              <w:spacing w:before="41"/>
              <w:ind w:left="216"/>
              <w:rPr>
                <w:rFonts w:ascii="Calibri Light"/>
                <w:b w:val="0"/>
                <w:sz w:val="18"/>
              </w:rPr>
            </w:pPr>
            <w:r>
              <w:rPr>
                <w:rFonts w:ascii="Calibri Light"/>
                <w:b w:val="0"/>
                <w:spacing w:val="-2"/>
                <w:sz w:val="18"/>
              </w:rPr>
              <w:t>2000020</w:t>
            </w:r>
            <w:r>
              <w:rPr>
                <w:rFonts w:ascii="Calibri Light"/>
                <w:b w:val="0"/>
                <w:sz w:val="18"/>
              </w:rPr>
              <w:tab/>
              <w:t>TROUT</w:t>
            </w:r>
            <w:r>
              <w:rPr>
                <w:rFonts w:ascii="Calibri Light"/>
                <w:b w:val="0"/>
                <w:spacing w:val="-4"/>
                <w:sz w:val="18"/>
              </w:rPr>
              <w:t> </w:t>
            </w:r>
            <w:r>
              <w:rPr>
                <w:rFonts w:ascii="Calibri Light"/>
                <w:b w:val="0"/>
                <w:sz w:val="18"/>
              </w:rPr>
              <w:t>LAKE</w:t>
            </w:r>
            <w:r>
              <w:rPr>
                <w:rFonts w:ascii="Calibri Light"/>
                <w:b w:val="0"/>
                <w:spacing w:val="-2"/>
                <w:sz w:val="18"/>
              </w:rPr>
              <w:t> CAMPGROUND</w:t>
            </w:r>
          </w:p>
          <w:p>
            <w:pPr>
              <w:pStyle w:val="TableParagraph"/>
              <w:tabs>
                <w:tab w:pos="1223" w:val="left" w:leader="none"/>
              </w:tabs>
              <w:spacing w:line="199" w:lineRule="exact" w:before="1"/>
              <w:ind w:left="216"/>
              <w:rPr>
                <w:rFonts w:ascii="Calibri Light"/>
                <w:b w:val="0"/>
                <w:sz w:val="18"/>
              </w:rPr>
            </w:pPr>
            <w:r>
              <w:rPr>
                <w:rFonts w:ascii="Calibri Light"/>
                <w:b w:val="0"/>
                <w:spacing w:val="-2"/>
                <w:sz w:val="18"/>
              </w:rPr>
              <w:t>2014250</w:t>
            </w:r>
            <w:r>
              <w:rPr>
                <w:rFonts w:ascii="Calibri Light"/>
                <w:b w:val="0"/>
                <w:sz w:val="18"/>
              </w:rPr>
              <w:tab/>
              <w:t>WHITE</w:t>
            </w:r>
            <w:r>
              <w:rPr>
                <w:rFonts w:ascii="Calibri Light"/>
                <w:b w:val="0"/>
                <w:spacing w:val="-4"/>
                <w:sz w:val="18"/>
              </w:rPr>
              <w:t> </w:t>
            </w:r>
            <w:r>
              <w:rPr>
                <w:rFonts w:ascii="Calibri Light"/>
                <w:b w:val="0"/>
                <w:spacing w:val="-5"/>
                <w:sz w:val="18"/>
              </w:rPr>
              <w:t>MTN</w:t>
            </w:r>
          </w:p>
        </w:tc>
      </w:tr>
      <w:tr>
        <w:trPr>
          <w:trHeight w:val="1537" w:hRule="atLeast"/>
        </w:trPr>
        <w:tc>
          <w:tcPr>
            <w:tcW w:w="4939" w:type="dxa"/>
          </w:tcPr>
          <w:p>
            <w:pPr>
              <w:pStyle w:val="TableParagraph"/>
              <w:spacing w:before="0"/>
              <w:ind w:left="107"/>
              <w:rPr>
                <w:rFonts w:ascii="Calibri Light"/>
                <w:b w:val="0"/>
                <w:sz w:val="18"/>
              </w:rPr>
            </w:pPr>
            <w:r>
              <w:rPr>
                <w:rFonts w:ascii="Calibri Light"/>
                <w:b w:val="0"/>
                <w:spacing w:val="-2"/>
                <w:sz w:val="18"/>
              </w:rPr>
              <w:t>Concern Level</w:t>
            </w:r>
            <w:r>
              <w:rPr>
                <w:rFonts w:ascii="Calibri Light"/>
                <w:b w:val="0"/>
                <w:spacing w:val="-3"/>
                <w:sz w:val="18"/>
              </w:rPr>
              <w:t> </w:t>
            </w:r>
            <w:r>
              <w:rPr>
                <w:rFonts w:ascii="Calibri Light"/>
                <w:b w:val="0"/>
                <w:spacing w:val="-2"/>
                <w:sz w:val="18"/>
              </w:rPr>
              <w:t>1 Nationally Designated Recreation or Scenic Trail</w:t>
            </w:r>
            <w:r>
              <w:rPr>
                <w:rFonts w:ascii="Calibri Light"/>
                <w:b w:val="0"/>
                <w:sz w:val="18"/>
              </w:rPr>
              <w:t> </w:t>
            </w:r>
            <w:r>
              <w:rPr>
                <w:rFonts w:ascii="Calibri Light"/>
                <w:b w:val="0"/>
                <w:spacing w:val="-2"/>
                <w:sz w:val="18"/>
              </w:rPr>
              <w:t>Viewsheds</w:t>
            </w:r>
          </w:p>
          <w:p>
            <w:pPr>
              <w:pStyle w:val="TableParagraph"/>
              <w:tabs>
                <w:tab w:pos="1135" w:val="left" w:leader="none"/>
              </w:tabs>
              <w:spacing w:line="219" w:lineRule="exact" w:before="0"/>
              <w:ind w:right="1949"/>
              <w:jc w:val="right"/>
              <w:rPr>
                <w:rFonts w:ascii="Calibri Light"/>
                <w:b w:val="0"/>
                <w:sz w:val="18"/>
              </w:rPr>
            </w:pPr>
            <w:r>
              <w:rPr>
                <w:rFonts w:ascii="Calibri Light"/>
                <w:b w:val="0"/>
                <w:spacing w:val="-2"/>
                <w:sz w:val="18"/>
              </w:rPr>
              <w:t>2000495</w:t>
            </w:r>
            <w:r>
              <w:rPr>
                <w:rFonts w:ascii="Calibri Light"/>
                <w:b w:val="0"/>
                <w:sz w:val="18"/>
              </w:rPr>
              <w:tab/>
              <w:t>Pacific</w:t>
            </w:r>
            <w:r>
              <w:rPr>
                <w:rFonts w:ascii="Calibri Light"/>
                <w:b w:val="0"/>
                <w:spacing w:val="-3"/>
                <w:sz w:val="18"/>
              </w:rPr>
              <w:t> </w:t>
            </w:r>
            <w:r>
              <w:rPr>
                <w:rFonts w:ascii="Calibri Light"/>
                <w:b w:val="0"/>
                <w:sz w:val="18"/>
              </w:rPr>
              <w:t>Northwest</w:t>
            </w:r>
            <w:r>
              <w:rPr>
                <w:rFonts w:ascii="Calibri Light"/>
                <w:b w:val="0"/>
                <w:spacing w:val="-1"/>
                <w:sz w:val="18"/>
              </w:rPr>
              <w:t> </w:t>
            </w:r>
            <w:r>
              <w:rPr>
                <w:rFonts w:ascii="Calibri Light"/>
                <w:b w:val="0"/>
                <w:spacing w:val="-2"/>
                <w:sz w:val="18"/>
              </w:rPr>
              <w:t>Trail</w:t>
            </w:r>
          </w:p>
          <w:p>
            <w:pPr>
              <w:pStyle w:val="TableParagraph"/>
              <w:spacing w:before="0"/>
              <w:ind w:right="1949"/>
              <w:jc w:val="right"/>
              <w:rPr>
                <w:rFonts w:ascii="Calibri Light"/>
                <w:b w:val="0"/>
                <w:sz w:val="18"/>
              </w:rPr>
            </w:pPr>
            <w:r>
              <w:rPr>
                <w:rFonts w:ascii="Calibri Light"/>
                <w:b w:val="0"/>
                <w:sz w:val="18"/>
              </w:rPr>
              <w:t>Pacific</w:t>
            </w:r>
            <w:r>
              <w:rPr>
                <w:rFonts w:ascii="Calibri Light"/>
                <w:b w:val="0"/>
                <w:spacing w:val="-5"/>
                <w:sz w:val="18"/>
              </w:rPr>
              <w:t> </w:t>
            </w:r>
            <w:r>
              <w:rPr>
                <w:rFonts w:ascii="Calibri Light"/>
                <w:b w:val="0"/>
                <w:sz w:val="18"/>
              </w:rPr>
              <w:t>Northwest</w:t>
            </w:r>
            <w:r>
              <w:rPr>
                <w:rFonts w:ascii="Calibri Light"/>
                <w:b w:val="0"/>
                <w:spacing w:val="-1"/>
                <w:sz w:val="18"/>
              </w:rPr>
              <w:t> </w:t>
            </w:r>
            <w:r>
              <w:rPr>
                <w:rFonts w:ascii="Calibri Light"/>
                <w:b w:val="0"/>
                <w:spacing w:val="-4"/>
                <w:sz w:val="18"/>
              </w:rPr>
              <w:t>Trail</w:t>
            </w:r>
          </w:p>
          <w:p>
            <w:pPr>
              <w:pStyle w:val="TableParagraph"/>
              <w:tabs>
                <w:tab w:pos="1135" w:val="left" w:leader="none"/>
              </w:tabs>
              <w:spacing w:line="219" w:lineRule="exact" w:before="1"/>
              <w:ind w:right="1949"/>
              <w:jc w:val="right"/>
              <w:rPr>
                <w:rFonts w:ascii="Calibri Light"/>
                <w:b w:val="0"/>
                <w:sz w:val="18"/>
              </w:rPr>
            </w:pPr>
            <w:r>
              <w:rPr>
                <w:rFonts w:ascii="Calibri Light"/>
                <w:b w:val="0"/>
                <w:spacing w:val="-4"/>
                <w:sz w:val="18"/>
              </w:rPr>
              <w:t>C602</w:t>
            </w:r>
            <w:r>
              <w:rPr>
                <w:rFonts w:ascii="Calibri Light"/>
                <w:b w:val="0"/>
                <w:sz w:val="18"/>
              </w:rPr>
              <w:tab/>
              <w:t>Pacific</w:t>
            </w:r>
            <w:r>
              <w:rPr>
                <w:rFonts w:ascii="Calibri Light"/>
                <w:b w:val="0"/>
                <w:spacing w:val="-3"/>
                <w:sz w:val="18"/>
              </w:rPr>
              <w:t> </w:t>
            </w:r>
            <w:r>
              <w:rPr>
                <w:rFonts w:ascii="Calibri Light"/>
                <w:b w:val="0"/>
                <w:sz w:val="18"/>
              </w:rPr>
              <w:t>Northwest</w:t>
            </w:r>
            <w:r>
              <w:rPr>
                <w:rFonts w:ascii="Calibri Light"/>
                <w:b w:val="0"/>
                <w:spacing w:val="-1"/>
                <w:sz w:val="18"/>
              </w:rPr>
              <w:t> </w:t>
            </w:r>
            <w:r>
              <w:rPr>
                <w:rFonts w:ascii="Calibri Light"/>
                <w:b w:val="0"/>
                <w:spacing w:val="-2"/>
                <w:sz w:val="18"/>
              </w:rPr>
              <w:t>Trail</w:t>
            </w:r>
          </w:p>
          <w:p>
            <w:pPr>
              <w:pStyle w:val="TableParagraph"/>
              <w:tabs>
                <w:tab w:pos="1350" w:val="left" w:leader="none"/>
              </w:tabs>
              <w:spacing w:line="219" w:lineRule="exact" w:before="0"/>
              <w:ind w:left="215"/>
              <w:rPr>
                <w:rFonts w:ascii="Calibri Light"/>
                <w:b w:val="0"/>
                <w:sz w:val="18"/>
              </w:rPr>
            </w:pPr>
            <w:r>
              <w:rPr>
                <w:rFonts w:ascii="Calibri Light"/>
                <w:b w:val="0"/>
                <w:spacing w:val="-2"/>
                <w:sz w:val="18"/>
              </w:rPr>
              <w:t>WA-</w:t>
            </w:r>
            <w:r>
              <w:rPr>
                <w:rFonts w:ascii="Calibri Light"/>
                <w:b w:val="0"/>
                <w:spacing w:val="-7"/>
                <w:sz w:val="18"/>
              </w:rPr>
              <w:t>25</w:t>
            </w:r>
            <w:r>
              <w:rPr>
                <w:rFonts w:ascii="Calibri Light"/>
                <w:b w:val="0"/>
                <w:sz w:val="18"/>
              </w:rPr>
              <w:tab/>
              <w:t>STATE</w:t>
            </w:r>
            <w:r>
              <w:rPr>
                <w:rFonts w:ascii="Calibri Light"/>
                <w:b w:val="0"/>
                <w:spacing w:val="-2"/>
                <w:sz w:val="18"/>
              </w:rPr>
              <w:t> </w:t>
            </w:r>
            <w:r>
              <w:rPr>
                <w:rFonts w:ascii="Calibri Light"/>
                <w:b w:val="0"/>
                <w:sz w:val="18"/>
              </w:rPr>
              <w:t>ROUTE</w:t>
            </w:r>
            <w:r>
              <w:rPr>
                <w:rFonts w:ascii="Calibri Light"/>
                <w:b w:val="0"/>
                <w:spacing w:val="-1"/>
                <w:sz w:val="18"/>
              </w:rPr>
              <w:t> </w:t>
            </w:r>
            <w:r>
              <w:rPr>
                <w:rFonts w:ascii="Calibri Light"/>
                <w:b w:val="0"/>
                <w:sz w:val="18"/>
              </w:rPr>
              <w:t>25</w:t>
            </w:r>
            <w:r>
              <w:rPr>
                <w:rFonts w:ascii="Calibri Light"/>
                <w:b w:val="0"/>
                <w:spacing w:val="-3"/>
                <w:sz w:val="18"/>
              </w:rPr>
              <w:t> </w:t>
            </w:r>
            <w:r>
              <w:rPr>
                <w:rFonts w:ascii="Calibri Light"/>
                <w:b w:val="0"/>
                <w:sz w:val="18"/>
              </w:rPr>
              <w:t>-</w:t>
            </w:r>
            <w:r>
              <w:rPr>
                <w:rFonts w:ascii="Calibri Light"/>
                <w:b w:val="0"/>
                <w:spacing w:val="-1"/>
                <w:sz w:val="18"/>
              </w:rPr>
              <w:t> </w:t>
            </w:r>
            <w:r>
              <w:rPr>
                <w:rFonts w:ascii="Calibri Light"/>
                <w:b w:val="0"/>
                <w:sz w:val="18"/>
              </w:rPr>
              <w:t>PNW</w:t>
            </w:r>
            <w:r>
              <w:rPr>
                <w:rFonts w:ascii="Calibri Light"/>
                <w:b w:val="0"/>
                <w:spacing w:val="-1"/>
                <w:sz w:val="18"/>
              </w:rPr>
              <w:t> </w:t>
            </w:r>
            <w:r>
              <w:rPr>
                <w:rFonts w:ascii="Calibri Light"/>
                <w:b w:val="0"/>
                <w:spacing w:val="-4"/>
                <w:sz w:val="18"/>
              </w:rPr>
              <w:t>Trail</w:t>
            </w:r>
          </w:p>
          <w:p>
            <w:pPr>
              <w:pStyle w:val="TableParagraph"/>
              <w:spacing w:line="199" w:lineRule="exact" w:before="1"/>
              <w:ind w:left="1351"/>
              <w:rPr>
                <w:rFonts w:ascii="Calibri Light"/>
                <w:b w:val="0"/>
                <w:sz w:val="18"/>
              </w:rPr>
            </w:pPr>
            <w:r>
              <w:rPr>
                <w:rFonts w:ascii="Calibri Light"/>
                <w:b w:val="0"/>
                <w:sz w:val="18"/>
              </w:rPr>
              <w:t>KETTLE</w:t>
            </w:r>
            <w:r>
              <w:rPr>
                <w:rFonts w:ascii="Calibri Light"/>
                <w:b w:val="0"/>
                <w:spacing w:val="-3"/>
                <w:sz w:val="18"/>
              </w:rPr>
              <w:t> </w:t>
            </w:r>
            <w:r>
              <w:rPr>
                <w:rFonts w:ascii="Calibri Light"/>
                <w:b w:val="0"/>
                <w:sz w:val="18"/>
              </w:rPr>
              <w:t>CREST</w:t>
            </w:r>
            <w:r>
              <w:rPr>
                <w:rFonts w:ascii="Calibri Light"/>
                <w:b w:val="0"/>
                <w:spacing w:val="-2"/>
                <w:sz w:val="18"/>
              </w:rPr>
              <w:t> SOUTH</w:t>
            </w:r>
          </w:p>
        </w:tc>
        <w:tc>
          <w:tcPr>
            <w:tcW w:w="4411" w:type="dxa"/>
          </w:tcPr>
          <w:p>
            <w:pPr>
              <w:pStyle w:val="TableParagraph"/>
              <w:spacing w:line="219" w:lineRule="exact" w:before="0"/>
              <w:ind w:left="108"/>
              <w:rPr>
                <w:rFonts w:ascii="Calibri Light"/>
                <w:b w:val="0"/>
                <w:sz w:val="18"/>
              </w:rPr>
            </w:pPr>
            <w:r>
              <w:rPr>
                <w:rFonts w:ascii="Calibri Light"/>
                <w:b w:val="0"/>
                <w:sz w:val="18"/>
              </w:rPr>
              <w:t>Foreground</w:t>
            </w:r>
            <w:r>
              <w:rPr>
                <w:rFonts w:ascii="Calibri Light"/>
                <w:b w:val="0"/>
                <w:spacing w:val="-2"/>
                <w:sz w:val="18"/>
              </w:rPr>
              <w:t> </w:t>
            </w:r>
            <w:r>
              <w:rPr>
                <w:rFonts w:ascii="Calibri Light"/>
                <w:b w:val="0"/>
                <w:sz w:val="18"/>
              </w:rPr>
              <w:t>or</w:t>
            </w:r>
            <w:r>
              <w:rPr>
                <w:rFonts w:ascii="Calibri Light"/>
                <w:b w:val="0"/>
                <w:spacing w:val="-3"/>
                <w:sz w:val="18"/>
              </w:rPr>
              <w:t> </w:t>
            </w:r>
            <w:r>
              <w:rPr>
                <w:rFonts w:ascii="Calibri Light"/>
                <w:b w:val="0"/>
                <w:sz w:val="18"/>
              </w:rPr>
              <w:t>seen</w:t>
            </w:r>
            <w:r>
              <w:rPr>
                <w:rFonts w:ascii="Calibri Light"/>
                <w:b w:val="0"/>
                <w:spacing w:val="-2"/>
                <w:sz w:val="18"/>
              </w:rPr>
              <w:t> </w:t>
            </w:r>
            <w:r>
              <w:rPr>
                <w:rFonts w:ascii="Calibri Light"/>
                <w:b w:val="0"/>
                <w:sz w:val="18"/>
              </w:rPr>
              <w:t>area</w:t>
            </w:r>
            <w:r>
              <w:rPr>
                <w:rFonts w:ascii="Calibri Light"/>
                <w:b w:val="0"/>
                <w:spacing w:val="-2"/>
                <w:sz w:val="18"/>
              </w:rPr>
              <w:t> </w:t>
            </w:r>
            <w:r>
              <w:rPr>
                <w:rFonts w:ascii="Calibri Light"/>
                <w:b w:val="0"/>
                <w:sz w:val="18"/>
              </w:rPr>
              <w:t>High</w:t>
            </w:r>
            <w:r>
              <w:rPr>
                <w:rFonts w:ascii="Calibri Light"/>
                <w:b w:val="0"/>
                <w:spacing w:val="-2"/>
                <w:sz w:val="18"/>
              </w:rPr>
              <w:t> </w:t>
            </w:r>
            <w:r>
              <w:rPr>
                <w:rFonts w:ascii="Calibri Light"/>
                <w:b w:val="0"/>
                <w:spacing w:val="-5"/>
                <w:sz w:val="18"/>
              </w:rPr>
              <w:t>SIO</w:t>
            </w:r>
          </w:p>
          <w:p>
            <w:pPr>
              <w:pStyle w:val="TableParagraph"/>
              <w:spacing w:before="1"/>
              <w:ind w:left="108" w:right="115"/>
              <w:rPr>
                <w:rFonts w:ascii="Calibri Light"/>
                <w:b w:val="0"/>
                <w:sz w:val="18"/>
              </w:rPr>
            </w:pPr>
            <w:r>
              <w:rPr>
                <w:rFonts w:ascii="Calibri Light"/>
                <w:b w:val="0"/>
                <w:sz w:val="18"/>
              </w:rPr>
              <w:t>Middleground</w:t>
            </w:r>
            <w:r>
              <w:rPr>
                <w:rFonts w:ascii="Calibri Light"/>
                <w:b w:val="0"/>
                <w:spacing w:val="-8"/>
                <w:sz w:val="18"/>
              </w:rPr>
              <w:t> </w:t>
            </w:r>
            <w:r>
              <w:rPr>
                <w:rFonts w:ascii="Calibri Light"/>
                <w:b w:val="0"/>
                <w:sz w:val="18"/>
              </w:rPr>
              <w:t>assumes</w:t>
            </w:r>
            <w:r>
              <w:rPr>
                <w:rFonts w:ascii="Calibri Light"/>
                <w:b w:val="0"/>
                <w:spacing w:val="-8"/>
                <w:sz w:val="18"/>
              </w:rPr>
              <w:t> </w:t>
            </w:r>
            <w:r>
              <w:rPr>
                <w:rFonts w:ascii="Calibri Light"/>
                <w:b w:val="0"/>
                <w:sz w:val="18"/>
              </w:rPr>
              <w:t>the</w:t>
            </w:r>
            <w:r>
              <w:rPr>
                <w:rFonts w:ascii="Calibri Light"/>
                <w:b w:val="0"/>
                <w:spacing w:val="-9"/>
                <w:sz w:val="18"/>
              </w:rPr>
              <w:t> </w:t>
            </w:r>
            <w:r>
              <w:rPr>
                <w:rFonts w:ascii="Calibri Light"/>
                <w:b w:val="0"/>
                <w:sz w:val="18"/>
              </w:rPr>
              <w:t>Forest</w:t>
            </w:r>
            <w:r>
              <w:rPr>
                <w:rFonts w:ascii="Calibri Light"/>
                <w:b w:val="0"/>
                <w:spacing w:val="-7"/>
                <w:sz w:val="18"/>
              </w:rPr>
              <w:t> </w:t>
            </w:r>
            <w:r>
              <w:rPr>
                <w:rFonts w:ascii="Calibri Light"/>
                <w:b w:val="0"/>
                <w:sz w:val="18"/>
              </w:rPr>
              <w:t>Wide</w:t>
            </w:r>
            <w:r>
              <w:rPr>
                <w:rFonts w:ascii="Calibri Light"/>
                <w:b w:val="0"/>
                <w:spacing w:val="-9"/>
                <w:sz w:val="18"/>
              </w:rPr>
              <w:t> </w:t>
            </w:r>
            <w:r>
              <w:rPr>
                <w:rFonts w:ascii="Calibri Light"/>
                <w:b w:val="0"/>
                <w:sz w:val="18"/>
              </w:rPr>
              <w:t>Management Area</w:t>
            </w:r>
            <w:r>
              <w:rPr>
                <w:rFonts w:ascii="Calibri Light"/>
                <w:b w:val="0"/>
                <w:spacing w:val="-2"/>
                <w:sz w:val="18"/>
              </w:rPr>
              <w:t> </w:t>
            </w:r>
            <w:r>
              <w:rPr>
                <w:rFonts w:ascii="Calibri Light"/>
                <w:b w:val="0"/>
                <w:sz w:val="18"/>
              </w:rPr>
              <w:t>SIO</w:t>
            </w:r>
          </w:p>
        </w:tc>
      </w:tr>
    </w:tbl>
    <w:p>
      <w:pPr>
        <w:pStyle w:val="TableParagraph"/>
        <w:spacing w:after="0"/>
        <w:rPr>
          <w:rFonts w:ascii="Calibri Light"/>
          <w:b w:val="0"/>
          <w:sz w:val="18"/>
        </w:rPr>
        <w:sectPr>
          <w:pgSz w:w="12240" w:h="15840"/>
          <w:pgMar w:header="0" w:footer="891" w:top="1340" w:bottom="1080" w:left="1440" w:right="1440"/>
        </w:sectPr>
      </w:pPr>
    </w:p>
    <w:p>
      <w:pPr>
        <w:pStyle w:val="BodyText"/>
        <w:rPr>
          <w:rFonts w:ascii="Arial"/>
          <w:b/>
          <w:sz w:val="18"/>
        </w:rPr>
      </w:pPr>
      <w:r>
        <w:rPr>
          <w:rFonts w:ascii="Arial"/>
          <w:b/>
          <w:sz w:val="18"/>
        </w:rPr>
        <w:drawing>
          <wp:anchor distT="0" distB="0" distL="0" distR="0" allowOverlap="1" layoutInCell="1" locked="0" behindDoc="0" simplePos="0" relativeHeight="15785472">
            <wp:simplePos x="0" y="0"/>
            <wp:positionH relativeFrom="page">
              <wp:posOffset>1005746</wp:posOffset>
            </wp:positionH>
            <wp:positionV relativeFrom="page">
              <wp:posOffset>914400</wp:posOffset>
            </wp:positionV>
            <wp:extent cx="5852253" cy="7691754"/>
            <wp:effectExtent l="0" t="0" r="0" b="0"/>
            <wp:wrapNone/>
            <wp:docPr id="352" name="Image 352" descr="Map showing Sullivan Lake Ranger District Scenic Integrity Objectives"/>
            <wp:cNvGraphicFramePr>
              <a:graphicFrameLocks/>
            </wp:cNvGraphicFramePr>
            <a:graphic>
              <a:graphicData uri="http://schemas.openxmlformats.org/drawingml/2006/picture">
                <pic:pic>
                  <pic:nvPicPr>
                    <pic:cNvPr id="352" name="Image 352" descr="Map showing Sullivan Lake Ranger District Scenic Integrity Objectives"/>
                    <pic:cNvPicPr/>
                  </pic:nvPicPr>
                  <pic:blipFill>
                    <a:blip r:embed="rId122" cstate="print"/>
                    <a:stretch>
                      <a:fillRect/>
                    </a:stretch>
                  </pic:blipFill>
                  <pic:spPr>
                    <a:xfrm>
                      <a:off x="0" y="0"/>
                      <a:ext cx="5852253" cy="7691754"/>
                    </a:xfrm>
                    <a:prstGeom prst="rect">
                      <a:avLst/>
                    </a:prstGeom>
                  </pic:spPr>
                </pic:pic>
              </a:graphicData>
            </a:graphic>
          </wp:anchor>
        </w:drawing>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32"/>
        <w:rPr>
          <w:rFonts w:ascii="Arial"/>
          <w:b/>
          <w:sz w:val="18"/>
        </w:rPr>
      </w:pPr>
    </w:p>
    <w:p>
      <w:pPr>
        <w:spacing w:before="1"/>
        <w:ind w:left="0" w:right="0" w:firstLine="0"/>
        <w:jc w:val="left"/>
        <w:rPr>
          <w:rFonts w:ascii="Arial"/>
          <w:b/>
          <w:sz w:val="18"/>
        </w:rPr>
      </w:pPr>
      <w:bookmarkStart w:name="_bookmark318" w:id="995"/>
      <w:bookmarkEnd w:id="995"/>
      <w:r>
        <w:rPr/>
      </w:r>
      <w:r>
        <w:rPr>
          <w:rFonts w:ascii="Arial"/>
          <w:b/>
          <w:color w:val="283014"/>
          <w:sz w:val="18"/>
        </w:rPr>
        <w:t>Figure</w:t>
      </w:r>
      <w:r>
        <w:rPr>
          <w:rFonts w:ascii="Arial"/>
          <w:b/>
          <w:color w:val="283014"/>
          <w:spacing w:val="-3"/>
          <w:sz w:val="18"/>
        </w:rPr>
        <w:t> </w:t>
      </w:r>
      <w:r>
        <w:rPr>
          <w:rFonts w:ascii="Arial"/>
          <w:b/>
          <w:color w:val="283014"/>
          <w:sz w:val="18"/>
        </w:rPr>
        <w:t>D-6.</w:t>
      </w:r>
      <w:r>
        <w:rPr>
          <w:rFonts w:ascii="Arial"/>
          <w:b/>
          <w:color w:val="283014"/>
          <w:spacing w:val="-2"/>
          <w:sz w:val="18"/>
        </w:rPr>
        <w:t> </w:t>
      </w:r>
      <w:r>
        <w:rPr>
          <w:rFonts w:ascii="Arial"/>
          <w:b/>
          <w:color w:val="283014"/>
          <w:sz w:val="18"/>
        </w:rPr>
        <w:t>Sullivan</w:t>
      </w:r>
      <w:r>
        <w:rPr>
          <w:rFonts w:ascii="Arial"/>
          <w:b/>
          <w:color w:val="283014"/>
          <w:spacing w:val="-3"/>
          <w:sz w:val="18"/>
        </w:rPr>
        <w:t> </w:t>
      </w:r>
      <w:r>
        <w:rPr>
          <w:rFonts w:ascii="Arial"/>
          <w:b/>
          <w:color w:val="283014"/>
          <w:sz w:val="18"/>
        </w:rPr>
        <w:t>Lake</w:t>
      </w:r>
      <w:r>
        <w:rPr>
          <w:rFonts w:ascii="Arial"/>
          <w:b/>
          <w:color w:val="283014"/>
          <w:spacing w:val="-2"/>
          <w:sz w:val="18"/>
        </w:rPr>
        <w:t> </w:t>
      </w:r>
      <w:r>
        <w:rPr>
          <w:rFonts w:ascii="Arial"/>
          <w:b/>
          <w:color w:val="283014"/>
          <w:sz w:val="18"/>
        </w:rPr>
        <w:t>Ranger</w:t>
      </w:r>
      <w:r>
        <w:rPr>
          <w:rFonts w:ascii="Arial"/>
          <w:b/>
          <w:color w:val="283014"/>
          <w:spacing w:val="-4"/>
          <w:sz w:val="18"/>
        </w:rPr>
        <w:t> </w:t>
      </w:r>
      <w:r>
        <w:rPr>
          <w:rFonts w:ascii="Arial"/>
          <w:b/>
          <w:color w:val="283014"/>
          <w:sz w:val="18"/>
        </w:rPr>
        <w:t>District</w:t>
      </w:r>
      <w:r>
        <w:rPr>
          <w:rFonts w:ascii="Arial"/>
          <w:b/>
          <w:color w:val="283014"/>
          <w:spacing w:val="-5"/>
          <w:sz w:val="18"/>
        </w:rPr>
        <w:t> </w:t>
      </w:r>
      <w:r>
        <w:rPr>
          <w:rFonts w:ascii="Arial"/>
          <w:b/>
          <w:color w:val="283014"/>
          <w:sz w:val="18"/>
        </w:rPr>
        <w:t>scenic</w:t>
      </w:r>
      <w:r>
        <w:rPr>
          <w:rFonts w:ascii="Arial"/>
          <w:b/>
          <w:color w:val="283014"/>
          <w:spacing w:val="-2"/>
          <w:sz w:val="18"/>
        </w:rPr>
        <w:t> </w:t>
      </w:r>
      <w:r>
        <w:rPr>
          <w:rFonts w:ascii="Arial"/>
          <w:b/>
          <w:color w:val="283014"/>
          <w:sz w:val="18"/>
        </w:rPr>
        <w:t>integrity</w:t>
      </w:r>
      <w:r>
        <w:rPr>
          <w:rFonts w:ascii="Arial"/>
          <w:b/>
          <w:color w:val="283014"/>
          <w:spacing w:val="-7"/>
          <w:sz w:val="18"/>
        </w:rPr>
        <w:t> </w:t>
      </w:r>
      <w:r>
        <w:rPr>
          <w:rFonts w:ascii="Arial"/>
          <w:b/>
          <w:color w:val="283014"/>
          <w:spacing w:val="-2"/>
          <w:sz w:val="18"/>
        </w:rPr>
        <w:t>objectives</w:t>
      </w:r>
    </w:p>
    <w:p>
      <w:pPr>
        <w:spacing w:after="0"/>
        <w:jc w:val="left"/>
        <w:rPr>
          <w:rFonts w:ascii="Arial"/>
          <w:b/>
          <w:sz w:val="18"/>
        </w:rPr>
        <w:sectPr>
          <w:pgSz w:w="12240" w:h="15840"/>
          <w:pgMar w:header="0" w:footer="891" w:top="1340" w:bottom="1080" w:left="1440" w:right="1440"/>
        </w:sectPr>
      </w:pPr>
    </w:p>
    <w:p>
      <w:pPr>
        <w:spacing w:before="84" w:after="41"/>
        <w:ind w:left="0" w:right="0" w:firstLine="0"/>
        <w:jc w:val="left"/>
        <w:rPr>
          <w:rFonts w:ascii="Arial"/>
          <w:b/>
          <w:sz w:val="18"/>
        </w:rPr>
      </w:pPr>
      <w:r>
        <w:rPr>
          <w:rFonts w:ascii="Arial"/>
          <w:b/>
          <w:sz w:val="18"/>
        </w:rPr>
        <mc:AlternateContent>
          <mc:Choice Requires="wps">
            <w:drawing>
              <wp:anchor distT="0" distB="0" distL="0" distR="0" allowOverlap="1" layoutInCell="1" locked="0" behindDoc="0" simplePos="0" relativeHeight="15785984">
                <wp:simplePos x="0" y="0"/>
                <wp:positionH relativeFrom="page">
                  <wp:posOffset>4014470</wp:posOffset>
                </wp:positionH>
                <wp:positionV relativeFrom="page">
                  <wp:posOffset>2758058</wp:posOffset>
                </wp:positionV>
                <wp:extent cx="1871345" cy="2018664"/>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1871345" cy="2018664"/>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00"/>
                              <w:gridCol w:w="1927"/>
                            </w:tblGrid>
                            <w:tr>
                              <w:trPr>
                                <w:trHeight w:val="240" w:hRule="atLeast"/>
                              </w:trPr>
                              <w:tc>
                                <w:tcPr>
                                  <w:tcW w:w="900" w:type="dxa"/>
                                </w:tcPr>
                                <w:p>
                                  <w:pPr>
                                    <w:pStyle w:val="TableParagraph"/>
                                    <w:spacing w:before="0"/>
                                    <w:rPr>
                                      <w:rFonts w:ascii="Times New Roman"/>
                                      <w:sz w:val="16"/>
                                    </w:rPr>
                                  </w:pPr>
                                </w:p>
                              </w:tc>
                              <w:tc>
                                <w:tcPr>
                                  <w:tcW w:w="1927" w:type="dxa"/>
                                </w:tcPr>
                                <w:p>
                                  <w:pPr>
                                    <w:pStyle w:val="TableParagraph"/>
                                    <w:spacing w:before="0"/>
                                    <w:rPr>
                                      <w:rFonts w:ascii="Times New Roman"/>
                                      <w:sz w:val="16"/>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299"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240" w:hRule="atLeast"/>
                              </w:trPr>
                              <w:tc>
                                <w:tcPr>
                                  <w:tcW w:w="900" w:type="dxa"/>
                                </w:tcPr>
                                <w:p>
                                  <w:pPr>
                                    <w:pStyle w:val="TableParagraph"/>
                                    <w:spacing w:before="0"/>
                                    <w:rPr>
                                      <w:rFonts w:ascii="Times New Roman"/>
                                      <w:sz w:val="16"/>
                                    </w:rPr>
                                  </w:pPr>
                                </w:p>
                              </w:tc>
                              <w:tc>
                                <w:tcPr>
                                  <w:tcW w:w="1927" w:type="dxa"/>
                                </w:tcPr>
                                <w:p>
                                  <w:pPr>
                                    <w:pStyle w:val="TableParagraph"/>
                                    <w:spacing w:before="0"/>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316.100006pt;margin-top:217.169998pt;width:147.35pt;height:158.950pt;mso-position-horizontal-relative:page;mso-position-vertical-relative:page;z-index:15785984" type="#_x0000_t202" id="docshape33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00"/>
                        <w:gridCol w:w="1927"/>
                      </w:tblGrid>
                      <w:tr>
                        <w:trPr>
                          <w:trHeight w:val="240" w:hRule="atLeast"/>
                        </w:trPr>
                        <w:tc>
                          <w:tcPr>
                            <w:tcW w:w="900" w:type="dxa"/>
                          </w:tcPr>
                          <w:p>
                            <w:pPr>
                              <w:pStyle w:val="TableParagraph"/>
                              <w:spacing w:before="0"/>
                              <w:rPr>
                                <w:rFonts w:ascii="Times New Roman"/>
                                <w:sz w:val="16"/>
                              </w:rPr>
                            </w:pPr>
                          </w:p>
                        </w:tc>
                        <w:tc>
                          <w:tcPr>
                            <w:tcW w:w="1927" w:type="dxa"/>
                          </w:tcPr>
                          <w:p>
                            <w:pPr>
                              <w:pStyle w:val="TableParagraph"/>
                              <w:spacing w:before="0"/>
                              <w:rPr>
                                <w:rFonts w:ascii="Times New Roman"/>
                                <w:sz w:val="16"/>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299"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300" w:hRule="atLeast"/>
                        </w:trPr>
                        <w:tc>
                          <w:tcPr>
                            <w:tcW w:w="900" w:type="dxa"/>
                          </w:tcPr>
                          <w:p>
                            <w:pPr>
                              <w:pStyle w:val="TableParagraph"/>
                              <w:spacing w:before="0"/>
                              <w:rPr>
                                <w:rFonts w:ascii="Times New Roman"/>
                                <w:sz w:val="18"/>
                              </w:rPr>
                            </w:pPr>
                          </w:p>
                        </w:tc>
                        <w:tc>
                          <w:tcPr>
                            <w:tcW w:w="1927" w:type="dxa"/>
                          </w:tcPr>
                          <w:p>
                            <w:pPr>
                              <w:pStyle w:val="TableParagraph"/>
                              <w:spacing w:before="0"/>
                              <w:rPr>
                                <w:rFonts w:ascii="Times New Roman"/>
                                <w:sz w:val="18"/>
                              </w:rPr>
                            </w:pPr>
                          </w:p>
                        </w:tc>
                      </w:tr>
                      <w:tr>
                        <w:trPr>
                          <w:trHeight w:val="240" w:hRule="atLeast"/>
                        </w:trPr>
                        <w:tc>
                          <w:tcPr>
                            <w:tcW w:w="900" w:type="dxa"/>
                          </w:tcPr>
                          <w:p>
                            <w:pPr>
                              <w:pStyle w:val="TableParagraph"/>
                              <w:spacing w:before="0"/>
                              <w:rPr>
                                <w:rFonts w:ascii="Times New Roman"/>
                                <w:sz w:val="16"/>
                              </w:rPr>
                            </w:pPr>
                          </w:p>
                        </w:tc>
                        <w:tc>
                          <w:tcPr>
                            <w:tcW w:w="1927" w:type="dxa"/>
                          </w:tcPr>
                          <w:p>
                            <w:pPr>
                              <w:pStyle w:val="TableParagraph"/>
                              <w:spacing w:before="0"/>
                              <w:rPr>
                                <w:rFonts w:ascii="Times New Roman"/>
                                <w:sz w:val="16"/>
                              </w:rPr>
                            </w:pPr>
                          </w:p>
                        </w:tc>
                      </w:tr>
                    </w:tbl>
                    <w:p>
                      <w:pPr>
                        <w:pStyle w:val="BodyText"/>
                      </w:pPr>
                    </w:p>
                  </w:txbxContent>
                </v:textbox>
                <w10:wrap type="none"/>
              </v:shape>
            </w:pict>
          </mc:Fallback>
        </mc:AlternateContent>
      </w:r>
      <w:bookmarkStart w:name="_bookmark319" w:id="996"/>
      <w:bookmarkEnd w:id="996"/>
      <w:r>
        <w:rPr/>
      </w:r>
      <w:r>
        <w:rPr>
          <w:rFonts w:ascii="Arial"/>
          <w:b/>
          <w:sz w:val="18"/>
        </w:rPr>
        <w:t>Table</w:t>
      </w:r>
      <w:r>
        <w:rPr>
          <w:rFonts w:ascii="Arial"/>
          <w:b/>
          <w:spacing w:val="-3"/>
          <w:sz w:val="18"/>
        </w:rPr>
        <w:t> </w:t>
      </w:r>
      <w:r>
        <w:rPr>
          <w:rFonts w:ascii="Arial"/>
          <w:b/>
          <w:sz w:val="18"/>
        </w:rPr>
        <w:t>D-5.</w:t>
      </w:r>
      <w:r>
        <w:rPr>
          <w:rFonts w:ascii="Arial"/>
          <w:b/>
          <w:spacing w:val="-4"/>
          <w:sz w:val="18"/>
        </w:rPr>
        <w:t> </w:t>
      </w:r>
      <w:r>
        <w:rPr>
          <w:rFonts w:ascii="Arial"/>
          <w:b/>
          <w:sz w:val="18"/>
        </w:rPr>
        <w:t>Sullivan</w:t>
      </w:r>
      <w:r>
        <w:rPr>
          <w:rFonts w:ascii="Arial"/>
          <w:b/>
          <w:spacing w:val="-3"/>
          <w:sz w:val="18"/>
        </w:rPr>
        <w:t> </w:t>
      </w:r>
      <w:r>
        <w:rPr>
          <w:rFonts w:ascii="Arial"/>
          <w:b/>
          <w:sz w:val="18"/>
        </w:rPr>
        <w:t>Lake</w:t>
      </w:r>
      <w:r>
        <w:rPr>
          <w:rFonts w:ascii="Arial"/>
          <w:b/>
          <w:spacing w:val="-3"/>
          <w:sz w:val="18"/>
        </w:rPr>
        <w:t> </w:t>
      </w:r>
      <w:r>
        <w:rPr>
          <w:rFonts w:ascii="Arial"/>
          <w:b/>
          <w:sz w:val="18"/>
        </w:rPr>
        <w:t>Ranger</w:t>
      </w:r>
      <w:r>
        <w:rPr>
          <w:rFonts w:ascii="Arial"/>
          <w:b/>
          <w:spacing w:val="-4"/>
          <w:sz w:val="18"/>
        </w:rPr>
        <w:t> </w:t>
      </w:r>
      <w:r>
        <w:rPr>
          <w:rFonts w:ascii="Arial"/>
          <w:b/>
          <w:sz w:val="18"/>
        </w:rPr>
        <w:t>District</w:t>
      </w:r>
      <w:r>
        <w:rPr>
          <w:rFonts w:ascii="Arial"/>
          <w:b/>
          <w:spacing w:val="-3"/>
          <w:sz w:val="18"/>
        </w:rPr>
        <w:t> </w:t>
      </w:r>
      <w:r>
        <w:rPr>
          <w:rFonts w:ascii="Arial"/>
          <w:b/>
          <w:sz w:val="18"/>
        </w:rPr>
        <w:t>scenic</w:t>
      </w:r>
      <w:r>
        <w:rPr>
          <w:rFonts w:ascii="Arial"/>
          <w:b/>
          <w:spacing w:val="-3"/>
          <w:sz w:val="18"/>
        </w:rPr>
        <w:t> </w:t>
      </w:r>
      <w:r>
        <w:rPr>
          <w:rFonts w:ascii="Arial"/>
          <w:b/>
          <w:spacing w:val="-2"/>
          <w:sz w:val="18"/>
        </w:rPr>
        <w:t>viewsheds</w:t>
      </w: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1157"/>
        <w:gridCol w:w="3614"/>
        <w:gridCol w:w="4579"/>
      </w:tblGrid>
      <w:tr>
        <w:trPr>
          <w:trHeight w:val="1033" w:hRule="atLeast"/>
        </w:trPr>
        <w:tc>
          <w:tcPr>
            <w:tcW w:w="4771" w:type="dxa"/>
            <w:gridSpan w:val="2"/>
            <w:shd w:val="clear" w:color="auto" w:fill="E6E6E6"/>
          </w:tcPr>
          <w:p>
            <w:pPr>
              <w:pStyle w:val="TableParagraph"/>
              <w:spacing w:line="206" w:lineRule="exact" w:before="0"/>
              <w:ind w:left="270"/>
              <w:rPr>
                <w:b/>
                <w:sz w:val="18"/>
              </w:rPr>
            </w:pPr>
            <w:r>
              <w:rPr>
                <w:b/>
                <w:sz w:val="18"/>
              </w:rPr>
              <w:t>Scenic </w:t>
            </w:r>
            <w:r>
              <w:rPr>
                <w:b/>
                <w:spacing w:val="-2"/>
                <w:sz w:val="18"/>
              </w:rPr>
              <w:t>Viewsheds</w:t>
            </w:r>
          </w:p>
          <w:p>
            <w:pPr>
              <w:pStyle w:val="TableParagraph"/>
              <w:spacing w:before="0"/>
              <w:ind w:left="270"/>
              <w:rPr>
                <w:sz w:val="18"/>
              </w:rPr>
            </w:pPr>
            <w:r>
              <w:rPr>
                <w:sz w:val="18"/>
              </w:rPr>
              <w:t>Concern</w:t>
            </w:r>
            <w:r>
              <w:rPr>
                <w:spacing w:val="-7"/>
                <w:sz w:val="18"/>
              </w:rPr>
              <w:t> </w:t>
            </w:r>
            <w:r>
              <w:rPr>
                <w:sz w:val="18"/>
              </w:rPr>
              <w:t>level</w:t>
            </w:r>
            <w:r>
              <w:rPr>
                <w:spacing w:val="-7"/>
                <w:sz w:val="18"/>
              </w:rPr>
              <w:t> </w:t>
            </w:r>
            <w:r>
              <w:rPr>
                <w:sz w:val="18"/>
              </w:rPr>
              <w:t>1</w:t>
            </w:r>
            <w:r>
              <w:rPr>
                <w:spacing w:val="-5"/>
                <w:sz w:val="18"/>
              </w:rPr>
              <w:t> </w:t>
            </w:r>
            <w:r>
              <w:rPr>
                <w:sz w:val="18"/>
              </w:rPr>
              <w:t>travel</w:t>
            </w:r>
            <w:r>
              <w:rPr>
                <w:spacing w:val="-5"/>
                <w:sz w:val="18"/>
              </w:rPr>
              <w:t> </w:t>
            </w:r>
            <w:r>
              <w:rPr>
                <w:sz w:val="18"/>
              </w:rPr>
              <w:t>route</w:t>
            </w:r>
            <w:r>
              <w:rPr>
                <w:spacing w:val="-5"/>
                <w:sz w:val="18"/>
              </w:rPr>
              <w:t> </w:t>
            </w:r>
            <w:r>
              <w:rPr>
                <w:sz w:val="18"/>
              </w:rPr>
              <w:t>and</w:t>
            </w:r>
            <w:r>
              <w:rPr>
                <w:spacing w:val="-5"/>
                <w:sz w:val="18"/>
              </w:rPr>
              <w:t> </w:t>
            </w:r>
            <w:r>
              <w:rPr>
                <w:sz w:val="18"/>
              </w:rPr>
              <w:t>nationally</w:t>
            </w:r>
            <w:r>
              <w:rPr>
                <w:spacing w:val="-6"/>
                <w:sz w:val="18"/>
              </w:rPr>
              <w:t> </w:t>
            </w:r>
            <w:r>
              <w:rPr>
                <w:sz w:val="18"/>
              </w:rPr>
              <w:t>designated recreation or scenic trail Viewsheds</w:t>
            </w:r>
          </w:p>
          <w:p>
            <w:pPr>
              <w:pStyle w:val="TableParagraph"/>
              <w:spacing w:before="1"/>
              <w:ind w:left="270"/>
              <w:rPr>
                <w:sz w:val="18"/>
              </w:rPr>
            </w:pPr>
            <w:r>
              <w:rPr>
                <w:sz w:val="18"/>
              </w:rPr>
              <w:t>Concern</w:t>
            </w:r>
            <w:r>
              <w:rPr>
                <w:spacing w:val="-4"/>
                <w:sz w:val="18"/>
              </w:rPr>
              <w:t> </w:t>
            </w:r>
            <w:r>
              <w:rPr>
                <w:sz w:val="18"/>
              </w:rPr>
              <w:t>level</w:t>
            </w:r>
            <w:r>
              <w:rPr>
                <w:spacing w:val="-4"/>
                <w:sz w:val="18"/>
              </w:rPr>
              <w:t> </w:t>
            </w:r>
            <w:r>
              <w:rPr>
                <w:sz w:val="18"/>
              </w:rPr>
              <w:t>2</w:t>
            </w:r>
            <w:r>
              <w:rPr>
                <w:spacing w:val="-2"/>
                <w:sz w:val="18"/>
              </w:rPr>
              <w:t> </w:t>
            </w:r>
            <w:r>
              <w:rPr>
                <w:sz w:val="18"/>
              </w:rPr>
              <w:t>travel</w:t>
            </w:r>
            <w:r>
              <w:rPr>
                <w:spacing w:val="-1"/>
                <w:sz w:val="18"/>
              </w:rPr>
              <w:t> </w:t>
            </w:r>
            <w:r>
              <w:rPr>
                <w:sz w:val="18"/>
              </w:rPr>
              <w:t>route</w:t>
            </w:r>
            <w:r>
              <w:rPr>
                <w:spacing w:val="-1"/>
                <w:sz w:val="18"/>
              </w:rPr>
              <w:t> </w:t>
            </w:r>
            <w:r>
              <w:rPr>
                <w:spacing w:val="-2"/>
                <w:sz w:val="18"/>
              </w:rPr>
              <w:t>viewsheds</w:t>
            </w:r>
          </w:p>
        </w:tc>
        <w:tc>
          <w:tcPr>
            <w:tcW w:w="4579" w:type="dxa"/>
            <w:shd w:val="clear" w:color="auto" w:fill="E6E6E6"/>
          </w:tcPr>
          <w:p>
            <w:pPr>
              <w:pStyle w:val="TableParagraph"/>
              <w:spacing w:line="206" w:lineRule="exact" w:before="0"/>
              <w:ind w:left="108"/>
              <w:rPr>
                <w:b/>
                <w:sz w:val="18"/>
              </w:rPr>
            </w:pPr>
            <w:r>
              <w:rPr>
                <w:b/>
                <w:sz w:val="18"/>
              </w:rPr>
              <w:t>Scenic</w:t>
            </w:r>
            <w:r>
              <w:rPr>
                <w:b/>
                <w:spacing w:val="-2"/>
                <w:sz w:val="18"/>
              </w:rPr>
              <w:t> </w:t>
            </w:r>
            <w:r>
              <w:rPr>
                <w:b/>
                <w:sz w:val="18"/>
              </w:rPr>
              <w:t>Integrity</w:t>
            </w:r>
            <w:r>
              <w:rPr>
                <w:b/>
                <w:spacing w:val="-8"/>
                <w:sz w:val="18"/>
              </w:rPr>
              <w:t> </w:t>
            </w:r>
            <w:r>
              <w:rPr>
                <w:b/>
                <w:sz w:val="18"/>
              </w:rPr>
              <w:t>Objectives</w:t>
            </w:r>
            <w:r>
              <w:rPr>
                <w:b/>
                <w:spacing w:val="-1"/>
                <w:sz w:val="18"/>
              </w:rPr>
              <w:t> </w:t>
            </w:r>
            <w:r>
              <w:rPr>
                <w:b/>
                <w:spacing w:val="-2"/>
                <w:sz w:val="18"/>
              </w:rPr>
              <w:t>Prescribed</w:t>
            </w:r>
          </w:p>
          <w:p>
            <w:pPr>
              <w:pStyle w:val="TableParagraph"/>
              <w:spacing w:before="0"/>
              <w:ind w:left="108" w:right="1990"/>
              <w:rPr>
                <w:sz w:val="18"/>
              </w:rPr>
            </w:pPr>
            <w:r>
              <w:rPr>
                <w:sz w:val="18"/>
              </w:rPr>
              <w:t>Very High SIO (Unaltered)</w:t>
            </w:r>
            <w:r>
              <w:rPr>
                <w:spacing w:val="40"/>
                <w:sz w:val="18"/>
              </w:rPr>
              <w:t> </w:t>
            </w:r>
            <w:r>
              <w:rPr>
                <w:sz w:val="18"/>
              </w:rPr>
              <w:t>High SIO (Appears Unaltered)</w:t>
            </w:r>
          </w:p>
          <w:p>
            <w:pPr>
              <w:pStyle w:val="TableParagraph"/>
              <w:spacing w:line="206" w:lineRule="exact" w:before="0"/>
              <w:ind w:left="108" w:right="1697"/>
              <w:rPr>
                <w:sz w:val="18"/>
              </w:rPr>
            </w:pPr>
            <w:r>
              <w:rPr>
                <w:sz w:val="18"/>
              </w:rPr>
              <w:t>Moderate</w:t>
            </w:r>
            <w:r>
              <w:rPr>
                <w:spacing w:val="-13"/>
                <w:sz w:val="18"/>
              </w:rPr>
              <w:t> </w:t>
            </w:r>
            <w:r>
              <w:rPr>
                <w:sz w:val="18"/>
              </w:rPr>
              <w:t>SIO</w:t>
            </w:r>
            <w:r>
              <w:rPr>
                <w:spacing w:val="-12"/>
                <w:sz w:val="18"/>
              </w:rPr>
              <w:t> </w:t>
            </w:r>
            <w:r>
              <w:rPr>
                <w:sz w:val="18"/>
              </w:rPr>
              <w:t>(Slightly</w:t>
            </w:r>
            <w:r>
              <w:rPr>
                <w:spacing w:val="-13"/>
                <w:sz w:val="18"/>
              </w:rPr>
              <w:t> </w:t>
            </w:r>
            <w:r>
              <w:rPr>
                <w:sz w:val="18"/>
              </w:rPr>
              <w:t>Altered) Low SIO (Moderately Altered)</w:t>
            </w:r>
          </w:p>
        </w:tc>
      </w:tr>
      <w:tr>
        <w:trPr>
          <w:trHeight w:val="1036" w:hRule="atLeast"/>
        </w:trPr>
        <w:tc>
          <w:tcPr>
            <w:tcW w:w="9350" w:type="dxa"/>
            <w:gridSpan w:val="3"/>
            <w:shd w:val="clear" w:color="auto" w:fill="E6E6E6"/>
          </w:tcPr>
          <w:p>
            <w:pPr>
              <w:pStyle w:val="TableParagraph"/>
              <w:spacing w:line="206" w:lineRule="exact" w:before="0"/>
              <w:ind w:left="270"/>
              <w:rPr>
                <w:b/>
                <w:sz w:val="18"/>
              </w:rPr>
            </w:pPr>
            <w:r>
              <w:rPr>
                <w:b/>
                <w:sz w:val="18"/>
              </w:rPr>
              <w:t>Distance</w:t>
            </w:r>
            <w:r>
              <w:rPr>
                <w:b/>
                <w:spacing w:val="-5"/>
                <w:sz w:val="18"/>
              </w:rPr>
              <w:t> </w:t>
            </w:r>
            <w:r>
              <w:rPr>
                <w:b/>
                <w:spacing w:val="-2"/>
                <w:sz w:val="18"/>
              </w:rPr>
              <w:t>Zones</w:t>
            </w:r>
          </w:p>
          <w:p>
            <w:pPr>
              <w:pStyle w:val="TableParagraph"/>
              <w:spacing w:line="206" w:lineRule="exact" w:before="0"/>
              <w:ind w:left="270" w:right="3056"/>
              <w:rPr>
                <w:sz w:val="18"/>
              </w:rPr>
            </w:pPr>
            <w:r>
              <w:rPr>
                <w:sz w:val="18"/>
              </w:rPr>
              <w:t>Immediate Foreground High SIO - distance zone is 0 to 300 feet Foreground High SIO (FG) - distance zone is 300 feet to ½ mile Middleground High SIO (MG) - distance zone is ½ mile to 4 miles Background</w:t>
            </w:r>
            <w:r>
              <w:rPr>
                <w:spacing w:val="-3"/>
                <w:sz w:val="18"/>
              </w:rPr>
              <w:t> </w:t>
            </w:r>
            <w:r>
              <w:rPr>
                <w:sz w:val="18"/>
              </w:rPr>
              <w:t>Moderate</w:t>
            </w:r>
            <w:r>
              <w:rPr>
                <w:spacing w:val="-3"/>
                <w:sz w:val="18"/>
              </w:rPr>
              <w:t> </w:t>
            </w:r>
            <w:r>
              <w:rPr>
                <w:sz w:val="18"/>
              </w:rPr>
              <w:t>SIO</w:t>
            </w:r>
            <w:r>
              <w:rPr>
                <w:spacing w:val="-5"/>
                <w:sz w:val="18"/>
              </w:rPr>
              <w:t> </w:t>
            </w:r>
            <w:r>
              <w:rPr>
                <w:sz w:val="18"/>
              </w:rPr>
              <w:t>(BG)</w:t>
            </w:r>
            <w:r>
              <w:rPr>
                <w:spacing w:val="-4"/>
                <w:sz w:val="18"/>
              </w:rPr>
              <w:t> </w:t>
            </w:r>
            <w:r>
              <w:rPr>
                <w:sz w:val="18"/>
              </w:rPr>
              <w:t>-</w:t>
            </w:r>
            <w:r>
              <w:rPr>
                <w:spacing w:val="-4"/>
                <w:sz w:val="18"/>
              </w:rPr>
              <w:t> </w:t>
            </w:r>
            <w:r>
              <w:rPr>
                <w:sz w:val="18"/>
              </w:rPr>
              <w:t>distance</w:t>
            </w:r>
            <w:r>
              <w:rPr>
                <w:spacing w:val="-3"/>
                <w:sz w:val="18"/>
              </w:rPr>
              <w:t> </w:t>
            </w:r>
            <w:r>
              <w:rPr>
                <w:sz w:val="18"/>
              </w:rPr>
              <w:t>zone</w:t>
            </w:r>
            <w:r>
              <w:rPr>
                <w:spacing w:val="-6"/>
                <w:sz w:val="18"/>
              </w:rPr>
              <w:t> </w:t>
            </w:r>
            <w:r>
              <w:rPr>
                <w:sz w:val="18"/>
              </w:rPr>
              <w:t>4</w:t>
            </w:r>
            <w:r>
              <w:rPr>
                <w:spacing w:val="-3"/>
                <w:sz w:val="18"/>
              </w:rPr>
              <w:t> </w:t>
            </w:r>
            <w:r>
              <w:rPr>
                <w:sz w:val="18"/>
              </w:rPr>
              <w:t>miles</w:t>
            </w:r>
            <w:r>
              <w:rPr>
                <w:spacing w:val="-3"/>
                <w:sz w:val="18"/>
              </w:rPr>
              <w:t> </w:t>
            </w:r>
            <w:r>
              <w:rPr>
                <w:sz w:val="18"/>
              </w:rPr>
              <w:t>to</w:t>
            </w:r>
            <w:r>
              <w:rPr>
                <w:spacing w:val="-6"/>
                <w:sz w:val="18"/>
              </w:rPr>
              <w:t> </w:t>
            </w:r>
            <w:r>
              <w:rPr>
                <w:sz w:val="18"/>
              </w:rPr>
              <w:t>horizon</w:t>
            </w:r>
          </w:p>
        </w:tc>
      </w:tr>
      <w:tr>
        <w:trPr>
          <w:trHeight w:val="669" w:hRule="atLeast"/>
        </w:trPr>
        <w:tc>
          <w:tcPr>
            <w:tcW w:w="1157" w:type="dxa"/>
            <w:tcBorders>
              <w:bottom w:val="nil"/>
              <w:right w:val="nil"/>
            </w:tcBorders>
          </w:tcPr>
          <w:p>
            <w:pPr>
              <w:pStyle w:val="TableParagraph"/>
              <w:spacing w:before="0"/>
              <w:ind w:left="107" w:right="-44"/>
              <w:rPr>
                <w:rFonts w:ascii="Calibri Light"/>
                <w:b w:val="0"/>
                <w:sz w:val="18"/>
              </w:rPr>
            </w:pPr>
            <w:r>
              <w:rPr>
                <w:rFonts w:ascii="Calibri Light"/>
                <w:b w:val="0"/>
                <w:sz w:val="18"/>
              </w:rPr>
              <w:t>Concern</w:t>
            </w:r>
            <w:r>
              <w:rPr>
                <w:rFonts w:ascii="Calibri Light"/>
                <w:b w:val="0"/>
                <w:spacing w:val="-6"/>
                <w:sz w:val="18"/>
              </w:rPr>
              <w:t> </w:t>
            </w:r>
            <w:r>
              <w:rPr>
                <w:rFonts w:ascii="Calibri Light"/>
                <w:b w:val="0"/>
                <w:sz w:val="18"/>
              </w:rPr>
              <w:t>Level (High</w:t>
            </w:r>
            <w:r>
              <w:rPr>
                <w:rFonts w:ascii="Calibri Light"/>
                <w:b w:val="0"/>
                <w:spacing w:val="-11"/>
                <w:sz w:val="18"/>
              </w:rPr>
              <w:t> </w:t>
            </w:r>
            <w:r>
              <w:rPr>
                <w:rFonts w:ascii="Calibri Light"/>
                <w:b w:val="0"/>
                <w:sz w:val="18"/>
              </w:rPr>
              <w:t>SIO</w:t>
            </w:r>
            <w:r>
              <w:rPr>
                <w:rFonts w:ascii="Calibri Light"/>
                <w:b w:val="0"/>
                <w:spacing w:val="-10"/>
                <w:sz w:val="18"/>
              </w:rPr>
              <w:t> </w:t>
            </w:r>
            <w:r>
              <w:rPr>
                <w:rFonts w:ascii="Calibri Light"/>
                <w:b w:val="0"/>
                <w:sz w:val="18"/>
              </w:rPr>
              <w:t>FG,</w:t>
            </w:r>
            <w:r>
              <w:rPr>
                <w:rFonts w:ascii="Calibri Light"/>
                <w:b w:val="0"/>
                <w:spacing w:val="-10"/>
                <w:sz w:val="18"/>
              </w:rPr>
              <w:t> </w:t>
            </w:r>
            <w:r>
              <w:rPr>
                <w:rFonts w:ascii="Calibri Light"/>
                <w:b w:val="0"/>
                <w:sz w:val="18"/>
              </w:rPr>
              <w:t>H</w:t>
            </w:r>
          </w:p>
          <w:p>
            <w:pPr>
              <w:pStyle w:val="TableParagraph"/>
              <w:spacing w:line="212" w:lineRule="exact" w:before="0"/>
              <w:ind w:left="215"/>
              <w:rPr>
                <w:rFonts w:ascii="Calibri Light"/>
                <w:b w:val="0"/>
                <w:sz w:val="18"/>
              </w:rPr>
            </w:pPr>
            <w:r>
              <w:rPr>
                <w:rFonts w:ascii="Calibri Light"/>
                <w:b w:val="0"/>
                <w:spacing w:val="-2"/>
                <w:sz w:val="18"/>
              </w:rPr>
              <w:t>RTE_NO</w:t>
            </w:r>
          </w:p>
        </w:tc>
        <w:tc>
          <w:tcPr>
            <w:tcW w:w="3614" w:type="dxa"/>
            <w:tcBorders>
              <w:left w:val="nil"/>
              <w:bottom w:val="nil"/>
            </w:tcBorders>
          </w:tcPr>
          <w:p>
            <w:pPr>
              <w:pStyle w:val="TableParagraph"/>
              <w:spacing w:before="0"/>
              <w:ind w:left="38" w:right="1628" w:hanging="44"/>
              <w:rPr>
                <w:rFonts w:ascii="Calibri Light"/>
                <w:b w:val="0"/>
                <w:sz w:val="18"/>
              </w:rPr>
            </w:pPr>
            <w:r>
              <w:rPr>
                <w:rFonts w:ascii="Calibri Light"/>
                <w:b w:val="0"/>
                <w:spacing w:val="-2"/>
                <w:sz w:val="18"/>
              </w:rPr>
              <w:t>1</w:t>
            </w:r>
            <w:r>
              <w:rPr>
                <w:rFonts w:ascii="Calibri Light"/>
                <w:b w:val="0"/>
                <w:spacing w:val="-9"/>
                <w:sz w:val="18"/>
              </w:rPr>
              <w:t> </w:t>
            </w:r>
            <w:r>
              <w:rPr>
                <w:rFonts w:ascii="Calibri Light"/>
                <w:b w:val="0"/>
                <w:spacing w:val="-2"/>
                <w:sz w:val="18"/>
              </w:rPr>
              <w:t>Travel</w:t>
            </w:r>
            <w:r>
              <w:rPr>
                <w:rFonts w:ascii="Calibri Light"/>
                <w:b w:val="0"/>
                <w:spacing w:val="-8"/>
                <w:sz w:val="18"/>
              </w:rPr>
              <w:t> </w:t>
            </w:r>
            <w:r>
              <w:rPr>
                <w:rFonts w:ascii="Calibri Light"/>
                <w:b w:val="0"/>
                <w:spacing w:val="-2"/>
                <w:sz w:val="18"/>
              </w:rPr>
              <w:t>Route</w:t>
            </w:r>
            <w:r>
              <w:rPr>
                <w:rFonts w:ascii="Calibri Light"/>
                <w:b w:val="0"/>
                <w:spacing w:val="-8"/>
                <w:sz w:val="18"/>
              </w:rPr>
              <w:t> </w:t>
            </w:r>
            <w:r>
              <w:rPr>
                <w:rFonts w:ascii="Calibri Light"/>
                <w:b w:val="0"/>
                <w:spacing w:val="-2"/>
                <w:sz w:val="18"/>
              </w:rPr>
              <w:t>Viewsheds</w:t>
            </w:r>
            <w:r>
              <w:rPr>
                <w:rFonts w:ascii="Calibri Light"/>
                <w:b w:val="0"/>
                <w:sz w:val="18"/>
              </w:rPr>
              <w:t> igh MG Seen Area)</w:t>
            </w:r>
          </w:p>
          <w:p>
            <w:pPr>
              <w:pStyle w:val="TableParagraph"/>
              <w:spacing w:line="212" w:lineRule="exact" w:before="0"/>
              <w:ind w:left="306"/>
              <w:rPr>
                <w:rFonts w:ascii="Calibri Light"/>
                <w:b w:val="0"/>
                <w:sz w:val="18"/>
              </w:rPr>
            </w:pPr>
            <w:r>
              <w:rPr>
                <w:rFonts w:ascii="Calibri Light"/>
                <w:b w:val="0"/>
                <w:spacing w:val="-4"/>
                <w:sz w:val="18"/>
              </w:rPr>
              <w:t>NAME</w:t>
            </w:r>
          </w:p>
        </w:tc>
        <w:tc>
          <w:tcPr>
            <w:tcW w:w="4579" w:type="dxa"/>
            <w:vMerge w:val="restart"/>
          </w:tcPr>
          <w:p>
            <w:pPr>
              <w:pStyle w:val="TableParagraph"/>
              <w:spacing w:before="0"/>
              <w:ind w:left="254" w:right="475"/>
              <w:rPr>
                <w:rFonts w:ascii="Calibri Light"/>
                <w:b w:val="0"/>
                <w:sz w:val="18"/>
              </w:rPr>
            </w:pPr>
            <w:r>
              <w:rPr>
                <w:rFonts w:ascii="Calibri Light"/>
                <w:b w:val="0"/>
                <w:sz w:val="18"/>
              </w:rPr>
              <w:t>Concern</w:t>
            </w:r>
            <w:r>
              <w:rPr>
                <w:rFonts w:ascii="Calibri Light"/>
                <w:b w:val="0"/>
                <w:spacing w:val="-11"/>
                <w:sz w:val="18"/>
              </w:rPr>
              <w:t> </w:t>
            </w:r>
            <w:r>
              <w:rPr>
                <w:rFonts w:ascii="Calibri Light"/>
                <w:b w:val="0"/>
                <w:sz w:val="18"/>
              </w:rPr>
              <w:t>Level</w:t>
            </w:r>
            <w:r>
              <w:rPr>
                <w:rFonts w:ascii="Calibri Light"/>
                <w:b w:val="0"/>
                <w:spacing w:val="-10"/>
                <w:sz w:val="18"/>
              </w:rPr>
              <w:t> </w:t>
            </w:r>
            <w:r>
              <w:rPr>
                <w:rFonts w:ascii="Calibri Light"/>
                <w:b w:val="0"/>
                <w:sz w:val="18"/>
              </w:rPr>
              <w:t>2</w:t>
            </w:r>
            <w:r>
              <w:rPr>
                <w:rFonts w:ascii="Calibri Light"/>
                <w:b w:val="0"/>
                <w:spacing w:val="-10"/>
                <w:sz w:val="18"/>
              </w:rPr>
              <w:t> </w:t>
            </w:r>
            <w:r>
              <w:rPr>
                <w:rFonts w:ascii="Calibri Light"/>
                <w:b w:val="0"/>
                <w:sz w:val="18"/>
              </w:rPr>
              <w:t>Travel</w:t>
            </w:r>
            <w:r>
              <w:rPr>
                <w:rFonts w:ascii="Calibri Light"/>
                <w:b w:val="0"/>
                <w:spacing w:val="-10"/>
                <w:sz w:val="18"/>
              </w:rPr>
              <w:t> </w:t>
            </w:r>
            <w:r>
              <w:rPr>
                <w:rFonts w:ascii="Calibri Light"/>
                <w:b w:val="0"/>
                <w:sz w:val="18"/>
              </w:rPr>
              <w:t>Route</w:t>
            </w:r>
            <w:r>
              <w:rPr>
                <w:rFonts w:ascii="Calibri Light"/>
                <w:b w:val="0"/>
                <w:spacing w:val="-10"/>
                <w:sz w:val="18"/>
              </w:rPr>
              <w:t> </w:t>
            </w:r>
            <w:r>
              <w:rPr>
                <w:rFonts w:ascii="Calibri Light"/>
                <w:b w:val="0"/>
                <w:sz w:val="18"/>
              </w:rPr>
              <w:t>Viewsheds</w:t>
            </w:r>
            <w:r>
              <w:rPr>
                <w:rFonts w:ascii="Calibri Light"/>
                <w:b w:val="0"/>
                <w:spacing w:val="-11"/>
                <w:sz w:val="18"/>
              </w:rPr>
              <w:t> </w:t>
            </w:r>
            <w:r>
              <w:rPr>
                <w:rFonts w:ascii="Calibri Light"/>
                <w:b w:val="0"/>
                <w:sz w:val="18"/>
              </w:rPr>
              <w:t>(High</w:t>
            </w:r>
            <w:r>
              <w:rPr>
                <w:rFonts w:ascii="Calibri Light"/>
                <w:b w:val="0"/>
                <w:spacing w:val="-10"/>
                <w:sz w:val="18"/>
              </w:rPr>
              <w:t> </w:t>
            </w:r>
            <w:r>
              <w:rPr>
                <w:rFonts w:ascii="Calibri Light"/>
                <w:b w:val="0"/>
                <w:sz w:val="18"/>
              </w:rPr>
              <w:t>SIO</w:t>
            </w:r>
            <w:r>
              <w:rPr>
                <w:rFonts w:ascii="Calibri Light"/>
                <w:b w:val="0"/>
                <w:spacing w:val="-10"/>
                <w:sz w:val="18"/>
              </w:rPr>
              <w:t> </w:t>
            </w:r>
            <w:r>
              <w:rPr>
                <w:rFonts w:ascii="Calibri Light"/>
                <w:b w:val="0"/>
                <w:sz w:val="18"/>
              </w:rPr>
              <w:t>FG, High to Moderate MG SIO)</w:t>
            </w:r>
          </w:p>
          <w:p>
            <w:pPr>
              <w:pStyle w:val="TableParagraph"/>
              <w:tabs>
                <w:tab w:pos="1276" w:val="left" w:leader="none"/>
              </w:tabs>
              <w:spacing w:before="80"/>
              <w:ind w:left="216"/>
              <w:rPr>
                <w:rFonts w:ascii="Calibri Light"/>
                <w:b w:val="0"/>
                <w:sz w:val="18"/>
              </w:rPr>
            </w:pPr>
            <w:r>
              <w:rPr>
                <w:rFonts w:ascii="Calibri Light"/>
                <w:b w:val="0"/>
                <w:spacing w:val="-2"/>
                <w:sz w:val="18"/>
              </w:rPr>
              <w:t>RTE_NO</w:t>
            </w:r>
            <w:r>
              <w:rPr>
                <w:rFonts w:ascii="Calibri Light"/>
                <w:b w:val="0"/>
                <w:sz w:val="18"/>
              </w:rPr>
              <w:tab/>
            </w:r>
            <w:r>
              <w:rPr>
                <w:rFonts w:ascii="Calibri Light"/>
                <w:b w:val="0"/>
                <w:spacing w:val="-4"/>
                <w:sz w:val="18"/>
              </w:rPr>
              <w:t>NAME</w:t>
            </w:r>
          </w:p>
          <w:p>
            <w:pPr>
              <w:pStyle w:val="TableParagraph"/>
              <w:tabs>
                <w:tab w:pos="1276" w:val="left" w:leader="none"/>
              </w:tabs>
              <w:spacing w:before="80"/>
              <w:ind w:left="216"/>
              <w:rPr>
                <w:rFonts w:ascii="Calibri Light"/>
                <w:b w:val="0"/>
                <w:sz w:val="18"/>
              </w:rPr>
            </w:pPr>
            <w:r>
              <w:rPr>
                <w:rFonts w:ascii="Calibri Light"/>
                <w:b w:val="0"/>
                <w:spacing w:val="-2"/>
                <w:sz w:val="18"/>
              </w:rPr>
              <w:t>1933000</w:t>
            </w:r>
            <w:r>
              <w:rPr>
                <w:rFonts w:ascii="Calibri Light"/>
                <w:b w:val="0"/>
                <w:sz w:val="18"/>
              </w:rPr>
              <w:tab/>
              <w:t>DRY </w:t>
            </w:r>
            <w:r>
              <w:rPr>
                <w:rFonts w:ascii="Calibri Light"/>
                <w:b w:val="0"/>
                <w:spacing w:val="-2"/>
                <w:sz w:val="18"/>
              </w:rPr>
              <w:t>CANYON</w:t>
            </w:r>
          </w:p>
          <w:p>
            <w:pPr>
              <w:pStyle w:val="TableParagraph"/>
              <w:spacing w:before="80"/>
              <w:ind w:left="216"/>
              <w:rPr>
                <w:rFonts w:ascii="Calibri Light"/>
                <w:b w:val="0"/>
                <w:sz w:val="18"/>
              </w:rPr>
            </w:pPr>
            <w:r>
              <w:rPr>
                <w:rFonts w:ascii="Calibri Light"/>
                <w:b w:val="0"/>
                <w:spacing w:val="-2"/>
                <w:sz w:val="18"/>
              </w:rPr>
              <w:t>1935000</w:t>
            </w:r>
          </w:p>
          <w:p>
            <w:pPr>
              <w:pStyle w:val="TableParagraph"/>
              <w:tabs>
                <w:tab w:pos="1276" w:val="left" w:leader="none"/>
              </w:tabs>
              <w:spacing w:before="81"/>
              <w:ind w:left="216"/>
              <w:rPr>
                <w:rFonts w:ascii="Calibri Light"/>
                <w:b w:val="0"/>
                <w:sz w:val="18"/>
              </w:rPr>
            </w:pPr>
            <w:r>
              <w:rPr>
                <w:rFonts w:ascii="Calibri Light"/>
                <w:b w:val="0"/>
                <w:spacing w:val="-2"/>
                <w:sz w:val="18"/>
              </w:rPr>
              <w:t>1936000</w:t>
            </w:r>
            <w:r>
              <w:rPr>
                <w:rFonts w:ascii="Calibri Light"/>
                <w:b w:val="0"/>
                <w:sz w:val="18"/>
              </w:rPr>
              <w:tab/>
              <w:t>PAU</w:t>
            </w:r>
            <w:r>
              <w:rPr>
                <w:rFonts w:ascii="Calibri Light"/>
                <w:b w:val="0"/>
                <w:spacing w:val="-3"/>
                <w:sz w:val="18"/>
              </w:rPr>
              <w:t> </w:t>
            </w:r>
            <w:r>
              <w:rPr>
                <w:rFonts w:ascii="Calibri Light"/>
                <w:b w:val="0"/>
                <w:sz w:val="18"/>
              </w:rPr>
              <w:t>PAC</w:t>
            </w:r>
            <w:r>
              <w:rPr>
                <w:rFonts w:ascii="Calibri Light"/>
                <w:b w:val="0"/>
                <w:spacing w:val="-2"/>
                <w:sz w:val="18"/>
              </w:rPr>
              <w:t> TIOGA</w:t>
            </w:r>
          </w:p>
          <w:p>
            <w:pPr>
              <w:pStyle w:val="TableParagraph"/>
              <w:tabs>
                <w:tab w:pos="1276" w:val="left" w:leader="none"/>
              </w:tabs>
              <w:spacing w:before="80"/>
              <w:ind w:left="216"/>
              <w:rPr>
                <w:rFonts w:ascii="Calibri Light"/>
                <w:b w:val="0"/>
                <w:sz w:val="18"/>
              </w:rPr>
            </w:pPr>
            <w:r>
              <w:rPr>
                <w:rFonts w:ascii="Calibri Light"/>
                <w:b w:val="0"/>
                <w:spacing w:val="-2"/>
                <w:sz w:val="18"/>
              </w:rPr>
              <w:t>2212000</w:t>
            </w:r>
            <w:r>
              <w:rPr>
                <w:rFonts w:ascii="Calibri Light"/>
                <w:b w:val="0"/>
                <w:sz w:val="18"/>
              </w:rPr>
              <w:tab/>
            </w:r>
            <w:r>
              <w:rPr>
                <w:rFonts w:ascii="Calibri Light"/>
                <w:b w:val="0"/>
                <w:spacing w:val="-2"/>
                <w:sz w:val="18"/>
              </w:rPr>
              <w:t>HIGHLINE</w:t>
            </w:r>
          </w:p>
          <w:p>
            <w:pPr>
              <w:pStyle w:val="TableParagraph"/>
              <w:spacing w:before="80"/>
              <w:ind w:left="216"/>
              <w:rPr>
                <w:rFonts w:ascii="Calibri Light"/>
                <w:b w:val="0"/>
                <w:sz w:val="18"/>
              </w:rPr>
            </w:pPr>
            <w:r>
              <w:rPr>
                <w:rFonts w:ascii="Calibri Light"/>
                <w:b w:val="0"/>
                <w:spacing w:val="-2"/>
                <w:sz w:val="18"/>
              </w:rPr>
              <w:t>9400500</w:t>
            </w:r>
          </w:p>
          <w:p>
            <w:pPr>
              <w:pStyle w:val="TableParagraph"/>
              <w:spacing w:before="81"/>
              <w:ind w:left="216"/>
              <w:rPr>
                <w:rFonts w:ascii="Calibri Light"/>
                <w:b w:val="0"/>
                <w:sz w:val="18"/>
              </w:rPr>
            </w:pPr>
            <w:r>
              <w:rPr>
                <w:rFonts w:ascii="Calibri Light"/>
                <w:b w:val="0"/>
                <w:spacing w:val="-2"/>
                <w:sz w:val="18"/>
              </w:rPr>
              <w:t>9400509</w:t>
            </w:r>
          </w:p>
          <w:p>
            <w:pPr>
              <w:pStyle w:val="TableParagraph"/>
              <w:spacing w:before="80"/>
              <w:ind w:left="216"/>
              <w:rPr>
                <w:rFonts w:ascii="Calibri Light"/>
                <w:b w:val="0"/>
                <w:sz w:val="18"/>
              </w:rPr>
            </w:pPr>
            <w:r>
              <w:rPr>
                <w:rFonts w:ascii="Calibri Light"/>
                <w:b w:val="0"/>
                <w:spacing w:val="-2"/>
                <w:sz w:val="18"/>
              </w:rPr>
              <w:t>9400510</w:t>
            </w:r>
          </w:p>
          <w:p>
            <w:pPr>
              <w:pStyle w:val="TableParagraph"/>
              <w:tabs>
                <w:tab w:pos="1276" w:val="left" w:leader="none"/>
              </w:tabs>
              <w:spacing w:before="80"/>
              <w:ind w:left="216"/>
              <w:rPr>
                <w:rFonts w:ascii="Calibri Light"/>
                <w:b w:val="0"/>
                <w:sz w:val="18"/>
              </w:rPr>
            </w:pPr>
            <w:r>
              <w:rPr>
                <w:rFonts w:ascii="Calibri Light"/>
                <w:b w:val="0"/>
                <w:spacing w:val="-2"/>
                <w:sz w:val="18"/>
              </w:rPr>
              <w:t>C2695</w:t>
            </w:r>
            <w:r>
              <w:rPr>
                <w:rFonts w:ascii="Calibri Light"/>
                <w:b w:val="0"/>
                <w:sz w:val="18"/>
              </w:rPr>
              <w:tab/>
              <w:t>MEADOW</w:t>
            </w:r>
            <w:r>
              <w:rPr>
                <w:rFonts w:ascii="Calibri Light"/>
                <w:b w:val="0"/>
                <w:spacing w:val="-2"/>
                <w:sz w:val="18"/>
              </w:rPr>
              <w:t> CREEK/1700</w:t>
            </w:r>
          </w:p>
          <w:p>
            <w:pPr>
              <w:pStyle w:val="TableParagraph"/>
              <w:tabs>
                <w:tab w:pos="1276" w:val="left" w:leader="none"/>
              </w:tabs>
              <w:spacing w:line="328" w:lineRule="auto" w:before="80"/>
              <w:ind w:left="216" w:right="1624"/>
              <w:rPr>
                <w:rFonts w:ascii="Calibri Light"/>
                <w:b w:val="0"/>
                <w:sz w:val="18"/>
              </w:rPr>
            </w:pPr>
            <w:r>
              <w:rPr>
                <w:rFonts w:ascii="Calibri Light"/>
                <w:b w:val="0"/>
                <w:spacing w:val="-2"/>
                <w:sz w:val="18"/>
              </w:rPr>
              <w:t>C2714</w:t>
            </w:r>
            <w:r>
              <w:rPr>
                <w:rFonts w:ascii="Calibri Light"/>
                <w:b w:val="0"/>
                <w:sz w:val="18"/>
              </w:rPr>
              <w:tab/>
              <w:t>SMACKOUT</w:t>
            </w:r>
            <w:r>
              <w:rPr>
                <w:rFonts w:ascii="Calibri Light"/>
                <w:b w:val="0"/>
                <w:spacing w:val="-11"/>
                <w:sz w:val="18"/>
              </w:rPr>
              <w:t> </w:t>
            </w:r>
            <w:r>
              <w:rPr>
                <w:rFonts w:ascii="Calibri Light"/>
                <w:b w:val="0"/>
                <w:sz w:val="18"/>
              </w:rPr>
              <w:t>PASS/1715 </w:t>
            </w:r>
            <w:r>
              <w:rPr>
                <w:rFonts w:ascii="Calibri Light"/>
                <w:b w:val="0"/>
                <w:spacing w:val="-2"/>
                <w:sz w:val="18"/>
              </w:rPr>
              <w:t>C3503</w:t>
            </w:r>
          </w:p>
        </w:tc>
      </w:tr>
      <w:tr>
        <w:trPr>
          <w:trHeight w:val="210" w:hRule="atLeast"/>
        </w:trPr>
        <w:tc>
          <w:tcPr>
            <w:tcW w:w="1157" w:type="dxa"/>
            <w:tcBorders>
              <w:top w:val="nil"/>
              <w:bottom w:val="nil"/>
              <w:right w:val="nil"/>
            </w:tcBorders>
          </w:tcPr>
          <w:p>
            <w:pPr>
              <w:pStyle w:val="TableParagraph"/>
              <w:spacing w:line="191" w:lineRule="exact" w:before="0"/>
              <w:ind w:left="215"/>
              <w:rPr>
                <w:rFonts w:ascii="Calibri Light"/>
                <w:b w:val="0"/>
                <w:sz w:val="18"/>
              </w:rPr>
            </w:pPr>
            <w:r>
              <w:rPr>
                <w:rFonts w:ascii="Calibri Light"/>
                <w:b w:val="0"/>
                <w:spacing w:val="-2"/>
                <w:sz w:val="18"/>
              </w:rPr>
              <w:t>C2975</w:t>
            </w:r>
          </w:p>
        </w:tc>
        <w:tc>
          <w:tcPr>
            <w:tcW w:w="3614" w:type="dxa"/>
            <w:tcBorders>
              <w:top w:val="nil"/>
              <w:left w:val="nil"/>
              <w:bottom w:val="nil"/>
            </w:tcBorders>
          </w:tcPr>
          <w:p>
            <w:pPr>
              <w:pStyle w:val="TableParagraph"/>
              <w:spacing w:before="0"/>
              <w:rPr>
                <w:rFonts w:ascii="Times New Roman"/>
                <w:sz w:val="14"/>
              </w:rPr>
            </w:pPr>
          </w:p>
        </w:tc>
        <w:tc>
          <w:tcPr>
            <w:tcW w:w="4579" w:type="dxa"/>
            <w:vMerge/>
            <w:tcBorders>
              <w:top w:val="nil"/>
            </w:tcBorders>
          </w:tcPr>
          <w:p>
            <w:pPr>
              <w:rPr>
                <w:sz w:val="2"/>
                <w:szCs w:val="2"/>
              </w:rPr>
            </w:pPr>
          </w:p>
        </w:tc>
      </w:tr>
      <w:tr>
        <w:trPr>
          <w:trHeight w:val="209" w:hRule="atLeast"/>
        </w:trPr>
        <w:tc>
          <w:tcPr>
            <w:tcW w:w="1157" w:type="dxa"/>
            <w:tcBorders>
              <w:top w:val="nil"/>
              <w:bottom w:val="nil"/>
              <w:right w:val="nil"/>
            </w:tcBorders>
          </w:tcPr>
          <w:p>
            <w:pPr>
              <w:pStyle w:val="TableParagraph"/>
              <w:spacing w:line="190" w:lineRule="exact" w:before="0"/>
              <w:ind w:left="215"/>
              <w:rPr>
                <w:rFonts w:ascii="Calibri Light"/>
                <w:b w:val="0"/>
                <w:sz w:val="18"/>
              </w:rPr>
            </w:pPr>
            <w:r>
              <w:rPr>
                <w:rFonts w:ascii="Calibri Light"/>
                <w:b w:val="0"/>
                <w:spacing w:val="-2"/>
                <w:sz w:val="18"/>
              </w:rPr>
              <w:t>C9345</w:t>
            </w:r>
          </w:p>
        </w:tc>
        <w:tc>
          <w:tcPr>
            <w:tcW w:w="3614" w:type="dxa"/>
            <w:tcBorders>
              <w:top w:val="nil"/>
              <w:left w:val="nil"/>
              <w:bottom w:val="nil"/>
            </w:tcBorders>
          </w:tcPr>
          <w:p>
            <w:pPr>
              <w:pStyle w:val="TableParagraph"/>
              <w:spacing w:before="0"/>
              <w:rPr>
                <w:rFonts w:ascii="Times New Roman"/>
                <w:sz w:val="14"/>
              </w:rPr>
            </w:pPr>
          </w:p>
        </w:tc>
        <w:tc>
          <w:tcPr>
            <w:tcW w:w="4579" w:type="dxa"/>
            <w:vMerge/>
            <w:tcBorders>
              <w:top w:val="nil"/>
            </w:tcBorders>
          </w:tcPr>
          <w:p>
            <w:pPr>
              <w:rPr>
                <w:sz w:val="2"/>
                <w:szCs w:val="2"/>
              </w:rPr>
            </w:pPr>
          </w:p>
        </w:tc>
      </w:tr>
      <w:tr>
        <w:trPr>
          <w:trHeight w:val="249" w:hRule="atLeast"/>
        </w:trPr>
        <w:tc>
          <w:tcPr>
            <w:tcW w:w="1157" w:type="dxa"/>
            <w:tcBorders>
              <w:top w:val="nil"/>
              <w:bottom w:val="nil"/>
              <w:right w:val="nil"/>
            </w:tcBorders>
          </w:tcPr>
          <w:p>
            <w:pPr>
              <w:pStyle w:val="TableParagraph"/>
              <w:spacing w:line="198" w:lineRule="exact" w:before="0"/>
              <w:ind w:left="215"/>
              <w:rPr>
                <w:rFonts w:ascii="Calibri Light"/>
                <w:b w:val="0"/>
                <w:sz w:val="18"/>
              </w:rPr>
            </w:pPr>
            <w:r>
              <w:rPr>
                <w:rFonts w:ascii="Calibri Light"/>
                <w:b w:val="0"/>
                <w:spacing w:val="-2"/>
                <w:sz w:val="18"/>
              </w:rPr>
              <w:t>3310135</w:t>
            </w:r>
          </w:p>
        </w:tc>
        <w:tc>
          <w:tcPr>
            <w:tcW w:w="3614" w:type="dxa"/>
            <w:tcBorders>
              <w:top w:val="nil"/>
              <w:left w:val="nil"/>
              <w:bottom w:val="nil"/>
            </w:tcBorders>
          </w:tcPr>
          <w:p>
            <w:pPr>
              <w:pStyle w:val="TableParagraph"/>
              <w:spacing w:line="198" w:lineRule="exact" w:before="0"/>
              <w:ind w:left="306"/>
              <w:rPr>
                <w:rFonts w:ascii="Calibri Light"/>
                <w:b w:val="0"/>
                <w:sz w:val="18"/>
              </w:rPr>
            </w:pPr>
            <w:r>
              <w:rPr>
                <w:rFonts w:ascii="Calibri Light"/>
                <w:b w:val="0"/>
                <w:sz w:val="18"/>
              </w:rPr>
              <w:t>EDGEWATER</w:t>
            </w:r>
            <w:r>
              <w:rPr>
                <w:rFonts w:ascii="Calibri Light"/>
                <w:b w:val="0"/>
                <w:spacing w:val="-4"/>
                <w:sz w:val="18"/>
              </w:rPr>
              <w:t> </w:t>
            </w:r>
            <w:r>
              <w:rPr>
                <w:rFonts w:ascii="Calibri Light"/>
                <w:b w:val="0"/>
                <w:sz w:val="18"/>
              </w:rPr>
              <w:t>CAMP</w:t>
            </w:r>
            <w:r>
              <w:rPr>
                <w:rFonts w:ascii="Calibri Light"/>
                <w:b w:val="0"/>
                <w:spacing w:val="-4"/>
                <w:sz w:val="18"/>
              </w:rPr>
              <w:t> </w:t>
            </w:r>
            <w:r>
              <w:rPr>
                <w:rFonts w:ascii="Calibri Light"/>
                <w:b w:val="0"/>
                <w:sz w:val="18"/>
              </w:rPr>
              <w:t>BOAT</w:t>
            </w:r>
            <w:r>
              <w:rPr>
                <w:rFonts w:ascii="Calibri Light"/>
                <w:b w:val="0"/>
                <w:spacing w:val="-3"/>
                <w:sz w:val="18"/>
              </w:rPr>
              <w:t> </w:t>
            </w:r>
            <w:r>
              <w:rPr>
                <w:rFonts w:ascii="Calibri Light"/>
                <w:b w:val="0"/>
                <w:spacing w:val="-2"/>
                <w:sz w:val="18"/>
              </w:rPr>
              <w:t>LAUNCH</w:t>
            </w:r>
          </w:p>
        </w:tc>
        <w:tc>
          <w:tcPr>
            <w:tcW w:w="4579" w:type="dxa"/>
            <w:vMerge/>
            <w:tcBorders>
              <w:top w:val="nil"/>
            </w:tcBorders>
          </w:tcPr>
          <w:p>
            <w:pPr>
              <w:rPr>
                <w:sz w:val="2"/>
                <w:szCs w:val="2"/>
              </w:rPr>
            </w:pPr>
          </w:p>
        </w:tc>
      </w:tr>
      <w:tr>
        <w:trPr>
          <w:trHeight w:val="289"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3310130</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EDGEWATER</w:t>
            </w:r>
            <w:r>
              <w:rPr>
                <w:rFonts w:ascii="Calibri Light"/>
                <w:b w:val="0"/>
                <w:spacing w:val="-3"/>
                <w:sz w:val="18"/>
              </w:rPr>
              <w:t> </w:t>
            </w:r>
            <w:r>
              <w:rPr>
                <w:rFonts w:ascii="Calibri Light"/>
                <w:b w:val="0"/>
                <w:spacing w:val="-2"/>
                <w:sz w:val="18"/>
              </w:rPr>
              <w:t>CAMPGROUND</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C9325</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LE</w:t>
            </w:r>
            <w:r>
              <w:rPr>
                <w:rFonts w:ascii="Calibri Light"/>
                <w:b w:val="0"/>
                <w:spacing w:val="-2"/>
                <w:sz w:val="18"/>
              </w:rPr>
              <w:t> </w:t>
            </w:r>
            <w:r>
              <w:rPr>
                <w:rFonts w:ascii="Calibri Light"/>
                <w:b w:val="0"/>
                <w:sz w:val="18"/>
              </w:rPr>
              <w:t>CLERC</w:t>
            </w:r>
            <w:r>
              <w:rPr>
                <w:rFonts w:ascii="Calibri Light"/>
                <w:b w:val="0"/>
                <w:spacing w:val="-3"/>
                <w:sz w:val="18"/>
              </w:rPr>
              <w:t> </w:t>
            </w:r>
            <w:r>
              <w:rPr>
                <w:rFonts w:ascii="Calibri Light"/>
                <w:b w:val="0"/>
                <w:spacing w:val="-2"/>
                <w:sz w:val="18"/>
              </w:rPr>
              <w:t>(NORTH)</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2200236</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MILL</w:t>
            </w:r>
            <w:r>
              <w:rPr>
                <w:rFonts w:ascii="Calibri Light"/>
                <w:b w:val="0"/>
                <w:spacing w:val="-2"/>
                <w:sz w:val="18"/>
              </w:rPr>
              <w:t> </w:t>
            </w:r>
            <w:r>
              <w:rPr>
                <w:rFonts w:ascii="Calibri Light"/>
                <w:b w:val="0"/>
                <w:sz w:val="18"/>
              </w:rPr>
              <w:t>POND -</w:t>
            </w:r>
            <w:r>
              <w:rPr>
                <w:rFonts w:ascii="Calibri Light"/>
                <w:b w:val="0"/>
                <w:spacing w:val="-1"/>
                <w:sz w:val="18"/>
              </w:rPr>
              <w:t> </w:t>
            </w:r>
            <w:r>
              <w:rPr>
                <w:rFonts w:ascii="Calibri Light"/>
                <w:b w:val="0"/>
                <w:spacing w:val="-2"/>
                <w:sz w:val="18"/>
              </w:rPr>
              <w:t>ADMIN</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2200233</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MILL</w:t>
            </w:r>
            <w:r>
              <w:rPr>
                <w:rFonts w:ascii="Calibri Light"/>
                <w:b w:val="0"/>
                <w:spacing w:val="-3"/>
                <w:sz w:val="18"/>
              </w:rPr>
              <w:t> </w:t>
            </w:r>
            <w:r>
              <w:rPr>
                <w:rFonts w:ascii="Calibri Light"/>
                <w:b w:val="0"/>
                <w:sz w:val="18"/>
              </w:rPr>
              <w:t>POND </w:t>
            </w:r>
            <w:r>
              <w:rPr>
                <w:rFonts w:ascii="Calibri Light"/>
                <w:b w:val="0"/>
                <w:spacing w:val="-2"/>
                <w:sz w:val="18"/>
              </w:rPr>
              <w:t>CAMPGROUND</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3300036</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4"/>
                <w:sz w:val="18"/>
              </w:rPr>
              <w:t> </w:t>
            </w:r>
            <w:r>
              <w:rPr>
                <w:rFonts w:ascii="Calibri Light"/>
                <w:b w:val="0"/>
                <w:sz w:val="18"/>
              </w:rPr>
              <w:t>CAMPGOUND</w:t>
            </w:r>
            <w:r>
              <w:rPr>
                <w:rFonts w:ascii="Calibri Light"/>
                <w:b w:val="0"/>
                <w:spacing w:val="-2"/>
                <w:sz w:val="18"/>
              </w:rPr>
              <w:t> </w:t>
            </w:r>
            <w:r>
              <w:rPr>
                <w:rFonts w:ascii="Calibri Light"/>
                <w:b w:val="0"/>
                <w:sz w:val="18"/>
              </w:rPr>
              <w:t>/</w:t>
            </w:r>
            <w:r>
              <w:rPr>
                <w:rFonts w:ascii="Calibri Light"/>
                <w:b w:val="0"/>
                <w:spacing w:val="-3"/>
                <w:sz w:val="18"/>
              </w:rPr>
              <w:t> </w:t>
            </w:r>
            <w:r>
              <w:rPr>
                <w:rFonts w:ascii="Calibri Light"/>
                <w:b w:val="0"/>
                <w:sz w:val="18"/>
              </w:rPr>
              <w:t>SHEEP</w:t>
            </w:r>
            <w:r>
              <w:rPr>
                <w:rFonts w:ascii="Calibri Light"/>
                <w:b w:val="0"/>
                <w:spacing w:val="-2"/>
                <w:sz w:val="18"/>
              </w:rPr>
              <w:t> FEEDER</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3300040</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6"/>
                <w:sz w:val="18"/>
              </w:rPr>
              <w:t> </w:t>
            </w:r>
            <w:r>
              <w:rPr>
                <w:rFonts w:ascii="Calibri Light"/>
                <w:b w:val="0"/>
                <w:sz w:val="18"/>
              </w:rPr>
              <w:t>CAMPGOUND/SHEEP</w:t>
            </w:r>
            <w:r>
              <w:rPr>
                <w:rFonts w:ascii="Calibri Light"/>
                <w:b w:val="0"/>
                <w:spacing w:val="-5"/>
                <w:sz w:val="18"/>
              </w:rPr>
              <w:t> </w:t>
            </w:r>
            <w:r>
              <w:rPr>
                <w:rFonts w:ascii="Calibri Light"/>
                <w:b w:val="0"/>
                <w:spacing w:val="-2"/>
                <w:sz w:val="18"/>
              </w:rPr>
              <w:t>FEEDER</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3300045</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6"/>
                <w:sz w:val="18"/>
              </w:rPr>
              <w:t> </w:t>
            </w:r>
            <w:r>
              <w:rPr>
                <w:rFonts w:ascii="Calibri Light"/>
                <w:b w:val="0"/>
                <w:sz w:val="18"/>
              </w:rPr>
              <w:t>CAMPGROUND</w:t>
            </w:r>
            <w:r>
              <w:rPr>
                <w:rFonts w:ascii="Calibri Light"/>
                <w:b w:val="0"/>
                <w:spacing w:val="-2"/>
                <w:sz w:val="18"/>
              </w:rPr>
              <w:t> </w:t>
            </w:r>
            <w:r>
              <w:rPr>
                <w:rFonts w:ascii="Calibri Light"/>
                <w:b w:val="0"/>
                <w:sz w:val="18"/>
              </w:rPr>
              <w:t>NE</w:t>
            </w:r>
            <w:r>
              <w:rPr>
                <w:rFonts w:ascii="Calibri Light"/>
                <w:b w:val="0"/>
                <w:spacing w:val="-2"/>
                <w:sz w:val="18"/>
              </w:rPr>
              <w:t> </w:t>
            </w:r>
            <w:r>
              <w:rPr>
                <w:rFonts w:ascii="Calibri Light"/>
                <w:b w:val="0"/>
                <w:spacing w:val="-4"/>
                <w:sz w:val="18"/>
              </w:rPr>
              <w:t>LOOP</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3300047</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5"/>
                <w:sz w:val="18"/>
              </w:rPr>
              <w:t> </w:t>
            </w:r>
            <w:r>
              <w:rPr>
                <w:rFonts w:ascii="Calibri Light"/>
                <w:b w:val="0"/>
                <w:sz w:val="18"/>
              </w:rPr>
              <w:t>CAMPGROUND</w:t>
            </w:r>
            <w:r>
              <w:rPr>
                <w:rFonts w:ascii="Calibri Light"/>
                <w:b w:val="0"/>
                <w:spacing w:val="-1"/>
                <w:sz w:val="18"/>
              </w:rPr>
              <w:t> </w:t>
            </w:r>
            <w:r>
              <w:rPr>
                <w:rFonts w:ascii="Calibri Light"/>
                <w:b w:val="0"/>
                <w:sz w:val="18"/>
              </w:rPr>
              <w:t>SE</w:t>
            </w:r>
            <w:r>
              <w:rPr>
                <w:rFonts w:ascii="Calibri Light"/>
                <w:b w:val="0"/>
                <w:spacing w:val="37"/>
                <w:sz w:val="18"/>
              </w:rPr>
              <w:t> </w:t>
            </w:r>
            <w:r>
              <w:rPr>
                <w:rFonts w:ascii="Calibri Light"/>
                <w:b w:val="0"/>
                <w:spacing w:val="-4"/>
                <w:sz w:val="18"/>
              </w:rPr>
              <w:t>LOOP</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3300035</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3"/>
                <w:sz w:val="18"/>
              </w:rPr>
              <w:t> </w:t>
            </w:r>
            <w:r>
              <w:rPr>
                <w:rFonts w:ascii="Calibri Light"/>
                <w:b w:val="0"/>
                <w:sz w:val="18"/>
              </w:rPr>
              <w:t>CREEK</w:t>
            </w:r>
            <w:r>
              <w:rPr>
                <w:rFonts w:ascii="Calibri Light"/>
                <w:b w:val="0"/>
                <w:spacing w:val="-1"/>
                <w:sz w:val="18"/>
              </w:rPr>
              <w:t> </w:t>
            </w:r>
            <w:r>
              <w:rPr>
                <w:rFonts w:ascii="Calibri Light"/>
                <w:b w:val="0"/>
                <w:spacing w:val="-2"/>
                <w:sz w:val="18"/>
              </w:rPr>
              <w:t>CAMPGROUND</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3300032</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NOISY</w:t>
            </w:r>
            <w:r>
              <w:rPr>
                <w:rFonts w:ascii="Calibri Light"/>
                <w:b w:val="0"/>
                <w:spacing w:val="-5"/>
                <w:sz w:val="18"/>
              </w:rPr>
              <w:t> </w:t>
            </w:r>
            <w:r>
              <w:rPr>
                <w:rFonts w:ascii="Calibri Light"/>
                <w:b w:val="0"/>
                <w:sz w:val="18"/>
              </w:rPr>
              <w:t>GROUP</w:t>
            </w:r>
            <w:r>
              <w:rPr>
                <w:rFonts w:ascii="Calibri Light"/>
                <w:b w:val="0"/>
                <w:spacing w:val="-2"/>
                <w:sz w:val="18"/>
              </w:rPr>
              <w:t> </w:t>
            </w:r>
            <w:r>
              <w:rPr>
                <w:rFonts w:ascii="Calibri Light"/>
                <w:b w:val="0"/>
                <w:sz w:val="18"/>
              </w:rPr>
              <w:t>CAMP</w:t>
            </w:r>
            <w:r>
              <w:rPr>
                <w:rFonts w:ascii="Calibri Light"/>
                <w:b w:val="0"/>
                <w:spacing w:val="-3"/>
                <w:sz w:val="18"/>
              </w:rPr>
              <w:t> </w:t>
            </w:r>
            <w:r>
              <w:rPr>
                <w:rFonts w:ascii="Calibri Light"/>
                <w:b w:val="0"/>
                <w:sz w:val="18"/>
              </w:rPr>
              <w:t>-</w:t>
            </w:r>
            <w:r>
              <w:rPr>
                <w:rFonts w:ascii="Calibri Light"/>
                <w:b w:val="0"/>
                <w:spacing w:val="-1"/>
                <w:sz w:val="18"/>
              </w:rPr>
              <w:t> </w:t>
            </w:r>
            <w:r>
              <w:rPr>
                <w:rFonts w:ascii="Calibri Light"/>
                <w:b w:val="0"/>
                <w:spacing w:val="-4"/>
                <w:sz w:val="18"/>
              </w:rPr>
              <w:t>ADMIN</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2200000</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pacing w:val="-2"/>
                <w:sz w:val="18"/>
              </w:rPr>
              <w:t>NORDMAN-METALINE</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2220270</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SALMO</w:t>
            </w:r>
            <w:r>
              <w:rPr>
                <w:rFonts w:ascii="Calibri Light"/>
                <w:b w:val="0"/>
                <w:spacing w:val="-4"/>
                <w:sz w:val="18"/>
              </w:rPr>
              <w:t> </w:t>
            </w:r>
            <w:r>
              <w:rPr>
                <w:rFonts w:ascii="Calibri Light"/>
                <w:b w:val="0"/>
                <w:spacing w:val="-2"/>
                <w:sz w:val="18"/>
              </w:rPr>
              <w:t>LOOKOUT</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WA-</w:t>
            </w:r>
            <w:r>
              <w:rPr>
                <w:rFonts w:ascii="Calibri Light"/>
                <w:b w:val="0"/>
                <w:spacing w:val="-7"/>
                <w:sz w:val="18"/>
              </w:rPr>
              <w:t>20</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STATE</w:t>
            </w:r>
            <w:r>
              <w:rPr>
                <w:rFonts w:ascii="Calibri Light"/>
                <w:b w:val="0"/>
                <w:spacing w:val="-3"/>
                <w:sz w:val="18"/>
              </w:rPr>
              <w:t> </w:t>
            </w:r>
            <w:r>
              <w:rPr>
                <w:rFonts w:ascii="Calibri Light"/>
                <w:b w:val="0"/>
                <w:sz w:val="18"/>
              </w:rPr>
              <w:t>ROUTE</w:t>
            </w:r>
            <w:r>
              <w:rPr>
                <w:rFonts w:ascii="Calibri Light"/>
                <w:b w:val="0"/>
                <w:spacing w:val="-2"/>
                <w:sz w:val="18"/>
              </w:rPr>
              <w:t> 20/2000</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WA-</w:t>
            </w:r>
            <w:r>
              <w:rPr>
                <w:rFonts w:ascii="Calibri Light"/>
                <w:b w:val="0"/>
                <w:spacing w:val="-7"/>
                <w:sz w:val="18"/>
              </w:rPr>
              <w:t>31</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STATE</w:t>
            </w:r>
            <w:r>
              <w:rPr>
                <w:rFonts w:ascii="Calibri Light"/>
                <w:b w:val="0"/>
                <w:spacing w:val="-3"/>
                <w:sz w:val="18"/>
              </w:rPr>
              <w:t> </w:t>
            </w:r>
            <w:r>
              <w:rPr>
                <w:rFonts w:ascii="Calibri Light"/>
                <w:b w:val="0"/>
                <w:sz w:val="18"/>
              </w:rPr>
              <w:t>ROUTE</w:t>
            </w:r>
            <w:r>
              <w:rPr>
                <w:rFonts w:ascii="Calibri Light"/>
                <w:b w:val="0"/>
                <w:spacing w:val="-2"/>
                <w:sz w:val="18"/>
              </w:rPr>
              <w:t> </w:t>
            </w:r>
            <w:r>
              <w:rPr>
                <w:rFonts w:ascii="Calibri Light"/>
                <w:b w:val="0"/>
                <w:spacing w:val="-5"/>
                <w:sz w:val="18"/>
              </w:rPr>
              <w:t>31</w:t>
            </w:r>
          </w:p>
        </w:tc>
        <w:tc>
          <w:tcPr>
            <w:tcW w:w="4579" w:type="dxa"/>
            <w:vMerge/>
            <w:tcBorders>
              <w:top w:val="nil"/>
            </w:tcBorders>
          </w:tcPr>
          <w:p>
            <w:pPr>
              <w:rPr>
                <w:sz w:val="2"/>
                <w:szCs w:val="2"/>
              </w:rPr>
            </w:pPr>
          </w:p>
        </w:tc>
      </w:tr>
      <w:tr>
        <w:trPr>
          <w:trHeight w:val="250" w:hRule="atLeast"/>
        </w:trPr>
        <w:tc>
          <w:tcPr>
            <w:tcW w:w="1157" w:type="dxa"/>
            <w:tcBorders>
              <w:top w:val="nil"/>
              <w:bottom w:val="nil"/>
              <w:right w:val="nil"/>
            </w:tcBorders>
          </w:tcPr>
          <w:p>
            <w:pPr>
              <w:pStyle w:val="TableParagraph"/>
              <w:spacing w:line="212" w:lineRule="exact" w:before="18"/>
              <w:ind w:left="215"/>
              <w:rPr>
                <w:rFonts w:ascii="Calibri Light"/>
                <w:b w:val="0"/>
                <w:sz w:val="18"/>
              </w:rPr>
            </w:pPr>
            <w:r>
              <w:rPr>
                <w:rFonts w:ascii="Calibri Light"/>
                <w:b w:val="0"/>
                <w:spacing w:val="-2"/>
                <w:sz w:val="18"/>
              </w:rPr>
              <w:t>3300232</w:t>
            </w:r>
          </w:p>
        </w:tc>
        <w:tc>
          <w:tcPr>
            <w:tcW w:w="3614" w:type="dxa"/>
            <w:tcBorders>
              <w:top w:val="nil"/>
              <w:left w:val="nil"/>
              <w:bottom w:val="nil"/>
            </w:tcBorders>
          </w:tcPr>
          <w:p>
            <w:pPr>
              <w:pStyle w:val="TableParagraph"/>
              <w:spacing w:line="212" w:lineRule="exact" w:before="18"/>
              <w:ind w:left="306"/>
              <w:rPr>
                <w:rFonts w:ascii="Calibri Light"/>
                <w:b w:val="0"/>
                <w:sz w:val="18"/>
              </w:rPr>
            </w:pPr>
            <w:r>
              <w:rPr>
                <w:rFonts w:ascii="Calibri Light"/>
                <w:b w:val="0"/>
                <w:sz w:val="18"/>
              </w:rPr>
              <w:t>SULLIVAN</w:t>
            </w:r>
            <w:r>
              <w:rPr>
                <w:rFonts w:ascii="Calibri Light"/>
                <w:b w:val="0"/>
                <w:spacing w:val="-7"/>
                <w:sz w:val="18"/>
              </w:rPr>
              <w:t> </w:t>
            </w:r>
            <w:r>
              <w:rPr>
                <w:rFonts w:ascii="Calibri Light"/>
                <w:b w:val="0"/>
                <w:sz w:val="18"/>
              </w:rPr>
              <w:t>CAMPGROUND</w:t>
            </w:r>
            <w:r>
              <w:rPr>
                <w:rFonts w:ascii="Calibri Light"/>
                <w:b w:val="0"/>
                <w:spacing w:val="-4"/>
                <w:sz w:val="18"/>
              </w:rPr>
              <w:t> WEST</w:t>
            </w:r>
          </w:p>
        </w:tc>
        <w:tc>
          <w:tcPr>
            <w:tcW w:w="4579" w:type="dxa"/>
            <w:vMerge/>
            <w:tcBorders>
              <w:top w:val="nil"/>
            </w:tcBorders>
          </w:tcPr>
          <w:p>
            <w:pPr>
              <w:rPr>
                <w:sz w:val="2"/>
                <w:szCs w:val="2"/>
              </w:rPr>
            </w:pPr>
          </w:p>
        </w:tc>
      </w:tr>
      <w:tr>
        <w:trPr>
          <w:trHeight w:val="209" w:hRule="atLeast"/>
        </w:trPr>
        <w:tc>
          <w:tcPr>
            <w:tcW w:w="1157" w:type="dxa"/>
            <w:tcBorders>
              <w:top w:val="nil"/>
              <w:bottom w:val="nil"/>
              <w:right w:val="nil"/>
            </w:tcBorders>
          </w:tcPr>
          <w:p>
            <w:pPr>
              <w:pStyle w:val="TableParagraph"/>
              <w:spacing w:line="190" w:lineRule="exact" w:before="0"/>
              <w:ind w:left="215"/>
              <w:rPr>
                <w:rFonts w:ascii="Calibri Light"/>
                <w:b w:val="0"/>
                <w:sz w:val="18"/>
              </w:rPr>
            </w:pPr>
            <w:r>
              <w:rPr>
                <w:rFonts w:ascii="Calibri Light"/>
                <w:b w:val="0"/>
                <w:spacing w:val="-2"/>
                <w:sz w:val="18"/>
              </w:rPr>
              <w:t>2200248</w:t>
            </w:r>
          </w:p>
        </w:tc>
        <w:tc>
          <w:tcPr>
            <w:tcW w:w="3614" w:type="dxa"/>
            <w:tcBorders>
              <w:top w:val="nil"/>
              <w:left w:val="nil"/>
              <w:bottom w:val="nil"/>
            </w:tcBorders>
          </w:tcPr>
          <w:p>
            <w:pPr>
              <w:pStyle w:val="TableParagraph"/>
              <w:spacing w:line="190" w:lineRule="exact" w:before="0"/>
              <w:ind w:left="306"/>
              <w:rPr>
                <w:rFonts w:ascii="Calibri Light"/>
                <w:b w:val="0"/>
                <w:sz w:val="18"/>
              </w:rPr>
            </w:pPr>
            <w:r>
              <w:rPr>
                <w:rFonts w:ascii="Calibri Light"/>
                <w:b w:val="0"/>
                <w:sz w:val="18"/>
              </w:rPr>
              <w:t>SULLIVAN</w:t>
            </w:r>
            <w:r>
              <w:rPr>
                <w:rFonts w:ascii="Calibri Light"/>
                <w:b w:val="0"/>
                <w:spacing w:val="-3"/>
                <w:sz w:val="18"/>
              </w:rPr>
              <w:t> </w:t>
            </w:r>
            <w:r>
              <w:rPr>
                <w:rFonts w:ascii="Calibri Light"/>
                <w:b w:val="0"/>
                <w:sz w:val="18"/>
              </w:rPr>
              <w:t>GROUP</w:t>
            </w:r>
            <w:r>
              <w:rPr>
                <w:rFonts w:ascii="Calibri Light"/>
                <w:b w:val="0"/>
                <w:spacing w:val="-2"/>
                <w:sz w:val="18"/>
              </w:rPr>
              <w:t> </w:t>
            </w:r>
            <w:r>
              <w:rPr>
                <w:rFonts w:ascii="Calibri Light"/>
                <w:b w:val="0"/>
                <w:sz w:val="18"/>
              </w:rPr>
              <w:t>CAMP</w:t>
            </w:r>
            <w:r>
              <w:rPr>
                <w:rFonts w:ascii="Calibri Light"/>
                <w:b w:val="0"/>
                <w:spacing w:val="-3"/>
                <w:sz w:val="18"/>
              </w:rPr>
              <w:t> </w:t>
            </w:r>
            <w:r>
              <w:rPr>
                <w:rFonts w:ascii="Calibri Light"/>
                <w:b w:val="0"/>
                <w:sz w:val="18"/>
              </w:rPr>
              <w:t>-</w:t>
            </w:r>
            <w:r>
              <w:rPr>
                <w:rFonts w:ascii="Calibri Light"/>
                <w:b w:val="0"/>
                <w:spacing w:val="-2"/>
                <w:sz w:val="18"/>
              </w:rPr>
              <w:t> </w:t>
            </w:r>
            <w:r>
              <w:rPr>
                <w:rFonts w:ascii="Calibri Light"/>
                <w:b w:val="0"/>
                <w:spacing w:val="-4"/>
                <w:sz w:val="18"/>
              </w:rPr>
              <w:t>ADMIN</w:t>
            </w:r>
          </w:p>
        </w:tc>
        <w:tc>
          <w:tcPr>
            <w:tcW w:w="4579" w:type="dxa"/>
            <w:vMerge/>
            <w:tcBorders>
              <w:top w:val="nil"/>
            </w:tcBorders>
          </w:tcPr>
          <w:p>
            <w:pPr>
              <w:rPr>
                <w:sz w:val="2"/>
                <w:szCs w:val="2"/>
              </w:rPr>
            </w:pPr>
          </w:p>
        </w:tc>
      </w:tr>
      <w:tr>
        <w:trPr>
          <w:trHeight w:val="209" w:hRule="atLeast"/>
        </w:trPr>
        <w:tc>
          <w:tcPr>
            <w:tcW w:w="1157" w:type="dxa"/>
            <w:tcBorders>
              <w:top w:val="nil"/>
              <w:bottom w:val="nil"/>
              <w:right w:val="nil"/>
            </w:tcBorders>
          </w:tcPr>
          <w:p>
            <w:pPr>
              <w:pStyle w:val="TableParagraph"/>
              <w:spacing w:line="190" w:lineRule="exact" w:before="0"/>
              <w:ind w:left="215"/>
              <w:rPr>
                <w:rFonts w:ascii="Calibri Light"/>
                <w:b w:val="0"/>
                <w:sz w:val="18"/>
              </w:rPr>
            </w:pPr>
            <w:r>
              <w:rPr>
                <w:rFonts w:ascii="Calibri Light"/>
                <w:b w:val="0"/>
                <w:spacing w:val="-2"/>
                <w:sz w:val="18"/>
              </w:rPr>
              <w:t>2200241</w:t>
            </w:r>
          </w:p>
        </w:tc>
        <w:tc>
          <w:tcPr>
            <w:tcW w:w="3614" w:type="dxa"/>
            <w:tcBorders>
              <w:top w:val="nil"/>
              <w:left w:val="nil"/>
              <w:bottom w:val="nil"/>
            </w:tcBorders>
          </w:tcPr>
          <w:p>
            <w:pPr>
              <w:pStyle w:val="TableParagraph"/>
              <w:spacing w:line="190" w:lineRule="exact" w:before="0"/>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LAKE</w:t>
            </w:r>
            <w:r>
              <w:rPr>
                <w:rFonts w:ascii="Calibri Light"/>
                <w:b w:val="0"/>
                <w:spacing w:val="-4"/>
                <w:sz w:val="18"/>
              </w:rPr>
              <w:t> </w:t>
            </w:r>
            <w:r>
              <w:rPr>
                <w:rFonts w:ascii="Calibri Light"/>
                <w:b w:val="0"/>
                <w:spacing w:val="-2"/>
                <w:sz w:val="18"/>
              </w:rPr>
              <w:t>CAMPGROUND</w:t>
            </w:r>
          </w:p>
        </w:tc>
        <w:tc>
          <w:tcPr>
            <w:tcW w:w="4579" w:type="dxa"/>
            <w:vMerge/>
            <w:tcBorders>
              <w:top w:val="nil"/>
            </w:tcBorders>
          </w:tcPr>
          <w:p>
            <w:pPr>
              <w:rPr>
                <w:sz w:val="2"/>
                <w:szCs w:val="2"/>
              </w:rPr>
            </w:pPr>
          </w:p>
        </w:tc>
      </w:tr>
      <w:tr>
        <w:trPr>
          <w:trHeight w:val="209" w:hRule="atLeast"/>
        </w:trPr>
        <w:tc>
          <w:tcPr>
            <w:tcW w:w="1157" w:type="dxa"/>
            <w:tcBorders>
              <w:top w:val="nil"/>
              <w:bottom w:val="nil"/>
              <w:right w:val="nil"/>
            </w:tcBorders>
          </w:tcPr>
          <w:p>
            <w:pPr>
              <w:pStyle w:val="TableParagraph"/>
              <w:spacing w:line="190" w:lineRule="exact" w:before="0"/>
              <w:ind w:left="215"/>
              <w:rPr>
                <w:rFonts w:ascii="Calibri Light"/>
                <w:b w:val="0"/>
                <w:sz w:val="18"/>
              </w:rPr>
            </w:pPr>
            <w:r>
              <w:rPr>
                <w:rFonts w:ascii="Calibri Light"/>
                <w:b w:val="0"/>
                <w:spacing w:val="-2"/>
                <w:sz w:val="18"/>
              </w:rPr>
              <w:t>2200247</w:t>
            </w:r>
          </w:p>
        </w:tc>
        <w:tc>
          <w:tcPr>
            <w:tcW w:w="3614" w:type="dxa"/>
            <w:tcBorders>
              <w:top w:val="nil"/>
              <w:left w:val="nil"/>
              <w:bottom w:val="nil"/>
            </w:tcBorders>
          </w:tcPr>
          <w:p>
            <w:pPr>
              <w:pStyle w:val="TableParagraph"/>
              <w:spacing w:line="190" w:lineRule="exact" w:before="0"/>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LAKE</w:t>
            </w:r>
            <w:r>
              <w:rPr>
                <w:rFonts w:ascii="Calibri Light"/>
                <w:b w:val="0"/>
                <w:spacing w:val="-4"/>
                <w:sz w:val="18"/>
              </w:rPr>
              <w:t> </w:t>
            </w:r>
            <w:r>
              <w:rPr>
                <w:rFonts w:ascii="Calibri Light"/>
                <w:b w:val="0"/>
                <w:spacing w:val="-2"/>
                <w:sz w:val="18"/>
              </w:rPr>
              <w:t>CAMPGROUND</w:t>
            </w:r>
          </w:p>
        </w:tc>
        <w:tc>
          <w:tcPr>
            <w:tcW w:w="4579" w:type="dxa"/>
            <w:vMerge/>
            <w:tcBorders>
              <w:top w:val="nil"/>
            </w:tcBorders>
          </w:tcPr>
          <w:p>
            <w:pPr>
              <w:rPr>
                <w:sz w:val="2"/>
                <w:szCs w:val="2"/>
              </w:rPr>
            </w:pPr>
          </w:p>
        </w:tc>
      </w:tr>
      <w:tr>
        <w:trPr>
          <w:trHeight w:val="249" w:hRule="atLeast"/>
        </w:trPr>
        <w:tc>
          <w:tcPr>
            <w:tcW w:w="1157" w:type="dxa"/>
            <w:tcBorders>
              <w:top w:val="nil"/>
              <w:bottom w:val="nil"/>
              <w:right w:val="nil"/>
            </w:tcBorders>
          </w:tcPr>
          <w:p>
            <w:pPr>
              <w:pStyle w:val="TableParagraph"/>
              <w:spacing w:line="198" w:lineRule="exact" w:before="0"/>
              <w:ind w:left="215"/>
              <w:rPr>
                <w:rFonts w:ascii="Calibri Light"/>
                <w:b w:val="0"/>
                <w:sz w:val="18"/>
              </w:rPr>
            </w:pPr>
            <w:r>
              <w:rPr>
                <w:rFonts w:ascii="Calibri Light"/>
                <w:b w:val="0"/>
                <w:spacing w:val="-2"/>
                <w:sz w:val="18"/>
              </w:rPr>
              <w:t>2200244</w:t>
            </w:r>
          </w:p>
        </w:tc>
        <w:tc>
          <w:tcPr>
            <w:tcW w:w="3614" w:type="dxa"/>
            <w:tcBorders>
              <w:top w:val="nil"/>
              <w:left w:val="nil"/>
              <w:bottom w:val="nil"/>
            </w:tcBorders>
          </w:tcPr>
          <w:p>
            <w:pPr>
              <w:pStyle w:val="TableParagraph"/>
              <w:spacing w:line="198" w:lineRule="exact" w:before="0"/>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LAKE</w:t>
            </w:r>
            <w:r>
              <w:rPr>
                <w:rFonts w:ascii="Calibri Light"/>
                <w:b w:val="0"/>
                <w:spacing w:val="-4"/>
                <w:sz w:val="18"/>
              </w:rPr>
              <w:t> </w:t>
            </w:r>
            <w:r>
              <w:rPr>
                <w:rFonts w:ascii="Calibri Light"/>
                <w:b w:val="0"/>
                <w:sz w:val="18"/>
              </w:rPr>
              <w:t>CAMPGROUND</w:t>
            </w:r>
            <w:r>
              <w:rPr>
                <w:rFonts w:ascii="Calibri Light"/>
                <w:b w:val="0"/>
                <w:spacing w:val="-2"/>
                <w:sz w:val="18"/>
              </w:rPr>
              <w:t> </w:t>
            </w:r>
            <w:r>
              <w:rPr>
                <w:rFonts w:ascii="Calibri Light"/>
                <w:b w:val="0"/>
                <w:spacing w:val="-4"/>
                <w:sz w:val="18"/>
              </w:rPr>
              <w:t>LOOP</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2200246</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LAKE</w:t>
            </w:r>
            <w:r>
              <w:rPr>
                <w:rFonts w:ascii="Calibri Light"/>
                <w:b w:val="0"/>
                <w:spacing w:val="-4"/>
                <w:sz w:val="18"/>
              </w:rPr>
              <w:t> </w:t>
            </w:r>
            <w:r>
              <w:rPr>
                <w:rFonts w:ascii="Calibri Light"/>
                <w:b w:val="0"/>
                <w:sz w:val="18"/>
              </w:rPr>
              <w:t>CAMPGROUND</w:t>
            </w:r>
            <w:r>
              <w:rPr>
                <w:rFonts w:ascii="Calibri Light"/>
                <w:b w:val="0"/>
                <w:spacing w:val="-2"/>
                <w:sz w:val="18"/>
              </w:rPr>
              <w:t> </w:t>
            </w:r>
            <w:r>
              <w:rPr>
                <w:rFonts w:ascii="Calibri Light"/>
                <w:b w:val="0"/>
                <w:spacing w:val="-4"/>
                <w:sz w:val="18"/>
              </w:rPr>
              <w:t>LOOP</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3300221</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LAKE</w:t>
            </w:r>
            <w:r>
              <w:rPr>
                <w:rFonts w:ascii="Calibri Light"/>
                <w:b w:val="0"/>
                <w:spacing w:val="-4"/>
                <w:sz w:val="18"/>
              </w:rPr>
              <w:t> </w:t>
            </w:r>
            <w:r>
              <w:rPr>
                <w:rFonts w:ascii="Calibri Light"/>
                <w:b w:val="0"/>
                <w:spacing w:val="-2"/>
                <w:sz w:val="18"/>
              </w:rPr>
              <w:t>COMPOUND</w:t>
            </w:r>
          </w:p>
        </w:tc>
        <w:tc>
          <w:tcPr>
            <w:tcW w:w="4579" w:type="dxa"/>
            <w:vMerge/>
            <w:tcBorders>
              <w:top w:val="nil"/>
            </w:tcBorders>
          </w:tcPr>
          <w:p>
            <w:pPr>
              <w:rPr>
                <w:sz w:val="2"/>
                <w:szCs w:val="2"/>
              </w:rPr>
            </w:pPr>
          </w:p>
        </w:tc>
      </w:tr>
      <w:tr>
        <w:trPr>
          <w:trHeight w:val="290" w:hRule="atLeast"/>
        </w:trPr>
        <w:tc>
          <w:tcPr>
            <w:tcW w:w="1157" w:type="dxa"/>
            <w:tcBorders>
              <w:top w:val="nil"/>
              <w:bottom w:val="nil"/>
              <w:right w:val="nil"/>
            </w:tcBorders>
          </w:tcPr>
          <w:p>
            <w:pPr>
              <w:pStyle w:val="TableParagraph"/>
              <w:spacing w:before="18"/>
              <w:ind w:left="215"/>
              <w:rPr>
                <w:rFonts w:ascii="Calibri Light"/>
                <w:b w:val="0"/>
                <w:sz w:val="18"/>
              </w:rPr>
            </w:pPr>
            <w:r>
              <w:rPr>
                <w:rFonts w:ascii="Calibri Light"/>
                <w:b w:val="0"/>
                <w:spacing w:val="-2"/>
                <w:sz w:val="18"/>
              </w:rPr>
              <w:t>2200243</w:t>
            </w:r>
          </w:p>
        </w:tc>
        <w:tc>
          <w:tcPr>
            <w:tcW w:w="3614" w:type="dxa"/>
            <w:tcBorders>
              <w:top w:val="nil"/>
              <w:left w:val="nil"/>
              <w:bottom w:val="nil"/>
            </w:tcBorders>
          </w:tcPr>
          <w:p>
            <w:pPr>
              <w:pStyle w:val="TableParagraph"/>
              <w:spacing w:before="18"/>
              <w:ind w:left="306"/>
              <w:rPr>
                <w:rFonts w:ascii="Calibri Light"/>
                <w:b w:val="0"/>
                <w:sz w:val="18"/>
              </w:rPr>
            </w:pPr>
            <w:r>
              <w:rPr>
                <w:rFonts w:ascii="Calibri Light"/>
                <w:b w:val="0"/>
                <w:sz w:val="18"/>
              </w:rPr>
              <w:t>SULLIVAN</w:t>
            </w:r>
            <w:r>
              <w:rPr>
                <w:rFonts w:ascii="Calibri Light"/>
                <w:b w:val="0"/>
                <w:spacing w:val="-4"/>
                <w:sz w:val="18"/>
              </w:rPr>
              <w:t> </w:t>
            </w:r>
            <w:r>
              <w:rPr>
                <w:rFonts w:ascii="Calibri Light"/>
                <w:b w:val="0"/>
                <w:sz w:val="18"/>
              </w:rPr>
              <w:t>LK</w:t>
            </w:r>
            <w:r>
              <w:rPr>
                <w:rFonts w:ascii="Calibri Light"/>
                <w:b w:val="0"/>
                <w:spacing w:val="-3"/>
                <w:sz w:val="18"/>
              </w:rPr>
              <w:t> </w:t>
            </w:r>
            <w:r>
              <w:rPr>
                <w:rFonts w:ascii="Calibri Light"/>
                <w:b w:val="0"/>
                <w:sz w:val="18"/>
              </w:rPr>
              <w:t>BOAT</w:t>
            </w:r>
            <w:r>
              <w:rPr>
                <w:rFonts w:ascii="Calibri Light"/>
                <w:b w:val="0"/>
                <w:spacing w:val="-2"/>
                <w:sz w:val="18"/>
              </w:rPr>
              <w:t> LAUNCH</w:t>
            </w:r>
          </w:p>
        </w:tc>
        <w:tc>
          <w:tcPr>
            <w:tcW w:w="4579" w:type="dxa"/>
            <w:vMerge/>
            <w:tcBorders>
              <w:top w:val="nil"/>
            </w:tcBorders>
          </w:tcPr>
          <w:p>
            <w:pPr>
              <w:rPr>
                <w:sz w:val="2"/>
                <w:szCs w:val="2"/>
              </w:rPr>
            </w:pPr>
          </w:p>
        </w:tc>
      </w:tr>
      <w:tr>
        <w:trPr>
          <w:trHeight w:val="237" w:hRule="atLeast"/>
        </w:trPr>
        <w:tc>
          <w:tcPr>
            <w:tcW w:w="1157" w:type="dxa"/>
            <w:tcBorders>
              <w:top w:val="nil"/>
              <w:right w:val="nil"/>
            </w:tcBorders>
          </w:tcPr>
          <w:p>
            <w:pPr>
              <w:pStyle w:val="TableParagraph"/>
              <w:spacing w:line="199" w:lineRule="exact" w:before="18"/>
              <w:ind w:left="215"/>
              <w:rPr>
                <w:rFonts w:ascii="Calibri Light"/>
                <w:b w:val="0"/>
                <w:sz w:val="18"/>
              </w:rPr>
            </w:pPr>
            <w:r>
              <w:rPr>
                <w:rFonts w:ascii="Calibri Light"/>
                <w:b w:val="0"/>
                <w:spacing w:val="-2"/>
                <w:sz w:val="18"/>
              </w:rPr>
              <w:t>2220000</w:t>
            </w:r>
          </w:p>
        </w:tc>
        <w:tc>
          <w:tcPr>
            <w:tcW w:w="3614" w:type="dxa"/>
            <w:tcBorders>
              <w:top w:val="nil"/>
              <w:left w:val="nil"/>
            </w:tcBorders>
          </w:tcPr>
          <w:p>
            <w:pPr>
              <w:pStyle w:val="TableParagraph"/>
              <w:spacing w:line="199" w:lineRule="exact" w:before="18"/>
              <w:ind w:left="306"/>
              <w:rPr>
                <w:rFonts w:ascii="Calibri Light"/>
                <w:b w:val="0"/>
                <w:sz w:val="18"/>
              </w:rPr>
            </w:pPr>
            <w:r>
              <w:rPr>
                <w:rFonts w:ascii="Calibri Light"/>
                <w:b w:val="0"/>
                <w:sz w:val="18"/>
              </w:rPr>
              <w:t>SULLIVAN</w:t>
            </w:r>
            <w:r>
              <w:rPr>
                <w:rFonts w:ascii="Calibri Light"/>
                <w:b w:val="0"/>
                <w:spacing w:val="-7"/>
                <w:sz w:val="18"/>
              </w:rPr>
              <w:t> </w:t>
            </w:r>
            <w:r>
              <w:rPr>
                <w:rFonts w:ascii="Calibri Light"/>
                <w:b w:val="0"/>
                <w:spacing w:val="-2"/>
                <w:sz w:val="18"/>
              </w:rPr>
              <w:t>SALMO</w:t>
            </w:r>
          </w:p>
        </w:tc>
        <w:tc>
          <w:tcPr>
            <w:tcW w:w="4579" w:type="dxa"/>
            <w:vMerge/>
            <w:tcBorders>
              <w:top w:val="nil"/>
            </w:tcBorders>
          </w:tcPr>
          <w:p>
            <w:pPr>
              <w:rPr>
                <w:sz w:val="2"/>
                <w:szCs w:val="2"/>
              </w:rPr>
            </w:pPr>
          </w:p>
        </w:tc>
      </w:tr>
      <w:tr>
        <w:trPr>
          <w:trHeight w:val="2197" w:hRule="atLeast"/>
        </w:trPr>
        <w:tc>
          <w:tcPr>
            <w:tcW w:w="4771" w:type="dxa"/>
            <w:gridSpan w:val="2"/>
          </w:tcPr>
          <w:p>
            <w:pPr>
              <w:pStyle w:val="TableParagraph"/>
              <w:spacing w:before="1"/>
              <w:ind w:left="107" w:right="187"/>
              <w:rPr>
                <w:rFonts w:ascii="Calibri Light"/>
                <w:b w:val="0"/>
                <w:sz w:val="18"/>
              </w:rPr>
            </w:pPr>
            <w:r>
              <w:rPr>
                <w:rFonts w:ascii="Calibri Light"/>
                <w:b w:val="0"/>
                <w:spacing w:val="-2"/>
                <w:sz w:val="18"/>
              </w:rPr>
              <w:t>Concern Level</w:t>
            </w:r>
            <w:r>
              <w:rPr>
                <w:rFonts w:ascii="Calibri Light"/>
                <w:b w:val="0"/>
                <w:spacing w:val="-3"/>
                <w:sz w:val="18"/>
              </w:rPr>
              <w:t> </w:t>
            </w:r>
            <w:r>
              <w:rPr>
                <w:rFonts w:ascii="Calibri Light"/>
                <w:b w:val="0"/>
                <w:spacing w:val="-2"/>
                <w:sz w:val="18"/>
              </w:rPr>
              <w:t>1 Nationally Designated Recreation or Scenic</w:t>
            </w:r>
            <w:r>
              <w:rPr>
                <w:rFonts w:ascii="Calibri Light"/>
                <w:b w:val="0"/>
                <w:sz w:val="18"/>
              </w:rPr>
              <w:t> Trail</w:t>
            </w:r>
            <w:r>
              <w:rPr>
                <w:rFonts w:ascii="Calibri Light"/>
                <w:b w:val="0"/>
                <w:spacing w:val="-4"/>
                <w:sz w:val="18"/>
              </w:rPr>
              <w:t> </w:t>
            </w:r>
            <w:r>
              <w:rPr>
                <w:rFonts w:ascii="Calibri Light"/>
                <w:b w:val="0"/>
                <w:sz w:val="18"/>
              </w:rPr>
              <w:t>Viewsheds</w:t>
            </w:r>
          </w:p>
          <w:p>
            <w:pPr>
              <w:pStyle w:val="TableParagraph"/>
              <w:tabs>
                <w:tab w:pos="1458" w:val="left" w:leader="none"/>
              </w:tabs>
              <w:spacing w:line="219" w:lineRule="exact" w:before="0"/>
              <w:ind w:left="215"/>
              <w:rPr>
                <w:rFonts w:ascii="Calibri Light"/>
                <w:b w:val="0"/>
                <w:sz w:val="18"/>
              </w:rPr>
            </w:pPr>
            <w:r>
              <w:rPr>
                <w:rFonts w:ascii="Calibri Light"/>
                <w:b w:val="0"/>
                <w:spacing w:val="-2"/>
                <w:sz w:val="18"/>
              </w:rPr>
              <w:t>3165000</w:t>
            </w:r>
            <w:r>
              <w:rPr>
                <w:rFonts w:ascii="Calibri Light"/>
                <w:b w:val="0"/>
                <w:sz w:val="18"/>
              </w:rPr>
              <w:tab/>
              <w:t>Pacific</w:t>
            </w:r>
            <w:r>
              <w:rPr>
                <w:rFonts w:ascii="Calibri Light"/>
                <w:b w:val="0"/>
                <w:spacing w:val="-3"/>
                <w:sz w:val="18"/>
              </w:rPr>
              <w:t> </w:t>
            </w:r>
            <w:r>
              <w:rPr>
                <w:rFonts w:ascii="Calibri Light"/>
                <w:b w:val="0"/>
                <w:sz w:val="18"/>
              </w:rPr>
              <w:t>Northwest</w:t>
            </w:r>
            <w:r>
              <w:rPr>
                <w:rFonts w:ascii="Calibri Light"/>
                <w:b w:val="0"/>
                <w:spacing w:val="-1"/>
                <w:sz w:val="18"/>
              </w:rPr>
              <w:t> </w:t>
            </w:r>
            <w:r>
              <w:rPr>
                <w:rFonts w:ascii="Calibri Light"/>
                <w:b w:val="0"/>
                <w:spacing w:val="-4"/>
                <w:sz w:val="18"/>
              </w:rPr>
              <w:t>Trail</w:t>
            </w:r>
          </w:p>
          <w:p>
            <w:pPr>
              <w:pStyle w:val="TableParagraph"/>
              <w:tabs>
                <w:tab w:pos="1458" w:val="left" w:leader="none"/>
              </w:tabs>
              <w:spacing w:line="219" w:lineRule="exact" w:before="1"/>
              <w:ind w:left="215"/>
              <w:rPr>
                <w:rFonts w:ascii="Calibri Light"/>
                <w:b w:val="0"/>
                <w:sz w:val="18"/>
              </w:rPr>
            </w:pPr>
            <w:r>
              <w:rPr>
                <w:rFonts w:ascii="Calibri Light"/>
                <w:b w:val="0"/>
                <w:spacing w:val="-2"/>
                <w:sz w:val="18"/>
              </w:rPr>
              <w:t>3165305</w:t>
            </w:r>
            <w:r>
              <w:rPr>
                <w:rFonts w:ascii="Calibri Light"/>
                <w:b w:val="0"/>
                <w:sz w:val="18"/>
              </w:rPr>
              <w:tab/>
              <w:t>Pacific</w:t>
            </w:r>
            <w:r>
              <w:rPr>
                <w:rFonts w:ascii="Calibri Light"/>
                <w:b w:val="0"/>
                <w:spacing w:val="-3"/>
                <w:sz w:val="18"/>
              </w:rPr>
              <w:t> </w:t>
            </w:r>
            <w:r>
              <w:rPr>
                <w:rFonts w:ascii="Calibri Light"/>
                <w:b w:val="0"/>
                <w:sz w:val="18"/>
              </w:rPr>
              <w:t>Northwest</w:t>
            </w:r>
            <w:r>
              <w:rPr>
                <w:rFonts w:ascii="Calibri Light"/>
                <w:b w:val="0"/>
                <w:spacing w:val="-1"/>
                <w:sz w:val="18"/>
              </w:rPr>
              <w:t> </w:t>
            </w:r>
            <w:r>
              <w:rPr>
                <w:rFonts w:ascii="Calibri Light"/>
                <w:b w:val="0"/>
                <w:spacing w:val="-4"/>
                <w:sz w:val="18"/>
              </w:rPr>
              <w:t>Trail</w:t>
            </w:r>
          </w:p>
          <w:p>
            <w:pPr>
              <w:pStyle w:val="TableParagraph"/>
              <w:tabs>
                <w:tab w:pos="1458" w:val="left" w:leader="none"/>
              </w:tabs>
              <w:spacing w:line="219" w:lineRule="exact" w:before="0"/>
              <w:ind w:left="215"/>
              <w:rPr>
                <w:rFonts w:ascii="Calibri Light"/>
                <w:b w:val="0"/>
                <w:sz w:val="18"/>
              </w:rPr>
            </w:pPr>
            <w:r>
              <w:rPr>
                <w:rFonts w:ascii="Calibri Light"/>
                <w:b w:val="0"/>
                <w:spacing w:val="-2"/>
                <w:sz w:val="18"/>
              </w:rPr>
              <w:t>3165310</w:t>
            </w:r>
            <w:r>
              <w:rPr>
                <w:rFonts w:ascii="Calibri Light"/>
                <w:b w:val="0"/>
                <w:sz w:val="18"/>
              </w:rPr>
              <w:tab/>
              <w:t>Pacific</w:t>
            </w:r>
            <w:r>
              <w:rPr>
                <w:rFonts w:ascii="Calibri Light"/>
                <w:b w:val="0"/>
                <w:spacing w:val="-3"/>
                <w:sz w:val="18"/>
              </w:rPr>
              <w:t> </w:t>
            </w:r>
            <w:r>
              <w:rPr>
                <w:rFonts w:ascii="Calibri Light"/>
                <w:b w:val="0"/>
                <w:sz w:val="18"/>
              </w:rPr>
              <w:t>Northwest</w:t>
            </w:r>
            <w:r>
              <w:rPr>
                <w:rFonts w:ascii="Calibri Light"/>
                <w:b w:val="0"/>
                <w:spacing w:val="-1"/>
                <w:sz w:val="18"/>
              </w:rPr>
              <w:t> </w:t>
            </w:r>
            <w:r>
              <w:rPr>
                <w:rFonts w:ascii="Calibri Light"/>
                <w:b w:val="0"/>
                <w:spacing w:val="-4"/>
                <w:sz w:val="18"/>
              </w:rPr>
              <w:t>Trail</w:t>
            </w:r>
          </w:p>
          <w:p>
            <w:pPr>
              <w:pStyle w:val="TableParagraph"/>
              <w:tabs>
                <w:tab w:pos="1458" w:val="left" w:leader="none"/>
              </w:tabs>
              <w:spacing w:before="1"/>
              <w:ind w:left="1458" w:right="1413" w:hanging="1244"/>
              <w:rPr>
                <w:rFonts w:ascii="Calibri Light"/>
                <w:b w:val="0"/>
                <w:sz w:val="18"/>
              </w:rPr>
            </w:pPr>
            <w:r>
              <w:rPr>
                <w:rFonts w:ascii="Calibri Light"/>
                <w:b w:val="0"/>
                <w:spacing w:val="-2"/>
                <w:sz w:val="18"/>
              </w:rPr>
              <w:t>6200350</w:t>
            </w:r>
            <w:r>
              <w:rPr>
                <w:rFonts w:ascii="Calibri Light"/>
                <w:b w:val="0"/>
                <w:sz w:val="18"/>
              </w:rPr>
              <w:tab/>
              <w:t>Pacific Northwest Trail Pacific Northwest Trail PASS</w:t>
            </w:r>
            <w:r>
              <w:rPr>
                <w:rFonts w:ascii="Calibri Light"/>
                <w:b w:val="0"/>
                <w:spacing w:val="-9"/>
                <w:sz w:val="18"/>
              </w:rPr>
              <w:t> </w:t>
            </w:r>
            <w:r>
              <w:rPr>
                <w:rFonts w:ascii="Calibri Light"/>
                <w:b w:val="0"/>
                <w:sz w:val="18"/>
              </w:rPr>
              <w:t>CREEK</w:t>
            </w:r>
            <w:r>
              <w:rPr>
                <w:rFonts w:ascii="Calibri Light"/>
                <w:b w:val="0"/>
                <w:spacing w:val="-9"/>
                <w:sz w:val="18"/>
              </w:rPr>
              <w:t> </w:t>
            </w:r>
            <w:r>
              <w:rPr>
                <w:rFonts w:ascii="Calibri Light"/>
                <w:b w:val="0"/>
                <w:sz w:val="18"/>
              </w:rPr>
              <w:t>-</w:t>
            </w:r>
            <w:r>
              <w:rPr>
                <w:rFonts w:ascii="Calibri Light"/>
                <w:b w:val="0"/>
                <w:spacing w:val="-9"/>
                <w:sz w:val="18"/>
              </w:rPr>
              <w:t> </w:t>
            </w:r>
            <w:r>
              <w:rPr>
                <w:rFonts w:ascii="Calibri Light"/>
                <w:b w:val="0"/>
                <w:sz w:val="18"/>
              </w:rPr>
              <w:t>GRASSY</w:t>
            </w:r>
            <w:r>
              <w:rPr>
                <w:rFonts w:ascii="Calibri Light"/>
                <w:b w:val="0"/>
                <w:spacing w:val="-10"/>
                <w:sz w:val="18"/>
              </w:rPr>
              <w:t> </w:t>
            </w:r>
            <w:r>
              <w:rPr>
                <w:rFonts w:ascii="Calibri Light"/>
                <w:b w:val="0"/>
                <w:sz w:val="18"/>
              </w:rPr>
              <w:t>TOP SHEDROOF DIVIDE</w:t>
            </w:r>
          </w:p>
          <w:p>
            <w:pPr>
              <w:pStyle w:val="TableParagraph"/>
              <w:spacing w:line="199" w:lineRule="exact" w:before="0"/>
              <w:ind w:left="1458"/>
              <w:rPr>
                <w:rFonts w:ascii="Calibri Light"/>
                <w:b w:val="0"/>
                <w:sz w:val="18"/>
              </w:rPr>
            </w:pPr>
            <w:r>
              <w:rPr>
                <w:rFonts w:ascii="Calibri Light"/>
                <w:b w:val="0"/>
                <w:spacing w:val="-2"/>
                <w:sz w:val="18"/>
              </w:rPr>
              <w:t>LAKESHORE</w:t>
            </w:r>
          </w:p>
        </w:tc>
        <w:tc>
          <w:tcPr>
            <w:tcW w:w="4579" w:type="dxa"/>
          </w:tcPr>
          <w:p>
            <w:pPr>
              <w:pStyle w:val="TableParagraph"/>
              <w:spacing w:before="1"/>
              <w:ind w:left="108"/>
              <w:rPr>
                <w:rFonts w:ascii="Calibri Light"/>
                <w:b w:val="0"/>
                <w:sz w:val="18"/>
              </w:rPr>
            </w:pPr>
            <w:r>
              <w:rPr>
                <w:rFonts w:ascii="Calibri Light"/>
                <w:b w:val="0"/>
                <w:sz w:val="18"/>
              </w:rPr>
              <w:t>Foreground</w:t>
            </w:r>
            <w:r>
              <w:rPr>
                <w:rFonts w:ascii="Calibri Light"/>
                <w:b w:val="0"/>
                <w:spacing w:val="-2"/>
                <w:sz w:val="18"/>
              </w:rPr>
              <w:t> </w:t>
            </w:r>
            <w:r>
              <w:rPr>
                <w:rFonts w:ascii="Calibri Light"/>
                <w:b w:val="0"/>
                <w:sz w:val="18"/>
              </w:rPr>
              <w:t>or</w:t>
            </w:r>
            <w:r>
              <w:rPr>
                <w:rFonts w:ascii="Calibri Light"/>
                <w:b w:val="0"/>
                <w:spacing w:val="-3"/>
                <w:sz w:val="18"/>
              </w:rPr>
              <w:t> </w:t>
            </w:r>
            <w:r>
              <w:rPr>
                <w:rFonts w:ascii="Calibri Light"/>
                <w:b w:val="0"/>
                <w:sz w:val="18"/>
              </w:rPr>
              <w:t>seen</w:t>
            </w:r>
            <w:r>
              <w:rPr>
                <w:rFonts w:ascii="Calibri Light"/>
                <w:b w:val="0"/>
                <w:spacing w:val="-2"/>
                <w:sz w:val="18"/>
              </w:rPr>
              <w:t> </w:t>
            </w:r>
            <w:r>
              <w:rPr>
                <w:rFonts w:ascii="Calibri Light"/>
                <w:b w:val="0"/>
                <w:sz w:val="18"/>
              </w:rPr>
              <w:t>area</w:t>
            </w:r>
            <w:r>
              <w:rPr>
                <w:rFonts w:ascii="Calibri Light"/>
                <w:b w:val="0"/>
                <w:spacing w:val="-2"/>
                <w:sz w:val="18"/>
              </w:rPr>
              <w:t> </w:t>
            </w:r>
            <w:r>
              <w:rPr>
                <w:rFonts w:ascii="Calibri Light"/>
                <w:b w:val="0"/>
                <w:sz w:val="18"/>
              </w:rPr>
              <w:t>High</w:t>
            </w:r>
            <w:r>
              <w:rPr>
                <w:rFonts w:ascii="Calibri Light"/>
                <w:b w:val="0"/>
                <w:spacing w:val="-2"/>
                <w:sz w:val="18"/>
              </w:rPr>
              <w:t> </w:t>
            </w:r>
            <w:r>
              <w:rPr>
                <w:rFonts w:ascii="Calibri Light"/>
                <w:b w:val="0"/>
                <w:spacing w:val="-5"/>
                <w:sz w:val="18"/>
              </w:rPr>
              <w:t>SIO</w:t>
            </w:r>
          </w:p>
          <w:p>
            <w:pPr>
              <w:pStyle w:val="TableParagraph"/>
              <w:spacing w:before="1"/>
              <w:ind w:left="108" w:right="12"/>
              <w:rPr>
                <w:rFonts w:ascii="Calibri Light"/>
                <w:b w:val="0"/>
                <w:sz w:val="18"/>
              </w:rPr>
            </w:pPr>
            <w:r>
              <w:rPr>
                <w:rFonts w:ascii="Calibri Light"/>
                <w:b w:val="0"/>
                <w:sz w:val="18"/>
              </w:rPr>
              <w:t>Middleground</w:t>
            </w:r>
            <w:r>
              <w:rPr>
                <w:rFonts w:ascii="Calibri Light"/>
                <w:b w:val="0"/>
                <w:spacing w:val="-7"/>
                <w:sz w:val="18"/>
              </w:rPr>
              <w:t> </w:t>
            </w:r>
            <w:r>
              <w:rPr>
                <w:rFonts w:ascii="Calibri Light"/>
                <w:b w:val="0"/>
                <w:sz w:val="18"/>
              </w:rPr>
              <w:t>assumes</w:t>
            </w:r>
            <w:r>
              <w:rPr>
                <w:rFonts w:ascii="Calibri Light"/>
                <w:b w:val="0"/>
                <w:spacing w:val="-7"/>
                <w:sz w:val="18"/>
              </w:rPr>
              <w:t> </w:t>
            </w:r>
            <w:r>
              <w:rPr>
                <w:rFonts w:ascii="Calibri Light"/>
                <w:b w:val="0"/>
                <w:sz w:val="18"/>
              </w:rPr>
              <w:t>the</w:t>
            </w:r>
            <w:r>
              <w:rPr>
                <w:rFonts w:ascii="Calibri Light"/>
                <w:b w:val="0"/>
                <w:spacing w:val="-8"/>
                <w:sz w:val="18"/>
              </w:rPr>
              <w:t> </w:t>
            </w:r>
            <w:r>
              <w:rPr>
                <w:rFonts w:ascii="Calibri Light"/>
                <w:b w:val="0"/>
                <w:sz w:val="18"/>
              </w:rPr>
              <w:t>Forest</w:t>
            </w:r>
            <w:r>
              <w:rPr>
                <w:rFonts w:ascii="Calibri Light"/>
                <w:b w:val="0"/>
                <w:spacing w:val="-6"/>
                <w:sz w:val="18"/>
              </w:rPr>
              <w:t> </w:t>
            </w:r>
            <w:r>
              <w:rPr>
                <w:rFonts w:ascii="Calibri Light"/>
                <w:b w:val="0"/>
                <w:sz w:val="18"/>
              </w:rPr>
              <w:t>Wide</w:t>
            </w:r>
            <w:r>
              <w:rPr>
                <w:rFonts w:ascii="Calibri Light"/>
                <w:b w:val="0"/>
                <w:spacing w:val="-8"/>
                <w:sz w:val="18"/>
              </w:rPr>
              <w:t> </w:t>
            </w:r>
            <w:r>
              <w:rPr>
                <w:rFonts w:ascii="Calibri Light"/>
                <w:b w:val="0"/>
                <w:sz w:val="18"/>
              </w:rPr>
              <w:t>Management</w:t>
            </w:r>
            <w:r>
              <w:rPr>
                <w:rFonts w:ascii="Calibri Light"/>
                <w:b w:val="0"/>
                <w:spacing w:val="-6"/>
                <w:sz w:val="18"/>
              </w:rPr>
              <w:t> </w:t>
            </w:r>
            <w:r>
              <w:rPr>
                <w:rFonts w:ascii="Calibri Light"/>
                <w:b w:val="0"/>
                <w:sz w:val="18"/>
              </w:rPr>
              <w:t>Area </w:t>
            </w:r>
            <w:r>
              <w:rPr>
                <w:rFonts w:ascii="Calibri Light"/>
                <w:b w:val="0"/>
                <w:spacing w:val="-4"/>
                <w:sz w:val="18"/>
              </w:rPr>
              <w:t>SIO</w:t>
            </w:r>
          </w:p>
        </w:tc>
      </w:tr>
    </w:tbl>
    <w:p>
      <w:pPr>
        <w:pStyle w:val="TableParagraph"/>
        <w:spacing w:after="0"/>
        <w:rPr>
          <w:rFonts w:ascii="Calibri Light"/>
          <w:b w:val="0"/>
          <w:sz w:val="18"/>
        </w:rPr>
        <w:sectPr>
          <w:pgSz w:w="12240" w:h="15840"/>
          <w:pgMar w:header="0" w:footer="891" w:top="1340" w:bottom="1080" w:left="1440" w:right="1440"/>
        </w:sectPr>
      </w:pPr>
    </w:p>
    <w:p>
      <w:pPr>
        <w:pStyle w:val="BodyText"/>
        <w:spacing w:before="4"/>
        <w:rPr>
          <w:rFonts w:ascii="Arial"/>
          <w:b/>
          <w:sz w:val="7"/>
        </w:rPr>
      </w:pPr>
    </w:p>
    <w:p>
      <w:pPr>
        <w:pStyle w:val="BodyText"/>
        <w:rPr>
          <w:rFonts w:ascii="Arial"/>
          <w:sz w:val="20"/>
        </w:rPr>
      </w:pPr>
      <w:r>
        <w:rPr>
          <w:rFonts w:ascii="Arial"/>
          <w:sz w:val="20"/>
        </w:rPr>
        <w:drawing>
          <wp:inline distT="0" distB="0" distL="0" distR="0">
            <wp:extent cx="5464155" cy="7974330"/>
            <wp:effectExtent l="0" t="0" r="0" b="0"/>
            <wp:docPr id="354" name="Image 354" descr="Map showing Newport Ranger District scenic integrity objectives"/>
            <wp:cNvGraphicFramePr>
              <a:graphicFrameLocks/>
            </wp:cNvGraphicFramePr>
            <a:graphic>
              <a:graphicData uri="http://schemas.openxmlformats.org/drawingml/2006/picture">
                <pic:pic>
                  <pic:nvPicPr>
                    <pic:cNvPr id="354" name="Image 354" descr="Map showing Newport Ranger District scenic integrity objectives"/>
                    <pic:cNvPicPr/>
                  </pic:nvPicPr>
                  <pic:blipFill>
                    <a:blip r:embed="rId123" cstate="print"/>
                    <a:stretch>
                      <a:fillRect/>
                    </a:stretch>
                  </pic:blipFill>
                  <pic:spPr>
                    <a:xfrm>
                      <a:off x="0" y="0"/>
                      <a:ext cx="5464155" cy="7974330"/>
                    </a:xfrm>
                    <a:prstGeom prst="rect">
                      <a:avLst/>
                    </a:prstGeom>
                  </pic:spPr>
                </pic:pic>
              </a:graphicData>
            </a:graphic>
          </wp:inline>
        </w:drawing>
      </w:r>
      <w:r>
        <w:rPr>
          <w:rFonts w:ascii="Arial"/>
          <w:sz w:val="20"/>
        </w:rPr>
      </w:r>
    </w:p>
    <w:p>
      <w:pPr>
        <w:spacing w:before="142"/>
        <w:ind w:left="0" w:right="0" w:firstLine="0"/>
        <w:jc w:val="left"/>
        <w:rPr>
          <w:rFonts w:ascii="Arial"/>
          <w:b/>
          <w:sz w:val="18"/>
        </w:rPr>
      </w:pPr>
      <w:bookmarkStart w:name="_bookmark320" w:id="997"/>
      <w:bookmarkEnd w:id="997"/>
      <w:r>
        <w:rPr/>
      </w:r>
      <w:r>
        <w:rPr>
          <w:rFonts w:ascii="Arial"/>
          <w:b/>
          <w:color w:val="283014"/>
          <w:sz w:val="18"/>
        </w:rPr>
        <w:t>Figure</w:t>
      </w:r>
      <w:r>
        <w:rPr>
          <w:rFonts w:ascii="Arial"/>
          <w:b/>
          <w:color w:val="283014"/>
          <w:spacing w:val="-2"/>
          <w:sz w:val="18"/>
        </w:rPr>
        <w:t> </w:t>
      </w:r>
      <w:r>
        <w:rPr>
          <w:rFonts w:ascii="Arial"/>
          <w:b/>
          <w:color w:val="283014"/>
          <w:sz w:val="18"/>
        </w:rPr>
        <w:t>D-7.</w:t>
      </w:r>
      <w:r>
        <w:rPr>
          <w:rFonts w:ascii="Arial"/>
          <w:b/>
          <w:color w:val="283014"/>
          <w:spacing w:val="-3"/>
          <w:sz w:val="18"/>
        </w:rPr>
        <w:t> </w:t>
      </w:r>
      <w:r>
        <w:rPr>
          <w:rFonts w:ascii="Arial"/>
          <w:b/>
          <w:color w:val="283014"/>
          <w:sz w:val="18"/>
        </w:rPr>
        <w:t>Newport</w:t>
      </w:r>
      <w:r>
        <w:rPr>
          <w:rFonts w:ascii="Arial"/>
          <w:b/>
          <w:color w:val="283014"/>
          <w:spacing w:val="-3"/>
          <w:sz w:val="18"/>
        </w:rPr>
        <w:t> </w:t>
      </w:r>
      <w:r>
        <w:rPr>
          <w:rFonts w:ascii="Arial"/>
          <w:b/>
          <w:color w:val="283014"/>
          <w:sz w:val="18"/>
        </w:rPr>
        <w:t>Ranger</w:t>
      </w:r>
      <w:r>
        <w:rPr>
          <w:rFonts w:ascii="Arial"/>
          <w:b/>
          <w:color w:val="283014"/>
          <w:spacing w:val="-5"/>
          <w:sz w:val="18"/>
        </w:rPr>
        <w:t> </w:t>
      </w:r>
      <w:r>
        <w:rPr>
          <w:rFonts w:ascii="Arial"/>
          <w:b/>
          <w:color w:val="283014"/>
          <w:sz w:val="18"/>
        </w:rPr>
        <w:t>District</w:t>
      </w:r>
      <w:r>
        <w:rPr>
          <w:rFonts w:ascii="Arial"/>
          <w:b/>
          <w:color w:val="283014"/>
          <w:spacing w:val="-3"/>
          <w:sz w:val="18"/>
        </w:rPr>
        <w:t> </w:t>
      </w:r>
      <w:r>
        <w:rPr>
          <w:rFonts w:ascii="Arial"/>
          <w:b/>
          <w:color w:val="283014"/>
          <w:sz w:val="18"/>
        </w:rPr>
        <w:t>scenic</w:t>
      </w:r>
      <w:r>
        <w:rPr>
          <w:rFonts w:ascii="Arial"/>
          <w:b/>
          <w:color w:val="283014"/>
          <w:spacing w:val="-5"/>
          <w:sz w:val="18"/>
        </w:rPr>
        <w:t> </w:t>
      </w:r>
      <w:r>
        <w:rPr>
          <w:rFonts w:ascii="Arial"/>
          <w:b/>
          <w:color w:val="283014"/>
          <w:sz w:val="18"/>
        </w:rPr>
        <w:t>integrity</w:t>
      </w:r>
      <w:r>
        <w:rPr>
          <w:rFonts w:ascii="Arial"/>
          <w:b/>
          <w:color w:val="283014"/>
          <w:spacing w:val="-11"/>
          <w:sz w:val="18"/>
        </w:rPr>
        <w:t> </w:t>
      </w:r>
      <w:r>
        <w:rPr>
          <w:rFonts w:ascii="Arial"/>
          <w:b/>
          <w:color w:val="283014"/>
          <w:spacing w:val="-2"/>
          <w:sz w:val="18"/>
        </w:rPr>
        <w:t>objectives</w:t>
      </w:r>
    </w:p>
    <w:p>
      <w:pPr>
        <w:spacing w:after="0"/>
        <w:jc w:val="left"/>
        <w:rPr>
          <w:rFonts w:ascii="Arial"/>
          <w:b/>
          <w:sz w:val="18"/>
        </w:rPr>
        <w:sectPr>
          <w:pgSz w:w="12240" w:h="15840"/>
          <w:pgMar w:header="0" w:footer="891" w:top="1340" w:bottom="1080" w:left="1440" w:right="1440"/>
        </w:sectPr>
      </w:pPr>
    </w:p>
    <w:p>
      <w:pPr>
        <w:spacing w:before="84" w:after="41"/>
        <w:ind w:left="0" w:right="0" w:firstLine="0"/>
        <w:jc w:val="left"/>
        <w:rPr>
          <w:rFonts w:ascii="Arial"/>
          <w:b/>
          <w:sz w:val="18"/>
        </w:rPr>
      </w:pPr>
      <w:r>
        <w:rPr>
          <w:rFonts w:ascii="Arial"/>
          <w:b/>
          <w:sz w:val="18"/>
        </w:rPr>
        <mc:AlternateContent>
          <mc:Choice Requires="wps">
            <w:drawing>
              <wp:anchor distT="0" distB="0" distL="0" distR="0" allowOverlap="1" layoutInCell="1" locked="0" behindDoc="0" simplePos="0" relativeHeight="15786496">
                <wp:simplePos x="0" y="0"/>
                <wp:positionH relativeFrom="page">
                  <wp:posOffset>4014470</wp:posOffset>
                </wp:positionH>
                <wp:positionV relativeFrom="page">
                  <wp:posOffset>2776347</wp:posOffset>
                </wp:positionV>
                <wp:extent cx="2343150" cy="279209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2343150" cy="2792095"/>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4"/>
                              <w:gridCol w:w="2655"/>
                            </w:tblGrid>
                            <w:tr>
                              <w:trPr>
                                <w:trHeight w:val="24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29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24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bl>
                          <w:p>
                            <w:pPr>
                              <w:pStyle w:val="BodyText"/>
                            </w:pPr>
                          </w:p>
                        </w:txbxContent>
                      </wps:txbx>
                      <wps:bodyPr wrap="square" lIns="0" tIns="0" rIns="0" bIns="0" rtlCol="0">
                        <a:noAutofit/>
                      </wps:bodyPr>
                    </wps:wsp>
                  </a:graphicData>
                </a:graphic>
              </wp:anchor>
            </w:drawing>
          </mc:Choice>
          <mc:Fallback>
            <w:pict>
              <v:shape style="position:absolute;margin-left:316.100006pt;margin-top:218.610001pt;width:184.5pt;height:219.85pt;mso-position-horizontal-relative:page;mso-position-vertical-relative:page;z-index:15786496" type="#_x0000_t202" id="docshape33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4"/>
                        <w:gridCol w:w="2655"/>
                      </w:tblGrid>
                      <w:tr>
                        <w:trPr>
                          <w:trHeight w:val="24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29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300"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r>
                        <w:trPr>
                          <w:trHeight w:val="249" w:hRule="atLeast"/>
                        </w:trPr>
                        <w:tc>
                          <w:tcPr>
                            <w:tcW w:w="914" w:type="dxa"/>
                          </w:tcPr>
                          <w:p>
                            <w:pPr>
                              <w:pStyle w:val="TableParagraph"/>
                              <w:spacing w:before="0"/>
                              <w:rPr>
                                <w:rFonts w:ascii="Times New Roman"/>
                                <w:sz w:val="18"/>
                              </w:rPr>
                            </w:pPr>
                          </w:p>
                        </w:tc>
                        <w:tc>
                          <w:tcPr>
                            <w:tcW w:w="2655" w:type="dxa"/>
                          </w:tcPr>
                          <w:p>
                            <w:pPr>
                              <w:pStyle w:val="TableParagraph"/>
                              <w:spacing w:before="0"/>
                              <w:rPr>
                                <w:rFonts w:ascii="Times New Roman"/>
                                <w:sz w:val="18"/>
                              </w:rPr>
                            </w:pPr>
                          </w:p>
                        </w:tc>
                      </w:tr>
                    </w:tbl>
                    <w:p>
                      <w:pPr>
                        <w:pStyle w:val="BodyText"/>
                      </w:pPr>
                    </w:p>
                  </w:txbxContent>
                </v:textbox>
                <w10:wrap type="none"/>
              </v:shape>
            </w:pict>
          </mc:Fallback>
        </mc:AlternateContent>
      </w:r>
      <w:bookmarkStart w:name="_bookmark321" w:id="998"/>
      <w:bookmarkEnd w:id="998"/>
      <w:r>
        <w:rPr/>
      </w:r>
      <w:r>
        <w:rPr>
          <w:rFonts w:ascii="Arial"/>
          <w:b/>
          <w:sz w:val="18"/>
        </w:rPr>
        <w:t>Table</w:t>
      </w:r>
      <w:r>
        <w:rPr>
          <w:rFonts w:ascii="Arial"/>
          <w:b/>
          <w:spacing w:val="-3"/>
          <w:sz w:val="18"/>
        </w:rPr>
        <w:t> </w:t>
      </w:r>
      <w:r>
        <w:rPr>
          <w:rFonts w:ascii="Arial"/>
          <w:b/>
          <w:sz w:val="18"/>
        </w:rPr>
        <w:t>D-6.</w:t>
      </w:r>
      <w:r>
        <w:rPr>
          <w:rFonts w:ascii="Arial"/>
          <w:b/>
          <w:spacing w:val="-4"/>
          <w:sz w:val="18"/>
        </w:rPr>
        <w:t> </w:t>
      </w:r>
      <w:r>
        <w:rPr>
          <w:rFonts w:ascii="Arial"/>
          <w:b/>
          <w:sz w:val="18"/>
        </w:rPr>
        <w:t>Newport</w:t>
      </w:r>
      <w:r>
        <w:rPr>
          <w:rFonts w:ascii="Arial"/>
          <w:b/>
          <w:spacing w:val="-4"/>
          <w:sz w:val="18"/>
        </w:rPr>
        <w:t> </w:t>
      </w:r>
      <w:r>
        <w:rPr>
          <w:rFonts w:ascii="Arial"/>
          <w:b/>
          <w:sz w:val="18"/>
        </w:rPr>
        <w:t>Ranger</w:t>
      </w:r>
      <w:r>
        <w:rPr>
          <w:rFonts w:ascii="Arial"/>
          <w:b/>
          <w:spacing w:val="-6"/>
          <w:sz w:val="18"/>
        </w:rPr>
        <w:t> </w:t>
      </w:r>
      <w:r>
        <w:rPr>
          <w:rFonts w:ascii="Arial"/>
          <w:b/>
          <w:sz w:val="18"/>
        </w:rPr>
        <w:t>District</w:t>
      </w:r>
      <w:r>
        <w:rPr>
          <w:rFonts w:ascii="Arial"/>
          <w:b/>
          <w:spacing w:val="-4"/>
          <w:sz w:val="18"/>
        </w:rPr>
        <w:t> </w:t>
      </w:r>
      <w:r>
        <w:rPr>
          <w:rFonts w:ascii="Arial"/>
          <w:b/>
          <w:sz w:val="18"/>
        </w:rPr>
        <w:t>scenic</w:t>
      </w:r>
      <w:r>
        <w:rPr>
          <w:rFonts w:ascii="Arial"/>
          <w:b/>
          <w:spacing w:val="-3"/>
          <w:sz w:val="18"/>
        </w:rPr>
        <w:t> </w:t>
      </w:r>
      <w:r>
        <w:rPr>
          <w:rFonts w:ascii="Arial"/>
          <w:b/>
          <w:spacing w:val="-2"/>
          <w:sz w:val="18"/>
        </w:rPr>
        <w:t>viewsheds</w:t>
      </w:r>
    </w:p>
    <w:tbl>
      <w:tblPr>
        <w:tblW w:w="0" w:type="auto"/>
        <w:jc w:val="left"/>
        <w:tblInd w:w="5"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1192"/>
        <w:gridCol w:w="3580"/>
        <w:gridCol w:w="4580"/>
      </w:tblGrid>
      <w:tr>
        <w:trPr>
          <w:trHeight w:val="1033" w:hRule="atLeast"/>
        </w:trPr>
        <w:tc>
          <w:tcPr>
            <w:tcW w:w="4772" w:type="dxa"/>
            <w:gridSpan w:val="2"/>
            <w:shd w:val="clear" w:color="auto" w:fill="E6E6E6"/>
          </w:tcPr>
          <w:p>
            <w:pPr>
              <w:pStyle w:val="TableParagraph"/>
              <w:spacing w:line="206" w:lineRule="exact" w:before="0"/>
              <w:ind w:left="270"/>
              <w:rPr>
                <w:b/>
                <w:sz w:val="18"/>
              </w:rPr>
            </w:pPr>
            <w:r>
              <w:rPr>
                <w:b/>
                <w:sz w:val="18"/>
              </w:rPr>
              <w:t>Scenic </w:t>
            </w:r>
            <w:r>
              <w:rPr>
                <w:b/>
                <w:spacing w:val="-2"/>
                <w:sz w:val="18"/>
              </w:rPr>
              <w:t>Viewsheds</w:t>
            </w:r>
          </w:p>
          <w:p>
            <w:pPr>
              <w:pStyle w:val="TableParagraph"/>
              <w:spacing w:before="0"/>
              <w:ind w:left="270"/>
              <w:rPr>
                <w:sz w:val="18"/>
              </w:rPr>
            </w:pPr>
            <w:r>
              <w:rPr>
                <w:sz w:val="18"/>
              </w:rPr>
              <w:t>Concern</w:t>
            </w:r>
            <w:r>
              <w:rPr>
                <w:spacing w:val="-7"/>
                <w:sz w:val="18"/>
              </w:rPr>
              <w:t> </w:t>
            </w:r>
            <w:r>
              <w:rPr>
                <w:sz w:val="18"/>
              </w:rPr>
              <w:t>level</w:t>
            </w:r>
            <w:r>
              <w:rPr>
                <w:spacing w:val="-7"/>
                <w:sz w:val="18"/>
              </w:rPr>
              <w:t> </w:t>
            </w:r>
            <w:r>
              <w:rPr>
                <w:sz w:val="18"/>
              </w:rPr>
              <w:t>1</w:t>
            </w:r>
            <w:r>
              <w:rPr>
                <w:spacing w:val="-5"/>
                <w:sz w:val="18"/>
              </w:rPr>
              <w:t> </w:t>
            </w:r>
            <w:r>
              <w:rPr>
                <w:sz w:val="18"/>
              </w:rPr>
              <w:t>travel</w:t>
            </w:r>
            <w:r>
              <w:rPr>
                <w:spacing w:val="-5"/>
                <w:sz w:val="18"/>
              </w:rPr>
              <w:t> </w:t>
            </w:r>
            <w:r>
              <w:rPr>
                <w:sz w:val="18"/>
              </w:rPr>
              <w:t>route</w:t>
            </w:r>
            <w:r>
              <w:rPr>
                <w:spacing w:val="-5"/>
                <w:sz w:val="18"/>
              </w:rPr>
              <w:t> </w:t>
            </w:r>
            <w:r>
              <w:rPr>
                <w:sz w:val="18"/>
              </w:rPr>
              <w:t>and</w:t>
            </w:r>
            <w:r>
              <w:rPr>
                <w:spacing w:val="-5"/>
                <w:sz w:val="18"/>
              </w:rPr>
              <w:t> </w:t>
            </w:r>
            <w:r>
              <w:rPr>
                <w:sz w:val="18"/>
              </w:rPr>
              <w:t>nationally</w:t>
            </w:r>
            <w:r>
              <w:rPr>
                <w:spacing w:val="-6"/>
                <w:sz w:val="18"/>
              </w:rPr>
              <w:t> </w:t>
            </w:r>
            <w:r>
              <w:rPr>
                <w:sz w:val="18"/>
              </w:rPr>
              <w:t>designated recreation or scenic trail Viewsheds</w:t>
            </w:r>
          </w:p>
          <w:p>
            <w:pPr>
              <w:pStyle w:val="TableParagraph"/>
              <w:spacing w:before="1"/>
              <w:ind w:left="270"/>
              <w:rPr>
                <w:sz w:val="18"/>
              </w:rPr>
            </w:pPr>
            <w:r>
              <w:rPr>
                <w:sz w:val="18"/>
              </w:rPr>
              <w:t>Concern</w:t>
            </w:r>
            <w:r>
              <w:rPr>
                <w:spacing w:val="-4"/>
                <w:sz w:val="18"/>
              </w:rPr>
              <w:t> </w:t>
            </w:r>
            <w:r>
              <w:rPr>
                <w:sz w:val="18"/>
              </w:rPr>
              <w:t>level</w:t>
            </w:r>
            <w:r>
              <w:rPr>
                <w:spacing w:val="-4"/>
                <w:sz w:val="18"/>
              </w:rPr>
              <w:t> </w:t>
            </w:r>
            <w:r>
              <w:rPr>
                <w:sz w:val="18"/>
              </w:rPr>
              <w:t>2</w:t>
            </w:r>
            <w:r>
              <w:rPr>
                <w:spacing w:val="-2"/>
                <w:sz w:val="18"/>
              </w:rPr>
              <w:t> </w:t>
            </w:r>
            <w:r>
              <w:rPr>
                <w:sz w:val="18"/>
              </w:rPr>
              <w:t>travel</w:t>
            </w:r>
            <w:r>
              <w:rPr>
                <w:spacing w:val="-1"/>
                <w:sz w:val="18"/>
              </w:rPr>
              <w:t> </w:t>
            </w:r>
            <w:r>
              <w:rPr>
                <w:sz w:val="18"/>
              </w:rPr>
              <w:t>route</w:t>
            </w:r>
            <w:r>
              <w:rPr>
                <w:spacing w:val="-1"/>
                <w:sz w:val="18"/>
              </w:rPr>
              <w:t> </w:t>
            </w:r>
            <w:r>
              <w:rPr>
                <w:spacing w:val="-2"/>
                <w:sz w:val="18"/>
              </w:rPr>
              <w:t>viewsheds</w:t>
            </w:r>
          </w:p>
        </w:tc>
        <w:tc>
          <w:tcPr>
            <w:tcW w:w="4580" w:type="dxa"/>
            <w:shd w:val="clear" w:color="auto" w:fill="E6E6E6"/>
          </w:tcPr>
          <w:p>
            <w:pPr>
              <w:pStyle w:val="TableParagraph"/>
              <w:spacing w:line="206" w:lineRule="exact" w:before="0"/>
              <w:ind w:left="106"/>
              <w:rPr>
                <w:b/>
                <w:sz w:val="18"/>
              </w:rPr>
            </w:pPr>
            <w:r>
              <w:rPr>
                <w:b/>
                <w:sz w:val="18"/>
              </w:rPr>
              <w:t>Scenic</w:t>
            </w:r>
            <w:r>
              <w:rPr>
                <w:b/>
                <w:spacing w:val="-2"/>
                <w:sz w:val="18"/>
              </w:rPr>
              <w:t> </w:t>
            </w:r>
            <w:r>
              <w:rPr>
                <w:b/>
                <w:sz w:val="18"/>
              </w:rPr>
              <w:t>Integrity</w:t>
            </w:r>
            <w:r>
              <w:rPr>
                <w:b/>
                <w:spacing w:val="-8"/>
                <w:sz w:val="18"/>
              </w:rPr>
              <w:t> </w:t>
            </w:r>
            <w:r>
              <w:rPr>
                <w:b/>
                <w:sz w:val="18"/>
              </w:rPr>
              <w:t>Objectives</w:t>
            </w:r>
            <w:r>
              <w:rPr>
                <w:b/>
                <w:spacing w:val="-1"/>
                <w:sz w:val="18"/>
              </w:rPr>
              <w:t> </w:t>
            </w:r>
            <w:r>
              <w:rPr>
                <w:b/>
                <w:spacing w:val="-2"/>
                <w:sz w:val="18"/>
              </w:rPr>
              <w:t>Prescribed</w:t>
            </w:r>
          </w:p>
          <w:p>
            <w:pPr>
              <w:pStyle w:val="TableParagraph"/>
              <w:spacing w:before="0"/>
              <w:ind w:left="106" w:right="1993"/>
              <w:rPr>
                <w:sz w:val="18"/>
              </w:rPr>
            </w:pPr>
            <w:r>
              <w:rPr>
                <w:sz w:val="18"/>
              </w:rPr>
              <w:t>Very High SIO (Unaltered)</w:t>
            </w:r>
            <w:r>
              <w:rPr>
                <w:spacing w:val="40"/>
                <w:sz w:val="18"/>
              </w:rPr>
              <w:t> </w:t>
            </w:r>
            <w:r>
              <w:rPr>
                <w:sz w:val="18"/>
              </w:rPr>
              <w:t>High SIO (Appears Unaltered)</w:t>
            </w:r>
          </w:p>
          <w:p>
            <w:pPr>
              <w:pStyle w:val="TableParagraph"/>
              <w:spacing w:line="206" w:lineRule="exact" w:before="0"/>
              <w:ind w:left="106" w:right="1868"/>
              <w:rPr>
                <w:sz w:val="18"/>
              </w:rPr>
            </w:pPr>
            <w:r>
              <w:rPr>
                <w:sz w:val="18"/>
              </w:rPr>
              <w:t>Moderate</w:t>
            </w:r>
            <w:r>
              <w:rPr>
                <w:spacing w:val="-12"/>
                <w:sz w:val="18"/>
              </w:rPr>
              <w:t> </w:t>
            </w:r>
            <w:r>
              <w:rPr>
                <w:sz w:val="18"/>
              </w:rPr>
              <w:t>SIO</w:t>
            </w:r>
            <w:r>
              <w:rPr>
                <w:spacing w:val="-13"/>
                <w:sz w:val="18"/>
              </w:rPr>
              <w:t> </w:t>
            </w:r>
            <w:r>
              <w:rPr>
                <w:sz w:val="18"/>
              </w:rPr>
              <w:t>(Slightly</w:t>
            </w:r>
            <w:r>
              <w:rPr>
                <w:spacing w:val="-12"/>
                <w:sz w:val="18"/>
              </w:rPr>
              <w:t> </w:t>
            </w:r>
            <w:r>
              <w:rPr>
                <w:sz w:val="18"/>
              </w:rPr>
              <w:t>Altered) Low SIO (Moderately Altered)</w:t>
            </w:r>
          </w:p>
        </w:tc>
      </w:tr>
      <w:tr>
        <w:trPr>
          <w:trHeight w:val="1036" w:hRule="atLeast"/>
        </w:trPr>
        <w:tc>
          <w:tcPr>
            <w:tcW w:w="9352" w:type="dxa"/>
            <w:gridSpan w:val="3"/>
            <w:shd w:val="clear" w:color="auto" w:fill="E6E6E6"/>
          </w:tcPr>
          <w:p>
            <w:pPr>
              <w:pStyle w:val="TableParagraph"/>
              <w:spacing w:line="206" w:lineRule="exact" w:before="0"/>
              <w:ind w:left="270"/>
              <w:rPr>
                <w:b/>
                <w:sz w:val="18"/>
              </w:rPr>
            </w:pPr>
            <w:r>
              <w:rPr>
                <w:b/>
                <w:sz w:val="18"/>
              </w:rPr>
              <w:t>Distance</w:t>
            </w:r>
            <w:r>
              <w:rPr>
                <w:b/>
                <w:spacing w:val="-5"/>
                <w:sz w:val="18"/>
              </w:rPr>
              <w:t> </w:t>
            </w:r>
            <w:r>
              <w:rPr>
                <w:b/>
                <w:spacing w:val="-2"/>
                <w:sz w:val="18"/>
              </w:rPr>
              <w:t>Zones</w:t>
            </w:r>
          </w:p>
          <w:p>
            <w:pPr>
              <w:pStyle w:val="TableParagraph"/>
              <w:spacing w:line="206" w:lineRule="exact" w:before="0"/>
              <w:ind w:left="270" w:right="3058"/>
              <w:rPr>
                <w:sz w:val="18"/>
              </w:rPr>
            </w:pPr>
            <w:r>
              <w:rPr>
                <w:sz w:val="18"/>
              </w:rPr>
              <w:t>Immediate Foreground High SIO - distance zone is 0 to 300 feet Foreground High SIO (FG) - distance zone is 300 feet to ½ mile Middleground High SIO (MG) - distance zone is ½ mile to 4 miles Background</w:t>
            </w:r>
            <w:r>
              <w:rPr>
                <w:spacing w:val="-3"/>
                <w:sz w:val="18"/>
              </w:rPr>
              <w:t> </w:t>
            </w:r>
            <w:r>
              <w:rPr>
                <w:sz w:val="18"/>
              </w:rPr>
              <w:t>Moderate</w:t>
            </w:r>
            <w:r>
              <w:rPr>
                <w:spacing w:val="-3"/>
                <w:sz w:val="18"/>
              </w:rPr>
              <w:t> </w:t>
            </w:r>
            <w:r>
              <w:rPr>
                <w:sz w:val="18"/>
              </w:rPr>
              <w:t>SIO</w:t>
            </w:r>
            <w:r>
              <w:rPr>
                <w:spacing w:val="-5"/>
                <w:sz w:val="18"/>
              </w:rPr>
              <w:t> </w:t>
            </w:r>
            <w:r>
              <w:rPr>
                <w:sz w:val="18"/>
              </w:rPr>
              <w:t>(BG)</w:t>
            </w:r>
            <w:r>
              <w:rPr>
                <w:spacing w:val="-4"/>
                <w:sz w:val="18"/>
              </w:rPr>
              <w:t> </w:t>
            </w:r>
            <w:r>
              <w:rPr>
                <w:sz w:val="18"/>
              </w:rPr>
              <w:t>-</w:t>
            </w:r>
            <w:r>
              <w:rPr>
                <w:spacing w:val="-4"/>
                <w:sz w:val="18"/>
              </w:rPr>
              <w:t> </w:t>
            </w:r>
            <w:r>
              <w:rPr>
                <w:sz w:val="18"/>
              </w:rPr>
              <w:t>distance</w:t>
            </w:r>
            <w:r>
              <w:rPr>
                <w:spacing w:val="-3"/>
                <w:sz w:val="18"/>
              </w:rPr>
              <w:t> </w:t>
            </w:r>
            <w:r>
              <w:rPr>
                <w:sz w:val="18"/>
              </w:rPr>
              <w:t>zone</w:t>
            </w:r>
            <w:r>
              <w:rPr>
                <w:spacing w:val="-6"/>
                <w:sz w:val="18"/>
              </w:rPr>
              <w:t> </w:t>
            </w:r>
            <w:r>
              <w:rPr>
                <w:sz w:val="18"/>
              </w:rPr>
              <w:t>4</w:t>
            </w:r>
            <w:r>
              <w:rPr>
                <w:spacing w:val="-3"/>
                <w:sz w:val="18"/>
              </w:rPr>
              <w:t> </w:t>
            </w:r>
            <w:r>
              <w:rPr>
                <w:sz w:val="18"/>
              </w:rPr>
              <w:t>miles</w:t>
            </w:r>
            <w:r>
              <w:rPr>
                <w:spacing w:val="-3"/>
                <w:sz w:val="18"/>
              </w:rPr>
              <w:t> </w:t>
            </w:r>
            <w:r>
              <w:rPr>
                <w:sz w:val="18"/>
              </w:rPr>
              <w:t>to</w:t>
            </w:r>
            <w:r>
              <w:rPr>
                <w:spacing w:val="-6"/>
                <w:sz w:val="18"/>
              </w:rPr>
              <w:t> </w:t>
            </w:r>
            <w:r>
              <w:rPr>
                <w:sz w:val="18"/>
              </w:rPr>
              <w:t>horizon</w:t>
            </w:r>
          </w:p>
        </w:tc>
      </w:tr>
      <w:tr>
        <w:trPr>
          <w:trHeight w:val="829" w:hRule="atLeast"/>
        </w:trPr>
        <w:tc>
          <w:tcPr>
            <w:tcW w:w="1192" w:type="dxa"/>
            <w:tcBorders>
              <w:bottom w:val="nil"/>
              <w:right w:val="nil"/>
            </w:tcBorders>
          </w:tcPr>
          <w:p>
            <w:pPr>
              <w:pStyle w:val="TableParagraph"/>
              <w:spacing w:before="1"/>
              <w:ind w:left="107" w:right="-44"/>
              <w:rPr>
                <w:rFonts w:ascii="Calibri Light"/>
                <w:b w:val="0"/>
                <w:sz w:val="20"/>
              </w:rPr>
            </w:pPr>
            <w:r>
              <w:rPr>
                <w:rFonts w:ascii="Calibri Light"/>
                <w:b w:val="0"/>
                <w:spacing w:val="-2"/>
                <w:sz w:val="20"/>
              </w:rPr>
              <w:t>Concern</w:t>
            </w:r>
            <w:r>
              <w:rPr>
                <w:rFonts w:ascii="Calibri Light"/>
                <w:b w:val="0"/>
                <w:spacing w:val="-10"/>
                <w:sz w:val="20"/>
              </w:rPr>
              <w:t> </w:t>
            </w:r>
            <w:r>
              <w:rPr>
                <w:rFonts w:ascii="Calibri Light"/>
                <w:b w:val="0"/>
                <w:spacing w:val="-2"/>
                <w:sz w:val="20"/>
              </w:rPr>
              <w:t>Level </w:t>
            </w:r>
            <w:r>
              <w:rPr>
                <w:rFonts w:ascii="Calibri Light"/>
                <w:b w:val="0"/>
                <w:sz w:val="20"/>
              </w:rPr>
              <w:t>(High SIO FG,</w:t>
            </w:r>
          </w:p>
          <w:p>
            <w:pPr>
              <w:pStyle w:val="TableParagraph"/>
              <w:spacing w:before="54"/>
              <w:ind w:left="215"/>
              <w:rPr>
                <w:rFonts w:ascii="Calibri Light"/>
                <w:b w:val="0"/>
                <w:sz w:val="20"/>
              </w:rPr>
            </w:pPr>
            <w:r>
              <w:rPr>
                <w:rFonts w:ascii="Calibri Light"/>
                <w:b w:val="0"/>
                <w:spacing w:val="-2"/>
                <w:sz w:val="20"/>
              </w:rPr>
              <w:t>RTE_NO</w:t>
            </w:r>
          </w:p>
        </w:tc>
        <w:tc>
          <w:tcPr>
            <w:tcW w:w="3580" w:type="dxa"/>
            <w:tcBorders>
              <w:left w:val="nil"/>
              <w:bottom w:val="nil"/>
            </w:tcBorders>
          </w:tcPr>
          <w:p>
            <w:pPr>
              <w:pStyle w:val="TableParagraph"/>
              <w:spacing w:before="1"/>
              <w:ind w:right="1163" w:firstLine="74"/>
              <w:rPr>
                <w:rFonts w:ascii="Calibri Light"/>
                <w:b w:val="0"/>
                <w:sz w:val="20"/>
              </w:rPr>
            </w:pPr>
            <w:r>
              <w:rPr>
                <w:rFonts w:ascii="Calibri Light"/>
                <w:b w:val="0"/>
                <w:spacing w:val="-2"/>
                <w:sz w:val="20"/>
              </w:rPr>
              <w:t>1</w:t>
            </w:r>
            <w:r>
              <w:rPr>
                <w:rFonts w:ascii="Calibri Light"/>
                <w:b w:val="0"/>
                <w:spacing w:val="-10"/>
                <w:sz w:val="20"/>
              </w:rPr>
              <w:t> </w:t>
            </w:r>
            <w:r>
              <w:rPr>
                <w:rFonts w:ascii="Calibri Light"/>
                <w:b w:val="0"/>
                <w:spacing w:val="-2"/>
                <w:sz w:val="20"/>
              </w:rPr>
              <w:t>Travel</w:t>
            </w:r>
            <w:r>
              <w:rPr>
                <w:rFonts w:ascii="Calibri Light"/>
                <w:b w:val="0"/>
                <w:spacing w:val="-9"/>
                <w:sz w:val="20"/>
              </w:rPr>
              <w:t> </w:t>
            </w:r>
            <w:r>
              <w:rPr>
                <w:rFonts w:ascii="Calibri Light"/>
                <w:b w:val="0"/>
                <w:spacing w:val="-2"/>
                <w:sz w:val="20"/>
              </w:rPr>
              <w:t>Route</w:t>
            </w:r>
            <w:r>
              <w:rPr>
                <w:rFonts w:ascii="Calibri Light"/>
                <w:b w:val="0"/>
                <w:spacing w:val="-9"/>
                <w:sz w:val="20"/>
              </w:rPr>
              <w:t> </w:t>
            </w:r>
            <w:r>
              <w:rPr>
                <w:rFonts w:ascii="Calibri Light"/>
                <w:b w:val="0"/>
                <w:spacing w:val="-2"/>
                <w:sz w:val="20"/>
              </w:rPr>
              <w:t>Viewsheds </w:t>
            </w:r>
            <w:r>
              <w:rPr>
                <w:rFonts w:ascii="Calibri Light"/>
                <w:b w:val="0"/>
                <w:sz w:val="20"/>
              </w:rPr>
              <w:t>High MG Seen Area)</w:t>
            </w:r>
          </w:p>
          <w:p>
            <w:pPr>
              <w:pStyle w:val="TableParagraph"/>
              <w:spacing w:before="54"/>
              <w:ind w:left="271"/>
              <w:rPr>
                <w:rFonts w:ascii="Calibri Light"/>
                <w:b w:val="0"/>
                <w:sz w:val="20"/>
              </w:rPr>
            </w:pPr>
            <w:r>
              <w:rPr>
                <w:rFonts w:ascii="Calibri Light"/>
                <w:b w:val="0"/>
                <w:spacing w:val="-4"/>
                <w:sz w:val="20"/>
              </w:rPr>
              <w:t>NAME</w:t>
            </w:r>
          </w:p>
        </w:tc>
        <w:tc>
          <w:tcPr>
            <w:tcW w:w="4580" w:type="dxa"/>
            <w:vMerge w:val="restart"/>
          </w:tcPr>
          <w:p>
            <w:pPr>
              <w:pStyle w:val="TableParagraph"/>
              <w:spacing w:before="1"/>
              <w:ind w:left="253" w:right="461"/>
              <w:rPr>
                <w:rFonts w:ascii="Calibri Light"/>
                <w:b w:val="0"/>
                <w:sz w:val="20"/>
              </w:rPr>
            </w:pPr>
            <w:r>
              <w:rPr>
                <w:rFonts w:ascii="Calibri Light"/>
                <w:b w:val="0"/>
                <w:spacing w:val="-2"/>
                <w:sz w:val="20"/>
              </w:rPr>
              <w:t>Concern</w:t>
            </w:r>
            <w:r>
              <w:rPr>
                <w:rFonts w:ascii="Calibri Light"/>
                <w:b w:val="0"/>
                <w:spacing w:val="-5"/>
                <w:sz w:val="20"/>
              </w:rPr>
              <w:t> </w:t>
            </w:r>
            <w:r>
              <w:rPr>
                <w:rFonts w:ascii="Calibri Light"/>
                <w:b w:val="0"/>
                <w:spacing w:val="-2"/>
                <w:sz w:val="20"/>
              </w:rPr>
              <w:t>Level</w:t>
            </w:r>
            <w:r>
              <w:rPr>
                <w:rFonts w:ascii="Calibri Light"/>
                <w:b w:val="0"/>
                <w:spacing w:val="-5"/>
                <w:sz w:val="20"/>
              </w:rPr>
              <w:t> </w:t>
            </w:r>
            <w:r>
              <w:rPr>
                <w:rFonts w:ascii="Calibri Light"/>
                <w:b w:val="0"/>
                <w:spacing w:val="-2"/>
                <w:sz w:val="20"/>
              </w:rPr>
              <w:t>2</w:t>
            </w:r>
            <w:r>
              <w:rPr>
                <w:rFonts w:ascii="Calibri Light"/>
                <w:b w:val="0"/>
                <w:spacing w:val="-5"/>
                <w:sz w:val="20"/>
              </w:rPr>
              <w:t> </w:t>
            </w:r>
            <w:r>
              <w:rPr>
                <w:rFonts w:ascii="Calibri Light"/>
                <w:b w:val="0"/>
                <w:spacing w:val="-2"/>
                <w:sz w:val="20"/>
              </w:rPr>
              <w:t>Travel</w:t>
            </w:r>
            <w:r>
              <w:rPr>
                <w:rFonts w:ascii="Calibri Light"/>
                <w:b w:val="0"/>
                <w:spacing w:val="-5"/>
                <w:sz w:val="20"/>
              </w:rPr>
              <w:t> </w:t>
            </w:r>
            <w:r>
              <w:rPr>
                <w:rFonts w:ascii="Calibri Light"/>
                <w:b w:val="0"/>
                <w:spacing w:val="-2"/>
                <w:sz w:val="20"/>
              </w:rPr>
              <w:t>Route Viewsheds</w:t>
            </w:r>
            <w:r>
              <w:rPr>
                <w:rFonts w:ascii="Calibri Light"/>
                <w:b w:val="0"/>
                <w:spacing w:val="-5"/>
                <w:sz w:val="20"/>
              </w:rPr>
              <w:t> </w:t>
            </w:r>
            <w:r>
              <w:rPr>
                <w:rFonts w:ascii="Calibri Light"/>
                <w:b w:val="0"/>
                <w:spacing w:val="-2"/>
                <w:sz w:val="20"/>
              </w:rPr>
              <w:t>(High </w:t>
            </w:r>
            <w:r>
              <w:rPr>
                <w:rFonts w:ascii="Calibri Light"/>
                <w:b w:val="0"/>
                <w:sz w:val="20"/>
              </w:rPr>
              <w:t>SIO FG, High to Moderate MG SIO)</w:t>
            </w:r>
          </w:p>
          <w:p>
            <w:pPr>
              <w:pStyle w:val="TableParagraph"/>
              <w:tabs>
                <w:tab w:pos="1234" w:val="left" w:leader="none"/>
              </w:tabs>
              <w:spacing w:before="54"/>
              <w:ind w:left="215"/>
              <w:rPr>
                <w:rFonts w:ascii="Calibri Light"/>
                <w:b w:val="0"/>
                <w:sz w:val="20"/>
              </w:rPr>
            </w:pPr>
            <w:r>
              <w:rPr>
                <w:rFonts w:ascii="Calibri Light"/>
                <w:b w:val="0"/>
                <w:spacing w:val="-2"/>
                <w:sz w:val="20"/>
              </w:rPr>
              <w:t>RTE_NO</w:t>
            </w:r>
            <w:r>
              <w:rPr>
                <w:rFonts w:ascii="Calibri Light"/>
                <w:b w:val="0"/>
                <w:sz w:val="20"/>
              </w:rPr>
              <w:tab/>
            </w:r>
            <w:r>
              <w:rPr>
                <w:rFonts w:ascii="Calibri Light"/>
                <w:b w:val="0"/>
                <w:spacing w:val="-4"/>
                <w:sz w:val="20"/>
              </w:rPr>
              <w:t>NAME</w:t>
            </w:r>
          </w:p>
          <w:p>
            <w:pPr>
              <w:pStyle w:val="TableParagraph"/>
              <w:tabs>
                <w:tab w:pos="1234" w:val="left" w:leader="none"/>
              </w:tabs>
              <w:spacing w:line="295" w:lineRule="auto" w:before="56"/>
              <w:ind w:left="215" w:right="883"/>
              <w:rPr>
                <w:rFonts w:ascii="Calibri Light"/>
                <w:b w:val="0"/>
                <w:sz w:val="20"/>
              </w:rPr>
            </w:pPr>
            <w:r>
              <w:rPr>
                <w:rFonts w:ascii="Calibri Light"/>
                <w:b w:val="0"/>
                <w:spacing w:val="-2"/>
                <w:sz w:val="20"/>
              </w:rPr>
              <w:t>C2022</w:t>
            </w:r>
            <w:r>
              <w:rPr>
                <w:rFonts w:ascii="Calibri Light"/>
                <w:b w:val="0"/>
                <w:sz w:val="20"/>
              </w:rPr>
              <w:tab/>
              <w:t>3500/MIDDLE</w:t>
            </w:r>
            <w:r>
              <w:rPr>
                <w:rFonts w:ascii="Calibri Light"/>
                <w:b w:val="0"/>
                <w:spacing w:val="-12"/>
                <w:sz w:val="20"/>
              </w:rPr>
              <w:t> </w:t>
            </w:r>
            <w:r>
              <w:rPr>
                <w:rFonts w:ascii="Calibri Light"/>
                <w:b w:val="0"/>
                <w:sz w:val="20"/>
              </w:rPr>
              <w:t>FORK</w:t>
            </w:r>
            <w:r>
              <w:rPr>
                <w:rFonts w:ascii="Calibri Light"/>
                <w:b w:val="0"/>
                <w:spacing w:val="-11"/>
                <w:sz w:val="20"/>
              </w:rPr>
              <w:t> </w:t>
            </w:r>
            <w:r>
              <w:rPr>
                <w:rFonts w:ascii="Calibri Light"/>
                <w:b w:val="0"/>
                <w:sz w:val="20"/>
              </w:rPr>
              <w:t>CALISPELL </w:t>
            </w:r>
            <w:r>
              <w:rPr>
                <w:rFonts w:ascii="Calibri Light"/>
                <w:b w:val="0"/>
                <w:spacing w:val="-2"/>
                <w:sz w:val="20"/>
              </w:rPr>
              <w:t>C2030</w:t>
            </w:r>
            <w:r>
              <w:rPr>
                <w:rFonts w:ascii="Calibri Light"/>
                <w:b w:val="0"/>
                <w:sz w:val="20"/>
              </w:rPr>
              <w:tab/>
            </w:r>
            <w:r>
              <w:rPr>
                <w:rFonts w:ascii="Calibri Light"/>
                <w:b w:val="0"/>
                <w:spacing w:val="-2"/>
                <w:sz w:val="20"/>
              </w:rPr>
              <w:t>BARTELET</w:t>
            </w:r>
          </w:p>
          <w:p>
            <w:pPr>
              <w:pStyle w:val="TableParagraph"/>
              <w:tabs>
                <w:tab w:pos="1234" w:val="left" w:leader="none"/>
              </w:tabs>
              <w:spacing w:line="244" w:lineRule="exact" w:before="0"/>
              <w:ind w:left="215"/>
              <w:rPr>
                <w:rFonts w:ascii="Calibri Light"/>
                <w:b w:val="0"/>
                <w:sz w:val="20"/>
              </w:rPr>
            </w:pPr>
            <w:r>
              <w:rPr>
                <w:rFonts w:ascii="Calibri Light"/>
                <w:b w:val="0"/>
                <w:spacing w:val="-2"/>
                <w:sz w:val="20"/>
              </w:rPr>
              <w:t>C3029</w:t>
            </w:r>
            <w:r>
              <w:rPr>
                <w:rFonts w:ascii="Calibri Light"/>
                <w:b w:val="0"/>
                <w:sz w:val="20"/>
              </w:rPr>
              <w:tab/>
              <w:t>BEAD</w:t>
            </w:r>
            <w:r>
              <w:rPr>
                <w:rFonts w:ascii="Calibri Light"/>
                <w:b w:val="0"/>
                <w:spacing w:val="-6"/>
                <w:sz w:val="20"/>
              </w:rPr>
              <w:t> </w:t>
            </w:r>
            <w:r>
              <w:rPr>
                <w:rFonts w:ascii="Calibri Light"/>
                <w:b w:val="0"/>
                <w:spacing w:val="-4"/>
                <w:sz w:val="20"/>
              </w:rPr>
              <w:t>LAKE</w:t>
            </w:r>
          </w:p>
          <w:p>
            <w:pPr>
              <w:pStyle w:val="TableParagraph"/>
              <w:tabs>
                <w:tab w:pos="1234" w:val="left" w:leader="none"/>
              </w:tabs>
              <w:spacing w:before="56"/>
              <w:ind w:left="215"/>
              <w:rPr>
                <w:rFonts w:ascii="Calibri Light"/>
                <w:b w:val="0"/>
                <w:sz w:val="20"/>
              </w:rPr>
            </w:pPr>
            <w:r>
              <w:rPr>
                <w:rFonts w:ascii="Calibri Light"/>
                <w:b w:val="0"/>
                <w:spacing w:val="-2"/>
                <w:sz w:val="20"/>
              </w:rPr>
              <w:t>C3318</w:t>
            </w:r>
            <w:r>
              <w:rPr>
                <w:rFonts w:ascii="Calibri Light"/>
                <w:b w:val="0"/>
                <w:sz w:val="20"/>
              </w:rPr>
              <w:tab/>
              <w:t>BEAR</w:t>
            </w:r>
            <w:r>
              <w:rPr>
                <w:rFonts w:ascii="Calibri Light"/>
                <w:b w:val="0"/>
                <w:spacing w:val="-6"/>
                <w:sz w:val="20"/>
              </w:rPr>
              <w:t> </w:t>
            </w:r>
            <w:r>
              <w:rPr>
                <w:rFonts w:ascii="Calibri Light"/>
                <w:b w:val="0"/>
                <w:spacing w:val="-5"/>
                <w:sz w:val="20"/>
              </w:rPr>
              <w:t>PAW</w:t>
            </w:r>
          </w:p>
          <w:p>
            <w:pPr>
              <w:pStyle w:val="TableParagraph"/>
              <w:tabs>
                <w:tab w:pos="1234" w:val="left" w:leader="none"/>
              </w:tabs>
              <w:spacing w:line="295" w:lineRule="auto" w:before="56"/>
              <w:ind w:left="215" w:right="1584"/>
              <w:rPr>
                <w:rFonts w:ascii="Calibri Light"/>
                <w:b w:val="0"/>
                <w:sz w:val="20"/>
              </w:rPr>
            </w:pPr>
            <w:r>
              <w:rPr>
                <w:rFonts w:ascii="Calibri Light"/>
                <w:b w:val="0"/>
                <w:spacing w:val="-2"/>
                <w:sz w:val="20"/>
              </w:rPr>
              <w:t>C3407</w:t>
            </w:r>
            <w:r>
              <w:rPr>
                <w:rFonts w:ascii="Calibri Light"/>
                <w:b w:val="0"/>
                <w:sz w:val="20"/>
              </w:rPr>
              <w:tab/>
              <w:t>BEST CHANCE </w:t>
            </w:r>
            <w:r>
              <w:rPr>
                <w:rFonts w:ascii="Calibri Light"/>
                <w:b w:val="0"/>
                <w:spacing w:val="-2"/>
                <w:sz w:val="20"/>
              </w:rPr>
              <w:t>5000000</w:t>
            </w:r>
            <w:r>
              <w:rPr>
                <w:rFonts w:ascii="Calibri Light"/>
                <w:b w:val="0"/>
                <w:sz w:val="20"/>
              </w:rPr>
              <w:tab/>
              <w:t>BOSWELL</w:t>
            </w:r>
            <w:r>
              <w:rPr>
                <w:rFonts w:ascii="Calibri Light"/>
                <w:b w:val="0"/>
                <w:spacing w:val="-12"/>
                <w:sz w:val="20"/>
              </w:rPr>
              <w:t> </w:t>
            </w:r>
            <w:r>
              <w:rPr>
                <w:rFonts w:ascii="Calibri Light"/>
                <w:b w:val="0"/>
                <w:sz w:val="20"/>
              </w:rPr>
              <w:t>KINGS</w:t>
            </w:r>
            <w:r>
              <w:rPr>
                <w:rFonts w:ascii="Calibri Light"/>
                <w:b w:val="0"/>
                <w:spacing w:val="-11"/>
                <w:sz w:val="20"/>
              </w:rPr>
              <w:t> </w:t>
            </w:r>
            <w:r>
              <w:rPr>
                <w:rFonts w:ascii="Calibri Light"/>
                <w:b w:val="0"/>
                <w:sz w:val="20"/>
              </w:rPr>
              <w:t>LAKE</w:t>
            </w:r>
          </w:p>
          <w:p>
            <w:pPr>
              <w:pStyle w:val="TableParagraph"/>
              <w:tabs>
                <w:tab w:pos="1234" w:val="left" w:leader="none"/>
              </w:tabs>
              <w:spacing w:line="244" w:lineRule="exact" w:before="0"/>
              <w:ind w:left="215"/>
              <w:rPr>
                <w:rFonts w:ascii="Calibri Light"/>
                <w:b w:val="0"/>
                <w:sz w:val="20"/>
              </w:rPr>
            </w:pPr>
            <w:r>
              <w:rPr>
                <w:rFonts w:ascii="Calibri Light"/>
                <w:b w:val="0"/>
                <w:spacing w:val="-2"/>
                <w:sz w:val="20"/>
              </w:rPr>
              <w:t>5015000</w:t>
            </w:r>
            <w:r>
              <w:rPr>
                <w:rFonts w:ascii="Calibri Light"/>
                <w:b w:val="0"/>
                <w:sz w:val="20"/>
              </w:rPr>
              <w:tab/>
              <w:t>COOKS</w:t>
            </w:r>
            <w:r>
              <w:rPr>
                <w:rFonts w:ascii="Calibri Light"/>
                <w:b w:val="0"/>
                <w:spacing w:val="-6"/>
                <w:sz w:val="20"/>
              </w:rPr>
              <w:t> </w:t>
            </w:r>
            <w:r>
              <w:rPr>
                <w:rFonts w:ascii="Calibri Light"/>
                <w:b w:val="0"/>
                <w:spacing w:val="-4"/>
                <w:sz w:val="20"/>
              </w:rPr>
              <w:t>LAKE</w:t>
            </w:r>
          </w:p>
          <w:p>
            <w:pPr>
              <w:pStyle w:val="TableParagraph"/>
              <w:tabs>
                <w:tab w:pos="1234" w:val="left" w:leader="none"/>
              </w:tabs>
              <w:spacing w:line="295" w:lineRule="auto" w:before="56"/>
              <w:ind w:left="215" w:right="1868"/>
              <w:rPr>
                <w:rFonts w:ascii="Calibri Light"/>
                <w:b w:val="0"/>
                <w:sz w:val="20"/>
              </w:rPr>
            </w:pPr>
            <w:r>
              <w:rPr>
                <w:rFonts w:ascii="Calibri Light"/>
                <w:b w:val="0"/>
                <w:spacing w:val="-2"/>
                <w:sz w:val="20"/>
              </w:rPr>
              <w:t>2700005</w:t>
            </w:r>
            <w:r>
              <w:rPr>
                <w:rFonts w:ascii="Calibri Light"/>
                <w:b w:val="0"/>
                <w:sz w:val="20"/>
              </w:rPr>
              <w:tab/>
              <w:t>RUBY CREEK </w:t>
            </w:r>
            <w:r>
              <w:rPr>
                <w:rFonts w:ascii="Calibri Light"/>
                <w:b w:val="0"/>
                <w:spacing w:val="-2"/>
                <w:sz w:val="20"/>
              </w:rPr>
              <w:t>C2489</w:t>
            </w:r>
            <w:r>
              <w:rPr>
                <w:rFonts w:ascii="Calibri Light"/>
                <w:b w:val="0"/>
                <w:sz w:val="20"/>
              </w:rPr>
              <w:tab/>
              <w:t>RUBY</w:t>
            </w:r>
            <w:r>
              <w:rPr>
                <w:rFonts w:ascii="Calibri Light"/>
                <w:b w:val="0"/>
                <w:spacing w:val="-12"/>
                <w:sz w:val="20"/>
              </w:rPr>
              <w:t> </w:t>
            </w:r>
            <w:r>
              <w:rPr>
                <w:rFonts w:ascii="Calibri Light"/>
                <w:b w:val="0"/>
                <w:sz w:val="20"/>
              </w:rPr>
              <w:t>CREEK/2700 </w:t>
            </w:r>
            <w:r>
              <w:rPr>
                <w:rFonts w:ascii="Calibri Light"/>
                <w:b w:val="0"/>
                <w:spacing w:val="-2"/>
                <w:sz w:val="20"/>
              </w:rPr>
              <w:t>5080306</w:t>
            </w:r>
            <w:r>
              <w:rPr>
                <w:rFonts w:ascii="Calibri Light"/>
                <w:b w:val="0"/>
                <w:sz w:val="20"/>
              </w:rPr>
              <w:tab/>
              <w:t>SOUTH BALDY</w:t>
            </w:r>
          </w:p>
          <w:p>
            <w:pPr>
              <w:pStyle w:val="TableParagraph"/>
              <w:tabs>
                <w:tab w:pos="1234" w:val="left" w:leader="none"/>
              </w:tabs>
              <w:spacing w:line="295" w:lineRule="auto" w:before="0"/>
              <w:ind w:left="215" w:right="1573"/>
              <w:rPr>
                <w:rFonts w:ascii="Calibri Light"/>
                <w:b w:val="0"/>
                <w:sz w:val="20"/>
              </w:rPr>
            </w:pPr>
            <w:r>
              <w:rPr>
                <w:rFonts w:ascii="Calibri Light"/>
                <w:b w:val="0"/>
                <w:spacing w:val="-2"/>
                <w:sz w:val="20"/>
              </w:rPr>
              <w:t>C2389</w:t>
            </w:r>
            <w:r>
              <w:rPr>
                <w:rFonts w:ascii="Calibri Light"/>
                <w:b w:val="0"/>
                <w:sz w:val="20"/>
              </w:rPr>
              <w:tab/>
              <w:t>TACOMA</w:t>
            </w:r>
            <w:r>
              <w:rPr>
                <w:rFonts w:ascii="Calibri Light"/>
                <w:b w:val="0"/>
                <w:spacing w:val="-12"/>
                <w:sz w:val="20"/>
              </w:rPr>
              <w:t> </w:t>
            </w:r>
            <w:r>
              <w:rPr>
                <w:rFonts w:ascii="Calibri Light"/>
                <w:b w:val="0"/>
                <w:sz w:val="20"/>
              </w:rPr>
              <w:t>CREEK/2600 </w:t>
            </w:r>
            <w:r>
              <w:rPr>
                <w:rFonts w:ascii="Calibri Light"/>
                <w:b w:val="0"/>
                <w:spacing w:val="-2"/>
                <w:sz w:val="20"/>
              </w:rPr>
              <w:t>2712000</w:t>
            </w:r>
            <w:r>
              <w:rPr>
                <w:rFonts w:ascii="Calibri Light"/>
                <w:b w:val="0"/>
                <w:sz w:val="20"/>
              </w:rPr>
              <w:tab/>
              <w:t>TACOMA DIVIDE</w:t>
            </w:r>
          </w:p>
          <w:p>
            <w:pPr>
              <w:pStyle w:val="TableParagraph"/>
              <w:tabs>
                <w:tab w:pos="1234" w:val="left" w:leader="none"/>
              </w:tabs>
              <w:spacing w:line="295" w:lineRule="auto" w:before="0"/>
              <w:ind w:left="215" w:right="1424"/>
              <w:rPr>
                <w:rFonts w:ascii="Calibri Light"/>
                <w:b w:val="0"/>
                <w:sz w:val="20"/>
              </w:rPr>
            </w:pPr>
            <w:r>
              <w:rPr>
                <w:rFonts w:ascii="Calibri Light"/>
                <w:b w:val="0"/>
                <w:spacing w:val="-2"/>
                <w:sz w:val="20"/>
              </w:rPr>
              <w:t>2700625</w:t>
            </w:r>
            <w:r>
              <w:rPr>
                <w:rFonts w:ascii="Calibri Light"/>
                <w:b w:val="0"/>
                <w:sz w:val="20"/>
              </w:rPr>
              <w:tab/>
              <w:t>TIMBER</w:t>
            </w:r>
            <w:r>
              <w:rPr>
                <w:rFonts w:ascii="Calibri Light"/>
                <w:b w:val="0"/>
                <w:spacing w:val="-12"/>
                <w:sz w:val="20"/>
              </w:rPr>
              <w:t> </w:t>
            </w:r>
            <w:r>
              <w:rPr>
                <w:rFonts w:ascii="Calibri Light"/>
                <w:b w:val="0"/>
                <w:sz w:val="20"/>
              </w:rPr>
              <w:t>MTN</w:t>
            </w:r>
            <w:r>
              <w:rPr>
                <w:rFonts w:ascii="Calibri Light"/>
                <w:b w:val="0"/>
                <w:spacing w:val="-11"/>
                <w:sz w:val="20"/>
              </w:rPr>
              <w:t> </w:t>
            </w:r>
            <w:r>
              <w:rPr>
                <w:rFonts w:ascii="Calibri Light"/>
                <w:b w:val="0"/>
                <w:sz w:val="20"/>
              </w:rPr>
              <w:t>LOOKOUT </w:t>
            </w:r>
            <w:r>
              <w:rPr>
                <w:rFonts w:ascii="Calibri Light"/>
                <w:b w:val="0"/>
                <w:spacing w:val="-2"/>
                <w:sz w:val="20"/>
              </w:rPr>
              <w:t>C9205</w:t>
            </w:r>
            <w:r>
              <w:rPr>
                <w:rFonts w:ascii="Calibri Light"/>
                <w:b w:val="0"/>
                <w:sz w:val="20"/>
              </w:rPr>
              <w:tab/>
              <w:t>WESTSIDE CALISPELL</w:t>
            </w: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WA-</w:t>
            </w:r>
            <w:r>
              <w:rPr>
                <w:rFonts w:ascii="Calibri Light"/>
                <w:b w:val="0"/>
                <w:spacing w:val="-5"/>
                <w:sz w:val="20"/>
              </w:rPr>
              <w:t>211</w:t>
            </w:r>
          </w:p>
        </w:tc>
        <w:tc>
          <w:tcPr>
            <w:tcW w:w="3580" w:type="dxa"/>
            <w:tcBorders>
              <w:top w:val="nil"/>
              <w:left w:val="nil"/>
              <w:bottom w:val="nil"/>
            </w:tcBorders>
          </w:tcPr>
          <w:p>
            <w:pPr>
              <w:pStyle w:val="TableParagraph"/>
              <w:spacing w:before="0"/>
              <w:rPr>
                <w:rFonts w:ascii="Times New Roman"/>
                <w:sz w:val="18"/>
              </w:rPr>
            </w:pP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C3029</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BEAD</w:t>
            </w:r>
            <w:r>
              <w:rPr>
                <w:rFonts w:ascii="Calibri Light"/>
                <w:b w:val="0"/>
                <w:spacing w:val="-6"/>
                <w:sz w:val="20"/>
              </w:rPr>
              <w:t> </w:t>
            </w:r>
            <w:r>
              <w:rPr>
                <w:rFonts w:ascii="Calibri Light"/>
                <w:b w:val="0"/>
                <w:spacing w:val="-4"/>
                <w:sz w:val="20"/>
              </w:rPr>
              <w:t>LAKE</w:t>
            </w:r>
          </w:p>
        </w:tc>
        <w:tc>
          <w:tcPr>
            <w:tcW w:w="4580" w:type="dxa"/>
            <w:vMerge/>
            <w:tcBorders>
              <w:top w:val="nil"/>
            </w:tcBorders>
          </w:tcPr>
          <w:p>
            <w:pPr>
              <w:rPr>
                <w:sz w:val="2"/>
                <w:szCs w:val="2"/>
              </w:rPr>
            </w:pPr>
          </w:p>
        </w:tc>
      </w:tr>
      <w:tr>
        <w:trPr>
          <w:trHeight w:val="289"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5030000</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BROWNS</w:t>
            </w:r>
            <w:r>
              <w:rPr>
                <w:rFonts w:ascii="Calibri Light"/>
                <w:b w:val="0"/>
                <w:spacing w:val="-9"/>
                <w:sz w:val="20"/>
              </w:rPr>
              <w:t> </w:t>
            </w:r>
            <w:r>
              <w:rPr>
                <w:rFonts w:ascii="Calibri Light"/>
                <w:b w:val="0"/>
                <w:spacing w:val="-4"/>
                <w:sz w:val="20"/>
              </w:rPr>
              <w:t>LAKE</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C2110</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FLOWERY</w:t>
            </w:r>
            <w:r>
              <w:rPr>
                <w:rFonts w:ascii="Calibri Light"/>
                <w:b w:val="0"/>
                <w:spacing w:val="-8"/>
                <w:sz w:val="20"/>
              </w:rPr>
              <w:t> </w:t>
            </w:r>
            <w:r>
              <w:rPr>
                <w:rFonts w:ascii="Calibri Light"/>
                <w:b w:val="0"/>
                <w:sz w:val="20"/>
              </w:rPr>
              <w:t>TRAIL</w:t>
            </w:r>
            <w:r>
              <w:rPr>
                <w:rFonts w:ascii="Calibri Light"/>
                <w:b w:val="0"/>
                <w:spacing w:val="-8"/>
                <w:sz w:val="20"/>
              </w:rPr>
              <w:t> </w:t>
            </w:r>
            <w:r>
              <w:rPr>
                <w:rFonts w:ascii="Calibri Light"/>
                <w:b w:val="0"/>
                <w:spacing w:val="-2"/>
                <w:sz w:val="20"/>
              </w:rPr>
              <w:t>(EAST)</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C2902</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FLOWERY</w:t>
            </w:r>
            <w:r>
              <w:rPr>
                <w:rFonts w:ascii="Calibri Light"/>
                <w:b w:val="0"/>
                <w:spacing w:val="-8"/>
                <w:sz w:val="20"/>
              </w:rPr>
              <w:t> </w:t>
            </w:r>
            <w:r>
              <w:rPr>
                <w:rFonts w:ascii="Calibri Light"/>
                <w:b w:val="0"/>
                <w:sz w:val="20"/>
              </w:rPr>
              <w:t>TRAIL</w:t>
            </w:r>
            <w:r>
              <w:rPr>
                <w:rFonts w:ascii="Calibri Light"/>
                <w:b w:val="0"/>
                <w:spacing w:val="-9"/>
                <w:sz w:val="20"/>
              </w:rPr>
              <w:t> </w:t>
            </w:r>
            <w:r>
              <w:rPr>
                <w:rFonts w:ascii="Calibri Light"/>
                <w:b w:val="0"/>
                <w:spacing w:val="-2"/>
                <w:sz w:val="20"/>
              </w:rPr>
              <w:t>(WEST)/4300</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C3389</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KINGS</w:t>
            </w:r>
            <w:r>
              <w:rPr>
                <w:rFonts w:ascii="Calibri Light"/>
                <w:b w:val="0"/>
                <w:spacing w:val="-6"/>
                <w:sz w:val="20"/>
              </w:rPr>
              <w:t> </w:t>
            </w:r>
            <w:r>
              <w:rPr>
                <w:rFonts w:ascii="Calibri Light"/>
                <w:b w:val="0"/>
                <w:spacing w:val="-4"/>
                <w:sz w:val="20"/>
              </w:rPr>
              <w:t>LAKE</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C9325</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LE</w:t>
            </w:r>
            <w:r>
              <w:rPr>
                <w:rFonts w:ascii="Calibri Light"/>
                <w:b w:val="0"/>
                <w:spacing w:val="-3"/>
                <w:sz w:val="20"/>
              </w:rPr>
              <w:t> </w:t>
            </w:r>
            <w:r>
              <w:rPr>
                <w:rFonts w:ascii="Calibri Light"/>
                <w:b w:val="0"/>
                <w:sz w:val="20"/>
              </w:rPr>
              <w:t>CLERC</w:t>
            </w:r>
            <w:r>
              <w:rPr>
                <w:rFonts w:ascii="Calibri Light"/>
                <w:b w:val="0"/>
                <w:spacing w:val="-5"/>
                <w:sz w:val="20"/>
              </w:rPr>
              <w:t> </w:t>
            </w:r>
            <w:r>
              <w:rPr>
                <w:rFonts w:ascii="Calibri Light"/>
                <w:b w:val="0"/>
                <w:spacing w:val="-2"/>
                <w:sz w:val="20"/>
              </w:rPr>
              <w:t>(NORTH)</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C9305</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LE</w:t>
            </w:r>
            <w:r>
              <w:rPr>
                <w:rFonts w:ascii="Calibri Light"/>
                <w:b w:val="0"/>
                <w:spacing w:val="-3"/>
                <w:sz w:val="20"/>
              </w:rPr>
              <w:t> </w:t>
            </w:r>
            <w:r>
              <w:rPr>
                <w:rFonts w:ascii="Calibri Light"/>
                <w:b w:val="0"/>
                <w:sz w:val="20"/>
              </w:rPr>
              <w:t>CLERC</w:t>
            </w:r>
            <w:r>
              <w:rPr>
                <w:rFonts w:ascii="Calibri Light"/>
                <w:b w:val="0"/>
                <w:spacing w:val="-5"/>
                <w:sz w:val="20"/>
              </w:rPr>
              <w:t> </w:t>
            </w:r>
            <w:r>
              <w:rPr>
                <w:rFonts w:ascii="Calibri Light"/>
                <w:b w:val="0"/>
                <w:spacing w:val="-2"/>
                <w:sz w:val="20"/>
              </w:rPr>
              <w:t>(SOUTH)</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C9216</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pacing w:val="-2"/>
                <w:sz w:val="20"/>
              </w:rPr>
              <w:t>MCKENZIE</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1900417</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PIONEER</w:t>
            </w:r>
            <w:r>
              <w:rPr>
                <w:rFonts w:ascii="Calibri Light"/>
                <w:b w:val="0"/>
                <w:spacing w:val="-8"/>
                <w:sz w:val="20"/>
              </w:rPr>
              <w:t> </w:t>
            </w:r>
            <w:r>
              <w:rPr>
                <w:rFonts w:ascii="Calibri Light"/>
                <w:b w:val="0"/>
                <w:sz w:val="20"/>
              </w:rPr>
              <w:t>PARK</w:t>
            </w:r>
            <w:r>
              <w:rPr>
                <w:rFonts w:ascii="Calibri Light"/>
                <w:b w:val="0"/>
                <w:spacing w:val="-6"/>
                <w:sz w:val="20"/>
              </w:rPr>
              <w:t> </w:t>
            </w:r>
            <w:r>
              <w:rPr>
                <w:rFonts w:ascii="Calibri Light"/>
                <w:b w:val="0"/>
                <w:spacing w:val="-2"/>
                <w:sz w:val="20"/>
              </w:rPr>
              <w:t>CAMPGROUND</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1900415</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PIONEER</w:t>
            </w:r>
            <w:r>
              <w:rPr>
                <w:rFonts w:ascii="Calibri Light"/>
                <w:b w:val="0"/>
                <w:spacing w:val="-8"/>
                <w:sz w:val="20"/>
              </w:rPr>
              <w:t> </w:t>
            </w:r>
            <w:r>
              <w:rPr>
                <w:rFonts w:ascii="Calibri Light"/>
                <w:b w:val="0"/>
                <w:sz w:val="20"/>
              </w:rPr>
              <w:t>PARK</w:t>
            </w:r>
            <w:r>
              <w:rPr>
                <w:rFonts w:ascii="Calibri Light"/>
                <w:b w:val="0"/>
                <w:spacing w:val="-6"/>
                <w:sz w:val="20"/>
              </w:rPr>
              <w:t> </w:t>
            </w:r>
            <w:r>
              <w:rPr>
                <w:rFonts w:ascii="Calibri Light"/>
                <w:b w:val="0"/>
                <w:spacing w:val="-2"/>
                <w:sz w:val="20"/>
              </w:rPr>
              <w:t>CAMPGROUND</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1900411</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PIONEER</w:t>
            </w:r>
            <w:r>
              <w:rPr>
                <w:rFonts w:ascii="Calibri Light"/>
                <w:b w:val="0"/>
                <w:spacing w:val="-6"/>
                <w:sz w:val="20"/>
              </w:rPr>
              <w:t> </w:t>
            </w:r>
            <w:r>
              <w:rPr>
                <w:rFonts w:ascii="Calibri Light"/>
                <w:b w:val="0"/>
                <w:sz w:val="20"/>
              </w:rPr>
              <w:t>PARK</w:t>
            </w:r>
            <w:r>
              <w:rPr>
                <w:rFonts w:ascii="Calibri Light"/>
                <w:b w:val="0"/>
                <w:spacing w:val="-5"/>
                <w:sz w:val="20"/>
              </w:rPr>
              <w:t> </w:t>
            </w:r>
            <w:r>
              <w:rPr>
                <w:rFonts w:ascii="Calibri Light"/>
                <w:b w:val="0"/>
                <w:sz w:val="20"/>
              </w:rPr>
              <w:t>CG</w:t>
            </w:r>
            <w:r>
              <w:rPr>
                <w:rFonts w:ascii="Calibri Light"/>
                <w:b w:val="0"/>
                <w:spacing w:val="-4"/>
                <w:sz w:val="20"/>
              </w:rPr>
              <w:t> </w:t>
            </w:r>
            <w:r>
              <w:rPr>
                <w:rFonts w:ascii="Calibri Light"/>
                <w:b w:val="0"/>
                <w:sz w:val="20"/>
              </w:rPr>
              <w:t>BOAT</w:t>
            </w:r>
            <w:r>
              <w:rPr>
                <w:rFonts w:ascii="Calibri Light"/>
                <w:b w:val="0"/>
                <w:spacing w:val="-5"/>
                <w:sz w:val="20"/>
              </w:rPr>
              <w:t> </w:t>
            </w:r>
            <w:r>
              <w:rPr>
                <w:rFonts w:ascii="Calibri Light"/>
                <w:b w:val="0"/>
                <w:spacing w:val="-2"/>
                <w:sz w:val="20"/>
              </w:rPr>
              <w:t>LAUNCH</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5032360</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SOUTH</w:t>
            </w:r>
            <w:r>
              <w:rPr>
                <w:rFonts w:ascii="Calibri Light"/>
                <w:b w:val="0"/>
                <w:spacing w:val="-8"/>
                <w:sz w:val="20"/>
              </w:rPr>
              <w:t> </w:t>
            </w:r>
            <w:r>
              <w:rPr>
                <w:rFonts w:ascii="Calibri Light"/>
                <w:b w:val="0"/>
                <w:sz w:val="20"/>
              </w:rPr>
              <w:t>SKOOKUM</w:t>
            </w:r>
            <w:r>
              <w:rPr>
                <w:rFonts w:ascii="Calibri Light"/>
                <w:b w:val="0"/>
                <w:spacing w:val="-5"/>
                <w:sz w:val="20"/>
              </w:rPr>
              <w:t> </w:t>
            </w:r>
            <w:r>
              <w:rPr>
                <w:rFonts w:ascii="Calibri Light"/>
                <w:b w:val="0"/>
                <w:sz w:val="20"/>
              </w:rPr>
              <w:t>BOAT</w:t>
            </w:r>
            <w:r>
              <w:rPr>
                <w:rFonts w:ascii="Calibri Light"/>
                <w:b w:val="0"/>
                <w:spacing w:val="-7"/>
                <w:sz w:val="20"/>
              </w:rPr>
              <w:t> </w:t>
            </w:r>
            <w:r>
              <w:rPr>
                <w:rFonts w:ascii="Calibri Light"/>
                <w:b w:val="0"/>
                <w:spacing w:val="-2"/>
                <w:sz w:val="20"/>
              </w:rPr>
              <w:t>LAUNCH</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5032359</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SOUTH</w:t>
            </w:r>
            <w:r>
              <w:rPr>
                <w:rFonts w:ascii="Calibri Light"/>
                <w:b w:val="0"/>
                <w:spacing w:val="-8"/>
                <w:sz w:val="20"/>
              </w:rPr>
              <w:t> </w:t>
            </w:r>
            <w:r>
              <w:rPr>
                <w:rFonts w:ascii="Calibri Light"/>
                <w:b w:val="0"/>
                <w:sz w:val="20"/>
              </w:rPr>
              <w:t>SKOOKUM</w:t>
            </w:r>
            <w:r>
              <w:rPr>
                <w:rFonts w:ascii="Calibri Light"/>
                <w:b w:val="0"/>
                <w:spacing w:val="-6"/>
                <w:sz w:val="20"/>
              </w:rPr>
              <w:t> </w:t>
            </w:r>
            <w:r>
              <w:rPr>
                <w:rFonts w:ascii="Calibri Light"/>
                <w:b w:val="0"/>
                <w:spacing w:val="-2"/>
                <w:sz w:val="20"/>
              </w:rPr>
              <w:t>CAMPGROUND</w:t>
            </w:r>
          </w:p>
        </w:tc>
        <w:tc>
          <w:tcPr>
            <w:tcW w:w="4580" w:type="dxa"/>
            <w:vMerge/>
            <w:tcBorders>
              <w:top w:val="nil"/>
            </w:tcBorders>
          </w:tcPr>
          <w:p>
            <w:pPr>
              <w:rPr>
                <w:sz w:val="2"/>
                <w:szCs w:val="2"/>
              </w:rPr>
            </w:pPr>
          </w:p>
        </w:tc>
      </w:tr>
      <w:tr>
        <w:trPr>
          <w:trHeight w:val="262" w:hRule="atLeast"/>
        </w:trPr>
        <w:tc>
          <w:tcPr>
            <w:tcW w:w="1192" w:type="dxa"/>
            <w:tcBorders>
              <w:top w:val="nil"/>
              <w:bottom w:val="nil"/>
              <w:right w:val="nil"/>
            </w:tcBorders>
          </w:tcPr>
          <w:p>
            <w:pPr>
              <w:pStyle w:val="TableParagraph"/>
              <w:spacing w:line="238" w:lineRule="exact" w:before="4"/>
              <w:ind w:left="215"/>
              <w:rPr>
                <w:rFonts w:ascii="Calibri Light"/>
                <w:b w:val="0"/>
                <w:sz w:val="20"/>
              </w:rPr>
            </w:pPr>
            <w:r>
              <w:rPr>
                <w:rFonts w:ascii="Calibri Light"/>
                <w:b w:val="0"/>
                <w:spacing w:val="-2"/>
                <w:sz w:val="20"/>
              </w:rPr>
              <w:t>5032370</w:t>
            </w:r>
          </w:p>
        </w:tc>
        <w:tc>
          <w:tcPr>
            <w:tcW w:w="3580" w:type="dxa"/>
            <w:tcBorders>
              <w:top w:val="nil"/>
              <w:left w:val="nil"/>
              <w:bottom w:val="nil"/>
            </w:tcBorders>
          </w:tcPr>
          <w:p>
            <w:pPr>
              <w:pStyle w:val="TableParagraph"/>
              <w:spacing w:line="238" w:lineRule="exact" w:before="4"/>
              <w:ind w:left="271"/>
              <w:rPr>
                <w:rFonts w:ascii="Calibri Light"/>
                <w:b w:val="0"/>
                <w:sz w:val="20"/>
              </w:rPr>
            </w:pPr>
            <w:r>
              <w:rPr>
                <w:rFonts w:ascii="Calibri Light"/>
                <w:b w:val="0"/>
                <w:sz w:val="20"/>
              </w:rPr>
              <w:t>SOUTH</w:t>
            </w:r>
            <w:r>
              <w:rPr>
                <w:rFonts w:ascii="Calibri Light"/>
                <w:b w:val="0"/>
                <w:spacing w:val="-8"/>
                <w:sz w:val="20"/>
              </w:rPr>
              <w:t> </w:t>
            </w:r>
            <w:r>
              <w:rPr>
                <w:rFonts w:ascii="Calibri Light"/>
                <w:b w:val="0"/>
                <w:sz w:val="20"/>
              </w:rPr>
              <w:t>SKOOKUM</w:t>
            </w:r>
            <w:r>
              <w:rPr>
                <w:rFonts w:ascii="Calibri Light"/>
                <w:b w:val="0"/>
                <w:spacing w:val="-6"/>
                <w:sz w:val="20"/>
              </w:rPr>
              <w:t> </w:t>
            </w:r>
            <w:r>
              <w:rPr>
                <w:rFonts w:ascii="Calibri Light"/>
                <w:b w:val="0"/>
                <w:spacing w:val="-2"/>
                <w:sz w:val="20"/>
              </w:rPr>
              <w:t>CAMPGROUND</w:t>
            </w:r>
          </w:p>
        </w:tc>
        <w:tc>
          <w:tcPr>
            <w:tcW w:w="4580" w:type="dxa"/>
            <w:vMerge/>
            <w:tcBorders>
              <w:top w:val="nil"/>
            </w:tcBorders>
          </w:tcPr>
          <w:p>
            <w:pPr>
              <w:rPr>
                <w:sz w:val="2"/>
                <w:szCs w:val="2"/>
              </w:rPr>
            </w:pPr>
          </w:p>
        </w:tc>
      </w:tr>
      <w:tr>
        <w:trPr>
          <w:trHeight w:val="507" w:hRule="atLeast"/>
        </w:trPr>
        <w:tc>
          <w:tcPr>
            <w:tcW w:w="1192" w:type="dxa"/>
            <w:tcBorders>
              <w:top w:val="nil"/>
              <w:bottom w:val="nil"/>
              <w:right w:val="nil"/>
            </w:tcBorders>
          </w:tcPr>
          <w:p>
            <w:pPr>
              <w:pStyle w:val="TableParagraph"/>
              <w:spacing w:before="221"/>
              <w:ind w:left="215"/>
              <w:rPr>
                <w:rFonts w:ascii="Calibri Light"/>
                <w:b w:val="0"/>
                <w:sz w:val="20"/>
              </w:rPr>
            </w:pPr>
            <w:r>
              <w:rPr>
                <w:rFonts w:ascii="Calibri Light"/>
                <w:b w:val="0"/>
                <w:spacing w:val="-2"/>
                <w:sz w:val="20"/>
              </w:rPr>
              <w:t>5032000</w:t>
            </w:r>
          </w:p>
        </w:tc>
        <w:tc>
          <w:tcPr>
            <w:tcW w:w="3580" w:type="dxa"/>
            <w:tcBorders>
              <w:top w:val="nil"/>
              <w:left w:val="nil"/>
              <w:bottom w:val="nil"/>
            </w:tcBorders>
          </w:tcPr>
          <w:p>
            <w:pPr>
              <w:pStyle w:val="TableParagraph"/>
              <w:spacing w:line="221" w:lineRule="exact" w:before="0"/>
              <w:ind w:left="271"/>
              <w:rPr>
                <w:rFonts w:ascii="Calibri Light"/>
                <w:b w:val="0"/>
                <w:sz w:val="20"/>
              </w:rPr>
            </w:pPr>
            <w:r>
              <w:rPr>
                <w:rFonts w:ascii="Calibri Light"/>
                <w:b w:val="0"/>
                <w:sz w:val="20"/>
              </w:rPr>
              <w:t>SOUTH</w:t>
            </w:r>
            <w:r>
              <w:rPr>
                <w:rFonts w:ascii="Calibri Light"/>
                <w:b w:val="0"/>
                <w:spacing w:val="-7"/>
                <w:sz w:val="20"/>
              </w:rPr>
              <w:t> </w:t>
            </w:r>
            <w:r>
              <w:rPr>
                <w:rFonts w:ascii="Calibri Light"/>
                <w:b w:val="0"/>
                <w:sz w:val="20"/>
              </w:rPr>
              <w:t>SKOOKUM</w:t>
            </w:r>
            <w:r>
              <w:rPr>
                <w:rFonts w:ascii="Calibri Light"/>
                <w:b w:val="0"/>
                <w:spacing w:val="-6"/>
                <w:sz w:val="20"/>
              </w:rPr>
              <w:t> </w:t>
            </w:r>
            <w:r>
              <w:rPr>
                <w:rFonts w:ascii="Calibri Light"/>
                <w:b w:val="0"/>
                <w:sz w:val="20"/>
              </w:rPr>
              <w:t>REC.</w:t>
            </w:r>
            <w:r>
              <w:rPr>
                <w:rFonts w:ascii="Calibri Light"/>
                <w:b w:val="0"/>
                <w:spacing w:val="-6"/>
                <w:sz w:val="20"/>
              </w:rPr>
              <w:t> </w:t>
            </w:r>
            <w:r>
              <w:rPr>
                <w:rFonts w:ascii="Calibri Light"/>
                <w:b w:val="0"/>
                <w:spacing w:val="-4"/>
                <w:sz w:val="20"/>
              </w:rPr>
              <w:t>AREA-</w:t>
            </w:r>
          </w:p>
          <w:p>
            <w:pPr>
              <w:pStyle w:val="TableParagraph"/>
              <w:spacing w:before="0"/>
              <w:ind w:left="271"/>
              <w:rPr>
                <w:rFonts w:ascii="Calibri Light"/>
                <w:b w:val="0"/>
                <w:sz w:val="20"/>
              </w:rPr>
            </w:pPr>
            <w:r>
              <w:rPr>
                <w:rFonts w:ascii="Calibri Light"/>
                <w:b w:val="0"/>
                <w:spacing w:val="-2"/>
                <w:sz w:val="20"/>
              </w:rPr>
              <w:t>ADMIN</w:t>
            </w:r>
          </w:p>
        </w:tc>
        <w:tc>
          <w:tcPr>
            <w:tcW w:w="4580" w:type="dxa"/>
            <w:vMerge/>
            <w:tcBorders>
              <w:top w:val="nil"/>
            </w:tcBorders>
          </w:tcPr>
          <w:p>
            <w:pPr>
              <w:rPr>
                <w:sz w:val="2"/>
                <w:szCs w:val="2"/>
              </w:rPr>
            </w:pPr>
          </w:p>
        </w:tc>
      </w:tr>
      <w:tr>
        <w:trPr>
          <w:trHeight w:val="290" w:hRule="atLeast"/>
        </w:trPr>
        <w:tc>
          <w:tcPr>
            <w:tcW w:w="1192" w:type="dxa"/>
            <w:tcBorders>
              <w:top w:val="nil"/>
              <w:bottom w:val="nil"/>
              <w:right w:val="nil"/>
            </w:tcBorders>
          </w:tcPr>
          <w:p>
            <w:pPr>
              <w:pStyle w:val="TableParagraph"/>
              <w:spacing w:before="4"/>
              <w:ind w:left="215"/>
              <w:rPr>
                <w:rFonts w:ascii="Calibri Light"/>
                <w:b w:val="0"/>
                <w:sz w:val="20"/>
              </w:rPr>
            </w:pPr>
            <w:r>
              <w:rPr>
                <w:rFonts w:ascii="Calibri Light"/>
                <w:b w:val="0"/>
                <w:spacing w:val="-2"/>
                <w:sz w:val="20"/>
              </w:rPr>
              <w:t>WA-</w:t>
            </w:r>
            <w:r>
              <w:rPr>
                <w:rFonts w:ascii="Calibri Light"/>
                <w:b w:val="0"/>
                <w:spacing w:val="-5"/>
                <w:sz w:val="20"/>
              </w:rPr>
              <w:t>20</w:t>
            </w:r>
          </w:p>
        </w:tc>
        <w:tc>
          <w:tcPr>
            <w:tcW w:w="3580" w:type="dxa"/>
            <w:tcBorders>
              <w:top w:val="nil"/>
              <w:left w:val="nil"/>
              <w:bottom w:val="nil"/>
            </w:tcBorders>
          </w:tcPr>
          <w:p>
            <w:pPr>
              <w:pStyle w:val="TableParagraph"/>
              <w:spacing w:before="4"/>
              <w:ind w:left="271"/>
              <w:rPr>
                <w:rFonts w:ascii="Calibri Light"/>
                <w:b w:val="0"/>
                <w:sz w:val="20"/>
              </w:rPr>
            </w:pPr>
            <w:r>
              <w:rPr>
                <w:rFonts w:ascii="Calibri Light"/>
                <w:b w:val="0"/>
                <w:sz w:val="20"/>
              </w:rPr>
              <w:t>STATE</w:t>
            </w:r>
            <w:r>
              <w:rPr>
                <w:rFonts w:ascii="Calibri Light"/>
                <w:b w:val="0"/>
                <w:spacing w:val="-7"/>
                <w:sz w:val="20"/>
              </w:rPr>
              <w:t> </w:t>
            </w:r>
            <w:r>
              <w:rPr>
                <w:rFonts w:ascii="Calibri Light"/>
                <w:b w:val="0"/>
                <w:sz w:val="20"/>
              </w:rPr>
              <w:t>ROUTE</w:t>
            </w:r>
            <w:r>
              <w:rPr>
                <w:rFonts w:ascii="Calibri Light"/>
                <w:b w:val="0"/>
                <w:spacing w:val="-6"/>
                <w:sz w:val="20"/>
              </w:rPr>
              <w:t> </w:t>
            </w:r>
            <w:r>
              <w:rPr>
                <w:rFonts w:ascii="Calibri Light"/>
                <w:b w:val="0"/>
                <w:spacing w:val="-2"/>
                <w:sz w:val="20"/>
              </w:rPr>
              <w:t>20/2000</w:t>
            </w:r>
          </w:p>
        </w:tc>
        <w:tc>
          <w:tcPr>
            <w:tcW w:w="4580" w:type="dxa"/>
            <w:vMerge/>
            <w:tcBorders>
              <w:top w:val="nil"/>
            </w:tcBorders>
          </w:tcPr>
          <w:p>
            <w:pPr>
              <w:rPr>
                <w:sz w:val="2"/>
                <w:szCs w:val="2"/>
              </w:rPr>
            </w:pPr>
          </w:p>
        </w:tc>
      </w:tr>
      <w:tr>
        <w:trPr>
          <w:trHeight w:val="247" w:hRule="atLeast"/>
        </w:trPr>
        <w:tc>
          <w:tcPr>
            <w:tcW w:w="1192" w:type="dxa"/>
            <w:tcBorders>
              <w:top w:val="nil"/>
              <w:right w:val="nil"/>
            </w:tcBorders>
          </w:tcPr>
          <w:p>
            <w:pPr>
              <w:pStyle w:val="TableParagraph"/>
              <w:spacing w:line="223" w:lineRule="exact" w:before="4"/>
              <w:ind w:left="215"/>
              <w:rPr>
                <w:rFonts w:ascii="Calibri Light"/>
                <w:b w:val="0"/>
                <w:sz w:val="20"/>
              </w:rPr>
            </w:pPr>
            <w:r>
              <w:rPr>
                <w:rFonts w:ascii="Calibri Light"/>
                <w:b w:val="0"/>
                <w:spacing w:val="-2"/>
                <w:sz w:val="20"/>
              </w:rPr>
              <w:t>C9205</w:t>
            </w:r>
          </w:p>
        </w:tc>
        <w:tc>
          <w:tcPr>
            <w:tcW w:w="3580" w:type="dxa"/>
            <w:tcBorders>
              <w:top w:val="nil"/>
              <w:left w:val="nil"/>
            </w:tcBorders>
          </w:tcPr>
          <w:p>
            <w:pPr>
              <w:pStyle w:val="TableParagraph"/>
              <w:spacing w:line="223" w:lineRule="exact" w:before="4"/>
              <w:ind w:left="271"/>
              <w:rPr>
                <w:rFonts w:ascii="Calibri Light"/>
                <w:b w:val="0"/>
                <w:sz w:val="20"/>
              </w:rPr>
            </w:pPr>
            <w:r>
              <w:rPr>
                <w:rFonts w:ascii="Calibri Light"/>
                <w:b w:val="0"/>
                <w:sz w:val="20"/>
              </w:rPr>
              <w:t>WESTSIDE</w:t>
            </w:r>
            <w:r>
              <w:rPr>
                <w:rFonts w:ascii="Calibri Light"/>
                <w:b w:val="0"/>
                <w:spacing w:val="-12"/>
                <w:sz w:val="20"/>
              </w:rPr>
              <w:t> </w:t>
            </w:r>
            <w:r>
              <w:rPr>
                <w:rFonts w:ascii="Calibri Light"/>
                <w:b w:val="0"/>
                <w:spacing w:val="-2"/>
                <w:sz w:val="20"/>
              </w:rPr>
              <w:t>CALISPELL</w:t>
            </w:r>
          </w:p>
        </w:tc>
        <w:tc>
          <w:tcPr>
            <w:tcW w:w="4580" w:type="dxa"/>
            <w:vMerge/>
            <w:tcBorders>
              <w:top w:val="nil"/>
            </w:tcBorders>
          </w:tcPr>
          <w:p>
            <w:pPr>
              <w:rPr>
                <w:sz w:val="2"/>
                <w:szCs w:val="2"/>
              </w:rPr>
            </w:pPr>
          </w:p>
        </w:tc>
      </w:tr>
    </w:tbl>
    <w:p>
      <w:pPr>
        <w:spacing w:after="0"/>
        <w:rPr>
          <w:sz w:val="2"/>
          <w:szCs w:val="2"/>
        </w:rPr>
        <w:sectPr>
          <w:pgSz w:w="12240" w:h="15840"/>
          <w:pgMar w:header="0" w:footer="891" w:top="1340" w:bottom="1080" w:left="1440" w:right="1440"/>
        </w:sectPr>
      </w:pPr>
    </w:p>
    <w:p>
      <w:pPr>
        <w:pStyle w:val="BodyText"/>
        <w:spacing w:before="359"/>
        <w:rPr>
          <w:rFonts w:ascii="Arial"/>
          <w:b/>
          <w:sz w:val="36"/>
        </w:rPr>
      </w:pPr>
    </w:p>
    <w:p>
      <w:pPr>
        <w:pStyle w:val="Heading1"/>
        <w:tabs>
          <w:tab w:pos="13351" w:val="left" w:leader="none"/>
        </w:tabs>
      </w:pPr>
      <w:bookmarkStart w:name="Appendix E – Suitable Uses by Management" w:id="999"/>
      <w:bookmarkEnd w:id="999"/>
      <w:r>
        <w:rPr>
          <w:b w:val="0"/>
        </w:rPr>
      </w:r>
      <w:bookmarkStart w:name="_bookmark322" w:id="1000"/>
      <w:bookmarkEnd w:id="1000"/>
      <w:r>
        <w:rPr>
          <w:b w:val="0"/>
        </w:rPr>
      </w:r>
      <w:r>
        <w:rPr>
          <w:color w:val="475824"/>
          <w:shd w:fill="C2D59B" w:color="auto" w:val="clear"/>
        </w:rPr>
        <w:t>Appendix</w:t>
      </w:r>
      <w:r>
        <w:rPr>
          <w:color w:val="475824"/>
          <w:spacing w:val="-5"/>
          <w:shd w:fill="C2D59B" w:color="auto" w:val="clear"/>
        </w:rPr>
        <w:t> </w:t>
      </w:r>
      <w:r>
        <w:rPr>
          <w:color w:val="475824"/>
          <w:shd w:fill="C2D59B" w:color="auto" w:val="clear"/>
        </w:rPr>
        <w:t>E</w:t>
      </w:r>
      <w:r>
        <w:rPr>
          <w:color w:val="475824"/>
          <w:spacing w:val="-4"/>
          <w:shd w:fill="C2D59B" w:color="auto" w:val="clear"/>
        </w:rPr>
        <w:t> </w:t>
      </w:r>
      <w:r>
        <w:rPr>
          <w:color w:val="475824"/>
          <w:shd w:fill="C2D59B" w:color="auto" w:val="clear"/>
        </w:rPr>
        <w:t>–</w:t>
      </w:r>
      <w:r>
        <w:rPr>
          <w:color w:val="475824"/>
          <w:spacing w:val="-5"/>
          <w:shd w:fill="C2D59B" w:color="auto" w:val="clear"/>
        </w:rPr>
        <w:t> </w:t>
      </w:r>
      <w:r>
        <w:rPr>
          <w:color w:val="475824"/>
          <w:shd w:fill="C2D59B" w:color="auto" w:val="clear"/>
        </w:rPr>
        <w:t>Suitable</w:t>
      </w:r>
      <w:r>
        <w:rPr>
          <w:color w:val="475824"/>
          <w:spacing w:val="-5"/>
          <w:shd w:fill="C2D59B" w:color="auto" w:val="clear"/>
        </w:rPr>
        <w:t> </w:t>
      </w:r>
      <w:r>
        <w:rPr>
          <w:color w:val="475824"/>
          <w:shd w:fill="C2D59B" w:color="auto" w:val="clear"/>
        </w:rPr>
        <w:t>Uses</w:t>
      </w:r>
      <w:r>
        <w:rPr>
          <w:color w:val="475824"/>
          <w:spacing w:val="-2"/>
          <w:shd w:fill="C2D59B" w:color="auto" w:val="clear"/>
        </w:rPr>
        <w:t> </w:t>
      </w:r>
      <w:r>
        <w:rPr>
          <w:color w:val="475824"/>
          <w:shd w:fill="C2D59B" w:color="auto" w:val="clear"/>
        </w:rPr>
        <w:t>by</w:t>
      </w:r>
      <w:r>
        <w:rPr>
          <w:color w:val="475824"/>
          <w:spacing w:val="-7"/>
          <w:shd w:fill="C2D59B" w:color="auto" w:val="clear"/>
        </w:rPr>
        <w:t> </w:t>
      </w:r>
      <w:r>
        <w:rPr>
          <w:color w:val="475824"/>
          <w:shd w:fill="C2D59B" w:color="auto" w:val="clear"/>
        </w:rPr>
        <w:t>Management</w:t>
      </w:r>
      <w:r>
        <w:rPr>
          <w:color w:val="475824"/>
          <w:spacing w:val="-13"/>
          <w:shd w:fill="C2D59B" w:color="auto" w:val="clear"/>
        </w:rPr>
        <w:t> </w:t>
      </w:r>
      <w:r>
        <w:rPr>
          <w:color w:val="475824"/>
          <w:spacing w:val="-4"/>
          <w:shd w:fill="C2D59B" w:color="auto" w:val="clear"/>
        </w:rPr>
        <w:t>Area</w:t>
      </w:r>
      <w:r>
        <w:rPr>
          <w:color w:val="475824"/>
          <w:shd w:fill="C2D59B" w:color="auto" w:val="clear"/>
        </w:rPr>
        <w:tab/>
      </w:r>
    </w:p>
    <w:p>
      <w:pPr>
        <w:spacing w:before="358" w:after="41"/>
        <w:ind w:left="360" w:right="0" w:firstLine="0"/>
        <w:jc w:val="left"/>
        <w:rPr>
          <w:rFonts w:ascii="Arial"/>
          <w:b/>
          <w:sz w:val="18"/>
        </w:rPr>
      </w:pPr>
      <w:bookmarkStart w:name="_bookmark323" w:id="1001"/>
      <w:bookmarkEnd w:id="1001"/>
      <w:r>
        <w:rPr/>
      </w:r>
      <w:r>
        <w:rPr>
          <w:rFonts w:ascii="Arial"/>
          <w:b/>
          <w:sz w:val="18"/>
        </w:rPr>
        <w:t>Table</w:t>
      </w:r>
      <w:r>
        <w:rPr>
          <w:rFonts w:ascii="Arial"/>
          <w:b/>
          <w:spacing w:val="-3"/>
          <w:sz w:val="18"/>
        </w:rPr>
        <w:t> </w:t>
      </w:r>
      <w:r>
        <w:rPr>
          <w:rFonts w:ascii="Arial"/>
          <w:b/>
          <w:sz w:val="18"/>
        </w:rPr>
        <w:t>E-1.</w:t>
      </w:r>
      <w:r>
        <w:rPr>
          <w:rFonts w:ascii="Arial"/>
          <w:b/>
          <w:spacing w:val="-2"/>
          <w:sz w:val="18"/>
        </w:rPr>
        <w:t> </w:t>
      </w:r>
      <w:r>
        <w:rPr>
          <w:rFonts w:ascii="Arial"/>
          <w:b/>
          <w:sz w:val="18"/>
        </w:rPr>
        <w:t>Suitable</w:t>
      </w:r>
      <w:r>
        <w:rPr>
          <w:rFonts w:ascii="Arial"/>
          <w:b/>
          <w:spacing w:val="-1"/>
          <w:sz w:val="18"/>
        </w:rPr>
        <w:t> </w:t>
      </w:r>
      <w:r>
        <w:rPr>
          <w:rFonts w:ascii="Arial"/>
          <w:b/>
          <w:sz w:val="18"/>
        </w:rPr>
        <w:t>uses</w:t>
      </w:r>
      <w:r>
        <w:rPr>
          <w:rFonts w:ascii="Arial"/>
          <w:b/>
          <w:spacing w:val="-3"/>
          <w:sz w:val="18"/>
        </w:rPr>
        <w:t> </w:t>
      </w:r>
      <w:r>
        <w:rPr>
          <w:rFonts w:ascii="Arial"/>
          <w:b/>
          <w:sz w:val="18"/>
        </w:rPr>
        <w:t>by</w:t>
      </w:r>
      <w:r>
        <w:rPr>
          <w:rFonts w:ascii="Arial"/>
          <w:b/>
          <w:spacing w:val="-6"/>
          <w:sz w:val="18"/>
        </w:rPr>
        <w:t> </w:t>
      </w:r>
      <w:r>
        <w:rPr>
          <w:rFonts w:ascii="Arial"/>
          <w:b/>
          <w:sz w:val="18"/>
        </w:rPr>
        <w:t>management</w:t>
      </w:r>
      <w:r>
        <w:rPr>
          <w:rFonts w:ascii="Arial"/>
          <w:b/>
          <w:spacing w:val="-4"/>
          <w:sz w:val="18"/>
        </w:rPr>
        <w:t> area</w:t>
      </w: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02"/>
        <w:gridCol w:w="680"/>
        <w:gridCol w:w="682"/>
        <w:gridCol w:w="680"/>
        <w:gridCol w:w="682"/>
        <w:gridCol w:w="680"/>
        <w:gridCol w:w="682"/>
        <w:gridCol w:w="682"/>
        <w:gridCol w:w="680"/>
        <w:gridCol w:w="682"/>
        <w:gridCol w:w="680"/>
        <w:gridCol w:w="682"/>
        <w:gridCol w:w="680"/>
        <w:gridCol w:w="682"/>
      </w:tblGrid>
      <w:tr>
        <w:trPr>
          <w:trHeight w:val="772" w:hRule="atLeast"/>
        </w:trPr>
        <w:tc>
          <w:tcPr>
            <w:tcW w:w="4402" w:type="dxa"/>
            <w:vMerge w:val="restart"/>
            <w:tcBorders>
              <w:top w:val="nil"/>
            </w:tcBorders>
            <w:shd w:val="clear" w:color="auto" w:fill="D5E2BB"/>
          </w:tcPr>
          <w:p>
            <w:pPr>
              <w:pStyle w:val="TableParagraph"/>
              <w:spacing w:before="42"/>
              <w:ind w:left="16"/>
              <w:jc w:val="center"/>
              <w:rPr>
                <w:b/>
                <w:sz w:val="18"/>
              </w:rPr>
            </w:pPr>
            <w:r>
              <w:rPr>
                <w:b/>
                <w:sz w:val="18"/>
              </w:rPr>
              <w:t>Suitable</w:t>
            </w:r>
            <w:r>
              <w:rPr>
                <w:b/>
                <w:spacing w:val="-3"/>
                <w:sz w:val="18"/>
              </w:rPr>
              <w:t> </w:t>
            </w:r>
            <w:r>
              <w:rPr>
                <w:b/>
                <w:spacing w:val="-4"/>
                <w:sz w:val="18"/>
              </w:rPr>
              <w:t>uses</w:t>
            </w:r>
          </w:p>
        </w:tc>
        <w:tc>
          <w:tcPr>
            <w:tcW w:w="8854" w:type="dxa"/>
            <w:gridSpan w:val="13"/>
            <w:shd w:val="clear" w:color="auto" w:fill="D5E2BB"/>
          </w:tcPr>
          <w:p>
            <w:pPr>
              <w:pStyle w:val="TableParagraph"/>
              <w:spacing w:line="207" w:lineRule="exact" w:before="42"/>
              <w:ind w:left="11"/>
              <w:jc w:val="center"/>
              <w:rPr>
                <w:b/>
                <w:sz w:val="18"/>
              </w:rPr>
            </w:pPr>
            <w:r>
              <w:rPr>
                <w:b/>
                <w:sz w:val="18"/>
              </w:rPr>
              <w:t>Forest</w:t>
            </w:r>
            <w:r>
              <w:rPr>
                <w:b/>
                <w:spacing w:val="-3"/>
                <w:sz w:val="18"/>
              </w:rPr>
              <w:t> </w:t>
            </w:r>
            <w:r>
              <w:rPr>
                <w:b/>
                <w:sz w:val="18"/>
              </w:rPr>
              <w:t>Plan</w:t>
            </w:r>
            <w:r>
              <w:rPr>
                <w:b/>
                <w:spacing w:val="-3"/>
                <w:sz w:val="18"/>
              </w:rPr>
              <w:t> </w:t>
            </w:r>
            <w:r>
              <w:rPr>
                <w:b/>
                <w:sz w:val="18"/>
              </w:rPr>
              <w:t>management</w:t>
            </w:r>
            <w:r>
              <w:rPr>
                <w:b/>
                <w:spacing w:val="-2"/>
                <w:sz w:val="18"/>
              </w:rPr>
              <w:t> areas</w:t>
            </w:r>
          </w:p>
          <w:p>
            <w:pPr>
              <w:pStyle w:val="TableParagraph"/>
              <w:spacing w:line="207" w:lineRule="exact" w:before="0"/>
              <w:ind w:left="11" w:right="3"/>
              <w:jc w:val="center"/>
              <w:rPr>
                <w:b/>
                <w:sz w:val="18"/>
              </w:rPr>
            </w:pPr>
            <w:r>
              <w:rPr>
                <w:b/>
                <w:sz w:val="18"/>
              </w:rPr>
              <w:t>(May</w:t>
            </w:r>
            <w:r>
              <w:rPr>
                <w:b/>
                <w:spacing w:val="-10"/>
                <w:sz w:val="18"/>
              </w:rPr>
              <w:t> </w:t>
            </w:r>
            <w:r>
              <w:rPr>
                <w:b/>
                <w:sz w:val="18"/>
              </w:rPr>
              <w:t>authorize</w:t>
            </w:r>
            <w:r>
              <w:rPr>
                <w:b/>
                <w:spacing w:val="-1"/>
                <w:sz w:val="18"/>
              </w:rPr>
              <w:t> </w:t>
            </w:r>
            <w:r>
              <w:rPr>
                <w:b/>
                <w:sz w:val="18"/>
              </w:rPr>
              <w:t>=</w:t>
            </w:r>
            <w:r>
              <w:rPr>
                <w:b/>
                <w:spacing w:val="-3"/>
                <w:sz w:val="18"/>
              </w:rPr>
              <w:t> </w:t>
            </w:r>
            <w:r>
              <w:rPr>
                <w:b/>
                <w:sz w:val="18"/>
              </w:rPr>
              <w:t>Y,</w:t>
            </w:r>
            <w:r>
              <w:rPr>
                <w:b/>
                <w:spacing w:val="-2"/>
                <w:sz w:val="18"/>
              </w:rPr>
              <w:t> </w:t>
            </w:r>
            <w:r>
              <w:rPr>
                <w:b/>
                <w:sz w:val="18"/>
              </w:rPr>
              <w:t>May</w:t>
            </w:r>
            <w:r>
              <w:rPr>
                <w:b/>
                <w:spacing w:val="-8"/>
                <w:sz w:val="18"/>
              </w:rPr>
              <w:t> </w:t>
            </w:r>
            <w:r>
              <w:rPr>
                <w:b/>
                <w:sz w:val="18"/>
              </w:rPr>
              <w:t>not</w:t>
            </w:r>
            <w:r>
              <w:rPr>
                <w:b/>
                <w:spacing w:val="-2"/>
                <w:sz w:val="18"/>
              </w:rPr>
              <w:t> </w:t>
            </w:r>
            <w:r>
              <w:rPr>
                <w:b/>
                <w:sz w:val="18"/>
              </w:rPr>
              <w:t>authorize</w:t>
            </w:r>
            <w:r>
              <w:rPr>
                <w:b/>
                <w:spacing w:val="-1"/>
                <w:sz w:val="18"/>
              </w:rPr>
              <w:t> </w:t>
            </w:r>
            <w:r>
              <w:rPr>
                <w:b/>
                <w:sz w:val="18"/>
              </w:rPr>
              <w:t>=</w:t>
            </w:r>
            <w:r>
              <w:rPr>
                <w:b/>
                <w:spacing w:val="-2"/>
                <w:sz w:val="18"/>
              </w:rPr>
              <w:t> </w:t>
            </w:r>
            <w:r>
              <w:rPr>
                <w:b/>
                <w:spacing w:val="-5"/>
                <w:sz w:val="18"/>
              </w:rPr>
              <w:t>N)</w:t>
            </w:r>
          </w:p>
        </w:tc>
      </w:tr>
      <w:tr>
        <w:trPr>
          <w:trHeight w:val="1540" w:hRule="atLeast"/>
        </w:trPr>
        <w:tc>
          <w:tcPr>
            <w:tcW w:w="4402" w:type="dxa"/>
            <w:vMerge/>
            <w:tcBorders>
              <w:top w:val="nil"/>
            </w:tcBorders>
            <w:shd w:val="clear" w:color="auto" w:fill="D5E2BB"/>
          </w:tcPr>
          <w:p>
            <w:pPr>
              <w:rPr>
                <w:sz w:val="2"/>
                <w:szCs w:val="2"/>
              </w:rPr>
            </w:pPr>
          </w:p>
        </w:tc>
        <w:tc>
          <w:tcPr>
            <w:tcW w:w="680" w:type="dxa"/>
            <w:shd w:val="clear" w:color="auto" w:fill="D5E2BB"/>
            <w:textDirection w:val="btLr"/>
          </w:tcPr>
          <w:p>
            <w:pPr>
              <w:pStyle w:val="TableParagraph"/>
              <w:spacing w:line="247" w:lineRule="auto" w:before="82"/>
              <w:ind w:left="62" w:right="50" w:hanging="10"/>
              <w:rPr>
                <w:b/>
                <w:sz w:val="18"/>
              </w:rPr>
            </w:pPr>
            <w:r>
              <w:rPr>
                <w:b/>
                <w:sz w:val="18"/>
              </w:rPr>
              <w:t>Administrative</w:t>
            </w:r>
            <w:r>
              <w:rPr>
                <w:b/>
                <w:spacing w:val="-13"/>
                <w:sz w:val="18"/>
              </w:rPr>
              <w:t> </w:t>
            </w:r>
            <w:r>
              <w:rPr>
                <w:b/>
                <w:sz w:val="18"/>
              </w:rPr>
              <w:t>&amp; Recreation</w:t>
            </w:r>
            <w:r>
              <w:rPr>
                <w:b/>
                <w:spacing w:val="-4"/>
                <w:sz w:val="18"/>
              </w:rPr>
              <w:t> </w:t>
            </w:r>
            <w:r>
              <w:rPr>
                <w:b/>
                <w:spacing w:val="-2"/>
                <w:sz w:val="18"/>
              </w:rPr>
              <w:t>Sites</w:t>
            </w:r>
          </w:p>
        </w:tc>
        <w:tc>
          <w:tcPr>
            <w:tcW w:w="682" w:type="dxa"/>
            <w:shd w:val="clear" w:color="auto" w:fill="D5E2BB"/>
            <w:textDirection w:val="btLr"/>
          </w:tcPr>
          <w:p>
            <w:pPr>
              <w:pStyle w:val="TableParagraph"/>
              <w:spacing w:before="84"/>
              <w:ind w:left="222"/>
              <w:rPr>
                <w:b/>
                <w:sz w:val="18"/>
              </w:rPr>
            </w:pPr>
            <w:r>
              <w:rPr>
                <w:b/>
                <w:spacing w:val="-2"/>
                <w:sz w:val="18"/>
              </w:rPr>
              <w:t>Backcountry</w:t>
            </w:r>
          </w:p>
        </w:tc>
        <w:tc>
          <w:tcPr>
            <w:tcW w:w="680" w:type="dxa"/>
            <w:shd w:val="clear" w:color="auto" w:fill="D5E2BB"/>
            <w:textDirection w:val="btLr"/>
          </w:tcPr>
          <w:p>
            <w:pPr>
              <w:pStyle w:val="TableParagraph"/>
              <w:spacing w:line="247" w:lineRule="auto" w:before="81"/>
              <w:ind w:left="342" w:right="50" w:hanging="120"/>
              <w:rPr>
                <w:b/>
                <w:sz w:val="18"/>
              </w:rPr>
            </w:pPr>
            <w:r>
              <w:rPr>
                <w:b/>
                <w:spacing w:val="-2"/>
                <w:sz w:val="18"/>
              </w:rPr>
              <w:t>Backcountry Motorized</w:t>
            </w:r>
          </w:p>
        </w:tc>
        <w:tc>
          <w:tcPr>
            <w:tcW w:w="682" w:type="dxa"/>
            <w:shd w:val="clear" w:color="auto" w:fill="D5E2BB"/>
            <w:textDirection w:val="btLr"/>
          </w:tcPr>
          <w:p>
            <w:pPr>
              <w:pStyle w:val="TableParagraph"/>
              <w:spacing w:line="247" w:lineRule="auto" w:before="82"/>
              <w:ind w:left="268" w:right="50" w:firstLine="129"/>
              <w:rPr>
                <w:b/>
                <w:sz w:val="18"/>
              </w:rPr>
            </w:pPr>
            <w:r>
              <w:rPr>
                <w:b/>
                <w:spacing w:val="-2"/>
                <w:sz w:val="18"/>
              </w:rPr>
              <w:t>Focused Restoration</w:t>
            </w:r>
          </w:p>
        </w:tc>
        <w:tc>
          <w:tcPr>
            <w:tcW w:w="680" w:type="dxa"/>
            <w:shd w:val="clear" w:color="auto" w:fill="D5E2BB"/>
            <w:textDirection w:val="btLr"/>
          </w:tcPr>
          <w:p>
            <w:pPr>
              <w:pStyle w:val="TableParagraph"/>
              <w:spacing w:line="244" w:lineRule="auto" w:before="82"/>
              <w:ind w:left="268" w:right="50" w:firstLine="163"/>
              <w:rPr>
                <w:b/>
                <w:sz w:val="18"/>
              </w:rPr>
            </w:pPr>
            <w:r>
              <w:rPr>
                <w:b/>
                <w:spacing w:val="-2"/>
                <w:sz w:val="18"/>
              </w:rPr>
              <w:t>General Restoration</w:t>
            </w:r>
          </w:p>
        </w:tc>
        <w:tc>
          <w:tcPr>
            <w:tcW w:w="682" w:type="dxa"/>
            <w:shd w:val="clear" w:color="auto" w:fill="D5E2BB"/>
            <w:textDirection w:val="btLr"/>
          </w:tcPr>
          <w:p>
            <w:pPr>
              <w:pStyle w:val="TableParagraph"/>
              <w:spacing w:line="247" w:lineRule="auto" w:before="81"/>
              <w:ind w:left="18" w:right="14" w:firstLine="319"/>
              <w:rPr>
                <w:b/>
                <w:sz w:val="18"/>
              </w:rPr>
            </w:pPr>
            <w:r>
              <w:rPr>
                <w:b/>
                <w:spacing w:val="-2"/>
                <w:sz w:val="18"/>
              </w:rPr>
              <w:t>Nationally </w:t>
            </w:r>
            <w:r>
              <w:rPr>
                <w:b/>
                <w:sz w:val="18"/>
              </w:rPr>
              <w:t>Designated</w:t>
            </w:r>
            <w:r>
              <w:rPr>
                <w:b/>
                <w:spacing w:val="-13"/>
                <w:sz w:val="18"/>
              </w:rPr>
              <w:t> </w:t>
            </w:r>
            <w:r>
              <w:rPr>
                <w:b/>
                <w:sz w:val="18"/>
              </w:rPr>
              <w:t>Trails</w:t>
            </w:r>
          </w:p>
        </w:tc>
        <w:tc>
          <w:tcPr>
            <w:tcW w:w="682" w:type="dxa"/>
            <w:shd w:val="clear" w:color="auto" w:fill="D5E2BB"/>
            <w:textDirection w:val="btLr"/>
          </w:tcPr>
          <w:p>
            <w:pPr>
              <w:pStyle w:val="TableParagraph"/>
              <w:spacing w:line="247" w:lineRule="auto" w:before="81"/>
              <w:ind w:left="517" w:right="27" w:hanging="492"/>
              <w:rPr>
                <w:b/>
                <w:sz w:val="18"/>
              </w:rPr>
            </w:pPr>
            <w:r>
              <w:rPr>
                <w:b/>
                <w:sz w:val="18"/>
              </w:rPr>
              <w:t>Research</w:t>
            </w:r>
            <w:r>
              <w:rPr>
                <w:b/>
                <w:spacing w:val="-13"/>
                <w:sz w:val="18"/>
              </w:rPr>
              <w:t> </w:t>
            </w:r>
            <w:r>
              <w:rPr>
                <w:b/>
                <w:sz w:val="18"/>
              </w:rPr>
              <w:t>Natural </w:t>
            </w:r>
            <w:r>
              <w:rPr>
                <w:b/>
                <w:spacing w:val="-4"/>
                <w:sz w:val="18"/>
              </w:rPr>
              <w:t>Areas</w:t>
            </w:r>
          </w:p>
        </w:tc>
        <w:tc>
          <w:tcPr>
            <w:tcW w:w="680" w:type="dxa"/>
            <w:shd w:val="clear" w:color="auto" w:fill="D5E2BB"/>
            <w:textDirection w:val="btLr"/>
          </w:tcPr>
          <w:p>
            <w:pPr>
              <w:pStyle w:val="TableParagraph"/>
              <w:spacing w:line="210" w:lineRule="atLeast" w:before="35"/>
              <w:ind w:left="217" w:right="218" w:hanging="1"/>
              <w:jc w:val="center"/>
              <w:rPr>
                <w:b/>
                <w:sz w:val="18"/>
              </w:rPr>
            </w:pPr>
            <w:r>
              <w:rPr>
                <w:b/>
                <w:spacing w:val="-2"/>
                <w:sz w:val="18"/>
              </w:rPr>
              <w:t>Riparian Management Areas</w:t>
            </w:r>
          </w:p>
        </w:tc>
        <w:tc>
          <w:tcPr>
            <w:tcW w:w="682" w:type="dxa"/>
            <w:shd w:val="clear" w:color="auto" w:fill="D5E2BB"/>
            <w:textDirection w:val="btLr"/>
          </w:tcPr>
          <w:p>
            <w:pPr>
              <w:pStyle w:val="TableParagraph"/>
              <w:spacing w:before="80"/>
              <w:ind w:left="117"/>
              <w:rPr>
                <w:b/>
                <w:sz w:val="18"/>
              </w:rPr>
            </w:pPr>
            <w:r>
              <w:rPr>
                <w:b/>
                <w:sz w:val="18"/>
              </w:rPr>
              <w:t>Scenic</w:t>
            </w:r>
            <w:r>
              <w:rPr>
                <w:b/>
                <w:spacing w:val="-2"/>
                <w:sz w:val="18"/>
              </w:rPr>
              <w:t> Byways</w:t>
            </w:r>
          </w:p>
        </w:tc>
        <w:tc>
          <w:tcPr>
            <w:tcW w:w="680" w:type="dxa"/>
            <w:shd w:val="clear" w:color="auto" w:fill="D5E2BB"/>
            <w:textDirection w:val="btLr"/>
          </w:tcPr>
          <w:p>
            <w:pPr>
              <w:pStyle w:val="TableParagraph"/>
              <w:spacing w:line="247" w:lineRule="auto" w:before="77"/>
              <w:ind w:left="78" w:right="74" w:firstLine="182"/>
              <w:rPr>
                <w:b/>
                <w:sz w:val="18"/>
              </w:rPr>
            </w:pPr>
            <w:r>
              <w:rPr>
                <w:b/>
                <w:sz w:val="18"/>
              </w:rPr>
              <w:t>Kettle Crest Recreation</w:t>
            </w:r>
            <w:r>
              <w:rPr>
                <w:b/>
                <w:spacing w:val="-13"/>
                <w:sz w:val="18"/>
              </w:rPr>
              <w:t> </w:t>
            </w:r>
            <w:r>
              <w:rPr>
                <w:b/>
                <w:sz w:val="18"/>
              </w:rPr>
              <w:t>Area</w:t>
            </w:r>
          </w:p>
        </w:tc>
        <w:tc>
          <w:tcPr>
            <w:tcW w:w="682" w:type="dxa"/>
            <w:shd w:val="clear" w:color="auto" w:fill="D5E2BB"/>
            <w:textDirection w:val="btLr"/>
          </w:tcPr>
          <w:p>
            <w:pPr>
              <w:pStyle w:val="TableParagraph"/>
              <w:spacing w:line="247" w:lineRule="auto" w:before="78"/>
              <w:ind w:left="493" w:right="50" w:hanging="418"/>
              <w:rPr>
                <w:b/>
                <w:sz w:val="18"/>
              </w:rPr>
            </w:pPr>
            <w:r>
              <w:rPr>
                <w:b/>
                <w:sz w:val="18"/>
              </w:rPr>
              <w:t>Wild</w:t>
            </w:r>
            <w:r>
              <w:rPr>
                <w:b/>
                <w:spacing w:val="-15"/>
                <w:sz w:val="18"/>
              </w:rPr>
              <w:t> </w:t>
            </w:r>
            <w:r>
              <w:rPr>
                <w:b/>
                <w:sz w:val="18"/>
              </w:rPr>
              <w:t>and</w:t>
            </w:r>
            <w:r>
              <w:rPr>
                <w:b/>
                <w:spacing w:val="-12"/>
                <w:sz w:val="18"/>
              </w:rPr>
              <w:t> </w:t>
            </w:r>
            <w:r>
              <w:rPr>
                <w:b/>
                <w:sz w:val="18"/>
              </w:rPr>
              <w:t>Scenic </w:t>
            </w:r>
            <w:r>
              <w:rPr>
                <w:b/>
                <w:spacing w:val="-2"/>
                <w:sz w:val="18"/>
              </w:rPr>
              <w:t>Rivers</w:t>
            </w:r>
          </w:p>
        </w:tc>
        <w:tc>
          <w:tcPr>
            <w:tcW w:w="680" w:type="dxa"/>
            <w:shd w:val="clear" w:color="auto" w:fill="D5E2BB"/>
            <w:textDirection w:val="btLr"/>
          </w:tcPr>
          <w:p>
            <w:pPr>
              <w:pStyle w:val="TableParagraph"/>
              <w:spacing w:line="244" w:lineRule="auto" w:before="78"/>
              <w:ind w:left="66" w:right="50" w:firstLine="144"/>
              <w:rPr>
                <w:b/>
                <w:sz w:val="18"/>
              </w:rPr>
            </w:pPr>
            <w:r>
              <w:rPr>
                <w:b/>
                <w:sz w:val="18"/>
              </w:rPr>
              <w:t>Wilderness – </w:t>
            </w:r>
            <w:r>
              <w:rPr>
                <w:b/>
                <w:spacing w:val="-2"/>
                <w:sz w:val="18"/>
              </w:rPr>
              <w:t>Congressionally</w:t>
            </w:r>
          </w:p>
          <w:p>
            <w:pPr>
              <w:pStyle w:val="TableParagraph"/>
              <w:spacing w:line="137" w:lineRule="exact" w:before="3"/>
              <w:ind w:left="282"/>
              <w:rPr>
                <w:b/>
                <w:sz w:val="18"/>
              </w:rPr>
            </w:pPr>
            <w:r>
              <w:rPr>
                <w:b/>
                <w:spacing w:val="-2"/>
                <w:sz w:val="18"/>
              </w:rPr>
              <w:t>Designated</w:t>
            </w:r>
          </w:p>
        </w:tc>
        <w:tc>
          <w:tcPr>
            <w:tcW w:w="682" w:type="dxa"/>
            <w:shd w:val="clear" w:color="auto" w:fill="D5E2BB"/>
            <w:textDirection w:val="btLr"/>
          </w:tcPr>
          <w:p>
            <w:pPr>
              <w:pStyle w:val="TableParagraph"/>
              <w:spacing w:line="247" w:lineRule="auto" w:before="77"/>
              <w:ind w:left="121" w:right="50" w:firstLine="88"/>
              <w:rPr>
                <w:b/>
                <w:sz w:val="18"/>
              </w:rPr>
            </w:pPr>
            <w:r>
              <w:rPr>
                <w:b/>
                <w:sz w:val="18"/>
              </w:rPr>
              <w:t>Wilderness – </w:t>
            </w:r>
            <w:r>
              <w:rPr>
                <w:b/>
                <w:spacing w:val="-2"/>
                <w:sz w:val="18"/>
              </w:rPr>
              <w:t>Recommended</w:t>
            </w:r>
          </w:p>
        </w:tc>
      </w:tr>
      <w:tr>
        <w:trPr>
          <w:trHeight w:val="520" w:hRule="atLeast"/>
        </w:trPr>
        <w:tc>
          <w:tcPr>
            <w:tcW w:w="4402" w:type="dxa"/>
          </w:tcPr>
          <w:p>
            <w:pPr>
              <w:pStyle w:val="TableParagraph"/>
              <w:spacing w:before="18"/>
              <w:ind w:left="42"/>
              <w:rPr>
                <w:rFonts w:ascii="Calibri"/>
                <w:b/>
                <w:sz w:val="20"/>
              </w:rPr>
            </w:pPr>
            <w:r>
              <w:rPr>
                <w:rFonts w:ascii="Calibri"/>
                <w:b/>
                <w:sz w:val="20"/>
              </w:rPr>
              <w:t>Facilities,</w:t>
            </w:r>
            <w:r>
              <w:rPr>
                <w:rFonts w:ascii="Calibri"/>
                <w:b/>
                <w:spacing w:val="-11"/>
                <w:sz w:val="20"/>
              </w:rPr>
              <w:t> </w:t>
            </w:r>
            <w:r>
              <w:rPr>
                <w:rFonts w:ascii="Calibri"/>
                <w:b/>
                <w:spacing w:val="-2"/>
                <w:sz w:val="20"/>
              </w:rPr>
              <w:t>administrative</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Y</w:t>
            </w:r>
          </w:p>
        </w:tc>
        <w:tc>
          <w:tcPr>
            <w:tcW w:w="680" w:type="dxa"/>
          </w:tcPr>
          <w:p>
            <w:pPr>
              <w:pStyle w:val="TableParagraph"/>
              <w:spacing w:before="18"/>
              <w:ind w:left="38"/>
              <w:rPr>
                <w:rFonts w:ascii="Calibri"/>
                <w:sz w:val="20"/>
              </w:rPr>
            </w:pPr>
            <w:r>
              <w:rPr>
                <w:rFonts w:ascii="Calibri"/>
                <w:spacing w:val="-10"/>
                <w:sz w:val="20"/>
              </w:rPr>
              <w:t>Y</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line="260" w:lineRule="atLeast" w:before="0"/>
              <w:ind w:left="38" w:right="167"/>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5"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18"/>
              <w:ind w:left="37"/>
              <w:rPr>
                <w:rFonts w:ascii="Calibri"/>
                <w:sz w:val="20"/>
              </w:rPr>
            </w:pPr>
            <w:r>
              <w:rPr>
                <w:rFonts w:ascii="Calibri"/>
                <w:spacing w:val="-10"/>
                <w:sz w:val="20"/>
              </w:rPr>
              <w:t>Y</w:t>
            </w:r>
          </w:p>
        </w:tc>
        <w:tc>
          <w:tcPr>
            <w:tcW w:w="680" w:type="dxa"/>
          </w:tcPr>
          <w:p>
            <w:pPr>
              <w:pStyle w:val="TableParagraph"/>
              <w:spacing w:before="18"/>
              <w:ind w:left="34"/>
              <w:rPr>
                <w:rFonts w:ascii="Calibri"/>
                <w:sz w:val="20"/>
              </w:rPr>
            </w:pPr>
            <w:r>
              <w:rPr>
                <w:rFonts w:ascii="Calibri"/>
                <w:spacing w:val="-10"/>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18"/>
              <w:ind w:left="42"/>
              <w:rPr>
                <w:rFonts w:ascii="Calibri"/>
                <w:b/>
                <w:sz w:val="20"/>
              </w:rPr>
            </w:pPr>
            <w:r>
              <w:rPr>
                <w:rFonts w:ascii="Calibri"/>
                <w:b/>
                <w:sz w:val="20"/>
              </w:rPr>
              <w:t>Facilities,</w:t>
            </w:r>
            <w:r>
              <w:rPr>
                <w:rFonts w:ascii="Calibri"/>
                <w:b/>
                <w:spacing w:val="-10"/>
                <w:sz w:val="20"/>
              </w:rPr>
              <w:t> </w:t>
            </w:r>
            <w:r>
              <w:rPr>
                <w:rFonts w:ascii="Calibri"/>
                <w:b/>
                <w:sz w:val="20"/>
              </w:rPr>
              <w:t>developed</w:t>
            </w:r>
            <w:r>
              <w:rPr>
                <w:rFonts w:ascii="Calibri"/>
                <w:b/>
                <w:spacing w:val="-8"/>
                <w:sz w:val="20"/>
              </w:rPr>
              <w:t> </w:t>
            </w:r>
            <w:r>
              <w:rPr>
                <w:rFonts w:ascii="Calibri"/>
                <w:b/>
                <w:spacing w:val="-2"/>
                <w:sz w:val="20"/>
              </w:rPr>
              <w:t>recreation</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Y</w:t>
            </w:r>
          </w:p>
        </w:tc>
        <w:tc>
          <w:tcPr>
            <w:tcW w:w="680" w:type="dxa"/>
          </w:tcPr>
          <w:p>
            <w:pPr>
              <w:pStyle w:val="TableParagraph"/>
              <w:spacing w:before="18"/>
              <w:ind w:left="38"/>
              <w:rPr>
                <w:rFonts w:ascii="Calibri"/>
                <w:sz w:val="20"/>
              </w:rPr>
            </w:pPr>
            <w:r>
              <w:rPr>
                <w:rFonts w:ascii="Calibri"/>
                <w:spacing w:val="-10"/>
                <w:sz w:val="20"/>
              </w:rPr>
              <w:t>Y</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38"/>
              <w:rPr>
                <w:rFonts w:ascii="Calibri"/>
                <w:sz w:val="20"/>
              </w:rPr>
            </w:pPr>
            <w:r>
              <w:rPr>
                <w:rFonts w:ascii="Calibri"/>
                <w:spacing w:val="-10"/>
                <w:sz w:val="20"/>
              </w:rPr>
              <w:t>N</w:t>
            </w:r>
          </w:p>
        </w:tc>
        <w:tc>
          <w:tcPr>
            <w:tcW w:w="680" w:type="dxa"/>
          </w:tcPr>
          <w:p>
            <w:pPr>
              <w:pStyle w:val="TableParagraph"/>
              <w:spacing w:line="260" w:lineRule="atLeast" w:before="0"/>
              <w:ind w:left="35"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18"/>
              <w:ind w:left="37"/>
              <w:rPr>
                <w:rFonts w:ascii="Calibri"/>
                <w:sz w:val="20"/>
              </w:rPr>
            </w:pPr>
            <w:r>
              <w:rPr>
                <w:rFonts w:ascii="Calibri"/>
                <w:spacing w:val="-10"/>
                <w:sz w:val="20"/>
              </w:rPr>
              <w:t>Y</w:t>
            </w:r>
          </w:p>
        </w:tc>
        <w:tc>
          <w:tcPr>
            <w:tcW w:w="680" w:type="dxa"/>
          </w:tcPr>
          <w:p>
            <w:pPr>
              <w:pStyle w:val="TableParagraph"/>
              <w:spacing w:before="18"/>
              <w:ind w:left="34"/>
              <w:rPr>
                <w:rFonts w:ascii="Calibri"/>
                <w:sz w:val="20"/>
              </w:rPr>
            </w:pPr>
            <w:r>
              <w:rPr>
                <w:rFonts w:ascii="Calibri"/>
                <w:spacing w:val="-10"/>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258" w:hRule="atLeast"/>
        </w:trPr>
        <w:tc>
          <w:tcPr>
            <w:tcW w:w="4402" w:type="dxa"/>
          </w:tcPr>
          <w:p>
            <w:pPr>
              <w:pStyle w:val="TableParagraph"/>
              <w:spacing w:line="220" w:lineRule="exact" w:before="18"/>
              <w:ind w:left="42"/>
              <w:rPr>
                <w:rFonts w:ascii="Calibri"/>
                <w:b/>
                <w:sz w:val="20"/>
              </w:rPr>
            </w:pPr>
            <w:r>
              <w:rPr>
                <w:rFonts w:ascii="Calibri"/>
                <w:b/>
                <w:sz w:val="20"/>
              </w:rPr>
              <w:t>Fire,</w:t>
            </w:r>
            <w:r>
              <w:rPr>
                <w:rFonts w:ascii="Calibri"/>
                <w:b/>
                <w:spacing w:val="-7"/>
                <w:sz w:val="20"/>
              </w:rPr>
              <w:t> </w:t>
            </w:r>
            <w:r>
              <w:rPr>
                <w:rFonts w:ascii="Calibri"/>
                <w:b/>
                <w:sz w:val="20"/>
              </w:rPr>
              <w:t>planned</w:t>
            </w:r>
            <w:r>
              <w:rPr>
                <w:rFonts w:ascii="Calibri"/>
                <w:b/>
                <w:spacing w:val="-4"/>
                <w:sz w:val="20"/>
              </w:rPr>
              <w:t> </w:t>
            </w:r>
            <w:r>
              <w:rPr>
                <w:rFonts w:ascii="Calibri"/>
                <w:b/>
                <w:spacing w:val="-2"/>
                <w:sz w:val="20"/>
              </w:rPr>
              <w:t>ignition</w:t>
            </w:r>
          </w:p>
        </w:tc>
        <w:tc>
          <w:tcPr>
            <w:tcW w:w="680" w:type="dxa"/>
          </w:tcPr>
          <w:p>
            <w:pPr>
              <w:pStyle w:val="TableParagraph"/>
              <w:spacing w:line="220" w:lineRule="exact" w:before="18"/>
              <w:ind w:left="40"/>
              <w:rPr>
                <w:rFonts w:ascii="Calibri"/>
                <w:sz w:val="20"/>
              </w:rPr>
            </w:pPr>
            <w:r>
              <w:rPr>
                <w:rFonts w:ascii="Calibri"/>
                <w:spacing w:val="-10"/>
                <w:sz w:val="20"/>
              </w:rPr>
              <w:t>Y</w:t>
            </w:r>
          </w:p>
        </w:tc>
        <w:tc>
          <w:tcPr>
            <w:tcW w:w="682" w:type="dxa"/>
          </w:tcPr>
          <w:p>
            <w:pPr>
              <w:pStyle w:val="TableParagraph"/>
              <w:spacing w:line="220" w:lineRule="exact" w:before="18"/>
              <w:ind w:left="41"/>
              <w:rPr>
                <w:rFonts w:ascii="Calibri"/>
                <w:sz w:val="20"/>
              </w:rPr>
            </w:pPr>
            <w:r>
              <w:rPr>
                <w:rFonts w:ascii="Calibri"/>
                <w:spacing w:val="-10"/>
                <w:sz w:val="20"/>
              </w:rPr>
              <w:t>Y</w:t>
            </w:r>
          </w:p>
        </w:tc>
        <w:tc>
          <w:tcPr>
            <w:tcW w:w="680" w:type="dxa"/>
          </w:tcPr>
          <w:p>
            <w:pPr>
              <w:pStyle w:val="TableParagraph"/>
              <w:spacing w:line="220" w:lineRule="exact" w:before="18"/>
              <w:ind w:left="38"/>
              <w:rPr>
                <w:rFonts w:ascii="Calibri"/>
                <w:sz w:val="20"/>
              </w:rPr>
            </w:pPr>
            <w:r>
              <w:rPr>
                <w:rFonts w:ascii="Calibri"/>
                <w:spacing w:val="-10"/>
                <w:sz w:val="20"/>
              </w:rPr>
              <w:t>Y</w:t>
            </w:r>
          </w:p>
        </w:tc>
        <w:tc>
          <w:tcPr>
            <w:tcW w:w="682" w:type="dxa"/>
          </w:tcPr>
          <w:p>
            <w:pPr>
              <w:pStyle w:val="TableParagraph"/>
              <w:spacing w:line="220" w:lineRule="exact" w:before="18"/>
              <w:ind w:left="40"/>
              <w:rPr>
                <w:rFonts w:ascii="Calibri"/>
                <w:sz w:val="20"/>
              </w:rPr>
            </w:pPr>
            <w:r>
              <w:rPr>
                <w:rFonts w:ascii="Calibri"/>
                <w:spacing w:val="-10"/>
                <w:sz w:val="20"/>
              </w:rPr>
              <w:t>Y</w:t>
            </w:r>
          </w:p>
        </w:tc>
        <w:tc>
          <w:tcPr>
            <w:tcW w:w="680" w:type="dxa"/>
          </w:tcPr>
          <w:p>
            <w:pPr>
              <w:pStyle w:val="TableParagraph"/>
              <w:spacing w:line="220" w:lineRule="exact" w:before="18"/>
              <w:ind w:left="40"/>
              <w:rPr>
                <w:rFonts w:ascii="Calibri"/>
                <w:sz w:val="20"/>
              </w:rPr>
            </w:pPr>
            <w:r>
              <w:rPr>
                <w:rFonts w:ascii="Calibri"/>
                <w:spacing w:val="-10"/>
                <w:sz w:val="20"/>
              </w:rPr>
              <w:t>Y</w:t>
            </w:r>
          </w:p>
        </w:tc>
        <w:tc>
          <w:tcPr>
            <w:tcW w:w="682" w:type="dxa"/>
          </w:tcPr>
          <w:p>
            <w:pPr>
              <w:pStyle w:val="TableParagraph"/>
              <w:spacing w:line="220" w:lineRule="exact" w:before="18"/>
              <w:ind w:left="39"/>
              <w:rPr>
                <w:rFonts w:ascii="Calibri"/>
                <w:sz w:val="20"/>
              </w:rPr>
            </w:pPr>
            <w:r>
              <w:rPr>
                <w:rFonts w:ascii="Calibri"/>
                <w:spacing w:val="-10"/>
                <w:sz w:val="20"/>
              </w:rPr>
              <w:t>Y</w:t>
            </w:r>
          </w:p>
        </w:tc>
        <w:tc>
          <w:tcPr>
            <w:tcW w:w="682" w:type="dxa"/>
          </w:tcPr>
          <w:p>
            <w:pPr>
              <w:pStyle w:val="TableParagraph"/>
              <w:spacing w:line="220" w:lineRule="exact" w:before="18"/>
              <w:ind w:left="38"/>
              <w:rPr>
                <w:rFonts w:ascii="Calibri"/>
                <w:sz w:val="20"/>
              </w:rPr>
            </w:pPr>
            <w:r>
              <w:rPr>
                <w:rFonts w:ascii="Calibri"/>
                <w:spacing w:val="-10"/>
                <w:sz w:val="20"/>
              </w:rPr>
              <w:t>Y</w:t>
            </w:r>
          </w:p>
        </w:tc>
        <w:tc>
          <w:tcPr>
            <w:tcW w:w="680" w:type="dxa"/>
          </w:tcPr>
          <w:p>
            <w:pPr>
              <w:pStyle w:val="TableParagraph"/>
              <w:spacing w:line="220" w:lineRule="exact" w:before="18"/>
              <w:ind w:left="35"/>
              <w:rPr>
                <w:rFonts w:ascii="Calibri"/>
                <w:sz w:val="20"/>
              </w:rPr>
            </w:pPr>
            <w:r>
              <w:rPr>
                <w:rFonts w:ascii="Calibri"/>
                <w:spacing w:val="-10"/>
                <w:sz w:val="20"/>
              </w:rPr>
              <w:t>Y</w:t>
            </w:r>
          </w:p>
        </w:tc>
        <w:tc>
          <w:tcPr>
            <w:tcW w:w="682" w:type="dxa"/>
          </w:tcPr>
          <w:p>
            <w:pPr>
              <w:pStyle w:val="TableParagraph"/>
              <w:spacing w:line="220" w:lineRule="exact" w:before="18"/>
              <w:ind w:left="37"/>
              <w:rPr>
                <w:rFonts w:ascii="Calibri"/>
                <w:sz w:val="20"/>
              </w:rPr>
            </w:pPr>
            <w:r>
              <w:rPr>
                <w:rFonts w:ascii="Calibri"/>
                <w:spacing w:val="-10"/>
                <w:sz w:val="20"/>
              </w:rPr>
              <w:t>Y</w:t>
            </w:r>
          </w:p>
        </w:tc>
        <w:tc>
          <w:tcPr>
            <w:tcW w:w="680" w:type="dxa"/>
          </w:tcPr>
          <w:p>
            <w:pPr>
              <w:pStyle w:val="TableParagraph"/>
              <w:spacing w:line="220" w:lineRule="exact" w:before="18"/>
              <w:ind w:left="34"/>
              <w:rPr>
                <w:rFonts w:ascii="Calibri"/>
                <w:sz w:val="20"/>
              </w:rPr>
            </w:pPr>
            <w:r>
              <w:rPr>
                <w:rFonts w:ascii="Calibri"/>
                <w:spacing w:val="-10"/>
                <w:sz w:val="20"/>
              </w:rPr>
              <w:t>Y</w:t>
            </w:r>
          </w:p>
        </w:tc>
        <w:tc>
          <w:tcPr>
            <w:tcW w:w="682" w:type="dxa"/>
          </w:tcPr>
          <w:p>
            <w:pPr>
              <w:pStyle w:val="TableParagraph"/>
              <w:spacing w:line="220" w:lineRule="exact" w:before="18"/>
              <w:ind w:left="36"/>
              <w:rPr>
                <w:rFonts w:ascii="Calibri"/>
                <w:sz w:val="20"/>
              </w:rPr>
            </w:pPr>
            <w:r>
              <w:rPr>
                <w:rFonts w:ascii="Calibri"/>
                <w:spacing w:val="-10"/>
                <w:sz w:val="20"/>
              </w:rPr>
              <w:t>Y</w:t>
            </w:r>
          </w:p>
        </w:tc>
        <w:tc>
          <w:tcPr>
            <w:tcW w:w="680" w:type="dxa"/>
          </w:tcPr>
          <w:p>
            <w:pPr>
              <w:pStyle w:val="TableParagraph"/>
              <w:spacing w:line="220" w:lineRule="exact" w:before="18"/>
              <w:ind w:left="35"/>
              <w:rPr>
                <w:rFonts w:ascii="Calibri"/>
                <w:sz w:val="20"/>
              </w:rPr>
            </w:pPr>
            <w:r>
              <w:rPr>
                <w:rFonts w:ascii="Calibri"/>
                <w:spacing w:val="-10"/>
                <w:sz w:val="20"/>
              </w:rPr>
              <w:t>Y</w:t>
            </w:r>
          </w:p>
        </w:tc>
        <w:tc>
          <w:tcPr>
            <w:tcW w:w="682" w:type="dxa"/>
          </w:tcPr>
          <w:p>
            <w:pPr>
              <w:pStyle w:val="TableParagraph"/>
              <w:spacing w:line="220" w:lineRule="exact" w:before="18"/>
              <w:ind w:left="35"/>
              <w:rPr>
                <w:rFonts w:ascii="Calibri"/>
                <w:sz w:val="20"/>
              </w:rPr>
            </w:pPr>
            <w:r>
              <w:rPr>
                <w:rFonts w:ascii="Calibri"/>
                <w:spacing w:val="-10"/>
                <w:sz w:val="20"/>
              </w:rPr>
              <w:t>Y</w:t>
            </w:r>
          </w:p>
        </w:tc>
      </w:tr>
      <w:tr>
        <w:trPr>
          <w:trHeight w:val="260" w:hRule="atLeast"/>
        </w:trPr>
        <w:tc>
          <w:tcPr>
            <w:tcW w:w="4402" w:type="dxa"/>
          </w:tcPr>
          <w:p>
            <w:pPr>
              <w:pStyle w:val="TableParagraph"/>
              <w:spacing w:line="220" w:lineRule="exact" w:before="20"/>
              <w:ind w:left="42"/>
              <w:rPr>
                <w:rFonts w:ascii="Calibri"/>
                <w:b/>
                <w:sz w:val="20"/>
              </w:rPr>
            </w:pPr>
            <w:r>
              <w:rPr>
                <w:rFonts w:ascii="Calibri"/>
                <w:b/>
                <w:sz w:val="20"/>
              </w:rPr>
              <w:t>Fire,</w:t>
            </w:r>
            <w:r>
              <w:rPr>
                <w:rFonts w:ascii="Calibri"/>
                <w:b/>
                <w:spacing w:val="-5"/>
                <w:sz w:val="20"/>
              </w:rPr>
              <w:t> </w:t>
            </w:r>
            <w:r>
              <w:rPr>
                <w:rFonts w:ascii="Calibri"/>
                <w:b/>
                <w:sz w:val="20"/>
              </w:rPr>
              <w:t>use</w:t>
            </w:r>
            <w:r>
              <w:rPr>
                <w:rFonts w:ascii="Calibri"/>
                <w:b/>
                <w:spacing w:val="-4"/>
                <w:sz w:val="20"/>
              </w:rPr>
              <w:t> </w:t>
            </w:r>
            <w:r>
              <w:rPr>
                <w:rFonts w:ascii="Calibri"/>
                <w:b/>
                <w:sz w:val="20"/>
              </w:rPr>
              <w:t>of</w:t>
            </w:r>
            <w:r>
              <w:rPr>
                <w:rFonts w:ascii="Calibri"/>
                <w:b/>
                <w:spacing w:val="-5"/>
                <w:sz w:val="20"/>
              </w:rPr>
              <w:t> </w:t>
            </w:r>
            <w:r>
              <w:rPr>
                <w:rFonts w:ascii="Calibri"/>
                <w:b/>
                <w:sz w:val="20"/>
              </w:rPr>
              <w:t>unplanned</w:t>
            </w:r>
            <w:r>
              <w:rPr>
                <w:rFonts w:ascii="Calibri"/>
                <w:b/>
                <w:spacing w:val="-3"/>
                <w:sz w:val="20"/>
              </w:rPr>
              <w:t> </w:t>
            </w:r>
            <w:r>
              <w:rPr>
                <w:rFonts w:ascii="Calibri"/>
                <w:b/>
                <w:spacing w:val="-2"/>
                <w:sz w:val="20"/>
              </w:rPr>
              <w:t>ignition</w:t>
            </w:r>
          </w:p>
        </w:tc>
        <w:tc>
          <w:tcPr>
            <w:tcW w:w="680" w:type="dxa"/>
          </w:tcPr>
          <w:p>
            <w:pPr>
              <w:pStyle w:val="TableParagraph"/>
              <w:spacing w:line="220" w:lineRule="exact" w:before="20"/>
              <w:ind w:left="40"/>
              <w:rPr>
                <w:rFonts w:ascii="Calibri"/>
                <w:sz w:val="20"/>
              </w:rPr>
            </w:pPr>
            <w:r>
              <w:rPr>
                <w:rFonts w:ascii="Calibri"/>
                <w:spacing w:val="-10"/>
                <w:sz w:val="20"/>
              </w:rPr>
              <w:t>Y</w:t>
            </w:r>
          </w:p>
        </w:tc>
        <w:tc>
          <w:tcPr>
            <w:tcW w:w="682" w:type="dxa"/>
          </w:tcPr>
          <w:p>
            <w:pPr>
              <w:pStyle w:val="TableParagraph"/>
              <w:spacing w:line="220" w:lineRule="exact" w:before="20"/>
              <w:ind w:left="41"/>
              <w:rPr>
                <w:rFonts w:ascii="Calibri"/>
                <w:sz w:val="20"/>
              </w:rPr>
            </w:pPr>
            <w:r>
              <w:rPr>
                <w:rFonts w:ascii="Calibri"/>
                <w:spacing w:val="-10"/>
                <w:sz w:val="20"/>
              </w:rPr>
              <w:t>Y</w:t>
            </w:r>
          </w:p>
        </w:tc>
        <w:tc>
          <w:tcPr>
            <w:tcW w:w="680" w:type="dxa"/>
          </w:tcPr>
          <w:p>
            <w:pPr>
              <w:pStyle w:val="TableParagraph"/>
              <w:spacing w:line="220" w:lineRule="exact" w:before="20"/>
              <w:ind w:left="38"/>
              <w:rPr>
                <w:rFonts w:ascii="Calibri"/>
                <w:sz w:val="20"/>
              </w:rPr>
            </w:pPr>
            <w:r>
              <w:rPr>
                <w:rFonts w:ascii="Calibri"/>
                <w:spacing w:val="-10"/>
                <w:sz w:val="20"/>
              </w:rPr>
              <w:t>Y</w:t>
            </w:r>
          </w:p>
        </w:tc>
        <w:tc>
          <w:tcPr>
            <w:tcW w:w="682" w:type="dxa"/>
          </w:tcPr>
          <w:p>
            <w:pPr>
              <w:pStyle w:val="TableParagraph"/>
              <w:spacing w:line="220" w:lineRule="exact" w:before="20"/>
              <w:ind w:left="40"/>
              <w:rPr>
                <w:rFonts w:ascii="Calibri"/>
                <w:sz w:val="20"/>
              </w:rPr>
            </w:pPr>
            <w:r>
              <w:rPr>
                <w:rFonts w:ascii="Calibri"/>
                <w:spacing w:val="-10"/>
                <w:sz w:val="20"/>
              </w:rPr>
              <w:t>Y</w:t>
            </w:r>
          </w:p>
        </w:tc>
        <w:tc>
          <w:tcPr>
            <w:tcW w:w="680" w:type="dxa"/>
          </w:tcPr>
          <w:p>
            <w:pPr>
              <w:pStyle w:val="TableParagraph"/>
              <w:spacing w:line="220" w:lineRule="exact" w:before="20"/>
              <w:ind w:left="40"/>
              <w:rPr>
                <w:rFonts w:ascii="Calibri"/>
                <w:sz w:val="20"/>
              </w:rPr>
            </w:pPr>
            <w:r>
              <w:rPr>
                <w:rFonts w:ascii="Calibri"/>
                <w:spacing w:val="-10"/>
                <w:sz w:val="20"/>
              </w:rPr>
              <w:t>Y</w:t>
            </w:r>
          </w:p>
        </w:tc>
        <w:tc>
          <w:tcPr>
            <w:tcW w:w="682" w:type="dxa"/>
          </w:tcPr>
          <w:p>
            <w:pPr>
              <w:pStyle w:val="TableParagraph"/>
              <w:spacing w:line="220" w:lineRule="exact" w:before="20"/>
              <w:ind w:left="39"/>
              <w:rPr>
                <w:rFonts w:ascii="Calibri"/>
                <w:sz w:val="20"/>
              </w:rPr>
            </w:pPr>
            <w:r>
              <w:rPr>
                <w:rFonts w:ascii="Calibri"/>
                <w:spacing w:val="-10"/>
                <w:sz w:val="20"/>
              </w:rPr>
              <w:t>Y</w:t>
            </w:r>
          </w:p>
        </w:tc>
        <w:tc>
          <w:tcPr>
            <w:tcW w:w="682" w:type="dxa"/>
          </w:tcPr>
          <w:p>
            <w:pPr>
              <w:pStyle w:val="TableParagraph"/>
              <w:spacing w:line="220" w:lineRule="exact" w:before="20"/>
              <w:ind w:left="38"/>
              <w:rPr>
                <w:rFonts w:ascii="Calibri"/>
                <w:sz w:val="20"/>
              </w:rPr>
            </w:pPr>
            <w:r>
              <w:rPr>
                <w:rFonts w:ascii="Calibri"/>
                <w:spacing w:val="-10"/>
                <w:sz w:val="20"/>
              </w:rPr>
              <w:t>Y</w:t>
            </w:r>
          </w:p>
        </w:tc>
        <w:tc>
          <w:tcPr>
            <w:tcW w:w="680" w:type="dxa"/>
          </w:tcPr>
          <w:p>
            <w:pPr>
              <w:pStyle w:val="TableParagraph"/>
              <w:spacing w:line="220" w:lineRule="exact" w:before="20"/>
              <w:ind w:left="35"/>
              <w:rPr>
                <w:rFonts w:ascii="Calibri"/>
                <w:sz w:val="20"/>
              </w:rPr>
            </w:pPr>
            <w:r>
              <w:rPr>
                <w:rFonts w:ascii="Calibri"/>
                <w:spacing w:val="-10"/>
                <w:sz w:val="20"/>
              </w:rPr>
              <w:t>Y</w:t>
            </w:r>
          </w:p>
        </w:tc>
        <w:tc>
          <w:tcPr>
            <w:tcW w:w="682" w:type="dxa"/>
          </w:tcPr>
          <w:p>
            <w:pPr>
              <w:pStyle w:val="TableParagraph"/>
              <w:spacing w:line="220" w:lineRule="exact" w:before="20"/>
              <w:ind w:left="37"/>
              <w:rPr>
                <w:rFonts w:ascii="Calibri"/>
                <w:sz w:val="20"/>
              </w:rPr>
            </w:pPr>
            <w:r>
              <w:rPr>
                <w:rFonts w:ascii="Calibri"/>
                <w:spacing w:val="-10"/>
                <w:sz w:val="20"/>
              </w:rPr>
              <w:t>Y</w:t>
            </w:r>
          </w:p>
        </w:tc>
        <w:tc>
          <w:tcPr>
            <w:tcW w:w="680" w:type="dxa"/>
          </w:tcPr>
          <w:p>
            <w:pPr>
              <w:pStyle w:val="TableParagraph"/>
              <w:spacing w:line="220" w:lineRule="exact" w:before="20"/>
              <w:ind w:left="34"/>
              <w:rPr>
                <w:rFonts w:ascii="Calibri"/>
                <w:sz w:val="20"/>
              </w:rPr>
            </w:pPr>
            <w:r>
              <w:rPr>
                <w:rFonts w:ascii="Calibri"/>
                <w:spacing w:val="-10"/>
                <w:sz w:val="20"/>
              </w:rPr>
              <w:t>Y</w:t>
            </w:r>
          </w:p>
        </w:tc>
        <w:tc>
          <w:tcPr>
            <w:tcW w:w="682" w:type="dxa"/>
          </w:tcPr>
          <w:p>
            <w:pPr>
              <w:pStyle w:val="TableParagraph"/>
              <w:spacing w:line="220" w:lineRule="exact" w:before="20"/>
              <w:ind w:left="36"/>
              <w:rPr>
                <w:rFonts w:ascii="Calibri"/>
                <w:sz w:val="20"/>
              </w:rPr>
            </w:pPr>
            <w:r>
              <w:rPr>
                <w:rFonts w:ascii="Calibri"/>
                <w:spacing w:val="-10"/>
                <w:sz w:val="20"/>
              </w:rPr>
              <w:t>Y</w:t>
            </w:r>
          </w:p>
        </w:tc>
        <w:tc>
          <w:tcPr>
            <w:tcW w:w="680" w:type="dxa"/>
          </w:tcPr>
          <w:p>
            <w:pPr>
              <w:pStyle w:val="TableParagraph"/>
              <w:spacing w:line="220" w:lineRule="exact" w:before="20"/>
              <w:ind w:left="35"/>
              <w:rPr>
                <w:rFonts w:ascii="Calibri"/>
                <w:sz w:val="20"/>
              </w:rPr>
            </w:pPr>
            <w:r>
              <w:rPr>
                <w:rFonts w:ascii="Calibri"/>
                <w:spacing w:val="-10"/>
                <w:sz w:val="20"/>
              </w:rPr>
              <w:t>Y</w:t>
            </w:r>
          </w:p>
        </w:tc>
        <w:tc>
          <w:tcPr>
            <w:tcW w:w="682" w:type="dxa"/>
          </w:tcPr>
          <w:p>
            <w:pPr>
              <w:pStyle w:val="TableParagraph"/>
              <w:spacing w:line="220" w:lineRule="exact" w:before="20"/>
              <w:ind w:left="35"/>
              <w:rPr>
                <w:rFonts w:ascii="Calibri"/>
                <w:sz w:val="20"/>
              </w:rPr>
            </w:pPr>
            <w:r>
              <w:rPr>
                <w:rFonts w:ascii="Calibri"/>
                <w:spacing w:val="-10"/>
                <w:sz w:val="20"/>
              </w:rPr>
              <w:t>Y</w:t>
            </w:r>
          </w:p>
        </w:tc>
      </w:tr>
      <w:tr>
        <w:trPr>
          <w:trHeight w:val="520" w:hRule="atLeast"/>
        </w:trPr>
        <w:tc>
          <w:tcPr>
            <w:tcW w:w="4402" w:type="dxa"/>
          </w:tcPr>
          <w:p>
            <w:pPr>
              <w:pStyle w:val="TableParagraph"/>
              <w:spacing w:line="260" w:lineRule="atLeast" w:before="0"/>
              <w:ind w:left="42"/>
              <w:rPr>
                <w:rFonts w:ascii="Calibri"/>
                <w:b/>
                <w:sz w:val="20"/>
              </w:rPr>
            </w:pPr>
            <w:r>
              <w:rPr>
                <w:rFonts w:ascii="Calibri"/>
                <w:b/>
                <w:sz w:val="20"/>
              </w:rPr>
              <w:t>Forest</w:t>
            </w:r>
            <w:r>
              <w:rPr>
                <w:rFonts w:ascii="Calibri"/>
                <w:b/>
                <w:spacing w:val="-9"/>
                <w:sz w:val="20"/>
              </w:rPr>
              <w:t> </w:t>
            </w:r>
            <w:r>
              <w:rPr>
                <w:rFonts w:ascii="Calibri"/>
                <w:b/>
                <w:sz w:val="20"/>
              </w:rPr>
              <w:t>products,</w:t>
            </w:r>
            <w:r>
              <w:rPr>
                <w:rFonts w:ascii="Calibri"/>
                <w:b/>
                <w:spacing w:val="-10"/>
                <w:sz w:val="20"/>
              </w:rPr>
              <w:t> </w:t>
            </w:r>
            <w:r>
              <w:rPr>
                <w:rFonts w:ascii="Calibri"/>
                <w:b/>
                <w:sz w:val="20"/>
              </w:rPr>
              <w:t>commercial</w:t>
            </w:r>
            <w:r>
              <w:rPr>
                <w:rFonts w:ascii="Calibri"/>
                <w:b/>
                <w:spacing w:val="-10"/>
                <w:sz w:val="20"/>
              </w:rPr>
              <w:t> </w:t>
            </w:r>
            <w:r>
              <w:rPr>
                <w:rFonts w:ascii="Calibri"/>
                <w:b/>
                <w:sz w:val="20"/>
              </w:rPr>
              <w:t>use</w:t>
            </w:r>
            <w:r>
              <w:rPr>
                <w:rFonts w:ascii="Calibri"/>
                <w:b/>
                <w:spacing w:val="-9"/>
                <w:sz w:val="20"/>
              </w:rPr>
              <w:t> </w:t>
            </w:r>
            <w:r>
              <w:rPr>
                <w:rFonts w:ascii="Calibri"/>
                <w:b/>
                <w:sz w:val="20"/>
              </w:rPr>
              <w:t>(non-timber </w:t>
            </w:r>
            <w:r>
              <w:rPr>
                <w:rFonts w:ascii="Calibri"/>
                <w:b/>
                <w:spacing w:val="-2"/>
                <w:sz w:val="20"/>
              </w:rPr>
              <w:t>harvest)</w:t>
            </w:r>
          </w:p>
        </w:tc>
        <w:tc>
          <w:tcPr>
            <w:tcW w:w="680" w:type="dxa"/>
          </w:tcPr>
          <w:p>
            <w:pPr>
              <w:pStyle w:val="TableParagraph"/>
              <w:spacing w:before="18"/>
              <w:ind w:left="40"/>
              <w:rPr>
                <w:rFonts w:ascii="Calibri"/>
                <w:sz w:val="20"/>
              </w:rPr>
            </w:pPr>
            <w:r>
              <w:rPr>
                <w:rFonts w:ascii="Calibri"/>
                <w:spacing w:val="-10"/>
                <w:sz w:val="20"/>
              </w:rPr>
              <w:t>N</w:t>
            </w:r>
          </w:p>
        </w:tc>
        <w:tc>
          <w:tcPr>
            <w:tcW w:w="682" w:type="dxa"/>
          </w:tcPr>
          <w:p>
            <w:pPr>
              <w:pStyle w:val="TableParagraph"/>
              <w:spacing w:before="18"/>
              <w:ind w:left="41"/>
              <w:rPr>
                <w:rFonts w:ascii="Calibri"/>
                <w:sz w:val="20"/>
              </w:rPr>
            </w:pPr>
            <w:r>
              <w:rPr>
                <w:rFonts w:ascii="Calibri"/>
                <w:spacing w:val="-10"/>
                <w:sz w:val="20"/>
              </w:rPr>
              <w:t>N</w:t>
            </w:r>
          </w:p>
        </w:tc>
        <w:tc>
          <w:tcPr>
            <w:tcW w:w="680" w:type="dxa"/>
          </w:tcPr>
          <w:p>
            <w:pPr>
              <w:pStyle w:val="TableParagraph"/>
              <w:spacing w:before="18"/>
              <w:ind w:left="38"/>
              <w:rPr>
                <w:rFonts w:ascii="Calibri"/>
                <w:sz w:val="20"/>
              </w:rPr>
            </w:pPr>
            <w:r>
              <w:rPr>
                <w:rFonts w:ascii="Calibri"/>
                <w:spacing w:val="-10"/>
                <w:sz w:val="20"/>
              </w:rPr>
              <w:t>N</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N</w:t>
            </w:r>
          </w:p>
        </w:tc>
        <w:tc>
          <w:tcPr>
            <w:tcW w:w="682" w:type="dxa"/>
          </w:tcPr>
          <w:p>
            <w:pPr>
              <w:pStyle w:val="TableParagraph"/>
              <w:spacing w:before="18"/>
              <w:ind w:left="39"/>
              <w:rPr>
                <w:rFonts w:ascii="Calibri"/>
                <w:sz w:val="20"/>
              </w:rPr>
            </w:pPr>
            <w:r>
              <w:rPr>
                <w:rFonts w:ascii="Calibri"/>
                <w:spacing w:val="-10"/>
                <w:sz w:val="20"/>
              </w:rPr>
              <w:t>N</w:t>
            </w:r>
          </w:p>
        </w:tc>
        <w:tc>
          <w:tcPr>
            <w:tcW w:w="680" w:type="dxa"/>
          </w:tcPr>
          <w:p>
            <w:pPr>
              <w:pStyle w:val="TableParagraph"/>
              <w:spacing w:before="18"/>
              <w:ind w:left="36"/>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18"/>
              <w:ind w:left="36"/>
              <w:rPr>
                <w:rFonts w:ascii="Calibri"/>
                <w:sz w:val="20"/>
              </w:rPr>
            </w:pPr>
            <w:r>
              <w:rPr>
                <w:rFonts w:ascii="Calibri"/>
                <w:spacing w:val="-10"/>
                <w:sz w:val="20"/>
              </w:rPr>
              <w:t>N</w:t>
            </w:r>
          </w:p>
        </w:tc>
        <w:tc>
          <w:tcPr>
            <w:tcW w:w="680" w:type="dxa"/>
          </w:tcPr>
          <w:p>
            <w:pPr>
              <w:pStyle w:val="TableParagraph"/>
              <w:spacing w:before="18"/>
              <w:ind w:left="36"/>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18"/>
              <w:ind w:left="42"/>
              <w:rPr>
                <w:rFonts w:ascii="Calibri"/>
                <w:b/>
                <w:sz w:val="20"/>
              </w:rPr>
            </w:pPr>
            <w:r>
              <w:rPr>
                <w:rFonts w:ascii="Calibri"/>
                <w:b/>
                <w:sz w:val="20"/>
              </w:rPr>
              <w:t>Forest</w:t>
            </w:r>
            <w:r>
              <w:rPr>
                <w:rFonts w:ascii="Calibri"/>
                <w:b/>
                <w:spacing w:val="-8"/>
                <w:sz w:val="20"/>
              </w:rPr>
              <w:t> </w:t>
            </w:r>
            <w:r>
              <w:rPr>
                <w:rFonts w:ascii="Calibri"/>
                <w:b/>
                <w:sz w:val="20"/>
              </w:rPr>
              <w:t>products,</w:t>
            </w:r>
            <w:r>
              <w:rPr>
                <w:rFonts w:ascii="Calibri"/>
                <w:b/>
                <w:spacing w:val="-9"/>
                <w:sz w:val="20"/>
              </w:rPr>
              <w:t> </w:t>
            </w:r>
            <w:r>
              <w:rPr>
                <w:rFonts w:ascii="Calibri"/>
                <w:b/>
                <w:sz w:val="20"/>
              </w:rPr>
              <w:t>firewood,</w:t>
            </w:r>
            <w:r>
              <w:rPr>
                <w:rFonts w:ascii="Calibri"/>
                <w:b/>
                <w:spacing w:val="-9"/>
                <w:sz w:val="20"/>
              </w:rPr>
              <w:t> </w:t>
            </w:r>
            <w:r>
              <w:rPr>
                <w:rFonts w:ascii="Calibri"/>
                <w:b/>
                <w:sz w:val="20"/>
              </w:rPr>
              <w:t>commercial</w:t>
            </w:r>
            <w:r>
              <w:rPr>
                <w:rFonts w:ascii="Calibri"/>
                <w:b/>
                <w:spacing w:val="-8"/>
                <w:sz w:val="20"/>
              </w:rPr>
              <w:t> </w:t>
            </w:r>
            <w:r>
              <w:rPr>
                <w:rFonts w:ascii="Calibri"/>
                <w:b/>
                <w:spacing w:val="-5"/>
                <w:sz w:val="20"/>
              </w:rPr>
              <w:t>use</w:t>
            </w:r>
          </w:p>
        </w:tc>
        <w:tc>
          <w:tcPr>
            <w:tcW w:w="680"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N</w:t>
            </w:r>
          </w:p>
        </w:tc>
        <w:tc>
          <w:tcPr>
            <w:tcW w:w="680" w:type="dxa"/>
          </w:tcPr>
          <w:p>
            <w:pPr>
              <w:pStyle w:val="TableParagraph"/>
              <w:spacing w:before="18"/>
              <w:ind w:left="38"/>
              <w:rPr>
                <w:rFonts w:ascii="Calibri"/>
                <w:sz w:val="20"/>
              </w:rPr>
            </w:pPr>
            <w:r>
              <w:rPr>
                <w:rFonts w:ascii="Calibri"/>
                <w:spacing w:val="-10"/>
                <w:sz w:val="20"/>
              </w:rPr>
              <w:t>N</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N</w:t>
            </w:r>
          </w:p>
        </w:tc>
        <w:tc>
          <w:tcPr>
            <w:tcW w:w="682" w:type="dxa"/>
          </w:tcPr>
          <w:p>
            <w:pPr>
              <w:pStyle w:val="TableParagraph"/>
              <w:spacing w:before="18"/>
              <w:ind w:left="39"/>
              <w:rPr>
                <w:rFonts w:ascii="Calibri"/>
                <w:sz w:val="20"/>
              </w:rPr>
            </w:pPr>
            <w:r>
              <w:rPr>
                <w:rFonts w:ascii="Calibri"/>
                <w:spacing w:val="-10"/>
                <w:sz w:val="20"/>
              </w:rPr>
              <w:t>N</w:t>
            </w:r>
          </w:p>
        </w:tc>
        <w:tc>
          <w:tcPr>
            <w:tcW w:w="680" w:type="dxa"/>
          </w:tcPr>
          <w:p>
            <w:pPr>
              <w:pStyle w:val="TableParagraph"/>
              <w:spacing w:before="18"/>
              <w:ind w:left="36"/>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18"/>
              <w:ind w:left="36"/>
              <w:rPr>
                <w:rFonts w:ascii="Calibri"/>
                <w:sz w:val="20"/>
              </w:rPr>
            </w:pPr>
            <w:r>
              <w:rPr>
                <w:rFonts w:ascii="Calibri"/>
                <w:spacing w:val="-10"/>
                <w:sz w:val="20"/>
              </w:rPr>
              <w:t>N</w:t>
            </w:r>
          </w:p>
        </w:tc>
        <w:tc>
          <w:tcPr>
            <w:tcW w:w="680" w:type="dxa"/>
          </w:tcPr>
          <w:p>
            <w:pPr>
              <w:pStyle w:val="TableParagraph"/>
              <w:spacing w:before="18"/>
              <w:ind w:left="36"/>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260" w:hRule="atLeast"/>
        </w:trPr>
        <w:tc>
          <w:tcPr>
            <w:tcW w:w="4402" w:type="dxa"/>
          </w:tcPr>
          <w:p>
            <w:pPr>
              <w:pStyle w:val="TableParagraph"/>
              <w:spacing w:line="223" w:lineRule="exact" w:before="18"/>
              <w:ind w:left="42"/>
              <w:rPr>
                <w:rFonts w:ascii="Calibri"/>
                <w:b/>
                <w:sz w:val="20"/>
              </w:rPr>
            </w:pPr>
            <w:r>
              <w:rPr>
                <w:rFonts w:ascii="Calibri"/>
                <w:b/>
                <w:sz w:val="20"/>
              </w:rPr>
              <w:t>Forest</w:t>
            </w:r>
            <w:r>
              <w:rPr>
                <w:rFonts w:ascii="Calibri"/>
                <w:b/>
                <w:spacing w:val="-8"/>
                <w:sz w:val="20"/>
              </w:rPr>
              <w:t> </w:t>
            </w:r>
            <w:r>
              <w:rPr>
                <w:rFonts w:ascii="Calibri"/>
                <w:b/>
                <w:sz w:val="20"/>
              </w:rPr>
              <w:t>products,</w:t>
            </w:r>
            <w:r>
              <w:rPr>
                <w:rFonts w:ascii="Calibri"/>
                <w:b/>
                <w:spacing w:val="-8"/>
                <w:sz w:val="20"/>
              </w:rPr>
              <w:t> </w:t>
            </w:r>
            <w:r>
              <w:rPr>
                <w:rFonts w:ascii="Calibri"/>
                <w:b/>
                <w:sz w:val="20"/>
              </w:rPr>
              <w:t>firewood,</w:t>
            </w:r>
            <w:r>
              <w:rPr>
                <w:rFonts w:ascii="Calibri"/>
                <w:b/>
                <w:spacing w:val="-8"/>
                <w:sz w:val="20"/>
              </w:rPr>
              <w:t> </w:t>
            </w:r>
            <w:r>
              <w:rPr>
                <w:rFonts w:ascii="Calibri"/>
                <w:b/>
                <w:sz w:val="20"/>
              </w:rPr>
              <w:t>permitted</w:t>
            </w:r>
            <w:r>
              <w:rPr>
                <w:rFonts w:ascii="Calibri"/>
                <w:b/>
                <w:spacing w:val="-7"/>
                <w:sz w:val="20"/>
              </w:rPr>
              <w:t> </w:t>
            </w:r>
            <w:r>
              <w:rPr>
                <w:rFonts w:ascii="Calibri"/>
                <w:b/>
                <w:sz w:val="20"/>
              </w:rPr>
              <w:t>personal</w:t>
            </w:r>
            <w:r>
              <w:rPr>
                <w:rFonts w:ascii="Calibri"/>
                <w:b/>
                <w:spacing w:val="-8"/>
                <w:sz w:val="20"/>
              </w:rPr>
              <w:t> </w:t>
            </w:r>
            <w:r>
              <w:rPr>
                <w:rFonts w:ascii="Calibri"/>
                <w:b/>
                <w:spacing w:val="-5"/>
                <w:sz w:val="20"/>
              </w:rPr>
              <w:t>use</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41"/>
              <w:rPr>
                <w:rFonts w:ascii="Calibri"/>
                <w:sz w:val="20"/>
              </w:rPr>
            </w:pPr>
            <w:r>
              <w:rPr>
                <w:rFonts w:ascii="Calibri"/>
                <w:spacing w:val="-10"/>
                <w:sz w:val="20"/>
              </w:rPr>
              <w:t>N</w:t>
            </w:r>
          </w:p>
        </w:tc>
        <w:tc>
          <w:tcPr>
            <w:tcW w:w="680" w:type="dxa"/>
          </w:tcPr>
          <w:p>
            <w:pPr>
              <w:pStyle w:val="TableParagraph"/>
              <w:spacing w:line="223" w:lineRule="exact" w:before="18"/>
              <w:ind w:left="38"/>
              <w:rPr>
                <w:rFonts w:ascii="Calibri"/>
                <w:sz w:val="20"/>
              </w:rPr>
            </w:pPr>
            <w:r>
              <w:rPr>
                <w:rFonts w:ascii="Calibri"/>
                <w:spacing w:val="-10"/>
                <w:sz w:val="20"/>
              </w:rPr>
              <w:t>N</w:t>
            </w:r>
          </w:p>
        </w:tc>
        <w:tc>
          <w:tcPr>
            <w:tcW w:w="682" w:type="dxa"/>
          </w:tcPr>
          <w:p>
            <w:pPr>
              <w:pStyle w:val="TableParagraph"/>
              <w:spacing w:line="223" w:lineRule="exact" w:before="18"/>
              <w:ind w:left="40"/>
              <w:rPr>
                <w:rFonts w:ascii="Calibri"/>
                <w:sz w:val="20"/>
              </w:rPr>
            </w:pPr>
            <w:r>
              <w:rPr>
                <w:rFonts w:ascii="Calibri"/>
                <w:spacing w:val="-10"/>
                <w:sz w:val="20"/>
              </w:rPr>
              <w:t>Y</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39"/>
              <w:rPr>
                <w:rFonts w:ascii="Calibri"/>
                <w:sz w:val="20"/>
              </w:rPr>
            </w:pPr>
            <w:r>
              <w:rPr>
                <w:rFonts w:ascii="Calibri"/>
                <w:spacing w:val="-10"/>
                <w:sz w:val="20"/>
              </w:rPr>
              <w:t>Y</w:t>
            </w:r>
          </w:p>
        </w:tc>
        <w:tc>
          <w:tcPr>
            <w:tcW w:w="682" w:type="dxa"/>
          </w:tcPr>
          <w:p>
            <w:pPr>
              <w:pStyle w:val="TableParagraph"/>
              <w:spacing w:line="223" w:lineRule="exact" w:before="18"/>
              <w:ind w:left="38"/>
              <w:rPr>
                <w:rFonts w:ascii="Calibri"/>
                <w:sz w:val="20"/>
              </w:rPr>
            </w:pPr>
            <w:r>
              <w:rPr>
                <w:rFonts w:ascii="Calibri"/>
                <w:spacing w:val="-10"/>
                <w:sz w:val="20"/>
              </w:rPr>
              <w:t>N</w:t>
            </w:r>
          </w:p>
        </w:tc>
        <w:tc>
          <w:tcPr>
            <w:tcW w:w="680" w:type="dxa"/>
          </w:tcPr>
          <w:p>
            <w:pPr>
              <w:pStyle w:val="TableParagraph"/>
              <w:spacing w:line="223" w:lineRule="exact" w:before="18"/>
              <w:ind w:left="35"/>
              <w:rPr>
                <w:rFonts w:ascii="Calibri"/>
                <w:sz w:val="20"/>
              </w:rPr>
            </w:pPr>
            <w:r>
              <w:rPr>
                <w:rFonts w:ascii="Calibri"/>
                <w:spacing w:val="-10"/>
                <w:sz w:val="20"/>
              </w:rPr>
              <w:t>N</w:t>
            </w:r>
          </w:p>
        </w:tc>
        <w:tc>
          <w:tcPr>
            <w:tcW w:w="682" w:type="dxa"/>
          </w:tcPr>
          <w:p>
            <w:pPr>
              <w:pStyle w:val="TableParagraph"/>
              <w:spacing w:line="223" w:lineRule="exact" w:before="18"/>
              <w:ind w:left="37"/>
              <w:rPr>
                <w:rFonts w:ascii="Calibri"/>
                <w:sz w:val="20"/>
              </w:rPr>
            </w:pPr>
            <w:r>
              <w:rPr>
                <w:rFonts w:ascii="Calibri"/>
                <w:spacing w:val="-10"/>
                <w:sz w:val="20"/>
              </w:rPr>
              <w:t>Y</w:t>
            </w:r>
          </w:p>
        </w:tc>
        <w:tc>
          <w:tcPr>
            <w:tcW w:w="680" w:type="dxa"/>
          </w:tcPr>
          <w:p>
            <w:pPr>
              <w:pStyle w:val="TableParagraph"/>
              <w:spacing w:line="223" w:lineRule="exact" w:before="18"/>
              <w:ind w:left="34"/>
              <w:rPr>
                <w:rFonts w:ascii="Calibri"/>
                <w:sz w:val="20"/>
              </w:rPr>
            </w:pPr>
            <w:r>
              <w:rPr>
                <w:rFonts w:ascii="Calibri"/>
                <w:spacing w:val="-10"/>
                <w:sz w:val="20"/>
              </w:rPr>
              <w:t>Y</w:t>
            </w:r>
          </w:p>
        </w:tc>
        <w:tc>
          <w:tcPr>
            <w:tcW w:w="682" w:type="dxa"/>
          </w:tcPr>
          <w:p>
            <w:pPr>
              <w:pStyle w:val="TableParagraph"/>
              <w:spacing w:line="223" w:lineRule="exact" w:before="18"/>
              <w:ind w:left="36"/>
              <w:rPr>
                <w:rFonts w:ascii="Calibri"/>
                <w:sz w:val="20"/>
              </w:rPr>
            </w:pPr>
            <w:r>
              <w:rPr>
                <w:rFonts w:ascii="Calibri"/>
                <w:spacing w:val="-10"/>
                <w:sz w:val="20"/>
              </w:rPr>
              <w:t>N</w:t>
            </w:r>
          </w:p>
        </w:tc>
        <w:tc>
          <w:tcPr>
            <w:tcW w:w="680" w:type="dxa"/>
          </w:tcPr>
          <w:p>
            <w:pPr>
              <w:pStyle w:val="TableParagraph"/>
              <w:spacing w:line="223" w:lineRule="exact" w:before="18"/>
              <w:ind w:left="35"/>
              <w:rPr>
                <w:rFonts w:ascii="Calibri"/>
                <w:sz w:val="20"/>
              </w:rPr>
            </w:pPr>
            <w:r>
              <w:rPr>
                <w:rFonts w:ascii="Calibri"/>
                <w:spacing w:val="-10"/>
                <w:sz w:val="20"/>
              </w:rPr>
              <w:t>N</w:t>
            </w:r>
          </w:p>
        </w:tc>
        <w:tc>
          <w:tcPr>
            <w:tcW w:w="682" w:type="dxa"/>
          </w:tcPr>
          <w:p>
            <w:pPr>
              <w:pStyle w:val="TableParagraph"/>
              <w:spacing w:line="223" w:lineRule="exact" w:before="18"/>
              <w:ind w:left="35"/>
              <w:rPr>
                <w:rFonts w:ascii="Calibri"/>
                <w:sz w:val="20"/>
              </w:rPr>
            </w:pPr>
            <w:r>
              <w:rPr>
                <w:rFonts w:ascii="Calibri"/>
                <w:spacing w:val="-10"/>
                <w:sz w:val="20"/>
              </w:rPr>
              <w:t>N</w:t>
            </w:r>
          </w:p>
        </w:tc>
      </w:tr>
      <w:tr>
        <w:trPr>
          <w:trHeight w:val="260" w:hRule="atLeast"/>
        </w:trPr>
        <w:tc>
          <w:tcPr>
            <w:tcW w:w="4402" w:type="dxa"/>
          </w:tcPr>
          <w:p>
            <w:pPr>
              <w:pStyle w:val="TableParagraph"/>
              <w:spacing w:line="223" w:lineRule="exact" w:before="18"/>
              <w:ind w:left="42"/>
              <w:rPr>
                <w:rFonts w:ascii="Calibri"/>
                <w:b/>
                <w:sz w:val="20"/>
              </w:rPr>
            </w:pPr>
            <w:r>
              <w:rPr>
                <w:rFonts w:ascii="Calibri"/>
                <w:b/>
                <w:sz w:val="20"/>
              </w:rPr>
              <w:t>Forest</w:t>
            </w:r>
            <w:r>
              <w:rPr>
                <w:rFonts w:ascii="Calibri"/>
                <w:b/>
                <w:spacing w:val="-7"/>
                <w:sz w:val="20"/>
              </w:rPr>
              <w:t> </w:t>
            </w:r>
            <w:r>
              <w:rPr>
                <w:rFonts w:ascii="Calibri"/>
                <w:b/>
                <w:sz w:val="20"/>
              </w:rPr>
              <w:t>products,</w:t>
            </w:r>
            <w:r>
              <w:rPr>
                <w:rFonts w:ascii="Calibri"/>
                <w:b/>
                <w:spacing w:val="-7"/>
                <w:sz w:val="20"/>
              </w:rPr>
              <w:t> </w:t>
            </w:r>
            <w:r>
              <w:rPr>
                <w:rFonts w:ascii="Calibri"/>
                <w:b/>
                <w:sz w:val="20"/>
              </w:rPr>
              <w:t>personal</w:t>
            </w:r>
            <w:r>
              <w:rPr>
                <w:rFonts w:ascii="Calibri"/>
                <w:b/>
                <w:spacing w:val="-7"/>
                <w:sz w:val="20"/>
              </w:rPr>
              <w:t> </w:t>
            </w:r>
            <w:r>
              <w:rPr>
                <w:rFonts w:ascii="Calibri"/>
                <w:b/>
                <w:spacing w:val="-5"/>
                <w:sz w:val="20"/>
              </w:rPr>
              <w:t>use</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41"/>
              <w:rPr>
                <w:rFonts w:ascii="Calibri"/>
                <w:sz w:val="20"/>
              </w:rPr>
            </w:pPr>
            <w:r>
              <w:rPr>
                <w:rFonts w:ascii="Calibri"/>
                <w:spacing w:val="-10"/>
                <w:sz w:val="20"/>
              </w:rPr>
              <w:t>N</w:t>
            </w:r>
          </w:p>
        </w:tc>
        <w:tc>
          <w:tcPr>
            <w:tcW w:w="680" w:type="dxa"/>
          </w:tcPr>
          <w:p>
            <w:pPr>
              <w:pStyle w:val="TableParagraph"/>
              <w:spacing w:line="223" w:lineRule="exact" w:before="18"/>
              <w:ind w:left="38"/>
              <w:rPr>
                <w:rFonts w:ascii="Calibri"/>
                <w:sz w:val="20"/>
              </w:rPr>
            </w:pPr>
            <w:r>
              <w:rPr>
                <w:rFonts w:ascii="Calibri"/>
                <w:spacing w:val="-10"/>
                <w:sz w:val="20"/>
              </w:rPr>
              <w:t>N</w:t>
            </w:r>
          </w:p>
        </w:tc>
        <w:tc>
          <w:tcPr>
            <w:tcW w:w="682" w:type="dxa"/>
          </w:tcPr>
          <w:p>
            <w:pPr>
              <w:pStyle w:val="TableParagraph"/>
              <w:spacing w:line="223" w:lineRule="exact" w:before="18"/>
              <w:ind w:left="40"/>
              <w:rPr>
                <w:rFonts w:ascii="Calibri"/>
                <w:sz w:val="20"/>
              </w:rPr>
            </w:pPr>
            <w:r>
              <w:rPr>
                <w:rFonts w:ascii="Calibri"/>
                <w:spacing w:val="-10"/>
                <w:sz w:val="20"/>
              </w:rPr>
              <w:t>Y</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39"/>
              <w:rPr>
                <w:rFonts w:ascii="Calibri"/>
                <w:sz w:val="20"/>
              </w:rPr>
            </w:pPr>
            <w:r>
              <w:rPr>
                <w:rFonts w:ascii="Calibri"/>
                <w:spacing w:val="-10"/>
                <w:sz w:val="20"/>
              </w:rPr>
              <w:t>Y</w:t>
            </w:r>
          </w:p>
        </w:tc>
        <w:tc>
          <w:tcPr>
            <w:tcW w:w="682" w:type="dxa"/>
          </w:tcPr>
          <w:p>
            <w:pPr>
              <w:pStyle w:val="TableParagraph"/>
              <w:spacing w:line="223" w:lineRule="exact" w:before="18"/>
              <w:ind w:left="38"/>
              <w:rPr>
                <w:rFonts w:ascii="Calibri"/>
                <w:sz w:val="20"/>
              </w:rPr>
            </w:pPr>
            <w:r>
              <w:rPr>
                <w:rFonts w:ascii="Calibri"/>
                <w:spacing w:val="-10"/>
                <w:sz w:val="20"/>
              </w:rPr>
              <w:t>N</w:t>
            </w:r>
          </w:p>
        </w:tc>
        <w:tc>
          <w:tcPr>
            <w:tcW w:w="680" w:type="dxa"/>
          </w:tcPr>
          <w:p>
            <w:pPr>
              <w:pStyle w:val="TableParagraph"/>
              <w:spacing w:line="223" w:lineRule="exact" w:before="18"/>
              <w:ind w:left="35"/>
              <w:rPr>
                <w:rFonts w:ascii="Calibri"/>
                <w:sz w:val="20"/>
              </w:rPr>
            </w:pPr>
            <w:r>
              <w:rPr>
                <w:rFonts w:ascii="Calibri"/>
                <w:spacing w:val="-10"/>
                <w:sz w:val="20"/>
              </w:rPr>
              <w:t>Y</w:t>
            </w:r>
          </w:p>
        </w:tc>
        <w:tc>
          <w:tcPr>
            <w:tcW w:w="682" w:type="dxa"/>
          </w:tcPr>
          <w:p>
            <w:pPr>
              <w:pStyle w:val="TableParagraph"/>
              <w:spacing w:line="223" w:lineRule="exact" w:before="18"/>
              <w:ind w:left="37"/>
              <w:rPr>
                <w:rFonts w:ascii="Calibri"/>
                <w:sz w:val="20"/>
              </w:rPr>
            </w:pPr>
            <w:r>
              <w:rPr>
                <w:rFonts w:ascii="Calibri"/>
                <w:spacing w:val="-10"/>
                <w:sz w:val="20"/>
              </w:rPr>
              <w:t>Y</w:t>
            </w:r>
          </w:p>
        </w:tc>
        <w:tc>
          <w:tcPr>
            <w:tcW w:w="680" w:type="dxa"/>
          </w:tcPr>
          <w:p>
            <w:pPr>
              <w:pStyle w:val="TableParagraph"/>
              <w:spacing w:line="223" w:lineRule="exact" w:before="18"/>
              <w:ind w:left="34"/>
              <w:rPr>
                <w:rFonts w:ascii="Calibri"/>
                <w:sz w:val="20"/>
              </w:rPr>
            </w:pPr>
            <w:r>
              <w:rPr>
                <w:rFonts w:ascii="Calibri"/>
                <w:spacing w:val="-10"/>
                <w:sz w:val="20"/>
              </w:rPr>
              <w:t>Y</w:t>
            </w:r>
          </w:p>
        </w:tc>
        <w:tc>
          <w:tcPr>
            <w:tcW w:w="682" w:type="dxa"/>
          </w:tcPr>
          <w:p>
            <w:pPr>
              <w:pStyle w:val="TableParagraph"/>
              <w:spacing w:line="223" w:lineRule="exact" w:before="18"/>
              <w:ind w:left="36"/>
              <w:rPr>
                <w:rFonts w:ascii="Calibri"/>
                <w:sz w:val="20"/>
              </w:rPr>
            </w:pPr>
            <w:r>
              <w:rPr>
                <w:rFonts w:ascii="Calibri"/>
                <w:spacing w:val="-10"/>
                <w:sz w:val="20"/>
              </w:rPr>
              <w:t>Y</w:t>
            </w:r>
          </w:p>
        </w:tc>
        <w:tc>
          <w:tcPr>
            <w:tcW w:w="680" w:type="dxa"/>
          </w:tcPr>
          <w:p>
            <w:pPr>
              <w:pStyle w:val="TableParagraph"/>
              <w:spacing w:line="223" w:lineRule="exact" w:before="18"/>
              <w:ind w:left="35"/>
              <w:rPr>
                <w:rFonts w:ascii="Calibri"/>
                <w:sz w:val="20"/>
              </w:rPr>
            </w:pPr>
            <w:r>
              <w:rPr>
                <w:rFonts w:ascii="Calibri"/>
                <w:spacing w:val="-10"/>
                <w:sz w:val="20"/>
              </w:rPr>
              <w:t>Y</w:t>
            </w:r>
          </w:p>
        </w:tc>
        <w:tc>
          <w:tcPr>
            <w:tcW w:w="682" w:type="dxa"/>
          </w:tcPr>
          <w:p>
            <w:pPr>
              <w:pStyle w:val="TableParagraph"/>
              <w:spacing w:line="223" w:lineRule="exact" w:before="18"/>
              <w:ind w:left="35"/>
              <w:rPr>
                <w:rFonts w:ascii="Calibri"/>
                <w:sz w:val="20"/>
              </w:rPr>
            </w:pPr>
            <w:r>
              <w:rPr>
                <w:rFonts w:ascii="Calibri"/>
                <w:spacing w:val="-10"/>
                <w:sz w:val="20"/>
              </w:rPr>
              <w:t>Y</w:t>
            </w:r>
          </w:p>
        </w:tc>
      </w:tr>
    </w:tbl>
    <w:p>
      <w:pPr>
        <w:spacing w:before="202"/>
        <w:ind w:left="726" w:right="0" w:firstLine="0"/>
        <w:jc w:val="left"/>
        <w:rPr>
          <w:sz w:val="20"/>
        </w:rPr>
      </w:pPr>
      <w:r>
        <w:rPr>
          <w:sz w:val="18"/>
        </w:rPr>
        <w:t>For</w:t>
      </w:r>
      <w:r>
        <w:rPr>
          <w:spacing w:val="6"/>
          <w:sz w:val="18"/>
        </w:rPr>
        <w:t> </w:t>
      </w:r>
      <w:r>
        <w:rPr>
          <w:sz w:val="18"/>
        </w:rPr>
        <w:t>more</w:t>
      </w:r>
      <w:r>
        <w:rPr>
          <w:spacing w:val="6"/>
          <w:sz w:val="18"/>
        </w:rPr>
        <w:t> </w:t>
      </w:r>
      <w:r>
        <w:rPr>
          <w:sz w:val="18"/>
        </w:rPr>
        <w:t>detailed</w:t>
      </w:r>
      <w:r>
        <w:rPr>
          <w:spacing w:val="7"/>
          <w:sz w:val="18"/>
        </w:rPr>
        <w:t> </w:t>
      </w:r>
      <w:r>
        <w:rPr>
          <w:sz w:val="18"/>
        </w:rPr>
        <w:t>information</w:t>
      </w:r>
      <w:r>
        <w:rPr>
          <w:spacing w:val="6"/>
          <w:sz w:val="18"/>
        </w:rPr>
        <w:t> </w:t>
      </w:r>
      <w:r>
        <w:rPr>
          <w:sz w:val="18"/>
        </w:rPr>
        <w:t>on</w:t>
      </w:r>
      <w:r>
        <w:rPr>
          <w:spacing w:val="7"/>
          <w:sz w:val="18"/>
        </w:rPr>
        <w:t> </w:t>
      </w:r>
      <w:r>
        <w:rPr>
          <w:sz w:val="18"/>
        </w:rPr>
        <w:t>suitable</w:t>
      </w:r>
      <w:r>
        <w:rPr>
          <w:spacing w:val="6"/>
          <w:sz w:val="18"/>
        </w:rPr>
        <w:t> </w:t>
      </w:r>
      <w:r>
        <w:rPr>
          <w:sz w:val="18"/>
        </w:rPr>
        <w:t>uses</w:t>
      </w:r>
      <w:r>
        <w:rPr>
          <w:spacing w:val="6"/>
          <w:sz w:val="18"/>
        </w:rPr>
        <w:t> </w:t>
      </w:r>
      <w:r>
        <w:rPr>
          <w:sz w:val="18"/>
        </w:rPr>
        <w:t>for</w:t>
      </w:r>
      <w:r>
        <w:rPr>
          <w:spacing w:val="7"/>
          <w:sz w:val="18"/>
        </w:rPr>
        <w:t> </w:t>
      </w:r>
      <w:r>
        <w:rPr>
          <w:sz w:val="18"/>
        </w:rPr>
        <w:t>each</w:t>
      </w:r>
      <w:r>
        <w:rPr>
          <w:spacing w:val="6"/>
          <w:sz w:val="18"/>
        </w:rPr>
        <w:t> </w:t>
      </w:r>
      <w:r>
        <w:rPr>
          <w:sz w:val="18"/>
        </w:rPr>
        <w:t>Management</w:t>
      </w:r>
      <w:r>
        <w:rPr>
          <w:spacing w:val="7"/>
          <w:sz w:val="18"/>
        </w:rPr>
        <w:t> </w:t>
      </w:r>
      <w:r>
        <w:rPr>
          <w:sz w:val="18"/>
        </w:rPr>
        <w:t>Area,</w:t>
      </w:r>
      <w:r>
        <w:rPr>
          <w:spacing w:val="6"/>
          <w:sz w:val="18"/>
        </w:rPr>
        <w:t> </w:t>
      </w:r>
      <w:r>
        <w:rPr>
          <w:sz w:val="18"/>
        </w:rPr>
        <w:t>see</w:t>
      </w:r>
      <w:r>
        <w:rPr>
          <w:spacing w:val="6"/>
          <w:sz w:val="18"/>
        </w:rPr>
        <w:t> </w:t>
      </w:r>
      <w:r>
        <w:rPr>
          <w:sz w:val="18"/>
        </w:rPr>
        <w:t>suitable</w:t>
      </w:r>
      <w:r>
        <w:rPr>
          <w:spacing w:val="7"/>
          <w:sz w:val="18"/>
        </w:rPr>
        <w:t> </w:t>
      </w:r>
      <w:r>
        <w:rPr>
          <w:sz w:val="18"/>
        </w:rPr>
        <w:t>uses</w:t>
      </w:r>
      <w:r>
        <w:rPr>
          <w:spacing w:val="6"/>
          <w:sz w:val="18"/>
        </w:rPr>
        <w:t> </w:t>
      </w:r>
      <w:r>
        <w:rPr>
          <w:sz w:val="18"/>
        </w:rPr>
        <w:t>tables</w:t>
      </w:r>
      <w:r>
        <w:rPr>
          <w:spacing w:val="7"/>
          <w:sz w:val="18"/>
        </w:rPr>
        <w:t> </w:t>
      </w:r>
      <w:r>
        <w:rPr>
          <w:sz w:val="18"/>
        </w:rPr>
        <w:t>in</w:t>
      </w:r>
      <w:r>
        <w:rPr>
          <w:spacing w:val="6"/>
          <w:sz w:val="18"/>
        </w:rPr>
        <w:t> </w:t>
      </w:r>
      <w:r>
        <w:rPr>
          <w:sz w:val="18"/>
        </w:rPr>
        <w:t>Chapter</w:t>
      </w:r>
      <w:r>
        <w:rPr>
          <w:spacing w:val="7"/>
          <w:sz w:val="18"/>
        </w:rPr>
        <w:t> </w:t>
      </w:r>
      <w:r>
        <w:rPr>
          <w:spacing w:val="-5"/>
          <w:sz w:val="18"/>
        </w:rPr>
        <w:t>3</w:t>
      </w:r>
      <w:r>
        <w:rPr>
          <w:spacing w:val="-5"/>
          <w:sz w:val="20"/>
        </w:rPr>
        <w:t>.</w:t>
      </w:r>
    </w:p>
    <w:p>
      <w:pPr>
        <w:spacing w:after="0"/>
        <w:jc w:val="left"/>
        <w:rPr>
          <w:sz w:val="20"/>
        </w:rPr>
        <w:sectPr>
          <w:headerReference w:type="even" r:id="rId124"/>
          <w:headerReference w:type="default" r:id="rId125"/>
          <w:footerReference w:type="even" r:id="rId126"/>
          <w:footerReference w:type="default" r:id="rId127"/>
          <w:pgSz w:w="15850" w:h="12250" w:orient="landscape"/>
          <w:pgMar w:header="725" w:footer="891" w:top="1440" w:bottom="1080" w:left="1080" w:right="1080"/>
          <w:pgNumType w:start="206"/>
        </w:sectPr>
      </w:pPr>
    </w:p>
    <w:p>
      <w:pPr>
        <w:pStyle w:val="BodyText"/>
        <w:spacing w:before="168"/>
        <w:rPr>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02"/>
        <w:gridCol w:w="680"/>
        <w:gridCol w:w="682"/>
        <w:gridCol w:w="680"/>
        <w:gridCol w:w="682"/>
        <w:gridCol w:w="680"/>
        <w:gridCol w:w="682"/>
        <w:gridCol w:w="682"/>
        <w:gridCol w:w="680"/>
        <w:gridCol w:w="682"/>
        <w:gridCol w:w="680"/>
        <w:gridCol w:w="682"/>
        <w:gridCol w:w="680"/>
        <w:gridCol w:w="682"/>
      </w:tblGrid>
      <w:tr>
        <w:trPr>
          <w:trHeight w:val="771" w:hRule="atLeast"/>
        </w:trPr>
        <w:tc>
          <w:tcPr>
            <w:tcW w:w="4402" w:type="dxa"/>
            <w:vMerge w:val="restart"/>
            <w:tcBorders>
              <w:top w:val="nil"/>
            </w:tcBorders>
            <w:shd w:val="clear" w:color="auto" w:fill="D5E2BB"/>
          </w:tcPr>
          <w:p>
            <w:pPr>
              <w:pStyle w:val="TableParagraph"/>
              <w:ind w:left="16"/>
              <w:jc w:val="center"/>
              <w:rPr>
                <w:b/>
                <w:sz w:val="18"/>
              </w:rPr>
            </w:pPr>
            <w:r>
              <w:rPr>
                <w:b/>
                <w:sz w:val="18"/>
              </w:rPr>
              <w:t>Suitable</w:t>
            </w:r>
            <w:r>
              <w:rPr>
                <w:b/>
                <w:spacing w:val="-3"/>
                <w:sz w:val="18"/>
              </w:rPr>
              <w:t> </w:t>
            </w:r>
            <w:r>
              <w:rPr>
                <w:b/>
                <w:spacing w:val="-4"/>
                <w:sz w:val="18"/>
              </w:rPr>
              <w:t>uses</w:t>
            </w:r>
          </w:p>
        </w:tc>
        <w:tc>
          <w:tcPr>
            <w:tcW w:w="8854" w:type="dxa"/>
            <w:gridSpan w:val="13"/>
            <w:shd w:val="clear" w:color="auto" w:fill="D5E2BB"/>
          </w:tcPr>
          <w:p>
            <w:pPr>
              <w:pStyle w:val="TableParagraph"/>
              <w:spacing w:line="207" w:lineRule="exact"/>
              <w:ind w:left="11"/>
              <w:jc w:val="center"/>
              <w:rPr>
                <w:b/>
                <w:sz w:val="18"/>
              </w:rPr>
            </w:pPr>
            <w:r>
              <w:rPr>
                <w:b/>
                <w:sz w:val="18"/>
              </w:rPr>
              <w:t>Forest</w:t>
            </w:r>
            <w:r>
              <w:rPr>
                <w:b/>
                <w:spacing w:val="-3"/>
                <w:sz w:val="18"/>
              </w:rPr>
              <w:t> </w:t>
            </w:r>
            <w:r>
              <w:rPr>
                <w:b/>
                <w:sz w:val="18"/>
              </w:rPr>
              <w:t>Plan</w:t>
            </w:r>
            <w:r>
              <w:rPr>
                <w:b/>
                <w:spacing w:val="-3"/>
                <w:sz w:val="18"/>
              </w:rPr>
              <w:t> </w:t>
            </w:r>
            <w:r>
              <w:rPr>
                <w:b/>
                <w:sz w:val="18"/>
              </w:rPr>
              <w:t>management</w:t>
            </w:r>
            <w:r>
              <w:rPr>
                <w:b/>
                <w:spacing w:val="-2"/>
                <w:sz w:val="18"/>
              </w:rPr>
              <w:t> areas</w:t>
            </w:r>
          </w:p>
          <w:p>
            <w:pPr>
              <w:pStyle w:val="TableParagraph"/>
              <w:spacing w:line="207" w:lineRule="exact" w:before="0"/>
              <w:ind w:left="11" w:right="3"/>
              <w:jc w:val="center"/>
              <w:rPr>
                <w:b/>
                <w:sz w:val="18"/>
              </w:rPr>
            </w:pPr>
            <w:r>
              <w:rPr>
                <w:b/>
                <w:sz w:val="18"/>
              </w:rPr>
              <w:t>(May</w:t>
            </w:r>
            <w:r>
              <w:rPr>
                <w:b/>
                <w:spacing w:val="-10"/>
                <w:sz w:val="18"/>
              </w:rPr>
              <w:t> </w:t>
            </w:r>
            <w:r>
              <w:rPr>
                <w:b/>
                <w:sz w:val="18"/>
              </w:rPr>
              <w:t>authorize</w:t>
            </w:r>
            <w:r>
              <w:rPr>
                <w:b/>
                <w:spacing w:val="-1"/>
                <w:sz w:val="18"/>
              </w:rPr>
              <w:t> </w:t>
            </w:r>
            <w:r>
              <w:rPr>
                <w:b/>
                <w:sz w:val="18"/>
              </w:rPr>
              <w:t>=</w:t>
            </w:r>
            <w:r>
              <w:rPr>
                <w:b/>
                <w:spacing w:val="-3"/>
                <w:sz w:val="18"/>
              </w:rPr>
              <w:t> </w:t>
            </w:r>
            <w:r>
              <w:rPr>
                <w:b/>
                <w:sz w:val="18"/>
              </w:rPr>
              <w:t>Y,</w:t>
            </w:r>
            <w:r>
              <w:rPr>
                <w:b/>
                <w:spacing w:val="-2"/>
                <w:sz w:val="18"/>
              </w:rPr>
              <w:t> </w:t>
            </w:r>
            <w:r>
              <w:rPr>
                <w:b/>
                <w:sz w:val="18"/>
              </w:rPr>
              <w:t>May</w:t>
            </w:r>
            <w:r>
              <w:rPr>
                <w:b/>
                <w:spacing w:val="-8"/>
                <w:sz w:val="18"/>
              </w:rPr>
              <w:t> </w:t>
            </w:r>
            <w:r>
              <w:rPr>
                <w:b/>
                <w:sz w:val="18"/>
              </w:rPr>
              <w:t>not</w:t>
            </w:r>
            <w:r>
              <w:rPr>
                <w:b/>
                <w:spacing w:val="-2"/>
                <w:sz w:val="18"/>
              </w:rPr>
              <w:t> </w:t>
            </w:r>
            <w:r>
              <w:rPr>
                <w:b/>
                <w:sz w:val="18"/>
              </w:rPr>
              <w:t>authorize</w:t>
            </w:r>
            <w:r>
              <w:rPr>
                <w:b/>
                <w:spacing w:val="-1"/>
                <w:sz w:val="18"/>
              </w:rPr>
              <w:t> </w:t>
            </w:r>
            <w:r>
              <w:rPr>
                <w:b/>
                <w:sz w:val="18"/>
              </w:rPr>
              <w:t>=</w:t>
            </w:r>
            <w:r>
              <w:rPr>
                <w:b/>
                <w:spacing w:val="-2"/>
                <w:sz w:val="18"/>
              </w:rPr>
              <w:t> </w:t>
            </w:r>
            <w:r>
              <w:rPr>
                <w:b/>
                <w:spacing w:val="-5"/>
                <w:sz w:val="18"/>
              </w:rPr>
              <w:t>N)</w:t>
            </w:r>
          </w:p>
        </w:tc>
      </w:tr>
      <w:tr>
        <w:trPr>
          <w:trHeight w:val="1537" w:hRule="atLeast"/>
        </w:trPr>
        <w:tc>
          <w:tcPr>
            <w:tcW w:w="4402" w:type="dxa"/>
            <w:vMerge/>
            <w:tcBorders>
              <w:top w:val="nil"/>
            </w:tcBorders>
            <w:shd w:val="clear" w:color="auto" w:fill="D5E2BB"/>
          </w:tcPr>
          <w:p>
            <w:pPr>
              <w:rPr>
                <w:sz w:val="2"/>
                <w:szCs w:val="2"/>
              </w:rPr>
            </w:pPr>
          </w:p>
        </w:tc>
        <w:tc>
          <w:tcPr>
            <w:tcW w:w="680" w:type="dxa"/>
            <w:shd w:val="clear" w:color="auto" w:fill="D5E2BB"/>
            <w:textDirection w:val="btLr"/>
          </w:tcPr>
          <w:p>
            <w:pPr>
              <w:pStyle w:val="TableParagraph"/>
              <w:spacing w:line="247" w:lineRule="auto" w:before="82"/>
              <w:ind w:left="62" w:right="47" w:hanging="10"/>
              <w:rPr>
                <w:b/>
                <w:sz w:val="18"/>
              </w:rPr>
            </w:pPr>
            <w:r>
              <w:rPr>
                <w:b/>
                <w:sz w:val="18"/>
              </w:rPr>
              <w:t>Administrative</w:t>
            </w:r>
            <w:r>
              <w:rPr>
                <w:b/>
                <w:spacing w:val="-13"/>
                <w:sz w:val="18"/>
              </w:rPr>
              <w:t> </w:t>
            </w:r>
            <w:r>
              <w:rPr>
                <w:b/>
                <w:sz w:val="18"/>
              </w:rPr>
              <w:t>&amp; Recreation</w:t>
            </w:r>
            <w:r>
              <w:rPr>
                <w:b/>
                <w:spacing w:val="-4"/>
                <w:sz w:val="18"/>
              </w:rPr>
              <w:t> </w:t>
            </w:r>
            <w:r>
              <w:rPr>
                <w:b/>
                <w:spacing w:val="-2"/>
                <w:sz w:val="18"/>
              </w:rPr>
              <w:t>Sites</w:t>
            </w:r>
          </w:p>
        </w:tc>
        <w:tc>
          <w:tcPr>
            <w:tcW w:w="682" w:type="dxa"/>
            <w:shd w:val="clear" w:color="auto" w:fill="D5E2BB"/>
            <w:textDirection w:val="btLr"/>
          </w:tcPr>
          <w:p>
            <w:pPr>
              <w:pStyle w:val="TableParagraph"/>
              <w:spacing w:before="84"/>
              <w:ind w:left="222"/>
              <w:rPr>
                <w:b/>
                <w:sz w:val="18"/>
              </w:rPr>
            </w:pPr>
            <w:r>
              <w:rPr>
                <w:b/>
                <w:spacing w:val="-2"/>
                <w:sz w:val="18"/>
              </w:rPr>
              <w:t>Backcountry</w:t>
            </w:r>
          </w:p>
        </w:tc>
        <w:tc>
          <w:tcPr>
            <w:tcW w:w="680" w:type="dxa"/>
            <w:shd w:val="clear" w:color="auto" w:fill="D5E2BB"/>
            <w:textDirection w:val="btLr"/>
          </w:tcPr>
          <w:p>
            <w:pPr>
              <w:pStyle w:val="TableParagraph"/>
              <w:spacing w:line="247" w:lineRule="auto" w:before="81"/>
              <w:ind w:left="342" w:right="47" w:hanging="120"/>
              <w:rPr>
                <w:b/>
                <w:sz w:val="18"/>
              </w:rPr>
            </w:pPr>
            <w:r>
              <w:rPr>
                <w:b/>
                <w:spacing w:val="-2"/>
                <w:sz w:val="18"/>
              </w:rPr>
              <w:t>Backcountry Motorized</w:t>
            </w:r>
          </w:p>
        </w:tc>
        <w:tc>
          <w:tcPr>
            <w:tcW w:w="682" w:type="dxa"/>
            <w:shd w:val="clear" w:color="auto" w:fill="D5E2BB"/>
            <w:textDirection w:val="btLr"/>
          </w:tcPr>
          <w:p>
            <w:pPr>
              <w:pStyle w:val="TableParagraph"/>
              <w:spacing w:line="247" w:lineRule="auto" w:before="82"/>
              <w:ind w:left="268" w:right="47" w:firstLine="129"/>
              <w:rPr>
                <w:b/>
                <w:sz w:val="18"/>
              </w:rPr>
            </w:pPr>
            <w:r>
              <w:rPr>
                <w:b/>
                <w:spacing w:val="-2"/>
                <w:sz w:val="18"/>
              </w:rPr>
              <w:t>Focused Restoration</w:t>
            </w:r>
          </w:p>
        </w:tc>
        <w:tc>
          <w:tcPr>
            <w:tcW w:w="680" w:type="dxa"/>
            <w:shd w:val="clear" w:color="auto" w:fill="D5E2BB"/>
            <w:textDirection w:val="btLr"/>
          </w:tcPr>
          <w:p>
            <w:pPr>
              <w:pStyle w:val="TableParagraph"/>
              <w:spacing w:line="244" w:lineRule="auto" w:before="82"/>
              <w:ind w:left="268" w:right="47" w:firstLine="163"/>
              <w:rPr>
                <w:b/>
                <w:sz w:val="18"/>
              </w:rPr>
            </w:pPr>
            <w:r>
              <w:rPr>
                <w:b/>
                <w:spacing w:val="-2"/>
                <w:sz w:val="18"/>
              </w:rPr>
              <w:t>General Restoration</w:t>
            </w:r>
          </w:p>
        </w:tc>
        <w:tc>
          <w:tcPr>
            <w:tcW w:w="682" w:type="dxa"/>
            <w:shd w:val="clear" w:color="auto" w:fill="D5E2BB"/>
            <w:textDirection w:val="btLr"/>
          </w:tcPr>
          <w:p>
            <w:pPr>
              <w:pStyle w:val="TableParagraph"/>
              <w:spacing w:line="247" w:lineRule="auto" w:before="81"/>
              <w:ind w:left="18" w:right="11" w:firstLine="319"/>
              <w:rPr>
                <w:b/>
                <w:sz w:val="18"/>
              </w:rPr>
            </w:pPr>
            <w:r>
              <w:rPr>
                <w:b/>
                <w:spacing w:val="-2"/>
                <w:sz w:val="18"/>
              </w:rPr>
              <w:t>Nationally </w:t>
            </w:r>
            <w:r>
              <w:rPr>
                <w:b/>
                <w:sz w:val="18"/>
              </w:rPr>
              <w:t>Designated</w:t>
            </w:r>
            <w:r>
              <w:rPr>
                <w:b/>
                <w:spacing w:val="-13"/>
                <w:sz w:val="18"/>
              </w:rPr>
              <w:t> </w:t>
            </w:r>
            <w:r>
              <w:rPr>
                <w:b/>
                <w:sz w:val="18"/>
              </w:rPr>
              <w:t>Trails</w:t>
            </w:r>
          </w:p>
        </w:tc>
        <w:tc>
          <w:tcPr>
            <w:tcW w:w="682" w:type="dxa"/>
            <w:shd w:val="clear" w:color="auto" w:fill="D5E2BB"/>
            <w:textDirection w:val="btLr"/>
          </w:tcPr>
          <w:p>
            <w:pPr>
              <w:pStyle w:val="TableParagraph"/>
              <w:spacing w:line="247" w:lineRule="auto" w:before="81"/>
              <w:ind w:left="517" w:right="24" w:hanging="492"/>
              <w:rPr>
                <w:b/>
                <w:sz w:val="18"/>
              </w:rPr>
            </w:pPr>
            <w:r>
              <w:rPr>
                <w:b/>
                <w:sz w:val="18"/>
              </w:rPr>
              <w:t>Research</w:t>
            </w:r>
            <w:r>
              <w:rPr>
                <w:b/>
                <w:spacing w:val="-13"/>
                <w:sz w:val="18"/>
              </w:rPr>
              <w:t> </w:t>
            </w:r>
            <w:r>
              <w:rPr>
                <w:b/>
                <w:sz w:val="18"/>
              </w:rPr>
              <w:t>Natural </w:t>
            </w:r>
            <w:r>
              <w:rPr>
                <w:b/>
                <w:spacing w:val="-4"/>
                <w:sz w:val="18"/>
              </w:rPr>
              <w:t>Areas</w:t>
            </w:r>
          </w:p>
        </w:tc>
        <w:tc>
          <w:tcPr>
            <w:tcW w:w="680" w:type="dxa"/>
            <w:shd w:val="clear" w:color="auto" w:fill="D5E2BB"/>
            <w:textDirection w:val="btLr"/>
          </w:tcPr>
          <w:p>
            <w:pPr>
              <w:pStyle w:val="TableParagraph"/>
              <w:spacing w:line="210" w:lineRule="atLeast" w:before="35"/>
              <w:ind w:left="217" w:right="216" w:hanging="1"/>
              <w:jc w:val="center"/>
              <w:rPr>
                <w:b/>
                <w:sz w:val="18"/>
              </w:rPr>
            </w:pPr>
            <w:r>
              <w:rPr>
                <w:b/>
                <w:spacing w:val="-2"/>
                <w:sz w:val="18"/>
              </w:rPr>
              <w:t>Riparian Management Areas</w:t>
            </w:r>
          </w:p>
        </w:tc>
        <w:tc>
          <w:tcPr>
            <w:tcW w:w="682" w:type="dxa"/>
            <w:shd w:val="clear" w:color="auto" w:fill="D5E2BB"/>
            <w:textDirection w:val="btLr"/>
          </w:tcPr>
          <w:p>
            <w:pPr>
              <w:pStyle w:val="TableParagraph"/>
              <w:spacing w:before="80"/>
              <w:ind w:left="117"/>
              <w:rPr>
                <w:b/>
                <w:sz w:val="18"/>
              </w:rPr>
            </w:pPr>
            <w:r>
              <w:rPr>
                <w:b/>
                <w:sz w:val="18"/>
              </w:rPr>
              <w:t>Scenic</w:t>
            </w:r>
            <w:r>
              <w:rPr>
                <w:b/>
                <w:spacing w:val="-2"/>
                <w:sz w:val="18"/>
              </w:rPr>
              <w:t> Byways</w:t>
            </w:r>
          </w:p>
        </w:tc>
        <w:tc>
          <w:tcPr>
            <w:tcW w:w="680" w:type="dxa"/>
            <w:shd w:val="clear" w:color="auto" w:fill="D5E2BB"/>
            <w:textDirection w:val="btLr"/>
          </w:tcPr>
          <w:p>
            <w:pPr>
              <w:pStyle w:val="TableParagraph"/>
              <w:spacing w:line="247" w:lineRule="auto" w:before="77"/>
              <w:ind w:left="78" w:right="71" w:firstLine="182"/>
              <w:rPr>
                <w:b/>
                <w:sz w:val="18"/>
              </w:rPr>
            </w:pPr>
            <w:r>
              <w:rPr>
                <w:b/>
                <w:sz w:val="18"/>
              </w:rPr>
              <w:t>Kettle Crest Recreation</w:t>
            </w:r>
            <w:r>
              <w:rPr>
                <w:b/>
                <w:spacing w:val="-13"/>
                <w:sz w:val="18"/>
              </w:rPr>
              <w:t> </w:t>
            </w:r>
            <w:r>
              <w:rPr>
                <w:b/>
                <w:sz w:val="18"/>
              </w:rPr>
              <w:t>Area</w:t>
            </w:r>
          </w:p>
        </w:tc>
        <w:tc>
          <w:tcPr>
            <w:tcW w:w="682" w:type="dxa"/>
            <w:shd w:val="clear" w:color="auto" w:fill="D5E2BB"/>
            <w:textDirection w:val="btLr"/>
          </w:tcPr>
          <w:p>
            <w:pPr>
              <w:pStyle w:val="TableParagraph"/>
              <w:spacing w:line="247" w:lineRule="auto" w:before="78"/>
              <w:ind w:left="493" w:right="47" w:hanging="418"/>
              <w:rPr>
                <w:b/>
                <w:sz w:val="18"/>
              </w:rPr>
            </w:pPr>
            <w:r>
              <w:rPr>
                <w:b/>
                <w:sz w:val="18"/>
              </w:rPr>
              <w:t>Wild</w:t>
            </w:r>
            <w:r>
              <w:rPr>
                <w:b/>
                <w:spacing w:val="-15"/>
                <w:sz w:val="18"/>
              </w:rPr>
              <w:t> </w:t>
            </w:r>
            <w:r>
              <w:rPr>
                <w:b/>
                <w:sz w:val="18"/>
              </w:rPr>
              <w:t>and</w:t>
            </w:r>
            <w:r>
              <w:rPr>
                <w:b/>
                <w:spacing w:val="-12"/>
                <w:sz w:val="18"/>
              </w:rPr>
              <w:t> </w:t>
            </w:r>
            <w:r>
              <w:rPr>
                <w:b/>
                <w:sz w:val="18"/>
              </w:rPr>
              <w:t>Scenic </w:t>
            </w:r>
            <w:r>
              <w:rPr>
                <w:b/>
                <w:spacing w:val="-2"/>
                <w:sz w:val="18"/>
              </w:rPr>
              <w:t>Rivers</w:t>
            </w:r>
          </w:p>
        </w:tc>
        <w:tc>
          <w:tcPr>
            <w:tcW w:w="680" w:type="dxa"/>
            <w:shd w:val="clear" w:color="auto" w:fill="D5E2BB"/>
            <w:textDirection w:val="btLr"/>
          </w:tcPr>
          <w:p>
            <w:pPr>
              <w:pStyle w:val="TableParagraph"/>
              <w:spacing w:line="244" w:lineRule="auto" w:before="78"/>
              <w:ind w:left="66" w:right="47" w:firstLine="144"/>
              <w:rPr>
                <w:b/>
                <w:sz w:val="18"/>
              </w:rPr>
            </w:pPr>
            <w:r>
              <w:rPr>
                <w:b/>
                <w:sz w:val="18"/>
              </w:rPr>
              <w:t>Wilderness – </w:t>
            </w:r>
            <w:r>
              <w:rPr>
                <w:b/>
                <w:spacing w:val="-2"/>
                <w:sz w:val="18"/>
              </w:rPr>
              <w:t>Congressionally</w:t>
            </w:r>
          </w:p>
          <w:p>
            <w:pPr>
              <w:pStyle w:val="TableParagraph"/>
              <w:spacing w:line="137" w:lineRule="exact" w:before="3"/>
              <w:ind w:left="282"/>
              <w:rPr>
                <w:b/>
                <w:sz w:val="18"/>
              </w:rPr>
            </w:pPr>
            <w:r>
              <w:rPr>
                <w:b/>
                <w:spacing w:val="-2"/>
                <w:sz w:val="18"/>
              </w:rPr>
              <w:t>Designated</w:t>
            </w:r>
          </w:p>
        </w:tc>
        <w:tc>
          <w:tcPr>
            <w:tcW w:w="682" w:type="dxa"/>
            <w:shd w:val="clear" w:color="auto" w:fill="D5E2BB"/>
            <w:textDirection w:val="btLr"/>
          </w:tcPr>
          <w:p>
            <w:pPr>
              <w:pStyle w:val="TableParagraph"/>
              <w:spacing w:line="247" w:lineRule="auto" w:before="77"/>
              <w:ind w:left="121" w:right="47" w:firstLine="88"/>
              <w:rPr>
                <w:b/>
                <w:sz w:val="18"/>
              </w:rPr>
            </w:pPr>
            <w:r>
              <w:rPr>
                <w:b/>
                <w:sz w:val="18"/>
              </w:rPr>
              <w:t>Wilderness – </w:t>
            </w:r>
            <w:r>
              <w:rPr>
                <w:b/>
                <w:spacing w:val="-2"/>
                <w:sz w:val="18"/>
              </w:rPr>
              <w:t>Recommended</w:t>
            </w:r>
          </w:p>
        </w:tc>
      </w:tr>
      <w:tr>
        <w:trPr>
          <w:trHeight w:val="520" w:hRule="atLeast"/>
        </w:trPr>
        <w:tc>
          <w:tcPr>
            <w:tcW w:w="4402" w:type="dxa"/>
          </w:tcPr>
          <w:p>
            <w:pPr>
              <w:pStyle w:val="TableParagraph"/>
              <w:spacing w:before="20"/>
              <w:ind w:left="42"/>
              <w:rPr>
                <w:rFonts w:ascii="Calibri"/>
                <w:b/>
                <w:sz w:val="20"/>
              </w:rPr>
            </w:pPr>
            <w:r>
              <w:rPr>
                <w:rFonts w:ascii="Calibri"/>
                <w:b/>
                <w:sz w:val="20"/>
              </w:rPr>
              <w:t>Grazing,</w:t>
            </w:r>
            <w:r>
              <w:rPr>
                <w:rFonts w:ascii="Calibri"/>
                <w:b/>
                <w:spacing w:val="-8"/>
                <w:sz w:val="20"/>
              </w:rPr>
              <w:t> </w:t>
            </w:r>
            <w:r>
              <w:rPr>
                <w:rFonts w:ascii="Calibri"/>
                <w:b/>
                <w:spacing w:val="-2"/>
                <w:sz w:val="20"/>
              </w:rPr>
              <w:t>permitted</w:t>
            </w:r>
          </w:p>
        </w:tc>
        <w:tc>
          <w:tcPr>
            <w:tcW w:w="680" w:type="dxa"/>
          </w:tcPr>
          <w:p>
            <w:pPr>
              <w:pStyle w:val="TableParagraph"/>
              <w:spacing w:line="260" w:lineRule="atLeast" w:before="0"/>
              <w:ind w:left="40" w:right="163"/>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20"/>
              <w:ind w:left="41"/>
              <w:rPr>
                <w:rFonts w:ascii="Calibri"/>
                <w:sz w:val="20"/>
              </w:rPr>
            </w:pPr>
            <w:r>
              <w:rPr>
                <w:rFonts w:ascii="Calibri"/>
                <w:spacing w:val="-10"/>
                <w:sz w:val="20"/>
              </w:rPr>
              <w:t>Y</w:t>
            </w:r>
          </w:p>
        </w:tc>
        <w:tc>
          <w:tcPr>
            <w:tcW w:w="680" w:type="dxa"/>
          </w:tcPr>
          <w:p>
            <w:pPr>
              <w:pStyle w:val="TableParagraph"/>
              <w:spacing w:before="20"/>
              <w:ind w:left="38"/>
              <w:rPr>
                <w:rFonts w:ascii="Calibri"/>
                <w:sz w:val="20"/>
              </w:rPr>
            </w:pPr>
            <w:r>
              <w:rPr>
                <w:rFonts w:ascii="Calibri"/>
                <w:spacing w:val="-10"/>
                <w:sz w:val="20"/>
              </w:rPr>
              <w:t>Y</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39"/>
              <w:rPr>
                <w:rFonts w:ascii="Calibri"/>
                <w:sz w:val="20"/>
              </w:rPr>
            </w:pPr>
            <w:r>
              <w:rPr>
                <w:rFonts w:ascii="Calibri"/>
                <w:spacing w:val="-10"/>
                <w:sz w:val="20"/>
              </w:rPr>
              <w:t>Y</w:t>
            </w:r>
          </w:p>
        </w:tc>
        <w:tc>
          <w:tcPr>
            <w:tcW w:w="682" w:type="dxa"/>
          </w:tcPr>
          <w:p>
            <w:pPr>
              <w:pStyle w:val="TableParagraph"/>
              <w:spacing w:line="260" w:lineRule="atLeast" w:before="0"/>
              <w:ind w:left="38" w:right="167"/>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Y</w:t>
            </w:r>
          </w:p>
        </w:tc>
        <w:tc>
          <w:tcPr>
            <w:tcW w:w="682" w:type="dxa"/>
          </w:tcPr>
          <w:p>
            <w:pPr>
              <w:pStyle w:val="TableParagraph"/>
              <w:spacing w:before="20"/>
              <w:ind w:left="37"/>
              <w:rPr>
                <w:rFonts w:ascii="Calibri"/>
                <w:sz w:val="20"/>
              </w:rPr>
            </w:pPr>
            <w:r>
              <w:rPr>
                <w:rFonts w:ascii="Calibri"/>
                <w:spacing w:val="-10"/>
                <w:sz w:val="20"/>
              </w:rPr>
              <w:t>Y</w:t>
            </w:r>
          </w:p>
        </w:tc>
        <w:tc>
          <w:tcPr>
            <w:tcW w:w="680" w:type="dxa"/>
          </w:tcPr>
          <w:p>
            <w:pPr>
              <w:pStyle w:val="TableParagraph"/>
              <w:spacing w:before="20"/>
              <w:ind w:left="34"/>
              <w:rPr>
                <w:rFonts w:ascii="Calibri"/>
                <w:sz w:val="20"/>
              </w:rPr>
            </w:pPr>
            <w:r>
              <w:rPr>
                <w:rFonts w:ascii="Calibri"/>
                <w:spacing w:val="-10"/>
                <w:sz w:val="20"/>
              </w:rPr>
              <w:t>Y</w:t>
            </w:r>
          </w:p>
        </w:tc>
        <w:tc>
          <w:tcPr>
            <w:tcW w:w="682" w:type="dxa"/>
          </w:tcPr>
          <w:p>
            <w:pPr>
              <w:pStyle w:val="TableParagraph"/>
              <w:spacing w:before="20"/>
              <w:ind w:left="36"/>
              <w:rPr>
                <w:rFonts w:ascii="Calibri"/>
                <w:sz w:val="20"/>
              </w:rPr>
            </w:pPr>
            <w:r>
              <w:rPr>
                <w:rFonts w:ascii="Calibri"/>
                <w:spacing w:val="-10"/>
                <w:sz w:val="20"/>
              </w:rPr>
              <w:t>Y</w:t>
            </w:r>
          </w:p>
        </w:tc>
        <w:tc>
          <w:tcPr>
            <w:tcW w:w="680" w:type="dxa"/>
          </w:tcPr>
          <w:p>
            <w:pPr>
              <w:pStyle w:val="TableParagraph"/>
              <w:spacing w:line="260" w:lineRule="atLeast" w:before="0"/>
              <w:ind w:left="35"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Y</w:t>
            </w:r>
          </w:p>
        </w:tc>
      </w:tr>
      <w:tr>
        <w:trPr>
          <w:trHeight w:val="1040" w:hRule="atLeast"/>
        </w:trPr>
        <w:tc>
          <w:tcPr>
            <w:tcW w:w="4402" w:type="dxa"/>
          </w:tcPr>
          <w:p>
            <w:pPr>
              <w:pStyle w:val="TableParagraph"/>
              <w:spacing w:line="254" w:lineRule="auto" w:before="20"/>
              <w:ind w:left="42"/>
              <w:rPr>
                <w:rFonts w:ascii="Calibri"/>
                <w:b/>
                <w:sz w:val="20"/>
              </w:rPr>
            </w:pPr>
            <w:r>
              <w:rPr>
                <w:rFonts w:ascii="Calibri"/>
                <w:b/>
                <w:sz w:val="20"/>
              </w:rPr>
              <w:t>Infrastructure, above ground infrastructure associated with special use permits, such as communication</w:t>
            </w:r>
            <w:r>
              <w:rPr>
                <w:rFonts w:ascii="Calibri"/>
                <w:b/>
                <w:spacing w:val="-8"/>
                <w:sz w:val="20"/>
              </w:rPr>
              <w:t> </w:t>
            </w:r>
            <w:r>
              <w:rPr>
                <w:rFonts w:ascii="Calibri"/>
                <w:b/>
                <w:sz w:val="20"/>
              </w:rPr>
              <w:t>sites,</w:t>
            </w:r>
            <w:r>
              <w:rPr>
                <w:rFonts w:ascii="Calibri"/>
                <w:b/>
                <w:spacing w:val="-10"/>
                <w:sz w:val="20"/>
              </w:rPr>
              <w:t> </w:t>
            </w:r>
            <w:r>
              <w:rPr>
                <w:rFonts w:ascii="Calibri"/>
                <w:b/>
                <w:sz w:val="20"/>
              </w:rPr>
              <w:t>energy</w:t>
            </w:r>
            <w:r>
              <w:rPr>
                <w:rFonts w:ascii="Calibri"/>
                <w:b/>
                <w:spacing w:val="-10"/>
                <w:sz w:val="20"/>
              </w:rPr>
              <w:t> </w:t>
            </w:r>
            <w:r>
              <w:rPr>
                <w:rFonts w:ascii="Calibri"/>
                <w:b/>
                <w:sz w:val="20"/>
              </w:rPr>
              <w:t>developments,</w:t>
            </w:r>
            <w:r>
              <w:rPr>
                <w:rFonts w:ascii="Calibri"/>
                <w:b/>
                <w:spacing w:val="-10"/>
                <w:sz w:val="20"/>
              </w:rPr>
              <w:t> </w:t>
            </w:r>
            <w:r>
              <w:rPr>
                <w:rFonts w:ascii="Calibri"/>
                <w:b/>
                <w:sz w:val="20"/>
              </w:rPr>
              <w:t>and/or</w:t>
            </w:r>
          </w:p>
          <w:p>
            <w:pPr>
              <w:pStyle w:val="TableParagraph"/>
              <w:spacing w:line="220" w:lineRule="exact" w:before="4"/>
              <w:ind w:left="42"/>
              <w:rPr>
                <w:rFonts w:ascii="Calibri"/>
                <w:b/>
                <w:sz w:val="20"/>
              </w:rPr>
            </w:pPr>
            <w:r>
              <w:rPr>
                <w:rFonts w:ascii="Calibri"/>
                <w:b/>
                <w:sz w:val="20"/>
              </w:rPr>
              <w:t>utility</w:t>
            </w:r>
            <w:r>
              <w:rPr>
                <w:rFonts w:ascii="Calibri"/>
                <w:b/>
                <w:spacing w:val="-5"/>
                <w:sz w:val="20"/>
              </w:rPr>
              <w:t> </w:t>
            </w:r>
            <w:r>
              <w:rPr>
                <w:rFonts w:ascii="Calibri"/>
                <w:b/>
                <w:spacing w:val="-2"/>
                <w:sz w:val="20"/>
              </w:rPr>
              <w:t>lines.</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41"/>
              <w:rPr>
                <w:rFonts w:ascii="Calibri"/>
                <w:sz w:val="20"/>
              </w:rPr>
            </w:pPr>
            <w:r>
              <w:rPr>
                <w:rFonts w:ascii="Calibri"/>
                <w:spacing w:val="-10"/>
                <w:sz w:val="20"/>
              </w:rPr>
              <w:t>Y</w:t>
            </w:r>
          </w:p>
        </w:tc>
        <w:tc>
          <w:tcPr>
            <w:tcW w:w="680" w:type="dxa"/>
          </w:tcPr>
          <w:p>
            <w:pPr>
              <w:pStyle w:val="TableParagraph"/>
              <w:spacing w:before="20"/>
              <w:ind w:left="38"/>
              <w:rPr>
                <w:rFonts w:ascii="Calibri"/>
                <w:sz w:val="20"/>
              </w:rPr>
            </w:pPr>
            <w:r>
              <w:rPr>
                <w:rFonts w:ascii="Calibri"/>
                <w:spacing w:val="-10"/>
                <w:sz w:val="20"/>
              </w:rPr>
              <w:t>Y</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line="254" w:lineRule="auto" w:before="20"/>
              <w:ind w:left="39" w:right="166"/>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54" w:lineRule="auto" w:before="20"/>
              <w:ind w:left="38" w:right="167"/>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Y</w:t>
            </w:r>
          </w:p>
        </w:tc>
        <w:tc>
          <w:tcPr>
            <w:tcW w:w="682" w:type="dxa"/>
          </w:tcPr>
          <w:p>
            <w:pPr>
              <w:pStyle w:val="TableParagraph"/>
              <w:spacing w:before="20"/>
              <w:ind w:left="83"/>
              <w:rPr>
                <w:rFonts w:ascii="Calibri"/>
                <w:sz w:val="20"/>
              </w:rPr>
            </w:pPr>
            <w:r>
              <w:rPr>
                <w:rFonts w:ascii="Calibri"/>
                <w:spacing w:val="-10"/>
                <w:sz w:val="20"/>
              </w:rPr>
              <w:t>N</w:t>
            </w:r>
          </w:p>
        </w:tc>
        <w:tc>
          <w:tcPr>
            <w:tcW w:w="680" w:type="dxa"/>
          </w:tcPr>
          <w:p>
            <w:pPr>
              <w:pStyle w:val="TableParagraph"/>
              <w:spacing w:line="254" w:lineRule="auto" w:before="2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54" w:lineRule="auto" w:before="2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18"/>
              <w:ind w:left="42"/>
              <w:rPr>
                <w:rFonts w:ascii="Calibri"/>
                <w:b/>
                <w:sz w:val="20"/>
              </w:rPr>
            </w:pPr>
            <w:r>
              <w:rPr>
                <w:rFonts w:ascii="Calibri"/>
                <w:b/>
                <w:sz w:val="20"/>
              </w:rPr>
              <w:t>Mechanized</w:t>
            </w:r>
            <w:r>
              <w:rPr>
                <w:rFonts w:ascii="Calibri"/>
                <w:b/>
                <w:spacing w:val="-7"/>
                <w:sz w:val="20"/>
              </w:rPr>
              <w:t> </w:t>
            </w:r>
            <w:r>
              <w:rPr>
                <w:rFonts w:ascii="Calibri"/>
                <w:b/>
                <w:sz w:val="20"/>
              </w:rPr>
              <w:t>recreational</w:t>
            </w:r>
            <w:r>
              <w:rPr>
                <w:rFonts w:ascii="Calibri"/>
                <w:b/>
                <w:spacing w:val="-8"/>
                <w:sz w:val="20"/>
              </w:rPr>
              <w:t> </w:t>
            </w:r>
            <w:r>
              <w:rPr>
                <w:rFonts w:ascii="Calibri"/>
                <w:b/>
                <w:sz w:val="20"/>
              </w:rPr>
              <w:t>use,</w:t>
            </w:r>
            <w:r>
              <w:rPr>
                <w:rFonts w:ascii="Calibri"/>
                <w:b/>
                <w:spacing w:val="-8"/>
                <w:sz w:val="20"/>
              </w:rPr>
              <w:t> </w:t>
            </w:r>
            <w:r>
              <w:rPr>
                <w:rFonts w:ascii="Calibri"/>
                <w:b/>
                <w:spacing w:val="-2"/>
                <w:sz w:val="20"/>
              </w:rPr>
              <w:t>summer</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Y</w:t>
            </w:r>
          </w:p>
        </w:tc>
        <w:tc>
          <w:tcPr>
            <w:tcW w:w="680"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line="260" w:lineRule="atLeast" w:before="0"/>
              <w:ind w:left="39" w:right="166"/>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18"/>
              <w:ind w:left="38"/>
              <w:rPr>
                <w:rFonts w:ascii="Calibri"/>
                <w:sz w:val="20"/>
              </w:rPr>
            </w:pPr>
            <w:r>
              <w:rPr>
                <w:rFonts w:ascii="Calibri"/>
                <w:spacing w:val="-10"/>
                <w:sz w:val="20"/>
              </w:rPr>
              <w:t>Y</w:t>
            </w:r>
          </w:p>
        </w:tc>
        <w:tc>
          <w:tcPr>
            <w:tcW w:w="680" w:type="dxa"/>
          </w:tcPr>
          <w:p>
            <w:pPr>
              <w:pStyle w:val="TableParagraph"/>
              <w:spacing w:before="18"/>
              <w:ind w:left="36"/>
              <w:rPr>
                <w:rFonts w:ascii="Calibri"/>
                <w:sz w:val="20"/>
              </w:rPr>
            </w:pPr>
            <w:r>
              <w:rPr>
                <w:rFonts w:ascii="Calibri"/>
                <w:spacing w:val="-10"/>
                <w:sz w:val="20"/>
              </w:rPr>
              <w:t>Y</w:t>
            </w:r>
          </w:p>
        </w:tc>
        <w:tc>
          <w:tcPr>
            <w:tcW w:w="682" w:type="dxa"/>
          </w:tcPr>
          <w:p>
            <w:pPr>
              <w:pStyle w:val="TableParagraph"/>
              <w:spacing w:before="18"/>
              <w:ind w:left="37"/>
              <w:rPr>
                <w:rFonts w:ascii="Calibri"/>
                <w:sz w:val="20"/>
              </w:rPr>
            </w:pPr>
            <w:r>
              <w:rPr>
                <w:rFonts w:ascii="Calibri"/>
                <w:spacing w:val="-10"/>
                <w:sz w:val="20"/>
              </w:rPr>
              <w:t>Y</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N</w:t>
            </w:r>
          </w:p>
        </w:tc>
        <w:tc>
          <w:tcPr>
            <w:tcW w:w="682" w:type="dxa"/>
          </w:tcPr>
          <w:p>
            <w:pPr>
              <w:pStyle w:val="TableParagraph"/>
              <w:spacing w:line="260" w:lineRule="atLeast" w:before="0"/>
              <w:ind w:left="35" w:right="170"/>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r>
      <w:tr>
        <w:trPr>
          <w:trHeight w:val="260" w:hRule="atLeast"/>
        </w:trPr>
        <w:tc>
          <w:tcPr>
            <w:tcW w:w="4402" w:type="dxa"/>
          </w:tcPr>
          <w:p>
            <w:pPr>
              <w:pStyle w:val="TableParagraph"/>
              <w:spacing w:line="223" w:lineRule="exact" w:before="18"/>
              <w:ind w:left="42"/>
              <w:rPr>
                <w:rFonts w:ascii="Calibri" w:hAnsi="Calibri"/>
                <w:b/>
                <w:sz w:val="20"/>
              </w:rPr>
            </w:pPr>
            <w:r>
              <w:rPr>
                <w:rFonts w:ascii="Calibri" w:hAnsi="Calibri"/>
                <w:b/>
                <w:sz w:val="20"/>
              </w:rPr>
              <w:t>Minerals,</w:t>
            </w:r>
            <w:r>
              <w:rPr>
                <w:rFonts w:ascii="Calibri" w:hAnsi="Calibri"/>
                <w:b/>
                <w:spacing w:val="-7"/>
                <w:sz w:val="20"/>
              </w:rPr>
              <w:t> </w:t>
            </w:r>
            <w:r>
              <w:rPr>
                <w:rFonts w:ascii="Calibri" w:hAnsi="Calibri"/>
                <w:b/>
                <w:sz w:val="20"/>
              </w:rPr>
              <w:t>leasable</w:t>
            </w:r>
            <w:r>
              <w:rPr>
                <w:rFonts w:ascii="Calibri" w:hAnsi="Calibri"/>
                <w:b/>
                <w:spacing w:val="-5"/>
                <w:sz w:val="20"/>
              </w:rPr>
              <w:t> </w:t>
            </w:r>
            <w:r>
              <w:rPr>
                <w:rFonts w:ascii="Calibri" w:hAnsi="Calibri"/>
                <w:b/>
                <w:sz w:val="20"/>
              </w:rPr>
              <w:t>–</w:t>
            </w:r>
            <w:r>
              <w:rPr>
                <w:rFonts w:ascii="Calibri" w:hAnsi="Calibri"/>
                <w:b/>
                <w:spacing w:val="-7"/>
                <w:sz w:val="20"/>
              </w:rPr>
              <w:t> </w:t>
            </w:r>
            <w:r>
              <w:rPr>
                <w:rFonts w:ascii="Calibri" w:hAnsi="Calibri"/>
                <w:b/>
                <w:sz w:val="20"/>
              </w:rPr>
              <w:t>surface</w:t>
            </w:r>
            <w:r>
              <w:rPr>
                <w:rFonts w:ascii="Calibri" w:hAnsi="Calibri"/>
                <w:b/>
                <w:spacing w:val="-3"/>
                <w:sz w:val="20"/>
              </w:rPr>
              <w:t> </w:t>
            </w:r>
            <w:r>
              <w:rPr>
                <w:rFonts w:ascii="Calibri" w:hAnsi="Calibri"/>
                <w:b/>
                <w:spacing w:val="-2"/>
                <w:sz w:val="20"/>
              </w:rPr>
              <w:t>occupancy*</w:t>
            </w:r>
          </w:p>
        </w:tc>
        <w:tc>
          <w:tcPr>
            <w:tcW w:w="680" w:type="dxa"/>
          </w:tcPr>
          <w:p>
            <w:pPr>
              <w:pStyle w:val="TableParagraph"/>
              <w:spacing w:line="223" w:lineRule="exact" w:before="18"/>
              <w:ind w:left="40"/>
              <w:rPr>
                <w:rFonts w:ascii="Calibri"/>
                <w:sz w:val="20"/>
              </w:rPr>
            </w:pPr>
            <w:r>
              <w:rPr>
                <w:rFonts w:ascii="Calibri"/>
                <w:spacing w:val="-5"/>
                <w:sz w:val="20"/>
              </w:rPr>
              <w:t>Y*</w:t>
            </w:r>
          </w:p>
        </w:tc>
        <w:tc>
          <w:tcPr>
            <w:tcW w:w="682" w:type="dxa"/>
          </w:tcPr>
          <w:p>
            <w:pPr>
              <w:pStyle w:val="TableParagraph"/>
              <w:spacing w:line="223" w:lineRule="exact" w:before="18"/>
              <w:ind w:left="41"/>
              <w:rPr>
                <w:rFonts w:ascii="Calibri"/>
                <w:sz w:val="20"/>
              </w:rPr>
            </w:pPr>
            <w:r>
              <w:rPr>
                <w:rFonts w:ascii="Calibri"/>
                <w:sz w:val="20"/>
              </w:rPr>
              <w:t>Y</w:t>
            </w:r>
            <w:r>
              <w:rPr>
                <w:rFonts w:ascii="Calibri"/>
                <w:spacing w:val="-2"/>
                <w:sz w:val="20"/>
              </w:rPr>
              <w:t> </w:t>
            </w:r>
            <w:r>
              <w:rPr>
                <w:rFonts w:ascii="Calibri"/>
                <w:spacing w:val="-10"/>
                <w:sz w:val="20"/>
              </w:rPr>
              <w:t>*</w:t>
            </w:r>
          </w:p>
        </w:tc>
        <w:tc>
          <w:tcPr>
            <w:tcW w:w="680" w:type="dxa"/>
          </w:tcPr>
          <w:p>
            <w:pPr>
              <w:pStyle w:val="TableParagraph"/>
              <w:spacing w:line="223" w:lineRule="exact" w:before="18"/>
              <w:ind w:left="38"/>
              <w:rPr>
                <w:rFonts w:ascii="Calibri"/>
                <w:sz w:val="20"/>
              </w:rPr>
            </w:pPr>
            <w:r>
              <w:rPr>
                <w:rFonts w:ascii="Calibri"/>
                <w:spacing w:val="-5"/>
                <w:sz w:val="20"/>
              </w:rPr>
              <w:t>Y*</w:t>
            </w:r>
          </w:p>
        </w:tc>
        <w:tc>
          <w:tcPr>
            <w:tcW w:w="682" w:type="dxa"/>
          </w:tcPr>
          <w:p>
            <w:pPr>
              <w:pStyle w:val="TableParagraph"/>
              <w:spacing w:line="223" w:lineRule="exact" w:before="18"/>
              <w:ind w:left="40"/>
              <w:rPr>
                <w:rFonts w:ascii="Calibri"/>
                <w:sz w:val="20"/>
              </w:rPr>
            </w:pPr>
            <w:r>
              <w:rPr>
                <w:rFonts w:ascii="Calibri"/>
                <w:spacing w:val="-5"/>
                <w:sz w:val="20"/>
              </w:rPr>
              <w:t>Y*</w:t>
            </w:r>
          </w:p>
        </w:tc>
        <w:tc>
          <w:tcPr>
            <w:tcW w:w="680" w:type="dxa"/>
          </w:tcPr>
          <w:p>
            <w:pPr>
              <w:pStyle w:val="TableParagraph"/>
              <w:spacing w:line="223" w:lineRule="exact" w:before="18"/>
              <w:ind w:left="40"/>
              <w:rPr>
                <w:rFonts w:ascii="Calibri"/>
                <w:sz w:val="20"/>
              </w:rPr>
            </w:pPr>
            <w:r>
              <w:rPr>
                <w:rFonts w:ascii="Calibri"/>
                <w:spacing w:val="-5"/>
                <w:sz w:val="20"/>
              </w:rPr>
              <w:t>Y*</w:t>
            </w:r>
          </w:p>
        </w:tc>
        <w:tc>
          <w:tcPr>
            <w:tcW w:w="682" w:type="dxa"/>
          </w:tcPr>
          <w:p>
            <w:pPr>
              <w:pStyle w:val="TableParagraph"/>
              <w:spacing w:line="223" w:lineRule="exact" w:before="18"/>
              <w:ind w:left="39"/>
              <w:rPr>
                <w:rFonts w:ascii="Calibri"/>
                <w:sz w:val="20"/>
              </w:rPr>
            </w:pPr>
            <w:r>
              <w:rPr>
                <w:rFonts w:ascii="Calibri"/>
                <w:spacing w:val="-5"/>
                <w:sz w:val="20"/>
              </w:rPr>
              <w:t>Y*</w:t>
            </w:r>
          </w:p>
        </w:tc>
        <w:tc>
          <w:tcPr>
            <w:tcW w:w="682" w:type="dxa"/>
          </w:tcPr>
          <w:p>
            <w:pPr>
              <w:pStyle w:val="TableParagraph"/>
              <w:spacing w:line="223" w:lineRule="exact" w:before="18"/>
              <w:ind w:left="38"/>
              <w:rPr>
                <w:rFonts w:ascii="Calibri"/>
                <w:sz w:val="20"/>
              </w:rPr>
            </w:pPr>
            <w:r>
              <w:rPr>
                <w:rFonts w:ascii="Calibri"/>
                <w:spacing w:val="-5"/>
                <w:sz w:val="20"/>
              </w:rPr>
              <w:t>Y*</w:t>
            </w:r>
          </w:p>
        </w:tc>
        <w:tc>
          <w:tcPr>
            <w:tcW w:w="680" w:type="dxa"/>
          </w:tcPr>
          <w:p>
            <w:pPr>
              <w:pStyle w:val="TableParagraph"/>
              <w:spacing w:line="223" w:lineRule="exact" w:before="18"/>
              <w:ind w:left="35"/>
              <w:rPr>
                <w:rFonts w:ascii="Calibri"/>
                <w:sz w:val="20"/>
              </w:rPr>
            </w:pPr>
            <w:r>
              <w:rPr>
                <w:rFonts w:ascii="Calibri"/>
                <w:spacing w:val="-5"/>
                <w:sz w:val="20"/>
              </w:rPr>
              <w:t>Y*</w:t>
            </w:r>
          </w:p>
        </w:tc>
        <w:tc>
          <w:tcPr>
            <w:tcW w:w="682" w:type="dxa"/>
          </w:tcPr>
          <w:p>
            <w:pPr>
              <w:pStyle w:val="TableParagraph"/>
              <w:spacing w:line="223" w:lineRule="exact" w:before="18"/>
              <w:ind w:left="37"/>
              <w:rPr>
                <w:rFonts w:ascii="Calibri"/>
                <w:sz w:val="20"/>
              </w:rPr>
            </w:pPr>
            <w:r>
              <w:rPr>
                <w:rFonts w:ascii="Calibri"/>
                <w:spacing w:val="-5"/>
                <w:sz w:val="20"/>
              </w:rPr>
              <w:t>Y*</w:t>
            </w:r>
          </w:p>
        </w:tc>
        <w:tc>
          <w:tcPr>
            <w:tcW w:w="680" w:type="dxa"/>
          </w:tcPr>
          <w:p>
            <w:pPr>
              <w:pStyle w:val="TableParagraph"/>
              <w:spacing w:line="223" w:lineRule="exact" w:before="18"/>
              <w:ind w:left="34"/>
              <w:rPr>
                <w:rFonts w:ascii="Calibri"/>
                <w:sz w:val="20"/>
              </w:rPr>
            </w:pPr>
            <w:r>
              <w:rPr>
                <w:rFonts w:ascii="Calibri"/>
                <w:spacing w:val="-5"/>
                <w:sz w:val="20"/>
              </w:rPr>
              <w:t>Y*</w:t>
            </w:r>
          </w:p>
        </w:tc>
        <w:tc>
          <w:tcPr>
            <w:tcW w:w="682" w:type="dxa"/>
          </w:tcPr>
          <w:p>
            <w:pPr>
              <w:pStyle w:val="TableParagraph"/>
              <w:spacing w:line="223" w:lineRule="exact" w:before="18"/>
              <w:ind w:left="36"/>
              <w:rPr>
                <w:rFonts w:ascii="Calibri"/>
                <w:sz w:val="20"/>
              </w:rPr>
            </w:pPr>
            <w:r>
              <w:rPr>
                <w:rFonts w:ascii="Calibri"/>
                <w:spacing w:val="-10"/>
                <w:sz w:val="20"/>
              </w:rPr>
              <w:t>N</w:t>
            </w:r>
          </w:p>
        </w:tc>
        <w:tc>
          <w:tcPr>
            <w:tcW w:w="680" w:type="dxa"/>
          </w:tcPr>
          <w:p>
            <w:pPr>
              <w:pStyle w:val="TableParagraph"/>
              <w:spacing w:line="223" w:lineRule="exact" w:before="18"/>
              <w:ind w:left="35"/>
              <w:rPr>
                <w:rFonts w:ascii="Calibri"/>
                <w:sz w:val="20"/>
              </w:rPr>
            </w:pPr>
            <w:r>
              <w:rPr>
                <w:rFonts w:ascii="Calibri"/>
                <w:spacing w:val="-10"/>
                <w:sz w:val="20"/>
              </w:rPr>
              <w:t>N</w:t>
            </w:r>
          </w:p>
        </w:tc>
        <w:tc>
          <w:tcPr>
            <w:tcW w:w="682" w:type="dxa"/>
          </w:tcPr>
          <w:p>
            <w:pPr>
              <w:pStyle w:val="TableParagraph"/>
              <w:spacing w:line="223" w:lineRule="exact" w:before="18"/>
              <w:ind w:left="35"/>
              <w:rPr>
                <w:rFonts w:ascii="Calibri"/>
                <w:sz w:val="20"/>
              </w:rPr>
            </w:pPr>
            <w:r>
              <w:rPr>
                <w:rFonts w:ascii="Calibri"/>
                <w:spacing w:val="-5"/>
                <w:sz w:val="20"/>
              </w:rPr>
              <w:t>Y*</w:t>
            </w:r>
          </w:p>
        </w:tc>
      </w:tr>
      <w:tr>
        <w:trPr>
          <w:trHeight w:val="520" w:hRule="atLeast"/>
        </w:trPr>
        <w:tc>
          <w:tcPr>
            <w:tcW w:w="4402" w:type="dxa"/>
          </w:tcPr>
          <w:p>
            <w:pPr>
              <w:pStyle w:val="TableParagraph"/>
              <w:spacing w:before="18"/>
              <w:ind w:left="42"/>
              <w:rPr>
                <w:rFonts w:ascii="Calibri"/>
                <w:b/>
                <w:sz w:val="20"/>
              </w:rPr>
            </w:pPr>
            <w:r>
              <w:rPr>
                <w:rFonts w:ascii="Calibri"/>
                <w:b/>
                <w:sz w:val="20"/>
              </w:rPr>
              <w:t>Minerals,</w:t>
            </w:r>
            <w:r>
              <w:rPr>
                <w:rFonts w:ascii="Calibri"/>
                <w:b/>
                <w:spacing w:val="-9"/>
                <w:sz w:val="20"/>
              </w:rPr>
              <w:t> </w:t>
            </w:r>
            <w:r>
              <w:rPr>
                <w:rFonts w:ascii="Calibri"/>
                <w:b/>
                <w:spacing w:val="-2"/>
                <w:sz w:val="20"/>
              </w:rPr>
              <w:t>locatable</w:t>
            </w:r>
          </w:p>
        </w:tc>
        <w:tc>
          <w:tcPr>
            <w:tcW w:w="680" w:type="dxa"/>
          </w:tcPr>
          <w:p>
            <w:pPr>
              <w:pStyle w:val="TableParagraph"/>
              <w:spacing w:before="18"/>
              <w:ind w:left="40"/>
              <w:rPr>
                <w:rFonts w:ascii="Calibri"/>
                <w:sz w:val="20"/>
              </w:rPr>
            </w:pPr>
            <w:r>
              <w:rPr>
                <w:rFonts w:ascii="Calibri"/>
                <w:spacing w:val="-4"/>
                <w:sz w:val="20"/>
              </w:rPr>
              <w:t>Y***</w:t>
            </w:r>
          </w:p>
        </w:tc>
        <w:tc>
          <w:tcPr>
            <w:tcW w:w="682" w:type="dxa"/>
          </w:tcPr>
          <w:p>
            <w:pPr>
              <w:pStyle w:val="TableParagraph"/>
              <w:spacing w:before="18"/>
              <w:ind w:left="41"/>
              <w:rPr>
                <w:rFonts w:ascii="Calibri"/>
                <w:sz w:val="20"/>
              </w:rPr>
            </w:pPr>
            <w:r>
              <w:rPr>
                <w:rFonts w:ascii="Calibri"/>
                <w:spacing w:val="-4"/>
                <w:sz w:val="20"/>
              </w:rPr>
              <w:t>Y***</w:t>
            </w:r>
          </w:p>
        </w:tc>
        <w:tc>
          <w:tcPr>
            <w:tcW w:w="680" w:type="dxa"/>
          </w:tcPr>
          <w:p>
            <w:pPr>
              <w:pStyle w:val="TableParagraph"/>
              <w:spacing w:before="18"/>
              <w:ind w:left="38"/>
              <w:rPr>
                <w:rFonts w:ascii="Calibri"/>
                <w:sz w:val="20"/>
              </w:rPr>
            </w:pPr>
            <w:r>
              <w:rPr>
                <w:rFonts w:ascii="Calibri"/>
                <w:spacing w:val="-4"/>
                <w:sz w:val="20"/>
              </w:rPr>
              <w:t>Y***</w:t>
            </w:r>
          </w:p>
        </w:tc>
        <w:tc>
          <w:tcPr>
            <w:tcW w:w="682" w:type="dxa"/>
          </w:tcPr>
          <w:p>
            <w:pPr>
              <w:pStyle w:val="TableParagraph"/>
              <w:spacing w:before="18"/>
              <w:ind w:left="40"/>
              <w:rPr>
                <w:rFonts w:ascii="Calibri"/>
                <w:sz w:val="20"/>
              </w:rPr>
            </w:pPr>
            <w:r>
              <w:rPr>
                <w:rFonts w:ascii="Calibri"/>
                <w:spacing w:val="-4"/>
                <w:sz w:val="20"/>
              </w:rPr>
              <w:t>Y***</w:t>
            </w:r>
          </w:p>
        </w:tc>
        <w:tc>
          <w:tcPr>
            <w:tcW w:w="680" w:type="dxa"/>
          </w:tcPr>
          <w:p>
            <w:pPr>
              <w:pStyle w:val="TableParagraph"/>
              <w:spacing w:before="18"/>
              <w:ind w:left="40"/>
              <w:rPr>
                <w:rFonts w:ascii="Calibri"/>
                <w:sz w:val="20"/>
              </w:rPr>
            </w:pPr>
            <w:r>
              <w:rPr>
                <w:rFonts w:ascii="Calibri"/>
                <w:spacing w:val="-4"/>
                <w:sz w:val="20"/>
              </w:rPr>
              <w:t>Y***</w:t>
            </w:r>
          </w:p>
        </w:tc>
        <w:tc>
          <w:tcPr>
            <w:tcW w:w="682" w:type="dxa"/>
          </w:tcPr>
          <w:p>
            <w:pPr>
              <w:pStyle w:val="TableParagraph"/>
              <w:spacing w:before="18"/>
              <w:ind w:left="39"/>
              <w:rPr>
                <w:rFonts w:ascii="Calibri"/>
                <w:sz w:val="20"/>
              </w:rPr>
            </w:pPr>
            <w:r>
              <w:rPr>
                <w:rFonts w:ascii="Calibri"/>
                <w:spacing w:val="-4"/>
                <w:sz w:val="20"/>
              </w:rPr>
              <w:t>Y***</w:t>
            </w:r>
          </w:p>
        </w:tc>
        <w:tc>
          <w:tcPr>
            <w:tcW w:w="682" w:type="dxa"/>
          </w:tcPr>
          <w:p>
            <w:pPr>
              <w:pStyle w:val="TableParagraph"/>
              <w:spacing w:before="18"/>
              <w:ind w:left="38"/>
              <w:rPr>
                <w:rFonts w:ascii="Calibri"/>
                <w:sz w:val="20"/>
              </w:rPr>
            </w:pPr>
            <w:r>
              <w:rPr>
                <w:rFonts w:ascii="Calibri"/>
                <w:spacing w:val="-4"/>
                <w:sz w:val="20"/>
              </w:rPr>
              <w:t>Y***</w:t>
            </w:r>
          </w:p>
        </w:tc>
        <w:tc>
          <w:tcPr>
            <w:tcW w:w="680" w:type="dxa"/>
          </w:tcPr>
          <w:p>
            <w:pPr>
              <w:pStyle w:val="TableParagraph"/>
              <w:spacing w:before="18"/>
              <w:ind w:left="35"/>
              <w:rPr>
                <w:rFonts w:ascii="Calibri"/>
                <w:sz w:val="20"/>
              </w:rPr>
            </w:pPr>
            <w:r>
              <w:rPr>
                <w:rFonts w:ascii="Calibri"/>
                <w:spacing w:val="-4"/>
                <w:sz w:val="20"/>
              </w:rPr>
              <w:t>Y***</w:t>
            </w:r>
          </w:p>
        </w:tc>
        <w:tc>
          <w:tcPr>
            <w:tcW w:w="682" w:type="dxa"/>
          </w:tcPr>
          <w:p>
            <w:pPr>
              <w:pStyle w:val="TableParagraph"/>
              <w:spacing w:before="18"/>
              <w:ind w:left="37"/>
              <w:rPr>
                <w:rFonts w:ascii="Calibri"/>
                <w:sz w:val="20"/>
              </w:rPr>
            </w:pPr>
            <w:r>
              <w:rPr>
                <w:rFonts w:ascii="Calibri"/>
                <w:spacing w:val="-4"/>
                <w:sz w:val="20"/>
              </w:rPr>
              <w:t>Y***</w:t>
            </w:r>
          </w:p>
        </w:tc>
        <w:tc>
          <w:tcPr>
            <w:tcW w:w="680" w:type="dxa"/>
          </w:tcPr>
          <w:p>
            <w:pPr>
              <w:pStyle w:val="TableParagraph"/>
              <w:spacing w:before="18"/>
              <w:ind w:left="34"/>
              <w:rPr>
                <w:rFonts w:ascii="Calibri"/>
                <w:sz w:val="20"/>
              </w:rPr>
            </w:pPr>
            <w:r>
              <w:rPr>
                <w:rFonts w:ascii="Calibri"/>
                <w:spacing w:val="-4"/>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4"/>
                <w:sz w:val="20"/>
              </w:rPr>
              <w:t>N**</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before="18"/>
              <w:ind w:left="35"/>
              <w:rPr>
                <w:rFonts w:ascii="Calibri"/>
                <w:sz w:val="20"/>
              </w:rPr>
            </w:pPr>
            <w:r>
              <w:rPr>
                <w:rFonts w:ascii="Calibri"/>
                <w:spacing w:val="-10"/>
                <w:sz w:val="20"/>
              </w:rPr>
              <w:t>Y</w:t>
            </w:r>
          </w:p>
        </w:tc>
      </w:tr>
      <w:tr>
        <w:trPr>
          <w:trHeight w:val="258" w:hRule="atLeast"/>
        </w:trPr>
        <w:tc>
          <w:tcPr>
            <w:tcW w:w="4402" w:type="dxa"/>
          </w:tcPr>
          <w:p>
            <w:pPr>
              <w:pStyle w:val="TableParagraph"/>
              <w:spacing w:line="220" w:lineRule="exact" w:before="18"/>
              <w:ind w:left="42"/>
              <w:rPr>
                <w:rFonts w:ascii="Calibri"/>
                <w:b/>
                <w:sz w:val="20"/>
              </w:rPr>
            </w:pPr>
            <w:r>
              <w:rPr>
                <w:rFonts w:ascii="Calibri"/>
                <w:b/>
                <w:sz w:val="20"/>
              </w:rPr>
              <w:t>Minerals,</w:t>
            </w:r>
            <w:r>
              <w:rPr>
                <w:rFonts w:ascii="Calibri"/>
                <w:b/>
                <w:spacing w:val="-9"/>
                <w:sz w:val="20"/>
              </w:rPr>
              <w:t> </w:t>
            </w:r>
            <w:r>
              <w:rPr>
                <w:rFonts w:ascii="Calibri"/>
                <w:b/>
                <w:spacing w:val="-2"/>
                <w:sz w:val="20"/>
              </w:rPr>
              <w:t>salable</w:t>
            </w:r>
          </w:p>
        </w:tc>
        <w:tc>
          <w:tcPr>
            <w:tcW w:w="680" w:type="dxa"/>
          </w:tcPr>
          <w:p>
            <w:pPr>
              <w:pStyle w:val="TableParagraph"/>
              <w:spacing w:line="220" w:lineRule="exact" w:before="18"/>
              <w:ind w:left="40"/>
              <w:rPr>
                <w:rFonts w:ascii="Calibri"/>
                <w:sz w:val="20"/>
              </w:rPr>
            </w:pPr>
            <w:r>
              <w:rPr>
                <w:rFonts w:ascii="Calibri"/>
                <w:spacing w:val="-10"/>
                <w:sz w:val="20"/>
              </w:rPr>
              <w:t>Y</w:t>
            </w:r>
          </w:p>
        </w:tc>
        <w:tc>
          <w:tcPr>
            <w:tcW w:w="682" w:type="dxa"/>
          </w:tcPr>
          <w:p>
            <w:pPr>
              <w:pStyle w:val="TableParagraph"/>
              <w:spacing w:line="220" w:lineRule="exact" w:before="18"/>
              <w:ind w:left="41"/>
              <w:rPr>
                <w:rFonts w:ascii="Calibri"/>
                <w:sz w:val="20"/>
              </w:rPr>
            </w:pPr>
            <w:r>
              <w:rPr>
                <w:rFonts w:ascii="Calibri"/>
                <w:spacing w:val="-10"/>
                <w:sz w:val="20"/>
              </w:rPr>
              <w:t>N</w:t>
            </w:r>
          </w:p>
        </w:tc>
        <w:tc>
          <w:tcPr>
            <w:tcW w:w="680" w:type="dxa"/>
          </w:tcPr>
          <w:p>
            <w:pPr>
              <w:pStyle w:val="TableParagraph"/>
              <w:spacing w:line="220" w:lineRule="exact" w:before="18"/>
              <w:ind w:left="38"/>
              <w:rPr>
                <w:rFonts w:ascii="Calibri"/>
                <w:sz w:val="20"/>
              </w:rPr>
            </w:pPr>
            <w:r>
              <w:rPr>
                <w:rFonts w:ascii="Calibri"/>
                <w:spacing w:val="-10"/>
                <w:sz w:val="20"/>
              </w:rPr>
              <w:t>N</w:t>
            </w:r>
          </w:p>
        </w:tc>
        <w:tc>
          <w:tcPr>
            <w:tcW w:w="682" w:type="dxa"/>
          </w:tcPr>
          <w:p>
            <w:pPr>
              <w:pStyle w:val="TableParagraph"/>
              <w:spacing w:line="220" w:lineRule="exact" w:before="18"/>
              <w:ind w:left="40"/>
              <w:rPr>
                <w:rFonts w:ascii="Calibri"/>
                <w:sz w:val="20"/>
              </w:rPr>
            </w:pPr>
            <w:r>
              <w:rPr>
                <w:rFonts w:ascii="Calibri"/>
                <w:spacing w:val="-10"/>
                <w:sz w:val="20"/>
              </w:rPr>
              <w:t>Y</w:t>
            </w:r>
          </w:p>
        </w:tc>
        <w:tc>
          <w:tcPr>
            <w:tcW w:w="680" w:type="dxa"/>
          </w:tcPr>
          <w:p>
            <w:pPr>
              <w:pStyle w:val="TableParagraph"/>
              <w:spacing w:line="220" w:lineRule="exact" w:before="18"/>
              <w:ind w:left="40"/>
              <w:rPr>
                <w:rFonts w:ascii="Calibri"/>
                <w:sz w:val="20"/>
              </w:rPr>
            </w:pPr>
            <w:r>
              <w:rPr>
                <w:rFonts w:ascii="Calibri"/>
                <w:spacing w:val="-10"/>
                <w:sz w:val="20"/>
              </w:rPr>
              <w:t>Y</w:t>
            </w:r>
          </w:p>
        </w:tc>
        <w:tc>
          <w:tcPr>
            <w:tcW w:w="682" w:type="dxa"/>
          </w:tcPr>
          <w:p>
            <w:pPr>
              <w:pStyle w:val="TableParagraph"/>
              <w:spacing w:line="220" w:lineRule="exact" w:before="18"/>
              <w:ind w:left="39"/>
              <w:rPr>
                <w:rFonts w:ascii="Calibri"/>
                <w:sz w:val="20"/>
              </w:rPr>
            </w:pPr>
            <w:r>
              <w:rPr>
                <w:rFonts w:ascii="Calibri"/>
                <w:spacing w:val="-10"/>
                <w:sz w:val="20"/>
              </w:rPr>
              <w:t>Y</w:t>
            </w:r>
          </w:p>
        </w:tc>
        <w:tc>
          <w:tcPr>
            <w:tcW w:w="682" w:type="dxa"/>
          </w:tcPr>
          <w:p>
            <w:pPr>
              <w:pStyle w:val="TableParagraph"/>
              <w:spacing w:line="220" w:lineRule="exact" w:before="18"/>
              <w:ind w:left="38"/>
              <w:rPr>
                <w:rFonts w:ascii="Calibri"/>
                <w:sz w:val="20"/>
              </w:rPr>
            </w:pPr>
            <w:r>
              <w:rPr>
                <w:rFonts w:ascii="Calibri"/>
                <w:spacing w:val="-10"/>
                <w:sz w:val="20"/>
              </w:rPr>
              <w:t>Y</w:t>
            </w:r>
          </w:p>
        </w:tc>
        <w:tc>
          <w:tcPr>
            <w:tcW w:w="680" w:type="dxa"/>
          </w:tcPr>
          <w:p>
            <w:pPr>
              <w:pStyle w:val="TableParagraph"/>
              <w:spacing w:line="220" w:lineRule="exact" w:before="18"/>
              <w:ind w:left="35"/>
              <w:rPr>
                <w:rFonts w:ascii="Calibri"/>
                <w:sz w:val="20"/>
              </w:rPr>
            </w:pPr>
            <w:r>
              <w:rPr>
                <w:rFonts w:ascii="Calibri"/>
                <w:spacing w:val="-10"/>
                <w:sz w:val="20"/>
              </w:rPr>
              <w:t>Y</w:t>
            </w:r>
          </w:p>
        </w:tc>
        <w:tc>
          <w:tcPr>
            <w:tcW w:w="682" w:type="dxa"/>
          </w:tcPr>
          <w:p>
            <w:pPr>
              <w:pStyle w:val="TableParagraph"/>
              <w:spacing w:line="220" w:lineRule="exact" w:before="18"/>
              <w:ind w:left="37"/>
              <w:rPr>
                <w:rFonts w:ascii="Calibri"/>
                <w:sz w:val="20"/>
              </w:rPr>
            </w:pPr>
            <w:r>
              <w:rPr>
                <w:rFonts w:ascii="Calibri"/>
                <w:spacing w:val="-10"/>
                <w:sz w:val="20"/>
              </w:rPr>
              <w:t>N</w:t>
            </w:r>
          </w:p>
        </w:tc>
        <w:tc>
          <w:tcPr>
            <w:tcW w:w="680" w:type="dxa"/>
          </w:tcPr>
          <w:p>
            <w:pPr>
              <w:pStyle w:val="TableParagraph"/>
              <w:spacing w:line="220" w:lineRule="exact" w:before="18"/>
              <w:ind w:left="34"/>
              <w:rPr>
                <w:rFonts w:ascii="Calibri"/>
                <w:sz w:val="20"/>
              </w:rPr>
            </w:pPr>
            <w:r>
              <w:rPr>
                <w:rFonts w:ascii="Calibri"/>
                <w:spacing w:val="-10"/>
                <w:sz w:val="20"/>
              </w:rPr>
              <w:t>Y</w:t>
            </w:r>
          </w:p>
        </w:tc>
        <w:tc>
          <w:tcPr>
            <w:tcW w:w="682" w:type="dxa"/>
          </w:tcPr>
          <w:p>
            <w:pPr>
              <w:pStyle w:val="TableParagraph"/>
              <w:spacing w:line="220" w:lineRule="exact" w:before="18"/>
              <w:ind w:left="36"/>
              <w:rPr>
                <w:rFonts w:ascii="Calibri"/>
                <w:sz w:val="20"/>
              </w:rPr>
            </w:pPr>
            <w:r>
              <w:rPr>
                <w:rFonts w:ascii="Calibri"/>
                <w:spacing w:val="-10"/>
                <w:sz w:val="20"/>
              </w:rPr>
              <w:t>N</w:t>
            </w:r>
          </w:p>
        </w:tc>
        <w:tc>
          <w:tcPr>
            <w:tcW w:w="680" w:type="dxa"/>
          </w:tcPr>
          <w:p>
            <w:pPr>
              <w:pStyle w:val="TableParagraph"/>
              <w:spacing w:line="220" w:lineRule="exact" w:before="18"/>
              <w:ind w:left="35"/>
              <w:rPr>
                <w:rFonts w:ascii="Calibri"/>
                <w:sz w:val="20"/>
              </w:rPr>
            </w:pPr>
            <w:r>
              <w:rPr>
                <w:rFonts w:ascii="Calibri"/>
                <w:spacing w:val="-10"/>
                <w:sz w:val="20"/>
              </w:rPr>
              <w:t>N</w:t>
            </w:r>
          </w:p>
        </w:tc>
        <w:tc>
          <w:tcPr>
            <w:tcW w:w="682" w:type="dxa"/>
          </w:tcPr>
          <w:p>
            <w:pPr>
              <w:pStyle w:val="TableParagraph"/>
              <w:spacing w:line="220" w:lineRule="exact" w:before="18"/>
              <w:ind w:left="35"/>
              <w:rPr>
                <w:rFonts w:ascii="Calibri"/>
                <w:sz w:val="20"/>
              </w:rPr>
            </w:pPr>
            <w:r>
              <w:rPr>
                <w:rFonts w:ascii="Calibri"/>
                <w:spacing w:val="-10"/>
                <w:sz w:val="20"/>
              </w:rPr>
              <w:t>N</w:t>
            </w:r>
          </w:p>
        </w:tc>
      </w:tr>
      <w:tr>
        <w:trPr>
          <w:trHeight w:val="520" w:hRule="atLeast"/>
        </w:trPr>
        <w:tc>
          <w:tcPr>
            <w:tcW w:w="4402" w:type="dxa"/>
          </w:tcPr>
          <w:p>
            <w:pPr>
              <w:pStyle w:val="TableParagraph"/>
              <w:spacing w:line="260" w:lineRule="atLeast" w:before="0"/>
              <w:ind w:left="42"/>
              <w:rPr>
                <w:rFonts w:ascii="Calibri"/>
                <w:b/>
                <w:sz w:val="20"/>
              </w:rPr>
            </w:pPr>
            <w:r>
              <w:rPr>
                <w:rFonts w:ascii="Calibri"/>
                <w:b/>
                <w:sz w:val="20"/>
              </w:rPr>
              <w:t>Motorized</w:t>
            </w:r>
            <w:r>
              <w:rPr>
                <w:rFonts w:ascii="Calibri"/>
                <w:b/>
                <w:spacing w:val="-6"/>
                <w:sz w:val="20"/>
              </w:rPr>
              <w:t> </w:t>
            </w:r>
            <w:r>
              <w:rPr>
                <w:rFonts w:ascii="Calibri"/>
                <w:b/>
                <w:sz w:val="20"/>
              </w:rPr>
              <w:t>recreational</w:t>
            </w:r>
            <w:r>
              <w:rPr>
                <w:rFonts w:ascii="Calibri"/>
                <w:b/>
                <w:spacing w:val="-7"/>
                <w:sz w:val="20"/>
              </w:rPr>
              <w:t> </w:t>
            </w:r>
            <w:r>
              <w:rPr>
                <w:rFonts w:ascii="Calibri"/>
                <w:b/>
                <w:sz w:val="20"/>
              </w:rPr>
              <w:t>use,</w:t>
            </w:r>
            <w:r>
              <w:rPr>
                <w:rFonts w:ascii="Calibri"/>
                <w:b/>
                <w:spacing w:val="-7"/>
                <w:sz w:val="20"/>
              </w:rPr>
              <w:t> </w:t>
            </w:r>
            <w:r>
              <w:rPr>
                <w:rFonts w:ascii="Calibri"/>
                <w:b/>
                <w:sz w:val="20"/>
              </w:rPr>
              <w:t>summer,</w:t>
            </w:r>
            <w:r>
              <w:rPr>
                <w:rFonts w:ascii="Calibri"/>
                <w:b/>
                <w:spacing w:val="-7"/>
                <w:sz w:val="20"/>
              </w:rPr>
              <w:t> </w:t>
            </w:r>
            <w:r>
              <w:rPr>
                <w:rFonts w:ascii="Calibri"/>
                <w:b/>
                <w:sz w:val="20"/>
              </w:rPr>
              <w:t>trails</w:t>
            </w:r>
            <w:r>
              <w:rPr>
                <w:rFonts w:ascii="Calibri"/>
                <w:b/>
                <w:spacing w:val="-6"/>
                <w:sz w:val="20"/>
              </w:rPr>
              <w:t> </w:t>
            </w:r>
            <w:r>
              <w:rPr>
                <w:rFonts w:ascii="Calibri"/>
                <w:b/>
                <w:sz w:val="20"/>
              </w:rPr>
              <w:t>or</w:t>
            </w:r>
            <w:r>
              <w:rPr>
                <w:rFonts w:ascii="Calibri"/>
                <w:b/>
                <w:spacing w:val="-6"/>
                <w:sz w:val="20"/>
              </w:rPr>
              <w:t> </w:t>
            </w:r>
            <w:r>
              <w:rPr>
                <w:rFonts w:ascii="Calibri"/>
                <w:b/>
                <w:sz w:val="20"/>
              </w:rPr>
              <w:t>play </w:t>
            </w:r>
            <w:r>
              <w:rPr>
                <w:rFonts w:ascii="Calibri"/>
                <w:b/>
                <w:spacing w:val="-2"/>
                <w:sz w:val="20"/>
              </w:rPr>
              <w:t>areas</w:t>
            </w:r>
          </w:p>
        </w:tc>
        <w:tc>
          <w:tcPr>
            <w:tcW w:w="680" w:type="dxa"/>
          </w:tcPr>
          <w:p>
            <w:pPr>
              <w:pStyle w:val="TableParagraph"/>
              <w:spacing w:line="260" w:lineRule="atLeast" w:before="0"/>
              <w:ind w:left="40" w:right="163"/>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20"/>
              <w:ind w:left="41"/>
              <w:rPr>
                <w:rFonts w:ascii="Calibri"/>
                <w:sz w:val="20"/>
              </w:rPr>
            </w:pPr>
            <w:r>
              <w:rPr>
                <w:rFonts w:ascii="Calibri"/>
                <w:spacing w:val="-10"/>
                <w:sz w:val="20"/>
              </w:rPr>
              <w:t>N</w:t>
            </w:r>
          </w:p>
        </w:tc>
        <w:tc>
          <w:tcPr>
            <w:tcW w:w="680" w:type="dxa"/>
          </w:tcPr>
          <w:p>
            <w:pPr>
              <w:pStyle w:val="TableParagraph"/>
              <w:spacing w:before="20"/>
              <w:ind w:left="38"/>
              <w:rPr>
                <w:rFonts w:ascii="Calibri"/>
                <w:sz w:val="20"/>
              </w:rPr>
            </w:pPr>
            <w:r>
              <w:rPr>
                <w:rFonts w:ascii="Calibri"/>
                <w:spacing w:val="-10"/>
                <w:sz w:val="20"/>
              </w:rPr>
              <w:t>Y</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39"/>
              <w:rPr>
                <w:rFonts w:ascii="Calibri"/>
                <w:sz w:val="20"/>
              </w:rPr>
            </w:pPr>
            <w:r>
              <w:rPr>
                <w:rFonts w:ascii="Calibri"/>
                <w:spacing w:val="-10"/>
                <w:sz w:val="20"/>
              </w:rPr>
              <w:t>N</w:t>
            </w:r>
          </w:p>
        </w:tc>
        <w:tc>
          <w:tcPr>
            <w:tcW w:w="682" w:type="dxa"/>
          </w:tcPr>
          <w:p>
            <w:pPr>
              <w:pStyle w:val="TableParagraph"/>
              <w:spacing w:before="20"/>
              <w:ind w:left="38"/>
              <w:rPr>
                <w:rFonts w:ascii="Calibri"/>
                <w:sz w:val="20"/>
              </w:rPr>
            </w:pPr>
            <w:r>
              <w:rPr>
                <w:rFonts w:ascii="Calibri"/>
                <w:spacing w:val="-10"/>
                <w:sz w:val="20"/>
              </w:rPr>
              <w:t>N</w:t>
            </w:r>
          </w:p>
        </w:tc>
        <w:tc>
          <w:tcPr>
            <w:tcW w:w="680" w:type="dxa"/>
          </w:tcPr>
          <w:p>
            <w:pPr>
              <w:pStyle w:val="TableParagraph"/>
              <w:spacing w:line="260" w:lineRule="atLeast" w:before="0"/>
              <w:ind w:left="35"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r>
        <w:trPr>
          <w:trHeight w:val="520" w:hRule="atLeast"/>
        </w:trPr>
        <w:tc>
          <w:tcPr>
            <w:tcW w:w="4402" w:type="dxa"/>
          </w:tcPr>
          <w:p>
            <w:pPr>
              <w:pStyle w:val="TableParagraph"/>
              <w:spacing w:line="260" w:lineRule="atLeast" w:before="0"/>
              <w:ind w:left="42"/>
              <w:rPr>
                <w:rFonts w:ascii="Calibri"/>
                <w:b/>
                <w:sz w:val="20"/>
              </w:rPr>
            </w:pPr>
            <w:r>
              <w:rPr>
                <w:rFonts w:ascii="Calibri"/>
                <w:b/>
                <w:sz w:val="20"/>
              </w:rPr>
              <w:t>Motorized</w:t>
            </w:r>
            <w:r>
              <w:rPr>
                <w:rFonts w:ascii="Calibri"/>
                <w:b/>
                <w:spacing w:val="-5"/>
                <w:sz w:val="20"/>
              </w:rPr>
              <w:t> </w:t>
            </w:r>
            <w:r>
              <w:rPr>
                <w:rFonts w:ascii="Calibri"/>
                <w:b/>
                <w:sz w:val="20"/>
              </w:rPr>
              <w:t>recreational</w:t>
            </w:r>
            <w:r>
              <w:rPr>
                <w:rFonts w:ascii="Calibri"/>
                <w:b/>
                <w:spacing w:val="-7"/>
                <w:sz w:val="20"/>
              </w:rPr>
              <w:t> </w:t>
            </w:r>
            <w:r>
              <w:rPr>
                <w:rFonts w:ascii="Calibri"/>
                <w:b/>
                <w:sz w:val="20"/>
              </w:rPr>
              <w:t>use,</w:t>
            </w:r>
            <w:r>
              <w:rPr>
                <w:rFonts w:ascii="Calibri"/>
                <w:b/>
                <w:spacing w:val="-7"/>
                <w:sz w:val="20"/>
              </w:rPr>
              <w:t> </w:t>
            </w:r>
            <w:r>
              <w:rPr>
                <w:rFonts w:ascii="Calibri"/>
                <w:b/>
                <w:sz w:val="20"/>
              </w:rPr>
              <w:t>winter,</w:t>
            </w:r>
            <w:r>
              <w:rPr>
                <w:rFonts w:ascii="Calibri"/>
                <w:b/>
                <w:spacing w:val="-7"/>
                <w:sz w:val="20"/>
              </w:rPr>
              <w:t> </w:t>
            </w:r>
            <w:r>
              <w:rPr>
                <w:rFonts w:ascii="Calibri"/>
                <w:b/>
                <w:sz w:val="20"/>
              </w:rPr>
              <w:t>trails</w:t>
            </w:r>
            <w:r>
              <w:rPr>
                <w:rFonts w:ascii="Calibri"/>
                <w:b/>
                <w:spacing w:val="-6"/>
                <w:sz w:val="20"/>
              </w:rPr>
              <w:t> </w:t>
            </w:r>
            <w:r>
              <w:rPr>
                <w:rFonts w:ascii="Calibri"/>
                <w:b/>
                <w:sz w:val="20"/>
              </w:rPr>
              <w:t>or</w:t>
            </w:r>
            <w:r>
              <w:rPr>
                <w:rFonts w:ascii="Calibri"/>
                <w:b/>
                <w:spacing w:val="-5"/>
                <w:sz w:val="20"/>
              </w:rPr>
              <w:t> </w:t>
            </w:r>
            <w:r>
              <w:rPr>
                <w:rFonts w:ascii="Calibri"/>
                <w:b/>
                <w:sz w:val="20"/>
              </w:rPr>
              <w:t>cross- </w:t>
            </w:r>
            <w:r>
              <w:rPr>
                <w:rFonts w:ascii="Calibri"/>
                <w:b/>
                <w:spacing w:val="-2"/>
                <w:sz w:val="20"/>
              </w:rPr>
              <w:t>country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41"/>
              <w:rPr>
                <w:rFonts w:ascii="Calibri"/>
                <w:sz w:val="20"/>
              </w:rPr>
            </w:pPr>
            <w:r>
              <w:rPr>
                <w:rFonts w:ascii="Calibri"/>
                <w:spacing w:val="-10"/>
                <w:sz w:val="20"/>
              </w:rPr>
              <w:t>N</w:t>
            </w:r>
          </w:p>
        </w:tc>
        <w:tc>
          <w:tcPr>
            <w:tcW w:w="680" w:type="dxa"/>
          </w:tcPr>
          <w:p>
            <w:pPr>
              <w:pStyle w:val="TableParagraph"/>
              <w:spacing w:before="20"/>
              <w:ind w:left="38"/>
              <w:rPr>
                <w:rFonts w:ascii="Calibri"/>
                <w:sz w:val="20"/>
              </w:rPr>
            </w:pPr>
            <w:r>
              <w:rPr>
                <w:rFonts w:ascii="Calibri"/>
                <w:spacing w:val="-10"/>
                <w:sz w:val="20"/>
              </w:rPr>
              <w:t>Y</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line="260" w:lineRule="atLeast" w:before="0"/>
              <w:ind w:left="39" w:right="166"/>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20"/>
              <w:ind w:left="38"/>
              <w:rPr>
                <w:rFonts w:ascii="Calibri"/>
                <w:sz w:val="20"/>
              </w:rPr>
            </w:pP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r>
        <w:trPr>
          <w:trHeight w:val="260" w:hRule="atLeast"/>
        </w:trPr>
        <w:tc>
          <w:tcPr>
            <w:tcW w:w="4402" w:type="dxa"/>
          </w:tcPr>
          <w:p>
            <w:pPr>
              <w:pStyle w:val="TableParagraph"/>
              <w:spacing w:line="220" w:lineRule="exact" w:before="20"/>
              <w:ind w:left="42"/>
              <w:rPr>
                <w:rFonts w:ascii="Calibri"/>
                <w:b/>
                <w:sz w:val="20"/>
              </w:rPr>
            </w:pPr>
            <w:r>
              <w:rPr>
                <w:rFonts w:ascii="Calibri"/>
                <w:b/>
                <w:sz w:val="20"/>
              </w:rPr>
              <w:t>Non-motorized</w:t>
            </w:r>
            <w:r>
              <w:rPr>
                <w:rFonts w:ascii="Calibri"/>
                <w:b/>
                <w:spacing w:val="-8"/>
                <w:sz w:val="20"/>
              </w:rPr>
              <w:t> </w:t>
            </w:r>
            <w:r>
              <w:rPr>
                <w:rFonts w:ascii="Calibri"/>
                <w:b/>
                <w:sz w:val="20"/>
              </w:rPr>
              <w:t>recreational</w:t>
            </w:r>
            <w:r>
              <w:rPr>
                <w:rFonts w:ascii="Calibri"/>
                <w:b/>
                <w:spacing w:val="-11"/>
                <w:sz w:val="20"/>
              </w:rPr>
              <w:t> </w:t>
            </w:r>
            <w:r>
              <w:rPr>
                <w:rFonts w:ascii="Calibri"/>
                <w:b/>
                <w:sz w:val="20"/>
              </w:rPr>
              <w:t>use,</w:t>
            </w:r>
            <w:r>
              <w:rPr>
                <w:rFonts w:ascii="Calibri"/>
                <w:b/>
                <w:spacing w:val="-10"/>
                <w:sz w:val="20"/>
              </w:rPr>
              <w:t> </w:t>
            </w:r>
            <w:r>
              <w:rPr>
                <w:rFonts w:ascii="Calibri"/>
                <w:b/>
                <w:spacing w:val="-2"/>
                <w:sz w:val="20"/>
              </w:rPr>
              <w:t>summer</w:t>
            </w:r>
          </w:p>
        </w:tc>
        <w:tc>
          <w:tcPr>
            <w:tcW w:w="680" w:type="dxa"/>
          </w:tcPr>
          <w:p>
            <w:pPr>
              <w:pStyle w:val="TableParagraph"/>
              <w:spacing w:line="220" w:lineRule="exact" w:before="20"/>
              <w:ind w:left="40"/>
              <w:rPr>
                <w:rFonts w:ascii="Calibri"/>
                <w:sz w:val="20"/>
              </w:rPr>
            </w:pPr>
            <w:r>
              <w:rPr>
                <w:rFonts w:ascii="Calibri"/>
                <w:spacing w:val="-10"/>
                <w:sz w:val="20"/>
              </w:rPr>
              <w:t>Y</w:t>
            </w:r>
          </w:p>
        </w:tc>
        <w:tc>
          <w:tcPr>
            <w:tcW w:w="682" w:type="dxa"/>
          </w:tcPr>
          <w:p>
            <w:pPr>
              <w:pStyle w:val="TableParagraph"/>
              <w:spacing w:line="220" w:lineRule="exact" w:before="20"/>
              <w:ind w:left="41"/>
              <w:rPr>
                <w:rFonts w:ascii="Calibri"/>
                <w:sz w:val="20"/>
              </w:rPr>
            </w:pPr>
            <w:r>
              <w:rPr>
                <w:rFonts w:ascii="Calibri"/>
                <w:spacing w:val="-10"/>
                <w:sz w:val="20"/>
              </w:rPr>
              <w:t>Y</w:t>
            </w:r>
          </w:p>
        </w:tc>
        <w:tc>
          <w:tcPr>
            <w:tcW w:w="680" w:type="dxa"/>
          </w:tcPr>
          <w:p>
            <w:pPr>
              <w:pStyle w:val="TableParagraph"/>
              <w:spacing w:line="220" w:lineRule="exact" w:before="20"/>
              <w:ind w:left="38"/>
              <w:rPr>
                <w:rFonts w:ascii="Calibri"/>
                <w:sz w:val="20"/>
              </w:rPr>
            </w:pPr>
            <w:r>
              <w:rPr>
                <w:rFonts w:ascii="Calibri"/>
                <w:spacing w:val="-10"/>
                <w:sz w:val="20"/>
              </w:rPr>
              <w:t>Y</w:t>
            </w:r>
          </w:p>
        </w:tc>
        <w:tc>
          <w:tcPr>
            <w:tcW w:w="682" w:type="dxa"/>
          </w:tcPr>
          <w:p>
            <w:pPr>
              <w:pStyle w:val="TableParagraph"/>
              <w:spacing w:line="220" w:lineRule="exact" w:before="20"/>
              <w:ind w:left="40"/>
              <w:rPr>
                <w:rFonts w:ascii="Calibri"/>
                <w:sz w:val="20"/>
              </w:rPr>
            </w:pPr>
            <w:r>
              <w:rPr>
                <w:rFonts w:ascii="Calibri"/>
                <w:spacing w:val="-10"/>
                <w:sz w:val="20"/>
              </w:rPr>
              <w:t>Y</w:t>
            </w:r>
          </w:p>
        </w:tc>
        <w:tc>
          <w:tcPr>
            <w:tcW w:w="680" w:type="dxa"/>
          </w:tcPr>
          <w:p>
            <w:pPr>
              <w:pStyle w:val="TableParagraph"/>
              <w:spacing w:line="220" w:lineRule="exact" w:before="20"/>
              <w:ind w:left="40"/>
              <w:rPr>
                <w:rFonts w:ascii="Calibri"/>
                <w:sz w:val="20"/>
              </w:rPr>
            </w:pPr>
            <w:r>
              <w:rPr>
                <w:rFonts w:ascii="Calibri"/>
                <w:spacing w:val="-10"/>
                <w:sz w:val="20"/>
              </w:rPr>
              <w:t>Y</w:t>
            </w:r>
          </w:p>
        </w:tc>
        <w:tc>
          <w:tcPr>
            <w:tcW w:w="682" w:type="dxa"/>
          </w:tcPr>
          <w:p>
            <w:pPr>
              <w:pStyle w:val="TableParagraph"/>
              <w:spacing w:line="220" w:lineRule="exact" w:before="20"/>
              <w:ind w:left="39"/>
              <w:rPr>
                <w:rFonts w:ascii="Calibri"/>
                <w:sz w:val="20"/>
              </w:rPr>
            </w:pPr>
            <w:r>
              <w:rPr>
                <w:rFonts w:ascii="Calibri"/>
                <w:spacing w:val="-10"/>
                <w:sz w:val="20"/>
              </w:rPr>
              <w:t>Y</w:t>
            </w:r>
          </w:p>
        </w:tc>
        <w:tc>
          <w:tcPr>
            <w:tcW w:w="682" w:type="dxa"/>
          </w:tcPr>
          <w:p>
            <w:pPr>
              <w:pStyle w:val="TableParagraph"/>
              <w:spacing w:line="220" w:lineRule="exact" w:before="20"/>
              <w:ind w:left="38"/>
              <w:rPr>
                <w:rFonts w:ascii="Calibri"/>
                <w:sz w:val="20"/>
              </w:rPr>
            </w:pPr>
            <w:r>
              <w:rPr>
                <w:rFonts w:ascii="Calibri"/>
                <w:spacing w:val="-10"/>
                <w:sz w:val="20"/>
              </w:rPr>
              <w:t>Y</w:t>
            </w:r>
          </w:p>
        </w:tc>
        <w:tc>
          <w:tcPr>
            <w:tcW w:w="680" w:type="dxa"/>
          </w:tcPr>
          <w:p>
            <w:pPr>
              <w:pStyle w:val="TableParagraph"/>
              <w:spacing w:line="220" w:lineRule="exact" w:before="20"/>
              <w:ind w:left="35"/>
              <w:rPr>
                <w:rFonts w:ascii="Calibri"/>
                <w:sz w:val="20"/>
              </w:rPr>
            </w:pPr>
            <w:r>
              <w:rPr>
                <w:rFonts w:ascii="Calibri"/>
                <w:spacing w:val="-10"/>
                <w:sz w:val="20"/>
              </w:rPr>
              <w:t>Y</w:t>
            </w:r>
          </w:p>
        </w:tc>
        <w:tc>
          <w:tcPr>
            <w:tcW w:w="682" w:type="dxa"/>
          </w:tcPr>
          <w:p>
            <w:pPr>
              <w:pStyle w:val="TableParagraph"/>
              <w:spacing w:line="220" w:lineRule="exact" w:before="20"/>
              <w:ind w:left="37"/>
              <w:rPr>
                <w:rFonts w:ascii="Calibri"/>
                <w:sz w:val="20"/>
              </w:rPr>
            </w:pPr>
            <w:r>
              <w:rPr>
                <w:rFonts w:ascii="Calibri"/>
                <w:spacing w:val="-10"/>
                <w:sz w:val="20"/>
              </w:rPr>
              <w:t>Y</w:t>
            </w:r>
          </w:p>
        </w:tc>
        <w:tc>
          <w:tcPr>
            <w:tcW w:w="680" w:type="dxa"/>
          </w:tcPr>
          <w:p>
            <w:pPr>
              <w:pStyle w:val="TableParagraph"/>
              <w:spacing w:line="220" w:lineRule="exact" w:before="20"/>
              <w:ind w:left="34"/>
              <w:rPr>
                <w:rFonts w:ascii="Calibri"/>
                <w:sz w:val="20"/>
              </w:rPr>
            </w:pPr>
            <w:r>
              <w:rPr>
                <w:rFonts w:ascii="Calibri"/>
                <w:spacing w:val="-10"/>
                <w:sz w:val="20"/>
              </w:rPr>
              <w:t>Y</w:t>
            </w:r>
          </w:p>
        </w:tc>
        <w:tc>
          <w:tcPr>
            <w:tcW w:w="682" w:type="dxa"/>
          </w:tcPr>
          <w:p>
            <w:pPr>
              <w:pStyle w:val="TableParagraph"/>
              <w:spacing w:line="220" w:lineRule="exact" w:before="20"/>
              <w:ind w:left="36"/>
              <w:rPr>
                <w:rFonts w:ascii="Calibri"/>
                <w:sz w:val="20"/>
              </w:rPr>
            </w:pPr>
            <w:r>
              <w:rPr>
                <w:rFonts w:ascii="Calibri"/>
                <w:spacing w:val="-10"/>
                <w:sz w:val="20"/>
              </w:rPr>
              <w:t>Y</w:t>
            </w:r>
          </w:p>
        </w:tc>
        <w:tc>
          <w:tcPr>
            <w:tcW w:w="680" w:type="dxa"/>
          </w:tcPr>
          <w:p>
            <w:pPr>
              <w:pStyle w:val="TableParagraph"/>
              <w:spacing w:line="220" w:lineRule="exact" w:before="20"/>
              <w:ind w:left="35"/>
              <w:rPr>
                <w:rFonts w:ascii="Calibri"/>
                <w:sz w:val="20"/>
              </w:rPr>
            </w:pPr>
            <w:r>
              <w:rPr>
                <w:rFonts w:ascii="Calibri"/>
                <w:spacing w:val="-10"/>
                <w:sz w:val="20"/>
              </w:rPr>
              <w:t>Y</w:t>
            </w:r>
          </w:p>
        </w:tc>
        <w:tc>
          <w:tcPr>
            <w:tcW w:w="682" w:type="dxa"/>
          </w:tcPr>
          <w:p>
            <w:pPr>
              <w:pStyle w:val="TableParagraph"/>
              <w:spacing w:line="220" w:lineRule="exact" w:before="20"/>
              <w:ind w:left="35"/>
              <w:rPr>
                <w:rFonts w:ascii="Calibri"/>
                <w:sz w:val="20"/>
              </w:rPr>
            </w:pPr>
            <w:r>
              <w:rPr>
                <w:rFonts w:ascii="Calibri"/>
                <w:spacing w:val="-10"/>
                <w:sz w:val="20"/>
              </w:rPr>
              <w:t>Y</w:t>
            </w:r>
          </w:p>
        </w:tc>
      </w:tr>
      <w:tr>
        <w:trPr>
          <w:trHeight w:val="260" w:hRule="atLeast"/>
        </w:trPr>
        <w:tc>
          <w:tcPr>
            <w:tcW w:w="4402" w:type="dxa"/>
          </w:tcPr>
          <w:p>
            <w:pPr>
              <w:pStyle w:val="TableParagraph"/>
              <w:spacing w:line="223" w:lineRule="exact" w:before="18"/>
              <w:ind w:left="42"/>
              <w:rPr>
                <w:rFonts w:ascii="Calibri"/>
                <w:b/>
                <w:sz w:val="20"/>
              </w:rPr>
            </w:pPr>
            <w:r>
              <w:rPr>
                <w:rFonts w:ascii="Calibri"/>
                <w:b/>
                <w:sz w:val="20"/>
              </w:rPr>
              <w:t>Non-motorized</w:t>
            </w:r>
            <w:r>
              <w:rPr>
                <w:rFonts w:ascii="Calibri"/>
                <w:b/>
                <w:spacing w:val="-8"/>
                <w:sz w:val="20"/>
              </w:rPr>
              <w:t> </w:t>
            </w:r>
            <w:r>
              <w:rPr>
                <w:rFonts w:ascii="Calibri"/>
                <w:b/>
                <w:sz w:val="20"/>
              </w:rPr>
              <w:t>recreational</w:t>
            </w:r>
            <w:r>
              <w:rPr>
                <w:rFonts w:ascii="Calibri"/>
                <w:b/>
                <w:spacing w:val="-11"/>
                <w:sz w:val="20"/>
              </w:rPr>
              <w:t> </w:t>
            </w:r>
            <w:r>
              <w:rPr>
                <w:rFonts w:ascii="Calibri"/>
                <w:b/>
                <w:sz w:val="20"/>
              </w:rPr>
              <w:t>use,</w:t>
            </w:r>
            <w:r>
              <w:rPr>
                <w:rFonts w:ascii="Calibri"/>
                <w:b/>
                <w:spacing w:val="-10"/>
                <w:sz w:val="20"/>
              </w:rPr>
              <w:t> </w:t>
            </w:r>
            <w:r>
              <w:rPr>
                <w:rFonts w:ascii="Calibri"/>
                <w:b/>
                <w:spacing w:val="-2"/>
                <w:sz w:val="20"/>
              </w:rPr>
              <w:t>winter</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41"/>
              <w:rPr>
                <w:rFonts w:ascii="Calibri"/>
                <w:sz w:val="20"/>
              </w:rPr>
            </w:pPr>
            <w:r>
              <w:rPr>
                <w:rFonts w:ascii="Calibri"/>
                <w:spacing w:val="-10"/>
                <w:sz w:val="20"/>
              </w:rPr>
              <w:t>Y</w:t>
            </w:r>
          </w:p>
        </w:tc>
        <w:tc>
          <w:tcPr>
            <w:tcW w:w="680" w:type="dxa"/>
          </w:tcPr>
          <w:p>
            <w:pPr>
              <w:pStyle w:val="TableParagraph"/>
              <w:spacing w:line="223" w:lineRule="exact" w:before="18"/>
              <w:ind w:left="38"/>
              <w:rPr>
                <w:rFonts w:ascii="Calibri"/>
                <w:sz w:val="20"/>
              </w:rPr>
            </w:pPr>
            <w:r>
              <w:rPr>
                <w:rFonts w:ascii="Calibri"/>
                <w:spacing w:val="-10"/>
                <w:sz w:val="20"/>
              </w:rPr>
              <w:t>Y</w:t>
            </w:r>
          </w:p>
        </w:tc>
        <w:tc>
          <w:tcPr>
            <w:tcW w:w="682" w:type="dxa"/>
          </w:tcPr>
          <w:p>
            <w:pPr>
              <w:pStyle w:val="TableParagraph"/>
              <w:spacing w:line="223" w:lineRule="exact" w:before="18"/>
              <w:ind w:left="40"/>
              <w:rPr>
                <w:rFonts w:ascii="Calibri"/>
                <w:sz w:val="20"/>
              </w:rPr>
            </w:pPr>
            <w:r>
              <w:rPr>
                <w:rFonts w:ascii="Calibri"/>
                <w:spacing w:val="-10"/>
                <w:sz w:val="20"/>
              </w:rPr>
              <w:t>Y</w:t>
            </w:r>
          </w:p>
        </w:tc>
        <w:tc>
          <w:tcPr>
            <w:tcW w:w="680" w:type="dxa"/>
          </w:tcPr>
          <w:p>
            <w:pPr>
              <w:pStyle w:val="TableParagraph"/>
              <w:spacing w:line="223" w:lineRule="exact" w:before="18"/>
              <w:ind w:left="40"/>
              <w:rPr>
                <w:rFonts w:ascii="Calibri"/>
                <w:sz w:val="20"/>
              </w:rPr>
            </w:pPr>
            <w:r>
              <w:rPr>
                <w:rFonts w:ascii="Calibri"/>
                <w:spacing w:val="-10"/>
                <w:sz w:val="20"/>
              </w:rPr>
              <w:t>Y</w:t>
            </w:r>
          </w:p>
        </w:tc>
        <w:tc>
          <w:tcPr>
            <w:tcW w:w="682" w:type="dxa"/>
          </w:tcPr>
          <w:p>
            <w:pPr>
              <w:pStyle w:val="TableParagraph"/>
              <w:spacing w:line="223" w:lineRule="exact" w:before="18"/>
              <w:ind w:left="39"/>
              <w:rPr>
                <w:rFonts w:ascii="Calibri"/>
                <w:sz w:val="20"/>
              </w:rPr>
            </w:pPr>
            <w:r>
              <w:rPr>
                <w:rFonts w:ascii="Calibri"/>
                <w:spacing w:val="-10"/>
                <w:sz w:val="20"/>
              </w:rPr>
              <w:t>Y</w:t>
            </w:r>
          </w:p>
        </w:tc>
        <w:tc>
          <w:tcPr>
            <w:tcW w:w="682" w:type="dxa"/>
          </w:tcPr>
          <w:p>
            <w:pPr>
              <w:pStyle w:val="TableParagraph"/>
              <w:spacing w:line="223" w:lineRule="exact" w:before="18"/>
              <w:ind w:left="38"/>
              <w:rPr>
                <w:rFonts w:ascii="Calibri"/>
                <w:sz w:val="20"/>
              </w:rPr>
            </w:pPr>
            <w:r>
              <w:rPr>
                <w:rFonts w:ascii="Calibri"/>
                <w:spacing w:val="-10"/>
                <w:sz w:val="20"/>
              </w:rPr>
              <w:t>Y</w:t>
            </w:r>
          </w:p>
        </w:tc>
        <w:tc>
          <w:tcPr>
            <w:tcW w:w="680" w:type="dxa"/>
          </w:tcPr>
          <w:p>
            <w:pPr>
              <w:pStyle w:val="TableParagraph"/>
              <w:spacing w:line="223" w:lineRule="exact" w:before="18"/>
              <w:ind w:left="35"/>
              <w:rPr>
                <w:rFonts w:ascii="Calibri"/>
                <w:sz w:val="20"/>
              </w:rPr>
            </w:pPr>
            <w:r>
              <w:rPr>
                <w:rFonts w:ascii="Calibri"/>
                <w:spacing w:val="-10"/>
                <w:sz w:val="20"/>
              </w:rPr>
              <w:t>Y</w:t>
            </w:r>
          </w:p>
        </w:tc>
        <w:tc>
          <w:tcPr>
            <w:tcW w:w="682" w:type="dxa"/>
          </w:tcPr>
          <w:p>
            <w:pPr>
              <w:pStyle w:val="TableParagraph"/>
              <w:spacing w:line="223" w:lineRule="exact" w:before="18"/>
              <w:ind w:left="37"/>
              <w:rPr>
                <w:rFonts w:ascii="Calibri"/>
                <w:sz w:val="20"/>
              </w:rPr>
            </w:pPr>
            <w:r>
              <w:rPr>
                <w:rFonts w:ascii="Calibri"/>
                <w:spacing w:val="-10"/>
                <w:sz w:val="20"/>
              </w:rPr>
              <w:t>Y</w:t>
            </w:r>
          </w:p>
        </w:tc>
        <w:tc>
          <w:tcPr>
            <w:tcW w:w="680" w:type="dxa"/>
          </w:tcPr>
          <w:p>
            <w:pPr>
              <w:pStyle w:val="TableParagraph"/>
              <w:spacing w:line="223" w:lineRule="exact" w:before="18"/>
              <w:ind w:left="34"/>
              <w:rPr>
                <w:rFonts w:ascii="Calibri"/>
                <w:sz w:val="20"/>
              </w:rPr>
            </w:pPr>
            <w:r>
              <w:rPr>
                <w:rFonts w:ascii="Calibri"/>
                <w:spacing w:val="-10"/>
                <w:sz w:val="20"/>
              </w:rPr>
              <w:t>Y</w:t>
            </w:r>
          </w:p>
        </w:tc>
        <w:tc>
          <w:tcPr>
            <w:tcW w:w="682" w:type="dxa"/>
          </w:tcPr>
          <w:p>
            <w:pPr>
              <w:pStyle w:val="TableParagraph"/>
              <w:spacing w:line="223" w:lineRule="exact" w:before="18"/>
              <w:ind w:left="36"/>
              <w:rPr>
                <w:rFonts w:ascii="Calibri"/>
                <w:sz w:val="20"/>
              </w:rPr>
            </w:pPr>
            <w:r>
              <w:rPr>
                <w:rFonts w:ascii="Calibri"/>
                <w:spacing w:val="-10"/>
                <w:sz w:val="20"/>
              </w:rPr>
              <w:t>Y</w:t>
            </w:r>
          </w:p>
        </w:tc>
        <w:tc>
          <w:tcPr>
            <w:tcW w:w="680" w:type="dxa"/>
          </w:tcPr>
          <w:p>
            <w:pPr>
              <w:pStyle w:val="TableParagraph"/>
              <w:spacing w:line="223" w:lineRule="exact" w:before="18"/>
              <w:ind w:left="35"/>
              <w:rPr>
                <w:rFonts w:ascii="Calibri"/>
                <w:sz w:val="20"/>
              </w:rPr>
            </w:pPr>
            <w:r>
              <w:rPr>
                <w:rFonts w:ascii="Calibri"/>
                <w:spacing w:val="-10"/>
                <w:sz w:val="20"/>
              </w:rPr>
              <w:t>Y</w:t>
            </w:r>
          </w:p>
        </w:tc>
        <w:tc>
          <w:tcPr>
            <w:tcW w:w="682" w:type="dxa"/>
          </w:tcPr>
          <w:p>
            <w:pPr>
              <w:pStyle w:val="TableParagraph"/>
              <w:spacing w:line="223" w:lineRule="exact" w:before="18"/>
              <w:ind w:left="35"/>
              <w:rPr>
                <w:rFonts w:ascii="Calibri"/>
                <w:sz w:val="20"/>
              </w:rPr>
            </w:pPr>
            <w:r>
              <w:rPr>
                <w:rFonts w:ascii="Calibri"/>
                <w:spacing w:val="-10"/>
                <w:sz w:val="20"/>
              </w:rPr>
              <w:t>Y</w:t>
            </w:r>
          </w:p>
        </w:tc>
      </w:tr>
      <w:tr>
        <w:trPr>
          <w:trHeight w:val="520" w:hRule="atLeast"/>
        </w:trPr>
        <w:tc>
          <w:tcPr>
            <w:tcW w:w="4402" w:type="dxa"/>
          </w:tcPr>
          <w:p>
            <w:pPr>
              <w:pStyle w:val="TableParagraph"/>
              <w:spacing w:before="18"/>
              <w:ind w:left="42"/>
              <w:rPr>
                <w:rFonts w:ascii="Calibri"/>
                <w:b/>
                <w:sz w:val="20"/>
              </w:rPr>
            </w:pPr>
            <w:r>
              <w:rPr>
                <w:rFonts w:ascii="Calibri"/>
                <w:b/>
                <w:sz w:val="20"/>
              </w:rPr>
              <w:t>Road</w:t>
            </w:r>
            <w:r>
              <w:rPr>
                <w:rFonts w:ascii="Calibri"/>
                <w:b/>
                <w:spacing w:val="-8"/>
                <w:sz w:val="20"/>
              </w:rPr>
              <w:t> </w:t>
            </w:r>
            <w:r>
              <w:rPr>
                <w:rFonts w:ascii="Calibri"/>
                <w:b/>
                <w:sz w:val="20"/>
              </w:rPr>
              <w:t>construction,</w:t>
            </w:r>
            <w:r>
              <w:rPr>
                <w:rFonts w:ascii="Calibri"/>
                <w:b/>
                <w:spacing w:val="-9"/>
                <w:sz w:val="20"/>
              </w:rPr>
              <w:t> </w:t>
            </w:r>
            <w:r>
              <w:rPr>
                <w:rFonts w:ascii="Calibri"/>
                <w:b/>
                <w:spacing w:val="-2"/>
                <w:sz w:val="20"/>
              </w:rPr>
              <w:t>permanent</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N</w:t>
            </w:r>
          </w:p>
        </w:tc>
        <w:tc>
          <w:tcPr>
            <w:tcW w:w="680" w:type="dxa"/>
          </w:tcPr>
          <w:p>
            <w:pPr>
              <w:pStyle w:val="TableParagraph"/>
              <w:spacing w:before="18"/>
              <w:ind w:left="38"/>
              <w:rPr>
                <w:rFonts w:ascii="Calibri"/>
                <w:sz w:val="20"/>
              </w:rPr>
            </w:pPr>
            <w:r>
              <w:rPr>
                <w:rFonts w:ascii="Calibri"/>
                <w:spacing w:val="-10"/>
                <w:sz w:val="20"/>
              </w:rPr>
              <w:t>N</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38"/>
              <w:rPr>
                <w:rFonts w:ascii="Calibri"/>
                <w:sz w:val="20"/>
              </w:rPr>
            </w:pP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18"/>
              <w:ind w:left="42"/>
              <w:rPr>
                <w:rFonts w:ascii="Calibri"/>
                <w:b/>
                <w:sz w:val="20"/>
              </w:rPr>
            </w:pPr>
            <w:r>
              <w:rPr>
                <w:rFonts w:ascii="Calibri"/>
                <w:b/>
                <w:sz w:val="20"/>
              </w:rPr>
              <w:t>Road</w:t>
            </w:r>
            <w:r>
              <w:rPr>
                <w:rFonts w:ascii="Calibri"/>
                <w:b/>
                <w:spacing w:val="-8"/>
                <w:sz w:val="20"/>
              </w:rPr>
              <w:t> </w:t>
            </w:r>
            <w:r>
              <w:rPr>
                <w:rFonts w:ascii="Calibri"/>
                <w:b/>
                <w:sz w:val="20"/>
              </w:rPr>
              <w:t>construction,</w:t>
            </w:r>
            <w:r>
              <w:rPr>
                <w:rFonts w:ascii="Calibri"/>
                <w:b/>
                <w:spacing w:val="-9"/>
                <w:sz w:val="20"/>
              </w:rPr>
              <w:t> </w:t>
            </w:r>
            <w:r>
              <w:rPr>
                <w:rFonts w:ascii="Calibri"/>
                <w:b/>
                <w:spacing w:val="-2"/>
                <w:sz w:val="20"/>
              </w:rPr>
              <w:t>temporary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N</w:t>
            </w:r>
          </w:p>
        </w:tc>
        <w:tc>
          <w:tcPr>
            <w:tcW w:w="680" w:type="dxa"/>
          </w:tcPr>
          <w:p>
            <w:pPr>
              <w:pStyle w:val="TableParagraph"/>
              <w:spacing w:before="18"/>
              <w:ind w:left="38"/>
              <w:rPr>
                <w:rFonts w:ascii="Calibri"/>
                <w:sz w:val="20"/>
              </w:rPr>
            </w:pPr>
            <w:r>
              <w:rPr>
                <w:rFonts w:ascii="Calibri"/>
                <w:spacing w:val="-10"/>
                <w:sz w:val="20"/>
              </w:rPr>
              <w:t>N</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38"/>
              <w:rPr>
                <w:rFonts w:ascii="Calibri"/>
                <w:sz w:val="20"/>
              </w:rPr>
            </w:pP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N</w:t>
            </w:r>
          </w:p>
        </w:tc>
        <w:tc>
          <w:tcPr>
            <w:tcW w:w="682" w:type="dxa"/>
          </w:tcPr>
          <w:p>
            <w:pPr>
              <w:pStyle w:val="TableParagraph"/>
              <w:spacing w:before="18"/>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18"/>
              <w:ind w:left="42"/>
              <w:rPr>
                <w:rFonts w:ascii="Calibri"/>
                <w:b/>
                <w:sz w:val="20"/>
              </w:rPr>
            </w:pPr>
            <w:r>
              <w:rPr>
                <w:rFonts w:ascii="Calibri"/>
                <w:b/>
                <w:sz w:val="20"/>
              </w:rPr>
              <w:t>Special</w:t>
            </w:r>
            <w:r>
              <w:rPr>
                <w:rFonts w:ascii="Calibri"/>
                <w:b/>
                <w:spacing w:val="-6"/>
                <w:sz w:val="20"/>
              </w:rPr>
              <w:t> </w:t>
            </w:r>
            <w:r>
              <w:rPr>
                <w:rFonts w:ascii="Calibri"/>
                <w:b/>
                <w:sz w:val="20"/>
              </w:rPr>
              <w:t>use</w:t>
            </w:r>
            <w:r>
              <w:rPr>
                <w:rFonts w:ascii="Calibri"/>
                <w:b/>
                <w:spacing w:val="-5"/>
                <w:sz w:val="20"/>
              </w:rPr>
              <w:t> </w:t>
            </w:r>
            <w:r>
              <w:rPr>
                <w:rFonts w:ascii="Calibri"/>
                <w:b/>
                <w:spacing w:val="-2"/>
                <w:sz w:val="20"/>
              </w:rPr>
              <w:t>permits</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41"/>
              <w:rPr>
                <w:rFonts w:ascii="Calibri"/>
                <w:sz w:val="20"/>
              </w:rPr>
            </w:pPr>
            <w:r>
              <w:rPr>
                <w:rFonts w:ascii="Calibri"/>
                <w:spacing w:val="-10"/>
                <w:sz w:val="20"/>
              </w:rPr>
              <w:t>Y</w:t>
            </w:r>
          </w:p>
        </w:tc>
        <w:tc>
          <w:tcPr>
            <w:tcW w:w="680" w:type="dxa"/>
          </w:tcPr>
          <w:p>
            <w:pPr>
              <w:pStyle w:val="TableParagraph"/>
              <w:spacing w:before="18"/>
              <w:ind w:left="38"/>
              <w:rPr>
                <w:rFonts w:ascii="Calibri"/>
                <w:sz w:val="20"/>
              </w:rPr>
            </w:pPr>
            <w:r>
              <w:rPr>
                <w:rFonts w:ascii="Calibri"/>
                <w:spacing w:val="-10"/>
                <w:sz w:val="20"/>
              </w:rPr>
              <w:t>Y</w:t>
            </w:r>
          </w:p>
        </w:tc>
        <w:tc>
          <w:tcPr>
            <w:tcW w:w="682" w:type="dxa"/>
          </w:tcPr>
          <w:p>
            <w:pPr>
              <w:pStyle w:val="TableParagraph"/>
              <w:spacing w:before="18"/>
              <w:ind w:left="40"/>
              <w:rPr>
                <w:rFonts w:ascii="Calibri"/>
                <w:sz w:val="20"/>
              </w:rPr>
            </w:pPr>
            <w:r>
              <w:rPr>
                <w:rFonts w:ascii="Calibri"/>
                <w:spacing w:val="-10"/>
                <w:sz w:val="20"/>
              </w:rPr>
              <w:t>Y</w:t>
            </w:r>
          </w:p>
        </w:tc>
        <w:tc>
          <w:tcPr>
            <w:tcW w:w="680" w:type="dxa"/>
          </w:tcPr>
          <w:p>
            <w:pPr>
              <w:pStyle w:val="TableParagraph"/>
              <w:spacing w:before="18"/>
              <w:ind w:left="40"/>
              <w:rPr>
                <w:rFonts w:ascii="Calibri"/>
                <w:sz w:val="20"/>
              </w:rPr>
            </w:pPr>
            <w:r>
              <w:rPr>
                <w:rFonts w:ascii="Calibri"/>
                <w:spacing w:val="-10"/>
                <w:sz w:val="20"/>
              </w:rPr>
              <w:t>Y</w:t>
            </w:r>
          </w:p>
        </w:tc>
        <w:tc>
          <w:tcPr>
            <w:tcW w:w="682" w:type="dxa"/>
          </w:tcPr>
          <w:p>
            <w:pPr>
              <w:pStyle w:val="TableParagraph"/>
              <w:spacing w:before="18"/>
              <w:ind w:left="39"/>
              <w:rPr>
                <w:rFonts w:ascii="Calibri"/>
                <w:sz w:val="20"/>
              </w:rPr>
            </w:pPr>
            <w:r>
              <w:rPr>
                <w:rFonts w:ascii="Calibri"/>
                <w:spacing w:val="-10"/>
                <w:sz w:val="20"/>
              </w:rPr>
              <w:t>Y</w:t>
            </w:r>
          </w:p>
        </w:tc>
        <w:tc>
          <w:tcPr>
            <w:tcW w:w="682" w:type="dxa"/>
          </w:tcPr>
          <w:p>
            <w:pPr>
              <w:pStyle w:val="TableParagraph"/>
              <w:spacing w:before="18"/>
              <w:ind w:left="38"/>
              <w:rPr>
                <w:rFonts w:ascii="Calibri"/>
                <w:sz w:val="20"/>
              </w:rPr>
            </w:pP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before="18"/>
              <w:ind w:left="37"/>
              <w:rPr>
                <w:rFonts w:ascii="Calibri"/>
                <w:sz w:val="20"/>
              </w:rPr>
            </w:pPr>
            <w:r>
              <w:rPr>
                <w:rFonts w:ascii="Calibri"/>
                <w:spacing w:val="-10"/>
                <w:sz w:val="20"/>
              </w:rPr>
              <w:t>Y</w:t>
            </w:r>
          </w:p>
        </w:tc>
        <w:tc>
          <w:tcPr>
            <w:tcW w:w="680" w:type="dxa"/>
          </w:tcPr>
          <w:p>
            <w:pPr>
              <w:pStyle w:val="TableParagraph"/>
              <w:spacing w:before="18"/>
              <w:ind w:left="34"/>
              <w:rPr>
                <w:rFonts w:ascii="Calibri"/>
                <w:sz w:val="20"/>
              </w:rPr>
            </w:pPr>
            <w:r>
              <w:rPr>
                <w:rFonts w:ascii="Calibri"/>
                <w:spacing w:val="-10"/>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18"/>
              <w:ind w:left="35"/>
              <w:rPr>
                <w:rFonts w:ascii="Calibri"/>
                <w:sz w:val="20"/>
              </w:rPr>
            </w:pPr>
            <w:r>
              <w:rPr>
                <w:rFonts w:ascii="Calibri"/>
                <w:spacing w:val="-10"/>
                <w:sz w:val="20"/>
              </w:rPr>
              <w:t>Y</w:t>
            </w:r>
          </w:p>
        </w:tc>
        <w:tc>
          <w:tcPr>
            <w:tcW w:w="682" w:type="dxa"/>
          </w:tcPr>
          <w:p>
            <w:pPr>
              <w:pStyle w:val="TableParagraph"/>
              <w:spacing w:line="260" w:lineRule="atLeast" w:before="0"/>
              <w:ind w:left="35" w:right="170"/>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r>
    </w:tbl>
    <w:p>
      <w:pPr>
        <w:pStyle w:val="TableParagraph"/>
        <w:spacing w:after="0" w:line="260" w:lineRule="atLeast"/>
        <w:rPr>
          <w:rFonts w:ascii="Calibri"/>
          <w:sz w:val="20"/>
        </w:rPr>
        <w:sectPr>
          <w:pgSz w:w="15850" w:h="12250" w:orient="landscape"/>
          <w:pgMar w:header="725" w:footer="891" w:top="1440" w:bottom="1080" w:left="1080" w:right="1080"/>
        </w:sectPr>
      </w:pPr>
    </w:p>
    <w:p>
      <w:pPr>
        <w:pStyle w:val="BodyText"/>
        <w:spacing w:before="168"/>
        <w:rPr>
          <w:sz w:val="20"/>
        </w:rPr>
      </w:pPr>
    </w:p>
    <w:tbl>
      <w:tblPr>
        <w:tblW w:w="0" w:type="auto"/>
        <w:jc w:val="left"/>
        <w:tblInd w:w="380" w:type="dxa"/>
        <w:tblBorders>
          <w:top w:val="single" w:sz="8" w:space="0" w:color="9BBA58"/>
          <w:left w:val="single" w:sz="8" w:space="0" w:color="9BBA58"/>
          <w:bottom w:val="single" w:sz="8" w:space="0" w:color="9BBA58"/>
          <w:right w:val="single" w:sz="8" w:space="0" w:color="9BBA58"/>
          <w:insideH w:val="single" w:sz="8" w:space="0" w:color="9BBA58"/>
          <w:insideV w:val="single" w:sz="8" w:space="0" w:color="9BBA58"/>
        </w:tblBorders>
        <w:tblLayout w:type="fixed"/>
        <w:tblCellMar>
          <w:top w:w="0" w:type="dxa"/>
          <w:left w:w="0" w:type="dxa"/>
          <w:bottom w:w="0" w:type="dxa"/>
          <w:right w:w="0" w:type="dxa"/>
        </w:tblCellMar>
        <w:tblLook w:val="01E0"/>
      </w:tblPr>
      <w:tblGrid>
        <w:gridCol w:w="4402"/>
        <w:gridCol w:w="680"/>
        <w:gridCol w:w="682"/>
        <w:gridCol w:w="680"/>
        <w:gridCol w:w="682"/>
        <w:gridCol w:w="680"/>
        <w:gridCol w:w="682"/>
        <w:gridCol w:w="682"/>
        <w:gridCol w:w="680"/>
        <w:gridCol w:w="682"/>
        <w:gridCol w:w="680"/>
        <w:gridCol w:w="682"/>
        <w:gridCol w:w="680"/>
        <w:gridCol w:w="682"/>
      </w:tblGrid>
      <w:tr>
        <w:trPr>
          <w:trHeight w:val="771" w:hRule="atLeast"/>
        </w:trPr>
        <w:tc>
          <w:tcPr>
            <w:tcW w:w="4402" w:type="dxa"/>
            <w:vMerge w:val="restart"/>
            <w:tcBorders>
              <w:top w:val="nil"/>
            </w:tcBorders>
            <w:shd w:val="clear" w:color="auto" w:fill="D5E2BB"/>
          </w:tcPr>
          <w:p>
            <w:pPr>
              <w:pStyle w:val="TableParagraph"/>
              <w:ind w:left="16"/>
              <w:jc w:val="center"/>
              <w:rPr>
                <w:b/>
                <w:sz w:val="18"/>
              </w:rPr>
            </w:pPr>
            <w:r>
              <w:rPr>
                <w:b/>
                <w:sz w:val="18"/>
              </w:rPr>
              <w:t>Suitable</w:t>
            </w:r>
            <w:r>
              <w:rPr>
                <w:b/>
                <w:spacing w:val="-3"/>
                <w:sz w:val="18"/>
              </w:rPr>
              <w:t> </w:t>
            </w:r>
            <w:r>
              <w:rPr>
                <w:b/>
                <w:spacing w:val="-4"/>
                <w:sz w:val="18"/>
              </w:rPr>
              <w:t>uses</w:t>
            </w:r>
          </w:p>
        </w:tc>
        <w:tc>
          <w:tcPr>
            <w:tcW w:w="8854" w:type="dxa"/>
            <w:gridSpan w:val="13"/>
            <w:shd w:val="clear" w:color="auto" w:fill="D5E2BB"/>
          </w:tcPr>
          <w:p>
            <w:pPr>
              <w:pStyle w:val="TableParagraph"/>
              <w:spacing w:line="207" w:lineRule="exact"/>
              <w:ind w:left="11"/>
              <w:jc w:val="center"/>
              <w:rPr>
                <w:b/>
                <w:sz w:val="18"/>
              </w:rPr>
            </w:pPr>
            <w:r>
              <w:rPr>
                <w:b/>
                <w:sz w:val="18"/>
              </w:rPr>
              <w:t>Forest</w:t>
            </w:r>
            <w:r>
              <w:rPr>
                <w:b/>
                <w:spacing w:val="-3"/>
                <w:sz w:val="18"/>
              </w:rPr>
              <w:t> </w:t>
            </w:r>
            <w:r>
              <w:rPr>
                <w:b/>
                <w:sz w:val="18"/>
              </w:rPr>
              <w:t>Plan</w:t>
            </w:r>
            <w:r>
              <w:rPr>
                <w:b/>
                <w:spacing w:val="-3"/>
                <w:sz w:val="18"/>
              </w:rPr>
              <w:t> </w:t>
            </w:r>
            <w:r>
              <w:rPr>
                <w:b/>
                <w:sz w:val="18"/>
              </w:rPr>
              <w:t>management</w:t>
            </w:r>
            <w:r>
              <w:rPr>
                <w:b/>
                <w:spacing w:val="-2"/>
                <w:sz w:val="18"/>
              </w:rPr>
              <w:t> areas</w:t>
            </w:r>
          </w:p>
          <w:p>
            <w:pPr>
              <w:pStyle w:val="TableParagraph"/>
              <w:spacing w:line="207" w:lineRule="exact" w:before="0"/>
              <w:ind w:left="11" w:right="3"/>
              <w:jc w:val="center"/>
              <w:rPr>
                <w:b/>
                <w:sz w:val="18"/>
              </w:rPr>
            </w:pPr>
            <w:r>
              <w:rPr>
                <w:b/>
                <w:sz w:val="18"/>
              </w:rPr>
              <w:t>(May</w:t>
            </w:r>
            <w:r>
              <w:rPr>
                <w:b/>
                <w:spacing w:val="-10"/>
                <w:sz w:val="18"/>
              </w:rPr>
              <w:t> </w:t>
            </w:r>
            <w:r>
              <w:rPr>
                <w:b/>
                <w:sz w:val="18"/>
              </w:rPr>
              <w:t>authorize</w:t>
            </w:r>
            <w:r>
              <w:rPr>
                <w:b/>
                <w:spacing w:val="-1"/>
                <w:sz w:val="18"/>
              </w:rPr>
              <w:t> </w:t>
            </w:r>
            <w:r>
              <w:rPr>
                <w:b/>
                <w:sz w:val="18"/>
              </w:rPr>
              <w:t>=</w:t>
            </w:r>
            <w:r>
              <w:rPr>
                <w:b/>
                <w:spacing w:val="-3"/>
                <w:sz w:val="18"/>
              </w:rPr>
              <w:t> </w:t>
            </w:r>
            <w:r>
              <w:rPr>
                <w:b/>
                <w:sz w:val="18"/>
              </w:rPr>
              <w:t>Y,</w:t>
            </w:r>
            <w:r>
              <w:rPr>
                <w:b/>
                <w:spacing w:val="-2"/>
                <w:sz w:val="18"/>
              </w:rPr>
              <w:t> </w:t>
            </w:r>
            <w:r>
              <w:rPr>
                <w:b/>
                <w:sz w:val="18"/>
              </w:rPr>
              <w:t>May</w:t>
            </w:r>
            <w:r>
              <w:rPr>
                <w:b/>
                <w:spacing w:val="-8"/>
                <w:sz w:val="18"/>
              </w:rPr>
              <w:t> </w:t>
            </w:r>
            <w:r>
              <w:rPr>
                <w:b/>
                <w:sz w:val="18"/>
              </w:rPr>
              <w:t>not</w:t>
            </w:r>
            <w:r>
              <w:rPr>
                <w:b/>
                <w:spacing w:val="-2"/>
                <w:sz w:val="18"/>
              </w:rPr>
              <w:t> </w:t>
            </w:r>
            <w:r>
              <w:rPr>
                <w:b/>
                <w:sz w:val="18"/>
              </w:rPr>
              <w:t>authorize</w:t>
            </w:r>
            <w:r>
              <w:rPr>
                <w:b/>
                <w:spacing w:val="-1"/>
                <w:sz w:val="18"/>
              </w:rPr>
              <w:t> </w:t>
            </w:r>
            <w:r>
              <w:rPr>
                <w:b/>
                <w:sz w:val="18"/>
              </w:rPr>
              <w:t>=</w:t>
            </w:r>
            <w:r>
              <w:rPr>
                <w:b/>
                <w:spacing w:val="-2"/>
                <w:sz w:val="18"/>
              </w:rPr>
              <w:t> </w:t>
            </w:r>
            <w:r>
              <w:rPr>
                <w:b/>
                <w:spacing w:val="-5"/>
                <w:sz w:val="18"/>
              </w:rPr>
              <w:t>N)</w:t>
            </w:r>
          </w:p>
        </w:tc>
      </w:tr>
      <w:tr>
        <w:trPr>
          <w:trHeight w:val="1537" w:hRule="atLeast"/>
        </w:trPr>
        <w:tc>
          <w:tcPr>
            <w:tcW w:w="4402" w:type="dxa"/>
            <w:vMerge/>
            <w:tcBorders>
              <w:top w:val="nil"/>
            </w:tcBorders>
            <w:shd w:val="clear" w:color="auto" w:fill="D5E2BB"/>
          </w:tcPr>
          <w:p>
            <w:pPr>
              <w:rPr>
                <w:sz w:val="2"/>
                <w:szCs w:val="2"/>
              </w:rPr>
            </w:pPr>
          </w:p>
        </w:tc>
        <w:tc>
          <w:tcPr>
            <w:tcW w:w="680" w:type="dxa"/>
            <w:shd w:val="clear" w:color="auto" w:fill="D5E2BB"/>
            <w:textDirection w:val="btLr"/>
          </w:tcPr>
          <w:p>
            <w:pPr>
              <w:pStyle w:val="TableParagraph"/>
              <w:spacing w:line="247" w:lineRule="auto" w:before="82"/>
              <w:ind w:left="62" w:right="47" w:hanging="10"/>
              <w:rPr>
                <w:b/>
                <w:sz w:val="18"/>
              </w:rPr>
            </w:pPr>
            <w:r>
              <w:rPr>
                <w:b/>
                <w:sz w:val="18"/>
              </w:rPr>
              <w:t>Administrative</w:t>
            </w:r>
            <w:r>
              <w:rPr>
                <w:b/>
                <w:spacing w:val="-13"/>
                <w:sz w:val="18"/>
              </w:rPr>
              <w:t> </w:t>
            </w:r>
            <w:r>
              <w:rPr>
                <w:b/>
                <w:sz w:val="18"/>
              </w:rPr>
              <w:t>&amp; Recreation</w:t>
            </w:r>
            <w:r>
              <w:rPr>
                <w:b/>
                <w:spacing w:val="-4"/>
                <w:sz w:val="18"/>
              </w:rPr>
              <w:t> </w:t>
            </w:r>
            <w:r>
              <w:rPr>
                <w:b/>
                <w:spacing w:val="-2"/>
                <w:sz w:val="18"/>
              </w:rPr>
              <w:t>Sites</w:t>
            </w:r>
          </w:p>
        </w:tc>
        <w:tc>
          <w:tcPr>
            <w:tcW w:w="682" w:type="dxa"/>
            <w:shd w:val="clear" w:color="auto" w:fill="D5E2BB"/>
            <w:textDirection w:val="btLr"/>
          </w:tcPr>
          <w:p>
            <w:pPr>
              <w:pStyle w:val="TableParagraph"/>
              <w:spacing w:before="84"/>
              <w:ind w:left="222"/>
              <w:rPr>
                <w:b/>
                <w:sz w:val="18"/>
              </w:rPr>
            </w:pPr>
            <w:r>
              <w:rPr>
                <w:b/>
                <w:spacing w:val="-2"/>
                <w:sz w:val="18"/>
              </w:rPr>
              <w:t>Backcountry</w:t>
            </w:r>
          </w:p>
        </w:tc>
        <w:tc>
          <w:tcPr>
            <w:tcW w:w="680" w:type="dxa"/>
            <w:shd w:val="clear" w:color="auto" w:fill="D5E2BB"/>
            <w:textDirection w:val="btLr"/>
          </w:tcPr>
          <w:p>
            <w:pPr>
              <w:pStyle w:val="TableParagraph"/>
              <w:spacing w:line="247" w:lineRule="auto" w:before="81"/>
              <w:ind w:left="342" w:right="47" w:hanging="120"/>
              <w:rPr>
                <w:b/>
                <w:sz w:val="18"/>
              </w:rPr>
            </w:pPr>
            <w:r>
              <w:rPr>
                <w:b/>
                <w:spacing w:val="-2"/>
                <w:sz w:val="18"/>
              </w:rPr>
              <w:t>Backcountry Motorized</w:t>
            </w:r>
          </w:p>
        </w:tc>
        <w:tc>
          <w:tcPr>
            <w:tcW w:w="682" w:type="dxa"/>
            <w:shd w:val="clear" w:color="auto" w:fill="D5E2BB"/>
            <w:textDirection w:val="btLr"/>
          </w:tcPr>
          <w:p>
            <w:pPr>
              <w:pStyle w:val="TableParagraph"/>
              <w:spacing w:line="247" w:lineRule="auto" w:before="82"/>
              <w:ind w:left="268" w:right="47" w:firstLine="129"/>
              <w:rPr>
                <w:b/>
                <w:sz w:val="18"/>
              </w:rPr>
            </w:pPr>
            <w:r>
              <w:rPr>
                <w:b/>
                <w:spacing w:val="-2"/>
                <w:sz w:val="18"/>
              </w:rPr>
              <w:t>Focused Restoration</w:t>
            </w:r>
          </w:p>
        </w:tc>
        <w:tc>
          <w:tcPr>
            <w:tcW w:w="680" w:type="dxa"/>
            <w:shd w:val="clear" w:color="auto" w:fill="D5E2BB"/>
            <w:textDirection w:val="btLr"/>
          </w:tcPr>
          <w:p>
            <w:pPr>
              <w:pStyle w:val="TableParagraph"/>
              <w:spacing w:line="244" w:lineRule="auto" w:before="82"/>
              <w:ind w:left="268" w:right="47" w:firstLine="163"/>
              <w:rPr>
                <w:b/>
                <w:sz w:val="18"/>
              </w:rPr>
            </w:pPr>
            <w:r>
              <w:rPr>
                <w:b/>
                <w:spacing w:val="-2"/>
                <w:sz w:val="18"/>
              </w:rPr>
              <w:t>General Restoration</w:t>
            </w:r>
          </w:p>
        </w:tc>
        <w:tc>
          <w:tcPr>
            <w:tcW w:w="682" w:type="dxa"/>
            <w:shd w:val="clear" w:color="auto" w:fill="D5E2BB"/>
            <w:textDirection w:val="btLr"/>
          </w:tcPr>
          <w:p>
            <w:pPr>
              <w:pStyle w:val="TableParagraph"/>
              <w:spacing w:line="247" w:lineRule="auto" w:before="81"/>
              <w:ind w:left="18" w:right="11" w:firstLine="319"/>
              <w:rPr>
                <w:b/>
                <w:sz w:val="18"/>
              </w:rPr>
            </w:pPr>
            <w:r>
              <w:rPr>
                <w:b/>
                <w:spacing w:val="-2"/>
                <w:sz w:val="18"/>
              </w:rPr>
              <w:t>Nationally </w:t>
            </w:r>
            <w:r>
              <w:rPr>
                <w:b/>
                <w:sz w:val="18"/>
              </w:rPr>
              <w:t>Designated</w:t>
            </w:r>
            <w:r>
              <w:rPr>
                <w:b/>
                <w:spacing w:val="-13"/>
                <w:sz w:val="18"/>
              </w:rPr>
              <w:t> </w:t>
            </w:r>
            <w:r>
              <w:rPr>
                <w:b/>
                <w:sz w:val="18"/>
              </w:rPr>
              <w:t>Trails</w:t>
            </w:r>
          </w:p>
        </w:tc>
        <w:tc>
          <w:tcPr>
            <w:tcW w:w="682" w:type="dxa"/>
            <w:shd w:val="clear" w:color="auto" w:fill="D5E2BB"/>
            <w:textDirection w:val="btLr"/>
          </w:tcPr>
          <w:p>
            <w:pPr>
              <w:pStyle w:val="TableParagraph"/>
              <w:spacing w:line="247" w:lineRule="auto" w:before="81"/>
              <w:ind w:left="517" w:right="24" w:hanging="492"/>
              <w:rPr>
                <w:b/>
                <w:sz w:val="18"/>
              </w:rPr>
            </w:pPr>
            <w:r>
              <w:rPr>
                <w:b/>
                <w:sz w:val="18"/>
              </w:rPr>
              <w:t>Research</w:t>
            </w:r>
            <w:r>
              <w:rPr>
                <w:b/>
                <w:spacing w:val="-13"/>
                <w:sz w:val="18"/>
              </w:rPr>
              <w:t> </w:t>
            </w:r>
            <w:r>
              <w:rPr>
                <w:b/>
                <w:sz w:val="18"/>
              </w:rPr>
              <w:t>Natural </w:t>
            </w:r>
            <w:r>
              <w:rPr>
                <w:b/>
                <w:spacing w:val="-4"/>
                <w:sz w:val="18"/>
              </w:rPr>
              <w:t>Areas</w:t>
            </w:r>
          </w:p>
        </w:tc>
        <w:tc>
          <w:tcPr>
            <w:tcW w:w="680" w:type="dxa"/>
            <w:shd w:val="clear" w:color="auto" w:fill="D5E2BB"/>
            <w:textDirection w:val="btLr"/>
          </w:tcPr>
          <w:p>
            <w:pPr>
              <w:pStyle w:val="TableParagraph"/>
              <w:spacing w:line="210" w:lineRule="atLeast" w:before="35"/>
              <w:ind w:left="217" w:right="216" w:hanging="1"/>
              <w:jc w:val="center"/>
              <w:rPr>
                <w:b/>
                <w:sz w:val="18"/>
              </w:rPr>
            </w:pPr>
            <w:r>
              <w:rPr>
                <w:b/>
                <w:spacing w:val="-2"/>
                <w:sz w:val="18"/>
              </w:rPr>
              <w:t>Riparian Management Areas</w:t>
            </w:r>
          </w:p>
        </w:tc>
        <w:tc>
          <w:tcPr>
            <w:tcW w:w="682" w:type="dxa"/>
            <w:shd w:val="clear" w:color="auto" w:fill="D5E2BB"/>
            <w:textDirection w:val="btLr"/>
          </w:tcPr>
          <w:p>
            <w:pPr>
              <w:pStyle w:val="TableParagraph"/>
              <w:spacing w:before="80"/>
              <w:ind w:left="117"/>
              <w:rPr>
                <w:b/>
                <w:sz w:val="18"/>
              </w:rPr>
            </w:pPr>
            <w:r>
              <w:rPr>
                <w:b/>
                <w:sz w:val="18"/>
              </w:rPr>
              <w:t>Scenic</w:t>
            </w:r>
            <w:r>
              <w:rPr>
                <w:b/>
                <w:spacing w:val="-2"/>
                <w:sz w:val="18"/>
              </w:rPr>
              <w:t> Byways</w:t>
            </w:r>
          </w:p>
        </w:tc>
        <w:tc>
          <w:tcPr>
            <w:tcW w:w="680" w:type="dxa"/>
            <w:shd w:val="clear" w:color="auto" w:fill="D5E2BB"/>
            <w:textDirection w:val="btLr"/>
          </w:tcPr>
          <w:p>
            <w:pPr>
              <w:pStyle w:val="TableParagraph"/>
              <w:spacing w:line="247" w:lineRule="auto" w:before="77"/>
              <w:ind w:left="78" w:right="71" w:firstLine="182"/>
              <w:rPr>
                <w:b/>
                <w:sz w:val="18"/>
              </w:rPr>
            </w:pPr>
            <w:r>
              <w:rPr>
                <w:b/>
                <w:sz w:val="18"/>
              </w:rPr>
              <w:t>Kettle Crest Recreation</w:t>
            </w:r>
            <w:r>
              <w:rPr>
                <w:b/>
                <w:spacing w:val="-13"/>
                <w:sz w:val="18"/>
              </w:rPr>
              <w:t> </w:t>
            </w:r>
            <w:r>
              <w:rPr>
                <w:b/>
                <w:sz w:val="18"/>
              </w:rPr>
              <w:t>Area</w:t>
            </w:r>
          </w:p>
        </w:tc>
        <w:tc>
          <w:tcPr>
            <w:tcW w:w="682" w:type="dxa"/>
            <w:shd w:val="clear" w:color="auto" w:fill="D5E2BB"/>
            <w:textDirection w:val="btLr"/>
          </w:tcPr>
          <w:p>
            <w:pPr>
              <w:pStyle w:val="TableParagraph"/>
              <w:spacing w:line="247" w:lineRule="auto" w:before="78"/>
              <w:ind w:left="493" w:right="47" w:hanging="418"/>
              <w:rPr>
                <w:b/>
                <w:sz w:val="18"/>
              </w:rPr>
            </w:pPr>
            <w:r>
              <w:rPr>
                <w:b/>
                <w:sz w:val="18"/>
              </w:rPr>
              <w:t>Wild</w:t>
            </w:r>
            <w:r>
              <w:rPr>
                <w:b/>
                <w:spacing w:val="-15"/>
                <w:sz w:val="18"/>
              </w:rPr>
              <w:t> </w:t>
            </w:r>
            <w:r>
              <w:rPr>
                <w:b/>
                <w:sz w:val="18"/>
              </w:rPr>
              <w:t>and</w:t>
            </w:r>
            <w:r>
              <w:rPr>
                <w:b/>
                <w:spacing w:val="-12"/>
                <w:sz w:val="18"/>
              </w:rPr>
              <w:t> </w:t>
            </w:r>
            <w:r>
              <w:rPr>
                <w:b/>
                <w:sz w:val="18"/>
              </w:rPr>
              <w:t>Scenic </w:t>
            </w:r>
            <w:r>
              <w:rPr>
                <w:b/>
                <w:spacing w:val="-2"/>
                <w:sz w:val="18"/>
              </w:rPr>
              <w:t>Rivers</w:t>
            </w:r>
          </w:p>
        </w:tc>
        <w:tc>
          <w:tcPr>
            <w:tcW w:w="680" w:type="dxa"/>
            <w:shd w:val="clear" w:color="auto" w:fill="D5E2BB"/>
            <w:textDirection w:val="btLr"/>
          </w:tcPr>
          <w:p>
            <w:pPr>
              <w:pStyle w:val="TableParagraph"/>
              <w:spacing w:line="244" w:lineRule="auto" w:before="78"/>
              <w:ind w:left="66" w:right="47" w:firstLine="144"/>
              <w:rPr>
                <w:b/>
                <w:sz w:val="18"/>
              </w:rPr>
            </w:pPr>
            <w:r>
              <w:rPr>
                <w:b/>
                <w:sz w:val="18"/>
              </w:rPr>
              <w:t>Wilderness – </w:t>
            </w:r>
            <w:r>
              <w:rPr>
                <w:b/>
                <w:spacing w:val="-2"/>
                <w:sz w:val="18"/>
              </w:rPr>
              <w:t>Congressionally</w:t>
            </w:r>
          </w:p>
          <w:p>
            <w:pPr>
              <w:pStyle w:val="TableParagraph"/>
              <w:spacing w:line="137" w:lineRule="exact" w:before="3"/>
              <w:ind w:left="282"/>
              <w:rPr>
                <w:b/>
                <w:sz w:val="18"/>
              </w:rPr>
            </w:pPr>
            <w:r>
              <w:rPr>
                <w:b/>
                <w:spacing w:val="-2"/>
                <w:sz w:val="18"/>
              </w:rPr>
              <w:t>Designated</w:t>
            </w:r>
          </w:p>
        </w:tc>
        <w:tc>
          <w:tcPr>
            <w:tcW w:w="682" w:type="dxa"/>
            <w:shd w:val="clear" w:color="auto" w:fill="D5E2BB"/>
            <w:textDirection w:val="btLr"/>
          </w:tcPr>
          <w:p>
            <w:pPr>
              <w:pStyle w:val="TableParagraph"/>
              <w:spacing w:line="247" w:lineRule="auto" w:before="77"/>
              <w:ind w:left="121" w:right="47" w:firstLine="88"/>
              <w:rPr>
                <w:b/>
                <w:sz w:val="18"/>
              </w:rPr>
            </w:pPr>
            <w:r>
              <w:rPr>
                <w:b/>
                <w:sz w:val="18"/>
              </w:rPr>
              <w:t>Wilderness – </w:t>
            </w:r>
            <w:r>
              <w:rPr>
                <w:b/>
                <w:spacing w:val="-2"/>
                <w:sz w:val="18"/>
              </w:rPr>
              <w:t>Recommended</w:t>
            </w:r>
          </w:p>
        </w:tc>
      </w:tr>
      <w:tr>
        <w:trPr>
          <w:trHeight w:val="520" w:hRule="atLeast"/>
        </w:trPr>
        <w:tc>
          <w:tcPr>
            <w:tcW w:w="4402" w:type="dxa"/>
          </w:tcPr>
          <w:p>
            <w:pPr>
              <w:pStyle w:val="TableParagraph"/>
              <w:spacing w:before="20"/>
              <w:ind w:left="42"/>
              <w:rPr>
                <w:rFonts w:ascii="Calibri"/>
                <w:b/>
                <w:sz w:val="20"/>
              </w:rPr>
            </w:pPr>
            <w:r>
              <w:rPr>
                <w:rFonts w:ascii="Calibri"/>
                <w:b/>
                <w:sz w:val="20"/>
              </w:rPr>
              <w:t>Timber</w:t>
            </w:r>
            <w:r>
              <w:rPr>
                <w:rFonts w:ascii="Calibri"/>
                <w:b/>
                <w:spacing w:val="-5"/>
                <w:sz w:val="20"/>
              </w:rPr>
              <w:t> </w:t>
            </w:r>
            <w:r>
              <w:rPr>
                <w:rFonts w:ascii="Calibri"/>
                <w:b/>
                <w:sz w:val="20"/>
              </w:rPr>
              <w:t>harvest</w:t>
            </w:r>
            <w:r>
              <w:rPr>
                <w:rFonts w:ascii="Calibri"/>
                <w:b/>
                <w:spacing w:val="-5"/>
                <w:sz w:val="20"/>
              </w:rPr>
              <w:t> </w:t>
            </w:r>
            <w:r>
              <w:rPr>
                <w:rFonts w:ascii="Calibri"/>
                <w:b/>
                <w:sz w:val="20"/>
              </w:rPr>
              <w:t>as</w:t>
            </w:r>
            <w:r>
              <w:rPr>
                <w:rFonts w:ascii="Calibri"/>
                <w:b/>
                <w:spacing w:val="-6"/>
                <w:sz w:val="20"/>
              </w:rPr>
              <w:t> </w:t>
            </w:r>
            <w:r>
              <w:rPr>
                <w:rFonts w:ascii="Calibri"/>
                <w:b/>
                <w:sz w:val="20"/>
              </w:rPr>
              <w:t>a</w:t>
            </w:r>
            <w:r>
              <w:rPr>
                <w:rFonts w:ascii="Calibri"/>
                <w:b/>
                <w:spacing w:val="-5"/>
                <w:sz w:val="20"/>
              </w:rPr>
              <w:t> </w:t>
            </w:r>
            <w:r>
              <w:rPr>
                <w:rFonts w:ascii="Calibri"/>
                <w:b/>
                <w:sz w:val="20"/>
              </w:rPr>
              <w:t>restoration</w:t>
            </w:r>
            <w:r>
              <w:rPr>
                <w:rFonts w:ascii="Calibri"/>
                <w:b/>
                <w:spacing w:val="-5"/>
                <w:sz w:val="20"/>
              </w:rPr>
              <w:t> </w:t>
            </w:r>
            <w:r>
              <w:rPr>
                <w:rFonts w:ascii="Calibri"/>
                <w:b/>
                <w:spacing w:val="-4"/>
                <w:sz w:val="20"/>
              </w:rPr>
              <w:t>tool</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41"/>
              <w:rPr>
                <w:rFonts w:ascii="Calibri"/>
                <w:sz w:val="20"/>
              </w:rPr>
            </w:pPr>
            <w:r>
              <w:rPr>
                <w:rFonts w:ascii="Calibri"/>
                <w:spacing w:val="-10"/>
                <w:sz w:val="20"/>
              </w:rPr>
              <w:t>Y</w:t>
            </w:r>
          </w:p>
        </w:tc>
        <w:tc>
          <w:tcPr>
            <w:tcW w:w="680" w:type="dxa"/>
          </w:tcPr>
          <w:p>
            <w:pPr>
              <w:pStyle w:val="TableParagraph"/>
              <w:spacing w:before="20"/>
              <w:ind w:left="38"/>
              <w:rPr>
                <w:rFonts w:ascii="Calibri"/>
                <w:sz w:val="20"/>
              </w:rPr>
            </w:pPr>
            <w:r>
              <w:rPr>
                <w:rFonts w:ascii="Calibri"/>
                <w:spacing w:val="-10"/>
                <w:sz w:val="20"/>
              </w:rPr>
              <w:t>Y</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39"/>
              <w:rPr>
                <w:rFonts w:ascii="Calibri"/>
                <w:sz w:val="20"/>
              </w:rPr>
            </w:pPr>
            <w:r>
              <w:rPr>
                <w:rFonts w:ascii="Calibri"/>
                <w:spacing w:val="-10"/>
                <w:sz w:val="20"/>
              </w:rPr>
              <w:t>Y</w:t>
            </w:r>
          </w:p>
        </w:tc>
        <w:tc>
          <w:tcPr>
            <w:tcW w:w="682" w:type="dxa"/>
          </w:tcPr>
          <w:p>
            <w:pPr>
              <w:pStyle w:val="TableParagraph"/>
              <w:spacing w:before="20"/>
              <w:ind w:left="38"/>
              <w:rPr>
                <w:rFonts w:ascii="Calibri"/>
                <w:sz w:val="20"/>
              </w:rPr>
            </w:pP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Y</w:t>
            </w:r>
          </w:p>
        </w:tc>
        <w:tc>
          <w:tcPr>
            <w:tcW w:w="682" w:type="dxa"/>
          </w:tcPr>
          <w:p>
            <w:pPr>
              <w:pStyle w:val="TableParagraph"/>
              <w:spacing w:before="20"/>
              <w:ind w:left="37"/>
              <w:rPr>
                <w:rFonts w:ascii="Calibri"/>
                <w:sz w:val="20"/>
              </w:rPr>
            </w:pPr>
            <w:r>
              <w:rPr>
                <w:rFonts w:ascii="Calibri"/>
                <w:spacing w:val="-10"/>
                <w:sz w:val="20"/>
              </w:rPr>
              <w:t>Y</w:t>
            </w:r>
          </w:p>
        </w:tc>
        <w:tc>
          <w:tcPr>
            <w:tcW w:w="680" w:type="dxa"/>
          </w:tcPr>
          <w:p>
            <w:pPr>
              <w:pStyle w:val="TableParagraph"/>
              <w:spacing w:before="20"/>
              <w:ind w:left="34"/>
              <w:rPr>
                <w:rFonts w:ascii="Calibri"/>
                <w:sz w:val="20"/>
              </w:rPr>
            </w:pPr>
            <w:r>
              <w:rPr>
                <w:rFonts w:ascii="Calibri"/>
                <w:spacing w:val="-10"/>
                <w:sz w:val="20"/>
              </w:rPr>
              <w:t>Y</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r>
        <w:trPr>
          <w:trHeight w:val="520" w:hRule="atLeast"/>
        </w:trPr>
        <w:tc>
          <w:tcPr>
            <w:tcW w:w="4402" w:type="dxa"/>
          </w:tcPr>
          <w:p>
            <w:pPr>
              <w:pStyle w:val="TableParagraph"/>
              <w:spacing w:before="20"/>
              <w:ind w:left="42"/>
              <w:rPr>
                <w:rFonts w:ascii="Calibri"/>
                <w:b/>
                <w:sz w:val="20"/>
              </w:rPr>
            </w:pPr>
            <w:r>
              <w:rPr>
                <w:rFonts w:ascii="Calibri"/>
                <w:b/>
                <w:sz w:val="20"/>
              </w:rPr>
              <w:t>Timber</w:t>
            </w:r>
            <w:r>
              <w:rPr>
                <w:rFonts w:ascii="Calibri"/>
                <w:b/>
                <w:spacing w:val="-6"/>
                <w:sz w:val="20"/>
              </w:rPr>
              <w:t> </w:t>
            </w:r>
            <w:r>
              <w:rPr>
                <w:rFonts w:ascii="Calibri"/>
                <w:b/>
                <w:sz w:val="20"/>
              </w:rPr>
              <w:t>harvest,</w:t>
            </w:r>
            <w:r>
              <w:rPr>
                <w:rFonts w:ascii="Calibri"/>
                <w:b/>
                <w:spacing w:val="-8"/>
                <w:sz w:val="20"/>
              </w:rPr>
              <w:t> </w:t>
            </w:r>
            <w:r>
              <w:rPr>
                <w:rFonts w:ascii="Calibri"/>
                <w:b/>
                <w:sz w:val="20"/>
              </w:rPr>
              <w:t>scheduled</w:t>
            </w:r>
            <w:r>
              <w:rPr>
                <w:rFonts w:ascii="Calibri"/>
                <w:b/>
                <w:spacing w:val="-6"/>
                <w:sz w:val="20"/>
              </w:rPr>
              <w:t> </w:t>
            </w:r>
            <w:r>
              <w:rPr>
                <w:rFonts w:ascii="Calibri"/>
                <w:b/>
                <w:spacing w:val="-2"/>
                <w:sz w:val="20"/>
              </w:rPr>
              <w:t>production</w:t>
            </w:r>
          </w:p>
        </w:tc>
        <w:tc>
          <w:tcPr>
            <w:tcW w:w="680" w:type="dxa"/>
          </w:tcPr>
          <w:p>
            <w:pPr>
              <w:pStyle w:val="TableParagraph"/>
              <w:spacing w:before="20"/>
              <w:ind w:left="40"/>
              <w:rPr>
                <w:rFonts w:ascii="Calibri"/>
                <w:sz w:val="20"/>
              </w:rPr>
            </w:pPr>
            <w:r>
              <w:rPr>
                <w:rFonts w:ascii="Calibri"/>
                <w:spacing w:val="-10"/>
                <w:sz w:val="20"/>
              </w:rPr>
              <w:t>N</w:t>
            </w:r>
          </w:p>
        </w:tc>
        <w:tc>
          <w:tcPr>
            <w:tcW w:w="682" w:type="dxa"/>
          </w:tcPr>
          <w:p>
            <w:pPr>
              <w:pStyle w:val="TableParagraph"/>
              <w:spacing w:before="20"/>
              <w:ind w:left="41"/>
              <w:rPr>
                <w:rFonts w:ascii="Calibri"/>
                <w:sz w:val="20"/>
              </w:rPr>
            </w:pPr>
            <w:r>
              <w:rPr>
                <w:rFonts w:ascii="Calibri"/>
                <w:spacing w:val="-10"/>
                <w:sz w:val="20"/>
              </w:rPr>
              <w:t>N</w:t>
            </w:r>
          </w:p>
        </w:tc>
        <w:tc>
          <w:tcPr>
            <w:tcW w:w="680" w:type="dxa"/>
          </w:tcPr>
          <w:p>
            <w:pPr>
              <w:pStyle w:val="TableParagraph"/>
              <w:spacing w:before="20"/>
              <w:ind w:left="38"/>
              <w:rPr>
                <w:rFonts w:ascii="Calibri"/>
                <w:sz w:val="20"/>
              </w:rPr>
            </w:pPr>
            <w:r>
              <w:rPr>
                <w:rFonts w:ascii="Calibri"/>
                <w:spacing w:val="-10"/>
                <w:sz w:val="20"/>
              </w:rPr>
              <w:t>N</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39"/>
              <w:rPr>
                <w:rFonts w:ascii="Calibri"/>
                <w:sz w:val="20"/>
              </w:rPr>
            </w:pPr>
            <w:r>
              <w:rPr>
                <w:rFonts w:ascii="Calibri"/>
                <w:spacing w:val="-10"/>
                <w:sz w:val="20"/>
              </w:rPr>
              <w:t>N</w:t>
            </w:r>
          </w:p>
        </w:tc>
        <w:tc>
          <w:tcPr>
            <w:tcW w:w="682" w:type="dxa"/>
          </w:tcPr>
          <w:p>
            <w:pPr>
              <w:pStyle w:val="TableParagraph"/>
              <w:spacing w:before="20"/>
              <w:ind w:left="38"/>
              <w:rPr>
                <w:rFonts w:ascii="Calibri"/>
                <w:sz w:val="20"/>
              </w:rPr>
            </w:pP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7"/>
              <w:rPr>
                <w:rFonts w:ascii="Calibri"/>
                <w:sz w:val="20"/>
              </w:rPr>
            </w:pP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before="20"/>
              <w:ind w:left="36"/>
              <w:rPr>
                <w:rFonts w:ascii="Calibri"/>
                <w:sz w:val="20"/>
              </w:rPr>
            </w:pP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r>
        <w:trPr>
          <w:trHeight w:val="522" w:hRule="atLeast"/>
        </w:trPr>
        <w:tc>
          <w:tcPr>
            <w:tcW w:w="4402" w:type="dxa"/>
          </w:tcPr>
          <w:p>
            <w:pPr>
              <w:pStyle w:val="TableParagraph"/>
              <w:spacing w:before="20"/>
              <w:ind w:left="42"/>
              <w:rPr>
                <w:rFonts w:ascii="Calibri"/>
                <w:b/>
                <w:sz w:val="20"/>
              </w:rPr>
            </w:pPr>
            <w:r>
              <w:rPr>
                <w:rFonts w:ascii="Calibri"/>
                <w:b/>
                <w:sz w:val="20"/>
              </w:rPr>
              <w:t>Utility</w:t>
            </w:r>
            <w:r>
              <w:rPr>
                <w:rFonts w:ascii="Calibri"/>
                <w:b/>
                <w:spacing w:val="-9"/>
                <w:sz w:val="20"/>
              </w:rPr>
              <w:t> </w:t>
            </w:r>
            <w:r>
              <w:rPr>
                <w:rFonts w:ascii="Calibri"/>
                <w:b/>
                <w:spacing w:val="-2"/>
                <w:sz w:val="20"/>
              </w:rPr>
              <w:t>corridors</w:t>
            </w:r>
          </w:p>
        </w:tc>
        <w:tc>
          <w:tcPr>
            <w:tcW w:w="680" w:type="dxa"/>
          </w:tcPr>
          <w:p>
            <w:pPr>
              <w:pStyle w:val="TableParagraph"/>
              <w:spacing w:before="20"/>
              <w:ind w:left="40"/>
              <w:rPr>
                <w:rFonts w:ascii="Calibri"/>
                <w:sz w:val="20"/>
              </w:rPr>
            </w:pPr>
            <w:r>
              <w:rPr>
                <w:rFonts w:ascii="Calibri"/>
                <w:spacing w:val="-10"/>
                <w:sz w:val="20"/>
              </w:rPr>
              <w:t>N</w:t>
            </w:r>
          </w:p>
        </w:tc>
        <w:tc>
          <w:tcPr>
            <w:tcW w:w="682" w:type="dxa"/>
          </w:tcPr>
          <w:p>
            <w:pPr>
              <w:pStyle w:val="TableParagraph"/>
              <w:spacing w:before="20"/>
              <w:ind w:left="41"/>
              <w:rPr>
                <w:rFonts w:ascii="Calibri"/>
                <w:sz w:val="20"/>
              </w:rPr>
            </w:pPr>
            <w:r>
              <w:rPr>
                <w:rFonts w:ascii="Calibri"/>
                <w:spacing w:val="-10"/>
                <w:sz w:val="20"/>
              </w:rPr>
              <w:t>N</w:t>
            </w:r>
          </w:p>
        </w:tc>
        <w:tc>
          <w:tcPr>
            <w:tcW w:w="680" w:type="dxa"/>
          </w:tcPr>
          <w:p>
            <w:pPr>
              <w:pStyle w:val="TableParagraph"/>
              <w:spacing w:before="20"/>
              <w:ind w:left="38"/>
              <w:rPr>
                <w:rFonts w:ascii="Calibri"/>
                <w:sz w:val="20"/>
              </w:rPr>
            </w:pPr>
            <w:r>
              <w:rPr>
                <w:rFonts w:ascii="Calibri"/>
                <w:spacing w:val="-10"/>
                <w:sz w:val="20"/>
              </w:rPr>
              <w:t>N</w:t>
            </w:r>
          </w:p>
        </w:tc>
        <w:tc>
          <w:tcPr>
            <w:tcW w:w="682" w:type="dxa"/>
          </w:tcPr>
          <w:p>
            <w:pPr>
              <w:pStyle w:val="TableParagraph"/>
              <w:spacing w:before="20"/>
              <w:ind w:left="40"/>
              <w:rPr>
                <w:rFonts w:ascii="Calibri"/>
                <w:sz w:val="20"/>
              </w:rPr>
            </w:pPr>
            <w:r>
              <w:rPr>
                <w:rFonts w:ascii="Calibri"/>
                <w:spacing w:val="-10"/>
                <w:sz w:val="20"/>
              </w:rPr>
              <w:t>Y</w:t>
            </w:r>
          </w:p>
        </w:tc>
        <w:tc>
          <w:tcPr>
            <w:tcW w:w="680" w:type="dxa"/>
          </w:tcPr>
          <w:p>
            <w:pPr>
              <w:pStyle w:val="TableParagraph"/>
              <w:spacing w:before="20"/>
              <w:ind w:left="40"/>
              <w:rPr>
                <w:rFonts w:ascii="Calibri"/>
                <w:sz w:val="20"/>
              </w:rPr>
            </w:pPr>
            <w:r>
              <w:rPr>
                <w:rFonts w:ascii="Calibri"/>
                <w:spacing w:val="-10"/>
                <w:sz w:val="20"/>
              </w:rPr>
              <w:t>Y</w:t>
            </w:r>
          </w:p>
        </w:tc>
        <w:tc>
          <w:tcPr>
            <w:tcW w:w="682" w:type="dxa"/>
          </w:tcPr>
          <w:p>
            <w:pPr>
              <w:pStyle w:val="TableParagraph"/>
              <w:spacing w:before="20"/>
              <w:ind w:left="39"/>
              <w:rPr>
                <w:rFonts w:ascii="Calibri"/>
                <w:sz w:val="20"/>
              </w:rPr>
            </w:pPr>
            <w:r>
              <w:rPr>
                <w:rFonts w:ascii="Calibri"/>
                <w:spacing w:val="-10"/>
                <w:sz w:val="20"/>
              </w:rPr>
              <w:t>N</w:t>
            </w:r>
          </w:p>
        </w:tc>
        <w:tc>
          <w:tcPr>
            <w:tcW w:w="682" w:type="dxa"/>
          </w:tcPr>
          <w:p>
            <w:pPr>
              <w:pStyle w:val="TableParagraph"/>
              <w:spacing w:before="20"/>
              <w:ind w:left="38"/>
              <w:rPr>
                <w:rFonts w:ascii="Calibri"/>
                <w:sz w:val="20"/>
              </w:rPr>
            </w:pP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Y</w:t>
            </w:r>
          </w:p>
        </w:tc>
        <w:tc>
          <w:tcPr>
            <w:tcW w:w="682" w:type="dxa"/>
          </w:tcPr>
          <w:p>
            <w:pPr>
              <w:pStyle w:val="TableParagraph"/>
              <w:spacing w:line="260" w:lineRule="atLeast" w:before="0"/>
              <w:ind w:left="37" w:right="168"/>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line="260" w:lineRule="atLeast" w:before="0"/>
              <w:ind w:left="34"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2" w:type="dxa"/>
          </w:tcPr>
          <w:p>
            <w:pPr>
              <w:pStyle w:val="TableParagraph"/>
              <w:spacing w:line="260" w:lineRule="atLeast" w:before="0"/>
              <w:ind w:left="36" w:right="169"/>
              <w:rPr>
                <w:rFonts w:ascii="Calibri"/>
                <w:sz w:val="20"/>
              </w:rPr>
            </w:pPr>
            <w:r>
              <w:rPr>
                <w:rFonts w:ascii="Calibri"/>
                <w:sz w:val="20"/>
              </w:rPr>
              <w:t>Y</w:t>
            </w:r>
            <w:r>
              <w:rPr>
                <w:rFonts w:ascii="Calibri"/>
                <w:spacing w:val="-12"/>
                <w:sz w:val="20"/>
              </w:rPr>
              <w:t> </w:t>
            </w:r>
            <w:r>
              <w:rPr>
                <w:rFonts w:ascii="Calibri"/>
                <w:sz w:val="20"/>
              </w:rPr>
              <w:t>and </w:t>
            </w:r>
            <w:r>
              <w:rPr>
                <w:rFonts w:ascii="Calibri"/>
                <w:spacing w:val="-10"/>
                <w:sz w:val="20"/>
              </w:rPr>
              <w:t>N</w:t>
            </w:r>
          </w:p>
        </w:tc>
        <w:tc>
          <w:tcPr>
            <w:tcW w:w="680" w:type="dxa"/>
          </w:tcPr>
          <w:p>
            <w:pPr>
              <w:pStyle w:val="TableParagraph"/>
              <w:spacing w:before="20"/>
              <w:ind w:left="35"/>
              <w:rPr>
                <w:rFonts w:ascii="Calibri"/>
                <w:sz w:val="20"/>
              </w:rPr>
            </w:pPr>
            <w:r>
              <w:rPr>
                <w:rFonts w:ascii="Calibri"/>
                <w:spacing w:val="-10"/>
                <w:sz w:val="20"/>
              </w:rPr>
              <w:t>N</w:t>
            </w:r>
          </w:p>
        </w:tc>
        <w:tc>
          <w:tcPr>
            <w:tcW w:w="682" w:type="dxa"/>
          </w:tcPr>
          <w:p>
            <w:pPr>
              <w:pStyle w:val="TableParagraph"/>
              <w:spacing w:before="20"/>
              <w:ind w:left="35"/>
              <w:rPr>
                <w:rFonts w:ascii="Calibri"/>
                <w:sz w:val="20"/>
              </w:rPr>
            </w:pPr>
            <w:r>
              <w:rPr>
                <w:rFonts w:ascii="Calibri"/>
                <w:spacing w:val="-10"/>
                <w:sz w:val="20"/>
              </w:rPr>
              <w:t>N</w:t>
            </w:r>
          </w:p>
        </w:tc>
      </w:tr>
    </w:tbl>
    <w:p>
      <w:pPr>
        <w:spacing w:before="38"/>
        <w:ind w:left="360" w:right="0" w:firstLine="0"/>
        <w:jc w:val="left"/>
        <w:rPr>
          <w:sz w:val="18"/>
        </w:rPr>
      </w:pPr>
      <w:r>
        <w:rPr>
          <w:sz w:val="18"/>
        </w:rPr>
        <w:t>*Indicates</w:t>
      </w:r>
      <w:r>
        <w:rPr>
          <w:spacing w:val="-5"/>
          <w:sz w:val="18"/>
        </w:rPr>
        <w:t> </w:t>
      </w:r>
      <w:r>
        <w:rPr>
          <w:sz w:val="18"/>
        </w:rPr>
        <w:t>Forest</w:t>
      </w:r>
      <w:r>
        <w:rPr>
          <w:spacing w:val="-3"/>
          <w:sz w:val="18"/>
        </w:rPr>
        <w:t> </w:t>
      </w:r>
      <w:r>
        <w:rPr>
          <w:sz w:val="18"/>
        </w:rPr>
        <w:t>Service</w:t>
      </w:r>
      <w:r>
        <w:rPr>
          <w:spacing w:val="-3"/>
          <w:sz w:val="18"/>
        </w:rPr>
        <w:t> </w:t>
      </w:r>
      <w:r>
        <w:rPr>
          <w:sz w:val="18"/>
        </w:rPr>
        <w:t>has</w:t>
      </w:r>
      <w:r>
        <w:rPr>
          <w:spacing w:val="-3"/>
          <w:sz w:val="18"/>
        </w:rPr>
        <w:t> </w:t>
      </w:r>
      <w:r>
        <w:rPr>
          <w:sz w:val="18"/>
        </w:rPr>
        <w:t>consent</w:t>
      </w:r>
      <w:r>
        <w:rPr>
          <w:spacing w:val="-3"/>
          <w:sz w:val="18"/>
        </w:rPr>
        <w:t> </w:t>
      </w:r>
      <w:r>
        <w:rPr>
          <w:sz w:val="18"/>
        </w:rPr>
        <w:t>authority</w:t>
      </w:r>
      <w:r>
        <w:rPr>
          <w:spacing w:val="-1"/>
          <w:sz w:val="18"/>
        </w:rPr>
        <w:t> </w:t>
      </w:r>
      <w:r>
        <w:rPr>
          <w:sz w:val="18"/>
        </w:rPr>
        <w:t>for</w:t>
      </w:r>
      <w:r>
        <w:rPr>
          <w:spacing w:val="-3"/>
          <w:sz w:val="18"/>
        </w:rPr>
        <w:t> </w:t>
      </w:r>
      <w:r>
        <w:rPr>
          <w:sz w:val="18"/>
        </w:rPr>
        <w:t>Leasable</w:t>
      </w:r>
      <w:r>
        <w:rPr>
          <w:spacing w:val="-3"/>
          <w:sz w:val="18"/>
        </w:rPr>
        <w:t> </w:t>
      </w:r>
      <w:r>
        <w:rPr>
          <w:sz w:val="18"/>
        </w:rPr>
        <w:t>minerals.</w:t>
      </w:r>
      <w:r>
        <w:rPr>
          <w:spacing w:val="-2"/>
          <w:sz w:val="18"/>
        </w:rPr>
        <w:t> </w:t>
      </w:r>
      <w:r>
        <w:rPr>
          <w:sz w:val="18"/>
        </w:rPr>
        <w:t>The</w:t>
      </w:r>
      <w:r>
        <w:rPr>
          <w:spacing w:val="-3"/>
          <w:sz w:val="18"/>
        </w:rPr>
        <w:t> </w:t>
      </w:r>
      <w:r>
        <w:rPr>
          <w:sz w:val="18"/>
        </w:rPr>
        <w:t>Secretary</w:t>
      </w:r>
      <w:r>
        <w:rPr>
          <w:spacing w:val="-2"/>
          <w:sz w:val="18"/>
        </w:rPr>
        <w:t> </w:t>
      </w:r>
      <w:r>
        <w:rPr>
          <w:sz w:val="18"/>
        </w:rPr>
        <w:t>of</w:t>
      </w:r>
      <w:r>
        <w:rPr>
          <w:spacing w:val="-1"/>
          <w:sz w:val="18"/>
        </w:rPr>
        <w:t> </w:t>
      </w:r>
      <w:r>
        <w:rPr>
          <w:sz w:val="18"/>
        </w:rPr>
        <w:t>Interior</w:t>
      </w:r>
      <w:r>
        <w:rPr>
          <w:spacing w:val="-3"/>
          <w:sz w:val="18"/>
        </w:rPr>
        <w:t> </w:t>
      </w:r>
      <w:r>
        <w:rPr>
          <w:sz w:val="18"/>
        </w:rPr>
        <w:t>holds</w:t>
      </w:r>
      <w:r>
        <w:rPr>
          <w:spacing w:val="-3"/>
          <w:sz w:val="18"/>
        </w:rPr>
        <w:t> </w:t>
      </w:r>
      <w:r>
        <w:rPr>
          <w:sz w:val="18"/>
        </w:rPr>
        <w:t>authority</w:t>
      </w:r>
      <w:r>
        <w:rPr>
          <w:spacing w:val="-2"/>
          <w:sz w:val="18"/>
        </w:rPr>
        <w:t> </w:t>
      </w:r>
      <w:r>
        <w:rPr>
          <w:sz w:val="18"/>
        </w:rPr>
        <w:t>to</w:t>
      </w:r>
      <w:r>
        <w:rPr>
          <w:spacing w:val="-1"/>
          <w:sz w:val="18"/>
        </w:rPr>
        <w:t> </w:t>
      </w:r>
      <w:r>
        <w:rPr>
          <w:sz w:val="18"/>
        </w:rPr>
        <w:t>issue</w:t>
      </w:r>
      <w:r>
        <w:rPr>
          <w:spacing w:val="-1"/>
          <w:sz w:val="18"/>
        </w:rPr>
        <w:t> </w:t>
      </w:r>
      <w:r>
        <w:rPr>
          <w:sz w:val="18"/>
        </w:rPr>
        <w:t>permits</w:t>
      </w:r>
      <w:r>
        <w:rPr>
          <w:spacing w:val="-3"/>
          <w:sz w:val="18"/>
        </w:rPr>
        <w:t> </w:t>
      </w:r>
      <w:r>
        <w:rPr>
          <w:sz w:val="18"/>
        </w:rPr>
        <w:t>and </w:t>
      </w:r>
      <w:r>
        <w:rPr>
          <w:spacing w:val="-2"/>
          <w:sz w:val="18"/>
        </w:rPr>
        <w:t>leases.</w:t>
      </w:r>
    </w:p>
    <w:p>
      <w:pPr>
        <w:spacing w:before="40"/>
        <w:ind w:left="360" w:right="0" w:firstLine="0"/>
        <w:jc w:val="left"/>
        <w:rPr>
          <w:sz w:val="18"/>
        </w:rPr>
      </w:pPr>
      <w:r>
        <w:rPr>
          <w:sz w:val="18"/>
        </w:rPr>
        <w:t>**Indicates</w:t>
      </w:r>
      <w:r>
        <w:rPr>
          <w:spacing w:val="-3"/>
          <w:sz w:val="18"/>
        </w:rPr>
        <w:t> </w:t>
      </w:r>
      <w:r>
        <w:rPr>
          <w:sz w:val="18"/>
        </w:rPr>
        <w:t>May</w:t>
      </w:r>
      <w:r>
        <w:rPr>
          <w:spacing w:val="-2"/>
          <w:sz w:val="18"/>
        </w:rPr>
        <w:t> </w:t>
      </w:r>
      <w:r>
        <w:rPr>
          <w:sz w:val="18"/>
        </w:rPr>
        <w:t>Not</w:t>
      </w:r>
      <w:r>
        <w:rPr>
          <w:spacing w:val="-3"/>
          <w:sz w:val="18"/>
        </w:rPr>
        <w:t> </w:t>
      </w:r>
      <w:r>
        <w:rPr>
          <w:sz w:val="18"/>
        </w:rPr>
        <w:t>Authorize</w:t>
      </w:r>
      <w:r>
        <w:rPr>
          <w:spacing w:val="-1"/>
          <w:sz w:val="18"/>
        </w:rPr>
        <w:t> </w:t>
      </w:r>
      <w:r>
        <w:rPr>
          <w:sz w:val="18"/>
        </w:rPr>
        <w:t>except</w:t>
      </w:r>
      <w:r>
        <w:rPr>
          <w:spacing w:val="-3"/>
          <w:sz w:val="18"/>
        </w:rPr>
        <w:t> </w:t>
      </w:r>
      <w:r>
        <w:rPr>
          <w:sz w:val="18"/>
        </w:rPr>
        <w:t>for</w:t>
      </w:r>
      <w:r>
        <w:rPr>
          <w:spacing w:val="-3"/>
          <w:sz w:val="18"/>
        </w:rPr>
        <w:t> </w:t>
      </w:r>
      <w:r>
        <w:rPr>
          <w:sz w:val="18"/>
        </w:rPr>
        <w:t>valid</w:t>
      </w:r>
      <w:r>
        <w:rPr>
          <w:spacing w:val="-3"/>
          <w:sz w:val="18"/>
        </w:rPr>
        <w:t> </w:t>
      </w:r>
      <w:r>
        <w:rPr>
          <w:sz w:val="18"/>
        </w:rPr>
        <w:t>existing</w:t>
      </w:r>
      <w:r>
        <w:rPr>
          <w:spacing w:val="-3"/>
          <w:sz w:val="18"/>
        </w:rPr>
        <w:t> </w:t>
      </w:r>
      <w:r>
        <w:rPr>
          <w:spacing w:val="-2"/>
          <w:sz w:val="18"/>
        </w:rPr>
        <w:t>rights.</w:t>
      </w:r>
    </w:p>
    <w:p>
      <w:pPr>
        <w:spacing w:before="39"/>
        <w:ind w:left="359" w:right="0" w:firstLine="0"/>
        <w:jc w:val="left"/>
        <w:rPr>
          <w:sz w:val="18"/>
        </w:rPr>
      </w:pPr>
      <w:r>
        <w:rPr>
          <w:sz w:val="18"/>
        </w:rPr>
        <w:t>***Locatable</w:t>
      </w:r>
      <w:r>
        <w:rPr>
          <w:spacing w:val="-3"/>
          <w:sz w:val="18"/>
        </w:rPr>
        <w:t> </w:t>
      </w:r>
      <w:r>
        <w:rPr>
          <w:sz w:val="18"/>
        </w:rPr>
        <w:t>minerals</w:t>
      </w:r>
      <w:r>
        <w:rPr>
          <w:spacing w:val="-2"/>
          <w:sz w:val="18"/>
        </w:rPr>
        <w:t> </w:t>
      </w:r>
      <w:r>
        <w:rPr>
          <w:sz w:val="18"/>
        </w:rPr>
        <w:t>are</w:t>
      </w:r>
      <w:r>
        <w:rPr>
          <w:spacing w:val="-3"/>
          <w:sz w:val="18"/>
        </w:rPr>
        <w:t> </w:t>
      </w:r>
      <w:r>
        <w:rPr>
          <w:sz w:val="18"/>
        </w:rPr>
        <w:t>suitable</w:t>
      </w:r>
      <w:r>
        <w:rPr>
          <w:spacing w:val="-2"/>
          <w:sz w:val="18"/>
        </w:rPr>
        <w:t> </w:t>
      </w:r>
      <w:r>
        <w:rPr>
          <w:sz w:val="18"/>
        </w:rPr>
        <w:t>unless</w:t>
      </w:r>
      <w:r>
        <w:rPr>
          <w:spacing w:val="-3"/>
          <w:sz w:val="18"/>
        </w:rPr>
        <w:t> </w:t>
      </w:r>
      <w:r>
        <w:rPr>
          <w:sz w:val="18"/>
        </w:rPr>
        <w:t>the</w:t>
      </w:r>
      <w:r>
        <w:rPr>
          <w:spacing w:val="-2"/>
          <w:sz w:val="18"/>
        </w:rPr>
        <w:t> </w:t>
      </w:r>
      <w:r>
        <w:rPr>
          <w:sz w:val="18"/>
        </w:rPr>
        <w:t>area is</w:t>
      </w:r>
      <w:r>
        <w:rPr>
          <w:spacing w:val="-2"/>
          <w:sz w:val="18"/>
        </w:rPr>
        <w:t> </w:t>
      </w:r>
      <w:r>
        <w:rPr>
          <w:sz w:val="18"/>
        </w:rPr>
        <w:t>withdrawn</w:t>
      </w:r>
      <w:r>
        <w:rPr>
          <w:spacing w:val="-3"/>
          <w:sz w:val="18"/>
        </w:rPr>
        <w:t> </w:t>
      </w:r>
      <w:r>
        <w:rPr>
          <w:sz w:val="18"/>
        </w:rPr>
        <w:t>from</w:t>
      </w:r>
      <w:r>
        <w:rPr>
          <w:spacing w:val="-1"/>
          <w:sz w:val="18"/>
        </w:rPr>
        <w:t> </w:t>
      </w:r>
      <w:r>
        <w:rPr>
          <w:sz w:val="18"/>
        </w:rPr>
        <w:t>mineral</w:t>
      </w:r>
      <w:r>
        <w:rPr>
          <w:spacing w:val="-2"/>
          <w:sz w:val="18"/>
        </w:rPr>
        <w:t> entry.</w:t>
      </w:r>
    </w:p>
    <w:p>
      <w:pPr>
        <w:spacing w:after="0"/>
        <w:jc w:val="left"/>
        <w:rPr>
          <w:sz w:val="18"/>
        </w:rPr>
        <w:sectPr>
          <w:pgSz w:w="15850" w:h="12250" w:orient="landscape"/>
          <w:pgMar w:header="725" w:footer="891" w:top="1440" w:bottom="1080" w:left="1080" w:right="1080"/>
        </w:sectPr>
      </w:pPr>
    </w:p>
    <w:p>
      <w:pPr>
        <w:pStyle w:val="BodyText"/>
        <w:spacing w:before="216"/>
        <w:rPr>
          <w:sz w:val="36"/>
        </w:rPr>
      </w:pPr>
    </w:p>
    <w:p>
      <w:pPr>
        <w:pStyle w:val="Heading1"/>
        <w:tabs>
          <w:tab w:pos="13348" w:val="left" w:leader="none"/>
        </w:tabs>
      </w:pPr>
      <w:bookmarkStart w:name="Appendix F – Recreation Opportunity Spec" w:id="1002"/>
      <w:bookmarkEnd w:id="1002"/>
      <w:r>
        <w:rPr>
          <w:b w:val="0"/>
        </w:rPr>
      </w:r>
      <w:bookmarkStart w:name="_bookmark324" w:id="1003"/>
      <w:bookmarkEnd w:id="1003"/>
      <w:r>
        <w:rPr>
          <w:b w:val="0"/>
        </w:rPr>
      </w:r>
      <w:r>
        <w:rPr>
          <w:color w:val="475824"/>
          <w:shd w:fill="C2D59B" w:color="auto" w:val="clear"/>
        </w:rPr>
        <w:t>Appendix</w:t>
      </w:r>
      <w:r>
        <w:rPr>
          <w:color w:val="475824"/>
          <w:spacing w:val="-6"/>
          <w:shd w:fill="C2D59B" w:color="auto" w:val="clear"/>
        </w:rPr>
        <w:t> </w:t>
      </w:r>
      <w:r>
        <w:rPr>
          <w:color w:val="475824"/>
          <w:shd w:fill="C2D59B" w:color="auto" w:val="clear"/>
        </w:rPr>
        <w:t>F</w:t>
      </w:r>
      <w:r>
        <w:rPr>
          <w:color w:val="475824"/>
          <w:spacing w:val="-3"/>
          <w:shd w:fill="C2D59B" w:color="auto" w:val="clear"/>
        </w:rPr>
        <w:t> </w:t>
      </w:r>
      <w:r>
        <w:rPr>
          <w:color w:val="475824"/>
          <w:shd w:fill="C2D59B" w:color="auto" w:val="clear"/>
        </w:rPr>
        <w:t>–</w:t>
      </w:r>
      <w:r>
        <w:rPr>
          <w:color w:val="475824"/>
          <w:spacing w:val="-8"/>
          <w:shd w:fill="C2D59B" w:color="auto" w:val="clear"/>
        </w:rPr>
        <w:t> </w:t>
      </w:r>
      <w:r>
        <w:rPr>
          <w:color w:val="475824"/>
          <w:shd w:fill="C2D59B" w:color="auto" w:val="clear"/>
        </w:rPr>
        <w:t>Recreation</w:t>
      </w:r>
      <w:r>
        <w:rPr>
          <w:color w:val="475824"/>
          <w:spacing w:val="-3"/>
          <w:shd w:fill="C2D59B" w:color="auto" w:val="clear"/>
        </w:rPr>
        <w:t> </w:t>
      </w:r>
      <w:r>
        <w:rPr>
          <w:color w:val="475824"/>
          <w:shd w:fill="C2D59B" w:color="auto" w:val="clear"/>
        </w:rPr>
        <w:t>Opportunity</w:t>
      </w:r>
      <w:r>
        <w:rPr>
          <w:color w:val="475824"/>
          <w:spacing w:val="-8"/>
          <w:shd w:fill="C2D59B" w:color="auto" w:val="clear"/>
        </w:rPr>
        <w:t> </w:t>
      </w:r>
      <w:r>
        <w:rPr>
          <w:color w:val="475824"/>
          <w:spacing w:val="-2"/>
          <w:shd w:fill="C2D59B" w:color="auto" w:val="clear"/>
        </w:rPr>
        <w:t>Spectrum</w:t>
      </w:r>
      <w:r>
        <w:rPr>
          <w:color w:val="475824"/>
          <w:shd w:fill="C2D59B" w:color="auto" w:val="clear"/>
        </w:rPr>
        <w:tab/>
      </w:r>
    </w:p>
    <w:p>
      <w:pPr>
        <w:pStyle w:val="BodyText"/>
        <w:spacing w:before="3"/>
        <w:rPr>
          <w:rFonts w:ascii="Arial"/>
          <w:b/>
          <w:sz w:val="8"/>
        </w:rPr>
      </w:pPr>
      <w:r>
        <w:rPr>
          <w:rFonts w:ascii="Arial"/>
          <w:b/>
          <w:sz w:val="8"/>
        </w:rPr>
        <w:drawing>
          <wp:anchor distT="0" distB="0" distL="0" distR="0" allowOverlap="1" layoutInCell="1" locked="0" behindDoc="1" simplePos="0" relativeHeight="487646208">
            <wp:simplePos x="0" y="0"/>
            <wp:positionH relativeFrom="page">
              <wp:posOffset>914400</wp:posOffset>
            </wp:positionH>
            <wp:positionV relativeFrom="paragraph">
              <wp:posOffset>76111</wp:posOffset>
            </wp:positionV>
            <wp:extent cx="7532500" cy="4974336"/>
            <wp:effectExtent l="0" t="0" r="0" b="0"/>
            <wp:wrapTopAndBottom/>
            <wp:docPr id="372" name="Image 372" descr="Map showing the Colville National Forest recreation opportunity spectrum"/>
            <wp:cNvGraphicFramePr>
              <a:graphicFrameLocks/>
            </wp:cNvGraphicFramePr>
            <a:graphic>
              <a:graphicData uri="http://schemas.openxmlformats.org/drawingml/2006/picture">
                <pic:pic>
                  <pic:nvPicPr>
                    <pic:cNvPr id="372" name="Image 372" descr="Map showing the Colville National Forest recreation opportunity spectrum"/>
                    <pic:cNvPicPr/>
                  </pic:nvPicPr>
                  <pic:blipFill>
                    <a:blip r:embed="rId132" cstate="print"/>
                    <a:stretch>
                      <a:fillRect/>
                    </a:stretch>
                  </pic:blipFill>
                  <pic:spPr>
                    <a:xfrm>
                      <a:off x="0" y="0"/>
                      <a:ext cx="7532500" cy="4974336"/>
                    </a:xfrm>
                    <a:prstGeom prst="rect">
                      <a:avLst/>
                    </a:prstGeom>
                  </pic:spPr>
                </pic:pic>
              </a:graphicData>
            </a:graphic>
          </wp:anchor>
        </w:drawing>
      </w:r>
    </w:p>
    <w:p>
      <w:pPr>
        <w:spacing w:before="22"/>
        <w:ind w:left="360" w:right="0" w:firstLine="0"/>
        <w:jc w:val="left"/>
        <w:rPr>
          <w:rFonts w:ascii="Arial"/>
          <w:b/>
          <w:sz w:val="18"/>
        </w:rPr>
      </w:pPr>
      <w:bookmarkStart w:name="_bookmark325" w:id="1004"/>
      <w:bookmarkEnd w:id="1004"/>
      <w:r>
        <w:rPr/>
      </w:r>
      <w:r>
        <w:rPr>
          <w:rFonts w:ascii="Arial"/>
          <w:b/>
          <w:color w:val="283014"/>
          <w:sz w:val="18"/>
        </w:rPr>
        <w:t>Figure</w:t>
      </w:r>
      <w:r>
        <w:rPr>
          <w:rFonts w:ascii="Arial"/>
          <w:b/>
          <w:color w:val="283014"/>
          <w:spacing w:val="-3"/>
          <w:sz w:val="18"/>
        </w:rPr>
        <w:t> </w:t>
      </w:r>
      <w:r>
        <w:rPr>
          <w:rFonts w:ascii="Arial"/>
          <w:b/>
          <w:color w:val="283014"/>
          <w:sz w:val="18"/>
        </w:rPr>
        <w:t>F-1.</w:t>
      </w:r>
      <w:r>
        <w:rPr>
          <w:rFonts w:ascii="Arial"/>
          <w:b/>
          <w:color w:val="283014"/>
          <w:spacing w:val="-4"/>
          <w:sz w:val="18"/>
        </w:rPr>
        <w:t> </w:t>
      </w:r>
      <w:r>
        <w:rPr>
          <w:rFonts w:ascii="Arial"/>
          <w:b/>
          <w:color w:val="283014"/>
          <w:sz w:val="18"/>
        </w:rPr>
        <w:t>Colville</w:t>
      </w:r>
      <w:r>
        <w:rPr>
          <w:rFonts w:ascii="Arial"/>
          <w:b/>
          <w:color w:val="283014"/>
          <w:spacing w:val="-2"/>
          <w:sz w:val="18"/>
        </w:rPr>
        <w:t> </w:t>
      </w:r>
      <w:r>
        <w:rPr>
          <w:rFonts w:ascii="Arial"/>
          <w:b/>
          <w:color w:val="283014"/>
          <w:sz w:val="18"/>
        </w:rPr>
        <w:t>National</w:t>
      </w:r>
      <w:r>
        <w:rPr>
          <w:rFonts w:ascii="Arial"/>
          <w:b/>
          <w:color w:val="283014"/>
          <w:spacing w:val="-6"/>
          <w:sz w:val="18"/>
        </w:rPr>
        <w:t> </w:t>
      </w:r>
      <w:r>
        <w:rPr>
          <w:rFonts w:ascii="Arial"/>
          <w:b/>
          <w:color w:val="283014"/>
          <w:sz w:val="18"/>
        </w:rPr>
        <w:t>Forest</w:t>
      </w:r>
      <w:r>
        <w:rPr>
          <w:rFonts w:ascii="Arial"/>
          <w:b/>
          <w:color w:val="283014"/>
          <w:spacing w:val="-3"/>
          <w:sz w:val="18"/>
        </w:rPr>
        <w:t> </w:t>
      </w:r>
      <w:r>
        <w:rPr>
          <w:rFonts w:ascii="Arial"/>
          <w:b/>
          <w:color w:val="283014"/>
          <w:sz w:val="18"/>
        </w:rPr>
        <w:t>recreation</w:t>
      </w:r>
      <w:r>
        <w:rPr>
          <w:rFonts w:ascii="Arial"/>
          <w:b/>
          <w:color w:val="283014"/>
          <w:spacing w:val="-5"/>
          <w:sz w:val="18"/>
        </w:rPr>
        <w:t> </w:t>
      </w:r>
      <w:r>
        <w:rPr>
          <w:rFonts w:ascii="Arial"/>
          <w:b/>
          <w:color w:val="283014"/>
          <w:sz w:val="18"/>
        </w:rPr>
        <w:t>opportunity</w:t>
      </w:r>
      <w:r>
        <w:rPr>
          <w:rFonts w:ascii="Arial"/>
          <w:b/>
          <w:color w:val="283014"/>
          <w:spacing w:val="-8"/>
          <w:sz w:val="18"/>
        </w:rPr>
        <w:t> </w:t>
      </w:r>
      <w:r>
        <w:rPr>
          <w:rFonts w:ascii="Arial"/>
          <w:b/>
          <w:color w:val="283014"/>
          <w:spacing w:val="-2"/>
          <w:sz w:val="18"/>
        </w:rPr>
        <w:t>spectrum</w:t>
      </w:r>
    </w:p>
    <w:p>
      <w:pPr>
        <w:spacing w:after="0"/>
        <w:jc w:val="left"/>
        <w:rPr>
          <w:rFonts w:ascii="Arial"/>
          <w:b/>
          <w:sz w:val="18"/>
        </w:rPr>
        <w:sectPr>
          <w:headerReference w:type="default" r:id="rId128"/>
          <w:headerReference w:type="even" r:id="rId129"/>
          <w:footerReference w:type="default" r:id="rId130"/>
          <w:footerReference w:type="even" r:id="rId131"/>
          <w:pgSz w:w="15840" w:h="12240" w:orient="landscape"/>
          <w:pgMar w:header="725" w:footer="891" w:top="1440" w:bottom="1080" w:left="1080" w:right="1077"/>
          <w:pgNumType w:start="209"/>
        </w:sectPr>
      </w:pPr>
    </w:p>
    <w:p>
      <w:pPr>
        <w:pStyle w:val="BodyText"/>
        <w:spacing w:before="1"/>
        <w:rPr>
          <w:rFonts w:ascii="Arial"/>
          <w:b/>
          <w:sz w:val="11"/>
        </w:rPr>
      </w:pPr>
    </w:p>
    <w:p>
      <w:pPr>
        <w:pStyle w:val="BodyText"/>
        <w:ind w:left="331"/>
        <w:rPr>
          <w:rFonts w:ascii="Arial"/>
          <w:sz w:val="20"/>
        </w:rPr>
      </w:pPr>
      <w:r>
        <w:rPr>
          <w:rFonts w:ascii="Arial"/>
          <w:sz w:val="20"/>
        </w:rPr>
        <mc:AlternateContent>
          <mc:Choice Requires="wps">
            <w:drawing>
              <wp:inline distT="0" distB="0" distL="0" distR="0">
                <wp:extent cx="5706110" cy="791210"/>
                <wp:effectExtent l="0" t="0" r="0" b="0"/>
                <wp:docPr id="373" name="Textbox 373"/>
                <wp:cNvGraphicFramePr>
                  <a:graphicFrameLocks/>
                </wp:cNvGraphicFramePr>
                <a:graphic>
                  <a:graphicData uri="http://schemas.microsoft.com/office/word/2010/wordprocessingShape">
                    <wps:wsp>
                      <wps:cNvPr id="373" name="Textbox 373"/>
                      <wps:cNvSpPr txBox="1"/>
                      <wps:spPr>
                        <a:xfrm>
                          <a:off x="0" y="0"/>
                          <a:ext cx="5706110" cy="791210"/>
                        </a:xfrm>
                        <a:prstGeom prst="rect">
                          <a:avLst/>
                        </a:prstGeom>
                        <a:solidFill>
                          <a:srgbClr val="C2D59B"/>
                        </a:solidFill>
                      </wps:spPr>
                      <wps:txbx>
                        <w:txbxContent>
                          <w:p>
                            <w:pPr>
                              <w:spacing w:line="240" w:lineRule="auto" w:before="0"/>
                              <w:ind w:left="28" w:right="142" w:firstLine="0"/>
                              <w:jc w:val="left"/>
                              <w:rPr>
                                <w:rFonts w:ascii="Arial" w:hAnsi="Arial"/>
                                <w:b/>
                                <w:color w:val="000000"/>
                                <w:sz w:val="36"/>
                              </w:rPr>
                            </w:pPr>
                            <w:bookmarkStart w:name="Appendix G – Sites with Administrative D" w:id="1005"/>
                            <w:bookmarkEnd w:id="1005"/>
                            <w:r>
                              <w:rPr>
                                <w:color w:val="000000"/>
                              </w:rPr>
                            </w:r>
                            <w:bookmarkStart w:name="_bookmark326" w:id="1006"/>
                            <w:bookmarkEnd w:id="1006"/>
                            <w:r>
                              <w:rPr>
                                <w:color w:val="000000"/>
                              </w:rPr>
                            </w:r>
                            <w:r>
                              <w:rPr>
                                <w:rFonts w:ascii="Arial" w:hAnsi="Arial"/>
                                <w:b/>
                                <w:color w:val="475824"/>
                                <w:sz w:val="36"/>
                              </w:rPr>
                              <w:t>Appendix G – Sites with Administrative Designations</w:t>
                            </w:r>
                            <w:r>
                              <w:rPr>
                                <w:rFonts w:ascii="Arial" w:hAnsi="Arial"/>
                                <w:b/>
                                <w:color w:val="475824"/>
                                <w:spacing w:val="-10"/>
                                <w:sz w:val="36"/>
                              </w:rPr>
                              <w:t> </w:t>
                            </w:r>
                            <w:r>
                              <w:rPr>
                                <w:rFonts w:ascii="Arial" w:hAnsi="Arial"/>
                                <w:b/>
                                <w:color w:val="475824"/>
                                <w:sz w:val="36"/>
                              </w:rPr>
                              <w:t>and</w:t>
                            </w:r>
                            <w:r>
                              <w:rPr>
                                <w:rFonts w:ascii="Arial" w:hAnsi="Arial"/>
                                <w:b/>
                                <w:color w:val="475824"/>
                                <w:spacing w:val="-17"/>
                                <w:sz w:val="36"/>
                              </w:rPr>
                              <w:t> </w:t>
                            </w:r>
                            <w:r>
                              <w:rPr>
                                <w:rFonts w:ascii="Arial" w:hAnsi="Arial"/>
                                <w:b/>
                                <w:color w:val="475824"/>
                                <w:sz w:val="36"/>
                              </w:rPr>
                              <w:t>Areas</w:t>
                            </w:r>
                            <w:r>
                              <w:rPr>
                                <w:rFonts w:ascii="Arial" w:hAnsi="Arial"/>
                                <w:b/>
                                <w:color w:val="475824"/>
                                <w:spacing w:val="-10"/>
                                <w:sz w:val="36"/>
                              </w:rPr>
                              <w:t> </w:t>
                            </w:r>
                            <w:r>
                              <w:rPr>
                                <w:rFonts w:ascii="Arial" w:hAnsi="Arial"/>
                                <w:b/>
                                <w:color w:val="475824"/>
                                <w:sz w:val="36"/>
                              </w:rPr>
                              <w:t>Withdrawn</w:t>
                            </w:r>
                            <w:r>
                              <w:rPr>
                                <w:rFonts w:ascii="Arial" w:hAnsi="Arial"/>
                                <w:b/>
                                <w:color w:val="475824"/>
                                <w:spacing w:val="-10"/>
                                <w:sz w:val="36"/>
                              </w:rPr>
                              <w:t> </w:t>
                            </w:r>
                            <w:r>
                              <w:rPr>
                                <w:rFonts w:ascii="Arial" w:hAnsi="Arial"/>
                                <w:b/>
                                <w:color w:val="475824"/>
                                <w:sz w:val="36"/>
                              </w:rPr>
                              <w:t>from</w:t>
                            </w:r>
                            <w:r>
                              <w:rPr>
                                <w:rFonts w:ascii="Arial" w:hAnsi="Arial"/>
                                <w:b/>
                                <w:color w:val="475824"/>
                                <w:spacing w:val="-12"/>
                                <w:sz w:val="36"/>
                              </w:rPr>
                              <w:t> </w:t>
                            </w:r>
                            <w:r>
                              <w:rPr>
                                <w:rFonts w:ascii="Arial" w:hAnsi="Arial"/>
                                <w:b/>
                                <w:color w:val="475824"/>
                                <w:sz w:val="36"/>
                              </w:rPr>
                              <w:t>Mineral </w:t>
                            </w:r>
                            <w:r>
                              <w:rPr>
                                <w:rFonts w:ascii="Arial" w:hAnsi="Arial"/>
                                <w:b/>
                                <w:color w:val="475824"/>
                                <w:spacing w:val="-2"/>
                                <w:sz w:val="36"/>
                              </w:rPr>
                              <w:t>Entry</w:t>
                            </w:r>
                          </w:p>
                        </w:txbxContent>
                      </wps:txbx>
                      <wps:bodyPr wrap="square" lIns="0" tIns="0" rIns="0" bIns="0" rtlCol="0">
                        <a:noAutofit/>
                      </wps:bodyPr>
                    </wps:wsp>
                  </a:graphicData>
                </a:graphic>
              </wp:inline>
            </w:drawing>
          </mc:Choice>
          <mc:Fallback>
            <w:pict>
              <v:shape style="width:449.3pt;height:62.3pt;mso-position-horizontal-relative:char;mso-position-vertical-relative:line" type="#_x0000_t202" id="docshape349" filled="true" fillcolor="#c2d59b" stroked="false">
                <w10:anchorlock/>
                <v:textbox inset="0,0,0,0">
                  <w:txbxContent>
                    <w:p>
                      <w:pPr>
                        <w:spacing w:line="240" w:lineRule="auto" w:before="0"/>
                        <w:ind w:left="28" w:right="142" w:firstLine="0"/>
                        <w:jc w:val="left"/>
                        <w:rPr>
                          <w:rFonts w:ascii="Arial" w:hAnsi="Arial"/>
                          <w:b/>
                          <w:color w:val="000000"/>
                          <w:sz w:val="36"/>
                        </w:rPr>
                      </w:pPr>
                      <w:bookmarkStart w:name="Appendix G – Sites with Administrative D" w:id="1007"/>
                      <w:bookmarkEnd w:id="1007"/>
                      <w:r>
                        <w:rPr>
                          <w:color w:val="000000"/>
                        </w:rPr>
                      </w:r>
                      <w:bookmarkStart w:name="_bookmark326" w:id="1008"/>
                      <w:bookmarkEnd w:id="1008"/>
                      <w:r>
                        <w:rPr>
                          <w:color w:val="000000"/>
                        </w:rPr>
                      </w:r>
                      <w:r>
                        <w:rPr>
                          <w:rFonts w:ascii="Arial" w:hAnsi="Arial"/>
                          <w:b/>
                          <w:color w:val="475824"/>
                          <w:sz w:val="36"/>
                        </w:rPr>
                        <w:t>Appendix G – Sites with Administrative Designations</w:t>
                      </w:r>
                      <w:r>
                        <w:rPr>
                          <w:rFonts w:ascii="Arial" w:hAnsi="Arial"/>
                          <w:b/>
                          <w:color w:val="475824"/>
                          <w:spacing w:val="-10"/>
                          <w:sz w:val="36"/>
                        </w:rPr>
                        <w:t> </w:t>
                      </w:r>
                      <w:r>
                        <w:rPr>
                          <w:rFonts w:ascii="Arial" w:hAnsi="Arial"/>
                          <w:b/>
                          <w:color w:val="475824"/>
                          <w:sz w:val="36"/>
                        </w:rPr>
                        <w:t>and</w:t>
                      </w:r>
                      <w:r>
                        <w:rPr>
                          <w:rFonts w:ascii="Arial" w:hAnsi="Arial"/>
                          <w:b/>
                          <w:color w:val="475824"/>
                          <w:spacing w:val="-17"/>
                          <w:sz w:val="36"/>
                        </w:rPr>
                        <w:t> </w:t>
                      </w:r>
                      <w:r>
                        <w:rPr>
                          <w:rFonts w:ascii="Arial" w:hAnsi="Arial"/>
                          <w:b/>
                          <w:color w:val="475824"/>
                          <w:sz w:val="36"/>
                        </w:rPr>
                        <w:t>Areas</w:t>
                      </w:r>
                      <w:r>
                        <w:rPr>
                          <w:rFonts w:ascii="Arial" w:hAnsi="Arial"/>
                          <w:b/>
                          <w:color w:val="475824"/>
                          <w:spacing w:val="-10"/>
                          <w:sz w:val="36"/>
                        </w:rPr>
                        <w:t> </w:t>
                      </w:r>
                      <w:r>
                        <w:rPr>
                          <w:rFonts w:ascii="Arial" w:hAnsi="Arial"/>
                          <w:b/>
                          <w:color w:val="475824"/>
                          <w:sz w:val="36"/>
                        </w:rPr>
                        <w:t>Withdrawn</w:t>
                      </w:r>
                      <w:r>
                        <w:rPr>
                          <w:rFonts w:ascii="Arial" w:hAnsi="Arial"/>
                          <w:b/>
                          <w:color w:val="475824"/>
                          <w:spacing w:val="-10"/>
                          <w:sz w:val="36"/>
                        </w:rPr>
                        <w:t> </w:t>
                      </w:r>
                      <w:r>
                        <w:rPr>
                          <w:rFonts w:ascii="Arial" w:hAnsi="Arial"/>
                          <w:b/>
                          <w:color w:val="475824"/>
                          <w:sz w:val="36"/>
                        </w:rPr>
                        <w:t>from</w:t>
                      </w:r>
                      <w:r>
                        <w:rPr>
                          <w:rFonts w:ascii="Arial" w:hAnsi="Arial"/>
                          <w:b/>
                          <w:color w:val="475824"/>
                          <w:spacing w:val="-12"/>
                          <w:sz w:val="36"/>
                        </w:rPr>
                        <w:t> </w:t>
                      </w:r>
                      <w:r>
                        <w:rPr>
                          <w:rFonts w:ascii="Arial" w:hAnsi="Arial"/>
                          <w:b/>
                          <w:color w:val="475824"/>
                          <w:sz w:val="36"/>
                        </w:rPr>
                        <w:t>Mineral </w:t>
                      </w:r>
                      <w:r>
                        <w:rPr>
                          <w:rFonts w:ascii="Arial" w:hAnsi="Arial"/>
                          <w:b/>
                          <w:color w:val="475824"/>
                          <w:spacing w:val="-2"/>
                          <w:sz w:val="36"/>
                        </w:rPr>
                        <w:t>Entry</w:t>
                      </w:r>
                    </w:p>
                  </w:txbxContent>
                </v:textbox>
                <v:fill type="solid"/>
              </v:shape>
            </w:pict>
          </mc:Fallback>
        </mc:AlternateContent>
      </w:r>
      <w:r>
        <w:rPr>
          <w:rFonts w:ascii="Arial"/>
          <w:sz w:val="20"/>
        </w:rPr>
      </w:r>
    </w:p>
    <w:p>
      <w:pPr>
        <w:pStyle w:val="Heading2"/>
        <w:spacing w:before="208"/>
      </w:pPr>
      <w:bookmarkStart w:name="Administrative and Recreation Sites" w:id="1009"/>
      <w:bookmarkEnd w:id="1009"/>
      <w:r>
        <w:rPr/>
      </w:r>
      <w:bookmarkStart w:name="_bookmark327" w:id="1010"/>
      <w:bookmarkEnd w:id="1010"/>
      <w:r>
        <w:rPr/>
      </w:r>
      <w:r>
        <w:rPr>
          <w:smallCaps/>
          <w:color w:val="475824"/>
          <w:spacing w:val="-2"/>
        </w:rPr>
        <w:t>Administrative</w:t>
      </w:r>
      <w:r>
        <w:rPr>
          <w:smallCaps/>
          <w:color w:val="475824"/>
          <w:spacing w:val="-17"/>
        </w:rPr>
        <w:t> </w:t>
      </w:r>
      <w:r>
        <w:rPr>
          <w:smallCaps/>
          <w:color w:val="475824"/>
          <w:spacing w:val="-2"/>
        </w:rPr>
        <w:t>and</w:t>
      </w:r>
      <w:r>
        <w:rPr>
          <w:smallCaps/>
          <w:color w:val="475824"/>
          <w:spacing w:val="-14"/>
        </w:rPr>
        <w:t> </w:t>
      </w:r>
      <w:r>
        <w:rPr>
          <w:smallCaps/>
          <w:color w:val="475824"/>
          <w:spacing w:val="-2"/>
        </w:rPr>
        <w:t>Recreation</w:t>
      </w:r>
      <w:r>
        <w:rPr>
          <w:smallCaps/>
          <w:color w:val="475824"/>
          <w:spacing w:val="-6"/>
        </w:rPr>
        <w:t> </w:t>
      </w:r>
      <w:r>
        <w:rPr>
          <w:smallCaps/>
          <w:color w:val="475824"/>
          <w:spacing w:val="-2"/>
        </w:rPr>
        <w:t>Sites</w:t>
      </w:r>
    </w:p>
    <w:p>
      <w:pPr>
        <w:pStyle w:val="BodyText"/>
        <w:spacing w:before="62"/>
        <w:rPr>
          <w:rFonts w:ascii="Arial"/>
          <w:sz w:val="26"/>
        </w:rPr>
      </w:pPr>
    </w:p>
    <w:p>
      <w:pPr>
        <w:spacing w:before="0" w:after="41"/>
        <w:ind w:left="360" w:right="0" w:firstLine="0"/>
        <w:jc w:val="left"/>
        <w:rPr>
          <w:rFonts w:ascii="Arial"/>
          <w:b/>
          <w:sz w:val="18"/>
        </w:rPr>
      </w:pPr>
      <w:bookmarkStart w:name="_bookmark328" w:id="1011"/>
      <w:bookmarkEnd w:id="1011"/>
      <w:r>
        <w:rPr/>
      </w:r>
      <w:r>
        <w:rPr>
          <w:rFonts w:ascii="Arial"/>
          <w:b/>
          <w:sz w:val="18"/>
        </w:rPr>
        <w:t>Table</w:t>
      </w:r>
      <w:r>
        <w:rPr>
          <w:rFonts w:ascii="Arial"/>
          <w:b/>
          <w:spacing w:val="-3"/>
          <w:sz w:val="18"/>
        </w:rPr>
        <w:t> </w:t>
      </w:r>
      <w:r>
        <w:rPr>
          <w:rFonts w:ascii="Arial"/>
          <w:b/>
          <w:sz w:val="18"/>
        </w:rPr>
        <w:t>G-1.</w:t>
      </w:r>
      <w:r>
        <w:rPr>
          <w:rFonts w:ascii="Arial"/>
          <w:b/>
          <w:spacing w:val="-5"/>
          <w:sz w:val="18"/>
        </w:rPr>
        <w:t> </w:t>
      </w:r>
      <w:r>
        <w:rPr>
          <w:rFonts w:ascii="Arial"/>
          <w:b/>
          <w:sz w:val="18"/>
        </w:rPr>
        <w:t>Administrative</w:t>
      </w:r>
      <w:r>
        <w:rPr>
          <w:rFonts w:ascii="Arial"/>
          <w:b/>
          <w:spacing w:val="-2"/>
          <w:sz w:val="18"/>
        </w:rPr>
        <w:t> </w:t>
      </w:r>
      <w:r>
        <w:rPr>
          <w:rFonts w:ascii="Arial"/>
          <w:b/>
          <w:sz w:val="18"/>
        </w:rPr>
        <w:t>sites</w:t>
      </w:r>
      <w:r>
        <w:rPr>
          <w:rFonts w:ascii="Arial"/>
          <w:b/>
          <w:spacing w:val="-2"/>
          <w:sz w:val="18"/>
        </w:rPr>
        <w:t> </w:t>
      </w:r>
      <w:r>
        <w:rPr>
          <w:rFonts w:ascii="Arial"/>
          <w:b/>
          <w:sz w:val="18"/>
        </w:rPr>
        <w:t>on</w:t>
      </w:r>
      <w:r>
        <w:rPr>
          <w:rFonts w:ascii="Arial"/>
          <w:b/>
          <w:spacing w:val="-3"/>
          <w:sz w:val="18"/>
        </w:rPr>
        <w:t> </w:t>
      </w:r>
      <w:r>
        <w:rPr>
          <w:rFonts w:ascii="Arial"/>
          <w:b/>
          <w:sz w:val="18"/>
        </w:rPr>
        <w:t>the</w:t>
      </w:r>
      <w:r>
        <w:rPr>
          <w:rFonts w:ascii="Arial"/>
          <w:b/>
          <w:spacing w:val="-2"/>
          <w:sz w:val="18"/>
        </w:rPr>
        <w:t> </w:t>
      </w:r>
      <w:r>
        <w:rPr>
          <w:rFonts w:ascii="Arial"/>
          <w:b/>
          <w:sz w:val="18"/>
        </w:rPr>
        <w:t>Colville</w:t>
      </w:r>
      <w:r>
        <w:rPr>
          <w:rFonts w:ascii="Arial"/>
          <w:b/>
          <w:spacing w:val="-2"/>
          <w:sz w:val="18"/>
        </w:rPr>
        <w:t> </w:t>
      </w:r>
      <w:r>
        <w:rPr>
          <w:rFonts w:ascii="Arial"/>
          <w:b/>
          <w:sz w:val="18"/>
        </w:rPr>
        <w:t>National</w:t>
      </w:r>
      <w:r>
        <w:rPr>
          <w:rFonts w:ascii="Arial"/>
          <w:b/>
          <w:spacing w:val="-5"/>
          <w:sz w:val="18"/>
        </w:rPr>
        <w:t> </w:t>
      </w:r>
      <w:r>
        <w:rPr>
          <w:rFonts w:ascii="Arial"/>
          <w:b/>
          <w:spacing w:val="-2"/>
          <w:sz w:val="18"/>
        </w:rPr>
        <w:t>Forest</w:t>
      </w: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8"/>
        <w:gridCol w:w="919"/>
        <w:gridCol w:w="900"/>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10"/>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8" w:type="dxa"/>
            <w:tcBorders>
              <w:right w:val="nil"/>
            </w:tcBorders>
            <w:shd w:val="clear" w:color="auto" w:fill="D5E2BB"/>
          </w:tcPr>
          <w:p>
            <w:pPr>
              <w:pStyle w:val="TableParagraph"/>
              <w:ind w:left="29"/>
              <w:jc w:val="center"/>
              <w:rPr>
                <w:b/>
                <w:sz w:val="18"/>
              </w:rPr>
            </w:pPr>
            <w:r>
              <w:rPr>
                <w:b/>
                <w:spacing w:val="-2"/>
                <w:sz w:val="18"/>
              </w:rPr>
              <w:t>Township</w:t>
            </w:r>
          </w:p>
        </w:tc>
        <w:tc>
          <w:tcPr>
            <w:tcW w:w="919" w:type="dxa"/>
            <w:tcBorders>
              <w:left w:val="nil"/>
              <w:right w:val="nil"/>
            </w:tcBorders>
            <w:shd w:val="clear" w:color="auto" w:fill="D5E2BB"/>
          </w:tcPr>
          <w:p>
            <w:pPr>
              <w:pStyle w:val="TableParagraph"/>
              <w:ind w:left="38"/>
              <w:jc w:val="center"/>
              <w:rPr>
                <w:b/>
                <w:sz w:val="18"/>
              </w:rPr>
            </w:pPr>
            <w:r>
              <w:rPr>
                <w:b/>
                <w:spacing w:val="-2"/>
                <w:sz w:val="18"/>
              </w:rPr>
              <w:t>Range</w:t>
            </w:r>
          </w:p>
        </w:tc>
        <w:tc>
          <w:tcPr>
            <w:tcW w:w="900" w:type="dxa"/>
            <w:tcBorders>
              <w:left w:val="nil"/>
            </w:tcBorders>
            <w:shd w:val="clear" w:color="auto" w:fill="D5E2BB"/>
          </w:tcPr>
          <w:p>
            <w:pPr>
              <w:pStyle w:val="TableParagraph"/>
              <w:ind w:left="25" w:right="1"/>
              <w:jc w:val="center"/>
              <w:rPr>
                <w:b/>
                <w:sz w:val="18"/>
              </w:rPr>
            </w:pPr>
            <w:r>
              <w:rPr>
                <w:b/>
                <w:spacing w:val="-2"/>
                <w:sz w:val="18"/>
              </w:rPr>
              <w:t>Section</w:t>
            </w:r>
          </w:p>
        </w:tc>
      </w:tr>
      <w:tr>
        <w:trPr>
          <w:trHeight w:val="299" w:hRule="atLeast"/>
        </w:trPr>
        <w:tc>
          <w:tcPr>
            <w:tcW w:w="2246" w:type="dxa"/>
          </w:tcPr>
          <w:p>
            <w:pPr>
              <w:pStyle w:val="TableParagraph"/>
              <w:ind w:left="107"/>
              <w:rPr>
                <w:sz w:val="18"/>
              </w:rPr>
            </w:pPr>
            <w:r>
              <w:rPr>
                <w:sz w:val="18"/>
              </w:rPr>
              <w:t>Barnaby</w:t>
            </w:r>
            <w:r>
              <w:rPr>
                <w:spacing w:val="-3"/>
                <w:sz w:val="18"/>
              </w:rPr>
              <w:t> </w:t>
            </w:r>
            <w:r>
              <w:rPr>
                <w:sz w:val="18"/>
              </w:rPr>
              <w:t>Butte</w:t>
            </w:r>
            <w:r>
              <w:rPr>
                <w:spacing w:val="-1"/>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7,18</w:t>
            </w:r>
          </w:p>
        </w:tc>
      </w:tr>
      <w:tr>
        <w:trPr>
          <w:trHeight w:val="599" w:hRule="atLeast"/>
        </w:trPr>
        <w:tc>
          <w:tcPr>
            <w:tcW w:w="2246" w:type="dxa"/>
          </w:tcPr>
          <w:p>
            <w:pPr>
              <w:pStyle w:val="TableParagraph"/>
              <w:ind w:left="107" w:right="121"/>
              <w:rPr>
                <w:sz w:val="18"/>
              </w:rPr>
            </w:pPr>
            <w:r>
              <w:rPr>
                <w:sz w:val="18"/>
              </w:rPr>
              <w:t>Brown</w:t>
            </w:r>
            <w:r>
              <w:rPr>
                <w:spacing w:val="-15"/>
                <w:sz w:val="18"/>
              </w:rPr>
              <w:t> </w:t>
            </w:r>
            <w:r>
              <w:rPr>
                <w:sz w:val="18"/>
              </w:rPr>
              <w:t>Mountain</w:t>
            </w:r>
            <w:r>
              <w:rPr>
                <w:spacing w:val="-12"/>
                <w:sz w:val="18"/>
              </w:rPr>
              <w:t> </w:t>
            </w:r>
            <w:r>
              <w:rPr>
                <w:sz w:val="18"/>
              </w:rPr>
              <w:t>Seed </w:t>
            </w:r>
            <w:r>
              <w:rPr>
                <w:spacing w:val="-2"/>
                <w:sz w:val="18"/>
              </w:rPr>
              <w:t>Orchard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33</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16,17</w:t>
            </w:r>
          </w:p>
        </w:tc>
      </w:tr>
      <w:tr>
        <w:trPr>
          <w:trHeight w:val="494" w:hRule="atLeast"/>
        </w:trPr>
        <w:tc>
          <w:tcPr>
            <w:tcW w:w="2246" w:type="dxa"/>
          </w:tcPr>
          <w:p>
            <w:pPr>
              <w:pStyle w:val="TableParagraph"/>
              <w:ind w:left="107" w:right="195"/>
              <w:rPr>
                <w:sz w:val="18"/>
              </w:rPr>
            </w:pPr>
            <w:r>
              <w:rPr>
                <w:sz w:val="18"/>
              </w:rPr>
              <w:t>Cedar</w:t>
            </w:r>
            <w:r>
              <w:rPr>
                <w:spacing w:val="-15"/>
                <w:sz w:val="18"/>
              </w:rPr>
              <w:t> </w:t>
            </w:r>
            <w:r>
              <w:rPr>
                <w:sz w:val="18"/>
              </w:rPr>
              <w:t>Creek</w:t>
            </w:r>
            <w:r>
              <w:rPr>
                <w:spacing w:val="-12"/>
                <w:sz w:val="18"/>
              </w:rPr>
              <w:t> </w:t>
            </w:r>
            <w:r>
              <w:rPr>
                <w:sz w:val="18"/>
              </w:rPr>
              <w:t>Seed </w:t>
            </w:r>
            <w:r>
              <w:rPr>
                <w:spacing w:val="-2"/>
                <w:sz w:val="18"/>
              </w:rPr>
              <w:t>Orchard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10</w:t>
            </w:r>
          </w:p>
        </w:tc>
      </w:tr>
      <w:tr>
        <w:trPr>
          <w:trHeight w:val="493" w:hRule="atLeast"/>
        </w:trPr>
        <w:tc>
          <w:tcPr>
            <w:tcW w:w="2246" w:type="dxa"/>
          </w:tcPr>
          <w:p>
            <w:pPr>
              <w:pStyle w:val="TableParagraph"/>
              <w:ind w:left="107"/>
              <w:rPr>
                <w:sz w:val="18"/>
              </w:rPr>
            </w:pPr>
            <w:r>
              <w:rPr>
                <w:sz w:val="18"/>
              </w:rPr>
              <w:t>Chewelah</w:t>
            </w:r>
            <w:r>
              <w:rPr>
                <w:spacing w:val="-5"/>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41</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12</w:t>
            </w:r>
          </w:p>
        </w:tc>
      </w:tr>
      <w:tr>
        <w:trPr>
          <w:trHeight w:val="493" w:hRule="atLeast"/>
        </w:trPr>
        <w:tc>
          <w:tcPr>
            <w:tcW w:w="2246" w:type="dxa"/>
          </w:tcPr>
          <w:p>
            <w:pPr>
              <w:pStyle w:val="TableParagraph"/>
              <w:ind w:left="107"/>
              <w:rPr>
                <w:sz w:val="18"/>
              </w:rPr>
            </w:pPr>
            <w:r>
              <w:rPr>
                <w:sz w:val="18"/>
              </w:rPr>
              <w:t>Colville</w:t>
            </w:r>
            <w:r>
              <w:rPr>
                <w:spacing w:val="-12"/>
                <w:sz w:val="18"/>
              </w:rPr>
              <w:t> </w:t>
            </w:r>
            <w:r>
              <w:rPr>
                <w:sz w:val="18"/>
              </w:rPr>
              <w:t>NF</w:t>
            </w:r>
            <w:r>
              <w:rPr>
                <w:spacing w:val="-13"/>
                <w:sz w:val="18"/>
              </w:rPr>
              <w:t> </w:t>
            </w:r>
            <w:r>
              <w:rPr>
                <w:sz w:val="18"/>
              </w:rPr>
              <w:t>–</w:t>
            </w:r>
            <w:r>
              <w:rPr>
                <w:spacing w:val="-11"/>
                <w:sz w:val="18"/>
              </w:rPr>
              <w:t> </w:t>
            </w:r>
            <w:r>
              <w:rPr>
                <w:sz w:val="18"/>
              </w:rPr>
              <w:t>Supervisors </w:t>
            </w:r>
            <w:r>
              <w:rPr>
                <w:spacing w:val="-2"/>
                <w:sz w:val="18"/>
              </w:rPr>
              <w:t>Office</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39</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16</w:t>
            </w:r>
          </w:p>
        </w:tc>
      </w:tr>
      <w:tr>
        <w:trPr>
          <w:trHeight w:val="599" w:hRule="atLeast"/>
        </w:trPr>
        <w:tc>
          <w:tcPr>
            <w:tcW w:w="2246" w:type="dxa"/>
          </w:tcPr>
          <w:p>
            <w:pPr>
              <w:pStyle w:val="TableParagraph"/>
              <w:ind w:left="107"/>
              <w:rPr>
                <w:sz w:val="18"/>
              </w:rPr>
            </w:pPr>
            <w:r>
              <w:rPr>
                <w:sz w:val="18"/>
              </w:rPr>
              <w:t>Curlew Civilian Conservation</w:t>
            </w:r>
            <w:r>
              <w:rPr>
                <w:spacing w:val="-13"/>
                <w:sz w:val="18"/>
              </w:rPr>
              <w:t> </w:t>
            </w:r>
            <w:r>
              <w:rPr>
                <w:sz w:val="18"/>
              </w:rPr>
              <w:t>Center</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32</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27</w:t>
            </w:r>
          </w:p>
        </w:tc>
      </w:tr>
      <w:tr>
        <w:trPr>
          <w:trHeight w:val="599" w:hRule="atLeast"/>
        </w:trPr>
        <w:tc>
          <w:tcPr>
            <w:tcW w:w="2246" w:type="dxa"/>
          </w:tcPr>
          <w:p>
            <w:pPr>
              <w:pStyle w:val="TableParagraph"/>
              <w:ind w:left="107"/>
              <w:rPr>
                <w:sz w:val="18"/>
              </w:rPr>
            </w:pPr>
            <w:r>
              <w:rPr>
                <w:sz w:val="18"/>
              </w:rPr>
              <w:t>D1</w:t>
            </w:r>
            <w:r>
              <w:rPr>
                <w:spacing w:val="-12"/>
                <w:sz w:val="18"/>
              </w:rPr>
              <w:t> </w:t>
            </w:r>
            <w:r>
              <w:rPr>
                <w:sz w:val="18"/>
              </w:rPr>
              <w:t>Pal</w:t>
            </w:r>
            <w:r>
              <w:rPr>
                <w:spacing w:val="-12"/>
                <w:sz w:val="18"/>
              </w:rPr>
              <w:t> </w:t>
            </w:r>
            <w:r>
              <w:rPr>
                <w:sz w:val="18"/>
              </w:rPr>
              <w:t>Moore</w:t>
            </w:r>
            <w:r>
              <w:rPr>
                <w:spacing w:val="-12"/>
                <w:sz w:val="18"/>
              </w:rPr>
              <w:t> </w:t>
            </w:r>
            <w:r>
              <w:rPr>
                <w:sz w:val="18"/>
              </w:rPr>
              <w:t>Orchard Storage Shed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41</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2</w:t>
            </w:r>
          </w:p>
        </w:tc>
      </w:tr>
      <w:tr>
        <w:trPr>
          <w:trHeight w:val="599" w:hRule="atLeast"/>
        </w:trPr>
        <w:tc>
          <w:tcPr>
            <w:tcW w:w="2246" w:type="dxa"/>
          </w:tcPr>
          <w:p>
            <w:pPr>
              <w:pStyle w:val="TableParagraph"/>
              <w:ind w:left="107"/>
              <w:rPr>
                <w:sz w:val="18"/>
              </w:rPr>
            </w:pPr>
            <w:r>
              <w:rPr>
                <w:sz w:val="18"/>
              </w:rPr>
              <w:t>D1</w:t>
            </w:r>
            <w:r>
              <w:rPr>
                <w:spacing w:val="-12"/>
                <w:sz w:val="18"/>
              </w:rPr>
              <w:t> </w:t>
            </w:r>
            <w:r>
              <w:rPr>
                <w:sz w:val="18"/>
              </w:rPr>
              <w:t>Radio</w:t>
            </w:r>
            <w:r>
              <w:rPr>
                <w:spacing w:val="-12"/>
                <w:sz w:val="18"/>
              </w:rPr>
              <w:t> </w:t>
            </w:r>
            <w:r>
              <w:rPr>
                <w:sz w:val="18"/>
              </w:rPr>
              <w:t>Bldg,</w:t>
            </w:r>
            <w:r>
              <w:rPr>
                <w:spacing w:val="-13"/>
                <w:sz w:val="18"/>
              </w:rPr>
              <w:t> </w:t>
            </w:r>
            <w:r>
              <w:rPr>
                <w:sz w:val="18"/>
              </w:rPr>
              <w:t>Old </w:t>
            </w:r>
            <w:r>
              <w:rPr>
                <w:spacing w:val="-2"/>
                <w:sz w:val="18"/>
              </w:rPr>
              <w:t>Dominion</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40</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34</w:t>
            </w:r>
          </w:p>
        </w:tc>
      </w:tr>
      <w:tr>
        <w:trPr>
          <w:trHeight w:val="302" w:hRule="atLeast"/>
        </w:trPr>
        <w:tc>
          <w:tcPr>
            <w:tcW w:w="2246" w:type="dxa"/>
          </w:tcPr>
          <w:p>
            <w:pPr>
              <w:pStyle w:val="TableParagraph"/>
              <w:spacing w:before="42"/>
              <w:ind w:left="107"/>
              <w:rPr>
                <w:sz w:val="18"/>
              </w:rPr>
            </w:pPr>
            <w:r>
              <w:rPr>
                <w:sz w:val="18"/>
              </w:rPr>
              <w:t>D4</w:t>
            </w:r>
            <w:r>
              <w:rPr>
                <w:spacing w:val="-2"/>
                <w:sz w:val="18"/>
              </w:rPr>
              <w:t> </w:t>
            </w:r>
            <w:r>
              <w:rPr>
                <w:sz w:val="18"/>
              </w:rPr>
              <w:t>Bodie</w:t>
            </w:r>
            <w:r>
              <w:rPr>
                <w:spacing w:val="-5"/>
                <w:sz w:val="18"/>
              </w:rPr>
              <w:t> </w:t>
            </w:r>
            <w:r>
              <w:rPr>
                <w:sz w:val="18"/>
              </w:rPr>
              <w:t>Mtn</w:t>
            </w:r>
            <w:r>
              <w:rPr>
                <w:spacing w:val="-1"/>
                <w:sz w:val="18"/>
              </w:rPr>
              <w:t> </w:t>
            </w:r>
            <w:r>
              <w:rPr>
                <w:sz w:val="18"/>
              </w:rPr>
              <w:t>Radio</w:t>
            </w:r>
            <w:r>
              <w:rPr>
                <w:spacing w:val="-2"/>
                <w:sz w:val="18"/>
              </w:rPr>
              <w:t> </w:t>
            </w:r>
            <w:r>
              <w:rPr>
                <w:spacing w:val="-4"/>
                <w:sz w:val="18"/>
              </w:rPr>
              <w:t>Bldg</w:t>
            </w:r>
          </w:p>
        </w:tc>
        <w:tc>
          <w:tcPr>
            <w:tcW w:w="1708" w:type="dxa"/>
          </w:tcPr>
          <w:p>
            <w:pPr>
              <w:pStyle w:val="TableParagraph"/>
              <w:spacing w:before="42"/>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32</w:t>
            </w:r>
            <w:r>
              <w:rPr>
                <w:spacing w:val="-1"/>
                <w:sz w:val="18"/>
              </w:rPr>
              <w:t> </w:t>
            </w:r>
            <w:r>
              <w:rPr>
                <w:spacing w:val="-7"/>
                <w:sz w:val="18"/>
              </w:rPr>
              <w:t>E.</w:t>
            </w:r>
          </w:p>
        </w:tc>
        <w:tc>
          <w:tcPr>
            <w:tcW w:w="900" w:type="dxa"/>
            <w:tcBorders>
              <w:left w:val="nil"/>
            </w:tcBorders>
          </w:tcPr>
          <w:p>
            <w:pPr>
              <w:pStyle w:val="TableParagraph"/>
              <w:spacing w:before="42"/>
              <w:ind w:left="25" w:right="6"/>
              <w:jc w:val="center"/>
              <w:rPr>
                <w:sz w:val="18"/>
              </w:rPr>
            </w:pPr>
            <w:r>
              <w:rPr>
                <w:spacing w:val="-10"/>
                <w:sz w:val="18"/>
              </w:rPr>
              <w:t>6</w:t>
            </w:r>
          </w:p>
        </w:tc>
      </w:tr>
      <w:tr>
        <w:trPr>
          <w:trHeight w:val="299" w:hRule="atLeast"/>
        </w:trPr>
        <w:tc>
          <w:tcPr>
            <w:tcW w:w="2246" w:type="dxa"/>
          </w:tcPr>
          <w:p>
            <w:pPr>
              <w:pStyle w:val="TableParagraph"/>
              <w:ind w:left="107"/>
              <w:rPr>
                <w:sz w:val="18"/>
              </w:rPr>
            </w:pPr>
            <w:r>
              <w:rPr>
                <w:sz w:val="18"/>
              </w:rPr>
              <w:t>D4</w:t>
            </w:r>
            <w:r>
              <w:rPr>
                <w:spacing w:val="-2"/>
                <w:sz w:val="18"/>
              </w:rPr>
              <w:t> </w:t>
            </w:r>
            <w:r>
              <w:rPr>
                <w:sz w:val="18"/>
              </w:rPr>
              <w:t>Bodie</w:t>
            </w:r>
            <w:r>
              <w:rPr>
                <w:spacing w:val="-5"/>
                <w:sz w:val="18"/>
              </w:rPr>
              <w:t> </w:t>
            </w:r>
            <w:r>
              <w:rPr>
                <w:sz w:val="18"/>
              </w:rPr>
              <w:t>Mtn</w:t>
            </w:r>
            <w:r>
              <w:rPr>
                <w:spacing w:val="-1"/>
                <w:sz w:val="18"/>
              </w:rPr>
              <w:t> </w:t>
            </w:r>
            <w:r>
              <w:rPr>
                <w:sz w:val="18"/>
              </w:rPr>
              <w:t>Radio</w:t>
            </w:r>
            <w:r>
              <w:rPr>
                <w:spacing w:val="-2"/>
                <w:sz w:val="18"/>
              </w:rPr>
              <w:t> </w:t>
            </w:r>
            <w:r>
              <w:rPr>
                <w:spacing w:val="-4"/>
                <w:sz w:val="18"/>
              </w:rPr>
              <w:t>Bldg</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32</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6,31</w:t>
            </w:r>
          </w:p>
        </w:tc>
      </w:tr>
      <w:tr>
        <w:trPr>
          <w:trHeight w:val="493" w:hRule="atLeast"/>
        </w:trPr>
        <w:tc>
          <w:tcPr>
            <w:tcW w:w="2246" w:type="dxa"/>
          </w:tcPr>
          <w:p>
            <w:pPr>
              <w:pStyle w:val="TableParagraph"/>
              <w:ind w:left="107" w:right="195"/>
              <w:rPr>
                <w:sz w:val="18"/>
              </w:rPr>
            </w:pPr>
            <w:r>
              <w:rPr>
                <w:sz w:val="18"/>
              </w:rPr>
              <w:t>D4</w:t>
            </w:r>
            <w:r>
              <w:rPr>
                <w:spacing w:val="-12"/>
                <w:sz w:val="18"/>
              </w:rPr>
              <w:t> </w:t>
            </w:r>
            <w:r>
              <w:rPr>
                <w:sz w:val="18"/>
              </w:rPr>
              <w:t>Quartz</w:t>
            </w:r>
            <w:r>
              <w:rPr>
                <w:spacing w:val="-13"/>
                <w:sz w:val="18"/>
              </w:rPr>
              <w:t> </w:t>
            </w:r>
            <w:r>
              <w:rPr>
                <w:sz w:val="18"/>
              </w:rPr>
              <w:t>Mt</w:t>
            </w:r>
            <w:r>
              <w:rPr>
                <w:spacing w:val="-12"/>
                <w:sz w:val="18"/>
              </w:rPr>
              <w:t> </w:t>
            </w:r>
            <w:r>
              <w:rPr>
                <w:sz w:val="18"/>
              </w:rPr>
              <w:t>Radio </w:t>
            </w:r>
            <w:r>
              <w:rPr>
                <w:spacing w:val="-2"/>
                <w:sz w:val="18"/>
              </w:rPr>
              <w:t>Bldg.</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33</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3</w:t>
            </w:r>
          </w:p>
        </w:tc>
      </w:tr>
      <w:tr>
        <w:trPr>
          <w:trHeight w:val="494" w:hRule="atLeast"/>
        </w:trPr>
        <w:tc>
          <w:tcPr>
            <w:tcW w:w="2246" w:type="dxa"/>
          </w:tcPr>
          <w:p>
            <w:pPr>
              <w:pStyle w:val="TableParagraph"/>
              <w:ind w:left="107" w:right="195"/>
              <w:rPr>
                <w:sz w:val="18"/>
              </w:rPr>
            </w:pPr>
            <w:r>
              <w:rPr>
                <w:sz w:val="18"/>
              </w:rPr>
              <w:t>D4</w:t>
            </w:r>
            <w:r>
              <w:rPr>
                <w:spacing w:val="-12"/>
                <w:sz w:val="18"/>
              </w:rPr>
              <w:t> </w:t>
            </w:r>
            <w:r>
              <w:rPr>
                <w:sz w:val="18"/>
              </w:rPr>
              <w:t>Quartz</w:t>
            </w:r>
            <w:r>
              <w:rPr>
                <w:spacing w:val="-13"/>
                <w:sz w:val="18"/>
              </w:rPr>
              <w:t> </w:t>
            </w:r>
            <w:r>
              <w:rPr>
                <w:sz w:val="18"/>
              </w:rPr>
              <w:t>Mt</w:t>
            </w:r>
            <w:r>
              <w:rPr>
                <w:spacing w:val="-12"/>
                <w:sz w:val="18"/>
              </w:rPr>
              <w:t> </w:t>
            </w:r>
            <w:r>
              <w:rPr>
                <w:sz w:val="18"/>
              </w:rPr>
              <w:t>Radio </w:t>
            </w:r>
            <w:r>
              <w:rPr>
                <w:spacing w:val="-2"/>
                <w:sz w:val="18"/>
              </w:rPr>
              <w:t>Bldg.</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33</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3,33,34</w:t>
            </w:r>
          </w:p>
        </w:tc>
      </w:tr>
      <w:tr>
        <w:trPr>
          <w:trHeight w:val="599" w:hRule="atLeast"/>
        </w:trPr>
        <w:tc>
          <w:tcPr>
            <w:tcW w:w="2246" w:type="dxa"/>
          </w:tcPr>
          <w:p>
            <w:pPr>
              <w:pStyle w:val="TableParagraph"/>
              <w:ind w:left="107" w:right="195"/>
              <w:rPr>
                <w:sz w:val="18"/>
              </w:rPr>
            </w:pPr>
            <w:r>
              <w:rPr>
                <w:sz w:val="18"/>
              </w:rPr>
              <w:t>D5</w:t>
            </w:r>
            <w:r>
              <w:rPr>
                <w:spacing w:val="-12"/>
                <w:sz w:val="18"/>
              </w:rPr>
              <w:t> </w:t>
            </w:r>
            <w:r>
              <w:rPr>
                <w:sz w:val="18"/>
              </w:rPr>
              <w:t>Radio</w:t>
            </w:r>
            <w:r>
              <w:rPr>
                <w:spacing w:val="-12"/>
                <w:sz w:val="18"/>
              </w:rPr>
              <w:t> </w:t>
            </w:r>
            <w:r>
              <w:rPr>
                <w:sz w:val="18"/>
              </w:rPr>
              <w:t>Bldg,</w:t>
            </w:r>
            <w:r>
              <w:rPr>
                <w:spacing w:val="-12"/>
                <w:sz w:val="18"/>
              </w:rPr>
              <w:t> </w:t>
            </w:r>
            <w:r>
              <w:rPr>
                <w:sz w:val="18"/>
              </w:rPr>
              <w:t>Sullivan </w:t>
            </w:r>
            <w:r>
              <w:rPr>
                <w:spacing w:val="-4"/>
                <w:sz w:val="18"/>
              </w:rPr>
              <w:t>Mtn</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16</w:t>
            </w:r>
          </w:p>
        </w:tc>
      </w:tr>
      <w:tr>
        <w:trPr>
          <w:trHeight w:val="493" w:hRule="atLeast"/>
        </w:trPr>
        <w:tc>
          <w:tcPr>
            <w:tcW w:w="2246" w:type="dxa"/>
          </w:tcPr>
          <w:p>
            <w:pPr>
              <w:pStyle w:val="TableParagraph"/>
              <w:ind w:left="107"/>
              <w:rPr>
                <w:sz w:val="18"/>
              </w:rPr>
            </w:pPr>
            <w:r>
              <w:rPr>
                <w:sz w:val="18"/>
              </w:rPr>
              <w:t>D5</w:t>
            </w:r>
            <w:r>
              <w:rPr>
                <w:spacing w:val="-3"/>
                <w:sz w:val="18"/>
              </w:rPr>
              <w:t> </w:t>
            </w:r>
            <w:r>
              <w:rPr>
                <w:sz w:val="18"/>
              </w:rPr>
              <w:t>Salmo</w:t>
            </w:r>
            <w:r>
              <w:rPr>
                <w:spacing w:val="-2"/>
                <w:sz w:val="18"/>
              </w:rPr>
              <w:t> </w:t>
            </w:r>
            <w:r>
              <w:rPr>
                <w:sz w:val="18"/>
              </w:rPr>
              <w:t>Mtn.</w:t>
            </w:r>
            <w:r>
              <w:rPr>
                <w:spacing w:val="-4"/>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16</w:t>
            </w:r>
          </w:p>
        </w:tc>
      </w:tr>
      <w:tr>
        <w:trPr>
          <w:trHeight w:val="493" w:hRule="atLeast"/>
        </w:trPr>
        <w:tc>
          <w:tcPr>
            <w:tcW w:w="2246" w:type="dxa"/>
          </w:tcPr>
          <w:p>
            <w:pPr>
              <w:pStyle w:val="TableParagraph"/>
              <w:ind w:left="107"/>
              <w:rPr>
                <w:sz w:val="18"/>
              </w:rPr>
            </w:pPr>
            <w:r>
              <w:rPr>
                <w:sz w:val="18"/>
              </w:rPr>
              <w:t>Dominion</w:t>
            </w:r>
            <w:r>
              <w:rPr>
                <w:spacing w:val="-6"/>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40</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34</w:t>
            </w:r>
          </w:p>
        </w:tc>
      </w:tr>
      <w:tr>
        <w:trPr>
          <w:trHeight w:val="493" w:hRule="atLeast"/>
        </w:trPr>
        <w:tc>
          <w:tcPr>
            <w:tcW w:w="2246" w:type="dxa"/>
          </w:tcPr>
          <w:p>
            <w:pPr>
              <w:pStyle w:val="TableParagraph"/>
              <w:ind w:left="107"/>
              <w:rPr>
                <w:sz w:val="18"/>
              </w:rPr>
            </w:pPr>
            <w:r>
              <w:rPr>
                <w:sz w:val="18"/>
              </w:rPr>
              <w:t>Drycreek</w:t>
            </w:r>
            <w:r>
              <w:rPr>
                <w:spacing w:val="-4"/>
                <w:sz w:val="18"/>
              </w:rPr>
              <w:t> Site</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30</w:t>
            </w:r>
          </w:p>
        </w:tc>
      </w:tr>
      <w:tr>
        <w:trPr>
          <w:trHeight w:val="493" w:hRule="atLeast"/>
        </w:trPr>
        <w:tc>
          <w:tcPr>
            <w:tcW w:w="2246" w:type="dxa"/>
          </w:tcPr>
          <w:p>
            <w:pPr>
              <w:pStyle w:val="TableParagraph"/>
              <w:ind w:left="107"/>
              <w:rPr>
                <w:sz w:val="18"/>
              </w:rPr>
            </w:pPr>
            <w:r>
              <w:rPr>
                <w:sz w:val="18"/>
              </w:rPr>
              <w:t>First</w:t>
            </w:r>
            <w:r>
              <w:rPr>
                <w:spacing w:val="-2"/>
                <w:sz w:val="18"/>
              </w:rPr>
              <w:t> </w:t>
            </w:r>
            <w:r>
              <w:rPr>
                <w:sz w:val="18"/>
              </w:rPr>
              <w:t>Thought</w:t>
            </w:r>
            <w:r>
              <w:rPr>
                <w:spacing w:val="-3"/>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37</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7</w:t>
            </w:r>
          </w:p>
        </w:tc>
      </w:tr>
      <w:tr>
        <w:trPr>
          <w:trHeight w:val="494" w:hRule="atLeast"/>
        </w:trPr>
        <w:tc>
          <w:tcPr>
            <w:tcW w:w="2246" w:type="dxa"/>
          </w:tcPr>
          <w:p>
            <w:pPr>
              <w:pStyle w:val="TableParagraph"/>
              <w:ind w:left="107"/>
              <w:rPr>
                <w:sz w:val="18"/>
              </w:rPr>
            </w:pPr>
            <w:r>
              <w:rPr>
                <w:sz w:val="18"/>
              </w:rPr>
              <w:t>Flagstaff</w:t>
            </w:r>
            <w:r>
              <w:rPr>
                <w:spacing w:val="-3"/>
                <w:sz w:val="18"/>
              </w:rPr>
              <w:t>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39</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5</w:t>
            </w:r>
          </w:p>
        </w:tc>
      </w:tr>
      <w:tr>
        <w:trPr>
          <w:trHeight w:val="493" w:hRule="atLeast"/>
        </w:trPr>
        <w:tc>
          <w:tcPr>
            <w:tcW w:w="2246" w:type="dxa"/>
          </w:tcPr>
          <w:p>
            <w:pPr>
              <w:pStyle w:val="TableParagraph"/>
              <w:ind w:left="107" w:right="195"/>
              <w:rPr>
                <w:sz w:val="18"/>
              </w:rPr>
            </w:pPr>
            <w:r>
              <w:rPr>
                <w:sz w:val="18"/>
              </w:rPr>
              <w:t>Flowery</w:t>
            </w:r>
            <w:r>
              <w:rPr>
                <w:spacing w:val="-15"/>
                <w:sz w:val="18"/>
              </w:rPr>
              <w:t> </w:t>
            </w:r>
            <w:r>
              <w:rPr>
                <w:sz w:val="18"/>
              </w:rPr>
              <w:t>Trail</w:t>
            </w:r>
            <w:r>
              <w:rPr>
                <w:spacing w:val="-12"/>
                <w:sz w:val="18"/>
              </w:rPr>
              <w:t> </w:t>
            </w:r>
            <w:r>
              <w:rPr>
                <w:sz w:val="18"/>
              </w:rPr>
              <w:t>Seed </w:t>
            </w:r>
            <w:r>
              <w:rPr>
                <w:spacing w:val="-2"/>
                <w:sz w:val="18"/>
              </w:rPr>
              <w:t>Orchard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5"/>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5</w:t>
            </w:r>
          </w:p>
        </w:tc>
      </w:tr>
    </w:tbl>
    <w:p>
      <w:pPr>
        <w:pStyle w:val="TableParagraph"/>
        <w:spacing w:after="0"/>
        <w:jc w:val="center"/>
        <w:rPr>
          <w:sz w:val="18"/>
        </w:rPr>
        <w:sectPr>
          <w:pgSz w:w="12240" w:h="15840"/>
          <w:pgMar w:header="725" w:footer="891" w:top="1420" w:bottom="1080" w:left="1080" w:right="1080"/>
        </w:sectPr>
      </w:pPr>
    </w:p>
    <w:tbl>
      <w:tblPr>
        <w:tblW w:w="0" w:type="auto"/>
        <w:jc w:val="left"/>
        <w:tblInd w:w="801"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9"/>
        <w:gridCol w:w="920"/>
        <w:gridCol w:w="897"/>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6"/>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9" w:type="dxa"/>
            <w:tcBorders>
              <w:right w:val="nil"/>
            </w:tcBorders>
            <w:shd w:val="clear" w:color="auto" w:fill="D5E2BB"/>
          </w:tcPr>
          <w:p>
            <w:pPr>
              <w:pStyle w:val="TableParagraph"/>
              <w:ind w:left="28"/>
              <w:jc w:val="center"/>
              <w:rPr>
                <w:b/>
                <w:sz w:val="18"/>
              </w:rPr>
            </w:pPr>
            <w:r>
              <w:rPr>
                <w:b/>
                <w:spacing w:val="-2"/>
                <w:sz w:val="18"/>
              </w:rPr>
              <w:t>Township</w:t>
            </w:r>
          </w:p>
        </w:tc>
        <w:tc>
          <w:tcPr>
            <w:tcW w:w="920" w:type="dxa"/>
            <w:tcBorders>
              <w:left w:val="nil"/>
              <w:right w:val="nil"/>
            </w:tcBorders>
            <w:shd w:val="clear" w:color="auto" w:fill="D5E2BB"/>
          </w:tcPr>
          <w:p>
            <w:pPr>
              <w:pStyle w:val="TableParagraph"/>
              <w:ind w:left="40"/>
              <w:jc w:val="center"/>
              <w:rPr>
                <w:b/>
                <w:sz w:val="18"/>
              </w:rPr>
            </w:pPr>
            <w:r>
              <w:rPr>
                <w:b/>
                <w:spacing w:val="-2"/>
                <w:sz w:val="18"/>
              </w:rPr>
              <w:t>Range</w:t>
            </w:r>
          </w:p>
        </w:tc>
        <w:tc>
          <w:tcPr>
            <w:tcW w:w="897" w:type="dxa"/>
            <w:tcBorders>
              <w:left w:val="nil"/>
            </w:tcBorders>
            <w:shd w:val="clear" w:color="auto" w:fill="D5E2BB"/>
          </w:tcPr>
          <w:p>
            <w:pPr>
              <w:pStyle w:val="TableParagraph"/>
              <w:ind w:left="28"/>
              <w:jc w:val="center"/>
              <w:rPr>
                <w:b/>
                <w:sz w:val="18"/>
              </w:rPr>
            </w:pPr>
            <w:r>
              <w:rPr>
                <w:b/>
                <w:spacing w:val="-2"/>
                <w:sz w:val="18"/>
              </w:rPr>
              <w:t>Section</w:t>
            </w:r>
          </w:p>
        </w:tc>
      </w:tr>
      <w:tr>
        <w:trPr>
          <w:trHeight w:val="599" w:hRule="atLeast"/>
        </w:trPr>
        <w:tc>
          <w:tcPr>
            <w:tcW w:w="2246" w:type="dxa"/>
          </w:tcPr>
          <w:p>
            <w:pPr>
              <w:pStyle w:val="TableParagraph"/>
              <w:ind w:left="107" w:right="751"/>
              <w:rPr>
                <w:sz w:val="18"/>
              </w:rPr>
            </w:pPr>
            <w:r>
              <w:rPr>
                <w:sz w:val="18"/>
              </w:rPr>
              <w:t>Graves</w:t>
            </w:r>
            <w:r>
              <w:rPr>
                <w:spacing w:val="-13"/>
                <w:sz w:val="18"/>
              </w:rPr>
              <w:t> </w:t>
            </w:r>
            <w:r>
              <w:rPr>
                <w:sz w:val="18"/>
              </w:rPr>
              <w:t>Mountain </w:t>
            </w:r>
            <w:r>
              <w:rPr>
                <w:spacing w:val="-2"/>
                <w:sz w:val="18"/>
              </w:rPr>
              <w:t>Lookout</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12</w:t>
            </w:r>
          </w:p>
        </w:tc>
      </w:tr>
      <w:tr>
        <w:trPr>
          <w:trHeight w:val="494" w:hRule="atLeast"/>
        </w:trPr>
        <w:tc>
          <w:tcPr>
            <w:tcW w:w="2246" w:type="dxa"/>
          </w:tcPr>
          <w:p>
            <w:pPr>
              <w:pStyle w:val="TableParagraph"/>
              <w:spacing w:before="36"/>
              <w:ind w:left="107"/>
              <w:rPr>
                <w:position w:val="6"/>
                <w:sz w:val="12"/>
              </w:rPr>
            </w:pPr>
            <w:r>
              <w:rPr>
                <w:sz w:val="18"/>
              </w:rPr>
              <w:t>Halliday</w:t>
            </w:r>
            <w:r>
              <w:rPr>
                <w:spacing w:val="-4"/>
                <w:sz w:val="18"/>
              </w:rPr>
              <w:t> </w:t>
            </w:r>
            <w:r>
              <w:rPr>
                <w:sz w:val="18"/>
              </w:rPr>
              <w:t>Fen</w:t>
            </w:r>
            <w:r>
              <w:rPr>
                <w:spacing w:val="-1"/>
                <w:sz w:val="18"/>
              </w:rPr>
              <w:t> </w:t>
            </w:r>
            <w:r>
              <w:rPr>
                <w:spacing w:val="-2"/>
                <w:sz w:val="18"/>
              </w:rPr>
              <w:t>RNA</w:t>
            </w:r>
            <w:hyperlink w:history="true" w:anchor="_bookmark329">
              <w:r>
                <w:rPr>
                  <w:spacing w:val="-2"/>
                  <w:position w:val="6"/>
                  <w:sz w:val="12"/>
                </w:rPr>
                <w:t>33</w:t>
              </w:r>
            </w:hyperlink>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5"/>
                <w:sz w:val="18"/>
              </w:rPr>
              <w:t>1,6</w:t>
            </w:r>
          </w:p>
        </w:tc>
      </w:tr>
      <w:tr>
        <w:trPr>
          <w:trHeight w:val="493" w:hRule="atLeast"/>
        </w:trPr>
        <w:tc>
          <w:tcPr>
            <w:tcW w:w="2246" w:type="dxa"/>
          </w:tcPr>
          <w:p>
            <w:pPr>
              <w:pStyle w:val="TableParagraph"/>
              <w:ind w:left="107"/>
              <w:rPr>
                <w:sz w:val="18"/>
              </w:rPr>
            </w:pPr>
            <w:r>
              <w:rPr>
                <w:sz w:val="18"/>
              </w:rPr>
              <w:t>Halliday</w:t>
            </w:r>
            <w:r>
              <w:rPr>
                <w:spacing w:val="-4"/>
                <w:sz w:val="18"/>
              </w:rPr>
              <w:t> </w:t>
            </w:r>
            <w:r>
              <w:rPr>
                <w:sz w:val="18"/>
              </w:rPr>
              <w:t>Fen</w:t>
            </w:r>
            <w:r>
              <w:rPr>
                <w:spacing w:val="-1"/>
                <w:sz w:val="18"/>
              </w:rPr>
              <w:t> </w:t>
            </w:r>
            <w:r>
              <w:rPr>
                <w:spacing w:val="-5"/>
                <w:sz w:val="18"/>
              </w:rPr>
              <w:t>RNA</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4"/>
                <w:sz w:val="18"/>
              </w:rPr>
              <w:t> </w:t>
            </w:r>
            <w:r>
              <w:rPr>
                <w:sz w:val="18"/>
              </w:rPr>
              <w:t>44 </w:t>
            </w:r>
            <w:r>
              <w:rPr>
                <w:spacing w:val="-5"/>
                <w:sz w:val="18"/>
              </w:rPr>
              <w:t>E.</w:t>
            </w:r>
          </w:p>
        </w:tc>
        <w:tc>
          <w:tcPr>
            <w:tcW w:w="897" w:type="dxa"/>
            <w:tcBorders>
              <w:left w:val="nil"/>
            </w:tcBorders>
          </w:tcPr>
          <w:p>
            <w:pPr>
              <w:pStyle w:val="TableParagraph"/>
              <w:ind w:left="28" w:right="3"/>
              <w:jc w:val="center"/>
              <w:rPr>
                <w:sz w:val="18"/>
              </w:rPr>
            </w:pPr>
            <w:r>
              <w:rPr>
                <w:spacing w:val="-4"/>
                <w:sz w:val="18"/>
              </w:rPr>
              <w:t>6,31</w:t>
            </w:r>
          </w:p>
        </w:tc>
      </w:tr>
      <w:tr>
        <w:trPr>
          <w:trHeight w:val="494" w:hRule="atLeast"/>
        </w:trPr>
        <w:tc>
          <w:tcPr>
            <w:tcW w:w="2246" w:type="dxa"/>
          </w:tcPr>
          <w:p>
            <w:pPr>
              <w:pStyle w:val="TableParagraph"/>
              <w:ind w:left="107"/>
              <w:rPr>
                <w:sz w:val="18"/>
              </w:rPr>
            </w:pPr>
            <w:r>
              <w:rPr>
                <w:sz w:val="18"/>
              </w:rPr>
              <w:t>Halliday</w:t>
            </w:r>
            <w:r>
              <w:rPr>
                <w:spacing w:val="-4"/>
                <w:sz w:val="18"/>
              </w:rPr>
              <w:t> </w:t>
            </w:r>
            <w:r>
              <w:rPr>
                <w:sz w:val="18"/>
              </w:rPr>
              <w:t>Fen</w:t>
            </w:r>
            <w:r>
              <w:rPr>
                <w:spacing w:val="-1"/>
                <w:sz w:val="18"/>
              </w:rPr>
              <w:t> </w:t>
            </w:r>
            <w:r>
              <w:rPr>
                <w:spacing w:val="-5"/>
                <w:sz w:val="18"/>
              </w:rPr>
              <w:t>RNA</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spacing w:line="207" w:lineRule="exact"/>
              <w:ind w:left="28" w:right="1"/>
              <w:jc w:val="center"/>
              <w:rPr>
                <w:sz w:val="18"/>
              </w:rPr>
            </w:pPr>
            <w:r>
              <w:rPr>
                <w:spacing w:val="-2"/>
                <w:sz w:val="18"/>
              </w:rPr>
              <w:t>1,6,31,3</w:t>
            </w:r>
          </w:p>
          <w:p>
            <w:pPr>
              <w:pStyle w:val="TableParagraph"/>
              <w:spacing w:line="207" w:lineRule="exact" w:before="0"/>
              <w:ind w:left="28" w:right="6"/>
              <w:jc w:val="center"/>
              <w:rPr>
                <w:sz w:val="18"/>
              </w:rPr>
            </w:pPr>
            <w:r>
              <w:rPr>
                <w:spacing w:val="-10"/>
                <w:sz w:val="18"/>
              </w:rPr>
              <w:t>6</w:t>
            </w:r>
          </w:p>
        </w:tc>
      </w:tr>
      <w:tr>
        <w:trPr>
          <w:trHeight w:val="494" w:hRule="atLeast"/>
        </w:trPr>
        <w:tc>
          <w:tcPr>
            <w:tcW w:w="2246" w:type="dxa"/>
          </w:tcPr>
          <w:p>
            <w:pPr>
              <w:pStyle w:val="TableParagraph"/>
              <w:ind w:left="107"/>
              <w:rPr>
                <w:sz w:val="18"/>
              </w:rPr>
            </w:pPr>
            <w:r>
              <w:rPr>
                <w:sz w:val="18"/>
              </w:rPr>
              <w:t>Halliday</w:t>
            </w:r>
            <w:r>
              <w:rPr>
                <w:spacing w:val="-4"/>
                <w:sz w:val="18"/>
              </w:rPr>
              <w:t> </w:t>
            </w:r>
            <w:r>
              <w:rPr>
                <w:sz w:val="18"/>
              </w:rPr>
              <w:t>Fen</w:t>
            </w:r>
            <w:r>
              <w:rPr>
                <w:spacing w:val="-1"/>
                <w:sz w:val="18"/>
              </w:rPr>
              <w:t> </w:t>
            </w:r>
            <w:r>
              <w:rPr>
                <w:spacing w:val="-5"/>
                <w:sz w:val="18"/>
              </w:rPr>
              <w:t>RNA</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spacing w:line="207" w:lineRule="exact"/>
              <w:ind w:left="28"/>
              <w:jc w:val="center"/>
              <w:rPr>
                <w:sz w:val="18"/>
              </w:rPr>
            </w:pPr>
            <w:r>
              <w:rPr>
                <w:spacing w:val="-2"/>
                <w:sz w:val="18"/>
              </w:rPr>
              <w:t>6,30,31,</w:t>
            </w:r>
          </w:p>
          <w:p>
            <w:pPr>
              <w:pStyle w:val="TableParagraph"/>
              <w:spacing w:line="207" w:lineRule="exact" w:before="0"/>
              <w:ind w:left="28"/>
              <w:jc w:val="center"/>
              <w:rPr>
                <w:sz w:val="18"/>
              </w:rPr>
            </w:pPr>
            <w:r>
              <w:rPr>
                <w:spacing w:val="-5"/>
                <w:sz w:val="18"/>
              </w:rPr>
              <w:t>32</w:t>
            </w:r>
          </w:p>
        </w:tc>
      </w:tr>
      <w:tr>
        <w:trPr>
          <w:trHeight w:val="493" w:hRule="atLeast"/>
        </w:trPr>
        <w:tc>
          <w:tcPr>
            <w:tcW w:w="2246" w:type="dxa"/>
          </w:tcPr>
          <w:p>
            <w:pPr>
              <w:pStyle w:val="TableParagraph"/>
              <w:ind w:left="107"/>
              <w:rPr>
                <w:sz w:val="18"/>
              </w:rPr>
            </w:pPr>
            <w:r>
              <w:rPr>
                <w:spacing w:val="-2"/>
                <w:sz w:val="18"/>
              </w:rPr>
              <w:t>Hanlon</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29</w:t>
            </w:r>
          </w:p>
        </w:tc>
      </w:tr>
      <w:tr>
        <w:trPr>
          <w:trHeight w:val="494" w:hRule="atLeast"/>
        </w:trPr>
        <w:tc>
          <w:tcPr>
            <w:tcW w:w="2246" w:type="dxa"/>
          </w:tcPr>
          <w:p>
            <w:pPr>
              <w:pStyle w:val="TableParagraph"/>
              <w:ind w:left="107"/>
              <w:rPr>
                <w:sz w:val="18"/>
              </w:rPr>
            </w:pPr>
            <w:r>
              <w:rPr>
                <w:sz w:val="18"/>
              </w:rPr>
              <w:t>Huckleberry</w:t>
            </w:r>
            <w:r>
              <w:rPr>
                <w:spacing w:val="-4"/>
                <w:sz w:val="18"/>
              </w:rPr>
              <w:t> </w:t>
            </w:r>
            <w:r>
              <w:rPr>
                <w:spacing w:val="-2"/>
                <w:sz w:val="18"/>
              </w:rPr>
              <w:t>Lookout</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2"/>
                <w:sz w:val="18"/>
              </w:rPr>
              <w:t>29,30</w:t>
            </w:r>
          </w:p>
        </w:tc>
      </w:tr>
      <w:tr>
        <w:trPr>
          <w:trHeight w:val="599" w:hRule="atLeast"/>
        </w:trPr>
        <w:tc>
          <w:tcPr>
            <w:tcW w:w="2246" w:type="dxa"/>
          </w:tcPr>
          <w:p>
            <w:pPr>
              <w:pStyle w:val="TableParagraph"/>
              <w:ind w:left="107" w:right="791"/>
              <w:rPr>
                <w:sz w:val="18"/>
              </w:rPr>
            </w:pPr>
            <w:r>
              <w:rPr>
                <w:sz w:val="18"/>
              </w:rPr>
              <w:t>Kettle Range Observation</w:t>
            </w:r>
            <w:r>
              <w:rPr>
                <w:spacing w:val="-13"/>
                <w:sz w:val="18"/>
              </w:rPr>
              <w:t> </w:t>
            </w:r>
            <w:r>
              <w:rPr>
                <w:sz w:val="18"/>
              </w:rPr>
              <w:t>Site</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19</w:t>
            </w:r>
          </w:p>
        </w:tc>
      </w:tr>
      <w:tr>
        <w:trPr>
          <w:trHeight w:val="494" w:hRule="atLeast"/>
        </w:trPr>
        <w:tc>
          <w:tcPr>
            <w:tcW w:w="2246" w:type="dxa"/>
          </w:tcPr>
          <w:p>
            <w:pPr>
              <w:pStyle w:val="TableParagraph"/>
              <w:ind w:left="107"/>
              <w:rPr>
                <w:sz w:val="18"/>
              </w:rPr>
            </w:pPr>
            <w:r>
              <w:rPr>
                <w:sz w:val="18"/>
              </w:rPr>
              <w:t>Lookout</w:t>
            </w:r>
            <w:r>
              <w:rPr>
                <w:spacing w:val="-9"/>
                <w:sz w:val="18"/>
              </w:rPr>
              <w:t> </w:t>
            </w:r>
            <w:r>
              <w:rPr>
                <w:spacing w:val="-2"/>
                <w:sz w:val="18"/>
              </w:rPr>
              <w:t>Station</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24</w:t>
            </w:r>
          </w:p>
        </w:tc>
      </w:tr>
      <w:tr>
        <w:trPr>
          <w:trHeight w:val="493" w:hRule="atLeast"/>
        </w:trPr>
        <w:tc>
          <w:tcPr>
            <w:tcW w:w="2246" w:type="dxa"/>
          </w:tcPr>
          <w:p>
            <w:pPr>
              <w:pStyle w:val="TableParagraph"/>
              <w:ind w:left="107"/>
              <w:rPr>
                <w:sz w:val="18"/>
              </w:rPr>
            </w:pPr>
            <w:r>
              <w:rPr>
                <w:sz w:val="18"/>
              </w:rPr>
              <w:t>Lookout</w:t>
            </w:r>
            <w:r>
              <w:rPr>
                <w:spacing w:val="-9"/>
                <w:sz w:val="18"/>
              </w:rPr>
              <w:t> </w:t>
            </w:r>
            <w:r>
              <w:rPr>
                <w:spacing w:val="-2"/>
                <w:sz w:val="18"/>
              </w:rPr>
              <w:t>Station</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24</w:t>
            </w:r>
          </w:p>
        </w:tc>
      </w:tr>
      <w:tr>
        <w:trPr>
          <w:trHeight w:val="299" w:hRule="atLeast"/>
        </w:trPr>
        <w:tc>
          <w:tcPr>
            <w:tcW w:w="2246" w:type="dxa"/>
          </w:tcPr>
          <w:p>
            <w:pPr>
              <w:pStyle w:val="TableParagraph"/>
              <w:ind w:left="107"/>
              <w:rPr>
                <w:sz w:val="18"/>
              </w:rPr>
            </w:pPr>
            <w:r>
              <w:rPr>
                <w:sz w:val="18"/>
              </w:rPr>
              <w:t>Marble</w:t>
            </w:r>
            <w:r>
              <w:rPr>
                <w:spacing w:val="-11"/>
                <w:sz w:val="18"/>
              </w:rPr>
              <w:t> </w:t>
            </w:r>
            <w:r>
              <w:rPr>
                <w:spacing w:val="-2"/>
                <w:sz w:val="18"/>
              </w:rPr>
              <w:t>Lookout</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right="5"/>
              <w:jc w:val="center"/>
              <w:rPr>
                <w:sz w:val="18"/>
              </w:rPr>
            </w:pPr>
            <w:r>
              <w:rPr>
                <w:spacing w:val="-10"/>
                <w:sz w:val="18"/>
              </w:rPr>
              <w:t>4</w:t>
            </w:r>
          </w:p>
        </w:tc>
      </w:tr>
      <w:tr>
        <w:trPr>
          <w:trHeight w:val="601" w:hRule="atLeast"/>
        </w:trPr>
        <w:tc>
          <w:tcPr>
            <w:tcW w:w="2246" w:type="dxa"/>
          </w:tcPr>
          <w:p>
            <w:pPr>
              <w:pStyle w:val="TableParagraph"/>
              <w:ind w:left="107" w:right="621"/>
              <w:rPr>
                <w:sz w:val="18"/>
              </w:rPr>
            </w:pPr>
            <w:r>
              <w:rPr>
                <w:sz w:val="18"/>
              </w:rPr>
              <w:t>Martin Creek Administration</w:t>
            </w:r>
            <w:r>
              <w:rPr>
                <w:spacing w:val="-13"/>
                <w:sz w:val="18"/>
              </w:rPr>
              <w:t> </w:t>
            </w:r>
            <w:r>
              <w:rPr>
                <w:sz w:val="18"/>
              </w:rPr>
              <w:t>Site</w:t>
            </w:r>
          </w:p>
        </w:tc>
        <w:tc>
          <w:tcPr>
            <w:tcW w:w="1708" w:type="dxa"/>
          </w:tcPr>
          <w:p>
            <w:pPr>
              <w:pStyle w:val="TableParagraph"/>
              <w:spacing w:before="42"/>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15</w:t>
            </w:r>
          </w:p>
        </w:tc>
      </w:tr>
      <w:tr>
        <w:trPr>
          <w:trHeight w:val="599" w:hRule="atLeast"/>
        </w:trPr>
        <w:tc>
          <w:tcPr>
            <w:tcW w:w="2246" w:type="dxa"/>
          </w:tcPr>
          <w:p>
            <w:pPr>
              <w:pStyle w:val="TableParagraph"/>
              <w:ind w:left="107"/>
              <w:rPr>
                <w:sz w:val="18"/>
              </w:rPr>
            </w:pPr>
            <w:r>
              <w:rPr>
                <w:sz w:val="18"/>
              </w:rPr>
              <w:t>Mill</w:t>
            </w:r>
            <w:r>
              <w:rPr>
                <w:spacing w:val="-15"/>
                <w:sz w:val="18"/>
              </w:rPr>
              <w:t> </w:t>
            </w:r>
            <w:r>
              <w:rPr>
                <w:sz w:val="18"/>
              </w:rPr>
              <w:t>Creek</w:t>
            </w:r>
            <w:r>
              <w:rPr>
                <w:spacing w:val="-12"/>
                <w:sz w:val="18"/>
              </w:rPr>
              <w:t> </w:t>
            </w:r>
            <w:r>
              <w:rPr>
                <w:sz w:val="18"/>
              </w:rPr>
              <w:t>Administrative </w:t>
            </w:r>
            <w:r>
              <w:rPr>
                <w:spacing w:val="-4"/>
                <w:sz w:val="18"/>
              </w:rPr>
              <w:t>Site</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20</w:t>
            </w:r>
          </w:p>
        </w:tc>
      </w:tr>
      <w:tr>
        <w:trPr>
          <w:trHeight w:val="599" w:hRule="atLeast"/>
        </w:trPr>
        <w:tc>
          <w:tcPr>
            <w:tcW w:w="2246" w:type="dxa"/>
          </w:tcPr>
          <w:p>
            <w:pPr>
              <w:pStyle w:val="TableParagraph"/>
              <w:ind w:left="107" w:right="411"/>
              <w:rPr>
                <w:sz w:val="18"/>
              </w:rPr>
            </w:pPr>
            <w:r>
              <w:rPr>
                <w:sz w:val="18"/>
              </w:rPr>
              <w:t>Newport</w:t>
            </w:r>
            <w:r>
              <w:rPr>
                <w:spacing w:val="-13"/>
                <w:sz w:val="18"/>
              </w:rPr>
              <w:t> </w:t>
            </w:r>
            <w:r>
              <w:rPr>
                <w:sz w:val="18"/>
              </w:rPr>
              <w:t>Geophysical </w:t>
            </w:r>
            <w:r>
              <w:rPr>
                <w:spacing w:val="-2"/>
                <w:sz w:val="18"/>
              </w:rPr>
              <w:t>Observatory</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spacing w:line="207" w:lineRule="exact"/>
              <w:ind w:left="157"/>
              <w:rPr>
                <w:sz w:val="18"/>
              </w:rPr>
            </w:pPr>
            <w:r>
              <w:rPr>
                <w:spacing w:val="-2"/>
                <w:sz w:val="18"/>
              </w:rPr>
              <w:t>16,20,2</w:t>
            </w:r>
          </w:p>
          <w:p>
            <w:pPr>
              <w:pStyle w:val="TableParagraph"/>
              <w:spacing w:line="207" w:lineRule="exact" w:before="0"/>
              <w:ind w:left="157"/>
              <w:rPr>
                <w:sz w:val="18"/>
              </w:rPr>
            </w:pPr>
            <w:r>
              <w:rPr>
                <w:spacing w:val="-2"/>
                <w:sz w:val="18"/>
              </w:rPr>
              <w:t>1,22,28</w:t>
            </w:r>
          </w:p>
        </w:tc>
      </w:tr>
      <w:tr>
        <w:trPr>
          <w:trHeight w:val="494" w:hRule="atLeast"/>
        </w:trPr>
        <w:tc>
          <w:tcPr>
            <w:tcW w:w="2246" w:type="dxa"/>
          </w:tcPr>
          <w:p>
            <w:pPr>
              <w:pStyle w:val="TableParagraph"/>
              <w:ind w:left="107"/>
              <w:rPr>
                <w:sz w:val="18"/>
              </w:rPr>
            </w:pPr>
            <w:r>
              <w:rPr>
                <w:sz w:val="18"/>
              </w:rPr>
              <w:t>Newport</w:t>
            </w:r>
            <w:r>
              <w:rPr>
                <w:spacing w:val="-6"/>
                <w:sz w:val="18"/>
              </w:rPr>
              <w:t> </w:t>
            </w:r>
            <w:r>
              <w:rPr>
                <w:spacing w:val="-5"/>
                <w:sz w:val="18"/>
              </w:rPr>
              <w:t>RD</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31</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13</w:t>
            </w:r>
          </w:p>
        </w:tc>
      </w:tr>
      <w:tr>
        <w:trPr>
          <w:trHeight w:val="493" w:hRule="atLeast"/>
        </w:trPr>
        <w:tc>
          <w:tcPr>
            <w:tcW w:w="2246" w:type="dxa"/>
          </w:tcPr>
          <w:p>
            <w:pPr>
              <w:pStyle w:val="TableParagraph"/>
              <w:ind w:left="107"/>
              <w:rPr>
                <w:sz w:val="18"/>
              </w:rPr>
            </w:pPr>
            <w:r>
              <w:rPr>
                <w:sz w:val="18"/>
              </w:rPr>
              <w:t>Newport</w:t>
            </w:r>
            <w:r>
              <w:rPr>
                <w:spacing w:val="-6"/>
                <w:sz w:val="18"/>
              </w:rPr>
              <w:t> </w:t>
            </w:r>
            <w:r>
              <w:rPr>
                <w:spacing w:val="-5"/>
                <w:sz w:val="18"/>
              </w:rPr>
              <w:t>RD</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31</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46</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13</w:t>
            </w:r>
          </w:p>
        </w:tc>
      </w:tr>
      <w:tr>
        <w:trPr>
          <w:trHeight w:val="493" w:hRule="atLeast"/>
        </w:trPr>
        <w:tc>
          <w:tcPr>
            <w:tcW w:w="2246" w:type="dxa"/>
          </w:tcPr>
          <w:p>
            <w:pPr>
              <w:pStyle w:val="TableParagraph"/>
              <w:ind w:left="107"/>
              <w:rPr>
                <w:sz w:val="18"/>
              </w:rPr>
            </w:pPr>
            <w:r>
              <w:rPr>
                <w:sz w:val="18"/>
              </w:rPr>
              <w:t>Pal</w:t>
            </w:r>
            <w:r>
              <w:rPr>
                <w:spacing w:val="-1"/>
                <w:sz w:val="18"/>
              </w:rPr>
              <w:t> </w:t>
            </w:r>
            <w:r>
              <w:rPr>
                <w:sz w:val="18"/>
              </w:rPr>
              <w:t>Moore</w:t>
            </w:r>
            <w:r>
              <w:rPr>
                <w:spacing w:val="-1"/>
                <w:sz w:val="18"/>
              </w:rPr>
              <w:t> </w:t>
            </w:r>
            <w:r>
              <w:rPr>
                <w:sz w:val="18"/>
              </w:rPr>
              <w:t>Seed</w:t>
            </w:r>
            <w:r>
              <w:rPr>
                <w:spacing w:val="-1"/>
                <w:sz w:val="18"/>
              </w:rPr>
              <w:t> </w:t>
            </w:r>
            <w:r>
              <w:rPr>
                <w:spacing w:val="-2"/>
                <w:sz w:val="18"/>
              </w:rPr>
              <w:t>Orchard</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5"/>
                <w:sz w:val="18"/>
              </w:rPr>
              <w:t>1,2</w:t>
            </w:r>
          </w:p>
        </w:tc>
      </w:tr>
      <w:tr>
        <w:trPr>
          <w:trHeight w:val="299" w:hRule="atLeast"/>
        </w:trPr>
        <w:tc>
          <w:tcPr>
            <w:tcW w:w="2246" w:type="dxa"/>
          </w:tcPr>
          <w:p>
            <w:pPr>
              <w:pStyle w:val="TableParagraph"/>
              <w:ind w:left="107"/>
              <w:rPr>
                <w:sz w:val="18"/>
              </w:rPr>
            </w:pPr>
            <w:r>
              <w:rPr>
                <w:sz w:val="18"/>
              </w:rPr>
              <w:t>Republic</w:t>
            </w:r>
            <w:r>
              <w:rPr>
                <w:spacing w:val="-4"/>
                <w:sz w:val="18"/>
              </w:rPr>
              <w:t> </w:t>
            </w:r>
            <w:r>
              <w:rPr>
                <w:spacing w:val="-5"/>
                <w:sz w:val="18"/>
              </w:rPr>
              <w:t>RD</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right="5"/>
              <w:jc w:val="center"/>
              <w:rPr>
                <w:sz w:val="18"/>
              </w:rPr>
            </w:pPr>
            <w:r>
              <w:rPr>
                <w:spacing w:val="-10"/>
                <w:sz w:val="18"/>
              </w:rPr>
              <w:t>1</w:t>
            </w:r>
          </w:p>
        </w:tc>
      </w:tr>
      <w:tr>
        <w:trPr>
          <w:trHeight w:val="299" w:hRule="atLeast"/>
        </w:trPr>
        <w:tc>
          <w:tcPr>
            <w:tcW w:w="2246" w:type="dxa"/>
          </w:tcPr>
          <w:p>
            <w:pPr>
              <w:pStyle w:val="TableParagraph"/>
              <w:ind w:left="107"/>
              <w:rPr>
                <w:sz w:val="18"/>
              </w:rPr>
            </w:pPr>
            <w:r>
              <w:rPr>
                <w:sz w:val="18"/>
              </w:rPr>
              <w:t>Republic</w:t>
            </w:r>
            <w:r>
              <w:rPr>
                <w:spacing w:val="-4"/>
                <w:sz w:val="18"/>
              </w:rPr>
              <w:t> </w:t>
            </w:r>
            <w:r>
              <w:rPr>
                <w:spacing w:val="-5"/>
                <w:sz w:val="18"/>
              </w:rPr>
              <w:t>RD</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5"/>
                <w:sz w:val="18"/>
              </w:rPr>
              <w:t>1,6</w:t>
            </w:r>
          </w:p>
        </w:tc>
      </w:tr>
      <w:tr>
        <w:trPr>
          <w:trHeight w:val="493" w:hRule="atLeast"/>
        </w:trPr>
        <w:tc>
          <w:tcPr>
            <w:tcW w:w="2246" w:type="dxa"/>
          </w:tcPr>
          <w:p>
            <w:pPr>
              <w:pStyle w:val="TableParagraph"/>
              <w:ind w:left="107" w:right="195"/>
              <w:rPr>
                <w:sz w:val="18"/>
              </w:rPr>
            </w:pPr>
            <w:r>
              <w:rPr>
                <w:sz w:val="18"/>
              </w:rPr>
              <w:t>Round</w:t>
            </w:r>
            <w:r>
              <w:rPr>
                <w:spacing w:val="-15"/>
                <w:sz w:val="18"/>
              </w:rPr>
              <w:t> </w:t>
            </w:r>
            <w:r>
              <w:rPr>
                <w:sz w:val="18"/>
              </w:rPr>
              <w:t>Top</w:t>
            </w:r>
            <w:r>
              <w:rPr>
                <w:spacing w:val="-12"/>
                <w:sz w:val="18"/>
              </w:rPr>
              <w:t> </w:t>
            </w:r>
            <w:r>
              <w:rPr>
                <w:sz w:val="18"/>
              </w:rPr>
              <w:t>Mountain </w:t>
            </w:r>
            <w:r>
              <w:rPr>
                <w:spacing w:val="-4"/>
                <w:sz w:val="18"/>
              </w:rPr>
              <w:t>RNA</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ind w:left="28" w:right="6"/>
              <w:jc w:val="center"/>
              <w:rPr>
                <w:sz w:val="18"/>
              </w:rPr>
            </w:pPr>
            <w:r>
              <w:rPr>
                <w:spacing w:val="-10"/>
                <w:sz w:val="18"/>
              </w:rPr>
              <w:t>8</w:t>
            </w:r>
          </w:p>
        </w:tc>
      </w:tr>
      <w:tr>
        <w:trPr>
          <w:trHeight w:val="700" w:hRule="atLeast"/>
        </w:trPr>
        <w:tc>
          <w:tcPr>
            <w:tcW w:w="2246" w:type="dxa"/>
          </w:tcPr>
          <w:p>
            <w:pPr>
              <w:pStyle w:val="TableParagraph"/>
              <w:ind w:left="107"/>
              <w:rPr>
                <w:sz w:val="18"/>
              </w:rPr>
            </w:pPr>
            <w:r>
              <w:rPr>
                <w:sz w:val="18"/>
              </w:rPr>
              <w:t>Salmo</w:t>
            </w:r>
            <w:r>
              <w:rPr>
                <w:spacing w:val="-2"/>
                <w:sz w:val="18"/>
              </w:rPr>
              <w:t> </w:t>
            </w:r>
            <w:r>
              <w:rPr>
                <w:spacing w:val="-5"/>
                <w:sz w:val="18"/>
              </w:rPr>
              <w:t>RNA</w:t>
            </w:r>
          </w:p>
        </w:tc>
        <w:tc>
          <w:tcPr>
            <w:tcW w:w="1708" w:type="dxa"/>
          </w:tcPr>
          <w:p>
            <w:pPr>
              <w:pStyle w:val="TableParagraph"/>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spacing w:line="207" w:lineRule="exact"/>
              <w:ind w:left="28"/>
              <w:jc w:val="center"/>
              <w:rPr>
                <w:sz w:val="18"/>
              </w:rPr>
            </w:pPr>
            <w:r>
              <w:rPr>
                <w:spacing w:val="-2"/>
                <w:sz w:val="18"/>
              </w:rPr>
              <w:t>9,10,11,</w:t>
            </w:r>
          </w:p>
          <w:p>
            <w:pPr>
              <w:pStyle w:val="TableParagraph"/>
              <w:spacing w:line="206" w:lineRule="exact" w:before="0"/>
              <w:ind w:left="28" w:right="3"/>
              <w:jc w:val="center"/>
              <w:rPr>
                <w:sz w:val="18"/>
              </w:rPr>
            </w:pPr>
            <w:r>
              <w:rPr>
                <w:spacing w:val="-2"/>
                <w:sz w:val="18"/>
              </w:rPr>
              <w:t>14,15,1</w:t>
            </w:r>
          </w:p>
          <w:p>
            <w:pPr>
              <w:pStyle w:val="TableParagraph"/>
              <w:spacing w:line="207" w:lineRule="exact" w:before="0"/>
              <w:ind w:left="28"/>
              <w:jc w:val="center"/>
              <w:rPr>
                <w:sz w:val="18"/>
              </w:rPr>
            </w:pPr>
            <w:r>
              <w:rPr>
                <w:sz w:val="18"/>
              </w:rPr>
              <w:t>6, </w:t>
            </w:r>
            <w:r>
              <w:rPr>
                <w:spacing w:val="-5"/>
                <w:sz w:val="18"/>
              </w:rPr>
              <w:t>22</w:t>
            </w:r>
          </w:p>
        </w:tc>
      </w:tr>
      <w:tr>
        <w:trPr>
          <w:trHeight w:val="493" w:hRule="atLeast"/>
        </w:trPr>
        <w:tc>
          <w:tcPr>
            <w:tcW w:w="2246" w:type="dxa"/>
          </w:tcPr>
          <w:p>
            <w:pPr>
              <w:pStyle w:val="TableParagraph"/>
              <w:spacing w:before="42"/>
              <w:ind w:left="107"/>
              <w:rPr>
                <w:sz w:val="18"/>
              </w:rPr>
            </w:pPr>
            <w:r>
              <w:rPr>
                <w:sz w:val="18"/>
              </w:rPr>
              <w:t>Sullivan</w:t>
            </w:r>
            <w:r>
              <w:rPr>
                <w:spacing w:val="-7"/>
                <w:sz w:val="18"/>
              </w:rPr>
              <w:t> </w:t>
            </w:r>
            <w:r>
              <w:rPr>
                <w:spacing w:val="-4"/>
                <w:sz w:val="18"/>
              </w:rPr>
              <w:t>Lake</w:t>
            </w:r>
          </w:p>
        </w:tc>
        <w:tc>
          <w:tcPr>
            <w:tcW w:w="1708" w:type="dxa"/>
          </w:tcPr>
          <w:p>
            <w:pPr>
              <w:pStyle w:val="TableParagraph"/>
              <w:spacing w:before="42"/>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spacing w:line="207" w:lineRule="exact" w:before="40"/>
              <w:ind w:left="28" w:right="3"/>
              <w:jc w:val="center"/>
              <w:rPr>
                <w:sz w:val="18"/>
              </w:rPr>
            </w:pPr>
            <w:r>
              <w:rPr>
                <w:spacing w:val="-2"/>
                <w:sz w:val="18"/>
              </w:rPr>
              <w:t>29,30,3</w:t>
            </w:r>
          </w:p>
          <w:p>
            <w:pPr>
              <w:pStyle w:val="TableParagraph"/>
              <w:spacing w:line="207" w:lineRule="exact" w:before="0"/>
              <w:ind w:left="28" w:right="3"/>
              <w:jc w:val="center"/>
              <w:rPr>
                <w:sz w:val="18"/>
              </w:rPr>
            </w:pPr>
            <w:r>
              <w:rPr>
                <w:spacing w:val="-4"/>
                <w:sz w:val="18"/>
              </w:rPr>
              <w:t>1,32</w:t>
            </w:r>
          </w:p>
        </w:tc>
      </w:tr>
      <w:tr>
        <w:trPr>
          <w:trHeight w:val="496" w:hRule="atLeast"/>
        </w:trPr>
        <w:tc>
          <w:tcPr>
            <w:tcW w:w="2246" w:type="dxa"/>
          </w:tcPr>
          <w:p>
            <w:pPr>
              <w:pStyle w:val="TableParagraph"/>
              <w:spacing w:before="42"/>
              <w:ind w:left="107"/>
              <w:rPr>
                <w:sz w:val="18"/>
              </w:rPr>
            </w:pPr>
            <w:r>
              <w:rPr>
                <w:sz w:val="18"/>
              </w:rPr>
              <w:t>Sullivan</w:t>
            </w:r>
            <w:r>
              <w:rPr>
                <w:spacing w:val="-7"/>
                <w:sz w:val="18"/>
              </w:rPr>
              <w:t> </w:t>
            </w:r>
            <w:r>
              <w:rPr>
                <w:sz w:val="18"/>
              </w:rPr>
              <w:t>Lake</w:t>
            </w:r>
            <w:r>
              <w:rPr>
                <w:spacing w:val="-2"/>
                <w:sz w:val="18"/>
              </w:rPr>
              <w:t> </w:t>
            </w:r>
            <w:r>
              <w:rPr>
                <w:spacing w:val="-5"/>
                <w:sz w:val="18"/>
              </w:rPr>
              <w:t>RD</w:t>
            </w:r>
          </w:p>
        </w:tc>
        <w:tc>
          <w:tcPr>
            <w:tcW w:w="1708" w:type="dxa"/>
          </w:tcPr>
          <w:p>
            <w:pPr>
              <w:pStyle w:val="TableParagraph"/>
              <w:spacing w:before="42"/>
              <w:ind w:left="11" w:right="1"/>
              <w:jc w:val="center"/>
              <w:rPr>
                <w:sz w:val="18"/>
              </w:rPr>
            </w:pPr>
            <w:r>
              <w:rPr>
                <w:sz w:val="18"/>
              </w:rPr>
              <w:t>Administrative</w:t>
            </w:r>
            <w:r>
              <w:rPr>
                <w:spacing w:val="-7"/>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31</w:t>
            </w:r>
          </w:p>
        </w:tc>
      </w:tr>
    </w:tbl>
    <w:p>
      <w:pPr>
        <w:pStyle w:val="BodyText"/>
        <w:spacing w:before="141"/>
        <w:rPr>
          <w:rFonts w:ascii="Arial"/>
          <w:b/>
          <w:sz w:val="20"/>
        </w:rPr>
      </w:pPr>
      <w:r>
        <w:rPr>
          <w:rFonts w:ascii="Arial"/>
          <w:b/>
          <w:sz w:val="20"/>
        </w:rPr>
        <mc:AlternateContent>
          <mc:Choice Requires="wps">
            <w:drawing>
              <wp:anchor distT="0" distB="0" distL="0" distR="0" allowOverlap="1" layoutInCell="1" locked="0" behindDoc="1" simplePos="0" relativeHeight="487647232">
                <wp:simplePos x="0" y="0"/>
                <wp:positionH relativeFrom="page">
                  <wp:posOffset>1188719</wp:posOffset>
                </wp:positionH>
                <wp:positionV relativeFrom="paragraph">
                  <wp:posOffset>251225</wp:posOffset>
                </wp:positionV>
                <wp:extent cx="1828800" cy="7620"/>
                <wp:effectExtent l="0" t="0" r="0" b="0"/>
                <wp:wrapTopAndBottom/>
                <wp:docPr id="382" name="Graphic 382"/>
                <wp:cNvGraphicFramePr>
                  <a:graphicFrameLocks/>
                </wp:cNvGraphicFramePr>
                <a:graphic>
                  <a:graphicData uri="http://schemas.microsoft.com/office/word/2010/wordprocessingShape">
                    <wps:wsp>
                      <wps:cNvPr id="382" name="Graphic 382"/>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3.599998pt;margin-top:19.7815pt;width:144pt;height:.599pt;mso-position-horizontal-relative:page;mso-position-vertical-relative:paragraph;z-index:-15669248;mso-wrap-distance-left:0;mso-wrap-distance-right:0" id="docshape358" filled="true" fillcolor="#000000" stroked="false">
                <v:fill type="solid"/>
                <w10:wrap type="topAndBottom"/>
              </v:rect>
            </w:pict>
          </mc:Fallback>
        </mc:AlternateContent>
      </w:r>
    </w:p>
    <w:p>
      <w:pPr>
        <w:spacing w:before="95"/>
        <w:ind w:left="791" w:right="0" w:firstLine="0"/>
        <w:jc w:val="left"/>
        <w:rPr>
          <w:sz w:val="18"/>
        </w:rPr>
      </w:pPr>
      <w:bookmarkStart w:name="_bookmark329" w:id="1012"/>
      <w:bookmarkEnd w:id="1012"/>
      <w:r>
        <w:rPr/>
      </w:r>
      <w:r>
        <w:rPr>
          <w:position w:val="5"/>
          <w:sz w:val="12"/>
        </w:rPr>
        <w:t>33</w:t>
      </w:r>
      <w:r>
        <w:rPr>
          <w:spacing w:val="10"/>
          <w:position w:val="5"/>
          <w:sz w:val="12"/>
        </w:rPr>
        <w:t> </w:t>
      </w:r>
      <w:r>
        <w:rPr>
          <w:sz w:val="18"/>
        </w:rPr>
        <w:t>Research</w:t>
      </w:r>
      <w:r>
        <w:rPr>
          <w:spacing w:val="-3"/>
          <w:sz w:val="18"/>
        </w:rPr>
        <w:t> </w:t>
      </w:r>
      <w:r>
        <w:rPr>
          <w:sz w:val="18"/>
        </w:rPr>
        <w:t>Natural</w:t>
      </w:r>
      <w:r>
        <w:rPr>
          <w:spacing w:val="-3"/>
          <w:sz w:val="18"/>
        </w:rPr>
        <w:t> </w:t>
      </w:r>
      <w:r>
        <w:rPr>
          <w:spacing w:val="-4"/>
          <w:sz w:val="18"/>
        </w:rPr>
        <w:t>Area</w:t>
      </w:r>
    </w:p>
    <w:p>
      <w:pPr>
        <w:spacing w:after="0"/>
        <w:jc w:val="left"/>
        <w:rPr>
          <w:sz w:val="18"/>
        </w:rPr>
        <w:sectPr>
          <w:headerReference w:type="default" r:id="rId133"/>
          <w:headerReference w:type="even" r:id="rId134"/>
          <w:footerReference w:type="default" r:id="rId135"/>
          <w:footerReference w:type="even" r:id="rId136"/>
          <w:pgSz w:w="12240" w:h="15840"/>
          <w:pgMar w:header="725" w:footer="891" w:top="1420" w:bottom="1080" w:left="1080" w:right="1080"/>
          <w:pgNumType w:start="211"/>
        </w:sect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8"/>
        <w:gridCol w:w="919"/>
        <w:gridCol w:w="900"/>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10"/>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8" w:type="dxa"/>
            <w:tcBorders>
              <w:right w:val="nil"/>
            </w:tcBorders>
            <w:shd w:val="clear" w:color="auto" w:fill="D5E2BB"/>
          </w:tcPr>
          <w:p>
            <w:pPr>
              <w:pStyle w:val="TableParagraph"/>
              <w:ind w:left="29"/>
              <w:jc w:val="center"/>
              <w:rPr>
                <w:b/>
                <w:sz w:val="18"/>
              </w:rPr>
            </w:pPr>
            <w:r>
              <w:rPr>
                <w:b/>
                <w:spacing w:val="-2"/>
                <w:sz w:val="18"/>
              </w:rPr>
              <w:t>Township</w:t>
            </w:r>
          </w:p>
        </w:tc>
        <w:tc>
          <w:tcPr>
            <w:tcW w:w="919" w:type="dxa"/>
            <w:tcBorders>
              <w:left w:val="nil"/>
              <w:right w:val="nil"/>
            </w:tcBorders>
            <w:shd w:val="clear" w:color="auto" w:fill="D5E2BB"/>
          </w:tcPr>
          <w:p>
            <w:pPr>
              <w:pStyle w:val="TableParagraph"/>
              <w:ind w:left="38"/>
              <w:jc w:val="center"/>
              <w:rPr>
                <w:b/>
                <w:sz w:val="18"/>
              </w:rPr>
            </w:pPr>
            <w:r>
              <w:rPr>
                <w:b/>
                <w:spacing w:val="-2"/>
                <w:sz w:val="18"/>
              </w:rPr>
              <w:t>Range</w:t>
            </w:r>
          </w:p>
        </w:tc>
        <w:tc>
          <w:tcPr>
            <w:tcW w:w="900" w:type="dxa"/>
            <w:tcBorders>
              <w:left w:val="nil"/>
            </w:tcBorders>
            <w:shd w:val="clear" w:color="auto" w:fill="D5E2BB"/>
          </w:tcPr>
          <w:p>
            <w:pPr>
              <w:pStyle w:val="TableParagraph"/>
              <w:ind w:left="25" w:right="1"/>
              <w:jc w:val="center"/>
              <w:rPr>
                <w:b/>
                <w:sz w:val="18"/>
              </w:rPr>
            </w:pPr>
            <w:r>
              <w:rPr>
                <w:b/>
                <w:spacing w:val="-2"/>
                <w:sz w:val="18"/>
              </w:rPr>
              <w:t>Section</w:t>
            </w:r>
          </w:p>
        </w:tc>
      </w:tr>
      <w:tr>
        <w:trPr>
          <w:trHeight w:val="599" w:hRule="atLeast"/>
        </w:trPr>
        <w:tc>
          <w:tcPr>
            <w:tcW w:w="2246" w:type="dxa"/>
          </w:tcPr>
          <w:p>
            <w:pPr>
              <w:pStyle w:val="TableParagraph"/>
              <w:ind w:left="107" w:right="701"/>
              <w:rPr>
                <w:sz w:val="18"/>
              </w:rPr>
            </w:pPr>
            <w:r>
              <w:rPr>
                <w:sz w:val="18"/>
              </w:rPr>
              <w:t>Sullivan</w:t>
            </w:r>
            <w:r>
              <w:rPr>
                <w:spacing w:val="-13"/>
                <w:sz w:val="18"/>
              </w:rPr>
              <w:t> </w:t>
            </w:r>
            <w:r>
              <w:rPr>
                <w:sz w:val="18"/>
              </w:rPr>
              <w:t>Mountain </w:t>
            </w:r>
            <w:r>
              <w:rPr>
                <w:spacing w:val="-2"/>
                <w:sz w:val="18"/>
              </w:rPr>
              <w:t>Lookout</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16</w:t>
            </w:r>
          </w:p>
        </w:tc>
      </w:tr>
      <w:tr>
        <w:trPr>
          <w:trHeight w:val="494" w:hRule="atLeast"/>
        </w:trPr>
        <w:tc>
          <w:tcPr>
            <w:tcW w:w="2246" w:type="dxa"/>
          </w:tcPr>
          <w:p>
            <w:pPr>
              <w:pStyle w:val="TableParagraph"/>
              <w:ind w:left="107"/>
              <w:rPr>
                <w:sz w:val="18"/>
              </w:rPr>
            </w:pPr>
            <w:r>
              <w:rPr>
                <w:sz w:val="18"/>
              </w:rPr>
              <w:t>Teepee</w:t>
            </w:r>
            <w:r>
              <w:rPr>
                <w:spacing w:val="-2"/>
                <w:sz w:val="18"/>
              </w:rPr>
              <w:t> </w:t>
            </w:r>
            <w:r>
              <w:rPr>
                <w:sz w:val="18"/>
              </w:rPr>
              <w:t>Seed</w:t>
            </w:r>
            <w:r>
              <w:rPr>
                <w:spacing w:val="-1"/>
                <w:sz w:val="18"/>
              </w:rPr>
              <w:t> </w:t>
            </w:r>
            <w:r>
              <w:rPr>
                <w:spacing w:val="-2"/>
                <w:sz w:val="18"/>
              </w:rPr>
              <w:t>Orchard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34</w:t>
            </w:r>
          </w:p>
        </w:tc>
      </w:tr>
      <w:tr>
        <w:trPr>
          <w:trHeight w:val="493" w:hRule="atLeast"/>
        </w:trPr>
        <w:tc>
          <w:tcPr>
            <w:tcW w:w="2246" w:type="dxa"/>
          </w:tcPr>
          <w:p>
            <w:pPr>
              <w:pStyle w:val="TableParagraph"/>
              <w:ind w:left="107"/>
              <w:rPr>
                <w:sz w:val="18"/>
              </w:rPr>
            </w:pPr>
            <w:r>
              <w:rPr>
                <w:sz w:val="18"/>
              </w:rPr>
              <w:t>Three</w:t>
            </w:r>
            <w:r>
              <w:rPr>
                <w:spacing w:val="-3"/>
                <w:sz w:val="18"/>
              </w:rPr>
              <w:t> </w:t>
            </w:r>
            <w:r>
              <w:rPr>
                <w:sz w:val="18"/>
              </w:rPr>
              <w:t>Rivers</w:t>
            </w:r>
            <w:r>
              <w:rPr>
                <w:spacing w:val="-2"/>
                <w:sz w:val="18"/>
              </w:rPr>
              <w:t> </w:t>
            </w:r>
            <w:r>
              <w:rPr>
                <w:spacing w:val="-5"/>
                <w:sz w:val="18"/>
              </w:rPr>
              <w:t>RD</w:t>
            </w:r>
          </w:p>
        </w:tc>
        <w:tc>
          <w:tcPr>
            <w:tcW w:w="1708" w:type="dxa"/>
          </w:tcPr>
          <w:p>
            <w:pPr>
              <w:pStyle w:val="TableParagraph"/>
              <w:ind w:left="11" w:right="6"/>
              <w:jc w:val="center"/>
              <w:rPr>
                <w:sz w:val="18"/>
              </w:rPr>
            </w:pPr>
            <w:r>
              <w:rPr>
                <w:sz w:val="18"/>
              </w:rPr>
              <w:t>Administrative</w:t>
            </w:r>
            <w:r>
              <w:rPr>
                <w:spacing w:val="-7"/>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38</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20</w:t>
            </w:r>
          </w:p>
        </w:tc>
      </w:tr>
      <w:tr>
        <w:trPr>
          <w:trHeight w:val="494" w:hRule="atLeast"/>
        </w:trPr>
        <w:tc>
          <w:tcPr>
            <w:tcW w:w="2246" w:type="dxa"/>
          </w:tcPr>
          <w:p>
            <w:pPr>
              <w:pStyle w:val="TableParagraph"/>
              <w:ind w:left="107"/>
              <w:rPr>
                <w:sz w:val="18"/>
              </w:rPr>
            </w:pPr>
            <w:r>
              <w:rPr>
                <w:sz w:val="18"/>
              </w:rPr>
              <w:t>49</w:t>
            </w:r>
            <w:r>
              <w:rPr>
                <w:spacing w:val="-3"/>
                <w:sz w:val="18"/>
              </w:rPr>
              <w:t> </w:t>
            </w:r>
            <w:r>
              <w:rPr>
                <w:sz w:val="18"/>
              </w:rPr>
              <w:t>Degrees</w:t>
            </w:r>
            <w:r>
              <w:rPr>
                <w:spacing w:val="-2"/>
                <w:sz w:val="18"/>
              </w:rPr>
              <w:t> North</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41</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5"/>
                <w:sz w:val="18"/>
              </w:rPr>
              <w:t>1,6</w:t>
            </w:r>
          </w:p>
        </w:tc>
      </w:tr>
      <w:tr>
        <w:trPr>
          <w:trHeight w:val="494" w:hRule="atLeast"/>
        </w:trPr>
        <w:tc>
          <w:tcPr>
            <w:tcW w:w="2246" w:type="dxa"/>
          </w:tcPr>
          <w:p>
            <w:pPr>
              <w:pStyle w:val="TableParagraph"/>
              <w:ind w:left="107"/>
              <w:rPr>
                <w:sz w:val="18"/>
              </w:rPr>
            </w:pPr>
            <w:r>
              <w:rPr>
                <w:sz w:val="18"/>
              </w:rPr>
              <w:t>49</w:t>
            </w:r>
            <w:r>
              <w:rPr>
                <w:spacing w:val="-3"/>
                <w:sz w:val="18"/>
              </w:rPr>
              <w:t> </w:t>
            </w:r>
            <w:r>
              <w:rPr>
                <w:sz w:val="18"/>
              </w:rPr>
              <w:t>Degrees</w:t>
            </w:r>
            <w:r>
              <w:rPr>
                <w:spacing w:val="-2"/>
                <w:sz w:val="18"/>
              </w:rPr>
              <w:t> North</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6</w:t>
            </w:r>
          </w:p>
        </w:tc>
      </w:tr>
      <w:tr>
        <w:trPr>
          <w:trHeight w:val="493" w:hRule="atLeast"/>
        </w:trPr>
        <w:tc>
          <w:tcPr>
            <w:tcW w:w="2246" w:type="dxa"/>
          </w:tcPr>
          <w:p>
            <w:pPr>
              <w:pStyle w:val="TableParagraph"/>
              <w:ind w:left="107"/>
              <w:rPr>
                <w:sz w:val="18"/>
              </w:rPr>
            </w:pPr>
            <w:r>
              <w:rPr>
                <w:spacing w:val="-2"/>
                <w:sz w:val="18"/>
              </w:rPr>
              <w:t>Abercrombie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34</w:t>
            </w:r>
          </w:p>
        </w:tc>
      </w:tr>
      <w:tr>
        <w:trPr>
          <w:trHeight w:val="299" w:hRule="atLeast"/>
        </w:trPr>
        <w:tc>
          <w:tcPr>
            <w:tcW w:w="2246" w:type="dxa"/>
          </w:tcPr>
          <w:p>
            <w:pPr>
              <w:pStyle w:val="TableParagraph"/>
              <w:ind w:left="107"/>
              <w:rPr>
                <w:sz w:val="18"/>
              </w:rPr>
            </w:pPr>
            <w:r>
              <w:rPr>
                <w:sz w:val="18"/>
              </w:rPr>
              <w:t>Barnaby</w:t>
            </w:r>
            <w:r>
              <w:rPr>
                <w:spacing w:val="-2"/>
                <w:sz w:val="18"/>
              </w:rPr>
              <w:t> Butte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35</w:t>
            </w:r>
          </w:p>
        </w:tc>
      </w:tr>
      <w:tr>
        <w:trPr>
          <w:trHeight w:val="299" w:hRule="atLeast"/>
        </w:trPr>
        <w:tc>
          <w:tcPr>
            <w:tcW w:w="2246" w:type="dxa"/>
          </w:tcPr>
          <w:p>
            <w:pPr>
              <w:pStyle w:val="TableParagraph"/>
              <w:ind w:left="107"/>
              <w:rPr>
                <w:sz w:val="18"/>
              </w:rPr>
            </w:pPr>
            <w:r>
              <w:rPr>
                <w:sz w:val="18"/>
              </w:rPr>
              <w:t>Barnaby</w:t>
            </w:r>
            <w:r>
              <w:rPr>
                <w:spacing w:val="-2"/>
                <w:sz w:val="18"/>
              </w:rPr>
              <w:t> Buttes</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8,17</w:t>
            </w:r>
          </w:p>
        </w:tc>
      </w:tr>
      <w:tr>
        <w:trPr>
          <w:trHeight w:val="493" w:hRule="atLeast"/>
        </w:trPr>
        <w:tc>
          <w:tcPr>
            <w:tcW w:w="2246" w:type="dxa"/>
          </w:tcPr>
          <w:p>
            <w:pPr>
              <w:pStyle w:val="TableParagraph"/>
              <w:spacing w:before="42"/>
              <w:ind w:left="107"/>
              <w:rPr>
                <w:sz w:val="18"/>
              </w:rPr>
            </w:pPr>
            <w:r>
              <w:rPr>
                <w:spacing w:val="-2"/>
                <w:sz w:val="18"/>
              </w:rPr>
              <w:t>Batey-Bould</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23"/>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4"/>
                <w:sz w:val="18"/>
              </w:rPr>
              <w:t>9,10</w:t>
            </w:r>
          </w:p>
        </w:tc>
      </w:tr>
      <w:tr>
        <w:trPr>
          <w:trHeight w:val="493" w:hRule="atLeast"/>
        </w:trPr>
        <w:tc>
          <w:tcPr>
            <w:tcW w:w="2246" w:type="dxa"/>
          </w:tcPr>
          <w:p>
            <w:pPr>
              <w:pStyle w:val="TableParagraph"/>
              <w:spacing w:before="42"/>
              <w:ind w:left="107"/>
              <w:rPr>
                <w:sz w:val="18"/>
              </w:rPr>
            </w:pPr>
            <w:r>
              <w:rPr>
                <w:sz w:val="18"/>
              </w:rPr>
              <w:t>Bead</w:t>
            </w:r>
            <w:r>
              <w:rPr>
                <w:spacing w:val="-2"/>
                <w:sz w:val="18"/>
              </w:rPr>
              <w:t> </w:t>
            </w:r>
            <w:r>
              <w:rPr>
                <w:spacing w:val="-4"/>
                <w:sz w:val="18"/>
              </w:rPr>
              <w:t>Lake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spacing w:line="207" w:lineRule="exact" w:before="40"/>
              <w:ind w:left="25"/>
              <w:jc w:val="center"/>
              <w:rPr>
                <w:sz w:val="18"/>
              </w:rPr>
            </w:pPr>
            <w:r>
              <w:rPr>
                <w:spacing w:val="-2"/>
                <w:sz w:val="18"/>
              </w:rPr>
              <w:t>3,4,9,10</w:t>
            </w:r>
          </w:p>
          <w:p>
            <w:pPr>
              <w:pStyle w:val="TableParagraph"/>
              <w:spacing w:line="207" w:lineRule="exact" w:before="0"/>
              <w:ind w:left="25" w:right="3"/>
              <w:jc w:val="center"/>
              <w:rPr>
                <w:sz w:val="18"/>
              </w:rPr>
            </w:pPr>
            <w:r>
              <w:rPr>
                <w:spacing w:val="-5"/>
                <w:sz w:val="18"/>
              </w:rPr>
              <w:t>,33</w:t>
            </w:r>
          </w:p>
        </w:tc>
      </w:tr>
      <w:tr>
        <w:trPr>
          <w:trHeight w:val="494" w:hRule="atLeast"/>
        </w:trPr>
        <w:tc>
          <w:tcPr>
            <w:tcW w:w="2246" w:type="dxa"/>
          </w:tcPr>
          <w:p>
            <w:pPr>
              <w:pStyle w:val="TableParagraph"/>
              <w:spacing w:before="42"/>
              <w:ind w:left="107"/>
              <w:rPr>
                <w:sz w:val="18"/>
              </w:rPr>
            </w:pPr>
            <w:r>
              <w:rPr>
                <w:sz w:val="18"/>
              </w:rPr>
              <w:t>Bead</w:t>
            </w:r>
            <w:r>
              <w:rPr>
                <w:spacing w:val="-2"/>
                <w:sz w:val="18"/>
              </w:rPr>
              <w:t> </w:t>
            </w:r>
            <w:r>
              <w:rPr>
                <w:spacing w:val="-4"/>
                <w:sz w:val="18"/>
              </w:rPr>
              <w:t>Lake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spacing w:line="207" w:lineRule="exact" w:before="40"/>
              <w:ind w:left="25"/>
              <w:jc w:val="center"/>
              <w:rPr>
                <w:sz w:val="18"/>
              </w:rPr>
            </w:pPr>
            <w:r>
              <w:rPr>
                <w:spacing w:val="-2"/>
                <w:sz w:val="18"/>
              </w:rPr>
              <w:t>3,4,27,3</w:t>
            </w:r>
          </w:p>
          <w:p>
            <w:pPr>
              <w:pStyle w:val="TableParagraph"/>
              <w:spacing w:line="207" w:lineRule="exact" w:before="0"/>
              <w:ind w:left="25" w:right="2"/>
              <w:jc w:val="center"/>
              <w:rPr>
                <w:sz w:val="18"/>
              </w:rPr>
            </w:pPr>
            <w:r>
              <w:rPr>
                <w:spacing w:val="-4"/>
                <w:sz w:val="18"/>
              </w:rPr>
              <w:t>3,34</w:t>
            </w:r>
          </w:p>
        </w:tc>
      </w:tr>
      <w:tr>
        <w:trPr>
          <w:trHeight w:val="493" w:hRule="atLeast"/>
        </w:trPr>
        <w:tc>
          <w:tcPr>
            <w:tcW w:w="2246" w:type="dxa"/>
          </w:tcPr>
          <w:p>
            <w:pPr>
              <w:pStyle w:val="TableParagraph"/>
              <w:spacing w:before="42"/>
              <w:ind w:left="107"/>
              <w:rPr>
                <w:sz w:val="18"/>
              </w:rPr>
            </w:pPr>
            <w:r>
              <w:rPr>
                <w:sz w:val="18"/>
              </w:rPr>
              <w:t>Bead</w:t>
            </w:r>
            <w:r>
              <w:rPr>
                <w:spacing w:val="-3"/>
                <w:sz w:val="18"/>
              </w:rPr>
              <w:t> </w:t>
            </w:r>
            <w:r>
              <w:rPr>
                <w:sz w:val="18"/>
              </w:rPr>
              <w:t>Lake</w:t>
            </w:r>
            <w:r>
              <w:rPr>
                <w:spacing w:val="-3"/>
                <w:sz w:val="18"/>
              </w:rPr>
              <w:t> </w:t>
            </w:r>
            <w:r>
              <w:rPr>
                <w:sz w:val="18"/>
              </w:rPr>
              <w:t>Boat</w:t>
            </w:r>
            <w:r>
              <w:rPr>
                <w:spacing w:val="-3"/>
                <w:sz w:val="18"/>
              </w:rPr>
              <w:t> </w:t>
            </w:r>
            <w:r>
              <w:rPr>
                <w:spacing w:val="-2"/>
                <w:sz w:val="18"/>
              </w:rPr>
              <w:t>Launch</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4"/>
                <w:sz w:val="18"/>
              </w:rPr>
              <w:t>9,10</w:t>
            </w:r>
          </w:p>
        </w:tc>
      </w:tr>
      <w:tr>
        <w:trPr>
          <w:trHeight w:val="493" w:hRule="atLeast"/>
        </w:trPr>
        <w:tc>
          <w:tcPr>
            <w:tcW w:w="2246" w:type="dxa"/>
          </w:tcPr>
          <w:p>
            <w:pPr>
              <w:pStyle w:val="TableParagraph"/>
              <w:spacing w:before="42"/>
              <w:ind w:left="107"/>
              <w:rPr>
                <w:sz w:val="18"/>
              </w:rPr>
            </w:pPr>
            <w:r>
              <w:rPr>
                <w:sz w:val="18"/>
              </w:rPr>
              <w:t>Bear</w:t>
            </w:r>
            <w:r>
              <w:rPr>
                <w:spacing w:val="-1"/>
                <w:sz w:val="18"/>
              </w:rPr>
              <w:t> </w:t>
            </w:r>
            <w:r>
              <w:rPr>
                <w:spacing w:val="-2"/>
                <w:sz w:val="18"/>
              </w:rPr>
              <w:t>Pasture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5"/>
                <w:sz w:val="18"/>
              </w:rPr>
              <w:t>5,6</w:t>
            </w:r>
          </w:p>
        </w:tc>
      </w:tr>
      <w:tr>
        <w:trPr>
          <w:trHeight w:val="493" w:hRule="atLeast"/>
        </w:trPr>
        <w:tc>
          <w:tcPr>
            <w:tcW w:w="2246" w:type="dxa"/>
          </w:tcPr>
          <w:p>
            <w:pPr>
              <w:pStyle w:val="TableParagraph"/>
              <w:spacing w:before="42"/>
              <w:ind w:left="107"/>
              <w:rPr>
                <w:sz w:val="18"/>
              </w:rPr>
            </w:pPr>
            <w:r>
              <w:rPr>
                <w:sz w:val="18"/>
              </w:rPr>
              <w:t>Bear</w:t>
            </w:r>
            <w:r>
              <w:rPr>
                <w:spacing w:val="-1"/>
                <w:sz w:val="18"/>
              </w:rPr>
              <w:t> </w:t>
            </w:r>
            <w:r>
              <w:rPr>
                <w:spacing w:val="-2"/>
                <w:sz w:val="18"/>
              </w:rPr>
              <w:t>Pasture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4"/>
                <w:sz w:val="18"/>
              </w:rPr>
              <w:t> </w:t>
            </w:r>
            <w:r>
              <w:rPr>
                <w:sz w:val="18"/>
              </w:rPr>
              <w:t>45 </w:t>
            </w:r>
            <w:r>
              <w:rPr>
                <w:spacing w:val="-5"/>
                <w:sz w:val="18"/>
              </w:rPr>
              <w:t>E.</w:t>
            </w:r>
          </w:p>
        </w:tc>
        <w:tc>
          <w:tcPr>
            <w:tcW w:w="900" w:type="dxa"/>
            <w:tcBorders>
              <w:left w:val="nil"/>
            </w:tcBorders>
          </w:tcPr>
          <w:p>
            <w:pPr>
              <w:pStyle w:val="TableParagraph"/>
              <w:spacing w:line="207" w:lineRule="exact" w:before="40"/>
              <w:ind w:left="25" w:right="1"/>
              <w:jc w:val="center"/>
              <w:rPr>
                <w:sz w:val="18"/>
              </w:rPr>
            </w:pPr>
            <w:r>
              <w:rPr>
                <w:spacing w:val="-2"/>
                <w:sz w:val="18"/>
              </w:rPr>
              <w:t>5,6,31,3</w:t>
            </w:r>
          </w:p>
          <w:p>
            <w:pPr>
              <w:pStyle w:val="TableParagraph"/>
              <w:spacing w:line="207" w:lineRule="exact" w:before="0"/>
              <w:ind w:left="25" w:right="6"/>
              <w:jc w:val="center"/>
              <w:rPr>
                <w:sz w:val="18"/>
              </w:rPr>
            </w:pPr>
            <w:r>
              <w:rPr>
                <w:spacing w:val="-10"/>
                <w:sz w:val="18"/>
              </w:rPr>
              <w:t>2</w:t>
            </w:r>
          </w:p>
        </w:tc>
      </w:tr>
      <w:tr>
        <w:trPr>
          <w:trHeight w:val="299" w:hRule="atLeast"/>
        </w:trPr>
        <w:tc>
          <w:tcPr>
            <w:tcW w:w="2246" w:type="dxa"/>
          </w:tcPr>
          <w:p>
            <w:pPr>
              <w:pStyle w:val="TableParagraph"/>
              <w:ind w:left="107"/>
              <w:rPr>
                <w:sz w:val="18"/>
              </w:rPr>
            </w:pPr>
            <w:r>
              <w:rPr>
                <w:spacing w:val="-2"/>
                <w:sz w:val="18"/>
              </w:rPr>
              <w:t>Bearpot</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19</w:t>
            </w:r>
          </w:p>
        </w:tc>
      </w:tr>
      <w:tr>
        <w:trPr>
          <w:trHeight w:val="301" w:hRule="atLeast"/>
        </w:trPr>
        <w:tc>
          <w:tcPr>
            <w:tcW w:w="2246" w:type="dxa"/>
          </w:tcPr>
          <w:p>
            <w:pPr>
              <w:pStyle w:val="TableParagraph"/>
              <w:spacing w:before="42"/>
              <w:ind w:left="107"/>
              <w:rPr>
                <w:sz w:val="18"/>
              </w:rPr>
            </w:pPr>
            <w:r>
              <w:rPr>
                <w:sz w:val="18"/>
              </w:rPr>
              <w:t>Big </w:t>
            </w:r>
            <w:r>
              <w:rPr>
                <w:spacing w:val="-4"/>
                <w:sz w:val="18"/>
              </w:rPr>
              <w:t>Lick</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4"/>
                <w:sz w:val="18"/>
              </w:rPr>
              <w:t>9,16</w:t>
            </w:r>
          </w:p>
        </w:tc>
      </w:tr>
      <w:tr>
        <w:trPr>
          <w:trHeight w:val="599" w:hRule="atLeast"/>
        </w:trPr>
        <w:tc>
          <w:tcPr>
            <w:tcW w:w="2246" w:type="dxa"/>
          </w:tcPr>
          <w:p>
            <w:pPr>
              <w:pStyle w:val="TableParagraph"/>
              <w:ind w:left="107"/>
              <w:rPr>
                <w:sz w:val="18"/>
              </w:rPr>
            </w:pPr>
            <w:r>
              <w:rPr>
                <w:sz w:val="18"/>
              </w:rPr>
              <w:t>Big</w:t>
            </w:r>
            <w:r>
              <w:rPr>
                <w:spacing w:val="-15"/>
                <w:sz w:val="18"/>
              </w:rPr>
              <w:t> </w:t>
            </w:r>
            <w:r>
              <w:rPr>
                <w:sz w:val="18"/>
              </w:rPr>
              <w:t>Meadow</w:t>
            </w:r>
            <w:r>
              <w:rPr>
                <w:spacing w:val="-12"/>
                <w:sz w:val="18"/>
              </w:rPr>
              <w:t> </w:t>
            </w:r>
            <w:r>
              <w:rPr>
                <w:sz w:val="18"/>
              </w:rPr>
              <w:t>Lake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522"/>
              <w:rPr>
                <w:sz w:val="18"/>
              </w:rPr>
            </w:pPr>
            <w:r>
              <w:rPr>
                <w:sz w:val="18"/>
              </w:rPr>
              <w:t>Pend</w:t>
            </w:r>
            <w:r>
              <w:rPr>
                <w:spacing w:val="-13"/>
                <w:sz w:val="18"/>
              </w:rPr>
              <w:t> </w:t>
            </w:r>
            <w:r>
              <w:rPr>
                <w:sz w:val="18"/>
              </w:rPr>
              <w:t>Oreille/Three Rivers 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41</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1,12</w:t>
            </w:r>
          </w:p>
        </w:tc>
      </w:tr>
      <w:tr>
        <w:trPr>
          <w:trHeight w:val="599" w:hRule="atLeast"/>
        </w:trPr>
        <w:tc>
          <w:tcPr>
            <w:tcW w:w="2246" w:type="dxa"/>
          </w:tcPr>
          <w:p>
            <w:pPr>
              <w:pStyle w:val="TableParagraph"/>
              <w:ind w:left="107"/>
              <w:rPr>
                <w:sz w:val="18"/>
              </w:rPr>
            </w:pPr>
            <w:r>
              <w:rPr>
                <w:sz w:val="18"/>
              </w:rPr>
              <w:t>Big</w:t>
            </w:r>
            <w:r>
              <w:rPr>
                <w:spacing w:val="-15"/>
                <w:sz w:val="18"/>
              </w:rPr>
              <w:t> </w:t>
            </w:r>
            <w:r>
              <w:rPr>
                <w:sz w:val="18"/>
              </w:rPr>
              <w:t>Meadow</w:t>
            </w:r>
            <w:r>
              <w:rPr>
                <w:spacing w:val="-12"/>
                <w:sz w:val="18"/>
              </w:rPr>
              <w:t> </w:t>
            </w:r>
            <w:r>
              <w:rPr>
                <w:sz w:val="18"/>
              </w:rPr>
              <w:t>Lake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2"/>
                <w:sz w:val="18"/>
              </w:rPr>
              <w:t>1,6,7,12</w:t>
            </w:r>
          </w:p>
        </w:tc>
      </w:tr>
      <w:tr>
        <w:trPr>
          <w:trHeight w:val="299" w:hRule="atLeast"/>
        </w:trPr>
        <w:tc>
          <w:tcPr>
            <w:tcW w:w="2246" w:type="dxa"/>
          </w:tcPr>
          <w:p>
            <w:pPr>
              <w:pStyle w:val="TableParagraph"/>
              <w:ind w:left="107"/>
              <w:rPr>
                <w:sz w:val="18"/>
              </w:rPr>
            </w:pPr>
            <w:r>
              <w:rPr>
                <w:sz w:val="18"/>
              </w:rPr>
              <w:t>Boulder</w:t>
            </w:r>
            <w:r>
              <w:rPr>
                <w:spacing w:val="-4"/>
                <w:sz w:val="18"/>
              </w:rPr>
              <w:t> </w:t>
            </w:r>
            <w:r>
              <w:rPr>
                <w:sz w:val="18"/>
              </w:rPr>
              <w:t>Deer</w:t>
            </w:r>
            <w:r>
              <w:rPr>
                <w:spacing w:val="-2"/>
                <w:sz w:val="18"/>
              </w:rPr>
              <w:t> Summit</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20,21</w:t>
            </w:r>
          </w:p>
        </w:tc>
      </w:tr>
      <w:tr>
        <w:trPr>
          <w:trHeight w:val="493" w:hRule="atLeast"/>
        </w:trPr>
        <w:tc>
          <w:tcPr>
            <w:tcW w:w="2246" w:type="dxa"/>
          </w:tcPr>
          <w:p>
            <w:pPr>
              <w:pStyle w:val="TableParagraph"/>
              <w:ind w:left="107"/>
              <w:rPr>
                <w:sz w:val="18"/>
              </w:rPr>
            </w:pPr>
            <w:r>
              <w:rPr>
                <w:sz w:val="18"/>
              </w:rPr>
              <w:t>Boundary</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1</w:t>
            </w:r>
          </w:p>
        </w:tc>
      </w:tr>
      <w:tr>
        <w:trPr>
          <w:trHeight w:val="494" w:hRule="atLeast"/>
        </w:trPr>
        <w:tc>
          <w:tcPr>
            <w:tcW w:w="2246" w:type="dxa"/>
          </w:tcPr>
          <w:p>
            <w:pPr>
              <w:pStyle w:val="TableParagraph"/>
              <w:ind w:left="107"/>
              <w:rPr>
                <w:sz w:val="18"/>
              </w:rPr>
            </w:pPr>
            <w:r>
              <w:rPr>
                <w:sz w:val="18"/>
              </w:rPr>
              <w:t>Boundary</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4"/>
              <w:jc w:val="center"/>
              <w:rPr>
                <w:sz w:val="18"/>
              </w:rPr>
            </w:pPr>
            <w:r>
              <w:rPr>
                <w:spacing w:val="-5"/>
                <w:sz w:val="18"/>
              </w:rPr>
              <w:t>1,6</w:t>
            </w:r>
          </w:p>
        </w:tc>
      </w:tr>
      <w:tr>
        <w:trPr>
          <w:trHeight w:val="493" w:hRule="atLeast"/>
        </w:trPr>
        <w:tc>
          <w:tcPr>
            <w:tcW w:w="2246" w:type="dxa"/>
          </w:tcPr>
          <w:p>
            <w:pPr>
              <w:pStyle w:val="TableParagraph"/>
              <w:ind w:left="107"/>
              <w:rPr>
                <w:sz w:val="18"/>
              </w:rPr>
            </w:pPr>
            <w:r>
              <w:rPr>
                <w:sz w:val="18"/>
              </w:rPr>
              <w:t>Browns</w:t>
            </w:r>
            <w:r>
              <w:rPr>
                <w:spacing w:val="-5"/>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34</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line="207" w:lineRule="exact"/>
              <w:ind w:left="25" w:right="3"/>
              <w:jc w:val="center"/>
              <w:rPr>
                <w:sz w:val="18"/>
              </w:rPr>
            </w:pPr>
            <w:r>
              <w:rPr>
                <w:spacing w:val="-2"/>
                <w:sz w:val="18"/>
              </w:rPr>
              <w:t>13,14,2</w:t>
            </w:r>
          </w:p>
          <w:p>
            <w:pPr>
              <w:pStyle w:val="TableParagraph"/>
              <w:spacing w:line="207" w:lineRule="exact" w:before="0"/>
              <w:ind w:left="25" w:right="3"/>
              <w:jc w:val="center"/>
              <w:rPr>
                <w:sz w:val="18"/>
              </w:rPr>
            </w:pPr>
            <w:r>
              <w:rPr>
                <w:spacing w:val="-4"/>
                <w:sz w:val="18"/>
              </w:rPr>
              <w:t>3,24</w:t>
            </w:r>
          </w:p>
        </w:tc>
      </w:tr>
      <w:tr>
        <w:trPr>
          <w:trHeight w:val="493" w:hRule="atLeast"/>
        </w:trPr>
        <w:tc>
          <w:tcPr>
            <w:tcW w:w="2246" w:type="dxa"/>
          </w:tcPr>
          <w:p>
            <w:pPr>
              <w:pStyle w:val="TableParagraph"/>
              <w:ind w:left="107" w:right="1081"/>
              <w:rPr>
                <w:sz w:val="18"/>
              </w:rPr>
            </w:pPr>
            <w:r>
              <w:rPr>
                <w:sz w:val="18"/>
              </w:rPr>
              <w:t>Browns</w:t>
            </w:r>
            <w:r>
              <w:rPr>
                <w:spacing w:val="-13"/>
                <w:sz w:val="18"/>
              </w:rPr>
              <w:t> </w:t>
            </w:r>
            <w:r>
              <w:rPr>
                <w:sz w:val="18"/>
              </w:rPr>
              <w:t>Lake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34</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23,24</w:t>
            </w:r>
          </w:p>
        </w:tc>
      </w:tr>
      <w:tr>
        <w:trPr>
          <w:trHeight w:val="299" w:hRule="atLeast"/>
        </w:trPr>
        <w:tc>
          <w:tcPr>
            <w:tcW w:w="2246" w:type="dxa"/>
          </w:tcPr>
          <w:p>
            <w:pPr>
              <w:pStyle w:val="TableParagraph"/>
              <w:ind w:left="107"/>
              <w:rPr>
                <w:sz w:val="18"/>
              </w:rPr>
            </w:pPr>
            <w:r>
              <w:rPr>
                <w:sz w:val="18"/>
              </w:rPr>
              <w:t>Canyon</w:t>
            </w:r>
            <w:r>
              <w:rPr>
                <w:spacing w:val="-4"/>
                <w:sz w:val="18"/>
              </w:rPr>
              <w:t> </w:t>
            </w:r>
            <w:r>
              <w:rPr>
                <w:spacing w:val="-2"/>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35</w:t>
            </w:r>
          </w:p>
        </w:tc>
      </w:tr>
      <w:tr>
        <w:trPr>
          <w:trHeight w:val="493" w:hRule="atLeast"/>
        </w:trPr>
        <w:tc>
          <w:tcPr>
            <w:tcW w:w="2246" w:type="dxa"/>
          </w:tcPr>
          <w:p>
            <w:pPr>
              <w:pStyle w:val="TableParagraph"/>
              <w:ind w:left="107" w:right="971"/>
              <w:rPr>
                <w:sz w:val="18"/>
              </w:rPr>
            </w:pPr>
            <w:r>
              <w:rPr>
                <w:sz w:val="18"/>
              </w:rPr>
              <w:t>Canyon</w:t>
            </w:r>
            <w:r>
              <w:rPr>
                <w:spacing w:val="-13"/>
                <w:sz w:val="18"/>
              </w:rPr>
              <w:t> </w:t>
            </w:r>
            <w:r>
              <w:rPr>
                <w:sz w:val="18"/>
              </w:rPr>
              <w:t>Creek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35,36</w:t>
            </w:r>
          </w:p>
        </w:tc>
      </w:tr>
      <w:tr>
        <w:trPr>
          <w:trHeight w:val="494" w:hRule="atLeast"/>
        </w:trPr>
        <w:tc>
          <w:tcPr>
            <w:tcW w:w="2246" w:type="dxa"/>
          </w:tcPr>
          <w:p>
            <w:pPr>
              <w:pStyle w:val="TableParagraph"/>
              <w:ind w:left="107"/>
              <w:rPr>
                <w:sz w:val="18"/>
              </w:rPr>
            </w:pPr>
            <w:r>
              <w:rPr>
                <w:sz w:val="18"/>
              </w:rPr>
              <w:t>Chewelah</w:t>
            </w:r>
            <w:r>
              <w:rPr>
                <w:spacing w:val="-5"/>
                <w:sz w:val="18"/>
              </w:rPr>
              <w:t> </w:t>
            </w:r>
            <w:r>
              <w:rPr>
                <w:spacing w:val="-4"/>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41</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5"/>
                <w:sz w:val="18"/>
              </w:rPr>
              <w:t>4,9</w:t>
            </w:r>
          </w:p>
        </w:tc>
      </w:tr>
    </w:tbl>
    <w:p>
      <w:pPr>
        <w:pStyle w:val="TableParagraph"/>
        <w:spacing w:after="0"/>
        <w:jc w:val="center"/>
        <w:rPr>
          <w:sz w:val="18"/>
        </w:rPr>
        <w:sectPr>
          <w:pgSz w:w="12240" w:h="15840"/>
          <w:pgMar w:header="725" w:footer="891" w:top="1420" w:bottom="1420" w:left="1080" w:right="1080"/>
        </w:sectPr>
      </w:pPr>
    </w:p>
    <w:tbl>
      <w:tblPr>
        <w:tblW w:w="0" w:type="auto"/>
        <w:jc w:val="left"/>
        <w:tblInd w:w="801"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9"/>
        <w:gridCol w:w="920"/>
        <w:gridCol w:w="897"/>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6"/>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9" w:type="dxa"/>
            <w:tcBorders>
              <w:right w:val="nil"/>
            </w:tcBorders>
            <w:shd w:val="clear" w:color="auto" w:fill="D5E2BB"/>
          </w:tcPr>
          <w:p>
            <w:pPr>
              <w:pStyle w:val="TableParagraph"/>
              <w:ind w:left="28"/>
              <w:jc w:val="center"/>
              <w:rPr>
                <w:b/>
                <w:sz w:val="18"/>
              </w:rPr>
            </w:pPr>
            <w:r>
              <w:rPr>
                <w:b/>
                <w:spacing w:val="-2"/>
                <w:sz w:val="18"/>
              </w:rPr>
              <w:t>Township</w:t>
            </w:r>
          </w:p>
        </w:tc>
        <w:tc>
          <w:tcPr>
            <w:tcW w:w="920" w:type="dxa"/>
            <w:tcBorders>
              <w:left w:val="nil"/>
              <w:right w:val="nil"/>
            </w:tcBorders>
            <w:shd w:val="clear" w:color="auto" w:fill="D5E2BB"/>
          </w:tcPr>
          <w:p>
            <w:pPr>
              <w:pStyle w:val="TableParagraph"/>
              <w:ind w:left="40"/>
              <w:jc w:val="center"/>
              <w:rPr>
                <w:b/>
                <w:sz w:val="18"/>
              </w:rPr>
            </w:pPr>
            <w:r>
              <w:rPr>
                <w:b/>
                <w:spacing w:val="-2"/>
                <w:sz w:val="18"/>
              </w:rPr>
              <w:t>Range</w:t>
            </w:r>
          </w:p>
        </w:tc>
        <w:tc>
          <w:tcPr>
            <w:tcW w:w="897" w:type="dxa"/>
            <w:tcBorders>
              <w:left w:val="nil"/>
            </w:tcBorders>
            <w:shd w:val="clear" w:color="auto" w:fill="D5E2BB"/>
          </w:tcPr>
          <w:p>
            <w:pPr>
              <w:pStyle w:val="TableParagraph"/>
              <w:ind w:left="28"/>
              <w:jc w:val="center"/>
              <w:rPr>
                <w:b/>
                <w:sz w:val="18"/>
              </w:rPr>
            </w:pPr>
            <w:r>
              <w:rPr>
                <w:b/>
                <w:spacing w:val="-2"/>
                <w:sz w:val="18"/>
              </w:rPr>
              <w:t>Section</w:t>
            </w:r>
          </w:p>
        </w:tc>
      </w:tr>
      <w:tr>
        <w:trPr>
          <w:trHeight w:val="494" w:hRule="atLeast"/>
        </w:trPr>
        <w:tc>
          <w:tcPr>
            <w:tcW w:w="2246" w:type="dxa"/>
          </w:tcPr>
          <w:p>
            <w:pPr>
              <w:pStyle w:val="TableParagraph"/>
              <w:ind w:left="107"/>
              <w:rPr>
                <w:sz w:val="18"/>
              </w:rPr>
            </w:pPr>
            <w:r>
              <w:rPr>
                <w:sz w:val="18"/>
              </w:rPr>
              <w:t>Chewelah</w:t>
            </w:r>
            <w:r>
              <w:rPr>
                <w:spacing w:val="-2"/>
                <w:sz w:val="18"/>
              </w:rPr>
              <w:t> </w:t>
            </w:r>
            <w:r>
              <w:rPr>
                <w:sz w:val="18"/>
              </w:rPr>
              <w:t>Ski</w:t>
            </w:r>
            <w:r>
              <w:rPr>
                <w:spacing w:val="-5"/>
                <w:sz w:val="18"/>
              </w:rPr>
              <w:t> </w:t>
            </w:r>
            <w:r>
              <w:rPr>
                <w:spacing w:val="-4"/>
                <w:sz w:val="18"/>
              </w:rPr>
              <w:t>Area</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spacing w:line="207" w:lineRule="exact"/>
              <w:ind w:left="28"/>
              <w:jc w:val="center"/>
              <w:rPr>
                <w:sz w:val="18"/>
              </w:rPr>
            </w:pPr>
            <w:r>
              <w:rPr>
                <w:spacing w:val="-2"/>
                <w:sz w:val="18"/>
              </w:rPr>
              <w:t>2,3,10,1</w:t>
            </w:r>
          </w:p>
          <w:p>
            <w:pPr>
              <w:pStyle w:val="TableParagraph"/>
              <w:spacing w:line="207" w:lineRule="exact" w:before="0"/>
              <w:ind w:left="28" w:right="5"/>
              <w:jc w:val="center"/>
              <w:rPr>
                <w:sz w:val="18"/>
              </w:rPr>
            </w:pPr>
            <w:r>
              <w:rPr>
                <w:spacing w:val="-10"/>
                <w:sz w:val="18"/>
              </w:rPr>
              <w:t>1</w:t>
            </w:r>
          </w:p>
        </w:tc>
      </w:tr>
      <w:tr>
        <w:trPr>
          <w:trHeight w:val="494" w:hRule="atLeast"/>
        </w:trPr>
        <w:tc>
          <w:tcPr>
            <w:tcW w:w="2246" w:type="dxa"/>
          </w:tcPr>
          <w:p>
            <w:pPr>
              <w:pStyle w:val="TableParagraph"/>
              <w:ind w:left="107"/>
              <w:rPr>
                <w:sz w:val="18"/>
              </w:rPr>
            </w:pPr>
            <w:r>
              <w:rPr>
                <w:spacing w:val="-2"/>
                <w:sz w:val="18"/>
              </w:rPr>
              <w:t>Comstock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40</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17,18</w:t>
            </w:r>
          </w:p>
        </w:tc>
      </w:tr>
      <w:tr>
        <w:trPr>
          <w:trHeight w:val="493" w:hRule="atLeast"/>
        </w:trPr>
        <w:tc>
          <w:tcPr>
            <w:tcW w:w="2246" w:type="dxa"/>
          </w:tcPr>
          <w:p>
            <w:pPr>
              <w:pStyle w:val="TableParagraph"/>
              <w:ind w:left="107"/>
              <w:rPr>
                <w:sz w:val="18"/>
              </w:rPr>
            </w:pPr>
            <w:r>
              <w:rPr>
                <w:sz w:val="18"/>
              </w:rPr>
              <w:t>Cooks</w:t>
            </w:r>
            <w:r>
              <w:rPr>
                <w:spacing w:val="-3"/>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24</w:t>
            </w:r>
          </w:p>
        </w:tc>
      </w:tr>
      <w:tr>
        <w:trPr>
          <w:trHeight w:val="494" w:hRule="atLeast"/>
        </w:trPr>
        <w:tc>
          <w:tcPr>
            <w:tcW w:w="2246" w:type="dxa"/>
          </w:tcPr>
          <w:p>
            <w:pPr>
              <w:pStyle w:val="TableParagraph"/>
              <w:ind w:left="107"/>
              <w:rPr>
                <w:sz w:val="18"/>
              </w:rPr>
            </w:pPr>
            <w:r>
              <w:rPr>
                <w:sz w:val="18"/>
              </w:rPr>
              <w:t>Cooks</w:t>
            </w:r>
            <w:r>
              <w:rPr>
                <w:spacing w:val="-3"/>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19,24</w:t>
            </w:r>
          </w:p>
        </w:tc>
      </w:tr>
      <w:tr>
        <w:trPr>
          <w:trHeight w:val="299" w:hRule="atLeast"/>
        </w:trPr>
        <w:tc>
          <w:tcPr>
            <w:tcW w:w="2246" w:type="dxa"/>
          </w:tcPr>
          <w:p>
            <w:pPr>
              <w:pStyle w:val="TableParagraph"/>
              <w:ind w:left="107"/>
              <w:rPr>
                <w:sz w:val="18"/>
              </w:rPr>
            </w:pPr>
            <w:r>
              <w:rPr>
                <w:spacing w:val="-2"/>
                <w:sz w:val="18"/>
              </w:rPr>
              <w:t>Cougar</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28</w:t>
            </w:r>
          </w:p>
        </w:tc>
      </w:tr>
      <w:tr>
        <w:trPr>
          <w:trHeight w:val="493" w:hRule="atLeast"/>
        </w:trPr>
        <w:tc>
          <w:tcPr>
            <w:tcW w:w="2246" w:type="dxa"/>
          </w:tcPr>
          <w:p>
            <w:pPr>
              <w:pStyle w:val="TableParagraph"/>
              <w:ind w:left="107"/>
              <w:rPr>
                <w:sz w:val="18"/>
              </w:rPr>
            </w:pPr>
            <w:r>
              <w:rPr>
                <w:sz w:val="18"/>
              </w:rPr>
              <w:t>Crescent</w:t>
            </w:r>
            <w:r>
              <w:rPr>
                <w:spacing w:val="-3"/>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4"/>
                <w:sz w:val="18"/>
              </w:rPr>
              <w:t>1,12</w:t>
            </w:r>
          </w:p>
        </w:tc>
      </w:tr>
      <w:tr>
        <w:trPr>
          <w:trHeight w:val="494" w:hRule="atLeast"/>
        </w:trPr>
        <w:tc>
          <w:tcPr>
            <w:tcW w:w="2246" w:type="dxa"/>
          </w:tcPr>
          <w:p>
            <w:pPr>
              <w:pStyle w:val="TableParagraph"/>
              <w:ind w:left="107" w:right="121"/>
              <w:rPr>
                <w:sz w:val="18"/>
              </w:rPr>
            </w:pPr>
            <w:r>
              <w:rPr>
                <w:sz w:val="18"/>
              </w:rPr>
              <w:t>Crescent</w:t>
            </w:r>
            <w:r>
              <w:rPr>
                <w:spacing w:val="-15"/>
                <w:sz w:val="18"/>
              </w:rPr>
              <w:t> </w:t>
            </w:r>
            <w:r>
              <w:rPr>
                <w:sz w:val="18"/>
              </w:rPr>
              <w:t>Lake</w:t>
            </w:r>
            <w:r>
              <w:rPr>
                <w:spacing w:val="-12"/>
                <w:sz w:val="18"/>
              </w:rPr>
              <w:t> </w:t>
            </w:r>
            <w:r>
              <w:rPr>
                <w:sz w:val="18"/>
              </w:rPr>
              <w:t>Picnic </w:t>
            </w:r>
            <w:r>
              <w:rPr>
                <w:spacing w:val="-4"/>
                <w:sz w:val="18"/>
              </w:rPr>
              <w:t>Area</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4"/>
                <w:sz w:val="18"/>
              </w:rPr>
              <w:t>1,12</w:t>
            </w:r>
          </w:p>
        </w:tc>
      </w:tr>
      <w:tr>
        <w:trPr>
          <w:trHeight w:val="493" w:hRule="atLeast"/>
        </w:trPr>
        <w:tc>
          <w:tcPr>
            <w:tcW w:w="2246" w:type="dxa"/>
          </w:tcPr>
          <w:p>
            <w:pPr>
              <w:pStyle w:val="TableParagraph"/>
              <w:ind w:left="107"/>
              <w:rPr>
                <w:sz w:val="18"/>
              </w:rPr>
            </w:pPr>
            <w:r>
              <w:rPr>
                <w:sz w:val="18"/>
              </w:rPr>
              <w:t>Crowell</w:t>
            </w:r>
            <w:r>
              <w:rPr>
                <w:spacing w:val="-5"/>
                <w:sz w:val="18"/>
              </w:rPr>
              <w:t> </w:t>
            </w:r>
            <w:r>
              <w:rPr>
                <w:spacing w:val="-2"/>
                <w:sz w:val="18"/>
              </w:rPr>
              <w:t>Ridge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16</w:t>
            </w:r>
          </w:p>
        </w:tc>
      </w:tr>
      <w:tr>
        <w:trPr>
          <w:trHeight w:val="299" w:hRule="atLeast"/>
        </w:trPr>
        <w:tc>
          <w:tcPr>
            <w:tcW w:w="2246" w:type="dxa"/>
          </w:tcPr>
          <w:p>
            <w:pPr>
              <w:pStyle w:val="TableParagraph"/>
              <w:ind w:left="107"/>
              <w:rPr>
                <w:sz w:val="18"/>
              </w:rPr>
            </w:pPr>
            <w:r>
              <w:rPr>
                <w:sz w:val="18"/>
              </w:rPr>
              <w:t>Davis</w:t>
            </w:r>
            <w:r>
              <w:rPr>
                <w:spacing w:val="-4"/>
                <w:sz w:val="18"/>
              </w:rPr>
              <w:t> 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4"/>
                <w:sz w:val="18"/>
              </w:rPr>
              <w:t>3,34</w:t>
            </w:r>
          </w:p>
        </w:tc>
      </w:tr>
      <w:tr>
        <w:trPr>
          <w:trHeight w:val="299" w:hRule="atLeast"/>
        </w:trPr>
        <w:tc>
          <w:tcPr>
            <w:tcW w:w="2246" w:type="dxa"/>
          </w:tcPr>
          <w:p>
            <w:pPr>
              <w:pStyle w:val="TableParagraph"/>
              <w:ind w:left="107"/>
              <w:rPr>
                <w:sz w:val="18"/>
              </w:rPr>
            </w:pPr>
            <w:r>
              <w:rPr>
                <w:sz w:val="18"/>
              </w:rPr>
              <w:t>Davis</w:t>
            </w:r>
            <w:r>
              <w:rPr>
                <w:spacing w:val="-4"/>
                <w:sz w:val="18"/>
              </w:rPr>
              <w:t> 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34</w:t>
            </w:r>
          </w:p>
        </w:tc>
      </w:tr>
      <w:tr>
        <w:trPr>
          <w:trHeight w:val="301" w:hRule="atLeast"/>
        </w:trPr>
        <w:tc>
          <w:tcPr>
            <w:tcW w:w="2246" w:type="dxa"/>
          </w:tcPr>
          <w:p>
            <w:pPr>
              <w:pStyle w:val="TableParagraph"/>
              <w:spacing w:before="42"/>
              <w:ind w:left="107"/>
              <w:rPr>
                <w:sz w:val="18"/>
              </w:rPr>
            </w:pPr>
            <w:r>
              <w:rPr>
                <w:sz w:val="18"/>
              </w:rPr>
              <w:t>Davis</w:t>
            </w:r>
            <w:r>
              <w:rPr>
                <w:spacing w:val="-3"/>
                <w:sz w:val="18"/>
              </w:rPr>
              <w:t> </w:t>
            </w:r>
            <w:r>
              <w:rPr>
                <w:sz w:val="18"/>
              </w:rPr>
              <w:t>Lake</w:t>
            </w:r>
            <w:r>
              <w:rPr>
                <w:spacing w:val="-3"/>
                <w:sz w:val="18"/>
              </w:rPr>
              <w:t> </w:t>
            </w:r>
            <w:r>
              <w:rPr>
                <w:spacing w:val="-2"/>
                <w:sz w:val="18"/>
              </w:rPr>
              <w:t>Campground</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spacing w:before="42"/>
              <w:ind w:left="28" w:right="2"/>
              <w:jc w:val="center"/>
              <w:rPr>
                <w:sz w:val="18"/>
              </w:rPr>
            </w:pPr>
            <w:r>
              <w:rPr>
                <w:spacing w:val="-4"/>
                <w:sz w:val="18"/>
              </w:rPr>
              <w:t>3,34</w:t>
            </w:r>
          </w:p>
        </w:tc>
      </w:tr>
      <w:tr>
        <w:trPr>
          <w:trHeight w:val="299" w:hRule="atLeast"/>
        </w:trPr>
        <w:tc>
          <w:tcPr>
            <w:tcW w:w="2246" w:type="dxa"/>
          </w:tcPr>
          <w:p>
            <w:pPr>
              <w:pStyle w:val="TableParagraph"/>
              <w:ind w:left="107"/>
              <w:rPr>
                <w:sz w:val="18"/>
              </w:rPr>
            </w:pPr>
            <w:r>
              <w:rPr>
                <w:sz w:val="18"/>
              </w:rPr>
              <w:t>Davis</w:t>
            </w:r>
            <w:r>
              <w:rPr>
                <w:spacing w:val="-3"/>
                <w:sz w:val="18"/>
              </w:rPr>
              <w:t> </w:t>
            </w:r>
            <w:r>
              <w:rPr>
                <w:sz w:val="18"/>
              </w:rPr>
              <w:t>Lake</w:t>
            </w:r>
            <w:r>
              <w:rPr>
                <w:spacing w:val="-3"/>
                <w:sz w:val="18"/>
              </w:rPr>
              <w:t>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34</w:t>
            </w:r>
          </w:p>
        </w:tc>
      </w:tr>
      <w:tr>
        <w:trPr>
          <w:trHeight w:val="299" w:hRule="atLeast"/>
        </w:trPr>
        <w:tc>
          <w:tcPr>
            <w:tcW w:w="2246" w:type="dxa"/>
          </w:tcPr>
          <w:p>
            <w:pPr>
              <w:pStyle w:val="TableParagraph"/>
              <w:ind w:left="107"/>
              <w:rPr>
                <w:sz w:val="18"/>
              </w:rPr>
            </w:pPr>
            <w:r>
              <w:rPr>
                <w:sz w:val="18"/>
              </w:rPr>
              <w:t>Deer</w:t>
            </w:r>
            <w:r>
              <w:rPr>
                <w:spacing w:val="-3"/>
                <w:sz w:val="18"/>
              </w:rPr>
              <w:t> </w:t>
            </w:r>
            <w:r>
              <w:rPr>
                <w:spacing w:val="-2"/>
                <w:sz w:val="18"/>
              </w:rPr>
              <w:t>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20</w:t>
            </w:r>
          </w:p>
        </w:tc>
      </w:tr>
      <w:tr>
        <w:trPr>
          <w:trHeight w:val="299" w:hRule="atLeast"/>
        </w:trPr>
        <w:tc>
          <w:tcPr>
            <w:tcW w:w="2246" w:type="dxa"/>
          </w:tcPr>
          <w:p>
            <w:pPr>
              <w:pStyle w:val="TableParagraph"/>
              <w:ind w:left="107"/>
              <w:rPr>
                <w:sz w:val="18"/>
              </w:rPr>
            </w:pPr>
            <w:r>
              <w:rPr>
                <w:sz w:val="18"/>
              </w:rPr>
              <w:t>Deer</w:t>
            </w:r>
            <w:r>
              <w:rPr>
                <w:spacing w:val="-3"/>
                <w:sz w:val="18"/>
              </w:rPr>
              <w:t> </w:t>
            </w:r>
            <w:r>
              <w:rPr>
                <w:sz w:val="18"/>
              </w:rPr>
              <w:t>Creek</w:t>
            </w:r>
            <w:r>
              <w:rPr>
                <w:spacing w:val="-2"/>
                <w:sz w:val="18"/>
              </w:rPr>
              <w:t> </w:t>
            </w:r>
            <w:r>
              <w:rPr>
                <w:sz w:val="18"/>
              </w:rPr>
              <w:t>Forest</w:t>
            </w:r>
            <w:r>
              <w:rPr>
                <w:spacing w:val="-2"/>
                <w:sz w:val="18"/>
              </w:rPr>
              <w:t> </w:t>
            </w:r>
            <w:r>
              <w:rPr>
                <w:spacing w:val="-4"/>
                <w:sz w:val="18"/>
              </w:rPr>
              <w:t>Camp</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20,21</w:t>
            </w:r>
          </w:p>
        </w:tc>
      </w:tr>
      <w:tr>
        <w:trPr>
          <w:trHeight w:val="493" w:hRule="atLeast"/>
        </w:trPr>
        <w:tc>
          <w:tcPr>
            <w:tcW w:w="2246" w:type="dxa"/>
          </w:tcPr>
          <w:p>
            <w:pPr>
              <w:pStyle w:val="TableParagraph"/>
              <w:ind w:left="107"/>
              <w:rPr>
                <w:sz w:val="18"/>
              </w:rPr>
            </w:pPr>
            <w:r>
              <w:rPr>
                <w:sz w:val="18"/>
              </w:rPr>
              <w:t>East </w:t>
            </w:r>
            <w:r>
              <w:rPr>
                <w:spacing w:val="-2"/>
                <w:sz w:val="18"/>
              </w:rPr>
              <w:t>Sullivan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2"/>
                <w:sz w:val="18"/>
              </w:rPr>
              <w:t>31,32</w:t>
            </w:r>
          </w:p>
        </w:tc>
      </w:tr>
      <w:tr>
        <w:trPr>
          <w:trHeight w:val="299" w:hRule="atLeast"/>
        </w:trPr>
        <w:tc>
          <w:tcPr>
            <w:tcW w:w="2246" w:type="dxa"/>
          </w:tcPr>
          <w:p>
            <w:pPr>
              <w:pStyle w:val="TableParagraph"/>
              <w:ind w:left="107"/>
              <w:rPr>
                <w:sz w:val="18"/>
              </w:rPr>
            </w:pPr>
            <w:r>
              <w:rPr>
                <w:sz w:val="18"/>
              </w:rPr>
              <w:t>Edds </w:t>
            </w:r>
            <w:r>
              <w:rPr>
                <w:spacing w:val="-5"/>
                <w:sz w:val="18"/>
              </w:rPr>
              <w:t>Mtn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5"/>
                <w:sz w:val="18"/>
              </w:rPr>
              <w:t>4,5</w:t>
            </w:r>
          </w:p>
        </w:tc>
      </w:tr>
      <w:tr>
        <w:trPr>
          <w:trHeight w:val="299" w:hRule="atLeast"/>
        </w:trPr>
        <w:tc>
          <w:tcPr>
            <w:tcW w:w="2246" w:type="dxa"/>
          </w:tcPr>
          <w:p>
            <w:pPr>
              <w:pStyle w:val="TableParagraph"/>
              <w:ind w:left="107"/>
              <w:rPr>
                <w:sz w:val="18"/>
              </w:rPr>
            </w:pPr>
            <w:r>
              <w:rPr>
                <w:sz w:val="18"/>
              </w:rPr>
              <w:t>Edds </w:t>
            </w:r>
            <w:r>
              <w:rPr>
                <w:spacing w:val="-5"/>
                <w:sz w:val="18"/>
              </w:rPr>
              <w:t>Mtn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2"/>
                <w:sz w:val="18"/>
              </w:rPr>
              <w:t>4,5,33</w:t>
            </w:r>
          </w:p>
        </w:tc>
      </w:tr>
      <w:tr>
        <w:trPr>
          <w:trHeight w:val="493" w:hRule="atLeast"/>
        </w:trPr>
        <w:tc>
          <w:tcPr>
            <w:tcW w:w="2246" w:type="dxa"/>
          </w:tcPr>
          <w:p>
            <w:pPr>
              <w:pStyle w:val="TableParagraph"/>
              <w:spacing w:before="42"/>
              <w:ind w:left="107"/>
              <w:rPr>
                <w:sz w:val="18"/>
              </w:rPr>
            </w:pPr>
            <w:r>
              <w:rPr>
                <w:sz w:val="18"/>
              </w:rPr>
              <w:t>Edgewater</w:t>
            </w:r>
            <w:r>
              <w:rPr>
                <w:spacing w:val="-4"/>
                <w:sz w:val="18"/>
              </w:rPr>
              <w:t> </w:t>
            </w:r>
            <w:r>
              <w:rPr>
                <w:spacing w:val="-2"/>
                <w:sz w:val="18"/>
              </w:rPr>
              <w:t>Campground</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spacing w:line="207" w:lineRule="exact" w:before="40"/>
              <w:ind w:left="28" w:right="3"/>
              <w:jc w:val="center"/>
              <w:rPr>
                <w:sz w:val="18"/>
              </w:rPr>
            </w:pPr>
            <w:r>
              <w:rPr>
                <w:spacing w:val="-2"/>
                <w:sz w:val="18"/>
              </w:rPr>
              <w:t>29,30,3</w:t>
            </w:r>
          </w:p>
          <w:p>
            <w:pPr>
              <w:pStyle w:val="TableParagraph"/>
              <w:spacing w:line="207" w:lineRule="exact" w:before="0"/>
              <w:ind w:left="28" w:right="3"/>
              <w:jc w:val="center"/>
              <w:rPr>
                <w:sz w:val="18"/>
              </w:rPr>
            </w:pPr>
            <w:r>
              <w:rPr>
                <w:spacing w:val="-4"/>
                <w:sz w:val="18"/>
              </w:rPr>
              <w:t>1,32</w:t>
            </w:r>
          </w:p>
        </w:tc>
      </w:tr>
      <w:tr>
        <w:trPr>
          <w:trHeight w:val="493" w:hRule="atLeast"/>
        </w:trPr>
        <w:tc>
          <w:tcPr>
            <w:tcW w:w="2246" w:type="dxa"/>
          </w:tcPr>
          <w:p>
            <w:pPr>
              <w:pStyle w:val="TableParagraph"/>
              <w:spacing w:before="42"/>
              <w:ind w:left="107"/>
              <w:rPr>
                <w:sz w:val="18"/>
              </w:rPr>
            </w:pPr>
            <w:r>
              <w:rPr>
                <w:sz w:val="18"/>
              </w:rPr>
              <w:t>Elbow</w:t>
            </w:r>
            <w:r>
              <w:rPr>
                <w:spacing w:val="-4"/>
                <w:sz w:val="18"/>
              </w:rPr>
              <w:t> Lake</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38</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21</w:t>
            </w:r>
          </w:p>
        </w:tc>
      </w:tr>
      <w:tr>
        <w:trPr>
          <w:trHeight w:val="493" w:hRule="atLeast"/>
        </w:trPr>
        <w:tc>
          <w:tcPr>
            <w:tcW w:w="2246" w:type="dxa"/>
          </w:tcPr>
          <w:p>
            <w:pPr>
              <w:pStyle w:val="TableParagraph"/>
              <w:spacing w:before="42"/>
              <w:ind w:left="107"/>
              <w:rPr>
                <w:sz w:val="18"/>
              </w:rPr>
            </w:pPr>
            <w:r>
              <w:rPr>
                <w:sz w:val="18"/>
              </w:rPr>
              <w:t>Elk</w:t>
            </w:r>
            <w:r>
              <w:rPr>
                <w:spacing w:val="-2"/>
                <w:sz w:val="18"/>
              </w:rPr>
              <w:t> Creek</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spacing w:before="42"/>
              <w:ind w:left="28" w:right="3"/>
              <w:jc w:val="center"/>
              <w:rPr>
                <w:sz w:val="18"/>
              </w:rPr>
            </w:pPr>
            <w:r>
              <w:rPr>
                <w:spacing w:val="-2"/>
                <w:sz w:val="18"/>
              </w:rPr>
              <w:t>24,25</w:t>
            </w:r>
          </w:p>
        </w:tc>
      </w:tr>
      <w:tr>
        <w:trPr>
          <w:trHeight w:val="494" w:hRule="atLeast"/>
        </w:trPr>
        <w:tc>
          <w:tcPr>
            <w:tcW w:w="2246" w:type="dxa"/>
          </w:tcPr>
          <w:p>
            <w:pPr>
              <w:pStyle w:val="TableParagraph"/>
              <w:ind w:left="107"/>
              <w:rPr>
                <w:sz w:val="18"/>
              </w:rPr>
            </w:pPr>
            <w:r>
              <w:rPr>
                <w:sz w:val="18"/>
              </w:rPr>
              <w:t>Elk</w:t>
            </w:r>
            <w:r>
              <w:rPr>
                <w:spacing w:val="-2"/>
                <w:sz w:val="18"/>
              </w:rPr>
              <w:t> 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spacing w:line="207" w:lineRule="exact"/>
              <w:ind w:left="28" w:right="3"/>
              <w:jc w:val="center"/>
              <w:rPr>
                <w:sz w:val="18"/>
              </w:rPr>
            </w:pPr>
            <w:r>
              <w:rPr>
                <w:spacing w:val="-2"/>
                <w:sz w:val="18"/>
              </w:rPr>
              <w:t>19,24,2</w:t>
            </w:r>
          </w:p>
          <w:p>
            <w:pPr>
              <w:pStyle w:val="TableParagraph"/>
              <w:spacing w:line="207" w:lineRule="exact" w:before="0"/>
              <w:ind w:left="28" w:right="3"/>
              <w:jc w:val="center"/>
              <w:rPr>
                <w:sz w:val="18"/>
              </w:rPr>
            </w:pPr>
            <w:r>
              <w:rPr>
                <w:spacing w:val="-4"/>
                <w:sz w:val="18"/>
              </w:rPr>
              <w:t>5,30</w:t>
            </w:r>
          </w:p>
        </w:tc>
      </w:tr>
      <w:tr>
        <w:trPr>
          <w:trHeight w:val="299" w:hRule="atLeast"/>
        </w:trPr>
        <w:tc>
          <w:tcPr>
            <w:tcW w:w="2246" w:type="dxa"/>
          </w:tcPr>
          <w:p>
            <w:pPr>
              <w:pStyle w:val="TableParagraph"/>
              <w:ind w:left="107"/>
              <w:rPr>
                <w:sz w:val="18"/>
              </w:rPr>
            </w:pPr>
            <w:r>
              <w:rPr>
                <w:sz w:val="18"/>
              </w:rPr>
              <w:t>Empire</w:t>
            </w:r>
            <w:r>
              <w:rPr>
                <w:spacing w:val="-4"/>
                <w:sz w:val="18"/>
              </w:rPr>
              <w:t> 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12</w:t>
            </w:r>
          </w:p>
        </w:tc>
      </w:tr>
      <w:tr>
        <w:trPr>
          <w:trHeight w:val="302" w:hRule="atLeast"/>
        </w:trPr>
        <w:tc>
          <w:tcPr>
            <w:tcW w:w="2246" w:type="dxa"/>
          </w:tcPr>
          <w:p>
            <w:pPr>
              <w:pStyle w:val="TableParagraph"/>
              <w:spacing w:before="42"/>
              <w:ind w:left="107"/>
              <w:rPr>
                <w:sz w:val="18"/>
              </w:rPr>
            </w:pPr>
            <w:r>
              <w:rPr>
                <w:sz w:val="18"/>
              </w:rPr>
              <w:t>Ferry</w:t>
            </w:r>
            <w:r>
              <w:rPr>
                <w:spacing w:val="-3"/>
                <w:sz w:val="18"/>
              </w:rPr>
              <w:t> </w:t>
            </w:r>
            <w:r>
              <w:rPr>
                <w:spacing w:val="-4"/>
                <w:sz w:val="18"/>
              </w:rPr>
              <w:t>Lake</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21</w:t>
            </w:r>
          </w:p>
        </w:tc>
      </w:tr>
      <w:tr>
        <w:trPr>
          <w:trHeight w:val="299" w:hRule="atLeast"/>
        </w:trPr>
        <w:tc>
          <w:tcPr>
            <w:tcW w:w="2246" w:type="dxa"/>
          </w:tcPr>
          <w:p>
            <w:pPr>
              <w:pStyle w:val="TableParagraph"/>
              <w:ind w:left="107"/>
              <w:rPr>
                <w:sz w:val="18"/>
              </w:rPr>
            </w:pPr>
            <w:r>
              <w:rPr>
                <w:sz w:val="18"/>
              </w:rPr>
              <w:t>Ferry</w:t>
            </w:r>
            <w:r>
              <w:rPr>
                <w:spacing w:val="-2"/>
                <w:sz w:val="18"/>
              </w:rPr>
              <w:t> </w:t>
            </w:r>
            <w:r>
              <w:rPr>
                <w:sz w:val="18"/>
              </w:rPr>
              <w:t>Lake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16,21</w:t>
            </w:r>
          </w:p>
        </w:tc>
      </w:tr>
      <w:tr>
        <w:trPr>
          <w:trHeight w:val="493" w:hRule="atLeast"/>
        </w:trPr>
        <w:tc>
          <w:tcPr>
            <w:tcW w:w="2246" w:type="dxa"/>
          </w:tcPr>
          <w:p>
            <w:pPr>
              <w:pStyle w:val="TableParagraph"/>
              <w:ind w:left="107"/>
              <w:rPr>
                <w:sz w:val="18"/>
              </w:rPr>
            </w:pPr>
            <w:r>
              <w:rPr>
                <w:sz w:val="18"/>
              </w:rPr>
              <w:t>Flume</w:t>
            </w:r>
            <w:r>
              <w:rPr>
                <w:spacing w:val="-1"/>
                <w:sz w:val="18"/>
              </w:rPr>
              <w:t> </w:t>
            </w:r>
            <w:r>
              <w:rPr>
                <w:spacing w:val="-2"/>
                <w:sz w:val="18"/>
              </w:rPr>
              <w:t>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31</w:t>
            </w:r>
          </w:p>
        </w:tc>
      </w:tr>
      <w:tr>
        <w:trPr>
          <w:trHeight w:val="493" w:hRule="atLeast"/>
        </w:trPr>
        <w:tc>
          <w:tcPr>
            <w:tcW w:w="2246" w:type="dxa"/>
          </w:tcPr>
          <w:p>
            <w:pPr>
              <w:pStyle w:val="TableParagraph"/>
              <w:ind w:left="107"/>
              <w:rPr>
                <w:sz w:val="18"/>
              </w:rPr>
            </w:pPr>
            <w:r>
              <w:rPr>
                <w:sz w:val="18"/>
              </w:rPr>
              <w:t>Frater</w:t>
            </w:r>
            <w:r>
              <w:rPr>
                <w:spacing w:val="-2"/>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right="6"/>
              <w:jc w:val="center"/>
              <w:rPr>
                <w:sz w:val="18"/>
              </w:rPr>
            </w:pPr>
            <w:r>
              <w:rPr>
                <w:spacing w:val="-10"/>
                <w:sz w:val="18"/>
              </w:rPr>
              <w:t>3</w:t>
            </w:r>
          </w:p>
        </w:tc>
      </w:tr>
      <w:tr>
        <w:trPr>
          <w:trHeight w:val="493" w:hRule="atLeast"/>
        </w:trPr>
        <w:tc>
          <w:tcPr>
            <w:tcW w:w="2246" w:type="dxa"/>
          </w:tcPr>
          <w:p>
            <w:pPr>
              <w:pStyle w:val="TableParagraph"/>
              <w:ind w:left="107"/>
              <w:rPr>
                <w:sz w:val="18"/>
              </w:rPr>
            </w:pPr>
            <w:r>
              <w:rPr>
                <w:sz w:val="18"/>
              </w:rPr>
              <w:t>Frater</w:t>
            </w:r>
            <w:r>
              <w:rPr>
                <w:spacing w:val="-2"/>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4"/>
                <w:sz w:val="18"/>
              </w:rPr>
              <w:t>3,34</w:t>
            </w:r>
          </w:p>
        </w:tc>
      </w:tr>
      <w:tr>
        <w:trPr>
          <w:trHeight w:val="493" w:hRule="atLeast"/>
        </w:trPr>
        <w:tc>
          <w:tcPr>
            <w:tcW w:w="2246" w:type="dxa"/>
          </w:tcPr>
          <w:p>
            <w:pPr>
              <w:pStyle w:val="TableParagraph"/>
              <w:ind w:left="107"/>
              <w:rPr>
                <w:sz w:val="18"/>
              </w:rPr>
            </w:pPr>
            <w:r>
              <w:rPr>
                <w:spacing w:val="-2"/>
                <w:sz w:val="18"/>
              </w:rPr>
              <w:t>Geophysical</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21,28</w:t>
            </w:r>
          </w:p>
        </w:tc>
      </w:tr>
      <w:tr>
        <w:trPr>
          <w:trHeight w:val="494" w:hRule="atLeast"/>
        </w:trPr>
        <w:tc>
          <w:tcPr>
            <w:tcW w:w="2246" w:type="dxa"/>
          </w:tcPr>
          <w:p>
            <w:pPr>
              <w:pStyle w:val="TableParagraph"/>
              <w:ind w:left="107"/>
              <w:rPr>
                <w:sz w:val="18"/>
              </w:rPr>
            </w:pPr>
            <w:r>
              <w:rPr>
                <w:spacing w:val="-2"/>
                <w:sz w:val="18"/>
              </w:rPr>
              <w:t>Gibraltar</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7" w:type="dxa"/>
            <w:tcBorders>
              <w:left w:val="nil"/>
            </w:tcBorders>
          </w:tcPr>
          <w:p>
            <w:pPr>
              <w:pStyle w:val="TableParagraph"/>
              <w:spacing w:line="207" w:lineRule="exact"/>
              <w:ind w:left="28" w:right="3"/>
              <w:jc w:val="center"/>
              <w:rPr>
                <w:sz w:val="18"/>
              </w:rPr>
            </w:pPr>
            <w:r>
              <w:rPr>
                <w:spacing w:val="-2"/>
                <w:sz w:val="18"/>
              </w:rPr>
              <w:t>20,21,2</w:t>
            </w:r>
          </w:p>
          <w:p>
            <w:pPr>
              <w:pStyle w:val="TableParagraph"/>
              <w:spacing w:line="207" w:lineRule="exact" w:before="0"/>
              <w:ind w:left="28" w:right="2"/>
              <w:jc w:val="center"/>
              <w:rPr>
                <w:sz w:val="18"/>
              </w:rPr>
            </w:pPr>
            <w:r>
              <w:rPr>
                <w:spacing w:val="-4"/>
                <w:sz w:val="18"/>
              </w:rPr>
              <w:t>8,29</w:t>
            </w:r>
          </w:p>
        </w:tc>
      </w:tr>
    </w:tbl>
    <w:p>
      <w:pPr>
        <w:pStyle w:val="TableParagraph"/>
        <w:spacing w:after="0" w:line="207" w:lineRule="exact"/>
        <w:jc w:val="center"/>
        <w:rPr>
          <w:sz w:val="18"/>
        </w:rPr>
        <w:sectPr>
          <w:type w:val="continuous"/>
          <w:pgSz w:w="12240" w:h="15840"/>
          <w:pgMar w:header="725" w:footer="891" w:top="1420" w:bottom="1390" w:left="1080" w:right="1080"/>
        </w:sect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8"/>
        <w:gridCol w:w="919"/>
        <w:gridCol w:w="900"/>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10"/>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8" w:type="dxa"/>
            <w:tcBorders>
              <w:right w:val="nil"/>
            </w:tcBorders>
            <w:shd w:val="clear" w:color="auto" w:fill="D5E2BB"/>
          </w:tcPr>
          <w:p>
            <w:pPr>
              <w:pStyle w:val="TableParagraph"/>
              <w:ind w:left="29"/>
              <w:jc w:val="center"/>
              <w:rPr>
                <w:b/>
                <w:sz w:val="18"/>
              </w:rPr>
            </w:pPr>
            <w:r>
              <w:rPr>
                <w:b/>
                <w:spacing w:val="-2"/>
                <w:sz w:val="18"/>
              </w:rPr>
              <w:t>Township</w:t>
            </w:r>
          </w:p>
        </w:tc>
        <w:tc>
          <w:tcPr>
            <w:tcW w:w="919" w:type="dxa"/>
            <w:tcBorders>
              <w:left w:val="nil"/>
              <w:right w:val="nil"/>
            </w:tcBorders>
            <w:shd w:val="clear" w:color="auto" w:fill="D5E2BB"/>
          </w:tcPr>
          <w:p>
            <w:pPr>
              <w:pStyle w:val="TableParagraph"/>
              <w:ind w:left="38"/>
              <w:jc w:val="center"/>
              <w:rPr>
                <w:b/>
                <w:sz w:val="18"/>
              </w:rPr>
            </w:pPr>
            <w:r>
              <w:rPr>
                <w:b/>
                <w:spacing w:val="-2"/>
                <w:sz w:val="18"/>
              </w:rPr>
              <w:t>Range</w:t>
            </w:r>
          </w:p>
        </w:tc>
        <w:tc>
          <w:tcPr>
            <w:tcW w:w="900" w:type="dxa"/>
            <w:tcBorders>
              <w:left w:val="nil"/>
            </w:tcBorders>
            <w:shd w:val="clear" w:color="auto" w:fill="D5E2BB"/>
          </w:tcPr>
          <w:p>
            <w:pPr>
              <w:pStyle w:val="TableParagraph"/>
              <w:ind w:left="25" w:right="1"/>
              <w:jc w:val="center"/>
              <w:rPr>
                <w:b/>
                <w:sz w:val="18"/>
              </w:rPr>
            </w:pPr>
            <w:r>
              <w:rPr>
                <w:b/>
                <w:spacing w:val="-2"/>
                <w:sz w:val="18"/>
              </w:rPr>
              <w:t>Section</w:t>
            </w:r>
          </w:p>
        </w:tc>
      </w:tr>
      <w:tr>
        <w:trPr>
          <w:trHeight w:val="494" w:hRule="atLeast"/>
        </w:trPr>
        <w:tc>
          <w:tcPr>
            <w:tcW w:w="2246" w:type="dxa"/>
          </w:tcPr>
          <w:p>
            <w:pPr>
              <w:pStyle w:val="TableParagraph"/>
              <w:ind w:left="107"/>
              <w:rPr>
                <w:sz w:val="18"/>
              </w:rPr>
            </w:pPr>
            <w:r>
              <w:rPr>
                <w:sz w:val="18"/>
              </w:rPr>
              <w:t>Gillette</w:t>
            </w:r>
            <w:r>
              <w:rPr>
                <w:spacing w:val="-2"/>
                <w:sz w:val="18"/>
              </w:rPr>
              <w:t> 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17,20</w:t>
            </w:r>
          </w:p>
        </w:tc>
      </w:tr>
      <w:tr>
        <w:trPr>
          <w:trHeight w:val="494" w:hRule="atLeast"/>
        </w:trPr>
        <w:tc>
          <w:tcPr>
            <w:tcW w:w="2246" w:type="dxa"/>
          </w:tcPr>
          <w:p>
            <w:pPr>
              <w:pStyle w:val="TableParagraph"/>
              <w:ind w:left="107"/>
              <w:rPr>
                <w:sz w:val="18"/>
              </w:rPr>
            </w:pPr>
            <w:r>
              <w:rPr>
                <w:sz w:val="18"/>
              </w:rPr>
              <w:t>Grassy</w:t>
            </w:r>
            <w:r>
              <w:rPr>
                <w:spacing w:val="-2"/>
                <w:sz w:val="18"/>
              </w:rPr>
              <w:t> </w:t>
            </w:r>
            <w:r>
              <w:rPr>
                <w:sz w:val="18"/>
              </w:rPr>
              <w:t>Top</w:t>
            </w:r>
            <w:r>
              <w:rPr>
                <w:spacing w:val="1"/>
                <w:sz w:val="18"/>
              </w:rPr>
              <w:t> </w:t>
            </w:r>
            <w:r>
              <w:rPr>
                <w:spacing w:val="-2"/>
                <w:sz w:val="18"/>
              </w:rPr>
              <w:t>North</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17</w:t>
            </w:r>
          </w:p>
        </w:tc>
      </w:tr>
      <w:tr>
        <w:trPr>
          <w:trHeight w:val="493" w:hRule="atLeast"/>
        </w:trPr>
        <w:tc>
          <w:tcPr>
            <w:tcW w:w="2246" w:type="dxa"/>
          </w:tcPr>
          <w:p>
            <w:pPr>
              <w:pStyle w:val="TableParagraph"/>
              <w:ind w:left="107"/>
              <w:rPr>
                <w:sz w:val="18"/>
              </w:rPr>
            </w:pPr>
            <w:r>
              <w:rPr>
                <w:sz w:val="18"/>
              </w:rPr>
              <w:t>Grassy</w:t>
            </w:r>
            <w:r>
              <w:rPr>
                <w:spacing w:val="-2"/>
                <w:sz w:val="18"/>
              </w:rPr>
              <w:t> </w:t>
            </w:r>
            <w:r>
              <w:rPr>
                <w:sz w:val="18"/>
              </w:rPr>
              <w:t>Top</w:t>
            </w:r>
            <w:r>
              <w:rPr>
                <w:spacing w:val="1"/>
                <w:sz w:val="18"/>
              </w:rPr>
              <w:t> </w:t>
            </w:r>
            <w:r>
              <w:rPr>
                <w:spacing w:val="-4"/>
                <w:sz w:val="18"/>
              </w:rPr>
              <w:t>South</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35</w:t>
            </w:r>
          </w:p>
        </w:tc>
      </w:tr>
      <w:tr>
        <w:trPr>
          <w:trHeight w:val="494" w:hRule="atLeast"/>
        </w:trPr>
        <w:tc>
          <w:tcPr>
            <w:tcW w:w="2246" w:type="dxa"/>
          </w:tcPr>
          <w:p>
            <w:pPr>
              <w:pStyle w:val="TableParagraph"/>
              <w:ind w:left="107" w:right="661"/>
              <w:rPr>
                <w:sz w:val="18"/>
              </w:rPr>
            </w:pPr>
            <w:r>
              <w:rPr>
                <w:sz w:val="18"/>
              </w:rPr>
              <w:t>Growden</w:t>
            </w:r>
            <w:r>
              <w:rPr>
                <w:spacing w:val="-13"/>
                <w:sz w:val="18"/>
              </w:rPr>
              <w:t> </w:t>
            </w:r>
            <w:r>
              <w:rPr>
                <w:sz w:val="18"/>
              </w:rPr>
              <w:t>Heritage Interpretive Site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28,29</w:t>
            </w:r>
          </w:p>
        </w:tc>
      </w:tr>
      <w:tr>
        <w:trPr>
          <w:trHeight w:val="493" w:hRule="atLeast"/>
        </w:trPr>
        <w:tc>
          <w:tcPr>
            <w:tcW w:w="2246" w:type="dxa"/>
          </w:tcPr>
          <w:p>
            <w:pPr>
              <w:pStyle w:val="TableParagraph"/>
              <w:ind w:left="107"/>
              <w:rPr>
                <w:sz w:val="18"/>
              </w:rPr>
            </w:pPr>
            <w:r>
              <w:rPr>
                <w:sz w:val="18"/>
              </w:rPr>
              <w:t>Half</w:t>
            </w:r>
            <w:r>
              <w:rPr>
                <w:spacing w:val="-4"/>
                <w:sz w:val="18"/>
              </w:rPr>
              <w:t> </w:t>
            </w:r>
            <w:r>
              <w:rPr>
                <w:sz w:val="18"/>
              </w:rPr>
              <w:t>Moon</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34</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26</w:t>
            </w:r>
          </w:p>
        </w:tc>
      </w:tr>
      <w:tr>
        <w:trPr>
          <w:trHeight w:val="494" w:hRule="atLeast"/>
        </w:trPr>
        <w:tc>
          <w:tcPr>
            <w:tcW w:w="2246" w:type="dxa"/>
          </w:tcPr>
          <w:p>
            <w:pPr>
              <w:pStyle w:val="TableParagraph"/>
              <w:ind w:left="107"/>
              <w:rPr>
                <w:sz w:val="18"/>
              </w:rPr>
            </w:pPr>
            <w:r>
              <w:rPr>
                <w:sz w:val="18"/>
              </w:rPr>
              <w:t>Hall</w:t>
            </w:r>
            <w:r>
              <w:rPr>
                <w:spacing w:val="-3"/>
                <w:sz w:val="18"/>
              </w:rPr>
              <w:t> </w:t>
            </w:r>
            <w:r>
              <w:rPr>
                <w:spacing w:val="-2"/>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5"/>
                <w:sz w:val="18"/>
              </w:rPr>
              <w:t>5,6</w:t>
            </w:r>
          </w:p>
        </w:tc>
      </w:tr>
      <w:tr>
        <w:trPr>
          <w:trHeight w:val="494" w:hRule="atLeast"/>
        </w:trPr>
        <w:tc>
          <w:tcPr>
            <w:tcW w:w="2246" w:type="dxa"/>
          </w:tcPr>
          <w:p>
            <w:pPr>
              <w:pStyle w:val="TableParagraph"/>
              <w:ind w:left="107"/>
              <w:rPr>
                <w:sz w:val="18"/>
              </w:rPr>
            </w:pPr>
            <w:r>
              <w:rPr>
                <w:sz w:val="18"/>
              </w:rPr>
              <w:t>Hall</w:t>
            </w:r>
            <w:r>
              <w:rPr>
                <w:spacing w:val="-3"/>
                <w:sz w:val="18"/>
              </w:rPr>
              <w:t> </w:t>
            </w:r>
            <w:r>
              <w:rPr>
                <w:spacing w:val="-2"/>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line="207" w:lineRule="exact"/>
              <w:ind w:left="25" w:right="1"/>
              <w:jc w:val="center"/>
              <w:rPr>
                <w:sz w:val="18"/>
              </w:rPr>
            </w:pPr>
            <w:r>
              <w:rPr>
                <w:spacing w:val="-2"/>
                <w:sz w:val="18"/>
              </w:rPr>
              <w:t>5,6,31,3</w:t>
            </w:r>
          </w:p>
          <w:p>
            <w:pPr>
              <w:pStyle w:val="TableParagraph"/>
              <w:spacing w:line="207" w:lineRule="exact" w:before="0"/>
              <w:ind w:left="25" w:right="6"/>
              <w:jc w:val="center"/>
              <w:rPr>
                <w:sz w:val="18"/>
              </w:rPr>
            </w:pPr>
            <w:r>
              <w:rPr>
                <w:spacing w:val="-10"/>
                <w:sz w:val="18"/>
              </w:rPr>
              <w:t>2</w:t>
            </w:r>
          </w:p>
        </w:tc>
      </w:tr>
      <w:tr>
        <w:trPr>
          <w:trHeight w:val="493" w:hRule="atLeast"/>
        </w:trPr>
        <w:tc>
          <w:tcPr>
            <w:tcW w:w="2246" w:type="dxa"/>
          </w:tcPr>
          <w:p>
            <w:pPr>
              <w:pStyle w:val="TableParagraph"/>
              <w:ind w:left="107"/>
              <w:rPr>
                <w:sz w:val="18"/>
              </w:rPr>
            </w:pPr>
            <w:r>
              <w:rPr>
                <w:sz w:val="18"/>
              </w:rPr>
              <w:t>Hall</w:t>
            </w:r>
            <w:r>
              <w:rPr>
                <w:spacing w:val="-2"/>
                <w:sz w:val="18"/>
              </w:rPr>
              <w:t> </w:t>
            </w:r>
            <w:r>
              <w:rPr>
                <w:spacing w:val="-5"/>
                <w:sz w:val="18"/>
              </w:rPr>
              <w:t>Mtn</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9,10</w:t>
            </w:r>
          </w:p>
        </w:tc>
      </w:tr>
      <w:tr>
        <w:trPr>
          <w:trHeight w:val="494" w:hRule="atLeast"/>
        </w:trPr>
        <w:tc>
          <w:tcPr>
            <w:tcW w:w="2246" w:type="dxa"/>
          </w:tcPr>
          <w:p>
            <w:pPr>
              <w:pStyle w:val="TableParagraph"/>
              <w:ind w:left="107"/>
              <w:rPr>
                <w:sz w:val="18"/>
              </w:rPr>
            </w:pPr>
            <w:r>
              <w:rPr>
                <w:spacing w:val="-2"/>
                <w:sz w:val="18"/>
              </w:rPr>
              <w:t>Halliday</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6"/>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36</w:t>
            </w:r>
          </w:p>
        </w:tc>
      </w:tr>
      <w:tr>
        <w:trPr>
          <w:trHeight w:val="299" w:hRule="atLeast"/>
        </w:trPr>
        <w:tc>
          <w:tcPr>
            <w:tcW w:w="2246" w:type="dxa"/>
          </w:tcPr>
          <w:p>
            <w:pPr>
              <w:pStyle w:val="TableParagraph"/>
              <w:ind w:left="107"/>
              <w:rPr>
                <w:sz w:val="18"/>
              </w:rPr>
            </w:pPr>
            <w:r>
              <w:rPr>
                <w:spacing w:val="-2"/>
                <w:sz w:val="18"/>
              </w:rPr>
              <w:t>Hoodoo</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31,32</w:t>
            </w:r>
          </w:p>
        </w:tc>
      </w:tr>
      <w:tr>
        <w:trPr>
          <w:trHeight w:val="299" w:hRule="atLeast"/>
        </w:trPr>
        <w:tc>
          <w:tcPr>
            <w:tcW w:w="2246" w:type="dxa"/>
          </w:tcPr>
          <w:p>
            <w:pPr>
              <w:pStyle w:val="TableParagraph"/>
              <w:ind w:left="107"/>
              <w:rPr>
                <w:sz w:val="18"/>
              </w:rPr>
            </w:pPr>
            <w:r>
              <w:rPr>
                <w:sz w:val="18"/>
              </w:rPr>
              <w:t>Jungle </w:t>
            </w:r>
            <w:r>
              <w:rPr>
                <w:spacing w:val="-4"/>
                <w:sz w:val="18"/>
              </w:rPr>
              <w:t>Hill</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8</w:t>
            </w:r>
          </w:p>
        </w:tc>
      </w:tr>
      <w:tr>
        <w:trPr>
          <w:trHeight w:val="493" w:hRule="atLeast"/>
        </w:trPr>
        <w:tc>
          <w:tcPr>
            <w:tcW w:w="2246" w:type="dxa"/>
          </w:tcPr>
          <w:p>
            <w:pPr>
              <w:pStyle w:val="TableParagraph"/>
              <w:ind w:left="107"/>
              <w:rPr>
                <w:sz w:val="18"/>
              </w:rPr>
            </w:pPr>
            <w:r>
              <w:rPr>
                <w:sz w:val="18"/>
              </w:rPr>
              <w:t>Kettle</w:t>
            </w:r>
            <w:r>
              <w:rPr>
                <w:spacing w:val="-2"/>
                <w:sz w:val="18"/>
              </w:rPr>
              <w:t> Crest</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spacing w:line="207" w:lineRule="exact"/>
              <w:ind w:left="25" w:right="3"/>
              <w:jc w:val="center"/>
              <w:rPr>
                <w:sz w:val="18"/>
              </w:rPr>
            </w:pPr>
            <w:r>
              <w:rPr>
                <w:spacing w:val="-2"/>
                <w:sz w:val="18"/>
              </w:rPr>
              <w:t>13,18,1</w:t>
            </w:r>
          </w:p>
          <w:p>
            <w:pPr>
              <w:pStyle w:val="TableParagraph"/>
              <w:spacing w:line="207" w:lineRule="exact" w:before="0"/>
              <w:ind w:left="25" w:right="3"/>
              <w:jc w:val="center"/>
              <w:rPr>
                <w:sz w:val="18"/>
              </w:rPr>
            </w:pPr>
            <w:r>
              <w:rPr>
                <w:spacing w:val="-4"/>
                <w:sz w:val="18"/>
              </w:rPr>
              <w:t>9,24</w:t>
            </w:r>
          </w:p>
        </w:tc>
      </w:tr>
      <w:tr>
        <w:trPr>
          <w:trHeight w:val="299" w:hRule="atLeast"/>
        </w:trPr>
        <w:tc>
          <w:tcPr>
            <w:tcW w:w="2246" w:type="dxa"/>
          </w:tcPr>
          <w:p>
            <w:pPr>
              <w:pStyle w:val="TableParagraph"/>
              <w:ind w:left="107"/>
              <w:rPr>
                <w:sz w:val="18"/>
              </w:rPr>
            </w:pPr>
            <w:r>
              <w:rPr>
                <w:sz w:val="18"/>
              </w:rPr>
              <w:t>Kettle</w:t>
            </w:r>
            <w:r>
              <w:rPr>
                <w:spacing w:val="-2"/>
                <w:sz w:val="18"/>
              </w:rPr>
              <w:t> Crest</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18,19</w:t>
            </w:r>
          </w:p>
        </w:tc>
      </w:tr>
      <w:tr>
        <w:trPr>
          <w:trHeight w:val="493" w:hRule="atLeast"/>
        </w:trPr>
        <w:tc>
          <w:tcPr>
            <w:tcW w:w="2246" w:type="dxa"/>
          </w:tcPr>
          <w:p>
            <w:pPr>
              <w:pStyle w:val="TableParagraph"/>
              <w:spacing w:before="42"/>
              <w:ind w:left="107"/>
              <w:rPr>
                <w:sz w:val="18"/>
              </w:rPr>
            </w:pPr>
            <w:r>
              <w:rPr>
                <w:sz w:val="18"/>
              </w:rPr>
              <w:t>Kings</w:t>
            </w:r>
            <w:r>
              <w:rPr>
                <w:spacing w:val="-5"/>
                <w:sz w:val="18"/>
              </w:rPr>
              <w:t> </w:t>
            </w:r>
            <w:r>
              <w:rPr>
                <w:sz w:val="18"/>
              </w:rPr>
              <w:t>Lake</w:t>
            </w:r>
            <w:r>
              <w:rPr>
                <w:spacing w:val="-1"/>
                <w:sz w:val="18"/>
              </w:rPr>
              <w:t> </w:t>
            </w:r>
            <w:r>
              <w:rPr>
                <w:spacing w:val="-2"/>
                <w:sz w:val="18"/>
              </w:rPr>
              <w:t>Snopark</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33</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before="42"/>
              <w:ind w:left="25" w:right="6"/>
              <w:jc w:val="center"/>
              <w:rPr>
                <w:sz w:val="18"/>
              </w:rPr>
            </w:pPr>
            <w:r>
              <w:rPr>
                <w:spacing w:val="-10"/>
                <w:sz w:val="18"/>
              </w:rPr>
              <w:t>2</w:t>
            </w:r>
          </w:p>
        </w:tc>
      </w:tr>
      <w:tr>
        <w:trPr>
          <w:trHeight w:val="493" w:hRule="atLeast"/>
        </w:trPr>
        <w:tc>
          <w:tcPr>
            <w:tcW w:w="2246" w:type="dxa"/>
          </w:tcPr>
          <w:p>
            <w:pPr>
              <w:pStyle w:val="TableParagraph"/>
              <w:ind w:left="107"/>
              <w:rPr>
                <w:sz w:val="18"/>
              </w:rPr>
            </w:pPr>
            <w:r>
              <w:rPr>
                <w:sz w:val="18"/>
              </w:rPr>
              <w:t>Lake</w:t>
            </w:r>
            <w:r>
              <w:rPr>
                <w:spacing w:val="-4"/>
                <w:sz w:val="18"/>
              </w:rPr>
              <w:t> </w:t>
            </w:r>
            <w:r>
              <w:rPr>
                <w:spacing w:val="-2"/>
                <w:sz w:val="18"/>
              </w:rPr>
              <w:t>Ellen</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spacing w:line="207" w:lineRule="exact"/>
              <w:ind w:left="25" w:right="3"/>
              <w:jc w:val="center"/>
              <w:rPr>
                <w:sz w:val="18"/>
              </w:rPr>
            </w:pPr>
            <w:r>
              <w:rPr>
                <w:spacing w:val="-2"/>
                <w:sz w:val="18"/>
              </w:rPr>
              <w:t>26,27,3</w:t>
            </w:r>
          </w:p>
          <w:p>
            <w:pPr>
              <w:pStyle w:val="TableParagraph"/>
              <w:spacing w:line="207" w:lineRule="exact" w:before="0"/>
              <w:ind w:left="25" w:right="3"/>
              <w:jc w:val="center"/>
              <w:rPr>
                <w:sz w:val="18"/>
              </w:rPr>
            </w:pPr>
            <w:r>
              <w:rPr>
                <w:spacing w:val="-4"/>
                <w:sz w:val="18"/>
              </w:rPr>
              <w:t>4,35</w:t>
            </w:r>
          </w:p>
        </w:tc>
      </w:tr>
      <w:tr>
        <w:trPr>
          <w:trHeight w:val="299" w:hRule="atLeast"/>
        </w:trPr>
        <w:tc>
          <w:tcPr>
            <w:tcW w:w="2246" w:type="dxa"/>
          </w:tcPr>
          <w:p>
            <w:pPr>
              <w:pStyle w:val="TableParagraph"/>
              <w:ind w:left="107"/>
              <w:rPr>
                <w:sz w:val="18"/>
              </w:rPr>
            </w:pPr>
            <w:r>
              <w:rPr>
                <w:sz w:val="18"/>
              </w:rPr>
              <w:t>Lake</w:t>
            </w:r>
            <w:r>
              <w:rPr>
                <w:spacing w:val="-6"/>
                <w:sz w:val="18"/>
              </w:rPr>
              <w:t> </w:t>
            </w:r>
            <w:r>
              <w:rPr>
                <w:sz w:val="18"/>
              </w:rPr>
              <w:t>Ellen</w:t>
            </w:r>
            <w:r>
              <w:rPr>
                <w:spacing w:val="-2"/>
                <w:sz w:val="18"/>
              </w:rPr>
              <w:t> 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26</w:t>
            </w:r>
          </w:p>
        </w:tc>
      </w:tr>
      <w:tr>
        <w:trPr>
          <w:trHeight w:val="493" w:hRule="atLeast"/>
        </w:trPr>
        <w:tc>
          <w:tcPr>
            <w:tcW w:w="2246" w:type="dxa"/>
          </w:tcPr>
          <w:p>
            <w:pPr>
              <w:pStyle w:val="TableParagraph"/>
              <w:spacing w:before="42"/>
              <w:ind w:left="107"/>
              <w:rPr>
                <w:sz w:val="18"/>
              </w:rPr>
            </w:pPr>
            <w:r>
              <w:rPr>
                <w:sz w:val="18"/>
              </w:rPr>
              <w:t>Lake</w:t>
            </w:r>
            <w:r>
              <w:rPr>
                <w:spacing w:val="-15"/>
                <w:sz w:val="18"/>
              </w:rPr>
              <w:t> </w:t>
            </w:r>
            <w:r>
              <w:rPr>
                <w:sz w:val="18"/>
              </w:rPr>
              <w:t>Ellen</w:t>
            </w:r>
            <w:r>
              <w:rPr>
                <w:spacing w:val="-12"/>
                <w:sz w:val="18"/>
              </w:rPr>
              <w:t> </w:t>
            </w:r>
            <w:r>
              <w:rPr>
                <w:sz w:val="18"/>
              </w:rPr>
              <w:t>Campground </w:t>
            </w:r>
            <w:r>
              <w:rPr>
                <w:spacing w:val="-4"/>
                <w:sz w:val="18"/>
              </w:rPr>
              <w:t>West</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spacing w:line="207" w:lineRule="exact" w:before="42"/>
              <w:ind w:left="25" w:right="3"/>
              <w:jc w:val="center"/>
              <w:rPr>
                <w:sz w:val="18"/>
              </w:rPr>
            </w:pPr>
            <w:r>
              <w:rPr>
                <w:spacing w:val="-2"/>
                <w:sz w:val="18"/>
              </w:rPr>
              <w:t>26,27,3</w:t>
            </w:r>
          </w:p>
          <w:p>
            <w:pPr>
              <w:pStyle w:val="TableParagraph"/>
              <w:spacing w:line="207" w:lineRule="exact" w:before="0"/>
              <w:ind w:left="25" w:right="3"/>
              <w:jc w:val="center"/>
              <w:rPr>
                <w:sz w:val="18"/>
              </w:rPr>
            </w:pPr>
            <w:r>
              <w:rPr>
                <w:spacing w:val="-4"/>
                <w:sz w:val="18"/>
              </w:rPr>
              <w:t>4,35</w:t>
            </w:r>
          </w:p>
        </w:tc>
      </w:tr>
      <w:tr>
        <w:trPr>
          <w:trHeight w:val="493" w:hRule="atLeast"/>
        </w:trPr>
        <w:tc>
          <w:tcPr>
            <w:tcW w:w="2246" w:type="dxa"/>
          </w:tcPr>
          <w:p>
            <w:pPr>
              <w:pStyle w:val="TableParagraph"/>
              <w:spacing w:before="42"/>
              <w:ind w:left="107" w:right="195"/>
              <w:rPr>
                <w:sz w:val="18"/>
              </w:rPr>
            </w:pPr>
            <w:r>
              <w:rPr>
                <w:sz w:val="18"/>
              </w:rPr>
              <w:t>Lake Gillette </w:t>
            </w:r>
            <w:r>
              <w:rPr>
                <w:spacing w:val="-2"/>
                <w:sz w:val="18"/>
              </w:rPr>
              <w:t>Campground</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5"/>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2"/>
                <w:sz w:val="18"/>
              </w:rPr>
              <w:t>19,20</w:t>
            </w:r>
          </w:p>
        </w:tc>
      </w:tr>
      <w:tr>
        <w:trPr>
          <w:trHeight w:val="494" w:hRule="atLeast"/>
        </w:trPr>
        <w:tc>
          <w:tcPr>
            <w:tcW w:w="2246" w:type="dxa"/>
          </w:tcPr>
          <w:p>
            <w:pPr>
              <w:pStyle w:val="TableParagraph"/>
              <w:spacing w:before="42"/>
              <w:ind w:left="107"/>
              <w:rPr>
                <w:sz w:val="18"/>
              </w:rPr>
            </w:pPr>
            <w:r>
              <w:rPr>
                <w:sz w:val="18"/>
              </w:rPr>
              <w:t>Lake</w:t>
            </w:r>
            <w:r>
              <w:rPr>
                <w:spacing w:val="-6"/>
                <w:sz w:val="18"/>
              </w:rPr>
              <w:t> </w:t>
            </w:r>
            <w:r>
              <w:rPr>
                <w:spacing w:val="-5"/>
                <w:sz w:val="18"/>
              </w:rPr>
              <w:t>Leo</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6"/>
              <w:jc w:val="center"/>
              <w:rPr>
                <w:sz w:val="18"/>
              </w:rPr>
            </w:pPr>
            <w:r>
              <w:rPr>
                <w:spacing w:val="-10"/>
                <w:sz w:val="18"/>
              </w:rPr>
              <w:t>3</w:t>
            </w:r>
          </w:p>
        </w:tc>
      </w:tr>
      <w:tr>
        <w:trPr>
          <w:trHeight w:val="493" w:hRule="atLeast"/>
        </w:trPr>
        <w:tc>
          <w:tcPr>
            <w:tcW w:w="2246" w:type="dxa"/>
          </w:tcPr>
          <w:p>
            <w:pPr>
              <w:pStyle w:val="TableParagraph"/>
              <w:spacing w:before="42"/>
              <w:ind w:left="107"/>
              <w:rPr>
                <w:sz w:val="18"/>
              </w:rPr>
            </w:pPr>
            <w:r>
              <w:rPr>
                <w:sz w:val="18"/>
              </w:rPr>
              <w:t>Lake</w:t>
            </w:r>
            <w:r>
              <w:rPr>
                <w:spacing w:val="-6"/>
                <w:sz w:val="18"/>
              </w:rPr>
              <w:t> </w:t>
            </w:r>
            <w:r>
              <w:rPr>
                <w:spacing w:val="-5"/>
                <w:sz w:val="18"/>
              </w:rPr>
              <w:t>Leo</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5"/>
                <w:sz w:val="18"/>
              </w:rPr>
              <w:t>3,4</w:t>
            </w:r>
          </w:p>
        </w:tc>
      </w:tr>
      <w:tr>
        <w:trPr>
          <w:trHeight w:val="493" w:hRule="atLeast"/>
        </w:trPr>
        <w:tc>
          <w:tcPr>
            <w:tcW w:w="2246" w:type="dxa"/>
          </w:tcPr>
          <w:p>
            <w:pPr>
              <w:pStyle w:val="TableParagraph"/>
              <w:spacing w:before="42"/>
              <w:ind w:left="107"/>
              <w:rPr>
                <w:sz w:val="18"/>
              </w:rPr>
            </w:pPr>
            <w:r>
              <w:rPr>
                <w:sz w:val="18"/>
              </w:rPr>
              <w:t>Lake</w:t>
            </w:r>
            <w:r>
              <w:rPr>
                <w:spacing w:val="-6"/>
                <w:sz w:val="18"/>
              </w:rPr>
              <w:t> </w:t>
            </w:r>
            <w:r>
              <w:rPr>
                <w:sz w:val="18"/>
              </w:rPr>
              <w:t>Leo</w:t>
            </w:r>
            <w:r>
              <w:rPr>
                <w:spacing w:val="-5"/>
                <w:sz w:val="18"/>
              </w:rPr>
              <w:t> </w:t>
            </w:r>
            <w:r>
              <w:rPr>
                <w:spacing w:val="-2"/>
                <w:sz w:val="18"/>
              </w:rPr>
              <w:t>Campground</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5"/>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6"/>
              <w:jc w:val="center"/>
              <w:rPr>
                <w:sz w:val="18"/>
              </w:rPr>
            </w:pPr>
            <w:r>
              <w:rPr>
                <w:spacing w:val="-10"/>
                <w:sz w:val="18"/>
              </w:rPr>
              <w:t>3</w:t>
            </w:r>
          </w:p>
        </w:tc>
      </w:tr>
      <w:tr>
        <w:trPr>
          <w:trHeight w:val="493" w:hRule="atLeast"/>
        </w:trPr>
        <w:tc>
          <w:tcPr>
            <w:tcW w:w="2246" w:type="dxa"/>
          </w:tcPr>
          <w:p>
            <w:pPr>
              <w:pStyle w:val="TableParagraph"/>
              <w:spacing w:before="42"/>
              <w:ind w:left="107"/>
              <w:rPr>
                <w:sz w:val="18"/>
              </w:rPr>
            </w:pPr>
            <w:r>
              <w:rPr>
                <w:sz w:val="18"/>
              </w:rPr>
              <w:t>Lake</w:t>
            </w:r>
            <w:r>
              <w:rPr>
                <w:spacing w:val="-6"/>
                <w:sz w:val="18"/>
              </w:rPr>
              <w:t> </w:t>
            </w:r>
            <w:r>
              <w:rPr>
                <w:sz w:val="18"/>
              </w:rPr>
              <w:t>Leo</w:t>
            </w:r>
            <w:r>
              <w:rPr>
                <w:spacing w:val="-5"/>
                <w:sz w:val="18"/>
              </w:rPr>
              <w:t> </w:t>
            </w:r>
            <w:r>
              <w:rPr>
                <w:spacing w:val="-2"/>
                <w:sz w:val="18"/>
              </w:rPr>
              <w:t>Campground</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5"/>
                <w:sz w:val="18"/>
              </w:rPr>
              <w:t>3,4</w:t>
            </w:r>
          </w:p>
        </w:tc>
      </w:tr>
      <w:tr>
        <w:trPr>
          <w:trHeight w:val="494" w:hRule="atLeast"/>
        </w:trPr>
        <w:tc>
          <w:tcPr>
            <w:tcW w:w="2246" w:type="dxa"/>
          </w:tcPr>
          <w:p>
            <w:pPr>
              <w:pStyle w:val="TableParagraph"/>
              <w:ind w:left="107" w:right="121"/>
              <w:rPr>
                <w:sz w:val="18"/>
              </w:rPr>
            </w:pPr>
            <w:r>
              <w:rPr>
                <w:sz w:val="18"/>
              </w:rPr>
              <w:t>Lake</w:t>
            </w:r>
            <w:r>
              <w:rPr>
                <w:spacing w:val="-13"/>
                <w:sz w:val="18"/>
              </w:rPr>
              <w:t> </w:t>
            </w:r>
            <w:r>
              <w:rPr>
                <w:sz w:val="18"/>
              </w:rPr>
              <w:t>Thomas</w:t>
            </w:r>
            <w:r>
              <w:rPr>
                <w:spacing w:val="-11"/>
                <w:sz w:val="18"/>
              </w:rPr>
              <w:t> </w:t>
            </w:r>
            <w:r>
              <w:rPr>
                <w:sz w:val="18"/>
              </w:rPr>
              <w:t>-</w:t>
            </w:r>
            <w:r>
              <w:rPr>
                <w:spacing w:val="-11"/>
                <w:sz w:val="18"/>
              </w:rPr>
              <w:t> </w:t>
            </w:r>
            <w:r>
              <w:rPr>
                <w:sz w:val="18"/>
              </w:rPr>
              <w:t>Lake </w:t>
            </w:r>
            <w:r>
              <w:rPr>
                <w:spacing w:val="-2"/>
                <w:sz w:val="18"/>
              </w:rPr>
              <w:t>Gillette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line="207" w:lineRule="exact" w:before="40"/>
              <w:ind w:left="25" w:right="3"/>
              <w:jc w:val="center"/>
              <w:rPr>
                <w:sz w:val="18"/>
              </w:rPr>
            </w:pPr>
            <w:r>
              <w:rPr>
                <w:spacing w:val="-2"/>
                <w:sz w:val="18"/>
              </w:rPr>
              <w:t>17,19,2</w:t>
            </w:r>
          </w:p>
          <w:p>
            <w:pPr>
              <w:pStyle w:val="TableParagraph"/>
              <w:spacing w:line="207" w:lineRule="exact" w:before="0"/>
              <w:ind w:left="25" w:right="6"/>
              <w:jc w:val="center"/>
              <w:rPr>
                <w:sz w:val="18"/>
              </w:rPr>
            </w:pPr>
            <w:r>
              <w:rPr>
                <w:spacing w:val="-10"/>
                <w:sz w:val="18"/>
              </w:rPr>
              <w:t>0</w:t>
            </w:r>
          </w:p>
        </w:tc>
      </w:tr>
      <w:tr>
        <w:trPr>
          <w:trHeight w:val="493" w:hRule="atLeast"/>
        </w:trPr>
        <w:tc>
          <w:tcPr>
            <w:tcW w:w="2246" w:type="dxa"/>
          </w:tcPr>
          <w:p>
            <w:pPr>
              <w:pStyle w:val="TableParagraph"/>
              <w:ind w:left="107" w:right="1031"/>
              <w:rPr>
                <w:sz w:val="18"/>
              </w:rPr>
            </w:pPr>
            <w:r>
              <w:rPr>
                <w:sz w:val="18"/>
              </w:rPr>
              <w:t>Lake</w:t>
            </w:r>
            <w:r>
              <w:rPr>
                <w:spacing w:val="-13"/>
                <w:sz w:val="18"/>
              </w:rPr>
              <w:t> </w:t>
            </w:r>
            <w:r>
              <w:rPr>
                <w:sz w:val="18"/>
              </w:rPr>
              <w:t>Thomas </w:t>
            </w:r>
            <w:r>
              <w:rPr>
                <w:spacing w:val="-2"/>
                <w:sz w:val="18"/>
              </w:rPr>
              <w:t>Campground</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jc w:val="center"/>
              <w:rPr>
                <w:sz w:val="18"/>
              </w:rPr>
            </w:pPr>
            <w:r>
              <w:rPr>
                <w:spacing w:val="-5"/>
                <w:sz w:val="18"/>
              </w:rPr>
              <w:t>17</w:t>
            </w:r>
          </w:p>
        </w:tc>
      </w:tr>
      <w:tr>
        <w:trPr>
          <w:trHeight w:val="493" w:hRule="atLeast"/>
        </w:trPr>
        <w:tc>
          <w:tcPr>
            <w:tcW w:w="2246" w:type="dxa"/>
          </w:tcPr>
          <w:p>
            <w:pPr>
              <w:pStyle w:val="TableParagraph"/>
              <w:spacing w:before="42"/>
              <w:ind w:left="107"/>
              <w:rPr>
                <w:sz w:val="18"/>
              </w:rPr>
            </w:pPr>
            <w:r>
              <w:rPr>
                <w:sz w:val="18"/>
              </w:rPr>
              <w:t>Lakeshore</w:t>
            </w:r>
            <w:r>
              <w:rPr>
                <w:spacing w:val="-11"/>
                <w:sz w:val="18"/>
              </w:rPr>
              <w:t> </w:t>
            </w:r>
            <w:r>
              <w:rPr>
                <w:spacing w:val="-2"/>
                <w:sz w:val="18"/>
              </w:rPr>
              <w:t>North</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2"/>
                <w:sz w:val="18"/>
              </w:rPr>
              <w:t>31,32</w:t>
            </w:r>
          </w:p>
        </w:tc>
      </w:tr>
      <w:tr>
        <w:trPr>
          <w:trHeight w:val="493" w:hRule="atLeast"/>
        </w:trPr>
        <w:tc>
          <w:tcPr>
            <w:tcW w:w="2246" w:type="dxa"/>
          </w:tcPr>
          <w:p>
            <w:pPr>
              <w:pStyle w:val="TableParagraph"/>
              <w:spacing w:before="42"/>
              <w:ind w:left="107"/>
              <w:rPr>
                <w:sz w:val="18"/>
              </w:rPr>
            </w:pPr>
            <w:r>
              <w:rPr>
                <w:sz w:val="18"/>
              </w:rPr>
              <w:t>Lakeshore</w:t>
            </w:r>
            <w:r>
              <w:rPr>
                <w:spacing w:val="-11"/>
                <w:sz w:val="18"/>
              </w:rPr>
              <w:t> </w:t>
            </w:r>
            <w:r>
              <w:rPr>
                <w:spacing w:val="-2"/>
                <w:sz w:val="18"/>
              </w:rPr>
              <w:t>South</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2"/>
                <w:sz w:val="18"/>
              </w:rPr>
              <w:t>17,18</w:t>
            </w:r>
          </w:p>
        </w:tc>
      </w:tr>
    </w:tbl>
    <w:p>
      <w:pPr>
        <w:pStyle w:val="TableParagraph"/>
        <w:spacing w:after="0"/>
        <w:jc w:val="center"/>
        <w:rPr>
          <w:sz w:val="18"/>
        </w:rPr>
        <w:sectPr>
          <w:type w:val="continuous"/>
          <w:pgSz w:w="12240" w:h="15840"/>
          <w:pgMar w:header="725" w:footer="891" w:top="1420" w:bottom="1350" w:left="1080" w:right="1080"/>
        </w:sectPr>
      </w:pPr>
    </w:p>
    <w:tbl>
      <w:tblPr>
        <w:tblW w:w="0" w:type="auto"/>
        <w:jc w:val="left"/>
        <w:tblInd w:w="801"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9"/>
        <w:gridCol w:w="920"/>
        <w:gridCol w:w="897"/>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6"/>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9" w:type="dxa"/>
            <w:tcBorders>
              <w:right w:val="nil"/>
            </w:tcBorders>
            <w:shd w:val="clear" w:color="auto" w:fill="D5E2BB"/>
          </w:tcPr>
          <w:p>
            <w:pPr>
              <w:pStyle w:val="TableParagraph"/>
              <w:ind w:left="28"/>
              <w:jc w:val="center"/>
              <w:rPr>
                <w:b/>
                <w:sz w:val="18"/>
              </w:rPr>
            </w:pPr>
            <w:r>
              <w:rPr>
                <w:b/>
                <w:spacing w:val="-2"/>
                <w:sz w:val="18"/>
              </w:rPr>
              <w:t>Township</w:t>
            </w:r>
          </w:p>
        </w:tc>
        <w:tc>
          <w:tcPr>
            <w:tcW w:w="920" w:type="dxa"/>
            <w:tcBorders>
              <w:left w:val="nil"/>
              <w:right w:val="nil"/>
            </w:tcBorders>
            <w:shd w:val="clear" w:color="auto" w:fill="D5E2BB"/>
          </w:tcPr>
          <w:p>
            <w:pPr>
              <w:pStyle w:val="TableParagraph"/>
              <w:ind w:left="40"/>
              <w:jc w:val="center"/>
              <w:rPr>
                <w:b/>
                <w:sz w:val="18"/>
              </w:rPr>
            </w:pPr>
            <w:r>
              <w:rPr>
                <w:b/>
                <w:spacing w:val="-2"/>
                <w:sz w:val="18"/>
              </w:rPr>
              <w:t>Range</w:t>
            </w:r>
          </w:p>
        </w:tc>
        <w:tc>
          <w:tcPr>
            <w:tcW w:w="897" w:type="dxa"/>
            <w:tcBorders>
              <w:left w:val="nil"/>
            </w:tcBorders>
            <w:shd w:val="clear" w:color="auto" w:fill="D5E2BB"/>
          </w:tcPr>
          <w:p>
            <w:pPr>
              <w:pStyle w:val="TableParagraph"/>
              <w:ind w:left="28"/>
              <w:jc w:val="center"/>
              <w:rPr>
                <w:b/>
                <w:sz w:val="18"/>
              </w:rPr>
            </w:pPr>
            <w:r>
              <w:rPr>
                <w:b/>
                <w:spacing w:val="-2"/>
                <w:sz w:val="18"/>
              </w:rPr>
              <w:t>Section</w:t>
            </w:r>
          </w:p>
        </w:tc>
      </w:tr>
      <w:tr>
        <w:trPr>
          <w:trHeight w:val="299" w:hRule="atLeast"/>
        </w:trPr>
        <w:tc>
          <w:tcPr>
            <w:tcW w:w="2246" w:type="dxa"/>
          </w:tcPr>
          <w:p>
            <w:pPr>
              <w:pStyle w:val="TableParagraph"/>
              <w:ind w:left="107"/>
              <w:rPr>
                <w:sz w:val="18"/>
              </w:rPr>
            </w:pPr>
            <w:r>
              <w:rPr>
                <w:spacing w:val="-2"/>
                <w:sz w:val="18"/>
              </w:rPr>
              <w:t>Lambert</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2"/>
                <w:sz w:val="18"/>
              </w:rPr>
              <w:t>3,4,9</w:t>
            </w:r>
          </w:p>
        </w:tc>
      </w:tr>
      <w:tr>
        <w:trPr>
          <w:trHeight w:val="299" w:hRule="atLeast"/>
        </w:trPr>
        <w:tc>
          <w:tcPr>
            <w:tcW w:w="2246" w:type="dxa"/>
          </w:tcPr>
          <w:p>
            <w:pPr>
              <w:pStyle w:val="TableParagraph"/>
              <w:ind w:left="107"/>
              <w:rPr>
                <w:sz w:val="18"/>
              </w:rPr>
            </w:pPr>
            <w:r>
              <w:rPr>
                <w:sz w:val="18"/>
              </w:rPr>
              <w:t>Lambert</w:t>
            </w:r>
            <w:r>
              <w:rPr>
                <w:spacing w:val="-9"/>
                <w:sz w:val="18"/>
              </w:rPr>
              <w:t>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5"/>
                <w:sz w:val="18"/>
              </w:rPr>
              <w:t>4,9</w:t>
            </w:r>
          </w:p>
        </w:tc>
      </w:tr>
      <w:tr>
        <w:trPr>
          <w:trHeight w:val="494" w:hRule="atLeast"/>
        </w:trPr>
        <w:tc>
          <w:tcPr>
            <w:tcW w:w="2246" w:type="dxa"/>
          </w:tcPr>
          <w:p>
            <w:pPr>
              <w:pStyle w:val="TableParagraph"/>
              <w:ind w:left="107"/>
              <w:rPr>
                <w:sz w:val="18"/>
              </w:rPr>
            </w:pPr>
            <w:r>
              <w:rPr>
                <w:sz w:val="18"/>
              </w:rPr>
              <w:t>Le</w:t>
            </w:r>
            <w:r>
              <w:rPr>
                <w:spacing w:val="-4"/>
                <w:sz w:val="18"/>
              </w:rPr>
              <w:t> </w:t>
            </w:r>
            <w:r>
              <w:rPr>
                <w:sz w:val="18"/>
              </w:rPr>
              <w:t>Clerc</w:t>
            </w:r>
            <w:r>
              <w:rPr>
                <w:spacing w:val="-4"/>
                <w:sz w:val="18"/>
              </w:rPr>
              <w:t> </w:t>
            </w:r>
            <w:r>
              <w:rPr>
                <w:sz w:val="18"/>
              </w:rPr>
              <w:t>Recreation</w:t>
            </w:r>
            <w:r>
              <w:rPr>
                <w:spacing w:val="-3"/>
                <w:sz w:val="18"/>
              </w:rPr>
              <w:t> </w:t>
            </w:r>
            <w:r>
              <w:rPr>
                <w:spacing w:val="-4"/>
                <w:sz w:val="18"/>
              </w:rPr>
              <w:t>Area</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19</w:t>
            </w:r>
          </w:p>
        </w:tc>
      </w:tr>
      <w:tr>
        <w:trPr>
          <w:trHeight w:val="299" w:hRule="atLeast"/>
        </w:trPr>
        <w:tc>
          <w:tcPr>
            <w:tcW w:w="2246" w:type="dxa"/>
          </w:tcPr>
          <w:p>
            <w:pPr>
              <w:pStyle w:val="TableParagraph"/>
              <w:ind w:left="107"/>
              <w:rPr>
                <w:sz w:val="18"/>
              </w:rPr>
            </w:pPr>
            <w:r>
              <w:rPr>
                <w:spacing w:val="-2"/>
                <w:sz w:val="18"/>
              </w:rPr>
              <w:t>Leona</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26,27</w:t>
            </w:r>
          </w:p>
        </w:tc>
      </w:tr>
      <w:tr>
        <w:trPr>
          <w:trHeight w:val="493" w:hRule="atLeast"/>
        </w:trPr>
        <w:tc>
          <w:tcPr>
            <w:tcW w:w="2246" w:type="dxa"/>
          </w:tcPr>
          <w:p>
            <w:pPr>
              <w:pStyle w:val="TableParagraph"/>
              <w:spacing w:before="42"/>
              <w:ind w:left="107"/>
              <w:rPr>
                <w:sz w:val="18"/>
              </w:rPr>
            </w:pPr>
            <w:r>
              <w:rPr>
                <w:sz w:val="18"/>
              </w:rPr>
              <w:t>Lime</w:t>
            </w:r>
            <w:r>
              <w:rPr>
                <w:spacing w:val="-4"/>
                <w:sz w:val="18"/>
              </w:rPr>
              <w:t> </w:t>
            </w:r>
            <w:r>
              <w:rPr>
                <w:spacing w:val="-2"/>
                <w:sz w:val="18"/>
              </w:rPr>
              <w:t>Creek</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14</w:t>
            </w:r>
          </w:p>
        </w:tc>
      </w:tr>
      <w:tr>
        <w:trPr>
          <w:trHeight w:val="602" w:hRule="atLeast"/>
        </w:trPr>
        <w:tc>
          <w:tcPr>
            <w:tcW w:w="2246" w:type="dxa"/>
          </w:tcPr>
          <w:p>
            <w:pPr>
              <w:pStyle w:val="TableParagraph"/>
              <w:spacing w:before="42"/>
              <w:ind w:left="107"/>
              <w:rPr>
                <w:sz w:val="18"/>
              </w:rPr>
            </w:pPr>
            <w:r>
              <w:rPr>
                <w:sz w:val="18"/>
              </w:rPr>
              <w:t>Little</w:t>
            </w:r>
            <w:r>
              <w:rPr>
                <w:spacing w:val="-15"/>
                <w:sz w:val="18"/>
              </w:rPr>
              <w:t> </w:t>
            </w:r>
            <w:r>
              <w:rPr>
                <w:sz w:val="18"/>
              </w:rPr>
              <w:t>Pend</w:t>
            </w:r>
            <w:r>
              <w:rPr>
                <w:spacing w:val="-12"/>
                <w:sz w:val="18"/>
              </w:rPr>
              <w:t> </w:t>
            </w:r>
            <w:r>
              <w:rPr>
                <w:sz w:val="18"/>
              </w:rPr>
              <w:t>Oreille Information Site</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19</w:t>
            </w:r>
          </w:p>
        </w:tc>
      </w:tr>
      <w:tr>
        <w:trPr>
          <w:trHeight w:val="494" w:hRule="atLeast"/>
        </w:trPr>
        <w:tc>
          <w:tcPr>
            <w:tcW w:w="2246" w:type="dxa"/>
          </w:tcPr>
          <w:p>
            <w:pPr>
              <w:pStyle w:val="TableParagraph"/>
              <w:ind w:left="107"/>
              <w:rPr>
                <w:sz w:val="18"/>
              </w:rPr>
            </w:pPr>
            <w:r>
              <w:rPr>
                <w:sz w:val="18"/>
              </w:rPr>
              <w:t>Little</w:t>
            </w:r>
            <w:r>
              <w:rPr>
                <w:spacing w:val="-3"/>
                <w:sz w:val="18"/>
              </w:rPr>
              <w:t> </w:t>
            </w:r>
            <w:r>
              <w:rPr>
                <w:sz w:val="18"/>
              </w:rPr>
              <w:t>Pend</w:t>
            </w:r>
            <w:r>
              <w:rPr>
                <w:spacing w:val="-2"/>
                <w:sz w:val="18"/>
              </w:rPr>
              <w:t> </w:t>
            </w:r>
            <w:r>
              <w:rPr>
                <w:sz w:val="18"/>
              </w:rPr>
              <w:t>Oreille</w:t>
            </w:r>
            <w:r>
              <w:rPr>
                <w:spacing w:val="-2"/>
                <w:sz w:val="18"/>
              </w:rPr>
              <w:t> </w:t>
            </w:r>
            <w:r>
              <w:rPr>
                <w:spacing w:val="-5"/>
                <w:sz w:val="18"/>
              </w:rPr>
              <w:t>Orv</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19</w:t>
            </w:r>
          </w:p>
        </w:tc>
      </w:tr>
      <w:tr>
        <w:trPr>
          <w:trHeight w:val="493" w:hRule="atLeast"/>
        </w:trPr>
        <w:tc>
          <w:tcPr>
            <w:tcW w:w="2246" w:type="dxa"/>
          </w:tcPr>
          <w:p>
            <w:pPr>
              <w:pStyle w:val="TableParagraph"/>
              <w:ind w:left="107"/>
              <w:rPr>
                <w:sz w:val="18"/>
              </w:rPr>
            </w:pPr>
            <w:r>
              <w:rPr>
                <w:sz w:val="18"/>
              </w:rPr>
              <w:t>Little</w:t>
            </w:r>
            <w:r>
              <w:rPr>
                <w:spacing w:val="-4"/>
                <w:sz w:val="18"/>
              </w:rPr>
              <w:t> </w:t>
            </w:r>
            <w:r>
              <w:rPr>
                <w:sz w:val="18"/>
              </w:rPr>
              <w:t>Twin</w:t>
            </w:r>
            <w:r>
              <w:rPr>
                <w:spacing w:val="-3"/>
                <w:sz w:val="18"/>
              </w:rPr>
              <w:t> </w:t>
            </w:r>
            <w:r>
              <w:rPr>
                <w:spacing w:val="-2"/>
                <w:sz w:val="18"/>
              </w:rPr>
              <w:t>Lakes</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ind w:left="28" w:right="5"/>
              <w:jc w:val="center"/>
              <w:rPr>
                <w:sz w:val="18"/>
              </w:rPr>
            </w:pPr>
            <w:r>
              <w:rPr>
                <w:spacing w:val="-10"/>
                <w:sz w:val="18"/>
              </w:rPr>
              <w:t>4</w:t>
            </w:r>
          </w:p>
        </w:tc>
      </w:tr>
      <w:tr>
        <w:trPr>
          <w:trHeight w:val="494" w:hRule="atLeast"/>
        </w:trPr>
        <w:tc>
          <w:tcPr>
            <w:tcW w:w="2246" w:type="dxa"/>
          </w:tcPr>
          <w:p>
            <w:pPr>
              <w:pStyle w:val="TableParagraph"/>
              <w:ind w:left="107"/>
              <w:rPr>
                <w:sz w:val="18"/>
              </w:rPr>
            </w:pPr>
            <w:r>
              <w:rPr>
                <w:sz w:val="18"/>
              </w:rPr>
              <w:t>Little</w:t>
            </w:r>
            <w:r>
              <w:rPr>
                <w:spacing w:val="-4"/>
                <w:sz w:val="18"/>
              </w:rPr>
              <w:t> </w:t>
            </w:r>
            <w:r>
              <w:rPr>
                <w:sz w:val="18"/>
              </w:rPr>
              <w:t>Twin</w:t>
            </w:r>
            <w:r>
              <w:rPr>
                <w:spacing w:val="-3"/>
                <w:sz w:val="18"/>
              </w:rPr>
              <w:t> </w:t>
            </w:r>
            <w:r>
              <w:rPr>
                <w:spacing w:val="-2"/>
                <w:sz w:val="18"/>
              </w:rPr>
              <w:t>Lakes</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2"/>
                <w:sz w:val="18"/>
              </w:rPr>
              <w:t>4,32,33</w:t>
            </w:r>
          </w:p>
        </w:tc>
      </w:tr>
      <w:tr>
        <w:trPr>
          <w:trHeight w:val="599" w:hRule="atLeast"/>
        </w:trPr>
        <w:tc>
          <w:tcPr>
            <w:tcW w:w="2246" w:type="dxa"/>
          </w:tcPr>
          <w:p>
            <w:pPr>
              <w:pStyle w:val="TableParagraph"/>
              <w:ind w:left="107" w:right="121"/>
              <w:rPr>
                <w:sz w:val="18"/>
              </w:rPr>
            </w:pPr>
            <w:r>
              <w:rPr>
                <w:sz w:val="18"/>
              </w:rPr>
              <w:t>Little</w:t>
            </w:r>
            <w:r>
              <w:rPr>
                <w:spacing w:val="-15"/>
                <w:sz w:val="18"/>
              </w:rPr>
              <w:t> </w:t>
            </w:r>
            <w:r>
              <w:rPr>
                <w:sz w:val="18"/>
              </w:rPr>
              <w:t>Twin</w:t>
            </w:r>
            <w:r>
              <w:rPr>
                <w:spacing w:val="-12"/>
                <w:sz w:val="18"/>
              </w:rPr>
              <w:t> </w:t>
            </w:r>
            <w:r>
              <w:rPr>
                <w:sz w:val="18"/>
              </w:rPr>
              <w:t>Lakes Recreation Area</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41</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33</w:t>
            </w:r>
          </w:p>
        </w:tc>
      </w:tr>
      <w:tr>
        <w:trPr>
          <w:trHeight w:val="599" w:hRule="atLeast"/>
        </w:trPr>
        <w:tc>
          <w:tcPr>
            <w:tcW w:w="2246" w:type="dxa"/>
          </w:tcPr>
          <w:p>
            <w:pPr>
              <w:pStyle w:val="TableParagraph"/>
              <w:ind w:left="107" w:right="121"/>
              <w:rPr>
                <w:sz w:val="18"/>
              </w:rPr>
            </w:pPr>
            <w:r>
              <w:rPr>
                <w:sz w:val="18"/>
              </w:rPr>
              <w:t>Log</w:t>
            </w:r>
            <w:r>
              <w:rPr>
                <w:spacing w:val="-15"/>
                <w:sz w:val="18"/>
              </w:rPr>
              <w:t> </w:t>
            </w:r>
            <w:r>
              <w:rPr>
                <w:sz w:val="18"/>
              </w:rPr>
              <w:t>Flume</w:t>
            </w:r>
            <w:r>
              <w:rPr>
                <w:spacing w:val="-12"/>
                <w:sz w:val="18"/>
              </w:rPr>
              <w:t> </w:t>
            </w:r>
            <w:r>
              <w:rPr>
                <w:sz w:val="18"/>
              </w:rPr>
              <w:t>Heritage Interpretive Site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36</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25,36</w:t>
            </w:r>
          </w:p>
        </w:tc>
      </w:tr>
      <w:tr>
        <w:trPr>
          <w:trHeight w:val="299" w:hRule="atLeast"/>
        </w:trPr>
        <w:tc>
          <w:tcPr>
            <w:tcW w:w="2246" w:type="dxa"/>
          </w:tcPr>
          <w:p>
            <w:pPr>
              <w:pStyle w:val="TableParagraph"/>
              <w:ind w:left="107"/>
              <w:rPr>
                <w:sz w:val="18"/>
              </w:rPr>
            </w:pPr>
            <w:r>
              <w:rPr>
                <w:sz w:val="18"/>
              </w:rPr>
              <w:t>Long</w:t>
            </w:r>
            <w:r>
              <w:rPr>
                <w:spacing w:val="-2"/>
                <w:sz w:val="18"/>
              </w:rPr>
              <w:t> </w:t>
            </w:r>
            <w:r>
              <w:rPr>
                <w:sz w:val="18"/>
              </w:rPr>
              <w:t>&amp;</w:t>
            </w:r>
            <w:r>
              <w:rPr>
                <w:spacing w:val="-6"/>
                <w:sz w:val="18"/>
              </w:rPr>
              <w:t> </w:t>
            </w:r>
            <w:r>
              <w:rPr>
                <w:sz w:val="18"/>
              </w:rPr>
              <w:t>Fish</w:t>
            </w:r>
            <w:r>
              <w:rPr>
                <w:spacing w:val="-2"/>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28,33</w:t>
            </w:r>
          </w:p>
        </w:tc>
      </w:tr>
      <w:tr>
        <w:trPr>
          <w:trHeight w:val="299" w:hRule="atLeast"/>
        </w:trPr>
        <w:tc>
          <w:tcPr>
            <w:tcW w:w="2246" w:type="dxa"/>
          </w:tcPr>
          <w:p>
            <w:pPr>
              <w:pStyle w:val="TableParagraph"/>
              <w:ind w:left="107"/>
              <w:rPr>
                <w:sz w:val="18"/>
              </w:rPr>
            </w:pPr>
            <w:r>
              <w:rPr>
                <w:sz w:val="18"/>
              </w:rPr>
              <w:t>Long</w:t>
            </w:r>
            <w:r>
              <w:rPr>
                <w:spacing w:val="-4"/>
                <w:sz w:val="18"/>
              </w:rPr>
              <w:t> Alec</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31</w:t>
            </w:r>
          </w:p>
        </w:tc>
      </w:tr>
      <w:tr>
        <w:trPr>
          <w:trHeight w:val="299" w:hRule="atLeast"/>
        </w:trPr>
        <w:tc>
          <w:tcPr>
            <w:tcW w:w="2246" w:type="dxa"/>
          </w:tcPr>
          <w:p>
            <w:pPr>
              <w:pStyle w:val="TableParagraph"/>
              <w:ind w:left="107"/>
              <w:rPr>
                <w:sz w:val="18"/>
              </w:rPr>
            </w:pPr>
            <w:r>
              <w:rPr>
                <w:sz w:val="18"/>
              </w:rPr>
              <w:t>Long</w:t>
            </w:r>
            <w:r>
              <w:rPr>
                <w:spacing w:val="-8"/>
                <w:sz w:val="18"/>
              </w:rPr>
              <w:t> </w:t>
            </w:r>
            <w:r>
              <w:rPr>
                <w:sz w:val="18"/>
              </w:rPr>
              <w:t>Lake</w:t>
            </w:r>
            <w:r>
              <w:rPr>
                <w:spacing w:val="-4"/>
                <w:sz w:val="18"/>
              </w:rPr>
              <w:t> </w:t>
            </w:r>
            <w:r>
              <w:rPr>
                <w:spacing w:val="-2"/>
                <w:sz w:val="18"/>
              </w:rPr>
              <w:t>Campground</w:t>
            </w:r>
          </w:p>
        </w:tc>
        <w:tc>
          <w:tcPr>
            <w:tcW w:w="1708" w:type="dxa"/>
          </w:tcPr>
          <w:p>
            <w:pPr>
              <w:pStyle w:val="TableParagraph"/>
              <w:ind w:left="11"/>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4"/>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28</w:t>
            </w:r>
          </w:p>
        </w:tc>
      </w:tr>
      <w:tr>
        <w:trPr>
          <w:trHeight w:val="493" w:hRule="atLeast"/>
        </w:trPr>
        <w:tc>
          <w:tcPr>
            <w:tcW w:w="2246" w:type="dxa"/>
          </w:tcPr>
          <w:p>
            <w:pPr>
              <w:pStyle w:val="TableParagraph"/>
              <w:spacing w:before="42"/>
              <w:ind w:left="107"/>
              <w:rPr>
                <w:sz w:val="18"/>
              </w:rPr>
            </w:pPr>
            <w:r>
              <w:rPr>
                <w:sz w:val="18"/>
              </w:rPr>
              <w:t>Lost</w:t>
            </w:r>
            <w:r>
              <w:rPr>
                <w:spacing w:val="-3"/>
                <w:sz w:val="18"/>
              </w:rPr>
              <w:t> </w:t>
            </w:r>
            <w:r>
              <w:rPr>
                <w:spacing w:val="-2"/>
                <w:sz w:val="18"/>
              </w:rPr>
              <w:t>Creek</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spacing w:before="42"/>
              <w:ind w:left="28" w:right="3"/>
              <w:jc w:val="center"/>
              <w:rPr>
                <w:sz w:val="18"/>
              </w:rPr>
            </w:pPr>
            <w:r>
              <w:rPr>
                <w:spacing w:val="-2"/>
                <w:sz w:val="18"/>
              </w:rPr>
              <w:t>15,22</w:t>
            </w:r>
          </w:p>
        </w:tc>
      </w:tr>
      <w:tr>
        <w:trPr>
          <w:trHeight w:val="493" w:hRule="atLeast"/>
        </w:trPr>
        <w:tc>
          <w:tcPr>
            <w:tcW w:w="2246" w:type="dxa"/>
          </w:tcPr>
          <w:p>
            <w:pPr>
              <w:pStyle w:val="TableParagraph"/>
              <w:spacing w:before="42"/>
              <w:ind w:left="107"/>
              <w:rPr>
                <w:sz w:val="18"/>
              </w:rPr>
            </w:pPr>
            <w:r>
              <w:rPr>
                <w:spacing w:val="-2"/>
                <w:sz w:val="18"/>
              </w:rPr>
              <w:t>Lower</w:t>
            </w:r>
            <w:r>
              <w:rPr>
                <w:spacing w:val="-4"/>
                <w:sz w:val="18"/>
              </w:rPr>
              <w:t> Wolf</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31</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13</w:t>
            </w:r>
          </w:p>
        </w:tc>
      </w:tr>
      <w:tr>
        <w:trPr>
          <w:trHeight w:val="494" w:hRule="atLeast"/>
        </w:trPr>
        <w:tc>
          <w:tcPr>
            <w:tcW w:w="2246" w:type="dxa"/>
          </w:tcPr>
          <w:p>
            <w:pPr>
              <w:pStyle w:val="TableParagraph"/>
              <w:spacing w:before="42"/>
              <w:ind w:left="107"/>
              <w:rPr>
                <w:sz w:val="18"/>
              </w:rPr>
            </w:pPr>
            <w:r>
              <w:rPr>
                <w:spacing w:val="-2"/>
                <w:sz w:val="18"/>
              </w:rPr>
              <w:t>Lower</w:t>
            </w:r>
            <w:r>
              <w:rPr>
                <w:spacing w:val="-4"/>
                <w:sz w:val="18"/>
              </w:rPr>
              <w:t> Wolf</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31</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46</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13</w:t>
            </w:r>
          </w:p>
        </w:tc>
      </w:tr>
      <w:tr>
        <w:trPr>
          <w:trHeight w:val="302" w:hRule="atLeast"/>
        </w:trPr>
        <w:tc>
          <w:tcPr>
            <w:tcW w:w="2246" w:type="dxa"/>
          </w:tcPr>
          <w:p>
            <w:pPr>
              <w:pStyle w:val="TableParagraph"/>
              <w:spacing w:before="42"/>
              <w:ind w:left="107"/>
              <w:rPr>
                <w:sz w:val="18"/>
              </w:rPr>
            </w:pPr>
            <w:r>
              <w:rPr>
                <w:sz w:val="18"/>
              </w:rPr>
              <w:t>Maple</w:t>
            </w:r>
            <w:r>
              <w:rPr>
                <w:spacing w:val="-7"/>
                <w:sz w:val="18"/>
              </w:rPr>
              <w:t> </w:t>
            </w:r>
            <w:r>
              <w:rPr>
                <w:spacing w:val="-5"/>
                <w:sz w:val="18"/>
              </w:rPr>
              <w:t>Mtn</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spacing w:before="42"/>
              <w:ind w:left="28"/>
              <w:jc w:val="center"/>
              <w:rPr>
                <w:sz w:val="18"/>
              </w:rPr>
            </w:pPr>
            <w:r>
              <w:rPr>
                <w:spacing w:val="-5"/>
                <w:sz w:val="18"/>
              </w:rPr>
              <w:t>18</w:t>
            </w:r>
          </w:p>
        </w:tc>
      </w:tr>
      <w:tr>
        <w:trPr>
          <w:trHeight w:val="299" w:hRule="atLeast"/>
        </w:trPr>
        <w:tc>
          <w:tcPr>
            <w:tcW w:w="2246" w:type="dxa"/>
          </w:tcPr>
          <w:p>
            <w:pPr>
              <w:pStyle w:val="TableParagraph"/>
              <w:ind w:left="107"/>
              <w:rPr>
                <w:sz w:val="18"/>
              </w:rPr>
            </w:pPr>
            <w:r>
              <w:rPr>
                <w:sz w:val="18"/>
              </w:rPr>
              <w:t>Maple</w:t>
            </w:r>
            <w:r>
              <w:rPr>
                <w:spacing w:val="-7"/>
                <w:sz w:val="18"/>
              </w:rPr>
              <w:t> </w:t>
            </w:r>
            <w:r>
              <w:rPr>
                <w:spacing w:val="-5"/>
                <w:sz w:val="18"/>
              </w:rPr>
              <w:t>Mtn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Okanogan/Republic</w:t>
            </w:r>
            <w:r>
              <w:rPr>
                <w:spacing w:val="-8"/>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18</w:t>
            </w:r>
          </w:p>
        </w:tc>
      </w:tr>
      <w:tr>
        <w:trPr>
          <w:trHeight w:val="299" w:hRule="atLeast"/>
        </w:trPr>
        <w:tc>
          <w:tcPr>
            <w:tcW w:w="2246" w:type="dxa"/>
          </w:tcPr>
          <w:p>
            <w:pPr>
              <w:pStyle w:val="TableParagraph"/>
              <w:ind w:left="107"/>
              <w:rPr>
                <w:sz w:val="18"/>
              </w:rPr>
            </w:pPr>
            <w:r>
              <w:rPr>
                <w:spacing w:val="-2"/>
                <w:sz w:val="18"/>
              </w:rPr>
              <w:t>Marcus</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16,21</w:t>
            </w:r>
          </w:p>
        </w:tc>
      </w:tr>
      <w:tr>
        <w:trPr>
          <w:trHeight w:val="494" w:hRule="atLeast"/>
        </w:trPr>
        <w:tc>
          <w:tcPr>
            <w:tcW w:w="2246" w:type="dxa"/>
          </w:tcPr>
          <w:p>
            <w:pPr>
              <w:pStyle w:val="TableParagraph"/>
              <w:ind w:left="107"/>
              <w:rPr>
                <w:sz w:val="18"/>
              </w:rPr>
            </w:pPr>
            <w:r>
              <w:rPr>
                <w:sz w:val="18"/>
              </w:rPr>
              <w:t>Middle</w:t>
            </w:r>
            <w:r>
              <w:rPr>
                <w:spacing w:val="-5"/>
                <w:sz w:val="18"/>
              </w:rPr>
              <w:t> </w:t>
            </w:r>
            <w:r>
              <w:rPr>
                <w:sz w:val="18"/>
              </w:rPr>
              <w:t>Fork</w:t>
            </w:r>
            <w:r>
              <w:rPr>
                <w:spacing w:val="-3"/>
                <w:sz w:val="18"/>
              </w:rPr>
              <w:t> </w:t>
            </w:r>
            <w:r>
              <w:rPr>
                <w:spacing w:val="-2"/>
                <w:sz w:val="18"/>
              </w:rPr>
              <w:t>Calispell</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25,30</w:t>
            </w:r>
          </w:p>
        </w:tc>
      </w:tr>
      <w:tr>
        <w:trPr>
          <w:trHeight w:val="493" w:hRule="atLeast"/>
        </w:trPr>
        <w:tc>
          <w:tcPr>
            <w:tcW w:w="2246" w:type="dxa"/>
          </w:tcPr>
          <w:p>
            <w:pPr>
              <w:pStyle w:val="TableParagraph"/>
              <w:ind w:left="107"/>
              <w:rPr>
                <w:sz w:val="18"/>
              </w:rPr>
            </w:pPr>
            <w:r>
              <w:rPr>
                <w:sz w:val="18"/>
              </w:rPr>
              <w:t>Middle</w:t>
            </w:r>
            <w:r>
              <w:rPr>
                <w:spacing w:val="-5"/>
                <w:sz w:val="18"/>
              </w:rPr>
              <w:t> </w:t>
            </w:r>
            <w:r>
              <w:rPr>
                <w:sz w:val="18"/>
              </w:rPr>
              <w:t>Fork</w:t>
            </w:r>
            <w:r>
              <w:rPr>
                <w:spacing w:val="-3"/>
                <w:sz w:val="18"/>
              </w:rPr>
              <w:t> </w:t>
            </w:r>
            <w:r>
              <w:rPr>
                <w:spacing w:val="-2"/>
                <w:sz w:val="18"/>
              </w:rPr>
              <w:t>Calispell</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30</w:t>
            </w:r>
          </w:p>
        </w:tc>
      </w:tr>
      <w:tr>
        <w:trPr>
          <w:trHeight w:val="493" w:hRule="atLeast"/>
        </w:trPr>
        <w:tc>
          <w:tcPr>
            <w:tcW w:w="2246" w:type="dxa"/>
          </w:tcPr>
          <w:p>
            <w:pPr>
              <w:pStyle w:val="TableParagraph"/>
              <w:ind w:left="107"/>
              <w:rPr>
                <w:sz w:val="18"/>
              </w:rPr>
            </w:pPr>
            <w:r>
              <w:rPr>
                <w:sz w:val="18"/>
              </w:rPr>
              <w:t>Mill</w:t>
            </w:r>
            <w:r>
              <w:rPr>
                <w:spacing w:val="-6"/>
                <w:sz w:val="18"/>
              </w:rPr>
              <w:t> </w:t>
            </w:r>
            <w:r>
              <w:rPr>
                <w:sz w:val="18"/>
              </w:rPr>
              <w:t>Pond</w:t>
            </w:r>
            <w:r>
              <w:rPr>
                <w:spacing w:val="-5"/>
                <w:sz w:val="18"/>
              </w:rPr>
              <w:t>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ind w:left="28"/>
              <w:jc w:val="center"/>
              <w:rPr>
                <w:sz w:val="18"/>
              </w:rPr>
            </w:pPr>
            <w:r>
              <w:rPr>
                <w:spacing w:val="-5"/>
                <w:sz w:val="18"/>
              </w:rPr>
              <w:t>30</w:t>
            </w:r>
          </w:p>
        </w:tc>
      </w:tr>
      <w:tr>
        <w:trPr>
          <w:trHeight w:val="494" w:hRule="atLeast"/>
        </w:trPr>
        <w:tc>
          <w:tcPr>
            <w:tcW w:w="2246" w:type="dxa"/>
          </w:tcPr>
          <w:p>
            <w:pPr>
              <w:pStyle w:val="TableParagraph"/>
              <w:ind w:left="107" w:right="195"/>
              <w:rPr>
                <w:sz w:val="18"/>
              </w:rPr>
            </w:pPr>
            <w:r>
              <w:rPr>
                <w:sz w:val="18"/>
              </w:rPr>
              <w:t>Mill</w:t>
            </w:r>
            <w:r>
              <w:rPr>
                <w:spacing w:val="-15"/>
                <w:sz w:val="18"/>
              </w:rPr>
              <w:t> </w:t>
            </w:r>
            <w:r>
              <w:rPr>
                <w:sz w:val="18"/>
              </w:rPr>
              <w:t>Pond</w:t>
            </w:r>
            <w:r>
              <w:rPr>
                <w:spacing w:val="-12"/>
                <w:sz w:val="18"/>
              </w:rPr>
              <w:t> </w:t>
            </w:r>
            <w:r>
              <w:rPr>
                <w:sz w:val="18"/>
              </w:rPr>
              <w:t>Flume </w:t>
            </w:r>
            <w:r>
              <w:rPr>
                <w:spacing w:val="-2"/>
                <w:sz w:val="18"/>
              </w:rPr>
              <w:t>Trailhead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2"/>
                <w:sz w:val="18"/>
              </w:rPr>
              <w:t>24,25</w:t>
            </w:r>
          </w:p>
        </w:tc>
      </w:tr>
      <w:tr>
        <w:trPr>
          <w:trHeight w:val="493" w:hRule="atLeast"/>
        </w:trPr>
        <w:tc>
          <w:tcPr>
            <w:tcW w:w="2246" w:type="dxa"/>
          </w:tcPr>
          <w:p>
            <w:pPr>
              <w:pStyle w:val="TableParagraph"/>
              <w:ind w:left="107" w:right="195"/>
              <w:rPr>
                <w:sz w:val="18"/>
              </w:rPr>
            </w:pPr>
            <w:r>
              <w:rPr>
                <w:sz w:val="18"/>
              </w:rPr>
              <w:t>Mill</w:t>
            </w:r>
            <w:r>
              <w:rPr>
                <w:spacing w:val="-15"/>
                <w:sz w:val="18"/>
              </w:rPr>
              <w:t> </w:t>
            </w:r>
            <w:r>
              <w:rPr>
                <w:sz w:val="18"/>
              </w:rPr>
              <w:t>Pond</w:t>
            </w:r>
            <w:r>
              <w:rPr>
                <w:spacing w:val="-12"/>
                <w:sz w:val="18"/>
              </w:rPr>
              <w:t> </w:t>
            </w:r>
            <w:r>
              <w:rPr>
                <w:sz w:val="18"/>
              </w:rPr>
              <w:t>Flume </w:t>
            </w:r>
            <w:r>
              <w:rPr>
                <w:spacing w:val="-2"/>
                <w:sz w:val="18"/>
              </w:rPr>
              <w:t>Trailhead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7" w:type="dxa"/>
            <w:tcBorders>
              <w:left w:val="nil"/>
            </w:tcBorders>
          </w:tcPr>
          <w:p>
            <w:pPr>
              <w:pStyle w:val="TableParagraph"/>
              <w:spacing w:line="207" w:lineRule="exact"/>
              <w:ind w:left="28" w:right="3"/>
              <w:jc w:val="center"/>
              <w:rPr>
                <w:sz w:val="18"/>
              </w:rPr>
            </w:pPr>
            <w:r>
              <w:rPr>
                <w:spacing w:val="-2"/>
                <w:sz w:val="18"/>
              </w:rPr>
              <w:t>19,24,2</w:t>
            </w:r>
          </w:p>
          <w:p>
            <w:pPr>
              <w:pStyle w:val="TableParagraph"/>
              <w:spacing w:line="207" w:lineRule="exact" w:before="0"/>
              <w:ind w:left="28" w:right="3"/>
              <w:jc w:val="center"/>
              <w:rPr>
                <w:sz w:val="18"/>
              </w:rPr>
            </w:pPr>
            <w:r>
              <w:rPr>
                <w:spacing w:val="-4"/>
                <w:sz w:val="18"/>
              </w:rPr>
              <w:t>5,30</w:t>
            </w:r>
          </w:p>
        </w:tc>
      </w:tr>
      <w:tr>
        <w:trPr>
          <w:trHeight w:val="493" w:hRule="atLeast"/>
        </w:trPr>
        <w:tc>
          <w:tcPr>
            <w:tcW w:w="2246" w:type="dxa"/>
          </w:tcPr>
          <w:p>
            <w:pPr>
              <w:pStyle w:val="TableParagraph"/>
              <w:ind w:left="107"/>
              <w:rPr>
                <w:sz w:val="18"/>
              </w:rPr>
            </w:pPr>
            <w:r>
              <w:rPr>
                <w:sz w:val="18"/>
              </w:rPr>
              <w:t>Muddy</w:t>
            </w:r>
            <w:r>
              <w:rPr>
                <w:spacing w:val="-11"/>
                <w:sz w:val="18"/>
              </w:rPr>
              <w:t> </w:t>
            </w:r>
            <w:r>
              <w:rPr>
                <w:spacing w:val="-2"/>
                <w:sz w:val="18"/>
              </w:rPr>
              <w:t>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37</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7" w:type="dxa"/>
            <w:tcBorders>
              <w:left w:val="nil"/>
            </w:tcBorders>
          </w:tcPr>
          <w:p>
            <w:pPr>
              <w:pStyle w:val="TableParagraph"/>
              <w:ind w:left="28" w:right="3"/>
              <w:jc w:val="center"/>
              <w:rPr>
                <w:sz w:val="18"/>
              </w:rPr>
            </w:pPr>
            <w:r>
              <w:rPr>
                <w:spacing w:val="-2"/>
                <w:sz w:val="18"/>
              </w:rPr>
              <w:t>12,32</w:t>
            </w:r>
          </w:p>
        </w:tc>
      </w:tr>
      <w:tr>
        <w:trPr>
          <w:trHeight w:val="493" w:hRule="atLeast"/>
        </w:trPr>
        <w:tc>
          <w:tcPr>
            <w:tcW w:w="2246" w:type="dxa"/>
          </w:tcPr>
          <w:p>
            <w:pPr>
              <w:pStyle w:val="TableParagraph"/>
              <w:ind w:left="107"/>
              <w:rPr>
                <w:sz w:val="18"/>
              </w:rPr>
            </w:pPr>
            <w:r>
              <w:rPr>
                <w:sz w:val="18"/>
              </w:rPr>
              <w:t>Mystic</w:t>
            </w:r>
            <w:r>
              <w:rPr>
                <w:spacing w:val="-8"/>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7" w:type="dxa"/>
            <w:tcBorders>
              <w:left w:val="nil"/>
            </w:tcBorders>
          </w:tcPr>
          <w:p>
            <w:pPr>
              <w:pStyle w:val="TableParagraph"/>
              <w:ind w:left="28" w:right="2"/>
              <w:jc w:val="center"/>
              <w:rPr>
                <w:sz w:val="18"/>
              </w:rPr>
            </w:pPr>
            <w:r>
              <w:rPr>
                <w:spacing w:val="-2"/>
                <w:sz w:val="18"/>
              </w:rPr>
              <w:t>29,32</w:t>
            </w:r>
          </w:p>
        </w:tc>
      </w:tr>
    </w:tbl>
    <w:p>
      <w:pPr>
        <w:pStyle w:val="TableParagraph"/>
        <w:spacing w:after="0"/>
        <w:jc w:val="center"/>
        <w:rPr>
          <w:sz w:val="18"/>
        </w:rPr>
        <w:sectPr>
          <w:type w:val="continuous"/>
          <w:pgSz w:w="12240" w:h="15840"/>
          <w:pgMar w:header="725" w:footer="891" w:top="1420" w:bottom="1495" w:left="1080" w:right="1080"/>
        </w:sect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8"/>
        <w:gridCol w:w="919"/>
        <w:gridCol w:w="900"/>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10"/>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8" w:type="dxa"/>
            <w:tcBorders>
              <w:right w:val="nil"/>
            </w:tcBorders>
            <w:shd w:val="clear" w:color="auto" w:fill="D5E2BB"/>
          </w:tcPr>
          <w:p>
            <w:pPr>
              <w:pStyle w:val="TableParagraph"/>
              <w:ind w:left="29"/>
              <w:jc w:val="center"/>
              <w:rPr>
                <w:b/>
                <w:sz w:val="18"/>
              </w:rPr>
            </w:pPr>
            <w:r>
              <w:rPr>
                <w:b/>
                <w:spacing w:val="-2"/>
                <w:sz w:val="18"/>
              </w:rPr>
              <w:t>Township</w:t>
            </w:r>
          </w:p>
        </w:tc>
        <w:tc>
          <w:tcPr>
            <w:tcW w:w="919" w:type="dxa"/>
            <w:tcBorders>
              <w:left w:val="nil"/>
              <w:right w:val="nil"/>
            </w:tcBorders>
            <w:shd w:val="clear" w:color="auto" w:fill="D5E2BB"/>
          </w:tcPr>
          <w:p>
            <w:pPr>
              <w:pStyle w:val="TableParagraph"/>
              <w:ind w:left="38"/>
              <w:jc w:val="center"/>
              <w:rPr>
                <w:b/>
                <w:sz w:val="18"/>
              </w:rPr>
            </w:pPr>
            <w:r>
              <w:rPr>
                <w:b/>
                <w:spacing w:val="-2"/>
                <w:sz w:val="18"/>
              </w:rPr>
              <w:t>Range</w:t>
            </w:r>
          </w:p>
        </w:tc>
        <w:tc>
          <w:tcPr>
            <w:tcW w:w="900" w:type="dxa"/>
            <w:tcBorders>
              <w:left w:val="nil"/>
            </w:tcBorders>
            <w:shd w:val="clear" w:color="auto" w:fill="D5E2BB"/>
          </w:tcPr>
          <w:p>
            <w:pPr>
              <w:pStyle w:val="TableParagraph"/>
              <w:ind w:left="25" w:right="1"/>
              <w:jc w:val="center"/>
              <w:rPr>
                <w:b/>
                <w:sz w:val="18"/>
              </w:rPr>
            </w:pPr>
            <w:r>
              <w:rPr>
                <w:b/>
                <w:spacing w:val="-2"/>
                <w:sz w:val="18"/>
              </w:rPr>
              <w:t>Section</w:t>
            </w:r>
          </w:p>
        </w:tc>
      </w:tr>
      <w:tr>
        <w:trPr>
          <w:trHeight w:val="299" w:hRule="atLeast"/>
        </w:trPr>
        <w:tc>
          <w:tcPr>
            <w:tcW w:w="2246" w:type="dxa"/>
          </w:tcPr>
          <w:p>
            <w:pPr>
              <w:pStyle w:val="TableParagraph"/>
              <w:ind w:left="107"/>
              <w:rPr>
                <w:sz w:val="18"/>
              </w:rPr>
            </w:pPr>
            <w:r>
              <w:rPr>
                <w:sz w:val="18"/>
              </w:rPr>
              <w:t>Ninemile</w:t>
            </w:r>
            <w:r>
              <w:rPr>
                <w:spacing w:val="-7"/>
                <w:sz w:val="18"/>
              </w:rPr>
              <w:t> </w:t>
            </w:r>
            <w:r>
              <w:rPr>
                <w:spacing w:val="-2"/>
                <w:sz w:val="18"/>
              </w:rPr>
              <w:t>Falls</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33</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11</w:t>
            </w:r>
          </w:p>
        </w:tc>
      </w:tr>
      <w:tr>
        <w:trPr>
          <w:trHeight w:val="494" w:hRule="atLeast"/>
        </w:trPr>
        <w:tc>
          <w:tcPr>
            <w:tcW w:w="2246" w:type="dxa"/>
          </w:tcPr>
          <w:p>
            <w:pPr>
              <w:pStyle w:val="TableParagraph"/>
              <w:ind w:left="107"/>
              <w:rPr>
                <w:sz w:val="18"/>
              </w:rPr>
            </w:pPr>
            <w:r>
              <w:rPr>
                <w:sz w:val="18"/>
              </w:rPr>
              <w:t>No</w:t>
            </w:r>
            <w:r>
              <w:rPr>
                <w:spacing w:val="-1"/>
                <w:sz w:val="18"/>
              </w:rPr>
              <w:t> </w:t>
            </w:r>
            <w:r>
              <w:rPr>
                <w:sz w:val="18"/>
              </w:rPr>
              <w:t>Name</w:t>
            </w:r>
            <w:r>
              <w:rPr>
                <w:spacing w:val="-4"/>
                <w:sz w:val="18"/>
              </w:rPr>
              <w:t> 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2"/>
                <w:sz w:val="18"/>
              </w:rPr>
              <w:t>4,5,8,9</w:t>
            </w:r>
          </w:p>
        </w:tc>
      </w:tr>
      <w:tr>
        <w:trPr>
          <w:trHeight w:val="493" w:hRule="atLeast"/>
        </w:trPr>
        <w:tc>
          <w:tcPr>
            <w:tcW w:w="2246" w:type="dxa"/>
          </w:tcPr>
          <w:p>
            <w:pPr>
              <w:pStyle w:val="TableParagraph"/>
              <w:ind w:left="107"/>
              <w:rPr>
                <w:sz w:val="18"/>
              </w:rPr>
            </w:pPr>
            <w:r>
              <w:rPr>
                <w:sz w:val="18"/>
              </w:rPr>
              <w:t>Noisy</w:t>
            </w:r>
            <w:r>
              <w:rPr>
                <w:spacing w:val="-4"/>
                <w:sz w:val="18"/>
              </w:rPr>
              <w:t> </w:t>
            </w:r>
            <w:r>
              <w:rPr>
                <w:spacing w:val="-2"/>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line="207" w:lineRule="exact"/>
              <w:ind w:left="25" w:right="4"/>
              <w:jc w:val="center"/>
              <w:rPr>
                <w:sz w:val="18"/>
              </w:rPr>
            </w:pPr>
            <w:r>
              <w:rPr>
                <w:spacing w:val="-2"/>
                <w:sz w:val="18"/>
              </w:rPr>
              <w:t>17,18,1</w:t>
            </w:r>
          </w:p>
          <w:p>
            <w:pPr>
              <w:pStyle w:val="TableParagraph"/>
              <w:spacing w:line="207" w:lineRule="exact" w:before="0"/>
              <w:ind w:left="25" w:right="3"/>
              <w:jc w:val="center"/>
              <w:rPr>
                <w:sz w:val="18"/>
              </w:rPr>
            </w:pPr>
            <w:r>
              <w:rPr>
                <w:spacing w:val="-4"/>
                <w:sz w:val="18"/>
              </w:rPr>
              <w:t>9,20</w:t>
            </w:r>
          </w:p>
        </w:tc>
      </w:tr>
      <w:tr>
        <w:trPr>
          <w:trHeight w:val="494" w:hRule="atLeast"/>
        </w:trPr>
        <w:tc>
          <w:tcPr>
            <w:tcW w:w="2246" w:type="dxa"/>
          </w:tcPr>
          <w:p>
            <w:pPr>
              <w:pStyle w:val="TableParagraph"/>
              <w:ind w:left="107" w:right="195"/>
              <w:rPr>
                <w:sz w:val="18"/>
              </w:rPr>
            </w:pPr>
            <w:r>
              <w:rPr>
                <w:sz w:val="18"/>
              </w:rPr>
              <w:t>Noisy Creek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line="207" w:lineRule="exact"/>
              <w:ind w:left="25" w:right="4"/>
              <w:jc w:val="center"/>
              <w:rPr>
                <w:sz w:val="18"/>
              </w:rPr>
            </w:pPr>
            <w:r>
              <w:rPr>
                <w:spacing w:val="-2"/>
                <w:sz w:val="18"/>
              </w:rPr>
              <w:t>17,18,1</w:t>
            </w:r>
          </w:p>
          <w:p>
            <w:pPr>
              <w:pStyle w:val="TableParagraph"/>
              <w:spacing w:line="207" w:lineRule="exact" w:before="0"/>
              <w:ind w:left="25" w:right="6"/>
              <w:jc w:val="center"/>
              <w:rPr>
                <w:sz w:val="18"/>
              </w:rPr>
            </w:pPr>
            <w:r>
              <w:rPr>
                <w:spacing w:val="-10"/>
                <w:sz w:val="18"/>
              </w:rPr>
              <w:t>9</w:t>
            </w:r>
          </w:p>
        </w:tc>
      </w:tr>
      <w:tr>
        <w:trPr>
          <w:trHeight w:val="494" w:hRule="atLeast"/>
        </w:trPr>
        <w:tc>
          <w:tcPr>
            <w:tcW w:w="2246" w:type="dxa"/>
          </w:tcPr>
          <w:p>
            <w:pPr>
              <w:pStyle w:val="TableParagraph"/>
              <w:ind w:left="107"/>
              <w:rPr>
                <w:sz w:val="18"/>
              </w:rPr>
            </w:pPr>
            <w:r>
              <w:rPr>
                <w:spacing w:val="-2"/>
                <w:sz w:val="18"/>
              </w:rPr>
              <w:t>Northeast</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32</w:t>
            </w:r>
          </w:p>
        </w:tc>
      </w:tr>
      <w:tr>
        <w:trPr>
          <w:trHeight w:val="493" w:hRule="atLeast"/>
        </w:trPr>
        <w:tc>
          <w:tcPr>
            <w:tcW w:w="2246" w:type="dxa"/>
          </w:tcPr>
          <w:p>
            <w:pPr>
              <w:pStyle w:val="TableParagraph"/>
              <w:ind w:left="107"/>
              <w:rPr>
                <w:sz w:val="18"/>
              </w:rPr>
            </w:pPr>
            <w:r>
              <w:rPr>
                <w:sz w:val="18"/>
              </w:rPr>
              <w:t>Old </w:t>
            </w:r>
            <w:r>
              <w:rPr>
                <w:spacing w:val="-2"/>
                <w:sz w:val="18"/>
              </w:rPr>
              <w:t>Stage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spacing w:line="207" w:lineRule="exact"/>
              <w:ind w:left="25" w:right="4"/>
              <w:jc w:val="center"/>
              <w:rPr>
                <w:sz w:val="18"/>
              </w:rPr>
            </w:pPr>
            <w:r>
              <w:rPr>
                <w:spacing w:val="-2"/>
                <w:sz w:val="18"/>
              </w:rPr>
              <w:t>12,13,1</w:t>
            </w:r>
          </w:p>
          <w:p>
            <w:pPr>
              <w:pStyle w:val="TableParagraph"/>
              <w:spacing w:line="207" w:lineRule="exact" w:before="0"/>
              <w:ind w:left="25" w:right="6"/>
              <w:jc w:val="center"/>
              <w:rPr>
                <w:sz w:val="18"/>
              </w:rPr>
            </w:pPr>
            <w:r>
              <w:rPr>
                <w:spacing w:val="-10"/>
                <w:sz w:val="18"/>
              </w:rPr>
              <w:t>8</w:t>
            </w:r>
          </w:p>
        </w:tc>
      </w:tr>
      <w:tr>
        <w:trPr>
          <w:trHeight w:val="299" w:hRule="atLeast"/>
        </w:trPr>
        <w:tc>
          <w:tcPr>
            <w:tcW w:w="2246" w:type="dxa"/>
          </w:tcPr>
          <w:p>
            <w:pPr>
              <w:pStyle w:val="TableParagraph"/>
              <w:ind w:left="107"/>
              <w:rPr>
                <w:sz w:val="18"/>
              </w:rPr>
            </w:pPr>
            <w:r>
              <w:rPr>
                <w:sz w:val="18"/>
              </w:rPr>
              <w:t>Old </w:t>
            </w:r>
            <w:r>
              <w:rPr>
                <w:spacing w:val="-2"/>
                <w:sz w:val="18"/>
              </w:rPr>
              <w:t>Stage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18</w:t>
            </w:r>
          </w:p>
        </w:tc>
      </w:tr>
      <w:tr>
        <w:trPr>
          <w:trHeight w:val="494" w:hRule="atLeast"/>
        </w:trPr>
        <w:tc>
          <w:tcPr>
            <w:tcW w:w="2246" w:type="dxa"/>
          </w:tcPr>
          <w:p>
            <w:pPr>
              <w:pStyle w:val="TableParagraph"/>
              <w:ind w:left="107"/>
              <w:rPr>
                <w:sz w:val="18"/>
              </w:rPr>
            </w:pPr>
            <w:r>
              <w:rPr>
                <w:sz w:val="18"/>
              </w:rPr>
              <w:t>Outlet</w:t>
            </w:r>
            <w:r>
              <w:rPr>
                <w:spacing w:val="-1"/>
                <w:sz w:val="18"/>
              </w:rPr>
              <w:t> </w:t>
            </w:r>
            <w:r>
              <w:rPr>
                <w:spacing w:val="-2"/>
                <w:sz w:val="18"/>
              </w:rPr>
              <w:t>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31</w:t>
            </w:r>
          </w:p>
        </w:tc>
      </w:tr>
      <w:tr>
        <w:trPr>
          <w:trHeight w:val="493" w:hRule="atLeast"/>
        </w:trPr>
        <w:tc>
          <w:tcPr>
            <w:tcW w:w="2246" w:type="dxa"/>
          </w:tcPr>
          <w:p>
            <w:pPr>
              <w:pStyle w:val="TableParagraph"/>
              <w:ind w:left="107"/>
              <w:rPr>
                <w:sz w:val="18"/>
              </w:rPr>
            </w:pPr>
            <w:r>
              <w:rPr>
                <w:sz w:val="18"/>
              </w:rPr>
              <w:t>Panhandle</w:t>
            </w:r>
            <w:r>
              <w:rPr>
                <w:spacing w:val="-2"/>
                <w:sz w:val="18"/>
              </w:rPr>
              <w:t> 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29</w:t>
            </w:r>
          </w:p>
        </w:tc>
      </w:tr>
      <w:tr>
        <w:trPr>
          <w:trHeight w:val="493" w:hRule="atLeast"/>
        </w:trPr>
        <w:tc>
          <w:tcPr>
            <w:tcW w:w="2246" w:type="dxa"/>
          </w:tcPr>
          <w:p>
            <w:pPr>
              <w:pStyle w:val="TableParagraph"/>
              <w:ind w:left="107"/>
              <w:rPr>
                <w:sz w:val="18"/>
              </w:rPr>
            </w:pPr>
            <w:r>
              <w:rPr>
                <w:sz w:val="18"/>
              </w:rPr>
              <w:t>Parker</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34</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3,34</w:t>
            </w:r>
          </w:p>
        </w:tc>
      </w:tr>
      <w:tr>
        <w:trPr>
          <w:trHeight w:val="493" w:hRule="atLeast"/>
        </w:trPr>
        <w:tc>
          <w:tcPr>
            <w:tcW w:w="2246" w:type="dxa"/>
          </w:tcPr>
          <w:p>
            <w:pPr>
              <w:pStyle w:val="TableParagraph"/>
              <w:ind w:left="107"/>
              <w:rPr>
                <w:sz w:val="18"/>
              </w:rPr>
            </w:pPr>
            <w:r>
              <w:rPr>
                <w:sz w:val="18"/>
              </w:rPr>
              <w:t>Pend</w:t>
            </w:r>
            <w:r>
              <w:rPr>
                <w:spacing w:val="-1"/>
                <w:sz w:val="18"/>
              </w:rPr>
              <w:t> </w:t>
            </w:r>
            <w:r>
              <w:rPr>
                <w:sz w:val="18"/>
              </w:rPr>
              <w:t>Oreille</w:t>
            </w:r>
            <w:r>
              <w:rPr>
                <w:spacing w:val="-1"/>
                <w:sz w:val="18"/>
              </w:rPr>
              <w:t> </w:t>
            </w:r>
            <w:r>
              <w:rPr>
                <w:spacing w:val="-2"/>
                <w:sz w:val="18"/>
              </w:rPr>
              <w:t>River</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28,33</w:t>
            </w:r>
          </w:p>
        </w:tc>
      </w:tr>
      <w:tr>
        <w:trPr>
          <w:trHeight w:val="493" w:hRule="atLeast"/>
        </w:trPr>
        <w:tc>
          <w:tcPr>
            <w:tcW w:w="2246" w:type="dxa"/>
          </w:tcPr>
          <w:p>
            <w:pPr>
              <w:pStyle w:val="TableParagraph"/>
              <w:ind w:left="107"/>
              <w:rPr>
                <w:sz w:val="18"/>
              </w:rPr>
            </w:pPr>
            <w:r>
              <w:rPr>
                <w:sz w:val="18"/>
              </w:rPr>
              <w:t>Pepoon</w:t>
            </w:r>
            <w:r>
              <w:rPr>
                <w:spacing w:val="-5"/>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39</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6</w:t>
            </w:r>
          </w:p>
        </w:tc>
      </w:tr>
      <w:tr>
        <w:trPr>
          <w:trHeight w:val="493" w:hRule="atLeast"/>
        </w:trPr>
        <w:tc>
          <w:tcPr>
            <w:tcW w:w="2246" w:type="dxa"/>
          </w:tcPr>
          <w:p>
            <w:pPr>
              <w:pStyle w:val="TableParagraph"/>
              <w:ind w:left="107"/>
              <w:rPr>
                <w:sz w:val="18"/>
              </w:rPr>
            </w:pPr>
            <w:r>
              <w:rPr>
                <w:sz w:val="18"/>
              </w:rPr>
              <w:t>Pierre</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37</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5</w:t>
            </w:r>
          </w:p>
        </w:tc>
      </w:tr>
      <w:tr>
        <w:trPr>
          <w:trHeight w:val="494" w:hRule="atLeast"/>
        </w:trPr>
        <w:tc>
          <w:tcPr>
            <w:tcW w:w="2246" w:type="dxa"/>
          </w:tcPr>
          <w:p>
            <w:pPr>
              <w:pStyle w:val="TableParagraph"/>
              <w:ind w:left="107"/>
              <w:rPr>
                <w:sz w:val="18"/>
              </w:rPr>
            </w:pPr>
            <w:r>
              <w:rPr>
                <w:sz w:val="18"/>
              </w:rPr>
              <w:t>Pierre</w:t>
            </w:r>
            <w:r>
              <w:rPr>
                <w:spacing w:val="-3"/>
                <w:sz w:val="18"/>
              </w:rPr>
              <w:t> </w:t>
            </w:r>
            <w:r>
              <w:rPr>
                <w:sz w:val="18"/>
              </w:rPr>
              <w:t>Lake</w:t>
            </w:r>
            <w:r>
              <w:rPr>
                <w:spacing w:val="-3"/>
                <w:sz w:val="18"/>
              </w:rPr>
              <w:t>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37</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5</w:t>
            </w:r>
          </w:p>
        </w:tc>
      </w:tr>
      <w:tr>
        <w:trPr>
          <w:trHeight w:val="493" w:hRule="atLeast"/>
        </w:trPr>
        <w:tc>
          <w:tcPr>
            <w:tcW w:w="2246" w:type="dxa"/>
          </w:tcPr>
          <w:p>
            <w:pPr>
              <w:pStyle w:val="TableParagraph"/>
              <w:ind w:left="107"/>
              <w:rPr>
                <w:sz w:val="18"/>
              </w:rPr>
            </w:pPr>
            <w:r>
              <w:rPr>
                <w:sz w:val="18"/>
              </w:rPr>
              <w:t>Pioneer</w:t>
            </w:r>
            <w:r>
              <w:rPr>
                <w:spacing w:val="-3"/>
                <w:sz w:val="18"/>
              </w:rPr>
              <w:t> </w:t>
            </w:r>
            <w:r>
              <w:rPr>
                <w:spacing w:val="-4"/>
                <w:sz w:val="18"/>
              </w:rPr>
              <w:t>Park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31</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1</w:t>
            </w:r>
          </w:p>
        </w:tc>
      </w:tr>
      <w:tr>
        <w:trPr>
          <w:trHeight w:val="493" w:hRule="atLeast"/>
        </w:trPr>
        <w:tc>
          <w:tcPr>
            <w:tcW w:w="2246" w:type="dxa"/>
          </w:tcPr>
          <w:p>
            <w:pPr>
              <w:pStyle w:val="TableParagraph"/>
              <w:ind w:left="107" w:right="1081"/>
              <w:rPr>
                <w:sz w:val="18"/>
              </w:rPr>
            </w:pPr>
            <w:r>
              <w:rPr>
                <w:sz w:val="18"/>
              </w:rPr>
              <w:t>Pioneer</w:t>
            </w:r>
            <w:r>
              <w:rPr>
                <w:spacing w:val="-13"/>
                <w:sz w:val="18"/>
              </w:rPr>
              <w:t> </w:t>
            </w:r>
            <w:r>
              <w:rPr>
                <w:sz w:val="18"/>
              </w:rPr>
              <w:t>Park </w:t>
            </w:r>
            <w:r>
              <w:rPr>
                <w:spacing w:val="-2"/>
                <w:sz w:val="18"/>
              </w:rPr>
              <w:t>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31</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1,12</w:t>
            </w:r>
          </w:p>
        </w:tc>
      </w:tr>
      <w:tr>
        <w:trPr>
          <w:trHeight w:val="299" w:hRule="atLeast"/>
        </w:trPr>
        <w:tc>
          <w:tcPr>
            <w:tcW w:w="2246" w:type="dxa"/>
          </w:tcPr>
          <w:p>
            <w:pPr>
              <w:pStyle w:val="TableParagraph"/>
              <w:ind w:left="107"/>
              <w:rPr>
                <w:sz w:val="18"/>
              </w:rPr>
            </w:pPr>
            <w:r>
              <w:rPr>
                <w:spacing w:val="-2"/>
                <w:sz w:val="18"/>
              </w:rPr>
              <w:t>Profanity</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12</w:t>
            </w:r>
          </w:p>
        </w:tc>
      </w:tr>
      <w:tr>
        <w:trPr>
          <w:trHeight w:val="493" w:hRule="atLeast"/>
        </w:trPr>
        <w:tc>
          <w:tcPr>
            <w:tcW w:w="2246" w:type="dxa"/>
          </w:tcPr>
          <w:p>
            <w:pPr>
              <w:pStyle w:val="TableParagraph"/>
              <w:ind w:left="107"/>
              <w:rPr>
                <w:sz w:val="18"/>
              </w:rPr>
            </w:pPr>
            <w:r>
              <w:rPr>
                <w:sz w:val="18"/>
              </w:rPr>
              <w:t>Red</w:t>
            </w:r>
            <w:r>
              <w:rPr>
                <w:spacing w:val="-2"/>
                <w:sz w:val="18"/>
              </w:rPr>
              <w:t> Bluff</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30</w:t>
            </w:r>
          </w:p>
        </w:tc>
      </w:tr>
      <w:tr>
        <w:trPr>
          <w:trHeight w:val="299" w:hRule="atLeast"/>
        </w:trPr>
        <w:tc>
          <w:tcPr>
            <w:tcW w:w="2246" w:type="dxa"/>
          </w:tcPr>
          <w:p>
            <w:pPr>
              <w:pStyle w:val="TableParagraph"/>
              <w:ind w:left="107"/>
              <w:rPr>
                <w:sz w:val="18"/>
              </w:rPr>
            </w:pPr>
            <w:r>
              <w:rPr>
                <w:sz w:val="18"/>
              </w:rPr>
              <w:t>Renner</w:t>
            </w:r>
            <w:r>
              <w:rPr>
                <w:spacing w:val="-3"/>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24</w:t>
            </w:r>
          </w:p>
        </w:tc>
      </w:tr>
      <w:tr>
        <w:trPr>
          <w:trHeight w:val="493" w:hRule="atLeast"/>
        </w:trPr>
        <w:tc>
          <w:tcPr>
            <w:tcW w:w="2246" w:type="dxa"/>
          </w:tcPr>
          <w:p>
            <w:pPr>
              <w:pStyle w:val="TableParagraph"/>
              <w:spacing w:before="42"/>
              <w:ind w:left="107"/>
              <w:rPr>
                <w:sz w:val="18"/>
              </w:rPr>
            </w:pPr>
            <w:r>
              <w:rPr>
                <w:sz w:val="18"/>
              </w:rPr>
              <w:t>Rogers</w:t>
            </w:r>
            <w:r>
              <w:rPr>
                <w:spacing w:val="-2"/>
                <w:sz w:val="18"/>
              </w:rPr>
              <w:t> </w:t>
            </w:r>
            <w:r>
              <w:rPr>
                <w:spacing w:val="-5"/>
                <w:sz w:val="18"/>
              </w:rPr>
              <w:t>Mtn</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ight="302"/>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40</w:t>
            </w:r>
            <w:r>
              <w:rPr>
                <w:spacing w:val="-1"/>
                <w:sz w:val="18"/>
              </w:rPr>
              <w:t> </w:t>
            </w:r>
            <w:r>
              <w:rPr>
                <w:spacing w:val="-7"/>
                <w:sz w:val="18"/>
              </w:rPr>
              <w:t>E.</w:t>
            </w:r>
          </w:p>
        </w:tc>
        <w:tc>
          <w:tcPr>
            <w:tcW w:w="900" w:type="dxa"/>
            <w:tcBorders>
              <w:left w:val="nil"/>
            </w:tcBorders>
          </w:tcPr>
          <w:p>
            <w:pPr>
              <w:pStyle w:val="TableParagraph"/>
              <w:spacing w:before="42"/>
              <w:ind w:left="25" w:right="6"/>
              <w:jc w:val="center"/>
              <w:rPr>
                <w:sz w:val="18"/>
              </w:rPr>
            </w:pPr>
            <w:r>
              <w:rPr>
                <w:spacing w:val="-10"/>
                <w:sz w:val="18"/>
              </w:rPr>
              <w:t>2</w:t>
            </w:r>
          </w:p>
        </w:tc>
      </w:tr>
      <w:tr>
        <w:trPr>
          <w:trHeight w:val="493" w:hRule="atLeast"/>
        </w:trPr>
        <w:tc>
          <w:tcPr>
            <w:tcW w:w="2246" w:type="dxa"/>
          </w:tcPr>
          <w:p>
            <w:pPr>
              <w:pStyle w:val="TableParagraph"/>
              <w:spacing w:before="42"/>
              <w:ind w:left="107"/>
              <w:rPr>
                <w:sz w:val="18"/>
              </w:rPr>
            </w:pPr>
            <w:r>
              <w:rPr>
                <w:spacing w:val="-4"/>
                <w:sz w:val="18"/>
              </w:rPr>
              <w:t>Ruby</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23"/>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2"/>
                <w:sz w:val="18"/>
              </w:rPr>
              <w:t>18,19</w:t>
            </w:r>
          </w:p>
        </w:tc>
      </w:tr>
      <w:tr>
        <w:trPr>
          <w:trHeight w:val="493" w:hRule="atLeast"/>
        </w:trPr>
        <w:tc>
          <w:tcPr>
            <w:tcW w:w="2246" w:type="dxa"/>
          </w:tcPr>
          <w:p>
            <w:pPr>
              <w:pStyle w:val="TableParagraph"/>
              <w:spacing w:before="42"/>
              <w:ind w:left="107"/>
              <w:rPr>
                <w:sz w:val="18"/>
              </w:rPr>
            </w:pPr>
            <w:r>
              <w:rPr>
                <w:spacing w:val="-2"/>
                <w:sz w:val="18"/>
              </w:rPr>
              <w:t>Rufus</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03"/>
              <w:rPr>
                <w:sz w:val="18"/>
              </w:rPr>
            </w:pPr>
            <w:r>
              <w:rPr>
                <w:sz w:val="18"/>
              </w:rPr>
              <w:t>Stevens/Three</w:t>
            </w:r>
            <w:r>
              <w:rPr>
                <w:spacing w:val="-13"/>
                <w:sz w:val="18"/>
              </w:rPr>
              <w:t> </w:t>
            </w:r>
            <w:r>
              <w:rPr>
                <w:sz w:val="18"/>
              </w:rPr>
              <w:t>Rivers </w:t>
            </w:r>
            <w:r>
              <w:rPr>
                <w:spacing w:val="-6"/>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42</w:t>
            </w:r>
            <w:r>
              <w:rPr>
                <w:spacing w:val="-1"/>
                <w:sz w:val="18"/>
              </w:rPr>
              <w:t> </w:t>
            </w:r>
            <w:r>
              <w:rPr>
                <w:spacing w:val="-7"/>
                <w:sz w:val="18"/>
              </w:rPr>
              <w:t>E.</w:t>
            </w:r>
          </w:p>
        </w:tc>
        <w:tc>
          <w:tcPr>
            <w:tcW w:w="900" w:type="dxa"/>
            <w:tcBorders>
              <w:left w:val="nil"/>
            </w:tcBorders>
          </w:tcPr>
          <w:p>
            <w:pPr>
              <w:pStyle w:val="TableParagraph"/>
              <w:spacing w:before="42"/>
              <w:ind w:left="25" w:right="3"/>
              <w:jc w:val="center"/>
              <w:rPr>
                <w:sz w:val="18"/>
              </w:rPr>
            </w:pPr>
            <w:r>
              <w:rPr>
                <w:spacing w:val="-2"/>
                <w:sz w:val="18"/>
              </w:rPr>
              <w:t>17,20</w:t>
            </w:r>
          </w:p>
        </w:tc>
      </w:tr>
      <w:tr>
        <w:trPr>
          <w:trHeight w:val="301" w:hRule="atLeast"/>
        </w:trPr>
        <w:tc>
          <w:tcPr>
            <w:tcW w:w="2246" w:type="dxa"/>
          </w:tcPr>
          <w:p>
            <w:pPr>
              <w:pStyle w:val="TableParagraph"/>
              <w:spacing w:before="42"/>
              <w:ind w:left="107"/>
              <w:rPr>
                <w:sz w:val="18"/>
              </w:rPr>
            </w:pPr>
            <w:r>
              <w:rPr>
                <w:sz w:val="18"/>
              </w:rPr>
              <w:t>Ryan</w:t>
            </w:r>
            <w:r>
              <w:rPr>
                <w:spacing w:val="-4"/>
                <w:sz w:val="18"/>
              </w:rPr>
              <w:t> </w:t>
            </w:r>
            <w:r>
              <w:rPr>
                <w:spacing w:val="-2"/>
                <w:sz w:val="18"/>
              </w:rPr>
              <w:t>Cabin</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spacing w:before="42"/>
              <w:ind w:left="25"/>
              <w:jc w:val="center"/>
              <w:rPr>
                <w:sz w:val="18"/>
              </w:rPr>
            </w:pPr>
            <w:r>
              <w:rPr>
                <w:spacing w:val="-5"/>
                <w:sz w:val="18"/>
              </w:rPr>
              <w:t>30</w:t>
            </w:r>
          </w:p>
        </w:tc>
      </w:tr>
      <w:tr>
        <w:trPr>
          <w:trHeight w:val="493" w:hRule="atLeast"/>
        </w:trPr>
        <w:tc>
          <w:tcPr>
            <w:tcW w:w="2246" w:type="dxa"/>
          </w:tcPr>
          <w:p>
            <w:pPr>
              <w:pStyle w:val="TableParagraph"/>
              <w:ind w:left="107"/>
              <w:rPr>
                <w:sz w:val="18"/>
              </w:rPr>
            </w:pPr>
            <w:r>
              <w:rPr>
                <w:spacing w:val="-2"/>
                <w:sz w:val="18"/>
              </w:rPr>
              <w:t>Salmo</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40</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1"/>
              <w:jc w:val="center"/>
              <w:rPr>
                <w:sz w:val="18"/>
              </w:rPr>
            </w:pPr>
            <w:r>
              <w:rPr>
                <w:spacing w:val="-5"/>
                <w:sz w:val="18"/>
              </w:rPr>
              <w:t>22</w:t>
            </w:r>
          </w:p>
        </w:tc>
      </w:tr>
      <w:tr>
        <w:trPr>
          <w:trHeight w:val="494" w:hRule="atLeast"/>
        </w:trPr>
        <w:tc>
          <w:tcPr>
            <w:tcW w:w="2246" w:type="dxa"/>
          </w:tcPr>
          <w:p>
            <w:pPr>
              <w:pStyle w:val="TableParagraph"/>
              <w:ind w:left="107"/>
              <w:rPr>
                <w:sz w:val="18"/>
              </w:rPr>
            </w:pPr>
            <w:r>
              <w:rPr>
                <w:sz w:val="18"/>
              </w:rPr>
              <w:t>Sand</w:t>
            </w:r>
            <w:r>
              <w:rPr>
                <w:spacing w:val="-2"/>
                <w:sz w:val="18"/>
              </w:rPr>
              <w:t> </w:t>
            </w:r>
            <w:r>
              <w:rPr>
                <w:sz w:val="18"/>
              </w:rPr>
              <w:t>Creek</w:t>
            </w:r>
            <w:r>
              <w:rPr>
                <w:spacing w:val="-2"/>
                <w:sz w:val="18"/>
              </w:rPr>
              <w:t> </w:t>
            </w:r>
            <w:r>
              <w:rPr>
                <w:spacing w:val="-5"/>
                <w:sz w:val="18"/>
              </w:rPr>
              <w:t>Rd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43</w:t>
            </w:r>
            <w:r>
              <w:rPr>
                <w:spacing w:val="-1"/>
                <w:sz w:val="18"/>
              </w:rPr>
              <w:t> </w:t>
            </w:r>
            <w:r>
              <w:rPr>
                <w:spacing w:val="-7"/>
                <w:sz w:val="18"/>
              </w:rPr>
              <w:t>E.</w:t>
            </w:r>
          </w:p>
        </w:tc>
        <w:tc>
          <w:tcPr>
            <w:tcW w:w="900" w:type="dxa"/>
            <w:tcBorders>
              <w:left w:val="nil"/>
            </w:tcBorders>
          </w:tcPr>
          <w:p>
            <w:pPr>
              <w:pStyle w:val="TableParagraph"/>
              <w:ind w:left="25" w:right="6"/>
              <w:jc w:val="center"/>
              <w:rPr>
                <w:sz w:val="18"/>
              </w:rPr>
            </w:pPr>
            <w:r>
              <w:rPr>
                <w:spacing w:val="-10"/>
                <w:sz w:val="18"/>
              </w:rPr>
              <w:t>1</w:t>
            </w:r>
          </w:p>
        </w:tc>
      </w:tr>
      <w:tr>
        <w:trPr>
          <w:trHeight w:val="494" w:hRule="atLeast"/>
        </w:trPr>
        <w:tc>
          <w:tcPr>
            <w:tcW w:w="2246" w:type="dxa"/>
          </w:tcPr>
          <w:p>
            <w:pPr>
              <w:pStyle w:val="TableParagraph"/>
              <w:ind w:left="107"/>
              <w:rPr>
                <w:sz w:val="18"/>
              </w:rPr>
            </w:pPr>
            <w:r>
              <w:rPr>
                <w:sz w:val="18"/>
              </w:rPr>
              <w:t>Sand</w:t>
            </w:r>
            <w:r>
              <w:rPr>
                <w:spacing w:val="-2"/>
                <w:sz w:val="18"/>
              </w:rPr>
              <w:t> </w:t>
            </w:r>
            <w:r>
              <w:rPr>
                <w:sz w:val="18"/>
              </w:rPr>
              <w:t>Creek</w:t>
            </w:r>
            <w:r>
              <w:rPr>
                <w:spacing w:val="-2"/>
                <w:sz w:val="18"/>
              </w:rPr>
              <w:t> </w:t>
            </w:r>
            <w:r>
              <w:rPr>
                <w:spacing w:val="-5"/>
                <w:sz w:val="18"/>
              </w:rPr>
              <w:t>Rd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5"/>
                <w:sz w:val="18"/>
              </w:rPr>
              <w:t>1,6</w:t>
            </w:r>
          </w:p>
        </w:tc>
      </w:tr>
    </w:tbl>
    <w:p>
      <w:pPr>
        <w:pStyle w:val="TableParagraph"/>
        <w:spacing w:after="0"/>
        <w:jc w:val="center"/>
        <w:rPr>
          <w:sz w:val="18"/>
        </w:rPr>
        <w:sectPr>
          <w:type w:val="continuous"/>
          <w:pgSz w:w="12240" w:h="15840"/>
          <w:pgMar w:header="725" w:footer="891" w:top="1420" w:bottom="1543" w:left="1080" w:right="1080"/>
        </w:sectPr>
      </w:pPr>
    </w:p>
    <w:tbl>
      <w:tblPr>
        <w:tblW w:w="0" w:type="auto"/>
        <w:jc w:val="left"/>
        <w:tblInd w:w="801"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9"/>
        <w:gridCol w:w="920"/>
        <w:gridCol w:w="898"/>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6"/>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9" w:type="dxa"/>
            <w:tcBorders>
              <w:right w:val="nil"/>
            </w:tcBorders>
            <w:shd w:val="clear" w:color="auto" w:fill="D5E2BB"/>
          </w:tcPr>
          <w:p>
            <w:pPr>
              <w:pStyle w:val="TableParagraph"/>
              <w:ind w:left="28"/>
              <w:jc w:val="center"/>
              <w:rPr>
                <w:b/>
                <w:sz w:val="18"/>
              </w:rPr>
            </w:pPr>
            <w:r>
              <w:rPr>
                <w:b/>
                <w:spacing w:val="-2"/>
                <w:sz w:val="18"/>
              </w:rPr>
              <w:t>Township</w:t>
            </w:r>
          </w:p>
        </w:tc>
        <w:tc>
          <w:tcPr>
            <w:tcW w:w="920" w:type="dxa"/>
            <w:tcBorders>
              <w:left w:val="nil"/>
              <w:right w:val="nil"/>
            </w:tcBorders>
            <w:shd w:val="clear" w:color="auto" w:fill="D5E2BB"/>
          </w:tcPr>
          <w:p>
            <w:pPr>
              <w:pStyle w:val="TableParagraph"/>
              <w:ind w:left="40"/>
              <w:jc w:val="center"/>
              <w:rPr>
                <w:b/>
                <w:sz w:val="18"/>
              </w:rPr>
            </w:pPr>
            <w:r>
              <w:rPr>
                <w:b/>
                <w:spacing w:val="-2"/>
                <w:sz w:val="18"/>
              </w:rPr>
              <w:t>Range</w:t>
            </w:r>
          </w:p>
        </w:tc>
        <w:tc>
          <w:tcPr>
            <w:tcW w:w="898" w:type="dxa"/>
            <w:tcBorders>
              <w:left w:val="nil"/>
            </w:tcBorders>
            <w:shd w:val="clear" w:color="auto" w:fill="D5E2BB"/>
          </w:tcPr>
          <w:p>
            <w:pPr>
              <w:pStyle w:val="TableParagraph"/>
              <w:ind w:left="27"/>
              <w:jc w:val="center"/>
              <w:rPr>
                <w:b/>
                <w:sz w:val="18"/>
              </w:rPr>
            </w:pPr>
            <w:r>
              <w:rPr>
                <w:b/>
                <w:spacing w:val="-2"/>
                <w:sz w:val="18"/>
              </w:rPr>
              <w:t>Section</w:t>
            </w:r>
          </w:p>
        </w:tc>
      </w:tr>
      <w:tr>
        <w:trPr>
          <w:trHeight w:val="494" w:hRule="atLeast"/>
        </w:trPr>
        <w:tc>
          <w:tcPr>
            <w:tcW w:w="2246" w:type="dxa"/>
          </w:tcPr>
          <w:p>
            <w:pPr>
              <w:pStyle w:val="TableParagraph"/>
              <w:ind w:left="107"/>
              <w:rPr>
                <w:sz w:val="18"/>
              </w:rPr>
            </w:pPr>
            <w:r>
              <w:rPr>
                <w:spacing w:val="-2"/>
                <w:sz w:val="18"/>
              </w:rPr>
              <w:t>Shedroof</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45</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17</w:t>
            </w:r>
          </w:p>
        </w:tc>
      </w:tr>
      <w:tr>
        <w:trPr>
          <w:trHeight w:val="494" w:hRule="atLeast"/>
        </w:trPr>
        <w:tc>
          <w:tcPr>
            <w:tcW w:w="2246" w:type="dxa"/>
          </w:tcPr>
          <w:p>
            <w:pPr>
              <w:pStyle w:val="TableParagraph"/>
              <w:ind w:left="107"/>
              <w:rPr>
                <w:sz w:val="18"/>
              </w:rPr>
            </w:pPr>
            <w:r>
              <w:rPr>
                <w:spacing w:val="-2"/>
                <w:sz w:val="18"/>
              </w:rPr>
              <w:t>Sherlock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17</w:t>
            </w:r>
          </w:p>
        </w:tc>
      </w:tr>
      <w:tr>
        <w:trPr>
          <w:trHeight w:val="299" w:hRule="atLeast"/>
        </w:trPr>
        <w:tc>
          <w:tcPr>
            <w:tcW w:w="2246" w:type="dxa"/>
          </w:tcPr>
          <w:p>
            <w:pPr>
              <w:pStyle w:val="TableParagraph"/>
              <w:ind w:left="107"/>
              <w:rPr>
                <w:sz w:val="18"/>
              </w:rPr>
            </w:pPr>
            <w:r>
              <w:rPr>
                <w:spacing w:val="-2"/>
                <w:sz w:val="18"/>
              </w:rPr>
              <w:t>Sherman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8" w:type="dxa"/>
            <w:tcBorders>
              <w:left w:val="nil"/>
            </w:tcBorders>
          </w:tcPr>
          <w:p>
            <w:pPr>
              <w:pStyle w:val="TableParagraph"/>
              <w:ind w:left="27" w:right="5"/>
              <w:jc w:val="center"/>
              <w:rPr>
                <w:sz w:val="18"/>
              </w:rPr>
            </w:pPr>
            <w:r>
              <w:rPr>
                <w:spacing w:val="-10"/>
                <w:sz w:val="18"/>
              </w:rPr>
              <w:t>2</w:t>
            </w:r>
          </w:p>
        </w:tc>
      </w:tr>
      <w:tr>
        <w:trPr>
          <w:trHeight w:val="299" w:hRule="atLeast"/>
        </w:trPr>
        <w:tc>
          <w:tcPr>
            <w:tcW w:w="2246" w:type="dxa"/>
          </w:tcPr>
          <w:p>
            <w:pPr>
              <w:pStyle w:val="TableParagraph"/>
              <w:ind w:left="107"/>
              <w:rPr>
                <w:sz w:val="18"/>
              </w:rPr>
            </w:pPr>
            <w:r>
              <w:rPr>
                <w:sz w:val="18"/>
              </w:rPr>
              <w:t>Sherman</w:t>
            </w:r>
            <w:r>
              <w:rPr>
                <w:spacing w:val="-3"/>
                <w:sz w:val="18"/>
              </w:rPr>
              <w:t> </w:t>
            </w:r>
            <w:r>
              <w:rPr>
                <w:spacing w:val="-4"/>
                <w:sz w:val="18"/>
              </w:rPr>
              <w:t>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36</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35,36</w:t>
            </w:r>
          </w:p>
        </w:tc>
      </w:tr>
      <w:tr>
        <w:trPr>
          <w:trHeight w:val="494" w:hRule="atLeast"/>
        </w:trPr>
        <w:tc>
          <w:tcPr>
            <w:tcW w:w="2246" w:type="dxa"/>
          </w:tcPr>
          <w:p>
            <w:pPr>
              <w:pStyle w:val="TableParagraph"/>
              <w:ind w:left="107"/>
              <w:rPr>
                <w:sz w:val="18"/>
              </w:rPr>
            </w:pPr>
            <w:r>
              <w:rPr>
                <w:sz w:val="18"/>
              </w:rPr>
              <w:t>Sherman</w:t>
            </w:r>
            <w:r>
              <w:rPr>
                <w:spacing w:val="-15"/>
                <w:sz w:val="18"/>
              </w:rPr>
              <w:t> </w:t>
            </w:r>
            <w:r>
              <w:rPr>
                <w:sz w:val="18"/>
              </w:rPr>
              <w:t>Overlook</w:t>
            </w:r>
            <w:r>
              <w:rPr>
                <w:spacing w:val="-12"/>
                <w:sz w:val="18"/>
              </w:rPr>
              <w:t> </w:t>
            </w:r>
            <w:r>
              <w:rPr>
                <w:sz w:val="18"/>
              </w:rPr>
              <w:t>Day </w:t>
            </w:r>
            <w:r>
              <w:rPr>
                <w:spacing w:val="-4"/>
                <w:sz w:val="18"/>
              </w:rPr>
              <w:t>Use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19,20</w:t>
            </w:r>
          </w:p>
        </w:tc>
      </w:tr>
      <w:tr>
        <w:trPr>
          <w:trHeight w:val="494" w:hRule="atLeast"/>
        </w:trPr>
        <w:tc>
          <w:tcPr>
            <w:tcW w:w="2246" w:type="dxa"/>
          </w:tcPr>
          <w:p>
            <w:pPr>
              <w:pStyle w:val="TableParagraph"/>
              <w:ind w:left="107" w:right="941"/>
              <w:rPr>
                <w:sz w:val="18"/>
              </w:rPr>
            </w:pPr>
            <w:r>
              <w:rPr>
                <w:sz w:val="18"/>
              </w:rPr>
              <w:t>Sherman</w:t>
            </w:r>
            <w:r>
              <w:rPr>
                <w:spacing w:val="-13"/>
                <w:sz w:val="18"/>
              </w:rPr>
              <w:t> </w:t>
            </w:r>
            <w:r>
              <w:rPr>
                <w:sz w:val="18"/>
              </w:rPr>
              <w:t>Pass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19</w:t>
            </w:r>
          </w:p>
        </w:tc>
      </w:tr>
      <w:tr>
        <w:trPr>
          <w:trHeight w:val="493" w:hRule="atLeast"/>
        </w:trPr>
        <w:tc>
          <w:tcPr>
            <w:tcW w:w="2246" w:type="dxa"/>
          </w:tcPr>
          <w:p>
            <w:pPr>
              <w:pStyle w:val="TableParagraph"/>
              <w:ind w:left="107"/>
              <w:rPr>
                <w:sz w:val="18"/>
              </w:rPr>
            </w:pPr>
            <w:r>
              <w:rPr>
                <w:sz w:val="18"/>
              </w:rPr>
              <w:t>Silver</w:t>
            </w:r>
            <w:r>
              <w:rPr>
                <w:spacing w:val="-5"/>
                <w:sz w:val="18"/>
              </w:rPr>
              <w:t> </w:t>
            </w:r>
            <w:r>
              <w:rPr>
                <w:spacing w:val="-2"/>
                <w:sz w:val="18"/>
              </w:rPr>
              <w:t>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42</w:t>
            </w:r>
            <w:r>
              <w:rPr>
                <w:spacing w:val="-1"/>
                <w:sz w:val="18"/>
              </w:rPr>
              <w:t> </w:t>
            </w:r>
            <w:r>
              <w:rPr>
                <w:spacing w:val="-7"/>
                <w:sz w:val="18"/>
              </w:rPr>
              <w:t>E.</w:t>
            </w:r>
          </w:p>
        </w:tc>
        <w:tc>
          <w:tcPr>
            <w:tcW w:w="898" w:type="dxa"/>
            <w:tcBorders>
              <w:left w:val="nil"/>
            </w:tcBorders>
          </w:tcPr>
          <w:p>
            <w:pPr>
              <w:pStyle w:val="TableParagraph"/>
              <w:ind w:left="27" w:right="3"/>
              <w:jc w:val="center"/>
              <w:rPr>
                <w:sz w:val="18"/>
              </w:rPr>
            </w:pPr>
            <w:r>
              <w:rPr>
                <w:spacing w:val="-5"/>
                <w:sz w:val="18"/>
              </w:rPr>
              <w:t>8,9</w:t>
            </w:r>
          </w:p>
        </w:tc>
      </w:tr>
      <w:tr>
        <w:trPr>
          <w:trHeight w:val="299" w:hRule="atLeast"/>
        </w:trPr>
        <w:tc>
          <w:tcPr>
            <w:tcW w:w="2246" w:type="dxa"/>
          </w:tcPr>
          <w:p>
            <w:pPr>
              <w:pStyle w:val="TableParagraph"/>
              <w:ind w:left="107"/>
              <w:rPr>
                <w:sz w:val="18"/>
              </w:rPr>
            </w:pPr>
            <w:r>
              <w:rPr>
                <w:sz w:val="18"/>
              </w:rPr>
              <w:t>Snow</w:t>
            </w:r>
            <w:r>
              <w:rPr>
                <w:spacing w:val="-4"/>
                <w:sz w:val="18"/>
              </w:rPr>
              <w:t> Peak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34</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27,34</w:t>
            </w:r>
          </w:p>
        </w:tc>
      </w:tr>
      <w:tr>
        <w:trPr>
          <w:trHeight w:val="301" w:hRule="atLeast"/>
        </w:trPr>
        <w:tc>
          <w:tcPr>
            <w:tcW w:w="2246" w:type="dxa"/>
          </w:tcPr>
          <w:p>
            <w:pPr>
              <w:pStyle w:val="TableParagraph"/>
              <w:spacing w:before="42"/>
              <w:ind w:left="107"/>
              <w:rPr>
                <w:sz w:val="18"/>
              </w:rPr>
            </w:pPr>
            <w:r>
              <w:rPr>
                <w:sz w:val="18"/>
              </w:rPr>
              <w:t>Snow</w:t>
            </w:r>
            <w:r>
              <w:rPr>
                <w:spacing w:val="-4"/>
                <w:sz w:val="18"/>
              </w:rPr>
              <w:t> </w:t>
            </w:r>
            <w:r>
              <w:rPr>
                <w:sz w:val="18"/>
              </w:rPr>
              <w:t>Peak </w:t>
            </w:r>
            <w:r>
              <w:rPr>
                <w:spacing w:val="-2"/>
                <w:sz w:val="18"/>
              </w:rPr>
              <w:t>Shelter</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34</w:t>
            </w:r>
            <w:r>
              <w:rPr>
                <w:spacing w:val="-1"/>
                <w:sz w:val="18"/>
              </w:rPr>
              <w:t> </w:t>
            </w:r>
            <w:r>
              <w:rPr>
                <w:spacing w:val="-7"/>
                <w:sz w:val="18"/>
              </w:rPr>
              <w:t>E.</w:t>
            </w:r>
          </w:p>
        </w:tc>
        <w:tc>
          <w:tcPr>
            <w:tcW w:w="898" w:type="dxa"/>
            <w:tcBorders>
              <w:left w:val="nil"/>
            </w:tcBorders>
          </w:tcPr>
          <w:p>
            <w:pPr>
              <w:pStyle w:val="TableParagraph"/>
              <w:spacing w:before="42"/>
              <w:ind w:left="27"/>
              <w:jc w:val="center"/>
              <w:rPr>
                <w:sz w:val="18"/>
              </w:rPr>
            </w:pPr>
            <w:r>
              <w:rPr>
                <w:spacing w:val="-5"/>
                <w:sz w:val="18"/>
              </w:rPr>
              <w:t>36</w:t>
            </w:r>
          </w:p>
        </w:tc>
      </w:tr>
      <w:tr>
        <w:trPr>
          <w:trHeight w:val="493" w:hRule="atLeast"/>
        </w:trPr>
        <w:tc>
          <w:tcPr>
            <w:tcW w:w="2246" w:type="dxa"/>
          </w:tcPr>
          <w:p>
            <w:pPr>
              <w:pStyle w:val="TableParagraph"/>
              <w:ind w:left="107"/>
              <w:rPr>
                <w:sz w:val="18"/>
              </w:rPr>
            </w:pPr>
            <w:r>
              <w:rPr>
                <w:sz w:val="18"/>
              </w:rPr>
              <w:t>South</w:t>
            </w:r>
            <w:r>
              <w:rPr>
                <w:spacing w:val="-4"/>
                <w:sz w:val="18"/>
              </w:rPr>
              <w:t> </w:t>
            </w:r>
            <w:r>
              <w:rPr>
                <w:sz w:val="18"/>
              </w:rPr>
              <w:t>Skookum</w:t>
            </w:r>
            <w:r>
              <w:rPr>
                <w:spacing w:val="-2"/>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ind w:left="27" w:right="5"/>
              <w:jc w:val="center"/>
              <w:rPr>
                <w:sz w:val="18"/>
              </w:rPr>
            </w:pPr>
            <w:r>
              <w:rPr>
                <w:spacing w:val="-10"/>
                <w:sz w:val="18"/>
              </w:rPr>
              <w:t>1</w:t>
            </w:r>
          </w:p>
        </w:tc>
      </w:tr>
      <w:tr>
        <w:trPr>
          <w:trHeight w:val="599" w:hRule="atLeast"/>
        </w:trPr>
        <w:tc>
          <w:tcPr>
            <w:tcW w:w="2246" w:type="dxa"/>
          </w:tcPr>
          <w:p>
            <w:pPr>
              <w:pStyle w:val="TableParagraph"/>
              <w:ind w:left="107"/>
              <w:rPr>
                <w:sz w:val="18"/>
              </w:rPr>
            </w:pPr>
            <w:r>
              <w:rPr>
                <w:sz w:val="18"/>
              </w:rPr>
              <w:t>South</w:t>
            </w:r>
            <w:r>
              <w:rPr>
                <w:spacing w:val="-15"/>
                <w:sz w:val="18"/>
              </w:rPr>
              <w:t> </w:t>
            </w:r>
            <w:r>
              <w:rPr>
                <w:sz w:val="18"/>
              </w:rPr>
              <w:t>Skookum</w:t>
            </w:r>
            <w:r>
              <w:rPr>
                <w:spacing w:val="-12"/>
                <w:sz w:val="18"/>
              </w:rPr>
              <w:t> </w:t>
            </w:r>
            <w:r>
              <w:rPr>
                <w:sz w:val="18"/>
              </w:rPr>
              <w:t>Lake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23"/>
              <w:rPr>
                <w:sz w:val="18"/>
              </w:rPr>
            </w:pPr>
            <w:r>
              <w:rPr>
                <w:sz w:val="18"/>
              </w:rPr>
              <w:t>Pend</w:t>
            </w:r>
            <w:r>
              <w:rPr>
                <w:spacing w:val="-13"/>
                <w:sz w:val="18"/>
              </w:rPr>
              <w:t> </w:t>
            </w:r>
            <w:r>
              <w:rPr>
                <w:sz w:val="18"/>
              </w:rPr>
              <w:t>Oreille/Newport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33</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ind w:left="27" w:right="5"/>
              <w:jc w:val="center"/>
              <w:rPr>
                <w:sz w:val="18"/>
              </w:rPr>
            </w:pPr>
            <w:r>
              <w:rPr>
                <w:spacing w:val="-10"/>
                <w:sz w:val="18"/>
              </w:rPr>
              <w:t>1</w:t>
            </w:r>
          </w:p>
        </w:tc>
      </w:tr>
      <w:tr>
        <w:trPr>
          <w:trHeight w:val="299" w:hRule="atLeast"/>
        </w:trPr>
        <w:tc>
          <w:tcPr>
            <w:tcW w:w="2246" w:type="dxa"/>
          </w:tcPr>
          <w:p>
            <w:pPr>
              <w:pStyle w:val="TableParagraph"/>
              <w:ind w:left="107"/>
              <w:rPr>
                <w:sz w:val="18"/>
              </w:rPr>
            </w:pPr>
            <w:r>
              <w:rPr>
                <w:spacing w:val="-2"/>
                <w:sz w:val="18"/>
              </w:rPr>
              <w:t>Stickpin</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35</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30</w:t>
            </w:r>
          </w:p>
        </w:tc>
      </w:tr>
      <w:tr>
        <w:trPr>
          <w:trHeight w:val="906" w:hRule="atLeast"/>
        </w:trPr>
        <w:tc>
          <w:tcPr>
            <w:tcW w:w="2246" w:type="dxa"/>
          </w:tcPr>
          <w:p>
            <w:pPr>
              <w:pStyle w:val="TableParagraph"/>
              <w:ind w:left="107"/>
              <w:rPr>
                <w:sz w:val="18"/>
              </w:rPr>
            </w:pPr>
            <w:r>
              <w:rPr>
                <w:sz w:val="18"/>
              </w:rPr>
              <w:t>Sullivan</w:t>
            </w:r>
            <w:r>
              <w:rPr>
                <w:spacing w:val="-2"/>
                <w:sz w:val="18"/>
              </w:rPr>
              <w:t> Creek</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spacing w:line="207" w:lineRule="exact"/>
              <w:ind w:left="157"/>
              <w:rPr>
                <w:sz w:val="18"/>
              </w:rPr>
            </w:pPr>
            <w:r>
              <w:rPr>
                <w:spacing w:val="-2"/>
                <w:sz w:val="18"/>
              </w:rPr>
              <w:t>25,26,2</w:t>
            </w:r>
          </w:p>
          <w:p>
            <w:pPr>
              <w:pStyle w:val="TableParagraph"/>
              <w:spacing w:line="206" w:lineRule="exact" w:before="0"/>
              <w:ind w:left="133"/>
              <w:rPr>
                <w:sz w:val="18"/>
              </w:rPr>
            </w:pPr>
            <w:r>
              <w:rPr>
                <w:spacing w:val="-2"/>
                <w:sz w:val="18"/>
              </w:rPr>
              <w:t>9,30,31,</w:t>
            </w:r>
          </w:p>
          <w:p>
            <w:pPr>
              <w:pStyle w:val="TableParagraph"/>
              <w:spacing w:line="206" w:lineRule="exact" w:before="0"/>
              <w:ind w:left="157"/>
              <w:rPr>
                <w:sz w:val="18"/>
              </w:rPr>
            </w:pPr>
            <w:r>
              <w:rPr>
                <w:spacing w:val="-2"/>
                <w:sz w:val="18"/>
              </w:rPr>
              <w:t>32,33,3</w:t>
            </w:r>
          </w:p>
          <w:p>
            <w:pPr>
              <w:pStyle w:val="TableParagraph"/>
              <w:spacing w:line="207" w:lineRule="exact" w:before="0"/>
              <w:ind w:left="157"/>
              <w:rPr>
                <w:sz w:val="18"/>
              </w:rPr>
            </w:pPr>
            <w:r>
              <w:rPr>
                <w:spacing w:val="-2"/>
                <w:sz w:val="18"/>
              </w:rPr>
              <w:t>4,35,36</w:t>
            </w:r>
          </w:p>
        </w:tc>
      </w:tr>
      <w:tr>
        <w:trPr>
          <w:trHeight w:val="702" w:hRule="atLeast"/>
        </w:trPr>
        <w:tc>
          <w:tcPr>
            <w:tcW w:w="2246" w:type="dxa"/>
          </w:tcPr>
          <w:p>
            <w:pPr>
              <w:pStyle w:val="TableParagraph"/>
              <w:spacing w:before="42"/>
              <w:ind w:left="107"/>
              <w:rPr>
                <w:sz w:val="18"/>
              </w:rPr>
            </w:pPr>
            <w:r>
              <w:rPr>
                <w:sz w:val="18"/>
              </w:rPr>
              <w:t>Sullivan</w:t>
            </w:r>
            <w:r>
              <w:rPr>
                <w:spacing w:val="-2"/>
                <w:sz w:val="18"/>
              </w:rPr>
              <w:t> Creek</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45</w:t>
            </w:r>
            <w:r>
              <w:rPr>
                <w:spacing w:val="-1"/>
                <w:sz w:val="18"/>
              </w:rPr>
              <w:t> </w:t>
            </w:r>
            <w:r>
              <w:rPr>
                <w:spacing w:val="-7"/>
                <w:sz w:val="18"/>
              </w:rPr>
              <w:t>E.</w:t>
            </w:r>
          </w:p>
        </w:tc>
        <w:tc>
          <w:tcPr>
            <w:tcW w:w="898" w:type="dxa"/>
            <w:tcBorders>
              <w:left w:val="nil"/>
            </w:tcBorders>
          </w:tcPr>
          <w:p>
            <w:pPr>
              <w:pStyle w:val="TableParagraph"/>
              <w:spacing w:line="207" w:lineRule="exact" w:before="40"/>
              <w:ind w:left="133"/>
              <w:rPr>
                <w:sz w:val="18"/>
              </w:rPr>
            </w:pPr>
            <w:r>
              <w:rPr>
                <w:spacing w:val="-2"/>
                <w:sz w:val="18"/>
              </w:rPr>
              <w:t>3,9,10,1</w:t>
            </w:r>
          </w:p>
          <w:p>
            <w:pPr>
              <w:pStyle w:val="TableParagraph"/>
              <w:spacing w:line="207" w:lineRule="exact" w:before="0"/>
              <w:ind w:left="133"/>
              <w:rPr>
                <w:sz w:val="18"/>
              </w:rPr>
            </w:pPr>
            <w:r>
              <w:rPr>
                <w:spacing w:val="-2"/>
                <w:sz w:val="18"/>
              </w:rPr>
              <w:t>6,17,19,</w:t>
            </w:r>
          </w:p>
          <w:p>
            <w:pPr>
              <w:pStyle w:val="TableParagraph"/>
              <w:spacing w:before="2"/>
              <w:ind w:left="232"/>
              <w:rPr>
                <w:sz w:val="18"/>
              </w:rPr>
            </w:pPr>
            <w:r>
              <w:rPr>
                <w:spacing w:val="-2"/>
                <w:sz w:val="18"/>
              </w:rPr>
              <w:t>20,30</w:t>
            </w:r>
          </w:p>
        </w:tc>
      </w:tr>
      <w:tr>
        <w:trPr>
          <w:trHeight w:val="493" w:hRule="atLeast"/>
        </w:trPr>
        <w:tc>
          <w:tcPr>
            <w:tcW w:w="2246" w:type="dxa"/>
          </w:tcPr>
          <w:p>
            <w:pPr>
              <w:pStyle w:val="TableParagraph"/>
              <w:ind w:left="107"/>
              <w:rPr>
                <w:sz w:val="18"/>
              </w:rPr>
            </w:pPr>
            <w:r>
              <w:rPr>
                <w:sz w:val="18"/>
              </w:rPr>
              <w:t>Sullivan</w:t>
            </w:r>
            <w:r>
              <w:rPr>
                <w:spacing w:val="-7"/>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38</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spacing w:line="207" w:lineRule="exact"/>
              <w:ind w:left="133"/>
              <w:rPr>
                <w:sz w:val="18"/>
              </w:rPr>
            </w:pPr>
            <w:r>
              <w:rPr>
                <w:spacing w:val="-2"/>
                <w:sz w:val="18"/>
              </w:rPr>
              <w:t>1,6,7,12</w:t>
            </w:r>
          </w:p>
          <w:p>
            <w:pPr>
              <w:pStyle w:val="TableParagraph"/>
              <w:spacing w:line="207" w:lineRule="exact" w:before="0"/>
              <w:ind w:left="208"/>
              <w:rPr>
                <w:sz w:val="18"/>
              </w:rPr>
            </w:pPr>
            <w:r>
              <w:rPr>
                <w:spacing w:val="-2"/>
                <w:sz w:val="18"/>
              </w:rPr>
              <w:t>,13,18</w:t>
            </w:r>
          </w:p>
        </w:tc>
      </w:tr>
      <w:tr>
        <w:trPr>
          <w:trHeight w:val="493" w:hRule="atLeast"/>
        </w:trPr>
        <w:tc>
          <w:tcPr>
            <w:tcW w:w="2246" w:type="dxa"/>
          </w:tcPr>
          <w:p>
            <w:pPr>
              <w:pStyle w:val="TableParagraph"/>
              <w:ind w:left="107"/>
              <w:rPr>
                <w:sz w:val="18"/>
              </w:rPr>
            </w:pPr>
            <w:r>
              <w:rPr>
                <w:sz w:val="18"/>
              </w:rPr>
              <w:t>Sullivan</w:t>
            </w:r>
            <w:r>
              <w:rPr>
                <w:spacing w:val="-7"/>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43</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25</w:t>
            </w:r>
          </w:p>
        </w:tc>
      </w:tr>
      <w:tr>
        <w:trPr>
          <w:trHeight w:val="493" w:hRule="atLeast"/>
        </w:trPr>
        <w:tc>
          <w:tcPr>
            <w:tcW w:w="2246" w:type="dxa"/>
          </w:tcPr>
          <w:p>
            <w:pPr>
              <w:pStyle w:val="TableParagraph"/>
              <w:ind w:left="107"/>
              <w:rPr>
                <w:sz w:val="18"/>
              </w:rPr>
            </w:pPr>
            <w:r>
              <w:rPr>
                <w:sz w:val="18"/>
              </w:rPr>
              <w:t>Sullivan</w:t>
            </w:r>
            <w:r>
              <w:rPr>
                <w:spacing w:val="-7"/>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spacing w:line="207" w:lineRule="exact"/>
              <w:ind w:left="27"/>
              <w:jc w:val="center"/>
              <w:rPr>
                <w:sz w:val="18"/>
              </w:rPr>
            </w:pPr>
            <w:r>
              <w:rPr>
                <w:spacing w:val="-2"/>
                <w:sz w:val="18"/>
              </w:rPr>
              <w:t>6,31,32,</w:t>
            </w:r>
          </w:p>
          <w:p>
            <w:pPr>
              <w:pStyle w:val="TableParagraph"/>
              <w:spacing w:line="207" w:lineRule="exact" w:before="0"/>
              <w:ind w:left="27"/>
              <w:jc w:val="center"/>
              <w:rPr>
                <w:sz w:val="18"/>
              </w:rPr>
            </w:pPr>
            <w:r>
              <w:rPr>
                <w:spacing w:val="-5"/>
                <w:sz w:val="18"/>
              </w:rPr>
              <w:t>33</w:t>
            </w:r>
          </w:p>
        </w:tc>
      </w:tr>
      <w:tr>
        <w:trPr>
          <w:trHeight w:val="599" w:hRule="atLeast"/>
        </w:trPr>
        <w:tc>
          <w:tcPr>
            <w:tcW w:w="2246" w:type="dxa"/>
          </w:tcPr>
          <w:p>
            <w:pPr>
              <w:pStyle w:val="TableParagraph"/>
              <w:ind w:left="107"/>
              <w:rPr>
                <w:sz w:val="18"/>
              </w:rPr>
            </w:pPr>
            <w:r>
              <w:rPr>
                <w:sz w:val="18"/>
              </w:rPr>
              <w:t>Sullivan</w:t>
            </w:r>
            <w:r>
              <w:rPr>
                <w:spacing w:val="-15"/>
                <w:sz w:val="18"/>
              </w:rPr>
              <w:t> </w:t>
            </w:r>
            <w:r>
              <w:rPr>
                <w:sz w:val="18"/>
              </w:rPr>
              <w:t>Lake</w:t>
            </w:r>
            <w:r>
              <w:rPr>
                <w:spacing w:val="-12"/>
                <w:sz w:val="18"/>
              </w:rPr>
              <w:t> </w:t>
            </w:r>
            <w:r>
              <w:rPr>
                <w:sz w:val="18"/>
              </w:rPr>
              <w:t>Group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63"/>
              <w:rPr>
                <w:sz w:val="18"/>
              </w:rPr>
            </w:pPr>
            <w:r>
              <w:rPr>
                <w:sz w:val="18"/>
              </w:rPr>
              <w:t>Pend</w:t>
            </w:r>
            <w:r>
              <w:rPr>
                <w:spacing w:val="-13"/>
                <w:sz w:val="18"/>
              </w:rPr>
              <w:t> </w:t>
            </w:r>
            <w:r>
              <w:rPr>
                <w:sz w:val="18"/>
              </w:rPr>
              <w:t>Oreille/Sullivan Lake RD</w:t>
            </w:r>
          </w:p>
        </w:tc>
        <w:tc>
          <w:tcPr>
            <w:tcW w:w="1149"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44</w:t>
            </w:r>
            <w:r>
              <w:rPr>
                <w:spacing w:val="-1"/>
                <w:sz w:val="18"/>
              </w:rPr>
              <w:t> </w:t>
            </w:r>
            <w:r>
              <w:rPr>
                <w:spacing w:val="-7"/>
                <w:sz w:val="18"/>
              </w:rPr>
              <w:t>E.</w:t>
            </w:r>
          </w:p>
        </w:tc>
        <w:tc>
          <w:tcPr>
            <w:tcW w:w="898" w:type="dxa"/>
            <w:tcBorders>
              <w:left w:val="nil"/>
            </w:tcBorders>
          </w:tcPr>
          <w:p>
            <w:pPr>
              <w:pStyle w:val="TableParagraph"/>
              <w:ind w:left="27" w:right="3"/>
              <w:jc w:val="center"/>
              <w:rPr>
                <w:sz w:val="18"/>
              </w:rPr>
            </w:pPr>
            <w:r>
              <w:rPr>
                <w:spacing w:val="-2"/>
                <w:sz w:val="18"/>
              </w:rPr>
              <w:t>31,32</w:t>
            </w:r>
          </w:p>
        </w:tc>
      </w:tr>
      <w:tr>
        <w:trPr>
          <w:trHeight w:val="493" w:hRule="atLeast"/>
        </w:trPr>
        <w:tc>
          <w:tcPr>
            <w:tcW w:w="2246" w:type="dxa"/>
          </w:tcPr>
          <w:p>
            <w:pPr>
              <w:pStyle w:val="TableParagraph"/>
              <w:ind w:left="107"/>
              <w:rPr>
                <w:sz w:val="18"/>
              </w:rPr>
            </w:pPr>
            <w:r>
              <w:rPr>
                <w:sz w:val="18"/>
              </w:rPr>
              <w:t>Summit</w:t>
            </w:r>
            <w:r>
              <w:rPr>
                <w:spacing w:val="-4"/>
                <w:sz w:val="18"/>
              </w:rPr>
              <w:t> 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ight="303"/>
              <w:rPr>
                <w:sz w:val="18"/>
              </w:rPr>
            </w:pPr>
            <w:r>
              <w:rPr>
                <w:sz w:val="18"/>
              </w:rPr>
              <w:t>Stevens/Three</w:t>
            </w:r>
            <w:r>
              <w:rPr>
                <w:spacing w:val="-13"/>
                <w:sz w:val="18"/>
              </w:rPr>
              <w:t> </w:t>
            </w:r>
            <w:r>
              <w:rPr>
                <w:sz w:val="18"/>
              </w:rPr>
              <w:t>Rivers </w:t>
            </w:r>
            <w:r>
              <w:rPr>
                <w:spacing w:val="-6"/>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40</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37</w:t>
            </w:r>
            <w:r>
              <w:rPr>
                <w:spacing w:val="-1"/>
                <w:sz w:val="18"/>
              </w:rPr>
              <w:t> </w:t>
            </w:r>
            <w:r>
              <w:rPr>
                <w:spacing w:val="-7"/>
                <w:sz w:val="18"/>
              </w:rPr>
              <w:t>E.</w:t>
            </w:r>
          </w:p>
        </w:tc>
        <w:tc>
          <w:tcPr>
            <w:tcW w:w="898" w:type="dxa"/>
            <w:tcBorders>
              <w:left w:val="nil"/>
            </w:tcBorders>
          </w:tcPr>
          <w:p>
            <w:pPr>
              <w:pStyle w:val="TableParagraph"/>
              <w:spacing w:line="207" w:lineRule="exact"/>
              <w:ind w:left="27" w:right="3"/>
              <w:jc w:val="center"/>
              <w:rPr>
                <w:sz w:val="18"/>
              </w:rPr>
            </w:pPr>
            <w:r>
              <w:rPr>
                <w:spacing w:val="-2"/>
                <w:sz w:val="18"/>
              </w:rPr>
              <w:t>16,17,2</w:t>
            </w:r>
          </w:p>
          <w:p>
            <w:pPr>
              <w:pStyle w:val="TableParagraph"/>
              <w:spacing w:line="207" w:lineRule="exact" w:before="0"/>
              <w:ind w:left="27" w:right="2"/>
              <w:jc w:val="center"/>
              <w:rPr>
                <w:sz w:val="18"/>
              </w:rPr>
            </w:pPr>
            <w:r>
              <w:rPr>
                <w:spacing w:val="-4"/>
                <w:sz w:val="18"/>
              </w:rPr>
              <w:t>0,21</w:t>
            </w:r>
          </w:p>
        </w:tc>
      </w:tr>
      <w:tr>
        <w:trPr>
          <w:trHeight w:val="494" w:hRule="atLeast"/>
        </w:trPr>
        <w:tc>
          <w:tcPr>
            <w:tcW w:w="2246" w:type="dxa"/>
          </w:tcPr>
          <w:p>
            <w:pPr>
              <w:pStyle w:val="TableParagraph"/>
              <w:ind w:left="107"/>
              <w:rPr>
                <w:sz w:val="18"/>
              </w:rPr>
            </w:pPr>
            <w:r>
              <w:rPr>
                <w:sz w:val="18"/>
              </w:rPr>
              <w:t>Swan</w:t>
            </w:r>
            <w:r>
              <w:rPr>
                <w:spacing w:val="-3"/>
                <w:sz w:val="18"/>
              </w:rPr>
              <w:t> </w:t>
            </w:r>
            <w:r>
              <w:rPr>
                <w:spacing w:val="-4"/>
                <w:sz w:val="18"/>
              </w:rPr>
              <w:t>Lake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8" w:type="dxa"/>
            <w:tcBorders>
              <w:left w:val="nil"/>
            </w:tcBorders>
          </w:tcPr>
          <w:p>
            <w:pPr>
              <w:pStyle w:val="TableParagraph"/>
              <w:spacing w:line="207" w:lineRule="exact"/>
              <w:ind w:left="27" w:right="3"/>
              <w:jc w:val="center"/>
              <w:rPr>
                <w:sz w:val="18"/>
              </w:rPr>
            </w:pPr>
            <w:r>
              <w:rPr>
                <w:spacing w:val="-2"/>
                <w:sz w:val="18"/>
              </w:rPr>
              <w:t>19,20,2</w:t>
            </w:r>
          </w:p>
          <w:p>
            <w:pPr>
              <w:pStyle w:val="TableParagraph"/>
              <w:spacing w:line="207" w:lineRule="exact" w:before="0"/>
              <w:ind w:left="27" w:right="5"/>
              <w:jc w:val="center"/>
              <w:rPr>
                <w:sz w:val="18"/>
              </w:rPr>
            </w:pPr>
            <w:r>
              <w:rPr>
                <w:spacing w:val="-10"/>
                <w:sz w:val="18"/>
              </w:rPr>
              <w:t>9</w:t>
            </w:r>
          </w:p>
        </w:tc>
      </w:tr>
      <w:tr>
        <w:trPr>
          <w:trHeight w:val="299" w:hRule="atLeast"/>
        </w:trPr>
        <w:tc>
          <w:tcPr>
            <w:tcW w:w="2246" w:type="dxa"/>
          </w:tcPr>
          <w:p>
            <w:pPr>
              <w:pStyle w:val="TableParagraph"/>
              <w:ind w:left="107"/>
              <w:rPr>
                <w:sz w:val="18"/>
              </w:rPr>
            </w:pPr>
            <w:r>
              <w:rPr>
                <w:sz w:val="18"/>
              </w:rPr>
              <w:t>Swan</w:t>
            </w:r>
            <w:r>
              <w:rPr>
                <w:spacing w:val="-3"/>
                <w:sz w:val="18"/>
              </w:rPr>
              <w:t> </w:t>
            </w:r>
            <w:r>
              <w:rPr>
                <w:sz w:val="18"/>
              </w:rPr>
              <w:t>Lake</w:t>
            </w:r>
            <w:r>
              <w:rPr>
                <w:spacing w:val="-3"/>
                <w:sz w:val="18"/>
              </w:rPr>
              <w:t>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20,29</w:t>
            </w:r>
          </w:p>
        </w:tc>
      </w:tr>
      <w:tr>
        <w:trPr>
          <w:trHeight w:val="299" w:hRule="atLeast"/>
        </w:trPr>
        <w:tc>
          <w:tcPr>
            <w:tcW w:w="2246" w:type="dxa"/>
          </w:tcPr>
          <w:p>
            <w:pPr>
              <w:pStyle w:val="TableParagraph"/>
              <w:ind w:left="107"/>
              <w:rPr>
                <w:sz w:val="18"/>
              </w:rPr>
            </w:pPr>
            <w:r>
              <w:rPr>
                <w:sz w:val="18"/>
              </w:rPr>
              <w:t>Ten</w:t>
            </w:r>
            <w:r>
              <w:rPr>
                <w:spacing w:val="1"/>
                <w:sz w:val="18"/>
              </w:rPr>
              <w:t> </w:t>
            </w:r>
            <w:r>
              <w:rPr>
                <w:spacing w:val="-4"/>
                <w:sz w:val="18"/>
              </w:rPr>
              <w:t>Mile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19,24</w:t>
            </w:r>
          </w:p>
        </w:tc>
      </w:tr>
      <w:tr>
        <w:trPr>
          <w:trHeight w:val="299" w:hRule="atLeast"/>
        </w:trPr>
        <w:tc>
          <w:tcPr>
            <w:tcW w:w="2246" w:type="dxa"/>
          </w:tcPr>
          <w:p>
            <w:pPr>
              <w:pStyle w:val="TableParagraph"/>
              <w:ind w:left="107"/>
              <w:rPr>
                <w:sz w:val="18"/>
              </w:rPr>
            </w:pPr>
            <w:r>
              <w:rPr>
                <w:sz w:val="18"/>
              </w:rPr>
              <w:t>Ten</w:t>
            </w:r>
            <w:r>
              <w:rPr>
                <w:spacing w:val="1"/>
                <w:sz w:val="18"/>
              </w:rPr>
              <w:t> </w:t>
            </w:r>
            <w:r>
              <w:rPr>
                <w:spacing w:val="-4"/>
                <w:sz w:val="18"/>
              </w:rPr>
              <w:t>Mile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19</w:t>
            </w:r>
          </w:p>
        </w:tc>
      </w:tr>
      <w:tr>
        <w:trPr>
          <w:trHeight w:val="299" w:hRule="atLeast"/>
        </w:trPr>
        <w:tc>
          <w:tcPr>
            <w:tcW w:w="2246" w:type="dxa"/>
          </w:tcPr>
          <w:p>
            <w:pPr>
              <w:pStyle w:val="TableParagraph"/>
              <w:ind w:left="107"/>
              <w:rPr>
                <w:sz w:val="18"/>
              </w:rPr>
            </w:pPr>
            <w:r>
              <w:rPr>
                <w:sz w:val="18"/>
              </w:rPr>
              <w:t>Ten</w:t>
            </w:r>
            <w:r>
              <w:rPr>
                <w:spacing w:val="-1"/>
                <w:sz w:val="18"/>
              </w:rPr>
              <w:t> </w:t>
            </w:r>
            <w:r>
              <w:rPr>
                <w:sz w:val="18"/>
              </w:rPr>
              <w:t>Mile</w:t>
            </w:r>
            <w:r>
              <w:rPr>
                <w:spacing w:val="-1"/>
                <w:sz w:val="18"/>
              </w:rPr>
              <w:t>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32</w:t>
            </w:r>
            <w:r>
              <w:rPr>
                <w:spacing w:val="-1"/>
                <w:sz w:val="18"/>
              </w:rPr>
              <w:t> </w:t>
            </w:r>
            <w:r>
              <w:rPr>
                <w:spacing w:val="-7"/>
                <w:sz w:val="18"/>
              </w:rPr>
              <w:t>E.</w:t>
            </w:r>
          </w:p>
        </w:tc>
        <w:tc>
          <w:tcPr>
            <w:tcW w:w="898" w:type="dxa"/>
            <w:tcBorders>
              <w:left w:val="nil"/>
            </w:tcBorders>
          </w:tcPr>
          <w:p>
            <w:pPr>
              <w:pStyle w:val="TableParagraph"/>
              <w:ind w:left="27" w:right="2"/>
              <w:jc w:val="center"/>
              <w:rPr>
                <w:sz w:val="18"/>
              </w:rPr>
            </w:pPr>
            <w:r>
              <w:rPr>
                <w:spacing w:val="-2"/>
                <w:sz w:val="18"/>
              </w:rPr>
              <w:t>19,24</w:t>
            </w:r>
          </w:p>
        </w:tc>
      </w:tr>
      <w:tr>
        <w:trPr>
          <w:trHeight w:val="301" w:hRule="atLeast"/>
        </w:trPr>
        <w:tc>
          <w:tcPr>
            <w:tcW w:w="2246" w:type="dxa"/>
          </w:tcPr>
          <w:p>
            <w:pPr>
              <w:pStyle w:val="TableParagraph"/>
              <w:spacing w:before="42"/>
              <w:ind w:left="107"/>
              <w:rPr>
                <w:sz w:val="18"/>
              </w:rPr>
            </w:pPr>
            <w:r>
              <w:rPr>
                <w:sz w:val="18"/>
              </w:rPr>
              <w:t>Ten</w:t>
            </w:r>
            <w:r>
              <w:rPr>
                <w:spacing w:val="-1"/>
                <w:sz w:val="18"/>
              </w:rPr>
              <w:t> </w:t>
            </w:r>
            <w:r>
              <w:rPr>
                <w:sz w:val="18"/>
              </w:rPr>
              <w:t>Mile</w:t>
            </w:r>
            <w:r>
              <w:rPr>
                <w:spacing w:val="-1"/>
                <w:sz w:val="18"/>
              </w:rPr>
              <w:t> </w:t>
            </w:r>
            <w:r>
              <w:rPr>
                <w:spacing w:val="-2"/>
                <w:sz w:val="18"/>
              </w:rPr>
              <w:t>Campground</w:t>
            </w:r>
          </w:p>
        </w:tc>
        <w:tc>
          <w:tcPr>
            <w:tcW w:w="1708" w:type="dxa"/>
          </w:tcPr>
          <w:p>
            <w:pPr>
              <w:pStyle w:val="TableParagraph"/>
              <w:spacing w:before="42"/>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spacing w:before="42"/>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spacing w:before="42"/>
              <w:ind w:left="153"/>
              <w:rPr>
                <w:sz w:val="18"/>
              </w:rPr>
            </w:pPr>
            <w:r>
              <w:rPr>
                <w:sz w:val="18"/>
              </w:rPr>
              <w:t>R.</w:t>
            </w:r>
            <w:r>
              <w:rPr>
                <w:spacing w:val="-3"/>
                <w:sz w:val="18"/>
              </w:rPr>
              <w:t> </w:t>
            </w:r>
            <w:r>
              <w:rPr>
                <w:sz w:val="18"/>
              </w:rPr>
              <w:t>33</w:t>
            </w:r>
            <w:r>
              <w:rPr>
                <w:spacing w:val="-1"/>
                <w:sz w:val="18"/>
              </w:rPr>
              <w:t> </w:t>
            </w:r>
            <w:r>
              <w:rPr>
                <w:spacing w:val="-7"/>
                <w:sz w:val="18"/>
              </w:rPr>
              <w:t>E.</w:t>
            </w:r>
          </w:p>
        </w:tc>
        <w:tc>
          <w:tcPr>
            <w:tcW w:w="898" w:type="dxa"/>
            <w:tcBorders>
              <w:left w:val="nil"/>
            </w:tcBorders>
          </w:tcPr>
          <w:p>
            <w:pPr>
              <w:pStyle w:val="TableParagraph"/>
              <w:spacing w:before="42"/>
              <w:ind w:left="27"/>
              <w:jc w:val="center"/>
              <w:rPr>
                <w:sz w:val="18"/>
              </w:rPr>
            </w:pPr>
            <w:r>
              <w:rPr>
                <w:spacing w:val="-5"/>
                <w:sz w:val="18"/>
              </w:rPr>
              <w:t>19</w:t>
            </w:r>
          </w:p>
        </w:tc>
      </w:tr>
      <w:tr>
        <w:trPr>
          <w:trHeight w:val="494" w:hRule="atLeast"/>
        </w:trPr>
        <w:tc>
          <w:tcPr>
            <w:tcW w:w="2246" w:type="dxa"/>
          </w:tcPr>
          <w:p>
            <w:pPr>
              <w:pStyle w:val="TableParagraph"/>
              <w:ind w:left="107" w:right="1081"/>
              <w:rPr>
                <w:sz w:val="18"/>
              </w:rPr>
            </w:pPr>
            <w:r>
              <w:rPr>
                <w:sz w:val="18"/>
              </w:rPr>
              <w:t>Thirteen</w:t>
            </w:r>
            <w:r>
              <w:rPr>
                <w:spacing w:val="-13"/>
                <w:sz w:val="18"/>
              </w:rPr>
              <w:t> </w:t>
            </w:r>
            <w:r>
              <w:rPr>
                <w:sz w:val="18"/>
              </w:rPr>
              <w:t>Mile </w:t>
            </w:r>
            <w:r>
              <w:rPr>
                <w:spacing w:val="-2"/>
                <w:sz w:val="18"/>
              </w:rPr>
              <w:t>Campground</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31</w:t>
            </w:r>
          </w:p>
        </w:tc>
      </w:tr>
      <w:tr>
        <w:trPr>
          <w:trHeight w:val="299" w:hRule="atLeast"/>
        </w:trPr>
        <w:tc>
          <w:tcPr>
            <w:tcW w:w="2246" w:type="dxa"/>
          </w:tcPr>
          <w:p>
            <w:pPr>
              <w:pStyle w:val="TableParagraph"/>
              <w:ind w:left="107"/>
              <w:rPr>
                <w:sz w:val="18"/>
              </w:rPr>
            </w:pPr>
            <w:r>
              <w:rPr>
                <w:spacing w:val="-2"/>
                <w:sz w:val="18"/>
              </w:rPr>
              <w:t>Thirteenmile</w:t>
            </w:r>
          </w:p>
        </w:tc>
        <w:tc>
          <w:tcPr>
            <w:tcW w:w="1708" w:type="dxa"/>
          </w:tcPr>
          <w:p>
            <w:pPr>
              <w:pStyle w:val="TableParagraph"/>
              <w:ind w:left="11" w:right="1"/>
              <w:jc w:val="center"/>
              <w:rPr>
                <w:sz w:val="18"/>
              </w:rPr>
            </w:pPr>
            <w:r>
              <w:rPr>
                <w:sz w:val="18"/>
              </w:rPr>
              <w:t>Recreation</w:t>
            </w:r>
            <w:r>
              <w:rPr>
                <w:spacing w:val="-3"/>
                <w:sz w:val="18"/>
              </w:rPr>
              <w:t> </w:t>
            </w:r>
            <w:r>
              <w:rPr>
                <w:spacing w:val="-4"/>
                <w:sz w:val="18"/>
              </w:rPr>
              <w:t>Site</w:t>
            </w:r>
          </w:p>
        </w:tc>
        <w:tc>
          <w:tcPr>
            <w:tcW w:w="2159" w:type="dxa"/>
          </w:tcPr>
          <w:p>
            <w:pPr>
              <w:pStyle w:val="TableParagraph"/>
              <w:ind w:left="108"/>
              <w:rPr>
                <w:sz w:val="18"/>
              </w:rPr>
            </w:pPr>
            <w:r>
              <w:rPr>
                <w:sz w:val="18"/>
              </w:rPr>
              <w:t>Ferry/Republic</w:t>
            </w:r>
            <w:r>
              <w:rPr>
                <w:spacing w:val="-6"/>
                <w:sz w:val="18"/>
              </w:rPr>
              <w:t> </w:t>
            </w:r>
            <w:r>
              <w:rPr>
                <w:spacing w:val="-5"/>
                <w:sz w:val="18"/>
              </w:rPr>
              <w:t>RD</w:t>
            </w:r>
          </w:p>
        </w:tc>
        <w:tc>
          <w:tcPr>
            <w:tcW w:w="1149" w:type="dxa"/>
            <w:tcBorders>
              <w:right w:val="nil"/>
            </w:tcBorders>
          </w:tcPr>
          <w:p>
            <w:pPr>
              <w:pStyle w:val="TableParagraph"/>
              <w:ind w:left="266"/>
              <w:rPr>
                <w:sz w:val="18"/>
              </w:rPr>
            </w:pPr>
            <w:r>
              <w:rPr>
                <w:sz w:val="18"/>
              </w:rPr>
              <w:t>T.</w:t>
            </w:r>
            <w:r>
              <w:rPr>
                <w:spacing w:val="-4"/>
                <w:sz w:val="18"/>
              </w:rPr>
              <w:t> </w:t>
            </w:r>
            <w:r>
              <w:rPr>
                <w:sz w:val="18"/>
              </w:rPr>
              <w:t>35</w:t>
            </w:r>
            <w:r>
              <w:rPr>
                <w:spacing w:val="-1"/>
                <w:sz w:val="18"/>
              </w:rPr>
              <w:t> </w:t>
            </w:r>
            <w:r>
              <w:rPr>
                <w:spacing w:val="-5"/>
                <w:sz w:val="18"/>
              </w:rPr>
              <w:t>N.</w:t>
            </w:r>
          </w:p>
        </w:tc>
        <w:tc>
          <w:tcPr>
            <w:tcW w:w="920" w:type="dxa"/>
            <w:tcBorders>
              <w:left w:val="nil"/>
              <w:right w:val="nil"/>
            </w:tcBorders>
          </w:tcPr>
          <w:p>
            <w:pPr>
              <w:pStyle w:val="TableParagraph"/>
              <w:ind w:left="153"/>
              <w:rPr>
                <w:sz w:val="18"/>
              </w:rPr>
            </w:pPr>
            <w:r>
              <w:rPr>
                <w:sz w:val="18"/>
              </w:rPr>
              <w:t>R.</w:t>
            </w:r>
            <w:r>
              <w:rPr>
                <w:spacing w:val="-3"/>
                <w:sz w:val="18"/>
              </w:rPr>
              <w:t> </w:t>
            </w:r>
            <w:r>
              <w:rPr>
                <w:sz w:val="18"/>
              </w:rPr>
              <w:t>33</w:t>
            </w:r>
            <w:r>
              <w:rPr>
                <w:spacing w:val="-1"/>
                <w:sz w:val="18"/>
              </w:rPr>
              <w:t> </w:t>
            </w:r>
            <w:r>
              <w:rPr>
                <w:spacing w:val="-7"/>
                <w:sz w:val="18"/>
              </w:rPr>
              <w:t>E.</w:t>
            </w:r>
          </w:p>
        </w:tc>
        <w:tc>
          <w:tcPr>
            <w:tcW w:w="898" w:type="dxa"/>
            <w:tcBorders>
              <w:left w:val="nil"/>
            </w:tcBorders>
          </w:tcPr>
          <w:p>
            <w:pPr>
              <w:pStyle w:val="TableParagraph"/>
              <w:ind w:left="27"/>
              <w:jc w:val="center"/>
              <w:rPr>
                <w:sz w:val="18"/>
              </w:rPr>
            </w:pPr>
            <w:r>
              <w:rPr>
                <w:spacing w:val="-5"/>
                <w:sz w:val="18"/>
              </w:rPr>
              <w:t>31</w:t>
            </w:r>
          </w:p>
        </w:tc>
      </w:tr>
    </w:tbl>
    <w:p>
      <w:pPr>
        <w:pStyle w:val="TableParagraph"/>
        <w:spacing w:after="0"/>
        <w:jc w:val="center"/>
        <w:rPr>
          <w:sz w:val="18"/>
        </w:rPr>
        <w:sectPr>
          <w:type w:val="continuous"/>
          <w:pgSz w:w="12240" w:h="15840"/>
          <w:pgMar w:header="725" w:footer="891" w:top="1420" w:bottom="1369" w:left="1080" w:right="1080"/>
        </w:sect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2246"/>
        <w:gridCol w:w="1708"/>
        <w:gridCol w:w="2159"/>
        <w:gridCol w:w="1148"/>
        <w:gridCol w:w="919"/>
        <w:gridCol w:w="900"/>
      </w:tblGrid>
      <w:tr>
        <w:trPr>
          <w:trHeight w:val="493" w:hRule="atLeast"/>
        </w:trPr>
        <w:tc>
          <w:tcPr>
            <w:tcW w:w="2246" w:type="dxa"/>
            <w:shd w:val="clear" w:color="auto" w:fill="D5E2BB"/>
          </w:tcPr>
          <w:p>
            <w:pPr>
              <w:pStyle w:val="TableParagraph"/>
              <w:ind w:left="695"/>
              <w:rPr>
                <w:b/>
                <w:sz w:val="18"/>
              </w:rPr>
            </w:pPr>
            <w:r>
              <w:rPr>
                <w:b/>
                <w:sz w:val="18"/>
              </w:rPr>
              <w:t>Site </w:t>
            </w:r>
            <w:r>
              <w:rPr>
                <w:b/>
                <w:spacing w:val="-4"/>
                <w:sz w:val="18"/>
              </w:rPr>
              <w:t>name</w:t>
            </w:r>
          </w:p>
        </w:tc>
        <w:tc>
          <w:tcPr>
            <w:tcW w:w="1708" w:type="dxa"/>
            <w:shd w:val="clear" w:color="auto" w:fill="D5E2BB"/>
          </w:tcPr>
          <w:p>
            <w:pPr>
              <w:pStyle w:val="TableParagraph"/>
              <w:ind w:left="11" w:right="10"/>
              <w:jc w:val="center"/>
              <w:rPr>
                <w:b/>
                <w:sz w:val="18"/>
              </w:rPr>
            </w:pPr>
            <w:r>
              <w:rPr>
                <w:b/>
                <w:spacing w:val="-4"/>
                <w:sz w:val="18"/>
              </w:rPr>
              <w:t>Type</w:t>
            </w:r>
          </w:p>
        </w:tc>
        <w:tc>
          <w:tcPr>
            <w:tcW w:w="2159" w:type="dxa"/>
            <w:shd w:val="clear" w:color="auto" w:fill="D5E2BB"/>
          </w:tcPr>
          <w:p>
            <w:pPr>
              <w:pStyle w:val="TableParagraph"/>
              <w:ind w:left="771" w:hanging="336"/>
              <w:rPr>
                <w:b/>
                <w:sz w:val="18"/>
              </w:rPr>
            </w:pPr>
            <w:r>
              <w:rPr>
                <w:b/>
                <w:spacing w:val="-2"/>
                <w:sz w:val="18"/>
              </w:rPr>
              <w:t>County/Ranger District</w:t>
            </w:r>
          </w:p>
        </w:tc>
        <w:tc>
          <w:tcPr>
            <w:tcW w:w="1148" w:type="dxa"/>
            <w:tcBorders>
              <w:right w:val="nil"/>
            </w:tcBorders>
            <w:shd w:val="clear" w:color="auto" w:fill="D5E2BB"/>
          </w:tcPr>
          <w:p>
            <w:pPr>
              <w:pStyle w:val="TableParagraph"/>
              <w:ind w:left="29"/>
              <w:jc w:val="center"/>
              <w:rPr>
                <w:b/>
                <w:sz w:val="18"/>
              </w:rPr>
            </w:pPr>
            <w:r>
              <w:rPr>
                <w:b/>
                <w:spacing w:val="-2"/>
                <w:sz w:val="18"/>
              </w:rPr>
              <w:t>Township</w:t>
            </w:r>
          </w:p>
        </w:tc>
        <w:tc>
          <w:tcPr>
            <w:tcW w:w="919" w:type="dxa"/>
            <w:tcBorders>
              <w:left w:val="nil"/>
              <w:right w:val="nil"/>
            </w:tcBorders>
            <w:shd w:val="clear" w:color="auto" w:fill="D5E2BB"/>
          </w:tcPr>
          <w:p>
            <w:pPr>
              <w:pStyle w:val="TableParagraph"/>
              <w:ind w:left="38"/>
              <w:jc w:val="center"/>
              <w:rPr>
                <w:b/>
                <w:sz w:val="18"/>
              </w:rPr>
            </w:pPr>
            <w:r>
              <w:rPr>
                <w:b/>
                <w:spacing w:val="-2"/>
                <w:sz w:val="18"/>
              </w:rPr>
              <w:t>Range</w:t>
            </w:r>
          </w:p>
        </w:tc>
        <w:tc>
          <w:tcPr>
            <w:tcW w:w="900" w:type="dxa"/>
            <w:tcBorders>
              <w:left w:val="nil"/>
            </w:tcBorders>
            <w:shd w:val="clear" w:color="auto" w:fill="D5E2BB"/>
          </w:tcPr>
          <w:p>
            <w:pPr>
              <w:pStyle w:val="TableParagraph"/>
              <w:ind w:left="25" w:right="1"/>
              <w:jc w:val="center"/>
              <w:rPr>
                <w:b/>
                <w:sz w:val="18"/>
              </w:rPr>
            </w:pPr>
            <w:r>
              <w:rPr>
                <w:b/>
                <w:spacing w:val="-2"/>
                <w:sz w:val="18"/>
              </w:rPr>
              <w:t>Section</w:t>
            </w:r>
          </w:p>
        </w:tc>
      </w:tr>
      <w:tr>
        <w:trPr>
          <w:trHeight w:val="494" w:hRule="atLeast"/>
        </w:trPr>
        <w:tc>
          <w:tcPr>
            <w:tcW w:w="2246" w:type="dxa"/>
          </w:tcPr>
          <w:p>
            <w:pPr>
              <w:pStyle w:val="TableParagraph"/>
              <w:ind w:left="107"/>
              <w:rPr>
                <w:sz w:val="18"/>
              </w:rPr>
            </w:pPr>
            <w:r>
              <w:rPr>
                <w:sz w:val="18"/>
              </w:rPr>
              <w:t>Thunder</w:t>
            </w:r>
            <w:r>
              <w:rPr>
                <w:spacing w:val="-2"/>
                <w:sz w:val="18"/>
              </w:rPr>
              <w:t> Creek</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3,10</w:t>
            </w:r>
          </w:p>
        </w:tc>
      </w:tr>
      <w:tr>
        <w:trPr>
          <w:trHeight w:val="299" w:hRule="atLeast"/>
        </w:trPr>
        <w:tc>
          <w:tcPr>
            <w:tcW w:w="2246" w:type="dxa"/>
          </w:tcPr>
          <w:p>
            <w:pPr>
              <w:pStyle w:val="TableParagraph"/>
              <w:ind w:left="107"/>
              <w:rPr>
                <w:sz w:val="18"/>
              </w:rPr>
            </w:pPr>
            <w:r>
              <w:rPr>
                <w:sz w:val="18"/>
              </w:rPr>
              <w:t>Timber</w:t>
            </w:r>
            <w:r>
              <w:rPr>
                <w:spacing w:val="-1"/>
                <w:sz w:val="18"/>
              </w:rPr>
              <w:t> </w:t>
            </w:r>
            <w:r>
              <w:rPr>
                <w:spacing w:val="-2"/>
                <w:sz w:val="18"/>
              </w:rPr>
              <w:t>Ridge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27,28</w:t>
            </w:r>
          </w:p>
        </w:tc>
      </w:tr>
      <w:tr>
        <w:trPr>
          <w:trHeight w:val="493" w:hRule="atLeast"/>
        </w:trPr>
        <w:tc>
          <w:tcPr>
            <w:tcW w:w="2246" w:type="dxa"/>
          </w:tcPr>
          <w:p>
            <w:pPr>
              <w:pStyle w:val="TableParagraph"/>
              <w:ind w:left="107"/>
              <w:rPr>
                <w:sz w:val="18"/>
              </w:rPr>
            </w:pPr>
            <w:r>
              <w:rPr>
                <w:sz w:val="18"/>
              </w:rPr>
              <w:t>Trout</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spacing w:line="207" w:lineRule="exact"/>
              <w:ind w:left="25" w:right="3"/>
              <w:jc w:val="center"/>
              <w:rPr>
                <w:sz w:val="18"/>
              </w:rPr>
            </w:pPr>
            <w:r>
              <w:rPr>
                <w:spacing w:val="-2"/>
                <w:sz w:val="18"/>
              </w:rPr>
              <w:t>11,12,1</w:t>
            </w:r>
          </w:p>
          <w:p>
            <w:pPr>
              <w:pStyle w:val="TableParagraph"/>
              <w:spacing w:line="207" w:lineRule="exact" w:before="0"/>
              <w:ind w:left="25" w:right="3"/>
              <w:jc w:val="center"/>
              <w:rPr>
                <w:sz w:val="18"/>
              </w:rPr>
            </w:pPr>
            <w:r>
              <w:rPr>
                <w:spacing w:val="-4"/>
                <w:sz w:val="18"/>
              </w:rPr>
              <w:t>3,14</w:t>
            </w:r>
          </w:p>
        </w:tc>
      </w:tr>
      <w:tr>
        <w:trPr>
          <w:trHeight w:val="494" w:hRule="atLeast"/>
        </w:trPr>
        <w:tc>
          <w:tcPr>
            <w:tcW w:w="2246" w:type="dxa"/>
          </w:tcPr>
          <w:p>
            <w:pPr>
              <w:pStyle w:val="TableParagraph"/>
              <w:ind w:left="107"/>
              <w:rPr>
                <w:sz w:val="18"/>
              </w:rPr>
            </w:pPr>
            <w:r>
              <w:rPr>
                <w:sz w:val="18"/>
              </w:rPr>
              <w:t>Trout</w:t>
            </w:r>
            <w:r>
              <w:rPr>
                <w:spacing w:val="-1"/>
                <w:sz w:val="18"/>
              </w:rPr>
              <w:t> </w:t>
            </w:r>
            <w:r>
              <w:rPr>
                <w:sz w:val="18"/>
              </w:rPr>
              <w:t>Lake</w:t>
            </w:r>
            <w:r>
              <w:rPr>
                <w:spacing w:val="-2"/>
                <w:sz w:val="18"/>
              </w:rPr>
              <w:t> Campground</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36</w:t>
            </w:r>
            <w:r>
              <w:rPr>
                <w:spacing w:val="-1"/>
                <w:sz w:val="18"/>
              </w:rPr>
              <w:t> </w:t>
            </w:r>
            <w:r>
              <w:rPr>
                <w:spacing w:val="-7"/>
                <w:sz w:val="18"/>
              </w:rPr>
              <w:t>E.</w:t>
            </w:r>
          </w:p>
        </w:tc>
        <w:tc>
          <w:tcPr>
            <w:tcW w:w="900" w:type="dxa"/>
            <w:tcBorders>
              <w:left w:val="nil"/>
            </w:tcBorders>
          </w:tcPr>
          <w:p>
            <w:pPr>
              <w:pStyle w:val="TableParagraph"/>
              <w:spacing w:line="207" w:lineRule="exact"/>
              <w:ind w:left="25" w:right="3"/>
              <w:jc w:val="center"/>
              <w:rPr>
                <w:sz w:val="18"/>
              </w:rPr>
            </w:pPr>
            <w:r>
              <w:rPr>
                <w:spacing w:val="-2"/>
                <w:sz w:val="18"/>
              </w:rPr>
              <w:t>11,12,1</w:t>
            </w:r>
          </w:p>
          <w:p>
            <w:pPr>
              <w:pStyle w:val="TableParagraph"/>
              <w:spacing w:line="207" w:lineRule="exact" w:before="0"/>
              <w:ind w:left="25" w:right="3"/>
              <w:jc w:val="center"/>
              <w:rPr>
                <w:sz w:val="18"/>
              </w:rPr>
            </w:pPr>
            <w:r>
              <w:rPr>
                <w:spacing w:val="-4"/>
                <w:sz w:val="18"/>
              </w:rPr>
              <w:t>3,14</w:t>
            </w:r>
          </w:p>
        </w:tc>
      </w:tr>
      <w:tr>
        <w:trPr>
          <w:trHeight w:val="494" w:hRule="atLeast"/>
        </w:trPr>
        <w:tc>
          <w:tcPr>
            <w:tcW w:w="2246" w:type="dxa"/>
          </w:tcPr>
          <w:p>
            <w:pPr>
              <w:pStyle w:val="TableParagraph"/>
              <w:ind w:left="107"/>
              <w:rPr>
                <w:sz w:val="18"/>
              </w:rPr>
            </w:pPr>
            <w:r>
              <w:rPr>
                <w:sz w:val="18"/>
              </w:rPr>
              <w:t>Upper</w:t>
            </w:r>
            <w:r>
              <w:rPr>
                <w:spacing w:val="-3"/>
                <w:sz w:val="18"/>
              </w:rPr>
              <w:t> </w:t>
            </w:r>
            <w:r>
              <w:rPr>
                <w:sz w:val="18"/>
              </w:rPr>
              <w:t>Bead</w:t>
            </w:r>
            <w:r>
              <w:rPr>
                <w:spacing w:val="-2"/>
                <w:sz w:val="18"/>
              </w:rPr>
              <w:t> </w:t>
            </w:r>
            <w:r>
              <w:rPr>
                <w:spacing w:val="-4"/>
                <w:sz w:val="18"/>
              </w:rPr>
              <w:t>Lake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32</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4"/>
                <w:sz w:val="18"/>
              </w:rPr>
              <w:t>9,10</w:t>
            </w:r>
          </w:p>
        </w:tc>
      </w:tr>
      <w:tr>
        <w:trPr>
          <w:trHeight w:val="493" w:hRule="atLeast"/>
        </w:trPr>
        <w:tc>
          <w:tcPr>
            <w:tcW w:w="2246" w:type="dxa"/>
          </w:tcPr>
          <w:p>
            <w:pPr>
              <w:pStyle w:val="TableParagraph"/>
              <w:ind w:left="107"/>
              <w:rPr>
                <w:sz w:val="18"/>
              </w:rPr>
            </w:pPr>
            <w:r>
              <w:rPr>
                <w:sz w:val="18"/>
              </w:rPr>
              <w:t>Upper</w:t>
            </w:r>
            <w:r>
              <w:rPr>
                <w:spacing w:val="-8"/>
                <w:sz w:val="18"/>
              </w:rPr>
              <w:t> </w:t>
            </w:r>
            <w:r>
              <w:rPr>
                <w:spacing w:val="-4"/>
                <w:sz w:val="18"/>
              </w:rPr>
              <w:t>Wolf</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ight="322"/>
              <w:rPr>
                <w:sz w:val="18"/>
              </w:rPr>
            </w:pPr>
            <w:r>
              <w:rPr>
                <w:sz w:val="18"/>
              </w:rPr>
              <w:t>Pend</w:t>
            </w:r>
            <w:r>
              <w:rPr>
                <w:spacing w:val="-13"/>
                <w:sz w:val="18"/>
              </w:rPr>
              <w:t> </w:t>
            </w:r>
            <w:r>
              <w:rPr>
                <w:sz w:val="18"/>
              </w:rPr>
              <w:t>Oreille/Newport </w:t>
            </w:r>
            <w:r>
              <w:rPr>
                <w:spacing w:val="-6"/>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31</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45</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13</w:t>
            </w:r>
          </w:p>
        </w:tc>
      </w:tr>
      <w:tr>
        <w:trPr>
          <w:trHeight w:val="299" w:hRule="atLeast"/>
        </w:trPr>
        <w:tc>
          <w:tcPr>
            <w:tcW w:w="2246" w:type="dxa"/>
          </w:tcPr>
          <w:p>
            <w:pPr>
              <w:pStyle w:val="TableParagraph"/>
              <w:ind w:left="107"/>
              <w:rPr>
                <w:sz w:val="18"/>
              </w:rPr>
            </w:pPr>
            <w:r>
              <w:rPr>
                <w:spacing w:val="-2"/>
                <w:sz w:val="18"/>
              </w:rPr>
              <w:t>Wapaloosie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ind w:left="25" w:right="3"/>
              <w:jc w:val="center"/>
              <w:rPr>
                <w:sz w:val="18"/>
              </w:rPr>
            </w:pPr>
            <w:r>
              <w:rPr>
                <w:spacing w:val="-2"/>
                <w:sz w:val="18"/>
              </w:rPr>
              <w:t>31,36</w:t>
            </w:r>
          </w:p>
        </w:tc>
      </w:tr>
      <w:tr>
        <w:trPr>
          <w:trHeight w:val="299" w:hRule="atLeast"/>
        </w:trPr>
        <w:tc>
          <w:tcPr>
            <w:tcW w:w="2246" w:type="dxa"/>
          </w:tcPr>
          <w:p>
            <w:pPr>
              <w:pStyle w:val="TableParagraph"/>
              <w:ind w:left="107"/>
              <w:rPr>
                <w:sz w:val="18"/>
              </w:rPr>
            </w:pPr>
            <w:r>
              <w:rPr>
                <w:spacing w:val="-2"/>
                <w:sz w:val="18"/>
              </w:rPr>
              <w:t>Wapaloosie</w:t>
            </w:r>
          </w:p>
        </w:tc>
        <w:tc>
          <w:tcPr>
            <w:tcW w:w="1708" w:type="dxa"/>
          </w:tcPr>
          <w:p>
            <w:pPr>
              <w:pStyle w:val="TableParagraph"/>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ind w:left="266"/>
              <w:rPr>
                <w:sz w:val="18"/>
              </w:rPr>
            </w:pPr>
            <w:r>
              <w:rPr>
                <w:sz w:val="18"/>
              </w:rPr>
              <w:t>T.</w:t>
            </w:r>
            <w:r>
              <w:rPr>
                <w:spacing w:val="-4"/>
                <w:sz w:val="18"/>
              </w:rPr>
              <w:t> </w:t>
            </w:r>
            <w:r>
              <w:rPr>
                <w:sz w:val="18"/>
              </w:rPr>
              <w:t>37</w:t>
            </w:r>
            <w:r>
              <w:rPr>
                <w:spacing w:val="-1"/>
                <w:sz w:val="18"/>
              </w:rPr>
              <w:t> </w:t>
            </w:r>
            <w:r>
              <w:rPr>
                <w:spacing w:val="-5"/>
                <w:sz w:val="18"/>
              </w:rPr>
              <w:t>N.</w:t>
            </w:r>
          </w:p>
        </w:tc>
        <w:tc>
          <w:tcPr>
            <w:tcW w:w="919" w:type="dxa"/>
            <w:tcBorders>
              <w:left w:val="nil"/>
              <w:right w:val="nil"/>
            </w:tcBorders>
          </w:tcPr>
          <w:p>
            <w:pPr>
              <w:pStyle w:val="TableParagraph"/>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ind w:left="25"/>
              <w:jc w:val="center"/>
              <w:rPr>
                <w:sz w:val="18"/>
              </w:rPr>
            </w:pPr>
            <w:r>
              <w:rPr>
                <w:spacing w:val="-5"/>
                <w:sz w:val="18"/>
              </w:rPr>
              <w:t>31</w:t>
            </w:r>
          </w:p>
        </w:tc>
      </w:tr>
      <w:tr>
        <w:trPr>
          <w:trHeight w:val="493" w:hRule="atLeast"/>
        </w:trPr>
        <w:tc>
          <w:tcPr>
            <w:tcW w:w="2246" w:type="dxa"/>
          </w:tcPr>
          <w:p>
            <w:pPr>
              <w:pStyle w:val="TableParagraph"/>
              <w:spacing w:before="42"/>
              <w:ind w:left="107"/>
              <w:rPr>
                <w:sz w:val="18"/>
              </w:rPr>
            </w:pPr>
            <w:r>
              <w:rPr>
                <w:sz w:val="18"/>
              </w:rPr>
              <w:t>West</w:t>
            </w:r>
            <w:r>
              <w:rPr>
                <w:spacing w:val="1"/>
                <w:sz w:val="18"/>
              </w:rPr>
              <w:t> </w:t>
            </w:r>
            <w:r>
              <w:rPr>
                <w:spacing w:val="-2"/>
                <w:sz w:val="18"/>
              </w:rPr>
              <w:t>Sullivan</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0"/>
              <w:ind w:left="109" w:right="362"/>
              <w:rPr>
                <w:sz w:val="18"/>
              </w:rPr>
            </w:pPr>
            <w:r>
              <w:rPr>
                <w:sz w:val="18"/>
              </w:rPr>
              <w:t>Pend</w:t>
            </w:r>
            <w:r>
              <w:rPr>
                <w:spacing w:val="-13"/>
                <w:sz w:val="18"/>
              </w:rPr>
              <w:t> </w:t>
            </w:r>
            <w:r>
              <w:rPr>
                <w:sz w:val="18"/>
              </w:rPr>
              <w:t>Oreille/Sullivan Lake RD</w:t>
            </w:r>
          </w:p>
        </w:tc>
        <w:tc>
          <w:tcPr>
            <w:tcW w:w="1148" w:type="dxa"/>
            <w:tcBorders>
              <w:right w:val="nil"/>
            </w:tcBorders>
          </w:tcPr>
          <w:p>
            <w:pPr>
              <w:pStyle w:val="TableParagraph"/>
              <w:spacing w:before="42"/>
              <w:ind w:left="265"/>
              <w:rPr>
                <w:sz w:val="18"/>
              </w:rPr>
            </w:pPr>
            <w:r>
              <w:rPr>
                <w:sz w:val="18"/>
              </w:rPr>
              <w:t>T.</w:t>
            </w:r>
            <w:r>
              <w:rPr>
                <w:spacing w:val="-4"/>
                <w:sz w:val="18"/>
              </w:rPr>
              <w:t> </w:t>
            </w:r>
            <w:r>
              <w:rPr>
                <w:sz w:val="18"/>
              </w:rPr>
              <w:t>39</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44</w:t>
            </w:r>
            <w:r>
              <w:rPr>
                <w:spacing w:val="-1"/>
                <w:sz w:val="18"/>
              </w:rPr>
              <w:t> </w:t>
            </w:r>
            <w:r>
              <w:rPr>
                <w:spacing w:val="-7"/>
                <w:sz w:val="18"/>
              </w:rPr>
              <w:t>E.</w:t>
            </w:r>
          </w:p>
        </w:tc>
        <w:tc>
          <w:tcPr>
            <w:tcW w:w="900" w:type="dxa"/>
            <w:tcBorders>
              <w:left w:val="nil"/>
            </w:tcBorders>
          </w:tcPr>
          <w:p>
            <w:pPr>
              <w:pStyle w:val="TableParagraph"/>
              <w:spacing w:before="42"/>
              <w:ind w:left="25" w:right="1"/>
              <w:jc w:val="center"/>
              <w:rPr>
                <w:sz w:val="18"/>
              </w:rPr>
            </w:pPr>
            <w:r>
              <w:rPr>
                <w:spacing w:val="-5"/>
                <w:sz w:val="18"/>
              </w:rPr>
              <w:t>31</w:t>
            </w:r>
          </w:p>
        </w:tc>
      </w:tr>
      <w:tr>
        <w:trPr>
          <w:trHeight w:val="493" w:hRule="atLeast"/>
        </w:trPr>
        <w:tc>
          <w:tcPr>
            <w:tcW w:w="2246" w:type="dxa"/>
          </w:tcPr>
          <w:p>
            <w:pPr>
              <w:pStyle w:val="TableParagraph"/>
              <w:ind w:left="107" w:right="195"/>
              <w:rPr>
                <w:sz w:val="18"/>
              </w:rPr>
            </w:pPr>
            <w:r>
              <w:rPr>
                <w:sz w:val="18"/>
              </w:rPr>
              <w:t>White</w:t>
            </w:r>
            <w:r>
              <w:rPr>
                <w:spacing w:val="-13"/>
                <w:sz w:val="18"/>
              </w:rPr>
              <w:t> </w:t>
            </w:r>
            <w:r>
              <w:rPr>
                <w:sz w:val="18"/>
              </w:rPr>
              <w:t>Mountain Interpretive</w:t>
            </w:r>
            <w:r>
              <w:rPr>
                <w:spacing w:val="-6"/>
                <w:sz w:val="18"/>
              </w:rPr>
              <w:t> </w:t>
            </w:r>
            <w:r>
              <w:rPr>
                <w:spacing w:val="-4"/>
                <w:sz w:val="18"/>
              </w:rPr>
              <w:t>Site</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36</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34</w:t>
            </w:r>
            <w:r>
              <w:rPr>
                <w:spacing w:val="-1"/>
                <w:sz w:val="18"/>
              </w:rPr>
              <w:t> </w:t>
            </w:r>
            <w:r>
              <w:rPr>
                <w:spacing w:val="-7"/>
                <w:sz w:val="18"/>
              </w:rPr>
              <w:t>E.</w:t>
            </w:r>
          </w:p>
        </w:tc>
        <w:tc>
          <w:tcPr>
            <w:tcW w:w="900" w:type="dxa"/>
            <w:tcBorders>
              <w:left w:val="nil"/>
            </w:tcBorders>
          </w:tcPr>
          <w:p>
            <w:pPr>
              <w:pStyle w:val="TableParagraph"/>
              <w:spacing w:before="42"/>
              <w:ind w:left="25"/>
              <w:jc w:val="center"/>
              <w:rPr>
                <w:sz w:val="18"/>
              </w:rPr>
            </w:pPr>
            <w:r>
              <w:rPr>
                <w:spacing w:val="-5"/>
                <w:sz w:val="18"/>
              </w:rPr>
              <w:t>23</w:t>
            </w:r>
          </w:p>
        </w:tc>
      </w:tr>
      <w:tr>
        <w:trPr>
          <w:trHeight w:val="301" w:hRule="atLeast"/>
        </w:trPr>
        <w:tc>
          <w:tcPr>
            <w:tcW w:w="2246" w:type="dxa"/>
          </w:tcPr>
          <w:p>
            <w:pPr>
              <w:pStyle w:val="TableParagraph"/>
              <w:spacing w:before="42"/>
              <w:ind w:left="107"/>
              <w:rPr>
                <w:sz w:val="18"/>
              </w:rPr>
            </w:pPr>
            <w:r>
              <w:rPr>
                <w:sz w:val="18"/>
              </w:rPr>
              <w:t>White</w:t>
            </w:r>
            <w:r>
              <w:rPr>
                <w:spacing w:val="2"/>
                <w:sz w:val="18"/>
              </w:rPr>
              <w:t> </w:t>
            </w:r>
            <w:r>
              <w:rPr>
                <w:spacing w:val="-5"/>
                <w:sz w:val="18"/>
              </w:rPr>
              <w:t>Mtn</w:t>
            </w:r>
          </w:p>
        </w:tc>
        <w:tc>
          <w:tcPr>
            <w:tcW w:w="1708" w:type="dxa"/>
          </w:tcPr>
          <w:p>
            <w:pPr>
              <w:pStyle w:val="TableParagraph"/>
              <w:spacing w:before="42"/>
              <w:ind w:left="11" w:right="6"/>
              <w:jc w:val="center"/>
              <w:rPr>
                <w:sz w:val="18"/>
              </w:rPr>
            </w:pPr>
            <w:r>
              <w:rPr>
                <w:sz w:val="18"/>
              </w:rPr>
              <w:t>Recreation</w:t>
            </w:r>
            <w:r>
              <w:rPr>
                <w:spacing w:val="-3"/>
                <w:sz w:val="18"/>
              </w:rPr>
              <w:t> </w:t>
            </w:r>
            <w:r>
              <w:rPr>
                <w:spacing w:val="-4"/>
                <w:sz w:val="18"/>
              </w:rPr>
              <w:t>Site</w:t>
            </w:r>
          </w:p>
        </w:tc>
        <w:tc>
          <w:tcPr>
            <w:tcW w:w="2159" w:type="dxa"/>
          </w:tcPr>
          <w:p>
            <w:pPr>
              <w:pStyle w:val="TableParagraph"/>
              <w:spacing w:before="42"/>
              <w:ind w:left="109"/>
              <w:rPr>
                <w:sz w:val="18"/>
              </w:rPr>
            </w:pPr>
            <w:r>
              <w:rPr>
                <w:sz w:val="18"/>
              </w:rPr>
              <w:t>Ferry/Republic</w:t>
            </w:r>
            <w:r>
              <w:rPr>
                <w:spacing w:val="-6"/>
                <w:sz w:val="18"/>
              </w:rPr>
              <w:t> </w:t>
            </w:r>
            <w:r>
              <w:rPr>
                <w:spacing w:val="-5"/>
                <w:sz w:val="18"/>
              </w:rPr>
              <w:t>RD</w:t>
            </w:r>
          </w:p>
        </w:tc>
        <w:tc>
          <w:tcPr>
            <w:tcW w:w="1148" w:type="dxa"/>
            <w:tcBorders>
              <w:right w:val="nil"/>
            </w:tcBorders>
          </w:tcPr>
          <w:p>
            <w:pPr>
              <w:pStyle w:val="TableParagraph"/>
              <w:spacing w:before="42"/>
              <w:ind w:left="266"/>
              <w:rPr>
                <w:sz w:val="18"/>
              </w:rPr>
            </w:pPr>
            <w:r>
              <w:rPr>
                <w:sz w:val="18"/>
              </w:rPr>
              <w:t>T.</w:t>
            </w:r>
            <w:r>
              <w:rPr>
                <w:spacing w:val="-4"/>
                <w:sz w:val="18"/>
              </w:rPr>
              <w:t> </w:t>
            </w:r>
            <w:r>
              <w:rPr>
                <w:sz w:val="18"/>
              </w:rPr>
              <w:t>35</w:t>
            </w:r>
            <w:r>
              <w:rPr>
                <w:spacing w:val="-1"/>
                <w:sz w:val="18"/>
              </w:rPr>
              <w:t> </w:t>
            </w:r>
            <w:r>
              <w:rPr>
                <w:spacing w:val="-5"/>
                <w:sz w:val="18"/>
              </w:rPr>
              <w:t>N.</w:t>
            </w:r>
          </w:p>
        </w:tc>
        <w:tc>
          <w:tcPr>
            <w:tcW w:w="919" w:type="dxa"/>
            <w:tcBorders>
              <w:left w:val="nil"/>
              <w:right w:val="nil"/>
            </w:tcBorders>
          </w:tcPr>
          <w:p>
            <w:pPr>
              <w:pStyle w:val="TableParagraph"/>
              <w:spacing w:before="42"/>
              <w:ind w:left="152"/>
              <w:rPr>
                <w:sz w:val="18"/>
              </w:rPr>
            </w:pPr>
            <w:r>
              <w:rPr>
                <w:sz w:val="18"/>
              </w:rPr>
              <w:t>R.</w:t>
            </w:r>
            <w:r>
              <w:rPr>
                <w:spacing w:val="-3"/>
                <w:sz w:val="18"/>
              </w:rPr>
              <w:t> </w:t>
            </w:r>
            <w:r>
              <w:rPr>
                <w:sz w:val="18"/>
              </w:rPr>
              <w:t>35</w:t>
            </w:r>
            <w:r>
              <w:rPr>
                <w:spacing w:val="-1"/>
                <w:sz w:val="18"/>
              </w:rPr>
              <w:t> </w:t>
            </w:r>
            <w:r>
              <w:rPr>
                <w:spacing w:val="-7"/>
                <w:sz w:val="18"/>
              </w:rPr>
              <w:t>E.</w:t>
            </w:r>
          </w:p>
        </w:tc>
        <w:tc>
          <w:tcPr>
            <w:tcW w:w="900" w:type="dxa"/>
            <w:tcBorders>
              <w:left w:val="nil"/>
            </w:tcBorders>
          </w:tcPr>
          <w:p>
            <w:pPr>
              <w:pStyle w:val="TableParagraph"/>
              <w:spacing w:before="42"/>
              <w:ind w:left="25"/>
              <w:jc w:val="center"/>
              <w:rPr>
                <w:sz w:val="18"/>
              </w:rPr>
            </w:pPr>
            <w:r>
              <w:rPr>
                <w:spacing w:val="-5"/>
                <w:sz w:val="18"/>
              </w:rPr>
              <w:t>28</w:t>
            </w:r>
          </w:p>
        </w:tc>
      </w:tr>
    </w:tbl>
    <w:p>
      <w:pPr>
        <w:pStyle w:val="Heading2"/>
        <w:spacing w:before="257"/>
      </w:pPr>
      <w:bookmarkStart w:name="Communication Sites and Energy Corridors" w:id="1013"/>
      <w:bookmarkEnd w:id="1013"/>
      <w:r>
        <w:rPr/>
      </w:r>
      <w:bookmarkStart w:name="_bookmark330" w:id="1014"/>
      <w:bookmarkEnd w:id="1014"/>
      <w:r>
        <w:rPr/>
      </w:r>
      <w:r>
        <w:rPr>
          <w:smallCaps/>
          <w:color w:val="475824"/>
          <w:spacing w:val="-2"/>
        </w:rPr>
        <w:t>Communication</w:t>
      </w:r>
      <w:r>
        <w:rPr>
          <w:smallCaps/>
          <w:color w:val="475824"/>
        </w:rPr>
        <w:t> </w:t>
      </w:r>
      <w:r>
        <w:rPr>
          <w:smallCaps/>
          <w:color w:val="475824"/>
          <w:spacing w:val="-2"/>
        </w:rPr>
        <w:t>Sites</w:t>
      </w:r>
      <w:r>
        <w:rPr>
          <w:smallCaps/>
          <w:color w:val="475824"/>
          <w:spacing w:val="-16"/>
        </w:rPr>
        <w:t> </w:t>
      </w:r>
      <w:r>
        <w:rPr>
          <w:smallCaps/>
          <w:color w:val="475824"/>
          <w:spacing w:val="-2"/>
        </w:rPr>
        <w:t>and</w:t>
      </w:r>
      <w:r>
        <w:rPr>
          <w:smallCaps/>
          <w:color w:val="475824"/>
          <w:spacing w:val="-3"/>
        </w:rPr>
        <w:t> </w:t>
      </w:r>
      <w:r>
        <w:rPr>
          <w:smallCaps/>
          <w:color w:val="475824"/>
          <w:spacing w:val="-2"/>
        </w:rPr>
        <w:t>Energy</w:t>
      </w:r>
      <w:r>
        <w:rPr>
          <w:smallCaps/>
          <w:color w:val="475824"/>
          <w:spacing w:val="-7"/>
        </w:rPr>
        <w:t> </w:t>
      </w:r>
      <w:r>
        <w:rPr>
          <w:smallCaps/>
          <w:color w:val="475824"/>
          <w:spacing w:val="-2"/>
        </w:rPr>
        <w:t>Corridors</w:t>
      </w:r>
    </w:p>
    <w:p>
      <w:pPr>
        <w:pStyle w:val="BodyText"/>
        <w:spacing w:line="232" w:lineRule="auto" w:before="65"/>
        <w:ind w:left="359" w:right="1185"/>
      </w:pPr>
      <w:r>
        <w:rPr/>
        <w:t>Tables</w:t>
      </w:r>
      <w:r>
        <w:rPr>
          <w:spacing w:val="-5"/>
        </w:rPr>
        <w:t> </w:t>
      </w:r>
      <w:r>
        <w:rPr/>
        <w:t>G-2</w:t>
      </w:r>
      <w:r>
        <w:rPr>
          <w:spacing w:val="-4"/>
        </w:rPr>
        <w:t> </w:t>
      </w:r>
      <w:r>
        <w:rPr/>
        <w:t>and</w:t>
      </w:r>
      <w:r>
        <w:rPr>
          <w:spacing w:val="-6"/>
        </w:rPr>
        <w:t> </w:t>
      </w:r>
      <w:r>
        <w:rPr/>
        <w:t>G-3</w:t>
      </w:r>
      <w:r>
        <w:rPr>
          <w:spacing w:val="-4"/>
        </w:rPr>
        <w:t> </w:t>
      </w:r>
      <w:r>
        <w:rPr/>
        <w:t>list</w:t>
      </w:r>
      <w:r>
        <w:rPr>
          <w:spacing w:val="-7"/>
        </w:rPr>
        <w:t> </w:t>
      </w:r>
      <w:r>
        <w:rPr/>
        <w:t>the</w:t>
      </w:r>
      <w:r>
        <w:rPr>
          <w:spacing w:val="-7"/>
        </w:rPr>
        <w:t> </w:t>
      </w:r>
      <w:r>
        <w:rPr/>
        <w:t>communication</w:t>
      </w:r>
      <w:r>
        <w:rPr>
          <w:spacing w:val="-6"/>
        </w:rPr>
        <w:t> </w:t>
      </w:r>
      <w:r>
        <w:rPr/>
        <w:t>sites</w:t>
      </w:r>
      <w:r>
        <w:rPr>
          <w:spacing w:val="-5"/>
        </w:rPr>
        <w:t> </w:t>
      </w:r>
      <w:r>
        <w:rPr/>
        <w:t>and</w:t>
      </w:r>
      <w:r>
        <w:rPr>
          <w:spacing w:val="-6"/>
        </w:rPr>
        <w:t> </w:t>
      </w:r>
      <w:r>
        <w:rPr/>
        <w:t>energy</w:t>
      </w:r>
      <w:r>
        <w:rPr>
          <w:spacing w:val="-4"/>
        </w:rPr>
        <w:t> </w:t>
      </w:r>
      <w:r>
        <w:rPr/>
        <w:t>corridors</w:t>
      </w:r>
      <w:r>
        <w:rPr>
          <w:spacing w:val="-5"/>
        </w:rPr>
        <w:t> </w:t>
      </w:r>
      <w:r>
        <w:rPr/>
        <w:t>designated</w:t>
      </w:r>
      <w:r>
        <w:rPr>
          <w:spacing w:val="-8"/>
        </w:rPr>
        <w:t> </w:t>
      </w:r>
      <w:r>
        <w:rPr/>
        <w:t>on</w:t>
      </w:r>
      <w:r>
        <w:rPr>
          <w:spacing w:val="-6"/>
        </w:rPr>
        <w:t> </w:t>
      </w:r>
      <w:r>
        <w:rPr/>
        <w:t>the</w:t>
      </w:r>
      <w:r>
        <w:rPr>
          <w:spacing w:val="-7"/>
        </w:rPr>
        <w:t> </w:t>
      </w:r>
      <w:r>
        <w:rPr/>
        <w:t>Colville National Forest. The tables correspond to Figure G-1, which displays the locations of the communication sites and energy corridors.</w:t>
      </w:r>
    </w:p>
    <w:p>
      <w:pPr>
        <w:pStyle w:val="BodyText"/>
        <w:spacing w:before="83"/>
      </w:pPr>
    </w:p>
    <w:p>
      <w:pPr>
        <w:spacing w:before="0" w:after="42"/>
        <w:ind w:left="360" w:right="0" w:firstLine="0"/>
        <w:jc w:val="left"/>
        <w:rPr>
          <w:rFonts w:ascii="Arial"/>
          <w:b/>
          <w:sz w:val="18"/>
        </w:rPr>
      </w:pPr>
      <w:bookmarkStart w:name="_bookmark331" w:id="1015"/>
      <w:bookmarkEnd w:id="1015"/>
      <w:r>
        <w:rPr/>
      </w:r>
      <w:r>
        <w:rPr>
          <w:rFonts w:ascii="Arial"/>
          <w:b/>
          <w:sz w:val="18"/>
        </w:rPr>
        <w:t>Table</w:t>
      </w:r>
      <w:r>
        <w:rPr>
          <w:rFonts w:ascii="Arial"/>
          <w:b/>
          <w:spacing w:val="-2"/>
          <w:sz w:val="18"/>
        </w:rPr>
        <w:t> </w:t>
      </w:r>
      <w:r>
        <w:rPr>
          <w:rFonts w:ascii="Arial"/>
          <w:b/>
          <w:sz w:val="18"/>
        </w:rPr>
        <w:t>G-2.</w:t>
      </w:r>
      <w:r>
        <w:rPr>
          <w:rFonts w:ascii="Arial"/>
          <w:b/>
          <w:spacing w:val="-4"/>
          <w:sz w:val="18"/>
        </w:rPr>
        <w:t> </w:t>
      </w:r>
      <w:r>
        <w:rPr>
          <w:rFonts w:ascii="Arial"/>
          <w:b/>
          <w:sz w:val="18"/>
        </w:rPr>
        <w:t>List</w:t>
      </w:r>
      <w:r>
        <w:rPr>
          <w:rFonts w:ascii="Arial"/>
          <w:b/>
          <w:spacing w:val="-4"/>
          <w:sz w:val="18"/>
        </w:rPr>
        <w:t> </w:t>
      </w:r>
      <w:r>
        <w:rPr>
          <w:rFonts w:ascii="Arial"/>
          <w:b/>
          <w:sz w:val="18"/>
        </w:rPr>
        <w:t>of</w:t>
      </w:r>
      <w:r>
        <w:rPr>
          <w:rFonts w:ascii="Arial"/>
          <w:b/>
          <w:spacing w:val="-2"/>
          <w:sz w:val="18"/>
        </w:rPr>
        <w:t> </w:t>
      </w:r>
      <w:r>
        <w:rPr>
          <w:rFonts w:ascii="Arial"/>
          <w:b/>
          <w:sz w:val="18"/>
        </w:rPr>
        <w:t>designated</w:t>
      </w:r>
      <w:r>
        <w:rPr>
          <w:rFonts w:ascii="Arial"/>
          <w:b/>
          <w:spacing w:val="-2"/>
          <w:sz w:val="18"/>
        </w:rPr>
        <w:t> </w:t>
      </w:r>
      <w:r>
        <w:rPr>
          <w:rFonts w:ascii="Arial"/>
          <w:b/>
          <w:sz w:val="18"/>
        </w:rPr>
        <w:t>communication</w:t>
      </w:r>
      <w:r>
        <w:rPr>
          <w:rFonts w:ascii="Arial"/>
          <w:b/>
          <w:spacing w:val="-5"/>
          <w:sz w:val="18"/>
        </w:rPr>
        <w:t> </w:t>
      </w:r>
      <w:r>
        <w:rPr>
          <w:rFonts w:ascii="Arial"/>
          <w:b/>
          <w:sz w:val="18"/>
        </w:rPr>
        <w:t>sites</w:t>
      </w:r>
      <w:r>
        <w:rPr>
          <w:rFonts w:ascii="Arial"/>
          <w:b/>
          <w:spacing w:val="-4"/>
          <w:sz w:val="18"/>
        </w:rPr>
        <w:t> </w:t>
      </w:r>
      <w:r>
        <w:rPr>
          <w:rFonts w:ascii="Arial"/>
          <w:b/>
          <w:sz w:val="18"/>
        </w:rPr>
        <w:t>on</w:t>
      </w:r>
      <w:r>
        <w:rPr>
          <w:rFonts w:ascii="Arial"/>
          <w:b/>
          <w:spacing w:val="-2"/>
          <w:sz w:val="18"/>
        </w:rPr>
        <w:t> </w:t>
      </w:r>
      <w:r>
        <w:rPr>
          <w:rFonts w:ascii="Arial"/>
          <w:b/>
          <w:sz w:val="18"/>
        </w:rPr>
        <w:t>the</w:t>
      </w:r>
      <w:r>
        <w:rPr>
          <w:rFonts w:ascii="Arial"/>
          <w:b/>
          <w:spacing w:val="-1"/>
          <w:sz w:val="18"/>
        </w:rPr>
        <w:t> </w:t>
      </w:r>
      <w:r>
        <w:rPr>
          <w:rFonts w:ascii="Arial"/>
          <w:b/>
          <w:sz w:val="18"/>
        </w:rPr>
        <w:t>Colville</w:t>
      </w:r>
      <w:r>
        <w:rPr>
          <w:rFonts w:ascii="Arial"/>
          <w:b/>
          <w:spacing w:val="-1"/>
          <w:sz w:val="18"/>
        </w:rPr>
        <w:t> </w:t>
      </w:r>
      <w:r>
        <w:rPr>
          <w:rFonts w:ascii="Arial"/>
          <w:b/>
          <w:sz w:val="18"/>
        </w:rPr>
        <w:t>National</w:t>
      </w:r>
      <w:r>
        <w:rPr>
          <w:rFonts w:ascii="Arial"/>
          <w:b/>
          <w:spacing w:val="-3"/>
          <w:sz w:val="18"/>
        </w:rPr>
        <w:t> </w:t>
      </w:r>
      <w:r>
        <w:rPr>
          <w:rFonts w:ascii="Arial"/>
          <w:b/>
          <w:spacing w:val="-2"/>
          <w:sz w:val="18"/>
        </w:rPr>
        <w:t>Forest</w:t>
      </w:r>
    </w:p>
    <w:tbl>
      <w:tblPr>
        <w:tblW w:w="0" w:type="auto"/>
        <w:jc w:val="left"/>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90"/>
        <w:gridCol w:w="1891"/>
        <w:gridCol w:w="1440"/>
        <w:gridCol w:w="2887"/>
      </w:tblGrid>
      <w:tr>
        <w:trPr>
          <w:trHeight w:val="493" w:hRule="atLeast"/>
        </w:trPr>
        <w:tc>
          <w:tcPr>
            <w:tcW w:w="2690" w:type="dxa"/>
            <w:tcBorders>
              <w:left w:val="single" w:sz="8" w:space="0" w:color="9BBA58"/>
              <w:right w:val="single" w:sz="8" w:space="0" w:color="9BBA58"/>
            </w:tcBorders>
            <w:shd w:val="clear" w:color="auto" w:fill="D5E2BB"/>
          </w:tcPr>
          <w:p>
            <w:pPr>
              <w:pStyle w:val="TableParagraph"/>
              <w:ind w:left="107" w:right="835"/>
              <w:rPr>
                <w:b/>
                <w:sz w:val="18"/>
              </w:rPr>
            </w:pPr>
            <w:r>
              <w:rPr>
                <w:b/>
                <w:sz w:val="18"/>
              </w:rPr>
              <w:t>Communication</w:t>
            </w:r>
            <w:r>
              <w:rPr>
                <w:b/>
                <w:spacing w:val="-13"/>
                <w:sz w:val="18"/>
              </w:rPr>
              <w:t> </w:t>
            </w:r>
            <w:r>
              <w:rPr>
                <w:b/>
                <w:sz w:val="18"/>
              </w:rPr>
              <w:t>site name/lease holders</w:t>
            </w:r>
          </w:p>
        </w:tc>
        <w:tc>
          <w:tcPr>
            <w:tcW w:w="1891" w:type="dxa"/>
            <w:tcBorders>
              <w:left w:val="single" w:sz="8" w:space="0" w:color="9BBA58"/>
              <w:right w:val="single" w:sz="8" w:space="0" w:color="9BBA58"/>
            </w:tcBorders>
            <w:shd w:val="clear" w:color="auto" w:fill="D5E2BB"/>
          </w:tcPr>
          <w:p>
            <w:pPr>
              <w:pStyle w:val="TableParagraph"/>
              <w:ind w:left="108"/>
              <w:rPr>
                <w:b/>
                <w:sz w:val="18"/>
              </w:rPr>
            </w:pPr>
            <w:r>
              <w:rPr>
                <w:b/>
                <w:spacing w:val="-2"/>
                <w:sz w:val="18"/>
              </w:rPr>
              <w:t>County/Ranger District</w:t>
            </w:r>
          </w:p>
        </w:tc>
        <w:tc>
          <w:tcPr>
            <w:tcW w:w="1440" w:type="dxa"/>
            <w:tcBorders>
              <w:left w:val="single" w:sz="8" w:space="0" w:color="9BBA58"/>
              <w:right w:val="single" w:sz="8" w:space="0" w:color="9BBA58"/>
            </w:tcBorders>
            <w:shd w:val="clear" w:color="auto" w:fill="D5E2BB"/>
          </w:tcPr>
          <w:p>
            <w:pPr>
              <w:pStyle w:val="TableParagraph"/>
              <w:ind w:left="105" w:right="129"/>
              <w:rPr>
                <w:b/>
                <w:sz w:val="18"/>
              </w:rPr>
            </w:pPr>
            <w:r>
              <w:rPr>
                <w:b/>
                <w:spacing w:val="-4"/>
                <w:sz w:val="18"/>
              </w:rPr>
              <w:t>Site </w:t>
            </w:r>
            <w:r>
              <w:rPr>
                <w:b/>
                <w:spacing w:val="-2"/>
                <w:sz w:val="18"/>
              </w:rPr>
              <w:t>designation</w:t>
            </w:r>
          </w:p>
        </w:tc>
        <w:tc>
          <w:tcPr>
            <w:tcW w:w="2887" w:type="dxa"/>
            <w:tcBorders>
              <w:left w:val="single" w:sz="8" w:space="0" w:color="9BBA58"/>
              <w:right w:val="single" w:sz="8" w:space="0" w:color="9BBA58"/>
            </w:tcBorders>
            <w:shd w:val="clear" w:color="auto" w:fill="D5E2BB"/>
          </w:tcPr>
          <w:p>
            <w:pPr>
              <w:pStyle w:val="TableParagraph"/>
              <w:ind w:left="105"/>
              <w:rPr>
                <w:b/>
                <w:sz w:val="18"/>
              </w:rPr>
            </w:pPr>
            <w:r>
              <w:rPr>
                <w:b/>
                <w:spacing w:val="-2"/>
                <w:sz w:val="18"/>
              </w:rPr>
              <w:t>Location</w:t>
            </w:r>
          </w:p>
        </w:tc>
      </w:tr>
      <w:tr>
        <w:trPr>
          <w:trHeight w:val="415" w:hRule="atLeast"/>
        </w:trPr>
        <w:tc>
          <w:tcPr>
            <w:tcW w:w="2690" w:type="dxa"/>
            <w:tcBorders>
              <w:left w:val="single" w:sz="8" w:space="0" w:color="9BBA58"/>
              <w:bottom w:val="nil"/>
              <w:right w:val="single" w:sz="8" w:space="0" w:color="9BBA58"/>
            </w:tcBorders>
          </w:tcPr>
          <w:p>
            <w:pPr>
              <w:pStyle w:val="TableParagraph"/>
              <w:spacing w:before="121"/>
              <w:ind w:left="107"/>
              <w:rPr>
                <w:rFonts w:ascii="Calibri"/>
                <w:b/>
                <w:sz w:val="20"/>
              </w:rPr>
            </w:pPr>
            <w:r>
              <w:rPr>
                <w:rFonts w:ascii="Calibri"/>
                <w:b/>
                <w:sz w:val="20"/>
              </w:rPr>
              <w:t>Bisbee</w:t>
            </w:r>
            <w:r>
              <w:rPr>
                <w:rFonts w:ascii="Calibri"/>
                <w:b/>
                <w:spacing w:val="-6"/>
                <w:sz w:val="20"/>
              </w:rPr>
              <w:t> </w:t>
            </w:r>
            <w:r>
              <w:rPr>
                <w:rFonts w:ascii="Calibri"/>
                <w:b/>
                <w:spacing w:val="-2"/>
                <w:sz w:val="20"/>
              </w:rPr>
              <w:t>Mountain</w:t>
            </w:r>
          </w:p>
        </w:tc>
        <w:tc>
          <w:tcPr>
            <w:tcW w:w="1891" w:type="dxa"/>
            <w:vMerge w:val="restart"/>
            <w:tcBorders>
              <w:left w:val="single" w:sz="8" w:space="0" w:color="9BBA58"/>
              <w:bottom w:val="single" w:sz="8" w:space="0" w:color="9BBA58"/>
              <w:right w:val="single" w:sz="8" w:space="0" w:color="9BBA58"/>
            </w:tcBorders>
          </w:tcPr>
          <w:p>
            <w:pPr>
              <w:pStyle w:val="TableParagraph"/>
              <w:spacing w:before="1"/>
              <w:ind w:left="108"/>
              <w:rPr>
                <w:rFonts w:ascii="Calibri"/>
                <w:sz w:val="20"/>
              </w:rPr>
            </w:pPr>
            <w:r>
              <w:rPr>
                <w:rFonts w:ascii="Calibri"/>
                <w:spacing w:val="-2"/>
                <w:sz w:val="20"/>
              </w:rPr>
              <w:t>Ferry/Three</w:t>
            </w:r>
            <w:r>
              <w:rPr>
                <w:rFonts w:ascii="Calibri"/>
                <w:spacing w:val="8"/>
                <w:sz w:val="20"/>
              </w:rPr>
              <w:t> </w:t>
            </w:r>
            <w:r>
              <w:rPr>
                <w:rFonts w:ascii="Calibri"/>
                <w:spacing w:val="-2"/>
                <w:sz w:val="20"/>
              </w:rPr>
              <w:t>Rivers</w:t>
            </w:r>
          </w:p>
        </w:tc>
        <w:tc>
          <w:tcPr>
            <w:tcW w:w="1440" w:type="dxa"/>
            <w:vMerge w:val="restart"/>
            <w:tcBorders>
              <w:left w:val="single" w:sz="8" w:space="0" w:color="9BBA58"/>
              <w:bottom w:val="single" w:sz="8" w:space="0" w:color="9BBA58"/>
              <w:right w:val="single" w:sz="8" w:space="0" w:color="9BBA58"/>
            </w:tcBorders>
          </w:tcPr>
          <w:p>
            <w:pPr>
              <w:pStyle w:val="TableParagraph"/>
              <w:spacing w:before="1"/>
              <w:ind w:left="105" w:right="129"/>
              <w:rPr>
                <w:rFonts w:ascii="Calibri"/>
                <w:sz w:val="20"/>
              </w:rPr>
            </w:pPr>
            <w:r>
              <w:rPr>
                <w:rFonts w:ascii="Calibri"/>
                <w:spacing w:val="-2"/>
                <w:sz w:val="20"/>
              </w:rPr>
              <w:t>Low-power, non-broadcast</w:t>
            </w:r>
          </w:p>
        </w:tc>
        <w:tc>
          <w:tcPr>
            <w:tcW w:w="2887" w:type="dxa"/>
            <w:vMerge w:val="restart"/>
            <w:tcBorders>
              <w:left w:val="single" w:sz="8" w:space="0" w:color="9BBA58"/>
              <w:bottom w:val="single" w:sz="8" w:space="0" w:color="9BBA58"/>
              <w:right w:val="single" w:sz="8" w:space="0" w:color="9BBA58"/>
            </w:tcBorders>
          </w:tcPr>
          <w:p>
            <w:pPr>
              <w:pStyle w:val="TableParagraph"/>
              <w:spacing w:before="1"/>
              <w:ind w:left="105"/>
              <w:rPr>
                <w:rFonts w:ascii="Calibri" w:hAnsi="Calibri"/>
                <w:sz w:val="20"/>
              </w:rPr>
            </w:pPr>
            <w:r>
              <w:rPr>
                <w:rFonts w:ascii="Calibri" w:hAnsi="Calibri"/>
                <w:sz w:val="20"/>
              </w:rPr>
              <w:t>NE¼</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9,</w:t>
            </w:r>
            <w:r>
              <w:rPr>
                <w:rFonts w:ascii="Calibri" w:hAnsi="Calibri"/>
                <w:spacing w:val="-3"/>
                <w:sz w:val="20"/>
              </w:rPr>
              <w:t> </w:t>
            </w:r>
            <w:r>
              <w:rPr>
                <w:rFonts w:ascii="Calibri" w:hAnsi="Calibri"/>
                <w:sz w:val="20"/>
              </w:rPr>
              <w:t>T.</w:t>
            </w:r>
            <w:r>
              <w:rPr>
                <w:rFonts w:ascii="Calibri" w:hAnsi="Calibri"/>
                <w:spacing w:val="-5"/>
                <w:sz w:val="20"/>
              </w:rPr>
              <w:t> </w:t>
            </w:r>
            <w:r>
              <w:rPr>
                <w:rFonts w:ascii="Calibri" w:hAnsi="Calibri"/>
                <w:sz w:val="20"/>
              </w:rPr>
              <w:t>36N.,</w:t>
            </w:r>
            <w:r>
              <w:rPr>
                <w:rFonts w:ascii="Calibri" w:hAnsi="Calibri"/>
                <w:spacing w:val="-4"/>
                <w:sz w:val="20"/>
              </w:rPr>
              <w:t> </w:t>
            </w:r>
            <w:r>
              <w:rPr>
                <w:rFonts w:ascii="Calibri" w:hAnsi="Calibri"/>
                <w:sz w:val="20"/>
              </w:rPr>
              <w:t>R.36E.,</w:t>
            </w:r>
            <w:r>
              <w:rPr>
                <w:rFonts w:ascii="Calibri" w:hAnsi="Calibri"/>
                <w:spacing w:val="-3"/>
                <w:sz w:val="20"/>
              </w:rPr>
              <w:t> </w:t>
            </w:r>
            <w:r>
              <w:rPr>
                <w:rFonts w:ascii="Calibri" w:hAnsi="Calibri"/>
                <w:spacing w:val="-5"/>
                <w:sz w:val="20"/>
              </w:rPr>
              <w:t>W.</w:t>
            </w:r>
          </w:p>
          <w:p>
            <w:pPr>
              <w:pStyle w:val="TableParagraph"/>
              <w:spacing w:before="1"/>
              <w:ind w:left="105"/>
              <w:rPr>
                <w:rFonts w:ascii="Calibri"/>
                <w:sz w:val="20"/>
              </w:rPr>
            </w:pPr>
            <w:r>
              <w:rPr>
                <w:rFonts w:ascii="Calibri"/>
                <w:sz w:val="20"/>
              </w:rPr>
              <w:t>M.,</w:t>
            </w:r>
            <w:r>
              <w:rPr>
                <w:rFonts w:ascii="Calibri"/>
                <w:spacing w:val="-4"/>
                <w:sz w:val="20"/>
              </w:rPr>
              <w:t> </w:t>
            </w:r>
            <w:r>
              <w:rPr>
                <w:rFonts w:ascii="Calibri"/>
                <w:sz w:val="20"/>
              </w:rPr>
              <w:t>in</w:t>
            </w:r>
            <w:r>
              <w:rPr>
                <w:rFonts w:ascii="Calibri"/>
                <w:spacing w:val="-3"/>
                <w:sz w:val="20"/>
              </w:rPr>
              <w:t> </w:t>
            </w:r>
            <w:r>
              <w:rPr>
                <w:rFonts w:ascii="Calibri"/>
                <w:sz w:val="20"/>
              </w:rPr>
              <w:t>Ferry</w:t>
            </w:r>
            <w:r>
              <w:rPr>
                <w:rFonts w:ascii="Calibri"/>
                <w:spacing w:val="-3"/>
                <w:sz w:val="20"/>
              </w:rPr>
              <w:t> </w:t>
            </w:r>
            <w:r>
              <w:rPr>
                <w:rFonts w:ascii="Calibri"/>
                <w:spacing w:val="-2"/>
                <w:sz w:val="20"/>
              </w:rPr>
              <w:t>County</w:t>
            </w:r>
          </w:p>
        </w:tc>
      </w:tr>
      <w:tr>
        <w:trPr>
          <w:trHeight w:val="296" w:hRule="atLeast"/>
        </w:trPr>
        <w:tc>
          <w:tcPr>
            <w:tcW w:w="2690" w:type="dxa"/>
            <w:tcBorders>
              <w:top w:val="nil"/>
              <w:left w:val="single" w:sz="8" w:space="0" w:color="9BBA58"/>
              <w:bottom w:val="nil"/>
              <w:right w:val="single" w:sz="8" w:space="0" w:color="9BBA58"/>
            </w:tcBorders>
          </w:tcPr>
          <w:p>
            <w:pPr>
              <w:pStyle w:val="TableParagraph"/>
              <w:numPr>
                <w:ilvl w:val="0"/>
                <w:numId w:val="32"/>
              </w:numPr>
              <w:tabs>
                <w:tab w:pos="467" w:val="left" w:leader="none"/>
              </w:tabs>
              <w:spacing w:line="223" w:lineRule="exact" w:before="53" w:after="0"/>
              <w:ind w:left="467" w:right="0" w:hanging="360"/>
              <w:jc w:val="left"/>
              <w:rPr>
                <w:rFonts w:ascii="Calibri" w:hAnsi="Calibri"/>
                <w:sz w:val="20"/>
              </w:rPr>
            </w:pPr>
            <w:r>
              <w:rPr>
                <w:rFonts w:ascii="Calibri" w:hAnsi="Calibri"/>
                <w:spacing w:val="-2"/>
                <w:sz w:val="20"/>
              </w:rPr>
              <w:t>Verizon</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89"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33"/>
              </w:numPr>
              <w:tabs>
                <w:tab w:pos="467" w:val="left" w:leader="none"/>
              </w:tabs>
              <w:spacing w:line="246" w:lineRule="exact" w:before="0" w:after="0"/>
              <w:ind w:left="467" w:right="0" w:hanging="360"/>
              <w:jc w:val="left"/>
              <w:rPr>
                <w:rFonts w:ascii="Calibri" w:hAnsi="Calibri"/>
                <w:sz w:val="20"/>
              </w:rPr>
            </w:pPr>
            <w:r>
              <w:rPr>
                <w:rFonts w:ascii="Calibri" w:hAnsi="Calibri"/>
                <w:sz w:val="20"/>
              </w:rPr>
              <w:t>Washington</w:t>
            </w:r>
            <w:r>
              <w:rPr>
                <w:rFonts w:ascii="Calibri" w:hAnsi="Calibri"/>
                <w:spacing w:val="-11"/>
                <w:sz w:val="20"/>
              </w:rPr>
              <w:t> </w:t>
            </w:r>
            <w:r>
              <w:rPr>
                <w:rFonts w:ascii="Calibri" w:hAnsi="Calibri"/>
                <w:sz w:val="20"/>
              </w:rPr>
              <w:t>State</w:t>
            </w:r>
            <w:r>
              <w:rPr>
                <w:rFonts w:ascii="Calibri" w:hAnsi="Calibri"/>
                <w:spacing w:val="-10"/>
                <w:sz w:val="20"/>
              </w:rPr>
              <w:t> </w:t>
            </w:r>
            <w:r>
              <w:rPr>
                <w:rFonts w:ascii="Calibri" w:hAnsi="Calibri"/>
                <w:spacing w:val="-2"/>
                <w:sz w:val="20"/>
              </w:rPr>
              <w:t>Dept.</w:t>
            </w:r>
          </w:p>
          <w:p>
            <w:pPr>
              <w:pStyle w:val="TableParagraph"/>
              <w:spacing w:line="223" w:lineRule="exact" w:before="0"/>
              <w:ind w:left="467"/>
              <w:rPr>
                <w:rFonts w:ascii="Calibri"/>
                <w:sz w:val="20"/>
              </w:rPr>
            </w:pPr>
            <w:r>
              <w:rPr>
                <w:rFonts w:ascii="Calibri"/>
                <w:sz w:val="20"/>
              </w:rPr>
              <w:t>of</w:t>
            </w:r>
            <w:r>
              <w:rPr>
                <w:rFonts w:ascii="Calibri"/>
                <w:spacing w:val="-3"/>
                <w:sz w:val="20"/>
              </w:rPr>
              <w:t> </w:t>
            </w:r>
            <w:r>
              <w:rPr>
                <w:rFonts w:ascii="Calibri"/>
                <w:spacing w:val="-2"/>
                <w:sz w:val="20"/>
              </w:rPr>
              <w:t>Transportation</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15" w:hRule="atLeast"/>
        </w:trPr>
        <w:tc>
          <w:tcPr>
            <w:tcW w:w="2690" w:type="dxa"/>
            <w:tcBorders>
              <w:top w:val="single" w:sz="8" w:space="0" w:color="9BBA58"/>
              <w:left w:val="single" w:sz="8" w:space="0" w:color="9BBA58"/>
              <w:bottom w:val="nil"/>
              <w:right w:val="single" w:sz="8" w:space="0" w:color="9BBA58"/>
            </w:tcBorders>
          </w:tcPr>
          <w:p>
            <w:pPr>
              <w:pStyle w:val="TableParagraph"/>
              <w:spacing w:before="121"/>
              <w:ind w:left="107"/>
              <w:rPr>
                <w:rFonts w:ascii="Calibri"/>
                <w:b/>
                <w:sz w:val="20"/>
              </w:rPr>
            </w:pPr>
            <w:r>
              <w:rPr>
                <w:rFonts w:ascii="Calibri"/>
                <w:b/>
                <w:sz w:val="20"/>
              </w:rPr>
              <w:t>Bodie</w:t>
            </w:r>
            <w:r>
              <w:rPr>
                <w:rFonts w:ascii="Calibri"/>
                <w:b/>
                <w:spacing w:val="-4"/>
                <w:sz w:val="20"/>
              </w:rPr>
              <w:t> </w:t>
            </w:r>
            <w:r>
              <w:rPr>
                <w:rFonts w:ascii="Calibri"/>
                <w:b/>
                <w:spacing w:val="-2"/>
                <w:sz w:val="20"/>
              </w:rPr>
              <w:t>Mountain</w:t>
            </w:r>
          </w:p>
        </w:tc>
        <w:tc>
          <w:tcPr>
            <w:tcW w:w="1891"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Pr>
                <w:rFonts w:ascii="Calibri"/>
                <w:sz w:val="20"/>
              </w:rPr>
            </w:pPr>
            <w:r>
              <w:rPr>
                <w:rFonts w:ascii="Calibri"/>
                <w:spacing w:val="-2"/>
                <w:sz w:val="20"/>
              </w:rPr>
              <w:t>Ferry/Republic</w:t>
            </w:r>
          </w:p>
        </w:tc>
        <w:tc>
          <w:tcPr>
            <w:tcW w:w="1440"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5" w:right="129"/>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5"/>
              <w:rPr>
                <w:rFonts w:ascii="Calibri" w:hAnsi="Calibri"/>
                <w:sz w:val="20"/>
              </w:rPr>
            </w:pPr>
            <w:r>
              <w:rPr>
                <w:rFonts w:ascii="Calibri" w:hAnsi="Calibri"/>
                <w:sz w:val="20"/>
              </w:rPr>
              <w:t>NW¼NW¼</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6,</w:t>
            </w:r>
            <w:r>
              <w:rPr>
                <w:rFonts w:ascii="Calibri" w:hAnsi="Calibri"/>
                <w:spacing w:val="-4"/>
                <w:sz w:val="20"/>
              </w:rPr>
              <w:t> </w:t>
            </w:r>
            <w:r>
              <w:rPr>
                <w:rFonts w:ascii="Calibri" w:hAnsi="Calibri"/>
                <w:sz w:val="20"/>
              </w:rPr>
              <w:t>T.</w:t>
            </w:r>
            <w:r>
              <w:rPr>
                <w:rFonts w:ascii="Calibri" w:hAnsi="Calibri"/>
                <w:spacing w:val="-4"/>
                <w:sz w:val="20"/>
              </w:rPr>
              <w:t> </w:t>
            </w:r>
            <w:r>
              <w:rPr>
                <w:rFonts w:ascii="Calibri" w:hAnsi="Calibri"/>
                <w:spacing w:val="-2"/>
                <w:sz w:val="20"/>
              </w:rPr>
              <w:t>38N.,</w:t>
            </w:r>
          </w:p>
          <w:p>
            <w:pPr>
              <w:pStyle w:val="TableParagraph"/>
              <w:spacing w:before="1"/>
              <w:ind w:left="105"/>
              <w:rPr>
                <w:rFonts w:ascii="Calibri"/>
                <w:sz w:val="20"/>
              </w:rPr>
            </w:pPr>
            <w:r>
              <w:rPr>
                <w:rFonts w:ascii="Calibri"/>
                <w:sz w:val="20"/>
              </w:rPr>
              <w:t>R.32E.,</w:t>
            </w:r>
            <w:r>
              <w:rPr>
                <w:rFonts w:ascii="Calibri"/>
                <w:spacing w:val="-4"/>
                <w:sz w:val="20"/>
              </w:rPr>
              <w:t> </w:t>
            </w:r>
            <w:r>
              <w:rPr>
                <w:rFonts w:ascii="Calibri"/>
                <w:sz w:val="20"/>
              </w:rPr>
              <w:t>W.</w:t>
            </w:r>
            <w:r>
              <w:rPr>
                <w:rFonts w:ascii="Calibri"/>
                <w:spacing w:val="-4"/>
                <w:sz w:val="20"/>
              </w:rPr>
              <w:t> </w:t>
            </w:r>
            <w:r>
              <w:rPr>
                <w:rFonts w:ascii="Calibri"/>
                <w:sz w:val="20"/>
              </w:rPr>
              <w:t>M.,</w:t>
            </w:r>
            <w:r>
              <w:rPr>
                <w:rFonts w:ascii="Calibri"/>
                <w:spacing w:val="-3"/>
                <w:sz w:val="20"/>
              </w:rPr>
              <w:t> </w:t>
            </w:r>
            <w:r>
              <w:rPr>
                <w:rFonts w:ascii="Calibri"/>
                <w:sz w:val="20"/>
              </w:rPr>
              <w:t>in</w:t>
            </w:r>
            <w:r>
              <w:rPr>
                <w:rFonts w:ascii="Calibri"/>
                <w:spacing w:val="-4"/>
                <w:sz w:val="20"/>
              </w:rPr>
              <w:t> </w:t>
            </w:r>
            <w:r>
              <w:rPr>
                <w:rFonts w:ascii="Calibri"/>
                <w:sz w:val="20"/>
              </w:rPr>
              <w:t>Ferry</w:t>
            </w:r>
            <w:r>
              <w:rPr>
                <w:rFonts w:ascii="Calibri"/>
                <w:spacing w:val="-3"/>
                <w:sz w:val="20"/>
              </w:rPr>
              <w:t> </w:t>
            </w:r>
            <w:r>
              <w:rPr>
                <w:rFonts w:ascii="Calibri"/>
                <w:spacing w:val="-2"/>
                <w:sz w:val="20"/>
              </w:rPr>
              <w:t>County</w:t>
            </w:r>
          </w:p>
        </w:tc>
      </w:tr>
      <w:tr>
        <w:trPr>
          <w:trHeight w:val="783" w:hRule="atLeast"/>
        </w:trPr>
        <w:tc>
          <w:tcPr>
            <w:tcW w:w="2690" w:type="dxa"/>
            <w:tcBorders>
              <w:top w:val="nil"/>
              <w:left w:val="single" w:sz="8" w:space="0" w:color="9BBA58"/>
              <w:bottom w:val="nil"/>
              <w:right w:val="single" w:sz="8" w:space="0" w:color="9BBA58"/>
            </w:tcBorders>
          </w:tcPr>
          <w:p>
            <w:pPr>
              <w:pStyle w:val="TableParagraph"/>
              <w:numPr>
                <w:ilvl w:val="0"/>
                <w:numId w:val="34"/>
              </w:numPr>
              <w:tabs>
                <w:tab w:pos="467" w:val="left" w:leader="none"/>
              </w:tabs>
              <w:spacing w:line="240" w:lineRule="auto" w:before="53" w:after="0"/>
              <w:ind w:left="467" w:right="345" w:hanging="360"/>
              <w:jc w:val="left"/>
              <w:rPr>
                <w:rFonts w:ascii="Calibri" w:hAnsi="Calibri"/>
                <w:sz w:val="20"/>
              </w:rPr>
            </w:pPr>
            <w:r>
              <w:rPr>
                <w:rFonts w:ascii="Calibri" w:hAnsi="Calibri"/>
                <w:sz w:val="20"/>
              </w:rPr>
              <w:t>Washington State Department</w:t>
            </w:r>
            <w:r>
              <w:rPr>
                <w:rFonts w:ascii="Calibri" w:hAnsi="Calibri"/>
                <w:spacing w:val="-12"/>
                <w:sz w:val="20"/>
              </w:rPr>
              <w:t> </w:t>
            </w:r>
            <w:r>
              <w:rPr>
                <w:rFonts w:ascii="Calibri" w:hAnsi="Calibri"/>
                <w:sz w:val="20"/>
              </w:rPr>
              <w:t>of</w:t>
            </w:r>
            <w:r>
              <w:rPr>
                <w:rFonts w:ascii="Calibri" w:hAnsi="Calibri"/>
                <w:spacing w:val="-11"/>
                <w:sz w:val="20"/>
              </w:rPr>
              <w:t> </w:t>
            </w:r>
            <w:r>
              <w:rPr>
                <w:rFonts w:ascii="Calibri" w:hAnsi="Calibri"/>
                <w:sz w:val="20"/>
              </w:rPr>
              <w:t>Natural</w:t>
            </w:r>
          </w:p>
          <w:p>
            <w:pPr>
              <w:pStyle w:val="TableParagraph"/>
              <w:spacing w:line="211" w:lineRule="exact" w:before="0"/>
              <w:ind w:left="467"/>
              <w:rPr>
                <w:rFonts w:ascii="Calibri"/>
                <w:sz w:val="20"/>
              </w:rPr>
            </w:pPr>
            <w:r>
              <w:rPr>
                <w:rFonts w:ascii="Calibri"/>
                <w:spacing w:val="-2"/>
                <w:sz w:val="20"/>
              </w:rPr>
              <w:t>Resources</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244"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35"/>
              </w:numPr>
              <w:tabs>
                <w:tab w:pos="467" w:val="left" w:leader="none"/>
              </w:tabs>
              <w:spacing w:line="225" w:lineRule="exact" w:before="0" w:after="0"/>
              <w:ind w:left="467" w:right="0" w:hanging="360"/>
              <w:jc w:val="left"/>
              <w:rPr>
                <w:rFonts w:ascii="Calibri" w:hAnsi="Calibri"/>
                <w:sz w:val="20"/>
              </w:rPr>
            </w:pPr>
            <w:r>
              <w:rPr>
                <w:rFonts w:ascii="Calibri" w:hAnsi="Calibri"/>
                <w:sz w:val="20"/>
              </w:rPr>
              <w:t>Forest</w:t>
            </w:r>
            <w:r>
              <w:rPr>
                <w:rFonts w:ascii="Calibri" w:hAnsi="Calibri"/>
                <w:spacing w:val="-10"/>
                <w:sz w:val="20"/>
              </w:rPr>
              <w:t> </w:t>
            </w:r>
            <w:r>
              <w:rPr>
                <w:rFonts w:ascii="Calibri" w:hAnsi="Calibri"/>
                <w:spacing w:val="-2"/>
                <w:sz w:val="20"/>
              </w:rPr>
              <w:t>Service</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17" w:hRule="atLeast"/>
        </w:trPr>
        <w:tc>
          <w:tcPr>
            <w:tcW w:w="2690" w:type="dxa"/>
            <w:tcBorders>
              <w:top w:val="single" w:sz="8" w:space="0" w:color="9BBA58"/>
              <w:left w:val="single" w:sz="8" w:space="0" w:color="9BBA58"/>
              <w:bottom w:val="nil"/>
              <w:right w:val="single" w:sz="8" w:space="0" w:color="9BBA58"/>
            </w:tcBorders>
          </w:tcPr>
          <w:p>
            <w:pPr>
              <w:pStyle w:val="TableParagraph"/>
              <w:spacing w:before="123"/>
              <w:ind w:left="107"/>
              <w:rPr>
                <w:rFonts w:ascii="Calibri"/>
                <w:b/>
                <w:sz w:val="20"/>
              </w:rPr>
            </w:pPr>
            <w:r>
              <w:rPr>
                <w:rFonts w:ascii="Calibri"/>
                <w:b/>
                <w:sz w:val="20"/>
              </w:rPr>
              <w:t>Chewelah</w:t>
            </w:r>
            <w:r>
              <w:rPr>
                <w:rFonts w:ascii="Calibri"/>
                <w:b/>
                <w:spacing w:val="-8"/>
                <w:sz w:val="20"/>
              </w:rPr>
              <w:t> </w:t>
            </w:r>
            <w:r>
              <w:rPr>
                <w:rFonts w:ascii="Calibri"/>
                <w:b/>
                <w:spacing w:val="-4"/>
                <w:sz w:val="20"/>
              </w:rPr>
              <w:t>Peak</w:t>
            </w:r>
          </w:p>
        </w:tc>
        <w:tc>
          <w:tcPr>
            <w:tcW w:w="1891"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3"/>
              <w:ind w:left="108"/>
              <w:rPr>
                <w:rFonts w:ascii="Calibri"/>
                <w:sz w:val="20"/>
              </w:rPr>
            </w:pPr>
            <w:r>
              <w:rPr>
                <w:rFonts w:ascii="Calibri"/>
                <w:spacing w:val="-2"/>
                <w:sz w:val="20"/>
              </w:rPr>
              <w:t>Stevens/Newport</w:t>
            </w:r>
          </w:p>
        </w:tc>
        <w:tc>
          <w:tcPr>
            <w:tcW w:w="1440"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3"/>
              <w:ind w:left="105" w:right="129"/>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bottom w:val="single" w:sz="8" w:space="0" w:color="9BBA58"/>
              <w:right w:val="single" w:sz="8" w:space="0" w:color="9BBA58"/>
            </w:tcBorders>
          </w:tcPr>
          <w:p>
            <w:pPr>
              <w:pStyle w:val="TableParagraph"/>
              <w:spacing w:line="243" w:lineRule="exact" w:before="3"/>
              <w:ind w:left="105"/>
              <w:rPr>
                <w:rFonts w:ascii="Calibri" w:hAnsi="Calibri"/>
                <w:sz w:val="20"/>
              </w:rPr>
            </w:pPr>
            <w:r>
              <w:rPr>
                <w:rFonts w:ascii="Calibri" w:hAnsi="Calibri"/>
                <w:sz w:val="20"/>
              </w:rPr>
              <w:t>SE¼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12,</w:t>
            </w:r>
            <w:r>
              <w:rPr>
                <w:rFonts w:ascii="Calibri" w:hAnsi="Calibri"/>
                <w:spacing w:val="-4"/>
                <w:sz w:val="20"/>
              </w:rPr>
              <w:t> </w:t>
            </w:r>
            <w:r>
              <w:rPr>
                <w:rFonts w:ascii="Calibri" w:hAnsi="Calibri"/>
                <w:sz w:val="20"/>
              </w:rPr>
              <w:t>T.</w:t>
            </w:r>
            <w:r>
              <w:rPr>
                <w:rFonts w:ascii="Calibri" w:hAnsi="Calibri"/>
                <w:spacing w:val="-3"/>
                <w:sz w:val="20"/>
              </w:rPr>
              <w:t> </w:t>
            </w:r>
            <w:r>
              <w:rPr>
                <w:rFonts w:ascii="Calibri" w:hAnsi="Calibri"/>
                <w:sz w:val="20"/>
              </w:rPr>
              <w:t>32N.,</w:t>
            </w:r>
            <w:r>
              <w:rPr>
                <w:rFonts w:ascii="Calibri" w:hAnsi="Calibri"/>
                <w:spacing w:val="-3"/>
                <w:sz w:val="20"/>
              </w:rPr>
              <w:t> </w:t>
            </w:r>
            <w:r>
              <w:rPr>
                <w:rFonts w:ascii="Calibri" w:hAnsi="Calibri"/>
                <w:spacing w:val="-2"/>
                <w:sz w:val="20"/>
              </w:rPr>
              <w:t>R41E.,</w:t>
            </w:r>
          </w:p>
          <w:p>
            <w:pPr>
              <w:pStyle w:val="TableParagraph"/>
              <w:spacing w:line="243" w:lineRule="exact" w:before="0"/>
              <w:ind w:left="105"/>
              <w:rPr>
                <w:rFonts w:ascii="Calibri"/>
                <w:sz w:val="20"/>
              </w:rPr>
            </w:pPr>
            <w:r>
              <w:rPr>
                <w:rFonts w:ascii="Calibri"/>
                <w:sz w:val="20"/>
              </w:rPr>
              <w:t>W.M.,</w:t>
            </w:r>
            <w:r>
              <w:rPr>
                <w:rFonts w:ascii="Calibri"/>
                <w:spacing w:val="-5"/>
                <w:sz w:val="20"/>
              </w:rPr>
              <w:t> </w:t>
            </w:r>
            <w:r>
              <w:rPr>
                <w:rFonts w:ascii="Calibri"/>
                <w:sz w:val="20"/>
              </w:rPr>
              <w:t>in</w:t>
            </w:r>
            <w:r>
              <w:rPr>
                <w:rFonts w:ascii="Calibri"/>
                <w:spacing w:val="-5"/>
                <w:sz w:val="20"/>
              </w:rPr>
              <w:t> </w:t>
            </w:r>
            <w:r>
              <w:rPr>
                <w:rFonts w:ascii="Calibri"/>
                <w:sz w:val="20"/>
              </w:rPr>
              <w:t>Stevens</w:t>
            </w:r>
            <w:r>
              <w:rPr>
                <w:rFonts w:ascii="Calibri"/>
                <w:spacing w:val="-6"/>
                <w:sz w:val="20"/>
              </w:rPr>
              <w:t> </w:t>
            </w:r>
            <w:r>
              <w:rPr>
                <w:rFonts w:ascii="Calibri"/>
                <w:spacing w:val="-2"/>
                <w:sz w:val="20"/>
              </w:rPr>
              <w:t>County</w:t>
            </w:r>
          </w:p>
        </w:tc>
      </w:tr>
      <w:tr>
        <w:trPr>
          <w:trHeight w:val="426"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36"/>
              </w:numPr>
              <w:tabs>
                <w:tab w:pos="467" w:val="left" w:leader="none"/>
              </w:tabs>
              <w:spacing w:line="240" w:lineRule="auto" w:before="52" w:after="0"/>
              <w:ind w:left="467" w:right="0" w:hanging="360"/>
              <w:jc w:val="left"/>
              <w:rPr>
                <w:rFonts w:ascii="Calibri" w:hAnsi="Calibri"/>
                <w:sz w:val="20"/>
              </w:rPr>
            </w:pPr>
            <w:r>
              <w:rPr>
                <w:rFonts w:ascii="Calibri" w:hAnsi="Calibri"/>
                <w:sz w:val="20"/>
              </w:rPr>
              <w:t>SBA</w:t>
            </w:r>
            <w:r>
              <w:rPr>
                <w:rFonts w:ascii="Calibri" w:hAnsi="Calibri"/>
                <w:spacing w:val="-6"/>
                <w:sz w:val="20"/>
              </w:rPr>
              <w:t> </w:t>
            </w:r>
            <w:r>
              <w:rPr>
                <w:rFonts w:ascii="Calibri" w:hAnsi="Calibri"/>
                <w:spacing w:val="-2"/>
                <w:sz w:val="20"/>
              </w:rPr>
              <w:t>Structures</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15" w:hRule="atLeast"/>
        </w:trPr>
        <w:tc>
          <w:tcPr>
            <w:tcW w:w="2690" w:type="dxa"/>
            <w:tcBorders>
              <w:top w:val="single" w:sz="8" w:space="0" w:color="9BBA58"/>
              <w:left w:val="single" w:sz="8" w:space="0" w:color="9BBA58"/>
              <w:bottom w:val="nil"/>
              <w:right w:val="single" w:sz="8" w:space="0" w:color="9BBA58"/>
            </w:tcBorders>
          </w:tcPr>
          <w:p>
            <w:pPr>
              <w:pStyle w:val="TableParagraph"/>
              <w:spacing w:before="121"/>
              <w:ind w:left="107"/>
              <w:rPr>
                <w:rFonts w:ascii="Calibri"/>
                <w:b/>
                <w:sz w:val="20"/>
              </w:rPr>
            </w:pPr>
            <w:r>
              <w:rPr>
                <w:rFonts w:ascii="Calibri"/>
                <w:b/>
                <w:sz w:val="20"/>
              </w:rPr>
              <w:t>Deer</w:t>
            </w:r>
            <w:r>
              <w:rPr>
                <w:rFonts w:ascii="Calibri"/>
                <w:b/>
                <w:spacing w:val="-4"/>
                <w:sz w:val="20"/>
              </w:rPr>
              <w:t> </w:t>
            </w:r>
            <w:r>
              <w:rPr>
                <w:rFonts w:ascii="Calibri"/>
                <w:b/>
                <w:spacing w:val="-2"/>
                <w:sz w:val="20"/>
              </w:rPr>
              <w:t>Mountain</w:t>
            </w:r>
          </w:p>
        </w:tc>
        <w:tc>
          <w:tcPr>
            <w:tcW w:w="1891"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ight="104"/>
              <w:rPr>
                <w:rFonts w:ascii="Calibri"/>
                <w:sz w:val="20"/>
              </w:rPr>
            </w:pPr>
            <w:r>
              <w:rPr>
                <w:rFonts w:ascii="Calibri"/>
                <w:spacing w:val="-4"/>
                <w:sz w:val="20"/>
              </w:rPr>
              <w:t>Pend</w:t>
            </w:r>
            <w:r>
              <w:rPr>
                <w:rFonts w:ascii="Calibri"/>
                <w:spacing w:val="40"/>
                <w:sz w:val="20"/>
              </w:rPr>
              <w:t> </w:t>
            </w:r>
            <w:r>
              <w:rPr>
                <w:rFonts w:ascii="Calibri"/>
                <w:sz w:val="20"/>
              </w:rPr>
              <w:t>Oreille/Sullivan</w:t>
            </w:r>
            <w:r>
              <w:rPr>
                <w:rFonts w:ascii="Calibri"/>
                <w:spacing w:val="-12"/>
                <w:sz w:val="20"/>
              </w:rPr>
              <w:t> </w:t>
            </w:r>
            <w:r>
              <w:rPr>
                <w:rFonts w:ascii="Calibri"/>
                <w:sz w:val="20"/>
              </w:rPr>
              <w:t>Lake</w:t>
            </w:r>
          </w:p>
        </w:tc>
        <w:tc>
          <w:tcPr>
            <w:tcW w:w="1440"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5" w:right="129"/>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5"/>
              <w:rPr>
                <w:rFonts w:ascii="Calibri" w:hAnsi="Calibri"/>
                <w:sz w:val="20"/>
              </w:rPr>
            </w:pPr>
            <w:r>
              <w:rPr>
                <w:rFonts w:ascii="Calibri" w:hAnsi="Calibri"/>
                <w:sz w:val="20"/>
              </w:rPr>
              <w:t>N½</w:t>
            </w:r>
            <w:r>
              <w:rPr>
                <w:rFonts w:ascii="Calibri" w:hAnsi="Calibri"/>
                <w:spacing w:val="-4"/>
                <w:sz w:val="20"/>
              </w:rPr>
              <w:t> </w:t>
            </w:r>
            <w:r>
              <w:rPr>
                <w:rFonts w:ascii="Calibri" w:hAnsi="Calibri"/>
                <w:sz w:val="20"/>
              </w:rPr>
              <w:t>Sec.</w:t>
            </w:r>
            <w:r>
              <w:rPr>
                <w:rFonts w:ascii="Calibri" w:hAnsi="Calibri"/>
                <w:spacing w:val="-4"/>
                <w:sz w:val="20"/>
              </w:rPr>
              <w:t> </w:t>
            </w:r>
            <w:r>
              <w:rPr>
                <w:rFonts w:ascii="Calibri" w:hAnsi="Calibri"/>
                <w:sz w:val="20"/>
              </w:rPr>
              <w:t>13,</w:t>
            </w:r>
            <w:r>
              <w:rPr>
                <w:rFonts w:ascii="Calibri" w:hAnsi="Calibri"/>
                <w:spacing w:val="-3"/>
                <w:sz w:val="20"/>
              </w:rPr>
              <w:t> </w:t>
            </w:r>
            <w:r>
              <w:rPr>
                <w:rFonts w:ascii="Calibri" w:hAnsi="Calibri"/>
                <w:sz w:val="20"/>
              </w:rPr>
              <w:t>T.</w:t>
            </w:r>
            <w:r>
              <w:rPr>
                <w:rFonts w:ascii="Calibri" w:hAnsi="Calibri"/>
                <w:spacing w:val="-5"/>
                <w:sz w:val="20"/>
              </w:rPr>
              <w:t> </w:t>
            </w:r>
            <w:r>
              <w:rPr>
                <w:rFonts w:ascii="Calibri" w:hAnsi="Calibri"/>
                <w:sz w:val="20"/>
              </w:rPr>
              <w:t>38N.,</w:t>
            </w:r>
            <w:r>
              <w:rPr>
                <w:rFonts w:ascii="Calibri" w:hAnsi="Calibri"/>
                <w:spacing w:val="-3"/>
                <w:sz w:val="20"/>
              </w:rPr>
              <w:t> </w:t>
            </w:r>
            <w:r>
              <w:rPr>
                <w:rFonts w:ascii="Calibri" w:hAnsi="Calibri"/>
                <w:sz w:val="20"/>
              </w:rPr>
              <w:t>R.42E.,</w:t>
            </w:r>
            <w:r>
              <w:rPr>
                <w:rFonts w:ascii="Calibri" w:hAnsi="Calibri"/>
                <w:spacing w:val="-3"/>
                <w:sz w:val="20"/>
              </w:rPr>
              <w:t> </w:t>
            </w:r>
            <w:r>
              <w:rPr>
                <w:rFonts w:ascii="Calibri" w:hAnsi="Calibri"/>
                <w:spacing w:val="-7"/>
                <w:sz w:val="20"/>
              </w:rPr>
              <w:t>W.</w:t>
            </w:r>
          </w:p>
          <w:p>
            <w:pPr>
              <w:pStyle w:val="TableParagraph"/>
              <w:spacing w:before="1"/>
              <w:ind w:left="105"/>
              <w:rPr>
                <w:rFonts w:ascii="Calibri"/>
                <w:sz w:val="20"/>
              </w:rPr>
            </w:pPr>
            <w:r>
              <w:rPr>
                <w:rFonts w:ascii="Calibri"/>
                <w:sz w:val="20"/>
              </w:rPr>
              <w:t>M.,</w:t>
            </w:r>
            <w:r>
              <w:rPr>
                <w:rFonts w:ascii="Calibri"/>
                <w:spacing w:val="-4"/>
                <w:sz w:val="20"/>
              </w:rPr>
              <w:t> </w:t>
            </w:r>
            <w:r>
              <w:rPr>
                <w:rFonts w:ascii="Calibri"/>
                <w:sz w:val="20"/>
              </w:rPr>
              <w:t>in</w:t>
            </w:r>
            <w:r>
              <w:rPr>
                <w:rFonts w:ascii="Calibri"/>
                <w:spacing w:val="-4"/>
                <w:sz w:val="20"/>
              </w:rPr>
              <w:t> </w:t>
            </w:r>
            <w:r>
              <w:rPr>
                <w:rFonts w:ascii="Calibri"/>
                <w:sz w:val="20"/>
              </w:rPr>
              <w:t>Pend</w:t>
            </w:r>
            <w:r>
              <w:rPr>
                <w:rFonts w:ascii="Calibri"/>
                <w:spacing w:val="-4"/>
                <w:sz w:val="20"/>
              </w:rPr>
              <w:t> </w:t>
            </w:r>
            <w:r>
              <w:rPr>
                <w:rFonts w:ascii="Calibri"/>
                <w:sz w:val="20"/>
              </w:rPr>
              <w:t>Oreille</w:t>
            </w:r>
            <w:r>
              <w:rPr>
                <w:rFonts w:ascii="Calibri"/>
                <w:spacing w:val="-6"/>
                <w:sz w:val="20"/>
              </w:rPr>
              <w:t> </w:t>
            </w:r>
            <w:r>
              <w:rPr>
                <w:rFonts w:ascii="Calibri"/>
                <w:spacing w:val="-2"/>
                <w:sz w:val="20"/>
              </w:rPr>
              <w:t>County</w:t>
            </w:r>
          </w:p>
        </w:tc>
      </w:tr>
      <w:tr>
        <w:trPr>
          <w:trHeight w:val="309"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37"/>
              </w:numPr>
              <w:tabs>
                <w:tab w:pos="467" w:val="left" w:leader="none"/>
              </w:tabs>
              <w:spacing w:line="236" w:lineRule="exact" w:before="53" w:after="0"/>
              <w:ind w:left="467" w:right="0" w:hanging="360"/>
              <w:jc w:val="left"/>
              <w:rPr>
                <w:rFonts w:ascii="Calibri" w:hAnsi="Calibri"/>
                <w:sz w:val="20"/>
              </w:rPr>
            </w:pPr>
            <w:r>
              <w:rPr>
                <w:rFonts w:ascii="Calibri" w:hAnsi="Calibri"/>
                <w:sz w:val="20"/>
              </w:rPr>
              <w:t>Pend</w:t>
            </w:r>
            <w:r>
              <w:rPr>
                <w:rFonts w:ascii="Calibri" w:hAnsi="Calibri"/>
                <w:spacing w:val="-5"/>
                <w:sz w:val="20"/>
              </w:rPr>
              <w:t> </w:t>
            </w:r>
            <w:r>
              <w:rPr>
                <w:rFonts w:ascii="Calibri" w:hAnsi="Calibri"/>
                <w:sz w:val="20"/>
              </w:rPr>
              <w:t>Oreille</w:t>
            </w:r>
            <w:r>
              <w:rPr>
                <w:rFonts w:ascii="Calibri" w:hAnsi="Calibri"/>
                <w:spacing w:val="-7"/>
                <w:sz w:val="20"/>
              </w:rPr>
              <w:t> </w:t>
            </w:r>
            <w:r>
              <w:rPr>
                <w:rFonts w:ascii="Calibri" w:hAnsi="Calibri"/>
                <w:sz w:val="20"/>
              </w:rPr>
              <w:t>PUD</w:t>
            </w:r>
            <w:r>
              <w:rPr>
                <w:rFonts w:ascii="Calibri" w:hAnsi="Calibri"/>
                <w:spacing w:val="-6"/>
                <w:sz w:val="20"/>
              </w:rPr>
              <w:t> </w:t>
            </w:r>
            <w:r>
              <w:rPr>
                <w:rFonts w:ascii="Calibri" w:hAnsi="Calibri"/>
                <w:spacing w:val="-5"/>
                <w:sz w:val="20"/>
              </w:rPr>
              <w:t>#1</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bl>
    <w:p>
      <w:pPr>
        <w:spacing w:after="0"/>
        <w:rPr>
          <w:sz w:val="2"/>
          <w:szCs w:val="2"/>
        </w:rPr>
        <w:sectPr>
          <w:type w:val="continuous"/>
          <w:pgSz w:w="12240" w:h="15840"/>
          <w:pgMar w:header="725" w:footer="891" w:top="1420" w:bottom="1885" w:left="1080" w:right="1080"/>
        </w:sectPr>
      </w:pPr>
    </w:p>
    <w:tbl>
      <w:tblPr>
        <w:tblW w:w="0" w:type="auto"/>
        <w:jc w:val="left"/>
        <w:tblInd w:w="8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90"/>
        <w:gridCol w:w="1891"/>
        <w:gridCol w:w="1440"/>
        <w:gridCol w:w="2887"/>
      </w:tblGrid>
      <w:tr>
        <w:trPr>
          <w:trHeight w:val="493" w:hRule="atLeast"/>
        </w:trPr>
        <w:tc>
          <w:tcPr>
            <w:tcW w:w="2690" w:type="dxa"/>
            <w:tcBorders>
              <w:left w:val="single" w:sz="8" w:space="0" w:color="9BBA58"/>
              <w:right w:val="single" w:sz="8" w:space="0" w:color="9BBA58"/>
            </w:tcBorders>
            <w:shd w:val="clear" w:color="auto" w:fill="D5E2BB"/>
          </w:tcPr>
          <w:p>
            <w:pPr>
              <w:pStyle w:val="TableParagraph"/>
              <w:ind w:left="107" w:right="835"/>
              <w:rPr>
                <w:b/>
                <w:sz w:val="18"/>
              </w:rPr>
            </w:pPr>
            <w:r>
              <w:rPr>
                <w:b/>
                <w:sz w:val="18"/>
              </w:rPr>
              <w:t>Communication</w:t>
            </w:r>
            <w:r>
              <w:rPr>
                <w:b/>
                <w:spacing w:val="-13"/>
                <w:sz w:val="18"/>
              </w:rPr>
              <w:t> </w:t>
            </w:r>
            <w:r>
              <w:rPr>
                <w:b/>
                <w:sz w:val="18"/>
              </w:rPr>
              <w:t>site name/lease holders</w:t>
            </w:r>
          </w:p>
        </w:tc>
        <w:tc>
          <w:tcPr>
            <w:tcW w:w="1891" w:type="dxa"/>
            <w:tcBorders>
              <w:left w:val="single" w:sz="8" w:space="0" w:color="9BBA58"/>
              <w:right w:val="single" w:sz="8" w:space="0" w:color="9BBA58"/>
            </w:tcBorders>
            <w:shd w:val="clear" w:color="auto" w:fill="D5E2BB"/>
          </w:tcPr>
          <w:p>
            <w:pPr>
              <w:pStyle w:val="TableParagraph"/>
              <w:ind w:left="108"/>
              <w:rPr>
                <w:b/>
                <w:sz w:val="18"/>
              </w:rPr>
            </w:pPr>
            <w:r>
              <w:rPr>
                <w:b/>
                <w:spacing w:val="-2"/>
                <w:sz w:val="18"/>
              </w:rPr>
              <w:t>County/Ranger District</w:t>
            </w:r>
          </w:p>
        </w:tc>
        <w:tc>
          <w:tcPr>
            <w:tcW w:w="1440" w:type="dxa"/>
            <w:tcBorders>
              <w:left w:val="single" w:sz="8" w:space="0" w:color="9BBA58"/>
              <w:right w:val="single" w:sz="8" w:space="0" w:color="9BBA58"/>
            </w:tcBorders>
            <w:shd w:val="clear" w:color="auto" w:fill="D5E2BB"/>
          </w:tcPr>
          <w:p>
            <w:pPr>
              <w:pStyle w:val="TableParagraph"/>
              <w:ind w:left="108" w:right="129"/>
              <w:rPr>
                <w:b/>
                <w:sz w:val="18"/>
              </w:rPr>
            </w:pPr>
            <w:r>
              <w:rPr>
                <w:b/>
                <w:spacing w:val="-4"/>
                <w:sz w:val="18"/>
              </w:rPr>
              <w:t>Site </w:t>
            </w:r>
            <w:r>
              <w:rPr>
                <w:b/>
                <w:spacing w:val="-2"/>
                <w:sz w:val="18"/>
              </w:rPr>
              <w:t>designation</w:t>
            </w:r>
          </w:p>
        </w:tc>
        <w:tc>
          <w:tcPr>
            <w:tcW w:w="2887" w:type="dxa"/>
            <w:tcBorders>
              <w:left w:val="single" w:sz="8" w:space="0" w:color="9BBA58"/>
              <w:right w:val="single" w:sz="8" w:space="0" w:color="9BBA58"/>
            </w:tcBorders>
            <w:shd w:val="clear" w:color="auto" w:fill="D5E2BB"/>
          </w:tcPr>
          <w:p>
            <w:pPr>
              <w:pStyle w:val="TableParagraph"/>
              <w:ind w:left="108"/>
              <w:rPr>
                <w:b/>
                <w:sz w:val="18"/>
              </w:rPr>
            </w:pPr>
            <w:r>
              <w:rPr>
                <w:b/>
                <w:spacing w:val="-2"/>
                <w:sz w:val="18"/>
              </w:rPr>
              <w:t>Location</w:t>
            </w:r>
          </w:p>
        </w:tc>
      </w:tr>
      <w:tr>
        <w:trPr>
          <w:trHeight w:val="415" w:hRule="atLeast"/>
        </w:trPr>
        <w:tc>
          <w:tcPr>
            <w:tcW w:w="2690" w:type="dxa"/>
            <w:tcBorders>
              <w:left w:val="single" w:sz="8" w:space="0" w:color="9BBA58"/>
              <w:bottom w:val="nil"/>
              <w:right w:val="single" w:sz="8" w:space="0" w:color="9BBA58"/>
            </w:tcBorders>
          </w:tcPr>
          <w:p>
            <w:pPr>
              <w:pStyle w:val="TableParagraph"/>
              <w:spacing w:before="121"/>
              <w:ind w:left="107"/>
              <w:rPr>
                <w:rFonts w:ascii="Calibri"/>
                <w:b/>
                <w:sz w:val="20"/>
              </w:rPr>
            </w:pPr>
            <w:r>
              <w:rPr>
                <w:rFonts w:ascii="Calibri"/>
                <w:b/>
                <w:spacing w:val="-2"/>
                <w:sz w:val="20"/>
              </w:rPr>
              <w:t>Flagstaff</w:t>
            </w:r>
            <w:r>
              <w:rPr>
                <w:rFonts w:ascii="Calibri"/>
                <w:b/>
                <w:spacing w:val="4"/>
                <w:sz w:val="20"/>
              </w:rPr>
              <w:t> </w:t>
            </w:r>
            <w:r>
              <w:rPr>
                <w:rFonts w:ascii="Calibri"/>
                <w:b/>
                <w:spacing w:val="-2"/>
                <w:sz w:val="20"/>
              </w:rPr>
              <w:t>Mountain</w:t>
            </w:r>
          </w:p>
        </w:tc>
        <w:tc>
          <w:tcPr>
            <w:tcW w:w="1891" w:type="dxa"/>
            <w:vMerge w:val="restart"/>
            <w:tcBorders>
              <w:left w:val="single" w:sz="8" w:space="0" w:color="9BBA58"/>
              <w:bottom w:val="single" w:sz="8" w:space="0" w:color="9BBA58"/>
              <w:right w:val="single" w:sz="8" w:space="0" w:color="9BBA58"/>
            </w:tcBorders>
          </w:tcPr>
          <w:p>
            <w:pPr>
              <w:pStyle w:val="TableParagraph"/>
              <w:spacing w:before="1"/>
              <w:ind w:left="108" w:right="148"/>
              <w:rPr>
                <w:rFonts w:ascii="Calibri"/>
                <w:sz w:val="20"/>
              </w:rPr>
            </w:pPr>
            <w:r>
              <w:rPr>
                <w:rFonts w:ascii="Calibri"/>
                <w:spacing w:val="-2"/>
                <w:sz w:val="20"/>
              </w:rPr>
              <w:t>Stevens/Three Rivers</w:t>
            </w:r>
          </w:p>
        </w:tc>
        <w:tc>
          <w:tcPr>
            <w:tcW w:w="1440" w:type="dxa"/>
            <w:vMerge w:val="restart"/>
            <w:tcBorders>
              <w:left w:val="single" w:sz="8" w:space="0" w:color="9BBA58"/>
              <w:bottom w:val="single" w:sz="8" w:space="0" w:color="9BBA58"/>
              <w:right w:val="single" w:sz="8" w:space="0" w:color="9BBA58"/>
            </w:tcBorders>
          </w:tcPr>
          <w:p>
            <w:pPr>
              <w:pStyle w:val="TableParagraph"/>
              <w:spacing w:before="1"/>
              <w:ind w:left="108" w:right="127"/>
              <w:rPr>
                <w:rFonts w:ascii="Calibri"/>
                <w:sz w:val="20"/>
              </w:rPr>
            </w:pPr>
            <w:r>
              <w:rPr>
                <w:rFonts w:ascii="Calibri"/>
                <w:spacing w:val="-2"/>
                <w:sz w:val="20"/>
              </w:rPr>
              <w:t>Low-power, non-broadcast</w:t>
            </w:r>
          </w:p>
        </w:tc>
        <w:tc>
          <w:tcPr>
            <w:tcW w:w="2887" w:type="dxa"/>
            <w:vMerge w:val="restart"/>
            <w:tcBorders>
              <w:left w:val="single" w:sz="8" w:space="0" w:color="9BBA58"/>
              <w:bottom w:val="single" w:sz="8" w:space="0" w:color="9BBA58"/>
              <w:right w:val="single" w:sz="8" w:space="0" w:color="9BBA58"/>
            </w:tcBorders>
          </w:tcPr>
          <w:p>
            <w:pPr>
              <w:pStyle w:val="TableParagraph"/>
              <w:spacing w:before="1"/>
              <w:ind w:left="108"/>
              <w:rPr>
                <w:rFonts w:ascii="Calibri" w:hAnsi="Calibri"/>
                <w:sz w:val="20"/>
              </w:rPr>
            </w:pPr>
            <w:r>
              <w:rPr>
                <w:rFonts w:ascii="Calibri" w:hAnsi="Calibri"/>
                <w:sz w:val="20"/>
              </w:rPr>
              <w:t>NE¼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5,</w:t>
            </w:r>
            <w:r>
              <w:rPr>
                <w:rFonts w:ascii="Calibri" w:hAnsi="Calibri"/>
                <w:spacing w:val="-4"/>
                <w:sz w:val="20"/>
              </w:rPr>
              <w:t> </w:t>
            </w:r>
            <w:r>
              <w:rPr>
                <w:rFonts w:ascii="Calibri" w:hAnsi="Calibri"/>
                <w:sz w:val="20"/>
              </w:rPr>
              <w:t>T.</w:t>
            </w:r>
            <w:r>
              <w:rPr>
                <w:rFonts w:ascii="Calibri" w:hAnsi="Calibri"/>
                <w:spacing w:val="-4"/>
                <w:sz w:val="20"/>
              </w:rPr>
              <w:t> </w:t>
            </w:r>
            <w:r>
              <w:rPr>
                <w:rFonts w:ascii="Calibri" w:hAnsi="Calibri"/>
                <w:sz w:val="20"/>
              </w:rPr>
              <w:t>39N.,</w:t>
            </w:r>
            <w:r>
              <w:rPr>
                <w:rFonts w:ascii="Calibri" w:hAnsi="Calibri"/>
                <w:spacing w:val="-4"/>
                <w:sz w:val="20"/>
              </w:rPr>
              <w:t> </w:t>
            </w:r>
            <w:r>
              <w:rPr>
                <w:rFonts w:ascii="Calibri" w:hAnsi="Calibri"/>
                <w:sz w:val="20"/>
              </w:rPr>
              <w:t>R.39E.,</w:t>
            </w:r>
            <w:r>
              <w:rPr>
                <w:rFonts w:ascii="Calibri" w:hAnsi="Calibri"/>
                <w:spacing w:val="-3"/>
                <w:sz w:val="20"/>
              </w:rPr>
              <w:t> </w:t>
            </w:r>
            <w:r>
              <w:rPr>
                <w:rFonts w:ascii="Calibri" w:hAnsi="Calibri"/>
                <w:spacing w:val="-5"/>
                <w:sz w:val="20"/>
              </w:rPr>
              <w:t>W.</w:t>
            </w:r>
          </w:p>
          <w:p>
            <w:pPr>
              <w:pStyle w:val="TableParagraph"/>
              <w:spacing w:before="1"/>
              <w:ind w:left="108"/>
              <w:rPr>
                <w:rFonts w:ascii="Calibri"/>
                <w:sz w:val="20"/>
              </w:rPr>
            </w:pPr>
            <w:r>
              <w:rPr>
                <w:rFonts w:ascii="Calibri"/>
                <w:sz w:val="20"/>
              </w:rPr>
              <w:t>M.,</w:t>
            </w:r>
            <w:r>
              <w:rPr>
                <w:rFonts w:ascii="Calibri"/>
                <w:spacing w:val="-4"/>
                <w:sz w:val="20"/>
              </w:rPr>
              <w:t> </w:t>
            </w:r>
            <w:r>
              <w:rPr>
                <w:rFonts w:ascii="Calibri"/>
                <w:sz w:val="20"/>
              </w:rPr>
              <w:t>in</w:t>
            </w:r>
            <w:r>
              <w:rPr>
                <w:rFonts w:ascii="Calibri"/>
                <w:spacing w:val="-4"/>
                <w:sz w:val="20"/>
              </w:rPr>
              <w:t> </w:t>
            </w:r>
            <w:r>
              <w:rPr>
                <w:rFonts w:ascii="Calibri"/>
                <w:sz w:val="20"/>
              </w:rPr>
              <w:t>Stevens</w:t>
            </w:r>
            <w:r>
              <w:rPr>
                <w:rFonts w:ascii="Calibri"/>
                <w:spacing w:val="-5"/>
                <w:sz w:val="20"/>
              </w:rPr>
              <w:t> </w:t>
            </w:r>
            <w:r>
              <w:rPr>
                <w:rFonts w:ascii="Calibri"/>
                <w:spacing w:val="-2"/>
                <w:sz w:val="20"/>
              </w:rPr>
              <w:t>County</w:t>
            </w:r>
          </w:p>
        </w:tc>
      </w:tr>
      <w:tr>
        <w:trPr>
          <w:trHeight w:val="296" w:hRule="atLeast"/>
        </w:trPr>
        <w:tc>
          <w:tcPr>
            <w:tcW w:w="2690" w:type="dxa"/>
            <w:tcBorders>
              <w:top w:val="nil"/>
              <w:left w:val="single" w:sz="8" w:space="0" w:color="9BBA58"/>
              <w:bottom w:val="nil"/>
              <w:right w:val="single" w:sz="8" w:space="0" w:color="9BBA58"/>
            </w:tcBorders>
          </w:tcPr>
          <w:p>
            <w:pPr>
              <w:pStyle w:val="TableParagraph"/>
              <w:numPr>
                <w:ilvl w:val="0"/>
                <w:numId w:val="38"/>
              </w:numPr>
              <w:tabs>
                <w:tab w:pos="467" w:val="left" w:leader="none"/>
              </w:tabs>
              <w:spacing w:line="223" w:lineRule="exact" w:before="53" w:after="0"/>
              <w:ind w:left="467" w:right="0" w:hanging="360"/>
              <w:jc w:val="left"/>
              <w:rPr>
                <w:rFonts w:ascii="Calibri" w:hAnsi="Calibri"/>
                <w:sz w:val="20"/>
              </w:rPr>
            </w:pPr>
            <w:r>
              <w:rPr>
                <w:rFonts w:ascii="Calibri" w:hAnsi="Calibri"/>
                <w:sz w:val="20"/>
              </w:rPr>
              <w:t>SBA</w:t>
            </w:r>
            <w:r>
              <w:rPr>
                <w:rFonts w:ascii="Calibri" w:hAnsi="Calibri"/>
                <w:spacing w:val="-6"/>
                <w:sz w:val="20"/>
              </w:rPr>
              <w:t> </w:t>
            </w:r>
            <w:r>
              <w:rPr>
                <w:rFonts w:ascii="Calibri" w:hAnsi="Calibri"/>
                <w:spacing w:val="-2"/>
                <w:sz w:val="20"/>
              </w:rPr>
              <w:t>Structures</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234" w:hRule="atLeast"/>
        </w:trPr>
        <w:tc>
          <w:tcPr>
            <w:tcW w:w="2690" w:type="dxa"/>
            <w:tcBorders>
              <w:top w:val="nil"/>
              <w:left w:val="single" w:sz="8" w:space="0" w:color="9BBA58"/>
              <w:bottom w:val="nil"/>
              <w:right w:val="single" w:sz="8" w:space="0" w:color="9BBA58"/>
            </w:tcBorders>
          </w:tcPr>
          <w:p>
            <w:pPr>
              <w:pStyle w:val="TableParagraph"/>
              <w:numPr>
                <w:ilvl w:val="0"/>
                <w:numId w:val="39"/>
              </w:numPr>
              <w:tabs>
                <w:tab w:pos="467" w:val="left" w:leader="none"/>
              </w:tabs>
              <w:spacing w:line="214" w:lineRule="exact" w:before="0" w:after="0"/>
              <w:ind w:left="467" w:right="0" w:hanging="360"/>
              <w:jc w:val="left"/>
              <w:rPr>
                <w:rFonts w:ascii="Calibri" w:hAnsi="Calibri"/>
                <w:sz w:val="20"/>
              </w:rPr>
            </w:pPr>
            <w:r>
              <w:rPr>
                <w:rFonts w:ascii="Calibri" w:hAnsi="Calibri"/>
                <w:spacing w:val="-2"/>
                <w:sz w:val="20"/>
              </w:rPr>
              <w:t>Verizon</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234" w:hRule="atLeast"/>
        </w:trPr>
        <w:tc>
          <w:tcPr>
            <w:tcW w:w="2690" w:type="dxa"/>
            <w:tcBorders>
              <w:top w:val="nil"/>
              <w:left w:val="single" w:sz="8" w:space="0" w:color="9BBA58"/>
              <w:bottom w:val="nil"/>
              <w:right w:val="single" w:sz="8" w:space="0" w:color="9BBA58"/>
            </w:tcBorders>
          </w:tcPr>
          <w:p>
            <w:pPr>
              <w:pStyle w:val="TableParagraph"/>
              <w:numPr>
                <w:ilvl w:val="0"/>
                <w:numId w:val="40"/>
              </w:numPr>
              <w:tabs>
                <w:tab w:pos="467" w:val="left" w:leader="none"/>
              </w:tabs>
              <w:spacing w:line="214" w:lineRule="exact" w:before="0" w:after="0"/>
              <w:ind w:left="467" w:right="0" w:hanging="360"/>
              <w:jc w:val="left"/>
              <w:rPr>
                <w:rFonts w:ascii="Calibri" w:hAnsi="Calibri"/>
                <w:sz w:val="20"/>
              </w:rPr>
            </w:pPr>
            <w:r>
              <w:rPr>
                <w:rFonts w:ascii="Calibri" w:hAnsi="Calibri"/>
                <w:spacing w:val="-4"/>
                <w:sz w:val="20"/>
              </w:rPr>
              <w:t>AT&amp;T</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724" w:hRule="atLeast"/>
        </w:trPr>
        <w:tc>
          <w:tcPr>
            <w:tcW w:w="2690" w:type="dxa"/>
            <w:tcBorders>
              <w:top w:val="nil"/>
              <w:left w:val="single" w:sz="8" w:space="0" w:color="9BBA58"/>
              <w:bottom w:val="nil"/>
              <w:right w:val="single" w:sz="8" w:space="0" w:color="9BBA58"/>
            </w:tcBorders>
          </w:tcPr>
          <w:p>
            <w:pPr>
              <w:pStyle w:val="TableParagraph"/>
              <w:numPr>
                <w:ilvl w:val="0"/>
                <w:numId w:val="41"/>
              </w:numPr>
              <w:tabs>
                <w:tab w:pos="467" w:val="left" w:leader="none"/>
              </w:tabs>
              <w:spacing w:line="240" w:lineRule="auto" w:before="0" w:after="0"/>
              <w:ind w:left="467" w:right="114" w:hanging="360"/>
              <w:jc w:val="left"/>
              <w:rPr>
                <w:rFonts w:ascii="Calibri" w:hAnsi="Calibri"/>
                <w:sz w:val="20"/>
              </w:rPr>
            </w:pPr>
            <w:r>
              <w:rPr>
                <w:rFonts w:ascii="Calibri" w:hAnsi="Calibri"/>
                <w:sz w:val="20"/>
              </w:rPr>
              <w:t>Department</w:t>
            </w:r>
            <w:r>
              <w:rPr>
                <w:rFonts w:ascii="Calibri" w:hAnsi="Calibri"/>
                <w:spacing w:val="-12"/>
                <w:sz w:val="20"/>
              </w:rPr>
              <w:t> </w:t>
            </w:r>
            <w:r>
              <w:rPr>
                <w:rFonts w:ascii="Calibri" w:hAnsi="Calibri"/>
                <w:sz w:val="20"/>
              </w:rPr>
              <w:t>of</w:t>
            </w:r>
            <w:r>
              <w:rPr>
                <w:rFonts w:ascii="Calibri" w:hAnsi="Calibri"/>
                <w:spacing w:val="-11"/>
                <w:sz w:val="20"/>
              </w:rPr>
              <w:t> </w:t>
            </w:r>
            <w:r>
              <w:rPr>
                <w:rFonts w:ascii="Calibri" w:hAnsi="Calibri"/>
                <w:sz w:val="20"/>
              </w:rPr>
              <w:t>Homeland Security, U.S. Customs</w:t>
            </w:r>
          </w:p>
          <w:p>
            <w:pPr>
              <w:pStyle w:val="TableParagraph"/>
              <w:spacing w:line="212" w:lineRule="exact" w:before="0"/>
              <w:ind w:left="467"/>
              <w:rPr>
                <w:rFonts w:ascii="Calibri"/>
                <w:sz w:val="20"/>
              </w:rPr>
            </w:pPr>
            <w:r>
              <w:rPr>
                <w:rFonts w:ascii="Calibri"/>
                <w:sz w:val="20"/>
              </w:rPr>
              <w:t>and</w:t>
            </w:r>
            <w:r>
              <w:rPr>
                <w:rFonts w:ascii="Calibri"/>
                <w:spacing w:val="-5"/>
                <w:sz w:val="20"/>
              </w:rPr>
              <w:t> </w:t>
            </w:r>
            <w:r>
              <w:rPr>
                <w:rFonts w:ascii="Calibri"/>
                <w:sz w:val="20"/>
              </w:rPr>
              <w:t>Border</w:t>
            </w:r>
            <w:r>
              <w:rPr>
                <w:rFonts w:ascii="Calibri"/>
                <w:spacing w:val="-5"/>
                <w:sz w:val="20"/>
              </w:rPr>
              <w:t> </w:t>
            </w:r>
            <w:r>
              <w:rPr>
                <w:rFonts w:ascii="Calibri"/>
                <w:spacing w:val="-2"/>
                <w:sz w:val="20"/>
              </w:rPr>
              <w:t>Patrol</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244"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42"/>
              </w:numPr>
              <w:tabs>
                <w:tab w:pos="467" w:val="left" w:leader="none"/>
              </w:tabs>
              <w:spacing w:line="225" w:lineRule="exact" w:before="0" w:after="0"/>
              <w:ind w:left="467" w:right="0" w:hanging="360"/>
              <w:jc w:val="left"/>
              <w:rPr>
                <w:rFonts w:ascii="Calibri" w:hAnsi="Calibri"/>
                <w:sz w:val="20"/>
              </w:rPr>
            </w:pPr>
            <w:r>
              <w:rPr>
                <w:rFonts w:ascii="Calibri" w:hAnsi="Calibri"/>
                <w:sz w:val="20"/>
              </w:rPr>
              <w:t>Forest</w:t>
            </w:r>
            <w:r>
              <w:rPr>
                <w:rFonts w:ascii="Calibri" w:hAnsi="Calibri"/>
                <w:spacing w:val="-10"/>
                <w:sz w:val="20"/>
              </w:rPr>
              <w:t> </w:t>
            </w:r>
            <w:r>
              <w:rPr>
                <w:rFonts w:ascii="Calibri" w:hAnsi="Calibri"/>
                <w:spacing w:val="-2"/>
                <w:sz w:val="20"/>
              </w:rPr>
              <w:t>Service</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15" w:hRule="atLeast"/>
        </w:trPr>
        <w:tc>
          <w:tcPr>
            <w:tcW w:w="2690" w:type="dxa"/>
            <w:tcBorders>
              <w:top w:val="single" w:sz="8" w:space="0" w:color="9BBA58"/>
              <w:left w:val="single" w:sz="8" w:space="0" w:color="9BBA58"/>
              <w:bottom w:val="nil"/>
              <w:right w:val="single" w:sz="8" w:space="0" w:color="9BBA58"/>
            </w:tcBorders>
          </w:tcPr>
          <w:p>
            <w:pPr>
              <w:pStyle w:val="TableParagraph"/>
              <w:spacing w:before="121"/>
              <w:ind w:left="107"/>
              <w:rPr>
                <w:rFonts w:ascii="Calibri"/>
                <w:b/>
                <w:sz w:val="20"/>
              </w:rPr>
            </w:pPr>
            <w:r>
              <w:rPr>
                <w:rFonts w:ascii="Calibri"/>
                <w:b/>
                <w:sz w:val="20"/>
              </w:rPr>
              <w:t>Flume</w:t>
            </w:r>
            <w:r>
              <w:rPr>
                <w:rFonts w:ascii="Calibri"/>
                <w:b/>
                <w:spacing w:val="-6"/>
                <w:sz w:val="20"/>
              </w:rPr>
              <w:t> </w:t>
            </w:r>
            <w:r>
              <w:rPr>
                <w:rFonts w:ascii="Calibri"/>
                <w:b/>
                <w:spacing w:val="-2"/>
                <w:sz w:val="20"/>
              </w:rPr>
              <w:t>Creek</w:t>
            </w:r>
          </w:p>
        </w:tc>
        <w:tc>
          <w:tcPr>
            <w:tcW w:w="1891"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ight="104"/>
              <w:rPr>
                <w:rFonts w:ascii="Calibri"/>
                <w:sz w:val="20"/>
              </w:rPr>
            </w:pPr>
            <w:r>
              <w:rPr>
                <w:rFonts w:ascii="Calibri"/>
                <w:spacing w:val="-4"/>
                <w:sz w:val="20"/>
              </w:rPr>
              <w:t>Pend</w:t>
            </w:r>
            <w:r>
              <w:rPr>
                <w:rFonts w:ascii="Calibri"/>
                <w:spacing w:val="40"/>
                <w:sz w:val="20"/>
              </w:rPr>
              <w:t> </w:t>
            </w:r>
            <w:r>
              <w:rPr>
                <w:rFonts w:ascii="Calibri"/>
                <w:sz w:val="20"/>
              </w:rPr>
              <w:t>Oreille/Sullivan</w:t>
            </w:r>
            <w:r>
              <w:rPr>
                <w:rFonts w:ascii="Calibri"/>
                <w:spacing w:val="-12"/>
                <w:sz w:val="20"/>
              </w:rPr>
              <w:t> </w:t>
            </w:r>
            <w:r>
              <w:rPr>
                <w:rFonts w:ascii="Calibri"/>
                <w:sz w:val="20"/>
              </w:rPr>
              <w:t>Lake</w:t>
            </w:r>
          </w:p>
        </w:tc>
        <w:tc>
          <w:tcPr>
            <w:tcW w:w="1440"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ight="127"/>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Pr>
                <w:rFonts w:ascii="Calibri" w:hAnsi="Calibri"/>
                <w:sz w:val="20"/>
              </w:rPr>
            </w:pPr>
            <w:r>
              <w:rPr>
                <w:rFonts w:ascii="Calibri" w:hAnsi="Calibri"/>
                <w:sz w:val="20"/>
              </w:rPr>
              <w:t>SE¼</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31,</w:t>
            </w:r>
            <w:r>
              <w:rPr>
                <w:rFonts w:ascii="Calibri" w:hAnsi="Calibri"/>
                <w:spacing w:val="-5"/>
                <w:sz w:val="20"/>
              </w:rPr>
              <w:t> </w:t>
            </w:r>
            <w:r>
              <w:rPr>
                <w:rFonts w:ascii="Calibri" w:hAnsi="Calibri"/>
                <w:sz w:val="20"/>
              </w:rPr>
              <w:t>T.</w:t>
            </w:r>
            <w:r>
              <w:rPr>
                <w:rFonts w:ascii="Calibri" w:hAnsi="Calibri"/>
                <w:spacing w:val="-3"/>
                <w:sz w:val="20"/>
              </w:rPr>
              <w:t> </w:t>
            </w:r>
            <w:r>
              <w:rPr>
                <w:rFonts w:ascii="Calibri" w:hAnsi="Calibri"/>
                <w:sz w:val="20"/>
              </w:rPr>
              <w:t>40N.,</w:t>
            </w:r>
            <w:r>
              <w:rPr>
                <w:rFonts w:ascii="Calibri" w:hAnsi="Calibri"/>
                <w:spacing w:val="-4"/>
                <w:sz w:val="20"/>
              </w:rPr>
              <w:t> </w:t>
            </w:r>
            <w:r>
              <w:rPr>
                <w:rFonts w:ascii="Calibri" w:hAnsi="Calibri"/>
                <w:sz w:val="20"/>
              </w:rPr>
              <w:t>R.43E.,</w:t>
            </w:r>
            <w:r>
              <w:rPr>
                <w:rFonts w:ascii="Calibri" w:hAnsi="Calibri"/>
                <w:spacing w:val="-4"/>
                <w:sz w:val="20"/>
              </w:rPr>
              <w:t> </w:t>
            </w:r>
            <w:r>
              <w:rPr>
                <w:rFonts w:ascii="Calibri" w:hAnsi="Calibri"/>
                <w:spacing w:val="-5"/>
                <w:sz w:val="20"/>
              </w:rPr>
              <w:t>W.</w:t>
            </w:r>
          </w:p>
          <w:p>
            <w:pPr>
              <w:pStyle w:val="TableParagraph"/>
              <w:spacing w:before="1"/>
              <w:ind w:left="108"/>
              <w:rPr>
                <w:rFonts w:ascii="Calibri"/>
                <w:sz w:val="20"/>
              </w:rPr>
            </w:pPr>
            <w:r>
              <w:rPr>
                <w:rFonts w:ascii="Calibri"/>
                <w:sz w:val="20"/>
              </w:rPr>
              <w:t>M.,</w:t>
            </w:r>
            <w:r>
              <w:rPr>
                <w:rFonts w:ascii="Calibri"/>
                <w:spacing w:val="-4"/>
                <w:sz w:val="20"/>
              </w:rPr>
              <w:t> </w:t>
            </w:r>
            <w:r>
              <w:rPr>
                <w:rFonts w:ascii="Calibri"/>
                <w:sz w:val="20"/>
              </w:rPr>
              <w:t>in</w:t>
            </w:r>
            <w:r>
              <w:rPr>
                <w:rFonts w:ascii="Calibri"/>
                <w:spacing w:val="-4"/>
                <w:sz w:val="20"/>
              </w:rPr>
              <w:t> </w:t>
            </w:r>
            <w:r>
              <w:rPr>
                <w:rFonts w:ascii="Calibri"/>
                <w:sz w:val="20"/>
              </w:rPr>
              <w:t>Pend</w:t>
            </w:r>
            <w:r>
              <w:rPr>
                <w:rFonts w:ascii="Calibri"/>
                <w:spacing w:val="-4"/>
                <w:sz w:val="20"/>
              </w:rPr>
              <w:t> </w:t>
            </w:r>
            <w:r>
              <w:rPr>
                <w:rFonts w:ascii="Calibri"/>
                <w:sz w:val="20"/>
              </w:rPr>
              <w:t>Oreille</w:t>
            </w:r>
            <w:r>
              <w:rPr>
                <w:rFonts w:ascii="Calibri"/>
                <w:spacing w:val="-6"/>
                <w:sz w:val="20"/>
              </w:rPr>
              <w:t> </w:t>
            </w:r>
            <w:r>
              <w:rPr>
                <w:rFonts w:ascii="Calibri"/>
                <w:spacing w:val="-2"/>
                <w:sz w:val="20"/>
              </w:rPr>
              <w:t>County</w:t>
            </w:r>
          </w:p>
        </w:tc>
      </w:tr>
      <w:tr>
        <w:trPr>
          <w:trHeight w:val="541" w:hRule="atLeast"/>
        </w:trPr>
        <w:tc>
          <w:tcPr>
            <w:tcW w:w="2690" w:type="dxa"/>
            <w:tcBorders>
              <w:top w:val="nil"/>
              <w:left w:val="single" w:sz="8" w:space="0" w:color="9BBA58"/>
              <w:bottom w:val="nil"/>
              <w:right w:val="single" w:sz="8" w:space="0" w:color="9BBA58"/>
            </w:tcBorders>
          </w:tcPr>
          <w:p>
            <w:pPr>
              <w:pStyle w:val="TableParagraph"/>
              <w:numPr>
                <w:ilvl w:val="0"/>
                <w:numId w:val="43"/>
              </w:numPr>
              <w:tabs>
                <w:tab w:pos="467" w:val="left" w:leader="none"/>
              </w:tabs>
              <w:spacing w:line="240" w:lineRule="atLeast" w:before="22" w:after="0"/>
              <w:ind w:left="467" w:right="163" w:hanging="360"/>
              <w:jc w:val="left"/>
              <w:rPr>
                <w:rFonts w:ascii="Calibri" w:hAnsi="Calibri"/>
                <w:sz w:val="20"/>
              </w:rPr>
            </w:pPr>
            <w:r>
              <w:rPr>
                <w:rFonts w:ascii="Calibri" w:hAnsi="Calibri"/>
                <w:sz w:val="20"/>
              </w:rPr>
              <w:t>Pend Oreille County Emergency</w:t>
            </w:r>
            <w:r>
              <w:rPr>
                <w:rFonts w:ascii="Calibri" w:hAnsi="Calibri"/>
                <w:spacing w:val="-12"/>
                <w:sz w:val="20"/>
              </w:rPr>
              <w:t> </w:t>
            </w:r>
            <w:r>
              <w:rPr>
                <w:rFonts w:ascii="Calibri" w:hAnsi="Calibri"/>
                <w:sz w:val="20"/>
              </w:rPr>
              <w:t>Management</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732"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44"/>
              </w:numPr>
              <w:tabs>
                <w:tab w:pos="467" w:val="left" w:leader="none"/>
              </w:tabs>
              <w:spacing w:line="240" w:lineRule="auto" w:before="0" w:after="0"/>
              <w:ind w:left="467" w:right="348" w:hanging="360"/>
              <w:jc w:val="left"/>
              <w:rPr>
                <w:rFonts w:ascii="Calibri" w:hAnsi="Calibri"/>
                <w:sz w:val="20"/>
              </w:rPr>
            </w:pPr>
            <w:r>
              <w:rPr>
                <w:rFonts w:ascii="Calibri" w:hAnsi="Calibri"/>
                <w:sz w:val="20"/>
              </w:rPr>
              <w:t>Department</w:t>
            </w:r>
            <w:r>
              <w:rPr>
                <w:rFonts w:ascii="Calibri" w:hAnsi="Calibri"/>
                <w:spacing w:val="-12"/>
                <w:sz w:val="20"/>
              </w:rPr>
              <w:t> </w:t>
            </w:r>
            <w:r>
              <w:rPr>
                <w:rFonts w:ascii="Calibri" w:hAnsi="Calibri"/>
                <w:sz w:val="20"/>
              </w:rPr>
              <w:t>of</w:t>
            </w:r>
            <w:r>
              <w:rPr>
                <w:rFonts w:ascii="Calibri" w:hAnsi="Calibri"/>
                <w:spacing w:val="-11"/>
                <w:sz w:val="20"/>
              </w:rPr>
              <w:t> </w:t>
            </w:r>
            <w:r>
              <w:rPr>
                <w:rFonts w:ascii="Calibri" w:hAnsi="Calibri"/>
                <w:sz w:val="20"/>
              </w:rPr>
              <w:t>Energy, Bonneville Power</w:t>
            </w:r>
          </w:p>
          <w:p>
            <w:pPr>
              <w:pStyle w:val="TableParagraph"/>
              <w:spacing w:line="222" w:lineRule="exact" w:before="0"/>
              <w:ind w:left="467"/>
              <w:rPr>
                <w:rFonts w:ascii="Calibri"/>
                <w:sz w:val="20"/>
              </w:rPr>
            </w:pPr>
            <w:r>
              <w:rPr>
                <w:rFonts w:ascii="Calibri"/>
                <w:spacing w:val="-2"/>
                <w:sz w:val="20"/>
              </w:rPr>
              <w:t>Administration</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88" w:hRule="atLeast"/>
        </w:trPr>
        <w:tc>
          <w:tcPr>
            <w:tcW w:w="2690" w:type="dxa"/>
            <w:tcBorders>
              <w:top w:val="single" w:sz="8" w:space="0" w:color="9BBA58"/>
              <w:left w:val="single" w:sz="8" w:space="0" w:color="9BBA58"/>
              <w:bottom w:val="single" w:sz="8" w:space="0" w:color="9BBA58"/>
              <w:right w:val="single" w:sz="8" w:space="0" w:color="9BBA58"/>
            </w:tcBorders>
          </w:tcPr>
          <w:p>
            <w:pPr>
              <w:pStyle w:val="TableParagraph"/>
              <w:spacing w:before="123"/>
              <w:ind w:left="107"/>
              <w:rPr>
                <w:rFonts w:ascii="Calibri"/>
                <w:b/>
                <w:sz w:val="20"/>
              </w:rPr>
            </w:pPr>
            <w:r>
              <w:rPr>
                <w:rFonts w:ascii="Calibri"/>
                <w:b/>
                <w:sz w:val="20"/>
              </w:rPr>
              <w:t>Owl</w:t>
            </w:r>
            <w:r>
              <w:rPr>
                <w:rFonts w:ascii="Calibri"/>
                <w:b/>
                <w:spacing w:val="-6"/>
                <w:sz w:val="20"/>
              </w:rPr>
              <w:t> </w:t>
            </w:r>
            <w:r>
              <w:rPr>
                <w:rFonts w:ascii="Calibri"/>
                <w:b/>
                <w:spacing w:val="-2"/>
                <w:sz w:val="20"/>
              </w:rPr>
              <w:t>Mountain</w:t>
            </w:r>
          </w:p>
        </w:tc>
        <w:tc>
          <w:tcPr>
            <w:tcW w:w="1891" w:type="dxa"/>
            <w:tcBorders>
              <w:top w:val="single" w:sz="8" w:space="0" w:color="9BBA58"/>
              <w:left w:val="single" w:sz="8" w:space="0" w:color="9BBA58"/>
              <w:bottom w:val="single" w:sz="8" w:space="0" w:color="9BBA58"/>
              <w:right w:val="single" w:sz="8" w:space="0" w:color="9BBA58"/>
            </w:tcBorders>
          </w:tcPr>
          <w:p>
            <w:pPr>
              <w:pStyle w:val="TableParagraph"/>
              <w:spacing w:before="3"/>
              <w:ind w:left="108"/>
              <w:rPr>
                <w:rFonts w:ascii="Calibri"/>
                <w:sz w:val="20"/>
              </w:rPr>
            </w:pPr>
            <w:r>
              <w:rPr>
                <w:rFonts w:ascii="Calibri"/>
                <w:spacing w:val="-2"/>
                <w:sz w:val="20"/>
              </w:rPr>
              <w:t>Ferry/Three</w:t>
            </w:r>
            <w:r>
              <w:rPr>
                <w:rFonts w:ascii="Calibri"/>
                <w:spacing w:val="8"/>
                <w:sz w:val="20"/>
              </w:rPr>
              <w:t> </w:t>
            </w:r>
            <w:r>
              <w:rPr>
                <w:rFonts w:ascii="Calibri"/>
                <w:spacing w:val="-2"/>
                <w:sz w:val="20"/>
              </w:rPr>
              <w:t>Rivers</w:t>
            </w:r>
          </w:p>
        </w:tc>
        <w:tc>
          <w:tcPr>
            <w:tcW w:w="1440" w:type="dxa"/>
            <w:tcBorders>
              <w:top w:val="single" w:sz="8" w:space="0" w:color="9BBA58"/>
              <w:left w:val="single" w:sz="8" w:space="0" w:color="9BBA58"/>
              <w:bottom w:val="single" w:sz="8" w:space="0" w:color="9BBA58"/>
              <w:right w:val="single" w:sz="8" w:space="0" w:color="9BBA58"/>
            </w:tcBorders>
          </w:tcPr>
          <w:p>
            <w:pPr>
              <w:pStyle w:val="TableParagraph"/>
              <w:spacing w:line="242" w:lineRule="exact" w:before="0"/>
              <w:ind w:left="108" w:right="127"/>
              <w:rPr>
                <w:rFonts w:ascii="Calibri"/>
                <w:sz w:val="20"/>
              </w:rPr>
            </w:pPr>
            <w:r>
              <w:rPr>
                <w:rFonts w:ascii="Calibri"/>
                <w:spacing w:val="-2"/>
                <w:sz w:val="20"/>
              </w:rPr>
              <w:t>Low-power, non-broadcast</w:t>
            </w:r>
          </w:p>
        </w:tc>
        <w:tc>
          <w:tcPr>
            <w:tcW w:w="2887" w:type="dxa"/>
            <w:tcBorders>
              <w:top w:val="single" w:sz="8" w:space="0" w:color="9BBA58"/>
              <w:left w:val="single" w:sz="8" w:space="0" w:color="9BBA58"/>
              <w:bottom w:val="single" w:sz="8" w:space="0" w:color="9BBA58"/>
              <w:right w:val="single" w:sz="8" w:space="0" w:color="9BBA58"/>
            </w:tcBorders>
          </w:tcPr>
          <w:p>
            <w:pPr>
              <w:pStyle w:val="TableParagraph"/>
              <w:spacing w:line="243" w:lineRule="exact" w:before="3"/>
              <w:ind w:left="108"/>
              <w:rPr>
                <w:rFonts w:ascii="Calibri" w:hAnsi="Calibri"/>
                <w:sz w:val="20"/>
              </w:rPr>
            </w:pPr>
            <w:r>
              <w:rPr>
                <w:rFonts w:ascii="Calibri" w:hAnsi="Calibri"/>
                <w:sz w:val="20"/>
              </w:rPr>
              <w:t>SW¼SW¼</w:t>
            </w:r>
            <w:r>
              <w:rPr>
                <w:rFonts w:ascii="Calibri" w:hAnsi="Calibri"/>
                <w:spacing w:val="-6"/>
                <w:sz w:val="20"/>
              </w:rPr>
              <w:t> </w:t>
            </w:r>
            <w:r>
              <w:rPr>
                <w:rFonts w:ascii="Calibri" w:hAnsi="Calibri"/>
                <w:sz w:val="20"/>
              </w:rPr>
              <w:t>Sec.</w:t>
            </w:r>
            <w:r>
              <w:rPr>
                <w:rFonts w:ascii="Calibri" w:hAnsi="Calibri"/>
                <w:spacing w:val="-5"/>
                <w:sz w:val="20"/>
              </w:rPr>
              <w:t> </w:t>
            </w:r>
            <w:r>
              <w:rPr>
                <w:rFonts w:ascii="Calibri" w:hAnsi="Calibri"/>
                <w:sz w:val="20"/>
              </w:rPr>
              <w:t>10.</w:t>
            </w:r>
            <w:r>
              <w:rPr>
                <w:rFonts w:ascii="Calibri" w:hAnsi="Calibri"/>
                <w:spacing w:val="-3"/>
                <w:sz w:val="20"/>
              </w:rPr>
              <w:t> </w:t>
            </w:r>
            <w:r>
              <w:rPr>
                <w:rFonts w:ascii="Calibri" w:hAnsi="Calibri"/>
                <w:sz w:val="20"/>
              </w:rPr>
              <w:t>T.</w:t>
            </w:r>
            <w:r>
              <w:rPr>
                <w:rFonts w:ascii="Calibri" w:hAnsi="Calibri"/>
                <w:spacing w:val="-6"/>
                <w:sz w:val="20"/>
              </w:rPr>
              <w:t> </w:t>
            </w:r>
            <w:r>
              <w:rPr>
                <w:rFonts w:ascii="Calibri" w:hAnsi="Calibri"/>
                <w:spacing w:val="-2"/>
                <w:sz w:val="20"/>
              </w:rPr>
              <w:t>40N.,</w:t>
            </w:r>
          </w:p>
          <w:p>
            <w:pPr>
              <w:pStyle w:val="TableParagraph"/>
              <w:spacing w:line="222" w:lineRule="exact" w:before="0"/>
              <w:ind w:left="108"/>
              <w:rPr>
                <w:rFonts w:ascii="Calibri"/>
                <w:sz w:val="20"/>
              </w:rPr>
            </w:pPr>
            <w:r>
              <w:rPr>
                <w:rFonts w:ascii="Calibri"/>
                <w:sz w:val="20"/>
              </w:rPr>
              <w:t>R.36E.,</w:t>
            </w:r>
            <w:r>
              <w:rPr>
                <w:rFonts w:ascii="Calibri"/>
                <w:spacing w:val="-4"/>
                <w:sz w:val="20"/>
              </w:rPr>
              <w:t> </w:t>
            </w:r>
            <w:r>
              <w:rPr>
                <w:rFonts w:ascii="Calibri"/>
                <w:sz w:val="20"/>
              </w:rPr>
              <w:t>W.</w:t>
            </w:r>
            <w:r>
              <w:rPr>
                <w:rFonts w:ascii="Calibri"/>
                <w:spacing w:val="-4"/>
                <w:sz w:val="20"/>
              </w:rPr>
              <w:t> </w:t>
            </w:r>
            <w:r>
              <w:rPr>
                <w:rFonts w:ascii="Calibri"/>
                <w:sz w:val="20"/>
              </w:rPr>
              <w:t>M.,</w:t>
            </w:r>
            <w:r>
              <w:rPr>
                <w:rFonts w:ascii="Calibri"/>
                <w:spacing w:val="-3"/>
                <w:sz w:val="20"/>
              </w:rPr>
              <w:t> </w:t>
            </w:r>
            <w:r>
              <w:rPr>
                <w:rFonts w:ascii="Calibri"/>
                <w:sz w:val="20"/>
              </w:rPr>
              <w:t>in</w:t>
            </w:r>
            <w:r>
              <w:rPr>
                <w:rFonts w:ascii="Calibri"/>
                <w:spacing w:val="-4"/>
                <w:sz w:val="20"/>
              </w:rPr>
              <w:t> </w:t>
            </w:r>
            <w:r>
              <w:rPr>
                <w:rFonts w:ascii="Calibri"/>
                <w:sz w:val="20"/>
              </w:rPr>
              <w:t>Ferry</w:t>
            </w:r>
            <w:r>
              <w:rPr>
                <w:rFonts w:ascii="Calibri"/>
                <w:spacing w:val="-3"/>
                <w:sz w:val="20"/>
              </w:rPr>
              <w:t> </w:t>
            </w:r>
            <w:r>
              <w:rPr>
                <w:rFonts w:ascii="Calibri"/>
                <w:spacing w:val="-2"/>
                <w:sz w:val="20"/>
              </w:rPr>
              <w:t>County</w:t>
            </w:r>
          </w:p>
        </w:tc>
      </w:tr>
      <w:tr>
        <w:trPr>
          <w:trHeight w:val="417" w:hRule="atLeast"/>
        </w:trPr>
        <w:tc>
          <w:tcPr>
            <w:tcW w:w="2690" w:type="dxa"/>
            <w:tcBorders>
              <w:top w:val="single" w:sz="8" w:space="0" w:color="9BBA58"/>
              <w:left w:val="single" w:sz="8" w:space="0" w:color="9BBA58"/>
              <w:bottom w:val="nil"/>
              <w:right w:val="single" w:sz="8" w:space="0" w:color="9BBA58"/>
            </w:tcBorders>
          </w:tcPr>
          <w:p>
            <w:pPr>
              <w:pStyle w:val="TableParagraph"/>
              <w:spacing w:before="123"/>
              <w:ind w:left="107"/>
              <w:rPr>
                <w:rFonts w:ascii="Calibri"/>
                <w:b/>
                <w:sz w:val="20"/>
              </w:rPr>
            </w:pPr>
            <w:r>
              <w:rPr>
                <w:rFonts w:ascii="Calibri"/>
                <w:b/>
                <w:sz w:val="20"/>
              </w:rPr>
              <w:t>Ruby</w:t>
            </w:r>
            <w:r>
              <w:rPr>
                <w:rFonts w:ascii="Calibri"/>
                <w:b/>
                <w:spacing w:val="-4"/>
                <w:sz w:val="20"/>
              </w:rPr>
              <w:t> </w:t>
            </w:r>
            <w:r>
              <w:rPr>
                <w:rFonts w:ascii="Calibri"/>
                <w:b/>
                <w:spacing w:val="-2"/>
                <w:sz w:val="20"/>
              </w:rPr>
              <w:t>Mountain</w:t>
            </w:r>
          </w:p>
        </w:tc>
        <w:tc>
          <w:tcPr>
            <w:tcW w:w="1891"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ight="104"/>
              <w:rPr>
                <w:rFonts w:ascii="Calibri"/>
                <w:sz w:val="20"/>
              </w:rPr>
            </w:pPr>
            <w:r>
              <w:rPr>
                <w:rFonts w:ascii="Calibri"/>
                <w:spacing w:val="-4"/>
                <w:sz w:val="20"/>
              </w:rPr>
              <w:t>Pend </w:t>
            </w:r>
            <w:r>
              <w:rPr>
                <w:rFonts w:ascii="Calibri"/>
                <w:spacing w:val="-2"/>
                <w:sz w:val="20"/>
              </w:rPr>
              <w:t>Oreille/Newport</w:t>
            </w:r>
          </w:p>
        </w:tc>
        <w:tc>
          <w:tcPr>
            <w:tcW w:w="1440"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ight="127"/>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bottom w:val="single" w:sz="8" w:space="0" w:color="9BBA58"/>
              <w:right w:val="single" w:sz="8" w:space="0" w:color="9BBA58"/>
            </w:tcBorders>
          </w:tcPr>
          <w:p>
            <w:pPr>
              <w:pStyle w:val="TableParagraph"/>
              <w:spacing w:before="1"/>
              <w:ind w:left="108"/>
              <w:rPr>
                <w:rFonts w:ascii="Calibri"/>
                <w:sz w:val="20"/>
              </w:rPr>
            </w:pPr>
            <w:r>
              <w:rPr>
                <w:rFonts w:ascii="Calibri"/>
                <w:sz w:val="20"/>
              </w:rPr>
              <w:t>Sec.</w:t>
            </w:r>
            <w:r>
              <w:rPr>
                <w:rFonts w:ascii="Calibri"/>
                <w:spacing w:val="-5"/>
                <w:sz w:val="20"/>
              </w:rPr>
              <w:t> </w:t>
            </w:r>
            <w:r>
              <w:rPr>
                <w:rFonts w:ascii="Calibri"/>
                <w:sz w:val="20"/>
              </w:rPr>
              <w:t>25,</w:t>
            </w:r>
            <w:r>
              <w:rPr>
                <w:rFonts w:ascii="Calibri"/>
                <w:spacing w:val="-2"/>
                <w:sz w:val="20"/>
              </w:rPr>
              <w:t> </w:t>
            </w:r>
            <w:r>
              <w:rPr>
                <w:rFonts w:ascii="Calibri"/>
                <w:sz w:val="20"/>
              </w:rPr>
              <w:t>T.</w:t>
            </w:r>
            <w:r>
              <w:rPr>
                <w:rFonts w:ascii="Calibri"/>
                <w:spacing w:val="-5"/>
                <w:sz w:val="20"/>
              </w:rPr>
              <w:t> </w:t>
            </w:r>
            <w:r>
              <w:rPr>
                <w:rFonts w:ascii="Calibri"/>
                <w:sz w:val="20"/>
              </w:rPr>
              <w:t>35N.,</w:t>
            </w:r>
            <w:r>
              <w:rPr>
                <w:rFonts w:ascii="Calibri"/>
                <w:spacing w:val="-4"/>
                <w:sz w:val="20"/>
              </w:rPr>
              <w:t> </w:t>
            </w:r>
            <w:r>
              <w:rPr>
                <w:rFonts w:ascii="Calibri"/>
                <w:sz w:val="20"/>
              </w:rPr>
              <w:t>R.43E.,</w:t>
            </w:r>
            <w:r>
              <w:rPr>
                <w:rFonts w:ascii="Calibri"/>
                <w:spacing w:val="-4"/>
                <w:sz w:val="20"/>
              </w:rPr>
              <w:t> </w:t>
            </w:r>
            <w:r>
              <w:rPr>
                <w:rFonts w:ascii="Calibri"/>
                <w:sz w:val="20"/>
              </w:rPr>
              <w:t>W.</w:t>
            </w:r>
            <w:r>
              <w:rPr>
                <w:rFonts w:ascii="Calibri"/>
                <w:spacing w:val="-5"/>
                <w:sz w:val="20"/>
              </w:rPr>
              <w:t> M.,</w:t>
            </w:r>
          </w:p>
          <w:p>
            <w:pPr>
              <w:pStyle w:val="TableParagraph"/>
              <w:spacing w:before="1"/>
              <w:ind w:left="108"/>
              <w:rPr>
                <w:rFonts w:ascii="Calibri"/>
                <w:sz w:val="20"/>
              </w:rPr>
            </w:pPr>
            <w:r>
              <w:rPr>
                <w:rFonts w:ascii="Calibri"/>
                <w:sz w:val="20"/>
              </w:rPr>
              <w:t>in</w:t>
            </w:r>
            <w:r>
              <w:rPr>
                <w:rFonts w:ascii="Calibri"/>
                <w:spacing w:val="-5"/>
                <w:sz w:val="20"/>
              </w:rPr>
              <w:t> </w:t>
            </w:r>
            <w:r>
              <w:rPr>
                <w:rFonts w:ascii="Calibri"/>
                <w:sz w:val="20"/>
              </w:rPr>
              <w:t>Pend</w:t>
            </w:r>
            <w:r>
              <w:rPr>
                <w:rFonts w:ascii="Calibri"/>
                <w:spacing w:val="-5"/>
                <w:sz w:val="20"/>
              </w:rPr>
              <w:t> </w:t>
            </w:r>
            <w:r>
              <w:rPr>
                <w:rFonts w:ascii="Calibri"/>
                <w:sz w:val="20"/>
              </w:rPr>
              <w:t>Oreille</w:t>
            </w:r>
            <w:r>
              <w:rPr>
                <w:rFonts w:ascii="Calibri"/>
                <w:spacing w:val="-4"/>
                <w:sz w:val="20"/>
              </w:rPr>
              <w:t> </w:t>
            </w:r>
            <w:r>
              <w:rPr>
                <w:rFonts w:ascii="Calibri"/>
                <w:spacing w:val="-2"/>
                <w:sz w:val="20"/>
              </w:rPr>
              <w:t>County</w:t>
            </w:r>
          </w:p>
        </w:tc>
      </w:tr>
      <w:tr>
        <w:trPr>
          <w:trHeight w:val="670" w:hRule="atLeast"/>
        </w:trPr>
        <w:tc>
          <w:tcPr>
            <w:tcW w:w="2690" w:type="dxa"/>
            <w:tcBorders>
              <w:top w:val="nil"/>
              <w:left w:val="single" w:sz="8" w:space="0" w:color="9BBA58"/>
              <w:bottom w:val="single" w:sz="8" w:space="0" w:color="9BBA58"/>
              <w:right w:val="single" w:sz="8" w:space="0" w:color="9BBA58"/>
            </w:tcBorders>
          </w:tcPr>
          <w:p>
            <w:pPr>
              <w:pStyle w:val="TableParagraph"/>
              <w:numPr>
                <w:ilvl w:val="0"/>
                <w:numId w:val="45"/>
              </w:numPr>
              <w:tabs>
                <w:tab w:pos="467" w:val="left" w:leader="none"/>
              </w:tabs>
              <w:spacing w:line="240" w:lineRule="auto" w:before="52" w:after="0"/>
              <w:ind w:left="467" w:right="296" w:hanging="360"/>
              <w:jc w:val="left"/>
              <w:rPr>
                <w:rFonts w:ascii="Calibri" w:hAnsi="Calibri"/>
                <w:sz w:val="20"/>
              </w:rPr>
            </w:pPr>
            <w:r>
              <w:rPr>
                <w:rFonts w:ascii="Calibri" w:hAnsi="Calibri"/>
                <w:sz w:val="20"/>
              </w:rPr>
              <w:t>Pend</w:t>
            </w:r>
            <w:r>
              <w:rPr>
                <w:rFonts w:ascii="Calibri" w:hAnsi="Calibri"/>
                <w:spacing w:val="-12"/>
                <w:sz w:val="20"/>
              </w:rPr>
              <w:t> </w:t>
            </w:r>
            <w:r>
              <w:rPr>
                <w:rFonts w:ascii="Calibri" w:hAnsi="Calibri"/>
                <w:sz w:val="20"/>
              </w:rPr>
              <w:t>Oreille</w:t>
            </w:r>
            <w:r>
              <w:rPr>
                <w:rFonts w:ascii="Calibri" w:hAnsi="Calibri"/>
                <w:spacing w:val="-11"/>
                <w:sz w:val="20"/>
              </w:rPr>
              <w:t> </w:t>
            </w:r>
            <w:r>
              <w:rPr>
                <w:rFonts w:ascii="Calibri" w:hAnsi="Calibri"/>
                <w:sz w:val="20"/>
              </w:rPr>
              <w:t>Telephone </w:t>
            </w:r>
            <w:r>
              <w:rPr>
                <w:rFonts w:ascii="Calibri" w:hAnsi="Calibri"/>
                <w:spacing w:val="-2"/>
                <w:sz w:val="20"/>
              </w:rPr>
              <w:t>Company</w:t>
            </w:r>
          </w:p>
        </w:tc>
        <w:tc>
          <w:tcPr>
            <w:tcW w:w="1891" w:type="dxa"/>
            <w:vMerge/>
            <w:tcBorders>
              <w:top w:val="nil"/>
              <w:left w:val="single" w:sz="8" w:space="0" w:color="9BBA58"/>
              <w:bottom w:val="single" w:sz="8" w:space="0" w:color="9BBA58"/>
              <w:right w:val="single" w:sz="8" w:space="0" w:color="9BBA58"/>
            </w:tcBorders>
          </w:tcPr>
          <w:p>
            <w:pPr>
              <w:rPr>
                <w:sz w:val="2"/>
                <w:szCs w:val="2"/>
              </w:rPr>
            </w:pPr>
          </w:p>
        </w:tc>
        <w:tc>
          <w:tcPr>
            <w:tcW w:w="1440" w:type="dxa"/>
            <w:vMerge/>
            <w:tcBorders>
              <w:top w:val="nil"/>
              <w:left w:val="single" w:sz="8" w:space="0" w:color="9BBA58"/>
              <w:bottom w:val="single" w:sz="8" w:space="0" w:color="9BBA58"/>
              <w:right w:val="single" w:sz="8" w:space="0" w:color="9BBA58"/>
            </w:tcBorders>
          </w:tcPr>
          <w:p>
            <w:pPr>
              <w:rPr>
                <w:sz w:val="2"/>
                <w:szCs w:val="2"/>
              </w:rPr>
            </w:pPr>
          </w:p>
        </w:tc>
        <w:tc>
          <w:tcPr>
            <w:tcW w:w="2887" w:type="dxa"/>
            <w:vMerge/>
            <w:tcBorders>
              <w:top w:val="nil"/>
              <w:left w:val="single" w:sz="8" w:space="0" w:color="9BBA58"/>
              <w:bottom w:val="single" w:sz="8" w:space="0" w:color="9BBA58"/>
              <w:right w:val="single" w:sz="8" w:space="0" w:color="9BBA58"/>
            </w:tcBorders>
          </w:tcPr>
          <w:p>
            <w:pPr>
              <w:rPr>
                <w:sz w:val="2"/>
                <w:szCs w:val="2"/>
              </w:rPr>
            </w:pPr>
          </w:p>
        </w:tc>
      </w:tr>
      <w:tr>
        <w:trPr>
          <w:trHeight w:val="415" w:hRule="atLeast"/>
        </w:trPr>
        <w:tc>
          <w:tcPr>
            <w:tcW w:w="2690" w:type="dxa"/>
            <w:tcBorders>
              <w:top w:val="single" w:sz="8" w:space="0" w:color="9BBA58"/>
              <w:left w:val="single" w:sz="8" w:space="0" w:color="9BBA58"/>
              <w:bottom w:val="nil"/>
              <w:right w:val="single" w:sz="8" w:space="0" w:color="9BBA58"/>
            </w:tcBorders>
          </w:tcPr>
          <w:p>
            <w:pPr>
              <w:pStyle w:val="TableParagraph"/>
              <w:spacing w:before="121"/>
              <w:ind w:left="107"/>
              <w:rPr>
                <w:rFonts w:ascii="Calibri"/>
                <w:b/>
                <w:sz w:val="20"/>
              </w:rPr>
            </w:pPr>
            <w:r>
              <w:rPr>
                <w:rFonts w:ascii="Calibri"/>
                <w:b/>
                <w:sz w:val="20"/>
              </w:rPr>
              <w:t>Sand</w:t>
            </w:r>
            <w:r>
              <w:rPr>
                <w:rFonts w:ascii="Calibri"/>
                <w:b/>
                <w:spacing w:val="-4"/>
                <w:sz w:val="20"/>
              </w:rPr>
              <w:t> </w:t>
            </w:r>
            <w:r>
              <w:rPr>
                <w:rFonts w:ascii="Calibri"/>
                <w:b/>
                <w:spacing w:val="-2"/>
                <w:sz w:val="20"/>
              </w:rPr>
              <w:t>Ridge</w:t>
            </w:r>
          </w:p>
        </w:tc>
        <w:tc>
          <w:tcPr>
            <w:tcW w:w="1891" w:type="dxa"/>
            <w:vMerge w:val="restart"/>
            <w:tcBorders>
              <w:top w:val="single" w:sz="8" w:space="0" w:color="9BBA58"/>
              <w:left w:val="single" w:sz="8" w:space="0" w:color="9BBA58"/>
              <w:right w:val="single" w:sz="8" w:space="0" w:color="9BBA58"/>
            </w:tcBorders>
          </w:tcPr>
          <w:p>
            <w:pPr>
              <w:pStyle w:val="TableParagraph"/>
              <w:spacing w:before="1"/>
              <w:ind w:left="108" w:right="104"/>
              <w:rPr>
                <w:rFonts w:ascii="Calibri"/>
                <w:sz w:val="20"/>
              </w:rPr>
            </w:pPr>
            <w:r>
              <w:rPr>
                <w:rFonts w:ascii="Calibri"/>
                <w:spacing w:val="-4"/>
                <w:sz w:val="20"/>
              </w:rPr>
              <w:t>Pend</w:t>
            </w:r>
            <w:r>
              <w:rPr>
                <w:rFonts w:ascii="Calibri"/>
                <w:spacing w:val="40"/>
                <w:sz w:val="20"/>
              </w:rPr>
              <w:t> </w:t>
            </w:r>
            <w:r>
              <w:rPr>
                <w:rFonts w:ascii="Calibri"/>
                <w:sz w:val="20"/>
              </w:rPr>
              <w:t>Oreille/Sullivan</w:t>
            </w:r>
            <w:r>
              <w:rPr>
                <w:rFonts w:ascii="Calibri"/>
                <w:spacing w:val="-12"/>
                <w:sz w:val="20"/>
              </w:rPr>
              <w:t> </w:t>
            </w:r>
            <w:r>
              <w:rPr>
                <w:rFonts w:ascii="Calibri"/>
                <w:sz w:val="20"/>
              </w:rPr>
              <w:t>Lake</w:t>
            </w:r>
          </w:p>
        </w:tc>
        <w:tc>
          <w:tcPr>
            <w:tcW w:w="1440" w:type="dxa"/>
            <w:vMerge w:val="restart"/>
            <w:tcBorders>
              <w:top w:val="single" w:sz="8" w:space="0" w:color="9BBA58"/>
              <w:left w:val="single" w:sz="8" w:space="0" w:color="9BBA58"/>
              <w:right w:val="single" w:sz="8" w:space="0" w:color="9BBA58"/>
            </w:tcBorders>
          </w:tcPr>
          <w:p>
            <w:pPr>
              <w:pStyle w:val="TableParagraph"/>
              <w:spacing w:before="1"/>
              <w:ind w:left="108" w:right="127"/>
              <w:rPr>
                <w:rFonts w:ascii="Calibri"/>
                <w:sz w:val="20"/>
              </w:rPr>
            </w:pPr>
            <w:r>
              <w:rPr>
                <w:rFonts w:ascii="Calibri"/>
                <w:spacing w:val="-2"/>
                <w:sz w:val="20"/>
              </w:rPr>
              <w:t>Low-power, non-broadcast</w:t>
            </w:r>
          </w:p>
        </w:tc>
        <w:tc>
          <w:tcPr>
            <w:tcW w:w="2887" w:type="dxa"/>
            <w:vMerge w:val="restart"/>
            <w:tcBorders>
              <w:top w:val="single" w:sz="8" w:space="0" w:color="9BBA58"/>
              <w:left w:val="single" w:sz="8" w:space="0" w:color="9BBA58"/>
              <w:right w:val="single" w:sz="8" w:space="0" w:color="9BBA58"/>
            </w:tcBorders>
          </w:tcPr>
          <w:p>
            <w:pPr>
              <w:pStyle w:val="TableParagraph"/>
              <w:spacing w:before="1"/>
              <w:ind w:left="108"/>
              <w:rPr>
                <w:rFonts w:ascii="Calibri" w:hAnsi="Calibri"/>
                <w:sz w:val="20"/>
              </w:rPr>
            </w:pPr>
            <w:r>
              <w:rPr>
                <w:rFonts w:ascii="Calibri" w:hAnsi="Calibri"/>
                <w:sz w:val="20"/>
              </w:rPr>
              <w:t>SW¼</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1,</w:t>
            </w:r>
            <w:r>
              <w:rPr>
                <w:rFonts w:ascii="Calibri" w:hAnsi="Calibri"/>
                <w:spacing w:val="-3"/>
                <w:sz w:val="20"/>
              </w:rPr>
              <w:t> </w:t>
            </w:r>
            <w:r>
              <w:rPr>
                <w:rFonts w:ascii="Calibri" w:hAnsi="Calibri"/>
                <w:sz w:val="20"/>
              </w:rPr>
              <w:t>T.</w:t>
            </w:r>
            <w:r>
              <w:rPr>
                <w:rFonts w:ascii="Calibri" w:hAnsi="Calibri"/>
                <w:spacing w:val="-4"/>
                <w:sz w:val="20"/>
              </w:rPr>
              <w:t> </w:t>
            </w:r>
            <w:r>
              <w:rPr>
                <w:rFonts w:ascii="Calibri" w:hAnsi="Calibri"/>
                <w:sz w:val="20"/>
              </w:rPr>
              <w:t>38N.,</w:t>
            </w:r>
            <w:r>
              <w:rPr>
                <w:rFonts w:ascii="Calibri" w:hAnsi="Calibri"/>
                <w:spacing w:val="-4"/>
                <w:sz w:val="20"/>
              </w:rPr>
              <w:t> </w:t>
            </w:r>
            <w:r>
              <w:rPr>
                <w:rFonts w:ascii="Calibri" w:hAnsi="Calibri"/>
                <w:sz w:val="20"/>
              </w:rPr>
              <w:t>R.43E.,</w:t>
            </w:r>
            <w:r>
              <w:rPr>
                <w:rFonts w:ascii="Calibri" w:hAnsi="Calibri"/>
                <w:spacing w:val="-3"/>
                <w:sz w:val="20"/>
              </w:rPr>
              <w:t> </w:t>
            </w:r>
            <w:r>
              <w:rPr>
                <w:rFonts w:ascii="Calibri" w:hAnsi="Calibri"/>
                <w:spacing w:val="-5"/>
                <w:sz w:val="20"/>
              </w:rPr>
              <w:t>W.</w:t>
            </w:r>
          </w:p>
          <w:p>
            <w:pPr>
              <w:pStyle w:val="TableParagraph"/>
              <w:spacing w:before="1"/>
              <w:ind w:left="108"/>
              <w:rPr>
                <w:rFonts w:ascii="Calibri"/>
                <w:sz w:val="20"/>
              </w:rPr>
            </w:pPr>
            <w:r>
              <w:rPr>
                <w:rFonts w:ascii="Calibri"/>
                <w:sz w:val="20"/>
              </w:rPr>
              <w:t>M.,</w:t>
            </w:r>
            <w:r>
              <w:rPr>
                <w:rFonts w:ascii="Calibri"/>
                <w:spacing w:val="-4"/>
                <w:sz w:val="20"/>
              </w:rPr>
              <w:t> </w:t>
            </w:r>
            <w:r>
              <w:rPr>
                <w:rFonts w:ascii="Calibri"/>
                <w:sz w:val="20"/>
              </w:rPr>
              <w:t>in</w:t>
            </w:r>
            <w:r>
              <w:rPr>
                <w:rFonts w:ascii="Calibri"/>
                <w:spacing w:val="-4"/>
                <w:sz w:val="20"/>
              </w:rPr>
              <w:t> </w:t>
            </w:r>
            <w:r>
              <w:rPr>
                <w:rFonts w:ascii="Calibri"/>
                <w:sz w:val="20"/>
              </w:rPr>
              <w:t>Pend</w:t>
            </w:r>
            <w:r>
              <w:rPr>
                <w:rFonts w:ascii="Calibri"/>
                <w:spacing w:val="-4"/>
                <w:sz w:val="20"/>
              </w:rPr>
              <w:t> </w:t>
            </w:r>
            <w:r>
              <w:rPr>
                <w:rFonts w:ascii="Calibri"/>
                <w:sz w:val="20"/>
              </w:rPr>
              <w:t>Oreille</w:t>
            </w:r>
            <w:r>
              <w:rPr>
                <w:rFonts w:ascii="Calibri"/>
                <w:spacing w:val="-6"/>
                <w:sz w:val="20"/>
              </w:rPr>
              <w:t> </w:t>
            </w:r>
            <w:r>
              <w:rPr>
                <w:rFonts w:ascii="Calibri"/>
                <w:spacing w:val="-2"/>
                <w:sz w:val="20"/>
              </w:rPr>
              <w:t>County</w:t>
            </w:r>
          </w:p>
        </w:tc>
      </w:tr>
      <w:tr>
        <w:trPr>
          <w:trHeight w:val="796" w:hRule="atLeast"/>
        </w:trPr>
        <w:tc>
          <w:tcPr>
            <w:tcW w:w="2690" w:type="dxa"/>
            <w:tcBorders>
              <w:top w:val="nil"/>
              <w:left w:val="single" w:sz="8" w:space="0" w:color="9BBA58"/>
              <w:right w:val="single" w:sz="8" w:space="0" w:color="9BBA58"/>
            </w:tcBorders>
          </w:tcPr>
          <w:p>
            <w:pPr>
              <w:pStyle w:val="TableParagraph"/>
              <w:numPr>
                <w:ilvl w:val="0"/>
                <w:numId w:val="46"/>
              </w:numPr>
              <w:tabs>
                <w:tab w:pos="467" w:val="left" w:leader="none"/>
              </w:tabs>
              <w:spacing w:line="240" w:lineRule="auto" w:before="53" w:after="0"/>
              <w:ind w:left="467" w:right="113" w:hanging="360"/>
              <w:jc w:val="left"/>
              <w:rPr>
                <w:rFonts w:ascii="Calibri" w:hAnsi="Calibri"/>
                <w:sz w:val="20"/>
              </w:rPr>
            </w:pPr>
            <w:r>
              <w:rPr>
                <w:rFonts w:ascii="Calibri" w:hAnsi="Calibri"/>
                <w:sz w:val="20"/>
              </w:rPr>
              <w:t>Department</w:t>
            </w:r>
            <w:r>
              <w:rPr>
                <w:rFonts w:ascii="Calibri" w:hAnsi="Calibri"/>
                <w:spacing w:val="-12"/>
                <w:sz w:val="20"/>
              </w:rPr>
              <w:t> </w:t>
            </w:r>
            <w:r>
              <w:rPr>
                <w:rFonts w:ascii="Calibri" w:hAnsi="Calibri"/>
                <w:sz w:val="20"/>
              </w:rPr>
              <w:t>of</w:t>
            </w:r>
            <w:r>
              <w:rPr>
                <w:rFonts w:ascii="Calibri" w:hAnsi="Calibri"/>
                <w:spacing w:val="-11"/>
                <w:sz w:val="20"/>
              </w:rPr>
              <w:t> </w:t>
            </w:r>
            <w:r>
              <w:rPr>
                <w:rFonts w:ascii="Calibri" w:hAnsi="Calibri"/>
                <w:sz w:val="20"/>
              </w:rPr>
              <w:t>Homeland Security, U.S. Customs</w:t>
            </w:r>
          </w:p>
          <w:p>
            <w:pPr>
              <w:pStyle w:val="TableParagraph"/>
              <w:spacing w:line="224" w:lineRule="exact" w:before="0"/>
              <w:ind w:left="467"/>
              <w:rPr>
                <w:rFonts w:ascii="Calibri"/>
                <w:sz w:val="20"/>
              </w:rPr>
            </w:pPr>
            <w:r>
              <w:rPr>
                <w:rFonts w:ascii="Calibri"/>
                <w:sz w:val="20"/>
              </w:rPr>
              <w:t>and</w:t>
            </w:r>
            <w:r>
              <w:rPr>
                <w:rFonts w:ascii="Calibri"/>
                <w:spacing w:val="-5"/>
                <w:sz w:val="20"/>
              </w:rPr>
              <w:t> </w:t>
            </w:r>
            <w:r>
              <w:rPr>
                <w:rFonts w:ascii="Calibri"/>
                <w:sz w:val="20"/>
              </w:rPr>
              <w:t>Border</w:t>
            </w:r>
            <w:r>
              <w:rPr>
                <w:rFonts w:ascii="Calibri"/>
                <w:spacing w:val="-5"/>
                <w:sz w:val="20"/>
              </w:rPr>
              <w:t> </w:t>
            </w:r>
            <w:r>
              <w:rPr>
                <w:rFonts w:ascii="Calibri"/>
                <w:spacing w:val="-2"/>
                <w:sz w:val="20"/>
              </w:rPr>
              <w:t>Patrol</w:t>
            </w:r>
          </w:p>
        </w:tc>
        <w:tc>
          <w:tcPr>
            <w:tcW w:w="1891" w:type="dxa"/>
            <w:vMerge/>
            <w:tcBorders>
              <w:top w:val="nil"/>
              <w:left w:val="single" w:sz="8" w:space="0" w:color="9BBA58"/>
              <w:right w:val="single" w:sz="8" w:space="0" w:color="9BBA58"/>
            </w:tcBorders>
          </w:tcPr>
          <w:p>
            <w:pPr>
              <w:rPr>
                <w:sz w:val="2"/>
                <w:szCs w:val="2"/>
              </w:rPr>
            </w:pPr>
          </w:p>
        </w:tc>
        <w:tc>
          <w:tcPr>
            <w:tcW w:w="1440" w:type="dxa"/>
            <w:vMerge/>
            <w:tcBorders>
              <w:top w:val="nil"/>
              <w:left w:val="single" w:sz="8" w:space="0" w:color="9BBA58"/>
              <w:right w:val="single" w:sz="8" w:space="0" w:color="9BBA58"/>
            </w:tcBorders>
          </w:tcPr>
          <w:p>
            <w:pPr>
              <w:rPr>
                <w:sz w:val="2"/>
                <w:szCs w:val="2"/>
              </w:rPr>
            </w:pPr>
          </w:p>
        </w:tc>
        <w:tc>
          <w:tcPr>
            <w:tcW w:w="2887" w:type="dxa"/>
            <w:vMerge/>
            <w:tcBorders>
              <w:top w:val="nil"/>
              <w:left w:val="single" w:sz="8" w:space="0" w:color="9BBA58"/>
              <w:right w:val="single" w:sz="8" w:space="0" w:color="9BBA58"/>
            </w:tcBorders>
          </w:tcPr>
          <w:p>
            <w:pPr>
              <w:rPr>
                <w:sz w:val="2"/>
                <w:szCs w:val="2"/>
              </w:rPr>
            </w:pPr>
          </w:p>
        </w:tc>
      </w:tr>
    </w:tbl>
    <w:p>
      <w:pPr>
        <w:pStyle w:val="BodyText"/>
        <w:spacing w:before="170"/>
        <w:rPr>
          <w:rFonts w:ascii="Arial"/>
          <w:b/>
          <w:sz w:val="18"/>
        </w:rPr>
      </w:pPr>
    </w:p>
    <w:p>
      <w:pPr>
        <w:spacing w:before="0" w:after="42"/>
        <w:ind w:left="791" w:right="0" w:firstLine="0"/>
        <w:jc w:val="left"/>
        <w:rPr>
          <w:rFonts w:ascii="Arial"/>
          <w:b/>
          <w:sz w:val="18"/>
        </w:rPr>
      </w:pPr>
      <w:bookmarkStart w:name="_bookmark332" w:id="1016"/>
      <w:bookmarkEnd w:id="1016"/>
      <w:r>
        <w:rPr/>
      </w:r>
      <w:r>
        <w:rPr>
          <w:rFonts w:ascii="Arial"/>
          <w:b/>
          <w:sz w:val="18"/>
        </w:rPr>
        <w:t>Table</w:t>
      </w:r>
      <w:r>
        <w:rPr>
          <w:rFonts w:ascii="Arial"/>
          <w:b/>
          <w:spacing w:val="-1"/>
          <w:sz w:val="18"/>
        </w:rPr>
        <w:t> </w:t>
      </w:r>
      <w:r>
        <w:rPr>
          <w:rFonts w:ascii="Arial"/>
          <w:b/>
          <w:sz w:val="18"/>
        </w:rPr>
        <w:t>G-3.</w:t>
      </w:r>
      <w:r>
        <w:rPr>
          <w:rFonts w:ascii="Arial"/>
          <w:b/>
          <w:spacing w:val="-4"/>
          <w:sz w:val="18"/>
        </w:rPr>
        <w:t> </w:t>
      </w:r>
      <w:r>
        <w:rPr>
          <w:rFonts w:ascii="Arial"/>
          <w:b/>
          <w:sz w:val="18"/>
        </w:rPr>
        <w:t>Designated</w:t>
      </w:r>
      <w:r>
        <w:rPr>
          <w:rFonts w:ascii="Arial"/>
          <w:b/>
          <w:spacing w:val="-3"/>
          <w:sz w:val="18"/>
        </w:rPr>
        <w:t> </w:t>
      </w:r>
      <w:r>
        <w:rPr>
          <w:rFonts w:ascii="Arial"/>
          <w:b/>
          <w:sz w:val="18"/>
        </w:rPr>
        <w:t>energy</w:t>
      </w:r>
      <w:r>
        <w:rPr>
          <w:rFonts w:ascii="Arial"/>
          <w:b/>
          <w:spacing w:val="-6"/>
          <w:sz w:val="18"/>
        </w:rPr>
        <w:t> </w:t>
      </w:r>
      <w:r>
        <w:rPr>
          <w:rFonts w:ascii="Arial"/>
          <w:b/>
          <w:sz w:val="18"/>
        </w:rPr>
        <w:t>and</w:t>
      </w:r>
      <w:r>
        <w:rPr>
          <w:rFonts w:ascii="Arial"/>
          <w:b/>
          <w:spacing w:val="-1"/>
          <w:sz w:val="18"/>
        </w:rPr>
        <w:t> </w:t>
      </w:r>
      <w:r>
        <w:rPr>
          <w:rFonts w:ascii="Arial"/>
          <w:b/>
          <w:sz w:val="18"/>
        </w:rPr>
        <w:t>utility</w:t>
      </w:r>
      <w:r>
        <w:rPr>
          <w:rFonts w:ascii="Arial"/>
          <w:b/>
          <w:spacing w:val="-9"/>
          <w:sz w:val="18"/>
        </w:rPr>
        <w:t> </w:t>
      </w:r>
      <w:r>
        <w:rPr>
          <w:rFonts w:ascii="Arial"/>
          <w:b/>
          <w:sz w:val="18"/>
        </w:rPr>
        <w:t>corridors</w:t>
      </w:r>
      <w:r>
        <w:rPr>
          <w:rFonts w:ascii="Arial"/>
          <w:b/>
          <w:spacing w:val="-1"/>
          <w:sz w:val="18"/>
        </w:rPr>
        <w:t> </w:t>
      </w:r>
      <w:r>
        <w:rPr>
          <w:rFonts w:ascii="Arial"/>
          <w:b/>
          <w:sz w:val="18"/>
        </w:rPr>
        <w:t>on</w:t>
      </w:r>
      <w:r>
        <w:rPr>
          <w:rFonts w:ascii="Arial"/>
          <w:b/>
          <w:spacing w:val="-2"/>
          <w:sz w:val="18"/>
        </w:rPr>
        <w:t> </w:t>
      </w:r>
      <w:r>
        <w:rPr>
          <w:rFonts w:ascii="Arial"/>
          <w:b/>
          <w:sz w:val="18"/>
        </w:rPr>
        <w:t>the</w:t>
      </w:r>
      <w:r>
        <w:rPr>
          <w:rFonts w:ascii="Arial"/>
          <w:b/>
          <w:spacing w:val="-4"/>
          <w:sz w:val="18"/>
        </w:rPr>
        <w:t> </w:t>
      </w:r>
      <w:r>
        <w:rPr>
          <w:rFonts w:ascii="Arial"/>
          <w:b/>
          <w:sz w:val="18"/>
        </w:rPr>
        <w:t>Colville National</w:t>
      </w:r>
      <w:r>
        <w:rPr>
          <w:rFonts w:ascii="Arial"/>
          <w:b/>
          <w:spacing w:val="-2"/>
          <w:sz w:val="18"/>
        </w:rPr>
        <w:t> Forest</w:t>
      </w:r>
    </w:p>
    <w:tbl>
      <w:tblPr>
        <w:tblW w:w="0" w:type="auto"/>
        <w:jc w:val="left"/>
        <w:tblInd w:w="801"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1795"/>
        <w:gridCol w:w="2160"/>
        <w:gridCol w:w="2700"/>
        <w:gridCol w:w="2263"/>
      </w:tblGrid>
      <w:tr>
        <w:trPr>
          <w:trHeight w:val="287" w:hRule="atLeast"/>
        </w:trPr>
        <w:tc>
          <w:tcPr>
            <w:tcW w:w="1795" w:type="dxa"/>
            <w:shd w:val="clear" w:color="auto" w:fill="D5E2BB"/>
          </w:tcPr>
          <w:p>
            <w:pPr>
              <w:pStyle w:val="TableParagraph"/>
              <w:ind w:left="11" w:right="7"/>
              <w:jc w:val="center"/>
              <w:rPr>
                <w:b/>
                <w:sz w:val="18"/>
              </w:rPr>
            </w:pPr>
            <w:r>
              <w:rPr>
                <w:b/>
                <w:sz w:val="18"/>
              </w:rPr>
              <w:t>Energy</w:t>
            </w:r>
            <w:r>
              <w:rPr>
                <w:b/>
                <w:spacing w:val="-8"/>
                <w:sz w:val="18"/>
              </w:rPr>
              <w:t> </w:t>
            </w:r>
            <w:r>
              <w:rPr>
                <w:b/>
                <w:spacing w:val="-4"/>
                <w:sz w:val="18"/>
              </w:rPr>
              <w:t>type</w:t>
            </w:r>
          </w:p>
        </w:tc>
        <w:tc>
          <w:tcPr>
            <w:tcW w:w="2160" w:type="dxa"/>
            <w:shd w:val="clear" w:color="auto" w:fill="D5E2BB"/>
          </w:tcPr>
          <w:p>
            <w:pPr>
              <w:pStyle w:val="TableParagraph"/>
              <w:ind w:left="12"/>
              <w:jc w:val="center"/>
              <w:rPr>
                <w:b/>
                <w:sz w:val="18"/>
              </w:rPr>
            </w:pPr>
            <w:r>
              <w:rPr>
                <w:b/>
                <w:sz w:val="18"/>
              </w:rPr>
              <w:t>Ranger</w:t>
            </w:r>
            <w:r>
              <w:rPr>
                <w:b/>
                <w:spacing w:val="-4"/>
                <w:sz w:val="18"/>
              </w:rPr>
              <w:t> </w:t>
            </w:r>
            <w:r>
              <w:rPr>
                <w:b/>
                <w:spacing w:val="-2"/>
                <w:sz w:val="18"/>
              </w:rPr>
              <w:t>District</w:t>
            </w:r>
          </w:p>
        </w:tc>
        <w:tc>
          <w:tcPr>
            <w:tcW w:w="2700" w:type="dxa"/>
            <w:shd w:val="clear" w:color="auto" w:fill="D5E2BB"/>
          </w:tcPr>
          <w:p>
            <w:pPr>
              <w:pStyle w:val="TableParagraph"/>
              <w:ind w:left="527"/>
              <w:rPr>
                <w:b/>
                <w:sz w:val="18"/>
              </w:rPr>
            </w:pPr>
            <w:r>
              <w:rPr>
                <w:b/>
                <w:sz w:val="18"/>
              </w:rPr>
              <w:t>Line</w:t>
            </w:r>
            <w:r>
              <w:rPr>
                <w:b/>
                <w:spacing w:val="1"/>
                <w:sz w:val="18"/>
              </w:rPr>
              <w:t> </w:t>
            </w:r>
            <w:r>
              <w:rPr>
                <w:b/>
                <w:spacing w:val="-2"/>
                <w:sz w:val="18"/>
              </w:rPr>
              <w:t>Name/Number</w:t>
            </w:r>
          </w:p>
        </w:tc>
        <w:tc>
          <w:tcPr>
            <w:tcW w:w="2263" w:type="dxa"/>
            <w:shd w:val="clear" w:color="auto" w:fill="D5E2BB"/>
          </w:tcPr>
          <w:p>
            <w:pPr>
              <w:pStyle w:val="TableParagraph"/>
              <w:ind w:left="13"/>
              <w:jc w:val="center"/>
              <w:rPr>
                <w:b/>
                <w:sz w:val="18"/>
              </w:rPr>
            </w:pPr>
            <w:r>
              <w:rPr>
                <w:b/>
                <w:sz w:val="18"/>
              </w:rPr>
              <w:t>Permit</w:t>
            </w:r>
            <w:r>
              <w:rPr>
                <w:b/>
                <w:spacing w:val="-2"/>
                <w:sz w:val="18"/>
              </w:rPr>
              <w:t> holder</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5"/>
              <w:jc w:val="center"/>
              <w:rPr>
                <w:sz w:val="18"/>
              </w:rPr>
            </w:pPr>
            <w:r>
              <w:rPr>
                <w:spacing w:val="-2"/>
                <w:sz w:val="18"/>
              </w:rPr>
              <w:t>Newport</w:t>
            </w:r>
          </w:p>
        </w:tc>
        <w:tc>
          <w:tcPr>
            <w:tcW w:w="2700" w:type="dxa"/>
          </w:tcPr>
          <w:p>
            <w:pPr>
              <w:pStyle w:val="TableParagraph"/>
              <w:ind w:left="568" w:hanging="15"/>
              <w:rPr>
                <w:sz w:val="18"/>
              </w:rPr>
            </w:pPr>
            <w:r>
              <w:rPr>
                <w:sz w:val="18"/>
              </w:rPr>
              <w:t>Addy-Cusick</w:t>
            </w:r>
            <w:r>
              <w:rPr>
                <w:spacing w:val="-15"/>
                <w:sz w:val="18"/>
              </w:rPr>
              <w:t> </w:t>
            </w:r>
            <w:r>
              <w:rPr>
                <w:sz w:val="18"/>
              </w:rPr>
              <w:t>-</w:t>
            </w:r>
            <w:r>
              <w:rPr>
                <w:spacing w:val="-12"/>
                <w:sz w:val="18"/>
              </w:rPr>
              <w:t> </w:t>
            </w:r>
            <w:r>
              <w:rPr>
                <w:sz w:val="18"/>
              </w:rPr>
              <w:t>LUGI Supplement*</w:t>
            </w:r>
            <w:r>
              <w:rPr>
                <w:spacing w:val="-6"/>
                <w:sz w:val="18"/>
              </w:rPr>
              <w:t> </w:t>
            </w:r>
            <w:r>
              <w:rPr>
                <w:sz w:val="18"/>
              </w:rPr>
              <w:t>No</w:t>
            </w:r>
            <w:r>
              <w:rPr>
                <w:spacing w:val="-2"/>
                <w:sz w:val="18"/>
              </w:rPr>
              <w:t> </w:t>
            </w:r>
            <w:r>
              <w:rPr>
                <w:spacing w:val="-5"/>
                <w:sz w:val="18"/>
              </w:rPr>
              <w:t>28</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3"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5"/>
              <w:jc w:val="center"/>
              <w:rPr>
                <w:sz w:val="18"/>
              </w:rPr>
            </w:pPr>
            <w:r>
              <w:rPr>
                <w:spacing w:val="-2"/>
                <w:sz w:val="18"/>
              </w:rPr>
              <w:t>Newport</w:t>
            </w:r>
          </w:p>
        </w:tc>
        <w:tc>
          <w:tcPr>
            <w:tcW w:w="2700" w:type="dxa"/>
          </w:tcPr>
          <w:p>
            <w:pPr>
              <w:pStyle w:val="TableParagraph"/>
              <w:spacing w:line="207" w:lineRule="exact"/>
              <w:ind w:left="11" w:right="2"/>
              <w:jc w:val="center"/>
              <w:rPr>
                <w:sz w:val="18"/>
              </w:rPr>
            </w:pPr>
            <w:r>
              <w:rPr>
                <w:sz w:val="18"/>
              </w:rPr>
              <w:t>Bell-Boundary</w:t>
            </w:r>
            <w:r>
              <w:rPr>
                <w:spacing w:val="-4"/>
                <w:sz w:val="18"/>
              </w:rPr>
              <w:t> </w:t>
            </w:r>
            <w:r>
              <w:rPr>
                <w:sz w:val="18"/>
              </w:rPr>
              <w:t>1,</w:t>
            </w:r>
            <w:r>
              <w:rPr>
                <w:spacing w:val="-3"/>
                <w:sz w:val="18"/>
              </w:rPr>
              <w:t> </w:t>
            </w:r>
            <w:r>
              <w:rPr>
                <w:sz w:val="18"/>
              </w:rPr>
              <w:t>2 &amp;</w:t>
            </w:r>
            <w:r>
              <w:rPr>
                <w:spacing w:val="-4"/>
                <w:sz w:val="18"/>
              </w:rPr>
              <w:t> </w:t>
            </w:r>
            <w:r>
              <w:rPr>
                <w:sz w:val="18"/>
              </w:rPr>
              <w:t>3 -</w:t>
            </w:r>
            <w:r>
              <w:rPr>
                <w:spacing w:val="-1"/>
                <w:sz w:val="18"/>
              </w:rPr>
              <w:t> </w:t>
            </w:r>
            <w:r>
              <w:rPr>
                <w:spacing w:val="-4"/>
                <w:sz w:val="18"/>
              </w:rPr>
              <w:t>LUGI</w:t>
            </w:r>
          </w:p>
          <w:p>
            <w:pPr>
              <w:pStyle w:val="TableParagraph"/>
              <w:spacing w:line="207" w:lineRule="exact" w:before="0"/>
              <w:ind w:left="11" w:right="1"/>
              <w:jc w:val="center"/>
              <w:rPr>
                <w:sz w:val="18"/>
              </w:rPr>
            </w:pPr>
            <w:r>
              <w:rPr>
                <w:sz w:val="18"/>
              </w:rPr>
              <w:t>Supp.</w:t>
            </w:r>
            <w:r>
              <w:rPr>
                <w:spacing w:val="-1"/>
                <w:sz w:val="18"/>
              </w:rPr>
              <w:t> </w:t>
            </w:r>
            <w:r>
              <w:rPr>
                <w:spacing w:val="-5"/>
                <w:sz w:val="18"/>
              </w:rPr>
              <w:t>#43</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3"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z w:val="18"/>
              </w:rPr>
              <w:t>Sullivan</w:t>
            </w:r>
            <w:r>
              <w:rPr>
                <w:spacing w:val="-7"/>
                <w:sz w:val="18"/>
              </w:rPr>
              <w:t> </w:t>
            </w:r>
            <w:r>
              <w:rPr>
                <w:spacing w:val="-4"/>
                <w:sz w:val="18"/>
              </w:rPr>
              <w:t>Lake</w:t>
            </w:r>
          </w:p>
        </w:tc>
        <w:tc>
          <w:tcPr>
            <w:tcW w:w="2700" w:type="dxa"/>
          </w:tcPr>
          <w:p>
            <w:pPr>
              <w:pStyle w:val="TableParagraph"/>
              <w:ind w:left="1200" w:hanging="1092"/>
              <w:rPr>
                <w:sz w:val="18"/>
              </w:rPr>
            </w:pPr>
            <w:r>
              <w:rPr>
                <w:sz w:val="18"/>
              </w:rPr>
              <w:t>Bell-Boundary</w:t>
            </w:r>
            <w:r>
              <w:rPr>
                <w:spacing w:val="-11"/>
                <w:sz w:val="18"/>
              </w:rPr>
              <w:t> </w:t>
            </w:r>
            <w:r>
              <w:rPr>
                <w:sz w:val="18"/>
              </w:rPr>
              <w:t>#3</w:t>
            </w:r>
            <w:r>
              <w:rPr>
                <w:spacing w:val="-10"/>
                <w:sz w:val="18"/>
              </w:rPr>
              <w:t> </w:t>
            </w:r>
            <w:r>
              <w:rPr>
                <w:sz w:val="18"/>
              </w:rPr>
              <w:t>-</w:t>
            </w:r>
            <w:r>
              <w:rPr>
                <w:spacing w:val="-10"/>
                <w:sz w:val="18"/>
              </w:rPr>
              <w:t> </w:t>
            </w:r>
            <w:r>
              <w:rPr>
                <w:sz w:val="18"/>
              </w:rPr>
              <w:t>LUGI</w:t>
            </w:r>
            <w:r>
              <w:rPr>
                <w:spacing w:val="-10"/>
                <w:sz w:val="18"/>
              </w:rPr>
              <w:t> </w:t>
            </w:r>
            <w:r>
              <w:rPr>
                <w:sz w:val="18"/>
              </w:rPr>
              <w:t>Supp. </w:t>
            </w:r>
            <w:r>
              <w:rPr>
                <w:spacing w:val="-4"/>
                <w:sz w:val="18"/>
              </w:rPr>
              <w:t>#53</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3"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z w:val="18"/>
              </w:rPr>
              <w:t>Sullivan</w:t>
            </w:r>
            <w:r>
              <w:rPr>
                <w:spacing w:val="-7"/>
                <w:sz w:val="18"/>
              </w:rPr>
              <w:t> </w:t>
            </w:r>
            <w:r>
              <w:rPr>
                <w:spacing w:val="-4"/>
                <w:sz w:val="18"/>
              </w:rPr>
              <w:t>Lake</w:t>
            </w:r>
          </w:p>
        </w:tc>
        <w:tc>
          <w:tcPr>
            <w:tcW w:w="2700" w:type="dxa"/>
          </w:tcPr>
          <w:p>
            <w:pPr>
              <w:pStyle w:val="TableParagraph"/>
              <w:ind w:left="1200" w:hanging="1071"/>
              <w:rPr>
                <w:sz w:val="18"/>
              </w:rPr>
            </w:pPr>
            <w:r>
              <w:rPr>
                <w:sz w:val="18"/>
              </w:rPr>
              <w:t>Box</w:t>
            </w:r>
            <w:r>
              <w:rPr>
                <w:spacing w:val="-11"/>
                <w:sz w:val="18"/>
              </w:rPr>
              <w:t> </w:t>
            </w:r>
            <w:r>
              <w:rPr>
                <w:sz w:val="18"/>
              </w:rPr>
              <w:t>Canyon</w:t>
            </w:r>
            <w:r>
              <w:rPr>
                <w:spacing w:val="-6"/>
                <w:sz w:val="18"/>
              </w:rPr>
              <w:t> </w:t>
            </w:r>
            <w:r>
              <w:rPr>
                <w:sz w:val="18"/>
              </w:rPr>
              <w:t>Tap</w:t>
            </w:r>
            <w:r>
              <w:rPr>
                <w:spacing w:val="-6"/>
                <w:sz w:val="18"/>
              </w:rPr>
              <w:t> </w:t>
            </w:r>
            <w:r>
              <w:rPr>
                <w:sz w:val="18"/>
              </w:rPr>
              <w:t>-</w:t>
            </w:r>
            <w:r>
              <w:rPr>
                <w:spacing w:val="-7"/>
                <w:sz w:val="18"/>
              </w:rPr>
              <w:t> </w:t>
            </w:r>
            <w:r>
              <w:rPr>
                <w:sz w:val="18"/>
              </w:rPr>
              <w:t>LUGI</w:t>
            </w:r>
            <w:r>
              <w:rPr>
                <w:spacing w:val="-7"/>
                <w:sz w:val="18"/>
              </w:rPr>
              <w:t> </w:t>
            </w:r>
            <w:r>
              <w:rPr>
                <w:sz w:val="18"/>
              </w:rPr>
              <w:t>Supp. </w:t>
            </w:r>
            <w:r>
              <w:rPr>
                <w:spacing w:val="-4"/>
                <w:sz w:val="18"/>
              </w:rPr>
              <w:t>#48</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z w:val="18"/>
              </w:rPr>
              <w:t>Sullivan</w:t>
            </w:r>
            <w:r>
              <w:rPr>
                <w:spacing w:val="-7"/>
                <w:sz w:val="18"/>
              </w:rPr>
              <w:t> </w:t>
            </w:r>
            <w:r>
              <w:rPr>
                <w:spacing w:val="-4"/>
                <w:sz w:val="18"/>
              </w:rPr>
              <w:t>Lake</w:t>
            </w:r>
          </w:p>
        </w:tc>
        <w:tc>
          <w:tcPr>
            <w:tcW w:w="2700" w:type="dxa"/>
          </w:tcPr>
          <w:p>
            <w:pPr>
              <w:pStyle w:val="TableParagraph"/>
              <w:ind w:left="938" w:hanging="716"/>
              <w:rPr>
                <w:sz w:val="18"/>
              </w:rPr>
            </w:pPr>
            <w:r>
              <w:rPr>
                <w:sz w:val="18"/>
              </w:rPr>
              <w:t>Boundary-Cranbrook</w:t>
            </w:r>
            <w:r>
              <w:rPr>
                <w:spacing w:val="-15"/>
                <w:sz w:val="18"/>
              </w:rPr>
              <w:t> </w:t>
            </w:r>
            <w:r>
              <w:rPr>
                <w:sz w:val="18"/>
              </w:rPr>
              <w:t>-</w:t>
            </w:r>
            <w:r>
              <w:rPr>
                <w:spacing w:val="-12"/>
                <w:sz w:val="18"/>
              </w:rPr>
              <w:t> </w:t>
            </w:r>
            <w:r>
              <w:rPr>
                <w:sz w:val="18"/>
              </w:rPr>
              <w:t>LUGI Supp. #47</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3"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z w:val="18"/>
              </w:rPr>
              <w:t>Sullivan</w:t>
            </w:r>
            <w:r>
              <w:rPr>
                <w:spacing w:val="-7"/>
                <w:sz w:val="18"/>
              </w:rPr>
              <w:t> </w:t>
            </w:r>
            <w:r>
              <w:rPr>
                <w:spacing w:val="-4"/>
                <w:sz w:val="18"/>
              </w:rPr>
              <w:t>Lake</w:t>
            </w:r>
          </w:p>
        </w:tc>
        <w:tc>
          <w:tcPr>
            <w:tcW w:w="2700" w:type="dxa"/>
          </w:tcPr>
          <w:p>
            <w:pPr>
              <w:pStyle w:val="TableParagraph"/>
              <w:spacing w:line="207" w:lineRule="exact"/>
              <w:ind w:left="11" w:right="1"/>
              <w:jc w:val="center"/>
              <w:rPr>
                <w:sz w:val="18"/>
              </w:rPr>
            </w:pPr>
            <w:r>
              <w:rPr>
                <w:sz w:val="18"/>
              </w:rPr>
              <w:t>Bell-Boundary</w:t>
            </w:r>
            <w:r>
              <w:rPr>
                <w:spacing w:val="-4"/>
                <w:sz w:val="18"/>
              </w:rPr>
              <w:t> </w:t>
            </w:r>
            <w:r>
              <w:rPr>
                <w:sz w:val="18"/>
              </w:rPr>
              <w:t>1,</w:t>
            </w:r>
            <w:r>
              <w:rPr>
                <w:spacing w:val="-3"/>
                <w:sz w:val="18"/>
              </w:rPr>
              <w:t> </w:t>
            </w:r>
            <w:r>
              <w:rPr>
                <w:sz w:val="18"/>
              </w:rPr>
              <w:t>2 &amp;</w:t>
            </w:r>
            <w:r>
              <w:rPr>
                <w:spacing w:val="-4"/>
                <w:sz w:val="18"/>
              </w:rPr>
              <w:t> </w:t>
            </w:r>
            <w:r>
              <w:rPr>
                <w:sz w:val="18"/>
              </w:rPr>
              <w:t>3 -</w:t>
            </w:r>
            <w:r>
              <w:rPr>
                <w:spacing w:val="-1"/>
                <w:sz w:val="18"/>
              </w:rPr>
              <w:t> </w:t>
            </w:r>
            <w:r>
              <w:rPr>
                <w:spacing w:val="-4"/>
                <w:sz w:val="18"/>
              </w:rPr>
              <w:t>LUGI</w:t>
            </w:r>
          </w:p>
          <w:p>
            <w:pPr>
              <w:pStyle w:val="TableParagraph"/>
              <w:spacing w:line="207" w:lineRule="exact" w:before="0"/>
              <w:ind w:left="11" w:right="1"/>
              <w:jc w:val="center"/>
              <w:rPr>
                <w:sz w:val="18"/>
              </w:rPr>
            </w:pPr>
            <w:r>
              <w:rPr>
                <w:sz w:val="18"/>
              </w:rPr>
              <w:t>Supp.</w:t>
            </w:r>
            <w:r>
              <w:rPr>
                <w:spacing w:val="-1"/>
                <w:sz w:val="18"/>
              </w:rPr>
              <w:t> </w:t>
            </w:r>
            <w:r>
              <w:rPr>
                <w:spacing w:val="-5"/>
                <w:sz w:val="18"/>
              </w:rPr>
              <w:t>#43</w:t>
            </w:r>
          </w:p>
        </w:tc>
        <w:tc>
          <w:tcPr>
            <w:tcW w:w="2263" w:type="dxa"/>
          </w:tcPr>
          <w:p>
            <w:pPr>
              <w:pStyle w:val="TableParagraph"/>
              <w:ind w:left="13" w:right="2"/>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z w:val="18"/>
              </w:rPr>
              <w:t>Sullivan</w:t>
            </w:r>
            <w:r>
              <w:rPr>
                <w:spacing w:val="-7"/>
                <w:sz w:val="18"/>
              </w:rPr>
              <w:t> </w:t>
            </w:r>
            <w:r>
              <w:rPr>
                <w:spacing w:val="-4"/>
                <w:sz w:val="18"/>
              </w:rPr>
              <w:t>Lake</w:t>
            </w:r>
          </w:p>
        </w:tc>
        <w:tc>
          <w:tcPr>
            <w:tcW w:w="2700" w:type="dxa"/>
          </w:tcPr>
          <w:p>
            <w:pPr>
              <w:pStyle w:val="TableParagraph"/>
              <w:ind w:left="254" w:hanging="142"/>
              <w:rPr>
                <w:sz w:val="18"/>
              </w:rPr>
            </w:pPr>
            <w:r>
              <w:rPr>
                <w:sz w:val="18"/>
              </w:rPr>
              <w:t>Colville-Boundary</w:t>
            </w:r>
            <w:r>
              <w:rPr>
                <w:spacing w:val="-13"/>
                <w:sz w:val="18"/>
              </w:rPr>
              <w:t> </w:t>
            </w:r>
            <w:r>
              <w:rPr>
                <w:sz w:val="18"/>
              </w:rPr>
              <w:t>No.</w:t>
            </w:r>
            <w:r>
              <w:rPr>
                <w:spacing w:val="-12"/>
                <w:sz w:val="18"/>
              </w:rPr>
              <w:t> </w:t>
            </w:r>
            <w:r>
              <w:rPr>
                <w:sz w:val="18"/>
              </w:rPr>
              <w:t>1</w:t>
            </w:r>
            <w:r>
              <w:rPr>
                <w:spacing w:val="-12"/>
                <w:sz w:val="18"/>
              </w:rPr>
              <w:t> </w:t>
            </w:r>
            <w:r>
              <w:rPr>
                <w:sz w:val="18"/>
              </w:rPr>
              <w:t>(Spirit- Metaline) - LUGI Supp. #44</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1"/>
              <w:jc w:val="center"/>
              <w:rPr>
                <w:sz w:val="18"/>
              </w:rPr>
            </w:pPr>
            <w:r>
              <w:rPr>
                <w:spacing w:val="-2"/>
                <w:sz w:val="18"/>
              </w:rPr>
              <w:t>Republic</w:t>
            </w:r>
          </w:p>
        </w:tc>
        <w:tc>
          <w:tcPr>
            <w:tcW w:w="2700" w:type="dxa"/>
          </w:tcPr>
          <w:p>
            <w:pPr>
              <w:pStyle w:val="TableParagraph"/>
              <w:ind w:left="1199" w:hanging="1071"/>
              <w:rPr>
                <w:sz w:val="18"/>
              </w:rPr>
            </w:pPr>
            <w:r>
              <w:rPr>
                <w:sz w:val="18"/>
              </w:rPr>
              <w:t>Colville-Republic</w:t>
            </w:r>
            <w:r>
              <w:rPr>
                <w:spacing w:val="-12"/>
                <w:sz w:val="18"/>
              </w:rPr>
              <w:t> </w:t>
            </w:r>
            <w:r>
              <w:rPr>
                <w:sz w:val="18"/>
              </w:rPr>
              <w:t>-</w:t>
            </w:r>
            <w:r>
              <w:rPr>
                <w:spacing w:val="-12"/>
                <w:sz w:val="18"/>
              </w:rPr>
              <w:t> </w:t>
            </w:r>
            <w:r>
              <w:rPr>
                <w:sz w:val="18"/>
              </w:rPr>
              <w:t>LUGI</w:t>
            </w:r>
            <w:r>
              <w:rPr>
                <w:spacing w:val="-12"/>
                <w:sz w:val="18"/>
              </w:rPr>
              <w:t> </w:t>
            </w:r>
            <w:r>
              <w:rPr>
                <w:sz w:val="18"/>
              </w:rPr>
              <w:t>Supp. </w:t>
            </w:r>
            <w:r>
              <w:rPr>
                <w:spacing w:val="-4"/>
                <w:sz w:val="18"/>
              </w:rPr>
              <w:t>#45</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4"/>
              <w:jc w:val="center"/>
              <w:rPr>
                <w:sz w:val="18"/>
              </w:rPr>
            </w:pPr>
            <w:r>
              <w:rPr>
                <w:sz w:val="18"/>
              </w:rPr>
              <w:t>Three</w:t>
            </w:r>
            <w:r>
              <w:rPr>
                <w:spacing w:val="-3"/>
                <w:sz w:val="18"/>
              </w:rPr>
              <w:t> </w:t>
            </w:r>
            <w:r>
              <w:rPr>
                <w:spacing w:val="-2"/>
                <w:sz w:val="18"/>
              </w:rPr>
              <w:t>Rivers</w:t>
            </w:r>
          </w:p>
        </w:tc>
        <w:tc>
          <w:tcPr>
            <w:tcW w:w="2700" w:type="dxa"/>
          </w:tcPr>
          <w:p>
            <w:pPr>
              <w:pStyle w:val="TableParagraph"/>
              <w:ind w:left="1199" w:hanging="1092"/>
              <w:rPr>
                <w:sz w:val="18"/>
              </w:rPr>
            </w:pPr>
            <w:r>
              <w:rPr>
                <w:sz w:val="18"/>
              </w:rPr>
              <w:t>Bell-Boundary</w:t>
            </w:r>
            <w:r>
              <w:rPr>
                <w:spacing w:val="-11"/>
                <w:sz w:val="18"/>
              </w:rPr>
              <w:t> </w:t>
            </w:r>
            <w:r>
              <w:rPr>
                <w:sz w:val="18"/>
              </w:rPr>
              <w:t>#3</w:t>
            </w:r>
            <w:r>
              <w:rPr>
                <w:spacing w:val="-9"/>
                <w:sz w:val="18"/>
              </w:rPr>
              <w:t> </w:t>
            </w:r>
            <w:r>
              <w:rPr>
                <w:sz w:val="18"/>
              </w:rPr>
              <w:t>-</w:t>
            </w:r>
            <w:r>
              <w:rPr>
                <w:spacing w:val="-10"/>
                <w:sz w:val="18"/>
              </w:rPr>
              <w:t> </w:t>
            </w:r>
            <w:r>
              <w:rPr>
                <w:sz w:val="18"/>
              </w:rPr>
              <w:t>LUGI</w:t>
            </w:r>
            <w:r>
              <w:rPr>
                <w:spacing w:val="-10"/>
                <w:sz w:val="18"/>
              </w:rPr>
              <w:t> </w:t>
            </w:r>
            <w:r>
              <w:rPr>
                <w:sz w:val="18"/>
              </w:rPr>
              <w:t>Supp. </w:t>
            </w:r>
            <w:r>
              <w:rPr>
                <w:spacing w:val="-4"/>
                <w:sz w:val="18"/>
              </w:rPr>
              <w:t>#53</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bl>
    <w:p>
      <w:pPr>
        <w:pStyle w:val="TableParagraph"/>
        <w:spacing w:after="0"/>
        <w:jc w:val="center"/>
        <w:rPr>
          <w:sz w:val="18"/>
        </w:rPr>
        <w:sectPr>
          <w:type w:val="continuous"/>
          <w:pgSz w:w="12240" w:h="15840"/>
          <w:pgMar w:header="725" w:footer="891" w:top="1420" w:bottom="1378" w:left="1080" w:right="1080"/>
        </w:sect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1795"/>
        <w:gridCol w:w="2160"/>
        <w:gridCol w:w="2700"/>
        <w:gridCol w:w="2263"/>
      </w:tblGrid>
      <w:tr>
        <w:trPr>
          <w:trHeight w:val="287" w:hRule="atLeast"/>
        </w:trPr>
        <w:tc>
          <w:tcPr>
            <w:tcW w:w="1795" w:type="dxa"/>
            <w:shd w:val="clear" w:color="auto" w:fill="D5E2BB"/>
          </w:tcPr>
          <w:p>
            <w:pPr>
              <w:pStyle w:val="TableParagraph"/>
              <w:ind w:left="11" w:right="7"/>
              <w:jc w:val="center"/>
              <w:rPr>
                <w:b/>
                <w:sz w:val="18"/>
              </w:rPr>
            </w:pPr>
            <w:r>
              <w:rPr>
                <w:b/>
                <w:sz w:val="18"/>
              </w:rPr>
              <w:t>Energy</w:t>
            </w:r>
            <w:r>
              <w:rPr>
                <w:b/>
                <w:spacing w:val="-7"/>
                <w:sz w:val="18"/>
              </w:rPr>
              <w:t> </w:t>
            </w:r>
            <w:r>
              <w:rPr>
                <w:b/>
                <w:spacing w:val="-4"/>
                <w:sz w:val="18"/>
              </w:rPr>
              <w:t>type</w:t>
            </w:r>
          </w:p>
        </w:tc>
        <w:tc>
          <w:tcPr>
            <w:tcW w:w="2160" w:type="dxa"/>
            <w:shd w:val="clear" w:color="auto" w:fill="D5E2BB"/>
          </w:tcPr>
          <w:p>
            <w:pPr>
              <w:pStyle w:val="TableParagraph"/>
              <w:ind w:left="12"/>
              <w:jc w:val="center"/>
              <w:rPr>
                <w:b/>
                <w:sz w:val="18"/>
              </w:rPr>
            </w:pPr>
            <w:r>
              <w:rPr>
                <w:b/>
                <w:sz w:val="18"/>
              </w:rPr>
              <w:t>Ranger</w:t>
            </w:r>
            <w:r>
              <w:rPr>
                <w:b/>
                <w:spacing w:val="-4"/>
                <w:sz w:val="18"/>
              </w:rPr>
              <w:t> </w:t>
            </w:r>
            <w:r>
              <w:rPr>
                <w:b/>
                <w:spacing w:val="-2"/>
                <w:sz w:val="18"/>
              </w:rPr>
              <w:t>District</w:t>
            </w:r>
          </w:p>
        </w:tc>
        <w:tc>
          <w:tcPr>
            <w:tcW w:w="2700" w:type="dxa"/>
            <w:shd w:val="clear" w:color="auto" w:fill="D5E2BB"/>
          </w:tcPr>
          <w:p>
            <w:pPr>
              <w:pStyle w:val="TableParagraph"/>
              <w:ind w:left="11" w:right="3"/>
              <w:jc w:val="center"/>
              <w:rPr>
                <w:b/>
                <w:sz w:val="18"/>
              </w:rPr>
            </w:pPr>
            <w:r>
              <w:rPr>
                <w:b/>
                <w:sz w:val="18"/>
              </w:rPr>
              <w:t>Line</w:t>
            </w:r>
            <w:r>
              <w:rPr>
                <w:b/>
                <w:spacing w:val="1"/>
                <w:sz w:val="18"/>
              </w:rPr>
              <w:t> </w:t>
            </w:r>
            <w:r>
              <w:rPr>
                <w:b/>
                <w:spacing w:val="-2"/>
                <w:sz w:val="18"/>
              </w:rPr>
              <w:t>Name/Number</w:t>
            </w:r>
          </w:p>
        </w:tc>
        <w:tc>
          <w:tcPr>
            <w:tcW w:w="2263" w:type="dxa"/>
            <w:shd w:val="clear" w:color="auto" w:fill="D5E2BB"/>
          </w:tcPr>
          <w:p>
            <w:pPr>
              <w:pStyle w:val="TableParagraph"/>
              <w:ind w:left="13"/>
              <w:jc w:val="center"/>
              <w:rPr>
                <w:b/>
                <w:sz w:val="18"/>
              </w:rPr>
            </w:pPr>
            <w:r>
              <w:rPr>
                <w:b/>
                <w:sz w:val="18"/>
              </w:rPr>
              <w:t>Permit</w:t>
            </w:r>
            <w:r>
              <w:rPr>
                <w:b/>
                <w:spacing w:val="-2"/>
                <w:sz w:val="18"/>
              </w:rPr>
              <w:t> holder</w:t>
            </w:r>
          </w:p>
        </w:tc>
      </w:tr>
      <w:tr>
        <w:trPr>
          <w:trHeight w:val="493"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4"/>
              <w:jc w:val="center"/>
              <w:rPr>
                <w:sz w:val="18"/>
              </w:rPr>
            </w:pPr>
            <w:r>
              <w:rPr>
                <w:sz w:val="18"/>
              </w:rPr>
              <w:t>Three</w:t>
            </w:r>
            <w:r>
              <w:rPr>
                <w:spacing w:val="-3"/>
                <w:sz w:val="18"/>
              </w:rPr>
              <w:t> </w:t>
            </w:r>
            <w:r>
              <w:rPr>
                <w:spacing w:val="-2"/>
                <w:sz w:val="18"/>
              </w:rPr>
              <w:t>Rivers</w:t>
            </w:r>
          </w:p>
        </w:tc>
        <w:tc>
          <w:tcPr>
            <w:tcW w:w="2700" w:type="dxa"/>
          </w:tcPr>
          <w:p>
            <w:pPr>
              <w:pStyle w:val="TableParagraph"/>
              <w:ind w:left="1199" w:hanging="1071"/>
              <w:rPr>
                <w:sz w:val="18"/>
              </w:rPr>
            </w:pPr>
            <w:r>
              <w:rPr>
                <w:sz w:val="18"/>
              </w:rPr>
              <w:t>Colville-Republic</w:t>
            </w:r>
            <w:r>
              <w:rPr>
                <w:spacing w:val="-12"/>
                <w:sz w:val="18"/>
              </w:rPr>
              <w:t> </w:t>
            </w:r>
            <w:r>
              <w:rPr>
                <w:sz w:val="18"/>
              </w:rPr>
              <w:t>-</w:t>
            </w:r>
            <w:r>
              <w:rPr>
                <w:spacing w:val="-12"/>
                <w:sz w:val="18"/>
              </w:rPr>
              <w:t> </w:t>
            </w:r>
            <w:r>
              <w:rPr>
                <w:sz w:val="18"/>
              </w:rPr>
              <w:t>LUGI</w:t>
            </w:r>
            <w:r>
              <w:rPr>
                <w:spacing w:val="-12"/>
                <w:sz w:val="18"/>
              </w:rPr>
              <w:t> </w:t>
            </w:r>
            <w:r>
              <w:rPr>
                <w:sz w:val="18"/>
              </w:rPr>
              <w:t>Supp. </w:t>
            </w:r>
            <w:r>
              <w:rPr>
                <w:spacing w:val="-4"/>
                <w:sz w:val="18"/>
              </w:rPr>
              <w:t>#45</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4"/>
              <w:jc w:val="center"/>
              <w:rPr>
                <w:sz w:val="18"/>
              </w:rPr>
            </w:pPr>
            <w:r>
              <w:rPr>
                <w:sz w:val="18"/>
              </w:rPr>
              <w:t>Three</w:t>
            </w:r>
            <w:r>
              <w:rPr>
                <w:spacing w:val="-3"/>
                <w:sz w:val="18"/>
              </w:rPr>
              <w:t> </w:t>
            </w:r>
            <w:r>
              <w:rPr>
                <w:spacing w:val="-2"/>
                <w:sz w:val="18"/>
              </w:rPr>
              <w:t>Rivers</w:t>
            </w:r>
          </w:p>
        </w:tc>
        <w:tc>
          <w:tcPr>
            <w:tcW w:w="2700" w:type="dxa"/>
          </w:tcPr>
          <w:p>
            <w:pPr>
              <w:pStyle w:val="TableParagraph"/>
              <w:ind w:left="1199" w:hanging="1071"/>
              <w:rPr>
                <w:sz w:val="18"/>
              </w:rPr>
            </w:pPr>
            <w:r>
              <w:rPr>
                <w:sz w:val="18"/>
              </w:rPr>
              <w:t>Colville-Republic</w:t>
            </w:r>
            <w:r>
              <w:rPr>
                <w:spacing w:val="-12"/>
                <w:sz w:val="18"/>
              </w:rPr>
              <w:t> </w:t>
            </w:r>
            <w:r>
              <w:rPr>
                <w:sz w:val="18"/>
              </w:rPr>
              <w:t>-</w:t>
            </w:r>
            <w:r>
              <w:rPr>
                <w:spacing w:val="-11"/>
                <w:sz w:val="18"/>
              </w:rPr>
              <w:t> </w:t>
            </w:r>
            <w:r>
              <w:rPr>
                <w:sz w:val="18"/>
              </w:rPr>
              <w:t>LUGI</w:t>
            </w:r>
            <w:r>
              <w:rPr>
                <w:spacing w:val="-11"/>
                <w:sz w:val="18"/>
              </w:rPr>
              <w:t> </w:t>
            </w:r>
            <w:r>
              <w:rPr>
                <w:sz w:val="18"/>
              </w:rPr>
              <w:t>Supp. </w:t>
            </w:r>
            <w:r>
              <w:rPr>
                <w:spacing w:val="-4"/>
                <w:sz w:val="18"/>
              </w:rPr>
              <w:t>#45</w:t>
            </w:r>
          </w:p>
        </w:tc>
        <w:tc>
          <w:tcPr>
            <w:tcW w:w="2263" w:type="dxa"/>
          </w:tcPr>
          <w:p>
            <w:pPr>
              <w:pStyle w:val="TableParagraph"/>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700"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12" w:right="4"/>
              <w:jc w:val="center"/>
              <w:rPr>
                <w:sz w:val="18"/>
              </w:rPr>
            </w:pPr>
            <w:r>
              <w:rPr>
                <w:sz w:val="18"/>
              </w:rPr>
              <w:t>Three</w:t>
            </w:r>
            <w:r>
              <w:rPr>
                <w:spacing w:val="-3"/>
                <w:sz w:val="18"/>
              </w:rPr>
              <w:t> </w:t>
            </w:r>
            <w:r>
              <w:rPr>
                <w:spacing w:val="-2"/>
                <w:sz w:val="18"/>
              </w:rPr>
              <w:t>Rivers</w:t>
            </w:r>
          </w:p>
        </w:tc>
        <w:tc>
          <w:tcPr>
            <w:tcW w:w="2700" w:type="dxa"/>
          </w:tcPr>
          <w:p>
            <w:pPr>
              <w:pStyle w:val="TableParagraph"/>
              <w:ind w:left="213" w:right="201" w:hanging="2"/>
              <w:jc w:val="center"/>
              <w:rPr>
                <w:sz w:val="18"/>
              </w:rPr>
            </w:pPr>
            <w:r>
              <w:rPr>
                <w:sz w:val="18"/>
              </w:rPr>
              <w:t>Colville-Boundary No. 1 (Colville-Spirit)</w:t>
            </w:r>
            <w:r>
              <w:rPr>
                <w:spacing w:val="-13"/>
                <w:sz w:val="18"/>
              </w:rPr>
              <w:t> </w:t>
            </w:r>
            <w:r>
              <w:rPr>
                <w:sz w:val="18"/>
              </w:rPr>
              <w:t>-</w:t>
            </w:r>
            <w:r>
              <w:rPr>
                <w:spacing w:val="-11"/>
                <w:sz w:val="18"/>
              </w:rPr>
              <w:t> </w:t>
            </w:r>
            <w:r>
              <w:rPr>
                <w:sz w:val="18"/>
              </w:rPr>
              <w:t>LUGI</w:t>
            </w:r>
            <w:r>
              <w:rPr>
                <w:spacing w:val="-11"/>
                <w:sz w:val="18"/>
              </w:rPr>
              <w:t> </w:t>
            </w:r>
            <w:r>
              <w:rPr>
                <w:sz w:val="18"/>
              </w:rPr>
              <w:t>Supp. </w:t>
            </w:r>
            <w:r>
              <w:rPr>
                <w:spacing w:val="-4"/>
                <w:sz w:val="18"/>
              </w:rPr>
              <w:t>#44</w:t>
            </w:r>
          </w:p>
        </w:tc>
        <w:tc>
          <w:tcPr>
            <w:tcW w:w="2263" w:type="dxa"/>
          </w:tcPr>
          <w:p>
            <w:pPr>
              <w:pStyle w:val="TableParagraph"/>
              <w:spacing w:before="40"/>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702" w:hRule="atLeast"/>
        </w:trPr>
        <w:tc>
          <w:tcPr>
            <w:tcW w:w="1795" w:type="dxa"/>
          </w:tcPr>
          <w:p>
            <w:pPr>
              <w:pStyle w:val="TableParagraph"/>
              <w:spacing w:before="42"/>
              <w:ind w:left="11" w:right="2"/>
              <w:jc w:val="center"/>
              <w:rPr>
                <w:sz w:val="18"/>
              </w:rPr>
            </w:pPr>
            <w:r>
              <w:rPr>
                <w:spacing w:val="-2"/>
                <w:sz w:val="18"/>
              </w:rPr>
              <w:t>Powerline</w:t>
            </w:r>
          </w:p>
        </w:tc>
        <w:tc>
          <w:tcPr>
            <w:tcW w:w="2160" w:type="dxa"/>
          </w:tcPr>
          <w:p>
            <w:pPr>
              <w:pStyle w:val="TableParagraph"/>
              <w:spacing w:before="42"/>
              <w:ind w:left="12" w:right="4"/>
              <w:jc w:val="center"/>
              <w:rPr>
                <w:sz w:val="18"/>
              </w:rPr>
            </w:pPr>
            <w:r>
              <w:rPr>
                <w:sz w:val="18"/>
              </w:rPr>
              <w:t>Three</w:t>
            </w:r>
            <w:r>
              <w:rPr>
                <w:spacing w:val="-3"/>
                <w:sz w:val="18"/>
              </w:rPr>
              <w:t> </w:t>
            </w:r>
            <w:r>
              <w:rPr>
                <w:spacing w:val="-2"/>
                <w:sz w:val="18"/>
              </w:rPr>
              <w:t>Rivers</w:t>
            </w:r>
          </w:p>
        </w:tc>
        <w:tc>
          <w:tcPr>
            <w:tcW w:w="2700" w:type="dxa"/>
          </w:tcPr>
          <w:p>
            <w:pPr>
              <w:pStyle w:val="TableParagraph"/>
              <w:spacing w:before="40"/>
              <w:ind w:left="213" w:right="201" w:hanging="2"/>
              <w:jc w:val="center"/>
              <w:rPr>
                <w:sz w:val="18"/>
              </w:rPr>
            </w:pPr>
            <w:r>
              <w:rPr>
                <w:sz w:val="18"/>
              </w:rPr>
              <w:t>Colville-Boundary No. 1 (Colville-Spirit)</w:t>
            </w:r>
            <w:r>
              <w:rPr>
                <w:spacing w:val="-13"/>
                <w:sz w:val="18"/>
              </w:rPr>
              <w:t> </w:t>
            </w:r>
            <w:r>
              <w:rPr>
                <w:sz w:val="18"/>
              </w:rPr>
              <w:t>-</w:t>
            </w:r>
            <w:r>
              <w:rPr>
                <w:spacing w:val="-11"/>
                <w:sz w:val="18"/>
              </w:rPr>
              <w:t> </w:t>
            </w:r>
            <w:r>
              <w:rPr>
                <w:sz w:val="18"/>
              </w:rPr>
              <w:t>LUGI</w:t>
            </w:r>
            <w:r>
              <w:rPr>
                <w:spacing w:val="-11"/>
                <w:sz w:val="18"/>
              </w:rPr>
              <w:t> </w:t>
            </w:r>
            <w:r>
              <w:rPr>
                <w:sz w:val="18"/>
              </w:rPr>
              <w:t>Supp. </w:t>
            </w:r>
            <w:r>
              <w:rPr>
                <w:spacing w:val="-4"/>
                <w:sz w:val="18"/>
              </w:rPr>
              <w:t>#44</w:t>
            </w:r>
          </w:p>
        </w:tc>
        <w:tc>
          <w:tcPr>
            <w:tcW w:w="2263" w:type="dxa"/>
          </w:tcPr>
          <w:p>
            <w:pPr>
              <w:pStyle w:val="TableParagraph"/>
              <w:spacing w:before="42"/>
              <w:ind w:left="13" w:right="3"/>
              <w:jc w:val="center"/>
              <w:rPr>
                <w:sz w:val="18"/>
              </w:rPr>
            </w:pPr>
            <w:r>
              <w:rPr>
                <w:sz w:val="18"/>
              </w:rPr>
              <w:t>Dept</w:t>
            </w:r>
            <w:r>
              <w:rPr>
                <w:spacing w:val="-2"/>
                <w:sz w:val="18"/>
              </w:rPr>
              <w:t> </w:t>
            </w:r>
            <w:r>
              <w:rPr>
                <w:sz w:val="18"/>
              </w:rPr>
              <w:t>Of</w:t>
            </w:r>
            <w:r>
              <w:rPr>
                <w:spacing w:val="-2"/>
                <w:sz w:val="18"/>
              </w:rPr>
              <w:t> </w:t>
            </w:r>
            <w:r>
              <w:rPr>
                <w:sz w:val="18"/>
              </w:rPr>
              <w:t>Energy</w:t>
            </w:r>
            <w:r>
              <w:rPr>
                <w:spacing w:val="45"/>
                <w:sz w:val="18"/>
              </w:rPr>
              <w:t> </w:t>
            </w:r>
            <w:r>
              <w:rPr>
                <w:spacing w:val="-5"/>
                <w:sz w:val="18"/>
              </w:rPr>
              <w:t>BPA</w:t>
            </w:r>
          </w:p>
        </w:tc>
      </w:tr>
      <w:tr>
        <w:trPr>
          <w:trHeight w:val="494" w:hRule="atLeast"/>
        </w:trPr>
        <w:tc>
          <w:tcPr>
            <w:tcW w:w="1795" w:type="dxa"/>
          </w:tcPr>
          <w:p>
            <w:pPr>
              <w:pStyle w:val="TableParagraph"/>
              <w:ind w:left="11" w:right="2"/>
              <w:jc w:val="center"/>
              <w:rPr>
                <w:sz w:val="18"/>
              </w:rPr>
            </w:pPr>
            <w:r>
              <w:rPr>
                <w:spacing w:val="-2"/>
                <w:sz w:val="18"/>
              </w:rPr>
              <w:t>Powerline</w:t>
            </w:r>
          </w:p>
        </w:tc>
        <w:tc>
          <w:tcPr>
            <w:tcW w:w="2160" w:type="dxa"/>
          </w:tcPr>
          <w:p>
            <w:pPr>
              <w:pStyle w:val="TableParagraph"/>
              <w:ind w:left="883" w:hanging="656"/>
              <w:rPr>
                <w:sz w:val="18"/>
              </w:rPr>
            </w:pPr>
            <w:r>
              <w:rPr>
                <w:sz w:val="18"/>
              </w:rPr>
              <w:t>Newport</w:t>
            </w:r>
            <w:r>
              <w:rPr>
                <w:spacing w:val="-15"/>
                <w:sz w:val="18"/>
              </w:rPr>
              <w:t> </w:t>
            </w:r>
            <w:r>
              <w:rPr>
                <w:sz w:val="18"/>
              </w:rPr>
              <w:t>and</w:t>
            </w:r>
            <w:r>
              <w:rPr>
                <w:spacing w:val="-12"/>
                <w:sz w:val="18"/>
              </w:rPr>
              <w:t> </w:t>
            </w:r>
            <w:r>
              <w:rPr>
                <w:sz w:val="18"/>
              </w:rPr>
              <w:t>Sullivan </w:t>
            </w:r>
            <w:r>
              <w:rPr>
                <w:spacing w:val="-4"/>
                <w:sz w:val="18"/>
              </w:rPr>
              <w:t>Lake</w:t>
            </w:r>
          </w:p>
        </w:tc>
        <w:tc>
          <w:tcPr>
            <w:tcW w:w="2700" w:type="dxa"/>
          </w:tcPr>
          <w:p>
            <w:pPr>
              <w:pStyle w:val="TableParagraph"/>
              <w:ind w:left="11"/>
              <w:jc w:val="center"/>
              <w:rPr>
                <w:sz w:val="18"/>
              </w:rPr>
            </w:pPr>
            <w:r>
              <w:rPr>
                <w:sz w:val="18"/>
              </w:rPr>
              <w:t>Distribution</w:t>
            </w:r>
            <w:r>
              <w:rPr>
                <w:spacing w:val="-5"/>
                <w:sz w:val="18"/>
              </w:rPr>
              <w:t> </w:t>
            </w:r>
            <w:r>
              <w:rPr>
                <w:spacing w:val="-2"/>
                <w:sz w:val="18"/>
              </w:rPr>
              <w:t>voltages</w:t>
            </w:r>
          </w:p>
        </w:tc>
        <w:tc>
          <w:tcPr>
            <w:tcW w:w="2263" w:type="dxa"/>
          </w:tcPr>
          <w:p>
            <w:pPr>
              <w:pStyle w:val="TableParagraph"/>
              <w:ind w:left="844" w:hanging="550"/>
              <w:rPr>
                <w:sz w:val="18"/>
              </w:rPr>
            </w:pPr>
            <w:r>
              <w:rPr>
                <w:sz w:val="18"/>
              </w:rPr>
              <w:t>PUD</w:t>
            </w:r>
            <w:r>
              <w:rPr>
                <w:spacing w:val="-12"/>
                <w:sz w:val="18"/>
              </w:rPr>
              <w:t> </w:t>
            </w:r>
            <w:r>
              <w:rPr>
                <w:sz w:val="18"/>
              </w:rPr>
              <w:t>#1</w:t>
            </w:r>
            <w:r>
              <w:rPr>
                <w:spacing w:val="-11"/>
                <w:sz w:val="18"/>
              </w:rPr>
              <w:t> </w:t>
            </w:r>
            <w:r>
              <w:rPr>
                <w:sz w:val="18"/>
              </w:rPr>
              <w:t>Pend</w:t>
            </w:r>
            <w:r>
              <w:rPr>
                <w:spacing w:val="-13"/>
                <w:sz w:val="18"/>
              </w:rPr>
              <w:t> </w:t>
            </w:r>
            <w:r>
              <w:rPr>
                <w:sz w:val="18"/>
              </w:rPr>
              <w:t>Oreille </w:t>
            </w:r>
            <w:r>
              <w:rPr>
                <w:spacing w:val="-2"/>
                <w:sz w:val="18"/>
              </w:rPr>
              <w:t>County</w:t>
            </w:r>
          </w:p>
        </w:tc>
      </w:tr>
      <w:tr>
        <w:trPr>
          <w:trHeight w:val="494" w:hRule="atLeast"/>
        </w:trPr>
        <w:tc>
          <w:tcPr>
            <w:tcW w:w="1795" w:type="dxa"/>
          </w:tcPr>
          <w:p>
            <w:pPr>
              <w:pStyle w:val="TableParagraph"/>
              <w:ind w:left="11"/>
              <w:jc w:val="center"/>
              <w:rPr>
                <w:sz w:val="18"/>
              </w:rPr>
            </w:pPr>
            <w:r>
              <w:rPr>
                <w:sz w:val="18"/>
              </w:rPr>
              <w:t>Fiber</w:t>
            </w:r>
            <w:r>
              <w:rPr>
                <w:spacing w:val="-4"/>
                <w:sz w:val="18"/>
              </w:rPr>
              <w:t> </w:t>
            </w:r>
            <w:r>
              <w:rPr>
                <w:sz w:val="18"/>
              </w:rPr>
              <w:t>Optical</w:t>
            </w:r>
            <w:r>
              <w:rPr>
                <w:spacing w:val="-1"/>
                <w:sz w:val="18"/>
              </w:rPr>
              <w:t> </w:t>
            </w:r>
            <w:r>
              <w:rPr>
                <w:spacing w:val="-2"/>
                <w:sz w:val="18"/>
              </w:rPr>
              <w:t>Cable</w:t>
            </w:r>
          </w:p>
        </w:tc>
        <w:tc>
          <w:tcPr>
            <w:tcW w:w="2160" w:type="dxa"/>
          </w:tcPr>
          <w:p>
            <w:pPr>
              <w:pStyle w:val="TableParagraph"/>
              <w:ind w:left="12" w:right="1"/>
              <w:jc w:val="center"/>
              <w:rPr>
                <w:sz w:val="18"/>
              </w:rPr>
            </w:pPr>
            <w:r>
              <w:rPr>
                <w:sz w:val="18"/>
              </w:rPr>
              <w:t>Rep/Three</w:t>
            </w:r>
            <w:r>
              <w:rPr>
                <w:spacing w:val="-4"/>
                <w:sz w:val="18"/>
              </w:rPr>
              <w:t> </w:t>
            </w:r>
            <w:r>
              <w:rPr>
                <w:spacing w:val="-2"/>
                <w:sz w:val="18"/>
              </w:rPr>
              <w:t>Rivers/SL</w:t>
            </w:r>
          </w:p>
        </w:tc>
        <w:tc>
          <w:tcPr>
            <w:tcW w:w="2700" w:type="dxa"/>
          </w:tcPr>
          <w:p>
            <w:pPr>
              <w:pStyle w:val="TableParagraph"/>
              <w:ind w:left="11" w:right="4"/>
              <w:jc w:val="center"/>
              <w:rPr>
                <w:sz w:val="18"/>
              </w:rPr>
            </w:pPr>
            <w:r>
              <w:rPr>
                <w:spacing w:val="-2"/>
                <w:sz w:val="18"/>
              </w:rPr>
              <w:t>-</w:t>
            </w:r>
            <w:r>
              <w:rPr>
                <w:spacing w:val="-12"/>
                <w:sz w:val="18"/>
              </w:rPr>
              <w:t>-</w:t>
            </w:r>
          </w:p>
        </w:tc>
        <w:tc>
          <w:tcPr>
            <w:tcW w:w="2263" w:type="dxa"/>
          </w:tcPr>
          <w:p>
            <w:pPr>
              <w:pStyle w:val="TableParagraph"/>
              <w:ind w:left="801" w:right="150" w:hanging="636"/>
              <w:rPr>
                <w:sz w:val="18"/>
              </w:rPr>
            </w:pPr>
            <w:r>
              <w:rPr>
                <w:sz w:val="18"/>
              </w:rPr>
              <w:t>Northwest</w:t>
            </w:r>
            <w:r>
              <w:rPr>
                <w:spacing w:val="-15"/>
                <w:sz w:val="18"/>
              </w:rPr>
              <w:t> </w:t>
            </w:r>
            <w:r>
              <w:rPr>
                <w:sz w:val="18"/>
              </w:rPr>
              <w:t>Open</w:t>
            </w:r>
            <w:r>
              <w:rPr>
                <w:spacing w:val="-12"/>
                <w:sz w:val="18"/>
              </w:rPr>
              <w:t> </w:t>
            </w:r>
            <w:r>
              <w:rPr>
                <w:sz w:val="18"/>
              </w:rPr>
              <w:t>Access </w:t>
            </w:r>
            <w:r>
              <w:rPr>
                <w:spacing w:val="-2"/>
                <w:sz w:val="18"/>
              </w:rPr>
              <w:t>Network</w:t>
            </w:r>
          </w:p>
        </w:tc>
      </w:tr>
    </w:tbl>
    <w:p>
      <w:pPr>
        <w:spacing w:before="52"/>
        <w:ind w:left="360" w:right="0" w:firstLine="0"/>
        <w:jc w:val="left"/>
        <w:rPr>
          <w:rFonts w:ascii="Arial"/>
          <w:sz w:val="16"/>
        </w:rPr>
      </w:pPr>
      <w:r>
        <w:rPr>
          <w:rFonts w:ascii="Arial"/>
          <w:sz w:val="16"/>
        </w:rPr>
        <w:t>*Land</w:t>
      </w:r>
      <w:r>
        <w:rPr>
          <w:rFonts w:ascii="Arial"/>
          <w:spacing w:val="-7"/>
          <w:sz w:val="16"/>
        </w:rPr>
        <w:t> </w:t>
      </w:r>
      <w:r>
        <w:rPr>
          <w:rFonts w:ascii="Arial"/>
          <w:sz w:val="16"/>
        </w:rPr>
        <w:t>Use</w:t>
      </w:r>
      <w:r>
        <w:rPr>
          <w:rFonts w:ascii="Arial"/>
          <w:spacing w:val="-5"/>
          <w:sz w:val="16"/>
        </w:rPr>
        <w:t> </w:t>
      </w:r>
      <w:r>
        <w:rPr>
          <w:rFonts w:ascii="Arial"/>
          <w:sz w:val="16"/>
        </w:rPr>
        <w:t>Grant</w:t>
      </w:r>
      <w:r>
        <w:rPr>
          <w:rFonts w:ascii="Arial"/>
          <w:spacing w:val="-6"/>
          <w:sz w:val="16"/>
        </w:rPr>
        <w:t> </w:t>
      </w:r>
      <w:r>
        <w:rPr>
          <w:rFonts w:ascii="Arial"/>
          <w:sz w:val="16"/>
        </w:rPr>
        <w:t>Instruments</w:t>
      </w:r>
      <w:r>
        <w:rPr>
          <w:rFonts w:ascii="Arial"/>
          <w:spacing w:val="-3"/>
          <w:sz w:val="16"/>
        </w:rPr>
        <w:t> </w:t>
      </w:r>
      <w:r>
        <w:rPr>
          <w:rFonts w:ascii="Arial"/>
          <w:sz w:val="16"/>
        </w:rPr>
        <w:t>(LUGI)</w:t>
      </w:r>
      <w:r>
        <w:rPr>
          <w:rFonts w:ascii="Arial"/>
          <w:spacing w:val="-5"/>
          <w:sz w:val="16"/>
        </w:rPr>
        <w:t> </w:t>
      </w:r>
      <w:r>
        <w:rPr>
          <w:rFonts w:ascii="Arial"/>
          <w:sz w:val="16"/>
        </w:rPr>
        <w:t>are</w:t>
      </w:r>
      <w:r>
        <w:rPr>
          <w:rFonts w:ascii="Arial"/>
          <w:spacing w:val="-5"/>
          <w:sz w:val="16"/>
        </w:rPr>
        <w:t> </w:t>
      </w:r>
      <w:r>
        <w:rPr>
          <w:rFonts w:ascii="Arial"/>
          <w:sz w:val="16"/>
        </w:rPr>
        <w:t>the</w:t>
      </w:r>
      <w:r>
        <w:rPr>
          <w:rFonts w:ascii="Arial"/>
          <w:spacing w:val="-7"/>
          <w:sz w:val="16"/>
        </w:rPr>
        <w:t> </w:t>
      </w:r>
      <w:r>
        <w:rPr>
          <w:rFonts w:ascii="Arial"/>
          <w:sz w:val="16"/>
        </w:rPr>
        <w:t>authorizing</w:t>
      </w:r>
      <w:r>
        <w:rPr>
          <w:rFonts w:ascii="Arial"/>
          <w:spacing w:val="-5"/>
          <w:sz w:val="16"/>
        </w:rPr>
        <w:t> </w:t>
      </w:r>
      <w:r>
        <w:rPr>
          <w:rFonts w:ascii="Arial"/>
          <w:sz w:val="16"/>
        </w:rPr>
        <w:t>instrument.</w:t>
      </w:r>
      <w:r>
        <w:rPr>
          <w:rFonts w:ascii="Arial"/>
          <w:spacing w:val="-6"/>
          <w:sz w:val="16"/>
        </w:rPr>
        <w:t> </w:t>
      </w:r>
      <w:r>
        <w:rPr>
          <w:rFonts w:ascii="Arial"/>
          <w:sz w:val="16"/>
        </w:rPr>
        <w:t>Each</w:t>
      </w:r>
      <w:r>
        <w:rPr>
          <w:rFonts w:ascii="Arial"/>
          <w:spacing w:val="-5"/>
          <w:sz w:val="16"/>
        </w:rPr>
        <w:t> </w:t>
      </w:r>
      <w:r>
        <w:rPr>
          <w:rFonts w:ascii="Arial"/>
          <w:sz w:val="16"/>
        </w:rPr>
        <w:t>line</w:t>
      </w:r>
      <w:r>
        <w:rPr>
          <w:rFonts w:ascii="Arial"/>
          <w:spacing w:val="-7"/>
          <w:sz w:val="16"/>
        </w:rPr>
        <w:t> </w:t>
      </w:r>
      <w:r>
        <w:rPr>
          <w:rFonts w:ascii="Arial"/>
          <w:sz w:val="16"/>
        </w:rPr>
        <w:t>is</w:t>
      </w:r>
      <w:r>
        <w:rPr>
          <w:rFonts w:ascii="Arial"/>
          <w:spacing w:val="-3"/>
          <w:sz w:val="16"/>
        </w:rPr>
        <w:t> </w:t>
      </w:r>
      <w:r>
        <w:rPr>
          <w:rFonts w:ascii="Arial"/>
          <w:sz w:val="16"/>
        </w:rPr>
        <w:t>authorized</w:t>
      </w:r>
      <w:r>
        <w:rPr>
          <w:rFonts w:ascii="Arial"/>
          <w:spacing w:val="-5"/>
          <w:sz w:val="16"/>
        </w:rPr>
        <w:t> </w:t>
      </w:r>
      <w:r>
        <w:rPr>
          <w:rFonts w:ascii="Arial"/>
          <w:sz w:val="16"/>
        </w:rPr>
        <w:t>under</w:t>
      </w:r>
      <w:r>
        <w:rPr>
          <w:rFonts w:ascii="Arial"/>
          <w:spacing w:val="-5"/>
          <w:sz w:val="16"/>
        </w:rPr>
        <w:t> </w:t>
      </w:r>
      <w:r>
        <w:rPr>
          <w:rFonts w:ascii="Arial"/>
          <w:sz w:val="16"/>
        </w:rPr>
        <w:t>a</w:t>
      </w:r>
      <w:r>
        <w:rPr>
          <w:rFonts w:ascii="Arial"/>
          <w:spacing w:val="-5"/>
          <w:sz w:val="16"/>
        </w:rPr>
        <w:t> </w:t>
      </w:r>
      <w:r>
        <w:rPr>
          <w:rFonts w:ascii="Arial"/>
          <w:sz w:val="16"/>
        </w:rPr>
        <w:t>different</w:t>
      </w:r>
      <w:r>
        <w:rPr>
          <w:rFonts w:ascii="Arial"/>
          <w:spacing w:val="-5"/>
          <w:sz w:val="16"/>
        </w:rPr>
        <w:t> </w:t>
      </w:r>
      <w:r>
        <w:rPr>
          <w:rFonts w:ascii="Arial"/>
          <w:spacing w:val="-2"/>
          <w:sz w:val="16"/>
        </w:rPr>
        <w:t>Supplement.</w:t>
      </w:r>
    </w:p>
    <w:p>
      <w:pPr>
        <w:spacing w:after="0"/>
        <w:jc w:val="left"/>
        <w:rPr>
          <w:rFonts w:ascii="Arial"/>
          <w:sz w:val="16"/>
        </w:rPr>
        <w:sectPr>
          <w:type w:val="continuous"/>
          <w:pgSz w:w="12240" w:h="15840"/>
          <w:pgMar w:header="725" w:footer="891" w:top="1420" w:bottom="1080" w:left="1080" w:right="1080"/>
        </w:sectPr>
      </w:pPr>
    </w:p>
    <w:p>
      <w:pPr>
        <w:pStyle w:val="BodyText"/>
        <w:rPr>
          <w:rFonts w:ascii="Arial"/>
          <w:sz w:val="20"/>
        </w:rPr>
      </w:pPr>
    </w:p>
    <w:p>
      <w:pPr>
        <w:pStyle w:val="BodyText"/>
        <w:spacing w:before="47"/>
        <w:rPr>
          <w:rFonts w:ascii="Arial"/>
          <w:sz w:val="20"/>
        </w:rPr>
      </w:pPr>
    </w:p>
    <w:p>
      <w:pPr>
        <w:pStyle w:val="BodyText"/>
        <w:ind w:left="616"/>
        <w:rPr>
          <w:rFonts w:ascii="Arial"/>
          <w:sz w:val="20"/>
        </w:rPr>
      </w:pPr>
      <w:r>
        <w:rPr>
          <w:rFonts w:ascii="Arial"/>
          <w:sz w:val="20"/>
        </w:rPr>
        <w:drawing>
          <wp:inline distT="0" distB="0" distL="0" distR="0">
            <wp:extent cx="6878874" cy="5400675"/>
            <wp:effectExtent l="0" t="0" r="0" b="0"/>
            <wp:docPr id="391" name="Image 391" descr="Map of designated communication sites and energy corridors"/>
            <wp:cNvGraphicFramePr>
              <a:graphicFrameLocks/>
            </wp:cNvGraphicFramePr>
            <a:graphic>
              <a:graphicData uri="http://schemas.openxmlformats.org/drawingml/2006/picture">
                <pic:pic>
                  <pic:nvPicPr>
                    <pic:cNvPr id="391" name="Image 391" descr="Map of designated communication sites and energy corridors"/>
                    <pic:cNvPicPr/>
                  </pic:nvPicPr>
                  <pic:blipFill>
                    <a:blip r:embed="rId141" cstate="print"/>
                    <a:stretch>
                      <a:fillRect/>
                    </a:stretch>
                  </pic:blipFill>
                  <pic:spPr>
                    <a:xfrm>
                      <a:off x="0" y="0"/>
                      <a:ext cx="6878874" cy="5400675"/>
                    </a:xfrm>
                    <a:prstGeom prst="rect">
                      <a:avLst/>
                    </a:prstGeom>
                  </pic:spPr>
                </pic:pic>
              </a:graphicData>
            </a:graphic>
          </wp:inline>
        </w:drawing>
      </w:r>
      <w:r>
        <w:rPr>
          <w:rFonts w:ascii="Arial"/>
          <w:sz w:val="20"/>
        </w:rPr>
      </w:r>
    </w:p>
    <w:p>
      <w:pPr>
        <w:spacing w:before="51"/>
        <w:ind w:left="360" w:right="0" w:firstLine="0"/>
        <w:jc w:val="left"/>
        <w:rPr>
          <w:rFonts w:ascii="Arial"/>
          <w:b/>
          <w:sz w:val="18"/>
        </w:rPr>
      </w:pPr>
      <w:bookmarkStart w:name="_bookmark333" w:id="1017"/>
      <w:bookmarkEnd w:id="1017"/>
      <w:r>
        <w:rPr/>
      </w:r>
      <w:r>
        <w:rPr>
          <w:rFonts w:ascii="Arial"/>
          <w:b/>
          <w:color w:val="283014"/>
          <w:sz w:val="18"/>
        </w:rPr>
        <w:t>Figure</w:t>
      </w:r>
      <w:r>
        <w:rPr>
          <w:rFonts w:ascii="Arial"/>
          <w:b/>
          <w:color w:val="283014"/>
          <w:spacing w:val="-3"/>
          <w:sz w:val="18"/>
        </w:rPr>
        <w:t> </w:t>
      </w:r>
      <w:r>
        <w:rPr>
          <w:rFonts w:ascii="Arial"/>
          <w:b/>
          <w:color w:val="283014"/>
          <w:sz w:val="18"/>
        </w:rPr>
        <w:t>G-1.</w:t>
      </w:r>
      <w:r>
        <w:rPr>
          <w:rFonts w:ascii="Arial"/>
          <w:b/>
          <w:color w:val="283014"/>
          <w:spacing w:val="-3"/>
          <w:sz w:val="18"/>
        </w:rPr>
        <w:t> </w:t>
      </w:r>
      <w:r>
        <w:rPr>
          <w:rFonts w:ascii="Arial"/>
          <w:b/>
          <w:color w:val="283014"/>
          <w:sz w:val="18"/>
        </w:rPr>
        <w:t>Designated</w:t>
      </w:r>
      <w:r>
        <w:rPr>
          <w:rFonts w:ascii="Arial"/>
          <w:b/>
          <w:color w:val="283014"/>
          <w:spacing w:val="-3"/>
          <w:sz w:val="18"/>
        </w:rPr>
        <w:t> </w:t>
      </w:r>
      <w:r>
        <w:rPr>
          <w:rFonts w:ascii="Arial"/>
          <w:b/>
          <w:color w:val="283014"/>
          <w:sz w:val="18"/>
        </w:rPr>
        <w:t>communication</w:t>
      </w:r>
      <w:r>
        <w:rPr>
          <w:rFonts w:ascii="Arial"/>
          <w:b/>
          <w:color w:val="283014"/>
          <w:spacing w:val="-3"/>
          <w:sz w:val="18"/>
        </w:rPr>
        <w:t> </w:t>
      </w:r>
      <w:r>
        <w:rPr>
          <w:rFonts w:ascii="Arial"/>
          <w:b/>
          <w:color w:val="283014"/>
          <w:sz w:val="18"/>
        </w:rPr>
        <w:t>sites</w:t>
      </w:r>
      <w:r>
        <w:rPr>
          <w:rFonts w:ascii="Arial"/>
          <w:b/>
          <w:color w:val="283014"/>
          <w:spacing w:val="-5"/>
          <w:sz w:val="18"/>
        </w:rPr>
        <w:t> </w:t>
      </w:r>
      <w:r>
        <w:rPr>
          <w:rFonts w:ascii="Arial"/>
          <w:b/>
          <w:color w:val="283014"/>
          <w:sz w:val="18"/>
        </w:rPr>
        <w:t>and</w:t>
      </w:r>
      <w:r>
        <w:rPr>
          <w:rFonts w:ascii="Arial"/>
          <w:b/>
          <w:color w:val="283014"/>
          <w:spacing w:val="-3"/>
          <w:sz w:val="18"/>
        </w:rPr>
        <w:t> </w:t>
      </w:r>
      <w:r>
        <w:rPr>
          <w:rFonts w:ascii="Arial"/>
          <w:b/>
          <w:color w:val="283014"/>
          <w:sz w:val="18"/>
        </w:rPr>
        <w:t>energy</w:t>
      </w:r>
      <w:r>
        <w:rPr>
          <w:rFonts w:ascii="Arial"/>
          <w:b/>
          <w:color w:val="283014"/>
          <w:spacing w:val="-6"/>
          <w:sz w:val="18"/>
        </w:rPr>
        <w:t> </w:t>
      </w:r>
      <w:r>
        <w:rPr>
          <w:rFonts w:ascii="Arial"/>
          <w:b/>
          <w:color w:val="283014"/>
          <w:spacing w:val="-2"/>
          <w:sz w:val="18"/>
        </w:rPr>
        <w:t>corridors</w:t>
      </w:r>
    </w:p>
    <w:p>
      <w:pPr>
        <w:spacing w:after="0"/>
        <w:jc w:val="left"/>
        <w:rPr>
          <w:rFonts w:ascii="Arial"/>
          <w:b/>
          <w:sz w:val="18"/>
        </w:rPr>
        <w:sectPr>
          <w:headerReference w:type="default" r:id="rId137"/>
          <w:headerReference w:type="even" r:id="rId138"/>
          <w:footerReference w:type="default" r:id="rId139"/>
          <w:footerReference w:type="even" r:id="rId140"/>
          <w:pgSz w:w="15840" w:h="12240" w:orient="landscape"/>
          <w:pgMar w:header="725" w:footer="891" w:top="1440" w:bottom="1080" w:left="1080" w:right="360"/>
          <w:pgNumType w:start="221"/>
        </w:sectPr>
      </w:pPr>
    </w:p>
    <w:p>
      <w:pPr>
        <w:pStyle w:val="BodyText"/>
        <w:spacing w:before="114"/>
        <w:rPr>
          <w:rFonts w:ascii="Arial"/>
          <w:b/>
          <w:sz w:val="26"/>
        </w:rPr>
      </w:pPr>
    </w:p>
    <w:p>
      <w:pPr>
        <w:pStyle w:val="Heading2"/>
      </w:pPr>
      <w:bookmarkStart w:name="Mineral Withdrawals" w:id="1018"/>
      <w:bookmarkEnd w:id="1018"/>
      <w:r>
        <w:rPr/>
      </w:r>
      <w:bookmarkStart w:name="_bookmark334" w:id="1019"/>
      <w:bookmarkEnd w:id="1019"/>
      <w:r>
        <w:rPr/>
      </w:r>
      <w:r>
        <w:rPr>
          <w:smallCaps/>
          <w:color w:val="475824"/>
          <w:spacing w:val="-2"/>
        </w:rPr>
        <w:t>Mineral</w:t>
      </w:r>
      <w:r>
        <w:rPr>
          <w:smallCaps/>
          <w:color w:val="475824"/>
          <w:spacing w:val="-7"/>
        </w:rPr>
        <w:t> </w:t>
      </w:r>
      <w:r>
        <w:rPr>
          <w:smallCaps/>
          <w:color w:val="475824"/>
          <w:spacing w:val="-2"/>
        </w:rPr>
        <w:t>Withdrawals</w:t>
      </w:r>
    </w:p>
    <w:p>
      <w:pPr>
        <w:pStyle w:val="BodyText"/>
        <w:spacing w:line="232" w:lineRule="auto" w:before="65"/>
        <w:ind w:left="359" w:right="303"/>
      </w:pPr>
      <w:r>
        <w:rPr/>
        <w:t>The</w:t>
      </w:r>
      <w:r>
        <w:rPr>
          <w:spacing w:val="-2"/>
        </w:rPr>
        <w:t> </w:t>
      </w:r>
      <w:r>
        <w:rPr/>
        <w:t>following</w:t>
      </w:r>
      <w:r>
        <w:rPr>
          <w:spacing w:val="-4"/>
        </w:rPr>
        <w:t> </w:t>
      </w:r>
      <w:r>
        <w:rPr/>
        <w:t>areas</w:t>
      </w:r>
      <w:r>
        <w:rPr>
          <w:spacing w:val="-3"/>
        </w:rPr>
        <w:t> </w:t>
      </w:r>
      <w:r>
        <w:rPr/>
        <w:t>have</w:t>
      </w:r>
      <w:r>
        <w:rPr>
          <w:spacing w:val="-5"/>
        </w:rPr>
        <w:t> </w:t>
      </w:r>
      <w:r>
        <w:rPr/>
        <w:t>been</w:t>
      </w:r>
      <w:r>
        <w:rPr>
          <w:spacing w:val="-4"/>
        </w:rPr>
        <w:t> </w:t>
      </w:r>
      <w:r>
        <w:rPr/>
        <w:t>withdrawn</w:t>
      </w:r>
      <w:r>
        <w:rPr>
          <w:spacing w:val="-4"/>
        </w:rPr>
        <w:t> </w:t>
      </w:r>
      <w:r>
        <w:rPr/>
        <w:t>from</w:t>
      </w:r>
      <w:r>
        <w:rPr>
          <w:spacing w:val="-4"/>
        </w:rPr>
        <w:t> </w:t>
      </w:r>
      <w:r>
        <w:rPr/>
        <w:t>one</w:t>
      </w:r>
      <w:r>
        <w:rPr>
          <w:spacing w:val="-5"/>
        </w:rPr>
        <w:t> </w:t>
      </w:r>
      <w:r>
        <w:rPr/>
        <w:t>or</w:t>
      </w:r>
      <w:r>
        <w:rPr>
          <w:spacing w:val="-3"/>
        </w:rPr>
        <w:t> </w:t>
      </w:r>
      <w:r>
        <w:rPr/>
        <w:t>more</w:t>
      </w:r>
      <w:r>
        <w:rPr>
          <w:spacing w:val="-5"/>
        </w:rPr>
        <w:t> </w:t>
      </w:r>
      <w:r>
        <w:rPr/>
        <w:t>of</w:t>
      </w:r>
      <w:r>
        <w:rPr>
          <w:spacing w:val="-5"/>
        </w:rPr>
        <w:t> </w:t>
      </w:r>
      <w:r>
        <w:rPr/>
        <w:t>the</w:t>
      </w:r>
      <w:r>
        <w:rPr>
          <w:spacing w:val="-5"/>
        </w:rPr>
        <w:t> </w:t>
      </w:r>
      <w:r>
        <w:rPr/>
        <w:t>mining</w:t>
      </w:r>
      <w:r>
        <w:rPr>
          <w:spacing w:val="-4"/>
        </w:rPr>
        <w:t> </w:t>
      </w:r>
      <w:r>
        <w:rPr/>
        <w:t>laws</w:t>
      </w:r>
      <w:r>
        <w:rPr>
          <w:spacing w:val="-3"/>
        </w:rPr>
        <w:t> </w:t>
      </w:r>
      <w:r>
        <w:rPr/>
        <w:t>and</w:t>
      </w:r>
      <w:r>
        <w:rPr>
          <w:spacing w:val="-4"/>
        </w:rPr>
        <w:t> </w:t>
      </w:r>
      <w:r>
        <w:rPr/>
        <w:t>have</w:t>
      </w:r>
      <w:r>
        <w:rPr>
          <w:spacing w:val="-2"/>
        </w:rPr>
        <w:t> </w:t>
      </w:r>
      <w:r>
        <w:rPr/>
        <w:t>limits</w:t>
      </w:r>
      <w:r>
        <w:rPr>
          <w:spacing w:val="-5"/>
        </w:rPr>
        <w:t> </w:t>
      </w:r>
      <w:r>
        <w:rPr/>
        <w:t>on</w:t>
      </w:r>
      <w:r>
        <w:rPr>
          <w:spacing w:val="-4"/>
        </w:rPr>
        <w:t> </w:t>
      </w:r>
      <w:r>
        <w:rPr/>
        <w:t>min</w:t>
      </w:r>
      <w:bookmarkStart w:name="_bookmark335" w:id="1020"/>
      <w:bookmarkEnd w:id="1020"/>
      <w:r>
        <w:rPr/>
        <w:t>e</w:t>
      </w:r>
      <w:r>
        <w:rPr/>
        <w:t>ral</w:t>
      </w:r>
      <w:r>
        <w:rPr>
          <w:spacing w:val="-3"/>
        </w:rPr>
        <w:t> </w:t>
      </w:r>
      <w:r>
        <w:rPr/>
        <w:t>entry.</w:t>
      </w:r>
      <w:r>
        <w:rPr>
          <w:spacing w:val="-3"/>
        </w:rPr>
        <w:t> </w:t>
      </w:r>
      <w:r>
        <w:rPr/>
        <w:t>The</w:t>
      </w:r>
      <w:r>
        <w:rPr>
          <w:spacing w:val="-5"/>
        </w:rPr>
        <w:t> </w:t>
      </w:r>
      <w:r>
        <w:rPr/>
        <w:t>map</w:t>
      </w:r>
      <w:r>
        <w:rPr>
          <w:spacing w:val="-4"/>
        </w:rPr>
        <w:t> </w:t>
      </w:r>
      <w:r>
        <w:rPr/>
        <w:t>number</w:t>
      </w:r>
      <w:r>
        <w:rPr>
          <w:spacing w:val="-3"/>
        </w:rPr>
        <w:t> </w:t>
      </w:r>
      <w:r>
        <w:rPr/>
        <w:t>in</w:t>
      </w:r>
      <w:r>
        <w:rPr>
          <w:spacing w:val="-6"/>
        </w:rPr>
        <w:t> </w:t>
      </w:r>
      <w:r>
        <w:rPr/>
        <w:t>table</w:t>
      </w:r>
      <w:r>
        <w:rPr>
          <w:spacing w:val="-2"/>
        </w:rPr>
        <w:t> </w:t>
      </w:r>
      <w:r>
        <w:rPr/>
        <w:t>G-4 corresponds to the maps in Figures G-2 through G-9.</w:t>
      </w:r>
    </w:p>
    <w:p>
      <w:pPr>
        <w:pStyle w:val="BodyText"/>
        <w:spacing w:before="84"/>
      </w:pPr>
    </w:p>
    <w:p>
      <w:pPr>
        <w:spacing w:before="1" w:after="41"/>
        <w:ind w:left="360" w:right="0" w:firstLine="0"/>
        <w:jc w:val="left"/>
        <w:rPr>
          <w:rFonts w:ascii="Arial"/>
          <w:b/>
          <w:sz w:val="18"/>
        </w:rPr>
      </w:pPr>
      <w:bookmarkStart w:name="_bookmark336" w:id="1021"/>
      <w:bookmarkEnd w:id="1021"/>
      <w:r>
        <w:rPr/>
      </w:r>
      <w:r>
        <w:rPr>
          <w:rFonts w:ascii="Arial"/>
          <w:b/>
          <w:sz w:val="18"/>
        </w:rPr>
        <w:t>Table</w:t>
      </w:r>
      <w:r>
        <w:rPr>
          <w:rFonts w:ascii="Arial"/>
          <w:b/>
          <w:spacing w:val="-1"/>
          <w:sz w:val="18"/>
        </w:rPr>
        <w:t> </w:t>
      </w:r>
      <w:r>
        <w:rPr>
          <w:rFonts w:ascii="Arial"/>
          <w:b/>
          <w:sz w:val="18"/>
        </w:rPr>
        <w:t>G-4.</w:t>
      </w:r>
      <w:r>
        <w:rPr>
          <w:rFonts w:ascii="Arial"/>
          <w:b/>
          <w:spacing w:val="-4"/>
          <w:sz w:val="18"/>
        </w:rPr>
        <w:t> </w:t>
      </w:r>
      <w:r>
        <w:rPr>
          <w:rFonts w:ascii="Arial"/>
          <w:b/>
          <w:sz w:val="18"/>
        </w:rPr>
        <w:t>Mineral</w:t>
      </w:r>
      <w:r>
        <w:rPr>
          <w:rFonts w:ascii="Arial"/>
          <w:b/>
          <w:spacing w:val="-3"/>
          <w:sz w:val="18"/>
        </w:rPr>
        <w:t> </w:t>
      </w:r>
      <w:r>
        <w:rPr>
          <w:rFonts w:ascii="Arial"/>
          <w:b/>
          <w:spacing w:val="-2"/>
          <w:sz w:val="18"/>
        </w:rPr>
        <w:t>withdrawals</w:t>
      </w: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4"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62</w:t>
            </w:r>
          </w:p>
        </w:tc>
        <w:tc>
          <w:tcPr>
            <w:tcW w:w="2527" w:type="dxa"/>
          </w:tcPr>
          <w:p>
            <w:pPr>
              <w:pStyle w:val="TableParagraph"/>
              <w:spacing w:line="243" w:lineRule="exact" w:before="1"/>
              <w:ind w:left="108"/>
              <w:rPr>
                <w:rFonts w:ascii="Calibri"/>
                <w:sz w:val="20"/>
              </w:rPr>
            </w:pPr>
            <w:r>
              <w:rPr>
                <w:rFonts w:ascii="Calibri"/>
                <w:sz w:val="20"/>
              </w:rPr>
              <w:t>Pioneer</w:t>
            </w:r>
            <w:r>
              <w:rPr>
                <w:rFonts w:ascii="Calibri"/>
                <w:spacing w:val="-7"/>
                <w:sz w:val="20"/>
              </w:rPr>
              <w:t> </w:t>
            </w:r>
            <w:r>
              <w:rPr>
                <w:rFonts w:ascii="Calibri"/>
                <w:sz w:val="20"/>
              </w:rPr>
              <w:t>Park</w:t>
            </w:r>
            <w:r>
              <w:rPr>
                <w:rFonts w:ascii="Calibri"/>
                <w:spacing w:val="-5"/>
                <w:sz w:val="20"/>
              </w:rPr>
              <w:t> </w:t>
            </w:r>
            <w:r>
              <w:rPr>
                <w:rFonts w:ascii="Calibri"/>
                <w:spacing w:val="-2"/>
                <w:sz w:val="20"/>
              </w:rPr>
              <w:t>Recreation</w:t>
            </w:r>
          </w:p>
          <w:p>
            <w:pPr>
              <w:pStyle w:val="TableParagraph"/>
              <w:spacing w:line="222" w:lineRule="exact" w:before="0"/>
              <w:ind w:left="108"/>
              <w:rPr>
                <w:rFonts w:ascii="Calibri"/>
                <w:sz w:val="20"/>
              </w:rPr>
            </w:pP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31</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4"/>
                <w:sz w:val="20"/>
              </w:rPr>
              <w:t> </w:t>
            </w:r>
            <w:r>
              <w:rPr>
                <w:rFonts w:ascii="Calibri"/>
                <w:sz w:val="20"/>
              </w:rPr>
              <w:t>1,</w:t>
            </w:r>
            <w:r>
              <w:rPr>
                <w:rFonts w:ascii="Calibri"/>
                <w:spacing w:val="-3"/>
                <w:sz w:val="20"/>
              </w:rPr>
              <w:t> </w:t>
            </w:r>
            <w:r>
              <w:rPr>
                <w:rFonts w:ascii="Calibri"/>
                <w:sz w:val="20"/>
              </w:rPr>
              <w:t>Lot</w:t>
            </w:r>
            <w:r>
              <w:rPr>
                <w:rFonts w:ascii="Calibri"/>
                <w:spacing w:val="-4"/>
                <w:sz w:val="20"/>
              </w:rPr>
              <w:t> </w:t>
            </w:r>
            <w:r>
              <w:rPr>
                <w:rFonts w:ascii="Calibri"/>
                <w:spacing w:val="-10"/>
                <w:sz w:val="20"/>
              </w:rPr>
              <w:t>8</w:t>
            </w:r>
          </w:p>
        </w:tc>
        <w:tc>
          <w:tcPr>
            <w:tcW w:w="900" w:type="dxa"/>
          </w:tcPr>
          <w:p>
            <w:pPr>
              <w:pStyle w:val="TableParagraph"/>
              <w:spacing w:before="1"/>
              <w:ind w:left="7" w:right="3"/>
              <w:jc w:val="center"/>
              <w:rPr>
                <w:rFonts w:ascii="Calibri"/>
                <w:sz w:val="20"/>
              </w:rPr>
            </w:pPr>
            <w:r>
              <w:rPr>
                <w:rFonts w:ascii="Calibri"/>
                <w:spacing w:val="-4"/>
                <w:sz w:val="20"/>
              </w:rPr>
              <w:t>37.1</w:t>
            </w:r>
          </w:p>
        </w:tc>
      </w:tr>
      <w:tr>
        <w:trPr>
          <w:trHeight w:val="733" w:hRule="atLeast"/>
        </w:trPr>
        <w:tc>
          <w:tcPr>
            <w:tcW w:w="835" w:type="dxa"/>
          </w:tcPr>
          <w:p>
            <w:pPr>
              <w:pStyle w:val="TableParagraph"/>
              <w:spacing w:before="1"/>
              <w:ind w:left="9" w:right="5"/>
              <w:jc w:val="center"/>
              <w:rPr>
                <w:rFonts w:ascii="Calibri"/>
                <w:sz w:val="20"/>
              </w:rPr>
            </w:pPr>
            <w:r>
              <w:rPr>
                <w:rFonts w:ascii="Calibri"/>
                <w:spacing w:val="-5"/>
                <w:sz w:val="20"/>
              </w:rPr>
              <w:t>10</w:t>
            </w:r>
          </w:p>
        </w:tc>
        <w:tc>
          <w:tcPr>
            <w:tcW w:w="2527" w:type="dxa"/>
          </w:tcPr>
          <w:p>
            <w:pPr>
              <w:pStyle w:val="TableParagraph"/>
              <w:spacing w:before="1"/>
              <w:ind w:left="108"/>
              <w:rPr>
                <w:rFonts w:ascii="Calibri"/>
                <w:sz w:val="20"/>
              </w:rPr>
            </w:pPr>
            <w:r>
              <w:rPr>
                <w:rFonts w:ascii="Calibri"/>
                <w:sz w:val="20"/>
              </w:rPr>
              <w:t>Chewelah</w:t>
            </w:r>
            <w:r>
              <w:rPr>
                <w:rFonts w:ascii="Calibri"/>
                <w:spacing w:val="-7"/>
                <w:sz w:val="20"/>
              </w:rPr>
              <w:t> </w:t>
            </w:r>
            <w:r>
              <w:rPr>
                <w:rFonts w:ascii="Calibri"/>
                <w:sz w:val="20"/>
              </w:rPr>
              <w:t>Ski</w:t>
            </w:r>
            <w:r>
              <w:rPr>
                <w:rFonts w:ascii="Calibri"/>
                <w:spacing w:val="-7"/>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2,</w:t>
            </w:r>
            <w:r>
              <w:rPr>
                <w:rFonts w:ascii="Calibri" w:hAnsi="Calibri"/>
                <w:spacing w:val="-6"/>
                <w:sz w:val="20"/>
              </w:rPr>
              <w:t> </w:t>
            </w:r>
            <w:r>
              <w:rPr>
                <w:rFonts w:ascii="Calibri" w:hAnsi="Calibri"/>
                <w:sz w:val="20"/>
              </w:rPr>
              <w:t>W½SW¼SW¼;</w:t>
            </w:r>
            <w:r>
              <w:rPr>
                <w:rFonts w:ascii="Calibri" w:hAnsi="Calibri"/>
                <w:spacing w:val="-7"/>
                <w:sz w:val="20"/>
              </w:rPr>
              <w:t> </w:t>
            </w:r>
            <w:r>
              <w:rPr>
                <w:rFonts w:ascii="Calibri" w:hAnsi="Calibri"/>
                <w:sz w:val="20"/>
              </w:rPr>
              <w:t>Sec.</w:t>
            </w:r>
            <w:r>
              <w:rPr>
                <w:rFonts w:ascii="Calibri" w:hAnsi="Calibri"/>
                <w:spacing w:val="-7"/>
                <w:sz w:val="20"/>
              </w:rPr>
              <w:t> </w:t>
            </w:r>
            <w:r>
              <w:rPr>
                <w:rFonts w:ascii="Calibri" w:hAnsi="Calibri"/>
                <w:sz w:val="20"/>
              </w:rPr>
              <w:t>3,</w:t>
            </w:r>
            <w:r>
              <w:rPr>
                <w:rFonts w:ascii="Calibri" w:hAnsi="Calibri"/>
                <w:spacing w:val="-6"/>
                <w:sz w:val="20"/>
              </w:rPr>
              <w:t> </w:t>
            </w:r>
            <w:r>
              <w:rPr>
                <w:rFonts w:ascii="Calibri" w:hAnsi="Calibri"/>
                <w:sz w:val="20"/>
              </w:rPr>
              <w:t>S½NE¼,</w:t>
            </w:r>
            <w:r>
              <w:rPr>
                <w:rFonts w:ascii="Calibri" w:hAnsi="Calibri"/>
                <w:spacing w:val="-6"/>
                <w:sz w:val="20"/>
              </w:rPr>
              <w:t> </w:t>
            </w:r>
            <w:r>
              <w:rPr>
                <w:rFonts w:ascii="Calibri" w:hAnsi="Calibri"/>
                <w:sz w:val="20"/>
              </w:rPr>
              <w:t>E½SE¼, NE¼NW¼SE¼; Sec. 10 E½NE¼NE¼l Sec. 11, </w:t>
            </w:r>
            <w:r>
              <w:rPr>
                <w:rFonts w:ascii="Calibri" w:hAnsi="Calibri"/>
                <w:spacing w:val="-2"/>
                <w:sz w:val="20"/>
              </w:rPr>
              <w:t>NW¼NW¼NW¼;</w:t>
            </w:r>
          </w:p>
        </w:tc>
        <w:tc>
          <w:tcPr>
            <w:tcW w:w="900" w:type="dxa"/>
          </w:tcPr>
          <w:p>
            <w:pPr>
              <w:pStyle w:val="TableParagraph"/>
              <w:spacing w:before="1"/>
              <w:ind w:left="7"/>
              <w:jc w:val="center"/>
              <w:rPr>
                <w:rFonts w:ascii="Calibri"/>
                <w:sz w:val="20"/>
              </w:rPr>
            </w:pPr>
            <w:r>
              <w:rPr>
                <w:rFonts w:ascii="Calibri"/>
                <w:spacing w:val="-5"/>
                <w:sz w:val="20"/>
              </w:rPr>
              <w:t>220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10</w:t>
            </w:r>
          </w:p>
        </w:tc>
        <w:tc>
          <w:tcPr>
            <w:tcW w:w="2527" w:type="dxa"/>
          </w:tcPr>
          <w:p>
            <w:pPr>
              <w:pStyle w:val="TableParagraph"/>
              <w:spacing w:line="223" w:lineRule="exact" w:before="1"/>
              <w:ind w:left="108"/>
              <w:rPr>
                <w:rFonts w:ascii="Calibri"/>
                <w:sz w:val="20"/>
              </w:rPr>
            </w:pPr>
            <w:r>
              <w:rPr>
                <w:rFonts w:ascii="Calibri"/>
                <w:sz w:val="20"/>
              </w:rPr>
              <w:t>Chewelah</w:t>
            </w:r>
            <w:r>
              <w:rPr>
                <w:rFonts w:ascii="Calibri"/>
                <w:spacing w:val="-7"/>
                <w:sz w:val="20"/>
              </w:rPr>
              <w:t> </w:t>
            </w:r>
            <w:r>
              <w:rPr>
                <w:rFonts w:ascii="Calibri"/>
                <w:sz w:val="20"/>
              </w:rPr>
              <w:t>Ski</w:t>
            </w:r>
            <w:r>
              <w:rPr>
                <w:rFonts w:ascii="Calibri"/>
                <w:spacing w:val="-7"/>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11,</w:t>
            </w:r>
            <w:r>
              <w:rPr>
                <w:rFonts w:ascii="Calibri" w:hAnsi="Calibri"/>
                <w:spacing w:val="-4"/>
                <w:sz w:val="20"/>
              </w:rPr>
              <w:t> </w:t>
            </w:r>
            <w:r>
              <w:rPr>
                <w:rFonts w:ascii="Calibri" w:hAnsi="Calibri"/>
                <w:spacing w:val="-2"/>
                <w:sz w:val="20"/>
              </w:rPr>
              <w:t>SW¼NW¼NW¼</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244" w:hRule="atLeast"/>
        </w:trPr>
        <w:tc>
          <w:tcPr>
            <w:tcW w:w="835" w:type="dxa"/>
          </w:tcPr>
          <w:p>
            <w:pPr>
              <w:pStyle w:val="TableParagraph"/>
              <w:spacing w:line="223" w:lineRule="exact" w:before="1"/>
              <w:ind w:left="9" w:right="4"/>
              <w:jc w:val="center"/>
              <w:rPr>
                <w:rFonts w:ascii="Calibri"/>
                <w:sz w:val="20"/>
              </w:rPr>
            </w:pPr>
            <w:r>
              <w:rPr>
                <w:rFonts w:ascii="Calibri"/>
                <w:spacing w:val="-10"/>
                <w:sz w:val="20"/>
              </w:rPr>
              <w:t>9</w:t>
            </w:r>
          </w:p>
        </w:tc>
        <w:tc>
          <w:tcPr>
            <w:tcW w:w="2527" w:type="dxa"/>
          </w:tcPr>
          <w:p>
            <w:pPr>
              <w:pStyle w:val="TableParagraph"/>
              <w:spacing w:line="223" w:lineRule="exact" w:before="1"/>
              <w:ind w:left="108"/>
              <w:rPr>
                <w:rFonts w:ascii="Calibri"/>
                <w:sz w:val="20"/>
              </w:rPr>
            </w:pPr>
            <w:r>
              <w:rPr>
                <w:rFonts w:ascii="Calibri"/>
                <w:sz w:val="20"/>
              </w:rPr>
              <w:t>Chewelah</w:t>
            </w:r>
            <w:r>
              <w:rPr>
                <w:rFonts w:ascii="Calibri"/>
                <w:spacing w:val="-12"/>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12,</w:t>
            </w:r>
            <w:r>
              <w:rPr>
                <w:rFonts w:ascii="Calibri" w:hAnsi="Calibri"/>
                <w:spacing w:val="-4"/>
                <w:sz w:val="20"/>
              </w:rPr>
              <w:t> </w:t>
            </w:r>
            <w:r>
              <w:rPr>
                <w:rFonts w:ascii="Calibri" w:hAnsi="Calibri"/>
                <w:sz w:val="20"/>
              </w:rPr>
              <w:t>N½SE¼</w:t>
            </w:r>
            <w:r>
              <w:rPr>
                <w:rFonts w:ascii="Calibri" w:hAnsi="Calibri"/>
                <w:spacing w:val="-5"/>
                <w:sz w:val="20"/>
              </w:rPr>
              <w:t> </w:t>
            </w:r>
            <w:r>
              <w:rPr>
                <w:rFonts w:ascii="Calibri" w:hAnsi="Calibri"/>
                <w:spacing w:val="-2"/>
                <w:sz w:val="20"/>
              </w:rPr>
              <w:t>M&amp;B</w:t>
            </w:r>
            <w:hyperlink w:history="true" w:anchor="_bookmark335">
              <w:r>
                <w:rPr>
                  <w:rFonts w:ascii="Calibri" w:hAnsi="Calibri"/>
                  <w:spacing w:val="-2"/>
                  <w:sz w:val="20"/>
                  <w:vertAlign w:val="superscript"/>
                </w:rPr>
                <w:t>34</w:t>
              </w:r>
            </w:hyperlink>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31</w:t>
            </w:r>
          </w:p>
        </w:tc>
        <w:tc>
          <w:tcPr>
            <w:tcW w:w="2527" w:type="dxa"/>
          </w:tcPr>
          <w:p>
            <w:pPr>
              <w:pStyle w:val="TableParagraph"/>
              <w:spacing w:line="223" w:lineRule="exact" w:before="1"/>
              <w:ind w:left="108"/>
              <w:rPr>
                <w:rFonts w:ascii="Calibri"/>
                <w:sz w:val="20"/>
              </w:rPr>
            </w:pPr>
            <w:r>
              <w:rPr>
                <w:rFonts w:ascii="Calibri"/>
                <w:sz w:val="20"/>
              </w:rPr>
              <w:t>Flowery</w:t>
            </w:r>
            <w:r>
              <w:rPr>
                <w:rFonts w:ascii="Calibri"/>
                <w:spacing w:val="-5"/>
                <w:sz w:val="20"/>
              </w:rPr>
              <w:t> </w:t>
            </w:r>
            <w:r>
              <w:rPr>
                <w:rFonts w:ascii="Calibri"/>
                <w:sz w:val="20"/>
              </w:rPr>
              <w:t>Trail</w:t>
            </w:r>
            <w:r>
              <w:rPr>
                <w:rFonts w:ascii="Calibri"/>
                <w:spacing w:val="-7"/>
                <w:sz w:val="20"/>
              </w:rPr>
              <w:t> </w:t>
            </w:r>
            <w:r>
              <w:rPr>
                <w:rFonts w:ascii="Calibri"/>
                <w:sz w:val="20"/>
              </w:rPr>
              <w:t>Seed</w:t>
            </w:r>
            <w:r>
              <w:rPr>
                <w:rFonts w:ascii="Calibri"/>
                <w:spacing w:val="-6"/>
                <w:sz w:val="20"/>
              </w:rPr>
              <w:t> </w:t>
            </w:r>
            <w:r>
              <w:rPr>
                <w:rFonts w:ascii="Calibri"/>
                <w:spacing w:val="-2"/>
                <w:sz w:val="20"/>
              </w:rPr>
              <w:t>Orchard</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8"/>
                <w:sz w:val="20"/>
              </w:rPr>
              <w:t> </w:t>
            </w:r>
            <w:r>
              <w:rPr>
                <w:rFonts w:ascii="Calibri" w:hAnsi="Calibri"/>
                <w:sz w:val="20"/>
              </w:rPr>
              <w:t>5,</w:t>
            </w:r>
            <w:r>
              <w:rPr>
                <w:rFonts w:ascii="Calibri" w:hAnsi="Calibri"/>
                <w:spacing w:val="-6"/>
                <w:sz w:val="20"/>
              </w:rPr>
              <w:t> </w:t>
            </w:r>
            <w:r>
              <w:rPr>
                <w:rFonts w:ascii="Calibri" w:hAnsi="Calibri"/>
                <w:sz w:val="20"/>
              </w:rPr>
              <w:t>E½SW¼SW¼,</w:t>
            </w:r>
            <w:r>
              <w:rPr>
                <w:rFonts w:ascii="Calibri" w:hAnsi="Calibri"/>
                <w:spacing w:val="-6"/>
                <w:sz w:val="20"/>
              </w:rPr>
              <w:t> </w:t>
            </w:r>
            <w:r>
              <w:rPr>
                <w:rFonts w:ascii="Calibri" w:hAnsi="Calibri"/>
                <w:sz w:val="20"/>
              </w:rPr>
              <w:t>SE¼SW¼,</w:t>
            </w:r>
            <w:r>
              <w:rPr>
                <w:rFonts w:ascii="Calibri" w:hAnsi="Calibri"/>
                <w:spacing w:val="-5"/>
                <w:sz w:val="20"/>
              </w:rPr>
              <w:t> </w:t>
            </w:r>
            <w:r>
              <w:rPr>
                <w:rFonts w:ascii="Calibri" w:hAnsi="Calibri"/>
                <w:spacing w:val="-2"/>
                <w:sz w:val="20"/>
              </w:rPr>
              <w:t>S½NE¼SW¼</w:t>
            </w:r>
          </w:p>
        </w:tc>
        <w:tc>
          <w:tcPr>
            <w:tcW w:w="900" w:type="dxa"/>
          </w:tcPr>
          <w:p>
            <w:pPr>
              <w:pStyle w:val="TableParagraph"/>
              <w:spacing w:line="223" w:lineRule="exact" w:before="1"/>
              <w:ind w:left="7"/>
              <w:jc w:val="center"/>
              <w:rPr>
                <w:rFonts w:ascii="Calibri"/>
                <w:sz w:val="20"/>
              </w:rPr>
            </w:pPr>
            <w:r>
              <w:rPr>
                <w:rFonts w:ascii="Calibri"/>
                <w:spacing w:val="-5"/>
                <w:sz w:val="20"/>
              </w:rPr>
              <w:t>80</w:t>
            </w:r>
          </w:p>
        </w:tc>
      </w:tr>
      <w:tr>
        <w:trPr>
          <w:trHeight w:val="1218" w:hRule="atLeast"/>
        </w:trPr>
        <w:tc>
          <w:tcPr>
            <w:tcW w:w="835" w:type="dxa"/>
          </w:tcPr>
          <w:p>
            <w:pPr>
              <w:pStyle w:val="TableParagraph"/>
              <w:spacing w:line="243" w:lineRule="exact" w:before="0"/>
              <w:ind w:left="9" w:right="4"/>
              <w:jc w:val="center"/>
              <w:rPr>
                <w:rFonts w:ascii="Calibri"/>
                <w:sz w:val="20"/>
              </w:rPr>
            </w:pPr>
            <w:r>
              <w:rPr>
                <w:rFonts w:ascii="Calibri"/>
                <w:spacing w:val="-10"/>
                <w:sz w:val="20"/>
              </w:rPr>
              <w:t>2</w:t>
            </w:r>
          </w:p>
        </w:tc>
        <w:tc>
          <w:tcPr>
            <w:tcW w:w="2527" w:type="dxa"/>
          </w:tcPr>
          <w:p>
            <w:pPr>
              <w:pStyle w:val="TableParagraph"/>
              <w:spacing w:line="243" w:lineRule="exact" w:before="0"/>
              <w:ind w:left="108"/>
              <w:rPr>
                <w:rFonts w:ascii="Calibri"/>
                <w:sz w:val="20"/>
              </w:rPr>
            </w:pPr>
            <w:r>
              <w:rPr>
                <w:rFonts w:ascii="Calibri"/>
                <w:sz w:val="20"/>
              </w:rPr>
              <w:t>Bead</w:t>
            </w:r>
            <w:r>
              <w:rPr>
                <w:rFonts w:ascii="Calibri"/>
                <w:spacing w:val="-6"/>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43"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3,</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3"/>
                <w:sz w:val="20"/>
              </w:rPr>
              <w:t> </w:t>
            </w:r>
            <w:r>
              <w:rPr>
                <w:rFonts w:ascii="Calibri" w:hAnsi="Calibri"/>
                <w:sz w:val="20"/>
              </w:rPr>
              <w:t>W½</w:t>
            </w:r>
            <w:r>
              <w:rPr>
                <w:rFonts w:ascii="Calibri" w:hAnsi="Calibri"/>
                <w:spacing w:val="-4"/>
                <w:sz w:val="20"/>
              </w:rPr>
              <w:t> </w:t>
            </w:r>
            <w:r>
              <w:rPr>
                <w:rFonts w:ascii="Calibri" w:hAnsi="Calibri"/>
                <w:sz w:val="20"/>
              </w:rPr>
              <w:t>Lot</w:t>
            </w:r>
            <w:r>
              <w:rPr>
                <w:rFonts w:ascii="Calibri" w:hAnsi="Calibri"/>
                <w:spacing w:val="-4"/>
                <w:sz w:val="20"/>
              </w:rPr>
              <w:t> </w:t>
            </w:r>
            <w:r>
              <w:rPr>
                <w:rFonts w:ascii="Calibri" w:hAnsi="Calibri"/>
                <w:sz w:val="20"/>
              </w:rPr>
              <w:t>2,</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3-8</w:t>
            </w:r>
            <w:r>
              <w:rPr>
                <w:rFonts w:ascii="Calibri" w:hAnsi="Calibri"/>
                <w:spacing w:val="-4"/>
                <w:sz w:val="20"/>
              </w:rPr>
              <w:t> </w:t>
            </w:r>
            <w:r>
              <w:rPr>
                <w:rFonts w:ascii="Calibri" w:hAnsi="Calibri"/>
                <w:sz w:val="20"/>
              </w:rPr>
              <w:t>inclusive;</w:t>
            </w:r>
            <w:r>
              <w:rPr>
                <w:rFonts w:ascii="Calibri" w:hAnsi="Calibri"/>
                <w:spacing w:val="-5"/>
                <w:sz w:val="20"/>
              </w:rPr>
              <w:t> </w:t>
            </w:r>
            <w:r>
              <w:rPr>
                <w:rFonts w:ascii="Calibri" w:hAnsi="Calibri"/>
                <w:sz w:val="20"/>
              </w:rPr>
              <w:t>Sec.</w:t>
            </w:r>
            <w:r>
              <w:rPr>
                <w:rFonts w:ascii="Calibri" w:hAnsi="Calibri"/>
                <w:spacing w:val="-5"/>
                <w:sz w:val="20"/>
              </w:rPr>
              <w:t> 4,</w:t>
            </w:r>
          </w:p>
          <w:p>
            <w:pPr>
              <w:pStyle w:val="TableParagraph"/>
              <w:spacing w:before="0"/>
              <w:ind w:left="110"/>
              <w:rPr>
                <w:rFonts w:ascii="Calibri" w:hAnsi="Calibri"/>
                <w:sz w:val="20"/>
              </w:rPr>
            </w:pP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4"/>
                <w:sz w:val="20"/>
              </w:rPr>
              <w:t> </w:t>
            </w:r>
            <w:r>
              <w:rPr>
                <w:rFonts w:ascii="Calibri" w:hAnsi="Calibri"/>
                <w:sz w:val="20"/>
              </w:rPr>
              <w:t>2,</w:t>
            </w:r>
            <w:r>
              <w:rPr>
                <w:rFonts w:ascii="Calibri" w:hAnsi="Calibri"/>
                <w:spacing w:val="-3"/>
                <w:sz w:val="20"/>
              </w:rPr>
              <w:t> </w:t>
            </w:r>
            <w:r>
              <w:rPr>
                <w:rFonts w:ascii="Calibri" w:hAnsi="Calibri"/>
                <w:sz w:val="20"/>
              </w:rPr>
              <w:t>and</w:t>
            </w:r>
            <w:r>
              <w:rPr>
                <w:rFonts w:ascii="Calibri" w:hAnsi="Calibri"/>
                <w:spacing w:val="-3"/>
                <w:sz w:val="20"/>
              </w:rPr>
              <w:t> </w:t>
            </w:r>
            <w:r>
              <w:rPr>
                <w:rFonts w:ascii="Calibri" w:hAnsi="Calibri"/>
                <w:sz w:val="20"/>
              </w:rPr>
              <w:t>6;</w:t>
            </w:r>
            <w:r>
              <w:rPr>
                <w:rFonts w:ascii="Calibri" w:hAnsi="Calibri"/>
                <w:spacing w:val="-4"/>
                <w:sz w:val="20"/>
              </w:rPr>
              <w:t> </w:t>
            </w:r>
            <w:r>
              <w:rPr>
                <w:rFonts w:ascii="Calibri" w:hAnsi="Calibri"/>
                <w:sz w:val="20"/>
              </w:rPr>
              <w:t>Sec.</w:t>
            </w:r>
            <w:r>
              <w:rPr>
                <w:rFonts w:ascii="Calibri" w:hAnsi="Calibri"/>
                <w:spacing w:val="-4"/>
                <w:sz w:val="20"/>
              </w:rPr>
              <w:t> </w:t>
            </w:r>
            <w:r>
              <w:rPr>
                <w:rFonts w:ascii="Calibri" w:hAnsi="Calibri"/>
                <w:sz w:val="20"/>
              </w:rPr>
              <w:t>9,</w:t>
            </w:r>
            <w:r>
              <w:rPr>
                <w:rFonts w:ascii="Calibri" w:hAnsi="Calibri"/>
                <w:spacing w:val="-4"/>
                <w:sz w:val="20"/>
              </w:rPr>
              <w:t> </w:t>
            </w:r>
            <w:r>
              <w:rPr>
                <w:rFonts w:ascii="Calibri" w:hAnsi="Calibri"/>
                <w:sz w:val="20"/>
              </w:rPr>
              <w:t>NE¼NE¼NW¼;</w:t>
            </w:r>
            <w:r>
              <w:rPr>
                <w:rFonts w:ascii="Calibri" w:hAnsi="Calibri"/>
                <w:spacing w:val="-4"/>
                <w:sz w:val="20"/>
              </w:rPr>
              <w:t> </w:t>
            </w:r>
            <w:r>
              <w:rPr>
                <w:rFonts w:ascii="Calibri" w:hAnsi="Calibri"/>
                <w:sz w:val="20"/>
              </w:rPr>
              <w:t>Sec.</w:t>
            </w:r>
            <w:r>
              <w:rPr>
                <w:rFonts w:ascii="Calibri" w:hAnsi="Calibri"/>
                <w:spacing w:val="-4"/>
                <w:sz w:val="20"/>
              </w:rPr>
              <w:t> </w:t>
            </w:r>
            <w:r>
              <w:rPr>
                <w:rFonts w:ascii="Calibri" w:hAnsi="Calibri"/>
                <w:sz w:val="20"/>
              </w:rPr>
              <w:t>10</w:t>
            </w:r>
            <w:r>
              <w:rPr>
                <w:rFonts w:ascii="Calibri" w:hAnsi="Calibri"/>
                <w:spacing w:val="-4"/>
                <w:sz w:val="20"/>
              </w:rPr>
              <w:t> </w:t>
            </w:r>
            <w:r>
              <w:rPr>
                <w:rFonts w:ascii="Calibri" w:hAnsi="Calibri"/>
                <w:sz w:val="20"/>
              </w:rPr>
              <w:t>Lot</w:t>
            </w:r>
            <w:r>
              <w:rPr>
                <w:rFonts w:ascii="Calibri" w:hAnsi="Calibri"/>
                <w:spacing w:val="-4"/>
                <w:sz w:val="20"/>
              </w:rPr>
              <w:t> </w:t>
            </w:r>
            <w:r>
              <w:rPr>
                <w:rFonts w:ascii="Calibri" w:hAnsi="Calibri"/>
                <w:spacing w:val="-10"/>
                <w:sz w:val="20"/>
              </w:rPr>
              <w:t>3</w:t>
            </w:r>
          </w:p>
          <w:p>
            <w:pPr>
              <w:pStyle w:val="TableParagraph"/>
              <w:spacing w:before="1"/>
              <w:ind w:left="110" w:right="123"/>
              <w:rPr>
                <w:rFonts w:ascii="Calibri"/>
                <w:sz w:val="20"/>
              </w:rPr>
            </w:pPr>
            <w:r>
              <w:rPr>
                <w:rFonts w:ascii="Calibri"/>
                <w:sz w:val="20"/>
              </w:rPr>
              <w:t>except north 10 acres, Lot 4-6 inclusive, Lot 7 except</w:t>
            </w:r>
            <w:r>
              <w:rPr>
                <w:rFonts w:ascii="Calibri"/>
                <w:spacing w:val="-5"/>
                <w:sz w:val="20"/>
              </w:rPr>
              <w:t> </w:t>
            </w:r>
            <w:r>
              <w:rPr>
                <w:rFonts w:ascii="Calibri"/>
                <w:sz w:val="20"/>
              </w:rPr>
              <w:t>south</w:t>
            </w:r>
            <w:r>
              <w:rPr>
                <w:rFonts w:ascii="Calibri"/>
                <w:spacing w:val="-4"/>
                <w:sz w:val="20"/>
              </w:rPr>
              <w:t> </w:t>
            </w:r>
            <w:r>
              <w:rPr>
                <w:rFonts w:ascii="Calibri"/>
                <w:sz w:val="20"/>
              </w:rPr>
              <w:t>20</w:t>
            </w:r>
            <w:r>
              <w:rPr>
                <w:rFonts w:ascii="Calibri"/>
                <w:spacing w:val="-5"/>
                <w:sz w:val="20"/>
              </w:rPr>
              <w:t> </w:t>
            </w:r>
            <w:r>
              <w:rPr>
                <w:rFonts w:ascii="Calibri"/>
                <w:sz w:val="20"/>
              </w:rPr>
              <w:t>acres,</w:t>
            </w:r>
            <w:r>
              <w:rPr>
                <w:rFonts w:ascii="Calibri"/>
                <w:spacing w:val="-4"/>
                <w:sz w:val="20"/>
              </w:rPr>
              <w:t> </w:t>
            </w:r>
            <w:r>
              <w:rPr>
                <w:rFonts w:ascii="Calibri"/>
                <w:sz w:val="20"/>
              </w:rPr>
              <w:t>and</w:t>
            </w:r>
            <w:r>
              <w:rPr>
                <w:rFonts w:ascii="Calibri"/>
                <w:spacing w:val="-4"/>
                <w:sz w:val="20"/>
              </w:rPr>
              <w:t> </w:t>
            </w:r>
            <w:r>
              <w:rPr>
                <w:rFonts w:ascii="Calibri"/>
                <w:sz w:val="20"/>
              </w:rPr>
              <w:t>Lot</w:t>
            </w:r>
            <w:r>
              <w:rPr>
                <w:rFonts w:ascii="Calibri"/>
                <w:spacing w:val="-5"/>
                <w:sz w:val="20"/>
              </w:rPr>
              <w:t> </w:t>
            </w:r>
            <w:r>
              <w:rPr>
                <w:rFonts w:ascii="Calibri"/>
                <w:sz w:val="20"/>
              </w:rPr>
              <w:t>8</w:t>
            </w:r>
            <w:r>
              <w:rPr>
                <w:rFonts w:ascii="Calibri"/>
                <w:spacing w:val="-5"/>
                <w:sz w:val="20"/>
              </w:rPr>
              <w:t> </w:t>
            </w:r>
            <w:r>
              <w:rPr>
                <w:rFonts w:ascii="Calibri"/>
                <w:sz w:val="20"/>
              </w:rPr>
              <w:t>except</w:t>
            </w:r>
            <w:r>
              <w:rPr>
                <w:rFonts w:ascii="Calibri"/>
                <w:spacing w:val="-5"/>
                <w:sz w:val="20"/>
              </w:rPr>
              <w:t> </w:t>
            </w:r>
            <w:r>
              <w:rPr>
                <w:rFonts w:ascii="Calibri"/>
                <w:sz w:val="20"/>
              </w:rPr>
              <w:t>south</w:t>
            </w:r>
            <w:r>
              <w:rPr>
                <w:rFonts w:ascii="Calibri"/>
                <w:spacing w:val="-4"/>
                <w:sz w:val="20"/>
              </w:rPr>
              <w:t> </w:t>
            </w:r>
            <w:r>
              <w:rPr>
                <w:rFonts w:ascii="Calibri"/>
                <w:sz w:val="20"/>
              </w:rPr>
              <w:t>20</w:t>
            </w:r>
          </w:p>
          <w:p>
            <w:pPr>
              <w:pStyle w:val="TableParagraph"/>
              <w:spacing w:line="222" w:lineRule="exact" w:before="0"/>
              <w:ind w:left="110"/>
              <w:rPr>
                <w:rFonts w:ascii="Calibri"/>
                <w:sz w:val="20"/>
              </w:rPr>
            </w:pPr>
            <w:r>
              <w:rPr>
                <w:rFonts w:ascii="Calibri"/>
                <w:spacing w:val="-2"/>
                <w:sz w:val="20"/>
              </w:rPr>
              <w:t>acres.</w:t>
            </w:r>
          </w:p>
        </w:tc>
        <w:tc>
          <w:tcPr>
            <w:tcW w:w="900" w:type="dxa"/>
          </w:tcPr>
          <w:p>
            <w:pPr>
              <w:pStyle w:val="TableParagraph"/>
              <w:spacing w:line="243" w:lineRule="exact" w:before="0"/>
              <w:ind w:left="7"/>
              <w:jc w:val="center"/>
              <w:rPr>
                <w:rFonts w:ascii="Calibri"/>
                <w:sz w:val="20"/>
              </w:rPr>
            </w:pPr>
            <w:r>
              <w:rPr>
                <w:rFonts w:ascii="Calibri"/>
                <w:spacing w:val="-5"/>
                <w:sz w:val="20"/>
              </w:rPr>
              <w:t>576</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56</w:t>
            </w:r>
          </w:p>
        </w:tc>
        <w:tc>
          <w:tcPr>
            <w:tcW w:w="2527" w:type="dxa"/>
          </w:tcPr>
          <w:p>
            <w:pPr>
              <w:pStyle w:val="TableParagraph"/>
              <w:spacing w:line="240" w:lineRule="atLeast" w:before="0"/>
              <w:ind w:left="108"/>
              <w:rPr>
                <w:rFonts w:ascii="Calibri"/>
                <w:sz w:val="20"/>
              </w:rPr>
            </w:pPr>
            <w:r>
              <w:rPr>
                <w:rFonts w:ascii="Calibri"/>
                <w:sz w:val="20"/>
              </w:rPr>
              <w:t>No</w:t>
            </w:r>
            <w:r>
              <w:rPr>
                <w:rFonts w:ascii="Calibri"/>
                <w:spacing w:val="-12"/>
                <w:sz w:val="20"/>
              </w:rPr>
              <w:t> </w:t>
            </w:r>
            <w:r>
              <w:rPr>
                <w:rFonts w:ascii="Calibri"/>
                <w:sz w:val="20"/>
              </w:rPr>
              <w:t>Name</w:t>
            </w:r>
            <w:r>
              <w:rPr>
                <w:rFonts w:ascii="Calibri"/>
                <w:spacing w:val="-11"/>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3"/>
                <w:sz w:val="20"/>
              </w:rPr>
              <w:t> </w:t>
            </w:r>
            <w:r>
              <w:rPr>
                <w:rFonts w:ascii="Calibri" w:hAnsi="Calibri"/>
                <w:sz w:val="20"/>
              </w:rPr>
              <w:t>8,</w:t>
            </w:r>
            <w:r>
              <w:rPr>
                <w:rFonts w:ascii="Calibri" w:hAnsi="Calibri"/>
                <w:spacing w:val="-2"/>
                <w:sz w:val="20"/>
              </w:rPr>
              <w:t> </w:t>
            </w:r>
            <w:r>
              <w:rPr>
                <w:rFonts w:ascii="Calibri" w:hAnsi="Calibri"/>
                <w:sz w:val="20"/>
              </w:rPr>
              <w:t>Lot</w:t>
            </w:r>
            <w:r>
              <w:rPr>
                <w:rFonts w:ascii="Calibri" w:hAnsi="Calibri"/>
                <w:spacing w:val="-3"/>
                <w:sz w:val="20"/>
              </w:rPr>
              <w:t> </w:t>
            </w:r>
            <w:r>
              <w:rPr>
                <w:rFonts w:ascii="Calibri" w:hAnsi="Calibri"/>
                <w:sz w:val="20"/>
              </w:rPr>
              <w:t>1</w:t>
            </w:r>
            <w:r>
              <w:rPr>
                <w:rFonts w:ascii="Calibri" w:hAnsi="Calibri"/>
                <w:spacing w:val="-3"/>
                <w:sz w:val="20"/>
              </w:rPr>
              <w:t> </w:t>
            </w:r>
            <w:r>
              <w:rPr>
                <w:rFonts w:ascii="Calibri" w:hAnsi="Calibri"/>
                <w:sz w:val="20"/>
              </w:rPr>
              <w:t>and</w:t>
            </w:r>
            <w:r>
              <w:rPr>
                <w:rFonts w:ascii="Calibri" w:hAnsi="Calibri"/>
                <w:spacing w:val="-1"/>
                <w:sz w:val="20"/>
              </w:rPr>
              <w:t> </w:t>
            </w:r>
            <w:r>
              <w:rPr>
                <w:rFonts w:ascii="Calibri" w:hAnsi="Calibri"/>
                <w:sz w:val="20"/>
              </w:rPr>
              <w:t>NE¼</w:t>
            </w:r>
            <w:r>
              <w:rPr>
                <w:rFonts w:ascii="Calibri" w:hAnsi="Calibri"/>
                <w:spacing w:val="-3"/>
                <w:sz w:val="20"/>
              </w:rPr>
              <w:t> </w:t>
            </w:r>
            <w:r>
              <w:rPr>
                <w:rFonts w:ascii="Calibri" w:hAnsi="Calibri"/>
                <w:sz w:val="20"/>
              </w:rPr>
              <w:t>Lot</w:t>
            </w:r>
            <w:r>
              <w:rPr>
                <w:rFonts w:ascii="Calibri" w:hAnsi="Calibri"/>
                <w:spacing w:val="-3"/>
                <w:sz w:val="20"/>
              </w:rPr>
              <w:t> </w:t>
            </w:r>
            <w:r>
              <w:rPr>
                <w:rFonts w:ascii="Calibri" w:hAnsi="Calibri"/>
                <w:spacing w:val="-10"/>
                <w:sz w:val="20"/>
              </w:rPr>
              <w:t>2</w:t>
            </w:r>
          </w:p>
        </w:tc>
        <w:tc>
          <w:tcPr>
            <w:tcW w:w="900" w:type="dxa"/>
          </w:tcPr>
          <w:p>
            <w:pPr>
              <w:pStyle w:val="TableParagraph"/>
              <w:spacing w:before="1"/>
              <w:ind w:left="7" w:right="3"/>
              <w:jc w:val="center"/>
              <w:rPr>
                <w:rFonts w:ascii="Calibri"/>
                <w:sz w:val="20"/>
              </w:rPr>
            </w:pPr>
            <w:r>
              <w:rPr>
                <w:rFonts w:ascii="Calibri"/>
                <w:spacing w:val="-2"/>
                <w:sz w:val="20"/>
              </w:rPr>
              <w:t>35.74</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55</w:t>
            </w:r>
          </w:p>
        </w:tc>
        <w:tc>
          <w:tcPr>
            <w:tcW w:w="2527" w:type="dxa"/>
          </w:tcPr>
          <w:p>
            <w:pPr>
              <w:pStyle w:val="TableParagraph"/>
              <w:spacing w:line="240" w:lineRule="atLeast" w:before="0"/>
              <w:ind w:left="108" w:right="654"/>
              <w:rPr>
                <w:rFonts w:ascii="Calibri"/>
                <w:sz w:val="20"/>
              </w:rPr>
            </w:pPr>
            <w:r>
              <w:rPr>
                <w:rFonts w:ascii="Calibri"/>
                <w:sz w:val="20"/>
              </w:rPr>
              <w:t>Newport</w:t>
            </w:r>
            <w:r>
              <w:rPr>
                <w:rFonts w:ascii="Calibri"/>
                <w:spacing w:val="-12"/>
                <w:sz w:val="20"/>
              </w:rPr>
              <w:t> </w:t>
            </w:r>
            <w:r>
              <w:rPr>
                <w:rFonts w:ascii="Calibri"/>
                <w:sz w:val="20"/>
              </w:rPr>
              <w:t>Geophysical </w:t>
            </w:r>
            <w:r>
              <w:rPr>
                <w:rFonts w:ascii="Calibri"/>
                <w:spacing w:val="-2"/>
                <w:sz w:val="20"/>
              </w:rPr>
              <w:t>Observatory</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32</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7"/>
                <w:sz w:val="20"/>
              </w:rPr>
              <w:t> </w:t>
            </w:r>
            <w:r>
              <w:rPr>
                <w:rFonts w:ascii="Calibri"/>
                <w:spacing w:val="-5"/>
                <w:sz w:val="20"/>
              </w:rPr>
              <w:t>21</w:t>
            </w:r>
          </w:p>
        </w:tc>
        <w:tc>
          <w:tcPr>
            <w:tcW w:w="900" w:type="dxa"/>
          </w:tcPr>
          <w:p>
            <w:pPr>
              <w:pStyle w:val="TableParagraph"/>
              <w:spacing w:before="1"/>
              <w:ind w:left="7"/>
              <w:jc w:val="center"/>
              <w:rPr>
                <w:rFonts w:ascii="Calibri"/>
                <w:sz w:val="20"/>
              </w:rPr>
            </w:pPr>
            <w:r>
              <w:rPr>
                <w:rFonts w:ascii="Calibri"/>
                <w:spacing w:val="-5"/>
                <w:sz w:val="20"/>
              </w:rPr>
              <w:t>640</w:t>
            </w: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57</w:t>
            </w:r>
          </w:p>
        </w:tc>
        <w:tc>
          <w:tcPr>
            <w:tcW w:w="2527" w:type="dxa"/>
          </w:tcPr>
          <w:p>
            <w:pPr>
              <w:pStyle w:val="TableParagraph"/>
              <w:spacing w:line="243" w:lineRule="exact" w:before="0"/>
              <w:ind w:left="108"/>
              <w:rPr>
                <w:rFonts w:ascii="Calibri"/>
                <w:sz w:val="20"/>
              </w:rPr>
            </w:pPr>
            <w:r>
              <w:rPr>
                <w:rFonts w:ascii="Calibri"/>
                <w:sz w:val="20"/>
              </w:rPr>
              <w:t>Pal</w:t>
            </w:r>
            <w:r>
              <w:rPr>
                <w:rFonts w:ascii="Calibri"/>
                <w:spacing w:val="-5"/>
                <w:sz w:val="20"/>
              </w:rPr>
              <w:t> </w:t>
            </w:r>
            <w:r>
              <w:rPr>
                <w:rFonts w:ascii="Calibri"/>
                <w:sz w:val="20"/>
              </w:rPr>
              <w:t>Moore</w:t>
            </w:r>
            <w:r>
              <w:rPr>
                <w:rFonts w:ascii="Calibri"/>
                <w:spacing w:val="-5"/>
                <w:sz w:val="20"/>
              </w:rPr>
              <w:t> </w:t>
            </w:r>
            <w:r>
              <w:rPr>
                <w:rFonts w:ascii="Calibri"/>
                <w:sz w:val="20"/>
              </w:rPr>
              <w:t>Seed</w:t>
            </w:r>
            <w:r>
              <w:rPr>
                <w:rFonts w:ascii="Calibri"/>
                <w:spacing w:val="-3"/>
                <w:sz w:val="20"/>
              </w:rPr>
              <w:t> </w:t>
            </w:r>
            <w:r>
              <w:rPr>
                <w:rFonts w:ascii="Calibri"/>
                <w:spacing w:val="-2"/>
                <w:sz w:val="20"/>
              </w:rPr>
              <w:t>Orchard</w:t>
            </w:r>
          </w:p>
        </w:tc>
        <w:tc>
          <w:tcPr>
            <w:tcW w:w="2145" w:type="dxa"/>
          </w:tcPr>
          <w:p>
            <w:pPr>
              <w:pStyle w:val="TableParagraph"/>
              <w:spacing w:line="243"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33</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1,</w:t>
            </w:r>
            <w:r>
              <w:rPr>
                <w:rFonts w:ascii="Calibri" w:hAnsi="Calibri"/>
                <w:spacing w:val="-4"/>
                <w:sz w:val="20"/>
              </w:rPr>
              <w:t> </w:t>
            </w:r>
            <w:r>
              <w:rPr>
                <w:rFonts w:ascii="Calibri" w:hAnsi="Calibri"/>
                <w:sz w:val="20"/>
              </w:rPr>
              <w:t>W½E½,</w:t>
            </w:r>
            <w:r>
              <w:rPr>
                <w:rFonts w:ascii="Calibri" w:hAnsi="Calibri"/>
                <w:spacing w:val="-4"/>
                <w:sz w:val="20"/>
              </w:rPr>
              <w:t> </w:t>
            </w:r>
            <w:r>
              <w:rPr>
                <w:rFonts w:ascii="Calibri" w:hAnsi="Calibri"/>
                <w:sz w:val="20"/>
              </w:rPr>
              <w:t>and</w:t>
            </w:r>
            <w:r>
              <w:rPr>
                <w:rFonts w:ascii="Calibri" w:hAnsi="Calibri"/>
                <w:spacing w:val="-3"/>
                <w:sz w:val="20"/>
              </w:rPr>
              <w:t> </w:t>
            </w:r>
            <w:r>
              <w:rPr>
                <w:rFonts w:ascii="Calibri" w:hAnsi="Calibri"/>
                <w:sz w:val="20"/>
              </w:rPr>
              <w:t>W½</w:t>
            </w:r>
            <w:r>
              <w:rPr>
                <w:rFonts w:ascii="Calibri" w:hAnsi="Calibri"/>
                <w:spacing w:val="-4"/>
                <w:sz w:val="20"/>
              </w:rPr>
              <w:t> </w:t>
            </w:r>
            <w:r>
              <w:rPr>
                <w:rFonts w:ascii="Calibri" w:hAnsi="Calibri"/>
                <w:sz w:val="20"/>
              </w:rPr>
              <w:t>Lot</w:t>
            </w:r>
            <w:r>
              <w:rPr>
                <w:rFonts w:ascii="Calibri" w:hAnsi="Calibri"/>
                <w:spacing w:val="-5"/>
                <w:sz w:val="20"/>
              </w:rPr>
              <w:t> </w:t>
            </w:r>
            <w:r>
              <w:rPr>
                <w:rFonts w:ascii="Calibri" w:hAnsi="Calibri"/>
                <w:sz w:val="20"/>
              </w:rPr>
              <w:t>4,</w:t>
            </w:r>
            <w:r>
              <w:rPr>
                <w:rFonts w:ascii="Calibri" w:hAnsi="Calibri"/>
                <w:spacing w:val="-6"/>
                <w:sz w:val="20"/>
              </w:rPr>
              <w:t> </w:t>
            </w:r>
            <w:r>
              <w:rPr>
                <w:rFonts w:ascii="Calibri" w:hAnsi="Calibri"/>
                <w:sz w:val="20"/>
              </w:rPr>
              <w:t>W½SW¼NW¼;</w:t>
            </w:r>
            <w:r>
              <w:rPr>
                <w:rFonts w:ascii="Calibri" w:hAnsi="Calibri"/>
                <w:spacing w:val="-5"/>
                <w:sz w:val="20"/>
              </w:rPr>
              <w:t> </w:t>
            </w:r>
            <w:r>
              <w:rPr>
                <w:rFonts w:ascii="Calibri" w:hAnsi="Calibri"/>
                <w:spacing w:val="-4"/>
                <w:sz w:val="20"/>
              </w:rPr>
              <w:t>Sec.</w:t>
            </w:r>
          </w:p>
          <w:p>
            <w:pPr>
              <w:pStyle w:val="TableParagraph"/>
              <w:spacing w:line="223" w:lineRule="exact" w:before="0"/>
              <w:ind w:left="110"/>
              <w:rPr>
                <w:rFonts w:ascii="Calibri" w:hAnsi="Calibri"/>
                <w:sz w:val="20"/>
              </w:rPr>
            </w:pPr>
            <w:r>
              <w:rPr>
                <w:rFonts w:ascii="Calibri" w:hAnsi="Calibri"/>
                <w:sz w:val="20"/>
              </w:rPr>
              <w:t>2,</w:t>
            </w:r>
            <w:r>
              <w:rPr>
                <w:rFonts w:ascii="Calibri" w:hAnsi="Calibri"/>
                <w:spacing w:val="-3"/>
                <w:sz w:val="20"/>
              </w:rPr>
              <w:t> </w:t>
            </w:r>
            <w:r>
              <w:rPr>
                <w:rFonts w:ascii="Calibri" w:hAnsi="Calibri"/>
                <w:sz w:val="20"/>
              </w:rPr>
              <w:t>S½S½</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2"/>
                <w:sz w:val="20"/>
              </w:rPr>
              <w:t> </w:t>
            </w:r>
            <w:r>
              <w:rPr>
                <w:rFonts w:ascii="Calibri" w:hAnsi="Calibri"/>
                <w:sz w:val="20"/>
              </w:rPr>
              <w:t>S½SE¼</w:t>
            </w:r>
            <w:r>
              <w:rPr>
                <w:rFonts w:ascii="Calibri" w:hAnsi="Calibri"/>
                <w:spacing w:val="-4"/>
                <w:sz w:val="20"/>
              </w:rPr>
              <w:t> </w:t>
            </w:r>
            <w:r>
              <w:rPr>
                <w:rFonts w:ascii="Calibri" w:hAnsi="Calibri"/>
                <w:sz w:val="20"/>
              </w:rPr>
              <w:t>Lot</w:t>
            </w:r>
            <w:r>
              <w:rPr>
                <w:rFonts w:ascii="Calibri" w:hAnsi="Calibri"/>
                <w:spacing w:val="-3"/>
                <w:sz w:val="20"/>
              </w:rPr>
              <w:t> </w:t>
            </w:r>
            <w:r>
              <w:rPr>
                <w:rFonts w:ascii="Calibri" w:hAnsi="Calibri"/>
                <w:sz w:val="20"/>
              </w:rPr>
              <w:t>2,</w:t>
            </w:r>
            <w:r>
              <w:rPr>
                <w:rFonts w:ascii="Calibri" w:hAnsi="Calibri"/>
                <w:spacing w:val="-4"/>
                <w:sz w:val="20"/>
              </w:rPr>
              <w:t> </w:t>
            </w:r>
            <w:r>
              <w:rPr>
                <w:rFonts w:ascii="Calibri" w:hAnsi="Calibri"/>
                <w:spacing w:val="-2"/>
                <w:sz w:val="20"/>
              </w:rPr>
              <w:t>S½NE¼</w:t>
            </w:r>
          </w:p>
        </w:tc>
        <w:tc>
          <w:tcPr>
            <w:tcW w:w="900" w:type="dxa"/>
          </w:tcPr>
          <w:p>
            <w:pPr>
              <w:pStyle w:val="TableParagraph"/>
              <w:spacing w:line="243" w:lineRule="exact" w:before="0"/>
              <w:ind w:left="7" w:right="3"/>
              <w:jc w:val="center"/>
              <w:rPr>
                <w:rFonts w:ascii="Calibri"/>
                <w:sz w:val="20"/>
              </w:rPr>
            </w:pPr>
            <w:r>
              <w:rPr>
                <w:rFonts w:ascii="Calibri"/>
                <w:spacing w:val="-2"/>
                <w:sz w:val="20"/>
              </w:rPr>
              <w:t>146.22</w:t>
            </w:r>
          </w:p>
        </w:tc>
      </w:tr>
      <w:tr>
        <w:trPr>
          <w:trHeight w:val="976" w:hRule="atLeast"/>
        </w:trPr>
        <w:tc>
          <w:tcPr>
            <w:tcW w:w="835" w:type="dxa"/>
          </w:tcPr>
          <w:p>
            <w:pPr>
              <w:pStyle w:val="TableParagraph"/>
              <w:spacing w:before="1"/>
              <w:ind w:left="9" w:right="5"/>
              <w:jc w:val="center"/>
              <w:rPr>
                <w:rFonts w:ascii="Calibri"/>
                <w:sz w:val="20"/>
              </w:rPr>
            </w:pPr>
            <w:r>
              <w:rPr>
                <w:rFonts w:ascii="Calibri"/>
                <w:spacing w:val="-5"/>
                <w:sz w:val="20"/>
              </w:rPr>
              <w:t>70</w:t>
            </w:r>
          </w:p>
        </w:tc>
        <w:tc>
          <w:tcPr>
            <w:tcW w:w="2527" w:type="dxa"/>
          </w:tcPr>
          <w:p>
            <w:pPr>
              <w:pStyle w:val="TableParagraph"/>
              <w:spacing w:before="1"/>
              <w:ind w:left="108"/>
              <w:rPr>
                <w:rFonts w:ascii="Calibri"/>
                <w:sz w:val="20"/>
              </w:rPr>
            </w:pPr>
            <w:r>
              <w:rPr>
                <w:rFonts w:ascii="Calibri"/>
                <w:sz w:val="20"/>
              </w:rPr>
              <w:t>South</w:t>
            </w:r>
            <w:r>
              <w:rPr>
                <w:rFonts w:ascii="Calibri"/>
                <w:spacing w:val="-12"/>
                <w:sz w:val="20"/>
              </w:rPr>
              <w:t> </w:t>
            </w:r>
            <w:r>
              <w:rPr>
                <w:rFonts w:ascii="Calibri"/>
                <w:sz w:val="20"/>
              </w:rPr>
              <w:t>Skookum</w:t>
            </w:r>
            <w:r>
              <w:rPr>
                <w:rFonts w:ascii="Calibri"/>
                <w:spacing w:val="-11"/>
                <w:sz w:val="20"/>
              </w:rPr>
              <w:t> </w:t>
            </w:r>
            <w:r>
              <w:rPr>
                <w:rFonts w:ascii="Calibri"/>
                <w:sz w:val="20"/>
              </w:rPr>
              <w:t>Lake Recreation 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33</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1,</w:t>
            </w:r>
            <w:r>
              <w:rPr>
                <w:rFonts w:ascii="Calibri" w:hAnsi="Calibri"/>
                <w:spacing w:val="-3"/>
                <w:sz w:val="20"/>
              </w:rPr>
              <w:t> </w:t>
            </w:r>
            <w:r>
              <w:rPr>
                <w:rFonts w:ascii="Calibri" w:hAnsi="Calibri"/>
                <w:sz w:val="20"/>
              </w:rPr>
              <w:t>S½NW¼</w:t>
            </w:r>
            <w:r>
              <w:rPr>
                <w:rFonts w:ascii="Calibri" w:hAnsi="Calibri"/>
                <w:spacing w:val="-4"/>
                <w:sz w:val="20"/>
              </w:rPr>
              <w:t> </w:t>
            </w:r>
            <w:r>
              <w:rPr>
                <w:rFonts w:ascii="Calibri" w:hAnsi="Calibri"/>
                <w:sz w:val="20"/>
              </w:rPr>
              <w:t>Lot</w:t>
            </w:r>
            <w:r>
              <w:rPr>
                <w:rFonts w:ascii="Calibri" w:hAnsi="Calibri"/>
                <w:spacing w:val="-3"/>
                <w:sz w:val="20"/>
              </w:rPr>
              <w:t> </w:t>
            </w:r>
            <w:r>
              <w:rPr>
                <w:rFonts w:ascii="Calibri" w:hAnsi="Calibri"/>
                <w:sz w:val="20"/>
              </w:rPr>
              <w:t>1,</w:t>
            </w:r>
            <w:r>
              <w:rPr>
                <w:rFonts w:ascii="Calibri" w:hAnsi="Calibri"/>
                <w:spacing w:val="-3"/>
                <w:sz w:val="20"/>
              </w:rPr>
              <w:t> </w:t>
            </w:r>
            <w:r>
              <w:rPr>
                <w:rFonts w:ascii="Calibri" w:hAnsi="Calibri"/>
                <w:sz w:val="20"/>
              </w:rPr>
              <w:t>SW¼</w:t>
            </w:r>
            <w:r>
              <w:rPr>
                <w:rFonts w:ascii="Calibri" w:hAnsi="Calibri"/>
                <w:spacing w:val="-4"/>
                <w:sz w:val="20"/>
              </w:rPr>
              <w:t> </w:t>
            </w: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2"/>
                <w:sz w:val="20"/>
              </w:rPr>
              <w:t> </w:t>
            </w:r>
            <w:r>
              <w:rPr>
                <w:rFonts w:ascii="Calibri" w:hAnsi="Calibri"/>
                <w:sz w:val="20"/>
              </w:rPr>
              <w:t>W½SE¼</w:t>
            </w:r>
            <w:r>
              <w:rPr>
                <w:rFonts w:ascii="Calibri" w:hAnsi="Calibri"/>
                <w:spacing w:val="-4"/>
                <w:sz w:val="20"/>
              </w:rPr>
              <w:t> </w:t>
            </w:r>
            <w:r>
              <w:rPr>
                <w:rFonts w:ascii="Calibri" w:hAnsi="Calibri"/>
                <w:sz w:val="20"/>
              </w:rPr>
              <w:t>Lot</w:t>
            </w:r>
            <w:r>
              <w:rPr>
                <w:rFonts w:ascii="Calibri" w:hAnsi="Calibri"/>
                <w:spacing w:val="-4"/>
                <w:sz w:val="20"/>
              </w:rPr>
              <w:t> </w:t>
            </w:r>
            <w:r>
              <w:rPr>
                <w:rFonts w:ascii="Calibri" w:hAnsi="Calibri"/>
                <w:spacing w:val="-5"/>
                <w:sz w:val="20"/>
              </w:rPr>
              <w:t>1,</w:t>
            </w:r>
          </w:p>
          <w:p>
            <w:pPr>
              <w:pStyle w:val="TableParagraph"/>
              <w:spacing w:before="1"/>
              <w:ind w:left="110"/>
              <w:rPr>
                <w:rFonts w:ascii="Calibri" w:hAnsi="Calibri"/>
                <w:sz w:val="20"/>
              </w:rPr>
            </w:pPr>
            <w:r>
              <w:rPr>
                <w:rFonts w:ascii="Calibri" w:hAnsi="Calibri"/>
                <w:sz w:val="20"/>
              </w:rPr>
              <w:t>SE¼NE¼ Lot 2, E½SW¼ Lot 2, SE¼ Lot 2, E½SW¼NE¼,</w:t>
            </w:r>
            <w:r>
              <w:rPr>
                <w:rFonts w:ascii="Calibri" w:hAnsi="Calibri"/>
                <w:spacing w:val="-12"/>
                <w:sz w:val="20"/>
              </w:rPr>
              <w:t> </w:t>
            </w:r>
            <w:r>
              <w:rPr>
                <w:rFonts w:ascii="Calibri" w:hAnsi="Calibri"/>
                <w:sz w:val="20"/>
              </w:rPr>
              <w:t>E½W½SW¼NE¼,</w:t>
            </w:r>
            <w:r>
              <w:rPr>
                <w:rFonts w:ascii="Calibri" w:hAnsi="Calibri"/>
                <w:spacing w:val="-11"/>
                <w:sz w:val="20"/>
              </w:rPr>
              <w:t> </w:t>
            </w:r>
            <w:r>
              <w:rPr>
                <w:rFonts w:ascii="Calibri" w:hAnsi="Calibri"/>
                <w:sz w:val="20"/>
              </w:rPr>
              <w:t>W½NE¼SE¼NE¼,</w:t>
            </w:r>
          </w:p>
          <w:p>
            <w:pPr>
              <w:pStyle w:val="TableParagraph"/>
              <w:spacing w:line="222" w:lineRule="exact" w:before="0"/>
              <w:ind w:left="110"/>
              <w:rPr>
                <w:rFonts w:ascii="Calibri" w:hAnsi="Calibri"/>
                <w:sz w:val="20"/>
              </w:rPr>
            </w:pPr>
            <w:r>
              <w:rPr>
                <w:rFonts w:ascii="Calibri" w:hAnsi="Calibri"/>
                <w:spacing w:val="-2"/>
                <w:sz w:val="20"/>
              </w:rPr>
              <w:t>NW¼SE¼NE¼,</w:t>
            </w:r>
            <w:r>
              <w:rPr>
                <w:rFonts w:ascii="Calibri" w:hAnsi="Calibri"/>
                <w:spacing w:val="10"/>
                <w:sz w:val="20"/>
              </w:rPr>
              <w:t> </w:t>
            </w:r>
            <w:r>
              <w:rPr>
                <w:rFonts w:ascii="Calibri" w:hAnsi="Calibri"/>
                <w:spacing w:val="-2"/>
                <w:sz w:val="20"/>
              </w:rPr>
              <w:t>W½SW¼SE¼NE¼,</w:t>
            </w:r>
            <w:r>
              <w:rPr>
                <w:rFonts w:ascii="Calibri" w:hAnsi="Calibri"/>
                <w:spacing w:val="11"/>
                <w:sz w:val="20"/>
              </w:rPr>
              <w:t> </w:t>
            </w:r>
            <w:r>
              <w:rPr>
                <w:rFonts w:ascii="Calibri" w:hAnsi="Calibri"/>
                <w:spacing w:val="-2"/>
                <w:sz w:val="20"/>
              </w:rPr>
              <w:t>N½NE¼NW¼SE¼</w:t>
            </w:r>
          </w:p>
        </w:tc>
        <w:tc>
          <w:tcPr>
            <w:tcW w:w="900" w:type="dxa"/>
          </w:tcPr>
          <w:p>
            <w:pPr>
              <w:pStyle w:val="TableParagraph"/>
              <w:spacing w:before="1"/>
              <w:ind w:left="7" w:right="3"/>
              <w:jc w:val="center"/>
              <w:rPr>
                <w:rFonts w:ascii="Calibri"/>
                <w:sz w:val="20"/>
              </w:rPr>
            </w:pPr>
            <w:r>
              <w:rPr>
                <w:rFonts w:ascii="Calibri"/>
                <w:spacing w:val="-4"/>
                <w:sz w:val="20"/>
              </w:rPr>
              <w:t>92.5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11</w:t>
            </w:r>
          </w:p>
        </w:tc>
        <w:tc>
          <w:tcPr>
            <w:tcW w:w="2527" w:type="dxa"/>
          </w:tcPr>
          <w:p>
            <w:pPr>
              <w:pStyle w:val="TableParagraph"/>
              <w:spacing w:line="223" w:lineRule="exact" w:before="1"/>
              <w:ind w:left="108"/>
              <w:rPr>
                <w:rFonts w:ascii="Calibri"/>
                <w:sz w:val="20"/>
              </w:rPr>
            </w:pPr>
            <w:r>
              <w:rPr>
                <w:rFonts w:ascii="Calibri"/>
                <w:sz w:val="20"/>
              </w:rPr>
              <w:t>Cooks</w:t>
            </w:r>
            <w:r>
              <w:rPr>
                <w:rFonts w:ascii="Calibri"/>
                <w:spacing w:val="-7"/>
                <w:sz w:val="20"/>
              </w:rPr>
              <w:t> </w:t>
            </w:r>
            <w:r>
              <w:rPr>
                <w:rFonts w:ascii="Calibri"/>
                <w:sz w:val="20"/>
              </w:rPr>
              <w:t>Lake</w:t>
            </w:r>
            <w:r>
              <w:rPr>
                <w:rFonts w:ascii="Calibri"/>
                <w:spacing w:val="35"/>
                <w:sz w:val="20"/>
              </w:rPr>
              <w:t> </w:t>
            </w:r>
            <w:r>
              <w:rPr>
                <w:rFonts w:ascii="Calibri"/>
                <w:sz w:val="20"/>
              </w:rPr>
              <w:t>Recreation</w:t>
            </w:r>
            <w:r>
              <w:rPr>
                <w:rFonts w:ascii="Calibri"/>
                <w:spacing w:val="-5"/>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33</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24,</w:t>
            </w:r>
            <w:r>
              <w:rPr>
                <w:rFonts w:ascii="Calibri" w:hAnsi="Calibri"/>
                <w:spacing w:val="-4"/>
                <w:sz w:val="20"/>
              </w:rPr>
              <w:t> </w:t>
            </w:r>
            <w:r>
              <w:rPr>
                <w:rFonts w:ascii="Calibri" w:hAnsi="Calibri"/>
                <w:spacing w:val="-2"/>
                <w:sz w:val="20"/>
              </w:rPr>
              <w:t>NE¼SE¼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22</w:t>
            </w:r>
          </w:p>
        </w:tc>
        <w:tc>
          <w:tcPr>
            <w:tcW w:w="2527" w:type="dxa"/>
          </w:tcPr>
          <w:p>
            <w:pPr>
              <w:pStyle w:val="TableParagraph"/>
              <w:spacing w:line="223" w:lineRule="exact" w:before="1"/>
              <w:ind w:left="108"/>
              <w:rPr>
                <w:rFonts w:ascii="Calibri"/>
                <w:sz w:val="20"/>
              </w:rPr>
            </w:pPr>
            <w:r>
              <w:rPr>
                <w:rFonts w:ascii="Calibri"/>
                <w:sz w:val="20"/>
              </w:rPr>
              <w:t>Drycreek</w:t>
            </w:r>
            <w:r>
              <w:rPr>
                <w:rFonts w:ascii="Calibri"/>
                <w:spacing w:val="-10"/>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33</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8"/>
                <w:sz w:val="20"/>
              </w:rPr>
              <w:t> </w:t>
            </w:r>
            <w:r>
              <w:rPr>
                <w:rFonts w:ascii="Calibri" w:hAnsi="Calibri"/>
                <w:sz w:val="20"/>
              </w:rPr>
              <w:t>30,</w:t>
            </w:r>
            <w:r>
              <w:rPr>
                <w:rFonts w:ascii="Calibri" w:hAnsi="Calibri"/>
                <w:spacing w:val="-6"/>
                <w:sz w:val="20"/>
              </w:rPr>
              <w:t> </w:t>
            </w:r>
            <w:r>
              <w:rPr>
                <w:rFonts w:ascii="Calibri" w:hAnsi="Calibri"/>
                <w:sz w:val="20"/>
              </w:rPr>
              <w:t>SW¼NE¼SE¼,</w:t>
            </w:r>
            <w:r>
              <w:rPr>
                <w:rFonts w:ascii="Calibri" w:hAnsi="Calibri"/>
                <w:spacing w:val="-6"/>
                <w:sz w:val="20"/>
              </w:rPr>
              <w:t> </w:t>
            </w:r>
            <w:r>
              <w:rPr>
                <w:rFonts w:ascii="Calibri" w:hAnsi="Calibri"/>
                <w:sz w:val="20"/>
              </w:rPr>
              <w:t>E½SE¼SE¼,</w:t>
            </w:r>
            <w:r>
              <w:rPr>
                <w:rFonts w:ascii="Calibri" w:hAnsi="Calibri"/>
                <w:spacing w:val="-7"/>
                <w:sz w:val="20"/>
              </w:rPr>
              <w:t> </w:t>
            </w:r>
            <w:r>
              <w:rPr>
                <w:rFonts w:ascii="Calibri" w:hAnsi="Calibri"/>
                <w:spacing w:val="-2"/>
                <w:sz w:val="20"/>
              </w:rPr>
              <w:t>NW¼SE¼SE¼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bl>
    <w:p>
      <w:pPr>
        <w:pStyle w:val="BodyText"/>
        <w:spacing w:before="61"/>
        <w:rPr>
          <w:rFonts w:ascii="Arial"/>
          <w:b/>
          <w:sz w:val="20"/>
        </w:rPr>
      </w:pPr>
      <w:r>
        <w:rPr>
          <w:rFonts w:ascii="Arial"/>
          <w:b/>
          <w:sz w:val="20"/>
        </w:rPr>
        <mc:AlternateContent>
          <mc:Choice Requires="wps">
            <w:drawing>
              <wp:anchor distT="0" distB="0" distL="0" distR="0" allowOverlap="1" layoutInCell="1" locked="0" behindDoc="1" simplePos="0" relativeHeight="487647744">
                <wp:simplePos x="0" y="0"/>
                <wp:positionH relativeFrom="page">
                  <wp:posOffset>914400</wp:posOffset>
                </wp:positionH>
                <wp:positionV relativeFrom="paragraph">
                  <wp:posOffset>200298</wp:posOffset>
                </wp:positionV>
                <wp:extent cx="1828800" cy="7620"/>
                <wp:effectExtent l="0" t="0" r="0" b="0"/>
                <wp:wrapTopAndBottom/>
                <wp:docPr id="392" name="Graphic 392"/>
                <wp:cNvGraphicFramePr>
                  <a:graphicFrameLocks/>
                </wp:cNvGraphicFramePr>
                <a:graphic>
                  <a:graphicData uri="http://schemas.microsoft.com/office/word/2010/wordprocessingShape">
                    <wps:wsp>
                      <wps:cNvPr id="392" name="Graphic 392"/>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5.7715pt;width:144pt;height:.599pt;mso-position-horizontal-relative:page;mso-position-vertical-relative:paragraph;z-index:-15668736;mso-wrap-distance-left:0;mso-wrap-distance-right:0" id="docshape367" filled="true" fillcolor="#000000" stroked="false">
                <v:fill type="solid"/>
                <w10:wrap type="topAndBottom"/>
              </v:rect>
            </w:pict>
          </mc:Fallback>
        </mc:AlternateContent>
      </w:r>
    </w:p>
    <w:p>
      <w:pPr>
        <w:spacing w:before="95"/>
        <w:ind w:left="360" w:right="0" w:firstLine="0"/>
        <w:jc w:val="left"/>
        <w:rPr>
          <w:sz w:val="18"/>
        </w:rPr>
      </w:pPr>
      <w:r>
        <w:rPr>
          <w:position w:val="5"/>
          <w:sz w:val="12"/>
        </w:rPr>
        <w:t>34</w:t>
      </w:r>
      <w:r>
        <w:rPr>
          <w:spacing w:val="11"/>
          <w:position w:val="5"/>
          <w:sz w:val="12"/>
        </w:rPr>
        <w:t> </w:t>
      </w:r>
      <w:r>
        <w:rPr>
          <w:sz w:val="18"/>
        </w:rPr>
        <w:t>Metes</w:t>
      </w:r>
      <w:r>
        <w:rPr>
          <w:spacing w:val="-2"/>
          <w:sz w:val="18"/>
        </w:rPr>
        <w:t> </w:t>
      </w:r>
      <w:r>
        <w:rPr>
          <w:sz w:val="18"/>
        </w:rPr>
        <w:t>and</w:t>
      </w:r>
      <w:r>
        <w:rPr>
          <w:spacing w:val="-2"/>
          <w:sz w:val="18"/>
        </w:rPr>
        <w:t> </w:t>
      </w:r>
      <w:r>
        <w:rPr>
          <w:sz w:val="18"/>
        </w:rPr>
        <w:t>Bounds</w:t>
      </w:r>
      <w:r>
        <w:rPr>
          <w:spacing w:val="-2"/>
          <w:sz w:val="18"/>
        </w:rPr>
        <w:t> </w:t>
      </w:r>
      <w:r>
        <w:rPr>
          <w:sz w:val="18"/>
        </w:rPr>
        <w:t>survey</w:t>
      </w:r>
      <w:r>
        <w:rPr>
          <w:spacing w:val="-1"/>
          <w:sz w:val="18"/>
        </w:rPr>
        <w:t> </w:t>
      </w:r>
      <w:r>
        <w:rPr>
          <w:sz w:val="18"/>
        </w:rPr>
        <w:t>was</w:t>
      </w:r>
      <w:r>
        <w:rPr>
          <w:spacing w:val="-2"/>
          <w:sz w:val="18"/>
        </w:rPr>
        <w:t> conducted.</w:t>
      </w:r>
    </w:p>
    <w:p>
      <w:pPr>
        <w:spacing w:after="0"/>
        <w:jc w:val="left"/>
        <w:rPr>
          <w:sz w:val="18"/>
        </w:rPr>
        <w:sectPr>
          <w:pgSz w:w="15840" w:h="12240" w:orient="landscape"/>
          <w:pgMar w:header="725" w:footer="891" w:top="1440" w:bottom="1080" w:left="1080" w:right="360"/>
        </w:sectPr>
      </w:pPr>
    </w:p>
    <w:p>
      <w:pPr>
        <w:pStyle w:val="BodyText"/>
        <w:spacing w:before="169"/>
        <w:rPr>
          <w:sz w:val="20"/>
        </w:r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3"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976" w:hRule="atLeast"/>
        </w:trPr>
        <w:tc>
          <w:tcPr>
            <w:tcW w:w="835" w:type="dxa"/>
          </w:tcPr>
          <w:p>
            <w:pPr>
              <w:pStyle w:val="TableParagraph"/>
              <w:spacing w:before="1"/>
              <w:ind w:left="9" w:right="4"/>
              <w:jc w:val="center"/>
              <w:rPr>
                <w:rFonts w:ascii="Calibri"/>
                <w:sz w:val="20"/>
              </w:rPr>
            </w:pPr>
            <w:r>
              <w:rPr>
                <w:rFonts w:ascii="Calibri"/>
                <w:spacing w:val="-10"/>
                <w:sz w:val="20"/>
              </w:rPr>
              <w:t>2</w:t>
            </w:r>
          </w:p>
        </w:tc>
        <w:tc>
          <w:tcPr>
            <w:tcW w:w="2527" w:type="dxa"/>
          </w:tcPr>
          <w:p>
            <w:pPr>
              <w:pStyle w:val="TableParagraph"/>
              <w:spacing w:before="1"/>
              <w:ind w:left="108"/>
              <w:rPr>
                <w:rFonts w:ascii="Calibri"/>
                <w:sz w:val="20"/>
              </w:rPr>
            </w:pPr>
            <w:r>
              <w:rPr>
                <w:rFonts w:ascii="Calibri"/>
                <w:sz w:val="20"/>
              </w:rPr>
              <w:t>Bead</w:t>
            </w:r>
            <w:r>
              <w:rPr>
                <w:rFonts w:ascii="Calibri"/>
                <w:spacing w:val="-6"/>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33</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5"/>
                <w:sz w:val="20"/>
              </w:rPr>
              <w:t> </w:t>
            </w:r>
            <w:r>
              <w:rPr>
                <w:rFonts w:ascii="Calibri"/>
                <w:sz w:val="20"/>
              </w:rPr>
              <w:t>34,</w:t>
            </w:r>
            <w:r>
              <w:rPr>
                <w:rFonts w:ascii="Calibri"/>
                <w:spacing w:val="-4"/>
                <w:sz w:val="20"/>
              </w:rPr>
              <w:t> </w:t>
            </w:r>
            <w:r>
              <w:rPr>
                <w:rFonts w:ascii="Calibri"/>
                <w:sz w:val="20"/>
              </w:rPr>
              <w:t>Lot</w:t>
            </w:r>
            <w:r>
              <w:rPr>
                <w:rFonts w:ascii="Calibri"/>
                <w:spacing w:val="-4"/>
                <w:sz w:val="20"/>
              </w:rPr>
              <w:t> </w:t>
            </w:r>
            <w:r>
              <w:rPr>
                <w:rFonts w:ascii="Calibri"/>
                <w:sz w:val="20"/>
              </w:rPr>
              <w:t>1</w:t>
            </w:r>
            <w:r>
              <w:rPr>
                <w:rFonts w:ascii="Calibri"/>
                <w:spacing w:val="-4"/>
                <w:sz w:val="20"/>
              </w:rPr>
              <w:t> </w:t>
            </w:r>
            <w:r>
              <w:rPr>
                <w:rFonts w:ascii="Calibri"/>
                <w:sz w:val="20"/>
              </w:rPr>
              <w:t>except</w:t>
            </w:r>
            <w:r>
              <w:rPr>
                <w:rFonts w:ascii="Calibri"/>
                <w:spacing w:val="-4"/>
                <w:sz w:val="20"/>
              </w:rPr>
              <w:t> </w:t>
            </w:r>
            <w:r>
              <w:rPr>
                <w:rFonts w:ascii="Calibri"/>
                <w:sz w:val="20"/>
              </w:rPr>
              <w:t>north</w:t>
            </w:r>
            <w:r>
              <w:rPr>
                <w:rFonts w:ascii="Calibri"/>
                <w:spacing w:val="-3"/>
                <w:sz w:val="20"/>
              </w:rPr>
              <w:t> </w:t>
            </w:r>
            <w:r>
              <w:rPr>
                <w:rFonts w:ascii="Calibri"/>
                <w:sz w:val="20"/>
              </w:rPr>
              <w:t>20</w:t>
            </w:r>
            <w:r>
              <w:rPr>
                <w:rFonts w:ascii="Calibri"/>
                <w:spacing w:val="-4"/>
                <w:sz w:val="20"/>
              </w:rPr>
              <w:t> </w:t>
            </w:r>
            <w:r>
              <w:rPr>
                <w:rFonts w:ascii="Calibri"/>
                <w:sz w:val="20"/>
              </w:rPr>
              <w:t>acres,</w:t>
            </w:r>
            <w:r>
              <w:rPr>
                <w:rFonts w:ascii="Calibri"/>
                <w:spacing w:val="-3"/>
                <w:sz w:val="20"/>
              </w:rPr>
              <w:t> </w:t>
            </w:r>
            <w:r>
              <w:rPr>
                <w:rFonts w:ascii="Calibri"/>
                <w:sz w:val="20"/>
              </w:rPr>
              <w:t>Lot</w:t>
            </w:r>
            <w:r>
              <w:rPr>
                <w:rFonts w:ascii="Calibri"/>
                <w:spacing w:val="-4"/>
                <w:sz w:val="20"/>
              </w:rPr>
              <w:t> </w:t>
            </w:r>
            <w:r>
              <w:rPr>
                <w:rFonts w:ascii="Calibri"/>
                <w:sz w:val="20"/>
              </w:rPr>
              <w:t>2</w:t>
            </w:r>
            <w:r>
              <w:rPr>
                <w:rFonts w:ascii="Calibri"/>
                <w:spacing w:val="-4"/>
                <w:sz w:val="20"/>
              </w:rPr>
              <w:t> </w:t>
            </w:r>
            <w:r>
              <w:rPr>
                <w:rFonts w:ascii="Calibri"/>
                <w:spacing w:val="-2"/>
                <w:sz w:val="20"/>
              </w:rPr>
              <w:t>except</w:t>
            </w:r>
          </w:p>
          <w:p>
            <w:pPr>
              <w:pStyle w:val="TableParagraph"/>
              <w:spacing w:line="243" w:lineRule="exact" w:before="1"/>
              <w:ind w:left="110"/>
              <w:rPr>
                <w:rFonts w:ascii="Calibri"/>
                <w:sz w:val="20"/>
              </w:rPr>
            </w:pPr>
            <w:r>
              <w:rPr>
                <w:rFonts w:ascii="Calibri"/>
                <w:sz w:val="20"/>
              </w:rPr>
              <w:t>west</w:t>
            </w:r>
            <w:r>
              <w:rPr>
                <w:rFonts w:ascii="Calibri"/>
                <w:spacing w:val="-5"/>
                <w:sz w:val="20"/>
              </w:rPr>
              <w:t> </w:t>
            </w:r>
            <w:r>
              <w:rPr>
                <w:rFonts w:ascii="Calibri"/>
                <w:sz w:val="20"/>
              </w:rPr>
              <w:t>20</w:t>
            </w:r>
            <w:r>
              <w:rPr>
                <w:rFonts w:ascii="Calibri"/>
                <w:spacing w:val="-4"/>
                <w:sz w:val="20"/>
              </w:rPr>
              <w:t> </w:t>
            </w:r>
            <w:r>
              <w:rPr>
                <w:rFonts w:ascii="Calibri"/>
                <w:sz w:val="20"/>
              </w:rPr>
              <w:t>acres,</w:t>
            </w:r>
            <w:r>
              <w:rPr>
                <w:rFonts w:ascii="Calibri"/>
                <w:spacing w:val="-3"/>
                <w:sz w:val="20"/>
              </w:rPr>
              <w:t> </w:t>
            </w:r>
            <w:r>
              <w:rPr>
                <w:rFonts w:ascii="Calibri"/>
                <w:sz w:val="20"/>
              </w:rPr>
              <w:t>Lot</w:t>
            </w:r>
            <w:r>
              <w:rPr>
                <w:rFonts w:ascii="Calibri"/>
                <w:spacing w:val="-4"/>
                <w:sz w:val="20"/>
              </w:rPr>
              <w:t> </w:t>
            </w:r>
            <w:r>
              <w:rPr>
                <w:rFonts w:ascii="Calibri"/>
                <w:sz w:val="20"/>
              </w:rPr>
              <w:t>3</w:t>
            </w:r>
            <w:r>
              <w:rPr>
                <w:rFonts w:ascii="Calibri"/>
                <w:spacing w:val="-5"/>
                <w:sz w:val="20"/>
              </w:rPr>
              <w:t> </w:t>
            </w:r>
            <w:r>
              <w:rPr>
                <w:rFonts w:ascii="Calibri"/>
                <w:sz w:val="20"/>
              </w:rPr>
              <w:t>except</w:t>
            </w:r>
            <w:r>
              <w:rPr>
                <w:rFonts w:ascii="Calibri"/>
                <w:spacing w:val="-4"/>
                <w:sz w:val="20"/>
              </w:rPr>
              <w:t> </w:t>
            </w:r>
            <w:r>
              <w:rPr>
                <w:rFonts w:ascii="Calibri"/>
                <w:sz w:val="20"/>
              </w:rPr>
              <w:t>east</w:t>
            </w:r>
            <w:r>
              <w:rPr>
                <w:rFonts w:ascii="Calibri"/>
                <w:spacing w:val="-4"/>
                <w:sz w:val="20"/>
              </w:rPr>
              <w:t> </w:t>
            </w:r>
            <w:r>
              <w:rPr>
                <w:rFonts w:ascii="Calibri"/>
                <w:sz w:val="20"/>
              </w:rPr>
              <w:t>20</w:t>
            </w:r>
            <w:r>
              <w:rPr>
                <w:rFonts w:ascii="Calibri"/>
                <w:spacing w:val="-4"/>
                <w:sz w:val="20"/>
              </w:rPr>
              <w:t> </w:t>
            </w:r>
            <w:r>
              <w:rPr>
                <w:rFonts w:ascii="Calibri"/>
                <w:sz w:val="20"/>
              </w:rPr>
              <w:t>acres,</w:t>
            </w:r>
            <w:r>
              <w:rPr>
                <w:rFonts w:ascii="Calibri"/>
                <w:spacing w:val="-3"/>
                <w:sz w:val="20"/>
              </w:rPr>
              <w:t> </w:t>
            </w:r>
            <w:r>
              <w:rPr>
                <w:rFonts w:ascii="Calibri"/>
                <w:sz w:val="20"/>
              </w:rPr>
              <w:t>lot</w:t>
            </w:r>
            <w:r>
              <w:rPr>
                <w:rFonts w:ascii="Calibri"/>
                <w:spacing w:val="-5"/>
                <w:sz w:val="20"/>
              </w:rPr>
              <w:t> </w:t>
            </w:r>
            <w:r>
              <w:rPr>
                <w:rFonts w:ascii="Calibri"/>
                <w:spacing w:val="-10"/>
                <w:sz w:val="20"/>
              </w:rPr>
              <w:t>4</w:t>
            </w:r>
          </w:p>
          <w:p>
            <w:pPr>
              <w:pStyle w:val="TableParagraph"/>
              <w:spacing w:line="243" w:lineRule="exact" w:before="0"/>
              <w:ind w:left="110"/>
              <w:rPr>
                <w:rFonts w:ascii="Calibri"/>
                <w:sz w:val="20"/>
              </w:rPr>
            </w:pPr>
            <w:r>
              <w:rPr>
                <w:rFonts w:ascii="Calibri"/>
                <w:sz w:val="20"/>
              </w:rPr>
              <w:t>except</w:t>
            </w:r>
            <w:r>
              <w:rPr>
                <w:rFonts w:ascii="Calibri"/>
                <w:spacing w:val="-5"/>
                <w:sz w:val="20"/>
              </w:rPr>
              <w:t> </w:t>
            </w:r>
            <w:r>
              <w:rPr>
                <w:rFonts w:ascii="Calibri"/>
                <w:sz w:val="20"/>
              </w:rPr>
              <w:t>east</w:t>
            </w:r>
            <w:r>
              <w:rPr>
                <w:rFonts w:ascii="Calibri"/>
                <w:spacing w:val="-4"/>
                <w:sz w:val="20"/>
              </w:rPr>
              <w:t> </w:t>
            </w:r>
            <w:r>
              <w:rPr>
                <w:rFonts w:ascii="Calibri"/>
                <w:sz w:val="20"/>
              </w:rPr>
              <w:t>20</w:t>
            </w:r>
            <w:r>
              <w:rPr>
                <w:rFonts w:ascii="Calibri"/>
                <w:spacing w:val="-4"/>
                <w:sz w:val="20"/>
              </w:rPr>
              <w:t> </w:t>
            </w:r>
            <w:r>
              <w:rPr>
                <w:rFonts w:ascii="Calibri"/>
                <w:sz w:val="20"/>
              </w:rPr>
              <w:t>acres,</w:t>
            </w:r>
            <w:r>
              <w:rPr>
                <w:rFonts w:ascii="Calibri"/>
                <w:spacing w:val="-3"/>
                <w:sz w:val="20"/>
              </w:rPr>
              <w:t> </w:t>
            </w:r>
            <w:r>
              <w:rPr>
                <w:rFonts w:ascii="Calibri"/>
                <w:sz w:val="20"/>
              </w:rPr>
              <w:t>lot</w:t>
            </w:r>
            <w:r>
              <w:rPr>
                <w:rFonts w:ascii="Calibri"/>
                <w:spacing w:val="-4"/>
                <w:sz w:val="20"/>
              </w:rPr>
              <w:t> </w:t>
            </w:r>
            <w:r>
              <w:rPr>
                <w:rFonts w:ascii="Calibri"/>
                <w:sz w:val="20"/>
              </w:rPr>
              <w:t>5,</w:t>
            </w:r>
            <w:r>
              <w:rPr>
                <w:rFonts w:ascii="Calibri"/>
                <w:spacing w:val="-4"/>
                <w:sz w:val="20"/>
              </w:rPr>
              <w:t> </w:t>
            </w:r>
            <w:r>
              <w:rPr>
                <w:rFonts w:ascii="Calibri"/>
                <w:sz w:val="20"/>
              </w:rPr>
              <w:t>Lot</w:t>
            </w:r>
            <w:r>
              <w:rPr>
                <w:rFonts w:ascii="Calibri"/>
                <w:spacing w:val="-4"/>
                <w:sz w:val="20"/>
              </w:rPr>
              <w:t> </w:t>
            </w:r>
            <w:r>
              <w:rPr>
                <w:rFonts w:ascii="Calibri"/>
                <w:sz w:val="20"/>
              </w:rPr>
              <w:t>6,</w:t>
            </w:r>
            <w:r>
              <w:rPr>
                <w:rFonts w:ascii="Calibri"/>
                <w:spacing w:val="-3"/>
                <w:sz w:val="20"/>
              </w:rPr>
              <w:t> </w:t>
            </w:r>
            <w:r>
              <w:rPr>
                <w:rFonts w:ascii="Calibri"/>
                <w:spacing w:val="-5"/>
                <w:sz w:val="20"/>
              </w:rPr>
              <w:t>and</w:t>
            </w:r>
          </w:p>
          <w:p>
            <w:pPr>
              <w:pStyle w:val="TableParagraph"/>
              <w:spacing w:line="223" w:lineRule="exact" w:before="0"/>
              <w:ind w:left="110"/>
              <w:rPr>
                <w:rFonts w:ascii="Calibri" w:hAnsi="Calibri"/>
                <w:sz w:val="20"/>
              </w:rPr>
            </w:pPr>
            <w:r>
              <w:rPr>
                <w:rFonts w:ascii="Calibri" w:hAnsi="Calibri"/>
                <w:spacing w:val="-2"/>
                <w:sz w:val="20"/>
              </w:rPr>
              <w:t>SW¼SW¼NE¼</w:t>
            </w:r>
          </w:p>
        </w:tc>
        <w:tc>
          <w:tcPr>
            <w:tcW w:w="900" w:type="dxa"/>
          </w:tcPr>
          <w:p>
            <w:pPr>
              <w:pStyle w:val="TableParagraph"/>
              <w:spacing w:before="0"/>
              <w:rPr>
                <w:rFonts w:ascii="Times New Roman"/>
                <w:sz w:val="18"/>
              </w:rPr>
            </w:pP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58</w:t>
            </w:r>
          </w:p>
        </w:tc>
        <w:tc>
          <w:tcPr>
            <w:tcW w:w="2527" w:type="dxa"/>
          </w:tcPr>
          <w:p>
            <w:pPr>
              <w:pStyle w:val="TableParagraph"/>
              <w:spacing w:before="1"/>
              <w:ind w:left="108"/>
              <w:rPr>
                <w:rFonts w:ascii="Calibri"/>
                <w:sz w:val="20"/>
              </w:rPr>
            </w:pPr>
            <w:r>
              <w:rPr>
                <w:rFonts w:ascii="Calibri"/>
                <w:sz w:val="20"/>
              </w:rPr>
              <w:t>Parker</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34</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 3, W½W½</w:t>
            </w:r>
            <w:r>
              <w:rPr>
                <w:rFonts w:ascii="Calibri" w:hAnsi="Calibri"/>
                <w:spacing w:val="40"/>
                <w:sz w:val="20"/>
              </w:rPr>
              <w:t> </w:t>
            </w:r>
            <w:r>
              <w:rPr>
                <w:rFonts w:ascii="Calibri" w:hAnsi="Calibri"/>
                <w:sz w:val="20"/>
              </w:rPr>
              <w:t>Lot 2, Lot 3, W½W½SW¼NE¼, SE¼NW¼,</w:t>
            </w:r>
            <w:r>
              <w:rPr>
                <w:rFonts w:ascii="Calibri" w:hAnsi="Calibri"/>
                <w:spacing w:val="-12"/>
                <w:sz w:val="20"/>
              </w:rPr>
              <w:t> </w:t>
            </w:r>
            <w:r>
              <w:rPr>
                <w:rFonts w:ascii="Calibri" w:hAnsi="Calibri"/>
                <w:sz w:val="20"/>
              </w:rPr>
              <w:t>N½NE¼NE¼SW¼,</w:t>
            </w:r>
            <w:r>
              <w:rPr>
                <w:rFonts w:ascii="Calibri" w:hAnsi="Calibri"/>
                <w:spacing w:val="-11"/>
                <w:sz w:val="20"/>
              </w:rPr>
              <w:t> </w:t>
            </w:r>
            <w:r>
              <w:rPr>
                <w:rFonts w:ascii="Calibri" w:hAnsi="Calibri"/>
                <w:sz w:val="20"/>
              </w:rPr>
              <w:t>NW¼NW¼NW¼SE¼</w:t>
            </w:r>
          </w:p>
        </w:tc>
        <w:tc>
          <w:tcPr>
            <w:tcW w:w="900" w:type="dxa"/>
          </w:tcPr>
          <w:p>
            <w:pPr>
              <w:pStyle w:val="TableParagraph"/>
              <w:spacing w:before="1"/>
              <w:ind w:left="7" w:right="3"/>
              <w:jc w:val="center"/>
              <w:rPr>
                <w:rFonts w:ascii="Calibri"/>
                <w:sz w:val="20"/>
              </w:rPr>
            </w:pPr>
            <w:r>
              <w:rPr>
                <w:rFonts w:ascii="Calibri"/>
                <w:spacing w:val="-2"/>
                <w:sz w:val="20"/>
              </w:rPr>
              <w:t>107.75</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3" w:lineRule="exact" w:before="1"/>
              <w:ind w:left="108"/>
              <w:rPr>
                <w:rFonts w:ascii="Calibri"/>
                <w:sz w:val="20"/>
              </w:rPr>
            </w:pPr>
            <w:r>
              <w:rPr>
                <w:rFonts w:ascii="Calibri"/>
                <w:sz w:val="20"/>
              </w:rPr>
              <w:t>Federal</w:t>
            </w:r>
            <w:r>
              <w:rPr>
                <w:rFonts w:ascii="Calibri"/>
                <w:spacing w:val="-8"/>
                <w:sz w:val="20"/>
              </w:rPr>
              <w:t> </w:t>
            </w:r>
            <w:r>
              <w:rPr>
                <w:rFonts w:ascii="Calibri"/>
                <w:sz w:val="20"/>
              </w:rPr>
              <w:t>Power</w:t>
            </w:r>
            <w:r>
              <w:rPr>
                <w:rFonts w:ascii="Calibri"/>
                <w:spacing w:val="-7"/>
                <w:sz w:val="20"/>
              </w:rPr>
              <w:t> </w:t>
            </w:r>
            <w:r>
              <w:rPr>
                <w:rFonts w:ascii="Calibri"/>
                <w:spacing w:val="-2"/>
                <w:sz w:val="20"/>
              </w:rPr>
              <w:t>Commission</w:t>
            </w:r>
          </w:p>
          <w:p>
            <w:pPr>
              <w:pStyle w:val="TableParagraph"/>
              <w:spacing w:line="222" w:lineRule="exact" w:before="0"/>
              <w:ind w:left="108"/>
              <w:rPr>
                <w:rFonts w:ascii="Calibri"/>
                <w:sz w:val="20"/>
              </w:rPr>
            </w:pP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34</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5</w:t>
            </w:r>
            <w:r>
              <w:rPr>
                <w:rFonts w:ascii="Calibri"/>
                <w:spacing w:val="-4"/>
                <w:sz w:val="20"/>
              </w:rPr>
              <w:t> </w:t>
            </w:r>
            <w:r>
              <w:rPr>
                <w:rFonts w:ascii="Calibri"/>
                <w:sz w:val="20"/>
              </w:rPr>
              <w:t>and</w:t>
            </w:r>
            <w:r>
              <w:rPr>
                <w:rFonts w:ascii="Calibri"/>
                <w:spacing w:val="-3"/>
                <w:sz w:val="20"/>
              </w:rPr>
              <w:t> </w:t>
            </w:r>
            <w:r>
              <w:rPr>
                <w:rFonts w:ascii="Calibri"/>
                <w:spacing w:val="-5"/>
                <w:sz w:val="20"/>
              </w:rPr>
              <w:t>32</w:t>
            </w:r>
          </w:p>
        </w:tc>
        <w:tc>
          <w:tcPr>
            <w:tcW w:w="900" w:type="dxa"/>
          </w:tcPr>
          <w:p>
            <w:pPr>
              <w:pStyle w:val="TableParagraph"/>
              <w:spacing w:before="0"/>
              <w:rPr>
                <w:rFonts w:ascii="Times New Roman"/>
                <w:sz w:val="18"/>
              </w:rPr>
            </w:pPr>
          </w:p>
        </w:tc>
      </w:tr>
      <w:tr>
        <w:trPr>
          <w:trHeight w:val="734" w:hRule="atLeast"/>
        </w:trPr>
        <w:tc>
          <w:tcPr>
            <w:tcW w:w="835" w:type="dxa"/>
          </w:tcPr>
          <w:p>
            <w:pPr>
              <w:pStyle w:val="TableParagraph"/>
              <w:spacing w:before="1"/>
              <w:ind w:left="9" w:right="4"/>
              <w:jc w:val="center"/>
              <w:rPr>
                <w:rFonts w:ascii="Calibri"/>
                <w:sz w:val="20"/>
              </w:rPr>
            </w:pPr>
            <w:r>
              <w:rPr>
                <w:rFonts w:ascii="Calibri"/>
                <w:spacing w:val="-10"/>
                <w:sz w:val="20"/>
              </w:rPr>
              <w:t>4</w:t>
            </w:r>
          </w:p>
        </w:tc>
        <w:tc>
          <w:tcPr>
            <w:tcW w:w="2527" w:type="dxa"/>
          </w:tcPr>
          <w:p>
            <w:pPr>
              <w:pStyle w:val="TableParagraph"/>
              <w:spacing w:before="1"/>
              <w:ind w:left="108" w:right="185"/>
              <w:rPr>
                <w:rFonts w:ascii="Calibri"/>
                <w:sz w:val="20"/>
              </w:rPr>
            </w:pPr>
            <w:r>
              <w:rPr>
                <w:rFonts w:ascii="Calibri"/>
                <w:sz w:val="20"/>
              </w:rPr>
              <w:t>Brown</w:t>
            </w:r>
            <w:r>
              <w:rPr>
                <w:rFonts w:ascii="Calibri"/>
                <w:spacing w:val="-12"/>
                <w:sz w:val="20"/>
              </w:rPr>
              <w:t> </w:t>
            </w:r>
            <w:r>
              <w:rPr>
                <w:rFonts w:ascii="Calibri"/>
                <w:sz w:val="20"/>
              </w:rPr>
              <w:t>Lake</w:t>
            </w:r>
            <w:r>
              <w:rPr>
                <w:rFonts w:ascii="Calibri"/>
                <w:spacing w:val="17"/>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34</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14,</w:t>
            </w:r>
            <w:r>
              <w:rPr>
                <w:rFonts w:ascii="Calibri" w:hAnsi="Calibri"/>
                <w:spacing w:val="-6"/>
                <w:sz w:val="20"/>
              </w:rPr>
              <w:t> </w:t>
            </w:r>
            <w:r>
              <w:rPr>
                <w:rFonts w:ascii="Calibri" w:hAnsi="Calibri"/>
                <w:sz w:val="20"/>
              </w:rPr>
              <w:t>S½SE¼SE¼;</w:t>
            </w:r>
            <w:r>
              <w:rPr>
                <w:rFonts w:ascii="Calibri" w:hAnsi="Calibri"/>
                <w:spacing w:val="-8"/>
                <w:sz w:val="20"/>
              </w:rPr>
              <w:t> </w:t>
            </w:r>
            <w:r>
              <w:rPr>
                <w:rFonts w:ascii="Calibri" w:hAnsi="Calibri"/>
                <w:sz w:val="20"/>
              </w:rPr>
              <w:t>Sec.</w:t>
            </w:r>
            <w:r>
              <w:rPr>
                <w:rFonts w:ascii="Calibri" w:hAnsi="Calibri"/>
                <w:spacing w:val="-5"/>
                <w:sz w:val="20"/>
              </w:rPr>
              <w:t> </w:t>
            </w:r>
            <w:r>
              <w:rPr>
                <w:rFonts w:ascii="Calibri" w:hAnsi="Calibri"/>
                <w:sz w:val="20"/>
              </w:rPr>
              <w:t>23,</w:t>
            </w:r>
            <w:r>
              <w:rPr>
                <w:rFonts w:ascii="Calibri" w:hAnsi="Calibri"/>
                <w:spacing w:val="-6"/>
                <w:sz w:val="20"/>
              </w:rPr>
              <w:t> </w:t>
            </w:r>
            <w:r>
              <w:rPr>
                <w:rFonts w:ascii="Calibri" w:hAnsi="Calibri"/>
                <w:sz w:val="20"/>
              </w:rPr>
              <w:t>NE¼NE¼,</w:t>
            </w:r>
            <w:r>
              <w:rPr>
                <w:rFonts w:ascii="Calibri" w:hAnsi="Calibri"/>
                <w:spacing w:val="-6"/>
                <w:sz w:val="20"/>
              </w:rPr>
              <w:t> </w:t>
            </w:r>
            <w:r>
              <w:rPr>
                <w:rFonts w:ascii="Calibri" w:hAnsi="Calibri"/>
                <w:sz w:val="20"/>
              </w:rPr>
              <w:t>N½SE¼NE¼; Sec. 24, N½NW¼, N½S½NW¼, NW¼NE¼, </w:t>
            </w:r>
            <w:r>
              <w:rPr>
                <w:rFonts w:ascii="Calibri" w:hAnsi="Calibri"/>
                <w:spacing w:val="-2"/>
                <w:sz w:val="20"/>
              </w:rPr>
              <w:t>N½SW¼NE¼</w:t>
            </w:r>
          </w:p>
        </w:tc>
        <w:tc>
          <w:tcPr>
            <w:tcW w:w="900" w:type="dxa"/>
          </w:tcPr>
          <w:p>
            <w:pPr>
              <w:pStyle w:val="TableParagraph"/>
              <w:spacing w:before="1"/>
              <w:ind w:left="7"/>
              <w:jc w:val="center"/>
              <w:rPr>
                <w:rFonts w:ascii="Calibri"/>
                <w:sz w:val="20"/>
              </w:rPr>
            </w:pPr>
            <w:r>
              <w:rPr>
                <w:rFonts w:ascii="Calibri"/>
                <w:spacing w:val="-5"/>
                <w:sz w:val="20"/>
              </w:rPr>
              <w:t>260</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35</w:t>
            </w:r>
          </w:p>
        </w:tc>
        <w:tc>
          <w:tcPr>
            <w:tcW w:w="2527" w:type="dxa"/>
          </w:tcPr>
          <w:p>
            <w:pPr>
              <w:pStyle w:val="TableParagraph"/>
              <w:spacing w:line="243" w:lineRule="exact" w:before="1"/>
              <w:ind w:left="108"/>
              <w:rPr>
                <w:rFonts w:ascii="Calibri"/>
                <w:sz w:val="20"/>
              </w:rPr>
            </w:pPr>
            <w:r>
              <w:rPr>
                <w:rFonts w:ascii="Calibri"/>
                <w:sz w:val="20"/>
              </w:rPr>
              <w:t>Half</w:t>
            </w:r>
            <w:r>
              <w:rPr>
                <w:rFonts w:ascii="Calibri"/>
                <w:spacing w:val="-6"/>
                <w:sz w:val="20"/>
              </w:rPr>
              <w:t> </w:t>
            </w:r>
            <w:r>
              <w:rPr>
                <w:rFonts w:ascii="Calibri"/>
                <w:sz w:val="20"/>
              </w:rPr>
              <w:t>Moon</w:t>
            </w:r>
            <w:r>
              <w:rPr>
                <w:rFonts w:ascii="Calibri"/>
                <w:spacing w:val="-3"/>
                <w:sz w:val="20"/>
              </w:rPr>
              <w:t> </w:t>
            </w:r>
            <w:r>
              <w:rPr>
                <w:rFonts w:ascii="Calibri"/>
                <w:sz w:val="20"/>
              </w:rPr>
              <w:t>Lake</w:t>
            </w:r>
            <w:r>
              <w:rPr>
                <w:rFonts w:ascii="Calibri"/>
                <w:spacing w:val="-5"/>
                <w:sz w:val="20"/>
              </w:rPr>
              <w:t> </w:t>
            </w:r>
            <w:r>
              <w:rPr>
                <w:rFonts w:ascii="Calibri"/>
                <w:spacing w:val="-2"/>
                <w:sz w:val="20"/>
              </w:rPr>
              <w:t>Recreation</w:t>
            </w:r>
          </w:p>
          <w:p>
            <w:pPr>
              <w:pStyle w:val="TableParagraph"/>
              <w:spacing w:line="222" w:lineRule="exact" w:before="0"/>
              <w:ind w:left="108"/>
              <w:rPr>
                <w:rFonts w:ascii="Calibri"/>
                <w:sz w:val="20"/>
              </w:rPr>
            </w:pP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34</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8"/>
                <w:sz w:val="20"/>
              </w:rPr>
              <w:t> </w:t>
            </w:r>
            <w:r>
              <w:rPr>
                <w:rFonts w:ascii="Calibri" w:hAnsi="Calibri"/>
                <w:sz w:val="20"/>
              </w:rPr>
              <w:t>26,</w:t>
            </w:r>
            <w:r>
              <w:rPr>
                <w:rFonts w:ascii="Calibri" w:hAnsi="Calibri"/>
                <w:spacing w:val="-7"/>
                <w:sz w:val="20"/>
              </w:rPr>
              <w:t> </w:t>
            </w:r>
            <w:r>
              <w:rPr>
                <w:rFonts w:ascii="Calibri" w:hAnsi="Calibri"/>
                <w:sz w:val="20"/>
              </w:rPr>
              <w:t>E½W½SW¼SW¼,</w:t>
            </w:r>
            <w:r>
              <w:rPr>
                <w:rFonts w:ascii="Calibri" w:hAnsi="Calibri"/>
                <w:spacing w:val="-6"/>
                <w:sz w:val="20"/>
              </w:rPr>
              <w:t> </w:t>
            </w:r>
            <w:r>
              <w:rPr>
                <w:rFonts w:ascii="Calibri" w:hAnsi="Calibri"/>
                <w:spacing w:val="-2"/>
                <w:sz w:val="20"/>
              </w:rPr>
              <w:t>E½SW¼SW¼</w:t>
            </w:r>
          </w:p>
        </w:tc>
        <w:tc>
          <w:tcPr>
            <w:tcW w:w="900" w:type="dxa"/>
          </w:tcPr>
          <w:p>
            <w:pPr>
              <w:pStyle w:val="TableParagraph"/>
              <w:spacing w:before="1"/>
              <w:ind w:left="7"/>
              <w:jc w:val="center"/>
              <w:rPr>
                <w:rFonts w:ascii="Calibri"/>
                <w:sz w:val="20"/>
              </w:rPr>
            </w:pPr>
            <w:r>
              <w:rPr>
                <w:rFonts w:ascii="Calibri"/>
                <w:spacing w:val="-5"/>
                <w:sz w:val="20"/>
              </w:rPr>
              <w:t>30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77</w:t>
            </w:r>
          </w:p>
        </w:tc>
        <w:tc>
          <w:tcPr>
            <w:tcW w:w="2527" w:type="dxa"/>
          </w:tcPr>
          <w:p>
            <w:pPr>
              <w:pStyle w:val="TableParagraph"/>
              <w:spacing w:before="1"/>
              <w:ind w:left="108"/>
              <w:rPr>
                <w:rFonts w:ascii="Calibri"/>
                <w:sz w:val="20"/>
              </w:rPr>
            </w:pPr>
            <w:r>
              <w:rPr>
                <w:rFonts w:ascii="Calibri"/>
                <w:sz w:val="20"/>
              </w:rPr>
              <w:t>Swan</w:t>
            </w:r>
            <w:r>
              <w:rPr>
                <w:rFonts w:ascii="Calibri"/>
                <w:spacing w:val="-7"/>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20,</w:t>
            </w:r>
            <w:r>
              <w:rPr>
                <w:rFonts w:ascii="Calibri" w:hAnsi="Calibri"/>
                <w:spacing w:val="-4"/>
                <w:sz w:val="20"/>
              </w:rPr>
              <w:t> </w:t>
            </w:r>
            <w:r>
              <w:rPr>
                <w:rFonts w:ascii="Calibri" w:hAnsi="Calibri"/>
                <w:sz w:val="20"/>
              </w:rPr>
              <w:t>Lots</w:t>
            </w:r>
            <w:r>
              <w:rPr>
                <w:rFonts w:ascii="Calibri" w:hAnsi="Calibri"/>
                <w:spacing w:val="-3"/>
                <w:sz w:val="20"/>
              </w:rPr>
              <w:t> </w:t>
            </w:r>
            <w:r>
              <w:rPr>
                <w:rFonts w:ascii="Calibri" w:hAnsi="Calibri"/>
                <w:sz w:val="20"/>
              </w:rPr>
              <w:t>1,</w:t>
            </w:r>
            <w:r>
              <w:rPr>
                <w:rFonts w:ascii="Calibri" w:hAnsi="Calibri"/>
                <w:spacing w:val="-3"/>
                <w:sz w:val="20"/>
              </w:rPr>
              <w:t> </w:t>
            </w:r>
            <w:r>
              <w:rPr>
                <w:rFonts w:ascii="Calibri" w:hAnsi="Calibri"/>
                <w:sz w:val="20"/>
              </w:rPr>
              <w:t>2,</w:t>
            </w:r>
            <w:r>
              <w:rPr>
                <w:rFonts w:ascii="Calibri" w:hAnsi="Calibri"/>
                <w:spacing w:val="-3"/>
                <w:sz w:val="20"/>
              </w:rPr>
              <w:t> </w:t>
            </w:r>
            <w:r>
              <w:rPr>
                <w:rFonts w:ascii="Calibri" w:hAnsi="Calibri"/>
                <w:sz w:val="20"/>
              </w:rPr>
              <w:t>3,</w:t>
            </w:r>
            <w:r>
              <w:rPr>
                <w:rFonts w:ascii="Calibri" w:hAnsi="Calibri"/>
                <w:spacing w:val="-4"/>
                <w:sz w:val="20"/>
              </w:rPr>
              <w:t> </w:t>
            </w:r>
            <w:r>
              <w:rPr>
                <w:rFonts w:ascii="Calibri" w:hAnsi="Calibri"/>
                <w:sz w:val="20"/>
              </w:rPr>
              <w:t>NW¼SE¼;</w:t>
            </w:r>
            <w:r>
              <w:rPr>
                <w:rFonts w:ascii="Calibri" w:hAnsi="Calibri"/>
                <w:spacing w:val="-5"/>
                <w:sz w:val="20"/>
              </w:rPr>
              <w:t> </w:t>
            </w:r>
            <w:r>
              <w:rPr>
                <w:rFonts w:ascii="Calibri" w:hAnsi="Calibri"/>
                <w:sz w:val="20"/>
              </w:rPr>
              <w:t>Sec.</w:t>
            </w:r>
            <w:r>
              <w:rPr>
                <w:rFonts w:ascii="Calibri" w:hAnsi="Calibri"/>
                <w:spacing w:val="-3"/>
                <w:sz w:val="20"/>
              </w:rPr>
              <w:t> </w:t>
            </w:r>
            <w:r>
              <w:rPr>
                <w:rFonts w:ascii="Calibri" w:hAnsi="Calibri"/>
                <w:sz w:val="20"/>
              </w:rPr>
              <w:t>29,</w:t>
            </w:r>
            <w:r>
              <w:rPr>
                <w:rFonts w:ascii="Calibri" w:hAnsi="Calibri"/>
                <w:spacing w:val="-4"/>
                <w:sz w:val="20"/>
              </w:rPr>
              <w:t> </w:t>
            </w:r>
            <w:r>
              <w:rPr>
                <w:rFonts w:ascii="Calibri" w:hAnsi="Calibri"/>
                <w:sz w:val="20"/>
              </w:rPr>
              <w:t>Lots</w:t>
            </w:r>
            <w:r>
              <w:rPr>
                <w:rFonts w:ascii="Calibri" w:hAnsi="Calibri"/>
                <w:spacing w:val="-4"/>
                <w:sz w:val="20"/>
              </w:rPr>
              <w:t> </w:t>
            </w:r>
            <w:r>
              <w:rPr>
                <w:rFonts w:ascii="Calibri" w:hAnsi="Calibri"/>
                <w:sz w:val="20"/>
              </w:rPr>
              <w:t>1</w:t>
            </w:r>
            <w:r>
              <w:rPr>
                <w:rFonts w:ascii="Calibri" w:hAnsi="Calibri"/>
                <w:spacing w:val="-4"/>
                <w:sz w:val="20"/>
              </w:rPr>
              <w:t> </w:t>
            </w:r>
            <w:r>
              <w:rPr>
                <w:rFonts w:ascii="Calibri" w:hAnsi="Calibri"/>
                <w:spacing w:val="-5"/>
                <w:sz w:val="20"/>
              </w:rPr>
              <w:t>and</w:t>
            </w:r>
          </w:p>
          <w:p>
            <w:pPr>
              <w:pStyle w:val="TableParagraph"/>
              <w:spacing w:line="223" w:lineRule="exact" w:before="1"/>
              <w:ind w:left="110"/>
              <w:rPr>
                <w:rFonts w:ascii="Calibri"/>
                <w:sz w:val="20"/>
              </w:rPr>
            </w:pPr>
            <w:r>
              <w:rPr>
                <w:rFonts w:ascii="Calibri"/>
                <w:spacing w:val="-10"/>
                <w:sz w:val="20"/>
              </w:rPr>
              <w:t>2</w:t>
            </w:r>
          </w:p>
        </w:tc>
        <w:tc>
          <w:tcPr>
            <w:tcW w:w="900" w:type="dxa"/>
          </w:tcPr>
          <w:p>
            <w:pPr>
              <w:pStyle w:val="TableParagraph"/>
              <w:spacing w:before="1"/>
              <w:ind w:left="7"/>
              <w:jc w:val="center"/>
              <w:rPr>
                <w:rFonts w:ascii="Calibri"/>
                <w:sz w:val="20"/>
              </w:rPr>
            </w:pPr>
            <w:r>
              <w:rPr>
                <w:rFonts w:ascii="Calibri"/>
                <w:spacing w:val="-5"/>
                <w:sz w:val="20"/>
              </w:rPr>
              <w:t>219</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28</w:t>
            </w:r>
          </w:p>
        </w:tc>
        <w:tc>
          <w:tcPr>
            <w:tcW w:w="2527" w:type="dxa"/>
          </w:tcPr>
          <w:p>
            <w:pPr>
              <w:pStyle w:val="TableParagraph"/>
              <w:spacing w:line="223" w:lineRule="exact" w:before="1"/>
              <w:ind w:left="108"/>
              <w:rPr>
                <w:rFonts w:ascii="Calibri"/>
                <w:sz w:val="20"/>
              </w:rPr>
            </w:pPr>
            <w:r>
              <w:rPr>
                <w:rFonts w:ascii="Calibri"/>
                <w:sz w:val="20"/>
              </w:rPr>
              <w:t>Ferry</w:t>
            </w:r>
            <w:r>
              <w:rPr>
                <w:rFonts w:ascii="Calibri"/>
                <w:spacing w:val="-7"/>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5"/>
                <w:sz w:val="20"/>
              </w:rPr>
              <w:t> </w:t>
            </w:r>
            <w:r>
              <w:rPr>
                <w:rFonts w:ascii="Calibri"/>
                <w:sz w:val="20"/>
              </w:rPr>
              <w:t>21,</w:t>
            </w:r>
            <w:r>
              <w:rPr>
                <w:rFonts w:ascii="Calibri"/>
                <w:spacing w:val="-4"/>
                <w:sz w:val="20"/>
              </w:rPr>
              <w:t> </w:t>
            </w:r>
            <w:r>
              <w:rPr>
                <w:rFonts w:ascii="Calibri"/>
                <w:sz w:val="20"/>
              </w:rPr>
              <w:t>Lots</w:t>
            </w:r>
            <w:r>
              <w:rPr>
                <w:rFonts w:ascii="Calibri"/>
                <w:spacing w:val="-4"/>
                <w:sz w:val="20"/>
              </w:rPr>
              <w:t> </w:t>
            </w:r>
            <w:r>
              <w:rPr>
                <w:rFonts w:ascii="Calibri"/>
                <w:sz w:val="20"/>
              </w:rPr>
              <w:t>1-4</w:t>
            </w:r>
            <w:r>
              <w:rPr>
                <w:rFonts w:ascii="Calibri"/>
                <w:spacing w:val="-4"/>
                <w:sz w:val="20"/>
              </w:rPr>
              <w:t> </w:t>
            </w:r>
            <w:r>
              <w:rPr>
                <w:rFonts w:ascii="Calibri"/>
                <w:spacing w:val="-2"/>
                <w:sz w:val="20"/>
              </w:rPr>
              <w:t>inclusive</w:t>
            </w:r>
          </w:p>
        </w:tc>
        <w:tc>
          <w:tcPr>
            <w:tcW w:w="900" w:type="dxa"/>
          </w:tcPr>
          <w:p>
            <w:pPr>
              <w:pStyle w:val="TableParagraph"/>
              <w:spacing w:line="223" w:lineRule="exact" w:before="1"/>
              <w:ind w:left="7"/>
              <w:jc w:val="center"/>
              <w:rPr>
                <w:rFonts w:ascii="Calibri"/>
                <w:sz w:val="20"/>
              </w:rPr>
            </w:pPr>
            <w:r>
              <w:rPr>
                <w:rFonts w:ascii="Calibri"/>
                <w:spacing w:val="-5"/>
                <w:sz w:val="20"/>
              </w:rPr>
              <w:t>126</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40</w:t>
            </w:r>
          </w:p>
        </w:tc>
        <w:tc>
          <w:tcPr>
            <w:tcW w:w="2527" w:type="dxa"/>
          </w:tcPr>
          <w:p>
            <w:pPr>
              <w:pStyle w:val="TableParagraph"/>
              <w:spacing w:line="243" w:lineRule="exact" w:before="1"/>
              <w:ind w:left="108"/>
              <w:rPr>
                <w:rFonts w:ascii="Calibri"/>
                <w:sz w:val="20"/>
              </w:rPr>
            </w:pPr>
            <w:r>
              <w:rPr>
                <w:rFonts w:ascii="Calibri"/>
                <w:sz w:val="20"/>
              </w:rPr>
              <w:t>Strip</w:t>
            </w:r>
            <w:r>
              <w:rPr>
                <w:rFonts w:ascii="Calibri"/>
                <w:spacing w:val="-4"/>
                <w:sz w:val="20"/>
              </w:rPr>
              <w:t> </w:t>
            </w:r>
            <w:r>
              <w:rPr>
                <w:rFonts w:ascii="Calibri"/>
                <w:sz w:val="20"/>
              </w:rPr>
              <w:t>Of</w:t>
            </w:r>
            <w:r>
              <w:rPr>
                <w:rFonts w:ascii="Calibri"/>
                <w:spacing w:val="-5"/>
                <w:sz w:val="20"/>
              </w:rPr>
              <w:t> </w:t>
            </w:r>
            <w:r>
              <w:rPr>
                <w:rFonts w:ascii="Calibri"/>
                <w:sz w:val="20"/>
              </w:rPr>
              <w:t>Land</w:t>
            </w:r>
            <w:r>
              <w:rPr>
                <w:rFonts w:ascii="Calibri"/>
                <w:spacing w:val="-3"/>
                <w:sz w:val="20"/>
              </w:rPr>
              <w:t> </w:t>
            </w:r>
            <w:r>
              <w:rPr>
                <w:rFonts w:ascii="Calibri"/>
                <w:sz w:val="20"/>
              </w:rPr>
              <w:t>200</w:t>
            </w:r>
            <w:r>
              <w:rPr>
                <w:rFonts w:ascii="Calibri"/>
                <w:spacing w:val="-5"/>
                <w:sz w:val="20"/>
              </w:rPr>
              <w:t> </w:t>
            </w:r>
            <w:r>
              <w:rPr>
                <w:rFonts w:ascii="Calibri"/>
                <w:sz w:val="20"/>
              </w:rPr>
              <w:t>Feet</w:t>
            </w:r>
            <w:r>
              <w:rPr>
                <w:rFonts w:ascii="Calibri"/>
                <w:spacing w:val="-4"/>
                <w:sz w:val="20"/>
              </w:rPr>
              <w:t> Each</w:t>
            </w:r>
          </w:p>
          <w:p>
            <w:pPr>
              <w:pStyle w:val="TableParagraph"/>
              <w:spacing w:line="222" w:lineRule="exact" w:before="0"/>
              <w:ind w:left="108"/>
              <w:rPr>
                <w:rFonts w:ascii="Calibri"/>
                <w:sz w:val="20"/>
              </w:rPr>
            </w:pPr>
            <w:r>
              <w:rPr>
                <w:rFonts w:ascii="Calibri"/>
                <w:sz w:val="20"/>
              </w:rPr>
              <w:t>Side</w:t>
            </w:r>
            <w:r>
              <w:rPr>
                <w:rFonts w:ascii="Calibri"/>
                <w:spacing w:val="-5"/>
                <w:sz w:val="20"/>
              </w:rPr>
              <w:t> </w:t>
            </w:r>
            <w:r>
              <w:rPr>
                <w:rFonts w:ascii="Calibri"/>
                <w:sz w:val="20"/>
              </w:rPr>
              <w:t>Of</w:t>
            </w:r>
            <w:r>
              <w:rPr>
                <w:rFonts w:ascii="Calibri"/>
                <w:spacing w:val="-5"/>
                <w:sz w:val="20"/>
              </w:rPr>
              <w:t> </w:t>
            </w:r>
            <w:r>
              <w:rPr>
                <w:rFonts w:ascii="Calibri"/>
                <w:spacing w:val="-2"/>
                <w:sz w:val="20"/>
              </w:rPr>
              <w:t>Centerline</w:t>
            </w:r>
          </w:p>
        </w:tc>
        <w:tc>
          <w:tcPr>
            <w:tcW w:w="2145" w:type="dxa"/>
          </w:tcPr>
          <w:p>
            <w:pPr>
              <w:pStyle w:val="TableParagraph"/>
              <w:spacing w:line="243" w:lineRule="exact" w:before="1"/>
              <w:ind w:left="108"/>
              <w:rPr>
                <w:rFonts w:ascii="Calibri"/>
                <w:sz w:val="20"/>
              </w:rPr>
            </w:pPr>
            <w:r>
              <w:rPr>
                <w:rFonts w:ascii="Calibri"/>
                <w:sz w:val="20"/>
              </w:rPr>
              <w:t>San</w:t>
            </w:r>
            <w:r>
              <w:rPr>
                <w:rFonts w:ascii="Calibri"/>
                <w:spacing w:val="-4"/>
                <w:sz w:val="20"/>
              </w:rPr>
              <w:t> </w:t>
            </w:r>
            <w:r>
              <w:rPr>
                <w:rFonts w:ascii="Calibri"/>
                <w:sz w:val="20"/>
              </w:rPr>
              <w:t>Poil</w:t>
            </w:r>
            <w:r>
              <w:rPr>
                <w:rFonts w:ascii="Calibri"/>
                <w:spacing w:val="-4"/>
                <w:sz w:val="20"/>
              </w:rPr>
              <w:t> </w:t>
            </w:r>
            <w:r>
              <w:rPr>
                <w:rFonts w:ascii="Calibri"/>
                <w:sz w:val="20"/>
              </w:rPr>
              <w:t>Hwy</w:t>
            </w:r>
            <w:r>
              <w:rPr>
                <w:rFonts w:ascii="Calibri"/>
                <w:spacing w:val="-3"/>
                <w:sz w:val="20"/>
              </w:rPr>
              <w:t> </w:t>
            </w:r>
            <w:r>
              <w:rPr>
                <w:rFonts w:ascii="Calibri"/>
                <w:spacing w:val="-2"/>
                <w:sz w:val="20"/>
              </w:rPr>
              <w:t>Roadside</w:t>
            </w:r>
          </w:p>
          <w:p>
            <w:pPr>
              <w:pStyle w:val="TableParagraph"/>
              <w:spacing w:line="222" w:lineRule="exact" w:before="0"/>
              <w:ind w:left="108"/>
              <w:rPr>
                <w:rFonts w:ascii="Calibri"/>
                <w:sz w:val="20"/>
              </w:rPr>
            </w:pPr>
            <w:r>
              <w:rPr>
                <w:rFonts w:ascii="Calibri"/>
                <w:spacing w:val="-4"/>
                <w:sz w:val="20"/>
              </w:rPr>
              <w:t>Zone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24,</w:t>
            </w:r>
            <w:r>
              <w:rPr>
                <w:rFonts w:ascii="Calibri" w:hAnsi="Calibri"/>
                <w:spacing w:val="-4"/>
                <w:sz w:val="20"/>
              </w:rPr>
              <w:t> </w:t>
            </w:r>
            <w:r>
              <w:rPr>
                <w:rFonts w:ascii="Calibri" w:hAnsi="Calibri"/>
                <w:sz w:val="20"/>
              </w:rPr>
              <w:t>SE¼SE¼;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25,</w:t>
            </w:r>
            <w:r>
              <w:rPr>
                <w:rFonts w:ascii="Calibri" w:hAnsi="Calibri"/>
                <w:spacing w:val="-4"/>
                <w:sz w:val="20"/>
              </w:rPr>
              <w:t> E½E½</w:t>
            </w:r>
          </w:p>
        </w:tc>
        <w:tc>
          <w:tcPr>
            <w:tcW w:w="900" w:type="dxa"/>
          </w:tcPr>
          <w:p>
            <w:pPr>
              <w:pStyle w:val="TableParagraph"/>
              <w:spacing w:before="1"/>
              <w:ind w:left="7" w:right="3"/>
              <w:jc w:val="center"/>
              <w:rPr>
                <w:rFonts w:ascii="Calibri"/>
                <w:sz w:val="20"/>
              </w:rPr>
            </w:pPr>
            <w:r>
              <w:rPr>
                <w:rFonts w:ascii="Calibri"/>
                <w:spacing w:val="-4"/>
                <w:sz w:val="20"/>
              </w:rPr>
              <w:t>40.2</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49</w:t>
            </w:r>
          </w:p>
        </w:tc>
        <w:tc>
          <w:tcPr>
            <w:tcW w:w="2527" w:type="dxa"/>
          </w:tcPr>
          <w:p>
            <w:pPr>
              <w:pStyle w:val="TableParagraph"/>
              <w:spacing w:line="240" w:lineRule="atLeast" w:before="0"/>
              <w:ind w:left="108"/>
              <w:rPr>
                <w:rFonts w:ascii="Calibri"/>
                <w:sz w:val="20"/>
              </w:rPr>
            </w:pPr>
            <w:r>
              <w:rPr>
                <w:rFonts w:ascii="Calibri"/>
                <w:sz w:val="20"/>
              </w:rPr>
              <w:t>Long</w:t>
            </w:r>
            <w:r>
              <w:rPr>
                <w:rFonts w:ascii="Calibri"/>
                <w:spacing w:val="-11"/>
                <w:sz w:val="20"/>
              </w:rPr>
              <w:t> </w:t>
            </w:r>
            <w:r>
              <w:rPr>
                <w:rFonts w:ascii="Calibri"/>
                <w:sz w:val="20"/>
              </w:rPr>
              <w:t>&amp;</w:t>
            </w:r>
            <w:r>
              <w:rPr>
                <w:rFonts w:ascii="Calibri"/>
                <w:spacing w:val="-10"/>
                <w:sz w:val="20"/>
              </w:rPr>
              <w:t> </w:t>
            </w:r>
            <w:r>
              <w:rPr>
                <w:rFonts w:ascii="Calibri"/>
                <w:sz w:val="20"/>
              </w:rPr>
              <w:t>Fish</w:t>
            </w:r>
            <w:r>
              <w:rPr>
                <w:rFonts w:ascii="Calibri"/>
                <w:spacing w:val="-10"/>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28,</w:t>
            </w:r>
            <w:r>
              <w:rPr>
                <w:rFonts w:ascii="Calibri" w:hAnsi="Calibri"/>
                <w:spacing w:val="-3"/>
                <w:sz w:val="20"/>
              </w:rPr>
              <w:t> </w:t>
            </w:r>
            <w:r>
              <w:rPr>
                <w:rFonts w:ascii="Calibri" w:hAnsi="Calibri"/>
                <w:sz w:val="20"/>
              </w:rPr>
              <w:t>Lots</w:t>
            </w:r>
            <w:r>
              <w:rPr>
                <w:rFonts w:ascii="Calibri" w:hAnsi="Calibri"/>
                <w:spacing w:val="-3"/>
                <w:sz w:val="20"/>
              </w:rPr>
              <w:t> </w:t>
            </w:r>
            <w:r>
              <w:rPr>
                <w:rFonts w:ascii="Calibri" w:hAnsi="Calibri"/>
                <w:sz w:val="20"/>
              </w:rPr>
              <w:t>1,</w:t>
            </w:r>
            <w:r>
              <w:rPr>
                <w:rFonts w:ascii="Calibri" w:hAnsi="Calibri"/>
                <w:spacing w:val="-3"/>
                <w:sz w:val="20"/>
              </w:rPr>
              <w:t> </w:t>
            </w:r>
            <w:r>
              <w:rPr>
                <w:rFonts w:ascii="Calibri" w:hAnsi="Calibri"/>
                <w:sz w:val="20"/>
              </w:rPr>
              <w:t>2,</w:t>
            </w:r>
            <w:r>
              <w:rPr>
                <w:rFonts w:ascii="Calibri" w:hAnsi="Calibri"/>
                <w:spacing w:val="-3"/>
                <w:sz w:val="20"/>
              </w:rPr>
              <w:t> </w:t>
            </w:r>
            <w:r>
              <w:rPr>
                <w:rFonts w:ascii="Calibri" w:hAnsi="Calibri"/>
                <w:sz w:val="20"/>
              </w:rPr>
              <w:t>3,S½NE¼;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33,</w:t>
            </w:r>
            <w:r>
              <w:rPr>
                <w:rFonts w:ascii="Calibri" w:hAnsi="Calibri"/>
                <w:spacing w:val="-3"/>
                <w:sz w:val="20"/>
              </w:rPr>
              <w:t> </w:t>
            </w:r>
            <w:r>
              <w:rPr>
                <w:rFonts w:ascii="Calibri" w:hAnsi="Calibri"/>
                <w:sz w:val="20"/>
              </w:rPr>
              <w:t>Lots</w:t>
            </w:r>
            <w:r>
              <w:rPr>
                <w:rFonts w:ascii="Calibri" w:hAnsi="Calibri"/>
                <w:spacing w:val="-5"/>
                <w:sz w:val="20"/>
              </w:rPr>
              <w:t> </w:t>
            </w:r>
            <w:r>
              <w:rPr>
                <w:rFonts w:ascii="Calibri" w:hAnsi="Calibri"/>
                <w:sz w:val="20"/>
              </w:rPr>
              <w:t>1</w:t>
            </w:r>
            <w:r>
              <w:rPr>
                <w:rFonts w:ascii="Calibri" w:hAnsi="Calibri"/>
                <w:spacing w:val="-5"/>
                <w:sz w:val="20"/>
              </w:rPr>
              <w:t> </w:t>
            </w:r>
            <w:r>
              <w:rPr>
                <w:rFonts w:ascii="Calibri" w:hAnsi="Calibri"/>
                <w:sz w:val="20"/>
              </w:rPr>
              <w:t>and</w:t>
            </w:r>
            <w:r>
              <w:rPr>
                <w:rFonts w:ascii="Calibri" w:hAnsi="Calibri"/>
                <w:spacing w:val="-3"/>
                <w:sz w:val="20"/>
              </w:rPr>
              <w:t> </w:t>
            </w:r>
            <w:r>
              <w:rPr>
                <w:rFonts w:ascii="Calibri" w:hAnsi="Calibri"/>
                <w:spacing w:val="-10"/>
                <w:sz w:val="20"/>
              </w:rPr>
              <w:t>2</w:t>
            </w:r>
          </w:p>
        </w:tc>
        <w:tc>
          <w:tcPr>
            <w:tcW w:w="900" w:type="dxa"/>
          </w:tcPr>
          <w:p>
            <w:pPr>
              <w:pStyle w:val="TableParagraph"/>
              <w:spacing w:before="1"/>
              <w:ind w:left="7"/>
              <w:jc w:val="center"/>
              <w:rPr>
                <w:rFonts w:ascii="Calibri"/>
                <w:sz w:val="20"/>
              </w:rPr>
            </w:pPr>
            <w:r>
              <w:rPr>
                <w:rFonts w:ascii="Calibri"/>
                <w:spacing w:val="-5"/>
                <w:sz w:val="20"/>
              </w:rPr>
              <w:t>239</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79</w:t>
            </w:r>
          </w:p>
        </w:tc>
        <w:tc>
          <w:tcPr>
            <w:tcW w:w="2527" w:type="dxa"/>
          </w:tcPr>
          <w:p>
            <w:pPr>
              <w:pStyle w:val="TableParagraph"/>
              <w:spacing w:line="223" w:lineRule="exact" w:before="1"/>
              <w:ind w:left="108"/>
              <w:rPr>
                <w:rFonts w:ascii="Calibri"/>
                <w:sz w:val="20"/>
              </w:rPr>
            </w:pPr>
            <w:r>
              <w:rPr>
                <w:rFonts w:ascii="Calibri"/>
                <w:sz w:val="20"/>
              </w:rPr>
              <w:t>Ten</w:t>
            </w:r>
            <w:r>
              <w:rPr>
                <w:rFonts w:ascii="Calibri"/>
                <w:spacing w:val="-4"/>
                <w:sz w:val="20"/>
              </w:rPr>
              <w:t> </w:t>
            </w:r>
            <w:r>
              <w:rPr>
                <w:rFonts w:ascii="Calibri"/>
                <w:sz w:val="20"/>
              </w:rPr>
              <w:t>Mile</w:t>
            </w:r>
            <w:r>
              <w:rPr>
                <w:rFonts w:ascii="Calibri"/>
                <w:spacing w:val="-5"/>
                <w:sz w:val="20"/>
              </w:rPr>
              <w:t> </w:t>
            </w:r>
            <w:r>
              <w:rPr>
                <w:rFonts w:ascii="Calibri"/>
                <w:spacing w:val="-2"/>
                <w:sz w:val="20"/>
              </w:rPr>
              <w:t>Campground</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24</w:t>
            </w:r>
            <w:r>
              <w:rPr>
                <w:rFonts w:ascii="Calibri" w:hAnsi="Calibri"/>
                <w:spacing w:val="-5"/>
                <w:sz w:val="20"/>
              </w:rPr>
              <w:t> </w:t>
            </w:r>
            <w:r>
              <w:rPr>
                <w:rFonts w:ascii="Calibri" w:hAnsi="Calibri"/>
                <w:sz w:val="20"/>
              </w:rPr>
              <w:t>S½NE¼,</w:t>
            </w:r>
            <w:r>
              <w:rPr>
                <w:rFonts w:ascii="Calibri" w:hAnsi="Calibri"/>
                <w:spacing w:val="-4"/>
                <w:sz w:val="20"/>
              </w:rPr>
              <w:t> </w:t>
            </w:r>
            <w:r>
              <w:rPr>
                <w:rFonts w:ascii="Calibri" w:hAnsi="Calibri"/>
                <w:spacing w:val="-2"/>
                <w:sz w:val="20"/>
              </w:rPr>
              <w:t>NE¼SE¼</w:t>
            </w:r>
          </w:p>
        </w:tc>
        <w:tc>
          <w:tcPr>
            <w:tcW w:w="900" w:type="dxa"/>
          </w:tcPr>
          <w:p>
            <w:pPr>
              <w:pStyle w:val="TableParagraph"/>
              <w:spacing w:line="223" w:lineRule="exact" w:before="1"/>
              <w:ind w:left="7" w:right="3"/>
              <w:jc w:val="center"/>
              <w:rPr>
                <w:rFonts w:ascii="Calibri"/>
                <w:sz w:val="20"/>
              </w:rPr>
            </w:pPr>
            <w:r>
              <w:rPr>
                <w:rFonts w:ascii="Calibri"/>
                <w:spacing w:val="-2"/>
                <w:sz w:val="20"/>
              </w:rPr>
              <w:t>157.19</w:t>
            </w:r>
          </w:p>
        </w:tc>
      </w:tr>
      <w:tr>
        <w:trPr>
          <w:trHeight w:val="489" w:hRule="atLeast"/>
        </w:trPr>
        <w:tc>
          <w:tcPr>
            <w:tcW w:w="835" w:type="dxa"/>
          </w:tcPr>
          <w:p>
            <w:pPr>
              <w:pStyle w:val="TableParagraph"/>
              <w:spacing w:before="1"/>
              <w:ind w:left="9" w:right="4"/>
              <w:jc w:val="center"/>
              <w:rPr>
                <w:rFonts w:ascii="Calibri"/>
                <w:sz w:val="20"/>
              </w:rPr>
            </w:pPr>
            <w:r>
              <w:rPr>
                <w:rFonts w:ascii="Calibri"/>
                <w:spacing w:val="-10"/>
                <w:sz w:val="20"/>
              </w:rPr>
              <w:t>5</w:t>
            </w:r>
          </w:p>
        </w:tc>
        <w:tc>
          <w:tcPr>
            <w:tcW w:w="2527" w:type="dxa"/>
          </w:tcPr>
          <w:p>
            <w:pPr>
              <w:pStyle w:val="TableParagraph"/>
              <w:spacing w:line="240" w:lineRule="atLeast" w:before="0"/>
              <w:ind w:left="108"/>
              <w:rPr>
                <w:rFonts w:ascii="Calibri"/>
                <w:sz w:val="20"/>
              </w:rPr>
            </w:pPr>
            <w:r>
              <w:rPr>
                <w:rFonts w:ascii="Calibri"/>
                <w:sz w:val="20"/>
              </w:rPr>
              <w:t>Brown</w:t>
            </w:r>
            <w:r>
              <w:rPr>
                <w:rFonts w:ascii="Calibri"/>
                <w:spacing w:val="-12"/>
                <w:sz w:val="20"/>
              </w:rPr>
              <w:t> </w:t>
            </w:r>
            <w:r>
              <w:rPr>
                <w:rFonts w:ascii="Calibri"/>
                <w:sz w:val="20"/>
              </w:rPr>
              <w:t>Mountain</w:t>
            </w:r>
            <w:r>
              <w:rPr>
                <w:rFonts w:ascii="Calibri"/>
                <w:spacing w:val="-11"/>
                <w:sz w:val="20"/>
              </w:rPr>
              <w:t> </w:t>
            </w:r>
            <w:r>
              <w:rPr>
                <w:rFonts w:ascii="Calibri"/>
                <w:sz w:val="20"/>
              </w:rPr>
              <w:t>Seed </w:t>
            </w:r>
            <w:r>
              <w:rPr>
                <w:rFonts w:ascii="Calibri"/>
                <w:spacing w:val="-2"/>
                <w:sz w:val="20"/>
              </w:rPr>
              <w:t>Orchard</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16,</w:t>
            </w:r>
            <w:r>
              <w:rPr>
                <w:rFonts w:ascii="Calibri" w:hAnsi="Calibri"/>
                <w:spacing w:val="-5"/>
                <w:sz w:val="20"/>
              </w:rPr>
              <w:t> </w:t>
            </w:r>
            <w:r>
              <w:rPr>
                <w:rFonts w:ascii="Calibri" w:hAnsi="Calibri"/>
                <w:sz w:val="20"/>
              </w:rPr>
              <w:t>NWNW¼,</w:t>
            </w:r>
            <w:r>
              <w:rPr>
                <w:rFonts w:ascii="Calibri" w:hAnsi="Calibri"/>
                <w:spacing w:val="-6"/>
                <w:sz w:val="20"/>
              </w:rPr>
              <w:t> </w:t>
            </w:r>
            <w:r>
              <w:rPr>
                <w:rFonts w:ascii="Calibri" w:hAnsi="Calibri"/>
                <w:sz w:val="20"/>
              </w:rPr>
              <w:t>N½SW¼NW¼;</w:t>
            </w:r>
            <w:r>
              <w:rPr>
                <w:rFonts w:ascii="Calibri" w:hAnsi="Calibri"/>
                <w:spacing w:val="-7"/>
                <w:sz w:val="20"/>
              </w:rPr>
              <w:t> </w:t>
            </w:r>
            <w:r>
              <w:rPr>
                <w:rFonts w:ascii="Calibri" w:hAnsi="Calibri"/>
                <w:sz w:val="20"/>
              </w:rPr>
              <w:t>Sec.</w:t>
            </w:r>
            <w:r>
              <w:rPr>
                <w:rFonts w:ascii="Calibri" w:hAnsi="Calibri"/>
                <w:spacing w:val="-6"/>
                <w:sz w:val="20"/>
              </w:rPr>
              <w:t> </w:t>
            </w:r>
            <w:r>
              <w:rPr>
                <w:rFonts w:ascii="Calibri" w:hAnsi="Calibri"/>
                <w:spacing w:val="-5"/>
                <w:sz w:val="20"/>
              </w:rPr>
              <w:t>17,</w:t>
            </w:r>
          </w:p>
          <w:p>
            <w:pPr>
              <w:pStyle w:val="TableParagraph"/>
              <w:spacing w:line="223" w:lineRule="exact" w:before="1"/>
              <w:ind w:left="110"/>
              <w:rPr>
                <w:rFonts w:ascii="Calibri" w:hAnsi="Calibri"/>
                <w:sz w:val="20"/>
              </w:rPr>
            </w:pPr>
            <w:r>
              <w:rPr>
                <w:rFonts w:ascii="Calibri" w:hAnsi="Calibri"/>
                <w:sz w:val="20"/>
              </w:rPr>
              <w:t>E½E½NE¼NE¼,</w:t>
            </w:r>
            <w:r>
              <w:rPr>
                <w:rFonts w:ascii="Calibri" w:hAnsi="Calibri"/>
                <w:spacing w:val="-9"/>
                <w:sz w:val="20"/>
              </w:rPr>
              <w:t> </w:t>
            </w:r>
            <w:r>
              <w:rPr>
                <w:rFonts w:ascii="Calibri" w:hAnsi="Calibri"/>
                <w:spacing w:val="-2"/>
                <w:sz w:val="20"/>
              </w:rPr>
              <w:t>E½NE¼SE¼NE¼</w:t>
            </w:r>
          </w:p>
        </w:tc>
        <w:tc>
          <w:tcPr>
            <w:tcW w:w="900" w:type="dxa"/>
          </w:tcPr>
          <w:p>
            <w:pPr>
              <w:pStyle w:val="TableParagraph"/>
              <w:spacing w:before="1"/>
              <w:ind w:left="7"/>
              <w:jc w:val="center"/>
              <w:rPr>
                <w:rFonts w:ascii="Calibri"/>
                <w:sz w:val="20"/>
              </w:rPr>
            </w:pPr>
            <w:r>
              <w:rPr>
                <w:rFonts w:ascii="Calibri"/>
                <w:spacing w:val="-5"/>
                <w:sz w:val="20"/>
              </w:rPr>
              <w:t>75</w:t>
            </w: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40</w:t>
            </w:r>
          </w:p>
        </w:tc>
        <w:tc>
          <w:tcPr>
            <w:tcW w:w="2527" w:type="dxa"/>
          </w:tcPr>
          <w:p>
            <w:pPr>
              <w:pStyle w:val="TableParagraph"/>
              <w:spacing w:line="243" w:lineRule="exact" w:before="0"/>
              <w:ind w:left="108"/>
              <w:rPr>
                <w:rFonts w:ascii="Calibri"/>
                <w:sz w:val="20"/>
              </w:rPr>
            </w:pPr>
            <w:r>
              <w:rPr>
                <w:rFonts w:ascii="Calibri"/>
                <w:sz w:val="20"/>
              </w:rPr>
              <w:t>Strip</w:t>
            </w:r>
            <w:r>
              <w:rPr>
                <w:rFonts w:ascii="Calibri"/>
                <w:spacing w:val="-4"/>
                <w:sz w:val="20"/>
              </w:rPr>
              <w:t> </w:t>
            </w:r>
            <w:r>
              <w:rPr>
                <w:rFonts w:ascii="Calibri"/>
                <w:sz w:val="20"/>
              </w:rPr>
              <w:t>Of</w:t>
            </w:r>
            <w:r>
              <w:rPr>
                <w:rFonts w:ascii="Calibri"/>
                <w:spacing w:val="-5"/>
                <w:sz w:val="20"/>
              </w:rPr>
              <w:t> </w:t>
            </w:r>
            <w:r>
              <w:rPr>
                <w:rFonts w:ascii="Calibri"/>
                <w:sz w:val="20"/>
              </w:rPr>
              <w:t>Land</w:t>
            </w:r>
            <w:r>
              <w:rPr>
                <w:rFonts w:ascii="Calibri"/>
                <w:spacing w:val="-3"/>
                <w:sz w:val="20"/>
              </w:rPr>
              <w:t> </w:t>
            </w:r>
            <w:r>
              <w:rPr>
                <w:rFonts w:ascii="Calibri"/>
                <w:sz w:val="20"/>
              </w:rPr>
              <w:t>200</w:t>
            </w:r>
            <w:r>
              <w:rPr>
                <w:rFonts w:ascii="Calibri"/>
                <w:spacing w:val="-5"/>
                <w:sz w:val="20"/>
              </w:rPr>
              <w:t> </w:t>
            </w:r>
            <w:r>
              <w:rPr>
                <w:rFonts w:ascii="Calibri"/>
                <w:sz w:val="20"/>
              </w:rPr>
              <w:t>Feet</w:t>
            </w:r>
            <w:r>
              <w:rPr>
                <w:rFonts w:ascii="Calibri"/>
                <w:spacing w:val="-4"/>
                <w:sz w:val="20"/>
              </w:rPr>
              <w:t> Each</w:t>
            </w:r>
          </w:p>
          <w:p>
            <w:pPr>
              <w:pStyle w:val="TableParagraph"/>
              <w:spacing w:line="223" w:lineRule="exact" w:before="0"/>
              <w:ind w:left="108"/>
              <w:rPr>
                <w:rFonts w:ascii="Calibri"/>
                <w:sz w:val="20"/>
              </w:rPr>
            </w:pPr>
            <w:r>
              <w:rPr>
                <w:rFonts w:ascii="Calibri"/>
                <w:sz w:val="20"/>
              </w:rPr>
              <w:t>Side</w:t>
            </w:r>
            <w:r>
              <w:rPr>
                <w:rFonts w:ascii="Calibri"/>
                <w:spacing w:val="-5"/>
                <w:sz w:val="20"/>
              </w:rPr>
              <w:t> </w:t>
            </w:r>
            <w:r>
              <w:rPr>
                <w:rFonts w:ascii="Calibri"/>
                <w:sz w:val="20"/>
              </w:rPr>
              <w:t>Of</w:t>
            </w:r>
            <w:r>
              <w:rPr>
                <w:rFonts w:ascii="Calibri"/>
                <w:spacing w:val="-5"/>
                <w:sz w:val="20"/>
              </w:rPr>
              <w:t> </w:t>
            </w:r>
            <w:r>
              <w:rPr>
                <w:rFonts w:ascii="Calibri"/>
                <w:spacing w:val="-2"/>
                <w:sz w:val="20"/>
              </w:rPr>
              <w:t>Centerline</w:t>
            </w:r>
          </w:p>
        </w:tc>
        <w:tc>
          <w:tcPr>
            <w:tcW w:w="2145" w:type="dxa"/>
          </w:tcPr>
          <w:p>
            <w:pPr>
              <w:pStyle w:val="TableParagraph"/>
              <w:spacing w:line="243" w:lineRule="exact" w:before="0"/>
              <w:ind w:left="108"/>
              <w:rPr>
                <w:rFonts w:ascii="Calibri"/>
                <w:sz w:val="20"/>
              </w:rPr>
            </w:pPr>
            <w:r>
              <w:rPr>
                <w:rFonts w:ascii="Calibri"/>
                <w:sz w:val="20"/>
              </w:rPr>
              <w:t>San</w:t>
            </w:r>
            <w:r>
              <w:rPr>
                <w:rFonts w:ascii="Calibri"/>
                <w:spacing w:val="-4"/>
                <w:sz w:val="20"/>
              </w:rPr>
              <w:t> </w:t>
            </w:r>
            <w:r>
              <w:rPr>
                <w:rFonts w:ascii="Calibri"/>
                <w:sz w:val="20"/>
              </w:rPr>
              <w:t>Poil</w:t>
            </w:r>
            <w:r>
              <w:rPr>
                <w:rFonts w:ascii="Calibri"/>
                <w:spacing w:val="-4"/>
                <w:sz w:val="20"/>
              </w:rPr>
              <w:t> </w:t>
            </w:r>
            <w:r>
              <w:rPr>
                <w:rFonts w:ascii="Calibri"/>
                <w:sz w:val="20"/>
              </w:rPr>
              <w:t>Hwy</w:t>
            </w:r>
            <w:r>
              <w:rPr>
                <w:rFonts w:ascii="Calibri"/>
                <w:spacing w:val="-3"/>
                <w:sz w:val="20"/>
              </w:rPr>
              <w:t> </w:t>
            </w:r>
            <w:r>
              <w:rPr>
                <w:rFonts w:ascii="Calibri"/>
                <w:spacing w:val="-2"/>
                <w:sz w:val="20"/>
              </w:rPr>
              <w:t>Roadside</w:t>
            </w:r>
          </w:p>
          <w:p>
            <w:pPr>
              <w:pStyle w:val="TableParagraph"/>
              <w:spacing w:line="223" w:lineRule="exact" w:before="0"/>
              <w:ind w:left="108"/>
              <w:rPr>
                <w:rFonts w:ascii="Calibri"/>
                <w:sz w:val="20"/>
              </w:rPr>
            </w:pPr>
            <w:r>
              <w:rPr>
                <w:rFonts w:ascii="Calibri"/>
                <w:spacing w:val="-4"/>
                <w:sz w:val="20"/>
              </w:rPr>
              <w:t>Zone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33</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sz w:val="20"/>
              </w:rPr>
            </w:pPr>
            <w:r>
              <w:rPr>
                <w:rFonts w:ascii="Calibri"/>
                <w:sz w:val="20"/>
              </w:rPr>
              <w:t>Sec.</w:t>
            </w:r>
            <w:r>
              <w:rPr>
                <w:rFonts w:ascii="Calibri"/>
                <w:spacing w:val="-4"/>
                <w:sz w:val="20"/>
              </w:rPr>
              <w:t> </w:t>
            </w:r>
            <w:r>
              <w:rPr>
                <w:rFonts w:ascii="Calibri"/>
                <w:sz w:val="20"/>
              </w:rPr>
              <w:t>19,</w:t>
            </w:r>
            <w:r>
              <w:rPr>
                <w:rFonts w:ascii="Calibri"/>
                <w:spacing w:val="-3"/>
                <w:sz w:val="20"/>
              </w:rPr>
              <w:t> </w:t>
            </w:r>
            <w:r>
              <w:rPr>
                <w:rFonts w:ascii="Calibri"/>
                <w:sz w:val="20"/>
              </w:rPr>
              <w:t>Lot</w:t>
            </w:r>
            <w:r>
              <w:rPr>
                <w:rFonts w:ascii="Calibri"/>
                <w:spacing w:val="-3"/>
                <w:sz w:val="20"/>
              </w:rPr>
              <w:t> </w:t>
            </w:r>
            <w:r>
              <w:rPr>
                <w:rFonts w:ascii="Calibri"/>
                <w:sz w:val="20"/>
              </w:rPr>
              <w:t>4;</w:t>
            </w:r>
            <w:r>
              <w:rPr>
                <w:rFonts w:ascii="Calibri"/>
                <w:spacing w:val="-5"/>
                <w:sz w:val="20"/>
              </w:rPr>
              <w:t> </w:t>
            </w:r>
            <w:r>
              <w:rPr>
                <w:rFonts w:ascii="Calibri"/>
                <w:sz w:val="20"/>
              </w:rPr>
              <w:t>Sec.</w:t>
            </w:r>
            <w:r>
              <w:rPr>
                <w:rFonts w:ascii="Calibri"/>
                <w:spacing w:val="-3"/>
                <w:sz w:val="20"/>
              </w:rPr>
              <w:t> </w:t>
            </w:r>
            <w:r>
              <w:rPr>
                <w:rFonts w:ascii="Calibri"/>
                <w:sz w:val="20"/>
              </w:rPr>
              <w:t>30,</w:t>
            </w:r>
            <w:r>
              <w:rPr>
                <w:rFonts w:ascii="Calibri"/>
                <w:spacing w:val="-3"/>
                <w:sz w:val="20"/>
              </w:rPr>
              <w:t> </w:t>
            </w:r>
            <w:r>
              <w:rPr>
                <w:rFonts w:ascii="Calibri"/>
                <w:sz w:val="20"/>
              </w:rPr>
              <w:t>Lot</w:t>
            </w:r>
            <w:r>
              <w:rPr>
                <w:rFonts w:ascii="Calibri"/>
                <w:spacing w:val="-3"/>
                <w:sz w:val="20"/>
              </w:rPr>
              <w:t> </w:t>
            </w:r>
            <w:r>
              <w:rPr>
                <w:rFonts w:ascii="Calibri"/>
                <w:sz w:val="20"/>
              </w:rPr>
              <w:t>1;</w:t>
            </w:r>
            <w:r>
              <w:rPr>
                <w:rFonts w:ascii="Calibri"/>
                <w:spacing w:val="-2"/>
                <w:sz w:val="20"/>
              </w:rPr>
              <w:t> </w:t>
            </w:r>
            <w:r>
              <w:rPr>
                <w:rFonts w:ascii="Calibri"/>
                <w:sz w:val="20"/>
              </w:rPr>
              <w:t>Sec.</w:t>
            </w:r>
            <w:r>
              <w:rPr>
                <w:rFonts w:ascii="Calibri"/>
                <w:spacing w:val="-4"/>
                <w:sz w:val="20"/>
              </w:rPr>
              <w:t> </w:t>
            </w:r>
            <w:r>
              <w:rPr>
                <w:rFonts w:ascii="Calibri"/>
                <w:sz w:val="20"/>
              </w:rPr>
              <w:t>31,</w:t>
            </w:r>
            <w:r>
              <w:rPr>
                <w:rFonts w:ascii="Calibri"/>
                <w:spacing w:val="-2"/>
                <w:sz w:val="20"/>
              </w:rPr>
              <w:t> </w:t>
            </w:r>
            <w:r>
              <w:rPr>
                <w:rFonts w:ascii="Calibri"/>
                <w:sz w:val="20"/>
              </w:rPr>
              <w:t>Lot</w:t>
            </w:r>
            <w:r>
              <w:rPr>
                <w:rFonts w:ascii="Calibri"/>
                <w:spacing w:val="-4"/>
                <w:sz w:val="20"/>
              </w:rPr>
              <w:t> </w:t>
            </w:r>
            <w:r>
              <w:rPr>
                <w:rFonts w:ascii="Calibri"/>
                <w:spacing w:val="-5"/>
                <w:sz w:val="20"/>
              </w:rPr>
              <w:t>4,</w:t>
            </w:r>
          </w:p>
          <w:p>
            <w:pPr>
              <w:pStyle w:val="TableParagraph"/>
              <w:spacing w:line="223" w:lineRule="exact" w:before="0"/>
              <w:ind w:left="110"/>
              <w:rPr>
                <w:rFonts w:ascii="Calibri" w:hAnsi="Calibri"/>
                <w:sz w:val="20"/>
              </w:rPr>
            </w:pPr>
            <w:r>
              <w:rPr>
                <w:rFonts w:ascii="Calibri" w:hAnsi="Calibri"/>
                <w:spacing w:val="-2"/>
                <w:sz w:val="20"/>
              </w:rPr>
              <w:t>SE¼SW¼</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79</w:t>
            </w:r>
          </w:p>
        </w:tc>
        <w:tc>
          <w:tcPr>
            <w:tcW w:w="2527" w:type="dxa"/>
          </w:tcPr>
          <w:p>
            <w:pPr>
              <w:pStyle w:val="TableParagraph"/>
              <w:spacing w:line="223" w:lineRule="exact" w:before="1"/>
              <w:ind w:left="108"/>
              <w:rPr>
                <w:rFonts w:ascii="Calibri"/>
                <w:sz w:val="20"/>
              </w:rPr>
            </w:pPr>
            <w:r>
              <w:rPr>
                <w:rFonts w:ascii="Calibri"/>
                <w:sz w:val="20"/>
              </w:rPr>
              <w:t>Ten</w:t>
            </w:r>
            <w:r>
              <w:rPr>
                <w:rFonts w:ascii="Calibri"/>
                <w:spacing w:val="-4"/>
                <w:sz w:val="20"/>
              </w:rPr>
              <w:t> </w:t>
            </w:r>
            <w:r>
              <w:rPr>
                <w:rFonts w:ascii="Calibri"/>
                <w:sz w:val="20"/>
              </w:rPr>
              <w:t>Mile</w:t>
            </w:r>
            <w:r>
              <w:rPr>
                <w:rFonts w:ascii="Calibri"/>
                <w:spacing w:val="-5"/>
                <w:sz w:val="20"/>
              </w:rPr>
              <w:t> </w:t>
            </w:r>
            <w:r>
              <w:rPr>
                <w:rFonts w:ascii="Calibri"/>
                <w:spacing w:val="-2"/>
                <w:sz w:val="20"/>
              </w:rPr>
              <w:t>Campground</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5"/>
                <w:sz w:val="20"/>
              </w:rPr>
              <w:t> </w:t>
            </w:r>
            <w:r>
              <w:rPr>
                <w:rFonts w:ascii="Calibri"/>
                <w:sz w:val="20"/>
              </w:rPr>
              <w:t>19,</w:t>
            </w:r>
            <w:r>
              <w:rPr>
                <w:rFonts w:ascii="Calibri"/>
                <w:spacing w:val="-3"/>
                <w:sz w:val="20"/>
              </w:rPr>
              <w:t> </w:t>
            </w:r>
            <w:r>
              <w:rPr>
                <w:rFonts w:ascii="Calibri"/>
                <w:sz w:val="20"/>
              </w:rPr>
              <w:t>Lot</w:t>
            </w:r>
            <w:r>
              <w:rPr>
                <w:rFonts w:ascii="Calibri"/>
                <w:spacing w:val="-5"/>
                <w:sz w:val="20"/>
              </w:rPr>
              <w:t> </w:t>
            </w:r>
            <w:r>
              <w:rPr>
                <w:rFonts w:ascii="Calibri"/>
                <w:spacing w:val="-10"/>
                <w:sz w:val="20"/>
              </w:rPr>
              <w:t>3</w:t>
            </w:r>
          </w:p>
        </w:tc>
        <w:tc>
          <w:tcPr>
            <w:tcW w:w="900" w:type="dxa"/>
          </w:tcPr>
          <w:p>
            <w:pPr>
              <w:pStyle w:val="TableParagraph"/>
              <w:spacing w:before="0"/>
              <w:rPr>
                <w:rFonts w:ascii="Times New Roman"/>
                <w:sz w:val="16"/>
              </w:rPr>
            </w:pPr>
          </w:p>
        </w:tc>
      </w:tr>
      <w:tr>
        <w:trPr>
          <w:trHeight w:val="244" w:hRule="atLeast"/>
        </w:trPr>
        <w:tc>
          <w:tcPr>
            <w:tcW w:w="835" w:type="dxa"/>
          </w:tcPr>
          <w:p>
            <w:pPr>
              <w:pStyle w:val="TableParagraph"/>
              <w:spacing w:line="223" w:lineRule="exact" w:before="1"/>
              <w:ind w:left="9" w:right="4"/>
              <w:jc w:val="center"/>
              <w:rPr>
                <w:rFonts w:ascii="Calibri"/>
                <w:sz w:val="20"/>
              </w:rPr>
            </w:pPr>
            <w:r>
              <w:rPr>
                <w:rFonts w:ascii="Calibri"/>
                <w:spacing w:val="-10"/>
                <w:sz w:val="20"/>
              </w:rPr>
              <w:t>1</w:t>
            </w:r>
          </w:p>
        </w:tc>
        <w:tc>
          <w:tcPr>
            <w:tcW w:w="2527" w:type="dxa"/>
          </w:tcPr>
          <w:p>
            <w:pPr>
              <w:pStyle w:val="TableParagraph"/>
              <w:spacing w:line="223" w:lineRule="exact" w:before="1"/>
              <w:ind w:left="108"/>
              <w:rPr>
                <w:rFonts w:ascii="Calibri"/>
                <w:sz w:val="20"/>
              </w:rPr>
            </w:pPr>
            <w:r>
              <w:rPr>
                <w:rFonts w:ascii="Calibri"/>
                <w:sz w:val="20"/>
              </w:rPr>
              <w:t>Barnaby</w:t>
            </w:r>
            <w:r>
              <w:rPr>
                <w:rFonts w:ascii="Calibri"/>
                <w:spacing w:val="-6"/>
                <w:sz w:val="20"/>
              </w:rPr>
              <w:t> </w:t>
            </w:r>
            <w:r>
              <w:rPr>
                <w:rFonts w:ascii="Calibri"/>
                <w:sz w:val="20"/>
              </w:rPr>
              <w:t>Butte</w:t>
            </w:r>
            <w:r>
              <w:rPr>
                <w:rFonts w:ascii="Calibri"/>
                <w:spacing w:val="-8"/>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7"/>
                <w:sz w:val="20"/>
              </w:rPr>
              <w:t> </w:t>
            </w:r>
            <w:r>
              <w:rPr>
                <w:rFonts w:ascii="Calibri"/>
                <w:sz w:val="20"/>
              </w:rPr>
              <w:t>7</w:t>
            </w:r>
            <w:r>
              <w:rPr>
                <w:rFonts w:ascii="Calibri"/>
                <w:spacing w:val="-6"/>
                <w:sz w:val="20"/>
              </w:rPr>
              <w:t> </w:t>
            </w:r>
            <w:r>
              <w:rPr>
                <w:rFonts w:ascii="Calibri"/>
                <w:sz w:val="20"/>
              </w:rPr>
              <w:t>(Un-surveyed);</w:t>
            </w:r>
            <w:r>
              <w:rPr>
                <w:rFonts w:ascii="Calibri"/>
                <w:spacing w:val="-8"/>
                <w:sz w:val="20"/>
              </w:rPr>
              <w:t> </w:t>
            </w:r>
            <w:r>
              <w:rPr>
                <w:rFonts w:ascii="Calibri"/>
                <w:sz w:val="20"/>
              </w:rPr>
              <w:t>Sec.</w:t>
            </w:r>
            <w:r>
              <w:rPr>
                <w:rFonts w:ascii="Calibri"/>
                <w:spacing w:val="-6"/>
                <w:sz w:val="20"/>
              </w:rPr>
              <w:t> </w:t>
            </w:r>
            <w:r>
              <w:rPr>
                <w:rFonts w:ascii="Calibri"/>
                <w:sz w:val="20"/>
              </w:rPr>
              <w:t>18</w:t>
            </w:r>
            <w:r>
              <w:rPr>
                <w:rFonts w:ascii="Calibri"/>
                <w:spacing w:val="-6"/>
                <w:sz w:val="20"/>
              </w:rPr>
              <w:t> </w:t>
            </w:r>
            <w:r>
              <w:rPr>
                <w:rFonts w:ascii="Calibri"/>
                <w:sz w:val="20"/>
              </w:rPr>
              <w:t>(Un-surveyed)</w:t>
            </w:r>
            <w:r>
              <w:rPr>
                <w:rFonts w:ascii="Calibri"/>
                <w:spacing w:val="-7"/>
                <w:sz w:val="20"/>
              </w:rPr>
              <w:t> </w:t>
            </w:r>
            <w:r>
              <w:rPr>
                <w:rFonts w:ascii="Calibri"/>
                <w:spacing w:val="-5"/>
                <w:sz w:val="20"/>
              </w:rPr>
              <w:t>M&amp;B</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42</w:t>
            </w:r>
          </w:p>
        </w:tc>
        <w:tc>
          <w:tcPr>
            <w:tcW w:w="2527" w:type="dxa"/>
          </w:tcPr>
          <w:p>
            <w:pPr>
              <w:pStyle w:val="TableParagraph"/>
              <w:spacing w:before="1"/>
              <w:ind w:left="108"/>
              <w:rPr>
                <w:rFonts w:ascii="Calibri"/>
                <w:sz w:val="20"/>
              </w:rPr>
            </w:pPr>
            <w:r>
              <w:rPr>
                <w:rFonts w:ascii="Calibri"/>
                <w:sz w:val="20"/>
              </w:rPr>
              <w:t>Lake</w:t>
            </w:r>
            <w:r>
              <w:rPr>
                <w:rFonts w:ascii="Calibri"/>
                <w:spacing w:val="-7"/>
                <w:sz w:val="20"/>
              </w:rPr>
              <w:t> </w:t>
            </w:r>
            <w:r>
              <w:rPr>
                <w:rFonts w:ascii="Calibri"/>
                <w:sz w:val="20"/>
              </w:rPr>
              <w:t>Ellen</w:t>
            </w:r>
            <w:r>
              <w:rPr>
                <w:rFonts w:ascii="Calibri"/>
                <w:spacing w:val="36"/>
                <w:sz w:val="20"/>
              </w:rPr>
              <w:t> </w:t>
            </w:r>
            <w:r>
              <w:rPr>
                <w:rFonts w:ascii="Calibri"/>
                <w:sz w:val="20"/>
              </w:rPr>
              <w:t>Recreation</w:t>
            </w:r>
            <w:r>
              <w:rPr>
                <w:rFonts w:ascii="Calibri"/>
                <w:spacing w:val="-5"/>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5"/>
                <w:sz w:val="20"/>
              </w:rPr>
              <w:t> </w:t>
            </w:r>
            <w:r>
              <w:rPr>
                <w:rFonts w:ascii="Calibri"/>
                <w:sz w:val="20"/>
              </w:rPr>
              <w:t>26,</w:t>
            </w:r>
            <w:r>
              <w:rPr>
                <w:rFonts w:ascii="Calibri"/>
                <w:spacing w:val="-3"/>
                <w:sz w:val="20"/>
              </w:rPr>
              <w:t> </w:t>
            </w:r>
            <w:r>
              <w:rPr>
                <w:rFonts w:ascii="Calibri"/>
                <w:sz w:val="20"/>
              </w:rPr>
              <w:t>Lots</w:t>
            </w:r>
            <w:r>
              <w:rPr>
                <w:rFonts w:ascii="Calibri"/>
                <w:spacing w:val="-3"/>
                <w:sz w:val="20"/>
              </w:rPr>
              <w:t> </w:t>
            </w:r>
            <w:r>
              <w:rPr>
                <w:rFonts w:ascii="Calibri"/>
                <w:sz w:val="20"/>
              </w:rPr>
              <w:t>1-4</w:t>
            </w:r>
            <w:r>
              <w:rPr>
                <w:rFonts w:ascii="Calibri"/>
                <w:spacing w:val="-4"/>
                <w:sz w:val="20"/>
              </w:rPr>
              <w:t> </w:t>
            </w:r>
            <w:r>
              <w:rPr>
                <w:rFonts w:ascii="Calibri"/>
                <w:sz w:val="20"/>
              </w:rPr>
              <w:t>inclusive;</w:t>
            </w:r>
            <w:r>
              <w:rPr>
                <w:rFonts w:ascii="Calibri"/>
                <w:spacing w:val="-5"/>
                <w:sz w:val="20"/>
              </w:rPr>
              <w:t> </w:t>
            </w:r>
            <w:r>
              <w:rPr>
                <w:rFonts w:ascii="Calibri"/>
                <w:sz w:val="20"/>
              </w:rPr>
              <w:t>Sec.</w:t>
            </w:r>
            <w:r>
              <w:rPr>
                <w:rFonts w:ascii="Calibri"/>
                <w:spacing w:val="-4"/>
                <w:sz w:val="20"/>
              </w:rPr>
              <w:t> </w:t>
            </w:r>
            <w:r>
              <w:rPr>
                <w:rFonts w:ascii="Calibri"/>
                <w:sz w:val="20"/>
              </w:rPr>
              <w:t>27,</w:t>
            </w:r>
            <w:r>
              <w:rPr>
                <w:rFonts w:ascii="Calibri"/>
                <w:spacing w:val="-4"/>
                <w:sz w:val="20"/>
              </w:rPr>
              <w:t> </w:t>
            </w:r>
            <w:r>
              <w:rPr>
                <w:rFonts w:ascii="Calibri"/>
                <w:sz w:val="20"/>
              </w:rPr>
              <w:t>Lots</w:t>
            </w:r>
            <w:r>
              <w:rPr>
                <w:rFonts w:ascii="Calibri"/>
                <w:spacing w:val="-5"/>
                <w:sz w:val="20"/>
              </w:rPr>
              <w:t> </w:t>
            </w:r>
            <w:r>
              <w:rPr>
                <w:rFonts w:ascii="Calibri"/>
                <w:sz w:val="20"/>
              </w:rPr>
              <w:t>1</w:t>
            </w:r>
            <w:r>
              <w:rPr>
                <w:rFonts w:ascii="Calibri"/>
                <w:spacing w:val="-4"/>
                <w:sz w:val="20"/>
              </w:rPr>
              <w:t> </w:t>
            </w:r>
            <w:r>
              <w:rPr>
                <w:rFonts w:ascii="Calibri"/>
                <w:sz w:val="20"/>
              </w:rPr>
              <w:t>and</w:t>
            </w:r>
            <w:r>
              <w:rPr>
                <w:rFonts w:ascii="Calibri"/>
                <w:spacing w:val="-3"/>
                <w:sz w:val="20"/>
              </w:rPr>
              <w:t> </w:t>
            </w:r>
            <w:r>
              <w:rPr>
                <w:rFonts w:ascii="Calibri"/>
                <w:spacing w:val="-5"/>
                <w:sz w:val="20"/>
              </w:rPr>
              <w:t>2;</w:t>
            </w:r>
          </w:p>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34,</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35,</w:t>
            </w:r>
            <w:r>
              <w:rPr>
                <w:rFonts w:ascii="Calibri" w:hAnsi="Calibri"/>
                <w:spacing w:val="-3"/>
                <w:sz w:val="20"/>
              </w:rPr>
              <w:t> </w:t>
            </w:r>
            <w:r>
              <w:rPr>
                <w:rFonts w:ascii="Calibri" w:hAnsi="Calibri"/>
                <w:spacing w:val="-2"/>
                <w:sz w:val="20"/>
              </w:rPr>
              <w:t>NW¼NW¼NW¼</w:t>
            </w:r>
          </w:p>
        </w:tc>
        <w:tc>
          <w:tcPr>
            <w:tcW w:w="900" w:type="dxa"/>
          </w:tcPr>
          <w:p>
            <w:pPr>
              <w:pStyle w:val="TableParagraph"/>
              <w:spacing w:before="1"/>
              <w:ind w:left="7" w:right="3"/>
              <w:jc w:val="center"/>
              <w:rPr>
                <w:rFonts w:ascii="Calibri"/>
                <w:sz w:val="20"/>
              </w:rPr>
            </w:pPr>
            <w:r>
              <w:rPr>
                <w:rFonts w:ascii="Calibri"/>
                <w:spacing w:val="-2"/>
                <w:sz w:val="20"/>
              </w:rPr>
              <w:t>288.55</w:t>
            </w: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48</w:t>
            </w:r>
          </w:p>
        </w:tc>
        <w:tc>
          <w:tcPr>
            <w:tcW w:w="2527" w:type="dxa"/>
          </w:tcPr>
          <w:p>
            <w:pPr>
              <w:pStyle w:val="TableParagraph"/>
              <w:spacing w:line="243" w:lineRule="exact" w:before="0"/>
              <w:ind w:left="108"/>
              <w:rPr>
                <w:rFonts w:ascii="Calibri"/>
                <w:sz w:val="20"/>
              </w:rPr>
            </w:pPr>
            <w:r>
              <w:rPr>
                <w:rFonts w:ascii="Calibri"/>
                <w:sz w:val="20"/>
              </w:rPr>
              <w:t>Little</w:t>
            </w:r>
            <w:r>
              <w:rPr>
                <w:rFonts w:ascii="Calibri"/>
                <w:spacing w:val="-7"/>
                <w:sz w:val="20"/>
              </w:rPr>
              <w:t> </w:t>
            </w:r>
            <w:r>
              <w:rPr>
                <w:rFonts w:ascii="Calibri"/>
                <w:sz w:val="20"/>
              </w:rPr>
              <w:t>Twin</w:t>
            </w:r>
            <w:r>
              <w:rPr>
                <w:rFonts w:ascii="Calibri"/>
                <w:spacing w:val="-5"/>
                <w:sz w:val="20"/>
              </w:rPr>
              <w:t> </w:t>
            </w:r>
            <w:r>
              <w:rPr>
                <w:rFonts w:ascii="Calibri"/>
                <w:sz w:val="20"/>
              </w:rPr>
              <w:t>Lakes</w:t>
            </w:r>
            <w:r>
              <w:rPr>
                <w:rFonts w:ascii="Calibri"/>
                <w:spacing w:val="-6"/>
                <w:sz w:val="20"/>
              </w:rPr>
              <w:t> </w:t>
            </w:r>
            <w:r>
              <w:rPr>
                <w:rFonts w:ascii="Calibri"/>
                <w:spacing w:val="-2"/>
                <w:sz w:val="20"/>
              </w:rPr>
              <w:t>Recreation</w:t>
            </w:r>
          </w:p>
          <w:p>
            <w:pPr>
              <w:pStyle w:val="TableParagraph"/>
              <w:spacing w:line="223" w:lineRule="exact" w:before="0"/>
              <w:ind w:left="108"/>
              <w:rPr>
                <w:rFonts w:ascii="Calibri"/>
                <w:sz w:val="20"/>
              </w:rPr>
            </w:pPr>
            <w:r>
              <w:rPr>
                <w:rFonts w:ascii="Calibri"/>
                <w:spacing w:val="-4"/>
                <w:sz w:val="20"/>
              </w:rPr>
              <w:t>Area</w:t>
            </w:r>
          </w:p>
        </w:tc>
        <w:tc>
          <w:tcPr>
            <w:tcW w:w="2145" w:type="dxa"/>
          </w:tcPr>
          <w:p>
            <w:pPr>
              <w:pStyle w:val="TableParagraph"/>
              <w:spacing w:line="243"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sz w:val="20"/>
              </w:rPr>
            </w:pPr>
            <w:r>
              <w:rPr>
                <w:rFonts w:ascii="Calibri"/>
                <w:sz w:val="20"/>
              </w:rPr>
              <w:t>Sec.</w:t>
            </w:r>
            <w:r>
              <w:rPr>
                <w:rFonts w:ascii="Calibri"/>
                <w:spacing w:val="-4"/>
                <w:sz w:val="20"/>
              </w:rPr>
              <w:t> </w:t>
            </w:r>
            <w:r>
              <w:rPr>
                <w:rFonts w:ascii="Calibri"/>
                <w:sz w:val="20"/>
              </w:rPr>
              <w:t>4,</w:t>
            </w:r>
            <w:r>
              <w:rPr>
                <w:rFonts w:ascii="Calibri"/>
                <w:spacing w:val="-3"/>
                <w:sz w:val="20"/>
              </w:rPr>
              <w:t> </w:t>
            </w:r>
            <w:r>
              <w:rPr>
                <w:rFonts w:ascii="Calibri"/>
                <w:sz w:val="20"/>
              </w:rPr>
              <w:t>Lot</w:t>
            </w:r>
            <w:r>
              <w:rPr>
                <w:rFonts w:ascii="Calibri"/>
                <w:spacing w:val="-4"/>
                <w:sz w:val="20"/>
              </w:rPr>
              <w:t> </w:t>
            </w:r>
            <w:r>
              <w:rPr>
                <w:rFonts w:ascii="Calibri"/>
                <w:spacing w:val="-10"/>
                <w:sz w:val="20"/>
              </w:rPr>
              <w:t>3</w:t>
            </w:r>
          </w:p>
        </w:tc>
        <w:tc>
          <w:tcPr>
            <w:tcW w:w="900" w:type="dxa"/>
          </w:tcPr>
          <w:p>
            <w:pPr>
              <w:pStyle w:val="TableParagraph"/>
              <w:spacing w:line="243" w:lineRule="exact" w:before="0"/>
              <w:ind w:left="7" w:right="3"/>
              <w:jc w:val="center"/>
              <w:rPr>
                <w:rFonts w:ascii="Calibri"/>
                <w:sz w:val="20"/>
              </w:rPr>
            </w:pPr>
            <w:r>
              <w:rPr>
                <w:rFonts w:ascii="Calibri"/>
                <w:spacing w:val="-2"/>
                <w:sz w:val="20"/>
              </w:rPr>
              <w:t>20.23</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w:t>
            </w:r>
            <w:r>
              <w:rPr>
                <w:rFonts w:ascii="Calibri"/>
                <w:spacing w:val="-5"/>
                <w:sz w:val="20"/>
              </w:rPr>
              <w:t> </w:t>
            </w:r>
            <w:r>
              <w:rPr>
                <w:rFonts w:ascii="Calibri"/>
                <w:sz w:val="20"/>
              </w:rPr>
              <w:t>of</w:t>
            </w:r>
            <w:r>
              <w:rPr>
                <w:rFonts w:ascii="Calibri"/>
                <w:spacing w:val="-5"/>
                <w:sz w:val="20"/>
              </w:rPr>
              <w:t> </w:t>
            </w:r>
            <w:r>
              <w:rPr>
                <w:rFonts w:ascii="Calibri"/>
                <w:sz w:val="20"/>
              </w:rPr>
              <w:t>Sec.</w:t>
            </w:r>
            <w:r>
              <w:rPr>
                <w:rFonts w:ascii="Calibri"/>
                <w:spacing w:val="-5"/>
                <w:sz w:val="20"/>
              </w:rPr>
              <w:t> </w:t>
            </w:r>
            <w:r>
              <w:rPr>
                <w:rFonts w:ascii="Calibri"/>
                <w:spacing w:val="-10"/>
                <w:sz w:val="20"/>
              </w:rPr>
              <w:t>3</w:t>
            </w:r>
          </w:p>
        </w:tc>
        <w:tc>
          <w:tcPr>
            <w:tcW w:w="900" w:type="dxa"/>
          </w:tcPr>
          <w:p>
            <w:pPr>
              <w:pStyle w:val="TableParagraph"/>
              <w:spacing w:before="1"/>
              <w:ind w:left="7"/>
              <w:jc w:val="center"/>
              <w:rPr>
                <w:rFonts w:ascii="Calibri"/>
                <w:sz w:val="20"/>
              </w:rPr>
            </w:pPr>
            <w:r>
              <w:rPr>
                <w:rFonts w:ascii="Calibri"/>
                <w:spacing w:val="-5"/>
                <w:sz w:val="20"/>
              </w:rPr>
              <w:t>190</w:t>
            </w:r>
          </w:p>
        </w:tc>
      </w:tr>
    </w:tbl>
    <w:p>
      <w:pPr>
        <w:pStyle w:val="TableParagraph"/>
        <w:spacing w:after="0"/>
        <w:jc w:val="center"/>
        <w:rPr>
          <w:rFonts w:ascii="Calibri"/>
          <w:sz w:val="20"/>
        </w:rPr>
        <w:sectPr>
          <w:pgSz w:w="15840" w:h="12240" w:orient="landscape"/>
          <w:pgMar w:header="725" w:footer="891" w:top="1440" w:bottom="1080" w:left="1080" w:right="360"/>
        </w:sectPr>
      </w:pPr>
    </w:p>
    <w:p>
      <w:pPr>
        <w:pStyle w:val="BodyText"/>
        <w:spacing w:before="169"/>
        <w:rPr>
          <w:sz w:val="20"/>
        </w:r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3"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7,</w:t>
            </w:r>
            <w:r>
              <w:rPr>
                <w:rFonts w:ascii="Calibri"/>
                <w:spacing w:val="-2"/>
                <w:sz w:val="20"/>
              </w:rPr>
              <w:t> </w:t>
            </w:r>
            <w:r>
              <w:rPr>
                <w:rFonts w:ascii="Calibri"/>
                <w:sz w:val="20"/>
              </w:rPr>
              <w:t>12,</w:t>
            </w:r>
            <w:r>
              <w:rPr>
                <w:rFonts w:ascii="Calibri"/>
                <w:spacing w:val="-3"/>
                <w:sz w:val="20"/>
              </w:rPr>
              <w:t> </w:t>
            </w:r>
            <w:r>
              <w:rPr>
                <w:rFonts w:ascii="Calibri"/>
                <w:sz w:val="20"/>
              </w:rPr>
              <w:t>18,</w:t>
            </w:r>
            <w:r>
              <w:rPr>
                <w:rFonts w:ascii="Calibri"/>
                <w:spacing w:val="-3"/>
                <w:sz w:val="20"/>
              </w:rPr>
              <w:t> </w:t>
            </w:r>
            <w:r>
              <w:rPr>
                <w:rFonts w:ascii="Calibri"/>
                <w:sz w:val="20"/>
              </w:rPr>
              <w:t>19</w:t>
            </w:r>
            <w:r>
              <w:rPr>
                <w:rFonts w:ascii="Calibri"/>
                <w:spacing w:val="-4"/>
                <w:sz w:val="20"/>
              </w:rPr>
              <w:t> </w:t>
            </w:r>
            <w:r>
              <w:rPr>
                <w:rFonts w:ascii="Calibri"/>
                <w:sz w:val="20"/>
              </w:rPr>
              <w:t>and</w:t>
            </w:r>
            <w:r>
              <w:rPr>
                <w:rFonts w:ascii="Calibri"/>
                <w:spacing w:val="-3"/>
                <w:sz w:val="20"/>
              </w:rPr>
              <w:t> </w:t>
            </w:r>
            <w:r>
              <w:rPr>
                <w:rFonts w:ascii="Calibri"/>
                <w:spacing w:val="-5"/>
                <w:sz w:val="20"/>
              </w:rPr>
              <w:t>20</w:t>
            </w:r>
          </w:p>
        </w:tc>
        <w:tc>
          <w:tcPr>
            <w:tcW w:w="900" w:type="dxa"/>
          </w:tcPr>
          <w:p>
            <w:pPr>
              <w:pStyle w:val="TableParagraph"/>
              <w:spacing w:before="0"/>
              <w:rPr>
                <w:rFonts w:ascii="Times New Roman"/>
                <w:sz w:val="18"/>
              </w:rPr>
            </w:pPr>
          </w:p>
        </w:tc>
      </w:tr>
      <w:tr>
        <w:trPr>
          <w:trHeight w:val="241"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68</w:t>
            </w:r>
          </w:p>
        </w:tc>
        <w:tc>
          <w:tcPr>
            <w:tcW w:w="2527" w:type="dxa"/>
          </w:tcPr>
          <w:p>
            <w:pPr>
              <w:pStyle w:val="TableParagraph"/>
              <w:spacing w:line="222" w:lineRule="exact" w:before="0"/>
              <w:ind w:left="108"/>
              <w:rPr>
                <w:rFonts w:ascii="Calibri"/>
                <w:sz w:val="20"/>
              </w:rPr>
            </w:pPr>
            <w:r>
              <w:rPr>
                <w:rFonts w:ascii="Calibri"/>
                <w:sz w:val="20"/>
              </w:rPr>
              <w:t>Ruby</w:t>
            </w:r>
            <w:r>
              <w:rPr>
                <w:rFonts w:ascii="Calibri"/>
                <w:spacing w:val="-9"/>
                <w:sz w:val="20"/>
              </w:rPr>
              <w:t> </w:t>
            </w:r>
            <w:r>
              <w:rPr>
                <w:rFonts w:ascii="Calibri"/>
                <w:sz w:val="20"/>
              </w:rPr>
              <w:t>Recreation</w:t>
            </w:r>
            <w:r>
              <w:rPr>
                <w:rFonts w:ascii="Calibri"/>
                <w:spacing w:val="-8"/>
                <w:sz w:val="20"/>
              </w:rPr>
              <w:t> </w:t>
            </w:r>
            <w:r>
              <w:rPr>
                <w:rFonts w:ascii="Calibri"/>
                <w:spacing w:val="-4"/>
                <w:sz w:val="20"/>
              </w:rPr>
              <w:t>Area</w:t>
            </w:r>
          </w:p>
        </w:tc>
        <w:tc>
          <w:tcPr>
            <w:tcW w:w="2145" w:type="dxa"/>
          </w:tcPr>
          <w:p>
            <w:pPr>
              <w:pStyle w:val="TableParagraph"/>
              <w:spacing w:line="222"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35</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sz w:val="20"/>
              </w:rPr>
            </w:pPr>
            <w:r>
              <w:rPr>
                <w:rFonts w:ascii="Calibri"/>
                <w:sz w:val="20"/>
              </w:rPr>
              <w:t>Sec.</w:t>
            </w:r>
            <w:r>
              <w:rPr>
                <w:rFonts w:ascii="Calibri"/>
                <w:spacing w:val="-4"/>
                <w:sz w:val="20"/>
              </w:rPr>
              <w:t> </w:t>
            </w:r>
            <w:r>
              <w:rPr>
                <w:rFonts w:ascii="Calibri"/>
                <w:sz w:val="20"/>
              </w:rPr>
              <w:t>19,</w:t>
            </w:r>
            <w:r>
              <w:rPr>
                <w:rFonts w:ascii="Calibri"/>
                <w:spacing w:val="-3"/>
                <w:sz w:val="20"/>
              </w:rPr>
              <w:t> </w:t>
            </w:r>
            <w:r>
              <w:rPr>
                <w:rFonts w:ascii="Calibri"/>
                <w:sz w:val="20"/>
              </w:rPr>
              <w:t>Lots</w:t>
            </w:r>
            <w:r>
              <w:rPr>
                <w:rFonts w:ascii="Calibri"/>
                <w:spacing w:val="-2"/>
                <w:sz w:val="20"/>
              </w:rPr>
              <w:t> </w:t>
            </w:r>
            <w:r>
              <w:rPr>
                <w:rFonts w:ascii="Calibri"/>
                <w:sz w:val="20"/>
              </w:rPr>
              <w:t>1,</w:t>
            </w:r>
            <w:r>
              <w:rPr>
                <w:rFonts w:ascii="Calibri"/>
                <w:spacing w:val="-3"/>
                <w:sz w:val="20"/>
              </w:rPr>
              <w:t> </w:t>
            </w:r>
            <w:r>
              <w:rPr>
                <w:rFonts w:ascii="Calibri"/>
                <w:sz w:val="20"/>
              </w:rPr>
              <w:t>2,</w:t>
            </w:r>
            <w:r>
              <w:rPr>
                <w:rFonts w:ascii="Calibri"/>
                <w:spacing w:val="-2"/>
                <w:sz w:val="20"/>
              </w:rPr>
              <w:t> </w:t>
            </w:r>
            <w:r>
              <w:rPr>
                <w:rFonts w:ascii="Calibri"/>
                <w:sz w:val="20"/>
              </w:rPr>
              <w:t>6</w:t>
            </w:r>
            <w:r>
              <w:rPr>
                <w:rFonts w:ascii="Calibri"/>
                <w:spacing w:val="-3"/>
                <w:sz w:val="20"/>
              </w:rPr>
              <w:t> </w:t>
            </w:r>
            <w:r>
              <w:rPr>
                <w:rFonts w:ascii="Calibri"/>
                <w:sz w:val="20"/>
              </w:rPr>
              <w:t>and</w:t>
            </w:r>
            <w:r>
              <w:rPr>
                <w:rFonts w:ascii="Calibri"/>
                <w:spacing w:val="-3"/>
                <w:sz w:val="20"/>
              </w:rPr>
              <w:t> </w:t>
            </w:r>
            <w:r>
              <w:rPr>
                <w:rFonts w:ascii="Calibri"/>
                <w:spacing w:val="-10"/>
                <w:sz w:val="20"/>
              </w:rPr>
              <w:t>7</w:t>
            </w:r>
          </w:p>
        </w:tc>
        <w:tc>
          <w:tcPr>
            <w:tcW w:w="900" w:type="dxa"/>
          </w:tcPr>
          <w:p>
            <w:pPr>
              <w:pStyle w:val="TableParagraph"/>
              <w:spacing w:line="222" w:lineRule="exact" w:before="0"/>
              <w:ind w:left="7"/>
              <w:jc w:val="center"/>
              <w:rPr>
                <w:rFonts w:ascii="Calibri"/>
                <w:sz w:val="20"/>
              </w:rPr>
            </w:pPr>
            <w:r>
              <w:rPr>
                <w:rFonts w:ascii="Calibri"/>
                <w:spacing w:val="-5"/>
                <w:sz w:val="20"/>
              </w:rPr>
              <w:t>113</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39</w:t>
            </w:r>
          </w:p>
        </w:tc>
        <w:tc>
          <w:tcPr>
            <w:tcW w:w="2527" w:type="dxa"/>
          </w:tcPr>
          <w:p>
            <w:pPr>
              <w:pStyle w:val="TableParagraph"/>
              <w:spacing w:line="240" w:lineRule="atLeast" w:before="0"/>
              <w:ind w:left="108"/>
              <w:rPr>
                <w:rFonts w:ascii="Calibri"/>
                <w:sz w:val="20"/>
              </w:rPr>
            </w:pPr>
            <w:r>
              <w:rPr>
                <w:rFonts w:ascii="Calibri"/>
                <w:sz w:val="20"/>
              </w:rPr>
              <w:t>Sherman</w:t>
            </w:r>
            <w:r>
              <w:rPr>
                <w:rFonts w:ascii="Calibri"/>
                <w:spacing w:val="-12"/>
                <w:sz w:val="20"/>
              </w:rPr>
              <w:t> </w:t>
            </w:r>
            <w:r>
              <w:rPr>
                <w:rFonts w:ascii="Calibri"/>
                <w:sz w:val="20"/>
              </w:rPr>
              <w:t>Hwy</w:t>
            </w:r>
            <w:r>
              <w:rPr>
                <w:rFonts w:ascii="Calibri"/>
                <w:spacing w:val="-11"/>
                <w:sz w:val="20"/>
              </w:rPr>
              <w:t> </w:t>
            </w:r>
            <w:r>
              <w:rPr>
                <w:rFonts w:ascii="Calibri"/>
                <w:sz w:val="20"/>
              </w:rPr>
              <w:t>20</w:t>
            </w:r>
            <w:r>
              <w:rPr>
                <w:rFonts w:ascii="Calibri"/>
                <w:spacing w:val="-11"/>
                <w:sz w:val="20"/>
              </w:rPr>
              <w:t> </w:t>
            </w:r>
            <w:r>
              <w:rPr>
                <w:rFonts w:ascii="Calibri"/>
                <w:sz w:val="20"/>
              </w:rPr>
              <w:t>Roadside </w:t>
            </w:r>
            <w:r>
              <w:rPr>
                <w:rFonts w:ascii="Calibri"/>
                <w:spacing w:val="-4"/>
                <w:sz w:val="20"/>
              </w:rPr>
              <w:t>Zone</w:t>
            </w:r>
          </w:p>
        </w:tc>
        <w:tc>
          <w:tcPr>
            <w:tcW w:w="2145" w:type="dxa"/>
          </w:tcPr>
          <w:p>
            <w:pPr>
              <w:pStyle w:val="TableParagraph"/>
              <w:spacing w:line="240" w:lineRule="atLeast" w:before="0"/>
              <w:ind w:left="108"/>
              <w:rPr>
                <w:rFonts w:ascii="Calibri"/>
                <w:sz w:val="20"/>
              </w:rPr>
            </w:pPr>
            <w:r>
              <w:rPr>
                <w:rFonts w:ascii="Calibri"/>
                <w:sz w:val="20"/>
              </w:rPr>
              <w:t>Strip</w:t>
            </w:r>
            <w:r>
              <w:rPr>
                <w:rFonts w:ascii="Calibri"/>
                <w:spacing w:val="-10"/>
                <w:sz w:val="20"/>
              </w:rPr>
              <w:t> </w:t>
            </w:r>
            <w:r>
              <w:rPr>
                <w:rFonts w:ascii="Calibri"/>
                <w:sz w:val="20"/>
              </w:rPr>
              <w:t>Of</w:t>
            </w:r>
            <w:r>
              <w:rPr>
                <w:rFonts w:ascii="Calibri"/>
                <w:spacing w:val="-11"/>
                <w:sz w:val="20"/>
              </w:rPr>
              <w:t> </w:t>
            </w:r>
            <w:r>
              <w:rPr>
                <w:rFonts w:ascii="Calibri"/>
                <w:sz w:val="20"/>
              </w:rPr>
              <w:t>Land</w:t>
            </w:r>
            <w:r>
              <w:rPr>
                <w:rFonts w:ascii="Calibri"/>
                <w:spacing w:val="-10"/>
                <w:sz w:val="20"/>
              </w:rPr>
              <w:t> </w:t>
            </w:r>
            <w:r>
              <w:rPr>
                <w:rFonts w:ascii="Calibri"/>
                <w:sz w:val="20"/>
              </w:rPr>
              <w:t>200</w:t>
            </w:r>
            <w:r>
              <w:rPr>
                <w:rFonts w:ascii="Calibri"/>
                <w:spacing w:val="-10"/>
                <w:sz w:val="20"/>
              </w:rPr>
              <w:t> </w:t>
            </w:r>
            <w:r>
              <w:rPr>
                <w:rFonts w:ascii="Calibri"/>
                <w:sz w:val="20"/>
              </w:rPr>
              <w:t>Feet From Centerline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25,</w:t>
            </w:r>
            <w:r>
              <w:rPr>
                <w:rFonts w:ascii="Calibri" w:hAnsi="Calibri"/>
                <w:spacing w:val="-3"/>
                <w:sz w:val="20"/>
              </w:rPr>
              <w:t> </w:t>
            </w:r>
            <w:r>
              <w:rPr>
                <w:rFonts w:ascii="Calibri" w:hAnsi="Calibri"/>
                <w:sz w:val="20"/>
              </w:rPr>
              <w:t>NW¼NW¼;</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26,</w:t>
            </w:r>
            <w:r>
              <w:rPr>
                <w:rFonts w:ascii="Calibri" w:hAnsi="Calibri"/>
                <w:spacing w:val="-3"/>
                <w:sz w:val="20"/>
              </w:rPr>
              <w:t> </w:t>
            </w:r>
            <w:r>
              <w:rPr>
                <w:rFonts w:ascii="Calibri" w:hAnsi="Calibri"/>
                <w:sz w:val="20"/>
              </w:rPr>
              <w:t>NNE¼,</w:t>
            </w:r>
            <w:r>
              <w:rPr>
                <w:rFonts w:ascii="Calibri" w:hAnsi="Calibri"/>
                <w:spacing w:val="-4"/>
                <w:sz w:val="20"/>
              </w:rPr>
              <w:t> </w:t>
            </w:r>
            <w:r>
              <w:rPr>
                <w:rFonts w:ascii="Calibri" w:hAnsi="Calibri"/>
                <w:spacing w:val="-2"/>
                <w:sz w:val="20"/>
              </w:rPr>
              <w:t>NE¼NW¼</w:t>
            </w:r>
          </w:p>
        </w:tc>
        <w:tc>
          <w:tcPr>
            <w:tcW w:w="900" w:type="dxa"/>
          </w:tcPr>
          <w:p>
            <w:pPr>
              <w:pStyle w:val="TableParagraph"/>
              <w:spacing w:before="1"/>
              <w:ind w:left="7"/>
              <w:jc w:val="center"/>
              <w:rPr>
                <w:rFonts w:ascii="Calibri"/>
                <w:sz w:val="20"/>
              </w:rPr>
            </w:pPr>
            <w:r>
              <w:rPr>
                <w:rFonts w:ascii="Calibri"/>
                <w:spacing w:val="-4"/>
                <w:sz w:val="20"/>
              </w:rPr>
              <w:t>1026</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16</w:t>
            </w:r>
          </w:p>
        </w:tc>
        <w:tc>
          <w:tcPr>
            <w:tcW w:w="2527" w:type="dxa"/>
          </w:tcPr>
          <w:p>
            <w:pPr>
              <w:pStyle w:val="TableParagraph"/>
              <w:spacing w:line="223" w:lineRule="exact" w:before="1"/>
              <w:ind w:left="108"/>
              <w:rPr>
                <w:rFonts w:ascii="Calibri"/>
                <w:sz w:val="20"/>
              </w:rPr>
            </w:pPr>
            <w:r>
              <w:rPr>
                <w:rFonts w:ascii="Calibri"/>
                <w:sz w:val="20"/>
              </w:rPr>
              <w:t>Quartz</w:t>
            </w:r>
            <w:r>
              <w:rPr>
                <w:rFonts w:ascii="Calibri"/>
                <w:spacing w:val="-7"/>
                <w:sz w:val="20"/>
              </w:rPr>
              <w:t> </w:t>
            </w:r>
            <w:r>
              <w:rPr>
                <w:rFonts w:ascii="Calibri"/>
                <w:sz w:val="20"/>
              </w:rPr>
              <w:t>Lookout</w:t>
            </w:r>
            <w:r>
              <w:rPr>
                <w:rFonts w:ascii="Calibri"/>
                <w:spacing w:val="-7"/>
                <w:sz w:val="20"/>
              </w:rPr>
              <w:t> </w:t>
            </w:r>
            <w:r>
              <w:rPr>
                <w:rFonts w:ascii="Calibri"/>
                <w:sz w:val="20"/>
              </w:rPr>
              <w:t>Admin.</w:t>
            </w:r>
            <w:r>
              <w:rPr>
                <w:rFonts w:ascii="Calibri"/>
                <w:spacing w:val="-6"/>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34,</w:t>
            </w:r>
            <w:r>
              <w:rPr>
                <w:rFonts w:ascii="Calibri" w:hAnsi="Calibri"/>
                <w:spacing w:val="-5"/>
                <w:sz w:val="20"/>
              </w:rPr>
              <w:t> </w:t>
            </w:r>
            <w:r>
              <w:rPr>
                <w:rFonts w:ascii="Calibri" w:hAnsi="Calibri"/>
                <w:sz w:val="20"/>
              </w:rPr>
              <w:t>SW¼SW¼</w:t>
            </w:r>
            <w:r>
              <w:rPr>
                <w:rFonts w:ascii="Calibri" w:hAnsi="Calibri"/>
                <w:spacing w:val="-6"/>
                <w:sz w:val="20"/>
              </w:rPr>
              <w:t> </w:t>
            </w:r>
            <w:r>
              <w:rPr>
                <w:rFonts w:ascii="Calibri" w:hAnsi="Calibri"/>
                <w:spacing w:val="-5"/>
                <w:sz w:val="20"/>
              </w:rPr>
              <w:t>M&amp;B</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39</w:t>
            </w:r>
          </w:p>
        </w:tc>
        <w:tc>
          <w:tcPr>
            <w:tcW w:w="2527" w:type="dxa"/>
          </w:tcPr>
          <w:p>
            <w:pPr>
              <w:pStyle w:val="TableParagraph"/>
              <w:spacing w:line="240" w:lineRule="atLeast" w:before="0"/>
              <w:ind w:left="108"/>
              <w:rPr>
                <w:rFonts w:ascii="Calibri"/>
                <w:sz w:val="20"/>
              </w:rPr>
            </w:pPr>
            <w:r>
              <w:rPr>
                <w:rFonts w:ascii="Calibri"/>
                <w:sz w:val="20"/>
              </w:rPr>
              <w:t>Strip</w:t>
            </w:r>
            <w:r>
              <w:rPr>
                <w:rFonts w:ascii="Calibri"/>
                <w:spacing w:val="-8"/>
                <w:sz w:val="20"/>
              </w:rPr>
              <w:t> </w:t>
            </w:r>
            <w:r>
              <w:rPr>
                <w:rFonts w:ascii="Calibri"/>
                <w:sz w:val="20"/>
              </w:rPr>
              <w:t>Of</w:t>
            </w:r>
            <w:r>
              <w:rPr>
                <w:rFonts w:ascii="Calibri"/>
                <w:spacing w:val="-9"/>
                <w:sz w:val="20"/>
              </w:rPr>
              <w:t> </w:t>
            </w:r>
            <w:r>
              <w:rPr>
                <w:rFonts w:ascii="Calibri"/>
                <w:sz w:val="20"/>
              </w:rPr>
              <w:t>Land</w:t>
            </w:r>
            <w:r>
              <w:rPr>
                <w:rFonts w:ascii="Calibri"/>
                <w:spacing w:val="-8"/>
                <w:sz w:val="20"/>
              </w:rPr>
              <w:t> </w:t>
            </w:r>
            <w:r>
              <w:rPr>
                <w:rFonts w:ascii="Calibri"/>
                <w:sz w:val="20"/>
              </w:rPr>
              <w:t>200</w:t>
            </w:r>
            <w:r>
              <w:rPr>
                <w:rFonts w:ascii="Calibri"/>
                <w:spacing w:val="-8"/>
                <w:sz w:val="20"/>
              </w:rPr>
              <w:t> </w:t>
            </w:r>
            <w:r>
              <w:rPr>
                <w:rFonts w:ascii="Calibri"/>
                <w:sz w:val="20"/>
              </w:rPr>
              <w:t>Feet</w:t>
            </w:r>
            <w:r>
              <w:rPr>
                <w:rFonts w:ascii="Calibri"/>
                <w:spacing w:val="-8"/>
                <w:sz w:val="20"/>
              </w:rPr>
              <w:t> </w:t>
            </w:r>
            <w:r>
              <w:rPr>
                <w:rFonts w:ascii="Calibri"/>
                <w:sz w:val="20"/>
              </w:rPr>
              <w:t>Each Side Of Centerline</w:t>
            </w:r>
          </w:p>
        </w:tc>
        <w:tc>
          <w:tcPr>
            <w:tcW w:w="2145" w:type="dxa"/>
          </w:tcPr>
          <w:p>
            <w:pPr>
              <w:pStyle w:val="TableParagraph"/>
              <w:spacing w:line="240" w:lineRule="atLeast" w:before="0"/>
              <w:ind w:left="108"/>
              <w:rPr>
                <w:rFonts w:ascii="Calibri"/>
                <w:sz w:val="20"/>
              </w:rPr>
            </w:pPr>
            <w:r>
              <w:rPr>
                <w:rFonts w:ascii="Calibri"/>
                <w:sz w:val="20"/>
              </w:rPr>
              <w:t>Sherman</w:t>
            </w:r>
            <w:r>
              <w:rPr>
                <w:rFonts w:ascii="Calibri"/>
                <w:spacing w:val="-12"/>
                <w:sz w:val="20"/>
              </w:rPr>
              <w:t> </w:t>
            </w:r>
            <w:r>
              <w:rPr>
                <w:rFonts w:ascii="Calibri"/>
                <w:sz w:val="20"/>
              </w:rPr>
              <w:t>Hwy</w:t>
            </w:r>
            <w:r>
              <w:rPr>
                <w:rFonts w:ascii="Calibri"/>
                <w:spacing w:val="-11"/>
                <w:sz w:val="20"/>
              </w:rPr>
              <w:t> </w:t>
            </w:r>
            <w:r>
              <w:rPr>
                <w:rFonts w:ascii="Calibri"/>
                <w:sz w:val="20"/>
              </w:rPr>
              <w:t>20 Roadside Zone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15,</w:t>
            </w:r>
            <w:r>
              <w:rPr>
                <w:rFonts w:ascii="Calibri" w:hAnsi="Calibri"/>
                <w:spacing w:val="-3"/>
                <w:sz w:val="20"/>
              </w:rPr>
              <w:t> </w:t>
            </w:r>
            <w:r>
              <w:rPr>
                <w:rFonts w:ascii="Calibri" w:hAnsi="Calibri"/>
                <w:sz w:val="20"/>
              </w:rPr>
              <w:t>SW¼;</w:t>
            </w:r>
            <w:r>
              <w:rPr>
                <w:rFonts w:ascii="Calibri" w:hAnsi="Calibri"/>
                <w:spacing w:val="-6"/>
                <w:sz w:val="20"/>
              </w:rPr>
              <w:t> </w:t>
            </w:r>
            <w:r>
              <w:rPr>
                <w:rFonts w:ascii="Calibri" w:hAnsi="Calibri"/>
                <w:sz w:val="20"/>
              </w:rPr>
              <w:t>Sec.</w:t>
            </w:r>
            <w:r>
              <w:rPr>
                <w:rFonts w:ascii="Calibri" w:hAnsi="Calibri"/>
                <w:spacing w:val="-4"/>
                <w:sz w:val="20"/>
              </w:rPr>
              <w:t> </w:t>
            </w:r>
            <w:r>
              <w:rPr>
                <w:rFonts w:ascii="Calibri" w:hAnsi="Calibri"/>
                <w:sz w:val="20"/>
              </w:rPr>
              <w:t>16.</w:t>
            </w:r>
            <w:r>
              <w:rPr>
                <w:rFonts w:ascii="Calibri" w:hAnsi="Calibri"/>
                <w:spacing w:val="-4"/>
                <w:sz w:val="20"/>
              </w:rPr>
              <w:t> </w:t>
            </w:r>
            <w:r>
              <w:rPr>
                <w:rFonts w:ascii="Calibri" w:hAnsi="Calibri"/>
                <w:sz w:val="20"/>
              </w:rPr>
              <w:t>S½;</w:t>
            </w:r>
            <w:r>
              <w:rPr>
                <w:rFonts w:ascii="Calibri" w:hAnsi="Calibri"/>
                <w:spacing w:val="-3"/>
                <w:sz w:val="20"/>
              </w:rPr>
              <w:t> </w:t>
            </w:r>
            <w:r>
              <w:rPr>
                <w:rFonts w:ascii="Calibri" w:hAnsi="Calibri"/>
                <w:sz w:val="20"/>
              </w:rPr>
              <w:t>Sec.</w:t>
            </w:r>
            <w:r>
              <w:rPr>
                <w:rFonts w:ascii="Calibri" w:hAnsi="Calibri"/>
                <w:spacing w:val="-4"/>
                <w:sz w:val="20"/>
              </w:rPr>
              <w:t> </w:t>
            </w:r>
            <w:r>
              <w:rPr>
                <w:rFonts w:ascii="Calibri" w:hAnsi="Calibri"/>
                <w:sz w:val="20"/>
              </w:rPr>
              <w:t>21</w:t>
            </w:r>
            <w:r>
              <w:rPr>
                <w:rFonts w:ascii="Calibri" w:hAnsi="Calibri"/>
                <w:spacing w:val="-5"/>
                <w:sz w:val="20"/>
              </w:rPr>
              <w:t> </w:t>
            </w:r>
            <w:r>
              <w:rPr>
                <w:rFonts w:ascii="Calibri" w:hAnsi="Calibri"/>
                <w:sz w:val="20"/>
              </w:rPr>
              <w:t>NE¼;</w:t>
            </w:r>
            <w:r>
              <w:rPr>
                <w:rFonts w:ascii="Calibri" w:hAnsi="Calibri"/>
                <w:spacing w:val="-5"/>
                <w:sz w:val="20"/>
              </w:rPr>
              <w:t> </w:t>
            </w:r>
            <w:r>
              <w:rPr>
                <w:rFonts w:ascii="Calibri" w:hAnsi="Calibri"/>
                <w:sz w:val="20"/>
              </w:rPr>
              <w:t>Secs.</w:t>
            </w:r>
            <w:r>
              <w:rPr>
                <w:rFonts w:ascii="Calibri" w:hAnsi="Calibri"/>
                <w:spacing w:val="-3"/>
                <w:sz w:val="20"/>
              </w:rPr>
              <w:t> </w:t>
            </w:r>
            <w:r>
              <w:rPr>
                <w:rFonts w:ascii="Calibri" w:hAnsi="Calibri"/>
                <w:spacing w:val="-5"/>
                <w:sz w:val="20"/>
              </w:rPr>
              <w:t>22,</w:t>
            </w:r>
          </w:p>
          <w:p>
            <w:pPr>
              <w:pStyle w:val="TableParagraph"/>
              <w:spacing w:line="223" w:lineRule="exact" w:before="1"/>
              <w:ind w:left="110"/>
              <w:rPr>
                <w:rFonts w:ascii="Calibri" w:hAnsi="Calibri"/>
                <w:sz w:val="20"/>
              </w:rPr>
            </w:pPr>
            <w:r>
              <w:rPr>
                <w:rFonts w:ascii="Calibri" w:hAnsi="Calibri"/>
                <w:sz w:val="20"/>
              </w:rPr>
              <w:t>23,</w:t>
            </w:r>
            <w:r>
              <w:rPr>
                <w:rFonts w:ascii="Calibri" w:hAnsi="Calibri"/>
                <w:spacing w:val="-4"/>
                <w:sz w:val="20"/>
              </w:rPr>
              <w:t> </w:t>
            </w:r>
            <w:r>
              <w:rPr>
                <w:rFonts w:ascii="Calibri" w:hAnsi="Calibri"/>
                <w:sz w:val="20"/>
              </w:rPr>
              <w:t>24;</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26,</w:t>
            </w:r>
            <w:r>
              <w:rPr>
                <w:rFonts w:ascii="Calibri" w:hAnsi="Calibri"/>
                <w:spacing w:val="-3"/>
                <w:sz w:val="20"/>
              </w:rPr>
              <w:t> </w:t>
            </w:r>
            <w:r>
              <w:rPr>
                <w:rFonts w:ascii="Calibri" w:hAnsi="Calibri"/>
                <w:sz w:val="20"/>
              </w:rPr>
              <w:t>N½N½;</w:t>
            </w:r>
            <w:r>
              <w:rPr>
                <w:rFonts w:ascii="Calibri" w:hAnsi="Calibri"/>
                <w:spacing w:val="-5"/>
                <w:sz w:val="20"/>
              </w:rPr>
              <w:t> </w:t>
            </w:r>
            <w:r>
              <w:rPr>
                <w:rFonts w:ascii="Calibri" w:hAnsi="Calibri"/>
                <w:sz w:val="20"/>
              </w:rPr>
              <w:t>Sec.</w:t>
            </w:r>
            <w:r>
              <w:rPr>
                <w:rFonts w:ascii="Calibri" w:hAnsi="Calibri"/>
                <w:spacing w:val="-5"/>
                <w:sz w:val="20"/>
              </w:rPr>
              <w:t> </w:t>
            </w:r>
            <w:r>
              <w:rPr>
                <w:rFonts w:ascii="Calibri" w:hAnsi="Calibri"/>
                <w:sz w:val="20"/>
              </w:rPr>
              <w:t>27,</w:t>
            </w:r>
            <w:r>
              <w:rPr>
                <w:rFonts w:ascii="Calibri" w:hAnsi="Calibri"/>
                <w:spacing w:val="-3"/>
                <w:sz w:val="20"/>
              </w:rPr>
              <w:t> </w:t>
            </w:r>
            <w:r>
              <w:rPr>
                <w:rFonts w:ascii="Calibri" w:hAnsi="Calibri"/>
                <w:spacing w:val="-5"/>
                <w:sz w:val="20"/>
              </w:rPr>
              <w:t>NE¼</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34</w:t>
            </w:r>
          </w:p>
        </w:tc>
        <w:tc>
          <w:tcPr>
            <w:tcW w:w="2527" w:type="dxa"/>
          </w:tcPr>
          <w:p>
            <w:pPr>
              <w:pStyle w:val="TableParagraph"/>
              <w:spacing w:line="223" w:lineRule="exact" w:before="1"/>
              <w:ind w:left="108"/>
              <w:rPr>
                <w:rFonts w:ascii="Calibri"/>
                <w:sz w:val="20"/>
              </w:rPr>
            </w:pPr>
            <w:r>
              <w:rPr>
                <w:rFonts w:ascii="Calibri"/>
                <w:sz w:val="20"/>
              </w:rPr>
              <w:t>Graves</w:t>
            </w:r>
            <w:r>
              <w:rPr>
                <w:rFonts w:ascii="Calibri"/>
                <w:spacing w:val="-9"/>
                <w:sz w:val="20"/>
              </w:rPr>
              <w:t> </w:t>
            </w:r>
            <w:r>
              <w:rPr>
                <w:rFonts w:ascii="Calibri"/>
                <w:sz w:val="20"/>
              </w:rPr>
              <w:t>Mountain</w:t>
            </w:r>
            <w:r>
              <w:rPr>
                <w:rFonts w:ascii="Calibri"/>
                <w:spacing w:val="-7"/>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8"/>
                <w:sz w:val="20"/>
              </w:rPr>
              <w:t> </w:t>
            </w:r>
            <w:r>
              <w:rPr>
                <w:rFonts w:ascii="Calibri"/>
                <w:sz w:val="20"/>
              </w:rPr>
              <w:t>12</w:t>
            </w:r>
            <w:r>
              <w:rPr>
                <w:rFonts w:ascii="Calibri"/>
                <w:spacing w:val="-8"/>
                <w:sz w:val="20"/>
              </w:rPr>
              <w:t> </w:t>
            </w:r>
            <w:r>
              <w:rPr>
                <w:rFonts w:ascii="Calibri"/>
                <w:sz w:val="20"/>
              </w:rPr>
              <w:t>(un-surveyed),</w:t>
            </w:r>
            <w:r>
              <w:rPr>
                <w:rFonts w:ascii="Calibri"/>
                <w:spacing w:val="-7"/>
                <w:sz w:val="20"/>
              </w:rPr>
              <w:t> </w:t>
            </w:r>
            <w:r>
              <w:rPr>
                <w:rFonts w:ascii="Calibri"/>
                <w:spacing w:val="-5"/>
                <w:sz w:val="20"/>
              </w:rPr>
              <w:t>M&amp;B</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97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39</w:t>
            </w:r>
          </w:p>
        </w:tc>
        <w:tc>
          <w:tcPr>
            <w:tcW w:w="2527" w:type="dxa"/>
          </w:tcPr>
          <w:p>
            <w:pPr>
              <w:pStyle w:val="TableParagraph"/>
              <w:spacing w:before="0"/>
              <w:ind w:left="108"/>
              <w:rPr>
                <w:rFonts w:ascii="Calibri"/>
                <w:sz w:val="20"/>
              </w:rPr>
            </w:pPr>
            <w:r>
              <w:rPr>
                <w:rFonts w:ascii="Calibri"/>
                <w:sz w:val="20"/>
              </w:rPr>
              <w:t>Sherman</w:t>
            </w:r>
            <w:r>
              <w:rPr>
                <w:rFonts w:ascii="Calibri"/>
                <w:spacing w:val="-12"/>
                <w:sz w:val="20"/>
              </w:rPr>
              <w:t> </w:t>
            </w:r>
            <w:r>
              <w:rPr>
                <w:rFonts w:ascii="Calibri"/>
                <w:sz w:val="20"/>
              </w:rPr>
              <w:t>Hwy</w:t>
            </w:r>
            <w:r>
              <w:rPr>
                <w:rFonts w:ascii="Calibri"/>
                <w:spacing w:val="-11"/>
                <w:sz w:val="20"/>
              </w:rPr>
              <w:t> </w:t>
            </w:r>
            <w:r>
              <w:rPr>
                <w:rFonts w:ascii="Calibri"/>
                <w:sz w:val="20"/>
              </w:rPr>
              <w:t>20</w:t>
            </w:r>
            <w:r>
              <w:rPr>
                <w:rFonts w:ascii="Calibri"/>
                <w:spacing w:val="-11"/>
                <w:sz w:val="20"/>
              </w:rPr>
              <w:t> </w:t>
            </w:r>
            <w:r>
              <w:rPr>
                <w:rFonts w:ascii="Calibri"/>
                <w:sz w:val="20"/>
              </w:rPr>
              <w:t>Roadside </w:t>
            </w:r>
            <w:r>
              <w:rPr>
                <w:rFonts w:ascii="Calibri"/>
                <w:spacing w:val="-4"/>
                <w:sz w:val="20"/>
              </w:rPr>
              <w:t>Zone</w:t>
            </w:r>
          </w:p>
        </w:tc>
        <w:tc>
          <w:tcPr>
            <w:tcW w:w="2145" w:type="dxa"/>
          </w:tcPr>
          <w:p>
            <w:pPr>
              <w:pStyle w:val="TableParagraph"/>
              <w:spacing w:before="0"/>
              <w:ind w:left="108"/>
              <w:rPr>
                <w:rFonts w:ascii="Calibri"/>
                <w:sz w:val="20"/>
              </w:rPr>
            </w:pPr>
            <w:r>
              <w:rPr>
                <w:rFonts w:ascii="Calibri"/>
                <w:sz w:val="20"/>
              </w:rPr>
              <w:t>Strip</w:t>
            </w:r>
            <w:r>
              <w:rPr>
                <w:rFonts w:ascii="Calibri"/>
                <w:spacing w:val="-10"/>
                <w:sz w:val="20"/>
              </w:rPr>
              <w:t> </w:t>
            </w:r>
            <w:r>
              <w:rPr>
                <w:rFonts w:ascii="Calibri"/>
                <w:sz w:val="20"/>
              </w:rPr>
              <w:t>Of</w:t>
            </w:r>
            <w:r>
              <w:rPr>
                <w:rFonts w:ascii="Calibri"/>
                <w:spacing w:val="-11"/>
                <w:sz w:val="20"/>
              </w:rPr>
              <w:t> </w:t>
            </w:r>
            <w:r>
              <w:rPr>
                <w:rFonts w:ascii="Calibri"/>
                <w:sz w:val="20"/>
              </w:rPr>
              <w:t>Land</w:t>
            </w:r>
            <w:r>
              <w:rPr>
                <w:rFonts w:ascii="Calibri"/>
                <w:spacing w:val="-10"/>
                <w:sz w:val="20"/>
              </w:rPr>
              <w:t> </w:t>
            </w:r>
            <w:r>
              <w:rPr>
                <w:rFonts w:ascii="Calibri"/>
                <w:sz w:val="20"/>
              </w:rPr>
              <w:t>200</w:t>
            </w:r>
            <w:r>
              <w:rPr>
                <w:rFonts w:ascii="Calibri"/>
                <w:spacing w:val="-10"/>
                <w:sz w:val="20"/>
              </w:rPr>
              <w:t> </w:t>
            </w:r>
            <w:r>
              <w:rPr>
                <w:rFonts w:ascii="Calibri"/>
                <w:sz w:val="20"/>
              </w:rPr>
              <w:t>Feet From Centerline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hAnsi="Calibri"/>
                <w:sz w:val="20"/>
              </w:rPr>
            </w:pPr>
            <w:r>
              <w:rPr>
                <w:rFonts w:ascii="Calibri" w:hAnsi="Calibri"/>
                <w:sz w:val="20"/>
              </w:rPr>
              <w:t>Un-surveyed</w:t>
            </w:r>
            <w:r>
              <w:rPr>
                <w:rFonts w:ascii="Calibri" w:hAnsi="Calibri"/>
                <w:spacing w:val="-5"/>
                <w:sz w:val="20"/>
              </w:rPr>
              <w:t> </w:t>
            </w:r>
            <w:r>
              <w:rPr>
                <w:rFonts w:ascii="Calibri" w:hAnsi="Calibri"/>
                <w:sz w:val="20"/>
              </w:rPr>
              <w:t>Sec.</w:t>
            </w:r>
            <w:r>
              <w:rPr>
                <w:rFonts w:ascii="Calibri" w:hAnsi="Calibri"/>
                <w:spacing w:val="-6"/>
                <w:sz w:val="20"/>
              </w:rPr>
              <w:t> </w:t>
            </w:r>
            <w:r>
              <w:rPr>
                <w:rFonts w:ascii="Calibri" w:hAnsi="Calibri"/>
                <w:sz w:val="20"/>
              </w:rPr>
              <w:t>8</w:t>
            </w:r>
            <w:r>
              <w:rPr>
                <w:rFonts w:ascii="Calibri" w:hAnsi="Calibri"/>
                <w:spacing w:val="-6"/>
                <w:sz w:val="20"/>
              </w:rPr>
              <w:t> </w:t>
            </w:r>
            <w:r>
              <w:rPr>
                <w:rFonts w:ascii="Calibri" w:hAnsi="Calibri"/>
                <w:sz w:val="20"/>
              </w:rPr>
              <w:t>SE¼;</w:t>
            </w:r>
            <w:r>
              <w:rPr>
                <w:rFonts w:ascii="Calibri" w:hAnsi="Calibri"/>
                <w:spacing w:val="-3"/>
                <w:sz w:val="20"/>
              </w:rPr>
              <w:t> </w:t>
            </w:r>
            <w:r>
              <w:rPr>
                <w:rFonts w:ascii="Calibri" w:hAnsi="Calibri"/>
                <w:sz w:val="20"/>
              </w:rPr>
              <w:t>Sec.</w:t>
            </w:r>
            <w:r>
              <w:rPr>
                <w:rFonts w:ascii="Calibri" w:hAnsi="Calibri"/>
                <w:spacing w:val="-4"/>
                <w:sz w:val="20"/>
              </w:rPr>
              <w:t> </w:t>
            </w:r>
            <w:r>
              <w:rPr>
                <w:rFonts w:ascii="Calibri" w:hAnsi="Calibri"/>
                <w:sz w:val="20"/>
              </w:rPr>
              <w:t>9,</w:t>
            </w:r>
            <w:r>
              <w:rPr>
                <w:rFonts w:ascii="Calibri" w:hAnsi="Calibri"/>
                <w:spacing w:val="-5"/>
                <w:sz w:val="20"/>
              </w:rPr>
              <w:t> </w:t>
            </w:r>
            <w:r>
              <w:rPr>
                <w:rFonts w:ascii="Calibri" w:hAnsi="Calibri"/>
                <w:sz w:val="20"/>
              </w:rPr>
              <w:t>SW¼SW¼;</w:t>
            </w:r>
            <w:r>
              <w:rPr>
                <w:rFonts w:ascii="Calibri" w:hAnsi="Calibri"/>
                <w:spacing w:val="-7"/>
                <w:sz w:val="20"/>
              </w:rPr>
              <w:t> </w:t>
            </w:r>
            <w:r>
              <w:rPr>
                <w:rFonts w:ascii="Calibri" w:hAnsi="Calibri"/>
                <w:sz w:val="20"/>
              </w:rPr>
              <w:t>Sec.</w:t>
            </w:r>
            <w:r>
              <w:rPr>
                <w:rFonts w:ascii="Calibri" w:hAnsi="Calibri"/>
                <w:spacing w:val="-5"/>
                <w:sz w:val="20"/>
              </w:rPr>
              <w:t> 13.</w:t>
            </w:r>
          </w:p>
          <w:p>
            <w:pPr>
              <w:pStyle w:val="TableParagraph"/>
              <w:spacing w:before="0"/>
              <w:ind w:left="110"/>
              <w:rPr>
                <w:rFonts w:ascii="Calibri" w:hAnsi="Calibri"/>
                <w:sz w:val="20"/>
              </w:rPr>
            </w:pPr>
            <w:r>
              <w:rPr>
                <w:rFonts w:ascii="Calibri" w:hAnsi="Calibri"/>
                <w:sz w:val="20"/>
              </w:rPr>
              <w:t>SW¼SW¼;</w:t>
            </w:r>
            <w:r>
              <w:rPr>
                <w:rFonts w:ascii="Calibri" w:hAnsi="Calibri"/>
                <w:spacing w:val="-6"/>
                <w:sz w:val="20"/>
              </w:rPr>
              <w:t> </w:t>
            </w:r>
            <w:r>
              <w:rPr>
                <w:rFonts w:ascii="Calibri" w:hAnsi="Calibri"/>
                <w:sz w:val="20"/>
              </w:rPr>
              <w:t>Sec.</w:t>
            </w:r>
            <w:r>
              <w:rPr>
                <w:rFonts w:ascii="Calibri" w:hAnsi="Calibri"/>
                <w:spacing w:val="-4"/>
                <w:sz w:val="20"/>
              </w:rPr>
              <w:t> </w:t>
            </w:r>
            <w:r>
              <w:rPr>
                <w:rFonts w:ascii="Calibri" w:hAnsi="Calibri"/>
                <w:sz w:val="20"/>
              </w:rPr>
              <w:t>14</w:t>
            </w:r>
            <w:r>
              <w:rPr>
                <w:rFonts w:ascii="Calibri" w:hAnsi="Calibri"/>
                <w:spacing w:val="-4"/>
                <w:sz w:val="20"/>
              </w:rPr>
              <w:t> </w:t>
            </w:r>
            <w:r>
              <w:rPr>
                <w:rFonts w:ascii="Calibri" w:hAnsi="Calibri"/>
                <w:sz w:val="20"/>
              </w:rPr>
              <w:t>and</w:t>
            </w:r>
            <w:r>
              <w:rPr>
                <w:rFonts w:ascii="Calibri" w:hAnsi="Calibri"/>
                <w:spacing w:val="-4"/>
                <w:sz w:val="20"/>
              </w:rPr>
              <w:t> </w:t>
            </w:r>
            <w:r>
              <w:rPr>
                <w:rFonts w:ascii="Calibri" w:hAnsi="Calibri"/>
                <w:sz w:val="20"/>
              </w:rPr>
              <w:t>15;</w:t>
            </w:r>
            <w:r>
              <w:rPr>
                <w:rFonts w:ascii="Calibri" w:hAnsi="Calibri"/>
                <w:spacing w:val="-2"/>
                <w:sz w:val="20"/>
              </w:rPr>
              <w:t> </w:t>
            </w:r>
            <w:r>
              <w:rPr>
                <w:rFonts w:ascii="Calibri" w:hAnsi="Calibri"/>
                <w:sz w:val="20"/>
              </w:rPr>
              <w:t>Sec.</w:t>
            </w:r>
            <w:r>
              <w:rPr>
                <w:rFonts w:ascii="Calibri" w:hAnsi="Calibri"/>
                <w:spacing w:val="-5"/>
                <w:sz w:val="20"/>
              </w:rPr>
              <w:t> </w:t>
            </w:r>
            <w:r>
              <w:rPr>
                <w:rFonts w:ascii="Calibri" w:hAnsi="Calibri"/>
                <w:sz w:val="20"/>
              </w:rPr>
              <w:t>16,</w:t>
            </w:r>
            <w:r>
              <w:rPr>
                <w:rFonts w:ascii="Calibri" w:hAnsi="Calibri"/>
                <w:spacing w:val="-3"/>
                <w:sz w:val="20"/>
              </w:rPr>
              <w:t> </w:t>
            </w:r>
            <w:r>
              <w:rPr>
                <w:rFonts w:ascii="Calibri" w:hAnsi="Calibri"/>
                <w:sz w:val="20"/>
              </w:rPr>
              <w:t>N½;</w:t>
            </w:r>
            <w:r>
              <w:rPr>
                <w:rFonts w:ascii="Calibri" w:hAnsi="Calibri"/>
                <w:spacing w:val="-5"/>
                <w:sz w:val="20"/>
              </w:rPr>
              <w:t> </w:t>
            </w:r>
            <w:r>
              <w:rPr>
                <w:rFonts w:ascii="Calibri" w:hAnsi="Calibri"/>
                <w:sz w:val="20"/>
              </w:rPr>
              <w:t>Sec</w:t>
            </w:r>
            <w:r>
              <w:rPr>
                <w:rFonts w:ascii="Calibri" w:hAnsi="Calibri"/>
                <w:spacing w:val="-5"/>
                <w:sz w:val="20"/>
              </w:rPr>
              <w:t> 17;</w:t>
            </w:r>
          </w:p>
          <w:p>
            <w:pPr>
              <w:pStyle w:val="TableParagraph"/>
              <w:spacing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18,</w:t>
            </w:r>
            <w:r>
              <w:rPr>
                <w:rFonts w:ascii="Calibri" w:hAnsi="Calibri"/>
                <w:spacing w:val="-3"/>
                <w:sz w:val="20"/>
              </w:rPr>
              <w:t> </w:t>
            </w:r>
            <w:r>
              <w:rPr>
                <w:rFonts w:ascii="Calibri" w:hAnsi="Calibri"/>
                <w:sz w:val="20"/>
              </w:rPr>
              <w:t>S½SE¼;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19;</w:t>
            </w:r>
            <w:r>
              <w:rPr>
                <w:rFonts w:ascii="Calibri" w:hAnsi="Calibri"/>
                <w:spacing w:val="-5"/>
                <w:sz w:val="20"/>
              </w:rPr>
              <w:t> </w:t>
            </w:r>
            <w:r>
              <w:rPr>
                <w:rFonts w:ascii="Calibri" w:hAnsi="Calibri"/>
                <w:sz w:val="20"/>
              </w:rPr>
              <w:t>Sec.</w:t>
            </w:r>
            <w:r>
              <w:rPr>
                <w:rFonts w:ascii="Calibri" w:hAnsi="Calibri"/>
                <w:spacing w:val="-3"/>
                <w:sz w:val="20"/>
              </w:rPr>
              <w:t> </w:t>
            </w:r>
            <w:r>
              <w:rPr>
                <w:rFonts w:ascii="Calibri" w:hAnsi="Calibri"/>
                <w:sz w:val="20"/>
              </w:rPr>
              <w:t>20,</w:t>
            </w:r>
            <w:r>
              <w:rPr>
                <w:rFonts w:ascii="Calibri" w:hAnsi="Calibri"/>
                <w:spacing w:val="-3"/>
                <w:sz w:val="20"/>
              </w:rPr>
              <w:t> </w:t>
            </w:r>
            <w:r>
              <w:rPr>
                <w:rFonts w:ascii="Calibri" w:hAnsi="Calibri"/>
                <w:sz w:val="20"/>
              </w:rPr>
              <w:t>N½;</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pacing w:val="-5"/>
                <w:sz w:val="20"/>
              </w:rPr>
              <w:t>23,</w:t>
            </w:r>
          </w:p>
          <w:p>
            <w:pPr>
              <w:pStyle w:val="TableParagraph"/>
              <w:spacing w:line="223" w:lineRule="exact" w:before="1"/>
              <w:ind w:left="110"/>
              <w:rPr>
                <w:rFonts w:ascii="Calibri" w:hAnsi="Calibri"/>
                <w:sz w:val="20"/>
              </w:rPr>
            </w:pPr>
            <w:r>
              <w:rPr>
                <w:rFonts w:ascii="Calibri" w:hAnsi="Calibri"/>
                <w:sz w:val="20"/>
              </w:rPr>
              <w:t>NE¼NE¼;</w:t>
            </w:r>
            <w:r>
              <w:rPr>
                <w:rFonts w:ascii="Calibri" w:hAnsi="Calibri"/>
                <w:spacing w:val="-6"/>
                <w:sz w:val="20"/>
              </w:rPr>
              <w:t> </w:t>
            </w:r>
            <w:r>
              <w:rPr>
                <w:rFonts w:ascii="Calibri" w:hAnsi="Calibri"/>
                <w:sz w:val="20"/>
              </w:rPr>
              <w:t>Sec.</w:t>
            </w:r>
            <w:r>
              <w:rPr>
                <w:rFonts w:ascii="Calibri" w:hAnsi="Calibri"/>
                <w:spacing w:val="-5"/>
                <w:sz w:val="20"/>
              </w:rPr>
              <w:t> 24</w:t>
            </w:r>
          </w:p>
        </w:tc>
        <w:tc>
          <w:tcPr>
            <w:tcW w:w="900" w:type="dxa"/>
          </w:tcPr>
          <w:p>
            <w:pPr>
              <w:pStyle w:val="TableParagraph"/>
              <w:spacing w:before="0"/>
              <w:rPr>
                <w:rFonts w:ascii="Times New Roman"/>
                <w:sz w:val="18"/>
              </w:rPr>
            </w:pP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41</w:t>
            </w:r>
          </w:p>
        </w:tc>
        <w:tc>
          <w:tcPr>
            <w:tcW w:w="2527" w:type="dxa"/>
          </w:tcPr>
          <w:p>
            <w:pPr>
              <w:pStyle w:val="TableParagraph"/>
              <w:spacing w:line="243" w:lineRule="exact" w:before="0"/>
              <w:ind w:left="108"/>
              <w:rPr>
                <w:rFonts w:ascii="Calibri"/>
                <w:sz w:val="20"/>
              </w:rPr>
            </w:pPr>
            <w:r>
              <w:rPr>
                <w:rFonts w:ascii="Calibri"/>
                <w:sz w:val="20"/>
              </w:rPr>
              <w:t>Kettle</w:t>
            </w:r>
            <w:r>
              <w:rPr>
                <w:rFonts w:ascii="Calibri"/>
                <w:spacing w:val="-7"/>
                <w:sz w:val="20"/>
              </w:rPr>
              <w:t> </w:t>
            </w:r>
            <w:r>
              <w:rPr>
                <w:rFonts w:ascii="Calibri"/>
                <w:sz w:val="20"/>
              </w:rPr>
              <w:t>Range</w:t>
            </w:r>
            <w:r>
              <w:rPr>
                <w:rFonts w:ascii="Calibri"/>
                <w:spacing w:val="-7"/>
                <w:sz w:val="20"/>
              </w:rPr>
              <w:t> </w:t>
            </w:r>
            <w:r>
              <w:rPr>
                <w:rFonts w:ascii="Calibri"/>
                <w:spacing w:val="-2"/>
                <w:sz w:val="20"/>
              </w:rPr>
              <w:t>Observation</w:t>
            </w:r>
          </w:p>
          <w:p>
            <w:pPr>
              <w:pStyle w:val="TableParagraph"/>
              <w:spacing w:line="223" w:lineRule="exact" w:before="0"/>
              <w:ind w:left="108"/>
              <w:rPr>
                <w:rFonts w:ascii="Calibri"/>
                <w:sz w:val="20"/>
              </w:rPr>
            </w:pPr>
            <w:r>
              <w:rPr>
                <w:rFonts w:ascii="Calibri"/>
                <w:spacing w:val="-4"/>
                <w:sz w:val="20"/>
              </w:rPr>
              <w:t>Site</w:t>
            </w:r>
          </w:p>
        </w:tc>
        <w:tc>
          <w:tcPr>
            <w:tcW w:w="2145" w:type="dxa"/>
          </w:tcPr>
          <w:p>
            <w:pPr>
              <w:pStyle w:val="TableParagraph"/>
              <w:spacing w:line="243"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sz w:val="20"/>
              </w:rPr>
            </w:pPr>
            <w:r>
              <w:rPr>
                <w:rFonts w:ascii="Calibri"/>
                <w:sz w:val="20"/>
              </w:rPr>
              <w:t>Sec.</w:t>
            </w:r>
            <w:r>
              <w:rPr>
                <w:rFonts w:ascii="Calibri"/>
                <w:spacing w:val="-7"/>
                <w:sz w:val="20"/>
              </w:rPr>
              <w:t> </w:t>
            </w:r>
            <w:r>
              <w:rPr>
                <w:rFonts w:ascii="Calibri"/>
                <w:sz w:val="20"/>
              </w:rPr>
              <w:t>19</w:t>
            </w:r>
            <w:r>
              <w:rPr>
                <w:rFonts w:ascii="Calibri"/>
                <w:spacing w:val="-7"/>
                <w:sz w:val="20"/>
              </w:rPr>
              <w:t> </w:t>
            </w:r>
            <w:r>
              <w:rPr>
                <w:rFonts w:ascii="Calibri"/>
                <w:sz w:val="20"/>
              </w:rPr>
              <w:t>(Un-surveyed)</w:t>
            </w:r>
            <w:r>
              <w:rPr>
                <w:rFonts w:ascii="Calibri"/>
                <w:spacing w:val="-7"/>
                <w:sz w:val="20"/>
              </w:rPr>
              <w:t> </w:t>
            </w:r>
            <w:r>
              <w:rPr>
                <w:rFonts w:ascii="Calibri"/>
                <w:spacing w:val="-5"/>
                <w:sz w:val="20"/>
              </w:rPr>
              <w:t>M&amp;B</w:t>
            </w:r>
          </w:p>
        </w:tc>
        <w:tc>
          <w:tcPr>
            <w:tcW w:w="900" w:type="dxa"/>
          </w:tcPr>
          <w:p>
            <w:pPr>
              <w:pStyle w:val="TableParagraph"/>
              <w:spacing w:line="243" w:lineRule="exact" w:before="0"/>
              <w:ind w:left="7"/>
              <w:jc w:val="center"/>
              <w:rPr>
                <w:rFonts w:ascii="Calibri"/>
                <w:sz w:val="20"/>
              </w:rPr>
            </w:pPr>
            <w:r>
              <w:rPr>
                <w:rFonts w:ascii="Calibri"/>
                <w:spacing w:val="-5"/>
                <w:sz w:val="20"/>
              </w:rPr>
              <w:t>12</w:t>
            </w:r>
          </w:p>
        </w:tc>
      </w:tr>
      <w:tr>
        <w:trPr>
          <w:trHeight w:val="489" w:hRule="atLeast"/>
        </w:trPr>
        <w:tc>
          <w:tcPr>
            <w:tcW w:w="835" w:type="dxa"/>
          </w:tcPr>
          <w:p>
            <w:pPr>
              <w:pStyle w:val="TableParagraph"/>
              <w:spacing w:before="1"/>
              <w:ind w:left="9" w:right="4"/>
              <w:jc w:val="center"/>
              <w:rPr>
                <w:rFonts w:ascii="Calibri"/>
                <w:sz w:val="20"/>
              </w:rPr>
            </w:pPr>
            <w:r>
              <w:rPr>
                <w:rFonts w:ascii="Calibri"/>
                <w:spacing w:val="-10"/>
                <w:sz w:val="20"/>
              </w:rPr>
              <w:t>7</w:t>
            </w:r>
          </w:p>
        </w:tc>
        <w:tc>
          <w:tcPr>
            <w:tcW w:w="2527" w:type="dxa"/>
          </w:tcPr>
          <w:p>
            <w:pPr>
              <w:pStyle w:val="TableParagraph"/>
              <w:spacing w:line="240" w:lineRule="atLeast" w:before="0"/>
              <w:ind w:left="108" w:right="185"/>
              <w:rPr>
                <w:rFonts w:ascii="Calibri"/>
                <w:sz w:val="20"/>
              </w:rPr>
            </w:pPr>
            <w:r>
              <w:rPr>
                <w:rFonts w:ascii="Calibri"/>
                <w:sz w:val="20"/>
              </w:rPr>
              <w:t>Canyon</w:t>
            </w:r>
            <w:r>
              <w:rPr>
                <w:rFonts w:ascii="Calibri"/>
                <w:spacing w:val="-12"/>
                <w:sz w:val="20"/>
              </w:rPr>
              <w:t> </w:t>
            </w:r>
            <w:r>
              <w:rPr>
                <w:rFonts w:ascii="Calibri"/>
                <w:sz w:val="20"/>
              </w:rPr>
              <w:t>Creek</w:t>
            </w:r>
            <w:r>
              <w:rPr>
                <w:rFonts w:ascii="Calibri"/>
                <w:spacing w:val="17"/>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35,</w:t>
            </w:r>
            <w:r>
              <w:rPr>
                <w:rFonts w:ascii="Calibri" w:hAnsi="Calibri"/>
                <w:spacing w:val="-5"/>
                <w:sz w:val="20"/>
              </w:rPr>
              <w:t> </w:t>
            </w:r>
            <w:r>
              <w:rPr>
                <w:rFonts w:ascii="Calibri" w:hAnsi="Calibri"/>
                <w:sz w:val="20"/>
              </w:rPr>
              <w:t>S½NE¼NE¼,</w:t>
            </w:r>
            <w:r>
              <w:rPr>
                <w:rFonts w:ascii="Calibri" w:hAnsi="Calibri"/>
                <w:spacing w:val="-5"/>
                <w:sz w:val="20"/>
              </w:rPr>
              <w:t> </w:t>
            </w:r>
            <w:r>
              <w:rPr>
                <w:rFonts w:ascii="Calibri" w:hAnsi="Calibri"/>
                <w:spacing w:val="-2"/>
                <w:sz w:val="20"/>
              </w:rPr>
              <w:t>SE¼NE¼</w:t>
            </w:r>
          </w:p>
        </w:tc>
        <w:tc>
          <w:tcPr>
            <w:tcW w:w="900" w:type="dxa"/>
          </w:tcPr>
          <w:p>
            <w:pPr>
              <w:pStyle w:val="TableParagraph"/>
              <w:spacing w:before="1"/>
              <w:ind w:left="7"/>
              <w:jc w:val="center"/>
              <w:rPr>
                <w:rFonts w:ascii="Calibri"/>
                <w:sz w:val="20"/>
              </w:rPr>
            </w:pPr>
            <w:r>
              <w:rPr>
                <w:rFonts w:ascii="Calibri"/>
                <w:spacing w:val="-5"/>
                <w:sz w:val="20"/>
              </w:rPr>
              <w:t>60</w:t>
            </w:r>
          </w:p>
        </w:tc>
      </w:tr>
      <w:tr>
        <w:trPr>
          <w:trHeight w:val="976" w:hRule="atLeast"/>
        </w:trPr>
        <w:tc>
          <w:tcPr>
            <w:tcW w:w="835" w:type="dxa"/>
          </w:tcPr>
          <w:p>
            <w:pPr>
              <w:pStyle w:val="TableParagraph"/>
              <w:spacing w:before="1"/>
              <w:ind w:left="9" w:right="5"/>
              <w:jc w:val="center"/>
              <w:rPr>
                <w:rFonts w:ascii="Calibri"/>
                <w:sz w:val="20"/>
              </w:rPr>
            </w:pPr>
            <w:r>
              <w:rPr>
                <w:rFonts w:ascii="Calibri"/>
                <w:spacing w:val="-5"/>
                <w:sz w:val="20"/>
              </w:rPr>
              <w:t>39</w:t>
            </w:r>
          </w:p>
        </w:tc>
        <w:tc>
          <w:tcPr>
            <w:tcW w:w="2527" w:type="dxa"/>
          </w:tcPr>
          <w:p>
            <w:pPr>
              <w:pStyle w:val="TableParagraph"/>
              <w:spacing w:before="1"/>
              <w:ind w:left="108"/>
              <w:rPr>
                <w:rFonts w:ascii="Calibri"/>
                <w:sz w:val="20"/>
              </w:rPr>
            </w:pPr>
            <w:r>
              <w:rPr>
                <w:rFonts w:ascii="Calibri"/>
                <w:sz w:val="20"/>
              </w:rPr>
              <w:t>Sherman</w:t>
            </w:r>
            <w:r>
              <w:rPr>
                <w:rFonts w:ascii="Calibri"/>
                <w:spacing w:val="-12"/>
                <w:sz w:val="20"/>
              </w:rPr>
              <w:t> </w:t>
            </w:r>
            <w:r>
              <w:rPr>
                <w:rFonts w:ascii="Calibri"/>
                <w:sz w:val="20"/>
              </w:rPr>
              <w:t>Hwy</w:t>
            </w:r>
            <w:r>
              <w:rPr>
                <w:rFonts w:ascii="Calibri"/>
                <w:spacing w:val="-11"/>
                <w:sz w:val="20"/>
              </w:rPr>
              <w:t> </w:t>
            </w:r>
            <w:r>
              <w:rPr>
                <w:rFonts w:ascii="Calibri"/>
                <w:sz w:val="20"/>
              </w:rPr>
              <w:t>20</w:t>
            </w:r>
            <w:r>
              <w:rPr>
                <w:rFonts w:ascii="Calibri"/>
                <w:spacing w:val="-11"/>
                <w:sz w:val="20"/>
              </w:rPr>
              <w:t> </w:t>
            </w:r>
            <w:r>
              <w:rPr>
                <w:rFonts w:ascii="Calibri"/>
                <w:sz w:val="20"/>
              </w:rPr>
              <w:t>Roadside </w:t>
            </w:r>
            <w:r>
              <w:rPr>
                <w:rFonts w:ascii="Calibri"/>
                <w:spacing w:val="-4"/>
                <w:sz w:val="20"/>
              </w:rPr>
              <w:t>Zone</w:t>
            </w:r>
          </w:p>
        </w:tc>
        <w:tc>
          <w:tcPr>
            <w:tcW w:w="2145" w:type="dxa"/>
          </w:tcPr>
          <w:p>
            <w:pPr>
              <w:pStyle w:val="TableParagraph"/>
              <w:spacing w:before="1"/>
              <w:ind w:left="108"/>
              <w:rPr>
                <w:rFonts w:ascii="Calibri"/>
                <w:sz w:val="20"/>
              </w:rPr>
            </w:pPr>
            <w:r>
              <w:rPr>
                <w:rFonts w:ascii="Calibri"/>
                <w:sz w:val="20"/>
              </w:rPr>
              <w:t>Strip</w:t>
            </w:r>
            <w:r>
              <w:rPr>
                <w:rFonts w:ascii="Calibri"/>
                <w:spacing w:val="-10"/>
                <w:sz w:val="20"/>
              </w:rPr>
              <w:t> </w:t>
            </w:r>
            <w:r>
              <w:rPr>
                <w:rFonts w:ascii="Calibri"/>
                <w:sz w:val="20"/>
              </w:rPr>
              <w:t>Of</w:t>
            </w:r>
            <w:r>
              <w:rPr>
                <w:rFonts w:ascii="Calibri"/>
                <w:spacing w:val="-11"/>
                <w:sz w:val="20"/>
              </w:rPr>
              <w:t> </w:t>
            </w:r>
            <w:r>
              <w:rPr>
                <w:rFonts w:ascii="Calibri"/>
                <w:sz w:val="20"/>
              </w:rPr>
              <w:t>Land</w:t>
            </w:r>
            <w:r>
              <w:rPr>
                <w:rFonts w:ascii="Calibri"/>
                <w:spacing w:val="-10"/>
                <w:sz w:val="20"/>
              </w:rPr>
              <w:t> </w:t>
            </w:r>
            <w:r>
              <w:rPr>
                <w:rFonts w:ascii="Calibri"/>
                <w:sz w:val="20"/>
              </w:rPr>
              <w:t>200</w:t>
            </w:r>
            <w:r>
              <w:rPr>
                <w:rFonts w:ascii="Calibri"/>
                <w:spacing w:val="-10"/>
                <w:sz w:val="20"/>
              </w:rPr>
              <w:t> </w:t>
            </w:r>
            <w:r>
              <w:rPr>
                <w:rFonts w:ascii="Calibri"/>
                <w:sz w:val="20"/>
              </w:rPr>
              <w:t>Feet From Centerline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before="1"/>
              <w:ind w:left="110" w:right="123"/>
              <w:rPr>
                <w:rFonts w:ascii="Calibri" w:hAnsi="Calibri"/>
                <w:sz w:val="20"/>
              </w:rPr>
            </w:pPr>
            <w:r>
              <w:rPr>
                <w:rFonts w:ascii="Calibri" w:hAnsi="Calibri"/>
                <w:sz w:val="20"/>
              </w:rPr>
              <w:t>Sec.</w:t>
            </w:r>
            <w:r>
              <w:rPr>
                <w:rFonts w:ascii="Calibri" w:hAnsi="Calibri"/>
                <w:spacing w:val="-1"/>
                <w:sz w:val="20"/>
              </w:rPr>
              <w:t> </w:t>
            </w:r>
            <w:r>
              <w:rPr>
                <w:rFonts w:ascii="Calibri" w:hAnsi="Calibri"/>
                <w:sz w:val="20"/>
              </w:rPr>
              <w:t>19, S½S½;</w:t>
            </w:r>
            <w:r>
              <w:rPr>
                <w:rFonts w:ascii="Calibri" w:hAnsi="Calibri"/>
                <w:spacing w:val="-2"/>
                <w:sz w:val="20"/>
              </w:rPr>
              <w:t> </w:t>
            </w:r>
            <w:r>
              <w:rPr>
                <w:rFonts w:ascii="Calibri" w:hAnsi="Calibri"/>
                <w:sz w:val="20"/>
              </w:rPr>
              <w:t>Sec.</w:t>
            </w:r>
            <w:r>
              <w:rPr>
                <w:rFonts w:ascii="Calibri" w:hAnsi="Calibri"/>
                <w:spacing w:val="-1"/>
                <w:sz w:val="20"/>
              </w:rPr>
              <w:t> </w:t>
            </w:r>
            <w:r>
              <w:rPr>
                <w:rFonts w:ascii="Calibri" w:hAnsi="Calibri"/>
                <w:sz w:val="20"/>
              </w:rPr>
              <w:t>25, S½;</w:t>
            </w:r>
            <w:r>
              <w:rPr>
                <w:rFonts w:ascii="Calibri" w:hAnsi="Calibri"/>
                <w:spacing w:val="-2"/>
                <w:sz w:val="20"/>
              </w:rPr>
              <w:t> </w:t>
            </w:r>
            <w:r>
              <w:rPr>
                <w:rFonts w:ascii="Calibri" w:hAnsi="Calibri"/>
                <w:sz w:val="20"/>
              </w:rPr>
              <w:t>Sec.</w:t>
            </w:r>
            <w:r>
              <w:rPr>
                <w:rFonts w:ascii="Calibri" w:hAnsi="Calibri"/>
                <w:spacing w:val="-1"/>
                <w:sz w:val="20"/>
              </w:rPr>
              <w:t> </w:t>
            </w:r>
            <w:r>
              <w:rPr>
                <w:rFonts w:ascii="Calibri" w:hAnsi="Calibri"/>
                <w:sz w:val="20"/>
              </w:rPr>
              <w:t>28, SW¼;</w:t>
            </w:r>
            <w:r>
              <w:rPr>
                <w:rFonts w:ascii="Calibri" w:hAnsi="Calibri"/>
                <w:spacing w:val="-2"/>
                <w:sz w:val="20"/>
              </w:rPr>
              <w:t> </w:t>
            </w:r>
            <w:r>
              <w:rPr>
                <w:rFonts w:ascii="Calibri" w:hAnsi="Calibri"/>
                <w:sz w:val="20"/>
              </w:rPr>
              <w:t>Sec.</w:t>
            </w:r>
            <w:r>
              <w:rPr>
                <w:rFonts w:ascii="Calibri" w:hAnsi="Calibri"/>
                <w:spacing w:val="-1"/>
                <w:sz w:val="20"/>
              </w:rPr>
              <w:t> </w:t>
            </w:r>
            <w:r>
              <w:rPr>
                <w:rFonts w:ascii="Calibri" w:hAnsi="Calibri"/>
                <w:sz w:val="20"/>
              </w:rPr>
              <w:t>29; Sec. 30 N½; Sec. 33, NW¼NW¼, S½S½NE¼; Sec. 34,</w:t>
            </w:r>
            <w:r>
              <w:rPr>
                <w:rFonts w:ascii="Calibri" w:hAnsi="Calibri"/>
                <w:spacing w:val="-4"/>
                <w:sz w:val="20"/>
              </w:rPr>
              <w:t> </w:t>
            </w:r>
            <w:r>
              <w:rPr>
                <w:rFonts w:ascii="Calibri" w:hAnsi="Calibri"/>
                <w:sz w:val="20"/>
              </w:rPr>
              <w:t>NW¼NE¼,</w:t>
            </w:r>
            <w:r>
              <w:rPr>
                <w:rFonts w:ascii="Calibri" w:hAnsi="Calibri"/>
                <w:spacing w:val="-4"/>
                <w:sz w:val="20"/>
              </w:rPr>
              <w:t> </w:t>
            </w:r>
            <w:r>
              <w:rPr>
                <w:rFonts w:ascii="Calibri" w:hAnsi="Calibri"/>
                <w:sz w:val="20"/>
              </w:rPr>
              <w:t>S½NE¼,</w:t>
            </w:r>
            <w:r>
              <w:rPr>
                <w:rFonts w:ascii="Calibri" w:hAnsi="Calibri"/>
                <w:spacing w:val="-7"/>
                <w:sz w:val="20"/>
              </w:rPr>
              <w:t> </w:t>
            </w:r>
            <w:r>
              <w:rPr>
                <w:rFonts w:ascii="Calibri" w:hAnsi="Calibri"/>
                <w:sz w:val="20"/>
              </w:rPr>
              <w:t>NW¼;</w:t>
            </w:r>
            <w:r>
              <w:rPr>
                <w:rFonts w:ascii="Calibri" w:hAnsi="Calibri"/>
                <w:spacing w:val="-6"/>
                <w:sz w:val="20"/>
              </w:rPr>
              <w:t> </w:t>
            </w:r>
            <w:r>
              <w:rPr>
                <w:rFonts w:ascii="Calibri" w:hAnsi="Calibri"/>
                <w:sz w:val="20"/>
              </w:rPr>
              <w:t>Sec.</w:t>
            </w:r>
            <w:r>
              <w:rPr>
                <w:rFonts w:ascii="Calibri" w:hAnsi="Calibri"/>
                <w:spacing w:val="-5"/>
                <w:sz w:val="20"/>
              </w:rPr>
              <w:t> </w:t>
            </w:r>
            <w:r>
              <w:rPr>
                <w:rFonts w:ascii="Calibri" w:hAnsi="Calibri"/>
                <w:sz w:val="20"/>
              </w:rPr>
              <w:t>35,</w:t>
            </w:r>
            <w:r>
              <w:rPr>
                <w:rFonts w:ascii="Calibri" w:hAnsi="Calibri"/>
                <w:spacing w:val="-4"/>
                <w:sz w:val="20"/>
              </w:rPr>
              <w:t> </w:t>
            </w:r>
            <w:r>
              <w:rPr>
                <w:rFonts w:ascii="Calibri" w:hAnsi="Calibri"/>
                <w:sz w:val="20"/>
              </w:rPr>
              <w:t>N½;</w:t>
            </w:r>
            <w:r>
              <w:rPr>
                <w:rFonts w:ascii="Calibri" w:hAnsi="Calibri"/>
                <w:spacing w:val="-6"/>
                <w:sz w:val="20"/>
              </w:rPr>
              <w:t> </w:t>
            </w:r>
            <w:r>
              <w:rPr>
                <w:rFonts w:ascii="Calibri" w:hAnsi="Calibri"/>
                <w:sz w:val="20"/>
              </w:rPr>
              <w:t>Sec.</w:t>
            </w:r>
            <w:r>
              <w:rPr>
                <w:rFonts w:ascii="Calibri" w:hAnsi="Calibri"/>
                <w:spacing w:val="-5"/>
                <w:sz w:val="20"/>
              </w:rPr>
              <w:t> </w:t>
            </w:r>
            <w:r>
              <w:rPr>
                <w:rFonts w:ascii="Calibri" w:hAnsi="Calibri"/>
                <w:sz w:val="20"/>
              </w:rPr>
              <w:t>36,</w:t>
            </w:r>
          </w:p>
          <w:p>
            <w:pPr>
              <w:pStyle w:val="TableParagraph"/>
              <w:spacing w:line="223" w:lineRule="exact" w:before="0"/>
              <w:ind w:left="110"/>
              <w:rPr>
                <w:rFonts w:ascii="Calibri" w:hAnsi="Calibri"/>
                <w:sz w:val="20"/>
              </w:rPr>
            </w:pPr>
            <w:r>
              <w:rPr>
                <w:rFonts w:ascii="Calibri" w:hAnsi="Calibri"/>
                <w:spacing w:val="-5"/>
                <w:sz w:val="20"/>
              </w:rPr>
              <w:t>NW¼</w:t>
            </w:r>
          </w:p>
        </w:tc>
        <w:tc>
          <w:tcPr>
            <w:tcW w:w="900" w:type="dxa"/>
          </w:tcPr>
          <w:p>
            <w:pPr>
              <w:pStyle w:val="TableParagraph"/>
              <w:spacing w:before="0"/>
              <w:rPr>
                <w:rFonts w:ascii="Times New Roman"/>
                <w:sz w:val="18"/>
              </w:rPr>
            </w:pP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80</w:t>
            </w:r>
          </w:p>
        </w:tc>
        <w:tc>
          <w:tcPr>
            <w:tcW w:w="2527" w:type="dxa"/>
          </w:tcPr>
          <w:p>
            <w:pPr>
              <w:pStyle w:val="TableParagraph"/>
              <w:spacing w:before="1"/>
              <w:ind w:left="108"/>
              <w:rPr>
                <w:rFonts w:ascii="Calibri"/>
                <w:sz w:val="20"/>
              </w:rPr>
            </w:pPr>
            <w:r>
              <w:rPr>
                <w:rFonts w:ascii="Calibri"/>
                <w:sz w:val="20"/>
              </w:rPr>
              <w:t>Trout</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ight="123"/>
              <w:rPr>
                <w:rFonts w:ascii="Calibri" w:hAnsi="Calibri"/>
                <w:sz w:val="20"/>
              </w:rPr>
            </w:pPr>
            <w:r>
              <w:rPr>
                <w:rFonts w:ascii="Calibri" w:hAnsi="Calibri"/>
                <w:sz w:val="20"/>
              </w:rPr>
              <w:t>Un-surveyed</w:t>
            </w:r>
            <w:r>
              <w:rPr>
                <w:rFonts w:ascii="Calibri" w:hAnsi="Calibri"/>
                <w:spacing w:val="-7"/>
                <w:sz w:val="20"/>
              </w:rPr>
              <w:t> </w:t>
            </w:r>
            <w:r>
              <w:rPr>
                <w:rFonts w:ascii="Calibri" w:hAnsi="Calibri"/>
                <w:sz w:val="20"/>
              </w:rPr>
              <w:t>Sec.</w:t>
            </w:r>
            <w:r>
              <w:rPr>
                <w:rFonts w:ascii="Calibri" w:hAnsi="Calibri"/>
                <w:spacing w:val="-8"/>
                <w:sz w:val="20"/>
              </w:rPr>
              <w:t> </w:t>
            </w:r>
            <w:r>
              <w:rPr>
                <w:rFonts w:ascii="Calibri" w:hAnsi="Calibri"/>
                <w:sz w:val="20"/>
              </w:rPr>
              <w:t>11,</w:t>
            </w:r>
            <w:r>
              <w:rPr>
                <w:rFonts w:ascii="Calibri" w:hAnsi="Calibri"/>
                <w:spacing w:val="-7"/>
                <w:sz w:val="20"/>
              </w:rPr>
              <w:t> </w:t>
            </w:r>
            <w:r>
              <w:rPr>
                <w:rFonts w:ascii="Calibri" w:hAnsi="Calibri"/>
                <w:sz w:val="20"/>
              </w:rPr>
              <w:t>E½SE¼;</w:t>
            </w:r>
            <w:r>
              <w:rPr>
                <w:rFonts w:ascii="Calibri" w:hAnsi="Calibri"/>
                <w:spacing w:val="-6"/>
                <w:sz w:val="20"/>
              </w:rPr>
              <w:t> </w:t>
            </w:r>
            <w:r>
              <w:rPr>
                <w:rFonts w:ascii="Calibri" w:hAnsi="Calibri"/>
                <w:sz w:val="20"/>
              </w:rPr>
              <w:t>Sec.</w:t>
            </w:r>
            <w:r>
              <w:rPr>
                <w:rFonts w:ascii="Calibri" w:hAnsi="Calibri"/>
                <w:spacing w:val="-8"/>
                <w:sz w:val="20"/>
              </w:rPr>
              <w:t> </w:t>
            </w:r>
            <w:r>
              <w:rPr>
                <w:rFonts w:ascii="Calibri" w:hAnsi="Calibri"/>
                <w:sz w:val="20"/>
              </w:rPr>
              <w:t>12,</w:t>
            </w:r>
            <w:r>
              <w:rPr>
                <w:rFonts w:ascii="Calibri" w:hAnsi="Calibri"/>
                <w:spacing w:val="-7"/>
                <w:sz w:val="20"/>
              </w:rPr>
              <w:t> </w:t>
            </w:r>
            <w:r>
              <w:rPr>
                <w:rFonts w:ascii="Calibri" w:hAnsi="Calibri"/>
                <w:sz w:val="20"/>
              </w:rPr>
              <w:t>SW¼SW¼; Sec. 13, NW¼NW¼; Sec. 14, NE¼NE¼</w:t>
            </w:r>
          </w:p>
        </w:tc>
        <w:tc>
          <w:tcPr>
            <w:tcW w:w="900" w:type="dxa"/>
          </w:tcPr>
          <w:p>
            <w:pPr>
              <w:pStyle w:val="TableParagraph"/>
              <w:spacing w:before="1"/>
              <w:ind w:left="7"/>
              <w:jc w:val="center"/>
              <w:rPr>
                <w:rFonts w:ascii="Calibri"/>
                <w:sz w:val="20"/>
              </w:rPr>
            </w:pPr>
            <w:r>
              <w:rPr>
                <w:rFonts w:ascii="Calibri"/>
                <w:spacing w:val="-5"/>
                <w:sz w:val="20"/>
              </w:rPr>
              <w:t>200</w:t>
            </w:r>
          </w:p>
        </w:tc>
      </w:tr>
      <w:tr>
        <w:trPr>
          <w:trHeight w:val="241"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21</w:t>
            </w:r>
          </w:p>
        </w:tc>
        <w:tc>
          <w:tcPr>
            <w:tcW w:w="2527" w:type="dxa"/>
          </w:tcPr>
          <w:p>
            <w:pPr>
              <w:pStyle w:val="TableParagraph"/>
              <w:spacing w:line="222" w:lineRule="exact" w:before="0"/>
              <w:ind w:left="108"/>
              <w:rPr>
                <w:rFonts w:ascii="Calibri"/>
                <w:sz w:val="20"/>
              </w:rPr>
            </w:pPr>
            <w:r>
              <w:rPr>
                <w:rFonts w:ascii="Calibri"/>
                <w:sz w:val="20"/>
              </w:rPr>
              <w:t>Dominion</w:t>
            </w:r>
            <w:r>
              <w:rPr>
                <w:rFonts w:ascii="Calibri"/>
                <w:spacing w:val="-11"/>
                <w:sz w:val="20"/>
              </w:rPr>
              <w:t> </w:t>
            </w:r>
            <w:r>
              <w:rPr>
                <w:rFonts w:ascii="Calibri"/>
                <w:spacing w:val="-2"/>
                <w:sz w:val="20"/>
              </w:rPr>
              <w:t>Lookout</w:t>
            </w:r>
          </w:p>
        </w:tc>
        <w:tc>
          <w:tcPr>
            <w:tcW w:w="2145" w:type="dxa"/>
          </w:tcPr>
          <w:p>
            <w:pPr>
              <w:pStyle w:val="TableParagraph"/>
              <w:spacing w:line="222"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40</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34,</w:t>
            </w:r>
            <w:r>
              <w:rPr>
                <w:rFonts w:ascii="Calibri" w:hAnsi="Calibri"/>
                <w:spacing w:val="-3"/>
                <w:sz w:val="20"/>
              </w:rPr>
              <w:t> </w:t>
            </w:r>
            <w:r>
              <w:rPr>
                <w:rFonts w:ascii="Calibri" w:hAnsi="Calibri"/>
                <w:sz w:val="20"/>
              </w:rPr>
              <w:t>NE¼</w:t>
            </w:r>
            <w:r>
              <w:rPr>
                <w:rFonts w:ascii="Calibri" w:hAnsi="Calibri"/>
                <w:spacing w:val="-4"/>
                <w:sz w:val="20"/>
              </w:rPr>
              <w:t> </w:t>
            </w:r>
            <w:r>
              <w:rPr>
                <w:rFonts w:ascii="Calibri" w:hAnsi="Calibri"/>
                <w:spacing w:val="-5"/>
                <w:sz w:val="20"/>
              </w:rPr>
              <w:t>M&amp;B</w:t>
            </w:r>
          </w:p>
        </w:tc>
        <w:tc>
          <w:tcPr>
            <w:tcW w:w="900" w:type="dxa"/>
          </w:tcPr>
          <w:p>
            <w:pPr>
              <w:pStyle w:val="TableParagraph"/>
              <w:spacing w:line="222" w:lineRule="exact" w:before="0"/>
              <w:ind w:left="7"/>
              <w:jc w:val="center"/>
              <w:rPr>
                <w:rFonts w:ascii="Calibri"/>
                <w:sz w:val="20"/>
              </w:rPr>
            </w:pPr>
            <w:r>
              <w:rPr>
                <w:rFonts w:ascii="Calibri"/>
                <w:spacing w:val="-5"/>
                <w:sz w:val="20"/>
              </w:rPr>
              <w:t>20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54</w:t>
            </w:r>
          </w:p>
        </w:tc>
        <w:tc>
          <w:tcPr>
            <w:tcW w:w="2527" w:type="dxa"/>
          </w:tcPr>
          <w:p>
            <w:pPr>
              <w:pStyle w:val="TableParagraph"/>
              <w:spacing w:line="223" w:lineRule="exact" w:before="1"/>
              <w:ind w:left="108"/>
              <w:rPr>
                <w:rFonts w:ascii="Calibri"/>
                <w:sz w:val="20"/>
              </w:rPr>
            </w:pPr>
            <w:r>
              <w:rPr>
                <w:rFonts w:ascii="Calibri"/>
                <w:sz w:val="20"/>
              </w:rPr>
              <w:t>Mill</w:t>
            </w:r>
            <w:r>
              <w:rPr>
                <w:rFonts w:ascii="Calibri"/>
                <w:spacing w:val="-9"/>
                <w:sz w:val="20"/>
              </w:rPr>
              <w:t> </w:t>
            </w:r>
            <w:r>
              <w:rPr>
                <w:rFonts w:ascii="Calibri"/>
                <w:sz w:val="20"/>
              </w:rPr>
              <w:t>Cr.</w:t>
            </w:r>
            <w:r>
              <w:rPr>
                <w:rFonts w:ascii="Calibri"/>
                <w:spacing w:val="-8"/>
                <w:sz w:val="20"/>
              </w:rPr>
              <w:t> </w:t>
            </w:r>
            <w:r>
              <w:rPr>
                <w:rFonts w:ascii="Calibri"/>
                <w:sz w:val="20"/>
              </w:rPr>
              <w:t>Administrative</w:t>
            </w:r>
            <w:r>
              <w:rPr>
                <w:rFonts w:ascii="Calibri"/>
                <w:spacing w:val="-9"/>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20,</w:t>
            </w:r>
            <w:r>
              <w:rPr>
                <w:rFonts w:ascii="Calibri" w:hAnsi="Calibri"/>
                <w:spacing w:val="-6"/>
                <w:sz w:val="20"/>
              </w:rPr>
              <w:t> </w:t>
            </w:r>
            <w:r>
              <w:rPr>
                <w:rFonts w:ascii="Calibri" w:hAnsi="Calibri"/>
                <w:sz w:val="20"/>
              </w:rPr>
              <w:t>SE¼NW¼,</w:t>
            </w:r>
            <w:r>
              <w:rPr>
                <w:rFonts w:ascii="Calibri" w:hAnsi="Calibri"/>
                <w:spacing w:val="-5"/>
                <w:sz w:val="20"/>
              </w:rPr>
              <w:t> </w:t>
            </w:r>
            <w:r>
              <w:rPr>
                <w:rFonts w:ascii="Calibri" w:hAnsi="Calibri"/>
                <w:sz w:val="20"/>
              </w:rPr>
              <w:t>NE¼SW¼,</w:t>
            </w:r>
            <w:r>
              <w:rPr>
                <w:rFonts w:ascii="Calibri" w:hAnsi="Calibri"/>
                <w:spacing w:val="-5"/>
                <w:sz w:val="20"/>
              </w:rPr>
              <w:t> </w:t>
            </w:r>
            <w:r>
              <w:rPr>
                <w:rFonts w:ascii="Calibri" w:hAnsi="Calibri"/>
                <w:spacing w:val="-4"/>
                <w:sz w:val="20"/>
              </w:rPr>
              <w:t>N½SE¼</w:t>
            </w:r>
          </w:p>
        </w:tc>
        <w:tc>
          <w:tcPr>
            <w:tcW w:w="900" w:type="dxa"/>
          </w:tcPr>
          <w:p>
            <w:pPr>
              <w:pStyle w:val="TableParagraph"/>
              <w:spacing w:line="223" w:lineRule="exact" w:before="1"/>
              <w:ind w:left="7"/>
              <w:jc w:val="center"/>
              <w:rPr>
                <w:rFonts w:ascii="Calibri"/>
                <w:sz w:val="20"/>
              </w:rPr>
            </w:pPr>
            <w:r>
              <w:rPr>
                <w:rFonts w:ascii="Calibri"/>
                <w:spacing w:val="-5"/>
                <w:sz w:val="20"/>
              </w:rPr>
              <w:t>160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48</w:t>
            </w:r>
          </w:p>
        </w:tc>
        <w:tc>
          <w:tcPr>
            <w:tcW w:w="2527" w:type="dxa"/>
          </w:tcPr>
          <w:p>
            <w:pPr>
              <w:pStyle w:val="TableParagraph"/>
              <w:spacing w:line="240" w:lineRule="atLeast" w:before="0"/>
              <w:ind w:left="108"/>
              <w:rPr>
                <w:rFonts w:ascii="Calibri"/>
                <w:sz w:val="20"/>
              </w:rPr>
            </w:pPr>
            <w:r>
              <w:rPr>
                <w:rFonts w:ascii="Calibri"/>
                <w:sz w:val="20"/>
              </w:rPr>
              <w:t>Little</w:t>
            </w:r>
            <w:r>
              <w:rPr>
                <w:rFonts w:ascii="Calibri"/>
                <w:spacing w:val="-12"/>
                <w:sz w:val="20"/>
              </w:rPr>
              <w:t> </w:t>
            </w:r>
            <w:r>
              <w:rPr>
                <w:rFonts w:ascii="Calibri"/>
                <w:sz w:val="20"/>
              </w:rPr>
              <w:t>Twin</w:t>
            </w:r>
            <w:r>
              <w:rPr>
                <w:rFonts w:ascii="Calibri"/>
                <w:spacing w:val="-11"/>
                <w:sz w:val="20"/>
              </w:rPr>
              <w:t> </w:t>
            </w:r>
            <w:r>
              <w:rPr>
                <w:rFonts w:ascii="Calibri"/>
                <w:sz w:val="20"/>
              </w:rPr>
              <w:t>Lakes</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41</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33,</w:t>
            </w:r>
            <w:r>
              <w:rPr>
                <w:rFonts w:ascii="Calibri" w:hAnsi="Calibri"/>
                <w:spacing w:val="-2"/>
                <w:sz w:val="20"/>
              </w:rPr>
              <w:t> </w:t>
            </w:r>
            <w:r>
              <w:rPr>
                <w:rFonts w:ascii="Calibri" w:hAnsi="Calibri"/>
                <w:sz w:val="20"/>
              </w:rPr>
              <w:t>Lots</w:t>
            </w:r>
            <w:r>
              <w:rPr>
                <w:rFonts w:ascii="Calibri" w:hAnsi="Calibri"/>
                <w:spacing w:val="-3"/>
                <w:sz w:val="20"/>
              </w:rPr>
              <w:t> </w:t>
            </w:r>
            <w:r>
              <w:rPr>
                <w:rFonts w:ascii="Calibri" w:hAnsi="Calibri"/>
                <w:sz w:val="20"/>
              </w:rPr>
              <w:t>3</w:t>
            </w:r>
            <w:r>
              <w:rPr>
                <w:rFonts w:ascii="Calibri" w:hAnsi="Calibri"/>
                <w:spacing w:val="-3"/>
                <w:sz w:val="20"/>
              </w:rPr>
              <w:t> </w:t>
            </w:r>
            <w:r>
              <w:rPr>
                <w:rFonts w:ascii="Calibri" w:hAnsi="Calibri"/>
                <w:sz w:val="20"/>
              </w:rPr>
              <w:t>and</w:t>
            </w:r>
            <w:r>
              <w:rPr>
                <w:rFonts w:ascii="Calibri" w:hAnsi="Calibri"/>
                <w:spacing w:val="-3"/>
                <w:sz w:val="20"/>
              </w:rPr>
              <w:t> </w:t>
            </w:r>
            <w:r>
              <w:rPr>
                <w:rFonts w:ascii="Calibri" w:hAnsi="Calibri"/>
                <w:sz w:val="20"/>
              </w:rPr>
              <w:t>4,</w:t>
            </w:r>
            <w:r>
              <w:rPr>
                <w:rFonts w:ascii="Calibri" w:hAnsi="Calibri"/>
                <w:spacing w:val="-2"/>
                <w:sz w:val="20"/>
              </w:rPr>
              <w:t> NE¼SW¼</w:t>
            </w:r>
          </w:p>
        </w:tc>
        <w:tc>
          <w:tcPr>
            <w:tcW w:w="900" w:type="dxa"/>
          </w:tcPr>
          <w:p>
            <w:pPr>
              <w:pStyle w:val="TableParagraph"/>
              <w:spacing w:before="1"/>
              <w:ind w:left="7" w:right="3"/>
              <w:jc w:val="center"/>
              <w:rPr>
                <w:rFonts w:ascii="Calibri"/>
                <w:sz w:val="20"/>
              </w:rPr>
            </w:pPr>
            <w:r>
              <w:rPr>
                <w:rFonts w:ascii="Calibri"/>
                <w:spacing w:val="-2"/>
                <w:sz w:val="20"/>
              </w:rPr>
              <w:t>100.94</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33</w:t>
            </w:r>
          </w:p>
        </w:tc>
        <w:tc>
          <w:tcPr>
            <w:tcW w:w="2527" w:type="dxa"/>
          </w:tcPr>
          <w:p>
            <w:pPr>
              <w:pStyle w:val="TableParagraph"/>
              <w:spacing w:line="223" w:lineRule="exact" w:before="1"/>
              <w:ind w:left="108"/>
              <w:rPr>
                <w:rFonts w:ascii="Calibri"/>
                <w:sz w:val="20"/>
              </w:rPr>
            </w:pPr>
            <w:r>
              <w:rPr>
                <w:rFonts w:ascii="Calibri"/>
                <w:sz w:val="20"/>
              </w:rPr>
              <w:t>Frater</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7"/>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3"/>
                <w:sz w:val="20"/>
              </w:rPr>
              <w:t> </w:t>
            </w:r>
            <w:r>
              <w:rPr>
                <w:rFonts w:ascii="Calibri"/>
                <w:sz w:val="20"/>
              </w:rPr>
              <w:t>2,</w:t>
            </w:r>
            <w:r>
              <w:rPr>
                <w:rFonts w:ascii="Calibri"/>
                <w:spacing w:val="-2"/>
                <w:sz w:val="20"/>
              </w:rPr>
              <w:t> </w:t>
            </w:r>
            <w:r>
              <w:rPr>
                <w:rFonts w:ascii="Calibri"/>
                <w:sz w:val="20"/>
              </w:rPr>
              <w:t>Lots</w:t>
            </w:r>
            <w:r>
              <w:rPr>
                <w:rFonts w:ascii="Calibri"/>
                <w:spacing w:val="-4"/>
                <w:sz w:val="20"/>
              </w:rPr>
              <w:t> </w:t>
            </w:r>
            <w:r>
              <w:rPr>
                <w:rFonts w:ascii="Calibri"/>
                <w:sz w:val="20"/>
              </w:rPr>
              <w:t>1</w:t>
            </w:r>
            <w:r>
              <w:rPr>
                <w:rFonts w:ascii="Calibri"/>
                <w:spacing w:val="-2"/>
                <w:sz w:val="20"/>
              </w:rPr>
              <w:t> </w:t>
            </w:r>
            <w:r>
              <w:rPr>
                <w:rFonts w:ascii="Calibri"/>
                <w:sz w:val="20"/>
              </w:rPr>
              <w:t>and</w:t>
            </w:r>
            <w:r>
              <w:rPr>
                <w:rFonts w:ascii="Calibri"/>
                <w:spacing w:val="-2"/>
                <w:sz w:val="20"/>
              </w:rPr>
              <w:t> </w:t>
            </w:r>
            <w:r>
              <w:rPr>
                <w:rFonts w:ascii="Calibri"/>
                <w:sz w:val="20"/>
              </w:rPr>
              <w:t>2;</w:t>
            </w:r>
            <w:r>
              <w:rPr>
                <w:rFonts w:ascii="Calibri"/>
                <w:spacing w:val="-4"/>
                <w:sz w:val="20"/>
              </w:rPr>
              <w:t> </w:t>
            </w:r>
            <w:r>
              <w:rPr>
                <w:rFonts w:ascii="Calibri"/>
                <w:sz w:val="20"/>
              </w:rPr>
              <w:t>Sec.</w:t>
            </w:r>
            <w:r>
              <w:rPr>
                <w:rFonts w:ascii="Calibri"/>
                <w:spacing w:val="-3"/>
                <w:sz w:val="20"/>
              </w:rPr>
              <w:t> </w:t>
            </w:r>
            <w:r>
              <w:rPr>
                <w:rFonts w:ascii="Calibri"/>
                <w:sz w:val="20"/>
              </w:rPr>
              <w:t>3,</w:t>
            </w:r>
            <w:r>
              <w:rPr>
                <w:rFonts w:ascii="Calibri"/>
                <w:spacing w:val="-1"/>
                <w:sz w:val="20"/>
              </w:rPr>
              <w:t> </w:t>
            </w:r>
            <w:r>
              <w:rPr>
                <w:rFonts w:ascii="Calibri"/>
                <w:sz w:val="20"/>
              </w:rPr>
              <w:t>Lots</w:t>
            </w:r>
            <w:r>
              <w:rPr>
                <w:rFonts w:ascii="Calibri"/>
                <w:spacing w:val="-4"/>
                <w:sz w:val="20"/>
              </w:rPr>
              <w:t> </w:t>
            </w:r>
            <w:r>
              <w:rPr>
                <w:rFonts w:ascii="Calibri"/>
                <w:sz w:val="20"/>
              </w:rPr>
              <w:t>1</w:t>
            </w:r>
            <w:r>
              <w:rPr>
                <w:rFonts w:ascii="Calibri"/>
                <w:spacing w:val="-3"/>
                <w:sz w:val="20"/>
              </w:rPr>
              <w:t> </w:t>
            </w:r>
            <w:r>
              <w:rPr>
                <w:rFonts w:ascii="Calibri"/>
                <w:sz w:val="20"/>
              </w:rPr>
              <w:t>and</w:t>
            </w:r>
            <w:r>
              <w:rPr>
                <w:rFonts w:ascii="Calibri"/>
                <w:spacing w:val="-1"/>
                <w:sz w:val="20"/>
              </w:rPr>
              <w:t> </w:t>
            </w:r>
            <w:r>
              <w:rPr>
                <w:rFonts w:ascii="Calibri"/>
                <w:spacing w:val="-10"/>
                <w:sz w:val="20"/>
              </w:rPr>
              <w:t>2</w:t>
            </w:r>
          </w:p>
        </w:tc>
        <w:tc>
          <w:tcPr>
            <w:tcW w:w="900" w:type="dxa"/>
          </w:tcPr>
          <w:p>
            <w:pPr>
              <w:pStyle w:val="TableParagraph"/>
              <w:spacing w:line="223" w:lineRule="exact" w:before="1"/>
              <w:ind w:left="7" w:right="3"/>
              <w:jc w:val="center"/>
              <w:rPr>
                <w:rFonts w:ascii="Calibri"/>
                <w:sz w:val="20"/>
              </w:rPr>
            </w:pPr>
            <w:r>
              <w:rPr>
                <w:rFonts w:ascii="Calibri"/>
                <w:spacing w:val="-2"/>
                <w:sz w:val="20"/>
              </w:rPr>
              <w:t>38.85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43</w:t>
            </w:r>
          </w:p>
        </w:tc>
        <w:tc>
          <w:tcPr>
            <w:tcW w:w="2527" w:type="dxa"/>
          </w:tcPr>
          <w:p>
            <w:pPr>
              <w:pStyle w:val="TableParagraph"/>
              <w:spacing w:line="223" w:lineRule="exact" w:before="1"/>
              <w:ind w:left="108"/>
              <w:rPr>
                <w:rFonts w:ascii="Calibri"/>
                <w:sz w:val="20"/>
              </w:rPr>
            </w:pPr>
            <w:r>
              <w:rPr>
                <w:rFonts w:ascii="Calibri"/>
                <w:sz w:val="20"/>
              </w:rPr>
              <w:t>Lake</w:t>
            </w:r>
            <w:r>
              <w:rPr>
                <w:rFonts w:ascii="Calibri"/>
                <w:spacing w:val="-5"/>
                <w:sz w:val="20"/>
              </w:rPr>
              <w:t> Leo</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3,</w:t>
            </w:r>
            <w:r>
              <w:rPr>
                <w:rFonts w:ascii="Calibri" w:hAnsi="Calibri"/>
                <w:spacing w:val="-2"/>
                <w:sz w:val="20"/>
              </w:rPr>
              <w:t> </w:t>
            </w:r>
            <w:r>
              <w:rPr>
                <w:rFonts w:ascii="Calibri" w:hAnsi="Calibri"/>
                <w:sz w:val="20"/>
              </w:rPr>
              <w:t>Lots</w:t>
            </w:r>
            <w:r>
              <w:rPr>
                <w:rFonts w:ascii="Calibri" w:hAnsi="Calibri"/>
                <w:spacing w:val="-5"/>
                <w:sz w:val="20"/>
              </w:rPr>
              <w:t> </w:t>
            </w:r>
            <w:r>
              <w:rPr>
                <w:rFonts w:ascii="Calibri" w:hAnsi="Calibri"/>
                <w:sz w:val="20"/>
              </w:rPr>
              <w:t>5,</w:t>
            </w:r>
            <w:r>
              <w:rPr>
                <w:rFonts w:ascii="Calibri" w:hAnsi="Calibri"/>
                <w:spacing w:val="-2"/>
                <w:sz w:val="20"/>
              </w:rPr>
              <w:t> </w:t>
            </w:r>
            <w:r>
              <w:rPr>
                <w:rFonts w:ascii="Calibri" w:hAnsi="Calibri"/>
                <w:sz w:val="20"/>
              </w:rPr>
              <w:t>7,</w:t>
            </w:r>
            <w:r>
              <w:rPr>
                <w:rFonts w:ascii="Calibri" w:hAnsi="Calibri"/>
                <w:spacing w:val="-3"/>
                <w:sz w:val="20"/>
              </w:rPr>
              <w:t> </w:t>
            </w:r>
            <w:r>
              <w:rPr>
                <w:rFonts w:ascii="Calibri" w:hAnsi="Calibri"/>
                <w:spacing w:val="-2"/>
                <w:sz w:val="20"/>
              </w:rPr>
              <w:t>SE¼SW¼</w:t>
            </w:r>
          </w:p>
        </w:tc>
        <w:tc>
          <w:tcPr>
            <w:tcW w:w="900" w:type="dxa"/>
          </w:tcPr>
          <w:p>
            <w:pPr>
              <w:pStyle w:val="TableParagraph"/>
              <w:spacing w:line="223" w:lineRule="exact" w:before="1"/>
              <w:ind w:left="7" w:right="3"/>
              <w:jc w:val="center"/>
              <w:rPr>
                <w:rFonts w:ascii="Calibri"/>
                <w:sz w:val="20"/>
              </w:rPr>
            </w:pPr>
            <w:r>
              <w:rPr>
                <w:rFonts w:ascii="Calibri"/>
                <w:spacing w:val="-2"/>
                <w:sz w:val="20"/>
              </w:rPr>
              <w:t>92.15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45</w:t>
            </w:r>
          </w:p>
        </w:tc>
        <w:tc>
          <w:tcPr>
            <w:tcW w:w="2527" w:type="dxa"/>
          </w:tcPr>
          <w:p>
            <w:pPr>
              <w:pStyle w:val="TableParagraph"/>
              <w:spacing w:line="223" w:lineRule="exact" w:before="1"/>
              <w:ind w:left="108"/>
              <w:rPr>
                <w:rFonts w:ascii="Calibri"/>
                <w:sz w:val="20"/>
              </w:rPr>
            </w:pPr>
            <w:r>
              <w:rPr>
                <w:rFonts w:ascii="Calibri"/>
                <w:sz w:val="20"/>
              </w:rPr>
              <w:t>Lake</w:t>
            </w:r>
            <w:r>
              <w:rPr>
                <w:rFonts w:ascii="Calibri"/>
                <w:spacing w:val="-7"/>
                <w:sz w:val="20"/>
              </w:rPr>
              <w:t> </w:t>
            </w:r>
            <w:r>
              <w:rPr>
                <w:rFonts w:ascii="Calibri"/>
                <w:sz w:val="20"/>
              </w:rPr>
              <w:t>Thomas-</w:t>
            </w:r>
            <w:r>
              <w:rPr>
                <w:rFonts w:ascii="Calibri"/>
                <w:spacing w:val="-7"/>
                <w:sz w:val="20"/>
              </w:rPr>
              <w:t> </w:t>
            </w:r>
            <w:r>
              <w:rPr>
                <w:rFonts w:ascii="Calibri"/>
                <w:sz w:val="20"/>
              </w:rPr>
              <w:t>Lake</w:t>
            </w:r>
            <w:r>
              <w:rPr>
                <w:rFonts w:ascii="Calibri"/>
                <w:spacing w:val="-4"/>
                <w:sz w:val="20"/>
              </w:rPr>
              <w:t> </w:t>
            </w:r>
            <w:r>
              <w:rPr>
                <w:rFonts w:ascii="Calibri"/>
                <w:spacing w:val="-2"/>
                <w:sz w:val="20"/>
              </w:rPr>
              <w:t>Gillette</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17,</w:t>
            </w:r>
            <w:r>
              <w:rPr>
                <w:rFonts w:ascii="Calibri" w:hAnsi="Calibri"/>
                <w:spacing w:val="-4"/>
                <w:sz w:val="20"/>
              </w:rPr>
              <w:t> </w:t>
            </w:r>
            <w:r>
              <w:rPr>
                <w:rFonts w:ascii="Calibri" w:hAnsi="Calibri"/>
                <w:sz w:val="20"/>
              </w:rPr>
              <w:t>Lot</w:t>
            </w:r>
            <w:r>
              <w:rPr>
                <w:rFonts w:ascii="Calibri" w:hAnsi="Calibri"/>
                <w:spacing w:val="-5"/>
                <w:sz w:val="20"/>
              </w:rPr>
              <w:t> </w:t>
            </w:r>
            <w:r>
              <w:rPr>
                <w:rFonts w:ascii="Calibri" w:hAnsi="Calibri"/>
                <w:sz w:val="20"/>
              </w:rPr>
              <w:t>5,</w:t>
            </w:r>
            <w:r>
              <w:rPr>
                <w:rFonts w:ascii="Calibri" w:hAnsi="Calibri"/>
                <w:spacing w:val="-3"/>
                <w:sz w:val="20"/>
              </w:rPr>
              <w:t> </w:t>
            </w:r>
            <w:r>
              <w:rPr>
                <w:rFonts w:ascii="Calibri" w:hAnsi="Calibri"/>
                <w:sz w:val="20"/>
              </w:rPr>
              <w:t>SW¼NE¼,</w:t>
            </w:r>
            <w:r>
              <w:rPr>
                <w:rFonts w:ascii="Calibri" w:hAnsi="Calibri"/>
                <w:spacing w:val="-4"/>
                <w:sz w:val="20"/>
              </w:rPr>
              <w:t> </w:t>
            </w:r>
            <w:r>
              <w:rPr>
                <w:rFonts w:ascii="Calibri" w:hAnsi="Calibri"/>
                <w:sz w:val="20"/>
              </w:rPr>
              <w:t>SE¼SW¼,</w:t>
            </w:r>
            <w:r>
              <w:rPr>
                <w:rFonts w:ascii="Calibri" w:hAnsi="Calibri"/>
                <w:spacing w:val="-4"/>
                <w:sz w:val="20"/>
              </w:rPr>
              <w:t> </w:t>
            </w:r>
            <w:r>
              <w:rPr>
                <w:rFonts w:ascii="Calibri" w:hAnsi="Calibri"/>
                <w:spacing w:val="-2"/>
                <w:sz w:val="20"/>
              </w:rPr>
              <w:t>NW¼SE¼</w:t>
            </w:r>
          </w:p>
        </w:tc>
        <w:tc>
          <w:tcPr>
            <w:tcW w:w="900" w:type="dxa"/>
          </w:tcPr>
          <w:p>
            <w:pPr>
              <w:pStyle w:val="TableParagraph"/>
              <w:spacing w:line="223" w:lineRule="exact" w:before="1"/>
              <w:ind w:left="7"/>
              <w:jc w:val="center"/>
              <w:rPr>
                <w:rFonts w:ascii="Calibri"/>
                <w:sz w:val="20"/>
              </w:rPr>
            </w:pPr>
            <w:r>
              <w:rPr>
                <w:rFonts w:ascii="Calibri"/>
                <w:spacing w:val="-5"/>
                <w:sz w:val="20"/>
              </w:rPr>
              <w:t>137</w:t>
            </w:r>
          </w:p>
        </w:tc>
      </w:tr>
      <w:tr>
        <w:trPr>
          <w:trHeight w:val="241"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45</w:t>
            </w:r>
          </w:p>
        </w:tc>
        <w:tc>
          <w:tcPr>
            <w:tcW w:w="2527" w:type="dxa"/>
          </w:tcPr>
          <w:p>
            <w:pPr>
              <w:pStyle w:val="TableParagraph"/>
              <w:spacing w:line="222" w:lineRule="exact" w:before="0"/>
              <w:ind w:left="108"/>
              <w:rPr>
                <w:rFonts w:ascii="Calibri"/>
                <w:sz w:val="20"/>
              </w:rPr>
            </w:pPr>
            <w:r>
              <w:rPr>
                <w:rFonts w:ascii="Calibri"/>
                <w:sz w:val="20"/>
              </w:rPr>
              <w:t>Lake</w:t>
            </w:r>
            <w:r>
              <w:rPr>
                <w:rFonts w:ascii="Calibri"/>
                <w:spacing w:val="-7"/>
                <w:sz w:val="20"/>
              </w:rPr>
              <w:t> </w:t>
            </w:r>
            <w:r>
              <w:rPr>
                <w:rFonts w:ascii="Calibri"/>
                <w:sz w:val="20"/>
              </w:rPr>
              <w:t>Thomas-</w:t>
            </w:r>
            <w:r>
              <w:rPr>
                <w:rFonts w:ascii="Calibri"/>
                <w:spacing w:val="-7"/>
                <w:sz w:val="20"/>
              </w:rPr>
              <w:t> </w:t>
            </w:r>
            <w:r>
              <w:rPr>
                <w:rFonts w:ascii="Calibri"/>
                <w:sz w:val="20"/>
              </w:rPr>
              <w:t>Lake</w:t>
            </w:r>
            <w:r>
              <w:rPr>
                <w:rFonts w:ascii="Calibri"/>
                <w:spacing w:val="-4"/>
                <w:sz w:val="20"/>
              </w:rPr>
              <w:t> </w:t>
            </w:r>
            <w:r>
              <w:rPr>
                <w:rFonts w:ascii="Calibri"/>
                <w:spacing w:val="-2"/>
                <w:sz w:val="20"/>
              </w:rPr>
              <w:t>Gillette</w:t>
            </w:r>
          </w:p>
        </w:tc>
        <w:tc>
          <w:tcPr>
            <w:tcW w:w="2145" w:type="dxa"/>
          </w:tcPr>
          <w:p>
            <w:pPr>
              <w:pStyle w:val="TableParagraph"/>
              <w:spacing w:line="222"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20,</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1,</w:t>
            </w:r>
            <w:r>
              <w:rPr>
                <w:rFonts w:ascii="Calibri" w:hAnsi="Calibri"/>
                <w:spacing w:val="-3"/>
                <w:sz w:val="20"/>
              </w:rPr>
              <w:t> </w:t>
            </w:r>
            <w:r>
              <w:rPr>
                <w:rFonts w:ascii="Calibri" w:hAnsi="Calibri"/>
                <w:spacing w:val="-2"/>
                <w:sz w:val="20"/>
              </w:rPr>
              <w:t>SE¼NW¼</w:t>
            </w:r>
          </w:p>
        </w:tc>
        <w:tc>
          <w:tcPr>
            <w:tcW w:w="900" w:type="dxa"/>
          </w:tcPr>
          <w:p>
            <w:pPr>
              <w:pStyle w:val="TableParagraph"/>
              <w:spacing w:line="222" w:lineRule="exact" w:before="0"/>
              <w:ind w:left="7"/>
              <w:jc w:val="center"/>
              <w:rPr>
                <w:rFonts w:ascii="Calibri"/>
                <w:sz w:val="20"/>
              </w:rPr>
            </w:pPr>
            <w:r>
              <w:rPr>
                <w:rFonts w:ascii="Calibri"/>
                <w:spacing w:val="-5"/>
                <w:sz w:val="20"/>
              </w:rPr>
              <w:t>105</w:t>
            </w:r>
          </w:p>
        </w:tc>
      </w:tr>
      <w:tr>
        <w:trPr>
          <w:trHeight w:val="246" w:hRule="atLeast"/>
        </w:trPr>
        <w:tc>
          <w:tcPr>
            <w:tcW w:w="835" w:type="dxa"/>
          </w:tcPr>
          <w:p>
            <w:pPr>
              <w:pStyle w:val="TableParagraph"/>
              <w:spacing w:line="225" w:lineRule="exact" w:before="1"/>
              <w:ind w:left="9" w:right="5"/>
              <w:jc w:val="center"/>
              <w:rPr>
                <w:rFonts w:ascii="Calibri"/>
                <w:sz w:val="20"/>
              </w:rPr>
            </w:pPr>
            <w:r>
              <w:rPr>
                <w:rFonts w:ascii="Calibri"/>
                <w:spacing w:val="-5"/>
                <w:sz w:val="20"/>
              </w:rPr>
              <w:t>50</w:t>
            </w:r>
          </w:p>
        </w:tc>
        <w:tc>
          <w:tcPr>
            <w:tcW w:w="2527" w:type="dxa"/>
          </w:tcPr>
          <w:p>
            <w:pPr>
              <w:pStyle w:val="TableParagraph"/>
              <w:spacing w:line="225" w:lineRule="exact" w:before="1"/>
              <w:ind w:left="108"/>
              <w:rPr>
                <w:rFonts w:ascii="Calibri"/>
                <w:sz w:val="20"/>
              </w:rPr>
            </w:pPr>
            <w:r>
              <w:rPr>
                <w:rFonts w:ascii="Calibri"/>
                <w:sz w:val="20"/>
              </w:rPr>
              <w:t>Lookout</w:t>
            </w:r>
            <w:r>
              <w:rPr>
                <w:rFonts w:ascii="Calibri"/>
                <w:spacing w:val="-7"/>
                <w:sz w:val="20"/>
              </w:rPr>
              <w:t> </w:t>
            </w:r>
            <w:r>
              <w:rPr>
                <w:rFonts w:ascii="Calibri"/>
                <w:spacing w:val="-2"/>
                <w:sz w:val="20"/>
              </w:rPr>
              <w:t>Station</w:t>
            </w:r>
          </w:p>
        </w:tc>
        <w:tc>
          <w:tcPr>
            <w:tcW w:w="2145" w:type="dxa"/>
          </w:tcPr>
          <w:p>
            <w:pPr>
              <w:pStyle w:val="TableParagraph"/>
              <w:spacing w:line="225"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5"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5"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5" w:lineRule="exact" w:before="1"/>
              <w:ind w:left="110"/>
              <w:rPr>
                <w:rFonts w:ascii="Calibri"/>
                <w:sz w:val="20"/>
              </w:rPr>
            </w:pPr>
            <w:r>
              <w:rPr>
                <w:rFonts w:ascii="Calibri"/>
                <w:sz w:val="20"/>
              </w:rPr>
              <w:t>Sec.</w:t>
            </w:r>
            <w:r>
              <w:rPr>
                <w:rFonts w:ascii="Calibri"/>
                <w:spacing w:val="-5"/>
                <w:sz w:val="20"/>
              </w:rPr>
              <w:t> </w:t>
            </w:r>
            <w:r>
              <w:rPr>
                <w:rFonts w:ascii="Calibri"/>
                <w:sz w:val="20"/>
              </w:rPr>
              <w:t>24,</w:t>
            </w:r>
            <w:r>
              <w:rPr>
                <w:rFonts w:ascii="Calibri"/>
                <w:spacing w:val="-3"/>
                <w:sz w:val="20"/>
              </w:rPr>
              <w:t> </w:t>
            </w:r>
            <w:r>
              <w:rPr>
                <w:rFonts w:ascii="Calibri"/>
                <w:sz w:val="20"/>
              </w:rPr>
              <w:t>Lot</w:t>
            </w:r>
            <w:r>
              <w:rPr>
                <w:rFonts w:ascii="Calibri"/>
                <w:spacing w:val="-5"/>
                <w:sz w:val="20"/>
              </w:rPr>
              <w:t> </w:t>
            </w:r>
            <w:r>
              <w:rPr>
                <w:rFonts w:ascii="Calibri"/>
                <w:spacing w:val="-10"/>
                <w:sz w:val="20"/>
              </w:rPr>
              <w:t>1</w:t>
            </w:r>
          </w:p>
        </w:tc>
        <w:tc>
          <w:tcPr>
            <w:tcW w:w="900" w:type="dxa"/>
          </w:tcPr>
          <w:p>
            <w:pPr>
              <w:pStyle w:val="TableParagraph"/>
              <w:spacing w:line="225" w:lineRule="exact" w:before="1"/>
              <w:ind w:left="7" w:right="3"/>
              <w:jc w:val="center"/>
              <w:rPr>
                <w:rFonts w:ascii="Calibri"/>
                <w:sz w:val="20"/>
              </w:rPr>
            </w:pPr>
            <w:r>
              <w:rPr>
                <w:rFonts w:ascii="Calibri"/>
                <w:spacing w:val="-2"/>
                <w:sz w:val="20"/>
              </w:rPr>
              <w:t>39.24</w:t>
            </w:r>
          </w:p>
        </w:tc>
      </w:tr>
    </w:tbl>
    <w:p>
      <w:pPr>
        <w:pStyle w:val="TableParagraph"/>
        <w:spacing w:after="0" w:line="225" w:lineRule="exact"/>
        <w:jc w:val="center"/>
        <w:rPr>
          <w:rFonts w:ascii="Calibri"/>
          <w:sz w:val="20"/>
        </w:rPr>
        <w:sectPr>
          <w:pgSz w:w="15840" w:h="12240" w:orient="landscape"/>
          <w:pgMar w:header="725" w:footer="891" w:top="1440" w:bottom="1080" w:left="1080" w:right="360"/>
        </w:sectPr>
      </w:pPr>
    </w:p>
    <w:p>
      <w:pPr>
        <w:pStyle w:val="BodyText"/>
        <w:spacing w:before="169"/>
        <w:rPr>
          <w:sz w:val="20"/>
        </w:r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3"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w:t>
            </w:r>
            <w:r>
              <w:rPr>
                <w:rFonts w:ascii="Calibri"/>
                <w:spacing w:val="-4"/>
                <w:sz w:val="20"/>
              </w:rPr>
              <w:t> </w:t>
            </w:r>
            <w:r>
              <w:rPr>
                <w:rFonts w:ascii="Calibri"/>
                <w:sz w:val="20"/>
              </w:rPr>
              <w:t>15</w:t>
            </w:r>
            <w:r>
              <w:rPr>
                <w:rFonts w:ascii="Calibri"/>
                <w:spacing w:val="-3"/>
                <w:sz w:val="20"/>
              </w:rPr>
              <w:t> </w:t>
            </w:r>
            <w:r>
              <w:rPr>
                <w:rFonts w:ascii="Calibri"/>
                <w:sz w:val="20"/>
              </w:rPr>
              <w:t>and</w:t>
            </w:r>
            <w:r>
              <w:rPr>
                <w:rFonts w:ascii="Calibri"/>
                <w:spacing w:val="-3"/>
                <w:sz w:val="20"/>
              </w:rPr>
              <w:t> </w:t>
            </w:r>
            <w:r>
              <w:rPr>
                <w:rFonts w:ascii="Calibri"/>
                <w:spacing w:val="-5"/>
                <w:sz w:val="20"/>
              </w:rPr>
              <w:t>22</w:t>
            </w:r>
          </w:p>
        </w:tc>
        <w:tc>
          <w:tcPr>
            <w:tcW w:w="900" w:type="dxa"/>
          </w:tcPr>
          <w:p>
            <w:pPr>
              <w:pStyle w:val="TableParagraph"/>
              <w:spacing w:before="0"/>
              <w:rPr>
                <w:rFonts w:ascii="Times New Roman"/>
                <w:sz w:val="18"/>
              </w:rPr>
            </w:pPr>
          </w:p>
        </w:tc>
      </w:tr>
      <w:tr>
        <w:trPr>
          <w:trHeight w:val="241"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51</w:t>
            </w:r>
          </w:p>
        </w:tc>
        <w:tc>
          <w:tcPr>
            <w:tcW w:w="2527" w:type="dxa"/>
          </w:tcPr>
          <w:p>
            <w:pPr>
              <w:pStyle w:val="TableParagraph"/>
              <w:spacing w:line="222" w:lineRule="exact" w:before="0"/>
              <w:ind w:left="108"/>
              <w:rPr>
                <w:rFonts w:ascii="Calibri"/>
                <w:sz w:val="20"/>
              </w:rPr>
            </w:pPr>
            <w:r>
              <w:rPr>
                <w:rFonts w:ascii="Calibri"/>
                <w:sz w:val="20"/>
              </w:rPr>
              <w:t>Lost</w:t>
            </w:r>
            <w:r>
              <w:rPr>
                <w:rFonts w:ascii="Calibri"/>
                <w:spacing w:val="-8"/>
                <w:sz w:val="20"/>
              </w:rPr>
              <w:t> </w:t>
            </w:r>
            <w:r>
              <w:rPr>
                <w:rFonts w:ascii="Calibri"/>
                <w:sz w:val="20"/>
              </w:rPr>
              <w:t>Creek</w:t>
            </w:r>
            <w:r>
              <w:rPr>
                <w:rFonts w:ascii="Calibri"/>
                <w:spacing w:val="-6"/>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22"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sz w:val="20"/>
              </w:rPr>
            </w:pPr>
            <w:r>
              <w:rPr>
                <w:rFonts w:ascii="Calibri"/>
                <w:sz w:val="20"/>
              </w:rPr>
              <w:t>Sec.</w:t>
            </w:r>
            <w:r>
              <w:rPr>
                <w:rFonts w:ascii="Calibri"/>
                <w:spacing w:val="-4"/>
                <w:sz w:val="20"/>
              </w:rPr>
              <w:t> </w:t>
            </w:r>
            <w:r>
              <w:rPr>
                <w:rFonts w:ascii="Calibri"/>
                <w:sz w:val="20"/>
              </w:rPr>
              <w:t>15,</w:t>
            </w:r>
            <w:r>
              <w:rPr>
                <w:rFonts w:ascii="Calibri"/>
                <w:spacing w:val="-3"/>
                <w:sz w:val="20"/>
              </w:rPr>
              <w:t> </w:t>
            </w:r>
            <w:r>
              <w:rPr>
                <w:rFonts w:ascii="Calibri"/>
                <w:sz w:val="20"/>
              </w:rPr>
              <w:t>Lot</w:t>
            </w:r>
            <w:r>
              <w:rPr>
                <w:rFonts w:ascii="Calibri"/>
                <w:spacing w:val="-3"/>
                <w:sz w:val="20"/>
              </w:rPr>
              <w:t> </w:t>
            </w:r>
            <w:r>
              <w:rPr>
                <w:rFonts w:ascii="Calibri"/>
                <w:sz w:val="20"/>
              </w:rPr>
              <w:t>5,</w:t>
            </w:r>
            <w:r>
              <w:rPr>
                <w:rFonts w:ascii="Calibri"/>
                <w:spacing w:val="-3"/>
                <w:sz w:val="20"/>
              </w:rPr>
              <w:t> </w:t>
            </w:r>
            <w:r>
              <w:rPr>
                <w:rFonts w:ascii="Calibri"/>
                <w:sz w:val="20"/>
              </w:rPr>
              <w:t>8;</w:t>
            </w:r>
            <w:r>
              <w:rPr>
                <w:rFonts w:ascii="Calibri"/>
                <w:spacing w:val="-4"/>
                <w:sz w:val="20"/>
              </w:rPr>
              <w:t> </w:t>
            </w:r>
            <w:r>
              <w:rPr>
                <w:rFonts w:ascii="Calibri"/>
                <w:sz w:val="20"/>
              </w:rPr>
              <w:t>Sec.</w:t>
            </w:r>
            <w:r>
              <w:rPr>
                <w:rFonts w:ascii="Calibri"/>
                <w:spacing w:val="-4"/>
                <w:sz w:val="20"/>
              </w:rPr>
              <w:t> </w:t>
            </w:r>
            <w:r>
              <w:rPr>
                <w:rFonts w:ascii="Calibri"/>
                <w:sz w:val="20"/>
              </w:rPr>
              <w:t>22,</w:t>
            </w:r>
            <w:r>
              <w:rPr>
                <w:rFonts w:ascii="Calibri"/>
                <w:spacing w:val="-3"/>
                <w:sz w:val="20"/>
              </w:rPr>
              <w:t> </w:t>
            </w:r>
            <w:r>
              <w:rPr>
                <w:rFonts w:ascii="Calibri"/>
                <w:sz w:val="20"/>
              </w:rPr>
              <w:t>Lot</w:t>
            </w:r>
            <w:r>
              <w:rPr>
                <w:rFonts w:ascii="Calibri"/>
                <w:spacing w:val="-3"/>
                <w:sz w:val="20"/>
              </w:rPr>
              <w:t> </w:t>
            </w:r>
            <w:r>
              <w:rPr>
                <w:rFonts w:ascii="Calibri"/>
                <w:spacing w:val="-10"/>
                <w:sz w:val="20"/>
              </w:rPr>
              <w:t>1</w:t>
            </w:r>
          </w:p>
        </w:tc>
        <w:tc>
          <w:tcPr>
            <w:tcW w:w="900" w:type="dxa"/>
          </w:tcPr>
          <w:p>
            <w:pPr>
              <w:pStyle w:val="TableParagraph"/>
              <w:spacing w:line="222" w:lineRule="exact" w:before="0"/>
              <w:ind w:left="7"/>
              <w:jc w:val="center"/>
              <w:rPr>
                <w:rFonts w:ascii="Calibri"/>
                <w:sz w:val="20"/>
              </w:rPr>
            </w:pPr>
            <w:r>
              <w:rPr>
                <w:rFonts w:ascii="Calibri"/>
                <w:spacing w:val="-5"/>
                <w:sz w:val="20"/>
              </w:rPr>
              <w:t>136</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46</w:t>
            </w:r>
          </w:p>
        </w:tc>
        <w:tc>
          <w:tcPr>
            <w:tcW w:w="2527" w:type="dxa"/>
          </w:tcPr>
          <w:p>
            <w:pPr>
              <w:pStyle w:val="TableParagraph"/>
              <w:spacing w:line="223" w:lineRule="exact" w:before="1"/>
              <w:ind w:left="108"/>
              <w:rPr>
                <w:rFonts w:ascii="Calibri"/>
                <w:sz w:val="20"/>
              </w:rPr>
            </w:pPr>
            <w:r>
              <w:rPr>
                <w:rFonts w:ascii="Calibri"/>
                <w:sz w:val="20"/>
              </w:rPr>
              <w:t>Le</w:t>
            </w:r>
            <w:r>
              <w:rPr>
                <w:rFonts w:ascii="Calibri"/>
                <w:spacing w:val="-5"/>
                <w:sz w:val="20"/>
              </w:rPr>
              <w:t> </w:t>
            </w:r>
            <w:r>
              <w:rPr>
                <w:rFonts w:ascii="Calibri"/>
                <w:sz w:val="20"/>
              </w:rPr>
              <w:t>Clerc</w:t>
            </w:r>
            <w:r>
              <w:rPr>
                <w:rFonts w:ascii="Calibri"/>
                <w:spacing w:val="-3"/>
                <w:sz w:val="20"/>
              </w:rPr>
              <w:t> </w:t>
            </w:r>
            <w:r>
              <w:rPr>
                <w:rFonts w:ascii="Calibri"/>
                <w:sz w:val="20"/>
              </w:rPr>
              <w:t>Rec.</w:t>
            </w:r>
            <w:r>
              <w:rPr>
                <w:rFonts w:ascii="Calibri"/>
                <w:spacing w:val="-4"/>
                <w:sz w:val="20"/>
              </w:rPr>
              <w:t> 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8"/>
                <w:sz w:val="20"/>
              </w:rPr>
              <w:t> </w:t>
            </w:r>
            <w:r>
              <w:rPr>
                <w:rFonts w:ascii="Calibri" w:hAnsi="Calibri"/>
                <w:sz w:val="20"/>
              </w:rPr>
              <w:t>19,</w:t>
            </w:r>
            <w:r>
              <w:rPr>
                <w:rFonts w:ascii="Calibri" w:hAnsi="Calibri"/>
                <w:spacing w:val="-6"/>
                <w:sz w:val="20"/>
              </w:rPr>
              <w:t> </w:t>
            </w:r>
            <w:r>
              <w:rPr>
                <w:rFonts w:ascii="Calibri" w:hAnsi="Calibri"/>
                <w:sz w:val="20"/>
              </w:rPr>
              <w:t>E½W½SW¼NE¼,</w:t>
            </w:r>
            <w:r>
              <w:rPr>
                <w:rFonts w:ascii="Calibri" w:hAnsi="Calibri"/>
                <w:spacing w:val="-7"/>
                <w:sz w:val="20"/>
              </w:rPr>
              <w:t> </w:t>
            </w:r>
            <w:r>
              <w:rPr>
                <w:rFonts w:ascii="Calibri" w:hAnsi="Calibri"/>
                <w:spacing w:val="-2"/>
                <w:sz w:val="20"/>
              </w:rPr>
              <w:t>E½SW¼NE¼</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37</w:t>
            </w:r>
          </w:p>
        </w:tc>
        <w:tc>
          <w:tcPr>
            <w:tcW w:w="2527" w:type="dxa"/>
          </w:tcPr>
          <w:p>
            <w:pPr>
              <w:pStyle w:val="TableParagraph"/>
              <w:spacing w:before="1"/>
              <w:ind w:left="108"/>
              <w:rPr>
                <w:rFonts w:ascii="Calibri"/>
                <w:sz w:val="20"/>
              </w:rPr>
            </w:pPr>
            <w:r>
              <w:rPr>
                <w:rFonts w:ascii="Calibri"/>
                <w:spacing w:val="-2"/>
                <w:sz w:val="20"/>
              </w:rPr>
              <w:t>Hanlon</w:t>
            </w:r>
            <w:r>
              <w:rPr>
                <w:rFonts w:ascii="Calibri"/>
                <w:spacing w:val="8"/>
                <w:sz w:val="20"/>
              </w:rPr>
              <w:t> </w:t>
            </w:r>
            <w:r>
              <w:rPr>
                <w:rFonts w:ascii="Calibri"/>
                <w:spacing w:val="-2"/>
                <w:sz w:val="20"/>
              </w:rPr>
              <w:t>Administrative</w:t>
            </w:r>
            <w:r>
              <w:rPr>
                <w:rFonts w:ascii="Calibri"/>
                <w:spacing w:val="7"/>
                <w:sz w:val="20"/>
              </w:rPr>
              <w:t> </w:t>
            </w:r>
            <w:r>
              <w:rPr>
                <w:rFonts w:ascii="Calibri"/>
                <w:spacing w:val="-4"/>
                <w:sz w:val="20"/>
              </w:rPr>
              <w:t>Site</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36</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ight="123"/>
              <w:rPr>
                <w:rFonts w:ascii="Calibri" w:hAnsi="Calibri"/>
                <w:sz w:val="20"/>
              </w:rPr>
            </w:pPr>
            <w:r>
              <w:rPr>
                <w:rFonts w:ascii="Calibri" w:hAnsi="Calibri"/>
                <w:sz w:val="20"/>
              </w:rPr>
              <w:t>Sec.</w:t>
            </w:r>
            <w:r>
              <w:rPr>
                <w:rFonts w:ascii="Calibri" w:hAnsi="Calibri"/>
                <w:spacing w:val="-12"/>
                <w:sz w:val="20"/>
              </w:rPr>
              <w:t> </w:t>
            </w:r>
            <w:r>
              <w:rPr>
                <w:rFonts w:ascii="Calibri" w:hAnsi="Calibri"/>
                <w:sz w:val="20"/>
              </w:rPr>
              <w:t>29,</w:t>
            </w:r>
            <w:r>
              <w:rPr>
                <w:rFonts w:ascii="Calibri" w:hAnsi="Calibri"/>
                <w:spacing w:val="-11"/>
                <w:sz w:val="20"/>
              </w:rPr>
              <w:t> </w:t>
            </w:r>
            <w:r>
              <w:rPr>
                <w:rFonts w:ascii="Calibri" w:hAnsi="Calibri"/>
                <w:sz w:val="20"/>
              </w:rPr>
              <w:t>E½SW¼NE¼,</w:t>
            </w:r>
            <w:r>
              <w:rPr>
                <w:rFonts w:ascii="Calibri" w:hAnsi="Calibri"/>
                <w:spacing w:val="-11"/>
                <w:sz w:val="20"/>
              </w:rPr>
              <w:t> </w:t>
            </w:r>
            <w:r>
              <w:rPr>
                <w:rFonts w:ascii="Calibri" w:hAnsi="Calibri"/>
                <w:sz w:val="20"/>
              </w:rPr>
              <w:t>E½NW¼NE¼, W½W½SE¼NE¼,</w:t>
            </w:r>
            <w:r>
              <w:rPr>
                <w:rFonts w:ascii="Calibri" w:hAnsi="Calibri"/>
                <w:spacing w:val="-11"/>
                <w:sz w:val="20"/>
              </w:rPr>
              <w:t> </w:t>
            </w:r>
            <w:r>
              <w:rPr>
                <w:rFonts w:ascii="Calibri" w:hAnsi="Calibri"/>
                <w:spacing w:val="-2"/>
                <w:sz w:val="20"/>
              </w:rPr>
              <w:t>W½W½NW¼NE¼</w:t>
            </w:r>
          </w:p>
        </w:tc>
        <w:tc>
          <w:tcPr>
            <w:tcW w:w="900" w:type="dxa"/>
          </w:tcPr>
          <w:p>
            <w:pPr>
              <w:pStyle w:val="TableParagraph"/>
              <w:spacing w:before="1"/>
              <w:ind w:left="7"/>
              <w:jc w:val="center"/>
              <w:rPr>
                <w:rFonts w:ascii="Calibri"/>
                <w:sz w:val="20"/>
              </w:rPr>
            </w:pPr>
            <w:r>
              <w:rPr>
                <w:rFonts w:ascii="Calibri"/>
                <w:spacing w:val="-5"/>
                <w:sz w:val="20"/>
              </w:rPr>
              <w:t>60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81</w:t>
            </w:r>
          </w:p>
        </w:tc>
        <w:tc>
          <w:tcPr>
            <w:tcW w:w="2527" w:type="dxa"/>
          </w:tcPr>
          <w:p>
            <w:pPr>
              <w:pStyle w:val="TableParagraph"/>
              <w:spacing w:line="223" w:lineRule="exact" w:before="1"/>
              <w:ind w:left="108"/>
              <w:rPr>
                <w:rFonts w:ascii="Calibri"/>
                <w:sz w:val="20"/>
              </w:rPr>
            </w:pPr>
            <w:r>
              <w:rPr>
                <w:rFonts w:ascii="Calibri"/>
                <w:sz w:val="20"/>
              </w:rPr>
              <w:t>Twin</w:t>
            </w:r>
            <w:r>
              <w:rPr>
                <w:rFonts w:ascii="Calibri"/>
                <w:spacing w:val="-6"/>
                <w:sz w:val="20"/>
              </w:rPr>
              <w:t> </w:t>
            </w:r>
            <w:r>
              <w:rPr>
                <w:rFonts w:ascii="Calibri"/>
                <w:sz w:val="20"/>
              </w:rPr>
              <w:t>Sisters</w:t>
            </w:r>
            <w:r>
              <w:rPr>
                <w:rFonts w:ascii="Calibri"/>
                <w:spacing w:val="-6"/>
                <w:sz w:val="20"/>
              </w:rPr>
              <w:t> </w:t>
            </w:r>
            <w:r>
              <w:rPr>
                <w:rFonts w:ascii="Calibri"/>
                <w:sz w:val="20"/>
              </w:rPr>
              <w:t>Lo</w:t>
            </w:r>
            <w:r>
              <w:rPr>
                <w:rFonts w:ascii="Calibri"/>
                <w:spacing w:val="-6"/>
                <w:sz w:val="20"/>
              </w:rPr>
              <w:t> </w:t>
            </w:r>
            <w:r>
              <w:rPr>
                <w:rFonts w:ascii="Calibri"/>
                <w:sz w:val="20"/>
              </w:rPr>
              <w:t>Admin.</w:t>
            </w:r>
            <w:r>
              <w:rPr>
                <w:rFonts w:ascii="Calibri"/>
                <w:spacing w:val="-6"/>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line="223" w:lineRule="exact" w:before="1"/>
              <w:ind w:left="10" w:right="4"/>
              <w:jc w:val="center"/>
              <w:rPr>
                <w:rFonts w:ascii="Calibri"/>
                <w:sz w:val="20"/>
              </w:rPr>
            </w:pPr>
            <w:r>
              <w:rPr>
                <w:rFonts w:ascii="Calibri"/>
                <w:spacing w:val="-2"/>
                <w:sz w:val="20"/>
              </w:rPr>
              <w:t>R.35E</w:t>
            </w:r>
          </w:p>
        </w:tc>
        <w:tc>
          <w:tcPr>
            <w:tcW w:w="4315" w:type="dxa"/>
          </w:tcPr>
          <w:p>
            <w:pPr>
              <w:pStyle w:val="TableParagraph"/>
              <w:spacing w:line="223" w:lineRule="exact" w:before="1"/>
              <w:ind w:left="110"/>
              <w:rPr>
                <w:rFonts w:ascii="Calibri"/>
                <w:sz w:val="20"/>
              </w:rPr>
            </w:pPr>
            <w:r>
              <w:rPr>
                <w:rFonts w:ascii="Calibri"/>
                <w:sz w:val="20"/>
              </w:rPr>
              <w:t>Un-surveyed</w:t>
            </w:r>
            <w:r>
              <w:rPr>
                <w:rFonts w:ascii="Calibri"/>
                <w:spacing w:val="-7"/>
                <w:sz w:val="20"/>
              </w:rPr>
              <w:t> </w:t>
            </w:r>
            <w:r>
              <w:rPr>
                <w:rFonts w:ascii="Calibri"/>
                <w:sz w:val="20"/>
              </w:rPr>
              <w:t>Sec.</w:t>
            </w:r>
            <w:r>
              <w:rPr>
                <w:rFonts w:ascii="Calibri"/>
                <w:spacing w:val="-8"/>
                <w:sz w:val="20"/>
              </w:rPr>
              <w:t> </w:t>
            </w:r>
            <w:r>
              <w:rPr>
                <w:rFonts w:ascii="Calibri"/>
                <w:sz w:val="20"/>
              </w:rPr>
              <w:t>10,</w:t>
            </w:r>
            <w:r>
              <w:rPr>
                <w:rFonts w:ascii="Calibri"/>
                <w:spacing w:val="-7"/>
                <w:sz w:val="20"/>
              </w:rPr>
              <w:t> </w:t>
            </w:r>
            <w:r>
              <w:rPr>
                <w:rFonts w:ascii="Calibri"/>
                <w:spacing w:val="-5"/>
                <w:sz w:val="20"/>
              </w:rPr>
              <w:t>M&amp;B</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32</w:t>
            </w:r>
          </w:p>
        </w:tc>
        <w:tc>
          <w:tcPr>
            <w:tcW w:w="2527" w:type="dxa"/>
          </w:tcPr>
          <w:p>
            <w:pPr>
              <w:pStyle w:val="TableParagraph"/>
              <w:spacing w:line="223" w:lineRule="exact" w:before="1"/>
              <w:ind w:left="108"/>
              <w:rPr>
                <w:rFonts w:ascii="Calibri"/>
                <w:sz w:val="20"/>
              </w:rPr>
            </w:pPr>
            <w:r>
              <w:rPr>
                <w:rFonts w:ascii="Calibri"/>
                <w:sz w:val="20"/>
              </w:rPr>
              <w:t>Frater</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7"/>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34</w:t>
            </w:r>
            <w:r>
              <w:rPr>
                <w:rFonts w:ascii="Calibri" w:hAnsi="Calibri"/>
                <w:spacing w:val="-5"/>
                <w:sz w:val="20"/>
              </w:rPr>
              <w:t> </w:t>
            </w:r>
            <w:r>
              <w:rPr>
                <w:rFonts w:ascii="Calibri" w:hAnsi="Calibri"/>
                <w:spacing w:val="-2"/>
                <w:sz w:val="20"/>
              </w:rPr>
              <w:t>S½SE¼</w:t>
            </w:r>
          </w:p>
        </w:tc>
        <w:tc>
          <w:tcPr>
            <w:tcW w:w="900" w:type="dxa"/>
          </w:tcPr>
          <w:p>
            <w:pPr>
              <w:pStyle w:val="TableParagraph"/>
              <w:spacing w:line="223" w:lineRule="exact" w:before="1"/>
              <w:ind w:left="7" w:right="3"/>
              <w:jc w:val="center"/>
              <w:rPr>
                <w:rFonts w:ascii="Calibri"/>
                <w:sz w:val="20"/>
              </w:rPr>
            </w:pPr>
            <w:r>
              <w:rPr>
                <w:rFonts w:ascii="Calibri"/>
                <w:spacing w:val="-2"/>
                <w:sz w:val="20"/>
              </w:rPr>
              <w:t>80.23</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33</w:t>
            </w:r>
          </w:p>
        </w:tc>
        <w:tc>
          <w:tcPr>
            <w:tcW w:w="2527" w:type="dxa"/>
          </w:tcPr>
          <w:p>
            <w:pPr>
              <w:pStyle w:val="TableParagraph"/>
              <w:spacing w:line="223" w:lineRule="exact" w:before="1"/>
              <w:ind w:left="108"/>
              <w:rPr>
                <w:rFonts w:ascii="Calibri"/>
                <w:sz w:val="20"/>
              </w:rPr>
            </w:pPr>
            <w:r>
              <w:rPr>
                <w:rFonts w:ascii="Calibri"/>
                <w:sz w:val="20"/>
              </w:rPr>
              <w:t>Frater</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7"/>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34,</w:t>
            </w:r>
            <w:r>
              <w:rPr>
                <w:rFonts w:ascii="Calibri" w:hAnsi="Calibri"/>
                <w:spacing w:val="-4"/>
                <w:sz w:val="20"/>
              </w:rPr>
              <w:t> </w:t>
            </w:r>
            <w:r>
              <w:rPr>
                <w:rFonts w:ascii="Calibri" w:hAnsi="Calibri"/>
                <w:spacing w:val="-2"/>
                <w:sz w:val="20"/>
              </w:rPr>
              <w:t>S½SE¼</w:t>
            </w:r>
          </w:p>
        </w:tc>
        <w:tc>
          <w:tcPr>
            <w:tcW w:w="900" w:type="dxa"/>
          </w:tcPr>
          <w:p>
            <w:pPr>
              <w:pStyle w:val="TableParagraph"/>
              <w:spacing w:before="0"/>
              <w:rPr>
                <w:rFonts w:ascii="Times New Roman"/>
                <w:sz w:val="16"/>
              </w:rPr>
            </w:pPr>
          </w:p>
        </w:tc>
      </w:tr>
      <w:tr>
        <w:trPr>
          <w:trHeight w:val="731" w:hRule="atLeast"/>
        </w:trPr>
        <w:tc>
          <w:tcPr>
            <w:tcW w:w="835" w:type="dxa"/>
          </w:tcPr>
          <w:p>
            <w:pPr>
              <w:pStyle w:val="TableParagraph"/>
              <w:spacing w:before="1"/>
              <w:ind w:left="9" w:right="5"/>
              <w:jc w:val="center"/>
              <w:rPr>
                <w:rFonts w:ascii="Calibri"/>
                <w:sz w:val="20"/>
              </w:rPr>
            </w:pPr>
            <w:r>
              <w:rPr>
                <w:rFonts w:ascii="Calibri"/>
                <w:spacing w:val="-5"/>
                <w:sz w:val="20"/>
              </w:rPr>
              <w:t>78</w:t>
            </w:r>
          </w:p>
        </w:tc>
        <w:tc>
          <w:tcPr>
            <w:tcW w:w="2527" w:type="dxa"/>
          </w:tcPr>
          <w:p>
            <w:pPr>
              <w:pStyle w:val="TableParagraph"/>
              <w:spacing w:before="1"/>
              <w:ind w:left="108"/>
              <w:rPr>
                <w:rFonts w:ascii="Calibri"/>
                <w:sz w:val="20"/>
              </w:rPr>
            </w:pPr>
            <w:r>
              <w:rPr>
                <w:rFonts w:ascii="Calibri"/>
                <w:sz w:val="20"/>
              </w:rPr>
              <w:t>Teepee</w:t>
            </w:r>
            <w:r>
              <w:rPr>
                <w:rFonts w:ascii="Calibri"/>
                <w:spacing w:val="-8"/>
                <w:sz w:val="20"/>
              </w:rPr>
              <w:t> </w:t>
            </w:r>
            <w:r>
              <w:rPr>
                <w:rFonts w:ascii="Calibri"/>
                <w:sz w:val="20"/>
              </w:rPr>
              <w:t>Seed</w:t>
            </w:r>
            <w:r>
              <w:rPr>
                <w:rFonts w:ascii="Calibri"/>
                <w:spacing w:val="-5"/>
                <w:sz w:val="20"/>
              </w:rPr>
              <w:t> </w:t>
            </w:r>
            <w:r>
              <w:rPr>
                <w:rFonts w:ascii="Calibri"/>
                <w:spacing w:val="-2"/>
                <w:sz w:val="20"/>
              </w:rPr>
              <w:t>Orchard</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before="1"/>
              <w:ind w:left="110" w:right="123"/>
              <w:rPr>
                <w:rFonts w:ascii="Calibri" w:hAnsi="Calibri"/>
                <w:sz w:val="20"/>
              </w:rPr>
            </w:pPr>
            <w:r>
              <w:rPr>
                <w:rFonts w:ascii="Calibri" w:hAnsi="Calibri"/>
                <w:sz w:val="20"/>
              </w:rPr>
              <w:t>Sec.</w:t>
            </w:r>
            <w:r>
              <w:rPr>
                <w:rFonts w:ascii="Calibri" w:hAnsi="Calibri"/>
                <w:spacing w:val="-12"/>
                <w:sz w:val="20"/>
              </w:rPr>
              <w:t> </w:t>
            </w:r>
            <w:r>
              <w:rPr>
                <w:rFonts w:ascii="Calibri" w:hAnsi="Calibri"/>
                <w:sz w:val="20"/>
              </w:rPr>
              <w:t>34</w:t>
            </w:r>
            <w:r>
              <w:rPr>
                <w:rFonts w:ascii="Calibri" w:hAnsi="Calibri"/>
                <w:spacing w:val="-11"/>
                <w:sz w:val="20"/>
              </w:rPr>
              <w:t> </w:t>
            </w:r>
            <w:r>
              <w:rPr>
                <w:rFonts w:ascii="Calibri" w:hAnsi="Calibri"/>
                <w:sz w:val="20"/>
              </w:rPr>
              <w:t>E½SW¼NE¼,</w:t>
            </w:r>
            <w:r>
              <w:rPr>
                <w:rFonts w:ascii="Calibri" w:hAnsi="Calibri"/>
                <w:spacing w:val="-11"/>
                <w:sz w:val="20"/>
              </w:rPr>
              <w:t> </w:t>
            </w:r>
            <w:r>
              <w:rPr>
                <w:rFonts w:ascii="Calibri" w:hAnsi="Calibri"/>
                <w:sz w:val="20"/>
              </w:rPr>
              <w:t>W½SE¼NE¼, </w:t>
            </w:r>
            <w:r>
              <w:rPr>
                <w:rFonts w:ascii="Calibri" w:hAnsi="Calibri"/>
                <w:spacing w:val="-2"/>
                <w:sz w:val="20"/>
              </w:rPr>
              <w:t>N½NW¼NE¼SE¼,</w:t>
            </w:r>
          </w:p>
          <w:p>
            <w:pPr>
              <w:pStyle w:val="TableParagraph"/>
              <w:spacing w:line="222" w:lineRule="exact" w:before="0"/>
              <w:ind w:left="110"/>
              <w:rPr>
                <w:rFonts w:ascii="Calibri" w:hAnsi="Calibri"/>
                <w:sz w:val="20"/>
              </w:rPr>
            </w:pPr>
            <w:r>
              <w:rPr>
                <w:rFonts w:ascii="Calibri" w:hAnsi="Calibri"/>
                <w:spacing w:val="-2"/>
                <w:sz w:val="20"/>
              </w:rPr>
              <w:t>N½NE¼NW¼SE¼,S½SE¼NW¼NE¼</w:t>
            </w:r>
          </w:p>
        </w:tc>
        <w:tc>
          <w:tcPr>
            <w:tcW w:w="900" w:type="dxa"/>
          </w:tcPr>
          <w:p>
            <w:pPr>
              <w:pStyle w:val="TableParagraph"/>
              <w:spacing w:before="1"/>
              <w:ind w:left="7"/>
              <w:jc w:val="center"/>
              <w:rPr>
                <w:rFonts w:ascii="Calibri"/>
                <w:sz w:val="20"/>
              </w:rPr>
            </w:pPr>
            <w:r>
              <w:rPr>
                <w:rFonts w:ascii="Calibri"/>
                <w:spacing w:val="-5"/>
                <w:sz w:val="20"/>
              </w:rPr>
              <w:t>55</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6"/>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28</w:t>
            </w:r>
            <w:r>
              <w:rPr>
                <w:rFonts w:ascii="Calibri"/>
                <w:spacing w:val="-5"/>
                <w:sz w:val="20"/>
              </w:rPr>
              <w:t> </w:t>
            </w:r>
            <w:r>
              <w:rPr>
                <w:rFonts w:ascii="Calibri"/>
                <w:sz w:val="20"/>
              </w:rPr>
              <w:t>and</w:t>
            </w:r>
            <w:r>
              <w:rPr>
                <w:rFonts w:ascii="Calibri"/>
                <w:spacing w:val="-3"/>
                <w:sz w:val="20"/>
              </w:rPr>
              <w:t> </w:t>
            </w:r>
            <w:r>
              <w:rPr>
                <w:rFonts w:ascii="Calibri"/>
                <w:spacing w:val="-5"/>
                <w:sz w:val="20"/>
              </w:rPr>
              <w:t>33</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59</w:t>
            </w:r>
          </w:p>
        </w:tc>
        <w:tc>
          <w:tcPr>
            <w:tcW w:w="2527" w:type="dxa"/>
          </w:tcPr>
          <w:p>
            <w:pPr>
              <w:pStyle w:val="TableParagraph"/>
              <w:spacing w:line="223" w:lineRule="exact" w:before="1"/>
              <w:ind w:left="108"/>
              <w:rPr>
                <w:rFonts w:ascii="Calibri"/>
                <w:sz w:val="20"/>
              </w:rPr>
            </w:pPr>
            <w:r>
              <w:rPr>
                <w:rFonts w:ascii="Calibri"/>
                <w:sz w:val="20"/>
              </w:rPr>
              <w:t>Pend</w:t>
            </w:r>
            <w:r>
              <w:rPr>
                <w:rFonts w:ascii="Calibri"/>
                <w:spacing w:val="-6"/>
                <w:sz w:val="20"/>
              </w:rPr>
              <w:t> </w:t>
            </w:r>
            <w:r>
              <w:rPr>
                <w:rFonts w:ascii="Calibri"/>
                <w:sz w:val="20"/>
              </w:rPr>
              <w:t>Oreille</w:t>
            </w:r>
            <w:r>
              <w:rPr>
                <w:rFonts w:ascii="Calibri"/>
                <w:spacing w:val="-4"/>
                <w:sz w:val="20"/>
              </w:rPr>
              <w:t> </w:t>
            </w:r>
            <w:r>
              <w:rPr>
                <w:rFonts w:ascii="Calibri"/>
                <w:sz w:val="20"/>
              </w:rPr>
              <w:t>River</w:t>
            </w:r>
            <w:r>
              <w:rPr>
                <w:rFonts w:ascii="Calibri"/>
                <w:spacing w:val="-6"/>
                <w:sz w:val="20"/>
              </w:rPr>
              <w:t> </w:t>
            </w:r>
            <w:r>
              <w:rPr>
                <w:rFonts w:ascii="Calibri"/>
                <w:sz w:val="20"/>
              </w:rPr>
              <w:t>Rec.</w:t>
            </w:r>
            <w:r>
              <w:rPr>
                <w:rFonts w:ascii="Calibri"/>
                <w:spacing w:val="-7"/>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37</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4"/>
                <w:sz w:val="20"/>
              </w:rPr>
              <w:t> </w:t>
            </w:r>
            <w:r>
              <w:rPr>
                <w:rFonts w:ascii="Calibri"/>
                <w:sz w:val="20"/>
              </w:rPr>
              <w:t>33,</w:t>
            </w:r>
            <w:r>
              <w:rPr>
                <w:rFonts w:ascii="Calibri"/>
                <w:spacing w:val="-3"/>
                <w:sz w:val="20"/>
              </w:rPr>
              <w:t> </w:t>
            </w:r>
            <w:r>
              <w:rPr>
                <w:rFonts w:ascii="Calibri"/>
                <w:sz w:val="20"/>
              </w:rPr>
              <w:t>Lots</w:t>
            </w:r>
            <w:r>
              <w:rPr>
                <w:rFonts w:ascii="Calibri"/>
                <w:spacing w:val="-2"/>
                <w:sz w:val="20"/>
              </w:rPr>
              <w:t> </w:t>
            </w:r>
            <w:r>
              <w:rPr>
                <w:rFonts w:ascii="Calibri"/>
                <w:sz w:val="20"/>
              </w:rPr>
              <w:t>1,</w:t>
            </w:r>
            <w:r>
              <w:rPr>
                <w:rFonts w:ascii="Calibri"/>
                <w:spacing w:val="-3"/>
                <w:sz w:val="20"/>
              </w:rPr>
              <w:t> </w:t>
            </w:r>
            <w:r>
              <w:rPr>
                <w:rFonts w:ascii="Calibri"/>
                <w:sz w:val="20"/>
              </w:rPr>
              <w:t>4,</w:t>
            </w:r>
            <w:r>
              <w:rPr>
                <w:rFonts w:ascii="Calibri"/>
                <w:spacing w:val="-2"/>
                <w:sz w:val="20"/>
              </w:rPr>
              <w:t> </w:t>
            </w:r>
            <w:r>
              <w:rPr>
                <w:rFonts w:ascii="Calibri"/>
                <w:sz w:val="20"/>
              </w:rPr>
              <w:t>5,</w:t>
            </w:r>
            <w:r>
              <w:rPr>
                <w:rFonts w:ascii="Calibri"/>
                <w:spacing w:val="-3"/>
                <w:sz w:val="20"/>
              </w:rPr>
              <w:t> </w:t>
            </w:r>
            <w:r>
              <w:rPr>
                <w:rFonts w:ascii="Calibri"/>
                <w:sz w:val="20"/>
              </w:rPr>
              <w:t>and</w:t>
            </w:r>
            <w:r>
              <w:rPr>
                <w:rFonts w:ascii="Calibri"/>
                <w:spacing w:val="-2"/>
                <w:sz w:val="20"/>
              </w:rPr>
              <w:t> </w:t>
            </w:r>
            <w:r>
              <w:rPr>
                <w:rFonts w:ascii="Calibri"/>
                <w:spacing w:val="-10"/>
                <w:sz w:val="20"/>
              </w:rPr>
              <w:t>8</w:t>
            </w:r>
          </w:p>
        </w:tc>
        <w:tc>
          <w:tcPr>
            <w:tcW w:w="900" w:type="dxa"/>
          </w:tcPr>
          <w:p>
            <w:pPr>
              <w:pStyle w:val="TableParagraph"/>
              <w:spacing w:line="223" w:lineRule="exact" w:before="1"/>
              <w:ind w:left="7" w:right="3"/>
              <w:jc w:val="center"/>
              <w:rPr>
                <w:rFonts w:ascii="Calibri"/>
                <w:sz w:val="20"/>
              </w:rPr>
            </w:pPr>
            <w:r>
              <w:rPr>
                <w:rFonts w:ascii="Calibri"/>
                <w:spacing w:val="-2"/>
                <w:sz w:val="20"/>
              </w:rPr>
              <w:t>123.05</w:t>
            </w:r>
          </w:p>
        </w:tc>
      </w:tr>
      <w:tr>
        <w:trPr>
          <w:trHeight w:val="242"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15</w:t>
            </w:r>
          </w:p>
        </w:tc>
        <w:tc>
          <w:tcPr>
            <w:tcW w:w="2527" w:type="dxa"/>
          </w:tcPr>
          <w:p>
            <w:pPr>
              <w:pStyle w:val="TableParagraph"/>
              <w:spacing w:line="222" w:lineRule="exact" w:before="0"/>
              <w:ind w:left="108"/>
              <w:rPr>
                <w:rFonts w:ascii="Calibri"/>
                <w:sz w:val="20"/>
              </w:rPr>
            </w:pPr>
            <w:r>
              <w:rPr>
                <w:rFonts w:ascii="Calibri"/>
                <w:sz w:val="20"/>
              </w:rPr>
              <w:t>Bodie</w:t>
            </w:r>
            <w:r>
              <w:rPr>
                <w:rFonts w:ascii="Calibri"/>
                <w:spacing w:val="-9"/>
                <w:sz w:val="20"/>
              </w:rPr>
              <w:t> </w:t>
            </w:r>
            <w:r>
              <w:rPr>
                <w:rFonts w:ascii="Calibri"/>
                <w:sz w:val="20"/>
              </w:rPr>
              <w:t>Mountain</w:t>
            </w:r>
            <w:r>
              <w:rPr>
                <w:rFonts w:ascii="Calibri"/>
                <w:spacing w:val="-7"/>
                <w:sz w:val="20"/>
              </w:rPr>
              <w:t> </w:t>
            </w:r>
            <w:r>
              <w:rPr>
                <w:rFonts w:ascii="Calibri"/>
                <w:spacing w:val="-2"/>
                <w:sz w:val="20"/>
              </w:rPr>
              <w:t>Lookout</w:t>
            </w:r>
          </w:p>
        </w:tc>
        <w:tc>
          <w:tcPr>
            <w:tcW w:w="2145" w:type="dxa"/>
          </w:tcPr>
          <w:p>
            <w:pPr>
              <w:pStyle w:val="TableParagraph"/>
              <w:spacing w:line="222"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sz w:val="20"/>
              </w:rPr>
            </w:pPr>
            <w:r>
              <w:rPr>
                <w:rFonts w:ascii="Calibri"/>
                <w:sz w:val="20"/>
              </w:rPr>
              <w:t>Sec.6,</w:t>
            </w:r>
            <w:r>
              <w:rPr>
                <w:rFonts w:ascii="Calibri"/>
                <w:spacing w:val="-4"/>
                <w:sz w:val="20"/>
              </w:rPr>
              <w:t> </w:t>
            </w:r>
            <w:r>
              <w:rPr>
                <w:rFonts w:ascii="Calibri"/>
                <w:sz w:val="20"/>
              </w:rPr>
              <w:t>Lot</w:t>
            </w:r>
            <w:r>
              <w:rPr>
                <w:rFonts w:ascii="Calibri"/>
                <w:spacing w:val="-4"/>
                <w:sz w:val="20"/>
              </w:rPr>
              <w:t> </w:t>
            </w:r>
            <w:r>
              <w:rPr>
                <w:rFonts w:ascii="Calibri"/>
                <w:sz w:val="20"/>
              </w:rPr>
              <w:t>4</w:t>
            </w:r>
            <w:r>
              <w:rPr>
                <w:rFonts w:ascii="Calibri"/>
                <w:spacing w:val="-4"/>
                <w:sz w:val="20"/>
              </w:rPr>
              <w:t> </w:t>
            </w:r>
            <w:r>
              <w:rPr>
                <w:rFonts w:ascii="Calibri"/>
                <w:spacing w:val="-5"/>
                <w:sz w:val="20"/>
              </w:rPr>
              <w:t>M&amp;B</w:t>
            </w:r>
          </w:p>
        </w:tc>
        <w:tc>
          <w:tcPr>
            <w:tcW w:w="900" w:type="dxa"/>
          </w:tcPr>
          <w:p>
            <w:pPr>
              <w:pStyle w:val="TableParagraph"/>
              <w:spacing w:line="222" w:lineRule="exact" w:before="0"/>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24</w:t>
            </w:r>
          </w:p>
        </w:tc>
        <w:tc>
          <w:tcPr>
            <w:tcW w:w="2527" w:type="dxa"/>
          </w:tcPr>
          <w:p>
            <w:pPr>
              <w:pStyle w:val="TableParagraph"/>
              <w:spacing w:line="240" w:lineRule="atLeast" w:before="0"/>
              <w:ind w:left="108" w:right="185"/>
              <w:rPr>
                <w:rFonts w:ascii="Calibri"/>
                <w:sz w:val="20"/>
              </w:rPr>
            </w:pPr>
            <w:r>
              <w:rPr>
                <w:rFonts w:ascii="Calibri"/>
                <w:sz w:val="20"/>
              </w:rPr>
              <w:t>Empire</w:t>
            </w:r>
            <w:r>
              <w:rPr>
                <w:rFonts w:ascii="Calibri"/>
                <w:spacing w:val="-12"/>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12,</w:t>
            </w:r>
            <w:r>
              <w:rPr>
                <w:rFonts w:ascii="Calibri" w:hAnsi="Calibri"/>
                <w:spacing w:val="-4"/>
                <w:sz w:val="20"/>
              </w:rPr>
              <w:t> </w:t>
            </w:r>
            <w:r>
              <w:rPr>
                <w:rFonts w:ascii="Calibri" w:hAnsi="Calibri"/>
                <w:sz w:val="20"/>
              </w:rPr>
              <w:t>W½NE¼,</w:t>
            </w:r>
            <w:r>
              <w:rPr>
                <w:rFonts w:ascii="Calibri" w:hAnsi="Calibri"/>
                <w:spacing w:val="-4"/>
                <w:sz w:val="20"/>
              </w:rPr>
              <w:t> </w:t>
            </w:r>
            <w:r>
              <w:rPr>
                <w:rFonts w:ascii="Calibri" w:hAnsi="Calibri"/>
                <w:spacing w:val="-2"/>
                <w:sz w:val="20"/>
              </w:rPr>
              <w:t>NW¼SE¼</w:t>
            </w:r>
          </w:p>
        </w:tc>
        <w:tc>
          <w:tcPr>
            <w:tcW w:w="900" w:type="dxa"/>
          </w:tcPr>
          <w:p>
            <w:pPr>
              <w:pStyle w:val="TableParagraph"/>
              <w:spacing w:before="1"/>
              <w:ind w:left="7"/>
              <w:jc w:val="center"/>
              <w:rPr>
                <w:rFonts w:ascii="Calibri"/>
                <w:sz w:val="20"/>
              </w:rPr>
            </w:pPr>
            <w:r>
              <w:rPr>
                <w:rFonts w:ascii="Calibri"/>
                <w:spacing w:val="-5"/>
                <w:sz w:val="20"/>
              </w:rPr>
              <w:t>120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19</w:t>
            </w:r>
          </w:p>
        </w:tc>
        <w:tc>
          <w:tcPr>
            <w:tcW w:w="2527" w:type="dxa"/>
          </w:tcPr>
          <w:p>
            <w:pPr>
              <w:pStyle w:val="TableParagraph"/>
              <w:spacing w:line="223" w:lineRule="exact" w:before="1"/>
              <w:ind w:left="108"/>
              <w:rPr>
                <w:rFonts w:ascii="Calibri"/>
                <w:sz w:val="20"/>
              </w:rPr>
            </w:pPr>
            <w:r>
              <w:rPr>
                <w:rFonts w:ascii="Calibri"/>
                <w:sz w:val="20"/>
              </w:rPr>
              <w:t>Davis</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34</w:t>
            </w:r>
            <w:r>
              <w:rPr>
                <w:rFonts w:ascii="Calibri" w:hAnsi="Calibri"/>
                <w:spacing w:val="-5"/>
                <w:sz w:val="20"/>
              </w:rPr>
              <w:t> </w:t>
            </w:r>
            <w:r>
              <w:rPr>
                <w:rFonts w:ascii="Calibri" w:hAnsi="Calibri"/>
                <w:spacing w:val="-2"/>
                <w:sz w:val="20"/>
              </w:rPr>
              <w:t>SE¼SW¼</w:t>
            </w:r>
          </w:p>
        </w:tc>
        <w:tc>
          <w:tcPr>
            <w:tcW w:w="900" w:type="dxa"/>
          </w:tcPr>
          <w:p>
            <w:pPr>
              <w:pStyle w:val="TableParagraph"/>
              <w:spacing w:line="223" w:lineRule="exact" w:before="1"/>
              <w:ind w:left="7" w:right="3"/>
              <w:jc w:val="center"/>
              <w:rPr>
                <w:rFonts w:ascii="Calibri"/>
                <w:sz w:val="20"/>
              </w:rPr>
            </w:pPr>
            <w:r>
              <w:rPr>
                <w:rFonts w:ascii="Calibri"/>
                <w:spacing w:val="-2"/>
                <w:sz w:val="20"/>
              </w:rPr>
              <w:t>61.76</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66</w:t>
            </w:r>
          </w:p>
        </w:tc>
        <w:tc>
          <w:tcPr>
            <w:tcW w:w="2527" w:type="dxa"/>
          </w:tcPr>
          <w:p>
            <w:pPr>
              <w:pStyle w:val="TableParagraph"/>
              <w:spacing w:line="240" w:lineRule="atLeast" w:before="0"/>
              <w:ind w:left="108" w:right="185"/>
              <w:rPr>
                <w:rFonts w:ascii="Calibri"/>
                <w:sz w:val="20"/>
              </w:rPr>
            </w:pPr>
            <w:r>
              <w:rPr>
                <w:rFonts w:ascii="Calibri"/>
                <w:sz w:val="20"/>
              </w:rPr>
              <w:t>Renner</w:t>
            </w:r>
            <w:r>
              <w:rPr>
                <w:rFonts w:ascii="Calibri"/>
                <w:spacing w:val="-12"/>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34,</w:t>
            </w:r>
            <w:r>
              <w:rPr>
                <w:rFonts w:ascii="Calibri" w:hAnsi="Calibri"/>
                <w:spacing w:val="-7"/>
                <w:sz w:val="20"/>
              </w:rPr>
              <w:t> </w:t>
            </w:r>
            <w:r>
              <w:rPr>
                <w:rFonts w:ascii="Calibri" w:hAnsi="Calibri"/>
                <w:sz w:val="20"/>
              </w:rPr>
              <w:t>SE¼NW¼NW¼,</w:t>
            </w:r>
            <w:r>
              <w:rPr>
                <w:rFonts w:ascii="Calibri" w:hAnsi="Calibri"/>
                <w:spacing w:val="-6"/>
                <w:sz w:val="20"/>
              </w:rPr>
              <w:t> </w:t>
            </w:r>
            <w:r>
              <w:rPr>
                <w:rFonts w:ascii="Calibri" w:hAnsi="Calibri"/>
                <w:spacing w:val="-2"/>
                <w:sz w:val="20"/>
              </w:rPr>
              <w:t>SW¼NE¼NW¼,</w:t>
            </w:r>
          </w:p>
          <w:p>
            <w:pPr>
              <w:pStyle w:val="TableParagraph"/>
              <w:spacing w:line="223" w:lineRule="exact" w:before="1"/>
              <w:ind w:left="110"/>
              <w:rPr>
                <w:rFonts w:ascii="Calibri" w:hAnsi="Calibri"/>
                <w:sz w:val="20"/>
              </w:rPr>
            </w:pPr>
            <w:r>
              <w:rPr>
                <w:rFonts w:ascii="Calibri" w:hAnsi="Calibri"/>
                <w:sz w:val="20"/>
              </w:rPr>
              <w:t>NE¼SW¼NW¼,</w:t>
            </w:r>
            <w:r>
              <w:rPr>
                <w:rFonts w:ascii="Calibri" w:hAnsi="Calibri"/>
                <w:spacing w:val="-10"/>
                <w:sz w:val="20"/>
              </w:rPr>
              <w:t> </w:t>
            </w:r>
            <w:r>
              <w:rPr>
                <w:rFonts w:ascii="Calibri" w:hAnsi="Calibri"/>
                <w:spacing w:val="-2"/>
                <w:sz w:val="20"/>
              </w:rPr>
              <w:t>NW¼SE¼NW¼</w:t>
            </w:r>
          </w:p>
        </w:tc>
        <w:tc>
          <w:tcPr>
            <w:tcW w:w="900" w:type="dxa"/>
          </w:tcPr>
          <w:p>
            <w:pPr>
              <w:pStyle w:val="TableParagraph"/>
              <w:spacing w:before="1"/>
              <w:ind w:left="7"/>
              <w:jc w:val="center"/>
              <w:rPr>
                <w:rFonts w:ascii="Calibri"/>
                <w:sz w:val="20"/>
              </w:rPr>
            </w:pPr>
            <w:r>
              <w:rPr>
                <w:rFonts w:ascii="Calibri"/>
                <w:spacing w:val="-5"/>
                <w:sz w:val="20"/>
              </w:rPr>
              <w:t>40</w:t>
            </w:r>
          </w:p>
        </w:tc>
      </w:tr>
      <w:tr>
        <w:trPr>
          <w:trHeight w:val="242"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38</w:t>
            </w:r>
          </w:p>
        </w:tc>
        <w:tc>
          <w:tcPr>
            <w:tcW w:w="2527" w:type="dxa"/>
          </w:tcPr>
          <w:p>
            <w:pPr>
              <w:pStyle w:val="TableParagraph"/>
              <w:spacing w:line="222" w:lineRule="exact" w:before="0"/>
              <w:ind w:left="108"/>
              <w:rPr>
                <w:rFonts w:ascii="Calibri"/>
                <w:sz w:val="20"/>
              </w:rPr>
            </w:pPr>
            <w:r>
              <w:rPr>
                <w:rFonts w:ascii="Calibri"/>
                <w:spacing w:val="-2"/>
                <w:sz w:val="20"/>
              </w:rPr>
              <w:t>Huckleberry</w:t>
            </w:r>
            <w:r>
              <w:rPr>
                <w:rFonts w:ascii="Calibri"/>
                <w:spacing w:val="9"/>
                <w:sz w:val="20"/>
              </w:rPr>
              <w:t> </w:t>
            </w:r>
            <w:r>
              <w:rPr>
                <w:rFonts w:ascii="Calibri"/>
                <w:spacing w:val="-2"/>
                <w:sz w:val="20"/>
              </w:rPr>
              <w:t>Lookout</w:t>
            </w:r>
          </w:p>
        </w:tc>
        <w:tc>
          <w:tcPr>
            <w:tcW w:w="2145" w:type="dxa"/>
          </w:tcPr>
          <w:p>
            <w:pPr>
              <w:pStyle w:val="TableParagraph"/>
              <w:spacing w:line="222"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29,</w:t>
            </w:r>
            <w:r>
              <w:rPr>
                <w:rFonts w:ascii="Calibri" w:hAnsi="Calibri"/>
                <w:spacing w:val="-3"/>
                <w:sz w:val="20"/>
              </w:rPr>
              <w:t> </w:t>
            </w:r>
            <w:r>
              <w:rPr>
                <w:rFonts w:ascii="Calibri" w:hAnsi="Calibri"/>
                <w:sz w:val="20"/>
              </w:rPr>
              <w:t>W½SW¼;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30</w:t>
            </w:r>
            <w:r>
              <w:rPr>
                <w:rFonts w:ascii="Calibri" w:hAnsi="Calibri"/>
                <w:spacing w:val="-4"/>
                <w:sz w:val="20"/>
              </w:rPr>
              <w:t> </w:t>
            </w:r>
            <w:r>
              <w:rPr>
                <w:rFonts w:ascii="Calibri" w:hAnsi="Calibri"/>
                <w:sz w:val="20"/>
              </w:rPr>
              <w:t>E½SE¼</w:t>
            </w:r>
            <w:r>
              <w:rPr>
                <w:rFonts w:ascii="Calibri" w:hAnsi="Calibri"/>
                <w:spacing w:val="-5"/>
                <w:sz w:val="20"/>
              </w:rPr>
              <w:t> M&amp;B</w:t>
            </w:r>
          </w:p>
        </w:tc>
        <w:tc>
          <w:tcPr>
            <w:tcW w:w="900" w:type="dxa"/>
          </w:tcPr>
          <w:p>
            <w:pPr>
              <w:pStyle w:val="TableParagraph"/>
              <w:spacing w:line="222" w:lineRule="exact" w:before="0"/>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25</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2042</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1,</w:t>
            </w:r>
            <w:r>
              <w:rPr>
                <w:rFonts w:ascii="Calibri"/>
                <w:spacing w:val="-3"/>
                <w:sz w:val="20"/>
              </w:rPr>
              <w:t> </w:t>
            </w:r>
            <w:r>
              <w:rPr>
                <w:rFonts w:ascii="Calibri"/>
                <w:sz w:val="20"/>
              </w:rPr>
              <w:t>12,</w:t>
            </w:r>
            <w:r>
              <w:rPr>
                <w:rFonts w:ascii="Calibri"/>
                <w:spacing w:val="-3"/>
                <w:sz w:val="20"/>
              </w:rPr>
              <w:t> </w:t>
            </w:r>
            <w:r>
              <w:rPr>
                <w:rFonts w:ascii="Calibri"/>
                <w:sz w:val="20"/>
              </w:rPr>
              <w:t>19,</w:t>
            </w:r>
            <w:r>
              <w:rPr>
                <w:rFonts w:ascii="Calibri"/>
                <w:spacing w:val="-3"/>
                <w:sz w:val="20"/>
              </w:rPr>
              <w:t> </w:t>
            </w:r>
            <w:r>
              <w:rPr>
                <w:rFonts w:ascii="Calibri"/>
                <w:sz w:val="20"/>
              </w:rPr>
              <w:t>20,</w:t>
            </w:r>
            <w:r>
              <w:rPr>
                <w:rFonts w:ascii="Calibri"/>
                <w:spacing w:val="-4"/>
                <w:sz w:val="20"/>
              </w:rPr>
              <w:t> </w:t>
            </w:r>
            <w:r>
              <w:rPr>
                <w:rFonts w:ascii="Calibri"/>
                <w:sz w:val="20"/>
              </w:rPr>
              <w:t>29,</w:t>
            </w:r>
            <w:r>
              <w:rPr>
                <w:rFonts w:ascii="Calibri"/>
                <w:spacing w:val="-3"/>
                <w:sz w:val="20"/>
              </w:rPr>
              <w:t> </w:t>
            </w:r>
            <w:r>
              <w:rPr>
                <w:rFonts w:ascii="Calibri"/>
                <w:sz w:val="20"/>
              </w:rPr>
              <w:t>and</w:t>
            </w:r>
            <w:r>
              <w:rPr>
                <w:rFonts w:ascii="Calibri"/>
                <w:spacing w:val="-3"/>
                <w:sz w:val="20"/>
              </w:rPr>
              <w:t> </w:t>
            </w:r>
            <w:r>
              <w:rPr>
                <w:rFonts w:ascii="Calibri"/>
                <w:spacing w:val="-5"/>
                <w:sz w:val="20"/>
              </w:rPr>
              <w:t>32</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65</w:t>
            </w:r>
          </w:p>
        </w:tc>
        <w:tc>
          <w:tcPr>
            <w:tcW w:w="2527" w:type="dxa"/>
          </w:tcPr>
          <w:p>
            <w:pPr>
              <w:pStyle w:val="TableParagraph"/>
              <w:spacing w:line="223" w:lineRule="exact" w:before="1"/>
              <w:ind w:left="108"/>
              <w:rPr>
                <w:rFonts w:ascii="Calibri"/>
                <w:sz w:val="20"/>
              </w:rPr>
            </w:pPr>
            <w:r>
              <w:rPr>
                <w:rFonts w:ascii="Calibri"/>
                <w:sz w:val="20"/>
              </w:rPr>
              <w:t>Powersite</w:t>
            </w:r>
            <w:r>
              <w:rPr>
                <w:rFonts w:ascii="Calibri"/>
                <w:spacing w:val="-10"/>
                <w:sz w:val="20"/>
              </w:rPr>
              <w:t> </w:t>
            </w:r>
            <w:r>
              <w:rPr>
                <w:rFonts w:ascii="Calibri"/>
                <w:sz w:val="20"/>
              </w:rPr>
              <w:t>Reserve</w:t>
            </w:r>
            <w:r>
              <w:rPr>
                <w:rFonts w:ascii="Calibri"/>
                <w:spacing w:val="-9"/>
                <w:sz w:val="20"/>
              </w:rPr>
              <w:t> </w:t>
            </w:r>
            <w:r>
              <w:rPr>
                <w:rFonts w:ascii="Calibri"/>
                <w:spacing w:val="-5"/>
                <w:sz w:val="20"/>
              </w:rPr>
              <w:t>639</w:t>
            </w:r>
          </w:p>
        </w:tc>
        <w:tc>
          <w:tcPr>
            <w:tcW w:w="2145" w:type="dxa"/>
          </w:tcPr>
          <w:p>
            <w:pPr>
              <w:pStyle w:val="TableParagraph"/>
              <w:spacing w:line="223" w:lineRule="exact"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3"/>
                <w:sz w:val="20"/>
              </w:rPr>
              <w:t> </w:t>
            </w:r>
            <w:r>
              <w:rPr>
                <w:rFonts w:ascii="Calibri"/>
                <w:sz w:val="20"/>
              </w:rPr>
              <w:t>4,</w:t>
            </w:r>
            <w:r>
              <w:rPr>
                <w:rFonts w:ascii="Calibri"/>
                <w:spacing w:val="-3"/>
                <w:sz w:val="20"/>
              </w:rPr>
              <w:t> </w:t>
            </w:r>
            <w:r>
              <w:rPr>
                <w:rFonts w:ascii="Calibri"/>
                <w:sz w:val="20"/>
              </w:rPr>
              <w:t>Lots</w:t>
            </w:r>
            <w:r>
              <w:rPr>
                <w:rFonts w:ascii="Calibri"/>
                <w:spacing w:val="-4"/>
                <w:sz w:val="20"/>
              </w:rPr>
              <w:t> </w:t>
            </w:r>
            <w:r>
              <w:rPr>
                <w:rFonts w:ascii="Calibri"/>
                <w:sz w:val="20"/>
              </w:rPr>
              <w:t>3,</w:t>
            </w:r>
            <w:r>
              <w:rPr>
                <w:rFonts w:ascii="Calibri"/>
                <w:spacing w:val="-2"/>
                <w:sz w:val="20"/>
              </w:rPr>
              <w:t> </w:t>
            </w:r>
            <w:r>
              <w:rPr>
                <w:rFonts w:ascii="Calibri"/>
                <w:sz w:val="20"/>
              </w:rPr>
              <w:t>4,</w:t>
            </w:r>
            <w:r>
              <w:rPr>
                <w:rFonts w:ascii="Calibri"/>
                <w:spacing w:val="-2"/>
                <w:sz w:val="20"/>
              </w:rPr>
              <w:t> </w:t>
            </w:r>
            <w:r>
              <w:rPr>
                <w:rFonts w:ascii="Calibri"/>
                <w:sz w:val="20"/>
              </w:rPr>
              <w:t>5</w:t>
            </w:r>
            <w:r>
              <w:rPr>
                <w:rFonts w:ascii="Calibri"/>
                <w:spacing w:val="-3"/>
                <w:sz w:val="20"/>
              </w:rPr>
              <w:t> </w:t>
            </w:r>
            <w:r>
              <w:rPr>
                <w:rFonts w:ascii="Calibri"/>
                <w:sz w:val="20"/>
              </w:rPr>
              <w:t>and</w:t>
            </w:r>
            <w:r>
              <w:rPr>
                <w:rFonts w:ascii="Calibri"/>
                <w:spacing w:val="-2"/>
                <w:sz w:val="20"/>
              </w:rPr>
              <w:t> </w:t>
            </w:r>
            <w:r>
              <w:rPr>
                <w:rFonts w:ascii="Calibri"/>
                <w:spacing w:val="-5"/>
                <w:sz w:val="20"/>
              </w:rPr>
              <w:t>15</w:t>
            </w:r>
          </w:p>
        </w:tc>
        <w:tc>
          <w:tcPr>
            <w:tcW w:w="900" w:type="dxa"/>
          </w:tcPr>
          <w:p>
            <w:pPr>
              <w:pStyle w:val="TableParagraph"/>
              <w:spacing w:line="223" w:lineRule="exact" w:before="1"/>
              <w:ind w:left="7" w:right="3"/>
              <w:jc w:val="center"/>
              <w:rPr>
                <w:rFonts w:ascii="Calibri"/>
                <w:sz w:val="20"/>
              </w:rPr>
            </w:pPr>
            <w:r>
              <w:rPr>
                <w:rFonts w:ascii="Calibri"/>
                <w:spacing w:val="-4"/>
                <w:sz w:val="20"/>
              </w:rPr>
              <w:t>68.7</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27</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2225</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1,</w:t>
            </w:r>
            <w:r>
              <w:rPr>
                <w:rFonts w:ascii="Calibri"/>
                <w:spacing w:val="-3"/>
                <w:sz w:val="20"/>
              </w:rPr>
              <w:t> </w:t>
            </w:r>
            <w:r>
              <w:rPr>
                <w:rFonts w:ascii="Calibri"/>
                <w:sz w:val="20"/>
              </w:rPr>
              <w:t>5,</w:t>
            </w:r>
            <w:r>
              <w:rPr>
                <w:rFonts w:ascii="Calibri"/>
                <w:spacing w:val="-3"/>
                <w:sz w:val="20"/>
              </w:rPr>
              <w:t> </w:t>
            </w:r>
            <w:r>
              <w:rPr>
                <w:rFonts w:ascii="Calibri"/>
                <w:sz w:val="20"/>
              </w:rPr>
              <w:t>6,</w:t>
            </w:r>
            <w:r>
              <w:rPr>
                <w:rFonts w:ascii="Calibri"/>
                <w:spacing w:val="-3"/>
                <w:sz w:val="20"/>
              </w:rPr>
              <w:t> </w:t>
            </w:r>
            <w:r>
              <w:rPr>
                <w:rFonts w:ascii="Calibri"/>
                <w:sz w:val="20"/>
              </w:rPr>
              <w:t>7,</w:t>
            </w:r>
            <w:r>
              <w:rPr>
                <w:rFonts w:ascii="Calibri"/>
                <w:spacing w:val="-2"/>
                <w:sz w:val="20"/>
              </w:rPr>
              <w:t> </w:t>
            </w:r>
            <w:r>
              <w:rPr>
                <w:rFonts w:ascii="Calibri"/>
                <w:sz w:val="20"/>
              </w:rPr>
              <w:t>12,</w:t>
            </w:r>
            <w:r>
              <w:rPr>
                <w:rFonts w:ascii="Calibri"/>
                <w:spacing w:val="-2"/>
                <w:sz w:val="20"/>
              </w:rPr>
              <w:t> </w:t>
            </w:r>
            <w:r>
              <w:rPr>
                <w:rFonts w:ascii="Calibri"/>
                <w:sz w:val="20"/>
              </w:rPr>
              <w:t>13,</w:t>
            </w:r>
            <w:r>
              <w:rPr>
                <w:rFonts w:ascii="Calibri"/>
                <w:spacing w:val="-2"/>
                <w:sz w:val="20"/>
              </w:rPr>
              <w:t> </w:t>
            </w:r>
            <w:r>
              <w:rPr>
                <w:rFonts w:ascii="Calibri"/>
                <w:sz w:val="20"/>
              </w:rPr>
              <w:t>18,</w:t>
            </w:r>
            <w:r>
              <w:rPr>
                <w:rFonts w:ascii="Calibri"/>
                <w:spacing w:val="-3"/>
                <w:sz w:val="20"/>
              </w:rPr>
              <w:t> </w:t>
            </w:r>
            <w:r>
              <w:rPr>
                <w:rFonts w:ascii="Calibri"/>
                <w:sz w:val="20"/>
              </w:rPr>
              <w:t>31,</w:t>
            </w:r>
            <w:r>
              <w:rPr>
                <w:rFonts w:ascii="Calibri"/>
                <w:spacing w:val="-3"/>
                <w:sz w:val="20"/>
              </w:rPr>
              <w:t> </w:t>
            </w:r>
            <w:r>
              <w:rPr>
                <w:rFonts w:ascii="Calibri"/>
                <w:sz w:val="20"/>
              </w:rPr>
              <w:t>and</w:t>
            </w:r>
            <w:r>
              <w:rPr>
                <w:rFonts w:ascii="Calibri"/>
                <w:spacing w:val="-3"/>
                <w:sz w:val="20"/>
              </w:rPr>
              <w:t> </w:t>
            </w:r>
            <w:r>
              <w:rPr>
                <w:rFonts w:ascii="Calibri"/>
                <w:spacing w:val="-5"/>
                <w:sz w:val="20"/>
              </w:rPr>
              <w:t>36</w:t>
            </w:r>
          </w:p>
        </w:tc>
        <w:tc>
          <w:tcPr>
            <w:tcW w:w="900" w:type="dxa"/>
          </w:tcPr>
          <w:p>
            <w:pPr>
              <w:pStyle w:val="TableParagraph"/>
              <w:spacing w:before="1"/>
              <w:ind w:left="7"/>
              <w:jc w:val="center"/>
              <w:rPr>
                <w:rFonts w:ascii="Calibri"/>
                <w:sz w:val="20"/>
              </w:rPr>
            </w:pPr>
            <w:r>
              <w:rPr>
                <w:rFonts w:ascii="Calibri"/>
                <w:spacing w:val="-5"/>
                <w:sz w:val="20"/>
              </w:rPr>
              <w:t>522</w:t>
            </w: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73</w:t>
            </w:r>
          </w:p>
        </w:tc>
        <w:tc>
          <w:tcPr>
            <w:tcW w:w="2527" w:type="dxa"/>
          </w:tcPr>
          <w:p>
            <w:pPr>
              <w:pStyle w:val="TableParagraph"/>
              <w:spacing w:line="243" w:lineRule="exact" w:before="0"/>
              <w:ind w:left="108"/>
              <w:rPr>
                <w:rFonts w:ascii="Calibri"/>
                <w:sz w:val="20"/>
              </w:rPr>
            </w:pPr>
            <w:r>
              <w:rPr>
                <w:rFonts w:ascii="Calibri"/>
                <w:sz w:val="20"/>
              </w:rPr>
              <w:t>Sullivan</w:t>
            </w:r>
            <w:r>
              <w:rPr>
                <w:rFonts w:ascii="Calibri"/>
                <w:spacing w:val="-8"/>
                <w:sz w:val="20"/>
              </w:rPr>
              <w:t> </w:t>
            </w:r>
            <w:r>
              <w:rPr>
                <w:rFonts w:ascii="Calibri"/>
                <w:sz w:val="20"/>
              </w:rPr>
              <w:t>Lake</w:t>
            </w:r>
            <w:r>
              <w:rPr>
                <w:rFonts w:ascii="Calibri"/>
                <w:spacing w:val="-8"/>
                <w:sz w:val="20"/>
              </w:rPr>
              <w:t> </w:t>
            </w:r>
            <w:r>
              <w:rPr>
                <w:rFonts w:ascii="Calibri"/>
                <w:spacing w:val="-2"/>
                <w:sz w:val="20"/>
              </w:rPr>
              <w:t>Recreation</w:t>
            </w:r>
          </w:p>
          <w:p>
            <w:pPr>
              <w:pStyle w:val="TableParagraph"/>
              <w:spacing w:line="223" w:lineRule="exact" w:before="0"/>
              <w:ind w:left="108"/>
              <w:rPr>
                <w:rFonts w:ascii="Calibri"/>
                <w:sz w:val="20"/>
              </w:rPr>
            </w:pPr>
            <w:r>
              <w:rPr>
                <w:rFonts w:ascii="Calibri"/>
                <w:spacing w:val="-4"/>
                <w:sz w:val="20"/>
              </w:rPr>
              <w:t>Area</w:t>
            </w:r>
          </w:p>
        </w:tc>
        <w:tc>
          <w:tcPr>
            <w:tcW w:w="2145" w:type="dxa"/>
          </w:tcPr>
          <w:p>
            <w:pPr>
              <w:pStyle w:val="TableParagraph"/>
              <w:spacing w:line="243"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sz w:val="20"/>
              </w:rPr>
            </w:pPr>
            <w:r>
              <w:rPr>
                <w:rFonts w:ascii="Calibri"/>
                <w:sz w:val="20"/>
              </w:rPr>
              <w:t>Sec.</w:t>
            </w:r>
            <w:r>
              <w:rPr>
                <w:rFonts w:ascii="Calibri"/>
                <w:spacing w:val="-4"/>
                <w:sz w:val="20"/>
              </w:rPr>
              <w:t> </w:t>
            </w:r>
            <w:r>
              <w:rPr>
                <w:rFonts w:ascii="Calibri"/>
                <w:sz w:val="20"/>
              </w:rPr>
              <w:t>6,</w:t>
            </w:r>
            <w:r>
              <w:rPr>
                <w:rFonts w:ascii="Calibri"/>
                <w:spacing w:val="-2"/>
                <w:sz w:val="20"/>
              </w:rPr>
              <w:t> </w:t>
            </w:r>
            <w:r>
              <w:rPr>
                <w:rFonts w:ascii="Calibri"/>
                <w:sz w:val="20"/>
              </w:rPr>
              <w:t>Lots</w:t>
            </w:r>
            <w:r>
              <w:rPr>
                <w:rFonts w:ascii="Calibri"/>
                <w:spacing w:val="-4"/>
                <w:sz w:val="20"/>
              </w:rPr>
              <w:t> </w:t>
            </w:r>
            <w:r>
              <w:rPr>
                <w:rFonts w:ascii="Calibri"/>
                <w:sz w:val="20"/>
              </w:rPr>
              <w:t>2,</w:t>
            </w:r>
            <w:r>
              <w:rPr>
                <w:rFonts w:ascii="Calibri"/>
                <w:spacing w:val="-2"/>
                <w:sz w:val="20"/>
              </w:rPr>
              <w:t> </w:t>
            </w:r>
            <w:r>
              <w:rPr>
                <w:rFonts w:ascii="Calibri"/>
                <w:sz w:val="20"/>
              </w:rPr>
              <w:t>4,</w:t>
            </w:r>
            <w:r>
              <w:rPr>
                <w:rFonts w:ascii="Calibri"/>
                <w:spacing w:val="-2"/>
                <w:sz w:val="20"/>
              </w:rPr>
              <w:t> </w:t>
            </w:r>
            <w:r>
              <w:rPr>
                <w:rFonts w:ascii="Calibri"/>
                <w:sz w:val="20"/>
              </w:rPr>
              <w:t>7,</w:t>
            </w:r>
            <w:r>
              <w:rPr>
                <w:rFonts w:ascii="Calibri"/>
                <w:spacing w:val="-2"/>
                <w:sz w:val="20"/>
              </w:rPr>
              <w:t> </w:t>
            </w:r>
            <w:r>
              <w:rPr>
                <w:rFonts w:ascii="Calibri"/>
                <w:sz w:val="20"/>
              </w:rPr>
              <w:t>and</w:t>
            </w:r>
            <w:r>
              <w:rPr>
                <w:rFonts w:ascii="Calibri"/>
                <w:spacing w:val="-3"/>
                <w:sz w:val="20"/>
              </w:rPr>
              <w:t> </w:t>
            </w:r>
            <w:r>
              <w:rPr>
                <w:rFonts w:ascii="Calibri"/>
                <w:sz w:val="20"/>
              </w:rPr>
              <w:t>8;</w:t>
            </w:r>
            <w:r>
              <w:rPr>
                <w:rFonts w:ascii="Calibri"/>
                <w:spacing w:val="-4"/>
                <w:sz w:val="20"/>
              </w:rPr>
              <w:t> </w:t>
            </w:r>
            <w:r>
              <w:rPr>
                <w:rFonts w:ascii="Calibri"/>
                <w:sz w:val="20"/>
              </w:rPr>
              <w:t>Sec.</w:t>
            </w:r>
            <w:r>
              <w:rPr>
                <w:rFonts w:ascii="Calibri"/>
                <w:spacing w:val="-1"/>
                <w:sz w:val="20"/>
              </w:rPr>
              <w:t> </w:t>
            </w:r>
            <w:r>
              <w:rPr>
                <w:rFonts w:ascii="Calibri"/>
                <w:sz w:val="20"/>
              </w:rPr>
              <w:t>7</w:t>
            </w:r>
            <w:r>
              <w:rPr>
                <w:rFonts w:ascii="Calibri"/>
                <w:spacing w:val="-3"/>
                <w:sz w:val="20"/>
              </w:rPr>
              <w:t> </w:t>
            </w:r>
            <w:r>
              <w:rPr>
                <w:rFonts w:ascii="Calibri"/>
                <w:sz w:val="20"/>
              </w:rPr>
              <w:t>Lots</w:t>
            </w:r>
            <w:r>
              <w:rPr>
                <w:rFonts w:ascii="Calibri"/>
                <w:spacing w:val="-4"/>
                <w:sz w:val="20"/>
              </w:rPr>
              <w:t> </w:t>
            </w:r>
            <w:r>
              <w:rPr>
                <w:rFonts w:ascii="Calibri"/>
                <w:sz w:val="20"/>
              </w:rPr>
              <w:t>2,</w:t>
            </w:r>
            <w:r>
              <w:rPr>
                <w:rFonts w:ascii="Calibri"/>
                <w:spacing w:val="-2"/>
                <w:sz w:val="20"/>
              </w:rPr>
              <w:t> </w:t>
            </w:r>
            <w:r>
              <w:rPr>
                <w:rFonts w:ascii="Calibri"/>
                <w:sz w:val="20"/>
              </w:rPr>
              <w:t>3,</w:t>
            </w:r>
            <w:r>
              <w:rPr>
                <w:rFonts w:ascii="Calibri"/>
                <w:spacing w:val="-2"/>
                <w:sz w:val="20"/>
              </w:rPr>
              <w:t> </w:t>
            </w:r>
            <w:r>
              <w:rPr>
                <w:rFonts w:ascii="Calibri"/>
                <w:sz w:val="20"/>
              </w:rPr>
              <w:t>and</w:t>
            </w:r>
            <w:r>
              <w:rPr>
                <w:rFonts w:ascii="Calibri"/>
                <w:spacing w:val="-2"/>
                <w:sz w:val="20"/>
              </w:rPr>
              <w:t> </w:t>
            </w:r>
            <w:r>
              <w:rPr>
                <w:rFonts w:ascii="Calibri"/>
                <w:spacing w:val="-5"/>
                <w:sz w:val="20"/>
              </w:rPr>
              <w:t>7;</w:t>
            </w:r>
          </w:p>
          <w:p>
            <w:pPr>
              <w:pStyle w:val="TableParagraph"/>
              <w:spacing w:line="223"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18,</w:t>
            </w:r>
            <w:r>
              <w:rPr>
                <w:rFonts w:ascii="Calibri" w:hAnsi="Calibri"/>
                <w:spacing w:val="-4"/>
                <w:sz w:val="20"/>
              </w:rPr>
              <w:t> </w:t>
            </w:r>
            <w:r>
              <w:rPr>
                <w:rFonts w:ascii="Calibri" w:hAnsi="Calibri"/>
                <w:sz w:val="20"/>
              </w:rPr>
              <w:t>Lots</w:t>
            </w:r>
            <w:r>
              <w:rPr>
                <w:rFonts w:ascii="Calibri" w:hAnsi="Calibri"/>
                <w:spacing w:val="-4"/>
                <w:sz w:val="20"/>
              </w:rPr>
              <w:t> </w:t>
            </w:r>
            <w:r>
              <w:rPr>
                <w:rFonts w:ascii="Calibri" w:hAnsi="Calibri"/>
                <w:sz w:val="20"/>
              </w:rPr>
              <w:t>2-7</w:t>
            </w:r>
            <w:r>
              <w:rPr>
                <w:rFonts w:ascii="Calibri" w:hAnsi="Calibri"/>
                <w:spacing w:val="-5"/>
                <w:sz w:val="20"/>
              </w:rPr>
              <w:t> </w:t>
            </w:r>
            <w:r>
              <w:rPr>
                <w:rFonts w:ascii="Calibri" w:hAnsi="Calibri"/>
                <w:sz w:val="20"/>
              </w:rPr>
              <w:t>inclusive,</w:t>
            </w:r>
            <w:r>
              <w:rPr>
                <w:rFonts w:ascii="Calibri" w:hAnsi="Calibri"/>
                <w:spacing w:val="-4"/>
                <w:sz w:val="20"/>
              </w:rPr>
              <w:t> </w:t>
            </w:r>
            <w:r>
              <w:rPr>
                <w:rFonts w:ascii="Calibri" w:hAnsi="Calibri"/>
                <w:sz w:val="20"/>
              </w:rPr>
              <w:t>Lot</w:t>
            </w:r>
            <w:r>
              <w:rPr>
                <w:rFonts w:ascii="Calibri" w:hAnsi="Calibri"/>
                <w:spacing w:val="-5"/>
                <w:sz w:val="20"/>
              </w:rPr>
              <w:t> </w:t>
            </w:r>
            <w:r>
              <w:rPr>
                <w:rFonts w:ascii="Calibri" w:hAnsi="Calibri"/>
                <w:sz w:val="20"/>
              </w:rPr>
              <w:t>9,</w:t>
            </w:r>
            <w:r>
              <w:rPr>
                <w:rFonts w:ascii="Calibri" w:hAnsi="Calibri"/>
                <w:spacing w:val="-4"/>
                <w:sz w:val="20"/>
              </w:rPr>
              <w:t> </w:t>
            </w:r>
            <w:r>
              <w:rPr>
                <w:rFonts w:ascii="Calibri" w:hAnsi="Calibri"/>
                <w:spacing w:val="-2"/>
                <w:sz w:val="20"/>
              </w:rPr>
              <w:t>S½SE¼;</w:t>
            </w:r>
          </w:p>
        </w:tc>
        <w:tc>
          <w:tcPr>
            <w:tcW w:w="900" w:type="dxa"/>
          </w:tcPr>
          <w:p>
            <w:pPr>
              <w:pStyle w:val="TableParagraph"/>
              <w:spacing w:line="243" w:lineRule="exact" w:before="0"/>
              <w:ind w:left="7" w:right="3"/>
              <w:jc w:val="center"/>
              <w:rPr>
                <w:rFonts w:ascii="Calibri"/>
                <w:sz w:val="20"/>
              </w:rPr>
            </w:pPr>
            <w:r>
              <w:rPr>
                <w:rFonts w:ascii="Calibri"/>
                <w:spacing w:val="-2"/>
                <w:sz w:val="20"/>
              </w:rPr>
              <w:t>624.35</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67</w:t>
            </w:r>
          </w:p>
        </w:tc>
        <w:tc>
          <w:tcPr>
            <w:tcW w:w="2527" w:type="dxa"/>
          </w:tcPr>
          <w:p>
            <w:pPr>
              <w:pStyle w:val="TableParagraph"/>
              <w:spacing w:line="240" w:lineRule="atLeast" w:before="0"/>
              <w:ind w:left="108" w:right="654"/>
              <w:rPr>
                <w:rFonts w:ascii="Calibri"/>
                <w:sz w:val="20"/>
              </w:rPr>
            </w:pPr>
            <w:r>
              <w:rPr>
                <w:rFonts w:ascii="Calibri"/>
                <w:sz w:val="20"/>
              </w:rPr>
              <w:t>Round</w:t>
            </w:r>
            <w:r>
              <w:rPr>
                <w:rFonts w:ascii="Calibri"/>
                <w:spacing w:val="-12"/>
                <w:sz w:val="20"/>
              </w:rPr>
              <w:t> </w:t>
            </w:r>
            <w:r>
              <w:rPr>
                <w:rFonts w:ascii="Calibri"/>
                <w:sz w:val="20"/>
              </w:rPr>
              <w:t>Top</w:t>
            </w:r>
            <w:r>
              <w:rPr>
                <w:rFonts w:ascii="Calibri"/>
                <w:spacing w:val="-11"/>
                <w:sz w:val="20"/>
              </w:rPr>
              <w:t> </w:t>
            </w:r>
            <w:r>
              <w:rPr>
                <w:rFonts w:ascii="Calibri"/>
                <w:sz w:val="20"/>
              </w:rPr>
              <w:t>Mtn.</w:t>
            </w:r>
            <w:r>
              <w:rPr>
                <w:rFonts w:ascii="Calibri"/>
                <w:spacing w:val="-11"/>
                <w:sz w:val="20"/>
              </w:rPr>
              <w:t> </w:t>
            </w:r>
            <w:r>
              <w:rPr>
                <w:rFonts w:ascii="Calibri"/>
                <w:sz w:val="20"/>
              </w:rPr>
              <w:t>Res. Natural Area</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38</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Sections</w:t>
            </w:r>
            <w:r>
              <w:rPr>
                <w:rFonts w:ascii="Calibri"/>
                <w:spacing w:val="-6"/>
                <w:sz w:val="20"/>
              </w:rPr>
              <w:t> </w:t>
            </w:r>
            <w:r>
              <w:rPr>
                <w:rFonts w:ascii="Calibri"/>
                <w:sz w:val="20"/>
              </w:rPr>
              <w:t>8</w:t>
            </w:r>
            <w:r>
              <w:rPr>
                <w:rFonts w:ascii="Calibri"/>
                <w:spacing w:val="-6"/>
                <w:sz w:val="20"/>
              </w:rPr>
              <w:t> </w:t>
            </w:r>
            <w:r>
              <w:rPr>
                <w:rFonts w:ascii="Calibri"/>
                <w:sz w:val="20"/>
              </w:rPr>
              <w:t>and</w:t>
            </w:r>
            <w:r>
              <w:rPr>
                <w:rFonts w:ascii="Calibri"/>
                <w:spacing w:val="-4"/>
                <w:sz w:val="20"/>
              </w:rPr>
              <w:t> </w:t>
            </w:r>
            <w:r>
              <w:rPr>
                <w:rFonts w:ascii="Calibri"/>
                <w:sz w:val="20"/>
              </w:rPr>
              <w:t>9</w:t>
            </w:r>
            <w:r>
              <w:rPr>
                <w:rFonts w:ascii="Calibri"/>
                <w:spacing w:val="-5"/>
                <w:sz w:val="20"/>
              </w:rPr>
              <w:t> </w:t>
            </w:r>
            <w:r>
              <w:rPr>
                <w:rFonts w:ascii="Calibri"/>
                <w:sz w:val="20"/>
              </w:rPr>
              <w:t>(portions</w:t>
            </w:r>
            <w:r>
              <w:rPr>
                <w:rFonts w:ascii="Calibri"/>
                <w:spacing w:val="-6"/>
                <w:sz w:val="20"/>
              </w:rPr>
              <w:t> </w:t>
            </w:r>
            <w:r>
              <w:rPr>
                <w:rFonts w:ascii="Calibri"/>
                <w:spacing w:val="-5"/>
                <w:sz w:val="20"/>
              </w:rPr>
              <w:t>of)</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64</w:t>
            </w:r>
          </w:p>
        </w:tc>
        <w:tc>
          <w:tcPr>
            <w:tcW w:w="2527" w:type="dxa"/>
          </w:tcPr>
          <w:p>
            <w:pPr>
              <w:pStyle w:val="TableParagraph"/>
              <w:spacing w:line="223" w:lineRule="exact" w:before="1"/>
              <w:ind w:left="108"/>
              <w:rPr>
                <w:rFonts w:ascii="Calibri"/>
                <w:sz w:val="20"/>
              </w:rPr>
            </w:pPr>
            <w:r>
              <w:rPr>
                <w:rFonts w:ascii="Calibri"/>
                <w:spacing w:val="-2"/>
                <w:sz w:val="20"/>
              </w:rPr>
              <w:t>Powersite</w:t>
            </w:r>
            <w:r>
              <w:rPr>
                <w:rFonts w:ascii="Calibri"/>
                <w:spacing w:val="9"/>
                <w:sz w:val="20"/>
              </w:rPr>
              <w:t> </w:t>
            </w:r>
            <w:r>
              <w:rPr>
                <w:rFonts w:ascii="Calibri"/>
                <w:spacing w:val="-2"/>
                <w:sz w:val="20"/>
              </w:rPr>
              <w:t>Classification</w:t>
            </w:r>
            <w:r>
              <w:rPr>
                <w:rFonts w:ascii="Calibri"/>
                <w:spacing w:val="12"/>
                <w:sz w:val="20"/>
              </w:rPr>
              <w:t> </w:t>
            </w:r>
            <w:r>
              <w:rPr>
                <w:rFonts w:ascii="Calibri"/>
                <w:spacing w:val="-5"/>
                <w:sz w:val="20"/>
              </w:rPr>
              <w:t>373</w:t>
            </w:r>
          </w:p>
        </w:tc>
        <w:tc>
          <w:tcPr>
            <w:tcW w:w="2145" w:type="dxa"/>
          </w:tcPr>
          <w:p>
            <w:pPr>
              <w:pStyle w:val="TableParagraph"/>
              <w:spacing w:line="223" w:lineRule="exact"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32</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12,</w:t>
            </w:r>
            <w:r>
              <w:rPr>
                <w:rFonts w:ascii="Calibri" w:hAnsi="Calibri"/>
                <w:spacing w:val="-4"/>
                <w:sz w:val="20"/>
              </w:rPr>
              <w:t> </w:t>
            </w:r>
            <w:r>
              <w:rPr>
                <w:rFonts w:ascii="Calibri" w:hAnsi="Calibri"/>
                <w:spacing w:val="-2"/>
                <w:sz w:val="20"/>
              </w:rPr>
              <w:t>NE¼SW¼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bl>
    <w:p>
      <w:pPr>
        <w:pStyle w:val="TableParagraph"/>
        <w:spacing w:after="0" w:line="223" w:lineRule="exact"/>
        <w:jc w:val="center"/>
        <w:rPr>
          <w:rFonts w:ascii="Calibri"/>
          <w:sz w:val="20"/>
        </w:rPr>
        <w:sectPr>
          <w:pgSz w:w="15840" w:h="12240" w:orient="landscape"/>
          <w:pgMar w:header="725" w:footer="891" w:top="1440" w:bottom="1080" w:left="1080" w:right="360"/>
        </w:sectPr>
      </w:pPr>
    </w:p>
    <w:p>
      <w:pPr>
        <w:pStyle w:val="BodyText"/>
        <w:spacing w:before="169"/>
        <w:rPr>
          <w:sz w:val="20"/>
        </w:r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3"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w:t>
            </w:r>
            <w:bookmarkStart w:name="_bookmark337" w:id="1022"/>
            <w:bookmarkEnd w:id="1022"/>
            <w:r>
              <w:rPr>
                <w:b/>
                <w:sz w:val="18"/>
              </w:rPr>
              <w:t>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20</w:t>
            </w:r>
          </w:p>
        </w:tc>
        <w:tc>
          <w:tcPr>
            <w:tcW w:w="2527" w:type="dxa"/>
          </w:tcPr>
          <w:p>
            <w:pPr>
              <w:pStyle w:val="TableParagraph"/>
              <w:spacing w:line="240" w:lineRule="atLeast" w:before="0"/>
              <w:ind w:left="108"/>
              <w:rPr>
                <w:rFonts w:ascii="Calibri"/>
                <w:sz w:val="20"/>
              </w:rPr>
            </w:pPr>
            <w:r>
              <w:rPr>
                <w:rFonts w:ascii="Calibri"/>
                <w:sz w:val="20"/>
              </w:rPr>
              <w:t>Deer</w:t>
            </w:r>
            <w:r>
              <w:rPr>
                <w:rFonts w:ascii="Calibri"/>
                <w:spacing w:val="-12"/>
                <w:sz w:val="20"/>
              </w:rPr>
              <w:t> </w:t>
            </w:r>
            <w:r>
              <w:rPr>
                <w:rFonts w:ascii="Calibri"/>
                <w:sz w:val="20"/>
              </w:rPr>
              <w:t>Creek</w:t>
            </w:r>
            <w:r>
              <w:rPr>
                <w:rFonts w:ascii="Calibri"/>
                <w:spacing w:val="-11"/>
                <w:sz w:val="20"/>
              </w:rPr>
              <w:t> </w:t>
            </w:r>
            <w:r>
              <w:rPr>
                <w:rFonts w:ascii="Calibri"/>
                <w:sz w:val="20"/>
              </w:rPr>
              <w:t>Summit </w:t>
            </w:r>
            <w:r>
              <w:rPr>
                <w:rFonts w:ascii="Calibri"/>
                <w:spacing w:val="-2"/>
                <w:sz w:val="20"/>
              </w:rPr>
              <w:t>Campground</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Un-surveyed</w:t>
            </w:r>
            <w:r>
              <w:rPr>
                <w:rFonts w:ascii="Calibri" w:hAnsi="Calibri"/>
                <w:spacing w:val="-7"/>
                <w:sz w:val="20"/>
              </w:rPr>
              <w:t> </w:t>
            </w:r>
            <w:r>
              <w:rPr>
                <w:rFonts w:ascii="Calibri" w:hAnsi="Calibri"/>
                <w:sz w:val="20"/>
              </w:rPr>
              <w:t>Sec.</w:t>
            </w:r>
            <w:r>
              <w:rPr>
                <w:rFonts w:ascii="Calibri" w:hAnsi="Calibri"/>
                <w:spacing w:val="-8"/>
                <w:sz w:val="20"/>
              </w:rPr>
              <w:t> </w:t>
            </w:r>
            <w:r>
              <w:rPr>
                <w:rFonts w:ascii="Calibri" w:hAnsi="Calibri"/>
                <w:sz w:val="20"/>
              </w:rPr>
              <w:t>20,</w:t>
            </w:r>
            <w:r>
              <w:rPr>
                <w:rFonts w:ascii="Calibri" w:hAnsi="Calibri"/>
                <w:spacing w:val="-7"/>
                <w:sz w:val="20"/>
              </w:rPr>
              <w:t> </w:t>
            </w:r>
            <w:r>
              <w:rPr>
                <w:rFonts w:ascii="Calibri" w:hAnsi="Calibri"/>
                <w:spacing w:val="-2"/>
                <w:sz w:val="20"/>
              </w:rPr>
              <w:t>SE¼NE¼</w:t>
            </w:r>
          </w:p>
        </w:tc>
        <w:tc>
          <w:tcPr>
            <w:tcW w:w="900" w:type="dxa"/>
          </w:tcPr>
          <w:p>
            <w:pPr>
              <w:pStyle w:val="TableParagraph"/>
              <w:spacing w:before="1"/>
              <w:ind w:left="7"/>
              <w:jc w:val="center"/>
              <w:rPr>
                <w:rFonts w:ascii="Calibri"/>
                <w:sz w:val="20"/>
              </w:rPr>
            </w:pPr>
            <w:r>
              <w:rPr>
                <w:rFonts w:ascii="Calibri"/>
                <w:spacing w:val="-5"/>
                <w:sz w:val="20"/>
              </w:rPr>
              <w:t>40</w:t>
            </w:r>
          </w:p>
        </w:tc>
      </w:tr>
      <w:tr>
        <w:trPr>
          <w:trHeight w:val="241"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52</w:t>
            </w:r>
          </w:p>
        </w:tc>
        <w:tc>
          <w:tcPr>
            <w:tcW w:w="2527" w:type="dxa"/>
          </w:tcPr>
          <w:p>
            <w:pPr>
              <w:pStyle w:val="TableParagraph"/>
              <w:spacing w:line="222" w:lineRule="exact" w:before="0"/>
              <w:ind w:left="108"/>
              <w:rPr>
                <w:rFonts w:ascii="Calibri"/>
                <w:sz w:val="20"/>
              </w:rPr>
            </w:pPr>
            <w:r>
              <w:rPr>
                <w:rFonts w:ascii="Calibri"/>
                <w:sz w:val="20"/>
              </w:rPr>
              <w:t>Marble</w:t>
            </w:r>
            <w:r>
              <w:rPr>
                <w:rFonts w:ascii="Calibri"/>
                <w:spacing w:val="-8"/>
                <w:sz w:val="20"/>
              </w:rPr>
              <w:t> </w:t>
            </w:r>
            <w:r>
              <w:rPr>
                <w:rFonts w:ascii="Calibri"/>
                <w:spacing w:val="-2"/>
                <w:sz w:val="20"/>
              </w:rPr>
              <w:t>Lookout</w:t>
            </w:r>
          </w:p>
        </w:tc>
        <w:tc>
          <w:tcPr>
            <w:tcW w:w="2145" w:type="dxa"/>
          </w:tcPr>
          <w:p>
            <w:pPr>
              <w:pStyle w:val="TableParagraph"/>
              <w:spacing w:line="222" w:lineRule="exact" w:before="0"/>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35</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sz w:val="20"/>
              </w:rPr>
            </w:pPr>
            <w:r>
              <w:rPr>
                <w:rFonts w:ascii="Calibri"/>
                <w:sz w:val="20"/>
              </w:rPr>
              <w:t>Un-surveyed</w:t>
            </w:r>
            <w:r>
              <w:rPr>
                <w:rFonts w:ascii="Calibri"/>
                <w:spacing w:val="-7"/>
                <w:sz w:val="20"/>
              </w:rPr>
              <w:t> </w:t>
            </w:r>
            <w:r>
              <w:rPr>
                <w:rFonts w:ascii="Calibri"/>
                <w:sz w:val="20"/>
              </w:rPr>
              <w:t>Sec.</w:t>
            </w:r>
            <w:r>
              <w:rPr>
                <w:rFonts w:ascii="Calibri"/>
                <w:spacing w:val="-7"/>
                <w:sz w:val="20"/>
              </w:rPr>
              <w:t> </w:t>
            </w:r>
            <w:r>
              <w:rPr>
                <w:rFonts w:ascii="Calibri"/>
                <w:sz w:val="20"/>
              </w:rPr>
              <w:t>4,</w:t>
            </w:r>
            <w:r>
              <w:rPr>
                <w:rFonts w:ascii="Calibri"/>
                <w:spacing w:val="-6"/>
                <w:sz w:val="20"/>
              </w:rPr>
              <w:t> </w:t>
            </w:r>
            <w:r>
              <w:rPr>
                <w:rFonts w:ascii="Calibri"/>
                <w:spacing w:val="-5"/>
                <w:sz w:val="20"/>
              </w:rPr>
              <w:t>M&amp;B</w:t>
            </w:r>
          </w:p>
        </w:tc>
        <w:tc>
          <w:tcPr>
            <w:tcW w:w="900" w:type="dxa"/>
          </w:tcPr>
          <w:p>
            <w:pPr>
              <w:pStyle w:val="TableParagraph"/>
              <w:spacing w:line="222" w:lineRule="exact" w:before="0"/>
              <w:ind w:left="7"/>
              <w:jc w:val="center"/>
              <w:rPr>
                <w:rFonts w:ascii="Calibri"/>
                <w:sz w:val="20"/>
              </w:rPr>
            </w:pPr>
            <w:r>
              <w:rPr>
                <w:rFonts w:ascii="Calibri"/>
                <w:spacing w:val="-5"/>
                <w:sz w:val="20"/>
              </w:rPr>
              <w:t>10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53</w:t>
            </w:r>
          </w:p>
        </w:tc>
        <w:tc>
          <w:tcPr>
            <w:tcW w:w="2527" w:type="dxa"/>
          </w:tcPr>
          <w:p>
            <w:pPr>
              <w:pStyle w:val="TableParagraph"/>
              <w:spacing w:line="240" w:lineRule="atLeast" w:before="0"/>
              <w:ind w:left="108" w:right="185"/>
              <w:rPr>
                <w:rFonts w:ascii="Calibri"/>
                <w:sz w:val="20"/>
              </w:rPr>
            </w:pPr>
            <w:r>
              <w:rPr>
                <w:rFonts w:ascii="Calibri"/>
                <w:sz w:val="20"/>
              </w:rPr>
              <w:t>Martin</w:t>
            </w:r>
            <w:r>
              <w:rPr>
                <w:rFonts w:ascii="Calibri"/>
                <w:spacing w:val="-12"/>
                <w:sz w:val="20"/>
              </w:rPr>
              <w:t> </w:t>
            </w:r>
            <w:r>
              <w:rPr>
                <w:rFonts w:ascii="Calibri"/>
                <w:sz w:val="20"/>
              </w:rPr>
              <w:t>Cr.</w:t>
            </w:r>
            <w:r>
              <w:rPr>
                <w:rFonts w:ascii="Calibri"/>
                <w:spacing w:val="-11"/>
                <w:sz w:val="20"/>
              </w:rPr>
              <w:t> </w:t>
            </w:r>
            <w:r>
              <w:rPr>
                <w:rFonts w:ascii="Calibri"/>
                <w:sz w:val="20"/>
              </w:rPr>
              <w:t>Admin.</w:t>
            </w:r>
            <w:r>
              <w:rPr>
                <w:rFonts w:ascii="Calibri"/>
                <w:spacing w:val="-11"/>
                <w:sz w:val="20"/>
              </w:rPr>
              <w:t> </w:t>
            </w:r>
            <w:r>
              <w:rPr>
                <w:rFonts w:ascii="Calibri"/>
                <w:sz w:val="20"/>
              </w:rPr>
              <w:t>Site </w:t>
            </w:r>
            <w:r>
              <w:rPr>
                <w:rFonts w:ascii="Calibri"/>
                <w:spacing w:val="-2"/>
                <w:sz w:val="20"/>
              </w:rPr>
              <w:t>(Orient)</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10,</w:t>
            </w:r>
            <w:r>
              <w:rPr>
                <w:rFonts w:ascii="Calibri" w:hAnsi="Calibri"/>
                <w:spacing w:val="-6"/>
                <w:sz w:val="20"/>
              </w:rPr>
              <w:t> </w:t>
            </w:r>
            <w:r>
              <w:rPr>
                <w:rFonts w:ascii="Calibri" w:hAnsi="Calibri"/>
                <w:sz w:val="20"/>
              </w:rPr>
              <w:t>SW¼SE¼,</w:t>
            </w:r>
            <w:r>
              <w:rPr>
                <w:rFonts w:ascii="Calibri" w:hAnsi="Calibri"/>
                <w:spacing w:val="-6"/>
                <w:sz w:val="20"/>
              </w:rPr>
              <w:t> </w:t>
            </w:r>
            <w:r>
              <w:rPr>
                <w:rFonts w:ascii="Calibri" w:hAnsi="Calibri"/>
                <w:sz w:val="20"/>
              </w:rPr>
              <w:t>E½SE¼</w:t>
            </w:r>
            <w:r>
              <w:rPr>
                <w:rFonts w:ascii="Calibri" w:hAnsi="Calibri"/>
                <w:spacing w:val="-7"/>
                <w:sz w:val="20"/>
              </w:rPr>
              <w:t> </w:t>
            </w:r>
            <w:r>
              <w:rPr>
                <w:rFonts w:ascii="Calibri" w:hAnsi="Calibri"/>
                <w:sz w:val="20"/>
              </w:rPr>
              <w:t>except</w:t>
            </w:r>
            <w:r>
              <w:rPr>
                <w:rFonts w:ascii="Calibri" w:hAnsi="Calibri"/>
                <w:spacing w:val="-7"/>
                <w:sz w:val="20"/>
              </w:rPr>
              <w:t> </w:t>
            </w:r>
            <w:r>
              <w:rPr>
                <w:rFonts w:ascii="Calibri" w:hAnsi="Calibri"/>
                <w:sz w:val="20"/>
              </w:rPr>
              <w:t>Exchange</w:t>
            </w:r>
            <w:r>
              <w:rPr>
                <w:rFonts w:ascii="Calibri" w:hAnsi="Calibri"/>
                <w:spacing w:val="-8"/>
                <w:sz w:val="20"/>
              </w:rPr>
              <w:t> </w:t>
            </w:r>
            <w:r>
              <w:rPr>
                <w:rFonts w:ascii="Calibri" w:hAnsi="Calibri"/>
                <w:sz w:val="20"/>
              </w:rPr>
              <w:t>Survey 282 Comprising 14.91 acres; Sec. 15, NW¼NE¼</w:t>
            </w:r>
          </w:p>
        </w:tc>
        <w:tc>
          <w:tcPr>
            <w:tcW w:w="900" w:type="dxa"/>
          </w:tcPr>
          <w:p>
            <w:pPr>
              <w:pStyle w:val="TableParagraph"/>
              <w:spacing w:before="1"/>
              <w:ind w:left="7"/>
              <w:jc w:val="center"/>
              <w:rPr>
                <w:rFonts w:ascii="Calibri"/>
                <w:sz w:val="20"/>
              </w:rPr>
            </w:pPr>
            <w:r>
              <w:rPr>
                <w:rFonts w:ascii="Calibri"/>
                <w:spacing w:val="-5"/>
                <w:sz w:val="20"/>
              </w:rPr>
              <w:t>145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29</w:t>
            </w:r>
          </w:p>
        </w:tc>
        <w:tc>
          <w:tcPr>
            <w:tcW w:w="2527" w:type="dxa"/>
          </w:tcPr>
          <w:p>
            <w:pPr>
              <w:pStyle w:val="TableParagraph"/>
              <w:spacing w:line="223" w:lineRule="exact" w:before="1"/>
              <w:ind w:left="108"/>
              <w:rPr>
                <w:rFonts w:ascii="Calibri"/>
                <w:sz w:val="20"/>
              </w:rPr>
            </w:pPr>
            <w:r>
              <w:rPr>
                <w:rFonts w:ascii="Calibri"/>
                <w:sz w:val="20"/>
              </w:rPr>
              <w:t>First</w:t>
            </w:r>
            <w:r>
              <w:rPr>
                <w:rFonts w:ascii="Calibri"/>
                <w:spacing w:val="-9"/>
                <w:sz w:val="20"/>
              </w:rPr>
              <w:t> </w:t>
            </w:r>
            <w:r>
              <w:rPr>
                <w:rFonts w:ascii="Calibri"/>
                <w:sz w:val="20"/>
              </w:rPr>
              <w:t>Thought</w:t>
            </w:r>
            <w:r>
              <w:rPr>
                <w:rFonts w:ascii="Calibri"/>
                <w:spacing w:val="-9"/>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37</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7,</w:t>
            </w:r>
            <w:r>
              <w:rPr>
                <w:rFonts w:ascii="Calibri" w:hAnsi="Calibri"/>
                <w:spacing w:val="-4"/>
                <w:sz w:val="20"/>
              </w:rPr>
              <w:t> </w:t>
            </w:r>
            <w:r>
              <w:rPr>
                <w:rFonts w:ascii="Calibri" w:hAnsi="Calibri"/>
                <w:sz w:val="20"/>
              </w:rPr>
              <w:t>NE¼SW¼</w:t>
            </w:r>
            <w:r>
              <w:rPr>
                <w:rFonts w:ascii="Calibri" w:hAnsi="Calibri"/>
                <w:spacing w:val="-5"/>
                <w:sz w:val="20"/>
              </w:rPr>
              <w:t> M&amp;B</w:t>
            </w:r>
          </w:p>
        </w:tc>
        <w:tc>
          <w:tcPr>
            <w:tcW w:w="900" w:type="dxa"/>
          </w:tcPr>
          <w:p>
            <w:pPr>
              <w:pStyle w:val="TableParagraph"/>
              <w:spacing w:line="223" w:lineRule="exact" w:before="1"/>
              <w:ind w:left="7"/>
              <w:jc w:val="center"/>
              <w:rPr>
                <w:rFonts w:ascii="Calibri"/>
                <w:sz w:val="20"/>
              </w:rPr>
            </w:pPr>
            <w:r>
              <w:rPr>
                <w:rFonts w:ascii="Calibri"/>
                <w:spacing w:val="-5"/>
                <w:sz w:val="20"/>
              </w:rPr>
              <w:t>10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61</w:t>
            </w:r>
          </w:p>
        </w:tc>
        <w:tc>
          <w:tcPr>
            <w:tcW w:w="2527" w:type="dxa"/>
          </w:tcPr>
          <w:p>
            <w:pPr>
              <w:pStyle w:val="TableParagraph"/>
              <w:spacing w:line="223" w:lineRule="exact" w:before="1"/>
              <w:ind w:left="108"/>
              <w:rPr>
                <w:rFonts w:ascii="Calibri"/>
                <w:sz w:val="20"/>
              </w:rPr>
            </w:pPr>
            <w:r>
              <w:rPr>
                <w:rFonts w:ascii="Calibri"/>
                <w:sz w:val="20"/>
              </w:rPr>
              <w:t>Pierre</w:t>
            </w:r>
            <w:r>
              <w:rPr>
                <w:rFonts w:ascii="Calibri"/>
                <w:spacing w:val="-8"/>
                <w:sz w:val="20"/>
              </w:rPr>
              <w:t> </w:t>
            </w:r>
            <w:r>
              <w:rPr>
                <w:rFonts w:ascii="Calibri"/>
                <w:spacing w:val="-4"/>
                <w:sz w:val="20"/>
              </w:rPr>
              <w:t>Lake</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37</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5"/>
                <w:sz w:val="20"/>
              </w:rPr>
              <w:t> </w:t>
            </w:r>
            <w:r>
              <w:rPr>
                <w:rFonts w:ascii="Calibri"/>
                <w:sz w:val="20"/>
              </w:rPr>
              <w:t>5,</w:t>
            </w:r>
            <w:r>
              <w:rPr>
                <w:rFonts w:ascii="Calibri"/>
                <w:spacing w:val="-3"/>
                <w:sz w:val="20"/>
              </w:rPr>
              <w:t> </w:t>
            </w:r>
            <w:r>
              <w:rPr>
                <w:rFonts w:ascii="Calibri"/>
                <w:sz w:val="20"/>
              </w:rPr>
              <w:t>Lots</w:t>
            </w:r>
            <w:r>
              <w:rPr>
                <w:rFonts w:ascii="Calibri"/>
                <w:spacing w:val="-5"/>
                <w:sz w:val="20"/>
              </w:rPr>
              <w:t> </w:t>
            </w:r>
            <w:r>
              <w:rPr>
                <w:rFonts w:ascii="Calibri"/>
                <w:sz w:val="20"/>
              </w:rPr>
              <w:t>5-10</w:t>
            </w:r>
            <w:r>
              <w:rPr>
                <w:rFonts w:ascii="Calibri"/>
                <w:spacing w:val="-4"/>
                <w:sz w:val="20"/>
              </w:rPr>
              <w:t> </w:t>
            </w:r>
            <w:r>
              <w:rPr>
                <w:rFonts w:ascii="Calibri"/>
                <w:spacing w:val="-2"/>
                <w:sz w:val="20"/>
              </w:rPr>
              <w:t>inclusive</w:t>
            </w:r>
          </w:p>
        </w:tc>
        <w:tc>
          <w:tcPr>
            <w:tcW w:w="900" w:type="dxa"/>
          </w:tcPr>
          <w:p>
            <w:pPr>
              <w:pStyle w:val="TableParagraph"/>
              <w:spacing w:line="223" w:lineRule="exact" w:before="1"/>
              <w:ind w:left="7" w:right="3"/>
              <w:jc w:val="center"/>
              <w:rPr>
                <w:rFonts w:ascii="Calibri"/>
                <w:sz w:val="20"/>
              </w:rPr>
            </w:pPr>
            <w:r>
              <w:rPr>
                <w:rFonts w:ascii="Calibri"/>
                <w:spacing w:val="-2"/>
                <w:sz w:val="20"/>
              </w:rPr>
              <w:t>27.25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30</w:t>
            </w:r>
          </w:p>
        </w:tc>
        <w:tc>
          <w:tcPr>
            <w:tcW w:w="2527" w:type="dxa"/>
          </w:tcPr>
          <w:p>
            <w:pPr>
              <w:pStyle w:val="TableParagraph"/>
              <w:spacing w:line="223" w:lineRule="exact" w:before="1"/>
              <w:ind w:left="108"/>
              <w:rPr>
                <w:rFonts w:ascii="Calibri"/>
                <w:sz w:val="20"/>
              </w:rPr>
            </w:pPr>
            <w:r>
              <w:rPr>
                <w:rFonts w:ascii="Calibri"/>
                <w:spacing w:val="-2"/>
                <w:sz w:val="20"/>
              </w:rPr>
              <w:t>Flagstaff</w:t>
            </w:r>
            <w:r>
              <w:rPr>
                <w:rFonts w:ascii="Calibri"/>
                <w:spacing w:val="6"/>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39</w:t>
            </w:r>
            <w:r>
              <w:rPr>
                <w:rFonts w:ascii="Calibri"/>
                <w:spacing w:val="-3"/>
                <w:sz w:val="20"/>
              </w:rPr>
              <w:t> </w:t>
            </w:r>
            <w:r>
              <w:rPr>
                <w:rFonts w:ascii="Calibri"/>
                <w:spacing w:val="-5"/>
                <w:sz w:val="20"/>
              </w:rPr>
              <w:t>E.</w:t>
            </w:r>
          </w:p>
        </w:tc>
        <w:tc>
          <w:tcPr>
            <w:tcW w:w="4315" w:type="dxa"/>
          </w:tcPr>
          <w:p>
            <w:pPr>
              <w:pStyle w:val="TableParagraph"/>
              <w:spacing w:line="223" w:lineRule="exact" w:before="1"/>
              <w:ind w:left="155"/>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5,</w:t>
            </w:r>
            <w:r>
              <w:rPr>
                <w:rFonts w:ascii="Calibri" w:hAnsi="Calibri"/>
                <w:spacing w:val="-3"/>
                <w:sz w:val="20"/>
              </w:rPr>
              <w:t> </w:t>
            </w:r>
            <w:r>
              <w:rPr>
                <w:rFonts w:ascii="Calibri" w:hAnsi="Calibri"/>
                <w:spacing w:val="-2"/>
                <w:sz w:val="20"/>
              </w:rPr>
              <w:t>SE¼NE¼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60</w:t>
            </w:r>
          </w:p>
        </w:tc>
        <w:tc>
          <w:tcPr>
            <w:tcW w:w="2527" w:type="dxa"/>
          </w:tcPr>
          <w:p>
            <w:pPr>
              <w:pStyle w:val="TableParagraph"/>
              <w:spacing w:line="243" w:lineRule="exact" w:before="1"/>
              <w:ind w:left="108"/>
              <w:rPr>
                <w:rFonts w:ascii="Calibri"/>
                <w:sz w:val="20"/>
              </w:rPr>
            </w:pPr>
            <w:r>
              <w:rPr>
                <w:rFonts w:ascii="Calibri"/>
                <w:sz w:val="20"/>
              </w:rPr>
              <w:t>Pepoon</w:t>
            </w:r>
            <w:r>
              <w:rPr>
                <w:rFonts w:ascii="Calibri"/>
                <w:spacing w:val="-5"/>
                <w:sz w:val="20"/>
              </w:rPr>
              <w:t> </w:t>
            </w:r>
            <w:r>
              <w:rPr>
                <w:rFonts w:ascii="Calibri"/>
                <w:sz w:val="20"/>
              </w:rPr>
              <w:t>Lake</w:t>
            </w:r>
            <w:r>
              <w:rPr>
                <w:rFonts w:ascii="Calibri"/>
                <w:spacing w:val="-6"/>
                <w:sz w:val="20"/>
              </w:rPr>
              <w:t> </w:t>
            </w:r>
            <w:r>
              <w:rPr>
                <w:rFonts w:ascii="Calibri"/>
                <w:spacing w:val="-2"/>
                <w:sz w:val="20"/>
              </w:rPr>
              <w:t>Recreation</w:t>
            </w:r>
          </w:p>
          <w:p>
            <w:pPr>
              <w:pStyle w:val="TableParagraph"/>
              <w:spacing w:line="222" w:lineRule="exact" w:before="0"/>
              <w:ind w:left="108"/>
              <w:rPr>
                <w:rFonts w:ascii="Calibri"/>
                <w:sz w:val="20"/>
              </w:rPr>
            </w:pP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39</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6,</w:t>
            </w:r>
            <w:r>
              <w:rPr>
                <w:rFonts w:ascii="Calibri" w:hAnsi="Calibri"/>
                <w:spacing w:val="-3"/>
                <w:sz w:val="20"/>
              </w:rPr>
              <w:t> </w:t>
            </w:r>
            <w:r>
              <w:rPr>
                <w:rFonts w:ascii="Calibri" w:hAnsi="Calibri"/>
                <w:spacing w:val="-2"/>
                <w:sz w:val="20"/>
              </w:rPr>
              <w:t>W½SE¼</w:t>
            </w:r>
          </w:p>
        </w:tc>
        <w:tc>
          <w:tcPr>
            <w:tcW w:w="900" w:type="dxa"/>
          </w:tcPr>
          <w:p>
            <w:pPr>
              <w:pStyle w:val="TableParagraph"/>
              <w:spacing w:before="1"/>
              <w:ind w:left="7"/>
              <w:jc w:val="center"/>
              <w:rPr>
                <w:rFonts w:ascii="Calibri"/>
                <w:sz w:val="20"/>
              </w:rPr>
            </w:pPr>
            <w:r>
              <w:rPr>
                <w:rFonts w:ascii="Calibri"/>
                <w:spacing w:val="-5"/>
                <w:sz w:val="20"/>
              </w:rPr>
              <w:t>80</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26</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2144</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6"/>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2,</w:t>
            </w:r>
            <w:r>
              <w:rPr>
                <w:rFonts w:ascii="Calibri"/>
                <w:spacing w:val="-3"/>
                <w:sz w:val="20"/>
              </w:rPr>
              <w:t> </w:t>
            </w:r>
            <w:r>
              <w:rPr>
                <w:rFonts w:ascii="Calibri"/>
                <w:sz w:val="20"/>
              </w:rPr>
              <w:t>3,</w:t>
            </w:r>
            <w:r>
              <w:rPr>
                <w:rFonts w:ascii="Calibri"/>
                <w:spacing w:val="-3"/>
                <w:sz w:val="20"/>
              </w:rPr>
              <w:t> </w:t>
            </w:r>
            <w:r>
              <w:rPr>
                <w:rFonts w:ascii="Calibri"/>
                <w:sz w:val="20"/>
              </w:rPr>
              <w:t>10,</w:t>
            </w:r>
            <w:r>
              <w:rPr>
                <w:rFonts w:ascii="Calibri"/>
                <w:spacing w:val="-3"/>
                <w:sz w:val="20"/>
              </w:rPr>
              <w:t> </w:t>
            </w:r>
            <w:r>
              <w:rPr>
                <w:rFonts w:ascii="Calibri"/>
                <w:sz w:val="20"/>
              </w:rPr>
              <w:t>11,</w:t>
            </w:r>
            <w:r>
              <w:rPr>
                <w:rFonts w:ascii="Calibri"/>
                <w:spacing w:val="-2"/>
                <w:sz w:val="20"/>
              </w:rPr>
              <w:t> </w:t>
            </w:r>
            <w:r>
              <w:rPr>
                <w:rFonts w:ascii="Calibri"/>
                <w:sz w:val="20"/>
              </w:rPr>
              <w:t>15,</w:t>
            </w:r>
            <w:r>
              <w:rPr>
                <w:rFonts w:ascii="Calibri"/>
                <w:spacing w:val="-3"/>
                <w:sz w:val="20"/>
              </w:rPr>
              <w:t> </w:t>
            </w:r>
            <w:r>
              <w:rPr>
                <w:rFonts w:ascii="Calibri"/>
                <w:sz w:val="20"/>
              </w:rPr>
              <w:t>22,</w:t>
            </w:r>
            <w:r>
              <w:rPr>
                <w:rFonts w:ascii="Calibri"/>
                <w:spacing w:val="-3"/>
                <w:sz w:val="20"/>
              </w:rPr>
              <w:t> </w:t>
            </w:r>
            <w:r>
              <w:rPr>
                <w:rFonts w:ascii="Calibri"/>
                <w:sz w:val="20"/>
              </w:rPr>
              <w:t>24,</w:t>
            </w:r>
            <w:r>
              <w:rPr>
                <w:rFonts w:ascii="Calibri"/>
                <w:spacing w:val="-3"/>
                <w:sz w:val="20"/>
              </w:rPr>
              <w:t> </w:t>
            </w:r>
            <w:r>
              <w:rPr>
                <w:rFonts w:ascii="Calibri"/>
                <w:sz w:val="20"/>
              </w:rPr>
              <w:t>and</w:t>
            </w:r>
            <w:r>
              <w:rPr>
                <w:rFonts w:ascii="Calibri"/>
                <w:spacing w:val="-4"/>
                <w:sz w:val="20"/>
              </w:rPr>
              <w:t> </w:t>
            </w:r>
            <w:r>
              <w:rPr>
                <w:rFonts w:ascii="Calibri"/>
                <w:spacing w:val="-5"/>
                <w:sz w:val="20"/>
              </w:rPr>
              <w:t>26</w:t>
            </w:r>
          </w:p>
        </w:tc>
        <w:tc>
          <w:tcPr>
            <w:tcW w:w="900" w:type="dxa"/>
          </w:tcPr>
          <w:p>
            <w:pPr>
              <w:pStyle w:val="TableParagraph"/>
              <w:spacing w:before="1"/>
              <w:ind w:left="7" w:right="3"/>
              <w:jc w:val="center"/>
              <w:rPr>
                <w:rFonts w:ascii="Calibri"/>
                <w:sz w:val="20"/>
              </w:rPr>
            </w:pPr>
            <w:r>
              <w:rPr>
                <w:rFonts w:ascii="Calibri"/>
                <w:spacing w:val="-2"/>
                <w:sz w:val="20"/>
              </w:rPr>
              <w:t>609.24</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36</w:t>
            </w:r>
          </w:p>
        </w:tc>
        <w:tc>
          <w:tcPr>
            <w:tcW w:w="2527" w:type="dxa"/>
          </w:tcPr>
          <w:p>
            <w:pPr>
              <w:pStyle w:val="TableParagraph"/>
              <w:spacing w:line="223" w:lineRule="exact" w:before="1"/>
              <w:ind w:left="108"/>
              <w:rPr>
                <w:rFonts w:ascii="Calibri"/>
                <w:sz w:val="20"/>
              </w:rPr>
            </w:pPr>
            <w:r>
              <w:rPr>
                <w:rFonts w:ascii="Calibri"/>
                <w:sz w:val="20"/>
              </w:rPr>
              <w:t>Halliday</w:t>
            </w:r>
            <w:r>
              <w:rPr>
                <w:rFonts w:ascii="Calibri"/>
                <w:spacing w:val="-7"/>
                <w:sz w:val="20"/>
              </w:rPr>
              <w:t> </w:t>
            </w:r>
            <w:r>
              <w:rPr>
                <w:rFonts w:ascii="Calibri"/>
                <w:sz w:val="20"/>
              </w:rPr>
              <w:t>Fen</w:t>
            </w:r>
            <w:r>
              <w:rPr>
                <w:rFonts w:ascii="Calibri"/>
                <w:spacing w:val="-6"/>
                <w:sz w:val="20"/>
              </w:rPr>
              <w:t> </w:t>
            </w:r>
            <w:r>
              <w:rPr>
                <w:rFonts w:ascii="Calibri"/>
                <w:spacing w:val="-2"/>
                <w:sz w:val="20"/>
              </w:rPr>
              <w:t>RNA</w:t>
            </w:r>
            <w:hyperlink w:history="true" w:anchor="_bookmark337">
              <w:r>
                <w:rPr>
                  <w:rFonts w:ascii="Calibri"/>
                  <w:spacing w:val="-2"/>
                  <w:sz w:val="20"/>
                  <w:vertAlign w:val="superscript"/>
                </w:rPr>
                <w:t>35</w:t>
              </w:r>
            </w:hyperlink>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4"/>
                <w:sz w:val="20"/>
              </w:rPr>
              <w:t> </w:t>
            </w:r>
            <w:r>
              <w:rPr>
                <w:rFonts w:ascii="Calibri"/>
                <w:sz w:val="20"/>
              </w:rPr>
              <w:t>1,</w:t>
            </w:r>
            <w:r>
              <w:rPr>
                <w:rFonts w:ascii="Calibri"/>
                <w:spacing w:val="-2"/>
                <w:sz w:val="20"/>
              </w:rPr>
              <w:t> </w:t>
            </w:r>
            <w:r>
              <w:rPr>
                <w:rFonts w:ascii="Calibri"/>
                <w:sz w:val="20"/>
              </w:rPr>
              <w:t>Lot</w:t>
            </w:r>
            <w:r>
              <w:rPr>
                <w:rFonts w:ascii="Calibri"/>
                <w:spacing w:val="-3"/>
                <w:sz w:val="20"/>
              </w:rPr>
              <w:t> </w:t>
            </w:r>
            <w:r>
              <w:rPr>
                <w:rFonts w:ascii="Calibri"/>
                <w:sz w:val="20"/>
              </w:rPr>
              <w:t>1</w:t>
            </w:r>
            <w:r>
              <w:rPr>
                <w:rFonts w:ascii="Calibri"/>
                <w:spacing w:val="-3"/>
                <w:sz w:val="20"/>
              </w:rPr>
              <w:t> </w:t>
            </w:r>
            <w:r>
              <w:rPr>
                <w:rFonts w:ascii="Calibri"/>
                <w:spacing w:val="-5"/>
                <w:sz w:val="20"/>
              </w:rPr>
              <w:t>M&amp;B</w:t>
            </w:r>
          </w:p>
        </w:tc>
        <w:tc>
          <w:tcPr>
            <w:tcW w:w="900" w:type="dxa"/>
          </w:tcPr>
          <w:p>
            <w:pPr>
              <w:pStyle w:val="TableParagraph"/>
              <w:spacing w:line="223" w:lineRule="exact" w:before="1"/>
              <w:ind w:left="7" w:right="3"/>
              <w:jc w:val="center"/>
              <w:rPr>
                <w:rFonts w:ascii="Calibri"/>
                <w:sz w:val="20"/>
              </w:rPr>
            </w:pPr>
            <w:r>
              <w:rPr>
                <w:rFonts w:ascii="Calibri"/>
                <w:spacing w:val="-2"/>
                <w:sz w:val="20"/>
              </w:rPr>
              <w:t>646.4</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63</w:t>
            </w:r>
          </w:p>
        </w:tc>
        <w:tc>
          <w:tcPr>
            <w:tcW w:w="2527" w:type="dxa"/>
          </w:tcPr>
          <w:p>
            <w:pPr>
              <w:pStyle w:val="TableParagraph"/>
              <w:spacing w:line="223" w:lineRule="exact" w:before="1"/>
              <w:ind w:left="108"/>
              <w:rPr>
                <w:rFonts w:ascii="Calibri"/>
                <w:sz w:val="20"/>
              </w:rPr>
            </w:pPr>
            <w:r>
              <w:rPr>
                <w:rFonts w:ascii="Calibri"/>
                <w:spacing w:val="-2"/>
                <w:sz w:val="20"/>
              </w:rPr>
              <w:t>Powersite</w:t>
            </w:r>
            <w:r>
              <w:rPr>
                <w:rFonts w:ascii="Calibri"/>
                <w:spacing w:val="9"/>
                <w:sz w:val="20"/>
              </w:rPr>
              <w:t> </w:t>
            </w:r>
            <w:r>
              <w:rPr>
                <w:rFonts w:ascii="Calibri"/>
                <w:spacing w:val="-2"/>
                <w:sz w:val="20"/>
              </w:rPr>
              <w:t>Classification</w:t>
            </w:r>
            <w:r>
              <w:rPr>
                <w:rFonts w:ascii="Calibri"/>
                <w:spacing w:val="12"/>
                <w:sz w:val="20"/>
              </w:rPr>
              <w:t> </w:t>
            </w:r>
            <w:r>
              <w:rPr>
                <w:rFonts w:ascii="Calibri"/>
                <w:spacing w:val="-5"/>
                <w:sz w:val="20"/>
              </w:rPr>
              <w:t>328</w:t>
            </w:r>
          </w:p>
        </w:tc>
        <w:tc>
          <w:tcPr>
            <w:tcW w:w="2145" w:type="dxa"/>
          </w:tcPr>
          <w:p>
            <w:pPr>
              <w:pStyle w:val="TableParagraph"/>
              <w:spacing w:line="223" w:lineRule="exact"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Portion</w:t>
            </w:r>
            <w:r>
              <w:rPr>
                <w:rFonts w:ascii="Calibri"/>
                <w:spacing w:val="-5"/>
                <w:sz w:val="20"/>
              </w:rPr>
              <w:t> </w:t>
            </w:r>
            <w:r>
              <w:rPr>
                <w:rFonts w:ascii="Calibri"/>
                <w:sz w:val="20"/>
              </w:rPr>
              <w:t>of</w:t>
            </w:r>
            <w:r>
              <w:rPr>
                <w:rFonts w:ascii="Calibri"/>
                <w:spacing w:val="-5"/>
                <w:sz w:val="20"/>
              </w:rPr>
              <w:t> </w:t>
            </w:r>
            <w:r>
              <w:rPr>
                <w:rFonts w:ascii="Calibri"/>
                <w:sz w:val="20"/>
              </w:rPr>
              <w:t>Sec.</w:t>
            </w:r>
            <w:r>
              <w:rPr>
                <w:rFonts w:ascii="Calibri"/>
                <w:spacing w:val="-5"/>
                <w:sz w:val="20"/>
              </w:rPr>
              <w:t> </w:t>
            </w:r>
            <w:r>
              <w:rPr>
                <w:rFonts w:ascii="Calibri"/>
                <w:spacing w:val="-10"/>
                <w:sz w:val="20"/>
              </w:rPr>
              <w:t>3</w:t>
            </w:r>
          </w:p>
        </w:tc>
        <w:tc>
          <w:tcPr>
            <w:tcW w:w="900" w:type="dxa"/>
          </w:tcPr>
          <w:p>
            <w:pPr>
              <w:pStyle w:val="TableParagraph"/>
              <w:spacing w:line="223" w:lineRule="exact" w:before="1"/>
              <w:ind w:left="7" w:right="3"/>
              <w:jc w:val="center"/>
              <w:rPr>
                <w:rFonts w:ascii="Calibri"/>
                <w:sz w:val="20"/>
              </w:rPr>
            </w:pPr>
            <w:r>
              <w:rPr>
                <w:rFonts w:ascii="Calibri"/>
                <w:spacing w:val="-4"/>
                <w:sz w:val="20"/>
              </w:rPr>
              <w:t>0.95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73</w:t>
            </w:r>
          </w:p>
        </w:tc>
        <w:tc>
          <w:tcPr>
            <w:tcW w:w="2527" w:type="dxa"/>
          </w:tcPr>
          <w:p>
            <w:pPr>
              <w:pStyle w:val="TableParagraph"/>
              <w:spacing w:line="223" w:lineRule="exact" w:before="1"/>
              <w:ind w:left="108"/>
              <w:rPr>
                <w:rFonts w:ascii="Calibri"/>
                <w:sz w:val="20"/>
              </w:rPr>
            </w:pPr>
            <w:r>
              <w:rPr>
                <w:rFonts w:ascii="Calibri"/>
                <w:sz w:val="20"/>
              </w:rPr>
              <w:t>Sullivan</w:t>
            </w:r>
            <w:r>
              <w:rPr>
                <w:rFonts w:ascii="Calibri"/>
                <w:spacing w:val="-8"/>
                <w:sz w:val="20"/>
              </w:rPr>
              <w:t> </w:t>
            </w:r>
            <w:r>
              <w:rPr>
                <w:rFonts w:ascii="Calibri"/>
                <w:sz w:val="20"/>
              </w:rPr>
              <w:t>Lake</w:t>
            </w:r>
            <w:r>
              <w:rPr>
                <w:rFonts w:ascii="Calibri"/>
                <w:spacing w:val="-9"/>
                <w:sz w:val="20"/>
              </w:rPr>
              <w:t> </w:t>
            </w:r>
            <w:r>
              <w:rPr>
                <w:rFonts w:ascii="Calibri"/>
                <w:sz w:val="20"/>
              </w:rPr>
              <w:t>Reservoir</w:t>
            </w:r>
            <w:r>
              <w:rPr>
                <w:rFonts w:ascii="Calibri"/>
                <w:spacing w:val="-7"/>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25,</w:t>
            </w:r>
            <w:r>
              <w:rPr>
                <w:rFonts w:ascii="Calibri" w:hAnsi="Calibri"/>
                <w:spacing w:val="-4"/>
                <w:sz w:val="20"/>
              </w:rPr>
              <w:t> </w:t>
            </w:r>
            <w:r>
              <w:rPr>
                <w:rFonts w:ascii="Calibri" w:hAnsi="Calibri"/>
                <w:spacing w:val="-2"/>
                <w:sz w:val="20"/>
              </w:rPr>
              <w:t>NE¼NE¼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27</w:t>
            </w:r>
          </w:p>
        </w:tc>
        <w:tc>
          <w:tcPr>
            <w:tcW w:w="2527" w:type="dxa"/>
          </w:tcPr>
          <w:p>
            <w:pPr>
              <w:pStyle w:val="TableParagraph"/>
              <w:spacing w:line="243" w:lineRule="exact" w:before="1"/>
              <w:ind w:left="108"/>
              <w:rPr>
                <w:rFonts w:ascii="Calibri"/>
                <w:sz w:val="20"/>
              </w:rPr>
            </w:pPr>
            <w:r>
              <w:rPr>
                <w:rFonts w:ascii="Calibri"/>
                <w:sz w:val="20"/>
              </w:rPr>
              <w:t>Federal</w:t>
            </w:r>
            <w:r>
              <w:rPr>
                <w:rFonts w:ascii="Calibri"/>
                <w:spacing w:val="-8"/>
                <w:sz w:val="20"/>
              </w:rPr>
              <w:t> </w:t>
            </w:r>
            <w:r>
              <w:rPr>
                <w:rFonts w:ascii="Calibri"/>
                <w:sz w:val="20"/>
              </w:rPr>
              <w:t>Power</w:t>
            </w:r>
            <w:r>
              <w:rPr>
                <w:rFonts w:ascii="Calibri"/>
                <w:spacing w:val="-7"/>
                <w:sz w:val="20"/>
              </w:rPr>
              <w:t> </w:t>
            </w:r>
            <w:r>
              <w:rPr>
                <w:rFonts w:ascii="Calibri"/>
                <w:spacing w:val="-2"/>
                <w:sz w:val="20"/>
              </w:rPr>
              <w:t>Commission</w:t>
            </w:r>
          </w:p>
          <w:p>
            <w:pPr>
              <w:pStyle w:val="TableParagraph"/>
              <w:spacing w:line="222" w:lineRule="exact" w:before="0"/>
              <w:ind w:left="108"/>
              <w:rPr>
                <w:rFonts w:ascii="Calibri"/>
                <w:sz w:val="20"/>
              </w:rPr>
            </w:pPr>
            <w:r>
              <w:rPr>
                <w:rFonts w:ascii="Calibri"/>
                <w:spacing w:val="-4"/>
                <w:sz w:val="20"/>
              </w:rPr>
              <w:t>2225</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43" w:lineRule="exact"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1,</w:t>
            </w:r>
            <w:r>
              <w:rPr>
                <w:rFonts w:ascii="Calibri"/>
                <w:spacing w:val="-4"/>
                <w:sz w:val="20"/>
              </w:rPr>
              <w:t> </w:t>
            </w:r>
            <w:r>
              <w:rPr>
                <w:rFonts w:ascii="Calibri"/>
                <w:sz w:val="20"/>
              </w:rPr>
              <w:t>6,</w:t>
            </w:r>
            <w:r>
              <w:rPr>
                <w:rFonts w:ascii="Calibri"/>
                <w:spacing w:val="-3"/>
                <w:sz w:val="20"/>
              </w:rPr>
              <w:t> </w:t>
            </w:r>
            <w:r>
              <w:rPr>
                <w:rFonts w:ascii="Calibri"/>
                <w:sz w:val="20"/>
              </w:rPr>
              <w:t>7,</w:t>
            </w:r>
            <w:r>
              <w:rPr>
                <w:rFonts w:ascii="Calibri"/>
                <w:spacing w:val="-3"/>
                <w:sz w:val="20"/>
              </w:rPr>
              <w:t> </w:t>
            </w:r>
            <w:r>
              <w:rPr>
                <w:rFonts w:ascii="Calibri"/>
                <w:sz w:val="20"/>
              </w:rPr>
              <w:t>12,</w:t>
            </w:r>
            <w:r>
              <w:rPr>
                <w:rFonts w:ascii="Calibri"/>
                <w:spacing w:val="-3"/>
                <w:sz w:val="20"/>
              </w:rPr>
              <w:t> </w:t>
            </w:r>
            <w:r>
              <w:rPr>
                <w:rFonts w:ascii="Calibri"/>
                <w:sz w:val="20"/>
              </w:rPr>
              <w:t>13,</w:t>
            </w:r>
            <w:r>
              <w:rPr>
                <w:rFonts w:ascii="Calibri"/>
                <w:spacing w:val="-3"/>
                <w:sz w:val="20"/>
              </w:rPr>
              <w:t> </w:t>
            </w:r>
            <w:r>
              <w:rPr>
                <w:rFonts w:ascii="Calibri"/>
                <w:sz w:val="20"/>
              </w:rPr>
              <w:t>19,</w:t>
            </w:r>
            <w:r>
              <w:rPr>
                <w:rFonts w:ascii="Calibri"/>
                <w:spacing w:val="-3"/>
                <w:sz w:val="20"/>
              </w:rPr>
              <w:t> </w:t>
            </w:r>
            <w:r>
              <w:rPr>
                <w:rFonts w:ascii="Calibri"/>
                <w:sz w:val="20"/>
              </w:rPr>
              <w:t>19,</w:t>
            </w:r>
            <w:r>
              <w:rPr>
                <w:rFonts w:ascii="Calibri"/>
                <w:spacing w:val="-3"/>
                <w:sz w:val="20"/>
              </w:rPr>
              <w:t> </w:t>
            </w:r>
            <w:r>
              <w:rPr>
                <w:rFonts w:ascii="Calibri"/>
                <w:sz w:val="20"/>
              </w:rPr>
              <w:t>24,</w:t>
            </w:r>
            <w:r>
              <w:rPr>
                <w:rFonts w:ascii="Calibri"/>
                <w:spacing w:val="-3"/>
                <w:sz w:val="20"/>
              </w:rPr>
              <w:t> </w:t>
            </w:r>
            <w:r>
              <w:rPr>
                <w:rFonts w:ascii="Calibri"/>
                <w:sz w:val="20"/>
              </w:rPr>
              <w:t>25,</w:t>
            </w:r>
            <w:r>
              <w:rPr>
                <w:rFonts w:ascii="Calibri"/>
                <w:spacing w:val="-3"/>
                <w:sz w:val="20"/>
              </w:rPr>
              <w:t> </w:t>
            </w:r>
            <w:r>
              <w:rPr>
                <w:rFonts w:ascii="Calibri"/>
                <w:spacing w:val="-5"/>
                <w:sz w:val="20"/>
              </w:rPr>
              <w:t>29,</w:t>
            </w:r>
          </w:p>
          <w:p>
            <w:pPr>
              <w:pStyle w:val="TableParagraph"/>
              <w:spacing w:line="222" w:lineRule="exact" w:before="0"/>
              <w:ind w:left="110"/>
              <w:rPr>
                <w:rFonts w:ascii="Calibri"/>
                <w:sz w:val="20"/>
              </w:rPr>
            </w:pPr>
            <w:r>
              <w:rPr>
                <w:rFonts w:ascii="Calibri"/>
                <w:sz w:val="20"/>
              </w:rPr>
              <w:t>30,</w:t>
            </w:r>
            <w:r>
              <w:rPr>
                <w:rFonts w:ascii="Calibri"/>
                <w:spacing w:val="-4"/>
                <w:sz w:val="20"/>
              </w:rPr>
              <w:t> </w:t>
            </w:r>
            <w:r>
              <w:rPr>
                <w:rFonts w:ascii="Calibri"/>
                <w:sz w:val="20"/>
              </w:rPr>
              <w:t>31,</w:t>
            </w:r>
            <w:r>
              <w:rPr>
                <w:rFonts w:ascii="Calibri"/>
                <w:spacing w:val="-3"/>
                <w:sz w:val="20"/>
              </w:rPr>
              <w:t> </w:t>
            </w:r>
            <w:r>
              <w:rPr>
                <w:rFonts w:ascii="Calibri"/>
                <w:sz w:val="20"/>
              </w:rPr>
              <w:t>and</w:t>
            </w:r>
            <w:r>
              <w:rPr>
                <w:rFonts w:ascii="Calibri"/>
                <w:spacing w:val="-3"/>
                <w:sz w:val="20"/>
              </w:rPr>
              <w:t> </w:t>
            </w:r>
            <w:r>
              <w:rPr>
                <w:rFonts w:ascii="Calibri"/>
                <w:spacing w:val="-5"/>
                <w:sz w:val="20"/>
              </w:rPr>
              <w:t>32</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36</w:t>
            </w:r>
          </w:p>
        </w:tc>
        <w:tc>
          <w:tcPr>
            <w:tcW w:w="2527" w:type="dxa"/>
          </w:tcPr>
          <w:p>
            <w:pPr>
              <w:pStyle w:val="TableParagraph"/>
              <w:spacing w:line="223" w:lineRule="exact" w:before="1"/>
              <w:ind w:left="108"/>
              <w:rPr>
                <w:rFonts w:ascii="Calibri"/>
                <w:sz w:val="20"/>
              </w:rPr>
            </w:pPr>
            <w:r>
              <w:rPr>
                <w:rFonts w:ascii="Calibri"/>
                <w:sz w:val="20"/>
              </w:rPr>
              <w:t>Halliday</w:t>
            </w:r>
            <w:r>
              <w:rPr>
                <w:rFonts w:ascii="Calibri"/>
                <w:spacing w:val="-7"/>
                <w:sz w:val="20"/>
              </w:rPr>
              <w:t> </w:t>
            </w:r>
            <w:r>
              <w:rPr>
                <w:rFonts w:ascii="Calibri"/>
                <w:sz w:val="20"/>
              </w:rPr>
              <w:t>Fen</w:t>
            </w:r>
            <w:r>
              <w:rPr>
                <w:rFonts w:ascii="Calibri"/>
                <w:spacing w:val="-6"/>
                <w:sz w:val="20"/>
              </w:rPr>
              <w:t> </w:t>
            </w:r>
            <w:r>
              <w:rPr>
                <w:rFonts w:ascii="Calibri"/>
                <w:spacing w:val="-5"/>
                <w:sz w:val="20"/>
              </w:rPr>
              <w:t>RNA</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Sec.</w:t>
            </w:r>
            <w:r>
              <w:rPr>
                <w:rFonts w:ascii="Calibri"/>
                <w:spacing w:val="-6"/>
                <w:sz w:val="20"/>
              </w:rPr>
              <w:t> </w:t>
            </w:r>
            <w:r>
              <w:rPr>
                <w:rFonts w:ascii="Calibri"/>
                <w:sz w:val="20"/>
              </w:rPr>
              <w:t>6,</w:t>
            </w:r>
            <w:r>
              <w:rPr>
                <w:rFonts w:ascii="Calibri"/>
                <w:spacing w:val="-4"/>
                <w:sz w:val="20"/>
              </w:rPr>
              <w:t> </w:t>
            </w:r>
            <w:r>
              <w:rPr>
                <w:rFonts w:ascii="Calibri"/>
                <w:sz w:val="20"/>
              </w:rPr>
              <w:t>Lots</w:t>
            </w:r>
            <w:r>
              <w:rPr>
                <w:rFonts w:ascii="Calibri"/>
                <w:spacing w:val="-6"/>
                <w:sz w:val="20"/>
              </w:rPr>
              <w:t> </w:t>
            </w:r>
            <w:r>
              <w:rPr>
                <w:rFonts w:ascii="Calibri"/>
                <w:sz w:val="20"/>
              </w:rPr>
              <w:t>2-5,</w:t>
            </w:r>
            <w:r>
              <w:rPr>
                <w:rFonts w:ascii="Calibri"/>
                <w:spacing w:val="-4"/>
                <w:sz w:val="20"/>
              </w:rPr>
              <w:t> </w:t>
            </w:r>
            <w:r>
              <w:rPr>
                <w:rFonts w:ascii="Calibri"/>
                <w:sz w:val="20"/>
              </w:rPr>
              <w:t>inclusive</w:t>
            </w:r>
            <w:r>
              <w:rPr>
                <w:rFonts w:ascii="Calibri"/>
                <w:spacing w:val="-6"/>
                <w:sz w:val="20"/>
              </w:rPr>
              <w:t> </w:t>
            </w:r>
            <w:r>
              <w:rPr>
                <w:rFonts w:ascii="Calibri"/>
                <w:spacing w:val="-5"/>
                <w:sz w:val="20"/>
              </w:rPr>
              <w:t>M&amp;B</w:t>
            </w:r>
          </w:p>
        </w:tc>
        <w:tc>
          <w:tcPr>
            <w:tcW w:w="900" w:type="dxa"/>
          </w:tcPr>
          <w:p>
            <w:pPr>
              <w:pStyle w:val="TableParagraph"/>
              <w:spacing w:before="0"/>
              <w:rPr>
                <w:rFonts w:ascii="Times New Roman"/>
                <w:sz w:val="16"/>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17</w:t>
            </w:r>
          </w:p>
        </w:tc>
        <w:tc>
          <w:tcPr>
            <w:tcW w:w="2527" w:type="dxa"/>
          </w:tcPr>
          <w:p>
            <w:pPr>
              <w:pStyle w:val="TableParagraph"/>
              <w:spacing w:line="223" w:lineRule="exact" w:before="1"/>
              <w:ind w:left="153"/>
              <w:rPr>
                <w:rFonts w:ascii="Calibri"/>
                <w:sz w:val="20"/>
              </w:rPr>
            </w:pPr>
            <w:r>
              <w:rPr>
                <w:rFonts w:ascii="Calibri"/>
                <w:sz w:val="20"/>
              </w:rPr>
              <w:t>Sullivan</w:t>
            </w:r>
            <w:r>
              <w:rPr>
                <w:rFonts w:ascii="Calibri"/>
                <w:spacing w:val="-7"/>
                <w:sz w:val="20"/>
              </w:rPr>
              <w:t> </w:t>
            </w:r>
            <w:r>
              <w:rPr>
                <w:rFonts w:ascii="Calibri"/>
                <w:sz w:val="20"/>
              </w:rPr>
              <w:t>Mtn</w:t>
            </w:r>
            <w:r>
              <w:rPr>
                <w:rFonts w:ascii="Calibri"/>
                <w:spacing w:val="-7"/>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16,</w:t>
            </w:r>
            <w:r>
              <w:rPr>
                <w:rFonts w:ascii="Calibri" w:hAnsi="Calibri"/>
                <w:spacing w:val="-4"/>
                <w:sz w:val="20"/>
              </w:rPr>
              <w:t> </w:t>
            </w:r>
            <w:r>
              <w:rPr>
                <w:rFonts w:ascii="Calibri" w:hAnsi="Calibri"/>
                <w:spacing w:val="-2"/>
                <w:sz w:val="20"/>
              </w:rPr>
              <w:t>NE¼SW¼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r>
        <w:trPr>
          <w:trHeight w:val="2197" w:hRule="atLeast"/>
        </w:trPr>
        <w:tc>
          <w:tcPr>
            <w:tcW w:w="835" w:type="dxa"/>
          </w:tcPr>
          <w:p>
            <w:pPr>
              <w:pStyle w:val="TableParagraph"/>
              <w:spacing w:before="1"/>
              <w:ind w:left="9" w:right="5"/>
              <w:jc w:val="center"/>
              <w:rPr>
                <w:rFonts w:ascii="Calibri"/>
                <w:sz w:val="20"/>
              </w:rPr>
            </w:pPr>
            <w:r>
              <w:rPr>
                <w:rFonts w:ascii="Calibri"/>
                <w:spacing w:val="-5"/>
                <w:sz w:val="20"/>
              </w:rPr>
              <w:t>72</w:t>
            </w:r>
          </w:p>
        </w:tc>
        <w:tc>
          <w:tcPr>
            <w:tcW w:w="2527" w:type="dxa"/>
          </w:tcPr>
          <w:p>
            <w:pPr>
              <w:pStyle w:val="TableParagraph"/>
              <w:spacing w:before="1"/>
              <w:ind w:left="108" w:right="185"/>
              <w:rPr>
                <w:rFonts w:ascii="Calibri"/>
                <w:sz w:val="20"/>
              </w:rPr>
            </w:pPr>
            <w:r>
              <w:rPr>
                <w:rFonts w:ascii="Calibri"/>
                <w:sz w:val="20"/>
              </w:rPr>
              <w:t>Sullivan</w:t>
            </w:r>
            <w:r>
              <w:rPr>
                <w:rFonts w:ascii="Calibri"/>
                <w:spacing w:val="-12"/>
                <w:sz w:val="20"/>
              </w:rPr>
              <w:t> </w:t>
            </w:r>
            <w:r>
              <w:rPr>
                <w:rFonts w:ascii="Calibri"/>
                <w:sz w:val="20"/>
              </w:rPr>
              <w:t>Creek</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ight="123"/>
              <w:rPr>
                <w:rFonts w:ascii="Calibri" w:hAnsi="Calibri"/>
                <w:sz w:val="20"/>
              </w:rPr>
            </w:pPr>
            <w:r>
              <w:rPr>
                <w:rFonts w:ascii="Calibri" w:hAnsi="Calibri"/>
                <w:sz w:val="20"/>
              </w:rPr>
              <w:t>Strip</w:t>
            </w:r>
            <w:r>
              <w:rPr>
                <w:rFonts w:ascii="Calibri" w:hAnsi="Calibri"/>
                <w:spacing w:val="-3"/>
                <w:sz w:val="20"/>
              </w:rPr>
              <w:t> </w:t>
            </w:r>
            <w:r>
              <w:rPr>
                <w:rFonts w:ascii="Calibri" w:hAnsi="Calibri"/>
                <w:sz w:val="20"/>
              </w:rPr>
              <w:t>of</w:t>
            </w:r>
            <w:r>
              <w:rPr>
                <w:rFonts w:ascii="Calibri" w:hAnsi="Calibri"/>
                <w:spacing w:val="-5"/>
                <w:sz w:val="20"/>
              </w:rPr>
              <w:t> </w:t>
            </w:r>
            <w:r>
              <w:rPr>
                <w:rFonts w:ascii="Calibri" w:hAnsi="Calibri"/>
                <w:sz w:val="20"/>
              </w:rPr>
              <w:t>land</w:t>
            </w:r>
            <w:r>
              <w:rPr>
                <w:rFonts w:ascii="Calibri" w:hAnsi="Calibri"/>
                <w:spacing w:val="-3"/>
                <w:sz w:val="20"/>
              </w:rPr>
              <w:t> </w:t>
            </w:r>
            <w:r>
              <w:rPr>
                <w:rFonts w:ascii="Calibri" w:hAnsi="Calibri"/>
                <w:sz w:val="20"/>
              </w:rPr>
              <w:t>3</w:t>
            </w:r>
            <w:r>
              <w:rPr>
                <w:rFonts w:ascii="Calibri" w:hAnsi="Calibri"/>
                <w:spacing w:val="-4"/>
                <w:sz w:val="20"/>
              </w:rPr>
              <w:t> </w:t>
            </w:r>
            <w:r>
              <w:rPr>
                <w:rFonts w:ascii="Calibri" w:hAnsi="Calibri"/>
                <w:sz w:val="20"/>
              </w:rPr>
              <w:t>chains</w:t>
            </w:r>
            <w:r>
              <w:rPr>
                <w:rFonts w:ascii="Calibri" w:hAnsi="Calibri"/>
                <w:spacing w:val="-5"/>
                <w:sz w:val="20"/>
              </w:rPr>
              <w:t> </w:t>
            </w:r>
            <w:r>
              <w:rPr>
                <w:rFonts w:ascii="Calibri" w:hAnsi="Calibri"/>
                <w:sz w:val="20"/>
              </w:rPr>
              <w:t>wide</w:t>
            </w:r>
            <w:r>
              <w:rPr>
                <w:rFonts w:ascii="Calibri" w:hAnsi="Calibri"/>
                <w:spacing w:val="-5"/>
                <w:sz w:val="20"/>
              </w:rPr>
              <w:t> </w:t>
            </w:r>
            <w:r>
              <w:rPr>
                <w:rFonts w:ascii="Calibri" w:hAnsi="Calibri"/>
                <w:sz w:val="20"/>
              </w:rPr>
              <w:t>(1C</w:t>
            </w:r>
            <w:r>
              <w:rPr>
                <w:rFonts w:ascii="Calibri" w:hAnsi="Calibri"/>
                <w:spacing w:val="-2"/>
                <w:sz w:val="20"/>
              </w:rPr>
              <w:t> </w:t>
            </w:r>
            <w:r>
              <w:rPr>
                <w:rFonts w:ascii="Calibri" w:hAnsi="Calibri"/>
                <w:sz w:val="20"/>
              </w:rPr>
              <w:t>on</w:t>
            </w:r>
            <w:r>
              <w:rPr>
                <w:rFonts w:ascii="Calibri" w:hAnsi="Calibri"/>
                <w:spacing w:val="-3"/>
                <w:sz w:val="20"/>
              </w:rPr>
              <w:t> </w:t>
            </w:r>
            <w:r>
              <w:rPr>
                <w:rFonts w:ascii="Calibri" w:hAnsi="Calibri"/>
                <w:sz w:val="20"/>
              </w:rPr>
              <w:t>the</w:t>
            </w:r>
            <w:r>
              <w:rPr>
                <w:rFonts w:ascii="Calibri" w:hAnsi="Calibri"/>
                <w:spacing w:val="-5"/>
                <w:sz w:val="20"/>
              </w:rPr>
              <w:t> </w:t>
            </w:r>
            <w:r>
              <w:rPr>
                <w:rFonts w:ascii="Calibri" w:hAnsi="Calibri"/>
                <w:sz w:val="20"/>
              </w:rPr>
              <w:t>south</w:t>
            </w:r>
            <w:r>
              <w:rPr>
                <w:rFonts w:ascii="Calibri" w:hAnsi="Calibri"/>
                <w:spacing w:val="-3"/>
                <w:sz w:val="20"/>
              </w:rPr>
              <w:t> </w:t>
            </w:r>
            <w:r>
              <w:rPr>
                <w:rFonts w:ascii="Calibri" w:hAnsi="Calibri"/>
                <w:sz w:val="20"/>
              </w:rPr>
              <w:t>side and 2C on the South side) of Sullivan Creek through the following subdivisions:</w:t>
            </w:r>
            <w:r>
              <w:rPr>
                <w:rFonts w:ascii="Calibri" w:hAnsi="Calibri"/>
                <w:spacing w:val="40"/>
                <w:sz w:val="20"/>
              </w:rPr>
              <w:t> </w:t>
            </w:r>
            <w:r>
              <w:rPr>
                <w:rFonts w:ascii="Calibri" w:hAnsi="Calibri"/>
                <w:sz w:val="20"/>
              </w:rPr>
              <w:t>Sec. 25, NE¼SW¼, S½SW¼, N½SE¼; Sec. 26, SE1/14SE¼;</w:t>
            </w:r>
          </w:p>
          <w:p>
            <w:pPr>
              <w:pStyle w:val="TableParagraph"/>
              <w:spacing w:before="0"/>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31,</w:t>
            </w:r>
            <w:r>
              <w:rPr>
                <w:rFonts w:ascii="Calibri" w:hAnsi="Calibri"/>
                <w:spacing w:val="-5"/>
                <w:sz w:val="20"/>
              </w:rPr>
              <w:t> </w:t>
            </w:r>
            <w:r>
              <w:rPr>
                <w:rFonts w:ascii="Calibri" w:hAnsi="Calibri"/>
                <w:sz w:val="20"/>
              </w:rPr>
              <w:t>NE¼;</w:t>
            </w:r>
            <w:r>
              <w:rPr>
                <w:rFonts w:ascii="Calibri" w:hAnsi="Calibri"/>
                <w:spacing w:val="-7"/>
                <w:sz w:val="20"/>
              </w:rPr>
              <w:t> </w:t>
            </w:r>
            <w:r>
              <w:rPr>
                <w:rFonts w:ascii="Calibri" w:hAnsi="Calibri"/>
                <w:sz w:val="20"/>
              </w:rPr>
              <w:t>Sec.</w:t>
            </w:r>
            <w:r>
              <w:rPr>
                <w:rFonts w:ascii="Calibri" w:hAnsi="Calibri"/>
                <w:spacing w:val="-6"/>
                <w:sz w:val="20"/>
              </w:rPr>
              <w:t> </w:t>
            </w:r>
            <w:r>
              <w:rPr>
                <w:rFonts w:ascii="Calibri" w:hAnsi="Calibri"/>
                <w:sz w:val="20"/>
              </w:rPr>
              <w:t>32</w:t>
            </w:r>
            <w:r>
              <w:rPr>
                <w:rFonts w:ascii="Calibri" w:hAnsi="Calibri"/>
                <w:spacing w:val="-6"/>
                <w:sz w:val="20"/>
              </w:rPr>
              <w:t> </w:t>
            </w:r>
            <w:r>
              <w:rPr>
                <w:rFonts w:ascii="Calibri" w:hAnsi="Calibri"/>
                <w:sz w:val="20"/>
              </w:rPr>
              <w:t>S½NE¼,</w:t>
            </w:r>
            <w:r>
              <w:rPr>
                <w:rFonts w:ascii="Calibri" w:hAnsi="Calibri"/>
                <w:spacing w:val="-5"/>
                <w:sz w:val="20"/>
              </w:rPr>
              <w:t> </w:t>
            </w:r>
            <w:r>
              <w:rPr>
                <w:rFonts w:ascii="Calibri" w:hAnsi="Calibri"/>
                <w:sz w:val="20"/>
              </w:rPr>
              <w:t>N½NW¼,</w:t>
            </w:r>
            <w:r>
              <w:rPr>
                <w:rFonts w:ascii="Calibri" w:hAnsi="Calibri"/>
                <w:spacing w:val="-5"/>
                <w:sz w:val="20"/>
              </w:rPr>
              <w:t> </w:t>
            </w:r>
            <w:r>
              <w:rPr>
                <w:rFonts w:ascii="Calibri" w:hAnsi="Calibri"/>
                <w:sz w:val="20"/>
              </w:rPr>
              <w:t>SE¼NW¼, N½SE¼; Sec. 33, NW¼SW¼, S½SW¼, N½SE¼ SW¼SE¼; Sec. 34, SE¼NE¼, N½SW¼, SW¼SW¼, N½SE¼; Sec. 35, N½NE¼, N½NW¼ SW14,NW¼;</w:t>
            </w:r>
          </w:p>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36,</w:t>
            </w:r>
            <w:r>
              <w:rPr>
                <w:rFonts w:ascii="Calibri" w:hAnsi="Calibri"/>
                <w:spacing w:val="-4"/>
                <w:sz w:val="20"/>
              </w:rPr>
              <w:t> </w:t>
            </w:r>
            <w:r>
              <w:rPr>
                <w:rFonts w:ascii="Calibri" w:hAnsi="Calibri"/>
                <w:spacing w:val="-2"/>
                <w:sz w:val="20"/>
              </w:rPr>
              <w:t>SW¼SW¼</w:t>
            </w:r>
          </w:p>
        </w:tc>
        <w:tc>
          <w:tcPr>
            <w:tcW w:w="900" w:type="dxa"/>
          </w:tcPr>
          <w:p>
            <w:pPr>
              <w:pStyle w:val="TableParagraph"/>
              <w:spacing w:before="1"/>
              <w:ind w:left="7" w:right="3"/>
              <w:jc w:val="center"/>
              <w:rPr>
                <w:rFonts w:ascii="Calibri"/>
                <w:sz w:val="20"/>
              </w:rPr>
            </w:pPr>
            <w:r>
              <w:rPr>
                <w:rFonts w:ascii="Calibri"/>
                <w:spacing w:val="-2"/>
                <w:sz w:val="20"/>
              </w:rPr>
              <w:t>104.45</w:t>
            </w:r>
          </w:p>
        </w:tc>
      </w:tr>
      <w:tr>
        <w:trPr>
          <w:trHeight w:val="486" w:hRule="atLeast"/>
        </w:trPr>
        <w:tc>
          <w:tcPr>
            <w:tcW w:w="835" w:type="dxa"/>
          </w:tcPr>
          <w:p>
            <w:pPr>
              <w:pStyle w:val="TableParagraph"/>
              <w:spacing w:before="1"/>
              <w:ind w:left="9" w:right="5"/>
              <w:jc w:val="center"/>
              <w:rPr>
                <w:rFonts w:ascii="Calibri"/>
                <w:sz w:val="20"/>
              </w:rPr>
            </w:pPr>
            <w:r>
              <w:rPr>
                <w:rFonts w:ascii="Calibri"/>
                <w:spacing w:val="-5"/>
                <w:sz w:val="20"/>
              </w:rPr>
              <w:t>73</w:t>
            </w:r>
          </w:p>
        </w:tc>
        <w:tc>
          <w:tcPr>
            <w:tcW w:w="2527" w:type="dxa"/>
          </w:tcPr>
          <w:p>
            <w:pPr>
              <w:pStyle w:val="TableParagraph"/>
              <w:spacing w:line="243" w:lineRule="exact" w:before="1"/>
              <w:ind w:left="108"/>
              <w:rPr>
                <w:rFonts w:ascii="Calibri"/>
                <w:sz w:val="20"/>
              </w:rPr>
            </w:pPr>
            <w:r>
              <w:rPr>
                <w:rFonts w:ascii="Calibri"/>
                <w:sz w:val="20"/>
              </w:rPr>
              <w:t>Sullivan</w:t>
            </w:r>
            <w:r>
              <w:rPr>
                <w:rFonts w:ascii="Calibri"/>
                <w:spacing w:val="-8"/>
                <w:sz w:val="20"/>
              </w:rPr>
              <w:t> </w:t>
            </w:r>
            <w:r>
              <w:rPr>
                <w:rFonts w:ascii="Calibri"/>
                <w:sz w:val="20"/>
              </w:rPr>
              <w:t>Lake</w:t>
            </w:r>
            <w:r>
              <w:rPr>
                <w:rFonts w:ascii="Calibri"/>
                <w:spacing w:val="-8"/>
                <w:sz w:val="20"/>
              </w:rPr>
              <w:t> </w:t>
            </w:r>
            <w:r>
              <w:rPr>
                <w:rFonts w:ascii="Calibri"/>
                <w:spacing w:val="-2"/>
                <w:sz w:val="20"/>
              </w:rPr>
              <w:t>Recreation</w:t>
            </w:r>
          </w:p>
          <w:p>
            <w:pPr>
              <w:pStyle w:val="TableParagraph"/>
              <w:spacing w:line="222" w:lineRule="exact" w:before="0"/>
              <w:ind w:left="108"/>
              <w:rPr>
                <w:rFonts w:ascii="Calibri"/>
                <w:sz w:val="20"/>
              </w:rPr>
            </w:pP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4"/>
                <w:sz w:val="20"/>
              </w:rPr>
              <w:t> </w:t>
            </w:r>
            <w:r>
              <w:rPr>
                <w:rFonts w:ascii="Calibri"/>
                <w:sz w:val="20"/>
              </w:rPr>
              <w:t>31,</w:t>
            </w:r>
            <w:r>
              <w:rPr>
                <w:rFonts w:ascii="Calibri"/>
                <w:spacing w:val="-2"/>
                <w:sz w:val="20"/>
              </w:rPr>
              <w:t> </w:t>
            </w:r>
            <w:r>
              <w:rPr>
                <w:rFonts w:ascii="Calibri"/>
                <w:sz w:val="20"/>
              </w:rPr>
              <w:t>Lots</w:t>
            </w:r>
            <w:r>
              <w:rPr>
                <w:rFonts w:ascii="Calibri"/>
                <w:spacing w:val="-2"/>
                <w:sz w:val="20"/>
              </w:rPr>
              <w:t> </w:t>
            </w:r>
            <w:r>
              <w:rPr>
                <w:rFonts w:ascii="Calibri"/>
                <w:sz w:val="20"/>
              </w:rPr>
              <w:t>3,</w:t>
            </w:r>
            <w:r>
              <w:rPr>
                <w:rFonts w:ascii="Calibri"/>
                <w:spacing w:val="-2"/>
                <w:sz w:val="20"/>
              </w:rPr>
              <w:t> </w:t>
            </w:r>
            <w:r>
              <w:rPr>
                <w:rFonts w:ascii="Calibri"/>
                <w:sz w:val="20"/>
              </w:rPr>
              <w:t>6</w:t>
            </w:r>
            <w:r>
              <w:rPr>
                <w:rFonts w:ascii="Calibri"/>
                <w:spacing w:val="-4"/>
                <w:sz w:val="20"/>
              </w:rPr>
              <w:t> </w:t>
            </w:r>
            <w:r>
              <w:rPr>
                <w:rFonts w:ascii="Calibri"/>
                <w:sz w:val="20"/>
              </w:rPr>
              <w:t>and</w:t>
            </w:r>
            <w:r>
              <w:rPr>
                <w:rFonts w:ascii="Calibri"/>
                <w:spacing w:val="-2"/>
                <w:sz w:val="20"/>
              </w:rPr>
              <w:t> </w:t>
            </w:r>
            <w:r>
              <w:rPr>
                <w:rFonts w:ascii="Calibri"/>
                <w:sz w:val="20"/>
              </w:rPr>
              <w:t>9;</w:t>
            </w:r>
            <w:r>
              <w:rPr>
                <w:rFonts w:ascii="Calibri"/>
                <w:spacing w:val="-4"/>
                <w:sz w:val="20"/>
              </w:rPr>
              <w:t> </w:t>
            </w:r>
            <w:r>
              <w:rPr>
                <w:rFonts w:ascii="Calibri"/>
                <w:sz w:val="20"/>
              </w:rPr>
              <w:t>Sec.</w:t>
            </w:r>
            <w:r>
              <w:rPr>
                <w:rFonts w:ascii="Calibri"/>
                <w:spacing w:val="-3"/>
                <w:sz w:val="20"/>
              </w:rPr>
              <w:t> </w:t>
            </w:r>
            <w:r>
              <w:rPr>
                <w:rFonts w:ascii="Calibri"/>
                <w:sz w:val="20"/>
              </w:rPr>
              <w:t>32,</w:t>
            </w:r>
            <w:r>
              <w:rPr>
                <w:rFonts w:ascii="Calibri"/>
                <w:spacing w:val="-2"/>
                <w:sz w:val="20"/>
              </w:rPr>
              <w:t> </w:t>
            </w:r>
            <w:r>
              <w:rPr>
                <w:rFonts w:ascii="Calibri"/>
                <w:sz w:val="20"/>
              </w:rPr>
              <w:t>Lots</w:t>
            </w:r>
            <w:r>
              <w:rPr>
                <w:rFonts w:ascii="Calibri"/>
                <w:spacing w:val="-5"/>
                <w:sz w:val="20"/>
              </w:rPr>
              <w:t> </w:t>
            </w:r>
            <w:r>
              <w:rPr>
                <w:rFonts w:ascii="Calibri"/>
                <w:sz w:val="20"/>
              </w:rPr>
              <w:t>1</w:t>
            </w:r>
            <w:r>
              <w:rPr>
                <w:rFonts w:ascii="Calibri"/>
                <w:spacing w:val="-3"/>
                <w:sz w:val="20"/>
              </w:rPr>
              <w:t> </w:t>
            </w:r>
            <w:r>
              <w:rPr>
                <w:rFonts w:ascii="Calibri"/>
                <w:sz w:val="20"/>
              </w:rPr>
              <w:t>and</w:t>
            </w:r>
            <w:r>
              <w:rPr>
                <w:rFonts w:ascii="Calibri"/>
                <w:spacing w:val="-2"/>
                <w:sz w:val="20"/>
              </w:rPr>
              <w:t> </w:t>
            </w:r>
            <w:r>
              <w:rPr>
                <w:rFonts w:ascii="Calibri"/>
                <w:spacing w:val="-10"/>
                <w:sz w:val="20"/>
              </w:rPr>
              <w:t>2</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73</w:t>
            </w:r>
          </w:p>
        </w:tc>
        <w:tc>
          <w:tcPr>
            <w:tcW w:w="2527" w:type="dxa"/>
          </w:tcPr>
          <w:p>
            <w:pPr>
              <w:pStyle w:val="TableParagraph"/>
              <w:spacing w:line="223" w:lineRule="exact" w:before="1"/>
              <w:ind w:left="108"/>
              <w:rPr>
                <w:rFonts w:ascii="Calibri"/>
                <w:sz w:val="20"/>
              </w:rPr>
            </w:pPr>
            <w:r>
              <w:rPr>
                <w:rFonts w:ascii="Calibri"/>
                <w:sz w:val="20"/>
              </w:rPr>
              <w:t>Sullivan</w:t>
            </w:r>
            <w:r>
              <w:rPr>
                <w:rFonts w:ascii="Calibri"/>
                <w:spacing w:val="-8"/>
                <w:sz w:val="20"/>
              </w:rPr>
              <w:t> </w:t>
            </w:r>
            <w:r>
              <w:rPr>
                <w:rFonts w:ascii="Calibri"/>
                <w:sz w:val="20"/>
              </w:rPr>
              <w:t>Lake</w:t>
            </w:r>
            <w:r>
              <w:rPr>
                <w:rFonts w:ascii="Calibri"/>
                <w:spacing w:val="-9"/>
                <w:sz w:val="20"/>
              </w:rPr>
              <w:t> </w:t>
            </w:r>
            <w:r>
              <w:rPr>
                <w:rFonts w:ascii="Calibri"/>
                <w:sz w:val="20"/>
              </w:rPr>
              <w:t>Reservoir</w:t>
            </w:r>
            <w:r>
              <w:rPr>
                <w:rFonts w:ascii="Calibri"/>
                <w:spacing w:val="-7"/>
                <w:sz w:val="20"/>
              </w:rPr>
              <w:t> </w:t>
            </w:r>
            <w:r>
              <w:rPr>
                <w:rFonts w:ascii="Calibri"/>
                <w:spacing w:val="-4"/>
                <w:sz w:val="20"/>
              </w:rPr>
              <w:t>Site</w:t>
            </w:r>
          </w:p>
        </w:tc>
        <w:tc>
          <w:tcPr>
            <w:tcW w:w="2145" w:type="dxa"/>
          </w:tcPr>
          <w:p>
            <w:pPr>
              <w:pStyle w:val="TableParagraph"/>
              <w:spacing w:line="223" w:lineRule="exact" w:before="1"/>
              <w:ind w:left="108"/>
              <w:rPr>
                <w:rFonts w:ascii="Calibri"/>
                <w:sz w:val="20"/>
              </w:rPr>
            </w:pPr>
            <w:r>
              <w:rPr>
                <w:rFonts w:ascii="Calibri"/>
                <w:sz w:val="20"/>
              </w:rPr>
              <w:t>Water</w:t>
            </w:r>
            <w:r>
              <w:rPr>
                <w:rFonts w:ascii="Calibri"/>
                <w:spacing w:val="-8"/>
                <w:sz w:val="20"/>
              </w:rPr>
              <w:t> </w:t>
            </w:r>
            <w:r>
              <w:rPr>
                <w:rFonts w:ascii="Calibri"/>
                <w:sz w:val="20"/>
              </w:rPr>
              <w:t>Reserve</w:t>
            </w:r>
            <w:r>
              <w:rPr>
                <w:rFonts w:ascii="Calibri"/>
                <w:spacing w:val="-9"/>
                <w:sz w:val="20"/>
              </w:rPr>
              <w:t> </w:t>
            </w:r>
            <w:r>
              <w:rPr>
                <w:rFonts w:ascii="Calibri"/>
                <w:spacing w:val="-5"/>
                <w:sz w:val="20"/>
              </w:rPr>
              <w:t>Wd</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30,</w:t>
            </w:r>
            <w:r>
              <w:rPr>
                <w:rFonts w:ascii="Calibri" w:hAnsi="Calibri"/>
                <w:spacing w:val="-2"/>
                <w:sz w:val="20"/>
              </w:rPr>
              <w:t> </w:t>
            </w:r>
            <w:r>
              <w:rPr>
                <w:rFonts w:ascii="Calibri" w:hAnsi="Calibri"/>
                <w:sz w:val="20"/>
              </w:rPr>
              <w:t>Lots</w:t>
            </w:r>
            <w:r>
              <w:rPr>
                <w:rFonts w:ascii="Calibri" w:hAnsi="Calibri"/>
                <w:spacing w:val="-3"/>
                <w:sz w:val="20"/>
              </w:rPr>
              <w:t> </w:t>
            </w:r>
            <w:r>
              <w:rPr>
                <w:rFonts w:ascii="Calibri" w:hAnsi="Calibri"/>
                <w:sz w:val="20"/>
              </w:rPr>
              <w:t>3</w:t>
            </w:r>
            <w:r>
              <w:rPr>
                <w:rFonts w:ascii="Calibri" w:hAnsi="Calibri"/>
                <w:spacing w:val="-3"/>
                <w:sz w:val="20"/>
              </w:rPr>
              <w:t> </w:t>
            </w:r>
            <w:r>
              <w:rPr>
                <w:rFonts w:ascii="Calibri" w:hAnsi="Calibri"/>
                <w:sz w:val="20"/>
              </w:rPr>
              <w:t>and</w:t>
            </w:r>
            <w:r>
              <w:rPr>
                <w:rFonts w:ascii="Calibri" w:hAnsi="Calibri"/>
                <w:spacing w:val="-3"/>
                <w:sz w:val="20"/>
              </w:rPr>
              <w:t> </w:t>
            </w:r>
            <w:r>
              <w:rPr>
                <w:rFonts w:ascii="Calibri" w:hAnsi="Calibri"/>
                <w:sz w:val="20"/>
              </w:rPr>
              <w:t>4,</w:t>
            </w:r>
            <w:r>
              <w:rPr>
                <w:rFonts w:ascii="Calibri" w:hAnsi="Calibri"/>
                <w:spacing w:val="39"/>
                <w:sz w:val="20"/>
              </w:rPr>
              <w:t> </w:t>
            </w:r>
            <w:r>
              <w:rPr>
                <w:rFonts w:ascii="Calibri" w:hAnsi="Calibri"/>
                <w:sz w:val="20"/>
              </w:rPr>
              <w:t>E½NW¼,</w:t>
            </w:r>
            <w:r>
              <w:rPr>
                <w:rFonts w:ascii="Calibri" w:hAnsi="Calibri"/>
                <w:spacing w:val="-2"/>
                <w:sz w:val="20"/>
              </w:rPr>
              <w:t> NW¼SW¼,</w:t>
            </w:r>
          </w:p>
        </w:tc>
        <w:tc>
          <w:tcPr>
            <w:tcW w:w="900" w:type="dxa"/>
          </w:tcPr>
          <w:p>
            <w:pPr>
              <w:pStyle w:val="TableParagraph"/>
              <w:spacing w:line="223" w:lineRule="exact" w:before="1"/>
              <w:ind w:left="7" w:right="3"/>
              <w:jc w:val="center"/>
              <w:rPr>
                <w:rFonts w:ascii="Calibri"/>
                <w:sz w:val="20"/>
              </w:rPr>
            </w:pPr>
            <w:r>
              <w:rPr>
                <w:rFonts w:ascii="Calibri"/>
                <w:spacing w:val="-2"/>
                <w:sz w:val="20"/>
              </w:rPr>
              <w:t>199.78</w:t>
            </w:r>
          </w:p>
        </w:tc>
      </w:tr>
    </w:tbl>
    <w:p>
      <w:pPr>
        <w:pStyle w:val="BodyText"/>
        <w:spacing w:before="91"/>
        <w:rPr>
          <w:sz w:val="20"/>
        </w:rPr>
      </w:pPr>
      <w:r>
        <w:rPr>
          <w:sz w:val="20"/>
        </w:rPr>
        <mc:AlternateContent>
          <mc:Choice Requires="wps">
            <w:drawing>
              <wp:anchor distT="0" distB="0" distL="0" distR="0" allowOverlap="1" layoutInCell="1" locked="0" behindDoc="1" simplePos="0" relativeHeight="487648256">
                <wp:simplePos x="0" y="0"/>
                <wp:positionH relativeFrom="page">
                  <wp:posOffset>914400</wp:posOffset>
                </wp:positionH>
                <wp:positionV relativeFrom="paragraph">
                  <wp:posOffset>228358</wp:posOffset>
                </wp:positionV>
                <wp:extent cx="1828800" cy="7620"/>
                <wp:effectExtent l="0" t="0" r="0" b="0"/>
                <wp:wrapTopAndBottom/>
                <wp:docPr id="393" name="Graphic 393"/>
                <wp:cNvGraphicFramePr>
                  <a:graphicFrameLocks/>
                </wp:cNvGraphicFramePr>
                <a:graphic>
                  <a:graphicData uri="http://schemas.microsoft.com/office/word/2010/wordprocessingShape">
                    <wps:wsp>
                      <wps:cNvPr id="393" name="Graphic 393"/>
                      <wps:cNvSpPr/>
                      <wps:spPr>
                        <a:xfrm>
                          <a:off x="0" y="0"/>
                          <a:ext cx="1828800" cy="7620"/>
                        </a:xfrm>
                        <a:custGeom>
                          <a:avLst/>
                          <a:gdLst/>
                          <a:ahLst/>
                          <a:cxnLst/>
                          <a:rect l="l" t="t" r="r" b="b"/>
                          <a:pathLst>
                            <a:path w="1828800" h="7620">
                              <a:moveTo>
                                <a:pt x="1828800" y="0"/>
                              </a:moveTo>
                              <a:lnTo>
                                <a:pt x="0" y="0"/>
                              </a:lnTo>
                              <a:lnTo>
                                <a:pt x="0" y="7607"/>
                              </a:lnTo>
                              <a:lnTo>
                                <a:pt x="1828800" y="760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2pt;margin-top:17.981001pt;width:144pt;height:.599pt;mso-position-horizontal-relative:page;mso-position-vertical-relative:paragraph;z-index:-15668224;mso-wrap-distance-left:0;mso-wrap-distance-right:0" id="docshape368" filled="true" fillcolor="#000000" stroked="false">
                <v:fill type="solid"/>
                <w10:wrap type="topAndBottom"/>
              </v:rect>
            </w:pict>
          </mc:Fallback>
        </mc:AlternateContent>
      </w:r>
    </w:p>
    <w:p>
      <w:pPr>
        <w:spacing w:before="95"/>
        <w:ind w:left="360" w:right="0" w:firstLine="0"/>
        <w:jc w:val="left"/>
        <w:rPr>
          <w:sz w:val="18"/>
        </w:rPr>
      </w:pPr>
      <w:r>
        <w:rPr>
          <w:position w:val="5"/>
          <w:sz w:val="12"/>
        </w:rPr>
        <w:t>35</w:t>
      </w:r>
      <w:r>
        <w:rPr>
          <w:spacing w:val="10"/>
          <w:position w:val="5"/>
          <w:sz w:val="12"/>
        </w:rPr>
        <w:t> </w:t>
      </w:r>
      <w:r>
        <w:rPr>
          <w:sz w:val="18"/>
        </w:rPr>
        <w:t>Research</w:t>
      </w:r>
      <w:r>
        <w:rPr>
          <w:spacing w:val="-3"/>
          <w:sz w:val="18"/>
        </w:rPr>
        <w:t> </w:t>
      </w:r>
      <w:r>
        <w:rPr>
          <w:sz w:val="18"/>
        </w:rPr>
        <w:t>Natural</w:t>
      </w:r>
      <w:r>
        <w:rPr>
          <w:spacing w:val="-3"/>
          <w:sz w:val="18"/>
        </w:rPr>
        <w:t> </w:t>
      </w:r>
      <w:r>
        <w:rPr>
          <w:spacing w:val="-4"/>
          <w:sz w:val="18"/>
        </w:rPr>
        <w:t>Area</w:t>
      </w:r>
    </w:p>
    <w:p>
      <w:pPr>
        <w:spacing w:after="0"/>
        <w:jc w:val="left"/>
        <w:rPr>
          <w:sz w:val="18"/>
        </w:rPr>
        <w:sectPr>
          <w:pgSz w:w="15840" w:h="12240" w:orient="landscape"/>
          <w:pgMar w:header="725" w:footer="891" w:top="1440" w:bottom="1080" w:left="1080" w:right="360"/>
        </w:sectPr>
      </w:pPr>
    </w:p>
    <w:p>
      <w:pPr>
        <w:pStyle w:val="BodyText"/>
        <w:spacing w:before="169"/>
        <w:rPr>
          <w:sz w:val="20"/>
        </w:rPr>
      </w:pPr>
    </w:p>
    <w:tbl>
      <w:tblPr>
        <w:tblW w:w="0" w:type="auto"/>
        <w:jc w:val="left"/>
        <w:tblInd w:w="370" w:type="dxa"/>
        <w:tblBorders>
          <w:top w:val="single" w:sz="4" w:space="0" w:color="9BBA58"/>
          <w:left w:val="single" w:sz="4" w:space="0" w:color="9BBA58"/>
          <w:bottom w:val="single" w:sz="4" w:space="0" w:color="9BBA58"/>
          <w:right w:val="single" w:sz="4" w:space="0" w:color="9BBA58"/>
          <w:insideH w:val="single" w:sz="4" w:space="0" w:color="9BBA58"/>
          <w:insideV w:val="single" w:sz="4" w:space="0" w:color="9BBA58"/>
        </w:tblBorders>
        <w:tblLayout w:type="fixed"/>
        <w:tblCellMar>
          <w:top w:w="0" w:type="dxa"/>
          <w:left w:w="0" w:type="dxa"/>
          <w:bottom w:w="0" w:type="dxa"/>
          <w:right w:w="0" w:type="dxa"/>
        </w:tblCellMar>
        <w:tblLook w:val="01E0"/>
      </w:tblPr>
      <w:tblGrid>
        <w:gridCol w:w="835"/>
        <w:gridCol w:w="2527"/>
        <w:gridCol w:w="2145"/>
        <w:gridCol w:w="1293"/>
        <w:gridCol w:w="933"/>
        <w:gridCol w:w="4315"/>
        <w:gridCol w:w="900"/>
      </w:tblGrid>
      <w:tr>
        <w:trPr>
          <w:trHeight w:val="493" w:hRule="atLeast"/>
        </w:trPr>
        <w:tc>
          <w:tcPr>
            <w:tcW w:w="835" w:type="dxa"/>
            <w:shd w:val="clear" w:color="auto" w:fill="D5E2BB"/>
          </w:tcPr>
          <w:p>
            <w:pPr>
              <w:pStyle w:val="TableParagraph"/>
              <w:spacing w:before="143"/>
              <w:ind w:left="9"/>
              <w:jc w:val="center"/>
              <w:rPr>
                <w:b/>
                <w:sz w:val="18"/>
              </w:rPr>
            </w:pPr>
            <w:r>
              <w:rPr>
                <w:b/>
                <w:sz w:val="18"/>
              </w:rPr>
              <w:t>Map</w:t>
            </w:r>
            <w:r>
              <w:rPr>
                <w:b/>
                <w:spacing w:val="-4"/>
                <w:sz w:val="18"/>
              </w:rPr>
              <w:t> </w:t>
            </w:r>
            <w:r>
              <w:rPr>
                <w:b/>
                <w:spacing w:val="-10"/>
                <w:sz w:val="18"/>
              </w:rPr>
              <w:t>#</w:t>
            </w:r>
          </w:p>
        </w:tc>
        <w:tc>
          <w:tcPr>
            <w:tcW w:w="2527" w:type="dxa"/>
            <w:shd w:val="clear" w:color="auto" w:fill="D5E2BB"/>
          </w:tcPr>
          <w:p>
            <w:pPr>
              <w:pStyle w:val="TableParagraph"/>
              <w:spacing w:before="143"/>
              <w:ind w:left="801"/>
              <w:rPr>
                <w:b/>
                <w:sz w:val="18"/>
              </w:rPr>
            </w:pPr>
            <w:r>
              <w:rPr>
                <w:b/>
                <w:sz w:val="18"/>
              </w:rPr>
              <w:t>Area</w:t>
            </w:r>
            <w:r>
              <w:rPr>
                <w:b/>
                <w:spacing w:val="-5"/>
                <w:sz w:val="18"/>
              </w:rPr>
              <w:t> </w:t>
            </w:r>
            <w:r>
              <w:rPr>
                <w:b/>
                <w:spacing w:val="-4"/>
                <w:sz w:val="18"/>
              </w:rPr>
              <w:t>name</w:t>
            </w:r>
          </w:p>
        </w:tc>
        <w:tc>
          <w:tcPr>
            <w:tcW w:w="2145" w:type="dxa"/>
            <w:shd w:val="clear" w:color="auto" w:fill="D5E2BB"/>
          </w:tcPr>
          <w:p>
            <w:pPr>
              <w:pStyle w:val="TableParagraph"/>
              <w:spacing w:before="143"/>
              <w:ind w:left="662"/>
              <w:rPr>
                <w:b/>
                <w:sz w:val="18"/>
              </w:rPr>
            </w:pPr>
            <w:r>
              <w:rPr>
                <w:b/>
                <w:sz w:val="18"/>
              </w:rPr>
              <w:t>Area</w:t>
            </w:r>
            <w:r>
              <w:rPr>
                <w:b/>
                <w:spacing w:val="-5"/>
                <w:sz w:val="18"/>
              </w:rPr>
              <w:t> </w:t>
            </w:r>
            <w:r>
              <w:rPr>
                <w:b/>
                <w:spacing w:val="-4"/>
                <w:sz w:val="18"/>
              </w:rPr>
              <w:t>type</w:t>
            </w:r>
          </w:p>
        </w:tc>
        <w:tc>
          <w:tcPr>
            <w:tcW w:w="1293" w:type="dxa"/>
            <w:shd w:val="clear" w:color="auto" w:fill="D5E2BB"/>
          </w:tcPr>
          <w:p>
            <w:pPr>
              <w:pStyle w:val="TableParagraph"/>
              <w:spacing w:before="143"/>
              <w:ind w:left="16"/>
              <w:jc w:val="center"/>
              <w:rPr>
                <w:b/>
                <w:sz w:val="18"/>
              </w:rPr>
            </w:pPr>
            <w:r>
              <w:rPr>
                <w:b/>
                <w:spacing w:val="-2"/>
                <w:sz w:val="18"/>
              </w:rPr>
              <w:t>Township</w:t>
            </w:r>
          </w:p>
        </w:tc>
        <w:tc>
          <w:tcPr>
            <w:tcW w:w="933" w:type="dxa"/>
            <w:shd w:val="clear" w:color="auto" w:fill="D5E2BB"/>
          </w:tcPr>
          <w:p>
            <w:pPr>
              <w:pStyle w:val="TableParagraph"/>
              <w:spacing w:before="143"/>
              <w:ind w:left="10"/>
              <w:jc w:val="center"/>
              <w:rPr>
                <w:b/>
                <w:sz w:val="18"/>
              </w:rPr>
            </w:pPr>
            <w:r>
              <w:rPr>
                <w:b/>
                <w:spacing w:val="-2"/>
                <w:sz w:val="18"/>
              </w:rPr>
              <w:t>Range</w:t>
            </w:r>
          </w:p>
        </w:tc>
        <w:tc>
          <w:tcPr>
            <w:tcW w:w="4315" w:type="dxa"/>
            <w:shd w:val="clear" w:color="auto" w:fill="D5E2BB"/>
          </w:tcPr>
          <w:p>
            <w:pPr>
              <w:pStyle w:val="TableParagraph"/>
              <w:ind w:left="1283" w:hanging="821"/>
              <w:rPr>
                <w:b/>
                <w:sz w:val="18"/>
              </w:rPr>
            </w:pPr>
            <w:r>
              <w:rPr>
                <w:b/>
                <w:sz w:val="18"/>
              </w:rPr>
              <w:t>Section</w:t>
            </w:r>
            <w:r>
              <w:rPr>
                <w:b/>
                <w:spacing w:val="-6"/>
                <w:sz w:val="18"/>
              </w:rPr>
              <w:t> </w:t>
            </w:r>
            <w:r>
              <w:rPr>
                <w:b/>
                <w:sz w:val="18"/>
              </w:rPr>
              <w:t>(all</w:t>
            </w:r>
            <w:r>
              <w:rPr>
                <w:b/>
                <w:spacing w:val="-6"/>
                <w:sz w:val="18"/>
              </w:rPr>
              <w:t> </w:t>
            </w:r>
            <w:r>
              <w:rPr>
                <w:b/>
                <w:sz w:val="18"/>
              </w:rPr>
              <w:t>legal</w:t>
            </w:r>
            <w:r>
              <w:rPr>
                <w:b/>
                <w:spacing w:val="-6"/>
                <w:sz w:val="18"/>
              </w:rPr>
              <w:t> </w:t>
            </w:r>
            <w:r>
              <w:rPr>
                <w:b/>
                <w:sz w:val="18"/>
              </w:rPr>
              <w:t>descriptions</w:t>
            </w:r>
            <w:r>
              <w:rPr>
                <w:b/>
                <w:spacing w:val="-5"/>
                <w:sz w:val="18"/>
              </w:rPr>
              <w:t> </w:t>
            </w:r>
            <w:r>
              <w:rPr>
                <w:b/>
                <w:sz w:val="18"/>
              </w:rPr>
              <w:t>are</w:t>
            </w:r>
            <w:r>
              <w:rPr>
                <w:b/>
                <w:spacing w:val="-5"/>
                <w:sz w:val="18"/>
              </w:rPr>
              <w:t> </w:t>
            </w:r>
            <w:r>
              <w:rPr>
                <w:b/>
                <w:sz w:val="18"/>
              </w:rPr>
              <w:t>in</w:t>
            </w:r>
            <w:r>
              <w:rPr>
                <w:b/>
                <w:spacing w:val="-8"/>
                <w:sz w:val="18"/>
              </w:rPr>
              <w:t> </w:t>
            </w:r>
            <w:r>
              <w:rPr>
                <w:b/>
                <w:sz w:val="18"/>
              </w:rPr>
              <w:t>the Willamette Meridian)</w:t>
            </w:r>
          </w:p>
        </w:tc>
        <w:tc>
          <w:tcPr>
            <w:tcW w:w="900" w:type="dxa"/>
            <w:shd w:val="clear" w:color="auto" w:fill="D5E2BB"/>
          </w:tcPr>
          <w:p>
            <w:pPr>
              <w:pStyle w:val="TableParagraph"/>
              <w:spacing w:before="143"/>
              <w:ind w:left="7"/>
              <w:jc w:val="center"/>
              <w:rPr>
                <w:b/>
                <w:sz w:val="18"/>
              </w:rPr>
            </w:pPr>
            <w:r>
              <w:rPr>
                <w:b/>
                <w:spacing w:val="-2"/>
                <w:sz w:val="18"/>
              </w:rPr>
              <w:t>Acres</w:t>
            </w:r>
          </w:p>
        </w:tc>
      </w:tr>
      <w:tr>
        <w:trPr>
          <w:trHeight w:val="731" w:hRule="atLeast"/>
        </w:trPr>
        <w:tc>
          <w:tcPr>
            <w:tcW w:w="835" w:type="dxa"/>
          </w:tcPr>
          <w:p>
            <w:pPr>
              <w:pStyle w:val="TableParagraph"/>
              <w:spacing w:before="1"/>
              <w:ind w:left="9" w:right="5"/>
              <w:jc w:val="center"/>
              <w:rPr>
                <w:rFonts w:ascii="Calibri"/>
                <w:sz w:val="20"/>
              </w:rPr>
            </w:pPr>
            <w:r>
              <w:rPr>
                <w:rFonts w:ascii="Calibri"/>
                <w:spacing w:val="-5"/>
                <w:sz w:val="20"/>
              </w:rPr>
              <w:t>74</w:t>
            </w:r>
          </w:p>
        </w:tc>
        <w:tc>
          <w:tcPr>
            <w:tcW w:w="2527" w:type="dxa"/>
          </w:tcPr>
          <w:p>
            <w:pPr>
              <w:pStyle w:val="TableParagraph"/>
              <w:spacing w:before="1"/>
              <w:ind w:left="108"/>
              <w:rPr>
                <w:rFonts w:ascii="Calibri"/>
                <w:sz w:val="20"/>
              </w:rPr>
            </w:pPr>
            <w:r>
              <w:rPr>
                <w:rFonts w:ascii="Calibri"/>
                <w:sz w:val="20"/>
              </w:rPr>
              <w:t>Sullivan</w:t>
            </w:r>
            <w:r>
              <w:rPr>
                <w:rFonts w:ascii="Calibri"/>
                <w:spacing w:val="-12"/>
                <w:sz w:val="20"/>
              </w:rPr>
              <w:t> </w:t>
            </w:r>
            <w:r>
              <w:rPr>
                <w:rFonts w:ascii="Calibri"/>
                <w:sz w:val="20"/>
              </w:rPr>
              <w:t>Lake</w:t>
            </w:r>
            <w:r>
              <w:rPr>
                <w:rFonts w:ascii="Calibri"/>
                <w:spacing w:val="-11"/>
                <w:sz w:val="20"/>
              </w:rPr>
              <w:t> </w:t>
            </w:r>
            <w:r>
              <w:rPr>
                <w:rFonts w:ascii="Calibri"/>
                <w:sz w:val="20"/>
              </w:rPr>
              <w:t>Administrative </w:t>
            </w:r>
            <w:r>
              <w:rPr>
                <w:rFonts w:ascii="Calibri"/>
                <w:spacing w:val="-4"/>
                <w:sz w:val="20"/>
              </w:rPr>
              <w:t>Site</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20"/>
              </w:rPr>
            </w:pPr>
            <w:r>
              <w:rPr>
                <w:rFonts w:ascii="Calibri" w:hAnsi="Calibri"/>
                <w:sz w:val="20"/>
              </w:rPr>
              <w:t>Section</w:t>
            </w:r>
            <w:r>
              <w:rPr>
                <w:rFonts w:ascii="Calibri" w:hAnsi="Calibri"/>
                <w:spacing w:val="-5"/>
                <w:sz w:val="20"/>
              </w:rPr>
              <w:t> </w:t>
            </w:r>
            <w:r>
              <w:rPr>
                <w:rFonts w:ascii="Calibri" w:hAnsi="Calibri"/>
                <w:sz w:val="20"/>
              </w:rPr>
              <w:t>29,</w:t>
            </w:r>
            <w:r>
              <w:rPr>
                <w:rFonts w:ascii="Calibri" w:hAnsi="Calibri"/>
                <w:spacing w:val="-4"/>
                <w:sz w:val="20"/>
              </w:rPr>
              <w:t> </w:t>
            </w:r>
            <w:r>
              <w:rPr>
                <w:rFonts w:ascii="Calibri" w:hAnsi="Calibri"/>
                <w:sz w:val="20"/>
              </w:rPr>
              <w:t>Lot</w:t>
            </w:r>
            <w:r>
              <w:rPr>
                <w:rFonts w:ascii="Calibri" w:hAnsi="Calibri"/>
                <w:spacing w:val="-5"/>
                <w:sz w:val="20"/>
              </w:rPr>
              <w:t> </w:t>
            </w:r>
            <w:r>
              <w:rPr>
                <w:rFonts w:ascii="Calibri" w:hAnsi="Calibri"/>
                <w:sz w:val="20"/>
              </w:rPr>
              <w:t>3,</w:t>
            </w:r>
            <w:r>
              <w:rPr>
                <w:rFonts w:ascii="Calibri" w:hAnsi="Calibri"/>
                <w:spacing w:val="-4"/>
                <w:sz w:val="20"/>
              </w:rPr>
              <w:t> </w:t>
            </w:r>
            <w:r>
              <w:rPr>
                <w:rFonts w:ascii="Calibri" w:hAnsi="Calibri"/>
                <w:sz w:val="20"/>
              </w:rPr>
              <w:t>SW14/SW¼;</w:t>
            </w:r>
            <w:r>
              <w:rPr>
                <w:rFonts w:ascii="Calibri" w:hAnsi="Calibri"/>
                <w:spacing w:val="-4"/>
                <w:sz w:val="20"/>
              </w:rPr>
              <w:t> </w:t>
            </w:r>
            <w:r>
              <w:rPr>
                <w:rFonts w:ascii="Calibri" w:hAnsi="Calibri"/>
                <w:sz w:val="20"/>
              </w:rPr>
              <w:t>Sec.</w:t>
            </w:r>
            <w:r>
              <w:rPr>
                <w:rFonts w:ascii="Calibri" w:hAnsi="Calibri"/>
                <w:spacing w:val="-5"/>
                <w:sz w:val="20"/>
              </w:rPr>
              <w:t> </w:t>
            </w:r>
            <w:r>
              <w:rPr>
                <w:rFonts w:ascii="Calibri" w:hAnsi="Calibri"/>
                <w:sz w:val="20"/>
              </w:rPr>
              <w:t>30,</w:t>
            </w:r>
            <w:r>
              <w:rPr>
                <w:rFonts w:ascii="Calibri" w:hAnsi="Calibri"/>
                <w:spacing w:val="-4"/>
                <w:sz w:val="20"/>
              </w:rPr>
              <w:t> </w:t>
            </w:r>
            <w:r>
              <w:rPr>
                <w:rFonts w:ascii="Calibri" w:hAnsi="Calibri"/>
                <w:sz w:val="20"/>
              </w:rPr>
              <w:t>Lots</w:t>
            </w:r>
            <w:r>
              <w:rPr>
                <w:rFonts w:ascii="Calibri" w:hAnsi="Calibri"/>
                <w:spacing w:val="-6"/>
                <w:sz w:val="20"/>
              </w:rPr>
              <w:t> </w:t>
            </w:r>
            <w:r>
              <w:rPr>
                <w:rFonts w:ascii="Calibri" w:hAnsi="Calibri"/>
                <w:sz w:val="20"/>
              </w:rPr>
              <w:t>6</w:t>
            </w:r>
            <w:r>
              <w:rPr>
                <w:rFonts w:ascii="Calibri" w:hAnsi="Calibri"/>
                <w:spacing w:val="-5"/>
                <w:sz w:val="20"/>
              </w:rPr>
              <w:t> and</w:t>
            </w:r>
          </w:p>
          <w:p>
            <w:pPr>
              <w:pStyle w:val="TableParagraph"/>
              <w:spacing w:line="243" w:lineRule="exact" w:before="1"/>
              <w:ind w:left="110"/>
              <w:rPr>
                <w:rFonts w:ascii="Calibri" w:hAnsi="Calibri"/>
                <w:sz w:val="20"/>
              </w:rPr>
            </w:pPr>
            <w:r>
              <w:rPr>
                <w:rFonts w:ascii="Calibri" w:hAnsi="Calibri"/>
                <w:sz w:val="20"/>
              </w:rPr>
              <w:t>7;</w:t>
            </w:r>
            <w:r>
              <w:rPr>
                <w:rFonts w:ascii="Calibri" w:hAnsi="Calibri"/>
                <w:spacing w:val="-5"/>
                <w:sz w:val="20"/>
              </w:rPr>
              <w:t> </w:t>
            </w:r>
            <w:r>
              <w:rPr>
                <w:rFonts w:ascii="Calibri" w:hAnsi="Calibri"/>
                <w:sz w:val="20"/>
              </w:rPr>
              <w:t>S½SE¼;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31,</w:t>
            </w:r>
            <w:r>
              <w:rPr>
                <w:rFonts w:ascii="Calibri" w:hAnsi="Calibri"/>
                <w:spacing w:val="-2"/>
                <w:sz w:val="20"/>
              </w:rPr>
              <w:t> </w:t>
            </w:r>
            <w:r>
              <w:rPr>
                <w:rFonts w:ascii="Calibri" w:hAnsi="Calibri"/>
                <w:sz w:val="20"/>
              </w:rPr>
              <w:t>Lots4</w:t>
            </w:r>
            <w:r>
              <w:rPr>
                <w:rFonts w:ascii="Calibri" w:hAnsi="Calibri"/>
                <w:spacing w:val="-4"/>
                <w:sz w:val="20"/>
              </w:rPr>
              <w:t> </w:t>
            </w:r>
            <w:r>
              <w:rPr>
                <w:rFonts w:ascii="Calibri" w:hAnsi="Calibri"/>
                <w:sz w:val="20"/>
              </w:rPr>
              <w:t>and</w:t>
            </w:r>
            <w:r>
              <w:rPr>
                <w:rFonts w:ascii="Calibri" w:hAnsi="Calibri"/>
                <w:spacing w:val="-3"/>
                <w:sz w:val="20"/>
              </w:rPr>
              <w:t> </w:t>
            </w:r>
            <w:r>
              <w:rPr>
                <w:rFonts w:ascii="Calibri" w:hAnsi="Calibri"/>
                <w:sz w:val="20"/>
              </w:rPr>
              <w:t>5,</w:t>
            </w:r>
            <w:r>
              <w:rPr>
                <w:rFonts w:ascii="Calibri" w:hAnsi="Calibri"/>
                <w:spacing w:val="40"/>
                <w:sz w:val="20"/>
              </w:rPr>
              <w:t> </w:t>
            </w:r>
            <w:r>
              <w:rPr>
                <w:rFonts w:ascii="Calibri" w:hAnsi="Calibri"/>
                <w:sz w:val="20"/>
              </w:rPr>
              <w:t>N½NE¼,</w:t>
            </w:r>
            <w:r>
              <w:rPr>
                <w:rFonts w:ascii="Calibri" w:hAnsi="Calibri"/>
                <w:spacing w:val="-2"/>
                <w:sz w:val="20"/>
              </w:rPr>
              <w:t> </w:t>
            </w:r>
            <w:r>
              <w:rPr>
                <w:rFonts w:ascii="Calibri" w:hAnsi="Calibri"/>
                <w:sz w:val="20"/>
              </w:rPr>
              <w:t>Sec.</w:t>
            </w:r>
            <w:r>
              <w:rPr>
                <w:rFonts w:ascii="Calibri" w:hAnsi="Calibri"/>
                <w:spacing w:val="-4"/>
                <w:sz w:val="20"/>
              </w:rPr>
              <w:t> </w:t>
            </w:r>
            <w:r>
              <w:rPr>
                <w:rFonts w:ascii="Calibri" w:hAnsi="Calibri"/>
                <w:spacing w:val="-5"/>
                <w:sz w:val="20"/>
              </w:rPr>
              <w:t>32,</w:t>
            </w:r>
          </w:p>
          <w:p>
            <w:pPr>
              <w:pStyle w:val="TableParagraph"/>
              <w:spacing w:line="222" w:lineRule="exact" w:before="0"/>
              <w:ind w:left="110"/>
              <w:rPr>
                <w:rFonts w:ascii="Calibri" w:hAnsi="Calibri"/>
                <w:sz w:val="20"/>
              </w:rPr>
            </w:pPr>
            <w:r>
              <w:rPr>
                <w:rFonts w:ascii="Calibri" w:hAnsi="Calibri"/>
                <w:spacing w:val="-2"/>
                <w:sz w:val="20"/>
              </w:rPr>
              <w:t>W½NW¼</w:t>
            </w:r>
          </w:p>
        </w:tc>
        <w:tc>
          <w:tcPr>
            <w:tcW w:w="900" w:type="dxa"/>
          </w:tcPr>
          <w:p>
            <w:pPr>
              <w:pStyle w:val="TableParagraph"/>
              <w:spacing w:before="1"/>
              <w:ind w:left="7"/>
              <w:jc w:val="center"/>
              <w:rPr>
                <w:rFonts w:ascii="Calibri"/>
                <w:sz w:val="20"/>
              </w:rPr>
            </w:pPr>
            <w:r>
              <w:rPr>
                <w:rFonts w:ascii="Calibri"/>
                <w:spacing w:val="-5"/>
                <w:sz w:val="20"/>
              </w:rPr>
              <w:t>422</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75</w:t>
            </w:r>
          </w:p>
        </w:tc>
        <w:tc>
          <w:tcPr>
            <w:tcW w:w="2527" w:type="dxa"/>
          </w:tcPr>
          <w:p>
            <w:pPr>
              <w:pStyle w:val="TableParagraph"/>
              <w:spacing w:line="223" w:lineRule="exact" w:before="1"/>
              <w:ind w:left="108"/>
              <w:rPr>
                <w:rFonts w:ascii="Calibri"/>
                <w:sz w:val="20"/>
              </w:rPr>
            </w:pPr>
            <w:r>
              <w:rPr>
                <w:rFonts w:ascii="Calibri"/>
                <w:sz w:val="20"/>
              </w:rPr>
              <w:t>Sullivan</w:t>
            </w:r>
            <w:r>
              <w:rPr>
                <w:rFonts w:ascii="Calibri"/>
                <w:spacing w:val="-7"/>
                <w:sz w:val="20"/>
              </w:rPr>
              <w:t> </w:t>
            </w:r>
            <w:r>
              <w:rPr>
                <w:rFonts w:ascii="Calibri"/>
                <w:sz w:val="20"/>
              </w:rPr>
              <w:t>Mtn</w:t>
            </w:r>
            <w:r>
              <w:rPr>
                <w:rFonts w:ascii="Calibri"/>
                <w:spacing w:val="-7"/>
                <w:sz w:val="20"/>
              </w:rPr>
              <w:t> </w:t>
            </w:r>
            <w:r>
              <w:rPr>
                <w:rFonts w:ascii="Calibri"/>
                <w:spacing w:val="-2"/>
                <w:sz w:val="20"/>
              </w:rPr>
              <w:t>Lookout</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16,</w:t>
            </w:r>
            <w:r>
              <w:rPr>
                <w:rFonts w:ascii="Calibri" w:hAnsi="Calibri"/>
                <w:spacing w:val="-4"/>
                <w:sz w:val="20"/>
              </w:rPr>
              <w:t> </w:t>
            </w:r>
            <w:r>
              <w:rPr>
                <w:rFonts w:ascii="Calibri" w:hAnsi="Calibri"/>
                <w:spacing w:val="-2"/>
                <w:sz w:val="20"/>
              </w:rPr>
              <w:t>NE¼SW¼</w:t>
            </w:r>
          </w:p>
        </w:tc>
        <w:tc>
          <w:tcPr>
            <w:tcW w:w="900" w:type="dxa"/>
          </w:tcPr>
          <w:p>
            <w:pPr>
              <w:pStyle w:val="TableParagraph"/>
              <w:spacing w:line="223" w:lineRule="exact" w:before="1"/>
              <w:ind w:left="7"/>
              <w:jc w:val="center"/>
              <w:rPr>
                <w:rFonts w:ascii="Calibri"/>
                <w:sz w:val="20"/>
              </w:rPr>
            </w:pPr>
            <w:r>
              <w:rPr>
                <w:rFonts w:ascii="Calibri"/>
                <w:spacing w:val="-5"/>
                <w:sz w:val="20"/>
              </w:rPr>
              <w:t>40</w:t>
            </w:r>
          </w:p>
        </w:tc>
      </w:tr>
      <w:tr>
        <w:trPr>
          <w:trHeight w:val="1319" w:hRule="atLeast"/>
        </w:trPr>
        <w:tc>
          <w:tcPr>
            <w:tcW w:w="835" w:type="dxa"/>
          </w:tcPr>
          <w:p>
            <w:pPr>
              <w:pStyle w:val="TableParagraph"/>
              <w:spacing w:before="1"/>
              <w:ind w:left="9" w:right="5"/>
              <w:jc w:val="center"/>
              <w:rPr>
                <w:rFonts w:ascii="Calibri"/>
                <w:sz w:val="20"/>
              </w:rPr>
            </w:pPr>
            <w:r>
              <w:rPr>
                <w:rFonts w:ascii="Calibri"/>
                <w:spacing w:val="-5"/>
                <w:sz w:val="20"/>
              </w:rPr>
              <w:t>71</w:t>
            </w:r>
          </w:p>
        </w:tc>
        <w:tc>
          <w:tcPr>
            <w:tcW w:w="2527" w:type="dxa"/>
          </w:tcPr>
          <w:p>
            <w:pPr>
              <w:pStyle w:val="TableParagraph"/>
              <w:spacing w:before="1"/>
              <w:ind w:left="108" w:right="185"/>
              <w:rPr>
                <w:rFonts w:ascii="Calibri"/>
                <w:sz w:val="20"/>
              </w:rPr>
            </w:pPr>
            <w:r>
              <w:rPr>
                <w:rFonts w:ascii="Calibri"/>
                <w:sz w:val="20"/>
              </w:rPr>
              <w:t>Sullivan</w:t>
            </w:r>
            <w:r>
              <w:rPr>
                <w:rFonts w:ascii="Calibri"/>
                <w:spacing w:val="-12"/>
                <w:sz w:val="20"/>
              </w:rPr>
              <w:t> </w:t>
            </w:r>
            <w:r>
              <w:rPr>
                <w:rFonts w:ascii="Calibri"/>
                <w:sz w:val="20"/>
              </w:rPr>
              <w:t>Creek</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39</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hAnsi="Calibri"/>
                <w:sz w:val="18"/>
              </w:rPr>
            </w:pPr>
            <w:r>
              <w:rPr>
                <w:rFonts w:ascii="Calibri" w:hAnsi="Calibri"/>
                <w:sz w:val="18"/>
              </w:rPr>
              <w:t>Sec.</w:t>
            </w:r>
            <w:r>
              <w:rPr>
                <w:rFonts w:ascii="Calibri" w:hAnsi="Calibri"/>
                <w:spacing w:val="-5"/>
                <w:sz w:val="18"/>
              </w:rPr>
              <w:t> </w:t>
            </w:r>
            <w:r>
              <w:rPr>
                <w:rFonts w:ascii="Calibri" w:hAnsi="Calibri"/>
                <w:sz w:val="18"/>
              </w:rPr>
              <w:t>9,</w:t>
            </w:r>
            <w:r>
              <w:rPr>
                <w:rFonts w:ascii="Calibri" w:hAnsi="Calibri"/>
                <w:spacing w:val="-5"/>
                <w:sz w:val="18"/>
              </w:rPr>
              <w:t> </w:t>
            </w:r>
            <w:r>
              <w:rPr>
                <w:rFonts w:ascii="Calibri" w:hAnsi="Calibri"/>
                <w:sz w:val="18"/>
              </w:rPr>
              <w:t>SE¼SE¼;</w:t>
            </w:r>
            <w:r>
              <w:rPr>
                <w:rFonts w:ascii="Calibri" w:hAnsi="Calibri"/>
                <w:spacing w:val="-5"/>
                <w:sz w:val="18"/>
              </w:rPr>
              <w:t> </w:t>
            </w:r>
            <w:r>
              <w:rPr>
                <w:rFonts w:ascii="Calibri" w:hAnsi="Calibri"/>
                <w:sz w:val="18"/>
              </w:rPr>
              <w:t>Sec.</w:t>
            </w:r>
            <w:r>
              <w:rPr>
                <w:rFonts w:ascii="Calibri" w:hAnsi="Calibri"/>
                <w:spacing w:val="-5"/>
                <w:sz w:val="18"/>
              </w:rPr>
              <w:t> </w:t>
            </w:r>
            <w:r>
              <w:rPr>
                <w:rFonts w:ascii="Calibri" w:hAnsi="Calibri"/>
                <w:sz w:val="18"/>
              </w:rPr>
              <w:t>10,</w:t>
            </w:r>
            <w:r>
              <w:rPr>
                <w:rFonts w:ascii="Calibri" w:hAnsi="Calibri"/>
                <w:spacing w:val="-5"/>
                <w:sz w:val="18"/>
              </w:rPr>
              <w:t> </w:t>
            </w:r>
            <w:r>
              <w:rPr>
                <w:rFonts w:ascii="Calibri" w:hAnsi="Calibri"/>
                <w:sz w:val="18"/>
              </w:rPr>
              <w:t>W½NE¼,</w:t>
            </w:r>
            <w:r>
              <w:rPr>
                <w:rFonts w:ascii="Calibri" w:hAnsi="Calibri"/>
                <w:spacing w:val="-7"/>
                <w:sz w:val="18"/>
              </w:rPr>
              <w:t> </w:t>
            </w:r>
            <w:r>
              <w:rPr>
                <w:rFonts w:ascii="Calibri" w:hAnsi="Calibri"/>
                <w:sz w:val="18"/>
              </w:rPr>
              <w:t>SE¼NW¼,</w:t>
            </w:r>
            <w:r>
              <w:rPr>
                <w:rFonts w:ascii="Calibri" w:hAnsi="Calibri"/>
                <w:spacing w:val="-5"/>
                <w:sz w:val="18"/>
              </w:rPr>
              <w:t> </w:t>
            </w:r>
            <w:r>
              <w:rPr>
                <w:rFonts w:ascii="Calibri" w:hAnsi="Calibri"/>
                <w:sz w:val="18"/>
              </w:rPr>
              <w:t>N½SW¼, SW¼SW¼, NW¼SE¼; Sec. 15, NW¼NW¼; Sec. 16,</w:t>
            </w:r>
          </w:p>
          <w:p>
            <w:pPr>
              <w:pStyle w:val="TableParagraph"/>
              <w:spacing w:before="0"/>
              <w:ind w:left="110" w:right="123"/>
              <w:rPr>
                <w:rFonts w:ascii="Calibri" w:hAnsi="Calibri"/>
                <w:sz w:val="18"/>
              </w:rPr>
            </w:pPr>
            <w:r>
              <w:rPr>
                <w:rFonts w:ascii="Calibri" w:hAnsi="Calibri"/>
                <w:sz w:val="18"/>
              </w:rPr>
              <w:t>N½NE¼,</w:t>
            </w:r>
            <w:r>
              <w:rPr>
                <w:rFonts w:ascii="Calibri" w:hAnsi="Calibri"/>
                <w:spacing w:val="-9"/>
                <w:sz w:val="18"/>
              </w:rPr>
              <w:t> </w:t>
            </w:r>
            <w:r>
              <w:rPr>
                <w:rFonts w:ascii="Calibri" w:hAnsi="Calibri"/>
                <w:sz w:val="18"/>
              </w:rPr>
              <w:t>SW¼NE¼,</w:t>
            </w:r>
            <w:r>
              <w:rPr>
                <w:rFonts w:ascii="Calibri" w:hAnsi="Calibri"/>
                <w:spacing w:val="-7"/>
                <w:sz w:val="18"/>
              </w:rPr>
              <w:t> </w:t>
            </w:r>
            <w:r>
              <w:rPr>
                <w:rFonts w:ascii="Calibri" w:hAnsi="Calibri"/>
                <w:sz w:val="18"/>
              </w:rPr>
              <w:t>N½SW¼,</w:t>
            </w:r>
            <w:r>
              <w:rPr>
                <w:rFonts w:ascii="Calibri" w:hAnsi="Calibri"/>
                <w:spacing w:val="-7"/>
                <w:sz w:val="18"/>
              </w:rPr>
              <w:t> </w:t>
            </w:r>
            <w:r>
              <w:rPr>
                <w:rFonts w:ascii="Calibri" w:hAnsi="Calibri"/>
                <w:sz w:val="18"/>
              </w:rPr>
              <w:t>SW¼SW¼,</w:t>
            </w:r>
            <w:r>
              <w:rPr>
                <w:rFonts w:ascii="Calibri" w:hAnsi="Calibri"/>
                <w:spacing w:val="-7"/>
                <w:sz w:val="18"/>
              </w:rPr>
              <w:t> </w:t>
            </w:r>
            <w:r>
              <w:rPr>
                <w:rFonts w:ascii="Calibri" w:hAnsi="Calibri"/>
                <w:sz w:val="18"/>
              </w:rPr>
              <w:t>NW¼SE¼;</w:t>
            </w:r>
            <w:r>
              <w:rPr>
                <w:rFonts w:ascii="Calibri" w:hAnsi="Calibri"/>
                <w:spacing w:val="-7"/>
                <w:sz w:val="18"/>
              </w:rPr>
              <w:t> </w:t>
            </w:r>
            <w:r>
              <w:rPr>
                <w:rFonts w:ascii="Calibri" w:hAnsi="Calibri"/>
                <w:sz w:val="18"/>
              </w:rPr>
              <w:t>Sec. 17,</w:t>
            </w:r>
            <w:r>
              <w:rPr>
                <w:rFonts w:ascii="Calibri" w:hAnsi="Calibri"/>
                <w:spacing w:val="-5"/>
                <w:sz w:val="18"/>
              </w:rPr>
              <w:t> </w:t>
            </w:r>
            <w:r>
              <w:rPr>
                <w:rFonts w:ascii="Calibri" w:hAnsi="Calibri"/>
                <w:sz w:val="18"/>
              </w:rPr>
              <w:t>SE¼SW¼,</w:t>
            </w:r>
            <w:r>
              <w:rPr>
                <w:rFonts w:ascii="Calibri" w:hAnsi="Calibri"/>
                <w:spacing w:val="-2"/>
                <w:sz w:val="18"/>
              </w:rPr>
              <w:t> </w:t>
            </w:r>
            <w:r>
              <w:rPr>
                <w:rFonts w:ascii="Calibri" w:hAnsi="Calibri"/>
                <w:sz w:val="18"/>
              </w:rPr>
              <w:t>S½SE¼;</w:t>
            </w:r>
            <w:r>
              <w:rPr>
                <w:rFonts w:ascii="Calibri" w:hAnsi="Calibri"/>
                <w:spacing w:val="-2"/>
                <w:sz w:val="18"/>
              </w:rPr>
              <w:t> </w:t>
            </w:r>
            <w:r>
              <w:rPr>
                <w:rFonts w:ascii="Calibri" w:hAnsi="Calibri"/>
                <w:sz w:val="18"/>
              </w:rPr>
              <w:t>Sec.</w:t>
            </w:r>
            <w:r>
              <w:rPr>
                <w:rFonts w:ascii="Calibri" w:hAnsi="Calibri"/>
                <w:spacing w:val="-2"/>
                <w:sz w:val="18"/>
              </w:rPr>
              <w:t> </w:t>
            </w:r>
            <w:r>
              <w:rPr>
                <w:rFonts w:ascii="Calibri" w:hAnsi="Calibri"/>
                <w:sz w:val="18"/>
              </w:rPr>
              <w:t>19,</w:t>
            </w:r>
            <w:r>
              <w:rPr>
                <w:rFonts w:ascii="Calibri" w:hAnsi="Calibri"/>
                <w:spacing w:val="-2"/>
                <w:sz w:val="18"/>
              </w:rPr>
              <w:t> </w:t>
            </w:r>
            <w:r>
              <w:rPr>
                <w:rFonts w:ascii="Calibri" w:hAnsi="Calibri"/>
                <w:sz w:val="18"/>
              </w:rPr>
              <w:t>Lot</w:t>
            </w:r>
            <w:r>
              <w:rPr>
                <w:rFonts w:ascii="Calibri" w:hAnsi="Calibri"/>
                <w:spacing w:val="-5"/>
                <w:sz w:val="18"/>
              </w:rPr>
              <w:t> </w:t>
            </w:r>
            <w:r>
              <w:rPr>
                <w:rFonts w:ascii="Calibri" w:hAnsi="Calibri"/>
                <w:sz w:val="18"/>
              </w:rPr>
              <w:t>8,</w:t>
            </w:r>
            <w:r>
              <w:rPr>
                <w:rFonts w:ascii="Calibri" w:hAnsi="Calibri"/>
                <w:spacing w:val="-2"/>
                <w:sz w:val="18"/>
              </w:rPr>
              <w:t> </w:t>
            </w:r>
            <w:r>
              <w:rPr>
                <w:rFonts w:ascii="Calibri" w:hAnsi="Calibri"/>
                <w:sz w:val="18"/>
              </w:rPr>
              <w:t>NE¼NE¼,</w:t>
            </w:r>
            <w:r>
              <w:rPr>
                <w:rFonts w:ascii="Calibri" w:hAnsi="Calibri"/>
                <w:spacing w:val="-2"/>
                <w:sz w:val="18"/>
              </w:rPr>
              <w:t> S½NE¼,</w:t>
            </w:r>
          </w:p>
          <w:p>
            <w:pPr>
              <w:pStyle w:val="TableParagraph"/>
              <w:spacing w:line="219" w:lineRule="exact" w:before="0"/>
              <w:ind w:left="110"/>
              <w:rPr>
                <w:rFonts w:ascii="Calibri" w:hAnsi="Calibri"/>
                <w:sz w:val="18"/>
              </w:rPr>
            </w:pPr>
            <w:r>
              <w:rPr>
                <w:rFonts w:ascii="Calibri" w:hAnsi="Calibri"/>
                <w:sz w:val="18"/>
              </w:rPr>
              <w:t>E½SW¼,</w:t>
            </w:r>
            <w:r>
              <w:rPr>
                <w:rFonts w:ascii="Calibri" w:hAnsi="Calibri"/>
                <w:spacing w:val="-4"/>
                <w:sz w:val="18"/>
              </w:rPr>
              <w:t> </w:t>
            </w:r>
            <w:r>
              <w:rPr>
                <w:rFonts w:ascii="Calibri" w:hAnsi="Calibri"/>
                <w:sz w:val="18"/>
              </w:rPr>
              <w:t>NW¼SE¼;</w:t>
            </w:r>
            <w:r>
              <w:rPr>
                <w:rFonts w:ascii="Calibri" w:hAnsi="Calibri"/>
                <w:spacing w:val="-2"/>
                <w:sz w:val="18"/>
              </w:rPr>
              <w:t> </w:t>
            </w:r>
            <w:r>
              <w:rPr>
                <w:rFonts w:ascii="Calibri" w:hAnsi="Calibri"/>
                <w:sz w:val="18"/>
              </w:rPr>
              <w:t>Sec.</w:t>
            </w:r>
            <w:r>
              <w:rPr>
                <w:rFonts w:ascii="Calibri" w:hAnsi="Calibri"/>
                <w:spacing w:val="-2"/>
                <w:sz w:val="18"/>
              </w:rPr>
              <w:t> </w:t>
            </w:r>
            <w:r>
              <w:rPr>
                <w:rFonts w:ascii="Calibri" w:hAnsi="Calibri"/>
                <w:sz w:val="18"/>
              </w:rPr>
              <w:t>20,</w:t>
            </w:r>
            <w:r>
              <w:rPr>
                <w:rFonts w:ascii="Calibri" w:hAnsi="Calibri"/>
                <w:spacing w:val="-2"/>
                <w:sz w:val="18"/>
              </w:rPr>
              <w:t> </w:t>
            </w:r>
            <w:r>
              <w:rPr>
                <w:rFonts w:ascii="Calibri" w:hAnsi="Calibri"/>
                <w:sz w:val="18"/>
              </w:rPr>
              <w:t>N½NW¼;</w:t>
            </w:r>
            <w:r>
              <w:rPr>
                <w:rFonts w:ascii="Calibri" w:hAnsi="Calibri"/>
                <w:spacing w:val="-2"/>
                <w:sz w:val="18"/>
              </w:rPr>
              <w:t> </w:t>
            </w:r>
            <w:r>
              <w:rPr>
                <w:rFonts w:ascii="Calibri" w:hAnsi="Calibri"/>
                <w:sz w:val="18"/>
              </w:rPr>
              <w:t>Sec.</w:t>
            </w:r>
            <w:r>
              <w:rPr>
                <w:rFonts w:ascii="Calibri" w:hAnsi="Calibri"/>
                <w:spacing w:val="-2"/>
                <w:sz w:val="18"/>
              </w:rPr>
              <w:t> </w:t>
            </w:r>
            <w:r>
              <w:rPr>
                <w:rFonts w:ascii="Calibri" w:hAnsi="Calibri"/>
                <w:sz w:val="18"/>
              </w:rPr>
              <w:t>30,</w:t>
            </w:r>
            <w:r>
              <w:rPr>
                <w:rFonts w:ascii="Calibri" w:hAnsi="Calibri"/>
                <w:spacing w:val="-2"/>
                <w:sz w:val="18"/>
              </w:rPr>
              <w:t> </w:t>
            </w:r>
            <w:r>
              <w:rPr>
                <w:rFonts w:ascii="Calibri" w:hAnsi="Calibri"/>
                <w:sz w:val="18"/>
              </w:rPr>
              <w:t>Lots</w:t>
            </w:r>
            <w:r>
              <w:rPr>
                <w:rFonts w:ascii="Calibri" w:hAnsi="Calibri"/>
                <w:spacing w:val="-3"/>
                <w:sz w:val="18"/>
              </w:rPr>
              <w:t> </w:t>
            </w:r>
            <w:r>
              <w:rPr>
                <w:rFonts w:ascii="Calibri" w:hAnsi="Calibri"/>
                <w:sz w:val="18"/>
              </w:rPr>
              <w:t>1,</w:t>
            </w:r>
            <w:r>
              <w:rPr>
                <w:rFonts w:ascii="Calibri" w:hAnsi="Calibri"/>
                <w:spacing w:val="-1"/>
                <w:sz w:val="18"/>
              </w:rPr>
              <w:t> </w:t>
            </w:r>
            <w:r>
              <w:rPr>
                <w:rFonts w:ascii="Calibri" w:hAnsi="Calibri"/>
                <w:spacing w:val="-5"/>
                <w:sz w:val="18"/>
              </w:rPr>
              <w:t>2,</w:t>
            </w:r>
          </w:p>
          <w:p>
            <w:pPr>
              <w:pStyle w:val="TableParagraph"/>
              <w:spacing w:line="199" w:lineRule="exact" w:before="1"/>
              <w:ind w:left="110"/>
              <w:rPr>
                <w:rFonts w:ascii="Calibri"/>
                <w:sz w:val="18"/>
              </w:rPr>
            </w:pPr>
            <w:r>
              <w:rPr>
                <w:rFonts w:ascii="Calibri"/>
                <w:sz w:val="18"/>
              </w:rPr>
              <w:t>3,</w:t>
            </w:r>
            <w:r>
              <w:rPr>
                <w:rFonts w:ascii="Calibri"/>
                <w:spacing w:val="-1"/>
                <w:sz w:val="18"/>
              </w:rPr>
              <w:t> </w:t>
            </w:r>
            <w:r>
              <w:rPr>
                <w:rFonts w:ascii="Calibri"/>
                <w:sz w:val="18"/>
              </w:rPr>
              <w:t>4,</w:t>
            </w:r>
            <w:r>
              <w:rPr>
                <w:rFonts w:ascii="Calibri"/>
                <w:spacing w:val="-2"/>
                <w:sz w:val="18"/>
              </w:rPr>
              <w:t> </w:t>
            </w:r>
            <w:r>
              <w:rPr>
                <w:rFonts w:ascii="Calibri"/>
                <w:sz w:val="18"/>
              </w:rPr>
              <w:t>and</w:t>
            </w:r>
            <w:r>
              <w:rPr>
                <w:rFonts w:ascii="Calibri"/>
                <w:spacing w:val="-1"/>
                <w:sz w:val="18"/>
              </w:rPr>
              <w:t> </w:t>
            </w:r>
            <w:r>
              <w:rPr>
                <w:rFonts w:ascii="Calibri"/>
                <w:spacing w:val="-10"/>
                <w:sz w:val="18"/>
              </w:rPr>
              <w:t>6</w:t>
            </w:r>
          </w:p>
        </w:tc>
        <w:tc>
          <w:tcPr>
            <w:tcW w:w="900" w:type="dxa"/>
          </w:tcPr>
          <w:p>
            <w:pPr>
              <w:pStyle w:val="TableParagraph"/>
              <w:spacing w:before="1"/>
              <w:ind w:left="7"/>
              <w:jc w:val="center"/>
              <w:rPr>
                <w:rFonts w:ascii="Calibri"/>
                <w:sz w:val="20"/>
              </w:rPr>
            </w:pPr>
            <w:r>
              <w:rPr>
                <w:rFonts w:ascii="Calibri"/>
                <w:spacing w:val="-5"/>
                <w:sz w:val="20"/>
              </w:rPr>
              <w:t>132</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64</w:t>
            </w:r>
          </w:p>
        </w:tc>
        <w:tc>
          <w:tcPr>
            <w:tcW w:w="2527" w:type="dxa"/>
          </w:tcPr>
          <w:p>
            <w:pPr>
              <w:pStyle w:val="TableParagraph"/>
              <w:spacing w:line="223" w:lineRule="exact" w:before="1"/>
              <w:ind w:left="108"/>
              <w:rPr>
                <w:rFonts w:ascii="Calibri"/>
                <w:sz w:val="20"/>
              </w:rPr>
            </w:pPr>
            <w:r>
              <w:rPr>
                <w:rFonts w:ascii="Calibri"/>
                <w:spacing w:val="-2"/>
                <w:sz w:val="20"/>
              </w:rPr>
              <w:t>Powersite</w:t>
            </w:r>
            <w:r>
              <w:rPr>
                <w:rFonts w:ascii="Calibri"/>
                <w:spacing w:val="9"/>
                <w:sz w:val="20"/>
              </w:rPr>
              <w:t> </w:t>
            </w:r>
            <w:r>
              <w:rPr>
                <w:rFonts w:ascii="Calibri"/>
                <w:spacing w:val="-2"/>
                <w:sz w:val="20"/>
              </w:rPr>
              <w:t>Classification</w:t>
            </w:r>
            <w:r>
              <w:rPr>
                <w:rFonts w:ascii="Calibri"/>
                <w:spacing w:val="12"/>
                <w:sz w:val="20"/>
              </w:rPr>
              <w:t> </w:t>
            </w:r>
            <w:r>
              <w:rPr>
                <w:rFonts w:ascii="Calibri"/>
                <w:spacing w:val="-5"/>
                <w:sz w:val="20"/>
              </w:rPr>
              <w:t>373</w:t>
            </w:r>
          </w:p>
        </w:tc>
        <w:tc>
          <w:tcPr>
            <w:tcW w:w="2145" w:type="dxa"/>
          </w:tcPr>
          <w:p>
            <w:pPr>
              <w:pStyle w:val="TableParagraph"/>
              <w:spacing w:line="223" w:lineRule="exact"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36</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w:t>
            </w:r>
            <w:r>
              <w:rPr>
                <w:rFonts w:ascii="Calibri"/>
                <w:spacing w:val="-5"/>
                <w:sz w:val="20"/>
              </w:rPr>
              <w:t> </w:t>
            </w:r>
            <w:r>
              <w:rPr>
                <w:rFonts w:ascii="Calibri"/>
                <w:sz w:val="20"/>
              </w:rPr>
              <w:t>3,</w:t>
            </w:r>
            <w:r>
              <w:rPr>
                <w:rFonts w:ascii="Calibri"/>
                <w:spacing w:val="-3"/>
                <w:sz w:val="20"/>
              </w:rPr>
              <w:t> </w:t>
            </w:r>
            <w:r>
              <w:rPr>
                <w:rFonts w:ascii="Calibri"/>
                <w:sz w:val="20"/>
              </w:rPr>
              <w:t>15,</w:t>
            </w:r>
            <w:r>
              <w:rPr>
                <w:rFonts w:ascii="Calibri"/>
                <w:spacing w:val="-3"/>
                <w:sz w:val="20"/>
              </w:rPr>
              <w:t> </w:t>
            </w:r>
            <w:r>
              <w:rPr>
                <w:rFonts w:ascii="Calibri"/>
                <w:sz w:val="20"/>
              </w:rPr>
              <w:t>22,</w:t>
            </w:r>
            <w:r>
              <w:rPr>
                <w:rFonts w:ascii="Calibri"/>
                <w:spacing w:val="-3"/>
                <w:sz w:val="20"/>
              </w:rPr>
              <w:t> </w:t>
            </w:r>
            <w:r>
              <w:rPr>
                <w:rFonts w:ascii="Calibri"/>
                <w:sz w:val="20"/>
              </w:rPr>
              <w:t>27,</w:t>
            </w:r>
            <w:r>
              <w:rPr>
                <w:rFonts w:ascii="Calibri"/>
                <w:spacing w:val="-1"/>
                <w:sz w:val="20"/>
              </w:rPr>
              <w:t> </w:t>
            </w:r>
            <w:r>
              <w:rPr>
                <w:rFonts w:ascii="Calibri"/>
                <w:spacing w:val="-5"/>
                <w:sz w:val="20"/>
              </w:rPr>
              <w:t>34</w:t>
            </w:r>
          </w:p>
        </w:tc>
        <w:tc>
          <w:tcPr>
            <w:tcW w:w="900" w:type="dxa"/>
          </w:tcPr>
          <w:p>
            <w:pPr>
              <w:pStyle w:val="TableParagraph"/>
              <w:spacing w:line="223" w:lineRule="exact" w:before="1"/>
              <w:ind w:left="7" w:right="3"/>
              <w:jc w:val="center"/>
              <w:rPr>
                <w:rFonts w:ascii="Calibri"/>
                <w:sz w:val="20"/>
              </w:rPr>
            </w:pPr>
            <w:r>
              <w:rPr>
                <w:rFonts w:ascii="Calibri"/>
                <w:spacing w:val="-2"/>
                <w:sz w:val="20"/>
              </w:rPr>
              <w:t>485.85</w:t>
            </w:r>
          </w:p>
        </w:tc>
      </w:tr>
      <w:tr>
        <w:trPr>
          <w:trHeight w:val="486" w:hRule="atLeast"/>
        </w:trPr>
        <w:tc>
          <w:tcPr>
            <w:tcW w:w="835" w:type="dxa"/>
          </w:tcPr>
          <w:p>
            <w:pPr>
              <w:pStyle w:val="TableParagraph"/>
              <w:spacing w:line="243" w:lineRule="exact" w:before="0"/>
              <w:ind w:left="9" w:right="5"/>
              <w:jc w:val="center"/>
              <w:rPr>
                <w:rFonts w:ascii="Calibri"/>
                <w:sz w:val="20"/>
              </w:rPr>
            </w:pPr>
            <w:r>
              <w:rPr>
                <w:rFonts w:ascii="Calibri"/>
                <w:spacing w:val="-5"/>
                <w:sz w:val="20"/>
              </w:rPr>
              <w:t>76</w:t>
            </w:r>
          </w:p>
        </w:tc>
        <w:tc>
          <w:tcPr>
            <w:tcW w:w="2527" w:type="dxa"/>
          </w:tcPr>
          <w:p>
            <w:pPr>
              <w:pStyle w:val="TableParagraph"/>
              <w:spacing w:line="243" w:lineRule="exact" w:before="0"/>
              <w:ind w:left="108"/>
              <w:rPr>
                <w:rFonts w:ascii="Calibri"/>
                <w:sz w:val="20"/>
              </w:rPr>
            </w:pPr>
            <w:r>
              <w:rPr>
                <w:rFonts w:ascii="Calibri"/>
                <w:sz w:val="20"/>
              </w:rPr>
              <w:t>Summit</w:t>
            </w:r>
            <w:r>
              <w:rPr>
                <w:rFonts w:ascii="Calibri"/>
                <w:spacing w:val="-7"/>
                <w:sz w:val="20"/>
              </w:rPr>
              <w:t> </w:t>
            </w:r>
            <w:r>
              <w:rPr>
                <w:rFonts w:ascii="Calibri"/>
                <w:sz w:val="20"/>
              </w:rPr>
              <w:t>Lake</w:t>
            </w:r>
            <w:r>
              <w:rPr>
                <w:rFonts w:ascii="Calibri"/>
                <w:spacing w:val="-5"/>
                <w:sz w:val="20"/>
              </w:rPr>
              <w:t> </w:t>
            </w:r>
            <w:r>
              <w:rPr>
                <w:rFonts w:ascii="Calibri"/>
                <w:spacing w:val="-2"/>
                <w:sz w:val="20"/>
              </w:rPr>
              <w:t>Recreation</w:t>
            </w:r>
          </w:p>
          <w:p>
            <w:pPr>
              <w:pStyle w:val="TableParagraph"/>
              <w:spacing w:line="223" w:lineRule="exact" w:before="0"/>
              <w:ind w:left="108"/>
              <w:rPr>
                <w:rFonts w:ascii="Calibri"/>
                <w:sz w:val="20"/>
              </w:rPr>
            </w:pPr>
            <w:r>
              <w:rPr>
                <w:rFonts w:ascii="Calibri"/>
                <w:spacing w:val="-4"/>
                <w:sz w:val="20"/>
              </w:rPr>
              <w:t>Area</w:t>
            </w:r>
          </w:p>
        </w:tc>
        <w:tc>
          <w:tcPr>
            <w:tcW w:w="2145" w:type="dxa"/>
          </w:tcPr>
          <w:p>
            <w:pPr>
              <w:pStyle w:val="TableParagraph"/>
              <w:spacing w:line="243"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43" w:lineRule="exact" w:before="0"/>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43" w:lineRule="exact" w:before="0"/>
              <w:ind w:left="167"/>
              <w:rPr>
                <w:rFonts w:ascii="Calibri"/>
                <w:sz w:val="20"/>
              </w:rPr>
            </w:pPr>
            <w:r>
              <w:rPr>
                <w:rFonts w:ascii="Calibri"/>
                <w:sz w:val="20"/>
              </w:rPr>
              <w:t>R.</w:t>
            </w:r>
            <w:r>
              <w:rPr>
                <w:rFonts w:ascii="Calibri"/>
                <w:spacing w:val="-3"/>
                <w:sz w:val="20"/>
              </w:rPr>
              <w:t> </w:t>
            </w:r>
            <w:r>
              <w:rPr>
                <w:rFonts w:ascii="Calibri"/>
                <w:sz w:val="20"/>
              </w:rPr>
              <w:t>37</w:t>
            </w:r>
            <w:r>
              <w:rPr>
                <w:rFonts w:ascii="Calibri"/>
                <w:spacing w:val="-3"/>
                <w:sz w:val="20"/>
              </w:rPr>
              <w:t> </w:t>
            </w:r>
            <w:r>
              <w:rPr>
                <w:rFonts w:ascii="Calibri"/>
                <w:spacing w:val="-5"/>
                <w:sz w:val="20"/>
              </w:rPr>
              <w:t>E.</w:t>
            </w:r>
          </w:p>
        </w:tc>
        <w:tc>
          <w:tcPr>
            <w:tcW w:w="4315" w:type="dxa"/>
          </w:tcPr>
          <w:p>
            <w:pPr>
              <w:pStyle w:val="TableParagraph"/>
              <w:spacing w:line="243" w:lineRule="exact" w:before="0"/>
              <w:ind w:left="110"/>
              <w:rPr>
                <w:rFonts w:ascii="Calibri" w:hAnsi="Calibri"/>
                <w:sz w:val="20"/>
              </w:rPr>
            </w:pPr>
            <w:r>
              <w:rPr>
                <w:rFonts w:ascii="Calibri" w:hAnsi="Calibri"/>
                <w:sz w:val="20"/>
              </w:rPr>
              <w:t>Sec.</w:t>
            </w:r>
            <w:r>
              <w:rPr>
                <w:rFonts w:ascii="Calibri" w:hAnsi="Calibri"/>
                <w:spacing w:val="-5"/>
                <w:sz w:val="20"/>
              </w:rPr>
              <w:t> </w:t>
            </w:r>
            <w:r>
              <w:rPr>
                <w:rFonts w:ascii="Calibri" w:hAnsi="Calibri"/>
                <w:sz w:val="20"/>
              </w:rPr>
              <w:t>17,</w:t>
            </w:r>
            <w:r>
              <w:rPr>
                <w:rFonts w:ascii="Calibri" w:hAnsi="Calibri"/>
                <w:spacing w:val="-3"/>
                <w:sz w:val="20"/>
              </w:rPr>
              <w:t> </w:t>
            </w:r>
            <w:r>
              <w:rPr>
                <w:rFonts w:ascii="Calibri" w:hAnsi="Calibri"/>
                <w:sz w:val="20"/>
              </w:rPr>
              <w:t>SE¼SE¼;</w:t>
            </w:r>
            <w:r>
              <w:rPr>
                <w:rFonts w:ascii="Calibri" w:hAnsi="Calibri"/>
                <w:spacing w:val="-5"/>
                <w:sz w:val="20"/>
              </w:rPr>
              <w:t> </w:t>
            </w:r>
            <w:r>
              <w:rPr>
                <w:rFonts w:ascii="Calibri" w:hAnsi="Calibri"/>
                <w:sz w:val="20"/>
              </w:rPr>
              <w:t>Sec.</w:t>
            </w:r>
            <w:r>
              <w:rPr>
                <w:rFonts w:ascii="Calibri" w:hAnsi="Calibri"/>
                <w:spacing w:val="-4"/>
                <w:sz w:val="20"/>
              </w:rPr>
              <w:t> </w:t>
            </w:r>
            <w:r>
              <w:rPr>
                <w:rFonts w:ascii="Calibri" w:hAnsi="Calibri"/>
                <w:sz w:val="20"/>
              </w:rPr>
              <w:t>20</w:t>
            </w:r>
            <w:r>
              <w:rPr>
                <w:rFonts w:ascii="Calibri" w:hAnsi="Calibri"/>
                <w:spacing w:val="-4"/>
                <w:sz w:val="20"/>
              </w:rPr>
              <w:t> </w:t>
            </w:r>
            <w:r>
              <w:rPr>
                <w:rFonts w:ascii="Calibri" w:hAnsi="Calibri"/>
                <w:sz w:val="20"/>
              </w:rPr>
              <w:t>NE¼NE¼;</w:t>
            </w:r>
            <w:r>
              <w:rPr>
                <w:rFonts w:ascii="Calibri" w:hAnsi="Calibri"/>
                <w:spacing w:val="-5"/>
                <w:sz w:val="20"/>
              </w:rPr>
              <w:t> </w:t>
            </w:r>
            <w:r>
              <w:rPr>
                <w:rFonts w:ascii="Calibri" w:hAnsi="Calibri"/>
                <w:spacing w:val="-2"/>
                <w:sz w:val="20"/>
              </w:rPr>
              <w:t>Sec.21.</w:t>
            </w:r>
          </w:p>
          <w:p>
            <w:pPr>
              <w:pStyle w:val="TableParagraph"/>
              <w:spacing w:line="223" w:lineRule="exact" w:before="0"/>
              <w:ind w:left="110"/>
              <w:rPr>
                <w:rFonts w:ascii="Calibri" w:hAnsi="Calibri"/>
                <w:sz w:val="20"/>
              </w:rPr>
            </w:pPr>
            <w:r>
              <w:rPr>
                <w:rFonts w:ascii="Calibri" w:hAnsi="Calibri"/>
                <w:spacing w:val="-2"/>
                <w:sz w:val="20"/>
              </w:rPr>
              <w:t>NW¼NW¼</w:t>
            </w:r>
          </w:p>
        </w:tc>
        <w:tc>
          <w:tcPr>
            <w:tcW w:w="900" w:type="dxa"/>
          </w:tcPr>
          <w:p>
            <w:pPr>
              <w:pStyle w:val="TableParagraph"/>
              <w:spacing w:line="243" w:lineRule="exact" w:before="0"/>
              <w:ind w:left="7"/>
              <w:jc w:val="center"/>
              <w:rPr>
                <w:rFonts w:ascii="Calibri"/>
                <w:sz w:val="20"/>
              </w:rPr>
            </w:pPr>
            <w:r>
              <w:rPr>
                <w:rFonts w:ascii="Calibri"/>
                <w:spacing w:val="-5"/>
                <w:sz w:val="20"/>
              </w:rPr>
              <w:t>120</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23</w:t>
            </w:r>
          </w:p>
        </w:tc>
        <w:tc>
          <w:tcPr>
            <w:tcW w:w="2527" w:type="dxa"/>
          </w:tcPr>
          <w:p>
            <w:pPr>
              <w:pStyle w:val="TableParagraph"/>
              <w:spacing w:line="223" w:lineRule="exact" w:before="1"/>
              <w:ind w:left="108"/>
              <w:rPr>
                <w:rFonts w:ascii="Calibri"/>
                <w:sz w:val="20"/>
              </w:rPr>
            </w:pPr>
            <w:r>
              <w:rPr>
                <w:rFonts w:ascii="Calibri"/>
                <w:sz w:val="20"/>
              </w:rPr>
              <w:t>Elbow</w:t>
            </w:r>
            <w:r>
              <w:rPr>
                <w:rFonts w:ascii="Calibri"/>
                <w:spacing w:val="-8"/>
                <w:sz w:val="20"/>
              </w:rPr>
              <w:t> </w:t>
            </w:r>
            <w:r>
              <w:rPr>
                <w:rFonts w:ascii="Calibri"/>
                <w:sz w:val="20"/>
              </w:rPr>
              <w:t>Lake</w:t>
            </w:r>
            <w:r>
              <w:rPr>
                <w:rFonts w:ascii="Calibri"/>
                <w:spacing w:val="-8"/>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23" w:lineRule="exact"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38</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7"/>
                <w:sz w:val="20"/>
              </w:rPr>
              <w:t> </w:t>
            </w:r>
            <w:r>
              <w:rPr>
                <w:rFonts w:ascii="Calibri" w:hAnsi="Calibri"/>
                <w:sz w:val="20"/>
              </w:rPr>
              <w:t>21,</w:t>
            </w:r>
            <w:r>
              <w:rPr>
                <w:rFonts w:ascii="Calibri" w:hAnsi="Calibri"/>
                <w:spacing w:val="-5"/>
                <w:sz w:val="20"/>
              </w:rPr>
              <w:t> </w:t>
            </w:r>
            <w:r>
              <w:rPr>
                <w:rFonts w:ascii="Calibri" w:hAnsi="Calibri"/>
                <w:sz w:val="20"/>
              </w:rPr>
              <w:t>E½E½SW¼,</w:t>
            </w:r>
            <w:r>
              <w:rPr>
                <w:rFonts w:ascii="Calibri" w:hAnsi="Calibri"/>
                <w:spacing w:val="-5"/>
                <w:sz w:val="20"/>
              </w:rPr>
              <w:t> </w:t>
            </w:r>
            <w:r>
              <w:rPr>
                <w:rFonts w:ascii="Calibri" w:hAnsi="Calibri"/>
                <w:spacing w:val="-4"/>
                <w:sz w:val="20"/>
              </w:rPr>
              <w:t>W½SE¼</w:t>
            </w:r>
          </w:p>
        </w:tc>
        <w:tc>
          <w:tcPr>
            <w:tcW w:w="900" w:type="dxa"/>
          </w:tcPr>
          <w:p>
            <w:pPr>
              <w:pStyle w:val="TableParagraph"/>
              <w:spacing w:line="223" w:lineRule="exact" w:before="1"/>
              <w:ind w:left="7"/>
              <w:jc w:val="center"/>
              <w:rPr>
                <w:rFonts w:ascii="Calibri"/>
                <w:sz w:val="20"/>
              </w:rPr>
            </w:pPr>
            <w:r>
              <w:rPr>
                <w:rFonts w:ascii="Calibri"/>
                <w:spacing w:val="-5"/>
                <w:sz w:val="20"/>
              </w:rPr>
              <w:t>120</w:t>
            </w:r>
          </w:p>
        </w:tc>
      </w:tr>
      <w:tr>
        <w:trPr>
          <w:trHeight w:val="489" w:hRule="atLeast"/>
        </w:trPr>
        <w:tc>
          <w:tcPr>
            <w:tcW w:w="835" w:type="dxa"/>
          </w:tcPr>
          <w:p>
            <w:pPr>
              <w:pStyle w:val="TableParagraph"/>
              <w:spacing w:before="1"/>
              <w:ind w:left="9" w:right="4"/>
              <w:jc w:val="center"/>
              <w:rPr>
                <w:rFonts w:ascii="Calibri"/>
                <w:sz w:val="20"/>
              </w:rPr>
            </w:pPr>
            <w:r>
              <w:rPr>
                <w:rFonts w:ascii="Calibri"/>
                <w:spacing w:val="-10"/>
                <w:sz w:val="20"/>
              </w:rPr>
              <w:t>8</w:t>
            </w:r>
          </w:p>
        </w:tc>
        <w:tc>
          <w:tcPr>
            <w:tcW w:w="2527" w:type="dxa"/>
          </w:tcPr>
          <w:p>
            <w:pPr>
              <w:pStyle w:val="TableParagraph"/>
              <w:spacing w:before="1"/>
              <w:ind w:left="108"/>
              <w:rPr>
                <w:rFonts w:ascii="Calibri"/>
                <w:sz w:val="20"/>
              </w:rPr>
            </w:pPr>
            <w:r>
              <w:rPr>
                <w:rFonts w:ascii="Calibri"/>
                <w:sz w:val="20"/>
              </w:rPr>
              <w:t>Cedar</w:t>
            </w:r>
            <w:r>
              <w:rPr>
                <w:rFonts w:ascii="Calibri"/>
                <w:spacing w:val="-6"/>
                <w:sz w:val="20"/>
              </w:rPr>
              <w:t> </w:t>
            </w:r>
            <w:r>
              <w:rPr>
                <w:rFonts w:ascii="Calibri"/>
                <w:sz w:val="20"/>
              </w:rPr>
              <w:t>Creek</w:t>
            </w:r>
            <w:r>
              <w:rPr>
                <w:rFonts w:ascii="Calibri"/>
                <w:spacing w:val="-5"/>
                <w:sz w:val="20"/>
              </w:rPr>
              <w:t> </w:t>
            </w:r>
            <w:r>
              <w:rPr>
                <w:rFonts w:ascii="Calibri"/>
                <w:sz w:val="20"/>
              </w:rPr>
              <w:t>Seed</w:t>
            </w:r>
            <w:r>
              <w:rPr>
                <w:rFonts w:ascii="Calibri"/>
                <w:spacing w:val="-5"/>
                <w:sz w:val="20"/>
              </w:rPr>
              <w:t> </w:t>
            </w:r>
            <w:r>
              <w:rPr>
                <w:rFonts w:ascii="Calibri"/>
                <w:spacing w:val="-2"/>
                <w:sz w:val="20"/>
              </w:rPr>
              <w:t>Orchard</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42</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10"/>
                <w:sz w:val="20"/>
              </w:rPr>
              <w:t> </w:t>
            </w:r>
            <w:r>
              <w:rPr>
                <w:rFonts w:ascii="Calibri" w:hAnsi="Calibri"/>
                <w:sz w:val="20"/>
              </w:rPr>
              <w:t>10</w:t>
            </w:r>
            <w:r>
              <w:rPr>
                <w:rFonts w:ascii="Calibri" w:hAnsi="Calibri"/>
                <w:spacing w:val="-10"/>
                <w:sz w:val="20"/>
              </w:rPr>
              <w:t> </w:t>
            </w:r>
            <w:r>
              <w:rPr>
                <w:rFonts w:ascii="Calibri" w:hAnsi="Calibri"/>
                <w:sz w:val="20"/>
              </w:rPr>
              <w:t>W½SW¼,</w:t>
            </w:r>
            <w:r>
              <w:rPr>
                <w:rFonts w:ascii="Calibri" w:hAnsi="Calibri"/>
                <w:spacing w:val="-10"/>
                <w:sz w:val="20"/>
              </w:rPr>
              <w:t> </w:t>
            </w:r>
            <w:r>
              <w:rPr>
                <w:rFonts w:ascii="Calibri" w:hAnsi="Calibri"/>
                <w:sz w:val="20"/>
              </w:rPr>
              <w:t>W½E½SW¼,</w:t>
            </w:r>
            <w:r>
              <w:rPr>
                <w:rFonts w:ascii="Calibri" w:hAnsi="Calibri"/>
                <w:spacing w:val="-10"/>
                <w:sz w:val="20"/>
              </w:rPr>
              <w:t> </w:t>
            </w:r>
            <w:r>
              <w:rPr>
                <w:rFonts w:ascii="Calibri" w:hAnsi="Calibri"/>
                <w:sz w:val="20"/>
              </w:rPr>
              <w:t>SE¼NE¼SW¼, </w:t>
            </w:r>
            <w:r>
              <w:rPr>
                <w:rFonts w:ascii="Calibri" w:hAnsi="Calibri"/>
                <w:spacing w:val="-2"/>
                <w:sz w:val="20"/>
              </w:rPr>
              <w:t>NE¼SE¼SW¼</w:t>
            </w:r>
          </w:p>
        </w:tc>
        <w:tc>
          <w:tcPr>
            <w:tcW w:w="900" w:type="dxa"/>
          </w:tcPr>
          <w:p>
            <w:pPr>
              <w:pStyle w:val="TableParagraph"/>
              <w:spacing w:before="1"/>
              <w:ind w:left="7"/>
              <w:jc w:val="center"/>
              <w:rPr>
                <w:rFonts w:ascii="Calibri"/>
                <w:sz w:val="20"/>
              </w:rPr>
            </w:pPr>
            <w:r>
              <w:rPr>
                <w:rFonts w:ascii="Calibri"/>
                <w:spacing w:val="-5"/>
                <w:sz w:val="20"/>
              </w:rPr>
              <w:t>140</w:t>
            </w:r>
          </w:p>
        </w:tc>
      </w:tr>
      <w:tr>
        <w:trPr>
          <w:trHeight w:val="486" w:hRule="atLeast"/>
        </w:trPr>
        <w:tc>
          <w:tcPr>
            <w:tcW w:w="835" w:type="dxa"/>
          </w:tcPr>
          <w:p>
            <w:pPr>
              <w:pStyle w:val="TableParagraph"/>
              <w:spacing w:before="1"/>
              <w:ind w:left="9" w:right="4"/>
              <w:jc w:val="center"/>
              <w:rPr>
                <w:rFonts w:ascii="Calibri"/>
                <w:sz w:val="20"/>
              </w:rPr>
            </w:pPr>
            <w:r>
              <w:rPr>
                <w:rFonts w:ascii="Calibri"/>
                <w:spacing w:val="-10"/>
                <w:sz w:val="20"/>
              </w:rPr>
              <w:t>3</w:t>
            </w:r>
          </w:p>
        </w:tc>
        <w:tc>
          <w:tcPr>
            <w:tcW w:w="2527" w:type="dxa"/>
          </w:tcPr>
          <w:p>
            <w:pPr>
              <w:pStyle w:val="TableParagraph"/>
              <w:spacing w:line="243" w:lineRule="exact" w:before="1"/>
              <w:ind w:left="108"/>
              <w:rPr>
                <w:rFonts w:ascii="Calibri"/>
                <w:sz w:val="20"/>
              </w:rPr>
            </w:pPr>
            <w:r>
              <w:rPr>
                <w:rFonts w:ascii="Calibri"/>
                <w:sz w:val="20"/>
              </w:rPr>
              <w:t>Boundary</w:t>
            </w:r>
            <w:r>
              <w:rPr>
                <w:rFonts w:ascii="Calibri"/>
                <w:spacing w:val="-6"/>
                <w:sz w:val="20"/>
              </w:rPr>
              <w:t> </w:t>
            </w:r>
            <w:r>
              <w:rPr>
                <w:rFonts w:ascii="Calibri"/>
                <w:sz w:val="20"/>
              </w:rPr>
              <w:t>Lake</w:t>
            </w:r>
            <w:r>
              <w:rPr>
                <w:rFonts w:ascii="Calibri"/>
                <w:spacing w:val="-7"/>
                <w:sz w:val="20"/>
              </w:rPr>
              <w:t> </w:t>
            </w:r>
            <w:r>
              <w:rPr>
                <w:rFonts w:ascii="Calibri"/>
                <w:spacing w:val="-2"/>
                <w:sz w:val="20"/>
              </w:rPr>
              <w:t>Recreation</w:t>
            </w:r>
          </w:p>
          <w:p>
            <w:pPr>
              <w:pStyle w:val="TableParagraph"/>
              <w:spacing w:line="222" w:lineRule="exact" w:before="0"/>
              <w:ind w:left="108"/>
              <w:rPr>
                <w:rFonts w:ascii="Calibri"/>
                <w:sz w:val="20"/>
              </w:rPr>
            </w:pP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4"/>
                <w:sz w:val="20"/>
              </w:rPr>
              <w:t> </w:t>
            </w:r>
            <w:r>
              <w:rPr>
                <w:rFonts w:ascii="Calibri"/>
                <w:sz w:val="20"/>
              </w:rPr>
              <w:t>1,</w:t>
            </w:r>
            <w:r>
              <w:rPr>
                <w:rFonts w:ascii="Calibri"/>
                <w:spacing w:val="-3"/>
                <w:sz w:val="20"/>
              </w:rPr>
              <w:t> </w:t>
            </w:r>
            <w:r>
              <w:rPr>
                <w:rFonts w:ascii="Calibri"/>
                <w:sz w:val="20"/>
              </w:rPr>
              <w:t>Lot</w:t>
            </w:r>
            <w:r>
              <w:rPr>
                <w:rFonts w:ascii="Calibri"/>
                <w:spacing w:val="-4"/>
                <w:sz w:val="20"/>
              </w:rPr>
              <w:t> </w:t>
            </w:r>
            <w:r>
              <w:rPr>
                <w:rFonts w:ascii="Calibri"/>
                <w:spacing w:val="-10"/>
                <w:sz w:val="20"/>
              </w:rPr>
              <w:t>5</w:t>
            </w:r>
          </w:p>
        </w:tc>
        <w:tc>
          <w:tcPr>
            <w:tcW w:w="900" w:type="dxa"/>
          </w:tcPr>
          <w:p>
            <w:pPr>
              <w:pStyle w:val="TableParagraph"/>
              <w:spacing w:before="1"/>
              <w:ind w:left="7" w:right="3"/>
              <w:jc w:val="center"/>
              <w:rPr>
                <w:rFonts w:ascii="Calibri"/>
                <w:sz w:val="20"/>
              </w:rPr>
            </w:pPr>
            <w:r>
              <w:rPr>
                <w:rFonts w:ascii="Calibri"/>
                <w:spacing w:val="-2"/>
                <w:sz w:val="20"/>
              </w:rPr>
              <w:t>70.95</w:t>
            </w: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26</w:t>
            </w:r>
          </w:p>
        </w:tc>
        <w:tc>
          <w:tcPr>
            <w:tcW w:w="2527" w:type="dxa"/>
          </w:tcPr>
          <w:p>
            <w:pPr>
              <w:pStyle w:val="TableParagraph"/>
              <w:spacing w:line="240" w:lineRule="atLeast" w:before="0"/>
              <w:ind w:left="108"/>
              <w:rPr>
                <w:rFonts w:ascii="Calibri"/>
                <w:sz w:val="20"/>
              </w:rPr>
            </w:pPr>
            <w:r>
              <w:rPr>
                <w:rFonts w:ascii="Calibri"/>
                <w:sz w:val="20"/>
              </w:rPr>
              <w:t>Federal</w:t>
            </w:r>
            <w:r>
              <w:rPr>
                <w:rFonts w:ascii="Calibri"/>
                <w:spacing w:val="-12"/>
                <w:sz w:val="20"/>
              </w:rPr>
              <w:t> </w:t>
            </w:r>
            <w:r>
              <w:rPr>
                <w:rFonts w:ascii="Calibri"/>
                <w:sz w:val="20"/>
              </w:rPr>
              <w:t>Power</w:t>
            </w:r>
            <w:r>
              <w:rPr>
                <w:rFonts w:ascii="Calibri"/>
                <w:spacing w:val="-11"/>
                <w:sz w:val="20"/>
              </w:rPr>
              <w:t> </w:t>
            </w:r>
            <w:r>
              <w:rPr>
                <w:rFonts w:ascii="Calibri"/>
                <w:sz w:val="20"/>
              </w:rPr>
              <w:t>Commission </w:t>
            </w:r>
            <w:r>
              <w:rPr>
                <w:rFonts w:ascii="Calibri"/>
                <w:spacing w:val="-4"/>
                <w:sz w:val="20"/>
              </w:rPr>
              <w:t>2144</w:t>
            </w:r>
          </w:p>
        </w:tc>
        <w:tc>
          <w:tcPr>
            <w:tcW w:w="2145" w:type="dxa"/>
          </w:tcPr>
          <w:p>
            <w:pPr>
              <w:pStyle w:val="TableParagraph"/>
              <w:spacing w:before="1"/>
              <w:ind w:left="108"/>
              <w:rPr>
                <w:rFonts w:ascii="Calibri"/>
                <w:sz w:val="20"/>
              </w:rPr>
            </w:pPr>
            <w:r>
              <w:rPr>
                <w:rFonts w:ascii="Calibri"/>
                <w:sz w:val="20"/>
              </w:rPr>
              <w:t>Power</w:t>
            </w:r>
            <w:r>
              <w:rPr>
                <w:rFonts w:ascii="Calibri"/>
                <w:spacing w:val="-8"/>
                <w:sz w:val="20"/>
              </w:rPr>
              <w:t> </w:t>
            </w:r>
            <w:r>
              <w:rPr>
                <w:rFonts w:ascii="Calibri"/>
                <w:spacing w:val="-2"/>
                <w:sz w:val="20"/>
              </w:rPr>
              <w:t>Withdrawal</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Portions</w:t>
            </w:r>
            <w:r>
              <w:rPr>
                <w:rFonts w:ascii="Calibri"/>
                <w:spacing w:val="-6"/>
                <w:sz w:val="20"/>
              </w:rPr>
              <w:t> </w:t>
            </w:r>
            <w:r>
              <w:rPr>
                <w:rFonts w:ascii="Calibri"/>
                <w:sz w:val="20"/>
              </w:rPr>
              <w:t>of</w:t>
            </w:r>
            <w:r>
              <w:rPr>
                <w:rFonts w:ascii="Calibri"/>
                <w:spacing w:val="-5"/>
                <w:sz w:val="20"/>
              </w:rPr>
              <w:t> </w:t>
            </w:r>
            <w:r>
              <w:rPr>
                <w:rFonts w:ascii="Calibri"/>
                <w:sz w:val="20"/>
              </w:rPr>
              <w:t>Secs.</w:t>
            </w:r>
            <w:r>
              <w:rPr>
                <w:rFonts w:ascii="Calibri"/>
                <w:spacing w:val="-4"/>
                <w:sz w:val="20"/>
              </w:rPr>
              <w:t> </w:t>
            </w:r>
            <w:r>
              <w:rPr>
                <w:rFonts w:ascii="Calibri"/>
                <w:sz w:val="20"/>
              </w:rPr>
              <w:t>2,</w:t>
            </w:r>
            <w:r>
              <w:rPr>
                <w:rFonts w:ascii="Calibri"/>
                <w:spacing w:val="-3"/>
                <w:sz w:val="20"/>
              </w:rPr>
              <w:t> </w:t>
            </w:r>
            <w:r>
              <w:rPr>
                <w:rFonts w:ascii="Calibri"/>
                <w:sz w:val="20"/>
              </w:rPr>
              <w:t>3,</w:t>
            </w:r>
            <w:r>
              <w:rPr>
                <w:rFonts w:ascii="Calibri"/>
                <w:spacing w:val="-3"/>
                <w:sz w:val="20"/>
              </w:rPr>
              <w:t> </w:t>
            </w:r>
            <w:r>
              <w:rPr>
                <w:rFonts w:ascii="Calibri"/>
                <w:sz w:val="20"/>
              </w:rPr>
              <w:t>10,</w:t>
            </w:r>
            <w:r>
              <w:rPr>
                <w:rFonts w:ascii="Calibri"/>
                <w:spacing w:val="-3"/>
                <w:sz w:val="20"/>
              </w:rPr>
              <w:t> </w:t>
            </w:r>
            <w:r>
              <w:rPr>
                <w:rFonts w:ascii="Calibri"/>
                <w:sz w:val="20"/>
              </w:rPr>
              <w:t>11,</w:t>
            </w:r>
            <w:r>
              <w:rPr>
                <w:rFonts w:ascii="Calibri"/>
                <w:spacing w:val="-2"/>
                <w:sz w:val="20"/>
              </w:rPr>
              <w:t> </w:t>
            </w:r>
            <w:r>
              <w:rPr>
                <w:rFonts w:ascii="Calibri"/>
                <w:sz w:val="20"/>
              </w:rPr>
              <w:t>14,</w:t>
            </w:r>
            <w:r>
              <w:rPr>
                <w:rFonts w:ascii="Calibri"/>
                <w:spacing w:val="-3"/>
                <w:sz w:val="20"/>
              </w:rPr>
              <w:t> </w:t>
            </w:r>
            <w:r>
              <w:rPr>
                <w:rFonts w:ascii="Calibri"/>
                <w:sz w:val="20"/>
              </w:rPr>
              <w:t>23,</w:t>
            </w:r>
            <w:r>
              <w:rPr>
                <w:rFonts w:ascii="Calibri"/>
                <w:spacing w:val="-3"/>
                <w:sz w:val="20"/>
              </w:rPr>
              <w:t> </w:t>
            </w:r>
            <w:r>
              <w:rPr>
                <w:rFonts w:ascii="Calibri"/>
                <w:sz w:val="20"/>
              </w:rPr>
              <w:t>26,</w:t>
            </w:r>
            <w:r>
              <w:rPr>
                <w:rFonts w:ascii="Calibri"/>
                <w:spacing w:val="-3"/>
                <w:sz w:val="20"/>
              </w:rPr>
              <w:t> </w:t>
            </w:r>
            <w:r>
              <w:rPr>
                <w:rFonts w:ascii="Calibri"/>
                <w:sz w:val="20"/>
              </w:rPr>
              <w:t>and</w:t>
            </w:r>
            <w:r>
              <w:rPr>
                <w:rFonts w:ascii="Calibri"/>
                <w:spacing w:val="-4"/>
                <w:sz w:val="20"/>
              </w:rPr>
              <w:t> </w:t>
            </w:r>
            <w:r>
              <w:rPr>
                <w:rFonts w:ascii="Calibri"/>
                <w:spacing w:val="-5"/>
                <w:sz w:val="20"/>
              </w:rPr>
              <w:t>35</w:t>
            </w:r>
          </w:p>
        </w:tc>
        <w:tc>
          <w:tcPr>
            <w:tcW w:w="900" w:type="dxa"/>
          </w:tcPr>
          <w:p>
            <w:pPr>
              <w:pStyle w:val="TableParagraph"/>
              <w:spacing w:before="0"/>
              <w:rPr>
                <w:rFonts w:ascii="Times New Roman"/>
                <w:sz w:val="18"/>
              </w:rPr>
            </w:pP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12</w:t>
            </w:r>
          </w:p>
        </w:tc>
        <w:tc>
          <w:tcPr>
            <w:tcW w:w="2527" w:type="dxa"/>
          </w:tcPr>
          <w:p>
            <w:pPr>
              <w:pStyle w:val="TableParagraph"/>
              <w:spacing w:line="240" w:lineRule="atLeast" w:before="0"/>
              <w:ind w:left="108" w:right="185"/>
              <w:rPr>
                <w:rFonts w:ascii="Calibri"/>
                <w:sz w:val="20"/>
              </w:rPr>
            </w:pPr>
            <w:r>
              <w:rPr>
                <w:rFonts w:ascii="Calibri"/>
                <w:sz w:val="20"/>
              </w:rPr>
              <w:t>Crescent</w:t>
            </w:r>
            <w:r>
              <w:rPr>
                <w:rFonts w:ascii="Calibri"/>
                <w:spacing w:val="-12"/>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8"/>
                <w:sz w:val="20"/>
              </w:rPr>
              <w:t> </w:t>
            </w:r>
            <w:r>
              <w:rPr>
                <w:rFonts w:ascii="Calibri" w:hAnsi="Calibri"/>
                <w:sz w:val="20"/>
              </w:rPr>
              <w:t>12,</w:t>
            </w:r>
            <w:r>
              <w:rPr>
                <w:rFonts w:ascii="Calibri" w:hAnsi="Calibri"/>
                <w:spacing w:val="-7"/>
                <w:sz w:val="20"/>
              </w:rPr>
              <w:t> </w:t>
            </w:r>
            <w:r>
              <w:rPr>
                <w:rFonts w:ascii="Calibri" w:hAnsi="Calibri"/>
                <w:sz w:val="20"/>
              </w:rPr>
              <w:t>Lots</w:t>
            </w:r>
            <w:r>
              <w:rPr>
                <w:rFonts w:ascii="Calibri" w:hAnsi="Calibri"/>
                <w:spacing w:val="-7"/>
                <w:sz w:val="20"/>
              </w:rPr>
              <w:t> </w:t>
            </w:r>
            <w:r>
              <w:rPr>
                <w:rFonts w:ascii="Calibri" w:hAnsi="Calibri"/>
                <w:sz w:val="20"/>
              </w:rPr>
              <w:t>1-4</w:t>
            </w:r>
            <w:r>
              <w:rPr>
                <w:rFonts w:ascii="Calibri" w:hAnsi="Calibri"/>
                <w:spacing w:val="-8"/>
                <w:sz w:val="20"/>
              </w:rPr>
              <w:t> </w:t>
            </w:r>
            <w:r>
              <w:rPr>
                <w:rFonts w:ascii="Calibri" w:hAnsi="Calibri"/>
                <w:sz w:val="20"/>
              </w:rPr>
              <w:t>inclusive,</w:t>
            </w:r>
            <w:r>
              <w:rPr>
                <w:rFonts w:ascii="Calibri" w:hAnsi="Calibri"/>
                <w:spacing w:val="-7"/>
                <w:sz w:val="20"/>
              </w:rPr>
              <w:t> </w:t>
            </w:r>
            <w:r>
              <w:rPr>
                <w:rFonts w:ascii="Calibri" w:hAnsi="Calibri"/>
                <w:sz w:val="20"/>
              </w:rPr>
              <w:t>E½NE¼NE¼SW¼, </w:t>
            </w:r>
            <w:r>
              <w:rPr>
                <w:rFonts w:ascii="Calibri" w:hAnsi="Calibri"/>
                <w:spacing w:val="-2"/>
                <w:sz w:val="20"/>
              </w:rPr>
              <w:t>W½NW¼NW¼SE¼</w:t>
            </w:r>
          </w:p>
        </w:tc>
        <w:tc>
          <w:tcPr>
            <w:tcW w:w="900" w:type="dxa"/>
          </w:tcPr>
          <w:p>
            <w:pPr>
              <w:pStyle w:val="TableParagraph"/>
              <w:spacing w:before="1"/>
              <w:ind w:left="7" w:right="3"/>
              <w:jc w:val="center"/>
              <w:rPr>
                <w:rFonts w:ascii="Calibri"/>
                <w:sz w:val="20"/>
              </w:rPr>
            </w:pPr>
            <w:r>
              <w:rPr>
                <w:rFonts w:ascii="Calibri"/>
                <w:spacing w:val="-2"/>
                <w:sz w:val="20"/>
              </w:rPr>
              <w:t>142.15</w:t>
            </w:r>
          </w:p>
        </w:tc>
      </w:tr>
      <w:tr>
        <w:trPr>
          <w:trHeight w:val="242" w:hRule="atLeast"/>
        </w:trPr>
        <w:tc>
          <w:tcPr>
            <w:tcW w:w="835" w:type="dxa"/>
          </w:tcPr>
          <w:p>
            <w:pPr>
              <w:pStyle w:val="TableParagraph"/>
              <w:spacing w:line="222" w:lineRule="exact" w:before="0"/>
              <w:ind w:left="9" w:right="5"/>
              <w:jc w:val="center"/>
              <w:rPr>
                <w:rFonts w:ascii="Calibri"/>
                <w:sz w:val="20"/>
              </w:rPr>
            </w:pPr>
            <w:r>
              <w:rPr>
                <w:rFonts w:ascii="Calibri"/>
                <w:spacing w:val="-5"/>
                <w:sz w:val="20"/>
              </w:rPr>
              <w:t>47</w:t>
            </w:r>
          </w:p>
        </w:tc>
        <w:tc>
          <w:tcPr>
            <w:tcW w:w="2527" w:type="dxa"/>
          </w:tcPr>
          <w:p>
            <w:pPr>
              <w:pStyle w:val="TableParagraph"/>
              <w:spacing w:line="222" w:lineRule="exact" w:before="0"/>
              <w:ind w:left="108"/>
              <w:rPr>
                <w:rFonts w:ascii="Calibri"/>
                <w:sz w:val="20"/>
              </w:rPr>
            </w:pPr>
            <w:r>
              <w:rPr>
                <w:rFonts w:ascii="Calibri"/>
                <w:sz w:val="20"/>
              </w:rPr>
              <w:t>Lime</w:t>
            </w:r>
            <w:r>
              <w:rPr>
                <w:rFonts w:ascii="Calibri"/>
                <w:spacing w:val="-8"/>
                <w:sz w:val="20"/>
              </w:rPr>
              <w:t> </w:t>
            </w:r>
            <w:r>
              <w:rPr>
                <w:rFonts w:ascii="Calibri"/>
                <w:sz w:val="20"/>
              </w:rPr>
              <w:t>Creek</w:t>
            </w:r>
            <w:r>
              <w:rPr>
                <w:rFonts w:ascii="Calibri"/>
                <w:spacing w:val="-6"/>
                <w:sz w:val="20"/>
              </w:rPr>
              <w:t> </w:t>
            </w:r>
            <w:r>
              <w:rPr>
                <w:rFonts w:ascii="Calibri"/>
                <w:sz w:val="20"/>
              </w:rPr>
              <w:t>Recreation</w:t>
            </w:r>
            <w:r>
              <w:rPr>
                <w:rFonts w:ascii="Calibri"/>
                <w:spacing w:val="-6"/>
                <w:sz w:val="20"/>
              </w:rPr>
              <w:t> </w:t>
            </w:r>
            <w:r>
              <w:rPr>
                <w:rFonts w:ascii="Calibri"/>
                <w:spacing w:val="-4"/>
                <w:sz w:val="20"/>
              </w:rPr>
              <w:t>Area</w:t>
            </w:r>
          </w:p>
        </w:tc>
        <w:tc>
          <w:tcPr>
            <w:tcW w:w="2145" w:type="dxa"/>
          </w:tcPr>
          <w:p>
            <w:pPr>
              <w:pStyle w:val="TableParagraph"/>
              <w:spacing w:line="222" w:lineRule="exact" w:before="0"/>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line="222" w:lineRule="exact" w:before="0"/>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22" w:lineRule="exact" w:before="0"/>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2" w:lineRule="exact" w:before="0"/>
              <w:ind w:left="110"/>
              <w:rPr>
                <w:rFonts w:ascii="Calibri" w:hAnsi="Calibri"/>
                <w:sz w:val="20"/>
              </w:rPr>
            </w:pPr>
            <w:r>
              <w:rPr>
                <w:rFonts w:ascii="Calibri" w:hAnsi="Calibri"/>
                <w:sz w:val="20"/>
              </w:rPr>
              <w:t>Sec.</w:t>
            </w:r>
            <w:r>
              <w:rPr>
                <w:rFonts w:ascii="Calibri" w:hAnsi="Calibri"/>
                <w:spacing w:val="-4"/>
                <w:sz w:val="20"/>
              </w:rPr>
              <w:t> </w:t>
            </w:r>
            <w:r>
              <w:rPr>
                <w:rFonts w:ascii="Calibri" w:hAnsi="Calibri"/>
                <w:sz w:val="20"/>
              </w:rPr>
              <w:t>14,</w:t>
            </w:r>
            <w:r>
              <w:rPr>
                <w:rFonts w:ascii="Calibri" w:hAnsi="Calibri"/>
                <w:spacing w:val="-3"/>
                <w:sz w:val="20"/>
              </w:rPr>
              <w:t> </w:t>
            </w:r>
            <w:r>
              <w:rPr>
                <w:rFonts w:ascii="Calibri" w:hAnsi="Calibri"/>
                <w:sz w:val="20"/>
              </w:rPr>
              <w:t>Lot</w:t>
            </w:r>
            <w:r>
              <w:rPr>
                <w:rFonts w:ascii="Calibri" w:hAnsi="Calibri"/>
                <w:spacing w:val="-4"/>
                <w:sz w:val="20"/>
              </w:rPr>
              <w:t> </w:t>
            </w:r>
            <w:r>
              <w:rPr>
                <w:rFonts w:ascii="Calibri" w:hAnsi="Calibri"/>
                <w:sz w:val="20"/>
              </w:rPr>
              <w:t>7,</w:t>
            </w:r>
            <w:r>
              <w:rPr>
                <w:rFonts w:ascii="Calibri" w:hAnsi="Calibri"/>
                <w:spacing w:val="-3"/>
                <w:sz w:val="20"/>
              </w:rPr>
              <w:t> </w:t>
            </w:r>
            <w:r>
              <w:rPr>
                <w:rFonts w:ascii="Calibri" w:hAnsi="Calibri"/>
                <w:spacing w:val="-2"/>
                <w:sz w:val="20"/>
              </w:rPr>
              <w:t>SE¼SE¼</w:t>
            </w:r>
          </w:p>
        </w:tc>
        <w:tc>
          <w:tcPr>
            <w:tcW w:w="900" w:type="dxa"/>
          </w:tcPr>
          <w:p>
            <w:pPr>
              <w:pStyle w:val="TableParagraph"/>
              <w:spacing w:line="222" w:lineRule="exact" w:before="0"/>
              <w:ind w:left="7" w:right="3"/>
              <w:jc w:val="center"/>
              <w:rPr>
                <w:rFonts w:ascii="Calibri"/>
                <w:sz w:val="20"/>
              </w:rPr>
            </w:pPr>
            <w:r>
              <w:rPr>
                <w:rFonts w:ascii="Calibri"/>
                <w:spacing w:val="-2"/>
                <w:sz w:val="20"/>
              </w:rPr>
              <w:t>76.45</w:t>
            </w: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36</w:t>
            </w:r>
          </w:p>
        </w:tc>
        <w:tc>
          <w:tcPr>
            <w:tcW w:w="2527" w:type="dxa"/>
          </w:tcPr>
          <w:p>
            <w:pPr>
              <w:pStyle w:val="TableParagraph"/>
              <w:spacing w:line="223" w:lineRule="exact" w:before="1"/>
              <w:ind w:left="108"/>
              <w:rPr>
                <w:rFonts w:ascii="Calibri"/>
                <w:sz w:val="20"/>
              </w:rPr>
            </w:pPr>
            <w:r>
              <w:rPr>
                <w:rFonts w:ascii="Calibri"/>
                <w:sz w:val="20"/>
              </w:rPr>
              <w:t>Halliday</w:t>
            </w:r>
            <w:r>
              <w:rPr>
                <w:rFonts w:ascii="Calibri"/>
                <w:spacing w:val="-7"/>
                <w:sz w:val="20"/>
              </w:rPr>
              <w:t> </w:t>
            </w:r>
            <w:r>
              <w:rPr>
                <w:rFonts w:ascii="Calibri"/>
                <w:sz w:val="20"/>
              </w:rPr>
              <w:t>Fen</w:t>
            </w:r>
            <w:r>
              <w:rPr>
                <w:rFonts w:ascii="Calibri"/>
                <w:spacing w:val="-6"/>
                <w:sz w:val="20"/>
              </w:rPr>
              <w:t> </w:t>
            </w:r>
            <w:r>
              <w:rPr>
                <w:rFonts w:ascii="Calibri"/>
                <w:spacing w:val="-5"/>
                <w:sz w:val="20"/>
              </w:rPr>
              <w:t>RNA</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43</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hAnsi="Calibri"/>
                <w:sz w:val="20"/>
              </w:rPr>
            </w:pPr>
            <w:r>
              <w:rPr>
                <w:rFonts w:ascii="Calibri" w:hAnsi="Calibri"/>
                <w:sz w:val="20"/>
              </w:rPr>
              <w:t>Sec.</w:t>
            </w:r>
            <w:r>
              <w:rPr>
                <w:rFonts w:ascii="Calibri" w:hAnsi="Calibri"/>
                <w:spacing w:val="-6"/>
                <w:sz w:val="20"/>
              </w:rPr>
              <w:t> </w:t>
            </w:r>
            <w:r>
              <w:rPr>
                <w:rFonts w:ascii="Calibri" w:hAnsi="Calibri"/>
                <w:sz w:val="20"/>
              </w:rPr>
              <w:t>36,</w:t>
            </w:r>
            <w:r>
              <w:rPr>
                <w:rFonts w:ascii="Calibri" w:hAnsi="Calibri"/>
                <w:spacing w:val="-5"/>
                <w:sz w:val="20"/>
              </w:rPr>
              <w:t> </w:t>
            </w:r>
            <w:r>
              <w:rPr>
                <w:rFonts w:ascii="Calibri" w:hAnsi="Calibri"/>
                <w:sz w:val="20"/>
              </w:rPr>
              <w:t>SE¼SE¼</w:t>
            </w:r>
            <w:r>
              <w:rPr>
                <w:rFonts w:ascii="Calibri" w:hAnsi="Calibri"/>
                <w:spacing w:val="-6"/>
                <w:sz w:val="20"/>
              </w:rPr>
              <w:t> </w:t>
            </w:r>
            <w:r>
              <w:rPr>
                <w:rFonts w:ascii="Calibri" w:hAnsi="Calibri"/>
                <w:spacing w:val="-5"/>
                <w:sz w:val="20"/>
              </w:rPr>
              <w:t>M&amp;B</w:t>
            </w:r>
          </w:p>
        </w:tc>
        <w:tc>
          <w:tcPr>
            <w:tcW w:w="900" w:type="dxa"/>
          </w:tcPr>
          <w:p>
            <w:pPr>
              <w:pStyle w:val="TableParagraph"/>
              <w:spacing w:before="0"/>
              <w:rPr>
                <w:rFonts w:ascii="Times New Roman"/>
                <w:sz w:val="16"/>
              </w:rPr>
            </w:pPr>
          </w:p>
        </w:tc>
      </w:tr>
      <w:tr>
        <w:trPr>
          <w:trHeight w:val="489" w:hRule="atLeast"/>
        </w:trPr>
        <w:tc>
          <w:tcPr>
            <w:tcW w:w="835" w:type="dxa"/>
          </w:tcPr>
          <w:p>
            <w:pPr>
              <w:pStyle w:val="TableParagraph"/>
              <w:spacing w:before="1"/>
              <w:ind w:left="9" w:right="4"/>
              <w:jc w:val="center"/>
              <w:rPr>
                <w:rFonts w:ascii="Calibri"/>
                <w:sz w:val="20"/>
              </w:rPr>
            </w:pPr>
            <w:r>
              <w:rPr>
                <w:rFonts w:ascii="Calibri"/>
                <w:spacing w:val="-10"/>
                <w:sz w:val="20"/>
              </w:rPr>
              <w:t>3</w:t>
            </w:r>
          </w:p>
        </w:tc>
        <w:tc>
          <w:tcPr>
            <w:tcW w:w="2527" w:type="dxa"/>
          </w:tcPr>
          <w:p>
            <w:pPr>
              <w:pStyle w:val="TableParagraph"/>
              <w:spacing w:line="240" w:lineRule="atLeast" w:before="0"/>
              <w:ind w:left="108"/>
              <w:rPr>
                <w:rFonts w:ascii="Calibri"/>
                <w:sz w:val="20"/>
              </w:rPr>
            </w:pPr>
            <w:r>
              <w:rPr>
                <w:rFonts w:ascii="Calibri"/>
                <w:sz w:val="20"/>
              </w:rPr>
              <w:t>Boundary</w:t>
            </w:r>
            <w:r>
              <w:rPr>
                <w:rFonts w:ascii="Calibri"/>
                <w:spacing w:val="-12"/>
                <w:sz w:val="20"/>
              </w:rPr>
              <w:t> </w:t>
            </w:r>
            <w:r>
              <w:rPr>
                <w:rFonts w:ascii="Calibri"/>
                <w:sz w:val="20"/>
              </w:rPr>
              <w:t>Lake</w:t>
            </w:r>
            <w:r>
              <w:rPr>
                <w:rFonts w:ascii="Calibri"/>
                <w:spacing w:val="-11"/>
                <w:sz w:val="20"/>
              </w:rPr>
              <w:t> </w:t>
            </w:r>
            <w:r>
              <w:rPr>
                <w:rFonts w:ascii="Calibri"/>
                <w:sz w:val="20"/>
              </w:rPr>
              <w:t>Recreation </w:t>
            </w:r>
            <w:r>
              <w:rPr>
                <w:rFonts w:ascii="Calibri"/>
                <w:spacing w:val="-4"/>
                <w:sz w:val="20"/>
              </w:rPr>
              <w:t>Area</w:t>
            </w:r>
          </w:p>
        </w:tc>
        <w:tc>
          <w:tcPr>
            <w:tcW w:w="2145" w:type="dxa"/>
          </w:tcPr>
          <w:p>
            <w:pPr>
              <w:pStyle w:val="TableParagraph"/>
              <w:spacing w:before="1"/>
              <w:ind w:left="108"/>
              <w:rPr>
                <w:rFonts w:ascii="Calibri"/>
                <w:sz w:val="20"/>
              </w:rPr>
            </w:pPr>
            <w:r>
              <w:rPr>
                <w:rFonts w:ascii="Calibri"/>
                <w:spacing w:val="-2"/>
                <w:sz w:val="20"/>
              </w:rPr>
              <w:t>Recreation</w:t>
            </w:r>
            <w:r>
              <w:rPr>
                <w:rFonts w:ascii="Calibri"/>
                <w:spacing w:val="7"/>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Pr>
                <w:rFonts w:ascii="Calibri"/>
                <w:sz w:val="20"/>
              </w:rPr>
            </w:pPr>
            <w:r>
              <w:rPr>
                <w:rFonts w:ascii="Calibri"/>
                <w:sz w:val="20"/>
              </w:rPr>
              <w:t>Sec.</w:t>
            </w:r>
            <w:r>
              <w:rPr>
                <w:rFonts w:ascii="Calibri"/>
                <w:spacing w:val="-4"/>
                <w:sz w:val="20"/>
              </w:rPr>
              <w:t> </w:t>
            </w:r>
            <w:r>
              <w:rPr>
                <w:rFonts w:ascii="Calibri"/>
                <w:sz w:val="20"/>
              </w:rPr>
              <w:t>6,</w:t>
            </w:r>
            <w:r>
              <w:rPr>
                <w:rFonts w:ascii="Calibri"/>
                <w:spacing w:val="-3"/>
                <w:sz w:val="20"/>
              </w:rPr>
              <w:t> </w:t>
            </w:r>
            <w:r>
              <w:rPr>
                <w:rFonts w:ascii="Calibri"/>
                <w:sz w:val="20"/>
              </w:rPr>
              <w:t>Lot</w:t>
            </w:r>
            <w:r>
              <w:rPr>
                <w:rFonts w:ascii="Calibri"/>
                <w:spacing w:val="-4"/>
                <w:sz w:val="20"/>
              </w:rPr>
              <w:t> </w:t>
            </w:r>
            <w:r>
              <w:rPr>
                <w:rFonts w:ascii="Calibri"/>
                <w:spacing w:val="-10"/>
                <w:sz w:val="20"/>
              </w:rPr>
              <w:t>4</w:t>
            </w:r>
          </w:p>
        </w:tc>
        <w:tc>
          <w:tcPr>
            <w:tcW w:w="900" w:type="dxa"/>
          </w:tcPr>
          <w:p>
            <w:pPr>
              <w:pStyle w:val="TableParagraph"/>
              <w:spacing w:before="1"/>
              <w:ind w:left="7" w:right="3"/>
              <w:jc w:val="center"/>
              <w:rPr>
                <w:rFonts w:ascii="Calibri"/>
                <w:sz w:val="20"/>
              </w:rPr>
            </w:pPr>
            <w:r>
              <w:rPr>
                <w:rFonts w:ascii="Calibri"/>
                <w:spacing w:val="-2"/>
                <w:sz w:val="20"/>
              </w:rPr>
              <w:t>70.95</w:t>
            </w:r>
          </w:p>
        </w:tc>
      </w:tr>
      <w:tr>
        <w:trPr>
          <w:trHeight w:val="731" w:hRule="atLeast"/>
        </w:trPr>
        <w:tc>
          <w:tcPr>
            <w:tcW w:w="835" w:type="dxa"/>
          </w:tcPr>
          <w:p>
            <w:pPr>
              <w:pStyle w:val="TableParagraph"/>
              <w:spacing w:before="1"/>
              <w:ind w:left="9" w:right="5"/>
              <w:jc w:val="center"/>
              <w:rPr>
                <w:rFonts w:ascii="Calibri"/>
                <w:sz w:val="20"/>
              </w:rPr>
            </w:pPr>
            <w:r>
              <w:rPr>
                <w:rFonts w:ascii="Calibri"/>
                <w:spacing w:val="-5"/>
                <w:sz w:val="20"/>
              </w:rPr>
              <w:t>36</w:t>
            </w:r>
          </w:p>
        </w:tc>
        <w:tc>
          <w:tcPr>
            <w:tcW w:w="2527" w:type="dxa"/>
          </w:tcPr>
          <w:p>
            <w:pPr>
              <w:pStyle w:val="TableParagraph"/>
              <w:spacing w:before="1"/>
              <w:ind w:left="108"/>
              <w:rPr>
                <w:rFonts w:ascii="Calibri"/>
                <w:sz w:val="20"/>
              </w:rPr>
            </w:pPr>
            <w:r>
              <w:rPr>
                <w:rFonts w:ascii="Calibri"/>
                <w:sz w:val="20"/>
              </w:rPr>
              <w:t>Halliday</w:t>
            </w:r>
            <w:r>
              <w:rPr>
                <w:rFonts w:ascii="Calibri"/>
                <w:spacing w:val="-7"/>
                <w:sz w:val="20"/>
              </w:rPr>
              <w:t> </w:t>
            </w:r>
            <w:r>
              <w:rPr>
                <w:rFonts w:ascii="Calibri"/>
                <w:sz w:val="20"/>
              </w:rPr>
              <w:t>Fen</w:t>
            </w:r>
            <w:r>
              <w:rPr>
                <w:rFonts w:ascii="Calibri"/>
                <w:spacing w:val="-6"/>
                <w:sz w:val="20"/>
              </w:rPr>
              <w:t> </w:t>
            </w:r>
            <w:r>
              <w:rPr>
                <w:rFonts w:ascii="Calibri"/>
                <w:spacing w:val="-5"/>
                <w:sz w:val="20"/>
              </w:rPr>
              <w:t>RNA</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before="1"/>
              <w:ind w:left="110" w:right="123"/>
              <w:rPr>
                <w:rFonts w:ascii="Calibri" w:hAnsi="Calibri"/>
                <w:sz w:val="20"/>
              </w:rPr>
            </w:pPr>
            <w:r>
              <w:rPr>
                <w:rFonts w:ascii="Calibri" w:hAnsi="Calibri"/>
                <w:sz w:val="20"/>
              </w:rPr>
              <w:t>Sec.</w:t>
            </w:r>
            <w:r>
              <w:rPr>
                <w:rFonts w:ascii="Calibri" w:hAnsi="Calibri"/>
                <w:spacing w:val="-1"/>
                <w:sz w:val="20"/>
              </w:rPr>
              <w:t> </w:t>
            </w:r>
            <w:r>
              <w:rPr>
                <w:rFonts w:ascii="Calibri" w:hAnsi="Calibri"/>
                <w:sz w:val="20"/>
              </w:rPr>
              <w:t>30, NW¼SE¼, SE¼SW¼, S½SE¼;</w:t>
            </w:r>
            <w:r>
              <w:rPr>
                <w:rFonts w:ascii="Calibri" w:hAnsi="Calibri"/>
                <w:spacing w:val="-2"/>
                <w:sz w:val="20"/>
              </w:rPr>
              <w:t> </w:t>
            </w:r>
            <w:r>
              <w:rPr>
                <w:rFonts w:ascii="Calibri" w:hAnsi="Calibri"/>
                <w:sz w:val="20"/>
              </w:rPr>
              <w:t>Sec.</w:t>
            </w:r>
            <w:r>
              <w:rPr>
                <w:rFonts w:ascii="Calibri" w:hAnsi="Calibri"/>
                <w:spacing w:val="-1"/>
                <w:sz w:val="20"/>
              </w:rPr>
              <w:t> </w:t>
            </w:r>
            <w:r>
              <w:rPr>
                <w:rFonts w:ascii="Calibri" w:hAnsi="Calibri"/>
                <w:sz w:val="20"/>
              </w:rPr>
              <w:t>31, Lots 2,</w:t>
            </w:r>
            <w:r>
              <w:rPr>
                <w:rFonts w:ascii="Calibri" w:hAnsi="Calibri"/>
                <w:spacing w:val="-6"/>
                <w:sz w:val="20"/>
              </w:rPr>
              <w:t> </w:t>
            </w:r>
            <w:r>
              <w:rPr>
                <w:rFonts w:ascii="Calibri" w:hAnsi="Calibri"/>
                <w:sz w:val="20"/>
              </w:rPr>
              <w:t>3,</w:t>
            </w:r>
            <w:r>
              <w:rPr>
                <w:rFonts w:ascii="Calibri" w:hAnsi="Calibri"/>
                <w:spacing w:val="-6"/>
                <w:sz w:val="20"/>
              </w:rPr>
              <w:t> </w:t>
            </w:r>
            <w:r>
              <w:rPr>
                <w:rFonts w:ascii="Calibri" w:hAnsi="Calibri"/>
                <w:sz w:val="20"/>
              </w:rPr>
              <w:t>4,</w:t>
            </w:r>
            <w:r>
              <w:rPr>
                <w:rFonts w:ascii="Calibri" w:hAnsi="Calibri"/>
                <w:spacing w:val="-6"/>
                <w:sz w:val="20"/>
              </w:rPr>
              <w:t> </w:t>
            </w:r>
            <w:r>
              <w:rPr>
                <w:rFonts w:ascii="Calibri" w:hAnsi="Calibri"/>
                <w:sz w:val="20"/>
              </w:rPr>
              <w:t>NE¼NE¼,</w:t>
            </w:r>
            <w:r>
              <w:rPr>
                <w:rFonts w:ascii="Calibri" w:hAnsi="Calibri"/>
                <w:spacing w:val="-6"/>
                <w:sz w:val="20"/>
              </w:rPr>
              <w:t> </w:t>
            </w:r>
            <w:r>
              <w:rPr>
                <w:rFonts w:ascii="Calibri" w:hAnsi="Calibri"/>
                <w:sz w:val="20"/>
              </w:rPr>
              <w:t>NE¼NW¼,</w:t>
            </w:r>
            <w:r>
              <w:rPr>
                <w:rFonts w:ascii="Calibri" w:hAnsi="Calibri"/>
                <w:spacing w:val="-8"/>
                <w:sz w:val="20"/>
              </w:rPr>
              <w:t> </w:t>
            </w:r>
            <w:r>
              <w:rPr>
                <w:rFonts w:ascii="Calibri" w:hAnsi="Calibri"/>
                <w:sz w:val="20"/>
              </w:rPr>
              <w:t>NE¼SE¼,</w:t>
            </w:r>
            <w:r>
              <w:rPr>
                <w:rFonts w:ascii="Calibri" w:hAnsi="Calibri"/>
                <w:spacing w:val="-6"/>
                <w:sz w:val="20"/>
              </w:rPr>
              <w:t> </w:t>
            </w:r>
            <w:r>
              <w:rPr>
                <w:rFonts w:ascii="Calibri" w:hAnsi="Calibri"/>
                <w:sz w:val="20"/>
              </w:rPr>
              <w:t>S½SE¼;</w:t>
            </w:r>
            <w:r>
              <w:rPr>
                <w:rFonts w:ascii="Calibri" w:hAnsi="Calibri"/>
                <w:spacing w:val="-7"/>
                <w:sz w:val="20"/>
              </w:rPr>
              <w:t> </w:t>
            </w:r>
            <w:r>
              <w:rPr>
                <w:rFonts w:ascii="Calibri" w:hAnsi="Calibri"/>
                <w:sz w:val="20"/>
              </w:rPr>
              <w:t>Sec.</w:t>
            </w:r>
          </w:p>
          <w:p>
            <w:pPr>
              <w:pStyle w:val="TableParagraph"/>
              <w:spacing w:line="222" w:lineRule="exact" w:before="0"/>
              <w:ind w:left="110"/>
              <w:rPr>
                <w:rFonts w:ascii="Calibri" w:hAnsi="Calibri"/>
                <w:sz w:val="20"/>
              </w:rPr>
            </w:pPr>
            <w:r>
              <w:rPr>
                <w:rFonts w:ascii="Calibri" w:hAnsi="Calibri"/>
                <w:sz w:val="20"/>
              </w:rPr>
              <w:t>32,</w:t>
            </w:r>
            <w:r>
              <w:rPr>
                <w:rFonts w:ascii="Calibri" w:hAnsi="Calibri"/>
                <w:spacing w:val="-5"/>
                <w:sz w:val="20"/>
              </w:rPr>
              <w:t> </w:t>
            </w:r>
            <w:r>
              <w:rPr>
                <w:rFonts w:ascii="Calibri" w:hAnsi="Calibri"/>
                <w:sz w:val="20"/>
              </w:rPr>
              <w:t>W½W½</w:t>
            </w:r>
            <w:r>
              <w:rPr>
                <w:rFonts w:ascii="Calibri" w:hAnsi="Calibri"/>
                <w:spacing w:val="-4"/>
                <w:sz w:val="20"/>
              </w:rPr>
              <w:t> </w:t>
            </w:r>
            <w:r>
              <w:rPr>
                <w:rFonts w:ascii="Calibri" w:hAnsi="Calibri"/>
                <w:spacing w:val="-5"/>
                <w:sz w:val="20"/>
              </w:rPr>
              <w:t>M&amp;B</w:t>
            </w:r>
          </w:p>
        </w:tc>
        <w:tc>
          <w:tcPr>
            <w:tcW w:w="900" w:type="dxa"/>
          </w:tcPr>
          <w:p>
            <w:pPr>
              <w:pStyle w:val="TableParagraph"/>
              <w:spacing w:before="0"/>
              <w:rPr>
                <w:rFonts w:ascii="Times New Roman"/>
                <w:sz w:val="18"/>
              </w:rPr>
            </w:pPr>
          </w:p>
        </w:tc>
      </w:tr>
      <w:tr>
        <w:trPr>
          <w:trHeight w:val="489" w:hRule="atLeast"/>
        </w:trPr>
        <w:tc>
          <w:tcPr>
            <w:tcW w:w="835" w:type="dxa"/>
          </w:tcPr>
          <w:p>
            <w:pPr>
              <w:pStyle w:val="TableParagraph"/>
              <w:spacing w:before="1"/>
              <w:ind w:left="9" w:right="5"/>
              <w:jc w:val="center"/>
              <w:rPr>
                <w:rFonts w:ascii="Calibri"/>
                <w:sz w:val="20"/>
              </w:rPr>
            </w:pPr>
            <w:r>
              <w:rPr>
                <w:rFonts w:ascii="Calibri"/>
                <w:spacing w:val="-5"/>
                <w:sz w:val="20"/>
              </w:rPr>
              <w:t>36</w:t>
            </w:r>
          </w:p>
        </w:tc>
        <w:tc>
          <w:tcPr>
            <w:tcW w:w="2527" w:type="dxa"/>
          </w:tcPr>
          <w:p>
            <w:pPr>
              <w:pStyle w:val="TableParagraph"/>
              <w:spacing w:before="1"/>
              <w:ind w:left="108"/>
              <w:rPr>
                <w:rFonts w:ascii="Calibri"/>
                <w:sz w:val="20"/>
              </w:rPr>
            </w:pPr>
            <w:r>
              <w:rPr>
                <w:rFonts w:ascii="Calibri"/>
                <w:sz w:val="20"/>
              </w:rPr>
              <w:t>Halliday</w:t>
            </w:r>
            <w:r>
              <w:rPr>
                <w:rFonts w:ascii="Calibri"/>
                <w:spacing w:val="-7"/>
                <w:sz w:val="20"/>
              </w:rPr>
              <w:t> </w:t>
            </w:r>
            <w:r>
              <w:rPr>
                <w:rFonts w:ascii="Calibri"/>
                <w:sz w:val="20"/>
              </w:rPr>
              <w:t>Fen</w:t>
            </w:r>
            <w:r>
              <w:rPr>
                <w:rFonts w:ascii="Calibri"/>
                <w:spacing w:val="-6"/>
                <w:sz w:val="20"/>
              </w:rPr>
              <w:t> </w:t>
            </w:r>
            <w:r>
              <w:rPr>
                <w:rFonts w:ascii="Calibri"/>
                <w:spacing w:val="-5"/>
                <w:sz w:val="20"/>
              </w:rPr>
              <w:t>RNA</w:t>
            </w:r>
          </w:p>
        </w:tc>
        <w:tc>
          <w:tcPr>
            <w:tcW w:w="2145" w:type="dxa"/>
          </w:tcPr>
          <w:p>
            <w:pPr>
              <w:pStyle w:val="TableParagraph"/>
              <w:spacing w:before="1"/>
              <w:ind w:left="108"/>
              <w:rPr>
                <w:rFonts w:ascii="Calibri"/>
                <w:sz w:val="20"/>
              </w:rPr>
            </w:pPr>
            <w:r>
              <w:rPr>
                <w:rFonts w:ascii="Calibri"/>
                <w:spacing w:val="-2"/>
                <w:sz w:val="20"/>
              </w:rPr>
              <w:t>Administrative</w:t>
            </w:r>
            <w:r>
              <w:rPr>
                <w:rFonts w:ascii="Calibri"/>
                <w:spacing w:val="9"/>
                <w:sz w:val="20"/>
              </w:rPr>
              <w:t> </w:t>
            </w:r>
            <w:r>
              <w:rPr>
                <w:rFonts w:ascii="Calibri"/>
                <w:spacing w:val="-4"/>
                <w:sz w:val="20"/>
              </w:rPr>
              <w:t>Site</w:t>
            </w:r>
          </w:p>
        </w:tc>
        <w:tc>
          <w:tcPr>
            <w:tcW w:w="1293" w:type="dxa"/>
          </w:tcPr>
          <w:p>
            <w:pPr>
              <w:pStyle w:val="TableParagraph"/>
              <w:spacing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before="1"/>
              <w:ind w:left="167"/>
              <w:rPr>
                <w:rFonts w:ascii="Calibri"/>
                <w:sz w:val="20"/>
              </w:rPr>
            </w:pPr>
            <w:r>
              <w:rPr>
                <w:rFonts w:ascii="Calibri"/>
                <w:sz w:val="20"/>
              </w:rPr>
              <w:t>R.</w:t>
            </w:r>
            <w:r>
              <w:rPr>
                <w:rFonts w:ascii="Calibri"/>
                <w:spacing w:val="-3"/>
                <w:sz w:val="20"/>
              </w:rPr>
              <w:t> </w:t>
            </w:r>
            <w:r>
              <w:rPr>
                <w:rFonts w:ascii="Calibri"/>
                <w:sz w:val="20"/>
              </w:rPr>
              <w:t>44</w:t>
            </w:r>
            <w:r>
              <w:rPr>
                <w:rFonts w:ascii="Calibri"/>
                <w:spacing w:val="-3"/>
                <w:sz w:val="20"/>
              </w:rPr>
              <w:t> </w:t>
            </w:r>
            <w:r>
              <w:rPr>
                <w:rFonts w:ascii="Calibri"/>
                <w:spacing w:val="-5"/>
                <w:sz w:val="20"/>
              </w:rPr>
              <w:t>E.</w:t>
            </w:r>
          </w:p>
        </w:tc>
        <w:tc>
          <w:tcPr>
            <w:tcW w:w="4315" w:type="dxa"/>
          </w:tcPr>
          <w:p>
            <w:pPr>
              <w:pStyle w:val="TableParagraph"/>
              <w:spacing w:line="240" w:lineRule="atLeast" w:before="0"/>
              <w:ind w:left="110"/>
              <w:rPr>
                <w:rFonts w:ascii="Calibri" w:hAnsi="Calibri"/>
                <w:sz w:val="20"/>
              </w:rPr>
            </w:pPr>
            <w:r>
              <w:rPr>
                <w:rFonts w:ascii="Calibri" w:hAnsi="Calibri"/>
                <w:sz w:val="20"/>
              </w:rPr>
              <w:t>Sec.</w:t>
            </w:r>
            <w:r>
              <w:rPr>
                <w:rFonts w:ascii="Calibri" w:hAnsi="Calibri"/>
                <w:spacing w:val="-9"/>
                <w:sz w:val="20"/>
              </w:rPr>
              <w:t> </w:t>
            </w:r>
            <w:r>
              <w:rPr>
                <w:rFonts w:ascii="Calibri" w:hAnsi="Calibri"/>
                <w:sz w:val="20"/>
              </w:rPr>
              <w:t>31,</w:t>
            </w:r>
            <w:r>
              <w:rPr>
                <w:rFonts w:ascii="Calibri" w:hAnsi="Calibri"/>
                <w:spacing w:val="-8"/>
                <w:sz w:val="20"/>
              </w:rPr>
              <w:t> </w:t>
            </w:r>
            <w:r>
              <w:rPr>
                <w:rFonts w:ascii="Calibri" w:hAnsi="Calibri"/>
                <w:sz w:val="20"/>
              </w:rPr>
              <w:t>W½NE¼,</w:t>
            </w:r>
            <w:r>
              <w:rPr>
                <w:rFonts w:ascii="Calibri" w:hAnsi="Calibri"/>
                <w:spacing w:val="-8"/>
                <w:sz w:val="20"/>
              </w:rPr>
              <w:t> </w:t>
            </w:r>
            <w:r>
              <w:rPr>
                <w:rFonts w:ascii="Calibri" w:hAnsi="Calibri"/>
                <w:sz w:val="20"/>
              </w:rPr>
              <w:t>SE¼NE¼,</w:t>
            </w:r>
            <w:r>
              <w:rPr>
                <w:rFonts w:ascii="Calibri" w:hAnsi="Calibri"/>
                <w:spacing w:val="-8"/>
                <w:sz w:val="20"/>
              </w:rPr>
              <w:t> </w:t>
            </w:r>
            <w:r>
              <w:rPr>
                <w:rFonts w:ascii="Calibri" w:hAnsi="Calibri"/>
                <w:sz w:val="20"/>
              </w:rPr>
              <w:t>SE¼NW¼,</w:t>
            </w:r>
            <w:r>
              <w:rPr>
                <w:rFonts w:ascii="Calibri" w:hAnsi="Calibri"/>
                <w:spacing w:val="-8"/>
                <w:sz w:val="20"/>
              </w:rPr>
              <w:t> </w:t>
            </w:r>
            <w:r>
              <w:rPr>
                <w:rFonts w:ascii="Calibri" w:hAnsi="Calibri"/>
                <w:sz w:val="20"/>
              </w:rPr>
              <w:t>E½SW¼, </w:t>
            </w:r>
            <w:r>
              <w:rPr>
                <w:rFonts w:ascii="Calibri" w:hAnsi="Calibri"/>
                <w:spacing w:val="-2"/>
                <w:sz w:val="20"/>
              </w:rPr>
              <w:t>NW¼SE¼</w:t>
            </w:r>
          </w:p>
        </w:tc>
        <w:tc>
          <w:tcPr>
            <w:tcW w:w="900" w:type="dxa"/>
          </w:tcPr>
          <w:p>
            <w:pPr>
              <w:pStyle w:val="TableParagraph"/>
              <w:spacing w:before="0"/>
              <w:rPr>
                <w:rFonts w:ascii="Times New Roman"/>
                <w:sz w:val="18"/>
              </w:rPr>
            </w:pPr>
          </w:p>
        </w:tc>
      </w:tr>
      <w:tr>
        <w:trPr>
          <w:trHeight w:val="244" w:hRule="atLeast"/>
        </w:trPr>
        <w:tc>
          <w:tcPr>
            <w:tcW w:w="835" w:type="dxa"/>
          </w:tcPr>
          <w:p>
            <w:pPr>
              <w:pStyle w:val="TableParagraph"/>
              <w:spacing w:line="223" w:lineRule="exact" w:before="1"/>
              <w:ind w:left="9" w:right="5"/>
              <w:jc w:val="center"/>
              <w:rPr>
                <w:rFonts w:ascii="Calibri"/>
                <w:sz w:val="20"/>
              </w:rPr>
            </w:pPr>
            <w:r>
              <w:rPr>
                <w:rFonts w:ascii="Calibri"/>
                <w:spacing w:val="-5"/>
                <w:sz w:val="20"/>
              </w:rPr>
              <w:t>69</w:t>
            </w:r>
          </w:p>
        </w:tc>
        <w:tc>
          <w:tcPr>
            <w:tcW w:w="2527" w:type="dxa"/>
          </w:tcPr>
          <w:p>
            <w:pPr>
              <w:pStyle w:val="TableParagraph"/>
              <w:spacing w:line="223" w:lineRule="exact" w:before="1"/>
              <w:ind w:left="108"/>
              <w:rPr>
                <w:rFonts w:ascii="Calibri"/>
                <w:sz w:val="20"/>
              </w:rPr>
            </w:pPr>
            <w:r>
              <w:rPr>
                <w:rFonts w:ascii="Calibri"/>
                <w:sz w:val="20"/>
              </w:rPr>
              <w:t>Salmo</w:t>
            </w:r>
            <w:r>
              <w:rPr>
                <w:rFonts w:ascii="Calibri"/>
                <w:spacing w:val="-8"/>
                <w:sz w:val="20"/>
              </w:rPr>
              <w:t> </w:t>
            </w:r>
            <w:r>
              <w:rPr>
                <w:rFonts w:ascii="Calibri"/>
                <w:spacing w:val="-5"/>
                <w:sz w:val="20"/>
              </w:rPr>
              <w:t>RNA</w:t>
            </w:r>
          </w:p>
        </w:tc>
        <w:tc>
          <w:tcPr>
            <w:tcW w:w="2145" w:type="dxa"/>
          </w:tcPr>
          <w:p>
            <w:pPr>
              <w:pStyle w:val="TableParagraph"/>
              <w:spacing w:line="223" w:lineRule="exact" w:before="1"/>
              <w:ind w:left="108"/>
              <w:rPr>
                <w:rFonts w:ascii="Calibri"/>
                <w:sz w:val="20"/>
              </w:rPr>
            </w:pPr>
            <w:r>
              <w:rPr>
                <w:rFonts w:ascii="Calibri"/>
                <w:spacing w:val="-2"/>
                <w:sz w:val="20"/>
              </w:rPr>
              <w:t>ADMINISTRATIVE</w:t>
            </w:r>
            <w:r>
              <w:rPr>
                <w:rFonts w:ascii="Calibri"/>
                <w:spacing w:val="11"/>
                <w:sz w:val="20"/>
              </w:rPr>
              <w:t> </w:t>
            </w:r>
            <w:r>
              <w:rPr>
                <w:rFonts w:ascii="Calibri"/>
                <w:spacing w:val="-4"/>
                <w:sz w:val="20"/>
              </w:rPr>
              <w:t>SITE</w:t>
            </w:r>
          </w:p>
        </w:tc>
        <w:tc>
          <w:tcPr>
            <w:tcW w:w="1293" w:type="dxa"/>
          </w:tcPr>
          <w:p>
            <w:pPr>
              <w:pStyle w:val="TableParagraph"/>
              <w:spacing w:line="223" w:lineRule="exact" w:before="1"/>
              <w:ind w:left="336"/>
              <w:rPr>
                <w:rFonts w:ascii="Calibri"/>
                <w:sz w:val="20"/>
              </w:rPr>
            </w:pPr>
            <w:r>
              <w:rPr>
                <w:rFonts w:ascii="Calibri"/>
                <w:sz w:val="20"/>
              </w:rPr>
              <w:t>T.</w:t>
            </w:r>
            <w:r>
              <w:rPr>
                <w:rFonts w:ascii="Calibri"/>
                <w:spacing w:val="-4"/>
                <w:sz w:val="20"/>
              </w:rPr>
              <w:t> </w:t>
            </w:r>
            <w:r>
              <w:rPr>
                <w:rFonts w:ascii="Calibri"/>
                <w:sz w:val="20"/>
              </w:rPr>
              <w:t>40</w:t>
            </w:r>
            <w:r>
              <w:rPr>
                <w:rFonts w:ascii="Calibri"/>
                <w:spacing w:val="-3"/>
                <w:sz w:val="20"/>
              </w:rPr>
              <w:t> </w:t>
            </w:r>
            <w:r>
              <w:rPr>
                <w:rFonts w:ascii="Calibri"/>
                <w:spacing w:val="-5"/>
                <w:sz w:val="20"/>
              </w:rPr>
              <w:t>N.</w:t>
            </w:r>
          </w:p>
        </w:tc>
        <w:tc>
          <w:tcPr>
            <w:tcW w:w="933" w:type="dxa"/>
          </w:tcPr>
          <w:p>
            <w:pPr>
              <w:pStyle w:val="TableParagraph"/>
              <w:spacing w:line="223" w:lineRule="exact" w:before="1"/>
              <w:ind w:left="167"/>
              <w:rPr>
                <w:rFonts w:ascii="Calibri"/>
                <w:sz w:val="20"/>
              </w:rPr>
            </w:pPr>
            <w:r>
              <w:rPr>
                <w:rFonts w:ascii="Calibri"/>
                <w:sz w:val="20"/>
              </w:rPr>
              <w:t>R.</w:t>
            </w:r>
            <w:r>
              <w:rPr>
                <w:rFonts w:ascii="Calibri"/>
                <w:spacing w:val="-3"/>
                <w:sz w:val="20"/>
              </w:rPr>
              <w:t> </w:t>
            </w:r>
            <w:r>
              <w:rPr>
                <w:rFonts w:ascii="Calibri"/>
                <w:sz w:val="20"/>
              </w:rPr>
              <w:t>45</w:t>
            </w:r>
            <w:r>
              <w:rPr>
                <w:rFonts w:ascii="Calibri"/>
                <w:spacing w:val="-3"/>
                <w:sz w:val="20"/>
              </w:rPr>
              <w:t> </w:t>
            </w:r>
            <w:r>
              <w:rPr>
                <w:rFonts w:ascii="Calibri"/>
                <w:spacing w:val="-5"/>
                <w:sz w:val="20"/>
              </w:rPr>
              <w:t>E.</w:t>
            </w:r>
          </w:p>
        </w:tc>
        <w:tc>
          <w:tcPr>
            <w:tcW w:w="4315" w:type="dxa"/>
          </w:tcPr>
          <w:p>
            <w:pPr>
              <w:pStyle w:val="TableParagraph"/>
              <w:spacing w:line="223" w:lineRule="exact" w:before="1"/>
              <w:ind w:left="110"/>
              <w:rPr>
                <w:rFonts w:ascii="Calibri"/>
                <w:sz w:val="20"/>
              </w:rPr>
            </w:pPr>
            <w:r>
              <w:rPr>
                <w:rFonts w:ascii="Calibri"/>
                <w:sz w:val="20"/>
              </w:rPr>
              <w:t>Portions</w:t>
            </w:r>
            <w:r>
              <w:rPr>
                <w:rFonts w:ascii="Calibri"/>
                <w:spacing w:val="-5"/>
                <w:sz w:val="20"/>
              </w:rPr>
              <w:t> </w:t>
            </w:r>
            <w:r>
              <w:rPr>
                <w:rFonts w:ascii="Calibri"/>
                <w:sz w:val="20"/>
              </w:rPr>
              <w:t>of</w:t>
            </w:r>
            <w:r>
              <w:rPr>
                <w:rFonts w:ascii="Calibri"/>
                <w:spacing w:val="-5"/>
                <w:sz w:val="20"/>
              </w:rPr>
              <w:t> </w:t>
            </w:r>
            <w:r>
              <w:rPr>
                <w:rFonts w:ascii="Calibri"/>
                <w:sz w:val="20"/>
              </w:rPr>
              <w:t>Sec.</w:t>
            </w:r>
            <w:r>
              <w:rPr>
                <w:rFonts w:ascii="Calibri"/>
                <w:spacing w:val="-4"/>
                <w:sz w:val="20"/>
              </w:rPr>
              <w:t> </w:t>
            </w:r>
            <w:r>
              <w:rPr>
                <w:rFonts w:ascii="Calibri"/>
                <w:sz w:val="20"/>
              </w:rPr>
              <w:t>9,</w:t>
            </w:r>
            <w:r>
              <w:rPr>
                <w:rFonts w:ascii="Calibri"/>
                <w:spacing w:val="-4"/>
                <w:sz w:val="20"/>
              </w:rPr>
              <w:t> </w:t>
            </w:r>
            <w:r>
              <w:rPr>
                <w:rFonts w:ascii="Calibri"/>
                <w:sz w:val="20"/>
              </w:rPr>
              <w:t>10,</w:t>
            </w:r>
            <w:r>
              <w:rPr>
                <w:rFonts w:ascii="Calibri"/>
                <w:spacing w:val="-3"/>
                <w:sz w:val="20"/>
              </w:rPr>
              <w:t> </w:t>
            </w:r>
            <w:r>
              <w:rPr>
                <w:rFonts w:ascii="Calibri"/>
                <w:sz w:val="20"/>
              </w:rPr>
              <w:t>11,</w:t>
            </w:r>
            <w:r>
              <w:rPr>
                <w:rFonts w:ascii="Calibri"/>
                <w:spacing w:val="-3"/>
                <w:sz w:val="20"/>
              </w:rPr>
              <w:t> </w:t>
            </w:r>
            <w:r>
              <w:rPr>
                <w:rFonts w:ascii="Calibri"/>
                <w:sz w:val="20"/>
              </w:rPr>
              <w:t>14,</w:t>
            </w:r>
            <w:r>
              <w:rPr>
                <w:rFonts w:ascii="Calibri"/>
                <w:spacing w:val="-1"/>
                <w:sz w:val="20"/>
              </w:rPr>
              <w:t> </w:t>
            </w:r>
            <w:r>
              <w:rPr>
                <w:rFonts w:ascii="Calibri"/>
                <w:sz w:val="20"/>
              </w:rPr>
              <w:t>15,</w:t>
            </w:r>
            <w:r>
              <w:rPr>
                <w:rFonts w:ascii="Calibri"/>
                <w:spacing w:val="-3"/>
                <w:sz w:val="20"/>
              </w:rPr>
              <w:t> </w:t>
            </w:r>
            <w:r>
              <w:rPr>
                <w:rFonts w:ascii="Calibri"/>
                <w:sz w:val="20"/>
              </w:rPr>
              <w:t>16,</w:t>
            </w:r>
            <w:r>
              <w:rPr>
                <w:rFonts w:ascii="Calibri"/>
                <w:spacing w:val="-3"/>
                <w:sz w:val="20"/>
              </w:rPr>
              <w:t> </w:t>
            </w:r>
            <w:r>
              <w:rPr>
                <w:rFonts w:ascii="Calibri"/>
                <w:sz w:val="20"/>
              </w:rPr>
              <w:t>and</w:t>
            </w:r>
            <w:r>
              <w:rPr>
                <w:rFonts w:ascii="Calibri"/>
                <w:spacing w:val="-3"/>
                <w:sz w:val="20"/>
              </w:rPr>
              <w:t> </w:t>
            </w:r>
            <w:r>
              <w:rPr>
                <w:rFonts w:ascii="Calibri"/>
                <w:spacing w:val="-5"/>
                <w:sz w:val="20"/>
              </w:rPr>
              <w:t>22</w:t>
            </w:r>
          </w:p>
        </w:tc>
        <w:tc>
          <w:tcPr>
            <w:tcW w:w="900" w:type="dxa"/>
          </w:tcPr>
          <w:p>
            <w:pPr>
              <w:pStyle w:val="TableParagraph"/>
              <w:spacing w:before="0"/>
              <w:rPr>
                <w:rFonts w:ascii="Times New Roman"/>
                <w:sz w:val="16"/>
              </w:rPr>
            </w:pPr>
          </w:p>
        </w:tc>
      </w:tr>
    </w:tbl>
    <w:p>
      <w:pPr>
        <w:spacing w:line="290" w:lineRule="auto" w:before="46"/>
        <w:ind w:left="359" w:right="5624" w:firstLine="0"/>
        <w:jc w:val="left"/>
        <w:rPr>
          <w:rFonts w:ascii="Arial"/>
          <w:sz w:val="16"/>
        </w:rPr>
      </w:pPr>
      <w:r>
        <w:rPr>
          <w:rFonts w:ascii="Arial"/>
          <w:sz w:val="16"/>
        </w:rPr>
        <w:t>Approximate</w:t>
      </w:r>
      <w:r>
        <w:rPr>
          <w:rFonts w:ascii="Arial"/>
          <w:spacing w:val="-5"/>
          <w:sz w:val="16"/>
        </w:rPr>
        <w:t> </w:t>
      </w:r>
      <w:r>
        <w:rPr>
          <w:rFonts w:ascii="Arial"/>
          <w:sz w:val="16"/>
        </w:rPr>
        <w:t>total</w:t>
      </w:r>
      <w:r>
        <w:rPr>
          <w:rFonts w:ascii="Arial"/>
          <w:spacing w:val="-4"/>
          <w:sz w:val="16"/>
        </w:rPr>
        <w:t> </w:t>
      </w:r>
      <w:r>
        <w:rPr>
          <w:rFonts w:ascii="Arial"/>
          <w:sz w:val="16"/>
        </w:rPr>
        <w:t>acres</w:t>
      </w:r>
      <w:r>
        <w:rPr>
          <w:rFonts w:ascii="Arial"/>
          <w:spacing w:val="-1"/>
          <w:sz w:val="16"/>
        </w:rPr>
        <w:t> </w:t>
      </w:r>
      <w:r>
        <w:rPr>
          <w:rFonts w:ascii="Arial"/>
          <w:sz w:val="16"/>
        </w:rPr>
        <w:t>withdrawn from</w:t>
      </w:r>
      <w:r>
        <w:rPr>
          <w:rFonts w:ascii="Arial"/>
          <w:spacing w:val="-4"/>
          <w:sz w:val="16"/>
        </w:rPr>
        <w:t> </w:t>
      </w:r>
      <w:r>
        <w:rPr>
          <w:rFonts w:ascii="Arial"/>
          <w:sz w:val="16"/>
        </w:rPr>
        <w:t>mineral</w:t>
      </w:r>
      <w:r>
        <w:rPr>
          <w:rFonts w:ascii="Arial"/>
          <w:spacing w:val="-2"/>
          <w:sz w:val="16"/>
        </w:rPr>
        <w:t> </w:t>
      </w:r>
      <w:r>
        <w:rPr>
          <w:rFonts w:ascii="Arial"/>
          <w:sz w:val="16"/>
        </w:rPr>
        <w:t>entry:</w:t>
      </w:r>
      <w:r>
        <w:rPr>
          <w:rFonts w:ascii="Arial"/>
          <w:spacing w:val="-1"/>
          <w:sz w:val="16"/>
        </w:rPr>
        <w:t> </w:t>
      </w:r>
      <w:r>
        <w:rPr>
          <w:rFonts w:ascii="Arial"/>
          <w:sz w:val="16"/>
        </w:rPr>
        <w:t>11,609</w:t>
      </w:r>
      <w:r>
        <w:rPr>
          <w:rFonts w:ascii="Arial"/>
          <w:spacing w:val="-3"/>
          <w:sz w:val="16"/>
        </w:rPr>
        <w:t> </w:t>
      </w:r>
      <w:r>
        <w:rPr>
          <w:rFonts w:ascii="Arial"/>
          <w:sz w:val="16"/>
        </w:rPr>
        <w:t>(Does</w:t>
      </w:r>
      <w:r>
        <w:rPr>
          <w:rFonts w:ascii="Arial"/>
          <w:spacing w:val="-4"/>
          <w:sz w:val="16"/>
        </w:rPr>
        <w:t> </w:t>
      </w:r>
      <w:r>
        <w:rPr>
          <w:rFonts w:ascii="Arial"/>
          <w:sz w:val="16"/>
        </w:rPr>
        <w:t>not</w:t>
      </w:r>
      <w:r>
        <w:rPr>
          <w:rFonts w:ascii="Arial"/>
          <w:spacing w:val="-1"/>
          <w:sz w:val="16"/>
        </w:rPr>
        <w:t> </w:t>
      </w:r>
      <w:r>
        <w:rPr>
          <w:rFonts w:ascii="Arial"/>
          <w:sz w:val="16"/>
        </w:rPr>
        <w:t>include</w:t>
      </w:r>
      <w:r>
        <w:rPr>
          <w:rFonts w:ascii="Arial"/>
          <w:spacing w:val="-3"/>
          <w:sz w:val="16"/>
        </w:rPr>
        <w:t> </w:t>
      </w:r>
      <w:r>
        <w:rPr>
          <w:rFonts w:ascii="Arial"/>
          <w:sz w:val="16"/>
        </w:rPr>
        <w:t>the</w:t>
      </w:r>
      <w:r>
        <w:rPr>
          <w:rFonts w:ascii="Arial"/>
          <w:spacing w:val="-5"/>
          <w:sz w:val="16"/>
        </w:rPr>
        <w:t> </w:t>
      </w:r>
      <w:r>
        <w:rPr>
          <w:rFonts w:ascii="Arial"/>
          <w:sz w:val="16"/>
        </w:rPr>
        <w:t>Salmo</w:t>
      </w:r>
      <w:r>
        <w:rPr>
          <w:rFonts w:ascii="Arial"/>
          <w:spacing w:val="-5"/>
          <w:sz w:val="16"/>
        </w:rPr>
        <w:t> </w:t>
      </w:r>
      <w:r>
        <w:rPr>
          <w:rFonts w:ascii="Arial"/>
          <w:sz w:val="16"/>
        </w:rPr>
        <w:t>Priest</w:t>
      </w:r>
      <w:r>
        <w:rPr>
          <w:rFonts w:ascii="Arial"/>
          <w:spacing w:val="-5"/>
          <w:sz w:val="16"/>
        </w:rPr>
        <w:t> </w:t>
      </w:r>
      <w:r>
        <w:rPr>
          <w:rFonts w:ascii="Arial"/>
          <w:sz w:val="16"/>
        </w:rPr>
        <w:t>Wilderness</w:t>
      </w:r>
      <w:r>
        <w:rPr>
          <w:rFonts w:ascii="Arial"/>
          <w:spacing w:val="-4"/>
          <w:sz w:val="16"/>
        </w:rPr>
        <w:t> </w:t>
      </w:r>
      <w:r>
        <w:rPr>
          <w:rFonts w:ascii="Arial"/>
          <w:sz w:val="16"/>
        </w:rPr>
        <w:t>Area) M&amp;B = Metes and Bounds</w:t>
      </w:r>
    </w:p>
    <w:p>
      <w:pPr>
        <w:spacing w:after="0" w:line="290" w:lineRule="auto"/>
        <w:jc w:val="left"/>
        <w:rPr>
          <w:rFonts w:ascii="Arial"/>
          <w:sz w:val="16"/>
        </w:rPr>
        <w:sectPr>
          <w:pgSz w:w="15840" w:h="12240" w:orient="landscape"/>
          <w:pgMar w:header="725" w:footer="891" w:top="1440" w:bottom="1080" w:left="1080" w:right="360"/>
        </w:sectPr>
      </w:pPr>
    </w:p>
    <w:p>
      <w:pPr>
        <w:pStyle w:val="BodyText"/>
        <w:spacing w:before="183"/>
        <w:rPr>
          <w:rFonts w:ascii="Arial"/>
          <w:sz w:val="20"/>
        </w:rPr>
      </w:pPr>
    </w:p>
    <w:p>
      <w:pPr>
        <w:pStyle w:val="BodyText"/>
        <w:ind w:left="360"/>
        <w:rPr>
          <w:rFonts w:ascii="Arial"/>
          <w:sz w:val="20"/>
        </w:rPr>
      </w:pPr>
      <w:r>
        <w:rPr>
          <w:rFonts w:ascii="Arial"/>
          <w:sz w:val="20"/>
        </w:rPr>
        <w:drawing>
          <wp:inline distT="0" distB="0" distL="0" distR="0">
            <wp:extent cx="8803123" cy="5391912"/>
            <wp:effectExtent l="0" t="0" r="0" b="0"/>
            <wp:docPr id="394" name="Image 394" descr="Map showing mineral withdrawals on the west side of the Colville National Forest"/>
            <wp:cNvGraphicFramePr>
              <a:graphicFrameLocks/>
            </wp:cNvGraphicFramePr>
            <a:graphic>
              <a:graphicData uri="http://schemas.openxmlformats.org/drawingml/2006/picture">
                <pic:pic>
                  <pic:nvPicPr>
                    <pic:cNvPr id="394" name="Image 394" descr="Map showing mineral withdrawals on the west side of the Colville National Forest"/>
                    <pic:cNvPicPr/>
                  </pic:nvPicPr>
                  <pic:blipFill>
                    <a:blip r:embed="rId142" cstate="print"/>
                    <a:stretch>
                      <a:fillRect/>
                    </a:stretch>
                  </pic:blipFill>
                  <pic:spPr>
                    <a:xfrm>
                      <a:off x="0" y="0"/>
                      <a:ext cx="8803123" cy="5391912"/>
                    </a:xfrm>
                    <a:prstGeom prst="rect">
                      <a:avLst/>
                    </a:prstGeom>
                  </pic:spPr>
                </pic:pic>
              </a:graphicData>
            </a:graphic>
          </wp:inline>
        </w:drawing>
      </w:r>
      <w:r>
        <w:rPr>
          <w:rFonts w:ascii="Arial"/>
          <w:sz w:val="20"/>
        </w:rPr>
      </w:r>
    </w:p>
    <w:p>
      <w:pPr>
        <w:spacing w:before="15"/>
        <w:ind w:left="360" w:right="0" w:firstLine="0"/>
        <w:jc w:val="left"/>
        <w:rPr>
          <w:rFonts w:ascii="Arial"/>
          <w:b/>
          <w:sz w:val="18"/>
        </w:rPr>
      </w:pPr>
      <w:bookmarkStart w:name="_bookmark338" w:id="1023"/>
      <w:bookmarkEnd w:id="1023"/>
      <w:r>
        <w:rPr/>
      </w:r>
      <w:r>
        <w:rPr>
          <w:rFonts w:ascii="Arial"/>
          <w:b/>
          <w:color w:val="283014"/>
          <w:sz w:val="18"/>
        </w:rPr>
        <w:t>Figure</w:t>
      </w:r>
      <w:r>
        <w:rPr>
          <w:rFonts w:ascii="Arial"/>
          <w:b/>
          <w:color w:val="283014"/>
          <w:spacing w:val="-1"/>
          <w:sz w:val="18"/>
        </w:rPr>
        <w:t> </w:t>
      </w:r>
      <w:r>
        <w:rPr>
          <w:rFonts w:ascii="Arial"/>
          <w:b/>
          <w:color w:val="283014"/>
          <w:sz w:val="18"/>
        </w:rPr>
        <w:t>G-2.</w:t>
      </w:r>
      <w:r>
        <w:rPr>
          <w:rFonts w:ascii="Arial"/>
          <w:b/>
          <w:color w:val="283014"/>
          <w:spacing w:val="-4"/>
          <w:sz w:val="18"/>
        </w:rPr>
        <w:t> </w:t>
      </w:r>
      <w:r>
        <w:rPr>
          <w:rFonts w:ascii="Arial"/>
          <w:b/>
          <w:color w:val="283014"/>
          <w:sz w:val="18"/>
        </w:rPr>
        <w:t>Mineral</w:t>
      </w:r>
      <w:r>
        <w:rPr>
          <w:rFonts w:ascii="Arial"/>
          <w:b/>
          <w:color w:val="283014"/>
          <w:spacing w:val="-3"/>
          <w:sz w:val="18"/>
        </w:rPr>
        <w:t> </w:t>
      </w:r>
      <w:r>
        <w:rPr>
          <w:rFonts w:ascii="Arial"/>
          <w:b/>
          <w:color w:val="283014"/>
          <w:sz w:val="18"/>
        </w:rPr>
        <w:t>withdrawals</w:t>
      </w:r>
      <w:r>
        <w:rPr>
          <w:rFonts w:ascii="Arial"/>
          <w:b/>
          <w:color w:val="283014"/>
          <w:spacing w:val="-3"/>
          <w:sz w:val="18"/>
        </w:rPr>
        <w:t> </w:t>
      </w:r>
      <w:r>
        <w:rPr>
          <w:rFonts w:ascii="Arial"/>
          <w:b/>
          <w:color w:val="283014"/>
          <w:sz w:val="18"/>
        </w:rPr>
        <w:t>on</w:t>
      </w:r>
      <w:r>
        <w:rPr>
          <w:rFonts w:ascii="Arial"/>
          <w:b/>
          <w:color w:val="283014"/>
          <w:spacing w:val="-2"/>
          <w:sz w:val="18"/>
        </w:rPr>
        <w:t> </w:t>
      </w:r>
      <w:r>
        <w:rPr>
          <w:rFonts w:ascii="Arial"/>
          <w:b/>
          <w:color w:val="283014"/>
          <w:sz w:val="18"/>
        </w:rPr>
        <w:t>the</w:t>
      </w:r>
      <w:r>
        <w:rPr>
          <w:rFonts w:ascii="Arial"/>
          <w:b/>
          <w:color w:val="283014"/>
          <w:spacing w:val="-3"/>
          <w:sz w:val="18"/>
        </w:rPr>
        <w:t> </w:t>
      </w:r>
      <w:r>
        <w:rPr>
          <w:rFonts w:ascii="Arial"/>
          <w:b/>
          <w:color w:val="283014"/>
          <w:sz w:val="18"/>
        </w:rPr>
        <w:t>west</w:t>
      </w:r>
      <w:r>
        <w:rPr>
          <w:rFonts w:ascii="Arial"/>
          <w:b/>
          <w:color w:val="283014"/>
          <w:spacing w:val="-2"/>
          <w:sz w:val="18"/>
        </w:rPr>
        <w:t> </w:t>
      </w:r>
      <w:r>
        <w:rPr>
          <w:rFonts w:ascii="Arial"/>
          <w:b/>
          <w:color w:val="283014"/>
          <w:sz w:val="18"/>
        </w:rPr>
        <w:t>side</w:t>
      </w:r>
      <w:r>
        <w:rPr>
          <w:rFonts w:ascii="Arial"/>
          <w:b/>
          <w:color w:val="283014"/>
          <w:spacing w:val="-1"/>
          <w:sz w:val="18"/>
        </w:rPr>
        <w:t> </w:t>
      </w:r>
      <w:r>
        <w:rPr>
          <w:rFonts w:ascii="Arial"/>
          <w:b/>
          <w:color w:val="283014"/>
          <w:sz w:val="18"/>
        </w:rPr>
        <w:t>of</w:t>
      </w:r>
      <w:r>
        <w:rPr>
          <w:rFonts w:ascii="Arial"/>
          <w:b/>
          <w:color w:val="283014"/>
          <w:spacing w:val="-3"/>
          <w:sz w:val="18"/>
        </w:rPr>
        <w:t> </w:t>
      </w:r>
      <w:r>
        <w:rPr>
          <w:rFonts w:ascii="Arial"/>
          <w:b/>
          <w:color w:val="283014"/>
          <w:sz w:val="18"/>
        </w:rPr>
        <w:t>the</w:t>
      </w:r>
      <w:r>
        <w:rPr>
          <w:rFonts w:ascii="Arial"/>
          <w:b/>
          <w:color w:val="283014"/>
          <w:spacing w:val="-4"/>
          <w:sz w:val="18"/>
        </w:rPr>
        <w:t> </w:t>
      </w:r>
      <w:r>
        <w:rPr>
          <w:rFonts w:ascii="Arial"/>
          <w:b/>
          <w:color w:val="283014"/>
          <w:sz w:val="18"/>
        </w:rPr>
        <w:t>Colville National</w:t>
      </w:r>
      <w:r>
        <w:rPr>
          <w:rFonts w:ascii="Arial"/>
          <w:b/>
          <w:color w:val="283014"/>
          <w:spacing w:val="-1"/>
          <w:sz w:val="18"/>
        </w:rPr>
        <w:t> </w:t>
      </w:r>
      <w:r>
        <w:rPr>
          <w:rFonts w:ascii="Arial"/>
          <w:b/>
          <w:color w:val="283014"/>
          <w:spacing w:val="-2"/>
          <w:sz w:val="18"/>
        </w:rPr>
        <w:t>Forest</w:t>
      </w:r>
    </w:p>
    <w:p>
      <w:pPr>
        <w:spacing w:after="0"/>
        <w:jc w:val="left"/>
        <w:rPr>
          <w:rFonts w:ascii="Arial"/>
          <w:b/>
          <w:sz w:val="18"/>
        </w:rPr>
        <w:sectPr>
          <w:pgSz w:w="15840" w:h="12240" w:orient="landscape"/>
          <w:pgMar w:header="725" w:footer="891" w:top="1440" w:bottom="1080" w:left="1080" w:right="360"/>
        </w:sectPr>
      </w:pPr>
    </w:p>
    <w:p>
      <w:pPr>
        <w:pStyle w:val="BodyText"/>
        <w:ind w:left="432"/>
        <w:rPr>
          <w:rFonts w:ascii="Arial"/>
          <w:sz w:val="20"/>
        </w:rPr>
      </w:pPr>
      <w:r>
        <w:rPr>
          <w:rFonts w:ascii="Arial"/>
          <w:sz w:val="20"/>
        </w:rPr>
        <w:drawing>
          <wp:inline distT="0" distB="0" distL="0" distR="0">
            <wp:extent cx="5836906" cy="7779353"/>
            <wp:effectExtent l="0" t="0" r="0" b="0"/>
            <wp:docPr id="403" name="Image 403" descr="Map showing mineral withdrawals on the east side of the Colville National Forest"/>
            <wp:cNvGraphicFramePr>
              <a:graphicFrameLocks/>
            </wp:cNvGraphicFramePr>
            <a:graphic>
              <a:graphicData uri="http://schemas.openxmlformats.org/drawingml/2006/picture">
                <pic:pic>
                  <pic:nvPicPr>
                    <pic:cNvPr id="403" name="Image 403" descr="Map showing mineral withdrawals on the east side of the Colville National Forest"/>
                    <pic:cNvPicPr/>
                  </pic:nvPicPr>
                  <pic:blipFill>
                    <a:blip r:embed="rId147" cstate="print"/>
                    <a:stretch>
                      <a:fillRect/>
                    </a:stretch>
                  </pic:blipFill>
                  <pic:spPr>
                    <a:xfrm>
                      <a:off x="0" y="0"/>
                      <a:ext cx="5836906" cy="7779353"/>
                    </a:xfrm>
                    <a:prstGeom prst="rect">
                      <a:avLst/>
                    </a:prstGeom>
                  </pic:spPr>
                </pic:pic>
              </a:graphicData>
            </a:graphic>
          </wp:inline>
        </w:drawing>
      </w:r>
      <w:r>
        <w:rPr>
          <w:rFonts w:ascii="Arial"/>
          <w:sz w:val="20"/>
        </w:rPr>
      </w:r>
    </w:p>
    <w:p>
      <w:pPr>
        <w:spacing w:before="99"/>
        <w:ind w:left="431" w:right="0" w:firstLine="0"/>
        <w:jc w:val="left"/>
        <w:rPr>
          <w:rFonts w:ascii="Arial"/>
          <w:b/>
          <w:sz w:val="18"/>
        </w:rPr>
      </w:pPr>
      <w:bookmarkStart w:name="_bookmark339" w:id="1024"/>
      <w:bookmarkEnd w:id="1024"/>
      <w:r>
        <w:rPr/>
      </w:r>
      <w:r>
        <w:rPr>
          <w:rFonts w:ascii="Arial"/>
          <w:b/>
          <w:color w:val="283014"/>
          <w:sz w:val="18"/>
        </w:rPr>
        <w:t>Figure</w:t>
      </w:r>
      <w:r>
        <w:rPr>
          <w:rFonts w:ascii="Arial"/>
          <w:b/>
          <w:color w:val="283014"/>
          <w:spacing w:val="-1"/>
          <w:sz w:val="18"/>
        </w:rPr>
        <w:t> </w:t>
      </w:r>
      <w:r>
        <w:rPr>
          <w:rFonts w:ascii="Arial"/>
          <w:b/>
          <w:color w:val="283014"/>
          <w:sz w:val="18"/>
        </w:rPr>
        <w:t>G-3.</w:t>
      </w:r>
      <w:r>
        <w:rPr>
          <w:rFonts w:ascii="Arial"/>
          <w:b/>
          <w:color w:val="283014"/>
          <w:spacing w:val="-4"/>
          <w:sz w:val="18"/>
        </w:rPr>
        <w:t> </w:t>
      </w:r>
      <w:r>
        <w:rPr>
          <w:rFonts w:ascii="Arial"/>
          <w:b/>
          <w:color w:val="283014"/>
          <w:sz w:val="18"/>
        </w:rPr>
        <w:t>Mineral</w:t>
      </w:r>
      <w:r>
        <w:rPr>
          <w:rFonts w:ascii="Arial"/>
          <w:b/>
          <w:color w:val="283014"/>
          <w:spacing w:val="-4"/>
          <w:sz w:val="18"/>
        </w:rPr>
        <w:t> </w:t>
      </w:r>
      <w:r>
        <w:rPr>
          <w:rFonts w:ascii="Arial"/>
          <w:b/>
          <w:color w:val="283014"/>
          <w:sz w:val="18"/>
        </w:rPr>
        <w:t>withdrawals</w:t>
      </w:r>
      <w:r>
        <w:rPr>
          <w:rFonts w:ascii="Arial"/>
          <w:b/>
          <w:color w:val="283014"/>
          <w:spacing w:val="-4"/>
          <w:sz w:val="18"/>
        </w:rPr>
        <w:t> </w:t>
      </w:r>
      <w:r>
        <w:rPr>
          <w:rFonts w:ascii="Arial"/>
          <w:b/>
          <w:color w:val="283014"/>
          <w:sz w:val="18"/>
        </w:rPr>
        <w:t>on</w:t>
      </w:r>
      <w:r>
        <w:rPr>
          <w:rFonts w:ascii="Arial"/>
          <w:b/>
          <w:color w:val="283014"/>
          <w:spacing w:val="-2"/>
          <w:sz w:val="18"/>
        </w:rPr>
        <w:t> </w:t>
      </w:r>
      <w:r>
        <w:rPr>
          <w:rFonts w:ascii="Arial"/>
          <w:b/>
          <w:color w:val="283014"/>
          <w:sz w:val="18"/>
        </w:rPr>
        <w:t>the</w:t>
      </w:r>
      <w:r>
        <w:rPr>
          <w:rFonts w:ascii="Arial"/>
          <w:b/>
          <w:color w:val="283014"/>
          <w:spacing w:val="-1"/>
          <w:sz w:val="18"/>
        </w:rPr>
        <w:t> </w:t>
      </w:r>
      <w:r>
        <w:rPr>
          <w:rFonts w:ascii="Arial"/>
          <w:b/>
          <w:color w:val="283014"/>
          <w:sz w:val="18"/>
        </w:rPr>
        <w:t>east</w:t>
      </w:r>
      <w:r>
        <w:rPr>
          <w:rFonts w:ascii="Arial"/>
          <w:b/>
          <w:color w:val="283014"/>
          <w:spacing w:val="-2"/>
          <w:sz w:val="18"/>
        </w:rPr>
        <w:t> </w:t>
      </w:r>
      <w:r>
        <w:rPr>
          <w:rFonts w:ascii="Arial"/>
          <w:b/>
          <w:color w:val="283014"/>
          <w:sz w:val="18"/>
        </w:rPr>
        <w:t>side</w:t>
      </w:r>
      <w:r>
        <w:rPr>
          <w:rFonts w:ascii="Arial"/>
          <w:b/>
          <w:color w:val="283014"/>
          <w:spacing w:val="-1"/>
          <w:sz w:val="18"/>
        </w:rPr>
        <w:t> </w:t>
      </w:r>
      <w:r>
        <w:rPr>
          <w:rFonts w:ascii="Arial"/>
          <w:b/>
          <w:color w:val="283014"/>
          <w:sz w:val="18"/>
        </w:rPr>
        <w:t>of</w:t>
      </w:r>
      <w:r>
        <w:rPr>
          <w:rFonts w:ascii="Arial"/>
          <w:b/>
          <w:color w:val="283014"/>
          <w:spacing w:val="-2"/>
          <w:sz w:val="18"/>
        </w:rPr>
        <w:t> </w:t>
      </w:r>
      <w:r>
        <w:rPr>
          <w:rFonts w:ascii="Arial"/>
          <w:b/>
          <w:color w:val="283014"/>
          <w:sz w:val="18"/>
        </w:rPr>
        <w:t>the</w:t>
      </w:r>
      <w:r>
        <w:rPr>
          <w:rFonts w:ascii="Arial"/>
          <w:b/>
          <w:color w:val="283014"/>
          <w:spacing w:val="-4"/>
          <w:sz w:val="18"/>
        </w:rPr>
        <w:t> </w:t>
      </w:r>
      <w:r>
        <w:rPr>
          <w:rFonts w:ascii="Arial"/>
          <w:b/>
          <w:color w:val="283014"/>
          <w:sz w:val="18"/>
        </w:rPr>
        <w:t>Colville</w:t>
      </w:r>
      <w:r>
        <w:rPr>
          <w:rFonts w:ascii="Arial"/>
          <w:b/>
          <w:color w:val="283014"/>
          <w:spacing w:val="-1"/>
          <w:sz w:val="18"/>
        </w:rPr>
        <w:t> </w:t>
      </w:r>
      <w:r>
        <w:rPr>
          <w:rFonts w:ascii="Arial"/>
          <w:b/>
          <w:color w:val="283014"/>
          <w:sz w:val="18"/>
        </w:rPr>
        <w:t>National</w:t>
      </w:r>
      <w:r>
        <w:rPr>
          <w:rFonts w:ascii="Arial"/>
          <w:b/>
          <w:color w:val="283014"/>
          <w:spacing w:val="-2"/>
          <w:sz w:val="18"/>
        </w:rPr>
        <w:t> Forest</w:t>
      </w:r>
    </w:p>
    <w:p>
      <w:pPr>
        <w:spacing w:after="0"/>
        <w:jc w:val="left"/>
        <w:rPr>
          <w:rFonts w:ascii="Arial"/>
          <w:b/>
          <w:sz w:val="18"/>
        </w:rPr>
        <w:sectPr>
          <w:headerReference w:type="default" r:id="rId143"/>
          <w:headerReference w:type="even" r:id="rId144"/>
          <w:footerReference w:type="default" r:id="rId145"/>
          <w:footerReference w:type="even" r:id="rId146"/>
          <w:pgSz w:w="12240" w:h="15840"/>
          <w:pgMar w:header="725" w:footer="891" w:top="1420" w:bottom="1080" w:left="1440" w:right="1080"/>
          <w:pgNumType w:start="229"/>
        </w:sectPr>
      </w:pPr>
    </w:p>
    <w:p>
      <w:pPr>
        <w:pStyle w:val="BodyText"/>
        <w:spacing w:before="2"/>
        <w:rPr>
          <w:rFonts w:ascii="Arial"/>
          <w:b/>
          <w:sz w:val="4"/>
        </w:rPr>
      </w:pPr>
    </w:p>
    <w:p>
      <w:pPr>
        <w:pStyle w:val="BodyText"/>
        <w:ind w:left="124"/>
        <w:rPr>
          <w:rFonts w:ascii="Arial"/>
          <w:sz w:val="20"/>
        </w:rPr>
      </w:pPr>
      <w:r>
        <w:rPr>
          <w:rFonts w:ascii="Arial"/>
          <w:sz w:val="20"/>
        </w:rPr>
        <w:drawing>
          <wp:inline distT="0" distB="0" distL="0" distR="0">
            <wp:extent cx="5775529" cy="7790688"/>
            <wp:effectExtent l="0" t="0" r="0" b="0"/>
            <wp:docPr id="404" name="Image 404" descr="Map showing Republic Ranger District mineral withdrawals"/>
            <wp:cNvGraphicFramePr>
              <a:graphicFrameLocks/>
            </wp:cNvGraphicFramePr>
            <a:graphic>
              <a:graphicData uri="http://schemas.openxmlformats.org/drawingml/2006/picture">
                <pic:pic>
                  <pic:nvPicPr>
                    <pic:cNvPr id="404" name="Image 404" descr="Map showing Republic Ranger District mineral withdrawals"/>
                    <pic:cNvPicPr/>
                  </pic:nvPicPr>
                  <pic:blipFill>
                    <a:blip r:embed="rId148" cstate="print"/>
                    <a:stretch>
                      <a:fillRect/>
                    </a:stretch>
                  </pic:blipFill>
                  <pic:spPr>
                    <a:xfrm>
                      <a:off x="0" y="0"/>
                      <a:ext cx="5775529" cy="7790688"/>
                    </a:xfrm>
                    <a:prstGeom prst="rect">
                      <a:avLst/>
                    </a:prstGeom>
                  </pic:spPr>
                </pic:pic>
              </a:graphicData>
            </a:graphic>
          </wp:inline>
        </w:drawing>
      </w:r>
      <w:r>
        <w:rPr>
          <w:rFonts w:ascii="Arial"/>
          <w:sz w:val="20"/>
        </w:rPr>
      </w:r>
    </w:p>
    <w:p>
      <w:pPr>
        <w:spacing w:before="198"/>
        <w:ind w:left="0" w:right="0" w:firstLine="0"/>
        <w:jc w:val="left"/>
        <w:rPr>
          <w:rFonts w:ascii="Arial"/>
          <w:b/>
          <w:sz w:val="18"/>
        </w:rPr>
      </w:pPr>
      <w:bookmarkStart w:name="_bookmark340" w:id="1025"/>
      <w:bookmarkEnd w:id="1025"/>
      <w:r>
        <w:rPr/>
      </w:r>
      <w:r>
        <w:rPr>
          <w:rFonts w:ascii="Arial"/>
          <w:b/>
          <w:color w:val="283014"/>
          <w:sz w:val="18"/>
        </w:rPr>
        <w:t>Figure</w:t>
      </w:r>
      <w:r>
        <w:rPr>
          <w:rFonts w:ascii="Arial"/>
          <w:b/>
          <w:color w:val="283014"/>
          <w:spacing w:val="-3"/>
          <w:sz w:val="18"/>
        </w:rPr>
        <w:t> </w:t>
      </w:r>
      <w:r>
        <w:rPr>
          <w:rFonts w:ascii="Arial"/>
          <w:b/>
          <w:color w:val="283014"/>
          <w:sz w:val="18"/>
        </w:rPr>
        <w:t>G-4.</w:t>
      </w:r>
      <w:r>
        <w:rPr>
          <w:rFonts w:ascii="Arial"/>
          <w:b/>
          <w:color w:val="283014"/>
          <w:spacing w:val="-3"/>
          <w:sz w:val="18"/>
        </w:rPr>
        <w:t> </w:t>
      </w:r>
      <w:r>
        <w:rPr>
          <w:rFonts w:ascii="Arial"/>
          <w:b/>
          <w:color w:val="283014"/>
          <w:sz w:val="18"/>
        </w:rPr>
        <w:t>Republic</w:t>
      </w:r>
      <w:r>
        <w:rPr>
          <w:rFonts w:ascii="Arial"/>
          <w:b/>
          <w:color w:val="283014"/>
          <w:spacing w:val="-2"/>
          <w:sz w:val="18"/>
        </w:rPr>
        <w:t> </w:t>
      </w:r>
      <w:r>
        <w:rPr>
          <w:rFonts w:ascii="Arial"/>
          <w:b/>
          <w:color w:val="283014"/>
          <w:sz w:val="18"/>
        </w:rPr>
        <w:t>Ranger</w:t>
      </w:r>
      <w:r>
        <w:rPr>
          <w:rFonts w:ascii="Arial"/>
          <w:b/>
          <w:color w:val="283014"/>
          <w:spacing w:val="-6"/>
          <w:sz w:val="18"/>
        </w:rPr>
        <w:t> </w:t>
      </w:r>
      <w:r>
        <w:rPr>
          <w:rFonts w:ascii="Arial"/>
          <w:b/>
          <w:color w:val="283014"/>
          <w:sz w:val="18"/>
        </w:rPr>
        <w:t>District</w:t>
      </w:r>
      <w:r>
        <w:rPr>
          <w:rFonts w:ascii="Arial"/>
          <w:b/>
          <w:color w:val="283014"/>
          <w:spacing w:val="-3"/>
          <w:sz w:val="18"/>
        </w:rPr>
        <w:t> </w:t>
      </w:r>
      <w:r>
        <w:rPr>
          <w:rFonts w:ascii="Arial"/>
          <w:b/>
          <w:color w:val="283014"/>
          <w:sz w:val="18"/>
        </w:rPr>
        <w:t>mineral</w:t>
      </w:r>
      <w:r>
        <w:rPr>
          <w:rFonts w:ascii="Arial"/>
          <w:b/>
          <w:color w:val="283014"/>
          <w:spacing w:val="-5"/>
          <w:sz w:val="18"/>
        </w:rPr>
        <w:t> </w:t>
      </w:r>
      <w:r>
        <w:rPr>
          <w:rFonts w:ascii="Arial"/>
          <w:b/>
          <w:color w:val="283014"/>
          <w:spacing w:val="-2"/>
          <w:sz w:val="18"/>
        </w:rPr>
        <w:t>withdrawals</w:t>
      </w:r>
    </w:p>
    <w:p>
      <w:pPr>
        <w:spacing w:after="0"/>
        <w:jc w:val="left"/>
        <w:rPr>
          <w:rFonts w:ascii="Arial"/>
          <w:b/>
          <w:sz w:val="18"/>
        </w:rPr>
        <w:sectPr>
          <w:pgSz w:w="12240" w:h="15840"/>
          <w:pgMar w:header="725" w:footer="891" w:top="1420" w:bottom="1080" w:left="1440" w:right="1080"/>
        </w:sectPr>
      </w:pPr>
    </w:p>
    <w:p>
      <w:pPr>
        <w:pStyle w:val="BodyText"/>
        <w:spacing w:before="2"/>
        <w:rPr>
          <w:rFonts w:ascii="Arial"/>
          <w:b/>
          <w:sz w:val="4"/>
        </w:rPr>
      </w:pPr>
    </w:p>
    <w:p>
      <w:pPr>
        <w:pStyle w:val="BodyText"/>
        <w:ind w:left="489"/>
        <w:rPr>
          <w:rFonts w:ascii="Arial"/>
          <w:sz w:val="20"/>
        </w:rPr>
      </w:pPr>
      <w:r>
        <w:rPr>
          <w:rFonts w:ascii="Arial"/>
          <w:sz w:val="20"/>
        </w:rPr>
        <w:drawing>
          <wp:inline distT="0" distB="0" distL="0" distR="0">
            <wp:extent cx="5726223" cy="7882128"/>
            <wp:effectExtent l="0" t="0" r="0" b="0"/>
            <wp:docPr id="405" name="Image 405" descr="Map showing Three Rivers Ranger District mineral withdrawals (Map 1 of 3)"/>
            <wp:cNvGraphicFramePr>
              <a:graphicFrameLocks/>
            </wp:cNvGraphicFramePr>
            <a:graphic>
              <a:graphicData uri="http://schemas.openxmlformats.org/drawingml/2006/picture">
                <pic:pic>
                  <pic:nvPicPr>
                    <pic:cNvPr id="405" name="Image 405" descr="Map showing Three Rivers Ranger District mineral withdrawals (Map 1 of 3)"/>
                    <pic:cNvPicPr/>
                  </pic:nvPicPr>
                  <pic:blipFill>
                    <a:blip r:embed="rId149" cstate="print"/>
                    <a:stretch>
                      <a:fillRect/>
                    </a:stretch>
                  </pic:blipFill>
                  <pic:spPr>
                    <a:xfrm>
                      <a:off x="0" y="0"/>
                      <a:ext cx="5726223" cy="7882128"/>
                    </a:xfrm>
                    <a:prstGeom prst="rect">
                      <a:avLst/>
                    </a:prstGeom>
                  </pic:spPr>
                </pic:pic>
              </a:graphicData>
            </a:graphic>
          </wp:inline>
        </w:drawing>
      </w:r>
      <w:r>
        <w:rPr>
          <w:rFonts w:ascii="Arial"/>
          <w:sz w:val="20"/>
        </w:rPr>
      </w:r>
    </w:p>
    <w:p>
      <w:pPr>
        <w:pStyle w:val="BodyText"/>
        <w:spacing w:before="27"/>
        <w:rPr>
          <w:rFonts w:ascii="Arial"/>
          <w:b/>
          <w:sz w:val="18"/>
        </w:rPr>
      </w:pPr>
    </w:p>
    <w:p>
      <w:pPr>
        <w:spacing w:before="0"/>
        <w:ind w:left="431" w:right="0" w:firstLine="0"/>
        <w:jc w:val="left"/>
        <w:rPr>
          <w:rFonts w:ascii="Arial"/>
          <w:b/>
          <w:sz w:val="18"/>
        </w:rPr>
      </w:pPr>
      <w:bookmarkStart w:name="_bookmark341" w:id="1026"/>
      <w:bookmarkEnd w:id="1026"/>
      <w:r>
        <w:rPr/>
      </w:r>
      <w:r>
        <w:rPr>
          <w:rFonts w:ascii="Arial"/>
          <w:b/>
          <w:color w:val="283014"/>
          <w:sz w:val="18"/>
        </w:rPr>
        <w:t>Figure</w:t>
      </w:r>
      <w:r>
        <w:rPr>
          <w:rFonts w:ascii="Arial"/>
          <w:b/>
          <w:color w:val="283014"/>
          <w:spacing w:val="-2"/>
          <w:sz w:val="18"/>
        </w:rPr>
        <w:t> </w:t>
      </w:r>
      <w:r>
        <w:rPr>
          <w:rFonts w:ascii="Arial"/>
          <w:b/>
          <w:color w:val="283014"/>
          <w:sz w:val="18"/>
        </w:rPr>
        <w:t>G-5.</w:t>
      </w:r>
      <w:r>
        <w:rPr>
          <w:rFonts w:ascii="Arial"/>
          <w:b/>
          <w:color w:val="283014"/>
          <w:spacing w:val="-3"/>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2"/>
          <w:sz w:val="18"/>
        </w:rPr>
        <w:t> </w:t>
      </w:r>
      <w:r>
        <w:rPr>
          <w:rFonts w:ascii="Arial"/>
          <w:b/>
          <w:color w:val="283014"/>
          <w:sz w:val="18"/>
        </w:rPr>
        <w:t>District</w:t>
      </w:r>
      <w:r>
        <w:rPr>
          <w:rFonts w:ascii="Arial"/>
          <w:b/>
          <w:color w:val="283014"/>
          <w:spacing w:val="-6"/>
          <w:sz w:val="18"/>
        </w:rPr>
        <w:t> </w:t>
      </w:r>
      <w:r>
        <w:rPr>
          <w:rFonts w:ascii="Arial"/>
          <w:b/>
          <w:color w:val="283014"/>
          <w:sz w:val="18"/>
        </w:rPr>
        <w:t>mineral</w:t>
      </w:r>
      <w:r>
        <w:rPr>
          <w:rFonts w:ascii="Arial"/>
          <w:b/>
          <w:color w:val="283014"/>
          <w:spacing w:val="-4"/>
          <w:sz w:val="18"/>
        </w:rPr>
        <w:t> </w:t>
      </w:r>
      <w:r>
        <w:rPr>
          <w:rFonts w:ascii="Arial"/>
          <w:b/>
          <w:color w:val="283014"/>
          <w:sz w:val="18"/>
        </w:rPr>
        <w:t>withdrawals</w:t>
      </w:r>
      <w:r>
        <w:rPr>
          <w:rFonts w:ascii="Arial"/>
          <w:b/>
          <w:color w:val="283014"/>
          <w:spacing w:val="-5"/>
          <w:sz w:val="18"/>
        </w:rPr>
        <w:t> </w:t>
      </w:r>
      <w:r>
        <w:rPr>
          <w:rFonts w:ascii="Arial"/>
          <w:b/>
          <w:color w:val="283014"/>
          <w:sz w:val="18"/>
        </w:rPr>
        <w:t>(map</w:t>
      </w:r>
      <w:r>
        <w:rPr>
          <w:rFonts w:ascii="Arial"/>
          <w:b/>
          <w:color w:val="283014"/>
          <w:spacing w:val="-4"/>
          <w:sz w:val="18"/>
        </w:rPr>
        <w:t> </w:t>
      </w:r>
      <w:r>
        <w:rPr>
          <w:rFonts w:ascii="Arial"/>
          <w:b/>
          <w:color w:val="283014"/>
          <w:sz w:val="18"/>
        </w:rPr>
        <w:t>1</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725" w:footer="891" w:top="1420" w:bottom="1080" w:left="1440" w:right="1080"/>
        </w:sectPr>
      </w:pPr>
    </w:p>
    <w:p>
      <w:pPr>
        <w:pStyle w:val="BodyText"/>
        <w:spacing w:before="4"/>
        <w:rPr>
          <w:rFonts w:ascii="Arial"/>
          <w:b/>
          <w:sz w:val="3"/>
        </w:rPr>
      </w:pPr>
    </w:p>
    <w:p>
      <w:pPr>
        <w:pStyle w:val="BodyText"/>
        <w:ind w:left="86"/>
        <w:rPr>
          <w:rFonts w:ascii="Arial"/>
          <w:sz w:val="20"/>
        </w:rPr>
      </w:pPr>
      <w:r>
        <w:rPr>
          <w:rFonts w:ascii="Arial"/>
          <w:sz w:val="20"/>
        </w:rPr>
        <w:drawing>
          <wp:inline distT="0" distB="0" distL="0" distR="0">
            <wp:extent cx="5642122" cy="7784592"/>
            <wp:effectExtent l="0" t="0" r="0" b="0"/>
            <wp:docPr id="406" name="Image 406" descr="Map showing Three Rivers Ranger District mineral withdrawals (Map 2 of 3)"/>
            <wp:cNvGraphicFramePr>
              <a:graphicFrameLocks/>
            </wp:cNvGraphicFramePr>
            <a:graphic>
              <a:graphicData uri="http://schemas.openxmlformats.org/drawingml/2006/picture">
                <pic:pic>
                  <pic:nvPicPr>
                    <pic:cNvPr id="406" name="Image 406" descr="Map showing Three Rivers Ranger District mineral withdrawals (Map 2 of 3)"/>
                    <pic:cNvPicPr/>
                  </pic:nvPicPr>
                  <pic:blipFill>
                    <a:blip r:embed="rId150" cstate="print"/>
                    <a:stretch>
                      <a:fillRect/>
                    </a:stretch>
                  </pic:blipFill>
                  <pic:spPr>
                    <a:xfrm>
                      <a:off x="0" y="0"/>
                      <a:ext cx="5642122" cy="7784592"/>
                    </a:xfrm>
                    <a:prstGeom prst="rect">
                      <a:avLst/>
                    </a:prstGeom>
                  </pic:spPr>
                </pic:pic>
              </a:graphicData>
            </a:graphic>
          </wp:inline>
        </w:drawing>
      </w:r>
      <w:r>
        <w:rPr>
          <w:rFonts w:ascii="Arial"/>
          <w:sz w:val="20"/>
        </w:rPr>
      </w:r>
    </w:p>
    <w:p>
      <w:pPr>
        <w:pStyle w:val="BodyText"/>
        <w:spacing w:before="10"/>
        <w:rPr>
          <w:rFonts w:ascii="Arial"/>
          <w:b/>
          <w:sz w:val="18"/>
        </w:rPr>
      </w:pPr>
    </w:p>
    <w:p>
      <w:pPr>
        <w:spacing w:before="0"/>
        <w:ind w:left="0" w:right="0" w:firstLine="0"/>
        <w:jc w:val="left"/>
        <w:rPr>
          <w:rFonts w:ascii="Arial"/>
          <w:b/>
          <w:sz w:val="18"/>
        </w:rPr>
      </w:pPr>
      <w:bookmarkStart w:name="_bookmark342" w:id="1027"/>
      <w:bookmarkEnd w:id="1027"/>
      <w:r>
        <w:rPr/>
      </w:r>
      <w:r>
        <w:rPr>
          <w:rFonts w:ascii="Arial"/>
          <w:b/>
          <w:color w:val="283014"/>
          <w:sz w:val="18"/>
        </w:rPr>
        <w:t>Figure</w:t>
      </w:r>
      <w:r>
        <w:rPr>
          <w:rFonts w:ascii="Arial"/>
          <w:b/>
          <w:color w:val="283014"/>
          <w:spacing w:val="-2"/>
          <w:sz w:val="18"/>
        </w:rPr>
        <w:t> </w:t>
      </w:r>
      <w:r>
        <w:rPr>
          <w:rFonts w:ascii="Arial"/>
          <w:b/>
          <w:color w:val="283014"/>
          <w:sz w:val="18"/>
        </w:rPr>
        <w:t>G-6.</w:t>
      </w:r>
      <w:r>
        <w:rPr>
          <w:rFonts w:ascii="Arial"/>
          <w:b/>
          <w:color w:val="283014"/>
          <w:spacing w:val="-3"/>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2"/>
          <w:sz w:val="18"/>
        </w:rPr>
        <w:t> </w:t>
      </w:r>
      <w:r>
        <w:rPr>
          <w:rFonts w:ascii="Arial"/>
          <w:b/>
          <w:color w:val="283014"/>
          <w:sz w:val="18"/>
        </w:rPr>
        <w:t>District</w:t>
      </w:r>
      <w:r>
        <w:rPr>
          <w:rFonts w:ascii="Arial"/>
          <w:b/>
          <w:color w:val="283014"/>
          <w:spacing w:val="-6"/>
          <w:sz w:val="18"/>
        </w:rPr>
        <w:t> </w:t>
      </w:r>
      <w:r>
        <w:rPr>
          <w:rFonts w:ascii="Arial"/>
          <w:b/>
          <w:color w:val="283014"/>
          <w:sz w:val="18"/>
        </w:rPr>
        <w:t>mineral</w:t>
      </w:r>
      <w:r>
        <w:rPr>
          <w:rFonts w:ascii="Arial"/>
          <w:b/>
          <w:color w:val="283014"/>
          <w:spacing w:val="-4"/>
          <w:sz w:val="18"/>
        </w:rPr>
        <w:t> </w:t>
      </w:r>
      <w:r>
        <w:rPr>
          <w:rFonts w:ascii="Arial"/>
          <w:b/>
          <w:color w:val="283014"/>
          <w:sz w:val="18"/>
        </w:rPr>
        <w:t>withdrawals</w:t>
      </w:r>
      <w:r>
        <w:rPr>
          <w:rFonts w:ascii="Arial"/>
          <w:b/>
          <w:color w:val="283014"/>
          <w:spacing w:val="-5"/>
          <w:sz w:val="18"/>
        </w:rPr>
        <w:t> </w:t>
      </w:r>
      <w:r>
        <w:rPr>
          <w:rFonts w:ascii="Arial"/>
          <w:b/>
          <w:color w:val="283014"/>
          <w:sz w:val="18"/>
        </w:rPr>
        <w:t>(map</w:t>
      </w:r>
      <w:r>
        <w:rPr>
          <w:rFonts w:ascii="Arial"/>
          <w:b/>
          <w:color w:val="283014"/>
          <w:spacing w:val="-4"/>
          <w:sz w:val="18"/>
        </w:rPr>
        <w:t> </w:t>
      </w:r>
      <w:r>
        <w:rPr>
          <w:rFonts w:ascii="Arial"/>
          <w:b/>
          <w:color w:val="283014"/>
          <w:sz w:val="18"/>
        </w:rPr>
        <w:t>2</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725" w:footer="891" w:top="1420" w:bottom="1080" w:left="1440" w:right="1080"/>
        </w:sectPr>
      </w:pPr>
    </w:p>
    <w:p>
      <w:pPr>
        <w:pStyle w:val="BodyText"/>
        <w:spacing w:before="8"/>
        <w:rPr>
          <w:rFonts w:ascii="Arial"/>
          <w:b/>
          <w:sz w:val="6"/>
        </w:rPr>
      </w:pPr>
    </w:p>
    <w:p>
      <w:pPr>
        <w:pStyle w:val="BodyText"/>
        <w:ind w:left="585"/>
        <w:rPr>
          <w:rFonts w:ascii="Arial"/>
          <w:sz w:val="20"/>
        </w:rPr>
      </w:pPr>
      <w:r>
        <w:rPr>
          <w:rFonts w:ascii="Arial"/>
          <w:sz w:val="20"/>
        </w:rPr>
        <w:drawing>
          <wp:inline distT="0" distB="0" distL="0" distR="0">
            <wp:extent cx="5615603" cy="7729728"/>
            <wp:effectExtent l="0" t="0" r="0" b="0"/>
            <wp:docPr id="407" name="Image 407" descr="Map showing Three Rivers Ranger District mineral withdrawals (Map 3 of 3)"/>
            <wp:cNvGraphicFramePr>
              <a:graphicFrameLocks/>
            </wp:cNvGraphicFramePr>
            <a:graphic>
              <a:graphicData uri="http://schemas.openxmlformats.org/drawingml/2006/picture">
                <pic:pic>
                  <pic:nvPicPr>
                    <pic:cNvPr id="407" name="Image 407" descr="Map showing Three Rivers Ranger District mineral withdrawals (Map 3 of 3)"/>
                    <pic:cNvPicPr/>
                  </pic:nvPicPr>
                  <pic:blipFill>
                    <a:blip r:embed="rId151" cstate="print"/>
                    <a:stretch>
                      <a:fillRect/>
                    </a:stretch>
                  </pic:blipFill>
                  <pic:spPr>
                    <a:xfrm>
                      <a:off x="0" y="0"/>
                      <a:ext cx="5615603" cy="7729728"/>
                    </a:xfrm>
                    <a:prstGeom prst="rect">
                      <a:avLst/>
                    </a:prstGeom>
                  </pic:spPr>
                </pic:pic>
              </a:graphicData>
            </a:graphic>
          </wp:inline>
        </w:drawing>
      </w:r>
      <w:r>
        <w:rPr>
          <w:rFonts w:ascii="Arial"/>
          <w:sz w:val="20"/>
        </w:rPr>
      </w:r>
    </w:p>
    <w:p>
      <w:pPr>
        <w:spacing w:before="191"/>
        <w:ind w:left="431" w:right="0" w:firstLine="0"/>
        <w:jc w:val="left"/>
        <w:rPr>
          <w:rFonts w:ascii="Arial"/>
          <w:b/>
          <w:sz w:val="18"/>
        </w:rPr>
      </w:pPr>
      <w:bookmarkStart w:name="_bookmark343" w:id="1028"/>
      <w:bookmarkEnd w:id="1028"/>
      <w:r>
        <w:rPr/>
      </w:r>
      <w:r>
        <w:rPr>
          <w:rFonts w:ascii="Arial"/>
          <w:b/>
          <w:color w:val="283014"/>
          <w:sz w:val="18"/>
        </w:rPr>
        <w:t>Figure</w:t>
      </w:r>
      <w:r>
        <w:rPr>
          <w:rFonts w:ascii="Arial"/>
          <w:b/>
          <w:color w:val="283014"/>
          <w:spacing w:val="-2"/>
          <w:sz w:val="18"/>
        </w:rPr>
        <w:t> </w:t>
      </w:r>
      <w:r>
        <w:rPr>
          <w:rFonts w:ascii="Arial"/>
          <w:b/>
          <w:color w:val="283014"/>
          <w:sz w:val="18"/>
        </w:rPr>
        <w:t>G-7.</w:t>
      </w:r>
      <w:r>
        <w:rPr>
          <w:rFonts w:ascii="Arial"/>
          <w:b/>
          <w:color w:val="283014"/>
          <w:spacing w:val="-3"/>
          <w:sz w:val="18"/>
        </w:rPr>
        <w:t> </w:t>
      </w:r>
      <w:r>
        <w:rPr>
          <w:rFonts w:ascii="Arial"/>
          <w:b/>
          <w:color w:val="283014"/>
          <w:sz w:val="18"/>
        </w:rPr>
        <w:t>Three</w:t>
      </w:r>
      <w:r>
        <w:rPr>
          <w:rFonts w:ascii="Arial"/>
          <w:b/>
          <w:color w:val="283014"/>
          <w:spacing w:val="-1"/>
          <w:sz w:val="18"/>
        </w:rPr>
        <w:t> </w:t>
      </w:r>
      <w:r>
        <w:rPr>
          <w:rFonts w:ascii="Arial"/>
          <w:b/>
          <w:color w:val="283014"/>
          <w:sz w:val="18"/>
        </w:rPr>
        <w:t>Rivers</w:t>
      </w:r>
      <w:r>
        <w:rPr>
          <w:rFonts w:ascii="Arial"/>
          <w:b/>
          <w:color w:val="283014"/>
          <w:spacing w:val="-2"/>
          <w:sz w:val="18"/>
        </w:rPr>
        <w:t> </w:t>
      </w:r>
      <w:r>
        <w:rPr>
          <w:rFonts w:ascii="Arial"/>
          <w:b/>
          <w:color w:val="283014"/>
          <w:sz w:val="18"/>
        </w:rPr>
        <w:t>Ranger</w:t>
      </w:r>
      <w:r>
        <w:rPr>
          <w:rFonts w:ascii="Arial"/>
          <w:b/>
          <w:color w:val="283014"/>
          <w:spacing w:val="-2"/>
          <w:sz w:val="18"/>
        </w:rPr>
        <w:t> </w:t>
      </w:r>
      <w:r>
        <w:rPr>
          <w:rFonts w:ascii="Arial"/>
          <w:b/>
          <w:color w:val="283014"/>
          <w:sz w:val="18"/>
        </w:rPr>
        <w:t>District</w:t>
      </w:r>
      <w:r>
        <w:rPr>
          <w:rFonts w:ascii="Arial"/>
          <w:b/>
          <w:color w:val="283014"/>
          <w:spacing w:val="-6"/>
          <w:sz w:val="18"/>
        </w:rPr>
        <w:t> </w:t>
      </w:r>
      <w:r>
        <w:rPr>
          <w:rFonts w:ascii="Arial"/>
          <w:b/>
          <w:color w:val="283014"/>
          <w:sz w:val="18"/>
        </w:rPr>
        <w:t>mineral</w:t>
      </w:r>
      <w:r>
        <w:rPr>
          <w:rFonts w:ascii="Arial"/>
          <w:b/>
          <w:color w:val="283014"/>
          <w:spacing w:val="-4"/>
          <w:sz w:val="18"/>
        </w:rPr>
        <w:t> </w:t>
      </w:r>
      <w:r>
        <w:rPr>
          <w:rFonts w:ascii="Arial"/>
          <w:b/>
          <w:color w:val="283014"/>
          <w:sz w:val="18"/>
        </w:rPr>
        <w:t>withdrawals</w:t>
      </w:r>
      <w:r>
        <w:rPr>
          <w:rFonts w:ascii="Arial"/>
          <w:b/>
          <w:color w:val="283014"/>
          <w:spacing w:val="-5"/>
          <w:sz w:val="18"/>
        </w:rPr>
        <w:t> </w:t>
      </w:r>
      <w:r>
        <w:rPr>
          <w:rFonts w:ascii="Arial"/>
          <w:b/>
          <w:color w:val="283014"/>
          <w:sz w:val="18"/>
        </w:rPr>
        <w:t>(map</w:t>
      </w:r>
      <w:r>
        <w:rPr>
          <w:rFonts w:ascii="Arial"/>
          <w:b/>
          <w:color w:val="283014"/>
          <w:spacing w:val="-4"/>
          <w:sz w:val="18"/>
        </w:rPr>
        <w:t> </w:t>
      </w:r>
      <w:r>
        <w:rPr>
          <w:rFonts w:ascii="Arial"/>
          <w:b/>
          <w:color w:val="283014"/>
          <w:sz w:val="18"/>
        </w:rPr>
        <w:t>3</w:t>
      </w:r>
      <w:r>
        <w:rPr>
          <w:rFonts w:ascii="Arial"/>
          <w:b/>
          <w:color w:val="283014"/>
          <w:spacing w:val="-2"/>
          <w:sz w:val="18"/>
        </w:rPr>
        <w:t> </w:t>
      </w:r>
      <w:r>
        <w:rPr>
          <w:rFonts w:ascii="Arial"/>
          <w:b/>
          <w:color w:val="283014"/>
          <w:sz w:val="18"/>
        </w:rPr>
        <w:t>of</w:t>
      </w:r>
      <w:r>
        <w:rPr>
          <w:rFonts w:ascii="Arial"/>
          <w:b/>
          <w:color w:val="283014"/>
          <w:spacing w:val="-4"/>
          <w:sz w:val="18"/>
        </w:rPr>
        <w:t> </w:t>
      </w:r>
      <w:r>
        <w:rPr>
          <w:rFonts w:ascii="Arial"/>
          <w:b/>
          <w:color w:val="283014"/>
          <w:spacing w:val="-5"/>
          <w:sz w:val="18"/>
        </w:rPr>
        <w:t>3)</w:t>
      </w:r>
    </w:p>
    <w:p>
      <w:pPr>
        <w:spacing w:after="0"/>
        <w:jc w:val="left"/>
        <w:rPr>
          <w:rFonts w:ascii="Arial"/>
          <w:b/>
          <w:sz w:val="18"/>
        </w:rPr>
        <w:sectPr>
          <w:pgSz w:w="12240" w:h="15840"/>
          <w:pgMar w:header="725" w:footer="891" w:top="1420" w:bottom="1080" w:left="1440" w:right="1080"/>
        </w:sectPr>
      </w:pPr>
    </w:p>
    <w:p>
      <w:pPr>
        <w:pStyle w:val="BodyText"/>
        <w:spacing w:before="10"/>
        <w:rPr>
          <w:rFonts w:ascii="Arial"/>
          <w:b/>
          <w:sz w:val="5"/>
        </w:rPr>
      </w:pPr>
    </w:p>
    <w:p>
      <w:pPr>
        <w:pStyle w:val="BodyText"/>
        <w:ind w:left="172"/>
        <w:rPr>
          <w:rFonts w:ascii="Arial"/>
          <w:sz w:val="20"/>
        </w:rPr>
      </w:pPr>
      <w:r>
        <w:rPr>
          <w:rFonts w:ascii="Arial"/>
          <w:sz w:val="20"/>
        </w:rPr>
        <w:drawing>
          <wp:inline distT="0" distB="0" distL="0" distR="0">
            <wp:extent cx="5784811" cy="7851648"/>
            <wp:effectExtent l="0" t="0" r="0" b="0"/>
            <wp:docPr id="408" name="Image 408" descr="Map showing Sullivan Lake Ranger District mineral withdrawals"/>
            <wp:cNvGraphicFramePr>
              <a:graphicFrameLocks/>
            </wp:cNvGraphicFramePr>
            <a:graphic>
              <a:graphicData uri="http://schemas.openxmlformats.org/drawingml/2006/picture">
                <pic:pic>
                  <pic:nvPicPr>
                    <pic:cNvPr id="408" name="Image 408" descr="Map showing Sullivan Lake Ranger District mineral withdrawals"/>
                    <pic:cNvPicPr/>
                  </pic:nvPicPr>
                  <pic:blipFill>
                    <a:blip r:embed="rId152" cstate="print"/>
                    <a:stretch>
                      <a:fillRect/>
                    </a:stretch>
                  </pic:blipFill>
                  <pic:spPr>
                    <a:xfrm>
                      <a:off x="0" y="0"/>
                      <a:ext cx="5784811" cy="7851648"/>
                    </a:xfrm>
                    <a:prstGeom prst="rect">
                      <a:avLst/>
                    </a:prstGeom>
                  </pic:spPr>
                </pic:pic>
              </a:graphicData>
            </a:graphic>
          </wp:inline>
        </w:drawing>
      </w:r>
      <w:r>
        <w:rPr>
          <w:rFonts w:ascii="Arial"/>
          <w:sz w:val="20"/>
        </w:rPr>
      </w:r>
    </w:p>
    <w:p>
      <w:pPr>
        <w:spacing w:before="203"/>
        <w:ind w:left="0" w:right="0" w:firstLine="0"/>
        <w:jc w:val="left"/>
        <w:rPr>
          <w:rFonts w:ascii="Arial"/>
          <w:b/>
          <w:sz w:val="18"/>
        </w:rPr>
      </w:pPr>
      <w:bookmarkStart w:name="_bookmark344" w:id="1029"/>
      <w:bookmarkEnd w:id="1029"/>
      <w:r>
        <w:rPr/>
      </w:r>
      <w:r>
        <w:rPr>
          <w:rFonts w:ascii="Arial"/>
          <w:b/>
          <w:color w:val="283014"/>
          <w:sz w:val="18"/>
        </w:rPr>
        <w:t>Figure</w:t>
      </w:r>
      <w:r>
        <w:rPr>
          <w:rFonts w:ascii="Arial"/>
          <w:b/>
          <w:color w:val="283014"/>
          <w:spacing w:val="-2"/>
          <w:sz w:val="18"/>
        </w:rPr>
        <w:t> </w:t>
      </w:r>
      <w:r>
        <w:rPr>
          <w:rFonts w:ascii="Arial"/>
          <w:b/>
          <w:color w:val="283014"/>
          <w:sz w:val="18"/>
        </w:rPr>
        <w:t>G-8.</w:t>
      </w:r>
      <w:r>
        <w:rPr>
          <w:rFonts w:ascii="Arial"/>
          <w:b/>
          <w:color w:val="283014"/>
          <w:spacing w:val="-3"/>
          <w:sz w:val="18"/>
        </w:rPr>
        <w:t> </w:t>
      </w:r>
      <w:r>
        <w:rPr>
          <w:rFonts w:ascii="Arial"/>
          <w:b/>
          <w:color w:val="283014"/>
          <w:sz w:val="18"/>
        </w:rPr>
        <w:t>Sullivan</w:t>
      </w:r>
      <w:r>
        <w:rPr>
          <w:rFonts w:ascii="Arial"/>
          <w:b/>
          <w:color w:val="283014"/>
          <w:spacing w:val="-3"/>
          <w:sz w:val="18"/>
        </w:rPr>
        <w:t> </w:t>
      </w:r>
      <w:r>
        <w:rPr>
          <w:rFonts w:ascii="Arial"/>
          <w:b/>
          <w:color w:val="283014"/>
          <w:sz w:val="18"/>
        </w:rPr>
        <w:t>Lake</w:t>
      </w:r>
      <w:r>
        <w:rPr>
          <w:rFonts w:ascii="Arial"/>
          <w:b/>
          <w:color w:val="283014"/>
          <w:spacing w:val="-2"/>
          <w:sz w:val="18"/>
        </w:rPr>
        <w:t> </w:t>
      </w:r>
      <w:r>
        <w:rPr>
          <w:rFonts w:ascii="Arial"/>
          <w:b/>
          <w:color w:val="283014"/>
          <w:sz w:val="18"/>
        </w:rPr>
        <w:t>Ranger</w:t>
      </w:r>
      <w:r>
        <w:rPr>
          <w:rFonts w:ascii="Arial"/>
          <w:b/>
          <w:color w:val="283014"/>
          <w:spacing w:val="-4"/>
          <w:sz w:val="18"/>
        </w:rPr>
        <w:t> </w:t>
      </w:r>
      <w:r>
        <w:rPr>
          <w:rFonts w:ascii="Arial"/>
          <w:b/>
          <w:color w:val="283014"/>
          <w:sz w:val="18"/>
        </w:rPr>
        <w:t>District</w:t>
      </w:r>
      <w:r>
        <w:rPr>
          <w:rFonts w:ascii="Arial"/>
          <w:b/>
          <w:color w:val="283014"/>
          <w:spacing w:val="-5"/>
          <w:sz w:val="18"/>
        </w:rPr>
        <w:t> </w:t>
      </w:r>
      <w:r>
        <w:rPr>
          <w:rFonts w:ascii="Arial"/>
          <w:b/>
          <w:color w:val="283014"/>
          <w:sz w:val="18"/>
        </w:rPr>
        <w:t>mineral</w:t>
      </w:r>
      <w:r>
        <w:rPr>
          <w:rFonts w:ascii="Arial"/>
          <w:b/>
          <w:color w:val="283014"/>
          <w:spacing w:val="-5"/>
          <w:sz w:val="18"/>
        </w:rPr>
        <w:t> </w:t>
      </w:r>
      <w:r>
        <w:rPr>
          <w:rFonts w:ascii="Arial"/>
          <w:b/>
          <w:color w:val="283014"/>
          <w:spacing w:val="-2"/>
          <w:sz w:val="18"/>
        </w:rPr>
        <w:t>withdrawals</w:t>
      </w:r>
    </w:p>
    <w:p>
      <w:pPr>
        <w:spacing w:after="0"/>
        <w:jc w:val="left"/>
        <w:rPr>
          <w:rFonts w:ascii="Arial"/>
          <w:b/>
          <w:sz w:val="18"/>
        </w:rPr>
        <w:sectPr>
          <w:pgSz w:w="12240" w:h="15840"/>
          <w:pgMar w:header="725" w:footer="891" w:top="1420" w:bottom="1080" w:left="1440" w:right="1080"/>
        </w:sectPr>
      </w:pPr>
    </w:p>
    <w:p>
      <w:pPr>
        <w:pStyle w:val="BodyText"/>
        <w:spacing w:before="33"/>
        <w:rPr>
          <w:rFonts w:ascii="Arial"/>
          <w:b/>
          <w:sz w:val="20"/>
        </w:rPr>
      </w:pPr>
    </w:p>
    <w:p>
      <w:pPr>
        <w:pStyle w:val="BodyText"/>
        <w:ind w:left="432"/>
        <w:rPr>
          <w:rFonts w:ascii="Arial"/>
          <w:sz w:val="20"/>
        </w:rPr>
      </w:pPr>
      <w:r>
        <w:rPr>
          <w:rFonts w:ascii="Arial"/>
          <w:sz w:val="20"/>
        </w:rPr>
        <w:drawing>
          <wp:inline distT="0" distB="0" distL="0" distR="0">
            <wp:extent cx="5359499" cy="7464933"/>
            <wp:effectExtent l="0" t="0" r="0" b="0"/>
            <wp:docPr id="409" name="Image 409" descr="Map showing Newport Ranger District mineral withdrawals"/>
            <wp:cNvGraphicFramePr>
              <a:graphicFrameLocks/>
            </wp:cNvGraphicFramePr>
            <a:graphic>
              <a:graphicData uri="http://schemas.openxmlformats.org/drawingml/2006/picture">
                <pic:pic>
                  <pic:nvPicPr>
                    <pic:cNvPr id="409" name="Image 409" descr="Map showing Newport Ranger District mineral withdrawals"/>
                    <pic:cNvPicPr/>
                  </pic:nvPicPr>
                  <pic:blipFill>
                    <a:blip r:embed="rId153" cstate="print"/>
                    <a:stretch>
                      <a:fillRect/>
                    </a:stretch>
                  </pic:blipFill>
                  <pic:spPr>
                    <a:xfrm>
                      <a:off x="0" y="0"/>
                      <a:ext cx="5359499" cy="7464933"/>
                    </a:xfrm>
                    <a:prstGeom prst="rect">
                      <a:avLst/>
                    </a:prstGeom>
                  </pic:spPr>
                </pic:pic>
              </a:graphicData>
            </a:graphic>
          </wp:inline>
        </w:drawing>
      </w:r>
      <w:r>
        <w:rPr>
          <w:rFonts w:ascii="Arial"/>
          <w:sz w:val="20"/>
        </w:rPr>
      </w:r>
    </w:p>
    <w:p>
      <w:pPr>
        <w:spacing w:before="103"/>
        <w:ind w:left="431" w:right="0" w:firstLine="0"/>
        <w:jc w:val="left"/>
        <w:rPr>
          <w:rFonts w:ascii="Arial"/>
          <w:b/>
          <w:sz w:val="18"/>
        </w:rPr>
      </w:pPr>
      <w:bookmarkStart w:name="_bookmark345" w:id="1030"/>
      <w:bookmarkEnd w:id="1030"/>
      <w:r>
        <w:rPr/>
      </w:r>
      <w:r>
        <w:rPr>
          <w:rFonts w:ascii="Arial"/>
          <w:b/>
          <w:color w:val="283014"/>
          <w:sz w:val="18"/>
        </w:rPr>
        <w:t>Figure</w:t>
      </w:r>
      <w:r>
        <w:rPr>
          <w:rFonts w:ascii="Arial"/>
          <w:b/>
          <w:color w:val="283014"/>
          <w:spacing w:val="-5"/>
          <w:sz w:val="18"/>
        </w:rPr>
        <w:t> </w:t>
      </w:r>
      <w:r>
        <w:rPr>
          <w:rFonts w:ascii="Arial"/>
          <w:b/>
          <w:color w:val="283014"/>
          <w:sz w:val="18"/>
        </w:rPr>
        <w:t>G-9.</w:t>
      </w:r>
      <w:r>
        <w:rPr>
          <w:rFonts w:ascii="Arial"/>
          <w:b/>
          <w:color w:val="283014"/>
          <w:spacing w:val="-3"/>
          <w:sz w:val="18"/>
        </w:rPr>
        <w:t> </w:t>
      </w:r>
      <w:r>
        <w:rPr>
          <w:rFonts w:ascii="Arial"/>
          <w:b/>
          <w:color w:val="283014"/>
          <w:sz w:val="18"/>
        </w:rPr>
        <w:t>Newport</w:t>
      </w:r>
      <w:r>
        <w:rPr>
          <w:rFonts w:ascii="Arial"/>
          <w:b/>
          <w:color w:val="283014"/>
          <w:spacing w:val="-4"/>
          <w:sz w:val="18"/>
        </w:rPr>
        <w:t> </w:t>
      </w:r>
      <w:r>
        <w:rPr>
          <w:rFonts w:ascii="Arial"/>
          <w:b/>
          <w:color w:val="283014"/>
          <w:sz w:val="18"/>
        </w:rPr>
        <w:t>Ranger</w:t>
      </w:r>
      <w:r>
        <w:rPr>
          <w:rFonts w:ascii="Arial"/>
          <w:b/>
          <w:color w:val="283014"/>
          <w:spacing w:val="-6"/>
          <w:sz w:val="18"/>
        </w:rPr>
        <w:t> </w:t>
      </w:r>
      <w:r>
        <w:rPr>
          <w:rFonts w:ascii="Arial"/>
          <w:b/>
          <w:color w:val="283014"/>
          <w:sz w:val="18"/>
        </w:rPr>
        <w:t>District</w:t>
      </w:r>
      <w:r>
        <w:rPr>
          <w:rFonts w:ascii="Arial"/>
          <w:b/>
          <w:color w:val="283014"/>
          <w:spacing w:val="-3"/>
          <w:sz w:val="18"/>
        </w:rPr>
        <w:t> </w:t>
      </w:r>
      <w:r>
        <w:rPr>
          <w:rFonts w:ascii="Arial"/>
          <w:b/>
          <w:color w:val="283014"/>
          <w:sz w:val="18"/>
        </w:rPr>
        <w:t>mineral</w:t>
      </w:r>
      <w:r>
        <w:rPr>
          <w:rFonts w:ascii="Arial"/>
          <w:b/>
          <w:color w:val="283014"/>
          <w:spacing w:val="-5"/>
          <w:sz w:val="18"/>
        </w:rPr>
        <w:t> </w:t>
      </w:r>
      <w:r>
        <w:rPr>
          <w:rFonts w:ascii="Arial"/>
          <w:b/>
          <w:color w:val="283014"/>
          <w:spacing w:val="-2"/>
          <w:sz w:val="18"/>
        </w:rPr>
        <w:t>withdrawals</w:t>
      </w:r>
    </w:p>
    <w:p>
      <w:pPr>
        <w:spacing w:after="0"/>
        <w:jc w:val="left"/>
        <w:rPr>
          <w:rFonts w:ascii="Arial"/>
          <w:b/>
          <w:sz w:val="18"/>
        </w:rPr>
        <w:sectPr>
          <w:pgSz w:w="12240" w:h="15840"/>
          <w:pgMar w:header="725" w:footer="891" w:top="1420" w:bottom="1080" w:left="1440" w:right="1080"/>
        </w:sectPr>
      </w:pPr>
    </w:p>
    <w:p>
      <w:pPr>
        <w:spacing w:before="79"/>
        <w:ind w:left="2" w:right="0" w:firstLine="0"/>
        <w:jc w:val="center"/>
        <w:rPr>
          <w:rFonts w:ascii="Arial"/>
          <w:b/>
          <w:sz w:val="18"/>
        </w:rPr>
      </w:pPr>
      <w:r>
        <w:rPr>
          <w:rFonts w:ascii="Arial"/>
          <w:b/>
          <w:sz w:val="18"/>
        </w:rPr>
        <mc:AlternateContent>
          <mc:Choice Requires="wps">
            <w:drawing>
              <wp:anchor distT="0" distB="0" distL="0" distR="0" allowOverlap="1" layoutInCell="1" locked="0" behindDoc="1" simplePos="0" relativeHeight="487648768">
                <wp:simplePos x="0" y="0"/>
                <wp:positionH relativeFrom="page">
                  <wp:posOffset>896111</wp:posOffset>
                </wp:positionH>
                <wp:positionV relativeFrom="paragraph">
                  <wp:posOffset>194055</wp:posOffset>
                </wp:positionV>
                <wp:extent cx="8266430" cy="12700"/>
                <wp:effectExtent l="0" t="0" r="0" b="0"/>
                <wp:wrapTopAndBottom/>
                <wp:docPr id="411" name="Graphic 411"/>
                <wp:cNvGraphicFramePr>
                  <a:graphicFrameLocks/>
                </wp:cNvGraphicFramePr>
                <a:graphic>
                  <a:graphicData uri="http://schemas.microsoft.com/office/word/2010/wordprocessingShape">
                    <wps:wsp>
                      <wps:cNvPr id="411" name="Graphic 411"/>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15.28pt;width:650.88pt;height:.96pt;mso-position-horizontal-relative:page;mso-position-vertical-relative:paragraph;z-index:-15667712;mso-wrap-distance-left:0;mso-wrap-distance-right:0" id="docshape378" filled="true" fillcolor="#283014" stroked="false">
                <v:fill type="solid"/>
                <w10:wrap type="topAndBottom"/>
              </v:rect>
            </w:pict>
          </mc:Fallback>
        </mc:AlternateContent>
      </w: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p>
      <w:pPr>
        <w:pStyle w:val="BodyText"/>
        <w:rPr>
          <w:rFonts w:ascii="Arial"/>
          <w:b/>
          <w:sz w:val="36"/>
        </w:rPr>
      </w:pPr>
    </w:p>
    <w:p>
      <w:pPr>
        <w:pStyle w:val="BodyText"/>
        <w:spacing w:before="80"/>
        <w:rPr>
          <w:rFonts w:ascii="Arial"/>
          <w:b/>
          <w:sz w:val="36"/>
        </w:rPr>
      </w:pPr>
    </w:p>
    <w:p>
      <w:pPr>
        <w:pStyle w:val="Heading1"/>
        <w:tabs>
          <w:tab w:pos="13348" w:val="left" w:leader="none"/>
        </w:tabs>
      </w:pPr>
      <w:bookmarkStart w:name="Appendix H – Management Area Map" w:id="1031"/>
      <w:bookmarkEnd w:id="1031"/>
      <w:r>
        <w:rPr>
          <w:b w:val="0"/>
        </w:rPr>
      </w:r>
      <w:bookmarkStart w:name="_bookmark346" w:id="1032"/>
      <w:bookmarkEnd w:id="1032"/>
      <w:r>
        <w:rPr>
          <w:b w:val="0"/>
        </w:rPr>
      </w:r>
      <w:r>
        <w:rPr>
          <w:color w:val="475824"/>
          <w:shd w:fill="C2D59B" w:color="auto" w:val="clear"/>
        </w:rPr>
        <w:t>Appendix</w:t>
      </w:r>
      <w:r>
        <w:rPr>
          <w:color w:val="475824"/>
          <w:spacing w:val="-7"/>
          <w:shd w:fill="C2D59B" w:color="auto" w:val="clear"/>
        </w:rPr>
        <w:t> </w:t>
      </w:r>
      <w:r>
        <w:rPr>
          <w:color w:val="475824"/>
          <w:shd w:fill="C2D59B" w:color="auto" w:val="clear"/>
        </w:rPr>
        <w:t>H</w:t>
      </w:r>
      <w:r>
        <w:rPr>
          <w:color w:val="475824"/>
          <w:spacing w:val="-7"/>
          <w:shd w:fill="C2D59B" w:color="auto" w:val="clear"/>
        </w:rPr>
        <w:t> </w:t>
      </w:r>
      <w:r>
        <w:rPr>
          <w:color w:val="475824"/>
          <w:shd w:fill="C2D59B" w:color="auto" w:val="clear"/>
        </w:rPr>
        <w:t>–</w:t>
      </w:r>
      <w:r>
        <w:rPr>
          <w:color w:val="475824"/>
          <w:spacing w:val="-7"/>
          <w:shd w:fill="C2D59B" w:color="auto" w:val="clear"/>
        </w:rPr>
        <w:t> </w:t>
      </w:r>
      <w:r>
        <w:rPr>
          <w:color w:val="475824"/>
          <w:shd w:fill="C2D59B" w:color="auto" w:val="clear"/>
        </w:rPr>
        <w:t>Management</w:t>
      </w:r>
      <w:r>
        <w:rPr>
          <w:color w:val="475824"/>
          <w:spacing w:val="-16"/>
          <w:shd w:fill="C2D59B" w:color="auto" w:val="clear"/>
        </w:rPr>
        <w:t> </w:t>
      </w:r>
      <w:r>
        <w:rPr>
          <w:color w:val="475824"/>
          <w:shd w:fill="C2D59B" w:color="auto" w:val="clear"/>
        </w:rPr>
        <w:t>Area</w:t>
      </w:r>
      <w:r>
        <w:rPr>
          <w:color w:val="475824"/>
          <w:spacing w:val="-6"/>
          <w:shd w:fill="C2D59B" w:color="auto" w:val="clear"/>
        </w:rPr>
        <w:t> </w:t>
      </w:r>
      <w:r>
        <w:rPr>
          <w:color w:val="475824"/>
          <w:spacing w:val="-5"/>
          <w:shd w:fill="C2D59B" w:color="auto" w:val="clear"/>
        </w:rPr>
        <w:t>Map</w:t>
      </w:r>
      <w:r>
        <w:rPr>
          <w:color w:val="475824"/>
          <w:shd w:fill="C2D59B" w:color="auto" w:val="clear"/>
        </w:rPr>
        <w:tab/>
      </w:r>
    </w:p>
    <w:p>
      <w:pPr>
        <w:pStyle w:val="BodyText"/>
        <w:spacing w:before="3"/>
        <w:rPr>
          <w:rFonts w:ascii="Arial"/>
          <w:b/>
          <w:sz w:val="8"/>
        </w:rPr>
      </w:pPr>
      <w:r>
        <w:rPr>
          <w:rFonts w:ascii="Arial"/>
          <w:b/>
          <w:sz w:val="8"/>
        </w:rPr>
        <w:drawing>
          <wp:anchor distT="0" distB="0" distL="0" distR="0" allowOverlap="1" layoutInCell="1" locked="0" behindDoc="1" simplePos="0" relativeHeight="487649280">
            <wp:simplePos x="0" y="0"/>
            <wp:positionH relativeFrom="page">
              <wp:posOffset>914400</wp:posOffset>
            </wp:positionH>
            <wp:positionV relativeFrom="paragraph">
              <wp:posOffset>75737</wp:posOffset>
            </wp:positionV>
            <wp:extent cx="7364579" cy="5079873"/>
            <wp:effectExtent l="0" t="0" r="0" b="0"/>
            <wp:wrapTopAndBottom/>
            <wp:docPr id="412" name="Image 412" descr="Map showing Colville National Forest management areas"/>
            <wp:cNvGraphicFramePr>
              <a:graphicFrameLocks/>
            </wp:cNvGraphicFramePr>
            <a:graphic>
              <a:graphicData uri="http://schemas.openxmlformats.org/drawingml/2006/picture">
                <pic:pic>
                  <pic:nvPicPr>
                    <pic:cNvPr id="412" name="Image 412" descr="Map showing Colville National Forest management areas"/>
                    <pic:cNvPicPr/>
                  </pic:nvPicPr>
                  <pic:blipFill>
                    <a:blip r:embed="rId156" cstate="print"/>
                    <a:stretch>
                      <a:fillRect/>
                    </a:stretch>
                  </pic:blipFill>
                  <pic:spPr>
                    <a:xfrm>
                      <a:off x="0" y="0"/>
                      <a:ext cx="7364579" cy="5079873"/>
                    </a:xfrm>
                    <a:prstGeom prst="rect">
                      <a:avLst/>
                    </a:prstGeom>
                  </pic:spPr>
                </pic:pic>
              </a:graphicData>
            </a:graphic>
          </wp:anchor>
        </w:drawing>
      </w:r>
    </w:p>
    <w:p>
      <w:pPr>
        <w:spacing w:before="4"/>
        <w:ind w:left="360" w:right="0" w:firstLine="0"/>
        <w:jc w:val="left"/>
        <w:rPr>
          <w:rFonts w:ascii="Arial"/>
          <w:b/>
          <w:sz w:val="18"/>
        </w:rPr>
      </w:pPr>
      <w:bookmarkStart w:name="_bookmark347" w:id="1033"/>
      <w:bookmarkEnd w:id="1033"/>
      <w:r>
        <w:rPr/>
      </w:r>
      <w:r>
        <w:rPr>
          <w:rFonts w:ascii="Arial"/>
          <w:b/>
          <w:color w:val="283014"/>
          <w:sz w:val="18"/>
        </w:rPr>
        <w:t>Figure</w:t>
      </w:r>
      <w:r>
        <w:rPr>
          <w:rFonts w:ascii="Arial"/>
          <w:b/>
          <w:color w:val="283014"/>
          <w:spacing w:val="-3"/>
          <w:sz w:val="18"/>
        </w:rPr>
        <w:t> </w:t>
      </w:r>
      <w:r>
        <w:rPr>
          <w:rFonts w:ascii="Arial"/>
          <w:b/>
          <w:color w:val="283014"/>
          <w:sz w:val="18"/>
        </w:rPr>
        <w:t>H-1.</w:t>
      </w:r>
      <w:r>
        <w:rPr>
          <w:rFonts w:ascii="Arial"/>
          <w:b/>
          <w:color w:val="283014"/>
          <w:spacing w:val="-4"/>
          <w:sz w:val="18"/>
        </w:rPr>
        <w:t> </w:t>
      </w:r>
      <w:r>
        <w:rPr>
          <w:rFonts w:ascii="Arial"/>
          <w:b/>
          <w:color w:val="283014"/>
          <w:sz w:val="18"/>
        </w:rPr>
        <w:t>Colville</w:t>
      </w:r>
      <w:r>
        <w:rPr>
          <w:rFonts w:ascii="Arial"/>
          <w:b/>
          <w:color w:val="283014"/>
          <w:spacing w:val="-3"/>
          <w:sz w:val="18"/>
        </w:rPr>
        <w:t> </w:t>
      </w:r>
      <w:r>
        <w:rPr>
          <w:rFonts w:ascii="Arial"/>
          <w:b/>
          <w:color w:val="283014"/>
          <w:sz w:val="18"/>
        </w:rPr>
        <w:t>National</w:t>
      </w:r>
      <w:r>
        <w:rPr>
          <w:rFonts w:ascii="Arial"/>
          <w:b/>
          <w:color w:val="283014"/>
          <w:spacing w:val="-5"/>
          <w:sz w:val="18"/>
        </w:rPr>
        <w:t> </w:t>
      </w:r>
      <w:r>
        <w:rPr>
          <w:rFonts w:ascii="Arial"/>
          <w:b/>
          <w:color w:val="283014"/>
          <w:sz w:val="18"/>
        </w:rPr>
        <w:t>Forest</w:t>
      </w:r>
      <w:r>
        <w:rPr>
          <w:rFonts w:ascii="Arial"/>
          <w:b/>
          <w:color w:val="283014"/>
          <w:spacing w:val="-4"/>
          <w:sz w:val="18"/>
        </w:rPr>
        <w:t> </w:t>
      </w:r>
      <w:r>
        <w:rPr>
          <w:rFonts w:ascii="Arial"/>
          <w:b/>
          <w:color w:val="283014"/>
          <w:sz w:val="18"/>
        </w:rPr>
        <w:t>management</w:t>
      </w:r>
      <w:r>
        <w:rPr>
          <w:rFonts w:ascii="Arial"/>
          <w:b/>
          <w:color w:val="283014"/>
          <w:spacing w:val="-5"/>
          <w:sz w:val="18"/>
        </w:rPr>
        <w:t> </w:t>
      </w:r>
      <w:r>
        <w:rPr>
          <w:rFonts w:ascii="Arial"/>
          <w:b/>
          <w:color w:val="283014"/>
          <w:spacing w:val="-2"/>
          <w:sz w:val="18"/>
        </w:rPr>
        <w:t>areas</w:t>
      </w:r>
    </w:p>
    <w:p>
      <w:pPr>
        <w:pStyle w:val="BodyText"/>
        <w:spacing w:before="198"/>
        <w:rPr>
          <w:rFonts w:ascii="Arial"/>
          <w:b/>
          <w:sz w:val="20"/>
        </w:rPr>
      </w:pPr>
      <w:r>
        <w:rPr>
          <w:rFonts w:ascii="Arial"/>
          <w:b/>
          <w:sz w:val="20"/>
        </w:rPr>
        <mc:AlternateContent>
          <mc:Choice Requires="wps">
            <w:drawing>
              <wp:anchor distT="0" distB="0" distL="0" distR="0" allowOverlap="1" layoutInCell="1" locked="0" behindDoc="1" simplePos="0" relativeHeight="487649792">
                <wp:simplePos x="0" y="0"/>
                <wp:positionH relativeFrom="page">
                  <wp:posOffset>896111</wp:posOffset>
                </wp:positionH>
                <wp:positionV relativeFrom="paragraph">
                  <wp:posOffset>287053</wp:posOffset>
                </wp:positionV>
                <wp:extent cx="8266430" cy="12700"/>
                <wp:effectExtent l="0" t="0" r="0" b="0"/>
                <wp:wrapTopAndBottom/>
                <wp:docPr id="413" name="Graphic 413"/>
                <wp:cNvGraphicFramePr>
                  <a:graphicFrameLocks/>
                </wp:cNvGraphicFramePr>
                <a:graphic>
                  <a:graphicData uri="http://schemas.microsoft.com/office/word/2010/wordprocessingShape">
                    <wps:wsp>
                      <wps:cNvPr id="413" name="Graphic 413"/>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22.6026pt;width:650.88pt;height:.96pt;mso-position-horizontal-relative:page;mso-position-vertical-relative:paragraph;z-index:-15666688;mso-wrap-distance-left:0;mso-wrap-distance-right:0" id="docshape379" filled="true" fillcolor="#000000" stroked="false">
                <v:fill type="solid"/>
                <w10:wrap type="topAndBottom"/>
              </v:rect>
            </w:pict>
          </mc:Fallback>
        </mc:AlternateContent>
      </w:r>
    </w:p>
    <w:sectPr>
      <w:headerReference w:type="even" r:id="rId154"/>
      <w:footerReference w:type="even" r:id="rId155"/>
      <w:pgSz w:w="15840" w:h="12240" w:orient="landscape"/>
      <w:pgMar w:header="0" w:footer="928" w:top="640" w:bottom="1120" w:left="108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Narrow">
    <w:altName w:val="Arial Narrow"/>
    <w:charset w:val="0"/>
    <w:family w:val="swiss"/>
    <w:pitch w:val="variable"/>
  </w:font>
  <w:font w:name="Tahoma">
    <w:altName w:val="Tahoma"/>
    <w:charset w:val="0"/>
    <w:family w:val="swiss"/>
    <w:pitch w:val="variable"/>
  </w:font>
  <w:font w:name="Calibri">
    <w:altName w:val="Calibri"/>
    <w:charset w:val="0"/>
    <w:family w:val="swiss"/>
    <w:pitch w:val="variable"/>
  </w:font>
  <w:font w:name="Calibri Light">
    <w:altName w:val="Calibri Light"/>
    <w:charset w:val="0"/>
    <w:family w:val="swiss"/>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4336">
              <wp:simplePos x="0" y="0"/>
              <wp:positionH relativeFrom="page">
                <wp:posOffset>1353311</wp:posOffset>
              </wp:positionH>
              <wp:positionV relativeFrom="page">
                <wp:posOffset>9445752</wp:posOffset>
              </wp:positionV>
              <wp:extent cx="5523230" cy="1270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06.559998pt;margin-top:743.76001pt;width:434.88pt;height:.96pt;mso-position-horizontal-relative:page;mso-position-vertical-relative:page;z-index:-29062144" id="docshape39"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4848">
              <wp:simplePos x="0" y="0"/>
              <wp:positionH relativeFrom="page">
                <wp:posOffset>4012691</wp:posOffset>
              </wp:positionH>
              <wp:positionV relativeFrom="page">
                <wp:posOffset>9460643</wp:posOffset>
              </wp:positionV>
              <wp:extent cx="215265" cy="15367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215265"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vii</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315.959991pt;margin-top:744.932556pt;width:16.95pt;height:12.1pt;mso-position-horizontal-relative:page;mso-position-vertical-relative:page;z-index:-29061632" type="#_x0000_t202" id="docshape40"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vii</w:t>
                    </w:r>
                    <w:r>
                      <w:rPr>
                        <w:rFonts w:ascii="Arial"/>
                        <w:b/>
                        <w:color w:val="003300"/>
                        <w:spacing w:val="-5"/>
                        <w:sz w:val="18"/>
                        <w:shd w:fill="E6E6E6" w:color="auto" w:val="clear"/>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7408">
              <wp:simplePos x="0" y="0"/>
              <wp:positionH relativeFrom="page">
                <wp:posOffset>1399032</wp:posOffset>
              </wp:positionH>
              <wp:positionV relativeFrom="page">
                <wp:posOffset>9314688</wp:posOffset>
              </wp:positionV>
              <wp:extent cx="5477510" cy="1270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59072" id="docshape4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7920">
              <wp:simplePos x="0" y="0"/>
              <wp:positionH relativeFrom="page">
                <wp:posOffset>3463544</wp:posOffset>
              </wp:positionH>
              <wp:positionV relativeFrom="page">
                <wp:posOffset>9329579</wp:posOffset>
              </wp:positionV>
              <wp:extent cx="1348105" cy="284480"/>
              <wp:effectExtent l="0" t="0" r="0" b="0"/>
              <wp:wrapNone/>
              <wp:docPr id="49" name="Textbox 49"/>
              <wp:cNvGraphicFramePr>
                <a:graphicFrameLocks/>
              </wp:cNvGraphicFramePr>
              <a:graphic>
                <a:graphicData uri="http://schemas.microsoft.com/office/word/2010/wordprocessingShape">
                  <wps:wsp>
                    <wps:cNvPr id="49" name="Textbox 49"/>
                    <wps:cNvSpPr txBox="1"/>
                    <wps:spPr>
                      <a:xfrm>
                        <a:off x="0" y="0"/>
                        <a:ext cx="1348105" cy="284480"/>
                      </a:xfrm>
                      <a:prstGeom prst="rect">
                        <a:avLst/>
                      </a:prstGeom>
                    </wps:spPr>
                    <wps:txbx>
                      <w:txbxContent>
                        <w:p>
                          <w:pPr>
                            <w:spacing w:before="14"/>
                            <w:ind w:left="960" w:right="18" w:hanging="94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1</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Introduction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11</w:t>
                          </w:r>
                          <w:r>
                            <w:rPr>
                              <w:rFonts w:ascii="Arial" w:hAnsi="Arial"/>
                              <w:b/>
                              <w:color w:val="003300"/>
                              <w:spacing w:val="-6"/>
                              <w:sz w:val="18"/>
                            </w:rPr>
                            <w:fldChar w:fldCharType="end"/>
                          </w:r>
                        </w:p>
                      </w:txbxContent>
                    </wps:txbx>
                    <wps:bodyPr wrap="square" lIns="0" tIns="0" rIns="0" bIns="0" rtlCol="0">
                      <a:noAutofit/>
                    </wps:bodyPr>
                  </wps:wsp>
                </a:graphicData>
              </a:graphic>
            </wp:anchor>
          </w:drawing>
        </mc:Choice>
        <mc:Fallback>
          <w:pict>
            <v:shape style="position:absolute;margin-left:272.720001pt;margin-top:734.612549pt;width:106.15pt;height:22.4pt;mso-position-horizontal-relative:page;mso-position-vertical-relative:page;z-index:-29058560" type="#_x0000_t202" id="docshape46" filled="false" stroked="false">
              <v:textbox inset="0,0,0,0">
                <w:txbxContent>
                  <w:p>
                    <w:pPr>
                      <w:spacing w:before="14"/>
                      <w:ind w:left="960" w:right="18" w:hanging="94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1</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Introduction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11</w:t>
                    </w:r>
                    <w:r>
                      <w:rPr>
                        <w:rFonts w:ascii="Arial" w:hAnsi="Arial"/>
                        <w:b/>
                        <w:color w:val="003300"/>
                        <w:spacing w:val="-6"/>
                        <w:sz w:val="18"/>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8432">
              <wp:simplePos x="0" y="0"/>
              <wp:positionH relativeFrom="page">
                <wp:posOffset>896111</wp:posOffset>
              </wp:positionH>
              <wp:positionV relativeFrom="page">
                <wp:posOffset>9314688</wp:posOffset>
              </wp:positionV>
              <wp:extent cx="5477510" cy="12700"/>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31.28pt;height:.96pt;mso-position-horizontal-relative:page;mso-position-vertical-relative:page;z-index:-29058048" id="docshape4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8944">
              <wp:simplePos x="0" y="0"/>
              <wp:positionH relativeFrom="page">
                <wp:posOffset>2975864</wp:posOffset>
              </wp:positionH>
              <wp:positionV relativeFrom="page">
                <wp:posOffset>9329579</wp:posOffset>
              </wp:positionV>
              <wp:extent cx="1316355" cy="284480"/>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1316355" cy="284480"/>
                      </a:xfrm>
                      <a:prstGeom prst="rect">
                        <a:avLst/>
                      </a:prstGeom>
                    </wps:spPr>
                    <wps:txbx>
                      <w:txbxContent>
                        <w:p>
                          <w:pPr>
                            <w:spacing w:line="207" w:lineRule="exact" w:before="14"/>
                            <w:ind w:left="2" w:right="2" w:firstLine="0"/>
                            <w:jc w:val="center"/>
                            <w:rPr>
                              <w:rFonts w:ascii="Arial" w:hAnsi="Arial"/>
                              <w:b/>
                              <w:sz w:val="18"/>
                            </w:rPr>
                          </w:pPr>
                          <w:r>
                            <w:rPr>
                              <w:rFonts w:ascii="Arial" w:hAnsi="Arial"/>
                              <w:b/>
                              <w:color w:val="003300"/>
                              <w:sz w:val="18"/>
                            </w:rPr>
                            <w:t>Chapter</w:t>
                          </w:r>
                          <w:r>
                            <w:rPr>
                              <w:rFonts w:ascii="Arial" w:hAnsi="Arial"/>
                              <w:b/>
                              <w:color w:val="003300"/>
                              <w:spacing w:val="-4"/>
                              <w:sz w:val="18"/>
                            </w:rPr>
                            <w:t> </w:t>
                          </w:r>
                          <w:r>
                            <w:rPr>
                              <w:rFonts w:ascii="Arial" w:hAnsi="Arial"/>
                              <w:b/>
                              <w:color w:val="003300"/>
                              <w:sz w:val="18"/>
                            </w:rPr>
                            <w:t>1–</w:t>
                          </w:r>
                          <w:r>
                            <w:rPr>
                              <w:rFonts w:ascii="Arial" w:hAnsi="Arial"/>
                              <w:b/>
                              <w:color w:val="003300"/>
                              <w:spacing w:val="-5"/>
                              <w:sz w:val="18"/>
                            </w:rPr>
                            <w:t> </w:t>
                          </w:r>
                          <w:r>
                            <w:rPr>
                              <w:rFonts w:ascii="Arial" w:hAnsi="Arial"/>
                              <w:b/>
                              <w:color w:val="003300"/>
                              <w:spacing w:val="-2"/>
                              <w:sz w:val="18"/>
                            </w:rPr>
                            <w:t>Introduction</w:t>
                          </w:r>
                        </w:p>
                        <w:p>
                          <w:pPr>
                            <w:spacing w:line="207" w:lineRule="exact" w:before="0"/>
                            <w:ind w:left="2" w:right="0" w:firstLine="0"/>
                            <w:jc w:val="center"/>
                            <w:rPr>
                              <w:rFonts w:ascii="Arial"/>
                              <w:b/>
                              <w:sz w:val="18"/>
                            </w:rPr>
                          </w:pPr>
                          <w:r>
                            <w:rPr>
                              <w:rFonts w:ascii="Arial"/>
                              <w:b/>
                              <w:color w:val="003300"/>
                              <w:spacing w:val="-5"/>
                              <w:sz w:val="18"/>
                            </w:rPr>
                            <w:fldChar w:fldCharType="begin"/>
                          </w:r>
                          <w:r>
                            <w:rPr>
                              <w:rFonts w:ascii="Arial"/>
                              <w:b/>
                              <w:color w:val="003300"/>
                              <w:spacing w:val="-5"/>
                              <w:sz w:val="18"/>
                            </w:rPr>
                            <w:instrText> PAGE </w:instrText>
                          </w:r>
                          <w:r>
                            <w:rPr>
                              <w:rFonts w:ascii="Arial"/>
                              <w:b/>
                              <w:color w:val="003300"/>
                              <w:spacing w:val="-5"/>
                              <w:sz w:val="18"/>
                            </w:rPr>
                            <w:fldChar w:fldCharType="separate"/>
                          </w:r>
                          <w:r>
                            <w:rPr>
                              <w:rFonts w:ascii="Arial"/>
                              <w:b/>
                              <w:color w:val="003300"/>
                              <w:spacing w:val="-5"/>
                              <w:sz w:val="18"/>
                            </w:rPr>
                            <w:t>10</w:t>
                          </w:r>
                          <w:r>
                            <w:rPr>
                              <w:rFonts w:ascii="Arial"/>
                              <w:b/>
                              <w:color w:val="003300"/>
                              <w:spacing w:val="-5"/>
                              <w:sz w:val="18"/>
                            </w:rPr>
                            <w:fldChar w:fldCharType="end"/>
                          </w:r>
                        </w:p>
                      </w:txbxContent>
                    </wps:txbx>
                    <wps:bodyPr wrap="square" lIns="0" tIns="0" rIns="0" bIns="0" rtlCol="0">
                      <a:noAutofit/>
                    </wps:bodyPr>
                  </wps:wsp>
                </a:graphicData>
              </a:graphic>
            </wp:anchor>
          </w:drawing>
        </mc:Choice>
        <mc:Fallback>
          <w:pict>
            <v:shape style="position:absolute;margin-left:234.320007pt;margin-top:734.612549pt;width:103.65pt;height:22.4pt;mso-position-horizontal-relative:page;mso-position-vertical-relative:page;z-index:-29057536" type="#_x0000_t202" id="docshape48" filled="false" stroked="false">
              <v:textbox inset="0,0,0,0">
                <w:txbxContent>
                  <w:p>
                    <w:pPr>
                      <w:spacing w:line="207" w:lineRule="exact" w:before="14"/>
                      <w:ind w:left="2" w:right="2" w:firstLine="0"/>
                      <w:jc w:val="center"/>
                      <w:rPr>
                        <w:rFonts w:ascii="Arial" w:hAnsi="Arial"/>
                        <w:b/>
                        <w:sz w:val="18"/>
                      </w:rPr>
                    </w:pPr>
                    <w:r>
                      <w:rPr>
                        <w:rFonts w:ascii="Arial" w:hAnsi="Arial"/>
                        <w:b/>
                        <w:color w:val="003300"/>
                        <w:sz w:val="18"/>
                      </w:rPr>
                      <w:t>Chapter</w:t>
                    </w:r>
                    <w:r>
                      <w:rPr>
                        <w:rFonts w:ascii="Arial" w:hAnsi="Arial"/>
                        <w:b/>
                        <w:color w:val="003300"/>
                        <w:spacing w:val="-4"/>
                        <w:sz w:val="18"/>
                      </w:rPr>
                      <w:t> </w:t>
                    </w:r>
                    <w:r>
                      <w:rPr>
                        <w:rFonts w:ascii="Arial" w:hAnsi="Arial"/>
                        <w:b/>
                        <w:color w:val="003300"/>
                        <w:sz w:val="18"/>
                      </w:rPr>
                      <w:t>1–</w:t>
                    </w:r>
                    <w:r>
                      <w:rPr>
                        <w:rFonts w:ascii="Arial" w:hAnsi="Arial"/>
                        <w:b/>
                        <w:color w:val="003300"/>
                        <w:spacing w:val="-5"/>
                        <w:sz w:val="18"/>
                      </w:rPr>
                      <w:t> </w:t>
                    </w:r>
                    <w:r>
                      <w:rPr>
                        <w:rFonts w:ascii="Arial" w:hAnsi="Arial"/>
                        <w:b/>
                        <w:color w:val="003300"/>
                        <w:spacing w:val="-2"/>
                        <w:sz w:val="18"/>
                      </w:rPr>
                      <w:t>Introduction</w:t>
                    </w:r>
                  </w:p>
                  <w:p>
                    <w:pPr>
                      <w:spacing w:line="207" w:lineRule="exact" w:before="0"/>
                      <w:ind w:left="2" w:right="0" w:firstLine="0"/>
                      <w:jc w:val="center"/>
                      <w:rPr>
                        <w:rFonts w:ascii="Arial"/>
                        <w:b/>
                        <w:sz w:val="18"/>
                      </w:rPr>
                    </w:pPr>
                    <w:r>
                      <w:rPr>
                        <w:rFonts w:ascii="Arial"/>
                        <w:b/>
                        <w:color w:val="003300"/>
                        <w:spacing w:val="-5"/>
                        <w:sz w:val="18"/>
                      </w:rPr>
                      <w:fldChar w:fldCharType="begin"/>
                    </w:r>
                    <w:r>
                      <w:rPr>
                        <w:rFonts w:ascii="Arial"/>
                        <w:b/>
                        <w:color w:val="003300"/>
                        <w:spacing w:val="-5"/>
                        <w:sz w:val="18"/>
                      </w:rPr>
                      <w:instrText> PAGE </w:instrText>
                    </w:r>
                    <w:r>
                      <w:rPr>
                        <w:rFonts w:ascii="Arial"/>
                        <w:b/>
                        <w:color w:val="003300"/>
                        <w:spacing w:val="-5"/>
                        <w:sz w:val="18"/>
                      </w:rPr>
                      <w:fldChar w:fldCharType="separate"/>
                    </w:r>
                    <w:r>
                      <w:rPr>
                        <w:rFonts w:ascii="Arial"/>
                        <w:b/>
                        <w:color w:val="003300"/>
                        <w:spacing w:val="-5"/>
                        <w:sz w:val="18"/>
                      </w:rPr>
                      <w:t>10</w:t>
                    </w:r>
                    <w:r>
                      <w:rPr>
                        <w:rFonts w:ascii="Arial"/>
                        <w:b/>
                        <w:color w:val="003300"/>
                        <w:spacing w:val="-5"/>
                        <w:sz w:val="18"/>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1504">
              <wp:simplePos x="0" y="0"/>
              <wp:positionH relativeFrom="page">
                <wp:posOffset>1399032</wp:posOffset>
              </wp:positionH>
              <wp:positionV relativeFrom="page">
                <wp:posOffset>9314688</wp:posOffset>
              </wp:positionV>
              <wp:extent cx="5477510" cy="1270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54976" id="docshape122"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62016">
              <wp:simplePos x="0" y="0"/>
              <wp:positionH relativeFrom="page">
                <wp:posOffset>3231895</wp:posOffset>
              </wp:positionH>
              <wp:positionV relativeFrom="page">
                <wp:posOffset>9329579</wp:posOffset>
              </wp:positionV>
              <wp:extent cx="1811655" cy="28448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811655" cy="284480"/>
                      </a:xfrm>
                      <a:prstGeom prst="rect">
                        <a:avLst/>
                      </a:prstGeom>
                    </wps:spPr>
                    <wps:txbx>
                      <w:txbxContent>
                        <w:p>
                          <w:pPr>
                            <w:spacing w:before="14"/>
                            <w:ind w:left="1325" w:right="0" w:hanging="1306"/>
                            <w:jc w:val="left"/>
                            <w:rPr>
                              <w:rFonts w:ascii="Arial" w:hAnsi="Arial"/>
                              <w:b/>
                              <w:sz w:val="18"/>
                            </w:rPr>
                          </w:pPr>
                          <w:r>
                            <w:rPr>
                              <w:rFonts w:ascii="Arial" w:hAnsi="Arial"/>
                              <w:b/>
                              <w:color w:val="003300"/>
                              <w:sz w:val="18"/>
                            </w:rPr>
                            <w:t>Chapter</w:t>
                          </w:r>
                          <w:r>
                            <w:rPr>
                              <w:rFonts w:ascii="Arial" w:hAnsi="Arial"/>
                              <w:b/>
                              <w:color w:val="003300"/>
                              <w:spacing w:val="-10"/>
                              <w:sz w:val="18"/>
                            </w:rPr>
                            <w:t> </w:t>
                          </w:r>
                          <w:r>
                            <w:rPr>
                              <w:rFonts w:ascii="Arial" w:hAnsi="Arial"/>
                              <w:b/>
                              <w:color w:val="003300"/>
                              <w:sz w:val="18"/>
                            </w:rPr>
                            <w:t>2</w:t>
                          </w:r>
                          <w:r>
                            <w:rPr>
                              <w:rFonts w:ascii="Arial" w:hAnsi="Arial"/>
                              <w:b/>
                              <w:color w:val="003300"/>
                              <w:spacing w:val="-8"/>
                              <w:sz w:val="18"/>
                            </w:rPr>
                            <w:t> </w:t>
                          </w:r>
                          <w:r>
                            <w:rPr>
                              <w:rFonts w:ascii="Arial" w:hAnsi="Arial"/>
                              <w:b/>
                              <w:color w:val="003300"/>
                              <w:sz w:val="18"/>
                            </w:rPr>
                            <w:t>–</w:t>
                          </w:r>
                          <w:r>
                            <w:rPr>
                              <w:rFonts w:ascii="Arial" w:hAnsi="Arial"/>
                              <w:b/>
                              <w:color w:val="003300"/>
                              <w:spacing w:val="-11"/>
                              <w:sz w:val="18"/>
                            </w:rPr>
                            <w:t> </w:t>
                          </w:r>
                          <w:r>
                            <w:rPr>
                              <w:rFonts w:ascii="Arial" w:hAnsi="Arial"/>
                              <w:b/>
                              <w:color w:val="003300"/>
                              <w:sz w:val="18"/>
                            </w:rPr>
                            <w:t>Forestwide</w:t>
                          </w:r>
                          <w:r>
                            <w:rPr>
                              <w:rFonts w:ascii="Arial" w:hAnsi="Arial"/>
                              <w:b/>
                              <w:color w:val="003300"/>
                              <w:spacing w:val="-8"/>
                              <w:sz w:val="18"/>
                            </w:rPr>
                            <w:t> </w:t>
                          </w:r>
                          <w:r>
                            <w:rPr>
                              <w:rFonts w:ascii="Arial" w:hAnsi="Arial"/>
                              <w:b/>
                              <w:color w:val="003300"/>
                              <w:sz w:val="18"/>
                            </w:rPr>
                            <w:t>Direction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27</w:t>
                          </w:r>
                          <w:r>
                            <w:rPr>
                              <w:rFonts w:ascii="Arial" w:hAnsi="Arial"/>
                              <w:b/>
                              <w:color w:val="003300"/>
                              <w:spacing w:val="-6"/>
                              <w:sz w:val="18"/>
                            </w:rPr>
                            <w:fldChar w:fldCharType="end"/>
                          </w:r>
                        </w:p>
                      </w:txbxContent>
                    </wps:txbx>
                    <wps:bodyPr wrap="square" lIns="0" tIns="0" rIns="0" bIns="0" rtlCol="0">
                      <a:noAutofit/>
                    </wps:bodyPr>
                  </wps:wsp>
                </a:graphicData>
              </a:graphic>
            </wp:anchor>
          </w:drawing>
        </mc:Choice>
        <mc:Fallback>
          <w:pict>
            <v:shape style="position:absolute;margin-left:254.479996pt;margin-top:734.612549pt;width:142.65pt;height:22.4pt;mso-position-horizontal-relative:page;mso-position-vertical-relative:page;z-index:-29054464" type="#_x0000_t202" id="docshape123" filled="false" stroked="false">
              <v:textbox inset="0,0,0,0">
                <w:txbxContent>
                  <w:p>
                    <w:pPr>
                      <w:spacing w:before="14"/>
                      <w:ind w:left="1325" w:right="0" w:hanging="1306"/>
                      <w:jc w:val="left"/>
                      <w:rPr>
                        <w:rFonts w:ascii="Arial" w:hAnsi="Arial"/>
                        <w:b/>
                        <w:sz w:val="18"/>
                      </w:rPr>
                    </w:pPr>
                    <w:r>
                      <w:rPr>
                        <w:rFonts w:ascii="Arial" w:hAnsi="Arial"/>
                        <w:b/>
                        <w:color w:val="003300"/>
                        <w:sz w:val="18"/>
                      </w:rPr>
                      <w:t>Chapter</w:t>
                    </w:r>
                    <w:r>
                      <w:rPr>
                        <w:rFonts w:ascii="Arial" w:hAnsi="Arial"/>
                        <w:b/>
                        <w:color w:val="003300"/>
                        <w:spacing w:val="-10"/>
                        <w:sz w:val="18"/>
                      </w:rPr>
                      <w:t> </w:t>
                    </w:r>
                    <w:r>
                      <w:rPr>
                        <w:rFonts w:ascii="Arial" w:hAnsi="Arial"/>
                        <w:b/>
                        <w:color w:val="003300"/>
                        <w:sz w:val="18"/>
                      </w:rPr>
                      <w:t>2</w:t>
                    </w:r>
                    <w:r>
                      <w:rPr>
                        <w:rFonts w:ascii="Arial" w:hAnsi="Arial"/>
                        <w:b/>
                        <w:color w:val="003300"/>
                        <w:spacing w:val="-8"/>
                        <w:sz w:val="18"/>
                      </w:rPr>
                      <w:t> </w:t>
                    </w:r>
                    <w:r>
                      <w:rPr>
                        <w:rFonts w:ascii="Arial" w:hAnsi="Arial"/>
                        <w:b/>
                        <w:color w:val="003300"/>
                        <w:sz w:val="18"/>
                      </w:rPr>
                      <w:t>–</w:t>
                    </w:r>
                    <w:r>
                      <w:rPr>
                        <w:rFonts w:ascii="Arial" w:hAnsi="Arial"/>
                        <w:b/>
                        <w:color w:val="003300"/>
                        <w:spacing w:val="-11"/>
                        <w:sz w:val="18"/>
                      </w:rPr>
                      <w:t> </w:t>
                    </w:r>
                    <w:r>
                      <w:rPr>
                        <w:rFonts w:ascii="Arial" w:hAnsi="Arial"/>
                        <w:b/>
                        <w:color w:val="003300"/>
                        <w:sz w:val="18"/>
                      </w:rPr>
                      <w:t>Forestwide</w:t>
                    </w:r>
                    <w:r>
                      <w:rPr>
                        <w:rFonts w:ascii="Arial" w:hAnsi="Arial"/>
                        <w:b/>
                        <w:color w:val="003300"/>
                        <w:spacing w:val="-8"/>
                        <w:sz w:val="18"/>
                      </w:rPr>
                      <w:t> </w:t>
                    </w:r>
                    <w:r>
                      <w:rPr>
                        <w:rFonts w:ascii="Arial" w:hAnsi="Arial"/>
                        <w:b/>
                        <w:color w:val="003300"/>
                        <w:sz w:val="18"/>
                      </w:rPr>
                      <w:t>Direction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27</w:t>
                    </w:r>
                    <w:r>
                      <w:rPr>
                        <w:rFonts w:ascii="Arial" w:hAnsi="Arial"/>
                        <w:b/>
                        <w:color w:val="003300"/>
                        <w:spacing w:val="-6"/>
                        <w:sz w:val="18"/>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2528">
              <wp:simplePos x="0" y="0"/>
              <wp:positionH relativeFrom="page">
                <wp:posOffset>896111</wp:posOffset>
              </wp:positionH>
              <wp:positionV relativeFrom="page">
                <wp:posOffset>9314688</wp:posOffset>
              </wp:positionV>
              <wp:extent cx="5477510" cy="1270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31.28pt;height:.96pt;mso-position-horizontal-relative:page;mso-position-vertical-relative:page;z-index:-29053952" id="docshape124"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63040">
              <wp:simplePos x="0" y="0"/>
              <wp:positionH relativeFrom="page">
                <wp:posOffset>2728976</wp:posOffset>
              </wp:positionH>
              <wp:positionV relativeFrom="page">
                <wp:posOffset>9329579</wp:posOffset>
              </wp:positionV>
              <wp:extent cx="1811655" cy="28448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a:off x="0" y="0"/>
                        <a:ext cx="1811655" cy="284480"/>
                      </a:xfrm>
                      <a:prstGeom prst="rect">
                        <a:avLst/>
                      </a:prstGeom>
                    </wps:spPr>
                    <wps:txbx>
                      <w:txbxContent>
                        <w:p>
                          <w:pPr>
                            <w:spacing w:before="14"/>
                            <w:ind w:left="1325" w:right="0" w:hanging="1306"/>
                            <w:jc w:val="left"/>
                            <w:rPr>
                              <w:rFonts w:ascii="Arial" w:hAnsi="Arial"/>
                              <w:b/>
                              <w:sz w:val="18"/>
                            </w:rPr>
                          </w:pPr>
                          <w:r>
                            <w:rPr>
                              <w:rFonts w:ascii="Arial" w:hAnsi="Arial"/>
                              <w:b/>
                              <w:color w:val="003300"/>
                              <w:sz w:val="18"/>
                            </w:rPr>
                            <w:t>Chapter</w:t>
                          </w:r>
                          <w:r>
                            <w:rPr>
                              <w:rFonts w:ascii="Arial" w:hAnsi="Arial"/>
                              <w:b/>
                              <w:color w:val="003300"/>
                              <w:spacing w:val="-10"/>
                              <w:sz w:val="18"/>
                            </w:rPr>
                            <w:t> </w:t>
                          </w:r>
                          <w:r>
                            <w:rPr>
                              <w:rFonts w:ascii="Arial" w:hAnsi="Arial"/>
                              <w:b/>
                              <w:color w:val="003300"/>
                              <w:sz w:val="18"/>
                            </w:rPr>
                            <w:t>2</w:t>
                          </w:r>
                          <w:r>
                            <w:rPr>
                              <w:rFonts w:ascii="Arial" w:hAnsi="Arial"/>
                              <w:b/>
                              <w:color w:val="003300"/>
                              <w:spacing w:val="-8"/>
                              <w:sz w:val="18"/>
                            </w:rPr>
                            <w:t> </w:t>
                          </w:r>
                          <w:r>
                            <w:rPr>
                              <w:rFonts w:ascii="Arial" w:hAnsi="Arial"/>
                              <w:b/>
                              <w:color w:val="003300"/>
                              <w:sz w:val="18"/>
                            </w:rPr>
                            <w:t>–</w:t>
                          </w:r>
                          <w:r>
                            <w:rPr>
                              <w:rFonts w:ascii="Arial" w:hAnsi="Arial"/>
                              <w:b/>
                              <w:color w:val="003300"/>
                              <w:spacing w:val="-11"/>
                              <w:sz w:val="18"/>
                            </w:rPr>
                            <w:t> </w:t>
                          </w:r>
                          <w:r>
                            <w:rPr>
                              <w:rFonts w:ascii="Arial" w:hAnsi="Arial"/>
                              <w:b/>
                              <w:color w:val="003300"/>
                              <w:sz w:val="18"/>
                            </w:rPr>
                            <w:t>Forestwide</w:t>
                          </w:r>
                          <w:r>
                            <w:rPr>
                              <w:rFonts w:ascii="Arial" w:hAnsi="Arial"/>
                              <w:b/>
                              <w:color w:val="003300"/>
                              <w:spacing w:val="-8"/>
                              <w:sz w:val="18"/>
                            </w:rPr>
                            <w:t> </w:t>
                          </w:r>
                          <w:r>
                            <w:rPr>
                              <w:rFonts w:ascii="Arial" w:hAnsi="Arial"/>
                              <w:b/>
                              <w:color w:val="003300"/>
                              <w:sz w:val="18"/>
                            </w:rPr>
                            <w:t>Direction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28</w:t>
                          </w:r>
                          <w:r>
                            <w:rPr>
                              <w:rFonts w:ascii="Arial" w:hAnsi="Arial"/>
                              <w:b/>
                              <w:color w:val="003300"/>
                              <w:spacing w:val="-6"/>
                              <w:sz w:val="18"/>
                            </w:rPr>
                            <w:fldChar w:fldCharType="end"/>
                          </w:r>
                        </w:p>
                      </w:txbxContent>
                    </wps:txbx>
                    <wps:bodyPr wrap="square" lIns="0" tIns="0" rIns="0" bIns="0" rtlCol="0">
                      <a:noAutofit/>
                    </wps:bodyPr>
                  </wps:wsp>
                </a:graphicData>
              </a:graphic>
            </wp:anchor>
          </w:drawing>
        </mc:Choice>
        <mc:Fallback>
          <w:pict>
            <v:shape style="position:absolute;margin-left:214.880005pt;margin-top:734.612549pt;width:142.65pt;height:22.4pt;mso-position-horizontal-relative:page;mso-position-vertical-relative:page;z-index:-29053440" type="#_x0000_t202" id="docshape125" filled="false" stroked="false">
              <v:textbox inset="0,0,0,0">
                <w:txbxContent>
                  <w:p>
                    <w:pPr>
                      <w:spacing w:before="14"/>
                      <w:ind w:left="1325" w:right="0" w:hanging="1306"/>
                      <w:jc w:val="left"/>
                      <w:rPr>
                        <w:rFonts w:ascii="Arial" w:hAnsi="Arial"/>
                        <w:b/>
                        <w:sz w:val="18"/>
                      </w:rPr>
                    </w:pPr>
                    <w:r>
                      <w:rPr>
                        <w:rFonts w:ascii="Arial" w:hAnsi="Arial"/>
                        <w:b/>
                        <w:color w:val="003300"/>
                        <w:sz w:val="18"/>
                      </w:rPr>
                      <w:t>Chapter</w:t>
                    </w:r>
                    <w:r>
                      <w:rPr>
                        <w:rFonts w:ascii="Arial" w:hAnsi="Arial"/>
                        <w:b/>
                        <w:color w:val="003300"/>
                        <w:spacing w:val="-10"/>
                        <w:sz w:val="18"/>
                      </w:rPr>
                      <w:t> </w:t>
                    </w:r>
                    <w:r>
                      <w:rPr>
                        <w:rFonts w:ascii="Arial" w:hAnsi="Arial"/>
                        <w:b/>
                        <w:color w:val="003300"/>
                        <w:sz w:val="18"/>
                      </w:rPr>
                      <w:t>2</w:t>
                    </w:r>
                    <w:r>
                      <w:rPr>
                        <w:rFonts w:ascii="Arial" w:hAnsi="Arial"/>
                        <w:b/>
                        <w:color w:val="003300"/>
                        <w:spacing w:val="-8"/>
                        <w:sz w:val="18"/>
                      </w:rPr>
                      <w:t> </w:t>
                    </w:r>
                    <w:r>
                      <w:rPr>
                        <w:rFonts w:ascii="Arial" w:hAnsi="Arial"/>
                        <w:b/>
                        <w:color w:val="003300"/>
                        <w:sz w:val="18"/>
                      </w:rPr>
                      <w:t>–</w:t>
                    </w:r>
                    <w:r>
                      <w:rPr>
                        <w:rFonts w:ascii="Arial" w:hAnsi="Arial"/>
                        <w:b/>
                        <w:color w:val="003300"/>
                        <w:spacing w:val="-11"/>
                        <w:sz w:val="18"/>
                      </w:rPr>
                      <w:t> </w:t>
                    </w:r>
                    <w:r>
                      <w:rPr>
                        <w:rFonts w:ascii="Arial" w:hAnsi="Arial"/>
                        <w:b/>
                        <w:color w:val="003300"/>
                        <w:sz w:val="18"/>
                      </w:rPr>
                      <w:t>Forestwide</w:t>
                    </w:r>
                    <w:r>
                      <w:rPr>
                        <w:rFonts w:ascii="Arial" w:hAnsi="Arial"/>
                        <w:b/>
                        <w:color w:val="003300"/>
                        <w:spacing w:val="-8"/>
                        <w:sz w:val="18"/>
                      </w:rPr>
                      <w:t> </w:t>
                    </w:r>
                    <w:r>
                      <w:rPr>
                        <w:rFonts w:ascii="Arial" w:hAnsi="Arial"/>
                        <w:b/>
                        <w:color w:val="003300"/>
                        <w:sz w:val="18"/>
                      </w:rPr>
                      <w:t>Direction </w:t>
                    </w:r>
                    <w:r>
                      <w:rPr>
                        <w:rFonts w:ascii="Arial" w:hAnsi="Arial"/>
                        <w:b/>
                        <w:color w:val="003300"/>
                        <w:spacing w:val="-6"/>
                        <w:sz w:val="18"/>
                      </w:rPr>
                      <w:fldChar w:fldCharType="begin"/>
                    </w:r>
                    <w:r>
                      <w:rPr>
                        <w:rFonts w:ascii="Arial" w:hAnsi="Arial"/>
                        <w:b/>
                        <w:color w:val="003300"/>
                        <w:spacing w:val="-6"/>
                        <w:sz w:val="18"/>
                      </w:rPr>
                      <w:instrText> PAGE </w:instrText>
                    </w:r>
                    <w:r>
                      <w:rPr>
                        <w:rFonts w:ascii="Arial" w:hAnsi="Arial"/>
                        <w:b/>
                        <w:color w:val="003300"/>
                        <w:spacing w:val="-6"/>
                        <w:sz w:val="18"/>
                      </w:rPr>
                      <w:fldChar w:fldCharType="separate"/>
                    </w:r>
                    <w:r>
                      <w:rPr>
                        <w:rFonts w:ascii="Arial" w:hAnsi="Arial"/>
                        <w:b/>
                        <w:color w:val="003300"/>
                        <w:spacing w:val="-6"/>
                        <w:sz w:val="18"/>
                      </w:rPr>
                      <w:t>28</w:t>
                    </w:r>
                    <w:r>
                      <w:rPr>
                        <w:rFonts w:ascii="Arial" w:hAnsi="Arial"/>
                        <w:b/>
                        <w:color w:val="003300"/>
                        <w:spacing w:val="-6"/>
                        <w:sz w:val="18"/>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5600">
              <wp:simplePos x="0" y="0"/>
              <wp:positionH relativeFrom="page">
                <wp:posOffset>1399032</wp:posOffset>
              </wp:positionH>
              <wp:positionV relativeFrom="page">
                <wp:posOffset>9314688</wp:posOffset>
              </wp:positionV>
              <wp:extent cx="5477510" cy="1270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50880" id="docshape183"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66112">
              <wp:simplePos x="0" y="0"/>
              <wp:positionH relativeFrom="page">
                <wp:posOffset>3041395</wp:posOffset>
              </wp:positionH>
              <wp:positionV relativeFrom="page">
                <wp:posOffset>9329579</wp:posOffset>
              </wp:positionV>
              <wp:extent cx="2192655" cy="28448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101</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39.479996pt;margin-top:734.612549pt;width:172.65pt;height:22.4pt;mso-position-horizontal-relative:page;mso-position-vertical-relative:page;z-index:-29050368" type="#_x0000_t202" id="docshape184"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101</w:t>
                    </w:r>
                    <w:r>
                      <w:rPr>
                        <w:rFonts w:ascii="Arial" w:hAnsi="Arial"/>
                        <w:b/>
                        <w:color w:val="003300"/>
                        <w:spacing w:val="-4"/>
                        <w:sz w:val="18"/>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6624">
              <wp:simplePos x="0" y="0"/>
              <wp:positionH relativeFrom="page">
                <wp:posOffset>896111</wp:posOffset>
              </wp:positionH>
              <wp:positionV relativeFrom="page">
                <wp:posOffset>9314688</wp:posOffset>
              </wp:positionV>
              <wp:extent cx="5477510" cy="12700"/>
              <wp:effectExtent l="0" t="0" r="0" b="0"/>
              <wp:wrapNone/>
              <wp:docPr id="197" name="Graphic 197"/>
              <wp:cNvGraphicFramePr>
                <a:graphicFrameLocks/>
              </wp:cNvGraphicFramePr>
              <a:graphic>
                <a:graphicData uri="http://schemas.microsoft.com/office/word/2010/wordprocessingShape">
                  <wps:wsp>
                    <wps:cNvPr id="197" name="Graphic 197"/>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31.28pt;height:.96pt;mso-position-horizontal-relative:page;mso-position-vertical-relative:page;z-index:-29049856" id="docshape18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67136">
              <wp:simplePos x="0" y="0"/>
              <wp:positionH relativeFrom="page">
                <wp:posOffset>2538476</wp:posOffset>
              </wp:positionH>
              <wp:positionV relativeFrom="page">
                <wp:posOffset>9329579</wp:posOffset>
              </wp:positionV>
              <wp:extent cx="2192655" cy="28448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100</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99.880005pt;margin-top:734.612549pt;width:172.65pt;height:22.4pt;mso-position-horizontal-relative:page;mso-position-vertical-relative:page;z-index:-29049344" type="#_x0000_t202" id="docshape186"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100</w:t>
                    </w:r>
                    <w:r>
                      <w:rPr>
                        <w:rFonts w:ascii="Arial" w:hAnsi="Arial"/>
                        <w:b/>
                        <w:color w:val="003300"/>
                        <w:spacing w:val="-4"/>
                        <w:sz w:val="18"/>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8672">
              <wp:simplePos x="0" y="0"/>
              <wp:positionH relativeFrom="page">
                <wp:posOffset>896111</wp:posOffset>
              </wp:positionH>
              <wp:positionV relativeFrom="page">
                <wp:posOffset>7028688</wp:posOffset>
              </wp:positionV>
              <wp:extent cx="8266430" cy="12700"/>
              <wp:effectExtent l="0" t="0" r="0" b="0"/>
              <wp:wrapNone/>
              <wp:docPr id="229" name="Graphic 229"/>
              <wp:cNvGraphicFramePr>
                <a:graphicFrameLocks/>
              </wp:cNvGraphicFramePr>
              <a:graphic>
                <a:graphicData uri="http://schemas.microsoft.com/office/word/2010/wordprocessingShape">
                  <wps:wsp>
                    <wps:cNvPr id="229" name="Graphic 229"/>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47808" id="docshape21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69184">
              <wp:simplePos x="0" y="0"/>
              <wp:positionH relativeFrom="page">
                <wp:posOffset>3932935</wp:posOffset>
              </wp:positionH>
              <wp:positionV relativeFrom="page">
                <wp:posOffset>7043579</wp:posOffset>
              </wp:positionV>
              <wp:extent cx="2192655" cy="284480"/>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142</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309.679993pt;margin-top:554.612549pt;width:172.65pt;height:22.4pt;mso-position-horizontal-relative:page;mso-position-vertical-relative:page;z-index:-29047296" type="#_x0000_t202" id="docshape216"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142</w:t>
                    </w:r>
                    <w:r>
                      <w:rPr>
                        <w:rFonts w:ascii="Arial" w:hAnsi="Arial"/>
                        <w:b/>
                        <w:color w:val="003300"/>
                        <w:spacing w:val="-4"/>
                        <w:sz w:val="18"/>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1744">
              <wp:simplePos x="0" y="0"/>
              <wp:positionH relativeFrom="page">
                <wp:posOffset>896111</wp:posOffset>
              </wp:positionH>
              <wp:positionV relativeFrom="page">
                <wp:posOffset>7028688</wp:posOffset>
              </wp:positionV>
              <wp:extent cx="8266430" cy="12700"/>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44736" id="docshape223"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72256">
              <wp:simplePos x="0" y="0"/>
              <wp:positionH relativeFrom="page">
                <wp:posOffset>3932935</wp:posOffset>
              </wp:positionH>
              <wp:positionV relativeFrom="page">
                <wp:posOffset>7043579</wp:posOffset>
              </wp:positionV>
              <wp:extent cx="2192655" cy="284480"/>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144</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309.679993pt;margin-top:554.612549pt;width:172.65pt;height:22.4pt;mso-position-horizontal-relative:page;mso-position-vertical-relative:page;z-index:-29044224" type="#_x0000_t202" id="docshape224"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144</w:t>
                    </w:r>
                    <w:r>
                      <w:rPr>
                        <w:rFonts w:ascii="Arial" w:hAnsi="Arial"/>
                        <w:b/>
                        <w:color w:val="003300"/>
                        <w:spacing w:val="-4"/>
                        <w:sz w:val="18"/>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5120">
              <wp:simplePos x="0" y="0"/>
              <wp:positionH relativeFrom="page">
                <wp:posOffset>3945635</wp:posOffset>
              </wp:positionH>
              <wp:positionV relativeFrom="page">
                <wp:posOffset>9460643</wp:posOffset>
              </wp:positionV>
              <wp:extent cx="120650" cy="153670"/>
              <wp:effectExtent l="0" t="0" r="0" b="0"/>
              <wp:wrapNone/>
              <wp:docPr id="6" name="Textbox 6"/>
              <wp:cNvGraphicFramePr>
                <a:graphicFrameLocks/>
              </wp:cNvGraphicFramePr>
              <a:graphic>
                <a:graphicData uri="http://schemas.microsoft.com/office/word/2010/wordprocessingShape">
                  <wps:wsp>
                    <wps:cNvPr id="6" name="Textbox 6"/>
                    <wps:cNvSpPr txBox="1"/>
                    <wps:spPr>
                      <a:xfrm>
                        <a:off x="0" y="0"/>
                        <a:ext cx="120650" cy="153670"/>
                      </a:xfrm>
                      <a:prstGeom prst="rect">
                        <a:avLst/>
                      </a:prstGeom>
                    </wps:spPr>
                    <wps:txbx>
                      <w:txbxContent>
                        <w:p>
                          <w:pPr>
                            <w:spacing w:before="14"/>
                            <w:ind w:left="60" w:right="0" w:firstLine="0"/>
                            <w:jc w:val="left"/>
                            <w:rPr>
                              <w:rFonts w:ascii="Arial"/>
                              <w:b/>
                              <w:sz w:val="18"/>
                            </w:rPr>
                          </w:pPr>
                          <w:r>
                            <w:rPr>
                              <w:rFonts w:ascii="Arial"/>
                              <w:b/>
                              <w:color w:val="003300"/>
                              <w:spacing w:val="-10"/>
                              <w:sz w:val="18"/>
                            </w:rPr>
                            <w:fldChar w:fldCharType="begin"/>
                          </w:r>
                          <w:r>
                            <w:rPr>
                              <w:rFonts w:ascii="Arial"/>
                              <w:b/>
                              <w:color w:val="003300"/>
                              <w:spacing w:val="-10"/>
                              <w:sz w:val="18"/>
                            </w:rPr>
                            <w:instrText> PAGE  \* roman </w:instrText>
                          </w:r>
                          <w:r>
                            <w:rPr>
                              <w:rFonts w:ascii="Arial"/>
                              <w:b/>
                              <w:color w:val="003300"/>
                              <w:spacing w:val="-10"/>
                              <w:sz w:val="18"/>
                            </w:rPr>
                            <w:fldChar w:fldCharType="separate"/>
                          </w:r>
                          <w:r>
                            <w:rPr>
                              <w:rFonts w:ascii="Arial"/>
                              <w:b/>
                              <w:color w:val="003300"/>
                              <w:spacing w:val="-10"/>
                              <w:sz w:val="18"/>
                            </w:rPr>
                            <w:t>i</w:t>
                          </w:r>
                          <w:r>
                            <w:rPr>
                              <w:rFonts w:ascii="Arial"/>
                              <w:b/>
                              <w:color w:val="003300"/>
                              <w:spacing w:val="-10"/>
                              <w:sz w:val="18"/>
                            </w:rPr>
                            <w:fldChar w:fldCharType="end"/>
                          </w:r>
                        </w:p>
                      </w:txbxContent>
                    </wps:txbx>
                    <wps:bodyPr wrap="square" lIns="0" tIns="0" rIns="0" bIns="0" rtlCol="0">
                      <a:noAutofit/>
                    </wps:bodyPr>
                  </wps:wsp>
                </a:graphicData>
              </a:graphic>
            </wp:anchor>
          </w:drawing>
        </mc:Choice>
        <mc:Fallback>
          <w:pict>
            <v:shape style="position:absolute;margin-left:310.679993pt;margin-top:744.932556pt;width:9.5pt;height:12.1pt;mso-position-horizontal-relative:page;mso-position-vertical-relative:page;z-index:-29071360" type="#_x0000_t202" id="docshape3" filled="false" stroked="false">
              <v:textbox inset="0,0,0,0">
                <w:txbxContent>
                  <w:p>
                    <w:pPr>
                      <w:spacing w:before="14"/>
                      <w:ind w:left="60" w:right="0" w:firstLine="0"/>
                      <w:jc w:val="left"/>
                      <w:rPr>
                        <w:rFonts w:ascii="Arial"/>
                        <w:b/>
                        <w:sz w:val="18"/>
                      </w:rPr>
                    </w:pPr>
                    <w:r>
                      <w:rPr>
                        <w:rFonts w:ascii="Arial"/>
                        <w:b/>
                        <w:color w:val="003300"/>
                        <w:spacing w:val="-10"/>
                        <w:sz w:val="18"/>
                      </w:rPr>
                      <w:fldChar w:fldCharType="begin"/>
                    </w:r>
                    <w:r>
                      <w:rPr>
                        <w:rFonts w:ascii="Arial"/>
                        <w:b/>
                        <w:color w:val="003300"/>
                        <w:spacing w:val="-10"/>
                        <w:sz w:val="18"/>
                      </w:rPr>
                      <w:instrText> PAGE  \* roman </w:instrText>
                    </w:r>
                    <w:r>
                      <w:rPr>
                        <w:rFonts w:ascii="Arial"/>
                        <w:b/>
                        <w:color w:val="003300"/>
                        <w:spacing w:val="-10"/>
                        <w:sz w:val="18"/>
                      </w:rPr>
                      <w:fldChar w:fldCharType="separate"/>
                    </w:r>
                    <w:r>
                      <w:rPr>
                        <w:rFonts w:ascii="Arial"/>
                        <w:b/>
                        <w:color w:val="003300"/>
                        <w:spacing w:val="-10"/>
                        <w:sz w:val="18"/>
                      </w:rPr>
                      <w:t>i</w:t>
                    </w:r>
                    <w:r>
                      <w:rPr>
                        <w:rFonts w:ascii="Arial"/>
                        <w:b/>
                        <w:color w:val="003300"/>
                        <w:spacing w:val="-10"/>
                        <w:sz w:val="18"/>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2768">
              <wp:simplePos x="0" y="0"/>
              <wp:positionH relativeFrom="page">
                <wp:posOffset>1399032</wp:posOffset>
              </wp:positionH>
              <wp:positionV relativeFrom="page">
                <wp:posOffset>9314688</wp:posOffset>
              </wp:positionV>
              <wp:extent cx="5477510" cy="12700"/>
              <wp:effectExtent l="0" t="0" r="0" b="0"/>
              <wp:wrapNone/>
              <wp:docPr id="239" name="Graphic 239"/>
              <wp:cNvGraphicFramePr>
                <a:graphicFrameLocks/>
              </wp:cNvGraphicFramePr>
              <a:graphic>
                <a:graphicData uri="http://schemas.microsoft.com/office/word/2010/wordprocessingShape">
                  <wps:wsp>
                    <wps:cNvPr id="239" name="Graphic 239"/>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43712" id="docshape22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73280">
              <wp:simplePos x="0" y="0"/>
              <wp:positionH relativeFrom="page">
                <wp:posOffset>3041395</wp:posOffset>
              </wp:positionH>
              <wp:positionV relativeFrom="page">
                <wp:posOffset>9329579</wp:posOffset>
              </wp:positionV>
              <wp:extent cx="2192655" cy="284480"/>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145</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39.479996pt;margin-top:734.612549pt;width:172.65pt;height:22.4pt;mso-position-horizontal-relative:page;mso-position-vertical-relative:page;z-index:-29043200" type="#_x0000_t202" id="docshape226"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145</w:t>
                    </w:r>
                    <w:r>
                      <w:rPr>
                        <w:rFonts w:ascii="Arial" w:hAnsi="Arial"/>
                        <w:b/>
                        <w:color w:val="003300"/>
                        <w:spacing w:val="-4"/>
                        <w:sz w:val="18"/>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5840">
              <wp:simplePos x="0" y="0"/>
              <wp:positionH relativeFrom="page">
                <wp:posOffset>896111</wp:posOffset>
              </wp:positionH>
              <wp:positionV relativeFrom="page">
                <wp:posOffset>9314688</wp:posOffset>
              </wp:positionV>
              <wp:extent cx="5477510" cy="12700"/>
              <wp:effectExtent l="0" t="0" r="0" b="0"/>
              <wp:wrapNone/>
              <wp:docPr id="245" name="Graphic 245"/>
              <wp:cNvGraphicFramePr>
                <a:graphicFrameLocks/>
              </wp:cNvGraphicFramePr>
              <a:graphic>
                <a:graphicData uri="http://schemas.microsoft.com/office/word/2010/wordprocessingShape">
                  <wps:wsp>
                    <wps:cNvPr id="245" name="Graphic 245"/>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31.28pt;height:.96pt;mso-position-horizontal-relative:page;mso-position-vertical-relative:page;z-index:-29040640" id="docshape231"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76352">
              <wp:simplePos x="0" y="0"/>
              <wp:positionH relativeFrom="page">
                <wp:posOffset>2538476</wp:posOffset>
              </wp:positionH>
              <wp:positionV relativeFrom="page">
                <wp:posOffset>9329579</wp:posOffset>
              </wp:positionV>
              <wp:extent cx="2192655" cy="284480"/>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146</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99.880005pt;margin-top:734.612549pt;width:172.65pt;height:22.4pt;mso-position-horizontal-relative:page;mso-position-vertical-relative:page;z-index:-29040128" type="#_x0000_t202" id="docshape232"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146</w:t>
                    </w:r>
                    <w:r>
                      <w:rPr>
                        <w:rFonts w:ascii="Arial" w:hAnsi="Arial"/>
                        <w:b/>
                        <w:color w:val="003300"/>
                        <w:spacing w:val="-4"/>
                        <w:sz w:val="18"/>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6864">
              <wp:simplePos x="0" y="0"/>
              <wp:positionH relativeFrom="page">
                <wp:posOffset>1399032</wp:posOffset>
              </wp:positionH>
              <wp:positionV relativeFrom="page">
                <wp:posOffset>9314688</wp:posOffset>
              </wp:positionV>
              <wp:extent cx="5477510" cy="12700"/>
              <wp:effectExtent l="0" t="0" r="0" b="0"/>
              <wp:wrapNone/>
              <wp:docPr id="247" name="Graphic 247"/>
              <wp:cNvGraphicFramePr>
                <a:graphicFrameLocks/>
              </wp:cNvGraphicFramePr>
              <a:graphic>
                <a:graphicData uri="http://schemas.microsoft.com/office/word/2010/wordprocessingShape">
                  <wps:wsp>
                    <wps:cNvPr id="247" name="Graphic 247"/>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39616" id="docshape233"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77376">
              <wp:simplePos x="0" y="0"/>
              <wp:positionH relativeFrom="page">
                <wp:posOffset>3041395</wp:posOffset>
              </wp:positionH>
              <wp:positionV relativeFrom="page">
                <wp:posOffset>9329579</wp:posOffset>
              </wp:positionV>
              <wp:extent cx="2192655" cy="284480"/>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2192655" cy="284480"/>
                      </a:xfrm>
                      <a:prstGeom prst="rect">
                        <a:avLst/>
                      </a:prstGeom>
                    </wps:spPr>
                    <wps:txbx>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147</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39.479996pt;margin-top:734.612549pt;width:172.65pt;height:22.4pt;mso-position-horizontal-relative:page;mso-position-vertical-relative:page;z-index:-29039104" type="#_x0000_t202" id="docshape234" filled="false" stroked="false">
              <v:textbox inset="0,0,0,0">
                <w:txbxContent>
                  <w:p>
                    <w:pPr>
                      <w:spacing w:before="14"/>
                      <w:ind w:left="1575" w:right="0" w:hanging="1556"/>
                      <w:jc w:val="left"/>
                      <w:rPr>
                        <w:rFonts w:ascii="Arial" w:hAnsi="Arial"/>
                        <w:b/>
                        <w:sz w:val="18"/>
                      </w:rPr>
                    </w:pPr>
                    <w:r>
                      <w:rPr>
                        <w:rFonts w:ascii="Arial" w:hAnsi="Arial"/>
                        <w:b/>
                        <w:color w:val="003300"/>
                        <w:sz w:val="18"/>
                      </w:rPr>
                      <w:t>Chapter</w:t>
                    </w:r>
                    <w:r>
                      <w:rPr>
                        <w:rFonts w:ascii="Arial" w:hAnsi="Arial"/>
                        <w:b/>
                        <w:color w:val="003300"/>
                        <w:spacing w:val="-8"/>
                        <w:sz w:val="18"/>
                      </w:rPr>
                      <w:t> </w:t>
                    </w:r>
                    <w:r>
                      <w:rPr>
                        <w:rFonts w:ascii="Arial" w:hAnsi="Arial"/>
                        <w:b/>
                        <w:color w:val="003300"/>
                        <w:sz w:val="18"/>
                      </w:rPr>
                      <w:t>3</w:t>
                    </w:r>
                    <w:r>
                      <w:rPr>
                        <w:rFonts w:ascii="Arial" w:hAnsi="Arial"/>
                        <w:b/>
                        <w:color w:val="003300"/>
                        <w:spacing w:val="-6"/>
                        <w:sz w:val="18"/>
                      </w:rPr>
                      <w:t> </w:t>
                    </w:r>
                    <w:r>
                      <w:rPr>
                        <w:rFonts w:ascii="Arial" w:hAnsi="Arial"/>
                        <w:b/>
                        <w:color w:val="003300"/>
                        <w:sz w:val="18"/>
                      </w:rPr>
                      <w:t>–</w:t>
                    </w:r>
                    <w:r>
                      <w:rPr>
                        <w:rFonts w:ascii="Arial" w:hAnsi="Arial"/>
                        <w:b/>
                        <w:color w:val="003300"/>
                        <w:spacing w:val="-9"/>
                        <w:sz w:val="18"/>
                      </w:rPr>
                      <w:t> </w:t>
                    </w:r>
                    <w:r>
                      <w:rPr>
                        <w:rFonts w:ascii="Arial" w:hAnsi="Arial"/>
                        <w:b/>
                        <w:color w:val="003300"/>
                        <w:sz w:val="18"/>
                      </w:rPr>
                      <w:t>Management</w:t>
                    </w:r>
                    <w:r>
                      <w:rPr>
                        <w:rFonts w:ascii="Arial" w:hAnsi="Arial"/>
                        <w:b/>
                        <w:color w:val="003300"/>
                        <w:spacing w:val="-7"/>
                        <w:sz w:val="18"/>
                      </w:rPr>
                      <w:t> </w:t>
                    </w:r>
                    <w:r>
                      <w:rPr>
                        <w:rFonts w:ascii="Arial" w:hAnsi="Arial"/>
                        <w:b/>
                        <w:color w:val="003300"/>
                        <w:sz w:val="18"/>
                      </w:rPr>
                      <w:t>Area</w:t>
                    </w:r>
                    <w:r>
                      <w:rPr>
                        <w:rFonts w:ascii="Arial" w:hAnsi="Arial"/>
                        <w:b/>
                        <w:color w:val="003300"/>
                        <w:spacing w:val="-6"/>
                        <w:sz w:val="18"/>
                      </w:rPr>
                      <w:t> </w:t>
                    </w:r>
                    <w:r>
                      <w:rPr>
                        <w:rFonts w:ascii="Arial" w:hAnsi="Arial"/>
                        <w:b/>
                        <w:color w:val="003300"/>
                        <w:sz w:val="18"/>
                      </w:rPr>
                      <w:t>Direction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147</w:t>
                    </w:r>
                    <w:r>
                      <w:rPr>
                        <w:rFonts w:ascii="Arial" w:hAnsi="Arial"/>
                        <w:b/>
                        <w:color w:val="003300"/>
                        <w:spacing w:val="-4"/>
                        <w:sz w:val="18"/>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9936">
              <wp:simplePos x="0" y="0"/>
              <wp:positionH relativeFrom="page">
                <wp:posOffset>1399032</wp:posOffset>
              </wp:positionH>
              <wp:positionV relativeFrom="page">
                <wp:posOffset>9314688</wp:posOffset>
              </wp:positionV>
              <wp:extent cx="5477510" cy="12700"/>
              <wp:effectExtent l="0" t="0" r="0" b="0"/>
              <wp:wrapNone/>
              <wp:docPr id="254" name="Graphic 254"/>
              <wp:cNvGraphicFramePr>
                <a:graphicFrameLocks/>
              </wp:cNvGraphicFramePr>
              <a:graphic>
                <a:graphicData uri="http://schemas.microsoft.com/office/word/2010/wordprocessingShape">
                  <wps:wsp>
                    <wps:cNvPr id="254" name="Graphic 254"/>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10.160004pt;margin-top:733.440002pt;width:431.28pt;height:.96pt;mso-position-horizontal-relative:page;mso-position-vertical-relative:page;z-index:-29036544" id="docshape240"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80448">
              <wp:simplePos x="0" y="0"/>
              <wp:positionH relativeFrom="page">
                <wp:posOffset>3501644</wp:posOffset>
              </wp:positionH>
              <wp:positionV relativeFrom="page">
                <wp:posOffset>9329579</wp:posOffset>
              </wp:positionV>
              <wp:extent cx="1271905" cy="28448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1271905" cy="284480"/>
                      </a:xfrm>
                      <a:prstGeom prst="rect">
                        <a:avLst/>
                      </a:prstGeom>
                    </wps:spPr>
                    <wps:txbx>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155</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75.720001pt;margin-top:734.612549pt;width:100.15pt;height:22.4pt;mso-position-horizontal-relative:page;mso-position-vertical-relative:page;z-index:-29036032" type="#_x0000_t202" id="docshape241" filled="false" stroked="false">
              <v:textbox inset="0,0,0,0">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155</w:t>
                    </w:r>
                    <w:r>
                      <w:rPr>
                        <w:rFonts w:ascii="Arial" w:hAnsi="Arial"/>
                        <w:b/>
                        <w:color w:val="003300"/>
                        <w:spacing w:val="-4"/>
                        <w:sz w:val="18"/>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0960">
              <wp:simplePos x="0" y="0"/>
              <wp:positionH relativeFrom="page">
                <wp:posOffset>896111</wp:posOffset>
              </wp:positionH>
              <wp:positionV relativeFrom="page">
                <wp:posOffset>9314688</wp:posOffset>
              </wp:positionV>
              <wp:extent cx="5477510" cy="12700"/>
              <wp:effectExtent l="0" t="0" r="0" b="0"/>
              <wp:wrapNone/>
              <wp:docPr id="256" name="Graphic 256"/>
              <wp:cNvGraphicFramePr>
                <a:graphicFrameLocks/>
              </wp:cNvGraphicFramePr>
              <a:graphic>
                <a:graphicData uri="http://schemas.microsoft.com/office/word/2010/wordprocessingShape">
                  <wps:wsp>
                    <wps:cNvPr id="256" name="Graphic 256"/>
                    <wps:cNvSpPr/>
                    <wps:spPr>
                      <a:xfrm>
                        <a:off x="0" y="0"/>
                        <a:ext cx="5477510" cy="12700"/>
                      </a:xfrm>
                      <a:custGeom>
                        <a:avLst/>
                        <a:gdLst/>
                        <a:ahLst/>
                        <a:cxnLst/>
                        <a:rect l="l" t="t" r="r" b="b"/>
                        <a:pathLst>
                          <a:path w="5477510" h="12700">
                            <a:moveTo>
                              <a:pt x="5477256" y="0"/>
                            </a:moveTo>
                            <a:lnTo>
                              <a:pt x="0" y="0"/>
                            </a:lnTo>
                            <a:lnTo>
                              <a:pt x="0" y="12191"/>
                            </a:lnTo>
                            <a:lnTo>
                              <a:pt x="5477256" y="12191"/>
                            </a:lnTo>
                            <a:lnTo>
                              <a:pt x="54772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31.28pt;height:.96pt;mso-position-horizontal-relative:page;mso-position-vertical-relative:page;z-index:-29035520" id="docshape242"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81472">
              <wp:simplePos x="0" y="0"/>
              <wp:positionH relativeFrom="page">
                <wp:posOffset>2998723</wp:posOffset>
              </wp:positionH>
              <wp:positionV relativeFrom="page">
                <wp:posOffset>9329579</wp:posOffset>
              </wp:positionV>
              <wp:extent cx="1271905" cy="28448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a:off x="0" y="0"/>
                        <a:ext cx="1271905" cy="284480"/>
                      </a:xfrm>
                      <a:prstGeom prst="rect">
                        <a:avLst/>
                      </a:prstGeom>
                    </wps:spPr>
                    <wps:txbx>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156</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36.119995pt;margin-top:734.612549pt;width:100.15pt;height:22.4pt;mso-position-horizontal-relative:page;mso-position-vertical-relative:page;z-index:-29035008" type="#_x0000_t202" id="docshape243" filled="false" stroked="false">
              <v:textbox inset="0,0,0,0">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156</w:t>
                    </w:r>
                    <w:r>
                      <w:rPr>
                        <w:rFonts w:ascii="Arial" w:hAnsi="Arial"/>
                        <w:b/>
                        <w:color w:val="003300"/>
                        <w:spacing w:val="-4"/>
                        <w:sz w:val="18"/>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4032">
              <wp:simplePos x="0" y="0"/>
              <wp:positionH relativeFrom="page">
                <wp:posOffset>896111</wp:posOffset>
              </wp:positionH>
              <wp:positionV relativeFrom="page">
                <wp:posOffset>7028688</wp:posOffset>
              </wp:positionV>
              <wp:extent cx="8266430" cy="1270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32448" id="docshape260"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84544">
              <wp:simplePos x="0" y="0"/>
              <wp:positionH relativeFrom="page">
                <wp:posOffset>4393184</wp:posOffset>
              </wp:positionH>
              <wp:positionV relativeFrom="page">
                <wp:posOffset>7043579</wp:posOffset>
              </wp:positionV>
              <wp:extent cx="1271905" cy="28448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1271905" cy="284480"/>
                      </a:xfrm>
                      <a:prstGeom prst="rect">
                        <a:avLst/>
                      </a:prstGeom>
                    </wps:spPr>
                    <wps:txbx>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159</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345.920013pt;margin-top:554.612549pt;width:100.15pt;height:22.4pt;mso-position-horizontal-relative:page;mso-position-vertical-relative:page;z-index:-29031936" type="#_x0000_t202" id="docshape261" filled="false" stroked="false">
              <v:textbox inset="0,0,0,0">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159</w:t>
                    </w:r>
                    <w:r>
                      <w:rPr>
                        <w:rFonts w:ascii="Arial" w:hAnsi="Arial"/>
                        <w:b/>
                        <w:color w:val="003300"/>
                        <w:spacing w:val="-4"/>
                        <w:sz w:val="18"/>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5056">
              <wp:simplePos x="0" y="0"/>
              <wp:positionH relativeFrom="page">
                <wp:posOffset>896111</wp:posOffset>
              </wp:positionH>
              <wp:positionV relativeFrom="page">
                <wp:posOffset>7028688</wp:posOffset>
              </wp:positionV>
              <wp:extent cx="8266430" cy="1270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31424" id="docshape262"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85568">
              <wp:simplePos x="0" y="0"/>
              <wp:positionH relativeFrom="page">
                <wp:posOffset>4393184</wp:posOffset>
              </wp:positionH>
              <wp:positionV relativeFrom="page">
                <wp:posOffset>7043579</wp:posOffset>
              </wp:positionV>
              <wp:extent cx="1271905" cy="28448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1271905" cy="284480"/>
                      </a:xfrm>
                      <a:prstGeom prst="rect">
                        <a:avLst/>
                      </a:prstGeom>
                    </wps:spPr>
                    <wps:txbx>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160</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345.920013pt;margin-top:554.612549pt;width:100.15pt;height:22.4pt;mso-position-horizontal-relative:page;mso-position-vertical-relative:page;z-index:-29030912" type="#_x0000_t202" id="docshape263" filled="false" stroked="false">
              <v:textbox inset="0,0,0,0">
                <w:txbxContent>
                  <w:p>
                    <w:pPr>
                      <w:spacing w:before="14"/>
                      <w:ind w:left="850" w:right="0" w:hanging="831"/>
                      <w:jc w:val="left"/>
                      <w:rPr>
                        <w:rFonts w:ascii="Arial" w:hAnsi="Arial"/>
                        <w:b/>
                        <w:sz w:val="18"/>
                      </w:rPr>
                    </w:pPr>
                    <w:r>
                      <w:rPr>
                        <w:rFonts w:ascii="Arial" w:hAnsi="Arial"/>
                        <w:b/>
                        <w:color w:val="003300"/>
                        <w:sz w:val="18"/>
                      </w:rPr>
                      <w:t>Chapter</w:t>
                    </w:r>
                    <w:r>
                      <w:rPr>
                        <w:rFonts w:ascii="Arial" w:hAnsi="Arial"/>
                        <w:b/>
                        <w:color w:val="003300"/>
                        <w:spacing w:val="-12"/>
                        <w:sz w:val="18"/>
                      </w:rPr>
                      <w:t> </w:t>
                    </w:r>
                    <w:r>
                      <w:rPr>
                        <w:rFonts w:ascii="Arial" w:hAnsi="Arial"/>
                        <w:b/>
                        <w:color w:val="003300"/>
                        <w:sz w:val="18"/>
                      </w:rPr>
                      <w:t>4</w:t>
                    </w:r>
                    <w:r>
                      <w:rPr>
                        <w:rFonts w:ascii="Arial" w:hAnsi="Arial"/>
                        <w:b/>
                        <w:color w:val="003300"/>
                        <w:spacing w:val="-11"/>
                        <w:sz w:val="18"/>
                      </w:rPr>
                      <w:t> </w:t>
                    </w:r>
                    <w:r>
                      <w:rPr>
                        <w:rFonts w:ascii="Arial" w:hAnsi="Arial"/>
                        <w:b/>
                        <w:color w:val="003300"/>
                        <w:sz w:val="18"/>
                      </w:rPr>
                      <w:t>–</w:t>
                    </w:r>
                    <w:r>
                      <w:rPr>
                        <w:rFonts w:ascii="Arial" w:hAnsi="Arial"/>
                        <w:b/>
                        <w:color w:val="003300"/>
                        <w:spacing w:val="-13"/>
                        <w:sz w:val="18"/>
                      </w:rPr>
                      <w:t> </w:t>
                    </w:r>
                    <w:r>
                      <w:rPr>
                        <w:rFonts w:ascii="Arial" w:hAnsi="Arial"/>
                        <w:b/>
                        <w:color w:val="003300"/>
                        <w:sz w:val="18"/>
                      </w:rPr>
                      <w:t>Monitoring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160</w:t>
                    </w:r>
                    <w:r>
                      <w:rPr>
                        <w:rFonts w:ascii="Arial" w:hAnsi="Arial"/>
                        <w:b/>
                        <w:color w:val="003300"/>
                        <w:spacing w:val="-4"/>
                        <w:sz w:val="18"/>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8128">
              <wp:simplePos x="0" y="0"/>
              <wp:positionH relativeFrom="page">
                <wp:posOffset>3614928</wp:posOffset>
              </wp:positionH>
              <wp:positionV relativeFrom="page">
                <wp:posOffset>9460643</wp:posOffset>
              </wp:positionV>
              <wp:extent cx="281305" cy="153670"/>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a:off x="0" y="0"/>
                        <a:ext cx="281305"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168</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84.640015pt;margin-top:744.932556pt;width:22.15pt;height:12.1pt;mso-position-horizontal-relative:page;mso-position-vertical-relative:page;z-index:-29028352" type="#_x0000_t202" id="docshape268"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168</w:t>
                    </w:r>
                    <w:r>
                      <w:rPr>
                        <w:rFonts w:ascii="Arial"/>
                        <w:b/>
                        <w:color w:val="003300"/>
                        <w:spacing w:val="-5"/>
                        <w:sz w:val="18"/>
                        <w:shd w:fill="E6E6E6" w:color="auto" w:val="clear"/>
                      </w:rPr>
                      <w:fldChar w:fldCharType="end"/>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8640">
              <wp:simplePos x="0" y="0"/>
              <wp:positionH relativeFrom="page">
                <wp:posOffset>1170432</wp:posOffset>
              </wp:positionH>
              <wp:positionV relativeFrom="page">
                <wp:posOffset>9314688</wp:posOffset>
              </wp:positionV>
              <wp:extent cx="5706110" cy="1270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9027840" id="docshape269"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89152">
              <wp:simplePos x="0" y="0"/>
              <wp:positionH relativeFrom="page">
                <wp:posOffset>2657348</wp:posOffset>
              </wp:positionH>
              <wp:positionV relativeFrom="page">
                <wp:posOffset>9329579</wp:posOffset>
              </wp:positionV>
              <wp:extent cx="2731770" cy="28448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a:off x="0" y="0"/>
                        <a:ext cx="2731770" cy="284480"/>
                      </a:xfrm>
                      <a:prstGeom prst="rect">
                        <a:avLst/>
                      </a:prstGeom>
                    </wps:spPr>
                    <wps:txbx>
                      <w:txbxContent>
                        <w:p>
                          <w:pPr>
                            <w:spacing w:before="14"/>
                            <w:ind w:left="2000" w:right="18" w:hanging="1980"/>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A</w:t>
                          </w:r>
                          <w:r>
                            <w:rPr>
                              <w:rFonts w:ascii="Arial" w:hAnsi="Arial"/>
                              <w:b/>
                              <w:color w:val="003300"/>
                              <w:spacing w:val="-9"/>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Consistency</w:t>
                          </w:r>
                          <w:r>
                            <w:rPr>
                              <w:rFonts w:ascii="Arial" w:hAnsi="Arial"/>
                              <w:b/>
                              <w:color w:val="003300"/>
                              <w:spacing w:val="-9"/>
                              <w:sz w:val="18"/>
                            </w:rPr>
                            <w:t> </w:t>
                          </w:r>
                          <w:r>
                            <w:rPr>
                              <w:rFonts w:ascii="Arial" w:hAnsi="Arial"/>
                              <w:b/>
                              <w:color w:val="003300"/>
                              <w:sz w:val="18"/>
                            </w:rPr>
                            <w:t>with</w:t>
                          </w:r>
                          <w:r>
                            <w:rPr>
                              <w:rFonts w:ascii="Arial" w:hAnsi="Arial"/>
                              <w:b/>
                              <w:color w:val="003300"/>
                              <w:spacing w:val="-6"/>
                              <w:sz w:val="18"/>
                            </w:rPr>
                            <w:t> </w:t>
                          </w:r>
                          <w:r>
                            <w:rPr>
                              <w:rFonts w:ascii="Arial" w:hAnsi="Arial"/>
                              <w:b/>
                              <w:color w:val="003300"/>
                              <w:sz w:val="18"/>
                            </w:rPr>
                            <w:t>Plan</w:t>
                          </w:r>
                          <w:r>
                            <w:rPr>
                              <w:rFonts w:ascii="Arial" w:hAnsi="Arial"/>
                              <w:b/>
                              <w:color w:val="003300"/>
                              <w:spacing w:val="-6"/>
                              <w:sz w:val="18"/>
                            </w:rPr>
                            <w:t> </w:t>
                          </w:r>
                          <w:r>
                            <w:rPr>
                              <w:rFonts w:ascii="Arial" w:hAnsi="Arial"/>
                              <w:b/>
                              <w:color w:val="003300"/>
                              <w:sz w:val="18"/>
                            </w:rPr>
                            <w:t>Components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169</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09.240005pt;margin-top:734.612549pt;width:215.1pt;height:22.4pt;mso-position-horizontal-relative:page;mso-position-vertical-relative:page;z-index:-29027328" type="#_x0000_t202" id="docshape270" filled="false" stroked="false">
              <v:textbox inset="0,0,0,0">
                <w:txbxContent>
                  <w:p>
                    <w:pPr>
                      <w:spacing w:before="14"/>
                      <w:ind w:left="2000" w:right="18" w:hanging="1980"/>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A</w:t>
                    </w:r>
                    <w:r>
                      <w:rPr>
                        <w:rFonts w:ascii="Arial" w:hAnsi="Arial"/>
                        <w:b/>
                        <w:color w:val="003300"/>
                        <w:spacing w:val="-9"/>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Consistency</w:t>
                    </w:r>
                    <w:r>
                      <w:rPr>
                        <w:rFonts w:ascii="Arial" w:hAnsi="Arial"/>
                        <w:b/>
                        <w:color w:val="003300"/>
                        <w:spacing w:val="-9"/>
                        <w:sz w:val="18"/>
                      </w:rPr>
                      <w:t> </w:t>
                    </w:r>
                    <w:r>
                      <w:rPr>
                        <w:rFonts w:ascii="Arial" w:hAnsi="Arial"/>
                        <w:b/>
                        <w:color w:val="003300"/>
                        <w:sz w:val="18"/>
                      </w:rPr>
                      <w:t>with</w:t>
                    </w:r>
                    <w:r>
                      <w:rPr>
                        <w:rFonts w:ascii="Arial" w:hAnsi="Arial"/>
                        <w:b/>
                        <w:color w:val="003300"/>
                        <w:spacing w:val="-6"/>
                        <w:sz w:val="18"/>
                      </w:rPr>
                      <w:t> </w:t>
                    </w:r>
                    <w:r>
                      <w:rPr>
                        <w:rFonts w:ascii="Arial" w:hAnsi="Arial"/>
                        <w:b/>
                        <w:color w:val="003300"/>
                        <w:sz w:val="18"/>
                      </w:rPr>
                      <w:t>Plan</w:t>
                    </w:r>
                    <w:r>
                      <w:rPr>
                        <w:rFonts w:ascii="Arial" w:hAnsi="Arial"/>
                        <w:b/>
                        <w:color w:val="003300"/>
                        <w:spacing w:val="-6"/>
                        <w:sz w:val="18"/>
                      </w:rPr>
                      <w:t> </w:t>
                    </w:r>
                    <w:r>
                      <w:rPr>
                        <w:rFonts w:ascii="Arial" w:hAnsi="Arial"/>
                        <w:b/>
                        <w:color w:val="003300"/>
                        <w:sz w:val="18"/>
                      </w:rPr>
                      <w:t>Components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169</w:t>
                    </w:r>
                    <w:r>
                      <w:rPr>
                        <w:rFonts w:ascii="Arial" w:hAnsi="Arial"/>
                        <w:b/>
                        <w:color w:val="003300"/>
                        <w:spacing w:val="-4"/>
                        <w:sz w:val="18"/>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1712">
              <wp:simplePos x="0" y="0"/>
              <wp:positionH relativeFrom="page">
                <wp:posOffset>896111</wp:posOffset>
              </wp:positionH>
              <wp:positionV relativeFrom="page">
                <wp:posOffset>9314688</wp:posOffset>
              </wp:positionV>
              <wp:extent cx="5706110" cy="12700"/>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49.28pt;height:.96pt;mso-position-horizontal-relative:page;mso-position-vertical-relative:page;z-index:-29024768" id="docshape27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92224">
              <wp:simplePos x="0" y="0"/>
              <wp:positionH relativeFrom="page">
                <wp:posOffset>2131567</wp:posOffset>
              </wp:positionH>
              <wp:positionV relativeFrom="page">
                <wp:posOffset>9329579</wp:posOffset>
              </wp:positionV>
              <wp:extent cx="3233420" cy="28448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a:off x="0" y="0"/>
                        <a:ext cx="3233420" cy="284480"/>
                      </a:xfrm>
                      <a:prstGeom prst="rect">
                        <a:avLst/>
                      </a:prstGeom>
                    </wps:spPr>
                    <wps:txbx>
                      <w:txbxContent>
                        <w:p>
                          <w:pPr>
                            <w:spacing w:before="14"/>
                            <w:ind w:left="2395"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172</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67.839996pt;margin-top:734.612549pt;width:254.6pt;height:22.4pt;mso-position-horizontal-relative:page;mso-position-vertical-relative:page;z-index:-29024256" type="#_x0000_t202" id="docshape278" filled="false" stroked="false">
              <v:textbox inset="0,0,0,0">
                <w:txbxContent>
                  <w:p>
                    <w:pPr>
                      <w:spacing w:before="14"/>
                      <w:ind w:left="2395"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172</w:t>
                    </w:r>
                    <w:r>
                      <w:rPr>
                        <w:rFonts w:ascii="Arial" w:hAnsi="Arial"/>
                        <w:b/>
                        <w:color w:val="003300"/>
                        <w:spacing w:val="-4"/>
                        <w:sz w:val="18"/>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2736">
              <wp:simplePos x="0" y="0"/>
              <wp:positionH relativeFrom="page">
                <wp:posOffset>1170432</wp:posOffset>
              </wp:positionH>
              <wp:positionV relativeFrom="page">
                <wp:posOffset>9314688</wp:posOffset>
              </wp:positionV>
              <wp:extent cx="5706110" cy="12700"/>
              <wp:effectExtent l="0" t="0" r="0" b="0"/>
              <wp:wrapNone/>
              <wp:docPr id="295" name="Graphic 295"/>
              <wp:cNvGraphicFramePr>
                <a:graphicFrameLocks/>
              </wp:cNvGraphicFramePr>
              <a:graphic>
                <a:graphicData uri="http://schemas.microsoft.com/office/word/2010/wordprocessingShape">
                  <wps:wsp>
                    <wps:cNvPr id="295" name="Graphic 295"/>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9023744" id="docshape279"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93248">
              <wp:simplePos x="0" y="0"/>
              <wp:positionH relativeFrom="page">
                <wp:posOffset>2405888</wp:posOffset>
              </wp:positionH>
              <wp:positionV relativeFrom="page">
                <wp:posOffset>9329579</wp:posOffset>
              </wp:positionV>
              <wp:extent cx="3233420" cy="28448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a:off x="0" y="0"/>
                        <a:ext cx="3233420" cy="284480"/>
                      </a:xfrm>
                      <a:prstGeom prst="rect">
                        <a:avLst/>
                      </a:prstGeom>
                    </wps:spPr>
                    <wps:txbx>
                      <w:txbxContent>
                        <w:p>
                          <w:pPr>
                            <w:spacing w:before="14"/>
                            <w:ind w:left="2396"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173</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89.440002pt;margin-top:734.612549pt;width:254.6pt;height:22.4pt;mso-position-horizontal-relative:page;mso-position-vertical-relative:page;z-index:-29023232" type="#_x0000_t202" id="docshape280" filled="false" stroked="false">
              <v:textbox inset="0,0,0,0">
                <w:txbxContent>
                  <w:p>
                    <w:pPr>
                      <w:spacing w:before="14"/>
                      <w:ind w:left="2396"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173</w:t>
                    </w:r>
                    <w:r>
                      <w:rPr>
                        <w:rFonts w:ascii="Arial" w:hAnsi="Arial"/>
                        <w:b/>
                        <w:color w:val="003300"/>
                        <w:spacing w:val="-4"/>
                        <w:sz w:val="18"/>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5808">
              <wp:simplePos x="0" y="0"/>
              <wp:positionH relativeFrom="page">
                <wp:posOffset>896111</wp:posOffset>
              </wp:positionH>
              <wp:positionV relativeFrom="page">
                <wp:posOffset>9314688</wp:posOffset>
              </wp:positionV>
              <wp:extent cx="5706110" cy="12700"/>
              <wp:effectExtent l="0" t="0" r="0" b="0"/>
              <wp:wrapNone/>
              <wp:docPr id="304" name="Graphic 304"/>
              <wp:cNvGraphicFramePr>
                <a:graphicFrameLocks/>
              </wp:cNvGraphicFramePr>
              <a:graphic>
                <a:graphicData uri="http://schemas.microsoft.com/office/word/2010/wordprocessingShape">
                  <wps:wsp>
                    <wps:cNvPr id="304" name="Graphic 304"/>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49.28pt;height:.96pt;mso-position-horizontal-relative:page;mso-position-vertical-relative:page;z-index:-29020672" id="docshape288"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96320">
              <wp:simplePos x="0" y="0"/>
              <wp:positionH relativeFrom="page">
                <wp:posOffset>2131567</wp:posOffset>
              </wp:positionH>
              <wp:positionV relativeFrom="page">
                <wp:posOffset>9329579</wp:posOffset>
              </wp:positionV>
              <wp:extent cx="3233420" cy="284480"/>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3233420" cy="284480"/>
                      </a:xfrm>
                      <a:prstGeom prst="rect">
                        <a:avLst/>
                      </a:prstGeom>
                    </wps:spPr>
                    <wps:txbx>
                      <w:txbxContent>
                        <w:p>
                          <w:pPr>
                            <w:spacing w:before="14"/>
                            <w:ind w:left="2395"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180</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67.839996pt;margin-top:734.612549pt;width:254.6pt;height:22.4pt;mso-position-horizontal-relative:page;mso-position-vertical-relative:page;z-index:-29020160" type="#_x0000_t202" id="docshape289" filled="false" stroked="false">
              <v:textbox inset="0,0,0,0">
                <w:txbxContent>
                  <w:p>
                    <w:pPr>
                      <w:spacing w:before="14"/>
                      <w:ind w:left="2395"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180</w:t>
                    </w:r>
                    <w:r>
                      <w:rPr>
                        <w:rFonts w:ascii="Arial" w:hAnsi="Arial"/>
                        <w:b/>
                        <w:color w:val="003300"/>
                        <w:spacing w:val="-4"/>
                        <w:sz w:val="18"/>
                      </w:rPr>
                      <w:fldChar w:fldCharType="end"/>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6832">
              <wp:simplePos x="0" y="0"/>
              <wp:positionH relativeFrom="page">
                <wp:posOffset>1170432</wp:posOffset>
              </wp:positionH>
              <wp:positionV relativeFrom="page">
                <wp:posOffset>9314688</wp:posOffset>
              </wp:positionV>
              <wp:extent cx="5706110" cy="12700"/>
              <wp:effectExtent l="0" t="0" r="0" b="0"/>
              <wp:wrapNone/>
              <wp:docPr id="306" name="Graphic 306"/>
              <wp:cNvGraphicFramePr>
                <a:graphicFrameLocks/>
              </wp:cNvGraphicFramePr>
              <a:graphic>
                <a:graphicData uri="http://schemas.microsoft.com/office/word/2010/wordprocessingShape">
                  <wps:wsp>
                    <wps:cNvPr id="306" name="Graphic 306"/>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9019648" id="docshape290"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97344">
              <wp:simplePos x="0" y="0"/>
              <wp:positionH relativeFrom="page">
                <wp:posOffset>2405888</wp:posOffset>
              </wp:positionH>
              <wp:positionV relativeFrom="page">
                <wp:posOffset>9329579</wp:posOffset>
              </wp:positionV>
              <wp:extent cx="3233420" cy="284480"/>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3233420" cy="284480"/>
                      </a:xfrm>
                      <a:prstGeom prst="rect">
                        <a:avLst/>
                      </a:prstGeom>
                    </wps:spPr>
                    <wps:txbx>
                      <w:txbxContent>
                        <w:p>
                          <w:pPr>
                            <w:spacing w:before="14"/>
                            <w:ind w:left="2396"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181</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189.440002pt;margin-top:734.612549pt;width:254.6pt;height:22.4pt;mso-position-horizontal-relative:page;mso-position-vertical-relative:page;z-index:-29019136" type="#_x0000_t202" id="docshape291" filled="false" stroked="false">
              <v:textbox inset="0,0,0,0">
                <w:txbxContent>
                  <w:p>
                    <w:pPr>
                      <w:spacing w:before="14"/>
                      <w:ind w:left="2396" w:right="0" w:hanging="2376"/>
                      <w:jc w:val="left"/>
                      <w:rPr>
                        <w:rFonts w:ascii="Arial" w:hAnsi="Arial"/>
                        <w:b/>
                        <w:sz w:val="18"/>
                      </w:rPr>
                    </w:pPr>
                    <w:r>
                      <w:rPr>
                        <w:rFonts w:ascii="Arial" w:hAnsi="Arial"/>
                        <w:b/>
                        <w:color w:val="003300"/>
                        <w:sz w:val="18"/>
                      </w:rPr>
                      <w:t>Appendix</w:t>
                    </w:r>
                    <w:r>
                      <w:rPr>
                        <w:rFonts w:ascii="Arial" w:hAnsi="Arial"/>
                        <w:b/>
                        <w:color w:val="003300"/>
                        <w:spacing w:val="-5"/>
                        <w:sz w:val="18"/>
                      </w:rPr>
                      <w:t> </w:t>
                    </w:r>
                    <w:r>
                      <w:rPr>
                        <w:rFonts w:ascii="Arial" w:hAnsi="Arial"/>
                        <w:b/>
                        <w:color w:val="003300"/>
                        <w:sz w:val="18"/>
                      </w:rPr>
                      <w:t>B</w:t>
                    </w:r>
                    <w:r>
                      <w:rPr>
                        <w:rFonts w:ascii="Arial" w:hAnsi="Arial"/>
                        <w:b/>
                        <w:color w:val="003300"/>
                        <w:spacing w:val="-6"/>
                        <w:sz w:val="18"/>
                      </w:rPr>
                      <w:t> </w:t>
                    </w:r>
                    <w:r>
                      <w:rPr>
                        <w:rFonts w:ascii="Arial" w:hAnsi="Arial"/>
                        <w:b/>
                        <w:color w:val="003300"/>
                        <w:sz w:val="18"/>
                      </w:rPr>
                      <w:t>–</w:t>
                    </w:r>
                    <w:r>
                      <w:rPr>
                        <w:rFonts w:ascii="Arial" w:hAnsi="Arial"/>
                        <w:b/>
                        <w:color w:val="003300"/>
                        <w:spacing w:val="-5"/>
                        <w:sz w:val="18"/>
                      </w:rPr>
                      <w:t> </w:t>
                    </w:r>
                    <w:r>
                      <w:rPr>
                        <w:rFonts w:ascii="Arial" w:hAnsi="Arial"/>
                        <w:b/>
                        <w:color w:val="003300"/>
                        <w:sz w:val="18"/>
                      </w:rPr>
                      <w:t>Proposed</w:t>
                    </w:r>
                    <w:r>
                      <w:rPr>
                        <w:rFonts w:ascii="Arial" w:hAnsi="Arial"/>
                        <w:b/>
                        <w:color w:val="003300"/>
                        <w:spacing w:val="-6"/>
                        <w:sz w:val="18"/>
                      </w:rPr>
                      <w:t> </w:t>
                    </w:r>
                    <w:r>
                      <w:rPr>
                        <w:rFonts w:ascii="Arial" w:hAnsi="Arial"/>
                        <w:b/>
                        <w:color w:val="003300"/>
                        <w:sz w:val="18"/>
                      </w:rPr>
                      <w:t>and</w:t>
                    </w:r>
                    <w:r>
                      <w:rPr>
                        <w:rFonts w:ascii="Arial" w:hAnsi="Arial"/>
                        <w:b/>
                        <w:color w:val="003300"/>
                        <w:spacing w:val="-8"/>
                        <w:sz w:val="18"/>
                      </w:rPr>
                      <w:t> </w:t>
                    </w:r>
                    <w:r>
                      <w:rPr>
                        <w:rFonts w:ascii="Arial" w:hAnsi="Arial"/>
                        <w:b/>
                        <w:color w:val="003300"/>
                        <w:sz w:val="18"/>
                      </w:rPr>
                      <w:t>Possible</w:t>
                    </w:r>
                    <w:r>
                      <w:rPr>
                        <w:rFonts w:ascii="Arial" w:hAnsi="Arial"/>
                        <w:b/>
                        <w:color w:val="003300"/>
                        <w:spacing w:val="-5"/>
                        <w:sz w:val="18"/>
                      </w:rPr>
                      <w:t> </w:t>
                    </w:r>
                    <w:r>
                      <w:rPr>
                        <w:rFonts w:ascii="Arial" w:hAnsi="Arial"/>
                        <w:b/>
                        <w:color w:val="003300"/>
                        <w:sz w:val="18"/>
                      </w:rPr>
                      <w:t>Management</w:t>
                    </w:r>
                    <w:r>
                      <w:rPr>
                        <w:rFonts w:ascii="Arial" w:hAnsi="Arial"/>
                        <w:b/>
                        <w:color w:val="003300"/>
                        <w:spacing w:val="-6"/>
                        <w:sz w:val="18"/>
                      </w:rPr>
                      <w:t> </w:t>
                    </w:r>
                    <w:r>
                      <w:rPr>
                        <w:rFonts w:ascii="Arial" w:hAnsi="Arial"/>
                        <w:b/>
                        <w:color w:val="003300"/>
                        <w:sz w:val="18"/>
                      </w:rPr>
                      <w:t>Actions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181</w:t>
                    </w:r>
                    <w:r>
                      <w:rPr>
                        <w:rFonts w:ascii="Arial" w:hAnsi="Arial"/>
                        <w:b/>
                        <w:color w:val="003300"/>
                        <w:spacing w:val="-4"/>
                        <w:sz w:val="18"/>
                      </w:rPr>
                      <w:fldChar w:fldCharType="end"/>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9904">
              <wp:simplePos x="0" y="0"/>
              <wp:positionH relativeFrom="page">
                <wp:posOffset>1170432</wp:posOffset>
              </wp:positionH>
              <wp:positionV relativeFrom="page">
                <wp:posOffset>9314688</wp:posOffset>
              </wp:positionV>
              <wp:extent cx="5706110" cy="12700"/>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9016576" id="docshape296"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0416">
              <wp:simplePos x="0" y="0"/>
              <wp:positionH relativeFrom="page">
                <wp:posOffset>1948688</wp:posOffset>
              </wp:positionH>
              <wp:positionV relativeFrom="page">
                <wp:posOffset>9329579</wp:posOffset>
              </wp:positionV>
              <wp:extent cx="4149725" cy="284480"/>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4149725" cy="284480"/>
                      </a:xfrm>
                      <a:prstGeom prst="rect">
                        <a:avLst/>
                      </a:prstGeom>
                    </wps:spPr>
                    <wps:txbx>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185</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153.440002pt;margin-top:734.612549pt;width:326.75pt;height:22.4pt;mso-position-horizontal-relative:page;mso-position-vertical-relative:page;z-index:-29016064" type="#_x0000_t202" id="docshape297" filled="false" stroked="false">
              <v:textbox inset="0,0,0,0">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185</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0928">
              <wp:simplePos x="0" y="0"/>
              <wp:positionH relativeFrom="page">
                <wp:posOffset>896111</wp:posOffset>
              </wp:positionH>
              <wp:positionV relativeFrom="page">
                <wp:posOffset>7028688</wp:posOffset>
              </wp:positionV>
              <wp:extent cx="8266430" cy="1270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15552" id="docshape298"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1440">
              <wp:simplePos x="0" y="0"/>
              <wp:positionH relativeFrom="page">
                <wp:posOffset>2954527</wp:posOffset>
              </wp:positionH>
              <wp:positionV relativeFrom="page">
                <wp:posOffset>7043579</wp:posOffset>
              </wp:positionV>
              <wp:extent cx="4149725" cy="28448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4149725" cy="284480"/>
                      </a:xfrm>
                      <a:prstGeom prst="rect">
                        <a:avLst/>
                      </a:prstGeom>
                    </wps:spPr>
                    <wps:txbx>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186</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32.639999pt;margin-top:554.612549pt;width:326.75pt;height:22.4pt;mso-position-horizontal-relative:page;mso-position-vertical-relative:page;z-index:-29015040" type="#_x0000_t202" id="docshape299" filled="false" stroked="false">
              <v:textbox inset="0,0,0,0">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186</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4000">
              <wp:simplePos x="0" y="0"/>
              <wp:positionH relativeFrom="page">
                <wp:posOffset>896111</wp:posOffset>
              </wp:positionH>
              <wp:positionV relativeFrom="page">
                <wp:posOffset>7028688</wp:posOffset>
              </wp:positionV>
              <wp:extent cx="8266430" cy="12700"/>
              <wp:effectExtent l="0" t="0" r="0" b="0"/>
              <wp:wrapNone/>
              <wp:docPr id="321" name="Graphic 321"/>
              <wp:cNvGraphicFramePr>
                <a:graphicFrameLocks/>
              </wp:cNvGraphicFramePr>
              <a:graphic>
                <a:graphicData uri="http://schemas.microsoft.com/office/word/2010/wordprocessingShape">
                  <wps:wsp>
                    <wps:cNvPr id="321" name="Graphic 321"/>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12480" id="docshape30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4512">
              <wp:simplePos x="0" y="0"/>
              <wp:positionH relativeFrom="page">
                <wp:posOffset>2954527</wp:posOffset>
              </wp:positionH>
              <wp:positionV relativeFrom="page">
                <wp:posOffset>7043579</wp:posOffset>
              </wp:positionV>
              <wp:extent cx="4149725" cy="284480"/>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a:off x="0" y="0"/>
                        <a:ext cx="4149725" cy="284480"/>
                      </a:xfrm>
                      <a:prstGeom prst="rect">
                        <a:avLst/>
                      </a:prstGeom>
                    </wps:spPr>
                    <wps:txbx>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187</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32.639999pt;margin-top:554.612549pt;width:326.75pt;height:22.4pt;mso-position-horizontal-relative:page;mso-position-vertical-relative:page;z-index:-29011968" type="#_x0000_t202" id="docshape306" filled="false" stroked="false">
              <v:textbox inset="0,0,0,0">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187</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5024">
              <wp:simplePos x="0" y="0"/>
              <wp:positionH relativeFrom="page">
                <wp:posOffset>896111</wp:posOffset>
              </wp:positionH>
              <wp:positionV relativeFrom="page">
                <wp:posOffset>7028688</wp:posOffset>
              </wp:positionV>
              <wp:extent cx="8266430" cy="1270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9011456" id="docshape30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5536">
              <wp:simplePos x="0" y="0"/>
              <wp:positionH relativeFrom="page">
                <wp:posOffset>2954527</wp:posOffset>
              </wp:positionH>
              <wp:positionV relativeFrom="page">
                <wp:posOffset>7043579</wp:posOffset>
              </wp:positionV>
              <wp:extent cx="4149725" cy="284480"/>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4149725" cy="284480"/>
                      </a:xfrm>
                      <a:prstGeom prst="rect">
                        <a:avLst/>
                      </a:prstGeom>
                    </wps:spPr>
                    <wps:txbx>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188</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32.639999pt;margin-top:554.612549pt;width:326.75pt;height:22.4pt;mso-position-horizontal-relative:page;mso-position-vertical-relative:page;z-index:-29010944" type="#_x0000_t202" id="docshape308" filled="false" stroked="false">
              <v:textbox inset="0,0,0,0">
                <w:txbxContent>
                  <w:p>
                    <w:pPr>
                      <w:spacing w:before="14"/>
                      <w:ind w:left="3116" w:right="0" w:hanging="3096"/>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C</w:t>
                    </w:r>
                    <w:r>
                      <w:rPr>
                        <w:rFonts w:ascii="Arial" w:hAnsi="Arial"/>
                        <w:b/>
                        <w:color w:val="003300"/>
                        <w:spacing w:val="-3"/>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Wildlife,</w:t>
                    </w:r>
                    <w:r>
                      <w:rPr>
                        <w:rFonts w:ascii="Arial" w:hAnsi="Arial"/>
                        <w:b/>
                        <w:color w:val="003300"/>
                        <w:spacing w:val="-5"/>
                        <w:sz w:val="18"/>
                        <w:shd w:fill="E6E6E6" w:color="auto" w:val="clear"/>
                      </w:rPr>
                      <w:t> </w:t>
                    </w:r>
                    <w:r>
                      <w:rPr>
                        <w:rFonts w:ascii="Arial" w:hAnsi="Arial"/>
                        <w:b/>
                        <w:color w:val="003300"/>
                        <w:sz w:val="18"/>
                        <w:shd w:fill="E6E6E6" w:color="auto" w:val="clear"/>
                      </w:rPr>
                      <w:t>Fish</w:t>
                    </w:r>
                    <w:r>
                      <w:rPr>
                        <w:rFonts w:ascii="Arial" w:hAnsi="Arial"/>
                        <w:b/>
                        <w:color w:val="003300"/>
                        <w:spacing w:val="-7"/>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Plant</w:t>
                    </w:r>
                    <w:r>
                      <w:rPr>
                        <w:rFonts w:ascii="Arial" w:hAnsi="Arial"/>
                        <w:b/>
                        <w:color w:val="003300"/>
                        <w:spacing w:val="-5"/>
                        <w:sz w:val="18"/>
                        <w:shd w:fill="E6E6E6" w:color="auto" w:val="clear"/>
                      </w:rPr>
                      <w:t> </w:t>
                    </w:r>
                    <w:r>
                      <w:rPr>
                        <w:rFonts w:ascii="Arial" w:hAnsi="Arial"/>
                        <w:b/>
                        <w:color w:val="003300"/>
                        <w:sz w:val="18"/>
                        <w:shd w:fill="E6E6E6" w:color="auto" w:val="clear"/>
                      </w:rPr>
                      <w:t>Species</w:t>
                    </w:r>
                    <w:r>
                      <w:rPr>
                        <w:rFonts w:ascii="Arial" w:hAnsi="Arial"/>
                        <w:b/>
                        <w:color w:val="003300"/>
                        <w:spacing w:val="-2"/>
                        <w:sz w:val="18"/>
                        <w:shd w:fill="E6E6E6" w:color="auto" w:val="clear"/>
                      </w:rPr>
                      <w:t> </w:t>
                    </w:r>
                    <w:r>
                      <w:rPr>
                        <w:rFonts w:ascii="Arial" w:hAnsi="Arial"/>
                        <w:b/>
                        <w:color w:val="003300"/>
                        <w:sz w:val="18"/>
                        <w:shd w:fill="E6E6E6" w:color="auto" w:val="clear"/>
                      </w:rPr>
                      <w:t>of</w:t>
                    </w:r>
                    <w:r>
                      <w:rPr>
                        <w:rFonts w:ascii="Arial" w:hAnsi="Arial"/>
                        <w:b/>
                        <w:color w:val="003300"/>
                        <w:spacing w:val="-5"/>
                        <w:sz w:val="18"/>
                        <w:shd w:fill="E6E6E6" w:color="auto" w:val="clear"/>
                      </w:rPr>
                      <w:t> </w:t>
                    </w:r>
                    <w:r>
                      <w:rPr>
                        <w:rFonts w:ascii="Arial" w:hAnsi="Arial"/>
                        <w:b/>
                        <w:color w:val="003300"/>
                        <w:sz w:val="18"/>
                        <w:shd w:fill="E6E6E6" w:color="auto" w:val="clear"/>
                      </w:rPr>
                      <w:t>the</w:t>
                    </w:r>
                    <w:r>
                      <w:rPr>
                        <w:rFonts w:ascii="Arial" w:hAnsi="Arial"/>
                        <w:b/>
                        <w:color w:val="003300"/>
                        <w:spacing w:val="-2"/>
                        <w:sz w:val="18"/>
                        <w:shd w:fill="E6E6E6" w:color="auto" w:val="clear"/>
                      </w:rPr>
                      <w:t> </w:t>
                    </w:r>
                    <w:r>
                      <w:rPr>
                        <w:rFonts w:ascii="Arial" w:hAnsi="Arial"/>
                        <w:b/>
                        <w:color w:val="003300"/>
                        <w:sz w:val="18"/>
                        <w:shd w:fill="E6E6E6" w:color="auto" w:val="clear"/>
                      </w:rPr>
                      <w:t>Colville</w:t>
                    </w:r>
                    <w:r>
                      <w:rPr>
                        <w:rFonts w:ascii="Arial" w:hAnsi="Arial"/>
                        <w:b/>
                        <w:color w:val="003300"/>
                        <w:spacing w:val="-2"/>
                        <w:sz w:val="18"/>
                        <w:shd w:fill="E6E6E6" w:color="auto" w:val="clear"/>
                      </w:rPr>
                      <w:t> </w:t>
                    </w:r>
                    <w:r>
                      <w:rPr>
                        <w:rFonts w:ascii="Arial" w:hAnsi="Arial"/>
                        <w:b/>
                        <w:color w:val="003300"/>
                        <w:sz w:val="18"/>
                        <w:shd w:fill="E6E6E6" w:color="auto" w:val="clear"/>
                      </w:rPr>
                      <w:t>National</w:t>
                    </w:r>
                    <w:r>
                      <w:rPr>
                        <w:rFonts w:ascii="Arial" w:hAnsi="Arial"/>
                        <w:b/>
                        <w:color w:val="003300"/>
                        <w:spacing w:val="-5"/>
                        <w:sz w:val="18"/>
                        <w:shd w:fill="E6E6E6" w:color="auto" w:val="clear"/>
                      </w:rPr>
                      <w:t> </w:t>
                    </w:r>
                    <w:r>
                      <w:rPr>
                        <w:rFonts w:ascii="Arial" w:hAnsi="Arial"/>
                        <w:b/>
                        <w:color w:val="003300"/>
                        <w:sz w:val="18"/>
                        <w:shd w:fill="E6E6E6" w:color="auto" w:val="clear"/>
                      </w:rPr>
                      <w:t>Forest</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188</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6048">
              <wp:simplePos x="0" y="0"/>
              <wp:positionH relativeFrom="page">
                <wp:posOffset>2760979</wp:posOffset>
              </wp:positionH>
              <wp:positionV relativeFrom="page">
                <wp:posOffset>9329579</wp:posOffset>
              </wp:positionV>
              <wp:extent cx="2249170" cy="28448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t>193</w:t>
                          </w:r>
                        </w:p>
                      </w:txbxContent>
                    </wps:txbx>
                    <wps:bodyPr wrap="square" lIns="0" tIns="0" rIns="0" bIns="0" rtlCol="0">
                      <a:noAutofit/>
                    </wps:bodyPr>
                  </wps:wsp>
                </a:graphicData>
              </a:graphic>
            </wp:anchor>
          </w:drawing>
        </mc:Choice>
        <mc:Fallback>
          <w:pict>
            <v:shape style="position:absolute;margin-left:217.399994pt;margin-top:734.612549pt;width:177.1pt;height:22.4pt;mso-position-horizontal-relative:page;mso-position-vertical-relative:page;z-index:-29010432" type="#_x0000_t202" id="docshape309"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t>193</w:t>
                    </w:r>
                  </w:p>
                </w:txbxContent>
              </v:textbox>
              <w10:wrap type="none"/>
            </v:shape>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6560">
              <wp:simplePos x="0" y="0"/>
              <wp:positionH relativeFrom="page">
                <wp:posOffset>896111</wp:posOffset>
              </wp:positionH>
              <wp:positionV relativeFrom="page">
                <wp:posOffset>9314688</wp:posOffset>
              </wp:positionV>
              <wp:extent cx="5980430" cy="12700"/>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5980430" cy="12700"/>
                      </a:xfrm>
                      <a:custGeom>
                        <a:avLst/>
                        <a:gdLst/>
                        <a:ahLst/>
                        <a:cxnLst/>
                        <a:rect l="l" t="t" r="r" b="b"/>
                        <a:pathLst>
                          <a:path w="5980430" h="12700">
                            <a:moveTo>
                              <a:pt x="5980176" y="0"/>
                            </a:moveTo>
                            <a:lnTo>
                              <a:pt x="0" y="0"/>
                            </a:lnTo>
                            <a:lnTo>
                              <a:pt x="0" y="12191"/>
                            </a:lnTo>
                            <a:lnTo>
                              <a:pt x="5980176" y="12191"/>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70.88pt;height:.96pt;mso-position-horizontal-relative:page;mso-position-vertical-relative:page;z-index:-29009920" id="docshape310"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7072">
              <wp:simplePos x="0" y="0"/>
              <wp:positionH relativeFrom="page">
                <wp:posOffset>2760979</wp:posOffset>
              </wp:positionH>
              <wp:positionV relativeFrom="page">
                <wp:posOffset>9329579</wp:posOffset>
              </wp:positionV>
              <wp:extent cx="2249170" cy="28448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194</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17.399994pt;margin-top:734.612549pt;width:177.1pt;height:22.4pt;mso-position-horizontal-relative:page;mso-position-vertical-relative:page;z-index:-29009408" type="#_x0000_t202" id="docshape311"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194</w:t>
                    </w:r>
                    <w:r>
                      <w:rPr>
                        <w:rFonts w:ascii="Arial" w:hAnsi="Arial"/>
                        <w:b/>
                        <w:color w:val="003300"/>
                        <w:spacing w:val="-4"/>
                        <w:sz w:val="18"/>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7680">
              <wp:simplePos x="0" y="0"/>
              <wp:positionH relativeFrom="page">
                <wp:posOffset>4027932</wp:posOffset>
              </wp:positionH>
              <wp:positionV relativeFrom="page">
                <wp:posOffset>9460643</wp:posOffset>
              </wp:positionV>
              <wp:extent cx="185420" cy="15367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185420"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iii</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317.160004pt;margin-top:744.932556pt;width:14.6pt;height:12.1pt;mso-position-horizontal-relative:page;mso-position-vertical-relative:page;z-index:-29068800" type="#_x0000_t202" id="docshape13"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iii</w:t>
                    </w:r>
                    <w:r>
                      <w:rPr>
                        <w:rFonts w:ascii="Arial"/>
                        <w:b/>
                        <w:color w:val="003300"/>
                        <w:spacing w:val="-5"/>
                        <w:sz w:val="18"/>
                        <w:shd w:fill="E6E6E6" w:color="auto" w:val="clear"/>
                      </w:rPr>
                      <w:fldChar w:fldCharType="end"/>
                    </w:r>
                  </w:p>
                </w:txbxContent>
              </v:textbox>
              <w10:wrap type="none"/>
            </v:shape>
          </w:pict>
        </mc:Fallback>
      </mc:AlternateContent>
    </w: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8608">
              <wp:simplePos x="0" y="0"/>
              <wp:positionH relativeFrom="page">
                <wp:posOffset>3903979</wp:posOffset>
              </wp:positionH>
              <wp:positionV relativeFrom="page">
                <wp:posOffset>7043579</wp:posOffset>
              </wp:positionV>
              <wp:extent cx="2249170" cy="284480"/>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t>195</w:t>
                          </w:r>
                        </w:p>
                      </w:txbxContent>
                    </wps:txbx>
                    <wps:bodyPr wrap="square" lIns="0" tIns="0" rIns="0" bIns="0" rtlCol="0">
                      <a:noAutofit/>
                    </wps:bodyPr>
                  </wps:wsp>
                </a:graphicData>
              </a:graphic>
            </wp:anchor>
          </w:drawing>
        </mc:Choice>
        <mc:Fallback>
          <w:pict>
            <v:shape style="position:absolute;margin-left:307.399994pt;margin-top:554.612549pt;width:177.1pt;height:22.4pt;mso-position-horizontal-relative:page;mso-position-vertical-relative:page;z-index:-29007872" type="#_x0000_t202" id="docshape316"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t>195</w:t>
                    </w:r>
                  </w:p>
                </w:txbxContent>
              </v:textbox>
              <w10:wrap type="none"/>
            </v:shape>
          </w:pict>
        </mc:Fallback>
      </mc:AlternateContent>
    </w: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9120">
              <wp:simplePos x="0" y="0"/>
              <wp:positionH relativeFrom="page">
                <wp:posOffset>896111</wp:posOffset>
              </wp:positionH>
              <wp:positionV relativeFrom="page">
                <wp:posOffset>9314688</wp:posOffset>
              </wp:positionV>
              <wp:extent cx="5980430" cy="12700"/>
              <wp:effectExtent l="0" t="0" r="0" b="0"/>
              <wp:wrapNone/>
              <wp:docPr id="333" name="Graphic 333"/>
              <wp:cNvGraphicFramePr>
                <a:graphicFrameLocks/>
              </wp:cNvGraphicFramePr>
              <a:graphic>
                <a:graphicData uri="http://schemas.microsoft.com/office/word/2010/wordprocessingShape">
                  <wps:wsp>
                    <wps:cNvPr id="333" name="Graphic 333"/>
                    <wps:cNvSpPr/>
                    <wps:spPr>
                      <a:xfrm>
                        <a:off x="0" y="0"/>
                        <a:ext cx="5980430" cy="12700"/>
                      </a:xfrm>
                      <a:custGeom>
                        <a:avLst/>
                        <a:gdLst/>
                        <a:ahLst/>
                        <a:cxnLst/>
                        <a:rect l="l" t="t" r="r" b="b"/>
                        <a:pathLst>
                          <a:path w="5980430" h="12700">
                            <a:moveTo>
                              <a:pt x="5980176" y="0"/>
                            </a:moveTo>
                            <a:lnTo>
                              <a:pt x="0" y="0"/>
                            </a:lnTo>
                            <a:lnTo>
                              <a:pt x="0" y="12191"/>
                            </a:lnTo>
                            <a:lnTo>
                              <a:pt x="5980176" y="12191"/>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70.88pt;height:.96pt;mso-position-horizontal-relative:page;mso-position-vertical-relative:page;z-index:-29007360" id="docshape31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09632">
              <wp:simplePos x="0" y="0"/>
              <wp:positionH relativeFrom="page">
                <wp:posOffset>2760979</wp:posOffset>
              </wp:positionH>
              <wp:positionV relativeFrom="page">
                <wp:posOffset>9329579</wp:posOffset>
              </wp:positionV>
              <wp:extent cx="2249170" cy="284480"/>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196</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17.399994pt;margin-top:734.612549pt;width:177.1pt;height:22.4pt;mso-position-horizontal-relative:page;mso-position-vertical-relative:page;z-index:-29006848" type="#_x0000_t202" id="docshape318"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196</w:t>
                    </w:r>
                    <w:r>
                      <w:rPr>
                        <w:rFonts w:ascii="Arial" w:hAnsi="Arial"/>
                        <w:b/>
                        <w:color w:val="003300"/>
                        <w:spacing w:val="-4"/>
                        <w:sz w:val="18"/>
                      </w:rPr>
                      <w:fldChar w:fldCharType="end"/>
                    </w:r>
                  </w:p>
                </w:txbxContent>
              </v:textbox>
              <w10:wrap type="none"/>
            </v:shap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2192">
              <wp:simplePos x="0" y="0"/>
              <wp:positionH relativeFrom="page">
                <wp:posOffset>896111</wp:posOffset>
              </wp:positionH>
              <wp:positionV relativeFrom="page">
                <wp:posOffset>9314688</wp:posOffset>
              </wp:positionV>
              <wp:extent cx="5980430" cy="12700"/>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5980430" cy="12700"/>
                      </a:xfrm>
                      <a:custGeom>
                        <a:avLst/>
                        <a:gdLst/>
                        <a:ahLst/>
                        <a:cxnLst/>
                        <a:rect l="l" t="t" r="r" b="b"/>
                        <a:pathLst>
                          <a:path w="5980430" h="12700">
                            <a:moveTo>
                              <a:pt x="5980176" y="0"/>
                            </a:moveTo>
                            <a:lnTo>
                              <a:pt x="0" y="0"/>
                            </a:lnTo>
                            <a:lnTo>
                              <a:pt x="0" y="12191"/>
                            </a:lnTo>
                            <a:lnTo>
                              <a:pt x="5980176" y="12191"/>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70.88pt;height:.96pt;mso-position-horizontal-relative:page;mso-position-vertical-relative:page;z-index:-29004288" id="docshape32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12704">
              <wp:simplePos x="0" y="0"/>
              <wp:positionH relativeFrom="page">
                <wp:posOffset>2760979</wp:posOffset>
              </wp:positionH>
              <wp:positionV relativeFrom="page">
                <wp:posOffset>9329579</wp:posOffset>
              </wp:positionV>
              <wp:extent cx="2249170" cy="284480"/>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197</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17.399994pt;margin-top:734.612549pt;width:177.1pt;height:22.4pt;mso-position-horizontal-relative:page;mso-position-vertical-relative:page;z-index:-29003776" type="#_x0000_t202" id="docshape326"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197</w:t>
                    </w:r>
                    <w:r>
                      <w:rPr>
                        <w:rFonts w:ascii="Arial" w:hAnsi="Arial"/>
                        <w:b/>
                        <w:color w:val="003300"/>
                        <w:spacing w:val="-4"/>
                        <w:sz w:val="18"/>
                      </w:rPr>
                      <w:fldChar w:fldCharType="end"/>
                    </w:r>
                  </w:p>
                </w:txbxContent>
              </v:textbox>
              <w10:wrap type="none"/>
            </v:shape>
          </w:pict>
        </mc:Fallback>
      </mc:AlternateContent>
    </w: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3216">
              <wp:simplePos x="0" y="0"/>
              <wp:positionH relativeFrom="page">
                <wp:posOffset>896111</wp:posOffset>
              </wp:positionH>
              <wp:positionV relativeFrom="page">
                <wp:posOffset>9314688</wp:posOffset>
              </wp:positionV>
              <wp:extent cx="5980430" cy="12700"/>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5980430" cy="12700"/>
                      </a:xfrm>
                      <a:custGeom>
                        <a:avLst/>
                        <a:gdLst/>
                        <a:ahLst/>
                        <a:cxnLst/>
                        <a:rect l="l" t="t" r="r" b="b"/>
                        <a:pathLst>
                          <a:path w="5980430" h="12700">
                            <a:moveTo>
                              <a:pt x="5980176" y="0"/>
                            </a:moveTo>
                            <a:lnTo>
                              <a:pt x="0" y="0"/>
                            </a:lnTo>
                            <a:lnTo>
                              <a:pt x="0" y="12191"/>
                            </a:lnTo>
                            <a:lnTo>
                              <a:pt x="5980176" y="12191"/>
                            </a:lnTo>
                            <a:lnTo>
                              <a:pt x="5980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70.88pt;height:.96pt;mso-position-horizontal-relative:page;mso-position-vertical-relative:page;z-index:-29003264" id="docshape32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13728">
              <wp:simplePos x="0" y="0"/>
              <wp:positionH relativeFrom="page">
                <wp:posOffset>2760979</wp:posOffset>
              </wp:positionH>
              <wp:positionV relativeFrom="page">
                <wp:posOffset>9329579</wp:posOffset>
              </wp:positionV>
              <wp:extent cx="2249170" cy="284480"/>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a:off x="0" y="0"/>
                        <a:ext cx="2249170" cy="284480"/>
                      </a:xfrm>
                      <a:prstGeom prst="rect">
                        <a:avLst/>
                      </a:prstGeom>
                    </wps:spPr>
                    <wps:txbx>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198</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17.399994pt;margin-top:734.612549pt;width:177.1pt;height:22.4pt;mso-position-horizontal-relative:page;mso-position-vertical-relative:page;z-index:-29002752" type="#_x0000_t202" id="docshape328" filled="false" stroked="false">
              <v:textbox inset="0,0,0,0">
                <w:txbxContent>
                  <w:p>
                    <w:pPr>
                      <w:spacing w:before="14"/>
                      <w:ind w:left="1620" w:right="0" w:hanging="1601"/>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D</w:t>
                    </w:r>
                    <w:r>
                      <w:rPr>
                        <w:rFonts w:ascii="Arial" w:hAnsi="Arial"/>
                        <w:b/>
                        <w:color w:val="003300"/>
                        <w:spacing w:val="-8"/>
                        <w:sz w:val="18"/>
                      </w:rPr>
                      <w:t> </w:t>
                    </w:r>
                    <w:r>
                      <w:rPr>
                        <w:rFonts w:ascii="Arial" w:hAnsi="Arial"/>
                        <w:b/>
                        <w:color w:val="003300"/>
                        <w:sz w:val="18"/>
                      </w:rPr>
                      <w:t>–</w:t>
                    </w:r>
                    <w:r>
                      <w:rPr>
                        <w:rFonts w:ascii="Arial" w:hAnsi="Arial"/>
                        <w:b/>
                        <w:color w:val="003300"/>
                        <w:spacing w:val="-7"/>
                        <w:sz w:val="18"/>
                      </w:rPr>
                      <w:t> </w:t>
                    </w:r>
                    <w:r>
                      <w:rPr>
                        <w:rFonts w:ascii="Arial" w:hAnsi="Arial"/>
                        <w:b/>
                        <w:color w:val="003300"/>
                        <w:sz w:val="18"/>
                      </w:rPr>
                      <w:t>Scenic</w:t>
                    </w:r>
                    <w:r>
                      <w:rPr>
                        <w:rFonts w:ascii="Arial" w:hAnsi="Arial"/>
                        <w:b/>
                        <w:color w:val="003300"/>
                        <w:spacing w:val="-7"/>
                        <w:sz w:val="18"/>
                      </w:rPr>
                      <w:t> </w:t>
                    </w:r>
                    <w:r>
                      <w:rPr>
                        <w:rFonts w:ascii="Arial" w:hAnsi="Arial"/>
                        <w:b/>
                        <w:color w:val="003300"/>
                        <w:sz w:val="18"/>
                      </w:rPr>
                      <w:t>Integrity</w:t>
                    </w:r>
                    <w:r>
                      <w:rPr>
                        <w:rFonts w:ascii="Arial" w:hAnsi="Arial"/>
                        <w:b/>
                        <w:color w:val="003300"/>
                        <w:spacing w:val="-10"/>
                        <w:sz w:val="18"/>
                      </w:rPr>
                      <w:t> </w:t>
                    </w:r>
                    <w:r>
                      <w:rPr>
                        <w:rFonts w:ascii="Arial" w:hAnsi="Arial"/>
                        <w:b/>
                        <w:color w:val="003300"/>
                        <w:sz w:val="18"/>
                      </w:rPr>
                      <w:t>Objectives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198</w:t>
                    </w:r>
                    <w:r>
                      <w:rPr>
                        <w:rFonts w:ascii="Arial" w:hAnsi="Arial"/>
                        <w:b/>
                        <w:color w:val="003300"/>
                        <w:spacing w:val="-4"/>
                        <w:sz w:val="18"/>
                      </w:rPr>
                      <w:fldChar w:fldCharType="end"/>
                    </w:r>
                  </w:p>
                </w:txbxContent>
              </v:textbox>
              <w10:wrap type="none"/>
            </v:shape>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6288">
              <wp:simplePos x="0" y="0"/>
              <wp:positionH relativeFrom="page">
                <wp:posOffset>896111</wp:posOffset>
              </wp:positionH>
              <wp:positionV relativeFrom="page">
                <wp:posOffset>7030211</wp:posOffset>
              </wp:positionV>
              <wp:extent cx="8267700" cy="12700"/>
              <wp:effectExtent l="0" t="0" r="0" b="0"/>
              <wp:wrapNone/>
              <wp:docPr id="360" name="Graphic 360"/>
              <wp:cNvGraphicFramePr>
                <a:graphicFrameLocks/>
              </wp:cNvGraphicFramePr>
              <a:graphic>
                <a:graphicData uri="http://schemas.microsoft.com/office/word/2010/wordprocessingShape">
                  <wps:wsp>
                    <wps:cNvPr id="360" name="Graphic 360"/>
                    <wps:cNvSpPr/>
                    <wps:spPr>
                      <a:xfrm>
                        <a:off x="0" y="0"/>
                        <a:ext cx="8267700" cy="12700"/>
                      </a:xfrm>
                      <a:custGeom>
                        <a:avLst/>
                        <a:gdLst/>
                        <a:ahLst/>
                        <a:cxnLst/>
                        <a:rect l="l" t="t" r="r" b="b"/>
                        <a:pathLst>
                          <a:path w="8267700" h="12700">
                            <a:moveTo>
                              <a:pt x="8267700" y="0"/>
                            </a:moveTo>
                            <a:lnTo>
                              <a:pt x="0" y="0"/>
                            </a:lnTo>
                            <a:lnTo>
                              <a:pt x="0" y="12191"/>
                            </a:lnTo>
                            <a:lnTo>
                              <a:pt x="8267700" y="12191"/>
                            </a:lnTo>
                            <a:lnTo>
                              <a:pt x="82677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559998pt;width:651pt;height:.96pt;mso-position-horizontal-relative:page;mso-position-vertical-relative:page;z-index:-29000192" id="docshape33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16800">
              <wp:simplePos x="0" y="0"/>
              <wp:positionH relativeFrom="page">
                <wp:posOffset>3673855</wp:posOffset>
              </wp:positionH>
              <wp:positionV relativeFrom="page">
                <wp:posOffset>7045103</wp:posOffset>
              </wp:positionV>
              <wp:extent cx="2713990" cy="28448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2713990" cy="284480"/>
                      </a:xfrm>
                      <a:prstGeom prst="rect">
                        <a:avLst/>
                      </a:prstGeom>
                    </wps:spPr>
                    <wps:txbx>
                      <w:txbxContent>
                        <w:p>
                          <w:pPr>
                            <w:spacing w:before="14"/>
                            <w:ind w:left="1985" w:right="0" w:hanging="1966"/>
                            <w:jc w:val="left"/>
                            <w:rPr>
                              <w:rFonts w:ascii="Arial" w:hAnsi="Arial"/>
                              <w:b/>
                              <w:sz w:val="18"/>
                            </w:rPr>
                          </w:pPr>
                          <w:r>
                            <w:rPr>
                              <w:rFonts w:ascii="Arial" w:hAnsi="Arial"/>
                              <w:b/>
                              <w:color w:val="003300"/>
                              <w:sz w:val="18"/>
                            </w:rPr>
                            <w:t>Appendix</w:t>
                          </w:r>
                          <w:r>
                            <w:rPr>
                              <w:rFonts w:ascii="Arial" w:hAnsi="Arial"/>
                              <w:b/>
                              <w:color w:val="003300"/>
                              <w:spacing w:val="-3"/>
                              <w:sz w:val="18"/>
                            </w:rPr>
                            <w:t> </w:t>
                          </w:r>
                          <w:r>
                            <w:rPr>
                              <w:rFonts w:ascii="Arial" w:hAnsi="Arial"/>
                              <w:b/>
                              <w:color w:val="003300"/>
                              <w:sz w:val="18"/>
                            </w:rPr>
                            <w:t>E</w:t>
                          </w:r>
                          <w:r>
                            <w:rPr>
                              <w:rFonts w:ascii="Arial" w:hAnsi="Arial"/>
                              <w:b/>
                              <w:color w:val="003300"/>
                              <w:spacing w:val="-4"/>
                              <w:sz w:val="18"/>
                            </w:rPr>
                            <w:t> </w:t>
                          </w:r>
                          <w:r>
                            <w:rPr>
                              <w:rFonts w:ascii="Arial" w:hAnsi="Arial"/>
                              <w:b/>
                              <w:color w:val="003300"/>
                              <w:sz w:val="18"/>
                            </w:rPr>
                            <w:t>–</w:t>
                          </w:r>
                          <w:r>
                            <w:rPr>
                              <w:rFonts w:ascii="Arial" w:hAnsi="Arial"/>
                              <w:b/>
                              <w:color w:val="003300"/>
                              <w:spacing w:val="-3"/>
                              <w:sz w:val="18"/>
                            </w:rPr>
                            <w:t> </w:t>
                          </w:r>
                          <w:r>
                            <w:rPr>
                              <w:rFonts w:ascii="Arial" w:hAnsi="Arial"/>
                              <w:b/>
                              <w:color w:val="003300"/>
                              <w:sz w:val="18"/>
                            </w:rPr>
                            <w:t>Suitable</w:t>
                          </w:r>
                          <w:r>
                            <w:rPr>
                              <w:rFonts w:ascii="Arial" w:hAnsi="Arial"/>
                              <w:b/>
                              <w:color w:val="003300"/>
                              <w:spacing w:val="-3"/>
                              <w:sz w:val="18"/>
                            </w:rPr>
                            <w:t> </w:t>
                          </w:r>
                          <w:r>
                            <w:rPr>
                              <w:rFonts w:ascii="Arial" w:hAnsi="Arial"/>
                              <w:b/>
                              <w:color w:val="003300"/>
                              <w:sz w:val="18"/>
                            </w:rPr>
                            <w:t>Uses</w:t>
                          </w:r>
                          <w:r>
                            <w:rPr>
                              <w:rFonts w:ascii="Arial" w:hAnsi="Arial"/>
                              <w:b/>
                              <w:color w:val="003300"/>
                              <w:spacing w:val="-6"/>
                              <w:sz w:val="18"/>
                            </w:rPr>
                            <w:t> </w:t>
                          </w:r>
                          <w:r>
                            <w:rPr>
                              <w:rFonts w:ascii="Arial" w:hAnsi="Arial"/>
                              <w:b/>
                              <w:color w:val="003300"/>
                              <w:sz w:val="18"/>
                            </w:rPr>
                            <w:t>by</w:t>
                          </w:r>
                          <w:r>
                            <w:rPr>
                              <w:rFonts w:ascii="Arial" w:hAnsi="Arial"/>
                              <w:b/>
                              <w:color w:val="003300"/>
                              <w:spacing w:val="-13"/>
                              <w:sz w:val="18"/>
                            </w:rPr>
                            <w:t> </w:t>
                          </w:r>
                          <w:r>
                            <w:rPr>
                              <w:rFonts w:ascii="Arial" w:hAnsi="Arial"/>
                              <w:b/>
                              <w:color w:val="003300"/>
                              <w:sz w:val="18"/>
                            </w:rPr>
                            <w:t>Management</w:t>
                          </w:r>
                          <w:r>
                            <w:rPr>
                              <w:rFonts w:ascii="Arial" w:hAnsi="Arial"/>
                              <w:b/>
                              <w:color w:val="003300"/>
                              <w:spacing w:val="-4"/>
                              <w:sz w:val="18"/>
                            </w:rPr>
                            <w:t> </w:t>
                          </w:r>
                          <w:r>
                            <w:rPr>
                              <w:rFonts w:ascii="Arial" w:hAnsi="Arial"/>
                              <w:b/>
                              <w:color w:val="003300"/>
                              <w:sz w:val="18"/>
                            </w:rPr>
                            <w:t>Area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206</w:t>
                          </w:r>
                          <w:r>
                            <w:rPr>
                              <w:rFonts w:ascii="Arial" w:hAnsi="Arial"/>
                              <w:b/>
                              <w:color w:val="003300"/>
                              <w:spacing w:val="-4"/>
                              <w:sz w:val="18"/>
                            </w:rPr>
                            <w:fldChar w:fldCharType="end"/>
                          </w:r>
                        </w:p>
                      </w:txbxContent>
                    </wps:txbx>
                    <wps:bodyPr wrap="square" lIns="0" tIns="0" rIns="0" bIns="0" rtlCol="0">
                      <a:noAutofit/>
                    </wps:bodyPr>
                  </wps:wsp>
                </a:graphicData>
              </a:graphic>
            </wp:anchor>
          </w:drawing>
        </mc:Choice>
        <mc:Fallback>
          <w:pict>
            <v:shape style="position:absolute;margin-left:289.279999pt;margin-top:554.732544pt;width:213.7pt;height:22.4pt;mso-position-horizontal-relative:page;mso-position-vertical-relative:page;z-index:-28999680" type="#_x0000_t202" id="docshape338" filled="false" stroked="false">
              <v:textbox inset="0,0,0,0">
                <w:txbxContent>
                  <w:p>
                    <w:pPr>
                      <w:spacing w:before="14"/>
                      <w:ind w:left="1985" w:right="0" w:hanging="1966"/>
                      <w:jc w:val="left"/>
                      <w:rPr>
                        <w:rFonts w:ascii="Arial" w:hAnsi="Arial"/>
                        <w:b/>
                        <w:sz w:val="18"/>
                      </w:rPr>
                    </w:pPr>
                    <w:r>
                      <w:rPr>
                        <w:rFonts w:ascii="Arial" w:hAnsi="Arial"/>
                        <w:b/>
                        <w:color w:val="003300"/>
                        <w:sz w:val="18"/>
                      </w:rPr>
                      <w:t>Appendix</w:t>
                    </w:r>
                    <w:r>
                      <w:rPr>
                        <w:rFonts w:ascii="Arial" w:hAnsi="Arial"/>
                        <w:b/>
                        <w:color w:val="003300"/>
                        <w:spacing w:val="-3"/>
                        <w:sz w:val="18"/>
                      </w:rPr>
                      <w:t> </w:t>
                    </w:r>
                    <w:r>
                      <w:rPr>
                        <w:rFonts w:ascii="Arial" w:hAnsi="Arial"/>
                        <w:b/>
                        <w:color w:val="003300"/>
                        <w:sz w:val="18"/>
                      </w:rPr>
                      <w:t>E</w:t>
                    </w:r>
                    <w:r>
                      <w:rPr>
                        <w:rFonts w:ascii="Arial" w:hAnsi="Arial"/>
                        <w:b/>
                        <w:color w:val="003300"/>
                        <w:spacing w:val="-4"/>
                        <w:sz w:val="18"/>
                      </w:rPr>
                      <w:t> </w:t>
                    </w:r>
                    <w:r>
                      <w:rPr>
                        <w:rFonts w:ascii="Arial" w:hAnsi="Arial"/>
                        <w:b/>
                        <w:color w:val="003300"/>
                        <w:sz w:val="18"/>
                      </w:rPr>
                      <w:t>–</w:t>
                    </w:r>
                    <w:r>
                      <w:rPr>
                        <w:rFonts w:ascii="Arial" w:hAnsi="Arial"/>
                        <w:b/>
                        <w:color w:val="003300"/>
                        <w:spacing w:val="-3"/>
                        <w:sz w:val="18"/>
                      </w:rPr>
                      <w:t> </w:t>
                    </w:r>
                    <w:r>
                      <w:rPr>
                        <w:rFonts w:ascii="Arial" w:hAnsi="Arial"/>
                        <w:b/>
                        <w:color w:val="003300"/>
                        <w:sz w:val="18"/>
                      </w:rPr>
                      <w:t>Suitable</w:t>
                    </w:r>
                    <w:r>
                      <w:rPr>
                        <w:rFonts w:ascii="Arial" w:hAnsi="Arial"/>
                        <w:b/>
                        <w:color w:val="003300"/>
                        <w:spacing w:val="-3"/>
                        <w:sz w:val="18"/>
                      </w:rPr>
                      <w:t> </w:t>
                    </w:r>
                    <w:r>
                      <w:rPr>
                        <w:rFonts w:ascii="Arial" w:hAnsi="Arial"/>
                        <w:b/>
                        <w:color w:val="003300"/>
                        <w:sz w:val="18"/>
                      </w:rPr>
                      <w:t>Uses</w:t>
                    </w:r>
                    <w:r>
                      <w:rPr>
                        <w:rFonts w:ascii="Arial" w:hAnsi="Arial"/>
                        <w:b/>
                        <w:color w:val="003300"/>
                        <w:spacing w:val="-6"/>
                        <w:sz w:val="18"/>
                      </w:rPr>
                      <w:t> </w:t>
                    </w:r>
                    <w:r>
                      <w:rPr>
                        <w:rFonts w:ascii="Arial" w:hAnsi="Arial"/>
                        <w:b/>
                        <w:color w:val="003300"/>
                        <w:sz w:val="18"/>
                      </w:rPr>
                      <w:t>by</w:t>
                    </w:r>
                    <w:r>
                      <w:rPr>
                        <w:rFonts w:ascii="Arial" w:hAnsi="Arial"/>
                        <w:b/>
                        <w:color w:val="003300"/>
                        <w:spacing w:val="-13"/>
                        <w:sz w:val="18"/>
                      </w:rPr>
                      <w:t> </w:t>
                    </w:r>
                    <w:r>
                      <w:rPr>
                        <w:rFonts w:ascii="Arial" w:hAnsi="Arial"/>
                        <w:b/>
                        <w:color w:val="003300"/>
                        <w:sz w:val="18"/>
                      </w:rPr>
                      <w:t>Management</w:t>
                    </w:r>
                    <w:r>
                      <w:rPr>
                        <w:rFonts w:ascii="Arial" w:hAnsi="Arial"/>
                        <w:b/>
                        <w:color w:val="003300"/>
                        <w:spacing w:val="-4"/>
                        <w:sz w:val="18"/>
                      </w:rPr>
                      <w:t> </w:t>
                    </w:r>
                    <w:r>
                      <w:rPr>
                        <w:rFonts w:ascii="Arial" w:hAnsi="Arial"/>
                        <w:b/>
                        <w:color w:val="003300"/>
                        <w:sz w:val="18"/>
                      </w:rPr>
                      <w:t>Area </w:t>
                    </w:r>
                    <w:r>
                      <w:rPr>
                        <w:rFonts w:ascii="Arial" w:hAnsi="Arial"/>
                        <w:b/>
                        <w:color w:val="003300"/>
                        <w:spacing w:val="-4"/>
                        <w:sz w:val="18"/>
                      </w:rPr>
                      <w:fldChar w:fldCharType="begin"/>
                    </w:r>
                    <w:r>
                      <w:rPr>
                        <w:rFonts w:ascii="Arial" w:hAnsi="Arial"/>
                        <w:b/>
                        <w:color w:val="003300"/>
                        <w:spacing w:val="-4"/>
                        <w:sz w:val="18"/>
                      </w:rPr>
                      <w:instrText> PAGE </w:instrText>
                    </w:r>
                    <w:r>
                      <w:rPr>
                        <w:rFonts w:ascii="Arial" w:hAnsi="Arial"/>
                        <w:b/>
                        <w:color w:val="003300"/>
                        <w:spacing w:val="-4"/>
                        <w:sz w:val="18"/>
                      </w:rPr>
                      <w:fldChar w:fldCharType="separate"/>
                    </w:r>
                    <w:r>
                      <w:rPr>
                        <w:rFonts w:ascii="Arial" w:hAnsi="Arial"/>
                        <w:b/>
                        <w:color w:val="003300"/>
                        <w:spacing w:val="-4"/>
                        <w:sz w:val="18"/>
                      </w:rPr>
                      <w:t>206</w:t>
                    </w:r>
                    <w:r>
                      <w:rPr>
                        <w:rFonts w:ascii="Arial" w:hAnsi="Arial"/>
                        <w:b/>
                        <w:color w:val="003300"/>
                        <w:spacing w:val="-4"/>
                        <w:sz w:val="18"/>
                      </w:rPr>
                      <w:fldChar w:fldCharType="end"/>
                    </w:r>
                  </w:p>
                </w:txbxContent>
              </v:textbox>
              <w10:wrap type="none"/>
            </v:shape>
          </w:pict>
        </mc:Fallback>
      </mc:AlternateContent>
    </w: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7312">
              <wp:simplePos x="0" y="0"/>
              <wp:positionH relativeFrom="page">
                <wp:posOffset>896111</wp:posOffset>
              </wp:positionH>
              <wp:positionV relativeFrom="page">
                <wp:posOffset>7030211</wp:posOffset>
              </wp:positionV>
              <wp:extent cx="8267700" cy="12700"/>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8267700" cy="12700"/>
                      </a:xfrm>
                      <a:custGeom>
                        <a:avLst/>
                        <a:gdLst/>
                        <a:ahLst/>
                        <a:cxnLst/>
                        <a:rect l="l" t="t" r="r" b="b"/>
                        <a:pathLst>
                          <a:path w="8267700" h="12700">
                            <a:moveTo>
                              <a:pt x="8267700" y="0"/>
                            </a:moveTo>
                            <a:lnTo>
                              <a:pt x="0" y="0"/>
                            </a:lnTo>
                            <a:lnTo>
                              <a:pt x="0" y="12191"/>
                            </a:lnTo>
                            <a:lnTo>
                              <a:pt x="8267700" y="12191"/>
                            </a:lnTo>
                            <a:lnTo>
                              <a:pt x="82677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559998pt;width:651pt;height:.96pt;mso-position-horizontal-relative:page;mso-position-vertical-relative:page;z-index:-28999168" id="docshape339"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17824">
              <wp:simplePos x="0" y="0"/>
              <wp:positionH relativeFrom="page">
                <wp:posOffset>3672332</wp:posOffset>
              </wp:positionH>
              <wp:positionV relativeFrom="page">
                <wp:posOffset>7045103</wp:posOffset>
              </wp:positionV>
              <wp:extent cx="2713990" cy="284480"/>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2713990" cy="284480"/>
                      </a:xfrm>
                      <a:prstGeom prst="rect">
                        <a:avLst/>
                      </a:prstGeom>
                    </wps:spPr>
                    <wps:txbx>
                      <w:txbxContent>
                        <w:p>
                          <w:pPr>
                            <w:spacing w:before="14"/>
                            <w:ind w:left="1987" w:right="0" w:hanging="1968"/>
                            <w:jc w:val="left"/>
                            <w:rPr>
                              <w:rFonts w:ascii="Arial" w:hAnsi="Arial"/>
                              <w:b/>
                              <w:sz w:val="18"/>
                            </w:rPr>
                          </w:pPr>
                          <w:r>
                            <w:rPr>
                              <w:rFonts w:ascii="Arial" w:hAnsi="Arial"/>
                              <w:b/>
                              <w:color w:val="003300"/>
                              <w:sz w:val="18"/>
                            </w:rPr>
                            <w:t>Appendix</w:t>
                          </w:r>
                          <w:r>
                            <w:rPr>
                              <w:rFonts w:ascii="Arial" w:hAnsi="Arial"/>
                              <w:b/>
                              <w:color w:val="003300"/>
                              <w:spacing w:val="-3"/>
                              <w:sz w:val="18"/>
                            </w:rPr>
                            <w:t> </w:t>
                          </w:r>
                          <w:r>
                            <w:rPr>
                              <w:rFonts w:ascii="Arial" w:hAnsi="Arial"/>
                              <w:b/>
                              <w:color w:val="003300"/>
                              <w:sz w:val="18"/>
                            </w:rPr>
                            <w:t>E</w:t>
                          </w:r>
                          <w:r>
                            <w:rPr>
                              <w:rFonts w:ascii="Arial" w:hAnsi="Arial"/>
                              <w:b/>
                              <w:color w:val="003300"/>
                              <w:spacing w:val="-4"/>
                              <w:sz w:val="18"/>
                            </w:rPr>
                            <w:t> </w:t>
                          </w:r>
                          <w:r>
                            <w:rPr>
                              <w:rFonts w:ascii="Arial" w:hAnsi="Arial"/>
                              <w:b/>
                              <w:color w:val="003300"/>
                              <w:sz w:val="18"/>
                            </w:rPr>
                            <w:t>–</w:t>
                          </w:r>
                          <w:r>
                            <w:rPr>
                              <w:rFonts w:ascii="Arial" w:hAnsi="Arial"/>
                              <w:b/>
                              <w:color w:val="003300"/>
                              <w:spacing w:val="-3"/>
                              <w:sz w:val="18"/>
                            </w:rPr>
                            <w:t> </w:t>
                          </w:r>
                          <w:r>
                            <w:rPr>
                              <w:rFonts w:ascii="Arial" w:hAnsi="Arial"/>
                              <w:b/>
                              <w:color w:val="003300"/>
                              <w:sz w:val="18"/>
                            </w:rPr>
                            <w:t>Suitable</w:t>
                          </w:r>
                          <w:r>
                            <w:rPr>
                              <w:rFonts w:ascii="Arial" w:hAnsi="Arial"/>
                              <w:b/>
                              <w:color w:val="003300"/>
                              <w:spacing w:val="-3"/>
                              <w:sz w:val="18"/>
                            </w:rPr>
                            <w:t> </w:t>
                          </w:r>
                          <w:r>
                            <w:rPr>
                              <w:rFonts w:ascii="Arial" w:hAnsi="Arial"/>
                              <w:b/>
                              <w:color w:val="003300"/>
                              <w:sz w:val="18"/>
                            </w:rPr>
                            <w:t>Uses</w:t>
                          </w:r>
                          <w:r>
                            <w:rPr>
                              <w:rFonts w:ascii="Arial" w:hAnsi="Arial"/>
                              <w:b/>
                              <w:color w:val="003300"/>
                              <w:spacing w:val="-6"/>
                              <w:sz w:val="18"/>
                            </w:rPr>
                            <w:t> </w:t>
                          </w:r>
                          <w:r>
                            <w:rPr>
                              <w:rFonts w:ascii="Arial" w:hAnsi="Arial"/>
                              <w:b/>
                              <w:color w:val="003300"/>
                              <w:sz w:val="18"/>
                            </w:rPr>
                            <w:t>by</w:t>
                          </w:r>
                          <w:r>
                            <w:rPr>
                              <w:rFonts w:ascii="Arial" w:hAnsi="Arial"/>
                              <w:b/>
                              <w:color w:val="003300"/>
                              <w:spacing w:val="-13"/>
                              <w:sz w:val="18"/>
                            </w:rPr>
                            <w:t> </w:t>
                          </w:r>
                          <w:r>
                            <w:rPr>
                              <w:rFonts w:ascii="Arial" w:hAnsi="Arial"/>
                              <w:b/>
                              <w:color w:val="003300"/>
                              <w:sz w:val="18"/>
                            </w:rPr>
                            <w:t>Management</w:t>
                          </w:r>
                          <w:r>
                            <w:rPr>
                              <w:rFonts w:ascii="Arial" w:hAnsi="Arial"/>
                              <w:b/>
                              <w:color w:val="003300"/>
                              <w:spacing w:val="-4"/>
                              <w:sz w:val="18"/>
                            </w:rPr>
                            <w:t> </w:t>
                          </w:r>
                          <w:r>
                            <w:rPr>
                              <w:rFonts w:ascii="Arial" w:hAnsi="Arial"/>
                              <w:b/>
                              <w:color w:val="003300"/>
                              <w:sz w:val="18"/>
                            </w:rPr>
                            <w:t>Area </w:t>
                          </w:r>
                          <w:r>
                            <w:rPr>
                              <w:rFonts w:ascii="Arial" w:hAnsi="Arial"/>
                              <w:b/>
                              <w:color w:val="003300"/>
                              <w:spacing w:val="-4"/>
                              <w:sz w:val="18"/>
                            </w:rPr>
                            <w:t>207</w:t>
                          </w:r>
                        </w:p>
                      </w:txbxContent>
                    </wps:txbx>
                    <wps:bodyPr wrap="square" lIns="0" tIns="0" rIns="0" bIns="0" rtlCol="0">
                      <a:noAutofit/>
                    </wps:bodyPr>
                  </wps:wsp>
                </a:graphicData>
              </a:graphic>
            </wp:anchor>
          </w:drawing>
        </mc:Choice>
        <mc:Fallback>
          <w:pict>
            <v:shape style="position:absolute;margin-left:289.160004pt;margin-top:554.732544pt;width:213.7pt;height:22.4pt;mso-position-horizontal-relative:page;mso-position-vertical-relative:page;z-index:-28998656" type="#_x0000_t202" id="docshape340" filled="false" stroked="false">
              <v:textbox inset="0,0,0,0">
                <w:txbxContent>
                  <w:p>
                    <w:pPr>
                      <w:spacing w:before="14"/>
                      <w:ind w:left="1987" w:right="0" w:hanging="1968"/>
                      <w:jc w:val="left"/>
                      <w:rPr>
                        <w:rFonts w:ascii="Arial" w:hAnsi="Arial"/>
                        <w:b/>
                        <w:sz w:val="18"/>
                      </w:rPr>
                    </w:pPr>
                    <w:r>
                      <w:rPr>
                        <w:rFonts w:ascii="Arial" w:hAnsi="Arial"/>
                        <w:b/>
                        <w:color w:val="003300"/>
                        <w:sz w:val="18"/>
                      </w:rPr>
                      <w:t>Appendix</w:t>
                    </w:r>
                    <w:r>
                      <w:rPr>
                        <w:rFonts w:ascii="Arial" w:hAnsi="Arial"/>
                        <w:b/>
                        <w:color w:val="003300"/>
                        <w:spacing w:val="-3"/>
                        <w:sz w:val="18"/>
                      </w:rPr>
                      <w:t> </w:t>
                    </w:r>
                    <w:r>
                      <w:rPr>
                        <w:rFonts w:ascii="Arial" w:hAnsi="Arial"/>
                        <w:b/>
                        <w:color w:val="003300"/>
                        <w:sz w:val="18"/>
                      </w:rPr>
                      <w:t>E</w:t>
                    </w:r>
                    <w:r>
                      <w:rPr>
                        <w:rFonts w:ascii="Arial" w:hAnsi="Arial"/>
                        <w:b/>
                        <w:color w:val="003300"/>
                        <w:spacing w:val="-4"/>
                        <w:sz w:val="18"/>
                      </w:rPr>
                      <w:t> </w:t>
                    </w:r>
                    <w:r>
                      <w:rPr>
                        <w:rFonts w:ascii="Arial" w:hAnsi="Arial"/>
                        <w:b/>
                        <w:color w:val="003300"/>
                        <w:sz w:val="18"/>
                      </w:rPr>
                      <w:t>–</w:t>
                    </w:r>
                    <w:r>
                      <w:rPr>
                        <w:rFonts w:ascii="Arial" w:hAnsi="Arial"/>
                        <w:b/>
                        <w:color w:val="003300"/>
                        <w:spacing w:val="-3"/>
                        <w:sz w:val="18"/>
                      </w:rPr>
                      <w:t> </w:t>
                    </w:r>
                    <w:r>
                      <w:rPr>
                        <w:rFonts w:ascii="Arial" w:hAnsi="Arial"/>
                        <w:b/>
                        <w:color w:val="003300"/>
                        <w:sz w:val="18"/>
                      </w:rPr>
                      <w:t>Suitable</w:t>
                    </w:r>
                    <w:r>
                      <w:rPr>
                        <w:rFonts w:ascii="Arial" w:hAnsi="Arial"/>
                        <w:b/>
                        <w:color w:val="003300"/>
                        <w:spacing w:val="-3"/>
                        <w:sz w:val="18"/>
                      </w:rPr>
                      <w:t> </w:t>
                    </w:r>
                    <w:r>
                      <w:rPr>
                        <w:rFonts w:ascii="Arial" w:hAnsi="Arial"/>
                        <w:b/>
                        <w:color w:val="003300"/>
                        <w:sz w:val="18"/>
                      </w:rPr>
                      <w:t>Uses</w:t>
                    </w:r>
                    <w:r>
                      <w:rPr>
                        <w:rFonts w:ascii="Arial" w:hAnsi="Arial"/>
                        <w:b/>
                        <w:color w:val="003300"/>
                        <w:spacing w:val="-6"/>
                        <w:sz w:val="18"/>
                      </w:rPr>
                      <w:t> </w:t>
                    </w:r>
                    <w:r>
                      <w:rPr>
                        <w:rFonts w:ascii="Arial" w:hAnsi="Arial"/>
                        <w:b/>
                        <w:color w:val="003300"/>
                        <w:sz w:val="18"/>
                      </w:rPr>
                      <w:t>by</w:t>
                    </w:r>
                    <w:r>
                      <w:rPr>
                        <w:rFonts w:ascii="Arial" w:hAnsi="Arial"/>
                        <w:b/>
                        <w:color w:val="003300"/>
                        <w:spacing w:val="-13"/>
                        <w:sz w:val="18"/>
                      </w:rPr>
                      <w:t> </w:t>
                    </w:r>
                    <w:r>
                      <w:rPr>
                        <w:rFonts w:ascii="Arial" w:hAnsi="Arial"/>
                        <w:b/>
                        <w:color w:val="003300"/>
                        <w:sz w:val="18"/>
                      </w:rPr>
                      <w:t>Management</w:t>
                    </w:r>
                    <w:r>
                      <w:rPr>
                        <w:rFonts w:ascii="Arial" w:hAnsi="Arial"/>
                        <w:b/>
                        <w:color w:val="003300"/>
                        <w:spacing w:val="-4"/>
                        <w:sz w:val="18"/>
                      </w:rPr>
                      <w:t> </w:t>
                    </w:r>
                    <w:r>
                      <w:rPr>
                        <w:rFonts w:ascii="Arial" w:hAnsi="Arial"/>
                        <w:b/>
                        <w:color w:val="003300"/>
                        <w:sz w:val="18"/>
                      </w:rPr>
                      <w:t>Area </w:t>
                    </w:r>
                    <w:r>
                      <w:rPr>
                        <w:rFonts w:ascii="Arial" w:hAnsi="Arial"/>
                        <w:b/>
                        <w:color w:val="003300"/>
                        <w:spacing w:val="-4"/>
                        <w:sz w:val="18"/>
                      </w:rPr>
                      <w:t>207</w:t>
                    </w:r>
                  </w:p>
                </w:txbxContent>
              </v:textbox>
              <w10:wrap type="none"/>
            </v:shape>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0384">
              <wp:simplePos x="0" y="0"/>
              <wp:positionH relativeFrom="page">
                <wp:posOffset>896111</wp:posOffset>
              </wp:positionH>
              <wp:positionV relativeFrom="page">
                <wp:posOffset>7028688</wp:posOffset>
              </wp:positionV>
              <wp:extent cx="8266430" cy="12700"/>
              <wp:effectExtent l="0" t="0" r="0" b="0"/>
              <wp:wrapNone/>
              <wp:docPr id="368" name="Graphic 368"/>
              <wp:cNvGraphicFramePr>
                <a:graphicFrameLocks/>
              </wp:cNvGraphicFramePr>
              <a:graphic>
                <a:graphicData uri="http://schemas.microsoft.com/office/word/2010/wordprocessingShape">
                  <wps:wsp>
                    <wps:cNvPr id="368" name="Graphic 368"/>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8996096" id="docshape34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20896">
              <wp:simplePos x="0" y="0"/>
              <wp:positionH relativeFrom="page">
                <wp:posOffset>3724147</wp:posOffset>
              </wp:positionH>
              <wp:positionV relativeFrom="page">
                <wp:posOffset>7043579</wp:posOffset>
              </wp:positionV>
              <wp:extent cx="2609850" cy="28448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2609850" cy="284480"/>
                      </a:xfrm>
                      <a:prstGeom prst="rect">
                        <a:avLst/>
                      </a:prstGeom>
                    </wps:spPr>
                    <wps:txbx>
                      <w:txbxContent>
                        <w:p>
                          <w:pPr>
                            <w:spacing w:before="14"/>
                            <w:ind w:left="1903" w:right="18" w:hanging="1884"/>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F</w:t>
                          </w:r>
                          <w:r>
                            <w:rPr>
                              <w:rFonts w:ascii="Arial" w:hAnsi="Arial"/>
                              <w:b/>
                              <w:color w:val="003300"/>
                              <w:spacing w:val="-7"/>
                              <w:sz w:val="18"/>
                            </w:rPr>
                            <w:t> </w:t>
                          </w:r>
                          <w:r>
                            <w:rPr>
                              <w:rFonts w:ascii="Arial" w:hAnsi="Arial"/>
                              <w:b/>
                              <w:color w:val="003300"/>
                              <w:sz w:val="18"/>
                            </w:rPr>
                            <w:t>–</w:t>
                          </w:r>
                          <w:r>
                            <w:rPr>
                              <w:rFonts w:ascii="Arial" w:hAnsi="Arial"/>
                              <w:b/>
                              <w:color w:val="003300"/>
                              <w:spacing w:val="-6"/>
                              <w:sz w:val="18"/>
                            </w:rPr>
                            <w:t> </w:t>
                          </w:r>
                          <w:r>
                            <w:rPr>
                              <w:rFonts w:ascii="Arial" w:hAnsi="Arial"/>
                              <w:b/>
                              <w:color w:val="003300"/>
                              <w:sz w:val="18"/>
                            </w:rPr>
                            <w:t>Recreation</w:t>
                          </w:r>
                          <w:r>
                            <w:rPr>
                              <w:rFonts w:ascii="Arial" w:hAnsi="Arial"/>
                              <w:b/>
                              <w:color w:val="003300"/>
                              <w:spacing w:val="-7"/>
                              <w:sz w:val="18"/>
                            </w:rPr>
                            <w:t> </w:t>
                          </w:r>
                          <w:r>
                            <w:rPr>
                              <w:rFonts w:ascii="Arial" w:hAnsi="Arial"/>
                              <w:b/>
                              <w:color w:val="003300"/>
                              <w:sz w:val="18"/>
                            </w:rPr>
                            <w:t>Opportunity</w:t>
                          </w:r>
                          <w:r>
                            <w:rPr>
                              <w:rFonts w:ascii="Arial" w:hAnsi="Arial"/>
                              <w:b/>
                              <w:color w:val="003300"/>
                              <w:spacing w:val="-13"/>
                              <w:sz w:val="18"/>
                            </w:rPr>
                            <w:t> </w:t>
                          </w:r>
                          <w:r>
                            <w:rPr>
                              <w:rFonts w:ascii="Arial" w:hAnsi="Arial"/>
                              <w:b/>
                              <w:color w:val="003300"/>
                              <w:sz w:val="18"/>
                            </w:rPr>
                            <w:t>Spectrum </w:t>
                          </w:r>
                          <w:r>
                            <w:rPr>
                              <w:rFonts w:ascii="Arial" w:hAnsi="Arial"/>
                              <w:b/>
                              <w:color w:val="003300"/>
                              <w:spacing w:val="-4"/>
                              <w:sz w:val="18"/>
                              <w:shd w:fill="E6E6E6" w:color="auto" w:val="clear"/>
                            </w:rPr>
                            <w:t>209</w:t>
                          </w:r>
                        </w:p>
                      </w:txbxContent>
                    </wps:txbx>
                    <wps:bodyPr wrap="square" lIns="0" tIns="0" rIns="0" bIns="0" rtlCol="0">
                      <a:noAutofit/>
                    </wps:bodyPr>
                  </wps:wsp>
                </a:graphicData>
              </a:graphic>
            </wp:anchor>
          </w:drawing>
        </mc:Choice>
        <mc:Fallback>
          <w:pict>
            <v:shape style="position:absolute;margin-left:293.239990pt;margin-top:554.612549pt;width:205.5pt;height:22.4pt;mso-position-horizontal-relative:page;mso-position-vertical-relative:page;z-index:-28995584" type="#_x0000_t202" id="docshape346" filled="false" stroked="false">
              <v:textbox inset="0,0,0,0">
                <w:txbxContent>
                  <w:p>
                    <w:pPr>
                      <w:spacing w:before="14"/>
                      <w:ind w:left="1903" w:right="18" w:hanging="1884"/>
                      <w:jc w:val="left"/>
                      <w:rPr>
                        <w:rFonts w:ascii="Arial" w:hAnsi="Arial"/>
                        <w:b/>
                        <w:sz w:val="18"/>
                      </w:rPr>
                    </w:pPr>
                    <w:r>
                      <w:rPr>
                        <w:rFonts w:ascii="Arial" w:hAnsi="Arial"/>
                        <w:b/>
                        <w:color w:val="003300"/>
                        <w:sz w:val="18"/>
                      </w:rPr>
                      <w:t>Appendix</w:t>
                    </w:r>
                    <w:r>
                      <w:rPr>
                        <w:rFonts w:ascii="Arial" w:hAnsi="Arial"/>
                        <w:b/>
                        <w:color w:val="003300"/>
                        <w:spacing w:val="-7"/>
                        <w:sz w:val="18"/>
                      </w:rPr>
                      <w:t> </w:t>
                    </w:r>
                    <w:r>
                      <w:rPr>
                        <w:rFonts w:ascii="Arial" w:hAnsi="Arial"/>
                        <w:b/>
                        <w:color w:val="003300"/>
                        <w:sz w:val="18"/>
                      </w:rPr>
                      <w:t>F</w:t>
                    </w:r>
                    <w:r>
                      <w:rPr>
                        <w:rFonts w:ascii="Arial" w:hAnsi="Arial"/>
                        <w:b/>
                        <w:color w:val="003300"/>
                        <w:spacing w:val="-7"/>
                        <w:sz w:val="18"/>
                      </w:rPr>
                      <w:t> </w:t>
                    </w:r>
                    <w:r>
                      <w:rPr>
                        <w:rFonts w:ascii="Arial" w:hAnsi="Arial"/>
                        <w:b/>
                        <w:color w:val="003300"/>
                        <w:sz w:val="18"/>
                      </w:rPr>
                      <w:t>–</w:t>
                    </w:r>
                    <w:r>
                      <w:rPr>
                        <w:rFonts w:ascii="Arial" w:hAnsi="Arial"/>
                        <w:b/>
                        <w:color w:val="003300"/>
                        <w:spacing w:val="-6"/>
                        <w:sz w:val="18"/>
                      </w:rPr>
                      <w:t> </w:t>
                    </w:r>
                    <w:r>
                      <w:rPr>
                        <w:rFonts w:ascii="Arial" w:hAnsi="Arial"/>
                        <w:b/>
                        <w:color w:val="003300"/>
                        <w:sz w:val="18"/>
                      </w:rPr>
                      <w:t>Recreation</w:t>
                    </w:r>
                    <w:r>
                      <w:rPr>
                        <w:rFonts w:ascii="Arial" w:hAnsi="Arial"/>
                        <w:b/>
                        <w:color w:val="003300"/>
                        <w:spacing w:val="-7"/>
                        <w:sz w:val="18"/>
                      </w:rPr>
                      <w:t> </w:t>
                    </w:r>
                    <w:r>
                      <w:rPr>
                        <w:rFonts w:ascii="Arial" w:hAnsi="Arial"/>
                        <w:b/>
                        <w:color w:val="003300"/>
                        <w:sz w:val="18"/>
                      </w:rPr>
                      <w:t>Opportunity</w:t>
                    </w:r>
                    <w:r>
                      <w:rPr>
                        <w:rFonts w:ascii="Arial" w:hAnsi="Arial"/>
                        <w:b/>
                        <w:color w:val="003300"/>
                        <w:spacing w:val="-13"/>
                        <w:sz w:val="18"/>
                      </w:rPr>
                      <w:t> </w:t>
                    </w:r>
                    <w:r>
                      <w:rPr>
                        <w:rFonts w:ascii="Arial" w:hAnsi="Arial"/>
                        <w:b/>
                        <w:color w:val="003300"/>
                        <w:sz w:val="18"/>
                      </w:rPr>
                      <w:t>Spectrum </w:t>
                    </w:r>
                    <w:r>
                      <w:rPr>
                        <w:rFonts w:ascii="Arial" w:hAnsi="Arial"/>
                        <w:b/>
                        <w:color w:val="003300"/>
                        <w:spacing w:val="-4"/>
                        <w:sz w:val="18"/>
                        <w:shd w:fill="E6E6E6" w:color="auto" w:val="clear"/>
                      </w:rPr>
                      <w:t>209</w:t>
                    </w:r>
                  </w:p>
                </w:txbxContent>
              </v:textbox>
              <w10:wrap type="none"/>
            </v:shape>
          </w:pict>
        </mc:Fallback>
      </mc:AlternateContent>
    </w: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1408">
              <wp:simplePos x="0" y="0"/>
              <wp:positionH relativeFrom="page">
                <wp:posOffset>896111</wp:posOffset>
              </wp:positionH>
              <wp:positionV relativeFrom="page">
                <wp:posOffset>9314688</wp:posOffset>
              </wp:positionV>
              <wp:extent cx="5706110" cy="12700"/>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49.28pt;height:.96pt;mso-position-horizontal-relative:page;mso-position-vertical-relative:page;z-index:-28995072" id="docshape34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21920">
              <wp:simplePos x="0" y="0"/>
              <wp:positionH relativeFrom="page">
                <wp:posOffset>1176019</wp:posOffset>
              </wp:positionH>
              <wp:positionV relativeFrom="page">
                <wp:posOffset>9329579</wp:posOffset>
              </wp:positionV>
              <wp:extent cx="5147310" cy="28448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210</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92.599998pt;margin-top:734.612549pt;width:405.3pt;height:22.4pt;mso-position-horizontal-relative:page;mso-position-vertical-relative:page;z-index:-28994560" type="#_x0000_t202" id="docshape348" filled="false" stroked="false">
              <v:textbox inset="0,0,0,0">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210</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4480">
              <wp:simplePos x="0" y="0"/>
              <wp:positionH relativeFrom="page">
                <wp:posOffset>1170432</wp:posOffset>
              </wp:positionH>
              <wp:positionV relativeFrom="page">
                <wp:posOffset>9314688</wp:posOffset>
              </wp:positionV>
              <wp:extent cx="5706110" cy="12700"/>
              <wp:effectExtent l="0" t="0" r="0" b="0"/>
              <wp:wrapNone/>
              <wp:docPr id="378" name="Graphic 378"/>
              <wp:cNvGraphicFramePr>
                <a:graphicFrameLocks/>
              </wp:cNvGraphicFramePr>
              <a:graphic>
                <a:graphicData uri="http://schemas.microsoft.com/office/word/2010/wordprocessingShape">
                  <wps:wsp>
                    <wps:cNvPr id="378" name="Graphic 378"/>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8992000" id="docshape354"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24992">
              <wp:simplePos x="0" y="0"/>
              <wp:positionH relativeFrom="page">
                <wp:posOffset>1450339</wp:posOffset>
              </wp:positionH>
              <wp:positionV relativeFrom="page">
                <wp:posOffset>9329579</wp:posOffset>
              </wp:positionV>
              <wp:extent cx="5147310" cy="284480"/>
              <wp:effectExtent l="0" t="0" r="0" b="0"/>
              <wp:wrapNone/>
              <wp:docPr id="379" name="Textbox 379"/>
              <wp:cNvGraphicFramePr>
                <a:graphicFrameLocks/>
              </wp:cNvGraphicFramePr>
              <a:graphic>
                <a:graphicData uri="http://schemas.microsoft.com/office/word/2010/wordprocessingShape">
                  <wps:wsp>
                    <wps:cNvPr id="379" name="Textbox 379"/>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211</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114.199997pt;margin-top:734.612549pt;width:405.3pt;height:22.4pt;mso-position-horizontal-relative:page;mso-position-vertical-relative:page;z-index:-28991488" type="#_x0000_t202" id="docshape355" filled="false" stroked="false">
              <v:textbox inset="0,0,0,0">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211</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5504">
              <wp:simplePos x="0" y="0"/>
              <wp:positionH relativeFrom="page">
                <wp:posOffset>896111</wp:posOffset>
              </wp:positionH>
              <wp:positionV relativeFrom="page">
                <wp:posOffset>9314688</wp:posOffset>
              </wp:positionV>
              <wp:extent cx="5706110" cy="12700"/>
              <wp:effectExtent l="0" t="0" r="0" b="0"/>
              <wp:wrapNone/>
              <wp:docPr id="380" name="Graphic 380"/>
              <wp:cNvGraphicFramePr>
                <a:graphicFrameLocks/>
              </wp:cNvGraphicFramePr>
              <a:graphic>
                <a:graphicData uri="http://schemas.microsoft.com/office/word/2010/wordprocessingShape">
                  <wps:wsp>
                    <wps:cNvPr id="380" name="Graphic 380"/>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49.28pt;height:.96pt;mso-position-horizontal-relative:page;mso-position-vertical-relative:page;z-index:-28990976" id="docshape356"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26016">
              <wp:simplePos x="0" y="0"/>
              <wp:positionH relativeFrom="page">
                <wp:posOffset>1176019</wp:posOffset>
              </wp:positionH>
              <wp:positionV relativeFrom="page">
                <wp:posOffset>9329579</wp:posOffset>
              </wp:positionV>
              <wp:extent cx="5147310" cy="284480"/>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212</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92.599998pt;margin-top:734.612549pt;width:405.3pt;height:22.4pt;mso-position-horizontal-relative:page;mso-position-vertical-relative:page;z-index:-28990464" type="#_x0000_t202" id="docshape357" filled="false" stroked="false">
              <v:textbox inset="0,0,0,0">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212</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8192">
              <wp:simplePos x="0" y="0"/>
              <wp:positionH relativeFrom="page">
                <wp:posOffset>896111</wp:posOffset>
              </wp:positionH>
              <wp:positionV relativeFrom="page">
                <wp:posOffset>9445752</wp:posOffset>
              </wp:positionV>
              <wp:extent cx="5523230" cy="1270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43.76001pt;width:434.88pt;height:.96pt;mso-position-horizontal-relative:page;mso-position-vertical-relative:page;z-index:-29068288" id="docshape14"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48704">
              <wp:simplePos x="0" y="0"/>
              <wp:positionH relativeFrom="page">
                <wp:posOffset>3565652</wp:posOffset>
              </wp:positionH>
              <wp:positionV relativeFrom="page">
                <wp:posOffset>9460643</wp:posOffset>
              </wp:positionV>
              <wp:extent cx="184150" cy="153670"/>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184150" cy="153670"/>
                      </a:xfrm>
                      <a:prstGeom prst="rect">
                        <a:avLst/>
                      </a:prstGeom>
                    </wps:spPr>
                    <wps:txbx>
                      <w:txbxContent>
                        <w:p>
                          <w:pPr>
                            <w:spacing w:before="14"/>
                            <w:ind w:left="20" w:right="0" w:firstLine="0"/>
                            <w:jc w:val="left"/>
                            <w:rPr>
                              <w:rFonts w:ascii="Arial"/>
                              <w:b/>
                              <w:sz w:val="18"/>
                            </w:rPr>
                          </w:pPr>
                          <w:r>
                            <w:rPr>
                              <w:rFonts w:ascii="Arial"/>
                              <w:b/>
                              <w:color w:val="003300"/>
                              <w:spacing w:val="-4"/>
                              <w:sz w:val="18"/>
                              <w:shd w:fill="E6E6E6" w:color="auto" w:val="clear"/>
                            </w:rPr>
                            <w:fldChar w:fldCharType="begin"/>
                          </w:r>
                          <w:r>
                            <w:rPr>
                              <w:rFonts w:ascii="Arial"/>
                              <w:b/>
                              <w:color w:val="003300"/>
                              <w:spacing w:val="-4"/>
                              <w:sz w:val="18"/>
                              <w:shd w:fill="E6E6E6" w:color="auto" w:val="clear"/>
                            </w:rPr>
                            <w:instrText> PAGE  \* roman </w:instrText>
                          </w:r>
                          <w:r>
                            <w:rPr>
                              <w:rFonts w:ascii="Arial"/>
                              <w:b/>
                              <w:color w:val="003300"/>
                              <w:spacing w:val="-4"/>
                              <w:sz w:val="18"/>
                              <w:shd w:fill="E6E6E6" w:color="auto" w:val="clear"/>
                            </w:rPr>
                            <w:fldChar w:fldCharType="separate"/>
                          </w:r>
                          <w:r>
                            <w:rPr>
                              <w:rFonts w:ascii="Arial"/>
                              <w:b/>
                              <w:color w:val="003300"/>
                              <w:spacing w:val="-4"/>
                              <w:sz w:val="18"/>
                              <w:shd w:fill="E6E6E6" w:color="auto" w:val="clear"/>
                            </w:rPr>
                            <w:t>viii</w:t>
                          </w:r>
                          <w:r>
                            <w:rPr>
                              <w:rFonts w:asci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80.760010pt;margin-top:744.932556pt;width:14.5pt;height:12.1pt;mso-position-horizontal-relative:page;mso-position-vertical-relative:page;z-index:-29067776" type="#_x0000_t202" id="docshape15" filled="false" stroked="false">
              <v:textbox inset="0,0,0,0">
                <w:txbxContent>
                  <w:p>
                    <w:pPr>
                      <w:spacing w:before="14"/>
                      <w:ind w:left="20" w:right="0" w:firstLine="0"/>
                      <w:jc w:val="left"/>
                      <w:rPr>
                        <w:rFonts w:ascii="Arial"/>
                        <w:b/>
                        <w:sz w:val="18"/>
                      </w:rPr>
                    </w:pPr>
                    <w:r>
                      <w:rPr>
                        <w:rFonts w:ascii="Arial"/>
                        <w:b/>
                        <w:color w:val="003300"/>
                        <w:spacing w:val="-4"/>
                        <w:sz w:val="18"/>
                        <w:shd w:fill="E6E6E6" w:color="auto" w:val="clear"/>
                      </w:rPr>
                      <w:fldChar w:fldCharType="begin"/>
                    </w:r>
                    <w:r>
                      <w:rPr>
                        <w:rFonts w:ascii="Arial"/>
                        <w:b/>
                        <w:color w:val="003300"/>
                        <w:spacing w:val="-4"/>
                        <w:sz w:val="18"/>
                        <w:shd w:fill="E6E6E6" w:color="auto" w:val="clear"/>
                      </w:rPr>
                      <w:instrText> PAGE  \* roman </w:instrText>
                    </w:r>
                    <w:r>
                      <w:rPr>
                        <w:rFonts w:ascii="Arial"/>
                        <w:b/>
                        <w:color w:val="003300"/>
                        <w:spacing w:val="-4"/>
                        <w:sz w:val="18"/>
                        <w:shd w:fill="E6E6E6" w:color="auto" w:val="clear"/>
                      </w:rPr>
                      <w:fldChar w:fldCharType="separate"/>
                    </w:r>
                    <w:r>
                      <w:rPr>
                        <w:rFonts w:ascii="Arial"/>
                        <w:b/>
                        <w:color w:val="003300"/>
                        <w:spacing w:val="-4"/>
                        <w:sz w:val="18"/>
                        <w:shd w:fill="E6E6E6" w:color="auto" w:val="clear"/>
                      </w:rPr>
                      <w:t>viii</w:t>
                    </w:r>
                    <w:r>
                      <w:rPr>
                        <w:rFonts w:ascii="Arial"/>
                        <w:b/>
                        <w:color w:val="003300"/>
                        <w:spacing w:val="-4"/>
                        <w:sz w:val="18"/>
                        <w:shd w:fill="E6E6E6" w:color="auto" w:val="clear"/>
                      </w:rPr>
                      <w:fldChar w:fldCharType="end"/>
                    </w:r>
                  </w:p>
                </w:txbxContent>
              </v:textbox>
              <w10:wrap type="none"/>
            </v:shape>
          </w:pict>
        </mc:Fallback>
      </mc:AlternateContent>
    </w: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8576">
              <wp:simplePos x="0" y="0"/>
              <wp:positionH relativeFrom="page">
                <wp:posOffset>896111</wp:posOffset>
              </wp:positionH>
              <wp:positionV relativeFrom="page">
                <wp:posOffset>7028688</wp:posOffset>
              </wp:positionV>
              <wp:extent cx="8266430" cy="12700"/>
              <wp:effectExtent l="0" t="0" r="0" b="0"/>
              <wp:wrapNone/>
              <wp:docPr id="387" name="Graphic 387"/>
              <wp:cNvGraphicFramePr>
                <a:graphicFrameLocks/>
              </wp:cNvGraphicFramePr>
              <a:graphic>
                <a:graphicData uri="http://schemas.microsoft.com/office/word/2010/wordprocessingShape">
                  <wps:wsp>
                    <wps:cNvPr id="387" name="Graphic 387"/>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8987904" id="docshape363"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29088">
              <wp:simplePos x="0" y="0"/>
              <wp:positionH relativeFrom="page">
                <wp:posOffset>2456179</wp:posOffset>
              </wp:positionH>
              <wp:positionV relativeFrom="page">
                <wp:posOffset>7043579</wp:posOffset>
              </wp:positionV>
              <wp:extent cx="5147310" cy="284480"/>
              <wp:effectExtent l="0" t="0" r="0" b="0"/>
              <wp:wrapNone/>
              <wp:docPr id="388" name="Textbox 388"/>
              <wp:cNvGraphicFramePr>
                <a:graphicFrameLocks/>
              </wp:cNvGraphicFramePr>
              <a:graphic>
                <a:graphicData uri="http://schemas.microsoft.com/office/word/2010/wordprocessingShape">
                  <wps:wsp>
                    <wps:cNvPr id="388" name="Textbox 388"/>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221</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193.399994pt;margin-top:554.612549pt;width:405.3pt;height:22.4pt;mso-position-horizontal-relative:page;mso-position-vertical-relative:page;z-index:-28987392" type="#_x0000_t202" id="docshape364" filled="false" stroked="false">
              <v:textbox inset="0,0,0,0">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221</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9600">
              <wp:simplePos x="0" y="0"/>
              <wp:positionH relativeFrom="page">
                <wp:posOffset>896111</wp:posOffset>
              </wp:positionH>
              <wp:positionV relativeFrom="page">
                <wp:posOffset>7028688</wp:posOffset>
              </wp:positionV>
              <wp:extent cx="8266430" cy="12700"/>
              <wp:effectExtent l="0" t="0" r="0" b="0"/>
              <wp:wrapNone/>
              <wp:docPr id="389" name="Graphic 389"/>
              <wp:cNvGraphicFramePr>
                <a:graphicFrameLocks/>
              </wp:cNvGraphicFramePr>
              <a:graphic>
                <a:graphicData uri="http://schemas.microsoft.com/office/word/2010/wordprocessingShape">
                  <wps:wsp>
                    <wps:cNvPr id="389" name="Graphic 389"/>
                    <wps:cNvSpPr/>
                    <wps:spPr>
                      <a:xfrm>
                        <a:off x="0" y="0"/>
                        <a:ext cx="8266430" cy="12700"/>
                      </a:xfrm>
                      <a:custGeom>
                        <a:avLst/>
                        <a:gdLst/>
                        <a:ahLst/>
                        <a:cxnLst/>
                        <a:rect l="l" t="t" r="r" b="b"/>
                        <a:pathLst>
                          <a:path w="8266430" h="12700">
                            <a:moveTo>
                              <a:pt x="8266176" y="0"/>
                            </a:moveTo>
                            <a:lnTo>
                              <a:pt x="0" y="0"/>
                            </a:lnTo>
                            <a:lnTo>
                              <a:pt x="0" y="12191"/>
                            </a:lnTo>
                            <a:lnTo>
                              <a:pt x="8266176" y="12191"/>
                            </a:lnTo>
                            <a:lnTo>
                              <a:pt x="82661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553.440002pt;width:650.88pt;height:.96pt;mso-position-horizontal-relative:page;mso-position-vertical-relative:page;z-index:-28986880" id="docshape36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30112">
              <wp:simplePos x="0" y="0"/>
              <wp:positionH relativeFrom="page">
                <wp:posOffset>2456179</wp:posOffset>
              </wp:positionH>
              <wp:positionV relativeFrom="page">
                <wp:posOffset>7043579</wp:posOffset>
              </wp:positionV>
              <wp:extent cx="5147310" cy="284480"/>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222</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193.399994pt;margin-top:554.612549pt;width:405.3pt;height:22.4pt;mso-position-horizontal-relative:page;mso-position-vertical-relative:page;z-index:-28986368" type="#_x0000_t202" id="docshape366" filled="false" stroked="false">
              <v:textbox inset="0,0,0,0">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222</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32672">
              <wp:simplePos x="0" y="0"/>
              <wp:positionH relativeFrom="page">
                <wp:posOffset>1170432</wp:posOffset>
              </wp:positionH>
              <wp:positionV relativeFrom="page">
                <wp:posOffset>9314688</wp:posOffset>
              </wp:positionV>
              <wp:extent cx="5706110" cy="12700"/>
              <wp:effectExtent l="0" t="0" r="0" b="0"/>
              <wp:wrapNone/>
              <wp:docPr id="399" name="Graphic 399"/>
              <wp:cNvGraphicFramePr>
                <a:graphicFrameLocks/>
              </wp:cNvGraphicFramePr>
              <a:graphic>
                <a:graphicData uri="http://schemas.microsoft.com/office/word/2010/wordprocessingShape">
                  <wps:wsp>
                    <wps:cNvPr id="399" name="Graphic 399"/>
                    <wps:cNvSpPr/>
                    <wps:spPr>
                      <a:xfrm>
                        <a:off x="0" y="0"/>
                        <a:ext cx="5706110" cy="12700"/>
                      </a:xfrm>
                      <a:custGeom>
                        <a:avLst/>
                        <a:gdLst/>
                        <a:ahLst/>
                        <a:cxnLst/>
                        <a:rect l="l" t="t" r="r" b="b"/>
                        <a:pathLst>
                          <a:path w="5706110" h="12700">
                            <a:moveTo>
                              <a:pt x="5705856" y="0"/>
                            </a:moveTo>
                            <a:lnTo>
                              <a:pt x="0" y="0"/>
                            </a:lnTo>
                            <a:lnTo>
                              <a:pt x="0" y="12191"/>
                            </a:lnTo>
                            <a:lnTo>
                              <a:pt x="5705856" y="12191"/>
                            </a:lnTo>
                            <a:lnTo>
                              <a:pt x="57058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160004pt;margin-top:733.440002pt;width:449.28pt;height:.96pt;mso-position-horizontal-relative:page;mso-position-vertical-relative:page;z-index:-28983808" id="docshape373"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33184">
              <wp:simplePos x="0" y="0"/>
              <wp:positionH relativeFrom="page">
                <wp:posOffset>1450339</wp:posOffset>
              </wp:positionH>
              <wp:positionV relativeFrom="page">
                <wp:posOffset>9329579</wp:posOffset>
              </wp:positionV>
              <wp:extent cx="5147310" cy="284480"/>
              <wp:effectExtent l="0" t="0" r="0" b="0"/>
              <wp:wrapNone/>
              <wp:docPr id="400" name="Textbox 400"/>
              <wp:cNvGraphicFramePr>
                <a:graphicFrameLocks/>
              </wp:cNvGraphicFramePr>
              <a:graphic>
                <a:graphicData uri="http://schemas.microsoft.com/office/word/2010/wordprocessingShape">
                  <wps:wsp>
                    <wps:cNvPr id="400" name="Textbox 400"/>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229</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114.199997pt;margin-top:734.612549pt;width:405.3pt;height:22.4pt;mso-position-horizontal-relative:page;mso-position-vertical-relative:page;z-index:-28983296" type="#_x0000_t202" id="docshape374" filled="false" stroked="false">
              <v:textbox inset="0,0,0,0">
                <w:txbxContent>
                  <w:p>
                    <w:pPr>
                      <w:spacing w:before="14"/>
                      <w:ind w:left="3900" w:right="0" w:hanging="3881"/>
                      <w:jc w:val="left"/>
                      <w:rPr>
                        <w:rFonts w:ascii="Arial" w:hAnsi="Arial"/>
                        <w:b/>
                        <w:sz w:val="18"/>
                      </w:rPr>
                    </w:pPr>
                    <w:r>
                      <w:rPr>
                        <w:rFonts w:ascii="Arial" w:hAnsi="Arial"/>
                        <w:b/>
                        <w:color w:val="003300"/>
                        <w:sz w:val="18"/>
                      </w:rPr>
                      <w:t>Appendix</w:t>
                    </w:r>
                    <w:r>
                      <w:rPr>
                        <w:rFonts w:ascii="Arial" w:hAnsi="Arial"/>
                        <w:b/>
                        <w:color w:val="003300"/>
                        <w:spacing w:val="-2"/>
                        <w:sz w:val="18"/>
                      </w:rPr>
                      <w:t> </w:t>
                    </w:r>
                    <w:r>
                      <w:rPr>
                        <w:rFonts w:ascii="Arial" w:hAnsi="Arial"/>
                        <w:b/>
                        <w:color w:val="003300"/>
                        <w:sz w:val="18"/>
                      </w:rPr>
                      <w:t>G</w:t>
                    </w:r>
                    <w:r>
                      <w:rPr>
                        <w:rFonts w:ascii="Arial" w:hAnsi="Arial"/>
                        <w:b/>
                        <w:color w:val="003300"/>
                        <w:spacing w:val="-4"/>
                        <w:sz w:val="18"/>
                      </w:rPr>
                      <w:t> </w:t>
                    </w:r>
                    <w:r>
                      <w:rPr>
                        <w:rFonts w:ascii="Arial" w:hAnsi="Arial"/>
                        <w:b/>
                        <w:color w:val="003300"/>
                        <w:sz w:val="18"/>
                      </w:rPr>
                      <w:t>–</w:t>
                    </w:r>
                    <w:r>
                      <w:rPr>
                        <w:rFonts w:ascii="Arial" w:hAnsi="Arial"/>
                        <w:b/>
                        <w:color w:val="003300"/>
                        <w:spacing w:val="-2"/>
                        <w:sz w:val="18"/>
                      </w:rPr>
                      <w:t> </w:t>
                    </w:r>
                    <w:r>
                      <w:rPr>
                        <w:rFonts w:ascii="Arial" w:hAnsi="Arial"/>
                        <w:b/>
                        <w:color w:val="003300"/>
                        <w:sz w:val="18"/>
                      </w:rPr>
                      <w:t>Sites</w:t>
                    </w:r>
                    <w:r>
                      <w:rPr>
                        <w:rFonts w:ascii="Arial" w:hAnsi="Arial"/>
                        <w:b/>
                        <w:color w:val="003300"/>
                        <w:spacing w:val="-7"/>
                        <w:sz w:val="18"/>
                      </w:rPr>
                      <w:t> </w:t>
                    </w:r>
                    <w:r>
                      <w:rPr>
                        <w:rFonts w:ascii="Arial" w:hAnsi="Arial"/>
                        <w:b/>
                        <w:color w:val="003300"/>
                        <w:sz w:val="18"/>
                      </w:rPr>
                      <w:t>with</w:t>
                    </w:r>
                    <w:r>
                      <w:rPr>
                        <w:rFonts w:ascii="Arial" w:hAnsi="Arial"/>
                        <w:b/>
                        <w:color w:val="003300"/>
                        <w:spacing w:val="-3"/>
                        <w:sz w:val="18"/>
                      </w:rPr>
                      <w:t> </w:t>
                    </w:r>
                    <w:r>
                      <w:rPr>
                        <w:rFonts w:ascii="Arial" w:hAnsi="Arial"/>
                        <w:b/>
                        <w:color w:val="003300"/>
                        <w:sz w:val="18"/>
                      </w:rPr>
                      <w:t>Administrative</w:t>
                    </w:r>
                    <w:r>
                      <w:rPr>
                        <w:rFonts w:ascii="Arial" w:hAnsi="Arial"/>
                        <w:b/>
                        <w:color w:val="003300"/>
                        <w:spacing w:val="-2"/>
                        <w:sz w:val="18"/>
                      </w:rPr>
                      <w:t> </w:t>
                    </w:r>
                    <w:r>
                      <w:rPr>
                        <w:rFonts w:ascii="Arial" w:hAnsi="Arial"/>
                        <w:b/>
                        <w:color w:val="003300"/>
                        <w:sz w:val="18"/>
                      </w:rPr>
                      <w:t>Designations</w:t>
                    </w:r>
                    <w:r>
                      <w:rPr>
                        <w:rFonts w:ascii="Arial" w:hAnsi="Arial"/>
                        <w:b/>
                        <w:color w:val="003300"/>
                        <w:spacing w:val="-5"/>
                        <w:sz w:val="18"/>
                      </w:rPr>
                      <w:t> </w:t>
                    </w:r>
                    <w:r>
                      <w:rPr>
                        <w:rFonts w:ascii="Arial" w:hAnsi="Arial"/>
                        <w:b/>
                        <w:color w:val="003300"/>
                        <w:sz w:val="18"/>
                      </w:rPr>
                      <w:t>and</w:t>
                    </w:r>
                    <w:r>
                      <w:rPr>
                        <w:rFonts w:ascii="Arial" w:hAnsi="Arial"/>
                        <w:b/>
                        <w:color w:val="003300"/>
                        <w:spacing w:val="-3"/>
                        <w:sz w:val="18"/>
                      </w:rPr>
                      <w:t> </w:t>
                    </w:r>
                    <w:r>
                      <w:rPr>
                        <w:rFonts w:ascii="Arial" w:hAnsi="Arial"/>
                        <w:b/>
                        <w:color w:val="003300"/>
                        <w:sz w:val="18"/>
                      </w:rPr>
                      <w:t>Areas</w:t>
                    </w:r>
                    <w:r>
                      <w:rPr>
                        <w:rFonts w:ascii="Arial" w:hAnsi="Arial"/>
                        <w:b/>
                        <w:color w:val="003300"/>
                        <w:spacing w:val="-2"/>
                        <w:sz w:val="18"/>
                      </w:rPr>
                      <w:t> </w:t>
                    </w:r>
                    <w:r>
                      <w:rPr>
                        <w:rFonts w:ascii="Arial" w:hAnsi="Arial"/>
                        <w:b/>
                        <w:color w:val="003300"/>
                        <w:sz w:val="18"/>
                      </w:rPr>
                      <w:t>Withdrawn</w:t>
                    </w:r>
                    <w:r>
                      <w:rPr>
                        <w:rFonts w:ascii="Arial" w:hAnsi="Arial"/>
                        <w:b/>
                        <w:color w:val="003300"/>
                        <w:spacing w:val="-3"/>
                        <w:sz w:val="18"/>
                      </w:rPr>
                      <w:t> </w:t>
                    </w:r>
                    <w:r>
                      <w:rPr>
                        <w:rFonts w:ascii="Arial" w:hAnsi="Arial"/>
                        <w:b/>
                        <w:color w:val="003300"/>
                        <w:sz w:val="18"/>
                      </w:rPr>
                      <w:t>from</w:t>
                    </w:r>
                    <w:r>
                      <w:rPr>
                        <w:rFonts w:ascii="Arial" w:hAnsi="Arial"/>
                        <w:b/>
                        <w:color w:val="003300"/>
                        <w:spacing w:val="-5"/>
                        <w:sz w:val="18"/>
                      </w:rPr>
                      <w:t> </w:t>
                    </w:r>
                    <w:r>
                      <w:rPr>
                        <w:rFonts w:ascii="Arial" w:hAnsi="Arial"/>
                        <w:b/>
                        <w:color w:val="003300"/>
                        <w:sz w:val="18"/>
                      </w:rPr>
                      <w:t>Mineral</w:t>
                    </w:r>
                    <w:r>
                      <w:rPr>
                        <w:rFonts w:ascii="Arial" w:hAnsi="Arial"/>
                        <w:b/>
                        <w:color w:val="003300"/>
                        <w:spacing w:val="-3"/>
                        <w:sz w:val="18"/>
                      </w:rPr>
                      <w:t> </w:t>
                    </w:r>
                    <w:r>
                      <w:rPr>
                        <w:rFonts w:ascii="Arial" w:hAnsi="Arial"/>
                        <w:b/>
                        <w:color w:val="003300"/>
                        <w:sz w:val="18"/>
                      </w:rPr>
                      <w:t>Entry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229</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33696">
              <wp:simplePos x="0" y="0"/>
              <wp:positionH relativeFrom="page">
                <wp:posOffset>896111</wp:posOffset>
              </wp:positionH>
              <wp:positionV relativeFrom="page">
                <wp:posOffset>9314688</wp:posOffset>
              </wp:positionV>
              <wp:extent cx="5706110" cy="12700"/>
              <wp:effectExtent l="0" t="0" r="0" b="0"/>
              <wp:wrapNone/>
              <wp:docPr id="401" name="Graphic 401"/>
              <wp:cNvGraphicFramePr>
                <a:graphicFrameLocks/>
              </wp:cNvGraphicFramePr>
              <a:graphic>
                <a:graphicData uri="http://schemas.microsoft.com/office/word/2010/wordprocessingShape">
                  <wps:wsp>
                    <wps:cNvPr id="401" name="Graphic 401"/>
                    <wps:cNvSpPr/>
                    <wps:spPr>
                      <a:xfrm>
                        <a:off x="0" y="0"/>
                        <a:ext cx="5706110" cy="12700"/>
                      </a:xfrm>
                      <a:custGeom>
                        <a:avLst/>
                        <a:gdLst/>
                        <a:ahLst/>
                        <a:cxnLst/>
                        <a:rect l="l" t="t" r="r" b="b"/>
                        <a:pathLst>
                          <a:path w="5706110" h="12700">
                            <a:moveTo>
                              <a:pt x="5705855" y="0"/>
                            </a:moveTo>
                            <a:lnTo>
                              <a:pt x="0" y="0"/>
                            </a:lnTo>
                            <a:lnTo>
                              <a:pt x="0" y="12191"/>
                            </a:lnTo>
                            <a:lnTo>
                              <a:pt x="5705855" y="12191"/>
                            </a:lnTo>
                            <a:lnTo>
                              <a:pt x="5705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33.440002pt;width:449.28pt;height:.96pt;mso-position-horizontal-relative:page;mso-position-vertical-relative:page;z-index:-28982784" id="docshape375"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334208">
              <wp:simplePos x="0" y="0"/>
              <wp:positionH relativeFrom="page">
                <wp:posOffset>1176019</wp:posOffset>
              </wp:positionH>
              <wp:positionV relativeFrom="page">
                <wp:posOffset>9329579</wp:posOffset>
              </wp:positionV>
              <wp:extent cx="5147310" cy="284480"/>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a:off x="0" y="0"/>
                        <a:ext cx="5147310" cy="284480"/>
                      </a:xfrm>
                      <a:prstGeom prst="rect">
                        <a:avLst/>
                      </a:prstGeom>
                    </wps:spPr>
                    <wps:txbx>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230</w:t>
                          </w:r>
                          <w:r>
                            <w:rPr>
                              <w:rFonts w:ascii="Arial" w:hAnsi="Arial"/>
                              <w:b/>
                              <w:color w:val="003300"/>
                              <w:spacing w:val="-4"/>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92.599998pt;margin-top:734.612549pt;width:405.3pt;height:22.4pt;mso-position-horizontal-relative:page;mso-position-vertical-relative:page;z-index:-28982272" type="#_x0000_t202" id="docshape376" filled="false" stroked="false">
              <v:textbox inset="0,0,0,0">
                <w:txbxContent>
                  <w:p>
                    <w:pPr>
                      <w:spacing w:before="14"/>
                      <w:ind w:left="3900" w:right="0" w:hanging="388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2"/>
                        <w:sz w:val="18"/>
                        <w:shd w:fill="E6E6E6" w:color="auto" w:val="clear"/>
                      </w:rPr>
                      <w:t> </w:t>
                    </w:r>
                    <w:r>
                      <w:rPr>
                        <w:rFonts w:ascii="Arial" w:hAnsi="Arial"/>
                        <w:b/>
                        <w:color w:val="003300"/>
                        <w:sz w:val="18"/>
                        <w:shd w:fill="E6E6E6" w:color="auto" w:val="clear"/>
                      </w:rPr>
                      <w:t>G</w:t>
                    </w:r>
                    <w:r>
                      <w:rPr>
                        <w:rFonts w:ascii="Arial" w:hAnsi="Arial"/>
                        <w:b/>
                        <w:color w:val="003300"/>
                        <w:spacing w:val="-4"/>
                        <w:sz w:val="18"/>
                        <w:shd w:fill="E6E6E6" w:color="auto" w:val="clear"/>
                      </w:rPr>
                      <w:t> </w:t>
                    </w:r>
                    <w:r>
                      <w:rPr>
                        <w:rFonts w:ascii="Arial" w:hAnsi="Arial"/>
                        <w:b/>
                        <w:color w:val="003300"/>
                        <w:sz w:val="18"/>
                        <w:shd w:fill="E6E6E6" w:color="auto" w:val="clear"/>
                      </w:rPr>
                      <w:t>–</w:t>
                    </w:r>
                    <w:r>
                      <w:rPr>
                        <w:rFonts w:ascii="Arial" w:hAnsi="Arial"/>
                        <w:b/>
                        <w:color w:val="003300"/>
                        <w:spacing w:val="-2"/>
                        <w:sz w:val="18"/>
                        <w:shd w:fill="E6E6E6" w:color="auto" w:val="clear"/>
                      </w:rPr>
                      <w:t> </w:t>
                    </w:r>
                    <w:r>
                      <w:rPr>
                        <w:rFonts w:ascii="Arial" w:hAnsi="Arial"/>
                        <w:b/>
                        <w:color w:val="003300"/>
                        <w:sz w:val="18"/>
                        <w:shd w:fill="E6E6E6" w:color="auto" w:val="clear"/>
                      </w:rPr>
                      <w:t>Sites</w:t>
                    </w:r>
                    <w:r>
                      <w:rPr>
                        <w:rFonts w:ascii="Arial" w:hAnsi="Arial"/>
                        <w:b/>
                        <w:color w:val="003300"/>
                        <w:spacing w:val="-7"/>
                        <w:sz w:val="18"/>
                        <w:shd w:fill="E6E6E6" w:color="auto" w:val="clear"/>
                      </w:rPr>
                      <w:t> </w:t>
                    </w:r>
                    <w:r>
                      <w:rPr>
                        <w:rFonts w:ascii="Arial" w:hAnsi="Arial"/>
                        <w:b/>
                        <w:color w:val="003300"/>
                        <w:sz w:val="18"/>
                        <w:shd w:fill="E6E6E6" w:color="auto" w:val="clear"/>
                      </w:rPr>
                      <w:t>with</w:t>
                    </w:r>
                    <w:r>
                      <w:rPr>
                        <w:rFonts w:ascii="Arial" w:hAnsi="Arial"/>
                        <w:b/>
                        <w:color w:val="003300"/>
                        <w:spacing w:val="-3"/>
                        <w:sz w:val="18"/>
                        <w:shd w:fill="E6E6E6" w:color="auto" w:val="clear"/>
                      </w:rPr>
                      <w:t> </w:t>
                    </w:r>
                    <w:r>
                      <w:rPr>
                        <w:rFonts w:ascii="Arial" w:hAnsi="Arial"/>
                        <w:b/>
                        <w:color w:val="003300"/>
                        <w:sz w:val="18"/>
                        <w:shd w:fill="E6E6E6" w:color="auto" w:val="clear"/>
                      </w:rPr>
                      <w:t>Administrative</w:t>
                    </w:r>
                    <w:r>
                      <w:rPr>
                        <w:rFonts w:ascii="Arial" w:hAnsi="Arial"/>
                        <w:b/>
                        <w:color w:val="003300"/>
                        <w:spacing w:val="-2"/>
                        <w:sz w:val="18"/>
                        <w:shd w:fill="E6E6E6" w:color="auto" w:val="clear"/>
                      </w:rPr>
                      <w:t> </w:t>
                    </w:r>
                    <w:r>
                      <w:rPr>
                        <w:rFonts w:ascii="Arial" w:hAnsi="Arial"/>
                        <w:b/>
                        <w:color w:val="003300"/>
                        <w:sz w:val="18"/>
                        <w:shd w:fill="E6E6E6" w:color="auto" w:val="clear"/>
                      </w:rPr>
                      <w:t>Designations</w:t>
                    </w:r>
                    <w:r>
                      <w:rPr>
                        <w:rFonts w:ascii="Arial" w:hAnsi="Arial"/>
                        <w:b/>
                        <w:color w:val="003300"/>
                        <w:spacing w:val="-5"/>
                        <w:sz w:val="18"/>
                        <w:shd w:fill="E6E6E6" w:color="auto" w:val="clear"/>
                      </w:rPr>
                      <w:t> </w:t>
                    </w:r>
                    <w:r>
                      <w:rPr>
                        <w:rFonts w:ascii="Arial" w:hAnsi="Arial"/>
                        <w:b/>
                        <w:color w:val="003300"/>
                        <w:sz w:val="18"/>
                        <w:shd w:fill="E6E6E6" w:color="auto" w:val="clear"/>
                      </w:rPr>
                      <w:t>and</w:t>
                    </w:r>
                    <w:r>
                      <w:rPr>
                        <w:rFonts w:ascii="Arial" w:hAnsi="Arial"/>
                        <w:b/>
                        <w:color w:val="003300"/>
                        <w:spacing w:val="-3"/>
                        <w:sz w:val="18"/>
                        <w:shd w:fill="E6E6E6" w:color="auto" w:val="clear"/>
                      </w:rPr>
                      <w:t> </w:t>
                    </w:r>
                    <w:r>
                      <w:rPr>
                        <w:rFonts w:ascii="Arial" w:hAnsi="Arial"/>
                        <w:b/>
                        <w:color w:val="003300"/>
                        <w:sz w:val="18"/>
                        <w:shd w:fill="E6E6E6" w:color="auto" w:val="clear"/>
                      </w:rPr>
                      <w:t>Areas</w:t>
                    </w:r>
                    <w:r>
                      <w:rPr>
                        <w:rFonts w:ascii="Arial" w:hAnsi="Arial"/>
                        <w:b/>
                        <w:color w:val="003300"/>
                        <w:spacing w:val="-2"/>
                        <w:sz w:val="18"/>
                        <w:shd w:fill="E6E6E6" w:color="auto" w:val="clear"/>
                      </w:rPr>
                      <w:t> </w:t>
                    </w:r>
                    <w:r>
                      <w:rPr>
                        <w:rFonts w:ascii="Arial" w:hAnsi="Arial"/>
                        <w:b/>
                        <w:color w:val="003300"/>
                        <w:sz w:val="18"/>
                        <w:shd w:fill="E6E6E6" w:color="auto" w:val="clear"/>
                      </w:rPr>
                      <w:t>Withdrawn</w:t>
                    </w:r>
                    <w:r>
                      <w:rPr>
                        <w:rFonts w:ascii="Arial" w:hAnsi="Arial"/>
                        <w:b/>
                        <w:color w:val="003300"/>
                        <w:spacing w:val="-3"/>
                        <w:sz w:val="18"/>
                        <w:shd w:fill="E6E6E6" w:color="auto" w:val="clear"/>
                      </w:rPr>
                      <w:t> </w:t>
                    </w:r>
                    <w:r>
                      <w:rPr>
                        <w:rFonts w:ascii="Arial" w:hAnsi="Arial"/>
                        <w:b/>
                        <w:color w:val="003300"/>
                        <w:sz w:val="18"/>
                        <w:shd w:fill="E6E6E6" w:color="auto" w:val="clear"/>
                      </w:rPr>
                      <w:t>from</w:t>
                    </w:r>
                    <w:r>
                      <w:rPr>
                        <w:rFonts w:ascii="Arial" w:hAnsi="Arial"/>
                        <w:b/>
                        <w:color w:val="003300"/>
                        <w:spacing w:val="-5"/>
                        <w:sz w:val="18"/>
                        <w:shd w:fill="E6E6E6" w:color="auto" w:val="clear"/>
                      </w:rPr>
                      <w:t> </w:t>
                    </w:r>
                    <w:r>
                      <w:rPr>
                        <w:rFonts w:ascii="Arial" w:hAnsi="Arial"/>
                        <w:b/>
                        <w:color w:val="003300"/>
                        <w:sz w:val="18"/>
                        <w:shd w:fill="E6E6E6" w:color="auto" w:val="clear"/>
                      </w:rPr>
                      <w:t>Mineral</w:t>
                    </w:r>
                    <w:r>
                      <w:rPr>
                        <w:rFonts w:ascii="Arial" w:hAnsi="Arial"/>
                        <w:b/>
                        <w:color w:val="003300"/>
                        <w:spacing w:val="-3"/>
                        <w:sz w:val="18"/>
                        <w:shd w:fill="E6E6E6" w:color="auto" w:val="clear"/>
                      </w:rPr>
                      <w:t> </w:t>
                    </w:r>
                    <w:r>
                      <w:rPr>
                        <w:rFonts w:ascii="Arial" w:hAnsi="Arial"/>
                        <w:b/>
                        <w:color w:val="003300"/>
                        <w:sz w:val="18"/>
                        <w:shd w:fill="E6E6E6" w:color="auto" w:val="clear"/>
                      </w:rPr>
                      <w:t>Entry</w:t>
                    </w:r>
                    <w:r>
                      <w:rPr>
                        <w:rFonts w:ascii="Arial" w:hAnsi="Arial"/>
                        <w:b/>
                        <w:color w:val="003300"/>
                        <w:sz w:val="18"/>
                      </w:rPr>
                      <w:t> </w:t>
                    </w:r>
                    <w:r>
                      <w:rPr>
                        <w:rFonts w:ascii="Arial" w:hAnsi="Arial"/>
                        <w:b/>
                        <w:color w:val="003300"/>
                        <w:spacing w:val="-4"/>
                        <w:sz w:val="18"/>
                        <w:shd w:fill="E6E6E6" w:color="auto" w:val="clear"/>
                      </w:rPr>
                      <w:fldChar w:fldCharType="begin"/>
                    </w:r>
                    <w:r>
                      <w:rPr>
                        <w:rFonts w:ascii="Arial" w:hAnsi="Arial"/>
                        <w:b/>
                        <w:color w:val="003300"/>
                        <w:spacing w:val="-4"/>
                        <w:sz w:val="18"/>
                        <w:shd w:fill="E6E6E6" w:color="auto" w:val="clear"/>
                      </w:rPr>
                      <w:instrText> PAGE </w:instrText>
                    </w:r>
                    <w:r>
                      <w:rPr>
                        <w:rFonts w:ascii="Arial" w:hAnsi="Arial"/>
                        <w:b/>
                        <w:color w:val="003300"/>
                        <w:spacing w:val="-4"/>
                        <w:sz w:val="18"/>
                        <w:shd w:fill="E6E6E6" w:color="auto" w:val="clear"/>
                      </w:rPr>
                      <w:fldChar w:fldCharType="separate"/>
                    </w:r>
                    <w:r>
                      <w:rPr>
                        <w:rFonts w:ascii="Arial" w:hAnsi="Arial"/>
                        <w:b/>
                        <w:color w:val="003300"/>
                        <w:spacing w:val="-4"/>
                        <w:sz w:val="18"/>
                        <w:shd w:fill="E6E6E6" w:color="auto" w:val="clear"/>
                      </w:rPr>
                      <w:t>230</w:t>
                    </w:r>
                    <w:r>
                      <w:rPr>
                        <w:rFonts w:ascii="Arial" w:hAnsi="Arial"/>
                        <w:b/>
                        <w:color w:val="003300"/>
                        <w:spacing w:val="-4"/>
                        <w:sz w:val="18"/>
                        <w:shd w:fill="E6E6E6" w:color="auto" w:val="clear"/>
                      </w:rPr>
                      <w:fldChar w:fldCharType="end"/>
                    </w:r>
                  </w:p>
                </w:txbxContent>
              </v:textbox>
              <w10:wrap type="none"/>
            </v:shape>
          </w:pict>
        </mc:Fallback>
      </mc:AlternateContent>
    </w: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34720">
              <wp:simplePos x="0" y="0"/>
              <wp:positionH relativeFrom="page">
                <wp:posOffset>4012184</wp:posOffset>
              </wp:positionH>
              <wp:positionV relativeFrom="page">
                <wp:posOffset>7043579</wp:posOffset>
              </wp:positionV>
              <wp:extent cx="2033270" cy="284480"/>
              <wp:effectExtent l="0" t="0" r="0" b="0"/>
              <wp:wrapNone/>
              <wp:docPr id="410" name="Textbox 410"/>
              <wp:cNvGraphicFramePr>
                <a:graphicFrameLocks/>
              </wp:cNvGraphicFramePr>
              <a:graphic>
                <a:graphicData uri="http://schemas.microsoft.com/office/word/2010/wordprocessingShape">
                  <wps:wsp>
                    <wps:cNvPr id="410" name="Textbox 410"/>
                    <wps:cNvSpPr txBox="1"/>
                    <wps:spPr>
                      <a:xfrm>
                        <a:off x="0" y="0"/>
                        <a:ext cx="2033270" cy="284480"/>
                      </a:xfrm>
                      <a:prstGeom prst="rect">
                        <a:avLst/>
                      </a:prstGeom>
                    </wps:spPr>
                    <wps:txbx>
                      <w:txbxContent>
                        <w:p>
                          <w:pPr>
                            <w:spacing w:before="14"/>
                            <w:ind w:left="1450" w:right="18" w:hanging="143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6"/>
                              <w:sz w:val="18"/>
                              <w:shd w:fill="E6E6E6" w:color="auto" w:val="clear"/>
                            </w:rPr>
                            <w:t> </w:t>
                          </w:r>
                          <w:r>
                            <w:rPr>
                              <w:rFonts w:ascii="Arial" w:hAnsi="Arial"/>
                              <w:b/>
                              <w:color w:val="003300"/>
                              <w:sz w:val="18"/>
                              <w:shd w:fill="E6E6E6" w:color="auto" w:val="clear"/>
                            </w:rPr>
                            <w:t>H</w:t>
                          </w:r>
                          <w:r>
                            <w:rPr>
                              <w:rFonts w:ascii="Arial" w:hAnsi="Arial"/>
                              <w:b/>
                              <w:color w:val="003300"/>
                              <w:spacing w:val="-7"/>
                              <w:sz w:val="18"/>
                              <w:shd w:fill="E6E6E6" w:color="auto" w:val="clear"/>
                            </w:rPr>
                            <w:t> </w:t>
                          </w:r>
                          <w:r>
                            <w:rPr>
                              <w:rFonts w:ascii="Arial" w:hAnsi="Arial"/>
                              <w:b/>
                              <w:color w:val="003300"/>
                              <w:sz w:val="18"/>
                              <w:shd w:fill="E6E6E6" w:color="auto" w:val="clear"/>
                            </w:rPr>
                            <w:t>–</w:t>
                          </w:r>
                          <w:r>
                            <w:rPr>
                              <w:rFonts w:ascii="Arial" w:hAnsi="Arial"/>
                              <w:b/>
                              <w:color w:val="003300"/>
                              <w:spacing w:val="-6"/>
                              <w:sz w:val="18"/>
                              <w:shd w:fill="E6E6E6" w:color="auto" w:val="clear"/>
                            </w:rPr>
                            <w:t> </w:t>
                          </w:r>
                          <w:r>
                            <w:rPr>
                              <w:rFonts w:ascii="Arial" w:hAnsi="Arial"/>
                              <w:b/>
                              <w:color w:val="003300"/>
                              <w:sz w:val="18"/>
                              <w:shd w:fill="E6E6E6" w:color="auto" w:val="clear"/>
                            </w:rPr>
                            <w:t>Management</w:t>
                          </w:r>
                          <w:r>
                            <w:rPr>
                              <w:rFonts w:ascii="Arial" w:hAnsi="Arial"/>
                              <w:b/>
                              <w:color w:val="003300"/>
                              <w:spacing w:val="-12"/>
                              <w:sz w:val="18"/>
                              <w:shd w:fill="E6E6E6" w:color="auto" w:val="clear"/>
                            </w:rPr>
                            <w:t> </w:t>
                          </w:r>
                          <w:r>
                            <w:rPr>
                              <w:rFonts w:ascii="Arial" w:hAnsi="Arial"/>
                              <w:b/>
                              <w:color w:val="003300"/>
                              <w:sz w:val="18"/>
                              <w:shd w:fill="E6E6E6" w:color="auto" w:val="clear"/>
                            </w:rPr>
                            <w:t>Area</w:t>
                          </w:r>
                          <w:r>
                            <w:rPr>
                              <w:rFonts w:ascii="Arial" w:hAnsi="Arial"/>
                              <w:b/>
                              <w:color w:val="003300"/>
                              <w:spacing w:val="-6"/>
                              <w:sz w:val="18"/>
                              <w:shd w:fill="E6E6E6" w:color="auto" w:val="clear"/>
                            </w:rPr>
                            <w:t> </w:t>
                          </w:r>
                          <w:r>
                            <w:rPr>
                              <w:rFonts w:ascii="Arial" w:hAnsi="Arial"/>
                              <w:b/>
                              <w:color w:val="003300"/>
                              <w:sz w:val="18"/>
                              <w:shd w:fill="E6E6E6" w:color="auto" w:val="clear"/>
                            </w:rPr>
                            <w:t>Map</w:t>
                          </w:r>
                          <w:r>
                            <w:rPr>
                              <w:rFonts w:ascii="Arial" w:hAnsi="Arial"/>
                              <w:b/>
                              <w:color w:val="003300"/>
                              <w:sz w:val="18"/>
                            </w:rPr>
                            <w:t> </w:t>
                          </w:r>
                          <w:r>
                            <w:rPr>
                              <w:rFonts w:ascii="Arial" w:hAnsi="Arial"/>
                              <w:b/>
                              <w:color w:val="003300"/>
                              <w:spacing w:val="-4"/>
                              <w:sz w:val="18"/>
                              <w:shd w:fill="E6E6E6" w:color="auto" w:val="clear"/>
                            </w:rPr>
                            <w:t>236</w:t>
                          </w:r>
                        </w:p>
                      </w:txbxContent>
                    </wps:txbx>
                    <wps:bodyPr wrap="square" lIns="0" tIns="0" rIns="0" bIns="0" rtlCol="0">
                      <a:noAutofit/>
                    </wps:bodyPr>
                  </wps:wsp>
                </a:graphicData>
              </a:graphic>
            </wp:anchor>
          </w:drawing>
        </mc:Choice>
        <mc:Fallback>
          <w:pict>
            <v:shape style="position:absolute;margin-left:315.920013pt;margin-top:554.612549pt;width:160.1pt;height:22.4pt;mso-position-horizontal-relative:page;mso-position-vertical-relative:page;z-index:-28981760" type="#_x0000_t202" id="docshape377" filled="false" stroked="false">
              <v:textbox inset="0,0,0,0">
                <w:txbxContent>
                  <w:p>
                    <w:pPr>
                      <w:spacing w:before="14"/>
                      <w:ind w:left="1450" w:right="18" w:hanging="1431"/>
                      <w:jc w:val="left"/>
                      <w:rPr>
                        <w:rFonts w:ascii="Arial" w:hAnsi="Arial"/>
                        <w:b/>
                        <w:sz w:val="18"/>
                      </w:rPr>
                    </w:pPr>
                    <w:r>
                      <w:rPr>
                        <w:rFonts w:ascii="Arial" w:hAnsi="Arial"/>
                        <w:b/>
                        <w:color w:val="003300"/>
                        <w:sz w:val="18"/>
                        <w:shd w:fill="E6E6E6" w:color="auto" w:val="clear"/>
                      </w:rPr>
                      <w:t>Appendix</w:t>
                    </w:r>
                    <w:r>
                      <w:rPr>
                        <w:rFonts w:ascii="Arial" w:hAnsi="Arial"/>
                        <w:b/>
                        <w:color w:val="003300"/>
                        <w:spacing w:val="-6"/>
                        <w:sz w:val="18"/>
                        <w:shd w:fill="E6E6E6" w:color="auto" w:val="clear"/>
                      </w:rPr>
                      <w:t> </w:t>
                    </w:r>
                    <w:r>
                      <w:rPr>
                        <w:rFonts w:ascii="Arial" w:hAnsi="Arial"/>
                        <w:b/>
                        <w:color w:val="003300"/>
                        <w:sz w:val="18"/>
                        <w:shd w:fill="E6E6E6" w:color="auto" w:val="clear"/>
                      </w:rPr>
                      <w:t>H</w:t>
                    </w:r>
                    <w:r>
                      <w:rPr>
                        <w:rFonts w:ascii="Arial" w:hAnsi="Arial"/>
                        <w:b/>
                        <w:color w:val="003300"/>
                        <w:spacing w:val="-7"/>
                        <w:sz w:val="18"/>
                        <w:shd w:fill="E6E6E6" w:color="auto" w:val="clear"/>
                      </w:rPr>
                      <w:t> </w:t>
                    </w:r>
                    <w:r>
                      <w:rPr>
                        <w:rFonts w:ascii="Arial" w:hAnsi="Arial"/>
                        <w:b/>
                        <w:color w:val="003300"/>
                        <w:sz w:val="18"/>
                        <w:shd w:fill="E6E6E6" w:color="auto" w:val="clear"/>
                      </w:rPr>
                      <w:t>–</w:t>
                    </w:r>
                    <w:r>
                      <w:rPr>
                        <w:rFonts w:ascii="Arial" w:hAnsi="Arial"/>
                        <w:b/>
                        <w:color w:val="003300"/>
                        <w:spacing w:val="-6"/>
                        <w:sz w:val="18"/>
                        <w:shd w:fill="E6E6E6" w:color="auto" w:val="clear"/>
                      </w:rPr>
                      <w:t> </w:t>
                    </w:r>
                    <w:r>
                      <w:rPr>
                        <w:rFonts w:ascii="Arial" w:hAnsi="Arial"/>
                        <w:b/>
                        <w:color w:val="003300"/>
                        <w:sz w:val="18"/>
                        <w:shd w:fill="E6E6E6" w:color="auto" w:val="clear"/>
                      </w:rPr>
                      <w:t>Management</w:t>
                    </w:r>
                    <w:r>
                      <w:rPr>
                        <w:rFonts w:ascii="Arial" w:hAnsi="Arial"/>
                        <w:b/>
                        <w:color w:val="003300"/>
                        <w:spacing w:val="-12"/>
                        <w:sz w:val="18"/>
                        <w:shd w:fill="E6E6E6" w:color="auto" w:val="clear"/>
                      </w:rPr>
                      <w:t> </w:t>
                    </w:r>
                    <w:r>
                      <w:rPr>
                        <w:rFonts w:ascii="Arial" w:hAnsi="Arial"/>
                        <w:b/>
                        <w:color w:val="003300"/>
                        <w:sz w:val="18"/>
                        <w:shd w:fill="E6E6E6" w:color="auto" w:val="clear"/>
                      </w:rPr>
                      <w:t>Area</w:t>
                    </w:r>
                    <w:r>
                      <w:rPr>
                        <w:rFonts w:ascii="Arial" w:hAnsi="Arial"/>
                        <w:b/>
                        <w:color w:val="003300"/>
                        <w:spacing w:val="-6"/>
                        <w:sz w:val="18"/>
                        <w:shd w:fill="E6E6E6" w:color="auto" w:val="clear"/>
                      </w:rPr>
                      <w:t> </w:t>
                    </w:r>
                    <w:r>
                      <w:rPr>
                        <w:rFonts w:ascii="Arial" w:hAnsi="Arial"/>
                        <w:b/>
                        <w:color w:val="003300"/>
                        <w:sz w:val="18"/>
                        <w:shd w:fill="E6E6E6" w:color="auto" w:val="clear"/>
                      </w:rPr>
                      <w:t>Map</w:t>
                    </w:r>
                    <w:r>
                      <w:rPr>
                        <w:rFonts w:ascii="Arial" w:hAnsi="Arial"/>
                        <w:b/>
                        <w:color w:val="003300"/>
                        <w:sz w:val="18"/>
                      </w:rPr>
                      <w:t> </w:t>
                    </w:r>
                    <w:r>
                      <w:rPr>
                        <w:rFonts w:ascii="Arial" w:hAnsi="Arial"/>
                        <w:b/>
                        <w:color w:val="003300"/>
                        <w:spacing w:val="-4"/>
                        <w:sz w:val="18"/>
                        <w:shd w:fill="E6E6E6" w:color="auto" w:val="clear"/>
                      </w:rPr>
                      <w:t>236</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3312">
              <wp:simplePos x="0" y="0"/>
              <wp:positionH relativeFrom="page">
                <wp:posOffset>896111</wp:posOffset>
              </wp:positionH>
              <wp:positionV relativeFrom="page">
                <wp:posOffset>9445752</wp:posOffset>
              </wp:positionV>
              <wp:extent cx="5523230" cy="1270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43.76001pt;width:434.88pt;height:.96pt;mso-position-horizontal-relative:page;mso-position-vertical-relative:page;z-index:-29063168" id="docshape29"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3824">
              <wp:simplePos x="0" y="0"/>
              <wp:positionH relativeFrom="page">
                <wp:posOffset>3570732</wp:posOffset>
              </wp:positionH>
              <wp:positionV relativeFrom="page">
                <wp:posOffset>9460643</wp:posOffset>
              </wp:positionV>
              <wp:extent cx="182245" cy="153670"/>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182245"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81.160004pt;margin-top:744.932556pt;width:14.35pt;height:12.1pt;mso-position-horizontal-relative:page;mso-position-vertical-relative:page;z-index:-29062656" type="#_x0000_t202" id="docshape30"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w:t>
                    </w:r>
                    <w:r>
                      <w:rPr>
                        <w:rFonts w:ascii="Arial"/>
                        <w:b/>
                        <w:color w:val="003300"/>
                        <w:spacing w:val="-5"/>
                        <w:sz w:val="18"/>
                        <w:shd w:fill="E6E6E6" w:color="auto" w:val="clear"/>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4336">
              <wp:simplePos x="0" y="0"/>
              <wp:positionH relativeFrom="page">
                <wp:posOffset>1353311</wp:posOffset>
              </wp:positionH>
              <wp:positionV relativeFrom="page">
                <wp:posOffset>9445752</wp:posOffset>
              </wp:positionV>
              <wp:extent cx="5523230" cy="1270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06.559998pt;margin-top:743.76001pt;width:434.88pt;height:.96pt;mso-position-horizontal-relative:page;mso-position-vertical-relative:page;z-index:-29062144" id="docshape31"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4848">
              <wp:simplePos x="0" y="0"/>
              <wp:positionH relativeFrom="page">
                <wp:posOffset>4012691</wp:posOffset>
              </wp:positionH>
              <wp:positionV relativeFrom="page">
                <wp:posOffset>9460643</wp:posOffset>
              </wp:positionV>
              <wp:extent cx="215265" cy="15367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215265"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vii</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315.959991pt;margin-top:744.932556pt;width:16.95pt;height:12.1pt;mso-position-horizontal-relative:page;mso-position-vertical-relative:page;z-index:-29061632" type="#_x0000_t202" id="docshape32"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vii</w:t>
                    </w:r>
                    <w:r>
                      <w:rPr>
                        <w:rFonts w:ascii="Arial"/>
                        <w:b/>
                        <w:color w:val="003300"/>
                        <w:spacing w:val="-5"/>
                        <w:sz w:val="18"/>
                        <w:shd w:fill="E6E6E6" w:color="auto" w:val="clear"/>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3312">
              <wp:simplePos x="0" y="0"/>
              <wp:positionH relativeFrom="page">
                <wp:posOffset>896111</wp:posOffset>
              </wp:positionH>
              <wp:positionV relativeFrom="page">
                <wp:posOffset>9445752</wp:posOffset>
              </wp:positionV>
              <wp:extent cx="5523230" cy="1270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0.559998pt;margin-top:743.76001pt;width:434.88pt;height:.96pt;mso-position-horizontal-relative:page;mso-position-vertical-relative:page;z-index:-29063168" id="docshape37" filled="true" fillcolor="#000000" stroked="false">
              <v:fill type="solid"/>
              <w10:wrap type="none"/>
            </v:rect>
          </w:pict>
        </mc:Fallback>
      </mc:AlternateContent>
    </w:r>
    <w:r>
      <w:rPr>
        <w:sz w:val="20"/>
      </w:rPr>
      <mc:AlternateContent>
        <mc:Choice Requires="wps">
          <w:drawing>
            <wp:anchor distT="0" distB="0" distL="0" distR="0" allowOverlap="1" layoutInCell="1" locked="0" behindDoc="1" simplePos="0" relativeHeight="474253824">
              <wp:simplePos x="0" y="0"/>
              <wp:positionH relativeFrom="page">
                <wp:posOffset>3570732</wp:posOffset>
              </wp:positionH>
              <wp:positionV relativeFrom="page">
                <wp:posOffset>9460643</wp:posOffset>
              </wp:positionV>
              <wp:extent cx="182245" cy="15367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82245" cy="153670"/>
                      </a:xfrm>
                      <a:prstGeom prst="rect">
                        <a:avLst/>
                      </a:prstGeom>
                    </wps:spPr>
                    <wps:txbx>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w:t>
                          </w:r>
                          <w:r>
                            <w:rPr>
                              <w:rFonts w:ascii="Arial"/>
                              <w:b/>
                              <w:color w:val="003300"/>
                              <w:spacing w:val="-5"/>
                              <w:sz w:val="18"/>
                              <w:shd w:fill="E6E6E6" w:color="auto" w:val="clear"/>
                            </w:rPr>
                            <w:fldChar w:fldCharType="end"/>
                          </w:r>
                        </w:p>
                      </w:txbxContent>
                    </wps:txbx>
                    <wps:bodyPr wrap="square" lIns="0" tIns="0" rIns="0" bIns="0" rtlCol="0">
                      <a:noAutofit/>
                    </wps:bodyPr>
                  </wps:wsp>
                </a:graphicData>
              </a:graphic>
            </wp:anchor>
          </w:drawing>
        </mc:Choice>
        <mc:Fallback>
          <w:pict>
            <v:shape style="position:absolute;margin-left:281.160004pt;margin-top:744.932556pt;width:14.35pt;height:12.1pt;mso-position-horizontal-relative:page;mso-position-vertical-relative:page;z-index:-29062656" type="#_x0000_t202" id="docshape38" filled="false" stroked="false">
              <v:textbox inset="0,0,0,0">
                <w:txbxContent>
                  <w:p>
                    <w:pPr>
                      <w:spacing w:before="14"/>
                      <w:ind w:left="60" w:right="0" w:firstLine="0"/>
                      <w:jc w:val="left"/>
                      <w:rPr>
                        <w:rFonts w:ascii="Arial"/>
                        <w:b/>
                        <w:sz w:val="18"/>
                      </w:rPr>
                    </w:pPr>
                    <w:r>
                      <w:rPr>
                        <w:rFonts w:ascii="Arial"/>
                        <w:b/>
                        <w:color w:val="003300"/>
                        <w:spacing w:val="-5"/>
                        <w:sz w:val="18"/>
                        <w:shd w:fill="E6E6E6" w:color="auto" w:val="clear"/>
                      </w:rPr>
                      <w:fldChar w:fldCharType="begin"/>
                    </w:r>
                    <w:r>
                      <w:rPr>
                        <w:rFonts w:ascii="Arial"/>
                        <w:b/>
                        <w:color w:val="003300"/>
                        <w:spacing w:val="-5"/>
                        <w:sz w:val="18"/>
                        <w:shd w:fill="E6E6E6" w:color="auto" w:val="clear"/>
                      </w:rPr>
                      <w:instrText> PAGE  \* roman </w:instrText>
                    </w:r>
                    <w:r>
                      <w:rPr>
                        <w:rFonts w:ascii="Arial"/>
                        <w:b/>
                        <w:color w:val="003300"/>
                        <w:spacing w:val="-5"/>
                        <w:sz w:val="18"/>
                        <w:shd w:fill="E6E6E6" w:color="auto" w:val="clear"/>
                      </w:rPr>
                      <w:fldChar w:fldCharType="separate"/>
                    </w:r>
                    <w:r>
                      <w:rPr>
                        <w:rFonts w:ascii="Arial"/>
                        <w:b/>
                        <w:color w:val="003300"/>
                        <w:spacing w:val="-5"/>
                        <w:sz w:val="18"/>
                        <w:shd w:fill="E6E6E6" w:color="auto" w:val="clear"/>
                      </w:rPr>
                      <w:t>vi</w:t>
                    </w:r>
                    <w:r>
                      <w:rPr>
                        <w:rFonts w:ascii="Arial"/>
                        <w:b/>
                        <w:color w:val="003300"/>
                        <w:spacing w:val="-5"/>
                        <w:sz w:val="18"/>
                        <w:shd w:fill="E6E6E6" w:color="auto" w:val="clear"/>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4608">
              <wp:simplePos x="0" y="0"/>
              <wp:positionH relativeFrom="page">
                <wp:posOffset>2698495</wp:posOffset>
              </wp:positionH>
              <wp:positionV relativeFrom="page">
                <wp:posOffset>447707</wp:posOffset>
              </wp:positionV>
              <wp:extent cx="2605405" cy="15367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12.479996pt;margin-top:35.252541pt;width:205.15pt;height:12.1pt;mso-position-horizontal-relative:page;mso-position-vertical-relative:page;z-index:-29071872" type="#_x0000_t202" id="docshape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2288">
              <wp:simplePos x="0" y="0"/>
              <wp:positionH relativeFrom="page">
                <wp:posOffset>1353311</wp:posOffset>
              </wp:positionH>
              <wp:positionV relativeFrom="page">
                <wp:posOffset>600455</wp:posOffset>
              </wp:positionV>
              <wp:extent cx="5523230" cy="12700"/>
              <wp:effectExtent l="0" t="0" r="0" b="0"/>
              <wp:wrapNone/>
              <wp:docPr id="38" name="Graphic 38"/>
              <wp:cNvGraphicFramePr>
                <a:graphicFrameLocks/>
              </wp:cNvGraphicFramePr>
              <a:graphic>
                <a:graphicData uri="http://schemas.microsoft.com/office/word/2010/wordprocessingShape">
                  <wps:wsp>
                    <wps:cNvPr id="38" name="Graphic 38"/>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06.559998pt;margin-top:47.279999pt;width:434.88pt;height:.96pt;mso-position-horizontal-relative:page;mso-position-vertical-relative:page;z-index:-29064192" id="docshape35"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2800">
              <wp:simplePos x="0" y="0"/>
              <wp:positionH relativeFrom="page">
                <wp:posOffset>2812795</wp:posOffset>
              </wp:positionH>
              <wp:positionV relativeFrom="page">
                <wp:posOffset>447707</wp:posOffset>
              </wp:positionV>
              <wp:extent cx="2605405" cy="153670"/>
              <wp:effectExtent l="0" t="0" r="0" b="0"/>
              <wp:wrapNone/>
              <wp:docPr id="39" name="Textbox 39"/>
              <wp:cNvGraphicFramePr>
                <a:graphicFrameLocks/>
              </wp:cNvGraphicFramePr>
              <a:graphic>
                <a:graphicData uri="http://schemas.microsoft.com/office/word/2010/wordprocessingShape">
                  <wps:wsp>
                    <wps:cNvPr id="39" name="Textbox 39"/>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1.479996pt;margin-top:35.252541pt;width:205.15pt;height:12.1pt;mso-position-horizontal-relative:page;mso-position-vertical-relative:page;z-index:-29063680" type="#_x0000_t202" id="docshape36"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5360">
              <wp:simplePos x="0" y="0"/>
              <wp:positionH relativeFrom="page">
                <wp:posOffset>1399032</wp:posOffset>
              </wp:positionH>
              <wp:positionV relativeFrom="page">
                <wp:posOffset>600455</wp:posOffset>
              </wp:positionV>
              <wp:extent cx="5477510" cy="1270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61120" id="docshape4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5872">
              <wp:simplePos x="0" y="0"/>
              <wp:positionH relativeFrom="page">
                <wp:posOffset>2835655</wp:posOffset>
              </wp:positionH>
              <wp:positionV relativeFrom="page">
                <wp:posOffset>447707</wp:posOffset>
              </wp:positionV>
              <wp:extent cx="2605405" cy="15367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60608" type="#_x0000_t202" id="docshape4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6384">
              <wp:simplePos x="0" y="0"/>
              <wp:positionH relativeFrom="page">
                <wp:posOffset>896111</wp:posOffset>
              </wp:positionH>
              <wp:positionV relativeFrom="page">
                <wp:posOffset>600455</wp:posOffset>
              </wp:positionV>
              <wp:extent cx="5477510" cy="12700"/>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1.28pt;height:.96pt;mso-position-horizontal-relative:page;mso-position-vertical-relative:page;z-index:-29060096" id="docshape4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6896">
              <wp:simplePos x="0" y="0"/>
              <wp:positionH relativeFrom="page">
                <wp:posOffset>2331211</wp:posOffset>
              </wp:positionH>
              <wp:positionV relativeFrom="page">
                <wp:posOffset>447707</wp:posOffset>
              </wp:positionV>
              <wp:extent cx="2605405" cy="15367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3.559998pt;margin-top:35.252541pt;width:205.15pt;height:12.1pt;mso-position-horizontal-relative:page;mso-position-vertical-relative:page;z-index:-29059584" type="#_x0000_t202" id="docshape4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9456">
              <wp:simplePos x="0" y="0"/>
              <wp:positionH relativeFrom="page">
                <wp:posOffset>1399032</wp:posOffset>
              </wp:positionH>
              <wp:positionV relativeFrom="page">
                <wp:posOffset>600455</wp:posOffset>
              </wp:positionV>
              <wp:extent cx="5477510" cy="12700"/>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57024" id="docshape118"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9968">
              <wp:simplePos x="0" y="0"/>
              <wp:positionH relativeFrom="page">
                <wp:posOffset>2835655</wp:posOffset>
              </wp:positionH>
              <wp:positionV relativeFrom="page">
                <wp:posOffset>447707</wp:posOffset>
              </wp:positionV>
              <wp:extent cx="2605405" cy="15367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56512" type="#_x0000_t202" id="docshape119"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0480">
              <wp:simplePos x="0" y="0"/>
              <wp:positionH relativeFrom="page">
                <wp:posOffset>896111</wp:posOffset>
              </wp:positionH>
              <wp:positionV relativeFrom="page">
                <wp:posOffset>600455</wp:posOffset>
              </wp:positionV>
              <wp:extent cx="5477510" cy="1270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1.28pt;height:.96pt;mso-position-horizontal-relative:page;mso-position-vertical-relative:page;z-index:-29056000" id="docshape120"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60992">
              <wp:simplePos x="0" y="0"/>
              <wp:positionH relativeFrom="page">
                <wp:posOffset>2332735</wp:posOffset>
              </wp:positionH>
              <wp:positionV relativeFrom="page">
                <wp:posOffset>447707</wp:posOffset>
              </wp:positionV>
              <wp:extent cx="2605405" cy="15367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3.679993pt;margin-top:35.252541pt;width:205.15pt;height:12.1pt;mso-position-horizontal-relative:page;mso-position-vertical-relative:page;z-index:-29055488" type="#_x0000_t202" id="docshape121"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3552">
              <wp:simplePos x="0" y="0"/>
              <wp:positionH relativeFrom="page">
                <wp:posOffset>1399032</wp:posOffset>
              </wp:positionH>
              <wp:positionV relativeFrom="page">
                <wp:posOffset>600455</wp:posOffset>
              </wp:positionV>
              <wp:extent cx="5477510" cy="12700"/>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52928" id="docshape17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64064">
              <wp:simplePos x="0" y="0"/>
              <wp:positionH relativeFrom="page">
                <wp:posOffset>2835655</wp:posOffset>
              </wp:positionH>
              <wp:positionV relativeFrom="page">
                <wp:posOffset>447707</wp:posOffset>
              </wp:positionV>
              <wp:extent cx="2605405" cy="15367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52416" type="#_x0000_t202" id="docshape18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4576">
              <wp:simplePos x="0" y="0"/>
              <wp:positionH relativeFrom="page">
                <wp:posOffset>896111</wp:posOffset>
              </wp:positionH>
              <wp:positionV relativeFrom="page">
                <wp:posOffset>600455</wp:posOffset>
              </wp:positionV>
              <wp:extent cx="5477510" cy="12700"/>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1.28pt;height:.96pt;mso-position-horizontal-relative:page;mso-position-vertical-relative:page;z-index:-29051904" id="docshape18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65088">
              <wp:simplePos x="0" y="0"/>
              <wp:positionH relativeFrom="page">
                <wp:posOffset>2332735</wp:posOffset>
              </wp:positionH>
              <wp:positionV relativeFrom="page">
                <wp:posOffset>447707</wp:posOffset>
              </wp:positionV>
              <wp:extent cx="2605405" cy="15367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3.679993pt;margin-top:35.252541pt;width:205.15pt;height:12.1pt;mso-position-horizontal-relative:page;mso-position-vertical-relative:page;z-index:-29051392" type="#_x0000_t202" id="docshape18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7648">
              <wp:simplePos x="0" y="0"/>
              <wp:positionH relativeFrom="page">
                <wp:posOffset>896111</wp:posOffset>
              </wp:positionH>
              <wp:positionV relativeFrom="page">
                <wp:posOffset>600455</wp:posOffset>
              </wp:positionV>
              <wp:extent cx="8266430" cy="12700"/>
              <wp:effectExtent l="0" t="0" r="0" b="0"/>
              <wp:wrapNone/>
              <wp:docPr id="227" name="Graphic 227"/>
              <wp:cNvGraphicFramePr>
                <a:graphicFrameLocks/>
              </wp:cNvGraphicFramePr>
              <a:graphic>
                <a:graphicData uri="http://schemas.microsoft.com/office/word/2010/wordprocessingShape">
                  <wps:wsp>
                    <wps:cNvPr id="227" name="Graphic 227"/>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48832" id="docshape21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68160">
              <wp:simplePos x="0" y="0"/>
              <wp:positionH relativeFrom="page">
                <wp:posOffset>3727196</wp:posOffset>
              </wp:positionH>
              <wp:positionV relativeFrom="page">
                <wp:posOffset>447707</wp:posOffset>
              </wp:positionV>
              <wp:extent cx="2605405" cy="15367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48320" type="#_x0000_t202" id="docshape21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69696">
              <wp:simplePos x="0" y="0"/>
              <wp:positionH relativeFrom="page">
                <wp:posOffset>896111</wp:posOffset>
              </wp:positionH>
              <wp:positionV relativeFrom="page">
                <wp:posOffset>600455</wp:posOffset>
              </wp:positionV>
              <wp:extent cx="8266430" cy="12700"/>
              <wp:effectExtent l="0" t="0" r="0" b="0"/>
              <wp:wrapNone/>
              <wp:docPr id="233" name="Graphic 233"/>
              <wp:cNvGraphicFramePr>
                <a:graphicFrameLocks/>
              </wp:cNvGraphicFramePr>
              <a:graphic>
                <a:graphicData uri="http://schemas.microsoft.com/office/word/2010/wordprocessingShape">
                  <wps:wsp>
                    <wps:cNvPr id="233" name="Graphic 233"/>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46784" id="docshape21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0208">
              <wp:simplePos x="0" y="0"/>
              <wp:positionH relativeFrom="page">
                <wp:posOffset>3727196</wp:posOffset>
              </wp:positionH>
              <wp:positionV relativeFrom="page">
                <wp:posOffset>447707</wp:posOffset>
              </wp:positionV>
              <wp:extent cx="2605405" cy="153670"/>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46272" type="#_x0000_t202" id="docshape22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0720">
              <wp:simplePos x="0" y="0"/>
              <wp:positionH relativeFrom="page">
                <wp:posOffset>1399032</wp:posOffset>
              </wp:positionH>
              <wp:positionV relativeFrom="page">
                <wp:posOffset>600455</wp:posOffset>
              </wp:positionV>
              <wp:extent cx="5477510" cy="12700"/>
              <wp:effectExtent l="0" t="0" r="0" b="0"/>
              <wp:wrapNone/>
              <wp:docPr id="235" name="Graphic 235"/>
              <wp:cNvGraphicFramePr>
                <a:graphicFrameLocks/>
              </wp:cNvGraphicFramePr>
              <a:graphic>
                <a:graphicData uri="http://schemas.microsoft.com/office/word/2010/wordprocessingShape">
                  <wps:wsp>
                    <wps:cNvPr id="235" name="Graphic 235"/>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45760" id="docshape22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1232">
              <wp:simplePos x="0" y="0"/>
              <wp:positionH relativeFrom="page">
                <wp:posOffset>2835655</wp:posOffset>
              </wp:positionH>
              <wp:positionV relativeFrom="page">
                <wp:posOffset>447707</wp:posOffset>
              </wp:positionV>
              <wp:extent cx="2605405" cy="153670"/>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45248" type="#_x0000_t202" id="docshape22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3792">
              <wp:simplePos x="0" y="0"/>
              <wp:positionH relativeFrom="page">
                <wp:posOffset>896111</wp:posOffset>
              </wp:positionH>
              <wp:positionV relativeFrom="page">
                <wp:posOffset>600455</wp:posOffset>
              </wp:positionV>
              <wp:extent cx="5477510" cy="12700"/>
              <wp:effectExtent l="0" t="0" r="0" b="0"/>
              <wp:wrapNone/>
              <wp:docPr id="241" name="Graphic 241"/>
              <wp:cNvGraphicFramePr>
                <a:graphicFrameLocks/>
              </wp:cNvGraphicFramePr>
              <a:graphic>
                <a:graphicData uri="http://schemas.microsoft.com/office/word/2010/wordprocessingShape">
                  <wps:wsp>
                    <wps:cNvPr id="241" name="Graphic 241"/>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1.28pt;height:.96pt;mso-position-horizontal-relative:page;mso-position-vertical-relative:page;z-index:-29042688" id="docshape227"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4304">
              <wp:simplePos x="0" y="0"/>
              <wp:positionH relativeFrom="page">
                <wp:posOffset>2332735</wp:posOffset>
              </wp:positionH>
              <wp:positionV relativeFrom="page">
                <wp:posOffset>447707</wp:posOffset>
              </wp:positionV>
              <wp:extent cx="2605405" cy="15367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3.679993pt;margin-top:35.252541pt;width:205.15pt;height:12.1pt;mso-position-horizontal-relative:page;mso-position-vertical-relative:page;z-index:-29042176" type="#_x0000_t202" id="docshape228"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4816">
              <wp:simplePos x="0" y="0"/>
              <wp:positionH relativeFrom="page">
                <wp:posOffset>1399032</wp:posOffset>
              </wp:positionH>
              <wp:positionV relativeFrom="page">
                <wp:posOffset>600455</wp:posOffset>
              </wp:positionV>
              <wp:extent cx="5477510" cy="12700"/>
              <wp:effectExtent l="0" t="0" r="0" b="0"/>
              <wp:wrapNone/>
              <wp:docPr id="243" name="Graphic 243"/>
              <wp:cNvGraphicFramePr>
                <a:graphicFrameLocks/>
              </wp:cNvGraphicFramePr>
              <a:graphic>
                <a:graphicData uri="http://schemas.microsoft.com/office/word/2010/wordprocessingShape">
                  <wps:wsp>
                    <wps:cNvPr id="243" name="Graphic 243"/>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41664" id="docshape22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5328">
              <wp:simplePos x="0" y="0"/>
              <wp:positionH relativeFrom="page">
                <wp:posOffset>2835655</wp:posOffset>
              </wp:positionH>
              <wp:positionV relativeFrom="page">
                <wp:posOffset>447707</wp:posOffset>
              </wp:positionV>
              <wp:extent cx="2605405" cy="15367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41152" type="#_x0000_t202" id="docshape23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7888">
              <wp:simplePos x="0" y="0"/>
              <wp:positionH relativeFrom="page">
                <wp:posOffset>1399032</wp:posOffset>
              </wp:positionH>
              <wp:positionV relativeFrom="page">
                <wp:posOffset>600455</wp:posOffset>
              </wp:positionV>
              <wp:extent cx="5477510" cy="1270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10.160004pt;margin-top:47.279999pt;width:431.28pt;height:.96pt;mso-position-horizontal-relative:page;mso-position-vertical-relative:page;z-index:-29038592" id="docshape236"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8400">
              <wp:simplePos x="0" y="0"/>
              <wp:positionH relativeFrom="page">
                <wp:posOffset>2835655</wp:posOffset>
              </wp:positionH>
              <wp:positionV relativeFrom="page">
                <wp:posOffset>447707</wp:posOffset>
              </wp:positionV>
              <wp:extent cx="2605405" cy="15367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3.279999pt;margin-top:35.252541pt;width:205.15pt;height:12.1pt;mso-position-horizontal-relative:page;mso-position-vertical-relative:page;z-index:-29038080" type="#_x0000_t202" id="docshape237"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78912">
              <wp:simplePos x="0" y="0"/>
              <wp:positionH relativeFrom="page">
                <wp:posOffset>896111</wp:posOffset>
              </wp:positionH>
              <wp:positionV relativeFrom="page">
                <wp:posOffset>600455</wp:posOffset>
              </wp:positionV>
              <wp:extent cx="5477510" cy="1270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5477510" cy="12700"/>
                      </a:xfrm>
                      <a:custGeom>
                        <a:avLst/>
                        <a:gdLst/>
                        <a:ahLst/>
                        <a:cxnLst/>
                        <a:rect l="l" t="t" r="r" b="b"/>
                        <a:pathLst>
                          <a:path w="5477510" h="12700">
                            <a:moveTo>
                              <a:pt x="5477256" y="0"/>
                            </a:moveTo>
                            <a:lnTo>
                              <a:pt x="0" y="0"/>
                            </a:lnTo>
                            <a:lnTo>
                              <a:pt x="0" y="12192"/>
                            </a:lnTo>
                            <a:lnTo>
                              <a:pt x="5477256" y="12192"/>
                            </a:lnTo>
                            <a:lnTo>
                              <a:pt x="54772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1.28pt;height:.96pt;mso-position-horizontal-relative:page;mso-position-vertical-relative:page;z-index:-29037568" id="docshape238"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79424">
              <wp:simplePos x="0" y="0"/>
              <wp:positionH relativeFrom="page">
                <wp:posOffset>2332735</wp:posOffset>
              </wp:positionH>
              <wp:positionV relativeFrom="page">
                <wp:posOffset>447707</wp:posOffset>
              </wp:positionV>
              <wp:extent cx="2605405" cy="15367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3.679993pt;margin-top:35.252541pt;width:205.15pt;height:12.1pt;mso-position-horizontal-relative:page;mso-position-vertical-relative:page;z-index:-29037056" type="#_x0000_t202" id="docshape239"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1984">
              <wp:simplePos x="0" y="0"/>
              <wp:positionH relativeFrom="page">
                <wp:posOffset>896111</wp:posOffset>
              </wp:positionH>
              <wp:positionV relativeFrom="page">
                <wp:posOffset>600455</wp:posOffset>
              </wp:positionV>
              <wp:extent cx="8266430" cy="12700"/>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34496" id="docshape256"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82496">
              <wp:simplePos x="0" y="0"/>
              <wp:positionH relativeFrom="page">
                <wp:posOffset>3727196</wp:posOffset>
              </wp:positionH>
              <wp:positionV relativeFrom="page">
                <wp:posOffset>447707</wp:posOffset>
              </wp:positionV>
              <wp:extent cx="2605405" cy="15367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33984" type="#_x0000_t202" id="docshape257"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3008">
              <wp:simplePos x="0" y="0"/>
              <wp:positionH relativeFrom="page">
                <wp:posOffset>896111</wp:posOffset>
              </wp:positionH>
              <wp:positionV relativeFrom="page">
                <wp:posOffset>600455</wp:posOffset>
              </wp:positionV>
              <wp:extent cx="8266430" cy="12700"/>
              <wp:effectExtent l="0" t="0" r="0" b="0"/>
              <wp:wrapNone/>
              <wp:docPr id="273" name="Graphic 273"/>
              <wp:cNvGraphicFramePr>
                <a:graphicFrameLocks/>
              </wp:cNvGraphicFramePr>
              <a:graphic>
                <a:graphicData uri="http://schemas.microsoft.com/office/word/2010/wordprocessingShape">
                  <wps:wsp>
                    <wps:cNvPr id="273" name="Graphic 273"/>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33472" id="docshape258"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83520">
              <wp:simplePos x="0" y="0"/>
              <wp:positionH relativeFrom="page">
                <wp:posOffset>3727196</wp:posOffset>
              </wp:positionH>
              <wp:positionV relativeFrom="page">
                <wp:posOffset>447707</wp:posOffset>
              </wp:positionV>
              <wp:extent cx="2605405" cy="153670"/>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32960" type="#_x0000_t202" id="docshape259"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6080">
              <wp:simplePos x="0" y="0"/>
              <wp:positionH relativeFrom="page">
                <wp:posOffset>896111</wp:posOffset>
              </wp:positionH>
              <wp:positionV relativeFrom="page">
                <wp:posOffset>600455</wp:posOffset>
              </wp:positionV>
              <wp:extent cx="5706110" cy="1270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9030400" id="docshape264"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86592">
              <wp:simplePos x="0" y="0"/>
              <wp:positionH relativeFrom="page">
                <wp:posOffset>2447035</wp:posOffset>
              </wp:positionH>
              <wp:positionV relativeFrom="page">
                <wp:posOffset>447707</wp:posOffset>
              </wp:positionV>
              <wp:extent cx="2605405" cy="15367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9029888" type="#_x0000_t202" id="docshape265"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7104">
              <wp:simplePos x="0" y="0"/>
              <wp:positionH relativeFrom="page">
                <wp:posOffset>1170432</wp:posOffset>
              </wp:positionH>
              <wp:positionV relativeFrom="page">
                <wp:posOffset>600455</wp:posOffset>
              </wp:positionV>
              <wp:extent cx="5706110" cy="1270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9029376" id="docshape266"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87616">
              <wp:simplePos x="0" y="0"/>
              <wp:positionH relativeFrom="page">
                <wp:posOffset>2721355</wp:posOffset>
              </wp:positionH>
              <wp:positionV relativeFrom="page">
                <wp:posOffset>447707</wp:posOffset>
              </wp:positionV>
              <wp:extent cx="2605405" cy="15367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9028864" type="#_x0000_t202" id="docshape267"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89664">
              <wp:simplePos x="0" y="0"/>
              <wp:positionH relativeFrom="page">
                <wp:posOffset>896111</wp:posOffset>
              </wp:positionH>
              <wp:positionV relativeFrom="page">
                <wp:posOffset>600455</wp:posOffset>
              </wp:positionV>
              <wp:extent cx="5706110" cy="12700"/>
              <wp:effectExtent l="0" t="0" r="0" b="0"/>
              <wp:wrapNone/>
              <wp:docPr id="289" name="Graphic 289"/>
              <wp:cNvGraphicFramePr>
                <a:graphicFrameLocks/>
              </wp:cNvGraphicFramePr>
              <a:graphic>
                <a:graphicData uri="http://schemas.microsoft.com/office/word/2010/wordprocessingShape">
                  <wps:wsp>
                    <wps:cNvPr id="289" name="Graphic 289"/>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9026816" id="docshape27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0176">
              <wp:simplePos x="0" y="0"/>
              <wp:positionH relativeFrom="page">
                <wp:posOffset>2447035</wp:posOffset>
              </wp:positionH>
              <wp:positionV relativeFrom="page">
                <wp:posOffset>447707</wp:posOffset>
              </wp:positionV>
              <wp:extent cx="2605405" cy="15367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9026304" type="#_x0000_t202" id="docshape27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5632">
              <wp:simplePos x="0" y="0"/>
              <wp:positionH relativeFrom="page">
                <wp:posOffset>1353311</wp:posOffset>
              </wp:positionH>
              <wp:positionV relativeFrom="page">
                <wp:posOffset>600455</wp:posOffset>
              </wp:positionV>
              <wp:extent cx="5523230" cy="1270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06.559998pt;margin-top:47.279999pt;width:434.88pt;height:.96pt;mso-position-horizontal-relative:page;mso-position-vertical-relative:page;z-index:-29070848" id="docshape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46144">
              <wp:simplePos x="0" y="0"/>
              <wp:positionH relativeFrom="page">
                <wp:posOffset>2812795</wp:posOffset>
              </wp:positionH>
              <wp:positionV relativeFrom="page">
                <wp:posOffset>447707</wp:posOffset>
              </wp:positionV>
              <wp:extent cx="2605405" cy="153670"/>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1.479996pt;margin-top:35.252541pt;width:205.15pt;height:12.1pt;mso-position-horizontal-relative:page;mso-position-vertical-relative:page;z-index:-29070336" type="#_x0000_t202" id="docshape1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0688">
              <wp:simplePos x="0" y="0"/>
              <wp:positionH relativeFrom="page">
                <wp:posOffset>1170432</wp:posOffset>
              </wp:positionH>
              <wp:positionV relativeFrom="page">
                <wp:posOffset>600455</wp:posOffset>
              </wp:positionV>
              <wp:extent cx="5706110" cy="12700"/>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9025792" id="docshape275"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1200">
              <wp:simplePos x="0" y="0"/>
              <wp:positionH relativeFrom="page">
                <wp:posOffset>2721355</wp:posOffset>
              </wp:positionH>
              <wp:positionV relativeFrom="page">
                <wp:posOffset>447707</wp:posOffset>
              </wp:positionV>
              <wp:extent cx="2605405" cy="15367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9025280" type="#_x0000_t202" id="docshape276"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3760">
              <wp:simplePos x="0" y="0"/>
              <wp:positionH relativeFrom="page">
                <wp:posOffset>896111</wp:posOffset>
              </wp:positionH>
              <wp:positionV relativeFrom="page">
                <wp:posOffset>600455</wp:posOffset>
              </wp:positionV>
              <wp:extent cx="5706110" cy="1270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9022720" id="docshape284"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4272">
              <wp:simplePos x="0" y="0"/>
              <wp:positionH relativeFrom="page">
                <wp:posOffset>2447035</wp:posOffset>
              </wp:positionH>
              <wp:positionV relativeFrom="page">
                <wp:posOffset>447707</wp:posOffset>
              </wp:positionV>
              <wp:extent cx="2605405" cy="15367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9022208" type="#_x0000_t202" id="docshape285"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4784">
              <wp:simplePos x="0" y="0"/>
              <wp:positionH relativeFrom="page">
                <wp:posOffset>1170432</wp:posOffset>
              </wp:positionH>
              <wp:positionV relativeFrom="page">
                <wp:posOffset>600455</wp:posOffset>
              </wp:positionV>
              <wp:extent cx="5706110" cy="12700"/>
              <wp:effectExtent l="0" t="0" r="0" b="0"/>
              <wp:wrapNone/>
              <wp:docPr id="302" name="Graphic 302"/>
              <wp:cNvGraphicFramePr>
                <a:graphicFrameLocks/>
              </wp:cNvGraphicFramePr>
              <a:graphic>
                <a:graphicData uri="http://schemas.microsoft.com/office/word/2010/wordprocessingShape">
                  <wps:wsp>
                    <wps:cNvPr id="302" name="Graphic 302"/>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9021696" id="docshape286"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5296">
              <wp:simplePos x="0" y="0"/>
              <wp:positionH relativeFrom="page">
                <wp:posOffset>2721355</wp:posOffset>
              </wp:positionH>
              <wp:positionV relativeFrom="page">
                <wp:posOffset>447707</wp:posOffset>
              </wp:positionV>
              <wp:extent cx="2605405" cy="153670"/>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9021184" type="#_x0000_t202" id="docshape287"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7856">
              <wp:simplePos x="0" y="0"/>
              <wp:positionH relativeFrom="page">
                <wp:posOffset>1170432</wp:posOffset>
              </wp:positionH>
              <wp:positionV relativeFrom="page">
                <wp:posOffset>600455</wp:posOffset>
              </wp:positionV>
              <wp:extent cx="5706110" cy="12700"/>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9018624" id="docshape292"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8368">
              <wp:simplePos x="0" y="0"/>
              <wp:positionH relativeFrom="page">
                <wp:posOffset>2721355</wp:posOffset>
              </wp:positionH>
              <wp:positionV relativeFrom="page">
                <wp:posOffset>447707</wp:posOffset>
              </wp:positionV>
              <wp:extent cx="2605405" cy="15367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9018112" type="#_x0000_t202" id="docshape293"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98880">
              <wp:simplePos x="0" y="0"/>
              <wp:positionH relativeFrom="page">
                <wp:posOffset>896111</wp:posOffset>
              </wp:positionH>
              <wp:positionV relativeFrom="page">
                <wp:posOffset>600455</wp:posOffset>
              </wp:positionV>
              <wp:extent cx="8266430" cy="12700"/>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17600" id="docshape294"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99392">
              <wp:simplePos x="0" y="0"/>
              <wp:positionH relativeFrom="page">
                <wp:posOffset>3727196</wp:posOffset>
              </wp:positionH>
              <wp:positionV relativeFrom="page">
                <wp:posOffset>447707</wp:posOffset>
              </wp:positionV>
              <wp:extent cx="2605405" cy="153670"/>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17088" type="#_x0000_t202" id="docshape295"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1952">
              <wp:simplePos x="0" y="0"/>
              <wp:positionH relativeFrom="page">
                <wp:posOffset>896111</wp:posOffset>
              </wp:positionH>
              <wp:positionV relativeFrom="page">
                <wp:posOffset>600455</wp:posOffset>
              </wp:positionV>
              <wp:extent cx="8266430" cy="12700"/>
              <wp:effectExtent l="0" t="0" r="0" b="0"/>
              <wp:wrapNone/>
              <wp:docPr id="317" name="Graphic 317"/>
              <wp:cNvGraphicFramePr>
                <a:graphicFrameLocks/>
              </wp:cNvGraphicFramePr>
              <a:graphic>
                <a:graphicData uri="http://schemas.microsoft.com/office/word/2010/wordprocessingShape">
                  <wps:wsp>
                    <wps:cNvPr id="317" name="Graphic 317"/>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14528" id="docshape30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02464">
              <wp:simplePos x="0" y="0"/>
              <wp:positionH relativeFrom="page">
                <wp:posOffset>3727196</wp:posOffset>
              </wp:positionH>
              <wp:positionV relativeFrom="page">
                <wp:posOffset>447707</wp:posOffset>
              </wp:positionV>
              <wp:extent cx="2605405" cy="15367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14016" type="#_x0000_t202" id="docshape30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2976">
              <wp:simplePos x="0" y="0"/>
              <wp:positionH relativeFrom="page">
                <wp:posOffset>896111</wp:posOffset>
              </wp:positionH>
              <wp:positionV relativeFrom="page">
                <wp:posOffset>600455</wp:posOffset>
              </wp:positionV>
              <wp:extent cx="8266430" cy="12700"/>
              <wp:effectExtent l="0" t="0" r="0" b="0"/>
              <wp:wrapNone/>
              <wp:docPr id="319" name="Graphic 319"/>
              <wp:cNvGraphicFramePr>
                <a:graphicFrameLocks/>
              </wp:cNvGraphicFramePr>
              <a:graphic>
                <a:graphicData uri="http://schemas.microsoft.com/office/word/2010/wordprocessingShape">
                  <wps:wsp>
                    <wps:cNvPr id="319" name="Graphic 319"/>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9013504" id="docshape30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03488">
              <wp:simplePos x="0" y="0"/>
              <wp:positionH relativeFrom="page">
                <wp:posOffset>3727196</wp:posOffset>
              </wp:positionH>
              <wp:positionV relativeFrom="page">
                <wp:posOffset>447707</wp:posOffset>
              </wp:positionV>
              <wp:extent cx="2605405" cy="15367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9012992" type="#_x0000_t202" id="docshape30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07584">
              <wp:simplePos x="0" y="0"/>
              <wp:positionH relativeFrom="page">
                <wp:posOffset>896111</wp:posOffset>
              </wp:positionH>
              <wp:positionV relativeFrom="page">
                <wp:posOffset>600455</wp:posOffset>
              </wp:positionV>
              <wp:extent cx="5980430" cy="12700"/>
              <wp:effectExtent l="0" t="0" r="0" b="0"/>
              <wp:wrapNone/>
              <wp:docPr id="330" name="Graphic 330"/>
              <wp:cNvGraphicFramePr>
                <a:graphicFrameLocks/>
              </wp:cNvGraphicFramePr>
              <a:graphic>
                <a:graphicData uri="http://schemas.microsoft.com/office/word/2010/wordprocessingShape">
                  <wps:wsp>
                    <wps:cNvPr id="330" name="Graphic 330"/>
                    <wps:cNvSpPr/>
                    <wps:spPr>
                      <a:xfrm>
                        <a:off x="0" y="0"/>
                        <a:ext cx="5980430" cy="12700"/>
                      </a:xfrm>
                      <a:custGeom>
                        <a:avLst/>
                        <a:gdLst/>
                        <a:ahLst/>
                        <a:cxnLst/>
                        <a:rect l="l" t="t" r="r" b="b"/>
                        <a:pathLst>
                          <a:path w="5980430" h="12700">
                            <a:moveTo>
                              <a:pt x="5980176" y="0"/>
                            </a:moveTo>
                            <a:lnTo>
                              <a:pt x="0" y="0"/>
                            </a:lnTo>
                            <a:lnTo>
                              <a:pt x="0" y="12192"/>
                            </a:lnTo>
                            <a:lnTo>
                              <a:pt x="5980176" y="12192"/>
                            </a:lnTo>
                            <a:lnTo>
                              <a:pt x="5980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70.88pt;height:.96pt;mso-position-horizontal-relative:page;mso-position-vertical-relative:page;z-index:-29008896" id="docshape314"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08096">
              <wp:simplePos x="0" y="0"/>
              <wp:positionH relativeFrom="page">
                <wp:posOffset>2584195</wp:posOffset>
              </wp:positionH>
              <wp:positionV relativeFrom="page">
                <wp:posOffset>447707</wp:posOffset>
              </wp:positionV>
              <wp:extent cx="2605405" cy="153670"/>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03.479996pt;margin-top:35.252541pt;width:205.15pt;height:12.1pt;mso-position-horizontal-relative:page;mso-position-vertical-relative:page;z-index:-29008384" type="#_x0000_t202" id="docshape315"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6656">
              <wp:simplePos x="0" y="0"/>
              <wp:positionH relativeFrom="page">
                <wp:posOffset>896111</wp:posOffset>
              </wp:positionH>
              <wp:positionV relativeFrom="page">
                <wp:posOffset>600455</wp:posOffset>
              </wp:positionV>
              <wp:extent cx="5523230" cy="1270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4.88pt;height:.96pt;mso-position-horizontal-relative:page;mso-position-vertical-relative:page;z-index:-29069824" id="docshape1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47168">
              <wp:simplePos x="0" y="0"/>
              <wp:positionH relativeFrom="page">
                <wp:posOffset>2354072</wp:posOffset>
              </wp:positionH>
              <wp:positionV relativeFrom="page">
                <wp:posOffset>447707</wp:posOffset>
              </wp:positionV>
              <wp:extent cx="2605405" cy="15367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5.360001pt;margin-top:35.252541pt;width:205.15pt;height:12.1pt;mso-position-horizontal-relative:page;mso-position-vertical-relative:page;z-index:-29069312" type="#_x0000_t202" id="docshape1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0144">
              <wp:simplePos x="0" y="0"/>
              <wp:positionH relativeFrom="page">
                <wp:posOffset>896111</wp:posOffset>
              </wp:positionH>
              <wp:positionV relativeFrom="page">
                <wp:posOffset>600455</wp:posOffset>
              </wp:positionV>
              <wp:extent cx="5980430" cy="12700"/>
              <wp:effectExtent l="0" t="0" r="0" b="0"/>
              <wp:wrapNone/>
              <wp:docPr id="338" name="Graphic 338"/>
              <wp:cNvGraphicFramePr>
                <a:graphicFrameLocks/>
              </wp:cNvGraphicFramePr>
              <a:graphic>
                <a:graphicData uri="http://schemas.microsoft.com/office/word/2010/wordprocessingShape">
                  <wps:wsp>
                    <wps:cNvPr id="338" name="Graphic 338"/>
                    <wps:cNvSpPr/>
                    <wps:spPr>
                      <a:xfrm>
                        <a:off x="0" y="0"/>
                        <a:ext cx="5980430" cy="12700"/>
                      </a:xfrm>
                      <a:custGeom>
                        <a:avLst/>
                        <a:gdLst/>
                        <a:ahLst/>
                        <a:cxnLst/>
                        <a:rect l="l" t="t" r="r" b="b"/>
                        <a:pathLst>
                          <a:path w="5980430" h="12700">
                            <a:moveTo>
                              <a:pt x="5980176" y="0"/>
                            </a:moveTo>
                            <a:lnTo>
                              <a:pt x="0" y="0"/>
                            </a:lnTo>
                            <a:lnTo>
                              <a:pt x="0" y="12192"/>
                            </a:lnTo>
                            <a:lnTo>
                              <a:pt x="5980176" y="12192"/>
                            </a:lnTo>
                            <a:lnTo>
                              <a:pt x="5980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70.88pt;height:.96pt;mso-position-horizontal-relative:page;mso-position-vertical-relative:page;z-index:-29006336" id="docshape32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0656">
              <wp:simplePos x="0" y="0"/>
              <wp:positionH relativeFrom="page">
                <wp:posOffset>2584195</wp:posOffset>
              </wp:positionH>
              <wp:positionV relativeFrom="page">
                <wp:posOffset>447707</wp:posOffset>
              </wp:positionV>
              <wp:extent cx="2605405" cy="153670"/>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03.479996pt;margin-top:35.252541pt;width:205.15pt;height:12.1pt;mso-position-horizontal-relative:page;mso-position-vertical-relative:page;z-index:-29005824" type="#_x0000_t202" id="docshape32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1168">
              <wp:simplePos x="0" y="0"/>
              <wp:positionH relativeFrom="page">
                <wp:posOffset>896111</wp:posOffset>
              </wp:positionH>
              <wp:positionV relativeFrom="page">
                <wp:posOffset>600455</wp:posOffset>
              </wp:positionV>
              <wp:extent cx="5980430" cy="12700"/>
              <wp:effectExtent l="0" t="0" r="0" b="0"/>
              <wp:wrapNone/>
              <wp:docPr id="340" name="Graphic 340"/>
              <wp:cNvGraphicFramePr>
                <a:graphicFrameLocks/>
              </wp:cNvGraphicFramePr>
              <a:graphic>
                <a:graphicData uri="http://schemas.microsoft.com/office/word/2010/wordprocessingShape">
                  <wps:wsp>
                    <wps:cNvPr id="340" name="Graphic 340"/>
                    <wps:cNvSpPr/>
                    <wps:spPr>
                      <a:xfrm>
                        <a:off x="0" y="0"/>
                        <a:ext cx="5980430" cy="12700"/>
                      </a:xfrm>
                      <a:custGeom>
                        <a:avLst/>
                        <a:gdLst/>
                        <a:ahLst/>
                        <a:cxnLst/>
                        <a:rect l="l" t="t" r="r" b="b"/>
                        <a:pathLst>
                          <a:path w="5980430" h="12700">
                            <a:moveTo>
                              <a:pt x="5980176" y="0"/>
                            </a:moveTo>
                            <a:lnTo>
                              <a:pt x="0" y="0"/>
                            </a:lnTo>
                            <a:lnTo>
                              <a:pt x="0" y="12192"/>
                            </a:lnTo>
                            <a:lnTo>
                              <a:pt x="5980176" y="12192"/>
                            </a:lnTo>
                            <a:lnTo>
                              <a:pt x="5980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70.88pt;height:.96pt;mso-position-horizontal-relative:page;mso-position-vertical-relative:page;z-index:-29005312" id="docshape32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1680">
              <wp:simplePos x="0" y="0"/>
              <wp:positionH relativeFrom="page">
                <wp:posOffset>2584195</wp:posOffset>
              </wp:positionH>
              <wp:positionV relativeFrom="page">
                <wp:posOffset>447707</wp:posOffset>
              </wp:positionV>
              <wp:extent cx="2605405" cy="153670"/>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03.479996pt;margin-top:35.252541pt;width:205.15pt;height:12.1pt;mso-position-horizontal-relative:page;mso-position-vertical-relative:page;z-index:-29004800" type="#_x0000_t202" id="docshape32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4240">
              <wp:simplePos x="0" y="0"/>
              <wp:positionH relativeFrom="page">
                <wp:posOffset>896111</wp:posOffset>
              </wp:positionH>
              <wp:positionV relativeFrom="page">
                <wp:posOffset>600455</wp:posOffset>
              </wp:positionV>
              <wp:extent cx="8267700" cy="12700"/>
              <wp:effectExtent l="0" t="0" r="0" b="0"/>
              <wp:wrapNone/>
              <wp:docPr id="356" name="Graphic 356"/>
              <wp:cNvGraphicFramePr>
                <a:graphicFrameLocks/>
              </wp:cNvGraphicFramePr>
              <a:graphic>
                <a:graphicData uri="http://schemas.microsoft.com/office/word/2010/wordprocessingShape">
                  <wps:wsp>
                    <wps:cNvPr id="356" name="Graphic 356"/>
                    <wps:cNvSpPr/>
                    <wps:spPr>
                      <a:xfrm>
                        <a:off x="0" y="0"/>
                        <a:ext cx="8267700" cy="12700"/>
                      </a:xfrm>
                      <a:custGeom>
                        <a:avLst/>
                        <a:gdLst/>
                        <a:ahLst/>
                        <a:cxnLst/>
                        <a:rect l="l" t="t" r="r" b="b"/>
                        <a:pathLst>
                          <a:path w="8267700" h="12700">
                            <a:moveTo>
                              <a:pt x="8267700" y="0"/>
                            </a:moveTo>
                            <a:lnTo>
                              <a:pt x="0" y="0"/>
                            </a:lnTo>
                            <a:lnTo>
                              <a:pt x="0" y="12192"/>
                            </a:lnTo>
                            <a:lnTo>
                              <a:pt x="8267700" y="12192"/>
                            </a:lnTo>
                            <a:lnTo>
                              <a:pt x="8267700"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5pt;width:651pt;height:.96pt;mso-position-horizontal-relative:page;mso-position-vertical-relative:page;z-index:-29002240" id="docshape33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4752">
              <wp:simplePos x="0" y="0"/>
              <wp:positionH relativeFrom="page">
                <wp:posOffset>3727196</wp:posOffset>
              </wp:positionH>
              <wp:positionV relativeFrom="page">
                <wp:posOffset>447707</wp:posOffset>
              </wp:positionV>
              <wp:extent cx="2605405" cy="153670"/>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33pt;width:205.15pt;height:12.1pt;mso-position-horizontal-relative:page;mso-position-vertical-relative:page;z-index:-29001728" type="#_x0000_t202" id="docshape33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5264">
              <wp:simplePos x="0" y="0"/>
              <wp:positionH relativeFrom="page">
                <wp:posOffset>896111</wp:posOffset>
              </wp:positionH>
              <wp:positionV relativeFrom="page">
                <wp:posOffset>600455</wp:posOffset>
              </wp:positionV>
              <wp:extent cx="8267700" cy="12700"/>
              <wp:effectExtent l="0" t="0" r="0" b="0"/>
              <wp:wrapNone/>
              <wp:docPr id="358" name="Graphic 358"/>
              <wp:cNvGraphicFramePr>
                <a:graphicFrameLocks/>
              </wp:cNvGraphicFramePr>
              <a:graphic>
                <a:graphicData uri="http://schemas.microsoft.com/office/word/2010/wordprocessingShape">
                  <wps:wsp>
                    <wps:cNvPr id="358" name="Graphic 358"/>
                    <wps:cNvSpPr/>
                    <wps:spPr>
                      <a:xfrm>
                        <a:off x="0" y="0"/>
                        <a:ext cx="8267700" cy="12700"/>
                      </a:xfrm>
                      <a:custGeom>
                        <a:avLst/>
                        <a:gdLst/>
                        <a:ahLst/>
                        <a:cxnLst/>
                        <a:rect l="l" t="t" r="r" b="b"/>
                        <a:pathLst>
                          <a:path w="8267700" h="12700">
                            <a:moveTo>
                              <a:pt x="8267700" y="0"/>
                            </a:moveTo>
                            <a:lnTo>
                              <a:pt x="0" y="0"/>
                            </a:lnTo>
                            <a:lnTo>
                              <a:pt x="0" y="12192"/>
                            </a:lnTo>
                            <a:lnTo>
                              <a:pt x="8267700" y="12192"/>
                            </a:lnTo>
                            <a:lnTo>
                              <a:pt x="8267700"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5pt;width:651pt;height:.96pt;mso-position-horizontal-relative:page;mso-position-vertical-relative:page;z-index:-29001216" id="docshape335"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5776">
              <wp:simplePos x="0" y="0"/>
              <wp:positionH relativeFrom="page">
                <wp:posOffset>3727196</wp:posOffset>
              </wp:positionH>
              <wp:positionV relativeFrom="page">
                <wp:posOffset>447707</wp:posOffset>
              </wp:positionV>
              <wp:extent cx="2605405" cy="153670"/>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33pt;width:205.15pt;height:12.1pt;mso-position-horizontal-relative:page;mso-position-vertical-relative:page;z-index:-29000704" type="#_x0000_t202" id="docshape336"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8336">
              <wp:simplePos x="0" y="0"/>
              <wp:positionH relativeFrom="page">
                <wp:posOffset>896111</wp:posOffset>
              </wp:positionH>
              <wp:positionV relativeFrom="page">
                <wp:posOffset>600455</wp:posOffset>
              </wp:positionV>
              <wp:extent cx="8266430" cy="12700"/>
              <wp:effectExtent l="0" t="0" r="0" b="0"/>
              <wp:wrapNone/>
              <wp:docPr id="364" name="Graphic 364"/>
              <wp:cNvGraphicFramePr>
                <a:graphicFrameLocks/>
              </wp:cNvGraphicFramePr>
              <a:graphic>
                <a:graphicData uri="http://schemas.microsoft.com/office/word/2010/wordprocessingShape">
                  <wps:wsp>
                    <wps:cNvPr id="364" name="Graphic 364"/>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8998144" id="docshape34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8848">
              <wp:simplePos x="0" y="0"/>
              <wp:positionH relativeFrom="page">
                <wp:posOffset>3727196</wp:posOffset>
              </wp:positionH>
              <wp:positionV relativeFrom="page">
                <wp:posOffset>447707</wp:posOffset>
              </wp:positionV>
              <wp:extent cx="2605405" cy="153670"/>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8997632" type="#_x0000_t202" id="docshape34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19360">
              <wp:simplePos x="0" y="0"/>
              <wp:positionH relativeFrom="page">
                <wp:posOffset>896111</wp:posOffset>
              </wp:positionH>
              <wp:positionV relativeFrom="page">
                <wp:posOffset>600455</wp:posOffset>
              </wp:positionV>
              <wp:extent cx="5706110" cy="12700"/>
              <wp:effectExtent l="0" t="0" r="0" b="0"/>
              <wp:wrapNone/>
              <wp:docPr id="366" name="Graphic 366"/>
              <wp:cNvGraphicFramePr>
                <a:graphicFrameLocks/>
              </wp:cNvGraphicFramePr>
              <a:graphic>
                <a:graphicData uri="http://schemas.microsoft.com/office/word/2010/wordprocessingShape">
                  <wps:wsp>
                    <wps:cNvPr id="366" name="Graphic 366"/>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8997120" id="docshape34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19872">
              <wp:simplePos x="0" y="0"/>
              <wp:positionH relativeFrom="page">
                <wp:posOffset>2447035</wp:posOffset>
              </wp:positionH>
              <wp:positionV relativeFrom="page">
                <wp:posOffset>447707</wp:posOffset>
              </wp:positionV>
              <wp:extent cx="2605405" cy="15367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8996608" type="#_x0000_t202" id="docshape34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2432">
              <wp:simplePos x="0" y="0"/>
              <wp:positionH relativeFrom="page">
                <wp:posOffset>1170432</wp:posOffset>
              </wp:positionH>
              <wp:positionV relativeFrom="page">
                <wp:posOffset>600455</wp:posOffset>
              </wp:positionV>
              <wp:extent cx="5706110" cy="12700"/>
              <wp:effectExtent l="0" t="0" r="0" b="0"/>
              <wp:wrapNone/>
              <wp:docPr id="374" name="Graphic 374"/>
              <wp:cNvGraphicFramePr>
                <a:graphicFrameLocks/>
              </wp:cNvGraphicFramePr>
              <a:graphic>
                <a:graphicData uri="http://schemas.microsoft.com/office/word/2010/wordprocessingShape">
                  <wps:wsp>
                    <wps:cNvPr id="374" name="Graphic 374"/>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8994048" id="docshape350"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22944">
              <wp:simplePos x="0" y="0"/>
              <wp:positionH relativeFrom="page">
                <wp:posOffset>2721355</wp:posOffset>
              </wp:positionH>
              <wp:positionV relativeFrom="page">
                <wp:posOffset>447707</wp:posOffset>
              </wp:positionV>
              <wp:extent cx="2605405" cy="15367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8993536" type="#_x0000_t202" id="docshape351"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3456">
              <wp:simplePos x="0" y="0"/>
              <wp:positionH relativeFrom="page">
                <wp:posOffset>896111</wp:posOffset>
              </wp:positionH>
              <wp:positionV relativeFrom="page">
                <wp:posOffset>600455</wp:posOffset>
              </wp:positionV>
              <wp:extent cx="5706110" cy="12700"/>
              <wp:effectExtent l="0" t="0" r="0" b="0"/>
              <wp:wrapNone/>
              <wp:docPr id="376" name="Graphic 376"/>
              <wp:cNvGraphicFramePr>
                <a:graphicFrameLocks/>
              </wp:cNvGraphicFramePr>
              <a:graphic>
                <a:graphicData uri="http://schemas.microsoft.com/office/word/2010/wordprocessingShape">
                  <wps:wsp>
                    <wps:cNvPr id="376" name="Graphic 376"/>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8993024" id="docshape352"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23968">
              <wp:simplePos x="0" y="0"/>
              <wp:positionH relativeFrom="page">
                <wp:posOffset>2447035</wp:posOffset>
              </wp:positionH>
              <wp:positionV relativeFrom="page">
                <wp:posOffset>447707</wp:posOffset>
              </wp:positionV>
              <wp:extent cx="2605405" cy="153670"/>
              <wp:effectExtent l="0" t="0" r="0" b="0"/>
              <wp:wrapNone/>
              <wp:docPr id="377" name="Textbox 377"/>
              <wp:cNvGraphicFramePr>
                <a:graphicFrameLocks/>
              </wp:cNvGraphicFramePr>
              <a:graphic>
                <a:graphicData uri="http://schemas.microsoft.com/office/word/2010/wordprocessingShape">
                  <wps:wsp>
                    <wps:cNvPr id="377" name="Textbox 377"/>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8992512" type="#_x0000_t202" id="docshape353"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6528">
              <wp:simplePos x="0" y="0"/>
              <wp:positionH relativeFrom="page">
                <wp:posOffset>896111</wp:posOffset>
              </wp:positionH>
              <wp:positionV relativeFrom="page">
                <wp:posOffset>600455</wp:posOffset>
              </wp:positionV>
              <wp:extent cx="8266430" cy="12700"/>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8989952" id="docshape35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27040">
              <wp:simplePos x="0" y="0"/>
              <wp:positionH relativeFrom="page">
                <wp:posOffset>3727196</wp:posOffset>
              </wp:positionH>
              <wp:positionV relativeFrom="page">
                <wp:posOffset>447707</wp:posOffset>
              </wp:positionV>
              <wp:extent cx="2605405" cy="153670"/>
              <wp:effectExtent l="0" t="0" r="0" b="0"/>
              <wp:wrapNone/>
              <wp:docPr id="384" name="Textbox 384"/>
              <wp:cNvGraphicFramePr>
                <a:graphicFrameLocks/>
              </wp:cNvGraphicFramePr>
              <a:graphic>
                <a:graphicData uri="http://schemas.microsoft.com/office/word/2010/wordprocessingShape">
                  <wps:wsp>
                    <wps:cNvPr id="384" name="Textbox 384"/>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8989440" type="#_x0000_t202" id="docshape36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49216">
              <wp:simplePos x="0" y="0"/>
              <wp:positionH relativeFrom="page">
                <wp:posOffset>1353311</wp:posOffset>
              </wp:positionH>
              <wp:positionV relativeFrom="page">
                <wp:posOffset>600455</wp:posOffset>
              </wp:positionV>
              <wp:extent cx="5523230" cy="1270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06.559998pt;margin-top:47.279999pt;width:434.88pt;height:.96pt;mso-position-horizontal-relative:page;mso-position-vertical-relative:page;z-index:-29067264" id="docshape17"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49728">
              <wp:simplePos x="0" y="0"/>
              <wp:positionH relativeFrom="page">
                <wp:posOffset>2812795</wp:posOffset>
              </wp:positionH>
              <wp:positionV relativeFrom="page">
                <wp:posOffset>447707</wp:posOffset>
              </wp:positionV>
              <wp:extent cx="2605405" cy="153670"/>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1.479996pt;margin-top:35.252541pt;width:205.15pt;height:12.1pt;mso-position-horizontal-relative:page;mso-position-vertical-relative:page;z-index:-29066752" type="#_x0000_t202" id="docshape18"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27552">
              <wp:simplePos x="0" y="0"/>
              <wp:positionH relativeFrom="page">
                <wp:posOffset>896111</wp:posOffset>
              </wp:positionH>
              <wp:positionV relativeFrom="page">
                <wp:posOffset>600455</wp:posOffset>
              </wp:positionV>
              <wp:extent cx="8266430" cy="12700"/>
              <wp:effectExtent l="0" t="0" r="0" b="0"/>
              <wp:wrapNone/>
              <wp:docPr id="385" name="Graphic 385"/>
              <wp:cNvGraphicFramePr>
                <a:graphicFrameLocks/>
              </wp:cNvGraphicFramePr>
              <a:graphic>
                <a:graphicData uri="http://schemas.microsoft.com/office/word/2010/wordprocessingShape">
                  <wps:wsp>
                    <wps:cNvPr id="385" name="Graphic 385"/>
                    <wps:cNvSpPr/>
                    <wps:spPr>
                      <a:xfrm>
                        <a:off x="0" y="0"/>
                        <a:ext cx="8266430" cy="12700"/>
                      </a:xfrm>
                      <a:custGeom>
                        <a:avLst/>
                        <a:gdLst/>
                        <a:ahLst/>
                        <a:cxnLst/>
                        <a:rect l="l" t="t" r="r" b="b"/>
                        <a:pathLst>
                          <a:path w="8266430" h="12700">
                            <a:moveTo>
                              <a:pt x="8266176" y="0"/>
                            </a:moveTo>
                            <a:lnTo>
                              <a:pt x="0" y="0"/>
                            </a:lnTo>
                            <a:lnTo>
                              <a:pt x="0" y="12192"/>
                            </a:lnTo>
                            <a:lnTo>
                              <a:pt x="8266176" y="12192"/>
                            </a:lnTo>
                            <a:lnTo>
                              <a:pt x="82661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650.88pt;height:.96pt;mso-position-horizontal-relative:page;mso-position-vertical-relative:page;z-index:-28988928" id="docshape36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28064">
              <wp:simplePos x="0" y="0"/>
              <wp:positionH relativeFrom="page">
                <wp:posOffset>3727196</wp:posOffset>
              </wp:positionH>
              <wp:positionV relativeFrom="page">
                <wp:posOffset>447707</wp:posOffset>
              </wp:positionV>
              <wp:extent cx="2605405" cy="153670"/>
              <wp:effectExtent l="0" t="0" r="0" b="0"/>
              <wp:wrapNone/>
              <wp:docPr id="386" name="Textbox 386"/>
              <wp:cNvGraphicFramePr>
                <a:graphicFrameLocks/>
              </wp:cNvGraphicFramePr>
              <a:graphic>
                <a:graphicData uri="http://schemas.microsoft.com/office/word/2010/wordprocessingShape">
                  <wps:wsp>
                    <wps:cNvPr id="386" name="Textbox 386"/>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93.480011pt;margin-top:35.252541pt;width:205.15pt;height:12.1pt;mso-position-horizontal-relative:page;mso-position-vertical-relative:page;z-index:-28988416" type="#_x0000_t202" id="docshape36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30624">
              <wp:simplePos x="0" y="0"/>
              <wp:positionH relativeFrom="page">
                <wp:posOffset>1170432</wp:posOffset>
              </wp:positionH>
              <wp:positionV relativeFrom="page">
                <wp:posOffset>600455</wp:posOffset>
              </wp:positionV>
              <wp:extent cx="5706110" cy="12700"/>
              <wp:effectExtent l="0" t="0" r="0" b="0"/>
              <wp:wrapNone/>
              <wp:docPr id="395" name="Graphic 395"/>
              <wp:cNvGraphicFramePr>
                <a:graphicFrameLocks/>
              </wp:cNvGraphicFramePr>
              <a:graphic>
                <a:graphicData uri="http://schemas.microsoft.com/office/word/2010/wordprocessingShape">
                  <wps:wsp>
                    <wps:cNvPr id="395" name="Graphic 395"/>
                    <wps:cNvSpPr/>
                    <wps:spPr>
                      <a:xfrm>
                        <a:off x="0" y="0"/>
                        <a:ext cx="5706110" cy="12700"/>
                      </a:xfrm>
                      <a:custGeom>
                        <a:avLst/>
                        <a:gdLst/>
                        <a:ahLst/>
                        <a:cxnLst/>
                        <a:rect l="l" t="t" r="r" b="b"/>
                        <a:pathLst>
                          <a:path w="5706110" h="12700">
                            <a:moveTo>
                              <a:pt x="5705856" y="0"/>
                            </a:moveTo>
                            <a:lnTo>
                              <a:pt x="0" y="0"/>
                            </a:lnTo>
                            <a:lnTo>
                              <a:pt x="0" y="12192"/>
                            </a:lnTo>
                            <a:lnTo>
                              <a:pt x="5705856" y="12192"/>
                            </a:lnTo>
                            <a:lnTo>
                              <a:pt x="570585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92.160004pt;margin-top:47.279999pt;width:449.28pt;height:.96pt;mso-position-horizontal-relative:page;mso-position-vertical-relative:page;z-index:-28985856" id="docshape36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31136">
              <wp:simplePos x="0" y="0"/>
              <wp:positionH relativeFrom="page">
                <wp:posOffset>2721355</wp:posOffset>
              </wp:positionH>
              <wp:positionV relativeFrom="page">
                <wp:posOffset>447707</wp:posOffset>
              </wp:positionV>
              <wp:extent cx="2605405" cy="153670"/>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14.279999pt;margin-top:35.252541pt;width:205.15pt;height:12.1pt;mso-position-horizontal-relative:page;mso-position-vertical-relative:page;z-index:-28985344" type="#_x0000_t202" id="docshape37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331648">
              <wp:simplePos x="0" y="0"/>
              <wp:positionH relativeFrom="page">
                <wp:posOffset>896111</wp:posOffset>
              </wp:positionH>
              <wp:positionV relativeFrom="page">
                <wp:posOffset>600455</wp:posOffset>
              </wp:positionV>
              <wp:extent cx="5706110" cy="12700"/>
              <wp:effectExtent l="0" t="0" r="0" b="0"/>
              <wp:wrapNone/>
              <wp:docPr id="397" name="Graphic 397"/>
              <wp:cNvGraphicFramePr>
                <a:graphicFrameLocks/>
              </wp:cNvGraphicFramePr>
              <a:graphic>
                <a:graphicData uri="http://schemas.microsoft.com/office/word/2010/wordprocessingShape">
                  <wps:wsp>
                    <wps:cNvPr id="397" name="Graphic 397"/>
                    <wps:cNvSpPr/>
                    <wps:spPr>
                      <a:xfrm>
                        <a:off x="0" y="0"/>
                        <a:ext cx="5706110" cy="12700"/>
                      </a:xfrm>
                      <a:custGeom>
                        <a:avLst/>
                        <a:gdLst/>
                        <a:ahLst/>
                        <a:cxnLst/>
                        <a:rect l="l" t="t" r="r" b="b"/>
                        <a:pathLst>
                          <a:path w="5706110" h="12700">
                            <a:moveTo>
                              <a:pt x="5705855" y="0"/>
                            </a:moveTo>
                            <a:lnTo>
                              <a:pt x="0" y="0"/>
                            </a:lnTo>
                            <a:lnTo>
                              <a:pt x="0" y="12192"/>
                            </a:lnTo>
                            <a:lnTo>
                              <a:pt x="5705855" y="12192"/>
                            </a:lnTo>
                            <a:lnTo>
                              <a:pt x="5705855"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49.28pt;height:.96pt;mso-position-horizontal-relative:page;mso-position-vertical-relative:page;z-index:-28984832" id="docshape371"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332160">
              <wp:simplePos x="0" y="0"/>
              <wp:positionH relativeFrom="page">
                <wp:posOffset>2447035</wp:posOffset>
              </wp:positionH>
              <wp:positionV relativeFrom="page">
                <wp:posOffset>447707</wp:posOffset>
              </wp:positionV>
              <wp:extent cx="2605405" cy="153670"/>
              <wp:effectExtent l="0" t="0" r="0" b="0"/>
              <wp:wrapNone/>
              <wp:docPr id="398" name="Textbox 398"/>
              <wp:cNvGraphicFramePr>
                <a:graphicFrameLocks/>
              </wp:cNvGraphicFramePr>
              <a:graphic>
                <a:graphicData uri="http://schemas.microsoft.com/office/word/2010/wordprocessingShape">
                  <wps:wsp>
                    <wps:cNvPr id="398" name="Textbox 398"/>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92.679993pt;margin-top:35.252541pt;width:205.15pt;height:12.1pt;mso-position-horizontal-relative:page;mso-position-vertical-relative:page;z-index:-28984320" type="#_x0000_t202" id="docshape372"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0240">
              <wp:simplePos x="0" y="0"/>
              <wp:positionH relativeFrom="page">
                <wp:posOffset>896111</wp:posOffset>
              </wp:positionH>
              <wp:positionV relativeFrom="page">
                <wp:posOffset>600455</wp:posOffset>
              </wp:positionV>
              <wp:extent cx="5523230" cy="1270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4.88pt;height:.96pt;mso-position-horizontal-relative:page;mso-position-vertical-relative:page;z-index:-29066240" id="docshape19"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0752">
              <wp:simplePos x="0" y="0"/>
              <wp:positionH relativeFrom="page">
                <wp:posOffset>2354072</wp:posOffset>
              </wp:positionH>
              <wp:positionV relativeFrom="page">
                <wp:posOffset>447707</wp:posOffset>
              </wp:positionV>
              <wp:extent cx="2605405" cy="15367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5.360001pt;margin-top:35.252541pt;width:205.15pt;height:12.1pt;mso-position-horizontal-relative:page;mso-position-vertical-relative:page;z-index:-29065728" type="#_x0000_t202" id="docshape20"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1264">
              <wp:simplePos x="0" y="0"/>
              <wp:positionH relativeFrom="page">
                <wp:posOffset>896111</wp:posOffset>
              </wp:positionH>
              <wp:positionV relativeFrom="page">
                <wp:posOffset>600455</wp:posOffset>
              </wp:positionV>
              <wp:extent cx="5523230" cy="1270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4.88pt;height:.96pt;mso-position-horizontal-relative:page;mso-position-vertical-relative:page;z-index:-29065216" id="docshape25"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1776">
              <wp:simplePos x="0" y="0"/>
              <wp:positionH relativeFrom="page">
                <wp:posOffset>2354072</wp:posOffset>
              </wp:positionH>
              <wp:positionV relativeFrom="page">
                <wp:posOffset>447707</wp:posOffset>
              </wp:positionV>
              <wp:extent cx="2605405" cy="153670"/>
              <wp:effectExtent l="0" t="0" r="0" b="0"/>
              <wp:wrapNone/>
              <wp:docPr id="29" name="Textbox 29"/>
              <wp:cNvGraphicFramePr>
                <a:graphicFrameLocks/>
              </wp:cNvGraphicFramePr>
              <a:graphic>
                <a:graphicData uri="http://schemas.microsoft.com/office/word/2010/wordprocessingShape">
                  <wps:wsp>
                    <wps:cNvPr id="29" name="Textbox 29"/>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5.360001pt;margin-top:35.252541pt;width:205.15pt;height:12.1pt;mso-position-horizontal-relative:page;mso-position-vertical-relative:page;z-index:-29064704" type="#_x0000_t202" id="docshape26"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2288">
              <wp:simplePos x="0" y="0"/>
              <wp:positionH relativeFrom="page">
                <wp:posOffset>1353311</wp:posOffset>
              </wp:positionH>
              <wp:positionV relativeFrom="page">
                <wp:posOffset>600455</wp:posOffset>
              </wp:positionV>
              <wp:extent cx="5523230" cy="1270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106.559998pt;margin-top:47.279999pt;width:434.88pt;height:.96pt;mso-position-horizontal-relative:page;mso-position-vertical-relative:page;z-index:-29064192" id="docshape27"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2800">
              <wp:simplePos x="0" y="0"/>
              <wp:positionH relativeFrom="page">
                <wp:posOffset>2812795</wp:posOffset>
              </wp:positionH>
              <wp:positionV relativeFrom="page">
                <wp:posOffset>447707</wp:posOffset>
              </wp:positionV>
              <wp:extent cx="2605405" cy="15367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221.479996pt;margin-top:35.252541pt;width:205.15pt;height:12.1pt;mso-position-horizontal-relative:page;mso-position-vertical-relative:page;z-index:-29063680" type="#_x0000_t202" id="docshape28"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2"/>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74251264">
              <wp:simplePos x="0" y="0"/>
              <wp:positionH relativeFrom="page">
                <wp:posOffset>896111</wp:posOffset>
              </wp:positionH>
              <wp:positionV relativeFrom="page">
                <wp:posOffset>600455</wp:posOffset>
              </wp:positionV>
              <wp:extent cx="5523230" cy="1270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5523230" cy="12700"/>
                      </a:xfrm>
                      <a:custGeom>
                        <a:avLst/>
                        <a:gdLst/>
                        <a:ahLst/>
                        <a:cxnLst/>
                        <a:rect l="l" t="t" r="r" b="b"/>
                        <a:pathLst>
                          <a:path w="5523230" h="12700">
                            <a:moveTo>
                              <a:pt x="5522976" y="0"/>
                            </a:moveTo>
                            <a:lnTo>
                              <a:pt x="0" y="0"/>
                            </a:lnTo>
                            <a:lnTo>
                              <a:pt x="0" y="12192"/>
                            </a:lnTo>
                            <a:lnTo>
                              <a:pt x="5522976" y="12192"/>
                            </a:lnTo>
                            <a:lnTo>
                              <a:pt x="5522976" y="0"/>
                            </a:lnTo>
                            <a:close/>
                          </a:path>
                        </a:pathLst>
                      </a:custGeom>
                      <a:solidFill>
                        <a:srgbClr val="283014"/>
                      </a:solidFill>
                    </wps:spPr>
                    <wps:bodyPr wrap="square" lIns="0" tIns="0" rIns="0" bIns="0" rtlCol="0">
                      <a:prstTxWarp prst="textNoShape">
                        <a:avLst/>
                      </a:prstTxWarp>
                      <a:noAutofit/>
                    </wps:bodyPr>
                  </wps:wsp>
                </a:graphicData>
              </a:graphic>
            </wp:anchor>
          </w:drawing>
        </mc:Choice>
        <mc:Fallback>
          <w:pict>
            <v:rect style="position:absolute;margin-left:70.559998pt;margin-top:47.279999pt;width:434.88pt;height:.96pt;mso-position-horizontal-relative:page;mso-position-vertical-relative:page;z-index:-29065216" id="docshape33" filled="true" fillcolor="#283014" stroked="false">
              <v:fill type="solid"/>
              <w10:wrap type="none"/>
            </v:rect>
          </w:pict>
        </mc:Fallback>
      </mc:AlternateContent>
    </w:r>
    <w:r>
      <w:rPr>
        <w:sz w:val="20"/>
      </w:rPr>
      <mc:AlternateContent>
        <mc:Choice Requires="wps">
          <w:drawing>
            <wp:anchor distT="0" distB="0" distL="0" distR="0" allowOverlap="1" layoutInCell="1" locked="0" behindDoc="1" simplePos="0" relativeHeight="474251776">
              <wp:simplePos x="0" y="0"/>
              <wp:positionH relativeFrom="page">
                <wp:posOffset>2354072</wp:posOffset>
              </wp:positionH>
              <wp:positionV relativeFrom="page">
                <wp:posOffset>447707</wp:posOffset>
              </wp:positionV>
              <wp:extent cx="2605405" cy="15367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2605405" cy="153670"/>
                      </a:xfrm>
                      <a:prstGeom prst="rect">
                        <a:avLst/>
                      </a:prstGeom>
                    </wps:spPr>
                    <wps:txbx>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wps:txbx>
                    <wps:bodyPr wrap="square" lIns="0" tIns="0" rIns="0" bIns="0" rtlCol="0">
                      <a:noAutofit/>
                    </wps:bodyPr>
                  </wps:wsp>
                </a:graphicData>
              </a:graphic>
            </wp:anchor>
          </w:drawing>
        </mc:Choice>
        <mc:Fallback>
          <w:pict>
            <v:shape style="position:absolute;margin-left:185.360001pt;margin-top:35.252541pt;width:205.15pt;height:12.1pt;mso-position-horizontal-relative:page;mso-position-vertical-relative:page;z-index:-29064704" type="#_x0000_t202" id="docshape34" filled="false" stroked="false">
              <v:textbox inset="0,0,0,0">
                <w:txbxContent>
                  <w:p>
                    <w:pPr>
                      <w:spacing w:before="14"/>
                      <w:ind w:left="20" w:right="0" w:firstLine="0"/>
                      <w:jc w:val="left"/>
                      <w:rPr>
                        <w:rFonts w:ascii="Arial"/>
                        <w:b/>
                        <w:sz w:val="18"/>
                      </w:rPr>
                    </w:pPr>
                    <w:r>
                      <w:rPr>
                        <w:rFonts w:ascii="Arial"/>
                        <w:b/>
                        <w:color w:val="003300"/>
                        <w:sz w:val="18"/>
                      </w:rPr>
                      <w:t>Colville</w:t>
                    </w:r>
                    <w:r>
                      <w:rPr>
                        <w:rFonts w:ascii="Arial"/>
                        <w:b/>
                        <w:color w:val="003300"/>
                        <w:spacing w:val="-2"/>
                        <w:sz w:val="18"/>
                      </w:rPr>
                      <w:t> </w:t>
                    </w:r>
                    <w:r>
                      <w:rPr>
                        <w:rFonts w:ascii="Arial"/>
                        <w:b/>
                        <w:color w:val="003300"/>
                        <w:sz w:val="18"/>
                      </w:rPr>
                      <w:t>National</w:t>
                    </w:r>
                    <w:r>
                      <w:rPr>
                        <w:rFonts w:ascii="Arial"/>
                        <w:b/>
                        <w:color w:val="003300"/>
                        <w:spacing w:val="-3"/>
                        <w:sz w:val="18"/>
                      </w:rPr>
                      <w:t> </w:t>
                    </w:r>
                    <w:r>
                      <w:rPr>
                        <w:rFonts w:ascii="Arial"/>
                        <w:b/>
                        <w:color w:val="003300"/>
                        <w:sz w:val="18"/>
                      </w:rPr>
                      <w:t>Forest</w:t>
                    </w:r>
                    <w:r>
                      <w:rPr>
                        <w:rFonts w:ascii="Arial"/>
                        <w:b/>
                        <w:color w:val="003300"/>
                        <w:spacing w:val="-5"/>
                        <w:sz w:val="18"/>
                      </w:rPr>
                      <w:t> </w:t>
                    </w:r>
                    <w:r>
                      <w:rPr>
                        <w:rFonts w:ascii="Arial"/>
                        <w:b/>
                        <w:color w:val="003300"/>
                        <w:sz w:val="18"/>
                      </w:rPr>
                      <w:t>Land</w:t>
                    </w:r>
                    <w:r>
                      <w:rPr>
                        <w:rFonts w:ascii="Arial"/>
                        <w:b/>
                        <w:color w:val="003300"/>
                        <w:spacing w:val="-3"/>
                        <w:sz w:val="18"/>
                      </w:rPr>
                      <w:t> </w:t>
                    </w:r>
                    <w:r>
                      <w:rPr>
                        <w:rFonts w:ascii="Arial"/>
                        <w:b/>
                        <w:color w:val="003300"/>
                        <w:sz w:val="18"/>
                      </w:rPr>
                      <w:t>Management</w:t>
                    </w:r>
                    <w:r>
                      <w:rPr>
                        <w:rFonts w:ascii="Arial"/>
                        <w:b/>
                        <w:color w:val="003300"/>
                        <w:spacing w:val="-3"/>
                        <w:sz w:val="18"/>
                      </w:rPr>
                      <w:t> </w:t>
                    </w:r>
                    <w:r>
                      <w:rPr>
                        <w:rFonts w:ascii="Arial"/>
                        <w:b/>
                        <w:color w:val="003300"/>
                        <w:spacing w:val="-4"/>
                        <w:sz w:val="18"/>
                      </w:rPr>
                      <w:t>Plan</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
    <w:multiLevelType w:val="hybridMultilevel"/>
    <w:lvl w:ilvl="0">
      <w:start w:val="1"/>
      <w:numFmt w:val="lowerLetter"/>
      <w:lvlText w:val="%1."/>
      <w:lvlJc w:val="left"/>
      <w:pPr>
        <w:ind w:left="1872" w:hanging="360"/>
        <w:jc w:val="left"/>
      </w:pPr>
      <w:rPr>
        <w:rFonts w:hint="default" w:ascii="Calibri" w:hAnsi="Calibri" w:eastAsia="Calibri" w:cs="Calibri"/>
        <w:b w:val="0"/>
        <w:bCs w:val="0"/>
        <w:i w:val="0"/>
        <w:iCs w:val="0"/>
        <w:spacing w:val="-1"/>
        <w:w w:val="100"/>
        <w:sz w:val="22"/>
        <w:szCs w:val="22"/>
        <w:lang w:val="en-US" w:eastAsia="en-US" w:bidi="ar-SA"/>
      </w:rPr>
    </w:lvl>
    <w:lvl w:ilvl="1">
      <w:start w:val="0"/>
      <w:numFmt w:val="bullet"/>
      <w:lvlText w:val="•"/>
      <w:lvlJc w:val="left"/>
      <w:pPr>
        <w:ind w:left="2736" w:hanging="360"/>
      </w:pPr>
      <w:rPr>
        <w:rFonts w:hint="default"/>
        <w:lang w:val="en-US" w:eastAsia="en-US" w:bidi="ar-SA"/>
      </w:rPr>
    </w:lvl>
    <w:lvl w:ilvl="2">
      <w:start w:val="0"/>
      <w:numFmt w:val="bullet"/>
      <w:lvlText w:val="•"/>
      <w:lvlJc w:val="left"/>
      <w:pPr>
        <w:ind w:left="3592" w:hanging="360"/>
      </w:pPr>
      <w:rPr>
        <w:rFonts w:hint="default"/>
        <w:lang w:val="en-US" w:eastAsia="en-US" w:bidi="ar-SA"/>
      </w:rPr>
    </w:lvl>
    <w:lvl w:ilvl="3">
      <w:start w:val="0"/>
      <w:numFmt w:val="bullet"/>
      <w:lvlText w:val="•"/>
      <w:lvlJc w:val="left"/>
      <w:pPr>
        <w:ind w:left="4448" w:hanging="360"/>
      </w:pPr>
      <w:rPr>
        <w:rFonts w:hint="default"/>
        <w:lang w:val="en-US" w:eastAsia="en-US" w:bidi="ar-SA"/>
      </w:rPr>
    </w:lvl>
    <w:lvl w:ilvl="4">
      <w:start w:val="0"/>
      <w:numFmt w:val="bullet"/>
      <w:lvlText w:val="•"/>
      <w:lvlJc w:val="left"/>
      <w:pPr>
        <w:ind w:left="5304" w:hanging="360"/>
      </w:pPr>
      <w:rPr>
        <w:rFonts w:hint="default"/>
        <w:lang w:val="en-US" w:eastAsia="en-US" w:bidi="ar-SA"/>
      </w:rPr>
    </w:lvl>
    <w:lvl w:ilvl="5">
      <w:start w:val="0"/>
      <w:numFmt w:val="bullet"/>
      <w:lvlText w:val="•"/>
      <w:lvlJc w:val="left"/>
      <w:pPr>
        <w:ind w:left="6160" w:hanging="360"/>
      </w:pPr>
      <w:rPr>
        <w:rFonts w:hint="default"/>
        <w:lang w:val="en-US" w:eastAsia="en-US" w:bidi="ar-SA"/>
      </w:rPr>
    </w:lvl>
    <w:lvl w:ilvl="6">
      <w:start w:val="0"/>
      <w:numFmt w:val="bullet"/>
      <w:lvlText w:val="•"/>
      <w:lvlJc w:val="left"/>
      <w:pPr>
        <w:ind w:left="7016" w:hanging="360"/>
      </w:pPr>
      <w:rPr>
        <w:rFonts w:hint="default"/>
        <w:lang w:val="en-US" w:eastAsia="en-US" w:bidi="ar-SA"/>
      </w:rPr>
    </w:lvl>
    <w:lvl w:ilvl="7">
      <w:start w:val="0"/>
      <w:numFmt w:val="bullet"/>
      <w:lvlText w:val="•"/>
      <w:lvlJc w:val="left"/>
      <w:pPr>
        <w:ind w:left="7872" w:hanging="360"/>
      </w:pPr>
      <w:rPr>
        <w:rFonts w:hint="default"/>
        <w:lang w:val="en-US" w:eastAsia="en-US" w:bidi="ar-SA"/>
      </w:rPr>
    </w:lvl>
    <w:lvl w:ilvl="8">
      <w:start w:val="0"/>
      <w:numFmt w:val="bullet"/>
      <w:lvlText w:val="•"/>
      <w:lvlJc w:val="left"/>
      <w:pPr>
        <w:ind w:left="8728" w:hanging="360"/>
      </w:pPr>
      <w:rPr>
        <w:rFonts w:hint="default"/>
        <w:lang w:val="en-US" w:eastAsia="en-US" w:bidi="ar-SA"/>
      </w:rPr>
    </w:lvl>
  </w:abstractNum>
  <w:abstractNum w:abstractNumId="11">
    <w:multiLevelType w:val="hybridMultilevel"/>
    <w:lvl w:ilvl="0">
      <w:start w:val="1"/>
      <w:numFmt w:val="decimal"/>
      <w:lvlText w:val="%1."/>
      <w:lvlJc w:val="left"/>
      <w:pPr>
        <w:ind w:left="1871" w:hanging="361"/>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2736" w:hanging="361"/>
      </w:pPr>
      <w:rPr>
        <w:rFonts w:hint="default"/>
        <w:lang w:val="en-US" w:eastAsia="en-US" w:bidi="ar-SA"/>
      </w:rPr>
    </w:lvl>
    <w:lvl w:ilvl="2">
      <w:start w:val="0"/>
      <w:numFmt w:val="bullet"/>
      <w:lvlText w:val="•"/>
      <w:lvlJc w:val="left"/>
      <w:pPr>
        <w:ind w:left="3592" w:hanging="361"/>
      </w:pPr>
      <w:rPr>
        <w:rFonts w:hint="default"/>
        <w:lang w:val="en-US" w:eastAsia="en-US" w:bidi="ar-SA"/>
      </w:rPr>
    </w:lvl>
    <w:lvl w:ilvl="3">
      <w:start w:val="0"/>
      <w:numFmt w:val="bullet"/>
      <w:lvlText w:val="•"/>
      <w:lvlJc w:val="left"/>
      <w:pPr>
        <w:ind w:left="4448" w:hanging="361"/>
      </w:pPr>
      <w:rPr>
        <w:rFonts w:hint="default"/>
        <w:lang w:val="en-US" w:eastAsia="en-US" w:bidi="ar-SA"/>
      </w:rPr>
    </w:lvl>
    <w:lvl w:ilvl="4">
      <w:start w:val="0"/>
      <w:numFmt w:val="bullet"/>
      <w:lvlText w:val="•"/>
      <w:lvlJc w:val="left"/>
      <w:pPr>
        <w:ind w:left="5304" w:hanging="361"/>
      </w:pPr>
      <w:rPr>
        <w:rFonts w:hint="default"/>
        <w:lang w:val="en-US" w:eastAsia="en-US" w:bidi="ar-SA"/>
      </w:rPr>
    </w:lvl>
    <w:lvl w:ilvl="5">
      <w:start w:val="0"/>
      <w:numFmt w:val="bullet"/>
      <w:lvlText w:val="•"/>
      <w:lvlJc w:val="left"/>
      <w:pPr>
        <w:ind w:left="6160" w:hanging="361"/>
      </w:pPr>
      <w:rPr>
        <w:rFonts w:hint="default"/>
        <w:lang w:val="en-US" w:eastAsia="en-US" w:bidi="ar-SA"/>
      </w:rPr>
    </w:lvl>
    <w:lvl w:ilvl="6">
      <w:start w:val="0"/>
      <w:numFmt w:val="bullet"/>
      <w:lvlText w:val="•"/>
      <w:lvlJc w:val="left"/>
      <w:pPr>
        <w:ind w:left="7016" w:hanging="361"/>
      </w:pPr>
      <w:rPr>
        <w:rFonts w:hint="default"/>
        <w:lang w:val="en-US" w:eastAsia="en-US" w:bidi="ar-SA"/>
      </w:rPr>
    </w:lvl>
    <w:lvl w:ilvl="7">
      <w:start w:val="0"/>
      <w:numFmt w:val="bullet"/>
      <w:lvlText w:val="•"/>
      <w:lvlJc w:val="left"/>
      <w:pPr>
        <w:ind w:left="7872" w:hanging="361"/>
      </w:pPr>
      <w:rPr>
        <w:rFonts w:hint="default"/>
        <w:lang w:val="en-US" w:eastAsia="en-US" w:bidi="ar-SA"/>
      </w:rPr>
    </w:lvl>
    <w:lvl w:ilvl="8">
      <w:start w:val="0"/>
      <w:numFmt w:val="bullet"/>
      <w:lvlText w:val="•"/>
      <w:lvlJc w:val="left"/>
      <w:pPr>
        <w:ind w:left="8728" w:hanging="361"/>
      </w:pPr>
      <w:rPr>
        <w:rFonts w:hint="default"/>
        <w:lang w:val="en-US" w:eastAsia="en-US" w:bidi="ar-SA"/>
      </w:rPr>
    </w:lvl>
  </w:abstractNum>
  <w:abstractNum w:abstractNumId="45">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44">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43">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42">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41">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40">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9">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8">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7">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6">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5">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4">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3">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2">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1">
    <w:multiLevelType w:val="hybridMultilevel"/>
    <w:lvl w:ilvl="0">
      <w:start w:val="0"/>
      <w:numFmt w:val="bullet"/>
      <w:lvlText w:val=""/>
      <w:lvlJc w:val="left"/>
      <w:pPr>
        <w:ind w:left="467"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681" w:hanging="360"/>
      </w:pPr>
      <w:rPr>
        <w:rFonts w:hint="default"/>
        <w:lang w:val="en-US" w:eastAsia="en-US" w:bidi="ar-SA"/>
      </w:rPr>
    </w:lvl>
    <w:lvl w:ilvl="2">
      <w:start w:val="0"/>
      <w:numFmt w:val="bullet"/>
      <w:lvlText w:val="•"/>
      <w:lvlJc w:val="left"/>
      <w:pPr>
        <w:ind w:left="902" w:hanging="360"/>
      </w:pPr>
      <w:rPr>
        <w:rFonts w:hint="default"/>
        <w:lang w:val="en-US" w:eastAsia="en-US" w:bidi="ar-SA"/>
      </w:rPr>
    </w:lvl>
    <w:lvl w:ilvl="3">
      <w:start w:val="0"/>
      <w:numFmt w:val="bullet"/>
      <w:lvlText w:val="•"/>
      <w:lvlJc w:val="left"/>
      <w:pPr>
        <w:ind w:left="1123" w:hanging="360"/>
      </w:pPr>
      <w:rPr>
        <w:rFonts w:hint="default"/>
        <w:lang w:val="en-US" w:eastAsia="en-US" w:bidi="ar-SA"/>
      </w:rPr>
    </w:lvl>
    <w:lvl w:ilvl="4">
      <w:start w:val="0"/>
      <w:numFmt w:val="bullet"/>
      <w:lvlText w:val="•"/>
      <w:lvlJc w:val="left"/>
      <w:pPr>
        <w:ind w:left="1344" w:hanging="360"/>
      </w:pPr>
      <w:rPr>
        <w:rFonts w:hint="default"/>
        <w:lang w:val="en-US" w:eastAsia="en-US" w:bidi="ar-SA"/>
      </w:rPr>
    </w:lvl>
    <w:lvl w:ilvl="5">
      <w:start w:val="0"/>
      <w:numFmt w:val="bullet"/>
      <w:lvlText w:val="•"/>
      <w:lvlJc w:val="left"/>
      <w:pPr>
        <w:ind w:left="1565" w:hanging="360"/>
      </w:pPr>
      <w:rPr>
        <w:rFonts w:hint="default"/>
        <w:lang w:val="en-US" w:eastAsia="en-US" w:bidi="ar-SA"/>
      </w:rPr>
    </w:lvl>
    <w:lvl w:ilvl="6">
      <w:start w:val="0"/>
      <w:numFmt w:val="bullet"/>
      <w:lvlText w:val="•"/>
      <w:lvlJc w:val="left"/>
      <w:pPr>
        <w:ind w:left="1786" w:hanging="360"/>
      </w:pPr>
      <w:rPr>
        <w:rFonts w:hint="default"/>
        <w:lang w:val="en-US" w:eastAsia="en-US" w:bidi="ar-SA"/>
      </w:rPr>
    </w:lvl>
    <w:lvl w:ilvl="7">
      <w:start w:val="0"/>
      <w:numFmt w:val="bullet"/>
      <w:lvlText w:val="•"/>
      <w:lvlJc w:val="left"/>
      <w:pPr>
        <w:ind w:left="2007" w:hanging="360"/>
      </w:pPr>
      <w:rPr>
        <w:rFonts w:hint="default"/>
        <w:lang w:val="en-US" w:eastAsia="en-US" w:bidi="ar-SA"/>
      </w:rPr>
    </w:lvl>
    <w:lvl w:ilvl="8">
      <w:start w:val="0"/>
      <w:numFmt w:val="bullet"/>
      <w:lvlText w:val="•"/>
      <w:lvlJc w:val="left"/>
      <w:pPr>
        <w:ind w:left="2228" w:hanging="360"/>
      </w:pPr>
      <w:rPr>
        <w:rFonts w:hint="default"/>
        <w:lang w:val="en-US" w:eastAsia="en-US" w:bidi="ar-SA"/>
      </w:rPr>
    </w:lvl>
  </w:abstractNum>
  <w:abstractNum w:abstractNumId="30">
    <w:multiLevelType w:val="hybridMultilevel"/>
    <w:lvl w:ilvl="0">
      <w:start w:val="0"/>
      <w:numFmt w:val="bullet"/>
      <w:lvlText w:val=""/>
      <w:lvlJc w:val="left"/>
      <w:pPr>
        <w:ind w:left="1511" w:hanging="361"/>
      </w:pPr>
      <w:rPr>
        <w:rFonts w:hint="default" w:ascii="Symbol" w:hAnsi="Symbol" w:eastAsia="Symbol" w:cs="Symbol"/>
        <w:b w:val="0"/>
        <w:bCs w:val="0"/>
        <w:i w:val="0"/>
        <w:iCs w:val="0"/>
        <w:spacing w:val="0"/>
        <w:w w:val="100"/>
        <w:sz w:val="22"/>
        <w:szCs w:val="22"/>
        <w:lang w:val="en-US" w:eastAsia="en-US" w:bidi="ar-SA"/>
      </w:rPr>
    </w:lvl>
    <w:lvl w:ilvl="1">
      <w:start w:val="0"/>
      <w:numFmt w:val="bullet"/>
      <w:lvlText w:val="•"/>
      <w:lvlJc w:val="left"/>
      <w:pPr>
        <w:ind w:left="2376" w:hanging="361"/>
      </w:pPr>
      <w:rPr>
        <w:rFonts w:hint="default"/>
        <w:lang w:val="en-US" w:eastAsia="en-US" w:bidi="ar-SA"/>
      </w:rPr>
    </w:lvl>
    <w:lvl w:ilvl="2">
      <w:start w:val="0"/>
      <w:numFmt w:val="bullet"/>
      <w:lvlText w:val="•"/>
      <w:lvlJc w:val="left"/>
      <w:pPr>
        <w:ind w:left="3232" w:hanging="361"/>
      </w:pPr>
      <w:rPr>
        <w:rFonts w:hint="default"/>
        <w:lang w:val="en-US" w:eastAsia="en-US" w:bidi="ar-SA"/>
      </w:rPr>
    </w:lvl>
    <w:lvl w:ilvl="3">
      <w:start w:val="0"/>
      <w:numFmt w:val="bullet"/>
      <w:lvlText w:val="•"/>
      <w:lvlJc w:val="left"/>
      <w:pPr>
        <w:ind w:left="4088" w:hanging="361"/>
      </w:pPr>
      <w:rPr>
        <w:rFonts w:hint="default"/>
        <w:lang w:val="en-US" w:eastAsia="en-US" w:bidi="ar-SA"/>
      </w:rPr>
    </w:lvl>
    <w:lvl w:ilvl="4">
      <w:start w:val="0"/>
      <w:numFmt w:val="bullet"/>
      <w:lvlText w:val="•"/>
      <w:lvlJc w:val="left"/>
      <w:pPr>
        <w:ind w:left="4944" w:hanging="361"/>
      </w:pPr>
      <w:rPr>
        <w:rFonts w:hint="default"/>
        <w:lang w:val="en-US" w:eastAsia="en-US" w:bidi="ar-SA"/>
      </w:rPr>
    </w:lvl>
    <w:lvl w:ilvl="5">
      <w:start w:val="0"/>
      <w:numFmt w:val="bullet"/>
      <w:lvlText w:val="•"/>
      <w:lvlJc w:val="left"/>
      <w:pPr>
        <w:ind w:left="5800" w:hanging="361"/>
      </w:pPr>
      <w:rPr>
        <w:rFonts w:hint="default"/>
        <w:lang w:val="en-US" w:eastAsia="en-US" w:bidi="ar-SA"/>
      </w:rPr>
    </w:lvl>
    <w:lvl w:ilvl="6">
      <w:start w:val="0"/>
      <w:numFmt w:val="bullet"/>
      <w:lvlText w:val="•"/>
      <w:lvlJc w:val="left"/>
      <w:pPr>
        <w:ind w:left="6656" w:hanging="361"/>
      </w:pPr>
      <w:rPr>
        <w:rFonts w:hint="default"/>
        <w:lang w:val="en-US" w:eastAsia="en-US" w:bidi="ar-SA"/>
      </w:rPr>
    </w:lvl>
    <w:lvl w:ilvl="7">
      <w:start w:val="0"/>
      <w:numFmt w:val="bullet"/>
      <w:lvlText w:val="•"/>
      <w:lvlJc w:val="left"/>
      <w:pPr>
        <w:ind w:left="7512" w:hanging="361"/>
      </w:pPr>
      <w:rPr>
        <w:rFonts w:hint="default"/>
        <w:lang w:val="en-US" w:eastAsia="en-US" w:bidi="ar-SA"/>
      </w:rPr>
    </w:lvl>
    <w:lvl w:ilvl="8">
      <w:start w:val="0"/>
      <w:numFmt w:val="bullet"/>
      <w:lvlText w:val="•"/>
      <w:lvlJc w:val="left"/>
      <w:pPr>
        <w:ind w:left="8368" w:hanging="361"/>
      </w:pPr>
      <w:rPr>
        <w:rFonts w:hint="default"/>
        <w:lang w:val="en-US" w:eastAsia="en-US" w:bidi="ar-SA"/>
      </w:rPr>
    </w:lvl>
  </w:abstractNum>
  <w:abstractNum w:abstractNumId="29">
    <w:multiLevelType w:val="hybridMultilevel"/>
    <w:lvl w:ilvl="0">
      <w:start w:val="0"/>
      <w:numFmt w:val="bullet"/>
      <w:lvlText w:val=""/>
      <w:lvlJc w:val="left"/>
      <w:pPr>
        <w:ind w:left="1331"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332"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3088" w:hanging="360"/>
      </w:pPr>
      <w:rPr>
        <w:rFonts w:hint="default"/>
        <w:lang w:val="en-US" w:eastAsia="en-US" w:bidi="ar-SA"/>
      </w:rPr>
    </w:lvl>
    <w:lvl w:ilvl="3">
      <w:start w:val="0"/>
      <w:numFmt w:val="bullet"/>
      <w:lvlText w:val="•"/>
      <w:lvlJc w:val="left"/>
      <w:pPr>
        <w:ind w:left="3962" w:hanging="360"/>
      </w:pPr>
      <w:rPr>
        <w:rFonts w:hint="default"/>
        <w:lang w:val="en-US" w:eastAsia="en-US" w:bidi="ar-SA"/>
      </w:rPr>
    </w:lvl>
    <w:lvl w:ilvl="4">
      <w:start w:val="0"/>
      <w:numFmt w:val="bullet"/>
      <w:lvlText w:val="•"/>
      <w:lvlJc w:val="left"/>
      <w:pPr>
        <w:ind w:left="4836" w:hanging="360"/>
      </w:pPr>
      <w:rPr>
        <w:rFonts w:hint="default"/>
        <w:lang w:val="en-US" w:eastAsia="en-US" w:bidi="ar-SA"/>
      </w:rPr>
    </w:lvl>
    <w:lvl w:ilvl="5">
      <w:start w:val="0"/>
      <w:numFmt w:val="bullet"/>
      <w:lvlText w:val="•"/>
      <w:lvlJc w:val="left"/>
      <w:pPr>
        <w:ind w:left="5710" w:hanging="360"/>
      </w:pPr>
      <w:rPr>
        <w:rFonts w:hint="default"/>
        <w:lang w:val="en-US" w:eastAsia="en-US" w:bidi="ar-SA"/>
      </w:rPr>
    </w:lvl>
    <w:lvl w:ilvl="6">
      <w:start w:val="0"/>
      <w:numFmt w:val="bullet"/>
      <w:lvlText w:val="•"/>
      <w:lvlJc w:val="left"/>
      <w:pPr>
        <w:ind w:left="6584" w:hanging="360"/>
      </w:pPr>
      <w:rPr>
        <w:rFonts w:hint="default"/>
        <w:lang w:val="en-US" w:eastAsia="en-US" w:bidi="ar-SA"/>
      </w:rPr>
    </w:lvl>
    <w:lvl w:ilvl="7">
      <w:start w:val="0"/>
      <w:numFmt w:val="bullet"/>
      <w:lvlText w:val="•"/>
      <w:lvlJc w:val="left"/>
      <w:pPr>
        <w:ind w:left="7458" w:hanging="360"/>
      </w:pPr>
      <w:rPr>
        <w:rFonts w:hint="default"/>
        <w:lang w:val="en-US" w:eastAsia="en-US" w:bidi="ar-SA"/>
      </w:rPr>
    </w:lvl>
    <w:lvl w:ilvl="8">
      <w:start w:val="0"/>
      <w:numFmt w:val="bullet"/>
      <w:lvlText w:val="•"/>
      <w:lvlJc w:val="left"/>
      <w:pPr>
        <w:ind w:left="8332" w:hanging="360"/>
      </w:pPr>
      <w:rPr>
        <w:rFonts w:hint="default"/>
        <w:lang w:val="en-US" w:eastAsia="en-US" w:bidi="ar-SA"/>
      </w:rPr>
    </w:lvl>
  </w:abstractNum>
  <w:abstractNum w:abstractNumId="28">
    <w:multiLevelType w:val="hybridMultilevel"/>
    <w:lvl w:ilvl="0">
      <w:start w:val="0"/>
      <w:numFmt w:val="bullet"/>
      <w:lvlText w:val=""/>
      <w:lvlJc w:val="left"/>
      <w:pPr>
        <w:ind w:left="133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332"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3088" w:hanging="360"/>
      </w:pPr>
      <w:rPr>
        <w:rFonts w:hint="default"/>
        <w:lang w:val="en-US" w:eastAsia="en-US" w:bidi="ar-SA"/>
      </w:rPr>
    </w:lvl>
    <w:lvl w:ilvl="3">
      <w:start w:val="0"/>
      <w:numFmt w:val="bullet"/>
      <w:lvlText w:val="•"/>
      <w:lvlJc w:val="left"/>
      <w:pPr>
        <w:ind w:left="3962" w:hanging="360"/>
      </w:pPr>
      <w:rPr>
        <w:rFonts w:hint="default"/>
        <w:lang w:val="en-US" w:eastAsia="en-US" w:bidi="ar-SA"/>
      </w:rPr>
    </w:lvl>
    <w:lvl w:ilvl="4">
      <w:start w:val="0"/>
      <w:numFmt w:val="bullet"/>
      <w:lvlText w:val="•"/>
      <w:lvlJc w:val="left"/>
      <w:pPr>
        <w:ind w:left="4836" w:hanging="360"/>
      </w:pPr>
      <w:rPr>
        <w:rFonts w:hint="default"/>
        <w:lang w:val="en-US" w:eastAsia="en-US" w:bidi="ar-SA"/>
      </w:rPr>
    </w:lvl>
    <w:lvl w:ilvl="5">
      <w:start w:val="0"/>
      <w:numFmt w:val="bullet"/>
      <w:lvlText w:val="•"/>
      <w:lvlJc w:val="left"/>
      <w:pPr>
        <w:ind w:left="5710" w:hanging="360"/>
      </w:pPr>
      <w:rPr>
        <w:rFonts w:hint="default"/>
        <w:lang w:val="en-US" w:eastAsia="en-US" w:bidi="ar-SA"/>
      </w:rPr>
    </w:lvl>
    <w:lvl w:ilvl="6">
      <w:start w:val="0"/>
      <w:numFmt w:val="bullet"/>
      <w:lvlText w:val="•"/>
      <w:lvlJc w:val="left"/>
      <w:pPr>
        <w:ind w:left="6584" w:hanging="360"/>
      </w:pPr>
      <w:rPr>
        <w:rFonts w:hint="default"/>
        <w:lang w:val="en-US" w:eastAsia="en-US" w:bidi="ar-SA"/>
      </w:rPr>
    </w:lvl>
    <w:lvl w:ilvl="7">
      <w:start w:val="0"/>
      <w:numFmt w:val="bullet"/>
      <w:lvlText w:val="•"/>
      <w:lvlJc w:val="left"/>
      <w:pPr>
        <w:ind w:left="7458" w:hanging="360"/>
      </w:pPr>
      <w:rPr>
        <w:rFonts w:hint="default"/>
        <w:lang w:val="en-US" w:eastAsia="en-US" w:bidi="ar-SA"/>
      </w:rPr>
    </w:lvl>
    <w:lvl w:ilvl="8">
      <w:start w:val="0"/>
      <w:numFmt w:val="bullet"/>
      <w:lvlText w:val="•"/>
      <w:lvlJc w:val="left"/>
      <w:pPr>
        <w:ind w:left="8332" w:hanging="360"/>
      </w:pPr>
      <w:rPr>
        <w:rFonts w:hint="default"/>
        <w:lang w:val="en-US" w:eastAsia="en-US" w:bidi="ar-SA"/>
      </w:rPr>
    </w:lvl>
  </w:abstractNum>
  <w:abstractNum w:abstractNumId="27">
    <w:multiLevelType w:val="hybridMultilevel"/>
    <w:lvl w:ilvl="0">
      <w:start w:val="3"/>
      <w:numFmt w:val="lowerRoman"/>
      <w:lvlText w:val="(%1)"/>
      <w:lvlJc w:val="left"/>
      <w:pPr>
        <w:ind w:left="415" w:hanging="387"/>
        <w:jc w:val="left"/>
      </w:pPr>
      <w:rPr>
        <w:rFonts w:hint="default" w:ascii="Calibri" w:hAnsi="Calibri" w:eastAsia="Calibri" w:cs="Calibri"/>
        <w:b w:val="0"/>
        <w:bCs w:val="0"/>
        <w:i w:val="0"/>
        <w:iCs w:val="0"/>
        <w:spacing w:val="-1"/>
        <w:w w:val="100"/>
        <w:sz w:val="22"/>
        <w:szCs w:val="22"/>
        <w:lang w:val="en-US" w:eastAsia="en-US" w:bidi="ar-SA"/>
      </w:rPr>
    </w:lvl>
    <w:lvl w:ilvl="1">
      <w:start w:val="0"/>
      <w:numFmt w:val="bullet"/>
      <w:lvlText w:val="•"/>
      <w:lvlJc w:val="left"/>
      <w:pPr>
        <w:ind w:left="1204" w:hanging="387"/>
      </w:pPr>
      <w:rPr>
        <w:rFonts w:hint="default"/>
        <w:lang w:val="en-US" w:eastAsia="en-US" w:bidi="ar-SA"/>
      </w:rPr>
    </w:lvl>
    <w:lvl w:ilvl="2">
      <w:start w:val="0"/>
      <w:numFmt w:val="bullet"/>
      <w:lvlText w:val="•"/>
      <w:lvlJc w:val="left"/>
      <w:pPr>
        <w:ind w:left="1989" w:hanging="387"/>
      </w:pPr>
      <w:rPr>
        <w:rFonts w:hint="default"/>
        <w:lang w:val="en-US" w:eastAsia="en-US" w:bidi="ar-SA"/>
      </w:rPr>
    </w:lvl>
    <w:lvl w:ilvl="3">
      <w:start w:val="0"/>
      <w:numFmt w:val="bullet"/>
      <w:lvlText w:val="•"/>
      <w:lvlJc w:val="left"/>
      <w:pPr>
        <w:ind w:left="2773" w:hanging="387"/>
      </w:pPr>
      <w:rPr>
        <w:rFonts w:hint="default"/>
        <w:lang w:val="en-US" w:eastAsia="en-US" w:bidi="ar-SA"/>
      </w:rPr>
    </w:lvl>
    <w:lvl w:ilvl="4">
      <w:start w:val="0"/>
      <w:numFmt w:val="bullet"/>
      <w:lvlText w:val="•"/>
      <w:lvlJc w:val="left"/>
      <w:pPr>
        <w:ind w:left="3558" w:hanging="387"/>
      </w:pPr>
      <w:rPr>
        <w:rFonts w:hint="default"/>
        <w:lang w:val="en-US" w:eastAsia="en-US" w:bidi="ar-SA"/>
      </w:rPr>
    </w:lvl>
    <w:lvl w:ilvl="5">
      <w:start w:val="0"/>
      <w:numFmt w:val="bullet"/>
      <w:lvlText w:val="•"/>
      <w:lvlJc w:val="left"/>
      <w:pPr>
        <w:ind w:left="4342" w:hanging="387"/>
      </w:pPr>
      <w:rPr>
        <w:rFonts w:hint="default"/>
        <w:lang w:val="en-US" w:eastAsia="en-US" w:bidi="ar-SA"/>
      </w:rPr>
    </w:lvl>
    <w:lvl w:ilvl="6">
      <w:start w:val="0"/>
      <w:numFmt w:val="bullet"/>
      <w:lvlText w:val="•"/>
      <w:lvlJc w:val="left"/>
      <w:pPr>
        <w:ind w:left="5127" w:hanging="387"/>
      </w:pPr>
      <w:rPr>
        <w:rFonts w:hint="default"/>
        <w:lang w:val="en-US" w:eastAsia="en-US" w:bidi="ar-SA"/>
      </w:rPr>
    </w:lvl>
    <w:lvl w:ilvl="7">
      <w:start w:val="0"/>
      <w:numFmt w:val="bullet"/>
      <w:lvlText w:val="•"/>
      <w:lvlJc w:val="left"/>
      <w:pPr>
        <w:ind w:left="5911" w:hanging="387"/>
      </w:pPr>
      <w:rPr>
        <w:rFonts w:hint="default"/>
        <w:lang w:val="en-US" w:eastAsia="en-US" w:bidi="ar-SA"/>
      </w:rPr>
    </w:lvl>
    <w:lvl w:ilvl="8">
      <w:start w:val="0"/>
      <w:numFmt w:val="bullet"/>
      <w:lvlText w:val="•"/>
      <w:lvlJc w:val="left"/>
      <w:pPr>
        <w:ind w:left="6696" w:hanging="387"/>
      </w:pPr>
      <w:rPr>
        <w:rFonts w:hint="default"/>
        <w:lang w:val="en-US" w:eastAsia="en-US" w:bidi="ar-SA"/>
      </w:rPr>
    </w:lvl>
  </w:abstractNum>
  <w:abstractNum w:abstractNumId="26">
    <w:multiLevelType w:val="hybridMultilevel"/>
    <w:lvl w:ilvl="0">
      <w:start w:val="1"/>
      <w:numFmt w:val="decimal"/>
      <w:lvlText w:val="%1."/>
      <w:lvlJc w:val="left"/>
      <w:pPr>
        <w:ind w:left="388" w:hanging="361"/>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1132" w:hanging="361"/>
      </w:pPr>
      <w:rPr>
        <w:rFonts w:hint="default"/>
        <w:lang w:val="en-US" w:eastAsia="en-US" w:bidi="ar-SA"/>
      </w:rPr>
    </w:lvl>
    <w:lvl w:ilvl="2">
      <w:start w:val="0"/>
      <w:numFmt w:val="bullet"/>
      <w:lvlText w:val="•"/>
      <w:lvlJc w:val="left"/>
      <w:pPr>
        <w:ind w:left="1885" w:hanging="361"/>
      </w:pPr>
      <w:rPr>
        <w:rFonts w:hint="default"/>
        <w:lang w:val="en-US" w:eastAsia="en-US" w:bidi="ar-SA"/>
      </w:rPr>
    </w:lvl>
    <w:lvl w:ilvl="3">
      <w:start w:val="0"/>
      <w:numFmt w:val="bullet"/>
      <w:lvlText w:val="•"/>
      <w:lvlJc w:val="left"/>
      <w:pPr>
        <w:ind w:left="2637" w:hanging="361"/>
      </w:pPr>
      <w:rPr>
        <w:rFonts w:hint="default"/>
        <w:lang w:val="en-US" w:eastAsia="en-US" w:bidi="ar-SA"/>
      </w:rPr>
    </w:lvl>
    <w:lvl w:ilvl="4">
      <w:start w:val="0"/>
      <w:numFmt w:val="bullet"/>
      <w:lvlText w:val="•"/>
      <w:lvlJc w:val="left"/>
      <w:pPr>
        <w:ind w:left="3390" w:hanging="361"/>
      </w:pPr>
      <w:rPr>
        <w:rFonts w:hint="default"/>
        <w:lang w:val="en-US" w:eastAsia="en-US" w:bidi="ar-SA"/>
      </w:rPr>
    </w:lvl>
    <w:lvl w:ilvl="5">
      <w:start w:val="0"/>
      <w:numFmt w:val="bullet"/>
      <w:lvlText w:val="•"/>
      <w:lvlJc w:val="left"/>
      <w:pPr>
        <w:ind w:left="4142" w:hanging="361"/>
      </w:pPr>
      <w:rPr>
        <w:rFonts w:hint="default"/>
        <w:lang w:val="en-US" w:eastAsia="en-US" w:bidi="ar-SA"/>
      </w:rPr>
    </w:lvl>
    <w:lvl w:ilvl="6">
      <w:start w:val="0"/>
      <w:numFmt w:val="bullet"/>
      <w:lvlText w:val="•"/>
      <w:lvlJc w:val="left"/>
      <w:pPr>
        <w:ind w:left="4895" w:hanging="361"/>
      </w:pPr>
      <w:rPr>
        <w:rFonts w:hint="default"/>
        <w:lang w:val="en-US" w:eastAsia="en-US" w:bidi="ar-SA"/>
      </w:rPr>
    </w:lvl>
    <w:lvl w:ilvl="7">
      <w:start w:val="0"/>
      <w:numFmt w:val="bullet"/>
      <w:lvlText w:val="•"/>
      <w:lvlJc w:val="left"/>
      <w:pPr>
        <w:ind w:left="5647" w:hanging="361"/>
      </w:pPr>
      <w:rPr>
        <w:rFonts w:hint="default"/>
        <w:lang w:val="en-US" w:eastAsia="en-US" w:bidi="ar-SA"/>
      </w:rPr>
    </w:lvl>
    <w:lvl w:ilvl="8">
      <w:start w:val="0"/>
      <w:numFmt w:val="bullet"/>
      <w:lvlText w:val="•"/>
      <w:lvlJc w:val="left"/>
      <w:pPr>
        <w:ind w:left="6400" w:hanging="361"/>
      </w:pPr>
      <w:rPr>
        <w:rFonts w:hint="default"/>
        <w:lang w:val="en-US" w:eastAsia="en-US" w:bidi="ar-SA"/>
      </w:rPr>
    </w:lvl>
  </w:abstractNum>
  <w:abstractNum w:abstractNumId="25">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38" w:hanging="360"/>
      </w:pPr>
      <w:rPr>
        <w:rFonts w:hint="default"/>
        <w:lang w:val="en-US" w:eastAsia="en-US" w:bidi="ar-SA"/>
      </w:rPr>
    </w:lvl>
    <w:lvl w:ilvl="2">
      <w:start w:val="0"/>
      <w:numFmt w:val="bullet"/>
      <w:lvlText w:val="•"/>
      <w:lvlJc w:val="left"/>
      <w:pPr>
        <w:ind w:left="3376" w:hanging="360"/>
      </w:pPr>
      <w:rPr>
        <w:rFonts w:hint="default"/>
        <w:lang w:val="en-US" w:eastAsia="en-US" w:bidi="ar-SA"/>
      </w:rPr>
    </w:lvl>
    <w:lvl w:ilvl="3">
      <w:start w:val="0"/>
      <w:numFmt w:val="bullet"/>
      <w:lvlText w:val="•"/>
      <w:lvlJc w:val="left"/>
      <w:pPr>
        <w:ind w:left="4214" w:hanging="360"/>
      </w:pPr>
      <w:rPr>
        <w:rFonts w:hint="default"/>
        <w:lang w:val="en-US" w:eastAsia="en-US" w:bidi="ar-SA"/>
      </w:rPr>
    </w:lvl>
    <w:lvl w:ilvl="4">
      <w:start w:val="0"/>
      <w:numFmt w:val="bullet"/>
      <w:lvlText w:val="•"/>
      <w:lvlJc w:val="left"/>
      <w:pPr>
        <w:ind w:left="5052" w:hanging="360"/>
      </w:pPr>
      <w:rPr>
        <w:rFonts w:hint="default"/>
        <w:lang w:val="en-US" w:eastAsia="en-US" w:bidi="ar-SA"/>
      </w:rPr>
    </w:lvl>
    <w:lvl w:ilvl="5">
      <w:start w:val="0"/>
      <w:numFmt w:val="bullet"/>
      <w:lvlText w:val="•"/>
      <w:lvlJc w:val="left"/>
      <w:pPr>
        <w:ind w:left="5890" w:hanging="360"/>
      </w:pPr>
      <w:rPr>
        <w:rFonts w:hint="default"/>
        <w:lang w:val="en-US" w:eastAsia="en-US" w:bidi="ar-SA"/>
      </w:rPr>
    </w:lvl>
    <w:lvl w:ilvl="6">
      <w:start w:val="0"/>
      <w:numFmt w:val="bullet"/>
      <w:lvlText w:val="•"/>
      <w:lvlJc w:val="left"/>
      <w:pPr>
        <w:ind w:left="6728" w:hanging="360"/>
      </w:pPr>
      <w:rPr>
        <w:rFonts w:hint="default"/>
        <w:lang w:val="en-US" w:eastAsia="en-US" w:bidi="ar-SA"/>
      </w:rPr>
    </w:lvl>
    <w:lvl w:ilvl="7">
      <w:start w:val="0"/>
      <w:numFmt w:val="bullet"/>
      <w:lvlText w:val="•"/>
      <w:lvlJc w:val="left"/>
      <w:pPr>
        <w:ind w:left="7566" w:hanging="360"/>
      </w:pPr>
      <w:rPr>
        <w:rFonts w:hint="default"/>
        <w:lang w:val="en-US" w:eastAsia="en-US" w:bidi="ar-SA"/>
      </w:rPr>
    </w:lvl>
    <w:lvl w:ilvl="8">
      <w:start w:val="0"/>
      <w:numFmt w:val="bullet"/>
      <w:lvlText w:val="•"/>
      <w:lvlJc w:val="left"/>
      <w:pPr>
        <w:ind w:left="8404" w:hanging="360"/>
      </w:pPr>
      <w:rPr>
        <w:rFonts w:hint="default"/>
        <w:lang w:val="en-US" w:eastAsia="en-US" w:bidi="ar-SA"/>
      </w:rPr>
    </w:lvl>
  </w:abstractNum>
  <w:abstractNum w:abstractNumId="24">
    <w:multiLevelType w:val="hybridMultilevel"/>
    <w:lvl w:ilvl="0">
      <w:start w:val="0"/>
      <w:numFmt w:val="bullet"/>
      <w:lvlText w:val=""/>
      <w:lvlJc w:val="left"/>
      <w:pPr>
        <w:ind w:left="90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818" w:hanging="360"/>
      </w:pPr>
      <w:rPr>
        <w:rFonts w:hint="default"/>
        <w:lang w:val="en-US" w:eastAsia="en-US" w:bidi="ar-SA"/>
      </w:rPr>
    </w:lvl>
    <w:lvl w:ilvl="2">
      <w:start w:val="0"/>
      <w:numFmt w:val="bullet"/>
      <w:lvlText w:val="•"/>
      <w:lvlJc w:val="left"/>
      <w:pPr>
        <w:ind w:left="2736" w:hanging="360"/>
      </w:pPr>
      <w:rPr>
        <w:rFonts w:hint="default"/>
        <w:lang w:val="en-US" w:eastAsia="en-US" w:bidi="ar-SA"/>
      </w:rPr>
    </w:lvl>
    <w:lvl w:ilvl="3">
      <w:start w:val="0"/>
      <w:numFmt w:val="bullet"/>
      <w:lvlText w:val="•"/>
      <w:lvlJc w:val="left"/>
      <w:pPr>
        <w:ind w:left="3654" w:hanging="360"/>
      </w:pPr>
      <w:rPr>
        <w:rFonts w:hint="default"/>
        <w:lang w:val="en-US" w:eastAsia="en-US" w:bidi="ar-SA"/>
      </w:rPr>
    </w:lvl>
    <w:lvl w:ilvl="4">
      <w:start w:val="0"/>
      <w:numFmt w:val="bullet"/>
      <w:lvlText w:val="•"/>
      <w:lvlJc w:val="left"/>
      <w:pPr>
        <w:ind w:left="4572" w:hanging="360"/>
      </w:pPr>
      <w:rPr>
        <w:rFonts w:hint="default"/>
        <w:lang w:val="en-US" w:eastAsia="en-US" w:bidi="ar-SA"/>
      </w:rPr>
    </w:lvl>
    <w:lvl w:ilvl="5">
      <w:start w:val="0"/>
      <w:numFmt w:val="bullet"/>
      <w:lvlText w:val="•"/>
      <w:lvlJc w:val="left"/>
      <w:pPr>
        <w:ind w:left="5490" w:hanging="360"/>
      </w:pPr>
      <w:rPr>
        <w:rFonts w:hint="default"/>
        <w:lang w:val="en-US" w:eastAsia="en-US" w:bidi="ar-SA"/>
      </w:rPr>
    </w:lvl>
    <w:lvl w:ilvl="6">
      <w:start w:val="0"/>
      <w:numFmt w:val="bullet"/>
      <w:lvlText w:val="•"/>
      <w:lvlJc w:val="left"/>
      <w:pPr>
        <w:ind w:left="6408" w:hanging="360"/>
      </w:pPr>
      <w:rPr>
        <w:rFonts w:hint="default"/>
        <w:lang w:val="en-US" w:eastAsia="en-US" w:bidi="ar-SA"/>
      </w:rPr>
    </w:lvl>
    <w:lvl w:ilvl="7">
      <w:start w:val="0"/>
      <w:numFmt w:val="bullet"/>
      <w:lvlText w:val="•"/>
      <w:lvlJc w:val="left"/>
      <w:pPr>
        <w:ind w:left="7326" w:hanging="360"/>
      </w:pPr>
      <w:rPr>
        <w:rFonts w:hint="default"/>
        <w:lang w:val="en-US" w:eastAsia="en-US" w:bidi="ar-SA"/>
      </w:rPr>
    </w:lvl>
    <w:lvl w:ilvl="8">
      <w:start w:val="0"/>
      <w:numFmt w:val="bullet"/>
      <w:lvlText w:val="•"/>
      <w:lvlJc w:val="left"/>
      <w:pPr>
        <w:ind w:left="8244" w:hanging="360"/>
      </w:pPr>
      <w:rPr>
        <w:rFonts w:hint="default"/>
        <w:lang w:val="en-US" w:eastAsia="en-US" w:bidi="ar-SA"/>
      </w:rPr>
    </w:lvl>
  </w:abstractNum>
  <w:abstractNum w:abstractNumId="23">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38" w:hanging="360"/>
      </w:pPr>
      <w:rPr>
        <w:rFonts w:hint="default"/>
        <w:lang w:val="en-US" w:eastAsia="en-US" w:bidi="ar-SA"/>
      </w:rPr>
    </w:lvl>
    <w:lvl w:ilvl="2">
      <w:start w:val="0"/>
      <w:numFmt w:val="bullet"/>
      <w:lvlText w:val="•"/>
      <w:lvlJc w:val="left"/>
      <w:pPr>
        <w:ind w:left="3376" w:hanging="360"/>
      </w:pPr>
      <w:rPr>
        <w:rFonts w:hint="default"/>
        <w:lang w:val="en-US" w:eastAsia="en-US" w:bidi="ar-SA"/>
      </w:rPr>
    </w:lvl>
    <w:lvl w:ilvl="3">
      <w:start w:val="0"/>
      <w:numFmt w:val="bullet"/>
      <w:lvlText w:val="•"/>
      <w:lvlJc w:val="left"/>
      <w:pPr>
        <w:ind w:left="4214" w:hanging="360"/>
      </w:pPr>
      <w:rPr>
        <w:rFonts w:hint="default"/>
        <w:lang w:val="en-US" w:eastAsia="en-US" w:bidi="ar-SA"/>
      </w:rPr>
    </w:lvl>
    <w:lvl w:ilvl="4">
      <w:start w:val="0"/>
      <w:numFmt w:val="bullet"/>
      <w:lvlText w:val="•"/>
      <w:lvlJc w:val="left"/>
      <w:pPr>
        <w:ind w:left="5052" w:hanging="360"/>
      </w:pPr>
      <w:rPr>
        <w:rFonts w:hint="default"/>
        <w:lang w:val="en-US" w:eastAsia="en-US" w:bidi="ar-SA"/>
      </w:rPr>
    </w:lvl>
    <w:lvl w:ilvl="5">
      <w:start w:val="0"/>
      <w:numFmt w:val="bullet"/>
      <w:lvlText w:val="•"/>
      <w:lvlJc w:val="left"/>
      <w:pPr>
        <w:ind w:left="5890" w:hanging="360"/>
      </w:pPr>
      <w:rPr>
        <w:rFonts w:hint="default"/>
        <w:lang w:val="en-US" w:eastAsia="en-US" w:bidi="ar-SA"/>
      </w:rPr>
    </w:lvl>
    <w:lvl w:ilvl="6">
      <w:start w:val="0"/>
      <w:numFmt w:val="bullet"/>
      <w:lvlText w:val="•"/>
      <w:lvlJc w:val="left"/>
      <w:pPr>
        <w:ind w:left="6728" w:hanging="360"/>
      </w:pPr>
      <w:rPr>
        <w:rFonts w:hint="default"/>
        <w:lang w:val="en-US" w:eastAsia="en-US" w:bidi="ar-SA"/>
      </w:rPr>
    </w:lvl>
    <w:lvl w:ilvl="7">
      <w:start w:val="0"/>
      <w:numFmt w:val="bullet"/>
      <w:lvlText w:val="•"/>
      <w:lvlJc w:val="left"/>
      <w:pPr>
        <w:ind w:left="7566" w:hanging="360"/>
      </w:pPr>
      <w:rPr>
        <w:rFonts w:hint="default"/>
        <w:lang w:val="en-US" w:eastAsia="en-US" w:bidi="ar-SA"/>
      </w:rPr>
    </w:lvl>
    <w:lvl w:ilvl="8">
      <w:start w:val="0"/>
      <w:numFmt w:val="bullet"/>
      <w:lvlText w:val="•"/>
      <w:lvlJc w:val="left"/>
      <w:pPr>
        <w:ind w:left="8404" w:hanging="360"/>
      </w:pPr>
      <w:rPr>
        <w:rFonts w:hint="default"/>
        <w:lang w:val="en-US" w:eastAsia="en-US" w:bidi="ar-SA"/>
      </w:rPr>
    </w:lvl>
  </w:abstractNum>
  <w:abstractNum w:abstractNumId="22">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74" w:hanging="360"/>
      </w:pPr>
      <w:rPr>
        <w:rFonts w:hint="default"/>
        <w:lang w:val="en-US" w:eastAsia="en-US" w:bidi="ar-SA"/>
      </w:rPr>
    </w:lvl>
    <w:lvl w:ilvl="2">
      <w:start w:val="0"/>
      <w:numFmt w:val="bullet"/>
      <w:lvlText w:val="•"/>
      <w:lvlJc w:val="left"/>
      <w:pPr>
        <w:ind w:left="3448" w:hanging="360"/>
      </w:pPr>
      <w:rPr>
        <w:rFonts w:hint="default"/>
        <w:lang w:val="en-US" w:eastAsia="en-US" w:bidi="ar-SA"/>
      </w:rPr>
    </w:lvl>
    <w:lvl w:ilvl="3">
      <w:start w:val="0"/>
      <w:numFmt w:val="bullet"/>
      <w:lvlText w:val="•"/>
      <w:lvlJc w:val="left"/>
      <w:pPr>
        <w:ind w:left="4322" w:hanging="360"/>
      </w:pPr>
      <w:rPr>
        <w:rFonts w:hint="default"/>
        <w:lang w:val="en-US" w:eastAsia="en-US" w:bidi="ar-SA"/>
      </w:rPr>
    </w:lvl>
    <w:lvl w:ilvl="4">
      <w:start w:val="0"/>
      <w:numFmt w:val="bullet"/>
      <w:lvlText w:val="•"/>
      <w:lvlJc w:val="left"/>
      <w:pPr>
        <w:ind w:left="5196"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818" w:hanging="360"/>
      </w:pPr>
      <w:rPr>
        <w:rFonts w:hint="default"/>
        <w:lang w:val="en-US" w:eastAsia="en-US" w:bidi="ar-SA"/>
      </w:rPr>
    </w:lvl>
    <w:lvl w:ilvl="8">
      <w:start w:val="0"/>
      <w:numFmt w:val="bullet"/>
      <w:lvlText w:val="•"/>
      <w:lvlJc w:val="left"/>
      <w:pPr>
        <w:ind w:left="8692" w:hanging="360"/>
      </w:pPr>
      <w:rPr>
        <w:rFonts w:hint="default"/>
        <w:lang w:val="en-US" w:eastAsia="en-US" w:bidi="ar-SA"/>
      </w:rPr>
    </w:lvl>
  </w:abstractNum>
  <w:abstractNum w:abstractNumId="21">
    <w:multiLevelType w:val="hybridMultilevel"/>
    <w:lvl w:ilvl="0">
      <w:start w:val="0"/>
      <w:numFmt w:val="bullet"/>
      <w:lvlText w:val=""/>
      <w:lvlJc w:val="left"/>
      <w:pPr>
        <w:ind w:left="1691"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74" w:hanging="360"/>
      </w:pPr>
      <w:rPr>
        <w:rFonts w:hint="default"/>
        <w:lang w:val="en-US" w:eastAsia="en-US" w:bidi="ar-SA"/>
      </w:rPr>
    </w:lvl>
    <w:lvl w:ilvl="2">
      <w:start w:val="0"/>
      <w:numFmt w:val="bullet"/>
      <w:lvlText w:val="•"/>
      <w:lvlJc w:val="left"/>
      <w:pPr>
        <w:ind w:left="3448" w:hanging="360"/>
      </w:pPr>
      <w:rPr>
        <w:rFonts w:hint="default"/>
        <w:lang w:val="en-US" w:eastAsia="en-US" w:bidi="ar-SA"/>
      </w:rPr>
    </w:lvl>
    <w:lvl w:ilvl="3">
      <w:start w:val="0"/>
      <w:numFmt w:val="bullet"/>
      <w:lvlText w:val="•"/>
      <w:lvlJc w:val="left"/>
      <w:pPr>
        <w:ind w:left="4322" w:hanging="360"/>
      </w:pPr>
      <w:rPr>
        <w:rFonts w:hint="default"/>
        <w:lang w:val="en-US" w:eastAsia="en-US" w:bidi="ar-SA"/>
      </w:rPr>
    </w:lvl>
    <w:lvl w:ilvl="4">
      <w:start w:val="0"/>
      <w:numFmt w:val="bullet"/>
      <w:lvlText w:val="•"/>
      <w:lvlJc w:val="left"/>
      <w:pPr>
        <w:ind w:left="5196"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818" w:hanging="360"/>
      </w:pPr>
      <w:rPr>
        <w:rFonts w:hint="default"/>
        <w:lang w:val="en-US" w:eastAsia="en-US" w:bidi="ar-SA"/>
      </w:rPr>
    </w:lvl>
    <w:lvl w:ilvl="8">
      <w:start w:val="0"/>
      <w:numFmt w:val="bullet"/>
      <w:lvlText w:val="•"/>
      <w:lvlJc w:val="left"/>
      <w:pPr>
        <w:ind w:left="8692" w:hanging="360"/>
      </w:pPr>
      <w:rPr>
        <w:rFonts w:hint="default"/>
        <w:lang w:val="en-US" w:eastAsia="en-US" w:bidi="ar-SA"/>
      </w:rPr>
    </w:lvl>
  </w:abstractNum>
  <w:abstractNum w:abstractNumId="20">
    <w:multiLevelType w:val="hybridMultilevel"/>
    <w:lvl w:ilvl="0">
      <w:start w:val="0"/>
      <w:numFmt w:val="bullet"/>
      <w:lvlText w:val=""/>
      <w:lvlJc w:val="left"/>
      <w:pPr>
        <w:ind w:left="144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340" w:hanging="360"/>
      </w:pPr>
      <w:rPr>
        <w:rFonts w:hint="default"/>
        <w:lang w:val="en-US" w:eastAsia="en-US" w:bidi="ar-SA"/>
      </w:rPr>
    </w:lvl>
    <w:lvl w:ilvl="2">
      <w:start w:val="0"/>
      <w:numFmt w:val="bullet"/>
      <w:lvlText w:val="•"/>
      <w:lvlJc w:val="left"/>
      <w:pPr>
        <w:ind w:left="3240" w:hanging="360"/>
      </w:pPr>
      <w:rPr>
        <w:rFonts w:hint="default"/>
        <w:lang w:val="en-US" w:eastAsia="en-US" w:bidi="ar-SA"/>
      </w:rPr>
    </w:lvl>
    <w:lvl w:ilvl="3">
      <w:start w:val="0"/>
      <w:numFmt w:val="bullet"/>
      <w:lvlText w:val="•"/>
      <w:lvlJc w:val="left"/>
      <w:pPr>
        <w:ind w:left="4140" w:hanging="360"/>
      </w:pPr>
      <w:rPr>
        <w:rFonts w:hint="default"/>
        <w:lang w:val="en-US" w:eastAsia="en-US" w:bidi="ar-SA"/>
      </w:rPr>
    </w:lvl>
    <w:lvl w:ilvl="4">
      <w:start w:val="0"/>
      <w:numFmt w:val="bullet"/>
      <w:lvlText w:val="•"/>
      <w:lvlJc w:val="left"/>
      <w:pPr>
        <w:ind w:left="5040" w:hanging="360"/>
      </w:pPr>
      <w:rPr>
        <w:rFonts w:hint="default"/>
        <w:lang w:val="en-US" w:eastAsia="en-US" w:bidi="ar-SA"/>
      </w:rPr>
    </w:lvl>
    <w:lvl w:ilvl="5">
      <w:start w:val="0"/>
      <w:numFmt w:val="bullet"/>
      <w:lvlText w:val="•"/>
      <w:lvlJc w:val="left"/>
      <w:pPr>
        <w:ind w:left="5940" w:hanging="360"/>
      </w:pPr>
      <w:rPr>
        <w:rFonts w:hint="default"/>
        <w:lang w:val="en-US" w:eastAsia="en-US" w:bidi="ar-SA"/>
      </w:rPr>
    </w:lvl>
    <w:lvl w:ilvl="6">
      <w:start w:val="0"/>
      <w:numFmt w:val="bullet"/>
      <w:lvlText w:val="•"/>
      <w:lvlJc w:val="left"/>
      <w:pPr>
        <w:ind w:left="6840" w:hanging="360"/>
      </w:pPr>
      <w:rPr>
        <w:rFonts w:hint="default"/>
        <w:lang w:val="en-US" w:eastAsia="en-US" w:bidi="ar-SA"/>
      </w:rPr>
    </w:lvl>
    <w:lvl w:ilvl="7">
      <w:start w:val="0"/>
      <w:numFmt w:val="bullet"/>
      <w:lvlText w:val="•"/>
      <w:lvlJc w:val="left"/>
      <w:pPr>
        <w:ind w:left="7740" w:hanging="360"/>
      </w:pPr>
      <w:rPr>
        <w:rFonts w:hint="default"/>
        <w:lang w:val="en-US" w:eastAsia="en-US" w:bidi="ar-SA"/>
      </w:rPr>
    </w:lvl>
    <w:lvl w:ilvl="8">
      <w:start w:val="0"/>
      <w:numFmt w:val="bullet"/>
      <w:lvlText w:val="•"/>
      <w:lvlJc w:val="left"/>
      <w:pPr>
        <w:ind w:left="8640" w:hanging="360"/>
      </w:pPr>
      <w:rPr>
        <w:rFonts w:hint="default"/>
        <w:lang w:val="en-US" w:eastAsia="en-US" w:bidi="ar-SA"/>
      </w:rPr>
    </w:lvl>
  </w:abstractNum>
  <w:abstractNum w:abstractNumId="19">
    <w:multiLevelType w:val="hybridMultilevel"/>
    <w:lvl w:ilvl="0">
      <w:start w:val="1"/>
      <w:numFmt w:val="decimal"/>
      <w:lvlText w:val="%1."/>
      <w:lvlJc w:val="left"/>
      <w:pPr>
        <w:ind w:left="1872" w:hanging="361"/>
        <w:jc w:val="left"/>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2231"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3151" w:hanging="360"/>
      </w:pPr>
      <w:rPr>
        <w:rFonts w:hint="default"/>
        <w:lang w:val="en-US" w:eastAsia="en-US" w:bidi="ar-SA"/>
      </w:rPr>
    </w:lvl>
    <w:lvl w:ilvl="3">
      <w:start w:val="0"/>
      <w:numFmt w:val="bullet"/>
      <w:lvlText w:val="•"/>
      <w:lvlJc w:val="left"/>
      <w:pPr>
        <w:ind w:left="4062" w:hanging="360"/>
      </w:pPr>
      <w:rPr>
        <w:rFonts w:hint="default"/>
        <w:lang w:val="en-US" w:eastAsia="en-US" w:bidi="ar-SA"/>
      </w:rPr>
    </w:lvl>
    <w:lvl w:ilvl="4">
      <w:start w:val="0"/>
      <w:numFmt w:val="bullet"/>
      <w:lvlText w:val="•"/>
      <w:lvlJc w:val="left"/>
      <w:pPr>
        <w:ind w:left="4973" w:hanging="360"/>
      </w:pPr>
      <w:rPr>
        <w:rFonts w:hint="default"/>
        <w:lang w:val="en-US" w:eastAsia="en-US" w:bidi="ar-SA"/>
      </w:rPr>
    </w:lvl>
    <w:lvl w:ilvl="5">
      <w:start w:val="0"/>
      <w:numFmt w:val="bullet"/>
      <w:lvlText w:val="•"/>
      <w:lvlJc w:val="left"/>
      <w:pPr>
        <w:ind w:left="5884" w:hanging="360"/>
      </w:pPr>
      <w:rPr>
        <w:rFonts w:hint="default"/>
        <w:lang w:val="en-US" w:eastAsia="en-US" w:bidi="ar-SA"/>
      </w:rPr>
    </w:lvl>
    <w:lvl w:ilvl="6">
      <w:start w:val="0"/>
      <w:numFmt w:val="bullet"/>
      <w:lvlText w:val="•"/>
      <w:lvlJc w:val="left"/>
      <w:pPr>
        <w:ind w:left="6795" w:hanging="360"/>
      </w:pPr>
      <w:rPr>
        <w:rFonts w:hint="default"/>
        <w:lang w:val="en-US" w:eastAsia="en-US" w:bidi="ar-SA"/>
      </w:rPr>
    </w:lvl>
    <w:lvl w:ilvl="7">
      <w:start w:val="0"/>
      <w:numFmt w:val="bullet"/>
      <w:lvlText w:val="•"/>
      <w:lvlJc w:val="left"/>
      <w:pPr>
        <w:ind w:left="7706" w:hanging="360"/>
      </w:pPr>
      <w:rPr>
        <w:rFonts w:hint="default"/>
        <w:lang w:val="en-US" w:eastAsia="en-US" w:bidi="ar-SA"/>
      </w:rPr>
    </w:lvl>
    <w:lvl w:ilvl="8">
      <w:start w:val="0"/>
      <w:numFmt w:val="bullet"/>
      <w:lvlText w:val="•"/>
      <w:lvlJc w:val="left"/>
      <w:pPr>
        <w:ind w:left="8617" w:hanging="360"/>
      </w:pPr>
      <w:rPr>
        <w:rFonts w:hint="default"/>
        <w:lang w:val="en-US" w:eastAsia="en-US" w:bidi="ar-SA"/>
      </w:rPr>
    </w:lvl>
  </w:abstractNum>
  <w:abstractNum w:abstractNumId="18">
    <w:multiLevelType w:val="hybridMultilevel"/>
    <w:lvl w:ilvl="0">
      <w:start w:val="0"/>
      <w:numFmt w:val="bullet"/>
      <w:lvlText w:val=""/>
      <w:lvlJc w:val="left"/>
      <w:pPr>
        <w:ind w:left="899"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2">
      <w:start w:val="0"/>
      <w:numFmt w:val="bullet"/>
      <w:lvlText w:val="•"/>
      <w:lvlJc w:val="left"/>
      <w:pPr>
        <w:ind w:left="2671" w:hanging="360"/>
      </w:pPr>
      <w:rPr>
        <w:rFonts w:hint="default"/>
        <w:lang w:val="en-US" w:eastAsia="en-US" w:bidi="ar-SA"/>
      </w:rPr>
    </w:lvl>
    <w:lvl w:ilvl="3">
      <w:start w:val="0"/>
      <w:numFmt w:val="bullet"/>
      <w:lvlText w:val="•"/>
      <w:lvlJc w:val="left"/>
      <w:pPr>
        <w:ind w:left="3642" w:hanging="360"/>
      </w:pPr>
      <w:rPr>
        <w:rFonts w:hint="default"/>
        <w:lang w:val="en-US" w:eastAsia="en-US" w:bidi="ar-SA"/>
      </w:rPr>
    </w:lvl>
    <w:lvl w:ilvl="4">
      <w:start w:val="0"/>
      <w:numFmt w:val="bullet"/>
      <w:lvlText w:val="•"/>
      <w:lvlJc w:val="left"/>
      <w:pPr>
        <w:ind w:left="4613" w:hanging="360"/>
      </w:pPr>
      <w:rPr>
        <w:rFonts w:hint="default"/>
        <w:lang w:val="en-US" w:eastAsia="en-US" w:bidi="ar-SA"/>
      </w:rPr>
    </w:lvl>
    <w:lvl w:ilvl="5">
      <w:start w:val="0"/>
      <w:numFmt w:val="bullet"/>
      <w:lvlText w:val="•"/>
      <w:lvlJc w:val="left"/>
      <w:pPr>
        <w:ind w:left="5584" w:hanging="360"/>
      </w:pPr>
      <w:rPr>
        <w:rFonts w:hint="default"/>
        <w:lang w:val="en-US" w:eastAsia="en-US" w:bidi="ar-SA"/>
      </w:rPr>
    </w:lvl>
    <w:lvl w:ilvl="6">
      <w:start w:val="0"/>
      <w:numFmt w:val="bullet"/>
      <w:lvlText w:val="•"/>
      <w:lvlJc w:val="left"/>
      <w:pPr>
        <w:ind w:left="6555" w:hanging="360"/>
      </w:pPr>
      <w:rPr>
        <w:rFonts w:hint="default"/>
        <w:lang w:val="en-US" w:eastAsia="en-US" w:bidi="ar-SA"/>
      </w:rPr>
    </w:lvl>
    <w:lvl w:ilvl="7">
      <w:start w:val="0"/>
      <w:numFmt w:val="bullet"/>
      <w:lvlText w:val="•"/>
      <w:lvlJc w:val="left"/>
      <w:pPr>
        <w:ind w:left="7526" w:hanging="360"/>
      </w:pPr>
      <w:rPr>
        <w:rFonts w:hint="default"/>
        <w:lang w:val="en-US" w:eastAsia="en-US" w:bidi="ar-SA"/>
      </w:rPr>
    </w:lvl>
    <w:lvl w:ilvl="8">
      <w:start w:val="0"/>
      <w:numFmt w:val="bullet"/>
      <w:lvlText w:val="•"/>
      <w:lvlJc w:val="left"/>
      <w:pPr>
        <w:ind w:left="8497" w:hanging="360"/>
      </w:pPr>
      <w:rPr>
        <w:rFonts w:hint="default"/>
        <w:lang w:val="en-US" w:eastAsia="en-US" w:bidi="ar-SA"/>
      </w:rPr>
    </w:lvl>
  </w:abstractNum>
  <w:abstractNum w:abstractNumId="17">
    <w:multiLevelType w:val="hybridMultilevel"/>
    <w:lvl w:ilvl="0">
      <w:start w:val="0"/>
      <w:numFmt w:val="bullet"/>
      <w:lvlText w:val="•"/>
      <w:lvlJc w:val="left"/>
      <w:pPr>
        <w:ind w:left="1872" w:hanging="360"/>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2736" w:hanging="360"/>
      </w:pPr>
      <w:rPr>
        <w:rFonts w:hint="default"/>
        <w:lang w:val="en-US" w:eastAsia="en-US" w:bidi="ar-SA"/>
      </w:rPr>
    </w:lvl>
    <w:lvl w:ilvl="2">
      <w:start w:val="0"/>
      <w:numFmt w:val="bullet"/>
      <w:lvlText w:val="•"/>
      <w:lvlJc w:val="left"/>
      <w:pPr>
        <w:ind w:left="3592" w:hanging="360"/>
      </w:pPr>
      <w:rPr>
        <w:rFonts w:hint="default"/>
        <w:lang w:val="en-US" w:eastAsia="en-US" w:bidi="ar-SA"/>
      </w:rPr>
    </w:lvl>
    <w:lvl w:ilvl="3">
      <w:start w:val="0"/>
      <w:numFmt w:val="bullet"/>
      <w:lvlText w:val="•"/>
      <w:lvlJc w:val="left"/>
      <w:pPr>
        <w:ind w:left="4448" w:hanging="360"/>
      </w:pPr>
      <w:rPr>
        <w:rFonts w:hint="default"/>
        <w:lang w:val="en-US" w:eastAsia="en-US" w:bidi="ar-SA"/>
      </w:rPr>
    </w:lvl>
    <w:lvl w:ilvl="4">
      <w:start w:val="0"/>
      <w:numFmt w:val="bullet"/>
      <w:lvlText w:val="•"/>
      <w:lvlJc w:val="left"/>
      <w:pPr>
        <w:ind w:left="5304" w:hanging="360"/>
      </w:pPr>
      <w:rPr>
        <w:rFonts w:hint="default"/>
        <w:lang w:val="en-US" w:eastAsia="en-US" w:bidi="ar-SA"/>
      </w:rPr>
    </w:lvl>
    <w:lvl w:ilvl="5">
      <w:start w:val="0"/>
      <w:numFmt w:val="bullet"/>
      <w:lvlText w:val="•"/>
      <w:lvlJc w:val="left"/>
      <w:pPr>
        <w:ind w:left="6160" w:hanging="360"/>
      </w:pPr>
      <w:rPr>
        <w:rFonts w:hint="default"/>
        <w:lang w:val="en-US" w:eastAsia="en-US" w:bidi="ar-SA"/>
      </w:rPr>
    </w:lvl>
    <w:lvl w:ilvl="6">
      <w:start w:val="0"/>
      <w:numFmt w:val="bullet"/>
      <w:lvlText w:val="•"/>
      <w:lvlJc w:val="left"/>
      <w:pPr>
        <w:ind w:left="7016" w:hanging="360"/>
      </w:pPr>
      <w:rPr>
        <w:rFonts w:hint="default"/>
        <w:lang w:val="en-US" w:eastAsia="en-US" w:bidi="ar-SA"/>
      </w:rPr>
    </w:lvl>
    <w:lvl w:ilvl="7">
      <w:start w:val="0"/>
      <w:numFmt w:val="bullet"/>
      <w:lvlText w:val="•"/>
      <w:lvlJc w:val="left"/>
      <w:pPr>
        <w:ind w:left="7872" w:hanging="360"/>
      </w:pPr>
      <w:rPr>
        <w:rFonts w:hint="default"/>
        <w:lang w:val="en-US" w:eastAsia="en-US" w:bidi="ar-SA"/>
      </w:rPr>
    </w:lvl>
    <w:lvl w:ilvl="8">
      <w:start w:val="0"/>
      <w:numFmt w:val="bullet"/>
      <w:lvlText w:val="•"/>
      <w:lvlJc w:val="left"/>
      <w:pPr>
        <w:ind w:left="8728" w:hanging="360"/>
      </w:pPr>
      <w:rPr>
        <w:rFonts w:hint="default"/>
        <w:lang w:val="en-US" w:eastAsia="en-US" w:bidi="ar-SA"/>
      </w:rPr>
    </w:lvl>
  </w:abstractNum>
  <w:abstractNum w:abstractNumId="16">
    <w:multiLevelType w:val="hybridMultilevel"/>
    <w:lvl w:ilvl="0">
      <w:start w:val="0"/>
      <w:numFmt w:val="bullet"/>
      <w:lvlText w:val=""/>
      <w:lvlJc w:val="left"/>
      <w:pPr>
        <w:ind w:left="90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854" w:hanging="360"/>
      </w:pPr>
      <w:rPr>
        <w:rFonts w:hint="default"/>
        <w:lang w:val="en-US" w:eastAsia="en-US" w:bidi="ar-SA"/>
      </w:rPr>
    </w:lvl>
    <w:lvl w:ilvl="2">
      <w:start w:val="0"/>
      <w:numFmt w:val="bullet"/>
      <w:lvlText w:val="•"/>
      <w:lvlJc w:val="left"/>
      <w:pPr>
        <w:ind w:left="2808" w:hanging="360"/>
      </w:pPr>
      <w:rPr>
        <w:rFonts w:hint="default"/>
        <w:lang w:val="en-US" w:eastAsia="en-US" w:bidi="ar-SA"/>
      </w:rPr>
    </w:lvl>
    <w:lvl w:ilvl="3">
      <w:start w:val="0"/>
      <w:numFmt w:val="bullet"/>
      <w:lvlText w:val="•"/>
      <w:lvlJc w:val="left"/>
      <w:pPr>
        <w:ind w:left="3762" w:hanging="360"/>
      </w:pPr>
      <w:rPr>
        <w:rFonts w:hint="default"/>
        <w:lang w:val="en-US" w:eastAsia="en-US" w:bidi="ar-SA"/>
      </w:rPr>
    </w:lvl>
    <w:lvl w:ilvl="4">
      <w:start w:val="0"/>
      <w:numFmt w:val="bullet"/>
      <w:lvlText w:val="•"/>
      <w:lvlJc w:val="left"/>
      <w:pPr>
        <w:ind w:left="4716" w:hanging="360"/>
      </w:pPr>
      <w:rPr>
        <w:rFonts w:hint="default"/>
        <w:lang w:val="en-US" w:eastAsia="en-US" w:bidi="ar-SA"/>
      </w:rPr>
    </w:lvl>
    <w:lvl w:ilvl="5">
      <w:start w:val="0"/>
      <w:numFmt w:val="bullet"/>
      <w:lvlText w:val="•"/>
      <w:lvlJc w:val="left"/>
      <w:pPr>
        <w:ind w:left="5670" w:hanging="360"/>
      </w:pPr>
      <w:rPr>
        <w:rFonts w:hint="default"/>
        <w:lang w:val="en-US" w:eastAsia="en-US" w:bidi="ar-SA"/>
      </w:rPr>
    </w:lvl>
    <w:lvl w:ilvl="6">
      <w:start w:val="0"/>
      <w:numFmt w:val="bullet"/>
      <w:lvlText w:val="•"/>
      <w:lvlJc w:val="left"/>
      <w:pPr>
        <w:ind w:left="6624" w:hanging="360"/>
      </w:pPr>
      <w:rPr>
        <w:rFonts w:hint="default"/>
        <w:lang w:val="en-US" w:eastAsia="en-US" w:bidi="ar-SA"/>
      </w:rPr>
    </w:lvl>
    <w:lvl w:ilvl="7">
      <w:start w:val="0"/>
      <w:numFmt w:val="bullet"/>
      <w:lvlText w:val="•"/>
      <w:lvlJc w:val="left"/>
      <w:pPr>
        <w:ind w:left="7578" w:hanging="360"/>
      </w:pPr>
      <w:rPr>
        <w:rFonts w:hint="default"/>
        <w:lang w:val="en-US" w:eastAsia="en-US" w:bidi="ar-SA"/>
      </w:rPr>
    </w:lvl>
    <w:lvl w:ilvl="8">
      <w:start w:val="0"/>
      <w:numFmt w:val="bullet"/>
      <w:lvlText w:val="•"/>
      <w:lvlJc w:val="left"/>
      <w:pPr>
        <w:ind w:left="8532" w:hanging="360"/>
      </w:pPr>
      <w:rPr>
        <w:rFonts w:hint="default"/>
        <w:lang w:val="en-US" w:eastAsia="en-US" w:bidi="ar-SA"/>
      </w:rPr>
    </w:lvl>
  </w:abstractNum>
  <w:abstractNum w:abstractNumId="15">
    <w:multiLevelType w:val="hybridMultilevel"/>
    <w:lvl w:ilvl="0">
      <w:start w:val="0"/>
      <w:numFmt w:val="bullet"/>
      <w:lvlText w:val=""/>
      <w:lvlJc w:val="left"/>
      <w:pPr>
        <w:ind w:left="90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854" w:hanging="360"/>
      </w:pPr>
      <w:rPr>
        <w:rFonts w:hint="default"/>
        <w:lang w:val="en-US" w:eastAsia="en-US" w:bidi="ar-SA"/>
      </w:rPr>
    </w:lvl>
    <w:lvl w:ilvl="2">
      <w:start w:val="0"/>
      <w:numFmt w:val="bullet"/>
      <w:lvlText w:val="•"/>
      <w:lvlJc w:val="left"/>
      <w:pPr>
        <w:ind w:left="2808" w:hanging="360"/>
      </w:pPr>
      <w:rPr>
        <w:rFonts w:hint="default"/>
        <w:lang w:val="en-US" w:eastAsia="en-US" w:bidi="ar-SA"/>
      </w:rPr>
    </w:lvl>
    <w:lvl w:ilvl="3">
      <w:start w:val="0"/>
      <w:numFmt w:val="bullet"/>
      <w:lvlText w:val="•"/>
      <w:lvlJc w:val="left"/>
      <w:pPr>
        <w:ind w:left="3762" w:hanging="360"/>
      </w:pPr>
      <w:rPr>
        <w:rFonts w:hint="default"/>
        <w:lang w:val="en-US" w:eastAsia="en-US" w:bidi="ar-SA"/>
      </w:rPr>
    </w:lvl>
    <w:lvl w:ilvl="4">
      <w:start w:val="0"/>
      <w:numFmt w:val="bullet"/>
      <w:lvlText w:val="•"/>
      <w:lvlJc w:val="left"/>
      <w:pPr>
        <w:ind w:left="4716" w:hanging="360"/>
      </w:pPr>
      <w:rPr>
        <w:rFonts w:hint="default"/>
        <w:lang w:val="en-US" w:eastAsia="en-US" w:bidi="ar-SA"/>
      </w:rPr>
    </w:lvl>
    <w:lvl w:ilvl="5">
      <w:start w:val="0"/>
      <w:numFmt w:val="bullet"/>
      <w:lvlText w:val="•"/>
      <w:lvlJc w:val="left"/>
      <w:pPr>
        <w:ind w:left="5670" w:hanging="360"/>
      </w:pPr>
      <w:rPr>
        <w:rFonts w:hint="default"/>
        <w:lang w:val="en-US" w:eastAsia="en-US" w:bidi="ar-SA"/>
      </w:rPr>
    </w:lvl>
    <w:lvl w:ilvl="6">
      <w:start w:val="0"/>
      <w:numFmt w:val="bullet"/>
      <w:lvlText w:val="•"/>
      <w:lvlJc w:val="left"/>
      <w:pPr>
        <w:ind w:left="6624" w:hanging="360"/>
      </w:pPr>
      <w:rPr>
        <w:rFonts w:hint="default"/>
        <w:lang w:val="en-US" w:eastAsia="en-US" w:bidi="ar-SA"/>
      </w:rPr>
    </w:lvl>
    <w:lvl w:ilvl="7">
      <w:start w:val="0"/>
      <w:numFmt w:val="bullet"/>
      <w:lvlText w:val="•"/>
      <w:lvlJc w:val="left"/>
      <w:pPr>
        <w:ind w:left="7578" w:hanging="360"/>
      </w:pPr>
      <w:rPr>
        <w:rFonts w:hint="default"/>
        <w:lang w:val="en-US" w:eastAsia="en-US" w:bidi="ar-SA"/>
      </w:rPr>
    </w:lvl>
    <w:lvl w:ilvl="8">
      <w:start w:val="0"/>
      <w:numFmt w:val="bullet"/>
      <w:lvlText w:val="•"/>
      <w:lvlJc w:val="left"/>
      <w:pPr>
        <w:ind w:left="8532" w:hanging="360"/>
      </w:pPr>
      <w:rPr>
        <w:rFonts w:hint="default"/>
        <w:lang w:val="en-US" w:eastAsia="en-US" w:bidi="ar-SA"/>
      </w:rPr>
    </w:lvl>
  </w:abstractNum>
  <w:abstractNum w:abstractNumId="14">
    <w:multiLevelType w:val="hybridMultilevel"/>
    <w:lvl w:ilvl="0">
      <w:start w:val="1"/>
      <w:numFmt w:val="lowerLetter"/>
      <w:lvlText w:val="%1)"/>
      <w:lvlJc w:val="left"/>
      <w:pPr>
        <w:ind w:left="1080" w:hanging="361"/>
        <w:jc w:val="right"/>
      </w:pPr>
      <w:rPr>
        <w:rFonts w:hint="default" w:ascii="Calibri" w:hAnsi="Calibri" w:eastAsia="Calibri" w:cs="Calibri"/>
        <w:b w:val="0"/>
        <w:bCs w:val="0"/>
        <w:i w:val="0"/>
        <w:iCs w:val="0"/>
        <w:spacing w:val="-1"/>
        <w:w w:val="100"/>
        <w:sz w:val="22"/>
        <w:szCs w:val="22"/>
        <w:lang w:val="en-US" w:eastAsia="en-US" w:bidi="ar-SA"/>
      </w:rPr>
    </w:lvl>
    <w:lvl w:ilvl="1">
      <w:start w:val="0"/>
      <w:numFmt w:val="bullet"/>
      <w:lvlText w:val="•"/>
      <w:lvlJc w:val="left"/>
      <w:pPr>
        <w:ind w:left="2016" w:hanging="361"/>
      </w:pPr>
      <w:rPr>
        <w:rFonts w:hint="default"/>
        <w:lang w:val="en-US" w:eastAsia="en-US" w:bidi="ar-SA"/>
      </w:rPr>
    </w:lvl>
    <w:lvl w:ilvl="2">
      <w:start w:val="0"/>
      <w:numFmt w:val="bullet"/>
      <w:lvlText w:val="•"/>
      <w:lvlJc w:val="left"/>
      <w:pPr>
        <w:ind w:left="2952" w:hanging="361"/>
      </w:pPr>
      <w:rPr>
        <w:rFonts w:hint="default"/>
        <w:lang w:val="en-US" w:eastAsia="en-US" w:bidi="ar-SA"/>
      </w:rPr>
    </w:lvl>
    <w:lvl w:ilvl="3">
      <w:start w:val="0"/>
      <w:numFmt w:val="bullet"/>
      <w:lvlText w:val="•"/>
      <w:lvlJc w:val="left"/>
      <w:pPr>
        <w:ind w:left="3888" w:hanging="361"/>
      </w:pPr>
      <w:rPr>
        <w:rFonts w:hint="default"/>
        <w:lang w:val="en-US" w:eastAsia="en-US" w:bidi="ar-SA"/>
      </w:rPr>
    </w:lvl>
    <w:lvl w:ilvl="4">
      <w:start w:val="0"/>
      <w:numFmt w:val="bullet"/>
      <w:lvlText w:val="•"/>
      <w:lvlJc w:val="left"/>
      <w:pPr>
        <w:ind w:left="4824" w:hanging="361"/>
      </w:pPr>
      <w:rPr>
        <w:rFonts w:hint="default"/>
        <w:lang w:val="en-US" w:eastAsia="en-US" w:bidi="ar-SA"/>
      </w:rPr>
    </w:lvl>
    <w:lvl w:ilvl="5">
      <w:start w:val="0"/>
      <w:numFmt w:val="bullet"/>
      <w:lvlText w:val="•"/>
      <w:lvlJc w:val="left"/>
      <w:pPr>
        <w:ind w:left="5760" w:hanging="361"/>
      </w:pPr>
      <w:rPr>
        <w:rFonts w:hint="default"/>
        <w:lang w:val="en-US" w:eastAsia="en-US" w:bidi="ar-SA"/>
      </w:rPr>
    </w:lvl>
    <w:lvl w:ilvl="6">
      <w:start w:val="0"/>
      <w:numFmt w:val="bullet"/>
      <w:lvlText w:val="•"/>
      <w:lvlJc w:val="left"/>
      <w:pPr>
        <w:ind w:left="6696" w:hanging="361"/>
      </w:pPr>
      <w:rPr>
        <w:rFonts w:hint="default"/>
        <w:lang w:val="en-US" w:eastAsia="en-US" w:bidi="ar-SA"/>
      </w:rPr>
    </w:lvl>
    <w:lvl w:ilvl="7">
      <w:start w:val="0"/>
      <w:numFmt w:val="bullet"/>
      <w:lvlText w:val="•"/>
      <w:lvlJc w:val="left"/>
      <w:pPr>
        <w:ind w:left="7632" w:hanging="361"/>
      </w:pPr>
      <w:rPr>
        <w:rFonts w:hint="default"/>
        <w:lang w:val="en-US" w:eastAsia="en-US" w:bidi="ar-SA"/>
      </w:rPr>
    </w:lvl>
    <w:lvl w:ilvl="8">
      <w:start w:val="0"/>
      <w:numFmt w:val="bullet"/>
      <w:lvlText w:val="•"/>
      <w:lvlJc w:val="left"/>
      <w:pPr>
        <w:ind w:left="8568" w:hanging="361"/>
      </w:pPr>
      <w:rPr>
        <w:rFonts w:hint="default"/>
        <w:lang w:val="en-US" w:eastAsia="en-US" w:bidi="ar-SA"/>
      </w:rPr>
    </w:lvl>
  </w:abstractNum>
  <w:abstractNum w:abstractNumId="13">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74" w:hanging="360"/>
      </w:pPr>
      <w:rPr>
        <w:rFonts w:hint="default"/>
        <w:lang w:val="en-US" w:eastAsia="en-US" w:bidi="ar-SA"/>
      </w:rPr>
    </w:lvl>
    <w:lvl w:ilvl="2">
      <w:start w:val="0"/>
      <w:numFmt w:val="bullet"/>
      <w:lvlText w:val="•"/>
      <w:lvlJc w:val="left"/>
      <w:pPr>
        <w:ind w:left="3448" w:hanging="360"/>
      </w:pPr>
      <w:rPr>
        <w:rFonts w:hint="default"/>
        <w:lang w:val="en-US" w:eastAsia="en-US" w:bidi="ar-SA"/>
      </w:rPr>
    </w:lvl>
    <w:lvl w:ilvl="3">
      <w:start w:val="0"/>
      <w:numFmt w:val="bullet"/>
      <w:lvlText w:val="•"/>
      <w:lvlJc w:val="left"/>
      <w:pPr>
        <w:ind w:left="4322" w:hanging="360"/>
      </w:pPr>
      <w:rPr>
        <w:rFonts w:hint="default"/>
        <w:lang w:val="en-US" w:eastAsia="en-US" w:bidi="ar-SA"/>
      </w:rPr>
    </w:lvl>
    <w:lvl w:ilvl="4">
      <w:start w:val="0"/>
      <w:numFmt w:val="bullet"/>
      <w:lvlText w:val="•"/>
      <w:lvlJc w:val="left"/>
      <w:pPr>
        <w:ind w:left="5196"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818" w:hanging="360"/>
      </w:pPr>
      <w:rPr>
        <w:rFonts w:hint="default"/>
        <w:lang w:val="en-US" w:eastAsia="en-US" w:bidi="ar-SA"/>
      </w:rPr>
    </w:lvl>
    <w:lvl w:ilvl="8">
      <w:start w:val="0"/>
      <w:numFmt w:val="bullet"/>
      <w:lvlText w:val="•"/>
      <w:lvlJc w:val="left"/>
      <w:pPr>
        <w:ind w:left="8692" w:hanging="360"/>
      </w:pPr>
      <w:rPr>
        <w:rFonts w:hint="default"/>
        <w:lang w:val="en-US" w:eastAsia="en-US" w:bidi="ar-SA"/>
      </w:rPr>
    </w:lvl>
  </w:abstractNum>
  <w:abstractNum w:abstractNumId="10">
    <w:multiLevelType w:val="hybridMultilevel"/>
    <w:lvl w:ilvl="0">
      <w:start w:val="0"/>
      <w:numFmt w:val="bullet"/>
      <w:lvlText w:val="•"/>
      <w:lvlJc w:val="left"/>
      <w:pPr>
        <w:ind w:left="28" w:hanging="360"/>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844" w:hanging="360"/>
      </w:pPr>
      <w:rPr>
        <w:rFonts w:hint="default"/>
        <w:lang w:val="en-US" w:eastAsia="en-US" w:bidi="ar-SA"/>
      </w:rPr>
    </w:lvl>
    <w:lvl w:ilvl="2">
      <w:start w:val="0"/>
      <w:numFmt w:val="bullet"/>
      <w:lvlText w:val="•"/>
      <w:lvlJc w:val="left"/>
      <w:pPr>
        <w:ind w:left="1669" w:hanging="360"/>
      </w:pPr>
      <w:rPr>
        <w:rFonts w:hint="default"/>
        <w:lang w:val="en-US" w:eastAsia="en-US" w:bidi="ar-SA"/>
      </w:rPr>
    </w:lvl>
    <w:lvl w:ilvl="3">
      <w:start w:val="0"/>
      <w:numFmt w:val="bullet"/>
      <w:lvlText w:val="•"/>
      <w:lvlJc w:val="left"/>
      <w:pPr>
        <w:ind w:left="2493" w:hanging="360"/>
      </w:pPr>
      <w:rPr>
        <w:rFonts w:hint="default"/>
        <w:lang w:val="en-US" w:eastAsia="en-US" w:bidi="ar-SA"/>
      </w:rPr>
    </w:lvl>
    <w:lvl w:ilvl="4">
      <w:start w:val="0"/>
      <w:numFmt w:val="bullet"/>
      <w:lvlText w:val="•"/>
      <w:lvlJc w:val="left"/>
      <w:pPr>
        <w:ind w:left="3318" w:hanging="360"/>
      </w:pPr>
      <w:rPr>
        <w:rFonts w:hint="default"/>
        <w:lang w:val="en-US" w:eastAsia="en-US" w:bidi="ar-SA"/>
      </w:rPr>
    </w:lvl>
    <w:lvl w:ilvl="5">
      <w:start w:val="0"/>
      <w:numFmt w:val="bullet"/>
      <w:lvlText w:val="•"/>
      <w:lvlJc w:val="left"/>
      <w:pPr>
        <w:ind w:left="4142" w:hanging="360"/>
      </w:pPr>
      <w:rPr>
        <w:rFonts w:hint="default"/>
        <w:lang w:val="en-US" w:eastAsia="en-US" w:bidi="ar-SA"/>
      </w:rPr>
    </w:lvl>
    <w:lvl w:ilvl="6">
      <w:start w:val="0"/>
      <w:numFmt w:val="bullet"/>
      <w:lvlText w:val="•"/>
      <w:lvlJc w:val="left"/>
      <w:pPr>
        <w:ind w:left="4967" w:hanging="360"/>
      </w:pPr>
      <w:rPr>
        <w:rFonts w:hint="default"/>
        <w:lang w:val="en-US" w:eastAsia="en-US" w:bidi="ar-SA"/>
      </w:rPr>
    </w:lvl>
    <w:lvl w:ilvl="7">
      <w:start w:val="0"/>
      <w:numFmt w:val="bullet"/>
      <w:lvlText w:val="•"/>
      <w:lvlJc w:val="left"/>
      <w:pPr>
        <w:ind w:left="5791" w:hanging="360"/>
      </w:pPr>
      <w:rPr>
        <w:rFonts w:hint="default"/>
        <w:lang w:val="en-US" w:eastAsia="en-US" w:bidi="ar-SA"/>
      </w:rPr>
    </w:lvl>
    <w:lvl w:ilvl="8">
      <w:start w:val="0"/>
      <w:numFmt w:val="bullet"/>
      <w:lvlText w:val="•"/>
      <w:lvlJc w:val="left"/>
      <w:pPr>
        <w:ind w:left="6616" w:hanging="360"/>
      </w:pPr>
      <w:rPr>
        <w:rFonts w:hint="default"/>
        <w:lang w:val="en-US" w:eastAsia="en-US" w:bidi="ar-SA"/>
      </w:rPr>
    </w:lvl>
  </w:abstractNum>
  <w:abstractNum w:abstractNumId="9">
    <w:multiLevelType w:val="hybridMultilevel"/>
    <w:lvl w:ilvl="0">
      <w:start w:val="0"/>
      <w:numFmt w:val="bullet"/>
      <w:lvlText w:val="•"/>
      <w:lvlJc w:val="left"/>
      <w:pPr>
        <w:ind w:left="720" w:hanging="360"/>
      </w:pPr>
      <w:rPr>
        <w:rFonts w:hint="default" w:ascii="Calibri" w:hAnsi="Calibri" w:eastAsia="Calibri" w:cs="Calibri"/>
        <w:b w:val="0"/>
        <w:bCs w:val="0"/>
        <w:i w:val="0"/>
        <w:iCs w:val="0"/>
        <w:spacing w:val="0"/>
        <w:w w:val="100"/>
        <w:sz w:val="22"/>
        <w:szCs w:val="22"/>
        <w:lang w:val="en-US" w:eastAsia="en-US" w:bidi="ar-SA"/>
      </w:rPr>
    </w:lvl>
    <w:lvl w:ilvl="1">
      <w:start w:val="0"/>
      <w:numFmt w:val="bullet"/>
      <w:lvlText w:val="•"/>
      <w:lvlJc w:val="left"/>
      <w:pPr>
        <w:ind w:left="1692" w:hanging="360"/>
      </w:pPr>
      <w:rPr>
        <w:rFonts w:hint="default"/>
        <w:lang w:val="en-US" w:eastAsia="en-US" w:bidi="ar-SA"/>
      </w:rPr>
    </w:lvl>
    <w:lvl w:ilvl="2">
      <w:start w:val="0"/>
      <w:numFmt w:val="bullet"/>
      <w:lvlText w:val="•"/>
      <w:lvlJc w:val="left"/>
      <w:pPr>
        <w:ind w:left="2664" w:hanging="360"/>
      </w:pPr>
      <w:rPr>
        <w:rFonts w:hint="default"/>
        <w:lang w:val="en-US" w:eastAsia="en-US" w:bidi="ar-SA"/>
      </w:rPr>
    </w:lvl>
    <w:lvl w:ilvl="3">
      <w:start w:val="0"/>
      <w:numFmt w:val="bullet"/>
      <w:lvlText w:val="•"/>
      <w:lvlJc w:val="left"/>
      <w:pPr>
        <w:ind w:left="3636" w:hanging="360"/>
      </w:pPr>
      <w:rPr>
        <w:rFonts w:hint="default"/>
        <w:lang w:val="en-US" w:eastAsia="en-US" w:bidi="ar-SA"/>
      </w:rPr>
    </w:lvl>
    <w:lvl w:ilvl="4">
      <w:start w:val="0"/>
      <w:numFmt w:val="bullet"/>
      <w:lvlText w:val="•"/>
      <w:lvlJc w:val="left"/>
      <w:pPr>
        <w:ind w:left="4608" w:hanging="360"/>
      </w:pPr>
      <w:rPr>
        <w:rFonts w:hint="default"/>
        <w:lang w:val="en-US" w:eastAsia="en-US" w:bidi="ar-SA"/>
      </w:rPr>
    </w:lvl>
    <w:lvl w:ilvl="5">
      <w:start w:val="0"/>
      <w:numFmt w:val="bullet"/>
      <w:lvlText w:val="•"/>
      <w:lvlJc w:val="left"/>
      <w:pPr>
        <w:ind w:left="5580" w:hanging="360"/>
      </w:pPr>
      <w:rPr>
        <w:rFonts w:hint="default"/>
        <w:lang w:val="en-US" w:eastAsia="en-US" w:bidi="ar-SA"/>
      </w:rPr>
    </w:lvl>
    <w:lvl w:ilvl="6">
      <w:start w:val="0"/>
      <w:numFmt w:val="bullet"/>
      <w:lvlText w:val="•"/>
      <w:lvlJc w:val="left"/>
      <w:pPr>
        <w:ind w:left="6552" w:hanging="360"/>
      </w:pPr>
      <w:rPr>
        <w:rFonts w:hint="default"/>
        <w:lang w:val="en-US" w:eastAsia="en-US" w:bidi="ar-SA"/>
      </w:rPr>
    </w:lvl>
    <w:lvl w:ilvl="7">
      <w:start w:val="0"/>
      <w:numFmt w:val="bullet"/>
      <w:lvlText w:val="•"/>
      <w:lvlJc w:val="left"/>
      <w:pPr>
        <w:ind w:left="7524" w:hanging="360"/>
      </w:pPr>
      <w:rPr>
        <w:rFonts w:hint="default"/>
        <w:lang w:val="en-US" w:eastAsia="en-US" w:bidi="ar-SA"/>
      </w:rPr>
    </w:lvl>
    <w:lvl w:ilvl="8">
      <w:start w:val="0"/>
      <w:numFmt w:val="bullet"/>
      <w:lvlText w:val="•"/>
      <w:lvlJc w:val="left"/>
      <w:pPr>
        <w:ind w:left="8496" w:hanging="360"/>
      </w:pPr>
      <w:rPr>
        <w:rFonts w:hint="default"/>
        <w:lang w:val="en-US" w:eastAsia="en-US" w:bidi="ar-SA"/>
      </w:rPr>
    </w:lvl>
  </w:abstractNum>
  <w:abstractNum w:abstractNumId="8">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74" w:hanging="360"/>
      </w:pPr>
      <w:rPr>
        <w:rFonts w:hint="default"/>
        <w:lang w:val="en-US" w:eastAsia="en-US" w:bidi="ar-SA"/>
      </w:rPr>
    </w:lvl>
    <w:lvl w:ilvl="2">
      <w:start w:val="0"/>
      <w:numFmt w:val="bullet"/>
      <w:lvlText w:val="•"/>
      <w:lvlJc w:val="left"/>
      <w:pPr>
        <w:ind w:left="3448" w:hanging="360"/>
      </w:pPr>
      <w:rPr>
        <w:rFonts w:hint="default"/>
        <w:lang w:val="en-US" w:eastAsia="en-US" w:bidi="ar-SA"/>
      </w:rPr>
    </w:lvl>
    <w:lvl w:ilvl="3">
      <w:start w:val="0"/>
      <w:numFmt w:val="bullet"/>
      <w:lvlText w:val="•"/>
      <w:lvlJc w:val="left"/>
      <w:pPr>
        <w:ind w:left="4322" w:hanging="360"/>
      </w:pPr>
      <w:rPr>
        <w:rFonts w:hint="default"/>
        <w:lang w:val="en-US" w:eastAsia="en-US" w:bidi="ar-SA"/>
      </w:rPr>
    </w:lvl>
    <w:lvl w:ilvl="4">
      <w:start w:val="0"/>
      <w:numFmt w:val="bullet"/>
      <w:lvlText w:val="•"/>
      <w:lvlJc w:val="left"/>
      <w:pPr>
        <w:ind w:left="5196"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818" w:hanging="360"/>
      </w:pPr>
      <w:rPr>
        <w:rFonts w:hint="default"/>
        <w:lang w:val="en-US" w:eastAsia="en-US" w:bidi="ar-SA"/>
      </w:rPr>
    </w:lvl>
    <w:lvl w:ilvl="8">
      <w:start w:val="0"/>
      <w:numFmt w:val="bullet"/>
      <w:lvlText w:val="•"/>
      <w:lvlJc w:val="left"/>
      <w:pPr>
        <w:ind w:left="8692" w:hanging="360"/>
      </w:pPr>
      <w:rPr>
        <w:rFonts w:hint="default"/>
        <w:lang w:val="en-US" w:eastAsia="en-US" w:bidi="ar-SA"/>
      </w:rPr>
    </w:lvl>
  </w:abstractNum>
  <w:abstractNum w:abstractNumId="7">
    <w:multiLevelType w:val="hybridMultilevel"/>
    <w:lvl w:ilvl="0">
      <w:start w:val="0"/>
      <w:numFmt w:val="bullet"/>
      <w:lvlText w:val=""/>
      <w:lvlJc w:val="left"/>
      <w:pPr>
        <w:ind w:left="106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597" w:hanging="360"/>
      </w:pPr>
      <w:rPr>
        <w:rFonts w:hint="default"/>
        <w:lang w:val="en-US" w:eastAsia="en-US" w:bidi="ar-SA"/>
      </w:rPr>
    </w:lvl>
    <w:lvl w:ilvl="2">
      <w:start w:val="0"/>
      <w:numFmt w:val="bullet"/>
      <w:lvlText w:val="•"/>
      <w:lvlJc w:val="left"/>
      <w:pPr>
        <w:ind w:left="2135" w:hanging="360"/>
      </w:pPr>
      <w:rPr>
        <w:rFonts w:hint="default"/>
        <w:lang w:val="en-US" w:eastAsia="en-US" w:bidi="ar-SA"/>
      </w:rPr>
    </w:lvl>
    <w:lvl w:ilvl="3">
      <w:start w:val="0"/>
      <w:numFmt w:val="bullet"/>
      <w:lvlText w:val="•"/>
      <w:lvlJc w:val="left"/>
      <w:pPr>
        <w:ind w:left="2673" w:hanging="360"/>
      </w:pPr>
      <w:rPr>
        <w:rFonts w:hint="default"/>
        <w:lang w:val="en-US" w:eastAsia="en-US" w:bidi="ar-SA"/>
      </w:rPr>
    </w:lvl>
    <w:lvl w:ilvl="4">
      <w:start w:val="0"/>
      <w:numFmt w:val="bullet"/>
      <w:lvlText w:val="•"/>
      <w:lvlJc w:val="left"/>
      <w:pPr>
        <w:ind w:left="3211" w:hanging="360"/>
      </w:pPr>
      <w:rPr>
        <w:rFonts w:hint="default"/>
        <w:lang w:val="en-US" w:eastAsia="en-US" w:bidi="ar-SA"/>
      </w:rPr>
    </w:lvl>
    <w:lvl w:ilvl="5">
      <w:start w:val="0"/>
      <w:numFmt w:val="bullet"/>
      <w:lvlText w:val="•"/>
      <w:lvlJc w:val="left"/>
      <w:pPr>
        <w:ind w:left="3749" w:hanging="360"/>
      </w:pPr>
      <w:rPr>
        <w:rFonts w:hint="default"/>
        <w:lang w:val="en-US" w:eastAsia="en-US" w:bidi="ar-SA"/>
      </w:rPr>
    </w:lvl>
    <w:lvl w:ilvl="6">
      <w:start w:val="0"/>
      <w:numFmt w:val="bullet"/>
      <w:lvlText w:val="•"/>
      <w:lvlJc w:val="left"/>
      <w:pPr>
        <w:ind w:left="4287" w:hanging="360"/>
      </w:pPr>
      <w:rPr>
        <w:rFonts w:hint="default"/>
        <w:lang w:val="en-US" w:eastAsia="en-US" w:bidi="ar-SA"/>
      </w:rPr>
    </w:lvl>
    <w:lvl w:ilvl="7">
      <w:start w:val="0"/>
      <w:numFmt w:val="bullet"/>
      <w:lvlText w:val="•"/>
      <w:lvlJc w:val="left"/>
      <w:pPr>
        <w:ind w:left="4825" w:hanging="360"/>
      </w:pPr>
      <w:rPr>
        <w:rFonts w:hint="default"/>
        <w:lang w:val="en-US" w:eastAsia="en-US" w:bidi="ar-SA"/>
      </w:rPr>
    </w:lvl>
    <w:lvl w:ilvl="8">
      <w:start w:val="0"/>
      <w:numFmt w:val="bullet"/>
      <w:lvlText w:val="•"/>
      <w:lvlJc w:val="left"/>
      <w:pPr>
        <w:ind w:left="5363" w:hanging="360"/>
      </w:pPr>
      <w:rPr>
        <w:rFonts w:hint="default"/>
        <w:lang w:val="en-US" w:eastAsia="en-US" w:bidi="ar-SA"/>
      </w:rPr>
    </w:lvl>
  </w:abstractNum>
  <w:abstractNum w:abstractNumId="6">
    <w:multiLevelType w:val="hybridMultilevel"/>
    <w:lvl w:ilvl="0">
      <w:start w:val="0"/>
      <w:numFmt w:val="bullet"/>
      <w:lvlText w:val=""/>
      <w:lvlJc w:val="left"/>
      <w:pPr>
        <w:ind w:left="106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597" w:hanging="360"/>
      </w:pPr>
      <w:rPr>
        <w:rFonts w:hint="default"/>
        <w:lang w:val="en-US" w:eastAsia="en-US" w:bidi="ar-SA"/>
      </w:rPr>
    </w:lvl>
    <w:lvl w:ilvl="2">
      <w:start w:val="0"/>
      <w:numFmt w:val="bullet"/>
      <w:lvlText w:val="•"/>
      <w:lvlJc w:val="left"/>
      <w:pPr>
        <w:ind w:left="2135" w:hanging="360"/>
      </w:pPr>
      <w:rPr>
        <w:rFonts w:hint="default"/>
        <w:lang w:val="en-US" w:eastAsia="en-US" w:bidi="ar-SA"/>
      </w:rPr>
    </w:lvl>
    <w:lvl w:ilvl="3">
      <w:start w:val="0"/>
      <w:numFmt w:val="bullet"/>
      <w:lvlText w:val="•"/>
      <w:lvlJc w:val="left"/>
      <w:pPr>
        <w:ind w:left="2673" w:hanging="360"/>
      </w:pPr>
      <w:rPr>
        <w:rFonts w:hint="default"/>
        <w:lang w:val="en-US" w:eastAsia="en-US" w:bidi="ar-SA"/>
      </w:rPr>
    </w:lvl>
    <w:lvl w:ilvl="4">
      <w:start w:val="0"/>
      <w:numFmt w:val="bullet"/>
      <w:lvlText w:val="•"/>
      <w:lvlJc w:val="left"/>
      <w:pPr>
        <w:ind w:left="3211" w:hanging="360"/>
      </w:pPr>
      <w:rPr>
        <w:rFonts w:hint="default"/>
        <w:lang w:val="en-US" w:eastAsia="en-US" w:bidi="ar-SA"/>
      </w:rPr>
    </w:lvl>
    <w:lvl w:ilvl="5">
      <w:start w:val="0"/>
      <w:numFmt w:val="bullet"/>
      <w:lvlText w:val="•"/>
      <w:lvlJc w:val="left"/>
      <w:pPr>
        <w:ind w:left="3749" w:hanging="360"/>
      </w:pPr>
      <w:rPr>
        <w:rFonts w:hint="default"/>
        <w:lang w:val="en-US" w:eastAsia="en-US" w:bidi="ar-SA"/>
      </w:rPr>
    </w:lvl>
    <w:lvl w:ilvl="6">
      <w:start w:val="0"/>
      <w:numFmt w:val="bullet"/>
      <w:lvlText w:val="•"/>
      <w:lvlJc w:val="left"/>
      <w:pPr>
        <w:ind w:left="4287" w:hanging="360"/>
      </w:pPr>
      <w:rPr>
        <w:rFonts w:hint="default"/>
        <w:lang w:val="en-US" w:eastAsia="en-US" w:bidi="ar-SA"/>
      </w:rPr>
    </w:lvl>
    <w:lvl w:ilvl="7">
      <w:start w:val="0"/>
      <w:numFmt w:val="bullet"/>
      <w:lvlText w:val="•"/>
      <w:lvlJc w:val="left"/>
      <w:pPr>
        <w:ind w:left="4825" w:hanging="360"/>
      </w:pPr>
      <w:rPr>
        <w:rFonts w:hint="default"/>
        <w:lang w:val="en-US" w:eastAsia="en-US" w:bidi="ar-SA"/>
      </w:rPr>
    </w:lvl>
    <w:lvl w:ilvl="8">
      <w:start w:val="0"/>
      <w:numFmt w:val="bullet"/>
      <w:lvlText w:val="•"/>
      <w:lvlJc w:val="left"/>
      <w:pPr>
        <w:ind w:left="5363" w:hanging="360"/>
      </w:pPr>
      <w:rPr>
        <w:rFonts w:hint="default"/>
        <w:lang w:val="en-US" w:eastAsia="en-US" w:bidi="ar-SA"/>
      </w:rPr>
    </w:lvl>
  </w:abstractNum>
  <w:abstractNum w:abstractNumId="5">
    <w:multiLevelType w:val="hybridMultilevel"/>
    <w:lvl w:ilvl="0">
      <w:start w:val="0"/>
      <w:numFmt w:val="bullet"/>
      <w:lvlText w:val=""/>
      <w:lvlJc w:val="left"/>
      <w:pPr>
        <w:ind w:left="1060"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597" w:hanging="360"/>
      </w:pPr>
      <w:rPr>
        <w:rFonts w:hint="default"/>
        <w:lang w:val="en-US" w:eastAsia="en-US" w:bidi="ar-SA"/>
      </w:rPr>
    </w:lvl>
    <w:lvl w:ilvl="2">
      <w:start w:val="0"/>
      <w:numFmt w:val="bullet"/>
      <w:lvlText w:val="•"/>
      <w:lvlJc w:val="left"/>
      <w:pPr>
        <w:ind w:left="2135" w:hanging="360"/>
      </w:pPr>
      <w:rPr>
        <w:rFonts w:hint="default"/>
        <w:lang w:val="en-US" w:eastAsia="en-US" w:bidi="ar-SA"/>
      </w:rPr>
    </w:lvl>
    <w:lvl w:ilvl="3">
      <w:start w:val="0"/>
      <w:numFmt w:val="bullet"/>
      <w:lvlText w:val="•"/>
      <w:lvlJc w:val="left"/>
      <w:pPr>
        <w:ind w:left="2673" w:hanging="360"/>
      </w:pPr>
      <w:rPr>
        <w:rFonts w:hint="default"/>
        <w:lang w:val="en-US" w:eastAsia="en-US" w:bidi="ar-SA"/>
      </w:rPr>
    </w:lvl>
    <w:lvl w:ilvl="4">
      <w:start w:val="0"/>
      <w:numFmt w:val="bullet"/>
      <w:lvlText w:val="•"/>
      <w:lvlJc w:val="left"/>
      <w:pPr>
        <w:ind w:left="3211" w:hanging="360"/>
      </w:pPr>
      <w:rPr>
        <w:rFonts w:hint="default"/>
        <w:lang w:val="en-US" w:eastAsia="en-US" w:bidi="ar-SA"/>
      </w:rPr>
    </w:lvl>
    <w:lvl w:ilvl="5">
      <w:start w:val="0"/>
      <w:numFmt w:val="bullet"/>
      <w:lvlText w:val="•"/>
      <w:lvlJc w:val="left"/>
      <w:pPr>
        <w:ind w:left="3749" w:hanging="360"/>
      </w:pPr>
      <w:rPr>
        <w:rFonts w:hint="default"/>
        <w:lang w:val="en-US" w:eastAsia="en-US" w:bidi="ar-SA"/>
      </w:rPr>
    </w:lvl>
    <w:lvl w:ilvl="6">
      <w:start w:val="0"/>
      <w:numFmt w:val="bullet"/>
      <w:lvlText w:val="•"/>
      <w:lvlJc w:val="left"/>
      <w:pPr>
        <w:ind w:left="4287" w:hanging="360"/>
      </w:pPr>
      <w:rPr>
        <w:rFonts w:hint="default"/>
        <w:lang w:val="en-US" w:eastAsia="en-US" w:bidi="ar-SA"/>
      </w:rPr>
    </w:lvl>
    <w:lvl w:ilvl="7">
      <w:start w:val="0"/>
      <w:numFmt w:val="bullet"/>
      <w:lvlText w:val="•"/>
      <w:lvlJc w:val="left"/>
      <w:pPr>
        <w:ind w:left="4825" w:hanging="360"/>
      </w:pPr>
      <w:rPr>
        <w:rFonts w:hint="default"/>
        <w:lang w:val="en-US" w:eastAsia="en-US" w:bidi="ar-SA"/>
      </w:rPr>
    </w:lvl>
    <w:lvl w:ilvl="8">
      <w:start w:val="0"/>
      <w:numFmt w:val="bullet"/>
      <w:lvlText w:val="•"/>
      <w:lvlJc w:val="left"/>
      <w:pPr>
        <w:ind w:left="5363" w:hanging="360"/>
      </w:pPr>
      <w:rPr>
        <w:rFonts w:hint="default"/>
        <w:lang w:val="en-US" w:eastAsia="en-US" w:bidi="ar-SA"/>
      </w:rPr>
    </w:lvl>
  </w:abstractNum>
  <w:abstractNum w:abstractNumId="4">
    <w:multiLevelType w:val="hybridMultilevel"/>
    <w:lvl w:ilvl="0">
      <w:start w:val="0"/>
      <w:numFmt w:val="bullet"/>
      <w:lvlText w:val=""/>
      <w:lvlJc w:val="left"/>
      <w:pPr>
        <w:ind w:left="1492" w:hanging="360"/>
      </w:pPr>
      <w:rPr>
        <w:rFonts w:hint="default" w:ascii="Symbol" w:hAnsi="Symbol" w:eastAsia="Symbol" w:cs="Symbol"/>
        <w:b w:val="0"/>
        <w:bCs w:val="0"/>
        <w:i w:val="0"/>
        <w:iCs w:val="0"/>
        <w:spacing w:val="0"/>
        <w:w w:val="100"/>
        <w:sz w:val="16"/>
        <w:szCs w:val="16"/>
        <w:lang w:val="en-US" w:eastAsia="en-US" w:bidi="ar-SA"/>
      </w:rPr>
    </w:lvl>
    <w:lvl w:ilvl="1">
      <w:start w:val="0"/>
      <w:numFmt w:val="bullet"/>
      <w:lvlText w:val="•"/>
      <w:lvlJc w:val="left"/>
      <w:pPr>
        <w:ind w:left="1993" w:hanging="360"/>
      </w:pPr>
      <w:rPr>
        <w:rFonts w:hint="default"/>
        <w:lang w:val="en-US" w:eastAsia="en-US" w:bidi="ar-SA"/>
      </w:rPr>
    </w:lvl>
    <w:lvl w:ilvl="2">
      <w:start w:val="0"/>
      <w:numFmt w:val="bullet"/>
      <w:lvlText w:val="•"/>
      <w:lvlJc w:val="left"/>
      <w:pPr>
        <w:ind w:left="2487" w:hanging="360"/>
      </w:pPr>
      <w:rPr>
        <w:rFonts w:hint="default"/>
        <w:lang w:val="en-US" w:eastAsia="en-US" w:bidi="ar-SA"/>
      </w:rPr>
    </w:lvl>
    <w:lvl w:ilvl="3">
      <w:start w:val="0"/>
      <w:numFmt w:val="bullet"/>
      <w:lvlText w:val="•"/>
      <w:lvlJc w:val="left"/>
      <w:pPr>
        <w:ind w:left="2981" w:hanging="360"/>
      </w:pPr>
      <w:rPr>
        <w:rFonts w:hint="default"/>
        <w:lang w:val="en-US" w:eastAsia="en-US" w:bidi="ar-SA"/>
      </w:rPr>
    </w:lvl>
    <w:lvl w:ilvl="4">
      <w:start w:val="0"/>
      <w:numFmt w:val="bullet"/>
      <w:lvlText w:val="•"/>
      <w:lvlJc w:val="left"/>
      <w:pPr>
        <w:ind w:left="3475" w:hanging="360"/>
      </w:pPr>
      <w:rPr>
        <w:rFonts w:hint="default"/>
        <w:lang w:val="en-US" w:eastAsia="en-US" w:bidi="ar-SA"/>
      </w:rPr>
    </w:lvl>
    <w:lvl w:ilvl="5">
      <w:start w:val="0"/>
      <w:numFmt w:val="bullet"/>
      <w:lvlText w:val="•"/>
      <w:lvlJc w:val="left"/>
      <w:pPr>
        <w:ind w:left="3969" w:hanging="360"/>
      </w:pPr>
      <w:rPr>
        <w:rFonts w:hint="default"/>
        <w:lang w:val="en-US" w:eastAsia="en-US" w:bidi="ar-SA"/>
      </w:rPr>
    </w:lvl>
    <w:lvl w:ilvl="6">
      <w:start w:val="0"/>
      <w:numFmt w:val="bullet"/>
      <w:lvlText w:val="•"/>
      <w:lvlJc w:val="left"/>
      <w:pPr>
        <w:ind w:left="4463" w:hanging="360"/>
      </w:pPr>
      <w:rPr>
        <w:rFonts w:hint="default"/>
        <w:lang w:val="en-US" w:eastAsia="en-US" w:bidi="ar-SA"/>
      </w:rPr>
    </w:lvl>
    <w:lvl w:ilvl="7">
      <w:start w:val="0"/>
      <w:numFmt w:val="bullet"/>
      <w:lvlText w:val="•"/>
      <w:lvlJc w:val="left"/>
      <w:pPr>
        <w:ind w:left="4957" w:hanging="360"/>
      </w:pPr>
      <w:rPr>
        <w:rFonts w:hint="default"/>
        <w:lang w:val="en-US" w:eastAsia="en-US" w:bidi="ar-SA"/>
      </w:rPr>
    </w:lvl>
    <w:lvl w:ilvl="8">
      <w:start w:val="0"/>
      <w:numFmt w:val="bullet"/>
      <w:lvlText w:val="•"/>
      <w:lvlJc w:val="left"/>
      <w:pPr>
        <w:ind w:left="5451" w:hanging="360"/>
      </w:pPr>
      <w:rPr>
        <w:rFonts w:hint="default"/>
        <w:lang w:val="en-US" w:eastAsia="en-US" w:bidi="ar-SA"/>
      </w:rPr>
    </w:lvl>
  </w:abstractNum>
  <w:abstractNum w:abstractNumId="3">
    <w:multiLevelType w:val="hybridMultilevel"/>
    <w:lvl w:ilvl="0">
      <w:start w:val="0"/>
      <w:numFmt w:val="bullet"/>
      <w:lvlText w:val=""/>
      <w:lvlJc w:val="left"/>
      <w:pPr>
        <w:ind w:left="1401" w:hanging="360"/>
      </w:pPr>
      <w:rPr>
        <w:rFonts w:hint="default" w:ascii="Symbol" w:hAnsi="Symbol" w:eastAsia="Symbol" w:cs="Symbol"/>
        <w:b w:val="0"/>
        <w:bCs w:val="0"/>
        <w:i w:val="0"/>
        <w:iCs w:val="0"/>
        <w:spacing w:val="0"/>
        <w:w w:val="100"/>
        <w:sz w:val="16"/>
        <w:szCs w:val="16"/>
        <w:lang w:val="en-US" w:eastAsia="en-US" w:bidi="ar-SA"/>
      </w:rPr>
    </w:lvl>
    <w:lvl w:ilvl="1">
      <w:start w:val="0"/>
      <w:numFmt w:val="bullet"/>
      <w:lvlText w:val="•"/>
      <w:lvlJc w:val="left"/>
      <w:pPr>
        <w:ind w:left="1894" w:hanging="360"/>
      </w:pPr>
      <w:rPr>
        <w:rFonts w:hint="default"/>
        <w:lang w:val="en-US" w:eastAsia="en-US" w:bidi="ar-SA"/>
      </w:rPr>
    </w:lvl>
    <w:lvl w:ilvl="2">
      <w:start w:val="0"/>
      <w:numFmt w:val="bullet"/>
      <w:lvlText w:val="•"/>
      <w:lvlJc w:val="left"/>
      <w:pPr>
        <w:ind w:left="2389" w:hanging="360"/>
      </w:pPr>
      <w:rPr>
        <w:rFonts w:hint="default"/>
        <w:lang w:val="en-US" w:eastAsia="en-US" w:bidi="ar-SA"/>
      </w:rPr>
    </w:lvl>
    <w:lvl w:ilvl="3">
      <w:start w:val="0"/>
      <w:numFmt w:val="bullet"/>
      <w:lvlText w:val="•"/>
      <w:lvlJc w:val="left"/>
      <w:pPr>
        <w:ind w:left="2884" w:hanging="360"/>
      </w:pPr>
      <w:rPr>
        <w:rFonts w:hint="default"/>
        <w:lang w:val="en-US" w:eastAsia="en-US" w:bidi="ar-SA"/>
      </w:rPr>
    </w:lvl>
    <w:lvl w:ilvl="4">
      <w:start w:val="0"/>
      <w:numFmt w:val="bullet"/>
      <w:lvlText w:val="•"/>
      <w:lvlJc w:val="left"/>
      <w:pPr>
        <w:ind w:left="3379" w:hanging="360"/>
      </w:pPr>
      <w:rPr>
        <w:rFonts w:hint="default"/>
        <w:lang w:val="en-US" w:eastAsia="en-US" w:bidi="ar-SA"/>
      </w:rPr>
    </w:lvl>
    <w:lvl w:ilvl="5">
      <w:start w:val="0"/>
      <w:numFmt w:val="bullet"/>
      <w:lvlText w:val="•"/>
      <w:lvlJc w:val="left"/>
      <w:pPr>
        <w:ind w:left="3874" w:hanging="360"/>
      </w:pPr>
      <w:rPr>
        <w:rFonts w:hint="default"/>
        <w:lang w:val="en-US" w:eastAsia="en-US" w:bidi="ar-SA"/>
      </w:rPr>
    </w:lvl>
    <w:lvl w:ilvl="6">
      <w:start w:val="0"/>
      <w:numFmt w:val="bullet"/>
      <w:lvlText w:val="•"/>
      <w:lvlJc w:val="left"/>
      <w:pPr>
        <w:ind w:left="4369" w:hanging="360"/>
      </w:pPr>
      <w:rPr>
        <w:rFonts w:hint="default"/>
        <w:lang w:val="en-US" w:eastAsia="en-US" w:bidi="ar-SA"/>
      </w:rPr>
    </w:lvl>
    <w:lvl w:ilvl="7">
      <w:start w:val="0"/>
      <w:numFmt w:val="bullet"/>
      <w:lvlText w:val="•"/>
      <w:lvlJc w:val="left"/>
      <w:pPr>
        <w:ind w:left="4864" w:hanging="360"/>
      </w:pPr>
      <w:rPr>
        <w:rFonts w:hint="default"/>
        <w:lang w:val="en-US" w:eastAsia="en-US" w:bidi="ar-SA"/>
      </w:rPr>
    </w:lvl>
    <w:lvl w:ilvl="8">
      <w:start w:val="0"/>
      <w:numFmt w:val="bullet"/>
      <w:lvlText w:val="•"/>
      <w:lvlJc w:val="left"/>
      <w:pPr>
        <w:ind w:left="5359" w:hanging="360"/>
      </w:pPr>
      <w:rPr>
        <w:rFonts w:hint="default"/>
        <w:lang w:val="en-US" w:eastAsia="en-US" w:bidi="ar-SA"/>
      </w:rPr>
    </w:lvl>
  </w:abstractNum>
  <w:abstractNum w:abstractNumId="2">
    <w:multiLevelType w:val="hybridMultilevel"/>
    <w:lvl w:ilvl="0">
      <w:start w:val="0"/>
      <w:numFmt w:val="bullet"/>
      <w:lvlText w:val=""/>
      <w:lvlJc w:val="left"/>
      <w:pPr>
        <w:ind w:left="1692"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2574" w:hanging="360"/>
      </w:pPr>
      <w:rPr>
        <w:rFonts w:hint="default"/>
        <w:lang w:val="en-US" w:eastAsia="en-US" w:bidi="ar-SA"/>
      </w:rPr>
    </w:lvl>
    <w:lvl w:ilvl="2">
      <w:start w:val="0"/>
      <w:numFmt w:val="bullet"/>
      <w:lvlText w:val="•"/>
      <w:lvlJc w:val="left"/>
      <w:pPr>
        <w:ind w:left="3448" w:hanging="360"/>
      </w:pPr>
      <w:rPr>
        <w:rFonts w:hint="default"/>
        <w:lang w:val="en-US" w:eastAsia="en-US" w:bidi="ar-SA"/>
      </w:rPr>
    </w:lvl>
    <w:lvl w:ilvl="3">
      <w:start w:val="0"/>
      <w:numFmt w:val="bullet"/>
      <w:lvlText w:val="•"/>
      <w:lvlJc w:val="left"/>
      <w:pPr>
        <w:ind w:left="4322" w:hanging="360"/>
      </w:pPr>
      <w:rPr>
        <w:rFonts w:hint="default"/>
        <w:lang w:val="en-US" w:eastAsia="en-US" w:bidi="ar-SA"/>
      </w:rPr>
    </w:lvl>
    <w:lvl w:ilvl="4">
      <w:start w:val="0"/>
      <w:numFmt w:val="bullet"/>
      <w:lvlText w:val="•"/>
      <w:lvlJc w:val="left"/>
      <w:pPr>
        <w:ind w:left="5196" w:hanging="360"/>
      </w:pPr>
      <w:rPr>
        <w:rFonts w:hint="default"/>
        <w:lang w:val="en-US" w:eastAsia="en-US" w:bidi="ar-SA"/>
      </w:rPr>
    </w:lvl>
    <w:lvl w:ilvl="5">
      <w:start w:val="0"/>
      <w:numFmt w:val="bullet"/>
      <w:lvlText w:val="•"/>
      <w:lvlJc w:val="left"/>
      <w:pPr>
        <w:ind w:left="6070" w:hanging="360"/>
      </w:pPr>
      <w:rPr>
        <w:rFonts w:hint="default"/>
        <w:lang w:val="en-US" w:eastAsia="en-US" w:bidi="ar-SA"/>
      </w:rPr>
    </w:lvl>
    <w:lvl w:ilvl="6">
      <w:start w:val="0"/>
      <w:numFmt w:val="bullet"/>
      <w:lvlText w:val="•"/>
      <w:lvlJc w:val="left"/>
      <w:pPr>
        <w:ind w:left="6944" w:hanging="360"/>
      </w:pPr>
      <w:rPr>
        <w:rFonts w:hint="default"/>
        <w:lang w:val="en-US" w:eastAsia="en-US" w:bidi="ar-SA"/>
      </w:rPr>
    </w:lvl>
    <w:lvl w:ilvl="7">
      <w:start w:val="0"/>
      <w:numFmt w:val="bullet"/>
      <w:lvlText w:val="•"/>
      <w:lvlJc w:val="left"/>
      <w:pPr>
        <w:ind w:left="7818" w:hanging="360"/>
      </w:pPr>
      <w:rPr>
        <w:rFonts w:hint="default"/>
        <w:lang w:val="en-US" w:eastAsia="en-US" w:bidi="ar-SA"/>
      </w:rPr>
    </w:lvl>
    <w:lvl w:ilvl="8">
      <w:start w:val="0"/>
      <w:numFmt w:val="bullet"/>
      <w:lvlText w:val="•"/>
      <w:lvlJc w:val="left"/>
      <w:pPr>
        <w:ind w:left="8692" w:hanging="360"/>
      </w:pPr>
      <w:rPr>
        <w:rFonts w:hint="default"/>
        <w:lang w:val="en-US" w:eastAsia="en-US" w:bidi="ar-SA"/>
      </w:rPr>
    </w:lvl>
  </w:abstractNum>
  <w:abstractNum w:abstractNumId="1">
    <w:multiLevelType w:val="hybridMultilevel"/>
    <w:lvl w:ilvl="0">
      <w:start w:val="0"/>
      <w:numFmt w:val="bullet"/>
      <w:lvlText w:val=""/>
      <w:lvlJc w:val="left"/>
      <w:pPr>
        <w:ind w:left="899"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854" w:hanging="360"/>
      </w:pPr>
      <w:rPr>
        <w:rFonts w:hint="default"/>
        <w:lang w:val="en-US" w:eastAsia="en-US" w:bidi="ar-SA"/>
      </w:rPr>
    </w:lvl>
    <w:lvl w:ilvl="2">
      <w:start w:val="0"/>
      <w:numFmt w:val="bullet"/>
      <w:lvlText w:val="•"/>
      <w:lvlJc w:val="left"/>
      <w:pPr>
        <w:ind w:left="2808" w:hanging="360"/>
      </w:pPr>
      <w:rPr>
        <w:rFonts w:hint="default"/>
        <w:lang w:val="en-US" w:eastAsia="en-US" w:bidi="ar-SA"/>
      </w:rPr>
    </w:lvl>
    <w:lvl w:ilvl="3">
      <w:start w:val="0"/>
      <w:numFmt w:val="bullet"/>
      <w:lvlText w:val="•"/>
      <w:lvlJc w:val="left"/>
      <w:pPr>
        <w:ind w:left="3762" w:hanging="360"/>
      </w:pPr>
      <w:rPr>
        <w:rFonts w:hint="default"/>
        <w:lang w:val="en-US" w:eastAsia="en-US" w:bidi="ar-SA"/>
      </w:rPr>
    </w:lvl>
    <w:lvl w:ilvl="4">
      <w:start w:val="0"/>
      <w:numFmt w:val="bullet"/>
      <w:lvlText w:val="•"/>
      <w:lvlJc w:val="left"/>
      <w:pPr>
        <w:ind w:left="4716" w:hanging="360"/>
      </w:pPr>
      <w:rPr>
        <w:rFonts w:hint="default"/>
        <w:lang w:val="en-US" w:eastAsia="en-US" w:bidi="ar-SA"/>
      </w:rPr>
    </w:lvl>
    <w:lvl w:ilvl="5">
      <w:start w:val="0"/>
      <w:numFmt w:val="bullet"/>
      <w:lvlText w:val="•"/>
      <w:lvlJc w:val="left"/>
      <w:pPr>
        <w:ind w:left="5670" w:hanging="360"/>
      </w:pPr>
      <w:rPr>
        <w:rFonts w:hint="default"/>
        <w:lang w:val="en-US" w:eastAsia="en-US" w:bidi="ar-SA"/>
      </w:rPr>
    </w:lvl>
    <w:lvl w:ilvl="6">
      <w:start w:val="0"/>
      <w:numFmt w:val="bullet"/>
      <w:lvlText w:val="•"/>
      <w:lvlJc w:val="left"/>
      <w:pPr>
        <w:ind w:left="6624" w:hanging="360"/>
      </w:pPr>
      <w:rPr>
        <w:rFonts w:hint="default"/>
        <w:lang w:val="en-US" w:eastAsia="en-US" w:bidi="ar-SA"/>
      </w:rPr>
    </w:lvl>
    <w:lvl w:ilvl="7">
      <w:start w:val="0"/>
      <w:numFmt w:val="bullet"/>
      <w:lvlText w:val="•"/>
      <w:lvlJc w:val="left"/>
      <w:pPr>
        <w:ind w:left="7578" w:hanging="360"/>
      </w:pPr>
      <w:rPr>
        <w:rFonts w:hint="default"/>
        <w:lang w:val="en-US" w:eastAsia="en-US" w:bidi="ar-SA"/>
      </w:rPr>
    </w:lvl>
    <w:lvl w:ilvl="8">
      <w:start w:val="0"/>
      <w:numFmt w:val="bullet"/>
      <w:lvlText w:val="•"/>
      <w:lvlJc w:val="left"/>
      <w:pPr>
        <w:ind w:left="8532" w:hanging="360"/>
      </w:pPr>
      <w:rPr>
        <w:rFonts w:hint="default"/>
        <w:lang w:val="en-US" w:eastAsia="en-US" w:bidi="ar-SA"/>
      </w:rPr>
    </w:lvl>
  </w:abstractNum>
  <w:abstractNum w:abstractNumId="0">
    <w:multiLevelType w:val="hybridMultilevel"/>
    <w:lvl w:ilvl="0">
      <w:start w:val="0"/>
      <w:numFmt w:val="bullet"/>
      <w:lvlText w:val=""/>
      <w:lvlJc w:val="left"/>
      <w:pPr>
        <w:ind w:left="899" w:hanging="360"/>
      </w:pPr>
      <w:rPr>
        <w:rFonts w:hint="default" w:ascii="Symbol" w:hAnsi="Symbol" w:eastAsia="Symbol" w:cs="Symbol"/>
        <w:b w:val="0"/>
        <w:bCs w:val="0"/>
        <w:i w:val="0"/>
        <w:iCs w:val="0"/>
        <w:spacing w:val="0"/>
        <w:w w:val="99"/>
        <w:sz w:val="20"/>
        <w:szCs w:val="20"/>
        <w:lang w:val="en-US" w:eastAsia="en-US" w:bidi="ar-SA"/>
      </w:rPr>
    </w:lvl>
    <w:lvl w:ilvl="1">
      <w:start w:val="0"/>
      <w:numFmt w:val="bullet"/>
      <w:lvlText w:val="•"/>
      <w:lvlJc w:val="left"/>
      <w:pPr>
        <w:ind w:left="1854" w:hanging="360"/>
      </w:pPr>
      <w:rPr>
        <w:rFonts w:hint="default"/>
        <w:lang w:val="en-US" w:eastAsia="en-US" w:bidi="ar-SA"/>
      </w:rPr>
    </w:lvl>
    <w:lvl w:ilvl="2">
      <w:start w:val="0"/>
      <w:numFmt w:val="bullet"/>
      <w:lvlText w:val="•"/>
      <w:lvlJc w:val="left"/>
      <w:pPr>
        <w:ind w:left="2808" w:hanging="360"/>
      </w:pPr>
      <w:rPr>
        <w:rFonts w:hint="default"/>
        <w:lang w:val="en-US" w:eastAsia="en-US" w:bidi="ar-SA"/>
      </w:rPr>
    </w:lvl>
    <w:lvl w:ilvl="3">
      <w:start w:val="0"/>
      <w:numFmt w:val="bullet"/>
      <w:lvlText w:val="•"/>
      <w:lvlJc w:val="left"/>
      <w:pPr>
        <w:ind w:left="3762" w:hanging="360"/>
      </w:pPr>
      <w:rPr>
        <w:rFonts w:hint="default"/>
        <w:lang w:val="en-US" w:eastAsia="en-US" w:bidi="ar-SA"/>
      </w:rPr>
    </w:lvl>
    <w:lvl w:ilvl="4">
      <w:start w:val="0"/>
      <w:numFmt w:val="bullet"/>
      <w:lvlText w:val="•"/>
      <w:lvlJc w:val="left"/>
      <w:pPr>
        <w:ind w:left="4716" w:hanging="360"/>
      </w:pPr>
      <w:rPr>
        <w:rFonts w:hint="default"/>
        <w:lang w:val="en-US" w:eastAsia="en-US" w:bidi="ar-SA"/>
      </w:rPr>
    </w:lvl>
    <w:lvl w:ilvl="5">
      <w:start w:val="0"/>
      <w:numFmt w:val="bullet"/>
      <w:lvlText w:val="•"/>
      <w:lvlJc w:val="left"/>
      <w:pPr>
        <w:ind w:left="5670" w:hanging="360"/>
      </w:pPr>
      <w:rPr>
        <w:rFonts w:hint="default"/>
        <w:lang w:val="en-US" w:eastAsia="en-US" w:bidi="ar-SA"/>
      </w:rPr>
    </w:lvl>
    <w:lvl w:ilvl="6">
      <w:start w:val="0"/>
      <w:numFmt w:val="bullet"/>
      <w:lvlText w:val="•"/>
      <w:lvlJc w:val="left"/>
      <w:pPr>
        <w:ind w:left="6624" w:hanging="360"/>
      </w:pPr>
      <w:rPr>
        <w:rFonts w:hint="default"/>
        <w:lang w:val="en-US" w:eastAsia="en-US" w:bidi="ar-SA"/>
      </w:rPr>
    </w:lvl>
    <w:lvl w:ilvl="7">
      <w:start w:val="0"/>
      <w:numFmt w:val="bullet"/>
      <w:lvlText w:val="•"/>
      <w:lvlJc w:val="left"/>
      <w:pPr>
        <w:ind w:left="7578" w:hanging="360"/>
      </w:pPr>
      <w:rPr>
        <w:rFonts w:hint="default"/>
        <w:lang w:val="en-US" w:eastAsia="en-US" w:bidi="ar-SA"/>
      </w:rPr>
    </w:lvl>
    <w:lvl w:ilvl="8">
      <w:start w:val="0"/>
      <w:numFmt w:val="bullet"/>
      <w:lvlText w:val="•"/>
      <w:lvlJc w:val="left"/>
      <w:pPr>
        <w:ind w:left="8532" w:hanging="360"/>
      </w:pPr>
      <w:rPr>
        <w:rFonts w:hint="default"/>
        <w:lang w:val="en-US" w:eastAsia="en-US" w:bidi="ar-SA"/>
      </w:rPr>
    </w:lvl>
  </w:abstractNum>
  <w:num w:numId="13">
    <w:abstractNumId w:val="12"/>
  </w:num>
  <w:num w:numId="12">
    <w:abstractNumId w:val="11"/>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TOC1" w:type="paragraph">
    <w:name w:val="TOC 1"/>
    <w:basedOn w:val="Normal"/>
    <w:uiPriority w:val="1"/>
    <w:qFormat/>
    <w:pPr>
      <w:ind w:right="1087"/>
      <w:jc w:val="center"/>
    </w:pPr>
    <w:rPr>
      <w:rFonts w:ascii="Calibri" w:hAnsi="Calibri" w:eastAsia="Calibri" w:cs="Calibri"/>
      <w:sz w:val="22"/>
      <w:szCs w:val="22"/>
      <w:lang w:val="en-US" w:eastAsia="en-US" w:bidi="ar-SA"/>
    </w:rPr>
  </w:style>
  <w:style w:styleId="TOC2" w:type="paragraph">
    <w:name w:val="TOC 2"/>
    <w:basedOn w:val="Normal"/>
    <w:uiPriority w:val="1"/>
    <w:qFormat/>
    <w:pPr>
      <w:spacing w:before="474"/>
      <w:ind w:left="600"/>
    </w:pPr>
    <w:rPr>
      <w:rFonts w:ascii="Calibri" w:hAnsi="Calibri" w:eastAsia="Calibri" w:cs="Calibri"/>
      <w:sz w:val="22"/>
      <w:szCs w:val="22"/>
      <w:lang w:val="en-US" w:eastAsia="en-US" w:bidi="ar-SA"/>
    </w:rPr>
  </w:style>
  <w:style w:styleId="TOC3" w:type="paragraph">
    <w:name w:val="TOC 3"/>
    <w:basedOn w:val="Normal"/>
    <w:uiPriority w:val="1"/>
    <w:qFormat/>
    <w:pPr>
      <w:ind w:left="799"/>
    </w:pPr>
    <w:rPr>
      <w:rFonts w:ascii="Calibri" w:hAnsi="Calibri" w:eastAsia="Calibri" w:cs="Calibri"/>
      <w:sz w:val="22"/>
      <w:szCs w:val="22"/>
      <w:lang w:val="en-US" w:eastAsia="en-US" w:bidi="ar-SA"/>
    </w:rPr>
  </w:style>
  <w:style w:styleId="TOC4" w:type="paragraph">
    <w:name w:val="TOC 4"/>
    <w:basedOn w:val="Normal"/>
    <w:uiPriority w:val="1"/>
    <w:qFormat/>
    <w:pPr>
      <w:ind w:left="1080"/>
    </w:pPr>
    <w:rPr>
      <w:rFonts w:ascii="Calibri" w:hAnsi="Calibri" w:eastAsia="Calibri" w:cs="Calibri"/>
      <w:sz w:val="22"/>
      <w:szCs w:val="22"/>
      <w:lang w:val="en-US" w:eastAsia="en-US" w:bidi="ar-SA"/>
    </w:rPr>
  </w:style>
  <w:style w:styleId="TOC5" w:type="paragraph">
    <w:name w:val="TOC 5"/>
    <w:basedOn w:val="Normal"/>
    <w:uiPriority w:val="1"/>
    <w:qFormat/>
    <w:pPr>
      <w:spacing w:before="1"/>
      <w:ind w:left="1129"/>
    </w:pPr>
    <w:rPr>
      <w:rFonts w:ascii="Calibri" w:hAnsi="Calibri" w:eastAsia="Calibri" w:cs="Calibri"/>
      <w:sz w:val="22"/>
      <w:szCs w:val="22"/>
      <w:lang w:val="en-US" w:eastAsia="en-US" w:bidi="ar-SA"/>
    </w:rPr>
  </w:style>
  <w:style w:styleId="TOC6" w:type="paragraph">
    <w:name w:val="TOC 6"/>
    <w:basedOn w:val="Normal"/>
    <w:uiPriority w:val="1"/>
    <w:qFormat/>
    <w:pPr>
      <w:ind w:left="1321"/>
    </w:pPr>
    <w:rPr>
      <w:rFonts w:ascii="Calibri" w:hAnsi="Calibri" w:eastAsia="Calibri" w:cs="Calibri"/>
      <w:sz w:val="22"/>
      <w:szCs w:val="22"/>
      <w:lang w:val="en-US" w:eastAsia="en-US" w:bidi="ar-SA"/>
    </w:rPr>
  </w:style>
  <w:style w:styleId="TOC7" w:type="paragraph">
    <w:name w:val="TOC 7"/>
    <w:basedOn w:val="Normal"/>
    <w:uiPriority w:val="1"/>
    <w:qFormat/>
    <w:pPr>
      <w:ind w:left="1519"/>
    </w:pPr>
    <w:rPr>
      <w:rFonts w:ascii="Calibri" w:hAnsi="Calibri" w:eastAsia="Calibri" w:cs="Calibri"/>
      <w:sz w:val="22"/>
      <w:szCs w:val="22"/>
      <w:lang w:val="en-US" w:eastAsia="en-US" w:bidi="ar-SA"/>
    </w:rPr>
  </w:style>
  <w:style w:styleId="TOC8" w:type="paragraph">
    <w:name w:val="TOC 8"/>
    <w:basedOn w:val="Normal"/>
    <w:uiPriority w:val="1"/>
    <w:qFormat/>
    <w:pPr>
      <w:ind w:left="1800"/>
    </w:pPr>
    <w:rPr>
      <w:rFonts w:ascii="Calibri" w:hAnsi="Calibri" w:eastAsia="Calibri" w:cs="Calibri"/>
      <w:sz w:val="22"/>
      <w:szCs w:val="22"/>
      <w:lang w:val="en-US" w:eastAsia="en-US" w:bidi="ar-SA"/>
    </w:rPr>
  </w:style>
  <w:style w:styleId="BodyText" w:type="paragraph">
    <w:name w:val="Body Text"/>
    <w:basedOn w:val="Normal"/>
    <w:uiPriority w:val="1"/>
    <w:qFormat/>
    <w:pPr/>
    <w:rPr>
      <w:rFonts w:ascii="Calibri" w:hAnsi="Calibri" w:eastAsia="Calibri" w:cs="Calibri"/>
      <w:sz w:val="22"/>
      <w:szCs w:val="22"/>
      <w:lang w:val="en-US" w:eastAsia="en-US" w:bidi="ar-SA"/>
    </w:rPr>
  </w:style>
  <w:style w:styleId="Heading1" w:type="paragraph">
    <w:name w:val="Heading 1"/>
    <w:basedOn w:val="Normal"/>
    <w:uiPriority w:val="1"/>
    <w:qFormat/>
    <w:pPr>
      <w:ind w:left="360"/>
      <w:outlineLvl w:val="1"/>
    </w:pPr>
    <w:rPr>
      <w:rFonts w:ascii="Arial" w:hAnsi="Arial" w:eastAsia="Arial" w:cs="Arial"/>
      <w:b/>
      <w:bCs/>
      <w:sz w:val="36"/>
      <w:szCs w:val="36"/>
      <w:lang w:val="en-US" w:eastAsia="en-US" w:bidi="ar-SA"/>
    </w:rPr>
  </w:style>
  <w:style w:styleId="Heading2" w:type="paragraph">
    <w:name w:val="Heading 2"/>
    <w:basedOn w:val="Normal"/>
    <w:uiPriority w:val="1"/>
    <w:qFormat/>
    <w:pPr>
      <w:ind w:left="360"/>
      <w:outlineLvl w:val="2"/>
    </w:pPr>
    <w:rPr>
      <w:rFonts w:ascii="Arial" w:hAnsi="Arial" w:eastAsia="Arial" w:cs="Arial"/>
      <w:sz w:val="32"/>
      <w:szCs w:val="32"/>
      <w:lang w:val="en-US" w:eastAsia="en-US" w:bidi="ar-SA"/>
    </w:rPr>
  </w:style>
  <w:style w:styleId="Heading3" w:type="paragraph">
    <w:name w:val="Heading 3"/>
    <w:basedOn w:val="Normal"/>
    <w:uiPriority w:val="1"/>
    <w:qFormat/>
    <w:pPr>
      <w:ind w:left="1151"/>
      <w:outlineLvl w:val="3"/>
    </w:pPr>
    <w:rPr>
      <w:rFonts w:ascii="Arial" w:hAnsi="Arial" w:eastAsia="Arial" w:cs="Arial"/>
      <w:b/>
      <w:bCs/>
      <w:sz w:val="27"/>
      <w:szCs w:val="27"/>
      <w:lang w:val="en-US" w:eastAsia="en-US" w:bidi="ar-SA"/>
    </w:rPr>
  </w:style>
  <w:style w:styleId="Heading4" w:type="paragraph">
    <w:name w:val="Heading 4"/>
    <w:basedOn w:val="Normal"/>
    <w:uiPriority w:val="1"/>
    <w:qFormat/>
    <w:pPr>
      <w:ind w:left="360"/>
      <w:outlineLvl w:val="4"/>
    </w:pPr>
    <w:rPr>
      <w:rFonts w:ascii="Arial" w:hAnsi="Arial" w:eastAsia="Arial" w:cs="Arial"/>
      <w:sz w:val="24"/>
      <w:szCs w:val="24"/>
      <w:lang w:val="en-US" w:eastAsia="en-US" w:bidi="ar-SA"/>
    </w:rPr>
  </w:style>
  <w:style w:styleId="Heading5" w:type="paragraph">
    <w:name w:val="Heading 5"/>
    <w:basedOn w:val="Normal"/>
    <w:uiPriority w:val="1"/>
    <w:qFormat/>
    <w:pPr>
      <w:ind w:left="360"/>
      <w:outlineLvl w:val="5"/>
    </w:pPr>
    <w:rPr>
      <w:rFonts w:ascii="Arial Narrow" w:hAnsi="Arial Narrow" w:eastAsia="Arial Narrow" w:cs="Arial Narrow"/>
      <w:b/>
      <w:bCs/>
      <w:sz w:val="22"/>
      <w:szCs w:val="22"/>
      <w:lang w:val="en-US" w:eastAsia="en-US" w:bidi="ar-SA"/>
    </w:rPr>
  </w:style>
  <w:style w:styleId="Title" w:type="paragraph">
    <w:name w:val="Title"/>
    <w:basedOn w:val="Normal"/>
    <w:uiPriority w:val="1"/>
    <w:qFormat/>
    <w:pPr>
      <w:spacing w:before="479"/>
      <w:ind w:left="360" w:right="2220"/>
    </w:pPr>
    <w:rPr>
      <w:rFonts w:ascii="Arial" w:hAnsi="Arial" w:eastAsia="Arial" w:cs="Arial"/>
      <w:b/>
      <w:bCs/>
      <w:sz w:val="60"/>
      <w:szCs w:val="60"/>
      <w:lang w:val="en-US" w:eastAsia="en-US" w:bidi="ar-SA"/>
    </w:rPr>
  </w:style>
  <w:style w:styleId="ListParagraph" w:type="paragraph">
    <w:name w:val="List Paragraph"/>
    <w:basedOn w:val="Normal"/>
    <w:uiPriority w:val="1"/>
    <w:qFormat/>
    <w:pPr>
      <w:spacing w:before="120"/>
      <w:ind w:left="899" w:hanging="360"/>
    </w:pPr>
    <w:rPr>
      <w:rFonts w:ascii="Calibri" w:hAnsi="Calibri" w:eastAsia="Calibri" w:cs="Calibri"/>
      <w:lang w:val="en-US" w:eastAsia="en-US" w:bidi="ar-SA"/>
    </w:rPr>
  </w:style>
  <w:style w:styleId="TableParagraph" w:type="paragraph">
    <w:name w:val="Table Paragraph"/>
    <w:basedOn w:val="Normal"/>
    <w:uiPriority w:val="1"/>
    <w:qFormat/>
    <w:pPr>
      <w:spacing w:before="39"/>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hyperlink" Target="http://www.ascr.usda.gov/complaint_filing_cust.html" TargetMode="External"/><Relationship Id="rId10" Type="http://schemas.openxmlformats.org/officeDocument/2006/relationships/hyperlink" Target="mailto:program.intake@usda.gov" TargetMode="External"/><Relationship Id="rId11" Type="http://schemas.openxmlformats.org/officeDocument/2006/relationships/header" Target="header1.xml"/><Relationship Id="rId12" Type="http://schemas.openxmlformats.org/officeDocument/2006/relationships/footer" Target="footer2.xml"/><Relationship Id="rId13" Type="http://schemas.openxmlformats.org/officeDocument/2006/relationships/header" Target="header2.xml"/><Relationship Id="rId14" Type="http://schemas.openxmlformats.org/officeDocument/2006/relationships/footer" Target="footer3.xml"/><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5.xml"/><Relationship Id="rId20" Type="http://schemas.openxmlformats.org/officeDocument/2006/relationships/header" Target="header6.xml"/><Relationship Id="rId21" Type="http://schemas.openxmlformats.org/officeDocument/2006/relationships/footer" Target="footer6.xml"/><Relationship Id="rId22" Type="http://schemas.openxmlformats.org/officeDocument/2006/relationships/header" Target="header7.xml"/><Relationship Id="rId23" Type="http://schemas.openxmlformats.org/officeDocument/2006/relationships/header" Target="header8.xml"/><Relationship Id="rId24" Type="http://schemas.openxmlformats.org/officeDocument/2006/relationships/footer" Target="footer7.xml"/><Relationship Id="rId25" Type="http://schemas.openxmlformats.org/officeDocument/2006/relationships/footer" Target="footer8.xml"/><Relationship Id="rId26" Type="http://schemas.openxmlformats.org/officeDocument/2006/relationships/header" Target="header9.xml"/><Relationship Id="rId27" Type="http://schemas.openxmlformats.org/officeDocument/2006/relationships/header" Target="header10.xml"/><Relationship Id="rId28" Type="http://schemas.openxmlformats.org/officeDocument/2006/relationships/footer" Target="footer9.xml"/><Relationship Id="rId29" Type="http://schemas.openxmlformats.org/officeDocument/2006/relationships/footer" Target="footer10.xml"/><Relationship Id="rId30" Type="http://schemas.openxmlformats.org/officeDocument/2006/relationships/header" Target="header11.xml"/><Relationship Id="rId31" Type="http://schemas.openxmlformats.org/officeDocument/2006/relationships/header" Target="header12.xml"/><Relationship Id="rId32" Type="http://schemas.openxmlformats.org/officeDocument/2006/relationships/footer" Target="footer11.xml"/><Relationship Id="rId33" Type="http://schemas.openxmlformats.org/officeDocument/2006/relationships/footer" Target="footer12.xml"/><Relationship Id="rId34" Type="http://schemas.openxmlformats.org/officeDocument/2006/relationships/image" Target="media/image4.jpeg"/><Relationship Id="rId35" Type="http://schemas.openxmlformats.org/officeDocument/2006/relationships/image" Target="media/image5.jpeg"/><Relationship Id="rId36" Type="http://schemas.openxmlformats.org/officeDocument/2006/relationships/image" Target="media/image6.png"/><Relationship Id="rId37" Type="http://schemas.openxmlformats.org/officeDocument/2006/relationships/hyperlink" Target="https://www.fs.usda.gov/detail/colville/landmanagement/planning/?cid=stelprd3824594" TargetMode="External"/><Relationship Id="rId38" Type="http://schemas.openxmlformats.org/officeDocument/2006/relationships/image" Target="media/image7.jpeg"/><Relationship Id="rId39" Type="http://schemas.openxmlformats.org/officeDocument/2006/relationships/hyperlink" Target="http://www.fs.fed.us/emc/nfma/includes/nfmareg.html" TargetMode="External"/><Relationship Id="rId40" Type="http://schemas.openxmlformats.org/officeDocument/2006/relationships/hyperlink" Target="http://www.fs.fed.us/plan/" TargetMode="External"/><Relationship Id="rId41" Type="http://schemas.openxmlformats.org/officeDocument/2006/relationships/hyperlink" Target="http://www.fs.fed.us/biology/planning/index.html" TargetMode="External"/><Relationship Id="rId42" Type="http://schemas.openxmlformats.org/officeDocument/2006/relationships/hyperlink" Target="http://www.fs.fed.us/" TargetMode="External"/><Relationship Id="rId43" Type="http://schemas.openxmlformats.org/officeDocument/2006/relationships/header" Target="header13.xml"/><Relationship Id="rId44" Type="http://schemas.openxmlformats.org/officeDocument/2006/relationships/header" Target="header14.xml"/><Relationship Id="rId45" Type="http://schemas.openxmlformats.org/officeDocument/2006/relationships/footer" Target="footer13.xml"/><Relationship Id="rId46" Type="http://schemas.openxmlformats.org/officeDocument/2006/relationships/footer" Target="footer14.xml"/><Relationship Id="rId47" Type="http://schemas.openxmlformats.org/officeDocument/2006/relationships/image" Target="media/image8.jpeg"/><Relationship Id="rId48" Type="http://schemas.openxmlformats.org/officeDocument/2006/relationships/hyperlink" Target="http://www.fsvisimages.com/" TargetMode="External"/><Relationship Id="rId49" Type="http://schemas.openxmlformats.org/officeDocument/2006/relationships/hyperlink" Target="https://www.epa.gov/criteria-air-pollutants/naaqs-table" TargetMode="External"/><Relationship Id="rId50" Type="http://schemas.openxmlformats.org/officeDocument/2006/relationships/image" Target="media/image9.png"/><Relationship Id="rId51" Type="http://schemas.openxmlformats.org/officeDocument/2006/relationships/hyperlink" Target="https://www.fws.gov/pacific/bulltrout/Habitat.cfm" TargetMode="External"/><Relationship Id="rId52" Type="http://schemas.openxmlformats.org/officeDocument/2006/relationships/image" Target="media/image10.jpeg"/><Relationship Id="rId53" Type="http://schemas.openxmlformats.org/officeDocument/2006/relationships/image" Target="media/image11.jpeg"/><Relationship Id="rId54" Type="http://schemas.openxmlformats.org/officeDocument/2006/relationships/hyperlink" Target="https://apps.fs.usda.gov/wcatt/" TargetMode="External"/><Relationship Id="rId55" Type="http://schemas.openxmlformats.org/officeDocument/2006/relationships/hyperlink" Target="https://www.fws.gov/idaho/articles.cfm?id=149489582" TargetMode="External"/><Relationship Id="rId56" Type="http://schemas.openxmlformats.org/officeDocument/2006/relationships/image" Target="media/image12.jpeg"/><Relationship Id="rId57" Type="http://schemas.openxmlformats.org/officeDocument/2006/relationships/header" Target="header15.xml"/><Relationship Id="rId58" Type="http://schemas.openxmlformats.org/officeDocument/2006/relationships/header" Target="header16.xml"/><Relationship Id="rId59" Type="http://schemas.openxmlformats.org/officeDocument/2006/relationships/footer" Target="footer15.xml"/><Relationship Id="rId60" Type="http://schemas.openxmlformats.org/officeDocument/2006/relationships/footer" Target="footer16.xml"/><Relationship Id="rId61" Type="http://schemas.openxmlformats.org/officeDocument/2006/relationships/image" Target="media/image13.png"/><Relationship Id="rId62" Type="http://schemas.openxmlformats.org/officeDocument/2006/relationships/header" Target="header17.xml"/><Relationship Id="rId63" Type="http://schemas.openxmlformats.org/officeDocument/2006/relationships/footer" Target="footer17.xml"/><Relationship Id="rId64" Type="http://schemas.openxmlformats.org/officeDocument/2006/relationships/header" Target="header18.xml"/><Relationship Id="rId65" Type="http://schemas.openxmlformats.org/officeDocument/2006/relationships/footer" Target="footer18.xml"/><Relationship Id="rId66" Type="http://schemas.openxmlformats.org/officeDocument/2006/relationships/header" Target="header19.xml"/><Relationship Id="rId67" Type="http://schemas.openxmlformats.org/officeDocument/2006/relationships/header" Target="header20.xml"/><Relationship Id="rId68" Type="http://schemas.openxmlformats.org/officeDocument/2006/relationships/footer" Target="footer19.xml"/><Relationship Id="rId69" Type="http://schemas.openxmlformats.org/officeDocument/2006/relationships/footer" Target="footer20.xml"/><Relationship Id="rId70" Type="http://schemas.openxmlformats.org/officeDocument/2006/relationships/header" Target="header21.xml"/><Relationship Id="rId71" Type="http://schemas.openxmlformats.org/officeDocument/2006/relationships/header" Target="header22.xml"/><Relationship Id="rId72" Type="http://schemas.openxmlformats.org/officeDocument/2006/relationships/footer" Target="footer21.xml"/><Relationship Id="rId73" Type="http://schemas.openxmlformats.org/officeDocument/2006/relationships/footer" Target="footer22.xml"/><Relationship Id="rId74" Type="http://schemas.openxmlformats.org/officeDocument/2006/relationships/header" Target="header23.xml"/><Relationship Id="rId75" Type="http://schemas.openxmlformats.org/officeDocument/2006/relationships/header" Target="header24.xml"/><Relationship Id="rId76" Type="http://schemas.openxmlformats.org/officeDocument/2006/relationships/footer" Target="footer23.xml"/><Relationship Id="rId77" Type="http://schemas.openxmlformats.org/officeDocument/2006/relationships/footer" Target="footer24.xml"/><Relationship Id="rId78" Type="http://schemas.openxmlformats.org/officeDocument/2006/relationships/image" Target="media/image14.png"/><Relationship Id="rId79" Type="http://schemas.openxmlformats.org/officeDocument/2006/relationships/header" Target="header25.xml"/><Relationship Id="rId80" Type="http://schemas.openxmlformats.org/officeDocument/2006/relationships/header" Target="header26.xml"/><Relationship Id="rId81" Type="http://schemas.openxmlformats.org/officeDocument/2006/relationships/footer" Target="footer25.xml"/><Relationship Id="rId82" Type="http://schemas.openxmlformats.org/officeDocument/2006/relationships/footer" Target="footer26.xml"/><Relationship Id="rId83" Type="http://schemas.openxmlformats.org/officeDocument/2006/relationships/header" Target="header27.xml"/><Relationship Id="rId84" Type="http://schemas.openxmlformats.org/officeDocument/2006/relationships/header" Target="header28.xml"/><Relationship Id="rId85" Type="http://schemas.openxmlformats.org/officeDocument/2006/relationships/footer" Target="footer27.xml"/><Relationship Id="rId86" Type="http://schemas.openxmlformats.org/officeDocument/2006/relationships/footer" Target="footer28.xml"/><Relationship Id="rId87" Type="http://schemas.openxmlformats.org/officeDocument/2006/relationships/image" Target="media/image15.png"/><Relationship Id="rId88" Type="http://schemas.openxmlformats.org/officeDocument/2006/relationships/header" Target="header29.xml"/><Relationship Id="rId89" Type="http://schemas.openxmlformats.org/officeDocument/2006/relationships/header" Target="header30.xml"/><Relationship Id="rId90" Type="http://schemas.openxmlformats.org/officeDocument/2006/relationships/footer" Target="footer29.xml"/><Relationship Id="rId91" Type="http://schemas.openxmlformats.org/officeDocument/2006/relationships/footer" Target="footer30.xml"/><Relationship Id="rId92" Type="http://schemas.openxmlformats.org/officeDocument/2006/relationships/header" Target="header31.xml"/><Relationship Id="rId93" Type="http://schemas.openxmlformats.org/officeDocument/2006/relationships/footer" Target="footer31.xml"/><Relationship Id="rId94" Type="http://schemas.openxmlformats.org/officeDocument/2006/relationships/header" Target="header32.xml"/><Relationship Id="rId95" Type="http://schemas.openxmlformats.org/officeDocument/2006/relationships/header" Target="header33.xml"/><Relationship Id="rId96" Type="http://schemas.openxmlformats.org/officeDocument/2006/relationships/footer" Target="footer32.xml"/><Relationship Id="rId97" Type="http://schemas.openxmlformats.org/officeDocument/2006/relationships/footer" Target="footer33.xml"/><Relationship Id="rId98" Type="http://schemas.openxmlformats.org/officeDocument/2006/relationships/header" Target="header34.xml"/><Relationship Id="rId99" Type="http://schemas.openxmlformats.org/officeDocument/2006/relationships/header" Target="header35.xml"/><Relationship Id="rId100" Type="http://schemas.openxmlformats.org/officeDocument/2006/relationships/footer" Target="footer34.xml"/><Relationship Id="rId101" Type="http://schemas.openxmlformats.org/officeDocument/2006/relationships/footer" Target="footer35.xml"/><Relationship Id="rId102" Type="http://schemas.openxmlformats.org/officeDocument/2006/relationships/header" Target="header36.xml"/><Relationship Id="rId103" Type="http://schemas.openxmlformats.org/officeDocument/2006/relationships/header" Target="header37.xml"/><Relationship Id="rId104" Type="http://schemas.openxmlformats.org/officeDocument/2006/relationships/footer" Target="footer36.xml"/><Relationship Id="rId105" Type="http://schemas.openxmlformats.org/officeDocument/2006/relationships/footer" Target="footer37.xml"/><Relationship Id="rId106" Type="http://schemas.openxmlformats.org/officeDocument/2006/relationships/header" Target="header38.xml"/><Relationship Id="rId107" Type="http://schemas.openxmlformats.org/officeDocument/2006/relationships/footer" Target="footer38.xml"/><Relationship Id="rId108" Type="http://schemas.openxmlformats.org/officeDocument/2006/relationships/footer" Target="footer39.xml"/><Relationship Id="rId109" Type="http://schemas.openxmlformats.org/officeDocument/2006/relationships/header" Target="header39.xml"/><Relationship Id="rId110" Type="http://schemas.openxmlformats.org/officeDocument/2006/relationships/header" Target="header40.xml"/><Relationship Id="rId111" Type="http://schemas.openxmlformats.org/officeDocument/2006/relationships/footer" Target="footer40.xml"/><Relationship Id="rId112" Type="http://schemas.openxmlformats.org/officeDocument/2006/relationships/footer" Target="footer41.xml"/><Relationship Id="rId113" Type="http://schemas.openxmlformats.org/officeDocument/2006/relationships/image" Target="media/image16.jpeg"/><Relationship Id="rId114" Type="http://schemas.openxmlformats.org/officeDocument/2006/relationships/header" Target="header41.xml"/><Relationship Id="rId115" Type="http://schemas.openxmlformats.org/officeDocument/2006/relationships/header" Target="header42.xml"/><Relationship Id="rId116" Type="http://schemas.openxmlformats.org/officeDocument/2006/relationships/image" Target="media/image17.jpeg"/><Relationship Id="rId117" Type="http://schemas.openxmlformats.org/officeDocument/2006/relationships/footer" Target="footer42.xml"/><Relationship Id="rId118" Type="http://schemas.openxmlformats.org/officeDocument/2006/relationships/footer" Target="footer43.xml"/><Relationship Id="rId119" Type="http://schemas.openxmlformats.org/officeDocument/2006/relationships/image" Target="media/image18.jpeg"/><Relationship Id="rId120" Type="http://schemas.openxmlformats.org/officeDocument/2006/relationships/image" Target="media/image19.jpeg"/><Relationship Id="rId121" Type="http://schemas.openxmlformats.org/officeDocument/2006/relationships/image" Target="media/image20.jpeg"/><Relationship Id="rId122" Type="http://schemas.openxmlformats.org/officeDocument/2006/relationships/image" Target="media/image21.jpeg"/><Relationship Id="rId123" Type="http://schemas.openxmlformats.org/officeDocument/2006/relationships/image" Target="media/image22.jpeg"/><Relationship Id="rId124" Type="http://schemas.openxmlformats.org/officeDocument/2006/relationships/header" Target="header43.xml"/><Relationship Id="rId125" Type="http://schemas.openxmlformats.org/officeDocument/2006/relationships/header" Target="header44.xml"/><Relationship Id="rId126" Type="http://schemas.openxmlformats.org/officeDocument/2006/relationships/footer" Target="footer44.xml"/><Relationship Id="rId127" Type="http://schemas.openxmlformats.org/officeDocument/2006/relationships/footer" Target="footer45.xml"/><Relationship Id="rId128" Type="http://schemas.openxmlformats.org/officeDocument/2006/relationships/header" Target="header45.xml"/><Relationship Id="rId129" Type="http://schemas.openxmlformats.org/officeDocument/2006/relationships/header" Target="header46.xml"/><Relationship Id="rId130" Type="http://schemas.openxmlformats.org/officeDocument/2006/relationships/footer" Target="footer46.xml"/><Relationship Id="rId131" Type="http://schemas.openxmlformats.org/officeDocument/2006/relationships/footer" Target="footer47.xml"/><Relationship Id="rId132" Type="http://schemas.openxmlformats.org/officeDocument/2006/relationships/image" Target="media/image23.jpeg"/><Relationship Id="rId133" Type="http://schemas.openxmlformats.org/officeDocument/2006/relationships/header" Target="header47.xml"/><Relationship Id="rId134" Type="http://schemas.openxmlformats.org/officeDocument/2006/relationships/header" Target="header48.xml"/><Relationship Id="rId135" Type="http://schemas.openxmlformats.org/officeDocument/2006/relationships/footer" Target="footer48.xml"/><Relationship Id="rId136" Type="http://schemas.openxmlformats.org/officeDocument/2006/relationships/footer" Target="footer49.xml"/><Relationship Id="rId137" Type="http://schemas.openxmlformats.org/officeDocument/2006/relationships/header" Target="header49.xml"/><Relationship Id="rId138" Type="http://schemas.openxmlformats.org/officeDocument/2006/relationships/header" Target="header50.xml"/><Relationship Id="rId139" Type="http://schemas.openxmlformats.org/officeDocument/2006/relationships/footer" Target="footer50.xml"/><Relationship Id="rId140" Type="http://schemas.openxmlformats.org/officeDocument/2006/relationships/footer" Target="footer51.xml"/><Relationship Id="rId141" Type="http://schemas.openxmlformats.org/officeDocument/2006/relationships/image" Target="media/image24.jpeg"/><Relationship Id="rId142" Type="http://schemas.openxmlformats.org/officeDocument/2006/relationships/image" Target="media/image25.jpeg"/><Relationship Id="rId143" Type="http://schemas.openxmlformats.org/officeDocument/2006/relationships/header" Target="header51.xml"/><Relationship Id="rId144" Type="http://schemas.openxmlformats.org/officeDocument/2006/relationships/header" Target="header52.xml"/><Relationship Id="rId145" Type="http://schemas.openxmlformats.org/officeDocument/2006/relationships/footer" Target="footer52.xml"/><Relationship Id="rId146" Type="http://schemas.openxmlformats.org/officeDocument/2006/relationships/footer" Target="footer53.xml"/><Relationship Id="rId147" Type="http://schemas.openxmlformats.org/officeDocument/2006/relationships/image" Target="media/image26.jpeg"/><Relationship Id="rId148" Type="http://schemas.openxmlformats.org/officeDocument/2006/relationships/image" Target="media/image27.png"/><Relationship Id="rId149" Type="http://schemas.openxmlformats.org/officeDocument/2006/relationships/image" Target="media/image28.png"/><Relationship Id="rId150" Type="http://schemas.openxmlformats.org/officeDocument/2006/relationships/image" Target="media/image29.png"/><Relationship Id="rId151" Type="http://schemas.openxmlformats.org/officeDocument/2006/relationships/image" Target="media/image30.png"/><Relationship Id="rId152" Type="http://schemas.openxmlformats.org/officeDocument/2006/relationships/image" Target="media/image31.png"/><Relationship Id="rId153" Type="http://schemas.openxmlformats.org/officeDocument/2006/relationships/image" Target="media/image32.jpeg"/><Relationship Id="rId154" Type="http://schemas.openxmlformats.org/officeDocument/2006/relationships/header" Target="header53.xml"/><Relationship Id="rId155" Type="http://schemas.openxmlformats.org/officeDocument/2006/relationships/footer" Target="footer54.xml"/><Relationship Id="rId156" Type="http://schemas.openxmlformats.org/officeDocument/2006/relationships/image" Target="media/image33.jpeg"/><Relationship Id="rId15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Company>USDA Forest Service</Company>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Colville National Forest</dc:creator>
  <dc:description/>
  <cp:keywords> revised forest plan, forest plan revision, Colville National Forest</cp:keywords>
  <dc:subject>Colville National Forest</dc:subject>
  <dc:title>Revised Land Managment Plan</dc:title>
  <dcterms:created xsi:type="dcterms:W3CDTF">2025-08-12T22:38:59Z</dcterms:created>
  <dcterms:modified xsi:type="dcterms:W3CDTF">2025-08-12T22:38:59Z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0x01010074FD6F2458FC7C49B4592F4B34DAD417</vt:lpwstr>
  </property>
  <property fmtid="{D5CDD505-2E9C-101B-9397-08002B2CF9AE}" pid="3" name="Created">
    <vt:filetime>2019-09-04T00:00:00Z</vt:filetime>
  </property>
  <property fmtid="{D5CDD505-2E9C-101B-9397-08002B2CF9AE}" pid="4" name="Creator">
    <vt:lpwstr>Acrobat PDFMaker 19 for Word</vt:lpwstr>
  </property>
  <property fmtid="{D5CDD505-2E9C-101B-9397-08002B2CF9AE}" pid="5" name="LastSaved">
    <vt:filetime>2025-08-12T00:00:00Z</vt:filetime>
  </property>
  <property fmtid="{D5CDD505-2E9C-101B-9397-08002B2CF9AE}" pid="6" name="Order">
    <vt:lpwstr>16300.000000</vt:lpwstr>
  </property>
  <property fmtid="{D5CDD505-2E9C-101B-9397-08002B2CF9AE}" pid="7" name="Producer">
    <vt:lpwstr>Adobe PDF Library 19.12.68</vt:lpwstr>
  </property>
  <property fmtid="{D5CDD505-2E9C-101B-9397-08002B2CF9AE}" pid="8" name="SourceModified">
    <vt:lpwstr>D:20190904193519</vt:lpwstr>
  </property>
</Properties>
</file>